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3C87" w:rsidR="00B60421" w:rsidP="007E0FEE" w:rsidRDefault="00362AFD" w14:paraId="577A412D" w14:textId="6C993E2F">
      <w:pPr>
        <w:tabs>
          <w:tab w:val="center" w:pos="4680"/>
          <w:tab w:val="right" w:pos="9360"/>
        </w:tabs>
        <w:spacing w:line="240" w:lineRule="auto"/>
        <w:ind w:firstLine="0"/>
      </w:pPr>
      <w:r w:rsidRPr="003F3C87">
        <w:t>ALJ</w:t>
      </w:r>
      <w:r w:rsidRPr="003F3C87" w:rsidR="00DA7B5D">
        <w:t>/</w:t>
      </w:r>
      <w:r w:rsidRPr="003F3C87">
        <w:t>RM3</w:t>
      </w:r>
      <w:r w:rsidRPr="003F3C87" w:rsidR="00DA7B5D">
        <w:t>/</w:t>
      </w:r>
      <w:r w:rsidRPr="003F3C87" w:rsidR="00B94108">
        <w:t>sgu</w:t>
      </w:r>
      <w:r w:rsidRPr="003F3C87" w:rsidR="007E0FEE">
        <w:tab/>
      </w:r>
      <w:r w:rsidRPr="00DA429F" w:rsidR="00DA7B5D">
        <w:rPr>
          <w:rFonts w:ascii="Arial" w:hAnsi="Arial" w:cs="Arial"/>
          <w:b/>
          <w:sz w:val="28"/>
          <w:szCs w:val="28"/>
        </w:rPr>
        <w:t>PROPOSED DECISION</w:t>
      </w:r>
      <w:r w:rsidRPr="00DA429F" w:rsidR="00DA7B5D">
        <w:rPr>
          <w:sz w:val="28"/>
          <w:szCs w:val="28"/>
        </w:rPr>
        <w:tab/>
      </w:r>
      <w:r w:rsidRPr="003F3C87" w:rsidR="00DA7B5D">
        <w:rPr>
          <w:b/>
        </w:rPr>
        <w:t>Agenda ID #</w:t>
      </w:r>
      <w:r w:rsidR="00DA429F">
        <w:rPr>
          <w:b/>
        </w:rPr>
        <w:t>21477 (Rev. 1)</w:t>
      </w:r>
    </w:p>
    <w:p w:rsidR="00DA7B5D" w:rsidP="00632207" w:rsidRDefault="006E04D6" w14:paraId="0823527D" w14:textId="1DA8E352">
      <w:pPr>
        <w:spacing w:line="240" w:lineRule="auto"/>
        <w:jc w:val="right"/>
        <w:rPr>
          <w:b/>
        </w:rPr>
      </w:pPr>
      <w:r w:rsidRPr="003F3C87">
        <w:rPr>
          <w:b/>
        </w:rPr>
        <w:t>Ratesetting</w:t>
      </w:r>
    </w:p>
    <w:p w:rsidRPr="003F3C87" w:rsidR="00DA429F" w:rsidP="00632207" w:rsidRDefault="00DA429F" w14:paraId="12307887" w14:textId="1CDEE964">
      <w:pPr>
        <w:spacing w:line="240" w:lineRule="auto"/>
        <w:jc w:val="right"/>
        <w:rPr>
          <w:b/>
        </w:rPr>
      </w:pPr>
      <w:r>
        <w:rPr>
          <w:b/>
        </w:rPr>
        <w:t>4/27/2023 Item #39</w:t>
      </w:r>
    </w:p>
    <w:p w:rsidRPr="003F3C87" w:rsidR="00DA7B5D" w:rsidP="008F0116" w:rsidRDefault="00DA7B5D" w14:paraId="4E20318B" w14:textId="77777777">
      <w:pPr>
        <w:ind w:firstLine="0"/>
      </w:pPr>
    </w:p>
    <w:p w:rsidRPr="003F3C87" w:rsidR="00DA7B5D" w:rsidP="0098655A" w:rsidRDefault="00DA7B5D" w14:paraId="44197AD0" w14:textId="553B0C7F">
      <w:pPr>
        <w:ind w:left="1080" w:hanging="1080"/>
      </w:pPr>
      <w:r w:rsidRPr="003F3C87">
        <w:t xml:space="preserve">Decision </w:t>
      </w:r>
      <w:r w:rsidRPr="003F3C87" w:rsidR="00D2367D">
        <w:rPr>
          <w:b/>
          <w:bCs/>
          <w:u w:val="single"/>
        </w:rPr>
        <w:t>PROPOSED DECISION OF ALJ Mutialu</w:t>
      </w:r>
      <w:r w:rsidRPr="003F3C87" w:rsidR="00D2367D">
        <w:rPr>
          <w:b/>
          <w:bCs/>
        </w:rPr>
        <w:t xml:space="preserve"> (</w:t>
      </w:r>
      <w:r w:rsidRPr="003F3C87" w:rsidR="00DA429F">
        <w:rPr>
          <w:b/>
          <w:bCs/>
        </w:rPr>
        <w:t xml:space="preserve">Mailed </w:t>
      </w:r>
      <w:r w:rsidR="00DA429F">
        <w:rPr>
          <w:b/>
          <w:bCs/>
        </w:rPr>
        <w:t>3/24/2023</w:t>
      </w:r>
      <w:r w:rsidRPr="003F3C87" w:rsidR="00DA429F">
        <w:rPr>
          <w:b/>
          <w:bCs/>
        </w:rPr>
        <w:t>)</w:t>
      </w:r>
      <w:r w:rsidRPr="003F3C87" w:rsidR="00D2367D">
        <w:rPr>
          <w:b/>
          <w:bCs/>
        </w:rPr>
        <w:t>)</w:t>
      </w:r>
    </w:p>
    <w:p w:rsidRPr="003F3C87" w:rsidR="00DA7B5D" w:rsidP="00BB0243" w:rsidRDefault="00DA7B5D" w14:paraId="208944D2" w14:textId="77777777">
      <w:pPr>
        <w:spacing w:line="240" w:lineRule="auto"/>
        <w:jc w:val="center"/>
        <w:rPr>
          <w:u w:val="single"/>
        </w:rPr>
      </w:pPr>
    </w:p>
    <w:p w:rsidRPr="003F3C87" w:rsidR="00DA7B5D" w:rsidP="00BB0243" w:rsidRDefault="00DA7B5D" w14:paraId="4D21FC2A" w14:textId="77777777">
      <w:pPr>
        <w:spacing w:line="240" w:lineRule="auto"/>
        <w:ind w:firstLine="0"/>
        <w:jc w:val="center"/>
        <w:rPr>
          <w:rFonts w:ascii="Arial" w:hAnsi="Arial" w:cs="Arial"/>
          <w:sz w:val="24"/>
          <w:szCs w:val="24"/>
        </w:rPr>
      </w:pPr>
      <w:r w:rsidRPr="003F3C87">
        <w:rPr>
          <w:rFonts w:ascii="Arial" w:hAnsi="Arial" w:cs="Arial"/>
          <w:b/>
          <w:sz w:val="24"/>
          <w:szCs w:val="24"/>
        </w:rPr>
        <w:t>BEFORE THE PUBLIC UTILITIES COMMISSION OF THE STATE OF CALIFORNIA</w:t>
      </w:r>
    </w:p>
    <w:p w:rsidRPr="003F3C87" w:rsidR="00DA7B5D" w:rsidP="008F0116" w:rsidRDefault="00DA7B5D" w14:paraId="2BD3A2DD"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Pr="003F3C87" w:rsidR="00DA7B5D" w:rsidTr="00DA7B5D" w14:paraId="44A2B2A3" w14:textId="77777777">
        <w:tc>
          <w:tcPr>
            <w:tcW w:w="4675" w:type="dxa"/>
            <w:tcBorders>
              <w:top w:val="nil"/>
              <w:left w:val="nil"/>
              <w:bottom w:val="single" w:color="auto" w:sz="4" w:space="0"/>
              <w:right w:val="single" w:color="auto" w:sz="4" w:space="0"/>
            </w:tcBorders>
          </w:tcPr>
          <w:p w:rsidRPr="003F3C87" w:rsidR="00DA7B5D" w:rsidP="00C10B5F" w:rsidRDefault="006E04D6" w14:paraId="711BB653" w14:textId="1C2343CE">
            <w:pPr>
              <w:spacing w:line="240" w:lineRule="auto"/>
              <w:ind w:firstLine="0"/>
              <w:rPr>
                <w:rFonts w:cs="Arial"/>
                <w:szCs w:val="26"/>
              </w:rPr>
            </w:pPr>
            <w:r w:rsidRPr="003F3C87">
              <w:rPr>
                <w:rFonts w:cs="Arial"/>
                <w:szCs w:val="26"/>
              </w:rPr>
              <w:t>Application of Southern California Edison Company (U 338-E) for Request for Authorization to Recover Costs Related to July 2020-December 31, 2020</w:t>
            </w:r>
            <w:r w:rsidRPr="003F3C87" w:rsidR="00BF47F1">
              <w:rPr>
                <w:rFonts w:cs="Arial"/>
                <w:szCs w:val="26"/>
              </w:rPr>
              <w:t>,</w:t>
            </w:r>
            <w:r w:rsidRPr="003F3C87">
              <w:rPr>
                <w:rFonts w:cs="Arial"/>
                <w:szCs w:val="26"/>
              </w:rPr>
              <w:t xml:space="preserve"> Wildfire Insurance Premiums Recorded in its Wildfire Expense Memorandum Account</w:t>
            </w:r>
            <w:r w:rsidRPr="003F3C87" w:rsidR="00DA7B5D">
              <w:rPr>
                <w:rFonts w:cs="Arial"/>
                <w:szCs w:val="26"/>
              </w:rPr>
              <w:br/>
            </w:r>
          </w:p>
        </w:tc>
        <w:tc>
          <w:tcPr>
            <w:tcW w:w="4675" w:type="dxa"/>
            <w:tcBorders>
              <w:top w:val="nil"/>
              <w:left w:val="single" w:color="auto" w:sz="4" w:space="0"/>
              <w:bottom w:val="nil"/>
              <w:right w:val="nil"/>
            </w:tcBorders>
            <w:vAlign w:val="center"/>
          </w:tcPr>
          <w:p w:rsidRPr="003F3C87" w:rsidR="00DA7B5D" w:rsidP="00412C83" w:rsidRDefault="006E04D6" w14:paraId="4F2E7747" w14:textId="71EE540A">
            <w:pPr>
              <w:spacing w:line="240" w:lineRule="auto"/>
              <w:ind w:firstLine="0"/>
              <w:jc w:val="center"/>
              <w:rPr>
                <w:rFonts w:cs="Arial"/>
                <w:szCs w:val="26"/>
              </w:rPr>
            </w:pPr>
            <w:r w:rsidRPr="003F3C87">
              <w:rPr>
                <w:rFonts w:cs="Arial"/>
                <w:szCs w:val="26"/>
              </w:rPr>
              <w:t>A</w:t>
            </w:r>
            <w:r w:rsidRPr="003F3C87" w:rsidR="00EC6FE5">
              <w:rPr>
                <w:rFonts w:cs="Arial"/>
                <w:szCs w:val="26"/>
              </w:rPr>
              <w:t>pplication</w:t>
            </w:r>
            <w:r w:rsidRPr="003F3C87" w:rsidR="004973B3">
              <w:rPr>
                <w:rFonts w:cs="Arial"/>
                <w:szCs w:val="26"/>
              </w:rPr>
              <w:t xml:space="preserve"> </w:t>
            </w:r>
            <w:r w:rsidRPr="003F3C87">
              <w:rPr>
                <w:rFonts w:cs="Arial"/>
                <w:szCs w:val="26"/>
              </w:rPr>
              <w:t>20-12-010</w:t>
            </w:r>
          </w:p>
        </w:tc>
      </w:tr>
    </w:tbl>
    <w:p w:rsidRPr="003F3C87" w:rsidR="00DA7B5D" w:rsidP="008F0116" w:rsidRDefault="00DA7B5D" w14:paraId="30ABFADF" w14:textId="77777777">
      <w:pPr>
        <w:spacing w:line="240" w:lineRule="auto"/>
        <w:ind w:firstLine="0"/>
        <w:rPr>
          <w:rFonts w:ascii="Arial" w:hAnsi="Arial" w:cs="Arial"/>
          <w:sz w:val="24"/>
          <w:szCs w:val="24"/>
        </w:rPr>
      </w:pPr>
    </w:p>
    <w:p w:rsidRPr="003F3C87" w:rsidR="00DA7B5D" w:rsidP="008F0116" w:rsidRDefault="00DA7B5D" w14:paraId="50C406D1" w14:textId="77777777">
      <w:pPr>
        <w:spacing w:line="240" w:lineRule="auto"/>
        <w:ind w:firstLine="0"/>
        <w:rPr>
          <w:rFonts w:ascii="Arial" w:hAnsi="Arial" w:cs="Arial"/>
          <w:sz w:val="24"/>
          <w:szCs w:val="24"/>
        </w:rPr>
      </w:pPr>
    </w:p>
    <w:p w:rsidRPr="003F3C87" w:rsidR="006F6525" w:rsidP="009B6C3E" w:rsidRDefault="006F6525" w14:paraId="0B46568C" w14:textId="77777777">
      <w:pPr>
        <w:pStyle w:val="Dummy"/>
        <w:jc w:val="center"/>
        <w:sectPr w:rsidRPr="003F3C87" w:rsidR="006F6525" w:rsidSect="006F6525">
          <w:headerReference w:type="default" r:id="rId11"/>
          <w:footerReference w:type="default" r:id="rId12"/>
          <w:pgSz w:w="12240" w:h="15840"/>
          <w:pgMar w:top="1440" w:right="1440" w:bottom="1440" w:left="1440" w:header="720" w:footer="720" w:gutter="0"/>
          <w:pgNumType w:start="1"/>
          <w:cols w:space="720"/>
          <w:docGrid w:linePitch="360"/>
        </w:sectPr>
      </w:pPr>
      <w:bookmarkStart w:name="_Toc12866682" w:id="0"/>
    </w:p>
    <w:p w:rsidRPr="003F3C87" w:rsidR="00A152A2" w:rsidP="00591B23" w:rsidRDefault="00565810" w14:paraId="5A062E5E" w14:textId="77777777">
      <w:pPr>
        <w:pStyle w:val="Dummy"/>
        <w:spacing w:after="240"/>
        <w:jc w:val="center"/>
      </w:pPr>
      <w:bookmarkStart w:name="_Toc126071035" w:id="1"/>
      <w:bookmarkEnd w:id="0"/>
      <w:r w:rsidRPr="003F3C87">
        <w:t>DECISION AUTHORIZING SOUTHERN CALIFORNIA EDISON TO RECOVER SPECIFIC INSURANCE COSTS RECORDED IN ITS WILDFIRE EXPENSE MEMORANDUM ACCOUNT</w:t>
      </w:r>
      <w:bookmarkEnd w:id="1"/>
    </w:p>
    <w:p w:rsidRPr="003F3C87" w:rsidR="00A152A2" w:rsidP="00A152A2" w:rsidRDefault="00A152A2" w14:paraId="060058AB" w14:textId="77777777"/>
    <w:p w:rsidRPr="003F3C87" w:rsidR="00A152A2" w:rsidP="00A152A2" w:rsidRDefault="00A152A2" w14:paraId="054B3C46" w14:textId="3A2DB187">
      <w:pPr>
        <w:sectPr w:rsidRPr="003F3C87" w:rsidR="00A152A2" w:rsidSect="006F6525">
          <w:headerReference w:type="default" r:id="rId13"/>
          <w:footerReference w:type="default" r:id="rId14"/>
          <w:type w:val="continuous"/>
          <w:pgSz w:w="12240" w:h="15840"/>
          <w:pgMar w:top="1728" w:right="1440" w:bottom="1440" w:left="1440" w:header="720" w:footer="720" w:gutter="0"/>
          <w:cols w:space="720"/>
          <w:titlePg/>
          <w:docGrid w:linePitch="360"/>
        </w:sectPr>
      </w:pPr>
    </w:p>
    <w:p w:rsidRPr="003F3C87" w:rsidR="00A152A2" w:rsidP="00A152A2" w:rsidRDefault="00A152A2" w14:paraId="29C1ADE8" w14:textId="77777777">
      <w:pPr>
        <w:pStyle w:val="Main"/>
        <w:rPr>
          <w:rFonts w:ascii="Book Antiqua" w:hAnsi="Book Antiqua"/>
        </w:rPr>
      </w:pPr>
      <w:r w:rsidRPr="003F3C87">
        <w:rPr>
          <w:rFonts w:ascii="Book Antiqua" w:hAnsi="Book Antiqua"/>
        </w:rPr>
        <w:lastRenderedPageBreak/>
        <w:t>TABLE OF CONTENTS</w:t>
      </w:r>
    </w:p>
    <w:p w:rsidRPr="003F3C87" w:rsidR="00A152A2" w:rsidP="00A152A2" w:rsidRDefault="00A152A2" w14:paraId="063964B1" w14:textId="77777777">
      <w:pPr>
        <w:tabs>
          <w:tab w:val="right" w:pos="9360"/>
        </w:tabs>
        <w:ind w:firstLine="0"/>
      </w:pPr>
      <w:r w:rsidRPr="003F3C87">
        <w:rPr>
          <w:b/>
        </w:rPr>
        <w:t>Title</w:t>
      </w:r>
      <w:r w:rsidRPr="003F3C87">
        <w:tab/>
      </w:r>
      <w:r w:rsidRPr="003F3C87">
        <w:rPr>
          <w:b/>
        </w:rPr>
        <w:t>Page</w:t>
      </w:r>
    </w:p>
    <w:sdt>
      <w:sdtPr>
        <w:id w:val="-1224440197"/>
        <w:docPartObj>
          <w:docPartGallery w:val="Table of Contents"/>
          <w:docPartUnique/>
        </w:docPartObj>
      </w:sdtPr>
      <w:sdtEndPr>
        <w:rPr>
          <w:b/>
          <w:bCs/>
          <w:noProof/>
        </w:rPr>
      </w:sdtEndPr>
      <w:sdtContent>
        <w:p w:rsidRPr="003F3C87" w:rsidR="00A152A2" w:rsidRDefault="00A152A2" w14:paraId="13DD5176" w14:textId="0B8775C6">
          <w:pPr>
            <w:pStyle w:val="TOC1"/>
            <w:tabs>
              <w:tab w:val="right" w:leader="dot" w:pos="9350"/>
            </w:tabs>
            <w:rPr>
              <w:rFonts w:asciiTheme="minorHAnsi" w:hAnsiTheme="minorHAnsi" w:cstheme="minorBidi"/>
              <w:noProof/>
              <w:sz w:val="22"/>
            </w:rPr>
          </w:pPr>
          <w:r w:rsidRPr="003F3C87">
            <w:rPr>
              <w:rFonts w:asciiTheme="minorHAnsi" w:hAnsiTheme="minorHAnsi"/>
              <w:sz w:val="22"/>
            </w:rPr>
            <w:fldChar w:fldCharType="begin"/>
          </w:r>
          <w:r w:rsidRPr="003F3C87">
            <w:rPr>
              <w:rFonts w:asciiTheme="minorHAnsi" w:hAnsiTheme="minorHAnsi"/>
              <w:sz w:val="22"/>
            </w:rPr>
            <w:instrText xml:space="preserve"> TOC \o "1-4" \h \z \u </w:instrText>
          </w:r>
          <w:r w:rsidRPr="003F3C87">
            <w:rPr>
              <w:rFonts w:asciiTheme="minorHAnsi" w:hAnsiTheme="minorHAnsi"/>
              <w:sz w:val="22"/>
            </w:rPr>
            <w:fldChar w:fldCharType="separate"/>
          </w:r>
          <w:hyperlink w:history="1" w:anchor="_Toc126071035">
            <w:r w:rsidRPr="003F3C87">
              <w:rPr>
                <w:rStyle w:val="Hyperlink"/>
                <w:noProof/>
              </w:rPr>
              <w:t>DECISION AUTHORIZING SOUTHERN CALIFORNIA EDISON TO RECOVER SPECIFIC INSURANCE COSTS RECORDED IN ITS WILDFIRE EXPENSE MEMORANDUM ACCOUNT</w:t>
            </w:r>
            <w:r w:rsidRPr="003F3C87">
              <w:rPr>
                <w:noProof/>
                <w:webHidden/>
              </w:rPr>
              <w:tab/>
            </w:r>
            <w:r w:rsidRPr="003F3C87">
              <w:rPr>
                <w:noProof/>
                <w:webHidden/>
              </w:rPr>
              <w:fldChar w:fldCharType="begin"/>
            </w:r>
            <w:r w:rsidRPr="003F3C87">
              <w:rPr>
                <w:noProof/>
                <w:webHidden/>
              </w:rPr>
              <w:instrText xml:space="preserve"> PAGEREF _Toc126071035 \h </w:instrText>
            </w:r>
            <w:r w:rsidRPr="003F3C87">
              <w:rPr>
                <w:noProof/>
                <w:webHidden/>
              </w:rPr>
            </w:r>
            <w:r w:rsidRPr="003F3C87">
              <w:rPr>
                <w:noProof/>
                <w:webHidden/>
              </w:rPr>
              <w:fldChar w:fldCharType="separate"/>
            </w:r>
            <w:r w:rsidR="00101320">
              <w:rPr>
                <w:noProof/>
                <w:webHidden/>
              </w:rPr>
              <w:t>1</w:t>
            </w:r>
            <w:r w:rsidRPr="003F3C87">
              <w:rPr>
                <w:noProof/>
                <w:webHidden/>
              </w:rPr>
              <w:fldChar w:fldCharType="end"/>
            </w:r>
          </w:hyperlink>
        </w:p>
        <w:p w:rsidRPr="003F3C87" w:rsidR="00A152A2" w:rsidRDefault="00000000" w14:paraId="66691BCF" w14:textId="2E2B9217">
          <w:pPr>
            <w:pStyle w:val="TOC1"/>
            <w:tabs>
              <w:tab w:val="right" w:leader="dot" w:pos="9350"/>
            </w:tabs>
            <w:rPr>
              <w:rFonts w:asciiTheme="minorHAnsi" w:hAnsiTheme="minorHAnsi" w:cstheme="minorBidi"/>
              <w:noProof/>
              <w:sz w:val="22"/>
            </w:rPr>
          </w:pPr>
          <w:hyperlink w:history="1" w:anchor="_Toc126071037">
            <w:r w:rsidRPr="003F3C87" w:rsidR="00A152A2">
              <w:rPr>
                <w:rStyle w:val="Hyperlink"/>
                <w:noProof/>
              </w:rPr>
              <w:t>Summary</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_Toc126071037 \h </w:instrText>
            </w:r>
            <w:r w:rsidRPr="003F3C87" w:rsidR="00A152A2">
              <w:rPr>
                <w:noProof/>
                <w:webHidden/>
              </w:rPr>
            </w:r>
            <w:r w:rsidRPr="003F3C87" w:rsidR="00A152A2">
              <w:rPr>
                <w:noProof/>
                <w:webHidden/>
              </w:rPr>
              <w:fldChar w:fldCharType="separate"/>
            </w:r>
            <w:r w:rsidR="00101320">
              <w:rPr>
                <w:noProof/>
                <w:webHidden/>
              </w:rPr>
              <w:t>2</w:t>
            </w:r>
            <w:r w:rsidRPr="003F3C87" w:rsidR="00A152A2">
              <w:rPr>
                <w:noProof/>
                <w:webHidden/>
              </w:rPr>
              <w:fldChar w:fldCharType="end"/>
            </w:r>
          </w:hyperlink>
        </w:p>
        <w:p w:rsidRPr="003F3C87" w:rsidR="00A152A2" w:rsidRDefault="00000000" w14:paraId="695CBBF9" w14:textId="31704E8E">
          <w:pPr>
            <w:pStyle w:val="TOC1"/>
            <w:tabs>
              <w:tab w:val="right" w:leader="dot" w:pos="9350"/>
            </w:tabs>
            <w:rPr>
              <w:rFonts w:asciiTheme="minorHAnsi" w:hAnsiTheme="minorHAnsi" w:cstheme="minorBidi"/>
              <w:noProof/>
              <w:sz w:val="22"/>
            </w:rPr>
          </w:pPr>
          <w:hyperlink w:history="1" w:anchor="_Toc126071038">
            <w:r w:rsidRPr="003F3C87" w:rsidR="00A152A2">
              <w:rPr>
                <w:rStyle w:val="Hyperlink"/>
                <w:noProof/>
              </w:rPr>
              <w:t>1.</w:t>
            </w:r>
            <w:r w:rsidRPr="003F3C87" w:rsidR="00A152A2">
              <w:rPr>
                <w:rFonts w:asciiTheme="minorHAnsi" w:hAnsiTheme="minorHAnsi" w:cstheme="minorBidi"/>
                <w:noProof/>
                <w:sz w:val="22"/>
              </w:rPr>
              <w:tab/>
            </w:r>
            <w:r w:rsidRPr="003F3C87" w:rsidR="00A152A2">
              <w:rPr>
                <w:rStyle w:val="Hyperlink"/>
                <w:noProof/>
              </w:rPr>
              <w:t>Background</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_Toc126071038 \h </w:instrText>
            </w:r>
            <w:r w:rsidRPr="003F3C87" w:rsidR="00A152A2">
              <w:rPr>
                <w:noProof/>
                <w:webHidden/>
              </w:rPr>
            </w:r>
            <w:r w:rsidRPr="003F3C87" w:rsidR="00A152A2">
              <w:rPr>
                <w:noProof/>
                <w:webHidden/>
              </w:rPr>
              <w:fldChar w:fldCharType="separate"/>
            </w:r>
            <w:r w:rsidR="00101320">
              <w:rPr>
                <w:noProof/>
                <w:webHidden/>
              </w:rPr>
              <w:t>2</w:t>
            </w:r>
            <w:r w:rsidRPr="003F3C87" w:rsidR="00A152A2">
              <w:rPr>
                <w:noProof/>
                <w:webHidden/>
              </w:rPr>
              <w:fldChar w:fldCharType="end"/>
            </w:r>
          </w:hyperlink>
        </w:p>
        <w:p w:rsidRPr="003F3C87" w:rsidR="00A152A2" w:rsidRDefault="00000000" w14:paraId="25A42F41" w14:textId="7520B746">
          <w:pPr>
            <w:pStyle w:val="TOC2"/>
            <w:tabs>
              <w:tab w:val="right" w:leader="dot" w:pos="9350"/>
            </w:tabs>
            <w:rPr>
              <w:rFonts w:asciiTheme="minorHAnsi" w:hAnsiTheme="minorHAnsi" w:cstheme="minorBidi"/>
              <w:noProof/>
              <w:sz w:val="22"/>
            </w:rPr>
          </w:pPr>
          <w:hyperlink w:history="1" w:anchor="_Toc126071039">
            <w:r w:rsidRPr="003F3C87" w:rsidR="00A152A2">
              <w:rPr>
                <w:rStyle w:val="Hyperlink"/>
                <w:noProof/>
              </w:rPr>
              <w:t>1.1.</w:t>
            </w:r>
            <w:r w:rsidRPr="003F3C87" w:rsidR="00A152A2">
              <w:rPr>
                <w:rFonts w:asciiTheme="minorHAnsi" w:hAnsiTheme="minorHAnsi" w:cstheme="minorBidi"/>
                <w:noProof/>
                <w:sz w:val="22"/>
              </w:rPr>
              <w:tab/>
            </w:r>
            <w:r w:rsidRPr="003F3C87" w:rsidR="00A152A2">
              <w:rPr>
                <w:rStyle w:val="Hyperlink"/>
                <w:noProof/>
              </w:rPr>
              <w:t>Factual Background</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_Toc126071039 \h </w:instrText>
            </w:r>
            <w:r w:rsidRPr="003F3C87" w:rsidR="00A152A2">
              <w:rPr>
                <w:noProof/>
                <w:webHidden/>
              </w:rPr>
            </w:r>
            <w:r w:rsidRPr="003F3C87" w:rsidR="00A152A2">
              <w:rPr>
                <w:noProof/>
                <w:webHidden/>
              </w:rPr>
              <w:fldChar w:fldCharType="separate"/>
            </w:r>
            <w:r w:rsidR="00101320">
              <w:rPr>
                <w:noProof/>
                <w:webHidden/>
              </w:rPr>
              <w:t>2</w:t>
            </w:r>
            <w:r w:rsidRPr="003F3C87" w:rsidR="00A152A2">
              <w:rPr>
                <w:noProof/>
                <w:webHidden/>
              </w:rPr>
              <w:fldChar w:fldCharType="end"/>
            </w:r>
          </w:hyperlink>
        </w:p>
        <w:p w:rsidRPr="003F3C87" w:rsidR="00A152A2" w:rsidRDefault="00000000" w14:paraId="26B58464" w14:textId="6CDBDB06">
          <w:pPr>
            <w:pStyle w:val="TOC2"/>
            <w:tabs>
              <w:tab w:val="right" w:leader="dot" w:pos="9350"/>
            </w:tabs>
            <w:rPr>
              <w:rFonts w:asciiTheme="minorHAnsi" w:hAnsiTheme="minorHAnsi" w:cstheme="minorBidi"/>
              <w:noProof/>
              <w:sz w:val="22"/>
            </w:rPr>
          </w:pPr>
          <w:hyperlink w:history="1" w:anchor="_Toc126071040">
            <w:r w:rsidRPr="003F3C87" w:rsidR="00A152A2">
              <w:rPr>
                <w:rStyle w:val="Hyperlink"/>
                <w:noProof/>
              </w:rPr>
              <w:t>1.2.</w:t>
            </w:r>
            <w:r w:rsidRPr="003F3C87" w:rsidR="00A152A2">
              <w:rPr>
                <w:rFonts w:asciiTheme="minorHAnsi" w:hAnsiTheme="minorHAnsi" w:cstheme="minorBidi"/>
                <w:noProof/>
                <w:sz w:val="22"/>
              </w:rPr>
              <w:tab/>
            </w:r>
            <w:r w:rsidRPr="003F3C87" w:rsidR="00A152A2">
              <w:rPr>
                <w:rStyle w:val="Hyperlink"/>
                <w:noProof/>
              </w:rPr>
              <w:t>Procedural Background</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_Toc126071040 \h </w:instrText>
            </w:r>
            <w:r w:rsidRPr="003F3C87" w:rsidR="00A152A2">
              <w:rPr>
                <w:noProof/>
                <w:webHidden/>
              </w:rPr>
            </w:r>
            <w:r w:rsidRPr="003F3C87" w:rsidR="00A152A2">
              <w:rPr>
                <w:noProof/>
                <w:webHidden/>
              </w:rPr>
              <w:fldChar w:fldCharType="separate"/>
            </w:r>
            <w:r w:rsidR="00101320">
              <w:rPr>
                <w:noProof/>
                <w:webHidden/>
              </w:rPr>
              <w:t>4</w:t>
            </w:r>
            <w:r w:rsidRPr="003F3C87" w:rsidR="00A152A2">
              <w:rPr>
                <w:noProof/>
                <w:webHidden/>
              </w:rPr>
              <w:fldChar w:fldCharType="end"/>
            </w:r>
          </w:hyperlink>
        </w:p>
        <w:p w:rsidRPr="003F3C87" w:rsidR="00A152A2" w:rsidRDefault="00000000" w14:paraId="1CA4B783" w14:textId="496E66FF">
          <w:pPr>
            <w:pStyle w:val="TOC1"/>
            <w:tabs>
              <w:tab w:val="right" w:leader="dot" w:pos="9350"/>
            </w:tabs>
            <w:rPr>
              <w:rFonts w:asciiTheme="minorHAnsi" w:hAnsiTheme="minorHAnsi" w:cstheme="minorBidi"/>
              <w:noProof/>
              <w:sz w:val="22"/>
            </w:rPr>
          </w:pPr>
          <w:hyperlink w:history="1" w:anchor="_Toc126071041">
            <w:r w:rsidRPr="003F3C87" w:rsidR="00A152A2">
              <w:rPr>
                <w:rStyle w:val="Hyperlink"/>
                <w:noProof/>
              </w:rPr>
              <w:t>2.</w:t>
            </w:r>
            <w:r w:rsidRPr="003F3C87" w:rsidR="00A152A2">
              <w:rPr>
                <w:rFonts w:asciiTheme="minorHAnsi" w:hAnsiTheme="minorHAnsi" w:cstheme="minorBidi"/>
                <w:noProof/>
                <w:sz w:val="22"/>
              </w:rPr>
              <w:tab/>
            </w:r>
            <w:r w:rsidRPr="003F3C87" w:rsidR="00A152A2">
              <w:rPr>
                <w:rStyle w:val="Hyperlink"/>
                <w:noProof/>
              </w:rPr>
              <w:t>Issues Before the Commission</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_Toc126071041 \h </w:instrText>
            </w:r>
            <w:r w:rsidRPr="003F3C87" w:rsidR="00A152A2">
              <w:rPr>
                <w:noProof/>
                <w:webHidden/>
              </w:rPr>
            </w:r>
            <w:r w:rsidRPr="003F3C87" w:rsidR="00A152A2">
              <w:rPr>
                <w:noProof/>
                <w:webHidden/>
              </w:rPr>
              <w:fldChar w:fldCharType="separate"/>
            </w:r>
            <w:r w:rsidR="00101320">
              <w:rPr>
                <w:noProof/>
                <w:webHidden/>
              </w:rPr>
              <w:t>10</w:t>
            </w:r>
            <w:r w:rsidRPr="003F3C87" w:rsidR="00A152A2">
              <w:rPr>
                <w:noProof/>
                <w:webHidden/>
              </w:rPr>
              <w:fldChar w:fldCharType="end"/>
            </w:r>
          </w:hyperlink>
        </w:p>
        <w:p w:rsidRPr="003F3C87" w:rsidR="00A152A2" w:rsidRDefault="00000000" w14:paraId="7620E57E" w14:textId="2B721B2E">
          <w:pPr>
            <w:pStyle w:val="TOC1"/>
            <w:tabs>
              <w:tab w:val="right" w:leader="dot" w:pos="9350"/>
            </w:tabs>
            <w:rPr>
              <w:rFonts w:asciiTheme="minorHAnsi" w:hAnsiTheme="minorHAnsi" w:cstheme="minorBidi"/>
              <w:noProof/>
              <w:sz w:val="22"/>
            </w:rPr>
          </w:pPr>
          <w:hyperlink w:history="1" w:anchor="_Toc126071042">
            <w:r w:rsidRPr="003F3C87" w:rsidR="00A152A2">
              <w:rPr>
                <w:rStyle w:val="Hyperlink"/>
                <w:noProof/>
              </w:rPr>
              <w:t>3.</w:t>
            </w:r>
            <w:r w:rsidRPr="003F3C87" w:rsidR="00A152A2">
              <w:rPr>
                <w:rFonts w:asciiTheme="minorHAnsi" w:hAnsiTheme="minorHAnsi" w:cstheme="minorBidi"/>
                <w:noProof/>
                <w:sz w:val="22"/>
              </w:rPr>
              <w:tab/>
            </w:r>
            <w:r w:rsidRPr="003F3C87" w:rsidR="00A152A2">
              <w:rPr>
                <w:rStyle w:val="Hyperlink"/>
                <w:noProof/>
              </w:rPr>
              <w:t>Incrementality of 2020 WEMA Costs</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_Toc126071042 \h </w:instrText>
            </w:r>
            <w:r w:rsidRPr="003F3C87" w:rsidR="00A152A2">
              <w:rPr>
                <w:noProof/>
                <w:webHidden/>
              </w:rPr>
            </w:r>
            <w:r w:rsidRPr="003F3C87" w:rsidR="00A152A2">
              <w:rPr>
                <w:noProof/>
                <w:webHidden/>
              </w:rPr>
              <w:fldChar w:fldCharType="separate"/>
            </w:r>
            <w:r w:rsidR="00101320">
              <w:rPr>
                <w:noProof/>
                <w:webHidden/>
              </w:rPr>
              <w:t>11</w:t>
            </w:r>
            <w:r w:rsidRPr="003F3C87" w:rsidR="00A152A2">
              <w:rPr>
                <w:noProof/>
                <w:webHidden/>
              </w:rPr>
              <w:fldChar w:fldCharType="end"/>
            </w:r>
          </w:hyperlink>
        </w:p>
        <w:p w:rsidRPr="003F3C87" w:rsidR="00A152A2" w:rsidRDefault="00000000" w14:paraId="671108DC" w14:textId="538985AE">
          <w:pPr>
            <w:pStyle w:val="TOC1"/>
            <w:tabs>
              <w:tab w:val="right" w:leader="dot" w:pos="9350"/>
            </w:tabs>
            <w:rPr>
              <w:rFonts w:asciiTheme="minorHAnsi" w:hAnsiTheme="minorHAnsi" w:cstheme="minorBidi"/>
              <w:noProof/>
              <w:sz w:val="22"/>
            </w:rPr>
          </w:pPr>
          <w:hyperlink w:history="1" w:anchor="_Toc126071043">
            <w:r w:rsidRPr="003F3C87" w:rsidR="00A152A2">
              <w:rPr>
                <w:rStyle w:val="Hyperlink"/>
                <w:noProof/>
              </w:rPr>
              <w:t>4.</w:t>
            </w:r>
            <w:r w:rsidRPr="003F3C87" w:rsidR="00A152A2">
              <w:rPr>
                <w:rFonts w:asciiTheme="minorHAnsi" w:hAnsiTheme="minorHAnsi" w:cstheme="minorBidi"/>
                <w:noProof/>
                <w:sz w:val="22"/>
              </w:rPr>
              <w:tab/>
            </w:r>
            <w:r w:rsidRPr="003F3C87" w:rsidR="00A152A2">
              <w:rPr>
                <w:rStyle w:val="Hyperlink"/>
                <w:noProof/>
              </w:rPr>
              <w:t>Reasonableness of 2020 WEMA Costs and Cost Allocation</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_Toc126071043 \h </w:instrText>
            </w:r>
            <w:r w:rsidRPr="003F3C87" w:rsidR="00A152A2">
              <w:rPr>
                <w:noProof/>
                <w:webHidden/>
              </w:rPr>
            </w:r>
            <w:r w:rsidRPr="003F3C87" w:rsidR="00A152A2">
              <w:rPr>
                <w:noProof/>
                <w:webHidden/>
              </w:rPr>
              <w:fldChar w:fldCharType="separate"/>
            </w:r>
            <w:r w:rsidR="00101320">
              <w:rPr>
                <w:noProof/>
                <w:webHidden/>
              </w:rPr>
              <w:t>12</w:t>
            </w:r>
            <w:r w:rsidRPr="003F3C87" w:rsidR="00A152A2">
              <w:rPr>
                <w:noProof/>
                <w:webHidden/>
              </w:rPr>
              <w:fldChar w:fldCharType="end"/>
            </w:r>
          </w:hyperlink>
        </w:p>
        <w:p w:rsidRPr="003F3C87" w:rsidR="00A152A2" w:rsidRDefault="00000000" w14:paraId="138DC3F4" w14:textId="5DDA5979">
          <w:pPr>
            <w:pStyle w:val="TOC2"/>
            <w:tabs>
              <w:tab w:val="right" w:leader="dot" w:pos="9350"/>
            </w:tabs>
            <w:rPr>
              <w:rFonts w:asciiTheme="minorHAnsi" w:hAnsiTheme="minorHAnsi" w:cstheme="minorBidi"/>
              <w:noProof/>
              <w:sz w:val="22"/>
            </w:rPr>
          </w:pPr>
          <w:hyperlink w:history="1" w:anchor="_Toc126071044">
            <w:r w:rsidRPr="003F3C87" w:rsidR="00A152A2">
              <w:rPr>
                <w:rStyle w:val="Hyperlink"/>
                <w:noProof/>
              </w:rPr>
              <w:t>4.1.</w:t>
            </w:r>
            <w:r w:rsidRPr="003F3C87" w:rsidR="00A152A2">
              <w:rPr>
                <w:rFonts w:asciiTheme="minorHAnsi" w:hAnsiTheme="minorHAnsi" w:cstheme="minorBidi"/>
                <w:noProof/>
                <w:sz w:val="22"/>
              </w:rPr>
              <w:tab/>
            </w:r>
            <w:r w:rsidRPr="003F3C87" w:rsidR="00A152A2">
              <w:rPr>
                <w:rStyle w:val="Hyperlink"/>
                <w:noProof/>
              </w:rPr>
              <w:t xml:space="preserve">Reasonableness of June 2020-December 2020 SCE Wildfire </w:t>
            </w:r>
            <w:r w:rsidRPr="003F3C87" w:rsidR="00A152A2">
              <w:rPr>
                <w:rStyle w:val="Hyperlink"/>
                <w:noProof/>
              </w:rPr>
              <w:br/>
              <w:t>Insurance Premium Costs</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_Toc126071044 \h </w:instrText>
            </w:r>
            <w:r w:rsidRPr="003F3C87" w:rsidR="00A152A2">
              <w:rPr>
                <w:noProof/>
                <w:webHidden/>
              </w:rPr>
            </w:r>
            <w:r w:rsidRPr="003F3C87" w:rsidR="00A152A2">
              <w:rPr>
                <w:noProof/>
                <w:webHidden/>
              </w:rPr>
              <w:fldChar w:fldCharType="separate"/>
            </w:r>
            <w:r w:rsidR="00101320">
              <w:rPr>
                <w:noProof/>
                <w:webHidden/>
              </w:rPr>
              <w:t>12</w:t>
            </w:r>
            <w:r w:rsidRPr="003F3C87" w:rsidR="00A152A2">
              <w:rPr>
                <w:noProof/>
                <w:webHidden/>
              </w:rPr>
              <w:fldChar w:fldCharType="end"/>
            </w:r>
          </w:hyperlink>
        </w:p>
        <w:p w:rsidRPr="003F3C87" w:rsidR="00A152A2" w:rsidRDefault="00000000" w14:paraId="40A32DEC" w14:textId="1CA75B10">
          <w:pPr>
            <w:pStyle w:val="TOC2"/>
            <w:tabs>
              <w:tab w:val="right" w:leader="dot" w:pos="9350"/>
            </w:tabs>
            <w:rPr>
              <w:rFonts w:asciiTheme="minorHAnsi" w:hAnsiTheme="minorHAnsi" w:cstheme="minorBidi"/>
              <w:noProof/>
              <w:sz w:val="22"/>
            </w:rPr>
          </w:pPr>
          <w:hyperlink w:history="1" w:anchor="_Toc126071045">
            <w:r w:rsidRPr="003F3C87" w:rsidR="00A152A2">
              <w:rPr>
                <w:rStyle w:val="Hyperlink"/>
                <w:noProof/>
              </w:rPr>
              <w:t>4.2.</w:t>
            </w:r>
            <w:r w:rsidRPr="003F3C87" w:rsidR="00A152A2">
              <w:rPr>
                <w:rFonts w:asciiTheme="minorHAnsi" w:hAnsiTheme="minorHAnsi" w:cstheme="minorBidi"/>
                <w:noProof/>
                <w:sz w:val="22"/>
              </w:rPr>
              <w:tab/>
            </w:r>
            <w:r w:rsidRPr="003F3C87" w:rsidR="00A152A2">
              <w:rPr>
                <w:rStyle w:val="Hyperlink"/>
                <w:noProof/>
              </w:rPr>
              <w:t xml:space="preserve">Reasonableness of SONGS Wildfire Insurance Premium </w:t>
            </w:r>
            <w:r w:rsidRPr="003F3C87" w:rsidR="00A152A2">
              <w:rPr>
                <w:rStyle w:val="Hyperlink"/>
                <w:noProof/>
              </w:rPr>
              <w:br/>
              <w:t>Costs and Cost Allocation</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_Toc126071045 \h </w:instrText>
            </w:r>
            <w:r w:rsidRPr="003F3C87" w:rsidR="00A152A2">
              <w:rPr>
                <w:noProof/>
                <w:webHidden/>
              </w:rPr>
            </w:r>
            <w:r w:rsidRPr="003F3C87" w:rsidR="00A152A2">
              <w:rPr>
                <w:noProof/>
                <w:webHidden/>
              </w:rPr>
              <w:fldChar w:fldCharType="separate"/>
            </w:r>
            <w:r w:rsidR="00101320">
              <w:rPr>
                <w:noProof/>
                <w:webHidden/>
              </w:rPr>
              <w:t>14</w:t>
            </w:r>
            <w:r w:rsidRPr="003F3C87" w:rsidR="00A152A2">
              <w:rPr>
                <w:noProof/>
                <w:webHidden/>
              </w:rPr>
              <w:fldChar w:fldCharType="end"/>
            </w:r>
          </w:hyperlink>
        </w:p>
        <w:p w:rsidRPr="003F3C87" w:rsidR="00A152A2" w:rsidRDefault="00000000" w14:paraId="4F259F1C" w14:textId="5B5D4210">
          <w:pPr>
            <w:pStyle w:val="TOC1"/>
            <w:tabs>
              <w:tab w:val="right" w:leader="dot" w:pos="9350"/>
            </w:tabs>
            <w:rPr>
              <w:rFonts w:asciiTheme="minorHAnsi" w:hAnsiTheme="minorHAnsi" w:cstheme="minorBidi"/>
              <w:noProof/>
              <w:sz w:val="22"/>
            </w:rPr>
          </w:pPr>
          <w:hyperlink w:history="1" w:anchor="_Toc126071046">
            <w:r w:rsidRPr="003F3C87" w:rsidR="00A152A2">
              <w:rPr>
                <w:rStyle w:val="Hyperlink"/>
                <w:noProof/>
              </w:rPr>
              <w:t>5.</w:t>
            </w:r>
            <w:r w:rsidRPr="003F3C87" w:rsidR="00A152A2">
              <w:rPr>
                <w:rFonts w:asciiTheme="minorHAnsi" w:hAnsiTheme="minorHAnsi" w:cstheme="minorBidi"/>
                <w:noProof/>
                <w:sz w:val="22"/>
              </w:rPr>
              <w:tab/>
            </w:r>
            <w:r w:rsidRPr="003F3C87" w:rsidR="00A152A2">
              <w:rPr>
                <w:rStyle w:val="Hyperlink"/>
                <w:noProof/>
              </w:rPr>
              <w:t>Consistency with AB 1054</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_Toc126071046 \h </w:instrText>
            </w:r>
            <w:r w:rsidRPr="003F3C87" w:rsidR="00A152A2">
              <w:rPr>
                <w:noProof/>
                <w:webHidden/>
              </w:rPr>
            </w:r>
            <w:r w:rsidRPr="003F3C87" w:rsidR="00A152A2">
              <w:rPr>
                <w:noProof/>
                <w:webHidden/>
              </w:rPr>
              <w:fldChar w:fldCharType="separate"/>
            </w:r>
            <w:r w:rsidR="00101320">
              <w:rPr>
                <w:noProof/>
                <w:webHidden/>
              </w:rPr>
              <w:t>20</w:t>
            </w:r>
            <w:r w:rsidRPr="003F3C87" w:rsidR="00A152A2">
              <w:rPr>
                <w:noProof/>
                <w:webHidden/>
              </w:rPr>
              <w:fldChar w:fldCharType="end"/>
            </w:r>
          </w:hyperlink>
        </w:p>
        <w:p w:rsidRPr="003F3C87" w:rsidR="00A152A2" w:rsidRDefault="00000000" w14:paraId="7155CFFB" w14:textId="23BC4412">
          <w:pPr>
            <w:pStyle w:val="TOC1"/>
            <w:tabs>
              <w:tab w:val="right" w:leader="dot" w:pos="9350"/>
            </w:tabs>
            <w:rPr>
              <w:rFonts w:asciiTheme="minorHAnsi" w:hAnsiTheme="minorHAnsi" w:cstheme="minorBidi"/>
              <w:noProof/>
              <w:sz w:val="22"/>
            </w:rPr>
          </w:pPr>
          <w:hyperlink w:history="1" w:anchor="_Toc126071047">
            <w:r w:rsidRPr="003F3C87" w:rsidR="00A152A2">
              <w:rPr>
                <w:rStyle w:val="Hyperlink"/>
                <w:noProof/>
              </w:rPr>
              <w:t>6.</w:t>
            </w:r>
            <w:r w:rsidRPr="003F3C87" w:rsidR="00A152A2">
              <w:rPr>
                <w:rFonts w:asciiTheme="minorHAnsi" w:hAnsiTheme="minorHAnsi" w:cstheme="minorBidi"/>
                <w:noProof/>
                <w:sz w:val="22"/>
              </w:rPr>
              <w:tab/>
            </w:r>
            <w:r w:rsidRPr="003F3C87" w:rsidR="00A152A2">
              <w:rPr>
                <w:rStyle w:val="Hyperlink"/>
                <w:noProof/>
              </w:rPr>
              <w:t>Ratepayer Impacts</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_Toc126071047 \h </w:instrText>
            </w:r>
            <w:r w:rsidRPr="003F3C87" w:rsidR="00A152A2">
              <w:rPr>
                <w:noProof/>
                <w:webHidden/>
              </w:rPr>
            </w:r>
            <w:r w:rsidRPr="003F3C87" w:rsidR="00A152A2">
              <w:rPr>
                <w:noProof/>
                <w:webHidden/>
              </w:rPr>
              <w:fldChar w:fldCharType="separate"/>
            </w:r>
            <w:r w:rsidR="00101320">
              <w:rPr>
                <w:noProof/>
                <w:webHidden/>
              </w:rPr>
              <w:t>21</w:t>
            </w:r>
            <w:r w:rsidRPr="003F3C87" w:rsidR="00A152A2">
              <w:rPr>
                <w:noProof/>
                <w:webHidden/>
              </w:rPr>
              <w:fldChar w:fldCharType="end"/>
            </w:r>
          </w:hyperlink>
        </w:p>
        <w:p w:rsidRPr="003F3C87" w:rsidR="00A152A2" w:rsidRDefault="00000000" w14:paraId="0418D616" w14:textId="40E1833D">
          <w:pPr>
            <w:pStyle w:val="TOC1"/>
            <w:tabs>
              <w:tab w:val="right" w:leader="dot" w:pos="9350"/>
            </w:tabs>
            <w:rPr>
              <w:rFonts w:asciiTheme="minorHAnsi" w:hAnsiTheme="minorHAnsi" w:cstheme="minorBidi"/>
              <w:noProof/>
              <w:sz w:val="22"/>
            </w:rPr>
          </w:pPr>
          <w:hyperlink w:history="1" w:anchor="_Toc126071048">
            <w:r w:rsidRPr="003F3C87" w:rsidR="00A152A2">
              <w:rPr>
                <w:rStyle w:val="Hyperlink"/>
                <w:noProof/>
              </w:rPr>
              <w:t>7.</w:t>
            </w:r>
            <w:r w:rsidRPr="003F3C87" w:rsidR="00A152A2">
              <w:rPr>
                <w:rFonts w:asciiTheme="minorHAnsi" w:hAnsiTheme="minorHAnsi" w:cstheme="minorBidi"/>
                <w:noProof/>
                <w:sz w:val="22"/>
              </w:rPr>
              <w:tab/>
            </w:r>
            <w:r w:rsidRPr="003F3C87" w:rsidR="00A152A2">
              <w:rPr>
                <w:rStyle w:val="Hyperlink"/>
                <w:noProof/>
              </w:rPr>
              <w:t>Need for CEQA Review</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_Toc126071048 \h </w:instrText>
            </w:r>
            <w:r w:rsidRPr="003F3C87" w:rsidR="00A152A2">
              <w:rPr>
                <w:noProof/>
                <w:webHidden/>
              </w:rPr>
            </w:r>
            <w:r w:rsidRPr="003F3C87" w:rsidR="00A152A2">
              <w:rPr>
                <w:noProof/>
                <w:webHidden/>
              </w:rPr>
              <w:fldChar w:fldCharType="separate"/>
            </w:r>
            <w:r w:rsidR="00101320">
              <w:rPr>
                <w:noProof/>
                <w:webHidden/>
              </w:rPr>
              <w:t>22</w:t>
            </w:r>
            <w:r w:rsidRPr="003F3C87" w:rsidR="00A152A2">
              <w:rPr>
                <w:noProof/>
                <w:webHidden/>
              </w:rPr>
              <w:fldChar w:fldCharType="end"/>
            </w:r>
          </w:hyperlink>
        </w:p>
        <w:p w:rsidRPr="003F3C87" w:rsidR="00A152A2" w:rsidRDefault="00000000" w14:paraId="47D9ADE2" w14:textId="088C1B5E">
          <w:pPr>
            <w:pStyle w:val="TOC1"/>
            <w:tabs>
              <w:tab w:val="right" w:leader="dot" w:pos="9350"/>
            </w:tabs>
            <w:rPr>
              <w:rFonts w:asciiTheme="minorHAnsi" w:hAnsiTheme="minorHAnsi" w:cstheme="minorBidi"/>
              <w:noProof/>
              <w:sz w:val="22"/>
            </w:rPr>
          </w:pPr>
          <w:hyperlink w:history="1" w:anchor="_Toc126071049">
            <w:r w:rsidRPr="003F3C87" w:rsidR="00A152A2">
              <w:rPr>
                <w:rStyle w:val="Hyperlink"/>
                <w:noProof/>
              </w:rPr>
              <w:t>8.</w:t>
            </w:r>
            <w:r w:rsidRPr="003F3C87" w:rsidR="00A152A2">
              <w:rPr>
                <w:rFonts w:asciiTheme="minorHAnsi" w:hAnsiTheme="minorHAnsi" w:cstheme="minorBidi"/>
                <w:noProof/>
                <w:sz w:val="22"/>
              </w:rPr>
              <w:tab/>
            </w:r>
            <w:r w:rsidRPr="003F3C87" w:rsidR="00A152A2">
              <w:rPr>
                <w:rStyle w:val="Hyperlink"/>
                <w:noProof/>
              </w:rPr>
              <w:t>Conclusion</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_Toc126071049 \h </w:instrText>
            </w:r>
            <w:r w:rsidRPr="003F3C87" w:rsidR="00A152A2">
              <w:rPr>
                <w:noProof/>
                <w:webHidden/>
              </w:rPr>
            </w:r>
            <w:r w:rsidRPr="003F3C87" w:rsidR="00A152A2">
              <w:rPr>
                <w:noProof/>
                <w:webHidden/>
              </w:rPr>
              <w:fldChar w:fldCharType="separate"/>
            </w:r>
            <w:r w:rsidR="00101320">
              <w:rPr>
                <w:noProof/>
                <w:webHidden/>
              </w:rPr>
              <w:t>23</w:t>
            </w:r>
            <w:r w:rsidRPr="003F3C87" w:rsidR="00A152A2">
              <w:rPr>
                <w:noProof/>
                <w:webHidden/>
              </w:rPr>
              <w:fldChar w:fldCharType="end"/>
            </w:r>
          </w:hyperlink>
        </w:p>
        <w:p w:rsidRPr="003F3C87" w:rsidR="00A152A2" w:rsidRDefault="00000000" w14:paraId="04F0912B" w14:textId="196EEA82">
          <w:pPr>
            <w:pStyle w:val="TOC1"/>
            <w:tabs>
              <w:tab w:val="right" w:leader="dot" w:pos="9350"/>
            </w:tabs>
            <w:rPr>
              <w:rFonts w:asciiTheme="minorHAnsi" w:hAnsiTheme="minorHAnsi" w:cstheme="minorBidi"/>
              <w:noProof/>
              <w:sz w:val="22"/>
            </w:rPr>
          </w:pPr>
          <w:hyperlink w:history="1" w:anchor="_Toc126071050">
            <w:r w:rsidRPr="003F3C87" w:rsidR="00A152A2">
              <w:rPr>
                <w:rStyle w:val="Hyperlink"/>
                <w:noProof/>
              </w:rPr>
              <w:t>9.</w:t>
            </w:r>
            <w:r w:rsidRPr="003F3C87" w:rsidR="00A152A2">
              <w:rPr>
                <w:rFonts w:asciiTheme="minorHAnsi" w:hAnsiTheme="minorHAnsi" w:cstheme="minorBidi"/>
                <w:noProof/>
                <w:sz w:val="22"/>
              </w:rPr>
              <w:tab/>
            </w:r>
            <w:r w:rsidRPr="003F3C87" w:rsidR="00A152A2">
              <w:rPr>
                <w:rStyle w:val="Hyperlink"/>
                <w:noProof/>
              </w:rPr>
              <w:t>Summary of Public Comment on the Docket Card</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_Toc126071050 \h </w:instrText>
            </w:r>
            <w:r w:rsidRPr="003F3C87" w:rsidR="00A152A2">
              <w:rPr>
                <w:noProof/>
                <w:webHidden/>
              </w:rPr>
            </w:r>
            <w:r w:rsidRPr="003F3C87" w:rsidR="00A152A2">
              <w:rPr>
                <w:noProof/>
                <w:webHidden/>
              </w:rPr>
              <w:fldChar w:fldCharType="separate"/>
            </w:r>
            <w:r w:rsidR="00101320">
              <w:rPr>
                <w:noProof/>
                <w:webHidden/>
              </w:rPr>
              <w:t>23</w:t>
            </w:r>
            <w:r w:rsidRPr="003F3C87" w:rsidR="00A152A2">
              <w:rPr>
                <w:noProof/>
                <w:webHidden/>
              </w:rPr>
              <w:fldChar w:fldCharType="end"/>
            </w:r>
          </w:hyperlink>
        </w:p>
        <w:p w:rsidRPr="003F3C87" w:rsidR="00A152A2" w:rsidRDefault="00000000" w14:paraId="1BFDDED6" w14:textId="3166CE51">
          <w:pPr>
            <w:pStyle w:val="TOC1"/>
            <w:tabs>
              <w:tab w:val="right" w:leader="dot" w:pos="9350"/>
            </w:tabs>
            <w:rPr>
              <w:rFonts w:asciiTheme="minorHAnsi" w:hAnsiTheme="minorHAnsi" w:cstheme="minorBidi"/>
              <w:noProof/>
              <w:sz w:val="22"/>
            </w:rPr>
          </w:pPr>
          <w:hyperlink w:history="1" w:anchor="_Toc126071051">
            <w:r w:rsidRPr="003F3C87" w:rsidR="00A152A2">
              <w:rPr>
                <w:rStyle w:val="Hyperlink"/>
                <w:noProof/>
              </w:rPr>
              <w:t>10.</w:t>
            </w:r>
            <w:r w:rsidRPr="003F3C87" w:rsidR="00A152A2">
              <w:rPr>
                <w:rFonts w:asciiTheme="minorHAnsi" w:hAnsiTheme="minorHAnsi" w:cstheme="minorBidi"/>
                <w:noProof/>
                <w:sz w:val="22"/>
              </w:rPr>
              <w:tab/>
            </w:r>
            <w:r w:rsidRPr="003F3C87" w:rsidR="00A152A2">
              <w:rPr>
                <w:rStyle w:val="Hyperlink"/>
                <w:noProof/>
              </w:rPr>
              <w:t>Comments on Proposed Decision</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_Toc126071051 \h </w:instrText>
            </w:r>
            <w:r w:rsidRPr="003F3C87" w:rsidR="00A152A2">
              <w:rPr>
                <w:noProof/>
                <w:webHidden/>
              </w:rPr>
            </w:r>
            <w:r w:rsidRPr="003F3C87" w:rsidR="00A152A2">
              <w:rPr>
                <w:noProof/>
                <w:webHidden/>
              </w:rPr>
              <w:fldChar w:fldCharType="separate"/>
            </w:r>
            <w:r w:rsidR="00101320">
              <w:rPr>
                <w:noProof/>
                <w:webHidden/>
              </w:rPr>
              <w:t>23</w:t>
            </w:r>
            <w:r w:rsidRPr="003F3C87" w:rsidR="00A152A2">
              <w:rPr>
                <w:noProof/>
                <w:webHidden/>
              </w:rPr>
              <w:fldChar w:fldCharType="end"/>
            </w:r>
          </w:hyperlink>
        </w:p>
        <w:p w:rsidRPr="003F3C87" w:rsidR="00A152A2" w:rsidRDefault="00000000" w14:paraId="755A84C4" w14:textId="097E3547">
          <w:pPr>
            <w:pStyle w:val="TOC1"/>
            <w:tabs>
              <w:tab w:val="right" w:leader="dot" w:pos="9350"/>
            </w:tabs>
            <w:rPr>
              <w:rFonts w:asciiTheme="minorHAnsi" w:hAnsiTheme="minorHAnsi" w:cstheme="minorBidi"/>
              <w:noProof/>
              <w:sz w:val="22"/>
            </w:rPr>
          </w:pPr>
          <w:hyperlink w:history="1" w:anchor="_Toc126071052">
            <w:r w:rsidRPr="003F3C87" w:rsidR="00A152A2">
              <w:rPr>
                <w:rStyle w:val="Hyperlink"/>
                <w:noProof/>
              </w:rPr>
              <w:t>11.</w:t>
            </w:r>
            <w:r w:rsidRPr="003F3C87" w:rsidR="00A152A2">
              <w:rPr>
                <w:rFonts w:asciiTheme="minorHAnsi" w:hAnsiTheme="minorHAnsi" w:cstheme="minorBidi"/>
                <w:noProof/>
                <w:sz w:val="22"/>
              </w:rPr>
              <w:tab/>
            </w:r>
            <w:r w:rsidRPr="003F3C87" w:rsidR="00A152A2">
              <w:rPr>
                <w:rStyle w:val="Hyperlink"/>
                <w:noProof/>
              </w:rPr>
              <w:t>Assignment of Proceeding</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_Toc126071052 \h </w:instrText>
            </w:r>
            <w:r w:rsidRPr="003F3C87" w:rsidR="00A152A2">
              <w:rPr>
                <w:noProof/>
                <w:webHidden/>
              </w:rPr>
            </w:r>
            <w:r w:rsidRPr="003F3C87" w:rsidR="00A152A2">
              <w:rPr>
                <w:noProof/>
                <w:webHidden/>
              </w:rPr>
              <w:fldChar w:fldCharType="separate"/>
            </w:r>
            <w:r w:rsidR="00101320">
              <w:rPr>
                <w:noProof/>
                <w:webHidden/>
              </w:rPr>
              <w:t>24</w:t>
            </w:r>
            <w:r w:rsidRPr="003F3C87" w:rsidR="00A152A2">
              <w:rPr>
                <w:noProof/>
                <w:webHidden/>
              </w:rPr>
              <w:fldChar w:fldCharType="end"/>
            </w:r>
          </w:hyperlink>
        </w:p>
        <w:p w:rsidRPr="003F3C87" w:rsidR="00A152A2" w:rsidRDefault="00000000" w14:paraId="2CA448EB" w14:textId="14F6A947">
          <w:pPr>
            <w:pStyle w:val="TOC1"/>
            <w:tabs>
              <w:tab w:val="right" w:leader="dot" w:pos="9350"/>
            </w:tabs>
            <w:rPr>
              <w:rFonts w:asciiTheme="minorHAnsi" w:hAnsiTheme="minorHAnsi" w:cstheme="minorBidi"/>
              <w:noProof/>
              <w:sz w:val="22"/>
            </w:rPr>
          </w:pPr>
          <w:hyperlink w:history="1" w:anchor="_Toc126071053">
            <w:r w:rsidRPr="003F3C87" w:rsidR="00A152A2">
              <w:rPr>
                <w:rStyle w:val="Hyperlink"/>
                <w:noProof/>
              </w:rPr>
              <w:t>Findings of Fact</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_Toc126071053 \h </w:instrText>
            </w:r>
            <w:r w:rsidRPr="003F3C87" w:rsidR="00A152A2">
              <w:rPr>
                <w:noProof/>
                <w:webHidden/>
              </w:rPr>
            </w:r>
            <w:r w:rsidRPr="003F3C87" w:rsidR="00A152A2">
              <w:rPr>
                <w:noProof/>
                <w:webHidden/>
              </w:rPr>
              <w:fldChar w:fldCharType="separate"/>
            </w:r>
            <w:r w:rsidR="00101320">
              <w:rPr>
                <w:noProof/>
                <w:webHidden/>
              </w:rPr>
              <w:t>24</w:t>
            </w:r>
            <w:r w:rsidRPr="003F3C87" w:rsidR="00A152A2">
              <w:rPr>
                <w:noProof/>
                <w:webHidden/>
              </w:rPr>
              <w:fldChar w:fldCharType="end"/>
            </w:r>
          </w:hyperlink>
        </w:p>
        <w:p w:rsidRPr="003F3C87" w:rsidR="00A152A2" w:rsidRDefault="00000000" w14:paraId="358E20A2" w14:textId="115E6F92">
          <w:pPr>
            <w:pStyle w:val="TOC1"/>
            <w:tabs>
              <w:tab w:val="right" w:leader="dot" w:pos="9350"/>
            </w:tabs>
            <w:rPr>
              <w:rFonts w:asciiTheme="minorHAnsi" w:hAnsiTheme="minorHAnsi" w:cstheme="minorBidi"/>
              <w:noProof/>
              <w:sz w:val="22"/>
            </w:rPr>
          </w:pPr>
          <w:hyperlink w:history="1" w:anchor="_Toc126071054">
            <w:r w:rsidRPr="003F3C87" w:rsidR="00A152A2">
              <w:rPr>
                <w:rStyle w:val="Hyperlink"/>
                <w:noProof/>
              </w:rPr>
              <w:t>Conclusions of Law</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_Toc126071054 \h </w:instrText>
            </w:r>
            <w:r w:rsidRPr="003F3C87" w:rsidR="00A152A2">
              <w:rPr>
                <w:noProof/>
                <w:webHidden/>
              </w:rPr>
            </w:r>
            <w:r w:rsidRPr="003F3C87" w:rsidR="00A152A2">
              <w:rPr>
                <w:noProof/>
                <w:webHidden/>
              </w:rPr>
              <w:fldChar w:fldCharType="separate"/>
            </w:r>
            <w:r w:rsidR="00101320">
              <w:rPr>
                <w:noProof/>
                <w:webHidden/>
              </w:rPr>
              <w:t>25</w:t>
            </w:r>
            <w:r w:rsidRPr="003F3C87" w:rsidR="00A152A2">
              <w:rPr>
                <w:noProof/>
                <w:webHidden/>
              </w:rPr>
              <w:fldChar w:fldCharType="end"/>
            </w:r>
          </w:hyperlink>
        </w:p>
        <w:p w:rsidRPr="003F3C87" w:rsidR="00A152A2" w:rsidRDefault="00000000" w14:paraId="2886C8B6" w14:textId="02029ACD">
          <w:pPr>
            <w:pStyle w:val="TOC1"/>
            <w:tabs>
              <w:tab w:val="right" w:leader="dot" w:pos="9350"/>
            </w:tabs>
            <w:rPr>
              <w:rFonts w:asciiTheme="minorHAnsi" w:hAnsiTheme="minorHAnsi" w:cstheme="minorBidi"/>
              <w:noProof/>
              <w:sz w:val="22"/>
            </w:rPr>
          </w:pPr>
          <w:hyperlink w:history="1" w:anchor="_Toc126071055">
            <w:r w:rsidRPr="003F3C87" w:rsidR="00A152A2">
              <w:rPr>
                <w:rStyle w:val="Hyperlink"/>
                <w:noProof/>
              </w:rPr>
              <w:t>ORDER</w:t>
            </w:r>
            <w:r w:rsidRPr="003F3C87" w:rsidR="00A152A2">
              <w:rPr>
                <w:noProof/>
                <w:webHidden/>
              </w:rPr>
              <w:tab/>
            </w:r>
            <w:r w:rsidRPr="003F3C87" w:rsidR="00A152A2">
              <w:rPr>
                <w:noProof/>
                <w:webHidden/>
              </w:rPr>
              <w:fldChar w:fldCharType="begin"/>
            </w:r>
            <w:r w:rsidRPr="003F3C87" w:rsidR="00A152A2">
              <w:rPr>
                <w:noProof/>
                <w:webHidden/>
              </w:rPr>
              <w:instrText xml:space="preserve"> PAGEREF _Toc126071055 \h </w:instrText>
            </w:r>
            <w:r w:rsidRPr="003F3C87" w:rsidR="00A152A2">
              <w:rPr>
                <w:noProof/>
                <w:webHidden/>
              </w:rPr>
            </w:r>
            <w:r w:rsidRPr="003F3C87" w:rsidR="00A152A2">
              <w:rPr>
                <w:noProof/>
                <w:webHidden/>
              </w:rPr>
              <w:fldChar w:fldCharType="separate"/>
            </w:r>
            <w:r w:rsidR="00101320">
              <w:rPr>
                <w:noProof/>
                <w:webHidden/>
              </w:rPr>
              <w:t>25</w:t>
            </w:r>
            <w:r w:rsidRPr="003F3C87" w:rsidR="00A152A2">
              <w:rPr>
                <w:noProof/>
                <w:webHidden/>
              </w:rPr>
              <w:fldChar w:fldCharType="end"/>
            </w:r>
          </w:hyperlink>
        </w:p>
        <w:p w:rsidRPr="003F3C87" w:rsidR="00A152A2" w:rsidP="00A152A2" w:rsidRDefault="00A152A2" w14:paraId="6681198F" w14:textId="55CEAA22">
          <w:pPr>
            <w:pStyle w:val="TOC1"/>
            <w:tabs>
              <w:tab w:val="right" w:leader="dot" w:pos="9350"/>
            </w:tabs>
          </w:pPr>
          <w:r w:rsidRPr="003F3C87">
            <w:rPr>
              <w:rFonts w:asciiTheme="minorHAnsi" w:hAnsiTheme="minorHAnsi"/>
              <w:sz w:val="22"/>
            </w:rPr>
            <w:fldChar w:fldCharType="end"/>
          </w:r>
        </w:p>
      </w:sdtContent>
    </w:sdt>
    <w:p w:rsidRPr="003F3C87" w:rsidR="00A152A2" w:rsidP="00591B23" w:rsidRDefault="00A152A2" w14:paraId="4A2E60C4" w14:textId="77777777">
      <w:pPr>
        <w:pStyle w:val="Dummy"/>
        <w:spacing w:after="240"/>
        <w:jc w:val="center"/>
        <w:sectPr w:rsidRPr="003F3C87" w:rsidR="00A152A2" w:rsidSect="00A152A2">
          <w:headerReference w:type="first" r:id="rId15"/>
          <w:footerReference w:type="first" r:id="rId16"/>
          <w:pgSz w:w="12240" w:h="15840"/>
          <w:pgMar w:top="1728" w:right="1440" w:bottom="1440" w:left="1440" w:header="720" w:footer="720" w:gutter="0"/>
          <w:pgNumType w:fmt="lowerRoman" w:start="1"/>
          <w:cols w:space="720"/>
          <w:titlePg/>
          <w:docGrid w:linePitch="360"/>
        </w:sectPr>
      </w:pPr>
    </w:p>
    <w:p w:rsidRPr="003F3C87" w:rsidR="0098655A" w:rsidP="00A152A2" w:rsidRDefault="00A152A2" w14:paraId="2472EB70" w14:textId="5BFEABD1">
      <w:pPr>
        <w:pStyle w:val="Dummy"/>
        <w:spacing w:after="240"/>
        <w:jc w:val="center"/>
      </w:pPr>
      <w:bookmarkStart w:name="_Toc126071036" w:id="2"/>
      <w:r w:rsidRPr="003F3C87">
        <w:lastRenderedPageBreak/>
        <w:t>DECISION AUTHORIZING SOUTHERN CALIFORNIA EDISON TO RECOVER SPECIFIC INSURANCE COSTS RECORDED IN ITS WILDFIRE EXPENSE MEMORANDUM ACCOUNT</w:t>
      </w:r>
      <w:bookmarkEnd w:id="2"/>
    </w:p>
    <w:p w:rsidRPr="003F3C87" w:rsidR="005A148C" w:rsidP="005A148C" w:rsidRDefault="005A148C" w14:paraId="67BEF277" w14:textId="77777777">
      <w:pPr>
        <w:pStyle w:val="Dummy"/>
      </w:pPr>
      <w:bookmarkStart w:name="_Toc8123714" w:id="3"/>
      <w:bookmarkStart w:name="_Toc12866683" w:id="4"/>
      <w:bookmarkStart w:name="_Toc126071037" w:id="5"/>
      <w:r w:rsidRPr="003F3C87">
        <w:t>Summary</w:t>
      </w:r>
      <w:bookmarkEnd w:id="3"/>
      <w:bookmarkEnd w:id="4"/>
      <w:bookmarkEnd w:id="5"/>
    </w:p>
    <w:p w:rsidRPr="003F3C87" w:rsidR="004127FC" w:rsidP="00F62FB5" w:rsidRDefault="00CB29F1" w14:paraId="247CE70D" w14:textId="77777777">
      <w:pPr>
        <w:pStyle w:val="Standard"/>
      </w:pPr>
      <w:bookmarkStart w:name="_Hlk118896663" w:id="6"/>
      <w:r w:rsidRPr="003F3C87">
        <w:t>This decision a</w:t>
      </w:r>
      <w:r w:rsidRPr="003F3C87" w:rsidR="00EF1BCE">
        <w:t>uthorizes</w:t>
      </w:r>
      <w:r w:rsidRPr="003F3C87">
        <w:t xml:space="preserve"> S</w:t>
      </w:r>
      <w:r w:rsidRPr="003F3C87" w:rsidR="00D23781">
        <w:t>outhern California Edison</w:t>
      </w:r>
      <w:r w:rsidRPr="003F3C87" w:rsidR="00F051F1">
        <w:t xml:space="preserve"> </w:t>
      </w:r>
      <w:r w:rsidRPr="003F3C87" w:rsidR="005B2801">
        <w:t xml:space="preserve">Company </w:t>
      </w:r>
      <w:r w:rsidRPr="003F3C87" w:rsidR="00F051F1">
        <w:t>(SCE)</w:t>
      </w:r>
      <w:r w:rsidRPr="003F3C87" w:rsidR="00D23781">
        <w:t xml:space="preserve"> </w:t>
      </w:r>
      <w:r w:rsidRPr="003F3C87" w:rsidR="00EF1BCE">
        <w:t xml:space="preserve">to </w:t>
      </w:r>
      <w:r w:rsidRPr="003F3C87" w:rsidR="00D23781">
        <w:t>r</w:t>
      </w:r>
      <w:r w:rsidRPr="003F3C87" w:rsidR="008C7F4A">
        <w:t>ecover</w:t>
      </w:r>
      <w:r w:rsidRPr="003F3C87" w:rsidR="00EF1BCE">
        <w:t xml:space="preserve"> </w:t>
      </w:r>
      <w:r w:rsidRPr="003F3C87" w:rsidR="00387B2A">
        <w:t>$20</w:t>
      </w:r>
      <w:r w:rsidRPr="003F3C87" w:rsidR="007742AF">
        <w:t>7.3</w:t>
      </w:r>
      <w:r w:rsidRPr="003F3C87" w:rsidR="00387B2A">
        <w:t xml:space="preserve"> million, or </w:t>
      </w:r>
      <w:r w:rsidRPr="003F3C87" w:rsidR="008C4032">
        <w:t>50 percent</w:t>
      </w:r>
      <w:r w:rsidRPr="003F3C87" w:rsidR="005B2801">
        <w:t>,</w:t>
      </w:r>
      <w:r w:rsidRPr="003F3C87" w:rsidR="008C4032">
        <w:t xml:space="preserve"> of </w:t>
      </w:r>
      <w:r w:rsidRPr="003F3C87" w:rsidR="00F018B9">
        <w:t>wildfire liability insurance premium</w:t>
      </w:r>
      <w:r w:rsidRPr="003F3C87" w:rsidR="008821FC">
        <w:t xml:space="preserve"> costs</w:t>
      </w:r>
      <w:r w:rsidRPr="003F3C87" w:rsidR="00F018B9">
        <w:t xml:space="preserve"> recorded</w:t>
      </w:r>
      <w:r w:rsidRPr="003F3C87" w:rsidR="00F051F1">
        <w:t xml:space="preserve"> from July </w:t>
      </w:r>
      <w:r w:rsidRPr="003F3C87" w:rsidR="002902AF">
        <w:t>1,</w:t>
      </w:r>
      <w:r w:rsidRPr="003F3C87" w:rsidR="00F051F1">
        <w:t xml:space="preserve"> </w:t>
      </w:r>
      <w:r w:rsidRPr="003F3C87" w:rsidR="005E31E7">
        <w:t>2020,</w:t>
      </w:r>
      <w:r w:rsidRPr="003F3C87" w:rsidR="006C7D15">
        <w:t xml:space="preserve"> </w:t>
      </w:r>
      <w:r w:rsidRPr="003F3C87" w:rsidR="00F051F1">
        <w:t>to December 31, 2020</w:t>
      </w:r>
      <w:r w:rsidRPr="003F3C87" w:rsidR="00387B2A">
        <w:t>,</w:t>
      </w:r>
      <w:r w:rsidRPr="003F3C87" w:rsidR="00F018B9">
        <w:t xml:space="preserve"> in </w:t>
      </w:r>
      <w:r w:rsidRPr="003F3C87" w:rsidR="00F051F1">
        <w:t>SCE’s</w:t>
      </w:r>
      <w:r w:rsidRPr="003F3C87" w:rsidR="00F018B9">
        <w:t xml:space="preserve"> Wildfire Expense Memorandum Account </w:t>
      </w:r>
      <w:r w:rsidRPr="003F3C87" w:rsidR="00F051F1">
        <w:t xml:space="preserve">(WEMA) </w:t>
      </w:r>
      <w:r w:rsidRPr="003F3C87" w:rsidR="00F62FB5">
        <w:t xml:space="preserve">for the </w:t>
      </w:r>
      <w:r w:rsidRPr="003F3C87" w:rsidR="00F051F1">
        <w:t xml:space="preserve">policy </w:t>
      </w:r>
      <w:r w:rsidRPr="003F3C87" w:rsidR="00F62FB5">
        <w:t xml:space="preserve">period </w:t>
      </w:r>
      <w:r w:rsidRPr="003F3C87" w:rsidR="00EF1BCE">
        <w:t xml:space="preserve">between July </w:t>
      </w:r>
      <w:r w:rsidRPr="003F3C87" w:rsidR="00A2452B">
        <w:t>1</w:t>
      </w:r>
      <w:r w:rsidRPr="003F3C87" w:rsidR="00A4175D">
        <w:t>,</w:t>
      </w:r>
      <w:r w:rsidRPr="003F3C87" w:rsidR="00EF1BCE">
        <w:t xml:space="preserve"> </w:t>
      </w:r>
      <w:r w:rsidRPr="003F3C87" w:rsidR="00B0629F">
        <w:t>2020</w:t>
      </w:r>
      <w:r w:rsidRPr="003F3C87" w:rsidR="00A4175D">
        <w:t xml:space="preserve"> </w:t>
      </w:r>
      <w:r w:rsidRPr="003F3C87" w:rsidR="00EF1BCE">
        <w:t xml:space="preserve">and </w:t>
      </w:r>
      <w:r w:rsidRPr="003F3C87" w:rsidR="008C4032">
        <w:t>June</w:t>
      </w:r>
      <w:r w:rsidRPr="003F3C87" w:rsidR="00EF1BCE">
        <w:t xml:space="preserve"> 30, 202</w:t>
      </w:r>
      <w:r w:rsidRPr="003F3C87" w:rsidR="008C4032">
        <w:t>1</w:t>
      </w:r>
      <w:r w:rsidRPr="003F3C87" w:rsidR="00204098">
        <w:t>. This amount includes $204.6 million in C</w:t>
      </w:r>
      <w:r w:rsidRPr="003F3C87" w:rsidR="005B2801">
        <w:t>ommission</w:t>
      </w:r>
      <w:r w:rsidRPr="003F3C87" w:rsidR="00204098">
        <w:t>-jurisdictional incremental wildfire insurance premiums,</w:t>
      </w:r>
      <w:r w:rsidRPr="003F3C87" w:rsidR="00EF1BCE">
        <w:t xml:space="preserve"> plus $0.2 million associated financing costs, $0.1 million in memorandum account interest, and $2.4 million for Franchise Fees &amp; Uncollectibles.</w:t>
      </w:r>
      <w:r w:rsidRPr="003F3C87" w:rsidR="00F018B9">
        <w:t xml:space="preserve"> </w:t>
      </w:r>
      <w:r w:rsidRPr="003F3C87" w:rsidR="00EF1BCE">
        <w:t xml:space="preserve">The Commission denies </w:t>
      </w:r>
      <w:r w:rsidRPr="003F3C87" w:rsidR="005B2801">
        <w:t>SCE</w:t>
      </w:r>
      <w:r w:rsidRPr="003F3C87" w:rsidR="00F018B9">
        <w:t>’s</w:t>
      </w:r>
      <w:r w:rsidRPr="003F3C87" w:rsidR="00EF1BCE">
        <w:t xml:space="preserve"> request to collect </w:t>
      </w:r>
      <w:r w:rsidRPr="003F3C87" w:rsidR="00F018B9">
        <w:t>$</w:t>
      </w:r>
      <w:r w:rsidRPr="003F3C87" w:rsidR="00EF1BCE">
        <w:t>7.2 million for a prior period adjustment related to wildfire liability insurance coverage previously allocated to the San Onofre Nuclear Generating Station</w:t>
      </w:r>
      <w:r w:rsidRPr="003F3C87" w:rsidR="00706283">
        <w:t xml:space="preserve"> Non-Disclosure Trust </w:t>
      </w:r>
      <w:r w:rsidRPr="003F3C87" w:rsidR="00DD2CF4">
        <w:t>fund</w:t>
      </w:r>
      <w:r w:rsidRPr="003F3C87" w:rsidR="00F018B9">
        <w:t xml:space="preserve">. </w:t>
      </w:r>
    </w:p>
    <w:p w:rsidRPr="003F3C87" w:rsidR="00CB29F1" w:rsidP="00F62FB5" w:rsidRDefault="004127FC" w14:paraId="34A8DD2A" w14:textId="35449E62">
      <w:pPr>
        <w:pStyle w:val="Standard"/>
      </w:pPr>
      <w:r w:rsidRPr="003F3C87">
        <w:t>Application 20-12-010</w:t>
      </w:r>
      <w:r w:rsidRPr="003F3C87" w:rsidR="00CB29F1">
        <w:t xml:space="preserve"> is closed</w:t>
      </w:r>
      <w:r w:rsidRPr="003F3C87" w:rsidR="00B71462">
        <w:t>.</w:t>
      </w:r>
    </w:p>
    <w:p w:rsidRPr="003F3C87" w:rsidR="005A148C" w:rsidP="00A152A2" w:rsidRDefault="002C7FE9" w14:paraId="14F8C5C0" w14:textId="77777777">
      <w:pPr>
        <w:pStyle w:val="Heading1"/>
        <w:numPr>
          <w:ilvl w:val="0"/>
          <w:numId w:val="1"/>
        </w:numPr>
        <w:ind w:left="720" w:hanging="720"/>
      </w:pPr>
      <w:bookmarkStart w:name="_Toc8123715" w:id="7"/>
      <w:bookmarkStart w:name="_Toc12866684" w:id="8"/>
      <w:bookmarkStart w:name="_Toc126071038" w:id="9"/>
      <w:bookmarkEnd w:id="6"/>
      <w:r w:rsidRPr="003F3C87">
        <w:t>Background</w:t>
      </w:r>
      <w:bookmarkEnd w:id="7"/>
      <w:bookmarkEnd w:id="8"/>
      <w:bookmarkEnd w:id="9"/>
    </w:p>
    <w:p w:rsidRPr="003F3C87" w:rsidR="0063491C" w:rsidP="0063491C" w:rsidRDefault="0063491C" w14:paraId="3CB72E96" w14:textId="77777777">
      <w:pPr>
        <w:pStyle w:val="Heading2"/>
      </w:pPr>
      <w:bookmarkStart w:name="_Toc8123716" w:id="10"/>
      <w:bookmarkStart w:name="_Toc12866685" w:id="11"/>
      <w:bookmarkStart w:name="_Toc126071039" w:id="12"/>
      <w:r w:rsidRPr="003F3C87">
        <w:t>Factual Background</w:t>
      </w:r>
      <w:bookmarkEnd w:id="10"/>
      <w:bookmarkEnd w:id="11"/>
      <w:bookmarkEnd w:id="12"/>
    </w:p>
    <w:p w:rsidRPr="003F3C87" w:rsidR="00C17E56" w:rsidP="001A311B" w:rsidRDefault="00BF3A4E" w14:paraId="416F3084" w14:textId="2D11C310">
      <w:pPr>
        <w:pStyle w:val="Standard"/>
        <w:tabs>
          <w:tab w:val="left" w:pos="720"/>
        </w:tabs>
      </w:pPr>
      <w:r w:rsidRPr="003F3C87">
        <w:t>On April 3, 2018</w:t>
      </w:r>
      <w:r w:rsidRPr="003F3C87" w:rsidR="00EE5160">
        <w:t>,</w:t>
      </w:r>
      <w:r w:rsidRPr="003F3C87">
        <w:t xml:space="preserve"> </w:t>
      </w:r>
      <w:r w:rsidRPr="003F3C87" w:rsidR="004D037F">
        <w:t xml:space="preserve">Southern California Edison </w:t>
      </w:r>
      <w:r w:rsidRPr="003F3C87" w:rsidR="00896A66">
        <w:t xml:space="preserve">Company </w:t>
      </w:r>
      <w:r w:rsidRPr="003F3C87" w:rsidR="004D037F">
        <w:t>(</w:t>
      </w:r>
      <w:r w:rsidRPr="003F3C87">
        <w:t>SCE</w:t>
      </w:r>
      <w:r w:rsidRPr="003F3C87" w:rsidR="004D037F">
        <w:t>)</w:t>
      </w:r>
      <w:r w:rsidRPr="003F3C87">
        <w:t xml:space="preserve"> filed </w:t>
      </w:r>
      <w:r w:rsidRPr="003F3C87" w:rsidR="0048559D">
        <w:t>Application (</w:t>
      </w:r>
      <w:r w:rsidRPr="003F3C87">
        <w:t>A.</w:t>
      </w:r>
      <w:r w:rsidRPr="003F3C87" w:rsidR="0048559D">
        <w:t>)</w:t>
      </w:r>
      <w:r w:rsidRPr="003F3C87" w:rsidR="00896A66">
        <w:t xml:space="preserve"> </w:t>
      </w:r>
      <w:r w:rsidRPr="003F3C87">
        <w:t>18-04-001 to req</w:t>
      </w:r>
      <w:r w:rsidRPr="003F3C87" w:rsidR="009534AC">
        <w:t>uest</w:t>
      </w:r>
      <w:r w:rsidRPr="003F3C87">
        <w:t xml:space="preserve"> authorization to </w:t>
      </w:r>
      <w:r w:rsidRPr="003F3C87" w:rsidR="004F2958">
        <w:t>establish</w:t>
      </w:r>
      <w:r w:rsidRPr="003F3C87">
        <w:t xml:space="preserve"> the Wildfire Expense Memorandum Account (WEMA). </w:t>
      </w:r>
      <w:r w:rsidRPr="003F3C87" w:rsidR="009534AC">
        <w:t xml:space="preserve">The purpose of </w:t>
      </w:r>
      <w:r w:rsidRPr="003F3C87">
        <w:t xml:space="preserve">SCE’s WEMA </w:t>
      </w:r>
      <w:r w:rsidRPr="003F3C87" w:rsidR="009534AC">
        <w:t xml:space="preserve">is to track </w:t>
      </w:r>
      <w:r w:rsidRPr="003F3C87" w:rsidR="003D4EB7">
        <w:t xml:space="preserve">costs </w:t>
      </w:r>
      <w:r w:rsidRPr="003F3C87" w:rsidR="0011248C">
        <w:t xml:space="preserve">related to </w:t>
      </w:r>
      <w:r w:rsidRPr="003F3C87">
        <w:t>wildfire claim</w:t>
      </w:r>
      <w:r w:rsidRPr="003F3C87" w:rsidR="0011248C">
        <w:t xml:space="preserve"> payments</w:t>
      </w:r>
      <w:r w:rsidRPr="003F3C87" w:rsidR="009534AC">
        <w:t>, insurance</w:t>
      </w:r>
      <w:r w:rsidRPr="003F3C87" w:rsidR="003D4EB7">
        <w:t xml:space="preserve"> coverage</w:t>
      </w:r>
      <w:r w:rsidRPr="003F3C87" w:rsidR="009534AC">
        <w:t>, risk-transfer mechanisms</w:t>
      </w:r>
      <w:r w:rsidRPr="003F3C87">
        <w:t xml:space="preserve">, </w:t>
      </w:r>
      <w:r w:rsidRPr="003F3C87" w:rsidR="009534AC">
        <w:t>external</w:t>
      </w:r>
      <w:r w:rsidRPr="003F3C87">
        <w:t xml:space="preserve"> legal expenses </w:t>
      </w:r>
      <w:r w:rsidRPr="003F3C87" w:rsidR="009534AC">
        <w:t>to</w:t>
      </w:r>
      <w:r w:rsidRPr="003F3C87">
        <w:t xml:space="preserve"> defen</w:t>
      </w:r>
      <w:r w:rsidRPr="003F3C87" w:rsidR="009534AC">
        <w:t>d</w:t>
      </w:r>
      <w:r w:rsidRPr="003F3C87">
        <w:t xml:space="preserve"> wildfire claims</w:t>
      </w:r>
      <w:r w:rsidRPr="003F3C87" w:rsidR="009534AC">
        <w:t xml:space="preserve">, and </w:t>
      </w:r>
      <w:r w:rsidRPr="003F3C87">
        <w:t>financing</w:t>
      </w:r>
      <w:r w:rsidRPr="003F3C87" w:rsidR="009534AC">
        <w:t xml:space="preserve"> </w:t>
      </w:r>
      <w:r w:rsidRPr="003F3C87" w:rsidR="003D4EB7">
        <w:t xml:space="preserve">that are incremental to those recovered </w:t>
      </w:r>
      <w:r w:rsidRPr="003F3C87" w:rsidR="00896A66">
        <w:t>pursuant to</w:t>
      </w:r>
      <w:r w:rsidRPr="003F3C87" w:rsidR="003D4EB7">
        <w:t xml:space="preserve"> SCE’s </w:t>
      </w:r>
      <w:r w:rsidRPr="003F3C87" w:rsidR="00107753">
        <w:t xml:space="preserve">2018 </w:t>
      </w:r>
      <w:r w:rsidRPr="003F3C87" w:rsidR="003D4EB7">
        <w:t>General Rate Case</w:t>
      </w:r>
      <w:r w:rsidRPr="003F3C87" w:rsidR="0039012E">
        <w:t xml:space="preserve"> (GRC)</w:t>
      </w:r>
      <w:r w:rsidRPr="003F3C87" w:rsidR="00107753">
        <w:t xml:space="preserve"> </w:t>
      </w:r>
      <w:r w:rsidRPr="003F3C87" w:rsidR="0016428E">
        <w:t>F</w:t>
      </w:r>
      <w:r w:rsidRPr="003F3C87" w:rsidR="00107753">
        <w:t>inal D</w:t>
      </w:r>
      <w:r w:rsidRPr="003F3C87" w:rsidR="006C7D15">
        <w:t>ecision (D</w:t>
      </w:r>
      <w:r w:rsidRPr="003F3C87" w:rsidR="00896A66">
        <w:t>.</w:t>
      </w:r>
      <w:r w:rsidRPr="003F3C87" w:rsidR="006C7D15">
        <w:t>)</w:t>
      </w:r>
      <w:r w:rsidRPr="003F3C87" w:rsidR="00896A66">
        <w:t xml:space="preserve"> </w:t>
      </w:r>
      <w:r w:rsidRPr="003F3C87" w:rsidR="00107753">
        <w:t>19-05-020 (2018 GRC Final Decision)</w:t>
      </w:r>
      <w:r w:rsidRPr="003F3C87">
        <w:t>.</w:t>
      </w:r>
      <w:r w:rsidRPr="003F3C87" w:rsidR="00DA254B">
        <w:rPr>
          <w:rStyle w:val="FootnoteReference"/>
        </w:rPr>
        <w:footnoteReference w:id="2"/>
      </w:r>
      <w:r w:rsidRPr="003F3C87" w:rsidR="00F62FB5">
        <w:t xml:space="preserve"> </w:t>
      </w:r>
    </w:p>
    <w:p w:rsidRPr="003F3C87" w:rsidR="00BF3A4E" w:rsidP="001A311B" w:rsidRDefault="00353593" w14:paraId="5CE5A5C1" w14:textId="13165818">
      <w:pPr>
        <w:pStyle w:val="Standard"/>
        <w:tabs>
          <w:tab w:val="left" w:pos="720"/>
        </w:tabs>
      </w:pPr>
      <w:r w:rsidRPr="003F3C87">
        <w:lastRenderedPageBreak/>
        <w:t xml:space="preserve">On December </w:t>
      </w:r>
      <w:r w:rsidRPr="003F3C87" w:rsidR="00997F50">
        <w:t>3</w:t>
      </w:r>
      <w:r w:rsidRPr="003F3C87" w:rsidR="00EE5160">
        <w:t>,</w:t>
      </w:r>
      <w:r w:rsidRPr="003F3C87" w:rsidR="00997F50">
        <w:t xml:space="preserve"> 2018, </w:t>
      </w:r>
      <w:r w:rsidRPr="003F3C87" w:rsidR="00BF3A4E">
        <w:t>D.18-11-05</w:t>
      </w:r>
      <w:r w:rsidRPr="003F3C87" w:rsidR="00886599">
        <w:t>1</w:t>
      </w:r>
      <w:r w:rsidRPr="003F3C87" w:rsidR="00997F50">
        <w:t xml:space="preserve"> </w:t>
      </w:r>
      <w:r w:rsidRPr="003F3C87" w:rsidR="00924B95">
        <w:t xml:space="preserve">concluded that SCE’s wildfire-related costs may be significant and not </w:t>
      </w:r>
      <w:r w:rsidRPr="003F3C87" w:rsidR="0066186A">
        <w:t>recoverable</w:t>
      </w:r>
      <w:r w:rsidRPr="003F3C87" w:rsidR="00924B95">
        <w:t xml:space="preserve"> through </w:t>
      </w:r>
      <w:r w:rsidRPr="003F3C87" w:rsidR="00B13D64">
        <w:t>SCE’s</w:t>
      </w:r>
      <w:r w:rsidRPr="003F3C87" w:rsidR="00924B95">
        <w:t xml:space="preserve"> GRC or standard utility insurance policies.</w:t>
      </w:r>
      <w:r w:rsidRPr="003F3C87" w:rsidR="00924B95">
        <w:rPr>
          <w:rStyle w:val="FootnoteReference"/>
        </w:rPr>
        <w:footnoteReference w:id="3"/>
      </w:r>
      <w:r w:rsidRPr="003F3C87" w:rsidR="00924B95">
        <w:t xml:space="preserve"> </w:t>
      </w:r>
      <w:r w:rsidRPr="003F3C87" w:rsidR="00650D19">
        <w:t>Accordingly</w:t>
      </w:r>
      <w:r w:rsidRPr="003F3C87" w:rsidR="00B13D64">
        <w:t xml:space="preserve">, </w:t>
      </w:r>
      <w:r w:rsidRPr="003F3C87" w:rsidR="00997F50">
        <w:t xml:space="preserve">D.18-11-051 </w:t>
      </w:r>
      <w:r w:rsidRPr="003F3C87" w:rsidR="00B13D64">
        <w:t>authorized SCE</w:t>
      </w:r>
      <w:r w:rsidRPr="003F3C87" w:rsidR="00650D19">
        <w:t xml:space="preserve"> </w:t>
      </w:r>
      <w:r w:rsidRPr="003F3C87" w:rsidR="00B13D64">
        <w:t xml:space="preserve">to establish </w:t>
      </w:r>
      <w:r w:rsidRPr="003F3C87" w:rsidR="00093735">
        <w:t xml:space="preserve">the </w:t>
      </w:r>
      <w:r w:rsidRPr="003F3C87" w:rsidR="00B13D64">
        <w:t xml:space="preserve">WEMA and </w:t>
      </w:r>
      <w:r w:rsidRPr="003F3C87" w:rsidR="00997F50">
        <w:t xml:space="preserve">ordered that non-event related </w:t>
      </w:r>
      <w:r w:rsidRPr="003F3C87" w:rsidR="00650D19">
        <w:t xml:space="preserve">wildfire-related </w:t>
      </w:r>
      <w:r w:rsidRPr="003F3C87" w:rsidR="00997F50">
        <w:t>c</w:t>
      </w:r>
      <w:r w:rsidRPr="003F3C87" w:rsidR="00EB27DA">
        <w:t xml:space="preserve">osts, such as </w:t>
      </w:r>
      <w:r w:rsidRPr="003F3C87" w:rsidR="00650D19">
        <w:t xml:space="preserve">wildfire </w:t>
      </w:r>
      <w:r w:rsidRPr="003F3C87" w:rsidR="00EB27DA">
        <w:t>insurance premium costs, should be segregated by cost type, with notice to the Commission when new cost types are recorded to the WEMA</w:t>
      </w:r>
      <w:r w:rsidRPr="003F3C87" w:rsidR="00997F50">
        <w:t>.</w:t>
      </w:r>
      <w:r w:rsidRPr="003F3C87" w:rsidR="00886599">
        <w:rPr>
          <w:rStyle w:val="FootnoteReference"/>
        </w:rPr>
        <w:footnoteReference w:id="4"/>
      </w:r>
    </w:p>
    <w:p w:rsidRPr="003F3C87" w:rsidR="0092474D" w:rsidP="00E809F9" w:rsidRDefault="004F2958" w14:paraId="2D701B94" w14:textId="130B22CB">
      <w:pPr>
        <w:pStyle w:val="Standard"/>
        <w:tabs>
          <w:tab w:val="left" w:pos="720"/>
        </w:tabs>
        <w:ind w:left="90" w:firstLine="630"/>
      </w:pPr>
      <w:r w:rsidRPr="003F3C87">
        <w:t>On July 31, 2019, SCE filed</w:t>
      </w:r>
      <w:r w:rsidRPr="003F3C87" w:rsidR="008C2192">
        <w:t xml:space="preserve"> </w:t>
      </w:r>
      <w:r w:rsidRPr="003F3C87">
        <w:t>A.19-07-020</w:t>
      </w:r>
      <w:r w:rsidRPr="003F3C87" w:rsidR="00E25EA1">
        <w:t xml:space="preserve"> (2019 WEMA</w:t>
      </w:r>
      <w:r w:rsidRPr="003F3C87" w:rsidR="005F6970">
        <w:t xml:space="preserve"> Application</w:t>
      </w:r>
      <w:r w:rsidRPr="003F3C87" w:rsidR="00E25EA1">
        <w:t>)</w:t>
      </w:r>
      <w:r w:rsidRPr="003F3C87">
        <w:t xml:space="preserve"> </w:t>
      </w:r>
      <w:r w:rsidRPr="003F3C87" w:rsidR="008C2192">
        <w:t xml:space="preserve">to </w:t>
      </w:r>
      <w:r w:rsidRPr="003F3C87" w:rsidR="006603FE">
        <w:t>receive</w:t>
      </w:r>
      <w:r w:rsidRPr="003F3C87" w:rsidR="00650D19">
        <w:t xml:space="preserve"> authori</w:t>
      </w:r>
      <w:r w:rsidRPr="003F3C87" w:rsidR="006603FE">
        <w:t>zation</w:t>
      </w:r>
      <w:r w:rsidRPr="003F3C87" w:rsidR="00650D19">
        <w:t xml:space="preserve"> to</w:t>
      </w:r>
      <w:r w:rsidRPr="003F3C87">
        <w:t xml:space="preserve"> recove</w:t>
      </w:r>
      <w:r w:rsidRPr="003F3C87" w:rsidR="00650D19">
        <w:t xml:space="preserve">r </w:t>
      </w:r>
      <w:r w:rsidRPr="003F3C87" w:rsidR="006603FE">
        <w:t xml:space="preserve">in rates </w:t>
      </w:r>
      <w:r w:rsidRPr="003F3C87" w:rsidR="00650D19">
        <w:t xml:space="preserve">$505 million in </w:t>
      </w:r>
      <w:r w:rsidRPr="003F3C87" w:rsidR="006603FE">
        <w:t>WEMA costs tracked</w:t>
      </w:r>
      <w:r w:rsidRPr="003F3C87" w:rsidR="00650D19">
        <w:t xml:space="preserve"> </w:t>
      </w:r>
      <w:r w:rsidRPr="003F3C87" w:rsidR="006603FE">
        <w:t xml:space="preserve">from </w:t>
      </w:r>
      <w:r w:rsidRPr="003F3C87" w:rsidR="00650D19">
        <w:t>April 3, 2018</w:t>
      </w:r>
      <w:r w:rsidRPr="003F3C87" w:rsidR="006603FE">
        <w:t>,</w:t>
      </w:r>
      <w:r w:rsidRPr="003F3C87" w:rsidR="00650D19">
        <w:t xml:space="preserve"> to July 1, 2020. These costs </w:t>
      </w:r>
      <w:r w:rsidRPr="003F3C87" w:rsidR="00B41801">
        <w:t>includ</w:t>
      </w:r>
      <w:r w:rsidRPr="003F3C87" w:rsidR="00650D19">
        <w:t>ed</w:t>
      </w:r>
      <w:r w:rsidRPr="003F3C87" w:rsidR="00B41801">
        <w:t xml:space="preserve"> $478 million </w:t>
      </w:r>
      <w:r w:rsidRPr="003F3C87" w:rsidR="006603FE">
        <w:t>for</w:t>
      </w:r>
      <w:r w:rsidRPr="003F3C87" w:rsidR="00B41801">
        <w:t xml:space="preserve"> insurance premium</w:t>
      </w:r>
      <w:r w:rsidRPr="003F3C87" w:rsidR="006603FE">
        <w:t>s</w:t>
      </w:r>
      <w:r w:rsidRPr="003F3C87" w:rsidR="00B41801">
        <w:t>, $12 million for forecast financing costs (at a commercial paper rate), $10 million for forecast memorandum account interest, and $5</w:t>
      </w:r>
      <w:r w:rsidRPr="003F3C87" w:rsidR="004127FC">
        <w:t> </w:t>
      </w:r>
      <w:r w:rsidRPr="003F3C87" w:rsidR="00B41801">
        <w:t>million for franchise fees and uncollectible</w:t>
      </w:r>
      <w:r w:rsidRPr="003F3C87" w:rsidR="00650D19">
        <w:t>s</w:t>
      </w:r>
      <w:r w:rsidRPr="003F3C87">
        <w:t>.</w:t>
      </w:r>
      <w:r w:rsidRPr="003F3C87">
        <w:rPr>
          <w:rStyle w:val="FootnoteReference"/>
        </w:rPr>
        <w:footnoteReference w:id="5"/>
      </w:r>
      <w:r w:rsidRPr="003F3C87">
        <w:t xml:space="preserve"> </w:t>
      </w:r>
      <w:r w:rsidRPr="003F3C87" w:rsidR="000D0AF1">
        <w:t xml:space="preserve">SCE </w:t>
      </w:r>
      <w:r w:rsidRPr="003F3C87" w:rsidR="0069556A">
        <w:t xml:space="preserve">also </w:t>
      </w:r>
      <w:r w:rsidRPr="003F3C87" w:rsidR="000D0AF1">
        <w:t>proposed to transfer a portion of the revenue requirement, $25</w:t>
      </w:r>
      <w:r w:rsidRPr="003F3C87" w:rsidR="0069556A">
        <w:t>2.5</w:t>
      </w:r>
      <w:r w:rsidRPr="003F3C87" w:rsidR="000D0AF1">
        <w:t xml:space="preserve"> million, to its Base Revenue Requirement Balancing Account (BRRBA) </w:t>
      </w:r>
      <w:r w:rsidRPr="003F3C87" w:rsidR="0069556A">
        <w:t>to be</w:t>
      </w:r>
      <w:r w:rsidRPr="003F3C87" w:rsidR="000D0AF1">
        <w:t xml:space="preserve"> re</w:t>
      </w:r>
      <w:r w:rsidRPr="003F3C87" w:rsidR="0069556A">
        <w:t>covered</w:t>
      </w:r>
      <w:r w:rsidRPr="003F3C87" w:rsidR="000D0AF1">
        <w:t xml:space="preserve"> in SCE customer distribution rates starting on October 1, 2019</w:t>
      </w:r>
      <w:r w:rsidRPr="003F3C87" w:rsidR="006C7D15">
        <w:t>,</w:t>
      </w:r>
      <w:r w:rsidRPr="003F3C87" w:rsidR="000D0AF1">
        <w:t xml:space="preserve"> until issuance of a final decision. SCE </w:t>
      </w:r>
      <w:r w:rsidRPr="003F3C87" w:rsidR="0069556A">
        <w:t>intended to</w:t>
      </w:r>
      <w:r w:rsidRPr="003F3C87" w:rsidR="000D0AF1">
        <w:t xml:space="preserve"> </w:t>
      </w:r>
      <w:r w:rsidRPr="003F3C87" w:rsidR="0069556A">
        <w:t>place</w:t>
      </w:r>
      <w:r w:rsidRPr="003F3C87" w:rsidR="000D0AF1">
        <w:t xml:space="preserve"> the remaining revenue requirement</w:t>
      </w:r>
      <w:r w:rsidRPr="003F3C87" w:rsidR="0069556A">
        <w:t>, $225.5 million, in the BRRBA for cost recovery over a 12-month period</w:t>
      </w:r>
      <w:r w:rsidRPr="003F3C87" w:rsidR="000D0AF1">
        <w:t>.</w:t>
      </w:r>
      <w:r w:rsidRPr="003F3C87" w:rsidR="0069556A">
        <w:rPr>
          <w:rStyle w:val="FootnoteReference"/>
        </w:rPr>
        <w:footnoteReference w:id="6"/>
      </w:r>
      <w:r w:rsidRPr="003F3C87" w:rsidR="000D0AF1">
        <w:t xml:space="preserve"> </w:t>
      </w:r>
    </w:p>
    <w:p w:rsidRPr="003F3C87" w:rsidR="00295620" w:rsidP="1E7186C4" w:rsidRDefault="71E2DD51" w14:paraId="02550762" w14:textId="3CD74960">
      <w:pPr>
        <w:pStyle w:val="Standard"/>
        <w:tabs>
          <w:tab w:val="left" w:pos="720"/>
        </w:tabs>
        <w:ind w:left="90" w:firstLine="630"/>
        <w:rPr>
          <w:rStyle w:val="FootnoteReference"/>
        </w:rPr>
      </w:pPr>
      <w:r w:rsidRPr="003F3C87">
        <w:t xml:space="preserve">In </w:t>
      </w:r>
      <w:r w:rsidR="693C1073">
        <w:t xml:space="preserve">its </w:t>
      </w:r>
      <w:r w:rsidRPr="003F3C87" w:rsidR="6000C679">
        <w:t xml:space="preserve">2019 WEMA </w:t>
      </w:r>
      <w:r w:rsidRPr="003F3C87" w:rsidR="3B6F7FF7">
        <w:t>D</w:t>
      </w:r>
      <w:r w:rsidRPr="003F3C87">
        <w:t xml:space="preserve">irect </w:t>
      </w:r>
      <w:r w:rsidRPr="003F3C87" w:rsidR="3B6F7FF7">
        <w:t>T</w:t>
      </w:r>
      <w:r w:rsidRPr="003F3C87">
        <w:t xml:space="preserve">estimony, </w:t>
      </w:r>
      <w:r w:rsidRPr="003F3C87" w:rsidR="0A70AF75">
        <w:t xml:space="preserve">SCE explained that a portion of its general liability insurance </w:t>
      </w:r>
      <w:r w:rsidRPr="003F3C87" w:rsidR="2B6D56FE">
        <w:t>co</w:t>
      </w:r>
      <w:r w:rsidRPr="003F3C87" w:rsidR="69E8D25B">
        <w:t>verage</w:t>
      </w:r>
      <w:r w:rsidRPr="003F3C87" w:rsidR="25FA2171">
        <w:t xml:space="preserve">, </w:t>
      </w:r>
      <w:r w:rsidRPr="003F3C87" w:rsidR="5AFD8370">
        <w:t>including</w:t>
      </w:r>
      <w:r w:rsidRPr="003F3C87" w:rsidR="25FA2171">
        <w:t xml:space="preserve"> </w:t>
      </w:r>
      <w:r w:rsidRPr="003F3C87" w:rsidR="69E8D25B">
        <w:t>wildfire liability</w:t>
      </w:r>
      <w:r w:rsidRPr="003F3C87" w:rsidR="5AFD8370">
        <w:t xml:space="preserve"> coverage</w:t>
      </w:r>
      <w:r w:rsidRPr="003F3C87" w:rsidR="69E8D25B">
        <w:t>, is</w:t>
      </w:r>
      <w:r w:rsidRPr="003F3C87" w:rsidR="2B6D56FE">
        <w:t xml:space="preserve"> </w:t>
      </w:r>
      <w:r w:rsidRPr="003F3C87" w:rsidR="5AFD8370">
        <w:t xml:space="preserve">regularly </w:t>
      </w:r>
      <w:r w:rsidRPr="003F3C87" w:rsidR="2B6D56FE">
        <w:t xml:space="preserve">allocated to </w:t>
      </w:r>
      <w:r w:rsidRPr="003F3C87" w:rsidR="28696180">
        <w:t xml:space="preserve">the San Onofre Nuclear Generating Station </w:t>
      </w:r>
      <w:r w:rsidRPr="003F3C87" w:rsidR="512A3F05">
        <w:t>(</w:t>
      </w:r>
      <w:r w:rsidRPr="003F3C87" w:rsidR="2B6D56FE">
        <w:t>SONGS</w:t>
      </w:r>
      <w:r w:rsidRPr="003F3C87" w:rsidR="512A3F05">
        <w:t>)</w:t>
      </w:r>
      <w:r w:rsidRPr="003F3C87" w:rsidR="2B6D56FE">
        <w:t>.</w:t>
      </w:r>
      <w:r w:rsidRPr="003F3C87" w:rsidR="5AFD8370">
        <w:t xml:space="preserve"> </w:t>
      </w:r>
      <w:r w:rsidRPr="003F3C87" w:rsidR="53CA2DBB">
        <w:t xml:space="preserve">To justify the coverage, </w:t>
      </w:r>
      <w:r w:rsidRPr="003F3C87" w:rsidR="47CB66D1">
        <w:t>SCE</w:t>
      </w:r>
      <w:r w:rsidRPr="003F3C87" w:rsidR="25FA2171">
        <w:t xml:space="preserve"> </w:t>
      </w:r>
      <w:r w:rsidRPr="003F3C87" w:rsidR="0DF7C939">
        <w:t>specified that SONGS remain</w:t>
      </w:r>
      <w:r w:rsidRPr="003F3C87" w:rsidR="02C979E7">
        <w:t>s</w:t>
      </w:r>
      <w:r w:rsidRPr="003F3C87" w:rsidR="0DF7C939">
        <w:t xml:space="preserve"> </w:t>
      </w:r>
      <w:r w:rsidRPr="003F3C87" w:rsidR="31985AA1">
        <w:t>energized,</w:t>
      </w:r>
      <w:r w:rsidRPr="003F3C87" w:rsidR="0DF7C939">
        <w:t xml:space="preserve"> and its electric transmission and distribution lines are sited </w:t>
      </w:r>
      <w:r w:rsidRPr="003F3C87" w:rsidR="02C979E7">
        <w:t>within or next to</w:t>
      </w:r>
      <w:r w:rsidRPr="003F3C87" w:rsidR="0DF7C939">
        <w:t xml:space="preserve"> </w:t>
      </w:r>
      <w:r w:rsidRPr="003F3C87" w:rsidR="02C979E7">
        <w:t xml:space="preserve">Tier 2 </w:t>
      </w:r>
      <w:r w:rsidRPr="003F3C87" w:rsidR="02C979E7">
        <w:lastRenderedPageBreak/>
        <w:t xml:space="preserve">High Fire Threat </w:t>
      </w:r>
      <w:r w:rsidRPr="003F3C87" w:rsidR="51C158E4">
        <w:t>District a</w:t>
      </w:r>
      <w:r w:rsidRPr="003F3C87" w:rsidR="02C979E7">
        <w:t xml:space="preserve">reas. </w:t>
      </w:r>
      <w:r w:rsidRPr="003F3C87" w:rsidR="51C158E4">
        <w:t>For the 2019</w:t>
      </w:r>
      <w:r w:rsidRPr="003F3C87" w:rsidR="7377F724">
        <w:t xml:space="preserve"> </w:t>
      </w:r>
      <w:r w:rsidRPr="003F3C87" w:rsidR="51C158E4">
        <w:t>-</w:t>
      </w:r>
      <w:r w:rsidRPr="003F3C87" w:rsidR="7377F724">
        <w:t xml:space="preserve"> </w:t>
      </w:r>
      <w:r w:rsidRPr="003F3C87" w:rsidR="51C158E4">
        <w:t xml:space="preserve">2020 policy year, SCE </w:t>
      </w:r>
      <w:r w:rsidRPr="003F3C87" w:rsidR="47CB66D1">
        <w:t xml:space="preserve">proposed to allocate $9 million in general liability costs </w:t>
      </w:r>
      <w:r w:rsidRPr="003F3C87" w:rsidR="51C158E4">
        <w:t xml:space="preserve">to SONGS. </w:t>
      </w:r>
      <w:r w:rsidRPr="003F3C87" w:rsidR="743A2129">
        <w:t xml:space="preserve">SCE detailed that these liability costs </w:t>
      </w:r>
      <w:r w:rsidRPr="003F3C87" w:rsidR="55C540B1">
        <w:t>are shared by SONGS co-owners</w:t>
      </w:r>
      <w:r w:rsidRPr="003F3C87" w:rsidR="00A27F65">
        <w:rPr>
          <w:rStyle w:val="FootnoteReference"/>
        </w:rPr>
        <w:footnoteReference w:id="7"/>
      </w:r>
      <w:r w:rsidRPr="003F3C87" w:rsidR="55C540B1">
        <w:t xml:space="preserve"> </w:t>
      </w:r>
      <w:r w:rsidRPr="003F3C87" w:rsidR="57AE4751">
        <w:t xml:space="preserve">and </w:t>
      </w:r>
      <w:r w:rsidRPr="003F3C87" w:rsidR="55C540B1">
        <w:t>SCE would seek cost</w:t>
      </w:r>
      <w:r w:rsidRPr="003F3C87" w:rsidR="743A2129">
        <w:t xml:space="preserve"> recover</w:t>
      </w:r>
      <w:r w:rsidRPr="003F3C87" w:rsidR="55C540B1">
        <w:t>y</w:t>
      </w:r>
      <w:r w:rsidRPr="003F3C87" w:rsidR="743A2129">
        <w:t xml:space="preserve"> in the SONGS </w:t>
      </w:r>
      <w:r w:rsidRPr="003F3C87" w:rsidR="53CA2DBB">
        <w:t>Nuclear Decommissioning Trust (</w:t>
      </w:r>
      <w:r w:rsidRPr="003F3C87" w:rsidR="743A2129">
        <w:t>NDT</w:t>
      </w:r>
      <w:r w:rsidRPr="003F3C87" w:rsidR="53CA2DBB">
        <w:t>)</w:t>
      </w:r>
      <w:r w:rsidRPr="003F3C87" w:rsidR="57AE4751">
        <w:t xml:space="preserve"> fund</w:t>
      </w:r>
      <w:r w:rsidRPr="003F3C87" w:rsidR="55C540B1">
        <w:t>.</w:t>
      </w:r>
      <w:r w:rsidRPr="003F3C87" w:rsidR="0A70AF75">
        <w:t xml:space="preserve"> </w:t>
      </w:r>
    </w:p>
    <w:p w:rsidRPr="003F3C87" w:rsidR="00B257AF" w:rsidP="006603FE" w:rsidRDefault="6C26A063" w14:paraId="6C5FDEB6" w14:textId="6305FC51">
      <w:pPr>
        <w:pStyle w:val="Standard"/>
        <w:tabs>
          <w:tab w:val="left" w:pos="720"/>
        </w:tabs>
        <w:ind w:left="90" w:firstLine="630"/>
        <w:rPr>
          <w:b/>
          <w:bCs/>
        </w:rPr>
      </w:pPr>
      <w:r w:rsidRPr="003F3C87">
        <w:t xml:space="preserve">In </w:t>
      </w:r>
      <w:r w:rsidRPr="003F3C87" w:rsidR="5DFFD263">
        <w:t xml:space="preserve">its </w:t>
      </w:r>
      <w:r w:rsidRPr="003F3C87" w:rsidR="77E01B59">
        <w:t>2019 WEMA</w:t>
      </w:r>
      <w:r w:rsidRPr="003F3C87">
        <w:t xml:space="preserve"> </w:t>
      </w:r>
      <w:r w:rsidRPr="003F3C87" w:rsidR="3B6F7FF7">
        <w:t>R</w:t>
      </w:r>
      <w:r w:rsidRPr="003F3C87">
        <w:t xml:space="preserve">ebuttal </w:t>
      </w:r>
      <w:r w:rsidRPr="003F3C87" w:rsidR="3B6F7FF7">
        <w:t>T</w:t>
      </w:r>
      <w:r w:rsidRPr="003F3C87">
        <w:t xml:space="preserve">estimony, </w:t>
      </w:r>
      <w:r w:rsidRPr="003F3C87" w:rsidR="56D8017D">
        <w:t xml:space="preserve">SCE clarified its proposal on </w:t>
      </w:r>
      <w:r w:rsidRPr="003F3C87" w:rsidR="4B9A7220">
        <w:t xml:space="preserve">cost allocation and recovery of $9 million in </w:t>
      </w:r>
      <w:r w:rsidRPr="003F3C87" w:rsidR="56D8017D">
        <w:t>SONGS general liability cost</w:t>
      </w:r>
      <w:r w:rsidRPr="003F3C87" w:rsidR="4B9A7220">
        <w:t>s</w:t>
      </w:r>
      <w:r w:rsidRPr="003F3C87">
        <w:t>.</w:t>
      </w:r>
      <w:r w:rsidRPr="003F3C87" w:rsidR="4B9A7220">
        <w:t xml:space="preserve"> Rather than allocate </w:t>
      </w:r>
      <w:r w:rsidRPr="003F3C87" w:rsidR="580A1A1D">
        <w:t>this portion of</w:t>
      </w:r>
      <w:r w:rsidRPr="003F3C87" w:rsidR="4B9A7220">
        <w:t xml:space="preserve"> SONGS general liability costs to the SONGS NDT fund and ultimately to SONGS co-owners,</w:t>
      </w:r>
      <w:r w:rsidRPr="003F3C87">
        <w:t xml:space="preserve"> SCE </w:t>
      </w:r>
      <w:r w:rsidRPr="003F3C87" w:rsidR="5DFFD263">
        <w:t>proposed</w:t>
      </w:r>
      <w:r w:rsidRPr="003F3C87" w:rsidR="4B9A7220">
        <w:t xml:space="preserve"> to allocate </w:t>
      </w:r>
      <w:r w:rsidRPr="003F3C87" w:rsidR="5E2BF9D9">
        <w:t>$1.3</w:t>
      </w:r>
      <w:r w:rsidRPr="003F3C87" w:rsidR="16340338">
        <w:t> </w:t>
      </w:r>
      <w:r w:rsidRPr="003F3C87" w:rsidR="5E2BF9D9">
        <w:t xml:space="preserve">million to </w:t>
      </w:r>
      <w:r w:rsidRPr="003F3C87" w:rsidR="507F955B">
        <w:t xml:space="preserve">the </w:t>
      </w:r>
      <w:r w:rsidRPr="003F3C87" w:rsidR="5E2BF9D9">
        <w:t xml:space="preserve">SONGS NDT fund and </w:t>
      </w:r>
      <w:r w:rsidRPr="003F3C87" w:rsidR="4B9A7220">
        <w:t>$7.7 million to WEMA</w:t>
      </w:r>
      <w:r w:rsidRPr="003F3C87" w:rsidR="5E2BF9D9">
        <w:t>, the latter</w:t>
      </w:r>
      <w:r w:rsidRPr="003F3C87" w:rsidR="4B9A7220">
        <w:t xml:space="preserve"> </w:t>
      </w:r>
      <w:r w:rsidRPr="003F3C87" w:rsidR="5E2BF9D9">
        <w:t>to be recovered in rates in future applications</w:t>
      </w:r>
      <w:r w:rsidRPr="003F3C87" w:rsidR="1B6BE132">
        <w:t>.</w:t>
      </w:r>
      <w:r w:rsidRPr="003F3C87" w:rsidR="006963AD">
        <w:rPr>
          <w:rStyle w:val="FootnoteReference"/>
        </w:rPr>
        <w:footnoteReference w:id="8"/>
      </w:r>
    </w:p>
    <w:p w:rsidRPr="003F3C87" w:rsidR="00A473E7" w:rsidP="002A3EF4" w:rsidRDefault="2CBDFD28" w14:paraId="620C500D" w14:textId="6AEAC2DA">
      <w:pPr>
        <w:pStyle w:val="Standard"/>
        <w:tabs>
          <w:tab w:val="left" w:pos="720"/>
        </w:tabs>
        <w:ind w:left="90" w:firstLine="630"/>
      </w:pPr>
      <w:r w:rsidRPr="003F3C87">
        <w:t xml:space="preserve">D.20-09-024 </w:t>
      </w:r>
      <w:r w:rsidRPr="003F3C87" w:rsidR="18E9B629">
        <w:t>(20</w:t>
      </w:r>
      <w:r w:rsidRPr="003F3C87" w:rsidR="14366DE4">
        <w:t>20</w:t>
      </w:r>
      <w:r w:rsidR="70661512">
        <w:t xml:space="preserve"> </w:t>
      </w:r>
      <w:r w:rsidRPr="003F3C87" w:rsidR="18E9B629">
        <w:t xml:space="preserve">WEMA Decision) </w:t>
      </w:r>
      <w:r w:rsidRPr="003F3C87" w:rsidR="0207C012">
        <w:t>adopted SCE’s</w:t>
      </w:r>
      <w:r w:rsidRPr="003F3C87" w:rsidR="0CC09405">
        <w:t xml:space="preserve"> proposed </w:t>
      </w:r>
      <w:r w:rsidRPr="003F3C87" w:rsidR="123D26DF">
        <w:t>$505</w:t>
      </w:r>
      <w:r w:rsidRPr="003F3C87" w:rsidR="16340338">
        <w:t> </w:t>
      </w:r>
      <w:r w:rsidRPr="003F3C87" w:rsidR="6601F79F">
        <w:t xml:space="preserve">million </w:t>
      </w:r>
      <w:r w:rsidRPr="003F3C87" w:rsidR="0CC09405">
        <w:t xml:space="preserve">revenue requirement </w:t>
      </w:r>
      <w:r w:rsidRPr="003F3C87" w:rsidR="123D26DF">
        <w:t>based on</w:t>
      </w:r>
      <w:r w:rsidRPr="003F3C87">
        <w:t xml:space="preserve"> SCE’s</w:t>
      </w:r>
      <w:r w:rsidRPr="003F3C87" w:rsidR="717751A4">
        <w:t xml:space="preserve"> demonstration by a preponderance of evidence that it</w:t>
      </w:r>
      <w:r w:rsidRPr="003F3C87" w:rsidR="123D26DF">
        <w:t xml:space="preserve"> </w:t>
      </w:r>
      <w:r w:rsidRPr="003F3C87">
        <w:t>compli</w:t>
      </w:r>
      <w:r w:rsidRPr="003F3C87" w:rsidR="717751A4">
        <w:t>ed</w:t>
      </w:r>
      <w:r w:rsidRPr="003F3C87">
        <w:t xml:space="preserve"> with the Commission’s prudent manager standard</w:t>
      </w:r>
      <w:r w:rsidRPr="003F3C87" w:rsidR="123D26DF">
        <w:t>.</w:t>
      </w:r>
      <w:r w:rsidRPr="003F3C87" w:rsidR="002B5CB1">
        <w:rPr>
          <w:rStyle w:val="FootnoteReference"/>
        </w:rPr>
        <w:footnoteReference w:id="9"/>
      </w:r>
      <w:r w:rsidRPr="003F3C87" w:rsidR="123D26DF">
        <w:t xml:space="preserve"> </w:t>
      </w:r>
      <w:r w:rsidRPr="003F3C87" w:rsidR="53CA2DBB">
        <w:t xml:space="preserve">The decision </w:t>
      </w:r>
      <w:r w:rsidRPr="003F3C87" w:rsidR="0207C012">
        <w:t>acknowledged that utilities were likely to assume “incremental unreimbursed wildfire liability related” costs including those associated with wildfire premiums.</w:t>
      </w:r>
      <w:r w:rsidRPr="003F3C87" w:rsidR="005738D7">
        <w:rPr>
          <w:rStyle w:val="FootnoteReference"/>
        </w:rPr>
        <w:footnoteReference w:id="10"/>
      </w:r>
      <w:r w:rsidRPr="003F3C87" w:rsidR="0207C012">
        <w:t xml:space="preserve"> </w:t>
      </w:r>
      <w:r w:rsidRPr="003F3C87" w:rsidR="19DCAC80">
        <w:t xml:space="preserve">To decrease ratepayer impact, </w:t>
      </w:r>
      <w:r w:rsidRPr="003F3C87" w:rsidR="18E9B629">
        <w:t>the 20</w:t>
      </w:r>
      <w:r w:rsidRPr="003F3C87" w:rsidR="14366DE4">
        <w:t>20</w:t>
      </w:r>
      <w:r w:rsidRPr="003F3C87" w:rsidR="18E9B629">
        <w:t xml:space="preserve"> WEMA Decision </w:t>
      </w:r>
      <w:r w:rsidRPr="003F3C87" w:rsidR="717751A4">
        <w:t xml:space="preserve">also </w:t>
      </w:r>
      <w:r w:rsidRPr="003F3C87" w:rsidR="19DCAC80">
        <w:t xml:space="preserve">imposed a two-year amortization period for </w:t>
      </w:r>
      <w:r w:rsidRPr="003F3C87">
        <w:t xml:space="preserve">cost </w:t>
      </w:r>
      <w:r w:rsidRPr="003F3C87" w:rsidR="19DCAC80">
        <w:t>recovery</w:t>
      </w:r>
      <w:r w:rsidRPr="003F3C87">
        <w:t xml:space="preserve"> in rates</w:t>
      </w:r>
      <w:r w:rsidRPr="003F3C87" w:rsidR="19DCAC80">
        <w:t>.</w:t>
      </w:r>
      <w:r w:rsidRPr="003F3C87" w:rsidR="00614B09">
        <w:rPr>
          <w:rStyle w:val="FootnoteReference"/>
        </w:rPr>
        <w:footnoteReference w:id="11"/>
      </w:r>
    </w:p>
    <w:p w:rsidRPr="003F3C87" w:rsidR="0063491C" w:rsidP="0063491C" w:rsidRDefault="0063491C" w14:paraId="6EDCFFCF" w14:textId="77777777">
      <w:pPr>
        <w:pStyle w:val="Heading2"/>
      </w:pPr>
      <w:bookmarkStart w:name="_Toc8123717" w:id="13"/>
      <w:bookmarkStart w:name="_Toc12866686" w:id="14"/>
      <w:bookmarkStart w:name="_Toc126071040" w:id="15"/>
      <w:r w:rsidRPr="003F3C87">
        <w:t>Procedural Background</w:t>
      </w:r>
      <w:bookmarkEnd w:id="13"/>
      <w:bookmarkEnd w:id="14"/>
      <w:bookmarkEnd w:id="15"/>
    </w:p>
    <w:p w:rsidRPr="003F3C87" w:rsidR="00B0629F" w:rsidP="00387B2A" w:rsidRDefault="23E66810" w14:paraId="01891937" w14:textId="70565350">
      <w:pPr>
        <w:pStyle w:val="Standard"/>
      </w:pPr>
      <w:r w:rsidRPr="003F3C87">
        <w:t>SCE filed A.20-12-010</w:t>
      </w:r>
      <w:r w:rsidRPr="003F3C87" w:rsidR="17B29874">
        <w:t xml:space="preserve"> </w:t>
      </w:r>
      <w:r w:rsidRPr="003F3C87" w:rsidR="77E01B59">
        <w:t>(2020 WEMA</w:t>
      </w:r>
      <w:r w:rsidRPr="003F3C87" w:rsidR="18E9B629">
        <w:t xml:space="preserve"> Application</w:t>
      </w:r>
      <w:r w:rsidRPr="003F3C87" w:rsidR="77E01B59">
        <w:t xml:space="preserve">) </w:t>
      </w:r>
      <w:r w:rsidRPr="003F3C87" w:rsidR="17B29874">
        <w:t>on December 17, 2020,</w:t>
      </w:r>
      <w:r w:rsidRPr="003F3C87">
        <w:t xml:space="preserve"> to</w:t>
      </w:r>
      <w:r w:rsidRPr="003F3C87" w:rsidR="717751A4">
        <w:t xml:space="preserve"> </w:t>
      </w:r>
      <w:r w:rsidRPr="003F3C87">
        <w:t xml:space="preserve">obtain authorization for rate </w:t>
      </w:r>
      <w:r w:rsidRPr="003F3C87" w:rsidR="717751A4">
        <w:t>recover</w:t>
      </w:r>
      <w:r w:rsidRPr="003F3C87">
        <w:t>y of</w:t>
      </w:r>
      <w:r w:rsidRPr="003F3C87" w:rsidR="4FAD912A">
        <w:t xml:space="preserve"> </w:t>
      </w:r>
      <w:r w:rsidRPr="003F3C87" w:rsidR="427EEA16">
        <w:t xml:space="preserve">$214.5 million that </w:t>
      </w:r>
      <w:r w:rsidRPr="003F3C87" w:rsidR="7730ABC7">
        <w:t>includes</w:t>
      </w:r>
      <w:r w:rsidRPr="003F3C87" w:rsidR="427EEA16">
        <w:t xml:space="preserve"> </w:t>
      </w:r>
      <w:r w:rsidRPr="003F3C87" w:rsidR="4FAD912A">
        <w:t>50% of</w:t>
      </w:r>
      <w:r w:rsidRPr="003F3C87" w:rsidR="427EEA16">
        <w:t xml:space="preserve"> </w:t>
      </w:r>
      <w:r w:rsidRPr="003F3C87" w:rsidR="27CC61DE">
        <w:lastRenderedPageBreak/>
        <w:t xml:space="preserve">wildfire insurance premium costs, associated financing and interest costs, and Franchise Fees and Uncollectibles (FFU) </w:t>
      </w:r>
      <w:r w:rsidRPr="003F3C87">
        <w:t xml:space="preserve">tracked </w:t>
      </w:r>
      <w:r w:rsidRPr="003F3C87" w:rsidR="4FAD912A">
        <w:t>during the 2020</w:t>
      </w:r>
      <w:r w:rsidRPr="003F3C87" w:rsidR="7377F724">
        <w:t xml:space="preserve"> </w:t>
      </w:r>
      <w:r w:rsidRPr="003F3C87" w:rsidR="4FAD912A">
        <w:t>-</w:t>
      </w:r>
      <w:r w:rsidRPr="003F3C87" w:rsidR="7377F724">
        <w:t xml:space="preserve"> </w:t>
      </w:r>
      <w:r w:rsidRPr="003F3C87" w:rsidR="4FAD912A">
        <w:t>2021 policy year (</w:t>
      </w:r>
      <w:r w:rsidRPr="003F3C87" w:rsidR="717751A4">
        <w:t>July</w:t>
      </w:r>
      <w:r w:rsidRPr="003F3C87" w:rsidR="1FAF53F9">
        <w:t xml:space="preserve"> </w:t>
      </w:r>
      <w:r w:rsidRPr="003F3C87" w:rsidR="26486B31">
        <w:t xml:space="preserve">1, </w:t>
      </w:r>
      <w:r w:rsidRPr="003F3C87" w:rsidR="717751A4">
        <w:t>2020–</w:t>
      </w:r>
      <w:r w:rsidRPr="003F3C87" w:rsidR="1FAF53F9">
        <w:t>December 31, 2020</w:t>
      </w:r>
      <w:r w:rsidRPr="003F3C87" w:rsidR="4FAD912A">
        <w:t>)</w:t>
      </w:r>
      <w:r w:rsidRPr="003F3C87" w:rsidR="7730ABC7">
        <w:t xml:space="preserve"> and </w:t>
      </w:r>
      <w:r w:rsidRPr="003F3C87" w:rsidR="427EEA16">
        <w:t xml:space="preserve">$7.2 million in </w:t>
      </w:r>
      <w:r w:rsidRPr="003F3C87" w:rsidR="51448032">
        <w:t>C</w:t>
      </w:r>
      <w:r w:rsidRPr="003F3C87" w:rsidR="6601F79F">
        <w:t>ommission</w:t>
      </w:r>
      <w:r w:rsidRPr="003F3C87" w:rsidR="19490797">
        <w:t xml:space="preserve"> </w:t>
      </w:r>
      <w:r w:rsidRPr="003F3C87" w:rsidR="004127FC">
        <w:noBreakHyphen/>
      </w:r>
      <w:r w:rsidRPr="003F3C87" w:rsidR="51448032">
        <w:t xml:space="preserve">jurisdictional </w:t>
      </w:r>
      <w:r w:rsidRPr="003F3C87" w:rsidR="427EEA16">
        <w:t xml:space="preserve">SONGS </w:t>
      </w:r>
      <w:r w:rsidRPr="003F3C87" w:rsidR="0573E559">
        <w:t xml:space="preserve">wildfire insurance premium </w:t>
      </w:r>
      <w:r w:rsidRPr="003F3C87" w:rsidR="427EEA16">
        <w:t>costs</w:t>
      </w:r>
      <w:r w:rsidRPr="003F3C87" w:rsidR="5A8CE120">
        <w:t xml:space="preserve"> (SONGS Adjustment)</w:t>
      </w:r>
      <w:r w:rsidRPr="003F3C87" w:rsidR="427EEA16">
        <w:t xml:space="preserve"> </w:t>
      </w:r>
      <w:r w:rsidRPr="003F3C87" w:rsidR="22151F6E">
        <w:t>from the 2019</w:t>
      </w:r>
      <w:r w:rsidRPr="003F3C87" w:rsidR="7377F724">
        <w:t xml:space="preserve"> </w:t>
      </w:r>
      <w:r w:rsidRPr="003F3C87" w:rsidR="22151F6E">
        <w:t xml:space="preserve">-2020 policy </w:t>
      </w:r>
      <w:r w:rsidRPr="003F3C87" w:rsidR="601AF962">
        <w:t>year</w:t>
      </w:r>
      <w:r w:rsidRPr="003F3C87" w:rsidR="22151F6E">
        <w:t xml:space="preserve"> </w:t>
      </w:r>
      <w:r w:rsidRPr="003F3C87" w:rsidR="427EEA16">
        <w:t xml:space="preserve">that </w:t>
      </w:r>
      <w:r w:rsidRPr="003F3C87" w:rsidR="54955580">
        <w:t>was</w:t>
      </w:r>
      <w:r w:rsidRPr="003F3C87" w:rsidR="427EEA16">
        <w:t xml:space="preserve"> not request</w:t>
      </w:r>
      <w:r w:rsidRPr="003F3C87" w:rsidR="54955580">
        <w:t>ed</w:t>
      </w:r>
      <w:r w:rsidRPr="003F3C87" w:rsidR="427EEA16">
        <w:t xml:space="preserve"> in its</w:t>
      </w:r>
      <w:r w:rsidRPr="003F3C87" w:rsidR="77E01B59">
        <w:t xml:space="preserve"> 2019</w:t>
      </w:r>
      <w:r w:rsidRPr="003F3C87" w:rsidR="16340338">
        <w:t> </w:t>
      </w:r>
      <w:r w:rsidRPr="003F3C87" w:rsidR="77E01B59">
        <w:t xml:space="preserve">WEMA </w:t>
      </w:r>
      <w:r w:rsidRPr="003F3C87" w:rsidR="24A78E16">
        <w:t>Application</w:t>
      </w:r>
      <w:r w:rsidRPr="003F3C87" w:rsidR="427EEA16">
        <w:t>.</w:t>
      </w:r>
      <w:r w:rsidRPr="003F3C87" w:rsidR="00C94EA7">
        <w:rPr>
          <w:rStyle w:val="FootnoteReference"/>
        </w:rPr>
        <w:footnoteReference w:id="12"/>
      </w:r>
      <w:r w:rsidRPr="003F3C87" w:rsidR="427EEA16">
        <w:t xml:space="preserve"> </w:t>
      </w:r>
      <w:r w:rsidRPr="003F3C87" w:rsidR="45DE00AB">
        <w:t>If approved by the Commission, SCE proposed to transfer the authorized revenue requirement from WEMA to the distribution sub-account of BRRBA for recovery in customer distribution rates over a 12</w:t>
      </w:r>
      <w:r w:rsidRPr="003F3C87" w:rsidR="00013B29">
        <w:noBreakHyphen/>
      </w:r>
      <w:r w:rsidRPr="003F3C87" w:rsidR="45DE00AB">
        <w:t>month period.</w:t>
      </w:r>
      <w:r w:rsidRPr="003F3C87" w:rsidR="00B37134">
        <w:rPr>
          <w:rStyle w:val="FootnoteReference"/>
        </w:rPr>
        <w:footnoteReference w:id="13"/>
      </w:r>
      <w:r w:rsidRPr="003F3C87" w:rsidR="45DE00AB">
        <w:t xml:space="preserve"> </w:t>
      </w:r>
      <w:r w:rsidRPr="003F3C87" w:rsidR="427EEA16">
        <w:t xml:space="preserve">In support of its application, SCE cited the </w:t>
      </w:r>
      <w:r w:rsidRPr="003F3C87" w:rsidR="6601F79F">
        <w:t>Pacific Gas and Electric Company (</w:t>
      </w:r>
      <w:r w:rsidRPr="003F3C87" w:rsidR="427EEA16">
        <w:t>PG&amp;E</w:t>
      </w:r>
      <w:r w:rsidRPr="003F3C87" w:rsidR="6601F79F">
        <w:t>)</w:t>
      </w:r>
      <w:r w:rsidRPr="003F3C87" w:rsidR="427EEA16">
        <w:t xml:space="preserve"> San Bruno gas pipeline explosion, Aliso Canyon gas leak, and wildfires as factors leading to reduced utility access to and heightened cost of wildfire liability insurance premiums.</w:t>
      </w:r>
      <w:r w:rsidRPr="003F3C87" w:rsidR="00BF601E">
        <w:rPr>
          <w:rStyle w:val="FootnoteReference"/>
        </w:rPr>
        <w:footnoteReference w:id="14"/>
      </w:r>
      <w:r w:rsidRPr="003F3C87" w:rsidR="427EEA16">
        <w:t xml:space="preserve">  </w:t>
      </w:r>
    </w:p>
    <w:p w:rsidRPr="003F3C87" w:rsidR="00FC42AC" w:rsidP="00D34ACE" w:rsidRDefault="1366ED22" w14:paraId="1D5B8226" w14:textId="600F40F9">
      <w:pPr>
        <w:pStyle w:val="Standard"/>
      </w:pPr>
      <w:r w:rsidRPr="003F3C87">
        <w:t xml:space="preserve">On December </w:t>
      </w:r>
      <w:r w:rsidRPr="003F3C87" w:rsidR="3C42C11C">
        <w:t>20</w:t>
      </w:r>
      <w:r w:rsidRPr="003F3C87">
        <w:t>, 202</w:t>
      </w:r>
      <w:r w:rsidRPr="003F3C87" w:rsidR="3C42C11C">
        <w:t>0</w:t>
      </w:r>
      <w:r w:rsidRPr="003F3C87">
        <w:t xml:space="preserve">, SCE </w:t>
      </w:r>
      <w:r w:rsidRPr="003F3C87" w:rsidR="580A1A1D">
        <w:t>served</w:t>
      </w:r>
      <w:r w:rsidRPr="003F3C87">
        <w:t xml:space="preserve"> </w:t>
      </w:r>
      <w:r w:rsidRPr="003F3C87" w:rsidR="732A6CA1">
        <w:t>D</w:t>
      </w:r>
      <w:r w:rsidRPr="003F3C87" w:rsidR="5BEA1261">
        <w:t>irect</w:t>
      </w:r>
      <w:r w:rsidRPr="003F3C87">
        <w:t xml:space="preserve"> </w:t>
      </w:r>
      <w:r w:rsidRPr="003F3C87" w:rsidR="732A6CA1">
        <w:t>T</w:t>
      </w:r>
      <w:r w:rsidRPr="003F3C87">
        <w:t>estimony</w:t>
      </w:r>
      <w:r w:rsidRPr="003F3C87" w:rsidR="6FC14CB3">
        <w:t xml:space="preserve"> that su</w:t>
      </w:r>
      <w:r w:rsidRPr="003F3C87" w:rsidR="2FCBCF5F">
        <w:t>mmarized</w:t>
      </w:r>
      <w:r w:rsidRPr="003F3C87" w:rsidR="6FC14CB3">
        <w:t xml:space="preserve"> SCE’s justification for the reasonableness </w:t>
      </w:r>
      <w:r w:rsidRPr="003F3C87" w:rsidR="6C9576AE">
        <w:t xml:space="preserve">and </w:t>
      </w:r>
      <w:r w:rsidRPr="003F3C87" w:rsidR="2FCBCF5F">
        <w:t>rate recovery of</w:t>
      </w:r>
      <w:r w:rsidRPr="003F3C87" w:rsidR="6118C545">
        <w:t xml:space="preserve"> </w:t>
      </w:r>
      <w:r w:rsidRPr="003F3C87" w:rsidR="2FCBCF5F">
        <w:t xml:space="preserve">SCE’s </w:t>
      </w:r>
      <w:r w:rsidRPr="003F3C87" w:rsidR="6118C545">
        <w:t>WEMA revenue requirement</w:t>
      </w:r>
      <w:r w:rsidRPr="003F3C87" w:rsidR="6FC14CB3">
        <w:t xml:space="preserve">, </w:t>
      </w:r>
      <w:r w:rsidRPr="003F3C87" w:rsidR="6C9576AE">
        <w:t xml:space="preserve">and </w:t>
      </w:r>
      <w:r w:rsidRPr="003F3C87" w:rsidR="2FCBCF5F">
        <w:t xml:space="preserve">SCE’s </w:t>
      </w:r>
      <w:r w:rsidRPr="003F3C87" w:rsidR="6C9576AE">
        <w:t>rationale</w:t>
      </w:r>
      <w:r w:rsidRPr="003F3C87" w:rsidR="6FC14CB3">
        <w:t xml:space="preserve"> </w:t>
      </w:r>
      <w:r w:rsidRPr="003F3C87" w:rsidR="6C9576AE">
        <w:t>that</w:t>
      </w:r>
      <w:r w:rsidRPr="003F3C87" w:rsidR="6FC14CB3">
        <w:t xml:space="preserve"> WEMA-related costs are incremental to those recovered in GRCs</w:t>
      </w:r>
      <w:r w:rsidRPr="003F3C87" w:rsidR="6C9576AE">
        <w:t>.</w:t>
      </w:r>
      <w:r w:rsidRPr="003F3C87" w:rsidR="007613F1">
        <w:rPr>
          <w:rStyle w:val="FootnoteReference"/>
        </w:rPr>
        <w:footnoteReference w:id="15"/>
      </w:r>
      <w:r w:rsidRPr="003F3C87" w:rsidR="365577B2">
        <w:t xml:space="preserve"> </w:t>
      </w:r>
      <w:r w:rsidRPr="003F3C87" w:rsidR="580A1A1D">
        <w:t>SCE</w:t>
      </w:r>
      <w:r w:rsidRPr="003F3C87" w:rsidR="46B9F9FC">
        <w:t>’s revenue requirement included</w:t>
      </w:r>
      <w:r w:rsidRPr="003F3C87" w:rsidR="5B506B00">
        <w:t xml:space="preserve"> </w:t>
      </w:r>
      <w:r w:rsidRPr="003F3C87" w:rsidR="418ED2CD">
        <w:t>$9</w:t>
      </w:r>
      <w:r w:rsidRPr="003F3C87" w:rsidR="16340338">
        <w:t> </w:t>
      </w:r>
      <w:r w:rsidRPr="003F3C87" w:rsidR="418ED2CD">
        <w:t xml:space="preserve">million in </w:t>
      </w:r>
      <w:r w:rsidRPr="003F3C87" w:rsidR="46B9F9FC">
        <w:t xml:space="preserve">SONGS </w:t>
      </w:r>
      <w:r w:rsidRPr="003F3C87" w:rsidR="418ED2CD">
        <w:t>general liability insurance costs</w:t>
      </w:r>
      <w:r w:rsidRPr="003F3C87" w:rsidR="6748323E">
        <w:t xml:space="preserve"> </w:t>
      </w:r>
      <w:r w:rsidRPr="003F3C87" w:rsidR="46B9F9FC">
        <w:t>that SCE defer</w:t>
      </w:r>
      <w:r w:rsidRPr="003F3C87" w:rsidR="4992B20E">
        <w:t>red</w:t>
      </w:r>
      <w:r w:rsidRPr="003F3C87" w:rsidR="46B9F9FC">
        <w:t xml:space="preserve"> from the 2019-2020 policy year</w:t>
      </w:r>
      <w:r w:rsidRPr="003F3C87" w:rsidR="5BEA1261">
        <w:t>.</w:t>
      </w:r>
      <w:r w:rsidRPr="003F3C87" w:rsidR="0B36FC3C">
        <w:t xml:space="preserve"> </w:t>
      </w:r>
      <w:r w:rsidRPr="003F3C87" w:rsidR="484FBA41">
        <w:t xml:space="preserve">SCE explained that it historically allocates a certain portion of general liability coverage costs, including wildfire liability costs, to </w:t>
      </w:r>
      <w:r w:rsidRPr="003F3C87" w:rsidR="484FBA41">
        <w:lastRenderedPageBreak/>
        <w:t>SONGS co-owners</w:t>
      </w:r>
      <w:r w:rsidRPr="003F3C87" w:rsidR="00592EB9">
        <w:rPr>
          <w:rStyle w:val="FootnoteReference"/>
        </w:rPr>
        <w:footnoteReference w:id="16"/>
      </w:r>
      <w:r w:rsidRPr="003F3C87" w:rsidR="484FBA41">
        <w:t xml:space="preserve"> via the SONGS NDT fund. SCE described these costs as “appropriately allocated to SONGS co-owners</w:t>
      </w:r>
      <w:r w:rsidRPr="003F3C87" w:rsidR="335868E9">
        <w:t>.</w:t>
      </w:r>
      <w:r w:rsidRPr="003F3C87" w:rsidR="484FBA41">
        <w:t>”</w:t>
      </w:r>
      <w:r w:rsidRPr="003F3C87" w:rsidR="38DE646D">
        <w:t xml:space="preserve"> </w:t>
      </w:r>
      <w:r w:rsidRPr="003F3C87" w:rsidR="3CFB54FD">
        <w:t>However, a</w:t>
      </w:r>
      <w:r w:rsidRPr="003F3C87" w:rsidR="38DE646D">
        <w:t xml:space="preserve">fter conferring with SONGS co-owners, </w:t>
      </w:r>
      <w:r w:rsidRPr="003F3C87" w:rsidR="4992B20E">
        <w:t xml:space="preserve">SCE </w:t>
      </w:r>
      <w:r w:rsidRPr="003F3C87" w:rsidR="484FBA41">
        <w:t>expressed</w:t>
      </w:r>
      <w:r w:rsidRPr="003F3C87" w:rsidR="5BEA1261">
        <w:t xml:space="preserve"> its intention</w:t>
      </w:r>
      <w:r w:rsidRPr="003F3C87" w:rsidR="4992B20E">
        <w:t xml:space="preserve"> to allocate </w:t>
      </w:r>
      <w:r w:rsidRPr="003F3C87" w:rsidR="215ADC35">
        <w:t>$1.3 million of these costs to SONGS</w:t>
      </w:r>
      <w:r w:rsidRPr="003F3C87" w:rsidR="5B506B00">
        <w:t xml:space="preserve"> co-owners and $7.2 million to WEMA</w:t>
      </w:r>
      <w:r w:rsidRPr="003F3C87" w:rsidR="6748323E">
        <w:t xml:space="preserve"> (</w:t>
      </w:r>
      <w:r w:rsidRPr="003F3C87" w:rsidR="6601F79F">
        <w:t xml:space="preserve">i.e., the </w:t>
      </w:r>
      <w:r w:rsidRPr="003F3C87" w:rsidR="6748323E">
        <w:t>SONGS Adjustment)</w:t>
      </w:r>
      <w:r w:rsidRPr="003F3C87" w:rsidR="5A8CE120">
        <w:t xml:space="preserve"> and SCE ratepayers</w:t>
      </w:r>
      <w:r w:rsidRPr="003F3C87" w:rsidR="5BEA1261">
        <w:t>.</w:t>
      </w:r>
      <w:r w:rsidRPr="003F3C87" w:rsidR="00AE0C81">
        <w:rPr>
          <w:rStyle w:val="FootnoteReference"/>
        </w:rPr>
        <w:footnoteReference w:id="17"/>
      </w:r>
      <w:r w:rsidRPr="003F3C87" w:rsidR="5BEA1261">
        <w:t xml:space="preserve"> </w:t>
      </w:r>
    </w:p>
    <w:p w:rsidRPr="003F3C87" w:rsidR="009D041C" w:rsidP="009D041C" w:rsidRDefault="6601F79F" w14:paraId="6E499F4F" w14:textId="06EC07A1">
      <w:pPr>
        <w:pStyle w:val="Standard"/>
      </w:pPr>
      <w:r w:rsidRPr="003F3C87">
        <w:t xml:space="preserve">The </w:t>
      </w:r>
      <w:r w:rsidRPr="003F3C87" w:rsidR="48698851">
        <w:t xml:space="preserve">Public Advocates Office </w:t>
      </w:r>
      <w:r w:rsidRPr="003F3C87">
        <w:t xml:space="preserve">at the California Public Utilities Commission </w:t>
      </w:r>
      <w:r w:rsidRPr="003F3C87" w:rsidR="77E90523">
        <w:t xml:space="preserve">(Cal Advocates) </w:t>
      </w:r>
      <w:r w:rsidRPr="003F3C87" w:rsidR="48698851">
        <w:t>timely fi</w:t>
      </w:r>
      <w:r w:rsidRPr="003F3C87" w:rsidR="29A7B64D">
        <w:t>led</w:t>
      </w:r>
      <w:r w:rsidRPr="003F3C87" w:rsidR="48698851">
        <w:t xml:space="preserve"> a </w:t>
      </w:r>
      <w:r w:rsidRPr="003F3C87" w:rsidR="732A6CA1">
        <w:t>P</w:t>
      </w:r>
      <w:r w:rsidRPr="003F3C87" w:rsidR="66CF269B">
        <w:t>rotest</w:t>
      </w:r>
      <w:r w:rsidRPr="003F3C87" w:rsidR="77E90523">
        <w:t xml:space="preserve"> </w:t>
      </w:r>
      <w:r w:rsidRPr="003F3C87" w:rsidR="23E66810">
        <w:t>on January 20, 2021</w:t>
      </w:r>
      <w:r w:rsidRPr="003F3C87" w:rsidR="5013B97B">
        <w:t>. Cal Advocates</w:t>
      </w:r>
      <w:r w:rsidRPr="003F3C87" w:rsidR="77E90523">
        <w:t xml:space="preserve"> </w:t>
      </w:r>
      <w:r w:rsidRPr="003F3C87" w:rsidR="385AC624">
        <w:t>requested</w:t>
      </w:r>
      <w:r w:rsidRPr="003F3C87" w:rsidR="37E38EA8">
        <w:t xml:space="preserve"> </w:t>
      </w:r>
      <w:r w:rsidRPr="003F3C87" w:rsidR="5013B97B">
        <w:t xml:space="preserve">that </w:t>
      </w:r>
      <w:r w:rsidRPr="003F3C87" w:rsidR="385AC624">
        <w:t xml:space="preserve">the </w:t>
      </w:r>
      <w:r w:rsidRPr="003F3C87" w:rsidR="37E38EA8">
        <w:t xml:space="preserve">Commission review </w:t>
      </w:r>
      <w:r w:rsidRPr="003F3C87" w:rsidR="5013B97B">
        <w:t xml:space="preserve">the </w:t>
      </w:r>
      <w:r w:rsidRPr="003F3C87" w:rsidR="37E38EA8">
        <w:t>reasonableness, amount, and rate recovery</w:t>
      </w:r>
      <w:r w:rsidRPr="003F3C87" w:rsidR="385AC624">
        <w:t xml:space="preserve"> method </w:t>
      </w:r>
      <w:r w:rsidRPr="003F3C87" w:rsidR="44EF8305">
        <w:t>f</w:t>
      </w:r>
      <w:r w:rsidRPr="003F3C87" w:rsidR="385AC624">
        <w:t>or</w:t>
      </w:r>
      <w:r w:rsidRPr="003F3C87" w:rsidR="44EF8305">
        <w:t xml:space="preserve"> SCE</w:t>
      </w:r>
      <w:r w:rsidRPr="003F3C87" w:rsidR="4B0BB002">
        <w:t xml:space="preserve">’s </w:t>
      </w:r>
      <w:r w:rsidRPr="003F3C87" w:rsidR="7956C1C3">
        <w:t xml:space="preserve">proposed </w:t>
      </w:r>
      <w:r w:rsidRPr="003F3C87" w:rsidR="4CA303C5">
        <w:t>revenue requirement</w:t>
      </w:r>
      <w:r w:rsidRPr="003F3C87" w:rsidR="5013B97B">
        <w:t>. In addition, Cal</w:t>
      </w:r>
      <w:r w:rsidRPr="003F3C87" w:rsidR="7377F724">
        <w:t> </w:t>
      </w:r>
      <w:r w:rsidRPr="003F3C87" w:rsidR="5013B97B">
        <w:t xml:space="preserve">Advocates recommended that </w:t>
      </w:r>
      <w:r w:rsidRPr="003F3C87" w:rsidR="385AC624">
        <w:t>evidentiary hearings</w:t>
      </w:r>
      <w:r w:rsidRPr="003F3C87" w:rsidR="5013B97B">
        <w:t xml:space="preserve"> should be scheduled</w:t>
      </w:r>
      <w:r w:rsidRPr="003F3C87" w:rsidR="385AC624">
        <w:t>, and</w:t>
      </w:r>
      <w:r w:rsidRPr="003F3C87" w:rsidR="7956C1C3">
        <w:t xml:space="preserve"> adequate time</w:t>
      </w:r>
      <w:r w:rsidRPr="003F3C87" w:rsidR="385AC624">
        <w:t xml:space="preserve"> </w:t>
      </w:r>
      <w:r w:rsidRPr="003F3C87" w:rsidR="5013B97B">
        <w:t xml:space="preserve">be allotted </w:t>
      </w:r>
      <w:r w:rsidRPr="003F3C87" w:rsidR="445460A8">
        <w:t xml:space="preserve">for </w:t>
      </w:r>
      <w:r w:rsidRPr="003F3C87" w:rsidR="385AC624">
        <w:t>discovery.</w:t>
      </w:r>
      <w:r w:rsidRPr="003F3C87" w:rsidR="00C95CE8">
        <w:rPr>
          <w:rStyle w:val="FootnoteReference"/>
        </w:rPr>
        <w:footnoteReference w:id="18"/>
      </w:r>
      <w:r w:rsidRPr="003F3C87" w:rsidR="385AC624">
        <w:t xml:space="preserve"> </w:t>
      </w:r>
    </w:p>
    <w:p w:rsidRPr="003F3C87" w:rsidR="0081075A" w:rsidP="009D041C" w:rsidRDefault="7956C1C3" w14:paraId="2F18CA87" w14:textId="1777B09B">
      <w:pPr>
        <w:pStyle w:val="Standard"/>
      </w:pPr>
      <w:r w:rsidRPr="003F3C87">
        <w:t>On February 1, 2021, SCE replied to Cal Advocates</w:t>
      </w:r>
      <w:r w:rsidRPr="003F3C87" w:rsidR="445460A8">
        <w:t>’</w:t>
      </w:r>
      <w:r w:rsidRPr="003F3C87">
        <w:t xml:space="preserve"> protest</w:t>
      </w:r>
      <w:r w:rsidRPr="003F3C87" w:rsidR="445460A8">
        <w:t xml:space="preserve">. In </w:t>
      </w:r>
      <w:r w:rsidRPr="003F3C87" w:rsidR="5DFFD263">
        <w:t>its</w:t>
      </w:r>
      <w:r w:rsidRPr="003F3C87" w:rsidR="445460A8">
        <w:t xml:space="preserve"> </w:t>
      </w:r>
      <w:r w:rsidRPr="003F3C87" w:rsidR="6F8EDFCD">
        <w:t>rep</w:t>
      </w:r>
      <w:r w:rsidRPr="003F3C87" w:rsidR="5DFFD263">
        <w:t>ly</w:t>
      </w:r>
      <w:r w:rsidRPr="003F3C87" w:rsidR="445460A8">
        <w:t>,</w:t>
      </w:r>
      <w:r w:rsidRPr="003F3C87">
        <w:t xml:space="preserve"> </w:t>
      </w:r>
      <w:r w:rsidRPr="003F3C87" w:rsidR="445460A8">
        <w:t xml:space="preserve">SCE urged the Commission to adopt </w:t>
      </w:r>
      <w:r w:rsidRPr="003F3C87" w:rsidR="427EEA16">
        <w:t xml:space="preserve">their </w:t>
      </w:r>
      <w:r w:rsidRPr="003F3C87" w:rsidR="2A881467">
        <w:t>proposed</w:t>
      </w:r>
      <w:r w:rsidRPr="003F3C87" w:rsidR="445460A8">
        <w:t xml:space="preserve"> scoping issues and </w:t>
      </w:r>
      <w:r w:rsidRPr="003F3C87">
        <w:t>concurred w</w:t>
      </w:r>
      <w:r w:rsidRPr="003F3C87" w:rsidR="445460A8">
        <w:t>ith those proposed by</w:t>
      </w:r>
      <w:r w:rsidRPr="003F3C87">
        <w:t xml:space="preserve"> </w:t>
      </w:r>
      <w:r w:rsidRPr="003F3C87" w:rsidR="445460A8">
        <w:t>Cal Advocates.</w:t>
      </w:r>
      <w:r w:rsidRPr="003F3C87" w:rsidR="00C95CE8">
        <w:rPr>
          <w:rStyle w:val="FootnoteReference"/>
        </w:rPr>
        <w:footnoteReference w:id="19"/>
      </w:r>
      <w:r w:rsidRPr="003F3C87" w:rsidR="6EA0D2EF">
        <w:t xml:space="preserve"> </w:t>
      </w:r>
    </w:p>
    <w:p w:rsidRPr="003F3C87" w:rsidR="00890FE4" w:rsidP="00890FE4" w:rsidRDefault="507DD2E8" w14:paraId="7A9B5037" w14:textId="7FF7EF9F">
      <w:pPr>
        <w:pStyle w:val="Standard"/>
      </w:pPr>
      <w:r w:rsidRPr="003F3C87">
        <w:t xml:space="preserve">The </w:t>
      </w:r>
      <w:r w:rsidRPr="003F3C87" w:rsidR="17B29874">
        <w:t xml:space="preserve">assigned </w:t>
      </w:r>
      <w:r w:rsidRPr="003F3C87" w:rsidR="1F12BA3D">
        <w:t>A</w:t>
      </w:r>
      <w:r w:rsidRPr="003F3C87" w:rsidR="17B29874">
        <w:t xml:space="preserve">dministrative </w:t>
      </w:r>
      <w:r w:rsidRPr="003F3C87" w:rsidR="1F12BA3D">
        <w:t>L</w:t>
      </w:r>
      <w:r w:rsidRPr="003F3C87" w:rsidR="17B29874">
        <w:t xml:space="preserve">aw </w:t>
      </w:r>
      <w:r w:rsidRPr="003F3C87" w:rsidR="1F12BA3D">
        <w:t>J</w:t>
      </w:r>
      <w:r w:rsidRPr="003F3C87" w:rsidR="17B29874">
        <w:t>udge (ALJ)</w:t>
      </w:r>
      <w:r w:rsidRPr="003F3C87">
        <w:t xml:space="preserve"> held a </w:t>
      </w:r>
      <w:r w:rsidRPr="003F3C87" w:rsidR="732A6CA1">
        <w:t>P</w:t>
      </w:r>
      <w:r w:rsidRPr="003F3C87">
        <w:t>re-</w:t>
      </w:r>
      <w:r w:rsidRPr="003F3C87" w:rsidR="732A6CA1">
        <w:t>H</w:t>
      </w:r>
      <w:r w:rsidRPr="003F3C87">
        <w:t xml:space="preserve">earing </w:t>
      </w:r>
      <w:r w:rsidRPr="003F3C87" w:rsidR="732A6CA1">
        <w:t>C</w:t>
      </w:r>
      <w:r w:rsidRPr="003F3C87">
        <w:t xml:space="preserve">onference on February 25, 2021, </w:t>
      </w:r>
      <w:r w:rsidRPr="003F3C87" w:rsidR="0A17E53E">
        <w:t xml:space="preserve">to </w:t>
      </w:r>
      <w:r w:rsidRPr="003F3C87" w:rsidR="01B604F1">
        <w:t>hear</w:t>
      </w:r>
      <w:r w:rsidRPr="003F3C87" w:rsidR="6A10DD20">
        <w:t xml:space="preserve"> proposed amendments to proceeding categorization,</w:t>
      </w:r>
      <w:r w:rsidRPr="003F3C87" w:rsidR="0A17E53E">
        <w:t xml:space="preserve"> scoping issues</w:t>
      </w:r>
      <w:r w:rsidRPr="003F3C87" w:rsidR="6A10DD20">
        <w:t>, and schedule</w:t>
      </w:r>
      <w:r w:rsidRPr="003F3C87" w:rsidR="0A17E53E">
        <w:t>.</w:t>
      </w:r>
      <w:r w:rsidRPr="003F3C87" w:rsidR="3750F161">
        <w:t xml:space="preserve"> Cal Advocates</w:t>
      </w:r>
      <w:r w:rsidRPr="003F3C87" w:rsidR="3699D32E">
        <w:t xml:space="preserve"> </w:t>
      </w:r>
      <w:r w:rsidRPr="003F3C87" w:rsidR="19581978">
        <w:t>recommended</w:t>
      </w:r>
      <w:r w:rsidRPr="003F3C87" w:rsidR="3699D32E">
        <w:t xml:space="preserve"> that the Commission examine the reasonableness of SCE’s proposal to amortize WEMA costs over a 12-month period</w:t>
      </w:r>
      <w:r w:rsidRPr="003F3C87" w:rsidR="3750F161">
        <w:t>.</w:t>
      </w:r>
      <w:r w:rsidRPr="003F3C87" w:rsidR="00890FE4">
        <w:rPr>
          <w:rStyle w:val="FootnoteReference"/>
        </w:rPr>
        <w:footnoteReference w:id="20"/>
      </w:r>
      <w:r w:rsidRPr="003F3C87" w:rsidR="3750F161">
        <w:t xml:space="preserve"> </w:t>
      </w:r>
    </w:p>
    <w:p w:rsidRPr="003F3C87" w:rsidR="00053640" w:rsidP="00A152A2" w:rsidRDefault="7BC4F019" w14:paraId="10480903" w14:textId="3B24E155">
      <w:pPr>
        <w:pStyle w:val="Standard"/>
      </w:pPr>
      <w:r w:rsidRPr="003F3C87">
        <w:t xml:space="preserve">Cal Advocates served </w:t>
      </w:r>
      <w:r w:rsidRPr="003F3C87" w:rsidR="1BE040C7">
        <w:t xml:space="preserve">a </w:t>
      </w:r>
      <w:r w:rsidRPr="003F3C87">
        <w:t xml:space="preserve">report on </w:t>
      </w:r>
      <w:r w:rsidRPr="003F3C87" w:rsidR="1BE040C7">
        <w:t xml:space="preserve">the reasonableness and cost allocation of </w:t>
      </w:r>
      <w:r w:rsidRPr="003F3C87">
        <w:t xml:space="preserve">SCE’s </w:t>
      </w:r>
      <w:r w:rsidRPr="003F3C87" w:rsidR="1BE040C7">
        <w:t>July 2020</w:t>
      </w:r>
      <w:r w:rsidRPr="003F3C87" w:rsidR="7377F724">
        <w:t xml:space="preserve"> </w:t>
      </w:r>
      <w:r w:rsidRPr="003F3C87" w:rsidR="1BE040C7">
        <w:t>-</w:t>
      </w:r>
      <w:r w:rsidRPr="003F3C87" w:rsidR="7377F724">
        <w:t xml:space="preserve"> </w:t>
      </w:r>
      <w:r w:rsidRPr="003F3C87" w:rsidR="1BE040C7">
        <w:t>December 2020 wildfire premium costs</w:t>
      </w:r>
      <w:r w:rsidRPr="003F3C87">
        <w:t xml:space="preserve"> on </w:t>
      </w:r>
      <w:r w:rsidRPr="003F3C87" w:rsidR="663D8F10">
        <w:t>May 21, 202</w:t>
      </w:r>
      <w:r w:rsidRPr="003F3C87" w:rsidR="386721BA">
        <w:t>1</w:t>
      </w:r>
      <w:r w:rsidRPr="003F3C87" w:rsidR="663D8F10">
        <w:t xml:space="preserve"> and</w:t>
      </w:r>
      <w:r w:rsidRPr="003F3C87">
        <w:t xml:space="preserve"> re-</w:t>
      </w:r>
      <w:r w:rsidRPr="003F3C87">
        <w:lastRenderedPageBreak/>
        <w:t>served it on September 2, 202</w:t>
      </w:r>
      <w:r w:rsidRPr="003F3C87" w:rsidR="386721BA">
        <w:t>1</w:t>
      </w:r>
      <w:r w:rsidRPr="003F3C87" w:rsidR="3B6CB27F">
        <w:t>.</w:t>
      </w:r>
      <w:r w:rsidRPr="003F3C87">
        <w:t xml:space="preserve"> After evaluating SCE’s application, testimony, and supporting documentation, Cal Advocates found no issue with SCE’s recovery of $207.3 million in costs related to SCE’s WEMA-related wildfire premiums, financing costs, interest, and Franchise Fees &amp; Uncollectibles for the period between July</w:t>
      </w:r>
      <w:r w:rsidR="003336FF">
        <w:t xml:space="preserve"> 1,</w:t>
      </w:r>
      <w:r w:rsidRPr="003F3C87">
        <w:t xml:space="preserve"> 2020 and December 31, 2020. In addition, Cal Advocates did not take issue with amortizing these costs over a 12-month period. However, Cal</w:t>
      </w:r>
      <w:r w:rsidRPr="003F3C87" w:rsidR="5CB5B922">
        <w:t> </w:t>
      </w:r>
      <w:r w:rsidRPr="003F3C87">
        <w:t>Advocates did not support SCE’s request for rate recovery of the SONGS Adjustment from ratepayers</w:t>
      </w:r>
      <w:r w:rsidRPr="003F3C87" w:rsidR="1036C1DD">
        <w:t xml:space="preserve"> because, according to Cal Advocates, SCE had </w:t>
      </w:r>
      <w:r w:rsidRPr="1E7186C4" w:rsidR="1036C1DD">
        <w:t xml:space="preserve">not provided </w:t>
      </w:r>
      <w:r w:rsidRPr="1E7186C4" w:rsidR="3A340421">
        <w:t xml:space="preserve">reasonable </w:t>
      </w:r>
      <w:r w:rsidR="1036C1DD">
        <w:t>justification</w:t>
      </w:r>
      <w:r w:rsidRPr="003F3C87">
        <w:t>.</w:t>
      </w:r>
      <w:r w:rsidR="003336FF">
        <w:t xml:space="preserve"> </w:t>
      </w:r>
      <w:r w:rsidRPr="003F3C87">
        <w:t>According to Cal Advocates, SCE should allocate these costs to SONGS co-owners through the SONGS NDT fund.</w:t>
      </w:r>
      <w:r w:rsidRPr="003F3C87" w:rsidR="00216F43">
        <w:rPr>
          <w:rStyle w:val="FootnoteReference"/>
        </w:rPr>
        <w:footnoteReference w:id="21"/>
      </w:r>
      <w:r w:rsidRPr="003F3C87">
        <w:t xml:space="preserve">  </w:t>
      </w:r>
    </w:p>
    <w:p w:rsidRPr="003F3C87" w:rsidR="00216F43" w:rsidP="003B5977" w:rsidRDefault="7BC4F019" w14:paraId="65B0B20D" w14:textId="14A58067">
      <w:pPr>
        <w:pStyle w:val="Standard"/>
      </w:pPr>
      <w:r w:rsidRPr="003F3C87">
        <w:t xml:space="preserve">SCE </w:t>
      </w:r>
      <w:r w:rsidRPr="003F3C87" w:rsidR="335868E9">
        <w:t xml:space="preserve">served </w:t>
      </w:r>
      <w:r w:rsidRPr="003F3C87">
        <w:t>Rebuttal Testimony on June 28, 2021. In rebuttal testimony, SCE proposed that SCE’s SONGS Adjustment should be earmarked for WEMA.</w:t>
      </w:r>
      <w:r w:rsidRPr="003F3C87" w:rsidR="00216F43">
        <w:rPr>
          <w:rStyle w:val="FootnoteReference"/>
        </w:rPr>
        <w:footnoteReference w:id="22"/>
      </w:r>
      <w:r w:rsidRPr="003F3C87">
        <w:t xml:space="preserve"> </w:t>
      </w:r>
    </w:p>
    <w:p w:rsidRPr="003F3C87" w:rsidR="008C5CF4" w:rsidP="00890FE4" w:rsidRDefault="3D242B17" w14:paraId="749150C9" w14:textId="585C7CFA">
      <w:pPr>
        <w:pStyle w:val="Standard"/>
      </w:pPr>
      <w:r w:rsidRPr="003F3C87">
        <w:t xml:space="preserve">On July 9, 2021, </w:t>
      </w:r>
      <w:r w:rsidRPr="003F3C87" w:rsidR="6EBCB684">
        <w:t xml:space="preserve">an </w:t>
      </w:r>
      <w:r w:rsidRPr="003F3C87">
        <w:t xml:space="preserve">ALJ ruling </w:t>
      </w:r>
      <w:r w:rsidRPr="003F3C87" w:rsidR="273C94F5">
        <w:t>directed</w:t>
      </w:r>
      <w:r w:rsidRPr="003F3C87">
        <w:t xml:space="preserve"> Cal Advocates and SCE to </w:t>
      </w:r>
      <w:r w:rsidRPr="003F3C87" w:rsidR="273C94F5">
        <w:t xml:space="preserve">meet and </w:t>
      </w:r>
      <w:r w:rsidRPr="003F3C87">
        <w:t>confer</w:t>
      </w:r>
      <w:r w:rsidRPr="003F3C87" w:rsidR="6EBCB684">
        <w:t xml:space="preserve"> and</w:t>
      </w:r>
      <w:r w:rsidRPr="003F3C87">
        <w:t xml:space="preserve"> file and serve a Joint Status Report by July 22, 2021</w:t>
      </w:r>
      <w:r w:rsidRPr="003F3C87" w:rsidR="6EBCB684">
        <w:t>. T</w:t>
      </w:r>
      <w:r w:rsidRPr="003F3C87" w:rsidR="179A0083">
        <w:t xml:space="preserve">he ruling </w:t>
      </w:r>
      <w:r w:rsidRPr="003F3C87" w:rsidR="273C94F5">
        <w:t>required</w:t>
      </w:r>
      <w:r w:rsidRPr="003F3C87" w:rsidR="179A0083">
        <w:t xml:space="preserve"> parties to address</w:t>
      </w:r>
      <w:r w:rsidRPr="003F3C87" w:rsidR="6EBCB684">
        <w:t xml:space="preserve"> </w:t>
      </w:r>
      <w:r w:rsidRPr="003F3C87" w:rsidR="01B604F1">
        <w:t xml:space="preserve">the need for </w:t>
      </w:r>
      <w:r w:rsidRPr="003F3C87" w:rsidR="034CB1E1">
        <w:t>evidentiary hearings</w:t>
      </w:r>
      <w:r w:rsidRPr="003F3C87" w:rsidR="179A0083">
        <w:t>,</w:t>
      </w:r>
      <w:r w:rsidRPr="003F3C87">
        <w:t xml:space="preserve"> discovery</w:t>
      </w:r>
      <w:r w:rsidRPr="003F3C87" w:rsidR="034CB1E1">
        <w:t>,</w:t>
      </w:r>
      <w:r w:rsidRPr="003F3C87" w:rsidR="179A0083">
        <w:t xml:space="preserve"> </w:t>
      </w:r>
      <w:r w:rsidRPr="003F3C87" w:rsidR="01B604F1">
        <w:t>legal issues</w:t>
      </w:r>
      <w:r w:rsidRPr="003F3C87" w:rsidR="7D747859">
        <w:t xml:space="preserve"> and </w:t>
      </w:r>
      <w:r w:rsidRPr="003F3C87" w:rsidR="01B604F1">
        <w:t xml:space="preserve">material facts, </w:t>
      </w:r>
      <w:r w:rsidRPr="003F3C87" w:rsidR="732A6CA1">
        <w:t xml:space="preserve">and </w:t>
      </w:r>
      <w:r w:rsidRPr="003F3C87" w:rsidR="01B604F1">
        <w:t>pending or anticipated motions</w:t>
      </w:r>
      <w:r w:rsidRPr="003F3C87" w:rsidR="1B7DE7FE">
        <w:t>. The ruling also</w:t>
      </w:r>
      <w:r w:rsidRPr="003F3C87" w:rsidR="01B604F1">
        <w:t xml:space="preserve"> </w:t>
      </w:r>
      <w:r w:rsidRPr="003F3C87" w:rsidR="1B7DE7FE">
        <w:t xml:space="preserve">set a </w:t>
      </w:r>
      <w:r w:rsidRPr="003F3C87" w:rsidR="034CB1E1">
        <w:t>Status</w:t>
      </w:r>
      <w:r w:rsidRPr="003F3C87" w:rsidR="01B604F1">
        <w:t xml:space="preserve"> </w:t>
      </w:r>
      <w:r w:rsidRPr="003F3C87" w:rsidR="1B7DE7FE">
        <w:t>Conference to be held on August 4, 2021.</w:t>
      </w:r>
      <w:r w:rsidRPr="003F3C87" w:rsidR="00DE33AF">
        <w:rPr>
          <w:rStyle w:val="FootnoteReference"/>
        </w:rPr>
        <w:footnoteReference w:id="23"/>
      </w:r>
      <w:r w:rsidRPr="003F3C87" w:rsidR="1B7DE7FE">
        <w:t xml:space="preserve"> </w:t>
      </w:r>
    </w:p>
    <w:p w:rsidRPr="003F3C87" w:rsidR="00DE33AF" w:rsidP="00890FE4" w:rsidRDefault="17B29874" w14:paraId="27512E81" w14:textId="36C11BC3">
      <w:pPr>
        <w:pStyle w:val="Standard"/>
      </w:pPr>
      <w:r w:rsidRPr="003F3C87">
        <w:t>On July 13, 2021, t</w:t>
      </w:r>
      <w:r w:rsidRPr="003F3C87" w:rsidR="1B7DE7FE">
        <w:t xml:space="preserve">he </w:t>
      </w:r>
      <w:r w:rsidRPr="003F3C87" w:rsidR="129B0ACF">
        <w:t>A</w:t>
      </w:r>
      <w:r w:rsidRPr="003F3C87">
        <w:t xml:space="preserve">ssigned </w:t>
      </w:r>
      <w:r w:rsidRPr="003F3C87" w:rsidR="129B0ACF">
        <w:t>C</w:t>
      </w:r>
      <w:r w:rsidRPr="003F3C87" w:rsidR="1B7DE7FE">
        <w:t>ommission</w:t>
      </w:r>
      <w:r w:rsidRPr="003F3C87">
        <w:t>er</w:t>
      </w:r>
      <w:r w:rsidRPr="003F3C87" w:rsidR="129B0ACF">
        <w:t>’</w:t>
      </w:r>
      <w:r w:rsidRPr="003F3C87">
        <w:t xml:space="preserve">s </w:t>
      </w:r>
      <w:r w:rsidRPr="003F3C87" w:rsidR="129B0ACF">
        <w:t>o</w:t>
      </w:r>
      <w:r w:rsidRPr="003F3C87">
        <w:t>ffice</w:t>
      </w:r>
      <w:r w:rsidRPr="003F3C87" w:rsidR="1B7DE7FE">
        <w:t xml:space="preserve"> issued a </w:t>
      </w:r>
      <w:r w:rsidRPr="003F3C87" w:rsidR="732A6CA1">
        <w:t>S</w:t>
      </w:r>
      <w:r w:rsidRPr="003F3C87" w:rsidR="1B7DE7FE">
        <w:t>coping</w:t>
      </w:r>
      <w:r w:rsidRPr="003F3C87" w:rsidR="16340338">
        <w:t> </w:t>
      </w:r>
      <w:r w:rsidRPr="003F3C87" w:rsidR="6F8EDFCD">
        <w:t xml:space="preserve">Memo and </w:t>
      </w:r>
      <w:r w:rsidRPr="003F3C87" w:rsidR="732A6CA1">
        <w:t>R</w:t>
      </w:r>
      <w:r w:rsidRPr="003F3C87" w:rsidR="1B7DE7FE">
        <w:t xml:space="preserve">uling </w:t>
      </w:r>
      <w:r w:rsidRPr="003F3C87" w:rsidR="6F8EDFCD">
        <w:t xml:space="preserve">(scoping memo) </w:t>
      </w:r>
      <w:r w:rsidRPr="003F3C87" w:rsidR="1B7DE7FE">
        <w:t xml:space="preserve">that </w:t>
      </w:r>
      <w:r w:rsidRPr="003F3C87">
        <w:t xml:space="preserve">set the proceeding category, initial schedule, </w:t>
      </w:r>
      <w:r w:rsidRPr="003F3C87" w:rsidR="0C5B4606">
        <w:t xml:space="preserve">and </w:t>
      </w:r>
      <w:r w:rsidRPr="003F3C87">
        <w:t>issues to be considered</w:t>
      </w:r>
      <w:r w:rsidRPr="003F3C87" w:rsidR="0C5B4606">
        <w:t xml:space="preserve">. The </w:t>
      </w:r>
      <w:r w:rsidRPr="003F3C87" w:rsidR="6F8EDFCD">
        <w:t>scoping memo</w:t>
      </w:r>
      <w:r w:rsidRPr="003F3C87" w:rsidR="0BD658E6">
        <w:t xml:space="preserve"> reasoned that </w:t>
      </w:r>
      <w:r w:rsidRPr="003F3C87" w:rsidR="0C5B4606">
        <w:t>material issues of fact</w:t>
      </w:r>
      <w:r w:rsidRPr="003F3C87" w:rsidR="0BD658E6">
        <w:t xml:space="preserve"> may be contested, including</w:t>
      </w:r>
      <w:r w:rsidRPr="003F3C87" w:rsidR="3766868F">
        <w:t xml:space="preserve"> the </w:t>
      </w:r>
      <w:r w:rsidRPr="003F3C87" w:rsidR="77E840B6">
        <w:t xml:space="preserve">incrementality, </w:t>
      </w:r>
      <w:r w:rsidRPr="003F3C87" w:rsidR="27A5F3A9">
        <w:t xml:space="preserve">reasonableness, </w:t>
      </w:r>
      <w:r w:rsidRPr="003F3C87" w:rsidR="77E840B6">
        <w:t xml:space="preserve">cost recovery, and cost allocation of SCE’s </w:t>
      </w:r>
      <w:r w:rsidRPr="003F3C87" w:rsidR="0BD658E6">
        <w:t xml:space="preserve">requested </w:t>
      </w:r>
      <w:r w:rsidRPr="003F3C87" w:rsidR="77E840B6">
        <w:t xml:space="preserve">revenue </w:t>
      </w:r>
      <w:r w:rsidRPr="003F3C87" w:rsidR="77E840B6">
        <w:lastRenderedPageBreak/>
        <w:t>requirement</w:t>
      </w:r>
      <w:r w:rsidRPr="003F3C87" w:rsidR="0BD658E6">
        <w:t>. To address these issues, the Commission concluded that evidentiary hearings were needed</w:t>
      </w:r>
      <w:r w:rsidRPr="003F3C87" w:rsidR="0C5B4606">
        <w:t>.</w:t>
      </w:r>
      <w:r w:rsidRPr="003F3C87" w:rsidR="00FE0673">
        <w:rPr>
          <w:rStyle w:val="FootnoteReference"/>
        </w:rPr>
        <w:footnoteReference w:id="24"/>
      </w:r>
    </w:p>
    <w:p w:rsidRPr="003F3C87" w:rsidR="00FE0673" w:rsidP="00890FE4" w:rsidRDefault="0C5B4606" w14:paraId="25AC29C5" w14:textId="58D3A058">
      <w:pPr>
        <w:pStyle w:val="Standard"/>
      </w:pPr>
      <w:r w:rsidRPr="003F3C87">
        <w:t>SCE and Cal Advocates filed and served a Joint Status Report on July</w:t>
      </w:r>
      <w:r w:rsidRPr="003F3C87" w:rsidR="5CB5B922">
        <w:t> </w:t>
      </w:r>
      <w:r w:rsidRPr="003F3C87">
        <w:t>22,</w:t>
      </w:r>
      <w:r w:rsidRPr="003F3C87" w:rsidR="5CB5B922">
        <w:t> </w:t>
      </w:r>
      <w:r w:rsidRPr="003F3C87">
        <w:t>2021</w:t>
      </w:r>
      <w:r w:rsidRPr="003F3C87" w:rsidR="160D1543">
        <w:t>.</w:t>
      </w:r>
      <w:r w:rsidRPr="003F3C87" w:rsidR="3CFEB5EE">
        <w:t xml:space="preserve"> </w:t>
      </w:r>
      <w:r w:rsidRPr="003F3C87" w:rsidR="7A16F636">
        <w:t xml:space="preserve">The report detailed that </w:t>
      </w:r>
      <w:r w:rsidRPr="003F3C87" w:rsidR="16FC0A58">
        <w:t>SCE an</w:t>
      </w:r>
      <w:r w:rsidRPr="003F3C87" w:rsidR="51FFF2FF">
        <w:t>d</w:t>
      </w:r>
      <w:r w:rsidRPr="003F3C87" w:rsidR="16FC0A58">
        <w:t xml:space="preserve"> Cal Advocates</w:t>
      </w:r>
      <w:r w:rsidRPr="003F3C87" w:rsidR="3CFEB5EE">
        <w:t xml:space="preserve"> </w:t>
      </w:r>
      <w:r w:rsidRPr="003F3C87" w:rsidR="3CC01DD7">
        <w:t xml:space="preserve">stipulated </w:t>
      </w:r>
      <w:r w:rsidRPr="003F3C87" w:rsidR="7A16F636">
        <w:t>on</w:t>
      </w:r>
      <w:r w:rsidRPr="003F3C87" w:rsidR="3CFEB5EE">
        <w:t xml:space="preserve"> </w:t>
      </w:r>
      <w:r w:rsidRPr="003F3C87" w:rsidR="7A16F636">
        <w:t xml:space="preserve">the reasonableness and </w:t>
      </w:r>
      <w:r w:rsidRPr="003F3C87" w:rsidR="3CC01DD7">
        <w:t xml:space="preserve">rate </w:t>
      </w:r>
      <w:r w:rsidRPr="003F3C87" w:rsidR="3CFEB5EE">
        <w:t>recove</w:t>
      </w:r>
      <w:r w:rsidRPr="003F3C87" w:rsidR="3CC01DD7">
        <w:t xml:space="preserve">ry of </w:t>
      </w:r>
      <w:r w:rsidRPr="003F3C87" w:rsidR="51FFF2FF">
        <w:t xml:space="preserve">$207.3 million in WEMA </w:t>
      </w:r>
      <w:r w:rsidRPr="003F3C87" w:rsidR="7A16F636">
        <w:t xml:space="preserve">costs related to </w:t>
      </w:r>
      <w:r w:rsidRPr="003F3C87" w:rsidR="16FC0A58">
        <w:t>wildfire liability insurance premiums, financing, interest, franchise fees, and uncollectibles</w:t>
      </w:r>
      <w:r w:rsidRPr="003F3C87" w:rsidR="7A16F636">
        <w:t xml:space="preserve">. </w:t>
      </w:r>
      <w:r w:rsidRPr="003F3C87" w:rsidR="51FFF2FF">
        <w:t>SCE and Cal Advocates disagreed on</w:t>
      </w:r>
      <w:r w:rsidRPr="003F3C87" w:rsidR="5AF1DF1E">
        <w:t xml:space="preserve"> the </w:t>
      </w:r>
      <w:r w:rsidRPr="003F3C87" w:rsidR="51FFF2FF">
        <w:t>allocation of</w:t>
      </w:r>
      <w:r w:rsidRPr="003F3C87" w:rsidR="5AF1DF1E">
        <w:t xml:space="preserve"> SCE’s</w:t>
      </w:r>
      <w:r w:rsidRPr="003F3C87" w:rsidR="51FFF2FF">
        <w:t xml:space="preserve"> </w:t>
      </w:r>
      <w:r w:rsidRPr="003F3C87" w:rsidR="6748323E">
        <w:t>SONGS Adjustment</w:t>
      </w:r>
      <w:r w:rsidRPr="003F3C87" w:rsidR="51FFF2FF">
        <w:t xml:space="preserve"> to the SONGS </w:t>
      </w:r>
      <w:r w:rsidRPr="003F3C87" w:rsidR="1F12BA3D">
        <w:t xml:space="preserve">NDT </w:t>
      </w:r>
      <w:r w:rsidRPr="003F3C87" w:rsidR="3AB92953">
        <w:t xml:space="preserve">fund </w:t>
      </w:r>
      <w:r w:rsidRPr="003F3C87" w:rsidR="1F12BA3D">
        <w:t xml:space="preserve">or the </w:t>
      </w:r>
      <w:r w:rsidRPr="003F3C87" w:rsidR="293D0004">
        <w:t xml:space="preserve">WEMA. </w:t>
      </w:r>
      <w:r w:rsidRPr="003F3C87" w:rsidR="51FFF2FF">
        <w:t>Despite this dispute, SCE and Cal Advocates did not see a need to hold evidentiary hearings.</w:t>
      </w:r>
      <w:r w:rsidRPr="003F3C87" w:rsidR="00AF17F5">
        <w:rPr>
          <w:rStyle w:val="FootnoteReference"/>
        </w:rPr>
        <w:footnoteReference w:id="25"/>
      </w:r>
    </w:p>
    <w:p w:rsidRPr="003F3C87" w:rsidR="00BA552C" w:rsidP="00530EBE" w:rsidRDefault="294083AB" w14:paraId="3CE65494" w14:textId="33D96B55">
      <w:pPr>
        <w:pStyle w:val="Standard"/>
      </w:pPr>
      <w:r w:rsidRPr="003F3C87">
        <w:t>On August 4, 2021, the assigned ALJ held a Status Conference. In the conference, SCE and Cal Advocates supported</w:t>
      </w:r>
      <w:r w:rsidRPr="003F3C87" w:rsidR="37285F7C">
        <w:t xml:space="preserve"> </w:t>
      </w:r>
      <w:r w:rsidRPr="003F3C87">
        <w:t>full document-only evidence processing and briefing.</w:t>
      </w:r>
      <w:r w:rsidRPr="003F3C87" w:rsidR="000815E7">
        <w:rPr>
          <w:rStyle w:val="FootnoteReference"/>
        </w:rPr>
        <w:footnoteReference w:id="26"/>
      </w:r>
      <w:r w:rsidRPr="003F3C87" w:rsidR="52EA77DC">
        <w:t xml:space="preserve"> </w:t>
      </w:r>
      <w:r w:rsidRPr="003F3C87" w:rsidR="6A09EAD3">
        <w:t>On August 20, 2021, SCE and Cal</w:t>
      </w:r>
      <w:r w:rsidR="008B24C2">
        <w:t xml:space="preserve"> </w:t>
      </w:r>
      <w:r w:rsidRPr="003F3C87" w:rsidR="6A09EAD3">
        <w:t xml:space="preserve">Advocates filed </w:t>
      </w:r>
      <w:r w:rsidRPr="003F3C87" w:rsidR="11CFB523">
        <w:t>a</w:t>
      </w:r>
      <w:r w:rsidRPr="003F3C87" w:rsidR="6A09EAD3">
        <w:t xml:space="preserve"> </w:t>
      </w:r>
      <w:r w:rsidRPr="003F3C87" w:rsidR="732A6CA1">
        <w:t>J</w:t>
      </w:r>
      <w:r w:rsidRPr="003F3C87" w:rsidR="6A09EAD3">
        <w:t xml:space="preserve">oint </w:t>
      </w:r>
      <w:r w:rsidRPr="003F3C87" w:rsidR="732A6CA1">
        <w:t>M</w:t>
      </w:r>
      <w:r w:rsidRPr="003F3C87" w:rsidR="6A09EAD3">
        <w:t xml:space="preserve">otion </w:t>
      </w:r>
      <w:r w:rsidRPr="003F3C87" w:rsidR="732A6CA1">
        <w:t>to E</w:t>
      </w:r>
      <w:r w:rsidRPr="003F3C87" w:rsidR="6A09EAD3">
        <w:t>nt</w:t>
      </w:r>
      <w:r w:rsidRPr="003F3C87" w:rsidR="732A6CA1">
        <w:t>er</w:t>
      </w:r>
      <w:r w:rsidRPr="003F3C87" w:rsidR="6A09EAD3">
        <w:t xml:space="preserve"> </w:t>
      </w:r>
      <w:r w:rsidRPr="003F3C87" w:rsidR="732A6CA1">
        <w:t>S</w:t>
      </w:r>
      <w:r w:rsidRPr="003F3C87" w:rsidR="6A09EAD3">
        <w:t xml:space="preserve">tipulated </w:t>
      </w:r>
      <w:r w:rsidRPr="003F3C87" w:rsidR="732A6CA1">
        <w:t>F</w:t>
      </w:r>
      <w:r w:rsidRPr="003F3C87" w:rsidR="6A09EAD3">
        <w:t xml:space="preserve">acts </w:t>
      </w:r>
      <w:r w:rsidRPr="003F3C87" w:rsidR="732A6CA1">
        <w:t xml:space="preserve">into the Record and </w:t>
      </w:r>
      <w:r w:rsidRPr="003F3C87" w:rsidR="6A09EAD3">
        <w:t>a</w:t>
      </w:r>
      <w:r w:rsidRPr="003F3C87" w:rsidR="732A6CA1">
        <w:t xml:space="preserve"> Joint Motion to Enter</w:t>
      </w:r>
      <w:r w:rsidRPr="003F3C87" w:rsidR="16340338">
        <w:t> </w:t>
      </w:r>
      <w:r w:rsidRPr="003F3C87" w:rsidR="732A6CA1">
        <w:t>Stipulated Exhibits</w:t>
      </w:r>
      <w:r w:rsidRPr="003F3C87" w:rsidR="6A09EAD3">
        <w:t>.</w:t>
      </w:r>
      <w:r w:rsidRPr="003F3C87" w:rsidR="00BA552C">
        <w:rPr>
          <w:rStyle w:val="FootnoteReference"/>
        </w:rPr>
        <w:footnoteReference w:id="27"/>
      </w:r>
      <w:r w:rsidRPr="003F3C87" w:rsidR="5E90EBAB">
        <w:t xml:space="preserve"> </w:t>
      </w:r>
      <w:r w:rsidRPr="003F3C87" w:rsidR="2DE2C633">
        <w:t xml:space="preserve">On September 21, 2021, the </w:t>
      </w:r>
      <w:r w:rsidRPr="003F3C87" w:rsidR="4AEEE5D4">
        <w:t xml:space="preserve">assigned </w:t>
      </w:r>
      <w:r w:rsidRPr="003F3C87" w:rsidR="2DE2C633">
        <w:t xml:space="preserve">ALJ issued a ruling </w:t>
      </w:r>
      <w:r w:rsidRPr="003F3C87" w:rsidR="4AEEE5D4">
        <w:t xml:space="preserve">that </w:t>
      </w:r>
      <w:r w:rsidRPr="003F3C87" w:rsidR="2DE2C633">
        <w:t>grant</w:t>
      </w:r>
      <w:r w:rsidRPr="003F3C87" w:rsidR="4AEEE5D4">
        <w:t>ed</w:t>
      </w:r>
      <w:r w:rsidRPr="003F3C87" w:rsidR="2DE2C633">
        <w:t xml:space="preserve"> the Joint Motion.</w:t>
      </w:r>
      <w:r w:rsidRPr="003F3C87" w:rsidR="004C1B90">
        <w:rPr>
          <w:rStyle w:val="FootnoteReference"/>
        </w:rPr>
        <w:footnoteReference w:id="28"/>
      </w:r>
      <w:r w:rsidRPr="003F3C87" w:rsidR="2DE2C633">
        <w:t xml:space="preserve"> </w:t>
      </w:r>
      <w:r w:rsidRPr="003F3C87" w:rsidR="5E90EBAB">
        <w:t>The exhibits were marked as follows:</w:t>
      </w:r>
    </w:p>
    <w:p w:rsidRPr="003F3C87" w:rsidR="00053640" w:rsidP="00A152A2" w:rsidRDefault="00053640" w14:paraId="485809A3" w14:textId="722A0A7C">
      <w:pPr>
        <w:pStyle w:val="Standard"/>
        <w:numPr>
          <w:ilvl w:val="1"/>
          <w:numId w:val="26"/>
        </w:numPr>
        <w:spacing w:after="120" w:line="240" w:lineRule="auto"/>
        <w:ind w:left="1080" w:right="1440"/>
      </w:pPr>
      <w:r w:rsidRPr="003F3C87">
        <w:t>SCE-0001</w:t>
      </w:r>
      <w:r w:rsidRPr="003F3C87" w:rsidR="00A152A2">
        <w:t xml:space="preserve">:  </w:t>
      </w:r>
      <w:r w:rsidRPr="003F3C87">
        <w:t>SCE Direct</w:t>
      </w:r>
      <w:r w:rsidRPr="003F3C87" w:rsidR="00FE3800">
        <w:t xml:space="preserve"> Testimony </w:t>
      </w:r>
    </w:p>
    <w:p w:rsidRPr="003F3C87" w:rsidR="00FE3800" w:rsidP="00A152A2" w:rsidRDefault="00FE3800" w14:paraId="2D5A9DB6" w14:textId="58A2A1E7">
      <w:pPr>
        <w:pStyle w:val="Standard"/>
        <w:numPr>
          <w:ilvl w:val="1"/>
          <w:numId w:val="26"/>
        </w:numPr>
        <w:spacing w:after="120" w:line="240" w:lineRule="auto"/>
        <w:ind w:left="1080" w:right="1440"/>
      </w:pPr>
      <w:r w:rsidRPr="003F3C87">
        <w:t xml:space="preserve">SCE-0001 </w:t>
      </w:r>
      <w:r w:rsidRPr="003F3C87" w:rsidR="00A152A2">
        <w:t xml:space="preserve"> </w:t>
      </w:r>
      <w:r w:rsidRPr="003F3C87">
        <w:t>Confidential</w:t>
      </w:r>
      <w:r w:rsidRPr="003F3C87" w:rsidR="00A152A2">
        <w:t xml:space="preserve">: </w:t>
      </w:r>
      <w:r w:rsidRPr="003F3C87">
        <w:t>SCE Confidential Direct Testimony</w:t>
      </w:r>
    </w:p>
    <w:p w:rsidRPr="003F3C87" w:rsidR="00FE3800" w:rsidP="00A152A2" w:rsidRDefault="00FE3800" w14:paraId="763D1973" w14:textId="6F52DAD9">
      <w:pPr>
        <w:pStyle w:val="Standard"/>
        <w:numPr>
          <w:ilvl w:val="1"/>
          <w:numId w:val="26"/>
        </w:numPr>
        <w:spacing w:after="120" w:line="240" w:lineRule="auto"/>
        <w:ind w:left="1080" w:right="1440"/>
      </w:pPr>
      <w:r w:rsidRPr="003F3C87">
        <w:t xml:space="preserve">SCE-0001 </w:t>
      </w:r>
      <w:r w:rsidRPr="003F3C87" w:rsidR="00A152A2">
        <w:t xml:space="preserve"> </w:t>
      </w:r>
      <w:r w:rsidRPr="003F3C87">
        <w:t>Confidential App</w:t>
      </w:r>
      <w:r w:rsidRPr="003F3C87" w:rsidR="003D5558">
        <w:t>.</w:t>
      </w:r>
      <w:r w:rsidRPr="003F3C87">
        <w:t xml:space="preserve"> B</w:t>
      </w:r>
      <w:r w:rsidRPr="003F3C87" w:rsidR="00A152A2">
        <w:t xml:space="preserve">: </w:t>
      </w:r>
      <w:r w:rsidRPr="003F3C87">
        <w:t>Insurance Policy Binders</w:t>
      </w:r>
    </w:p>
    <w:p w:rsidRPr="003F3C87" w:rsidR="00053640" w:rsidP="00A152A2" w:rsidRDefault="00053640" w14:paraId="5B2641D3" w14:textId="2F29BD60">
      <w:pPr>
        <w:pStyle w:val="Standard"/>
        <w:numPr>
          <w:ilvl w:val="1"/>
          <w:numId w:val="26"/>
        </w:numPr>
        <w:spacing w:after="120" w:line="240" w:lineRule="auto"/>
        <w:ind w:left="1080" w:right="1440"/>
      </w:pPr>
      <w:r w:rsidRPr="003F3C87">
        <w:t>SCE-0002</w:t>
      </w:r>
      <w:r w:rsidRPr="003F3C87" w:rsidR="00A152A2">
        <w:t xml:space="preserve">:  </w:t>
      </w:r>
      <w:r w:rsidRPr="003F3C87">
        <w:t>SCE Rebuttal Testimony</w:t>
      </w:r>
    </w:p>
    <w:p w:rsidRPr="003F3C87" w:rsidR="00053640" w:rsidP="00A152A2" w:rsidRDefault="00053640" w14:paraId="426E847E" w14:textId="7D449D33">
      <w:pPr>
        <w:pStyle w:val="Standard"/>
        <w:numPr>
          <w:ilvl w:val="1"/>
          <w:numId w:val="26"/>
        </w:numPr>
        <w:spacing w:after="120" w:line="240" w:lineRule="auto"/>
        <w:ind w:left="1080" w:right="1440"/>
      </w:pPr>
      <w:r w:rsidRPr="003F3C87">
        <w:lastRenderedPageBreak/>
        <w:t>PAO-0100</w:t>
      </w:r>
      <w:r w:rsidRPr="003F3C87" w:rsidR="00A152A2">
        <w:t xml:space="preserve">:  </w:t>
      </w:r>
      <w:r w:rsidRPr="003F3C87" w:rsidR="00FE3800">
        <w:t>Cal Advocates Report on SCE WEMA Related to July 2020</w:t>
      </w:r>
      <w:r w:rsidRPr="003F3C87" w:rsidR="004127FC">
        <w:t xml:space="preserve"> </w:t>
      </w:r>
      <w:r w:rsidRPr="003F3C87" w:rsidR="00FE3800">
        <w:t>-</w:t>
      </w:r>
      <w:r w:rsidRPr="003F3C87" w:rsidR="004127FC">
        <w:t xml:space="preserve"> </w:t>
      </w:r>
      <w:r w:rsidRPr="003F3C87" w:rsidR="00FE3800">
        <w:t>December 2020 Wildfire Insurance Premiums</w:t>
      </w:r>
    </w:p>
    <w:p w:rsidRPr="003F3C87" w:rsidR="00053640" w:rsidP="00A152A2" w:rsidRDefault="00FE3800" w14:paraId="44B8FD4A" w14:textId="13A80A6B">
      <w:pPr>
        <w:pStyle w:val="Standard"/>
        <w:numPr>
          <w:ilvl w:val="1"/>
          <w:numId w:val="26"/>
        </w:numPr>
        <w:spacing w:after="120" w:line="240" w:lineRule="auto"/>
        <w:ind w:left="1080" w:right="1440"/>
      </w:pPr>
      <w:r w:rsidRPr="003F3C87">
        <w:t>PAO-010</w:t>
      </w:r>
      <w:r w:rsidR="00500B93">
        <w:t>1</w:t>
      </w:r>
      <w:r w:rsidRPr="003F3C87" w:rsidR="00A152A2">
        <w:t xml:space="preserve">:  </w:t>
      </w:r>
      <w:r w:rsidRPr="003F3C87">
        <w:t xml:space="preserve">SCE Responses to Cal Advocates Data Requests </w:t>
      </w:r>
    </w:p>
    <w:p w:rsidRPr="003F3C87" w:rsidR="00EE3060" w:rsidP="003318BE" w:rsidRDefault="69D62A6A" w14:paraId="2F4E9B84" w14:textId="4E7DCBBD">
      <w:pPr>
        <w:pStyle w:val="Standard"/>
      </w:pPr>
      <w:r w:rsidRPr="003F3C87">
        <w:t xml:space="preserve">SCE </w:t>
      </w:r>
      <w:r w:rsidRPr="003F3C87" w:rsidR="7FF3A469">
        <w:t xml:space="preserve">and Cal Advocates </w:t>
      </w:r>
      <w:r w:rsidRPr="003F3C87" w:rsidR="5B2DD585">
        <w:t>filed Opening Brief</w:t>
      </w:r>
      <w:r w:rsidRPr="003F3C87" w:rsidR="7FF3A469">
        <w:t>s</w:t>
      </w:r>
      <w:r w:rsidRPr="003F3C87" w:rsidR="5B2DD585">
        <w:t xml:space="preserve"> </w:t>
      </w:r>
      <w:r w:rsidRPr="003F3C87">
        <w:t>on September 2, 2021</w:t>
      </w:r>
      <w:r w:rsidRPr="003F3C87" w:rsidR="7EE1FF0E">
        <w:t>.</w:t>
      </w:r>
      <w:r w:rsidRPr="003F3C87">
        <w:t xml:space="preserve"> </w:t>
      </w:r>
      <w:r w:rsidRPr="003F3C87" w:rsidR="0DE784EB">
        <w:t>SCE</w:t>
      </w:r>
      <w:r w:rsidRPr="003F3C87" w:rsidR="0A9A0B3F">
        <w:t xml:space="preserve"> detailed</w:t>
      </w:r>
      <w:r w:rsidRPr="003F3C87" w:rsidR="25666ED0">
        <w:t xml:space="preserve"> </w:t>
      </w:r>
      <w:r w:rsidRPr="003F3C87" w:rsidR="0A9A0B3F">
        <w:t xml:space="preserve">that it </w:t>
      </w:r>
      <w:r w:rsidRPr="003F3C87" w:rsidR="2CBA6025">
        <w:t xml:space="preserve">stipulated </w:t>
      </w:r>
      <w:r w:rsidRPr="003F3C87" w:rsidR="0A9A0B3F">
        <w:t xml:space="preserve">with Cal Advocates </w:t>
      </w:r>
      <w:r w:rsidRPr="003F3C87" w:rsidR="2CBA6025">
        <w:t xml:space="preserve">on the reasonableness and rate recovery of $207.3 million in wildfire liability-related costs recorded in WEMA. SCE </w:t>
      </w:r>
      <w:r w:rsidRPr="003F3C87" w:rsidR="0A9A0B3F">
        <w:t>expressed</w:t>
      </w:r>
      <w:r w:rsidRPr="003F3C87" w:rsidR="2CBA6025">
        <w:t xml:space="preserve"> its view that </w:t>
      </w:r>
      <w:r w:rsidRPr="003F3C87" w:rsidR="0A9A0B3F">
        <w:t>re</w:t>
      </w:r>
      <w:r w:rsidRPr="003F3C87" w:rsidR="2CBA6025">
        <w:t xml:space="preserve">allocation of </w:t>
      </w:r>
      <w:r w:rsidRPr="003F3C87" w:rsidR="6748323E">
        <w:t xml:space="preserve">the SONGS Adjustment </w:t>
      </w:r>
      <w:r w:rsidRPr="003F3C87" w:rsidR="2CBA6025">
        <w:t>to SCE customers</w:t>
      </w:r>
      <w:r w:rsidRPr="003F3C87" w:rsidR="0A9A0B3F">
        <w:t xml:space="preserve"> was justified due to</w:t>
      </w:r>
      <w:r w:rsidRPr="003F3C87" w:rsidR="6C422DEC">
        <w:t xml:space="preserve"> increased wildfire risk posed to </w:t>
      </w:r>
      <w:r w:rsidRPr="003F3C87" w:rsidR="2D139C0D">
        <w:t xml:space="preserve">SCE’s </w:t>
      </w:r>
      <w:r w:rsidRPr="003F3C87" w:rsidR="0A9A0B3F">
        <w:t xml:space="preserve">distribution </w:t>
      </w:r>
      <w:r w:rsidRPr="003F3C87" w:rsidR="6C422DEC">
        <w:t>system</w:t>
      </w:r>
      <w:r w:rsidRPr="003F3C87" w:rsidR="0A9A0B3F">
        <w:t xml:space="preserve"> </w:t>
      </w:r>
      <w:r w:rsidRPr="003F3C87" w:rsidR="6C422DEC">
        <w:t>customers.</w:t>
      </w:r>
      <w:r w:rsidRPr="003F3C87" w:rsidR="00AF1955">
        <w:rPr>
          <w:rStyle w:val="FootnoteReference"/>
        </w:rPr>
        <w:footnoteReference w:id="29"/>
      </w:r>
      <w:r w:rsidRPr="003F3C87" w:rsidR="2D139C0D">
        <w:t xml:space="preserve"> Cal Advocates disagreed with SCE’s</w:t>
      </w:r>
      <w:r w:rsidRPr="003F3C87" w:rsidR="7FF3A469">
        <w:t xml:space="preserve"> </w:t>
      </w:r>
      <w:r w:rsidRPr="003F3C87" w:rsidR="5322EAF1">
        <w:t>contention</w:t>
      </w:r>
      <w:r w:rsidRPr="003F3C87" w:rsidR="7FF3A469">
        <w:t xml:space="preserve"> </w:t>
      </w:r>
      <w:r w:rsidRPr="003F3C87" w:rsidR="5B2DD585">
        <w:t xml:space="preserve">that </w:t>
      </w:r>
      <w:r w:rsidRPr="003F3C87" w:rsidR="3DE2C819">
        <w:t xml:space="preserve">these costs </w:t>
      </w:r>
      <w:r w:rsidRPr="003F3C87" w:rsidR="12B77437">
        <w:t>are a “routine cost-of-service ratemaking expense” and c</w:t>
      </w:r>
      <w:r w:rsidRPr="003F3C87" w:rsidR="7FF3A469">
        <w:t>ould</w:t>
      </w:r>
      <w:r w:rsidRPr="003F3C87" w:rsidR="12B77437">
        <w:t xml:space="preserve"> be reallocated based on a “dispositive precedent” set in SCE’s 2019 WEMA Application.</w:t>
      </w:r>
      <w:r w:rsidRPr="003F3C87" w:rsidR="0015401D">
        <w:rPr>
          <w:rStyle w:val="FootnoteReference"/>
        </w:rPr>
        <w:footnoteReference w:id="30"/>
      </w:r>
    </w:p>
    <w:p w:rsidRPr="003F3C87" w:rsidR="00272BD9" w:rsidP="00FA5834" w:rsidRDefault="00FA5834" w14:paraId="46BAC908" w14:textId="17D64AAD">
      <w:pPr>
        <w:pStyle w:val="Standard"/>
      </w:pPr>
      <w:r w:rsidRPr="003F3C87">
        <w:t xml:space="preserve">On May 11, 2022, the proceeding was reassigned from President Marybel Batjer to President Alice Reynolds. On May 19, 2022, the assigned ALJ issued a decision to extend the statutory deadline for completion of the application until October 21, 2022.  </w:t>
      </w:r>
    </w:p>
    <w:p w:rsidRPr="003F3C87" w:rsidR="003318BE" w:rsidP="00FA5834" w:rsidRDefault="00FA5834" w14:paraId="7685DFA7" w14:textId="5824E068">
      <w:pPr>
        <w:pStyle w:val="Standard"/>
      </w:pPr>
      <w:r w:rsidRPr="003F3C87">
        <w:t>T</w:t>
      </w:r>
      <w:r w:rsidRPr="003F3C87" w:rsidR="003318BE">
        <w:t>he assigned ALJ issued a Supplemental Ruling</w:t>
      </w:r>
      <w:r w:rsidRPr="003F3C87">
        <w:t xml:space="preserve"> on May 24, 2022</w:t>
      </w:r>
      <w:r w:rsidRPr="003F3C87" w:rsidR="002D05D8">
        <w:t>,</w:t>
      </w:r>
      <w:r w:rsidRPr="003F3C87">
        <w:t xml:space="preserve"> </w:t>
      </w:r>
      <w:r w:rsidRPr="003F3C87" w:rsidR="003318BE">
        <w:t xml:space="preserve"> request</w:t>
      </w:r>
      <w:r w:rsidRPr="003F3C87">
        <w:t>ing</w:t>
      </w:r>
      <w:r w:rsidRPr="003F3C87" w:rsidR="003318BE">
        <w:t xml:space="preserve"> </w:t>
      </w:r>
      <w:r w:rsidRPr="003F3C87" w:rsidR="004E7F54">
        <w:t>SCE to detail F</w:t>
      </w:r>
      <w:r w:rsidRPr="003F3C87" w:rsidR="003318BE">
        <w:t xml:space="preserve">acts and </w:t>
      </w:r>
      <w:r w:rsidRPr="003F3C87" w:rsidR="004E7F54">
        <w:t>L</w:t>
      </w:r>
      <w:r w:rsidRPr="003F3C87" w:rsidR="003318BE">
        <w:t>aw</w:t>
      </w:r>
      <w:r w:rsidRPr="003F3C87" w:rsidR="00272BD9">
        <w:t xml:space="preserve"> that</w:t>
      </w:r>
      <w:r w:rsidRPr="003F3C87" w:rsidR="004E7F54">
        <w:t>:</w:t>
      </w:r>
      <w:r w:rsidRPr="003F3C87" w:rsidR="003318BE">
        <w:t xml:space="preserve"> </w:t>
      </w:r>
    </w:p>
    <w:p w:rsidRPr="003F3C87" w:rsidR="004E7F54" w:rsidP="004127FC" w:rsidRDefault="00FA5834" w14:paraId="319D28B2" w14:textId="443C84E5">
      <w:pPr>
        <w:pStyle w:val="Standard"/>
        <w:numPr>
          <w:ilvl w:val="0"/>
          <w:numId w:val="20"/>
        </w:numPr>
        <w:spacing w:after="120" w:line="240" w:lineRule="auto"/>
        <w:ind w:left="1080" w:right="1440"/>
      </w:pPr>
      <w:r w:rsidRPr="003F3C87">
        <w:t>P</w:t>
      </w:r>
      <w:r w:rsidRPr="003F3C87" w:rsidR="004E7F54">
        <w:t>rompt</w:t>
      </w:r>
      <w:r w:rsidRPr="003F3C87" w:rsidR="00272BD9">
        <w:t>ed</w:t>
      </w:r>
      <w:r w:rsidRPr="003F3C87" w:rsidR="004E7F54">
        <w:t xml:space="preserve"> SCE's shift away from a headcount methodology to a risk model after issuance of </w:t>
      </w:r>
      <w:r w:rsidRPr="003F3C87" w:rsidR="00A00BE2">
        <w:t>the 20</w:t>
      </w:r>
      <w:r w:rsidRPr="003F3C87" w:rsidR="007344C1">
        <w:t>20</w:t>
      </w:r>
      <w:r w:rsidRPr="003F3C87" w:rsidR="00A00BE2">
        <w:t xml:space="preserve"> WEMA Decision</w:t>
      </w:r>
      <w:r w:rsidRPr="003F3C87" w:rsidR="004E7F54">
        <w:t>;</w:t>
      </w:r>
    </w:p>
    <w:p w:rsidRPr="003F3C87" w:rsidR="004E7F54" w:rsidP="004127FC" w:rsidRDefault="00FA5834" w14:paraId="24647D51" w14:textId="05194952">
      <w:pPr>
        <w:pStyle w:val="Standard"/>
        <w:numPr>
          <w:ilvl w:val="0"/>
          <w:numId w:val="20"/>
        </w:numPr>
        <w:spacing w:after="120" w:line="240" w:lineRule="auto"/>
        <w:ind w:left="1080" w:right="1440"/>
      </w:pPr>
      <w:r w:rsidRPr="003F3C87">
        <w:t>S</w:t>
      </w:r>
      <w:r w:rsidRPr="003F3C87" w:rsidR="004E7F54">
        <w:t>upport</w:t>
      </w:r>
      <w:r w:rsidRPr="003F3C87" w:rsidR="00272BD9">
        <w:t>ed</w:t>
      </w:r>
      <w:r w:rsidRPr="003F3C87" w:rsidR="004E7F54">
        <w:t xml:space="preserve"> SCE’s right to adopt a risk-based methodology versus a headcount methodology to allocate $7.2 million in </w:t>
      </w:r>
      <w:r w:rsidRPr="003F3C87" w:rsidR="003C477B">
        <w:t>Commission</w:t>
      </w:r>
      <w:r w:rsidRPr="003F3C87" w:rsidR="004E7F54">
        <w:t>-jurisdictional wildfire liability premium costs between the WEMA and SONGS NDT fund;</w:t>
      </w:r>
    </w:p>
    <w:p w:rsidRPr="003F3C87" w:rsidR="004E7F54" w:rsidP="004127FC" w:rsidRDefault="00FA5834" w14:paraId="20264A88" w14:textId="60C3295E">
      <w:pPr>
        <w:pStyle w:val="Standard"/>
        <w:numPr>
          <w:ilvl w:val="0"/>
          <w:numId w:val="20"/>
        </w:numPr>
        <w:spacing w:after="120" w:line="240" w:lineRule="auto"/>
        <w:ind w:left="1080" w:right="1440"/>
      </w:pPr>
      <w:r w:rsidRPr="003F3C87">
        <w:t xml:space="preserve">Detailed </w:t>
      </w:r>
      <w:r w:rsidRPr="003F3C87" w:rsidR="004E7F54">
        <w:t>any</w:t>
      </w:r>
      <w:r w:rsidRPr="003F3C87">
        <w:t xml:space="preserve"> underlying</w:t>
      </w:r>
      <w:r w:rsidRPr="003F3C87" w:rsidR="004E7F54">
        <w:t xml:space="preserve"> retroactive ratemaking implications or non-implications of the WEMA and </w:t>
      </w:r>
      <w:r w:rsidRPr="003F3C87" w:rsidR="004E7F54">
        <w:lastRenderedPageBreak/>
        <w:t>SONG</w:t>
      </w:r>
      <w:r w:rsidRPr="003F3C87" w:rsidR="003C477B">
        <w:t>S</w:t>
      </w:r>
      <w:r w:rsidRPr="003F3C87" w:rsidR="004E7F54">
        <w:t xml:space="preserve"> NDT fund reallocations requested in A.20-12-010 in light of the 20</w:t>
      </w:r>
      <w:r w:rsidRPr="003F3C87" w:rsidR="007344C1">
        <w:t>20</w:t>
      </w:r>
      <w:r w:rsidRPr="003F3C87" w:rsidR="004E7F54">
        <w:t xml:space="preserve"> WEMA </w:t>
      </w:r>
      <w:r w:rsidRPr="003F3C87" w:rsidR="00A00BE2">
        <w:t>Decision</w:t>
      </w:r>
      <w:r w:rsidRPr="003F3C87" w:rsidR="004E7F54">
        <w:t>;</w:t>
      </w:r>
    </w:p>
    <w:p w:rsidRPr="003F3C87" w:rsidR="004E7F54" w:rsidP="004127FC" w:rsidRDefault="00FA5834" w14:paraId="1CEC4720" w14:textId="3A16F5BB">
      <w:pPr>
        <w:pStyle w:val="Standard"/>
        <w:numPr>
          <w:ilvl w:val="0"/>
          <w:numId w:val="20"/>
        </w:numPr>
        <w:spacing w:after="120" w:line="240" w:lineRule="auto"/>
        <w:ind w:left="1080" w:right="1440"/>
      </w:pPr>
      <w:r w:rsidRPr="003F3C87">
        <w:t>E</w:t>
      </w:r>
      <w:r w:rsidRPr="003F3C87" w:rsidR="00272BD9">
        <w:t>xplained why SCE sought retroactive relief regarding the 2019</w:t>
      </w:r>
      <w:r w:rsidRPr="003F3C87" w:rsidR="004127FC">
        <w:t xml:space="preserve"> </w:t>
      </w:r>
      <w:r w:rsidRPr="003F3C87" w:rsidR="00272BD9">
        <w:t>-</w:t>
      </w:r>
      <w:r w:rsidRPr="003F3C87" w:rsidR="004127FC">
        <w:t xml:space="preserve"> </w:t>
      </w:r>
      <w:r w:rsidRPr="003F3C87" w:rsidR="00272BD9">
        <w:t xml:space="preserve">2020 SONGS policy year in the instant </w:t>
      </w:r>
      <w:r w:rsidRPr="003F3C87" w:rsidR="00A00BE2">
        <w:t>2020 WEMA Application</w:t>
      </w:r>
      <w:r w:rsidRPr="003F3C87" w:rsidR="00272BD9">
        <w:t xml:space="preserve"> proceeding rather than by petition for modification of the 20</w:t>
      </w:r>
      <w:r w:rsidRPr="003F3C87" w:rsidR="007344C1">
        <w:t>20</w:t>
      </w:r>
      <w:r w:rsidRPr="003F3C87" w:rsidR="00272BD9">
        <w:t xml:space="preserve"> WEMA </w:t>
      </w:r>
      <w:r w:rsidRPr="003F3C87" w:rsidR="00A00BE2">
        <w:t>Decision</w:t>
      </w:r>
      <w:r w:rsidRPr="003F3C87" w:rsidR="00272BD9">
        <w:t xml:space="preserve">, including but not limited to pinpoint cites in the instant </w:t>
      </w:r>
      <w:r w:rsidRPr="003F3C87" w:rsidR="00A00BE2">
        <w:t>2020 WEMA Application</w:t>
      </w:r>
      <w:r w:rsidRPr="003F3C87" w:rsidR="00272BD9">
        <w:t xml:space="preserve"> evidentiary record;</w:t>
      </w:r>
      <w:r w:rsidRPr="003F3C87">
        <w:t xml:space="preserve"> and</w:t>
      </w:r>
    </w:p>
    <w:p w:rsidRPr="003F3C87" w:rsidR="00FA5834" w:rsidP="004127FC" w:rsidRDefault="00FA5834" w14:paraId="412F9596" w14:textId="4A1C67C9">
      <w:pPr>
        <w:pStyle w:val="Standard"/>
        <w:numPr>
          <w:ilvl w:val="0"/>
          <w:numId w:val="20"/>
        </w:numPr>
        <w:spacing w:after="120" w:line="240" w:lineRule="auto"/>
        <w:ind w:left="1080" w:right="1440"/>
      </w:pPr>
      <w:r w:rsidRPr="003F3C87">
        <w:t>D</w:t>
      </w:r>
      <w:r w:rsidRPr="003F3C87" w:rsidR="00272BD9">
        <w:t>escribe</w:t>
      </w:r>
      <w:r w:rsidRPr="003F3C87" w:rsidR="002D05D8">
        <w:t>d</w:t>
      </w:r>
      <w:r w:rsidRPr="003F3C87">
        <w:t xml:space="preserve"> </w:t>
      </w:r>
      <w:r w:rsidRPr="003F3C87" w:rsidR="00272BD9">
        <w:t>the interrelatedness of</w:t>
      </w:r>
      <w:r w:rsidRPr="003F3C87">
        <w:t xml:space="preserve"> proceedings</w:t>
      </w:r>
      <w:r w:rsidRPr="003F3C87" w:rsidR="002D05D8">
        <w:t xml:space="preserve"> listed below</w:t>
      </w:r>
      <w:r w:rsidRPr="003F3C87">
        <w:t xml:space="preserve"> and the pending </w:t>
      </w:r>
      <w:r w:rsidRPr="003F3C87" w:rsidR="00A00BE2">
        <w:t>2020</w:t>
      </w:r>
      <w:r w:rsidRPr="003F3C87">
        <w:t xml:space="preserve"> WEMA</w:t>
      </w:r>
      <w:r w:rsidRPr="003F3C87" w:rsidR="00A00BE2">
        <w:t xml:space="preserve"> Application</w:t>
      </w:r>
      <w:r w:rsidRPr="003F3C87">
        <w:t>/NDT reallocation requests as to the 2019</w:t>
      </w:r>
      <w:r w:rsidRPr="003F3C87" w:rsidR="004127FC">
        <w:t xml:space="preserve"> </w:t>
      </w:r>
      <w:r w:rsidRPr="003F3C87">
        <w:t>-</w:t>
      </w:r>
      <w:r w:rsidRPr="003F3C87" w:rsidR="004127FC">
        <w:t xml:space="preserve"> </w:t>
      </w:r>
      <w:r w:rsidRPr="003F3C87">
        <w:t xml:space="preserve">2020 SONGS policy year: </w:t>
      </w:r>
    </w:p>
    <w:p w:rsidRPr="003F3C87" w:rsidR="00FA5834" w:rsidP="00A152A2" w:rsidRDefault="00FA5834" w14:paraId="2FDDEE63" w14:textId="4E1128D8">
      <w:pPr>
        <w:pStyle w:val="Standard"/>
        <w:numPr>
          <w:ilvl w:val="0"/>
          <w:numId w:val="28"/>
        </w:numPr>
        <w:spacing w:after="120" w:line="240" w:lineRule="auto"/>
        <w:ind w:left="1440" w:right="1440"/>
      </w:pPr>
      <w:r w:rsidRPr="003F3C87">
        <w:t>2019 WEMA A</w:t>
      </w:r>
      <w:r w:rsidRPr="003F3C87" w:rsidR="00A00BE2">
        <w:t>pplication</w:t>
      </w:r>
      <w:r w:rsidRPr="003F3C87">
        <w:t>/D</w:t>
      </w:r>
      <w:r w:rsidRPr="003F3C87" w:rsidR="00A00BE2">
        <w:t>ecision</w:t>
      </w:r>
      <w:r w:rsidRPr="003F3C87">
        <w:t xml:space="preserve"> </w:t>
      </w:r>
    </w:p>
    <w:p w:rsidRPr="003F3C87" w:rsidR="00FA5834" w:rsidP="00A152A2" w:rsidRDefault="00FA5834" w14:paraId="1049C017" w14:textId="1520DE1D">
      <w:pPr>
        <w:pStyle w:val="Standard"/>
        <w:numPr>
          <w:ilvl w:val="0"/>
          <w:numId w:val="28"/>
        </w:numPr>
        <w:spacing w:after="120" w:line="240" w:lineRule="auto"/>
        <w:ind w:left="1440" w:right="1440"/>
      </w:pPr>
      <w:r w:rsidRPr="003F3C87">
        <w:t>2020 WEMA A</w:t>
      </w:r>
      <w:r w:rsidRPr="003F3C87" w:rsidR="00A00BE2">
        <w:t>pplication</w:t>
      </w:r>
      <w:r w:rsidRPr="003F3C87">
        <w:t xml:space="preserve"> </w:t>
      </w:r>
    </w:p>
    <w:p w:rsidRPr="003F3C87" w:rsidR="002D05D8" w:rsidP="00A152A2" w:rsidRDefault="7E418C57" w14:paraId="04C0633A" w14:textId="68D43CAE">
      <w:pPr>
        <w:pStyle w:val="Standard"/>
        <w:numPr>
          <w:ilvl w:val="0"/>
          <w:numId w:val="28"/>
        </w:numPr>
        <w:spacing w:after="120" w:line="240" w:lineRule="auto"/>
        <w:ind w:left="1440" w:right="1440"/>
      </w:pPr>
      <w:r w:rsidRPr="003F3C87">
        <w:t>2021 Nuclear Decommissioning Cost Triennial Proceeding (NDCTP) A.22-02-016</w:t>
      </w:r>
      <w:r w:rsidRPr="003F3C87" w:rsidR="002D05D8">
        <w:footnoteReference w:id="31"/>
      </w:r>
    </w:p>
    <w:p w:rsidRPr="003F3C87" w:rsidR="00A44919" w:rsidP="00A44919" w:rsidRDefault="007E580C" w14:paraId="4298A5EA" w14:textId="084A965A">
      <w:pPr>
        <w:pStyle w:val="Standard"/>
      </w:pPr>
      <w:r w:rsidRPr="003F3C87">
        <w:t xml:space="preserve">SCE </w:t>
      </w:r>
      <w:r w:rsidRPr="003F3C87" w:rsidR="0066047B">
        <w:t>filed a Supplemental Brief in response to</w:t>
      </w:r>
      <w:r w:rsidRPr="003F3C87">
        <w:t xml:space="preserve"> the </w:t>
      </w:r>
      <w:r w:rsidRPr="003F3C87" w:rsidR="0066047B">
        <w:t>May 24, 202</w:t>
      </w:r>
      <w:r w:rsidRPr="003F3C87" w:rsidR="003C477B">
        <w:t>2</w:t>
      </w:r>
      <w:r w:rsidRPr="003F3C87" w:rsidR="0066047B">
        <w:t xml:space="preserve">, </w:t>
      </w:r>
      <w:r w:rsidRPr="003F3C87">
        <w:t xml:space="preserve">ALJ ruling </w:t>
      </w:r>
      <w:r w:rsidRPr="003F3C87" w:rsidR="0066047B">
        <w:t xml:space="preserve">on June 9, 2022. </w:t>
      </w:r>
      <w:r w:rsidRPr="003F3C87" w:rsidR="00782D52">
        <w:t>The proceeding was submitted upon receipt of this Supplemental Brief.</w:t>
      </w:r>
    </w:p>
    <w:p w:rsidRPr="003F3C87" w:rsidR="0039012E" w:rsidP="00163FDA" w:rsidRDefault="00FA5834" w14:paraId="4B7CCABB" w14:textId="478DF99C">
      <w:pPr>
        <w:pStyle w:val="Standard"/>
      </w:pPr>
      <w:r w:rsidRPr="003F3C87">
        <w:t>On October 3, 2022, t</w:t>
      </w:r>
      <w:r w:rsidRPr="003F3C87" w:rsidR="00FB4302">
        <w:t xml:space="preserve">he proceeding was reassigned from ALJ McGary to ALJ Mutialu. </w:t>
      </w:r>
      <w:r w:rsidRPr="003F3C87">
        <w:t xml:space="preserve">On </w:t>
      </w:r>
      <w:r w:rsidRPr="003F3C87" w:rsidR="00FB4302">
        <w:t>October 10, 2022</w:t>
      </w:r>
      <w:r w:rsidRPr="003F3C87" w:rsidR="009A3D0B">
        <w:t>,</w:t>
      </w:r>
      <w:r w:rsidRPr="003F3C87" w:rsidR="00FB4302">
        <w:t xml:space="preserve"> th</w:t>
      </w:r>
      <w:r w:rsidRPr="003F3C87">
        <w:t>e</w:t>
      </w:r>
      <w:r w:rsidRPr="003F3C87" w:rsidR="00FB4302">
        <w:t xml:space="preserve"> </w:t>
      </w:r>
      <w:r w:rsidRPr="003F3C87">
        <w:t xml:space="preserve">proceeding deadline was </w:t>
      </w:r>
      <w:r w:rsidRPr="003F3C87" w:rsidR="00FB4302">
        <w:t>extended until April 30, 2023.</w:t>
      </w:r>
    </w:p>
    <w:p w:rsidRPr="003F3C87" w:rsidR="005A148C" w:rsidP="00A152A2" w:rsidRDefault="005939A5" w14:paraId="0E2C84C8" w14:textId="77777777">
      <w:pPr>
        <w:pStyle w:val="Heading1"/>
        <w:ind w:left="720" w:hanging="720"/>
      </w:pPr>
      <w:bookmarkStart w:name="_Toc8123719" w:id="16"/>
      <w:bookmarkStart w:name="_Toc12866688" w:id="17"/>
      <w:bookmarkStart w:name="_Toc126071041" w:id="18"/>
      <w:r w:rsidRPr="003F3C87">
        <w:t>Issues Before the Commission</w:t>
      </w:r>
      <w:bookmarkEnd w:id="16"/>
      <w:bookmarkEnd w:id="17"/>
      <w:bookmarkEnd w:id="18"/>
    </w:p>
    <w:p w:rsidRPr="003F3C87" w:rsidR="00B7646C" w:rsidP="006E6574" w:rsidRDefault="00B7646C" w14:paraId="40BE39A1" w14:textId="77777777">
      <w:pPr>
        <w:pStyle w:val="Standard"/>
      </w:pPr>
      <w:r w:rsidRPr="003F3C87">
        <w:t xml:space="preserve">The issues to be determined or otherwise considered are: </w:t>
      </w:r>
    </w:p>
    <w:p w:rsidRPr="003F3C87" w:rsidR="00B7646C" w:rsidP="00A152A2" w:rsidRDefault="72289C69" w14:paraId="41111B51" w14:textId="040456A7">
      <w:pPr>
        <w:pStyle w:val="Standard"/>
        <w:spacing w:after="120" w:line="240" w:lineRule="auto"/>
        <w:ind w:left="1080" w:right="1440" w:hanging="360"/>
      </w:pPr>
      <w:r w:rsidRPr="003F3C87">
        <w:t>1.</w:t>
      </w:r>
      <w:r w:rsidRPr="003F3C87" w:rsidR="00A152A2">
        <w:tab/>
      </w:r>
      <w:r w:rsidRPr="003F3C87">
        <w:t>Is SCE’s request to recover $214.</w:t>
      </w:r>
      <w:r w:rsidRPr="003F3C87" w:rsidR="0FAAFDB8">
        <w:t>5</w:t>
      </w:r>
      <w:r w:rsidRPr="003F3C87">
        <w:t xml:space="preserve"> million in revenue requirement related to the WEMA-eligible insurance costs </w:t>
      </w:r>
      <w:r w:rsidRPr="003F3C87">
        <w:lastRenderedPageBreak/>
        <w:t xml:space="preserve">incremental, </w:t>
      </w:r>
      <w:r w:rsidRPr="003F3C87" w:rsidR="3750F161">
        <w:t>r</w:t>
      </w:r>
      <w:r w:rsidRPr="003F3C87">
        <w:t>easonable, and recoverable under Pub. Util. Code Section 451?</w:t>
      </w:r>
      <w:r w:rsidRPr="003F3C87" w:rsidR="001A5619">
        <w:rPr>
          <w:rStyle w:val="FootnoteReference"/>
        </w:rPr>
        <w:footnoteReference w:id="32"/>
      </w:r>
      <w:r w:rsidRPr="003F3C87">
        <w:t xml:space="preserve"> </w:t>
      </w:r>
    </w:p>
    <w:p w:rsidRPr="003F3C87" w:rsidR="00B7646C" w:rsidP="00A152A2" w:rsidRDefault="00B7646C" w14:paraId="05A2F80B" w14:textId="2C050998">
      <w:pPr>
        <w:pStyle w:val="Standard"/>
        <w:spacing w:after="120" w:line="240" w:lineRule="auto"/>
        <w:ind w:left="1080" w:right="1440" w:hanging="360"/>
      </w:pPr>
      <w:r w:rsidRPr="003F3C87">
        <w:t>2.</w:t>
      </w:r>
      <w:r w:rsidRPr="003F3C87" w:rsidR="00A152A2">
        <w:tab/>
      </w:r>
      <w:r w:rsidRPr="003F3C87">
        <w:t xml:space="preserve">Are the cost allocation and cost recovery methods proposed by SCE reasonable, justified, and consistent with the law? </w:t>
      </w:r>
    </w:p>
    <w:p w:rsidRPr="003F3C87" w:rsidR="00B7646C" w:rsidP="00A152A2" w:rsidRDefault="00B7646C" w14:paraId="5502B2DD" w14:textId="3D0FDB2F">
      <w:pPr>
        <w:pStyle w:val="Standard"/>
        <w:spacing w:after="120" w:line="240" w:lineRule="auto"/>
        <w:ind w:left="1080" w:right="1440" w:hanging="360"/>
      </w:pPr>
      <w:r w:rsidRPr="003F3C87">
        <w:t>3.</w:t>
      </w:r>
      <w:r w:rsidRPr="003F3C87" w:rsidR="00A152A2">
        <w:tab/>
      </w:r>
      <w:r w:rsidRPr="003F3C87">
        <w:t xml:space="preserve">Is the Application in the public interest? </w:t>
      </w:r>
    </w:p>
    <w:p w:rsidRPr="003F3C87" w:rsidR="00577E89" w:rsidP="00A152A2" w:rsidRDefault="00B7646C" w14:paraId="5586E94C" w14:textId="721B75E4">
      <w:pPr>
        <w:pStyle w:val="Standard"/>
        <w:spacing w:after="120" w:line="240" w:lineRule="auto"/>
        <w:ind w:left="1080" w:right="1440" w:hanging="360"/>
      </w:pPr>
      <w:r w:rsidRPr="003F3C87">
        <w:t>4.</w:t>
      </w:r>
      <w:r w:rsidRPr="003F3C87" w:rsidR="00A152A2">
        <w:tab/>
      </w:r>
      <w:r w:rsidRPr="003F3C87">
        <w:t>Does grant or denial of the application require environmental review pursuant to the California Environmental Quality Act</w:t>
      </w:r>
      <w:r w:rsidRPr="003F3C87" w:rsidR="00424377">
        <w:t xml:space="preserve"> (CEQA)</w:t>
      </w:r>
      <w:r w:rsidRPr="003F3C87">
        <w:t>?</w:t>
      </w:r>
    </w:p>
    <w:p w:rsidRPr="003F3C87" w:rsidR="00DE4EF0" w:rsidP="002B3F22" w:rsidRDefault="00A04F80" w14:paraId="1D78B045" w14:textId="4911CE43">
      <w:pPr>
        <w:pStyle w:val="Heading1"/>
      </w:pPr>
      <w:bookmarkStart w:name="_Toc126071042" w:id="19"/>
      <w:r w:rsidRPr="003F3C87">
        <w:t>Incremental</w:t>
      </w:r>
      <w:r w:rsidRPr="003F3C87" w:rsidR="00751444">
        <w:t>ity of 2020</w:t>
      </w:r>
      <w:r w:rsidRPr="003F3C87">
        <w:t xml:space="preserve"> WEMA </w:t>
      </w:r>
      <w:r w:rsidRPr="003F3C87" w:rsidR="00BC23D8">
        <w:t>Costs</w:t>
      </w:r>
      <w:bookmarkEnd w:id="19"/>
      <w:r w:rsidRPr="003F3C87" w:rsidR="00BC23D8">
        <w:t xml:space="preserve"> </w:t>
      </w:r>
      <w:r w:rsidRPr="003F3C87" w:rsidR="00600AD1">
        <w:t xml:space="preserve"> </w:t>
      </w:r>
    </w:p>
    <w:p w:rsidRPr="003F3C87" w:rsidR="00CB6B75" w:rsidP="00EB6A7D" w:rsidRDefault="5C596389" w14:paraId="4BA21AA7" w14:textId="1DDDE712">
      <w:pPr>
        <w:pStyle w:val="Standard"/>
        <w:ind w:firstLine="630"/>
      </w:pPr>
      <w:r w:rsidRPr="003F3C87">
        <w:t>From January 2020</w:t>
      </w:r>
      <w:r w:rsidRPr="003F3C87" w:rsidR="7377F724">
        <w:t xml:space="preserve"> </w:t>
      </w:r>
      <w:r w:rsidRPr="003F3C87">
        <w:t>-</w:t>
      </w:r>
      <w:r w:rsidRPr="003F3C87" w:rsidR="7377F724">
        <w:t xml:space="preserve"> </w:t>
      </w:r>
      <w:r w:rsidRPr="003F3C87">
        <w:t xml:space="preserve">June 2020, </w:t>
      </w:r>
      <w:r w:rsidRPr="003F3C87" w:rsidR="01ADF9E3">
        <w:t xml:space="preserve">SCE incurred </w:t>
      </w:r>
      <w:r w:rsidRPr="003F3C87" w:rsidR="04E4366F">
        <w:t xml:space="preserve">$229.959 million </w:t>
      </w:r>
      <w:r w:rsidRPr="003F3C87" w:rsidR="143D9C11">
        <w:t>in wildfire insurance expenses</w:t>
      </w:r>
      <w:r w:rsidRPr="003F3C87" w:rsidR="01ADF9E3">
        <w:t>.</w:t>
      </w:r>
      <w:r w:rsidRPr="003F3C87" w:rsidR="7BA703E2">
        <w:t xml:space="preserve"> </w:t>
      </w:r>
      <w:r w:rsidRPr="003F3C87" w:rsidR="01C3DA04">
        <w:t>SCE’s 2018 GRC Decision authorized SCE to recover $78.8</w:t>
      </w:r>
      <w:r w:rsidRPr="003F3C87" w:rsidR="5CB5B922">
        <w:t> </w:t>
      </w:r>
      <w:r w:rsidRPr="003F3C87" w:rsidR="01C3DA04">
        <w:t>million of these expenses.</w:t>
      </w:r>
      <w:r w:rsidRPr="003F3C87" w:rsidR="00EC7839">
        <w:rPr>
          <w:rStyle w:val="FootnoteReference"/>
        </w:rPr>
        <w:footnoteReference w:id="33"/>
      </w:r>
      <w:r w:rsidRPr="003F3C87" w:rsidR="01C3DA04">
        <w:t xml:space="preserve"> </w:t>
      </w:r>
      <w:r w:rsidRPr="003F3C87">
        <w:t>To recover</w:t>
      </w:r>
      <w:r w:rsidRPr="003F3C87" w:rsidR="0B545AA3">
        <w:t xml:space="preserve"> </w:t>
      </w:r>
      <w:r w:rsidRPr="003F3C87">
        <w:t xml:space="preserve">the </w:t>
      </w:r>
      <w:r w:rsidRPr="003F3C87" w:rsidR="01C3DA04">
        <w:t>remainder</w:t>
      </w:r>
      <w:r w:rsidRPr="003F3C87">
        <w:t>,</w:t>
      </w:r>
      <w:r w:rsidRPr="003F3C87" w:rsidR="13E72B13">
        <w:t xml:space="preserve"> </w:t>
      </w:r>
      <w:r w:rsidRPr="003F3C87" w:rsidR="457C32D9">
        <w:t xml:space="preserve">SCE </w:t>
      </w:r>
      <w:r w:rsidRPr="003F3C87" w:rsidR="70143578">
        <w:t xml:space="preserve">filed </w:t>
      </w:r>
      <w:r w:rsidRPr="003F3C87" w:rsidR="44AF88A6">
        <w:t>its</w:t>
      </w:r>
      <w:r w:rsidRPr="003F3C87" w:rsidR="7BA703E2">
        <w:t xml:space="preserve"> 2019</w:t>
      </w:r>
      <w:r w:rsidRPr="003F3C87" w:rsidR="7377F724">
        <w:t> </w:t>
      </w:r>
      <w:r w:rsidRPr="003F3C87" w:rsidR="7BA703E2">
        <w:t xml:space="preserve">WEMA </w:t>
      </w:r>
      <w:r w:rsidRPr="003F3C87" w:rsidR="1942C70D">
        <w:t>A</w:t>
      </w:r>
      <w:r w:rsidRPr="003F3C87" w:rsidR="7BA703E2">
        <w:t>pplication</w:t>
      </w:r>
      <w:r w:rsidRPr="003F3C87" w:rsidR="44AF88A6">
        <w:t>.</w:t>
      </w:r>
      <w:r w:rsidRPr="003F3C87" w:rsidR="006A4932">
        <w:rPr>
          <w:rStyle w:val="FootnoteReference"/>
        </w:rPr>
        <w:footnoteReference w:id="34"/>
      </w:r>
      <w:r w:rsidRPr="003F3C87" w:rsidR="13E72B13">
        <w:t xml:space="preserve"> </w:t>
      </w:r>
      <w:r w:rsidRPr="003F3C87" w:rsidR="01C3DA04">
        <w:t>Subsequently, the</w:t>
      </w:r>
      <w:r w:rsidRPr="003F3C87" w:rsidR="3CECFC52">
        <w:t xml:space="preserve"> </w:t>
      </w:r>
      <w:r w:rsidRPr="003F3C87" w:rsidR="44AF88A6">
        <w:t>20</w:t>
      </w:r>
      <w:r w:rsidRPr="003F3C87" w:rsidR="14366DE4">
        <w:t>20</w:t>
      </w:r>
      <w:r w:rsidRPr="003F3C87" w:rsidR="44AF88A6">
        <w:t xml:space="preserve"> WEMA Decision</w:t>
      </w:r>
      <w:r w:rsidRPr="003F3C87" w:rsidR="3CECFC52">
        <w:t xml:space="preserve"> authorized SCE </w:t>
      </w:r>
      <w:r w:rsidRPr="003F3C87" w:rsidR="64B8449B">
        <w:t xml:space="preserve">to </w:t>
      </w:r>
      <w:r w:rsidRPr="003F3C87" w:rsidR="143D9C11">
        <w:t>collect</w:t>
      </w:r>
      <w:r w:rsidRPr="003F3C87" w:rsidR="64B8449B">
        <w:t xml:space="preserve"> $142</w:t>
      </w:r>
      <w:r w:rsidRPr="003F3C87" w:rsidR="70143578">
        <w:t xml:space="preserve"> million</w:t>
      </w:r>
      <w:r w:rsidRPr="003F3C87" w:rsidR="3CECFC52">
        <w:t xml:space="preserve"> in </w:t>
      </w:r>
      <w:r w:rsidRPr="003F3C87" w:rsidR="44AF88A6">
        <w:t xml:space="preserve">wildfire insurance premium </w:t>
      </w:r>
      <w:r w:rsidRPr="003F3C87" w:rsidR="01C3DA04">
        <w:t>expenses</w:t>
      </w:r>
      <w:r w:rsidRPr="003F3C87" w:rsidR="44AF88A6">
        <w:t xml:space="preserve"> for the January</w:t>
      </w:r>
      <w:r w:rsidRPr="003F3C87" w:rsidR="7377F724">
        <w:t> </w:t>
      </w:r>
      <w:r w:rsidRPr="003F3C87" w:rsidR="44AF88A6">
        <w:t>2020</w:t>
      </w:r>
      <w:r w:rsidRPr="003F3C87" w:rsidR="7377F724">
        <w:t xml:space="preserve"> </w:t>
      </w:r>
      <w:r w:rsidRPr="003F3C87" w:rsidR="44AF88A6">
        <w:t>-</w:t>
      </w:r>
      <w:r w:rsidRPr="003F3C87" w:rsidR="7377F724">
        <w:t xml:space="preserve"> </w:t>
      </w:r>
      <w:r w:rsidRPr="003F3C87" w:rsidR="44AF88A6">
        <w:t>June 2020 period</w:t>
      </w:r>
      <w:r w:rsidRPr="003F3C87" w:rsidR="143D9C11">
        <w:t xml:space="preserve"> from ratepayers</w:t>
      </w:r>
      <w:r w:rsidRPr="003F3C87" w:rsidR="416C6031">
        <w:t>.</w:t>
      </w:r>
    </w:p>
    <w:p w:rsidRPr="003F3C87" w:rsidR="006E7276" w:rsidP="00BF4695" w:rsidRDefault="70143578" w14:paraId="6DC1DAF4" w14:textId="3647D7A3">
      <w:pPr>
        <w:pStyle w:val="Standard"/>
      </w:pPr>
      <w:r>
        <w:t>SCE’s 2020 WEMA Application request</w:t>
      </w:r>
      <w:r w:rsidR="3035575A">
        <w:t>ed</w:t>
      </w:r>
      <w:r>
        <w:t xml:space="preserve"> </w:t>
      </w:r>
      <w:r w:rsidR="6BA4C336">
        <w:t>authori</w:t>
      </w:r>
      <w:r w:rsidR="130BD34B">
        <w:t>ty</w:t>
      </w:r>
      <w:r w:rsidR="6BA4C336">
        <w:t xml:space="preserve"> to recover </w:t>
      </w:r>
      <w:r w:rsidR="70144F2A">
        <w:t>$2</w:t>
      </w:r>
      <w:r w:rsidR="0573E559">
        <w:t>07.3</w:t>
      </w:r>
      <w:r w:rsidR="16340338">
        <w:t> </w:t>
      </w:r>
      <w:r w:rsidR="70144F2A">
        <w:t xml:space="preserve">million in </w:t>
      </w:r>
      <w:r w:rsidR="5D6DECAD">
        <w:t xml:space="preserve">wildfire </w:t>
      </w:r>
      <w:r w:rsidR="0573E559">
        <w:t xml:space="preserve">insurance premium </w:t>
      </w:r>
      <w:r w:rsidR="5D6DECAD">
        <w:t xml:space="preserve">costs </w:t>
      </w:r>
      <w:r w:rsidR="70144F2A">
        <w:t>incurred from July</w:t>
      </w:r>
      <w:r w:rsidR="003336FF">
        <w:t xml:space="preserve"> 1,</w:t>
      </w:r>
      <w:r w:rsidR="70144F2A">
        <w:t xml:space="preserve"> 2020</w:t>
      </w:r>
      <w:r w:rsidR="7377F724">
        <w:t xml:space="preserve"> </w:t>
      </w:r>
      <w:r w:rsidR="70144F2A">
        <w:t>-December</w:t>
      </w:r>
      <w:r w:rsidR="003336FF">
        <w:t xml:space="preserve"> 31,</w:t>
      </w:r>
      <w:r w:rsidR="70144F2A">
        <w:t xml:space="preserve"> 2020</w:t>
      </w:r>
      <w:r w:rsidR="0573E559">
        <w:t xml:space="preserve"> and </w:t>
      </w:r>
      <w:r w:rsidR="6748323E">
        <w:t xml:space="preserve">the SONGS Adjustment </w:t>
      </w:r>
      <w:r w:rsidR="0573E559">
        <w:t xml:space="preserve">incurred </w:t>
      </w:r>
      <w:r w:rsidR="130BD34B">
        <w:t>during</w:t>
      </w:r>
      <w:r w:rsidR="0573E559">
        <w:t xml:space="preserve"> the 2019</w:t>
      </w:r>
      <w:r w:rsidR="7377F724">
        <w:t xml:space="preserve"> </w:t>
      </w:r>
      <w:r w:rsidR="0573E559">
        <w:t>-</w:t>
      </w:r>
      <w:r w:rsidR="7377F724">
        <w:t xml:space="preserve"> </w:t>
      </w:r>
      <w:r w:rsidR="0573E559">
        <w:t xml:space="preserve">2020 policy year. </w:t>
      </w:r>
      <w:r w:rsidR="10100E80">
        <w:t xml:space="preserve">SCE did not request </w:t>
      </w:r>
      <w:r w:rsidR="01C3DA04">
        <w:t>recovery of</w:t>
      </w:r>
      <w:r w:rsidR="10100E80">
        <w:t xml:space="preserve"> these costs in SCE’s 2018 GRC or 2019 WEMA Applications. </w:t>
      </w:r>
      <w:r w:rsidR="60C1DB72">
        <w:t xml:space="preserve">Accordingly, </w:t>
      </w:r>
      <w:r w:rsidR="617AB077">
        <w:t xml:space="preserve">we </w:t>
      </w:r>
      <w:r w:rsidR="52968117">
        <w:t>find</w:t>
      </w:r>
      <w:r w:rsidR="416C6031">
        <w:t xml:space="preserve"> </w:t>
      </w:r>
      <w:r w:rsidR="617AB077">
        <w:t xml:space="preserve">that </w:t>
      </w:r>
      <w:r w:rsidR="544C8A18">
        <w:t xml:space="preserve">WEMA-eligible costs </w:t>
      </w:r>
      <w:r w:rsidR="06187D4A">
        <w:t xml:space="preserve"> </w:t>
      </w:r>
      <w:r w:rsidR="617AB077">
        <w:t xml:space="preserve">requested in </w:t>
      </w:r>
      <w:r w:rsidR="130BD34B">
        <w:t>its</w:t>
      </w:r>
      <w:r w:rsidR="617AB077">
        <w:t xml:space="preserve"> 2020 WEMA application</w:t>
      </w:r>
      <w:r w:rsidR="12BE5E33">
        <w:t xml:space="preserve"> </w:t>
      </w:r>
      <w:r w:rsidR="544C8A18">
        <w:t xml:space="preserve">are incremental to those recovered in </w:t>
      </w:r>
      <w:r w:rsidR="1942C70D">
        <w:t>SCE’s</w:t>
      </w:r>
      <w:r w:rsidR="544C8A18">
        <w:t xml:space="preserve"> 2018 GRC and the 2019 WEMA Application.</w:t>
      </w:r>
      <w:r w:rsidR="130BD34B">
        <w:t xml:space="preserve"> We will now discuss the reasonableness of these costs</w:t>
      </w:r>
      <w:r w:rsidR="3905EAAA">
        <w:t>, their</w:t>
      </w:r>
      <w:r w:rsidR="130BD34B">
        <w:t xml:space="preserve"> </w:t>
      </w:r>
      <w:r w:rsidR="3905EAAA">
        <w:t>allocation and recovery</w:t>
      </w:r>
      <w:r w:rsidR="130BD34B">
        <w:t xml:space="preserve">. </w:t>
      </w:r>
    </w:p>
    <w:p w:rsidRPr="003F3C87" w:rsidR="003D11FC" w:rsidP="00A152A2" w:rsidRDefault="003452D9" w14:paraId="6DED6947" w14:textId="560CC7C8">
      <w:pPr>
        <w:pStyle w:val="Heading1"/>
        <w:ind w:left="720" w:right="4590" w:hanging="720"/>
      </w:pPr>
      <w:bookmarkStart w:name="_Toc126071043" w:id="20"/>
      <w:r w:rsidRPr="003F3C87">
        <w:lastRenderedPageBreak/>
        <w:t>Reasonableness</w:t>
      </w:r>
      <w:r w:rsidRPr="003F3C87" w:rsidR="0018292D">
        <w:t xml:space="preserve"> of </w:t>
      </w:r>
      <w:r w:rsidRPr="003F3C87" w:rsidR="00CE71F6">
        <w:t xml:space="preserve">2020 </w:t>
      </w:r>
      <w:r w:rsidRPr="003F3C87" w:rsidR="007B0647">
        <w:t xml:space="preserve">WEMA </w:t>
      </w:r>
      <w:r w:rsidRPr="003F3C87" w:rsidR="0018292D">
        <w:t xml:space="preserve">Costs and </w:t>
      </w:r>
      <w:r w:rsidRPr="003F3C87" w:rsidR="008C391A">
        <w:t>Cost Allocation</w:t>
      </w:r>
      <w:bookmarkEnd w:id="20"/>
    </w:p>
    <w:p w:rsidRPr="003F3C87" w:rsidR="003D11FC" w:rsidP="003D11FC" w:rsidRDefault="003D11FC" w14:paraId="78900F1A" w14:textId="34735F48">
      <w:pPr>
        <w:pStyle w:val="Standard"/>
      </w:pPr>
      <w:r w:rsidRPr="003F3C87">
        <w:t>In SCE’s 2020 WEMA Application, SCE requests rate recovery of wildfire liability premium costs from two distinct periods</w:t>
      </w:r>
      <w:r w:rsidRPr="003F3C87" w:rsidR="002B3F22">
        <w:t>:</w:t>
      </w:r>
      <w:r w:rsidRPr="003F3C87">
        <w:t xml:space="preserve"> </w:t>
      </w:r>
      <w:r w:rsidRPr="003F3C87" w:rsidR="002B3F22">
        <w:t xml:space="preserve">$207.3 million in costs recorded in WEMA during </w:t>
      </w:r>
      <w:r w:rsidRPr="003F3C87">
        <w:t>the first half of SCE’s 2020-2021 policy year (Ju</w:t>
      </w:r>
      <w:r w:rsidRPr="003F3C87" w:rsidR="002B3F22">
        <w:t>ly</w:t>
      </w:r>
      <w:r w:rsidR="006537F5">
        <w:t xml:space="preserve"> 1,</w:t>
      </w:r>
      <w:r w:rsidRPr="003F3C87" w:rsidR="004127FC">
        <w:t> </w:t>
      </w:r>
      <w:r w:rsidRPr="003F3C87">
        <w:t>2020</w:t>
      </w:r>
      <w:r w:rsidRPr="003F3C87" w:rsidR="004127FC">
        <w:t> </w:t>
      </w:r>
      <w:r w:rsidRPr="003F3C87">
        <w:t>-</w:t>
      </w:r>
      <w:r w:rsidRPr="003F3C87" w:rsidR="004127FC">
        <w:t xml:space="preserve"> </w:t>
      </w:r>
      <w:r w:rsidRPr="003F3C87">
        <w:t xml:space="preserve">December </w:t>
      </w:r>
      <w:r w:rsidR="006537F5">
        <w:t xml:space="preserve">31, </w:t>
      </w:r>
      <w:r w:rsidRPr="003F3C87">
        <w:t xml:space="preserve">2020) </w:t>
      </w:r>
      <w:r w:rsidRPr="003F3C87" w:rsidR="002B3F22">
        <w:t xml:space="preserve">and </w:t>
      </w:r>
      <w:r w:rsidRPr="003F3C87" w:rsidR="00913364">
        <w:t xml:space="preserve">the SONGS Adjustment </w:t>
      </w:r>
      <w:r w:rsidRPr="003F3C87" w:rsidR="002B3F22">
        <w:t>recorded in WEMA during the 2018</w:t>
      </w:r>
      <w:r w:rsidRPr="003F3C87" w:rsidR="004127FC">
        <w:t xml:space="preserve"> </w:t>
      </w:r>
      <w:r w:rsidRPr="003F3C87" w:rsidR="002B3F22">
        <w:t>-</w:t>
      </w:r>
      <w:r w:rsidRPr="003F3C87" w:rsidR="004127FC">
        <w:t xml:space="preserve"> </w:t>
      </w:r>
      <w:r w:rsidRPr="003F3C87" w:rsidR="002B3F22">
        <w:t xml:space="preserve">2020 policy period (April 3, 2018-July 1, 2020). </w:t>
      </w:r>
      <w:r w:rsidRPr="003F3C87" w:rsidR="007B0647">
        <w:t>First, w</w:t>
      </w:r>
      <w:r w:rsidRPr="003F3C87" w:rsidR="002B3F22">
        <w:t>e will examine the reasonableness of</w:t>
      </w:r>
      <w:r w:rsidRPr="003F3C87" w:rsidR="006A3473">
        <w:t xml:space="preserve"> </w:t>
      </w:r>
      <w:r w:rsidRPr="003F3C87" w:rsidR="00DF4743">
        <w:t xml:space="preserve">SCE’s wildfire liability premium </w:t>
      </w:r>
      <w:r w:rsidRPr="003F3C87" w:rsidR="006A3473">
        <w:t>costs</w:t>
      </w:r>
      <w:r w:rsidRPr="003F3C87" w:rsidR="00DF4743">
        <w:t xml:space="preserve"> recorded in WEMA </w:t>
      </w:r>
      <w:r w:rsidRPr="003F3C87" w:rsidR="007B0647">
        <w:t>from July 2020</w:t>
      </w:r>
      <w:r w:rsidRPr="003F3C87" w:rsidR="004127FC">
        <w:t xml:space="preserve"> </w:t>
      </w:r>
      <w:r w:rsidRPr="003F3C87" w:rsidR="007B0647">
        <w:t>-</w:t>
      </w:r>
      <w:r w:rsidRPr="003F3C87" w:rsidR="004127FC">
        <w:t xml:space="preserve"> </w:t>
      </w:r>
      <w:r w:rsidRPr="003F3C87" w:rsidR="007B0647">
        <w:t>December 2020</w:t>
      </w:r>
      <w:r w:rsidRPr="003F3C87" w:rsidR="006A3473">
        <w:t>.</w:t>
      </w:r>
      <w:r w:rsidRPr="003F3C87" w:rsidR="002B3F22">
        <w:t xml:space="preserve"> </w:t>
      </w:r>
      <w:r w:rsidRPr="003F3C87" w:rsidR="007B0647">
        <w:t xml:space="preserve">Second, we will examine the reasonableness of </w:t>
      </w:r>
      <w:r w:rsidRPr="003F3C87" w:rsidR="00AA6F51">
        <w:t xml:space="preserve">cost recovery and cost allocation of </w:t>
      </w:r>
      <w:r w:rsidRPr="003F3C87" w:rsidR="00773977">
        <w:t xml:space="preserve">the </w:t>
      </w:r>
      <w:r w:rsidRPr="003F3C87" w:rsidR="007B0647">
        <w:t xml:space="preserve">SONGS </w:t>
      </w:r>
      <w:r w:rsidRPr="003F3C87" w:rsidR="00773977">
        <w:t>Adjustment</w:t>
      </w:r>
      <w:r w:rsidRPr="003F3C87" w:rsidR="007B0647">
        <w:t>.</w:t>
      </w:r>
    </w:p>
    <w:p w:rsidRPr="003F3C87" w:rsidR="003D11FC" w:rsidP="00A152A2" w:rsidRDefault="005D4FF5" w14:paraId="294C075F" w14:textId="0F9A3808">
      <w:pPr>
        <w:pStyle w:val="Heading2"/>
        <w:ind w:right="3690"/>
      </w:pPr>
      <w:bookmarkStart w:name="_Toc126071044" w:id="21"/>
      <w:r w:rsidRPr="003F3C87">
        <w:t xml:space="preserve">Reasonableness of </w:t>
      </w:r>
      <w:r w:rsidRPr="003F3C87" w:rsidR="003D11FC">
        <w:t>Ju</w:t>
      </w:r>
      <w:r w:rsidRPr="003F3C87" w:rsidR="003F3C87">
        <w:t>ly</w:t>
      </w:r>
      <w:r w:rsidR="006537F5">
        <w:t xml:space="preserve"> 1</w:t>
      </w:r>
      <w:r w:rsidR="00EF45E6">
        <w:t>,</w:t>
      </w:r>
      <w:r w:rsidRPr="003F3C87" w:rsidR="003D11FC">
        <w:t xml:space="preserve"> 2020</w:t>
      </w:r>
      <w:r w:rsidRPr="003F3C87" w:rsidR="004127FC">
        <w:t xml:space="preserve"> </w:t>
      </w:r>
      <w:r w:rsidRPr="003F3C87" w:rsidR="003D11FC">
        <w:t>-December</w:t>
      </w:r>
      <w:r w:rsidR="00EF45E6">
        <w:t xml:space="preserve"> 31,</w:t>
      </w:r>
      <w:r w:rsidRPr="003F3C87" w:rsidR="003D11FC">
        <w:t xml:space="preserve"> 2020 </w:t>
      </w:r>
      <w:r w:rsidRPr="003F3C87" w:rsidR="002B3F22">
        <w:t xml:space="preserve">SCE </w:t>
      </w:r>
      <w:r w:rsidRPr="003F3C87" w:rsidR="003D11FC">
        <w:t>Wildfire Insurance Premium Costs</w:t>
      </w:r>
      <w:bookmarkEnd w:id="21"/>
    </w:p>
    <w:p w:rsidRPr="003F3C87" w:rsidR="00D37EF4" w:rsidP="00064F7F" w:rsidRDefault="22002E7B" w14:paraId="28BD9E03" w14:textId="068638F6">
      <w:pPr>
        <w:pStyle w:val="Standard"/>
      </w:pPr>
      <w:r w:rsidRPr="003F3C87">
        <w:t xml:space="preserve">In Direct Testimony, </w:t>
      </w:r>
      <w:r w:rsidRPr="003F3C87" w:rsidR="3772E225">
        <w:t>SCE explained tha</w:t>
      </w:r>
      <w:r w:rsidRPr="003F3C87">
        <w:t>t wildfire</w:t>
      </w:r>
      <w:r w:rsidRPr="003F3C87" w:rsidR="3772E225">
        <w:t xml:space="preserve"> insurance </w:t>
      </w:r>
      <w:r w:rsidRPr="003F3C87">
        <w:t>liability</w:t>
      </w:r>
      <w:r w:rsidRPr="003F3C87" w:rsidR="1CBA6B31">
        <w:t xml:space="preserve"> premium costs have increased due to two factors: </w:t>
      </w:r>
      <w:bookmarkStart w:name="_Hlk121918713" w:id="22"/>
      <w:r w:rsidRPr="003F3C87" w:rsidR="1CBA6B31">
        <w:t>increasing wildfire risk</w:t>
      </w:r>
      <w:r w:rsidRPr="003F3C87" w:rsidR="28C3F49A">
        <w:t xml:space="preserve">  liability</w:t>
      </w:r>
      <w:r w:rsidRPr="003F3C87" w:rsidR="1CBA6B31">
        <w:t xml:space="preserve"> and decreasing supply of wildfire insurance coverage</w:t>
      </w:r>
      <w:bookmarkEnd w:id="22"/>
      <w:r w:rsidRPr="003F3C87" w:rsidR="3772E225">
        <w:t>.</w:t>
      </w:r>
      <w:r w:rsidRPr="003F3C87" w:rsidR="00756F11">
        <w:rPr>
          <w:rStyle w:val="FootnoteReference"/>
        </w:rPr>
        <w:footnoteReference w:id="35"/>
      </w:r>
      <w:r w:rsidRPr="003F3C87" w:rsidR="3772E225">
        <w:t xml:space="preserve"> </w:t>
      </w:r>
    </w:p>
    <w:p w:rsidRPr="003F3C87" w:rsidR="00FE69C7" w:rsidP="00D37EF4" w:rsidRDefault="08259058" w14:paraId="4F1AE9C1" w14:textId="3EC48DF3">
      <w:pPr>
        <w:pStyle w:val="Standard"/>
      </w:pPr>
      <w:r w:rsidRPr="003F3C87">
        <w:t xml:space="preserve">SCE </w:t>
      </w:r>
      <w:r w:rsidRPr="003F3C87" w:rsidR="3264AAAF">
        <w:t>detailed</w:t>
      </w:r>
      <w:r w:rsidRPr="003F3C87">
        <w:t xml:space="preserve"> </w:t>
      </w:r>
      <w:r w:rsidRPr="003F3C87" w:rsidR="54B08766">
        <w:t>several</w:t>
      </w:r>
      <w:r w:rsidRPr="003F3C87" w:rsidR="6A41AA32">
        <w:t xml:space="preserve"> </w:t>
      </w:r>
      <w:r w:rsidRPr="003F3C87" w:rsidR="54B08766">
        <w:t>factors</w:t>
      </w:r>
      <w:r w:rsidRPr="003F3C87">
        <w:t xml:space="preserve"> </w:t>
      </w:r>
      <w:r w:rsidRPr="003F3C87" w:rsidR="3264AAAF">
        <w:t xml:space="preserve">that have contributed to increasing wildfire risk </w:t>
      </w:r>
      <w:r w:rsidRPr="003F3C87" w:rsidR="54B08766">
        <w:t>including prolonged drought conditions</w:t>
      </w:r>
      <w:r w:rsidRPr="003F3C87" w:rsidR="3264AAAF">
        <w:t xml:space="preserve">, </w:t>
      </w:r>
      <w:r w:rsidRPr="003F3C87" w:rsidR="65BDC512">
        <w:t xml:space="preserve">a </w:t>
      </w:r>
      <w:r w:rsidRPr="003F3C87" w:rsidR="54B08766">
        <w:t>progressive increase in vegetation with low moisture content, decreased humidity, strong Santa Ana winds</w:t>
      </w:r>
      <w:r w:rsidRPr="003F3C87" w:rsidR="6A41AA32">
        <w:t xml:space="preserve">, and </w:t>
      </w:r>
      <w:r w:rsidRPr="003F3C87" w:rsidR="0FAC81CA">
        <w:t>an accumulation of wildfire fuel</w:t>
      </w:r>
      <w:r w:rsidRPr="003F3C87" w:rsidR="65BDC512">
        <w:t>s</w:t>
      </w:r>
      <w:r w:rsidRPr="003F3C87" w:rsidR="07CEF42D">
        <w:t>.</w:t>
      </w:r>
      <w:r w:rsidRPr="003F3C87" w:rsidR="00AC4A56">
        <w:rPr>
          <w:rStyle w:val="FootnoteReference"/>
        </w:rPr>
        <w:footnoteReference w:id="36"/>
      </w:r>
      <w:r w:rsidRPr="003F3C87" w:rsidR="07CEF42D">
        <w:t xml:space="preserve"> </w:t>
      </w:r>
    </w:p>
    <w:p w:rsidRPr="003F3C87" w:rsidR="0059049E" w:rsidP="0059049E" w:rsidRDefault="00C67524" w14:paraId="6E3AE2BF" w14:textId="1995C74B">
      <w:pPr>
        <w:pStyle w:val="Standard"/>
      </w:pPr>
      <w:r w:rsidRPr="003F3C87">
        <w:t xml:space="preserve">With respect to increased wildfire liability, </w:t>
      </w:r>
      <w:r w:rsidRPr="003F3C87" w:rsidR="00A511B0">
        <w:t>SCE pointed to</w:t>
      </w:r>
      <w:r w:rsidRPr="003F3C87">
        <w:t xml:space="preserve"> continued  exposure to</w:t>
      </w:r>
      <w:r w:rsidRPr="003F3C87" w:rsidR="001A4BF5">
        <w:t xml:space="preserve"> </w:t>
      </w:r>
      <w:r w:rsidRPr="003F3C87" w:rsidR="00A511B0">
        <w:t xml:space="preserve">inverse condemnation </w:t>
      </w:r>
      <w:r w:rsidRPr="003F3C87" w:rsidR="0059049E">
        <w:t>claims</w:t>
      </w:r>
      <w:r w:rsidRPr="003F3C87">
        <w:t xml:space="preserve">. For example, SCE </w:t>
      </w:r>
      <w:r w:rsidRPr="003F3C87" w:rsidR="00AE738E">
        <w:t xml:space="preserve">cited a </w:t>
      </w:r>
      <w:r w:rsidRPr="003F3C87" w:rsidR="000A164C">
        <w:t>$230,000 payment</w:t>
      </w:r>
      <w:r w:rsidRPr="003F3C87" w:rsidR="00AE738E">
        <w:t xml:space="preserve"> </w:t>
      </w:r>
      <w:r w:rsidRPr="003F3C87" w:rsidR="00337EC3">
        <w:t>ordered by</w:t>
      </w:r>
      <w:r w:rsidRPr="003F3C87" w:rsidR="000A164C">
        <w:t xml:space="preserve"> a decision in </w:t>
      </w:r>
      <w:r w:rsidRPr="003F3C87" w:rsidR="002B106E">
        <w:rPr>
          <w:i/>
          <w:iCs/>
        </w:rPr>
        <w:t>Rathje v. SCE</w:t>
      </w:r>
      <w:r w:rsidRPr="003F3C87" w:rsidR="00AE738E">
        <w:rPr>
          <w:i/>
          <w:iCs/>
        </w:rPr>
        <w:t xml:space="preserve"> </w:t>
      </w:r>
      <w:r w:rsidRPr="003F3C87" w:rsidR="000A164C">
        <w:t>that</w:t>
      </w:r>
      <w:r w:rsidRPr="003F3C87" w:rsidR="0059049E">
        <w:t xml:space="preserve"> </w:t>
      </w:r>
      <w:r w:rsidRPr="003F3C87" w:rsidR="00AE738E">
        <w:t>appli</w:t>
      </w:r>
      <w:r w:rsidRPr="003F3C87" w:rsidR="000A164C">
        <w:t>ed</w:t>
      </w:r>
      <w:r w:rsidRPr="003F3C87" w:rsidR="0059049E">
        <w:t xml:space="preserve"> inverse condemnation. </w:t>
      </w:r>
    </w:p>
    <w:p w:rsidRPr="003F3C87" w:rsidR="000632B0" w:rsidP="00FE1676" w:rsidRDefault="31985AA1" w14:paraId="0B721B6B" w14:textId="0A06A25E">
      <w:pPr>
        <w:pStyle w:val="Standard"/>
      </w:pPr>
      <w:r w:rsidRPr="003F3C87">
        <w:lastRenderedPageBreak/>
        <w:t>Due to</w:t>
      </w:r>
      <w:r w:rsidRPr="003F3C87" w:rsidR="7CD66139">
        <w:t xml:space="preserve"> </w:t>
      </w:r>
      <w:r w:rsidRPr="003F3C87" w:rsidR="16858BCD">
        <w:t>increasing wildfire risk and liability</w:t>
      </w:r>
      <w:r w:rsidRPr="003F3C87" w:rsidR="7CD66139">
        <w:t>,</w:t>
      </w:r>
      <w:r w:rsidRPr="003F3C87" w:rsidR="16858BCD">
        <w:t xml:space="preserve"> </w:t>
      </w:r>
      <w:r w:rsidRPr="003F3C87" w:rsidR="7CD66139">
        <w:t xml:space="preserve">SCE </w:t>
      </w:r>
      <w:r w:rsidRPr="003F3C87">
        <w:t>explained</w:t>
      </w:r>
      <w:r w:rsidRPr="003F3C87" w:rsidR="7CD66139">
        <w:t xml:space="preserve"> that insurance carriers have a decreased willingness to offer wildfire insurance coverage</w:t>
      </w:r>
      <w:r w:rsidRPr="003F3C87">
        <w:t xml:space="preserve">. According to SCE, the tightened supply of coverage options has resulted in higher wildfire premium prices. </w:t>
      </w:r>
      <w:r w:rsidRPr="003F3C87" w:rsidR="2AFEF753">
        <w:t>From 2016</w:t>
      </w:r>
      <w:r w:rsidRPr="003F3C87" w:rsidR="7377F724">
        <w:t xml:space="preserve"> </w:t>
      </w:r>
      <w:r w:rsidRPr="003F3C87" w:rsidR="2AFEF753">
        <w:t>-</w:t>
      </w:r>
      <w:r w:rsidRPr="003F3C87" w:rsidR="7377F724">
        <w:t xml:space="preserve"> </w:t>
      </w:r>
      <w:r w:rsidRPr="003F3C87" w:rsidR="2AFEF753">
        <w:t xml:space="preserve">2017, </w:t>
      </w:r>
      <w:r w:rsidRPr="003F3C87" w:rsidR="6CD8E11A">
        <w:t>SCE</w:t>
      </w:r>
      <w:r w:rsidRPr="003F3C87" w:rsidR="2AFEF753">
        <w:t xml:space="preserve"> paid $59 million in wildfire cash premiums. This value rose to $290 million from 2018</w:t>
      </w:r>
      <w:r w:rsidRPr="003F3C87" w:rsidR="7377F724">
        <w:t xml:space="preserve"> </w:t>
      </w:r>
      <w:r w:rsidRPr="003F3C87" w:rsidR="2AFEF753">
        <w:t>-</w:t>
      </w:r>
      <w:r w:rsidRPr="003F3C87" w:rsidR="7377F724">
        <w:t xml:space="preserve"> </w:t>
      </w:r>
      <w:r w:rsidRPr="003F3C87" w:rsidR="2AFEF753">
        <w:t xml:space="preserve">2019, escalated to $551 million from 2019-2020, and </w:t>
      </w:r>
      <w:r w:rsidRPr="003F3C87" w:rsidR="60C1DB72">
        <w:t>declined</w:t>
      </w:r>
      <w:r w:rsidRPr="003F3C87" w:rsidR="2AFEF753">
        <w:t xml:space="preserve"> to $435 million from 2020</w:t>
      </w:r>
      <w:r w:rsidRPr="003F3C87" w:rsidR="7377F724">
        <w:t> </w:t>
      </w:r>
      <w:r w:rsidRPr="003F3C87" w:rsidR="2AFEF753">
        <w:t>-</w:t>
      </w:r>
      <w:r w:rsidRPr="003F3C87" w:rsidR="7377F724">
        <w:t xml:space="preserve"> </w:t>
      </w:r>
      <w:r w:rsidRPr="003F3C87" w:rsidR="2AFEF753">
        <w:t>2021.</w:t>
      </w:r>
      <w:r w:rsidRPr="003F3C87" w:rsidR="00FE1676">
        <w:rPr>
          <w:rStyle w:val="FootnoteReference"/>
        </w:rPr>
        <w:footnoteReference w:id="37"/>
      </w:r>
    </w:p>
    <w:p w:rsidRPr="003F3C87" w:rsidR="00FD1B19" w:rsidP="000632B0" w:rsidRDefault="7142F737" w14:paraId="2D20BC4F" w14:textId="5EB0FC04">
      <w:pPr>
        <w:pStyle w:val="Standard"/>
      </w:pPr>
      <w:r w:rsidRPr="003F3C87">
        <w:t>Since SCE’s 2018</w:t>
      </w:r>
      <w:r w:rsidRPr="003F3C87" w:rsidR="7377F724">
        <w:t xml:space="preserve"> </w:t>
      </w:r>
      <w:r w:rsidRPr="003F3C87">
        <w:t>-</w:t>
      </w:r>
      <w:r w:rsidRPr="003F3C87" w:rsidR="7377F724">
        <w:t xml:space="preserve"> </w:t>
      </w:r>
      <w:r w:rsidRPr="003F3C87">
        <w:t xml:space="preserve">2019 policy year, SCE </w:t>
      </w:r>
      <w:r w:rsidRPr="003F3C87" w:rsidR="02378822">
        <w:t>reported tha</w:t>
      </w:r>
      <w:r w:rsidRPr="003F3C87">
        <w:t xml:space="preserve">t </w:t>
      </w:r>
      <w:r w:rsidRPr="003F3C87" w:rsidR="2C34CC50">
        <w:t xml:space="preserve">the </w:t>
      </w:r>
      <w:r w:rsidRPr="003F3C87">
        <w:t xml:space="preserve">general liability insurance </w:t>
      </w:r>
      <w:r w:rsidRPr="003F3C87" w:rsidR="2C34CC50">
        <w:t xml:space="preserve">market </w:t>
      </w:r>
      <w:r w:rsidRPr="003F3C87">
        <w:t xml:space="preserve">has excluded wildfire liability coverage. To address insurance coverage gaps, </w:t>
      </w:r>
      <w:r w:rsidRPr="003F3C87" w:rsidR="460AAF65">
        <w:t>SCE</w:t>
      </w:r>
      <w:r w:rsidRPr="003F3C87" w:rsidR="55988E59">
        <w:t xml:space="preserve"> </w:t>
      </w:r>
      <w:r w:rsidRPr="003F3C87" w:rsidR="044CA087">
        <w:t>worked with</w:t>
      </w:r>
      <w:r w:rsidRPr="003F3C87" w:rsidR="460AAF65">
        <w:t xml:space="preserve"> </w:t>
      </w:r>
      <w:r w:rsidRPr="003F3C87" w:rsidR="044CA087">
        <w:t>insurance brokers</w:t>
      </w:r>
      <w:r w:rsidRPr="003F3C87" w:rsidR="5969FB81">
        <w:t xml:space="preserve"> </w:t>
      </w:r>
      <w:r w:rsidRPr="003F3C87" w:rsidR="738DA46B">
        <w:t xml:space="preserve">to </w:t>
      </w:r>
      <w:r w:rsidRPr="003F3C87" w:rsidR="7A0059D7">
        <w:t>purchas</w:t>
      </w:r>
      <w:r w:rsidRPr="003F3C87" w:rsidR="738DA46B">
        <w:t>e</w:t>
      </w:r>
      <w:r w:rsidRPr="003F3C87" w:rsidR="451DD865">
        <w:t xml:space="preserve"> </w:t>
      </w:r>
      <w:r w:rsidRPr="003F3C87" w:rsidR="7A0059D7">
        <w:t>non-wildfire and wildfire liability coverage</w:t>
      </w:r>
      <w:r w:rsidRPr="003F3C87" w:rsidR="35523957">
        <w:t xml:space="preserve"> tiers</w:t>
      </w:r>
      <w:r w:rsidRPr="003F3C87" w:rsidR="55988E59">
        <w:t xml:space="preserve"> to create</w:t>
      </w:r>
      <w:r w:rsidRPr="003F3C87" w:rsidR="7A0059D7">
        <w:t xml:space="preserve"> a </w:t>
      </w:r>
      <w:r w:rsidRPr="003F3C87">
        <w:t>$1 billion insurance</w:t>
      </w:r>
      <w:r w:rsidRPr="003F3C87" w:rsidR="7A0059D7">
        <w:t xml:space="preserve"> “tower</w:t>
      </w:r>
      <w:r w:rsidRPr="003F3C87" w:rsidR="5969FB81">
        <w:t>.</w:t>
      </w:r>
      <w:r w:rsidRPr="003F3C87" w:rsidR="7A0059D7">
        <w:t>”</w:t>
      </w:r>
      <w:r w:rsidRPr="003F3C87" w:rsidR="55988E59">
        <w:t xml:space="preserve"> </w:t>
      </w:r>
      <w:r w:rsidRPr="003F3C87" w:rsidR="680AD77E">
        <w:t xml:space="preserve">SCE’s </w:t>
      </w:r>
      <w:r w:rsidRPr="003F3C87" w:rsidR="35523957">
        <w:t xml:space="preserve">“tower” </w:t>
      </w:r>
      <w:r w:rsidRPr="003F3C87" w:rsidR="52FF66DF">
        <w:t>include</w:t>
      </w:r>
      <w:r w:rsidRPr="003F3C87" w:rsidR="416ED8D6">
        <w:t>s</w:t>
      </w:r>
      <w:r w:rsidRPr="003F3C87" w:rsidR="1635EE9F">
        <w:t xml:space="preserve"> </w:t>
      </w:r>
      <w:r w:rsidRPr="003F3C87" w:rsidR="592A837D">
        <w:t xml:space="preserve">a </w:t>
      </w:r>
      <w:r w:rsidRPr="003F3C87" w:rsidR="514B1405">
        <w:t xml:space="preserve">$50 million </w:t>
      </w:r>
      <w:r w:rsidRPr="003F3C87" w:rsidR="416ED8D6">
        <w:t>GRC</w:t>
      </w:r>
      <w:r w:rsidRPr="003F3C87" w:rsidR="35523957">
        <w:t>-</w:t>
      </w:r>
      <w:r w:rsidRPr="003F3C87" w:rsidR="416ED8D6">
        <w:t>funded</w:t>
      </w:r>
      <w:r w:rsidRPr="003F3C87" w:rsidR="35523957">
        <w:t xml:space="preserve"> </w:t>
      </w:r>
      <w:r w:rsidRPr="003F3C87" w:rsidR="1635EE9F">
        <w:t>self</w:t>
      </w:r>
      <w:r w:rsidRPr="003F3C87" w:rsidR="004127FC">
        <w:noBreakHyphen/>
      </w:r>
      <w:r w:rsidRPr="003F3C87" w:rsidR="416ED8D6">
        <w:t>insurance-retention</w:t>
      </w:r>
      <w:r w:rsidRPr="003F3C87" w:rsidR="5C415DDC">
        <w:t xml:space="preserve"> (SIR)</w:t>
      </w:r>
      <w:r w:rsidRPr="003F3C87" w:rsidR="52FF66DF">
        <w:t xml:space="preserve"> </w:t>
      </w:r>
      <w:r w:rsidRPr="003F3C87" w:rsidR="35523957">
        <w:t>deductibl</w:t>
      </w:r>
      <w:r w:rsidRPr="003F3C87" w:rsidR="12DC9C3C">
        <w:t xml:space="preserve">e </w:t>
      </w:r>
      <w:r w:rsidRPr="003F3C87" w:rsidR="416ED8D6">
        <w:t>that</w:t>
      </w:r>
      <w:r w:rsidRPr="003F3C87" w:rsidR="514B1405">
        <w:t xml:space="preserve"> must be </w:t>
      </w:r>
      <w:r w:rsidRPr="003F3C87" w:rsidR="556E3138">
        <w:t xml:space="preserve">utilized initially by SCE to </w:t>
      </w:r>
      <w:r w:rsidRPr="003F3C87" w:rsidR="592A837D">
        <w:t>cover</w:t>
      </w:r>
      <w:r w:rsidRPr="003F3C87" w:rsidR="66E7091D">
        <w:t xml:space="preserve"> </w:t>
      </w:r>
      <w:r w:rsidRPr="003F3C87" w:rsidR="592A837D">
        <w:t>wildfire</w:t>
      </w:r>
      <w:r w:rsidRPr="003F3C87" w:rsidR="66E7091D">
        <w:t xml:space="preserve"> liability-related</w:t>
      </w:r>
      <w:r w:rsidRPr="003F3C87" w:rsidR="556E3138">
        <w:t xml:space="preserve"> expenses including wildfire</w:t>
      </w:r>
      <w:r w:rsidRPr="003F3C87" w:rsidR="680AD77E">
        <w:t xml:space="preserve">-related </w:t>
      </w:r>
      <w:r w:rsidRPr="003F3C87" w:rsidR="556E3138">
        <w:t xml:space="preserve">injury claims. When </w:t>
      </w:r>
      <w:r w:rsidRPr="003F3C87" w:rsidR="18672D93">
        <w:t>SIR</w:t>
      </w:r>
      <w:r w:rsidRPr="003F3C87" w:rsidR="556E3138">
        <w:t xml:space="preserve"> funds are exhausted, SCE</w:t>
      </w:r>
      <w:r w:rsidRPr="003F3C87" w:rsidR="02378822">
        <w:t xml:space="preserve"> </w:t>
      </w:r>
      <w:r w:rsidRPr="003F3C87" w:rsidR="29F4B8DA">
        <w:t>may</w:t>
      </w:r>
      <w:r w:rsidRPr="003F3C87" w:rsidR="18672D93">
        <w:t xml:space="preserve"> access insurance coverage purchased in the market. These</w:t>
      </w:r>
      <w:r w:rsidRPr="003F3C87" w:rsidR="680AD77E">
        <w:t xml:space="preserve"> </w:t>
      </w:r>
      <w:r w:rsidRPr="003F3C87" w:rsidR="18672D93">
        <w:t>insur</w:t>
      </w:r>
      <w:r w:rsidRPr="003F3C87" w:rsidR="680AD77E">
        <w:t>anc</w:t>
      </w:r>
      <w:r w:rsidRPr="003F3C87" w:rsidR="18672D93">
        <w:t xml:space="preserve">e </w:t>
      </w:r>
      <w:r w:rsidRPr="003F3C87" w:rsidR="680AD77E">
        <w:t>and reinsurance</w:t>
      </w:r>
      <w:r w:rsidRPr="003F3C87" w:rsidR="0070742F">
        <w:rPr>
          <w:rStyle w:val="FootnoteReference"/>
        </w:rPr>
        <w:footnoteReference w:id="38"/>
      </w:r>
      <w:r w:rsidRPr="003F3C87" w:rsidR="680AD77E">
        <w:t xml:space="preserve"> </w:t>
      </w:r>
      <w:r w:rsidRPr="003F3C87" w:rsidR="2CFD727C">
        <w:t>polic</w:t>
      </w:r>
      <w:r w:rsidRPr="003F3C87" w:rsidR="1AA28C3C">
        <w:t>y tiers</w:t>
      </w:r>
      <w:r w:rsidRPr="003F3C87" w:rsidR="2CFD727C">
        <w:t xml:space="preserve"> </w:t>
      </w:r>
      <w:r w:rsidRPr="003F3C87" w:rsidR="1AA28C3C">
        <w:t xml:space="preserve">vary in price according to type of </w:t>
      </w:r>
      <w:r w:rsidRPr="003F3C87" w:rsidR="2CFD727C">
        <w:t>cover</w:t>
      </w:r>
      <w:r w:rsidRPr="003F3C87" w:rsidR="1AA28C3C">
        <w:t>age (i.e., property damage (least cost) versus bodily injury (higher cost))</w:t>
      </w:r>
      <w:r w:rsidRPr="003F3C87" w:rsidR="2E7FD6FE">
        <w:t>.</w:t>
      </w:r>
      <w:r w:rsidRPr="003F3C87" w:rsidR="00FD1B19">
        <w:rPr>
          <w:rStyle w:val="FootnoteReference"/>
        </w:rPr>
        <w:footnoteReference w:id="39"/>
      </w:r>
      <w:r w:rsidRPr="003F3C87" w:rsidR="2E7FD6FE">
        <w:t xml:space="preserve"> </w:t>
      </w:r>
    </w:p>
    <w:p w:rsidRPr="003F3C87" w:rsidR="00213792" w:rsidP="00C76977" w:rsidRDefault="004D32D0" w14:paraId="4253210B" w14:textId="3D42B8A9">
      <w:pPr>
        <w:pStyle w:val="Standard"/>
        <w:rPr>
          <w:rFonts w:cs="TimesNewRomanPSMT"/>
          <w:szCs w:val="26"/>
        </w:rPr>
      </w:pPr>
      <w:r w:rsidRPr="003F3C87">
        <w:t xml:space="preserve">When considering the trajectory of wildfire risks, consequences, and </w:t>
      </w:r>
      <w:r w:rsidRPr="003F3C87" w:rsidR="00C15FFD">
        <w:t xml:space="preserve">insurance </w:t>
      </w:r>
      <w:r w:rsidRPr="003F3C87">
        <w:t xml:space="preserve">costs, </w:t>
      </w:r>
      <w:r w:rsidRPr="003F3C87" w:rsidR="00DA61AF">
        <w:t>we</w:t>
      </w:r>
      <w:r w:rsidRPr="003F3C87" w:rsidR="00106AF3">
        <w:t xml:space="preserve"> </w:t>
      </w:r>
      <w:r w:rsidRPr="003F3C87" w:rsidR="00147A87">
        <w:t>concur with</w:t>
      </w:r>
      <w:r w:rsidRPr="003F3C87" w:rsidR="00106AF3">
        <w:t xml:space="preserve"> SCE’s </w:t>
      </w:r>
      <w:r w:rsidRPr="003F3C87" w:rsidR="00147A87">
        <w:t>view</w:t>
      </w:r>
      <w:r w:rsidRPr="003F3C87" w:rsidR="00106AF3">
        <w:t xml:space="preserve"> that </w:t>
      </w:r>
      <w:r w:rsidRPr="003F3C87" w:rsidR="0036338C">
        <w:t xml:space="preserve">it is reasonable to recover WEMA-eligible </w:t>
      </w:r>
      <w:r w:rsidRPr="003F3C87" w:rsidR="00894213">
        <w:t xml:space="preserve">wildfire </w:t>
      </w:r>
      <w:r w:rsidRPr="003F3C87" w:rsidR="00537041">
        <w:t xml:space="preserve">insurance </w:t>
      </w:r>
      <w:r w:rsidRPr="003F3C87" w:rsidR="00894213">
        <w:t>premium costs</w:t>
      </w:r>
      <w:r w:rsidRPr="003F3C87" w:rsidR="0036338C">
        <w:t xml:space="preserve">, and </w:t>
      </w:r>
      <w:r w:rsidRPr="003F3C87" w:rsidR="00894213">
        <w:t>associated fees</w:t>
      </w:r>
      <w:r w:rsidRPr="003F3C87" w:rsidR="00DA61AF">
        <w:t>, interest</w:t>
      </w:r>
      <w:r w:rsidRPr="003F3C87" w:rsidR="00537041">
        <w:t>,</w:t>
      </w:r>
      <w:r w:rsidRPr="003F3C87" w:rsidR="00DA61AF">
        <w:t xml:space="preserve"> and finance-related charges</w:t>
      </w:r>
      <w:r w:rsidRPr="003F3C87" w:rsidR="0036338C">
        <w:t xml:space="preserve"> tracked from Ju</w:t>
      </w:r>
      <w:r w:rsidRPr="003F3C87" w:rsidR="003F3C87">
        <w:t>ly</w:t>
      </w:r>
      <w:r w:rsidR="00124972">
        <w:t xml:space="preserve"> 1,</w:t>
      </w:r>
      <w:r w:rsidRPr="003F3C87" w:rsidR="0036338C">
        <w:t xml:space="preserve"> 2020</w:t>
      </w:r>
      <w:r w:rsidRPr="003F3C87" w:rsidR="004127FC">
        <w:t xml:space="preserve"> </w:t>
      </w:r>
      <w:r w:rsidRPr="003F3C87" w:rsidR="00AA6F51">
        <w:t>-</w:t>
      </w:r>
      <w:r w:rsidRPr="003F3C87" w:rsidR="004127FC">
        <w:t xml:space="preserve"> </w:t>
      </w:r>
      <w:r w:rsidRPr="003F3C87" w:rsidR="0036338C">
        <w:t xml:space="preserve">December </w:t>
      </w:r>
      <w:r w:rsidR="00124972">
        <w:t xml:space="preserve">31, </w:t>
      </w:r>
      <w:r w:rsidRPr="003F3C87" w:rsidR="0036338C">
        <w:t>2020</w:t>
      </w:r>
      <w:r w:rsidRPr="003F3C87" w:rsidR="00150C1E">
        <w:t xml:space="preserve">. </w:t>
      </w:r>
      <w:r w:rsidRPr="003F3C87" w:rsidR="00D40A20">
        <w:t xml:space="preserve">As the </w:t>
      </w:r>
      <w:r w:rsidRPr="003F3C87" w:rsidR="00D40A20">
        <w:lastRenderedPageBreak/>
        <w:t xml:space="preserve">effects of climate change continue to evolve, predicting the frequency and severity of wildfire events will continue to be a challenge. Consequently, </w:t>
      </w:r>
      <w:r w:rsidRPr="003F3C87" w:rsidR="00106AF3">
        <w:rPr>
          <w:rFonts w:cs="TimesNewRomanPSMT"/>
          <w:szCs w:val="26"/>
        </w:rPr>
        <w:t xml:space="preserve">the ability of </w:t>
      </w:r>
      <w:r w:rsidRPr="003F3C87" w:rsidR="00600AD1">
        <w:rPr>
          <w:rFonts w:cs="TimesNewRomanPSMT"/>
          <w:szCs w:val="26"/>
        </w:rPr>
        <w:t>SCE</w:t>
      </w:r>
      <w:r w:rsidRPr="003F3C87" w:rsidR="00106AF3">
        <w:rPr>
          <w:rFonts w:cs="TimesNewRomanPSMT"/>
          <w:szCs w:val="26"/>
        </w:rPr>
        <w:t xml:space="preserve"> and insurance brokers to forecast required wildfire liability coverage </w:t>
      </w:r>
      <w:r w:rsidRPr="003F3C87" w:rsidR="00600AD1">
        <w:rPr>
          <w:rFonts w:cs="TimesNewRomanPSMT"/>
          <w:szCs w:val="26"/>
        </w:rPr>
        <w:t>in</w:t>
      </w:r>
      <w:r w:rsidRPr="003F3C87" w:rsidR="00106AF3">
        <w:rPr>
          <w:rFonts w:cs="TimesNewRomanPSMT"/>
          <w:szCs w:val="26"/>
        </w:rPr>
        <w:t xml:space="preserve"> </w:t>
      </w:r>
      <w:r w:rsidRPr="003F3C87" w:rsidR="00600AD1">
        <w:rPr>
          <w:rFonts w:cs="TimesNewRomanPSMT"/>
          <w:szCs w:val="26"/>
        </w:rPr>
        <w:t xml:space="preserve">SCE’s </w:t>
      </w:r>
      <w:r w:rsidRPr="003F3C87" w:rsidR="00106AF3">
        <w:rPr>
          <w:rFonts w:cs="TimesNewRomanPSMT"/>
          <w:szCs w:val="26"/>
        </w:rPr>
        <w:t>GRC</w:t>
      </w:r>
      <w:r w:rsidRPr="003F3C87" w:rsidR="00600AD1">
        <w:rPr>
          <w:rFonts w:cs="TimesNewRomanPSMT"/>
          <w:szCs w:val="26"/>
        </w:rPr>
        <w:t xml:space="preserve"> filings will be tested. </w:t>
      </w:r>
      <w:r w:rsidRPr="003F3C87" w:rsidR="00213792">
        <w:rPr>
          <w:rFonts w:cs="TimesNewRomanPSMT"/>
          <w:szCs w:val="26"/>
        </w:rPr>
        <w:t xml:space="preserve"> </w:t>
      </w:r>
    </w:p>
    <w:p w:rsidRPr="003F3C87" w:rsidR="00106AF3" w:rsidP="00C76977" w:rsidRDefault="79F4E5D6" w14:paraId="3B6A2AB8" w14:textId="33334B6F">
      <w:pPr>
        <w:pStyle w:val="Standard"/>
        <w:rPr>
          <w:rFonts w:cs="TimesNewRomanPSMT"/>
          <w:szCs w:val="26"/>
        </w:rPr>
      </w:pPr>
      <w:r w:rsidRPr="1E7186C4">
        <w:rPr>
          <w:rFonts w:cs="TimesNewRomanPSMT"/>
        </w:rPr>
        <w:t>If SCE is required to make wildfire-related</w:t>
      </w:r>
      <w:r w:rsidRPr="1E7186C4" w:rsidR="0E7DF969">
        <w:rPr>
          <w:rFonts w:cs="TimesNewRomanPSMT"/>
        </w:rPr>
        <w:t xml:space="preserve"> liability </w:t>
      </w:r>
      <w:r w:rsidRPr="1E7186C4">
        <w:rPr>
          <w:rFonts w:cs="TimesNewRomanPSMT"/>
        </w:rPr>
        <w:t xml:space="preserve">payments between GRC filings, due to inverse condemnation claims or otherwise, SCE </w:t>
      </w:r>
      <w:r w:rsidRPr="1E7186C4" w:rsidR="0E7DF969">
        <w:rPr>
          <w:rFonts w:cs="TimesNewRomanPSMT"/>
        </w:rPr>
        <w:t xml:space="preserve">should </w:t>
      </w:r>
      <w:r w:rsidRPr="1E7186C4" w:rsidR="7D619F45">
        <w:rPr>
          <w:rFonts w:cs="TimesNewRomanPSMT"/>
        </w:rPr>
        <w:t>retain</w:t>
      </w:r>
      <w:r w:rsidRPr="1E7186C4">
        <w:rPr>
          <w:rFonts w:cs="TimesNewRomanPSMT"/>
        </w:rPr>
        <w:t xml:space="preserve"> interim</w:t>
      </w:r>
      <w:r w:rsidRPr="1E7186C4" w:rsidR="0E7DF969">
        <w:rPr>
          <w:rFonts w:cs="TimesNewRomanPSMT"/>
        </w:rPr>
        <w:t xml:space="preserve"> and</w:t>
      </w:r>
      <w:r w:rsidRPr="1E7186C4" w:rsidR="1A7D3B86">
        <w:rPr>
          <w:rFonts w:cs="TimesNewRomanPSMT"/>
        </w:rPr>
        <w:t>/</w:t>
      </w:r>
      <w:r w:rsidRPr="1E7186C4" w:rsidR="0E7DF969">
        <w:rPr>
          <w:rFonts w:cs="TimesNewRomanPSMT"/>
        </w:rPr>
        <w:t>or replacement</w:t>
      </w:r>
      <w:r w:rsidRPr="1E7186C4">
        <w:rPr>
          <w:rFonts w:cs="TimesNewRomanPSMT"/>
        </w:rPr>
        <w:t xml:space="preserve"> wildfire liability cov</w:t>
      </w:r>
      <w:r w:rsidRPr="1E7186C4" w:rsidR="0E7DF969">
        <w:rPr>
          <w:rFonts w:cs="TimesNewRomanPSMT"/>
        </w:rPr>
        <w:t xml:space="preserve">erage, </w:t>
      </w:r>
      <w:r w:rsidRPr="1E7186C4">
        <w:rPr>
          <w:rFonts w:cs="TimesNewRomanPSMT"/>
        </w:rPr>
        <w:t>through self-insurance</w:t>
      </w:r>
      <w:r w:rsidRPr="1E7186C4" w:rsidR="0E7DF969">
        <w:rPr>
          <w:rFonts w:cs="TimesNewRomanPSMT"/>
        </w:rPr>
        <w:t xml:space="preserve"> or through insurance policies purchased in the market. </w:t>
      </w:r>
      <w:r w:rsidRPr="1E7186C4" w:rsidR="033B545E">
        <w:rPr>
          <w:rFonts w:cs="TimesNewRomanPSMT"/>
        </w:rPr>
        <w:t xml:space="preserve">SCE correctly notes that it would not be in the best interest of SCE customers to </w:t>
      </w:r>
      <w:r w:rsidRPr="1E7186C4" w:rsidR="63EDAD33">
        <w:rPr>
          <w:rFonts w:cs="TimesNewRomanPSMT"/>
        </w:rPr>
        <w:t xml:space="preserve">reimburse wildfire claimants </w:t>
      </w:r>
      <w:r w:rsidRPr="1E7186C4" w:rsidR="033B545E">
        <w:rPr>
          <w:rFonts w:cs="TimesNewRomanPSMT"/>
        </w:rPr>
        <w:t>directly from GRC revenues or from WEMA versus through insur</w:t>
      </w:r>
      <w:r w:rsidRPr="1E7186C4" w:rsidR="63EDAD33">
        <w:rPr>
          <w:rFonts w:cs="TimesNewRomanPSMT"/>
        </w:rPr>
        <w:t>ance coverage.</w:t>
      </w:r>
      <w:r w:rsidRPr="1E7186C4" w:rsidR="00CB2A93">
        <w:rPr>
          <w:rStyle w:val="FootnoteReference"/>
          <w:rFonts w:cs="TimesNewRomanPSMT"/>
        </w:rPr>
        <w:footnoteReference w:id="40"/>
      </w:r>
      <w:r w:rsidRPr="1E7186C4" w:rsidR="63EDAD33">
        <w:rPr>
          <w:rFonts w:cs="TimesNewRomanPSMT"/>
        </w:rPr>
        <w:t xml:space="preserve"> </w:t>
      </w:r>
      <w:r w:rsidRPr="1E7186C4">
        <w:rPr>
          <w:rFonts w:cs="TimesNewRomanPSMT"/>
        </w:rPr>
        <w:t xml:space="preserve">To </w:t>
      </w:r>
      <w:r w:rsidRPr="1E7186C4" w:rsidR="3EE3D9F1">
        <w:rPr>
          <w:rFonts w:cs="TimesNewRomanPSMT"/>
        </w:rPr>
        <w:t xml:space="preserve">maintain SCE’s wildfire liability insurance coverage at an adequate level, </w:t>
      </w:r>
      <w:r w:rsidRPr="1E7186C4" w:rsidR="63EDAD33">
        <w:rPr>
          <w:rFonts w:cs="TimesNewRomanPSMT"/>
        </w:rPr>
        <w:t xml:space="preserve">we agree with </w:t>
      </w:r>
      <w:r w:rsidRPr="1E7186C4">
        <w:rPr>
          <w:rFonts w:cs="TimesNewRomanPSMT"/>
        </w:rPr>
        <w:t>SCE</w:t>
      </w:r>
      <w:r w:rsidRPr="1E7186C4" w:rsidR="63EDAD33">
        <w:rPr>
          <w:rFonts w:cs="TimesNewRomanPSMT"/>
        </w:rPr>
        <w:t>’s</w:t>
      </w:r>
      <w:r w:rsidRPr="1E7186C4">
        <w:rPr>
          <w:rFonts w:cs="TimesNewRomanPSMT"/>
        </w:rPr>
        <w:t xml:space="preserve"> </w:t>
      </w:r>
      <w:r w:rsidRPr="1E7186C4" w:rsidR="63EDAD33">
        <w:rPr>
          <w:rFonts w:cs="TimesNewRomanPSMT"/>
        </w:rPr>
        <w:t xml:space="preserve">and Cal Advocates’ </w:t>
      </w:r>
      <w:r w:rsidRPr="1E7186C4" w:rsidR="7A61CBFE">
        <w:rPr>
          <w:rFonts w:cs="TimesNewRomanPSMT"/>
        </w:rPr>
        <w:t>stipulation</w:t>
      </w:r>
      <w:r w:rsidRPr="1E7186C4" w:rsidR="63EDAD33">
        <w:rPr>
          <w:rFonts w:cs="TimesNewRomanPSMT"/>
        </w:rPr>
        <w:t xml:space="preserve"> that it is just and reasonable</w:t>
      </w:r>
      <w:r w:rsidRPr="1E7186C4" w:rsidR="3AB57430">
        <w:rPr>
          <w:rFonts w:cs="TimesNewRomanPSMT"/>
        </w:rPr>
        <w:t xml:space="preserve">, per requirements of Public Utilities Code </w:t>
      </w:r>
      <w:r w:rsidRPr="1E7186C4" w:rsidR="7A61CBFE">
        <w:rPr>
          <w:rFonts w:cs="TimesNewRomanPSMT"/>
        </w:rPr>
        <w:t xml:space="preserve">Section </w:t>
      </w:r>
      <w:r w:rsidRPr="1E7186C4" w:rsidR="3AB57430">
        <w:rPr>
          <w:rFonts w:cs="TimesNewRomanPSMT"/>
        </w:rPr>
        <w:t>451,</w:t>
      </w:r>
      <w:r w:rsidRPr="1E7186C4" w:rsidR="3883784B">
        <w:rPr>
          <w:rFonts w:cs="TimesNewRomanPSMT"/>
        </w:rPr>
        <w:t xml:space="preserve"> </w:t>
      </w:r>
      <w:r w:rsidRPr="1E7186C4" w:rsidR="63EDAD33">
        <w:rPr>
          <w:rFonts w:cs="TimesNewRomanPSMT"/>
        </w:rPr>
        <w:t xml:space="preserve">for SCE to recover $207.3 million in </w:t>
      </w:r>
      <w:r w:rsidRPr="1E7186C4" w:rsidR="3EE3D9F1">
        <w:rPr>
          <w:rFonts w:cs="TimesNewRomanPSMT"/>
        </w:rPr>
        <w:t xml:space="preserve">wildfire liability insurance premiums, </w:t>
      </w:r>
      <w:r w:rsidRPr="1E7186C4" w:rsidR="7A61CBFE">
        <w:rPr>
          <w:rFonts w:cs="TimesNewRomanPSMT"/>
        </w:rPr>
        <w:t>Commission</w:t>
      </w:r>
      <w:r w:rsidRPr="003F3C87" w:rsidR="004127FC">
        <w:rPr>
          <w:rFonts w:cs="TimesNewRomanPSMT"/>
          <w:szCs w:val="26"/>
        </w:rPr>
        <w:noBreakHyphen/>
      </w:r>
      <w:r w:rsidRPr="1E7186C4" w:rsidR="3EE3D9F1">
        <w:rPr>
          <w:rFonts w:cs="TimesNewRomanPSMT"/>
        </w:rPr>
        <w:t>jurisdictional financing costs, memorandum account interest, and Franchise Fees and Uncollectibles</w:t>
      </w:r>
      <w:r w:rsidRPr="1E7186C4" w:rsidR="7B61B0CB">
        <w:rPr>
          <w:rFonts w:cs="TimesNewRomanPSMT"/>
        </w:rPr>
        <w:t xml:space="preserve"> </w:t>
      </w:r>
      <w:r w:rsidRPr="1E7186C4" w:rsidR="3EE3D9F1">
        <w:rPr>
          <w:rFonts w:cs="TimesNewRomanPSMT"/>
        </w:rPr>
        <w:t>tracked in SCE’s WEMA.</w:t>
      </w:r>
    </w:p>
    <w:p w:rsidRPr="003F3C87" w:rsidR="003162F3" w:rsidP="00A152A2" w:rsidRDefault="003B2A79" w14:paraId="14A340EB" w14:textId="38637F37">
      <w:pPr>
        <w:pStyle w:val="Heading2"/>
        <w:ind w:right="3600"/>
      </w:pPr>
      <w:bookmarkStart w:name="_Toc126071045" w:id="23"/>
      <w:bookmarkStart w:name="_Hlk122415490" w:id="24"/>
      <w:r w:rsidRPr="003F3C87">
        <w:t xml:space="preserve">Reasonableness of </w:t>
      </w:r>
      <w:r w:rsidRPr="003F3C87" w:rsidR="0019116B">
        <w:t>SONGS</w:t>
      </w:r>
      <w:r w:rsidRPr="003F3C87" w:rsidR="003D11FC">
        <w:t xml:space="preserve"> </w:t>
      </w:r>
      <w:r w:rsidRPr="003F3C87" w:rsidR="00172B4B">
        <w:t>Wildfire Insurance Premium Cost</w:t>
      </w:r>
      <w:r w:rsidRPr="003F3C87" w:rsidR="00EE1727">
        <w:t xml:space="preserve">s </w:t>
      </w:r>
      <w:r w:rsidRPr="003F3C87">
        <w:t>and Cost Allocation</w:t>
      </w:r>
      <w:bookmarkEnd w:id="23"/>
    </w:p>
    <w:p w:rsidRPr="003F3C87" w:rsidR="00BC23D8" w:rsidP="00BC23D8" w:rsidRDefault="00BC23D8" w14:paraId="02856997" w14:textId="57300A4C">
      <w:pPr>
        <w:pStyle w:val="Standard"/>
      </w:pPr>
      <w:r w:rsidRPr="003F3C87">
        <w:t xml:space="preserve">SCE and Cal Advocates disagreed on </w:t>
      </w:r>
      <w:r w:rsidRPr="003F3C87" w:rsidR="00BC1DFA">
        <w:t>cost allocation</w:t>
      </w:r>
      <w:r w:rsidRPr="003F3C87">
        <w:t xml:space="preserve"> of </w:t>
      </w:r>
      <w:r w:rsidRPr="003F3C87" w:rsidR="0048559D">
        <w:t>the SONGS Adjustment</w:t>
      </w:r>
      <w:r w:rsidRPr="003F3C87">
        <w:t xml:space="preserve"> </w:t>
      </w:r>
      <w:r w:rsidRPr="003F3C87" w:rsidR="00B64D13">
        <w:t>requested in SCE’s</w:t>
      </w:r>
      <w:r w:rsidRPr="003F3C87" w:rsidR="00BC1DFA">
        <w:t xml:space="preserve"> </w:t>
      </w:r>
      <w:r w:rsidRPr="003F3C87">
        <w:t xml:space="preserve">2020 WEMA Application. </w:t>
      </w:r>
      <w:r w:rsidR="7FE79D59">
        <w:t xml:space="preserve">SCE claimed that </w:t>
      </w:r>
      <w:r w:rsidR="14875C66">
        <w:t xml:space="preserve">a $7.2 million CPUC-jurisdictional portion of the </w:t>
      </w:r>
      <w:r w:rsidR="0CF0A7E1">
        <w:t xml:space="preserve">$9 million in </w:t>
      </w:r>
      <w:r w:rsidR="2CF89EAF">
        <w:t xml:space="preserve">SONGS </w:t>
      </w:r>
      <w:r w:rsidR="40A9F462">
        <w:t xml:space="preserve"> general</w:t>
      </w:r>
      <w:r w:rsidR="7FE79D59">
        <w:t xml:space="preserve"> liability premium costs</w:t>
      </w:r>
      <w:r w:rsidR="14875C66">
        <w:t>, including wildfire insurance covera</w:t>
      </w:r>
      <w:r w:rsidR="625A6CFD">
        <w:t>ge</w:t>
      </w:r>
      <w:r w:rsidR="7FE79D59">
        <w:t xml:space="preserve"> </w:t>
      </w:r>
      <w:r w:rsidR="20A17981">
        <w:t xml:space="preserve">originally allocated to </w:t>
      </w:r>
      <w:r w:rsidR="43506FAF">
        <w:t xml:space="preserve">the </w:t>
      </w:r>
      <w:r w:rsidR="20A17981">
        <w:t>SONGS</w:t>
      </w:r>
      <w:r w:rsidR="2CF89EAF">
        <w:t xml:space="preserve"> NDT </w:t>
      </w:r>
      <w:r w:rsidR="43506FAF">
        <w:t xml:space="preserve">fund </w:t>
      </w:r>
      <w:r w:rsidR="2CF89EAF">
        <w:t>and SONGS co-owners</w:t>
      </w:r>
      <w:r w:rsidR="0CF0A7E1">
        <w:t xml:space="preserve"> in SCE’s 2019 WEMA Application</w:t>
      </w:r>
      <w:r w:rsidR="04B6A50E">
        <w:t>,</w:t>
      </w:r>
      <w:r w:rsidR="20A17981">
        <w:t xml:space="preserve"> </w:t>
      </w:r>
      <w:r w:rsidR="7FE79D59">
        <w:t xml:space="preserve">should </w:t>
      </w:r>
      <w:r w:rsidR="20A17981">
        <w:t xml:space="preserve">now </w:t>
      </w:r>
      <w:r w:rsidR="7FE79D59">
        <w:t xml:space="preserve">be allocated to WEMA and recovered by SCE ratepayers. </w:t>
      </w:r>
      <w:r w:rsidR="1F5E4E0F">
        <w:t>Originally</w:t>
      </w:r>
      <w:r w:rsidR="20A17981">
        <w:t>,</w:t>
      </w:r>
      <w:r w:rsidR="7FE79D59">
        <w:t xml:space="preserve"> </w:t>
      </w:r>
      <w:r w:rsidR="7FE79D59">
        <w:lastRenderedPageBreak/>
        <w:t xml:space="preserve">SCE utilized a head count methodology, based on the relative number of SCE employees </w:t>
      </w:r>
      <w:r w:rsidR="2CF89EAF">
        <w:t xml:space="preserve">located </w:t>
      </w:r>
      <w:r w:rsidR="7FE79D59">
        <w:t xml:space="preserve">at a SCE facility, division, etc., to allocate </w:t>
      </w:r>
      <w:r w:rsidR="625A6CFD">
        <w:t>general</w:t>
      </w:r>
      <w:r w:rsidR="7FE79D59">
        <w:t xml:space="preserve"> liability insurance premium costs to SONGS co-owners. </w:t>
      </w:r>
      <w:r w:rsidR="0236D2B4">
        <w:t xml:space="preserve">After </w:t>
      </w:r>
      <w:r w:rsidR="7FE79D59">
        <w:t>further consideration</w:t>
      </w:r>
      <w:r w:rsidR="04B6A50E">
        <w:t xml:space="preserve"> and consultation with the SONGS co-owners</w:t>
      </w:r>
      <w:r w:rsidR="7FE79D59">
        <w:t xml:space="preserve">, SCE </w:t>
      </w:r>
      <w:r w:rsidR="04B6A50E">
        <w:t xml:space="preserve">concluded that the headcount methodology overstated SONGS contribution to the increased cost of wildfire insurance. Therefore, </w:t>
      </w:r>
      <w:r w:rsidR="55C92B5D">
        <w:t xml:space="preserve">in </w:t>
      </w:r>
      <w:r w:rsidR="04B6A50E">
        <w:t xml:space="preserve">lieu of </w:t>
      </w:r>
      <w:r w:rsidR="751FCB07">
        <w:t xml:space="preserve">using </w:t>
      </w:r>
      <w:r w:rsidR="04B6A50E">
        <w:t>the headcount methodology,</w:t>
      </w:r>
      <w:r w:rsidR="126C0597">
        <w:t xml:space="preserve"> </w:t>
      </w:r>
      <w:r w:rsidR="18A46E4A">
        <w:t xml:space="preserve">SCE utilized </w:t>
      </w:r>
      <w:r w:rsidR="04B6A50E">
        <w:t>what</w:t>
      </w:r>
      <w:r w:rsidR="741099A4">
        <w:t xml:space="preserve"> it</w:t>
      </w:r>
      <w:r w:rsidR="04B6A50E">
        <w:t xml:space="preserve"> </w:t>
      </w:r>
      <w:r w:rsidR="18A46E4A">
        <w:t>referred to</w:t>
      </w:r>
      <w:r w:rsidR="04B6A50E">
        <w:t xml:space="preserve"> as </w:t>
      </w:r>
      <w:r w:rsidR="126C0597">
        <w:t>a</w:t>
      </w:r>
      <w:r w:rsidR="7FE79D59">
        <w:t xml:space="preserve"> </w:t>
      </w:r>
      <w:r w:rsidR="04B6A50E">
        <w:t>“</w:t>
      </w:r>
      <w:r w:rsidR="7FE79D59">
        <w:t>risk-based methodology</w:t>
      </w:r>
      <w:r w:rsidR="04B6A50E">
        <w:t xml:space="preserve">” </w:t>
      </w:r>
      <w:r w:rsidR="7FE79D59">
        <w:t xml:space="preserve">to reallocate </w:t>
      </w:r>
      <w:r w:rsidR="0236D2B4">
        <w:t xml:space="preserve">the </w:t>
      </w:r>
      <w:r w:rsidR="63DB5A04">
        <w:t xml:space="preserve">$7.2 million </w:t>
      </w:r>
      <w:r w:rsidR="0236D2B4">
        <w:t>SONGS Adjustment to SCE ratepayers</w:t>
      </w:r>
      <w:r w:rsidR="04B6A50E">
        <w:t>,</w:t>
      </w:r>
      <w:r w:rsidR="0236D2B4">
        <w:t xml:space="preserve"> after concluding that wildfire risk is primarily associated with SCE electric d</w:t>
      </w:r>
      <w:r w:rsidR="7CEFB259">
        <w:t>istribution</w:t>
      </w:r>
      <w:r w:rsidR="0236D2B4">
        <w:t xml:space="preserve"> assets</w:t>
      </w:r>
      <w:r w:rsidR="7FE79D59">
        <w:t xml:space="preserve">. SCE allocated the remaining $1.3 million in wildfire liability insurance premium costs to SONGS co-owners, that, according to SCE, were in alignment with historical </w:t>
      </w:r>
      <w:r w:rsidR="20A17981">
        <w:t xml:space="preserve">SONGS </w:t>
      </w:r>
      <w:r w:rsidR="7FE79D59">
        <w:t xml:space="preserve">coverage amounts and not subject to increasing wildfire risk. </w:t>
      </w:r>
      <w:r w:rsidR="63DB5A04">
        <w:t>As described earlier, $0.5 million in wildfire insurance premium costs were FERC-jurisdictional.</w:t>
      </w:r>
    </w:p>
    <w:p w:rsidRPr="003F3C87" w:rsidR="009A3D0B" w:rsidP="00BC23D8" w:rsidRDefault="00BC23D8" w14:paraId="1ED723CF" w14:textId="6907E73D">
      <w:pPr>
        <w:pStyle w:val="Standard"/>
      </w:pPr>
      <w:r w:rsidRPr="003F3C87">
        <w:t>Cal Advocates recommend</w:t>
      </w:r>
      <w:r w:rsidRPr="003F3C87" w:rsidR="00F20521">
        <w:t>ed</w:t>
      </w:r>
      <w:r w:rsidRPr="003F3C87">
        <w:t xml:space="preserve"> that </w:t>
      </w:r>
      <w:r w:rsidRPr="003F3C87" w:rsidR="002F1534">
        <w:t xml:space="preserve">the SONGS Adjustment </w:t>
      </w:r>
      <w:r w:rsidRPr="003F3C87">
        <w:t xml:space="preserve">should be allocated to SONGS co-owners. After a review of SCE’s supporting documentation in this proceeding, Cal Advocates concluded that SCE’s rationale for allocating </w:t>
      </w:r>
      <w:r w:rsidRPr="003F3C87" w:rsidR="00FB2F37">
        <w:t xml:space="preserve">the </w:t>
      </w:r>
      <w:r w:rsidRPr="003F3C87">
        <w:t xml:space="preserve">SONGS </w:t>
      </w:r>
      <w:r w:rsidRPr="003F3C87" w:rsidR="00FB2F37">
        <w:t xml:space="preserve">Adjustment </w:t>
      </w:r>
      <w:r w:rsidRPr="003F3C87">
        <w:t>to</w:t>
      </w:r>
      <w:r w:rsidRPr="003F3C87" w:rsidR="00FB2F37">
        <w:t xml:space="preserve"> its</w:t>
      </w:r>
      <w:r w:rsidRPr="003F3C87">
        <w:t xml:space="preserve"> customers, namely SCE’s view that these costs represent a </w:t>
      </w:r>
      <w:r w:rsidRPr="003F3C87" w:rsidR="00B64D13">
        <w:t xml:space="preserve">historical </w:t>
      </w:r>
      <w:r w:rsidRPr="003F3C87">
        <w:t>common cost-based ratemaking expense, was not justifie</w:t>
      </w:r>
      <w:r w:rsidR="003C4193">
        <w:t>d due to the lack of supporting documentation</w:t>
      </w:r>
      <w:r w:rsidR="0AB5C32D">
        <w:t>.</w:t>
      </w:r>
    </w:p>
    <w:p w:rsidRPr="00400E23" w:rsidR="00530F14" w:rsidP="004A2A5C" w:rsidRDefault="4C67A021" w14:paraId="25C1CE8C" w14:textId="0F091637">
      <w:pPr>
        <w:pStyle w:val="Standard"/>
      </w:pPr>
      <w:r w:rsidRPr="003F3C87">
        <w:t>After evaluating</w:t>
      </w:r>
      <w:r w:rsidRPr="003F3C87" w:rsidR="3326419E">
        <w:t xml:space="preserve"> the facts, </w:t>
      </w:r>
      <w:r w:rsidRPr="003F3C87" w:rsidR="43506FAF">
        <w:t>we</w:t>
      </w:r>
      <w:r w:rsidRPr="003F3C87">
        <w:t xml:space="preserve"> do not agree </w:t>
      </w:r>
      <w:r w:rsidRPr="003F3C87" w:rsidR="3536502E">
        <w:t>that</w:t>
      </w:r>
      <w:r w:rsidRPr="003F3C87" w:rsidR="0E253680">
        <w:t xml:space="preserve"> </w:t>
      </w:r>
      <w:r w:rsidRPr="003F3C87" w:rsidR="6D46D249">
        <w:t>SCE’s request to</w:t>
      </w:r>
      <w:r w:rsidRPr="003F3C87" w:rsidR="43506FAF">
        <w:t xml:space="preserve"> </w:t>
      </w:r>
      <w:r w:rsidRPr="003F3C87" w:rsidR="1F5E4E0F">
        <w:t xml:space="preserve">recover the </w:t>
      </w:r>
      <w:r w:rsidRPr="003F3C87" w:rsidR="0236D2B4">
        <w:t>SONGS Adjustment is</w:t>
      </w:r>
      <w:r w:rsidRPr="003F3C87" w:rsidR="12BE5E33">
        <w:t xml:space="preserve"> reasonable </w:t>
      </w:r>
      <w:r w:rsidRPr="003F3C87" w:rsidR="2D896A7E">
        <w:t xml:space="preserve">or that it should </w:t>
      </w:r>
      <w:r w:rsidRPr="003F3C87" w:rsidR="5383A82A">
        <w:t>be re-</w:t>
      </w:r>
      <w:r w:rsidRPr="003F3C87">
        <w:t>allocate</w:t>
      </w:r>
      <w:r w:rsidRPr="003F3C87" w:rsidR="43506FAF">
        <w:t>d to SCE ratepayers.</w:t>
      </w:r>
      <w:r w:rsidRPr="003F3C87" w:rsidDel="00124F78" w:rsidR="4E3DA8F3">
        <w:t xml:space="preserve"> </w:t>
      </w:r>
      <w:r w:rsidRPr="1E7186C4" w:rsidR="23ABDDBC">
        <w:t>SCE’s 20</w:t>
      </w:r>
      <w:r w:rsidRPr="1E7186C4" w:rsidR="14366DE4">
        <w:t>20</w:t>
      </w:r>
      <w:r w:rsidRPr="1E7186C4" w:rsidR="23ABDDBC">
        <w:t xml:space="preserve"> WEMA </w:t>
      </w:r>
      <w:r w:rsidRPr="1E7186C4" w:rsidR="1F5E4E0F">
        <w:t>D</w:t>
      </w:r>
      <w:r w:rsidRPr="1E7186C4" w:rsidR="23ABDDBC">
        <w:t>ecision</w:t>
      </w:r>
      <w:r w:rsidRPr="003F3C87" w:rsidR="1F5E4E0F">
        <w:rPr>
          <w:szCs w:val="26"/>
        </w:rPr>
        <w:t xml:space="preserve"> </w:t>
      </w:r>
      <w:r w:rsidRPr="1E7186C4" w:rsidR="453A77C7">
        <w:t>clarified</w:t>
      </w:r>
      <w:r w:rsidRPr="1E7186C4" w:rsidR="4EBD9976">
        <w:t xml:space="preserve"> that SCE’s 2019 WEMA proceeding </w:t>
      </w:r>
      <w:r w:rsidRPr="1E7186C4" w:rsidR="085CA1CF">
        <w:t xml:space="preserve">applied </w:t>
      </w:r>
      <w:r w:rsidRPr="003F3C87" w:rsidR="23ABDDBC">
        <w:rPr>
          <w:szCs w:val="26"/>
        </w:rPr>
        <w:t>“</w:t>
      </w:r>
      <w:r w:rsidRPr="1E7186C4" w:rsidR="23ABDDBC">
        <w:t xml:space="preserve">a standard reasonableness review, which follows a long tradition of examining costs and the prudence of management actions that are </w:t>
      </w:r>
      <w:r w:rsidRPr="1E7186C4" w:rsidR="23ABDDBC">
        <w:lastRenderedPageBreak/>
        <w:t>already incurred but recorded in a memorandum account.”</w:t>
      </w:r>
      <w:r w:rsidRPr="1E7186C4" w:rsidR="00D96E8E">
        <w:rPr>
          <w:rStyle w:val="FootnoteReference"/>
        </w:rPr>
        <w:footnoteReference w:id="41"/>
      </w:r>
      <w:r w:rsidRPr="003F3C87" w:rsidR="23ABDDBC">
        <w:rPr>
          <w:szCs w:val="26"/>
        </w:rPr>
        <w:t xml:space="preserve"> </w:t>
      </w:r>
      <w:r w:rsidRPr="1E7186C4" w:rsidR="4EBD9976">
        <w:t>The</w:t>
      </w:r>
      <w:r w:rsidRPr="003F3C87" w:rsidR="23ABDDBC">
        <w:rPr>
          <w:szCs w:val="26"/>
        </w:rPr>
        <w:t xml:space="preserve"> </w:t>
      </w:r>
      <w:r w:rsidRPr="003F3C87" w:rsidR="1BBBA87C">
        <w:rPr>
          <w:szCs w:val="26"/>
        </w:rPr>
        <w:t>2020 WEMA D</w:t>
      </w:r>
      <w:r w:rsidRPr="1E7186C4" w:rsidR="1F5E4E0F">
        <w:t xml:space="preserve">ecision </w:t>
      </w:r>
      <w:r w:rsidRPr="1E7186C4" w:rsidR="4EBD9976">
        <w:t>defined</w:t>
      </w:r>
      <w:r w:rsidRPr="1E7186C4" w:rsidR="23ABDDBC">
        <w:t xml:space="preserve"> the Commission’s standard for reasonableness reviews</w:t>
      </w:r>
      <w:r w:rsidRPr="1E7186C4" w:rsidR="4EBD9976">
        <w:t xml:space="preserve"> as follows</w:t>
      </w:r>
      <w:r w:rsidRPr="003F3C87" w:rsidR="23ABDDBC">
        <w:rPr>
          <w:szCs w:val="26"/>
        </w:rPr>
        <w:t>:</w:t>
      </w:r>
    </w:p>
    <w:p w:rsidRPr="003F3C87" w:rsidR="00D96E8E" w:rsidP="00A152A2" w:rsidRDefault="00D96E8E" w14:paraId="1A42A776" w14:textId="6AA5F1A0">
      <w:pPr>
        <w:pStyle w:val="Standard"/>
        <w:spacing w:after="120" w:line="240" w:lineRule="auto"/>
        <w:ind w:left="720" w:right="1440" w:firstLine="0"/>
        <w:rPr>
          <w:szCs w:val="26"/>
        </w:rPr>
      </w:pPr>
      <w:r w:rsidRPr="003F3C87">
        <w:rPr>
          <w:szCs w:val="26"/>
        </w:rPr>
        <w:t xml:space="preserve">“The term reasonable and prudent means that at a particular time any of the practices, methods, and acts engaged in by a utility follows the exercise of reasonable judgment in light of the facts known or which should have been known at the time the decision was made. The act or decision is expected by the </w:t>
      </w:r>
      <w:bookmarkStart w:name="_Hlk121917573" w:id="25"/>
      <w:r w:rsidRPr="003F3C87">
        <w:rPr>
          <w:szCs w:val="26"/>
        </w:rPr>
        <w:t>utility to accomplish the desired result at the lowest reasonable cost consistent with good utility practices. Good utility practices are based upon cost effectiveness, safety and expedition</w:t>
      </w:r>
      <w:bookmarkEnd w:id="25"/>
      <w:r w:rsidRPr="003F3C87">
        <w:rPr>
          <w:szCs w:val="26"/>
        </w:rPr>
        <w:t>.</w:t>
      </w:r>
    </w:p>
    <w:p w:rsidR="00A66AB8" w:rsidP="00D96E8E" w:rsidRDefault="08FE700C" w14:paraId="2D60ADC6" w14:textId="5AB6C045">
      <w:pPr>
        <w:pStyle w:val="Standard"/>
      </w:pPr>
      <w:r>
        <w:t>Per the Commission’s standard for reasonableness review</w:t>
      </w:r>
      <w:r w:rsidR="293F0F7F">
        <w:t xml:space="preserve">, </w:t>
      </w:r>
      <w:r w:rsidR="0D3C8083">
        <w:t>reasonable judgement</w:t>
      </w:r>
      <w:r w:rsidR="5785ACB8">
        <w:t xml:space="preserve"> should be exercised</w:t>
      </w:r>
      <w:r w:rsidR="0D3C8083">
        <w:t xml:space="preserve"> </w:t>
      </w:r>
      <w:r w:rsidR="52C987BD">
        <w:t xml:space="preserve">by a utility </w:t>
      </w:r>
      <w:r w:rsidR="0D3C8083">
        <w:t xml:space="preserve">in light of the facts known or which </w:t>
      </w:r>
      <w:r w:rsidR="5785ACB8">
        <w:t xml:space="preserve">should have </w:t>
      </w:r>
      <w:r w:rsidR="52C987BD">
        <w:t xml:space="preserve">been </w:t>
      </w:r>
      <w:r w:rsidR="5785ACB8">
        <w:t xml:space="preserve">known at the time a decision was made. </w:t>
      </w:r>
      <w:r w:rsidR="4C2C17AD">
        <w:t>Given th</w:t>
      </w:r>
      <w:r w:rsidR="65034D96">
        <w:t xml:space="preserve">at the </w:t>
      </w:r>
      <w:r w:rsidR="4C2C17AD">
        <w:t>20</w:t>
      </w:r>
      <w:r w:rsidR="16188B1F">
        <w:t>20</w:t>
      </w:r>
      <w:r w:rsidR="4C2C17AD">
        <w:t xml:space="preserve"> WEMA</w:t>
      </w:r>
      <w:r w:rsidR="65034D96">
        <w:t xml:space="preserve"> Decision did not authorize or provide direction on cost recovery of the SONGS Adjustment</w:t>
      </w:r>
      <w:r w:rsidR="5785ACB8">
        <w:t>, t</w:t>
      </w:r>
      <w:r w:rsidR="25152AF4">
        <w:t xml:space="preserve">he Commission must weigh facts and evidence in the record </w:t>
      </w:r>
      <w:r w:rsidR="4C2C17AD">
        <w:t xml:space="preserve">of the instant proceeding </w:t>
      </w:r>
      <w:r w:rsidR="25152AF4">
        <w:t xml:space="preserve">to determine </w:t>
      </w:r>
      <w:r w:rsidR="52C987BD">
        <w:t xml:space="preserve">the reasonableness of </w:t>
      </w:r>
      <w:r w:rsidR="25152AF4">
        <w:t xml:space="preserve">SCE’s decision to </w:t>
      </w:r>
      <w:r w:rsidR="31472396">
        <w:t>reallocate the SONGS Adjustment to WEMA</w:t>
      </w:r>
      <w:r w:rsidR="4C2C17AD">
        <w:t>, which entailed estimating</w:t>
      </w:r>
      <w:r w:rsidR="52C987BD">
        <w:t xml:space="preserve"> </w:t>
      </w:r>
      <w:r w:rsidR="46FF6826">
        <w:t xml:space="preserve">the proportion of </w:t>
      </w:r>
      <w:r w:rsidR="52C987BD">
        <w:t xml:space="preserve">SONGS wildfire insurance premium costs </w:t>
      </w:r>
      <w:r w:rsidR="4C2C17AD">
        <w:t>borne by</w:t>
      </w:r>
      <w:r w:rsidR="52C987BD">
        <w:t xml:space="preserve"> SONGS co-owners</w:t>
      </w:r>
      <w:r w:rsidR="4C2C17AD">
        <w:t xml:space="preserve"> </w:t>
      </w:r>
      <w:r w:rsidR="27047EA9">
        <w:t>and the proportion that should be borne by</w:t>
      </w:r>
      <w:r w:rsidR="006B177F">
        <w:t xml:space="preserve"> </w:t>
      </w:r>
      <w:r w:rsidR="52C987BD">
        <w:t>SCE ratepayers</w:t>
      </w:r>
      <w:r w:rsidR="793576CB">
        <w:t>.</w:t>
      </w:r>
    </w:p>
    <w:p w:rsidR="009A0AA5" w:rsidP="0005096B" w:rsidRDefault="36C61916" w14:paraId="19824E37" w14:textId="5DA1D619">
      <w:pPr>
        <w:pStyle w:val="Standard"/>
      </w:pPr>
      <w:r>
        <w:t>Hence</w:t>
      </w:r>
      <w:r w:rsidR="59FC44DE">
        <w:t xml:space="preserve">, the Commission must determine if the amount </w:t>
      </w:r>
      <w:r w:rsidR="78449AD9">
        <w:t>re-</w:t>
      </w:r>
      <w:r w:rsidR="59FC44DE">
        <w:t xml:space="preserve">allocated by SCE from the SONGS NDT to WEMA is reasonable. </w:t>
      </w:r>
      <w:r w:rsidR="0B53AA3A">
        <w:t xml:space="preserve">SCE </w:t>
      </w:r>
      <w:r w:rsidR="7377E3FD">
        <w:t xml:space="preserve">ultimately </w:t>
      </w:r>
      <w:r w:rsidR="0B53AA3A">
        <w:t>decided to only allocate $1.3 million</w:t>
      </w:r>
      <w:r w:rsidR="58DBC9A4">
        <w:t xml:space="preserve"> </w:t>
      </w:r>
      <w:r w:rsidR="149872C8">
        <w:t>(</w:t>
      </w:r>
      <w:r w:rsidR="58DBC9A4">
        <w:t xml:space="preserve">out of </w:t>
      </w:r>
      <w:r w:rsidR="7D87A5CF">
        <w:t xml:space="preserve">the originally allocated </w:t>
      </w:r>
      <w:r w:rsidR="58DBC9A4">
        <w:t>$9 million</w:t>
      </w:r>
      <w:r w:rsidR="7F06AF49">
        <w:t>)</w:t>
      </w:r>
      <w:r w:rsidR="0B53AA3A">
        <w:t xml:space="preserve"> in historical liability insurance costs</w:t>
      </w:r>
      <w:r w:rsidR="58DBC9A4">
        <w:t xml:space="preserve"> to</w:t>
      </w:r>
      <w:r w:rsidR="0B53AA3A">
        <w:t xml:space="preserve"> t</w:t>
      </w:r>
      <w:r w:rsidR="5842CF47">
        <w:t>he</w:t>
      </w:r>
      <w:r w:rsidRPr="1E7186C4" w:rsidR="0B53AA3A">
        <w:rPr>
          <w:rFonts w:ascii="Times New Roman" w:hAnsi="Times New Roman" w:cs="Times New Roman"/>
        </w:rPr>
        <w:t xml:space="preserve"> </w:t>
      </w:r>
      <w:r w:rsidR="0B53AA3A">
        <w:t>SONGS NDT</w:t>
      </w:r>
      <w:r w:rsidR="58DBC9A4">
        <w:t>.</w:t>
      </w:r>
      <w:r w:rsidR="7F3759D3">
        <w:t xml:space="preserve"> </w:t>
      </w:r>
      <w:r w:rsidR="2B682329">
        <w:t>According to SCE, the $1.3 million allocation reflected “</w:t>
      </w:r>
      <w:r w:rsidR="7F3759D3">
        <w:t>historical liability insurance expense allocated to SONGS</w:t>
      </w:r>
      <w:r w:rsidR="2B682329">
        <w:t xml:space="preserve"> </w:t>
      </w:r>
      <w:r w:rsidR="7F3759D3">
        <w:t xml:space="preserve">for </w:t>
      </w:r>
      <w:r w:rsidR="7F3759D3">
        <w:lastRenderedPageBreak/>
        <w:t>the 2015-2017 period, before wildfire costs substantially escalated</w:t>
      </w:r>
      <w:r w:rsidR="2B682329">
        <w:t>”</w:t>
      </w:r>
      <w:r w:rsidR="7F3759D3">
        <w:t>.</w:t>
      </w:r>
      <w:r w:rsidR="00507056">
        <w:rPr>
          <w:rStyle w:val="FootnoteReference"/>
          <w:szCs w:val="26"/>
        </w:rPr>
        <w:footnoteReference w:id="42"/>
      </w:r>
      <w:r w:rsidR="2B682329">
        <w:t xml:space="preserve"> </w:t>
      </w:r>
      <w:r w:rsidR="2718B75B">
        <w:t>SCE claimed</w:t>
      </w:r>
      <w:r w:rsidR="0B53AA3A">
        <w:t xml:space="preserve"> th</w:t>
      </w:r>
      <w:r w:rsidR="18521E6E">
        <w:t xml:space="preserve">is amount </w:t>
      </w:r>
      <w:r w:rsidR="0B53AA3A">
        <w:t>reflected SONGS</w:t>
      </w:r>
      <w:r w:rsidR="0FE010FC">
        <w:t>‘</w:t>
      </w:r>
      <w:r w:rsidR="0B53AA3A">
        <w:t xml:space="preserve"> historical liability insurance expenses for the 2015-2017 period.</w:t>
      </w:r>
      <w:r w:rsidR="00A16CFA">
        <w:rPr>
          <w:rStyle w:val="FootnoteReference"/>
          <w:szCs w:val="26"/>
        </w:rPr>
        <w:footnoteReference w:id="43"/>
      </w:r>
      <w:r w:rsidR="5F7515AA">
        <w:t xml:space="preserve"> </w:t>
      </w:r>
      <w:r w:rsidR="00B648EC">
        <w:rPr>
          <w:rStyle w:val="FootnoteReference"/>
          <w:szCs w:val="26"/>
        </w:rPr>
        <w:footnoteReference w:id="44"/>
      </w:r>
      <w:r w:rsidR="0B53AA3A">
        <w:t xml:space="preserve"> </w:t>
      </w:r>
      <w:r w:rsidR="58DBC9A4">
        <w:t xml:space="preserve">However, </w:t>
      </w:r>
      <w:r w:rsidR="18521E6E">
        <w:t xml:space="preserve">SCE initially stated </w:t>
      </w:r>
      <w:r w:rsidR="7377E3FD">
        <w:t xml:space="preserve">in </w:t>
      </w:r>
      <w:r w:rsidR="53AE3F7D">
        <w:t xml:space="preserve">its </w:t>
      </w:r>
      <w:r w:rsidR="7377E3FD">
        <w:t xml:space="preserve">2019 WEMA Direct Testimony, </w:t>
      </w:r>
      <w:r w:rsidR="2A023B86">
        <w:t xml:space="preserve">which was </w:t>
      </w:r>
      <w:r w:rsidR="7377E3FD">
        <w:t xml:space="preserve">served </w:t>
      </w:r>
      <w:r w:rsidR="44133A4C">
        <w:t>in</w:t>
      </w:r>
      <w:r w:rsidR="7377E3FD">
        <w:t xml:space="preserve"> July 2019, </w:t>
      </w:r>
      <w:r w:rsidR="18521E6E">
        <w:t xml:space="preserve">that </w:t>
      </w:r>
      <w:r w:rsidR="650FAB02">
        <w:t xml:space="preserve">its </w:t>
      </w:r>
      <w:r w:rsidR="5EA82F97">
        <w:t xml:space="preserve">SONGS </w:t>
      </w:r>
      <w:r w:rsidR="650FAB02">
        <w:t xml:space="preserve">insurance policies </w:t>
      </w:r>
      <w:r w:rsidR="4D8D117F">
        <w:t>were</w:t>
      </w:r>
      <w:r w:rsidR="18521E6E">
        <w:t xml:space="preserve"> </w:t>
      </w:r>
      <w:r w:rsidR="7C9EBA91">
        <w:t xml:space="preserve">“appropriate </w:t>
      </w:r>
      <w:r w:rsidR="5842CF47">
        <w:t xml:space="preserve">because </w:t>
      </w:r>
      <w:r w:rsidR="7C9EBA91">
        <w:t xml:space="preserve">SONGS </w:t>
      </w:r>
      <w:r w:rsidR="18521E6E">
        <w:t xml:space="preserve">remained energized and </w:t>
      </w:r>
      <w:r w:rsidR="7C9EBA91">
        <w:t xml:space="preserve">is covered by SCE’s insurance policies. In fact, </w:t>
      </w:r>
      <w:r w:rsidR="650FAB02">
        <w:t>SONGS and its associated electric transmission and distribution lines are located in or immediately adjacent to areas designated as Tier 2 on the Commission’s High Fire Threat District maps”.</w:t>
      </w:r>
      <w:r w:rsidR="00AC3F57">
        <w:rPr>
          <w:rStyle w:val="FootnoteReference"/>
          <w:szCs w:val="26"/>
        </w:rPr>
        <w:footnoteReference w:id="45"/>
      </w:r>
      <w:r w:rsidR="650FAB02">
        <w:t xml:space="preserve"> </w:t>
      </w:r>
    </w:p>
    <w:p w:rsidR="00A764F8" w:rsidP="00D96E8E" w:rsidRDefault="58DBC9A4" w14:paraId="72A4A832" w14:textId="3CDCDF4B">
      <w:pPr>
        <w:pStyle w:val="Standard"/>
      </w:pPr>
      <w:r>
        <w:t xml:space="preserve">Despite this, SCE </w:t>
      </w:r>
      <w:r w:rsidR="2AA09CDF">
        <w:t xml:space="preserve">declared in </w:t>
      </w:r>
      <w:r w:rsidR="49542668">
        <w:t xml:space="preserve">its 2019 </w:t>
      </w:r>
      <w:r w:rsidR="2AA09CDF">
        <w:t xml:space="preserve">WEMA </w:t>
      </w:r>
      <w:r w:rsidR="7377E3FD">
        <w:t>Rebuttal Testimony</w:t>
      </w:r>
      <w:r w:rsidR="2AA09CDF">
        <w:t>, served</w:t>
      </w:r>
      <w:r w:rsidR="7377E3FD">
        <w:t xml:space="preserve"> in November 2019</w:t>
      </w:r>
      <w:r w:rsidR="2AA09CDF">
        <w:t>,</w:t>
      </w:r>
      <w:r w:rsidR="7C9EBA91">
        <w:t xml:space="preserve"> that</w:t>
      </w:r>
      <w:r w:rsidR="2AA09CDF">
        <w:t xml:space="preserve"> “after careful consideration”</w:t>
      </w:r>
      <w:r w:rsidR="7C9EBA91">
        <w:t xml:space="preserve"> SCE inten</w:t>
      </w:r>
      <w:r w:rsidR="2AA09CDF">
        <w:t>ded</w:t>
      </w:r>
      <w:r w:rsidR="7C9EBA91">
        <w:t xml:space="preserve"> to </w:t>
      </w:r>
      <w:r w:rsidR="4959F142">
        <w:t>re</w:t>
      </w:r>
      <w:r w:rsidR="7377E3FD">
        <w:t xml:space="preserve">allocate $7.2 million </w:t>
      </w:r>
      <w:r w:rsidR="4EEED4F5">
        <w:t xml:space="preserve">(of the originally allocated $9 million) </w:t>
      </w:r>
      <w:r w:rsidR="33E2FED7">
        <w:t xml:space="preserve">from the SONGS NDT </w:t>
      </w:r>
      <w:r w:rsidR="7377E3FD">
        <w:t xml:space="preserve">to </w:t>
      </w:r>
      <w:r w:rsidR="7C9EBA91">
        <w:t>WEMA</w:t>
      </w:r>
      <w:r w:rsidR="02BABC11">
        <w:t xml:space="preserve"> (SONGS Adjustment)</w:t>
      </w:r>
      <w:r w:rsidR="7C9EBA91">
        <w:t xml:space="preserve">. </w:t>
      </w:r>
      <w:r w:rsidR="2AA09CDF">
        <w:t>SCE explain</w:t>
      </w:r>
      <w:r w:rsidR="3216E4F9">
        <w:t>ed that</w:t>
      </w:r>
      <w:r w:rsidR="2AA09CDF">
        <w:t xml:space="preserve"> </w:t>
      </w:r>
      <w:r w:rsidR="7136CE9D">
        <w:t>its</w:t>
      </w:r>
      <w:r w:rsidR="041D2A4B">
        <w:t xml:space="preserve"> decision was based on </w:t>
      </w:r>
      <w:r w:rsidR="2AA09CDF">
        <w:t>SONGS</w:t>
      </w:r>
      <w:r w:rsidR="3216E4F9">
        <w:t>’ decreased wildfire risk.</w:t>
      </w:r>
      <w:r w:rsidR="009A0AA5">
        <w:rPr>
          <w:rStyle w:val="FootnoteReference"/>
          <w:szCs w:val="26"/>
        </w:rPr>
        <w:footnoteReference w:id="46"/>
      </w:r>
      <w:r w:rsidR="3216E4F9">
        <w:t xml:space="preserve"> </w:t>
      </w:r>
      <w:r w:rsidR="041D2A4B">
        <w:t xml:space="preserve">SCE </w:t>
      </w:r>
      <w:r w:rsidR="3216E4F9">
        <w:t>asserted</w:t>
      </w:r>
      <w:r w:rsidR="041D2A4B">
        <w:t xml:space="preserve"> that “material increases in costs for wildfire liability insurance that SCE was then experiencing were not attributable to SONGS specifically, but rather were related to increased risk across SCE’s system, the vast majority of which is related to SCE’s</w:t>
      </w:r>
      <w:r w:rsidR="5F7515AA">
        <w:t xml:space="preserve"> </w:t>
      </w:r>
      <w:r w:rsidR="041D2A4B">
        <w:t>distribution-level electric facilities</w:t>
      </w:r>
      <w:r w:rsidR="5F7515AA">
        <w:t>”.</w:t>
      </w:r>
      <w:r w:rsidR="0086529D">
        <w:rPr>
          <w:rStyle w:val="FootnoteReference"/>
          <w:szCs w:val="26"/>
        </w:rPr>
        <w:footnoteReference w:id="47"/>
      </w:r>
      <w:r w:rsidR="470D0CD7">
        <w:t xml:space="preserve"> </w:t>
      </w:r>
    </w:p>
    <w:p w:rsidRPr="00B619B3" w:rsidR="001C5E50" w:rsidP="002D6EBC" w:rsidRDefault="5B807A6E" w14:paraId="73EBBE99" w14:textId="1BE95BB4">
      <w:pPr>
        <w:pStyle w:val="Standard"/>
        <w:rPr>
          <w:szCs w:val="26"/>
        </w:rPr>
      </w:pPr>
      <w:r>
        <w:t>In reference to the $1.3 million wildfire insurance premium co</w:t>
      </w:r>
      <w:r w:rsidR="20A70B32">
        <w:t>st</w:t>
      </w:r>
      <w:r>
        <w:t xml:space="preserve"> assigned to SONGS co-owners, SCE did not explicitly state </w:t>
      </w:r>
      <w:r w:rsidR="12B7389D">
        <w:t>whether</w:t>
      </w:r>
      <w:r>
        <w:t xml:space="preserve"> th</w:t>
      </w:r>
      <w:r w:rsidR="20A70B32">
        <w:t>e associated coverage</w:t>
      </w:r>
      <w:r>
        <w:t xml:space="preserve"> pertained solely to SONGS </w:t>
      </w:r>
      <w:r w:rsidR="13918130">
        <w:t>or whether it also pertain</w:t>
      </w:r>
      <w:r w:rsidR="298C1409">
        <w:t>ed</w:t>
      </w:r>
      <w:r w:rsidR="13918130">
        <w:t xml:space="preserve"> to </w:t>
      </w:r>
      <w:r>
        <w:t xml:space="preserve">its associated </w:t>
      </w:r>
      <w:r>
        <w:lastRenderedPageBreak/>
        <w:t xml:space="preserve">electric delivery assets. In addition, </w:t>
      </w:r>
      <w:r w:rsidR="55E96339">
        <w:t>SCE</w:t>
      </w:r>
      <w:r w:rsidR="470D0CD7">
        <w:t xml:space="preserve"> had the opportunity to </w:t>
      </w:r>
      <w:r w:rsidR="0FD9BDBB">
        <w:t>provide</w:t>
      </w:r>
      <w:r w:rsidR="20A70B32">
        <w:t xml:space="preserve"> insurance risk analys</w:t>
      </w:r>
      <w:r w:rsidR="59FC44DE">
        <w:t>i</w:t>
      </w:r>
      <w:r w:rsidR="20A70B32">
        <w:t xml:space="preserve">s </w:t>
      </w:r>
      <w:r w:rsidR="0FD9BDBB">
        <w:t>(i.e.</w:t>
      </w:r>
      <w:r w:rsidR="20A70B32">
        <w:t xml:space="preserve">, </w:t>
      </w:r>
      <w:r w:rsidR="0FE7415A">
        <w:t xml:space="preserve">a </w:t>
      </w:r>
      <w:r w:rsidR="0FD9BDBB">
        <w:t xml:space="preserve">description and application of </w:t>
      </w:r>
      <w:r w:rsidR="352535CD">
        <w:t xml:space="preserve">its </w:t>
      </w:r>
      <w:r w:rsidR="0FD9BDBB">
        <w:t xml:space="preserve">selected insurance risk methodology, quantitative </w:t>
      </w:r>
      <w:r w:rsidR="20A70B32">
        <w:t>risk</w:t>
      </w:r>
      <w:r w:rsidR="328D55A1">
        <w:t>s,</w:t>
      </w:r>
      <w:r w:rsidR="20A70B32">
        <w:t xml:space="preserve"> and resulting costs</w:t>
      </w:r>
      <w:r w:rsidR="0FD9BDBB">
        <w:t xml:space="preserve">) </w:t>
      </w:r>
      <w:r w:rsidR="576FCC08">
        <w:t>as well as</w:t>
      </w:r>
      <w:r w:rsidR="0FD9BDBB">
        <w:t xml:space="preserve"> insur</w:t>
      </w:r>
      <w:r w:rsidR="59FC44DE">
        <w:t>ance</w:t>
      </w:r>
      <w:r w:rsidR="0FD9BDBB">
        <w:t xml:space="preserve"> broker a</w:t>
      </w:r>
      <w:r w:rsidR="59FC44DE">
        <w:t>ssessments</w:t>
      </w:r>
      <w:r w:rsidR="0FD9BDBB">
        <w:t xml:space="preserve"> that </w:t>
      </w:r>
      <w:r w:rsidR="0AC9BC33">
        <w:t xml:space="preserve">might </w:t>
      </w:r>
      <w:r w:rsidR="0FD9BDBB">
        <w:t xml:space="preserve">illustrate </w:t>
      </w:r>
      <w:r w:rsidR="470D0CD7">
        <w:t xml:space="preserve">why “material increases in wildfire liability insurance” did not pertain to </w:t>
      </w:r>
      <w:r w:rsidR="5FB65A9D">
        <w:t xml:space="preserve">SONGS </w:t>
      </w:r>
      <w:r w:rsidR="59FC44DE">
        <w:t>and</w:t>
      </w:r>
      <w:r w:rsidR="69F0AFAD">
        <w:t xml:space="preserve"> instead pertained </w:t>
      </w:r>
      <w:r w:rsidR="59FC44DE">
        <w:t>to</w:t>
      </w:r>
      <w:r w:rsidR="5FB65A9D">
        <w:t xml:space="preserve"> </w:t>
      </w:r>
      <w:r w:rsidR="470D0CD7">
        <w:t>SONGS’ electric distribution infrastructure</w:t>
      </w:r>
      <w:r w:rsidR="121DC189">
        <w:t xml:space="preserve">. </w:t>
      </w:r>
      <w:r w:rsidR="34CD63C1">
        <w:t xml:space="preserve">But SCE did not provide any such information. </w:t>
      </w:r>
      <w:r w:rsidR="121DC189">
        <w:t>N</w:t>
      </w:r>
      <w:r w:rsidR="31B0B8EF">
        <w:t xml:space="preserve">or </w:t>
      </w:r>
      <w:r w:rsidR="121DC189">
        <w:t xml:space="preserve">did SCE </w:t>
      </w:r>
      <w:r w:rsidR="31B0B8EF">
        <w:t xml:space="preserve">otherwise provide evidence to support </w:t>
      </w:r>
      <w:r w:rsidR="17DB41F4">
        <w:t xml:space="preserve">why allocating </w:t>
      </w:r>
      <w:r w:rsidR="31B0B8EF">
        <w:t xml:space="preserve">$1.3 million to the SONGS co-owners </w:t>
      </w:r>
      <w:r w:rsidR="6568886C">
        <w:t>(</w:t>
      </w:r>
      <w:r w:rsidR="31B0B8EF">
        <w:t>for the cost of providing wildfire insurance to SONGS</w:t>
      </w:r>
      <w:r w:rsidR="3D992AD5">
        <w:t>)</w:t>
      </w:r>
      <w:r w:rsidR="31B0B8EF">
        <w:t xml:space="preserve"> was more appropriate than</w:t>
      </w:r>
      <w:r w:rsidR="7559A40E">
        <w:t xml:space="preserve"> allocating </w:t>
      </w:r>
      <w:r w:rsidR="31B0B8EF">
        <w:t>$9 million</w:t>
      </w:r>
      <w:r w:rsidR="3AA5CC9D">
        <w:t xml:space="preserve"> to the SONGS co-owners</w:t>
      </w:r>
      <w:r w:rsidR="725FE948">
        <w:t xml:space="preserve">, as </w:t>
      </w:r>
      <w:r w:rsidR="50F83182">
        <w:t xml:space="preserve">originally </w:t>
      </w:r>
      <w:r w:rsidR="725FE948">
        <w:t xml:space="preserve">suggested by </w:t>
      </w:r>
      <w:r w:rsidR="121DC189">
        <w:t>headcount methodology</w:t>
      </w:r>
      <w:r w:rsidR="31B0B8EF">
        <w:t xml:space="preserve">. </w:t>
      </w:r>
      <w:r w:rsidR="141B8CEE">
        <w:t xml:space="preserve">Without </w:t>
      </w:r>
      <w:r w:rsidR="121DC189">
        <w:t xml:space="preserve">such </w:t>
      </w:r>
      <w:r w:rsidR="59FC44DE">
        <w:t xml:space="preserve">supporting </w:t>
      </w:r>
      <w:r w:rsidR="0A41F713">
        <w:t>evidence</w:t>
      </w:r>
      <w:r w:rsidR="3CADE690">
        <w:t xml:space="preserve"> in </w:t>
      </w:r>
      <w:r w:rsidR="5FB65A9D">
        <w:t xml:space="preserve">the </w:t>
      </w:r>
      <w:r w:rsidR="3CADE690">
        <w:t>record</w:t>
      </w:r>
      <w:r w:rsidR="141B8CEE">
        <w:t xml:space="preserve">, the Commission </w:t>
      </w:r>
      <w:r w:rsidR="65E205D2">
        <w:t>cannot</w:t>
      </w:r>
      <w:r w:rsidR="141B8CEE">
        <w:t xml:space="preserve"> determine the reasonableness </w:t>
      </w:r>
      <w:r w:rsidR="0A41F713">
        <w:t xml:space="preserve">of the </w:t>
      </w:r>
      <w:r w:rsidR="38843B90">
        <w:t>SONGS Adjustment.</w:t>
      </w:r>
    </w:p>
    <w:p w:rsidR="00D5680F" w:rsidP="006E04D6" w:rsidRDefault="56593BD2" w14:paraId="47A34C1A" w14:textId="0445A9A8">
      <w:pPr>
        <w:pStyle w:val="Standard"/>
      </w:pPr>
      <w:r>
        <w:t>Moreover</w:t>
      </w:r>
      <w:r w:rsidR="59FC44DE">
        <w:t xml:space="preserve">, </w:t>
      </w:r>
      <w:r w:rsidR="5F641513">
        <w:t xml:space="preserve">there is also the complicating factor that </w:t>
      </w:r>
      <w:r w:rsidR="42A6356A">
        <w:t xml:space="preserve">the SONGS Adjustment </w:t>
      </w:r>
      <w:r w:rsidR="0304D28A">
        <w:t>“represents the CPUC-jurisdictional costs associated with insuring against systemwide wildfire risk associated with SCE’s electrical assets</w:t>
      </w:r>
      <w:r w:rsidR="6F51148D">
        <w:t xml:space="preserve"> (almost exclusively transmission and distribution </w:t>
      </w:r>
      <w:r w:rsidR="3EE3DBBB">
        <w:t>facilities</w:t>
      </w:r>
      <w:r w:rsidR="6F51148D">
        <w:t>)</w:t>
      </w:r>
      <w:r w:rsidR="234E2415">
        <w:t>,</w:t>
      </w:r>
      <w:r w:rsidR="0304D28A">
        <w:t>”</w:t>
      </w:r>
      <w:r w:rsidR="003812A3">
        <w:rPr>
          <w:rStyle w:val="FootnoteReference"/>
        </w:rPr>
        <w:footnoteReference w:id="48"/>
      </w:r>
      <w:r w:rsidRPr="1E7186C4" w:rsidR="7295B965">
        <w:rPr>
          <w:rStyle w:val="FootnoteReference"/>
        </w:rPr>
        <w:t xml:space="preserve"> </w:t>
      </w:r>
      <w:r w:rsidR="78872A91">
        <w:t xml:space="preserve">but </w:t>
      </w:r>
      <w:r w:rsidR="307D45F1">
        <w:t xml:space="preserve">such costs are also </w:t>
      </w:r>
      <w:r w:rsidR="3EE3DBBB">
        <w:t>a “prior period adjustment</w:t>
      </w:r>
      <w:r w:rsidR="5BE9005B">
        <w:t>,</w:t>
      </w:r>
      <w:r w:rsidR="3EE3DBBB">
        <w:t xml:space="preserve">”.￼ </w:t>
      </w:r>
      <w:r w:rsidR="59533F09">
        <w:t xml:space="preserve">and $505 million in wildfire insurance premium costs were </w:t>
      </w:r>
      <w:r w:rsidR="361DEDCD">
        <w:t xml:space="preserve">previously </w:t>
      </w:r>
      <w:r w:rsidR="59533F09">
        <w:t xml:space="preserve">authorized in the 2020 WEMA Decision. </w:t>
      </w:r>
      <w:r w:rsidR="7E19A868">
        <w:t xml:space="preserve">Based on this, the SONGS Adjustment should not be considered </w:t>
      </w:r>
      <w:r w:rsidR="7A45EA40">
        <w:t xml:space="preserve">as </w:t>
      </w:r>
      <w:r w:rsidRPr="003F3C87" w:rsidR="11867BEE">
        <w:t xml:space="preserve">an isolated </w:t>
      </w:r>
      <w:r w:rsidR="7A45EA40">
        <w:t xml:space="preserve">wildfire insurance premium </w:t>
      </w:r>
      <w:r w:rsidRPr="003F3C87" w:rsidR="11867BEE">
        <w:t>cost</w:t>
      </w:r>
      <w:r w:rsidR="7E19A868">
        <w:t xml:space="preserve"> from the prior period</w:t>
      </w:r>
      <w:r w:rsidRPr="003F3C87" w:rsidDel="009C35FC" w:rsidR="11867BEE">
        <w:t>, but r</w:t>
      </w:r>
      <w:r w:rsidRPr="003F3C87" w:rsidR="7A45EA40">
        <w:t>ather</w:t>
      </w:r>
      <w:r w:rsidRPr="003F3C87" w:rsidR="151A49F5">
        <w:t xml:space="preserve"> it should be analyzed in relatio</w:t>
      </w:r>
      <w:r w:rsidR="006B177F">
        <w:t>n</w:t>
      </w:r>
      <w:r w:rsidRPr="003F3C87" w:rsidR="151A49F5">
        <w:t xml:space="preserve"> to other wildfire insurance costs from </w:t>
      </w:r>
      <w:r w:rsidR="00DF6A0B">
        <w:t>that</w:t>
      </w:r>
      <w:r w:rsidRPr="003F3C87" w:rsidR="151A49F5">
        <w:t xml:space="preserve"> period.</w:t>
      </w:r>
      <w:r w:rsidRPr="003F3C87" w:rsidR="7A45EA40">
        <w:t xml:space="preserve"> </w:t>
      </w:r>
      <w:r w:rsidRPr="003F3C87" w:rsidR="254EE8C6">
        <w:t>Th</w:t>
      </w:r>
      <w:r w:rsidRPr="003F3C87" w:rsidR="1BC178CB">
        <w:t>is is important because the</w:t>
      </w:r>
      <w:r w:rsidRPr="003F3C87" w:rsidR="7D7F8D28">
        <w:t xml:space="preserve"> burden of proof </w:t>
      </w:r>
      <w:r w:rsidR="002F61D8">
        <w:t>rests</w:t>
      </w:r>
      <w:r w:rsidRPr="003F3C87" w:rsidR="7D7F8D28">
        <w:t xml:space="preserve"> on SCE </w:t>
      </w:r>
      <w:r w:rsidR="00DF6A0B">
        <w:t>to show that</w:t>
      </w:r>
      <w:r w:rsidR="41C72B0E">
        <w:t xml:space="preserve"> </w:t>
      </w:r>
      <w:r w:rsidR="0B573E90">
        <w:t xml:space="preserve">the SONGS Adjustment </w:t>
      </w:r>
      <w:r w:rsidR="509C4FB9">
        <w:t>cover</w:t>
      </w:r>
      <w:r w:rsidR="002F61D8">
        <w:t>s</w:t>
      </w:r>
      <w:r w:rsidR="509C4FB9">
        <w:t xml:space="preserve"> distribution and system </w:t>
      </w:r>
      <w:r w:rsidR="002F61D8">
        <w:t xml:space="preserve">wildfire liability </w:t>
      </w:r>
      <w:r w:rsidR="509C4FB9">
        <w:t>risks not otherwise previously covered</w:t>
      </w:r>
      <w:r w:rsidR="4FB46B2C">
        <w:t>.</w:t>
      </w:r>
      <w:r w:rsidR="41C72B0E">
        <w:t xml:space="preserve"> </w:t>
      </w:r>
      <w:r w:rsidR="002F61D8">
        <w:lastRenderedPageBreak/>
        <w:t xml:space="preserve">To demonstrate this </w:t>
      </w:r>
      <w:r w:rsidR="41C72B0E">
        <w:t xml:space="preserve">SCE </w:t>
      </w:r>
      <w:r w:rsidR="7A954548">
        <w:t xml:space="preserve">is required to </w:t>
      </w:r>
      <w:r w:rsidR="16188B1F">
        <w:t>provide supporting facts and evidence</w:t>
      </w:r>
      <w:r w:rsidR="0B573E90">
        <w:t xml:space="preserve"> </w:t>
      </w:r>
      <w:r w:rsidR="41C72B0E">
        <w:t>in the record of the instant</w:t>
      </w:r>
      <w:r w:rsidR="0B573E90">
        <w:t xml:space="preserve"> proceeding</w:t>
      </w:r>
      <w:r w:rsidR="41C72B0E">
        <w:t xml:space="preserve">. </w:t>
      </w:r>
    </w:p>
    <w:p w:rsidRPr="00664E2E" w:rsidR="006D4EE8" w:rsidP="00D8005F" w:rsidRDefault="7A954548" w14:paraId="47B9B337" w14:textId="3F93CABC">
      <w:pPr>
        <w:pStyle w:val="Standard"/>
      </w:pPr>
      <w:r>
        <w:t>To be clear, the Commission agrees with SCE “it is beyond reasonable dispute that the costs at issue here are insurance amounts paid by SCE</w:t>
      </w:r>
      <w:r w:rsidR="16188B1F">
        <w:t>…</w:t>
      </w:r>
      <w:r>
        <w:t>”</w:t>
      </w:r>
      <w:r w:rsidR="006D4EE8">
        <w:rPr>
          <w:rStyle w:val="FootnoteReference"/>
          <w:szCs w:val="26"/>
        </w:rPr>
        <w:footnoteReference w:id="49"/>
      </w:r>
      <w:r>
        <w:t xml:space="preserve"> </w:t>
      </w:r>
      <w:r w:rsidR="57193561">
        <w:t xml:space="preserve">Per WEMA tariff rules, SCE did exercise its right to transfer insurance costs from the SONGS NDT to WEMA. </w:t>
      </w:r>
      <w:r w:rsidR="16188B1F">
        <w:t xml:space="preserve">In addition, SCE </w:t>
      </w:r>
      <w:r w:rsidR="57193561">
        <w:t>acknowledges</w:t>
      </w:r>
      <w:r w:rsidR="16188B1F">
        <w:t xml:space="preserve"> “the instant A.20-12-010 proceeding is an appropriate proceeding to address the reasonableness of these </w:t>
      </w:r>
      <w:r w:rsidRPr="00664E2E" w:rsidR="16188B1F">
        <w:t>costs.</w:t>
      </w:r>
      <w:r w:rsidRPr="00664E2E" w:rsidR="472324B4">
        <w:t>”</w:t>
      </w:r>
      <w:r w:rsidRPr="00664E2E" w:rsidR="006D4EE8">
        <w:rPr>
          <w:rStyle w:val="FootnoteReference"/>
          <w:szCs w:val="26"/>
        </w:rPr>
        <w:footnoteReference w:id="50"/>
      </w:r>
      <w:r w:rsidRPr="00664E2E" w:rsidR="57193561">
        <w:t xml:space="preserve">  </w:t>
      </w:r>
      <w:r w:rsidRPr="00664E2E">
        <w:t xml:space="preserve"> </w:t>
      </w:r>
    </w:p>
    <w:p w:rsidR="00124972" w:rsidRDefault="3DB34214" w14:paraId="143E04B8" w14:textId="053F1BA4">
      <w:pPr>
        <w:pStyle w:val="Standard"/>
      </w:pPr>
      <w:r w:rsidRPr="00664E2E">
        <w:t xml:space="preserve">However, </w:t>
      </w:r>
      <w:r w:rsidRPr="00664E2E" w:rsidR="2E426784">
        <w:t>b</w:t>
      </w:r>
      <w:r w:rsidRPr="00664E2E" w:rsidR="675AECBA">
        <w:t xml:space="preserve">ased on a preponderance of evidence, </w:t>
      </w:r>
      <w:r w:rsidRPr="00664E2E" w:rsidR="16188B1F">
        <w:t>the Commission d</w:t>
      </w:r>
      <w:r w:rsidRPr="00664E2E" w:rsidR="6553748D">
        <w:t>oes</w:t>
      </w:r>
      <w:r w:rsidRPr="00664E2E" w:rsidR="16188B1F">
        <w:t xml:space="preserve"> not find SCE met its burden of proof to show that the prior period SONGS Adjustment </w:t>
      </w:r>
      <w:r w:rsidRPr="00664E2E" w:rsidR="603E8548">
        <w:t>relates to</w:t>
      </w:r>
      <w:r w:rsidRPr="00664E2E" w:rsidR="496E6549">
        <w:t xml:space="preserve"> distribution and system risks </w:t>
      </w:r>
      <w:r w:rsidRPr="00664E2E" w:rsidR="3CE6DC84">
        <w:t xml:space="preserve">that were not </w:t>
      </w:r>
      <w:r w:rsidRPr="00664E2E" w:rsidR="496E6549">
        <w:t>previously covered</w:t>
      </w:r>
      <w:r w:rsidRPr="00664E2E" w:rsidR="16188B1F">
        <w:t xml:space="preserve"> in the 2020 WEMA Decision.</w:t>
      </w:r>
      <w:r w:rsidR="16188B1F">
        <w:t xml:space="preserve"> </w:t>
      </w:r>
      <w:r w:rsidR="0EC323BA">
        <w:t>And</w:t>
      </w:r>
      <w:r w:rsidR="5FEFF54C">
        <w:t xml:space="preserve"> moreover</w:t>
      </w:r>
      <w:r w:rsidR="0EC323BA">
        <w:t xml:space="preserve">, </w:t>
      </w:r>
      <w:r w:rsidR="0CF7A91E">
        <w:t xml:space="preserve">even if SCE had met such burden, the Commission finds that </w:t>
      </w:r>
      <w:r w:rsidR="0EC323BA">
        <w:t>u</w:t>
      </w:r>
      <w:r w:rsidR="1E7186C4">
        <w:t>pon review of the record, SCE did not provide adequate evidence or an attestation to show that the $1.3 million in SONGS wildfire insurance premium costs allocated to SONGS NDT co-owners was appropriate and reasonable.</w:t>
      </w:r>
      <w:r w:rsidR="5299E81D">
        <w:t xml:space="preserve"> </w:t>
      </w:r>
      <w:r w:rsidR="1E7186C4">
        <w:t>On this basis, we agree with Cal Advocates that “SCE’s assertion that the $7.2 million is a routine cost-of-service ratemaking expense is unsupported by factual evidence and the proposed recovery through the WEMA has not been adequately justified”.</w:t>
      </w:r>
      <w:r w:rsidR="00822074">
        <w:rPr>
          <w:rStyle w:val="FootnoteReference"/>
          <w:szCs w:val="26"/>
        </w:rPr>
        <w:footnoteReference w:id="51"/>
      </w:r>
      <w:r w:rsidRPr="003F3C87" w:rsidR="1E7186C4">
        <w:rPr>
          <w:szCs w:val="26"/>
        </w:rPr>
        <w:t xml:space="preserve"> </w:t>
      </w:r>
      <w:r w:rsidR="1AB964AB">
        <w:t>Based on SCE’s failure to meet the Commission’s standard for reasonableness review</w:t>
      </w:r>
      <w:r w:rsidR="7F40FE9E">
        <w:t xml:space="preserve">, </w:t>
      </w:r>
      <w:r w:rsidR="108FF963">
        <w:t xml:space="preserve">SCE’s request to recover the </w:t>
      </w:r>
      <w:r w:rsidR="589F4AB5">
        <w:t xml:space="preserve">$7.2 million </w:t>
      </w:r>
      <w:r w:rsidR="108FF963">
        <w:t xml:space="preserve">SONGS Adjustment is denied. </w:t>
      </w:r>
      <w:r w:rsidR="08967613">
        <w:t xml:space="preserve">Since </w:t>
      </w:r>
      <w:r w:rsidR="1ED74DC0">
        <w:t>we do not</w:t>
      </w:r>
      <w:r w:rsidR="08967613">
        <w:t xml:space="preserve"> authoriz</w:t>
      </w:r>
      <w:r w:rsidR="1ED74DC0">
        <w:t>e SCE</w:t>
      </w:r>
      <w:r w:rsidR="08967613">
        <w:t xml:space="preserve"> to recover</w:t>
      </w:r>
      <w:r w:rsidR="1ED74DC0">
        <w:t xml:space="preserve"> the SONGS Adjustment </w:t>
      </w:r>
      <w:r w:rsidR="2C3A4A27">
        <w:t xml:space="preserve">in this decision, </w:t>
      </w:r>
      <w:r w:rsidR="1ED74DC0">
        <w:t xml:space="preserve">SCE </w:t>
      </w:r>
      <w:r w:rsidR="3F9AF179">
        <w:t xml:space="preserve">may exercise its right </w:t>
      </w:r>
      <w:r w:rsidR="00DEFC33">
        <w:t xml:space="preserve">to </w:t>
      </w:r>
      <w:r w:rsidR="7411B501">
        <w:lastRenderedPageBreak/>
        <w:t>reopen conversations</w:t>
      </w:r>
      <w:r w:rsidR="00DEFC33">
        <w:t xml:space="preserve"> with SONGS co-owners </w:t>
      </w:r>
      <w:r w:rsidR="7411B501">
        <w:t xml:space="preserve">regarding allocation of the SONGS Adjustment. </w:t>
      </w:r>
    </w:p>
    <w:p w:rsidRPr="003F3C87" w:rsidR="009270E0" w:rsidP="008B24C2" w:rsidRDefault="009270E0" w14:paraId="533A4539" w14:textId="5CE66E81">
      <w:pPr>
        <w:pStyle w:val="Heading1"/>
      </w:pPr>
      <w:bookmarkStart w:name="_Toc126071046" w:id="26"/>
      <w:bookmarkEnd w:id="24"/>
      <w:r w:rsidRPr="003F3C87">
        <w:t xml:space="preserve">Consistency </w:t>
      </w:r>
      <w:r w:rsidRPr="003F3C87" w:rsidR="00A04F80">
        <w:t>with</w:t>
      </w:r>
      <w:r w:rsidRPr="003F3C87">
        <w:t xml:space="preserve"> </w:t>
      </w:r>
      <w:r w:rsidRPr="003F3C87" w:rsidR="00751444">
        <w:t>AB 1054</w:t>
      </w:r>
      <w:bookmarkEnd w:id="26"/>
    </w:p>
    <w:p w:rsidRPr="003F3C87" w:rsidR="003A701B" w:rsidP="003A701B" w:rsidRDefault="0CDBC654" w14:paraId="097F79B0" w14:textId="1F84E0B4">
      <w:pPr>
        <w:pStyle w:val="Standard"/>
      </w:pPr>
      <w:r w:rsidRPr="003F3C87">
        <w:t xml:space="preserve">SCE </w:t>
      </w:r>
      <w:r w:rsidRPr="003F3C87" w:rsidR="2EF9253E">
        <w:t>asserted</w:t>
      </w:r>
      <w:r w:rsidRPr="003F3C87" w:rsidR="5F641A48">
        <w:t xml:space="preserve"> that</w:t>
      </w:r>
      <w:r w:rsidRPr="003F3C87" w:rsidR="09A4CAE5">
        <w:t xml:space="preserve"> </w:t>
      </w:r>
      <w:r w:rsidRPr="003F3C87" w:rsidR="52EC2FC8">
        <w:t>maintaining</w:t>
      </w:r>
      <w:r w:rsidRPr="003F3C87" w:rsidR="5F641A48">
        <w:t xml:space="preserve"> </w:t>
      </w:r>
      <w:r w:rsidRPr="003F3C87" w:rsidR="46DDBC31">
        <w:t>$1 billion</w:t>
      </w:r>
      <w:r w:rsidRPr="003F3C87" w:rsidR="09A4CAE5">
        <w:t xml:space="preserve"> </w:t>
      </w:r>
      <w:r w:rsidRPr="003F3C87" w:rsidR="52EC2FC8">
        <w:t xml:space="preserve">in </w:t>
      </w:r>
      <w:r w:rsidRPr="003F3C87" w:rsidR="46DDBC31">
        <w:t>wildfire insurance coverage</w:t>
      </w:r>
      <w:r w:rsidRPr="003F3C87" w:rsidR="47B3E910">
        <w:t xml:space="preserve"> </w:t>
      </w:r>
      <w:r w:rsidRPr="003F3C87" w:rsidR="3CFD2401">
        <w:t xml:space="preserve">is </w:t>
      </w:r>
      <w:r w:rsidRPr="003F3C87" w:rsidR="19F7AA36">
        <w:t xml:space="preserve">prudent and </w:t>
      </w:r>
      <w:r w:rsidRPr="003F3C87">
        <w:t>consistent with</w:t>
      </w:r>
      <w:r w:rsidRPr="003F3C87" w:rsidR="203EDDE7">
        <w:t xml:space="preserve"> </w:t>
      </w:r>
      <w:r w:rsidRPr="003F3C87" w:rsidR="0CC224A3">
        <w:t xml:space="preserve">guidance in </w:t>
      </w:r>
      <w:r w:rsidRPr="003F3C87" w:rsidR="4C67A021">
        <w:t>A</w:t>
      </w:r>
      <w:r w:rsidRPr="003F3C87" w:rsidR="55E915D5">
        <w:t>ssembly Bill (AB)</w:t>
      </w:r>
      <w:r w:rsidRPr="003F3C87" w:rsidR="4C67A021">
        <w:t xml:space="preserve"> 1054</w:t>
      </w:r>
      <w:r w:rsidRPr="003F3C87" w:rsidR="4D0EE8DA">
        <w:t xml:space="preserve"> </w:t>
      </w:r>
      <w:r w:rsidRPr="003F3C87" w:rsidR="63C53A9A">
        <w:t xml:space="preserve">(Stats. </w:t>
      </w:r>
      <w:r w:rsidRPr="003F3C87" w:rsidR="646F939B">
        <w:t>2019</w:t>
      </w:r>
      <w:r w:rsidRPr="003F3C87" w:rsidR="63C53A9A">
        <w:t xml:space="preserve">, </w:t>
      </w:r>
      <w:r w:rsidRPr="003F3C87" w:rsidR="646F939B">
        <w:t>C</w:t>
      </w:r>
      <w:r w:rsidRPr="003F3C87" w:rsidR="63C53A9A">
        <w:t xml:space="preserve">h. </w:t>
      </w:r>
      <w:r w:rsidRPr="003F3C87" w:rsidR="646F939B">
        <w:t>79</w:t>
      </w:r>
      <w:r w:rsidRPr="003F3C87" w:rsidR="63C53A9A">
        <w:t xml:space="preserve">) </w:t>
      </w:r>
      <w:r w:rsidRPr="003F3C87" w:rsidR="4D0EE8DA">
        <w:t xml:space="preserve">and requirements in Public Utilities Code </w:t>
      </w:r>
      <w:r w:rsidRPr="003F3C87" w:rsidR="63C53A9A">
        <w:t>Section</w:t>
      </w:r>
      <w:r w:rsidRPr="003F3C87" w:rsidR="4D0EE8DA">
        <w:t xml:space="preserve"> 3293</w:t>
      </w:r>
      <w:r w:rsidRPr="003F3C87" w:rsidR="4C67A021">
        <w:t>.</w:t>
      </w:r>
      <w:r w:rsidRPr="003F3C87" w:rsidR="52968117">
        <w:t xml:space="preserve"> </w:t>
      </w:r>
      <w:r w:rsidRPr="003F3C87" w:rsidR="2EF9253E">
        <w:t>To meet this objective</w:t>
      </w:r>
      <w:r w:rsidRPr="003F3C87" w:rsidR="52EC2FC8">
        <w:t xml:space="preserve">, </w:t>
      </w:r>
      <w:r w:rsidRPr="003F3C87" w:rsidR="52968117">
        <w:t>SCE</w:t>
      </w:r>
      <w:r w:rsidRPr="003F3C87" w:rsidR="09A4CAE5">
        <w:t xml:space="preserve"> </w:t>
      </w:r>
      <w:r w:rsidRPr="003F3C87" w:rsidR="35F33A4A">
        <w:t xml:space="preserve">acquired </w:t>
      </w:r>
      <w:r w:rsidRPr="003F3C87" w:rsidR="61A9919E">
        <w:t>$950 million</w:t>
      </w:r>
      <w:r w:rsidRPr="003F3C87" w:rsidR="52EC2FC8">
        <w:t xml:space="preserve"> in wildfire insurance </w:t>
      </w:r>
      <w:r w:rsidRPr="003F3C87" w:rsidR="2EF9253E">
        <w:t>coverage for the 2020</w:t>
      </w:r>
      <w:r w:rsidRPr="003F3C87" w:rsidR="7377F724">
        <w:t xml:space="preserve"> </w:t>
      </w:r>
      <w:r w:rsidRPr="003F3C87" w:rsidR="2EF9253E">
        <w:t>-2021 policy year</w:t>
      </w:r>
      <w:r w:rsidRPr="003F3C87" w:rsidR="5C415DDC">
        <w:t xml:space="preserve"> and retained $50 million in SIR</w:t>
      </w:r>
      <w:r w:rsidRPr="003F3C87" w:rsidR="2EF9253E">
        <w:t>.</w:t>
      </w:r>
      <w:r w:rsidRPr="003F3C87" w:rsidR="00150616">
        <w:rPr>
          <w:rStyle w:val="FootnoteReference"/>
        </w:rPr>
        <w:footnoteReference w:id="52"/>
      </w:r>
      <w:r w:rsidRPr="003F3C87" w:rsidR="1BA9E5CF">
        <w:t xml:space="preserve"> </w:t>
      </w:r>
      <w:r w:rsidRPr="003F3C87" w:rsidR="35F33A4A">
        <w:t xml:space="preserve">Cal Advocates did not oppose SCE’s </w:t>
      </w:r>
      <w:r w:rsidRPr="003F3C87" w:rsidR="69613EF6">
        <w:t xml:space="preserve">request for </w:t>
      </w:r>
      <w:r w:rsidRPr="003F3C87" w:rsidR="545906C6">
        <w:t xml:space="preserve">rate recovery of </w:t>
      </w:r>
      <w:r w:rsidRPr="003F3C87" w:rsidR="3563B2D3">
        <w:t>July 2020</w:t>
      </w:r>
      <w:r w:rsidRPr="003F3C87" w:rsidR="7377F724">
        <w:t xml:space="preserve"> </w:t>
      </w:r>
      <w:r w:rsidRPr="003F3C87" w:rsidR="3563B2D3">
        <w:t>-</w:t>
      </w:r>
      <w:r w:rsidRPr="003F3C87" w:rsidR="7377F724">
        <w:t xml:space="preserve"> </w:t>
      </w:r>
      <w:r w:rsidRPr="003F3C87" w:rsidR="3563B2D3">
        <w:t>December</w:t>
      </w:r>
      <w:r w:rsidRPr="003F3C87" w:rsidR="4AF3812C">
        <w:t xml:space="preserve"> </w:t>
      </w:r>
      <w:r w:rsidRPr="003F3C87" w:rsidR="3563B2D3">
        <w:t xml:space="preserve">2020 </w:t>
      </w:r>
      <w:r w:rsidRPr="003F3C87" w:rsidR="4AF3812C">
        <w:t>wildfire premium</w:t>
      </w:r>
      <w:r w:rsidRPr="003F3C87" w:rsidR="603D174A">
        <w:t xml:space="preserve"> costs</w:t>
      </w:r>
      <w:r w:rsidRPr="003F3C87" w:rsidR="7B61B0CB">
        <w:t>, associated financing and interest costs, and FFU</w:t>
      </w:r>
      <w:r w:rsidRPr="003F3C87" w:rsidR="55DE576C">
        <w:t xml:space="preserve"> </w:t>
      </w:r>
      <w:r w:rsidRPr="003F3C87" w:rsidR="603D174A">
        <w:t xml:space="preserve">in its 2020 WEMA Application </w:t>
      </w:r>
      <w:r w:rsidRPr="003F3C87" w:rsidR="545906C6">
        <w:t xml:space="preserve">that supported SCE’s </w:t>
      </w:r>
      <w:r w:rsidRPr="003F3C87" w:rsidR="218D3791">
        <w:t>wildfire insurance coverag</w:t>
      </w:r>
      <w:r w:rsidRPr="003F3C87" w:rsidR="3563B2D3">
        <w:t>e during the 2020</w:t>
      </w:r>
      <w:r w:rsidRPr="003F3C87" w:rsidR="7377F724">
        <w:t xml:space="preserve"> </w:t>
      </w:r>
      <w:r w:rsidRPr="003F3C87" w:rsidR="3563B2D3">
        <w:t>-2021 policy year</w:t>
      </w:r>
      <w:r w:rsidRPr="003F3C87" w:rsidR="218D3791">
        <w:t>.</w:t>
      </w:r>
      <w:r w:rsidRPr="003F3C87" w:rsidR="545906C6">
        <w:t xml:space="preserve"> </w:t>
      </w:r>
    </w:p>
    <w:p w:rsidRPr="003F3C87" w:rsidR="00153EA1" w:rsidP="009773D9" w:rsidRDefault="51407A0F" w14:paraId="6C2D75B4" w14:textId="472AB561">
      <w:pPr>
        <w:pStyle w:val="Standard"/>
      </w:pPr>
      <w:r w:rsidRPr="003F3C87">
        <w:t xml:space="preserve">We agree with SCE. </w:t>
      </w:r>
      <w:r w:rsidRPr="003F3C87" w:rsidR="4D0EE8DA">
        <w:t>AB 1054 established a Wildfire Fund</w:t>
      </w:r>
      <w:r w:rsidRPr="003F3C87" w:rsidR="78AA5881">
        <w:t xml:space="preserve"> </w:t>
      </w:r>
      <w:r w:rsidRPr="003F3C87" w:rsidR="6E389709">
        <w:t xml:space="preserve">that </w:t>
      </w:r>
      <w:r w:rsidRPr="003F3C87" w:rsidR="6409083F">
        <w:t xml:space="preserve">electric corporations may </w:t>
      </w:r>
      <w:r w:rsidRPr="003F3C87" w:rsidR="64D5E037">
        <w:t>access</w:t>
      </w:r>
      <w:r w:rsidRPr="003F3C87" w:rsidR="6409083F">
        <w:t xml:space="preserve"> to </w:t>
      </w:r>
      <w:r w:rsidRPr="003F3C87" w:rsidR="64D5E037">
        <w:t>pay</w:t>
      </w:r>
      <w:r w:rsidRPr="003F3C87" w:rsidR="4D0EE8DA">
        <w:t xml:space="preserve"> </w:t>
      </w:r>
      <w:r w:rsidRPr="003F3C87" w:rsidR="64D5E037">
        <w:t>eligible claims</w:t>
      </w:r>
      <w:r w:rsidRPr="003F3C87" w:rsidR="12704633">
        <w:t xml:space="preserve"> </w:t>
      </w:r>
      <w:r w:rsidRPr="003F3C87" w:rsidR="64D5E037">
        <w:t xml:space="preserve">for </w:t>
      </w:r>
      <w:r w:rsidRPr="003F3C87" w:rsidR="12704633">
        <w:t>damages</w:t>
      </w:r>
      <w:r w:rsidRPr="003F3C87" w:rsidR="64D5E037">
        <w:t xml:space="preserve"> caused by</w:t>
      </w:r>
      <w:r w:rsidRPr="003F3C87" w:rsidR="7BA18022">
        <w:t xml:space="preserve"> covered wildfires</w:t>
      </w:r>
      <w:r w:rsidRPr="003F3C87" w:rsidR="5205347B">
        <w:t>.</w:t>
      </w:r>
      <w:r w:rsidRPr="003F3C87" w:rsidR="0016576C">
        <w:rPr>
          <w:rStyle w:val="FootnoteReference"/>
        </w:rPr>
        <w:footnoteReference w:id="53"/>
      </w:r>
      <w:r w:rsidRPr="003F3C87" w:rsidR="5205347B">
        <w:t xml:space="preserve"> </w:t>
      </w:r>
      <w:r w:rsidRPr="003F3C87" w:rsidR="59DEB03B">
        <w:t xml:space="preserve">Eligible </w:t>
      </w:r>
      <w:r w:rsidRPr="003F3C87" w:rsidR="4C1F0D08">
        <w:t>c</w:t>
      </w:r>
      <w:r w:rsidRPr="003F3C87" w:rsidR="3F0ACC15">
        <w:t>l</w:t>
      </w:r>
      <w:r w:rsidRPr="003F3C87" w:rsidR="529ADAB4">
        <w:t>aims</w:t>
      </w:r>
      <w:r w:rsidRPr="003F3C87" w:rsidR="59DEB03B">
        <w:t xml:space="preserve"> must </w:t>
      </w:r>
      <w:r w:rsidRPr="003F3C87" w:rsidR="32301954">
        <w:t>exceed the greater of two values</w:t>
      </w:r>
      <w:r w:rsidRPr="003F3C87" w:rsidR="1FA703AA">
        <w:t>,</w:t>
      </w:r>
      <w:r w:rsidRPr="003F3C87" w:rsidR="59DEB03B">
        <w:t xml:space="preserve"> </w:t>
      </w:r>
      <w:r w:rsidRPr="003F3C87" w:rsidR="4C1F0D08">
        <w:t xml:space="preserve">$1 billion in </w:t>
      </w:r>
      <w:r w:rsidRPr="003F3C87" w:rsidR="59DEB03B">
        <w:t>third</w:t>
      </w:r>
      <w:r w:rsidRPr="003F3C87" w:rsidR="4C1F0D08">
        <w:t>-party damages</w:t>
      </w:r>
      <w:r w:rsidRPr="003F3C87" w:rsidR="59DEB03B">
        <w:t xml:space="preserve"> or a reasonable amount of w</w:t>
      </w:r>
      <w:r w:rsidRPr="003F3C87" w:rsidR="48F2B195">
        <w:t>ild</w:t>
      </w:r>
      <w:r w:rsidRPr="003F3C87" w:rsidR="59DEB03B">
        <w:t xml:space="preserve">fire insurance as required by </w:t>
      </w:r>
      <w:r w:rsidRPr="003F3C87" w:rsidR="63C53A9A">
        <w:t xml:space="preserve">Public Utilities Code Section </w:t>
      </w:r>
      <w:r w:rsidRPr="003F3C87" w:rsidR="59DEB03B">
        <w:t>3293</w:t>
      </w:r>
      <w:r w:rsidRPr="003F3C87" w:rsidR="1FA703AA">
        <w:t>, as measured by the amount excess</w:t>
      </w:r>
      <w:r w:rsidRPr="003F3C87" w:rsidR="4D0EE8DA">
        <w:t>.</w:t>
      </w:r>
      <w:r w:rsidRPr="003F3C87" w:rsidR="00110EA6">
        <w:rPr>
          <w:rStyle w:val="FootnoteReference"/>
        </w:rPr>
        <w:footnoteReference w:id="54"/>
      </w:r>
      <w:r w:rsidRPr="003F3C87" w:rsidR="4D0EE8DA">
        <w:t xml:space="preserve"> </w:t>
      </w:r>
      <w:r w:rsidRPr="003F3C87" w:rsidR="50932ABE">
        <w:t>Hypothetically,</w:t>
      </w:r>
      <w:r w:rsidRPr="003F3C87" w:rsidR="24A35986">
        <w:t xml:space="preserve"> if SCE incurs</w:t>
      </w:r>
      <w:r w:rsidRPr="003F3C87" w:rsidR="50932ABE">
        <w:t xml:space="preserve"> $1.5 billion in third-party damages</w:t>
      </w:r>
      <w:r w:rsidRPr="003F3C87" w:rsidR="24A35986">
        <w:t xml:space="preserve">, SCE may be eligible to claim </w:t>
      </w:r>
      <w:r w:rsidRPr="003F3C87" w:rsidR="50932ABE">
        <w:t>$0.5 billion</w:t>
      </w:r>
      <w:r w:rsidRPr="003F3C87" w:rsidR="24A35986">
        <w:t xml:space="preserve"> from the Wildfire Fund if it retains $1 billion in wildfire insurance</w:t>
      </w:r>
      <w:r w:rsidRPr="003F3C87" w:rsidR="50932ABE">
        <w:t xml:space="preserve">. </w:t>
      </w:r>
      <w:r w:rsidRPr="003F3C87" w:rsidR="4C1F0D08">
        <w:t>I</w:t>
      </w:r>
      <w:r w:rsidRPr="003F3C87" w:rsidR="48F2B195">
        <w:t xml:space="preserve">f SCE retains </w:t>
      </w:r>
      <w:r w:rsidRPr="003F3C87" w:rsidR="218042E1">
        <w:t>$</w:t>
      </w:r>
      <w:r w:rsidRPr="003F3C87" w:rsidR="50932ABE">
        <w:t>0.9</w:t>
      </w:r>
      <w:r w:rsidRPr="003F3C87" w:rsidR="218042E1">
        <w:t xml:space="preserve"> billion </w:t>
      </w:r>
      <w:r w:rsidRPr="003F3C87" w:rsidR="0BA0FDEE">
        <w:t>in</w:t>
      </w:r>
      <w:r w:rsidRPr="003F3C87" w:rsidR="218042E1">
        <w:t xml:space="preserve"> wildfire insurance coverage</w:t>
      </w:r>
      <w:r w:rsidRPr="003F3C87" w:rsidR="48F2B195">
        <w:t>,</w:t>
      </w:r>
      <w:r w:rsidRPr="003F3C87" w:rsidR="2BAC924A">
        <w:t xml:space="preserve"> SCE will be required to pay uncovered wildfire-related damages</w:t>
      </w:r>
      <w:r w:rsidRPr="003F3C87" w:rsidR="24A35986">
        <w:t>, up to $100</w:t>
      </w:r>
      <w:r w:rsidRPr="003F3C87" w:rsidR="16340338">
        <w:t> </w:t>
      </w:r>
      <w:r w:rsidRPr="003F3C87" w:rsidR="24A35986">
        <w:t xml:space="preserve">million, </w:t>
      </w:r>
      <w:r w:rsidRPr="003F3C87" w:rsidR="2BAC924A">
        <w:t xml:space="preserve">before seeking approval </w:t>
      </w:r>
      <w:r w:rsidRPr="003F3C87" w:rsidR="1642768B">
        <w:t>to access the</w:t>
      </w:r>
      <w:r w:rsidRPr="003F3C87" w:rsidR="2BAC924A">
        <w:t xml:space="preserve"> </w:t>
      </w:r>
      <w:r w:rsidRPr="003F3C87" w:rsidR="48F2B195">
        <w:t>Wildfire Fund</w:t>
      </w:r>
      <w:r w:rsidRPr="003F3C87" w:rsidR="1642768B">
        <w:t xml:space="preserve">. </w:t>
      </w:r>
      <w:r w:rsidRPr="003F3C87" w:rsidR="24A35986">
        <w:t>In this instance</w:t>
      </w:r>
      <w:r w:rsidRPr="003F3C87" w:rsidR="3BE827BB">
        <w:t xml:space="preserve">, </w:t>
      </w:r>
      <w:r w:rsidRPr="003F3C87" w:rsidR="47BB9007">
        <w:t xml:space="preserve">SCE </w:t>
      </w:r>
      <w:r w:rsidRPr="003F3C87" w:rsidR="672B6D3B">
        <w:t xml:space="preserve">may </w:t>
      </w:r>
      <w:r w:rsidRPr="003F3C87" w:rsidR="672B6D3B">
        <w:lastRenderedPageBreak/>
        <w:t xml:space="preserve">need to utilize </w:t>
      </w:r>
      <w:r w:rsidRPr="003F3C87" w:rsidR="34E2AB6A">
        <w:t>GRC revenues</w:t>
      </w:r>
      <w:r w:rsidRPr="003F3C87" w:rsidR="55389F90">
        <w:t xml:space="preserve"> to pay </w:t>
      </w:r>
      <w:r w:rsidRPr="003F3C87" w:rsidR="5C415DDC">
        <w:t xml:space="preserve">wildfire liability </w:t>
      </w:r>
      <w:r w:rsidRPr="003F3C87" w:rsidR="55389F90">
        <w:t>claim</w:t>
      </w:r>
      <w:r w:rsidRPr="003F3C87" w:rsidR="672B6D3B">
        <w:t>s.</w:t>
      </w:r>
      <w:r w:rsidRPr="003F3C87" w:rsidR="001A3FF2">
        <w:rPr>
          <w:rStyle w:val="FootnoteReference"/>
        </w:rPr>
        <w:footnoteReference w:id="55"/>
      </w:r>
      <w:r w:rsidRPr="003F3C87" w:rsidR="34E2AB6A">
        <w:t xml:space="preserve"> </w:t>
      </w:r>
      <w:r w:rsidRPr="003F3C87" w:rsidR="4C236353">
        <w:t>Consequently, SCE</w:t>
      </w:r>
      <w:r w:rsidRPr="003F3C87" w:rsidR="5C415DDC">
        <w:t xml:space="preserve"> </w:t>
      </w:r>
      <w:r w:rsidRPr="003F3C87" w:rsidR="24A35986">
        <w:t>c</w:t>
      </w:r>
      <w:r w:rsidRPr="003F3C87" w:rsidR="5C415DDC">
        <w:t xml:space="preserve">ould be subject to </w:t>
      </w:r>
      <w:r w:rsidRPr="003F3C87" w:rsidR="5F74D3F9">
        <w:t xml:space="preserve">financial </w:t>
      </w:r>
      <w:r w:rsidRPr="003F3C87" w:rsidR="3882BF8D">
        <w:t>risk</w:t>
      </w:r>
      <w:r w:rsidRPr="003F3C87" w:rsidR="7995726A">
        <w:t xml:space="preserve"> </w:t>
      </w:r>
      <w:r w:rsidRPr="003F3C87" w:rsidR="5C415DDC">
        <w:t>that</w:t>
      </w:r>
      <w:r w:rsidRPr="003F3C87" w:rsidR="7995726A">
        <w:t xml:space="preserve"> </w:t>
      </w:r>
      <w:r w:rsidRPr="003F3C87" w:rsidR="24A35986">
        <w:t>may</w:t>
      </w:r>
      <w:r w:rsidRPr="003F3C87" w:rsidR="7995726A">
        <w:t xml:space="preserve"> impair SCE’s ability to deliver </w:t>
      </w:r>
      <w:r w:rsidRPr="003F3C87" w:rsidR="1470991C">
        <w:t>safe</w:t>
      </w:r>
      <w:r w:rsidRPr="003F3C87" w:rsidR="7995726A">
        <w:t xml:space="preserve">, reliable, and affordable </w:t>
      </w:r>
      <w:r w:rsidRPr="003F3C87" w:rsidR="1470991C">
        <w:t>electric service</w:t>
      </w:r>
      <w:r w:rsidRPr="003F3C87" w:rsidR="7995726A">
        <w:t xml:space="preserve">. </w:t>
      </w:r>
      <w:r w:rsidRPr="003F3C87" w:rsidR="24A35986">
        <w:t xml:space="preserve">SCE’s </w:t>
      </w:r>
      <w:r w:rsidRPr="003F3C87" w:rsidR="2967B39A">
        <w:t>maintenance of $1 billion in wildfire insurance coverage, as supported by SCE’s purchase of incremental wildfire insurance premiums from July 2020</w:t>
      </w:r>
      <w:r w:rsidRPr="003F3C87" w:rsidR="7377F724">
        <w:t xml:space="preserve"> </w:t>
      </w:r>
      <w:r w:rsidRPr="003F3C87" w:rsidR="2967B39A">
        <w:t>-</w:t>
      </w:r>
      <w:r w:rsidRPr="003F3C87" w:rsidR="7377F724">
        <w:t xml:space="preserve"> </w:t>
      </w:r>
      <w:r w:rsidRPr="003F3C87" w:rsidR="2967B39A">
        <w:t>December 2020,</w:t>
      </w:r>
      <w:r w:rsidRPr="003F3C87" w:rsidR="7D0DD85B">
        <w:t xml:space="preserve"> is consistent with</w:t>
      </w:r>
      <w:r w:rsidRPr="003F3C87" w:rsidR="255084A0">
        <w:t xml:space="preserve"> AB 1054 </w:t>
      </w:r>
      <w:r w:rsidRPr="003F3C87" w:rsidR="7D0DD85B">
        <w:t xml:space="preserve">requirements </w:t>
      </w:r>
      <w:r w:rsidRPr="003F3C87" w:rsidR="24A35986">
        <w:t xml:space="preserve">serves the public interest. </w:t>
      </w:r>
    </w:p>
    <w:p w:rsidRPr="003F3C87" w:rsidR="001A2BC4" w:rsidP="00A152A2" w:rsidRDefault="001A2BC4" w14:paraId="0EC50428" w14:textId="7B9B9028">
      <w:pPr>
        <w:pStyle w:val="Heading1"/>
        <w:ind w:left="720" w:hanging="720"/>
      </w:pPr>
      <w:bookmarkStart w:name="_Toc126071047" w:id="27"/>
      <w:r w:rsidRPr="003F3C87">
        <w:t xml:space="preserve">Ratepayer </w:t>
      </w:r>
      <w:r w:rsidRPr="003F3C87" w:rsidR="00847911">
        <w:t>Impacts</w:t>
      </w:r>
      <w:bookmarkEnd w:id="27"/>
    </w:p>
    <w:p w:rsidRPr="003F3C87" w:rsidR="001A3FF2" w:rsidP="001A3FF2" w:rsidRDefault="76736F00" w14:paraId="2C9FDBE3" w14:textId="1D918715">
      <w:pPr>
        <w:pStyle w:val="Standard"/>
      </w:pPr>
      <w:r w:rsidRPr="003F3C87">
        <w:t xml:space="preserve">In SCE’s 2020 WEMA </w:t>
      </w:r>
      <w:r w:rsidRPr="003F3C87" w:rsidR="4452CB7F">
        <w:t>Direct Testimony</w:t>
      </w:r>
      <w:r w:rsidRPr="003F3C87">
        <w:t>, SCE request</w:t>
      </w:r>
      <w:r w:rsidRPr="003F3C87" w:rsidR="2BBF132C">
        <w:t>ed</w:t>
      </w:r>
      <w:r w:rsidRPr="003F3C87">
        <w:t xml:space="preserve"> authority</w:t>
      </w:r>
      <w:r w:rsidRPr="003F3C87" w:rsidR="3C35D5A7">
        <w:t xml:space="preserve"> </w:t>
      </w:r>
      <w:r w:rsidRPr="003F3C87" w:rsidR="27EC446B">
        <w:t>to</w:t>
      </w:r>
      <w:r w:rsidRPr="003F3C87" w:rsidR="34E2AB6A">
        <w:t xml:space="preserve"> </w:t>
      </w:r>
      <w:r w:rsidRPr="003F3C87" w:rsidR="54955580">
        <w:t>recover</w:t>
      </w:r>
      <w:r w:rsidRPr="003F3C87" w:rsidR="27EC446B">
        <w:t xml:space="preserve"> </w:t>
      </w:r>
      <w:r w:rsidRPr="003F3C87" w:rsidR="0236D2B4">
        <w:t>$2</w:t>
      </w:r>
      <w:r w:rsidRPr="003F3C87" w:rsidR="4452CB7F">
        <w:t>14.5</w:t>
      </w:r>
      <w:r w:rsidRPr="003F3C87" w:rsidR="0236D2B4">
        <w:t xml:space="preserve"> million in </w:t>
      </w:r>
      <w:r w:rsidRPr="003F3C87">
        <w:t>wildfire insurance premium costs</w:t>
      </w:r>
      <w:r w:rsidRPr="003F3C87" w:rsidR="4452CB7F">
        <w:t>, and associated financing and interest costs, and FFU</w:t>
      </w:r>
      <w:r w:rsidRPr="003F3C87">
        <w:t xml:space="preserve"> </w:t>
      </w:r>
      <w:r w:rsidRPr="003F3C87" w:rsidR="0236D2B4">
        <w:t>recorded from Ju</w:t>
      </w:r>
      <w:r w:rsidR="4378CFA2">
        <w:t>ly</w:t>
      </w:r>
      <w:r w:rsidR="0062480C">
        <w:t xml:space="preserve"> 1,</w:t>
      </w:r>
      <w:r w:rsidRPr="003F3C87" w:rsidR="0236D2B4">
        <w:t xml:space="preserve"> 2020</w:t>
      </w:r>
      <w:r w:rsidRPr="003F3C87" w:rsidR="7377F724">
        <w:t xml:space="preserve"> </w:t>
      </w:r>
      <w:r w:rsidRPr="003F3C87" w:rsidR="0236D2B4">
        <w:t>-</w:t>
      </w:r>
      <w:r w:rsidRPr="003F3C87" w:rsidR="7377F724">
        <w:t xml:space="preserve"> </w:t>
      </w:r>
      <w:r w:rsidRPr="003F3C87" w:rsidR="0236D2B4">
        <w:t xml:space="preserve">December </w:t>
      </w:r>
      <w:r w:rsidR="0062480C">
        <w:t xml:space="preserve">31, </w:t>
      </w:r>
      <w:r w:rsidRPr="003F3C87" w:rsidR="0236D2B4">
        <w:t xml:space="preserve">2020 </w:t>
      </w:r>
      <w:r w:rsidRPr="003F3C87" w:rsidR="6748323E">
        <w:t xml:space="preserve">and the SONGS Adjustment </w:t>
      </w:r>
      <w:r w:rsidRPr="003F3C87" w:rsidR="54955580">
        <w:t xml:space="preserve">in distribution rates </w:t>
      </w:r>
      <w:r w:rsidRPr="003F3C87" w:rsidR="2BBF132C">
        <w:t>over a 12-month period</w:t>
      </w:r>
      <w:r w:rsidRPr="003F3C87" w:rsidR="3C35D5A7">
        <w:t xml:space="preserve">. </w:t>
      </w:r>
      <w:r w:rsidRPr="003F3C87" w:rsidR="0236D2B4">
        <w:t>SCE</w:t>
      </w:r>
      <w:r w:rsidRPr="003F3C87" w:rsidR="2BBF132C">
        <w:t xml:space="preserve"> reasoned that its</w:t>
      </w:r>
      <w:r w:rsidRPr="003F3C87" w:rsidR="0236D2B4">
        <w:t xml:space="preserve"> ratepayers should </w:t>
      </w:r>
      <w:r w:rsidRPr="003F3C87" w:rsidR="516D68B7">
        <w:t xml:space="preserve">pay </w:t>
      </w:r>
      <w:r w:rsidRPr="003F3C87" w:rsidR="2BBF132C">
        <w:t xml:space="preserve">for </w:t>
      </w:r>
      <w:r w:rsidRPr="003F3C87" w:rsidR="516D68B7">
        <w:t>costs that benefit them</w:t>
      </w:r>
      <w:r w:rsidRPr="003F3C87" w:rsidR="2BBF132C">
        <w:t xml:space="preserve"> as they are</w:t>
      </w:r>
      <w:r w:rsidRPr="003F3C87" w:rsidR="516D68B7">
        <w:t xml:space="preserve"> incurred.</w:t>
      </w:r>
      <w:r w:rsidRPr="003F3C87" w:rsidR="003A27BA">
        <w:rPr>
          <w:rStyle w:val="FootnoteReference"/>
        </w:rPr>
        <w:footnoteReference w:id="56"/>
      </w:r>
      <w:r w:rsidRPr="003F3C87" w:rsidR="516D68B7">
        <w:t xml:space="preserve"> </w:t>
      </w:r>
      <w:r w:rsidRPr="003F3C87" w:rsidR="2BBF132C">
        <w:t xml:space="preserve">SCE also </w:t>
      </w:r>
      <w:r w:rsidRPr="003F3C87" w:rsidR="0A90E360">
        <w:t>noted that</w:t>
      </w:r>
      <w:r w:rsidRPr="003F3C87" w:rsidR="0677740F">
        <w:t xml:space="preserve"> this</w:t>
      </w:r>
      <w:r w:rsidRPr="003F3C87" w:rsidR="2BBF132C">
        <w:t xml:space="preserve"> </w:t>
      </w:r>
      <w:r w:rsidRPr="003F3C87" w:rsidR="0677740F">
        <w:t xml:space="preserve">cost recovery approach </w:t>
      </w:r>
      <w:r w:rsidRPr="003F3C87" w:rsidR="76E86E34">
        <w:t>aligns with</w:t>
      </w:r>
      <w:r w:rsidRPr="003F3C87" w:rsidR="0F0EB6EA">
        <w:t xml:space="preserve"> </w:t>
      </w:r>
      <w:r w:rsidRPr="003F3C87" w:rsidR="6ADA9C44">
        <w:t>SCE’s authorization in the 20</w:t>
      </w:r>
      <w:r w:rsidRPr="003F3C87" w:rsidR="14366DE4">
        <w:t>20</w:t>
      </w:r>
      <w:r w:rsidRPr="003F3C87" w:rsidR="6ADA9C44">
        <w:t xml:space="preserve"> WEMA Decision to recover a year of </w:t>
      </w:r>
      <w:r w:rsidRPr="003F3C87" w:rsidR="0A90E360">
        <w:t xml:space="preserve">WEMA </w:t>
      </w:r>
      <w:r w:rsidRPr="003F3C87" w:rsidR="0677740F">
        <w:t>costs</w:t>
      </w:r>
      <w:r w:rsidRPr="003F3C87" w:rsidR="6ADA9C44">
        <w:t xml:space="preserve"> in 24</w:t>
      </w:r>
      <w:r w:rsidRPr="003F3C87" w:rsidR="7377F724">
        <w:t>-</w:t>
      </w:r>
      <w:r w:rsidRPr="003F3C87" w:rsidR="6ADA9C44">
        <w:t>months</w:t>
      </w:r>
      <w:r w:rsidRPr="003F3C87" w:rsidR="0677740F">
        <w:t>.</w:t>
      </w:r>
      <w:r w:rsidRPr="003F3C87" w:rsidR="00C44A84">
        <w:rPr>
          <w:rStyle w:val="FootnoteReference"/>
        </w:rPr>
        <w:footnoteReference w:id="57"/>
      </w:r>
    </w:p>
    <w:p w:rsidRPr="003F3C87" w:rsidR="00AF2623" w:rsidP="00031DB2" w:rsidRDefault="7C02E224" w14:paraId="2FDA380F" w14:textId="10EB4C86">
      <w:pPr>
        <w:pStyle w:val="Standard"/>
      </w:pPr>
      <w:r w:rsidRPr="003F3C87">
        <w:t>Based on estimated ratepayer impacts, we</w:t>
      </w:r>
      <w:r w:rsidRPr="003F3C87" w:rsidR="206E8D61">
        <w:t xml:space="preserve"> find merit in SCE’s </w:t>
      </w:r>
      <w:r w:rsidRPr="003F3C87" w:rsidR="03C5DC08">
        <w:t>proposal</w:t>
      </w:r>
      <w:r w:rsidRPr="003F3C87" w:rsidR="6ADA9C44">
        <w:t xml:space="preserve">. In SCE’s 2019 WEMA Application, SCE reported that </w:t>
      </w:r>
      <w:r w:rsidRPr="003F3C87" w:rsidR="10C0594D">
        <w:t xml:space="preserve">amortization of </w:t>
      </w:r>
      <w:r w:rsidRPr="003F3C87" w:rsidR="206E8D61">
        <w:t>the</w:t>
      </w:r>
      <w:r w:rsidRPr="003F3C87" w:rsidR="10C0594D">
        <w:t xml:space="preserve"> $505</w:t>
      </w:r>
      <w:r w:rsidRPr="003F3C87" w:rsidR="7377F724">
        <w:t> </w:t>
      </w:r>
      <w:r w:rsidRPr="003F3C87" w:rsidR="10C0594D">
        <w:t xml:space="preserve">million revenue requirement over a </w:t>
      </w:r>
      <w:r w:rsidRPr="003F3C87" w:rsidR="206E8D61">
        <w:t>24-month</w:t>
      </w:r>
      <w:r w:rsidRPr="003F3C87" w:rsidR="10C0594D">
        <w:t xml:space="preserve"> period would result in a 2.1%</w:t>
      </w:r>
      <w:r w:rsidRPr="003F3C87" w:rsidR="7377F724">
        <w:t> </w:t>
      </w:r>
      <w:r w:rsidRPr="003F3C87" w:rsidR="10C0594D">
        <w:t>rate increase across all SCE customer classes.</w:t>
      </w:r>
      <w:r w:rsidRPr="003F3C87">
        <w:t xml:space="preserve"> SCE</w:t>
      </w:r>
      <w:r w:rsidRPr="003F3C87" w:rsidR="29733E4B">
        <w:t>’s</w:t>
      </w:r>
      <w:r w:rsidRPr="003F3C87">
        <w:t xml:space="preserve"> </w:t>
      </w:r>
      <w:r w:rsidRPr="003F3C87" w:rsidR="549C195C">
        <w:t xml:space="preserve">residential </w:t>
      </w:r>
      <w:r w:rsidRPr="003F3C87">
        <w:t xml:space="preserve">ratepayers were expected to </w:t>
      </w:r>
      <w:r w:rsidRPr="003F3C87" w:rsidR="549C195C">
        <w:t>witness a 2.6% rate</w:t>
      </w:r>
      <w:r w:rsidRPr="003F3C87" w:rsidR="2A31C522">
        <w:t xml:space="preserve"> increase</w:t>
      </w:r>
      <w:r w:rsidRPr="003F3C87" w:rsidR="549C195C">
        <w:t>.</w:t>
      </w:r>
      <w:r w:rsidRPr="003F3C87" w:rsidR="00584BBB">
        <w:rPr>
          <w:rStyle w:val="FootnoteReference"/>
        </w:rPr>
        <w:footnoteReference w:id="58"/>
      </w:r>
      <w:r w:rsidRPr="003F3C87">
        <w:t xml:space="preserve"> </w:t>
      </w:r>
      <w:r w:rsidRPr="003F3C87" w:rsidR="10C0594D">
        <w:t xml:space="preserve">In SCE’s 2020 WEMA Application, </w:t>
      </w:r>
      <w:r w:rsidRPr="003F3C87" w:rsidR="0B4AC106">
        <w:t>SCE</w:t>
      </w:r>
      <w:r w:rsidRPr="003F3C87" w:rsidR="2A31C522">
        <w:t xml:space="preserve"> </w:t>
      </w:r>
      <w:r w:rsidRPr="003F3C87" w:rsidR="15585254">
        <w:t>detailed</w:t>
      </w:r>
      <w:r w:rsidRPr="003F3C87" w:rsidR="2A31C522">
        <w:t xml:space="preserve"> that</w:t>
      </w:r>
      <w:r w:rsidRPr="003F3C87" w:rsidR="0B4AC106">
        <w:t xml:space="preserve"> </w:t>
      </w:r>
      <w:r w:rsidRPr="003F3C87" w:rsidR="206E8D61">
        <w:t xml:space="preserve">amortization of the $214.5 million revenue requirement </w:t>
      </w:r>
      <w:r w:rsidRPr="003F3C87" w:rsidR="2967B39A">
        <w:t xml:space="preserve">recovered </w:t>
      </w:r>
      <w:r w:rsidRPr="003F3C87" w:rsidR="0B4AC106">
        <w:t xml:space="preserve">over a 12-month period </w:t>
      </w:r>
      <w:r w:rsidRPr="003F3C87" w:rsidR="2A31C522">
        <w:t>would result</w:t>
      </w:r>
      <w:r w:rsidRPr="003F3C87" w:rsidR="0B4AC106">
        <w:t xml:space="preserve"> in a </w:t>
      </w:r>
      <w:r w:rsidRPr="003F3C87" w:rsidR="2A31C522">
        <w:t xml:space="preserve">1.5% rate </w:t>
      </w:r>
      <w:r w:rsidRPr="003F3C87" w:rsidR="2A31C522">
        <w:lastRenderedPageBreak/>
        <w:t>increase for all SCE customers and a 1.8% increase for SCE’s residential customers.</w:t>
      </w:r>
      <w:r w:rsidRPr="003F3C87" w:rsidR="009507C1">
        <w:rPr>
          <w:rStyle w:val="FootnoteReference"/>
        </w:rPr>
        <w:footnoteReference w:id="59"/>
      </w:r>
      <w:r w:rsidRPr="003F3C87" w:rsidR="2A31C522">
        <w:t xml:space="preserve"> </w:t>
      </w:r>
      <w:r w:rsidRPr="003F3C87" w:rsidR="03C5DC08">
        <w:t>In r</w:t>
      </w:r>
      <w:r w:rsidRPr="003F3C87" w:rsidR="2A31C522">
        <w:t>elative</w:t>
      </w:r>
      <w:r w:rsidRPr="003F3C87" w:rsidR="03C5DC08">
        <w:t xml:space="preserve"> terms</w:t>
      </w:r>
      <w:r w:rsidRPr="003F3C87" w:rsidR="2A31C522">
        <w:t xml:space="preserve">, </w:t>
      </w:r>
      <w:r w:rsidRPr="003F3C87" w:rsidR="15585254">
        <w:t xml:space="preserve">the estimated </w:t>
      </w:r>
      <w:r w:rsidRPr="003F3C87" w:rsidR="2A31C522">
        <w:t xml:space="preserve">rate increases </w:t>
      </w:r>
      <w:r w:rsidRPr="003F3C87" w:rsidR="15585254">
        <w:t xml:space="preserve">proposed in SCE’s 2020 WEMA Application are less than those proposed in SCE’s 2019 WEMA Application approved by the Commission. </w:t>
      </w:r>
      <w:r w:rsidRPr="003F3C87" w:rsidR="30EEC87A">
        <w:t>In absolute terms, a</w:t>
      </w:r>
      <w:r w:rsidRPr="003F3C87" w:rsidR="2967B39A">
        <w:t>mortization of SCE’s July 2020</w:t>
      </w:r>
      <w:r w:rsidRPr="003F3C87" w:rsidR="7377F724">
        <w:t xml:space="preserve"> </w:t>
      </w:r>
      <w:r w:rsidRPr="003F3C87" w:rsidR="2967B39A">
        <w:t>-</w:t>
      </w:r>
      <w:r w:rsidRPr="003F3C87" w:rsidR="7377F724">
        <w:t xml:space="preserve"> </w:t>
      </w:r>
      <w:r w:rsidRPr="003F3C87" w:rsidR="2967B39A">
        <w:t xml:space="preserve">December 2020 wildfire premium-related costs tracked in WEMA </w:t>
      </w:r>
      <w:r w:rsidRPr="003F3C87" w:rsidR="30EEC87A">
        <w:t>would not</w:t>
      </w:r>
      <w:r w:rsidRPr="003F3C87" w:rsidR="2967B39A">
        <w:t xml:space="preserve"> bear a significant impact on SCE ratepayers.</w:t>
      </w:r>
      <w:r w:rsidRPr="003F3C87" w:rsidR="663D8F10">
        <w:t xml:space="preserve"> </w:t>
      </w:r>
    </w:p>
    <w:p w:rsidRPr="003F3C87" w:rsidR="00A77D24" w:rsidP="00031DB2" w:rsidRDefault="6A940A92" w14:paraId="7D6E301A" w14:textId="72F80512">
      <w:pPr>
        <w:pStyle w:val="Standard"/>
      </w:pPr>
      <w:r w:rsidRPr="003F3C87">
        <w:t>As discussed, the Commission does not a</w:t>
      </w:r>
      <w:r w:rsidRPr="003F3C87" w:rsidR="27D919D8">
        <w:t>pprov</w:t>
      </w:r>
      <w:r w:rsidRPr="003F3C87">
        <w:t>e SCE</w:t>
      </w:r>
      <w:r w:rsidRPr="003F3C87" w:rsidR="27D919D8">
        <w:t xml:space="preserve">’s request </w:t>
      </w:r>
      <w:r w:rsidRPr="003F3C87">
        <w:t>to recover the SONGS Adjustment.</w:t>
      </w:r>
      <w:r w:rsidRPr="003F3C87" w:rsidR="762E1D7F">
        <w:t xml:space="preserve"> In light of the estimated rate impact</w:t>
      </w:r>
      <w:r w:rsidRPr="003F3C87" w:rsidR="27D919D8">
        <w:t>, the</w:t>
      </w:r>
      <w:r w:rsidRPr="003F3C87" w:rsidR="26F85414">
        <w:t xml:space="preserve"> Commission authorizes SCE to </w:t>
      </w:r>
      <w:r w:rsidRPr="003F3C87" w:rsidR="663D8F10">
        <w:t xml:space="preserve">amortize </w:t>
      </w:r>
      <w:r w:rsidRPr="003F3C87" w:rsidR="27D919D8">
        <w:t xml:space="preserve">the remainder of SCE’s revenue requirement, which amounts to </w:t>
      </w:r>
      <w:r w:rsidRPr="003F3C87" w:rsidR="663D8F10">
        <w:t xml:space="preserve">$207.3 million, or 50 percent, of wildfire liability insurance premium costs </w:t>
      </w:r>
      <w:r w:rsidRPr="003F3C87" w:rsidR="7B61B0CB">
        <w:t xml:space="preserve">and associated financing, interest, and FFU </w:t>
      </w:r>
      <w:r w:rsidRPr="003F3C87" w:rsidR="663D8F10">
        <w:t xml:space="preserve">recorded in WEMA from July 1, 2020, to December 31, 2020, in </w:t>
      </w:r>
      <w:r w:rsidRPr="003F3C87" w:rsidR="7B61B0CB">
        <w:t xml:space="preserve">distribution </w:t>
      </w:r>
      <w:r w:rsidRPr="003F3C87" w:rsidR="663D8F10">
        <w:t>rates</w:t>
      </w:r>
      <w:r w:rsidRPr="003F3C87" w:rsidR="26F85414">
        <w:t xml:space="preserve"> over a 12</w:t>
      </w:r>
      <w:r w:rsidRPr="003F3C87" w:rsidR="00A152A2">
        <w:noBreakHyphen/>
      </w:r>
      <w:r w:rsidRPr="003F3C87" w:rsidR="26F85414">
        <w:t>month period.</w:t>
      </w:r>
      <w:r w:rsidRPr="003F3C87" w:rsidR="663D8F10">
        <w:t xml:space="preserve"> </w:t>
      </w:r>
    </w:p>
    <w:p w:rsidRPr="003F3C87" w:rsidR="006F2FC4" w:rsidP="00A152A2" w:rsidRDefault="00A20496" w14:paraId="4057C435" w14:textId="09BC514B">
      <w:pPr>
        <w:pStyle w:val="Heading1"/>
        <w:ind w:left="720" w:hanging="720"/>
      </w:pPr>
      <w:bookmarkStart w:name="_Toc126071048" w:id="28"/>
      <w:r w:rsidRPr="003F3C87">
        <w:t xml:space="preserve">Need for </w:t>
      </w:r>
      <w:r w:rsidRPr="003F3C87" w:rsidR="00424377">
        <w:t>CEQA</w:t>
      </w:r>
      <w:r w:rsidRPr="003F3C87" w:rsidR="006F2FC4">
        <w:t xml:space="preserve"> Review</w:t>
      </w:r>
      <w:bookmarkEnd w:id="28"/>
    </w:p>
    <w:p w:rsidRPr="003F3C87" w:rsidR="005A2A43" w:rsidP="000F5B3C" w:rsidRDefault="070D29CE" w14:paraId="5857A478" w14:textId="03164FA2">
      <w:pPr>
        <w:pStyle w:val="Standard"/>
      </w:pPr>
      <w:r w:rsidRPr="003F3C87">
        <w:t>CEQA intends to “prevent significant, avoidable damage to the environment by requiring changes in projects through the use of alternatives or mitigation measures when the governmental agency finds the changes to be feasible</w:t>
      </w:r>
      <w:r w:rsidRPr="003F3C87" w:rsidR="29733E4B">
        <w:t>.</w:t>
      </w:r>
      <w:r w:rsidRPr="003F3C87" w:rsidR="2F265CD5">
        <w:t>”</w:t>
      </w:r>
      <w:r w:rsidRPr="003F3C87" w:rsidR="00DB7A0B">
        <w:rPr>
          <w:rStyle w:val="FootnoteReference"/>
        </w:rPr>
        <w:footnoteReference w:id="60"/>
      </w:r>
      <w:r w:rsidRPr="003F3C87">
        <w:t xml:space="preserve"> </w:t>
      </w:r>
      <w:r w:rsidRPr="003F3C87" w:rsidR="0F9D40A7">
        <w:t xml:space="preserve">According to </w:t>
      </w:r>
      <w:r w:rsidRPr="003F3C87" w:rsidR="464CE2DF">
        <w:t>California Code of Regulations</w:t>
      </w:r>
      <w:r w:rsidRPr="003F3C87" w:rsidR="1C2CAC29">
        <w:t xml:space="preserve"> (CCR)</w:t>
      </w:r>
      <w:r w:rsidRPr="003F3C87" w:rsidR="464CE2DF">
        <w:t xml:space="preserve"> Section 15378</w:t>
      </w:r>
      <w:r w:rsidRPr="003F3C87" w:rsidR="0F9D40A7">
        <w:t>,</w:t>
      </w:r>
      <w:r w:rsidRPr="003F3C87" w:rsidR="198274EE">
        <w:t xml:space="preserve"> </w:t>
      </w:r>
      <w:r w:rsidRPr="003F3C87" w:rsidR="60493DD0">
        <w:t xml:space="preserve">a </w:t>
      </w:r>
      <w:r w:rsidRPr="003F3C87" w:rsidR="1C2CAC29">
        <w:t>CEQA review</w:t>
      </w:r>
      <w:r w:rsidRPr="003F3C87" w:rsidR="60493DD0">
        <w:t xml:space="preserve"> is required for </w:t>
      </w:r>
      <w:r w:rsidRPr="003F3C87" w:rsidR="37AE73EC">
        <w:t>projects</w:t>
      </w:r>
      <w:r w:rsidRPr="003F3C87" w:rsidR="60493DD0">
        <w:t xml:space="preserve"> </w:t>
      </w:r>
      <w:r w:rsidRPr="003F3C87" w:rsidR="15A3187B">
        <w:t>that</w:t>
      </w:r>
      <w:r w:rsidRPr="003F3C87" w:rsidR="464CE2DF">
        <w:t xml:space="preserve"> </w:t>
      </w:r>
      <w:r w:rsidRPr="003F3C87" w:rsidR="60493DD0">
        <w:t>may</w:t>
      </w:r>
      <w:r w:rsidRPr="003F3C87" w:rsidR="464CE2DF">
        <w:t xml:space="preserve"> result in a direct or </w:t>
      </w:r>
      <w:r w:rsidRPr="003F3C87" w:rsidR="2F265CD5">
        <w:t xml:space="preserve">reasonably anticipated indirect </w:t>
      </w:r>
      <w:r w:rsidRPr="003F3C87" w:rsidR="464CE2DF">
        <w:t xml:space="preserve">physical change </w:t>
      </w:r>
      <w:r w:rsidRPr="003F3C87" w:rsidR="60493DD0">
        <w:t>in the environment</w:t>
      </w:r>
      <w:r w:rsidRPr="003F3C87" w:rsidR="2F265CD5">
        <w:t xml:space="preserve">. </w:t>
      </w:r>
      <w:r w:rsidRPr="003F3C87" w:rsidR="1C2CAC29">
        <w:t xml:space="preserve">CCR </w:t>
      </w:r>
      <w:r w:rsidRPr="003F3C87" w:rsidR="29733E4B">
        <w:t xml:space="preserve">Section </w:t>
      </w:r>
      <w:r w:rsidRPr="003F3C87" w:rsidR="1C2CAC29">
        <w:t>15378 defines a project as “the activity which is being approved and which may be subject to several discretionary approvals by governmental agencies</w:t>
      </w:r>
      <w:r w:rsidRPr="003F3C87" w:rsidR="29733E4B">
        <w:t>.</w:t>
      </w:r>
      <w:r w:rsidRPr="003F3C87" w:rsidR="1C2CAC29">
        <w:t>”</w:t>
      </w:r>
      <w:r w:rsidRPr="003F3C87" w:rsidR="00424377">
        <w:rPr>
          <w:rStyle w:val="FootnoteReference"/>
        </w:rPr>
        <w:footnoteReference w:id="61"/>
      </w:r>
    </w:p>
    <w:p w:rsidRPr="003F3C87" w:rsidR="00424377" w:rsidP="00A20496" w:rsidRDefault="00A51985" w14:paraId="739EA37D" w14:textId="3CFAF4FC">
      <w:pPr>
        <w:pStyle w:val="Standard"/>
      </w:pPr>
      <w:r w:rsidRPr="003F3C87">
        <w:t>Per</w:t>
      </w:r>
      <w:r w:rsidRPr="003F3C87" w:rsidR="00A20496">
        <w:t xml:space="preserve"> CEQA regulatory requirements, Commission approval of </w:t>
      </w:r>
      <w:r w:rsidRPr="003F3C87" w:rsidR="00424377">
        <w:t>SCE’s 2020</w:t>
      </w:r>
      <w:r w:rsidRPr="003F3C87" w:rsidR="004127FC">
        <w:t> </w:t>
      </w:r>
      <w:r w:rsidRPr="003F3C87" w:rsidR="00424377">
        <w:t xml:space="preserve">WEMA Application </w:t>
      </w:r>
      <w:r w:rsidRPr="003F3C87" w:rsidR="00C03685">
        <w:t>does not necessitate</w:t>
      </w:r>
      <w:r w:rsidRPr="003F3C87" w:rsidR="00A20496">
        <w:t xml:space="preserve"> a CEQA review. </w:t>
      </w:r>
      <w:r w:rsidRPr="003F3C87" w:rsidR="00EF4ADA">
        <w:t xml:space="preserve">SCE’s </w:t>
      </w:r>
      <w:r w:rsidRPr="003F3C87" w:rsidR="00C03685">
        <w:t xml:space="preserve">request for </w:t>
      </w:r>
      <w:r w:rsidRPr="003F3C87" w:rsidR="00C03685">
        <w:lastRenderedPageBreak/>
        <w:t>Commission</w:t>
      </w:r>
      <w:r w:rsidRPr="003F3C87" w:rsidR="00EF4ADA">
        <w:t xml:space="preserve"> authority to recover </w:t>
      </w:r>
      <w:r w:rsidRPr="003F3C87" w:rsidR="00A20496">
        <w:t>wildfire insurance premium costs</w:t>
      </w:r>
      <w:r w:rsidRPr="003F3C87" w:rsidR="00EF4ADA">
        <w:t xml:space="preserve"> </w:t>
      </w:r>
      <w:r w:rsidRPr="003F3C87" w:rsidR="00C03685">
        <w:t xml:space="preserve">would not result in a direct or indirect physical impact to the environment. </w:t>
      </w:r>
      <w:r w:rsidRPr="003F3C87" w:rsidR="007623D5">
        <w:t>Pursuant to CCR</w:t>
      </w:r>
      <w:r w:rsidRPr="003F3C87" w:rsidR="004127FC">
        <w:t> </w:t>
      </w:r>
      <w:r w:rsidRPr="003F3C87" w:rsidR="003B4683">
        <w:t xml:space="preserve">Section </w:t>
      </w:r>
      <w:r w:rsidRPr="003F3C87" w:rsidR="007623D5">
        <w:t xml:space="preserve">13578, SCE’s 2020 WEMA Application is not a project and therefore not subject to </w:t>
      </w:r>
      <w:r w:rsidRPr="003F3C87" w:rsidR="000B435F">
        <w:t xml:space="preserve">CEQA review. </w:t>
      </w:r>
    </w:p>
    <w:p w:rsidRPr="003F3C87" w:rsidR="00FA1B4F" w:rsidP="00A152A2" w:rsidRDefault="005939A5" w14:paraId="2F9BE844" w14:textId="64710AA6">
      <w:pPr>
        <w:pStyle w:val="Heading1"/>
        <w:ind w:left="720" w:hanging="720"/>
      </w:pPr>
      <w:bookmarkStart w:name="_Toc8123721" w:id="29"/>
      <w:bookmarkStart w:name="_Toc12866692" w:id="30"/>
      <w:bookmarkStart w:name="_Toc126071049" w:id="31"/>
      <w:r w:rsidRPr="003F3C87">
        <w:t>Conclusion</w:t>
      </w:r>
      <w:bookmarkEnd w:id="29"/>
      <w:bookmarkEnd w:id="30"/>
      <w:bookmarkEnd w:id="31"/>
      <w:r w:rsidRPr="003F3C87" w:rsidR="00EF4ADA">
        <w:t xml:space="preserve"> </w:t>
      </w:r>
    </w:p>
    <w:p w:rsidRPr="003F3C87" w:rsidR="005A0E88" w:rsidP="00343E5C" w:rsidRDefault="005A0E88" w14:paraId="790D5B77" w14:textId="30AA6116">
      <w:pPr>
        <w:pStyle w:val="Standard"/>
        <w:rPr>
          <w:szCs w:val="26"/>
        </w:rPr>
      </w:pPr>
      <w:r w:rsidRPr="003F3C87">
        <w:rPr>
          <w:szCs w:val="26"/>
        </w:rPr>
        <w:t xml:space="preserve">After careful deliberation, the Commission has determined that SCE’s request to recover $207.3 million in wildfire premium costs tracked in </w:t>
      </w:r>
      <w:r w:rsidRPr="003F3C87" w:rsidR="003B4683">
        <w:rPr>
          <w:szCs w:val="26"/>
        </w:rPr>
        <w:t xml:space="preserve">its </w:t>
      </w:r>
      <w:r w:rsidRPr="003F3C87">
        <w:rPr>
          <w:szCs w:val="26"/>
        </w:rPr>
        <w:t xml:space="preserve">WEMA from </w:t>
      </w:r>
      <w:r w:rsidRPr="008B24C2" w:rsidR="003F3C87">
        <w:rPr>
          <w:szCs w:val="26"/>
        </w:rPr>
        <w:t>July</w:t>
      </w:r>
      <w:r w:rsidRPr="003F3C87" w:rsidR="003F3C87">
        <w:rPr>
          <w:szCs w:val="26"/>
        </w:rPr>
        <w:t xml:space="preserve"> </w:t>
      </w:r>
      <w:r w:rsidRPr="003F3C87">
        <w:rPr>
          <w:szCs w:val="26"/>
        </w:rPr>
        <w:t>2020</w:t>
      </w:r>
      <w:r w:rsidRPr="003F3C87" w:rsidR="004127FC">
        <w:rPr>
          <w:szCs w:val="26"/>
        </w:rPr>
        <w:t xml:space="preserve"> </w:t>
      </w:r>
      <w:r w:rsidRPr="008B24C2" w:rsidR="003F3C87">
        <w:rPr>
          <w:rFonts w:hint="eastAsia"/>
          <w:szCs w:val="26"/>
        </w:rPr>
        <w:t>–</w:t>
      </w:r>
      <w:r w:rsidRPr="003F3C87" w:rsidR="004127FC">
        <w:rPr>
          <w:szCs w:val="26"/>
        </w:rPr>
        <w:t xml:space="preserve"> </w:t>
      </w:r>
      <w:r w:rsidRPr="008B24C2" w:rsidR="003F3C87">
        <w:rPr>
          <w:szCs w:val="26"/>
        </w:rPr>
        <w:t xml:space="preserve">December </w:t>
      </w:r>
      <w:r w:rsidRPr="003F3C87">
        <w:rPr>
          <w:szCs w:val="26"/>
        </w:rPr>
        <w:t xml:space="preserve">2020 is reasonable. Due to the uncertainty of wildfires and resultant claims, SCE acted prudently to </w:t>
      </w:r>
      <w:r w:rsidRPr="003F3C87" w:rsidR="0000054E">
        <w:rPr>
          <w:szCs w:val="26"/>
        </w:rPr>
        <w:t xml:space="preserve">acquire incremental wildfire insurance policies to retain approximately $1 billion in wildfire insurance coverage. </w:t>
      </w:r>
    </w:p>
    <w:p w:rsidRPr="003F3C87" w:rsidR="00852C83" w:rsidP="00852C83" w:rsidRDefault="34816FDA" w14:paraId="6650FC88" w14:textId="43E9FEFD">
      <w:pPr>
        <w:pStyle w:val="Standard"/>
      </w:pPr>
      <w:r>
        <w:t>Furthermore</w:t>
      </w:r>
      <w:r w:rsidR="5D68569E">
        <w:t xml:space="preserve">, </w:t>
      </w:r>
      <w:r w:rsidR="18C73747">
        <w:t>SCE’s request to recover the</w:t>
      </w:r>
      <w:r w:rsidR="29722BC6">
        <w:t xml:space="preserve"> $7.2</w:t>
      </w:r>
      <w:r w:rsidR="16340338">
        <w:t> </w:t>
      </w:r>
      <w:r w:rsidR="29722BC6">
        <w:t>million</w:t>
      </w:r>
      <w:r w:rsidR="18C73747">
        <w:t xml:space="preserve"> SONGS Adjustment</w:t>
      </w:r>
      <w:r w:rsidR="5D68569E">
        <w:t xml:space="preserve"> recorded during the 2019</w:t>
      </w:r>
      <w:r w:rsidR="7377F724">
        <w:t xml:space="preserve"> </w:t>
      </w:r>
      <w:r w:rsidR="5D68569E">
        <w:t>-</w:t>
      </w:r>
      <w:r w:rsidR="7377F724">
        <w:t xml:space="preserve"> </w:t>
      </w:r>
      <w:r w:rsidR="5D68569E">
        <w:t xml:space="preserve">2020 policy year is </w:t>
      </w:r>
      <w:r w:rsidR="79C9A633">
        <w:t xml:space="preserve">denied. </w:t>
      </w:r>
      <w:r w:rsidR="5D105F6B">
        <w:t xml:space="preserve"> SCE has not met its burden of proof to justify reallocating the SONGS Adjustment to SCE ratepayers via the WEMA.</w:t>
      </w:r>
      <w:r w:rsidR="483E6984">
        <w:t xml:space="preserve"> </w:t>
      </w:r>
      <w:r w:rsidR="79C9A633">
        <w:t xml:space="preserve"> </w:t>
      </w:r>
      <w:r w:rsidR="5D68569E">
        <w:t xml:space="preserve"> </w:t>
      </w:r>
      <w:r w:rsidR="387AE772">
        <w:t xml:space="preserve"> </w:t>
      </w:r>
    </w:p>
    <w:p w:rsidRPr="003F3C87" w:rsidR="00F04B7A" w:rsidP="00A152A2" w:rsidRDefault="00F04B7A" w14:paraId="3F45A8B4" w14:textId="54E65B72">
      <w:pPr>
        <w:pStyle w:val="Heading1"/>
        <w:ind w:left="720" w:hanging="720"/>
      </w:pPr>
      <w:bookmarkStart w:name="_Toc126071050" w:id="32"/>
      <w:bookmarkStart w:name="_Toc8123723" w:id="33"/>
      <w:bookmarkStart w:name="_Toc12866693" w:id="34"/>
      <w:r w:rsidRPr="003F3C87">
        <w:t>Summary of Public Comment on the Docket Card</w:t>
      </w:r>
      <w:bookmarkEnd w:id="32"/>
    </w:p>
    <w:p w:rsidRPr="003F3C87" w:rsidR="00F71975" w:rsidP="003B5977" w:rsidRDefault="00597A26" w14:paraId="7C1554AF" w14:textId="7D9FDEDA">
      <w:pPr>
        <w:pStyle w:val="Standard"/>
      </w:pPr>
      <w:r w:rsidRPr="003F3C87">
        <w:t>Several</w:t>
      </w:r>
      <w:r w:rsidRPr="003F3C87" w:rsidR="00F71975">
        <w:t xml:space="preserve"> comments </w:t>
      </w:r>
      <w:r w:rsidRPr="003F3C87">
        <w:t xml:space="preserve">centered on </w:t>
      </w:r>
      <w:r w:rsidRPr="003F3C87" w:rsidR="00820807">
        <w:t>unwarranted</w:t>
      </w:r>
      <w:r w:rsidRPr="003F3C87">
        <w:t xml:space="preserve"> rate increases resulting from Commission approval of SCE’s 2020 WEMA Application. Rather than imposing a financial impact on ratepayers, some reasoned that SCE shareholders should bear wildfire </w:t>
      </w:r>
      <w:r w:rsidRPr="003F3C87" w:rsidR="00FC06EF">
        <w:t xml:space="preserve">insurance </w:t>
      </w:r>
      <w:r w:rsidRPr="003F3C87">
        <w:t xml:space="preserve">premium costs. </w:t>
      </w:r>
      <w:r w:rsidRPr="003F3C87" w:rsidR="00820807">
        <w:t>A few</w:t>
      </w:r>
      <w:r w:rsidRPr="003F3C87">
        <w:t xml:space="preserve"> </w:t>
      </w:r>
      <w:r w:rsidRPr="003F3C87" w:rsidR="00FC06EF">
        <w:t xml:space="preserve">comments </w:t>
      </w:r>
      <w:r w:rsidRPr="003F3C87">
        <w:t xml:space="preserve">attributed rising wildfire </w:t>
      </w:r>
      <w:r w:rsidRPr="003F3C87" w:rsidR="00820807">
        <w:t xml:space="preserve">insurance </w:t>
      </w:r>
      <w:r w:rsidRPr="003F3C87">
        <w:t xml:space="preserve">premium costs to SCE’s </w:t>
      </w:r>
      <w:r w:rsidRPr="003F3C87" w:rsidR="00820807">
        <w:t xml:space="preserve">increased wildfire risk, due to ineffective maintenance </w:t>
      </w:r>
      <w:r w:rsidRPr="003F3C87" w:rsidR="006F14DA">
        <w:t xml:space="preserve">of </w:t>
      </w:r>
      <w:r w:rsidRPr="003F3C87" w:rsidR="00820807">
        <w:t>its distribution grid</w:t>
      </w:r>
      <w:r w:rsidRPr="003F3C87" w:rsidR="00FC06EF">
        <w:t xml:space="preserve">.  </w:t>
      </w:r>
    </w:p>
    <w:p w:rsidRPr="003F3C87" w:rsidR="005939A5" w:rsidP="005939A5" w:rsidRDefault="005939A5" w14:paraId="71FE038C" w14:textId="03827816">
      <w:pPr>
        <w:pStyle w:val="Heading1"/>
      </w:pPr>
      <w:bookmarkStart w:name="_Toc126071051" w:id="35"/>
      <w:r w:rsidRPr="003F3C87">
        <w:t>Comments on Proposed Decision</w:t>
      </w:r>
      <w:bookmarkEnd w:id="33"/>
      <w:bookmarkEnd w:id="34"/>
      <w:bookmarkEnd w:id="35"/>
    </w:p>
    <w:p w:rsidRPr="003F3C87" w:rsidR="00634063" w:rsidP="009570AF" w:rsidRDefault="00634063" w14:paraId="344F0E3E" w14:textId="254EF049">
      <w:pPr>
        <w:pStyle w:val="Standard"/>
      </w:pPr>
      <w:r w:rsidRPr="003F3C87">
        <w:t xml:space="preserve">The proposed decision of </w:t>
      </w:r>
      <w:r w:rsidRPr="003F3C87" w:rsidR="0073088F">
        <w:t>ALJ Rajan Mutialu</w:t>
      </w:r>
      <w:r w:rsidRPr="003F3C87">
        <w:t xml:space="preserve"> in this matter was mailed to the parties in accordance with Section 311 of the Public Utilities Code and comments were allowed under Rule 14.3 of the Commission’s Rules of Practice </w:t>
      </w:r>
      <w:r w:rsidRPr="003F3C87">
        <w:lastRenderedPageBreak/>
        <w:t xml:space="preserve">and Procedure.  Comments were filed on </w:t>
      </w:r>
      <w:r w:rsidR="002B6629">
        <w:t>April 13, 2023 by Southern California Edison.</w:t>
      </w:r>
    </w:p>
    <w:p w:rsidRPr="003F3C87" w:rsidR="005939A5" w:rsidP="005939A5" w:rsidRDefault="005939A5" w14:paraId="5E967793" w14:textId="77777777">
      <w:pPr>
        <w:pStyle w:val="Heading1"/>
      </w:pPr>
      <w:bookmarkStart w:name="_Toc8123724" w:id="36"/>
      <w:bookmarkStart w:name="_Toc12866694" w:id="37"/>
      <w:bookmarkStart w:name="_Toc126071052" w:id="38"/>
      <w:r w:rsidRPr="003F3C87">
        <w:t>Assignment of Proceeding</w:t>
      </w:r>
      <w:bookmarkEnd w:id="36"/>
      <w:bookmarkEnd w:id="37"/>
      <w:bookmarkEnd w:id="38"/>
    </w:p>
    <w:p w:rsidRPr="003F3C87" w:rsidR="005939A5" w:rsidP="006E6574" w:rsidRDefault="00CC3732" w14:paraId="4D761BCB" w14:textId="5E40A619">
      <w:pPr>
        <w:pStyle w:val="Standard"/>
      </w:pPr>
      <w:r w:rsidRPr="003F3C87">
        <w:t xml:space="preserve">President </w:t>
      </w:r>
      <w:r w:rsidRPr="003F3C87" w:rsidR="000C634E">
        <w:t xml:space="preserve">Alice </w:t>
      </w:r>
      <w:r w:rsidRPr="003F3C87">
        <w:t>Reynolds</w:t>
      </w:r>
      <w:r w:rsidRPr="003F3C87" w:rsidR="005939A5">
        <w:t xml:space="preserve"> is the assigned Commissioner and </w:t>
      </w:r>
      <w:r w:rsidRPr="003F3C87">
        <w:t>Rajan Mutialu</w:t>
      </w:r>
      <w:r w:rsidRPr="003F3C87" w:rsidR="005939A5">
        <w:t xml:space="preserve"> is the assigned Administrative Law Judge in this proceeding.</w:t>
      </w:r>
    </w:p>
    <w:p w:rsidRPr="003F3C87" w:rsidR="00F62B7A" w:rsidP="004D73AE" w:rsidRDefault="005939A5" w14:paraId="0D060437" w14:textId="4F430BE5">
      <w:pPr>
        <w:pStyle w:val="Dummy"/>
      </w:pPr>
      <w:bookmarkStart w:name="_Toc8123725" w:id="39"/>
      <w:bookmarkStart w:name="_Toc12866695" w:id="40"/>
      <w:bookmarkStart w:name="_Toc126071053" w:id="41"/>
      <w:r w:rsidRPr="003F3C87">
        <w:t>Findings of Fact</w:t>
      </w:r>
      <w:bookmarkEnd w:id="39"/>
      <w:bookmarkEnd w:id="40"/>
      <w:bookmarkEnd w:id="41"/>
    </w:p>
    <w:p w:rsidRPr="003F3C87" w:rsidR="00436518" w:rsidP="008B24C2" w:rsidRDefault="00436518" w14:paraId="1F215BDD" w14:textId="2117C89E">
      <w:pPr>
        <w:pStyle w:val="FoF"/>
        <w:ind w:left="0" w:right="-1440" w:firstLine="360"/>
      </w:pPr>
      <w:r w:rsidRPr="003F3C87">
        <w:t>SCE</w:t>
      </w:r>
      <w:r w:rsidRPr="003F3C87" w:rsidR="000C634E">
        <w:t>’s</w:t>
      </w:r>
      <w:r w:rsidRPr="003F3C87">
        <w:t xml:space="preserve"> wildfire insurance coverage</w:t>
      </w:r>
      <w:r w:rsidRPr="003F3C87" w:rsidR="00185B31">
        <w:t xml:space="preserve"> approved in its General Rate Case</w:t>
      </w:r>
      <w:r w:rsidRPr="003F3C87">
        <w:t xml:space="preserve"> may not be adequate to cover wildfire liability claims between GRCs.</w:t>
      </w:r>
    </w:p>
    <w:p w:rsidRPr="003F3C87" w:rsidR="00A04C01" w:rsidP="008B24C2" w:rsidRDefault="000419CD" w14:paraId="734DEB77" w14:textId="0899B931">
      <w:pPr>
        <w:pStyle w:val="FoF"/>
        <w:ind w:left="0" w:right="-1440" w:firstLine="360"/>
      </w:pPr>
      <w:r w:rsidRPr="003F3C87">
        <w:t>SCE’s 2020 WEMA Application revenue requirements are incremental to those recovered in SCE’s 2018 GRC and the 2019 WEMA Application.</w:t>
      </w:r>
    </w:p>
    <w:p w:rsidRPr="003F3C87" w:rsidR="00436518" w:rsidP="008B24C2" w:rsidRDefault="00436518" w14:paraId="0C623C9C" w14:textId="1A35B230">
      <w:pPr>
        <w:pStyle w:val="FoF"/>
        <w:ind w:left="0" w:firstLine="360"/>
      </w:pPr>
      <w:r w:rsidRPr="003F3C87">
        <w:t xml:space="preserve">SCE purchased incremental wildfire insurance coverage to maintain </w:t>
      </w:r>
      <w:r w:rsidRPr="003F3C87" w:rsidR="0000054E">
        <w:t xml:space="preserve">approximately </w:t>
      </w:r>
      <w:r w:rsidRPr="003F3C87">
        <w:t>$1 billion in wildfire insurance coverage.</w:t>
      </w:r>
    </w:p>
    <w:p w:rsidRPr="000E4847" w:rsidR="008B24C2" w:rsidP="00664E2E" w:rsidRDefault="009A3576" w14:paraId="7B13559F" w14:textId="4DC11B58">
      <w:pPr>
        <w:pStyle w:val="FoF"/>
        <w:ind w:left="0" w:firstLine="360"/>
      </w:pPr>
      <w:r w:rsidRPr="003F3C87">
        <w:t>If SCE cannot meet wildfire liability payment requirements, SCE may need to obtain additional funds from SCE ratepayer</w:t>
      </w:r>
      <w:r w:rsidRPr="003F3C87" w:rsidR="00435DFB">
        <w:t xml:space="preserve">s </w:t>
      </w:r>
      <w:r w:rsidRPr="003F3C87" w:rsidR="000C634E">
        <w:t xml:space="preserve">to pay for wildfire claims </w:t>
      </w:r>
      <w:r w:rsidRPr="003F3C87" w:rsidR="00435DFB">
        <w:t xml:space="preserve">and </w:t>
      </w:r>
      <w:r w:rsidRPr="003F3C87" w:rsidR="000C634E">
        <w:t xml:space="preserve">this </w:t>
      </w:r>
      <w:r w:rsidRPr="003F3C87" w:rsidR="00435DFB">
        <w:t xml:space="preserve">would not serve </w:t>
      </w:r>
      <w:r w:rsidRPr="003F3C87" w:rsidR="000C634E">
        <w:t xml:space="preserve">the interests of </w:t>
      </w:r>
      <w:r w:rsidRPr="003F3C87" w:rsidR="00435DFB">
        <w:t>ratepayer</w:t>
      </w:r>
      <w:r w:rsidRPr="003F3C87" w:rsidR="000C634E">
        <w:t>s</w:t>
      </w:r>
      <w:r w:rsidRPr="003F3C87" w:rsidR="00435DFB">
        <w:t xml:space="preserve"> </w:t>
      </w:r>
      <w:r w:rsidRPr="003F3C87" w:rsidR="000C634E">
        <w:t>or the</w:t>
      </w:r>
      <w:r w:rsidRPr="003F3C87" w:rsidR="00435DFB">
        <w:t xml:space="preserve"> public.</w:t>
      </w:r>
    </w:p>
    <w:p w:rsidR="001F2D3E" w:rsidP="0062480C" w:rsidRDefault="001F2D3E" w14:paraId="408D2C53" w14:textId="21CFE348">
      <w:pPr>
        <w:pStyle w:val="FoF"/>
        <w:ind w:left="0" w:firstLine="360"/>
      </w:pPr>
      <w:r>
        <w:t xml:space="preserve">SCE purchased $207.3 million in incremental wildfire insurance coverage for the July 1, 2020-December 31, 2020 period. </w:t>
      </w:r>
    </w:p>
    <w:p w:rsidR="001F2D3E" w:rsidP="0062480C" w:rsidRDefault="001F2D3E" w14:paraId="3F4F075D" w14:textId="4A359EE5">
      <w:pPr>
        <w:pStyle w:val="FoF"/>
        <w:ind w:left="0" w:firstLine="360"/>
      </w:pPr>
      <w:r>
        <w:t>SCE provided sufficient facts and evidence in the record of the instant proceeding to justify rate recovery of the $207.3 million in wildfire insurance coverage for the July 1, 2020-December 31, 2020 period.</w:t>
      </w:r>
    </w:p>
    <w:p w:rsidRPr="003F3C87" w:rsidR="0062480C" w:rsidP="008B24C2" w:rsidRDefault="0062480C" w14:paraId="4EE95B22" w14:textId="1A6BE63C">
      <w:pPr>
        <w:pStyle w:val="FoF"/>
        <w:ind w:left="0" w:firstLine="360"/>
      </w:pPr>
      <w:r w:rsidRPr="003F3C87">
        <w:t>SCE allocated the $7.2 million SONGS Adjustment to SCE ratepayers on November 7, 2019, before the Commission issued the SCE 2020 WEMA Decision on September 20, 2020.</w:t>
      </w:r>
    </w:p>
    <w:p w:rsidR="00BF0299" w:rsidP="008B24C2" w:rsidRDefault="499EC776" w14:paraId="5FC4D78A" w14:textId="57989AF5">
      <w:pPr>
        <w:pStyle w:val="FoF"/>
        <w:ind w:left="0" w:firstLine="360"/>
      </w:pPr>
      <w:r>
        <w:t>SCE did not</w:t>
      </w:r>
      <w:r w:rsidR="4608CB05">
        <w:t xml:space="preserve"> </w:t>
      </w:r>
      <w:r w:rsidR="45750204">
        <w:t>provide sufficient facts and evidence</w:t>
      </w:r>
      <w:r w:rsidR="00CD57C6">
        <w:t xml:space="preserve"> in the record of the instant proceeding</w:t>
      </w:r>
      <w:r w:rsidR="45750204">
        <w:t xml:space="preserve"> to justify </w:t>
      </w:r>
      <w:r w:rsidR="00CD57C6">
        <w:t xml:space="preserve">reallocation of </w:t>
      </w:r>
      <w:r w:rsidR="45750204">
        <w:t xml:space="preserve">the SONGS </w:t>
      </w:r>
      <w:r w:rsidR="6E40DA4B">
        <w:t>Adjustment</w:t>
      </w:r>
      <w:r w:rsidR="00CD57C6">
        <w:t xml:space="preserve"> to WEMA</w:t>
      </w:r>
      <w:r w:rsidR="6E40DA4B">
        <w:t xml:space="preserve">. </w:t>
      </w:r>
    </w:p>
    <w:p w:rsidRPr="003F3C87" w:rsidR="000E4847" w:rsidP="008B24C2" w:rsidRDefault="000E4847" w14:paraId="68154AC6" w14:textId="77777777">
      <w:pPr>
        <w:pStyle w:val="FoF"/>
        <w:numPr>
          <w:ilvl w:val="0"/>
          <w:numId w:val="0"/>
        </w:numPr>
        <w:ind w:left="547"/>
      </w:pPr>
    </w:p>
    <w:p w:rsidRPr="003F3C87" w:rsidR="00BF0299" w:rsidP="00BF0299" w:rsidRDefault="005939A5" w14:paraId="2E2675C6" w14:textId="5F8744CF">
      <w:pPr>
        <w:pStyle w:val="Dummy"/>
      </w:pPr>
      <w:bookmarkStart w:name="_Toc8123726" w:id="42"/>
      <w:bookmarkStart w:name="_Toc12866696" w:id="43"/>
      <w:bookmarkStart w:name="_Toc126071054" w:id="44"/>
      <w:r w:rsidRPr="003F3C87">
        <w:lastRenderedPageBreak/>
        <w:t>Conclusions of Law</w:t>
      </w:r>
      <w:bookmarkEnd w:id="42"/>
      <w:bookmarkEnd w:id="43"/>
      <w:bookmarkEnd w:id="44"/>
    </w:p>
    <w:p w:rsidR="00864E6E" w:rsidP="008B24C2" w:rsidRDefault="00864E6E" w14:paraId="290DE09A" w14:textId="5F223D51">
      <w:pPr>
        <w:pStyle w:val="CoL"/>
        <w:ind w:left="0" w:firstLine="360"/>
      </w:pPr>
      <w:r w:rsidRPr="000E4847">
        <w:t xml:space="preserve">SCE </w:t>
      </w:r>
      <w:r>
        <w:t xml:space="preserve">must </w:t>
      </w:r>
      <w:r w:rsidRPr="000E4847">
        <w:t xml:space="preserve">demonstrate that it is entitled to the relief sought in this proceeding, including affirmatively establishing the reasonableness of all aspects of its application. </w:t>
      </w:r>
    </w:p>
    <w:p w:rsidR="00864E6E" w:rsidP="00664E2E" w:rsidRDefault="00864E6E" w14:paraId="0402D806" w14:textId="77777777">
      <w:pPr>
        <w:pStyle w:val="CoL"/>
        <w:ind w:left="0" w:firstLine="360"/>
      </w:pPr>
      <w:r>
        <w:t xml:space="preserve">SCE must satisfy its burden of proof to show the reasonableness of costs by a preponderance of evidence, which is evidence that, when weighed with that opposed to it, has more convincing force and greater probability of truth. </w:t>
      </w:r>
    </w:p>
    <w:p w:rsidR="00583700" w:rsidP="008B24C2" w:rsidRDefault="00B44565" w14:paraId="3BF947AD" w14:textId="6C3D6544">
      <w:pPr>
        <w:pStyle w:val="CoL"/>
        <w:ind w:left="0" w:firstLine="360"/>
      </w:pPr>
      <w:r w:rsidRPr="003F3C87">
        <w:t xml:space="preserve">SCE should be authorized to </w:t>
      </w:r>
      <w:r w:rsidRPr="003F3C87" w:rsidR="00242CB9">
        <w:t>recover</w:t>
      </w:r>
      <w:r w:rsidRPr="003F3C87" w:rsidR="008F4305">
        <w:t xml:space="preserve"> </w:t>
      </w:r>
      <w:r w:rsidRPr="003F3C87" w:rsidR="00242CB9">
        <w:t>$207.3 million in wildfire insurance premium costs</w:t>
      </w:r>
      <w:r w:rsidRPr="003F3C87" w:rsidR="00206AAB">
        <w:t xml:space="preserve"> tracked in WEMA from July </w:t>
      </w:r>
      <w:r w:rsidR="001F2D3E">
        <w:t xml:space="preserve">1, </w:t>
      </w:r>
      <w:r w:rsidRPr="003F3C87" w:rsidR="00206AAB">
        <w:t>2020</w:t>
      </w:r>
      <w:r w:rsidRPr="003F3C87" w:rsidR="004127FC">
        <w:t xml:space="preserve"> </w:t>
      </w:r>
      <w:r w:rsidRPr="003F3C87" w:rsidR="00206AAB">
        <w:t>-</w:t>
      </w:r>
      <w:r w:rsidRPr="003F3C87" w:rsidR="004127FC">
        <w:t xml:space="preserve"> </w:t>
      </w:r>
      <w:r w:rsidRPr="003F3C87" w:rsidR="00206AAB">
        <w:t xml:space="preserve">December </w:t>
      </w:r>
      <w:r w:rsidR="001F2D3E">
        <w:t xml:space="preserve">31, </w:t>
      </w:r>
      <w:r w:rsidRPr="003F3C87" w:rsidR="00206AAB">
        <w:t>2020</w:t>
      </w:r>
      <w:r w:rsidRPr="003F3C87" w:rsidR="00242CB9">
        <w:t>, and associated financing</w:t>
      </w:r>
      <w:r w:rsidRPr="003F3C87" w:rsidR="00E843D2">
        <w:t xml:space="preserve"> and </w:t>
      </w:r>
      <w:r w:rsidRPr="003F3C87" w:rsidR="00242CB9">
        <w:t>interest</w:t>
      </w:r>
      <w:r w:rsidRPr="003F3C87" w:rsidR="00E843D2">
        <w:t xml:space="preserve"> costs</w:t>
      </w:r>
      <w:r w:rsidRPr="003F3C87" w:rsidR="00242CB9">
        <w:t>, and F</w:t>
      </w:r>
      <w:r w:rsidRPr="003F3C87" w:rsidR="00E843D2">
        <w:t>FU</w:t>
      </w:r>
      <w:r w:rsidRPr="003F3C87" w:rsidR="00242CB9">
        <w:t xml:space="preserve"> costs</w:t>
      </w:r>
      <w:r w:rsidRPr="003F3C87" w:rsidR="008F4305">
        <w:t xml:space="preserve"> </w:t>
      </w:r>
      <w:r w:rsidRPr="003F3C87" w:rsidR="00242CB9">
        <w:t xml:space="preserve">in customer distribution rates over a 12-month amortization period. </w:t>
      </w:r>
    </w:p>
    <w:p w:rsidR="00AA0890" w:rsidP="008B24C2" w:rsidRDefault="00CF3BA8" w14:paraId="0A1B0F19" w14:textId="687AC2BB">
      <w:pPr>
        <w:pStyle w:val="CoL"/>
        <w:ind w:left="0" w:firstLine="360"/>
      </w:pPr>
      <w:bookmarkStart w:name="_Toc12866697" w:id="45"/>
      <w:r w:rsidRPr="003F3C87">
        <w:t>The Commission</w:t>
      </w:r>
      <w:r w:rsidRPr="003F3C87" w:rsidR="00AA0890">
        <w:t xml:space="preserve"> should </w:t>
      </w:r>
      <w:r w:rsidRPr="003F3C87">
        <w:t xml:space="preserve">deny </w:t>
      </w:r>
      <w:r w:rsidR="00B159F2">
        <w:t xml:space="preserve">without prejudice </w:t>
      </w:r>
      <w:r w:rsidRPr="003F3C87">
        <w:t>SCE’s request to recover the</w:t>
      </w:r>
      <w:r w:rsidRPr="003F3C87" w:rsidR="00EF4066">
        <w:t xml:space="preserve"> SONGS Adjustment</w:t>
      </w:r>
      <w:r w:rsidRPr="003F3C87" w:rsidR="00AA0890">
        <w:t xml:space="preserve"> because it is not reasonable.</w:t>
      </w:r>
    </w:p>
    <w:p w:rsidRPr="003F3C87" w:rsidR="008B24C2" w:rsidP="008B24C2" w:rsidRDefault="008B24C2" w14:paraId="4BB806AD" w14:textId="5A799EFE">
      <w:pPr>
        <w:pStyle w:val="CoL"/>
        <w:ind w:left="0" w:firstLine="360"/>
      </w:pPr>
      <w:r>
        <w:t>This proceeding should be closed.</w:t>
      </w:r>
    </w:p>
    <w:p w:rsidRPr="003F3C87" w:rsidR="00ED3930" w:rsidP="008B24C2" w:rsidRDefault="00ED3930" w14:paraId="299C1AD8" w14:textId="77777777">
      <w:pPr>
        <w:pStyle w:val="CoL"/>
        <w:numPr>
          <w:ilvl w:val="0"/>
          <w:numId w:val="0"/>
        </w:numPr>
        <w:ind w:left="360"/>
      </w:pPr>
    </w:p>
    <w:p w:rsidRPr="003F3C87" w:rsidR="00BF0299" w:rsidP="00B05D58" w:rsidRDefault="00BF0299" w14:paraId="6A530B63" w14:textId="6A547C7B">
      <w:pPr>
        <w:pStyle w:val="CoL"/>
        <w:numPr>
          <w:ilvl w:val="0"/>
          <w:numId w:val="0"/>
        </w:numPr>
        <w:ind w:left="547"/>
      </w:pPr>
    </w:p>
    <w:p w:rsidRPr="003F3C87" w:rsidR="00BB0243" w:rsidP="000A6E05" w:rsidRDefault="005939A5" w14:paraId="7D92242B" w14:textId="77777777">
      <w:pPr>
        <w:pStyle w:val="Mainex"/>
      </w:pPr>
      <w:bookmarkStart w:name="_Toc126071055" w:id="46"/>
      <w:r w:rsidRPr="003F3C87">
        <w:t>O</w:t>
      </w:r>
      <w:r w:rsidRPr="003F3C87" w:rsidR="00722850">
        <w:t>RDER</w:t>
      </w:r>
      <w:bookmarkEnd w:id="45"/>
      <w:bookmarkEnd w:id="46"/>
    </w:p>
    <w:p w:rsidR="00CE492A" w:rsidP="00CE492A" w:rsidRDefault="00BB0243" w14:paraId="355631EE" w14:textId="57FC9175">
      <w:pPr>
        <w:keepNext/>
        <w:ind w:firstLine="360"/>
      </w:pPr>
      <w:r w:rsidRPr="003F3C87">
        <w:rPr>
          <w:b/>
        </w:rPr>
        <w:t>IT IS ORDERED</w:t>
      </w:r>
      <w:r w:rsidRPr="003F3C87">
        <w:t xml:space="preserve"> that</w:t>
      </w:r>
      <w:r w:rsidR="00CE492A">
        <w:t>:</w:t>
      </w:r>
    </w:p>
    <w:p w:rsidRPr="003F3C87" w:rsidR="00850F10" w:rsidP="008B24C2" w:rsidRDefault="00CE492A" w14:paraId="206AAC65" w14:textId="6ED992B0">
      <w:pPr>
        <w:keepNext/>
        <w:ind w:firstLine="180"/>
      </w:pPr>
      <w:r>
        <w:t xml:space="preserve">1. </w:t>
      </w:r>
      <w:r>
        <w:tab/>
      </w:r>
      <w:r w:rsidRPr="003F3C87" w:rsidR="00850F10">
        <w:t xml:space="preserve">Southern California Edison (SCE) is authorized to recover a proposed revenue requirement of $207.3 million for incremental wildfire insurance premiums recorded in SCE’s Commission approved Wildfire Expense Memorandum Account (Insurance WEMA) for the July 2020- December 2020 period as follows: </w:t>
      </w:r>
    </w:p>
    <w:p w:rsidRPr="003F3C87" w:rsidR="00850F10" w:rsidP="003B5977" w:rsidRDefault="00850F10" w14:paraId="37645B16" w14:textId="778DFC18">
      <w:pPr>
        <w:pStyle w:val="OP"/>
        <w:ind w:left="540" w:firstLine="0"/>
      </w:pPr>
      <w:r w:rsidRPr="003F3C87">
        <w:t xml:space="preserve">(a) $204.6 million for insurance premium expense; </w:t>
      </w:r>
    </w:p>
    <w:p w:rsidRPr="003F3C87" w:rsidR="00850F10" w:rsidP="003B5977" w:rsidRDefault="00850F10" w14:paraId="20071DE8" w14:textId="3BF91A0D">
      <w:pPr>
        <w:pStyle w:val="OP"/>
        <w:ind w:left="540" w:firstLine="0"/>
      </w:pPr>
      <w:r w:rsidRPr="003F3C87">
        <w:t xml:space="preserve">(b) $0.2 million for financing costs (at a commercial paper rate); </w:t>
      </w:r>
    </w:p>
    <w:p w:rsidRPr="003F3C87" w:rsidR="00850F10" w:rsidP="003B5977" w:rsidRDefault="00850F10" w14:paraId="4C1308A0" w14:textId="3D5EA91F">
      <w:pPr>
        <w:pStyle w:val="OP"/>
        <w:ind w:left="540" w:firstLine="0"/>
      </w:pPr>
      <w:r w:rsidRPr="003F3C87">
        <w:t xml:space="preserve">(c) $0.1 million for memorandum account interest; and </w:t>
      </w:r>
    </w:p>
    <w:p w:rsidR="00DD6C6F" w:rsidP="00DD6C6F" w:rsidRDefault="00850F10" w14:paraId="66C4E7D5" w14:textId="0F6514BE">
      <w:pPr>
        <w:pStyle w:val="OP"/>
        <w:ind w:firstLine="270"/>
      </w:pPr>
      <w:r w:rsidRPr="003F3C87">
        <w:lastRenderedPageBreak/>
        <w:t xml:space="preserve">(d) $2.4 million for franchise fees and uncollectibles. </w:t>
      </w:r>
    </w:p>
    <w:p w:rsidR="008B24C2" w:rsidP="00664E2E" w:rsidRDefault="00CD57C6" w14:paraId="3DA43EA2" w14:textId="77777777">
      <w:pPr>
        <w:pStyle w:val="OP"/>
        <w:ind w:firstLine="180"/>
      </w:pPr>
      <w:r>
        <w:rPr>
          <w:szCs w:val="26"/>
        </w:rPr>
        <w:t xml:space="preserve">2. </w:t>
      </w:r>
      <w:r w:rsidR="00DD6C6F">
        <w:rPr>
          <w:szCs w:val="26"/>
        </w:rPr>
        <w:tab/>
      </w:r>
      <w:r w:rsidRPr="003F3C87" w:rsidR="000546AE">
        <w:rPr>
          <w:szCs w:val="26"/>
        </w:rPr>
        <w:t xml:space="preserve">Southern California Edison is authorized to transfer the recorded balance of $207.3 million </w:t>
      </w:r>
      <w:r w:rsidRPr="003F3C87" w:rsidR="000546AE">
        <w:t>from the Wildfire Expense Memorandum Account for the July</w:t>
      </w:r>
      <w:r w:rsidRPr="003F3C87" w:rsidR="004127FC">
        <w:t> </w:t>
      </w:r>
      <w:r w:rsidRPr="003F3C87" w:rsidR="000546AE">
        <w:t>2020</w:t>
      </w:r>
      <w:r w:rsidRPr="003F3C87" w:rsidR="004127FC">
        <w:t xml:space="preserve"> </w:t>
      </w:r>
      <w:r w:rsidRPr="003F3C87" w:rsidR="000546AE">
        <w:t>-</w:t>
      </w:r>
      <w:r w:rsidRPr="003F3C87" w:rsidR="004127FC">
        <w:t xml:space="preserve"> </w:t>
      </w:r>
      <w:r w:rsidRPr="003F3C87" w:rsidR="000546AE">
        <w:t>December 2020 period, and associated financial and interest costs, and franchise fees and uncollectibles to the Base Revenue Requirement Balancing Account for recovery in distribution rates and amortize it over a 12-month period.</w:t>
      </w:r>
    </w:p>
    <w:p w:rsidR="008B24C2" w:rsidP="008B24C2" w:rsidRDefault="008B24C2" w14:paraId="7085815A" w14:textId="3DAD5E96">
      <w:pPr>
        <w:pStyle w:val="OP"/>
        <w:ind w:firstLine="270"/>
      </w:pPr>
      <w:r>
        <w:t>3.</w:t>
      </w:r>
      <w:r>
        <w:tab/>
      </w:r>
      <w:r w:rsidRPr="003F3C87">
        <w:t xml:space="preserve">SCE’s request to </w:t>
      </w:r>
      <w:r>
        <w:t>collect the SONGS Adjustment is denied</w:t>
      </w:r>
      <w:r w:rsidR="00B159F2">
        <w:t xml:space="preserve"> without prejudice</w:t>
      </w:r>
      <w:r>
        <w:t>.</w:t>
      </w:r>
    </w:p>
    <w:p w:rsidR="00664E2E" w:rsidP="008B24C2" w:rsidRDefault="00664E2E" w14:paraId="5B379E43" w14:textId="0BB9E501">
      <w:pPr>
        <w:pStyle w:val="OP"/>
        <w:ind w:firstLine="270"/>
      </w:pPr>
      <w:r>
        <w:t>4.    Application A.20-12-010 is closed.</w:t>
      </w:r>
    </w:p>
    <w:p w:rsidRPr="003F3C87" w:rsidR="005427C6" w:rsidP="00664E2E" w:rsidRDefault="005427C6" w14:paraId="48F2C106" w14:textId="464B0536">
      <w:pPr>
        <w:pStyle w:val="CoL"/>
        <w:numPr>
          <w:ilvl w:val="0"/>
          <w:numId w:val="0"/>
        </w:numPr>
        <w:ind w:left="4770" w:right="-90" w:hanging="3960"/>
      </w:pPr>
    </w:p>
    <w:p w:rsidRPr="003F3C87" w:rsidR="008F0116" w:rsidP="008F0116" w:rsidRDefault="008F0116" w14:paraId="48547C0F" w14:textId="77777777">
      <w:r w:rsidRPr="003F3C87">
        <w:t>This order is effective today.</w:t>
      </w:r>
    </w:p>
    <w:p w:rsidRPr="00714CF2" w:rsidR="00714CF2" w:rsidP="006F6525" w:rsidRDefault="008F0116" w14:paraId="6C281B78" w14:textId="77777777">
      <w:r w:rsidRPr="003F3C87">
        <w:t xml:space="preserve">Dated </w:t>
      </w:r>
      <w:r w:rsidRPr="003F3C87">
        <w:rPr>
          <w:u w:val="single"/>
        </w:rPr>
        <w:tab/>
      </w:r>
      <w:r w:rsidRPr="003F3C87">
        <w:rPr>
          <w:u w:val="single"/>
        </w:rPr>
        <w:tab/>
      </w:r>
      <w:r w:rsidRPr="003F3C87">
        <w:rPr>
          <w:u w:val="single"/>
        </w:rPr>
        <w:tab/>
      </w:r>
      <w:r w:rsidRPr="003F3C87">
        <w:rPr>
          <w:u w:val="single"/>
        </w:rPr>
        <w:tab/>
      </w:r>
      <w:r w:rsidRPr="003F3C87">
        <w:rPr>
          <w:u w:val="single"/>
        </w:rPr>
        <w:tab/>
      </w:r>
      <w:r w:rsidRPr="003F3C87">
        <w:t>, at San Francisco, California</w:t>
      </w:r>
      <w:r w:rsidRPr="003F3C87" w:rsidR="00FF110C">
        <w:t>.</w:t>
      </w:r>
    </w:p>
    <w:sectPr w:rsidRPr="00714CF2" w:rsidR="00714CF2" w:rsidSect="00A152A2">
      <w:pgSz w:w="12240" w:h="15840"/>
      <w:pgMar w:top="1728" w:right="1440" w:bottom="1440" w:left="1440" w:header="720" w:footer="720" w:gutter="0"/>
      <w:cols w:space="720"/>
      <w:titlePg/>
      <w:docGrid w:linePitch="360"/>
    </w:sectPr>
    <w:p>
      <w:r>
        <w:t xml:space="preserve"/>
      </w:r>
    </w:p>
    <w:p>
      <w:r>
        <w:t xml:space="preserve">Attachment 1: </w:t>
      </w:r>
    </w:p>
    <w:p>
      <w:hyperlink w:history="true" r:id="R45c7fc1970f5427e">
        <w:r w:rsidRPr="00CB1292">
          <w:rPr>
            <w:rStyle w:val="Hyperlink"/>
            <w:color w:val="2E74B5" w:themeColor="accent1" w:themeShade="BF"/>
            <w:u w:val="single"/>
          </w:rPr>
          <w:t>(Redline) A.20-12-010 Decision Authorizing Insurance Cost Recovery.pdf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8E28" w14:textId="77777777" w:rsidR="004A2A0E" w:rsidRDefault="004A2A0E" w:rsidP="0098138E">
      <w:pPr>
        <w:spacing w:line="240" w:lineRule="auto"/>
      </w:pPr>
      <w:r>
        <w:separator/>
      </w:r>
    </w:p>
  </w:endnote>
  <w:endnote w:type="continuationSeparator" w:id="0">
    <w:p w14:paraId="0449CE29" w14:textId="77777777" w:rsidR="004A2A0E" w:rsidRDefault="004A2A0E" w:rsidP="0098138E">
      <w:pPr>
        <w:spacing w:line="240" w:lineRule="auto"/>
      </w:pPr>
      <w:r>
        <w:continuationSeparator/>
      </w:r>
    </w:p>
  </w:endnote>
  <w:endnote w:type="continuationNotice" w:id="1">
    <w:p w14:paraId="4C8A6779" w14:textId="77777777" w:rsidR="004A2A0E" w:rsidRDefault="004A2A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Symbo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7806" w14:textId="444DE6C4" w:rsidR="00A152A2" w:rsidRDefault="004677CB" w:rsidP="006F6525">
    <w:pPr>
      <w:tabs>
        <w:tab w:val="center" w:pos="4680"/>
      </w:tabs>
      <w:ind w:firstLine="0"/>
    </w:pPr>
    <w:r w:rsidRPr="004677CB">
      <w:rPr>
        <w:rFonts w:cs="Arial"/>
        <w:sz w:val="16"/>
        <w:szCs w:val="16"/>
      </w:rPr>
      <w:t>507213733</w:t>
    </w:r>
    <w:r w:rsidR="00A152A2">
      <w:rPr>
        <w:rFonts w:ascii="Arial" w:hAnsi="Arial" w:cs="Arial"/>
        <w:sz w:val="16"/>
        <w:szCs w:val="16"/>
      </w:rPr>
      <w:tab/>
    </w:r>
    <w:r w:rsidR="00A152A2">
      <w:fldChar w:fldCharType="begin"/>
    </w:r>
    <w:r w:rsidR="00A152A2">
      <w:instrText xml:space="preserve"> PAGE  \* ArabicDash  \* MERGEFORMAT </w:instrText>
    </w:r>
    <w:r w:rsidR="00A152A2">
      <w:fldChar w:fldCharType="separate"/>
    </w:r>
    <w:r w:rsidR="00A152A2">
      <w:rPr>
        <w:noProof/>
      </w:rPr>
      <w:t>- 2 -</w:t>
    </w:r>
    <w:r w:rsidR="00A152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9AFC" w14:textId="77777777" w:rsidR="006F6525" w:rsidRDefault="006F6525" w:rsidP="006F6525">
    <w:pPr>
      <w:tabs>
        <w:tab w:val="center" w:pos="4680"/>
      </w:tabs>
      <w:ind w:firstLine="0"/>
      <w:jc w:val="center"/>
    </w:pPr>
    <w:r>
      <w:fldChar w:fldCharType="begin"/>
    </w:r>
    <w:r>
      <w:instrText xml:space="preserve"> PAGE  \* ArabicDash  \* MERGEFORMAT </w:instrText>
    </w:r>
    <w:r>
      <w:fldChar w:fldCharType="separate"/>
    </w:r>
    <w:r>
      <w:rPr>
        <w:noProof/>
      </w:rPr>
      <w:t>- 2 -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E25B" w14:textId="1038D85B" w:rsidR="00A152A2" w:rsidRDefault="00A152A2" w:rsidP="00A152A2">
    <w:pPr>
      <w:pStyle w:val="Footer"/>
      <w:ind w:firstLine="0"/>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p w14:paraId="03D57290" w14:textId="77777777" w:rsidR="00A152A2" w:rsidRDefault="00A1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7DB4" w14:textId="77777777" w:rsidR="004A2A0E" w:rsidRDefault="004A2A0E" w:rsidP="00DF58E7">
      <w:pPr>
        <w:spacing w:line="240" w:lineRule="auto"/>
        <w:ind w:firstLine="0"/>
      </w:pPr>
      <w:r>
        <w:separator/>
      </w:r>
    </w:p>
  </w:footnote>
  <w:footnote w:type="continuationSeparator" w:id="0">
    <w:p w14:paraId="6BDFC4C5" w14:textId="77777777" w:rsidR="004A2A0E" w:rsidRDefault="004A2A0E" w:rsidP="00DF58E7">
      <w:pPr>
        <w:spacing w:line="240" w:lineRule="auto"/>
        <w:ind w:firstLine="0"/>
      </w:pPr>
      <w:r>
        <w:continuationSeparator/>
      </w:r>
    </w:p>
  </w:footnote>
  <w:footnote w:type="continuationNotice" w:id="1">
    <w:p w14:paraId="66EB83EC" w14:textId="77777777" w:rsidR="004A2A0E" w:rsidRPr="00DF58E7" w:rsidRDefault="004A2A0E" w:rsidP="00DF58E7">
      <w:pPr>
        <w:spacing w:line="240" w:lineRule="auto"/>
        <w:ind w:firstLine="0"/>
        <w:jc w:val="right"/>
        <w:rPr>
          <w:i/>
          <w:sz w:val="22"/>
        </w:rPr>
      </w:pPr>
      <w:r w:rsidRPr="00DF58E7">
        <w:rPr>
          <w:i/>
          <w:sz w:val="22"/>
        </w:rPr>
        <w:t>Footnote continued on next page.</w:t>
      </w:r>
    </w:p>
  </w:footnote>
  <w:footnote w:id="2">
    <w:p w14:paraId="547D87E3" w14:textId="14E5E84F" w:rsidR="00DA254B" w:rsidRDefault="00DA254B">
      <w:pPr>
        <w:pStyle w:val="FootnoteText"/>
      </w:pPr>
      <w:r>
        <w:rPr>
          <w:rStyle w:val="FootnoteReference"/>
        </w:rPr>
        <w:footnoteRef/>
      </w:r>
      <w:r>
        <w:t xml:space="preserve"> A.18-04-011 at</w:t>
      </w:r>
      <w:r w:rsidR="0011248C">
        <w:t xml:space="preserve"> 3</w:t>
      </w:r>
      <w:r w:rsidR="00AF3775">
        <w:t>.</w:t>
      </w:r>
    </w:p>
  </w:footnote>
  <w:footnote w:id="3">
    <w:p w14:paraId="1DDC42C2" w14:textId="42B730E6" w:rsidR="00924B95" w:rsidRDefault="00924B95">
      <w:pPr>
        <w:pStyle w:val="FootnoteText"/>
      </w:pPr>
      <w:r>
        <w:rPr>
          <w:rStyle w:val="FootnoteReference"/>
        </w:rPr>
        <w:footnoteRef/>
      </w:r>
      <w:r>
        <w:t xml:space="preserve"> D.18-11-051 F</w:t>
      </w:r>
      <w:r w:rsidR="00A7288F">
        <w:t>inding of Fact</w:t>
      </w:r>
      <w:r>
        <w:t xml:space="preserve"> 4 at 10</w:t>
      </w:r>
      <w:r w:rsidR="00AF3775">
        <w:t>.</w:t>
      </w:r>
    </w:p>
  </w:footnote>
  <w:footnote w:id="4">
    <w:p w14:paraId="600A186C" w14:textId="18BE3CA7" w:rsidR="00886599" w:rsidRDefault="00886599">
      <w:pPr>
        <w:pStyle w:val="FootnoteText"/>
      </w:pPr>
      <w:r>
        <w:rPr>
          <w:rStyle w:val="FootnoteReference"/>
        </w:rPr>
        <w:footnoteRef/>
      </w:r>
      <w:r>
        <w:t xml:space="preserve"> </w:t>
      </w:r>
      <w:r w:rsidRPr="00BF3A4E">
        <w:t>D.18-11-051</w:t>
      </w:r>
      <w:r w:rsidR="008C4032">
        <w:t xml:space="preserve"> at</w:t>
      </w:r>
      <w:r w:rsidR="007F77EC">
        <w:t xml:space="preserve"> 6</w:t>
      </w:r>
      <w:r w:rsidR="00AF3775">
        <w:t>.</w:t>
      </w:r>
    </w:p>
  </w:footnote>
  <w:footnote w:id="5">
    <w:p w14:paraId="7E733D4A" w14:textId="6C40F013" w:rsidR="004F2958" w:rsidRDefault="004F2958">
      <w:pPr>
        <w:pStyle w:val="FootnoteText"/>
      </w:pPr>
      <w:r>
        <w:rPr>
          <w:rStyle w:val="FootnoteReference"/>
        </w:rPr>
        <w:footnoteRef/>
      </w:r>
      <w:r>
        <w:t xml:space="preserve"> A.19-07-020 at </w:t>
      </w:r>
      <w:r w:rsidR="000D0AF1">
        <w:t>1</w:t>
      </w:r>
      <w:r w:rsidR="00B86365">
        <w:t>.</w:t>
      </w:r>
    </w:p>
  </w:footnote>
  <w:footnote w:id="6">
    <w:p w14:paraId="4B574157" w14:textId="68963AC3" w:rsidR="0069556A" w:rsidRDefault="0069556A">
      <w:pPr>
        <w:pStyle w:val="FootnoteText"/>
      </w:pPr>
      <w:r>
        <w:rPr>
          <w:rStyle w:val="FootnoteReference"/>
        </w:rPr>
        <w:footnoteRef/>
      </w:r>
      <w:r>
        <w:t xml:space="preserve"> A.19-07-020 at 8</w:t>
      </w:r>
      <w:r w:rsidR="00B86365">
        <w:t>.</w:t>
      </w:r>
    </w:p>
  </w:footnote>
  <w:footnote w:id="7">
    <w:p w14:paraId="0CE2A510" w14:textId="290AF2F4" w:rsidR="00A27F65" w:rsidRDefault="00A27F65">
      <w:pPr>
        <w:pStyle w:val="FootnoteText"/>
      </w:pPr>
      <w:r>
        <w:rPr>
          <w:rStyle w:val="FootnoteReference"/>
        </w:rPr>
        <w:footnoteRef/>
      </w:r>
      <w:r>
        <w:t xml:space="preserve"> SCE is a 75.74% co-participant in the decommissioning of SONGS. According to SCE, SONG</w:t>
      </w:r>
      <w:r w:rsidR="00BF601E">
        <w:t>S</w:t>
      </w:r>
      <w:r>
        <w:t xml:space="preserve"> general liability costs would be shared according to ownership percentage.</w:t>
      </w:r>
    </w:p>
  </w:footnote>
  <w:footnote w:id="8">
    <w:p w14:paraId="36071492" w14:textId="34495D84" w:rsidR="006963AD" w:rsidRDefault="006963AD">
      <w:pPr>
        <w:pStyle w:val="FootnoteText"/>
      </w:pPr>
      <w:r>
        <w:rPr>
          <w:rStyle w:val="FootnoteReference"/>
        </w:rPr>
        <w:footnoteRef/>
      </w:r>
      <w:r>
        <w:t xml:space="preserve"> A.19-07-020 SCE Rebuttal Testimony-01 at 33</w:t>
      </w:r>
      <w:r w:rsidR="00B86365">
        <w:t>.</w:t>
      </w:r>
    </w:p>
  </w:footnote>
  <w:footnote w:id="9">
    <w:p w14:paraId="35351E00" w14:textId="7E3AE3FD" w:rsidR="002B5CB1" w:rsidRDefault="002B5CB1">
      <w:pPr>
        <w:pStyle w:val="FootnoteText"/>
      </w:pPr>
      <w:r>
        <w:rPr>
          <w:rStyle w:val="FootnoteReference"/>
        </w:rPr>
        <w:footnoteRef/>
      </w:r>
      <w:r>
        <w:t xml:space="preserve"> D.20-09-024 at 59</w:t>
      </w:r>
      <w:r w:rsidR="00B86365">
        <w:t>.</w:t>
      </w:r>
    </w:p>
  </w:footnote>
  <w:footnote w:id="10">
    <w:p w14:paraId="6C41658F" w14:textId="1C18CB45" w:rsidR="005738D7" w:rsidRDefault="005738D7">
      <w:pPr>
        <w:pStyle w:val="FootnoteText"/>
      </w:pPr>
      <w:r>
        <w:rPr>
          <w:rStyle w:val="FootnoteReference"/>
        </w:rPr>
        <w:footnoteRef/>
      </w:r>
      <w:r>
        <w:t xml:space="preserve"> D.20-09-024 at 44</w:t>
      </w:r>
      <w:r w:rsidR="00B86365">
        <w:t>.</w:t>
      </w:r>
    </w:p>
  </w:footnote>
  <w:footnote w:id="11">
    <w:p w14:paraId="6B138901" w14:textId="5CDF647A" w:rsidR="00614B09" w:rsidRDefault="00614B09">
      <w:pPr>
        <w:pStyle w:val="FootnoteText"/>
      </w:pPr>
      <w:r>
        <w:rPr>
          <w:rStyle w:val="FootnoteReference"/>
        </w:rPr>
        <w:footnoteRef/>
      </w:r>
      <w:r>
        <w:t xml:space="preserve"> D.20-09-024 Finding of Fact 63 at 68</w:t>
      </w:r>
      <w:r w:rsidR="00B86365">
        <w:t>.</w:t>
      </w:r>
    </w:p>
  </w:footnote>
  <w:footnote w:id="12">
    <w:p w14:paraId="00B6CFC2" w14:textId="7185AE52" w:rsidR="00C94EA7" w:rsidRDefault="00C94EA7">
      <w:pPr>
        <w:pStyle w:val="FootnoteText"/>
      </w:pPr>
      <w:r>
        <w:rPr>
          <w:rStyle w:val="FootnoteReference"/>
        </w:rPr>
        <w:footnoteRef/>
      </w:r>
      <w:r>
        <w:t xml:space="preserve"> Pursuant to SCE’s 2018 GRC Decision (D.19-05-028) at 270, SCE utilized a Commission authorized factor to calculate the $7.2 million CPUC-jurisdictional SONGS Adjustment. Based on SCE’s calculation, $0.5 million in costs were Federal Regulatory Commission (FERC)</w:t>
      </w:r>
      <w:r w:rsidR="004127FC">
        <w:t xml:space="preserve"> </w:t>
      </w:r>
      <w:r>
        <w:t>-jurisdictional. The CPUC and FERC-jurisdictional costs when combined with the $1.3 million in costs assumed by SONGS co-owners total $9 million.</w:t>
      </w:r>
    </w:p>
  </w:footnote>
  <w:footnote w:id="13">
    <w:p w14:paraId="090D462E" w14:textId="665CCDCB" w:rsidR="00B37134" w:rsidRDefault="00B37134">
      <w:pPr>
        <w:pStyle w:val="FootnoteText"/>
      </w:pPr>
      <w:r>
        <w:rPr>
          <w:rStyle w:val="FootnoteReference"/>
        </w:rPr>
        <w:footnoteRef/>
      </w:r>
      <w:r>
        <w:t xml:space="preserve"> Exhibit SCE-0001 at 24.</w:t>
      </w:r>
    </w:p>
  </w:footnote>
  <w:footnote w:id="14">
    <w:p w14:paraId="70F5F722" w14:textId="4B35F438" w:rsidR="00BF601E" w:rsidRDefault="00BF601E" w:rsidP="00BF601E">
      <w:pPr>
        <w:pStyle w:val="FootnoteText"/>
      </w:pPr>
      <w:r>
        <w:rPr>
          <w:rStyle w:val="FootnoteReference"/>
        </w:rPr>
        <w:footnoteRef/>
      </w:r>
      <w:r>
        <w:t xml:space="preserve"> A.20-12-010 at 3</w:t>
      </w:r>
      <w:r w:rsidR="00000592">
        <w:t>.</w:t>
      </w:r>
    </w:p>
  </w:footnote>
  <w:footnote w:id="15">
    <w:p w14:paraId="189F513B" w14:textId="6FE6EA59" w:rsidR="007613F1" w:rsidRDefault="007613F1">
      <w:pPr>
        <w:pStyle w:val="FootnoteText"/>
      </w:pPr>
      <w:r>
        <w:rPr>
          <w:rStyle w:val="FootnoteReference"/>
        </w:rPr>
        <w:footnoteRef/>
      </w:r>
      <w:r>
        <w:t xml:space="preserve"> </w:t>
      </w:r>
      <w:r w:rsidR="009301D2">
        <w:t>Exhibit SCE</w:t>
      </w:r>
      <w:r w:rsidR="007620AE">
        <w:t>-00</w:t>
      </w:r>
      <w:r w:rsidR="009301D2">
        <w:t>01</w:t>
      </w:r>
      <w:r w:rsidR="007620AE">
        <w:t xml:space="preserve"> </w:t>
      </w:r>
      <w:r>
        <w:t>at 4.</w:t>
      </w:r>
    </w:p>
  </w:footnote>
  <w:footnote w:id="16">
    <w:p w14:paraId="41FF61B0" w14:textId="3F5B807A" w:rsidR="00592EB9" w:rsidRPr="002526C1" w:rsidRDefault="00592EB9" w:rsidP="002526C1">
      <w:pPr>
        <w:autoSpaceDE w:val="0"/>
        <w:autoSpaceDN w:val="0"/>
        <w:adjustRightInd w:val="0"/>
        <w:spacing w:line="240" w:lineRule="auto"/>
        <w:ind w:firstLine="0"/>
        <w:rPr>
          <w:rFonts w:cs="TimesNewRomanPSMT"/>
          <w:sz w:val="22"/>
        </w:rPr>
      </w:pPr>
      <w:r w:rsidRPr="007234F6">
        <w:rPr>
          <w:rStyle w:val="FootnoteReference"/>
          <w:sz w:val="22"/>
        </w:rPr>
        <w:footnoteRef/>
      </w:r>
      <w:r w:rsidRPr="007234F6">
        <w:rPr>
          <w:sz w:val="22"/>
        </w:rPr>
        <w:t xml:space="preserve"> </w:t>
      </w:r>
      <w:r>
        <w:rPr>
          <w:sz w:val="22"/>
        </w:rPr>
        <w:t xml:space="preserve">Per </w:t>
      </w:r>
      <w:r w:rsidR="007620AE">
        <w:rPr>
          <w:sz w:val="22"/>
        </w:rPr>
        <w:t xml:space="preserve">Exhibit SCE-0001 </w:t>
      </w:r>
      <w:r>
        <w:rPr>
          <w:sz w:val="22"/>
        </w:rPr>
        <w:t>Footnote 41 at 21</w:t>
      </w:r>
      <w:r w:rsidRPr="007234F6">
        <w:rPr>
          <w:sz w:val="22"/>
        </w:rPr>
        <w:t>, SCE is</w:t>
      </w:r>
      <w:r w:rsidRPr="007234F6">
        <w:rPr>
          <w:rFonts w:cs="TimesNewRomanPSMT"/>
          <w:sz w:val="22"/>
        </w:rPr>
        <w:t xml:space="preserve"> responsible for 80% of the decommissioning costs for SONGS Unit 1, 75.7363% of costs for SONGS</w:t>
      </w:r>
      <w:r w:rsidR="002526C1">
        <w:rPr>
          <w:rFonts w:cs="TimesNewRomanPSMT"/>
          <w:sz w:val="22"/>
        </w:rPr>
        <w:t xml:space="preserve"> </w:t>
      </w:r>
      <w:r w:rsidRPr="002526C1">
        <w:rPr>
          <w:rFonts w:cs="TimesNewRomanPSMT"/>
          <w:sz w:val="22"/>
        </w:rPr>
        <w:t>Unit 2, and 75.7475% of SONGS Unit 3.</w:t>
      </w:r>
    </w:p>
  </w:footnote>
  <w:footnote w:id="17">
    <w:p w14:paraId="20F50D4D" w14:textId="4E460788" w:rsidR="00AE0C81" w:rsidRDefault="00AE0C81" w:rsidP="00AE0C81">
      <w:pPr>
        <w:pStyle w:val="FootnoteText"/>
      </w:pPr>
      <w:r>
        <w:rPr>
          <w:rStyle w:val="FootnoteReference"/>
        </w:rPr>
        <w:footnoteRef/>
      </w:r>
      <w:r>
        <w:t xml:space="preserve"> </w:t>
      </w:r>
      <w:r w:rsidR="00D50142">
        <w:t>Exhibit SCE-0001</w:t>
      </w:r>
      <w:r>
        <w:t xml:space="preserve"> at 21</w:t>
      </w:r>
      <w:r w:rsidR="00B86365">
        <w:t>.</w:t>
      </w:r>
    </w:p>
  </w:footnote>
  <w:footnote w:id="18">
    <w:p w14:paraId="462B53AF" w14:textId="2D4F4A35" w:rsidR="00C95CE8" w:rsidRDefault="00C95CE8">
      <w:pPr>
        <w:pStyle w:val="FootnoteText"/>
      </w:pPr>
      <w:r>
        <w:rPr>
          <w:rStyle w:val="FootnoteReference"/>
        </w:rPr>
        <w:footnoteRef/>
      </w:r>
      <w:r>
        <w:t xml:space="preserve"> Cal Advocates’ Protest at </w:t>
      </w:r>
      <w:r w:rsidR="00BF601E">
        <w:t>3.</w:t>
      </w:r>
    </w:p>
  </w:footnote>
  <w:footnote w:id="19">
    <w:p w14:paraId="06CED364" w14:textId="4CA4B476" w:rsidR="00C95CE8" w:rsidRDefault="00C95CE8">
      <w:pPr>
        <w:pStyle w:val="FootnoteText"/>
      </w:pPr>
      <w:r>
        <w:rPr>
          <w:rStyle w:val="FootnoteReference"/>
        </w:rPr>
        <w:footnoteRef/>
      </w:r>
      <w:r>
        <w:t xml:space="preserve"> SCE Reply to Protest </w:t>
      </w:r>
      <w:r w:rsidR="008B5B1A">
        <w:t xml:space="preserve">of </w:t>
      </w:r>
      <w:r w:rsidR="00D6547C">
        <w:t>Cal Advocates</w:t>
      </w:r>
      <w:r w:rsidR="00B86365">
        <w:t>.</w:t>
      </w:r>
      <w:r w:rsidR="008B5B1A">
        <w:t xml:space="preserve"> </w:t>
      </w:r>
    </w:p>
  </w:footnote>
  <w:footnote w:id="20">
    <w:p w14:paraId="114DC823" w14:textId="7663CD7A" w:rsidR="00890FE4" w:rsidRDefault="00890FE4">
      <w:pPr>
        <w:pStyle w:val="FootnoteText"/>
      </w:pPr>
      <w:r>
        <w:rPr>
          <w:rStyle w:val="FootnoteReference"/>
        </w:rPr>
        <w:footnoteRef/>
      </w:r>
      <w:r>
        <w:t xml:space="preserve"> A.20-12-010 Pre-Hearing Conference </w:t>
      </w:r>
      <w:r w:rsidR="00000592">
        <w:t>RT</w:t>
      </w:r>
      <w:r>
        <w:t xml:space="preserve"> </w:t>
      </w:r>
      <w:r w:rsidR="00000592">
        <w:t>9:</w:t>
      </w:r>
      <w:r w:rsidR="000F6904">
        <w:t>11,</w:t>
      </w:r>
      <w:r w:rsidR="009E6C7D">
        <w:t xml:space="preserve"> February 25, 2021</w:t>
      </w:r>
    </w:p>
  </w:footnote>
  <w:footnote w:id="21">
    <w:p w14:paraId="6B75B2CA" w14:textId="4945F840" w:rsidR="00216F43" w:rsidRDefault="00216F43" w:rsidP="00216F43">
      <w:pPr>
        <w:pStyle w:val="FootnoteText"/>
      </w:pPr>
      <w:r>
        <w:rPr>
          <w:rStyle w:val="FootnoteReference"/>
        </w:rPr>
        <w:footnoteRef/>
      </w:r>
      <w:r>
        <w:t xml:space="preserve"> </w:t>
      </w:r>
      <w:r w:rsidR="00AA74BF">
        <w:t>Exhibit PAO-0100 (</w:t>
      </w:r>
      <w:r>
        <w:t>Cal Advocates Report on the Results of Examination of SCE’s WEMA Related to the July 2020 -</w:t>
      </w:r>
      <w:r w:rsidR="004127FC">
        <w:t xml:space="preserve"> </w:t>
      </w:r>
      <w:r>
        <w:t>December 2020 Wildfire Insurance Premiums</w:t>
      </w:r>
      <w:r w:rsidR="00AA74BF">
        <w:t>)</w:t>
      </w:r>
      <w:r>
        <w:t xml:space="preserve"> at 4.</w:t>
      </w:r>
    </w:p>
  </w:footnote>
  <w:footnote w:id="22">
    <w:p w14:paraId="2184D437" w14:textId="6695EE67" w:rsidR="00216F43" w:rsidRDefault="00216F43" w:rsidP="00216F43">
      <w:pPr>
        <w:pStyle w:val="FootnoteText"/>
      </w:pPr>
      <w:r>
        <w:rPr>
          <w:rStyle w:val="FootnoteReference"/>
        </w:rPr>
        <w:footnoteRef/>
      </w:r>
      <w:r>
        <w:t xml:space="preserve"> </w:t>
      </w:r>
      <w:r w:rsidR="00D50142">
        <w:t>Exhibit SCE-0002</w:t>
      </w:r>
      <w:r>
        <w:t>.</w:t>
      </w:r>
    </w:p>
  </w:footnote>
  <w:footnote w:id="23">
    <w:p w14:paraId="4095EF57" w14:textId="75C89E04" w:rsidR="00DE33AF" w:rsidRDefault="00DE33AF">
      <w:pPr>
        <w:pStyle w:val="FootnoteText"/>
      </w:pPr>
      <w:r>
        <w:rPr>
          <w:rStyle w:val="FootnoteReference"/>
        </w:rPr>
        <w:footnoteRef/>
      </w:r>
      <w:r>
        <w:t xml:space="preserve"> E-Mail </w:t>
      </w:r>
      <w:r w:rsidR="00B86365">
        <w:t xml:space="preserve">ALJ </w:t>
      </w:r>
      <w:r>
        <w:t>Ruling Setting Status Conference &amp; Joint Status Report Deadline</w:t>
      </w:r>
      <w:r w:rsidR="00000592">
        <w:t xml:space="preserve">, </w:t>
      </w:r>
      <w:r>
        <w:t>July 9, 2021</w:t>
      </w:r>
      <w:r w:rsidR="00B86365">
        <w:t>.</w:t>
      </w:r>
    </w:p>
  </w:footnote>
  <w:footnote w:id="24">
    <w:p w14:paraId="3AFC2C8D" w14:textId="20E7C148" w:rsidR="00FE0673" w:rsidRDefault="00FE0673">
      <w:pPr>
        <w:pStyle w:val="FootnoteText"/>
      </w:pPr>
      <w:r>
        <w:rPr>
          <w:rStyle w:val="FootnoteReference"/>
        </w:rPr>
        <w:footnoteRef/>
      </w:r>
      <w:r>
        <w:t xml:space="preserve"> Assigned Commissioner’s Scoping Ruling July 13, 2021</w:t>
      </w:r>
      <w:r w:rsidR="00B86365">
        <w:t>.</w:t>
      </w:r>
    </w:p>
  </w:footnote>
  <w:footnote w:id="25">
    <w:p w14:paraId="34954CB4" w14:textId="4643B4B0" w:rsidR="00AF17F5" w:rsidRDefault="00AF17F5">
      <w:pPr>
        <w:pStyle w:val="FootnoteText"/>
      </w:pPr>
      <w:r>
        <w:rPr>
          <w:rStyle w:val="FootnoteReference"/>
        </w:rPr>
        <w:footnoteRef/>
      </w:r>
      <w:r>
        <w:t xml:space="preserve"> SCE and Cal Advocates Joint Status Report July 22, 2021</w:t>
      </w:r>
      <w:r w:rsidR="00B86365">
        <w:t>.</w:t>
      </w:r>
    </w:p>
  </w:footnote>
  <w:footnote w:id="26">
    <w:p w14:paraId="15D8A67D" w14:textId="143F325C" w:rsidR="000815E7" w:rsidRDefault="000815E7">
      <w:pPr>
        <w:pStyle w:val="FootnoteText"/>
      </w:pPr>
      <w:r>
        <w:rPr>
          <w:rStyle w:val="FootnoteReference"/>
        </w:rPr>
        <w:footnoteRef/>
      </w:r>
      <w:r>
        <w:t xml:space="preserve"> Joint Status Conference </w:t>
      </w:r>
      <w:r w:rsidR="009C750B">
        <w:t>RT</w:t>
      </w:r>
      <w:r w:rsidR="00C9306A">
        <w:t>,</w:t>
      </w:r>
      <w:r>
        <w:t xml:space="preserve"> August 13, 2021</w:t>
      </w:r>
      <w:r w:rsidR="00B86365">
        <w:t>.</w:t>
      </w:r>
    </w:p>
  </w:footnote>
  <w:footnote w:id="27">
    <w:p w14:paraId="0461C409" w14:textId="5CCD9F4E" w:rsidR="00BA552C" w:rsidRDefault="00BA552C">
      <w:pPr>
        <w:pStyle w:val="FootnoteText"/>
      </w:pPr>
      <w:r>
        <w:rPr>
          <w:rStyle w:val="FootnoteReference"/>
        </w:rPr>
        <w:footnoteRef/>
      </w:r>
      <w:r>
        <w:t xml:space="preserve"> SCE and Cal Advocates Joint Motion for Entry of Stipulated Facts into the Record and SCE and Cal Advocates Joint Motion for Entry of Stipulated Exhibits into the Record August</w:t>
      </w:r>
      <w:r w:rsidR="00A152A2">
        <w:t> </w:t>
      </w:r>
      <w:r>
        <w:t>20,</w:t>
      </w:r>
      <w:r w:rsidR="00A152A2">
        <w:t> </w:t>
      </w:r>
      <w:r>
        <w:t>2021.</w:t>
      </w:r>
    </w:p>
  </w:footnote>
  <w:footnote w:id="28">
    <w:p w14:paraId="2BF0812E" w14:textId="25E8235D" w:rsidR="004C1B90" w:rsidRDefault="004C1B90">
      <w:pPr>
        <w:pStyle w:val="FootnoteText"/>
      </w:pPr>
      <w:r>
        <w:rPr>
          <w:rStyle w:val="FootnoteReference"/>
        </w:rPr>
        <w:footnoteRef/>
      </w:r>
      <w:r>
        <w:t xml:space="preserve"> Email </w:t>
      </w:r>
      <w:r w:rsidR="002D692B">
        <w:t xml:space="preserve">ALJ </w:t>
      </w:r>
      <w:r>
        <w:t>Ruling Entering Stipulated Exhibits into the Recor</w:t>
      </w:r>
      <w:r w:rsidR="002D692B">
        <w:t>d, September 21, 2021.</w:t>
      </w:r>
    </w:p>
  </w:footnote>
  <w:footnote w:id="29">
    <w:p w14:paraId="15AF8205" w14:textId="20D72D95" w:rsidR="00AF1955" w:rsidRDefault="00AF1955">
      <w:pPr>
        <w:pStyle w:val="FootnoteText"/>
      </w:pPr>
      <w:r>
        <w:rPr>
          <w:rStyle w:val="FootnoteReference"/>
        </w:rPr>
        <w:footnoteRef/>
      </w:r>
      <w:r>
        <w:t xml:space="preserve"> </w:t>
      </w:r>
      <w:r w:rsidR="00D50142">
        <w:t xml:space="preserve">SCE </w:t>
      </w:r>
      <w:r>
        <w:t>Opening Brief at 3</w:t>
      </w:r>
      <w:r w:rsidR="00686F19">
        <w:t>.</w:t>
      </w:r>
    </w:p>
  </w:footnote>
  <w:footnote w:id="30">
    <w:p w14:paraId="1E6DEE77" w14:textId="1EEF55A5" w:rsidR="0015401D" w:rsidRDefault="0015401D">
      <w:pPr>
        <w:pStyle w:val="FootnoteText"/>
      </w:pPr>
      <w:r>
        <w:rPr>
          <w:rStyle w:val="FootnoteReference"/>
        </w:rPr>
        <w:footnoteRef/>
      </w:r>
      <w:r>
        <w:t xml:space="preserve"> Cal Advocates Opening Brief at 4</w:t>
      </w:r>
      <w:r w:rsidR="00686F19">
        <w:t>.</w:t>
      </w:r>
    </w:p>
  </w:footnote>
  <w:footnote w:id="31">
    <w:p w14:paraId="630729D0" w14:textId="4AFDF8FC" w:rsidR="002D05D8" w:rsidRDefault="002D05D8">
      <w:pPr>
        <w:pStyle w:val="FootnoteText"/>
      </w:pPr>
      <w:r>
        <w:rPr>
          <w:rStyle w:val="FootnoteReference"/>
        </w:rPr>
        <w:footnoteRef/>
      </w:r>
      <w:r>
        <w:t xml:space="preserve"> Email </w:t>
      </w:r>
      <w:r w:rsidR="00686F19">
        <w:t xml:space="preserve">ALJ </w:t>
      </w:r>
      <w:r>
        <w:t>Ruling Ordering Supplemental Briefing</w:t>
      </w:r>
      <w:r w:rsidR="00686F19">
        <w:t>,</w:t>
      </w:r>
      <w:r>
        <w:t xml:space="preserve"> May 24, 2022</w:t>
      </w:r>
      <w:r w:rsidR="00830F83">
        <w:t>.</w:t>
      </w:r>
    </w:p>
  </w:footnote>
  <w:footnote w:id="32">
    <w:p w14:paraId="3AB9461A" w14:textId="3A8DAB1B" w:rsidR="001A5619" w:rsidRDefault="001A5619" w:rsidP="00EC1192">
      <w:pPr>
        <w:pStyle w:val="FootnoteText"/>
        <w:tabs>
          <w:tab w:val="left" w:pos="5400"/>
        </w:tabs>
      </w:pPr>
      <w:r>
        <w:rPr>
          <w:rStyle w:val="FootnoteReference"/>
        </w:rPr>
        <w:footnoteRef/>
      </w:r>
      <w:r>
        <w:t xml:space="preserve"> </w:t>
      </w:r>
      <w:r w:rsidR="00EC1192">
        <w:t xml:space="preserve">The </w:t>
      </w:r>
      <w:r>
        <w:t>Assigned Commissioner</w:t>
      </w:r>
      <w:r w:rsidR="00EC1192">
        <w:t>’s</w:t>
      </w:r>
      <w:r>
        <w:t xml:space="preserve"> Scoping Memo</w:t>
      </w:r>
      <w:r w:rsidR="00EC1192">
        <w:t xml:space="preserve"> incorrectly stated that SCE’s 2020 WEMA Application revenue requirement equaled $214.6 million. This number has been amended to $214.5 million to reflect SCE’s actual revenue requirement. </w:t>
      </w:r>
    </w:p>
  </w:footnote>
  <w:footnote w:id="33">
    <w:p w14:paraId="22F06F7A" w14:textId="101C0768" w:rsidR="00EC7839" w:rsidRDefault="00EC7839" w:rsidP="00EC7839">
      <w:pPr>
        <w:pStyle w:val="FootnoteText"/>
      </w:pPr>
      <w:r>
        <w:rPr>
          <w:rStyle w:val="FootnoteReference"/>
        </w:rPr>
        <w:footnoteRef/>
      </w:r>
      <w:r>
        <w:t xml:space="preserve"> </w:t>
      </w:r>
      <w:r w:rsidR="00F46B0A">
        <w:t>Exhibit SCE-0001</w:t>
      </w:r>
      <w:r>
        <w:t xml:space="preserve"> at 23. </w:t>
      </w:r>
    </w:p>
  </w:footnote>
  <w:footnote w:id="34">
    <w:p w14:paraId="70EFDF79" w14:textId="25955129" w:rsidR="006A4932" w:rsidRDefault="006A4932">
      <w:pPr>
        <w:pStyle w:val="FootnoteText"/>
      </w:pPr>
      <w:r>
        <w:rPr>
          <w:rStyle w:val="FootnoteReference"/>
        </w:rPr>
        <w:footnoteRef/>
      </w:r>
      <w:r>
        <w:t xml:space="preserve"> </w:t>
      </w:r>
      <w:r w:rsidR="004F78E8">
        <w:t>Ibid</w:t>
      </w:r>
      <w:r w:rsidR="00686F19">
        <w:t>.</w:t>
      </w:r>
    </w:p>
  </w:footnote>
  <w:footnote w:id="35">
    <w:p w14:paraId="1F855BC4" w14:textId="68353544" w:rsidR="00756F11" w:rsidRDefault="00756F11" w:rsidP="00756F11">
      <w:pPr>
        <w:pStyle w:val="FootnoteText"/>
      </w:pPr>
      <w:r>
        <w:rPr>
          <w:rStyle w:val="FootnoteReference"/>
        </w:rPr>
        <w:footnoteRef/>
      </w:r>
      <w:r>
        <w:t xml:space="preserve"> </w:t>
      </w:r>
      <w:r w:rsidR="00F46B0A">
        <w:t>Exhibit SCE-0001</w:t>
      </w:r>
      <w:r>
        <w:t xml:space="preserve"> at </w:t>
      </w:r>
      <w:r w:rsidR="00AC4A56">
        <w:t>12-13</w:t>
      </w:r>
      <w:r w:rsidR="00686F19">
        <w:t>.</w:t>
      </w:r>
    </w:p>
  </w:footnote>
  <w:footnote w:id="36">
    <w:p w14:paraId="34288763" w14:textId="7F7951A9" w:rsidR="00AC4A56" w:rsidRDefault="00AC4A56">
      <w:pPr>
        <w:pStyle w:val="FootnoteText"/>
      </w:pPr>
      <w:r>
        <w:rPr>
          <w:rStyle w:val="FootnoteReference"/>
        </w:rPr>
        <w:footnoteRef/>
      </w:r>
      <w:r>
        <w:t xml:space="preserve"> </w:t>
      </w:r>
      <w:r w:rsidR="00F46B0A">
        <w:t>Exhibit SCE-0001</w:t>
      </w:r>
      <w:r>
        <w:t xml:space="preserve"> at 12</w:t>
      </w:r>
      <w:r w:rsidR="00686F19">
        <w:t>.</w:t>
      </w:r>
    </w:p>
  </w:footnote>
  <w:footnote w:id="37">
    <w:p w14:paraId="2399388A" w14:textId="64BDBF40" w:rsidR="00FE1676" w:rsidRDefault="00FE1676">
      <w:pPr>
        <w:pStyle w:val="FootnoteText"/>
      </w:pPr>
      <w:r>
        <w:rPr>
          <w:rStyle w:val="FootnoteReference"/>
        </w:rPr>
        <w:footnoteRef/>
      </w:r>
      <w:r>
        <w:t xml:space="preserve"> </w:t>
      </w:r>
      <w:r w:rsidR="00F46B0A">
        <w:t>Exhibit SCE-0001</w:t>
      </w:r>
      <w:r>
        <w:t xml:space="preserve"> at 14, Table III-2</w:t>
      </w:r>
      <w:r w:rsidR="00686F19">
        <w:t>.</w:t>
      </w:r>
    </w:p>
  </w:footnote>
  <w:footnote w:id="38">
    <w:p w14:paraId="742F80EA" w14:textId="28C1BB4C" w:rsidR="00FD1B19" w:rsidRDefault="0070742F" w:rsidP="00FD1B19">
      <w:pPr>
        <w:pStyle w:val="FootnoteText"/>
        <w:spacing w:after="0"/>
      </w:pPr>
      <w:r>
        <w:rPr>
          <w:rStyle w:val="FootnoteReference"/>
        </w:rPr>
        <w:footnoteRef/>
      </w:r>
      <w:r>
        <w:t xml:space="preserve"> </w:t>
      </w:r>
      <w:r w:rsidR="00F46B0A">
        <w:t>Exhibit SCE-0001</w:t>
      </w:r>
      <w:r w:rsidR="005C693D">
        <w:t xml:space="preserve"> at 10, Footnote 19. Reinsurance is an insurance instrument where</w:t>
      </w:r>
      <w:r w:rsidR="00FD1B19">
        <w:t>in</w:t>
      </w:r>
      <w:r w:rsidR="005C693D">
        <w:t xml:space="preserve"> SCE</w:t>
      </w:r>
      <w:r w:rsidR="00FD1B19">
        <w:t xml:space="preserve"> </w:t>
      </w:r>
      <w:r w:rsidR="005C693D">
        <w:t>is insured</w:t>
      </w:r>
      <w:r w:rsidR="00FD1B19">
        <w:t xml:space="preserve"> for wildfire liability</w:t>
      </w:r>
      <w:r w:rsidR="005C693D">
        <w:t xml:space="preserve"> by a</w:t>
      </w:r>
      <w:r w:rsidR="00FD1B19">
        <w:t xml:space="preserve">n intermediary (i.e., Edison Insurance Services Inc.) who in turn is insured by a third-party. The result is </w:t>
      </w:r>
      <w:r w:rsidR="00423F7D">
        <w:t xml:space="preserve">SCE’s </w:t>
      </w:r>
      <w:r w:rsidR="00FD1B19">
        <w:t>reduced</w:t>
      </w:r>
      <w:r w:rsidR="00423F7D">
        <w:t xml:space="preserve"> exposure to wildfire liability risk</w:t>
      </w:r>
      <w:r w:rsidR="00FD1B19">
        <w:t xml:space="preserve">. </w:t>
      </w:r>
    </w:p>
    <w:p w14:paraId="2C688B24" w14:textId="01AB7385" w:rsidR="0070742F" w:rsidRDefault="0070742F" w:rsidP="005C693D">
      <w:pPr>
        <w:pStyle w:val="FootnoteText"/>
        <w:spacing w:after="0"/>
      </w:pPr>
    </w:p>
  </w:footnote>
  <w:footnote w:id="39">
    <w:p w14:paraId="773B1406" w14:textId="7456D0E6" w:rsidR="00FD1B19" w:rsidRDefault="00FD1B19">
      <w:pPr>
        <w:pStyle w:val="FootnoteText"/>
      </w:pPr>
      <w:r>
        <w:rPr>
          <w:rStyle w:val="FootnoteReference"/>
        </w:rPr>
        <w:footnoteRef/>
      </w:r>
      <w:r>
        <w:t xml:space="preserve"> </w:t>
      </w:r>
      <w:r w:rsidR="00F46B0A">
        <w:t>Exhibit SCE-0001</w:t>
      </w:r>
      <w:r>
        <w:t xml:space="preserve"> at 10</w:t>
      </w:r>
      <w:r w:rsidR="00686F19">
        <w:t>.</w:t>
      </w:r>
    </w:p>
  </w:footnote>
  <w:footnote w:id="40">
    <w:p w14:paraId="62FFCD6C" w14:textId="0BD84312" w:rsidR="00CB2A93" w:rsidRDefault="00CB2A93">
      <w:pPr>
        <w:pStyle w:val="FootnoteText"/>
      </w:pPr>
      <w:r>
        <w:rPr>
          <w:rStyle w:val="FootnoteReference"/>
        </w:rPr>
        <w:footnoteRef/>
      </w:r>
      <w:r>
        <w:t xml:space="preserve"> </w:t>
      </w:r>
      <w:r w:rsidR="00977830">
        <w:t>Exhibit SCE-0001</w:t>
      </w:r>
      <w:r>
        <w:t xml:space="preserve"> at 11</w:t>
      </w:r>
      <w:r w:rsidR="00725DAA">
        <w:t>.</w:t>
      </w:r>
    </w:p>
  </w:footnote>
  <w:footnote w:id="41">
    <w:p w14:paraId="0A1F0A59" w14:textId="7D35D766" w:rsidR="00D96E8E" w:rsidRDefault="00D96E8E" w:rsidP="00D96E8E">
      <w:pPr>
        <w:pStyle w:val="FootnoteText"/>
      </w:pPr>
      <w:r>
        <w:rPr>
          <w:rStyle w:val="FootnoteReference"/>
        </w:rPr>
        <w:footnoteRef/>
      </w:r>
      <w:r>
        <w:t xml:space="preserve"> </w:t>
      </w:r>
      <w:r w:rsidR="00725DAA">
        <w:t>D.20-09-024</w:t>
      </w:r>
      <w:r>
        <w:t xml:space="preserve"> at </w:t>
      </w:r>
      <w:r w:rsidR="00534C99">
        <w:t>12</w:t>
      </w:r>
      <w:r w:rsidR="00D733EE">
        <w:t>.</w:t>
      </w:r>
    </w:p>
  </w:footnote>
  <w:footnote w:id="42">
    <w:p w14:paraId="6166E72B" w14:textId="462C4DAF" w:rsidR="00507056" w:rsidRDefault="00507056">
      <w:pPr>
        <w:pStyle w:val="FootnoteText"/>
      </w:pPr>
      <w:r>
        <w:rPr>
          <w:rStyle w:val="FootnoteReference"/>
        </w:rPr>
        <w:footnoteRef/>
      </w:r>
      <w:r>
        <w:t xml:space="preserve"> Exhibit SCE-0002 at 4.</w:t>
      </w:r>
    </w:p>
  </w:footnote>
  <w:footnote w:id="43">
    <w:p w14:paraId="68E4829E" w14:textId="453884A3" w:rsidR="00A16CFA" w:rsidRDefault="00A16CFA">
      <w:pPr>
        <w:pStyle w:val="FootnoteText"/>
      </w:pPr>
      <w:r>
        <w:rPr>
          <w:rStyle w:val="FootnoteReference"/>
        </w:rPr>
        <w:footnoteRef/>
      </w:r>
      <w:r>
        <w:t xml:space="preserve"> </w:t>
      </w:r>
      <w:r w:rsidR="00822074">
        <w:t xml:space="preserve">Exhibit </w:t>
      </w:r>
      <w:r>
        <w:t>PAO-010</w:t>
      </w:r>
      <w:r w:rsidR="00B648EC">
        <w:t>0 at 4.</w:t>
      </w:r>
    </w:p>
  </w:footnote>
  <w:footnote w:id="44">
    <w:p w14:paraId="026A3D51" w14:textId="0BAE36DB" w:rsidR="00B648EC" w:rsidRDefault="00B648EC">
      <w:pPr>
        <w:pStyle w:val="FootnoteText"/>
      </w:pPr>
      <w:r>
        <w:rPr>
          <w:rStyle w:val="FootnoteReference"/>
        </w:rPr>
        <w:footnoteRef/>
      </w:r>
      <w:r>
        <w:t xml:space="preserve"> </w:t>
      </w:r>
      <w:r w:rsidR="00822074">
        <w:t xml:space="preserve">Exhibit </w:t>
      </w:r>
      <w:r>
        <w:t>PAO-0101 at 1.</w:t>
      </w:r>
    </w:p>
  </w:footnote>
  <w:footnote w:id="45">
    <w:p w14:paraId="4C23F67F" w14:textId="0F22A83D" w:rsidR="00AC3F57" w:rsidRDefault="00AC3F57">
      <w:pPr>
        <w:pStyle w:val="FootnoteText"/>
      </w:pPr>
      <w:r>
        <w:rPr>
          <w:rStyle w:val="FootnoteReference"/>
        </w:rPr>
        <w:footnoteRef/>
      </w:r>
      <w:r>
        <w:t xml:space="preserve"> A.19-07-010 Direct Testimony at </w:t>
      </w:r>
      <w:r w:rsidR="005F4B42">
        <w:t>24.</w:t>
      </w:r>
    </w:p>
  </w:footnote>
  <w:footnote w:id="46">
    <w:p w14:paraId="1A1B0B23" w14:textId="2D399003" w:rsidR="009A0AA5" w:rsidRDefault="009A0AA5">
      <w:pPr>
        <w:pStyle w:val="FootnoteText"/>
      </w:pPr>
      <w:r>
        <w:rPr>
          <w:rStyle w:val="FootnoteReference"/>
        </w:rPr>
        <w:footnoteRef/>
      </w:r>
      <w:r>
        <w:t xml:space="preserve"> Exhibit SCE-0002 at</w:t>
      </w:r>
      <w:r w:rsidR="00A764F8">
        <w:t xml:space="preserve"> 4.</w:t>
      </w:r>
    </w:p>
  </w:footnote>
  <w:footnote w:id="47">
    <w:p w14:paraId="76D9ED01" w14:textId="157D42AB" w:rsidR="0086529D" w:rsidRDefault="0086529D">
      <w:pPr>
        <w:pStyle w:val="FootnoteText"/>
      </w:pPr>
      <w:r>
        <w:rPr>
          <w:rStyle w:val="FootnoteReference"/>
        </w:rPr>
        <w:footnoteRef/>
      </w:r>
      <w:r>
        <w:t xml:space="preserve"> </w:t>
      </w:r>
      <w:r w:rsidR="00822074">
        <w:t xml:space="preserve">Exhibit </w:t>
      </w:r>
      <w:r>
        <w:t xml:space="preserve">SCE-0002 at </w:t>
      </w:r>
      <w:r w:rsidR="00A764F8">
        <w:t>2</w:t>
      </w:r>
      <w:r>
        <w:t>.</w:t>
      </w:r>
    </w:p>
  </w:footnote>
  <w:footnote w:id="48">
    <w:p w14:paraId="7429D9EE" w14:textId="2216CA0F" w:rsidR="003812A3" w:rsidRDefault="003812A3">
      <w:pPr>
        <w:pStyle w:val="FootnoteText"/>
      </w:pPr>
      <w:r>
        <w:rPr>
          <w:rStyle w:val="FootnoteReference"/>
        </w:rPr>
        <w:footnoteRef/>
      </w:r>
      <w:r>
        <w:t xml:space="preserve"> A.20-12-010 Supplemental Brief at 8.</w:t>
      </w:r>
    </w:p>
  </w:footnote>
  <w:footnote w:id="49">
    <w:p w14:paraId="1FAB454D" w14:textId="60EB4642" w:rsidR="006D4EE8" w:rsidRDefault="006D4EE8">
      <w:pPr>
        <w:pStyle w:val="FootnoteText"/>
      </w:pPr>
      <w:r>
        <w:rPr>
          <w:rStyle w:val="FootnoteReference"/>
        </w:rPr>
        <w:footnoteRef/>
      </w:r>
      <w:r>
        <w:t xml:space="preserve"> A.20-12-010 Supplemental Brief at 7.</w:t>
      </w:r>
    </w:p>
  </w:footnote>
  <w:footnote w:id="50">
    <w:p w14:paraId="231855E0" w14:textId="1BF4A30F" w:rsidR="006D4EE8" w:rsidRDefault="006D4EE8">
      <w:pPr>
        <w:pStyle w:val="FootnoteText"/>
      </w:pPr>
      <w:r>
        <w:rPr>
          <w:rStyle w:val="FootnoteReference"/>
        </w:rPr>
        <w:footnoteRef/>
      </w:r>
      <w:r>
        <w:t xml:space="preserve"> A.20-12-010 Supplemental Brief at </w:t>
      </w:r>
      <w:r w:rsidR="00D8005F">
        <w:t>9.</w:t>
      </w:r>
    </w:p>
  </w:footnote>
  <w:footnote w:id="51">
    <w:p w14:paraId="68EDFF22" w14:textId="39252825" w:rsidR="00822074" w:rsidRDefault="00822074">
      <w:pPr>
        <w:pStyle w:val="FootnoteText"/>
      </w:pPr>
      <w:r>
        <w:rPr>
          <w:rStyle w:val="FootnoteReference"/>
        </w:rPr>
        <w:footnoteRef/>
      </w:r>
      <w:r>
        <w:t xml:space="preserve"> Exhibit PAO-0100 at 5.</w:t>
      </w:r>
    </w:p>
  </w:footnote>
  <w:footnote w:id="52">
    <w:p w14:paraId="78CD8DC7" w14:textId="4A156D16" w:rsidR="00150616" w:rsidRDefault="00150616">
      <w:pPr>
        <w:pStyle w:val="FootnoteText"/>
      </w:pPr>
      <w:r>
        <w:rPr>
          <w:rStyle w:val="FootnoteReference"/>
        </w:rPr>
        <w:footnoteRef/>
      </w:r>
      <w:r>
        <w:t xml:space="preserve"> </w:t>
      </w:r>
      <w:r w:rsidR="00C26AE1">
        <w:t>Exhibit SCE-0001</w:t>
      </w:r>
      <w:r w:rsidR="00435DFB">
        <w:t xml:space="preserve"> </w:t>
      </w:r>
      <w:r w:rsidR="009773D9">
        <w:t>at 18</w:t>
      </w:r>
      <w:r w:rsidR="00725DAA">
        <w:t>.</w:t>
      </w:r>
    </w:p>
  </w:footnote>
  <w:footnote w:id="53">
    <w:p w14:paraId="3D289CE7" w14:textId="1703B44C" w:rsidR="0016576C" w:rsidRDefault="0016576C">
      <w:pPr>
        <w:pStyle w:val="FootnoteText"/>
      </w:pPr>
      <w:r>
        <w:rPr>
          <w:rStyle w:val="FootnoteReference"/>
        </w:rPr>
        <w:footnoteRef/>
      </w:r>
      <w:r>
        <w:t xml:space="preserve"> Per P</w:t>
      </w:r>
      <w:r w:rsidR="0013190F">
        <w:t xml:space="preserve">ub. </w:t>
      </w:r>
      <w:r>
        <w:t>U</w:t>
      </w:r>
      <w:r w:rsidR="0013190F">
        <w:t xml:space="preserve">til. </w:t>
      </w:r>
      <w:r>
        <w:t>C</w:t>
      </w:r>
      <w:r w:rsidR="0013190F">
        <w:t>ode</w:t>
      </w:r>
      <w:r>
        <w:t xml:space="preserve"> </w:t>
      </w:r>
      <w:r w:rsidR="0013190F">
        <w:t>§</w:t>
      </w:r>
      <w:r w:rsidR="003B4683">
        <w:t xml:space="preserve"> </w:t>
      </w:r>
      <w:r>
        <w:t>1701.8, covered wildfires are those determined to be caused by an electric corporation a government agency</w:t>
      </w:r>
      <w:r w:rsidR="00E10340">
        <w:t xml:space="preserve"> by a court or government agency and results in a court-appointed dismissal due to settlement of third-party damage claims.</w:t>
      </w:r>
      <w:r>
        <w:t xml:space="preserve"> </w:t>
      </w:r>
    </w:p>
  </w:footnote>
  <w:footnote w:id="54">
    <w:p w14:paraId="22753567" w14:textId="576D135A" w:rsidR="00110EA6" w:rsidRDefault="00110EA6" w:rsidP="00110EA6">
      <w:pPr>
        <w:pStyle w:val="FootnoteText"/>
      </w:pPr>
      <w:r>
        <w:rPr>
          <w:rStyle w:val="FootnoteReference"/>
        </w:rPr>
        <w:footnoteRef/>
      </w:r>
      <w:r w:rsidR="003B4683">
        <w:t xml:space="preserve"> </w:t>
      </w:r>
      <w:r w:rsidR="007661BE">
        <w:t>Eligible claims are defined in</w:t>
      </w:r>
      <w:r>
        <w:t xml:space="preserve"> </w:t>
      </w:r>
      <w:r w:rsidR="007661BE">
        <w:t>P</w:t>
      </w:r>
      <w:r w:rsidR="00725DAA">
        <w:t xml:space="preserve">ub. </w:t>
      </w:r>
      <w:r w:rsidR="007661BE">
        <w:t>U</w:t>
      </w:r>
      <w:r w:rsidR="00725DAA">
        <w:t xml:space="preserve">til. </w:t>
      </w:r>
      <w:r w:rsidR="007661BE">
        <w:t>C</w:t>
      </w:r>
      <w:r w:rsidR="00725DAA">
        <w:t>ode</w:t>
      </w:r>
      <w:r w:rsidR="007661BE">
        <w:t xml:space="preserve"> </w:t>
      </w:r>
      <w:r w:rsidR="00725DAA">
        <w:t>§</w:t>
      </w:r>
      <w:r w:rsidR="003B4683">
        <w:t xml:space="preserve"> </w:t>
      </w:r>
      <w:r w:rsidR="007661BE">
        <w:t xml:space="preserve">3208(f). </w:t>
      </w:r>
    </w:p>
  </w:footnote>
  <w:footnote w:id="55">
    <w:p w14:paraId="21C3AE92" w14:textId="51ED3BC9" w:rsidR="001A3FF2" w:rsidRDefault="001A3FF2">
      <w:pPr>
        <w:pStyle w:val="FootnoteText"/>
      </w:pPr>
      <w:r>
        <w:rPr>
          <w:rStyle w:val="FootnoteReference"/>
        </w:rPr>
        <w:footnoteRef/>
      </w:r>
      <w:r>
        <w:t xml:space="preserve"> </w:t>
      </w:r>
      <w:r w:rsidR="007B0BC6">
        <w:t>Exhibit SCE-0001</w:t>
      </w:r>
      <w:r w:rsidR="00435DFB">
        <w:t xml:space="preserve"> </w:t>
      </w:r>
      <w:r>
        <w:t>at 11</w:t>
      </w:r>
      <w:r w:rsidR="007B4829">
        <w:t>.</w:t>
      </w:r>
    </w:p>
  </w:footnote>
  <w:footnote w:id="56">
    <w:p w14:paraId="6E71F765" w14:textId="10DD89FF" w:rsidR="003A27BA" w:rsidRDefault="003A27BA">
      <w:pPr>
        <w:pStyle w:val="FootnoteText"/>
      </w:pPr>
      <w:r>
        <w:rPr>
          <w:rStyle w:val="FootnoteReference"/>
        </w:rPr>
        <w:footnoteRef/>
      </w:r>
      <w:r w:rsidR="00435DFB">
        <w:t xml:space="preserve"> </w:t>
      </w:r>
      <w:r w:rsidR="007B0BC6">
        <w:t>Exhibit SCE-00</w:t>
      </w:r>
      <w:r w:rsidR="00543E82">
        <w:t>0</w:t>
      </w:r>
      <w:r w:rsidR="007B0BC6">
        <w:t>1</w:t>
      </w:r>
      <w:r>
        <w:t xml:space="preserve"> at 24</w:t>
      </w:r>
      <w:r w:rsidR="007B4829">
        <w:t>.</w:t>
      </w:r>
    </w:p>
  </w:footnote>
  <w:footnote w:id="57">
    <w:p w14:paraId="3A84E043" w14:textId="2D7A1CDB" w:rsidR="00C44A84" w:rsidRDefault="00C44A84">
      <w:pPr>
        <w:pStyle w:val="FootnoteText"/>
      </w:pPr>
      <w:r>
        <w:rPr>
          <w:rStyle w:val="FootnoteReference"/>
        </w:rPr>
        <w:footnoteRef/>
      </w:r>
      <w:r>
        <w:t xml:space="preserve"> </w:t>
      </w:r>
      <w:r w:rsidR="007B0BC6">
        <w:t>Exhibit SCE-0001</w:t>
      </w:r>
      <w:r>
        <w:t xml:space="preserve"> at 25</w:t>
      </w:r>
      <w:r w:rsidR="007B4829">
        <w:t>.</w:t>
      </w:r>
    </w:p>
  </w:footnote>
  <w:footnote w:id="58">
    <w:p w14:paraId="7501CE28" w14:textId="2DE3776A" w:rsidR="00584BBB" w:rsidRDefault="00584BBB">
      <w:pPr>
        <w:pStyle w:val="FootnoteText"/>
      </w:pPr>
      <w:r>
        <w:rPr>
          <w:rStyle w:val="FootnoteReference"/>
        </w:rPr>
        <w:footnoteRef/>
      </w:r>
      <w:r>
        <w:t xml:space="preserve"> </w:t>
      </w:r>
      <w:r w:rsidR="00A613EA">
        <w:t>A.19-07-020</w:t>
      </w:r>
      <w:r>
        <w:t xml:space="preserve"> at 8</w:t>
      </w:r>
      <w:r w:rsidR="007B4829">
        <w:t>.</w:t>
      </w:r>
    </w:p>
  </w:footnote>
  <w:footnote w:id="59">
    <w:p w14:paraId="5171837C" w14:textId="0A68E2F8" w:rsidR="009507C1" w:rsidRDefault="009507C1">
      <w:pPr>
        <w:pStyle w:val="FootnoteText"/>
      </w:pPr>
      <w:r>
        <w:rPr>
          <w:rStyle w:val="FootnoteReference"/>
        </w:rPr>
        <w:footnoteRef/>
      </w:r>
      <w:r>
        <w:t xml:space="preserve"> </w:t>
      </w:r>
      <w:r w:rsidR="00A613EA">
        <w:t>A.20-12-010</w:t>
      </w:r>
      <w:r>
        <w:t xml:space="preserve"> at 10</w:t>
      </w:r>
      <w:r w:rsidR="007B4829">
        <w:t>.</w:t>
      </w:r>
    </w:p>
  </w:footnote>
  <w:footnote w:id="60">
    <w:p w14:paraId="1984ADE2" w14:textId="30F82DDF" w:rsidR="00DB7A0B" w:rsidRDefault="00DB7A0B">
      <w:pPr>
        <w:pStyle w:val="FootnoteText"/>
      </w:pPr>
      <w:r>
        <w:rPr>
          <w:rStyle w:val="FootnoteReference"/>
        </w:rPr>
        <w:footnoteRef/>
      </w:r>
      <w:r>
        <w:t xml:space="preserve"> Public Resource Code </w:t>
      </w:r>
      <w:r w:rsidR="00000592">
        <w:rPr>
          <w:rFonts w:ascii="sSymbol" w:hAnsi="sSymbol"/>
        </w:rPr>
        <w:t>§</w:t>
      </w:r>
      <w:r w:rsidR="003B4683">
        <w:rPr>
          <w:rFonts w:ascii="sSymbol" w:hAnsi="sSymbol"/>
        </w:rPr>
        <w:t xml:space="preserve"> </w:t>
      </w:r>
      <w:r>
        <w:t xml:space="preserve">21000, Division 13. </w:t>
      </w:r>
    </w:p>
  </w:footnote>
  <w:footnote w:id="61">
    <w:p w14:paraId="1A43A52D" w14:textId="020866F1" w:rsidR="00424377" w:rsidRDefault="00424377">
      <w:pPr>
        <w:pStyle w:val="FootnoteText"/>
      </w:pPr>
      <w:r>
        <w:rPr>
          <w:rStyle w:val="FootnoteReference"/>
        </w:rPr>
        <w:footnoteRef/>
      </w:r>
      <w:r>
        <w:t xml:space="preserve"> C</w:t>
      </w:r>
      <w:r w:rsidR="007B4829">
        <w:t xml:space="preserve">al. </w:t>
      </w:r>
      <w:r>
        <w:t>C</w:t>
      </w:r>
      <w:r w:rsidR="007B4829">
        <w:t xml:space="preserve">ode </w:t>
      </w:r>
      <w:r>
        <w:t>R</w:t>
      </w:r>
      <w:r w:rsidR="007B4829">
        <w:t>egul.</w:t>
      </w:r>
      <w:r>
        <w:t xml:space="preserve"> </w:t>
      </w:r>
      <w:r w:rsidR="00000592">
        <w:rPr>
          <w:rFonts w:ascii="sSymbol" w:hAnsi="sSymbol"/>
        </w:rPr>
        <w:t>§</w:t>
      </w:r>
      <w:r>
        <w:t>15378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1322" w14:textId="77777777" w:rsidR="00A152A2" w:rsidRPr="00B3087D" w:rsidRDefault="00A152A2" w:rsidP="006F6525">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50FA" w14:textId="1E9FBF55" w:rsidR="00C20388" w:rsidRDefault="00362AFD" w:rsidP="00C20388">
    <w:pPr>
      <w:pStyle w:val="Header"/>
      <w:tabs>
        <w:tab w:val="clear" w:pos="4680"/>
      </w:tabs>
      <w:ind w:firstLine="0"/>
      <w:rPr>
        <w:b/>
      </w:rPr>
    </w:pPr>
    <w:r>
      <w:t>A.20-12-010</w:t>
    </w:r>
    <w:r w:rsidR="00C20388">
      <w:t xml:space="preserve">  </w:t>
    </w:r>
    <w:r>
      <w:t>ALJ</w:t>
    </w:r>
    <w:r w:rsidR="00C20388">
      <w:t>/</w:t>
    </w:r>
    <w:r>
      <w:t>RM3</w:t>
    </w:r>
    <w:r w:rsidR="00B94108">
      <w:t>/sgu</w:t>
    </w:r>
    <w:r w:rsidR="00A152A2">
      <w:tab/>
    </w:r>
    <w:r w:rsidR="00A152A2">
      <w:rPr>
        <w:b/>
      </w:rPr>
      <w:t>PROPOSED DECISION</w:t>
    </w:r>
    <w:r w:rsidR="00DA429F">
      <w:rPr>
        <w:b/>
      </w:rPr>
      <w:t xml:space="preserve"> (Rev. 1)</w:t>
    </w:r>
  </w:p>
  <w:p w14:paraId="175EBD24" w14:textId="288ACD18" w:rsidR="00A152A2" w:rsidRDefault="00A152A2" w:rsidP="006F6525">
    <w:pPr>
      <w:pStyle w:val="Header"/>
      <w:tabs>
        <w:tab w:val="clear" w:pos="4680"/>
      </w:tabs>
      <w:ind w:firstLine="0"/>
      <w:rPr>
        <w:i/>
        <w:color w:val="FF0000"/>
      </w:rPr>
    </w:pPr>
  </w:p>
  <w:p w14:paraId="6FEAE257" w14:textId="77777777" w:rsidR="00A152A2" w:rsidRPr="00B3087D" w:rsidRDefault="00A152A2" w:rsidP="006F6525">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AAED" w14:textId="3D655466" w:rsidR="00DA429F" w:rsidRDefault="00DA429F" w:rsidP="00DA429F">
    <w:pPr>
      <w:pStyle w:val="Header"/>
      <w:tabs>
        <w:tab w:val="clear" w:pos="4680"/>
      </w:tabs>
      <w:ind w:firstLine="0"/>
      <w:rPr>
        <w:b/>
      </w:rPr>
    </w:pPr>
    <w:r>
      <w:t>A.20-12-010  ALJ/RM3/sgu</w:t>
    </w:r>
    <w:r>
      <w:tab/>
    </w:r>
    <w:r>
      <w:rPr>
        <w:b/>
      </w:rPr>
      <w:t>PROPOSED DECISION (Rev. 1)</w:t>
    </w:r>
  </w:p>
  <w:p w14:paraId="66593F88" w14:textId="77777777" w:rsidR="00DA429F" w:rsidRDefault="00DA4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A148B"/>
    <w:multiLevelType w:val="multilevel"/>
    <w:tmpl w:val="7714D7C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184E9C"/>
    <w:multiLevelType w:val="hybridMultilevel"/>
    <w:tmpl w:val="70E6CB7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3F2097"/>
    <w:multiLevelType w:val="hybridMultilevel"/>
    <w:tmpl w:val="C232AA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C1C14"/>
    <w:multiLevelType w:val="multilevel"/>
    <w:tmpl w:val="18F4A5AC"/>
    <w:styleLink w:val="FoFCoLOP"/>
    <w:lvl w:ilvl="0">
      <w:start w:val="1"/>
      <w:numFmt w:val="decimal"/>
      <w:lvlText w:val="%1."/>
      <w:lvlJc w:val="right"/>
      <w:pPr>
        <w:ind w:left="423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E2242C9"/>
    <w:multiLevelType w:val="multilevel"/>
    <w:tmpl w:val="ECB8CCE8"/>
    <w:numStyleLink w:val="Headings"/>
  </w:abstractNum>
  <w:abstractNum w:abstractNumId="7" w15:restartNumberingAfterBreak="0">
    <w:nsid w:val="21B023C5"/>
    <w:multiLevelType w:val="hybridMultilevel"/>
    <w:tmpl w:val="CB00744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8"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34FE33F8"/>
    <w:multiLevelType w:val="hybridMultilevel"/>
    <w:tmpl w:val="F614ED26"/>
    <w:lvl w:ilvl="0" w:tplc="BC42C110">
      <w:start w:val="1"/>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513A9"/>
    <w:multiLevelType w:val="hybridMultilevel"/>
    <w:tmpl w:val="E898A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0248B6"/>
    <w:multiLevelType w:val="hybridMultilevel"/>
    <w:tmpl w:val="A768D7B4"/>
    <w:lvl w:ilvl="0" w:tplc="8B78ECB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23A65D2"/>
    <w:multiLevelType w:val="hybridMultilevel"/>
    <w:tmpl w:val="939EA720"/>
    <w:lvl w:ilvl="0" w:tplc="FA24F68A">
      <w:start w:val="4"/>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467EB7"/>
    <w:multiLevelType w:val="hybridMultilevel"/>
    <w:tmpl w:val="0D26C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7" w15:restartNumberingAfterBreak="0">
    <w:nsid w:val="677009FC"/>
    <w:multiLevelType w:val="hybridMultilevel"/>
    <w:tmpl w:val="81449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0A3C00"/>
    <w:multiLevelType w:val="hybridMultilevel"/>
    <w:tmpl w:val="A8704F6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316639E"/>
    <w:multiLevelType w:val="hybridMultilevel"/>
    <w:tmpl w:val="F3BADFCA"/>
    <w:lvl w:ilvl="0" w:tplc="04090001">
      <w:start w:val="1"/>
      <w:numFmt w:val="bullet"/>
      <w:lvlText w:val=""/>
      <w:lvlJc w:val="left"/>
      <w:pPr>
        <w:ind w:left="1510" w:hanging="360"/>
      </w:pPr>
      <w:rPr>
        <w:rFonts w:ascii="Symbol" w:hAnsi="Symbol" w:hint="default"/>
      </w:rPr>
    </w:lvl>
    <w:lvl w:ilvl="1" w:tplc="04090003">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1" w15:restartNumberingAfterBreak="0">
    <w:nsid w:val="733E5F0C"/>
    <w:multiLevelType w:val="hybridMultilevel"/>
    <w:tmpl w:val="25905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F0568"/>
    <w:multiLevelType w:val="hybridMultilevel"/>
    <w:tmpl w:val="34D8C42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9A0AFE"/>
    <w:multiLevelType w:val="multilevel"/>
    <w:tmpl w:val="18F4A5AC"/>
    <w:numStyleLink w:val="FoFCoLOP"/>
  </w:abstractNum>
  <w:abstractNum w:abstractNumId="24" w15:restartNumberingAfterBreak="0">
    <w:nsid w:val="7BB22B15"/>
    <w:multiLevelType w:val="hybridMultilevel"/>
    <w:tmpl w:val="02A6EA7A"/>
    <w:lvl w:ilvl="0" w:tplc="8B78ECB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DCE1505"/>
    <w:multiLevelType w:val="hybridMultilevel"/>
    <w:tmpl w:val="FCBE896C"/>
    <w:lvl w:ilvl="0" w:tplc="FFFFFFFF">
      <w:start w:val="1"/>
      <w:numFmt w:val="bullet"/>
      <w:lvlText w:val=""/>
      <w:lvlJc w:val="left"/>
      <w:pPr>
        <w:ind w:left="1440" w:hanging="360"/>
      </w:pPr>
      <w:rPr>
        <w:rFonts w:ascii="Symbol" w:hAnsi="Symbol" w:hint="default"/>
      </w:rPr>
    </w:lvl>
    <w:lvl w:ilvl="1" w:tplc="8B78ECB8">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81094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97823">
    <w:abstractNumId w:val="4"/>
  </w:num>
  <w:num w:numId="3" w16cid:durableId="740951363">
    <w:abstractNumId w:val="14"/>
  </w:num>
  <w:num w:numId="4" w16cid:durableId="1269968647">
    <w:abstractNumId w:val="5"/>
  </w:num>
  <w:num w:numId="5" w16cid:durableId="1057239430">
    <w:abstractNumId w:val="23"/>
    <w:lvlOverride w:ilvl="0">
      <w:lvl w:ilvl="0">
        <w:start w:val="1"/>
        <w:numFmt w:val="decimal"/>
        <w:lvlText w:val="%1."/>
        <w:lvlJc w:val="right"/>
        <w:pPr>
          <w:ind w:left="0" w:firstLine="540"/>
        </w:pPr>
        <w:rPr>
          <w:rFonts w:hint="default"/>
        </w:rPr>
      </w:lvl>
    </w:lvlOverride>
  </w:num>
  <w:num w:numId="6" w16cid:durableId="775371423">
    <w:abstractNumId w:val="8"/>
  </w:num>
  <w:num w:numId="7" w16cid:durableId="1826319083">
    <w:abstractNumId w:val="6"/>
  </w:num>
  <w:num w:numId="8" w16cid:durableId="2092433604">
    <w:abstractNumId w:val="18"/>
  </w:num>
  <w:num w:numId="9" w16cid:durableId="898437970">
    <w:abstractNumId w:val="0"/>
  </w:num>
  <w:num w:numId="10" w16cid:durableId="1608809564">
    <w:abstractNumId w:val="8"/>
  </w:num>
  <w:num w:numId="11" w16cid:durableId="439572290">
    <w:abstractNumId w:val="15"/>
  </w:num>
  <w:num w:numId="12" w16cid:durableId="1543319894">
    <w:abstractNumId w:val="16"/>
  </w:num>
  <w:num w:numId="13" w16cid:durableId="835192605">
    <w:abstractNumId w:val="3"/>
  </w:num>
  <w:num w:numId="14" w16cid:durableId="108622284">
    <w:abstractNumId w:val="20"/>
  </w:num>
  <w:num w:numId="15" w16cid:durableId="2141878598">
    <w:abstractNumId w:val="10"/>
  </w:num>
  <w:num w:numId="16" w16cid:durableId="1483350306">
    <w:abstractNumId w:val="13"/>
  </w:num>
  <w:num w:numId="17" w16cid:durableId="644163041">
    <w:abstractNumId w:val="11"/>
  </w:num>
  <w:num w:numId="18" w16cid:durableId="211962733">
    <w:abstractNumId w:val="19"/>
  </w:num>
  <w:num w:numId="19" w16cid:durableId="2123649813">
    <w:abstractNumId w:val="24"/>
  </w:num>
  <w:num w:numId="20" w16cid:durableId="124397164">
    <w:abstractNumId w:val="2"/>
  </w:num>
  <w:num w:numId="21" w16cid:durableId="84694575">
    <w:abstractNumId w:val="25"/>
  </w:num>
  <w:num w:numId="22" w16cid:durableId="2081563397">
    <w:abstractNumId w:val="7"/>
  </w:num>
  <w:num w:numId="23" w16cid:durableId="360326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8369580">
    <w:abstractNumId w:val="1"/>
  </w:num>
  <w:num w:numId="25" w16cid:durableId="1709991421">
    <w:abstractNumId w:val="21"/>
  </w:num>
  <w:num w:numId="26" w16cid:durableId="128863113">
    <w:abstractNumId w:val="22"/>
  </w:num>
  <w:num w:numId="27" w16cid:durableId="1565484241">
    <w:abstractNumId w:val="12"/>
  </w:num>
  <w:num w:numId="28" w16cid:durableId="1719476358">
    <w:abstractNumId w:val="9"/>
  </w:num>
  <w:num w:numId="29" w16cid:durableId="165406903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69"/>
    <w:rsid w:val="0000054E"/>
    <w:rsid w:val="00000592"/>
    <w:rsid w:val="00000F6A"/>
    <w:rsid w:val="00001B69"/>
    <w:rsid w:val="000023D9"/>
    <w:rsid w:val="00005972"/>
    <w:rsid w:val="00007E9C"/>
    <w:rsid w:val="00013372"/>
    <w:rsid w:val="00013B29"/>
    <w:rsid w:val="0001425C"/>
    <w:rsid w:val="00014B4B"/>
    <w:rsid w:val="00016558"/>
    <w:rsid w:val="0001674F"/>
    <w:rsid w:val="0002482E"/>
    <w:rsid w:val="00025CC4"/>
    <w:rsid w:val="00027E5C"/>
    <w:rsid w:val="000305EF"/>
    <w:rsid w:val="00030886"/>
    <w:rsid w:val="000316B2"/>
    <w:rsid w:val="00031DB2"/>
    <w:rsid w:val="00035265"/>
    <w:rsid w:val="00035C86"/>
    <w:rsid w:val="000419CD"/>
    <w:rsid w:val="00045682"/>
    <w:rsid w:val="0005096B"/>
    <w:rsid w:val="000521EF"/>
    <w:rsid w:val="00053640"/>
    <w:rsid w:val="000546AE"/>
    <w:rsid w:val="00054963"/>
    <w:rsid w:val="000559C4"/>
    <w:rsid w:val="00055CE4"/>
    <w:rsid w:val="000632B0"/>
    <w:rsid w:val="00064532"/>
    <w:rsid w:val="00064F7F"/>
    <w:rsid w:val="00065E9C"/>
    <w:rsid w:val="00066BEA"/>
    <w:rsid w:val="00067141"/>
    <w:rsid w:val="0007115A"/>
    <w:rsid w:val="000722CA"/>
    <w:rsid w:val="00077AAF"/>
    <w:rsid w:val="000805AD"/>
    <w:rsid w:val="000815E7"/>
    <w:rsid w:val="00082023"/>
    <w:rsid w:val="000846A2"/>
    <w:rsid w:val="00085607"/>
    <w:rsid w:val="000857BA"/>
    <w:rsid w:val="00085C92"/>
    <w:rsid w:val="0008630D"/>
    <w:rsid w:val="00086533"/>
    <w:rsid w:val="00086718"/>
    <w:rsid w:val="0009018D"/>
    <w:rsid w:val="00093735"/>
    <w:rsid w:val="00094307"/>
    <w:rsid w:val="000947FD"/>
    <w:rsid w:val="00096FF3"/>
    <w:rsid w:val="000973C8"/>
    <w:rsid w:val="000A07C6"/>
    <w:rsid w:val="000A10FC"/>
    <w:rsid w:val="000A164C"/>
    <w:rsid w:val="000A2AA9"/>
    <w:rsid w:val="000A3946"/>
    <w:rsid w:val="000A56F2"/>
    <w:rsid w:val="000A6E05"/>
    <w:rsid w:val="000B0E5D"/>
    <w:rsid w:val="000B12FA"/>
    <w:rsid w:val="000B435F"/>
    <w:rsid w:val="000B4775"/>
    <w:rsid w:val="000B53BE"/>
    <w:rsid w:val="000B7064"/>
    <w:rsid w:val="000C083C"/>
    <w:rsid w:val="000C08BF"/>
    <w:rsid w:val="000C1060"/>
    <w:rsid w:val="000C255A"/>
    <w:rsid w:val="000C3B9A"/>
    <w:rsid w:val="000C634E"/>
    <w:rsid w:val="000C6FA7"/>
    <w:rsid w:val="000D0AF1"/>
    <w:rsid w:val="000D25A8"/>
    <w:rsid w:val="000D419E"/>
    <w:rsid w:val="000D7F9E"/>
    <w:rsid w:val="000E1390"/>
    <w:rsid w:val="000E2ED0"/>
    <w:rsid w:val="000E4847"/>
    <w:rsid w:val="000E4C53"/>
    <w:rsid w:val="000E58F3"/>
    <w:rsid w:val="000F0CC3"/>
    <w:rsid w:val="000F2D55"/>
    <w:rsid w:val="000F2F87"/>
    <w:rsid w:val="000F38CC"/>
    <w:rsid w:val="000F45F7"/>
    <w:rsid w:val="000F5B3C"/>
    <w:rsid w:val="000F641E"/>
    <w:rsid w:val="000F6904"/>
    <w:rsid w:val="000F7B0A"/>
    <w:rsid w:val="00101320"/>
    <w:rsid w:val="00101C10"/>
    <w:rsid w:val="00101E43"/>
    <w:rsid w:val="00102543"/>
    <w:rsid w:val="001037EE"/>
    <w:rsid w:val="00103FE1"/>
    <w:rsid w:val="0010402C"/>
    <w:rsid w:val="0010639D"/>
    <w:rsid w:val="00106AF3"/>
    <w:rsid w:val="00106C80"/>
    <w:rsid w:val="00107753"/>
    <w:rsid w:val="00110EA6"/>
    <w:rsid w:val="0011248C"/>
    <w:rsid w:val="001148AC"/>
    <w:rsid w:val="001174EF"/>
    <w:rsid w:val="001178AD"/>
    <w:rsid w:val="00120B32"/>
    <w:rsid w:val="00121089"/>
    <w:rsid w:val="00124972"/>
    <w:rsid w:val="00124F78"/>
    <w:rsid w:val="00125DE6"/>
    <w:rsid w:val="00130ADC"/>
    <w:rsid w:val="00131370"/>
    <w:rsid w:val="0013190F"/>
    <w:rsid w:val="00132B27"/>
    <w:rsid w:val="00134F0E"/>
    <w:rsid w:val="001412EA"/>
    <w:rsid w:val="00141404"/>
    <w:rsid w:val="0014420B"/>
    <w:rsid w:val="00144A3C"/>
    <w:rsid w:val="00145F2D"/>
    <w:rsid w:val="00146D4D"/>
    <w:rsid w:val="00147A87"/>
    <w:rsid w:val="00150616"/>
    <w:rsid w:val="001506FB"/>
    <w:rsid w:val="00150C1E"/>
    <w:rsid w:val="00152A71"/>
    <w:rsid w:val="00153EA1"/>
    <w:rsid w:val="0015401D"/>
    <w:rsid w:val="00156EB1"/>
    <w:rsid w:val="001605BA"/>
    <w:rsid w:val="00163592"/>
    <w:rsid w:val="00163FDA"/>
    <w:rsid w:val="0016428E"/>
    <w:rsid w:val="00165179"/>
    <w:rsid w:val="0016576C"/>
    <w:rsid w:val="00171461"/>
    <w:rsid w:val="001714F0"/>
    <w:rsid w:val="00172B4B"/>
    <w:rsid w:val="00175274"/>
    <w:rsid w:val="001757FC"/>
    <w:rsid w:val="00175E10"/>
    <w:rsid w:val="001813DF"/>
    <w:rsid w:val="0018292D"/>
    <w:rsid w:val="00182AFC"/>
    <w:rsid w:val="00184600"/>
    <w:rsid w:val="001859CE"/>
    <w:rsid w:val="00185B31"/>
    <w:rsid w:val="0019116B"/>
    <w:rsid w:val="00193590"/>
    <w:rsid w:val="00196C83"/>
    <w:rsid w:val="00196EBD"/>
    <w:rsid w:val="001A2BC4"/>
    <w:rsid w:val="001A311B"/>
    <w:rsid w:val="001A35E8"/>
    <w:rsid w:val="001A383F"/>
    <w:rsid w:val="001A39B6"/>
    <w:rsid w:val="001A3FF2"/>
    <w:rsid w:val="001A4BF5"/>
    <w:rsid w:val="001A5619"/>
    <w:rsid w:val="001A5A76"/>
    <w:rsid w:val="001B1C80"/>
    <w:rsid w:val="001B67D4"/>
    <w:rsid w:val="001B7E22"/>
    <w:rsid w:val="001C04DD"/>
    <w:rsid w:val="001C363F"/>
    <w:rsid w:val="001C5E50"/>
    <w:rsid w:val="001C6459"/>
    <w:rsid w:val="001C6B18"/>
    <w:rsid w:val="001D0F66"/>
    <w:rsid w:val="001D1734"/>
    <w:rsid w:val="001D3849"/>
    <w:rsid w:val="001D3AC3"/>
    <w:rsid w:val="001D4A4D"/>
    <w:rsid w:val="001D766B"/>
    <w:rsid w:val="001D7910"/>
    <w:rsid w:val="001E2A62"/>
    <w:rsid w:val="001E371D"/>
    <w:rsid w:val="001E46AD"/>
    <w:rsid w:val="001E6638"/>
    <w:rsid w:val="001F2819"/>
    <w:rsid w:val="001F2D3E"/>
    <w:rsid w:val="001F6615"/>
    <w:rsid w:val="00200B6B"/>
    <w:rsid w:val="00201F26"/>
    <w:rsid w:val="0020305E"/>
    <w:rsid w:val="00203A66"/>
    <w:rsid w:val="00204098"/>
    <w:rsid w:val="002043EC"/>
    <w:rsid w:val="00206901"/>
    <w:rsid w:val="00206AAB"/>
    <w:rsid w:val="00206B8B"/>
    <w:rsid w:val="00213792"/>
    <w:rsid w:val="00216541"/>
    <w:rsid w:val="00216F43"/>
    <w:rsid w:val="0023220C"/>
    <w:rsid w:val="002330B2"/>
    <w:rsid w:val="00234BA8"/>
    <w:rsid w:val="00236179"/>
    <w:rsid w:val="00236B03"/>
    <w:rsid w:val="002370CD"/>
    <w:rsid w:val="00240ED4"/>
    <w:rsid w:val="00242CB9"/>
    <w:rsid w:val="00242DF6"/>
    <w:rsid w:val="00243DC0"/>
    <w:rsid w:val="00244268"/>
    <w:rsid w:val="00247477"/>
    <w:rsid w:val="0024782C"/>
    <w:rsid w:val="002521B4"/>
    <w:rsid w:val="002526C1"/>
    <w:rsid w:val="002540EE"/>
    <w:rsid w:val="002576F0"/>
    <w:rsid w:val="00260022"/>
    <w:rsid w:val="00263D84"/>
    <w:rsid w:val="00264175"/>
    <w:rsid w:val="0026477A"/>
    <w:rsid w:val="002656B8"/>
    <w:rsid w:val="002678A1"/>
    <w:rsid w:val="00270440"/>
    <w:rsid w:val="00270B66"/>
    <w:rsid w:val="00271326"/>
    <w:rsid w:val="00272BD9"/>
    <w:rsid w:val="00273079"/>
    <w:rsid w:val="00275743"/>
    <w:rsid w:val="00280AB2"/>
    <w:rsid w:val="002824BC"/>
    <w:rsid w:val="002832B4"/>
    <w:rsid w:val="00285777"/>
    <w:rsid w:val="002902AF"/>
    <w:rsid w:val="00290EA4"/>
    <w:rsid w:val="00293DEE"/>
    <w:rsid w:val="00295620"/>
    <w:rsid w:val="002956FF"/>
    <w:rsid w:val="00295B56"/>
    <w:rsid w:val="002964E9"/>
    <w:rsid w:val="002A0B5D"/>
    <w:rsid w:val="002A3EF4"/>
    <w:rsid w:val="002A4978"/>
    <w:rsid w:val="002B0198"/>
    <w:rsid w:val="002B106E"/>
    <w:rsid w:val="002B2C6D"/>
    <w:rsid w:val="002B3F22"/>
    <w:rsid w:val="002B5CB1"/>
    <w:rsid w:val="002B6629"/>
    <w:rsid w:val="002B716B"/>
    <w:rsid w:val="002C05C6"/>
    <w:rsid w:val="002C0BB2"/>
    <w:rsid w:val="002C1B2B"/>
    <w:rsid w:val="002C3A4B"/>
    <w:rsid w:val="002C40C3"/>
    <w:rsid w:val="002C6910"/>
    <w:rsid w:val="002C7FE9"/>
    <w:rsid w:val="002D05D8"/>
    <w:rsid w:val="002D482E"/>
    <w:rsid w:val="002D4EFD"/>
    <w:rsid w:val="002D692B"/>
    <w:rsid w:val="002D6EBC"/>
    <w:rsid w:val="002E2F53"/>
    <w:rsid w:val="002E5B15"/>
    <w:rsid w:val="002E6D9A"/>
    <w:rsid w:val="002F1534"/>
    <w:rsid w:val="002F4814"/>
    <w:rsid w:val="002F499E"/>
    <w:rsid w:val="002F6145"/>
    <w:rsid w:val="002F61D8"/>
    <w:rsid w:val="002F64AB"/>
    <w:rsid w:val="00300A3E"/>
    <w:rsid w:val="00302B5F"/>
    <w:rsid w:val="00305269"/>
    <w:rsid w:val="00305449"/>
    <w:rsid w:val="00307B7D"/>
    <w:rsid w:val="00312E05"/>
    <w:rsid w:val="003151B0"/>
    <w:rsid w:val="003158EE"/>
    <w:rsid w:val="00316071"/>
    <w:rsid w:val="003162F3"/>
    <w:rsid w:val="00316FD0"/>
    <w:rsid w:val="003176D2"/>
    <w:rsid w:val="003209BC"/>
    <w:rsid w:val="003229D0"/>
    <w:rsid w:val="003238AD"/>
    <w:rsid w:val="0032397B"/>
    <w:rsid w:val="00323E4D"/>
    <w:rsid w:val="003251D3"/>
    <w:rsid w:val="0032564D"/>
    <w:rsid w:val="003318BE"/>
    <w:rsid w:val="00332250"/>
    <w:rsid w:val="00333403"/>
    <w:rsid w:val="003336B3"/>
    <w:rsid w:val="003336FF"/>
    <w:rsid w:val="0033587D"/>
    <w:rsid w:val="00337E71"/>
    <w:rsid w:val="00337EC3"/>
    <w:rsid w:val="0034049C"/>
    <w:rsid w:val="00341402"/>
    <w:rsid w:val="003431DC"/>
    <w:rsid w:val="00343E5C"/>
    <w:rsid w:val="00344920"/>
    <w:rsid w:val="00345009"/>
    <w:rsid w:val="003452D9"/>
    <w:rsid w:val="00347274"/>
    <w:rsid w:val="0035253E"/>
    <w:rsid w:val="0035346B"/>
    <w:rsid w:val="00353593"/>
    <w:rsid w:val="0036017B"/>
    <w:rsid w:val="00362755"/>
    <w:rsid w:val="00362AFD"/>
    <w:rsid w:val="0036338C"/>
    <w:rsid w:val="0036527D"/>
    <w:rsid w:val="003661A5"/>
    <w:rsid w:val="0036665B"/>
    <w:rsid w:val="00367DA9"/>
    <w:rsid w:val="0037069E"/>
    <w:rsid w:val="00373B93"/>
    <w:rsid w:val="0037514C"/>
    <w:rsid w:val="00380F1B"/>
    <w:rsid w:val="003812A3"/>
    <w:rsid w:val="003814D3"/>
    <w:rsid w:val="00383002"/>
    <w:rsid w:val="003834C9"/>
    <w:rsid w:val="0038381B"/>
    <w:rsid w:val="00384109"/>
    <w:rsid w:val="00387B2A"/>
    <w:rsid w:val="0039012E"/>
    <w:rsid w:val="003905C9"/>
    <w:rsid w:val="0039566A"/>
    <w:rsid w:val="00395945"/>
    <w:rsid w:val="00397653"/>
    <w:rsid w:val="003A0CB9"/>
    <w:rsid w:val="003A27BA"/>
    <w:rsid w:val="003A38F0"/>
    <w:rsid w:val="003A4A30"/>
    <w:rsid w:val="003A4B03"/>
    <w:rsid w:val="003A701B"/>
    <w:rsid w:val="003B1B63"/>
    <w:rsid w:val="003B2A79"/>
    <w:rsid w:val="003B4683"/>
    <w:rsid w:val="003B4B33"/>
    <w:rsid w:val="003B5977"/>
    <w:rsid w:val="003C06CC"/>
    <w:rsid w:val="003C3D90"/>
    <w:rsid w:val="003C4193"/>
    <w:rsid w:val="003C477B"/>
    <w:rsid w:val="003C49FE"/>
    <w:rsid w:val="003C5D7E"/>
    <w:rsid w:val="003D11FC"/>
    <w:rsid w:val="003D4245"/>
    <w:rsid w:val="003D494B"/>
    <w:rsid w:val="003D4A1B"/>
    <w:rsid w:val="003D4EB7"/>
    <w:rsid w:val="003D5558"/>
    <w:rsid w:val="003D6438"/>
    <w:rsid w:val="003F1184"/>
    <w:rsid w:val="003F1FBF"/>
    <w:rsid w:val="003F3C87"/>
    <w:rsid w:val="003F3D1D"/>
    <w:rsid w:val="003F4329"/>
    <w:rsid w:val="003F6AB4"/>
    <w:rsid w:val="003F77B1"/>
    <w:rsid w:val="00400A28"/>
    <w:rsid w:val="00400E23"/>
    <w:rsid w:val="00400F0B"/>
    <w:rsid w:val="00400FF1"/>
    <w:rsid w:val="004010A5"/>
    <w:rsid w:val="004068AE"/>
    <w:rsid w:val="00411545"/>
    <w:rsid w:val="00412534"/>
    <w:rsid w:val="0041272F"/>
    <w:rsid w:val="004127FC"/>
    <w:rsid w:val="00412C83"/>
    <w:rsid w:val="004142B5"/>
    <w:rsid w:val="0041572B"/>
    <w:rsid w:val="00417169"/>
    <w:rsid w:val="00420895"/>
    <w:rsid w:val="00423F7D"/>
    <w:rsid w:val="00424377"/>
    <w:rsid w:val="00424D26"/>
    <w:rsid w:val="00426014"/>
    <w:rsid w:val="00432A32"/>
    <w:rsid w:val="004343CD"/>
    <w:rsid w:val="00435DFB"/>
    <w:rsid w:val="00436518"/>
    <w:rsid w:val="00437D4E"/>
    <w:rsid w:val="00442414"/>
    <w:rsid w:val="00442A22"/>
    <w:rsid w:val="00444974"/>
    <w:rsid w:val="004452E7"/>
    <w:rsid w:val="0044591E"/>
    <w:rsid w:val="00450103"/>
    <w:rsid w:val="00454038"/>
    <w:rsid w:val="00454664"/>
    <w:rsid w:val="00456429"/>
    <w:rsid w:val="00457C74"/>
    <w:rsid w:val="004608F9"/>
    <w:rsid w:val="00460B7D"/>
    <w:rsid w:val="00465E0B"/>
    <w:rsid w:val="00466A3A"/>
    <w:rsid w:val="004677CB"/>
    <w:rsid w:val="00467986"/>
    <w:rsid w:val="004707A0"/>
    <w:rsid w:val="00470B26"/>
    <w:rsid w:val="0047320D"/>
    <w:rsid w:val="00474F75"/>
    <w:rsid w:val="00475812"/>
    <w:rsid w:val="00480CB0"/>
    <w:rsid w:val="00482ED0"/>
    <w:rsid w:val="0048559D"/>
    <w:rsid w:val="0048690A"/>
    <w:rsid w:val="00486937"/>
    <w:rsid w:val="0048732B"/>
    <w:rsid w:val="00490B06"/>
    <w:rsid w:val="0049111A"/>
    <w:rsid w:val="00491E86"/>
    <w:rsid w:val="004957B6"/>
    <w:rsid w:val="00495FF3"/>
    <w:rsid w:val="0049694B"/>
    <w:rsid w:val="004973B3"/>
    <w:rsid w:val="004A03B5"/>
    <w:rsid w:val="004A1CC2"/>
    <w:rsid w:val="004A2A0E"/>
    <w:rsid w:val="004A2A5C"/>
    <w:rsid w:val="004A2E36"/>
    <w:rsid w:val="004A2EA2"/>
    <w:rsid w:val="004A30B4"/>
    <w:rsid w:val="004A4E8B"/>
    <w:rsid w:val="004A4F4D"/>
    <w:rsid w:val="004A6334"/>
    <w:rsid w:val="004A68AC"/>
    <w:rsid w:val="004A6906"/>
    <w:rsid w:val="004A77F7"/>
    <w:rsid w:val="004B22CC"/>
    <w:rsid w:val="004B30BB"/>
    <w:rsid w:val="004B34EA"/>
    <w:rsid w:val="004B5494"/>
    <w:rsid w:val="004C030C"/>
    <w:rsid w:val="004C1B90"/>
    <w:rsid w:val="004C27E2"/>
    <w:rsid w:val="004C38AD"/>
    <w:rsid w:val="004C7D3A"/>
    <w:rsid w:val="004D037F"/>
    <w:rsid w:val="004D0C92"/>
    <w:rsid w:val="004D17E7"/>
    <w:rsid w:val="004D32D0"/>
    <w:rsid w:val="004D6D78"/>
    <w:rsid w:val="004D73AE"/>
    <w:rsid w:val="004E0A09"/>
    <w:rsid w:val="004E190C"/>
    <w:rsid w:val="004E22AE"/>
    <w:rsid w:val="004E2C7C"/>
    <w:rsid w:val="004E2CE5"/>
    <w:rsid w:val="004E2FFB"/>
    <w:rsid w:val="004E4290"/>
    <w:rsid w:val="004E4690"/>
    <w:rsid w:val="004E6D1A"/>
    <w:rsid w:val="004E7415"/>
    <w:rsid w:val="004E7F54"/>
    <w:rsid w:val="004F08DE"/>
    <w:rsid w:val="004F2958"/>
    <w:rsid w:val="004F314F"/>
    <w:rsid w:val="004F56DB"/>
    <w:rsid w:val="004F6AF2"/>
    <w:rsid w:val="004F78E8"/>
    <w:rsid w:val="00500B93"/>
    <w:rsid w:val="005018A8"/>
    <w:rsid w:val="005018F5"/>
    <w:rsid w:val="00505A39"/>
    <w:rsid w:val="00505F13"/>
    <w:rsid w:val="00506999"/>
    <w:rsid w:val="00507056"/>
    <w:rsid w:val="00512D6E"/>
    <w:rsid w:val="00514F1A"/>
    <w:rsid w:val="00514F85"/>
    <w:rsid w:val="005150DB"/>
    <w:rsid w:val="00515D6C"/>
    <w:rsid w:val="00516888"/>
    <w:rsid w:val="00517960"/>
    <w:rsid w:val="00517BD7"/>
    <w:rsid w:val="00520ED8"/>
    <w:rsid w:val="005223F7"/>
    <w:rsid w:val="005240BF"/>
    <w:rsid w:val="0052773E"/>
    <w:rsid w:val="00530EBE"/>
    <w:rsid w:val="00530F14"/>
    <w:rsid w:val="005329FA"/>
    <w:rsid w:val="00533A85"/>
    <w:rsid w:val="0053414B"/>
    <w:rsid w:val="00534C99"/>
    <w:rsid w:val="005369FC"/>
    <w:rsid w:val="00537041"/>
    <w:rsid w:val="00541BBF"/>
    <w:rsid w:val="005427C6"/>
    <w:rsid w:val="00543E82"/>
    <w:rsid w:val="005448E2"/>
    <w:rsid w:val="00545C67"/>
    <w:rsid w:val="00546891"/>
    <w:rsid w:val="00550359"/>
    <w:rsid w:val="00553E66"/>
    <w:rsid w:val="00556F36"/>
    <w:rsid w:val="00560E79"/>
    <w:rsid w:val="0056123E"/>
    <w:rsid w:val="005624D0"/>
    <w:rsid w:val="00564424"/>
    <w:rsid w:val="005653D6"/>
    <w:rsid w:val="00565810"/>
    <w:rsid w:val="00565F29"/>
    <w:rsid w:val="00570955"/>
    <w:rsid w:val="00571517"/>
    <w:rsid w:val="00572BFC"/>
    <w:rsid w:val="00572C2B"/>
    <w:rsid w:val="005738D7"/>
    <w:rsid w:val="005752D2"/>
    <w:rsid w:val="00577E89"/>
    <w:rsid w:val="00580617"/>
    <w:rsid w:val="00582342"/>
    <w:rsid w:val="00583700"/>
    <w:rsid w:val="00584BBB"/>
    <w:rsid w:val="00584BBE"/>
    <w:rsid w:val="00585390"/>
    <w:rsid w:val="0059049E"/>
    <w:rsid w:val="00590859"/>
    <w:rsid w:val="00590BFD"/>
    <w:rsid w:val="00591B23"/>
    <w:rsid w:val="00592EB9"/>
    <w:rsid w:val="00593457"/>
    <w:rsid w:val="005939A5"/>
    <w:rsid w:val="0059463E"/>
    <w:rsid w:val="005956CB"/>
    <w:rsid w:val="00597A26"/>
    <w:rsid w:val="00597E9B"/>
    <w:rsid w:val="005A0E88"/>
    <w:rsid w:val="005A148C"/>
    <w:rsid w:val="005A193A"/>
    <w:rsid w:val="005A24B2"/>
    <w:rsid w:val="005A2969"/>
    <w:rsid w:val="005A2A43"/>
    <w:rsid w:val="005A5909"/>
    <w:rsid w:val="005A7A7C"/>
    <w:rsid w:val="005B0E9B"/>
    <w:rsid w:val="005B19B7"/>
    <w:rsid w:val="005B2801"/>
    <w:rsid w:val="005B2C26"/>
    <w:rsid w:val="005B3CBF"/>
    <w:rsid w:val="005B400C"/>
    <w:rsid w:val="005B49E9"/>
    <w:rsid w:val="005B6C5A"/>
    <w:rsid w:val="005B7188"/>
    <w:rsid w:val="005B72C9"/>
    <w:rsid w:val="005B74CE"/>
    <w:rsid w:val="005B7B3B"/>
    <w:rsid w:val="005C0709"/>
    <w:rsid w:val="005C0D38"/>
    <w:rsid w:val="005C2FEA"/>
    <w:rsid w:val="005C3AB6"/>
    <w:rsid w:val="005C5649"/>
    <w:rsid w:val="005C693D"/>
    <w:rsid w:val="005D0A26"/>
    <w:rsid w:val="005D0CE5"/>
    <w:rsid w:val="005D0EB1"/>
    <w:rsid w:val="005D21C8"/>
    <w:rsid w:val="005D3A32"/>
    <w:rsid w:val="005D421C"/>
    <w:rsid w:val="005D4F1F"/>
    <w:rsid w:val="005D4FF5"/>
    <w:rsid w:val="005D681D"/>
    <w:rsid w:val="005E3077"/>
    <w:rsid w:val="005E31E7"/>
    <w:rsid w:val="005E39DE"/>
    <w:rsid w:val="005E66E5"/>
    <w:rsid w:val="005F0739"/>
    <w:rsid w:val="005F0C21"/>
    <w:rsid w:val="005F1B68"/>
    <w:rsid w:val="005F449F"/>
    <w:rsid w:val="005F457E"/>
    <w:rsid w:val="005F49E3"/>
    <w:rsid w:val="005F4B42"/>
    <w:rsid w:val="005F510E"/>
    <w:rsid w:val="005F5DD9"/>
    <w:rsid w:val="005F6970"/>
    <w:rsid w:val="00600AD1"/>
    <w:rsid w:val="006017B7"/>
    <w:rsid w:val="0060184F"/>
    <w:rsid w:val="00601AD2"/>
    <w:rsid w:val="00603D75"/>
    <w:rsid w:val="0060466E"/>
    <w:rsid w:val="00605529"/>
    <w:rsid w:val="00607323"/>
    <w:rsid w:val="0061393E"/>
    <w:rsid w:val="00614B09"/>
    <w:rsid w:val="006156D5"/>
    <w:rsid w:val="0062405E"/>
    <w:rsid w:val="00624500"/>
    <w:rsid w:val="0062480C"/>
    <w:rsid w:val="00632207"/>
    <w:rsid w:val="006323AC"/>
    <w:rsid w:val="0063258B"/>
    <w:rsid w:val="00634063"/>
    <w:rsid w:val="0063491C"/>
    <w:rsid w:val="00635E06"/>
    <w:rsid w:val="00637D24"/>
    <w:rsid w:val="006445F3"/>
    <w:rsid w:val="00646B5B"/>
    <w:rsid w:val="00647FBA"/>
    <w:rsid w:val="00650D19"/>
    <w:rsid w:val="006537F5"/>
    <w:rsid w:val="00656570"/>
    <w:rsid w:val="006603FE"/>
    <w:rsid w:val="0066047B"/>
    <w:rsid w:val="0066186A"/>
    <w:rsid w:val="00664E2E"/>
    <w:rsid w:val="0066625B"/>
    <w:rsid w:val="00671BF4"/>
    <w:rsid w:val="00672233"/>
    <w:rsid w:val="006741E5"/>
    <w:rsid w:val="00674CD2"/>
    <w:rsid w:val="006779F5"/>
    <w:rsid w:val="006803DF"/>
    <w:rsid w:val="006807AD"/>
    <w:rsid w:val="00682848"/>
    <w:rsid w:val="006834F8"/>
    <w:rsid w:val="006868E0"/>
    <w:rsid w:val="00686F19"/>
    <w:rsid w:val="00692A45"/>
    <w:rsid w:val="00693EAC"/>
    <w:rsid w:val="0069556A"/>
    <w:rsid w:val="00695E21"/>
    <w:rsid w:val="00696109"/>
    <w:rsid w:val="006963AD"/>
    <w:rsid w:val="00697966"/>
    <w:rsid w:val="006A1AD2"/>
    <w:rsid w:val="006A28A5"/>
    <w:rsid w:val="006A3473"/>
    <w:rsid w:val="006A4932"/>
    <w:rsid w:val="006A6678"/>
    <w:rsid w:val="006A69BA"/>
    <w:rsid w:val="006B0354"/>
    <w:rsid w:val="006B177F"/>
    <w:rsid w:val="006B2F3E"/>
    <w:rsid w:val="006C64F9"/>
    <w:rsid w:val="006C7D15"/>
    <w:rsid w:val="006D0591"/>
    <w:rsid w:val="006D4EE8"/>
    <w:rsid w:val="006D78C4"/>
    <w:rsid w:val="006E017B"/>
    <w:rsid w:val="006E04D6"/>
    <w:rsid w:val="006E0553"/>
    <w:rsid w:val="006E41C7"/>
    <w:rsid w:val="006E5E28"/>
    <w:rsid w:val="006E6574"/>
    <w:rsid w:val="006E7007"/>
    <w:rsid w:val="006E712A"/>
    <w:rsid w:val="006E7276"/>
    <w:rsid w:val="006F14DA"/>
    <w:rsid w:val="006F1ECE"/>
    <w:rsid w:val="006F2C57"/>
    <w:rsid w:val="006F2FC4"/>
    <w:rsid w:val="006F34DE"/>
    <w:rsid w:val="006F58FD"/>
    <w:rsid w:val="006F6525"/>
    <w:rsid w:val="006F7F39"/>
    <w:rsid w:val="00703351"/>
    <w:rsid w:val="007034D5"/>
    <w:rsid w:val="00706283"/>
    <w:rsid w:val="0070742F"/>
    <w:rsid w:val="00710322"/>
    <w:rsid w:val="00710A5C"/>
    <w:rsid w:val="0071121D"/>
    <w:rsid w:val="00711611"/>
    <w:rsid w:val="007116AE"/>
    <w:rsid w:val="00714B06"/>
    <w:rsid w:val="00714CF2"/>
    <w:rsid w:val="007156B9"/>
    <w:rsid w:val="00715A9A"/>
    <w:rsid w:val="00717DCD"/>
    <w:rsid w:val="00720817"/>
    <w:rsid w:val="00722850"/>
    <w:rsid w:val="007234F6"/>
    <w:rsid w:val="00725DAA"/>
    <w:rsid w:val="00725E92"/>
    <w:rsid w:val="00727109"/>
    <w:rsid w:val="0073088F"/>
    <w:rsid w:val="007310CF"/>
    <w:rsid w:val="00732D3C"/>
    <w:rsid w:val="0073353F"/>
    <w:rsid w:val="007344C1"/>
    <w:rsid w:val="007403D8"/>
    <w:rsid w:val="00741569"/>
    <w:rsid w:val="00742E45"/>
    <w:rsid w:val="007441CA"/>
    <w:rsid w:val="007447AF"/>
    <w:rsid w:val="00745966"/>
    <w:rsid w:val="00746B44"/>
    <w:rsid w:val="007477DF"/>
    <w:rsid w:val="00750816"/>
    <w:rsid w:val="007510AD"/>
    <w:rsid w:val="00751444"/>
    <w:rsid w:val="00751AE9"/>
    <w:rsid w:val="00754802"/>
    <w:rsid w:val="00754D2E"/>
    <w:rsid w:val="00756F11"/>
    <w:rsid w:val="007613F1"/>
    <w:rsid w:val="00761516"/>
    <w:rsid w:val="007620AE"/>
    <w:rsid w:val="007623D5"/>
    <w:rsid w:val="007657C1"/>
    <w:rsid w:val="00765E2E"/>
    <w:rsid w:val="007661BE"/>
    <w:rsid w:val="00766E09"/>
    <w:rsid w:val="007703B9"/>
    <w:rsid w:val="00773977"/>
    <w:rsid w:val="007742AF"/>
    <w:rsid w:val="00777D80"/>
    <w:rsid w:val="007819F3"/>
    <w:rsid w:val="00782D52"/>
    <w:rsid w:val="00796702"/>
    <w:rsid w:val="007A406D"/>
    <w:rsid w:val="007A62B0"/>
    <w:rsid w:val="007B0647"/>
    <w:rsid w:val="007B0BC6"/>
    <w:rsid w:val="007B2774"/>
    <w:rsid w:val="007B3CD4"/>
    <w:rsid w:val="007B44F9"/>
    <w:rsid w:val="007B45A7"/>
    <w:rsid w:val="007B4829"/>
    <w:rsid w:val="007C5A0C"/>
    <w:rsid w:val="007D20E9"/>
    <w:rsid w:val="007D2868"/>
    <w:rsid w:val="007D5C00"/>
    <w:rsid w:val="007D64E0"/>
    <w:rsid w:val="007E09C7"/>
    <w:rsid w:val="007E0FEE"/>
    <w:rsid w:val="007E17CE"/>
    <w:rsid w:val="007E2778"/>
    <w:rsid w:val="007E37F1"/>
    <w:rsid w:val="007E5164"/>
    <w:rsid w:val="007E580C"/>
    <w:rsid w:val="007E582D"/>
    <w:rsid w:val="007E6EB5"/>
    <w:rsid w:val="007E729C"/>
    <w:rsid w:val="007F19EC"/>
    <w:rsid w:val="007F2017"/>
    <w:rsid w:val="007F66E2"/>
    <w:rsid w:val="007F77EC"/>
    <w:rsid w:val="00802A54"/>
    <w:rsid w:val="00803F2A"/>
    <w:rsid w:val="00806611"/>
    <w:rsid w:val="0081075A"/>
    <w:rsid w:val="008132A7"/>
    <w:rsid w:val="008154F0"/>
    <w:rsid w:val="00815540"/>
    <w:rsid w:val="00820807"/>
    <w:rsid w:val="00821465"/>
    <w:rsid w:val="008214C7"/>
    <w:rsid w:val="00821D64"/>
    <w:rsid w:val="00822074"/>
    <w:rsid w:val="008220D5"/>
    <w:rsid w:val="008236DD"/>
    <w:rsid w:val="00830F83"/>
    <w:rsid w:val="00831CCC"/>
    <w:rsid w:val="00831F28"/>
    <w:rsid w:val="008339BB"/>
    <w:rsid w:val="008347D1"/>
    <w:rsid w:val="00834B66"/>
    <w:rsid w:val="00836DC9"/>
    <w:rsid w:val="00836FEB"/>
    <w:rsid w:val="00837F7C"/>
    <w:rsid w:val="00840041"/>
    <w:rsid w:val="00842A95"/>
    <w:rsid w:val="00842ADD"/>
    <w:rsid w:val="00844405"/>
    <w:rsid w:val="00846605"/>
    <w:rsid w:val="00847911"/>
    <w:rsid w:val="008479AF"/>
    <w:rsid w:val="00850E49"/>
    <w:rsid w:val="00850F10"/>
    <w:rsid w:val="00852C83"/>
    <w:rsid w:val="00852DC6"/>
    <w:rsid w:val="00853414"/>
    <w:rsid w:val="00853657"/>
    <w:rsid w:val="00857447"/>
    <w:rsid w:val="008600EF"/>
    <w:rsid w:val="00863BFC"/>
    <w:rsid w:val="0086419A"/>
    <w:rsid w:val="00864E6E"/>
    <w:rsid w:val="0086529D"/>
    <w:rsid w:val="008668E1"/>
    <w:rsid w:val="008669AC"/>
    <w:rsid w:val="0087023B"/>
    <w:rsid w:val="00874CEB"/>
    <w:rsid w:val="00876045"/>
    <w:rsid w:val="008773AD"/>
    <w:rsid w:val="008802D3"/>
    <w:rsid w:val="00881C6C"/>
    <w:rsid w:val="008821FC"/>
    <w:rsid w:val="008825C1"/>
    <w:rsid w:val="008828B2"/>
    <w:rsid w:val="00884FD1"/>
    <w:rsid w:val="008852DE"/>
    <w:rsid w:val="00885F11"/>
    <w:rsid w:val="00886599"/>
    <w:rsid w:val="00887D40"/>
    <w:rsid w:val="00890FE4"/>
    <w:rsid w:val="00891A1F"/>
    <w:rsid w:val="00894213"/>
    <w:rsid w:val="00896A66"/>
    <w:rsid w:val="008A0E5C"/>
    <w:rsid w:val="008A12AC"/>
    <w:rsid w:val="008A179F"/>
    <w:rsid w:val="008A4D6F"/>
    <w:rsid w:val="008B0864"/>
    <w:rsid w:val="008B24C2"/>
    <w:rsid w:val="008B40CB"/>
    <w:rsid w:val="008B5678"/>
    <w:rsid w:val="008B5B1A"/>
    <w:rsid w:val="008B613C"/>
    <w:rsid w:val="008C07C9"/>
    <w:rsid w:val="008C2192"/>
    <w:rsid w:val="008C391A"/>
    <w:rsid w:val="008C4032"/>
    <w:rsid w:val="008C5C09"/>
    <w:rsid w:val="008C5CF4"/>
    <w:rsid w:val="008C7413"/>
    <w:rsid w:val="008C7F4A"/>
    <w:rsid w:val="008D1062"/>
    <w:rsid w:val="008D16B7"/>
    <w:rsid w:val="008D3E93"/>
    <w:rsid w:val="008D6697"/>
    <w:rsid w:val="008D73E7"/>
    <w:rsid w:val="008E0A3B"/>
    <w:rsid w:val="008E109A"/>
    <w:rsid w:val="008E348D"/>
    <w:rsid w:val="008E3B03"/>
    <w:rsid w:val="008E4BB5"/>
    <w:rsid w:val="008E50C8"/>
    <w:rsid w:val="008E6AE6"/>
    <w:rsid w:val="008E732A"/>
    <w:rsid w:val="008F0116"/>
    <w:rsid w:val="008F0C75"/>
    <w:rsid w:val="008F10BE"/>
    <w:rsid w:val="008F143D"/>
    <w:rsid w:val="008F4305"/>
    <w:rsid w:val="008F644E"/>
    <w:rsid w:val="008F7C15"/>
    <w:rsid w:val="009027EC"/>
    <w:rsid w:val="009069A6"/>
    <w:rsid w:val="00912F1B"/>
    <w:rsid w:val="00913364"/>
    <w:rsid w:val="0091551C"/>
    <w:rsid w:val="00915C44"/>
    <w:rsid w:val="009165FF"/>
    <w:rsid w:val="0092012D"/>
    <w:rsid w:val="009207AA"/>
    <w:rsid w:val="00920EAA"/>
    <w:rsid w:val="00921E01"/>
    <w:rsid w:val="00922B86"/>
    <w:rsid w:val="00924538"/>
    <w:rsid w:val="0092474D"/>
    <w:rsid w:val="00924B95"/>
    <w:rsid w:val="009270E0"/>
    <w:rsid w:val="009301D2"/>
    <w:rsid w:val="00930326"/>
    <w:rsid w:val="00932418"/>
    <w:rsid w:val="00932865"/>
    <w:rsid w:val="009332BC"/>
    <w:rsid w:val="00935328"/>
    <w:rsid w:val="0094191E"/>
    <w:rsid w:val="00944C27"/>
    <w:rsid w:val="00947621"/>
    <w:rsid w:val="00947BC6"/>
    <w:rsid w:val="009507C1"/>
    <w:rsid w:val="009512CD"/>
    <w:rsid w:val="009529E2"/>
    <w:rsid w:val="009534AC"/>
    <w:rsid w:val="009570AF"/>
    <w:rsid w:val="009615BA"/>
    <w:rsid w:val="00962D59"/>
    <w:rsid w:val="00975FA0"/>
    <w:rsid w:val="00976055"/>
    <w:rsid w:val="0097643B"/>
    <w:rsid w:val="00976D51"/>
    <w:rsid w:val="009773D9"/>
    <w:rsid w:val="00977830"/>
    <w:rsid w:val="00977957"/>
    <w:rsid w:val="0098138E"/>
    <w:rsid w:val="00985932"/>
    <w:rsid w:val="0098655A"/>
    <w:rsid w:val="009872F7"/>
    <w:rsid w:val="00993320"/>
    <w:rsid w:val="00993611"/>
    <w:rsid w:val="00994297"/>
    <w:rsid w:val="0099685C"/>
    <w:rsid w:val="00997F50"/>
    <w:rsid w:val="009A07B3"/>
    <w:rsid w:val="009A08A9"/>
    <w:rsid w:val="009A0AA5"/>
    <w:rsid w:val="009A1887"/>
    <w:rsid w:val="009A2526"/>
    <w:rsid w:val="009A3576"/>
    <w:rsid w:val="009A3D0B"/>
    <w:rsid w:val="009A4AB7"/>
    <w:rsid w:val="009A4B95"/>
    <w:rsid w:val="009B3782"/>
    <w:rsid w:val="009B463F"/>
    <w:rsid w:val="009B5D70"/>
    <w:rsid w:val="009B6034"/>
    <w:rsid w:val="009B6C3E"/>
    <w:rsid w:val="009C19F8"/>
    <w:rsid w:val="009C1C49"/>
    <w:rsid w:val="009C1F6C"/>
    <w:rsid w:val="009C35FC"/>
    <w:rsid w:val="009C3C8C"/>
    <w:rsid w:val="009C47C2"/>
    <w:rsid w:val="009C514F"/>
    <w:rsid w:val="009C652F"/>
    <w:rsid w:val="009C750B"/>
    <w:rsid w:val="009C7FF8"/>
    <w:rsid w:val="009D041C"/>
    <w:rsid w:val="009D160F"/>
    <w:rsid w:val="009D1793"/>
    <w:rsid w:val="009D5AA0"/>
    <w:rsid w:val="009D65D2"/>
    <w:rsid w:val="009E1E4F"/>
    <w:rsid w:val="009E3CA8"/>
    <w:rsid w:val="009E3F8F"/>
    <w:rsid w:val="009E48EC"/>
    <w:rsid w:val="009E6C7D"/>
    <w:rsid w:val="009E7C7F"/>
    <w:rsid w:val="009F0F8B"/>
    <w:rsid w:val="009F1F93"/>
    <w:rsid w:val="009F6D36"/>
    <w:rsid w:val="009F7195"/>
    <w:rsid w:val="009F7751"/>
    <w:rsid w:val="00A00BE2"/>
    <w:rsid w:val="00A017A7"/>
    <w:rsid w:val="00A03118"/>
    <w:rsid w:val="00A0374D"/>
    <w:rsid w:val="00A04C01"/>
    <w:rsid w:val="00A04F80"/>
    <w:rsid w:val="00A05CF7"/>
    <w:rsid w:val="00A076DF"/>
    <w:rsid w:val="00A10D2E"/>
    <w:rsid w:val="00A12911"/>
    <w:rsid w:val="00A13FD0"/>
    <w:rsid w:val="00A152A2"/>
    <w:rsid w:val="00A16CFA"/>
    <w:rsid w:val="00A17CE0"/>
    <w:rsid w:val="00A20496"/>
    <w:rsid w:val="00A22041"/>
    <w:rsid w:val="00A22C54"/>
    <w:rsid w:val="00A2452B"/>
    <w:rsid w:val="00A27F65"/>
    <w:rsid w:val="00A30EF8"/>
    <w:rsid w:val="00A410B7"/>
    <w:rsid w:val="00A4175D"/>
    <w:rsid w:val="00A41DA3"/>
    <w:rsid w:val="00A42306"/>
    <w:rsid w:val="00A42937"/>
    <w:rsid w:val="00A42F7E"/>
    <w:rsid w:val="00A4334D"/>
    <w:rsid w:val="00A44919"/>
    <w:rsid w:val="00A46FE0"/>
    <w:rsid w:val="00A473E7"/>
    <w:rsid w:val="00A511B0"/>
    <w:rsid w:val="00A51985"/>
    <w:rsid w:val="00A55ACD"/>
    <w:rsid w:val="00A6115B"/>
    <w:rsid w:val="00A613EA"/>
    <w:rsid w:val="00A66AB8"/>
    <w:rsid w:val="00A70523"/>
    <w:rsid w:val="00A70988"/>
    <w:rsid w:val="00A7288F"/>
    <w:rsid w:val="00A764F8"/>
    <w:rsid w:val="00A77643"/>
    <w:rsid w:val="00A77D24"/>
    <w:rsid w:val="00A818BD"/>
    <w:rsid w:val="00A82061"/>
    <w:rsid w:val="00A9013D"/>
    <w:rsid w:val="00A94ABB"/>
    <w:rsid w:val="00A96C3C"/>
    <w:rsid w:val="00AA00E9"/>
    <w:rsid w:val="00AA0890"/>
    <w:rsid w:val="00AA16C9"/>
    <w:rsid w:val="00AA5AF6"/>
    <w:rsid w:val="00AA6F51"/>
    <w:rsid w:val="00AA74BF"/>
    <w:rsid w:val="00AB3008"/>
    <w:rsid w:val="00AB4E22"/>
    <w:rsid w:val="00AC1269"/>
    <w:rsid w:val="00AC2571"/>
    <w:rsid w:val="00AC3F57"/>
    <w:rsid w:val="00AC4A56"/>
    <w:rsid w:val="00AC601D"/>
    <w:rsid w:val="00AC7A4C"/>
    <w:rsid w:val="00AD0092"/>
    <w:rsid w:val="00AD476F"/>
    <w:rsid w:val="00AD6425"/>
    <w:rsid w:val="00AD71F6"/>
    <w:rsid w:val="00AD74BF"/>
    <w:rsid w:val="00AD79E6"/>
    <w:rsid w:val="00AE0C81"/>
    <w:rsid w:val="00AE26DD"/>
    <w:rsid w:val="00AE3BA9"/>
    <w:rsid w:val="00AE526F"/>
    <w:rsid w:val="00AE738E"/>
    <w:rsid w:val="00AF0647"/>
    <w:rsid w:val="00AF1097"/>
    <w:rsid w:val="00AF17F5"/>
    <w:rsid w:val="00AF1955"/>
    <w:rsid w:val="00AF2623"/>
    <w:rsid w:val="00AF3775"/>
    <w:rsid w:val="00AF475B"/>
    <w:rsid w:val="00AF60C5"/>
    <w:rsid w:val="00AF618C"/>
    <w:rsid w:val="00B008F5"/>
    <w:rsid w:val="00B01F7E"/>
    <w:rsid w:val="00B03168"/>
    <w:rsid w:val="00B033C6"/>
    <w:rsid w:val="00B05D58"/>
    <w:rsid w:val="00B0629F"/>
    <w:rsid w:val="00B10525"/>
    <w:rsid w:val="00B10536"/>
    <w:rsid w:val="00B10F50"/>
    <w:rsid w:val="00B1197D"/>
    <w:rsid w:val="00B120B5"/>
    <w:rsid w:val="00B12A09"/>
    <w:rsid w:val="00B13D64"/>
    <w:rsid w:val="00B14E06"/>
    <w:rsid w:val="00B159F2"/>
    <w:rsid w:val="00B1672E"/>
    <w:rsid w:val="00B23280"/>
    <w:rsid w:val="00B253AB"/>
    <w:rsid w:val="00B257AF"/>
    <w:rsid w:val="00B26DDE"/>
    <w:rsid w:val="00B3087D"/>
    <w:rsid w:val="00B343AF"/>
    <w:rsid w:val="00B34794"/>
    <w:rsid w:val="00B353C6"/>
    <w:rsid w:val="00B37134"/>
    <w:rsid w:val="00B37DAF"/>
    <w:rsid w:val="00B40E05"/>
    <w:rsid w:val="00B41801"/>
    <w:rsid w:val="00B44565"/>
    <w:rsid w:val="00B475EA"/>
    <w:rsid w:val="00B47823"/>
    <w:rsid w:val="00B50E87"/>
    <w:rsid w:val="00B5174C"/>
    <w:rsid w:val="00B569D7"/>
    <w:rsid w:val="00B56F43"/>
    <w:rsid w:val="00B60421"/>
    <w:rsid w:val="00B60731"/>
    <w:rsid w:val="00B619B3"/>
    <w:rsid w:val="00B62B3D"/>
    <w:rsid w:val="00B648EC"/>
    <w:rsid w:val="00B64D13"/>
    <w:rsid w:val="00B65AB9"/>
    <w:rsid w:val="00B71462"/>
    <w:rsid w:val="00B714C0"/>
    <w:rsid w:val="00B71BAF"/>
    <w:rsid w:val="00B71DED"/>
    <w:rsid w:val="00B72FBE"/>
    <w:rsid w:val="00B74F5F"/>
    <w:rsid w:val="00B76206"/>
    <w:rsid w:val="00B7646C"/>
    <w:rsid w:val="00B80D24"/>
    <w:rsid w:val="00B81D60"/>
    <w:rsid w:val="00B8544A"/>
    <w:rsid w:val="00B86365"/>
    <w:rsid w:val="00B90EA5"/>
    <w:rsid w:val="00B94108"/>
    <w:rsid w:val="00B96FF4"/>
    <w:rsid w:val="00B9794A"/>
    <w:rsid w:val="00BA2BB1"/>
    <w:rsid w:val="00BA45E0"/>
    <w:rsid w:val="00BA552C"/>
    <w:rsid w:val="00BA6361"/>
    <w:rsid w:val="00BB0243"/>
    <w:rsid w:val="00BB0CD2"/>
    <w:rsid w:val="00BB2D41"/>
    <w:rsid w:val="00BB41FE"/>
    <w:rsid w:val="00BC1679"/>
    <w:rsid w:val="00BC1842"/>
    <w:rsid w:val="00BC1DFA"/>
    <w:rsid w:val="00BC23D8"/>
    <w:rsid w:val="00BC24B1"/>
    <w:rsid w:val="00BC31AD"/>
    <w:rsid w:val="00BC6692"/>
    <w:rsid w:val="00BD2623"/>
    <w:rsid w:val="00BD2E72"/>
    <w:rsid w:val="00BE1EB1"/>
    <w:rsid w:val="00BE21A0"/>
    <w:rsid w:val="00BE437E"/>
    <w:rsid w:val="00BE4DBF"/>
    <w:rsid w:val="00BE7051"/>
    <w:rsid w:val="00BE7DA9"/>
    <w:rsid w:val="00BF0299"/>
    <w:rsid w:val="00BF3A4E"/>
    <w:rsid w:val="00BF4695"/>
    <w:rsid w:val="00BF47F1"/>
    <w:rsid w:val="00BF57AA"/>
    <w:rsid w:val="00BF58BA"/>
    <w:rsid w:val="00BF601E"/>
    <w:rsid w:val="00BF791F"/>
    <w:rsid w:val="00BF79BA"/>
    <w:rsid w:val="00BF7E11"/>
    <w:rsid w:val="00C0302A"/>
    <w:rsid w:val="00C03685"/>
    <w:rsid w:val="00C043A7"/>
    <w:rsid w:val="00C10B5F"/>
    <w:rsid w:val="00C13161"/>
    <w:rsid w:val="00C15FFD"/>
    <w:rsid w:val="00C17BB5"/>
    <w:rsid w:val="00C17E56"/>
    <w:rsid w:val="00C20388"/>
    <w:rsid w:val="00C2185F"/>
    <w:rsid w:val="00C248A9"/>
    <w:rsid w:val="00C26AE1"/>
    <w:rsid w:val="00C323EE"/>
    <w:rsid w:val="00C3652E"/>
    <w:rsid w:val="00C37011"/>
    <w:rsid w:val="00C37E4D"/>
    <w:rsid w:val="00C40AB5"/>
    <w:rsid w:val="00C44A84"/>
    <w:rsid w:val="00C4631B"/>
    <w:rsid w:val="00C467A1"/>
    <w:rsid w:val="00C56C00"/>
    <w:rsid w:val="00C61DAE"/>
    <w:rsid w:val="00C63642"/>
    <w:rsid w:val="00C64EA8"/>
    <w:rsid w:val="00C66A06"/>
    <w:rsid w:val="00C67524"/>
    <w:rsid w:val="00C67990"/>
    <w:rsid w:val="00C67F2E"/>
    <w:rsid w:val="00C70226"/>
    <w:rsid w:val="00C76977"/>
    <w:rsid w:val="00C812D1"/>
    <w:rsid w:val="00C82767"/>
    <w:rsid w:val="00C83251"/>
    <w:rsid w:val="00C84100"/>
    <w:rsid w:val="00C85D2B"/>
    <w:rsid w:val="00C913A1"/>
    <w:rsid w:val="00C919AF"/>
    <w:rsid w:val="00C9306A"/>
    <w:rsid w:val="00C93901"/>
    <w:rsid w:val="00C94EA7"/>
    <w:rsid w:val="00C95CE8"/>
    <w:rsid w:val="00C961EB"/>
    <w:rsid w:val="00C979AF"/>
    <w:rsid w:val="00CA17F5"/>
    <w:rsid w:val="00CA1A9D"/>
    <w:rsid w:val="00CA5474"/>
    <w:rsid w:val="00CA6E1D"/>
    <w:rsid w:val="00CB29F1"/>
    <w:rsid w:val="00CB2A93"/>
    <w:rsid w:val="00CB6407"/>
    <w:rsid w:val="00CB6784"/>
    <w:rsid w:val="00CB6B75"/>
    <w:rsid w:val="00CB6C8D"/>
    <w:rsid w:val="00CC231F"/>
    <w:rsid w:val="00CC3732"/>
    <w:rsid w:val="00CC3ED3"/>
    <w:rsid w:val="00CC4CB3"/>
    <w:rsid w:val="00CC6A99"/>
    <w:rsid w:val="00CC6F95"/>
    <w:rsid w:val="00CD3DD1"/>
    <w:rsid w:val="00CD57C6"/>
    <w:rsid w:val="00CE0A8E"/>
    <w:rsid w:val="00CE0E4B"/>
    <w:rsid w:val="00CE27EB"/>
    <w:rsid w:val="00CE2F57"/>
    <w:rsid w:val="00CE3791"/>
    <w:rsid w:val="00CE492A"/>
    <w:rsid w:val="00CE678C"/>
    <w:rsid w:val="00CE6B8E"/>
    <w:rsid w:val="00CE6EF6"/>
    <w:rsid w:val="00CE71F6"/>
    <w:rsid w:val="00CF0C2D"/>
    <w:rsid w:val="00CF143D"/>
    <w:rsid w:val="00CF1BA3"/>
    <w:rsid w:val="00CF25E1"/>
    <w:rsid w:val="00CF3BA8"/>
    <w:rsid w:val="00D00AA3"/>
    <w:rsid w:val="00D010CE"/>
    <w:rsid w:val="00D02801"/>
    <w:rsid w:val="00D05EEF"/>
    <w:rsid w:val="00D07F73"/>
    <w:rsid w:val="00D1261B"/>
    <w:rsid w:val="00D13D71"/>
    <w:rsid w:val="00D2041C"/>
    <w:rsid w:val="00D2367D"/>
    <w:rsid w:val="00D23781"/>
    <w:rsid w:val="00D23DBE"/>
    <w:rsid w:val="00D25311"/>
    <w:rsid w:val="00D25ADE"/>
    <w:rsid w:val="00D31D77"/>
    <w:rsid w:val="00D32944"/>
    <w:rsid w:val="00D33A37"/>
    <w:rsid w:val="00D33A67"/>
    <w:rsid w:val="00D342E0"/>
    <w:rsid w:val="00D34ACE"/>
    <w:rsid w:val="00D34B3D"/>
    <w:rsid w:val="00D34DC5"/>
    <w:rsid w:val="00D371BB"/>
    <w:rsid w:val="00D374EE"/>
    <w:rsid w:val="00D37EF4"/>
    <w:rsid w:val="00D40A20"/>
    <w:rsid w:val="00D41B61"/>
    <w:rsid w:val="00D43297"/>
    <w:rsid w:val="00D44DB6"/>
    <w:rsid w:val="00D453CB"/>
    <w:rsid w:val="00D4660E"/>
    <w:rsid w:val="00D47AE3"/>
    <w:rsid w:val="00D50119"/>
    <w:rsid w:val="00D50142"/>
    <w:rsid w:val="00D5680F"/>
    <w:rsid w:val="00D62B3E"/>
    <w:rsid w:val="00D64F73"/>
    <w:rsid w:val="00D6547C"/>
    <w:rsid w:val="00D66E33"/>
    <w:rsid w:val="00D70DA0"/>
    <w:rsid w:val="00D71AEC"/>
    <w:rsid w:val="00D733EE"/>
    <w:rsid w:val="00D748CA"/>
    <w:rsid w:val="00D749B6"/>
    <w:rsid w:val="00D8005F"/>
    <w:rsid w:val="00D80E10"/>
    <w:rsid w:val="00D82786"/>
    <w:rsid w:val="00D82A43"/>
    <w:rsid w:val="00D8415C"/>
    <w:rsid w:val="00D85CD9"/>
    <w:rsid w:val="00D87528"/>
    <w:rsid w:val="00D90336"/>
    <w:rsid w:val="00D919C6"/>
    <w:rsid w:val="00D92B52"/>
    <w:rsid w:val="00D93F63"/>
    <w:rsid w:val="00D96E8E"/>
    <w:rsid w:val="00D973DE"/>
    <w:rsid w:val="00DA254B"/>
    <w:rsid w:val="00DA429F"/>
    <w:rsid w:val="00DA5580"/>
    <w:rsid w:val="00DA61AF"/>
    <w:rsid w:val="00DA7B5D"/>
    <w:rsid w:val="00DB59AB"/>
    <w:rsid w:val="00DB6E75"/>
    <w:rsid w:val="00DB74B0"/>
    <w:rsid w:val="00DB7A0B"/>
    <w:rsid w:val="00DC5848"/>
    <w:rsid w:val="00DC73F1"/>
    <w:rsid w:val="00DD0453"/>
    <w:rsid w:val="00DD06D0"/>
    <w:rsid w:val="00DD0CAB"/>
    <w:rsid w:val="00DD1954"/>
    <w:rsid w:val="00DD230C"/>
    <w:rsid w:val="00DD2CF4"/>
    <w:rsid w:val="00DD5D84"/>
    <w:rsid w:val="00DD5E21"/>
    <w:rsid w:val="00DD6C6F"/>
    <w:rsid w:val="00DE33AF"/>
    <w:rsid w:val="00DE4EF0"/>
    <w:rsid w:val="00DE507D"/>
    <w:rsid w:val="00DE5CC3"/>
    <w:rsid w:val="00DEFC33"/>
    <w:rsid w:val="00DF073E"/>
    <w:rsid w:val="00DF0956"/>
    <w:rsid w:val="00DF4743"/>
    <w:rsid w:val="00DF5596"/>
    <w:rsid w:val="00DF58E7"/>
    <w:rsid w:val="00DF6A0B"/>
    <w:rsid w:val="00E070FE"/>
    <w:rsid w:val="00E10340"/>
    <w:rsid w:val="00E11876"/>
    <w:rsid w:val="00E129EA"/>
    <w:rsid w:val="00E14865"/>
    <w:rsid w:val="00E14CD1"/>
    <w:rsid w:val="00E159E2"/>
    <w:rsid w:val="00E201F1"/>
    <w:rsid w:val="00E21B27"/>
    <w:rsid w:val="00E23CBB"/>
    <w:rsid w:val="00E25E37"/>
    <w:rsid w:val="00E25EA1"/>
    <w:rsid w:val="00E33079"/>
    <w:rsid w:val="00E34183"/>
    <w:rsid w:val="00E37B59"/>
    <w:rsid w:val="00E40923"/>
    <w:rsid w:val="00E40E02"/>
    <w:rsid w:val="00E4254A"/>
    <w:rsid w:val="00E44231"/>
    <w:rsid w:val="00E44C77"/>
    <w:rsid w:val="00E528B0"/>
    <w:rsid w:val="00E54D8D"/>
    <w:rsid w:val="00E60882"/>
    <w:rsid w:val="00E61AD0"/>
    <w:rsid w:val="00E65B37"/>
    <w:rsid w:val="00E67E05"/>
    <w:rsid w:val="00E705AA"/>
    <w:rsid w:val="00E73BB0"/>
    <w:rsid w:val="00E7423C"/>
    <w:rsid w:val="00E74C80"/>
    <w:rsid w:val="00E75BED"/>
    <w:rsid w:val="00E75E9E"/>
    <w:rsid w:val="00E809F9"/>
    <w:rsid w:val="00E80ED1"/>
    <w:rsid w:val="00E826D7"/>
    <w:rsid w:val="00E843D2"/>
    <w:rsid w:val="00E8750D"/>
    <w:rsid w:val="00E9094F"/>
    <w:rsid w:val="00E914F4"/>
    <w:rsid w:val="00E95A71"/>
    <w:rsid w:val="00EA2F5C"/>
    <w:rsid w:val="00EA358F"/>
    <w:rsid w:val="00EA36C6"/>
    <w:rsid w:val="00EA3C7C"/>
    <w:rsid w:val="00EA72F8"/>
    <w:rsid w:val="00EA797D"/>
    <w:rsid w:val="00EA7C54"/>
    <w:rsid w:val="00EB27DA"/>
    <w:rsid w:val="00EB4344"/>
    <w:rsid w:val="00EB5212"/>
    <w:rsid w:val="00EB6A7D"/>
    <w:rsid w:val="00EC1192"/>
    <w:rsid w:val="00EC3330"/>
    <w:rsid w:val="00EC4588"/>
    <w:rsid w:val="00EC57F5"/>
    <w:rsid w:val="00EC5996"/>
    <w:rsid w:val="00EC694F"/>
    <w:rsid w:val="00EC6FE5"/>
    <w:rsid w:val="00EC7839"/>
    <w:rsid w:val="00EC7855"/>
    <w:rsid w:val="00ED26CF"/>
    <w:rsid w:val="00ED3590"/>
    <w:rsid w:val="00ED3930"/>
    <w:rsid w:val="00ED4596"/>
    <w:rsid w:val="00ED5725"/>
    <w:rsid w:val="00ED7031"/>
    <w:rsid w:val="00ED7144"/>
    <w:rsid w:val="00ED73D9"/>
    <w:rsid w:val="00EE1727"/>
    <w:rsid w:val="00EE3060"/>
    <w:rsid w:val="00EE4315"/>
    <w:rsid w:val="00EE483A"/>
    <w:rsid w:val="00EE5160"/>
    <w:rsid w:val="00EE52B4"/>
    <w:rsid w:val="00EE54EA"/>
    <w:rsid w:val="00EE5B3C"/>
    <w:rsid w:val="00EF0089"/>
    <w:rsid w:val="00EF05DA"/>
    <w:rsid w:val="00EF1BCE"/>
    <w:rsid w:val="00EF39F3"/>
    <w:rsid w:val="00EF3FD0"/>
    <w:rsid w:val="00EF4066"/>
    <w:rsid w:val="00EF45E6"/>
    <w:rsid w:val="00EF4ADA"/>
    <w:rsid w:val="00F018B9"/>
    <w:rsid w:val="00F02DD7"/>
    <w:rsid w:val="00F03D20"/>
    <w:rsid w:val="00F03EF4"/>
    <w:rsid w:val="00F04614"/>
    <w:rsid w:val="00F04A0B"/>
    <w:rsid w:val="00F04B7A"/>
    <w:rsid w:val="00F051F1"/>
    <w:rsid w:val="00F06818"/>
    <w:rsid w:val="00F079F6"/>
    <w:rsid w:val="00F11B7E"/>
    <w:rsid w:val="00F12A3D"/>
    <w:rsid w:val="00F13C34"/>
    <w:rsid w:val="00F179CA"/>
    <w:rsid w:val="00F20521"/>
    <w:rsid w:val="00F24EBF"/>
    <w:rsid w:val="00F25565"/>
    <w:rsid w:val="00F26ED3"/>
    <w:rsid w:val="00F32483"/>
    <w:rsid w:val="00F33F07"/>
    <w:rsid w:val="00F4274F"/>
    <w:rsid w:val="00F44BEE"/>
    <w:rsid w:val="00F44DA6"/>
    <w:rsid w:val="00F45CFE"/>
    <w:rsid w:val="00F46A1F"/>
    <w:rsid w:val="00F46B0A"/>
    <w:rsid w:val="00F54BE0"/>
    <w:rsid w:val="00F5555E"/>
    <w:rsid w:val="00F55CAF"/>
    <w:rsid w:val="00F56905"/>
    <w:rsid w:val="00F57F07"/>
    <w:rsid w:val="00F62B7A"/>
    <w:rsid w:val="00F62FB5"/>
    <w:rsid w:val="00F631D9"/>
    <w:rsid w:val="00F6397D"/>
    <w:rsid w:val="00F64289"/>
    <w:rsid w:val="00F642D7"/>
    <w:rsid w:val="00F6580C"/>
    <w:rsid w:val="00F71975"/>
    <w:rsid w:val="00F7293E"/>
    <w:rsid w:val="00F75184"/>
    <w:rsid w:val="00F76650"/>
    <w:rsid w:val="00F769FC"/>
    <w:rsid w:val="00F83DB2"/>
    <w:rsid w:val="00F852DC"/>
    <w:rsid w:val="00F86A17"/>
    <w:rsid w:val="00F9187B"/>
    <w:rsid w:val="00F91B00"/>
    <w:rsid w:val="00F92385"/>
    <w:rsid w:val="00F92D66"/>
    <w:rsid w:val="00F934C4"/>
    <w:rsid w:val="00F96A7D"/>
    <w:rsid w:val="00FA1B4F"/>
    <w:rsid w:val="00FA55F7"/>
    <w:rsid w:val="00FA5834"/>
    <w:rsid w:val="00FA78B5"/>
    <w:rsid w:val="00FB2F37"/>
    <w:rsid w:val="00FB4302"/>
    <w:rsid w:val="00FB4A4D"/>
    <w:rsid w:val="00FB4FD2"/>
    <w:rsid w:val="00FB72A8"/>
    <w:rsid w:val="00FC01AF"/>
    <w:rsid w:val="00FC0296"/>
    <w:rsid w:val="00FC0342"/>
    <w:rsid w:val="00FC04D2"/>
    <w:rsid w:val="00FC0514"/>
    <w:rsid w:val="00FC06EF"/>
    <w:rsid w:val="00FC2C63"/>
    <w:rsid w:val="00FC3CD3"/>
    <w:rsid w:val="00FC42AC"/>
    <w:rsid w:val="00FC47F9"/>
    <w:rsid w:val="00FC4D1C"/>
    <w:rsid w:val="00FC579D"/>
    <w:rsid w:val="00FC61FE"/>
    <w:rsid w:val="00FD1B19"/>
    <w:rsid w:val="00FD3A63"/>
    <w:rsid w:val="00FD4AED"/>
    <w:rsid w:val="00FD4E66"/>
    <w:rsid w:val="00FD6B37"/>
    <w:rsid w:val="00FE00D6"/>
    <w:rsid w:val="00FE02A7"/>
    <w:rsid w:val="00FE0673"/>
    <w:rsid w:val="00FE0743"/>
    <w:rsid w:val="00FE1676"/>
    <w:rsid w:val="00FE2BB2"/>
    <w:rsid w:val="00FE3800"/>
    <w:rsid w:val="00FE4731"/>
    <w:rsid w:val="00FE4875"/>
    <w:rsid w:val="00FE4A1B"/>
    <w:rsid w:val="00FE5132"/>
    <w:rsid w:val="00FE5140"/>
    <w:rsid w:val="00FE5580"/>
    <w:rsid w:val="00FE69C7"/>
    <w:rsid w:val="00FF110C"/>
    <w:rsid w:val="00FF1FEA"/>
    <w:rsid w:val="00FF3204"/>
    <w:rsid w:val="00FF66D1"/>
    <w:rsid w:val="0165CC4F"/>
    <w:rsid w:val="01ADF9E3"/>
    <w:rsid w:val="01B604F1"/>
    <w:rsid w:val="01B9ADCA"/>
    <w:rsid w:val="01C3DA04"/>
    <w:rsid w:val="0207C012"/>
    <w:rsid w:val="0236D2B4"/>
    <w:rsid w:val="02378822"/>
    <w:rsid w:val="0250798C"/>
    <w:rsid w:val="02BABC11"/>
    <w:rsid w:val="02C979E7"/>
    <w:rsid w:val="0304D28A"/>
    <w:rsid w:val="033B545E"/>
    <w:rsid w:val="034CB1E1"/>
    <w:rsid w:val="03C5DC08"/>
    <w:rsid w:val="041D2A4B"/>
    <w:rsid w:val="044CA087"/>
    <w:rsid w:val="04AB0E14"/>
    <w:rsid w:val="04B6A50E"/>
    <w:rsid w:val="04E4366F"/>
    <w:rsid w:val="052E188A"/>
    <w:rsid w:val="0573E559"/>
    <w:rsid w:val="058D4F4F"/>
    <w:rsid w:val="05B36DB1"/>
    <w:rsid w:val="05EFD597"/>
    <w:rsid w:val="06187D4A"/>
    <w:rsid w:val="0677740F"/>
    <w:rsid w:val="070D29CE"/>
    <w:rsid w:val="07309C1C"/>
    <w:rsid w:val="07CEF42D"/>
    <w:rsid w:val="08259058"/>
    <w:rsid w:val="085BE049"/>
    <w:rsid w:val="085CA1CF"/>
    <w:rsid w:val="08967613"/>
    <w:rsid w:val="08D7D57A"/>
    <w:rsid w:val="08FE700C"/>
    <w:rsid w:val="09A4CAE5"/>
    <w:rsid w:val="09E23B2D"/>
    <w:rsid w:val="0A17E53E"/>
    <w:rsid w:val="0A3DD527"/>
    <w:rsid w:val="0A41F713"/>
    <w:rsid w:val="0A70AF75"/>
    <w:rsid w:val="0A90E360"/>
    <w:rsid w:val="0A9A0B3F"/>
    <w:rsid w:val="0AB5C32D"/>
    <w:rsid w:val="0AC9BC33"/>
    <w:rsid w:val="0ACFC4F2"/>
    <w:rsid w:val="0AD0D818"/>
    <w:rsid w:val="0B36FC3C"/>
    <w:rsid w:val="0B4AC106"/>
    <w:rsid w:val="0B53AA3A"/>
    <w:rsid w:val="0B545AA3"/>
    <w:rsid w:val="0B573E90"/>
    <w:rsid w:val="0B9EBA4D"/>
    <w:rsid w:val="0BA0FDEE"/>
    <w:rsid w:val="0BD658E6"/>
    <w:rsid w:val="0C5B4606"/>
    <w:rsid w:val="0C924BF1"/>
    <w:rsid w:val="0CC09405"/>
    <w:rsid w:val="0CC224A3"/>
    <w:rsid w:val="0CDBC654"/>
    <w:rsid w:val="0CF0A7E1"/>
    <w:rsid w:val="0CF7A91E"/>
    <w:rsid w:val="0D1C39CF"/>
    <w:rsid w:val="0D3C8083"/>
    <w:rsid w:val="0D739B75"/>
    <w:rsid w:val="0D862E59"/>
    <w:rsid w:val="0D9F246D"/>
    <w:rsid w:val="0DE784EB"/>
    <w:rsid w:val="0DF7C939"/>
    <w:rsid w:val="0E253680"/>
    <w:rsid w:val="0E7DF969"/>
    <w:rsid w:val="0EC323BA"/>
    <w:rsid w:val="0F0EB6EA"/>
    <w:rsid w:val="0F9D40A7"/>
    <w:rsid w:val="0FAAFDB8"/>
    <w:rsid w:val="0FAC81CA"/>
    <w:rsid w:val="0FD9BDBB"/>
    <w:rsid w:val="0FE010FC"/>
    <w:rsid w:val="0FE7415A"/>
    <w:rsid w:val="0FE90BE0"/>
    <w:rsid w:val="10100E80"/>
    <w:rsid w:val="1036C1DD"/>
    <w:rsid w:val="108FF963"/>
    <w:rsid w:val="10B0CE3C"/>
    <w:rsid w:val="10C0594D"/>
    <w:rsid w:val="11867BEE"/>
    <w:rsid w:val="11A32C1F"/>
    <w:rsid w:val="11C0061F"/>
    <w:rsid w:val="11CFB523"/>
    <w:rsid w:val="11DDBEE6"/>
    <w:rsid w:val="121DC189"/>
    <w:rsid w:val="123D26DF"/>
    <w:rsid w:val="126C0597"/>
    <w:rsid w:val="12704633"/>
    <w:rsid w:val="129B0ACF"/>
    <w:rsid w:val="12B7389D"/>
    <w:rsid w:val="12B77437"/>
    <w:rsid w:val="12BE5E33"/>
    <w:rsid w:val="12DC9C3C"/>
    <w:rsid w:val="12FC69A1"/>
    <w:rsid w:val="130BD34B"/>
    <w:rsid w:val="134C406C"/>
    <w:rsid w:val="1366ED22"/>
    <w:rsid w:val="13918130"/>
    <w:rsid w:val="13E72B13"/>
    <w:rsid w:val="141B8CEE"/>
    <w:rsid w:val="14366DE4"/>
    <w:rsid w:val="143D9C11"/>
    <w:rsid w:val="1470991C"/>
    <w:rsid w:val="14875C66"/>
    <w:rsid w:val="149872C8"/>
    <w:rsid w:val="14DF9320"/>
    <w:rsid w:val="151A49F5"/>
    <w:rsid w:val="15585254"/>
    <w:rsid w:val="15A3187B"/>
    <w:rsid w:val="160D1543"/>
    <w:rsid w:val="16188B1F"/>
    <w:rsid w:val="16340338"/>
    <w:rsid w:val="1635EE9F"/>
    <w:rsid w:val="1642768B"/>
    <w:rsid w:val="166114F6"/>
    <w:rsid w:val="16735B4F"/>
    <w:rsid w:val="16858BCD"/>
    <w:rsid w:val="168C3D09"/>
    <w:rsid w:val="16FC0A58"/>
    <w:rsid w:val="172D88A2"/>
    <w:rsid w:val="179A0083"/>
    <w:rsid w:val="17B29874"/>
    <w:rsid w:val="17DB41F4"/>
    <w:rsid w:val="17DEBAE3"/>
    <w:rsid w:val="17F79041"/>
    <w:rsid w:val="18521E6E"/>
    <w:rsid w:val="18672D93"/>
    <w:rsid w:val="186BB988"/>
    <w:rsid w:val="186D912D"/>
    <w:rsid w:val="18A46E4A"/>
    <w:rsid w:val="18C73747"/>
    <w:rsid w:val="18E9B629"/>
    <w:rsid w:val="18F347AA"/>
    <w:rsid w:val="1938529B"/>
    <w:rsid w:val="1942C70D"/>
    <w:rsid w:val="19490797"/>
    <w:rsid w:val="19581978"/>
    <w:rsid w:val="195A6089"/>
    <w:rsid w:val="198274EE"/>
    <w:rsid w:val="19DCAC80"/>
    <w:rsid w:val="19F7AA36"/>
    <w:rsid w:val="1A52111F"/>
    <w:rsid w:val="1A7D3B86"/>
    <w:rsid w:val="1AA28C3C"/>
    <w:rsid w:val="1AA4B309"/>
    <w:rsid w:val="1AB964AB"/>
    <w:rsid w:val="1AD42330"/>
    <w:rsid w:val="1ADE0E41"/>
    <w:rsid w:val="1B2C3D12"/>
    <w:rsid w:val="1B6BE132"/>
    <w:rsid w:val="1B7DE7FE"/>
    <w:rsid w:val="1B94E8B7"/>
    <w:rsid w:val="1BA9E5CF"/>
    <w:rsid w:val="1BB55781"/>
    <w:rsid w:val="1BBBA87C"/>
    <w:rsid w:val="1BC178CB"/>
    <w:rsid w:val="1BE040C7"/>
    <w:rsid w:val="1BE0C16C"/>
    <w:rsid w:val="1C2CAC29"/>
    <w:rsid w:val="1CBA6B31"/>
    <w:rsid w:val="1CF9E6BC"/>
    <w:rsid w:val="1D0AB599"/>
    <w:rsid w:val="1D1EA786"/>
    <w:rsid w:val="1DBCD925"/>
    <w:rsid w:val="1DD0209C"/>
    <w:rsid w:val="1E7186C4"/>
    <w:rsid w:val="1ED74DC0"/>
    <w:rsid w:val="1ED75407"/>
    <w:rsid w:val="1EDE1B4C"/>
    <w:rsid w:val="1F12BA3D"/>
    <w:rsid w:val="1F5E4E0F"/>
    <w:rsid w:val="1FA703AA"/>
    <w:rsid w:val="1FAF53F9"/>
    <w:rsid w:val="1FE24EF9"/>
    <w:rsid w:val="203EDDE7"/>
    <w:rsid w:val="2057BB57"/>
    <w:rsid w:val="20671C44"/>
    <w:rsid w:val="206E8D61"/>
    <w:rsid w:val="208CBDEB"/>
    <w:rsid w:val="20A17981"/>
    <w:rsid w:val="20A70B32"/>
    <w:rsid w:val="2115E173"/>
    <w:rsid w:val="215ADC35"/>
    <w:rsid w:val="218042E1"/>
    <w:rsid w:val="2186025A"/>
    <w:rsid w:val="218D3791"/>
    <w:rsid w:val="22002E7B"/>
    <w:rsid w:val="220DA8BA"/>
    <w:rsid w:val="22151F6E"/>
    <w:rsid w:val="234E2415"/>
    <w:rsid w:val="23ABDDBC"/>
    <w:rsid w:val="23E66810"/>
    <w:rsid w:val="242B6ABE"/>
    <w:rsid w:val="248EEF39"/>
    <w:rsid w:val="24A35986"/>
    <w:rsid w:val="24A78E16"/>
    <w:rsid w:val="25152AF4"/>
    <w:rsid w:val="254EE8C6"/>
    <w:rsid w:val="255084A0"/>
    <w:rsid w:val="25666ED0"/>
    <w:rsid w:val="25870A7D"/>
    <w:rsid w:val="25FA2171"/>
    <w:rsid w:val="26486B31"/>
    <w:rsid w:val="26F85414"/>
    <w:rsid w:val="27047EA9"/>
    <w:rsid w:val="2718B75B"/>
    <w:rsid w:val="273C94F5"/>
    <w:rsid w:val="276999F2"/>
    <w:rsid w:val="27A5F3A9"/>
    <w:rsid w:val="27CC61DE"/>
    <w:rsid w:val="27D919D8"/>
    <w:rsid w:val="27EC446B"/>
    <w:rsid w:val="28696180"/>
    <w:rsid w:val="288855F7"/>
    <w:rsid w:val="28C3F49A"/>
    <w:rsid w:val="2906C148"/>
    <w:rsid w:val="293D0004"/>
    <w:rsid w:val="293F0F7F"/>
    <w:rsid w:val="294083AB"/>
    <w:rsid w:val="2967B39A"/>
    <w:rsid w:val="29722BC6"/>
    <w:rsid w:val="29733E4B"/>
    <w:rsid w:val="298C1409"/>
    <w:rsid w:val="29A7B64D"/>
    <w:rsid w:val="29F4B8DA"/>
    <w:rsid w:val="2A023B86"/>
    <w:rsid w:val="2A31C522"/>
    <w:rsid w:val="2A55B612"/>
    <w:rsid w:val="2A881467"/>
    <w:rsid w:val="2AA09CDF"/>
    <w:rsid w:val="2AD8E370"/>
    <w:rsid w:val="2AFEF753"/>
    <w:rsid w:val="2B48FF74"/>
    <w:rsid w:val="2B682329"/>
    <w:rsid w:val="2B6D56FE"/>
    <w:rsid w:val="2B832751"/>
    <w:rsid w:val="2BAC924A"/>
    <w:rsid w:val="2BBF132C"/>
    <w:rsid w:val="2C34CC50"/>
    <w:rsid w:val="2C3A4A27"/>
    <w:rsid w:val="2CBA6025"/>
    <w:rsid w:val="2CBDFD28"/>
    <w:rsid w:val="2CF89EAF"/>
    <w:rsid w:val="2CFD727C"/>
    <w:rsid w:val="2D139C0D"/>
    <w:rsid w:val="2D896A7E"/>
    <w:rsid w:val="2DE2C633"/>
    <w:rsid w:val="2DEE6C45"/>
    <w:rsid w:val="2E0693E4"/>
    <w:rsid w:val="2E426784"/>
    <w:rsid w:val="2E634FD2"/>
    <w:rsid w:val="2E7FD6FE"/>
    <w:rsid w:val="2EF9253E"/>
    <w:rsid w:val="2F265CD5"/>
    <w:rsid w:val="2F3A4437"/>
    <w:rsid w:val="2FCBCF5F"/>
    <w:rsid w:val="3035575A"/>
    <w:rsid w:val="307D45F1"/>
    <w:rsid w:val="30EEC87A"/>
    <w:rsid w:val="31472396"/>
    <w:rsid w:val="3170457E"/>
    <w:rsid w:val="31985AA1"/>
    <w:rsid w:val="31B0B8EF"/>
    <w:rsid w:val="3216E4F9"/>
    <w:rsid w:val="32301954"/>
    <w:rsid w:val="3264AAAF"/>
    <w:rsid w:val="328D55A1"/>
    <w:rsid w:val="3326419E"/>
    <w:rsid w:val="335868E9"/>
    <w:rsid w:val="339F7AB4"/>
    <w:rsid w:val="33E2FED7"/>
    <w:rsid w:val="34816FDA"/>
    <w:rsid w:val="34CD63C1"/>
    <w:rsid w:val="34E2AB6A"/>
    <w:rsid w:val="352535CD"/>
    <w:rsid w:val="3536502E"/>
    <w:rsid w:val="35523957"/>
    <w:rsid w:val="3563B2D3"/>
    <w:rsid w:val="35A48612"/>
    <w:rsid w:val="35F33A4A"/>
    <w:rsid w:val="361DEDCD"/>
    <w:rsid w:val="365577B2"/>
    <w:rsid w:val="3699D32E"/>
    <w:rsid w:val="36C61916"/>
    <w:rsid w:val="37285F7C"/>
    <w:rsid w:val="3750F161"/>
    <w:rsid w:val="3766868F"/>
    <w:rsid w:val="3772E225"/>
    <w:rsid w:val="37ABF287"/>
    <w:rsid w:val="37AE73EC"/>
    <w:rsid w:val="37E38EA8"/>
    <w:rsid w:val="3827277E"/>
    <w:rsid w:val="385AC624"/>
    <w:rsid w:val="386721BA"/>
    <w:rsid w:val="387AE772"/>
    <w:rsid w:val="3882BF8D"/>
    <w:rsid w:val="3883784B"/>
    <w:rsid w:val="38843B90"/>
    <w:rsid w:val="38DE646D"/>
    <w:rsid w:val="3905EAAA"/>
    <w:rsid w:val="394C1E77"/>
    <w:rsid w:val="39C043EF"/>
    <w:rsid w:val="3A340421"/>
    <w:rsid w:val="3AA5CC9D"/>
    <w:rsid w:val="3AB57430"/>
    <w:rsid w:val="3AB92953"/>
    <w:rsid w:val="3B6CB27F"/>
    <w:rsid w:val="3B6F7FF7"/>
    <w:rsid w:val="3BE827BB"/>
    <w:rsid w:val="3C35D5A7"/>
    <w:rsid w:val="3C42C11C"/>
    <w:rsid w:val="3C4DAA76"/>
    <w:rsid w:val="3CAD730D"/>
    <w:rsid w:val="3CADE690"/>
    <w:rsid w:val="3CC01DD7"/>
    <w:rsid w:val="3CE6DC84"/>
    <w:rsid w:val="3CECFC52"/>
    <w:rsid w:val="3CFB54FD"/>
    <w:rsid w:val="3CFD2401"/>
    <w:rsid w:val="3CFEB5EE"/>
    <w:rsid w:val="3D242B17"/>
    <w:rsid w:val="3D71B104"/>
    <w:rsid w:val="3D992AD5"/>
    <w:rsid w:val="3DB34214"/>
    <w:rsid w:val="3DE2C819"/>
    <w:rsid w:val="3E302448"/>
    <w:rsid w:val="3E797FBB"/>
    <w:rsid w:val="3EE3D9F1"/>
    <w:rsid w:val="3EE3DBBB"/>
    <w:rsid w:val="3F0ACC15"/>
    <w:rsid w:val="3F5F2EE2"/>
    <w:rsid w:val="3F9AF179"/>
    <w:rsid w:val="4063C35F"/>
    <w:rsid w:val="40A9F462"/>
    <w:rsid w:val="416C6031"/>
    <w:rsid w:val="416ED8D6"/>
    <w:rsid w:val="418ED2CD"/>
    <w:rsid w:val="41C72B0E"/>
    <w:rsid w:val="427EEA16"/>
    <w:rsid w:val="42A6356A"/>
    <w:rsid w:val="43506FAF"/>
    <w:rsid w:val="4378CFA2"/>
    <w:rsid w:val="44133A4C"/>
    <w:rsid w:val="4452CB7F"/>
    <w:rsid w:val="445460A8"/>
    <w:rsid w:val="44779313"/>
    <w:rsid w:val="44AF88A6"/>
    <w:rsid w:val="44C1DDD2"/>
    <w:rsid w:val="44E2376D"/>
    <w:rsid w:val="44EF8305"/>
    <w:rsid w:val="451DD865"/>
    <w:rsid w:val="453A77C7"/>
    <w:rsid w:val="45414445"/>
    <w:rsid w:val="45750204"/>
    <w:rsid w:val="457C32D9"/>
    <w:rsid w:val="45DE00AB"/>
    <w:rsid w:val="4608CB05"/>
    <w:rsid w:val="460AAF65"/>
    <w:rsid w:val="460D83F6"/>
    <w:rsid w:val="464CE2DF"/>
    <w:rsid w:val="46B9F9FC"/>
    <w:rsid w:val="46DDBC31"/>
    <w:rsid w:val="46FF6826"/>
    <w:rsid w:val="470D0CD7"/>
    <w:rsid w:val="472324B4"/>
    <w:rsid w:val="47B3E910"/>
    <w:rsid w:val="47BB9007"/>
    <w:rsid w:val="47CB66D1"/>
    <w:rsid w:val="483E6984"/>
    <w:rsid w:val="484FBA41"/>
    <w:rsid w:val="48698851"/>
    <w:rsid w:val="48AF96FA"/>
    <w:rsid w:val="48D612F0"/>
    <w:rsid w:val="48F2B195"/>
    <w:rsid w:val="49542668"/>
    <w:rsid w:val="4959F142"/>
    <w:rsid w:val="496E6549"/>
    <w:rsid w:val="4992B20E"/>
    <w:rsid w:val="499EC776"/>
    <w:rsid w:val="4A139042"/>
    <w:rsid w:val="4A2D609B"/>
    <w:rsid w:val="4A4F7E61"/>
    <w:rsid w:val="4ADC847B"/>
    <w:rsid w:val="4AEEE5D4"/>
    <w:rsid w:val="4AF3812C"/>
    <w:rsid w:val="4B0BB002"/>
    <w:rsid w:val="4B6BF5F3"/>
    <w:rsid w:val="4B908C10"/>
    <w:rsid w:val="4B9A7220"/>
    <w:rsid w:val="4BBFA20F"/>
    <w:rsid w:val="4C125692"/>
    <w:rsid w:val="4C1F0D08"/>
    <w:rsid w:val="4C236353"/>
    <w:rsid w:val="4C2C17AD"/>
    <w:rsid w:val="4C67A021"/>
    <w:rsid w:val="4CA303C5"/>
    <w:rsid w:val="4CF1849C"/>
    <w:rsid w:val="4D0EE8DA"/>
    <w:rsid w:val="4D8D117F"/>
    <w:rsid w:val="4DDEF52A"/>
    <w:rsid w:val="4E3DA8F3"/>
    <w:rsid w:val="4E99D291"/>
    <w:rsid w:val="4EBD9976"/>
    <w:rsid w:val="4ED3B49E"/>
    <w:rsid w:val="4EEED4F5"/>
    <w:rsid w:val="4FAD912A"/>
    <w:rsid w:val="4FB46B2C"/>
    <w:rsid w:val="4FE0A6B4"/>
    <w:rsid w:val="4FE2359E"/>
    <w:rsid w:val="4FF98DA2"/>
    <w:rsid w:val="5006D709"/>
    <w:rsid w:val="5013B97B"/>
    <w:rsid w:val="50238C8A"/>
    <w:rsid w:val="5026A52B"/>
    <w:rsid w:val="507DD2E8"/>
    <w:rsid w:val="507F955B"/>
    <w:rsid w:val="50895C93"/>
    <w:rsid w:val="50932ABE"/>
    <w:rsid w:val="509C4FB9"/>
    <w:rsid w:val="50F83182"/>
    <w:rsid w:val="512A3F05"/>
    <w:rsid w:val="51407A0F"/>
    <w:rsid w:val="51448032"/>
    <w:rsid w:val="514B1405"/>
    <w:rsid w:val="516D68B7"/>
    <w:rsid w:val="51B7B429"/>
    <w:rsid w:val="51C158E4"/>
    <w:rsid w:val="51FFF2FF"/>
    <w:rsid w:val="5205347B"/>
    <w:rsid w:val="52968117"/>
    <w:rsid w:val="5299E81D"/>
    <w:rsid w:val="529ADAB4"/>
    <w:rsid w:val="52C987BD"/>
    <w:rsid w:val="52EA77DC"/>
    <w:rsid w:val="52EC2FC8"/>
    <w:rsid w:val="52FF66DF"/>
    <w:rsid w:val="5322EAF1"/>
    <w:rsid w:val="5383A82A"/>
    <w:rsid w:val="53AE3F7D"/>
    <w:rsid w:val="53CA2DBB"/>
    <w:rsid w:val="541C75F5"/>
    <w:rsid w:val="544B9C51"/>
    <w:rsid w:val="544C8A18"/>
    <w:rsid w:val="545906C6"/>
    <w:rsid w:val="54955580"/>
    <w:rsid w:val="549C195C"/>
    <w:rsid w:val="54B08766"/>
    <w:rsid w:val="55389F90"/>
    <w:rsid w:val="556E3138"/>
    <w:rsid w:val="55988E59"/>
    <w:rsid w:val="55C540B1"/>
    <w:rsid w:val="55C92B5D"/>
    <w:rsid w:val="55DE576C"/>
    <w:rsid w:val="55E915D5"/>
    <w:rsid w:val="55E96339"/>
    <w:rsid w:val="56593BD2"/>
    <w:rsid w:val="56D8017D"/>
    <w:rsid w:val="57193561"/>
    <w:rsid w:val="576FCC08"/>
    <w:rsid w:val="5785ACB8"/>
    <w:rsid w:val="57AE4751"/>
    <w:rsid w:val="580A1A1D"/>
    <w:rsid w:val="5842CF47"/>
    <w:rsid w:val="589A02F9"/>
    <w:rsid w:val="589F4AB5"/>
    <w:rsid w:val="58DBC9A4"/>
    <w:rsid w:val="58E8CEB4"/>
    <w:rsid w:val="592A837D"/>
    <w:rsid w:val="59533F09"/>
    <w:rsid w:val="5969FB81"/>
    <w:rsid w:val="59DEB03B"/>
    <w:rsid w:val="59FC44DE"/>
    <w:rsid w:val="5A5EED1B"/>
    <w:rsid w:val="5A8CE120"/>
    <w:rsid w:val="5AF1DF1E"/>
    <w:rsid w:val="5AFD8370"/>
    <w:rsid w:val="5B2DD585"/>
    <w:rsid w:val="5B506B00"/>
    <w:rsid w:val="5B807A6E"/>
    <w:rsid w:val="5BE9005B"/>
    <w:rsid w:val="5BEA1261"/>
    <w:rsid w:val="5C415DDC"/>
    <w:rsid w:val="5C596389"/>
    <w:rsid w:val="5CB5B922"/>
    <w:rsid w:val="5D105F6B"/>
    <w:rsid w:val="5D68569E"/>
    <w:rsid w:val="5D6DECAD"/>
    <w:rsid w:val="5D7E0124"/>
    <w:rsid w:val="5D9A39F2"/>
    <w:rsid w:val="5DFFD263"/>
    <w:rsid w:val="5E2BF9D9"/>
    <w:rsid w:val="5E3B6E04"/>
    <w:rsid w:val="5E6080B5"/>
    <w:rsid w:val="5E62F863"/>
    <w:rsid w:val="5E90EBAB"/>
    <w:rsid w:val="5EA82F97"/>
    <w:rsid w:val="5EE0FACF"/>
    <w:rsid w:val="5F641513"/>
    <w:rsid w:val="5F641A48"/>
    <w:rsid w:val="5F74D3F9"/>
    <w:rsid w:val="5F7515AA"/>
    <w:rsid w:val="5F94A721"/>
    <w:rsid w:val="5FB65A9D"/>
    <w:rsid w:val="5FEFF54C"/>
    <w:rsid w:val="6000C679"/>
    <w:rsid w:val="601AF962"/>
    <w:rsid w:val="601C20C5"/>
    <w:rsid w:val="603D174A"/>
    <w:rsid w:val="603E8548"/>
    <w:rsid w:val="60493DD0"/>
    <w:rsid w:val="60C1DB72"/>
    <w:rsid w:val="60C3C70B"/>
    <w:rsid w:val="6118C545"/>
    <w:rsid w:val="616D4A17"/>
    <w:rsid w:val="6178265C"/>
    <w:rsid w:val="617AB077"/>
    <w:rsid w:val="618A13C3"/>
    <w:rsid w:val="61920FA4"/>
    <w:rsid w:val="61A9919E"/>
    <w:rsid w:val="61DC0282"/>
    <w:rsid w:val="625A6CFD"/>
    <w:rsid w:val="6272A4E8"/>
    <w:rsid w:val="63B534AA"/>
    <w:rsid w:val="63C53A9A"/>
    <w:rsid w:val="63DB5A04"/>
    <w:rsid w:val="63EDAD33"/>
    <w:rsid w:val="6403FF11"/>
    <w:rsid w:val="6409083F"/>
    <w:rsid w:val="64422BF9"/>
    <w:rsid w:val="646F939B"/>
    <w:rsid w:val="64B8449B"/>
    <w:rsid w:val="64D5E037"/>
    <w:rsid w:val="65034D96"/>
    <w:rsid w:val="650FAB02"/>
    <w:rsid w:val="6543B394"/>
    <w:rsid w:val="6553748D"/>
    <w:rsid w:val="6568886C"/>
    <w:rsid w:val="65BDC512"/>
    <w:rsid w:val="65E205D2"/>
    <w:rsid w:val="6601F79F"/>
    <w:rsid w:val="663D8F10"/>
    <w:rsid w:val="66CF269B"/>
    <w:rsid w:val="66E7091D"/>
    <w:rsid w:val="672B6D3B"/>
    <w:rsid w:val="67420BD3"/>
    <w:rsid w:val="6748323E"/>
    <w:rsid w:val="675AECBA"/>
    <w:rsid w:val="67BA6E00"/>
    <w:rsid w:val="67CD4922"/>
    <w:rsid w:val="680AD77E"/>
    <w:rsid w:val="689343E7"/>
    <w:rsid w:val="693C1073"/>
    <w:rsid w:val="69613EF6"/>
    <w:rsid w:val="69D62A6A"/>
    <w:rsid w:val="69E8D25B"/>
    <w:rsid w:val="69F0AFAD"/>
    <w:rsid w:val="6A09EAD3"/>
    <w:rsid w:val="6A10DD20"/>
    <w:rsid w:val="6A41AA32"/>
    <w:rsid w:val="6A8AD4F4"/>
    <w:rsid w:val="6A940A92"/>
    <w:rsid w:val="6AD21BAC"/>
    <w:rsid w:val="6ADA9C44"/>
    <w:rsid w:val="6BA4C336"/>
    <w:rsid w:val="6BFA8218"/>
    <w:rsid w:val="6C26A063"/>
    <w:rsid w:val="6C2E3A7D"/>
    <w:rsid w:val="6C422DEC"/>
    <w:rsid w:val="6C911DB2"/>
    <w:rsid w:val="6C9576AE"/>
    <w:rsid w:val="6CC50814"/>
    <w:rsid w:val="6CD8E11A"/>
    <w:rsid w:val="6D42E718"/>
    <w:rsid w:val="6D46D249"/>
    <w:rsid w:val="6D476915"/>
    <w:rsid w:val="6E389709"/>
    <w:rsid w:val="6E40DA4B"/>
    <w:rsid w:val="6EA0D2EF"/>
    <w:rsid w:val="6EBCB684"/>
    <w:rsid w:val="6F245A9F"/>
    <w:rsid w:val="6F51148D"/>
    <w:rsid w:val="6F8EDFCD"/>
    <w:rsid w:val="6FC14CB3"/>
    <w:rsid w:val="6FE81459"/>
    <w:rsid w:val="70143578"/>
    <w:rsid w:val="70144F2A"/>
    <w:rsid w:val="70661512"/>
    <w:rsid w:val="7136CE9D"/>
    <w:rsid w:val="7142F737"/>
    <w:rsid w:val="717751A4"/>
    <w:rsid w:val="71983566"/>
    <w:rsid w:val="7199058D"/>
    <w:rsid w:val="71E2DD51"/>
    <w:rsid w:val="7210120C"/>
    <w:rsid w:val="72289C69"/>
    <w:rsid w:val="72435529"/>
    <w:rsid w:val="725FE948"/>
    <w:rsid w:val="7295B965"/>
    <w:rsid w:val="732A6CA1"/>
    <w:rsid w:val="7377E3FD"/>
    <w:rsid w:val="7377F724"/>
    <w:rsid w:val="738DA46B"/>
    <w:rsid w:val="73BE84CC"/>
    <w:rsid w:val="73DB729A"/>
    <w:rsid w:val="741099A4"/>
    <w:rsid w:val="7411B501"/>
    <w:rsid w:val="74239C17"/>
    <w:rsid w:val="743A2129"/>
    <w:rsid w:val="74BF5B7C"/>
    <w:rsid w:val="751FCB07"/>
    <w:rsid w:val="7559A40E"/>
    <w:rsid w:val="762E1D7F"/>
    <w:rsid w:val="76736F00"/>
    <w:rsid w:val="76E86E34"/>
    <w:rsid w:val="7730ABC7"/>
    <w:rsid w:val="77DE397A"/>
    <w:rsid w:val="77E01B59"/>
    <w:rsid w:val="77E840B6"/>
    <w:rsid w:val="77E90523"/>
    <w:rsid w:val="78449AD9"/>
    <w:rsid w:val="78872A91"/>
    <w:rsid w:val="78AA5881"/>
    <w:rsid w:val="78BB7B24"/>
    <w:rsid w:val="790DD585"/>
    <w:rsid w:val="793576CB"/>
    <w:rsid w:val="7935E8B0"/>
    <w:rsid w:val="7956C1C3"/>
    <w:rsid w:val="7995726A"/>
    <w:rsid w:val="79C9A633"/>
    <w:rsid w:val="79DC561A"/>
    <w:rsid w:val="79F4E5D6"/>
    <w:rsid w:val="7A0059D7"/>
    <w:rsid w:val="7A07B125"/>
    <w:rsid w:val="7A16F636"/>
    <w:rsid w:val="7A3D8F55"/>
    <w:rsid w:val="7A45EA40"/>
    <w:rsid w:val="7A61CBFE"/>
    <w:rsid w:val="7A7E0A94"/>
    <w:rsid w:val="7A954548"/>
    <w:rsid w:val="7B13C97C"/>
    <w:rsid w:val="7B61B0CB"/>
    <w:rsid w:val="7BA18022"/>
    <w:rsid w:val="7BA703E2"/>
    <w:rsid w:val="7BC4F019"/>
    <w:rsid w:val="7BF6C692"/>
    <w:rsid w:val="7C02E224"/>
    <w:rsid w:val="7C07085C"/>
    <w:rsid w:val="7C6ECEEF"/>
    <w:rsid w:val="7C9EBA91"/>
    <w:rsid w:val="7CD66139"/>
    <w:rsid w:val="7CEFB259"/>
    <w:rsid w:val="7D0DD85B"/>
    <w:rsid w:val="7D619F45"/>
    <w:rsid w:val="7D747859"/>
    <w:rsid w:val="7D7F8D28"/>
    <w:rsid w:val="7D87A5CF"/>
    <w:rsid w:val="7E19A868"/>
    <w:rsid w:val="7E26F9DB"/>
    <w:rsid w:val="7E418C57"/>
    <w:rsid w:val="7E5DFF74"/>
    <w:rsid w:val="7EA2D144"/>
    <w:rsid w:val="7EE1FF0E"/>
    <w:rsid w:val="7F06AF49"/>
    <w:rsid w:val="7F3759D3"/>
    <w:rsid w:val="7F40FE9E"/>
    <w:rsid w:val="7F50E9BF"/>
    <w:rsid w:val="7F80B789"/>
    <w:rsid w:val="7FE79D59"/>
    <w:rsid w:val="7FF3A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28CD"/>
  <w15:docId w15:val="{E9C007FF-0676-40F0-9167-A8267AD63DB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7"/>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7"/>
      </w:numPr>
      <w:outlineLvl w:val="1"/>
    </w:pPr>
  </w:style>
  <w:style w:type="paragraph" w:styleId="Heading3">
    <w:name w:val="heading 3"/>
    <w:basedOn w:val="Dummy"/>
    <w:next w:val="Standard"/>
    <w:link w:val="Heading3Char"/>
    <w:uiPriority w:val="4"/>
    <w:qFormat/>
    <w:rsid w:val="00947BC6"/>
    <w:pPr>
      <w:numPr>
        <w:ilvl w:val="2"/>
        <w:numId w:val="7"/>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7"/>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7"/>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7"/>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7"/>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styleId="CommentReference">
    <w:name w:val="annotation reference"/>
    <w:basedOn w:val="DefaultParagraphFont"/>
    <w:uiPriority w:val="99"/>
    <w:semiHidden/>
    <w:unhideWhenUsed/>
    <w:rsid w:val="008B613C"/>
    <w:rPr>
      <w:sz w:val="16"/>
      <w:szCs w:val="16"/>
    </w:rPr>
  </w:style>
  <w:style w:type="paragraph" w:styleId="CommentText">
    <w:name w:val="annotation text"/>
    <w:basedOn w:val="Normal"/>
    <w:link w:val="CommentTextChar"/>
    <w:uiPriority w:val="99"/>
    <w:unhideWhenUsed/>
    <w:rsid w:val="008B613C"/>
    <w:pPr>
      <w:spacing w:line="240" w:lineRule="auto"/>
    </w:pPr>
    <w:rPr>
      <w:sz w:val="20"/>
      <w:szCs w:val="20"/>
    </w:rPr>
  </w:style>
  <w:style w:type="character" w:customStyle="1" w:styleId="CommentTextChar">
    <w:name w:val="Comment Text Char"/>
    <w:basedOn w:val="DefaultParagraphFont"/>
    <w:link w:val="CommentText"/>
    <w:uiPriority w:val="99"/>
    <w:rsid w:val="008B613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B613C"/>
    <w:rPr>
      <w:b/>
      <w:bCs/>
    </w:rPr>
  </w:style>
  <w:style w:type="character" w:customStyle="1" w:styleId="CommentSubjectChar">
    <w:name w:val="Comment Subject Char"/>
    <w:basedOn w:val="CommentTextChar"/>
    <w:link w:val="CommentSubject"/>
    <w:uiPriority w:val="99"/>
    <w:semiHidden/>
    <w:rsid w:val="008B613C"/>
    <w:rPr>
      <w:rFonts w:ascii="Book Antiqua" w:hAnsi="Book Antiqua"/>
      <w:b/>
      <w:bCs/>
      <w:sz w:val="20"/>
      <w:szCs w:val="20"/>
    </w:rPr>
  </w:style>
  <w:style w:type="paragraph" w:styleId="Revision">
    <w:name w:val="Revision"/>
    <w:hidden/>
    <w:uiPriority w:val="99"/>
    <w:semiHidden/>
    <w:rsid w:val="004973B3"/>
    <w:pPr>
      <w:spacing w:after="0" w:line="240" w:lineRule="auto"/>
    </w:pPr>
    <w:rPr>
      <w:rFonts w:ascii="Book Antiqua" w:hAnsi="Book Antiqua"/>
      <w:sz w:val="26"/>
    </w:rPr>
  </w:style>
  <w:style w:type="paragraph" w:customStyle="1" w:styleId="Default">
    <w:name w:val="Default"/>
    <w:rsid w:val="000546A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618">
      <w:bodyDiv w:val="1"/>
      <w:marLeft w:val="0"/>
      <w:marRight w:val="0"/>
      <w:marTop w:val="0"/>
      <w:marBottom w:val="0"/>
      <w:divBdr>
        <w:top w:val="none" w:sz="0" w:space="0" w:color="auto"/>
        <w:left w:val="none" w:sz="0" w:space="0" w:color="auto"/>
        <w:bottom w:val="none" w:sz="0" w:space="0" w:color="auto"/>
        <w:right w:val="none" w:sz="0" w:space="0" w:color="auto"/>
      </w:divBdr>
    </w:div>
    <w:div w:id="1820270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docs.cpuc.ca.gov/PublishedDocs/Published/G000/M507/K240/507240415.pdf" TargetMode="External" Id="R45c7fc1970f542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BA1DB3AE6887479245CD280A2CC9D3" ma:contentTypeVersion="6" ma:contentTypeDescription="Create a new document." ma:contentTypeScope="" ma:versionID="abc3573f63d646686c75c879bede00aa">
  <xsd:schema xmlns:xsd="http://www.w3.org/2001/XMLSchema" xmlns:xs="http://www.w3.org/2001/XMLSchema" xmlns:p="http://schemas.microsoft.com/office/2006/metadata/properties" xmlns:ns3="d88d2edd-c239-443b-a82b-931cc524af51" xmlns:ns4="4a7b9cf0-952d-42fc-96c6-3f42003eda3a" targetNamespace="http://schemas.microsoft.com/office/2006/metadata/properties" ma:root="true" ma:fieldsID="2a14c2cb24a02c8810eb825d88bb96ed" ns3:_="" ns4:_="">
    <xsd:import namespace="d88d2edd-c239-443b-a82b-931cc524af51"/>
    <xsd:import namespace="4a7b9cf0-952d-42fc-96c6-3f42003ed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d2edd-c239-443b-a82b-931cc524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b9cf0-952d-42fc-96c6-3f42003ed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a7b9cf0-952d-42fc-96c6-3f42003eda3a">
      <UserInfo>
        <DisplayName>Genesis, Etchissa</DisplayName>
        <AccountId>221</AccountId>
        <AccountType/>
      </UserInfo>
    </SharedWithUsers>
    <_activity xmlns="d88d2edd-c239-443b-a82b-931cc524af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2.xml><?xml version="1.0" encoding="utf-8"?>
<ds:datastoreItem xmlns:ds="http://schemas.openxmlformats.org/officeDocument/2006/customXml" ds:itemID="{7405E0F4-570A-4ADC-84F5-6A62B1184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d2edd-c239-443b-a82b-931cc524af51"/>
    <ds:schemaRef ds:uri="4a7b9cf0-952d-42fc-96c6-3f42003ed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 ds:uri="4a7b9cf0-952d-42fc-96c6-3f42003eda3a"/>
    <ds:schemaRef ds:uri="d88d2edd-c239-443b-a82b-931cc524af51"/>
  </ds:schemaRefs>
</ds:datastoreItem>
</file>

<file path=customXml/itemProps4.xml><?xml version="1.0" encoding="utf-8"?>
<ds:datastoreItem xmlns:ds="http://schemas.openxmlformats.org/officeDocument/2006/customXml" ds:itemID="{373CCA25-BED7-4692-8EAB-A0C604D106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5962</ap:Words>
  <ap:Characters>33988</ap:Characters>
  <ap:Application>Microsoft Office Word</ap:Application>
  <ap:DocSecurity>0</ap:DocSecurity>
  <ap:Lines>283</ap:Lines>
  <ap:Paragraphs>79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39871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2023-04-24T20:27:00Z</cp:lastPrinted>
  <dcterms:created xsi:type="dcterms:W3CDTF">2023-04-25T09:47:38Z</dcterms:created>
  <dcterms:modified xsi:type="dcterms:W3CDTF">2023-04-25T09:47:38Z</dcterms:modified>
</cp:coreProperties>
</file>