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3E78" w:rsidR="000964E3" w:rsidP="000964E3" w:rsidRDefault="000964E3" w14:paraId="39BCEFB8" w14:textId="77777777">
      <w:pPr>
        <w:spacing w:line="240" w:lineRule="auto"/>
        <w:jc w:val="right"/>
        <w:rPr>
          <w:color w:val="44546A" w:themeColor="text2"/>
          <w:szCs w:val="24"/>
        </w:rPr>
      </w:pPr>
      <w:r w:rsidRPr="00DB3E78">
        <w:rPr>
          <w:noProof/>
          <w:color w:val="44546A" w:themeColor="text2"/>
          <w:szCs w:val="24"/>
        </w:rPr>
        <w:drawing>
          <wp:anchor distT="0" distB="0" distL="114300" distR="114300" simplePos="0" relativeHeight="251658240"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3E78">
        <w:rPr>
          <w:b/>
          <w:color w:val="44546A" w:themeColor="text2"/>
        </w:rPr>
        <w:t>California Public Utilities Commission</w:t>
      </w:r>
      <w:r w:rsidRPr="00DB3E78">
        <w:rPr>
          <w:b/>
          <w:color w:val="44546A" w:themeColor="text2"/>
          <w:szCs w:val="24"/>
        </w:rPr>
        <w:br/>
      </w:r>
      <w:r w:rsidRPr="00DB3E78">
        <w:rPr>
          <w:b/>
          <w:color w:val="44546A" w:themeColor="text2"/>
        </w:rPr>
        <w:t>505 Van Ness Ave., San Francisco</w:t>
      </w:r>
    </w:p>
    <w:p w:rsidRPr="00DB3E78" w:rsidR="000964E3" w:rsidP="000964E3" w:rsidRDefault="000964E3" w14:paraId="204537F8" w14:textId="77777777">
      <w:pPr>
        <w:spacing w:line="240" w:lineRule="auto"/>
        <w:ind w:left="5040" w:firstLine="0"/>
        <w:rPr>
          <w:b/>
          <w:color w:val="000080"/>
          <w:szCs w:val="24"/>
        </w:rPr>
      </w:pPr>
    </w:p>
    <w:p w:rsidRPr="00DB3E78" w:rsidR="000964E3" w:rsidP="000964E3" w:rsidRDefault="000964E3" w14:paraId="1A80DB92" w14:textId="77777777">
      <w:pPr>
        <w:spacing w:line="240" w:lineRule="auto"/>
        <w:ind w:left="5040" w:firstLine="0"/>
        <w:rPr>
          <w:b/>
          <w:color w:val="000080"/>
          <w:szCs w:val="24"/>
        </w:rPr>
      </w:pPr>
    </w:p>
    <w:p w:rsidRPr="00DB3E78" w:rsidR="000964E3" w:rsidP="000964E3" w:rsidRDefault="000964E3" w14:paraId="5C742589" w14:textId="77777777">
      <w:pPr>
        <w:spacing w:line="240" w:lineRule="auto"/>
        <w:ind w:left="5040" w:firstLine="0"/>
        <w:rPr>
          <w:b/>
          <w:color w:val="000080"/>
          <w:szCs w:val="24"/>
        </w:rPr>
      </w:pPr>
    </w:p>
    <w:p w:rsidRPr="00DB3E78" w:rsidR="000964E3" w:rsidP="000964E3" w:rsidRDefault="000964E3" w14:paraId="6ED0ED21" w14:textId="77777777">
      <w:pPr>
        <w:spacing w:line="240" w:lineRule="auto"/>
        <w:ind w:left="5040" w:firstLine="0"/>
        <w:rPr>
          <w:b/>
          <w:color w:val="000080"/>
          <w:szCs w:val="24"/>
        </w:rPr>
      </w:pPr>
    </w:p>
    <w:p w:rsidRPr="00DB3E78" w:rsidR="000964E3" w:rsidP="000964E3" w:rsidRDefault="000964E3" w14:paraId="60260E90" w14:textId="77777777">
      <w:pPr>
        <w:ind w:firstLine="0"/>
        <w:rPr>
          <w:color w:val="000080"/>
          <w:szCs w:val="24"/>
        </w:rPr>
      </w:pPr>
      <w:r w:rsidRPr="00DB3E78">
        <w:rPr>
          <w:color w:val="000080"/>
          <w:szCs w:val="24"/>
        </w:rPr>
        <w:t>_________________________________________________________________________________</w:t>
      </w:r>
    </w:p>
    <w:p w:rsidRPr="00DB3E78" w:rsidR="000964E3" w:rsidP="000964E3" w:rsidRDefault="000964E3" w14:paraId="2F0982A8" w14:textId="47539B85">
      <w:pPr>
        <w:spacing w:line="240" w:lineRule="auto"/>
        <w:ind w:firstLine="0"/>
        <w:rPr>
          <w:b/>
          <w:szCs w:val="24"/>
        </w:rPr>
      </w:pPr>
      <w:bookmarkStart w:name="_Hlk71030686" w:id="0"/>
      <w:r w:rsidRPr="00DB3E78">
        <w:rPr>
          <w:b/>
          <w:szCs w:val="24"/>
        </w:rPr>
        <w:t>FOR IMMEDIATE RELEASE</w:t>
      </w:r>
      <w:r w:rsidRPr="00DB3E78">
        <w:rPr>
          <w:szCs w:val="24"/>
        </w:rPr>
        <w:t xml:space="preserve"> </w:t>
      </w:r>
      <w:r w:rsidRPr="00DB3E78">
        <w:rPr>
          <w:szCs w:val="24"/>
        </w:rPr>
        <w:tab/>
      </w:r>
      <w:r w:rsidRPr="00DB3E78" w:rsidR="00A4538E">
        <w:rPr>
          <w:szCs w:val="24"/>
        </w:rPr>
        <w:tab/>
      </w:r>
      <w:r w:rsidRPr="00DB3E78" w:rsidR="00A4538E">
        <w:rPr>
          <w:szCs w:val="24"/>
        </w:rPr>
        <w:tab/>
      </w:r>
      <w:r w:rsidR="005D4AE4">
        <w:rPr>
          <w:b/>
          <w:bCs/>
          <w:szCs w:val="24"/>
        </w:rPr>
        <w:tab/>
      </w:r>
      <w:r w:rsidRPr="00DB3E78" w:rsidR="007827BE">
        <w:rPr>
          <w:szCs w:val="24"/>
        </w:rPr>
        <w:tab/>
      </w:r>
      <w:r w:rsidRPr="00DB3E78">
        <w:rPr>
          <w:szCs w:val="24"/>
        </w:rPr>
        <w:t xml:space="preserve">         </w:t>
      </w:r>
      <w:r w:rsidRPr="00DB3E78" w:rsidR="00181276">
        <w:rPr>
          <w:szCs w:val="24"/>
        </w:rPr>
        <w:t xml:space="preserve">            </w:t>
      </w:r>
      <w:r w:rsidRPr="00DB3E78">
        <w:rPr>
          <w:b/>
          <w:szCs w:val="24"/>
        </w:rPr>
        <w:t>PRESS RELEASE</w:t>
      </w:r>
    </w:p>
    <w:p w:rsidRPr="00DB3E78" w:rsidR="000964E3" w:rsidP="000964E3" w:rsidRDefault="000964E3" w14:paraId="1AE6206E" w14:textId="1268F48D">
      <w:pPr>
        <w:spacing w:line="240" w:lineRule="auto"/>
        <w:ind w:firstLine="0"/>
        <w:rPr>
          <w:szCs w:val="24"/>
        </w:rPr>
      </w:pPr>
      <w:r w:rsidRPr="00DB3E78">
        <w:rPr>
          <w:szCs w:val="24"/>
        </w:rPr>
        <w:t xml:space="preserve">Media Contact: Terrie Prosper, 415.703.1366, </w:t>
      </w:r>
      <w:hyperlink w:history="1" r:id="rId12">
        <w:r w:rsidRPr="00DB3E78">
          <w:rPr>
            <w:rStyle w:val="Hyperlink"/>
            <w:szCs w:val="24"/>
          </w:rPr>
          <w:t>news@cpuc.ca.gov</w:t>
        </w:r>
      </w:hyperlink>
      <w:r w:rsidRPr="00DB3E78" w:rsidR="00DE3D68">
        <w:rPr>
          <w:color w:val="FF0000"/>
          <w:szCs w:val="24"/>
        </w:rPr>
        <w:t xml:space="preserve"> </w:t>
      </w:r>
      <w:r w:rsidRPr="00DB3E78" w:rsidR="00871DB1">
        <w:rPr>
          <w:color w:val="FF0000"/>
          <w:szCs w:val="24"/>
        </w:rPr>
        <w:tab/>
      </w:r>
      <w:r w:rsidRPr="00993EE6" w:rsidR="0032007F">
        <w:rPr>
          <w:szCs w:val="24"/>
        </w:rPr>
        <w:t xml:space="preserve"> </w:t>
      </w:r>
      <w:r w:rsidR="00993EE6">
        <w:rPr>
          <w:szCs w:val="24"/>
        </w:rPr>
        <w:tab/>
        <w:t xml:space="preserve">    </w:t>
      </w:r>
      <w:r w:rsidRPr="00993EE6" w:rsidR="00993EE6">
        <w:rPr>
          <w:szCs w:val="24"/>
        </w:rPr>
        <w:t>Docket #:</w:t>
      </w:r>
      <w:r w:rsidR="00C740B6">
        <w:rPr>
          <w:szCs w:val="24"/>
        </w:rPr>
        <w:t xml:space="preserve"> </w:t>
      </w:r>
      <w:r w:rsidRPr="00C740B6" w:rsidR="00C740B6">
        <w:rPr>
          <w:szCs w:val="24"/>
        </w:rPr>
        <w:t>Res. M-4855</w:t>
      </w:r>
    </w:p>
    <w:p w:rsidRPr="00DB3E78" w:rsidR="000964E3" w:rsidP="00C740B6" w:rsidRDefault="000964E3" w14:paraId="0976D4AF" w14:textId="77777777">
      <w:pPr>
        <w:pStyle w:val="ReleaseHead"/>
      </w:pPr>
    </w:p>
    <w:p w:rsidRPr="00C740B6" w:rsidR="00025430" w:rsidP="00C740B6" w:rsidRDefault="00C740B6" w14:paraId="0872578E" w14:textId="4D92238C">
      <w:pPr>
        <w:pStyle w:val="ReleaseHead"/>
      </w:pPr>
      <w:r w:rsidRPr="00C740B6">
        <w:t>CPUC Releases Second Independent Safety Monitor Report</w:t>
      </w:r>
    </w:p>
    <w:p w:rsidRPr="00DB3E78" w:rsidR="00F50CA0" w:rsidP="000964E3" w:rsidRDefault="00F50CA0" w14:paraId="17141029" w14:textId="34B7CC38">
      <w:pPr>
        <w:pStyle w:val="BodyTextIndent"/>
        <w:ind w:firstLine="0"/>
        <w:outlineLvl w:val="0"/>
      </w:pPr>
    </w:p>
    <w:p w:rsidR="00942B96" w:rsidP="007827BE" w:rsidRDefault="00771E4B" w14:paraId="567D4816" w14:textId="2FDEBD5E">
      <w:pPr>
        <w:pStyle w:val="BodyTextIndent"/>
        <w:ind w:firstLine="0"/>
        <w:outlineLvl w:val="0"/>
      </w:pPr>
      <w:r w:rsidRPr="00DB3E78">
        <w:t xml:space="preserve">SAN FRANCISCO, </w:t>
      </w:r>
      <w:r w:rsidR="00C740B6">
        <w:t>May</w:t>
      </w:r>
      <w:r w:rsidRPr="00DB3E78" w:rsidR="004B728B">
        <w:t xml:space="preserve"> </w:t>
      </w:r>
      <w:r w:rsidR="00C740B6">
        <w:t>2</w:t>
      </w:r>
      <w:r w:rsidR="0014284A">
        <w:t>,</w:t>
      </w:r>
      <w:r w:rsidRPr="005D4AE4">
        <w:t xml:space="preserve"> 20</w:t>
      </w:r>
      <w:r w:rsidRPr="00DB3E78">
        <w:t>2</w:t>
      </w:r>
      <w:r w:rsidR="00C740B6">
        <w:t>3</w:t>
      </w:r>
      <w:r w:rsidRPr="00DB3E78">
        <w:t xml:space="preserve"> – </w:t>
      </w:r>
      <w:r w:rsidRPr="00C740B6" w:rsidR="00C740B6">
        <w:t>The California Public Utilities Commission (CPUC), as part of its continued oversight of Pacific Gas and Electric Company’s (PG&amp;E) safety performance, today released the second Independent Safety Monitor (ISM) report.</w:t>
      </w:r>
    </w:p>
    <w:p w:rsidR="00C740B6" w:rsidP="007827BE" w:rsidRDefault="00C740B6" w14:paraId="7912AAEE" w14:textId="77777777">
      <w:pPr>
        <w:pStyle w:val="BodyTextIndent"/>
        <w:ind w:firstLine="0"/>
        <w:outlineLvl w:val="0"/>
      </w:pPr>
    </w:p>
    <w:p w:rsidR="00C740B6" w:rsidP="007827BE" w:rsidRDefault="00C740B6" w14:paraId="2EAD8971" w14:textId="404B0607">
      <w:pPr>
        <w:pStyle w:val="BodyTextIndent"/>
        <w:ind w:firstLine="0"/>
        <w:outlineLvl w:val="0"/>
      </w:pPr>
      <w:r w:rsidRPr="00C740B6">
        <w:t xml:space="preserve">As a condition to </w:t>
      </w:r>
      <w:hyperlink w:history="1" r:id="rId13">
        <w:r w:rsidRPr="00C740B6">
          <w:rPr>
            <w:rStyle w:val="Hyperlink"/>
          </w:rPr>
          <w:t>approving</w:t>
        </w:r>
      </w:hyperlink>
      <w:r w:rsidRPr="00C740B6">
        <w:t xml:space="preserve"> PG&amp;E’s plan for exiting bankruptcy in May 2020, the CPUC required PG&amp;E’s shareholders to fund an ISM to succeed the Federal Monitor that had been appointed in connection with PG&amp;E’s criminal probation. The Federal Monitor’s term concluded in January 2022. By establishing the ISM, the CPUC enhanced its safety oversight of PG&amp;E. The ISM is an independent consultant that was selected through a competitive bid process. The ISM will serve for five years and provide summary reports of its observations of PG&amp;E to the CPUC and public every six months. </w:t>
      </w:r>
    </w:p>
    <w:p w:rsidR="00C740B6" w:rsidP="007827BE" w:rsidRDefault="00C740B6" w14:paraId="229C0C42" w14:textId="77777777">
      <w:pPr>
        <w:pStyle w:val="BodyTextIndent"/>
        <w:ind w:firstLine="0"/>
        <w:outlineLvl w:val="0"/>
      </w:pPr>
    </w:p>
    <w:p w:rsidR="00C740B6" w:rsidP="00C740B6" w:rsidRDefault="00C740B6" w14:paraId="67C0487F" w14:textId="77777777">
      <w:pPr>
        <w:pStyle w:val="BodyTextIndent"/>
        <w:ind w:firstLine="0"/>
        <w:outlineLvl w:val="0"/>
      </w:pPr>
      <w:r>
        <w:t>The second ISM report includes observations on the following topics:</w:t>
      </w:r>
    </w:p>
    <w:p w:rsidR="00C740B6" w:rsidP="00C740B6" w:rsidRDefault="00C740B6" w14:paraId="56AA307D" w14:textId="77777777">
      <w:pPr>
        <w:pStyle w:val="BodyTextIndent"/>
        <w:numPr>
          <w:ilvl w:val="0"/>
          <w:numId w:val="11"/>
        </w:numPr>
        <w:outlineLvl w:val="0"/>
      </w:pPr>
      <w:r>
        <w:t>Core Leadership Changes</w:t>
      </w:r>
    </w:p>
    <w:p w:rsidR="00C740B6" w:rsidP="00C740B6" w:rsidRDefault="00C740B6" w14:paraId="5A130B04" w14:textId="77777777">
      <w:pPr>
        <w:pStyle w:val="BodyTextIndent"/>
        <w:numPr>
          <w:ilvl w:val="0"/>
          <w:numId w:val="11"/>
        </w:numPr>
        <w:outlineLvl w:val="0"/>
      </w:pPr>
      <w:r>
        <w:t>Supply Chain/Critical Spares and Inventories</w:t>
      </w:r>
    </w:p>
    <w:p w:rsidR="00C740B6" w:rsidP="00C740B6" w:rsidRDefault="00C740B6" w14:paraId="279A8FF7" w14:textId="77777777">
      <w:pPr>
        <w:pStyle w:val="BodyTextIndent"/>
        <w:numPr>
          <w:ilvl w:val="0"/>
          <w:numId w:val="11"/>
        </w:numPr>
        <w:outlineLvl w:val="0"/>
      </w:pPr>
      <w:r>
        <w:t>Asset Age and Useful Life</w:t>
      </w:r>
    </w:p>
    <w:p w:rsidR="00C740B6" w:rsidP="00C740B6" w:rsidRDefault="00C740B6" w14:paraId="6F91C5B4" w14:textId="77777777">
      <w:pPr>
        <w:pStyle w:val="BodyTextIndent"/>
        <w:numPr>
          <w:ilvl w:val="0"/>
          <w:numId w:val="11"/>
        </w:numPr>
        <w:outlineLvl w:val="0"/>
      </w:pPr>
      <w:r>
        <w:t>Contractor Management/Training and Vegetation Management</w:t>
      </w:r>
    </w:p>
    <w:p w:rsidR="00C740B6" w:rsidP="00C740B6" w:rsidRDefault="00C740B6" w14:paraId="465A7577" w14:textId="77777777">
      <w:pPr>
        <w:pStyle w:val="BodyTextIndent"/>
        <w:numPr>
          <w:ilvl w:val="0"/>
          <w:numId w:val="11"/>
        </w:numPr>
        <w:outlineLvl w:val="0"/>
      </w:pPr>
      <w:r>
        <w:t>Enhanced Powerline Safety Settings (EPSS) Program</w:t>
      </w:r>
    </w:p>
    <w:p w:rsidR="00C740B6" w:rsidP="00C740B6" w:rsidRDefault="00C740B6" w14:paraId="17591F70" w14:textId="77777777">
      <w:pPr>
        <w:pStyle w:val="BodyTextIndent"/>
        <w:numPr>
          <w:ilvl w:val="0"/>
          <w:numId w:val="11"/>
        </w:numPr>
        <w:outlineLvl w:val="0"/>
      </w:pPr>
      <w:r>
        <w:t>Vegetation Management (VM) and Enhanced VM (EVM) Programs</w:t>
      </w:r>
    </w:p>
    <w:p w:rsidR="00C740B6" w:rsidP="00C740B6" w:rsidRDefault="00C740B6" w14:paraId="5117D0EC" w14:textId="77777777">
      <w:pPr>
        <w:pStyle w:val="BodyTextIndent"/>
        <w:numPr>
          <w:ilvl w:val="0"/>
          <w:numId w:val="11"/>
        </w:numPr>
        <w:outlineLvl w:val="0"/>
      </w:pPr>
      <w:r>
        <w:t>Distribution Inspections</w:t>
      </w:r>
    </w:p>
    <w:p w:rsidR="00C740B6" w:rsidP="00C740B6" w:rsidRDefault="00C740B6" w14:paraId="19B6C148" w14:textId="77777777">
      <w:pPr>
        <w:pStyle w:val="BodyTextIndent"/>
        <w:numPr>
          <w:ilvl w:val="0"/>
          <w:numId w:val="11"/>
        </w:numPr>
        <w:outlineLvl w:val="0"/>
      </w:pPr>
      <w:r>
        <w:t>Risk Model Updates</w:t>
      </w:r>
    </w:p>
    <w:p w:rsidR="00C740B6" w:rsidP="00C740B6" w:rsidRDefault="00C740B6" w14:paraId="1321AEF1" w14:textId="77777777">
      <w:pPr>
        <w:pStyle w:val="BodyTextIndent"/>
        <w:numPr>
          <w:ilvl w:val="0"/>
          <w:numId w:val="11"/>
        </w:numPr>
        <w:outlineLvl w:val="0"/>
      </w:pPr>
      <w:r>
        <w:t>Gas Storage Operations</w:t>
      </w:r>
    </w:p>
    <w:p w:rsidR="00C740B6" w:rsidP="00C740B6" w:rsidRDefault="00C740B6" w14:paraId="0E41077B" w14:textId="77777777">
      <w:pPr>
        <w:pStyle w:val="BodyTextIndent"/>
        <w:numPr>
          <w:ilvl w:val="0"/>
          <w:numId w:val="11"/>
        </w:numPr>
        <w:outlineLvl w:val="0"/>
      </w:pPr>
      <w:r>
        <w:t>Pipeline Integrity Management</w:t>
      </w:r>
    </w:p>
    <w:p w:rsidR="00C740B6" w:rsidP="00C740B6" w:rsidRDefault="00C740B6" w14:paraId="6FC8A870" w14:textId="77777777">
      <w:pPr>
        <w:pStyle w:val="BodyTextIndent"/>
        <w:numPr>
          <w:ilvl w:val="0"/>
          <w:numId w:val="11"/>
        </w:numPr>
        <w:outlineLvl w:val="0"/>
      </w:pPr>
      <w:r>
        <w:t>Gas Transmission and Distribution Geohazard Monitoring</w:t>
      </w:r>
    </w:p>
    <w:p w:rsidR="00C740B6" w:rsidP="00C740B6" w:rsidRDefault="00C740B6" w14:paraId="7FF2B7B6" w14:textId="77777777">
      <w:pPr>
        <w:pStyle w:val="BodyTextIndent"/>
        <w:numPr>
          <w:ilvl w:val="0"/>
          <w:numId w:val="11"/>
        </w:numPr>
        <w:outlineLvl w:val="0"/>
      </w:pPr>
      <w:r>
        <w:lastRenderedPageBreak/>
        <w:t>Gas Operations Recordkeeping and Record Management</w:t>
      </w:r>
    </w:p>
    <w:p w:rsidR="00C740B6" w:rsidP="00C740B6" w:rsidRDefault="00C740B6" w14:paraId="233DEDE2" w14:textId="1D7EB808">
      <w:pPr>
        <w:pStyle w:val="BodyTextIndent"/>
        <w:numPr>
          <w:ilvl w:val="0"/>
          <w:numId w:val="11"/>
        </w:numPr>
        <w:outlineLvl w:val="0"/>
      </w:pPr>
      <w:r>
        <w:t>Emerging Observations</w:t>
      </w:r>
    </w:p>
    <w:p w:rsidR="00C740B6" w:rsidP="00C740B6" w:rsidRDefault="00C740B6" w14:paraId="7F2975AE" w14:textId="77777777">
      <w:pPr>
        <w:pStyle w:val="BodyTextIndent"/>
        <w:ind w:firstLine="0"/>
        <w:outlineLvl w:val="0"/>
      </w:pPr>
    </w:p>
    <w:p w:rsidR="00C740B6" w:rsidP="00C740B6" w:rsidRDefault="00C740B6" w14:paraId="44191A19" w14:textId="6AEF1155">
      <w:pPr>
        <w:pStyle w:val="BodyTextIndent"/>
        <w:ind w:firstLine="0"/>
        <w:outlineLvl w:val="0"/>
      </w:pPr>
      <w:r w:rsidRPr="00C740B6">
        <w:t>The ISM supports and adds to the CPUC’s sustained efforts to ensure PG&amp;E prioritizes and executes effective risk reduction. The ISM assesses PG&amp;E’s risk management activities in the field, evaluates safety operations and the efficacy of risk identification and mitigation activities. The ISM also monitors PG&amp;E’s safety-related recordkeeping and record management systems to ensure modernization efforts are informed by prior failures and support safe system construction, operation, and maintenance in PG&amp;E’s electric and natural gas lines of business.</w:t>
      </w:r>
    </w:p>
    <w:p w:rsidR="00C740B6" w:rsidP="00C740B6" w:rsidRDefault="00C740B6" w14:paraId="4A8CA9FA" w14:textId="77777777">
      <w:pPr>
        <w:pStyle w:val="BodyTextIndent"/>
        <w:ind w:firstLine="0"/>
        <w:outlineLvl w:val="0"/>
      </w:pPr>
    </w:p>
    <w:p w:rsidR="002C1FE6" w:rsidP="002C1FE6" w:rsidRDefault="00C740B6" w14:paraId="42D19A9B" w14:textId="77777777">
      <w:pPr>
        <w:pStyle w:val="BodyTextIndent"/>
        <w:ind w:firstLine="0"/>
        <w:outlineLvl w:val="0"/>
      </w:pPr>
      <w:r>
        <w:t>The CPUC has taken many actions to hold PG&amp;E accountable for safely serving its customers, including:</w:t>
      </w:r>
    </w:p>
    <w:p w:rsidR="002C1FE6" w:rsidP="00531ABF" w:rsidRDefault="002C1FE6" w14:paraId="61A2964C" w14:textId="77777777">
      <w:pPr>
        <w:pStyle w:val="BodyTextIndent"/>
        <w:numPr>
          <w:ilvl w:val="0"/>
          <w:numId w:val="14"/>
        </w:numPr>
        <w:outlineLvl w:val="0"/>
      </w:pPr>
      <w:r w:rsidRPr="006B0A05">
        <w:rPr>
          <w:szCs w:val="24"/>
        </w:rPr>
        <w:t>Issued an Administrative Enforcement Order penalizing PG&amp;E $1</w:t>
      </w:r>
      <w:r>
        <w:rPr>
          <w:szCs w:val="24"/>
        </w:rPr>
        <w:t>2</w:t>
      </w:r>
      <w:r w:rsidRPr="006B0A05">
        <w:rPr>
          <w:szCs w:val="24"/>
        </w:rPr>
        <w:t xml:space="preserve"> million and ordering </w:t>
      </w:r>
      <w:hyperlink w:history="1" r:id="rId14">
        <w:r w:rsidRPr="006B0A05">
          <w:rPr>
            <w:rStyle w:val="Hyperlink"/>
            <w:szCs w:val="24"/>
          </w:rPr>
          <w:t>corrective actions</w:t>
        </w:r>
      </w:hyperlink>
      <w:r w:rsidRPr="006B0A05">
        <w:rPr>
          <w:szCs w:val="24"/>
        </w:rPr>
        <w:t xml:space="preserve"> for poor execution of 2020 Public Safety Power Shutoff events.</w:t>
      </w:r>
    </w:p>
    <w:p w:rsidR="002C1FE6" w:rsidP="00531ABF" w:rsidRDefault="002C1FE6" w14:paraId="1DE943FF" w14:textId="77777777">
      <w:pPr>
        <w:pStyle w:val="BodyTextIndent"/>
        <w:numPr>
          <w:ilvl w:val="0"/>
          <w:numId w:val="14"/>
        </w:numPr>
        <w:outlineLvl w:val="0"/>
      </w:pPr>
      <w:r w:rsidRPr="006B0A05">
        <w:rPr>
          <w:szCs w:val="24"/>
        </w:rPr>
        <w:t xml:space="preserve">Issued a $5 million </w:t>
      </w:r>
      <w:hyperlink w:history="1" r:id="rId15">
        <w:r>
          <w:rPr>
            <w:rStyle w:val="Hyperlink"/>
            <w:szCs w:val="24"/>
          </w:rPr>
          <w:t>c</w:t>
        </w:r>
        <w:r w:rsidRPr="006B0A05">
          <w:rPr>
            <w:rStyle w:val="Hyperlink"/>
            <w:szCs w:val="24"/>
          </w:rPr>
          <w:t>itation</w:t>
        </w:r>
      </w:hyperlink>
      <w:r w:rsidRPr="006B0A05">
        <w:rPr>
          <w:szCs w:val="24"/>
        </w:rPr>
        <w:t xml:space="preserve"> for PG&amp;E’s failure to thoroughly inspect the Ignacio-Alto-Sausalito transmission lines from 2009 through 2018 and complete 22 high-priority repairs within the time allowed under CPUC regulations (General Order 95). </w:t>
      </w:r>
    </w:p>
    <w:p w:rsidR="002C1FE6" w:rsidP="00531ABF" w:rsidRDefault="002C1FE6" w14:paraId="6FA8CEA8" w14:textId="77777777">
      <w:pPr>
        <w:pStyle w:val="BodyTextIndent"/>
        <w:numPr>
          <w:ilvl w:val="0"/>
          <w:numId w:val="14"/>
        </w:numPr>
        <w:outlineLvl w:val="0"/>
      </w:pPr>
      <w:r w:rsidRPr="006B0A05">
        <w:rPr>
          <w:szCs w:val="24"/>
        </w:rPr>
        <w:t xml:space="preserve">Issued a $2.5 million </w:t>
      </w:r>
      <w:r>
        <w:rPr>
          <w:szCs w:val="24"/>
        </w:rPr>
        <w:t>c</w:t>
      </w:r>
      <w:r w:rsidRPr="006B0A05">
        <w:rPr>
          <w:szCs w:val="24"/>
        </w:rPr>
        <w:t xml:space="preserve">itation to PG&amp;E for incomplete distribution pole inspections in 2019 that violated the requirements of CPUC regulations (General Order 165). </w:t>
      </w:r>
    </w:p>
    <w:p w:rsidR="002C1FE6" w:rsidP="00531ABF" w:rsidRDefault="002C1FE6" w14:paraId="38F4C2E2" w14:textId="77777777">
      <w:pPr>
        <w:pStyle w:val="BodyTextIndent"/>
        <w:numPr>
          <w:ilvl w:val="0"/>
          <w:numId w:val="14"/>
        </w:numPr>
        <w:outlineLvl w:val="0"/>
      </w:pPr>
      <w:r w:rsidRPr="006B0A05">
        <w:rPr>
          <w:szCs w:val="24"/>
        </w:rPr>
        <w:t>Issued a directive to PG&amp;E with corrective actions the utility must take regarding an incident with a Cellon-treated pole that occurred in Danville, Calif. in 2020.</w:t>
      </w:r>
    </w:p>
    <w:p w:rsidR="002C1FE6" w:rsidP="00531ABF" w:rsidRDefault="002C1FE6" w14:paraId="03401B37" w14:textId="77777777">
      <w:pPr>
        <w:pStyle w:val="BodyTextIndent"/>
        <w:numPr>
          <w:ilvl w:val="0"/>
          <w:numId w:val="14"/>
        </w:numPr>
        <w:outlineLvl w:val="0"/>
      </w:pPr>
      <w:r w:rsidRPr="006B0A05">
        <w:rPr>
          <w:szCs w:val="24"/>
        </w:rPr>
        <w:t xml:space="preserve">Established specific </w:t>
      </w:r>
      <w:hyperlink w:history="1" r:id="rId16">
        <w:r w:rsidRPr="006B0A05">
          <w:rPr>
            <w:rStyle w:val="Hyperlink"/>
            <w:szCs w:val="24"/>
          </w:rPr>
          <w:t>metrics</w:t>
        </w:r>
      </w:hyperlink>
      <w:r w:rsidRPr="006B0A05">
        <w:rPr>
          <w:szCs w:val="24"/>
        </w:rPr>
        <w:t xml:space="preserve"> to systemically evaluate PG&amp;E’s operational safety performance and to further implement the </w:t>
      </w:r>
      <w:hyperlink w:history="1" r:id="rId17">
        <w:r w:rsidRPr="006B0A05">
          <w:rPr>
            <w:rStyle w:val="Hyperlink"/>
            <w:szCs w:val="24"/>
          </w:rPr>
          <w:t>Enhanced Oversight and Enforcement Process</w:t>
        </w:r>
      </w:hyperlink>
      <w:r w:rsidRPr="006B0A05">
        <w:rPr>
          <w:szCs w:val="24"/>
        </w:rPr>
        <w:t xml:space="preserve"> imposed upon PG&amp;E by the CPUC as a condition of approving PG&amp;E’s plan for exiting bankruptcy in May 2020.</w:t>
      </w:r>
    </w:p>
    <w:p w:rsidR="002C1FE6" w:rsidP="00531ABF" w:rsidRDefault="002C1FE6" w14:paraId="21F57353" w14:textId="77777777">
      <w:pPr>
        <w:pStyle w:val="BodyTextIndent"/>
        <w:numPr>
          <w:ilvl w:val="0"/>
          <w:numId w:val="14"/>
        </w:numPr>
        <w:outlineLvl w:val="0"/>
      </w:pPr>
      <w:r w:rsidRPr="006B0A05">
        <w:rPr>
          <w:szCs w:val="24"/>
        </w:rPr>
        <w:t xml:space="preserve">Directed PG&amp;E to take immediate action to reduce and mitigate customer impacts from the sudden loss of power due to PG&amp;E’s execution of its </w:t>
      </w:r>
      <w:hyperlink w:history="1" r:id="rId18">
        <w:r w:rsidRPr="006B0A05">
          <w:rPr>
            <w:rStyle w:val="Hyperlink"/>
            <w:szCs w:val="24"/>
          </w:rPr>
          <w:t>Fast Trip</w:t>
        </w:r>
      </w:hyperlink>
      <w:r w:rsidRPr="006B0A05">
        <w:rPr>
          <w:szCs w:val="24"/>
        </w:rPr>
        <w:t xml:space="preserve"> program.</w:t>
      </w:r>
    </w:p>
    <w:p w:rsidR="002C1FE6" w:rsidP="00531ABF" w:rsidRDefault="002C1FE6" w14:paraId="66A11560" w14:textId="77777777">
      <w:pPr>
        <w:pStyle w:val="BodyTextIndent"/>
        <w:numPr>
          <w:ilvl w:val="0"/>
          <w:numId w:val="14"/>
        </w:numPr>
        <w:outlineLvl w:val="0"/>
      </w:pPr>
      <w:r w:rsidRPr="006B0A05">
        <w:rPr>
          <w:szCs w:val="24"/>
        </w:rPr>
        <w:t xml:space="preserve">Placed PG&amp;E into the first step of </w:t>
      </w:r>
      <w:r>
        <w:rPr>
          <w:szCs w:val="24"/>
        </w:rPr>
        <w:t>the</w:t>
      </w:r>
      <w:r w:rsidRPr="006B0A05">
        <w:rPr>
          <w:szCs w:val="24"/>
        </w:rPr>
        <w:t xml:space="preserve"> </w:t>
      </w:r>
      <w:hyperlink w:history="1" r:id="rId19">
        <w:r w:rsidRPr="006B0A05">
          <w:rPr>
            <w:rStyle w:val="Hyperlink"/>
            <w:szCs w:val="24"/>
          </w:rPr>
          <w:t>Enhanced Oversight and Enforcement</w:t>
        </w:r>
      </w:hyperlink>
      <w:r w:rsidRPr="006B0A05">
        <w:rPr>
          <w:szCs w:val="24"/>
        </w:rPr>
        <w:t xml:space="preserve"> </w:t>
      </w:r>
      <w:r>
        <w:rPr>
          <w:szCs w:val="24"/>
        </w:rPr>
        <w:t>P</w:t>
      </w:r>
      <w:r w:rsidRPr="006B0A05">
        <w:rPr>
          <w:szCs w:val="24"/>
        </w:rPr>
        <w:t>rocess based on the company’s failure to sufficiently prioritize clearing vegetation on its highest-risk power lines as part of its wildfire mitigation work in 2020, and conduct</w:t>
      </w:r>
      <w:r>
        <w:rPr>
          <w:szCs w:val="24"/>
        </w:rPr>
        <w:t>ed</w:t>
      </w:r>
      <w:r w:rsidRPr="006B0A05">
        <w:rPr>
          <w:szCs w:val="24"/>
        </w:rPr>
        <w:t xml:space="preserve"> </w:t>
      </w:r>
      <w:hyperlink w:history="1" r:id="rId20">
        <w:r w:rsidRPr="006B0A05">
          <w:rPr>
            <w:rStyle w:val="Hyperlink"/>
            <w:szCs w:val="24"/>
          </w:rPr>
          <w:t>fact-finding</w:t>
        </w:r>
      </w:hyperlink>
      <w:r w:rsidRPr="006B0A05">
        <w:rPr>
          <w:szCs w:val="24"/>
        </w:rPr>
        <w:t xml:space="preserve"> to determine whether to recommend advancing PG&amp;E further within the Enhanced Oversight and Enforcement </w:t>
      </w:r>
      <w:r>
        <w:rPr>
          <w:szCs w:val="24"/>
        </w:rPr>
        <w:t>P</w:t>
      </w:r>
      <w:r w:rsidRPr="006B0A05">
        <w:rPr>
          <w:szCs w:val="24"/>
        </w:rPr>
        <w:t>rocess.</w:t>
      </w:r>
    </w:p>
    <w:p w:rsidR="002C1FE6" w:rsidP="00531ABF" w:rsidRDefault="002C1FE6" w14:paraId="530086EB" w14:textId="77777777">
      <w:pPr>
        <w:pStyle w:val="BodyTextIndent"/>
        <w:numPr>
          <w:ilvl w:val="0"/>
          <w:numId w:val="14"/>
        </w:numPr>
        <w:outlineLvl w:val="0"/>
      </w:pPr>
      <w:r w:rsidRPr="006B0A05">
        <w:rPr>
          <w:szCs w:val="24"/>
        </w:rPr>
        <w:lastRenderedPageBreak/>
        <w:t xml:space="preserve">Directed PG&amp;E to address its preparedness for Public Safety Power Shutoffs at a </w:t>
      </w:r>
      <w:hyperlink w:history="1" r:id="rId21">
        <w:r w:rsidRPr="006B0A05">
          <w:rPr>
            <w:rStyle w:val="Hyperlink"/>
            <w:szCs w:val="24"/>
          </w:rPr>
          <w:t>public briefing</w:t>
        </w:r>
      </w:hyperlink>
      <w:r w:rsidRPr="006B0A05">
        <w:rPr>
          <w:szCs w:val="24"/>
        </w:rPr>
        <w:t>.</w:t>
      </w:r>
    </w:p>
    <w:p w:rsidR="002C1FE6" w:rsidP="00531ABF" w:rsidRDefault="002C1FE6" w14:paraId="66B142F2" w14:textId="77777777">
      <w:pPr>
        <w:pStyle w:val="BodyTextIndent"/>
        <w:numPr>
          <w:ilvl w:val="0"/>
          <w:numId w:val="14"/>
        </w:numPr>
        <w:outlineLvl w:val="0"/>
      </w:pPr>
      <w:r w:rsidRPr="006B0A05">
        <w:rPr>
          <w:szCs w:val="24"/>
        </w:rPr>
        <w:t xml:space="preserve">Ordered PG&amp;E to enhance its </w:t>
      </w:r>
      <w:hyperlink w:history="1" r:id="rId22">
        <w:r w:rsidRPr="006B0A05">
          <w:rPr>
            <w:rStyle w:val="Hyperlink"/>
            <w:szCs w:val="24"/>
          </w:rPr>
          <w:t>Public Safety Power Shutoff</w:t>
        </w:r>
      </w:hyperlink>
      <w:r w:rsidRPr="006B0A05">
        <w:rPr>
          <w:szCs w:val="24"/>
        </w:rPr>
        <w:t xml:space="preserve"> process.</w:t>
      </w:r>
    </w:p>
    <w:p w:rsidR="002C1FE6" w:rsidP="00531ABF" w:rsidRDefault="002C1FE6" w14:paraId="56E424BA" w14:textId="77777777">
      <w:pPr>
        <w:pStyle w:val="BodyTextIndent"/>
        <w:numPr>
          <w:ilvl w:val="0"/>
          <w:numId w:val="14"/>
        </w:numPr>
        <w:outlineLvl w:val="0"/>
      </w:pPr>
      <w:r w:rsidRPr="006B0A05">
        <w:rPr>
          <w:szCs w:val="24"/>
        </w:rPr>
        <w:t>Ordered PG&amp;E to create a mobile app for customers to report electric infrastructure safety concerns.</w:t>
      </w:r>
    </w:p>
    <w:p w:rsidR="002C1FE6" w:rsidP="00531ABF" w:rsidRDefault="002C1FE6" w14:paraId="14B2B9D8" w14:textId="77777777">
      <w:pPr>
        <w:pStyle w:val="BodyTextIndent"/>
        <w:numPr>
          <w:ilvl w:val="0"/>
          <w:numId w:val="14"/>
        </w:numPr>
        <w:outlineLvl w:val="0"/>
      </w:pPr>
      <w:r w:rsidRPr="006B0A05">
        <w:rPr>
          <w:szCs w:val="24"/>
        </w:rPr>
        <w:t>Established standards, scope, and expectations for the Independent Safety Monitor that will provide safety monitoring information to the CPUC beginning in February 2022, also a condition of approving PG&amp;E’s plan for exiting bankruptcy in May 2020.</w:t>
      </w:r>
    </w:p>
    <w:p w:rsidR="002C1FE6" w:rsidP="00531ABF" w:rsidRDefault="002C1FE6" w14:paraId="0B31206A" w14:textId="77777777">
      <w:pPr>
        <w:pStyle w:val="BodyTextIndent"/>
        <w:numPr>
          <w:ilvl w:val="0"/>
          <w:numId w:val="14"/>
        </w:numPr>
        <w:outlineLvl w:val="0"/>
      </w:pPr>
      <w:r w:rsidRPr="006B0A05">
        <w:rPr>
          <w:szCs w:val="24"/>
        </w:rPr>
        <w:t>Continual monitoring of PG&amp;E’s safety enhancement actions ordered in a CPUC 2012-2017 natural gas system locate and mark investigation.</w:t>
      </w:r>
    </w:p>
    <w:p w:rsidR="002C1FE6" w:rsidP="00531ABF" w:rsidRDefault="002C1FE6" w14:paraId="26EBB26E" w14:textId="77777777">
      <w:pPr>
        <w:pStyle w:val="BodyTextIndent"/>
        <w:numPr>
          <w:ilvl w:val="0"/>
          <w:numId w:val="14"/>
        </w:numPr>
        <w:outlineLvl w:val="0"/>
      </w:pPr>
      <w:r w:rsidRPr="006B0A05">
        <w:rPr>
          <w:szCs w:val="24"/>
        </w:rPr>
        <w:t>Continual monitoring of PG&amp;E’s safety enhancement actions ordered in a CPUC 2017-2018 wildfires investigation.</w:t>
      </w:r>
    </w:p>
    <w:p w:rsidR="00C740B6" w:rsidP="00531ABF" w:rsidRDefault="002C1FE6" w14:paraId="01012B01" w14:textId="3B28F396">
      <w:pPr>
        <w:pStyle w:val="BodyTextIndent"/>
        <w:numPr>
          <w:ilvl w:val="0"/>
          <w:numId w:val="14"/>
        </w:numPr>
        <w:outlineLvl w:val="0"/>
      </w:pPr>
      <w:r w:rsidRPr="006B0A05">
        <w:rPr>
          <w:szCs w:val="24"/>
        </w:rPr>
        <w:t>Ongoing monitoring and reporting of PG&amp;E’s safety culture ordered in a 2015 investigation following PG&amp;E’s 2010 natural gas transmission pipeline explosion in San Bruno.</w:t>
      </w:r>
    </w:p>
    <w:p w:rsidR="00C740B6" w:rsidP="00C740B6" w:rsidRDefault="00C740B6" w14:paraId="1934C1A3" w14:textId="77777777">
      <w:pPr>
        <w:pStyle w:val="BodyTextIndent"/>
        <w:ind w:firstLine="0"/>
        <w:outlineLvl w:val="0"/>
      </w:pPr>
    </w:p>
    <w:p w:rsidR="00C740B6" w:rsidP="00C740B6" w:rsidRDefault="00C740B6" w14:paraId="0ABE77B1" w14:textId="72E2CA40">
      <w:pPr>
        <w:pStyle w:val="BodyTextIndent"/>
        <w:ind w:firstLine="0"/>
        <w:outlineLvl w:val="0"/>
      </w:pPr>
      <w:r>
        <w:t xml:space="preserve">Read more about these actions and other steps the CPUC is taking to hold PG&amp;E accountable for safely serving its customers by visiting </w:t>
      </w:r>
      <w:hyperlink w:history="1" r:id="rId23">
        <w:r>
          <w:rPr>
            <w:rStyle w:val="Hyperlink"/>
          </w:rPr>
          <w:t>www.cpuc.ca.gov/industries-and-topics/pge</w:t>
        </w:r>
      </w:hyperlink>
      <w:r>
        <w:t xml:space="preserve">.   </w:t>
      </w:r>
    </w:p>
    <w:p w:rsidR="00C740B6" w:rsidP="00C740B6" w:rsidRDefault="00C740B6" w14:paraId="48027839" w14:textId="77777777">
      <w:pPr>
        <w:pStyle w:val="BodyTextIndent"/>
        <w:ind w:firstLine="0"/>
        <w:outlineLvl w:val="0"/>
      </w:pPr>
    </w:p>
    <w:p w:rsidR="00C740B6" w:rsidP="00C740B6" w:rsidRDefault="00C740B6" w14:paraId="367D5EC6" w14:textId="5FAA75E5">
      <w:pPr>
        <w:pStyle w:val="BodyTextIndent"/>
        <w:ind w:firstLine="0"/>
        <w:outlineLvl w:val="0"/>
      </w:pPr>
      <w:r>
        <w:t xml:space="preserve">For more information about the Independent Safety Monitor, visit </w:t>
      </w:r>
      <w:hyperlink w:history="1" r:id="rId24">
        <w:r>
          <w:rPr>
            <w:rStyle w:val="Hyperlink"/>
          </w:rPr>
          <w:t>www.cpuc.ca.gov/industries-and-topics/pge/independent-safety-monitor</w:t>
        </w:r>
      </w:hyperlink>
      <w:r>
        <w:t xml:space="preserve">. </w:t>
      </w:r>
    </w:p>
    <w:p w:rsidRPr="00DB3E78" w:rsidR="00AC6D0F" w:rsidP="00D64BCC" w:rsidRDefault="00AC6D0F" w14:paraId="3A820A0C" w14:textId="77777777">
      <w:pPr>
        <w:pStyle w:val="BodyTextIndent"/>
        <w:ind w:firstLine="0"/>
        <w:outlineLvl w:val="0"/>
      </w:pPr>
    </w:p>
    <w:p w:rsidR="004C3AC1" w:rsidP="00D64BCC" w:rsidRDefault="00722721" w14:paraId="6C093160" w14:textId="04192F18">
      <w:pPr>
        <w:pStyle w:val="BodyTextIndent"/>
        <w:ind w:firstLine="0"/>
        <w:outlineLvl w:val="0"/>
        <w:rPr>
          <w:szCs w:val="24"/>
        </w:rPr>
      </w:pPr>
      <w:r w:rsidRPr="00DB3E78">
        <w:rPr>
          <w:szCs w:val="24"/>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25">
        <w:r w:rsidRPr="00DB3E78">
          <w:rPr>
            <w:rStyle w:val="Hyperlink"/>
            <w:szCs w:val="24"/>
          </w:rPr>
          <w:t>www.cpuc.ca.gov</w:t>
        </w:r>
      </w:hyperlink>
      <w:r w:rsidRPr="00DB3E78">
        <w:rPr>
          <w:szCs w:val="24"/>
        </w:rPr>
        <w:t>.</w:t>
      </w:r>
    </w:p>
    <w:p w:rsidRPr="00C740B6" w:rsidR="00C740B6" w:rsidP="00D64BCC" w:rsidRDefault="00C740B6" w14:paraId="3BE91F28" w14:textId="77777777">
      <w:pPr>
        <w:pStyle w:val="BodyTextIndent"/>
        <w:ind w:firstLine="0"/>
        <w:outlineLvl w:val="0"/>
        <w:rPr>
          <w:szCs w:val="24"/>
        </w:rPr>
      </w:pPr>
    </w:p>
    <w:p w:rsidRPr="00DB3E78" w:rsidR="00BE0F70" w:rsidP="00EC7214" w:rsidRDefault="000964E3" w14:paraId="66048913" w14:textId="34B91DC7">
      <w:pPr>
        <w:pStyle w:val="BodyTextIndent"/>
        <w:ind w:firstLine="0"/>
        <w:jc w:val="center"/>
        <w:outlineLvl w:val="0"/>
        <w:rPr>
          <w:szCs w:val="24"/>
        </w:rPr>
      </w:pPr>
      <w:r w:rsidRPr="00DB3E78">
        <w:rPr>
          <w:szCs w:val="24"/>
        </w:rPr>
        <w:t>###</w:t>
      </w:r>
      <w:bookmarkEnd w:id="0"/>
    </w:p>
    <w:sectPr w:rsidRPr="00DB3E78" w:rsidR="00BE0F70" w:rsidSect="00064C9B">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89D6" w14:textId="77777777" w:rsidR="00321D1A" w:rsidRDefault="00321D1A">
      <w:pPr>
        <w:spacing w:line="240" w:lineRule="auto"/>
      </w:pPr>
      <w:r>
        <w:separator/>
      </w:r>
    </w:p>
    <w:p w14:paraId="418DC6FC" w14:textId="77777777" w:rsidR="00321D1A" w:rsidRDefault="00321D1A"/>
  </w:endnote>
  <w:endnote w:type="continuationSeparator" w:id="0">
    <w:p w14:paraId="5DDAE02B" w14:textId="77777777" w:rsidR="00321D1A" w:rsidRDefault="00321D1A">
      <w:pPr>
        <w:spacing w:line="240" w:lineRule="auto"/>
      </w:pPr>
      <w:r>
        <w:continuationSeparator/>
      </w:r>
    </w:p>
    <w:p w14:paraId="30D6C324" w14:textId="77777777" w:rsidR="00321D1A" w:rsidRDefault="00321D1A"/>
  </w:endnote>
  <w:endnote w:type="continuationNotice" w:id="1">
    <w:p w14:paraId="04EBFFFA" w14:textId="77777777" w:rsidR="00321D1A" w:rsidRDefault="00321D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4B08" w14:textId="77777777" w:rsidR="009E21F1" w:rsidRDefault="009E2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9929D" id="Rectangle 8" o:spid="_x0000_s1026" href="https://www.linkedin.com/company/CaliforniaPUC" style="position:absolute;margin-left:288.65pt;margin-top:13.6pt;width:12.6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o:button="t" filled="f" stroked="f" strokeweight="1pt">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78C38" id="Rectangle 7" o:spid="_x0000_s1026" href="https://www.youtube.com/user/CaliforniaPUC" style="position:absolute;margin-left:273.65pt;margin-top:13.65pt;width:12.6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BBE4D" id="Rectangle 6" o:spid="_x0000_s1026" href="https://www.instagram.com/CaliforniaPUC/" style="position:absolute;margin-left:258.65pt;margin-top:13.65pt;width:12.6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E82C" id="Rectangle 5" o:spid="_x0000_s1026" href="https://www.facebook.com/CaliforniaPUC" style="position:absolute;margin-left:243.7pt;margin-top:13.65pt;width:12.6pt;height:1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o:button="t" filled="f" stroked="f" strokeweight="1pt">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46FBD" id="Rectangle 4" o:spid="_x0000_s1026" href="https://twitter.com/californiapuc" style="position:absolute;margin-left:228.65pt;margin-top:13.75pt;width:12.6pt;height: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o:button="t" filled="f" stroked="f" strokeweight="1pt">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FB62" w14:textId="77777777" w:rsidR="009E21F1" w:rsidRDefault="009E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898B" w14:textId="77777777" w:rsidR="00321D1A" w:rsidRDefault="00321D1A">
      <w:pPr>
        <w:spacing w:line="240" w:lineRule="auto"/>
      </w:pPr>
      <w:r>
        <w:separator/>
      </w:r>
    </w:p>
    <w:p w14:paraId="12806567" w14:textId="77777777" w:rsidR="00321D1A" w:rsidRDefault="00321D1A"/>
  </w:footnote>
  <w:footnote w:type="continuationSeparator" w:id="0">
    <w:p w14:paraId="4DD6A9BC" w14:textId="77777777" w:rsidR="00321D1A" w:rsidRDefault="00321D1A">
      <w:pPr>
        <w:spacing w:line="240" w:lineRule="auto"/>
      </w:pPr>
      <w:r>
        <w:continuationSeparator/>
      </w:r>
    </w:p>
    <w:p w14:paraId="3F3A6691" w14:textId="77777777" w:rsidR="00321D1A" w:rsidRDefault="00321D1A"/>
  </w:footnote>
  <w:footnote w:type="continuationNotice" w:id="1">
    <w:p w14:paraId="73214705" w14:textId="77777777" w:rsidR="00321D1A" w:rsidRDefault="00321D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D58A" w14:textId="77777777" w:rsidR="009E21F1" w:rsidRDefault="009E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508B449E"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FEEA" w14:textId="77777777" w:rsidR="009E21F1" w:rsidRDefault="009E2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CC6"/>
    <w:multiLevelType w:val="hybridMultilevel"/>
    <w:tmpl w:val="B0F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2F61"/>
    <w:multiLevelType w:val="hybridMultilevel"/>
    <w:tmpl w:val="A5C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E453E"/>
    <w:multiLevelType w:val="hybridMultilevel"/>
    <w:tmpl w:val="3BD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5ED"/>
    <w:multiLevelType w:val="multilevel"/>
    <w:tmpl w:val="75F80716"/>
    <w:lvl w:ilvl="0">
      <w:start w:val="1"/>
      <w:numFmt w:val="bullet"/>
      <w:pStyle w:val="ListBullet"/>
      <w:lvlText w:val=""/>
      <w:lvlJc w:val="left"/>
      <w:pPr>
        <w:ind w:left="720" w:hanging="360"/>
      </w:pPr>
      <w:rPr>
        <w:rFonts w:ascii="Wingdings" w:hAnsi="Wingdings" w:hint="default"/>
        <w:color w:val="053572"/>
        <w:sz w:val="22"/>
      </w:rPr>
    </w:lvl>
    <w:lvl w:ilvl="1">
      <w:start w:val="1"/>
      <w:numFmt w:val="bullet"/>
      <w:pStyle w:val="ListBullet2"/>
      <w:lvlText w:val=""/>
      <w:lvlJc w:val="left"/>
      <w:pPr>
        <w:ind w:left="1080" w:hanging="360"/>
      </w:pPr>
      <w:rPr>
        <w:rFonts w:ascii="Wingdings" w:hAnsi="Wingdings" w:hint="default"/>
        <w:color w:val="1295D8"/>
        <w:sz w:val="22"/>
      </w:rPr>
    </w:lvl>
    <w:lvl w:ilvl="2">
      <w:start w:val="1"/>
      <w:numFmt w:val="bullet"/>
      <w:lvlRestart w:val="0"/>
      <w:pStyle w:val="List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webHidden w:val="0"/>
        <w:color w:val="0069B6"/>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472C4"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4" w15:restartNumberingAfterBreak="0">
    <w:nsid w:val="3B0020C8"/>
    <w:multiLevelType w:val="hybridMultilevel"/>
    <w:tmpl w:val="77F6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6E52E3"/>
    <w:multiLevelType w:val="hybridMultilevel"/>
    <w:tmpl w:val="4648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E5C05"/>
    <w:multiLevelType w:val="hybridMultilevel"/>
    <w:tmpl w:val="F65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E3B9D"/>
    <w:multiLevelType w:val="hybridMultilevel"/>
    <w:tmpl w:val="822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E61EB"/>
    <w:multiLevelType w:val="hybridMultilevel"/>
    <w:tmpl w:val="85E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51FA1"/>
    <w:multiLevelType w:val="hybridMultilevel"/>
    <w:tmpl w:val="18D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C7A92"/>
    <w:multiLevelType w:val="hybridMultilevel"/>
    <w:tmpl w:val="8BACD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C12F48"/>
    <w:multiLevelType w:val="hybridMultilevel"/>
    <w:tmpl w:val="30DE0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A74FCC"/>
    <w:multiLevelType w:val="hybridMultilevel"/>
    <w:tmpl w:val="FD9AA1B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8E6F6F"/>
    <w:multiLevelType w:val="hybridMultilevel"/>
    <w:tmpl w:val="873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970984">
    <w:abstractNumId w:val="3"/>
  </w:num>
  <w:num w:numId="2" w16cid:durableId="632053883">
    <w:abstractNumId w:val="9"/>
  </w:num>
  <w:num w:numId="3" w16cid:durableId="898399642">
    <w:abstractNumId w:val="11"/>
  </w:num>
  <w:num w:numId="4" w16cid:durableId="18508153">
    <w:abstractNumId w:val="10"/>
  </w:num>
  <w:num w:numId="5" w16cid:durableId="1842234319">
    <w:abstractNumId w:val="8"/>
  </w:num>
  <w:num w:numId="6" w16cid:durableId="1169783713">
    <w:abstractNumId w:val="0"/>
  </w:num>
  <w:num w:numId="7" w16cid:durableId="1373652495">
    <w:abstractNumId w:val="4"/>
  </w:num>
  <w:num w:numId="8" w16cid:durableId="1170028181">
    <w:abstractNumId w:val="2"/>
  </w:num>
  <w:num w:numId="9" w16cid:durableId="729033685">
    <w:abstractNumId w:val="7"/>
  </w:num>
  <w:num w:numId="10" w16cid:durableId="1343780445">
    <w:abstractNumId w:val="1"/>
  </w:num>
  <w:num w:numId="11" w16cid:durableId="796601316">
    <w:abstractNumId w:val="13"/>
  </w:num>
  <w:num w:numId="12" w16cid:durableId="1450508726">
    <w:abstractNumId w:val="6"/>
  </w:num>
  <w:num w:numId="13" w16cid:durableId="583031271">
    <w:abstractNumId w:val="5"/>
  </w:num>
  <w:num w:numId="14" w16cid:durableId="20745034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0263C"/>
    <w:rsid w:val="000037EC"/>
    <w:rsid w:val="00013B45"/>
    <w:rsid w:val="00022B59"/>
    <w:rsid w:val="00023DFF"/>
    <w:rsid w:val="00025430"/>
    <w:rsid w:val="00025B93"/>
    <w:rsid w:val="000273F3"/>
    <w:rsid w:val="00027845"/>
    <w:rsid w:val="00031734"/>
    <w:rsid w:val="00034613"/>
    <w:rsid w:val="0003540A"/>
    <w:rsid w:val="00040340"/>
    <w:rsid w:val="00043348"/>
    <w:rsid w:val="0004432F"/>
    <w:rsid w:val="00044762"/>
    <w:rsid w:val="000452AC"/>
    <w:rsid w:val="0004661E"/>
    <w:rsid w:val="000520A4"/>
    <w:rsid w:val="00053953"/>
    <w:rsid w:val="0005559A"/>
    <w:rsid w:val="00055BA7"/>
    <w:rsid w:val="00055BD6"/>
    <w:rsid w:val="000568DE"/>
    <w:rsid w:val="00064958"/>
    <w:rsid w:val="00064C9B"/>
    <w:rsid w:val="00067BC8"/>
    <w:rsid w:val="00072503"/>
    <w:rsid w:val="00075E10"/>
    <w:rsid w:val="0007766B"/>
    <w:rsid w:val="0008289A"/>
    <w:rsid w:val="00091453"/>
    <w:rsid w:val="000964E3"/>
    <w:rsid w:val="00097BAF"/>
    <w:rsid w:val="000B035D"/>
    <w:rsid w:val="000B1B15"/>
    <w:rsid w:val="000B3734"/>
    <w:rsid w:val="000B5625"/>
    <w:rsid w:val="000C13DD"/>
    <w:rsid w:val="000C2353"/>
    <w:rsid w:val="000C5D3D"/>
    <w:rsid w:val="000C7072"/>
    <w:rsid w:val="000C7A9C"/>
    <w:rsid w:val="000D224B"/>
    <w:rsid w:val="000D2E22"/>
    <w:rsid w:val="000D6136"/>
    <w:rsid w:val="000E0857"/>
    <w:rsid w:val="000E3DF3"/>
    <w:rsid w:val="000F4503"/>
    <w:rsid w:val="00103383"/>
    <w:rsid w:val="00103AB6"/>
    <w:rsid w:val="00103DDB"/>
    <w:rsid w:val="001042D3"/>
    <w:rsid w:val="001103D7"/>
    <w:rsid w:val="00113887"/>
    <w:rsid w:val="00117162"/>
    <w:rsid w:val="001206EE"/>
    <w:rsid w:val="001212E2"/>
    <w:rsid w:val="00123A53"/>
    <w:rsid w:val="0012491F"/>
    <w:rsid w:val="0012742C"/>
    <w:rsid w:val="00130071"/>
    <w:rsid w:val="0013069F"/>
    <w:rsid w:val="00130EE7"/>
    <w:rsid w:val="001328CA"/>
    <w:rsid w:val="00132B2E"/>
    <w:rsid w:val="00135767"/>
    <w:rsid w:val="00141EA3"/>
    <w:rsid w:val="0014284A"/>
    <w:rsid w:val="00145D5C"/>
    <w:rsid w:val="00146243"/>
    <w:rsid w:val="00147E1C"/>
    <w:rsid w:val="001505D9"/>
    <w:rsid w:val="00157DB3"/>
    <w:rsid w:val="00164CDF"/>
    <w:rsid w:val="00171308"/>
    <w:rsid w:val="00171FE7"/>
    <w:rsid w:val="00172BE8"/>
    <w:rsid w:val="00181276"/>
    <w:rsid w:val="001813D1"/>
    <w:rsid w:val="00184659"/>
    <w:rsid w:val="00185072"/>
    <w:rsid w:val="00185E04"/>
    <w:rsid w:val="00187B63"/>
    <w:rsid w:val="001904D6"/>
    <w:rsid w:val="001A2377"/>
    <w:rsid w:val="001A5CC0"/>
    <w:rsid w:val="001B218E"/>
    <w:rsid w:val="001B454E"/>
    <w:rsid w:val="001B5369"/>
    <w:rsid w:val="001C081B"/>
    <w:rsid w:val="001C2288"/>
    <w:rsid w:val="001C28D1"/>
    <w:rsid w:val="001C4B87"/>
    <w:rsid w:val="001C7EFD"/>
    <w:rsid w:val="001D0AB9"/>
    <w:rsid w:val="001D1937"/>
    <w:rsid w:val="001D355F"/>
    <w:rsid w:val="001D65D3"/>
    <w:rsid w:val="001E0BF5"/>
    <w:rsid w:val="001E16DB"/>
    <w:rsid w:val="001E2EDB"/>
    <w:rsid w:val="001E5C52"/>
    <w:rsid w:val="001E6812"/>
    <w:rsid w:val="001F0648"/>
    <w:rsid w:val="001F0655"/>
    <w:rsid w:val="001F0C25"/>
    <w:rsid w:val="001F3004"/>
    <w:rsid w:val="001F3105"/>
    <w:rsid w:val="001F5C88"/>
    <w:rsid w:val="001F76FB"/>
    <w:rsid w:val="00200623"/>
    <w:rsid w:val="00206DB7"/>
    <w:rsid w:val="002071BB"/>
    <w:rsid w:val="00211403"/>
    <w:rsid w:val="00211576"/>
    <w:rsid w:val="002171EF"/>
    <w:rsid w:val="00217472"/>
    <w:rsid w:val="002235BF"/>
    <w:rsid w:val="0023459E"/>
    <w:rsid w:val="00243411"/>
    <w:rsid w:val="002441E4"/>
    <w:rsid w:val="0024497A"/>
    <w:rsid w:val="00250664"/>
    <w:rsid w:val="00250DAD"/>
    <w:rsid w:val="00251655"/>
    <w:rsid w:val="00253892"/>
    <w:rsid w:val="00257FDC"/>
    <w:rsid w:val="00260757"/>
    <w:rsid w:val="00263453"/>
    <w:rsid w:val="00263592"/>
    <w:rsid w:val="002641C9"/>
    <w:rsid w:val="00265714"/>
    <w:rsid w:val="00267161"/>
    <w:rsid w:val="00270A6E"/>
    <w:rsid w:val="002802A9"/>
    <w:rsid w:val="002807EC"/>
    <w:rsid w:val="00284CC7"/>
    <w:rsid w:val="002866A8"/>
    <w:rsid w:val="002869C0"/>
    <w:rsid w:val="002A2653"/>
    <w:rsid w:val="002A3E6E"/>
    <w:rsid w:val="002A40AA"/>
    <w:rsid w:val="002A5CBD"/>
    <w:rsid w:val="002B1B43"/>
    <w:rsid w:val="002B5506"/>
    <w:rsid w:val="002C1947"/>
    <w:rsid w:val="002C1FE6"/>
    <w:rsid w:val="002C3F4E"/>
    <w:rsid w:val="002C50E8"/>
    <w:rsid w:val="002C5F20"/>
    <w:rsid w:val="002D1E41"/>
    <w:rsid w:val="002D552C"/>
    <w:rsid w:val="002E08B7"/>
    <w:rsid w:val="002E0F67"/>
    <w:rsid w:val="002E28E8"/>
    <w:rsid w:val="002E3C91"/>
    <w:rsid w:val="002E467A"/>
    <w:rsid w:val="002E5DC4"/>
    <w:rsid w:val="002E6045"/>
    <w:rsid w:val="002F2E05"/>
    <w:rsid w:val="002F494F"/>
    <w:rsid w:val="002F49E4"/>
    <w:rsid w:val="002F6EB1"/>
    <w:rsid w:val="00300F2C"/>
    <w:rsid w:val="00305629"/>
    <w:rsid w:val="00306BEB"/>
    <w:rsid w:val="00306C15"/>
    <w:rsid w:val="00312216"/>
    <w:rsid w:val="003164F0"/>
    <w:rsid w:val="0032007F"/>
    <w:rsid w:val="00321D1A"/>
    <w:rsid w:val="00324473"/>
    <w:rsid w:val="003322D6"/>
    <w:rsid w:val="00334121"/>
    <w:rsid w:val="003379FB"/>
    <w:rsid w:val="00353540"/>
    <w:rsid w:val="003546B1"/>
    <w:rsid w:val="0035551F"/>
    <w:rsid w:val="003601ED"/>
    <w:rsid w:val="00360EF6"/>
    <w:rsid w:val="00362D44"/>
    <w:rsid w:val="0036608C"/>
    <w:rsid w:val="00371098"/>
    <w:rsid w:val="0037261C"/>
    <w:rsid w:val="00374DF4"/>
    <w:rsid w:val="00375F86"/>
    <w:rsid w:val="0037735F"/>
    <w:rsid w:val="00377C83"/>
    <w:rsid w:val="00386C93"/>
    <w:rsid w:val="003900D5"/>
    <w:rsid w:val="0039180B"/>
    <w:rsid w:val="00393457"/>
    <w:rsid w:val="003947C5"/>
    <w:rsid w:val="003A00B0"/>
    <w:rsid w:val="003A137D"/>
    <w:rsid w:val="003A5AFC"/>
    <w:rsid w:val="003A6C6A"/>
    <w:rsid w:val="003A6E22"/>
    <w:rsid w:val="003A7720"/>
    <w:rsid w:val="003B1208"/>
    <w:rsid w:val="003B37CA"/>
    <w:rsid w:val="003B3FD3"/>
    <w:rsid w:val="003B5397"/>
    <w:rsid w:val="003C1CFE"/>
    <w:rsid w:val="003C1D54"/>
    <w:rsid w:val="003C32A2"/>
    <w:rsid w:val="003C4665"/>
    <w:rsid w:val="003C4E46"/>
    <w:rsid w:val="003D0B7E"/>
    <w:rsid w:val="003D3A3C"/>
    <w:rsid w:val="003D3AAC"/>
    <w:rsid w:val="003D3EB9"/>
    <w:rsid w:val="003D509C"/>
    <w:rsid w:val="003D5ECD"/>
    <w:rsid w:val="003D6AA0"/>
    <w:rsid w:val="003D7AE7"/>
    <w:rsid w:val="003E0002"/>
    <w:rsid w:val="003E2081"/>
    <w:rsid w:val="003E2832"/>
    <w:rsid w:val="003E5FCC"/>
    <w:rsid w:val="003E72EC"/>
    <w:rsid w:val="003F0755"/>
    <w:rsid w:val="003F379F"/>
    <w:rsid w:val="003F65B7"/>
    <w:rsid w:val="003F65D1"/>
    <w:rsid w:val="004031D1"/>
    <w:rsid w:val="0040481D"/>
    <w:rsid w:val="004101D4"/>
    <w:rsid w:val="00411B8D"/>
    <w:rsid w:val="004138FC"/>
    <w:rsid w:val="0042030C"/>
    <w:rsid w:val="004220A4"/>
    <w:rsid w:val="004225B9"/>
    <w:rsid w:val="00423E83"/>
    <w:rsid w:val="00426AC5"/>
    <w:rsid w:val="00426CAF"/>
    <w:rsid w:val="00427583"/>
    <w:rsid w:val="00430A6F"/>
    <w:rsid w:val="00433AA5"/>
    <w:rsid w:val="004343CE"/>
    <w:rsid w:val="0043727B"/>
    <w:rsid w:val="00441E1E"/>
    <w:rsid w:val="00445219"/>
    <w:rsid w:val="00445F40"/>
    <w:rsid w:val="00461536"/>
    <w:rsid w:val="00461B99"/>
    <w:rsid w:val="00461BBE"/>
    <w:rsid w:val="00462B26"/>
    <w:rsid w:val="004647EF"/>
    <w:rsid w:val="0046499D"/>
    <w:rsid w:val="00475A98"/>
    <w:rsid w:val="004763F4"/>
    <w:rsid w:val="00481548"/>
    <w:rsid w:val="004816F9"/>
    <w:rsid w:val="00485C8F"/>
    <w:rsid w:val="00495217"/>
    <w:rsid w:val="004A3191"/>
    <w:rsid w:val="004A4D3C"/>
    <w:rsid w:val="004A52B0"/>
    <w:rsid w:val="004A77EE"/>
    <w:rsid w:val="004B07A7"/>
    <w:rsid w:val="004B4EB8"/>
    <w:rsid w:val="004B728B"/>
    <w:rsid w:val="004C021A"/>
    <w:rsid w:val="004C2610"/>
    <w:rsid w:val="004C3AC1"/>
    <w:rsid w:val="004D12A6"/>
    <w:rsid w:val="004D3789"/>
    <w:rsid w:val="004D499E"/>
    <w:rsid w:val="004E18F9"/>
    <w:rsid w:val="004E248A"/>
    <w:rsid w:val="004E2B05"/>
    <w:rsid w:val="004E4592"/>
    <w:rsid w:val="004E4C6B"/>
    <w:rsid w:val="004F4EBF"/>
    <w:rsid w:val="0050055E"/>
    <w:rsid w:val="00502778"/>
    <w:rsid w:val="00506255"/>
    <w:rsid w:val="0050672F"/>
    <w:rsid w:val="005072FD"/>
    <w:rsid w:val="0051013D"/>
    <w:rsid w:val="00510E1D"/>
    <w:rsid w:val="00513E92"/>
    <w:rsid w:val="0051490C"/>
    <w:rsid w:val="00516C98"/>
    <w:rsid w:val="00520FA4"/>
    <w:rsid w:val="005222B5"/>
    <w:rsid w:val="00525051"/>
    <w:rsid w:val="00527EA4"/>
    <w:rsid w:val="00530083"/>
    <w:rsid w:val="00531ABF"/>
    <w:rsid w:val="00531BF0"/>
    <w:rsid w:val="00536C48"/>
    <w:rsid w:val="00546BD0"/>
    <w:rsid w:val="005477AD"/>
    <w:rsid w:val="00547BE6"/>
    <w:rsid w:val="00551AE8"/>
    <w:rsid w:val="00562D76"/>
    <w:rsid w:val="005640F9"/>
    <w:rsid w:val="005658A6"/>
    <w:rsid w:val="00565E23"/>
    <w:rsid w:val="00566C70"/>
    <w:rsid w:val="005742AC"/>
    <w:rsid w:val="005744D3"/>
    <w:rsid w:val="0057748F"/>
    <w:rsid w:val="00586C0E"/>
    <w:rsid w:val="005923E6"/>
    <w:rsid w:val="00595DEA"/>
    <w:rsid w:val="005A27A7"/>
    <w:rsid w:val="005A3B85"/>
    <w:rsid w:val="005A44CF"/>
    <w:rsid w:val="005A46EB"/>
    <w:rsid w:val="005A47FB"/>
    <w:rsid w:val="005A497B"/>
    <w:rsid w:val="005A52F0"/>
    <w:rsid w:val="005B0671"/>
    <w:rsid w:val="005B20C8"/>
    <w:rsid w:val="005B3155"/>
    <w:rsid w:val="005B46F4"/>
    <w:rsid w:val="005B7E94"/>
    <w:rsid w:val="005C025C"/>
    <w:rsid w:val="005C5A47"/>
    <w:rsid w:val="005C7BD4"/>
    <w:rsid w:val="005D18A3"/>
    <w:rsid w:val="005D2086"/>
    <w:rsid w:val="005D43BB"/>
    <w:rsid w:val="005D43DE"/>
    <w:rsid w:val="005D4AA1"/>
    <w:rsid w:val="005D4AE4"/>
    <w:rsid w:val="005E02A5"/>
    <w:rsid w:val="005E27D2"/>
    <w:rsid w:val="005E62C2"/>
    <w:rsid w:val="005F3764"/>
    <w:rsid w:val="00600096"/>
    <w:rsid w:val="00601B0C"/>
    <w:rsid w:val="00605081"/>
    <w:rsid w:val="0060523D"/>
    <w:rsid w:val="00605692"/>
    <w:rsid w:val="006073F8"/>
    <w:rsid w:val="00607BE8"/>
    <w:rsid w:val="00610440"/>
    <w:rsid w:val="006116C2"/>
    <w:rsid w:val="00611771"/>
    <w:rsid w:val="006160E1"/>
    <w:rsid w:val="0062122F"/>
    <w:rsid w:val="00621F47"/>
    <w:rsid w:val="00622CF2"/>
    <w:rsid w:val="00622E69"/>
    <w:rsid w:val="0062339D"/>
    <w:rsid w:val="006307F6"/>
    <w:rsid w:val="00632766"/>
    <w:rsid w:val="00635B9D"/>
    <w:rsid w:val="00636DBB"/>
    <w:rsid w:val="00642EAE"/>
    <w:rsid w:val="00644A71"/>
    <w:rsid w:val="00654F67"/>
    <w:rsid w:val="006624D7"/>
    <w:rsid w:val="006750F6"/>
    <w:rsid w:val="00676BF7"/>
    <w:rsid w:val="00680516"/>
    <w:rsid w:val="006809B6"/>
    <w:rsid w:val="00681F83"/>
    <w:rsid w:val="00686756"/>
    <w:rsid w:val="00687C3E"/>
    <w:rsid w:val="006905CA"/>
    <w:rsid w:val="00691A8D"/>
    <w:rsid w:val="00692419"/>
    <w:rsid w:val="00692916"/>
    <w:rsid w:val="006936F1"/>
    <w:rsid w:val="00695D0E"/>
    <w:rsid w:val="00695F45"/>
    <w:rsid w:val="006A0767"/>
    <w:rsid w:val="006A1EB3"/>
    <w:rsid w:val="006A5B72"/>
    <w:rsid w:val="006A6543"/>
    <w:rsid w:val="006A7A4B"/>
    <w:rsid w:val="006B0791"/>
    <w:rsid w:val="006B07E5"/>
    <w:rsid w:val="006B253E"/>
    <w:rsid w:val="006B44BE"/>
    <w:rsid w:val="006B4BF5"/>
    <w:rsid w:val="006B6978"/>
    <w:rsid w:val="006C6CE0"/>
    <w:rsid w:val="006C791A"/>
    <w:rsid w:val="006D033D"/>
    <w:rsid w:val="006D270A"/>
    <w:rsid w:val="006D273E"/>
    <w:rsid w:val="006D572F"/>
    <w:rsid w:val="006D5E97"/>
    <w:rsid w:val="006E093A"/>
    <w:rsid w:val="006E1150"/>
    <w:rsid w:val="006E484B"/>
    <w:rsid w:val="006E509B"/>
    <w:rsid w:val="006E7D4E"/>
    <w:rsid w:val="006F1C9E"/>
    <w:rsid w:val="006F44C5"/>
    <w:rsid w:val="006F52E7"/>
    <w:rsid w:val="0070007A"/>
    <w:rsid w:val="007009A1"/>
    <w:rsid w:val="0071397A"/>
    <w:rsid w:val="00715C9B"/>
    <w:rsid w:val="00722721"/>
    <w:rsid w:val="00726E07"/>
    <w:rsid w:val="00730683"/>
    <w:rsid w:val="00730793"/>
    <w:rsid w:val="00732793"/>
    <w:rsid w:val="00742D7C"/>
    <w:rsid w:val="007444E6"/>
    <w:rsid w:val="00754FE0"/>
    <w:rsid w:val="0075540B"/>
    <w:rsid w:val="00756927"/>
    <w:rsid w:val="00762319"/>
    <w:rsid w:val="007648B9"/>
    <w:rsid w:val="00771E4B"/>
    <w:rsid w:val="00775ED5"/>
    <w:rsid w:val="00776550"/>
    <w:rsid w:val="00776713"/>
    <w:rsid w:val="007827BE"/>
    <w:rsid w:val="00783591"/>
    <w:rsid w:val="00784A6D"/>
    <w:rsid w:val="007851D9"/>
    <w:rsid w:val="0078539C"/>
    <w:rsid w:val="0079250E"/>
    <w:rsid w:val="00794428"/>
    <w:rsid w:val="007961C7"/>
    <w:rsid w:val="00796277"/>
    <w:rsid w:val="007A0F2C"/>
    <w:rsid w:val="007A1C8C"/>
    <w:rsid w:val="007A29B1"/>
    <w:rsid w:val="007A3278"/>
    <w:rsid w:val="007A5B3E"/>
    <w:rsid w:val="007A7DEA"/>
    <w:rsid w:val="007B7A24"/>
    <w:rsid w:val="007B7FC2"/>
    <w:rsid w:val="007C5800"/>
    <w:rsid w:val="007C7EBF"/>
    <w:rsid w:val="007D0CBE"/>
    <w:rsid w:val="007D17EF"/>
    <w:rsid w:val="007D6DD6"/>
    <w:rsid w:val="007D7C9F"/>
    <w:rsid w:val="007E1B99"/>
    <w:rsid w:val="007E1E15"/>
    <w:rsid w:val="007E29F8"/>
    <w:rsid w:val="007F0CC4"/>
    <w:rsid w:val="007F1D97"/>
    <w:rsid w:val="007F36E5"/>
    <w:rsid w:val="007F3F86"/>
    <w:rsid w:val="007F4215"/>
    <w:rsid w:val="007F62FA"/>
    <w:rsid w:val="00804177"/>
    <w:rsid w:val="0080610C"/>
    <w:rsid w:val="00807E38"/>
    <w:rsid w:val="00810C24"/>
    <w:rsid w:val="00810FFF"/>
    <w:rsid w:val="00811407"/>
    <w:rsid w:val="00813E2E"/>
    <w:rsid w:val="00814082"/>
    <w:rsid w:val="00817FD4"/>
    <w:rsid w:val="00821C13"/>
    <w:rsid w:val="008252D5"/>
    <w:rsid w:val="00825427"/>
    <w:rsid w:val="00827489"/>
    <w:rsid w:val="00835305"/>
    <w:rsid w:val="008364DB"/>
    <w:rsid w:val="00846765"/>
    <w:rsid w:val="008520ED"/>
    <w:rsid w:val="0085470F"/>
    <w:rsid w:val="00871285"/>
    <w:rsid w:val="00871DB1"/>
    <w:rsid w:val="00881D75"/>
    <w:rsid w:val="008821AB"/>
    <w:rsid w:val="00882E87"/>
    <w:rsid w:val="00887361"/>
    <w:rsid w:val="00887C16"/>
    <w:rsid w:val="00891716"/>
    <w:rsid w:val="008929A3"/>
    <w:rsid w:val="00893EAD"/>
    <w:rsid w:val="00894F8D"/>
    <w:rsid w:val="00895CF5"/>
    <w:rsid w:val="008A0FA8"/>
    <w:rsid w:val="008A5237"/>
    <w:rsid w:val="008B1D1A"/>
    <w:rsid w:val="008B285E"/>
    <w:rsid w:val="008B5632"/>
    <w:rsid w:val="008C1209"/>
    <w:rsid w:val="008C4324"/>
    <w:rsid w:val="008D3831"/>
    <w:rsid w:val="008D4C29"/>
    <w:rsid w:val="008E222F"/>
    <w:rsid w:val="008E25C0"/>
    <w:rsid w:val="008E3D62"/>
    <w:rsid w:val="008E40C6"/>
    <w:rsid w:val="008E7F70"/>
    <w:rsid w:val="008F553B"/>
    <w:rsid w:val="00900CB4"/>
    <w:rsid w:val="00906031"/>
    <w:rsid w:val="009118FC"/>
    <w:rsid w:val="00912CD3"/>
    <w:rsid w:val="00914892"/>
    <w:rsid w:val="00914E31"/>
    <w:rsid w:val="00917CB6"/>
    <w:rsid w:val="00920068"/>
    <w:rsid w:val="009275E8"/>
    <w:rsid w:val="009311FF"/>
    <w:rsid w:val="00931C1A"/>
    <w:rsid w:val="00937696"/>
    <w:rsid w:val="009379DE"/>
    <w:rsid w:val="009422DC"/>
    <w:rsid w:val="00942B96"/>
    <w:rsid w:val="00944026"/>
    <w:rsid w:val="00952191"/>
    <w:rsid w:val="009544B9"/>
    <w:rsid w:val="00955AA4"/>
    <w:rsid w:val="00966CAF"/>
    <w:rsid w:val="009702BE"/>
    <w:rsid w:val="00973CB7"/>
    <w:rsid w:val="00975DE9"/>
    <w:rsid w:val="00980793"/>
    <w:rsid w:val="009815E4"/>
    <w:rsid w:val="00982B42"/>
    <w:rsid w:val="0098436F"/>
    <w:rsid w:val="009863AB"/>
    <w:rsid w:val="0099045D"/>
    <w:rsid w:val="009915DC"/>
    <w:rsid w:val="00993EE6"/>
    <w:rsid w:val="009A2983"/>
    <w:rsid w:val="009A542F"/>
    <w:rsid w:val="009A5E86"/>
    <w:rsid w:val="009B2F84"/>
    <w:rsid w:val="009B313A"/>
    <w:rsid w:val="009C353A"/>
    <w:rsid w:val="009C517D"/>
    <w:rsid w:val="009D5F18"/>
    <w:rsid w:val="009E00A0"/>
    <w:rsid w:val="009E0C7A"/>
    <w:rsid w:val="009E21F1"/>
    <w:rsid w:val="009F0265"/>
    <w:rsid w:val="009F036E"/>
    <w:rsid w:val="009F40D0"/>
    <w:rsid w:val="009F587A"/>
    <w:rsid w:val="009F60EA"/>
    <w:rsid w:val="00A06120"/>
    <w:rsid w:val="00A2383C"/>
    <w:rsid w:val="00A275AE"/>
    <w:rsid w:val="00A27F97"/>
    <w:rsid w:val="00A309AB"/>
    <w:rsid w:val="00A30E81"/>
    <w:rsid w:val="00A33B76"/>
    <w:rsid w:val="00A3512C"/>
    <w:rsid w:val="00A35ADF"/>
    <w:rsid w:val="00A3702E"/>
    <w:rsid w:val="00A414A5"/>
    <w:rsid w:val="00A43EB8"/>
    <w:rsid w:val="00A4538E"/>
    <w:rsid w:val="00A46D1F"/>
    <w:rsid w:val="00A4729F"/>
    <w:rsid w:val="00A5181C"/>
    <w:rsid w:val="00A56914"/>
    <w:rsid w:val="00A56D2E"/>
    <w:rsid w:val="00A57DBB"/>
    <w:rsid w:val="00A62F8F"/>
    <w:rsid w:val="00A6584D"/>
    <w:rsid w:val="00A704AB"/>
    <w:rsid w:val="00A71CC2"/>
    <w:rsid w:val="00A76C3B"/>
    <w:rsid w:val="00A8001F"/>
    <w:rsid w:val="00A80D69"/>
    <w:rsid w:val="00A80F7D"/>
    <w:rsid w:val="00A8581E"/>
    <w:rsid w:val="00A9139D"/>
    <w:rsid w:val="00A93CC5"/>
    <w:rsid w:val="00A95E8C"/>
    <w:rsid w:val="00AA1961"/>
    <w:rsid w:val="00AA4066"/>
    <w:rsid w:val="00AB48E3"/>
    <w:rsid w:val="00AB5C38"/>
    <w:rsid w:val="00AB64B0"/>
    <w:rsid w:val="00AB6CE7"/>
    <w:rsid w:val="00AB754A"/>
    <w:rsid w:val="00AC118D"/>
    <w:rsid w:val="00AC653C"/>
    <w:rsid w:val="00AC6D0F"/>
    <w:rsid w:val="00AD00D5"/>
    <w:rsid w:val="00AD297F"/>
    <w:rsid w:val="00AD498A"/>
    <w:rsid w:val="00AE240B"/>
    <w:rsid w:val="00AE299D"/>
    <w:rsid w:val="00AE6718"/>
    <w:rsid w:val="00AF5DF3"/>
    <w:rsid w:val="00AF5FD5"/>
    <w:rsid w:val="00B01D11"/>
    <w:rsid w:val="00B0491A"/>
    <w:rsid w:val="00B068A7"/>
    <w:rsid w:val="00B06A31"/>
    <w:rsid w:val="00B106F2"/>
    <w:rsid w:val="00B11320"/>
    <w:rsid w:val="00B11907"/>
    <w:rsid w:val="00B11F31"/>
    <w:rsid w:val="00B1281A"/>
    <w:rsid w:val="00B13834"/>
    <w:rsid w:val="00B20246"/>
    <w:rsid w:val="00B2336C"/>
    <w:rsid w:val="00B23D25"/>
    <w:rsid w:val="00B333A2"/>
    <w:rsid w:val="00B33AB6"/>
    <w:rsid w:val="00B34031"/>
    <w:rsid w:val="00B35665"/>
    <w:rsid w:val="00B366E9"/>
    <w:rsid w:val="00B5119B"/>
    <w:rsid w:val="00B53BB6"/>
    <w:rsid w:val="00B53FE7"/>
    <w:rsid w:val="00B546CC"/>
    <w:rsid w:val="00B60EE6"/>
    <w:rsid w:val="00B67B75"/>
    <w:rsid w:val="00B74339"/>
    <w:rsid w:val="00B82A58"/>
    <w:rsid w:val="00B9340B"/>
    <w:rsid w:val="00B948C7"/>
    <w:rsid w:val="00BA0916"/>
    <w:rsid w:val="00BA2387"/>
    <w:rsid w:val="00BA3864"/>
    <w:rsid w:val="00BA7C1C"/>
    <w:rsid w:val="00BB0468"/>
    <w:rsid w:val="00BB560D"/>
    <w:rsid w:val="00BB744E"/>
    <w:rsid w:val="00BC0F5C"/>
    <w:rsid w:val="00BC49DE"/>
    <w:rsid w:val="00BC6720"/>
    <w:rsid w:val="00BD6720"/>
    <w:rsid w:val="00BD7934"/>
    <w:rsid w:val="00BE0F70"/>
    <w:rsid w:val="00BE10C4"/>
    <w:rsid w:val="00BE11AE"/>
    <w:rsid w:val="00BE139E"/>
    <w:rsid w:val="00BE1F04"/>
    <w:rsid w:val="00BE303E"/>
    <w:rsid w:val="00BE4E60"/>
    <w:rsid w:val="00BE5B32"/>
    <w:rsid w:val="00BF122A"/>
    <w:rsid w:val="00BF1E12"/>
    <w:rsid w:val="00BF5A6B"/>
    <w:rsid w:val="00BF625C"/>
    <w:rsid w:val="00C01FE1"/>
    <w:rsid w:val="00C04203"/>
    <w:rsid w:val="00C04C94"/>
    <w:rsid w:val="00C06BBD"/>
    <w:rsid w:val="00C06EB5"/>
    <w:rsid w:val="00C12E78"/>
    <w:rsid w:val="00C14B9E"/>
    <w:rsid w:val="00C160D9"/>
    <w:rsid w:val="00C17231"/>
    <w:rsid w:val="00C179EB"/>
    <w:rsid w:val="00C225A3"/>
    <w:rsid w:val="00C30292"/>
    <w:rsid w:val="00C304D4"/>
    <w:rsid w:val="00C32E36"/>
    <w:rsid w:val="00C33949"/>
    <w:rsid w:val="00C513AC"/>
    <w:rsid w:val="00C5179E"/>
    <w:rsid w:val="00C51D6C"/>
    <w:rsid w:val="00C53AD7"/>
    <w:rsid w:val="00C54C72"/>
    <w:rsid w:val="00C55A45"/>
    <w:rsid w:val="00C56763"/>
    <w:rsid w:val="00C57921"/>
    <w:rsid w:val="00C60FF6"/>
    <w:rsid w:val="00C64AF4"/>
    <w:rsid w:val="00C660C7"/>
    <w:rsid w:val="00C728A6"/>
    <w:rsid w:val="00C732BE"/>
    <w:rsid w:val="00C740B6"/>
    <w:rsid w:val="00C75F38"/>
    <w:rsid w:val="00C8426F"/>
    <w:rsid w:val="00C93C7E"/>
    <w:rsid w:val="00C93F7E"/>
    <w:rsid w:val="00C945CB"/>
    <w:rsid w:val="00C969DE"/>
    <w:rsid w:val="00CA014C"/>
    <w:rsid w:val="00CA05E5"/>
    <w:rsid w:val="00CA11DB"/>
    <w:rsid w:val="00CA1ED7"/>
    <w:rsid w:val="00CA3C2B"/>
    <w:rsid w:val="00CA60FC"/>
    <w:rsid w:val="00CB31FE"/>
    <w:rsid w:val="00CB5613"/>
    <w:rsid w:val="00CC0C8C"/>
    <w:rsid w:val="00CC4862"/>
    <w:rsid w:val="00CD107E"/>
    <w:rsid w:val="00CD3AA8"/>
    <w:rsid w:val="00CD4247"/>
    <w:rsid w:val="00CD4A91"/>
    <w:rsid w:val="00CD7452"/>
    <w:rsid w:val="00CE04B9"/>
    <w:rsid w:val="00CE4FFC"/>
    <w:rsid w:val="00CE71A1"/>
    <w:rsid w:val="00CF1E93"/>
    <w:rsid w:val="00CF2F38"/>
    <w:rsid w:val="00CF4528"/>
    <w:rsid w:val="00CF5C17"/>
    <w:rsid w:val="00D06E46"/>
    <w:rsid w:val="00D07D98"/>
    <w:rsid w:val="00D10291"/>
    <w:rsid w:val="00D10C53"/>
    <w:rsid w:val="00D11EE2"/>
    <w:rsid w:val="00D161CA"/>
    <w:rsid w:val="00D16D7D"/>
    <w:rsid w:val="00D2093C"/>
    <w:rsid w:val="00D2109E"/>
    <w:rsid w:val="00D222E5"/>
    <w:rsid w:val="00D227F0"/>
    <w:rsid w:val="00D27A98"/>
    <w:rsid w:val="00D27FD7"/>
    <w:rsid w:val="00D31E82"/>
    <w:rsid w:val="00D328D3"/>
    <w:rsid w:val="00D355A2"/>
    <w:rsid w:val="00D414CB"/>
    <w:rsid w:val="00D45E25"/>
    <w:rsid w:val="00D51109"/>
    <w:rsid w:val="00D51FA8"/>
    <w:rsid w:val="00D6245D"/>
    <w:rsid w:val="00D64BCC"/>
    <w:rsid w:val="00D6638B"/>
    <w:rsid w:val="00D808AF"/>
    <w:rsid w:val="00D81466"/>
    <w:rsid w:val="00D861FF"/>
    <w:rsid w:val="00D863B8"/>
    <w:rsid w:val="00D86D37"/>
    <w:rsid w:val="00D879A8"/>
    <w:rsid w:val="00D91402"/>
    <w:rsid w:val="00D935C9"/>
    <w:rsid w:val="00D95DAC"/>
    <w:rsid w:val="00D978BD"/>
    <w:rsid w:val="00DA0B6A"/>
    <w:rsid w:val="00DA1496"/>
    <w:rsid w:val="00DA1B3D"/>
    <w:rsid w:val="00DB3E78"/>
    <w:rsid w:val="00DC0A2F"/>
    <w:rsid w:val="00DC19FF"/>
    <w:rsid w:val="00DC2149"/>
    <w:rsid w:val="00DC3B8C"/>
    <w:rsid w:val="00DC5161"/>
    <w:rsid w:val="00DD09AE"/>
    <w:rsid w:val="00DD3490"/>
    <w:rsid w:val="00DD54BC"/>
    <w:rsid w:val="00DD5C10"/>
    <w:rsid w:val="00DD5D86"/>
    <w:rsid w:val="00DE0F1D"/>
    <w:rsid w:val="00DE3BD8"/>
    <w:rsid w:val="00DE3D68"/>
    <w:rsid w:val="00DE5ACC"/>
    <w:rsid w:val="00DE5E70"/>
    <w:rsid w:val="00DF2C06"/>
    <w:rsid w:val="00DF52FF"/>
    <w:rsid w:val="00DF7D20"/>
    <w:rsid w:val="00E05D26"/>
    <w:rsid w:val="00E068F0"/>
    <w:rsid w:val="00E07B5E"/>
    <w:rsid w:val="00E1051E"/>
    <w:rsid w:val="00E10562"/>
    <w:rsid w:val="00E10C42"/>
    <w:rsid w:val="00E13091"/>
    <w:rsid w:val="00E13D05"/>
    <w:rsid w:val="00E1683E"/>
    <w:rsid w:val="00E2240C"/>
    <w:rsid w:val="00E22E36"/>
    <w:rsid w:val="00E24D90"/>
    <w:rsid w:val="00E25222"/>
    <w:rsid w:val="00E260BA"/>
    <w:rsid w:val="00E30183"/>
    <w:rsid w:val="00E33BEB"/>
    <w:rsid w:val="00E357D5"/>
    <w:rsid w:val="00E36167"/>
    <w:rsid w:val="00E406EE"/>
    <w:rsid w:val="00E43532"/>
    <w:rsid w:val="00E45762"/>
    <w:rsid w:val="00E46C3D"/>
    <w:rsid w:val="00E53723"/>
    <w:rsid w:val="00E61779"/>
    <w:rsid w:val="00E6495E"/>
    <w:rsid w:val="00E72DEC"/>
    <w:rsid w:val="00E72FE0"/>
    <w:rsid w:val="00E778C2"/>
    <w:rsid w:val="00E928A5"/>
    <w:rsid w:val="00E93DCE"/>
    <w:rsid w:val="00E95365"/>
    <w:rsid w:val="00EA212C"/>
    <w:rsid w:val="00EA65A2"/>
    <w:rsid w:val="00EB0AC4"/>
    <w:rsid w:val="00EB2B1A"/>
    <w:rsid w:val="00EB63CB"/>
    <w:rsid w:val="00EC3E3D"/>
    <w:rsid w:val="00EC573A"/>
    <w:rsid w:val="00EC5FFA"/>
    <w:rsid w:val="00EC6158"/>
    <w:rsid w:val="00EC7214"/>
    <w:rsid w:val="00ED3544"/>
    <w:rsid w:val="00ED4D76"/>
    <w:rsid w:val="00ED5C3E"/>
    <w:rsid w:val="00EE3340"/>
    <w:rsid w:val="00EE7CD4"/>
    <w:rsid w:val="00EF0B74"/>
    <w:rsid w:val="00F06E27"/>
    <w:rsid w:val="00F07A75"/>
    <w:rsid w:val="00F151EB"/>
    <w:rsid w:val="00F16EA9"/>
    <w:rsid w:val="00F205FA"/>
    <w:rsid w:val="00F41234"/>
    <w:rsid w:val="00F4168B"/>
    <w:rsid w:val="00F41B85"/>
    <w:rsid w:val="00F5036F"/>
    <w:rsid w:val="00F50CA0"/>
    <w:rsid w:val="00F53715"/>
    <w:rsid w:val="00F61CB8"/>
    <w:rsid w:val="00F624AB"/>
    <w:rsid w:val="00F634E8"/>
    <w:rsid w:val="00F63604"/>
    <w:rsid w:val="00F650CB"/>
    <w:rsid w:val="00F65F07"/>
    <w:rsid w:val="00F67077"/>
    <w:rsid w:val="00F67302"/>
    <w:rsid w:val="00F703B4"/>
    <w:rsid w:val="00F70A43"/>
    <w:rsid w:val="00F75907"/>
    <w:rsid w:val="00F85CF8"/>
    <w:rsid w:val="00F85EDB"/>
    <w:rsid w:val="00F87DFA"/>
    <w:rsid w:val="00F92000"/>
    <w:rsid w:val="00F93CAB"/>
    <w:rsid w:val="00FB3866"/>
    <w:rsid w:val="00FB4FFA"/>
    <w:rsid w:val="00FC1EB7"/>
    <w:rsid w:val="00FC30AB"/>
    <w:rsid w:val="00FC7B67"/>
    <w:rsid w:val="00FD0A4E"/>
    <w:rsid w:val="00FD232F"/>
    <w:rsid w:val="00FD2606"/>
    <w:rsid w:val="00FD6074"/>
    <w:rsid w:val="00FE1999"/>
    <w:rsid w:val="00FE4B28"/>
    <w:rsid w:val="00FE58E8"/>
    <w:rsid w:val="00FE5AA5"/>
    <w:rsid w:val="00FF2710"/>
    <w:rsid w:val="05663773"/>
    <w:rsid w:val="11759940"/>
    <w:rsid w:val="16701E30"/>
    <w:rsid w:val="375C39CE"/>
    <w:rsid w:val="48F0A5E1"/>
    <w:rsid w:val="53839065"/>
    <w:rsid w:val="551F60C6"/>
    <w:rsid w:val="591316EC"/>
    <w:rsid w:val="71800220"/>
    <w:rsid w:val="7BD8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15:docId w15:val="{80069A75-D2C4-4B14-84A8-A9BE2C042E5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64E3"/>
    <w:rPr>
      <w:color w:val="0000FF"/>
      <w:u w:val="single"/>
    </w:rPr>
  </w:style>
  <w:style w:type="paragraph" w:customStyle="1" w:styleId="ReleaseHead">
    <w:name w:val="ReleaseHead"/>
    <w:basedOn w:val="Normal"/>
    <w:autoRedefine/>
    <w:rsid w:val="00C740B6"/>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link w:val="ListParagraphChar"/>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paragraph" w:customStyle="1" w:styleId="xmsolistparagraph">
    <w:name w:val="x_msolistparagraph"/>
    <w:basedOn w:val="Normal"/>
    <w:rsid w:val="0036608C"/>
    <w:pPr>
      <w:spacing w:before="100" w:beforeAutospacing="1" w:after="100" w:afterAutospacing="1" w:line="240" w:lineRule="auto"/>
      <w:ind w:firstLine="0"/>
    </w:pPr>
    <w:rPr>
      <w:szCs w:val="24"/>
    </w:rPr>
  </w:style>
  <w:style w:type="paragraph" w:customStyle="1" w:styleId="xmsonormal">
    <w:name w:val="x_msonormal"/>
    <w:basedOn w:val="Normal"/>
    <w:rsid w:val="0036608C"/>
    <w:pPr>
      <w:spacing w:before="100" w:beforeAutospacing="1" w:after="100" w:afterAutospacing="1" w:line="240" w:lineRule="auto"/>
      <w:ind w:firstLine="0"/>
    </w:pPr>
    <w:rPr>
      <w:szCs w:val="24"/>
    </w:rPr>
  </w:style>
  <w:style w:type="character" w:styleId="FollowedHyperlink">
    <w:name w:val="FollowedHyperlink"/>
    <w:basedOn w:val="DefaultParagraphFont"/>
    <w:uiPriority w:val="99"/>
    <w:semiHidden/>
    <w:unhideWhenUsed/>
    <w:rsid w:val="00817FD4"/>
    <w:rPr>
      <w:color w:val="954F72" w:themeColor="followedHyperlink"/>
      <w:u w:val="single"/>
    </w:rPr>
  </w:style>
  <w:style w:type="paragraph" w:styleId="BodyText">
    <w:name w:val="Body Text"/>
    <w:basedOn w:val="Normal"/>
    <w:link w:val="BodyTextChar"/>
    <w:uiPriority w:val="99"/>
    <w:semiHidden/>
    <w:unhideWhenUsed/>
    <w:rsid w:val="00E93DCE"/>
    <w:pPr>
      <w:spacing w:after="120"/>
    </w:pPr>
  </w:style>
  <w:style w:type="character" w:customStyle="1" w:styleId="BodyTextChar">
    <w:name w:val="Body Text Char"/>
    <w:basedOn w:val="DefaultParagraphFont"/>
    <w:link w:val="BodyText"/>
    <w:uiPriority w:val="99"/>
    <w:semiHidden/>
    <w:rsid w:val="00E93DCE"/>
    <w:rPr>
      <w:rFonts w:ascii="Times New Roman" w:eastAsia="Times New Roman" w:hAnsi="Times New Roman" w:cs="Times New Roman"/>
      <w:sz w:val="24"/>
      <w:szCs w:val="20"/>
    </w:rPr>
  </w:style>
  <w:style w:type="paragraph" w:styleId="ListBullet">
    <w:name w:val="List Bullet"/>
    <w:aliases w:val="List Bullet 1 Alt+1"/>
    <w:basedOn w:val="Normal"/>
    <w:uiPriority w:val="9"/>
    <w:unhideWhenUsed/>
    <w:qFormat/>
    <w:rsid w:val="00E93DCE"/>
    <w:pPr>
      <w:numPr>
        <w:numId w:val="1"/>
      </w:numPr>
      <w:spacing w:after="120" w:line="240" w:lineRule="auto"/>
    </w:pPr>
    <w:rPr>
      <w:rFonts w:asciiTheme="minorHAnsi" w:hAnsiTheme="minorHAnsi"/>
      <w:sz w:val="22"/>
      <w:szCs w:val="22"/>
    </w:rPr>
  </w:style>
  <w:style w:type="paragraph" w:styleId="ListBullet2">
    <w:name w:val="List Bullet 2"/>
    <w:aliases w:val="List Bullet 2 Alt+2"/>
    <w:basedOn w:val="Normal"/>
    <w:uiPriority w:val="9"/>
    <w:semiHidden/>
    <w:unhideWhenUsed/>
    <w:qFormat/>
    <w:rsid w:val="00E93DCE"/>
    <w:pPr>
      <w:numPr>
        <w:ilvl w:val="1"/>
        <w:numId w:val="1"/>
      </w:numPr>
      <w:spacing w:after="120" w:line="240" w:lineRule="auto"/>
      <w:jc w:val="both"/>
    </w:pPr>
    <w:rPr>
      <w:rFonts w:asciiTheme="minorHAnsi" w:hAnsiTheme="minorHAnsi"/>
      <w:sz w:val="22"/>
      <w:szCs w:val="22"/>
    </w:rPr>
  </w:style>
  <w:style w:type="paragraph" w:styleId="ListBullet3">
    <w:name w:val="List Bullet 3"/>
    <w:aliases w:val="List Bullet 3 Alt+3"/>
    <w:basedOn w:val="Normal"/>
    <w:uiPriority w:val="9"/>
    <w:semiHidden/>
    <w:unhideWhenUsed/>
    <w:qFormat/>
    <w:rsid w:val="00E93DCE"/>
    <w:pPr>
      <w:numPr>
        <w:ilvl w:val="2"/>
        <w:numId w:val="1"/>
      </w:numPr>
      <w:spacing w:after="120" w:line="240" w:lineRule="auto"/>
    </w:pPr>
    <w:rPr>
      <w:rFonts w:asciiTheme="minorHAnsi" w:hAnsiTheme="minorHAnsi"/>
      <w:sz w:val="22"/>
      <w:szCs w:val="22"/>
    </w:rPr>
  </w:style>
  <w:style w:type="character" w:styleId="Strong">
    <w:name w:val="Strong"/>
    <w:basedOn w:val="DefaultParagraphFont"/>
    <w:uiPriority w:val="4"/>
    <w:qFormat/>
    <w:rsid w:val="00E93DCE"/>
    <w:rPr>
      <w:b/>
      <w:bCs/>
    </w:rPr>
  </w:style>
  <w:style w:type="character" w:customStyle="1" w:styleId="ListParagraphChar">
    <w:name w:val="List Paragraph Char"/>
    <w:link w:val="ListParagraph"/>
    <w:uiPriority w:val="34"/>
    <w:locked/>
    <w:rsid w:val="00F85EDB"/>
    <w:rPr>
      <w:rFonts w:ascii="Times New Roman" w:eastAsia="Times New Roman" w:hAnsi="Times New Roman" w:cs="Times New Roman"/>
      <w:sz w:val="24"/>
      <w:szCs w:val="20"/>
    </w:rPr>
  </w:style>
  <w:style w:type="paragraph" w:customStyle="1" w:styleId="xmsobodytextindent">
    <w:name w:val="x_msobodytextindent"/>
    <w:basedOn w:val="Normal"/>
    <w:rsid w:val="00B82A58"/>
    <w:pPr>
      <w:spacing w:line="240" w:lineRule="auto"/>
      <w:ind w:firstLine="0"/>
    </w:pPr>
    <w:rPr>
      <w:rFonts w:ascii="Calibri" w:eastAsiaTheme="minorHAnsi" w:hAnsi="Calibri" w:cs="Calibri"/>
      <w:sz w:val="22"/>
      <w:szCs w:val="22"/>
    </w:rPr>
  </w:style>
  <w:style w:type="character" w:customStyle="1" w:styleId="contentpasted0">
    <w:name w:val="contentpasted0"/>
    <w:basedOn w:val="DefaultParagraphFont"/>
    <w:rsid w:val="00B8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17">
      <w:bodyDiv w:val="1"/>
      <w:marLeft w:val="0"/>
      <w:marRight w:val="0"/>
      <w:marTop w:val="0"/>
      <w:marBottom w:val="0"/>
      <w:divBdr>
        <w:top w:val="none" w:sz="0" w:space="0" w:color="auto"/>
        <w:left w:val="none" w:sz="0" w:space="0" w:color="auto"/>
        <w:bottom w:val="none" w:sz="0" w:space="0" w:color="auto"/>
        <w:right w:val="none" w:sz="0" w:space="0" w:color="auto"/>
      </w:divBdr>
    </w:div>
    <w:div w:id="623658623">
      <w:bodyDiv w:val="1"/>
      <w:marLeft w:val="0"/>
      <w:marRight w:val="0"/>
      <w:marTop w:val="0"/>
      <w:marBottom w:val="0"/>
      <w:divBdr>
        <w:top w:val="none" w:sz="0" w:space="0" w:color="auto"/>
        <w:left w:val="none" w:sz="0" w:space="0" w:color="auto"/>
        <w:bottom w:val="none" w:sz="0" w:space="0" w:color="auto"/>
        <w:right w:val="none" w:sz="0" w:space="0" w:color="auto"/>
      </w:divBdr>
    </w:div>
    <w:div w:id="684939785">
      <w:bodyDiv w:val="1"/>
      <w:marLeft w:val="0"/>
      <w:marRight w:val="0"/>
      <w:marTop w:val="0"/>
      <w:marBottom w:val="0"/>
      <w:divBdr>
        <w:top w:val="none" w:sz="0" w:space="0" w:color="auto"/>
        <w:left w:val="none" w:sz="0" w:space="0" w:color="auto"/>
        <w:bottom w:val="none" w:sz="0" w:space="0" w:color="auto"/>
        <w:right w:val="none" w:sz="0" w:space="0" w:color="auto"/>
      </w:divBdr>
    </w:div>
    <w:div w:id="833759384">
      <w:bodyDiv w:val="1"/>
      <w:marLeft w:val="0"/>
      <w:marRight w:val="0"/>
      <w:marTop w:val="0"/>
      <w:marBottom w:val="0"/>
      <w:divBdr>
        <w:top w:val="none" w:sz="0" w:space="0" w:color="auto"/>
        <w:left w:val="none" w:sz="0" w:space="0" w:color="auto"/>
        <w:bottom w:val="none" w:sz="0" w:space="0" w:color="auto"/>
        <w:right w:val="none" w:sz="0" w:space="0" w:color="auto"/>
      </w:divBdr>
    </w:div>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 w:id="1038628014">
      <w:bodyDiv w:val="1"/>
      <w:marLeft w:val="0"/>
      <w:marRight w:val="0"/>
      <w:marTop w:val="0"/>
      <w:marBottom w:val="0"/>
      <w:divBdr>
        <w:top w:val="none" w:sz="0" w:space="0" w:color="auto"/>
        <w:left w:val="none" w:sz="0" w:space="0" w:color="auto"/>
        <w:bottom w:val="none" w:sz="0" w:space="0" w:color="auto"/>
        <w:right w:val="none" w:sz="0" w:space="0" w:color="auto"/>
      </w:divBdr>
    </w:div>
    <w:div w:id="1309943518">
      <w:bodyDiv w:val="1"/>
      <w:marLeft w:val="0"/>
      <w:marRight w:val="0"/>
      <w:marTop w:val="0"/>
      <w:marBottom w:val="0"/>
      <w:divBdr>
        <w:top w:val="none" w:sz="0" w:space="0" w:color="auto"/>
        <w:left w:val="none" w:sz="0" w:space="0" w:color="auto"/>
        <w:bottom w:val="none" w:sz="0" w:space="0" w:color="auto"/>
        <w:right w:val="none" w:sz="0" w:space="0" w:color="auto"/>
      </w:divBdr>
    </w:div>
    <w:div w:id="1420709460">
      <w:bodyDiv w:val="1"/>
      <w:marLeft w:val="0"/>
      <w:marRight w:val="0"/>
      <w:marTop w:val="0"/>
      <w:marBottom w:val="0"/>
      <w:divBdr>
        <w:top w:val="none" w:sz="0" w:space="0" w:color="auto"/>
        <w:left w:val="none" w:sz="0" w:space="0" w:color="auto"/>
        <w:bottom w:val="none" w:sz="0" w:space="0" w:color="auto"/>
        <w:right w:val="none" w:sz="0" w:space="0" w:color="auto"/>
      </w:divBdr>
    </w:div>
    <w:div w:id="1553078648">
      <w:bodyDiv w:val="1"/>
      <w:marLeft w:val="0"/>
      <w:marRight w:val="0"/>
      <w:marTop w:val="0"/>
      <w:marBottom w:val="0"/>
      <w:divBdr>
        <w:top w:val="none" w:sz="0" w:space="0" w:color="auto"/>
        <w:left w:val="none" w:sz="0" w:space="0" w:color="auto"/>
        <w:bottom w:val="none" w:sz="0" w:space="0" w:color="auto"/>
        <w:right w:val="none" w:sz="0" w:space="0" w:color="auto"/>
      </w:divBdr>
    </w:div>
    <w:div w:id="1653869907">
      <w:bodyDiv w:val="1"/>
      <w:marLeft w:val="0"/>
      <w:marRight w:val="0"/>
      <w:marTop w:val="0"/>
      <w:marBottom w:val="0"/>
      <w:divBdr>
        <w:top w:val="none" w:sz="0" w:space="0" w:color="auto"/>
        <w:left w:val="none" w:sz="0" w:space="0" w:color="auto"/>
        <w:bottom w:val="none" w:sz="0" w:space="0" w:color="auto"/>
        <w:right w:val="none" w:sz="0" w:space="0" w:color="auto"/>
      </w:divBdr>
    </w:div>
    <w:div w:id="19504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puc.ca.gov/PublishedDocs/Published/G000/M338/K725/338725560.PDF" TargetMode="External"/><Relationship Id="rId18" Type="http://schemas.openxmlformats.org/officeDocument/2006/relationships/hyperlink" Target="https://www.cpuc.ca.gov/-/media/cpuc-website/divisions/safety-and-enforcement-division/documents/batjer-letter/cpuc-president-batjer-letter-to-pge-re-fast-trip-oct-25-2021.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puc.ca.gov/consumer-support/psps" TargetMode="Externa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yperlink" Target="https://www.cpuc.ca.gov/industries-and-topics/pge/pge-oversight-and-enforcement" TargetMode="External"/><Relationship Id="rId25" Type="http://schemas.openxmlformats.org/officeDocument/2006/relationships/hyperlink" Target="http://www.cpuc.c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cpuc.ca.gov/PublishedDocs/Published/G000/M420/K645/420645328.PDF" TargetMode="External"/><Relationship Id="rId20" Type="http://schemas.openxmlformats.org/officeDocument/2006/relationships/hyperlink" Target="https://www.cpuc.ca.gov/-/media/cpuc-website/industries-and-topics/documents/pge/oversight-and-enforcement/pge-letter---president-batjer-august-18-2021.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puc.ca.gov/industries-and-topics/pge/independent-safety-monito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cpuc.ca.gov/PublishedDocs/Published/G000/M425/K547/425547959.PDF" TargetMode="External"/><Relationship Id="rId23" Type="http://schemas.openxmlformats.org/officeDocument/2006/relationships/hyperlink" Target="https://www.cpuc.ca.gov/industries-and-topics/pg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uc.ca.gov/industries-and-topics/pge/pge-oversight-and-enforcemen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cpuc.ca.gov/PublishedDocs/Published/G000/M485/K926/485926237.PDF" TargetMode="External"/><Relationship Id="rId22" Type="http://schemas.openxmlformats.org/officeDocument/2006/relationships/hyperlink" Target="https://www.cpuc.ca.gov/consumer-support/psp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06f322-3aa4-452a-acdd-a6e6b535267d" xsi:nil="true"/>
    <lcf76f155ced4ddcb4097134ff3c332f xmlns="8e5901ec-b161-45b4-a2b9-e2fec7e5393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6" ma:contentTypeDescription="Create a new document." ma:contentTypeScope="" ma:versionID="ddaff8b455f2b2eb192f17e2b9c2fc9a">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8fdcf9ab4b86c1976a280f112f357892"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3fc96-ae02-4939-ae84-adebc40aa377}" ma:internalName="TaxCatchAll" ma:showField="CatchAllData" ma:web="9906f322-3aa4-452a-acdd-a6e6b5352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7D8BE-078F-475F-B3CC-8F1DBFA516CE}">
  <ds:schemaRefs>
    <ds:schemaRef ds:uri="http://schemas.microsoft.com/office/2006/metadata/properties"/>
    <ds:schemaRef ds:uri="http://schemas.microsoft.com/office/infopath/2007/PartnerControls"/>
    <ds:schemaRef ds:uri="9906f322-3aa4-452a-acdd-a6e6b535267d"/>
    <ds:schemaRef ds:uri="8e5901ec-b161-45b4-a2b9-e2fec7e53931"/>
  </ds:schemaRefs>
</ds:datastoreItem>
</file>

<file path=customXml/itemProps2.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customXml/itemProps3.xml><?xml version="1.0" encoding="utf-8"?>
<ds:datastoreItem xmlns:ds="http://schemas.openxmlformats.org/officeDocument/2006/customXml" ds:itemID="{0634033D-31FC-4A52-9B2B-4749DBC12A2B}">
  <ds:schemaRefs>
    <ds:schemaRef ds:uri="http://schemas.microsoft.com/sharepoint/v3/contenttype/forms"/>
  </ds:schemaRefs>
</ds:datastoreItem>
</file>

<file path=customXml/itemProps4.xml><?xml version="1.0" encoding="utf-8"?>
<ds:datastoreItem xmlns:ds="http://schemas.openxmlformats.org/officeDocument/2006/customXml" ds:itemID="{B2E4A7EE-F9AA-45F6-8224-284758597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1005</ap:Words>
  <ap:Characters>5733</ap:Characters>
  <ap:Application>Microsoft Office Word</ap:Application>
  <ap:DocSecurity>0</ap:DocSecurity>
  <ap:Lines>47</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6725</ap:CharactersWithSpaces>
  <ap:SharedDoc>false</ap:SharedDoc>
  <ap:HLinks>
    <vt:vector baseType="variant" size="60">
      <vt:variant>
        <vt:i4>6488161</vt:i4>
      </vt:variant>
      <vt:variant>
        <vt:i4>27</vt:i4>
      </vt:variant>
      <vt:variant>
        <vt:i4>0</vt:i4>
      </vt:variant>
      <vt:variant>
        <vt:i4>5</vt:i4>
      </vt:variant>
      <vt:variant>
        <vt:lpwstr>http://www.cpuc.ca.gov/</vt:lpwstr>
      </vt:variant>
      <vt:variant>
        <vt:lpwstr/>
      </vt:variant>
      <vt:variant>
        <vt:i4>5701634</vt:i4>
      </vt:variant>
      <vt:variant>
        <vt:i4>24</vt:i4>
      </vt:variant>
      <vt:variant>
        <vt:i4>0</vt:i4>
      </vt:variant>
      <vt:variant>
        <vt:i4>5</vt:i4>
      </vt:variant>
      <vt:variant>
        <vt:lpwstr>https://apps.cpuc.ca.gov/apex/f?p=401:56:0::NO:RP,57,RIR:P5_PROCEEDING_SELECT:R1807006</vt:lpwstr>
      </vt:variant>
      <vt:variant>
        <vt:lpwstr/>
      </vt:variant>
      <vt:variant>
        <vt:i4>1179723</vt:i4>
      </vt:variant>
      <vt:variant>
        <vt:i4>21</vt:i4>
      </vt:variant>
      <vt:variant>
        <vt:i4>0</vt:i4>
      </vt:variant>
      <vt:variant>
        <vt:i4>5</vt:i4>
      </vt:variant>
      <vt:variant>
        <vt:lpwstr>https://docs.cpuc.ca.gov/PublishedDocs/Published/G000/M493/K470/493470602.PDF</vt:lpwstr>
      </vt:variant>
      <vt:variant>
        <vt:lpwstr/>
      </vt:variant>
      <vt:variant>
        <vt:i4>917593</vt:i4>
      </vt:variant>
      <vt:variant>
        <vt:i4>18</vt:i4>
      </vt:variant>
      <vt:variant>
        <vt:i4>0</vt:i4>
      </vt:variant>
      <vt:variant>
        <vt:i4>5</vt:i4>
      </vt:variant>
      <vt:variant>
        <vt:lpwstr>http://www.cpuc.ca.gov/affordability</vt:lpwstr>
      </vt:variant>
      <vt:variant>
        <vt:lpwstr/>
      </vt:variant>
      <vt:variant>
        <vt:i4>1835084</vt:i4>
      </vt:variant>
      <vt:variant>
        <vt:i4>15</vt:i4>
      </vt:variant>
      <vt:variant>
        <vt:i4>0</vt:i4>
      </vt:variant>
      <vt:variant>
        <vt:i4>5</vt:i4>
      </vt:variant>
      <vt:variant>
        <vt:lpwstr>https://docs.cpuc.ca.gov/PublishedDocs/Published/G000/M413/K547/413547937.PDF</vt:lpwstr>
      </vt:variant>
      <vt:variant>
        <vt:lpwstr/>
      </vt:variant>
      <vt:variant>
        <vt:i4>1114184</vt:i4>
      </vt:variant>
      <vt:variant>
        <vt:i4>12</vt:i4>
      </vt:variant>
      <vt:variant>
        <vt:i4>0</vt:i4>
      </vt:variant>
      <vt:variant>
        <vt:i4>5</vt:i4>
      </vt:variant>
      <vt:variant>
        <vt:lpwstr>https://docs.cpuc.ca.gov/PublishedDocs/Published/G000/M344/K049/344049206.PDF</vt:lpwstr>
      </vt:variant>
      <vt:variant>
        <vt:lpwstr/>
      </vt:variant>
      <vt:variant>
        <vt:i4>5439495</vt:i4>
      </vt:variant>
      <vt:variant>
        <vt:i4>9</vt:i4>
      </vt:variant>
      <vt:variant>
        <vt:i4>0</vt:i4>
      </vt:variant>
      <vt:variant>
        <vt:i4>5</vt:i4>
      </vt:variant>
      <vt:variant>
        <vt:lpwstr>https://apps.cpuc.ca.gov/apex/f?p=401:56:0::NO:RP,57,RIR:P5_PROCEEDING_SELECT:R2008021</vt:lpwstr>
      </vt:variant>
      <vt:variant>
        <vt:lpwstr/>
      </vt:variant>
      <vt:variant>
        <vt:i4>5439492</vt:i4>
      </vt:variant>
      <vt:variant>
        <vt:i4>6</vt:i4>
      </vt:variant>
      <vt:variant>
        <vt:i4>0</vt:i4>
      </vt:variant>
      <vt:variant>
        <vt:i4>5</vt:i4>
      </vt:variant>
      <vt:variant>
        <vt:lpwstr>https://apps.cpuc.ca.gov/apex/f?p=401:56:0::NO:RP,57,RIR:P5_PROCEEDING_SELECT:R2009001</vt:lpwstr>
      </vt:variant>
      <vt:variant>
        <vt:lpwstr/>
      </vt:variant>
      <vt:variant>
        <vt:i4>1114184</vt:i4>
      </vt:variant>
      <vt:variant>
        <vt:i4>3</vt:i4>
      </vt:variant>
      <vt:variant>
        <vt:i4>0</vt:i4>
      </vt:variant>
      <vt:variant>
        <vt:i4>5</vt:i4>
      </vt:variant>
      <vt:variant>
        <vt:lpwstr>https://docs.cpuc.ca.gov/PublishedDocs/Published/G000/M344/K049/344049206.PDF</vt:lpwstr>
      </vt:variant>
      <vt:variant>
        <vt:lpwstr/>
      </vt:variant>
      <vt:variant>
        <vt:i4>655458</vt:i4>
      </vt:variant>
      <vt:variant>
        <vt:i4>0</vt:i4>
      </vt:variant>
      <vt:variant>
        <vt:i4>0</vt:i4>
      </vt:variant>
      <vt:variant>
        <vt:i4>5</vt:i4>
      </vt:variant>
      <vt:variant>
        <vt:lpwstr>mailto:news@cpuc.ca.gov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2023-05-02T13:03:12Z</dcterms:created>
  <dcterms:modified xsi:type="dcterms:W3CDTF">2023-05-02T13:03:12Z</dcterms:modified>
</cp:coreProperties>
</file>