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0D4F" w:rsidR="000964E3" w:rsidP="000964E3" w:rsidRDefault="000964E3" w14:paraId="39BCEFB8" w14:textId="77777777">
      <w:pPr>
        <w:spacing w:line="240" w:lineRule="auto"/>
        <w:jc w:val="right"/>
        <w:rPr>
          <w:color w:val="44546A" w:themeColor="text2"/>
          <w:szCs w:val="24"/>
        </w:rPr>
      </w:pPr>
      <w:r w:rsidRPr="006B0D4F">
        <w:rPr>
          <w:noProof/>
          <w:color w:val="44546A" w:themeColor="text2"/>
          <w:szCs w:val="24"/>
        </w:rPr>
        <w:drawing>
          <wp:anchor distT="0" distB="0" distL="114300" distR="114300" simplePos="0" relativeHeight="251658240"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0D4F">
        <w:rPr>
          <w:b/>
          <w:color w:val="44546A" w:themeColor="text2"/>
        </w:rPr>
        <w:t>California Public Utilities Commission</w:t>
      </w:r>
      <w:r w:rsidRPr="006B0D4F">
        <w:rPr>
          <w:b/>
          <w:color w:val="44546A" w:themeColor="text2"/>
          <w:szCs w:val="24"/>
        </w:rPr>
        <w:br/>
      </w:r>
      <w:r w:rsidRPr="006B0D4F">
        <w:rPr>
          <w:b/>
          <w:color w:val="44546A" w:themeColor="text2"/>
        </w:rPr>
        <w:t>505 Van Ness Ave., San Francisco</w:t>
      </w:r>
    </w:p>
    <w:p w:rsidRPr="006B0D4F" w:rsidR="000964E3" w:rsidP="000964E3" w:rsidRDefault="000964E3" w14:paraId="204537F8" w14:textId="77777777">
      <w:pPr>
        <w:spacing w:line="240" w:lineRule="auto"/>
        <w:ind w:left="5040" w:firstLine="0"/>
        <w:rPr>
          <w:b/>
          <w:color w:val="000080"/>
          <w:szCs w:val="24"/>
        </w:rPr>
      </w:pPr>
    </w:p>
    <w:p w:rsidRPr="006B0D4F" w:rsidR="000964E3" w:rsidP="000964E3" w:rsidRDefault="000964E3" w14:paraId="1A80DB92" w14:textId="77777777">
      <w:pPr>
        <w:spacing w:line="240" w:lineRule="auto"/>
        <w:ind w:left="5040" w:firstLine="0"/>
        <w:rPr>
          <w:b/>
          <w:color w:val="000080"/>
          <w:szCs w:val="24"/>
        </w:rPr>
      </w:pPr>
    </w:p>
    <w:p w:rsidRPr="006B0D4F" w:rsidR="000964E3" w:rsidP="000964E3" w:rsidRDefault="000964E3" w14:paraId="5C742589" w14:textId="77777777">
      <w:pPr>
        <w:spacing w:line="240" w:lineRule="auto"/>
        <w:ind w:left="5040" w:firstLine="0"/>
        <w:rPr>
          <w:b/>
          <w:color w:val="000080"/>
          <w:szCs w:val="24"/>
        </w:rPr>
      </w:pPr>
    </w:p>
    <w:p w:rsidRPr="006B0D4F" w:rsidR="000964E3" w:rsidP="000964E3" w:rsidRDefault="000964E3" w14:paraId="6ED0ED21" w14:textId="77777777">
      <w:pPr>
        <w:spacing w:line="240" w:lineRule="auto"/>
        <w:ind w:left="5040" w:firstLine="0"/>
        <w:rPr>
          <w:b/>
          <w:color w:val="000080"/>
          <w:szCs w:val="24"/>
        </w:rPr>
      </w:pPr>
    </w:p>
    <w:p w:rsidRPr="006B0D4F" w:rsidR="000964E3" w:rsidP="000964E3" w:rsidRDefault="000964E3" w14:paraId="60260E90" w14:textId="77777777">
      <w:pPr>
        <w:ind w:firstLine="0"/>
        <w:rPr>
          <w:color w:val="000080"/>
          <w:szCs w:val="24"/>
        </w:rPr>
      </w:pPr>
      <w:r w:rsidRPr="006B0D4F">
        <w:rPr>
          <w:color w:val="000080"/>
          <w:szCs w:val="24"/>
        </w:rPr>
        <w:t>_________________________________________________________________________________</w:t>
      </w:r>
    </w:p>
    <w:p w:rsidRPr="006B0D4F" w:rsidR="000964E3" w:rsidP="000964E3" w:rsidRDefault="000964E3" w14:paraId="2F0982A8" w14:textId="47539B85">
      <w:pPr>
        <w:spacing w:line="240" w:lineRule="auto"/>
        <w:ind w:firstLine="0"/>
        <w:rPr>
          <w:b/>
          <w:szCs w:val="24"/>
        </w:rPr>
      </w:pPr>
      <w:bookmarkStart w:name="_Hlk71030686" w:id="0"/>
      <w:r w:rsidRPr="006B0D4F">
        <w:rPr>
          <w:b/>
          <w:szCs w:val="24"/>
        </w:rPr>
        <w:t>FOR IMMEDIATE RELEASE</w:t>
      </w:r>
      <w:r w:rsidRPr="006B0D4F">
        <w:rPr>
          <w:szCs w:val="24"/>
        </w:rPr>
        <w:t xml:space="preserve"> </w:t>
      </w:r>
      <w:r w:rsidRPr="006B0D4F">
        <w:rPr>
          <w:szCs w:val="24"/>
        </w:rPr>
        <w:tab/>
      </w:r>
      <w:r w:rsidRPr="006B0D4F" w:rsidR="00A4538E">
        <w:rPr>
          <w:szCs w:val="24"/>
        </w:rPr>
        <w:tab/>
      </w:r>
      <w:r w:rsidRPr="006B0D4F" w:rsidR="00A4538E">
        <w:rPr>
          <w:szCs w:val="24"/>
        </w:rPr>
        <w:tab/>
      </w:r>
      <w:r w:rsidRPr="006B0D4F" w:rsidR="005D4AE4">
        <w:rPr>
          <w:b/>
          <w:bCs/>
          <w:szCs w:val="24"/>
        </w:rPr>
        <w:tab/>
      </w:r>
      <w:r w:rsidRPr="006B0D4F" w:rsidR="007827BE">
        <w:rPr>
          <w:szCs w:val="24"/>
        </w:rPr>
        <w:tab/>
      </w:r>
      <w:r w:rsidRPr="006B0D4F">
        <w:rPr>
          <w:szCs w:val="24"/>
        </w:rPr>
        <w:t xml:space="preserve">         </w:t>
      </w:r>
      <w:r w:rsidRPr="006B0D4F" w:rsidR="00181276">
        <w:rPr>
          <w:szCs w:val="24"/>
        </w:rPr>
        <w:t xml:space="preserve">            </w:t>
      </w:r>
      <w:r w:rsidRPr="006B0D4F">
        <w:rPr>
          <w:b/>
          <w:szCs w:val="24"/>
        </w:rPr>
        <w:t>PRESS RELEASE</w:t>
      </w:r>
    </w:p>
    <w:p w:rsidRPr="006B0D4F" w:rsidR="000964E3" w:rsidP="000964E3" w:rsidRDefault="000964E3" w14:paraId="1AE6206E" w14:textId="3E0CB39D">
      <w:pPr>
        <w:spacing w:line="240" w:lineRule="auto"/>
        <w:ind w:firstLine="0"/>
        <w:rPr>
          <w:szCs w:val="24"/>
        </w:rPr>
      </w:pPr>
      <w:r w:rsidRPr="006B0D4F">
        <w:rPr>
          <w:szCs w:val="24"/>
        </w:rPr>
        <w:t xml:space="preserve">Media Contact: Terrie Prosper, 415.703.1366, </w:t>
      </w:r>
      <w:hyperlink w:history="1" r:id="rId12">
        <w:r w:rsidRPr="006B0D4F">
          <w:rPr>
            <w:rStyle w:val="Hyperlink"/>
            <w:szCs w:val="24"/>
          </w:rPr>
          <w:t>news@cpuc.ca.gov</w:t>
        </w:r>
      </w:hyperlink>
      <w:r w:rsidRPr="006B0D4F" w:rsidR="00DE3D68">
        <w:rPr>
          <w:color w:val="FF0000"/>
          <w:szCs w:val="24"/>
        </w:rPr>
        <w:t xml:space="preserve"> </w:t>
      </w:r>
      <w:r w:rsidRPr="006B0D4F" w:rsidR="006B0D4F">
        <w:rPr>
          <w:color w:val="FF0000"/>
          <w:szCs w:val="24"/>
        </w:rPr>
        <w:tab/>
      </w:r>
      <w:r w:rsidR="00D96BEA">
        <w:rPr>
          <w:color w:val="FF0000"/>
          <w:szCs w:val="24"/>
        </w:rPr>
        <w:t xml:space="preserve">              </w:t>
      </w:r>
      <w:r w:rsidR="00D96BEA">
        <w:rPr>
          <w:szCs w:val="24"/>
        </w:rPr>
        <w:t>Docket #:</w:t>
      </w:r>
      <w:r w:rsidRPr="006B0D4F" w:rsidR="006B0D4F">
        <w:rPr>
          <w:szCs w:val="24"/>
        </w:rPr>
        <w:t xml:space="preserve"> Res. ALJ-439</w:t>
      </w:r>
    </w:p>
    <w:p w:rsidRPr="006B0D4F" w:rsidR="000964E3" w:rsidP="00FF2142" w:rsidRDefault="000964E3" w14:paraId="0976D4AF" w14:textId="77777777">
      <w:pPr>
        <w:pStyle w:val="ReleaseHead"/>
      </w:pPr>
    </w:p>
    <w:p w:rsidR="00485A49" w:rsidP="00F439D5" w:rsidRDefault="00F439D5" w14:paraId="36F2F40E" w14:textId="3294CF08">
      <w:pPr>
        <w:pStyle w:val="ReleaseHead"/>
      </w:pPr>
      <w:r w:rsidRPr="00F439D5">
        <w:t xml:space="preserve">CPUC Approves $150 Million Settlement </w:t>
      </w:r>
      <w:r>
        <w:br/>
      </w:r>
      <w:r w:rsidRPr="00F439D5">
        <w:t>With PG&amp;E for Zogg Fire</w:t>
      </w:r>
    </w:p>
    <w:p w:rsidRPr="006B0D4F" w:rsidR="00F439D5" w:rsidP="0009265F" w:rsidRDefault="00F439D5" w14:paraId="0408D0D2" w14:textId="77777777">
      <w:pPr>
        <w:pStyle w:val="ReleaseHead"/>
      </w:pPr>
    </w:p>
    <w:p w:rsidR="00F439D5" w:rsidP="00144CCA" w:rsidRDefault="00771E4B" w14:paraId="26191A87" w14:textId="77777777">
      <w:pPr>
        <w:pStyle w:val="BodyTextIndent"/>
        <w:ind w:firstLine="0"/>
        <w:outlineLvl w:val="0"/>
      </w:pPr>
      <w:r w:rsidRPr="006B0D4F">
        <w:t xml:space="preserve">SAN FRANCISCO, </w:t>
      </w:r>
      <w:r w:rsidR="0017171B">
        <w:t>May 18</w:t>
      </w:r>
      <w:r w:rsidRPr="006B0D4F" w:rsidR="0014284A">
        <w:t>,</w:t>
      </w:r>
      <w:r w:rsidRPr="006B0D4F">
        <w:t xml:space="preserve"> 202</w:t>
      </w:r>
      <w:r w:rsidRPr="006B0D4F" w:rsidR="00A5622E">
        <w:t>3</w:t>
      </w:r>
      <w:r w:rsidRPr="006B0D4F">
        <w:t xml:space="preserve"> – </w:t>
      </w:r>
      <w:r w:rsidRPr="006B0D4F" w:rsidR="007A2782">
        <w:t>The California Public Utilities Commission (CPUC)</w:t>
      </w:r>
      <w:r w:rsidR="0017171B">
        <w:t xml:space="preserve"> </w:t>
      </w:r>
      <w:r w:rsidR="00000BDF">
        <w:t>today</w:t>
      </w:r>
      <w:r w:rsidR="001003CC">
        <w:t xml:space="preserve"> approved a settlement agreement between the CPUC’s Safety and Enforcement Division (SED) and </w:t>
      </w:r>
      <w:r w:rsidR="00000BDF">
        <w:t xml:space="preserve">Pacific Gas and Electric Company (PG&amp;E) for </w:t>
      </w:r>
      <w:r w:rsidR="001003CC">
        <w:t xml:space="preserve">PG&amp;E’s </w:t>
      </w:r>
      <w:r w:rsidR="008815EF">
        <w:t>involvement in</w:t>
      </w:r>
      <w:r w:rsidR="00000BDF">
        <w:t xml:space="preserve"> the 2020 Zogg Fire.</w:t>
      </w:r>
    </w:p>
    <w:p w:rsidR="00F439D5" w:rsidP="00144CCA" w:rsidRDefault="00F439D5" w14:paraId="32697372" w14:textId="77777777">
      <w:pPr>
        <w:pStyle w:val="BodyTextIndent"/>
        <w:ind w:firstLine="0"/>
        <w:outlineLvl w:val="0"/>
      </w:pPr>
    </w:p>
    <w:p w:rsidR="00F439D5" w:rsidP="00485A49" w:rsidRDefault="008641EB" w14:paraId="74953912" w14:textId="77777777">
      <w:pPr>
        <w:pStyle w:val="BodyTextIndent"/>
        <w:ind w:firstLine="0"/>
        <w:outlineLvl w:val="0"/>
      </w:pPr>
      <w:r>
        <w:t xml:space="preserve">Under the </w:t>
      </w:r>
      <w:r w:rsidR="00FF6EF3">
        <w:t xml:space="preserve">terms of the </w:t>
      </w:r>
      <w:r>
        <w:t xml:space="preserve">settlement </w:t>
      </w:r>
      <w:r w:rsidR="001003CC">
        <w:t xml:space="preserve">agreement, </w:t>
      </w:r>
      <w:r w:rsidRPr="00F37681" w:rsidR="00F37681">
        <w:t>PG&amp;E will pay a total of $150 million</w:t>
      </w:r>
      <w:r w:rsidR="00385410">
        <w:t xml:space="preserve"> - </w:t>
      </w:r>
      <w:r w:rsidR="00F37681">
        <w:t>$10 million will be paid as a</w:t>
      </w:r>
      <w:r w:rsidR="001003CC">
        <w:t xml:space="preserve"> penalty to California’s General Fund, and $140 million</w:t>
      </w:r>
      <w:r w:rsidR="00485A49">
        <w:t xml:space="preserve"> </w:t>
      </w:r>
      <w:r w:rsidR="00AC7031">
        <w:t>in</w:t>
      </w:r>
      <w:r w:rsidR="00485A49">
        <w:t xml:space="preserve"> shareholder funds </w:t>
      </w:r>
      <w:r w:rsidR="00F37681">
        <w:t xml:space="preserve">will be invested for </w:t>
      </w:r>
      <w:r w:rsidR="00AC7031">
        <w:t xml:space="preserve">new </w:t>
      </w:r>
      <w:r w:rsidR="00485A49">
        <w:t>wildfire mitigation initiatives designed t</w:t>
      </w:r>
      <w:r w:rsidR="001003CC">
        <w:t>o mitigate the risk of similar events occurring in the future.</w:t>
      </w:r>
      <w:r w:rsidR="00F37681">
        <w:t xml:space="preserve"> PG&amp;E will also implement several new vegetation management systems in High Fire Risk Areas.</w:t>
      </w:r>
    </w:p>
    <w:p w:rsidR="00F439D5" w:rsidP="00485A49" w:rsidRDefault="00F439D5" w14:paraId="7CE1544A" w14:textId="77777777">
      <w:pPr>
        <w:pStyle w:val="BodyTextIndent"/>
        <w:ind w:firstLine="0"/>
        <w:outlineLvl w:val="0"/>
      </w:pPr>
    </w:p>
    <w:p w:rsidR="00F439D5" w:rsidP="008641EB" w:rsidRDefault="00485A49" w14:paraId="38DCF7C0" w14:textId="77777777">
      <w:pPr>
        <w:pStyle w:val="BodyTextIndent"/>
        <w:ind w:firstLine="0"/>
        <w:outlineLvl w:val="0"/>
      </w:pPr>
      <w:r>
        <w:t xml:space="preserve">The Zogg Fire was caused when a tree fell on energized conductors owned and operated by PG&amp;E in Shasta County on September 27, 2020. The Zogg Fire </w:t>
      </w:r>
      <w:r w:rsidRPr="008641EB">
        <w:t>burned 56,338 acres, caused four fatalities</w:t>
      </w:r>
      <w:r w:rsidR="00091D29">
        <w:t xml:space="preserve"> and</w:t>
      </w:r>
      <w:r>
        <w:t xml:space="preserve"> </w:t>
      </w:r>
      <w:r w:rsidRPr="008641EB">
        <w:t xml:space="preserve">one injury, and destroyed 204 structures. </w:t>
      </w:r>
      <w:r>
        <w:t xml:space="preserve">SED </w:t>
      </w:r>
      <w:r w:rsidR="00091D29">
        <w:t xml:space="preserve">subsequently </w:t>
      </w:r>
      <w:r w:rsidR="00FF6EF3">
        <w:t xml:space="preserve">opened an investigation and alleged that the tree that caused the fire was not removed in time </w:t>
      </w:r>
      <w:r w:rsidR="00FF2142">
        <w:t>because of PG&amp;E</w:t>
      </w:r>
      <w:r w:rsidR="00FF6EF3">
        <w:t>’s</w:t>
      </w:r>
      <w:r w:rsidR="00FF2142">
        <w:t xml:space="preserve"> poor recordkeeping.</w:t>
      </w:r>
    </w:p>
    <w:p w:rsidR="00F439D5" w:rsidP="008641EB" w:rsidRDefault="00F439D5" w14:paraId="3944B28D" w14:textId="77777777">
      <w:pPr>
        <w:pStyle w:val="BodyTextIndent"/>
        <w:ind w:firstLine="0"/>
        <w:outlineLvl w:val="0"/>
      </w:pPr>
    </w:p>
    <w:p w:rsidR="00F439D5" w:rsidP="008641EB" w:rsidRDefault="00385410" w14:paraId="582EF544" w14:textId="0551975F">
      <w:pPr>
        <w:pStyle w:val="BodyTextIndent"/>
        <w:ind w:firstLine="0"/>
        <w:outlineLvl w:val="0"/>
      </w:pPr>
      <w:r>
        <w:t>Under</w:t>
      </w:r>
      <w:r w:rsidR="00FF2142">
        <w:t xml:space="preserve"> the </w:t>
      </w:r>
      <w:r>
        <w:t>s</w:t>
      </w:r>
      <w:r w:rsidR="00FF2142">
        <w:t xml:space="preserve">ettlement </w:t>
      </w:r>
      <w:r>
        <w:t>a</w:t>
      </w:r>
      <w:r w:rsidR="00FF2142">
        <w:t xml:space="preserve">greement, PG&amp;E will implement several systems to improve its recordkeeping, including ensuring that every tree prospectively marked for removal is dated and designated with </w:t>
      </w:r>
      <w:r w:rsidR="00FF6EF3">
        <w:t xml:space="preserve">precise </w:t>
      </w:r>
      <w:r w:rsidR="00FF2142">
        <w:t xml:space="preserve">GPS coordinates. </w:t>
      </w:r>
      <w:r w:rsidR="00FF6EF3">
        <w:t xml:space="preserve">The </w:t>
      </w:r>
      <w:r w:rsidR="00FF2142">
        <w:t xml:space="preserve">$140 million shareholder-funded initiatives </w:t>
      </w:r>
      <w:r w:rsidR="00F37681">
        <w:t xml:space="preserve">will </w:t>
      </w:r>
      <w:r w:rsidR="00FF6EF3">
        <w:t xml:space="preserve">focus on </w:t>
      </w:r>
      <w:r w:rsidR="00FF2142">
        <w:t>enhanc</w:t>
      </w:r>
      <w:r w:rsidR="00FF6EF3">
        <w:t>ing</w:t>
      </w:r>
      <w:r w:rsidR="00FF2142">
        <w:t xml:space="preserve"> vegetation management training and technologies</w:t>
      </w:r>
      <w:r>
        <w:t>;</w:t>
      </w:r>
      <w:r w:rsidR="00FF2142">
        <w:t xml:space="preserve"> expand</w:t>
      </w:r>
      <w:r w:rsidR="00FF6EF3">
        <w:t>ing</w:t>
      </w:r>
      <w:r w:rsidR="00FF2142">
        <w:t xml:space="preserve"> customer accommodation</w:t>
      </w:r>
      <w:r>
        <w:t>;</w:t>
      </w:r>
      <w:r w:rsidR="00FF2142">
        <w:t xml:space="preserve"> improv</w:t>
      </w:r>
      <w:r w:rsidR="00FF6EF3">
        <w:t>ing</w:t>
      </w:r>
      <w:r w:rsidR="00FF2142">
        <w:t xml:space="preserve"> data management capabilities</w:t>
      </w:r>
      <w:r>
        <w:t>;</w:t>
      </w:r>
      <w:r w:rsidR="00FF2142">
        <w:t xml:space="preserve"> and invest</w:t>
      </w:r>
      <w:r w:rsidR="00FF6EF3">
        <w:t>ing</w:t>
      </w:r>
      <w:r w:rsidR="00FF2142">
        <w:t xml:space="preserve"> in Fir</w:t>
      </w:r>
      <w:r w:rsidR="00091D29">
        <w:t>e</w:t>
      </w:r>
      <w:r w:rsidR="00FF2142">
        <w:t xml:space="preserve"> Safety councils, educational institutions, and industry associations.</w:t>
      </w:r>
      <w:r w:rsidR="00091D29">
        <w:t xml:space="preserve"> These initiatives aim to reduce the risk of similar incidents and ensure public safety in the future. To ensure the successful implementation of these initiatives, CPUC staff will closely monitor and evaluate PG&amp;E’s progress.</w:t>
      </w:r>
    </w:p>
    <w:p w:rsidR="00F439D5" w:rsidP="008641EB" w:rsidRDefault="00F439D5" w14:paraId="10A4A635" w14:textId="77777777">
      <w:pPr>
        <w:pStyle w:val="BodyTextIndent"/>
        <w:ind w:firstLine="0"/>
        <w:outlineLvl w:val="0"/>
      </w:pPr>
    </w:p>
    <w:p w:rsidR="00F439D5" w:rsidP="007827BE" w:rsidRDefault="008641EB" w14:paraId="129FED3B" w14:textId="77777777">
      <w:pPr>
        <w:pStyle w:val="BodyTextIndent"/>
        <w:ind w:firstLine="0"/>
        <w:outlineLvl w:val="0"/>
      </w:pPr>
      <w:r w:rsidRPr="008641EB">
        <w:lastRenderedPageBreak/>
        <w:t xml:space="preserve">The settlement </w:t>
      </w:r>
      <w:r w:rsidR="00813AB8">
        <w:t xml:space="preserve">agreement was reached after SED concluded its investigation and issued an </w:t>
      </w:r>
      <w:r w:rsidRPr="008641EB">
        <w:t xml:space="preserve">Administrative </w:t>
      </w:r>
      <w:r>
        <w:t>Enforcement</w:t>
      </w:r>
      <w:r w:rsidRPr="008641EB">
        <w:t xml:space="preserve"> Order. This enforcement tool is one of many included in the CPUC’s </w:t>
      </w:r>
      <w:hyperlink w:history="1" r:id="rId13">
        <w:r w:rsidRPr="008641EB">
          <w:rPr>
            <w:rStyle w:val="Hyperlink"/>
          </w:rPr>
          <w:t>Enforcement Policy</w:t>
        </w:r>
      </w:hyperlink>
      <w:r w:rsidRPr="008641EB">
        <w:t xml:space="preserve"> established in 2020 to better serve Californians through streamlined enforcement actions in lieu of issuing Citations or seeking </w:t>
      </w:r>
      <w:r w:rsidR="004D5B02">
        <w:t xml:space="preserve">a </w:t>
      </w:r>
      <w:r w:rsidRPr="008641EB">
        <w:t>formal Order Instituting Investigation. The addition of these tools to the CPUC’s enforcement options moved the CPUC’s practices more in line with the enforcement practices of many other state and local enforcement agencies.</w:t>
      </w:r>
    </w:p>
    <w:p w:rsidR="00F439D5" w:rsidP="007827BE" w:rsidRDefault="00F439D5" w14:paraId="28ACF775" w14:textId="77777777">
      <w:pPr>
        <w:pStyle w:val="BodyTextIndent"/>
        <w:ind w:firstLine="0"/>
        <w:outlineLvl w:val="0"/>
      </w:pPr>
    </w:p>
    <w:p w:rsidR="00F439D5" w:rsidP="007A2782" w:rsidRDefault="006B0D4F" w14:paraId="036DF31E" w14:textId="77777777">
      <w:pPr>
        <w:pStyle w:val="BodyTextIndent"/>
        <w:ind w:firstLine="0"/>
        <w:outlineLvl w:val="0"/>
      </w:pPr>
      <w:r w:rsidRPr="006B0D4F">
        <w:t xml:space="preserve">The Resolution voted </w:t>
      </w:r>
      <w:r w:rsidR="004D5B02">
        <w:t>on</w:t>
      </w:r>
      <w:r w:rsidR="00813AB8">
        <w:t xml:space="preserve"> </w:t>
      </w:r>
      <w:r w:rsidRPr="006B0D4F">
        <w:t xml:space="preserve">and </w:t>
      </w:r>
      <w:r w:rsidR="00813AB8">
        <w:t xml:space="preserve">the </w:t>
      </w:r>
      <w:r w:rsidRPr="006B0D4F">
        <w:t xml:space="preserve">related documents are available at </w:t>
      </w:r>
      <w:hyperlink w:history="1" r:id="rId14">
        <w:r w:rsidRPr="006B0D4F">
          <w:rPr>
            <w:rStyle w:val="Hyperlink"/>
          </w:rPr>
          <w:t>www.cpuc.ca.gov/regulatory-services/enforcement-and-citations</w:t>
        </w:r>
      </w:hyperlink>
      <w:r w:rsidRPr="006B0D4F">
        <w:t xml:space="preserve">. </w:t>
      </w:r>
    </w:p>
    <w:p w:rsidR="00F439D5" w:rsidP="007A2782" w:rsidRDefault="00F439D5" w14:paraId="2781550F" w14:textId="77777777">
      <w:pPr>
        <w:pStyle w:val="BodyTextIndent"/>
        <w:ind w:firstLine="0"/>
        <w:outlineLvl w:val="0"/>
      </w:pPr>
    </w:p>
    <w:p w:rsidRPr="006B0D4F" w:rsidR="007A2782" w:rsidP="007A2782" w:rsidRDefault="007A2782" w14:paraId="7E941DD3" w14:textId="2C1472B5">
      <w:pPr>
        <w:pStyle w:val="BodyTextIndent"/>
        <w:ind w:firstLine="0"/>
        <w:outlineLvl w:val="0"/>
      </w:pPr>
      <w:r w:rsidRPr="006B0D4F">
        <w:t>The CPUC has taken many actions to hold PG&amp;E accountable for safely serving its customers, including:</w:t>
      </w:r>
    </w:p>
    <w:p w:rsidR="000E0B12" w:rsidP="00834C94" w:rsidRDefault="000E0B12" w14:paraId="6192E022" w14:textId="64355C11">
      <w:pPr>
        <w:pStyle w:val="BodyTextIndent"/>
        <w:numPr>
          <w:ilvl w:val="0"/>
          <w:numId w:val="11"/>
        </w:numPr>
        <w:outlineLvl w:val="0"/>
      </w:pPr>
      <w:r>
        <w:t xml:space="preserve">Issued a $132,500 </w:t>
      </w:r>
      <w:hyperlink w:history="1" r:id="rId15">
        <w:r w:rsidRPr="000E0B12">
          <w:rPr>
            <w:rStyle w:val="Hyperlink"/>
          </w:rPr>
          <w:t>Staff Citation</w:t>
        </w:r>
      </w:hyperlink>
      <w:r>
        <w:t xml:space="preserve"> for safety violations related to the 2021 Brewer Fire.</w:t>
      </w:r>
    </w:p>
    <w:p w:rsidRPr="006B0D4F" w:rsidR="007A2782" w:rsidP="007A2782" w:rsidRDefault="007A2782" w14:paraId="134911AE" w14:textId="7EF39472">
      <w:pPr>
        <w:pStyle w:val="BodyTextIndent"/>
        <w:numPr>
          <w:ilvl w:val="0"/>
          <w:numId w:val="11"/>
        </w:numPr>
        <w:outlineLvl w:val="0"/>
      </w:pPr>
      <w:r w:rsidRPr="006B0D4F">
        <w:t xml:space="preserve">Issued an Administrative Enforcement Order penalizing PG&amp;E $12 million and ordering </w:t>
      </w:r>
      <w:hyperlink w:history="1" r:id="rId16">
        <w:r w:rsidRPr="006B0D4F">
          <w:rPr>
            <w:rStyle w:val="Hyperlink"/>
          </w:rPr>
          <w:t>corrective actions</w:t>
        </w:r>
      </w:hyperlink>
      <w:r w:rsidRPr="006B0D4F">
        <w:t xml:space="preserve"> for poor execution of 2020 Public Safety Power Shutoff events.</w:t>
      </w:r>
    </w:p>
    <w:p w:rsidRPr="006B0D4F" w:rsidR="007A2782" w:rsidP="007A2782" w:rsidRDefault="007A2782" w14:paraId="7537F495" w14:textId="77777777">
      <w:pPr>
        <w:pStyle w:val="BodyTextIndent"/>
        <w:numPr>
          <w:ilvl w:val="0"/>
          <w:numId w:val="11"/>
        </w:numPr>
        <w:outlineLvl w:val="0"/>
      </w:pPr>
      <w:r w:rsidRPr="006B0D4F">
        <w:t xml:space="preserve">Issued a $5 million </w:t>
      </w:r>
      <w:hyperlink w:history="1" r:id="rId17">
        <w:r w:rsidRPr="006B0D4F">
          <w:rPr>
            <w:rStyle w:val="Hyperlink"/>
          </w:rPr>
          <w:t>citation</w:t>
        </w:r>
      </w:hyperlink>
      <w:r w:rsidRPr="006B0D4F">
        <w:t xml:space="preserve"> for PG&amp;E’s failure to thoroughly inspect the Ignacio-Alto-Sausalito transmission lines from 2009 through 2018 and complete 22 high-priority repairs within the time allowed under CPUC regulations (General Order 95). </w:t>
      </w:r>
    </w:p>
    <w:p w:rsidRPr="006B0D4F" w:rsidR="007A2782" w:rsidP="007A2782" w:rsidRDefault="007A2782" w14:paraId="7EAEF70E" w14:textId="4824C43B">
      <w:pPr>
        <w:pStyle w:val="BodyTextIndent"/>
        <w:numPr>
          <w:ilvl w:val="0"/>
          <w:numId w:val="11"/>
        </w:numPr>
        <w:outlineLvl w:val="0"/>
      </w:pPr>
      <w:r w:rsidRPr="006B0D4F">
        <w:t xml:space="preserve">Issued a $2.5 million </w:t>
      </w:r>
      <w:r w:rsidR="004D5B02">
        <w:t>C</w:t>
      </w:r>
      <w:r w:rsidRPr="006B0D4F">
        <w:t xml:space="preserve">itation to PG&amp;E for incomplete distribution pole inspections in 2019 that violated the requirements of CPUC regulations (General Order 165). </w:t>
      </w:r>
    </w:p>
    <w:p w:rsidRPr="006B0D4F" w:rsidR="007A2782" w:rsidP="007A2782" w:rsidRDefault="007A2782" w14:paraId="1948C8E7" w14:textId="77777777">
      <w:pPr>
        <w:pStyle w:val="BodyTextIndent"/>
        <w:numPr>
          <w:ilvl w:val="0"/>
          <w:numId w:val="11"/>
        </w:numPr>
        <w:outlineLvl w:val="0"/>
      </w:pPr>
      <w:r w:rsidRPr="006B0D4F">
        <w:t>Issued a directive to PG&amp;E with corrective actions the utility must take regarding an incident with a Cellon-treated pole that occurred in Danville, Calif. in 2020.</w:t>
      </w:r>
    </w:p>
    <w:p w:rsidRPr="006B0D4F" w:rsidR="007A2782" w:rsidP="007A2782" w:rsidRDefault="007A2782" w14:paraId="1850004A" w14:textId="77777777">
      <w:pPr>
        <w:pStyle w:val="BodyTextIndent"/>
        <w:numPr>
          <w:ilvl w:val="0"/>
          <w:numId w:val="11"/>
        </w:numPr>
        <w:outlineLvl w:val="0"/>
      </w:pPr>
      <w:r w:rsidRPr="006B0D4F">
        <w:t xml:space="preserve">Established specific </w:t>
      </w:r>
      <w:hyperlink w:history="1" r:id="rId18">
        <w:r w:rsidRPr="006B0D4F">
          <w:rPr>
            <w:rStyle w:val="Hyperlink"/>
          </w:rPr>
          <w:t>metrics</w:t>
        </w:r>
      </w:hyperlink>
      <w:r w:rsidRPr="006B0D4F">
        <w:t xml:space="preserve"> to systemically evaluate PG&amp;E’s operational safety performance and to further implement the </w:t>
      </w:r>
      <w:hyperlink w:history="1" r:id="rId19">
        <w:r w:rsidRPr="006B0D4F">
          <w:rPr>
            <w:rStyle w:val="Hyperlink"/>
          </w:rPr>
          <w:t>Enhanced Oversight and Enforcement Process</w:t>
        </w:r>
      </w:hyperlink>
      <w:r w:rsidRPr="006B0D4F">
        <w:t xml:space="preserve"> imposed upon PG&amp;E by the CPUC as a condition of approving PG&amp;E’s plan for exiting bankruptcy in May 2020.</w:t>
      </w:r>
    </w:p>
    <w:p w:rsidRPr="006B0D4F" w:rsidR="007A2782" w:rsidP="007A2782" w:rsidRDefault="007A2782" w14:paraId="5027DD77" w14:textId="77777777">
      <w:pPr>
        <w:pStyle w:val="BodyTextIndent"/>
        <w:numPr>
          <w:ilvl w:val="0"/>
          <w:numId w:val="11"/>
        </w:numPr>
        <w:outlineLvl w:val="0"/>
      </w:pPr>
      <w:r w:rsidRPr="006B0D4F">
        <w:t xml:space="preserve">Directed PG&amp;E to take immediate action to reduce and mitigate customer impacts from the sudden loss of power due to PG&amp;E’s execution of its </w:t>
      </w:r>
      <w:hyperlink w:history="1" r:id="rId20">
        <w:r w:rsidRPr="006B0D4F">
          <w:rPr>
            <w:rStyle w:val="Hyperlink"/>
          </w:rPr>
          <w:t>Fast Trip</w:t>
        </w:r>
      </w:hyperlink>
      <w:r w:rsidRPr="006B0D4F">
        <w:t xml:space="preserve"> program.</w:t>
      </w:r>
    </w:p>
    <w:p w:rsidRPr="006B0D4F" w:rsidR="007A2782" w:rsidP="007A2782" w:rsidRDefault="007A2782" w14:paraId="2467FC1E" w14:textId="71486EBE">
      <w:pPr>
        <w:pStyle w:val="BodyTextIndent"/>
        <w:numPr>
          <w:ilvl w:val="0"/>
          <w:numId w:val="11"/>
        </w:numPr>
        <w:outlineLvl w:val="0"/>
      </w:pPr>
      <w:r w:rsidRPr="006B0D4F">
        <w:t xml:space="preserve">Placed PG&amp;E into the first step of the </w:t>
      </w:r>
      <w:hyperlink w:history="1" r:id="rId21">
        <w:r w:rsidRPr="004D5B02">
          <w:rPr>
            <w:rStyle w:val="Hyperlink"/>
          </w:rPr>
          <w:t>Enhanced Oversight and Enforcement Process</w:t>
        </w:r>
      </w:hyperlink>
      <w:r w:rsidRPr="006B0D4F">
        <w:t xml:space="preserve"> based on the company’s failure to sufficiently prioritize clearing vegetation on its highest-risk power lines as part of its wildfire mitigation work in 2020, and conducting </w:t>
      </w:r>
      <w:hyperlink w:history="1" r:id="rId22">
        <w:r w:rsidRPr="006B0D4F">
          <w:rPr>
            <w:rStyle w:val="Hyperlink"/>
          </w:rPr>
          <w:t>fact-finding</w:t>
        </w:r>
      </w:hyperlink>
      <w:r w:rsidRPr="006B0D4F">
        <w:t xml:space="preserve"> to determine whether </w:t>
      </w:r>
      <w:r w:rsidRPr="006B0D4F">
        <w:lastRenderedPageBreak/>
        <w:t>to recommend advancing PG&amp;E further within the Enhanced Oversight and Enforcement Process.</w:t>
      </w:r>
    </w:p>
    <w:p w:rsidRPr="006B0D4F" w:rsidR="007A2782" w:rsidP="007A2782" w:rsidRDefault="007A2782" w14:paraId="443FD53A" w14:textId="77777777">
      <w:pPr>
        <w:pStyle w:val="BodyTextIndent"/>
        <w:numPr>
          <w:ilvl w:val="0"/>
          <w:numId w:val="11"/>
        </w:numPr>
        <w:outlineLvl w:val="0"/>
      </w:pPr>
      <w:r w:rsidRPr="006B0D4F">
        <w:t xml:space="preserve">Directed PG&amp;E to address its preparedness for Public Safety Power Shutoffs at a </w:t>
      </w:r>
      <w:hyperlink w:history="1" r:id="rId23">
        <w:r w:rsidRPr="006B0D4F">
          <w:rPr>
            <w:rStyle w:val="Hyperlink"/>
          </w:rPr>
          <w:t>public briefing</w:t>
        </w:r>
      </w:hyperlink>
      <w:r w:rsidRPr="006B0D4F">
        <w:t>.</w:t>
      </w:r>
    </w:p>
    <w:p w:rsidRPr="006B0D4F" w:rsidR="007A2782" w:rsidP="007A2782" w:rsidRDefault="007A2782" w14:paraId="5FE3F31A" w14:textId="77777777">
      <w:pPr>
        <w:pStyle w:val="BodyTextIndent"/>
        <w:numPr>
          <w:ilvl w:val="0"/>
          <w:numId w:val="11"/>
        </w:numPr>
        <w:outlineLvl w:val="0"/>
      </w:pPr>
      <w:r w:rsidRPr="006B0D4F">
        <w:t xml:space="preserve">Ordered PG&amp;E to enhance its </w:t>
      </w:r>
      <w:hyperlink w:history="1" r:id="rId24">
        <w:r w:rsidRPr="006B0D4F">
          <w:rPr>
            <w:rStyle w:val="Hyperlink"/>
          </w:rPr>
          <w:t>Public Safety Power Shutoff</w:t>
        </w:r>
      </w:hyperlink>
      <w:r w:rsidRPr="006B0D4F">
        <w:t xml:space="preserve"> process.</w:t>
      </w:r>
    </w:p>
    <w:p w:rsidRPr="006B0D4F" w:rsidR="007A2782" w:rsidP="007A2782" w:rsidRDefault="007A2782" w14:paraId="46F20EE7" w14:textId="77777777">
      <w:pPr>
        <w:pStyle w:val="BodyTextIndent"/>
        <w:numPr>
          <w:ilvl w:val="0"/>
          <w:numId w:val="11"/>
        </w:numPr>
        <w:outlineLvl w:val="0"/>
      </w:pPr>
      <w:r w:rsidRPr="006B0D4F">
        <w:t>Ordered PG&amp;E to create a mobile app for customers to report electric infrastructure safety concerns.</w:t>
      </w:r>
    </w:p>
    <w:p w:rsidRPr="006B0D4F" w:rsidR="007A2782" w:rsidP="007A2782" w:rsidRDefault="007A2782" w14:paraId="4F328151" w14:textId="77777777">
      <w:pPr>
        <w:pStyle w:val="BodyTextIndent"/>
        <w:numPr>
          <w:ilvl w:val="0"/>
          <w:numId w:val="11"/>
        </w:numPr>
        <w:outlineLvl w:val="0"/>
      </w:pPr>
      <w:r w:rsidRPr="006B0D4F">
        <w:t>Established standards, scope, and expectations for the Independent Safety Monitor that will provide safety monitoring information to the CPUC beginning in February 2022, also a condition of approving PG&amp;E’s plan for existing bankruptcy in May 2020.</w:t>
      </w:r>
    </w:p>
    <w:p w:rsidRPr="006B0D4F" w:rsidR="007A2782" w:rsidP="007A2782" w:rsidRDefault="007A2782" w14:paraId="5F97F29D" w14:textId="77777777">
      <w:pPr>
        <w:pStyle w:val="BodyTextIndent"/>
        <w:numPr>
          <w:ilvl w:val="0"/>
          <w:numId w:val="11"/>
        </w:numPr>
        <w:outlineLvl w:val="0"/>
      </w:pPr>
      <w:r w:rsidRPr="006B0D4F">
        <w:t>Continual monitoring of PG&amp;E’s safety enhancement actions ordered in a CPUC 2012-2017 natural gas system locate and mark investigation.</w:t>
      </w:r>
    </w:p>
    <w:p w:rsidRPr="006B0D4F" w:rsidR="007A2782" w:rsidP="007A2782" w:rsidRDefault="00AC2819" w14:paraId="63436A58" w14:textId="11385E14">
      <w:pPr>
        <w:pStyle w:val="BodyTextIndent"/>
        <w:numPr>
          <w:ilvl w:val="0"/>
          <w:numId w:val="11"/>
        </w:numPr>
        <w:outlineLvl w:val="0"/>
      </w:pPr>
      <w:r w:rsidRPr="006B0D4F">
        <w:t>Continual monitoring of PG&amp;E’s safety enhancement actions ordered in a settlement of the CPUC 2017-2018 wildfires investigation.</w:t>
      </w:r>
    </w:p>
    <w:p w:rsidRPr="006B0D4F" w:rsidR="00F72C10" w:rsidP="007A2782" w:rsidRDefault="00541302" w14:paraId="7BF429F3" w14:textId="567256F7">
      <w:pPr>
        <w:pStyle w:val="BodyTextIndent"/>
        <w:numPr>
          <w:ilvl w:val="0"/>
          <w:numId w:val="11"/>
        </w:numPr>
        <w:outlineLvl w:val="0"/>
      </w:pPr>
      <w:r>
        <w:t>M</w:t>
      </w:r>
      <w:r w:rsidRPr="006B0D4F" w:rsidR="007A2782">
        <w:t>onitoring and reporting of PG&amp;E’s safety culture ordered in a 2015 investigation following PG&amp;E’s 2010 natural gas transmission pipeline explosion in San Bruno.</w:t>
      </w:r>
    </w:p>
    <w:p w:rsidRPr="006B0D4F" w:rsidR="007A2782" w:rsidP="00D64BCC" w:rsidRDefault="007A2782" w14:paraId="7ED243EF" w14:textId="77777777">
      <w:pPr>
        <w:pStyle w:val="BodyTextIndent"/>
        <w:ind w:firstLine="0"/>
        <w:outlineLvl w:val="0"/>
      </w:pPr>
    </w:p>
    <w:p w:rsidRPr="006B0D4F" w:rsidR="00722721" w:rsidP="00D64BCC" w:rsidRDefault="00722721" w14:paraId="3CB82DF0" w14:textId="2378CACF">
      <w:pPr>
        <w:pStyle w:val="BodyTextIndent"/>
        <w:ind w:firstLine="0"/>
        <w:outlineLvl w:val="0"/>
        <w:rPr>
          <w:szCs w:val="24"/>
        </w:rPr>
      </w:pPr>
      <w:r w:rsidRPr="006B0D4F">
        <w:rPr>
          <w:szCs w:val="24"/>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25">
        <w:r w:rsidRPr="006B0D4F">
          <w:rPr>
            <w:rStyle w:val="Hyperlink"/>
            <w:szCs w:val="24"/>
          </w:rPr>
          <w:t>www.cpuc.ca.gov</w:t>
        </w:r>
      </w:hyperlink>
      <w:r w:rsidRPr="006B0D4F">
        <w:rPr>
          <w:szCs w:val="24"/>
        </w:rPr>
        <w:t>.</w:t>
      </w:r>
    </w:p>
    <w:p w:rsidRPr="006B0D4F" w:rsidR="004C3AC1" w:rsidP="00D64BCC" w:rsidRDefault="004C3AC1" w14:paraId="6C093160" w14:textId="77777777">
      <w:pPr>
        <w:pStyle w:val="BodyTextIndent"/>
        <w:ind w:firstLine="0"/>
        <w:outlineLvl w:val="0"/>
      </w:pPr>
    </w:p>
    <w:p w:rsidRPr="006B0D4F" w:rsidR="00BE0F70" w:rsidP="00EC7214" w:rsidRDefault="000964E3" w14:paraId="66048913" w14:textId="34B91DC7">
      <w:pPr>
        <w:pStyle w:val="BodyTextIndent"/>
        <w:ind w:firstLine="0"/>
        <w:jc w:val="center"/>
        <w:outlineLvl w:val="0"/>
        <w:rPr>
          <w:szCs w:val="24"/>
        </w:rPr>
      </w:pPr>
      <w:r w:rsidRPr="006B0D4F">
        <w:rPr>
          <w:szCs w:val="24"/>
        </w:rPr>
        <w:t>###</w:t>
      </w:r>
      <w:bookmarkEnd w:id="0"/>
    </w:p>
    <w:sectPr w:rsidRPr="006B0D4F" w:rsidR="00BE0F70" w:rsidSect="00064C9B">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6960" w14:textId="77777777" w:rsidR="00F67EAC" w:rsidRDefault="00F67EAC">
      <w:pPr>
        <w:spacing w:line="240" w:lineRule="auto"/>
      </w:pPr>
      <w:r>
        <w:separator/>
      </w:r>
    </w:p>
    <w:p w14:paraId="16A36E28" w14:textId="77777777" w:rsidR="00F67EAC" w:rsidRDefault="00F67EAC"/>
  </w:endnote>
  <w:endnote w:type="continuationSeparator" w:id="0">
    <w:p w14:paraId="37720A69" w14:textId="77777777" w:rsidR="00F67EAC" w:rsidRDefault="00F67EAC">
      <w:pPr>
        <w:spacing w:line="240" w:lineRule="auto"/>
      </w:pPr>
      <w:r>
        <w:continuationSeparator/>
      </w:r>
    </w:p>
    <w:p w14:paraId="2D061DD6" w14:textId="77777777" w:rsidR="00F67EAC" w:rsidRDefault="00F67EAC"/>
  </w:endnote>
  <w:endnote w:type="continuationNotice" w:id="1">
    <w:p w14:paraId="221131E5" w14:textId="77777777" w:rsidR="00F67EAC" w:rsidRDefault="00F67E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4B08" w14:textId="77777777" w:rsidR="009E21F1" w:rsidRDefault="009E2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9929D" id="Rectangle 8" o:spid="_x0000_s1026" href="https://www.linkedin.com/company/CaliforniaPUC" style="position:absolute;margin-left:288.65pt;margin-top:13.6pt;width:12.6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o:button="t" filled="f" stroked="f" strokeweight="1pt">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78C38" id="Rectangle 7" o:spid="_x0000_s1026" href="https://www.youtube.com/user/CaliforniaPUC" style="position:absolute;margin-left:273.65pt;margin-top:13.65pt;width:12.6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BBE4D" id="Rectangle 6" o:spid="_x0000_s1026" href="https://www.instagram.com/CaliforniaPUC/" style="position:absolute;margin-left:258.65pt;margin-top:13.65pt;width:12.6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E82C" id="Rectangle 5" o:spid="_x0000_s1026" href="https://www.facebook.com/CaliforniaPUC" style="position:absolute;margin-left:243.7pt;margin-top:13.65pt;width:12.6pt;height:1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o:button="t" filled="f" stroked="f" strokeweight="1pt">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46FBD" id="Rectangle 4" o:spid="_x0000_s1026" href="https://twitter.com/californiapuc" style="position:absolute;margin-left:228.65pt;margin-top:13.75pt;width:12.6pt;height: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o:button="t" filled="f" stroked="f" strokeweight="1pt">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FB62" w14:textId="77777777" w:rsidR="009E21F1" w:rsidRDefault="009E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A74B" w14:textId="77777777" w:rsidR="00F67EAC" w:rsidRDefault="00F67EAC">
      <w:pPr>
        <w:spacing w:line="240" w:lineRule="auto"/>
      </w:pPr>
      <w:r>
        <w:separator/>
      </w:r>
    </w:p>
    <w:p w14:paraId="41B9DD36" w14:textId="77777777" w:rsidR="00F67EAC" w:rsidRDefault="00F67EAC"/>
  </w:footnote>
  <w:footnote w:type="continuationSeparator" w:id="0">
    <w:p w14:paraId="40F3EA91" w14:textId="77777777" w:rsidR="00F67EAC" w:rsidRDefault="00F67EAC">
      <w:pPr>
        <w:spacing w:line="240" w:lineRule="auto"/>
      </w:pPr>
      <w:r>
        <w:continuationSeparator/>
      </w:r>
    </w:p>
    <w:p w14:paraId="687A9F6E" w14:textId="77777777" w:rsidR="00F67EAC" w:rsidRDefault="00F67EAC"/>
  </w:footnote>
  <w:footnote w:type="continuationNotice" w:id="1">
    <w:p w14:paraId="026B6782" w14:textId="77777777" w:rsidR="00F67EAC" w:rsidRDefault="00F67E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D58A" w14:textId="77777777" w:rsidR="009E21F1" w:rsidRDefault="009E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3A8D74FA"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FEEA" w14:textId="77777777" w:rsidR="009E21F1" w:rsidRDefault="009E2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CC6"/>
    <w:multiLevelType w:val="hybridMultilevel"/>
    <w:tmpl w:val="B0F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2F61"/>
    <w:multiLevelType w:val="hybridMultilevel"/>
    <w:tmpl w:val="A5C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E453E"/>
    <w:multiLevelType w:val="hybridMultilevel"/>
    <w:tmpl w:val="3BD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5ED"/>
    <w:multiLevelType w:val="multilevel"/>
    <w:tmpl w:val="75F80716"/>
    <w:lvl w:ilvl="0">
      <w:start w:val="1"/>
      <w:numFmt w:val="bullet"/>
      <w:pStyle w:val="ListBullet"/>
      <w:lvlText w:val=""/>
      <w:lvlJc w:val="left"/>
      <w:pPr>
        <w:ind w:left="720" w:hanging="360"/>
      </w:pPr>
      <w:rPr>
        <w:rFonts w:ascii="Wingdings" w:hAnsi="Wingdings" w:hint="default"/>
        <w:color w:val="053572"/>
        <w:sz w:val="22"/>
      </w:rPr>
    </w:lvl>
    <w:lvl w:ilvl="1">
      <w:start w:val="1"/>
      <w:numFmt w:val="bullet"/>
      <w:pStyle w:val="ListBullet2"/>
      <w:lvlText w:val=""/>
      <w:lvlJc w:val="left"/>
      <w:pPr>
        <w:ind w:left="1080" w:hanging="360"/>
      </w:pPr>
      <w:rPr>
        <w:rFonts w:ascii="Wingdings" w:hAnsi="Wingdings" w:hint="default"/>
        <w:color w:val="1295D8"/>
        <w:sz w:val="22"/>
      </w:rPr>
    </w:lvl>
    <w:lvl w:ilvl="2">
      <w:start w:val="1"/>
      <w:numFmt w:val="bullet"/>
      <w:lvlRestart w:val="0"/>
      <w:pStyle w:val="List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webHidden w:val="0"/>
        <w:color w:val="0069B6"/>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4472C4"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4" w15:restartNumberingAfterBreak="0">
    <w:nsid w:val="3B0020C8"/>
    <w:multiLevelType w:val="hybridMultilevel"/>
    <w:tmpl w:val="77F6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FE3B9D"/>
    <w:multiLevelType w:val="hybridMultilevel"/>
    <w:tmpl w:val="822C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E61EB"/>
    <w:multiLevelType w:val="hybridMultilevel"/>
    <w:tmpl w:val="85E6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51FA1"/>
    <w:multiLevelType w:val="hybridMultilevel"/>
    <w:tmpl w:val="18D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C7A92"/>
    <w:multiLevelType w:val="hybridMultilevel"/>
    <w:tmpl w:val="8BACD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C12F48"/>
    <w:multiLevelType w:val="hybridMultilevel"/>
    <w:tmpl w:val="30DE0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732445"/>
    <w:multiLevelType w:val="hybridMultilevel"/>
    <w:tmpl w:val="4AF4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970984">
    <w:abstractNumId w:val="3"/>
  </w:num>
  <w:num w:numId="2" w16cid:durableId="632053883">
    <w:abstractNumId w:val="7"/>
  </w:num>
  <w:num w:numId="3" w16cid:durableId="898399642">
    <w:abstractNumId w:val="9"/>
  </w:num>
  <w:num w:numId="4" w16cid:durableId="18508153">
    <w:abstractNumId w:val="8"/>
  </w:num>
  <w:num w:numId="5" w16cid:durableId="1842234319">
    <w:abstractNumId w:val="6"/>
  </w:num>
  <w:num w:numId="6" w16cid:durableId="1169783713">
    <w:abstractNumId w:val="0"/>
  </w:num>
  <w:num w:numId="7" w16cid:durableId="1373652495">
    <w:abstractNumId w:val="4"/>
  </w:num>
  <w:num w:numId="8" w16cid:durableId="1170028181">
    <w:abstractNumId w:val="2"/>
  </w:num>
  <w:num w:numId="9" w16cid:durableId="729033685">
    <w:abstractNumId w:val="5"/>
  </w:num>
  <w:num w:numId="10" w16cid:durableId="1343780445">
    <w:abstractNumId w:val="1"/>
  </w:num>
  <w:num w:numId="11" w16cid:durableId="13389199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00BDF"/>
    <w:rsid w:val="0000263C"/>
    <w:rsid w:val="000037EC"/>
    <w:rsid w:val="00013B45"/>
    <w:rsid w:val="00022B59"/>
    <w:rsid w:val="00023DFF"/>
    <w:rsid w:val="00025430"/>
    <w:rsid w:val="00025B93"/>
    <w:rsid w:val="000273F3"/>
    <w:rsid w:val="00027845"/>
    <w:rsid w:val="00031734"/>
    <w:rsid w:val="0003540A"/>
    <w:rsid w:val="00040340"/>
    <w:rsid w:val="00043348"/>
    <w:rsid w:val="0004432F"/>
    <w:rsid w:val="00044762"/>
    <w:rsid w:val="000452AC"/>
    <w:rsid w:val="0004661E"/>
    <w:rsid w:val="000520A4"/>
    <w:rsid w:val="00053953"/>
    <w:rsid w:val="0005559A"/>
    <w:rsid w:val="00055BA7"/>
    <w:rsid w:val="00055BD6"/>
    <w:rsid w:val="000568DE"/>
    <w:rsid w:val="00064958"/>
    <w:rsid w:val="00064C9B"/>
    <w:rsid w:val="00067BC8"/>
    <w:rsid w:val="00072503"/>
    <w:rsid w:val="00075E10"/>
    <w:rsid w:val="0007766B"/>
    <w:rsid w:val="0008289A"/>
    <w:rsid w:val="00091453"/>
    <w:rsid w:val="00091D29"/>
    <w:rsid w:val="0009265F"/>
    <w:rsid w:val="000964E3"/>
    <w:rsid w:val="00097BAF"/>
    <w:rsid w:val="000B035D"/>
    <w:rsid w:val="000B1B15"/>
    <w:rsid w:val="000B3734"/>
    <w:rsid w:val="000B5625"/>
    <w:rsid w:val="000B7D36"/>
    <w:rsid w:val="000C13DD"/>
    <w:rsid w:val="000C2353"/>
    <w:rsid w:val="000C58F1"/>
    <w:rsid w:val="000C5D3D"/>
    <w:rsid w:val="000C7072"/>
    <w:rsid w:val="000C7A9C"/>
    <w:rsid w:val="000D224B"/>
    <w:rsid w:val="000D2E22"/>
    <w:rsid w:val="000D6136"/>
    <w:rsid w:val="000E0857"/>
    <w:rsid w:val="000E0B12"/>
    <w:rsid w:val="000E3DF3"/>
    <w:rsid w:val="000F4503"/>
    <w:rsid w:val="001003CC"/>
    <w:rsid w:val="00103383"/>
    <w:rsid w:val="00103AB6"/>
    <w:rsid w:val="00103DDB"/>
    <w:rsid w:val="001042D3"/>
    <w:rsid w:val="001103D7"/>
    <w:rsid w:val="00113887"/>
    <w:rsid w:val="00117162"/>
    <w:rsid w:val="001206EE"/>
    <w:rsid w:val="001212E2"/>
    <w:rsid w:val="00123A53"/>
    <w:rsid w:val="0012491F"/>
    <w:rsid w:val="0012742C"/>
    <w:rsid w:val="00130071"/>
    <w:rsid w:val="0013069F"/>
    <w:rsid w:val="00130EE7"/>
    <w:rsid w:val="001328CA"/>
    <w:rsid w:val="00132B2E"/>
    <w:rsid w:val="00135767"/>
    <w:rsid w:val="00141EA3"/>
    <w:rsid w:val="0014284A"/>
    <w:rsid w:val="00144CCA"/>
    <w:rsid w:val="00145D5C"/>
    <w:rsid w:val="00146243"/>
    <w:rsid w:val="00147E1C"/>
    <w:rsid w:val="001505D9"/>
    <w:rsid w:val="00157DB3"/>
    <w:rsid w:val="00164CDF"/>
    <w:rsid w:val="00171308"/>
    <w:rsid w:val="0017171B"/>
    <w:rsid w:val="00171FE7"/>
    <w:rsid w:val="00172BE8"/>
    <w:rsid w:val="00181276"/>
    <w:rsid w:val="001813D1"/>
    <w:rsid w:val="00184659"/>
    <w:rsid w:val="00185072"/>
    <w:rsid w:val="00185E04"/>
    <w:rsid w:val="00187B63"/>
    <w:rsid w:val="001904D6"/>
    <w:rsid w:val="001A2377"/>
    <w:rsid w:val="001A5CC0"/>
    <w:rsid w:val="001B218E"/>
    <w:rsid w:val="001B454E"/>
    <w:rsid w:val="001B5369"/>
    <w:rsid w:val="001C081B"/>
    <w:rsid w:val="001C2288"/>
    <w:rsid w:val="001C28D1"/>
    <w:rsid w:val="001C4B87"/>
    <w:rsid w:val="001C7EFD"/>
    <w:rsid w:val="001D0AB9"/>
    <w:rsid w:val="001D1937"/>
    <w:rsid w:val="001D355F"/>
    <w:rsid w:val="001D65D3"/>
    <w:rsid w:val="001E0BF5"/>
    <w:rsid w:val="001E16DB"/>
    <w:rsid w:val="001E2EDB"/>
    <w:rsid w:val="001E5C52"/>
    <w:rsid w:val="001E6812"/>
    <w:rsid w:val="001F0648"/>
    <w:rsid w:val="001F0655"/>
    <w:rsid w:val="001F0C25"/>
    <w:rsid w:val="001F3004"/>
    <w:rsid w:val="001F3105"/>
    <w:rsid w:val="001F3565"/>
    <w:rsid w:val="001F5C88"/>
    <w:rsid w:val="001F76FB"/>
    <w:rsid w:val="00200623"/>
    <w:rsid w:val="00206DB7"/>
    <w:rsid w:val="002071BB"/>
    <w:rsid w:val="00207AD2"/>
    <w:rsid w:val="00211403"/>
    <w:rsid w:val="00211576"/>
    <w:rsid w:val="002171EF"/>
    <w:rsid w:val="00217472"/>
    <w:rsid w:val="002235BF"/>
    <w:rsid w:val="0023459E"/>
    <w:rsid w:val="00243411"/>
    <w:rsid w:val="002441E4"/>
    <w:rsid w:val="0024497A"/>
    <w:rsid w:val="00250664"/>
    <w:rsid w:val="00250DAD"/>
    <w:rsid w:val="00251655"/>
    <w:rsid w:val="00253892"/>
    <w:rsid w:val="00257FDC"/>
    <w:rsid w:val="00260757"/>
    <w:rsid w:val="00263453"/>
    <w:rsid w:val="00263592"/>
    <w:rsid w:val="002641C9"/>
    <w:rsid w:val="00265714"/>
    <w:rsid w:val="00267161"/>
    <w:rsid w:val="00270A6E"/>
    <w:rsid w:val="002802A9"/>
    <w:rsid w:val="002807EC"/>
    <w:rsid w:val="00284CC7"/>
    <w:rsid w:val="002866A8"/>
    <w:rsid w:val="002869C0"/>
    <w:rsid w:val="002905D4"/>
    <w:rsid w:val="002A2653"/>
    <w:rsid w:val="002A3E6E"/>
    <w:rsid w:val="002A40AA"/>
    <w:rsid w:val="002A5CBD"/>
    <w:rsid w:val="002B1B43"/>
    <w:rsid w:val="002B5506"/>
    <w:rsid w:val="002C1947"/>
    <w:rsid w:val="002C3F4E"/>
    <w:rsid w:val="002C50E8"/>
    <w:rsid w:val="002C5F20"/>
    <w:rsid w:val="002D1E41"/>
    <w:rsid w:val="002D552C"/>
    <w:rsid w:val="002E08B7"/>
    <w:rsid w:val="002E0F67"/>
    <w:rsid w:val="002E28E8"/>
    <w:rsid w:val="002E3C91"/>
    <w:rsid w:val="002E467A"/>
    <w:rsid w:val="002E5DC4"/>
    <w:rsid w:val="002E6045"/>
    <w:rsid w:val="002F2E05"/>
    <w:rsid w:val="002F494F"/>
    <w:rsid w:val="002F49E4"/>
    <w:rsid w:val="002F6EB1"/>
    <w:rsid w:val="00300F2C"/>
    <w:rsid w:val="00305629"/>
    <w:rsid w:val="00306BEB"/>
    <w:rsid w:val="00306C15"/>
    <w:rsid w:val="00312216"/>
    <w:rsid w:val="003164F0"/>
    <w:rsid w:val="0032007F"/>
    <w:rsid w:val="00324473"/>
    <w:rsid w:val="003322D6"/>
    <w:rsid w:val="003379FB"/>
    <w:rsid w:val="00353540"/>
    <w:rsid w:val="003546B1"/>
    <w:rsid w:val="0035551F"/>
    <w:rsid w:val="00357875"/>
    <w:rsid w:val="003601ED"/>
    <w:rsid w:val="00360EF6"/>
    <w:rsid w:val="00362D44"/>
    <w:rsid w:val="0036608C"/>
    <w:rsid w:val="00371098"/>
    <w:rsid w:val="0037261C"/>
    <w:rsid w:val="00374DF4"/>
    <w:rsid w:val="00375F86"/>
    <w:rsid w:val="0037735F"/>
    <w:rsid w:val="00377C83"/>
    <w:rsid w:val="00385410"/>
    <w:rsid w:val="00386C93"/>
    <w:rsid w:val="00387DB1"/>
    <w:rsid w:val="003900D5"/>
    <w:rsid w:val="0039180B"/>
    <w:rsid w:val="00393457"/>
    <w:rsid w:val="003947C5"/>
    <w:rsid w:val="003A00B0"/>
    <w:rsid w:val="003A137D"/>
    <w:rsid w:val="003A599C"/>
    <w:rsid w:val="003A5AFC"/>
    <w:rsid w:val="003A6C6A"/>
    <w:rsid w:val="003A6E22"/>
    <w:rsid w:val="003A7720"/>
    <w:rsid w:val="003B1208"/>
    <w:rsid w:val="003B37CA"/>
    <w:rsid w:val="003B3FD3"/>
    <w:rsid w:val="003B5397"/>
    <w:rsid w:val="003C1CFE"/>
    <w:rsid w:val="003C1D54"/>
    <w:rsid w:val="003C32A2"/>
    <w:rsid w:val="003C4665"/>
    <w:rsid w:val="003C4E46"/>
    <w:rsid w:val="003D0B7E"/>
    <w:rsid w:val="003D3A3C"/>
    <w:rsid w:val="003D3AAC"/>
    <w:rsid w:val="003D3EB9"/>
    <w:rsid w:val="003D509C"/>
    <w:rsid w:val="003D5ECD"/>
    <w:rsid w:val="003D6AA0"/>
    <w:rsid w:val="003D7AE7"/>
    <w:rsid w:val="003E0002"/>
    <w:rsid w:val="003E2081"/>
    <w:rsid w:val="003E2832"/>
    <w:rsid w:val="003E5FCC"/>
    <w:rsid w:val="003E72EC"/>
    <w:rsid w:val="003F0755"/>
    <w:rsid w:val="003F379F"/>
    <w:rsid w:val="003F65B7"/>
    <w:rsid w:val="003F65D1"/>
    <w:rsid w:val="004031D1"/>
    <w:rsid w:val="0040481D"/>
    <w:rsid w:val="00405996"/>
    <w:rsid w:val="004101D4"/>
    <w:rsid w:val="00411B8D"/>
    <w:rsid w:val="004138FC"/>
    <w:rsid w:val="0042030C"/>
    <w:rsid w:val="004220A4"/>
    <w:rsid w:val="004225B9"/>
    <w:rsid w:val="00422D8A"/>
    <w:rsid w:val="00423E83"/>
    <w:rsid w:val="00426AC5"/>
    <w:rsid w:val="00426CAF"/>
    <w:rsid w:val="00427583"/>
    <w:rsid w:val="00430A6F"/>
    <w:rsid w:val="00433AA5"/>
    <w:rsid w:val="004343CE"/>
    <w:rsid w:val="0043727B"/>
    <w:rsid w:val="00441E1E"/>
    <w:rsid w:val="00445219"/>
    <w:rsid w:val="00445F40"/>
    <w:rsid w:val="00461536"/>
    <w:rsid w:val="00461B99"/>
    <w:rsid w:val="00461BBE"/>
    <w:rsid w:val="00462B26"/>
    <w:rsid w:val="004647EF"/>
    <w:rsid w:val="0046499D"/>
    <w:rsid w:val="00475A98"/>
    <w:rsid w:val="004763F4"/>
    <w:rsid w:val="00481548"/>
    <w:rsid w:val="004816F9"/>
    <w:rsid w:val="00485A49"/>
    <w:rsid w:val="00485C8F"/>
    <w:rsid w:val="00495217"/>
    <w:rsid w:val="00497B8C"/>
    <w:rsid w:val="004A3191"/>
    <w:rsid w:val="004A4D3C"/>
    <w:rsid w:val="004A52B0"/>
    <w:rsid w:val="004A77EE"/>
    <w:rsid w:val="004B07A7"/>
    <w:rsid w:val="004B2246"/>
    <w:rsid w:val="004B33F6"/>
    <w:rsid w:val="004B4EB8"/>
    <w:rsid w:val="004B728B"/>
    <w:rsid w:val="004C021A"/>
    <w:rsid w:val="004C2610"/>
    <w:rsid w:val="004C3AC1"/>
    <w:rsid w:val="004D12A6"/>
    <w:rsid w:val="004D3789"/>
    <w:rsid w:val="004D499E"/>
    <w:rsid w:val="004D5B02"/>
    <w:rsid w:val="004E18F9"/>
    <w:rsid w:val="004E248A"/>
    <w:rsid w:val="004E2B05"/>
    <w:rsid w:val="004E4592"/>
    <w:rsid w:val="004E4C6B"/>
    <w:rsid w:val="004F0D6A"/>
    <w:rsid w:val="004F4EBF"/>
    <w:rsid w:val="0050055E"/>
    <w:rsid w:val="00502778"/>
    <w:rsid w:val="00506255"/>
    <w:rsid w:val="0050672F"/>
    <w:rsid w:val="005072FD"/>
    <w:rsid w:val="0051013D"/>
    <w:rsid w:val="00510E1D"/>
    <w:rsid w:val="00513E92"/>
    <w:rsid w:val="0051490C"/>
    <w:rsid w:val="00516C98"/>
    <w:rsid w:val="00520FA4"/>
    <w:rsid w:val="005222B5"/>
    <w:rsid w:val="00525051"/>
    <w:rsid w:val="00527EA4"/>
    <w:rsid w:val="00530083"/>
    <w:rsid w:val="00531BF0"/>
    <w:rsid w:val="00536C48"/>
    <w:rsid w:val="00541302"/>
    <w:rsid w:val="00546BD0"/>
    <w:rsid w:val="005477AD"/>
    <w:rsid w:val="00547BE6"/>
    <w:rsid w:val="00551AE8"/>
    <w:rsid w:val="00562D76"/>
    <w:rsid w:val="005640F9"/>
    <w:rsid w:val="005658A6"/>
    <w:rsid w:val="00565E23"/>
    <w:rsid w:val="00566C70"/>
    <w:rsid w:val="005742AC"/>
    <w:rsid w:val="005744D3"/>
    <w:rsid w:val="0057748F"/>
    <w:rsid w:val="00586C0E"/>
    <w:rsid w:val="005923E6"/>
    <w:rsid w:val="00595DEA"/>
    <w:rsid w:val="005A27A7"/>
    <w:rsid w:val="005A3B85"/>
    <w:rsid w:val="005A44CF"/>
    <w:rsid w:val="005A47FB"/>
    <w:rsid w:val="005A497B"/>
    <w:rsid w:val="005A52F0"/>
    <w:rsid w:val="005B0671"/>
    <w:rsid w:val="005B20C8"/>
    <w:rsid w:val="005B3155"/>
    <w:rsid w:val="005B46F4"/>
    <w:rsid w:val="005B7E94"/>
    <w:rsid w:val="005C025C"/>
    <w:rsid w:val="005C5A47"/>
    <w:rsid w:val="005C7BD4"/>
    <w:rsid w:val="005D18A3"/>
    <w:rsid w:val="005D2086"/>
    <w:rsid w:val="005D43BB"/>
    <w:rsid w:val="005D43DE"/>
    <w:rsid w:val="005D4AA1"/>
    <w:rsid w:val="005D4AE4"/>
    <w:rsid w:val="005E02A5"/>
    <w:rsid w:val="005E27D2"/>
    <w:rsid w:val="005E5ACF"/>
    <w:rsid w:val="005E62C2"/>
    <w:rsid w:val="005F3764"/>
    <w:rsid w:val="00600096"/>
    <w:rsid w:val="00601B0C"/>
    <w:rsid w:val="00605081"/>
    <w:rsid w:val="0060523D"/>
    <w:rsid w:val="00605692"/>
    <w:rsid w:val="006073F8"/>
    <w:rsid w:val="00607BE8"/>
    <w:rsid w:val="00610440"/>
    <w:rsid w:val="006116C2"/>
    <w:rsid w:val="00611771"/>
    <w:rsid w:val="006160E1"/>
    <w:rsid w:val="0062122F"/>
    <w:rsid w:val="00621F47"/>
    <w:rsid w:val="00622CF2"/>
    <w:rsid w:val="00622E69"/>
    <w:rsid w:val="0062339D"/>
    <w:rsid w:val="006307F6"/>
    <w:rsid w:val="00632766"/>
    <w:rsid w:val="00635B9D"/>
    <w:rsid w:val="00636BC0"/>
    <w:rsid w:val="00636DBB"/>
    <w:rsid w:val="00636DF4"/>
    <w:rsid w:val="00642EAE"/>
    <w:rsid w:val="00644A71"/>
    <w:rsid w:val="00654F67"/>
    <w:rsid w:val="006572EB"/>
    <w:rsid w:val="006624D7"/>
    <w:rsid w:val="00662628"/>
    <w:rsid w:val="006750F6"/>
    <w:rsid w:val="00676BF7"/>
    <w:rsid w:val="00680516"/>
    <w:rsid w:val="006809B6"/>
    <w:rsid w:val="00681F83"/>
    <w:rsid w:val="00686756"/>
    <w:rsid w:val="00687C3E"/>
    <w:rsid w:val="006905CA"/>
    <w:rsid w:val="00691A8D"/>
    <w:rsid w:val="00692419"/>
    <w:rsid w:val="00692916"/>
    <w:rsid w:val="006936F1"/>
    <w:rsid w:val="00695D0E"/>
    <w:rsid w:val="00695F45"/>
    <w:rsid w:val="006A0767"/>
    <w:rsid w:val="006A1EB3"/>
    <w:rsid w:val="006A5B72"/>
    <w:rsid w:val="006A6543"/>
    <w:rsid w:val="006A7A4B"/>
    <w:rsid w:val="006B0791"/>
    <w:rsid w:val="006B07E5"/>
    <w:rsid w:val="006B0D4F"/>
    <w:rsid w:val="006B253E"/>
    <w:rsid w:val="006B44BE"/>
    <w:rsid w:val="006B4BF5"/>
    <w:rsid w:val="006B6978"/>
    <w:rsid w:val="006C6CE0"/>
    <w:rsid w:val="006C791A"/>
    <w:rsid w:val="006D033D"/>
    <w:rsid w:val="006D270A"/>
    <w:rsid w:val="006D273E"/>
    <w:rsid w:val="006D572F"/>
    <w:rsid w:val="006D5E97"/>
    <w:rsid w:val="006E093A"/>
    <w:rsid w:val="006E1150"/>
    <w:rsid w:val="006E3B09"/>
    <w:rsid w:val="006E484B"/>
    <w:rsid w:val="006E509B"/>
    <w:rsid w:val="006E7D4E"/>
    <w:rsid w:val="006F1C9E"/>
    <w:rsid w:val="006F44C5"/>
    <w:rsid w:val="006F52E7"/>
    <w:rsid w:val="006F5B68"/>
    <w:rsid w:val="0070007A"/>
    <w:rsid w:val="007009A1"/>
    <w:rsid w:val="0071397A"/>
    <w:rsid w:val="00715C9B"/>
    <w:rsid w:val="00722721"/>
    <w:rsid w:val="00726E07"/>
    <w:rsid w:val="00730683"/>
    <w:rsid w:val="00730793"/>
    <w:rsid w:val="00731FCC"/>
    <w:rsid w:val="00732793"/>
    <w:rsid w:val="00742D7C"/>
    <w:rsid w:val="007444E6"/>
    <w:rsid w:val="00754FE0"/>
    <w:rsid w:val="0075540B"/>
    <w:rsid w:val="00756927"/>
    <w:rsid w:val="00762319"/>
    <w:rsid w:val="007648B9"/>
    <w:rsid w:val="00771E4B"/>
    <w:rsid w:val="00775ED5"/>
    <w:rsid w:val="00776550"/>
    <w:rsid w:val="00776713"/>
    <w:rsid w:val="007827BE"/>
    <w:rsid w:val="00783591"/>
    <w:rsid w:val="00784A6D"/>
    <w:rsid w:val="007851D9"/>
    <w:rsid w:val="0078539C"/>
    <w:rsid w:val="0079250E"/>
    <w:rsid w:val="00794428"/>
    <w:rsid w:val="007961C7"/>
    <w:rsid w:val="00796277"/>
    <w:rsid w:val="007A0F2C"/>
    <w:rsid w:val="007A1C8C"/>
    <w:rsid w:val="007A1DE6"/>
    <w:rsid w:val="007A2606"/>
    <w:rsid w:val="007A2782"/>
    <w:rsid w:val="007A29B1"/>
    <w:rsid w:val="007A3278"/>
    <w:rsid w:val="007A5B3E"/>
    <w:rsid w:val="007A7DEA"/>
    <w:rsid w:val="007B7A24"/>
    <w:rsid w:val="007B7FC2"/>
    <w:rsid w:val="007C5800"/>
    <w:rsid w:val="007C7EBF"/>
    <w:rsid w:val="007D0CBE"/>
    <w:rsid w:val="007D17EF"/>
    <w:rsid w:val="007D6DD6"/>
    <w:rsid w:val="007D7C9F"/>
    <w:rsid w:val="007E1B99"/>
    <w:rsid w:val="007E1E15"/>
    <w:rsid w:val="007E29F8"/>
    <w:rsid w:val="007F0CC4"/>
    <w:rsid w:val="007F1D97"/>
    <w:rsid w:val="007F36E5"/>
    <w:rsid w:val="007F3F86"/>
    <w:rsid w:val="007F4215"/>
    <w:rsid w:val="007F62FA"/>
    <w:rsid w:val="00804177"/>
    <w:rsid w:val="0080610C"/>
    <w:rsid w:val="00806B24"/>
    <w:rsid w:val="00807E38"/>
    <w:rsid w:val="00810C24"/>
    <w:rsid w:val="00810FFF"/>
    <w:rsid w:val="00811407"/>
    <w:rsid w:val="00813AB8"/>
    <w:rsid w:val="00813E2E"/>
    <w:rsid w:val="00813F72"/>
    <w:rsid w:val="00814082"/>
    <w:rsid w:val="00817FD4"/>
    <w:rsid w:val="00821C13"/>
    <w:rsid w:val="008252D5"/>
    <w:rsid w:val="00825427"/>
    <w:rsid w:val="00827489"/>
    <w:rsid w:val="0083399B"/>
    <w:rsid w:val="00835305"/>
    <w:rsid w:val="008364DB"/>
    <w:rsid w:val="00846765"/>
    <w:rsid w:val="008520ED"/>
    <w:rsid w:val="0085470F"/>
    <w:rsid w:val="008641EB"/>
    <w:rsid w:val="00871285"/>
    <w:rsid w:val="00871DB1"/>
    <w:rsid w:val="008815EF"/>
    <w:rsid w:val="00881D75"/>
    <w:rsid w:val="008821AB"/>
    <w:rsid w:val="008821D2"/>
    <w:rsid w:val="00882E87"/>
    <w:rsid w:val="00887361"/>
    <w:rsid w:val="00887C16"/>
    <w:rsid w:val="00891716"/>
    <w:rsid w:val="008929A3"/>
    <w:rsid w:val="00893EAD"/>
    <w:rsid w:val="00894F8D"/>
    <w:rsid w:val="00895CF5"/>
    <w:rsid w:val="008A0FA8"/>
    <w:rsid w:val="008A5237"/>
    <w:rsid w:val="008B1D1A"/>
    <w:rsid w:val="008B285E"/>
    <w:rsid w:val="008B5632"/>
    <w:rsid w:val="008C1209"/>
    <w:rsid w:val="008C4324"/>
    <w:rsid w:val="008D3831"/>
    <w:rsid w:val="008D4C29"/>
    <w:rsid w:val="008E222F"/>
    <w:rsid w:val="008E25C0"/>
    <w:rsid w:val="008E3D62"/>
    <w:rsid w:val="008E40C6"/>
    <w:rsid w:val="008E7F70"/>
    <w:rsid w:val="008F553B"/>
    <w:rsid w:val="00900CB4"/>
    <w:rsid w:val="00906031"/>
    <w:rsid w:val="009118FC"/>
    <w:rsid w:val="00912CD3"/>
    <w:rsid w:val="00914892"/>
    <w:rsid w:val="00914E31"/>
    <w:rsid w:val="00917CB6"/>
    <w:rsid w:val="00920068"/>
    <w:rsid w:val="009275E8"/>
    <w:rsid w:val="009311FF"/>
    <w:rsid w:val="00931C1A"/>
    <w:rsid w:val="00937696"/>
    <w:rsid w:val="009379DE"/>
    <w:rsid w:val="009422DC"/>
    <w:rsid w:val="00942B96"/>
    <w:rsid w:val="00944026"/>
    <w:rsid w:val="00952191"/>
    <w:rsid w:val="009544B9"/>
    <w:rsid w:val="00955AA4"/>
    <w:rsid w:val="00966CAF"/>
    <w:rsid w:val="009702BE"/>
    <w:rsid w:val="00973CB7"/>
    <w:rsid w:val="00975DE9"/>
    <w:rsid w:val="00980793"/>
    <w:rsid w:val="009815E4"/>
    <w:rsid w:val="00982B42"/>
    <w:rsid w:val="0098436F"/>
    <w:rsid w:val="009863AB"/>
    <w:rsid w:val="0099045D"/>
    <w:rsid w:val="009915DC"/>
    <w:rsid w:val="00993EE6"/>
    <w:rsid w:val="009A2983"/>
    <w:rsid w:val="009A542F"/>
    <w:rsid w:val="009A5E86"/>
    <w:rsid w:val="009B2F84"/>
    <w:rsid w:val="009B313A"/>
    <w:rsid w:val="009C353A"/>
    <w:rsid w:val="009C517D"/>
    <w:rsid w:val="009D5F18"/>
    <w:rsid w:val="009E00A0"/>
    <w:rsid w:val="009E0C7A"/>
    <w:rsid w:val="009E21F1"/>
    <w:rsid w:val="009F0265"/>
    <w:rsid w:val="009F036E"/>
    <w:rsid w:val="009F40D0"/>
    <w:rsid w:val="009F587A"/>
    <w:rsid w:val="009F60EA"/>
    <w:rsid w:val="00A06120"/>
    <w:rsid w:val="00A21D0F"/>
    <w:rsid w:val="00A2383C"/>
    <w:rsid w:val="00A24920"/>
    <w:rsid w:val="00A275AE"/>
    <w:rsid w:val="00A27F97"/>
    <w:rsid w:val="00A309AB"/>
    <w:rsid w:val="00A30E81"/>
    <w:rsid w:val="00A32FF7"/>
    <w:rsid w:val="00A33B76"/>
    <w:rsid w:val="00A3512C"/>
    <w:rsid w:val="00A35ADF"/>
    <w:rsid w:val="00A3702E"/>
    <w:rsid w:val="00A414A5"/>
    <w:rsid w:val="00A43EB8"/>
    <w:rsid w:val="00A4538E"/>
    <w:rsid w:val="00A46D1F"/>
    <w:rsid w:val="00A4729F"/>
    <w:rsid w:val="00A5181C"/>
    <w:rsid w:val="00A54075"/>
    <w:rsid w:val="00A5622E"/>
    <w:rsid w:val="00A56914"/>
    <w:rsid w:val="00A56D2E"/>
    <w:rsid w:val="00A57DBB"/>
    <w:rsid w:val="00A62F8F"/>
    <w:rsid w:val="00A6584D"/>
    <w:rsid w:val="00A704AB"/>
    <w:rsid w:val="00A71CC2"/>
    <w:rsid w:val="00A76C3B"/>
    <w:rsid w:val="00A8001F"/>
    <w:rsid w:val="00A80D69"/>
    <w:rsid w:val="00A80F7D"/>
    <w:rsid w:val="00A8581E"/>
    <w:rsid w:val="00A9139D"/>
    <w:rsid w:val="00A93CC5"/>
    <w:rsid w:val="00A95E8C"/>
    <w:rsid w:val="00AA1961"/>
    <w:rsid w:val="00AA4066"/>
    <w:rsid w:val="00AB48E3"/>
    <w:rsid w:val="00AB5C38"/>
    <w:rsid w:val="00AB64B0"/>
    <w:rsid w:val="00AB6CE7"/>
    <w:rsid w:val="00AB754A"/>
    <w:rsid w:val="00AC118D"/>
    <w:rsid w:val="00AC2819"/>
    <w:rsid w:val="00AC653C"/>
    <w:rsid w:val="00AC7031"/>
    <w:rsid w:val="00AD00D5"/>
    <w:rsid w:val="00AD297F"/>
    <w:rsid w:val="00AD498A"/>
    <w:rsid w:val="00AE240B"/>
    <w:rsid w:val="00AE299D"/>
    <w:rsid w:val="00AE6718"/>
    <w:rsid w:val="00AF5DF3"/>
    <w:rsid w:val="00AF5FD5"/>
    <w:rsid w:val="00B01D11"/>
    <w:rsid w:val="00B0491A"/>
    <w:rsid w:val="00B068A7"/>
    <w:rsid w:val="00B06A31"/>
    <w:rsid w:val="00B106F2"/>
    <w:rsid w:val="00B11320"/>
    <w:rsid w:val="00B11907"/>
    <w:rsid w:val="00B11F31"/>
    <w:rsid w:val="00B1281A"/>
    <w:rsid w:val="00B13834"/>
    <w:rsid w:val="00B20246"/>
    <w:rsid w:val="00B2336C"/>
    <w:rsid w:val="00B23D25"/>
    <w:rsid w:val="00B333A2"/>
    <w:rsid w:val="00B33AB6"/>
    <w:rsid w:val="00B34031"/>
    <w:rsid w:val="00B35665"/>
    <w:rsid w:val="00B366E9"/>
    <w:rsid w:val="00B5119B"/>
    <w:rsid w:val="00B53BB6"/>
    <w:rsid w:val="00B53FE7"/>
    <w:rsid w:val="00B546CC"/>
    <w:rsid w:val="00B60EE6"/>
    <w:rsid w:val="00B61049"/>
    <w:rsid w:val="00B62B73"/>
    <w:rsid w:val="00B67B75"/>
    <w:rsid w:val="00B74339"/>
    <w:rsid w:val="00B82A58"/>
    <w:rsid w:val="00B87ED1"/>
    <w:rsid w:val="00B91589"/>
    <w:rsid w:val="00B9340B"/>
    <w:rsid w:val="00B948C7"/>
    <w:rsid w:val="00BA0916"/>
    <w:rsid w:val="00BA2387"/>
    <w:rsid w:val="00BA3864"/>
    <w:rsid w:val="00BA7C1C"/>
    <w:rsid w:val="00BB0468"/>
    <w:rsid w:val="00BB560D"/>
    <w:rsid w:val="00BB744E"/>
    <w:rsid w:val="00BC0F5C"/>
    <w:rsid w:val="00BC49DE"/>
    <w:rsid w:val="00BC6720"/>
    <w:rsid w:val="00BD1471"/>
    <w:rsid w:val="00BD6720"/>
    <w:rsid w:val="00BD7934"/>
    <w:rsid w:val="00BE0F70"/>
    <w:rsid w:val="00BE10C4"/>
    <w:rsid w:val="00BE11AE"/>
    <w:rsid w:val="00BE139E"/>
    <w:rsid w:val="00BE1F04"/>
    <w:rsid w:val="00BE303E"/>
    <w:rsid w:val="00BE4E60"/>
    <w:rsid w:val="00BE5B32"/>
    <w:rsid w:val="00BE68EA"/>
    <w:rsid w:val="00BF122A"/>
    <w:rsid w:val="00BF1E12"/>
    <w:rsid w:val="00BF5410"/>
    <w:rsid w:val="00BF5A6B"/>
    <w:rsid w:val="00BF625C"/>
    <w:rsid w:val="00C01FE1"/>
    <w:rsid w:val="00C04203"/>
    <w:rsid w:val="00C04C94"/>
    <w:rsid w:val="00C06BBD"/>
    <w:rsid w:val="00C06EB5"/>
    <w:rsid w:val="00C12E78"/>
    <w:rsid w:val="00C14B9E"/>
    <w:rsid w:val="00C160D9"/>
    <w:rsid w:val="00C17231"/>
    <w:rsid w:val="00C179EB"/>
    <w:rsid w:val="00C225A3"/>
    <w:rsid w:val="00C30292"/>
    <w:rsid w:val="00C304D4"/>
    <w:rsid w:val="00C32E36"/>
    <w:rsid w:val="00C33949"/>
    <w:rsid w:val="00C513AC"/>
    <w:rsid w:val="00C5179E"/>
    <w:rsid w:val="00C51D6C"/>
    <w:rsid w:val="00C53AD7"/>
    <w:rsid w:val="00C54C72"/>
    <w:rsid w:val="00C55A45"/>
    <w:rsid w:val="00C56763"/>
    <w:rsid w:val="00C57921"/>
    <w:rsid w:val="00C60FF6"/>
    <w:rsid w:val="00C64AF4"/>
    <w:rsid w:val="00C660C7"/>
    <w:rsid w:val="00C728A6"/>
    <w:rsid w:val="00C732BE"/>
    <w:rsid w:val="00C75F38"/>
    <w:rsid w:val="00C8426F"/>
    <w:rsid w:val="00C93C7E"/>
    <w:rsid w:val="00C93F7E"/>
    <w:rsid w:val="00C945CB"/>
    <w:rsid w:val="00C969DE"/>
    <w:rsid w:val="00CA014C"/>
    <w:rsid w:val="00CA05E5"/>
    <w:rsid w:val="00CA0E1E"/>
    <w:rsid w:val="00CA11DB"/>
    <w:rsid w:val="00CA1ED7"/>
    <w:rsid w:val="00CA3364"/>
    <w:rsid w:val="00CA3C2B"/>
    <w:rsid w:val="00CA60FC"/>
    <w:rsid w:val="00CB31FE"/>
    <w:rsid w:val="00CB5613"/>
    <w:rsid w:val="00CC0C8C"/>
    <w:rsid w:val="00CC4862"/>
    <w:rsid w:val="00CD107E"/>
    <w:rsid w:val="00CD3AA8"/>
    <w:rsid w:val="00CD4247"/>
    <w:rsid w:val="00CD4A91"/>
    <w:rsid w:val="00CD7452"/>
    <w:rsid w:val="00CE04B9"/>
    <w:rsid w:val="00CE4FFC"/>
    <w:rsid w:val="00CE71A1"/>
    <w:rsid w:val="00CF1E93"/>
    <w:rsid w:val="00CF2F38"/>
    <w:rsid w:val="00CF4528"/>
    <w:rsid w:val="00CF5C17"/>
    <w:rsid w:val="00D06E46"/>
    <w:rsid w:val="00D07D98"/>
    <w:rsid w:val="00D10291"/>
    <w:rsid w:val="00D10C53"/>
    <w:rsid w:val="00D11EE2"/>
    <w:rsid w:val="00D161CA"/>
    <w:rsid w:val="00D16D7D"/>
    <w:rsid w:val="00D2093C"/>
    <w:rsid w:val="00D2109E"/>
    <w:rsid w:val="00D222E5"/>
    <w:rsid w:val="00D227F0"/>
    <w:rsid w:val="00D27A98"/>
    <w:rsid w:val="00D27FD7"/>
    <w:rsid w:val="00D31E82"/>
    <w:rsid w:val="00D328D3"/>
    <w:rsid w:val="00D355A2"/>
    <w:rsid w:val="00D414CB"/>
    <w:rsid w:val="00D45E25"/>
    <w:rsid w:val="00D51109"/>
    <w:rsid w:val="00D51FA8"/>
    <w:rsid w:val="00D6245D"/>
    <w:rsid w:val="00D64BCC"/>
    <w:rsid w:val="00D6638B"/>
    <w:rsid w:val="00D808AF"/>
    <w:rsid w:val="00D81466"/>
    <w:rsid w:val="00D861FF"/>
    <w:rsid w:val="00D863B8"/>
    <w:rsid w:val="00D86D37"/>
    <w:rsid w:val="00D879A8"/>
    <w:rsid w:val="00D91402"/>
    <w:rsid w:val="00D935C9"/>
    <w:rsid w:val="00D95DAC"/>
    <w:rsid w:val="00D96BEA"/>
    <w:rsid w:val="00D978BD"/>
    <w:rsid w:val="00DA0B6A"/>
    <w:rsid w:val="00DA1496"/>
    <w:rsid w:val="00DA1B3D"/>
    <w:rsid w:val="00DB3E78"/>
    <w:rsid w:val="00DC0A2F"/>
    <w:rsid w:val="00DC19FF"/>
    <w:rsid w:val="00DC2149"/>
    <w:rsid w:val="00DC3B8C"/>
    <w:rsid w:val="00DC5161"/>
    <w:rsid w:val="00DD09AE"/>
    <w:rsid w:val="00DD3490"/>
    <w:rsid w:val="00DD54BC"/>
    <w:rsid w:val="00DD5C10"/>
    <w:rsid w:val="00DD5D86"/>
    <w:rsid w:val="00DE0F1D"/>
    <w:rsid w:val="00DE3BD8"/>
    <w:rsid w:val="00DE3D68"/>
    <w:rsid w:val="00DE5ACC"/>
    <w:rsid w:val="00DE5E70"/>
    <w:rsid w:val="00DF2C06"/>
    <w:rsid w:val="00DF52FF"/>
    <w:rsid w:val="00DF6F70"/>
    <w:rsid w:val="00DF7D20"/>
    <w:rsid w:val="00E05D26"/>
    <w:rsid w:val="00E068F0"/>
    <w:rsid w:val="00E07613"/>
    <w:rsid w:val="00E07B5E"/>
    <w:rsid w:val="00E1051E"/>
    <w:rsid w:val="00E10562"/>
    <w:rsid w:val="00E10C42"/>
    <w:rsid w:val="00E13091"/>
    <w:rsid w:val="00E13D05"/>
    <w:rsid w:val="00E1683E"/>
    <w:rsid w:val="00E2240C"/>
    <w:rsid w:val="00E22E36"/>
    <w:rsid w:val="00E24D90"/>
    <w:rsid w:val="00E25222"/>
    <w:rsid w:val="00E260BA"/>
    <w:rsid w:val="00E30183"/>
    <w:rsid w:val="00E33BEB"/>
    <w:rsid w:val="00E357D5"/>
    <w:rsid w:val="00E36167"/>
    <w:rsid w:val="00E406EE"/>
    <w:rsid w:val="00E43532"/>
    <w:rsid w:val="00E45762"/>
    <w:rsid w:val="00E46C3D"/>
    <w:rsid w:val="00E53723"/>
    <w:rsid w:val="00E57643"/>
    <w:rsid w:val="00E61779"/>
    <w:rsid w:val="00E6495E"/>
    <w:rsid w:val="00E72250"/>
    <w:rsid w:val="00E72DEC"/>
    <w:rsid w:val="00E72FE0"/>
    <w:rsid w:val="00E778C2"/>
    <w:rsid w:val="00E92257"/>
    <w:rsid w:val="00E928A5"/>
    <w:rsid w:val="00E93DCE"/>
    <w:rsid w:val="00E95365"/>
    <w:rsid w:val="00EA212C"/>
    <w:rsid w:val="00EA440C"/>
    <w:rsid w:val="00EA65A2"/>
    <w:rsid w:val="00EB0AC4"/>
    <w:rsid w:val="00EB2B1A"/>
    <w:rsid w:val="00EB63CB"/>
    <w:rsid w:val="00EC3E3D"/>
    <w:rsid w:val="00EC573A"/>
    <w:rsid w:val="00EC5FFA"/>
    <w:rsid w:val="00EC6158"/>
    <w:rsid w:val="00EC7214"/>
    <w:rsid w:val="00ED3544"/>
    <w:rsid w:val="00ED4D76"/>
    <w:rsid w:val="00ED5C3E"/>
    <w:rsid w:val="00EE3340"/>
    <w:rsid w:val="00EE7CD4"/>
    <w:rsid w:val="00EF0B74"/>
    <w:rsid w:val="00F01AAA"/>
    <w:rsid w:val="00F06E27"/>
    <w:rsid w:val="00F07A75"/>
    <w:rsid w:val="00F151EB"/>
    <w:rsid w:val="00F16EA9"/>
    <w:rsid w:val="00F205FA"/>
    <w:rsid w:val="00F33B69"/>
    <w:rsid w:val="00F37681"/>
    <w:rsid w:val="00F41234"/>
    <w:rsid w:val="00F4168B"/>
    <w:rsid w:val="00F41B85"/>
    <w:rsid w:val="00F439D5"/>
    <w:rsid w:val="00F5036F"/>
    <w:rsid w:val="00F50CA0"/>
    <w:rsid w:val="00F53715"/>
    <w:rsid w:val="00F61CB8"/>
    <w:rsid w:val="00F624AB"/>
    <w:rsid w:val="00F634E8"/>
    <w:rsid w:val="00F63604"/>
    <w:rsid w:val="00F650CB"/>
    <w:rsid w:val="00F65F07"/>
    <w:rsid w:val="00F67077"/>
    <w:rsid w:val="00F67302"/>
    <w:rsid w:val="00F67EAC"/>
    <w:rsid w:val="00F703B4"/>
    <w:rsid w:val="00F70A43"/>
    <w:rsid w:val="00F72C10"/>
    <w:rsid w:val="00F75907"/>
    <w:rsid w:val="00F85CF8"/>
    <w:rsid w:val="00F85EDB"/>
    <w:rsid w:val="00F87DFA"/>
    <w:rsid w:val="00F92000"/>
    <w:rsid w:val="00F92C07"/>
    <w:rsid w:val="00F93CAB"/>
    <w:rsid w:val="00FA4E62"/>
    <w:rsid w:val="00FB3866"/>
    <w:rsid w:val="00FB4FFA"/>
    <w:rsid w:val="00FC1EB7"/>
    <w:rsid w:val="00FC30AB"/>
    <w:rsid w:val="00FC7B67"/>
    <w:rsid w:val="00FD0A4E"/>
    <w:rsid w:val="00FD232F"/>
    <w:rsid w:val="00FD2606"/>
    <w:rsid w:val="00FD6074"/>
    <w:rsid w:val="00FE1999"/>
    <w:rsid w:val="00FE4B28"/>
    <w:rsid w:val="00FE58E8"/>
    <w:rsid w:val="00FE5AA5"/>
    <w:rsid w:val="00FF2142"/>
    <w:rsid w:val="00FF2710"/>
    <w:rsid w:val="00FF6EF3"/>
    <w:rsid w:val="05663773"/>
    <w:rsid w:val="11759940"/>
    <w:rsid w:val="16701E30"/>
    <w:rsid w:val="375C39CE"/>
    <w:rsid w:val="48F0A5E1"/>
    <w:rsid w:val="53839065"/>
    <w:rsid w:val="551F60C6"/>
    <w:rsid w:val="591316EC"/>
    <w:rsid w:val="71800220"/>
    <w:rsid w:val="7BD8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15:docId w15:val="{80069A75-D2C4-4B14-84A8-A9BE2C042E5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FF2142"/>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link w:val="ListParagraphChar"/>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paragraph" w:customStyle="1" w:styleId="xmsolistparagraph">
    <w:name w:val="x_msolistparagraph"/>
    <w:basedOn w:val="Normal"/>
    <w:rsid w:val="0036608C"/>
    <w:pPr>
      <w:spacing w:before="100" w:beforeAutospacing="1" w:after="100" w:afterAutospacing="1" w:line="240" w:lineRule="auto"/>
      <w:ind w:firstLine="0"/>
    </w:pPr>
    <w:rPr>
      <w:szCs w:val="24"/>
    </w:rPr>
  </w:style>
  <w:style w:type="paragraph" w:customStyle="1" w:styleId="xmsonormal">
    <w:name w:val="x_msonormal"/>
    <w:basedOn w:val="Normal"/>
    <w:rsid w:val="0036608C"/>
    <w:pPr>
      <w:spacing w:before="100" w:beforeAutospacing="1" w:after="100" w:afterAutospacing="1" w:line="240" w:lineRule="auto"/>
      <w:ind w:firstLine="0"/>
    </w:pPr>
    <w:rPr>
      <w:szCs w:val="24"/>
    </w:rPr>
  </w:style>
  <w:style w:type="character" w:styleId="FollowedHyperlink">
    <w:name w:val="FollowedHyperlink"/>
    <w:basedOn w:val="DefaultParagraphFont"/>
    <w:uiPriority w:val="99"/>
    <w:semiHidden/>
    <w:unhideWhenUsed/>
    <w:rsid w:val="00817FD4"/>
    <w:rPr>
      <w:color w:val="954F72" w:themeColor="followedHyperlink"/>
      <w:u w:val="single"/>
    </w:rPr>
  </w:style>
  <w:style w:type="paragraph" w:styleId="BodyText">
    <w:name w:val="Body Text"/>
    <w:basedOn w:val="Normal"/>
    <w:link w:val="BodyTextChar"/>
    <w:uiPriority w:val="99"/>
    <w:semiHidden/>
    <w:unhideWhenUsed/>
    <w:rsid w:val="00E93DCE"/>
    <w:pPr>
      <w:spacing w:after="120"/>
    </w:pPr>
  </w:style>
  <w:style w:type="character" w:customStyle="1" w:styleId="BodyTextChar">
    <w:name w:val="Body Text Char"/>
    <w:basedOn w:val="DefaultParagraphFont"/>
    <w:link w:val="BodyText"/>
    <w:uiPriority w:val="99"/>
    <w:semiHidden/>
    <w:rsid w:val="00E93DCE"/>
    <w:rPr>
      <w:rFonts w:ascii="Times New Roman" w:eastAsia="Times New Roman" w:hAnsi="Times New Roman" w:cs="Times New Roman"/>
      <w:sz w:val="24"/>
      <w:szCs w:val="20"/>
    </w:rPr>
  </w:style>
  <w:style w:type="paragraph" w:styleId="ListBullet">
    <w:name w:val="List Bullet"/>
    <w:aliases w:val="List Bullet 1 Alt+1"/>
    <w:basedOn w:val="Normal"/>
    <w:uiPriority w:val="9"/>
    <w:unhideWhenUsed/>
    <w:qFormat/>
    <w:rsid w:val="00E93DCE"/>
    <w:pPr>
      <w:numPr>
        <w:numId w:val="1"/>
      </w:numPr>
      <w:spacing w:after="120" w:line="240" w:lineRule="auto"/>
    </w:pPr>
    <w:rPr>
      <w:rFonts w:asciiTheme="minorHAnsi" w:hAnsiTheme="minorHAnsi"/>
      <w:sz w:val="22"/>
      <w:szCs w:val="22"/>
    </w:rPr>
  </w:style>
  <w:style w:type="paragraph" w:styleId="ListBullet2">
    <w:name w:val="List Bullet 2"/>
    <w:aliases w:val="List Bullet 2 Alt+2"/>
    <w:basedOn w:val="Normal"/>
    <w:uiPriority w:val="9"/>
    <w:semiHidden/>
    <w:unhideWhenUsed/>
    <w:qFormat/>
    <w:rsid w:val="00E93DCE"/>
    <w:pPr>
      <w:numPr>
        <w:ilvl w:val="1"/>
        <w:numId w:val="1"/>
      </w:numPr>
      <w:spacing w:after="120" w:line="240" w:lineRule="auto"/>
      <w:jc w:val="both"/>
    </w:pPr>
    <w:rPr>
      <w:rFonts w:asciiTheme="minorHAnsi" w:hAnsiTheme="minorHAnsi"/>
      <w:sz w:val="22"/>
      <w:szCs w:val="22"/>
    </w:rPr>
  </w:style>
  <w:style w:type="paragraph" w:styleId="ListBullet3">
    <w:name w:val="List Bullet 3"/>
    <w:aliases w:val="List Bullet 3 Alt+3"/>
    <w:basedOn w:val="Normal"/>
    <w:uiPriority w:val="9"/>
    <w:semiHidden/>
    <w:unhideWhenUsed/>
    <w:qFormat/>
    <w:rsid w:val="00E93DCE"/>
    <w:pPr>
      <w:numPr>
        <w:ilvl w:val="2"/>
        <w:numId w:val="1"/>
      </w:numPr>
      <w:spacing w:after="120" w:line="240" w:lineRule="auto"/>
    </w:pPr>
    <w:rPr>
      <w:rFonts w:asciiTheme="minorHAnsi" w:hAnsiTheme="minorHAnsi"/>
      <w:sz w:val="22"/>
      <w:szCs w:val="22"/>
    </w:rPr>
  </w:style>
  <w:style w:type="character" w:styleId="Strong">
    <w:name w:val="Strong"/>
    <w:basedOn w:val="DefaultParagraphFont"/>
    <w:uiPriority w:val="4"/>
    <w:qFormat/>
    <w:rsid w:val="00E93DCE"/>
    <w:rPr>
      <w:b/>
      <w:bCs/>
    </w:rPr>
  </w:style>
  <w:style w:type="character" w:customStyle="1" w:styleId="ListParagraphChar">
    <w:name w:val="List Paragraph Char"/>
    <w:link w:val="ListParagraph"/>
    <w:uiPriority w:val="34"/>
    <w:locked/>
    <w:rsid w:val="00F85EDB"/>
    <w:rPr>
      <w:rFonts w:ascii="Times New Roman" w:eastAsia="Times New Roman" w:hAnsi="Times New Roman" w:cs="Times New Roman"/>
      <w:sz w:val="24"/>
      <w:szCs w:val="20"/>
    </w:rPr>
  </w:style>
  <w:style w:type="paragraph" w:customStyle="1" w:styleId="xmsobodytextindent">
    <w:name w:val="x_msobodytextindent"/>
    <w:basedOn w:val="Normal"/>
    <w:rsid w:val="00B82A58"/>
    <w:pPr>
      <w:spacing w:line="240" w:lineRule="auto"/>
      <w:ind w:firstLine="0"/>
    </w:pPr>
    <w:rPr>
      <w:rFonts w:ascii="Calibri" w:eastAsiaTheme="minorHAnsi" w:hAnsi="Calibri" w:cs="Calibri"/>
      <w:sz w:val="22"/>
      <w:szCs w:val="22"/>
    </w:rPr>
  </w:style>
  <w:style w:type="character" w:customStyle="1" w:styleId="contentpasted0">
    <w:name w:val="contentpasted0"/>
    <w:basedOn w:val="DefaultParagraphFont"/>
    <w:rsid w:val="00B8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17">
      <w:bodyDiv w:val="1"/>
      <w:marLeft w:val="0"/>
      <w:marRight w:val="0"/>
      <w:marTop w:val="0"/>
      <w:marBottom w:val="0"/>
      <w:divBdr>
        <w:top w:val="none" w:sz="0" w:space="0" w:color="auto"/>
        <w:left w:val="none" w:sz="0" w:space="0" w:color="auto"/>
        <w:bottom w:val="none" w:sz="0" w:space="0" w:color="auto"/>
        <w:right w:val="none" w:sz="0" w:space="0" w:color="auto"/>
      </w:divBdr>
    </w:div>
    <w:div w:id="623658623">
      <w:bodyDiv w:val="1"/>
      <w:marLeft w:val="0"/>
      <w:marRight w:val="0"/>
      <w:marTop w:val="0"/>
      <w:marBottom w:val="0"/>
      <w:divBdr>
        <w:top w:val="none" w:sz="0" w:space="0" w:color="auto"/>
        <w:left w:val="none" w:sz="0" w:space="0" w:color="auto"/>
        <w:bottom w:val="none" w:sz="0" w:space="0" w:color="auto"/>
        <w:right w:val="none" w:sz="0" w:space="0" w:color="auto"/>
      </w:divBdr>
    </w:div>
    <w:div w:id="684939785">
      <w:bodyDiv w:val="1"/>
      <w:marLeft w:val="0"/>
      <w:marRight w:val="0"/>
      <w:marTop w:val="0"/>
      <w:marBottom w:val="0"/>
      <w:divBdr>
        <w:top w:val="none" w:sz="0" w:space="0" w:color="auto"/>
        <w:left w:val="none" w:sz="0" w:space="0" w:color="auto"/>
        <w:bottom w:val="none" w:sz="0" w:space="0" w:color="auto"/>
        <w:right w:val="none" w:sz="0" w:space="0" w:color="auto"/>
      </w:divBdr>
    </w:div>
    <w:div w:id="833759384">
      <w:bodyDiv w:val="1"/>
      <w:marLeft w:val="0"/>
      <w:marRight w:val="0"/>
      <w:marTop w:val="0"/>
      <w:marBottom w:val="0"/>
      <w:divBdr>
        <w:top w:val="none" w:sz="0" w:space="0" w:color="auto"/>
        <w:left w:val="none" w:sz="0" w:space="0" w:color="auto"/>
        <w:bottom w:val="none" w:sz="0" w:space="0" w:color="auto"/>
        <w:right w:val="none" w:sz="0" w:space="0" w:color="auto"/>
      </w:divBdr>
    </w:div>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 w:id="1038628014">
      <w:bodyDiv w:val="1"/>
      <w:marLeft w:val="0"/>
      <w:marRight w:val="0"/>
      <w:marTop w:val="0"/>
      <w:marBottom w:val="0"/>
      <w:divBdr>
        <w:top w:val="none" w:sz="0" w:space="0" w:color="auto"/>
        <w:left w:val="none" w:sz="0" w:space="0" w:color="auto"/>
        <w:bottom w:val="none" w:sz="0" w:space="0" w:color="auto"/>
        <w:right w:val="none" w:sz="0" w:space="0" w:color="auto"/>
      </w:divBdr>
    </w:div>
    <w:div w:id="1309943518">
      <w:bodyDiv w:val="1"/>
      <w:marLeft w:val="0"/>
      <w:marRight w:val="0"/>
      <w:marTop w:val="0"/>
      <w:marBottom w:val="0"/>
      <w:divBdr>
        <w:top w:val="none" w:sz="0" w:space="0" w:color="auto"/>
        <w:left w:val="none" w:sz="0" w:space="0" w:color="auto"/>
        <w:bottom w:val="none" w:sz="0" w:space="0" w:color="auto"/>
        <w:right w:val="none" w:sz="0" w:space="0" w:color="auto"/>
      </w:divBdr>
    </w:div>
    <w:div w:id="1553078648">
      <w:bodyDiv w:val="1"/>
      <w:marLeft w:val="0"/>
      <w:marRight w:val="0"/>
      <w:marTop w:val="0"/>
      <w:marBottom w:val="0"/>
      <w:divBdr>
        <w:top w:val="none" w:sz="0" w:space="0" w:color="auto"/>
        <w:left w:val="none" w:sz="0" w:space="0" w:color="auto"/>
        <w:bottom w:val="none" w:sz="0" w:space="0" w:color="auto"/>
        <w:right w:val="none" w:sz="0" w:space="0" w:color="auto"/>
      </w:divBdr>
    </w:div>
    <w:div w:id="1653869907">
      <w:bodyDiv w:val="1"/>
      <w:marLeft w:val="0"/>
      <w:marRight w:val="0"/>
      <w:marTop w:val="0"/>
      <w:marBottom w:val="0"/>
      <w:divBdr>
        <w:top w:val="none" w:sz="0" w:space="0" w:color="auto"/>
        <w:left w:val="none" w:sz="0" w:space="0" w:color="auto"/>
        <w:bottom w:val="none" w:sz="0" w:space="0" w:color="auto"/>
        <w:right w:val="none" w:sz="0" w:space="0" w:color="auto"/>
      </w:divBdr>
    </w:div>
    <w:div w:id="19504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puc.ca.gov/PublishedDocs/Published/G000/M350/K387/350387703.PDF" TargetMode="External"/><Relationship Id="rId18" Type="http://schemas.openxmlformats.org/officeDocument/2006/relationships/hyperlink" Target="https://docs.cpuc.ca.gov/PublishedDocs/Published/G000/M420/K645/420645328.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puc.ca.gov/industries-and-topics/pge/pge-oversight-and-enforcement" TargetMode="Externa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yperlink" Target="https://docs.cpuc.ca.gov/PublishedDocs/Published/G000/M425/K547/425547959.PDF" TargetMode="External"/><Relationship Id="rId25" Type="http://schemas.openxmlformats.org/officeDocument/2006/relationships/hyperlink" Target="http://www.cpuc.c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cpuc.ca.gov/PublishedDocs/Published/G000/M485/K926/485926237.PDF" TargetMode="External"/><Relationship Id="rId20" Type="http://schemas.openxmlformats.org/officeDocument/2006/relationships/hyperlink" Target="https://www.cpuc.ca.gov/-/media/cpuc-website/divisions/safety-and-enforcement-division/documents/batjer-letter/cpuc-president-batjer-letter-to-pge-re-fast-trip-oct-25-2021.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puc.ca.gov/consumer-support/psp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uc.ca.gov/-/media/cpuc-website/divisions/safety-and-enforcement-division/documents/citations/pge/pge-brewer-fire/citation-pge-brewer-fire-e20211223-01.pdf" TargetMode="External"/><Relationship Id="rId23" Type="http://schemas.openxmlformats.org/officeDocument/2006/relationships/hyperlink" Target="https://www.cpuc.ca.gov/consumer-support/psp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puc.ca.gov/industries-and-topics/pge/pge-oversight-and-enforcemen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c.ca.gov/regulatory-services/enforcement-and-citations" TargetMode="External"/><Relationship Id="rId22" Type="http://schemas.openxmlformats.org/officeDocument/2006/relationships/hyperlink" Target="https://www.cpuc.ca.gov/-/media/cpuc-website/industries-and-topics/documents/pge/oversight-and-enforcement/pge-letter---president-batjer-august-18-2021.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6" ma:contentTypeDescription="Create a new document." ma:contentTypeScope="" ma:versionID="ddaff8b455f2b2eb192f17e2b9c2fc9a">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8fdcf9ab4b86c1976a280f112f357892"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3fc96-ae02-4939-ae84-adebc40aa377}" ma:internalName="TaxCatchAll" ma:showField="CatchAllData" ma:web="9906f322-3aa4-452a-acdd-a6e6b5352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06f322-3aa4-452a-acdd-a6e6b535267d" xsi:nil="true"/>
    <lcf76f155ced4ddcb4097134ff3c332f xmlns="8e5901ec-b161-45b4-a2b9-e2fec7e5393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4A7EE-F9AA-45F6-8224-284758597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7D8BE-078F-475F-B3CC-8F1DBFA516CE}">
  <ds:schemaRefs>
    <ds:schemaRef ds:uri="http://schemas.microsoft.com/office/2006/metadata/properties"/>
    <ds:schemaRef ds:uri="http://schemas.microsoft.com/office/infopath/2007/PartnerControls"/>
    <ds:schemaRef ds:uri="9906f322-3aa4-452a-acdd-a6e6b535267d"/>
    <ds:schemaRef ds:uri="8e5901ec-b161-45b4-a2b9-e2fec7e53931"/>
  </ds:schemaRefs>
</ds:datastoreItem>
</file>

<file path=customXml/itemProps3.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customXml/itemProps4.xml><?xml version="1.0" encoding="utf-8"?>
<ds:datastoreItem xmlns:ds="http://schemas.openxmlformats.org/officeDocument/2006/customXml" ds:itemID="{0634033D-31FC-4A52-9B2B-4749DBC12A2B}">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1075</ap:Words>
  <ap:Characters>6128</ap:Characters>
  <ap:Application>Microsoft Office Word</ap:Application>
  <ap:DocSecurity>0</ap:DocSecurity>
  <ap:Lines>51</ap:Lines>
  <ap:Paragraphs>14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7189</ap:CharactersWithSpaces>
  <ap:SharedDoc>false</ap:SharedDoc>
  <ap:HLinks>
    <vt:vector baseType="variant" size="60">
      <vt:variant>
        <vt:i4>6488161</vt:i4>
      </vt:variant>
      <vt:variant>
        <vt:i4>27</vt:i4>
      </vt:variant>
      <vt:variant>
        <vt:i4>0</vt:i4>
      </vt:variant>
      <vt:variant>
        <vt:i4>5</vt:i4>
      </vt:variant>
      <vt:variant>
        <vt:lpwstr>http://www.cpuc.ca.gov/</vt:lpwstr>
      </vt:variant>
      <vt:variant>
        <vt:lpwstr/>
      </vt:variant>
      <vt:variant>
        <vt:i4>5701634</vt:i4>
      </vt:variant>
      <vt:variant>
        <vt:i4>24</vt:i4>
      </vt:variant>
      <vt:variant>
        <vt:i4>0</vt:i4>
      </vt:variant>
      <vt:variant>
        <vt:i4>5</vt:i4>
      </vt:variant>
      <vt:variant>
        <vt:lpwstr>https://apps.cpuc.ca.gov/apex/f?p=401:56:0::NO:RP,57,RIR:P5_PROCEEDING_SELECT:R1807006</vt:lpwstr>
      </vt:variant>
      <vt:variant>
        <vt:lpwstr/>
      </vt:variant>
      <vt:variant>
        <vt:i4>1179723</vt:i4>
      </vt:variant>
      <vt:variant>
        <vt:i4>21</vt:i4>
      </vt:variant>
      <vt:variant>
        <vt:i4>0</vt:i4>
      </vt:variant>
      <vt:variant>
        <vt:i4>5</vt:i4>
      </vt:variant>
      <vt:variant>
        <vt:lpwstr>https://docs.cpuc.ca.gov/PublishedDocs/Published/G000/M493/K470/493470602.PDF</vt:lpwstr>
      </vt:variant>
      <vt:variant>
        <vt:lpwstr/>
      </vt:variant>
      <vt:variant>
        <vt:i4>917593</vt:i4>
      </vt:variant>
      <vt:variant>
        <vt:i4>18</vt:i4>
      </vt:variant>
      <vt:variant>
        <vt:i4>0</vt:i4>
      </vt:variant>
      <vt:variant>
        <vt:i4>5</vt:i4>
      </vt:variant>
      <vt:variant>
        <vt:lpwstr>http://www.cpuc.ca.gov/affordability</vt:lpwstr>
      </vt:variant>
      <vt:variant>
        <vt:lpwstr/>
      </vt:variant>
      <vt:variant>
        <vt:i4>1835084</vt:i4>
      </vt:variant>
      <vt:variant>
        <vt:i4>15</vt:i4>
      </vt:variant>
      <vt:variant>
        <vt:i4>0</vt:i4>
      </vt:variant>
      <vt:variant>
        <vt:i4>5</vt:i4>
      </vt:variant>
      <vt:variant>
        <vt:lpwstr>https://docs.cpuc.ca.gov/PublishedDocs/Published/G000/M413/K547/413547937.PDF</vt:lpwstr>
      </vt:variant>
      <vt:variant>
        <vt:lpwstr/>
      </vt:variant>
      <vt:variant>
        <vt:i4>1114184</vt:i4>
      </vt:variant>
      <vt:variant>
        <vt:i4>12</vt:i4>
      </vt:variant>
      <vt:variant>
        <vt:i4>0</vt:i4>
      </vt:variant>
      <vt:variant>
        <vt:i4>5</vt:i4>
      </vt:variant>
      <vt:variant>
        <vt:lpwstr>https://docs.cpuc.ca.gov/PublishedDocs/Published/G000/M344/K049/344049206.PDF</vt:lpwstr>
      </vt:variant>
      <vt:variant>
        <vt:lpwstr/>
      </vt:variant>
      <vt:variant>
        <vt:i4>5439495</vt:i4>
      </vt:variant>
      <vt:variant>
        <vt:i4>9</vt:i4>
      </vt:variant>
      <vt:variant>
        <vt:i4>0</vt:i4>
      </vt:variant>
      <vt:variant>
        <vt:i4>5</vt:i4>
      </vt:variant>
      <vt:variant>
        <vt:lpwstr>https://apps.cpuc.ca.gov/apex/f?p=401:56:0::NO:RP,57,RIR:P5_PROCEEDING_SELECT:R2008021</vt:lpwstr>
      </vt:variant>
      <vt:variant>
        <vt:lpwstr/>
      </vt:variant>
      <vt:variant>
        <vt:i4>5439492</vt:i4>
      </vt:variant>
      <vt:variant>
        <vt:i4>6</vt:i4>
      </vt:variant>
      <vt:variant>
        <vt:i4>0</vt:i4>
      </vt:variant>
      <vt:variant>
        <vt:i4>5</vt:i4>
      </vt:variant>
      <vt:variant>
        <vt:lpwstr>https://apps.cpuc.ca.gov/apex/f?p=401:56:0::NO:RP,57,RIR:P5_PROCEEDING_SELECT:R2009001</vt:lpwstr>
      </vt:variant>
      <vt:variant>
        <vt:lpwstr/>
      </vt:variant>
      <vt:variant>
        <vt:i4>1114184</vt:i4>
      </vt:variant>
      <vt:variant>
        <vt:i4>3</vt:i4>
      </vt:variant>
      <vt:variant>
        <vt:i4>0</vt:i4>
      </vt:variant>
      <vt:variant>
        <vt:i4>5</vt:i4>
      </vt:variant>
      <vt:variant>
        <vt:lpwstr>https://docs.cpuc.ca.gov/PublishedDocs/Published/G000/M344/K049/344049206.PDF</vt:lpwstr>
      </vt:variant>
      <vt:variant>
        <vt:lpwstr/>
      </vt:variant>
      <vt:variant>
        <vt:i4>655458</vt:i4>
      </vt:variant>
      <vt:variant>
        <vt:i4>0</vt:i4>
      </vt:variant>
      <vt:variant>
        <vt:i4>0</vt:i4>
      </vt:variant>
      <vt:variant>
        <vt:i4>5</vt:i4>
      </vt:variant>
      <vt:variant>
        <vt:lpwstr>mailto:news@cpuc.ca.gov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2023-05-18T16:43:15Z</dcterms:created>
  <dcterms:modified xsi:type="dcterms:W3CDTF">2023-05-18T16:43:15Z</dcterms:modified>
</cp:coreProperties>
</file>