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7752" w:rsidR="00387752" w:rsidP="00CF413E" w:rsidRDefault="00387752" w14:paraId="2C9B7570" w14:textId="2D9F934D">
      <w:pPr>
        <w:tabs>
          <w:tab w:val="center" w:pos="4680"/>
          <w:tab w:val="right" w:pos="9360"/>
        </w:tabs>
        <w:rPr>
          <w:rFonts w:ascii="Book Antiqua" w:hAnsi="Book Antiqua" w:eastAsiaTheme="minorHAnsi" w:cstheme="minorBidi"/>
          <w:szCs w:val="22"/>
        </w:rPr>
      </w:pPr>
      <w:r w:rsidRPr="00387752">
        <w:rPr>
          <w:rFonts w:ascii="Book Antiqua" w:hAnsi="Book Antiqua" w:eastAsiaTheme="minorHAnsi" w:cstheme="minorBidi"/>
          <w:szCs w:val="22"/>
        </w:rPr>
        <w:t>ALJ/</w:t>
      </w:r>
      <w:r>
        <w:rPr>
          <w:rFonts w:ascii="Book Antiqua" w:hAnsi="Book Antiqua" w:eastAsiaTheme="minorHAnsi" w:cstheme="minorBidi"/>
          <w:szCs w:val="22"/>
        </w:rPr>
        <w:t>CF1</w:t>
      </w:r>
      <w:r w:rsidRPr="00387752">
        <w:rPr>
          <w:rFonts w:ascii="Book Antiqua" w:hAnsi="Book Antiqua" w:eastAsiaTheme="minorHAnsi" w:cstheme="minorBidi"/>
          <w:szCs w:val="22"/>
        </w:rPr>
        <w:t>/jnf</w:t>
      </w:r>
      <w:r w:rsidRPr="00387752">
        <w:rPr>
          <w:rFonts w:ascii="Book Antiqua" w:hAnsi="Book Antiqua" w:eastAsiaTheme="minorHAnsi" w:cstheme="minorBidi"/>
          <w:szCs w:val="22"/>
        </w:rPr>
        <w:tab/>
      </w:r>
      <w:r w:rsidRPr="00387752">
        <w:rPr>
          <w:rFonts w:ascii="Book Antiqua" w:hAnsi="Book Antiqua" w:eastAsiaTheme="minorHAnsi" w:cstheme="minorBidi"/>
          <w:szCs w:val="22"/>
        </w:rPr>
        <w:tab/>
      </w:r>
      <w:r w:rsidR="00CF413E">
        <w:rPr>
          <w:rFonts w:ascii="Book Antiqua" w:hAnsi="Book Antiqua" w:eastAsiaTheme="minorHAnsi" w:cstheme="minorBidi"/>
          <w:b/>
          <w:szCs w:val="22"/>
        </w:rPr>
        <w:t>Date of Issuance 5/2</w:t>
      </w:r>
      <w:r w:rsidR="00931B1A">
        <w:rPr>
          <w:rFonts w:ascii="Book Antiqua" w:hAnsi="Book Antiqua" w:eastAsiaTheme="minorHAnsi" w:cstheme="minorBidi"/>
          <w:b/>
          <w:szCs w:val="22"/>
        </w:rPr>
        <w:t>3</w:t>
      </w:r>
      <w:r w:rsidR="00CF413E">
        <w:rPr>
          <w:rFonts w:ascii="Book Antiqua" w:hAnsi="Book Antiqua" w:eastAsiaTheme="minorHAnsi" w:cstheme="minorBidi"/>
          <w:b/>
          <w:szCs w:val="22"/>
        </w:rPr>
        <w:t>/2023</w:t>
      </w:r>
    </w:p>
    <w:p w:rsidR="00387752" w:rsidP="00CF413E" w:rsidRDefault="00387752" w14:paraId="62F51B48" w14:textId="5F548EB0">
      <w:pPr>
        <w:ind w:firstLine="720"/>
        <w:jc w:val="right"/>
        <w:rPr>
          <w:rFonts w:ascii="Book Antiqua" w:hAnsi="Book Antiqua" w:eastAsiaTheme="minorHAnsi" w:cstheme="minorBidi"/>
          <w:b/>
          <w:szCs w:val="22"/>
        </w:rPr>
      </w:pPr>
    </w:p>
    <w:p w:rsidR="00CF413E" w:rsidP="00CF413E" w:rsidRDefault="00CF413E" w14:paraId="44010136" w14:textId="77777777">
      <w:pPr>
        <w:ind w:firstLine="720"/>
        <w:jc w:val="right"/>
        <w:rPr>
          <w:rFonts w:ascii="Book Antiqua" w:hAnsi="Book Antiqua" w:eastAsiaTheme="minorHAnsi" w:cstheme="minorBidi"/>
          <w:b/>
          <w:szCs w:val="22"/>
        </w:rPr>
      </w:pPr>
    </w:p>
    <w:p w:rsidRPr="00387752" w:rsidR="00387752" w:rsidP="00CF413E" w:rsidRDefault="00387752" w14:paraId="48C9B8D4" w14:textId="77777777">
      <w:pPr>
        <w:rPr>
          <w:rFonts w:ascii="Book Antiqua" w:hAnsi="Book Antiqua" w:eastAsiaTheme="minorHAnsi" w:cstheme="minorBidi"/>
          <w:szCs w:val="22"/>
        </w:rPr>
      </w:pPr>
    </w:p>
    <w:p w:rsidR="00BB51C6" w:rsidP="00884E11" w:rsidRDefault="00BB51C6" w14:paraId="36FFC148" w14:textId="77777777">
      <w:pPr>
        <w:spacing w:line="480" w:lineRule="auto"/>
        <w:rPr>
          <w:rFonts w:ascii="Helvetica" w:hAnsi="Helvetica"/>
          <w:b/>
          <w:bCs/>
          <w:sz w:val="24"/>
        </w:rPr>
      </w:pPr>
      <w:r>
        <w:rPr>
          <w:rFonts w:ascii="Helvetica" w:hAnsi="Helvetica"/>
          <w:b/>
          <w:bCs/>
          <w:sz w:val="24"/>
        </w:rPr>
        <w:t>BEFORE THE PUBLIC UTILITIES COMMISSION OF THE STATE OF CALIFORNIA</w:t>
      </w:r>
    </w:p>
    <w:tbl>
      <w:tblPr>
        <w:tblW w:w="9468" w:type="dxa"/>
        <w:tblLayout w:type="fixed"/>
        <w:tblLook w:val="0000" w:firstRow="0" w:lastRow="0" w:firstColumn="0" w:lastColumn="0" w:noHBand="0" w:noVBand="0"/>
      </w:tblPr>
      <w:tblGrid>
        <w:gridCol w:w="4500"/>
        <w:gridCol w:w="4968"/>
      </w:tblGrid>
      <w:tr w:rsidRPr="00EE6156" w:rsidR="00BB51C6" w:rsidTr="00387752" w14:paraId="457F7676" w14:textId="77777777">
        <w:tc>
          <w:tcPr>
            <w:tcW w:w="4500" w:type="dxa"/>
            <w:tcBorders>
              <w:bottom w:val="single" w:color="auto" w:sz="6" w:space="0"/>
              <w:right w:val="single" w:color="auto" w:sz="6" w:space="0"/>
            </w:tcBorders>
            <w:vAlign w:val="center"/>
          </w:tcPr>
          <w:p w:rsidRPr="00EE6156" w:rsidR="00BB51C6" w:rsidP="00B13025" w:rsidRDefault="00B53876" w14:paraId="70DA0FC0" w14:textId="7CFDA186">
            <w:pPr>
              <w:rPr>
                <w:rFonts w:ascii="Book Antiqua" w:hAnsi="Book Antiqua"/>
              </w:rPr>
            </w:pPr>
            <w:r w:rsidRPr="00EE6156">
              <w:rPr>
                <w:rFonts w:ascii="Book Antiqua" w:hAnsi="Book Antiqua"/>
              </w:rPr>
              <w:t xml:space="preserve">Order Instituting Rulemaking to </w:t>
            </w:r>
            <w:r w:rsidRPr="00EE6156" w:rsidR="00003D4F">
              <w:rPr>
                <w:rFonts w:ascii="Book Antiqua" w:hAnsi="Book Antiqua"/>
              </w:rPr>
              <w:t>Upda</w:t>
            </w:r>
            <w:r w:rsidRPr="00EE6156" w:rsidR="00B92B26">
              <w:rPr>
                <w:rFonts w:ascii="Book Antiqua" w:hAnsi="Book Antiqua"/>
              </w:rPr>
              <w:t>te and Amend Commission General</w:t>
            </w:r>
            <w:r w:rsidRPr="00EE6156" w:rsidR="00387752">
              <w:rPr>
                <w:rFonts w:ascii="Book Antiqua" w:hAnsi="Book Antiqua"/>
              </w:rPr>
              <w:t> </w:t>
            </w:r>
            <w:r w:rsidRPr="00EE6156" w:rsidR="00B92B26">
              <w:rPr>
                <w:rFonts w:ascii="Book Antiqua" w:hAnsi="Book Antiqua"/>
              </w:rPr>
              <w:t>Order 131-D</w:t>
            </w:r>
            <w:r w:rsidRPr="00EE6156">
              <w:rPr>
                <w:rFonts w:ascii="Book Antiqua" w:hAnsi="Book Antiqua"/>
              </w:rPr>
              <w:t>.</w:t>
            </w:r>
          </w:p>
          <w:p w:rsidRPr="00EE6156" w:rsidR="00E45650" w:rsidP="00B13025" w:rsidRDefault="00E45650" w14:paraId="789B2F6F" w14:textId="77777777">
            <w:pPr>
              <w:rPr>
                <w:rFonts w:ascii="Book Antiqua" w:hAnsi="Book Antiqua"/>
              </w:rPr>
            </w:pPr>
          </w:p>
        </w:tc>
        <w:tc>
          <w:tcPr>
            <w:tcW w:w="4968" w:type="dxa"/>
            <w:tcBorders>
              <w:left w:val="nil"/>
            </w:tcBorders>
            <w:vAlign w:val="center"/>
          </w:tcPr>
          <w:p w:rsidRPr="00EE6156" w:rsidR="00CF413E" w:rsidP="00CF413E" w:rsidRDefault="00CF413E" w14:paraId="5BE93701" w14:textId="77777777">
            <w:pPr>
              <w:jc w:val="center"/>
              <w:rPr>
                <w:rFonts w:ascii="Book Antiqua" w:hAnsi="Book Antiqua" w:cs="Arial"/>
                <w:sz w:val="24"/>
                <w:szCs w:val="24"/>
              </w:rPr>
            </w:pPr>
            <w:r w:rsidRPr="00EE6156">
              <w:rPr>
                <w:rFonts w:ascii="Book Antiqua" w:hAnsi="Book Antiqua" w:cs="Arial"/>
                <w:sz w:val="24"/>
                <w:szCs w:val="24"/>
              </w:rPr>
              <w:t xml:space="preserve">FILED </w:t>
            </w:r>
          </w:p>
          <w:p w:rsidRPr="00EE6156" w:rsidR="00CF413E" w:rsidP="00CF413E" w:rsidRDefault="00CF413E" w14:paraId="1CF0095E" w14:textId="77777777">
            <w:pPr>
              <w:jc w:val="center"/>
              <w:rPr>
                <w:rFonts w:ascii="Book Antiqua" w:hAnsi="Book Antiqua" w:cs="Arial"/>
                <w:sz w:val="24"/>
                <w:szCs w:val="24"/>
              </w:rPr>
            </w:pPr>
            <w:r w:rsidRPr="00EE6156">
              <w:rPr>
                <w:rFonts w:ascii="Book Antiqua" w:hAnsi="Book Antiqua" w:cs="Arial"/>
                <w:sz w:val="24"/>
                <w:szCs w:val="24"/>
              </w:rPr>
              <w:t>PUBLIC UTILITIES COMMISSION</w:t>
            </w:r>
          </w:p>
          <w:p w:rsidRPr="00EE6156" w:rsidR="00CF413E" w:rsidP="00CF413E" w:rsidRDefault="00CF413E" w14:paraId="3FA4131F" w14:textId="06A16550">
            <w:pPr>
              <w:jc w:val="center"/>
              <w:rPr>
                <w:rFonts w:ascii="Book Antiqua" w:hAnsi="Book Antiqua" w:cs="Arial"/>
                <w:sz w:val="24"/>
                <w:szCs w:val="24"/>
              </w:rPr>
            </w:pPr>
            <w:r w:rsidRPr="00EE6156">
              <w:rPr>
                <w:rFonts w:ascii="Book Antiqua" w:hAnsi="Book Antiqua" w:cs="Arial"/>
                <w:sz w:val="24"/>
                <w:szCs w:val="24"/>
              </w:rPr>
              <w:t>MAY 18, 2023</w:t>
            </w:r>
          </w:p>
          <w:p w:rsidRPr="00EE6156" w:rsidR="00CF413E" w:rsidP="00CF413E" w:rsidRDefault="00CF413E" w14:paraId="147E5A0A" w14:textId="77777777">
            <w:pPr>
              <w:jc w:val="center"/>
              <w:rPr>
                <w:rFonts w:ascii="Book Antiqua" w:hAnsi="Book Antiqua" w:cs="Arial"/>
                <w:sz w:val="24"/>
                <w:szCs w:val="24"/>
              </w:rPr>
            </w:pPr>
            <w:r w:rsidRPr="00EE6156">
              <w:rPr>
                <w:rFonts w:ascii="Book Antiqua" w:hAnsi="Book Antiqua" w:cs="Arial"/>
                <w:sz w:val="24"/>
                <w:szCs w:val="24"/>
              </w:rPr>
              <w:t>SAN FRANCISCO, CALIFORNIA</w:t>
            </w:r>
          </w:p>
          <w:p w:rsidRPr="00EE6156" w:rsidR="00BB51C6" w:rsidP="00CF413E" w:rsidRDefault="00CF413E" w14:paraId="12A7AC08" w14:textId="59EF1F49">
            <w:pPr>
              <w:jc w:val="center"/>
              <w:rPr>
                <w:rFonts w:ascii="Book Antiqua" w:hAnsi="Book Antiqua" w:cs="Arial"/>
                <w:szCs w:val="26"/>
              </w:rPr>
            </w:pPr>
            <w:r w:rsidRPr="00EE6156">
              <w:rPr>
                <w:rFonts w:ascii="Book Antiqua" w:hAnsi="Book Antiqua" w:cs="Arial"/>
                <w:sz w:val="24"/>
                <w:szCs w:val="24"/>
              </w:rPr>
              <w:t>RULEMAKING 23-05-018</w:t>
            </w:r>
          </w:p>
        </w:tc>
      </w:tr>
    </w:tbl>
    <w:p w:rsidRPr="00387752" w:rsidR="00BB51C6" w:rsidP="00387752" w:rsidRDefault="00BB51C6" w14:paraId="45F0789D" w14:textId="77777777">
      <w:pPr>
        <w:suppressAutoHyphens/>
        <w:jc w:val="center"/>
        <w:rPr>
          <w:rFonts w:ascii="Arial" w:hAnsi="Arial" w:cs="Arial"/>
        </w:rPr>
      </w:pPr>
    </w:p>
    <w:p w:rsidRPr="00387752" w:rsidR="00BB51C6" w:rsidP="00387752" w:rsidRDefault="00BB51C6" w14:paraId="35500085" w14:textId="77777777">
      <w:pPr>
        <w:jc w:val="center"/>
        <w:rPr>
          <w:rFonts w:ascii="Arial" w:hAnsi="Arial" w:cs="Arial"/>
        </w:rPr>
      </w:pPr>
    </w:p>
    <w:p w:rsidR="00BB51C6" w:rsidP="00387752" w:rsidRDefault="003E5803" w14:paraId="5930ADDB" w14:textId="77777777">
      <w:pPr>
        <w:pStyle w:val="Dummy0"/>
        <w:spacing w:after="0"/>
        <w:jc w:val="center"/>
      </w:pPr>
      <w:r>
        <w:t>ORDER INSTITUTING RULEMAKING</w:t>
      </w:r>
    </w:p>
    <w:p w:rsidR="00BB51C6" w:rsidRDefault="00BB51C6" w14:paraId="3B8A8599" w14:textId="77777777">
      <w:pPr>
        <w:pStyle w:val="main"/>
      </w:pPr>
    </w:p>
    <w:p w:rsidR="00BB51C6" w:rsidP="00C326DD" w:rsidRDefault="003E5803" w14:paraId="4C340CA8" w14:textId="77777777">
      <w:pPr>
        <w:pStyle w:val="StyleHeading1Before0pt1"/>
      </w:pPr>
      <w:r w:rsidRPr="00C326DD">
        <w:t>Summary</w:t>
      </w:r>
    </w:p>
    <w:p w:rsidRPr="00AC5503" w:rsidR="003E5803" w:rsidP="00B53876" w:rsidRDefault="312F1455" w14:paraId="03D66D37" w14:textId="7F97C15B">
      <w:pPr>
        <w:pStyle w:val="standard"/>
        <w:rPr>
          <w:rFonts w:ascii="Book Antiqua" w:hAnsi="Book Antiqua"/>
        </w:rPr>
      </w:pPr>
      <w:r w:rsidRPr="2271C5A0">
        <w:rPr>
          <w:rFonts w:ascii="Book Antiqua" w:hAnsi="Book Antiqua"/>
        </w:rPr>
        <w:t xml:space="preserve">The </w:t>
      </w:r>
      <w:r w:rsidRPr="2271C5A0" w:rsidR="59BBAA13">
        <w:rPr>
          <w:rFonts w:ascii="Book Antiqua" w:hAnsi="Book Antiqua"/>
        </w:rPr>
        <w:t>California Public Utilit</w:t>
      </w:r>
      <w:r w:rsidRPr="2271C5A0" w:rsidR="44F5FDB0">
        <w:rPr>
          <w:rFonts w:ascii="Book Antiqua" w:hAnsi="Book Antiqua"/>
        </w:rPr>
        <w:t>ies</w:t>
      </w:r>
      <w:r w:rsidRPr="2271C5A0" w:rsidR="59BBAA13">
        <w:rPr>
          <w:rFonts w:ascii="Book Antiqua" w:hAnsi="Book Antiqua"/>
        </w:rPr>
        <w:t xml:space="preserve"> </w:t>
      </w:r>
      <w:r w:rsidRPr="2271C5A0">
        <w:rPr>
          <w:rFonts w:ascii="Book Antiqua" w:hAnsi="Book Antiqua"/>
        </w:rPr>
        <w:t xml:space="preserve">Commission’s </w:t>
      </w:r>
      <w:r w:rsidRPr="2271C5A0" w:rsidR="23D1FDAE">
        <w:rPr>
          <w:rFonts w:ascii="Book Antiqua" w:hAnsi="Book Antiqua"/>
        </w:rPr>
        <w:t xml:space="preserve">existing </w:t>
      </w:r>
      <w:r w:rsidRPr="2271C5A0">
        <w:rPr>
          <w:rFonts w:ascii="Book Antiqua" w:hAnsi="Book Antiqua"/>
        </w:rPr>
        <w:t>General Order (GO)</w:t>
      </w:r>
      <w:r w:rsidR="00387752">
        <w:rPr>
          <w:rFonts w:ascii="Book Antiqua" w:hAnsi="Book Antiqua"/>
        </w:rPr>
        <w:t> </w:t>
      </w:r>
      <w:r w:rsidRPr="2271C5A0">
        <w:rPr>
          <w:rFonts w:ascii="Book Antiqua" w:hAnsi="Book Antiqua"/>
        </w:rPr>
        <w:t xml:space="preserve">131-D addresses the siting of electric transmission infrastructure within the State of California.  </w:t>
      </w:r>
      <w:r w:rsidRPr="2271C5A0" w:rsidR="47C94D0C">
        <w:rPr>
          <w:rFonts w:ascii="Book Antiqua" w:hAnsi="Book Antiqua"/>
        </w:rPr>
        <w:t xml:space="preserve">This </w:t>
      </w:r>
      <w:r w:rsidRPr="2271C5A0" w:rsidR="29CBF16F">
        <w:rPr>
          <w:rFonts w:ascii="Book Antiqua" w:hAnsi="Book Antiqua"/>
        </w:rPr>
        <w:t>Order Instituting R</w:t>
      </w:r>
      <w:r w:rsidRPr="2271C5A0" w:rsidR="47C94D0C">
        <w:rPr>
          <w:rFonts w:ascii="Book Antiqua" w:hAnsi="Book Antiqua"/>
        </w:rPr>
        <w:t>ulemaking</w:t>
      </w:r>
      <w:r w:rsidRPr="2271C5A0" w:rsidR="29CBF16F">
        <w:rPr>
          <w:rFonts w:ascii="Book Antiqua" w:hAnsi="Book Antiqua"/>
        </w:rPr>
        <w:t xml:space="preserve"> </w:t>
      </w:r>
      <w:r w:rsidRPr="2271C5A0" w:rsidR="23D1FDAE">
        <w:rPr>
          <w:rFonts w:ascii="Book Antiqua" w:hAnsi="Book Antiqua"/>
        </w:rPr>
        <w:t xml:space="preserve">opens a proceeding to </w:t>
      </w:r>
      <w:r w:rsidRPr="2271C5A0" w:rsidR="4E2C8DEB">
        <w:rPr>
          <w:rFonts w:ascii="Book Antiqua" w:hAnsi="Book Antiqua"/>
        </w:rPr>
        <w:t>update and amend</w:t>
      </w:r>
      <w:r w:rsidRPr="2271C5A0">
        <w:rPr>
          <w:rFonts w:ascii="Book Antiqua" w:hAnsi="Book Antiqua"/>
        </w:rPr>
        <w:t xml:space="preserve"> GO</w:t>
      </w:r>
      <w:r w:rsidR="00E11F08">
        <w:rPr>
          <w:rFonts w:ascii="Book Antiqua" w:hAnsi="Book Antiqua"/>
        </w:rPr>
        <w:t> </w:t>
      </w:r>
      <w:r w:rsidRPr="2271C5A0" w:rsidR="4E2C8DEB">
        <w:rPr>
          <w:rFonts w:ascii="Book Antiqua" w:hAnsi="Book Antiqua"/>
        </w:rPr>
        <w:t>131</w:t>
      </w:r>
      <w:r w:rsidR="00E11F08">
        <w:rPr>
          <w:rFonts w:ascii="Book Antiqua" w:hAnsi="Book Antiqua"/>
        </w:rPr>
        <w:noBreakHyphen/>
      </w:r>
      <w:r w:rsidRPr="2271C5A0" w:rsidR="4E2C8DEB">
        <w:rPr>
          <w:rFonts w:ascii="Book Antiqua" w:hAnsi="Book Antiqua"/>
        </w:rPr>
        <w:t>D</w:t>
      </w:r>
      <w:r w:rsidRPr="2271C5A0" w:rsidR="39F1EEA9">
        <w:rPr>
          <w:rFonts w:ascii="Book Antiqua" w:hAnsi="Book Antiqua"/>
        </w:rPr>
        <w:t xml:space="preserve"> pursuant to Senate Bill</w:t>
      </w:r>
      <w:r w:rsidR="00E11F08">
        <w:rPr>
          <w:rFonts w:ascii="Book Antiqua" w:hAnsi="Book Antiqua"/>
        </w:rPr>
        <w:t> </w:t>
      </w:r>
      <w:r w:rsidRPr="2271C5A0" w:rsidR="39F1EEA9">
        <w:rPr>
          <w:rFonts w:ascii="Book Antiqua" w:hAnsi="Book Antiqua"/>
        </w:rPr>
        <w:t xml:space="preserve">529 and </w:t>
      </w:r>
      <w:r w:rsidR="00322CF9">
        <w:rPr>
          <w:rFonts w:ascii="Book Antiqua" w:hAnsi="Book Antiqua"/>
        </w:rPr>
        <w:t xml:space="preserve">to make </w:t>
      </w:r>
      <w:r w:rsidRPr="2271C5A0" w:rsidR="39F1EEA9">
        <w:rPr>
          <w:rFonts w:ascii="Book Antiqua" w:hAnsi="Book Antiqua"/>
        </w:rPr>
        <w:t xml:space="preserve">other </w:t>
      </w:r>
      <w:r w:rsidRPr="2271C5A0" w:rsidR="3CDD5DC6">
        <w:rPr>
          <w:rFonts w:ascii="Book Antiqua" w:hAnsi="Book Antiqua"/>
        </w:rPr>
        <w:t xml:space="preserve">necessary changes.  </w:t>
      </w:r>
    </w:p>
    <w:p w:rsidR="001A4A77" w:rsidP="00C326DD" w:rsidRDefault="001A4A77" w14:paraId="48C8B0F8" w14:textId="37624CBB">
      <w:pPr>
        <w:pStyle w:val="StyleHeading1Before0pt1"/>
      </w:pPr>
      <w:r>
        <w:t>Purpose</w:t>
      </w:r>
    </w:p>
    <w:p w:rsidRPr="00AC5503" w:rsidR="001A4A77" w:rsidP="001A4A77" w:rsidRDefault="008258AD" w14:paraId="1A5A092D" w14:textId="63C5BEF9">
      <w:pPr>
        <w:pStyle w:val="standard"/>
        <w:rPr>
          <w:rFonts w:ascii="Book Antiqua" w:hAnsi="Book Antiqua"/>
        </w:rPr>
      </w:pPr>
      <w:r w:rsidRPr="00AC5503">
        <w:rPr>
          <w:rFonts w:ascii="Book Antiqua" w:hAnsi="Book Antiqua"/>
        </w:rPr>
        <w:t>On January</w:t>
      </w:r>
      <w:r w:rsidR="00E11F08">
        <w:rPr>
          <w:rFonts w:ascii="Book Antiqua" w:hAnsi="Book Antiqua"/>
        </w:rPr>
        <w:t> </w:t>
      </w:r>
      <w:r w:rsidRPr="00AC5503">
        <w:rPr>
          <w:rFonts w:ascii="Book Antiqua" w:hAnsi="Book Antiqua"/>
        </w:rPr>
        <w:t xml:space="preserve">1, 2023, </w:t>
      </w:r>
      <w:r w:rsidRPr="00AC5503" w:rsidR="001A4A77">
        <w:rPr>
          <w:rFonts w:ascii="Book Antiqua" w:hAnsi="Book Antiqua"/>
        </w:rPr>
        <w:t>Senate Bill (SB)</w:t>
      </w:r>
      <w:r w:rsidR="00E11F08">
        <w:rPr>
          <w:rFonts w:ascii="Book Antiqua" w:hAnsi="Book Antiqua"/>
        </w:rPr>
        <w:t> </w:t>
      </w:r>
      <w:r w:rsidRPr="00AC5503" w:rsidR="001A4A77">
        <w:rPr>
          <w:rFonts w:ascii="Book Antiqua" w:hAnsi="Book Antiqua"/>
        </w:rPr>
        <w:t>529 (Hertzberg</w:t>
      </w:r>
      <w:r w:rsidR="00BF6D1D">
        <w:rPr>
          <w:rFonts w:ascii="Book Antiqua" w:hAnsi="Book Antiqua"/>
        </w:rPr>
        <w:t xml:space="preserve">; </w:t>
      </w:r>
      <w:r w:rsidR="005C1917">
        <w:rPr>
          <w:rFonts w:ascii="Book Antiqua" w:hAnsi="Book Antiqua"/>
        </w:rPr>
        <w:t xml:space="preserve">Stats. </w:t>
      </w:r>
      <w:r w:rsidRPr="00AC5503" w:rsidR="001A4A77">
        <w:rPr>
          <w:rFonts w:ascii="Book Antiqua" w:hAnsi="Book Antiqua"/>
        </w:rPr>
        <w:t>2022,</w:t>
      </w:r>
      <w:r w:rsidR="005C1917">
        <w:rPr>
          <w:rFonts w:ascii="Book Antiqua" w:hAnsi="Book Antiqua"/>
        </w:rPr>
        <w:t xml:space="preserve"> Ch.</w:t>
      </w:r>
      <w:r w:rsidR="00553D9E">
        <w:rPr>
          <w:rFonts w:ascii="Book Antiqua" w:hAnsi="Book Antiqua"/>
        </w:rPr>
        <w:t xml:space="preserve"> 357</w:t>
      </w:r>
      <w:r w:rsidR="00BF6D1D">
        <w:rPr>
          <w:rFonts w:ascii="Book Antiqua" w:hAnsi="Book Antiqua"/>
        </w:rPr>
        <w:t>)</w:t>
      </w:r>
      <w:r w:rsidRPr="00AC5503" w:rsidR="001A4A77">
        <w:rPr>
          <w:rFonts w:ascii="Book Antiqua" w:hAnsi="Book Antiqua"/>
        </w:rPr>
        <w:t xml:space="preserve"> became law and</w:t>
      </w:r>
      <w:r w:rsidRPr="00AC5503" w:rsidR="001A4A77">
        <w:rPr>
          <w:rFonts w:ascii="Book Antiqua" w:hAnsi="Book Antiqua"/>
          <w:color w:val="333333"/>
          <w:sz w:val="22"/>
          <w:szCs w:val="22"/>
          <w:shd w:val="clear" w:color="auto" w:fill="FFFFFF"/>
        </w:rPr>
        <w:t xml:space="preserve"> </w:t>
      </w:r>
      <w:r w:rsidRPr="00AC5503" w:rsidR="001A4A77">
        <w:rPr>
          <w:rFonts w:ascii="Book Antiqua" w:hAnsi="Book Antiqua"/>
        </w:rPr>
        <w:t>added P</w:t>
      </w:r>
      <w:r w:rsidRPr="00AC5503" w:rsidR="00AA2539">
        <w:rPr>
          <w:rFonts w:ascii="Book Antiqua" w:hAnsi="Book Antiqua"/>
        </w:rPr>
        <w:t xml:space="preserve">ublic Utilities </w:t>
      </w:r>
      <w:r w:rsidR="00AE2BFD">
        <w:rPr>
          <w:rFonts w:ascii="Book Antiqua" w:hAnsi="Book Antiqua"/>
        </w:rPr>
        <w:t xml:space="preserve">(Pub. Util.) </w:t>
      </w:r>
      <w:r w:rsidRPr="00AC5503" w:rsidR="00AA2539">
        <w:rPr>
          <w:rFonts w:ascii="Book Antiqua" w:hAnsi="Book Antiqua"/>
        </w:rPr>
        <w:t xml:space="preserve">Code </w:t>
      </w:r>
      <w:r w:rsidRPr="00AC5503" w:rsidR="001A4A77">
        <w:rPr>
          <w:rFonts w:ascii="Book Antiqua" w:hAnsi="Book Antiqua"/>
        </w:rPr>
        <w:t>Section</w:t>
      </w:r>
      <w:r w:rsidR="00AE2BFD">
        <w:rPr>
          <w:rFonts w:ascii="Book Antiqua" w:hAnsi="Book Antiqua"/>
        </w:rPr>
        <w:t> </w:t>
      </w:r>
      <w:r w:rsidRPr="00AC5503" w:rsidR="001A4A77">
        <w:rPr>
          <w:rFonts w:ascii="Book Antiqua" w:hAnsi="Book Antiqua"/>
        </w:rPr>
        <w:t>564, which reads as follows:</w:t>
      </w:r>
    </w:p>
    <w:p w:rsidR="00710282" w:rsidP="00292636" w:rsidRDefault="001A4A77" w14:paraId="2A1DF892" w14:textId="77777777">
      <w:pPr>
        <w:pStyle w:val="BlockQuote"/>
        <w:ind w:right="630"/>
        <w:sectPr w:rsidR="00710282" w:rsidSect="00C326DD">
          <w:footerReference w:type="default" r:id="rId8"/>
          <w:headerReference w:type="first" r:id="rId9"/>
          <w:pgSz w:w="12240" w:h="15840" w:code="1"/>
          <w:pgMar w:top="1728" w:right="1440" w:bottom="1440" w:left="1440" w:header="720" w:footer="720" w:gutter="0"/>
          <w:cols w:space="720"/>
          <w:docGrid w:linePitch="354"/>
        </w:sectPr>
      </w:pPr>
      <w:r w:rsidRPr="00AC5503">
        <w:t xml:space="preserve">By January 1, 2024, the </w:t>
      </w:r>
      <w:r w:rsidR="00AE2BFD">
        <w:t>C</w:t>
      </w:r>
      <w:r w:rsidRPr="00AC5503">
        <w:t>ommission shall update General Order</w:t>
      </w:r>
      <w:r w:rsidR="00AE2BFD">
        <w:t> </w:t>
      </w:r>
      <w:r w:rsidRPr="00AC5503">
        <w:t>131</w:t>
      </w:r>
      <w:r w:rsidR="00AE2BFD">
        <w:noBreakHyphen/>
      </w:r>
      <w:r w:rsidRPr="00AC5503">
        <w:t>D to authorize each public utility electrical corporation to use the permit-to-construct process or claim an exemption under Section</w:t>
      </w:r>
      <w:r w:rsidR="00AE2BFD">
        <w:t> </w:t>
      </w:r>
      <w:r w:rsidRPr="00AC5503">
        <w:t xml:space="preserve">III(B) of that general order to seek approval to construct an extension, expansion, upgrade, or other modification to its existing electrical transmission facilities, including electric transmission lines and substations within existing </w:t>
      </w:r>
      <w:r w:rsidRPr="00C326DD">
        <w:rPr>
          <w:szCs w:val="26"/>
        </w:rPr>
        <w:t>transmission easements, rights of</w:t>
      </w:r>
      <w:r w:rsidRPr="00AC5503">
        <w:t xml:space="preserve"> </w:t>
      </w:r>
    </w:p>
    <w:p w:rsidRPr="00AC5503" w:rsidR="001A4A77" w:rsidP="00394A65" w:rsidRDefault="001A4A77" w14:paraId="020A6354" w14:textId="33DF33F8">
      <w:pPr>
        <w:pStyle w:val="BlockQuote"/>
        <w:ind w:right="630"/>
      </w:pPr>
      <w:r w:rsidRPr="00AC5503">
        <w:lastRenderedPageBreak/>
        <w:t>way, or franchise agreements, irrespective of whether the electrical transmission facility is above a 200-kilovolt voltage level.</w:t>
      </w:r>
      <w:r w:rsidR="00710282">
        <w:t xml:space="preserve"> </w:t>
      </w:r>
      <w:r w:rsidRPr="00AC5503">
        <w:t>SB 529 also amended Section (b) of P</w:t>
      </w:r>
      <w:r w:rsidR="00AE2BFD">
        <w:t>ub. Util.</w:t>
      </w:r>
      <w:r w:rsidRPr="00AC5503">
        <w:t xml:space="preserve"> Code Section</w:t>
      </w:r>
      <w:r w:rsidR="00AE2BFD">
        <w:t> </w:t>
      </w:r>
      <w:r w:rsidRPr="00AC5503">
        <w:t>1001 to read</w:t>
      </w:r>
      <w:r w:rsidR="007365E9">
        <w:t xml:space="preserve"> as follows</w:t>
      </w:r>
      <w:r w:rsidRPr="00AC5503">
        <w:t xml:space="preserve">: </w:t>
      </w:r>
    </w:p>
    <w:p w:rsidRPr="00AC5503" w:rsidR="001A4A77" w:rsidP="00AE2BFD" w:rsidRDefault="001A4A77" w14:paraId="639149D5" w14:textId="77777777">
      <w:pPr>
        <w:pStyle w:val="BlockQuote"/>
        <w:spacing w:after="0"/>
        <w:rPr>
          <w:i/>
        </w:rPr>
      </w:pPr>
      <w:r w:rsidRPr="00AC5503">
        <w:t>The extension, expansion, upgrade, or other modification of an existing electrical transmission facility, including transmission lines and substations, does not require a certificate that the present or future public convenience and necessity requires or will require its construction.</w:t>
      </w:r>
    </w:p>
    <w:p w:rsidRPr="001A4A77" w:rsidR="001A4A77" w:rsidP="00394A65" w:rsidRDefault="00AC5503" w14:paraId="512679D3" w14:textId="7CAB6363">
      <w:pPr>
        <w:pStyle w:val="standard"/>
        <w:spacing w:before="240"/>
      </w:pPr>
      <w:r w:rsidRPr="150260E9">
        <w:rPr>
          <w:rFonts w:ascii="Book Antiqua" w:hAnsi="Book Antiqua"/>
        </w:rPr>
        <w:t xml:space="preserve">The </w:t>
      </w:r>
      <w:r w:rsidRPr="150260E9" w:rsidR="00E761E5">
        <w:rPr>
          <w:rFonts w:ascii="Book Antiqua" w:hAnsi="Book Antiqua"/>
        </w:rPr>
        <w:t>California Public Utilit</w:t>
      </w:r>
      <w:r w:rsidRPr="150260E9" w:rsidR="60BF27DA">
        <w:rPr>
          <w:rFonts w:ascii="Book Antiqua" w:hAnsi="Book Antiqua"/>
        </w:rPr>
        <w:t>ies</w:t>
      </w:r>
      <w:r w:rsidRPr="150260E9" w:rsidR="00E761E5">
        <w:rPr>
          <w:rFonts w:ascii="Book Antiqua" w:hAnsi="Book Antiqua"/>
        </w:rPr>
        <w:t xml:space="preserve"> Commission (</w:t>
      </w:r>
      <w:r w:rsidRPr="150260E9" w:rsidR="001A4A77">
        <w:rPr>
          <w:rFonts w:ascii="Book Antiqua" w:hAnsi="Book Antiqua"/>
        </w:rPr>
        <w:t>Commission</w:t>
      </w:r>
      <w:r w:rsidRPr="150260E9" w:rsidR="00E761E5">
        <w:rPr>
          <w:rFonts w:ascii="Book Antiqua" w:hAnsi="Book Antiqua"/>
        </w:rPr>
        <w:t>)</w:t>
      </w:r>
      <w:r w:rsidRPr="150260E9" w:rsidR="001A4A77">
        <w:rPr>
          <w:rFonts w:ascii="Book Antiqua" w:hAnsi="Book Antiqua"/>
        </w:rPr>
        <w:t xml:space="preserve"> is opening this </w:t>
      </w:r>
      <w:r w:rsidR="00AE2BFD">
        <w:rPr>
          <w:rFonts w:ascii="Book Antiqua" w:hAnsi="Book Antiqua"/>
        </w:rPr>
        <w:t>r</w:t>
      </w:r>
      <w:r w:rsidRPr="150260E9" w:rsidR="001A4A77">
        <w:rPr>
          <w:rFonts w:ascii="Book Antiqua" w:hAnsi="Book Antiqua"/>
        </w:rPr>
        <w:t xml:space="preserve">ulemaking to update and clarify </w:t>
      </w:r>
      <w:r w:rsidRPr="150260E9" w:rsidR="00293733">
        <w:rPr>
          <w:rFonts w:ascii="Book Antiqua" w:hAnsi="Book Antiqua"/>
        </w:rPr>
        <w:t>General Order (</w:t>
      </w:r>
      <w:r w:rsidRPr="150260E9" w:rsidR="001A4A77">
        <w:rPr>
          <w:rFonts w:ascii="Book Antiqua" w:hAnsi="Book Antiqua"/>
        </w:rPr>
        <w:t>GO</w:t>
      </w:r>
      <w:r w:rsidRPr="150260E9" w:rsidR="00293733">
        <w:rPr>
          <w:rFonts w:ascii="Book Antiqua" w:hAnsi="Book Antiqua"/>
        </w:rPr>
        <w:t>)</w:t>
      </w:r>
      <w:r w:rsidR="00AE2BFD">
        <w:rPr>
          <w:rFonts w:ascii="Book Antiqua" w:hAnsi="Book Antiqua"/>
        </w:rPr>
        <w:t xml:space="preserve"> </w:t>
      </w:r>
      <w:r w:rsidRPr="150260E9" w:rsidR="001A4A77">
        <w:rPr>
          <w:rFonts w:ascii="Book Antiqua" w:hAnsi="Book Antiqua"/>
        </w:rPr>
        <w:t>131</w:t>
      </w:r>
      <w:r w:rsidR="00FD5F20">
        <w:rPr>
          <w:rFonts w:ascii="Book Antiqua" w:hAnsi="Book Antiqua"/>
        </w:rPr>
        <w:t>-D</w:t>
      </w:r>
      <w:r w:rsidRPr="150260E9" w:rsidR="003B7B76">
        <w:rPr>
          <w:rFonts w:ascii="Book Antiqua" w:hAnsi="Book Antiqua"/>
        </w:rPr>
        <w:t xml:space="preserve"> pursuant to SB</w:t>
      </w:r>
      <w:r w:rsidR="00AE2BFD">
        <w:rPr>
          <w:rFonts w:ascii="Book Antiqua" w:hAnsi="Book Antiqua"/>
        </w:rPr>
        <w:t> </w:t>
      </w:r>
      <w:r w:rsidRPr="150260E9" w:rsidR="003B7B76">
        <w:rPr>
          <w:rFonts w:ascii="Book Antiqua" w:hAnsi="Book Antiqua"/>
        </w:rPr>
        <w:t>529 and to make other necessary changes</w:t>
      </w:r>
      <w:r w:rsidRPr="150260E9" w:rsidR="001A4A77">
        <w:rPr>
          <w:rFonts w:ascii="Book Antiqua" w:hAnsi="Book Antiqua"/>
        </w:rPr>
        <w:t xml:space="preserve">.  </w:t>
      </w:r>
      <w:r w:rsidRPr="150260E9" w:rsidR="003B7B76">
        <w:rPr>
          <w:rFonts w:ascii="Book Antiqua" w:hAnsi="Book Antiqua"/>
        </w:rPr>
        <w:t xml:space="preserve">Our goal is to </w:t>
      </w:r>
      <w:r w:rsidRPr="150260E9" w:rsidR="001A4A77">
        <w:rPr>
          <w:rFonts w:ascii="Book Antiqua" w:hAnsi="Book Antiqua"/>
        </w:rPr>
        <w:t>adopt</w:t>
      </w:r>
      <w:r w:rsidRPr="150260E9" w:rsidR="003B7B76">
        <w:rPr>
          <w:rFonts w:ascii="Book Antiqua" w:hAnsi="Book Antiqua"/>
        </w:rPr>
        <w:t xml:space="preserve"> </w:t>
      </w:r>
      <w:r w:rsidRPr="150260E9" w:rsidR="001A4A77">
        <w:rPr>
          <w:rFonts w:ascii="Book Antiqua" w:hAnsi="Book Antiqua"/>
        </w:rPr>
        <w:t>a new “E” version of GO</w:t>
      </w:r>
      <w:r w:rsidR="00AE2BFD">
        <w:rPr>
          <w:rFonts w:ascii="Book Antiqua" w:hAnsi="Book Antiqua"/>
        </w:rPr>
        <w:t> </w:t>
      </w:r>
      <w:r w:rsidRPr="150260E9" w:rsidR="001A4A77">
        <w:rPr>
          <w:rFonts w:ascii="Book Antiqua" w:hAnsi="Book Antiqua"/>
        </w:rPr>
        <w:t>131 that will better address the</w:t>
      </w:r>
      <w:r w:rsidRPr="150260E9" w:rsidR="002454A2">
        <w:rPr>
          <w:rFonts w:ascii="Book Antiqua" w:hAnsi="Book Antiqua"/>
        </w:rPr>
        <w:t xml:space="preserve"> </w:t>
      </w:r>
      <w:r w:rsidRPr="150260E9" w:rsidR="001A4A77">
        <w:rPr>
          <w:rFonts w:ascii="Book Antiqua" w:hAnsi="Book Antiqua"/>
        </w:rPr>
        <w:t xml:space="preserve">needs of the State of California and its residents, be consistent with </w:t>
      </w:r>
      <w:r w:rsidRPr="150260E9" w:rsidR="003B7B76">
        <w:rPr>
          <w:rFonts w:ascii="Book Antiqua" w:hAnsi="Book Antiqua"/>
        </w:rPr>
        <w:t>SB</w:t>
      </w:r>
      <w:r w:rsidR="00AE2BFD">
        <w:rPr>
          <w:rFonts w:ascii="Book Antiqua" w:hAnsi="Book Antiqua"/>
        </w:rPr>
        <w:t> </w:t>
      </w:r>
      <w:r w:rsidRPr="150260E9" w:rsidR="003B7B76">
        <w:rPr>
          <w:rFonts w:ascii="Book Antiqua" w:hAnsi="Book Antiqua"/>
        </w:rPr>
        <w:t>529</w:t>
      </w:r>
      <w:r w:rsidRPr="150260E9" w:rsidR="005C7234">
        <w:rPr>
          <w:rFonts w:ascii="Book Antiqua" w:hAnsi="Book Antiqua"/>
        </w:rPr>
        <w:t>,</w:t>
      </w:r>
      <w:r w:rsidRPr="150260E9" w:rsidR="003B7B76">
        <w:rPr>
          <w:rFonts w:ascii="Book Antiqua" w:hAnsi="Book Antiqua"/>
        </w:rPr>
        <w:t xml:space="preserve"> other </w:t>
      </w:r>
      <w:r w:rsidR="007365E9">
        <w:rPr>
          <w:rFonts w:ascii="Book Antiqua" w:hAnsi="Book Antiqua"/>
        </w:rPr>
        <w:t xml:space="preserve">applicable </w:t>
      </w:r>
      <w:r w:rsidRPr="150260E9" w:rsidR="001A4A77">
        <w:rPr>
          <w:rFonts w:ascii="Book Antiqua" w:hAnsi="Book Antiqua"/>
        </w:rPr>
        <w:t>laws</w:t>
      </w:r>
      <w:r w:rsidR="007365E9">
        <w:rPr>
          <w:rFonts w:ascii="Book Antiqua" w:hAnsi="Book Antiqua"/>
        </w:rPr>
        <w:t>,</w:t>
      </w:r>
      <w:r w:rsidRPr="150260E9" w:rsidR="001A4A77">
        <w:rPr>
          <w:rFonts w:ascii="Book Antiqua" w:hAnsi="Book Antiqua"/>
        </w:rPr>
        <w:t xml:space="preserve"> policies</w:t>
      </w:r>
      <w:r w:rsidRPr="150260E9" w:rsidR="002454A2">
        <w:rPr>
          <w:rFonts w:ascii="Book Antiqua" w:hAnsi="Book Antiqua"/>
        </w:rPr>
        <w:t xml:space="preserve"> </w:t>
      </w:r>
      <w:r w:rsidRPr="150260E9" w:rsidR="005C7234">
        <w:rPr>
          <w:rFonts w:ascii="Book Antiqua" w:hAnsi="Book Antiqua"/>
        </w:rPr>
        <w:t xml:space="preserve">and </w:t>
      </w:r>
      <w:r w:rsidRPr="150260E9" w:rsidR="004E0F6A">
        <w:rPr>
          <w:rFonts w:ascii="Book Antiqua" w:hAnsi="Book Antiqua"/>
        </w:rPr>
        <w:t>Federal Energy Regulatory Commission (</w:t>
      </w:r>
      <w:r w:rsidRPr="150260E9" w:rsidR="001A4A77">
        <w:rPr>
          <w:rFonts w:ascii="Book Antiqua" w:hAnsi="Book Antiqua"/>
        </w:rPr>
        <w:t>FERC</w:t>
      </w:r>
      <w:r w:rsidRPr="150260E9" w:rsidR="004E0F6A">
        <w:rPr>
          <w:rFonts w:ascii="Book Antiqua" w:hAnsi="Book Antiqua"/>
        </w:rPr>
        <w:t>)</w:t>
      </w:r>
      <w:r w:rsidRPr="150260E9" w:rsidR="001A4A77">
        <w:rPr>
          <w:rFonts w:ascii="Book Antiqua" w:hAnsi="Book Antiqua"/>
        </w:rPr>
        <w:t xml:space="preserve"> orders, and provide a clearer, more efficient and consistent process.</w:t>
      </w:r>
    </w:p>
    <w:p w:rsidR="00BB51C6" w:rsidP="00C326DD" w:rsidRDefault="00413448" w14:paraId="542884D6" w14:textId="547C8A0B">
      <w:pPr>
        <w:pStyle w:val="StyleHeading1Before0pt1"/>
      </w:pPr>
      <w:r>
        <w:t>Background</w:t>
      </w:r>
    </w:p>
    <w:p w:rsidRPr="00AC5503" w:rsidR="00ED79A3" w:rsidP="00AE2BFD" w:rsidRDefault="00E44403" w14:paraId="317CE5E0" w14:textId="14D97A74">
      <w:pPr>
        <w:pStyle w:val="standard"/>
        <w:rPr>
          <w:rFonts w:ascii="Book Antiqua" w:hAnsi="Book Antiqua"/>
        </w:rPr>
      </w:pPr>
      <w:r w:rsidRPr="150260E9">
        <w:rPr>
          <w:rFonts w:ascii="Book Antiqua" w:hAnsi="Book Antiqua"/>
        </w:rPr>
        <w:t>GO</w:t>
      </w:r>
      <w:r w:rsidR="00AE2BFD">
        <w:rPr>
          <w:rFonts w:ascii="Book Antiqua" w:hAnsi="Book Antiqua"/>
        </w:rPr>
        <w:t> </w:t>
      </w:r>
      <w:r w:rsidRPr="150260E9">
        <w:rPr>
          <w:rFonts w:ascii="Book Antiqua" w:hAnsi="Book Antiqua"/>
        </w:rPr>
        <w:t>131</w:t>
      </w:r>
      <w:r w:rsidRPr="150260E9" w:rsidR="00877A13">
        <w:rPr>
          <w:rFonts w:ascii="Book Antiqua" w:hAnsi="Book Antiqua"/>
        </w:rPr>
        <w:t>-D</w:t>
      </w:r>
      <w:r w:rsidRPr="150260E9">
        <w:rPr>
          <w:rFonts w:ascii="Book Antiqua" w:hAnsi="Book Antiqua"/>
        </w:rPr>
        <w:t xml:space="preserve"> sets forth the Commission’s process for addressing the siting of electric transmission lines, substations, and related facilities.  GO</w:t>
      </w:r>
      <w:r w:rsidR="00AE2BFD">
        <w:rPr>
          <w:rFonts w:ascii="Book Antiqua" w:hAnsi="Book Antiqua"/>
        </w:rPr>
        <w:t> </w:t>
      </w:r>
      <w:r w:rsidRPr="150260E9">
        <w:rPr>
          <w:rFonts w:ascii="Book Antiqua" w:hAnsi="Book Antiqua"/>
        </w:rPr>
        <w:t>131</w:t>
      </w:r>
      <w:r w:rsidRPr="150260E9" w:rsidR="00877A13">
        <w:rPr>
          <w:rFonts w:ascii="Book Antiqua" w:hAnsi="Book Antiqua"/>
        </w:rPr>
        <w:t>-D</w:t>
      </w:r>
      <w:r w:rsidRPr="150260E9">
        <w:rPr>
          <w:rFonts w:ascii="Book Antiqua" w:hAnsi="Book Antiqua"/>
        </w:rPr>
        <w:t xml:space="preserve"> is based on </w:t>
      </w:r>
      <w:r w:rsidRPr="150260E9" w:rsidR="00961998">
        <w:rPr>
          <w:rFonts w:ascii="Book Antiqua" w:hAnsi="Book Antiqua"/>
        </w:rPr>
        <w:t>P</w:t>
      </w:r>
      <w:r w:rsidRPr="150260E9">
        <w:rPr>
          <w:rFonts w:ascii="Book Antiqua" w:hAnsi="Book Antiqua"/>
        </w:rPr>
        <w:t>ub</w:t>
      </w:r>
      <w:r w:rsidR="00AE2BFD">
        <w:rPr>
          <w:rFonts w:ascii="Book Antiqua" w:hAnsi="Book Antiqua"/>
        </w:rPr>
        <w:t xml:space="preserve">. </w:t>
      </w:r>
      <w:r w:rsidRPr="150260E9" w:rsidR="00961998">
        <w:rPr>
          <w:rFonts w:ascii="Book Antiqua" w:hAnsi="Book Antiqua"/>
        </w:rPr>
        <w:t>U</w:t>
      </w:r>
      <w:r w:rsidRPr="150260E9">
        <w:rPr>
          <w:rFonts w:ascii="Book Antiqua" w:hAnsi="Book Antiqua"/>
        </w:rPr>
        <w:t>til</w:t>
      </w:r>
      <w:r w:rsidR="00AE2BFD">
        <w:rPr>
          <w:rFonts w:ascii="Book Antiqua" w:hAnsi="Book Antiqua"/>
        </w:rPr>
        <w:t>.</w:t>
      </w:r>
      <w:r w:rsidRPr="150260E9" w:rsidR="00961998">
        <w:rPr>
          <w:rFonts w:ascii="Book Antiqua" w:hAnsi="Book Antiqua"/>
        </w:rPr>
        <w:t xml:space="preserve"> Code </w:t>
      </w:r>
      <w:r w:rsidR="00AE2BFD">
        <w:rPr>
          <w:rFonts w:ascii="Book Antiqua" w:hAnsi="Book Antiqua"/>
        </w:rPr>
        <w:t>Section </w:t>
      </w:r>
      <w:r w:rsidRPr="150260E9" w:rsidR="00961998">
        <w:rPr>
          <w:rFonts w:ascii="Book Antiqua" w:hAnsi="Book Antiqua"/>
        </w:rPr>
        <w:t xml:space="preserve">1001, </w:t>
      </w:r>
      <w:r w:rsidRPr="150260E9">
        <w:rPr>
          <w:rFonts w:ascii="Book Antiqua" w:hAnsi="Book Antiqua"/>
        </w:rPr>
        <w:t>which generally requires electric utilities, prior to</w:t>
      </w:r>
      <w:r w:rsidRPr="150260E9" w:rsidR="00961998">
        <w:rPr>
          <w:rFonts w:ascii="Book Antiqua" w:hAnsi="Book Antiqua"/>
        </w:rPr>
        <w:t xml:space="preserve"> constructing or expanding transmission </w:t>
      </w:r>
      <w:r w:rsidRPr="150260E9">
        <w:rPr>
          <w:rFonts w:ascii="Book Antiqua" w:hAnsi="Book Antiqua"/>
        </w:rPr>
        <w:t>facilities, to</w:t>
      </w:r>
      <w:r w:rsidRPr="150260E9" w:rsidR="00961998">
        <w:rPr>
          <w:rFonts w:ascii="Book Antiqua" w:hAnsi="Book Antiqua"/>
        </w:rPr>
        <w:t xml:space="preserve"> obtain from the Commission a certificate that</w:t>
      </w:r>
      <w:r w:rsidRPr="150260E9" w:rsidR="00536DC9">
        <w:rPr>
          <w:rFonts w:ascii="Book Antiqua" w:hAnsi="Book Antiqua"/>
        </w:rPr>
        <w:t xml:space="preserve"> the</w:t>
      </w:r>
      <w:r w:rsidRPr="150260E9" w:rsidR="00961998">
        <w:rPr>
          <w:rFonts w:ascii="Book Antiqua" w:hAnsi="Book Antiqua"/>
        </w:rPr>
        <w:t xml:space="preserve"> </w:t>
      </w:r>
      <w:r w:rsidRPr="150260E9" w:rsidR="00536DC9">
        <w:rPr>
          <w:rFonts w:ascii="Book Antiqua" w:hAnsi="Book Antiqua"/>
        </w:rPr>
        <w:t>“</w:t>
      </w:r>
      <w:r w:rsidRPr="150260E9" w:rsidR="00961998">
        <w:rPr>
          <w:rFonts w:ascii="Book Antiqua" w:hAnsi="Book Antiqua"/>
        </w:rPr>
        <w:t>public convenience and necessity</w:t>
      </w:r>
      <w:r w:rsidRPr="150260E9" w:rsidR="00536DC9">
        <w:rPr>
          <w:rFonts w:ascii="Book Antiqua" w:hAnsi="Book Antiqua"/>
        </w:rPr>
        <w:t>”</w:t>
      </w:r>
      <w:r w:rsidRPr="150260E9" w:rsidR="00961998">
        <w:rPr>
          <w:rFonts w:ascii="Book Antiqua" w:hAnsi="Book Antiqua"/>
        </w:rPr>
        <w:t xml:space="preserve"> require</w:t>
      </w:r>
      <w:r w:rsidR="007365E9">
        <w:rPr>
          <w:rFonts w:ascii="Book Antiqua" w:hAnsi="Book Antiqua"/>
        </w:rPr>
        <w:t>s</w:t>
      </w:r>
      <w:r w:rsidRPr="150260E9" w:rsidR="00961998">
        <w:rPr>
          <w:rFonts w:ascii="Book Antiqua" w:hAnsi="Book Antiqua"/>
        </w:rPr>
        <w:t xml:space="preserve"> such construction.  </w:t>
      </w:r>
    </w:p>
    <w:p w:rsidRPr="00AC5503" w:rsidR="00D65080" w:rsidP="00354761" w:rsidRDefault="00877A13" w14:paraId="3AD23D3F" w14:textId="7B7F6A64">
      <w:pPr>
        <w:pStyle w:val="standard"/>
        <w:rPr>
          <w:rFonts w:ascii="Book Antiqua" w:hAnsi="Book Antiqua"/>
          <w:szCs w:val="26"/>
        </w:rPr>
      </w:pPr>
      <w:r>
        <w:rPr>
          <w:rFonts w:ascii="Book Antiqua" w:hAnsi="Book Antiqua"/>
          <w:szCs w:val="26"/>
        </w:rPr>
        <w:t xml:space="preserve">The first iteration of </w:t>
      </w:r>
      <w:r w:rsidRPr="00AC5503" w:rsidR="00536DC9">
        <w:rPr>
          <w:rFonts w:ascii="Book Antiqua" w:hAnsi="Book Antiqua"/>
          <w:szCs w:val="26"/>
        </w:rPr>
        <w:t>GO</w:t>
      </w:r>
      <w:r w:rsidR="00AE2BFD">
        <w:rPr>
          <w:rFonts w:ascii="Book Antiqua" w:hAnsi="Book Antiqua"/>
          <w:szCs w:val="26"/>
        </w:rPr>
        <w:t> </w:t>
      </w:r>
      <w:r w:rsidRPr="00AC5503" w:rsidR="00536DC9">
        <w:rPr>
          <w:rFonts w:ascii="Book Antiqua" w:hAnsi="Book Antiqua"/>
          <w:szCs w:val="26"/>
        </w:rPr>
        <w:t>131 was adopted by the Commission</w:t>
      </w:r>
      <w:r w:rsidRPr="00AC5503" w:rsidR="00ED79A3">
        <w:rPr>
          <w:rFonts w:ascii="Book Antiqua" w:hAnsi="Book Antiqua"/>
          <w:szCs w:val="26"/>
        </w:rPr>
        <w:t xml:space="preserve"> in 1970 in D</w:t>
      </w:r>
      <w:r w:rsidR="001E16FC">
        <w:rPr>
          <w:rFonts w:ascii="Book Antiqua" w:hAnsi="Book Antiqua"/>
          <w:szCs w:val="26"/>
        </w:rPr>
        <w:t>ecision (D</w:t>
      </w:r>
      <w:r w:rsidRPr="00AC5503" w:rsidR="00ED79A3">
        <w:rPr>
          <w:rFonts w:ascii="Book Antiqua" w:hAnsi="Book Antiqua"/>
          <w:szCs w:val="26"/>
        </w:rPr>
        <w:t>.</w:t>
      </w:r>
      <w:r w:rsidR="001E16FC">
        <w:rPr>
          <w:rFonts w:ascii="Book Antiqua" w:hAnsi="Book Antiqua"/>
          <w:szCs w:val="26"/>
        </w:rPr>
        <w:t>)</w:t>
      </w:r>
      <w:r w:rsidR="00AE2BFD">
        <w:rPr>
          <w:rFonts w:ascii="Book Antiqua" w:hAnsi="Book Antiqua"/>
          <w:szCs w:val="26"/>
        </w:rPr>
        <w:t> </w:t>
      </w:r>
      <w:r w:rsidRPr="00AC5503" w:rsidR="00ED79A3">
        <w:rPr>
          <w:rFonts w:ascii="Book Antiqua" w:hAnsi="Book Antiqua"/>
          <w:szCs w:val="26"/>
        </w:rPr>
        <w:t xml:space="preserve">77301.  The current version, </w:t>
      </w:r>
      <w:r w:rsidRPr="00AC5503" w:rsidR="008939C9">
        <w:rPr>
          <w:rFonts w:ascii="Book Antiqua" w:hAnsi="Book Antiqua"/>
          <w:szCs w:val="26"/>
        </w:rPr>
        <w:t>GO</w:t>
      </w:r>
      <w:r w:rsidR="00AE2BFD">
        <w:rPr>
          <w:rFonts w:ascii="Book Antiqua" w:hAnsi="Book Antiqua"/>
          <w:szCs w:val="26"/>
        </w:rPr>
        <w:t> </w:t>
      </w:r>
      <w:r w:rsidRPr="00AC5503" w:rsidR="008939C9">
        <w:rPr>
          <w:rFonts w:ascii="Book Antiqua" w:hAnsi="Book Antiqua"/>
          <w:szCs w:val="26"/>
        </w:rPr>
        <w:t>131-D</w:t>
      </w:r>
      <w:r w:rsidRPr="00AC5503" w:rsidR="00ED79A3">
        <w:rPr>
          <w:rFonts w:ascii="Book Antiqua" w:hAnsi="Book Antiqua"/>
          <w:szCs w:val="26"/>
        </w:rPr>
        <w:t>,</w:t>
      </w:r>
      <w:r w:rsidRPr="00AC5503" w:rsidR="008939C9">
        <w:rPr>
          <w:rFonts w:ascii="Book Antiqua" w:hAnsi="Book Antiqua"/>
          <w:szCs w:val="26"/>
        </w:rPr>
        <w:t xml:space="preserve"> was adopted on June</w:t>
      </w:r>
      <w:r w:rsidR="00AE2BFD">
        <w:rPr>
          <w:rFonts w:ascii="Book Antiqua" w:hAnsi="Book Antiqua"/>
          <w:szCs w:val="26"/>
        </w:rPr>
        <w:t> </w:t>
      </w:r>
      <w:r w:rsidRPr="00AC5503" w:rsidR="008939C9">
        <w:rPr>
          <w:rFonts w:ascii="Book Antiqua" w:hAnsi="Book Antiqua"/>
          <w:szCs w:val="26"/>
        </w:rPr>
        <w:t>8, 1994</w:t>
      </w:r>
      <w:r w:rsidR="00AE2BFD">
        <w:rPr>
          <w:rFonts w:ascii="Book Antiqua" w:hAnsi="Book Antiqua"/>
          <w:szCs w:val="26"/>
        </w:rPr>
        <w:t>,</w:t>
      </w:r>
      <w:r w:rsidRPr="00AC5503" w:rsidR="00A17FA6">
        <w:rPr>
          <w:rFonts w:ascii="Book Antiqua" w:hAnsi="Book Antiqua"/>
          <w:szCs w:val="26"/>
        </w:rPr>
        <w:t xml:space="preserve"> </w:t>
      </w:r>
      <w:r w:rsidRPr="00AC5503" w:rsidR="001615BB">
        <w:rPr>
          <w:rFonts w:ascii="Book Antiqua" w:hAnsi="Book Antiqua"/>
          <w:szCs w:val="26"/>
        </w:rPr>
        <w:t>in D.94</w:t>
      </w:r>
      <w:r w:rsidR="00AE2BFD">
        <w:rPr>
          <w:rFonts w:ascii="Book Antiqua" w:hAnsi="Book Antiqua"/>
          <w:szCs w:val="26"/>
        </w:rPr>
        <w:noBreakHyphen/>
      </w:r>
      <w:r w:rsidRPr="00AC5503" w:rsidR="001615BB">
        <w:rPr>
          <w:rFonts w:ascii="Book Antiqua" w:hAnsi="Book Antiqua"/>
          <w:szCs w:val="26"/>
        </w:rPr>
        <w:t>06</w:t>
      </w:r>
      <w:r w:rsidR="00AE2BFD">
        <w:rPr>
          <w:rFonts w:ascii="Book Antiqua" w:hAnsi="Book Antiqua"/>
          <w:szCs w:val="26"/>
        </w:rPr>
        <w:t>-</w:t>
      </w:r>
      <w:r w:rsidRPr="00AC5503" w:rsidR="001615BB">
        <w:rPr>
          <w:rFonts w:ascii="Book Antiqua" w:hAnsi="Book Antiqua"/>
          <w:szCs w:val="26"/>
        </w:rPr>
        <w:t>014</w:t>
      </w:r>
      <w:r w:rsidR="00A2669D">
        <w:rPr>
          <w:rFonts w:ascii="Book Antiqua" w:hAnsi="Book Antiqua"/>
          <w:szCs w:val="26"/>
        </w:rPr>
        <w:t xml:space="preserve"> and </w:t>
      </w:r>
      <w:r w:rsidRPr="00AC5503" w:rsidR="002D529E">
        <w:rPr>
          <w:rFonts w:ascii="Book Antiqua" w:hAnsi="Book Antiqua"/>
          <w:szCs w:val="26"/>
        </w:rPr>
        <w:t xml:space="preserve">modified </w:t>
      </w:r>
      <w:r w:rsidR="00A2669D">
        <w:rPr>
          <w:rFonts w:ascii="Book Antiqua" w:hAnsi="Book Antiqua"/>
          <w:szCs w:val="26"/>
        </w:rPr>
        <w:t>in</w:t>
      </w:r>
      <w:r w:rsidRPr="00AC5503" w:rsidR="001615BB">
        <w:rPr>
          <w:rFonts w:ascii="Book Antiqua" w:hAnsi="Book Antiqua"/>
          <w:szCs w:val="26"/>
        </w:rPr>
        <w:t xml:space="preserve"> D.95</w:t>
      </w:r>
      <w:r w:rsidR="00AE2BFD">
        <w:rPr>
          <w:rFonts w:ascii="Book Antiqua" w:hAnsi="Book Antiqua"/>
          <w:szCs w:val="26"/>
        </w:rPr>
        <w:noBreakHyphen/>
      </w:r>
      <w:r w:rsidRPr="00AC5503" w:rsidR="001615BB">
        <w:rPr>
          <w:rFonts w:ascii="Book Antiqua" w:hAnsi="Book Antiqua"/>
          <w:szCs w:val="26"/>
        </w:rPr>
        <w:t>08</w:t>
      </w:r>
      <w:r w:rsidR="00AE2BFD">
        <w:rPr>
          <w:rFonts w:ascii="Book Antiqua" w:hAnsi="Book Antiqua"/>
          <w:szCs w:val="26"/>
        </w:rPr>
        <w:noBreakHyphen/>
      </w:r>
      <w:r w:rsidRPr="00AC5503" w:rsidR="001615BB">
        <w:rPr>
          <w:rFonts w:ascii="Book Antiqua" w:hAnsi="Book Antiqua"/>
          <w:szCs w:val="26"/>
        </w:rPr>
        <w:t>038</w:t>
      </w:r>
      <w:r w:rsidRPr="00AC5503" w:rsidR="00AE575F">
        <w:rPr>
          <w:rFonts w:ascii="Book Antiqua" w:hAnsi="Book Antiqua"/>
          <w:szCs w:val="26"/>
        </w:rPr>
        <w:t xml:space="preserve">.  </w:t>
      </w:r>
      <w:r w:rsidRPr="00AC5503" w:rsidR="00D65080">
        <w:rPr>
          <w:rFonts w:ascii="Book Antiqua" w:hAnsi="Book Antiqua"/>
          <w:szCs w:val="26"/>
        </w:rPr>
        <w:t xml:space="preserve">The primary purpose behind </w:t>
      </w:r>
      <w:r w:rsidRPr="00AC5503" w:rsidR="00D65080">
        <w:rPr>
          <w:rFonts w:ascii="Book Antiqua" w:hAnsi="Book Antiqua"/>
          <w:szCs w:val="26"/>
        </w:rPr>
        <w:lastRenderedPageBreak/>
        <w:t xml:space="preserve">the adoption of </w:t>
      </w:r>
      <w:r w:rsidRPr="00AC5503" w:rsidR="0049767E">
        <w:rPr>
          <w:rFonts w:ascii="Book Antiqua" w:hAnsi="Book Antiqua"/>
          <w:szCs w:val="26"/>
        </w:rPr>
        <w:t>GO</w:t>
      </w:r>
      <w:r w:rsidR="00AE2BFD">
        <w:rPr>
          <w:rFonts w:ascii="Book Antiqua" w:hAnsi="Book Antiqua"/>
          <w:szCs w:val="26"/>
        </w:rPr>
        <w:t> </w:t>
      </w:r>
      <w:r w:rsidRPr="00AC5503" w:rsidR="0049767E">
        <w:rPr>
          <w:rFonts w:ascii="Book Antiqua" w:hAnsi="Book Antiqua"/>
          <w:szCs w:val="26"/>
        </w:rPr>
        <w:t xml:space="preserve">131-D </w:t>
      </w:r>
      <w:r w:rsidRPr="00AC5503" w:rsidR="00D65080">
        <w:rPr>
          <w:rFonts w:ascii="Book Antiqua" w:hAnsi="Book Antiqua"/>
          <w:szCs w:val="26"/>
        </w:rPr>
        <w:t>was to address the permitting of transmissi</w:t>
      </w:r>
      <w:r w:rsidRPr="00AC5503" w:rsidR="00131547">
        <w:rPr>
          <w:rFonts w:ascii="Book Antiqua" w:hAnsi="Book Antiqua"/>
          <w:szCs w:val="26"/>
        </w:rPr>
        <w:t>on lines and substations</w:t>
      </w:r>
      <w:r w:rsidRPr="00AC5503" w:rsidR="00D65080">
        <w:rPr>
          <w:rFonts w:ascii="Book Antiqua" w:hAnsi="Book Antiqua"/>
          <w:szCs w:val="26"/>
        </w:rPr>
        <w:t xml:space="preserve"> that operate at or below 200</w:t>
      </w:r>
      <w:r w:rsidR="001E16FC">
        <w:rPr>
          <w:rFonts w:ascii="Book Antiqua" w:hAnsi="Book Antiqua"/>
          <w:szCs w:val="26"/>
        </w:rPr>
        <w:t xml:space="preserve"> </w:t>
      </w:r>
      <w:bookmarkStart w:name="_Hlk132628644" w:id="0"/>
      <w:r w:rsidR="001E16FC">
        <w:rPr>
          <w:rFonts w:ascii="Book Antiqua" w:hAnsi="Book Antiqua"/>
          <w:szCs w:val="26"/>
        </w:rPr>
        <w:t>kilovolts (</w:t>
      </w:r>
      <w:r w:rsidRPr="00AC5503" w:rsidR="00D65080">
        <w:rPr>
          <w:rFonts w:ascii="Book Antiqua" w:hAnsi="Book Antiqua"/>
          <w:szCs w:val="26"/>
        </w:rPr>
        <w:t>kV</w:t>
      </w:r>
      <w:r w:rsidR="001E16FC">
        <w:rPr>
          <w:rFonts w:ascii="Book Antiqua" w:hAnsi="Book Antiqua"/>
          <w:szCs w:val="26"/>
        </w:rPr>
        <w:t>)</w:t>
      </w:r>
      <w:bookmarkEnd w:id="0"/>
      <w:r w:rsidRPr="00AC5503" w:rsidR="00D65080">
        <w:rPr>
          <w:rFonts w:ascii="Book Antiqua" w:hAnsi="Book Antiqua"/>
          <w:szCs w:val="26"/>
        </w:rPr>
        <w:t>.</w:t>
      </w:r>
      <w:r w:rsidR="00787EA4">
        <w:rPr>
          <w:rStyle w:val="FootnoteReference"/>
          <w:rFonts w:ascii="Book Antiqua" w:hAnsi="Book Antiqua"/>
          <w:szCs w:val="26"/>
        </w:rPr>
        <w:footnoteReference w:id="2"/>
      </w:r>
      <w:r w:rsidRPr="00AC5503" w:rsidR="00D65080">
        <w:rPr>
          <w:rFonts w:ascii="Book Antiqua" w:hAnsi="Book Antiqua"/>
          <w:szCs w:val="26"/>
        </w:rPr>
        <w:t xml:space="preserve">  </w:t>
      </w:r>
    </w:p>
    <w:p w:rsidRPr="00AC5503" w:rsidR="00E7198B" w:rsidP="00E7198B" w:rsidRDefault="00303752" w14:paraId="5A095D81" w14:textId="0D29FFDB">
      <w:pPr>
        <w:pStyle w:val="standard"/>
        <w:rPr>
          <w:rFonts w:ascii="Book Antiqua" w:hAnsi="Book Antiqua"/>
          <w:szCs w:val="26"/>
        </w:rPr>
      </w:pPr>
      <w:r>
        <w:rPr>
          <w:rFonts w:ascii="Book Antiqua" w:hAnsi="Book Antiqua"/>
          <w:szCs w:val="26"/>
        </w:rPr>
        <w:t>T</w:t>
      </w:r>
      <w:r w:rsidRPr="00AC5503" w:rsidR="008A52AF">
        <w:rPr>
          <w:rFonts w:ascii="Book Antiqua" w:hAnsi="Book Antiqua"/>
          <w:szCs w:val="26"/>
        </w:rPr>
        <w:t>he</w:t>
      </w:r>
      <w:r w:rsidRPr="00AC5503" w:rsidR="00B51A36">
        <w:rPr>
          <w:rFonts w:ascii="Book Antiqua" w:hAnsi="Book Antiqua"/>
          <w:szCs w:val="26"/>
        </w:rPr>
        <w:t xml:space="preserve">re have been significant changes in </w:t>
      </w:r>
      <w:r w:rsidRPr="00AC5503" w:rsidR="00EB3281">
        <w:rPr>
          <w:rFonts w:ascii="Book Antiqua" w:hAnsi="Book Antiqua"/>
          <w:szCs w:val="26"/>
        </w:rPr>
        <w:t xml:space="preserve">both </w:t>
      </w:r>
      <w:r w:rsidRPr="00AC5503" w:rsidR="00B51A36">
        <w:rPr>
          <w:rFonts w:ascii="Book Antiqua" w:hAnsi="Book Antiqua"/>
          <w:szCs w:val="26"/>
        </w:rPr>
        <w:t>the physical configuration of the electric grid</w:t>
      </w:r>
      <w:r w:rsidRPr="00AC5503" w:rsidR="00D1689B">
        <w:rPr>
          <w:rFonts w:ascii="Book Antiqua" w:hAnsi="Book Antiqua"/>
          <w:szCs w:val="26"/>
        </w:rPr>
        <w:t xml:space="preserve"> and</w:t>
      </w:r>
      <w:r w:rsidRPr="00AC5503" w:rsidR="00B51A36">
        <w:rPr>
          <w:rFonts w:ascii="Book Antiqua" w:hAnsi="Book Antiqua"/>
          <w:szCs w:val="26"/>
        </w:rPr>
        <w:t xml:space="preserve"> the market structure for electricity</w:t>
      </w:r>
      <w:r w:rsidRPr="00AC5503" w:rsidR="00D1689B">
        <w:rPr>
          <w:rFonts w:ascii="Book Antiqua" w:hAnsi="Book Antiqua"/>
          <w:szCs w:val="26"/>
        </w:rPr>
        <w:t xml:space="preserve"> </w:t>
      </w:r>
      <w:r w:rsidR="00CA7D51">
        <w:rPr>
          <w:rFonts w:ascii="Book Antiqua" w:hAnsi="Book Antiqua"/>
          <w:szCs w:val="26"/>
        </w:rPr>
        <w:t xml:space="preserve">in California </w:t>
      </w:r>
      <w:r w:rsidRPr="00AC5503" w:rsidR="00D1689B">
        <w:rPr>
          <w:rFonts w:ascii="Book Antiqua" w:hAnsi="Book Antiqua"/>
          <w:szCs w:val="26"/>
        </w:rPr>
        <w:t xml:space="preserve">since </w:t>
      </w:r>
      <w:r>
        <w:rPr>
          <w:rFonts w:ascii="Book Antiqua" w:hAnsi="Book Antiqua"/>
          <w:szCs w:val="26"/>
        </w:rPr>
        <w:t xml:space="preserve">1994 when the Commission </w:t>
      </w:r>
      <w:r w:rsidR="00A2669D">
        <w:rPr>
          <w:rFonts w:ascii="Book Antiqua" w:hAnsi="Book Antiqua"/>
          <w:szCs w:val="26"/>
        </w:rPr>
        <w:t xml:space="preserve">first </w:t>
      </w:r>
      <w:r>
        <w:rPr>
          <w:rFonts w:ascii="Book Antiqua" w:hAnsi="Book Antiqua"/>
          <w:szCs w:val="26"/>
        </w:rPr>
        <w:t xml:space="preserve">adopted </w:t>
      </w:r>
      <w:r w:rsidRPr="00AC5503" w:rsidR="00D1689B">
        <w:rPr>
          <w:rFonts w:ascii="Book Antiqua" w:hAnsi="Book Antiqua"/>
          <w:szCs w:val="26"/>
        </w:rPr>
        <w:t>GO</w:t>
      </w:r>
      <w:r w:rsidR="00AE2BFD">
        <w:rPr>
          <w:rFonts w:ascii="Book Antiqua" w:hAnsi="Book Antiqua"/>
          <w:szCs w:val="26"/>
        </w:rPr>
        <w:t> </w:t>
      </w:r>
      <w:r w:rsidRPr="00AC5503" w:rsidR="00D1689B">
        <w:rPr>
          <w:rFonts w:ascii="Book Antiqua" w:hAnsi="Book Antiqua"/>
          <w:szCs w:val="26"/>
        </w:rPr>
        <w:t>131</w:t>
      </w:r>
      <w:r w:rsidR="00AE2BFD">
        <w:rPr>
          <w:rFonts w:ascii="Book Antiqua" w:hAnsi="Book Antiqua"/>
          <w:szCs w:val="26"/>
        </w:rPr>
        <w:noBreakHyphen/>
      </w:r>
      <w:r w:rsidRPr="00AC5503" w:rsidR="00D1689B">
        <w:rPr>
          <w:rFonts w:ascii="Book Antiqua" w:hAnsi="Book Antiqua"/>
          <w:szCs w:val="26"/>
        </w:rPr>
        <w:t>D</w:t>
      </w:r>
      <w:r>
        <w:rPr>
          <w:rFonts w:ascii="Book Antiqua" w:hAnsi="Book Antiqua"/>
          <w:szCs w:val="26"/>
        </w:rPr>
        <w:t xml:space="preserve">.  Correspondingly, there have also been </w:t>
      </w:r>
      <w:r w:rsidRPr="00AC5503" w:rsidR="00D1689B">
        <w:rPr>
          <w:rFonts w:ascii="Book Antiqua" w:hAnsi="Book Antiqua"/>
          <w:szCs w:val="26"/>
        </w:rPr>
        <w:t xml:space="preserve">many changes in the </w:t>
      </w:r>
      <w:r w:rsidRPr="00AC5503" w:rsidR="00B51A36">
        <w:rPr>
          <w:rFonts w:ascii="Book Antiqua" w:hAnsi="Book Antiqua"/>
          <w:szCs w:val="26"/>
        </w:rPr>
        <w:t>process for</w:t>
      </w:r>
      <w:r w:rsidRPr="00AC5503" w:rsidR="008A52AF">
        <w:rPr>
          <w:rFonts w:ascii="Book Antiqua" w:hAnsi="Book Antiqua"/>
          <w:szCs w:val="26"/>
        </w:rPr>
        <w:t xml:space="preserve"> </w:t>
      </w:r>
      <w:r w:rsidRPr="00AC5503" w:rsidR="00EB3281">
        <w:rPr>
          <w:rFonts w:ascii="Book Antiqua" w:hAnsi="Book Antiqua"/>
          <w:szCs w:val="26"/>
        </w:rPr>
        <w:t>review and approval of</w:t>
      </w:r>
      <w:r w:rsidRPr="00AC5503" w:rsidR="00B51A36">
        <w:rPr>
          <w:rFonts w:ascii="Book Antiqua" w:hAnsi="Book Antiqua"/>
          <w:szCs w:val="26"/>
        </w:rPr>
        <w:t xml:space="preserve"> new </w:t>
      </w:r>
      <w:r w:rsidRPr="00AC5503" w:rsidR="008A52AF">
        <w:rPr>
          <w:rFonts w:ascii="Book Antiqua" w:hAnsi="Book Antiqua"/>
          <w:szCs w:val="26"/>
        </w:rPr>
        <w:t xml:space="preserve">electric </w:t>
      </w:r>
      <w:r w:rsidRPr="00AC5503" w:rsidR="00B51A36">
        <w:rPr>
          <w:rFonts w:ascii="Book Antiqua" w:hAnsi="Book Antiqua"/>
          <w:szCs w:val="26"/>
        </w:rPr>
        <w:t xml:space="preserve">generation and </w:t>
      </w:r>
      <w:r w:rsidRPr="00AC5503" w:rsidR="008A52AF">
        <w:rPr>
          <w:rFonts w:ascii="Book Antiqua" w:hAnsi="Book Antiqua"/>
          <w:szCs w:val="26"/>
        </w:rPr>
        <w:t>transmission</w:t>
      </w:r>
      <w:r w:rsidRPr="00AC5503" w:rsidR="00B51A36">
        <w:rPr>
          <w:rFonts w:ascii="Book Antiqua" w:hAnsi="Book Antiqua"/>
          <w:szCs w:val="26"/>
        </w:rPr>
        <w:t xml:space="preserve"> facilities</w:t>
      </w:r>
      <w:r w:rsidRPr="00AC5503" w:rsidR="008A52AF">
        <w:rPr>
          <w:rFonts w:ascii="Book Antiqua" w:hAnsi="Book Antiqua"/>
          <w:szCs w:val="26"/>
        </w:rPr>
        <w:t xml:space="preserve"> in California</w:t>
      </w:r>
      <w:r w:rsidRPr="00AC5503" w:rsidR="00D1689B">
        <w:rPr>
          <w:rFonts w:ascii="Book Antiqua" w:hAnsi="Book Antiqua"/>
          <w:szCs w:val="26"/>
        </w:rPr>
        <w:t>.</w:t>
      </w:r>
      <w:r w:rsidR="002208A3">
        <w:rPr>
          <w:rFonts w:ascii="Book Antiqua" w:hAnsi="Book Antiqua"/>
          <w:szCs w:val="26"/>
        </w:rPr>
        <w:t xml:space="preserve">  </w:t>
      </w:r>
      <w:r w:rsidRPr="00AC5503" w:rsidR="00E7198B">
        <w:rPr>
          <w:rFonts w:ascii="Book Antiqua" w:hAnsi="Book Antiqua"/>
          <w:szCs w:val="26"/>
        </w:rPr>
        <w:t xml:space="preserve">Additionally, some of the </w:t>
      </w:r>
      <w:r>
        <w:rPr>
          <w:rFonts w:ascii="Book Antiqua" w:hAnsi="Book Antiqua"/>
          <w:szCs w:val="26"/>
        </w:rPr>
        <w:t>Commission Rules of Practice and Procedure (Rules)</w:t>
      </w:r>
      <w:r w:rsidR="006E34B0">
        <w:rPr>
          <w:rStyle w:val="FootnoteReference"/>
          <w:rFonts w:ascii="Book Antiqua" w:hAnsi="Book Antiqua"/>
          <w:szCs w:val="26"/>
        </w:rPr>
        <w:footnoteReference w:id="3"/>
      </w:r>
      <w:r>
        <w:rPr>
          <w:rFonts w:ascii="Book Antiqua" w:hAnsi="Book Antiqua"/>
          <w:szCs w:val="26"/>
        </w:rPr>
        <w:t xml:space="preserve"> and processes </w:t>
      </w:r>
      <w:r w:rsidR="002208A3">
        <w:rPr>
          <w:rFonts w:ascii="Book Antiqua" w:hAnsi="Book Antiqua"/>
          <w:szCs w:val="26"/>
        </w:rPr>
        <w:t>referenced</w:t>
      </w:r>
      <w:r>
        <w:rPr>
          <w:rFonts w:ascii="Book Antiqua" w:hAnsi="Book Antiqua"/>
          <w:szCs w:val="26"/>
        </w:rPr>
        <w:t xml:space="preserve"> in </w:t>
      </w:r>
      <w:r w:rsidRPr="00AC5503" w:rsidR="00E7198B">
        <w:rPr>
          <w:rFonts w:ascii="Book Antiqua" w:hAnsi="Book Antiqua"/>
          <w:szCs w:val="26"/>
        </w:rPr>
        <w:t>GO</w:t>
      </w:r>
      <w:r w:rsidR="00AE2BFD">
        <w:rPr>
          <w:rFonts w:ascii="Book Antiqua" w:hAnsi="Book Antiqua"/>
          <w:szCs w:val="26"/>
        </w:rPr>
        <w:t> </w:t>
      </w:r>
      <w:r w:rsidRPr="00AC5503" w:rsidR="00E7198B">
        <w:rPr>
          <w:rFonts w:ascii="Book Antiqua" w:hAnsi="Book Antiqua"/>
          <w:szCs w:val="26"/>
        </w:rPr>
        <w:t>131</w:t>
      </w:r>
      <w:r w:rsidR="00AE2BFD">
        <w:rPr>
          <w:rFonts w:ascii="Book Antiqua" w:hAnsi="Book Antiqua"/>
          <w:szCs w:val="26"/>
        </w:rPr>
        <w:noBreakHyphen/>
      </w:r>
      <w:r w:rsidRPr="00AC5503" w:rsidR="00E7198B">
        <w:rPr>
          <w:rFonts w:ascii="Book Antiqua" w:hAnsi="Book Antiqua"/>
          <w:szCs w:val="26"/>
        </w:rPr>
        <w:t xml:space="preserve">D are </w:t>
      </w:r>
      <w:r w:rsidRPr="00AC5503" w:rsidR="00BE49D2">
        <w:rPr>
          <w:rFonts w:ascii="Book Antiqua" w:hAnsi="Book Antiqua"/>
          <w:szCs w:val="26"/>
        </w:rPr>
        <w:t xml:space="preserve">now </w:t>
      </w:r>
      <w:r w:rsidRPr="00AC5503" w:rsidR="00E7198B">
        <w:rPr>
          <w:rFonts w:ascii="Book Antiqua" w:hAnsi="Book Antiqua"/>
          <w:szCs w:val="26"/>
        </w:rPr>
        <w:t>anomalous</w:t>
      </w:r>
      <w:r>
        <w:rPr>
          <w:rFonts w:ascii="Book Antiqua" w:hAnsi="Book Antiqua"/>
          <w:szCs w:val="26"/>
        </w:rPr>
        <w:t xml:space="preserve"> or outdated.  This has c</w:t>
      </w:r>
      <w:r w:rsidRPr="00AC5503" w:rsidR="008F1DB1">
        <w:rPr>
          <w:rFonts w:ascii="Book Antiqua" w:hAnsi="Book Antiqua"/>
          <w:szCs w:val="26"/>
        </w:rPr>
        <w:t>reat</w:t>
      </w:r>
      <w:r>
        <w:rPr>
          <w:rFonts w:ascii="Book Antiqua" w:hAnsi="Book Antiqua"/>
          <w:szCs w:val="26"/>
        </w:rPr>
        <w:t>ed</w:t>
      </w:r>
      <w:r w:rsidR="002208A3">
        <w:rPr>
          <w:rFonts w:ascii="Book Antiqua" w:hAnsi="Book Antiqua"/>
          <w:szCs w:val="26"/>
        </w:rPr>
        <w:t xml:space="preserve"> procedural</w:t>
      </w:r>
      <w:r>
        <w:rPr>
          <w:rFonts w:ascii="Book Antiqua" w:hAnsi="Book Antiqua"/>
          <w:szCs w:val="26"/>
        </w:rPr>
        <w:t xml:space="preserve"> r</w:t>
      </w:r>
      <w:r w:rsidRPr="00AC5503" w:rsidR="008F1DB1">
        <w:rPr>
          <w:rFonts w:ascii="Book Antiqua" w:hAnsi="Book Antiqua"/>
          <w:szCs w:val="26"/>
        </w:rPr>
        <w:t xml:space="preserve">equirements </w:t>
      </w:r>
      <w:r>
        <w:rPr>
          <w:rFonts w:ascii="Book Antiqua" w:hAnsi="Book Antiqua"/>
          <w:szCs w:val="26"/>
        </w:rPr>
        <w:t>unique to GO</w:t>
      </w:r>
      <w:r w:rsidR="00AE2BFD">
        <w:rPr>
          <w:rFonts w:ascii="Book Antiqua" w:hAnsi="Book Antiqua"/>
          <w:szCs w:val="26"/>
        </w:rPr>
        <w:t> </w:t>
      </w:r>
      <w:r w:rsidR="002208A3">
        <w:rPr>
          <w:rFonts w:ascii="Book Antiqua" w:hAnsi="Book Antiqua"/>
          <w:szCs w:val="26"/>
        </w:rPr>
        <w:t>131</w:t>
      </w:r>
      <w:r w:rsidR="00AE2BFD">
        <w:rPr>
          <w:rFonts w:ascii="Book Antiqua" w:hAnsi="Book Antiqua"/>
          <w:szCs w:val="26"/>
        </w:rPr>
        <w:noBreakHyphen/>
      </w:r>
      <w:r w:rsidR="002208A3">
        <w:rPr>
          <w:rFonts w:ascii="Book Antiqua" w:hAnsi="Book Antiqua"/>
          <w:szCs w:val="26"/>
        </w:rPr>
        <w:t xml:space="preserve">D </w:t>
      </w:r>
      <w:r w:rsidRPr="00AC5503" w:rsidR="008F1DB1">
        <w:rPr>
          <w:rFonts w:ascii="Book Antiqua" w:hAnsi="Book Antiqua"/>
          <w:szCs w:val="26"/>
        </w:rPr>
        <w:t>that are inconsistent with G</w:t>
      </w:r>
      <w:r w:rsidR="002208A3">
        <w:rPr>
          <w:rFonts w:ascii="Book Antiqua" w:hAnsi="Book Antiqua"/>
          <w:szCs w:val="26"/>
        </w:rPr>
        <w:t>O</w:t>
      </w:r>
      <w:r w:rsidR="00AE2BFD">
        <w:rPr>
          <w:rFonts w:ascii="Book Antiqua" w:hAnsi="Book Antiqua"/>
          <w:szCs w:val="26"/>
        </w:rPr>
        <w:t> </w:t>
      </w:r>
      <w:r w:rsidRPr="00AC5503" w:rsidR="008F1DB1">
        <w:rPr>
          <w:rFonts w:ascii="Book Antiqua" w:hAnsi="Book Antiqua"/>
          <w:szCs w:val="26"/>
        </w:rPr>
        <w:t>96</w:t>
      </w:r>
      <w:r w:rsidR="00AE2BFD">
        <w:rPr>
          <w:rFonts w:ascii="Book Antiqua" w:hAnsi="Book Antiqua"/>
          <w:szCs w:val="26"/>
        </w:rPr>
        <w:noBreakHyphen/>
      </w:r>
      <w:r w:rsidRPr="00AC5503" w:rsidR="008F1DB1">
        <w:rPr>
          <w:rFonts w:ascii="Book Antiqua" w:hAnsi="Book Antiqua"/>
          <w:szCs w:val="26"/>
        </w:rPr>
        <w:t xml:space="preserve">B, which </w:t>
      </w:r>
      <w:r w:rsidR="002208A3">
        <w:rPr>
          <w:rFonts w:ascii="Book Antiqua" w:hAnsi="Book Antiqua"/>
          <w:szCs w:val="26"/>
        </w:rPr>
        <w:t xml:space="preserve">generally </w:t>
      </w:r>
      <w:r w:rsidRPr="00AC5503" w:rsidR="008F1DB1">
        <w:rPr>
          <w:rFonts w:ascii="Book Antiqua" w:hAnsi="Book Antiqua"/>
          <w:szCs w:val="26"/>
        </w:rPr>
        <w:t xml:space="preserve">specifies how </w:t>
      </w:r>
      <w:r w:rsidR="002208A3">
        <w:rPr>
          <w:rFonts w:ascii="Book Antiqua" w:hAnsi="Book Antiqua"/>
          <w:szCs w:val="26"/>
        </w:rPr>
        <w:t xml:space="preserve">Commission </w:t>
      </w:r>
      <w:r w:rsidRPr="00AC5503" w:rsidR="008F1DB1">
        <w:rPr>
          <w:rFonts w:ascii="Book Antiqua" w:hAnsi="Book Antiqua"/>
          <w:szCs w:val="26"/>
        </w:rPr>
        <w:t xml:space="preserve">staff </w:t>
      </w:r>
      <w:r w:rsidR="002208A3">
        <w:rPr>
          <w:rFonts w:ascii="Book Antiqua" w:hAnsi="Book Antiqua"/>
          <w:szCs w:val="26"/>
        </w:rPr>
        <w:t xml:space="preserve">must </w:t>
      </w:r>
      <w:r w:rsidRPr="00AC5503" w:rsidR="008F1DB1">
        <w:rPr>
          <w:rFonts w:ascii="Book Antiqua" w:hAnsi="Book Antiqua"/>
          <w:szCs w:val="26"/>
        </w:rPr>
        <w:t xml:space="preserve">process </w:t>
      </w:r>
      <w:r w:rsidR="00CA7D51">
        <w:rPr>
          <w:rFonts w:ascii="Book Antiqua" w:hAnsi="Book Antiqua"/>
          <w:szCs w:val="26"/>
        </w:rPr>
        <w:t>a</w:t>
      </w:r>
      <w:r w:rsidRPr="00AC5503" w:rsidR="008F1DB1">
        <w:rPr>
          <w:rFonts w:ascii="Book Antiqua" w:hAnsi="Book Antiqua"/>
          <w:szCs w:val="26"/>
        </w:rPr>
        <w:t xml:space="preserve">dvice </w:t>
      </w:r>
      <w:r w:rsidR="00CA7D51">
        <w:rPr>
          <w:rFonts w:ascii="Book Antiqua" w:hAnsi="Book Antiqua"/>
          <w:szCs w:val="26"/>
        </w:rPr>
        <w:t>l</w:t>
      </w:r>
      <w:r w:rsidRPr="00AC5503" w:rsidR="008F1DB1">
        <w:rPr>
          <w:rFonts w:ascii="Book Antiqua" w:hAnsi="Book Antiqua"/>
          <w:szCs w:val="26"/>
        </w:rPr>
        <w:t xml:space="preserve">etters. </w:t>
      </w:r>
    </w:p>
    <w:p w:rsidRPr="00AC5503" w:rsidR="00821A5A" w:rsidP="00760B36" w:rsidRDefault="008F1DB1" w14:paraId="6A2FC925" w14:textId="49E3C893">
      <w:pPr>
        <w:pStyle w:val="standard"/>
        <w:rPr>
          <w:rFonts w:ascii="Book Antiqua" w:hAnsi="Book Antiqua"/>
          <w:szCs w:val="26"/>
        </w:rPr>
      </w:pPr>
      <w:r w:rsidRPr="00AC5503">
        <w:rPr>
          <w:rFonts w:ascii="Book Antiqua" w:hAnsi="Book Antiqua"/>
          <w:szCs w:val="26"/>
        </w:rPr>
        <w:t xml:space="preserve">Two draft versions of </w:t>
      </w:r>
      <w:r w:rsidR="00787EA4">
        <w:rPr>
          <w:rFonts w:ascii="Book Antiqua" w:hAnsi="Book Antiqua"/>
          <w:szCs w:val="26"/>
        </w:rPr>
        <w:t xml:space="preserve">a </w:t>
      </w:r>
      <w:r w:rsidR="00CA7D51">
        <w:rPr>
          <w:rFonts w:ascii="Book Antiqua" w:hAnsi="Book Antiqua"/>
          <w:szCs w:val="26"/>
        </w:rPr>
        <w:t xml:space="preserve">proposed </w:t>
      </w:r>
      <w:r w:rsidRPr="00AC5503">
        <w:rPr>
          <w:rFonts w:ascii="Book Antiqua" w:hAnsi="Book Antiqua"/>
          <w:szCs w:val="26"/>
        </w:rPr>
        <w:t>GO 131-</w:t>
      </w:r>
      <w:r w:rsidR="00CA7D51">
        <w:rPr>
          <w:rFonts w:ascii="Book Antiqua" w:hAnsi="Book Antiqua"/>
          <w:szCs w:val="26"/>
        </w:rPr>
        <w:t>E</w:t>
      </w:r>
      <w:r w:rsidRPr="00AC5503">
        <w:rPr>
          <w:rFonts w:ascii="Book Antiqua" w:hAnsi="Book Antiqua"/>
          <w:szCs w:val="26"/>
        </w:rPr>
        <w:t xml:space="preserve"> are attached to this </w:t>
      </w:r>
      <w:r w:rsidR="000A6200">
        <w:rPr>
          <w:rFonts w:ascii="Book Antiqua" w:hAnsi="Book Antiqua"/>
          <w:szCs w:val="26"/>
        </w:rPr>
        <w:t>Order Instituting Rulemaking (</w:t>
      </w:r>
      <w:r w:rsidRPr="00AC5503">
        <w:rPr>
          <w:rFonts w:ascii="Book Antiqua" w:hAnsi="Book Antiqua"/>
          <w:szCs w:val="26"/>
        </w:rPr>
        <w:t>OIR</w:t>
      </w:r>
      <w:r w:rsidR="000A6200">
        <w:rPr>
          <w:rFonts w:ascii="Book Antiqua" w:hAnsi="Book Antiqua"/>
          <w:szCs w:val="26"/>
        </w:rPr>
        <w:t>)</w:t>
      </w:r>
      <w:r w:rsidRPr="00AC5503">
        <w:rPr>
          <w:rFonts w:ascii="Book Antiqua" w:hAnsi="Book Antiqua"/>
          <w:szCs w:val="26"/>
        </w:rPr>
        <w:t xml:space="preserve"> for the purpose of </w:t>
      </w:r>
      <w:r w:rsidR="00CA7D51">
        <w:rPr>
          <w:rFonts w:ascii="Book Antiqua" w:hAnsi="Book Antiqua"/>
          <w:szCs w:val="26"/>
        </w:rPr>
        <w:t xml:space="preserve">eliciting </w:t>
      </w:r>
      <w:r w:rsidRPr="00AC5503">
        <w:rPr>
          <w:rFonts w:ascii="Book Antiqua" w:hAnsi="Book Antiqua"/>
          <w:szCs w:val="26"/>
        </w:rPr>
        <w:t>comment.</w:t>
      </w:r>
      <w:r w:rsidR="00760B36">
        <w:rPr>
          <w:rFonts w:ascii="Book Antiqua" w:hAnsi="Book Antiqua"/>
          <w:szCs w:val="26"/>
        </w:rPr>
        <w:t xml:space="preserve">  T</w:t>
      </w:r>
      <w:r w:rsidRPr="150260E9">
        <w:rPr>
          <w:rFonts w:ascii="Book Antiqua" w:hAnsi="Book Antiqua"/>
        </w:rPr>
        <w:t xml:space="preserve">he first version </w:t>
      </w:r>
      <w:r w:rsidRPr="150260E9" w:rsidR="00114DB7">
        <w:rPr>
          <w:rFonts w:ascii="Book Antiqua" w:hAnsi="Book Antiqua"/>
        </w:rPr>
        <w:t xml:space="preserve">(Attachment A) </w:t>
      </w:r>
      <w:r w:rsidRPr="150260E9" w:rsidR="00821A5A">
        <w:rPr>
          <w:rFonts w:ascii="Book Antiqua" w:hAnsi="Book Antiqua"/>
        </w:rPr>
        <w:t xml:space="preserve">proposes </w:t>
      </w:r>
      <w:r w:rsidR="00CA7D51">
        <w:rPr>
          <w:rFonts w:ascii="Book Antiqua" w:hAnsi="Book Antiqua"/>
        </w:rPr>
        <w:t xml:space="preserve">and reflects </w:t>
      </w:r>
      <w:r w:rsidRPr="150260E9" w:rsidR="00821A5A">
        <w:rPr>
          <w:rFonts w:ascii="Book Antiqua" w:hAnsi="Book Antiqua"/>
        </w:rPr>
        <w:t xml:space="preserve">amendments </w:t>
      </w:r>
      <w:r w:rsidRPr="150260E9" w:rsidR="02B3A49D">
        <w:rPr>
          <w:rFonts w:ascii="Book Antiqua" w:hAnsi="Book Antiqua"/>
        </w:rPr>
        <w:t>to</w:t>
      </w:r>
      <w:r w:rsidRPr="150260E9">
        <w:rPr>
          <w:rFonts w:ascii="Book Antiqua" w:hAnsi="Book Antiqua"/>
        </w:rPr>
        <w:t xml:space="preserve"> G</w:t>
      </w:r>
      <w:r w:rsidRPr="150260E9" w:rsidR="008A21E4">
        <w:rPr>
          <w:rFonts w:ascii="Book Antiqua" w:hAnsi="Book Antiqua"/>
        </w:rPr>
        <w:t xml:space="preserve">O 131-D </w:t>
      </w:r>
      <w:r w:rsidR="00B5497A">
        <w:rPr>
          <w:rFonts w:ascii="Book Antiqua" w:hAnsi="Book Antiqua"/>
        </w:rPr>
        <w:t xml:space="preserve">solely </w:t>
      </w:r>
      <w:r w:rsidRPr="150260E9">
        <w:rPr>
          <w:rFonts w:ascii="Book Antiqua" w:hAnsi="Book Antiqua"/>
        </w:rPr>
        <w:t>to</w:t>
      </w:r>
      <w:bookmarkStart w:name="_Hlk131064858" w:id="1"/>
      <w:r w:rsidR="00760B36">
        <w:rPr>
          <w:rFonts w:ascii="Book Antiqua" w:hAnsi="Book Antiqua"/>
        </w:rPr>
        <w:t xml:space="preserve"> c</w:t>
      </w:r>
      <w:r w:rsidRPr="00AC5503">
        <w:rPr>
          <w:rFonts w:ascii="Book Antiqua" w:hAnsi="Book Antiqua"/>
          <w:szCs w:val="26"/>
        </w:rPr>
        <w:t>onform to</w:t>
      </w:r>
      <w:r w:rsidRPr="00AC5503">
        <w:rPr>
          <w:rFonts w:ascii="Book Antiqua" w:hAnsi="Book Antiqua"/>
          <w:w w:val="85"/>
          <w:szCs w:val="26"/>
        </w:rPr>
        <w:t xml:space="preserve"> </w:t>
      </w:r>
      <w:r w:rsidRPr="00AC5503">
        <w:rPr>
          <w:rFonts w:ascii="Book Antiqua" w:hAnsi="Book Antiqua"/>
          <w:szCs w:val="26"/>
        </w:rPr>
        <w:t>the requirements of SB</w:t>
      </w:r>
      <w:r w:rsidR="00AE2BFD">
        <w:rPr>
          <w:rFonts w:ascii="Book Antiqua" w:hAnsi="Book Antiqua"/>
          <w:szCs w:val="26"/>
        </w:rPr>
        <w:t> </w:t>
      </w:r>
      <w:r w:rsidRPr="00AC5503">
        <w:rPr>
          <w:rFonts w:ascii="Book Antiqua" w:hAnsi="Book Antiqua"/>
          <w:szCs w:val="26"/>
        </w:rPr>
        <w:t>529 (Hertzberg), 2022</w:t>
      </w:r>
      <w:r w:rsidR="00760B36">
        <w:rPr>
          <w:rFonts w:ascii="Book Antiqua" w:hAnsi="Book Antiqua"/>
          <w:szCs w:val="26"/>
        </w:rPr>
        <w:t>.</w:t>
      </w:r>
      <w:r w:rsidR="001063DB">
        <w:rPr>
          <w:rStyle w:val="FootnoteReference"/>
          <w:rFonts w:ascii="Book Antiqua" w:hAnsi="Book Antiqua"/>
          <w:szCs w:val="26"/>
        </w:rPr>
        <w:footnoteReference w:id="4"/>
      </w:r>
      <w:r w:rsidR="00760B36">
        <w:rPr>
          <w:rFonts w:ascii="Book Antiqua" w:hAnsi="Book Antiqua"/>
          <w:szCs w:val="26"/>
        </w:rPr>
        <w:t xml:space="preserve">  </w:t>
      </w:r>
      <w:r w:rsidRPr="00AC5503" w:rsidR="00821A5A">
        <w:rPr>
          <w:rFonts w:ascii="Book Antiqua" w:hAnsi="Book Antiqua"/>
          <w:szCs w:val="26"/>
        </w:rPr>
        <w:t xml:space="preserve">The second version </w:t>
      </w:r>
      <w:r w:rsidR="00114DB7">
        <w:rPr>
          <w:rFonts w:ascii="Book Antiqua" w:hAnsi="Book Antiqua"/>
          <w:szCs w:val="26"/>
        </w:rPr>
        <w:t>(Attachment B)</w:t>
      </w:r>
      <w:r w:rsidR="00687FED">
        <w:rPr>
          <w:rStyle w:val="FootnoteReference"/>
          <w:rFonts w:ascii="Book Antiqua" w:hAnsi="Book Antiqua"/>
          <w:szCs w:val="26"/>
        </w:rPr>
        <w:footnoteReference w:id="5"/>
      </w:r>
      <w:r w:rsidR="00114DB7">
        <w:rPr>
          <w:rFonts w:ascii="Book Antiqua" w:hAnsi="Book Antiqua"/>
          <w:szCs w:val="26"/>
        </w:rPr>
        <w:t xml:space="preserve"> </w:t>
      </w:r>
      <w:r w:rsidRPr="00AC5503" w:rsidR="00821A5A">
        <w:rPr>
          <w:rFonts w:ascii="Book Antiqua" w:hAnsi="Book Antiqua"/>
          <w:szCs w:val="26"/>
        </w:rPr>
        <w:t xml:space="preserve">includes </w:t>
      </w:r>
      <w:r w:rsidR="009279C6">
        <w:rPr>
          <w:rFonts w:ascii="Book Antiqua" w:hAnsi="Book Antiqua"/>
          <w:szCs w:val="26"/>
        </w:rPr>
        <w:t xml:space="preserve">additional </w:t>
      </w:r>
      <w:r w:rsidRPr="00AC5503" w:rsidR="00821A5A">
        <w:rPr>
          <w:rFonts w:ascii="Book Antiqua" w:hAnsi="Book Antiqua"/>
          <w:szCs w:val="26"/>
        </w:rPr>
        <w:t>proposed amendments to:</w:t>
      </w:r>
    </w:p>
    <w:p w:rsidRPr="00AC5503" w:rsidR="00760B36" w:rsidP="00AE2BFD" w:rsidRDefault="00760B36" w14:paraId="17F0398E" w14:textId="5FBA9393">
      <w:pPr>
        <w:pStyle w:val="standard"/>
        <w:numPr>
          <w:ilvl w:val="0"/>
          <w:numId w:val="21"/>
        </w:numPr>
        <w:spacing w:after="120" w:line="240" w:lineRule="auto"/>
        <w:ind w:left="1080" w:right="1440"/>
        <w:rPr>
          <w:rFonts w:ascii="Book Antiqua" w:hAnsi="Book Antiqua"/>
          <w:szCs w:val="26"/>
        </w:rPr>
      </w:pPr>
      <w:r>
        <w:rPr>
          <w:rFonts w:ascii="Book Antiqua" w:hAnsi="Book Antiqua"/>
          <w:szCs w:val="26"/>
        </w:rPr>
        <w:t>R</w:t>
      </w:r>
      <w:r w:rsidRPr="00AC5503">
        <w:rPr>
          <w:rFonts w:ascii="Book Antiqua" w:hAnsi="Book Antiqua"/>
          <w:szCs w:val="26"/>
        </w:rPr>
        <w:t xml:space="preserve">eflect changes in </w:t>
      </w:r>
      <w:r>
        <w:rPr>
          <w:rFonts w:ascii="Book Antiqua" w:hAnsi="Book Antiqua"/>
          <w:szCs w:val="26"/>
        </w:rPr>
        <w:t>Commission R</w:t>
      </w:r>
      <w:r w:rsidRPr="00AC5503">
        <w:rPr>
          <w:rFonts w:ascii="Book Antiqua" w:hAnsi="Book Antiqua"/>
          <w:szCs w:val="26"/>
        </w:rPr>
        <w:t xml:space="preserve">ules and </w:t>
      </w:r>
      <w:r>
        <w:rPr>
          <w:rFonts w:ascii="Book Antiqua" w:hAnsi="Book Antiqua"/>
          <w:szCs w:val="26"/>
        </w:rPr>
        <w:t xml:space="preserve">other </w:t>
      </w:r>
      <w:r w:rsidRPr="00AC5503">
        <w:rPr>
          <w:rFonts w:ascii="Book Antiqua" w:hAnsi="Book Antiqua"/>
          <w:szCs w:val="26"/>
        </w:rPr>
        <w:t xml:space="preserve">regulations that have occurred since </w:t>
      </w:r>
      <w:r>
        <w:rPr>
          <w:rFonts w:ascii="Book Antiqua" w:hAnsi="Book Antiqua"/>
          <w:szCs w:val="26"/>
        </w:rPr>
        <w:t>GO</w:t>
      </w:r>
      <w:r w:rsidR="00AE2BFD">
        <w:rPr>
          <w:rFonts w:ascii="Book Antiqua" w:hAnsi="Book Antiqua"/>
          <w:szCs w:val="26"/>
        </w:rPr>
        <w:t> </w:t>
      </w:r>
      <w:r>
        <w:rPr>
          <w:rFonts w:ascii="Book Antiqua" w:hAnsi="Book Antiqua"/>
          <w:szCs w:val="26"/>
        </w:rPr>
        <w:t>131</w:t>
      </w:r>
      <w:r w:rsidR="00AE2BFD">
        <w:rPr>
          <w:rFonts w:ascii="Book Antiqua" w:hAnsi="Book Antiqua"/>
          <w:szCs w:val="26"/>
        </w:rPr>
        <w:noBreakHyphen/>
      </w:r>
      <w:r>
        <w:rPr>
          <w:rFonts w:ascii="Book Antiqua" w:hAnsi="Book Antiqua"/>
          <w:szCs w:val="26"/>
        </w:rPr>
        <w:t xml:space="preserve">D was modified </w:t>
      </w:r>
      <w:r w:rsidRPr="00AC5503">
        <w:rPr>
          <w:rFonts w:ascii="Book Antiqua" w:hAnsi="Book Antiqua"/>
          <w:szCs w:val="26"/>
        </w:rPr>
        <w:t>in 1995</w:t>
      </w:r>
      <w:r>
        <w:rPr>
          <w:rFonts w:ascii="Book Antiqua" w:hAnsi="Book Antiqua"/>
          <w:szCs w:val="26"/>
        </w:rPr>
        <w:t>;</w:t>
      </w:r>
    </w:p>
    <w:p w:rsidRPr="00AC5503" w:rsidR="00760B36" w:rsidP="00AE2BFD" w:rsidRDefault="00760B36" w14:paraId="75DCC723" w14:textId="414608C1">
      <w:pPr>
        <w:pStyle w:val="standard"/>
        <w:numPr>
          <w:ilvl w:val="0"/>
          <w:numId w:val="21"/>
        </w:numPr>
        <w:spacing w:after="120" w:line="240" w:lineRule="auto"/>
        <w:ind w:left="1080" w:right="1440"/>
        <w:rPr>
          <w:rFonts w:ascii="Book Antiqua" w:hAnsi="Book Antiqua"/>
          <w:szCs w:val="26"/>
        </w:rPr>
      </w:pPr>
      <w:r>
        <w:rPr>
          <w:rFonts w:ascii="Book Antiqua" w:hAnsi="Book Antiqua"/>
          <w:szCs w:val="26"/>
        </w:rPr>
        <w:t>P</w:t>
      </w:r>
      <w:r w:rsidRPr="00AC5503">
        <w:rPr>
          <w:rFonts w:ascii="Book Antiqua" w:hAnsi="Book Antiqua"/>
          <w:szCs w:val="26"/>
        </w:rPr>
        <w:t>rovide the C</w:t>
      </w:r>
      <w:r>
        <w:rPr>
          <w:rFonts w:ascii="Book Antiqua" w:hAnsi="Book Antiqua"/>
          <w:szCs w:val="26"/>
        </w:rPr>
        <w:t>ommission</w:t>
      </w:r>
      <w:r w:rsidRPr="00AC5503">
        <w:rPr>
          <w:rFonts w:ascii="Book Antiqua" w:hAnsi="Book Antiqua"/>
          <w:szCs w:val="26"/>
        </w:rPr>
        <w:t xml:space="preserve"> with better cost information for electrical infrastructure projects</w:t>
      </w:r>
      <w:r>
        <w:rPr>
          <w:rFonts w:ascii="Book Antiqua" w:hAnsi="Book Antiqua"/>
          <w:szCs w:val="26"/>
        </w:rPr>
        <w:t>;</w:t>
      </w:r>
      <w:r w:rsidRPr="00AC5503">
        <w:rPr>
          <w:rFonts w:ascii="Book Antiqua" w:hAnsi="Book Antiqua"/>
          <w:szCs w:val="26"/>
        </w:rPr>
        <w:t xml:space="preserve"> </w:t>
      </w:r>
    </w:p>
    <w:p w:rsidR="00760B36" w:rsidP="00AE2BFD" w:rsidRDefault="00760B36" w14:paraId="31D07FA7" w14:textId="195AB17D">
      <w:pPr>
        <w:pStyle w:val="standard"/>
        <w:numPr>
          <w:ilvl w:val="0"/>
          <w:numId w:val="21"/>
        </w:numPr>
        <w:spacing w:after="120" w:line="240" w:lineRule="auto"/>
        <w:ind w:left="1080" w:right="1440"/>
        <w:rPr>
          <w:rFonts w:ascii="Book Antiqua" w:hAnsi="Book Antiqua"/>
          <w:szCs w:val="26"/>
        </w:rPr>
      </w:pPr>
      <w:r>
        <w:rPr>
          <w:rFonts w:ascii="Book Antiqua" w:hAnsi="Book Antiqua"/>
          <w:szCs w:val="26"/>
        </w:rPr>
        <w:lastRenderedPageBreak/>
        <w:t>C</w:t>
      </w:r>
      <w:r w:rsidRPr="00AC5503">
        <w:rPr>
          <w:rFonts w:ascii="Book Antiqua" w:hAnsi="Book Antiqua"/>
          <w:szCs w:val="26"/>
        </w:rPr>
        <w:t>reate a process for the permitting of battery storage projects</w:t>
      </w:r>
      <w:r w:rsidR="00503866">
        <w:rPr>
          <w:rFonts w:ascii="Book Antiqua" w:hAnsi="Book Antiqua"/>
          <w:szCs w:val="26"/>
        </w:rPr>
        <w:t>;</w:t>
      </w:r>
    </w:p>
    <w:p w:rsidRPr="00AC5503" w:rsidR="00821A5A" w:rsidP="00AE2BFD" w:rsidRDefault="00F616AD" w14:paraId="4A23F887" w14:textId="75F4CB16">
      <w:pPr>
        <w:pStyle w:val="standard"/>
        <w:numPr>
          <w:ilvl w:val="0"/>
          <w:numId w:val="21"/>
        </w:numPr>
        <w:spacing w:after="120" w:line="240" w:lineRule="auto"/>
        <w:ind w:left="1080" w:right="1440"/>
        <w:rPr>
          <w:rFonts w:ascii="Book Antiqua" w:hAnsi="Book Antiqua"/>
          <w:szCs w:val="26"/>
        </w:rPr>
      </w:pPr>
      <w:r>
        <w:rPr>
          <w:rFonts w:ascii="Book Antiqua" w:hAnsi="Book Antiqua"/>
          <w:szCs w:val="26"/>
        </w:rPr>
        <w:t>R</w:t>
      </w:r>
      <w:r w:rsidRPr="00AC5503" w:rsidR="00821A5A">
        <w:rPr>
          <w:rFonts w:ascii="Book Antiqua" w:hAnsi="Book Antiqua"/>
          <w:szCs w:val="26"/>
        </w:rPr>
        <w:t xml:space="preserve">espond to </w:t>
      </w:r>
      <w:r w:rsidRPr="00AC5503" w:rsidR="008F1DB1">
        <w:rPr>
          <w:rFonts w:ascii="Book Antiqua" w:hAnsi="Book Antiqua"/>
          <w:szCs w:val="26"/>
        </w:rPr>
        <w:t xml:space="preserve">requests from resource agencies for the </w:t>
      </w:r>
      <w:r w:rsidRPr="00AC5503" w:rsidR="00821A5A">
        <w:rPr>
          <w:rFonts w:ascii="Book Antiqua" w:hAnsi="Book Antiqua"/>
          <w:szCs w:val="26"/>
        </w:rPr>
        <w:t>C</w:t>
      </w:r>
      <w:r w:rsidR="00E761E5">
        <w:rPr>
          <w:rFonts w:ascii="Book Antiqua" w:hAnsi="Book Antiqua"/>
          <w:szCs w:val="26"/>
        </w:rPr>
        <w:t>ommission</w:t>
      </w:r>
      <w:r w:rsidRPr="00AC5503" w:rsidR="008F1DB1">
        <w:rPr>
          <w:rFonts w:ascii="Book Antiqua" w:hAnsi="Book Antiqua"/>
          <w:szCs w:val="26"/>
        </w:rPr>
        <w:t xml:space="preserve"> to serve as the lead agency pursuant to the California Environmental Quality Act (CEQA)</w:t>
      </w:r>
      <w:r w:rsidRPr="00C405EF">
        <w:rPr>
          <w:rStyle w:val="FootnoteReference"/>
          <w:rFonts w:ascii="Book Antiqua" w:hAnsi="Book Antiqua"/>
          <w:szCs w:val="24"/>
        </w:rPr>
        <w:footnoteReference w:id="6"/>
      </w:r>
      <w:r w:rsidRPr="00AC5503" w:rsidR="008F1DB1">
        <w:rPr>
          <w:rFonts w:ascii="Book Antiqua" w:hAnsi="Book Antiqua"/>
          <w:szCs w:val="26"/>
        </w:rPr>
        <w:t xml:space="preserve"> for all </w:t>
      </w:r>
      <w:r w:rsidRPr="00AC5503" w:rsidR="00821A5A">
        <w:rPr>
          <w:rFonts w:ascii="Book Antiqua" w:hAnsi="Book Antiqua"/>
          <w:szCs w:val="26"/>
        </w:rPr>
        <w:t xml:space="preserve">electric infrastructure </w:t>
      </w:r>
      <w:r w:rsidRPr="00AC5503" w:rsidR="008F1DB1">
        <w:rPr>
          <w:rFonts w:ascii="Book Antiqua" w:hAnsi="Book Antiqua"/>
          <w:szCs w:val="26"/>
        </w:rPr>
        <w:t>projects requiring discretionary permits</w:t>
      </w:r>
      <w:r w:rsidR="00F04C95">
        <w:rPr>
          <w:rFonts w:ascii="Book Antiqua" w:hAnsi="Book Antiqua"/>
          <w:szCs w:val="26"/>
        </w:rPr>
        <w:t>;</w:t>
      </w:r>
    </w:p>
    <w:p w:rsidRPr="00AC5503" w:rsidR="00821A5A" w:rsidP="00AE2BFD" w:rsidRDefault="00F04C95" w14:paraId="61021CEC" w14:textId="018CE590">
      <w:pPr>
        <w:pStyle w:val="standard"/>
        <w:numPr>
          <w:ilvl w:val="0"/>
          <w:numId w:val="21"/>
        </w:numPr>
        <w:spacing w:after="120" w:line="240" w:lineRule="auto"/>
        <w:ind w:left="1080" w:right="1440"/>
        <w:rPr>
          <w:rFonts w:ascii="Book Antiqua" w:hAnsi="Book Antiqua"/>
          <w:szCs w:val="26"/>
        </w:rPr>
      </w:pPr>
      <w:r>
        <w:rPr>
          <w:rFonts w:ascii="Book Antiqua" w:hAnsi="Book Antiqua"/>
          <w:szCs w:val="26"/>
        </w:rPr>
        <w:t>I</w:t>
      </w:r>
      <w:r w:rsidRPr="00AC5503" w:rsidR="00821A5A">
        <w:rPr>
          <w:rFonts w:ascii="Book Antiqua" w:hAnsi="Book Antiqua"/>
          <w:szCs w:val="26"/>
        </w:rPr>
        <w:t>ncrease</w:t>
      </w:r>
      <w:r w:rsidRPr="00AC5503" w:rsidR="008F1DB1">
        <w:rPr>
          <w:rFonts w:ascii="Book Antiqua" w:hAnsi="Book Antiqua"/>
          <w:szCs w:val="26"/>
        </w:rPr>
        <w:t xml:space="preserve"> cost transparency for all projects subject to </w:t>
      </w:r>
      <w:r>
        <w:rPr>
          <w:rFonts w:ascii="Book Antiqua" w:hAnsi="Book Antiqua"/>
          <w:szCs w:val="26"/>
        </w:rPr>
        <w:t>GO</w:t>
      </w:r>
      <w:r w:rsidR="00AE2BFD">
        <w:rPr>
          <w:rFonts w:ascii="Book Antiqua" w:hAnsi="Book Antiqua"/>
          <w:szCs w:val="26"/>
        </w:rPr>
        <w:t> </w:t>
      </w:r>
      <w:r>
        <w:rPr>
          <w:rFonts w:ascii="Book Antiqua" w:hAnsi="Book Antiqua"/>
          <w:szCs w:val="26"/>
        </w:rPr>
        <w:t>131;</w:t>
      </w:r>
    </w:p>
    <w:p w:rsidRPr="00AC5503" w:rsidR="00821A5A" w:rsidP="00AE2BFD" w:rsidRDefault="00821A5A" w14:paraId="291C6752" w14:textId="0ACD10C8">
      <w:pPr>
        <w:pStyle w:val="standard"/>
        <w:numPr>
          <w:ilvl w:val="0"/>
          <w:numId w:val="21"/>
        </w:numPr>
        <w:spacing w:after="120" w:line="240" w:lineRule="auto"/>
        <w:ind w:left="1080" w:right="1440"/>
        <w:rPr>
          <w:rFonts w:ascii="Book Antiqua" w:hAnsi="Book Antiqua"/>
          <w:szCs w:val="26"/>
        </w:rPr>
      </w:pPr>
      <w:r w:rsidRPr="00AC5503">
        <w:rPr>
          <w:rFonts w:ascii="Book Antiqua" w:hAnsi="Book Antiqua"/>
          <w:szCs w:val="26"/>
        </w:rPr>
        <w:t xml:space="preserve">Provide </w:t>
      </w:r>
      <w:r w:rsidRPr="00AC5503" w:rsidR="008F1DB1">
        <w:rPr>
          <w:rFonts w:ascii="Book Antiqua" w:hAnsi="Book Antiqua"/>
          <w:szCs w:val="26"/>
        </w:rPr>
        <w:t>better notice to local governments of projects in their</w:t>
      </w:r>
      <w:r w:rsidR="00503866">
        <w:rPr>
          <w:rFonts w:ascii="Book Antiqua" w:hAnsi="Book Antiqua"/>
          <w:szCs w:val="26"/>
        </w:rPr>
        <w:t xml:space="preserve"> </w:t>
      </w:r>
      <w:r w:rsidRPr="00AC5503" w:rsidR="008F1DB1">
        <w:rPr>
          <w:rFonts w:ascii="Book Antiqua" w:hAnsi="Book Antiqua"/>
          <w:szCs w:val="26"/>
        </w:rPr>
        <w:t>locality</w:t>
      </w:r>
      <w:r w:rsidR="00F04C95">
        <w:rPr>
          <w:rFonts w:ascii="Book Antiqua" w:hAnsi="Book Antiqua"/>
          <w:szCs w:val="26"/>
        </w:rPr>
        <w:t>;</w:t>
      </w:r>
      <w:r w:rsidRPr="00AC5503">
        <w:rPr>
          <w:rFonts w:ascii="Book Antiqua" w:hAnsi="Book Antiqua"/>
          <w:szCs w:val="26"/>
        </w:rPr>
        <w:t xml:space="preserve"> and</w:t>
      </w:r>
    </w:p>
    <w:p w:rsidRPr="00AC5503" w:rsidR="008F1DB1" w:rsidP="00AE2BFD" w:rsidRDefault="00F04C95" w14:paraId="41B4899C" w14:textId="24F94DA3">
      <w:pPr>
        <w:pStyle w:val="standard"/>
        <w:numPr>
          <w:ilvl w:val="0"/>
          <w:numId w:val="21"/>
        </w:numPr>
        <w:spacing w:after="120" w:line="240" w:lineRule="auto"/>
        <w:ind w:left="1080" w:right="1440"/>
        <w:rPr>
          <w:rFonts w:ascii="Book Antiqua" w:hAnsi="Book Antiqua"/>
          <w:szCs w:val="26"/>
        </w:rPr>
      </w:pPr>
      <w:r>
        <w:rPr>
          <w:rFonts w:ascii="Book Antiqua" w:hAnsi="Book Antiqua"/>
          <w:szCs w:val="26"/>
        </w:rPr>
        <w:t>B</w:t>
      </w:r>
      <w:r w:rsidRPr="00AC5503" w:rsidR="008F1DB1">
        <w:rPr>
          <w:rFonts w:ascii="Book Antiqua" w:hAnsi="Book Antiqua"/>
          <w:szCs w:val="26"/>
        </w:rPr>
        <w:t xml:space="preserve">etter align </w:t>
      </w:r>
      <w:r>
        <w:rPr>
          <w:rFonts w:ascii="Book Antiqua" w:hAnsi="Book Antiqua"/>
          <w:szCs w:val="26"/>
        </w:rPr>
        <w:t>GO</w:t>
      </w:r>
      <w:r w:rsidR="00AE2BFD">
        <w:rPr>
          <w:rFonts w:ascii="Book Antiqua" w:hAnsi="Book Antiqua"/>
          <w:szCs w:val="26"/>
        </w:rPr>
        <w:t> </w:t>
      </w:r>
      <w:r>
        <w:rPr>
          <w:rFonts w:ascii="Book Antiqua" w:hAnsi="Book Antiqua"/>
          <w:szCs w:val="26"/>
        </w:rPr>
        <w:t xml:space="preserve">131 </w:t>
      </w:r>
      <w:r w:rsidRPr="00AC5503" w:rsidR="008F1DB1">
        <w:rPr>
          <w:rFonts w:ascii="Book Antiqua" w:hAnsi="Book Antiqua"/>
          <w:szCs w:val="26"/>
        </w:rPr>
        <w:t>with GO</w:t>
      </w:r>
      <w:r w:rsidR="00AE2BFD">
        <w:rPr>
          <w:rFonts w:ascii="Book Antiqua" w:hAnsi="Book Antiqua"/>
          <w:szCs w:val="26"/>
        </w:rPr>
        <w:t> </w:t>
      </w:r>
      <w:r w:rsidRPr="00AC5503" w:rsidR="008F1DB1">
        <w:rPr>
          <w:rFonts w:ascii="Book Antiqua" w:hAnsi="Book Antiqua"/>
          <w:szCs w:val="26"/>
        </w:rPr>
        <w:t>96</w:t>
      </w:r>
      <w:r w:rsidR="00AE2BFD">
        <w:rPr>
          <w:rFonts w:ascii="Book Antiqua" w:hAnsi="Book Antiqua"/>
          <w:szCs w:val="26"/>
        </w:rPr>
        <w:noBreakHyphen/>
      </w:r>
      <w:r w:rsidRPr="00AC5503" w:rsidR="008F1DB1">
        <w:rPr>
          <w:rFonts w:ascii="Book Antiqua" w:hAnsi="Book Antiqua"/>
          <w:szCs w:val="26"/>
        </w:rPr>
        <w:t>B.</w:t>
      </w:r>
    </w:p>
    <w:bookmarkEnd w:id="1"/>
    <w:p w:rsidRPr="00B53876" w:rsidR="00413448" w:rsidP="00C326DD" w:rsidRDefault="00413448" w14:paraId="6C96AF9B" w14:textId="77777777">
      <w:pPr>
        <w:pStyle w:val="StyleHeading1Before0pt1"/>
      </w:pPr>
      <w:r w:rsidRPr="00B53876">
        <w:t>Preliminary Scoping Memo</w:t>
      </w:r>
    </w:p>
    <w:p w:rsidRPr="00AC5503" w:rsidR="00413448" w:rsidP="00413448" w:rsidRDefault="003768FE" w14:paraId="6BDBCF28" w14:textId="489AF723">
      <w:pPr>
        <w:pStyle w:val="standard"/>
        <w:rPr>
          <w:rFonts w:ascii="Book Antiqua" w:hAnsi="Book Antiqua"/>
        </w:rPr>
      </w:pPr>
      <w:r w:rsidRPr="00AC5503">
        <w:rPr>
          <w:rFonts w:ascii="Book Antiqua" w:hAnsi="Book Antiqua"/>
        </w:rPr>
        <w:t>In accordance with Rule</w:t>
      </w:r>
      <w:r w:rsidR="00AE2BFD">
        <w:rPr>
          <w:rFonts w:ascii="Book Antiqua" w:hAnsi="Book Antiqua"/>
        </w:rPr>
        <w:t> </w:t>
      </w:r>
      <w:r w:rsidRPr="00AC5503" w:rsidR="002F2E52">
        <w:rPr>
          <w:rFonts w:ascii="Book Antiqua" w:hAnsi="Book Antiqua"/>
        </w:rPr>
        <w:t>7.1</w:t>
      </w:r>
      <w:r w:rsidRPr="00AC5503">
        <w:rPr>
          <w:rFonts w:ascii="Book Antiqua" w:hAnsi="Book Antiqua"/>
        </w:rPr>
        <w:t>(</w:t>
      </w:r>
      <w:r w:rsidRPr="00AC5503" w:rsidR="002F2E52">
        <w:rPr>
          <w:rFonts w:ascii="Book Antiqua" w:hAnsi="Book Antiqua"/>
        </w:rPr>
        <w:t>d</w:t>
      </w:r>
      <w:r w:rsidRPr="00AC5503">
        <w:rPr>
          <w:rFonts w:ascii="Book Antiqua" w:hAnsi="Book Antiqua"/>
        </w:rPr>
        <w:t xml:space="preserve">), a preliminary scoping memo is included in this OIR.  This scoping </w:t>
      </w:r>
      <w:r w:rsidRPr="00AC5503" w:rsidR="00BE0609">
        <w:rPr>
          <w:rFonts w:ascii="Book Antiqua" w:hAnsi="Book Antiqua"/>
        </w:rPr>
        <w:t xml:space="preserve">memo </w:t>
      </w:r>
      <w:r w:rsidRPr="00AC5503">
        <w:rPr>
          <w:rFonts w:ascii="Book Antiqua" w:hAnsi="Book Antiqua"/>
        </w:rPr>
        <w:t xml:space="preserve">is </w:t>
      </w:r>
      <w:r w:rsidR="00AB1238">
        <w:rPr>
          <w:rFonts w:ascii="Book Antiqua" w:hAnsi="Book Antiqua"/>
        </w:rPr>
        <w:t>reflected</w:t>
      </w:r>
      <w:r w:rsidRPr="00AC5503">
        <w:rPr>
          <w:rFonts w:ascii="Book Antiqua" w:hAnsi="Book Antiqua"/>
        </w:rPr>
        <w:t xml:space="preserve"> below in the discussion of issues, preliminary determination of category, preliminary determination of need for hearing, and schedule.</w:t>
      </w:r>
    </w:p>
    <w:p w:rsidR="00413448" w:rsidP="00C326DD" w:rsidRDefault="00413448" w14:paraId="6AA7297D" w14:textId="77777777">
      <w:pPr>
        <w:pStyle w:val="StyleHeading1Before0pt1"/>
      </w:pPr>
      <w:r>
        <w:t>Issues</w:t>
      </w:r>
    </w:p>
    <w:p w:rsidR="00E82538" w:rsidP="00AE2BFD" w:rsidRDefault="0026116C" w14:paraId="1F9D44FB" w14:textId="3598CDED">
      <w:pPr>
        <w:pStyle w:val="standard"/>
        <w:numPr>
          <w:ilvl w:val="0"/>
          <w:numId w:val="25"/>
        </w:numPr>
        <w:spacing w:after="120" w:line="240" w:lineRule="auto"/>
        <w:ind w:left="1080" w:right="1440"/>
        <w:rPr>
          <w:rFonts w:ascii="Book Antiqua" w:hAnsi="Book Antiqua"/>
        </w:rPr>
      </w:pPr>
      <w:r>
        <w:rPr>
          <w:rFonts w:ascii="Book Antiqua" w:hAnsi="Book Antiqua"/>
        </w:rPr>
        <w:t>What changes should be adopted to GO 131-D are necessary to c</w:t>
      </w:r>
      <w:r w:rsidR="00E82538">
        <w:rPr>
          <w:rFonts w:ascii="Book Antiqua" w:hAnsi="Book Antiqua"/>
        </w:rPr>
        <w:t xml:space="preserve">onform </w:t>
      </w:r>
      <w:r>
        <w:rPr>
          <w:rFonts w:ascii="Book Antiqua" w:hAnsi="Book Antiqua"/>
        </w:rPr>
        <w:t>it</w:t>
      </w:r>
      <w:r w:rsidR="00E82538">
        <w:rPr>
          <w:rFonts w:ascii="Book Antiqua" w:hAnsi="Book Antiqua"/>
        </w:rPr>
        <w:t xml:space="preserve"> to the requirements of SB 529 (Hertzberg), 2022</w:t>
      </w:r>
      <w:r>
        <w:rPr>
          <w:rFonts w:ascii="Book Antiqua" w:hAnsi="Book Antiqua"/>
        </w:rPr>
        <w:t>?</w:t>
      </w:r>
      <w:r w:rsidR="00E82538">
        <w:rPr>
          <w:rFonts w:ascii="Book Antiqua" w:hAnsi="Book Antiqua"/>
        </w:rPr>
        <w:t xml:space="preserve"> </w:t>
      </w:r>
    </w:p>
    <w:p w:rsidR="000C2B34" w:rsidP="00AE2BFD" w:rsidRDefault="000C2B34" w14:paraId="15627C07" w14:textId="00A38425">
      <w:pPr>
        <w:pStyle w:val="standard"/>
        <w:numPr>
          <w:ilvl w:val="0"/>
          <w:numId w:val="25"/>
        </w:numPr>
        <w:spacing w:after="120" w:line="240" w:lineRule="auto"/>
        <w:ind w:left="1080" w:right="1440"/>
        <w:rPr>
          <w:rFonts w:ascii="Book Antiqua" w:hAnsi="Book Antiqua"/>
        </w:rPr>
      </w:pPr>
      <w:r>
        <w:rPr>
          <w:rFonts w:ascii="Book Antiqua" w:hAnsi="Book Antiqua"/>
        </w:rPr>
        <w:t>Should the Commission modify GO</w:t>
      </w:r>
      <w:r w:rsidR="00C405EF">
        <w:rPr>
          <w:rFonts w:ascii="Book Antiqua" w:hAnsi="Book Antiqua"/>
        </w:rPr>
        <w:t> </w:t>
      </w:r>
      <w:r>
        <w:rPr>
          <w:rFonts w:ascii="Book Antiqua" w:hAnsi="Book Antiqua"/>
        </w:rPr>
        <w:t>131</w:t>
      </w:r>
      <w:r w:rsidR="00C405EF">
        <w:rPr>
          <w:rFonts w:ascii="Book Antiqua" w:hAnsi="Book Antiqua"/>
        </w:rPr>
        <w:noBreakHyphen/>
      </w:r>
      <w:r>
        <w:rPr>
          <w:rFonts w:ascii="Book Antiqua" w:hAnsi="Book Antiqua"/>
        </w:rPr>
        <w:t xml:space="preserve">D to: </w:t>
      </w:r>
    </w:p>
    <w:p w:rsidRPr="00AC5503" w:rsidR="000C2B34" w:rsidP="00AE2BFD" w:rsidRDefault="000C2B34" w14:paraId="0EF3721A" w14:textId="096E4D10">
      <w:pPr>
        <w:pStyle w:val="standard"/>
        <w:numPr>
          <w:ilvl w:val="0"/>
          <w:numId w:val="26"/>
        </w:numPr>
        <w:spacing w:after="120" w:line="240" w:lineRule="auto"/>
        <w:ind w:left="1530" w:right="1440" w:hanging="450"/>
        <w:rPr>
          <w:rFonts w:ascii="Book Antiqua" w:hAnsi="Book Antiqua"/>
          <w:szCs w:val="26"/>
        </w:rPr>
      </w:pPr>
      <w:r>
        <w:rPr>
          <w:rFonts w:ascii="Book Antiqua" w:hAnsi="Book Antiqua"/>
          <w:szCs w:val="26"/>
        </w:rPr>
        <w:t>R</w:t>
      </w:r>
      <w:r w:rsidRPr="00AC5503">
        <w:rPr>
          <w:rFonts w:ascii="Book Antiqua" w:hAnsi="Book Antiqua"/>
          <w:szCs w:val="26"/>
        </w:rPr>
        <w:t xml:space="preserve">eflect changes in </w:t>
      </w:r>
      <w:r>
        <w:rPr>
          <w:rFonts w:ascii="Book Antiqua" w:hAnsi="Book Antiqua"/>
          <w:szCs w:val="26"/>
        </w:rPr>
        <w:t>Commission R</w:t>
      </w:r>
      <w:r w:rsidRPr="00AC5503">
        <w:rPr>
          <w:rFonts w:ascii="Book Antiqua" w:hAnsi="Book Antiqua"/>
          <w:szCs w:val="26"/>
        </w:rPr>
        <w:t xml:space="preserve">ules and </w:t>
      </w:r>
      <w:r>
        <w:rPr>
          <w:rFonts w:ascii="Book Antiqua" w:hAnsi="Book Antiqua"/>
          <w:szCs w:val="26"/>
        </w:rPr>
        <w:t xml:space="preserve">other </w:t>
      </w:r>
      <w:r w:rsidRPr="00AC5503">
        <w:rPr>
          <w:rFonts w:ascii="Book Antiqua" w:hAnsi="Book Antiqua"/>
          <w:szCs w:val="26"/>
        </w:rPr>
        <w:t xml:space="preserve">regulations that have occurred since </w:t>
      </w:r>
      <w:r>
        <w:rPr>
          <w:rFonts w:ascii="Book Antiqua" w:hAnsi="Book Antiqua"/>
          <w:szCs w:val="26"/>
        </w:rPr>
        <w:t>GO</w:t>
      </w:r>
      <w:r w:rsidR="00C405EF">
        <w:rPr>
          <w:rFonts w:ascii="Book Antiqua" w:hAnsi="Book Antiqua"/>
          <w:szCs w:val="26"/>
        </w:rPr>
        <w:t> </w:t>
      </w:r>
      <w:r>
        <w:rPr>
          <w:rFonts w:ascii="Book Antiqua" w:hAnsi="Book Antiqua"/>
          <w:szCs w:val="26"/>
        </w:rPr>
        <w:t>131</w:t>
      </w:r>
      <w:r w:rsidR="00C405EF">
        <w:rPr>
          <w:rFonts w:ascii="Book Antiqua" w:hAnsi="Book Antiqua"/>
          <w:szCs w:val="26"/>
        </w:rPr>
        <w:noBreakHyphen/>
      </w:r>
      <w:r>
        <w:rPr>
          <w:rFonts w:ascii="Book Antiqua" w:hAnsi="Book Antiqua"/>
          <w:szCs w:val="26"/>
        </w:rPr>
        <w:t xml:space="preserve">D was </w:t>
      </w:r>
      <w:r w:rsidR="0026116C">
        <w:rPr>
          <w:rFonts w:ascii="Book Antiqua" w:hAnsi="Book Antiqua"/>
          <w:szCs w:val="26"/>
        </w:rPr>
        <w:t xml:space="preserve">last </w:t>
      </w:r>
      <w:r>
        <w:rPr>
          <w:rFonts w:ascii="Book Antiqua" w:hAnsi="Book Antiqua"/>
          <w:szCs w:val="26"/>
        </w:rPr>
        <w:t xml:space="preserve">modified </w:t>
      </w:r>
      <w:r w:rsidRPr="00AC5503">
        <w:rPr>
          <w:rFonts w:ascii="Book Antiqua" w:hAnsi="Book Antiqua"/>
          <w:szCs w:val="26"/>
        </w:rPr>
        <w:t>in 1995</w:t>
      </w:r>
      <w:r>
        <w:rPr>
          <w:rFonts w:ascii="Book Antiqua" w:hAnsi="Book Antiqua"/>
          <w:szCs w:val="26"/>
        </w:rPr>
        <w:t>?</w:t>
      </w:r>
    </w:p>
    <w:p w:rsidRPr="00AC5503" w:rsidR="000C2B34" w:rsidP="00AE2BFD" w:rsidRDefault="000C2B34" w14:paraId="2C6D0D1D" w14:textId="3D4B537A">
      <w:pPr>
        <w:pStyle w:val="standard"/>
        <w:numPr>
          <w:ilvl w:val="0"/>
          <w:numId w:val="26"/>
        </w:numPr>
        <w:spacing w:after="120" w:line="240" w:lineRule="auto"/>
        <w:ind w:left="1530" w:right="1440" w:hanging="450"/>
        <w:rPr>
          <w:rFonts w:ascii="Book Antiqua" w:hAnsi="Book Antiqua"/>
          <w:szCs w:val="26"/>
        </w:rPr>
      </w:pPr>
      <w:r>
        <w:rPr>
          <w:rFonts w:ascii="Book Antiqua" w:hAnsi="Book Antiqua"/>
          <w:szCs w:val="26"/>
        </w:rPr>
        <w:t>P</w:t>
      </w:r>
      <w:r w:rsidRPr="00AC5503">
        <w:rPr>
          <w:rFonts w:ascii="Book Antiqua" w:hAnsi="Book Antiqua"/>
          <w:szCs w:val="26"/>
        </w:rPr>
        <w:t>rovide the C</w:t>
      </w:r>
      <w:r>
        <w:rPr>
          <w:rFonts w:ascii="Book Antiqua" w:hAnsi="Book Antiqua"/>
          <w:szCs w:val="26"/>
        </w:rPr>
        <w:t>ommission</w:t>
      </w:r>
      <w:r w:rsidRPr="00AC5503">
        <w:rPr>
          <w:rFonts w:ascii="Book Antiqua" w:hAnsi="Book Antiqua"/>
          <w:szCs w:val="26"/>
        </w:rPr>
        <w:t xml:space="preserve"> with better cost information for electrical infrastructure projects</w:t>
      </w:r>
      <w:r>
        <w:rPr>
          <w:rFonts w:ascii="Book Antiqua" w:hAnsi="Book Antiqua"/>
          <w:szCs w:val="26"/>
        </w:rPr>
        <w:t>?</w:t>
      </w:r>
    </w:p>
    <w:p w:rsidRPr="000C2B34" w:rsidR="000C2B34" w:rsidP="00AE2BFD" w:rsidRDefault="000C2B34" w14:paraId="1210554E" w14:textId="5D8C9283">
      <w:pPr>
        <w:pStyle w:val="standard"/>
        <w:numPr>
          <w:ilvl w:val="0"/>
          <w:numId w:val="26"/>
        </w:numPr>
        <w:spacing w:after="120" w:line="240" w:lineRule="auto"/>
        <w:ind w:left="1530" w:right="1440" w:hanging="450"/>
        <w:rPr>
          <w:rFonts w:ascii="Book Antiqua" w:hAnsi="Book Antiqua"/>
          <w:szCs w:val="26"/>
        </w:rPr>
      </w:pPr>
      <w:r>
        <w:rPr>
          <w:rFonts w:ascii="Book Antiqua" w:hAnsi="Book Antiqua"/>
          <w:szCs w:val="26"/>
        </w:rPr>
        <w:t>C</w:t>
      </w:r>
      <w:r w:rsidRPr="00AC5503">
        <w:rPr>
          <w:rFonts w:ascii="Book Antiqua" w:hAnsi="Book Antiqua"/>
          <w:szCs w:val="26"/>
        </w:rPr>
        <w:t>reate a process for permitting battery storage projects</w:t>
      </w:r>
      <w:r>
        <w:rPr>
          <w:rFonts w:ascii="Book Antiqua" w:hAnsi="Book Antiqua"/>
          <w:szCs w:val="26"/>
        </w:rPr>
        <w:t>?</w:t>
      </w:r>
    </w:p>
    <w:p w:rsidRPr="00AC5503" w:rsidR="000C2B34" w:rsidP="00AE2BFD" w:rsidRDefault="000C2B34" w14:paraId="3A75EF6D" w14:textId="2E31F96F">
      <w:pPr>
        <w:pStyle w:val="standard"/>
        <w:numPr>
          <w:ilvl w:val="0"/>
          <w:numId w:val="26"/>
        </w:numPr>
        <w:spacing w:after="120" w:line="240" w:lineRule="auto"/>
        <w:ind w:left="1530" w:right="1440" w:hanging="450"/>
        <w:rPr>
          <w:rFonts w:ascii="Book Antiqua" w:hAnsi="Book Antiqua"/>
          <w:szCs w:val="26"/>
        </w:rPr>
      </w:pPr>
      <w:r>
        <w:rPr>
          <w:rFonts w:ascii="Book Antiqua" w:hAnsi="Book Antiqua"/>
          <w:szCs w:val="26"/>
        </w:rPr>
        <w:lastRenderedPageBreak/>
        <w:t>R</w:t>
      </w:r>
      <w:r w:rsidRPr="00AC5503">
        <w:rPr>
          <w:rFonts w:ascii="Book Antiqua" w:hAnsi="Book Antiqua"/>
          <w:szCs w:val="26"/>
        </w:rPr>
        <w:t>espond to requests from resource agencies for the C</w:t>
      </w:r>
      <w:r>
        <w:rPr>
          <w:rFonts w:ascii="Book Antiqua" w:hAnsi="Book Antiqua"/>
          <w:szCs w:val="26"/>
        </w:rPr>
        <w:t>ommission</w:t>
      </w:r>
      <w:r w:rsidRPr="00AC5503">
        <w:rPr>
          <w:rFonts w:ascii="Book Antiqua" w:hAnsi="Book Antiqua"/>
          <w:szCs w:val="26"/>
        </w:rPr>
        <w:t xml:space="preserve"> to serve as the lead agency pursuant to CEQA</w:t>
      </w:r>
      <w:r>
        <w:rPr>
          <w:rStyle w:val="FootnoteReference"/>
          <w:rFonts w:ascii="Book Antiqua" w:hAnsi="Book Antiqua"/>
          <w:szCs w:val="26"/>
        </w:rPr>
        <w:footnoteReference w:id="7"/>
      </w:r>
      <w:r w:rsidRPr="00AC5503">
        <w:rPr>
          <w:rFonts w:ascii="Book Antiqua" w:hAnsi="Book Antiqua"/>
          <w:szCs w:val="26"/>
        </w:rPr>
        <w:t xml:space="preserve"> for all electric infrastructure projects requiring discretionary permits</w:t>
      </w:r>
      <w:r>
        <w:rPr>
          <w:rFonts w:ascii="Book Antiqua" w:hAnsi="Book Antiqua"/>
          <w:szCs w:val="26"/>
        </w:rPr>
        <w:t>?</w:t>
      </w:r>
    </w:p>
    <w:p w:rsidRPr="00AC5503" w:rsidR="000C2B34" w:rsidP="00AE2BFD" w:rsidRDefault="000C2B34" w14:paraId="596EEEA8" w14:textId="5E5FECB3">
      <w:pPr>
        <w:pStyle w:val="standard"/>
        <w:numPr>
          <w:ilvl w:val="0"/>
          <w:numId w:val="26"/>
        </w:numPr>
        <w:spacing w:after="120" w:line="240" w:lineRule="auto"/>
        <w:ind w:left="1530" w:right="1440" w:hanging="450"/>
        <w:rPr>
          <w:rFonts w:ascii="Book Antiqua" w:hAnsi="Book Antiqua"/>
          <w:szCs w:val="26"/>
        </w:rPr>
      </w:pPr>
      <w:r>
        <w:rPr>
          <w:rFonts w:ascii="Book Antiqua" w:hAnsi="Book Antiqua"/>
          <w:szCs w:val="26"/>
        </w:rPr>
        <w:t>I</w:t>
      </w:r>
      <w:r w:rsidRPr="00AC5503">
        <w:rPr>
          <w:rFonts w:ascii="Book Antiqua" w:hAnsi="Book Antiqua"/>
          <w:szCs w:val="26"/>
        </w:rPr>
        <w:t xml:space="preserve">ncrease cost transparency for projects subject to </w:t>
      </w:r>
      <w:r>
        <w:rPr>
          <w:rFonts w:ascii="Book Antiqua" w:hAnsi="Book Antiqua"/>
          <w:szCs w:val="26"/>
        </w:rPr>
        <w:t>GO</w:t>
      </w:r>
      <w:r w:rsidR="00C405EF">
        <w:rPr>
          <w:rFonts w:ascii="Book Antiqua" w:hAnsi="Book Antiqua"/>
          <w:szCs w:val="26"/>
        </w:rPr>
        <w:t> </w:t>
      </w:r>
      <w:r>
        <w:rPr>
          <w:rFonts w:ascii="Book Antiqua" w:hAnsi="Book Antiqua"/>
          <w:szCs w:val="26"/>
        </w:rPr>
        <w:t>131</w:t>
      </w:r>
      <w:r w:rsidR="00C405EF">
        <w:rPr>
          <w:rFonts w:ascii="Book Antiqua" w:hAnsi="Book Antiqua"/>
          <w:szCs w:val="26"/>
        </w:rPr>
        <w:noBreakHyphen/>
      </w:r>
      <w:r>
        <w:rPr>
          <w:rFonts w:ascii="Book Antiqua" w:hAnsi="Book Antiqua"/>
          <w:szCs w:val="26"/>
        </w:rPr>
        <w:t>D?</w:t>
      </w:r>
    </w:p>
    <w:p w:rsidRPr="00AC5503" w:rsidR="000C2B34" w:rsidP="00AE2BFD" w:rsidRDefault="000C2B34" w14:paraId="0FC67681" w14:textId="70EF1313">
      <w:pPr>
        <w:pStyle w:val="standard"/>
        <w:numPr>
          <w:ilvl w:val="0"/>
          <w:numId w:val="26"/>
        </w:numPr>
        <w:spacing w:after="120" w:line="240" w:lineRule="auto"/>
        <w:ind w:left="1530" w:right="1440" w:hanging="450"/>
        <w:rPr>
          <w:rFonts w:ascii="Book Antiqua" w:hAnsi="Book Antiqua"/>
          <w:szCs w:val="26"/>
        </w:rPr>
      </w:pPr>
      <w:r w:rsidRPr="00AC5503">
        <w:rPr>
          <w:rFonts w:ascii="Book Antiqua" w:hAnsi="Book Antiqua"/>
          <w:szCs w:val="26"/>
        </w:rPr>
        <w:t>Provide better notice to local governments of projects in their locality</w:t>
      </w:r>
      <w:r>
        <w:rPr>
          <w:rFonts w:ascii="Book Antiqua" w:hAnsi="Book Antiqua"/>
          <w:szCs w:val="26"/>
        </w:rPr>
        <w:t xml:space="preserve">? </w:t>
      </w:r>
    </w:p>
    <w:p w:rsidR="000C2B34" w:rsidP="00AE2BFD" w:rsidRDefault="000C2B34" w14:paraId="4BBCF3AD" w14:textId="376330B0">
      <w:pPr>
        <w:pStyle w:val="standard"/>
        <w:numPr>
          <w:ilvl w:val="0"/>
          <w:numId w:val="26"/>
        </w:numPr>
        <w:spacing w:after="120" w:line="240" w:lineRule="auto"/>
        <w:ind w:left="1530" w:right="1440" w:hanging="450"/>
        <w:rPr>
          <w:rFonts w:ascii="Book Antiqua" w:hAnsi="Book Antiqua"/>
        </w:rPr>
      </w:pPr>
      <w:r w:rsidRPr="00AE2BFD">
        <w:rPr>
          <w:rFonts w:ascii="Book Antiqua" w:hAnsi="Book Antiqua"/>
          <w:szCs w:val="26"/>
        </w:rPr>
        <w:t>Better</w:t>
      </w:r>
      <w:r w:rsidRPr="599F0BE9">
        <w:rPr>
          <w:rFonts w:ascii="Book Antiqua" w:hAnsi="Book Antiqua"/>
        </w:rPr>
        <w:t xml:space="preserve"> align GO</w:t>
      </w:r>
      <w:r w:rsidR="00C405EF">
        <w:rPr>
          <w:rFonts w:ascii="Book Antiqua" w:hAnsi="Book Antiqua"/>
        </w:rPr>
        <w:t> </w:t>
      </w:r>
      <w:r w:rsidRPr="599F0BE9">
        <w:rPr>
          <w:rFonts w:ascii="Book Antiqua" w:hAnsi="Book Antiqua"/>
        </w:rPr>
        <w:t>131-D with GO</w:t>
      </w:r>
      <w:r w:rsidR="00C405EF">
        <w:rPr>
          <w:rFonts w:ascii="Book Antiqua" w:hAnsi="Book Antiqua"/>
        </w:rPr>
        <w:t> </w:t>
      </w:r>
      <w:r w:rsidRPr="599F0BE9">
        <w:rPr>
          <w:rFonts w:ascii="Book Antiqua" w:hAnsi="Book Antiqua"/>
        </w:rPr>
        <w:t>96</w:t>
      </w:r>
      <w:r w:rsidR="00C405EF">
        <w:rPr>
          <w:rFonts w:ascii="Book Antiqua" w:hAnsi="Book Antiqua"/>
        </w:rPr>
        <w:noBreakHyphen/>
      </w:r>
      <w:r w:rsidRPr="599F0BE9">
        <w:rPr>
          <w:rFonts w:ascii="Book Antiqua" w:hAnsi="Book Antiqua"/>
        </w:rPr>
        <w:t>B?</w:t>
      </w:r>
    </w:p>
    <w:p w:rsidR="00787EA4" w:rsidP="00AE2BFD" w:rsidRDefault="00787EA4" w14:paraId="734F92D8" w14:textId="777ABFB5">
      <w:pPr>
        <w:pStyle w:val="standard"/>
        <w:numPr>
          <w:ilvl w:val="0"/>
          <w:numId w:val="26"/>
        </w:numPr>
        <w:spacing w:after="120" w:line="240" w:lineRule="auto"/>
        <w:ind w:left="1530" w:right="1440" w:hanging="450"/>
        <w:rPr>
          <w:rFonts w:ascii="Book Antiqua" w:hAnsi="Book Antiqua"/>
        </w:rPr>
      </w:pPr>
      <w:r>
        <w:rPr>
          <w:rFonts w:ascii="Book Antiqua" w:hAnsi="Book Antiqua"/>
        </w:rPr>
        <w:t>Adopt other changes to GO 131-D as needed?</w:t>
      </w:r>
    </w:p>
    <w:p w:rsidRPr="00AC5503" w:rsidR="0083387D" w:rsidP="0083387D" w:rsidRDefault="0083387D" w14:paraId="5A0713B2" w14:textId="3FE2BE0F">
      <w:pPr>
        <w:pStyle w:val="standard"/>
        <w:rPr>
          <w:rFonts w:ascii="Book Antiqua" w:hAnsi="Book Antiqua"/>
        </w:rPr>
      </w:pPr>
      <w:r w:rsidRPr="00AC5503">
        <w:rPr>
          <w:rFonts w:ascii="Book Antiqua" w:hAnsi="Book Antiqua"/>
        </w:rPr>
        <w:t xml:space="preserve">The precise issues to be addressed and the process for addressing those issues will be set forth in an </w:t>
      </w:r>
      <w:r w:rsidR="00C405EF">
        <w:rPr>
          <w:rFonts w:ascii="Book Antiqua" w:hAnsi="Book Antiqua"/>
        </w:rPr>
        <w:t>a</w:t>
      </w:r>
      <w:r w:rsidRPr="00AC5503">
        <w:rPr>
          <w:rFonts w:ascii="Book Antiqua" w:hAnsi="Book Antiqua"/>
        </w:rPr>
        <w:t xml:space="preserve">ssigned Commissioner’s </w:t>
      </w:r>
      <w:r w:rsidR="00C405EF">
        <w:rPr>
          <w:rFonts w:ascii="Book Antiqua" w:hAnsi="Book Antiqua"/>
        </w:rPr>
        <w:t>s</w:t>
      </w:r>
      <w:r w:rsidRPr="00AC5503">
        <w:rPr>
          <w:rFonts w:ascii="Book Antiqua" w:hAnsi="Book Antiqua"/>
        </w:rPr>
        <w:t xml:space="preserve">coping </w:t>
      </w:r>
      <w:r w:rsidR="00C405EF">
        <w:rPr>
          <w:rFonts w:ascii="Book Antiqua" w:hAnsi="Book Antiqua"/>
        </w:rPr>
        <w:t>m</w:t>
      </w:r>
      <w:r w:rsidRPr="00AC5503">
        <w:rPr>
          <w:rFonts w:ascii="Book Antiqua" w:hAnsi="Book Antiqua"/>
        </w:rPr>
        <w:t>emo.</w:t>
      </w:r>
    </w:p>
    <w:p w:rsidR="002F5080" w:rsidP="00C326DD" w:rsidRDefault="002F5080" w14:paraId="4AC4E386" w14:textId="3E1EE5AB">
      <w:pPr>
        <w:pStyle w:val="StyleHeading1Before0pt1"/>
      </w:pPr>
      <w:r>
        <w:t xml:space="preserve">Questions for Party Comment </w:t>
      </w:r>
    </w:p>
    <w:p w:rsidR="00EB3281" w:rsidP="00EB3281" w:rsidRDefault="000C2B34" w14:paraId="67D7C561" w14:textId="0E4D4E06">
      <w:pPr>
        <w:pStyle w:val="standard"/>
        <w:rPr>
          <w:rFonts w:ascii="Book Antiqua" w:hAnsi="Book Antiqua"/>
        </w:rPr>
      </w:pPr>
      <w:r w:rsidRPr="4B5670C7">
        <w:rPr>
          <w:rFonts w:ascii="Book Antiqua" w:hAnsi="Book Antiqua"/>
        </w:rPr>
        <w:t>Respondents to this OIR shall</w:t>
      </w:r>
      <w:r w:rsidR="00FD5F20">
        <w:rPr>
          <w:rFonts w:ascii="Book Antiqua" w:hAnsi="Book Antiqua"/>
        </w:rPr>
        <w:t>,</w:t>
      </w:r>
      <w:r w:rsidRPr="4B5670C7">
        <w:rPr>
          <w:rFonts w:ascii="Book Antiqua" w:hAnsi="Book Antiqua"/>
        </w:rPr>
        <w:t xml:space="preserve"> and other potential parties may</w:t>
      </w:r>
      <w:r w:rsidR="00FD5F20">
        <w:rPr>
          <w:rFonts w:ascii="Book Antiqua" w:hAnsi="Book Antiqua"/>
        </w:rPr>
        <w:t>,</w:t>
      </w:r>
      <w:r w:rsidRPr="4B5670C7">
        <w:rPr>
          <w:rFonts w:ascii="Book Antiqua" w:hAnsi="Book Antiqua"/>
        </w:rPr>
        <w:t xml:space="preserve"> file comments in response to this OIR not later than 30</w:t>
      </w:r>
      <w:r w:rsidR="00C405EF">
        <w:rPr>
          <w:rFonts w:ascii="Book Antiqua" w:hAnsi="Book Antiqua"/>
        </w:rPr>
        <w:t> </w:t>
      </w:r>
      <w:r w:rsidRPr="4B5670C7">
        <w:rPr>
          <w:rFonts w:ascii="Book Antiqua" w:hAnsi="Book Antiqua"/>
        </w:rPr>
        <w:t xml:space="preserve">days from </w:t>
      </w:r>
      <w:r w:rsidR="00CA7D51">
        <w:rPr>
          <w:rFonts w:ascii="Book Antiqua" w:hAnsi="Book Antiqua"/>
        </w:rPr>
        <w:t xml:space="preserve">the </w:t>
      </w:r>
      <w:r w:rsidRPr="4B5670C7">
        <w:rPr>
          <w:rFonts w:ascii="Book Antiqua" w:hAnsi="Book Antiqua"/>
        </w:rPr>
        <w:t>issuance</w:t>
      </w:r>
      <w:r w:rsidR="00CA7D51">
        <w:rPr>
          <w:rFonts w:ascii="Book Antiqua" w:hAnsi="Book Antiqua"/>
        </w:rPr>
        <w:t xml:space="preserve"> date of this OIR</w:t>
      </w:r>
      <w:r w:rsidRPr="4B5670C7">
        <w:rPr>
          <w:rFonts w:ascii="Book Antiqua" w:hAnsi="Book Antiqua"/>
        </w:rPr>
        <w:t xml:space="preserve"> responding to the questions below.</w:t>
      </w:r>
      <w:r w:rsidR="00C869F2">
        <w:rPr>
          <w:rFonts w:ascii="Book Antiqua" w:hAnsi="Book Antiqua"/>
        </w:rPr>
        <w:t xml:space="preserve">  </w:t>
      </w:r>
      <w:r w:rsidRPr="4B5670C7">
        <w:rPr>
          <w:rFonts w:ascii="Book Antiqua" w:hAnsi="Book Antiqua"/>
        </w:rPr>
        <w:t>Respondents to this OIR shall</w:t>
      </w:r>
      <w:r w:rsidR="00FD5F20">
        <w:rPr>
          <w:rFonts w:ascii="Book Antiqua" w:hAnsi="Book Antiqua"/>
        </w:rPr>
        <w:t>,</w:t>
      </w:r>
      <w:r w:rsidRPr="4B5670C7">
        <w:rPr>
          <w:rFonts w:ascii="Book Antiqua" w:hAnsi="Book Antiqua"/>
        </w:rPr>
        <w:t xml:space="preserve"> and other parties may</w:t>
      </w:r>
      <w:r w:rsidR="00FD5F20">
        <w:rPr>
          <w:rFonts w:ascii="Book Antiqua" w:hAnsi="Book Antiqua"/>
        </w:rPr>
        <w:t>,</w:t>
      </w:r>
      <w:r w:rsidRPr="4B5670C7">
        <w:rPr>
          <w:rFonts w:ascii="Book Antiqua" w:hAnsi="Book Antiqua"/>
        </w:rPr>
        <w:t xml:space="preserve"> file reply comments to this OIR no later than 15</w:t>
      </w:r>
      <w:r w:rsidR="00C405EF">
        <w:rPr>
          <w:rFonts w:ascii="Book Antiqua" w:hAnsi="Book Antiqua"/>
        </w:rPr>
        <w:t> </w:t>
      </w:r>
      <w:r w:rsidRPr="4B5670C7">
        <w:rPr>
          <w:rFonts w:ascii="Book Antiqua" w:hAnsi="Book Antiqua"/>
        </w:rPr>
        <w:t xml:space="preserve">days after the due date for opening comments.  </w:t>
      </w:r>
    </w:p>
    <w:p w:rsidRPr="00C405EF" w:rsidR="005E1854" w:rsidP="00C405EF" w:rsidRDefault="005E1854" w14:paraId="416A9A25" w14:textId="15847BB3">
      <w:pPr>
        <w:pStyle w:val="standard"/>
        <w:ind w:left="720" w:firstLine="0"/>
        <w:rPr>
          <w:rFonts w:ascii="Book Antiqua" w:hAnsi="Book Antiqua"/>
          <w:b/>
          <w:bCs/>
          <w:u w:val="single"/>
        </w:rPr>
      </w:pPr>
      <w:r w:rsidRPr="00C405EF">
        <w:rPr>
          <w:rFonts w:ascii="Book Antiqua" w:hAnsi="Book Antiqua"/>
          <w:b/>
          <w:bCs/>
          <w:u w:val="single"/>
        </w:rPr>
        <w:t>Questions for Party Comment</w:t>
      </w:r>
      <w:r w:rsidR="00C405EF">
        <w:rPr>
          <w:rFonts w:ascii="Book Antiqua" w:hAnsi="Book Antiqua"/>
          <w:b/>
          <w:bCs/>
          <w:u w:val="single"/>
        </w:rPr>
        <w:t>:</w:t>
      </w:r>
    </w:p>
    <w:p w:rsidRPr="00AC5503" w:rsidR="00821A5A" w:rsidP="00C405EF" w:rsidRDefault="00821A5A" w14:paraId="578652CB" w14:textId="1AF34159">
      <w:pPr>
        <w:pStyle w:val="standard"/>
        <w:numPr>
          <w:ilvl w:val="0"/>
          <w:numId w:val="17"/>
        </w:numPr>
        <w:spacing w:after="120" w:line="240" w:lineRule="auto"/>
        <w:ind w:right="1440"/>
        <w:rPr>
          <w:rFonts w:ascii="Book Antiqua" w:hAnsi="Book Antiqua"/>
        </w:rPr>
      </w:pPr>
      <w:r w:rsidRPr="00AC5503">
        <w:rPr>
          <w:rFonts w:ascii="Book Antiqua" w:hAnsi="Book Antiqua"/>
        </w:rPr>
        <w:t xml:space="preserve">Do the proposed changes in the two versions of </w:t>
      </w:r>
      <w:r w:rsidR="00CA7D51">
        <w:rPr>
          <w:rFonts w:ascii="Book Antiqua" w:hAnsi="Book Antiqua"/>
        </w:rPr>
        <w:t xml:space="preserve">the proposed </w:t>
      </w:r>
      <w:r w:rsidR="00B966EA">
        <w:rPr>
          <w:rFonts w:ascii="Book Antiqua" w:hAnsi="Book Antiqua"/>
        </w:rPr>
        <w:t>GO</w:t>
      </w:r>
      <w:r w:rsidR="00C405EF">
        <w:rPr>
          <w:rFonts w:ascii="Book Antiqua" w:hAnsi="Book Antiqua"/>
        </w:rPr>
        <w:t> </w:t>
      </w:r>
      <w:r w:rsidR="00B966EA">
        <w:rPr>
          <w:rFonts w:ascii="Book Antiqua" w:hAnsi="Book Antiqua"/>
        </w:rPr>
        <w:t>131</w:t>
      </w:r>
      <w:r w:rsidR="00C405EF">
        <w:rPr>
          <w:rFonts w:ascii="Book Antiqua" w:hAnsi="Book Antiqua"/>
        </w:rPr>
        <w:noBreakHyphen/>
      </w:r>
      <w:r w:rsidR="00CA7D51">
        <w:rPr>
          <w:rFonts w:ascii="Book Antiqua" w:hAnsi="Book Antiqua"/>
        </w:rPr>
        <w:t>E modifying GO 131-D and</w:t>
      </w:r>
      <w:r w:rsidRPr="00AC5503">
        <w:rPr>
          <w:rFonts w:ascii="Book Antiqua" w:hAnsi="Book Antiqua"/>
        </w:rPr>
        <w:t xml:space="preserve"> </w:t>
      </w:r>
      <w:r w:rsidR="00533B6E">
        <w:rPr>
          <w:rFonts w:ascii="Book Antiqua" w:hAnsi="Book Antiqua"/>
        </w:rPr>
        <w:t xml:space="preserve">appended to this OIR </w:t>
      </w:r>
      <w:r w:rsidRPr="00AC5503">
        <w:rPr>
          <w:rFonts w:ascii="Book Antiqua" w:hAnsi="Book Antiqua"/>
        </w:rPr>
        <w:t>comply with the requirements of SB</w:t>
      </w:r>
      <w:r w:rsidR="00C405EF">
        <w:rPr>
          <w:rFonts w:ascii="Book Antiqua" w:hAnsi="Book Antiqua"/>
        </w:rPr>
        <w:t> </w:t>
      </w:r>
      <w:r w:rsidRPr="00AC5503">
        <w:rPr>
          <w:rFonts w:ascii="Book Antiqua" w:hAnsi="Book Antiqua"/>
        </w:rPr>
        <w:t>529?</w:t>
      </w:r>
    </w:p>
    <w:p w:rsidR="00283464" w:rsidP="00394A65" w:rsidRDefault="00283464" w14:paraId="430624FD" w14:textId="011EB2A7">
      <w:pPr>
        <w:pStyle w:val="standard"/>
        <w:numPr>
          <w:ilvl w:val="0"/>
          <w:numId w:val="17"/>
        </w:numPr>
        <w:spacing w:after="120" w:line="240" w:lineRule="auto"/>
        <w:ind w:right="1440"/>
        <w:rPr>
          <w:rFonts w:ascii="Book Antiqua" w:hAnsi="Book Antiqua"/>
        </w:rPr>
      </w:pPr>
      <w:r>
        <w:rPr>
          <w:rFonts w:ascii="Book Antiqua" w:hAnsi="Book Antiqua"/>
        </w:rPr>
        <w:t xml:space="preserve">Should the Commission adopt the </w:t>
      </w:r>
      <w:r w:rsidRPr="00283464">
        <w:rPr>
          <w:rFonts w:ascii="Book Antiqua" w:hAnsi="Book Antiqua"/>
        </w:rPr>
        <w:t>propose</w:t>
      </w:r>
      <w:r>
        <w:rPr>
          <w:rFonts w:ascii="Book Antiqua" w:hAnsi="Book Antiqua"/>
        </w:rPr>
        <w:t xml:space="preserve">d </w:t>
      </w:r>
      <w:r w:rsidRPr="00283464">
        <w:rPr>
          <w:rFonts w:ascii="Book Antiqua" w:hAnsi="Book Antiqua"/>
        </w:rPr>
        <w:t>amendments to GO 131-D</w:t>
      </w:r>
      <w:r>
        <w:rPr>
          <w:rFonts w:ascii="Book Antiqua" w:hAnsi="Book Antiqua"/>
        </w:rPr>
        <w:t xml:space="preserve"> as reflected in the Attachment A version of GO 131-E that</w:t>
      </w:r>
      <w:r w:rsidRPr="00283464">
        <w:rPr>
          <w:rFonts w:ascii="Book Antiqua" w:hAnsi="Book Antiqua"/>
        </w:rPr>
        <w:t xml:space="preserve"> </w:t>
      </w:r>
      <w:r w:rsidR="00787EA4">
        <w:rPr>
          <w:rFonts w:ascii="Book Antiqua" w:hAnsi="Book Antiqua"/>
        </w:rPr>
        <w:t xml:space="preserve">include </w:t>
      </w:r>
      <w:r>
        <w:rPr>
          <w:rFonts w:ascii="Book Antiqua" w:hAnsi="Book Antiqua"/>
        </w:rPr>
        <w:t>only the modifications to GO 131-D necessary</w:t>
      </w:r>
      <w:r w:rsidRPr="00283464">
        <w:rPr>
          <w:rFonts w:ascii="Book Antiqua" w:hAnsi="Book Antiqua"/>
        </w:rPr>
        <w:t xml:space="preserve"> to conform to the requirements of SB 529 (Hertzberg), 2022</w:t>
      </w:r>
      <w:r>
        <w:rPr>
          <w:rFonts w:ascii="Book Antiqua" w:hAnsi="Book Antiqua"/>
        </w:rPr>
        <w:t xml:space="preserve">?  </w:t>
      </w:r>
      <w:r w:rsidRPr="00283464">
        <w:rPr>
          <w:rFonts w:ascii="Book Antiqua" w:hAnsi="Book Antiqua"/>
        </w:rPr>
        <w:t>Explain your response.</w:t>
      </w:r>
    </w:p>
    <w:p w:rsidRPr="00B90E07" w:rsidR="00CA7D51" w:rsidP="00394A65" w:rsidRDefault="00CA7D51" w14:paraId="33B6E6E8" w14:textId="66F2B320">
      <w:pPr>
        <w:pStyle w:val="standard"/>
        <w:numPr>
          <w:ilvl w:val="0"/>
          <w:numId w:val="17"/>
        </w:numPr>
        <w:spacing w:after="120" w:line="240" w:lineRule="auto"/>
        <w:ind w:right="1440"/>
        <w:rPr>
          <w:rFonts w:ascii="Book Antiqua" w:hAnsi="Book Antiqua"/>
        </w:rPr>
      </w:pPr>
      <w:r w:rsidRPr="00CA7D51">
        <w:rPr>
          <w:rFonts w:ascii="Book Antiqua" w:hAnsi="Book Antiqua"/>
        </w:rPr>
        <w:t xml:space="preserve">Should the Commission adopt the proposed amendments </w:t>
      </w:r>
      <w:r w:rsidRPr="00283464" w:rsidR="00283464">
        <w:rPr>
          <w:rFonts w:ascii="Book Antiqua" w:hAnsi="Book Antiqua"/>
        </w:rPr>
        <w:t xml:space="preserve">to GO 131-D as reflected in the Attachment </w:t>
      </w:r>
      <w:r w:rsidR="00283464">
        <w:rPr>
          <w:rFonts w:ascii="Book Antiqua" w:hAnsi="Book Antiqua"/>
        </w:rPr>
        <w:t>B</w:t>
      </w:r>
      <w:r w:rsidRPr="00283464" w:rsidR="00283464">
        <w:rPr>
          <w:rFonts w:ascii="Book Antiqua" w:hAnsi="Book Antiqua"/>
        </w:rPr>
        <w:t xml:space="preserve"> version of GO 131-E that </w:t>
      </w:r>
      <w:r w:rsidR="00787EA4">
        <w:rPr>
          <w:rFonts w:ascii="Book Antiqua" w:hAnsi="Book Antiqua"/>
        </w:rPr>
        <w:t xml:space="preserve">include </w:t>
      </w:r>
      <w:r w:rsidR="00283464">
        <w:rPr>
          <w:rFonts w:ascii="Book Antiqua" w:hAnsi="Book Antiqua"/>
        </w:rPr>
        <w:t xml:space="preserve">other </w:t>
      </w:r>
      <w:r w:rsidRPr="00283464" w:rsidR="00283464">
        <w:rPr>
          <w:rFonts w:ascii="Book Antiqua" w:hAnsi="Book Antiqua"/>
        </w:rPr>
        <w:t>modifications to GO 131-D</w:t>
      </w:r>
      <w:r w:rsidR="00283464">
        <w:rPr>
          <w:rFonts w:ascii="Book Antiqua" w:hAnsi="Book Antiqua"/>
        </w:rPr>
        <w:t xml:space="preserve"> in </w:t>
      </w:r>
      <w:r w:rsidR="00283464">
        <w:rPr>
          <w:rFonts w:ascii="Book Antiqua" w:hAnsi="Book Antiqua"/>
        </w:rPr>
        <w:lastRenderedPageBreak/>
        <w:t>addition to those</w:t>
      </w:r>
      <w:r w:rsidRPr="00CA7D51">
        <w:rPr>
          <w:rFonts w:ascii="Book Antiqua" w:hAnsi="Book Antiqua"/>
        </w:rPr>
        <w:t xml:space="preserve"> </w:t>
      </w:r>
      <w:r w:rsidR="00283464">
        <w:rPr>
          <w:rFonts w:ascii="Book Antiqua" w:hAnsi="Book Antiqua"/>
        </w:rPr>
        <w:t xml:space="preserve">modifications </w:t>
      </w:r>
      <w:r w:rsidRPr="00CA7D51">
        <w:rPr>
          <w:rFonts w:ascii="Book Antiqua" w:hAnsi="Book Antiqua"/>
        </w:rPr>
        <w:t>require</w:t>
      </w:r>
      <w:r w:rsidR="00283464">
        <w:rPr>
          <w:rFonts w:ascii="Book Antiqua" w:hAnsi="Book Antiqua"/>
        </w:rPr>
        <w:t>d by</w:t>
      </w:r>
      <w:r w:rsidRPr="00CA7D51">
        <w:rPr>
          <w:rFonts w:ascii="Book Antiqua" w:hAnsi="Book Antiqua"/>
        </w:rPr>
        <w:t xml:space="preserve"> SB 529?  Explain your response. </w:t>
      </w:r>
    </w:p>
    <w:p w:rsidRPr="00AC5503" w:rsidR="002E2C59" w:rsidP="00C405EF" w:rsidRDefault="00821A5A" w14:paraId="74A89AE5" w14:textId="56B130E8">
      <w:pPr>
        <w:pStyle w:val="standard"/>
        <w:numPr>
          <w:ilvl w:val="0"/>
          <w:numId w:val="17"/>
        </w:numPr>
        <w:spacing w:after="120" w:line="240" w:lineRule="auto"/>
        <w:ind w:right="1440"/>
        <w:rPr>
          <w:rFonts w:ascii="Book Antiqua" w:hAnsi="Book Antiqua"/>
        </w:rPr>
      </w:pPr>
      <w:r w:rsidRPr="00AC5503">
        <w:rPr>
          <w:rFonts w:ascii="Book Antiqua" w:hAnsi="Book Antiqua"/>
        </w:rPr>
        <w:t>Should the C</w:t>
      </w:r>
      <w:r w:rsidRPr="00AC5503" w:rsidR="00E761E5">
        <w:rPr>
          <w:rFonts w:ascii="Book Antiqua" w:hAnsi="Book Antiqua"/>
        </w:rPr>
        <w:t>ommission</w:t>
      </w:r>
      <w:r w:rsidRPr="00AC5503">
        <w:rPr>
          <w:rFonts w:ascii="Book Antiqua" w:hAnsi="Book Antiqua"/>
        </w:rPr>
        <w:t xml:space="preserve"> consider </w:t>
      </w:r>
      <w:r w:rsidR="00283464">
        <w:rPr>
          <w:rFonts w:ascii="Book Antiqua" w:hAnsi="Book Antiqua"/>
        </w:rPr>
        <w:t xml:space="preserve">any other </w:t>
      </w:r>
      <w:r w:rsidRPr="00AC5503">
        <w:rPr>
          <w:rFonts w:ascii="Book Antiqua" w:hAnsi="Book Antiqua"/>
        </w:rPr>
        <w:t xml:space="preserve">modifications to </w:t>
      </w:r>
      <w:r w:rsidR="00D80728">
        <w:rPr>
          <w:rFonts w:ascii="Book Antiqua" w:hAnsi="Book Antiqua"/>
        </w:rPr>
        <w:t>GO</w:t>
      </w:r>
      <w:r w:rsidR="00C405EF">
        <w:rPr>
          <w:rFonts w:ascii="Book Antiqua" w:hAnsi="Book Antiqua"/>
        </w:rPr>
        <w:t> </w:t>
      </w:r>
      <w:r w:rsidR="00D80728">
        <w:rPr>
          <w:rFonts w:ascii="Book Antiqua" w:hAnsi="Book Antiqua"/>
        </w:rPr>
        <w:t>131</w:t>
      </w:r>
      <w:r w:rsidR="00C405EF">
        <w:rPr>
          <w:rFonts w:ascii="Book Antiqua" w:hAnsi="Book Antiqua"/>
        </w:rPr>
        <w:noBreakHyphen/>
      </w:r>
      <w:r w:rsidR="00D80728">
        <w:rPr>
          <w:rFonts w:ascii="Book Antiqua" w:hAnsi="Book Antiqua"/>
        </w:rPr>
        <w:t>D</w:t>
      </w:r>
      <w:r w:rsidRPr="00AC5503">
        <w:rPr>
          <w:rFonts w:ascii="Book Antiqua" w:hAnsi="Book Antiqua"/>
        </w:rPr>
        <w:t xml:space="preserve"> in addition to the proposed amendments </w:t>
      </w:r>
      <w:r w:rsidR="00283464">
        <w:rPr>
          <w:rFonts w:ascii="Book Antiqua" w:hAnsi="Book Antiqua"/>
        </w:rPr>
        <w:t>reflect</w:t>
      </w:r>
      <w:r w:rsidRPr="00AC5503">
        <w:rPr>
          <w:rFonts w:ascii="Book Antiqua" w:hAnsi="Book Antiqua"/>
        </w:rPr>
        <w:t xml:space="preserve">ed in the </w:t>
      </w:r>
      <w:r w:rsidR="00D80728">
        <w:rPr>
          <w:rFonts w:ascii="Book Antiqua" w:hAnsi="Book Antiqua"/>
        </w:rPr>
        <w:t>appendices</w:t>
      </w:r>
      <w:r w:rsidRPr="00AC5503" w:rsidR="002E2C59">
        <w:rPr>
          <w:rFonts w:ascii="Book Antiqua" w:hAnsi="Book Antiqua"/>
        </w:rPr>
        <w:t>?</w:t>
      </w:r>
    </w:p>
    <w:p w:rsidRPr="00AC5503" w:rsidR="005B203E" w:rsidP="00C405EF" w:rsidRDefault="005B203E" w14:paraId="751E1CC9" w14:textId="47909D4F">
      <w:pPr>
        <w:pStyle w:val="standard"/>
        <w:numPr>
          <w:ilvl w:val="0"/>
          <w:numId w:val="17"/>
        </w:numPr>
        <w:spacing w:after="120" w:line="240" w:lineRule="auto"/>
        <w:ind w:right="1440"/>
        <w:rPr>
          <w:rFonts w:ascii="Book Antiqua" w:hAnsi="Book Antiqua"/>
        </w:rPr>
      </w:pPr>
      <w:r w:rsidRPr="00AC5503">
        <w:rPr>
          <w:rFonts w:ascii="Book Antiqua" w:hAnsi="Book Antiqua"/>
        </w:rPr>
        <w:t xml:space="preserve">Should the </w:t>
      </w:r>
      <w:r w:rsidR="00D80728">
        <w:rPr>
          <w:rFonts w:ascii="Book Antiqua" w:hAnsi="Book Antiqua"/>
        </w:rPr>
        <w:t xml:space="preserve">Commission further address the </w:t>
      </w:r>
      <w:r w:rsidRPr="00AC5503">
        <w:rPr>
          <w:rFonts w:ascii="Book Antiqua" w:hAnsi="Book Antiqua"/>
        </w:rPr>
        <w:t xml:space="preserve">roles of other entities, such as the </w:t>
      </w:r>
      <w:r w:rsidR="00787EA4">
        <w:rPr>
          <w:rFonts w:ascii="Book Antiqua" w:hAnsi="Book Antiqua"/>
        </w:rPr>
        <w:t>California Independent System Operator (</w:t>
      </w:r>
      <w:r w:rsidRPr="00AC5503">
        <w:rPr>
          <w:rFonts w:ascii="Book Antiqua" w:hAnsi="Book Antiqua"/>
        </w:rPr>
        <w:t>CAISO</w:t>
      </w:r>
      <w:r w:rsidR="00787EA4">
        <w:rPr>
          <w:rFonts w:ascii="Book Antiqua" w:hAnsi="Book Antiqua"/>
        </w:rPr>
        <w:t>)</w:t>
      </w:r>
      <w:r w:rsidRPr="00AC5503">
        <w:rPr>
          <w:rFonts w:ascii="Book Antiqua" w:hAnsi="Book Antiqua"/>
        </w:rPr>
        <w:t xml:space="preserve">, </w:t>
      </w:r>
      <w:r w:rsidR="001074F8">
        <w:rPr>
          <w:rFonts w:ascii="Book Antiqua" w:hAnsi="Book Antiqua"/>
        </w:rPr>
        <w:t>the California Energy Commission (</w:t>
      </w:r>
      <w:r w:rsidRPr="00AC5503">
        <w:rPr>
          <w:rFonts w:ascii="Book Antiqua" w:hAnsi="Book Antiqua"/>
        </w:rPr>
        <w:t>CEC</w:t>
      </w:r>
      <w:r w:rsidR="001074F8">
        <w:rPr>
          <w:rFonts w:ascii="Book Antiqua" w:hAnsi="Book Antiqua"/>
        </w:rPr>
        <w:t>)</w:t>
      </w:r>
      <w:r w:rsidRPr="00AC5503">
        <w:rPr>
          <w:rFonts w:ascii="Book Antiqua" w:hAnsi="Book Antiqua"/>
        </w:rPr>
        <w:t>, or local governments</w:t>
      </w:r>
      <w:r w:rsidR="00D80728">
        <w:rPr>
          <w:rFonts w:ascii="Book Antiqua" w:hAnsi="Book Antiqua"/>
        </w:rPr>
        <w:t xml:space="preserve"> </w:t>
      </w:r>
      <w:r w:rsidR="00361B28">
        <w:rPr>
          <w:rFonts w:ascii="Book Antiqua" w:hAnsi="Book Antiqua"/>
        </w:rPr>
        <w:t xml:space="preserve">through </w:t>
      </w:r>
      <w:r w:rsidR="00BF2076">
        <w:rPr>
          <w:rFonts w:ascii="Book Antiqua" w:hAnsi="Book Antiqua"/>
        </w:rPr>
        <w:t>additional edits</w:t>
      </w:r>
      <w:r w:rsidR="001074F8">
        <w:rPr>
          <w:rFonts w:ascii="Book Antiqua" w:hAnsi="Book Antiqua"/>
        </w:rPr>
        <w:t>?</w:t>
      </w:r>
      <w:r w:rsidR="00361B28">
        <w:rPr>
          <w:rFonts w:ascii="Book Antiqua" w:hAnsi="Book Antiqua"/>
        </w:rPr>
        <w:t xml:space="preserve">  If so, what additional changes are needed?</w:t>
      </w:r>
    </w:p>
    <w:p w:rsidRPr="00AC5503" w:rsidR="004A3C03" w:rsidP="00C405EF" w:rsidRDefault="004A3C03" w14:paraId="1F432F94" w14:textId="01651682">
      <w:pPr>
        <w:pStyle w:val="standard"/>
        <w:numPr>
          <w:ilvl w:val="0"/>
          <w:numId w:val="17"/>
        </w:numPr>
        <w:spacing w:after="120" w:line="240" w:lineRule="auto"/>
        <w:ind w:right="1440"/>
        <w:rPr>
          <w:rFonts w:ascii="Book Antiqua" w:hAnsi="Book Antiqua"/>
        </w:rPr>
      </w:pPr>
      <w:r w:rsidRPr="00AC5503">
        <w:rPr>
          <w:rFonts w:ascii="Book Antiqua" w:hAnsi="Book Antiqua"/>
        </w:rPr>
        <w:t>Does the adoption of FERC Order</w:t>
      </w:r>
      <w:r w:rsidR="00C405EF">
        <w:rPr>
          <w:rFonts w:ascii="Book Antiqua" w:hAnsi="Book Antiqua"/>
        </w:rPr>
        <w:t> </w:t>
      </w:r>
      <w:r w:rsidRPr="00AC5503">
        <w:rPr>
          <w:rFonts w:ascii="Book Antiqua" w:hAnsi="Book Antiqua"/>
        </w:rPr>
        <w:t xml:space="preserve">1000 require any </w:t>
      </w:r>
      <w:r w:rsidR="001074F8">
        <w:rPr>
          <w:rFonts w:ascii="Book Antiqua" w:hAnsi="Book Antiqua"/>
        </w:rPr>
        <w:t xml:space="preserve">additional </w:t>
      </w:r>
      <w:r w:rsidRPr="00AC5503">
        <w:rPr>
          <w:rFonts w:ascii="Book Antiqua" w:hAnsi="Book Antiqua"/>
        </w:rPr>
        <w:t>changes</w:t>
      </w:r>
      <w:r w:rsidR="00E11B29">
        <w:rPr>
          <w:rFonts w:ascii="Book Antiqua" w:hAnsi="Book Antiqua"/>
        </w:rPr>
        <w:t xml:space="preserve"> to GO</w:t>
      </w:r>
      <w:r w:rsidR="00C405EF">
        <w:rPr>
          <w:rFonts w:ascii="Book Antiqua" w:hAnsi="Book Antiqua"/>
        </w:rPr>
        <w:t> </w:t>
      </w:r>
      <w:r w:rsidR="00E11B29">
        <w:rPr>
          <w:rFonts w:ascii="Book Antiqua" w:hAnsi="Book Antiqua"/>
        </w:rPr>
        <w:t>131</w:t>
      </w:r>
      <w:r w:rsidR="00C405EF">
        <w:rPr>
          <w:rFonts w:ascii="Book Antiqua" w:hAnsi="Book Antiqua"/>
        </w:rPr>
        <w:noBreakHyphen/>
      </w:r>
      <w:r w:rsidR="00E11B29">
        <w:rPr>
          <w:rFonts w:ascii="Book Antiqua" w:hAnsi="Book Antiqua"/>
        </w:rPr>
        <w:t>D</w:t>
      </w:r>
      <w:r w:rsidRPr="00AC5503">
        <w:rPr>
          <w:rFonts w:ascii="Book Antiqua" w:hAnsi="Book Antiqua"/>
        </w:rPr>
        <w:t>?</w:t>
      </w:r>
      <w:r w:rsidR="00AD35ED">
        <w:rPr>
          <w:rStyle w:val="FootnoteReference"/>
          <w:rFonts w:ascii="Book Antiqua" w:hAnsi="Book Antiqua"/>
        </w:rPr>
        <w:footnoteReference w:id="8"/>
      </w:r>
    </w:p>
    <w:p w:rsidRPr="00AC5503" w:rsidR="002E2C59" w:rsidP="00C405EF" w:rsidRDefault="002E2C59" w14:paraId="6F85022D" w14:textId="37749EE2">
      <w:pPr>
        <w:pStyle w:val="standard"/>
        <w:numPr>
          <w:ilvl w:val="0"/>
          <w:numId w:val="17"/>
        </w:numPr>
        <w:spacing w:after="120" w:line="240" w:lineRule="auto"/>
        <w:ind w:right="1440"/>
        <w:rPr>
          <w:rFonts w:ascii="Book Antiqua" w:hAnsi="Book Antiqua"/>
        </w:rPr>
      </w:pPr>
      <w:r w:rsidRPr="00AC5503">
        <w:rPr>
          <w:rFonts w:ascii="Book Antiqua" w:hAnsi="Book Antiqua"/>
        </w:rPr>
        <w:t xml:space="preserve">What notice requirements should apply </w:t>
      </w:r>
      <w:r w:rsidR="002A3B2A">
        <w:rPr>
          <w:rFonts w:ascii="Book Antiqua" w:hAnsi="Book Antiqua"/>
        </w:rPr>
        <w:t>in a modified GO</w:t>
      </w:r>
      <w:r w:rsidR="00C405EF">
        <w:rPr>
          <w:rFonts w:ascii="Book Antiqua" w:hAnsi="Book Antiqua"/>
        </w:rPr>
        <w:t> </w:t>
      </w:r>
      <w:r w:rsidR="002A3B2A">
        <w:rPr>
          <w:rFonts w:ascii="Book Antiqua" w:hAnsi="Book Antiqua"/>
        </w:rPr>
        <w:t>131</w:t>
      </w:r>
      <w:r w:rsidR="00C405EF">
        <w:rPr>
          <w:rFonts w:ascii="Book Antiqua" w:hAnsi="Book Antiqua"/>
        </w:rPr>
        <w:noBreakHyphen/>
      </w:r>
      <w:r w:rsidR="002A3B2A">
        <w:rPr>
          <w:rFonts w:ascii="Book Antiqua" w:hAnsi="Book Antiqua"/>
        </w:rPr>
        <w:t xml:space="preserve">D </w:t>
      </w:r>
      <w:r w:rsidRPr="00AC5503">
        <w:rPr>
          <w:rFonts w:ascii="Book Antiqua" w:hAnsi="Book Antiqua"/>
        </w:rPr>
        <w:t xml:space="preserve">to a </w:t>
      </w:r>
      <w:r w:rsidR="001074F8">
        <w:rPr>
          <w:rFonts w:ascii="Book Antiqua" w:hAnsi="Book Antiqua"/>
        </w:rPr>
        <w:t xml:space="preserve">Certificate of Public Convenience and Necessity </w:t>
      </w:r>
      <w:r w:rsidRPr="00AC5503">
        <w:rPr>
          <w:rFonts w:ascii="Book Antiqua" w:hAnsi="Book Antiqua"/>
        </w:rPr>
        <w:t xml:space="preserve">and/or </w:t>
      </w:r>
      <w:r w:rsidR="001074F8">
        <w:rPr>
          <w:rFonts w:ascii="Book Antiqua" w:hAnsi="Book Antiqua"/>
        </w:rPr>
        <w:t>Permit to Construct</w:t>
      </w:r>
      <w:r w:rsidRPr="00AC5503">
        <w:rPr>
          <w:rFonts w:ascii="Book Antiqua" w:hAnsi="Book Antiqua"/>
        </w:rPr>
        <w:t>?</w:t>
      </w:r>
    </w:p>
    <w:p w:rsidRPr="00AC5503" w:rsidR="002E2C59" w:rsidP="00C405EF" w:rsidRDefault="00CD5024" w14:paraId="5CB16824" w14:textId="3B21A17E">
      <w:pPr>
        <w:pStyle w:val="standard"/>
        <w:numPr>
          <w:ilvl w:val="0"/>
          <w:numId w:val="17"/>
        </w:numPr>
        <w:spacing w:after="120" w:line="240" w:lineRule="auto"/>
        <w:ind w:right="1440"/>
        <w:rPr>
          <w:rFonts w:ascii="Book Antiqua" w:hAnsi="Book Antiqua"/>
        </w:rPr>
      </w:pPr>
      <w:r w:rsidRPr="00AC5503">
        <w:rPr>
          <w:rFonts w:ascii="Book Antiqua" w:hAnsi="Book Antiqua"/>
        </w:rPr>
        <w:t xml:space="preserve">Should </w:t>
      </w:r>
      <w:r w:rsidR="00617655">
        <w:rPr>
          <w:rFonts w:ascii="Book Antiqua" w:hAnsi="Book Antiqua"/>
        </w:rPr>
        <w:t xml:space="preserve">the </w:t>
      </w:r>
      <w:r w:rsidR="00E11B29">
        <w:rPr>
          <w:rFonts w:ascii="Book Antiqua" w:hAnsi="Book Antiqua"/>
        </w:rPr>
        <w:t xml:space="preserve">existing </w:t>
      </w:r>
      <w:r w:rsidR="00617655">
        <w:rPr>
          <w:rFonts w:ascii="Book Antiqua" w:hAnsi="Book Antiqua"/>
        </w:rPr>
        <w:t>GO</w:t>
      </w:r>
      <w:r w:rsidR="00C405EF">
        <w:rPr>
          <w:rFonts w:ascii="Book Antiqua" w:hAnsi="Book Antiqua"/>
        </w:rPr>
        <w:t> </w:t>
      </w:r>
      <w:r w:rsidR="00617655">
        <w:rPr>
          <w:rFonts w:ascii="Book Antiqua" w:hAnsi="Book Antiqua"/>
        </w:rPr>
        <w:t>131</w:t>
      </w:r>
      <w:r w:rsidR="00C405EF">
        <w:rPr>
          <w:rFonts w:ascii="Book Antiqua" w:hAnsi="Book Antiqua"/>
        </w:rPr>
        <w:noBreakHyphen/>
      </w:r>
      <w:r w:rsidR="00617655">
        <w:rPr>
          <w:rFonts w:ascii="Book Antiqua" w:hAnsi="Book Antiqua"/>
        </w:rPr>
        <w:t xml:space="preserve">D </w:t>
      </w:r>
      <w:r w:rsidRPr="00AC5503">
        <w:rPr>
          <w:rFonts w:ascii="Book Antiqua" w:hAnsi="Book Antiqua"/>
        </w:rPr>
        <w:t xml:space="preserve">requirements for submission of reports to the Commission be </w:t>
      </w:r>
      <w:r w:rsidR="00617655">
        <w:rPr>
          <w:rFonts w:ascii="Book Antiqua" w:hAnsi="Book Antiqua"/>
        </w:rPr>
        <w:t>modified</w:t>
      </w:r>
      <w:r w:rsidRPr="00AC5503">
        <w:rPr>
          <w:rFonts w:ascii="Book Antiqua" w:hAnsi="Book Antiqua"/>
        </w:rPr>
        <w:t>?</w:t>
      </w:r>
      <w:r w:rsidR="00617655">
        <w:rPr>
          <w:rFonts w:ascii="Book Antiqua" w:hAnsi="Book Antiqua"/>
        </w:rPr>
        <w:t xml:space="preserve">  If so, how? </w:t>
      </w:r>
    </w:p>
    <w:p w:rsidRPr="00AC5503" w:rsidR="00CD5024" w:rsidP="00C405EF" w:rsidRDefault="00821A5A" w14:paraId="1CF50738" w14:textId="25B73C0C">
      <w:pPr>
        <w:pStyle w:val="standard"/>
        <w:numPr>
          <w:ilvl w:val="0"/>
          <w:numId w:val="17"/>
        </w:numPr>
        <w:spacing w:after="120" w:line="240" w:lineRule="auto"/>
        <w:ind w:right="1440"/>
        <w:rPr>
          <w:rFonts w:ascii="Book Antiqua" w:hAnsi="Book Antiqua"/>
        </w:rPr>
      </w:pPr>
      <w:r w:rsidRPr="00AC5503">
        <w:rPr>
          <w:rFonts w:ascii="Book Antiqua" w:hAnsi="Book Antiqua"/>
        </w:rPr>
        <w:t>Should</w:t>
      </w:r>
      <w:r w:rsidR="00617655">
        <w:rPr>
          <w:rFonts w:ascii="Book Antiqua" w:hAnsi="Book Antiqua"/>
        </w:rPr>
        <w:t xml:space="preserve"> the Commission adopt </w:t>
      </w:r>
      <w:r w:rsidRPr="00AC5503">
        <w:rPr>
          <w:rFonts w:ascii="Book Antiqua" w:hAnsi="Book Antiqua"/>
        </w:rPr>
        <w:t>either of the two</w:t>
      </w:r>
      <w:r w:rsidR="00C405EF">
        <w:rPr>
          <w:rFonts w:ascii="Book Antiqua" w:hAnsi="Book Antiqua"/>
        </w:rPr>
        <w:t> </w:t>
      </w:r>
      <w:r w:rsidRPr="00AC5503">
        <w:rPr>
          <w:rFonts w:ascii="Book Antiqua" w:hAnsi="Book Antiqua"/>
        </w:rPr>
        <w:t xml:space="preserve">versions of </w:t>
      </w:r>
      <w:r w:rsidR="00617655">
        <w:rPr>
          <w:rFonts w:ascii="Book Antiqua" w:hAnsi="Book Antiqua"/>
        </w:rPr>
        <w:t>the appended modified GO</w:t>
      </w:r>
      <w:r w:rsidR="00C405EF">
        <w:rPr>
          <w:rFonts w:ascii="Book Antiqua" w:hAnsi="Book Antiqua"/>
        </w:rPr>
        <w:t> </w:t>
      </w:r>
      <w:r w:rsidR="00617655">
        <w:rPr>
          <w:rFonts w:ascii="Book Antiqua" w:hAnsi="Book Antiqua"/>
        </w:rPr>
        <w:t>131</w:t>
      </w:r>
      <w:r w:rsidR="00C405EF">
        <w:rPr>
          <w:rFonts w:ascii="Book Antiqua" w:hAnsi="Book Antiqua"/>
        </w:rPr>
        <w:noBreakHyphen/>
      </w:r>
      <w:r w:rsidR="00553D9E">
        <w:rPr>
          <w:rFonts w:ascii="Book Antiqua" w:hAnsi="Book Antiqua"/>
        </w:rPr>
        <w:t>E</w:t>
      </w:r>
      <w:r w:rsidR="00617655">
        <w:rPr>
          <w:rFonts w:ascii="Book Antiqua" w:hAnsi="Book Antiqua"/>
        </w:rPr>
        <w:t xml:space="preserve"> in its entirety</w:t>
      </w:r>
      <w:r w:rsidRPr="00AC5503">
        <w:rPr>
          <w:rFonts w:ascii="Book Antiqua" w:hAnsi="Book Antiqua"/>
        </w:rPr>
        <w:t xml:space="preserve">? </w:t>
      </w:r>
      <w:r w:rsidR="00E11B29">
        <w:rPr>
          <w:rFonts w:ascii="Book Antiqua" w:hAnsi="Book Antiqua"/>
        </w:rPr>
        <w:t xml:space="preserve"> </w:t>
      </w:r>
      <w:r w:rsidRPr="00AC5503">
        <w:rPr>
          <w:rFonts w:ascii="Book Antiqua" w:hAnsi="Book Antiqua"/>
        </w:rPr>
        <w:t xml:space="preserve">Should either </w:t>
      </w:r>
      <w:r w:rsidRPr="00AC5503" w:rsidR="008A47C4">
        <w:rPr>
          <w:rFonts w:ascii="Book Antiqua" w:hAnsi="Book Antiqua"/>
        </w:rPr>
        <w:t xml:space="preserve">version be adopted with amendments?  Please include redlines of the General Order </w:t>
      </w:r>
      <w:r w:rsidRPr="00AC5503" w:rsidR="00BE49D2">
        <w:rPr>
          <w:rFonts w:ascii="Book Antiqua" w:hAnsi="Book Antiqua"/>
        </w:rPr>
        <w:t xml:space="preserve">that support your positions </w:t>
      </w:r>
      <w:r w:rsidRPr="00AC5503" w:rsidR="008A47C4">
        <w:rPr>
          <w:rFonts w:ascii="Book Antiqua" w:hAnsi="Book Antiqua"/>
        </w:rPr>
        <w:t xml:space="preserve">with your </w:t>
      </w:r>
      <w:r w:rsidRPr="00AC5503" w:rsidR="00BE49D2">
        <w:rPr>
          <w:rFonts w:ascii="Book Antiqua" w:hAnsi="Book Antiqua"/>
        </w:rPr>
        <w:t>comments</w:t>
      </w:r>
      <w:r w:rsidRPr="00AC5503" w:rsidR="008A47C4">
        <w:rPr>
          <w:rFonts w:ascii="Book Antiqua" w:hAnsi="Book Antiqua"/>
        </w:rPr>
        <w:t>.</w:t>
      </w:r>
    </w:p>
    <w:p w:rsidRPr="008F712E" w:rsidR="00413448" w:rsidP="00C326DD" w:rsidRDefault="00413448" w14:paraId="19403714" w14:textId="77777777">
      <w:pPr>
        <w:pStyle w:val="StyleHeading1Before0pt1"/>
      </w:pPr>
      <w:r w:rsidRPr="008F712E">
        <w:t>Preliminary Determination of Category</w:t>
      </w:r>
    </w:p>
    <w:p w:rsidRPr="00AC5503" w:rsidR="00413448" w:rsidP="00DE0790" w:rsidRDefault="001E4B01" w14:paraId="4F8DBEF9" w14:textId="0ED27799">
      <w:pPr>
        <w:pStyle w:val="standard"/>
        <w:rPr>
          <w:rFonts w:ascii="Book Antiqua" w:hAnsi="Book Antiqua"/>
          <w:szCs w:val="26"/>
        </w:rPr>
      </w:pPr>
      <w:r w:rsidRPr="00AC5503">
        <w:rPr>
          <w:rFonts w:ascii="Book Antiqua" w:hAnsi="Book Antiqua"/>
          <w:szCs w:val="26"/>
        </w:rPr>
        <w:t>Commission Rules</w:t>
      </w:r>
      <w:r w:rsidR="00061B0A">
        <w:rPr>
          <w:rFonts w:ascii="Book Antiqua" w:hAnsi="Book Antiqua"/>
          <w:szCs w:val="26"/>
        </w:rPr>
        <w:t xml:space="preserve"> </w:t>
      </w:r>
      <w:r w:rsidRPr="00AC5503">
        <w:rPr>
          <w:rFonts w:ascii="Book Antiqua" w:hAnsi="Book Antiqua"/>
          <w:szCs w:val="26"/>
        </w:rPr>
        <w:t xml:space="preserve">require that an </w:t>
      </w:r>
      <w:r w:rsidR="004F4FE1">
        <w:rPr>
          <w:rFonts w:ascii="Book Antiqua" w:hAnsi="Book Antiqua"/>
          <w:szCs w:val="26"/>
        </w:rPr>
        <w:t>OIR</w:t>
      </w:r>
      <w:r w:rsidRPr="00AC5503">
        <w:rPr>
          <w:rFonts w:ascii="Book Antiqua" w:hAnsi="Book Antiqua"/>
          <w:szCs w:val="26"/>
        </w:rPr>
        <w:t xml:space="preserve"> preliminarily determine the category of the proceeding.</w:t>
      </w:r>
      <w:r w:rsidRPr="00AC5503">
        <w:rPr>
          <w:rStyle w:val="FootnoteReference"/>
          <w:rFonts w:ascii="Book Antiqua" w:hAnsi="Book Antiqua"/>
          <w:sz w:val="26"/>
          <w:szCs w:val="26"/>
        </w:rPr>
        <w:footnoteReference w:id="9"/>
      </w:r>
      <w:r w:rsidRPr="00AC5503">
        <w:rPr>
          <w:rFonts w:ascii="Book Antiqua" w:hAnsi="Book Antiqua"/>
          <w:szCs w:val="26"/>
        </w:rPr>
        <w:t xml:space="preserve">  As a preliminary matter, we determine that this proceeding is </w:t>
      </w:r>
      <w:r w:rsidRPr="00AC5503" w:rsidR="00F11DD8">
        <w:rPr>
          <w:rFonts w:ascii="Book Antiqua" w:hAnsi="Book Antiqua"/>
          <w:szCs w:val="26"/>
        </w:rPr>
        <w:t>quasi-legislative</w:t>
      </w:r>
      <w:r w:rsidRPr="00AC5503" w:rsidR="00F37816">
        <w:rPr>
          <w:rFonts w:ascii="Book Antiqua" w:hAnsi="Book Antiqua"/>
          <w:szCs w:val="26"/>
        </w:rPr>
        <w:t>,</w:t>
      </w:r>
      <w:r w:rsidRPr="00AC5503">
        <w:rPr>
          <w:rFonts w:ascii="Book Antiqua" w:hAnsi="Book Antiqua"/>
          <w:szCs w:val="26"/>
        </w:rPr>
        <w:t xml:space="preserve"> because our consideration and approval of </w:t>
      </w:r>
      <w:r w:rsidR="004F4FE1">
        <w:rPr>
          <w:rFonts w:ascii="Book Antiqua" w:hAnsi="Book Antiqua"/>
          <w:szCs w:val="26"/>
        </w:rPr>
        <w:t xml:space="preserve">a </w:t>
      </w:r>
      <w:r w:rsidR="004F4FE1">
        <w:rPr>
          <w:rFonts w:ascii="Book Antiqua" w:hAnsi="Book Antiqua"/>
          <w:szCs w:val="26"/>
        </w:rPr>
        <w:lastRenderedPageBreak/>
        <w:t xml:space="preserve">modified </w:t>
      </w:r>
      <w:r w:rsidRPr="00AC5503">
        <w:rPr>
          <w:rFonts w:ascii="Book Antiqua" w:hAnsi="Book Antiqua"/>
          <w:szCs w:val="26"/>
        </w:rPr>
        <w:t>General Order</w:t>
      </w:r>
      <w:r w:rsidR="00C405EF">
        <w:rPr>
          <w:rFonts w:ascii="Book Antiqua" w:hAnsi="Book Antiqua"/>
          <w:szCs w:val="26"/>
        </w:rPr>
        <w:t> </w:t>
      </w:r>
      <w:r w:rsidRPr="00AC5503" w:rsidR="00E36F29">
        <w:rPr>
          <w:rFonts w:ascii="Book Antiqua" w:hAnsi="Book Antiqua"/>
          <w:szCs w:val="26"/>
        </w:rPr>
        <w:t>131</w:t>
      </w:r>
      <w:r w:rsidRPr="00AC5503" w:rsidR="00F37816">
        <w:rPr>
          <w:rFonts w:ascii="Book Antiqua" w:hAnsi="Book Antiqua"/>
          <w:szCs w:val="26"/>
        </w:rPr>
        <w:t xml:space="preserve"> would</w:t>
      </w:r>
      <w:r w:rsidRPr="00AC5503">
        <w:rPr>
          <w:rFonts w:ascii="Book Antiqua" w:hAnsi="Book Antiqua"/>
          <w:szCs w:val="26"/>
        </w:rPr>
        <w:t xml:space="preserve"> </w:t>
      </w:r>
      <w:r w:rsidRPr="00AC5503" w:rsidR="00E36F29">
        <w:rPr>
          <w:rFonts w:ascii="Book Antiqua" w:hAnsi="Book Antiqua"/>
          <w:szCs w:val="26"/>
        </w:rPr>
        <w:t>establish</w:t>
      </w:r>
      <w:r w:rsidRPr="00AC5503" w:rsidR="00F11DD8">
        <w:rPr>
          <w:rFonts w:ascii="Book Antiqua" w:hAnsi="Book Antiqua"/>
          <w:szCs w:val="26"/>
        </w:rPr>
        <w:t xml:space="preserve"> policy </w:t>
      </w:r>
      <w:r w:rsidRPr="00AC5503" w:rsidR="00E36F29">
        <w:rPr>
          <w:rFonts w:ascii="Book Antiqua" w:hAnsi="Book Antiqua"/>
          <w:szCs w:val="26"/>
        </w:rPr>
        <w:t xml:space="preserve">or rules </w:t>
      </w:r>
      <w:r w:rsidRPr="00AC5503" w:rsidR="00F11DD8">
        <w:rPr>
          <w:rFonts w:ascii="Book Antiqua" w:hAnsi="Book Antiqua"/>
          <w:szCs w:val="26"/>
        </w:rPr>
        <w:t>affecting a class of regulated utilities</w:t>
      </w:r>
      <w:r w:rsidRPr="00AC5503">
        <w:rPr>
          <w:rFonts w:ascii="Book Antiqua" w:hAnsi="Book Antiqua"/>
          <w:szCs w:val="26"/>
        </w:rPr>
        <w:t>.</w:t>
      </w:r>
    </w:p>
    <w:p w:rsidRPr="008F712E" w:rsidR="00413448" w:rsidP="00C326DD" w:rsidRDefault="00413448" w14:paraId="0BE445F4" w14:textId="77777777">
      <w:pPr>
        <w:pStyle w:val="StyleHeading1Before0pt1"/>
      </w:pPr>
      <w:r w:rsidRPr="008F712E">
        <w:t>Preliminary Determination of Need for Hearing</w:t>
      </w:r>
    </w:p>
    <w:p w:rsidRPr="00AC5503" w:rsidR="00EA16D2" w:rsidP="006A0DE9" w:rsidRDefault="003768FE" w14:paraId="4F5C5FE8" w14:textId="1E54EC4F">
      <w:pPr>
        <w:pStyle w:val="standard"/>
        <w:rPr>
          <w:rFonts w:ascii="Book Antiqua" w:hAnsi="Book Antiqua"/>
          <w:szCs w:val="26"/>
        </w:rPr>
      </w:pPr>
      <w:r w:rsidRPr="00AC5503">
        <w:rPr>
          <w:rFonts w:ascii="Book Antiqua" w:hAnsi="Book Antiqua"/>
          <w:szCs w:val="26"/>
        </w:rPr>
        <w:t>Rule</w:t>
      </w:r>
      <w:r w:rsidR="00061B0A">
        <w:rPr>
          <w:rFonts w:ascii="Book Antiqua" w:hAnsi="Book Antiqua"/>
          <w:szCs w:val="26"/>
        </w:rPr>
        <w:t xml:space="preserve"> 7.1(d)</w:t>
      </w:r>
      <w:r w:rsidRPr="00AC5503">
        <w:rPr>
          <w:rFonts w:ascii="Book Antiqua" w:hAnsi="Book Antiqua"/>
          <w:szCs w:val="26"/>
        </w:rPr>
        <w:t xml:space="preserve"> require</w:t>
      </w:r>
      <w:r w:rsidR="00061B0A">
        <w:rPr>
          <w:rFonts w:ascii="Book Antiqua" w:hAnsi="Book Antiqua"/>
          <w:szCs w:val="26"/>
        </w:rPr>
        <w:t>s</w:t>
      </w:r>
      <w:r w:rsidRPr="00AC5503">
        <w:rPr>
          <w:rFonts w:ascii="Book Antiqua" w:hAnsi="Book Antiqua"/>
          <w:szCs w:val="26"/>
        </w:rPr>
        <w:t xml:space="preserve"> that </w:t>
      </w:r>
      <w:r w:rsidR="001074F8">
        <w:rPr>
          <w:rFonts w:ascii="Book Antiqua" w:hAnsi="Book Antiqua"/>
          <w:szCs w:val="26"/>
        </w:rPr>
        <w:t xml:space="preserve">an </w:t>
      </w:r>
      <w:r w:rsidRPr="00AC5503">
        <w:rPr>
          <w:rFonts w:ascii="Book Antiqua" w:hAnsi="Book Antiqua"/>
          <w:szCs w:val="26"/>
        </w:rPr>
        <w:t>OIR preliminarily de</w:t>
      </w:r>
      <w:r w:rsidRPr="00AC5503" w:rsidR="00F11DD8">
        <w:rPr>
          <w:rFonts w:ascii="Book Antiqua" w:hAnsi="Book Antiqua"/>
          <w:szCs w:val="26"/>
        </w:rPr>
        <w:t xml:space="preserve">termine the need for hearing.  </w:t>
      </w:r>
      <w:r w:rsidRPr="00AC5503" w:rsidR="00D52F02">
        <w:rPr>
          <w:rFonts w:ascii="Book Antiqua" w:hAnsi="Book Antiqua"/>
          <w:szCs w:val="26"/>
        </w:rPr>
        <w:t xml:space="preserve">Because we expect that this OIR will be examining policy and legal issues, rather than factual controversies, it appears appropriate that the issues can reasonably be </w:t>
      </w:r>
      <w:r w:rsidRPr="00AC5503">
        <w:rPr>
          <w:rFonts w:ascii="Book Antiqua" w:hAnsi="Book Antiqua"/>
          <w:szCs w:val="26"/>
        </w:rPr>
        <w:t xml:space="preserve">resolved through the filing of comments and </w:t>
      </w:r>
      <w:r w:rsidRPr="00AC5503" w:rsidR="00D52F02">
        <w:rPr>
          <w:rFonts w:ascii="Book Antiqua" w:hAnsi="Book Antiqua"/>
          <w:szCs w:val="26"/>
        </w:rPr>
        <w:t xml:space="preserve">briefs, and </w:t>
      </w:r>
      <w:r w:rsidRPr="00AC5503">
        <w:rPr>
          <w:rFonts w:ascii="Book Antiqua" w:hAnsi="Book Antiqua"/>
          <w:szCs w:val="26"/>
        </w:rPr>
        <w:t>we preliminarily determine that hearing</w:t>
      </w:r>
      <w:r w:rsidRPr="00AC5503" w:rsidR="00F11DD8">
        <w:rPr>
          <w:rFonts w:ascii="Book Antiqua" w:hAnsi="Book Antiqua"/>
          <w:szCs w:val="26"/>
        </w:rPr>
        <w:t>s</w:t>
      </w:r>
      <w:r w:rsidRPr="00AC5503">
        <w:rPr>
          <w:rFonts w:ascii="Book Antiqua" w:hAnsi="Book Antiqua"/>
          <w:szCs w:val="26"/>
        </w:rPr>
        <w:t xml:space="preserve"> will </w:t>
      </w:r>
      <w:r w:rsidRPr="00AC5503" w:rsidR="00F11DD8">
        <w:rPr>
          <w:rFonts w:ascii="Book Antiqua" w:hAnsi="Book Antiqua"/>
          <w:szCs w:val="26"/>
        </w:rPr>
        <w:t xml:space="preserve">not </w:t>
      </w:r>
      <w:r w:rsidRPr="00AC5503">
        <w:rPr>
          <w:rFonts w:ascii="Book Antiqua" w:hAnsi="Book Antiqua"/>
          <w:szCs w:val="26"/>
        </w:rPr>
        <w:t>be needed.</w:t>
      </w:r>
      <w:r w:rsidRPr="00AC5503" w:rsidR="00EA16D2">
        <w:rPr>
          <w:rFonts w:ascii="Book Antiqua" w:hAnsi="Book Antiqua"/>
          <w:szCs w:val="26"/>
        </w:rPr>
        <w:t xml:space="preserve">  </w:t>
      </w:r>
    </w:p>
    <w:p w:rsidRPr="00AC5503" w:rsidR="00413448" w:rsidP="006A0DE9" w:rsidRDefault="00EA16D2" w14:paraId="25D81EF3" w14:textId="392DE98E">
      <w:pPr>
        <w:pStyle w:val="standard"/>
        <w:rPr>
          <w:rFonts w:ascii="Book Antiqua" w:hAnsi="Book Antiqua"/>
          <w:szCs w:val="26"/>
        </w:rPr>
      </w:pPr>
      <w:r w:rsidRPr="00AC5503">
        <w:rPr>
          <w:rFonts w:ascii="Book Antiqua" w:hAnsi="Book Antiqua"/>
          <w:szCs w:val="26"/>
        </w:rPr>
        <w:t xml:space="preserve">Any party that believes hearings are necessary should be prepared to </w:t>
      </w:r>
      <w:r w:rsidRPr="00AC5503" w:rsidR="001B09E4">
        <w:rPr>
          <w:rFonts w:ascii="Book Antiqua" w:hAnsi="Book Antiqua"/>
          <w:szCs w:val="26"/>
        </w:rPr>
        <w:t xml:space="preserve">discuss at the </w:t>
      </w:r>
      <w:r w:rsidR="00BA229F">
        <w:rPr>
          <w:rFonts w:ascii="Book Antiqua" w:hAnsi="Book Antiqua"/>
          <w:szCs w:val="26"/>
        </w:rPr>
        <w:t>prehearing conference (</w:t>
      </w:r>
      <w:r w:rsidRPr="00AC5503" w:rsidR="001B09E4">
        <w:rPr>
          <w:rFonts w:ascii="Book Antiqua" w:hAnsi="Book Antiqua"/>
          <w:szCs w:val="26"/>
        </w:rPr>
        <w:t>PHC</w:t>
      </w:r>
      <w:r w:rsidR="00BA229F">
        <w:rPr>
          <w:rFonts w:ascii="Book Antiqua" w:hAnsi="Book Antiqua"/>
          <w:szCs w:val="26"/>
        </w:rPr>
        <w:t>)</w:t>
      </w:r>
      <w:r w:rsidRPr="00AC5503" w:rsidR="001B09E4">
        <w:rPr>
          <w:rFonts w:ascii="Book Antiqua" w:hAnsi="Book Antiqua"/>
          <w:szCs w:val="26"/>
        </w:rPr>
        <w:t xml:space="preserve"> why hearings are necessary, </w:t>
      </w:r>
      <w:r w:rsidRPr="00AC5503">
        <w:rPr>
          <w:rFonts w:ascii="Book Antiqua" w:hAnsi="Book Antiqua"/>
          <w:szCs w:val="26"/>
        </w:rPr>
        <w:t>including identifying any material issues of fact</w:t>
      </w:r>
      <w:r w:rsidRPr="00AC5503" w:rsidR="001B09E4">
        <w:rPr>
          <w:rFonts w:ascii="Book Antiqua" w:hAnsi="Book Antiqua"/>
          <w:szCs w:val="26"/>
        </w:rPr>
        <w:t xml:space="preserve"> that are presented</w:t>
      </w:r>
      <w:r w:rsidR="00D539F4">
        <w:rPr>
          <w:rFonts w:ascii="Book Antiqua" w:hAnsi="Book Antiqua"/>
          <w:szCs w:val="26"/>
        </w:rPr>
        <w:t xml:space="preserve"> and in dispute</w:t>
      </w:r>
      <w:r w:rsidRPr="00AC5503" w:rsidR="001B09E4">
        <w:rPr>
          <w:rFonts w:ascii="Book Antiqua" w:hAnsi="Book Antiqua"/>
          <w:szCs w:val="26"/>
        </w:rPr>
        <w:t>.</w:t>
      </w:r>
    </w:p>
    <w:p w:rsidRPr="00B53876" w:rsidR="00413448" w:rsidP="00C326DD" w:rsidRDefault="00303185" w14:paraId="6F2817AE" w14:textId="1CDC97DC">
      <w:pPr>
        <w:pStyle w:val="StyleHeading1Before0pt1"/>
      </w:pPr>
      <w:r>
        <w:t>Comments on</w:t>
      </w:r>
      <w:r w:rsidRPr="00B53876" w:rsidR="00413448">
        <w:t xml:space="preserve"> </w:t>
      </w:r>
      <w:r w:rsidR="00EE6156">
        <w:t>Order Instituting Rulemaking (</w:t>
      </w:r>
      <w:r w:rsidRPr="00B53876" w:rsidR="00413448">
        <w:t>OIR</w:t>
      </w:r>
      <w:r w:rsidR="00EE6156">
        <w:t>)</w:t>
      </w:r>
    </w:p>
    <w:p w:rsidRPr="00AC5503" w:rsidR="00D82A8C" w:rsidP="2C860666" w:rsidRDefault="00C832F1" w14:paraId="70217262" w14:textId="7D75C7F8">
      <w:pPr>
        <w:pStyle w:val="standard"/>
        <w:rPr>
          <w:rFonts w:ascii="Book Antiqua" w:hAnsi="Book Antiqua"/>
        </w:rPr>
      </w:pPr>
      <w:r w:rsidRPr="4B5670C7">
        <w:rPr>
          <w:rFonts w:ascii="Book Antiqua" w:hAnsi="Book Antiqua"/>
        </w:rPr>
        <w:t>Consistent with Rule</w:t>
      </w:r>
      <w:r w:rsidR="00C405EF">
        <w:rPr>
          <w:rFonts w:ascii="Book Antiqua" w:hAnsi="Book Antiqua"/>
        </w:rPr>
        <w:t> </w:t>
      </w:r>
      <w:r w:rsidRPr="4B5670C7">
        <w:rPr>
          <w:rFonts w:ascii="Book Antiqua" w:hAnsi="Book Antiqua"/>
        </w:rPr>
        <w:t xml:space="preserve">6.2, </w:t>
      </w:r>
      <w:r w:rsidR="00760B36">
        <w:rPr>
          <w:rFonts w:ascii="Book Antiqua" w:hAnsi="Book Antiqua"/>
        </w:rPr>
        <w:t>r</w:t>
      </w:r>
      <w:r w:rsidRPr="4B5670C7">
        <w:rPr>
          <w:rFonts w:ascii="Book Antiqua" w:hAnsi="Book Antiqua"/>
        </w:rPr>
        <w:t>espondents to this OIR shall</w:t>
      </w:r>
      <w:r w:rsidR="00FD5F20">
        <w:rPr>
          <w:rFonts w:ascii="Book Antiqua" w:hAnsi="Book Antiqua"/>
        </w:rPr>
        <w:t>,</w:t>
      </w:r>
      <w:r w:rsidRPr="4B5670C7">
        <w:rPr>
          <w:rFonts w:ascii="Book Antiqua" w:hAnsi="Book Antiqua"/>
        </w:rPr>
        <w:t xml:space="preserve"> and </w:t>
      </w:r>
      <w:r w:rsidRPr="4B5670C7" w:rsidR="4393D7D4">
        <w:rPr>
          <w:rFonts w:ascii="Book Antiqua" w:hAnsi="Book Antiqua"/>
        </w:rPr>
        <w:t>a</w:t>
      </w:r>
      <w:r w:rsidRPr="4B5670C7" w:rsidR="3F6DBF1B">
        <w:rPr>
          <w:rFonts w:ascii="Book Antiqua" w:hAnsi="Book Antiqua"/>
        </w:rPr>
        <w:t>ny</w:t>
      </w:r>
      <w:r w:rsidRPr="4B5670C7" w:rsidR="1A204276">
        <w:rPr>
          <w:rFonts w:ascii="Book Antiqua" w:hAnsi="Book Antiqua"/>
        </w:rPr>
        <w:t xml:space="preserve"> other</w:t>
      </w:r>
      <w:r w:rsidRPr="4B5670C7" w:rsidR="3F6DBF1B">
        <w:rPr>
          <w:rFonts w:ascii="Book Antiqua" w:hAnsi="Book Antiqua"/>
        </w:rPr>
        <w:t xml:space="preserve"> </w:t>
      </w:r>
      <w:r w:rsidR="00A31787">
        <w:rPr>
          <w:rFonts w:ascii="Book Antiqua" w:hAnsi="Book Antiqua"/>
        </w:rPr>
        <w:t>prospective party may</w:t>
      </w:r>
      <w:r w:rsidR="00FD5F20">
        <w:rPr>
          <w:rFonts w:ascii="Book Antiqua" w:hAnsi="Book Antiqua"/>
        </w:rPr>
        <w:t>,</w:t>
      </w:r>
      <w:r w:rsidR="00A31787">
        <w:rPr>
          <w:rFonts w:ascii="Book Antiqua" w:hAnsi="Book Antiqua"/>
        </w:rPr>
        <w:t xml:space="preserve"> file and serve </w:t>
      </w:r>
      <w:r w:rsidRPr="4B5670C7" w:rsidR="2726C0A6">
        <w:rPr>
          <w:rFonts w:ascii="Book Antiqua" w:hAnsi="Book Antiqua"/>
        </w:rPr>
        <w:t>comments on this OIR</w:t>
      </w:r>
      <w:r w:rsidR="0062168B">
        <w:rPr>
          <w:rFonts w:ascii="Book Antiqua" w:hAnsi="Book Antiqua"/>
        </w:rPr>
        <w:t>,</w:t>
      </w:r>
      <w:r w:rsidRPr="4B5670C7" w:rsidR="3F6DBF1B">
        <w:rPr>
          <w:rFonts w:ascii="Book Antiqua" w:hAnsi="Book Antiqua"/>
        </w:rPr>
        <w:t xml:space="preserve"> </w:t>
      </w:r>
      <w:r w:rsidR="00F84E09">
        <w:rPr>
          <w:rFonts w:ascii="Book Antiqua" w:hAnsi="Book Antiqua"/>
        </w:rPr>
        <w:t xml:space="preserve">and the questions contained </w:t>
      </w:r>
      <w:r w:rsidR="0062168B">
        <w:rPr>
          <w:rFonts w:ascii="Book Antiqua" w:hAnsi="Book Antiqua"/>
        </w:rPr>
        <w:t xml:space="preserve">in it, </w:t>
      </w:r>
      <w:r w:rsidRPr="4B5670C7" w:rsidR="7DF7D4C0">
        <w:rPr>
          <w:rFonts w:ascii="Book Antiqua" w:hAnsi="Book Antiqua"/>
        </w:rPr>
        <w:t xml:space="preserve">within </w:t>
      </w:r>
      <w:r w:rsidRPr="008506E2" w:rsidR="7EAF0145">
        <w:rPr>
          <w:rFonts w:ascii="Book Antiqua" w:hAnsi="Book Antiqua"/>
        </w:rPr>
        <w:t>3</w:t>
      </w:r>
      <w:r w:rsidRPr="008506E2" w:rsidR="7DF7D4C0">
        <w:rPr>
          <w:rFonts w:ascii="Book Antiqua" w:hAnsi="Book Antiqua"/>
        </w:rPr>
        <w:t>0</w:t>
      </w:r>
      <w:r w:rsidR="00C405EF">
        <w:rPr>
          <w:rFonts w:ascii="Book Antiqua" w:hAnsi="Book Antiqua"/>
        </w:rPr>
        <w:t> </w:t>
      </w:r>
      <w:r w:rsidRPr="008506E2" w:rsidR="7DF7D4C0">
        <w:rPr>
          <w:rFonts w:ascii="Book Antiqua" w:hAnsi="Book Antiqua"/>
        </w:rPr>
        <w:t>days of</w:t>
      </w:r>
      <w:r w:rsidRPr="4B5670C7" w:rsidR="7DF7D4C0">
        <w:rPr>
          <w:rFonts w:ascii="Book Antiqua" w:hAnsi="Book Antiqua"/>
        </w:rPr>
        <w:t xml:space="preserve"> </w:t>
      </w:r>
      <w:r w:rsidR="0062168B">
        <w:rPr>
          <w:rFonts w:ascii="Book Antiqua" w:hAnsi="Book Antiqua"/>
        </w:rPr>
        <w:t xml:space="preserve">issuance of the </w:t>
      </w:r>
      <w:r w:rsidRPr="4B5670C7" w:rsidR="7DF7D4C0">
        <w:rPr>
          <w:rFonts w:ascii="Book Antiqua" w:hAnsi="Book Antiqua"/>
        </w:rPr>
        <w:t>OIR</w:t>
      </w:r>
      <w:r w:rsidRPr="4B5670C7" w:rsidR="2726C0A6">
        <w:rPr>
          <w:rFonts w:ascii="Book Antiqua" w:hAnsi="Book Antiqua"/>
        </w:rPr>
        <w:t xml:space="preserve">.  </w:t>
      </w:r>
      <w:r w:rsidRPr="4B5670C7" w:rsidR="009C4632">
        <w:rPr>
          <w:rFonts w:ascii="Book Antiqua" w:hAnsi="Book Antiqua"/>
        </w:rPr>
        <w:t>Respondents to this OIR shall</w:t>
      </w:r>
      <w:r w:rsidR="00FD5F20">
        <w:rPr>
          <w:rFonts w:ascii="Book Antiqua" w:hAnsi="Book Antiqua"/>
        </w:rPr>
        <w:t>,</w:t>
      </w:r>
      <w:r w:rsidRPr="4B5670C7" w:rsidR="009C4632">
        <w:rPr>
          <w:rFonts w:ascii="Book Antiqua" w:hAnsi="Book Antiqua"/>
        </w:rPr>
        <w:t xml:space="preserve"> and other parties may</w:t>
      </w:r>
      <w:r w:rsidR="00FD5F20">
        <w:rPr>
          <w:rFonts w:ascii="Book Antiqua" w:hAnsi="Book Antiqua"/>
        </w:rPr>
        <w:t>,</w:t>
      </w:r>
      <w:r w:rsidRPr="4B5670C7" w:rsidR="009C4632">
        <w:rPr>
          <w:rFonts w:ascii="Book Antiqua" w:hAnsi="Book Antiqua"/>
        </w:rPr>
        <w:t xml:space="preserve"> file reply comments to this OIR no later than 15</w:t>
      </w:r>
      <w:r w:rsidR="009C4632">
        <w:rPr>
          <w:rFonts w:ascii="Book Antiqua" w:hAnsi="Book Antiqua"/>
        </w:rPr>
        <w:t> </w:t>
      </w:r>
      <w:r w:rsidRPr="4B5670C7" w:rsidR="009C4632">
        <w:rPr>
          <w:rFonts w:ascii="Book Antiqua" w:hAnsi="Book Antiqua"/>
        </w:rPr>
        <w:t xml:space="preserve">days after the due date for opening comments.  </w:t>
      </w:r>
      <w:r w:rsidRPr="4B5670C7" w:rsidR="7DF7D4C0">
        <w:rPr>
          <w:rFonts w:ascii="Book Antiqua" w:hAnsi="Book Antiqua"/>
        </w:rPr>
        <w:t>Rule</w:t>
      </w:r>
      <w:r w:rsidR="00C405EF">
        <w:rPr>
          <w:rFonts w:ascii="Book Antiqua" w:hAnsi="Book Antiqua"/>
        </w:rPr>
        <w:t> </w:t>
      </w:r>
      <w:r w:rsidRPr="4B5670C7" w:rsidR="7DF7D4C0">
        <w:rPr>
          <w:rFonts w:ascii="Book Antiqua" w:hAnsi="Book Antiqua"/>
        </w:rPr>
        <w:t xml:space="preserve">6.2 </w:t>
      </w:r>
      <w:r w:rsidRPr="4B5670C7" w:rsidR="2726C0A6">
        <w:rPr>
          <w:rFonts w:ascii="Book Antiqua" w:hAnsi="Book Antiqua"/>
        </w:rPr>
        <w:t>requires that any person filing such comments “shall state any objections to the preliminary scoping memo regarding the category, need for hearing, issues to be considered, or schedule.”</w:t>
      </w:r>
    </w:p>
    <w:p w:rsidR="00D82A8C" w:rsidP="2C860666" w:rsidRDefault="7DF7D4C0" w14:paraId="4E2E0353" w14:textId="35B14149">
      <w:pPr>
        <w:pStyle w:val="standard"/>
        <w:rPr>
          <w:rFonts w:ascii="Book Antiqua" w:hAnsi="Book Antiqua"/>
        </w:rPr>
      </w:pPr>
      <w:r w:rsidRPr="0B52E475">
        <w:rPr>
          <w:rFonts w:ascii="Book Antiqua" w:hAnsi="Book Antiqua"/>
        </w:rPr>
        <w:t xml:space="preserve">The </w:t>
      </w:r>
      <w:r w:rsidR="00C405EF">
        <w:rPr>
          <w:rFonts w:ascii="Book Antiqua" w:hAnsi="Book Antiqua"/>
        </w:rPr>
        <w:t>a</w:t>
      </w:r>
      <w:r w:rsidRPr="0B52E475">
        <w:rPr>
          <w:rFonts w:ascii="Book Antiqua" w:hAnsi="Book Antiqua"/>
        </w:rPr>
        <w:t>ssigned Commissioner will issue a scoping memo that will rule on the category, need for hearing</w:t>
      </w:r>
      <w:r w:rsidRPr="0B52E475" w:rsidR="7914ECF5">
        <w:rPr>
          <w:rFonts w:ascii="Book Antiqua" w:hAnsi="Book Antiqua"/>
        </w:rPr>
        <w:t>,</w:t>
      </w:r>
      <w:r w:rsidRPr="0B52E475">
        <w:rPr>
          <w:rFonts w:ascii="Book Antiqua" w:hAnsi="Book Antiqua"/>
        </w:rPr>
        <w:t xml:space="preserve"> and scope.  </w:t>
      </w:r>
    </w:p>
    <w:p w:rsidRPr="00C97BC5" w:rsidR="00413448" w:rsidP="00A1544B" w:rsidRDefault="00F12081" w14:paraId="56426C61" w14:textId="4814CC8C">
      <w:pPr>
        <w:pStyle w:val="StyleHeading1Before0pt1"/>
      </w:pPr>
      <w:r w:rsidRPr="00C97BC5">
        <w:lastRenderedPageBreak/>
        <w:t xml:space="preserve">Preliminary Proceeding </w:t>
      </w:r>
      <w:r w:rsidRPr="00C97BC5" w:rsidR="00413448">
        <w:t>Sch</w:t>
      </w:r>
      <w:r w:rsidRPr="00C97BC5" w:rsidR="00B53876">
        <w:t>edule</w:t>
      </w:r>
    </w:p>
    <w:p w:rsidRPr="00AC5503" w:rsidR="00415D3E" w:rsidP="00A1544B" w:rsidRDefault="003768FE" w14:paraId="7024B7D7" w14:textId="5F9DDC95">
      <w:pPr>
        <w:pStyle w:val="standard"/>
        <w:keepNext/>
        <w:spacing w:after="120"/>
        <w:rPr>
          <w:rFonts w:ascii="Book Antiqua" w:hAnsi="Book Antiqua"/>
          <w:b/>
          <w:szCs w:val="26"/>
        </w:rPr>
      </w:pPr>
      <w:r w:rsidRPr="00AC5503">
        <w:rPr>
          <w:rFonts w:ascii="Book Antiqua" w:hAnsi="Book Antiqua"/>
          <w:szCs w:val="26"/>
        </w:rPr>
        <w:t xml:space="preserve">The </w:t>
      </w:r>
      <w:r w:rsidRPr="00AC5503" w:rsidR="00F12081">
        <w:rPr>
          <w:rFonts w:ascii="Book Antiqua" w:hAnsi="Book Antiqua"/>
          <w:szCs w:val="26"/>
        </w:rPr>
        <w:t xml:space="preserve">preliminary proceeding </w:t>
      </w:r>
      <w:r w:rsidRPr="00AC5503">
        <w:rPr>
          <w:rFonts w:ascii="Book Antiqua" w:hAnsi="Book Antiqua"/>
          <w:szCs w:val="26"/>
        </w:rPr>
        <w:t>schedule is: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77"/>
        <w:gridCol w:w="4885"/>
      </w:tblGrid>
      <w:tr w:rsidRPr="00C405EF" w:rsidR="00A95152" w:rsidTr="00C405EF" w14:paraId="21168570" w14:textId="77777777">
        <w:trPr>
          <w:trHeight w:val="437"/>
          <w:tblHeader/>
          <w:jc w:val="center"/>
        </w:trPr>
        <w:tc>
          <w:tcPr>
            <w:tcW w:w="3177" w:type="dxa"/>
            <w:vAlign w:val="center"/>
          </w:tcPr>
          <w:p w:rsidRPr="00C405EF" w:rsidR="00A95152" w:rsidP="00C405EF" w:rsidRDefault="00A95152" w14:paraId="0049B822" w14:textId="74D6B424">
            <w:pPr>
              <w:pStyle w:val="standard"/>
              <w:autoSpaceDE w:val="0"/>
              <w:autoSpaceDN w:val="0"/>
              <w:adjustRightInd w:val="0"/>
              <w:spacing w:line="240" w:lineRule="auto"/>
              <w:ind w:firstLine="0"/>
              <w:jc w:val="center"/>
              <w:rPr>
                <w:rFonts w:ascii="Book Antiqua" w:hAnsi="Book Antiqua"/>
                <w:b/>
                <w:szCs w:val="26"/>
              </w:rPr>
            </w:pPr>
            <w:r w:rsidRPr="00C405EF">
              <w:rPr>
                <w:rFonts w:ascii="Book Antiqua" w:hAnsi="Book Antiqua"/>
                <w:b/>
                <w:szCs w:val="26"/>
              </w:rPr>
              <w:t>ACTIVITY</w:t>
            </w:r>
          </w:p>
        </w:tc>
        <w:tc>
          <w:tcPr>
            <w:tcW w:w="4885" w:type="dxa"/>
            <w:shd w:val="clear" w:color="auto" w:fill="auto"/>
            <w:vAlign w:val="center"/>
          </w:tcPr>
          <w:p w:rsidRPr="00C405EF" w:rsidR="00A95152" w:rsidP="00C405EF" w:rsidRDefault="00A95152" w14:paraId="279F308E" w14:textId="35971692">
            <w:pPr>
              <w:pStyle w:val="standard"/>
              <w:autoSpaceDE w:val="0"/>
              <w:autoSpaceDN w:val="0"/>
              <w:adjustRightInd w:val="0"/>
              <w:spacing w:line="240" w:lineRule="auto"/>
              <w:ind w:firstLine="0"/>
              <w:jc w:val="center"/>
              <w:rPr>
                <w:rFonts w:ascii="Book Antiqua" w:hAnsi="Book Antiqua"/>
                <w:b/>
                <w:szCs w:val="26"/>
              </w:rPr>
            </w:pPr>
            <w:r w:rsidRPr="00C405EF">
              <w:rPr>
                <w:rFonts w:ascii="Book Antiqua" w:hAnsi="Book Antiqua"/>
                <w:b/>
                <w:szCs w:val="26"/>
              </w:rPr>
              <w:t>DATE</w:t>
            </w:r>
          </w:p>
        </w:tc>
      </w:tr>
      <w:tr w:rsidRPr="00C405EF" w:rsidR="00A95152" w:rsidTr="00C405EF" w14:paraId="182BD53B" w14:textId="77777777">
        <w:trPr>
          <w:trHeight w:val="437"/>
          <w:jc w:val="center"/>
        </w:trPr>
        <w:tc>
          <w:tcPr>
            <w:tcW w:w="3177" w:type="dxa"/>
            <w:vAlign w:val="center"/>
          </w:tcPr>
          <w:p w:rsidRPr="00C405EF" w:rsidR="00A95152" w:rsidP="00C405EF" w:rsidRDefault="00A95152" w14:paraId="0F49B9B8" w14:textId="4521A0BF">
            <w:pPr>
              <w:pStyle w:val="standard"/>
              <w:autoSpaceDE w:val="0"/>
              <w:autoSpaceDN w:val="0"/>
              <w:adjustRightInd w:val="0"/>
              <w:spacing w:line="240" w:lineRule="auto"/>
              <w:ind w:firstLine="0"/>
              <w:jc w:val="both"/>
              <w:rPr>
                <w:rFonts w:ascii="Book Antiqua" w:hAnsi="Book Antiqua"/>
                <w:szCs w:val="26"/>
              </w:rPr>
            </w:pPr>
            <w:r w:rsidRPr="00C405EF">
              <w:rPr>
                <w:rFonts w:ascii="Book Antiqua" w:hAnsi="Book Antiqua"/>
                <w:szCs w:val="26"/>
              </w:rPr>
              <w:t>Comments on OIR</w:t>
            </w:r>
          </w:p>
        </w:tc>
        <w:tc>
          <w:tcPr>
            <w:tcW w:w="4885" w:type="dxa"/>
            <w:shd w:val="clear" w:color="auto" w:fill="auto"/>
            <w:vAlign w:val="center"/>
          </w:tcPr>
          <w:p w:rsidRPr="00C405EF" w:rsidR="00A95152" w:rsidP="00C405EF" w:rsidRDefault="00A95152" w14:paraId="4FFF8205" w14:textId="53F0FD3B">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30 days from issuance of OIR</w:t>
            </w:r>
          </w:p>
        </w:tc>
      </w:tr>
      <w:tr w:rsidRPr="00C405EF" w:rsidR="00A95152" w:rsidTr="00C405EF" w14:paraId="35495F79" w14:textId="77777777">
        <w:trPr>
          <w:trHeight w:val="437"/>
          <w:jc w:val="center"/>
        </w:trPr>
        <w:tc>
          <w:tcPr>
            <w:tcW w:w="3177" w:type="dxa"/>
            <w:vAlign w:val="center"/>
          </w:tcPr>
          <w:p w:rsidRPr="00C405EF" w:rsidR="00A95152" w:rsidP="00C405EF" w:rsidRDefault="00A95152" w14:paraId="053F855A" w14:textId="7EE07680">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Reply comments on OIR</w:t>
            </w:r>
          </w:p>
        </w:tc>
        <w:tc>
          <w:tcPr>
            <w:tcW w:w="4885" w:type="dxa"/>
            <w:shd w:val="clear" w:color="auto" w:fill="auto"/>
            <w:vAlign w:val="center"/>
          </w:tcPr>
          <w:p w:rsidRPr="00C405EF" w:rsidR="00A95152" w:rsidP="00C405EF" w:rsidRDefault="00A95152" w14:paraId="4C5A0A49" w14:textId="60DD458F">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15 days from date for comments on OIR</w:t>
            </w:r>
          </w:p>
        </w:tc>
      </w:tr>
      <w:tr w:rsidRPr="00C405EF" w:rsidR="00A95152" w:rsidTr="00C405EF" w14:paraId="12765D9B" w14:textId="77777777">
        <w:trPr>
          <w:trHeight w:val="437"/>
          <w:jc w:val="center"/>
        </w:trPr>
        <w:tc>
          <w:tcPr>
            <w:tcW w:w="3177" w:type="dxa"/>
            <w:vAlign w:val="center"/>
          </w:tcPr>
          <w:p w:rsidRPr="00C405EF" w:rsidR="00A95152" w:rsidP="00C405EF" w:rsidRDefault="00A95152" w14:paraId="6ADBC7C3" w14:textId="1BF673FF">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 xml:space="preserve">PHC </w:t>
            </w:r>
          </w:p>
        </w:tc>
        <w:tc>
          <w:tcPr>
            <w:tcW w:w="4885" w:type="dxa"/>
            <w:shd w:val="clear" w:color="auto" w:fill="auto"/>
            <w:vAlign w:val="center"/>
          </w:tcPr>
          <w:p w:rsidRPr="00C405EF" w:rsidR="00A95152" w:rsidP="00C405EF" w:rsidRDefault="00A95152" w14:paraId="251E3224" w14:textId="48968AAA">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 10 days from reply comments on OIR</w:t>
            </w:r>
          </w:p>
        </w:tc>
      </w:tr>
      <w:tr w:rsidRPr="00C405EF" w:rsidR="00A95152" w:rsidTr="00C405EF" w14:paraId="02F07CC0" w14:textId="77777777">
        <w:trPr>
          <w:trHeight w:val="437"/>
          <w:jc w:val="center"/>
        </w:trPr>
        <w:tc>
          <w:tcPr>
            <w:tcW w:w="3177" w:type="dxa"/>
            <w:vAlign w:val="center"/>
          </w:tcPr>
          <w:p w:rsidRPr="00C405EF" w:rsidR="00A95152" w:rsidP="00C405EF" w:rsidRDefault="00A95152" w14:paraId="2E233174" w14:textId="3AFA5EAD">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 xml:space="preserve">Scoping Memo issued </w:t>
            </w:r>
          </w:p>
        </w:tc>
        <w:tc>
          <w:tcPr>
            <w:tcW w:w="4885" w:type="dxa"/>
            <w:shd w:val="clear" w:color="auto" w:fill="auto"/>
            <w:vAlign w:val="center"/>
          </w:tcPr>
          <w:p w:rsidRPr="00C405EF" w:rsidR="00A95152" w:rsidP="00C405EF" w:rsidRDefault="6D538746" w14:paraId="3A484E4C" w14:textId="6A24C864">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 xml:space="preserve">~ 30-45 days from </w:t>
            </w:r>
            <w:r w:rsidRPr="00C405EF" w:rsidR="2661627C">
              <w:rPr>
                <w:rFonts w:ascii="Book Antiqua" w:hAnsi="Book Antiqua"/>
                <w:szCs w:val="26"/>
              </w:rPr>
              <w:t>PHC</w:t>
            </w:r>
          </w:p>
        </w:tc>
      </w:tr>
      <w:tr w:rsidRPr="00C405EF" w:rsidR="00A95152" w:rsidTr="00C405EF" w14:paraId="6D038413" w14:textId="77777777">
        <w:trPr>
          <w:trHeight w:val="437"/>
          <w:jc w:val="center"/>
        </w:trPr>
        <w:tc>
          <w:tcPr>
            <w:tcW w:w="3177" w:type="dxa"/>
            <w:vAlign w:val="center"/>
          </w:tcPr>
          <w:p w:rsidRPr="00C405EF" w:rsidR="00A95152" w:rsidP="00C405EF" w:rsidRDefault="00A95152" w14:paraId="757D5714" w14:textId="631022C0">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Opening Comments</w:t>
            </w:r>
          </w:p>
        </w:tc>
        <w:tc>
          <w:tcPr>
            <w:tcW w:w="4885" w:type="dxa"/>
            <w:shd w:val="clear" w:color="auto" w:fill="auto"/>
            <w:vAlign w:val="center"/>
          </w:tcPr>
          <w:p w:rsidRPr="00C405EF" w:rsidR="00A95152" w:rsidP="00C405EF" w:rsidRDefault="00A95152" w14:paraId="5C881E69" w14:textId="6AA5A1A9">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30 days from Scoping Memo</w:t>
            </w:r>
          </w:p>
        </w:tc>
      </w:tr>
      <w:tr w:rsidRPr="00C405EF" w:rsidR="00A95152" w:rsidTr="00C405EF" w14:paraId="4CF69B37" w14:textId="77777777">
        <w:trPr>
          <w:trHeight w:val="437"/>
          <w:jc w:val="center"/>
        </w:trPr>
        <w:tc>
          <w:tcPr>
            <w:tcW w:w="3177" w:type="dxa"/>
            <w:vAlign w:val="center"/>
          </w:tcPr>
          <w:p w:rsidRPr="00C405EF" w:rsidR="00A95152" w:rsidP="00C405EF" w:rsidRDefault="00A95152" w14:paraId="7A793600" w14:textId="7D11FBFC">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Reply Comments</w:t>
            </w:r>
          </w:p>
        </w:tc>
        <w:tc>
          <w:tcPr>
            <w:tcW w:w="4885" w:type="dxa"/>
            <w:shd w:val="clear" w:color="auto" w:fill="auto"/>
            <w:vAlign w:val="center"/>
          </w:tcPr>
          <w:p w:rsidRPr="00C405EF" w:rsidR="00A95152" w:rsidP="00C405EF" w:rsidRDefault="00A95152" w14:paraId="15071D2A" w14:textId="11F862DC">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15 days from Opening Comments</w:t>
            </w:r>
          </w:p>
        </w:tc>
      </w:tr>
      <w:tr w:rsidRPr="00C405EF" w:rsidR="00A95152" w:rsidTr="00C405EF" w14:paraId="57107F1F" w14:textId="77777777">
        <w:trPr>
          <w:trHeight w:val="437"/>
          <w:jc w:val="center"/>
        </w:trPr>
        <w:tc>
          <w:tcPr>
            <w:tcW w:w="3177" w:type="dxa"/>
            <w:vAlign w:val="center"/>
          </w:tcPr>
          <w:p w:rsidRPr="00C405EF" w:rsidR="00A95152" w:rsidP="00C405EF" w:rsidRDefault="00A95152" w14:paraId="4FDDC0EE" w14:textId="35FCE364">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Proposed Decision</w:t>
            </w:r>
          </w:p>
        </w:tc>
        <w:tc>
          <w:tcPr>
            <w:tcW w:w="4885" w:type="dxa"/>
            <w:shd w:val="clear" w:color="auto" w:fill="auto"/>
            <w:vAlign w:val="center"/>
          </w:tcPr>
          <w:p w:rsidRPr="00C405EF" w:rsidR="00A95152" w:rsidP="00C405EF" w:rsidRDefault="00A95152" w14:paraId="7A7E36FD" w14:textId="5A24C671">
            <w:pPr>
              <w:pStyle w:val="standard"/>
              <w:autoSpaceDE w:val="0"/>
              <w:autoSpaceDN w:val="0"/>
              <w:adjustRightInd w:val="0"/>
              <w:spacing w:line="240" w:lineRule="auto"/>
              <w:ind w:firstLine="0"/>
              <w:rPr>
                <w:rFonts w:ascii="Book Antiqua" w:hAnsi="Book Antiqua"/>
                <w:szCs w:val="26"/>
              </w:rPr>
            </w:pPr>
            <w:r w:rsidRPr="00C405EF">
              <w:rPr>
                <w:rFonts w:ascii="Book Antiqua" w:hAnsi="Book Antiqua"/>
                <w:szCs w:val="26"/>
              </w:rPr>
              <w:t>~ 90 days from Reply Comments</w:t>
            </w:r>
          </w:p>
        </w:tc>
      </w:tr>
    </w:tbl>
    <w:p w:rsidRPr="00AC5503" w:rsidR="003768FE" w:rsidP="00F1641D" w:rsidRDefault="008B6B87" w14:paraId="04C51374" w14:textId="5D4518E0">
      <w:pPr>
        <w:pStyle w:val="standard"/>
        <w:spacing w:before="240"/>
        <w:rPr>
          <w:rFonts w:ascii="Book Antiqua" w:hAnsi="Book Antiqua"/>
        </w:rPr>
      </w:pPr>
      <w:r w:rsidRPr="4B5670C7">
        <w:rPr>
          <w:rFonts w:ascii="Book Antiqua" w:hAnsi="Book Antiqua"/>
        </w:rPr>
        <w:t xml:space="preserve">A </w:t>
      </w:r>
      <w:r w:rsidRPr="4B5670C7" w:rsidR="00EA16D2">
        <w:rPr>
          <w:rFonts w:ascii="Book Antiqua" w:hAnsi="Book Antiqua"/>
        </w:rPr>
        <w:t>PHC</w:t>
      </w:r>
      <w:r w:rsidRPr="4B5670C7">
        <w:rPr>
          <w:rFonts w:ascii="Book Antiqua" w:hAnsi="Book Antiqua"/>
        </w:rPr>
        <w:t xml:space="preserve"> </w:t>
      </w:r>
      <w:r w:rsidRPr="4B5670C7" w:rsidR="00EA16D2">
        <w:rPr>
          <w:rFonts w:ascii="Book Antiqua" w:hAnsi="Book Antiqua"/>
        </w:rPr>
        <w:t>will be held for the purposes of 1)</w:t>
      </w:r>
      <w:r w:rsidR="00C405EF">
        <w:rPr>
          <w:rFonts w:ascii="Book Antiqua" w:hAnsi="Book Antiqua"/>
        </w:rPr>
        <w:t> </w:t>
      </w:r>
      <w:r w:rsidRPr="4B5670C7" w:rsidR="00EA16D2">
        <w:rPr>
          <w:rFonts w:ascii="Book Antiqua" w:hAnsi="Book Antiqua"/>
        </w:rPr>
        <w:t>taking appearances, 2)</w:t>
      </w:r>
      <w:r w:rsidR="00C405EF">
        <w:rPr>
          <w:rFonts w:ascii="Book Antiqua" w:hAnsi="Book Antiqua"/>
        </w:rPr>
        <w:t> </w:t>
      </w:r>
      <w:r w:rsidRPr="4B5670C7" w:rsidR="00EA16D2">
        <w:rPr>
          <w:rFonts w:ascii="Book Antiqua" w:hAnsi="Book Antiqua"/>
        </w:rPr>
        <w:t>discussing schedule and process,</w:t>
      </w:r>
      <w:r w:rsidRPr="4B5670C7" w:rsidR="007C1EA8">
        <w:rPr>
          <w:rFonts w:ascii="Book Antiqua" w:hAnsi="Book Antiqua"/>
        </w:rPr>
        <w:t xml:space="preserve"> and 3</w:t>
      </w:r>
      <w:r w:rsidRPr="4B5670C7" w:rsidR="004339D0">
        <w:rPr>
          <w:rFonts w:ascii="Book Antiqua" w:hAnsi="Book Antiqua"/>
        </w:rPr>
        <w:t>)</w:t>
      </w:r>
      <w:r w:rsidR="00C405EF">
        <w:rPr>
          <w:rFonts w:ascii="Book Antiqua" w:hAnsi="Book Antiqua"/>
        </w:rPr>
        <w:t> </w:t>
      </w:r>
      <w:r w:rsidRPr="4B5670C7" w:rsidR="00EA16D2">
        <w:rPr>
          <w:rFonts w:ascii="Book Antiqua" w:hAnsi="Book Antiqua"/>
        </w:rPr>
        <w:t>informing</w:t>
      </w:r>
      <w:r w:rsidRPr="4B5670C7" w:rsidR="004339D0">
        <w:rPr>
          <w:rFonts w:ascii="Book Antiqua" w:hAnsi="Book Antiqua"/>
        </w:rPr>
        <w:t xml:space="preserve"> the </w:t>
      </w:r>
      <w:r w:rsidR="00C405EF">
        <w:rPr>
          <w:rFonts w:ascii="Book Antiqua" w:hAnsi="Book Antiqua"/>
        </w:rPr>
        <w:t>s</w:t>
      </w:r>
      <w:r w:rsidRPr="4B5670C7" w:rsidR="004339D0">
        <w:rPr>
          <w:rFonts w:ascii="Book Antiqua" w:hAnsi="Book Antiqua"/>
        </w:rPr>
        <w:t xml:space="preserve">coping </w:t>
      </w:r>
      <w:r w:rsidR="00C405EF">
        <w:rPr>
          <w:rFonts w:ascii="Book Antiqua" w:hAnsi="Book Antiqua"/>
        </w:rPr>
        <w:t>m</w:t>
      </w:r>
      <w:r w:rsidRPr="4B5670C7" w:rsidR="004339D0">
        <w:rPr>
          <w:rFonts w:ascii="Book Antiqua" w:hAnsi="Book Antiqua"/>
        </w:rPr>
        <w:t xml:space="preserve">emo.  The PHC </w:t>
      </w:r>
      <w:r w:rsidRPr="4B5670C7" w:rsidR="003768FE">
        <w:rPr>
          <w:rFonts w:ascii="Book Antiqua" w:hAnsi="Book Antiqua"/>
        </w:rPr>
        <w:t xml:space="preserve">shall be held </w:t>
      </w:r>
      <w:r w:rsidR="00B81AB2">
        <w:rPr>
          <w:rFonts w:ascii="Book Antiqua" w:hAnsi="Book Antiqua"/>
        </w:rPr>
        <w:t xml:space="preserve">remotely with the exact date indicated in a subsequent ruling.  </w:t>
      </w:r>
    </w:p>
    <w:p w:rsidRPr="00AC5503" w:rsidR="0024743C" w:rsidP="003768FE" w:rsidRDefault="0024743C" w14:paraId="1787FC2B" w14:textId="320EF3BB">
      <w:pPr>
        <w:pStyle w:val="standard"/>
        <w:rPr>
          <w:rFonts w:ascii="Book Antiqua" w:hAnsi="Book Antiqua"/>
          <w:szCs w:val="26"/>
        </w:rPr>
      </w:pPr>
      <w:r w:rsidRPr="00AC5503">
        <w:rPr>
          <w:rFonts w:ascii="Book Antiqua" w:hAnsi="Book Antiqua"/>
          <w:szCs w:val="26"/>
        </w:rPr>
        <w:t xml:space="preserve">The </w:t>
      </w:r>
      <w:r w:rsidR="00C405EF">
        <w:rPr>
          <w:rFonts w:ascii="Book Antiqua" w:hAnsi="Book Antiqua"/>
          <w:szCs w:val="26"/>
        </w:rPr>
        <w:t>s</w:t>
      </w:r>
      <w:r w:rsidRPr="00AC5503">
        <w:rPr>
          <w:rFonts w:ascii="Book Antiqua" w:hAnsi="Book Antiqua"/>
          <w:szCs w:val="26"/>
        </w:rPr>
        <w:t xml:space="preserve">coping </w:t>
      </w:r>
      <w:r w:rsidR="00C405EF">
        <w:rPr>
          <w:rFonts w:ascii="Book Antiqua" w:hAnsi="Book Antiqua"/>
          <w:szCs w:val="26"/>
        </w:rPr>
        <w:t>m</w:t>
      </w:r>
      <w:r w:rsidRPr="00AC5503">
        <w:rPr>
          <w:rFonts w:ascii="Book Antiqua" w:hAnsi="Book Antiqua"/>
          <w:szCs w:val="26"/>
        </w:rPr>
        <w:t xml:space="preserve">emo </w:t>
      </w:r>
      <w:r w:rsidRPr="00AC5503" w:rsidR="00AE04EF">
        <w:rPr>
          <w:rFonts w:ascii="Book Antiqua" w:hAnsi="Book Antiqua"/>
          <w:szCs w:val="26"/>
        </w:rPr>
        <w:t xml:space="preserve">will </w:t>
      </w:r>
      <w:r w:rsidRPr="00AC5503">
        <w:rPr>
          <w:rFonts w:ascii="Book Antiqua" w:hAnsi="Book Antiqua"/>
          <w:szCs w:val="26"/>
        </w:rPr>
        <w:t xml:space="preserve">provide direction to the parties </w:t>
      </w:r>
      <w:r w:rsidR="00D539F4">
        <w:rPr>
          <w:rFonts w:ascii="Book Antiqua" w:hAnsi="Book Antiqua"/>
          <w:szCs w:val="26"/>
        </w:rPr>
        <w:t xml:space="preserve">and an opportunity </w:t>
      </w:r>
      <w:r w:rsidR="00EA2E3C">
        <w:rPr>
          <w:rFonts w:ascii="Book Antiqua" w:hAnsi="Book Antiqua"/>
          <w:szCs w:val="26"/>
        </w:rPr>
        <w:t xml:space="preserve">to </w:t>
      </w:r>
      <w:r w:rsidR="009C5A3F">
        <w:rPr>
          <w:rFonts w:ascii="Book Antiqua" w:hAnsi="Book Antiqua"/>
          <w:szCs w:val="26"/>
        </w:rPr>
        <w:t xml:space="preserve">review and </w:t>
      </w:r>
      <w:r w:rsidRPr="00AC5503">
        <w:rPr>
          <w:rFonts w:ascii="Book Antiqua" w:hAnsi="Book Antiqua"/>
          <w:szCs w:val="26"/>
        </w:rPr>
        <w:t>respond</w:t>
      </w:r>
      <w:r w:rsidR="00EA2E3C">
        <w:rPr>
          <w:rFonts w:ascii="Book Antiqua" w:hAnsi="Book Antiqua"/>
          <w:szCs w:val="26"/>
        </w:rPr>
        <w:t xml:space="preserve"> to </w:t>
      </w:r>
      <w:r w:rsidRPr="00AC5503">
        <w:rPr>
          <w:rFonts w:ascii="Book Antiqua" w:hAnsi="Book Antiqua"/>
          <w:szCs w:val="26"/>
        </w:rPr>
        <w:t xml:space="preserve">the </w:t>
      </w:r>
      <w:r w:rsidR="00EA2E3C">
        <w:rPr>
          <w:rFonts w:ascii="Book Antiqua" w:hAnsi="Book Antiqua"/>
          <w:szCs w:val="26"/>
        </w:rPr>
        <w:t>S</w:t>
      </w:r>
      <w:r w:rsidRPr="00AC5503">
        <w:rPr>
          <w:rFonts w:ascii="Book Antiqua" w:hAnsi="Book Antiqua"/>
          <w:szCs w:val="26"/>
        </w:rPr>
        <w:t xml:space="preserve">taff </w:t>
      </w:r>
      <w:r w:rsidR="00EA2E3C">
        <w:rPr>
          <w:rFonts w:ascii="Book Antiqua" w:hAnsi="Book Antiqua"/>
          <w:szCs w:val="26"/>
        </w:rPr>
        <w:t>P</w:t>
      </w:r>
      <w:r w:rsidRPr="00AC5503">
        <w:rPr>
          <w:rFonts w:ascii="Book Antiqua" w:hAnsi="Book Antiqua"/>
          <w:szCs w:val="26"/>
        </w:rPr>
        <w:t>roposal</w:t>
      </w:r>
      <w:r w:rsidR="00D539F4">
        <w:rPr>
          <w:rFonts w:ascii="Book Antiqua" w:hAnsi="Book Antiqua"/>
          <w:szCs w:val="26"/>
        </w:rPr>
        <w:t xml:space="preserve"> prepared in response to the comments on the OIR</w:t>
      </w:r>
      <w:r w:rsidRPr="00AC5503">
        <w:rPr>
          <w:rFonts w:ascii="Book Antiqua" w:hAnsi="Book Antiqua"/>
          <w:szCs w:val="26"/>
        </w:rPr>
        <w:t>.</w:t>
      </w:r>
      <w:r w:rsidRPr="00C405EF" w:rsidR="006E34B0">
        <w:rPr>
          <w:rStyle w:val="FootnoteReference"/>
          <w:rFonts w:ascii="Book Antiqua" w:hAnsi="Book Antiqua"/>
          <w:sz w:val="26"/>
          <w:szCs w:val="26"/>
        </w:rPr>
        <w:footnoteReference w:id="10"/>
      </w:r>
      <w:r w:rsidRPr="00AC5503" w:rsidR="00AE04EF">
        <w:rPr>
          <w:rFonts w:ascii="Book Antiqua" w:hAnsi="Book Antiqua"/>
          <w:szCs w:val="26"/>
        </w:rPr>
        <w:t xml:space="preserve">  Parties will </w:t>
      </w:r>
      <w:r w:rsidR="009C5A3F">
        <w:rPr>
          <w:rFonts w:ascii="Book Antiqua" w:hAnsi="Book Antiqua"/>
          <w:szCs w:val="26"/>
        </w:rPr>
        <w:t xml:space="preserve">also </w:t>
      </w:r>
      <w:r w:rsidRPr="00AC5503" w:rsidR="00AE04EF">
        <w:rPr>
          <w:rFonts w:ascii="Book Antiqua" w:hAnsi="Book Antiqua"/>
          <w:szCs w:val="26"/>
        </w:rPr>
        <w:t xml:space="preserve">have the opportunity to </w:t>
      </w:r>
      <w:r w:rsidR="009C5A3F">
        <w:rPr>
          <w:rFonts w:ascii="Book Antiqua" w:hAnsi="Book Antiqua"/>
          <w:szCs w:val="26"/>
        </w:rPr>
        <w:t xml:space="preserve">file </w:t>
      </w:r>
      <w:r w:rsidRPr="00AC5503" w:rsidR="00AE04EF">
        <w:rPr>
          <w:rFonts w:ascii="Book Antiqua" w:hAnsi="Book Antiqua"/>
          <w:szCs w:val="26"/>
        </w:rPr>
        <w:t>reply comments responding to the comments of other parties</w:t>
      </w:r>
      <w:r w:rsidR="009C5A3F">
        <w:rPr>
          <w:rFonts w:ascii="Book Antiqua" w:hAnsi="Book Antiqua"/>
          <w:szCs w:val="26"/>
        </w:rPr>
        <w:t xml:space="preserve"> </w:t>
      </w:r>
      <w:r w:rsidRPr="009C5A3F" w:rsidR="009C5A3F">
        <w:rPr>
          <w:rFonts w:ascii="Book Antiqua" w:hAnsi="Book Antiqua"/>
          <w:szCs w:val="26"/>
        </w:rPr>
        <w:t>and to raise any additional issues</w:t>
      </w:r>
      <w:r w:rsidR="009C5A3F">
        <w:rPr>
          <w:rFonts w:ascii="Book Antiqua" w:hAnsi="Book Antiqua"/>
          <w:szCs w:val="26"/>
        </w:rPr>
        <w:t>.</w:t>
      </w:r>
    </w:p>
    <w:p w:rsidRPr="00AC5503" w:rsidR="003768FE" w:rsidP="003768FE" w:rsidRDefault="003768FE" w14:paraId="56E1CBD8" w14:textId="08FF3C01">
      <w:pPr>
        <w:pStyle w:val="standard"/>
        <w:rPr>
          <w:rFonts w:ascii="Book Antiqua" w:hAnsi="Book Antiqua"/>
          <w:szCs w:val="26"/>
        </w:rPr>
      </w:pPr>
      <w:r w:rsidRPr="00AC5503">
        <w:rPr>
          <w:rFonts w:ascii="Book Antiqua" w:hAnsi="Book Antiqua"/>
          <w:szCs w:val="26"/>
        </w:rPr>
        <w:t xml:space="preserve">The </w:t>
      </w:r>
      <w:r w:rsidR="00E11F08">
        <w:rPr>
          <w:rFonts w:ascii="Book Antiqua" w:hAnsi="Book Antiqua"/>
          <w:szCs w:val="26"/>
        </w:rPr>
        <w:t>a</w:t>
      </w:r>
      <w:r w:rsidRPr="00AC5503">
        <w:rPr>
          <w:rFonts w:ascii="Book Antiqua" w:hAnsi="Book Antiqua"/>
          <w:szCs w:val="26"/>
        </w:rPr>
        <w:t xml:space="preserve">ssigned Commissioner or the assigned Administrative Law Judge (ALJ) may alter the schedule to promote efficient and fair administration of this proceeding.  A schedule for the remainder of the proceeding will be adopted in the </w:t>
      </w:r>
      <w:r w:rsidR="00C405EF">
        <w:rPr>
          <w:rFonts w:ascii="Book Antiqua" w:hAnsi="Book Antiqua"/>
          <w:szCs w:val="26"/>
        </w:rPr>
        <w:t>a</w:t>
      </w:r>
      <w:r w:rsidRPr="00AC5503">
        <w:rPr>
          <w:rFonts w:ascii="Book Antiqua" w:hAnsi="Book Antiqua"/>
          <w:szCs w:val="26"/>
        </w:rPr>
        <w:t>ssigne</w:t>
      </w:r>
      <w:r w:rsidRPr="00AC5503" w:rsidR="007247CB">
        <w:rPr>
          <w:rFonts w:ascii="Book Antiqua" w:hAnsi="Book Antiqua"/>
          <w:szCs w:val="26"/>
        </w:rPr>
        <w:t xml:space="preserve">d Commissioner’s </w:t>
      </w:r>
      <w:r w:rsidR="00C405EF">
        <w:rPr>
          <w:rFonts w:ascii="Book Antiqua" w:hAnsi="Book Antiqua"/>
          <w:szCs w:val="26"/>
        </w:rPr>
        <w:t>s</w:t>
      </w:r>
      <w:r w:rsidRPr="00AC5503" w:rsidR="007247CB">
        <w:rPr>
          <w:rFonts w:ascii="Book Antiqua" w:hAnsi="Book Antiqua"/>
          <w:szCs w:val="26"/>
        </w:rPr>
        <w:t xml:space="preserve">coping </w:t>
      </w:r>
      <w:r w:rsidR="00C405EF">
        <w:rPr>
          <w:rFonts w:ascii="Book Antiqua" w:hAnsi="Book Antiqua"/>
          <w:szCs w:val="26"/>
        </w:rPr>
        <w:t>m</w:t>
      </w:r>
      <w:r w:rsidRPr="00AC5503" w:rsidR="007247CB">
        <w:rPr>
          <w:rFonts w:ascii="Book Antiqua" w:hAnsi="Book Antiqua"/>
          <w:szCs w:val="26"/>
        </w:rPr>
        <w:t>emo.</w:t>
      </w:r>
    </w:p>
    <w:p w:rsidRPr="00AC5503" w:rsidR="00413448" w:rsidP="003768FE" w:rsidRDefault="003768FE" w14:paraId="2F560F96" w14:textId="142E33E1">
      <w:pPr>
        <w:pStyle w:val="standard"/>
        <w:rPr>
          <w:rFonts w:ascii="Book Antiqua" w:hAnsi="Book Antiqua"/>
          <w:szCs w:val="26"/>
        </w:rPr>
      </w:pPr>
      <w:r w:rsidRPr="00AC5503">
        <w:rPr>
          <w:rFonts w:ascii="Book Antiqua" w:hAnsi="Book Antiqua"/>
          <w:szCs w:val="26"/>
        </w:rPr>
        <w:t xml:space="preserve">This proceeding will conform to the statutory case management deadline for </w:t>
      </w:r>
      <w:r w:rsidR="00AA3613">
        <w:rPr>
          <w:rFonts w:ascii="Book Antiqua" w:hAnsi="Book Antiqua"/>
          <w:szCs w:val="26"/>
        </w:rPr>
        <w:t xml:space="preserve">quasi-legislative </w:t>
      </w:r>
      <w:r w:rsidRPr="00AC5503">
        <w:rPr>
          <w:rFonts w:ascii="Book Antiqua" w:hAnsi="Book Antiqua"/>
          <w:szCs w:val="26"/>
        </w:rPr>
        <w:t xml:space="preserve">matters set forth in Pub. Util. Code </w:t>
      </w:r>
      <w:r w:rsidR="00E11F08">
        <w:rPr>
          <w:rFonts w:ascii="Book Antiqua" w:hAnsi="Book Antiqua"/>
          <w:szCs w:val="26"/>
        </w:rPr>
        <w:t>Section</w:t>
      </w:r>
      <w:r w:rsidRPr="00AC5503">
        <w:rPr>
          <w:rFonts w:ascii="Book Antiqua" w:hAnsi="Book Antiqua"/>
          <w:szCs w:val="26"/>
        </w:rPr>
        <w:t> </w:t>
      </w:r>
      <w:r w:rsidRPr="00AC5503" w:rsidR="00187674">
        <w:rPr>
          <w:rFonts w:ascii="Book Antiqua" w:hAnsi="Book Antiqua"/>
          <w:szCs w:val="26"/>
        </w:rPr>
        <w:t xml:space="preserve">1701.4 and </w:t>
      </w:r>
      <w:r w:rsidRPr="00AC5503">
        <w:rPr>
          <w:rFonts w:ascii="Book Antiqua" w:hAnsi="Book Antiqua"/>
          <w:szCs w:val="26"/>
        </w:rPr>
        <w:t>1701.5</w:t>
      </w:r>
    </w:p>
    <w:p w:rsidRPr="00B53876" w:rsidR="00413448" w:rsidP="00C326DD" w:rsidRDefault="00413448" w14:paraId="13A0B979" w14:textId="77777777">
      <w:pPr>
        <w:pStyle w:val="StyleHeading1Before0pt1"/>
      </w:pPr>
      <w:r w:rsidRPr="00B53876">
        <w:lastRenderedPageBreak/>
        <w:t>Respondents</w:t>
      </w:r>
    </w:p>
    <w:p w:rsidR="00FE6950" w:rsidP="00FE6950" w:rsidRDefault="00A54300" w14:paraId="17F8117B" w14:textId="02A92175">
      <w:pPr>
        <w:pStyle w:val="standard"/>
        <w:rPr>
          <w:rFonts w:ascii="Book Antiqua" w:hAnsi="Book Antiqua"/>
        </w:rPr>
      </w:pPr>
      <w:r w:rsidRPr="00AC5503">
        <w:rPr>
          <w:rFonts w:ascii="Book Antiqua" w:hAnsi="Book Antiqua"/>
        </w:rPr>
        <w:t>R</w:t>
      </w:r>
      <w:r w:rsidRPr="00AC5503" w:rsidR="003768FE">
        <w:rPr>
          <w:rFonts w:ascii="Book Antiqua" w:hAnsi="Book Antiqua"/>
        </w:rPr>
        <w:t xml:space="preserve">espondents </w:t>
      </w:r>
      <w:r w:rsidRPr="00AC5503">
        <w:rPr>
          <w:rFonts w:ascii="Book Antiqua" w:hAnsi="Book Antiqua"/>
        </w:rPr>
        <w:t xml:space="preserve">are </w:t>
      </w:r>
      <w:r w:rsidRPr="00AC5503" w:rsidR="003768FE">
        <w:rPr>
          <w:rFonts w:ascii="Book Antiqua" w:hAnsi="Book Antiqua"/>
        </w:rPr>
        <w:t xml:space="preserve">all </w:t>
      </w:r>
      <w:r w:rsidRPr="00AC5503" w:rsidR="00D54669">
        <w:rPr>
          <w:rFonts w:ascii="Book Antiqua" w:hAnsi="Book Antiqua"/>
        </w:rPr>
        <w:t>investor-owned e</w:t>
      </w:r>
      <w:r w:rsidRPr="00AC5503" w:rsidR="00187674">
        <w:rPr>
          <w:rFonts w:ascii="Book Antiqua" w:hAnsi="Book Antiqua"/>
        </w:rPr>
        <w:t xml:space="preserve">lectric </w:t>
      </w:r>
      <w:r w:rsidRPr="00AC5503" w:rsidR="00D54669">
        <w:rPr>
          <w:rFonts w:ascii="Book Antiqua" w:hAnsi="Book Antiqua"/>
        </w:rPr>
        <w:t>u</w:t>
      </w:r>
      <w:r w:rsidRPr="00AC5503" w:rsidR="00187674">
        <w:rPr>
          <w:rFonts w:ascii="Book Antiqua" w:hAnsi="Book Antiqua"/>
        </w:rPr>
        <w:t>tilities</w:t>
      </w:r>
      <w:r w:rsidRPr="00AC5503" w:rsidR="00FE6950">
        <w:rPr>
          <w:rFonts w:ascii="Book Antiqua" w:hAnsi="Book Antiqua"/>
        </w:rPr>
        <w:t xml:space="preserve"> </w:t>
      </w:r>
      <w:r w:rsidR="00E22AF4">
        <w:rPr>
          <w:rFonts w:ascii="Book Antiqua" w:hAnsi="Book Antiqua"/>
        </w:rPr>
        <w:t xml:space="preserve">and merchant transmission owners </w:t>
      </w:r>
      <w:r w:rsidRPr="00AC5503" w:rsidR="00FE6950">
        <w:rPr>
          <w:rFonts w:ascii="Book Antiqua" w:hAnsi="Book Antiqua"/>
        </w:rPr>
        <w:t>operating in the State of California</w:t>
      </w:r>
      <w:r w:rsidR="00A34F25">
        <w:rPr>
          <w:rFonts w:ascii="Book Antiqua" w:hAnsi="Book Antiqua"/>
        </w:rPr>
        <w:t xml:space="preserve">, as follows: </w:t>
      </w:r>
    </w:p>
    <w:p w:rsidR="00EE4F6B" w:rsidP="002F648B" w:rsidRDefault="00004120" w14:paraId="3633AC14" w14:textId="78A96390">
      <w:pPr>
        <w:pStyle w:val="standard"/>
        <w:numPr>
          <w:ilvl w:val="0"/>
          <w:numId w:val="40"/>
        </w:numPr>
        <w:ind w:left="1080"/>
        <w:rPr>
          <w:rFonts w:ascii="Book Antiqua" w:hAnsi="Book Antiqua"/>
        </w:rPr>
      </w:pPr>
      <w:r>
        <w:rPr>
          <w:rFonts w:ascii="Book Antiqua" w:hAnsi="Book Antiqua"/>
        </w:rPr>
        <w:t>Pacific Gas and Electric Company (PG&amp;E)</w:t>
      </w:r>
    </w:p>
    <w:p w:rsidR="00004120" w:rsidP="002F648B" w:rsidRDefault="006E70AF" w14:paraId="3F2C3B7E" w14:textId="21E79C7B">
      <w:pPr>
        <w:pStyle w:val="standard"/>
        <w:numPr>
          <w:ilvl w:val="0"/>
          <w:numId w:val="40"/>
        </w:numPr>
        <w:ind w:left="1080"/>
        <w:rPr>
          <w:rFonts w:ascii="Book Antiqua" w:hAnsi="Book Antiqua"/>
        </w:rPr>
      </w:pPr>
      <w:r>
        <w:rPr>
          <w:rFonts w:ascii="Book Antiqua" w:hAnsi="Book Antiqua"/>
        </w:rPr>
        <w:t>Southern California Edison Company (SCE)</w:t>
      </w:r>
    </w:p>
    <w:p w:rsidR="006E70AF" w:rsidP="002F648B" w:rsidRDefault="006E70AF" w14:paraId="7B801ACA" w14:textId="51A62A1A">
      <w:pPr>
        <w:pStyle w:val="standard"/>
        <w:numPr>
          <w:ilvl w:val="0"/>
          <w:numId w:val="40"/>
        </w:numPr>
        <w:ind w:left="1080"/>
        <w:rPr>
          <w:rFonts w:ascii="Book Antiqua" w:hAnsi="Book Antiqua"/>
        </w:rPr>
      </w:pPr>
      <w:r>
        <w:rPr>
          <w:rFonts w:ascii="Book Antiqua" w:hAnsi="Book Antiqua"/>
        </w:rPr>
        <w:t>San Diego Gas &amp; Electric Company (SDG&amp;E)</w:t>
      </w:r>
    </w:p>
    <w:p w:rsidR="006E70AF" w:rsidP="002F648B" w:rsidRDefault="006E70AF" w14:paraId="13707E79" w14:textId="05643CAA">
      <w:pPr>
        <w:pStyle w:val="standard"/>
        <w:numPr>
          <w:ilvl w:val="0"/>
          <w:numId w:val="40"/>
        </w:numPr>
        <w:ind w:left="1080"/>
        <w:rPr>
          <w:rFonts w:ascii="Book Antiqua" w:hAnsi="Book Antiqua"/>
        </w:rPr>
      </w:pPr>
      <w:r>
        <w:rPr>
          <w:rFonts w:ascii="Book Antiqua" w:hAnsi="Book Antiqua"/>
        </w:rPr>
        <w:t>Bear Valley Electric Service, Inc (BVES)</w:t>
      </w:r>
    </w:p>
    <w:p w:rsidR="006E70AF" w:rsidP="002F648B" w:rsidRDefault="006E70AF" w14:paraId="47C4686F" w14:textId="0C969CB7">
      <w:pPr>
        <w:pStyle w:val="standard"/>
        <w:numPr>
          <w:ilvl w:val="0"/>
          <w:numId w:val="40"/>
        </w:numPr>
        <w:ind w:left="1080"/>
        <w:rPr>
          <w:rFonts w:ascii="Book Antiqua" w:hAnsi="Book Antiqua"/>
        </w:rPr>
      </w:pPr>
      <w:r>
        <w:rPr>
          <w:rFonts w:ascii="Book Antiqua" w:hAnsi="Book Antiqua"/>
        </w:rPr>
        <w:t>Liberty Utilities (CalPeco Electric) LLC (Liberty)</w:t>
      </w:r>
    </w:p>
    <w:p w:rsidR="006E70AF" w:rsidP="002F648B" w:rsidRDefault="006E70AF" w14:paraId="1BD7C4A3" w14:textId="2D7534C9">
      <w:pPr>
        <w:pStyle w:val="standard"/>
        <w:numPr>
          <w:ilvl w:val="0"/>
          <w:numId w:val="40"/>
        </w:numPr>
        <w:ind w:left="1080"/>
        <w:rPr>
          <w:rFonts w:ascii="Book Antiqua" w:hAnsi="Book Antiqua"/>
        </w:rPr>
      </w:pPr>
      <w:r>
        <w:rPr>
          <w:rFonts w:ascii="Book Antiqua" w:hAnsi="Book Antiqua"/>
        </w:rPr>
        <w:t>PacifiCorp d.b.a. Pacific Power (PacifiCorp)</w:t>
      </w:r>
    </w:p>
    <w:p w:rsidR="00E22AF4" w:rsidP="002F648B" w:rsidRDefault="00E22AF4" w14:paraId="05165AF3" w14:textId="344A99A8">
      <w:pPr>
        <w:pStyle w:val="standard"/>
        <w:numPr>
          <w:ilvl w:val="0"/>
          <w:numId w:val="40"/>
        </w:numPr>
        <w:ind w:left="1080"/>
        <w:rPr>
          <w:rFonts w:ascii="Book Antiqua" w:hAnsi="Book Antiqua"/>
        </w:rPr>
      </w:pPr>
      <w:r>
        <w:rPr>
          <w:rFonts w:ascii="Book Antiqua" w:hAnsi="Book Antiqua"/>
        </w:rPr>
        <w:t>NextEra Energy Transmission West, LLC</w:t>
      </w:r>
    </w:p>
    <w:p w:rsidR="00E22AF4" w:rsidP="002F648B" w:rsidRDefault="00E22AF4" w14:paraId="3B125D18" w14:textId="72838E5F">
      <w:pPr>
        <w:pStyle w:val="standard"/>
        <w:numPr>
          <w:ilvl w:val="0"/>
          <w:numId w:val="40"/>
        </w:numPr>
        <w:ind w:left="1080"/>
        <w:rPr>
          <w:rFonts w:ascii="Book Antiqua" w:hAnsi="Book Antiqua"/>
        </w:rPr>
      </w:pPr>
      <w:r>
        <w:rPr>
          <w:rFonts w:ascii="Book Antiqua" w:hAnsi="Book Antiqua"/>
        </w:rPr>
        <w:t>Valley Electric Association, Inc.</w:t>
      </w:r>
    </w:p>
    <w:p w:rsidR="00E22AF4" w:rsidP="002F648B" w:rsidRDefault="00E22AF4" w14:paraId="5F0CC032" w14:textId="29C69334">
      <w:pPr>
        <w:pStyle w:val="standard"/>
        <w:numPr>
          <w:ilvl w:val="0"/>
          <w:numId w:val="40"/>
        </w:numPr>
        <w:ind w:left="1080"/>
        <w:rPr>
          <w:rFonts w:ascii="Book Antiqua" w:hAnsi="Book Antiqua"/>
        </w:rPr>
      </w:pPr>
      <w:r>
        <w:rPr>
          <w:rFonts w:ascii="Book Antiqua" w:hAnsi="Book Antiqua"/>
        </w:rPr>
        <w:t>GridLiance- Nex</w:t>
      </w:r>
      <w:r w:rsidR="00A05405">
        <w:rPr>
          <w:rFonts w:ascii="Book Antiqua" w:hAnsi="Book Antiqua"/>
        </w:rPr>
        <w:t>tera Energy Transmission</w:t>
      </w:r>
    </w:p>
    <w:p w:rsidR="00A05405" w:rsidP="002F648B" w:rsidRDefault="00A05405" w14:paraId="0A4FFA0E" w14:textId="4AE8F383">
      <w:pPr>
        <w:pStyle w:val="standard"/>
        <w:numPr>
          <w:ilvl w:val="0"/>
          <w:numId w:val="40"/>
        </w:numPr>
        <w:ind w:left="1080"/>
        <w:rPr>
          <w:rFonts w:ascii="Book Antiqua" w:hAnsi="Book Antiqua"/>
        </w:rPr>
      </w:pPr>
      <w:r>
        <w:rPr>
          <w:rFonts w:ascii="Book Antiqua" w:hAnsi="Book Antiqua"/>
        </w:rPr>
        <w:t xml:space="preserve">LS Power Grid California </w:t>
      </w:r>
    </w:p>
    <w:p w:rsidR="00A05405" w:rsidP="002F648B" w:rsidRDefault="00A05405" w14:paraId="2BD6F631" w14:textId="4A0949BC">
      <w:pPr>
        <w:pStyle w:val="standard"/>
        <w:numPr>
          <w:ilvl w:val="0"/>
          <w:numId w:val="40"/>
        </w:numPr>
        <w:ind w:left="1080"/>
        <w:rPr>
          <w:rFonts w:ascii="Book Antiqua" w:hAnsi="Book Antiqua"/>
        </w:rPr>
      </w:pPr>
      <w:r>
        <w:rPr>
          <w:rFonts w:ascii="Book Antiqua" w:hAnsi="Book Antiqua"/>
        </w:rPr>
        <w:t>DCR Transmission, LLC</w:t>
      </w:r>
    </w:p>
    <w:p w:rsidRPr="00B53876" w:rsidR="00413448" w:rsidP="00C326DD" w:rsidRDefault="00413448" w14:paraId="22C349D7" w14:textId="77777777">
      <w:pPr>
        <w:pStyle w:val="StyleHeading1Before0pt1"/>
      </w:pPr>
      <w:r w:rsidRPr="00B53876">
        <w:t>Parties and Service List</w:t>
      </w:r>
    </w:p>
    <w:p w:rsidR="003768FE" w:rsidP="00F62D15" w:rsidRDefault="00061B0A" w14:paraId="11A5B2FA" w14:textId="58D7B794">
      <w:pPr>
        <w:pStyle w:val="standard"/>
        <w:rPr>
          <w:rFonts w:ascii="Book Antiqua" w:hAnsi="Book Antiqua"/>
        </w:rPr>
      </w:pPr>
      <w:r>
        <w:rPr>
          <w:rFonts w:ascii="Book Antiqua" w:hAnsi="Book Antiqua"/>
        </w:rPr>
        <w:t>In addition to the respondents, t</w:t>
      </w:r>
      <w:r w:rsidRPr="00AC5503" w:rsidR="00D54669">
        <w:rPr>
          <w:rFonts w:ascii="Book Antiqua" w:hAnsi="Book Antiqua"/>
        </w:rPr>
        <w:t xml:space="preserve">his order will be served </w:t>
      </w:r>
      <w:r w:rsidRPr="00AC5503" w:rsidR="003768FE">
        <w:rPr>
          <w:rFonts w:ascii="Book Antiqua" w:hAnsi="Book Antiqua"/>
        </w:rPr>
        <w:t xml:space="preserve">on the </w:t>
      </w:r>
      <w:r w:rsidR="0029776D">
        <w:rPr>
          <w:rFonts w:ascii="Book Antiqua" w:hAnsi="Book Antiqua"/>
        </w:rPr>
        <w:t xml:space="preserve">following </w:t>
      </w:r>
      <w:r w:rsidRPr="00AC5503" w:rsidR="003768FE">
        <w:rPr>
          <w:rFonts w:ascii="Book Antiqua" w:hAnsi="Book Antiqua"/>
        </w:rPr>
        <w:t>service li</w:t>
      </w:r>
      <w:r w:rsidR="0029776D">
        <w:rPr>
          <w:rFonts w:ascii="Book Antiqua" w:hAnsi="Book Antiqua"/>
        </w:rPr>
        <w:t>sts:</w:t>
      </w:r>
    </w:p>
    <w:p w:rsidRPr="00421E3C" w:rsidR="00425CCC" w:rsidP="002F648B" w:rsidRDefault="00425CCC" w14:paraId="7DE74F94" w14:textId="4507BD04">
      <w:pPr>
        <w:pStyle w:val="ListParagraph"/>
        <w:numPr>
          <w:ilvl w:val="0"/>
          <w:numId w:val="44"/>
        </w:numPr>
        <w:spacing w:after="120"/>
        <w:ind w:left="1080"/>
        <w:rPr>
          <w:rFonts w:ascii="Book Antiqua" w:hAnsi="Book Antiqua"/>
          <w:szCs w:val="26"/>
        </w:rPr>
      </w:pPr>
      <w:r w:rsidRPr="00394A65">
        <w:rPr>
          <w:rFonts w:ascii="Book Antiqua" w:hAnsi="Book Antiqua"/>
          <w:szCs w:val="26"/>
        </w:rPr>
        <w:t>R.17-05-010</w:t>
      </w:r>
      <w:r w:rsidRPr="00421E3C" w:rsidR="00EC1002">
        <w:rPr>
          <w:rFonts w:ascii="Book Antiqua" w:hAnsi="Book Antiqua"/>
          <w:szCs w:val="26"/>
        </w:rPr>
        <w:t>,</w:t>
      </w:r>
      <w:r w:rsidRPr="00394A65">
        <w:rPr>
          <w:rFonts w:ascii="Book Antiqua" w:hAnsi="Book Antiqua"/>
          <w:szCs w:val="26"/>
        </w:rPr>
        <w:t xml:space="preserve"> </w:t>
      </w:r>
      <w:r w:rsidRPr="00394A65">
        <w:rPr>
          <w:rFonts w:ascii="Book Antiqua" w:hAnsi="Book Antiqua"/>
          <w:i/>
          <w:iCs/>
          <w:szCs w:val="26"/>
        </w:rPr>
        <w:t>Rulemaking to Consider Revisions to Electric Rule 20 and Related Matters</w:t>
      </w:r>
    </w:p>
    <w:p w:rsidRPr="00421E3C" w:rsidR="00274FEC" w:rsidP="002F648B" w:rsidRDefault="00274FEC" w14:paraId="6A384817" w14:textId="0F191112">
      <w:pPr>
        <w:pStyle w:val="ListParagraph"/>
        <w:numPr>
          <w:ilvl w:val="0"/>
          <w:numId w:val="44"/>
        </w:numPr>
        <w:spacing w:after="120"/>
        <w:ind w:left="1080"/>
        <w:rPr>
          <w:rFonts w:ascii="Book Antiqua" w:hAnsi="Book Antiqua"/>
          <w:szCs w:val="26"/>
        </w:rPr>
      </w:pPr>
      <w:r w:rsidRPr="00421E3C">
        <w:rPr>
          <w:rFonts w:ascii="Book Antiqua" w:hAnsi="Book Antiqua"/>
          <w:szCs w:val="26"/>
        </w:rPr>
        <w:t>R.18-12-005</w:t>
      </w:r>
      <w:r w:rsidRPr="00421E3C" w:rsidR="00EC1002">
        <w:rPr>
          <w:rFonts w:ascii="Book Antiqua" w:hAnsi="Book Antiqua"/>
          <w:szCs w:val="26"/>
        </w:rPr>
        <w:t>,</w:t>
      </w:r>
      <w:r w:rsidRPr="00421E3C">
        <w:rPr>
          <w:rFonts w:ascii="Book Antiqua" w:hAnsi="Book Antiqua"/>
          <w:szCs w:val="26"/>
        </w:rPr>
        <w:t xml:space="preserve"> </w:t>
      </w:r>
      <w:r w:rsidRPr="00394A65">
        <w:rPr>
          <w:rFonts w:ascii="Book Antiqua" w:hAnsi="Book Antiqua"/>
          <w:i/>
          <w:iCs/>
          <w:szCs w:val="26"/>
        </w:rPr>
        <w:t>Rulemaking to Examine Electric Utility De-Energization of Power Lines in Dangerous Conditions</w:t>
      </w:r>
    </w:p>
    <w:p w:rsidRPr="00394A65" w:rsidR="00274FEC" w:rsidP="002F648B" w:rsidRDefault="00274FEC" w14:paraId="2AD25036" w14:textId="15CA6171">
      <w:pPr>
        <w:pStyle w:val="ListParagraph"/>
        <w:numPr>
          <w:ilvl w:val="0"/>
          <w:numId w:val="44"/>
        </w:numPr>
        <w:spacing w:after="120"/>
        <w:ind w:left="1080"/>
        <w:rPr>
          <w:rFonts w:ascii="Book Antiqua" w:hAnsi="Book Antiqua"/>
          <w:szCs w:val="26"/>
        </w:rPr>
      </w:pPr>
      <w:r w:rsidRPr="00394A65">
        <w:rPr>
          <w:rFonts w:ascii="Book Antiqua" w:hAnsi="Book Antiqua"/>
          <w:szCs w:val="26"/>
        </w:rPr>
        <w:t>R</w:t>
      </w:r>
      <w:r w:rsidRPr="00394A65" w:rsidR="006D0574">
        <w:rPr>
          <w:rFonts w:ascii="Book Antiqua" w:hAnsi="Book Antiqua"/>
          <w:szCs w:val="26"/>
        </w:rPr>
        <w:t>.18-07-003</w:t>
      </w:r>
      <w:r w:rsidRPr="00394A65" w:rsidR="000A29C4">
        <w:rPr>
          <w:rFonts w:ascii="Book Antiqua" w:hAnsi="Book Antiqua"/>
          <w:szCs w:val="26"/>
        </w:rPr>
        <w:t xml:space="preserve">, </w:t>
      </w:r>
      <w:r w:rsidRPr="00394A65" w:rsidR="000A29C4">
        <w:rPr>
          <w:rFonts w:ascii="Book Antiqua" w:hAnsi="Book Antiqua"/>
          <w:i/>
          <w:iCs/>
          <w:szCs w:val="26"/>
        </w:rPr>
        <w:t>Rulemaking to Continue Implementation and Administration</w:t>
      </w:r>
      <w:r w:rsidRPr="00394A65" w:rsidR="005E1238">
        <w:rPr>
          <w:rFonts w:ascii="Book Antiqua" w:hAnsi="Book Antiqua"/>
          <w:i/>
          <w:iCs/>
          <w:szCs w:val="26"/>
        </w:rPr>
        <w:t>, and Consider Further Development, of California Renewables Portfolio Standard Program</w:t>
      </w:r>
    </w:p>
    <w:p w:rsidRPr="00421E3C" w:rsidR="00EC1002" w:rsidP="002F648B" w:rsidRDefault="00EC1002" w14:paraId="368B9D9F" w14:textId="77777777">
      <w:pPr>
        <w:pStyle w:val="ListParagraph"/>
        <w:numPr>
          <w:ilvl w:val="0"/>
          <w:numId w:val="44"/>
        </w:numPr>
        <w:spacing w:after="120"/>
        <w:ind w:left="1080"/>
        <w:rPr>
          <w:rFonts w:ascii="Book Antiqua" w:hAnsi="Book Antiqua"/>
          <w:szCs w:val="26"/>
        </w:rPr>
      </w:pPr>
      <w:r w:rsidRPr="00421E3C">
        <w:rPr>
          <w:rFonts w:ascii="Book Antiqua" w:hAnsi="Book Antiqua"/>
          <w:szCs w:val="26"/>
        </w:rPr>
        <w:t xml:space="preserve">R.20-01-007, </w:t>
      </w:r>
      <w:r w:rsidRPr="00394A65">
        <w:rPr>
          <w:rFonts w:ascii="Book Antiqua" w:hAnsi="Book Antiqua"/>
          <w:i/>
          <w:iCs/>
          <w:szCs w:val="26"/>
        </w:rPr>
        <w:t>Rulemaking to Establish Policies, Processes, and Rules to Ensure Safe and Reliable Gas Systems in California and Perform Long-Term Gas System Planning</w:t>
      </w:r>
    </w:p>
    <w:p w:rsidRPr="00421E3C" w:rsidR="00EC1002" w:rsidP="002F648B" w:rsidRDefault="00EC1002" w14:paraId="78003542" w14:textId="77777777">
      <w:pPr>
        <w:pStyle w:val="ListParagraph"/>
        <w:numPr>
          <w:ilvl w:val="0"/>
          <w:numId w:val="44"/>
        </w:numPr>
        <w:spacing w:after="120"/>
        <w:ind w:left="1080"/>
        <w:rPr>
          <w:rFonts w:ascii="Book Antiqua" w:hAnsi="Book Antiqua"/>
          <w:szCs w:val="26"/>
        </w:rPr>
      </w:pPr>
      <w:r w:rsidRPr="00421E3C">
        <w:rPr>
          <w:rFonts w:ascii="Book Antiqua" w:hAnsi="Book Antiqua"/>
          <w:szCs w:val="26"/>
        </w:rPr>
        <w:t xml:space="preserve">R.20-05-003, </w:t>
      </w:r>
      <w:r w:rsidRPr="00394A65">
        <w:rPr>
          <w:rFonts w:ascii="Book Antiqua" w:hAnsi="Book Antiqua"/>
          <w:i/>
          <w:iCs/>
          <w:szCs w:val="26"/>
        </w:rPr>
        <w:t xml:space="preserve">Rulemaking to Continue Electric Integrated Resource Planning </w:t>
      </w:r>
      <w:r w:rsidRPr="002F648B">
        <w:rPr>
          <w:rFonts w:ascii="Book Antiqua" w:hAnsi="Book Antiqua"/>
          <w:szCs w:val="26"/>
        </w:rPr>
        <w:t>and</w:t>
      </w:r>
      <w:r w:rsidRPr="00394A65">
        <w:rPr>
          <w:rFonts w:ascii="Book Antiqua" w:hAnsi="Book Antiqua"/>
          <w:i/>
          <w:iCs/>
          <w:szCs w:val="26"/>
        </w:rPr>
        <w:t xml:space="preserve"> Related Procurement Processes</w:t>
      </w:r>
    </w:p>
    <w:p w:rsidRPr="00394A65" w:rsidR="00EC1002" w:rsidP="002F648B" w:rsidRDefault="00EC1002" w14:paraId="218D7561" w14:textId="175BF6CF">
      <w:pPr>
        <w:pStyle w:val="ListParagraph"/>
        <w:numPr>
          <w:ilvl w:val="0"/>
          <w:numId w:val="44"/>
        </w:numPr>
        <w:spacing w:after="120"/>
        <w:ind w:left="1080"/>
        <w:rPr>
          <w:rFonts w:ascii="Book Antiqua" w:hAnsi="Book Antiqua"/>
          <w:szCs w:val="26"/>
        </w:rPr>
      </w:pPr>
      <w:r w:rsidRPr="00394A65">
        <w:rPr>
          <w:rFonts w:ascii="Book Antiqua" w:hAnsi="Book Antiqua"/>
          <w:szCs w:val="26"/>
        </w:rPr>
        <w:lastRenderedPageBreak/>
        <w:t xml:space="preserve">R.20-11-003, </w:t>
      </w:r>
      <w:r w:rsidRPr="00394A65">
        <w:rPr>
          <w:rFonts w:ascii="Book Antiqua" w:hAnsi="Book Antiqua"/>
          <w:i/>
          <w:iCs/>
          <w:szCs w:val="26"/>
        </w:rPr>
        <w:t xml:space="preserve">Rulemaking to Establish Policies, Processes, and Rules to Ensure Reliability Electric Service in California in the Event of an Extreme </w:t>
      </w:r>
      <w:r w:rsidRPr="002F648B">
        <w:rPr>
          <w:rFonts w:ascii="Book Antiqua" w:hAnsi="Book Antiqua"/>
          <w:szCs w:val="26"/>
        </w:rPr>
        <w:t>Weather</w:t>
      </w:r>
      <w:r w:rsidRPr="00394A65">
        <w:rPr>
          <w:rFonts w:ascii="Book Antiqua" w:hAnsi="Book Antiqua"/>
          <w:i/>
          <w:iCs/>
          <w:szCs w:val="26"/>
        </w:rPr>
        <w:t xml:space="preserve"> Event in 2021</w:t>
      </w:r>
    </w:p>
    <w:p w:rsidRPr="00394A65" w:rsidR="00425CCC" w:rsidP="002F648B" w:rsidRDefault="00425CCC" w14:paraId="2DE4E46B" w14:textId="2E7A374F">
      <w:pPr>
        <w:pStyle w:val="ListParagraph"/>
        <w:numPr>
          <w:ilvl w:val="0"/>
          <w:numId w:val="44"/>
        </w:numPr>
        <w:spacing w:after="120"/>
        <w:ind w:left="1080"/>
        <w:rPr>
          <w:rFonts w:ascii="Book Antiqua" w:hAnsi="Book Antiqua"/>
          <w:szCs w:val="26"/>
        </w:rPr>
      </w:pPr>
      <w:r w:rsidRPr="00394A65">
        <w:rPr>
          <w:rFonts w:ascii="Book Antiqua" w:hAnsi="Book Antiqua"/>
          <w:szCs w:val="26"/>
        </w:rPr>
        <w:t>R.21-06-01</w:t>
      </w:r>
      <w:r w:rsidR="00F816C8">
        <w:rPr>
          <w:rFonts w:ascii="Book Antiqua" w:hAnsi="Book Antiqua"/>
          <w:szCs w:val="26"/>
        </w:rPr>
        <w:t>7</w:t>
      </w:r>
      <w:r w:rsidRPr="00421E3C" w:rsidR="00EC1002">
        <w:rPr>
          <w:rFonts w:ascii="Book Antiqua" w:hAnsi="Book Antiqua"/>
          <w:szCs w:val="26"/>
        </w:rPr>
        <w:t>,</w:t>
      </w:r>
      <w:r w:rsidRPr="00394A65">
        <w:rPr>
          <w:rFonts w:ascii="Book Antiqua" w:hAnsi="Book Antiqua"/>
          <w:szCs w:val="26"/>
        </w:rPr>
        <w:t xml:space="preserve"> </w:t>
      </w:r>
      <w:r w:rsidRPr="00394A65">
        <w:rPr>
          <w:rFonts w:ascii="Book Antiqua" w:hAnsi="Book Antiqua"/>
          <w:i/>
          <w:iCs/>
          <w:szCs w:val="26"/>
        </w:rPr>
        <w:t xml:space="preserve">Rulemaking to Modernize the Electric Grid for a High </w:t>
      </w:r>
      <w:r w:rsidRPr="002F648B">
        <w:rPr>
          <w:rFonts w:ascii="Book Antiqua" w:hAnsi="Book Antiqua"/>
          <w:szCs w:val="26"/>
        </w:rPr>
        <w:t>Distributed</w:t>
      </w:r>
      <w:r w:rsidRPr="00394A65">
        <w:rPr>
          <w:rFonts w:ascii="Book Antiqua" w:hAnsi="Book Antiqua"/>
          <w:i/>
          <w:iCs/>
          <w:szCs w:val="26"/>
        </w:rPr>
        <w:t xml:space="preserve"> Energy Resources Future</w:t>
      </w:r>
    </w:p>
    <w:p w:rsidRPr="00AC5503" w:rsidR="003768FE" w:rsidP="00A1544B" w:rsidRDefault="003768FE" w14:paraId="6AC2C848" w14:textId="5C1F9AA9">
      <w:pPr>
        <w:pStyle w:val="standard"/>
        <w:spacing w:before="120"/>
        <w:rPr>
          <w:rFonts w:ascii="Book Antiqua" w:hAnsi="Book Antiqua"/>
        </w:rPr>
      </w:pPr>
      <w:r w:rsidRPr="4B5670C7">
        <w:rPr>
          <w:rFonts w:ascii="Book Antiqua" w:hAnsi="Book Antiqua"/>
        </w:rPr>
        <w:t>Persons receiving this OIR will not be</w:t>
      </w:r>
      <w:r w:rsidRPr="4B5670C7" w:rsidR="00154CDC">
        <w:rPr>
          <w:rFonts w:ascii="Book Antiqua" w:hAnsi="Book Antiqua"/>
        </w:rPr>
        <w:t xml:space="preserve"> placed on </w:t>
      </w:r>
      <w:r w:rsidRPr="4B5670C7">
        <w:rPr>
          <w:rFonts w:ascii="Book Antiqua" w:hAnsi="Book Antiqua"/>
        </w:rPr>
        <w:t xml:space="preserve">the service list for this proceeding absent </w:t>
      </w:r>
      <w:r w:rsidR="0006110E">
        <w:rPr>
          <w:rFonts w:ascii="Book Antiqua" w:hAnsi="Book Antiqua"/>
        </w:rPr>
        <w:t xml:space="preserve">a </w:t>
      </w:r>
      <w:r w:rsidRPr="4B5670C7">
        <w:rPr>
          <w:rFonts w:ascii="Book Antiqua" w:hAnsi="Book Antiqua"/>
        </w:rPr>
        <w:t xml:space="preserve">specific request.  </w:t>
      </w:r>
      <w:r w:rsidRPr="4B5670C7" w:rsidR="00733398">
        <w:rPr>
          <w:rFonts w:ascii="Book Antiqua" w:hAnsi="Book Antiqua"/>
        </w:rPr>
        <w:t>P</w:t>
      </w:r>
      <w:r w:rsidRPr="4B5670C7" w:rsidR="00562835">
        <w:rPr>
          <w:rFonts w:ascii="Book Antiqua" w:hAnsi="Book Antiqua"/>
        </w:rPr>
        <w:t>ursuant to Rule</w:t>
      </w:r>
      <w:r w:rsidR="00E11F08">
        <w:rPr>
          <w:rFonts w:ascii="Book Antiqua" w:hAnsi="Book Antiqua"/>
        </w:rPr>
        <w:t> </w:t>
      </w:r>
      <w:r w:rsidRPr="4B5670C7" w:rsidR="00562835">
        <w:rPr>
          <w:rFonts w:ascii="Book Antiqua" w:hAnsi="Book Antiqua"/>
        </w:rPr>
        <w:t>1.4</w:t>
      </w:r>
      <w:r w:rsidRPr="4B5670C7" w:rsidR="50AA37AB">
        <w:rPr>
          <w:rFonts w:ascii="Book Antiqua" w:hAnsi="Book Antiqua"/>
        </w:rPr>
        <w:t>(a)</w:t>
      </w:r>
      <w:r w:rsidRPr="4B5670C7" w:rsidR="00562835">
        <w:rPr>
          <w:rFonts w:ascii="Book Antiqua" w:hAnsi="Book Antiqua"/>
        </w:rPr>
        <w:t>(2)(ii)</w:t>
      </w:r>
      <w:r w:rsidRPr="4B5670C7" w:rsidR="00B9488F">
        <w:rPr>
          <w:rFonts w:ascii="Book Antiqua" w:hAnsi="Book Antiqua"/>
        </w:rPr>
        <w:t>, p</w:t>
      </w:r>
      <w:r w:rsidRPr="4B5670C7" w:rsidR="00733398">
        <w:rPr>
          <w:rFonts w:ascii="Book Antiqua" w:hAnsi="Book Antiqua"/>
        </w:rPr>
        <w:t xml:space="preserve">ersons </w:t>
      </w:r>
      <w:r w:rsidRPr="4B5670C7" w:rsidR="00747B82">
        <w:rPr>
          <w:rFonts w:ascii="Book Antiqua" w:hAnsi="Book Antiqua"/>
        </w:rPr>
        <w:t xml:space="preserve">or entities </w:t>
      </w:r>
      <w:r w:rsidRPr="4B5670C7" w:rsidR="00733398">
        <w:rPr>
          <w:rFonts w:ascii="Book Antiqua" w:hAnsi="Book Antiqua"/>
        </w:rPr>
        <w:t>filing comments in response to this OIR</w:t>
      </w:r>
      <w:r w:rsidRPr="4B5670C7" w:rsidR="00747B82">
        <w:rPr>
          <w:rFonts w:ascii="Book Antiqua" w:hAnsi="Book Antiqua"/>
        </w:rPr>
        <w:t xml:space="preserve"> by the indicated deadline</w:t>
      </w:r>
      <w:r w:rsidR="0006110E">
        <w:rPr>
          <w:rFonts w:ascii="Book Antiqua" w:hAnsi="Book Antiqua"/>
        </w:rPr>
        <w:t>s</w:t>
      </w:r>
      <w:r w:rsidRPr="4B5670C7" w:rsidR="00747B82">
        <w:rPr>
          <w:rFonts w:ascii="Book Antiqua" w:hAnsi="Book Antiqua"/>
        </w:rPr>
        <w:t xml:space="preserve"> will automatically become a party to the proceeding.  </w:t>
      </w:r>
      <w:r w:rsidRPr="4B5670C7">
        <w:rPr>
          <w:rFonts w:ascii="Book Antiqua" w:hAnsi="Book Antiqua"/>
        </w:rPr>
        <w:t xml:space="preserve">Persons </w:t>
      </w:r>
      <w:r w:rsidRPr="4B5670C7" w:rsidR="007258C8">
        <w:rPr>
          <w:rFonts w:ascii="Book Antiqua" w:hAnsi="Book Antiqua"/>
        </w:rPr>
        <w:t>may request to be a</w:t>
      </w:r>
      <w:r w:rsidRPr="4B5670C7">
        <w:rPr>
          <w:rFonts w:ascii="Book Antiqua" w:hAnsi="Book Antiqua"/>
        </w:rPr>
        <w:t>dded to the</w:t>
      </w:r>
      <w:r w:rsidRPr="4B5670C7" w:rsidR="00154CDC">
        <w:rPr>
          <w:rFonts w:ascii="Book Antiqua" w:hAnsi="Book Antiqua"/>
        </w:rPr>
        <w:t xml:space="preserve"> service list </w:t>
      </w:r>
      <w:r w:rsidRPr="4B5670C7" w:rsidR="00B9488F">
        <w:rPr>
          <w:rFonts w:ascii="Book Antiqua" w:hAnsi="Book Antiqua"/>
        </w:rPr>
        <w:t xml:space="preserve">as a party </w:t>
      </w:r>
      <w:r w:rsidRPr="4B5670C7">
        <w:rPr>
          <w:rFonts w:ascii="Book Antiqua" w:hAnsi="Book Antiqua"/>
        </w:rPr>
        <w:t xml:space="preserve">at the PHC or </w:t>
      </w:r>
      <w:r w:rsidRPr="4B5670C7" w:rsidR="00154CDC">
        <w:rPr>
          <w:rFonts w:ascii="Book Antiqua" w:hAnsi="Book Antiqua"/>
        </w:rPr>
        <w:t xml:space="preserve">may </w:t>
      </w:r>
      <w:r w:rsidRPr="4B5670C7">
        <w:rPr>
          <w:rFonts w:ascii="Book Antiqua" w:hAnsi="Book Antiqua"/>
        </w:rPr>
        <w:t>file and serve a motion</w:t>
      </w:r>
      <w:r w:rsidRPr="4B5670C7" w:rsidR="00747B82">
        <w:rPr>
          <w:rFonts w:ascii="Book Antiqua" w:hAnsi="Book Antiqua"/>
        </w:rPr>
        <w:t xml:space="preserve"> for party status</w:t>
      </w:r>
      <w:r w:rsidRPr="4B5670C7">
        <w:rPr>
          <w:rFonts w:ascii="Book Antiqua" w:hAnsi="Book Antiqua"/>
        </w:rPr>
        <w:t>.  Persons who wish to be in t</w:t>
      </w:r>
      <w:r w:rsidRPr="4B5670C7" w:rsidR="00F33D20">
        <w:rPr>
          <w:rFonts w:ascii="Book Antiqua" w:hAnsi="Book Antiqua"/>
        </w:rPr>
        <w:t>he information-</w:t>
      </w:r>
      <w:r w:rsidRPr="4B5670C7">
        <w:rPr>
          <w:rFonts w:ascii="Book Antiqua" w:hAnsi="Book Antiqua"/>
        </w:rPr>
        <w:t>only categor</w:t>
      </w:r>
      <w:r w:rsidRPr="4B5670C7" w:rsidR="08E88679">
        <w:rPr>
          <w:rFonts w:ascii="Book Antiqua" w:hAnsi="Book Antiqua"/>
        </w:rPr>
        <w:t>y</w:t>
      </w:r>
      <w:r w:rsidRPr="4B5670C7">
        <w:rPr>
          <w:rFonts w:ascii="Book Antiqua" w:hAnsi="Book Antiqua"/>
        </w:rPr>
        <w:t xml:space="preserve"> may do so by </w:t>
      </w:r>
      <w:r w:rsidRPr="4B5670C7" w:rsidR="61EE8792">
        <w:rPr>
          <w:rFonts w:ascii="Book Antiqua" w:hAnsi="Book Antiqua"/>
        </w:rPr>
        <w:t>contacting</w:t>
      </w:r>
      <w:r w:rsidRPr="4B5670C7">
        <w:rPr>
          <w:rFonts w:ascii="Book Antiqua" w:hAnsi="Book Antiqua"/>
        </w:rPr>
        <w:t xml:space="preserve"> the Process Office.</w:t>
      </w:r>
      <w:r w:rsidRPr="4B5670C7" w:rsidR="0090728F">
        <w:rPr>
          <w:rFonts w:ascii="Book Antiqua" w:hAnsi="Book Antiqua"/>
        </w:rPr>
        <w:t xml:space="preserve">  </w:t>
      </w:r>
    </w:p>
    <w:p w:rsidRPr="00AC5503" w:rsidR="003768FE" w:rsidP="003768FE" w:rsidRDefault="003768FE" w14:paraId="4D8A5D3A" w14:textId="6995072A">
      <w:pPr>
        <w:pStyle w:val="standard"/>
        <w:rPr>
          <w:rFonts w:ascii="Book Antiqua" w:hAnsi="Book Antiqua"/>
        </w:rPr>
      </w:pPr>
      <w:r w:rsidRPr="00AC5503">
        <w:rPr>
          <w:rFonts w:ascii="Book Antiqua" w:hAnsi="Book Antiqua"/>
        </w:rPr>
        <w:t xml:space="preserve">It is the responsibility of each person or entity to notify the Process Office of his or her current postal service mailing address, current electronic-mail address, and any changes or corrections.  The Process Office may be reached via email at: </w:t>
      </w:r>
      <w:r w:rsidR="00E11F08">
        <w:rPr>
          <w:rFonts w:ascii="Book Antiqua" w:hAnsi="Book Antiqua"/>
        </w:rPr>
        <w:t xml:space="preserve"> </w:t>
      </w:r>
      <w:hyperlink w:history="1" r:id="rId10">
        <w:r w:rsidRPr="00884552" w:rsidR="00E11F08">
          <w:rPr>
            <w:rStyle w:val="Hyperlink"/>
            <w:rFonts w:ascii="Book Antiqua" w:hAnsi="Book Antiqua"/>
          </w:rPr>
          <w:t>ALJ_Process@cpuc.ca.gov</w:t>
        </w:r>
      </w:hyperlink>
      <w:r w:rsidRPr="00AC5503">
        <w:rPr>
          <w:rFonts w:ascii="Book Antiqua" w:hAnsi="Book Antiqua"/>
        </w:rPr>
        <w:t>; or via mail at: Process Office, C</w:t>
      </w:r>
      <w:r w:rsidRPr="00AC5503" w:rsidR="00F616AD">
        <w:rPr>
          <w:rFonts w:ascii="Book Antiqua" w:hAnsi="Book Antiqua"/>
        </w:rPr>
        <w:t>alifornia Public Utilities Commission</w:t>
      </w:r>
      <w:r w:rsidRPr="00AC5503">
        <w:rPr>
          <w:rFonts w:ascii="Book Antiqua" w:hAnsi="Book Antiqua"/>
        </w:rPr>
        <w:t xml:space="preserve">, </w:t>
      </w:r>
      <w:r w:rsidRPr="00AC5503" w:rsidR="00496B8C">
        <w:rPr>
          <w:rFonts w:ascii="Book Antiqua" w:hAnsi="Book Antiqua"/>
        </w:rPr>
        <w:t xml:space="preserve">State Office Building, </w:t>
      </w:r>
      <w:r w:rsidRPr="00AC5503">
        <w:rPr>
          <w:rFonts w:ascii="Book Antiqua" w:hAnsi="Book Antiqua"/>
        </w:rPr>
        <w:t>505 Van Ness Avenue, San</w:t>
      </w:r>
      <w:r w:rsidR="00E11F08">
        <w:rPr>
          <w:rFonts w:ascii="Book Antiqua" w:hAnsi="Book Antiqua"/>
        </w:rPr>
        <w:t> </w:t>
      </w:r>
      <w:r w:rsidRPr="00AC5503">
        <w:rPr>
          <w:rFonts w:ascii="Book Antiqua" w:hAnsi="Book Antiqua"/>
        </w:rPr>
        <w:t xml:space="preserve">Francisco, California, 94102.  The service list will be posted on the Commission’s web site, at </w:t>
      </w:r>
      <w:hyperlink w:history="1" r:id="rId11">
        <w:r w:rsidRPr="00AC5503">
          <w:rPr>
            <w:rStyle w:val="Hyperlink"/>
            <w:rFonts w:ascii="Book Antiqua" w:hAnsi="Book Antiqua"/>
          </w:rPr>
          <w:t>www.cpuc.ca.gov</w:t>
        </w:r>
      </w:hyperlink>
      <w:r w:rsidRPr="00AC5503">
        <w:rPr>
          <w:rFonts w:ascii="Book Antiqua" w:hAnsi="Book Antiqua"/>
        </w:rPr>
        <w:t>.  Parties must use the latest service list for service of each pleading over the course of this proceeding.</w:t>
      </w:r>
    </w:p>
    <w:p w:rsidRPr="00AC5503" w:rsidR="003768FE" w:rsidP="003768FE" w:rsidRDefault="003768FE" w14:paraId="50276990" w14:textId="47CAFE66">
      <w:pPr>
        <w:pStyle w:val="standard"/>
        <w:rPr>
          <w:rFonts w:ascii="Book Antiqua" w:hAnsi="Book Antiqua"/>
        </w:rPr>
      </w:pPr>
      <w:r w:rsidRPr="00AC5503">
        <w:rPr>
          <w:rFonts w:ascii="Book Antiqua" w:hAnsi="Book Antiqua"/>
        </w:rPr>
        <w:t>Any party interested in participating in this rulemaking who is unfamiliar with the Commission’s procedures should contact the Commission’s Public Advisor</w:t>
      </w:r>
      <w:r w:rsidR="00E11F08">
        <w:rPr>
          <w:rFonts w:ascii="Book Antiqua" w:hAnsi="Book Antiqua"/>
        </w:rPr>
        <w:t>’s Office</w:t>
      </w:r>
      <w:r w:rsidRPr="00AC5503">
        <w:rPr>
          <w:rFonts w:ascii="Book Antiqua" w:hAnsi="Book Antiqua"/>
        </w:rPr>
        <w:t xml:space="preserve"> in Los Angeles at (213)</w:t>
      </w:r>
      <w:r w:rsidR="00E11F08">
        <w:rPr>
          <w:rFonts w:ascii="Book Antiqua" w:hAnsi="Book Antiqua"/>
        </w:rPr>
        <w:t> </w:t>
      </w:r>
      <w:r w:rsidRPr="00AC5503">
        <w:rPr>
          <w:rFonts w:ascii="Book Antiqua" w:hAnsi="Book Antiqua"/>
        </w:rPr>
        <w:t>649-4782 or in San Francisco at (415)</w:t>
      </w:r>
      <w:r w:rsidR="00E11F08">
        <w:rPr>
          <w:rFonts w:ascii="Book Antiqua" w:hAnsi="Book Antiqua"/>
        </w:rPr>
        <w:t> </w:t>
      </w:r>
      <w:r w:rsidRPr="00AC5503">
        <w:rPr>
          <w:rFonts w:ascii="Book Antiqua" w:hAnsi="Book Antiqua"/>
        </w:rPr>
        <w:t>703</w:t>
      </w:r>
      <w:r w:rsidR="00E11F08">
        <w:rPr>
          <w:rFonts w:ascii="Book Antiqua" w:hAnsi="Book Antiqua"/>
        </w:rPr>
        <w:noBreakHyphen/>
      </w:r>
      <w:r w:rsidRPr="00AC5503">
        <w:rPr>
          <w:rFonts w:ascii="Book Antiqua" w:hAnsi="Book Antiqua"/>
        </w:rPr>
        <w:t xml:space="preserve">7074, </w:t>
      </w:r>
      <w:r w:rsidR="00E11F08">
        <w:rPr>
          <w:rFonts w:ascii="Book Antiqua" w:hAnsi="Book Antiqua"/>
        </w:rPr>
        <w:t>1</w:t>
      </w:r>
      <w:r w:rsidR="002F3580">
        <w:rPr>
          <w:rFonts w:ascii="Book Antiqua" w:hAnsi="Book Antiqua"/>
        </w:rPr>
        <w:t>-</w:t>
      </w:r>
      <w:r w:rsidRPr="00AC5503">
        <w:rPr>
          <w:rFonts w:ascii="Book Antiqua" w:hAnsi="Book Antiqua"/>
        </w:rPr>
        <w:t>866</w:t>
      </w:r>
      <w:r w:rsidR="00E11F08">
        <w:rPr>
          <w:rFonts w:ascii="Book Antiqua" w:hAnsi="Book Antiqua"/>
        </w:rPr>
        <w:t>-</w:t>
      </w:r>
      <w:r w:rsidRPr="00AC5503">
        <w:rPr>
          <w:rFonts w:ascii="Book Antiqua" w:hAnsi="Book Antiqua"/>
        </w:rPr>
        <w:t>836-7875 (TTY – toll free) or (415)</w:t>
      </w:r>
      <w:r w:rsidR="00E11F08">
        <w:rPr>
          <w:rFonts w:ascii="Book Antiqua" w:hAnsi="Book Antiqua"/>
        </w:rPr>
        <w:t> </w:t>
      </w:r>
      <w:r w:rsidRPr="00AC5503">
        <w:rPr>
          <w:rFonts w:ascii="Book Antiqua" w:hAnsi="Book Antiqua"/>
        </w:rPr>
        <w:t xml:space="preserve">703-5282 (TTY), or send an email to </w:t>
      </w:r>
      <w:hyperlink w:history="1" r:id="rId12">
        <w:r w:rsidRPr="00AC5503">
          <w:rPr>
            <w:rStyle w:val="Hyperlink"/>
            <w:rFonts w:ascii="Book Antiqua" w:hAnsi="Book Antiqua"/>
          </w:rPr>
          <w:t>public.advisor@cpuc.ca.gov</w:t>
        </w:r>
      </w:hyperlink>
      <w:r w:rsidRPr="00AC5503">
        <w:rPr>
          <w:rFonts w:ascii="Book Antiqua" w:hAnsi="Book Antiqua"/>
        </w:rPr>
        <w:t xml:space="preserve">. </w:t>
      </w:r>
    </w:p>
    <w:p w:rsidRPr="00AC5503" w:rsidR="00413448" w:rsidP="003768FE" w:rsidRDefault="003768FE" w14:paraId="13099DF2" w14:textId="73A11C56">
      <w:pPr>
        <w:pStyle w:val="standard"/>
        <w:rPr>
          <w:rFonts w:ascii="Book Antiqua" w:hAnsi="Book Antiqua"/>
        </w:rPr>
      </w:pPr>
      <w:r w:rsidRPr="00AC5503">
        <w:rPr>
          <w:rFonts w:ascii="Book Antiqua" w:hAnsi="Book Antiqua"/>
        </w:rPr>
        <w:t>Electronic service of documents in Commission proceedings is governed by Rule</w:t>
      </w:r>
      <w:r w:rsidR="00E11F08">
        <w:rPr>
          <w:rFonts w:ascii="Book Antiqua" w:hAnsi="Book Antiqua"/>
        </w:rPr>
        <w:t> </w:t>
      </w:r>
      <w:r w:rsidRPr="00AC5503">
        <w:rPr>
          <w:rFonts w:ascii="Book Antiqua" w:hAnsi="Book Antiqua"/>
        </w:rPr>
        <w:t>1.</w:t>
      </w:r>
      <w:r w:rsidRPr="00AC5503" w:rsidR="00900ADD">
        <w:rPr>
          <w:rFonts w:ascii="Book Antiqua" w:hAnsi="Book Antiqua"/>
        </w:rPr>
        <w:t>10.</w:t>
      </w:r>
      <w:r w:rsidRPr="00AC5503">
        <w:rPr>
          <w:rFonts w:ascii="Book Antiqua" w:hAnsi="Book Antiqua"/>
        </w:rPr>
        <w:t xml:space="preserve">  All participants are encouraged to use electronic service.  </w:t>
      </w:r>
    </w:p>
    <w:p w:rsidR="008A47C4" w:rsidP="00C326DD" w:rsidRDefault="008A47C4" w14:paraId="72FCFE37" w14:textId="77777777">
      <w:pPr>
        <w:pStyle w:val="StyleHeading1Before0pt1"/>
      </w:pPr>
      <w:r>
        <w:lastRenderedPageBreak/>
        <w:t>Intervenor Compensation</w:t>
      </w:r>
    </w:p>
    <w:p w:rsidRPr="00AC5503" w:rsidR="008A47C4" w:rsidP="00AC5503" w:rsidRDefault="7BD67B6E" w14:paraId="6EB171BF" w14:textId="2CDE19CF">
      <w:pPr>
        <w:pStyle w:val="standard"/>
        <w:rPr>
          <w:rFonts w:ascii="Book Antiqua" w:hAnsi="Book Antiqua"/>
          <w:szCs w:val="26"/>
        </w:rPr>
      </w:pPr>
      <w:r w:rsidRPr="2C860666">
        <w:rPr>
          <w:rFonts w:ascii="Book Antiqua" w:hAnsi="Book Antiqua"/>
        </w:rPr>
        <w:t>Intervenor Compensation is permitted in this proceeding.  Any party that expects to claim intervenor compensation for its participation in this rulemaking shall file its notice of intent to claim intervenor compensation within 30</w:t>
      </w:r>
      <w:r w:rsidR="00E11F08">
        <w:rPr>
          <w:rFonts w:ascii="Book Antiqua" w:hAnsi="Book Antiqua"/>
        </w:rPr>
        <w:t> </w:t>
      </w:r>
      <w:r w:rsidRPr="2C860666">
        <w:rPr>
          <w:rFonts w:ascii="Book Antiqua" w:hAnsi="Book Antiqua"/>
        </w:rPr>
        <w:t>days after the filing of reply comments, except that notice may be filed within 30</w:t>
      </w:r>
      <w:r w:rsidR="00E11F08">
        <w:rPr>
          <w:rFonts w:ascii="Book Antiqua" w:hAnsi="Book Antiqua"/>
        </w:rPr>
        <w:t> </w:t>
      </w:r>
      <w:r w:rsidRPr="2C860666">
        <w:rPr>
          <w:rFonts w:ascii="Book Antiqua" w:hAnsi="Book Antiqua"/>
        </w:rPr>
        <w:t xml:space="preserve">days of a </w:t>
      </w:r>
      <w:r w:rsidR="003D3B22">
        <w:rPr>
          <w:rFonts w:ascii="Book Antiqua" w:hAnsi="Book Antiqua"/>
        </w:rPr>
        <w:t>PHC</w:t>
      </w:r>
      <w:r w:rsidRPr="2C860666">
        <w:rPr>
          <w:rFonts w:ascii="Book Antiqua" w:hAnsi="Book Antiqua"/>
        </w:rPr>
        <w:t xml:space="preserve"> as well.</w:t>
      </w:r>
      <w:r w:rsidRPr="00AC5503" w:rsidR="008A47C4">
        <w:rPr>
          <w:rStyle w:val="FootnoteReference"/>
          <w:rFonts w:ascii="Book Antiqua" w:hAnsi="Book Antiqua"/>
          <w:sz w:val="26"/>
          <w:szCs w:val="26"/>
        </w:rPr>
        <w:footnoteReference w:id="11"/>
      </w:r>
      <w:r w:rsidRPr="2C860666">
        <w:rPr>
          <w:rFonts w:ascii="Book Antiqua" w:hAnsi="Book Antiqua"/>
        </w:rPr>
        <w:t xml:space="preserve">  Intervenor compensation rules are governed by </w:t>
      </w:r>
      <w:r w:rsidR="00061B0A">
        <w:rPr>
          <w:rFonts w:ascii="Book Antiqua" w:hAnsi="Book Antiqua"/>
        </w:rPr>
        <w:t xml:space="preserve">Pub. Util. Code </w:t>
      </w:r>
      <w:r w:rsidRPr="2C860666">
        <w:rPr>
          <w:rFonts w:ascii="Book Antiqua" w:hAnsi="Book Antiqua"/>
        </w:rPr>
        <w:t>Section</w:t>
      </w:r>
      <w:r w:rsidR="00E11F08">
        <w:rPr>
          <w:rFonts w:ascii="Book Antiqua" w:hAnsi="Book Antiqua"/>
        </w:rPr>
        <w:t> </w:t>
      </w:r>
      <w:r w:rsidRPr="2C860666">
        <w:rPr>
          <w:rFonts w:ascii="Book Antiqua" w:hAnsi="Book Antiqua"/>
        </w:rPr>
        <w:t xml:space="preserve">1801 </w:t>
      </w:r>
      <w:r w:rsidRPr="00E11F08">
        <w:rPr>
          <w:rFonts w:ascii="Book Antiqua" w:hAnsi="Book Antiqua"/>
          <w:i/>
          <w:iCs/>
        </w:rPr>
        <w:t>et</w:t>
      </w:r>
      <w:r w:rsidR="00E11F08">
        <w:rPr>
          <w:rFonts w:ascii="Book Antiqua" w:hAnsi="Book Antiqua"/>
          <w:i/>
          <w:iCs/>
        </w:rPr>
        <w:t>.</w:t>
      </w:r>
      <w:r w:rsidRPr="00E11F08">
        <w:rPr>
          <w:rFonts w:ascii="Book Antiqua" w:hAnsi="Book Antiqua"/>
          <w:i/>
          <w:iCs/>
        </w:rPr>
        <w:t xml:space="preserve"> seq</w:t>
      </w:r>
      <w:r w:rsidRPr="2C860666">
        <w:rPr>
          <w:rFonts w:ascii="Book Antiqua" w:hAnsi="Book Antiqua"/>
        </w:rPr>
        <w:t>.  Parties new to participating in Commission proceedings may contact the Commission’s Public Advisor.</w:t>
      </w:r>
    </w:p>
    <w:p w:rsidR="00413448" w:rsidP="00C326DD" w:rsidRDefault="00413448" w14:paraId="2865B0A3" w14:textId="4A7E9867">
      <w:pPr>
        <w:pStyle w:val="StyleHeading1Before0pt1"/>
      </w:pPr>
      <w:r w:rsidRPr="00496B8C">
        <w:rPr>
          <w:i/>
        </w:rPr>
        <w:t>Ex</w:t>
      </w:r>
      <w:r w:rsidR="00A1544B">
        <w:rPr>
          <w:i/>
        </w:rPr>
        <w:t>-</w:t>
      </w:r>
      <w:r w:rsidRPr="00496B8C">
        <w:rPr>
          <w:i/>
        </w:rPr>
        <w:t>Parte</w:t>
      </w:r>
      <w:r>
        <w:t xml:space="preserve"> Communications</w:t>
      </w:r>
    </w:p>
    <w:p w:rsidR="00BB51C6" w:rsidP="006A0DE9" w:rsidRDefault="003768FE" w14:paraId="6036279E" w14:textId="7D4A3833">
      <w:pPr>
        <w:pStyle w:val="standard"/>
        <w:rPr>
          <w:rFonts w:ascii="Book Antiqua" w:hAnsi="Book Antiqua"/>
        </w:rPr>
      </w:pPr>
      <w:r w:rsidRPr="4B5670C7">
        <w:rPr>
          <w:rFonts w:ascii="Book Antiqua" w:hAnsi="Book Antiqua"/>
        </w:rPr>
        <w:t>In accordance with Rule</w:t>
      </w:r>
      <w:r w:rsidR="00E11F08">
        <w:rPr>
          <w:rFonts w:ascii="Book Antiqua" w:hAnsi="Book Antiqua"/>
        </w:rPr>
        <w:t> </w:t>
      </w:r>
      <w:r w:rsidRPr="4B5670C7" w:rsidR="00135ECC">
        <w:rPr>
          <w:rFonts w:ascii="Book Antiqua" w:hAnsi="Book Antiqua"/>
        </w:rPr>
        <w:t>8.</w:t>
      </w:r>
      <w:r w:rsidRPr="4B5670C7" w:rsidR="54452EFA">
        <w:rPr>
          <w:rFonts w:ascii="Book Antiqua" w:hAnsi="Book Antiqua"/>
        </w:rPr>
        <w:t>2</w:t>
      </w:r>
      <w:r w:rsidRPr="4B5670C7" w:rsidR="00135ECC">
        <w:rPr>
          <w:rFonts w:ascii="Book Antiqua" w:hAnsi="Book Antiqua"/>
        </w:rPr>
        <w:t>(a)</w:t>
      </w:r>
      <w:r w:rsidRPr="4B5670C7">
        <w:rPr>
          <w:rFonts w:ascii="Book Antiqua" w:hAnsi="Book Antiqua"/>
        </w:rPr>
        <w:t xml:space="preserve">, </w:t>
      </w:r>
      <w:r w:rsidRPr="4B5670C7">
        <w:rPr>
          <w:rFonts w:ascii="Book Antiqua" w:hAnsi="Book Antiqua"/>
          <w:i/>
          <w:iCs/>
        </w:rPr>
        <w:t>ex</w:t>
      </w:r>
      <w:r w:rsidR="00E11F08">
        <w:rPr>
          <w:rFonts w:ascii="Book Antiqua" w:hAnsi="Book Antiqua"/>
          <w:i/>
          <w:iCs/>
        </w:rPr>
        <w:t>-</w:t>
      </w:r>
      <w:r w:rsidRPr="4B5670C7">
        <w:rPr>
          <w:rFonts w:ascii="Book Antiqua" w:hAnsi="Book Antiqua"/>
          <w:i/>
          <w:iCs/>
        </w:rPr>
        <w:t>parte</w:t>
      </w:r>
      <w:r w:rsidRPr="4B5670C7">
        <w:rPr>
          <w:rFonts w:ascii="Book Antiqua" w:hAnsi="Book Antiqua"/>
        </w:rPr>
        <w:t xml:space="preserve"> communications in this proceeding are </w:t>
      </w:r>
      <w:r w:rsidRPr="4B5670C7" w:rsidR="00135ECC">
        <w:rPr>
          <w:rFonts w:ascii="Book Antiqua" w:hAnsi="Book Antiqua"/>
        </w:rPr>
        <w:t>without restriction or reporting requirement</w:t>
      </w:r>
      <w:r w:rsidRPr="4B5670C7">
        <w:rPr>
          <w:rFonts w:ascii="Book Antiqua" w:hAnsi="Book Antiqua"/>
        </w:rPr>
        <w:t>.</w:t>
      </w:r>
    </w:p>
    <w:p w:rsidRPr="00387752" w:rsidR="00387752" w:rsidP="00292636" w:rsidRDefault="00387752" w14:paraId="39D9B01C" w14:textId="6F4D4AE7">
      <w:pPr>
        <w:pStyle w:val="Mainex0"/>
        <w:spacing w:before="120" w:after="120" w:line="240" w:lineRule="auto"/>
      </w:pPr>
      <w:bookmarkStart w:name="_Toc12866697" w:id="2"/>
      <w:r>
        <w:t>ORDER</w:t>
      </w:r>
      <w:bookmarkEnd w:id="2"/>
    </w:p>
    <w:p w:rsidR="008A47C4" w:rsidP="00292636" w:rsidRDefault="008A47C4" w14:paraId="189AC067" w14:textId="77777777">
      <w:pPr>
        <w:pStyle w:val="Standard0"/>
        <w:keepNext/>
      </w:pPr>
      <w:r>
        <w:rPr>
          <w:b/>
          <w:bCs/>
        </w:rPr>
        <w:t xml:space="preserve">IT IS ORDERED </w:t>
      </w:r>
      <w:r>
        <w:t>that:</w:t>
      </w:r>
    </w:p>
    <w:p w:rsidR="00F1641D" w:rsidP="00F1641D" w:rsidRDefault="008A47C4" w14:paraId="05BB14FE" w14:textId="2D79AAFF">
      <w:pPr>
        <w:pStyle w:val="OP"/>
        <w:tabs>
          <w:tab w:val="num" w:pos="720"/>
        </w:tabs>
      </w:pPr>
      <w:r w:rsidRPr="00F1641D">
        <w:t>This rulemaking is initiated to</w:t>
      </w:r>
      <w:r w:rsidRPr="00F1641D" w:rsidR="00426DA0">
        <w:t xml:space="preserve"> conform G</w:t>
      </w:r>
      <w:r w:rsidRPr="00F1641D" w:rsidR="00AA3613">
        <w:t>eneral</w:t>
      </w:r>
      <w:r w:rsidR="00E11F08">
        <w:t xml:space="preserve"> </w:t>
      </w:r>
      <w:r w:rsidRPr="00F1641D" w:rsidR="00AA3613">
        <w:t>Order</w:t>
      </w:r>
      <w:r w:rsidR="00E11F08">
        <w:t> </w:t>
      </w:r>
      <w:r w:rsidRPr="00F1641D" w:rsidR="00426DA0">
        <w:t>131</w:t>
      </w:r>
      <w:r w:rsidR="00E11F08">
        <w:noBreakHyphen/>
      </w:r>
      <w:r w:rsidRPr="00F1641D" w:rsidR="00426DA0">
        <w:t>D with the requirements of Senate</w:t>
      </w:r>
      <w:r w:rsidR="00E11F08">
        <w:t> </w:t>
      </w:r>
      <w:r w:rsidRPr="00F1641D" w:rsidR="00426DA0">
        <w:t xml:space="preserve">Bill 529 (Hertzberg), 2022 and to consider other changes to the General Order </w:t>
      </w:r>
      <w:r w:rsidRPr="00F1641D" w:rsidR="00AA3613">
        <w:t xml:space="preserve">as </w:t>
      </w:r>
      <w:r w:rsidRPr="00F1641D" w:rsidR="00426DA0">
        <w:t>described above.</w:t>
      </w:r>
    </w:p>
    <w:p w:rsidR="00F1641D" w:rsidP="00BB592C" w:rsidRDefault="00426DA0" w14:paraId="1A8C67B8" w14:textId="42142C00">
      <w:pPr>
        <w:pStyle w:val="OP"/>
        <w:tabs>
          <w:tab w:val="num" w:pos="720"/>
        </w:tabs>
      </w:pPr>
      <w:r w:rsidRPr="00F1641D">
        <w:t>The Executive Director shall cause this Order Instituting Rulemaking to be served on the respondents to this proceeding</w:t>
      </w:r>
      <w:r w:rsidR="00EA01C0">
        <w:t xml:space="preserve">, which are: </w:t>
      </w:r>
      <w:r w:rsidRPr="00BB592C" w:rsidR="00BB592C">
        <w:t>Pacific Gas and Electric Company (PG&amp;E), Southern California Edison Company (SCE), San Diego Gas &amp; Electric Company (SDG&amp;E), Bear Valley Electric Service, Inc (BVES), Liberty Utilities (CalPeco Electric) LLC (Liberty), PacifiCorp d.b.a. Pacific Power (PacifiCorp), NextEra Energy Transmission West, LLC, Valley Electric Association, Inc, GridLiance- Nextera Energy Transmission, LS Power Grid California, and DCR Transmission, LLC.</w:t>
      </w:r>
    </w:p>
    <w:p w:rsidR="00EA01C0" w:rsidP="00EA01C0" w:rsidRDefault="00EA01C0" w14:paraId="7AEA8869" w14:textId="5E622375">
      <w:pPr>
        <w:pStyle w:val="OP"/>
        <w:tabs>
          <w:tab w:val="num" w:pos="720"/>
        </w:tabs>
      </w:pPr>
      <w:r>
        <w:lastRenderedPageBreak/>
        <w:t xml:space="preserve">The Executive Director shall cause this Order Instituting Rulemaking to be served on the service lists of the following proceedings: </w:t>
      </w:r>
      <w:r w:rsidRPr="00EA01C0">
        <w:t>R</w:t>
      </w:r>
      <w:r>
        <w:t>ulemaking (R</w:t>
      </w:r>
      <w:r w:rsidRPr="00EA01C0">
        <w:t>.</w:t>
      </w:r>
      <w:r>
        <w:t>)</w:t>
      </w:r>
      <w:r w:rsidR="00292636">
        <w:t> </w:t>
      </w:r>
      <w:r w:rsidRPr="00EA01C0">
        <w:t>17</w:t>
      </w:r>
      <w:r w:rsidR="00292636">
        <w:noBreakHyphen/>
      </w:r>
      <w:r w:rsidRPr="00EA01C0">
        <w:t>05</w:t>
      </w:r>
      <w:r w:rsidR="00292636">
        <w:noBreakHyphen/>
      </w:r>
      <w:r w:rsidRPr="00EA01C0">
        <w:t xml:space="preserve">010, </w:t>
      </w:r>
      <w:r w:rsidRPr="00EA01C0">
        <w:rPr>
          <w:i/>
          <w:iCs/>
        </w:rPr>
        <w:t>Rulemaking to Consider Revisions to Electric Rule 20 and Related Matters</w:t>
      </w:r>
      <w:r w:rsidRPr="00EA01C0">
        <w:t>, R.18</w:t>
      </w:r>
      <w:r w:rsidR="00292636">
        <w:noBreakHyphen/>
      </w:r>
      <w:r w:rsidRPr="00EA01C0">
        <w:t>12</w:t>
      </w:r>
      <w:r w:rsidR="00292636">
        <w:noBreakHyphen/>
      </w:r>
      <w:r w:rsidRPr="00EA01C0">
        <w:t xml:space="preserve">005, </w:t>
      </w:r>
      <w:r w:rsidRPr="00EA01C0">
        <w:rPr>
          <w:i/>
          <w:iCs/>
        </w:rPr>
        <w:t xml:space="preserve">Rulemaking to Examine Electric Utility De-Energization of Power Lines in Dangerous Conditions, </w:t>
      </w:r>
      <w:r w:rsidRPr="00EA01C0">
        <w:t>R.18</w:t>
      </w:r>
      <w:r w:rsidR="00292636">
        <w:noBreakHyphen/>
      </w:r>
      <w:r w:rsidRPr="00EA01C0">
        <w:t>07</w:t>
      </w:r>
      <w:r w:rsidR="00292636">
        <w:noBreakHyphen/>
      </w:r>
      <w:r w:rsidRPr="00EA01C0">
        <w:t xml:space="preserve">003, </w:t>
      </w:r>
      <w:r w:rsidRPr="00EA01C0">
        <w:rPr>
          <w:i/>
          <w:iCs/>
        </w:rPr>
        <w:t xml:space="preserve">Rulemaking to Continue Implementation and Administration, and Consider Further Development , of California Renewables Portfolio Standard Program, </w:t>
      </w:r>
      <w:r w:rsidRPr="00EA01C0">
        <w:t>R.20</w:t>
      </w:r>
      <w:r w:rsidR="00292636">
        <w:noBreakHyphen/>
      </w:r>
      <w:r w:rsidRPr="00EA01C0">
        <w:t>01</w:t>
      </w:r>
      <w:r w:rsidR="00292636">
        <w:noBreakHyphen/>
      </w:r>
      <w:r w:rsidRPr="00EA01C0">
        <w:t xml:space="preserve">007, </w:t>
      </w:r>
      <w:r w:rsidRPr="00EA01C0">
        <w:rPr>
          <w:i/>
          <w:iCs/>
        </w:rPr>
        <w:t xml:space="preserve">Rulemaking to Establish Policies, Processes, and Rules to Ensure Safe and Reliable Gas Systems in California and Perform Long-Term Gas System Planning, </w:t>
      </w:r>
      <w:r w:rsidRPr="00EA01C0">
        <w:t>R.20</w:t>
      </w:r>
      <w:r w:rsidR="00292636">
        <w:noBreakHyphen/>
      </w:r>
      <w:r w:rsidRPr="00EA01C0">
        <w:t>05</w:t>
      </w:r>
      <w:r w:rsidR="00292636">
        <w:noBreakHyphen/>
      </w:r>
      <w:r w:rsidRPr="00EA01C0">
        <w:t xml:space="preserve">003, </w:t>
      </w:r>
      <w:r w:rsidRPr="00EA01C0">
        <w:rPr>
          <w:i/>
          <w:iCs/>
        </w:rPr>
        <w:t xml:space="preserve">Rulemaking to Continue Electric Integrated Resource Planning and Related Procurement Processes, </w:t>
      </w:r>
      <w:r w:rsidRPr="00EA01C0">
        <w:t>R.20</w:t>
      </w:r>
      <w:r w:rsidR="00292636">
        <w:noBreakHyphen/>
      </w:r>
      <w:r w:rsidRPr="00EA01C0">
        <w:t>11</w:t>
      </w:r>
      <w:r w:rsidR="00292636">
        <w:noBreakHyphen/>
      </w:r>
      <w:r w:rsidRPr="00EA01C0">
        <w:t xml:space="preserve">003, </w:t>
      </w:r>
      <w:r w:rsidRPr="00EA01C0">
        <w:rPr>
          <w:i/>
          <w:iCs/>
        </w:rPr>
        <w:t xml:space="preserve">Rulemaking to Establish Policies, Processes, and Rules to Ensure Reliability Electric Service in California in the Event of an Extreme Weather Event in 2021, and </w:t>
      </w:r>
      <w:r w:rsidRPr="00EA01C0">
        <w:t>R.21</w:t>
      </w:r>
      <w:r w:rsidR="00292636">
        <w:noBreakHyphen/>
      </w:r>
      <w:r w:rsidRPr="00EA01C0">
        <w:t>06</w:t>
      </w:r>
      <w:r w:rsidR="00292636">
        <w:noBreakHyphen/>
      </w:r>
      <w:r w:rsidRPr="00EA01C0">
        <w:t>01</w:t>
      </w:r>
      <w:r w:rsidR="00F816C8">
        <w:t>7</w:t>
      </w:r>
      <w:r w:rsidRPr="00EA01C0">
        <w:t xml:space="preserve">, </w:t>
      </w:r>
      <w:r w:rsidRPr="00EA01C0">
        <w:rPr>
          <w:i/>
          <w:iCs/>
        </w:rPr>
        <w:t>Rulemaking to Modernize the Electric Grid for a High Distributed Energy Resources Future.</w:t>
      </w:r>
    </w:p>
    <w:p w:rsidR="00F1641D" w:rsidP="00F1641D" w:rsidRDefault="00426DA0" w14:paraId="4D8DE535" w14:textId="5C4F8D31">
      <w:pPr>
        <w:pStyle w:val="OP"/>
        <w:tabs>
          <w:tab w:val="num" w:pos="720"/>
        </w:tabs>
      </w:pPr>
      <w:r w:rsidRPr="00F1641D">
        <w:t xml:space="preserve">The preliminary category for this proceeding is quasi-legislative.  </w:t>
      </w:r>
      <w:r w:rsidRPr="00F1641D">
        <w:rPr>
          <w:i/>
          <w:iCs/>
          <w:szCs w:val="26"/>
        </w:rPr>
        <w:t>Ex</w:t>
      </w:r>
      <w:r w:rsidR="00E11F08">
        <w:rPr>
          <w:i/>
          <w:iCs/>
          <w:szCs w:val="26"/>
        </w:rPr>
        <w:noBreakHyphen/>
      </w:r>
      <w:r w:rsidRPr="00F1641D">
        <w:rPr>
          <w:i/>
          <w:iCs/>
          <w:szCs w:val="26"/>
        </w:rPr>
        <w:t xml:space="preserve">parte </w:t>
      </w:r>
      <w:r w:rsidRPr="00F1641D">
        <w:rPr>
          <w:szCs w:val="26"/>
        </w:rPr>
        <w:t>communications are permitted without restriction or reporting requirement</w:t>
      </w:r>
      <w:r w:rsidRPr="00F1641D" w:rsidR="009842F1">
        <w:t xml:space="preserve">. </w:t>
      </w:r>
    </w:p>
    <w:p w:rsidR="00F1641D" w:rsidP="00F1641D" w:rsidRDefault="00426DA0" w14:paraId="06A1B3F1" w14:textId="500F8F05">
      <w:pPr>
        <w:pStyle w:val="OP"/>
        <w:tabs>
          <w:tab w:val="num" w:pos="720"/>
        </w:tabs>
      </w:pPr>
      <w:r w:rsidRPr="00F1641D">
        <w:t xml:space="preserve">Respondents </w:t>
      </w:r>
      <w:r w:rsidRPr="00F1641D" w:rsidR="12EA142C">
        <w:t>shall</w:t>
      </w:r>
      <w:r w:rsidR="00061B0A">
        <w:t>,</w:t>
      </w:r>
      <w:r w:rsidRPr="00F1641D" w:rsidR="12EA142C">
        <w:t xml:space="preserve"> </w:t>
      </w:r>
      <w:r w:rsidRPr="00F1641D">
        <w:t>and prospective parties may</w:t>
      </w:r>
      <w:r w:rsidR="00061B0A">
        <w:t>,</w:t>
      </w:r>
      <w:r w:rsidRPr="00F1641D">
        <w:t xml:space="preserve"> file and serve </w:t>
      </w:r>
      <w:r w:rsidR="009C4632">
        <w:t xml:space="preserve">opening </w:t>
      </w:r>
      <w:r w:rsidRPr="00F1641D">
        <w:t xml:space="preserve">comments on the </w:t>
      </w:r>
      <w:r w:rsidRPr="00F1641D" w:rsidR="00482348">
        <w:t xml:space="preserve">questions contained </w:t>
      </w:r>
      <w:r w:rsidRPr="00F1641D" w:rsidR="00B56830">
        <w:t xml:space="preserve">in this document </w:t>
      </w:r>
      <w:r w:rsidRPr="00F1641D" w:rsidR="00BB0599">
        <w:t xml:space="preserve">and on </w:t>
      </w:r>
      <w:r w:rsidRPr="00F1641D" w:rsidR="00B56830">
        <w:t xml:space="preserve">the </w:t>
      </w:r>
      <w:r w:rsidRPr="00F1641D">
        <w:t xml:space="preserve">preliminary scope </w:t>
      </w:r>
      <w:r w:rsidR="00787EA4">
        <w:t xml:space="preserve">and schedule </w:t>
      </w:r>
      <w:r w:rsidRPr="00F1641D">
        <w:t xml:space="preserve">of this proceeding no later than </w:t>
      </w:r>
      <w:r w:rsidRPr="00F1641D" w:rsidR="1950AA90">
        <w:t>3</w:t>
      </w:r>
      <w:r w:rsidRPr="00F1641D">
        <w:t>0</w:t>
      </w:r>
      <w:r w:rsidR="00E11F08">
        <w:t> </w:t>
      </w:r>
      <w:r w:rsidRPr="00F1641D">
        <w:t xml:space="preserve">days after the issuance of this order.  </w:t>
      </w:r>
    </w:p>
    <w:p w:rsidR="00F1641D" w:rsidP="00F1641D" w:rsidRDefault="00482348" w14:paraId="56313CC4" w14:textId="47BA400C">
      <w:pPr>
        <w:pStyle w:val="OP"/>
        <w:tabs>
          <w:tab w:val="num" w:pos="720"/>
        </w:tabs>
      </w:pPr>
      <w:r w:rsidRPr="00F1641D">
        <w:t>R</w:t>
      </w:r>
      <w:r w:rsidRPr="00F1641D" w:rsidR="00B56830">
        <w:t>espondents shall</w:t>
      </w:r>
      <w:r w:rsidR="00061B0A">
        <w:t>,</w:t>
      </w:r>
      <w:r w:rsidRPr="00F1641D" w:rsidR="00B56830">
        <w:t xml:space="preserve"> and prospective parties may</w:t>
      </w:r>
      <w:r w:rsidR="00061B0A">
        <w:t>,</w:t>
      </w:r>
      <w:r w:rsidRPr="00F1641D" w:rsidR="00B56830">
        <w:t xml:space="preserve"> file and serve reply comments </w:t>
      </w:r>
      <w:r w:rsidRPr="00F1641D" w:rsidR="00857A48">
        <w:t xml:space="preserve">on this order </w:t>
      </w:r>
      <w:r w:rsidRPr="00F1641D" w:rsidR="00A452A4">
        <w:t>no later than 15</w:t>
      </w:r>
      <w:r w:rsidR="00E11F08">
        <w:t> </w:t>
      </w:r>
      <w:r w:rsidRPr="00F1641D" w:rsidR="00A452A4">
        <w:t xml:space="preserve">days from the due date for comments. </w:t>
      </w:r>
    </w:p>
    <w:p w:rsidR="00F1641D" w:rsidP="00F1641D" w:rsidRDefault="00426DA0" w14:paraId="3E8C374A" w14:textId="4FCD0264">
      <w:pPr>
        <w:pStyle w:val="OP"/>
        <w:tabs>
          <w:tab w:val="num" w:pos="720"/>
        </w:tabs>
      </w:pPr>
      <w:r w:rsidRPr="00F1641D">
        <w:t>Any party that expects to claim intervenor compensation for its participation in this rulemaking shall file its notice of intent to claim intervenor compensation no later than 30</w:t>
      </w:r>
      <w:r w:rsidR="00E11F08">
        <w:t> </w:t>
      </w:r>
      <w:r w:rsidRPr="00F1641D">
        <w:t xml:space="preserve">days after any of the prehearing conferences related to their contribution to this proceeding. </w:t>
      </w:r>
    </w:p>
    <w:p w:rsidRPr="00F1641D" w:rsidR="00426DA0" w:rsidP="00A37964" w:rsidRDefault="00426DA0" w14:paraId="2455A304" w14:textId="141D2E77">
      <w:pPr>
        <w:pStyle w:val="OP"/>
        <w:keepNext/>
        <w:keepLines/>
        <w:tabs>
          <w:tab w:val="num" w:pos="720"/>
        </w:tabs>
      </w:pPr>
      <w:r w:rsidRPr="00F1641D">
        <w:lastRenderedPageBreak/>
        <w:t xml:space="preserve">The assigned Commissioner or Administrative Law Judge may make any revisions to the scheduling and filing determinations made herein as necessary to facilitate the efficient management of the proceeding. </w:t>
      </w:r>
    </w:p>
    <w:p w:rsidRPr="00F1641D" w:rsidR="00426DA0" w:rsidP="00A37964" w:rsidRDefault="00426DA0" w14:paraId="4A30E179" w14:textId="08538865">
      <w:pPr>
        <w:pStyle w:val="Standard0"/>
        <w:keepNext/>
        <w:keepLines/>
      </w:pPr>
      <w:r w:rsidRPr="00F1641D">
        <w:t>This order is effective today.</w:t>
      </w:r>
    </w:p>
    <w:p w:rsidR="00F451BA" w:rsidP="00A37964" w:rsidRDefault="00F1641D" w14:paraId="4124B3EA" w14:textId="039CBDEA">
      <w:pPr>
        <w:pStyle w:val="standard"/>
        <w:keepNext/>
        <w:keepLines/>
        <w:rPr>
          <w:rFonts w:ascii="Book Antiqua" w:hAnsi="Book Antiqua"/>
        </w:rPr>
      </w:pPr>
      <w:r w:rsidRPr="00F1641D">
        <w:rPr>
          <w:rFonts w:ascii="Book Antiqua" w:hAnsi="Book Antiqua"/>
        </w:rPr>
        <w:t xml:space="preserve">Dated </w:t>
      </w:r>
      <w:r w:rsidR="00884E11">
        <w:rPr>
          <w:rFonts w:ascii="Book Antiqua" w:hAnsi="Book Antiqua"/>
        </w:rPr>
        <w:t>May 18, 2023</w:t>
      </w:r>
      <w:r w:rsidRPr="00F1641D">
        <w:rPr>
          <w:rFonts w:ascii="Book Antiqua" w:hAnsi="Book Antiqua"/>
        </w:rPr>
        <w:t>, at San Francisco, California</w:t>
      </w:r>
      <w:r w:rsidRPr="00F1641D" w:rsidR="003768FE">
        <w:rPr>
          <w:rFonts w:ascii="Book Antiqua" w:hAnsi="Book Antiqua"/>
        </w:rPr>
        <w:t>.</w:t>
      </w:r>
    </w:p>
    <w:p w:rsidR="00884E11" w:rsidP="00884E11" w:rsidRDefault="00884E11" w14:paraId="21199269" w14:textId="77777777">
      <w:pPr>
        <w:keepNext/>
        <w:keepLines/>
        <w:spacing w:before="240"/>
        <w:ind w:firstLine="547"/>
        <w:rPr>
          <w:color w:val="000000"/>
        </w:rPr>
      </w:pPr>
    </w:p>
    <w:p w:rsidRPr="0095049E" w:rsidR="00884E11" w:rsidP="00884E11" w:rsidRDefault="00884E11" w14:paraId="6D12987D" w14:textId="77777777">
      <w:pPr>
        <w:keepNext/>
        <w:autoSpaceDE w:val="0"/>
        <w:autoSpaceDN w:val="0"/>
        <w:adjustRightInd w:val="0"/>
        <w:ind w:left="5040"/>
        <w:jc w:val="both"/>
        <w:rPr>
          <w:rFonts w:cs="Courier New"/>
          <w:szCs w:val="26"/>
        </w:rPr>
      </w:pPr>
      <w:bookmarkStart w:name="_Hlk135384829" w:id="3"/>
      <w:r w:rsidRPr="0095049E">
        <w:rPr>
          <w:rFonts w:cs="Courier New"/>
          <w:szCs w:val="26"/>
        </w:rPr>
        <w:t>ALICE REYNOLDS</w:t>
      </w:r>
    </w:p>
    <w:p w:rsidRPr="0095049E" w:rsidR="00884E11" w:rsidP="00884E11" w:rsidRDefault="00884E11" w14:paraId="7D70E526" w14:textId="77777777">
      <w:pPr>
        <w:keepNext/>
        <w:autoSpaceDE w:val="0"/>
        <w:autoSpaceDN w:val="0"/>
        <w:adjustRightInd w:val="0"/>
        <w:ind w:left="5040" w:right="1800"/>
        <w:jc w:val="right"/>
        <w:rPr>
          <w:rFonts w:cs="Courier New"/>
          <w:szCs w:val="26"/>
        </w:rPr>
      </w:pPr>
      <w:r w:rsidRPr="0095049E">
        <w:rPr>
          <w:rFonts w:cs="Courier New"/>
          <w:szCs w:val="26"/>
        </w:rPr>
        <w:t>President</w:t>
      </w:r>
    </w:p>
    <w:p w:rsidRPr="0095049E" w:rsidR="00884E11" w:rsidP="00884E11" w:rsidRDefault="00884E11" w14:paraId="6F13D8D0" w14:textId="77777777">
      <w:pPr>
        <w:keepNext/>
        <w:autoSpaceDE w:val="0"/>
        <w:autoSpaceDN w:val="0"/>
        <w:adjustRightInd w:val="0"/>
        <w:ind w:left="5040"/>
        <w:jc w:val="both"/>
        <w:rPr>
          <w:rFonts w:cs="Courier New"/>
          <w:szCs w:val="26"/>
        </w:rPr>
      </w:pPr>
      <w:r w:rsidRPr="0095049E">
        <w:rPr>
          <w:rFonts w:cs="Courier New"/>
          <w:szCs w:val="26"/>
        </w:rPr>
        <w:t>GENEVIEVE SHIROMA</w:t>
      </w:r>
    </w:p>
    <w:p w:rsidRPr="0095049E" w:rsidR="00884E11" w:rsidP="00884E11" w:rsidRDefault="00884E11" w14:paraId="6771A70F" w14:textId="77777777">
      <w:pPr>
        <w:keepNext/>
        <w:autoSpaceDE w:val="0"/>
        <w:autoSpaceDN w:val="0"/>
        <w:adjustRightInd w:val="0"/>
        <w:ind w:left="5040"/>
        <w:jc w:val="both"/>
        <w:rPr>
          <w:rFonts w:cs="Courier New"/>
          <w:szCs w:val="26"/>
        </w:rPr>
      </w:pPr>
      <w:r w:rsidRPr="0095049E">
        <w:rPr>
          <w:rFonts w:cs="Courier New"/>
          <w:szCs w:val="26"/>
        </w:rPr>
        <w:t>DARCIE L. HOUCK</w:t>
      </w:r>
    </w:p>
    <w:p w:rsidRPr="0095049E" w:rsidR="00884E11" w:rsidP="00884E11" w:rsidRDefault="00884E11" w14:paraId="0E22E243" w14:textId="77777777">
      <w:pPr>
        <w:keepNext/>
        <w:autoSpaceDE w:val="0"/>
        <w:autoSpaceDN w:val="0"/>
        <w:adjustRightInd w:val="0"/>
        <w:ind w:left="5040"/>
        <w:jc w:val="both"/>
        <w:rPr>
          <w:rFonts w:cs="Courier New"/>
          <w:szCs w:val="26"/>
        </w:rPr>
      </w:pPr>
      <w:r w:rsidRPr="0095049E">
        <w:rPr>
          <w:rFonts w:cs="Courier New"/>
          <w:szCs w:val="26"/>
        </w:rPr>
        <w:t>JOHN REYNOLDS</w:t>
      </w:r>
    </w:p>
    <w:p w:rsidRPr="0095049E" w:rsidR="00884E11" w:rsidP="00884E11" w:rsidRDefault="00884E11" w14:paraId="6B4EE8D2" w14:textId="77777777">
      <w:pPr>
        <w:keepNext/>
        <w:autoSpaceDE w:val="0"/>
        <w:autoSpaceDN w:val="0"/>
        <w:adjustRightInd w:val="0"/>
        <w:ind w:left="5040"/>
        <w:jc w:val="both"/>
        <w:rPr>
          <w:rFonts w:cs="Courier New"/>
          <w:szCs w:val="26"/>
        </w:rPr>
      </w:pPr>
      <w:r w:rsidRPr="0095049E">
        <w:rPr>
          <w:rFonts w:cs="Courier New"/>
          <w:szCs w:val="26"/>
        </w:rPr>
        <w:t>KAREN DOUGLAS</w:t>
      </w:r>
    </w:p>
    <w:p w:rsidR="00884E11" w:rsidP="00884E11" w:rsidRDefault="00884E11" w14:paraId="4D46C13D" w14:textId="77777777">
      <w:pPr>
        <w:keepNext/>
        <w:autoSpaceDE w:val="0"/>
        <w:autoSpaceDN w:val="0"/>
        <w:adjustRightInd w:val="0"/>
        <w:ind w:left="5040" w:right="1710"/>
        <w:jc w:val="right"/>
        <w:rPr>
          <w:szCs w:val="26"/>
        </w:rPr>
      </w:pPr>
      <w:r w:rsidRPr="0095049E">
        <w:rPr>
          <w:rFonts w:cs="Courier New"/>
          <w:szCs w:val="26"/>
        </w:rPr>
        <w:t>Commissioners</w:t>
      </w:r>
    </w:p>
    <w:bookmarkEnd w:id="3"/>
    <w:p w:rsidRPr="00F1641D" w:rsidR="00884E11" w:rsidP="00A37964" w:rsidRDefault="00884E11" w14:paraId="6424FC8D" w14:textId="77777777">
      <w:pPr>
        <w:pStyle w:val="standard"/>
        <w:keepNext/>
        <w:keepLines/>
        <w:rPr>
          <w:rFonts w:ascii="Book Antiqua" w:hAnsi="Book Antiqua"/>
        </w:rPr>
      </w:pPr>
    </w:p>
    <w:p w:rsidRPr="00F1641D" w:rsidR="00C326DD" w:rsidP="00F1641D" w:rsidRDefault="00C326DD" w14:paraId="14D0A529" w14:textId="77777777">
      <w:pPr>
        <w:pStyle w:val="standard"/>
        <w:keepNext/>
        <w:keepLines/>
        <w:rPr>
          <w:rFonts w:ascii="Book Antiqua" w:hAnsi="Book Antiqua"/>
        </w:rPr>
      </w:pPr>
    </w:p>
    <w:p w:rsidR="00F1641D" w:rsidP="00CC1559" w:rsidRDefault="00F1641D" w14:paraId="3CC8D5A9" w14:textId="77777777">
      <w:pPr>
        <w:pStyle w:val="standard"/>
        <w:spacing w:line="240" w:lineRule="auto"/>
        <w:ind w:firstLine="0"/>
        <w:jc w:val="center"/>
        <w:rPr>
          <w:b/>
        </w:rPr>
        <w:sectPr w:rsidR="00F1641D" w:rsidSect="00C326DD">
          <w:headerReference w:type="default" r:id="rId13"/>
          <w:footerReference w:type="default" r:id="rId14"/>
          <w:pgSz w:w="12240" w:h="15840" w:code="1"/>
          <w:pgMar w:top="1728" w:right="1440" w:bottom="1440" w:left="1440" w:header="720" w:footer="720" w:gutter="0"/>
          <w:cols w:space="720"/>
          <w:docGrid w:linePitch="354"/>
        </w:sectPr>
      </w:pPr>
    </w:p>
    <w:p w:rsidRPr="00C326DD" w:rsidR="00C326DD" w:rsidP="00CC1559" w:rsidRDefault="00C326DD" w14:paraId="303F93CD" w14:textId="77777777">
      <w:pPr>
        <w:pStyle w:val="standard"/>
        <w:spacing w:line="240" w:lineRule="auto"/>
        <w:ind w:firstLine="0"/>
        <w:jc w:val="center"/>
        <w:rPr>
          <w:rFonts w:ascii="Book Antiqua" w:hAnsi="Book Antiqua"/>
          <w:b/>
          <w:sz w:val="48"/>
          <w:szCs w:val="48"/>
        </w:rPr>
      </w:pPr>
    </w:p>
    <w:p w:rsidRPr="00C326DD" w:rsidR="00C326DD" w:rsidP="00CC1559" w:rsidRDefault="00C326DD" w14:paraId="6F01CFA1" w14:textId="77777777">
      <w:pPr>
        <w:pStyle w:val="standard"/>
        <w:spacing w:line="240" w:lineRule="auto"/>
        <w:ind w:firstLine="0"/>
        <w:jc w:val="center"/>
        <w:rPr>
          <w:rFonts w:ascii="Book Antiqua" w:hAnsi="Book Antiqua"/>
          <w:b/>
          <w:sz w:val="48"/>
          <w:szCs w:val="48"/>
        </w:rPr>
      </w:pPr>
    </w:p>
    <w:p w:rsidRPr="00C326DD" w:rsidR="00C326DD" w:rsidP="00CC1559" w:rsidRDefault="00C326DD" w14:paraId="68E4C795" w14:textId="77777777">
      <w:pPr>
        <w:pStyle w:val="standard"/>
        <w:spacing w:line="240" w:lineRule="auto"/>
        <w:ind w:firstLine="0"/>
        <w:jc w:val="center"/>
        <w:rPr>
          <w:rFonts w:ascii="Book Antiqua" w:hAnsi="Book Antiqua"/>
          <w:b/>
          <w:sz w:val="48"/>
          <w:szCs w:val="48"/>
        </w:rPr>
      </w:pPr>
    </w:p>
    <w:p w:rsidRPr="00C326DD" w:rsidR="00C326DD" w:rsidP="00CC1559" w:rsidRDefault="00C326DD" w14:paraId="6CB0E290" w14:textId="77777777">
      <w:pPr>
        <w:pStyle w:val="standard"/>
        <w:spacing w:line="240" w:lineRule="auto"/>
        <w:ind w:firstLine="0"/>
        <w:jc w:val="center"/>
        <w:rPr>
          <w:rFonts w:ascii="Book Antiqua" w:hAnsi="Book Antiqua"/>
          <w:b/>
          <w:sz w:val="48"/>
          <w:szCs w:val="48"/>
        </w:rPr>
      </w:pPr>
    </w:p>
    <w:p w:rsidRPr="00C326DD" w:rsidR="00C326DD" w:rsidP="00CC1559" w:rsidRDefault="00C326DD" w14:paraId="22AC0390" w14:textId="77777777">
      <w:pPr>
        <w:pStyle w:val="standard"/>
        <w:spacing w:line="240" w:lineRule="auto"/>
        <w:ind w:firstLine="0"/>
        <w:jc w:val="center"/>
        <w:rPr>
          <w:rFonts w:ascii="Book Antiqua" w:hAnsi="Book Antiqua"/>
          <w:b/>
          <w:sz w:val="48"/>
          <w:szCs w:val="48"/>
        </w:rPr>
      </w:pPr>
    </w:p>
    <w:p w:rsidRPr="00C326DD" w:rsidR="00C326DD" w:rsidP="00CC1559" w:rsidRDefault="00C326DD" w14:paraId="05F4A8F1" w14:textId="77777777">
      <w:pPr>
        <w:pStyle w:val="standard"/>
        <w:spacing w:line="240" w:lineRule="auto"/>
        <w:ind w:firstLine="0"/>
        <w:jc w:val="center"/>
        <w:rPr>
          <w:rFonts w:ascii="Book Antiqua" w:hAnsi="Book Antiqua"/>
          <w:b/>
          <w:sz w:val="48"/>
          <w:szCs w:val="48"/>
        </w:rPr>
      </w:pPr>
    </w:p>
    <w:p w:rsidRPr="00C326DD" w:rsidR="00C326DD" w:rsidP="00CC1559" w:rsidRDefault="00C326DD" w14:paraId="6B54614E" w14:textId="77777777">
      <w:pPr>
        <w:pStyle w:val="standard"/>
        <w:spacing w:line="240" w:lineRule="auto"/>
        <w:ind w:firstLine="0"/>
        <w:jc w:val="center"/>
        <w:rPr>
          <w:rFonts w:ascii="Book Antiqua" w:hAnsi="Book Antiqua"/>
          <w:b/>
          <w:sz w:val="48"/>
          <w:szCs w:val="48"/>
        </w:rPr>
      </w:pPr>
    </w:p>
    <w:p w:rsidRPr="00C326DD" w:rsidR="00413448" w:rsidP="00CC1559" w:rsidRDefault="00C326DD" w14:paraId="6EA1019D" w14:textId="45190151">
      <w:pPr>
        <w:pStyle w:val="standard"/>
        <w:spacing w:line="240" w:lineRule="auto"/>
        <w:ind w:firstLine="0"/>
        <w:jc w:val="center"/>
        <w:rPr>
          <w:rFonts w:ascii="Book Antiqua" w:hAnsi="Book Antiqua"/>
          <w:b/>
          <w:sz w:val="48"/>
          <w:szCs w:val="48"/>
        </w:rPr>
      </w:pPr>
      <w:r w:rsidRPr="00C326DD">
        <w:rPr>
          <w:rFonts w:ascii="Book Antiqua" w:hAnsi="Book Antiqua"/>
          <w:b/>
          <w:sz w:val="48"/>
          <w:szCs w:val="48"/>
        </w:rPr>
        <w:t>ATTACHMENT </w:t>
      </w:r>
      <w:r w:rsidRPr="00C326DD" w:rsidR="00CC1559">
        <w:rPr>
          <w:rFonts w:ascii="Book Antiqua" w:hAnsi="Book Antiqua"/>
          <w:b/>
          <w:sz w:val="48"/>
          <w:szCs w:val="48"/>
        </w:rPr>
        <w:t>A</w:t>
      </w:r>
    </w:p>
    <w:p w:rsidR="009C4632" w:rsidP="009C4632" w:rsidRDefault="009C4632" w14:paraId="0A62CE82" w14:textId="45D2108B">
      <w:pPr>
        <w:pStyle w:val="standard"/>
        <w:spacing w:line="240" w:lineRule="auto"/>
        <w:ind w:firstLine="0"/>
        <w:jc w:val="center"/>
        <w:rPr>
          <w:rFonts w:ascii="Book Antiqua" w:hAnsi="Book Antiqua"/>
          <w:bCs/>
          <w:sz w:val="36"/>
          <w:szCs w:val="36"/>
        </w:rPr>
      </w:pPr>
      <w:r w:rsidRPr="009C4632">
        <w:rPr>
          <w:rFonts w:ascii="Book Antiqua" w:hAnsi="Book Antiqua"/>
          <w:bCs/>
          <w:sz w:val="36"/>
          <w:szCs w:val="36"/>
        </w:rPr>
        <w:t>Proposed Revisions to General Order 131-D to</w:t>
      </w:r>
      <w:r w:rsidRPr="009C4632">
        <w:rPr>
          <w:rFonts w:ascii="Book Antiqua" w:hAnsi="Book Antiqua"/>
          <w:bCs/>
          <w:sz w:val="36"/>
          <w:szCs w:val="36"/>
        </w:rPr>
        <w:br/>
        <w:t>Reflect Senate Bill 529</w:t>
      </w:r>
      <w:r w:rsidR="0060533B">
        <w:rPr>
          <w:rFonts w:ascii="Book Antiqua" w:hAnsi="Book Antiqua"/>
          <w:bCs/>
          <w:sz w:val="36"/>
          <w:szCs w:val="36"/>
        </w:rPr>
        <w:t xml:space="preserve"> </w:t>
      </w:r>
      <w:r w:rsidRPr="009C4632">
        <w:rPr>
          <w:rFonts w:ascii="Book Antiqua" w:hAnsi="Book Antiqua"/>
          <w:bCs/>
          <w:sz w:val="36"/>
          <w:szCs w:val="36"/>
        </w:rPr>
        <w:t>(Hertzberg, 2022</w:t>
      </w:r>
      <w:r>
        <w:rPr>
          <w:rFonts w:ascii="Book Antiqua" w:hAnsi="Book Antiqua"/>
          <w:bCs/>
          <w:sz w:val="36"/>
          <w:szCs w:val="36"/>
        </w:rPr>
        <w:t>)</w:t>
      </w:r>
    </w:p>
    <w:p w:rsidR="0060533B" w:rsidP="009C4632" w:rsidRDefault="0060533B" w14:paraId="4CC627FA" w14:textId="77777777">
      <w:pPr>
        <w:pStyle w:val="standard"/>
        <w:spacing w:line="240" w:lineRule="auto"/>
        <w:ind w:firstLine="0"/>
        <w:jc w:val="center"/>
        <w:rPr>
          <w:rFonts w:ascii="Book Antiqua" w:hAnsi="Book Antiqua"/>
          <w:bCs/>
          <w:sz w:val="36"/>
          <w:szCs w:val="36"/>
        </w:rPr>
      </w:pPr>
    </w:p>
    <w:p w:rsidRPr="009C4632" w:rsidR="0060533B" w:rsidP="009C4632" w:rsidRDefault="0060533B" w14:paraId="53A31EEE" w14:textId="7CDF5149">
      <w:pPr>
        <w:pStyle w:val="standard"/>
        <w:spacing w:line="240" w:lineRule="auto"/>
        <w:ind w:firstLine="0"/>
        <w:jc w:val="center"/>
        <w:rPr>
          <w:rFonts w:ascii="Book Antiqua" w:hAnsi="Book Antiqua"/>
          <w:bCs/>
          <w:sz w:val="36"/>
          <w:szCs w:val="36"/>
        </w:rPr>
      </w:pPr>
      <w:r>
        <w:rPr>
          <w:rFonts w:ascii="Book Antiqua" w:hAnsi="Book Antiqua"/>
          <w:bCs/>
          <w:sz w:val="36"/>
          <w:szCs w:val="36"/>
        </w:rPr>
        <w:t>(</w:t>
      </w:r>
      <w:r w:rsidR="00FB0B03">
        <w:rPr>
          <w:rFonts w:ascii="Book Antiqua" w:hAnsi="Book Antiqua"/>
          <w:bCs/>
          <w:sz w:val="36"/>
          <w:szCs w:val="36"/>
        </w:rPr>
        <w:t>REDLINES)</w:t>
      </w:r>
    </w:p>
    <w:p w:rsidR="00AE2BFD" w:rsidP="00CC1559" w:rsidRDefault="00AE2BFD" w14:paraId="167CBF05" w14:textId="098B8AA7">
      <w:pPr>
        <w:pStyle w:val="standard"/>
        <w:spacing w:line="240" w:lineRule="auto"/>
        <w:ind w:firstLine="0"/>
        <w:jc w:val="center"/>
        <w:rPr>
          <w:rFonts w:ascii="Book Antiqua" w:hAnsi="Book Antiqua"/>
          <w:bCs/>
          <w:sz w:val="36"/>
          <w:szCs w:val="36"/>
        </w:rPr>
      </w:pPr>
    </w:p>
    <w:p w:rsidR="00AE2BFD" w:rsidP="00AE2BFD" w:rsidRDefault="00AE2BFD" w14:paraId="7C2EFCCC" w14:textId="11ADA341">
      <w:pPr>
        <w:pStyle w:val="standard"/>
        <w:spacing w:line="240" w:lineRule="auto"/>
        <w:ind w:firstLine="0"/>
        <w:rPr>
          <w:rFonts w:ascii="Book Antiqua" w:hAnsi="Book Antiqua"/>
          <w:bCs/>
          <w:sz w:val="36"/>
          <w:szCs w:val="36"/>
        </w:rPr>
        <w:sectPr w:rsidR="00AE2BFD" w:rsidSect="00C326DD">
          <w:footerReference w:type="first" r:id="rId15"/>
          <w:pgSz w:w="12240" w:h="15840" w:code="1"/>
          <w:pgMar w:top="1728" w:right="1440" w:bottom="1440" w:left="1440" w:header="720" w:footer="720" w:gutter="0"/>
          <w:cols w:space="720"/>
          <w:titlePg/>
          <w:docGrid w:linePitch="354"/>
        </w:sectPr>
      </w:pPr>
    </w:p>
    <w:p w:rsidRPr="00C326DD" w:rsidR="00C326DD" w:rsidP="00C326DD" w:rsidRDefault="00C326DD" w14:paraId="79E88225" w14:textId="77777777">
      <w:pPr>
        <w:pStyle w:val="standard"/>
        <w:spacing w:line="240" w:lineRule="auto"/>
        <w:ind w:firstLine="0"/>
        <w:jc w:val="center"/>
        <w:rPr>
          <w:rFonts w:ascii="Book Antiqua" w:hAnsi="Book Antiqua"/>
          <w:b/>
          <w:sz w:val="48"/>
          <w:szCs w:val="48"/>
        </w:rPr>
      </w:pPr>
    </w:p>
    <w:p w:rsidRPr="00C326DD" w:rsidR="00C326DD" w:rsidP="00C326DD" w:rsidRDefault="00C326DD" w14:paraId="67D5B5C2" w14:textId="77777777">
      <w:pPr>
        <w:pStyle w:val="standard"/>
        <w:spacing w:line="240" w:lineRule="auto"/>
        <w:ind w:firstLine="0"/>
        <w:jc w:val="center"/>
        <w:rPr>
          <w:rFonts w:ascii="Book Antiqua" w:hAnsi="Book Antiqua"/>
          <w:b/>
          <w:sz w:val="48"/>
          <w:szCs w:val="48"/>
        </w:rPr>
      </w:pPr>
    </w:p>
    <w:p w:rsidRPr="00C326DD" w:rsidR="00C326DD" w:rsidP="00C326DD" w:rsidRDefault="00C326DD" w14:paraId="0CAAB81C" w14:textId="77777777">
      <w:pPr>
        <w:pStyle w:val="standard"/>
        <w:spacing w:line="240" w:lineRule="auto"/>
        <w:ind w:firstLine="0"/>
        <w:jc w:val="center"/>
        <w:rPr>
          <w:rFonts w:ascii="Book Antiqua" w:hAnsi="Book Antiqua"/>
          <w:b/>
          <w:sz w:val="48"/>
          <w:szCs w:val="48"/>
        </w:rPr>
      </w:pPr>
    </w:p>
    <w:p w:rsidRPr="00C326DD" w:rsidR="00C326DD" w:rsidP="00C326DD" w:rsidRDefault="00C326DD" w14:paraId="0C65BB7A" w14:textId="77777777">
      <w:pPr>
        <w:pStyle w:val="standard"/>
        <w:spacing w:line="240" w:lineRule="auto"/>
        <w:ind w:firstLine="0"/>
        <w:jc w:val="center"/>
        <w:rPr>
          <w:rFonts w:ascii="Book Antiqua" w:hAnsi="Book Antiqua"/>
          <w:b/>
          <w:sz w:val="48"/>
          <w:szCs w:val="48"/>
        </w:rPr>
      </w:pPr>
    </w:p>
    <w:p w:rsidRPr="00C326DD" w:rsidR="00C326DD" w:rsidP="00C326DD" w:rsidRDefault="00C326DD" w14:paraId="35D5FEBA" w14:textId="77777777">
      <w:pPr>
        <w:pStyle w:val="standard"/>
        <w:spacing w:line="240" w:lineRule="auto"/>
        <w:ind w:firstLine="0"/>
        <w:jc w:val="center"/>
        <w:rPr>
          <w:rFonts w:ascii="Book Antiqua" w:hAnsi="Book Antiqua"/>
          <w:b/>
          <w:sz w:val="48"/>
          <w:szCs w:val="48"/>
        </w:rPr>
      </w:pPr>
    </w:p>
    <w:p w:rsidRPr="00C326DD" w:rsidR="00C326DD" w:rsidP="00C326DD" w:rsidRDefault="00C326DD" w14:paraId="6D9A0361" w14:textId="77777777">
      <w:pPr>
        <w:pStyle w:val="standard"/>
        <w:spacing w:line="240" w:lineRule="auto"/>
        <w:ind w:firstLine="0"/>
        <w:jc w:val="center"/>
        <w:rPr>
          <w:rFonts w:ascii="Book Antiqua" w:hAnsi="Book Antiqua"/>
          <w:b/>
          <w:sz w:val="48"/>
          <w:szCs w:val="48"/>
        </w:rPr>
      </w:pPr>
    </w:p>
    <w:p w:rsidRPr="00C326DD" w:rsidR="00C326DD" w:rsidP="00C326DD" w:rsidRDefault="00C326DD" w14:paraId="06398799" w14:textId="77777777">
      <w:pPr>
        <w:pStyle w:val="standard"/>
        <w:spacing w:line="240" w:lineRule="auto"/>
        <w:ind w:firstLine="0"/>
        <w:jc w:val="center"/>
        <w:rPr>
          <w:rFonts w:ascii="Book Antiqua" w:hAnsi="Book Antiqua"/>
          <w:b/>
          <w:sz w:val="48"/>
          <w:szCs w:val="48"/>
        </w:rPr>
      </w:pPr>
    </w:p>
    <w:p w:rsidRPr="00C326DD" w:rsidR="00C326DD" w:rsidP="00C326DD" w:rsidRDefault="00C326DD" w14:paraId="6813BB44" w14:textId="5EDBE90E">
      <w:pPr>
        <w:pStyle w:val="standard"/>
        <w:spacing w:line="240" w:lineRule="auto"/>
        <w:ind w:firstLine="0"/>
        <w:jc w:val="center"/>
        <w:rPr>
          <w:rFonts w:ascii="Book Antiqua" w:hAnsi="Book Antiqua"/>
          <w:b/>
          <w:sz w:val="48"/>
          <w:szCs w:val="48"/>
        </w:rPr>
      </w:pPr>
      <w:r w:rsidRPr="00C326DD">
        <w:rPr>
          <w:rFonts w:ascii="Book Antiqua" w:hAnsi="Book Antiqua"/>
          <w:b/>
          <w:sz w:val="48"/>
          <w:szCs w:val="48"/>
        </w:rPr>
        <w:t>ATTACHMENT </w:t>
      </w:r>
      <w:r>
        <w:rPr>
          <w:rFonts w:ascii="Book Antiqua" w:hAnsi="Book Antiqua"/>
          <w:b/>
          <w:sz w:val="48"/>
          <w:szCs w:val="48"/>
        </w:rPr>
        <w:t>B</w:t>
      </w:r>
    </w:p>
    <w:p w:rsidRPr="00292636" w:rsidR="009C4632" w:rsidP="00292636" w:rsidRDefault="009C4632" w14:paraId="3C5CF294" w14:textId="4952D493">
      <w:pPr>
        <w:pStyle w:val="standard"/>
        <w:spacing w:line="240" w:lineRule="auto"/>
        <w:ind w:firstLine="0"/>
        <w:jc w:val="center"/>
        <w:rPr>
          <w:rFonts w:ascii="Book Antiqua" w:hAnsi="Book Antiqua"/>
          <w:sz w:val="36"/>
          <w:szCs w:val="36"/>
        </w:rPr>
      </w:pPr>
      <w:r w:rsidRPr="00292636">
        <w:rPr>
          <w:rFonts w:ascii="Book Antiqua" w:hAnsi="Book Antiqua"/>
          <w:sz w:val="36"/>
          <w:szCs w:val="36"/>
        </w:rPr>
        <w:t>Proposed Revisions to General Order 131-D</w:t>
      </w:r>
    </w:p>
    <w:p w:rsidRPr="00292636" w:rsidR="009C4632" w:rsidP="00292636" w:rsidRDefault="009C4632" w14:paraId="379DC875" w14:textId="77777777">
      <w:pPr>
        <w:pStyle w:val="standard"/>
        <w:spacing w:line="240" w:lineRule="auto"/>
        <w:ind w:firstLine="0"/>
        <w:jc w:val="center"/>
        <w:rPr>
          <w:rFonts w:ascii="Book Antiqua" w:hAnsi="Book Antiqua"/>
          <w:sz w:val="36"/>
          <w:szCs w:val="36"/>
        </w:rPr>
      </w:pPr>
      <w:r w:rsidRPr="00292636">
        <w:rPr>
          <w:rFonts w:ascii="Book Antiqua" w:hAnsi="Book Antiqua"/>
          <w:sz w:val="36"/>
          <w:szCs w:val="36"/>
        </w:rPr>
        <w:t xml:space="preserve">to Address Senate Bill 529 (Hertzberg, 2022) </w:t>
      </w:r>
    </w:p>
    <w:p w:rsidR="00FB0B03" w:rsidP="00292636" w:rsidRDefault="009C4632" w14:paraId="4E508C7A" w14:textId="77777777">
      <w:pPr>
        <w:pStyle w:val="standard"/>
        <w:spacing w:line="240" w:lineRule="auto"/>
        <w:ind w:firstLine="0"/>
        <w:jc w:val="center"/>
        <w:rPr>
          <w:rFonts w:ascii="Book Antiqua" w:hAnsi="Book Antiqua"/>
          <w:sz w:val="36"/>
          <w:szCs w:val="36"/>
        </w:rPr>
      </w:pPr>
      <w:r w:rsidRPr="00292636">
        <w:rPr>
          <w:rFonts w:ascii="Book Antiqua" w:hAnsi="Book Antiqua"/>
          <w:sz w:val="36"/>
          <w:szCs w:val="36"/>
          <w:u w:val="single"/>
        </w:rPr>
        <w:t>and</w:t>
      </w:r>
      <w:r w:rsidRPr="00292636">
        <w:rPr>
          <w:rFonts w:ascii="Book Antiqua" w:hAnsi="Book Antiqua"/>
          <w:sz w:val="36"/>
          <w:szCs w:val="36"/>
        </w:rPr>
        <w:t xml:space="preserve"> Additional Issues</w:t>
      </w:r>
    </w:p>
    <w:p w:rsidR="00FB0B03" w:rsidP="00292636" w:rsidRDefault="00FB0B03" w14:paraId="0B7342A9" w14:textId="77777777">
      <w:pPr>
        <w:pStyle w:val="standard"/>
        <w:spacing w:line="240" w:lineRule="auto"/>
        <w:ind w:firstLine="0"/>
        <w:jc w:val="center"/>
        <w:rPr>
          <w:rFonts w:ascii="Book Antiqua" w:hAnsi="Book Antiqua"/>
          <w:sz w:val="36"/>
          <w:szCs w:val="36"/>
        </w:rPr>
      </w:pPr>
    </w:p>
    <w:p w:rsidR="009C4632" w:rsidP="00292636" w:rsidRDefault="00FB0B03" w14:paraId="30189C92" w14:textId="379941E8">
      <w:pPr>
        <w:pStyle w:val="standard"/>
        <w:spacing w:line="240" w:lineRule="auto"/>
        <w:ind w:firstLine="0"/>
        <w:jc w:val="center"/>
        <w:rPr>
          <w:rFonts w:ascii="Book Antiqua" w:hAnsi="Book Antiqua"/>
          <w:sz w:val="36"/>
          <w:szCs w:val="36"/>
        </w:rPr>
      </w:pPr>
      <w:r>
        <w:rPr>
          <w:rFonts w:ascii="Book Antiqua" w:hAnsi="Book Antiqua"/>
          <w:sz w:val="36"/>
          <w:szCs w:val="36"/>
        </w:rPr>
        <w:t>(</w:t>
      </w:r>
      <w:r w:rsidR="00E362EC">
        <w:rPr>
          <w:rFonts w:ascii="Book Antiqua" w:hAnsi="Book Antiqua"/>
          <w:sz w:val="36"/>
          <w:szCs w:val="36"/>
        </w:rPr>
        <w:t>R</w:t>
      </w:r>
      <w:r>
        <w:rPr>
          <w:rFonts w:ascii="Book Antiqua" w:hAnsi="Book Antiqua"/>
          <w:sz w:val="36"/>
          <w:szCs w:val="36"/>
        </w:rPr>
        <w:t xml:space="preserve">EDLINES) </w:t>
      </w:r>
      <w:r w:rsidRPr="00292636" w:rsidR="009C4632">
        <w:rPr>
          <w:rFonts w:ascii="Book Antiqua" w:hAnsi="Book Antiqua"/>
          <w:sz w:val="36"/>
          <w:szCs w:val="36"/>
        </w:rPr>
        <w:t xml:space="preserve"> </w:t>
      </w:r>
    </w:p>
    <w:p w:rsidR="00E362EC" w:rsidRDefault="00E362EC" w14:paraId="09F2D32E" w14:textId="06864052">
      <w:pPr>
        <w:rPr>
          <w:rFonts w:ascii="Book Antiqua" w:hAnsi="Book Antiqua"/>
          <w:sz w:val="36"/>
          <w:szCs w:val="36"/>
        </w:rPr>
      </w:pPr>
      <w:r>
        <w:rPr>
          <w:rFonts w:ascii="Book Antiqua" w:hAnsi="Book Antiqua"/>
          <w:sz w:val="36"/>
          <w:szCs w:val="36"/>
        </w:rPr>
        <w:br w:type="page"/>
      </w:r>
    </w:p>
    <w:p w:rsidR="00E362EC" w:rsidP="00E362EC" w:rsidRDefault="00E362EC" w14:paraId="3769BA92" w14:textId="77777777">
      <w:pPr>
        <w:pStyle w:val="standard"/>
        <w:spacing w:line="240" w:lineRule="auto"/>
        <w:ind w:firstLine="0"/>
        <w:jc w:val="center"/>
        <w:rPr>
          <w:rFonts w:ascii="Book Antiqua" w:hAnsi="Book Antiqua"/>
          <w:b/>
          <w:sz w:val="48"/>
          <w:szCs w:val="48"/>
        </w:rPr>
      </w:pPr>
    </w:p>
    <w:p w:rsidR="00E362EC" w:rsidP="00E362EC" w:rsidRDefault="00E362EC" w14:paraId="32761B7B" w14:textId="77777777">
      <w:pPr>
        <w:pStyle w:val="standard"/>
        <w:spacing w:line="240" w:lineRule="auto"/>
        <w:ind w:firstLine="0"/>
        <w:jc w:val="center"/>
        <w:rPr>
          <w:rFonts w:ascii="Book Antiqua" w:hAnsi="Book Antiqua"/>
          <w:b/>
          <w:sz w:val="48"/>
          <w:szCs w:val="48"/>
        </w:rPr>
      </w:pPr>
    </w:p>
    <w:p w:rsidR="00E362EC" w:rsidP="00E362EC" w:rsidRDefault="00E362EC" w14:paraId="2F908A57" w14:textId="77777777">
      <w:pPr>
        <w:pStyle w:val="standard"/>
        <w:spacing w:line="240" w:lineRule="auto"/>
        <w:ind w:firstLine="0"/>
        <w:jc w:val="center"/>
        <w:rPr>
          <w:rFonts w:ascii="Book Antiqua" w:hAnsi="Book Antiqua"/>
          <w:b/>
          <w:sz w:val="48"/>
          <w:szCs w:val="48"/>
        </w:rPr>
      </w:pPr>
    </w:p>
    <w:p w:rsidR="003F59C6" w:rsidP="00E362EC" w:rsidRDefault="003F59C6" w14:paraId="518A7D0E" w14:textId="77777777">
      <w:pPr>
        <w:pStyle w:val="standard"/>
        <w:spacing w:line="240" w:lineRule="auto"/>
        <w:ind w:firstLine="0"/>
        <w:jc w:val="center"/>
        <w:rPr>
          <w:rFonts w:ascii="Book Antiqua" w:hAnsi="Book Antiqua"/>
          <w:b/>
          <w:sz w:val="48"/>
          <w:szCs w:val="48"/>
        </w:rPr>
      </w:pPr>
    </w:p>
    <w:p w:rsidR="00E362EC" w:rsidP="00E362EC" w:rsidRDefault="00E362EC" w14:paraId="6CAE43E9" w14:textId="77777777">
      <w:pPr>
        <w:pStyle w:val="standard"/>
        <w:spacing w:line="240" w:lineRule="auto"/>
        <w:ind w:firstLine="0"/>
        <w:jc w:val="center"/>
        <w:rPr>
          <w:rFonts w:ascii="Book Antiqua" w:hAnsi="Book Antiqua"/>
          <w:b/>
          <w:sz w:val="48"/>
          <w:szCs w:val="48"/>
        </w:rPr>
      </w:pPr>
    </w:p>
    <w:p w:rsidR="00EE6156" w:rsidP="00E362EC" w:rsidRDefault="00EE6156" w14:paraId="75732627" w14:textId="77777777">
      <w:pPr>
        <w:pStyle w:val="standard"/>
        <w:spacing w:line="240" w:lineRule="auto"/>
        <w:ind w:firstLine="0"/>
        <w:jc w:val="center"/>
        <w:rPr>
          <w:rFonts w:ascii="Book Antiqua" w:hAnsi="Book Antiqua"/>
          <w:b/>
          <w:sz w:val="48"/>
          <w:szCs w:val="48"/>
        </w:rPr>
      </w:pPr>
    </w:p>
    <w:p w:rsidR="00EE6156" w:rsidP="00E362EC" w:rsidRDefault="00EE6156" w14:paraId="5257B23A" w14:textId="77777777">
      <w:pPr>
        <w:pStyle w:val="standard"/>
        <w:spacing w:line="240" w:lineRule="auto"/>
        <w:ind w:firstLine="0"/>
        <w:jc w:val="center"/>
        <w:rPr>
          <w:rFonts w:ascii="Book Antiqua" w:hAnsi="Book Antiqua"/>
          <w:b/>
          <w:sz w:val="48"/>
          <w:szCs w:val="48"/>
        </w:rPr>
      </w:pPr>
    </w:p>
    <w:p w:rsidRPr="00C326DD" w:rsidR="00E362EC" w:rsidP="00E362EC" w:rsidRDefault="00E362EC" w14:paraId="54A8E858" w14:textId="22A26430">
      <w:pPr>
        <w:pStyle w:val="standard"/>
        <w:spacing w:line="240" w:lineRule="auto"/>
        <w:ind w:firstLine="0"/>
        <w:jc w:val="center"/>
        <w:rPr>
          <w:rFonts w:ascii="Book Antiqua" w:hAnsi="Book Antiqua"/>
          <w:b/>
          <w:sz w:val="48"/>
          <w:szCs w:val="48"/>
        </w:rPr>
      </w:pPr>
      <w:r w:rsidRPr="00C326DD">
        <w:rPr>
          <w:rFonts w:ascii="Book Antiqua" w:hAnsi="Book Antiqua"/>
          <w:b/>
          <w:sz w:val="48"/>
          <w:szCs w:val="48"/>
        </w:rPr>
        <w:t>ATTACHMENT </w:t>
      </w:r>
      <w:r>
        <w:rPr>
          <w:rFonts w:ascii="Book Antiqua" w:hAnsi="Book Antiqua"/>
          <w:b/>
          <w:sz w:val="48"/>
          <w:szCs w:val="48"/>
        </w:rPr>
        <w:t>C</w:t>
      </w:r>
    </w:p>
    <w:p w:rsidR="00E362EC" w:rsidP="00E362EC" w:rsidRDefault="00E362EC" w14:paraId="675E485A" w14:textId="3EE00E13">
      <w:pPr>
        <w:pStyle w:val="standard"/>
        <w:spacing w:line="240" w:lineRule="auto"/>
        <w:ind w:firstLine="0"/>
        <w:jc w:val="center"/>
        <w:rPr>
          <w:rFonts w:ascii="Book Antiqua" w:hAnsi="Book Antiqua"/>
          <w:bCs/>
          <w:sz w:val="36"/>
          <w:szCs w:val="36"/>
        </w:rPr>
      </w:pPr>
      <w:r w:rsidRPr="009C4632">
        <w:rPr>
          <w:rFonts w:ascii="Book Antiqua" w:hAnsi="Book Antiqua"/>
          <w:bCs/>
          <w:sz w:val="36"/>
          <w:szCs w:val="36"/>
        </w:rPr>
        <w:t>Proposed Revisions to General Order 131-D to</w:t>
      </w:r>
      <w:r w:rsidRPr="009C4632">
        <w:rPr>
          <w:rFonts w:ascii="Book Antiqua" w:hAnsi="Book Antiqua"/>
          <w:bCs/>
          <w:sz w:val="36"/>
          <w:szCs w:val="36"/>
        </w:rPr>
        <w:br/>
        <w:t>Reflect Senate Bill 529</w:t>
      </w:r>
      <w:r w:rsidR="00FB0B03">
        <w:rPr>
          <w:rFonts w:ascii="Book Antiqua" w:hAnsi="Book Antiqua"/>
          <w:bCs/>
          <w:sz w:val="36"/>
          <w:szCs w:val="36"/>
        </w:rPr>
        <w:t xml:space="preserve"> </w:t>
      </w:r>
      <w:r w:rsidRPr="009C4632">
        <w:rPr>
          <w:rFonts w:ascii="Book Antiqua" w:hAnsi="Book Antiqua"/>
          <w:bCs/>
          <w:sz w:val="36"/>
          <w:szCs w:val="36"/>
        </w:rPr>
        <w:t>(Hertzberg, 2022</w:t>
      </w:r>
      <w:r>
        <w:rPr>
          <w:rFonts w:ascii="Book Antiqua" w:hAnsi="Book Antiqua"/>
          <w:bCs/>
          <w:sz w:val="36"/>
          <w:szCs w:val="36"/>
        </w:rPr>
        <w:t>)</w:t>
      </w:r>
    </w:p>
    <w:p w:rsidR="00FB0B03" w:rsidP="00E362EC" w:rsidRDefault="00FB0B03" w14:paraId="3E7E59E0" w14:textId="77777777">
      <w:pPr>
        <w:pStyle w:val="standard"/>
        <w:spacing w:line="240" w:lineRule="auto"/>
        <w:ind w:firstLine="0"/>
        <w:jc w:val="center"/>
        <w:rPr>
          <w:rFonts w:ascii="Book Antiqua" w:hAnsi="Book Antiqua"/>
          <w:bCs/>
          <w:sz w:val="36"/>
          <w:szCs w:val="36"/>
        </w:rPr>
      </w:pPr>
    </w:p>
    <w:p w:rsidRPr="00292636" w:rsidR="00FB0B03" w:rsidP="00E362EC" w:rsidRDefault="00FB0B03" w14:paraId="32E12DDD" w14:textId="3FF18DB5">
      <w:pPr>
        <w:pStyle w:val="standard"/>
        <w:spacing w:line="240" w:lineRule="auto"/>
        <w:ind w:firstLine="0"/>
        <w:jc w:val="center"/>
        <w:rPr>
          <w:rFonts w:ascii="Book Antiqua" w:hAnsi="Book Antiqua"/>
          <w:sz w:val="36"/>
          <w:szCs w:val="36"/>
        </w:rPr>
      </w:pPr>
      <w:r>
        <w:rPr>
          <w:rFonts w:ascii="Book Antiqua" w:hAnsi="Book Antiqua"/>
          <w:bCs/>
          <w:sz w:val="36"/>
          <w:szCs w:val="36"/>
        </w:rPr>
        <w:t>(CLEAN)</w:t>
      </w:r>
    </w:p>
    <w:p w:rsidR="00E362EC" w:rsidRDefault="00E362EC" w14:paraId="5AF95C03" w14:textId="68E7C7BD">
      <w:pPr>
        <w:rPr>
          <w:rFonts w:ascii="Book Antiqua" w:hAnsi="Book Antiqua"/>
          <w:sz w:val="36"/>
          <w:szCs w:val="36"/>
        </w:rPr>
      </w:pPr>
      <w:r>
        <w:rPr>
          <w:rFonts w:ascii="Book Antiqua" w:hAnsi="Book Antiqua"/>
          <w:sz w:val="36"/>
          <w:szCs w:val="36"/>
        </w:rPr>
        <w:br w:type="page"/>
      </w:r>
    </w:p>
    <w:p w:rsidRPr="00EE6156" w:rsidR="00CC1559" w:rsidP="00292636" w:rsidRDefault="00CC1559" w14:paraId="1EE684D7" w14:textId="77777777">
      <w:pPr>
        <w:pStyle w:val="standard"/>
        <w:spacing w:line="240" w:lineRule="auto"/>
        <w:ind w:firstLine="0"/>
        <w:jc w:val="center"/>
        <w:rPr>
          <w:rFonts w:ascii="Book Antiqua" w:hAnsi="Book Antiqua"/>
          <w:sz w:val="48"/>
          <w:szCs w:val="48"/>
        </w:rPr>
      </w:pPr>
    </w:p>
    <w:p w:rsidRPr="00EE6156" w:rsidR="00E362EC" w:rsidP="00292636" w:rsidRDefault="00E362EC" w14:paraId="361612D0" w14:textId="77777777">
      <w:pPr>
        <w:pStyle w:val="standard"/>
        <w:spacing w:line="240" w:lineRule="auto"/>
        <w:ind w:firstLine="0"/>
        <w:jc w:val="center"/>
        <w:rPr>
          <w:rFonts w:ascii="Book Antiqua" w:hAnsi="Book Antiqua"/>
          <w:sz w:val="48"/>
          <w:szCs w:val="48"/>
        </w:rPr>
      </w:pPr>
    </w:p>
    <w:p w:rsidRPr="00EE6156" w:rsidR="00E362EC" w:rsidP="00292636" w:rsidRDefault="00E362EC" w14:paraId="4F4B06C6" w14:textId="77777777">
      <w:pPr>
        <w:pStyle w:val="standard"/>
        <w:spacing w:line="240" w:lineRule="auto"/>
        <w:ind w:firstLine="0"/>
        <w:jc w:val="center"/>
        <w:rPr>
          <w:rFonts w:ascii="Book Antiqua" w:hAnsi="Book Antiqua"/>
          <w:sz w:val="48"/>
          <w:szCs w:val="48"/>
        </w:rPr>
      </w:pPr>
    </w:p>
    <w:p w:rsidRPr="00EE6156" w:rsidR="003F59C6" w:rsidP="00292636" w:rsidRDefault="003F59C6" w14:paraId="502389E9" w14:textId="77777777">
      <w:pPr>
        <w:pStyle w:val="standard"/>
        <w:spacing w:line="240" w:lineRule="auto"/>
        <w:ind w:firstLine="0"/>
        <w:jc w:val="center"/>
        <w:rPr>
          <w:rFonts w:ascii="Book Antiqua" w:hAnsi="Book Antiqua"/>
          <w:sz w:val="48"/>
          <w:szCs w:val="48"/>
        </w:rPr>
      </w:pPr>
    </w:p>
    <w:p w:rsidR="00E362EC" w:rsidP="00292636" w:rsidRDefault="00E362EC" w14:paraId="20E80146" w14:textId="77777777">
      <w:pPr>
        <w:pStyle w:val="standard"/>
        <w:spacing w:line="240" w:lineRule="auto"/>
        <w:ind w:firstLine="0"/>
        <w:jc w:val="center"/>
        <w:rPr>
          <w:rFonts w:ascii="Book Antiqua" w:hAnsi="Book Antiqua"/>
          <w:sz w:val="48"/>
          <w:szCs w:val="48"/>
        </w:rPr>
      </w:pPr>
    </w:p>
    <w:p w:rsidR="00EE6156" w:rsidP="00292636" w:rsidRDefault="00EE6156" w14:paraId="56E6BFD8" w14:textId="77777777">
      <w:pPr>
        <w:pStyle w:val="standard"/>
        <w:spacing w:line="240" w:lineRule="auto"/>
        <w:ind w:firstLine="0"/>
        <w:jc w:val="center"/>
        <w:rPr>
          <w:rFonts w:ascii="Book Antiqua" w:hAnsi="Book Antiqua"/>
          <w:sz w:val="48"/>
          <w:szCs w:val="48"/>
        </w:rPr>
      </w:pPr>
    </w:p>
    <w:p w:rsidRPr="00EE6156" w:rsidR="00EE6156" w:rsidP="00292636" w:rsidRDefault="00EE6156" w14:paraId="4C57A595" w14:textId="77777777">
      <w:pPr>
        <w:pStyle w:val="standard"/>
        <w:spacing w:line="240" w:lineRule="auto"/>
        <w:ind w:firstLine="0"/>
        <w:jc w:val="center"/>
        <w:rPr>
          <w:rFonts w:ascii="Book Antiqua" w:hAnsi="Book Antiqua"/>
          <w:sz w:val="48"/>
          <w:szCs w:val="48"/>
        </w:rPr>
      </w:pPr>
    </w:p>
    <w:p w:rsidRPr="00C326DD" w:rsidR="00E362EC" w:rsidP="00E362EC" w:rsidRDefault="00E362EC" w14:paraId="24C496FE" w14:textId="0EC48993">
      <w:pPr>
        <w:pStyle w:val="standard"/>
        <w:spacing w:line="240" w:lineRule="auto"/>
        <w:ind w:firstLine="0"/>
        <w:jc w:val="center"/>
        <w:rPr>
          <w:rFonts w:ascii="Book Antiqua" w:hAnsi="Book Antiqua"/>
          <w:b/>
          <w:sz w:val="48"/>
          <w:szCs w:val="48"/>
        </w:rPr>
      </w:pPr>
      <w:r w:rsidRPr="00C326DD">
        <w:rPr>
          <w:rFonts w:ascii="Book Antiqua" w:hAnsi="Book Antiqua"/>
          <w:b/>
          <w:sz w:val="48"/>
          <w:szCs w:val="48"/>
        </w:rPr>
        <w:t>ATTACHMENT </w:t>
      </w:r>
      <w:r>
        <w:rPr>
          <w:rFonts w:ascii="Book Antiqua" w:hAnsi="Book Antiqua"/>
          <w:b/>
          <w:sz w:val="48"/>
          <w:szCs w:val="48"/>
        </w:rPr>
        <w:t>D</w:t>
      </w:r>
    </w:p>
    <w:p w:rsidRPr="00292636" w:rsidR="00E362EC" w:rsidP="00E362EC" w:rsidRDefault="00E362EC" w14:paraId="24E152D6" w14:textId="77777777">
      <w:pPr>
        <w:pStyle w:val="standard"/>
        <w:spacing w:line="240" w:lineRule="auto"/>
        <w:ind w:firstLine="0"/>
        <w:jc w:val="center"/>
        <w:rPr>
          <w:rFonts w:ascii="Book Antiqua" w:hAnsi="Book Antiqua"/>
          <w:sz w:val="36"/>
          <w:szCs w:val="36"/>
        </w:rPr>
      </w:pPr>
      <w:r w:rsidRPr="00292636">
        <w:rPr>
          <w:rFonts w:ascii="Book Antiqua" w:hAnsi="Book Antiqua"/>
          <w:sz w:val="36"/>
          <w:szCs w:val="36"/>
        </w:rPr>
        <w:t>Proposed Revisions to General Order 131-D</w:t>
      </w:r>
    </w:p>
    <w:p w:rsidRPr="00292636" w:rsidR="00E362EC" w:rsidP="00E362EC" w:rsidRDefault="00E362EC" w14:paraId="733396EF" w14:textId="77777777">
      <w:pPr>
        <w:pStyle w:val="standard"/>
        <w:spacing w:line="240" w:lineRule="auto"/>
        <w:ind w:firstLine="0"/>
        <w:jc w:val="center"/>
        <w:rPr>
          <w:rFonts w:ascii="Book Antiqua" w:hAnsi="Book Antiqua"/>
          <w:sz w:val="36"/>
          <w:szCs w:val="36"/>
        </w:rPr>
      </w:pPr>
      <w:r w:rsidRPr="00292636">
        <w:rPr>
          <w:rFonts w:ascii="Book Antiqua" w:hAnsi="Book Antiqua"/>
          <w:sz w:val="36"/>
          <w:szCs w:val="36"/>
        </w:rPr>
        <w:t xml:space="preserve">to Address Senate Bill 529 (Hertzberg, 2022) </w:t>
      </w:r>
    </w:p>
    <w:p w:rsidR="00FB0B03" w:rsidP="00E362EC" w:rsidRDefault="00E362EC" w14:paraId="6973F165" w14:textId="77777777">
      <w:pPr>
        <w:pStyle w:val="standard"/>
        <w:spacing w:line="240" w:lineRule="auto"/>
        <w:ind w:firstLine="0"/>
        <w:jc w:val="center"/>
        <w:rPr>
          <w:rFonts w:ascii="Book Antiqua" w:hAnsi="Book Antiqua"/>
          <w:sz w:val="36"/>
          <w:szCs w:val="36"/>
        </w:rPr>
      </w:pPr>
      <w:r w:rsidRPr="00292636">
        <w:rPr>
          <w:rFonts w:ascii="Book Antiqua" w:hAnsi="Book Antiqua"/>
          <w:sz w:val="36"/>
          <w:szCs w:val="36"/>
          <w:u w:val="single"/>
        </w:rPr>
        <w:t>and</w:t>
      </w:r>
      <w:r w:rsidRPr="00292636">
        <w:rPr>
          <w:rFonts w:ascii="Book Antiqua" w:hAnsi="Book Antiqua"/>
          <w:sz w:val="36"/>
          <w:szCs w:val="36"/>
        </w:rPr>
        <w:t xml:space="preserve"> Additional Issues</w:t>
      </w:r>
    </w:p>
    <w:p w:rsidR="00FB0B03" w:rsidP="00E362EC" w:rsidRDefault="00FB0B03" w14:paraId="1ABAFBD5" w14:textId="77777777">
      <w:pPr>
        <w:pStyle w:val="standard"/>
        <w:spacing w:line="240" w:lineRule="auto"/>
        <w:ind w:firstLine="0"/>
        <w:jc w:val="center"/>
        <w:rPr>
          <w:rFonts w:ascii="Book Antiqua" w:hAnsi="Book Antiqua"/>
          <w:sz w:val="36"/>
          <w:szCs w:val="36"/>
        </w:rPr>
      </w:pPr>
    </w:p>
    <w:p w:rsidR="00E362EC" w:rsidP="00E362EC" w:rsidRDefault="00FB0B03" w14:paraId="1D323BB3" w14:textId="72147688">
      <w:pPr>
        <w:pStyle w:val="standard"/>
        <w:spacing w:line="240" w:lineRule="auto"/>
        <w:ind w:firstLine="0"/>
        <w:jc w:val="center"/>
        <w:rPr>
          <w:rFonts w:ascii="Book Antiqua" w:hAnsi="Book Antiqua"/>
          <w:sz w:val="36"/>
          <w:szCs w:val="36"/>
        </w:rPr>
      </w:pPr>
      <w:r>
        <w:rPr>
          <w:rFonts w:ascii="Book Antiqua" w:hAnsi="Book Antiqua"/>
          <w:sz w:val="36"/>
          <w:szCs w:val="36"/>
        </w:rPr>
        <w:t>(</w:t>
      </w:r>
      <w:r w:rsidR="00003ADC">
        <w:rPr>
          <w:rFonts w:ascii="Book Antiqua" w:hAnsi="Book Antiqua"/>
          <w:sz w:val="36"/>
          <w:szCs w:val="36"/>
        </w:rPr>
        <w:t>CLEAN</w:t>
      </w:r>
      <w:r>
        <w:rPr>
          <w:rFonts w:ascii="Book Antiqua" w:hAnsi="Book Antiqua"/>
          <w:sz w:val="36"/>
          <w:szCs w:val="36"/>
        </w:rPr>
        <w:t>)</w:t>
      </w:r>
      <w:r w:rsidRPr="00292636" w:rsidR="00E362EC">
        <w:rPr>
          <w:rFonts w:ascii="Book Antiqua" w:hAnsi="Book Antiqua"/>
          <w:sz w:val="36"/>
          <w:szCs w:val="36"/>
        </w:rPr>
        <w:t xml:space="preserve"> </w:t>
      </w:r>
    </w:p>
    <w:p w:rsidRPr="00292636" w:rsidR="00E362EC" w:rsidP="00292636" w:rsidRDefault="00E362EC" w14:paraId="506B2DA5" w14:textId="77777777">
      <w:pPr>
        <w:pStyle w:val="standard"/>
        <w:spacing w:line="240" w:lineRule="auto"/>
        <w:ind w:firstLine="0"/>
        <w:jc w:val="center"/>
        <w:rPr>
          <w:rFonts w:ascii="Book Antiqua" w:hAnsi="Book Antiqua"/>
          <w:sz w:val="36"/>
          <w:szCs w:val="36"/>
        </w:rPr>
      </w:pPr>
    </w:p>
    <w:sectPr w:rsidRPr="00292636" w:rsidR="00E362EC" w:rsidSect="00C326DD">
      <w:footerReference w:type="default" r:id="rId16"/>
      <w:pgSz w:w="12240" w:h="15840" w:code="1"/>
      <w:pgMar w:top="1728" w:right="1440" w:bottom="1440" w:left="1440" w:header="720" w:footer="720" w:gutter="0"/>
      <w:cols w:space="720"/>
      <w:titlePg/>
      <w:docGrid w:linePitch="354"/>
    </w:sectPr>
    <w:p>
      <w:r>
        <w:t xml:space="preserve"/>
      </w:r>
    </w:p>
    <w:p>
      <w:r>
        <w:t xml:space="preserve">Attachment 1: </w:t>
      </w:r>
    </w:p>
    <w:p>
      <w:hyperlink w:history="true" r:id="R511bb368aad34cb2">
        <w:r w:rsidRPr="00CB1292">
          <w:rPr>
            <w:rStyle w:val="Hyperlink"/>
            <w:color w:val="2E74B5" w:themeColor="accent1" w:themeShade="BF"/>
            <w:u w:val="single"/>
          </w:rPr>
          <w:t>R.23-05-018 Attachment A (redlines)</w:t>
        </w:r>
      </w:hyperlink>
    </w:p>
    <w:p>
      <w:r>
        <w:t xml:space="preserve"/>
      </w:r>
    </w:p>
    <w:p>
      <w:r>
        <w:t xml:space="preserve">Attachment 2: </w:t>
      </w:r>
    </w:p>
    <w:p>
      <w:hyperlink w:history="true" r:id="R133c86dd214d42e5">
        <w:r w:rsidRPr="00CB1292">
          <w:rPr>
            <w:rStyle w:val="Hyperlink"/>
            <w:color w:val="2E74B5" w:themeColor="accent1" w:themeShade="BF"/>
            <w:u w:val="single"/>
          </w:rPr>
          <w:t>R.23-05-018 Attachment B (redlines)</w:t>
        </w:r>
      </w:hyperlink>
    </w:p>
    <w:p>
      <w:r>
        <w:t xml:space="preserve"/>
      </w:r>
    </w:p>
    <w:p>
      <w:r>
        <w:t xml:space="preserve">Attachment 3: </w:t>
      </w:r>
    </w:p>
    <w:p>
      <w:hyperlink w:history="true" r:id="Rbe04bb0765864e29">
        <w:r w:rsidRPr="00CB1292">
          <w:rPr>
            <w:rStyle w:val="Hyperlink"/>
            <w:color w:val="2E74B5" w:themeColor="accent1" w:themeShade="BF"/>
            <w:u w:val="single"/>
          </w:rPr>
          <w:t>R.23-05-018 Attachment C (clean)</w:t>
        </w:r>
      </w:hyperlink>
    </w:p>
    <w:p>
      <w:r>
        <w:t xml:space="preserve"/>
      </w:r>
    </w:p>
    <w:p>
      <w:r>
        <w:t xml:space="preserve">Attachment 4: </w:t>
      </w:r>
    </w:p>
    <w:p>
      <w:hyperlink w:history="true" r:id="Ref0dcd481eef4e19">
        <w:r w:rsidRPr="00CB1292">
          <w:rPr>
            <w:rStyle w:val="Hyperlink"/>
            <w:color w:val="2E74B5" w:themeColor="accent1" w:themeShade="BF"/>
            <w:u w:val="single"/>
          </w:rPr>
          <w:t>R.23-05-018 Attachment D (clean)</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2E52" w14:textId="77777777" w:rsidR="00505178" w:rsidRDefault="00505178">
      <w:r>
        <w:separator/>
      </w:r>
    </w:p>
  </w:endnote>
  <w:endnote w:type="continuationSeparator" w:id="0">
    <w:p w14:paraId="203FED8E" w14:textId="77777777" w:rsidR="00505178" w:rsidRDefault="00505178">
      <w:r>
        <w:continuationSeparator/>
      </w:r>
    </w:p>
  </w:endnote>
  <w:endnote w:type="continuationNotice" w:id="1">
    <w:p w14:paraId="5CF54BE4" w14:textId="77777777" w:rsidR="00505178" w:rsidRDefault="00505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B9BD" w14:textId="1EB91854" w:rsidR="00C326DD" w:rsidRPr="00F24E55" w:rsidRDefault="00F24E55" w:rsidP="00C326DD">
    <w:pPr>
      <w:tabs>
        <w:tab w:val="center" w:pos="4680"/>
      </w:tabs>
      <w:rPr>
        <w:rFonts w:ascii="Book Antiqua" w:hAnsi="Book Antiqua"/>
        <w:noProof/>
        <w:szCs w:val="26"/>
      </w:rPr>
    </w:pPr>
    <w:r w:rsidRPr="00F24E55">
      <w:rPr>
        <w:rFonts w:ascii="Book Antiqua" w:hAnsi="Book Antiqua"/>
        <w:sz w:val="16"/>
        <w:szCs w:val="16"/>
      </w:rPr>
      <w:t>509545154</w:t>
    </w:r>
    <w:sdt>
      <w:sdtPr>
        <w:rPr>
          <w:rFonts w:ascii="Book Antiqua" w:hAnsi="Book Antiqua"/>
          <w:szCs w:val="26"/>
        </w:rPr>
        <w:id w:val="-1352874971"/>
        <w:docPartObj>
          <w:docPartGallery w:val="Page Numbers (Bottom of Page)"/>
          <w:docPartUnique/>
        </w:docPartObj>
      </w:sdtPr>
      <w:sdtEndPr>
        <w:rPr>
          <w:noProof/>
        </w:rPr>
      </w:sdtEndPr>
      <w:sdtContent>
        <w:r w:rsidR="00C326DD" w:rsidRPr="00F24E55">
          <w:rPr>
            <w:rFonts w:ascii="Book Antiqua" w:hAnsi="Book Antiqua" w:cs="Arial"/>
            <w:szCs w:val="26"/>
          </w:rPr>
          <w:tab/>
        </w:r>
        <w:r w:rsidR="00C326DD" w:rsidRPr="00F24E55">
          <w:rPr>
            <w:rFonts w:ascii="Book Antiqua" w:hAnsi="Book Antiqua"/>
            <w:szCs w:val="26"/>
          </w:rPr>
          <w:t xml:space="preserve">- </w:t>
        </w:r>
        <w:r w:rsidR="00C326DD" w:rsidRPr="00F24E55">
          <w:rPr>
            <w:rFonts w:ascii="Book Antiqua" w:hAnsi="Book Antiqua"/>
            <w:szCs w:val="26"/>
          </w:rPr>
          <w:fldChar w:fldCharType="begin"/>
        </w:r>
        <w:r w:rsidR="00C326DD" w:rsidRPr="00F24E55">
          <w:rPr>
            <w:rFonts w:ascii="Book Antiqua" w:hAnsi="Book Antiqua"/>
            <w:szCs w:val="26"/>
          </w:rPr>
          <w:instrText xml:space="preserve"> PAGE   \* MERGEFORMAT </w:instrText>
        </w:r>
        <w:r w:rsidR="00C326DD" w:rsidRPr="00F24E55">
          <w:rPr>
            <w:rFonts w:ascii="Book Antiqua" w:hAnsi="Book Antiqua"/>
            <w:szCs w:val="26"/>
          </w:rPr>
          <w:fldChar w:fldCharType="separate"/>
        </w:r>
        <w:r w:rsidR="00C326DD" w:rsidRPr="00F24E55">
          <w:rPr>
            <w:rFonts w:ascii="Book Antiqua" w:hAnsi="Book Antiqua"/>
            <w:szCs w:val="26"/>
          </w:rPr>
          <w:t>1</w:t>
        </w:r>
        <w:r w:rsidR="00C326DD" w:rsidRPr="00F24E55">
          <w:rPr>
            <w:rFonts w:ascii="Book Antiqua" w:hAnsi="Book Antiqua"/>
            <w:noProof/>
            <w:szCs w:val="26"/>
          </w:rPr>
          <w:fldChar w:fldCharType="end"/>
        </w:r>
      </w:sdtContent>
    </w:sdt>
    <w:r w:rsidR="00C326DD" w:rsidRPr="00F24E55">
      <w:rPr>
        <w:rFonts w:ascii="Book Antiqua" w:hAnsi="Book Antiqua"/>
        <w:noProof/>
        <w:szCs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7718" w14:textId="6F2D91D5" w:rsidR="00AE2BFD" w:rsidRPr="00C326DD" w:rsidRDefault="00931B1A" w:rsidP="00C326DD">
    <w:pPr>
      <w:tabs>
        <w:tab w:val="center" w:pos="4680"/>
      </w:tabs>
      <w:rPr>
        <w:rFonts w:ascii="Book Antiqua" w:hAnsi="Book Antiqua"/>
        <w:noProof/>
        <w:szCs w:val="26"/>
      </w:rPr>
    </w:pPr>
    <w:sdt>
      <w:sdtPr>
        <w:rPr>
          <w:rFonts w:ascii="Book Antiqua" w:hAnsi="Book Antiqua"/>
          <w:szCs w:val="26"/>
        </w:rPr>
        <w:id w:val="-1207183291"/>
        <w:docPartObj>
          <w:docPartGallery w:val="Page Numbers (Bottom of Page)"/>
          <w:docPartUnique/>
        </w:docPartObj>
      </w:sdtPr>
      <w:sdtEndPr>
        <w:rPr>
          <w:noProof/>
        </w:rPr>
      </w:sdtEndPr>
      <w:sdtContent>
        <w:r w:rsidR="00AE2BFD" w:rsidRPr="00C326DD">
          <w:rPr>
            <w:rFonts w:ascii="Book Antiqua" w:hAnsi="Book Antiqua" w:cs="Arial"/>
            <w:szCs w:val="26"/>
          </w:rPr>
          <w:tab/>
        </w:r>
        <w:r w:rsidR="00AE2BFD" w:rsidRPr="00C326DD">
          <w:rPr>
            <w:rFonts w:ascii="Book Antiqua" w:hAnsi="Book Antiqua"/>
            <w:szCs w:val="26"/>
          </w:rPr>
          <w:t xml:space="preserve">- </w:t>
        </w:r>
        <w:r w:rsidR="00AE2BFD" w:rsidRPr="00C326DD">
          <w:rPr>
            <w:rFonts w:ascii="Book Antiqua" w:hAnsi="Book Antiqua"/>
            <w:szCs w:val="26"/>
          </w:rPr>
          <w:fldChar w:fldCharType="begin"/>
        </w:r>
        <w:r w:rsidR="00AE2BFD" w:rsidRPr="00C326DD">
          <w:rPr>
            <w:rFonts w:ascii="Book Antiqua" w:hAnsi="Book Antiqua"/>
            <w:szCs w:val="26"/>
          </w:rPr>
          <w:instrText xml:space="preserve"> PAGE   \* MERGEFORMAT </w:instrText>
        </w:r>
        <w:r w:rsidR="00AE2BFD" w:rsidRPr="00C326DD">
          <w:rPr>
            <w:rFonts w:ascii="Book Antiqua" w:hAnsi="Book Antiqua"/>
            <w:szCs w:val="26"/>
          </w:rPr>
          <w:fldChar w:fldCharType="separate"/>
        </w:r>
        <w:r w:rsidR="00AE2BFD" w:rsidRPr="00C326DD">
          <w:rPr>
            <w:rFonts w:ascii="Book Antiqua" w:hAnsi="Book Antiqua"/>
            <w:szCs w:val="26"/>
          </w:rPr>
          <w:t>1</w:t>
        </w:r>
        <w:r w:rsidR="00AE2BFD" w:rsidRPr="00C326DD">
          <w:rPr>
            <w:rFonts w:ascii="Book Antiqua" w:hAnsi="Book Antiqua"/>
            <w:noProof/>
            <w:szCs w:val="26"/>
          </w:rPr>
          <w:fldChar w:fldCharType="end"/>
        </w:r>
      </w:sdtContent>
    </w:sdt>
    <w:r w:rsidR="00AE2BFD" w:rsidRPr="00C326DD">
      <w:rPr>
        <w:rFonts w:ascii="Book Antiqua" w:hAnsi="Book Antiqua"/>
        <w:noProof/>
        <w:szCs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5CE1" w14:textId="3B73FE7A" w:rsidR="00C326DD" w:rsidRPr="00302A43" w:rsidRDefault="00C326DD" w:rsidP="00302A43">
    <w:pPr>
      <w:tabs>
        <w:tab w:val="center" w:pos="4680"/>
      </w:tabs>
      <w:rPr>
        <w:rFonts w:ascii="Book Antiqua" w:hAnsi="Book Antiqua"/>
        <w:noProof/>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88D8" w14:textId="5B0DAA92" w:rsidR="00884E11" w:rsidRPr="00C326DD" w:rsidRDefault="00884E11" w:rsidP="00C326DD">
    <w:pPr>
      <w:tabs>
        <w:tab w:val="center" w:pos="4680"/>
      </w:tabs>
      <w:rPr>
        <w:rFonts w:ascii="Book Antiqua" w:hAnsi="Book Antiqua"/>
        <w:noProof/>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5ED8" w14:textId="77777777" w:rsidR="00505178" w:rsidRDefault="00505178">
      <w:r>
        <w:separator/>
      </w:r>
    </w:p>
  </w:footnote>
  <w:footnote w:type="continuationSeparator" w:id="0">
    <w:p w14:paraId="5DA368C1" w14:textId="77777777" w:rsidR="00505178" w:rsidRDefault="00505178">
      <w:r>
        <w:continuationSeparator/>
      </w:r>
    </w:p>
  </w:footnote>
  <w:footnote w:type="continuationNotice" w:id="1">
    <w:p w14:paraId="6D20E1C7" w14:textId="77777777" w:rsidR="00505178" w:rsidRDefault="00505178">
      <w:pPr>
        <w:rPr>
          <w:sz w:val="22"/>
        </w:rPr>
      </w:pPr>
    </w:p>
    <w:p w14:paraId="218276EC" w14:textId="77777777" w:rsidR="00505178" w:rsidRDefault="00505178">
      <w:pPr>
        <w:jc w:val="right"/>
        <w:rPr>
          <w:sz w:val="22"/>
        </w:rPr>
      </w:pPr>
      <w:r>
        <w:rPr>
          <w:i/>
          <w:sz w:val="22"/>
        </w:rPr>
        <w:t>Footnote continued on next page</w:t>
      </w:r>
    </w:p>
  </w:footnote>
  <w:footnote w:id="2">
    <w:p w14:paraId="7FAB833C" w14:textId="33054496" w:rsidR="00787EA4" w:rsidRPr="00710282" w:rsidRDefault="00787EA4" w:rsidP="00394A65">
      <w:pPr>
        <w:pStyle w:val="FootnoteText"/>
        <w:spacing w:after="120"/>
        <w:rPr>
          <w:rFonts w:ascii="Book Antiqua" w:hAnsi="Book Antiqua"/>
          <w:sz w:val="22"/>
          <w:szCs w:val="22"/>
        </w:rPr>
      </w:pPr>
      <w:r w:rsidRPr="00710282">
        <w:rPr>
          <w:rStyle w:val="FootnoteReference"/>
          <w:rFonts w:ascii="Book Antiqua" w:hAnsi="Book Antiqua"/>
          <w:sz w:val="22"/>
          <w:szCs w:val="22"/>
        </w:rPr>
        <w:footnoteRef/>
      </w:r>
      <w:r w:rsidRPr="00710282">
        <w:rPr>
          <w:rFonts w:ascii="Book Antiqua" w:hAnsi="Book Antiqua"/>
          <w:sz w:val="22"/>
          <w:szCs w:val="22"/>
        </w:rPr>
        <w:t xml:space="preserve"> Prior iterations of GO 131 including GO 131-C did not require any permit or certificate from the Commission for the construction of transmission facilities operating at or below 200</w:t>
      </w:r>
      <w:r w:rsidR="00710282">
        <w:rPr>
          <w:rFonts w:ascii="Book Antiqua" w:hAnsi="Book Antiqua"/>
          <w:sz w:val="22"/>
          <w:szCs w:val="22"/>
        </w:rPr>
        <w:t> </w:t>
      </w:r>
      <w:r w:rsidRPr="00710282">
        <w:rPr>
          <w:rFonts w:ascii="Book Antiqua" w:hAnsi="Book Antiqua"/>
          <w:sz w:val="22"/>
          <w:szCs w:val="22"/>
        </w:rPr>
        <w:t>kilovolts (kV).</w:t>
      </w:r>
    </w:p>
  </w:footnote>
  <w:footnote w:id="3">
    <w:p w14:paraId="1F493752" w14:textId="6B09CE0A" w:rsidR="006E34B0" w:rsidRPr="00B51A57" w:rsidRDefault="006E34B0" w:rsidP="00EE6156">
      <w:pPr>
        <w:pStyle w:val="FootnoteText"/>
        <w:spacing w:after="120"/>
        <w:rPr>
          <w:szCs w:val="24"/>
        </w:rPr>
      </w:pPr>
      <w:r w:rsidRPr="00B51A57">
        <w:rPr>
          <w:rStyle w:val="FootnoteReference"/>
          <w:szCs w:val="24"/>
        </w:rPr>
        <w:footnoteRef/>
      </w:r>
      <w:r w:rsidRPr="00B51A57">
        <w:rPr>
          <w:szCs w:val="24"/>
        </w:rPr>
        <w:t xml:space="preserve"> </w:t>
      </w:r>
      <w:r w:rsidRPr="00710282">
        <w:rPr>
          <w:rFonts w:ascii="Book Antiqua" w:hAnsi="Book Antiqua"/>
          <w:sz w:val="22"/>
          <w:szCs w:val="22"/>
        </w:rPr>
        <w:t>Hereafter</w:t>
      </w:r>
      <w:r w:rsidR="00BE0E51" w:rsidRPr="00710282">
        <w:rPr>
          <w:rFonts w:ascii="Book Antiqua" w:hAnsi="Book Antiqua"/>
          <w:sz w:val="22"/>
          <w:szCs w:val="22"/>
        </w:rPr>
        <w:t>,</w:t>
      </w:r>
      <w:r w:rsidRPr="00710282">
        <w:rPr>
          <w:rFonts w:ascii="Book Antiqua" w:hAnsi="Book Antiqua"/>
          <w:sz w:val="22"/>
          <w:szCs w:val="22"/>
        </w:rPr>
        <w:t xml:space="preserve"> </w:t>
      </w:r>
      <w:r w:rsidR="00BE0E51" w:rsidRPr="00710282">
        <w:rPr>
          <w:rFonts w:ascii="Book Antiqua" w:hAnsi="Book Antiqua"/>
          <w:sz w:val="22"/>
          <w:szCs w:val="22"/>
        </w:rPr>
        <w:t xml:space="preserve">all </w:t>
      </w:r>
      <w:r w:rsidRPr="00710282">
        <w:rPr>
          <w:rFonts w:ascii="Book Antiqua" w:hAnsi="Book Antiqua"/>
          <w:sz w:val="22"/>
          <w:szCs w:val="22"/>
        </w:rPr>
        <w:t>references to Rules mean the Commission’s Rules of Practice and Procedure unless otherwise specified.</w:t>
      </w:r>
    </w:p>
  </w:footnote>
  <w:footnote w:id="4">
    <w:p w14:paraId="03467CAC" w14:textId="72FE6BDC" w:rsidR="001063DB" w:rsidRPr="0093675A" w:rsidRDefault="001063DB" w:rsidP="00EE6156">
      <w:pPr>
        <w:pStyle w:val="FootnoteText"/>
        <w:spacing w:after="120"/>
        <w:rPr>
          <w:sz w:val="22"/>
          <w:szCs w:val="22"/>
        </w:rPr>
      </w:pPr>
      <w:r w:rsidRPr="0093675A">
        <w:rPr>
          <w:rStyle w:val="FootnoteReference"/>
          <w:sz w:val="22"/>
          <w:szCs w:val="22"/>
        </w:rPr>
        <w:footnoteRef/>
      </w:r>
      <w:r w:rsidRPr="0093675A">
        <w:rPr>
          <w:sz w:val="22"/>
          <w:szCs w:val="22"/>
        </w:rPr>
        <w:t xml:space="preserve"> For ease of review, a clean version </w:t>
      </w:r>
      <w:r w:rsidRPr="00EE6156">
        <w:rPr>
          <w:rFonts w:ascii="Book Antiqua" w:hAnsi="Book Antiqua"/>
          <w:sz w:val="22"/>
          <w:szCs w:val="22"/>
        </w:rPr>
        <w:t>of</w:t>
      </w:r>
      <w:r w:rsidRPr="0093675A">
        <w:rPr>
          <w:sz w:val="22"/>
          <w:szCs w:val="22"/>
        </w:rPr>
        <w:t xml:space="preserve"> Attachment A is provided as Attachment </w:t>
      </w:r>
      <w:r w:rsidR="00687FED" w:rsidRPr="0093675A">
        <w:rPr>
          <w:sz w:val="22"/>
          <w:szCs w:val="22"/>
        </w:rPr>
        <w:t>C</w:t>
      </w:r>
      <w:r w:rsidRPr="0093675A">
        <w:rPr>
          <w:sz w:val="22"/>
          <w:szCs w:val="22"/>
        </w:rPr>
        <w:t>.</w:t>
      </w:r>
    </w:p>
  </w:footnote>
  <w:footnote w:id="5">
    <w:p w14:paraId="429284AC" w14:textId="4972E71F" w:rsidR="00687FED" w:rsidRDefault="00687FED" w:rsidP="00EE6156">
      <w:pPr>
        <w:pStyle w:val="FootnoteText"/>
        <w:spacing w:after="120"/>
      </w:pPr>
      <w:r w:rsidRPr="0093675A">
        <w:rPr>
          <w:rStyle w:val="FootnoteReference"/>
          <w:sz w:val="22"/>
          <w:szCs w:val="22"/>
        </w:rPr>
        <w:footnoteRef/>
      </w:r>
      <w:r w:rsidRPr="0093675A">
        <w:rPr>
          <w:sz w:val="22"/>
          <w:szCs w:val="22"/>
        </w:rPr>
        <w:t xml:space="preserve"> For ease of review, a clean version of Attachment B is provided as Attachment D.</w:t>
      </w:r>
    </w:p>
  </w:footnote>
  <w:footnote w:id="6">
    <w:p w14:paraId="091A7995" w14:textId="04D51F5F" w:rsidR="00F616AD" w:rsidRDefault="00F616AD" w:rsidP="00AE2BFD">
      <w:pPr>
        <w:pStyle w:val="FootnoteText"/>
        <w:spacing w:after="120"/>
      </w:pPr>
      <w:r w:rsidRPr="00AC5503">
        <w:rPr>
          <w:rStyle w:val="FootnoteReference"/>
          <w:rFonts w:ascii="Book Antiqua" w:hAnsi="Book Antiqua"/>
          <w:sz w:val="22"/>
          <w:szCs w:val="22"/>
        </w:rPr>
        <w:footnoteRef/>
      </w:r>
      <w:r w:rsidRPr="00AC5503">
        <w:rPr>
          <w:rFonts w:ascii="Book Antiqua" w:hAnsi="Book Antiqua"/>
          <w:sz w:val="22"/>
          <w:szCs w:val="22"/>
        </w:rPr>
        <w:t xml:space="preserve"> Public Resources Code; §</w:t>
      </w:r>
      <w:r w:rsidR="00AE2BFD">
        <w:rPr>
          <w:rFonts w:ascii="Book Antiqua" w:hAnsi="Book Antiqua"/>
          <w:sz w:val="22"/>
          <w:szCs w:val="22"/>
        </w:rPr>
        <w:t> </w:t>
      </w:r>
      <w:r w:rsidRPr="00AC5503">
        <w:rPr>
          <w:rFonts w:ascii="Book Antiqua" w:hAnsi="Book Antiqua"/>
          <w:sz w:val="22"/>
          <w:szCs w:val="22"/>
        </w:rPr>
        <w:t xml:space="preserve">21000 </w:t>
      </w:r>
      <w:r w:rsidRPr="00AE2BFD">
        <w:rPr>
          <w:rFonts w:ascii="Book Antiqua" w:hAnsi="Book Antiqua"/>
          <w:i/>
          <w:iCs/>
          <w:sz w:val="22"/>
          <w:szCs w:val="22"/>
        </w:rPr>
        <w:t>et seq</w:t>
      </w:r>
      <w:r w:rsidRPr="00AC5503">
        <w:rPr>
          <w:rFonts w:ascii="Book Antiqua" w:hAnsi="Book Antiqua"/>
          <w:sz w:val="22"/>
          <w:szCs w:val="22"/>
        </w:rPr>
        <w:t>.</w:t>
      </w:r>
    </w:p>
  </w:footnote>
  <w:footnote w:id="7">
    <w:p w14:paraId="2ADD1242" w14:textId="4EA1C2CC" w:rsidR="000C2B34" w:rsidRDefault="000C2B34" w:rsidP="00AE2BFD">
      <w:pPr>
        <w:pStyle w:val="FootnoteText"/>
        <w:spacing w:after="120"/>
      </w:pPr>
      <w:r w:rsidRPr="00AC5503">
        <w:rPr>
          <w:rStyle w:val="FootnoteReference"/>
          <w:rFonts w:ascii="Book Antiqua" w:hAnsi="Book Antiqua"/>
          <w:sz w:val="22"/>
          <w:szCs w:val="22"/>
        </w:rPr>
        <w:footnoteRef/>
      </w:r>
      <w:r w:rsidRPr="00AC5503">
        <w:rPr>
          <w:rFonts w:ascii="Book Antiqua" w:hAnsi="Book Antiqua"/>
          <w:sz w:val="22"/>
          <w:szCs w:val="22"/>
        </w:rPr>
        <w:t xml:space="preserve"> Public Resources Code; §</w:t>
      </w:r>
      <w:r w:rsidR="00C405EF">
        <w:rPr>
          <w:rFonts w:ascii="Book Antiqua" w:hAnsi="Book Antiqua"/>
          <w:sz w:val="22"/>
          <w:szCs w:val="22"/>
        </w:rPr>
        <w:t> </w:t>
      </w:r>
      <w:r w:rsidRPr="00AC5503">
        <w:rPr>
          <w:rFonts w:ascii="Book Antiqua" w:hAnsi="Book Antiqua"/>
          <w:sz w:val="22"/>
          <w:szCs w:val="22"/>
        </w:rPr>
        <w:t xml:space="preserve">21000 </w:t>
      </w:r>
      <w:r w:rsidRPr="00C405EF">
        <w:rPr>
          <w:rFonts w:ascii="Book Antiqua" w:hAnsi="Book Antiqua"/>
          <w:i/>
          <w:iCs/>
          <w:sz w:val="22"/>
          <w:szCs w:val="22"/>
        </w:rPr>
        <w:t>et seq</w:t>
      </w:r>
      <w:r w:rsidRPr="00AC5503">
        <w:rPr>
          <w:rFonts w:ascii="Book Antiqua" w:hAnsi="Book Antiqua"/>
          <w:sz w:val="22"/>
          <w:szCs w:val="22"/>
        </w:rPr>
        <w:t>.</w:t>
      </w:r>
    </w:p>
  </w:footnote>
  <w:footnote w:id="8">
    <w:p w14:paraId="1E1D21EA" w14:textId="10D15E1C" w:rsidR="00AD35ED" w:rsidRPr="00EE6156" w:rsidRDefault="00AD35ED" w:rsidP="00EE6156">
      <w:pPr>
        <w:pStyle w:val="FootnoteText"/>
        <w:spacing w:after="120"/>
        <w:rPr>
          <w:rFonts w:ascii="Book Antiqua" w:hAnsi="Book Antiqua"/>
          <w:sz w:val="22"/>
          <w:szCs w:val="22"/>
        </w:rPr>
      </w:pPr>
      <w:r w:rsidRPr="00394A65">
        <w:rPr>
          <w:rStyle w:val="FootnoteReference"/>
          <w:rFonts w:ascii="Book Antiqua" w:hAnsi="Book Antiqua"/>
          <w:sz w:val="22"/>
          <w:szCs w:val="22"/>
        </w:rPr>
        <w:footnoteRef/>
      </w:r>
      <w:r w:rsidRPr="00394A65">
        <w:rPr>
          <w:rFonts w:ascii="Book Antiqua" w:hAnsi="Book Antiqua"/>
          <w:sz w:val="22"/>
          <w:szCs w:val="22"/>
        </w:rPr>
        <w:t xml:space="preserve"> FERC Order No. 1000 is a Final Rule that reforms the FERC’s electric transmission planning and cost allocation requirements for public utility transmission providers. The rule builds on the reforms of FERC Order No. 890 and corrects remaining deficiencies with respect to transmission planning processes and cost allocation methods.</w:t>
      </w:r>
      <w:r>
        <w:rPr>
          <w:rFonts w:ascii="Book Antiqua" w:hAnsi="Book Antiqua"/>
          <w:sz w:val="22"/>
          <w:szCs w:val="22"/>
        </w:rPr>
        <w:t xml:space="preserve"> For further information, </w:t>
      </w:r>
      <w:r w:rsidRPr="00710282">
        <w:rPr>
          <w:rFonts w:ascii="Book Antiqua" w:hAnsi="Book Antiqua"/>
          <w:i/>
          <w:iCs/>
          <w:sz w:val="22"/>
          <w:szCs w:val="22"/>
        </w:rPr>
        <w:t>see</w:t>
      </w:r>
      <w:r>
        <w:rPr>
          <w:rFonts w:ascii="Book Antiqua" w:hAnsi="Book Antiqua"/>
          <w:sz w:val="22"/>
          <w:szCs w:val="22"/>
        </w:rPr>
        <w:t xml:space="preserve">: </w:t>
      </w:r>
      <w:hyperlink r:id="rId1" w:history="1">
        <w:r w:rsidRPr="008E3BA9">
          <w:rPr>
            <w:rStyle w:val="Hyperlink"/>
            <w:rFonts w:ascii="Book Antiqua" w:hAnsi="Book Antiqua"/>
            <w:sz w:val="22"/>
            <w:szCs w:val="22"/>
          </w:rPr>
          <w:t>https://www.ferc.gov/electric-transmission/order-no-1000-transmission-planning-and-cost-allocation</w:t>
        </w:r>
      </w:hyperlink>
      <w:r>
        <w:rPr>
          <w:rFonts w:ascii="Book Antiqua" w:hAnsi="Book Antiqua"/>
          <w:sz w:val="22"/>
          <w:szCs w:val="22"/>
        </w:rPr>
        <w:t xml:space="preserve">. </w:t>
      </w:r>
    </w:p>
  </w:footnote>
  <w:footnote w:id="9">
    <w:p w14:paraId="31978535" w14:textId="77B4B828" w:rsidR="001E4B01" w:rsidRPr="004F4FE1" w:rsidRDefault="001E4B01" w:rsidP="00AE2BFD">
      <w:pPr>
        <w:pStyle w:val="FootnoteText"/>
        <w:spacing w:after="120"/>
        <w:rPr>
          <w:rFonts w:ascii="Book Antiqua" w:hAnsi="Book Antiqua"/>
          <w:sz w:val="22"/>
          <w:szCs w:val="22"/>
        </w:rPr>
      </w:pPr>
      <w:r w:rsidRPr="004F4FE1">
        <w:rPr>
          <w:rStyle w:val="FootnoteReference"/>
          <w:rFonts w:ascii="Book Antiqua" w:hAnsi="Book Antiqua"/>
          <w:sz w:val="22"/>
          <w:szCs w:val="22"/>
        </w:rPr>
        <w:footnoteRef/>
      </w:r>
      <w:r w:rsidRPr="004F4FE1">
        <w:rPr>
          <w:rFonts w:ascii="Book Antiqua" w:hAnsi="Book Antiqua"/>
          <w:sz w:val="22"/>
          <w:szCs w:val="22"/>
        </w:rPr>
        <w:t xml:space="preserve"> Rule 7.1(d)</w:t>
      </w:r>
      <w:r w:rsidR="00553D9E">
        <w:rPr>
          <w:rFonts w:ascii="Book Antiqua" w:hAnsi="Book Antiqua"/>
          <w:sz w:val="22"/>
          <w:szCs w:val="22"/>
        </w:rPr>
        <w:t xml:space="preserve">.  </w:t>
      </w:r>
    </w:p>
  </w:footnote>
  <w:footnote w:id="10">
    <w:p w14:paraId="6B373588" w14:textId="77777777" w:rsidR="006E34B0" w:rsidRPr="00AC5503" w:rsidRDefault="006E34B0" w:rsidP="006E34B0">
      <w:pPr>
        <w:pStyle w:val="FootnoteText"/>
        <w:spacing w:after="120"/>
        <w:rPr>
          <w:rFonts w:ascii="Book Antiqua" w:hAnsi="Book Antiqua"/>
          <w:sz w:val="22"/>
          <w:szCs w:val="22"/>
        </w:rPr>
      </w:pPr>
      <w:r w:rsidRPr="00AC5503">
        <w:rPr>
          <w:rStyle w:val="FootnoteReference"/>
          <w:rFonts w:ascii="Book Antiqua" w:hAnsi="Book Antiqua"/>
          <w:sz w:val="22"/>
          <w:szCs w:val="22"/>
        </w:rPr>
        <w:footnoteRef/>
      </w:r>
      <w:r w:rsidRPr="00AC5503">
        <w:rPr>
          <w:rFonts w:ascii="Book Antiqua" w:hAnsi="Book Antiqua"/>
          <w:sz w:val="22"/>
          <w:szCs w:val="22"/>
        </w:rPr>
        <w:t xml:space="preserve"> </w:t>
      </w:r>
      <w:r>
        <w:rPr>
          <w:rFonts w:ascii="Book Antiqua" w:hAnsi="Book Antiqua"/>
          <w:sz w:val="22"/>
          <w:szCs w:val="22"/>
        </w:rPr>
        <w:t>A S</w:t>
      </w:r>
      <w:r w:rsidRPr="00AC5503">
        <w:rPr>
          <w:rFonts w:ascii="Book Antiqua" w:hAnsi="Book Antiqua"/>
          <w:sz w:val="22"/>
          <w:szCs w:val="22"/>
        </w:rPr>
        <w:t xml:space="preserve">taff draft proposed </w:t>
      </w:r>
      <w:r>
        <w:rPr>
          <w:rFonts w:ascii="Book Antiqua" w:hAnsi="Book Antiqua"/>
          <w:sz w:val="22"/>
          <w:szCs w:val="22"/>
        </w:rPr>
        <w:t>revised GO 131</w:t>
      </w:r>
      <w:r>
        <w:rPr>
          <w:rFonts w:ascii="Book Antiqua" w:hAnsi="Book Antiqua"/>
          <w:sz w:val="22"/>
          <w:szCs w:val="22"/>
        </w:rPr>
        <w:noBreakHyphen/>
        <w:t xml:space="preserve">E </w:t>
      </w:r>
      <w:r w:rsidRPr="00AC5503">
        <w:rPr>
          <w:rFonts w:ascii="Book Antiqua" w:hAnsi="Book Antiqua"/>
          <w:sz w:val="22"/>
          <w:szCs w:val="22"/>
        </w:rPr>
        <w:t xml:space="preserve">may be attached to the </w:t>
      </w:r>
      <w:r>
        <w:rPr>
          <w:rFonts w:ascii="Book Antiqua" w:hAnsi="Book Antiqua"/>
          <w:sz w:val="22"/>
          <w:szCs w:val="22"/>
        </w:rPr>
        <w:t>s</w:t>
      </w:r>
      <w:r w:rsidRPr="00AC5503">
        <w:rPr>
          <w:rFonts w:ascii="Book Antiqua" w:hAnsi="Book Antiqua"/>
          <w:sz w:val="22"/>
          <w:szCs w:val="22"/>
        </w:rPr>
        <w:t xml:space="preserve">coping </w:t>
      </w:r>
      <w:r>
        <w:rPr>
          <w:rFonts w:ascii="Book Antiqua" w:hAnsi="Book Antiqua"/>
          <w:sz w:val="22"/>
          <w:szCs w:val="22"/>
        </w:rPr>
        <w:t>m</w:t>
      </w:r>
      <w:r w:rsidRPr="00AC5503">
        <w:rPr>
          <w:rFonts w:ascii="Book Antiqua" w:hAnsi="Book Antiqua"/>
          <w:sz w:val="22"/>
          <w:szCs w:val="22"/>
        </w:rPr>
        <w:t xml:space="preserve">emo or </w:t>
      </w:r>
      <w:r>
        <w:rPr>
          <w:rFonts w:ascii="Book Antiqua" w:hAnsi="Book Antiqua"/>
          <w:sz w:val="22"/>
          <w:szCs w:val="22"/>
        </w:rPr>
        <w:t>issued separately.</w:t>
      </w:r>
    </w:p>
  </w:footnote>
  <w:footnote w:id="11">
    <w:p w14:paraId="1A073F1D" w14:textId="08CF115F" w:rsidR="008A47C4" w:rsidRPr="00AC5503" w:rsidRDefault="008A47C4" w:rsidP="00AE2BFD">
      <w:pPr>
        <w:pStyle w:val="FootnoteText"/>
        <w:spacing w:after="120"/>
        <w:rPr>
          <w:rFonts w:ascii="Book Antiqua" w:hAnsi="Book Antiqua"/>
          <w:sz w:val="22"/>
          <w:szCs w:val="22"/>
        </w:rPr>
      </w:pPr>
      <w:r w:rsidRPr="00AC5503">
        <w:rPr>
          <w:rStyle w:val="FootnoteReference"/>
          <w:rFonts w:ascii="Book Antiqua" w:hAnsi="Book Antiqua"/>
          <w:i/>
          <w:iCs/>
          <w:sz w:val="22"/>
          <w:szCs w:val="22"/>
        </w:rPr>
        <w:footnoteRef/>
      </w:r>
      <w:r w:rsidRPr="00AC5503">
        <w:rPr>
          <w:rFonts w:ascii="Book Antiqua" w:hAnsi="Book Antiqua"/>
          <w:sz w:val="22"/>
          <w:szCs w:val="22"/>
        </w:rPr>
        <w:t xml:space="preserve"> </w:t>
      </w:r>
      <w:r w:rsidR="00553D9E">
        <w:rPr>
          <w:rFonts w:ascii="Book Antiqua" w:hAnsi="Book Antiqua"/>
          <w:sz w:val="22"/>
          <w:szCs w:val="22"/>
        </w:rPr>
        <w:t xml:space="preserve">Rule </w:t>
      </w:r>
      <w:r w:rsidRPr="00AC5503">
        <w:rPr>
          <w:rFonts w:ascii="Book Antiqua" w:hAnsi="Book Antiqua"/>
          <w:sz w:val="22"/>
          <w:szCs w:val="22"/>
        </w:rPr>
        <w:t>17.1(a)(</w:t>
      </w:r>
      <w:r w:rsidR="00553D9E">
        <w:rPr>
          <w:rFonts w:ascii="Book Antiqua" w:hAnsi="Book Antiqua"/>
          <w:sz w:val="22"/>
          <w:szCs w:val="22"/>
        </w:rPr>
        <w:t>1</w:t>
      </w:r>
      <w:r w:rsidRPr="00AC5503">
        <w:rPr>
          <w:rFonts w:ascii="Book Antiqua" w:hAnsi="Book Antiqua"/>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3776" w14:textId="5C730681" w:rsidR="00C326DD" w:rsidRDefault="00C326DD" w:rsidP="00C326DD">
    <w:pPr>
      <w:pStyle w:val="Header"/>
      <w:tabs>
        <w:tab w:val="clear" w:pos="8640"/>
        <w:tab w:val="right" w:pos="9360"/>
      </w:tabs>
      <w:rPr>
        <w:rFonts w:ascii="Book Antiqua" w:hAnsi="Book Antiqua"/>
        <w:b/>
        <w:bCs/>
      </w:rPr>
    </w:pPr>
    <w:r>
      <w:rPr>
        <w:rFonts w:ascii="Book Antiqua" w:hAnsi="Book Antiqua"/>
      </w:rPr>
      <w:t>R.</w:t>
    </w:r>
    <w:r w:rsidR="00884E11">
      <w:rPr>
        <w:rFonts w:ascii="Book Antiqua" w:hAnsi="Book Antiqua"/>
      </w:rPr>
      <w:t>23-05-018</w:t>
    </w:r>
    <w:r>
      <w:rPr>
        <w:rFonts w:ascii="Book Antiqua" w:hAnsi="Book Antiqua"/>
      </w:rPr>
      <w:t xml:space="preserve">  ALJ/CF1/jnf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4123" w14:textId="3F4C8661" w:rsidR="00E60FDE" w:rsidRPr="00A1544B" w:rsidRDefault="00884E11" w:rsidP="00A1544B">
    <w:pPr>
      <w:pStyle w:val="Header"/>
      <w:tabs>
        <w:tab w:val="clear" w:pos="8640"/>
        <w:tab w:val="right" w:pos="9360"/>
      </w:tabs>
      <w:rPr>
        <w:rFonts w:ascii="Book Antiqua" w:hAnsi="Book Antiqua"/>
        <w:b/>
        <w:bCs/>
      </w:rPr>
    </w:pPr>
    <w:r>
      <w:rPr>
        <w:rFonts w:cs="Arial"/>
        <w:szCs w:val="26"/>
      </w:rPr>
      <w:t xml:space="preserve">R.23-05-018  </w:t>
    </w:r>
    <w:r w:rsidR="00C326DD">
      <w:rPr>
        <w:rFonts w:ascii="Book Antiqua" w:hAnsi="Book Antiqua"/>
      </w:rPr>
      <w:t>ALJ/CF1/jnf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B5A"/>
    <w:multiLevelType w:val="multilevel"/>
    <w:tmpl w:val="F242940A"/>
    <w:lvl w:ilvl="0">
      <w:start w:val="4"/>
      <w:numFmt w:val="decimal"/>
      <w:lvlText w:val="%1."/>
      <w:lvlJc w:val="left"/>
      <w:pPr>
        <w:tabs>
          <w:tab w:val="num" w:pos="510"/>
        </w:tabs>
        <w:ind w:left="510" w:hanging="510"/>
      </w:pPr>
      <w:rPr>
        <w:rFonts w:hint="default"/>
      </w:r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BCA0618"/>
    <w:multiLevelType w:val="hybridMultilevel"/>
    <w:tmpl w:val="42C621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A568B"/>
    <w:multiLevelType w:val="hybridMultilevel"/>
    <w:tmpl w:val="698ED1B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E84222B"/>
    <w:multiLevelType w:val="hybridMultilevel"/>
    <w:tmpl w:val="D2C0C564"/>
    <w:lvl w:ilvl="0" w:tplc="684EFDE4">
      <w:start w:val="3"/>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95C0C78"/>
    <w:multiLevelType w:val="hybridMultilevel"/>
    <w:tmpl w:val="2C26FDCE"/>
    <w:lvl w:ilvl="0" w:tplc="10B09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546508"/>
    <w:multiLevelType w:val="hybridMultilevel"/>
    <w:tmpl w:val="3AB6E9B0"/>
    <w:lvl w:ilvl="0" w:tplc="B544A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140FBA"/>
    <w:multiLevelType w:val="hybridMultilevel"/>
    <w:tmpl w:val="D4D21DF8"/>
    <w:lvl w:ilvl="0" w:tplc="81181764">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2E132A"/>
    <w:multiLevelType w:val="singleLevel"/>
    <w:tmpl w:val="6C78A414"/>
    <w:lvl w:ilvl="0">
      <w:start w:val="1"/>
      <w:numFmt w:val="decimal"/>
      <w:pStyle w:val="num2"/>
      <w:lvlText w:val="%1."/>
      <w:legacy w:legacy="1" w:legacySpace="144" w:legacyIndent="0"/>
      <w:lvlJc w:val="left"/>
    </w:lvl>
  </w:abstractNum>
  <w:abstractNum w:abstractNumId="10" w15:restartNumberingAfterBreak="0">
    <w:nsid w:val="37544524"/>
    <w:multiLevelType w:val="hybridMultilevel"/>
    <w:tmpl w:val="967C96C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FC503A"/>
    <w:multiLevelType w:val="hybridMultilevel"/>
    <w:tmpl w:val="4208C068"/>
    <w:lvl w:ilvl="0" w:tplc="D36C9566">
      <w:numFmt w:val="bullet"/>
      <w:lvlText w:val="•"/>
      <w:lvlJc w:val="left"/>
      <w:pPr>
        <w:ind w:left="963" w:hanging="243"/>
      </w:pPr>
      <w:rPr>
        <w:rFonts w:ascii="Cambria" w:eastAsia="Cambria" w:hAnsi="Cambria" w:cs="Cambria" w:hint="default"/>
        <w:b/>
        <w:bCs/>
        <w:i w:val="0"/>
        <w:iCs w:val="0"/>
        <w:w w:val="77"/>
        <w:sz w:val="21"/>
        <w:szCs w:val="21"/>
        <w:lang w:val="en-US" w:eastAsia="en-US" w:bidi="ar-SA"/>
      </w:rPr>
    </w:lvl>
    <w:lvl w:ilvl="1" w:tplc="EEBAF3E2">
      <w:numFmt w:val="bullet"/>
      <w:lvlText w:val="•"/>
      <w:lvlJc w:val="left"/>
      <w:pPr>
        <w:ind w:left="1653" w:hanging="243"/>
      </w:pPr>
      <w:rPr>
        <w:rFonts w:hint="default"/>
        <w:lang w:val="en-US" w:eastAsia="en-US" w:bidi="ar-SA"/>
      </w:rPr>
    </w:lvl>
    <w:lvl w:ilvl="2" w:tplc="C92E7CDC">
      <w:numFmt w:val="bullet"/>
      <w:lvlText w:val="•"/>
      <w:lvlJc w:val="left"/>
      <w:pPr>
        <w:ind w:left="2341" w:hanging="243"/>
      </w:pPr>
      <w:rPr>
        <w:rFonts w:hint="default"/>
        <w:lang w:val="en-US" w:eastAsia="en-US" w:bidi="ar-SA"/>
      </w:rPr>
    </w:lvl>
    <w:lvl w:ilvl="3" w:tplc="6E7C2710">
      <w:numFmt w:val="bullet"/>
      <w:lvlText w:val="•"/>
      <w:lvlJc w:val="left"/>
      <w:pPr>
        <w:ind w:left="3029" w:hanging="243"/>
      </w:pPr>
      <w:rPr>
        <w:rFonts w:hint="default"/>
        <w:lang w:val="en-US" w:eastAsia="en-US" w:bidi="ar-SA"/>
      </w:rPr>
    </w:lvl>
    <w:lvl w:ilvl="4" w:tplc="E49264DE">
      <w:numFmt w:val="bullet"/>
      <w:lvlText w:val="•"/>
      <w:lvlJc w:val="left"/>
      <w:pPr>
        <w:ind w:left="3717" w:hanging="243"/>
      </w:pPr>
      <w:rPr>
        <w:rFonts w:hint="default"/>
        <w:lang w:val="en-US" w:eastAsia="en-US" w:bidi="ar-SA"/>
      </w:rPr>
    </w:lvl>
    <w:lvl w:ilvl="5" w:tplc="11984732">
      <w:numFmt w:val="bullet"/>
      <w:lvlText w:val="•"/>
      <w:lvlJc w:val="left"/>
      <w:pPr>
        <w:ind w:left="4405" w:hanging="243"/>
      </w:pPr>
      <w:rPr>
        <w:rFonts w:hint="default"/>
        <w:lang w:val="en-US" w:eastAsia="en-US" w:bidi="ar-SA"/>
      </w:rPr>
    </w:lvl>
    <w:lvl w:ilvl="6" w:tplc="C0447348">
      <w:numFmt w:val="bullet"/>
      <w:lvlText w:val="•"/>
      <w:lvlJc w:val="left"/>
      <w:pPr>
        <w:ind w:left="5093" w:hanging="243"/>
      </w:pPr>
      <w:rPr>
        <w:rFonts w:hint="default"/>
        <w:lang w:val="en-US" w:eastAsia="en-US" w:bidi="ar-SA"/>
      </w:rPr>
    </w:lvl>
    <w:lvl w:ilvl="7" w:tplc="0958BCF2">
      <w:numFmt w:val="bullet"/>
      <w:lvlText w:val="•"/>
      <w:lvlJc w:val="left"/>
      <w:pPr>
        <w:ind w:left="5782" w:hanging="243"/>
      </w:pPr>
      <w:rPr>
        <w:rFonts w:hint="default"/>
        <w:lang w:val="en-US" w:eastAsia="en-US" w:bidi="ar-SA"/>
      </w:rPr>
    </w:lvl>
    <w:lvl w:ilvl="8" w:tplc="13FCFFD6">
      <w:numFmt w:val="bullet"/>
      <w:lvlText w:val="•"/>
      <w:lvlJc w:val="left"/>
      <w:pPr>
        <w:ind w:left="6470" w:hanging="243"/>
      </w:pPr>
      <w:rPr>
        <w:rFonts w:hint="default"/>
        <w:lang w:val="en-US" w:eastAsia="en-US" w:bidi="ar-SA"/>
      </w:rPr>
    </w:lvl>
  </w:abstractNum>
  <w:abstractNum w:abstractNumId="12" w15:restartNumberingAfterBreak="0">
    <w:nsid w:val="4C7D14E1"/>
    <w:multiLevelType w:val="hybridMultilevel"/>
    <w:tmpl w:val="4518F676"/>
    <w:lvl w:ilvl="0" w:tplc="8C6A51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E8F7CE9"/>
    <w:multiLevelType w:val="hybridMultilevel"/>
    <w:tmpl w:val="256623C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533F6BA6"/>
    <w:multiLevelType w:val="hybridMultilevel"/>
    <w:tmpl w:val="46826DA4"/>
    <w:lvl w:ilvl="0" w:tplc="10B09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D12D53"/>
    <w:multiLevelType w:val="hybridMultilevel"/>
    <w:tmpl w:val="05A0078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4254CA2"/>
    <w:multiLevelType w:val="hybridMultilevel"/>
    <w:tmpl w:val="62E43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FA1311"/>
    <w:multiLevelType w:val="hybridMultilevel"/>
    <w:tmpl w:val="4D1A5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2D55FB"/>
    <w:multiLevelType w:val="hybridMultilevel"/>
    <w:tmpl w:val="312E34B2"/>
    <w:lvl w:ilvl="0" w:tplc="D908AB94">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8CB3101"/>
    <w:multiLevelType w:val="multilevel"/>
    <w:tmpl w:val="B32C4F1C"/>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20" w15:restartNumberingAfterBreak="0">
    <w:nsid w:val="5EDD0A02"/>
    <w:multiLevelType w:val="hybridMultilevel"/>
    <w:tmpl w:val="578AA0A6"/>
    <w:lvl w:ilvl="0" w:tplc="04090001">
      <w:start w:val="1"/>
      <w:numFmt w:val="bullet"/>
      <w:lvlText w:val=""/>
      <w:lvlJc w:val="left"/>
      <w:pPr>
        <w:ind w:left="1323" w:hanging="360"/>
      </w:pPr>
      <w:rPr>
        <w:rFonts w:ascii="Symbol" w:hAnsi="Symbol"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1" w15:restartNumberingAfterBreak="0">
    <w:nsid w:val="69CC0D10"/>
    <w:multiLevelType w:val="hybridMultilevel"/>
    <w:tmpl w:val="89F4D84C"/>
    <w:lvl w:ilvl="0" w:tplc="95E853D6">
      <w:start w:val="1"/>
      <w:numFmt w:val="decimal"/>
      <w:pStyle w:val="OP"/>
      <w:lvlText w:val="%1."/>
      <w:lvlJc w:val="left"/>
      <w:pPr>
        <w:tabs>
          <w:tab w:val="num" w:pos="1755"/>
        </w:tabs>
        <w:ind w:left="1755" w:hanging="1035"/>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C444178"/>
    <w:multiLevelType w:val="hybridMultilevel"/>
    <w:tmpl w:val="C1CA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632932"/>
    <w:multiLevelType w:val="hybridMultilevel"/>
    <w:tmpl w:val="1EBEB34E"/>
    <w:lvl w:ilvl="0" w:tplc="FE2C71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9A0AFE"/>
    <w:multiLevelType w:val="multilevel"/>
    <w:tmpl w:val="18F4A5AC"/>
    <w:numStyleLink w:val="FoFCoLOP"/>
  </w:abstractNum>
  <w:abstractNum w:abstractNumId="25" w15:restartNumberingAfterBreak="0">
    <w:nsid w:val="7B1C30FD"/>
    <w:multiLevelType w:val="singleLevel"/>
    <w:tmpl w:val="2FB6A734"/>
    <w:lvl w:ilvl="0">
      <w:start w:val="1"/>
      <w:numFmt w:val="decimal"/>
      <w:lvlText w:val="%1."/>
      <w:legacy w:legacy="1" w:legacySpace="144" w:legacyIndent="0"/>
      <w:lvlJc w:val="left"/>
    </w:lvl>
  </w:abstractNum>
  <w:abstractNum w:abstractNumId="26" w15:restartNumberingAfterBreak="0">
    <w:nsid w:val="7E0600D1"/>
    <w:multiLevelType w:val="singleLevel"/>
    <w:tmpl w:val="2FA88A42"/>
    <w:lvl w:ilvl="0">
      <w:start w:val="1"/>
      <w:numFmt w:val="bullet"/>
      <w:lvlText w:val=""/>
      <w:lvlJc w:val="left"/>
      <w:pPr>
        <w:tabs>
          <w:tab w:val="num" w:pos="576"/>
        </w:tabs>
        <w:ind w:left="504" w:hanging="288"/>
      </w:pPr>
      <w:rPr>
        <w:rFonts w:ascii="Symbol" w:hAnsi="Symbol" w:hint="default"/>
      </w:rPr>
    </w:lvl>
  </w:abstractNum>
  <w:num w:numId="1" w16cid:durableId="984698635">
    <w:abstractNumId w:val="26"/>
  </w:num>
  <w:num w:numId="2" w16cid:durableId="668405629">
    <w:abstractNumId w:val="25"/>
  </w:num>
  <w:num w:numId="3" w16cid:durableId="1384408362">
    <w:abstractNumId w:val="7"/>
  </w:num>
  <w:num w:numId="4" w16cid:durableId="1262372550">
    <w:abstractNumId w:val="9"/>
    <w:lvlOverride w:ilvl="0">
      <w:lvl w:ilvl="0">
        <w:start w:val="1"/>
        <w:numFmt w:val="decimal"/>
        <w:pStyle w:val="num2"/>
        <w:lvlText w:val="%1."/>
        <w:legacy w:legacy="1" w:legacySpace="0" w:legacyIndent="0"/>
        <w:lvlJc w:val="left"/>
      </w:lvl>
    </w:lvlOverride>
  </w:num>
  <w:num w:numId="5" w16cid:durableId="1430348486">
    <w:abstractNumId w:val="19"/>
  </w:num>
  <w:num w:numId="6" w16cid:durableId="261424224">
    <w:abstractNumId w:val="8"/>
  </w:num>
  <w:num w:numId="7" w16cid:durableId="2120636338">
    <w:abstractNumId w:val="0"/>
  </w:num>
  <w:num w:numId="8" w16cid:durableId="527765096">
    <w:abstractNumId w:val="3"/>
  </w:num>
  <w:num w:numId="9" w16cid:durableId="1408915266">
    <w:abstractNumId w:val="21"/>
  </w:num>
  <w:num w:numId="10" w16cid:durableId="933127564">
    <w:abstractNumId w:val="1"/>
  </w:num>
  <w:num w:numId="11" w16cid:durableId="1777947035">
    <w:abstractNumId w:val="12"/>
  </w:num>
  <w:num w:numId="12" w16cid:durableId="1853376452">
    <w:abstractNumId w:val="19"/>
  </w:num>
  <w:num w:numId="13" w16cid:durableId="1653371467">
    <w:abstractNumId w:val="19"/>
  </w:num>
  <w:num w:numId="14" w16cid:durableId="179322916">
    <w:abstractNumId w:val="19"/>
  </w:num>
  <w:num w:numId="15" w16cid:durableId="1807160169">
    <w:abstractNumId w:val="19"/>
  </w:num>
  <w:num w:numId="16" w16cid:durableId="1244870934">
    <w:abstractNumId w:val="6"/>
  </w:num>
  <w:num w:numId="17" w16cid:durableId="838277698">
    <w:abstractNumId w:val="5"/>
  </w:num>
  <w:num w:numId="18" w16cid:durableId="383406937">
    <w:abstractNumId w:val="23"/>
  </w:num>
  <w:num w:numId="19" w16cid:durableId="1452016536">
    <w:abstractNumId w:val="14"/>
  </w:num>
  <w:num w:numId="20" w16cid:durableId="33820635">
    <w:abstractNumId w:val="11"/>
  </w:num>
  <w:num w:numId="21" w16cid:durableId="1995796207">
    <w:abstractNumId w:val="2"/>
  </w:num>
  <w:num w:numId="22" w16cid:durableId="363141618">
    <w:abstractNumId w:val="20"/>
  </w:num>
  <w:num w:numId="23" w16cid:durableId="364141850">
    <w:abstractNumId w:val="4"/>
  </w:num>
  <w:num w:numId="24" w16cid:durableId="1897086073">
    <w:abstractNumId w:val="24"/>
  </w:num>
  <w:num w:numId="25" w16cid:durableId="454956527">
    <w:abstractNumId w:val="10"/>
  </w:num>
  <w:num w:numId="26" w16cid:durableId="1451973361">
    <w:abstractNumId w:val="18"/>
  </w:num>
  <w:num w:numId="27" w16cid:durableId="572160233">
    <w:abstractNumId w:val="19"/>
  </w:num>
  <w:num w:numId="28" w16cid:durableId="1838108030">
    <w:abstractNumId w:val="19"/>
  </w:num>
  <w:num w:numId="29" w16cid:durableId="1039206131">
    <w:abstractNumId w:val="19"/>
  </w:num>
  <w:num w:numId="30" w16cid:durableId="1799907737">
    <w:abstractNumId w:val="19"/>
  </w:num>
  <w:num w:numId="31" w16cid:durableId="1882936437">
    <w:abstractNumId w:val="19"/>
  </w:num>
  <w:num w:numId="32" w16cid:durableId="1435440637">
    <w:abstractNumId w:val="19"/>
  </w:num>
  <w:num w:numId="33" w16cid:durableId="712729960">
    <w:abstractNumId w:val="19"/>
  </w:num>
  <w:num w:numId="34" w16cid:durableId="1925798549">
    <w:abstractNumId w:val="19"/>
  </w:num>
  <w:num w:numId="35" w16cid:durableId="461070965">
    <w:abstractNumId w:val="19"/>
  </w:num>
  <w:num w:numId="36" w16cid:durableId="665474508">
    <w:abstractNumId w:val="19"/>
  </w:num>
  <w:num w:numId="37" w16cid:durableId="1019695677">
    <w:abstractNumId w:val="19"/>
  </w:num>
  <w:num w:numId="38" w16cid:durableId="1481118244">
    <w:abstractNumId w:val="19"/>
  </w:num>
  <w:num w:numId="39" w16cid:durableId="910895515">
    <w:abstractNumId w:val="19"/>
  </w:num>
  <w:num w:numId="40" w16cid:durableId="709038970">
    <w:abstractNumId w:val="22"/>
  </w:num>
  <w:num w:numId="41" w16cid:durableId="714892049">
    <w:abstractNumId w:val="17"/>
  </w:num>
  <w:num w:numId="42" w16cid:durableId="1841120194">
    <w:abstractNumId w:val="16"/>
  </w:num>
  <w:num w:numId="43" w16cid:durableId="2116368320">
    <w:abstractNumId w:val="15"/>
  </w:num>
  <w:num w:numId="44" w16cid:durableId="138807032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4F"/>
    <w:rsid w:val="00003ADC"/>
    <w:rsid w:val="00003D4F"/>
    <w:rsid w:val="00004120"/>
    <w:rsid w:val="00014EB5"/>
    <w:rsid w:val="00017297"/>
    <w:rsid w:val="0003675D"/>
    <w:rsid w:val="000403B9"/>
    <w:rsid w:val="0004199A"/>
    <w:rsid w:val="000429BF"/>
    <w:rsid w:val="00045565"/>
    <w:rsid w:val="000511F2"/>
    <w:rsid w:val="0005137D"/>
    <w:rsid w:val="0006110E"/>
    <w:rsid w:val="00061B0A"/>
    <w:rsid w:val="00065D6A"/>
    <w:rsid w:val="00070A9A"/>
    <w:rsid w:val="000A0C54"/>
    <w:rsid w:val="000A29C4"/>
    <w:rsid w:val="000A6200"/>
    <w:rsid w:val="000B0E1B"/>
    <w:rsid w:val="000B104B"/>
    <w:rsid w:val="000C0B0E"/>
    <w:rsid w:val="000C159D"/>
    <w:rsid w:val="000C2B34"/>
    <w:rsid w:val="000C6D71"/>
    <w:rsid w:val="000D0065"/>
    <w:rsid w:val="000E7383"/>
    <w:rsid w:val="000F13D7"/>
    <w:rsid w:val="00102EB5"/>
    <w:rsid w:val="001063DB"/>
    <w:rsid w:val="00106C85"/>
    <w:rsid w:val="001074F8"/>
    <w:rsid w:val="0011471A"/>
    <w:rsid w:val="00114DB7"/>
    <w:rsid w:val="0011610E"/>
    <w:rsid w:val="001202C6"/>
    <w:rsid w:val="0013021C"/>
    <w:rsid w:val="00131547"/>
    <w:rsid w:val="00135ECC"/>
    <w:rsid w:val="0013660D"/>
    <w:rsid w:val="00140CE1"/>
    <w:rsid w:val="00144F1B"/>
    <w:rsid w:val="00151742"/>
    <w:rsid w:val="00154CDC"/>
    <w:rsid w:val="001564B6"/>
    <w:rsid w:val="001615BB"/>
    <w:rsid w:val="001638EA"/>
    <w:rsid w:val="00172BC1"/>
    <w:rsid w:val="0017455F"/>
    <w:rsid w:val="001745D5"/>
    <w:rsid w:val="00174B33"/>
    <w:rsid w:val="00187674"/>
    <w:rsid w:val="001978A5"/>
    <w:rsid w:val="001A4A77"/>
    <w:rsid w:val="001B09E4"/>
    <w:rsid w:val="001B5027"/>
    <w:rsid w:val="001B71FA"/>
    <w:rsid w:val="001C0988"/>
    <w:rsid w:val="001D3DD4"/>
    <w:rsid w:val="001E16FC"/>
    <w:rsid w:val="001E4B01"/>
    <w:rsid w:val="001F724F"/>
    <w:rsid w:val="00212A7F"/>
    <w:rsid w:val="002208A3"/>
    <w:rsid w:val="00223D13"/>
    <w:rsid w:val="00226115"/>
    <w:rsid w:val="00237403"/>
    <w:rsid w:val="00244942"/>
    <w:rsid w:val="002454A2"/>
    <w:rsid w:val="002470EA"/>
    <w:rsid w:val="0024743C"/>
    <w:rsid w:val="00253CFB"/>
    <w:rsid w:val="0026116C"/>
    <w:rsid w:val="00266779"/>
    <w:rsid w:val="00274FEC"/>
    <w:rsid w:val="00283464"/>
    <w:rsid w:val="002843D4"/>
    <w:rsid w:val="00284404"/>
    <w:rsid w:val="00292636"/>
    <w:rsid w:val="00293733"/>
    <w:rsid w:val="0029776D"/>
    <w:rsid w:val="00297794"/>
    <w:rsid w:val="002979D4"/>
    <w:rsid w:val="002A3B2A"/>
    <w:rsid w:val="002A6588"/>
    <w:rsid w:val="002B4041"/>
    <w:rsid w:val="002B6816"/>
    <w:rsid w:val="002B78C9"/>
    <w:rsid w:val="002C528F"/>
    <w:rsid w:val="002D12F7"/>
    <w:rsid w:val="002D3CED"/>
    <w:rsid w:val="002D529E"/>
    <w:rsid w:val="002D7E7D"/>
    <w:rsid w:val="002E188C"/>
    <w:rsid w:val="002E2C59"/>
    <w:rsid w:val="002F168B"/>
    <w:rsid w:val="002F22BC"/>
    <w:rsid w:val="002F2E52"/>
    <w:rsid w:val="002F3580"/>
    <w:rsid w:val="002F3E94"/>
    <w:rsid w:val="002F5080"/>
    <w:rsid w:val="002F648B"/>
    <w:rsid w:val="00302A43"/>
    <w:rsid w:val="00302C44"/>
    <w:rsid w:val="00303185"/>
    <w:rsid w:val="00303752"/>
    <w:rsid w:val="00314850"/>
    <w:rsid w:val="00322CF9"/>
    <w:rsid w:val="0033567B"/>
    <w:rsid w:val="00341C88"/>
    <w:rsid w:val="00344434"/>
    <w:rsid w:val="003538C5"/>
    <w:rsid w:val="00354761"/>
    <w:rsid w:val="00361B28"/>
    <w:rsid w:val="003643B9"/>
    <w:rsid w:val="003644F5"/>
    <w:rsid w:val="0037609A"/>
    <w:rsid w:val="00376715"/>
    <w:rsid w:val="003768FE"/>
    <w:rsid w:val="00384AE2"/>
    <w:rsid w:val="00387752"/>
    <w:rsid w:val="00392805"/>
    <w:rsid w:val="00394412"/>
    <w:rsid w:val="00394A65"/>
    <w:rsid w:val="003A7977"/>
    <w:rsid w:val="003B7B76"/>
    <w:rsid w:val="003C2982"/>
    <w:rsid w:val="003D3B22"/>
    <w:rsid w:val="003D7A01"/>
    <w:rsid w:val="003E5803"/>
    <w:rsid w:val="003E6BAB"/>
    <w:rsid w:val="003F374D"/>
    <w:rsid w:val="003F59C6"/>
    <w:rsid w:val="00407492"/>
    <w:rsid w:val="00413448"/>
    <w:rsid w:val="00415D3E"/>
    <w:rsid w:val="00417B07"/>
    <w:rsid w:val="00421E3C"/>
    <w:rsid w:val="00425CCC"/>
    <w:rsid w:val="00426DA0"/>
    <w:rsid w:val="004339D0"/>
    <w:rsid w:val="00463E45"/>
    <w:rsid w:val="004756AB"/>
    <w:rsid w:val="00482348"/>
    <w:rsid w:val="00486517"/>
    <w:rsid w:val="00496B8C"/>
    <w:rsid w:val="0049767E"/>
    <w:rsid w:val="004A3C03"/>
    <w:rsid w:val="004A403A"/>
    <w:rsid w:val="004A445C"/>
    <w:rsid w:val="004A770D"/>
    <w:rsid w:val="004A7F4F"/>
    <w:rsid w:val="004B27E3"/>
    <w:rsid w:val="004B5697"/>
    <w:rsid w:val="004D05A5"/>
    <w:rsid w:val="004D0A49"/>
    <w:rsid w:val="004E0F6A"/>
    <w:rsid w:val="004E1A39"/>
    <w:rsid w:val="004F026D"/>
    <w:rsid w:val="004F4FE1"/>
    <w:rsid w:val="004F5E38"/>
    <w:rsid w:val="00503866"/>
    <w:rsid w:val="00504929"/>
    <w:rsid w:val="00505178"/>
    <w:rsid w:val="005058A8"/>
    <w:rsid w:val="00514E1F"/>
    <w:rsid w:val="00516BDB"/>
    <w:rsid w:val="00527D98"/>
    <w:rsid w:val="00533B6E"/>
    <w:rsid w:val="00536DC9"/>
    <w:rsid w:val="00553D9E"/>
    <w:rsid w:val="00555679"/>
    <w:rsid w:val="00562835"/>
    <w:rsid w:val="005754A2"/>
    <w:rsid w:val="005823EA"/>
    <w:rsid w:val="00595606"/>
    <w:rsid w:val="005A34D7"/>
    <w:rsid w:val="005B0E94"/>
    <w:rsid w:val="005B200A"/>
    <w:rsid w:val="005B203E"/>
    <w:rsid w:val="005C1917"/>
    <w:rsid w:val="005C7234"/>
    <w:rsid w:val="005D406B"/>
    <w:rsid w:val="005E1238"/>
    <w:rsid w:val="005E1854"/>
    <w:rsid w:val="005E3C97"/>
    <w:rsid w:val="005F27F4"/>
    <w:rsid w:val="005F3069"/>
    <w:rsid w:val="0060533B"/>
    <w:rsid w:val="00616C80"/>
    <w:rsid w:val="00617655"/>
    <w:rsid w:val="0062168B"/>
    <w:rsid w:val="00622D0F"/>
    <w:rsid w:val="0063544F"/>
    <w:rsid w:val="00654BAA"/>
    <w:rsid w:val="00656435"/>
    <w:rsid w:val="00663232"/>
    <w:rsid w:val="00686681"/>
    <w:rsid w:val="00687FED"/>
    <w:rsid w:val="006A0DE9"/>
    <w:rsid w:val="006A55C9"/>
    <w:rsid w:val="006A6CF4"/>
    <w:rsid w:val="006B2A3C"/>
    <w:rsid w:val="006C72B4"/>
    <w:rsid w:val="006D0574"/>
    <w:rsid w:val="006D10B7"/>
    <w:rsid w:val="006D7E48"/>
    <w:rsid w:val="006E34B0"/>
    <w:rsid w:val="006E70AF"/>
    <w:rsid w:val="006F5A51"/>
    <w:rsid w:val="00710282"/>
    <w:rsid w:val="00710DA5"/>
    <w:rsid w:val="00713FE9"/>
    <w:rsid w:val="0072071A"/>
    <w:rsid w:val="007247CB"/>
    <w:rsid w:val="007258C8"/>
    <w:rsid w:val="007264E7"/>
    <w:rsid w:val="00732FDD"/>
    <w:rsid w:val="00733398"/>
    <w:rsid w:val="007365E9"/>
    <w:rsid w:val="00737BF1"/>
    <w:rsid w:val="00744597"/>
    <w:rsid w:val="00747B82"/>
    <w:rsid w:val="00750833"/>
    <w:rsid w:val="00752B0A"/>
    <w:rsid w:val="00755265"/>
    <w:rsid w:val="00760B36"/>
    <w:rsid w:val="007629FA"/>
    <w:rsid w:val="00763A6A"/>
    <w:rsid w:val="00775902"/>
    <w:rsid w:val="00787EA4"/>
    <w:rsid w:val="007936C6"/>
    <w:rsid w:val="00795845"/>
    <w:rsid w:val="007A56CA"/>
    <w:rsid w:val="007B75C8"/>
    <w:rsid w:val="007C1EA8"/>
    <w:rsid w:val="007D18AE"/>
    <w:rsid w:val="007E6B64"/>
    <w:rsid w:val="007E7041"/>
    <w:rsid w:val="007F1606"/>
    <w:rsid w:val="00802A8E"/>
    <w:rsid w:val="008050EA"/>
    <w:rsid w:val="008165F3"/>
    <w:rsid w:val="00821A5A"/>
    <w:rsid w:val="008258AD"/>
    <w:rsid w:val="0083387D"/>
    <w:rsid w:val="00836706"/>
    <w:rsid w:val="008501AF"/>
    <w:rsid w:val="008506E2"/>
    <w:rsid w:val="00851999"/>
    <w:rsid w:val="00857A48"/>
    <w:rsid w:val="00862826"/>
    <w:rsid w:val="00877A13"/>
    <w:rsid w:val="00884E11"/>
    <w:rsid w:val="008933DF"/>
    <w:rsid w:val="008939C9"/>
    <w:rsid w:val="00895536"/>
    <w:rsid w:val="008A21E4"/>
    <w:rsid w:val="008A47C4"/>
    <w:rsid w:val="008A4873"/>
    <w:rsid w:val="008A52AF"/>
    <w:rsid w:val="008B02ED"/>
    <w:rsid w:val="008B6B87"/>
    <w:rsid w:val="008C651F"/>
    <w:rsid w:val="008D42C9"/>
    <w:rsid w:val="008F1DB1"/>
    <w:rsid w:val="008F1ED9"/>
    <w:rsid w:val="008F66C5"/>
    <w:rsid w:val="008F712E"/>
    <w:rsid w:val="00900ADD"/>
    <w:rsid w:val="0090728F"/>
    <w:rsid w:val="00917B49"/>
    <w:rsid w:val="00925F88"/>
    <w:rsid w:val="009279C6"/>
    <w:rsid w:val="00931B1A"/>
    <w:rsid w:val="00933F86"/>
    <w:rsid w:val="0093675A"/>
    <w:rsid w:val="00941BB7"/>
    <w:rsid w:val="0094300E"/>
    <w:rsid w:val="00944A8C"/>
    <w:rsid w:val="0094543B"/>
    <w:rsid w:val="00946623"/>
    <w:rsid w:val="0095112E"/>
    <w:rsid w:val="00954CD7"/>
    <w:rsid w:val="00955EC9"/>
    <w:rsid w:val="0095692E"/>
    <w:rsid w:val="0095721E"/>
    <w:rsid w:val="00961998"/>
    <w:rsid w:val="0097056C"/>
    <w:rsid w:val="00971FB2"/>
    <w:rsid w:val="009720B3"/>
    <w:rsid w:val="009813FE"/>
    <w:rsid w:val="009842F1"/>
    <w:rsid w:val="00992A0C"/>
    <w:rsid w:val="00993AA2"/>
    <w:rsid w:val="009B44E4"/>
    <w:rsid w:val="009C4632"/>
    <w:rsid w:val="009C5A3F"/>
    <w:rsid w:val="009D5A83"/>
    <w:rsid w:val="009E08AC"/>
    <w:rsid w:val="009F3237"/>
    <w:rsid w:val="009F5620"/>
    <w:rsid w:val="009F6D5E"/>
    <w:rsid w:val="00A00F36"/>
    <w:rsid w:val="00A05405"/>
    <w:rsid w:val="00A1544B"/>
    <w:rsid w:val="00A17FA6"/>
    <w:rsid w:val="00A212C8"/>
    <w:rsid w:val="00A2669D"/>
    <w:rsid w:val="00A31787"/>
    <w:rsid w:val="00A34F25"/>
    <w:rsid w:val="00A34FB9"/>
    <w:rsid w:val="00A37964"/>
    <w:rsid w:val="00A452A4"/>
    <w:rsid w:val="00A45E06"/>
    <w:rsid w:val="00A54300"/>
    <w:rsid w:val="00A54AA9"/>
    <w:rsid w:val="00A57778"/>
    <w:rsid w:val="00A7644D"/>
    <w:rsid w:val="00A83C6E"/>
    <w:rsid w:val="00A93523"/>
    <w:rsid w:val="00A95152"/>
    <w:rsid w:val="00A9663A"/>
    <w:rsid w:val="00AA2539"/>
    <w:rsid w:val="00AA3613"/>
    <w:rsid w:val="00AB1238"/>
    <w:rsid w:val="00AC5503"/>
    <w:rsid w:val="00AD35ED"/>
    <w:rsid w:val="00AD4075"/>
    <w:rsid w:val="00AD6F24"/>
    <w:rsid w:val="00AE04EF"/>
    <w:rsid w:val="00AE22A2"/>
    <w:rsid w:val="00AE2BFD"/>
    <w:rsid w:val="00AE575F"/>
    <w:rsid w:val="00AE7F74"/>
    <w:rsid w:val="00B13025"/>
    <w:rsid w:val="00B27FB6"/>
    <w:rsid w:val="00B303EB"/>
    <w:rsid w:val="00B33487"/>
    <w:rsid w:val="00B4106D"/>
    <w:rsid w:val="00B50CEA"/>
    <w:rsid w:val="00B51A36"/>
    <w:rsid w:val="00B51A57"/>
    <w:rsid w:val="00B52F92"/>
    <w:rsid w:val="00B53876"/>
    <w:rsid w:val="00B5497A"/>
    <w:rsid w:val="00B56830"/>
    <w:rsid w:val="00B62E32"/>
    <w:rsid w:val="00B815AC"/>
    <w:rsid w:val="00B81AB2"/>
    <w:rsid w:val="00B90E07"/>
    <w:rsid w:val="00B92B26"/>
    <w:rsid w:val="00B946BE"/>
    <w:rsid w:val="00B9488F"/>
    <w:rsid w:val="00B966EA"/>
    <w:rsid w:val="00BA1B4D"/>
    <w:rsid w:val="00BA229F"/>
    <w:rsid w:val="00BB0599"/>
    <w:rsid w:val="00BB2A74"/>
    <w:rsid w:val="00BB37B7"/>
    <w:rsid w:val="00BB51C6"/>
    <w:rsid w:val="00BB592C"/>
    <w:rsid w:val="00BB5930"/>
    <w:rsid w:val="00BB7583"/>
    <w:rsid w:val="00BC6B21"/>
    <w:rsid w:val="00BE0609"/>
    <w:rsid w:val="00BE0E51"/>
    <w:rsid w:val="00BE111F"/>
    <w:rsid w:val="00BE3DEF"/>
    <w:rsid w:val="00BE49D2"/>
    <w:rsid w:val="00BF2076"/>
    <w:rsid w:val="00BF6D1D"/>
    <w:rsid w:val="00C155A4"/>
    <w:rsid w:val="00C226C9"/>
    <w:rsid w:val="00C23944"/>
    <w:rsid w:val="00C326DD"/>
    <w:rsid w:val="00C405EF"/>
    <w:rsid w:val="00C54D23"/>
    <w:rsid w:val="00C55831"/>
    <w:rsid w:val="00C61764"/>
    <w:rsid w:val="00C63BC6"/>
    <w:rsid w:val="00C66330"/>
    <w:rsid w:val="00C71BBF"/>
    <w:rsid w:val="00C75696"/>
    <w:rsid w:val="00C76C5C"/>
    <w:rsid w:val="00C8217C"/>
    <w:rsid w:val="00C832F1"/>
    <w:rsid w:val="00C848F1"/>
    <w:rsid w:val="00C85CCE"/>
    <w:rsid w:val="00C86542"/>
    <w:rsid w:val="00C869F2"/>
    <w:rsid w:val="00C97BC5"/>
    <w:rsid w:val="00CA2896"/>
    <w:rsid w:val="00CA405A"/>
    <w:rsid w:val="00CA7D51"/>
    <w:rsid w:val="00CB29D5"/>
    <w:rsid w:val="00CB372A"/>
    <w:rsid w:val="00CB4FA4"/>
    <w:rsid w:val="00CB73C9"/>
    <w:rsid w:val="00CC1559"/>
    <w:rsid w:val="00CC1B43"/>
    <w:rsid w:val="00CD5024"/>
    <w:rsid w:val="00CD79B5"/>
    <w:rsid w:val="00CE2530"/>
    <w:rsid w:val="00CE54CB"/>
    <w:rsid w:val="00CE74A7"/>
    <w:rsid w:val="00CF280C"/>
    <w:rsid w:val="00CF413E"/>
    <w:rsid w:val="00D02A34"/>
    <w:rsid w:val="00D03024"/>
    <w:rsid w:val="00D121D4"/>
    <w:rsid w:val="00D1689B"/>
    <w:rsid w:val="00D31D0C"/>
    <w:rsid w:val="00D511B4"/>
    <w:rsid w:val="00D519D5"/>
    <w:rsid w:val="00D52F02"/>
    <w:rsid w:val="00D539F4"/>
    <w:rsid w:val="00D54188"/>
    <w:rsid w:val="00D54669"/>
    <w:rsid w:val="00D65080"/>
    <w:rsid w:val="00D66BD1"/>
    <w:rsid w:val="00D77371"/>
    <w:rsid w:val="00D77EBD"/>
    <w:rsid w:val="00D80728"/>
    <w:rsid w:val="00D82A8C"/>
    <w:rsid w:val="00D91E94"/>
    <w:rsid w:val="00D93225"/>
    <w:rsid w:val="00DA6203"/>
    <w:rsid w:val="00DD6968"/>
    <w:rsid w:val="00DE0790"/>
    <w:rsid w:val="00DE2F22"/>
    <w:rsid w:val="00DE7085"/>
    <w:rsid w:val="00DF2DB2"/>
    <w:rsid w:val="00DF565D"/>
    <w:rsid w:val="00DF63B6"/>
    <w:rsid w:val="00DF6FC2"/>
    <w:rsid w:val="00DF7E34"/>
    <w:rsid w:val="00E108DF"/>
    <w:rsid w:val="00E10958"/>
    <w:rsid w:val="00E11B29"/>
    <w:rsid w:val="00E11F08"/>
    <w:rsid w:val="00E13F09"/>
    <w:rsid w:val="00E204C1"/>
    <w:rsid w:val="00E229F0"/>
    <w:rsid w:val="00E22AF4"/>
    <w:rsid w:val="00E256C5"/>
    <w:rsid w:val="00E362EC"/>
    <w:rsid w:val="00E36F29"/>
    <w:rsid w:val="00E37EDA"/>
    <w:rsid w:val="00E44403"/>
    <w:rsid w:val="00E45650"/>
    <w:rsid w:val="00E471C2"/>
    <w:rsid w:val="00E60635"/>
    <w:rsid w:val="00E60FDE"/>
    <w:rsid w:val="00E7198B"/>
    <w:rsid w:val="00E761E5"/>
    <w:rsid w:val="00E82538"/>
    <w:rsid w:val="00E868E3"/>
    <w:rsid w:val="00EA01C0"/>
    <w:rsid w:val="00EA16D2"/>
    <w:rsid w:val="00EA2C22"/>
    <w:rsid w:val="00EA2E3C"/>
    <w:rsid w:val="00EA50CA"/>
    <w:rsid w:val="00EABE35"/>
    <w:rsid w:val="00EB3281"/>
    <w:rsid w:val="00EC1002"/>
    <w:rsid w:val="00ED79A3"/>
    <w:rsid w:val="00EE3356"/>
    <w:rsid w:val="00EE4F6B"/>
    <w:rsid w:val="00EE6156"/>
    <w:rsid w:val="00EF2026"/>
    <w:rsid w:val="00F00129"/>
    <w:rsid w:val="00F04365"/>
    <w:rsid w:val="00F04C95"/>
    <w:rsid w:val="00F118C9"/>
    <w:rsid w:val="00F11DD8"/>
    <w:rsid w:val="00F12081"/>
    <w:rsid w:val="00F1355C"/>
    <w:rsid w:val="00F16086"/>
    <w:rsid w:val="00F1641D"/>
    <w:rsid w:val="00F2283D"/>
    <w:rsid w:val="00F24E55"/>
    <w:rsid w:val="00F27DD5"/>
    <w:rsid w:val="00F33D20"/>
    <w:rsid w:val="00F353BF"/>
    <w:rsid w:val="00F37816"/>
    <w:rsid w:val="00F410A4"/>
    <w:rsid w:val="00F41EAE"/>
    <w:rsid w:val="00F451BA"/>
    <w:rsid w:val="00F536A0"/>
    <w:rsid w:val="00F53CE1"/>
    <w:rsid w:val="00F543E4"/>
    <w:rsid w:val="00F616AD"/>
    <w:rsid w:val="00F62D15"/>
    <w:rsid w:val="00F6487E"/>
    <w:rsid w:val="00F7126D"/>
    <w:rsid w:val="00F73A9B"/>
    <w:rsid w:val="00F775BD"/>
    <w:rsid w:val="00F7795D"/>
    <w:rsid w:val="00F816C8"/>
    <w:rsid w:val="00F8339C"/>
    <w:rsid w:val="00F84E09"/>
    <w:rsid w:val="00F855AD"/>
    <w:rsid w:val="00F87190"/>
    <w:rsid w:val="00F962FA"/>
    <w:rsid w:val="00FA187D"/>
    <w:rsid w:val="00FA4E4C"/>
    <w:rsid w:val="00FB0B03"/>
    <w:rsid w:val="00FB5E40"/>
    <w:rsid w:val="00FC1EBB"/>
    <w:rsid w:val="00FC47A4"/>
    <w:rsid w:val="00FD195B"/>
    <w:rsid w:val="00FD5F20"/>
    <w:rsid w:val="00FE33A0"/>
    <w:rsid w:val="00FE5E99"/>
    <w:rsid w:val="00FE6950"/>
    <w:rsid w:val="00FF0E8A"/>
    <w:rsid w:val="0107EE15"/>
    <w:rsid w:val="02B3A49D"/>
    <w:rsid w:val="033CB43F"/>
    <w:rsid w:val="07FF1E71"/>
    <w:rsid w:val="08E88679"/>
    <w:rsid w:val="090064E2"/>
    <w:rsid w:val="0A234709"/>
    <w:rsid w:val="0B52E475"/>
    <w:rsid w:val="12EA142C"/>
    <w:rsid w:val="150260E9"/>
    <w:rsid w:val="1950AA90"/>
    <w:rsid w:val="1A204276"/>
    <w:rsid w:val="1AF96C7B"/>
    <w:rsid w:val="1CCECB0A"/>
    <w:rsid w:val="21C926F5"/>
    <w:rsid w:val="22001D41"/>
    <w:rsid w:val="2271C5A0"/>
    <w:rsid w:val="23CF1242"/>
    <w:rsid w:val="23D1FDAE"/>
    <w:rsid w:val="2661627C"/>
    <w:rsid w:val="2726C0A6"/>
    <w:rsid w:val="29CBF16F"/>
    <w:rsid w:val="2C860666"/>
    <w:rsid w:val="2D75F488"/>
    <w:rsid w:val="2D9575D9"/>
    <w:rsid w:val="30AD954A"/>
    <w:rsid w:val="312F1455"/>
    <w:rsid w:val="316E7B9E"/>
    <w:rsid w:val="399B0C52"/>
    <w:rsid w:val="39F1EEA9"/>
    <w:rsid w:val="3B31A1DC"/>
    <w:rsid w:val="3CDD5DC6"/>
    <w:rsid w:val="3F6DBF1B"/>
    <w:rsid w:val="40028349"/>
    <w:rsid w:val="40A363BE"/>
    <w:rsid w:val="41A64BFB"/>
    <w:rsid w:val="4393D7D4"/>
    <w:rsid w:val="44F5FDB0"/>
    <w:rsid w:val="47B07C88"/>
    <w:rsid w:val="47C94D0C"/>
    <w:rsid w:val="4984C03B"/>
    <w:rsid w:val="4B5670C7"/>
    <w:rsid w:val="4E2C8DEB"/>
    <w:rsid w:val="50AA37AB"/>
    <w:rsid w:val="51252675"/>
    <w:rsid w:val="51BEF4B0"/>
    <w:rsid w:val="51FE19F3"/>
    <w:rsid w:val="532558BC"/>
    <w:rsid w:val="54452EFA"/>
    <w:rsid w:val="56EB31E7"/>
    <w:rsid w:val="599F0BE9"/>
    <w:rsid w:val="59BBAA13"/>
    <w:rsid w:val="5A6FB90D"/>
    <w:rsid w:val="5AEFD468"/>
    <w:rsid w:val="5EAC22D9"/>
    <w:rsid w:val="60BF27DA"/>
    <w:rsid w:val="61EE8792"/>
    <w:rsid w:val="63F5E923"/>
    <w:rsid w:val="6C1DBA8E"/>
    <w:rsid w:val="6CAF616A"/>
    <w:rsid w:val="6D538746"/>
    <w:rsid w:val="6F4365D1"/>
    <w:rsid w:val="701F4110"/>
    <w:rsid w:val="71D05AAD"/>
    <w:rsid w:val="7242F74B"/>
    <w:rsid w:val="75C054F3"/>
    <w:rsid w:val="7797215D"/>
    <w:rsid w:val="7914ECF5"/>
    <w:rsid w:val="7BD67B6E"/>
    <w:rsid w:val="7DF7D4C0"/>
    <w:rsid w:val="7E0C52BF"/>
    <w:rsid w:val="7E41EA6F"/>
    <w:rsid w:val="7EAF0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CF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rsid w:val="00387752"/>
    <w:pPr>
      <w:keepNext/>
      <w:numPr>
        <w:numId w:val="5"/>
      </w:numPr>
      <w:spacing w:before="120" w:after="120"/>
      <w:ind w:right="2160"/>
      <w:outlineLvl w:val="0"/>
    </w:pPr>
    <w:rPr>
      <w:rFonts w:ascii="Helvetica" w:hAnsi="Helvetica"/>
      <w:b/>
      <w:kern w:val="28"/>
    </w:rPr>
  </w:style>
  <w:style w:type="paragraph" w:styleId="Heading2">
    <w:name w:val="heading 2"/>
    <w:basedOn w:val="Normal"/>
    <w:next w:val="sub1"/>
    <w:qFormat/>
    <w:pPr>
      <w:keepNext/>
      <w:numPr>
        <w:ilvl w:val="1"/>
        <w:numId w:val="5"/>
      </w:numPr>
      <w:spacing w:before="120" w:after="120"/>
      <w:ind w:right="2520"/>
      <w:outlineLvl w:val="1"/>
    </w:pPr>
    <w:rPr>
      <w:rFonts w:ascii="Helvetica" w:hAnsi="Helvetica"/>
      <w:b/>
      <w:iCs/>
    </w:rPr>
  </w:style>
  <w:style w:type="paragraph" w:styleId="Heading3">
    <w:name w:val="heading 3"/>
    <w:basedOn w:val="Normal"/>
    <w:next w:val="sub2"/>
    <w:qFormat/>
    <w:pPr>
      <w:keepNext/>
      <w:numPr>
        <w:ilvl w:val="2"/>
        <w:numId w:val="5"/>
      </w:numPr>
      <w:spacing w:before="120" w:after="120"/>
      <w:ind w:right="2070"/>
      <w:outlineLvl w:val="2"/>
    </w:pPr>
    <w:rPr>
      <w:rFonts w:ascii="Helvetica" w:hAnsi="Helvetica"/>
      <w:b/>
    </w:rPr>
  </w:style>
  <w:style w:type="paragraph" w:styleId="Heading4">
    <w:name w:val="heading 4"/>
    <w:basedOn w:val="Normal"/>
    <w:next w:val="sub3"/>
    <w:qFormat/>
    <w:pPr>
      <w:keepNext/>
      <w:numPr>
        <w:ilvl w:val="3"/>
        <w:numId w:val="5"/>
      </w:numPr>
      <w:spacing w:before="120" w:after="60"/>
      <w:outlineLvl w:val="3"/>
    </w:pPr>
    <w:rPr>
      <w:rFonts w:ascii="Helvetica" w:hAnsi="Helvetica"/>
      <w:b/>
      <w:iCs/>
    </w:rPr>
  </w:style>
  <w:style w:type="paragraph" w:styleId="Heading5">
    <w:name w:val="heading 5"/>
    <w:basedOn w:val="Normal"/>
    <w:next w:val="sub4"/>
    <w:qFormat/>
    <w:pPr>
      <w:numPr>
        <w:ilvl w:val="4"/>
        <w:numId w:val="5"/>
      </w:numPr>
      <w:spacing w:before="120" w:after="120"/>
      <w:outlineLvl w:val="4"/>
    </w:pPr>
    <w:rPr>
      <w:rFonts w:ascii="Helvetica" w:hAnsi="Helvetica"/>
      <w:b/>
    </w:rPr>
  </w:style>
  <w:style w:type="paragraph" w:styleId="Heading6">
    <w:name w:val="heading 6"/>
    <w:basedOn w:val="Normal"/>
    <w:next w:val="sub5"/>
    <w:qFormat/>
    <w:pPr>
      <w:numPr>
        <w:ilvl w:val="5"/>
        <w:numId w:val="5"/>
      </w:numPr>
      <w:spacing w:before="120" w:after="120"/>
      <w:outlineLvl w:val="5"/>
    </w:pPr>
    <w:rPr>
      <w:rFonts w:ascii="Helvetica" w:hAnsi="Helvetica"/>
      <w:b/>
      <w:bCs/>
      <w:szCs w:val="22"/>
    </w:rPr>
  </w:style>
  <w:style w:type="paragraph" w:styleId="Heading7">
    <w:name w:val="heading 7"/>
    <w:basedOn w:val="Normal"/>
    <w:next w:val="sub6"/>
    <w:qFormat/>
    <w:pPr>
      <w:numPr>
        <w:ilvl w:val="6"/>
        <w:numId w:val="5"/>
      </w:numPr>
      <w:spacing w:before="120" w:after="120"/>
      <w:outlineLvl w:val="6"/>
    </w:pPr>
    <w:rPr>
      <w:rFonts w:ascii="Helvetica" w:hAnsi="Helvetica"/>
      <w:b/>
      <w:szCs w:val="24"/>
    </w:rPr>
  </w:style>
  <w:style w:type="paragraph" w:styleId="Heading8">
    <w:name w:val="heading 8"/>
    <w:basedOn w:val="Normal"/>
    <w:next w:val="sub7"/>
    <w:qFormat/>
    <w:pPr>
      <w:numPr>
        <w:ilvl w:val="7"/>
        <w:numId w:val="5"/>
      </w:numPr>
      <w:spacing w:before="120" w:after="120"/>
      <w:outlineLvl w:val="7"/>
    </w:pPr>
    <w:rPr>
      <w:rFonts w:ascii="Helvetica" w:hAnsi="Helvetica"/>
      <w:b/>
      <w:iCs/>
      <w:sz w:val="24"/>
      <w:szCs w:val="24"/>
    </w:rPr>
  </w:style>
  <w:style w:type="paragraph" w:styleId="Heading9">
    <w:name w:val="heading 9"/>
    <w:basedOn w:val="Normal"/>
    <w:next w:val="Normal"/>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Footnote Text Char2 Char,Footnote Text Char1 Char Char,Footnote Text Char Char Char Char,Footnote Text Char2 Char Char Char Char,Footnote Text Char1 Char1 Char1 Char Char Char"/>
    <w:basedOn w:val="Normal"/>
    <w:uiPriority w:val="99"/>
    <w:pPr>
      <w:spacing w:after="240"/>
    </w:pPr>
    <w:rPr>
      <w:sz w:val="24"/>
    </w:rPr>
  </w:style>
  <w:style w:type="character" w:styleId="FootnoteReference">
    <w:name w:val="footnote reference"/>
    <w:uiPriority w:val="99"/>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pPr>
      <w:widowControl w:val="0"/>
      <w:tabs>
        <w:tab w:val="center" w:pos="4320"/>
        <w:tab w:val="right" w:pos="8640"/>
      </w:tabs>
    </w:pPr>
  </w:style>
  <w:style w:type="paragraph" w:customStyle="1" w:styleId="num2">
    <w:name w:val="num2"/>
    <w:basedOn w:val="num1"/>
    <w:pPr>
      <w:numPr>
        <w:numId w:val="4"/>
      </w:num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semiHidden/>
    <w:pPr>
      <w:tabs>
        <w:tab w:val="left" w:pos="520"/>
        <w:tab w:val="left" w:pos="1080"/>
        <w:tab w:val="right" w:leader="dot" w:pos="9350"/>
      </w:tabs>
      <w:ind w:left="90"/>
    </w:pPr>
    <w:rPr>
      <w:noProof/>
      <w:szCs w:val="26"/>
    </w:rPr>
  </w:style>
  <w:style w:type="paragraph" w:styleId="TOC2">
    <w:name w:val="toc 2"/>
    <w:basedOn w:val="Normal"/>
    <w:next w:val="Normal"/>
    <w:autoRedefine/>
    <w:semiHidden/>
    <w:pPr>
      <w:tabs>
        <w:tab w:val="left" w:pos="1080"/>
        <w:tab w:val="right" w:leader="dot" w:pos="9350"/>
      </w:tabs>
      <w:ind w:left="1080" w:hanging="450"/>
    </w:pPr>
    <w:rPr>
      <w:noProof/>
      <w:szCs w:val="26"/>
    </w:rPr>
  </w:style>
  <w:style w:type="paragraph" w:styleId="TOC3">
    <w:name w:val="toc 3"/>
    <w:basedOn w:val="Normal"/>
    <w:next w:val="Normal"/>
    <w:autoRedefine/>
    <w:semiHidden/>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3"/>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sid w:val="00413448"/>
    <w:rPr>
      <w:rFonts w:ascii="Palatino" w:hAnsi="Palatino"/>
      <w:sz w:val="26"/>
      <w:lang w:val="en-US" w:eastAsia="en-US" w:bidi="ar-SA"/>
    </w:rPr>
  </w:style>
  <w:style w:type="paragraph" w:customStyle="1" w:styleId="Style1">
    <w:name w:val="Style1"/>
    <w:basedOn w:val="Heading7"/>
    <w:next w:val="sub6"/>
  </w:style>
  <w:style w:type="table" w:styleId="TableGrid">
    <w:name w:val="Table Grid"/>
    <w:basedOn w:val="TableNormal"/>
    <w:rsid w:val="0041344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4041"/>
    <w:rPr>
      <w:rFonts w:ascii="Palatino" w:hAnsi="Palatino"/>
      <w:sz w:val="26"/>
    </w:rPr>
  </w:style>
  <w:style w:type="paragraph" w:styleId="BalloonText">
    <w:name w:val="Balloon Text"/>
    <w:basedOn w:val="Normal"/>
    <w:link w:val="BalloonTextChar"/>
    <w:rsid w:val="00744597"/>
    <w:rPr>
      <w:rFonts w:ascii="Tahoma" w:hAnsi="Tahoma" w:cs="Tahoma"/>
      <w:sz w:val="16"/>
      <w:szCs w:val="16"/>
    </w:rPr>
  </w:style>
  <w:style w:type="character" w:customStyle="1" w:styleId="BalloonTextChar">
    <w:name w:val="Balloon Text Char"/>
    <w:link w:val="BalloonText"/>
    <w:rsid w:val="00744597"/>
    <w:rPr>
      <w:rFonts w:ascii="Tahoma" w:hAnsi="Tahoma" w:cs="Tahoma"/>
      <w:sz w:val="16"/>
      <w:szCs w:val="16"/>
    </w:rPr>
  </w:style>
  <w:style w:type="character" w:styleId="CommentReference">
    <w:name w:val="annotation reference"/>
    <w:rsid w:val="004A770D"/>
    <w:rPr>
      <w:sz w:val="16"/>
      <w:szCs w:val="16"/>
    </w:rPr>
  </w:style>
  <w:style w:type="paragraph" w:styleId="CommentText">
    <w:name w:val="annotation text"/>
    <w:basedOn w:val="Normal"/>
    <w:link w:val="CommentTextChar"/>
    <w:rsid w:val="004A770D"/>
    <w:rPr>
      <w:sz w:val="20"/>
    </w:rPr>
  </w:style>
  <w:style w:type="character" w:customStyle="1" w:styleId="CommentTextChar">
    <w:name w:val="Comment Text Char"/>
    <w:link w:val="CommentText"/>
    <w:rsid w:val="004A770D"/>
    <w:rPr>
      <w:rFonts w:ascii="Palatino" w:hAnsi="Palatino"/>
    </w:rPr>
  </w:style>
  <w:style w:type="paragraph" w:styleId="CommentSubject">
    <w:name w:val="annotation subject"/>
    <w:basedOn w:val="CommentText"/>
    <w:next w:val="CommentText"/>
    <w:link w:val="CommentSubjectChar"/>
    <w:rsid w:val="004A770D"/>
    <w:rPr>
      <w:b/>
      <w:bCs/>
    </w:rPr>
  </w:style>
  <w:style w:type="character" w:customStyle="1" w:styleId="CommentSubjectChar">
    <w:name w:val="Comment Subject Char"/>
    <w:link w:val="CommentSubject"/>
    <w:rsid w:val="004A770D"/>
    <w:rPr>
      <w:rFonts w:ascii="Palatino" w:hAnsi="Palatino"/>
      <w:b/>
      <w:bCs/>
    </w:rPr>
  </w:style>
  <w:style w:type="paragraph" w:styleId="Revision">
    <w:name w:val="Revision"/>
    <w:hidden/>
    <w:uiPriority w:val="99"/>
    <w:semiHidden/>
    <w:rsid w:val="004A770D"/>
    <w:rPr>
      <w:rFonts w:ascii="Palatino" w:hAnsi="Palatino"/>
      <w:sz w:val="26"/>
    </w:rPr>
  </w:style>
  <w:style w:type="paragraph" w:styleId="ListParagraph">
    <w:name w:val="List Paragraph"/>
    <w:basedOn w:val="Normal"/>
    <w:uiPriority w:val="34"/>
    <w:qFormat/>
    <w:rsid w:val="008F1DB1"/>
    <w:pPr>
      <w:ind w:left="720"/>
    </w:pPr>
  </w:style>
  <w:style w:type="paragraph" w:customStyle="1" w:styleId="Standard0">
    <w:name w:val="Standard"/>
    <w:basedOn w:val="Normal"/>
    <w:qFormat/>
    <w:rsid w:val="008A47C4"/>
    <w:pPr>
      <w:spacing w:line="360" w:lineRule="auto"/>
      <w:ind w:firstLine="720"/>
    </w:pPr>
    <w:rPr>
      <w:rFonts w:ascii="Book Antiqua" w:eastAsia="Calibri" w:hAnsi="Book Antiqua"/>
      <w:szCs w:val="22"/>
    </w:rPr>
  </w:style>
  <w:style w:type="numbering" w:customStyle="1" w:styleId="FoFCoLOP">
    <w:name w:val="FoF/CoL/OP"/>
    <w:uiPriority w:val="99"/>
    <w:rsid w:val="00426DA0"/>
    <w:pPr>
      <w:numPr>
        <w:numId w:val="23"/>
      </w:numPr>
    </w:pPr>
  </w:style>
  <w:style w:type="paragraph" w:customStyle="1" w:styleId="OP">
    <w:name w:val="OP"/>
    <w:basedOn w:val="Standard0"/>
    <w:uiPriority w:val="8"/>
    <w:qFormat/>
    <w:rsid w:val="00F1641D"/>
    <w:pPr>
      <w:numPr>
        <w:numId w:val="9"/>
      </w:numPr>
      <w:tabs>
        <w:tab w:val="clear" w:pos="1755"/>
      </w:tabs>
      <w:ind w:left="0" w:firstLine="270"/>
    </w:pPr>
  </w:style>
  <w:style w:type="paragraph" w:styleId="Quote">
    <w:name w:val="Quote"/>
    <w:basedOn w:val="Normal"/>
    <w:next w:val="Normal"/>
    <w:link w:val="QuoteChar"/>
    <w:uiPriority w:val="29"/>
    <w:qFormat/>
    <w:rsid w:val="004E0F6A"/>
    <w:pPr>
      <w:spacing w:before="200" w:after="160"/>
      <w:ind w:left="864" w:right="864"/>
      <w:jc w:val="center"/>
    </w:pPr>
    <w:rPr>
      <w:i/>
      <w:iCs/>
      <w:color w:val="404040"/>
    </w:rPr>
  </w:style>
  <w:style w:type="character" w:customStyle="1" w:styleId="QuoteChar">
    <w:name w:val="Quote Char"/>
    <w:link w:val="Quote"/>
    <w:uiPriority w:val="29"/>
    <w:rsid w:val="004E0F6A"/>
    <w:rPr>
      <w:rFonts w:ascii="Palatino" w:hAnsi="Palatino"/>
      <w:i/>
      <w:iCs/>
      <w:color w:val="404040"/>
      <w:sz w:val="26"/>
    </w:rPr>
  </w:style>
  <w:style w:type="character" w:styleId="Mention">
    <w:name w:val="Mention"/>
    <w:uiPriority w:val="99"/>
    <w:unhideWhenUsed/>
    <w:rsid w:val="00C97BC5"/>
    <w:rPr>
      <w:color w:val="2B579A"/>
      <w:shd w:val="clear" w:color="auto" w:fill="E1DFDD"/>
    </w:rPr>
  </w:style>
  <w:style w:type="paragraph" w:customStyle="1" w:styleId="StyleHeading1Before0pt">
    <w:name w:val="Style Heading 1 + Before:  0 pt"/>
    <w:basedOn w:val="Heading1"/>
    <w:rsid w:val="00387752"/>
    <w:pPr>
      <w:spacing w:before="0"/>
    </w:pPr>
    <w:rPr>
      <w:bCs/>
    </w:rPr>
  </w:style>
  <w:style w:type="paragraph" w:customStyle="1" w:styleId="Dummy0">
    <w:name w:val="Dummy"/>
    <w:next w:val="Normal"/>
    <w:uiPriority w:val="19"/>
    <w:rsid w:val="00387752"/>
    <w:pPr>
      <w:keepNext/>
      <w:keepLines/>
      <w:spacing w:after="120"/>
      <w:outlineLvl w:val="0"/>
    </w:pPr>
    <w:rPr>
      <w:rFonts w:ascii="Arial" w:eastAsiaTheme="minorHAnsi" w:hAnsi="Arial" w:cs="Arial"/>
      <w:b/>
      <w:sz w:val="26"/>
      <w:szCs w:val="26"/>
    </w:rPr>
  </w:style>
  <w:style w:type="paragraph" w:customStyle="1" w:styleId="Mainex0">
    <w:name w:val="Mainex"/>
    <w:basedOn w:val="main"/>
    <w:next w:val="Normal"/>
    <w:uiPriority w:val="19"/>
    <w:rsid w:val="00387752"/>
    <w:pPr>
      <w:keepNext/>
      <w:spacing w:line="360" w:lineRule="auto"/>
      <w:outlineLvl w:val="0"/>
    </w:pPr>
    <w:rPr>
      <w:rFonts w:ascii="Arial" w:eastAsiaTheme="majorEastAsia" w:hAnsi="Arial" w:cstheme="majorBidi"/>
      <w:caps/>
      <w:spacing w:val="120"/>
      <w:szCs w:val="56"/>
    </w:rPr>
  </w:style>
  <w:style w:type="paragraph" w:customStyle="1" w:styleId="StyleHeading1Before0pt1">
    <w:name w:val="Style Heading 1 + Before:  0 pt1"/>
    <w:basedOn w:val="Heading1"/>
    <w:rsid w:val="00C326DD"/>
    <w:pPr>
      <w:spacing w:before="0"/>
    </w:pPr>
    <w:rPr>
      <w:bCs/>
    </w:rPr>
  </w:style>
  <w:style w:type="paragraph" w:customStyle="1" w:styleId="BlockQuote">
    <w:name w:val="Block Quote"/>
    <w:basedOn w:val="Standard0"/>
    <w:uiPriority w:val="5"/>
    <w:qFormat/>
    <w:rsid w:val="00C326DD"/>
    <w:pPr>
      <w:spacing w:after="120" w:line="240" w:lineRule="auto"/>
      <w:ind w:left="720" w:right="720" w:firstLine="0"/>
    </w:pPr>
    <w:rPr>
      <w:rFonts w:eastAsiaTheme="minorHAnsi" w:cstheme="minorBidi"/>
    </w:rPr>
  </w:style>
  <w:style w:type="character" w:styleId="UnresolvedMention">
    <w:name w:val="Unresolved Mention"/>
    <w:basedOn w:val="DefaultParagraphFont"/>
    <w:uiPriority w:val="99"/>
    <w:semiHidden/>
    <w:unhideWhenUsed/>
    <w:rsid w:val="00E11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2202">
      <w:bodyDiv w:val="1"/>
      <w:marLeft w:val="0"/>
      <w:marRight w:val="0"/>
      <w:marTop w:val="0"/>
      <w:marBottom w:val="0"/>
      <w:divBdr>
        <w:top w:val="none" w:sz="0" w:space="0" w:color="auto"/>
        <w:left w:val="none" w:sz="0" w:space="0" w:color="auto"/>
        <w:bottom w:val="none" w:sz="0" w:space="0" w:color="auto"/>
        <w:right w:val="none" w:sz="0" w:space="0" w:color="auto"/>
      </w:divBdr>
    </w:div>
    <w:div w:id="431828973">
      <w:bodyDiv w:val="1"/>
      <w:marLeft w:val="0"/>
      <w:marRight w:val="0"/>
      <w:marTop w:val="0"/>
      <w:marBottom w:val="0"/>
      <w:divBdr>
        <w:top w:val="none" w:sz="0" w:space="0" w:color="auto"/>
        <w:left w:val="none" w:sz="0" w:space="0" w:color="auto"/>
        <w:bottom w:val="none" w:sz="0" w:space="0" w:color="auto"/>
        <w:right w:val="none" w:sz="0" w:space="0" w:color="auto"/>
      </w:divBdr>
    </w:div>
    <w:div w:id="596867185">
      <w:bodyDiv w:val="1"/>
      <w:marLeft w:val="0"/>
      <w:marRight w:val="0"/>
      <w:marTop w:val="0"/>
      <w:marBottom w:val="0"/>
      <w:divBdr>
        <w:top w:val="none" w:sz="0" w:space="0" w:color="auto"/>
        <w:left w:val="none" w:sz="0" w:space="0" w:color="auto"/>
        <w:bottom w:val="none" w:sz="0" w:space="0" w:color="auto"/>
        <w:right w:val="none" w:sz="0" w:space="0" w:color="auto"/>
      </w:divBdr>
    </w:div>
    <w:div w:id="1629823140">
      <w:bodyDiv w:val="1"/>
      <w:marLeft w:val="0"/>
      <w:marRight w:val="0"/>
      <w:marTop w:val="0"/>
      <w:marBottom w:val="0"/>
      <w:divBdr>
        <w:top w:val="none" w:sz="0" w:space="0" w:color="auto"/>
        <w:left w:val="none" w:sz="0" w:space="0" w:color="auto"/>
        <w:bottom w:val="none" w:sz="0" w:space="0" w:color="auto"/>
        <w:right w:val="none" w:sz="0" w:space="0" w:color="auto"/>
      </w:divBdr>
    </w:div>
    <w:div w:id="21107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public.advisor@cpuc.ca.gov"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cpuc.ca.gov" TargetMode="Externa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yperlink" Target="mailto:ALJ_Process@cpuc.ca.gov" TargetMode="Externa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2.xml" Id="rId14" /><Relationship Type="http://schemas.openxmlformats.org/officeDocument/2006/relationships/hyperlink" Target="http://docs.cpuc.ca.gov/PublishedDocs/Published/G000/M509/K545/509545483.pdf" TargetMode="External" Id="R511bb368aad34cb2" /><Relationship Type="http://schemas.openxmlformats.org/officeDocument/2006/relationships/hyperlink" Target="http://docs.cpuc.ca.gov/PublishedDocs/Published/G000/M509/K545/509545163.pdf" TargetMode="External" Id="R133c86dd214d42e5" /><Relationship Type="http://schemas.openxmlformats.org/officeDocument/2006/relationships/hyperlink" Target="http://docs.cpuc.ca.gov/PublishedDocs/Published/G000/M509/K545/509545484.docx" TargetMode="External" Id="Rbe04bb0765864e29" /><Relationship Type="http://schemas.openxmlformats.org/officeDocument/2006/relationships/hyperlink" Target="http://docs.cpuc.ca.gov/PublishedDocs/Published/G000/M509/K545/509545043.docx" TargetMode="External" Id="Ref0dcd481eef4e19" /></Relationships>
</file>

<file path=word/_rels/footnotes.xml.rels><?xml version="1.0" encoding="UTF-8" standalone="yes"?>
<Relationships xmlns="http://schemas.openxmlformats.org/package/2006/relationships"><Relationship Id="rId1" Type="http://schemas.openxmlformats.org/officeDocument/2006/relationships/hyperlink" Target="https://www.ferc.gov/electric-transmission/order-no-1000-transmission-planning-and-cost-allo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6EFF4-F40E-4908-B5B9-E6E403B7170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17</ap:Pages>
  <ap:Words>2809</ap:Words>
  <ap:Characters>15965</ap:Characters>
  <ap:Application>Microsoft Office Word</ap:Application>
  <ap:DocSecurity>0</ap:DocSecurity>
  <ap:Lines>133</ap:Lines>
  <ap:Paragraphs>37</ap:Paragraphs>
  <ap:ScaleCrop>false</ap:ScaleCrop>
  <ap:HeadingPairs>
    <vt:vector baseType="variant" size="2">
      <vt:variant>
        <vt:lpstr>Title</vt:lpstr>
      </vt:variant>
      <vt:variant>
        <vt:i4>1</vt:i4>
      </vt:variant>
    </vt:vector>
  </ap:HeadingPairs>
  <ap:TitlesOfParts>
    <vt:vector baseType="lpstr" size="1">
      <vt:lpstr>Order Instituting Rulemaking</vt:lpstr>
    </vt:vector>
  </ap:TitlesOfParts>
  <ap:LinksUpToDate>false</ap:LinksUpToDate>
  <ap:CharactersWithSpaces>18737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2006-05-26T19:50:00Z</cp:lastPrinted>
  <dcterms:created xsi:type="dcterms:W3CDTF">2023-05-23T12:30:19Z</dcterms:created>
  <dcterms:modified xsi:type="dcterms:W3CDTF">2023-05-23T12:30:19Z</dcterms:modified>
</cp:coreProperties>
</file>