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DDC" w:rsidP="002834C2" w:rsidRDefault="00544DDC" w14:paraId="3F108867" w14:textId="77777777">
      <w:pPr>
        <w:rPr>
          <w:rFonts w:ascii="Palatino Linotype" w:hAnsi="Palatino Linotype"/>
          <w:b/>
          <w:sz w:val="24"/>
        </w:rPr>
      </w:pPr>
    </w:p>
    <w:p w:rsidR="008F541E" w:rsidP="00A31A9E" w:rsidRDefault="008F541E" w14:paraId="784DAABC" w14:textId="77777777">
      <w:pPr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PUBLIC UTILITIES COMMISSION OF THE STATE OF CALIFORNIA</w:t>
      </w:r>
    </w:p>
    <w:p w:rsidR="008F541E" w:rsidP="008F541E" w:rsidRDefault="008F541E" w14:paraId="569BEDE6" w14:textId="77777777">
      <w:pPr>
        <w:rPr>
          <w:rFonts w:ascii="Palatino Linotype" w:hAnsi="Palatino Linotype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8"/>
        <w:gridCol w:w="4380"/>
      </w:tblGrid>
      <w:tr w:rsidR="008F541E" w:rsidTr="002C7A22" w14:paraId="40F0CC5E" w14:textId="77777777">
        <w:tc>
          <w:tcPr>
            <w:tcW w:w="5028" w:type="dxa"/>
          </w:tcPr>
          <w:p w:rsidR="008F541E" w:rsidP="002C7A22" w:rsidRDefault="008F541E" w14:paraId="37027748" w14:textId="77777777">
            <w:pPr>
              <w:rPr>
                <w:rFonts w:ascii="Palatino Linotype" w:hAnsi="Palatino Linotype"/>
                <w:b/>
                <w:sz w:val="24"/>
                <w:lang w:val="fr-FR"/>
              </w:rPr>
            </w:pPr>
            <w:r>
              <w:rPr>
                <w:rFonts w:ascii="Palatino Linotype" w:hAnsi="Palatino Linotype"/>
                <w:b/>
                <w:sz w:val="24"/>
              </w:rPr>
              <w:t>Communications</w:t>
            </w:r>
            <w:r>
              <w:rPr>
                <w:rFonts w:ascii="Palatino Linotype" w:hAnsi="Palatino Linotype"/>
                <w:b/>
                <w:sz w:val="24"/>
                <w:lang w:val="fr-FR"/>
              </w:rPr>
              <w:t xml:space="preserve"> Division</w:t>
            </w:r>
          </w:p>
        </w:tc>
        <w:tc>
          <w:tcPr>
            <w:tcW w:w="4380" w:type="dxa"/>
          </w:tcPr>
          <w:p w:rsidR="008F541E" w:rsidP="005E6326" w:rsidRDefault="003F66FD" w14:paraId="74A6E01E" w14:textId="42D67ED9">
            <w:pPr>
              <w:pStyle w:val="Heading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RESOLUTION T-</w:t>
            </w:r>
            <w:r w:rsidR="00645F34">
              <w:rPr>
                <w:rFonts w:ascii="Palatino Linotype" w:hAnsi="Palatino Linotype"/>
                <w:lang w:val="fr-FR"/>
              </w:rPr>
              <w:t>17783</w:t>
            </w:r>
          </w:p>
        </w:tc>
      </w:tr>
      <w:tr w:rsidR="008F541E" w:rsidTr="002C7A22" w14:paraId="195BFE4F" w14:textId="77777777">
        <w:tc>
          <w:tcPr>
            <w:tcW w:w="5028" w:type="dxa"/>
          </w:tcPr>
          <w:p w:rsidR="008F541E" w:rsidP="002B10B9" w:rsidRDefault="008F541E" w14:paraId="70DD1A85" w14:textId="77777777">
            <w:pPr>
              <w:pStyle w:val="Heading2"/>
              <w:rPr>
                <w:rFonts w:ascii="Palatino Linotype" w:hAnsi="Palatino Linotype"/>
                <w:b w:val="0"/>
                <w:u w:val="none"/>
              </w:rPr>
            </w:pPr>
            <w:r>
              <w:rPr>
                <w:rFonts w:ascii="Palatino Linotype" w:hAnsi="Palatino Linotype"/>
                <w:u w:val="none"/>
              </w:rPr>
              <w:t>Broadband</w:t>
            </w:r>
            <w:r w:rsidR="002B10B9">
              <w:rPr>
                <w:rFonts w:ascii="Palatino Linotype" w:hAnsi="Palatino Linotype"/>
                <w:u w:val="none"/>
              </w:rPr>
              <w:t>,</w:t>
            </w:r>
            <w:r>
              <w:rPr>
                <w:rFonts w:ascii="Palatino Linotype" w:hAnsi="Palatino Linotype"/>
                <w:u w:val="none"/>
              </w:rPr>
              <w:t xml:space="preserve"> </w:t>
            </w:r>
            <w:r w:rsidR="002B10B9">
              <w:rPr>
                <w:rFonts w:ascii="Palatino Linotype" w:hAnsi="Palatino Linotype"/>
                <w:u w:val="none"/>
              </w:rPr>
              <w:t>Video</w:t>
            </w:r>
            <w:r>
              <w:rPr>
                <w:rFonts w:ascii="Palatino Linotype" w:hAnsi="Palatino Linotype"/>
                <w:u w:val="none"/>
              </w:rPr>
              <w:t xml:space="preserve"> and </w:t>
            </w:r>
            <w:r w:rsidR="002B10B9">
              <w:rPr>
                <w:rFonts w:ascii="Palatino Linotype" w:hAnsi="Palatino Linotype"/>
                <w:u w:val="none"/>
              </w:rPr>
              <w:t>Market</w:t>
            </w:r>
            <w:r>
              <w:rPr>
                <w:rFonts w:ascii="Palatino Linotype" w:hAnsi="Palatino Linotype"/>
                <w:u w:val="none"/>
              </w:rPr>
              <w:t xml:space="preserve"> Branch</w:t>
            </w:r>
          </w:p>
        </w:tc>
        <w:tc>
          <w:tcPr>
            <w:tcW w:w="4380" w:type="dxa"/>
          </w:tcPr>
          <w:p w:rsidR="008F541E" w:rsidP="00A21284" w:rsidRDefault="00B519C8" w14:paraId="6D4F617E" w14:textId="07483B32">
            <w:pPr>
              <w:jc w:val="right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May 18</w:t>
            </w:r>
            <w:r w:rsidR="008F541E">
              <w:rPr>
                <w:rFonts w:ascii="Palatino Linotype" w:hAnsi="Palatino Linotype"/>
                <w:b/>
                <w:sz w:val="24"/>
              </w:rPr>
              <w:t>, 20</w:t>
            </w:r>
            <w:r w:rsidR="00490E33">
              <w:rPr>
                <w:rFonts w:ascii="Palatino Linotype" w:hAnsi="Palatino Linotype"/>
                <w:b/>
                <w:sz w:val="24"/>
              </w:rPr>
              <w:t>2</w:t>
            </w:r>
            <w:r w:rsidR="00F82720">
              <w:rPr>
                <w:rFonts w:ascii="Palatino Linotype" w:hAnsi="Palatino Linotype"/>
                <w:b/>
                <w:sz w:val="24"/>
              </w:rPr>
              <w:t>3</w:t>
            </w:r>
          </w:p>
        </w:tc>
      </w:tr>
    </w:tbl>
    <w:p w:rsidR="008F541E" w:rsidP="008F541E" w:rsidRDefault="008F541E" w14:paraId="7937E6F3" w14:textId="77777777">
      <w:pPr>
        <w:rPr>
          <w:rFonts w:ascii="Palatino Linotype" w:hAnsi="Palatino Linotype"/>
          <w:b/>
          <w:sz w:val="24"/>
        </w:rPr>
      </w:pPr>
    </w:p>
    <w:p w:rsidR="008F541E" w:rsidP="008F541E" w:rsidRDefault="008F541E" w14:paraId="70A3F8B4" w14:textId="77777777">
      <w:pPr>
        <w:rPr>
          <w:rFonts w:ascii="Palatino Linotype" w:hAnsi="Palatino Linotype"/>
          <w:sz w:val="24"/>
        </w:rPr>
      </w:pPr>
    </w:p>
    <w:p w:rsidR="008F541E" w:rsidP="00A31A9E" w:rsidRDefault="008F541E" w14:paraId="5D88F81E" w14:textId="77777777">
      <w:pPr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24"/>
          <w:u w:val="single"/>
        </w:rPr>
        <w:t>R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E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S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O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L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U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T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I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O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N</w:t>
      </w:r>
    </w:p>
    <w:p w:rsidR="008F541E" w:rsidP="008F541E" w:rsidRDefault="008F541E" w14:paraId="6AA371EF" w14:textId="77777777">
      <w:pPr>
        <w:rPr>
          <w:rFonts w:ascii="Palatino Linotype" w:hAnsi="Palatino Linotype"/>
          <w:sz w:val="24"/>
        </w:rPr>
      </w:pPr>
    </w:p>
    <w:p w:rsidR="007251DD" w:rsidP="008F541E" w:rsidRDefault="003F66FD" w14:paraId="4AF2DC02" w14:textId="5395BBDE">
      <w:pPr>
        <w:pStyle w:val="BlockText"/>
        <w:rPr>
          <w:rFonts w:ascii="Palatino Linotype" w:hAnsi="Palatino Linotype"/>
        </w:rPr>
      </w:pPr>
      <w:r w:rsidRPr="00761691">
        <w:rPr>
          <w:rFonts w:ascii="Palatino Linotype" w:hAnsi="Palatino Linotype"/>
          <w:b/>
          <w:bCs/>
        </w:rPr>
        <w:t>Resolution T-</w:t>
      </w:r>
      <w:r w:rsidR="00645F34">
        <w:rPr>
          <w:rFonts w:ascii="Palatino Linotype" w:hAnsi="Palatino Linotype"/>
          <w:b/>
          <w:bCs/>
        </w:rPr>
        <w:t>17783</w:t>
      </w:r>
      <w:r w:rsidR="008F541E">
        <w:rPr>
          <w:rFonts w:ascii="Palatino Linotype" w:hAnsi="Palatino Linotype"/>
        </w:rPr>
        <w:t xml:space="preserve"> </w:t>
      </w:r>
      <w:r w:rsidR="007251DD">
        <w:rPr>
          <w:rFonts w:ascii="Palatino Linotype" w:hAnsi="Palatino Linotype"/>
        </w:rPr>
        <w:t xml:space="preserve">Adopting </w:t>
      </w:r>
      <w:r w:rsidR="001C1ED3">
        <w:rPr>
          <w:rFonts w:ascii="Palatino Linotype" w:hAnsi="Palatino Linotype"/>
        </w:rPr>
        <w:t>A</w:t>
      </w:r>
      <w:r w:rsidR="007251DD">
        <w:rPr>
          <w:rFonts w:ascii="Palatino Linotype" w:hAnsi="Palatino Linotype"/>
        </w:rPr>
        <w:t xml:space="preserve">nnual </w:t>
      </w:r>
      <w:r w:rsidR="001C1ED3">
        <w:rPr>
          <w:rFonts w:ascii="Palatino Linotype" w:hAnsi="Palatino Linotype"/>
        </w:rPr>
        <w:t>F</w:t>
      </w:r>
      <w:r w:rsidR="007251DD">
        <w:rPr>
          <w:rFonts w:ascii="Palatino Linotype" w:hAnsi="Palatino Linotype"/>
        </w:rPr>
        <w:t xml:space="preserve">ee to </w:t>
      </w:r>
      <w:r w:rsidR="001C1ED3">
        <w:rPr>
          <w:rFonts w:ascii="Palatino Linotype" w:hAnsi="Palatino Linotype"/>
        </w:rPr>
        <w:t>I</w:t>
      </w:r>
      <w:r w:rsidR="007251DD">
        <w:rPr>
          <w:rFonts w:ascii="Palatino Linotype" w:hAnsi="Palatino Linotype"/>
        </w:rPr>
        <w:t>mplement the Digital Infrastructure and Video Competition Act</w:t>
      </w:r>
      <w:r w:rsidR="003B5A4E">
        <w:rPr>
          <w:rFonts w:ascii="Palatino Linotype" w:hAnsi="Palatino Linotype"/>
        </w:rPr>
        <w:t xml:space="preserve"> (DIVCA) for Fiscal Year </w:t>
      </w:r>
      <w:r w:rsidR="003A2DC4">
        <w:rPr>
          <w:rFonts w:ascii="Palatino Linotype" w:hAnsi="Palatino Linotype"/>
        </w:rPr>
        <w:br/>
      </w:r>
      <w:r w:rsidR="003B5A4E">
        <w:rPr>
          <w:rFonts w:ascii="Palatino Linotype" w:hAnsi="Palatino Linotype"/>
        </w:rPr>
        <w:t>20</w:t>
      </w:r>
      <w:r w:rsidR="00A06042">
        <w:rPr>
          <w:rFonts w:ascii="Palatino Linotype" w:hAnsi="Palatino Linotype"/>
        </w:rPr>
        <w:t>2</w:t>
      </w:r>
      <w:r w:rsidR="00F82720">
        <w:rPr>
          <w:rFonts w:ascii="Palatino Linotype" w:hAnsi="Palatino Linotype"/>
        </w:rPr>
        <w:t>2</w:t>
      </w:r>
      <w:r w:rsidR="003B5A4E">
        <w:rPr>
          <w:rFonts w:ascii="Palatino Linotype" w:hAnsi="Palatino Linotype"/>
        </w:rPr>
        <w:t>-202</w:t>
      </w:r>
      <w:r w:rsidR="00F82720">
        <w:rPr>
          <w:rFonts w:ascii="Palatino Linotype" w:hAnsi="Palatino Linotype"/>
        </w:rPr>
        <w:t>3</w:t>
      </w:r>
      <w:r w:rsidR="003B5A4E">
        <w:rPr>
          <w:rFonts w:ascii="Palatino Linotype" w:hAnsi="Palatino Linotype"/>
        </w:rPr>
        <w:t>.</w:t>
      </w:r>
    </w:p>
    <w:p w:rsidR="008F541E" w:rsidP="008F541E" w:rsidRDefault="008F541E" w14:paraId="17FE1A8A" w14:textId="77777777">
      <w:pPr>
        <w:ind w:left="720" w:right="72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____________________________________________________________</w:t>
      </w:r>
    </w:p>
    <w:p w:rsidR="008F541E" w:rsidP="008F541E" w:rsidRDefault="008F541E" w14:paraId="0A4CD9E8" w14:textId="77777777">
      <w:pPr>
        <w:rPr>
          <w:rFonts w:ascii="Palatino Linotype" w:hAnsi="Palatino Linotype"/>
          <w:sz w:val="24"/>
        </w:rPr>
      </w:pPr>
    </w:p>
    <w:p w:rsidRPr="008331AB" w:rsidR="008F541E" w:rsidP="008F541E" w:rsidRDefault="008331AB" w14:paraId="41504E7B" w14:textId="77777777">
      <w:pPr>
        <w:pStyle w:val="Heading3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SUMMARY</w:t>
      </w:r>
    </w:p>
    <w:p w:rsidR="008F541E" w:rsidP="008F541E" w:rsidRDefault="008F541E" w14:paraId="40DF9D2D" w14:textId="77777777">
      <w:pPr>
        <w:rPr>
          <w:rFonts w:ascii="Palatino Linotype" w:hAnsi="Palatino Linotype"/>
          <w:sz w:val="24"/>
          <w:szCs w:val="24"/>
        </w:rPr>
      </w:pPr>
    </w:p>
    <w:p w:rsidR="008F541E" w:rsidP="002F4463" w:rsidRDefault="008F541E" w14:paraId="5D9D8EAE" w14:textId="11E34EAC">
      <w:pPr>
        <w:pStyle w:val="BodyText"/>
        <w:tabs>
          <w:tab w:val="left" w:pos="-1440"/>
          <w:tab w:val="left" w:pos="-720"/>
        </w:tabs>
        <w:suppressAutoHyphens/>
        <w:jc w:val="both"/>
        <w:rPr>
          <w:rFonts w:ascii="Palatino Linotype" w:hAnsi="Palatino Linotype"/>
          <w:szCs w:val="24"/>
        </w:rPr>
      </w:pPr>
      <w:bookmarkStart w:name="OLE_LINK3" w:id="0"/>
      <w:bookmarkStart w:name="OLE_LINK4" w:id="1"/>
      <w:r>
        <w:rPr>
          <w:rFonts w:ascii="Palatino Linotype" w:hAnsi="Palatino Linotype"/>
          <w:szCs w:val="24"/>
        </w:rPr>
        <w:t xml:space="preserve">This Resolution sets the annual fee for the </w:t>
      </w:r>
      <w:r w:rsidR="00A35D8A">
        <w:rPr>
          <w:rFonts w:ascii="Palatino Linotype" w:hAnsi="Palatino Linotype"/>
          <w:szCs w:val="24"/>
        </w:rPr>
        <w:t>F</w:t>
      </w:r>
      <w:r>
        <w:rPr>
          <w:rFonts w:ascii="Palatino Linotype" w:hAnsi="Palatino Linotype"/>
          <w:szCs w:val="24"/>
        </w:rPr>
        <w:t xml:space="preserve">iscal </w:t>
      </w:r>
      <w:r w:rsidR="00A35D8A">
        <w:rPr>
          <w:rFonts w:ascii="Palatino Linotype" w:hAnsi="Palatino Linotype"/>
          <w:szCs w:val="24"/>
        </w:rPr>
        <w:t>Y</w:t>
      </w:r>
      <w:r>
        <w:rPr>
          <w:rFonts w:ascii="Palatino Linotype" w:hAnsi="Palatino Linotype"/>
          <w:szCs w:val="24"/>
        </w:rPr>
        <w:t>ear 20</w:t>
      </w:r>
      <w:r w:rsidR="00A06042">
        <w:rPr>
          <w:rFonts w:ascii="Palatino Linotype" w:hAnsi="Palatino Linotype"/>
          <w:szCs w:val="24"/>
        </w:rPr>
        <w:t>2</w:t>
      </w:r>
      <w:r w:rsidR="00F82720">
        <w:rPr>
          <w:rFonts w:ascii="Palatino Linotype" w:hAnsi="Palatino Linotype"/>
          <w:szCs w:val="24"/>
        </w:rPr>
        <w:t>2</w:t>
      </w:r>
      <w:r w:rsidR="000B314E">
        <w:rPr>
          <w:rFonts w:ascii="Palatino Linotype" w:hAnsi="Palatino Linotype"/>
          <w:szCs w:val="24"/>
        </w:rPr>
        <w:t>-20</w:t>
      </w:r>
      <w:r w:rsidR="00D11F46">
        <w:rPr>
          <w:rFonts w:ascii="Palatino Linotype" w:hAnsi="Palatino Linotype"/>
          <w:szCs w:val="24"/>
        </w:rPr>
        <w:t>2</w:t>
      </w:r>
      <w:r w:rsidR="00F82720">
        <w:rPr>
          <w:rFonts w:ascii="Palatino Linotype" w:hAnsi="Palatino Linotype"/>
          <w:szCs w:val="24"/>
        </w:rPr>
        <w:t>3</w:t>
      </w:r>
      <w:r>
        <w:rPr>
          <w:rFonts w:ascii="Palatino Linotype" w:hAnsi="Palatino Linotype"/>
          <w:szCs w:val="24"/>
        </w:rPr>
        <w:t xml:space="preserve"> to be paid by each </w:t>
      </w:r>
      <w:r w:rsidR="00FD1CE5">
        <w:rPr>
          <w:rFonts w:ascii="Palatino Linotype" w:hAnsi="Palatino Linotype"/>
          <w:szCs w:val="24"/>
        </w:rPr>
        <w:t xml:space="preserve">state </w:t>
      </w:r>
      <w:r>
        <w:rPr>
          <w:rFonts w:ascii="Palatino Linotype" w:hAnsi="Palatino Linotype"/>
          <w:szCs w:val="24"/>
        </w:rPr>
        <w:t xml:space="preserve">video franchise </w:t>
      </w:r>
      <w:r w:rsidR="00472310">
        <w:rPr>
          <w:rFonts w:ascii="Palatino Linotype" w:hAnsi="Palatino Linotype"/>
          <w:szCs w:val="24"/>
        </w:rPr>
        <w:t xml:space="preserve">(SVF) </w:t>
      </w:r>
      <w:r>
        <w:rPr>
          <w:rFonts w:ascii="Palatino Linotype" w:hAnsi="Palatino Linotype"/>
          <w:szCs w:val="24"/>
        </w:rPr>
        <w:t>holder</w:t>
      </w:r>
      <w:r>
        <w:rPr>
          <w:rFonts w:ascii="Palatino Linotype" w:hAnsi="Palatino Linotype"/>
          <w:color w:val="000000"/>
          <w:szCs w:val="24"/>
        </w:rPr>
        <w:t>.  This fee wil</w:t>
      </w:r>
      <w:r>
        <w:rPr>
          <w:rFonts w:ascii="Palatino Linotype" w:hAnsi="Palatino Linotype"/>
          <w:szCs w:val="24"/>
        </w:rPr>
        <w:t xml:space="preserve">l generate revenue equal to the </w:t>
      </w:r>
      <w:r w:rsidR="002D5148">
        <w:rPr>
          <w:rFonts w:ascii="Palatino Linotype" w:hAnsi="Palatino Linotype"/>
          <w:szCs w:val="24"/>
        </w:rPr>
        <w:t xml:space="preserve">California Public Utilities </w:t>
      </w:r>
      <w:r>
        <w:rPr>
          <w:rFonts w:ascii="Palatino Linotype" w:hAnsi="Palatino Linotype"/>
          <w:szCs w:val="24"/>
        </w:rPr>
        <w:t>Commission’s authorized budget for implementation of the Digital Infrastructure and Video Competition Act.</w:t>
      </w:r>
      <w:bookmarkEnd w:id="0"/>
      <w:bookmarkEnd w:id="1"/>
    </w:p>
    <w:p w:rsidR="008F541E" w:rsidP="00E62962" w:rsidRDefault="008F541E" w14:paraId="0077800F" w14:textId="77777777">
      <w:pPr>
        <w:tabs>
          <w:tab w:val="left" w:pos="-1440"/>
          <w:tab w:val="left" w:pos="-720"/>
        </w:tabs>
        <w:suppressAutoHyphens/>
        <w:jc w:val="center"/>
        <w:rPr>
          <w:rFonts w:ascii="Palatino Linotype" w:hAnsi="Palatino Linotype"/>
          <w:sz w:val="24"/>
          <w:szCs w:val="24"/>
        </w:rPr>
      </w:pPr>
    </w:p>
    <w:p w:rsidRPr="008331AB" w:rsidR="008F541E" w:rsidP="008F541E" w:rsidRDefault="008331AB" w14:paraId="03786092" w14:textId="77777777">
      <w:pPr>
        <w:pStyle w:val="Heading3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BACKGROUND</w:t>
      </w:r>
    </w:p>
    <w:p w:rsidR="008F541E" w:rsidP="008F541E" w:rsidRDefault="008F541E" w14:paraId="3C1D7F75" w14:textId="77777777">
      <w:pPr>
        <w:rPr>
          <w:rFonts w:ascii="Palatino Linotype" w:hAnsi="Palatino Linotype"/>
          <w:sz w:val="24"/>
          <w:szCs w:val="24"/>
        </w:rPr>
      </w:pPr>
    </w:p>
    <w:p w:rsidRPr="00A61E6A" w:rsidR="00593EC8" w:rsidP="00816994" w:rsidRDefault="008F541E" w14:paraId="0FC322DE" w14:textId="6C72A64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Digital Infrastructure and Video Competition Act of 2006 (DIVCA) was signed into law on September 29, 2006, creating for the first time a process for the issuance of state video franchises in California.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2"/>
      </w:r>
      <w:r>
        <w:rPr>
          <w:rFonts w:ascii="Palatino Linotype" w:hAnsi="Palatino Linotype"/>
          <w:sz w:val="24"/>
          <w:szCs w:val="24"/>
        </w:rPr>
        <w:t xml:space="preserve">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On March 1, 2007, the </w:t>
      </w:r>
      <w:r w:rsidRPr="379608DB" w:rsidR="00F760BC">
        <w:rPr>
          <w:rFonts w:ascii="Palatino Linotype" w:hAnsi="Palatino Linotype"/>
          <w:sz w:val="24"/>
          <w:szCs w:val="24"/>
        </w:rPr>
        <w:t>California Public Utilities Commission (</w:t>
      </w:r>
      <w:r>
        <w:rPr>
          <w:rFonts w:ascii="Palatino Linotype" w:hAnsi="Palatino Linotype"/>
          <w:sz w:val="24"/>
          <w:szCs w:val="24"/>
        </w:rPr>
        <w:t>Commission</w:t>
      </w:r>
      <w:r w:rsidRPr="379608DB" w:rsidR="00F760BC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issued</w:t>
      </w:r>
      <w:r w:rsidR="00CB5541">
        <w:rPr>
          <w:rFonts w:ascii="Palatino Linotype" w:hAnsi="Palatino Linotype"/>
          <w:sz w:val="24"/>
          <w:szCs w:val="24"/>
        </w:rPr>
        <w:t xml:space="preserve"> Decision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B5541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>D.</w:t>
      </w:r>
      <w:r w:rsidR="00CB5541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07-03-014 (DIVCA Decision)</w:t>
      </w:r>
      <w:r w:rsidR="00B31859">
        <w:rPr>
          <w:rFonts w:ascii="Palatino Linotype" w:hAnsi="Palatino Linotype"/>
          <w:sz w:val="24"/>
          <w:szCs w:val="24"/>
        </w:rPr>
        <w:t>,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3"/>
      </w:r>
      <w:r>
        <w:rPr>
          <w:rFonts w:ascii="Palatino Linotype" w:hAnsi="Palatino Linotype"/>
          <w:sz w:val="24"/>
          <w:szCs w:val="24"/>
        </w:rPr>
        <w:t xml:space="preserve"> implementing DIVCA, and be</w:t>
      </w:r>
      <w:r w:rsidR="003672FA">
        <w:rPr>
          <w:rFonts w:ascii="Palatino Linotype" w:hAnsi="Palatino Linotype"/>
          <w:sz w:val="24"/>
          <w:szCs w:val="24"/>
        </w:rPr>
        <w:t xml:space="preserve">gan accepting video franchise </w:t>
      </w:r>
      <w:r>
        <w:rPr>
          <w:rFonts w:ascii="Palatino Linotype" w:hAnsi="Palatino Linotype"/>
          <w:sz w:val="24"/>
          <w:szCs w:val="24"/>
        </w:rPr>
        <w:t xml:space="preserve">applications immediately thereafter.  </w:t>
      </w:r>
      <w:bookmarkStart w:name="_Hlk124847798" w:id="2"/>
      <w:r w:rsidR="00544DDC">
        <w:rPr>
          <w:rFonts w:ascii="Palatino Linotype" w:hAnsi="Palatino Linotype"/>
          <w:sz w:val="24"/>
          <w:szCs w:val="24"/>
        </w:rPr>
        <w:t xml:space="preserve">As of </w:t>
      </w:r>
      <w:r w:rsidR="00B8665B">
        <w:rPr>
          <w:rFonts w:ascii="Palatino Linotype" w:hAnsi="Palatino Linotype"/>
          <w:sz w:val="24"/>
          <w:szCs w:val="24"/>
        </w:rPr>
        <w:t>December 31,</w:t>
      </w:r>
      <w:r w:rsidR="00807899">
        <w:rPr>
          <w:rFonts w:ascii="Palatino Linotype" w:hAnsi="Palatino Linotype"/>
          <w:sz w:val="24"/>
          <w:szCs w:val="24"/>
        </w:rPr>
        <w:t xml:space="preserve"> 20</w:t>
      </w:r>
      <w:r w:rsidR="00647B84">
        <w:rPr>
          <w:rFonts w:ascii="Palatino Linotype" w:hAnsi="Palatino Linotype"/>
          <w:sz w:val="24"/>
          <w:szCs w:val="24"/>
        </w:rPr>
        <w:t>2</w:t>
      </w:r>
      <w:r w:rsidR="00E939BC">
        <w:rPr>
          <w:rFonts w:ascii="Palatino Linotype" w:hAnsi="Palatino Linotype"/>
          <w:sz w:val="24"/>
          <w:szCs w:val="24"/>
        </w:rPr>
        <w:t>2</w:t>
      </w:r>
      <w:r w:rsidR="00544DDC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the Commission </w:t>
      </w:r>
      <w:r w:rsidR="009D6FDD">
        <w:rPr>
          <w:rFonts w:ascii="Palatino Linotype" w:hAnsi="Palatino Linotype"/>
          <w:sz w:val="24"/>
          <w:szCs w:val="24"/>
        </w:rPr>
        <w:t>has</w:t>
      </w:r>
      <w:r>
        <w:rPr>
          <w:rFonts w:ascii="Palatino Linotype" w:hAnsi="Palatino Linotype"/>
          <w:sz w:val="24"/>
          <w:szCs w:val="24"/>
        </w:rPr>
        <w:t xml:space="preserve"> is</w:t>
      </w:r>
      <w:r w:rsidR="006755BB">
        <w:rPr>
          <w:rFonts w:ascii="Palatino Linotype" w:hAnsi="Palatino Linotype"/>
          <w:sz w:val="24"/>
          <w:szCs w:val="24"/>
        </w:rPr>
        <w:t xml:space="preserve">sued </w:t>
      </w:r>
      <w:r w:rsidR="004E463E">
        <w:rPr>
          <w:rFonts w:ascii="Palatino Linotype" w:hAnsi="Palatino Linotype"/>
          <w:sz w:val="24"/>
          <w:szCs w:val="24"/>
        </w:rPr>
        <w:t xml:space="preserve">a total of </w:t>
      </w:r>
      <w:r w:rsidR="0083151F">
        <w:rPr>
          <w:rFonts w:ascii="Palatino Linotype" w:hAnsi="Palatino Linotype"/>
          <w:sz w:val="24"/>
          <w:szCs w:val="24"/>
        </w:rPr>
        <w:t>59</w:t>
      </w:r>
      <w:r w:rsidRPr="006A65DA" w:rsidR="006A65DA">
        <w:rPr>
          <w:rFonts w:ascii="Palatino Linotype" w:hAnsi="Palatino Linotype"/>
          <w:sz w:val="24"/>
          <w:szCs w:val="24"/>
        </w:rPr>
        <w:t xml:space="preserve"> </w:t>
      </w:r>
      <w:r w:rsidR="004E463E">
        <w:rPr>
          <w:rFonts w:ascii="Palatino Linotype" w:hAnsi="Palatino Linotype"/>
          <w:sz w:val="24"/>
          <w:szCs w:val="24"/>
        </w:rPr>
        <w:t xml:space="preserve">video </w:t>
      </w:r>
      <w:r w:rsidR="004E463E">
        <w:rPr>
          <w:rFonts w:ascii="Palatino Linotype" w:hAnsi="Palatino Linotype"/>
          <w:sz w:val="24"/>
          <w:szCs w:val="24"/>
        </w:rPr>
        <w:lastRenderedPageBreak/>
        <w:t xml:space="preserve">franchises and </w:t>
      </w:r>
      <w:r w:rsidR="0083151F">
        <w:rPr>
          <w:rFonts w:ascii="Palatino Linotype" w:hAnsi="Palatino Linotype"/>
          <w:sz w:val="24"/>
          <w:szCs w:val="24"/>
        </w:rPr>
        <w:t>23</w:t>
      </w:r>
      <w:r w:rsidR="00E939BC">
        <w:rPr>
          <w:rFonts w:ascii="Palatino Linotype" w:hAnsi="Palatino Linotype"/>
          <w:sz w:val="24"/>
          <w:szCs w:val="24"/>
        </w:rPr>
        <w:t>8</w:t>
      </w:r>
      <w:r w:rsidRPr="006A65DA" w:rsidR="004E463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amendments</w:t>
      </w:r>
      <w:r w:rsidR="002834C2">
        <w:rPr>
          <w:rFonts w:ascii="Palatino Linotype" w:hAnsi="Palatino Linotype"/>
          <w:sz w:val="24"/>
          <w:szCs w:val="24"/>
        </w:rPr>
        <w:t>.</w:t>
      </w:r>
      <w:r w:rsidR="00A67EAA">
        <w:rPr>
          <w:rStyle w:val="FootnoteReference"/>
          <w:rFonts w:ascii="Palatino Linotype" w:hAnsi="Palatino Linotype"/>
          <w:sz w:val="24"/>
          <w:szCs w:val="24"/>
        </w:rPr>
        <w:footnoteReference w:id="4"/>
      </w:r>
      <w:r w:rsidR="00E939BC">
        <w:rPr>
          <w:rFonts w:ascii="Palatino Linotype" w:hAnsi="Palatino Linotype"/>
          <w:sz w:val="24"/>
          <w:szCs w:val="24"/>
        </w:rPr>
        <w:t xml:space="preserve">  There are currently 27 video franchise holders</w:t>
      </w:r>
      <w:r w:rsidR="00593EC8">
        <w:rPr>
          <w:rStyle w:val="FootnoteReference"/>
          <w:rFonts w:ascii="Palatino Linotype" w:hAnsi="Palatino Linotype"/>
          <w:sz w:val="24"/>
          <w:szCs w:val="24"/>
        </w:rPr>
        <w:footnoteReference w:id="5"/>
      </w:r>
      <w:r w:rsidR="00E939BC">
        <w:rPr>
          <w:rFonts w:ascii="Palatino Linotype" w:hAnsi="Palatino Linotype"/>
          <w:sz w:val="24"/>
          <w:szCs w:val="24"/>
        </w:rPr>
        <w:t xml:space="preserve"> in the State of California.</w:t>
      </w:r>
    </w:p>
    <w:bookmarkEnd w:id="2"/>
    <w:p w:rsidR="0083151F" w:rsidP="00816994" w:rsidRDefault="0083151F" w14:paraId="4FD068F1" w14:textId="77777777">
      <w:pPr>
        <w:jc w:val="both"/>
        <w:rPr>
          <w:rFonts w:ascii="Palatino Linotype" w:hAnsi="Palatino Linotype"/>
          <w:sz w:val="24"/>
          <w:szCs w:val="24"/>
        </w:rPr>
      </w:pPr>
    </w:p>
    <w:p w:rsidR="00816994" w:rsidP="00816994" w:rsidRDefault="008F541E" w14:paraId="1CECAD69" w14:textId="777777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DIVCA requires the Commission to collect annual fees from all state video franchise holders.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6"/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The total amount of fees collected </w:t>
      </w:r>
      <w:r w:rsidR="6E2918B7">
        <w:rPr>
          <w:rFonts w:ascii="Palatino Linotype" w:hAnsi="Palatino Linotype"/>
          <w:sz w:val="24"/>
          <w:szCs w:val="24"/>
        </w:rPr>
        <w:t>must</w:t>
      </w:r>
      <w:r>
        <w:rPr>
          <w:rFonts w:ascii="Palatino Linotype" w:hAnsi="Palatino Linotype"/>
          <w:sz w:val="24"/>
          <w:szCs w:val="24"/>
        </w:rPr>
        <w:t xml:space="preserve"> equal the amount authorized in the Commission</w:t>
      </w:r>
      <w:r w:rsidR="00F27B2B">
        <w:rPr>
          <w:rFonts w:ascii="Palatino Linotype" w:hAnsi="Palatino Linotype"/>
          <w:sz w:val="24"/>
          <w:szCs w:val="24"/>
        </w:rPr>
        <w:t>’s</w:t>
      </w:r>
      <w:r>
        <w:rPr>
          <w:rFonts w:ascii="Palatino Linotype" w:hAnsi="Palatino Linotype"/>
          <w:sz w:val="24"/>
          <w:szCs w:val="24"/>
        </w:rPr>
        <w:t xml:space="preserve"> budget for DIVCA implementation</w:t>
      </w:r>
      <w:r w:rsidR="00D525D1">
        <w:rPr>
          <w:rFonts w:ascii="Palatino Linotype" w:hAnsi="Palatino Linotype"/>
          <w:sz w:val="24"/>
          <w:szCs w:val="24"/>
        </w:rPr>
        <w:t xml:space="preserve"> in </w:t>
      </w:r>
      <w:r w:rsidRPr="00480B29" w:rsidR="00480B29">
        <w:rPr>
          <w:rFonts w:ascii="Palatino Linotype" w:hAnsi="Palatino Linotype"/>
          <w:sz w:val="24"/>
          <w:szCs w:val="24"/>
        </w:rPr>
        <w:t>D.07-03-014</w:t>
      </w:r>
      <w:r w:rsidR="00C627F0">
        <w:rPr>
          <w:rFonts w:ascii="Palatino Linotype" w:hAnsi="Palatino Linotype"/>
          <w:sz w:val="24"/>
          <w:szCs w:val="24"/>
        </w:rPr>
        <w:t xml:space="preserve">.  </w:t>
      </w:r>
      <w:r w:rsidR="001C7DF8">
        <w:rPr>
          <w:rFonts w:ascii="Palatino Linotype" w:hAnsi="Palatino Linotype"/>
          <w:sz w:val="24"/>
          <w:szCs w:val="24"/>
        </w:rPr>
        <w:t>Although the budget for DIVCA implementation has historically been $950,000</w:t>
      </w:r>
      <w:r w:rsidR="00594953">
        <w:rPr>
          <w:rFonts w:ascii="Palatino Linotype" w:hAnsi="Palatino Linotype"/>
          <w:sz w:val="24"/>
          <w:szCs w:val="24"/>
        </w:rPr>
        <w:t>, w</w:t>
      </w:r>
      <w:r w:rsidR="006D220B">
        <w:rPr>
          <w:rFonts w:ascii="Palatino Linotype" w:hAnsi="Palatino Linotype"/>
          <w:sz w:val="24"/>
          <w:szCs w:val="24"/>
        </w:rPr>
        <w:t xml:space="preserve">e </w:t>
      </w:r>
      <w:r w:rsidR="00F764C4">
        <w:rPr>
          <w:rFonts w:ascii="Palatino Linotype" w:hAnsi="Palatino Linotype"/>
          <w:sz w:val="24"/>
          <w:szCs w:val="24"/>
        </w:rPr>
        <w:t>authorize</w:t>
      </w:r>
      <w:r w:rsidR="00E3255E">
        <w:rPr>
          <w:rFonts w:ascii="Palatino Linotype" w:hAnsi="Palatino Linotype"/>
          <w:sz w:val="24"/>
          <w:szCs w:val="24"/>
        </w:rPr>
        <w:t>,</w:t>
      </w:r>
      <w:r w:rsidR="006D220B">
        <w:rPr>
          <w:rFonts w:ascii="Palatino Linotype" w:hAnsi="Palatino Linotype"/>
          <w:sz w:val="24"/>
          <w:szCs w:val="24"/>
        </w:rPr>
        <w:t xml:space="preserve"> f</w:t>
      </w:r>
      <w:r>
        <w:rPr>
          <w:rFonts w:ascii="Palatino Linotype" w:hAnsi="Palatino Linotype"/>
          <w:sz w:val="24"/>
          <w:szCs w:val="24"/>
        </w:rPr>
        <w:t xml:space="preserve">or the </w:t>
      </w:r>
    </w:p>
    <w:p w:rsidR="00261A9A" w:rsidP="00816994" w:rsidRDefault="008F541E" w14:paraId="29CEE1E1" w14:textId="4096BE6F">
      <w:pPr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</w:t>
      </w:r>
      <w:r w:rsidR="00C50E5C">
        <w:rPr>
          <w:rFonts w:ascii="Palatino Linotype" w:hAnsi="Palatino Linotype"/>
          <w:sz w:val="24"/>
          <w:szCs w:val="24"/>
        </w:rPr>
        <w:t>2</w:t>
      </w:r>
      <w:r w:rsidR="00710482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>-20</w:t>
      </w:r>
      <w:r w:rsidR="001E192B">
        <w:rPr>
          <w:rFonts w:ascii="Palatino Linotype" w:hAnsi="Palatino Linotype"/>
          <w:sz w:val="24"/>
          <w:szCs w:val="24"/>
        </w:rPr>
        <w:t>2</w:t>
      </w:r>
      <w:r w:rsidR="00710482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35D8A">
        <w:rPr>
          <w:rFonts w:ascii="Palatino Linotype" w:hAnsi="Palatino Linotype"/>
          <w:sz w:val="24"/>
          <w:szCs w:val="24"/>
        </w:rPr>
        <w:t>F</w:t>
      </w:r>
      <w:r>
        <w:rPr>
          <w:rFonts w:ascii="Palatino Linotype" w:hAnsi="Palatino Linotype"/>
          <w:sz w:val="24"/>
          <w:szCs w:val="24"/>
        </w:rPr>
        <w:t xml:space="preserve">iscal </w:t>
      </w:r>
      <w:r w:rsidR="00A35D8A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>ear</w:t>
      </w:r>
      <w:r w:rsidR="00D12169">
        <w:rPr>
          <w:rFonts w:ascii="Palatino Linotype" w:hAnsi="Palatino Linotype"/>
          <w:sz w:val="24"/>
          <w:szCs w:val="24"/>
        </w:rPr>
        <w:t xml:space="preserve"> (FY)</w:t>
      </w:r>
      <w:r w:rsidR="00E3255E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6D220B">
        <w:rPr>
          <w:rFonts w:ascii="Palatino Linotype" w:hAnsi="Palatino Linotype"/>
          <w:color w:val="000000"/>
          <w:sz w:val="24"/>
          <w:szCs w:val="24"/>
        </w:rPr>
        <w:t xml:space="preserve">about </w:t>
      </w:r>
      <w:r>
        <w:rPr>
          <w:rFonts w:ascii="Palatino Linotype" w:hAnsi="Palatino Linotype"/>
          <w:color w:val="000000"/>
          <w:sz w:val="24"/>
          <w:szCs w:val="24"/>
        </w:rPr>
        <w:t>$</w:t>
      </w:r>
      <w:r w:rsidR="00BE1233">
        <w:rPr>
          <w:rFonts w:ascii="Palatino Linotype" w:hAnsi="Palatino Linotype"/>
          <w:color w:val="000000"/>
          <w:sz w:val="24"/>
          <w:szCs w:val="24"/>
        </w:rPr>
        <w:t>1.</w:t>
      </w:r>
      <w:r w:rsidR="00656542">
        <w:rPr>
          <w:rFonts w:ascii="Palatino Linotype" w:hAnsi="Palatino Linotype"/>
          <w:color w:val="000000"/>
          <w:sz w:val="24"/>
          <w:szCs w:val="24"/>
        </w:rPr>
        <w:t>6</w:t>
      </w:r>
      <w:r w:rsidR="00BE1233">
        <w:rPr>
          <w:rFonts w:ascii="Palatino Linotype" w:hAnsi="Palatino Linotype"/>
          <w:color w:val="000000"/>
          <w:sz w:val="24"/>
          <w:szCs w:val="24"/>
        </w:rPr>
        <w:t xml:space="preserve"> million</w:t>
      </w:r>
      <w:r w:rsidR="00110912">
        <w:rPr>
          <w:rFonts w:ascii="Palatino Linotype" w:hAnsi="Palatino Linotype"/>
          <w:color w:val="000000"/>
          <w:sz w:val="24"/>
          <w:szCs w:val="24"/>
        </w:rPr>
        <w:t xml:space="preserve"> (rounded up from $1,588,661)</w:t>
      </w:r>
      <w:r>
        <w:rPr>
          <w:rFonts w:ascii="Palatino Linotype" w:hAnsi="Palatino Linotype"/>
          <w:color w:val="000000"/>
          <w:sz w:val="24"/>
          <w:szCs w:val="24"/>
        </w:rPr>
        <w:t xml:space="preserve"> to implement the state video franchise program.  </w:t>
      </w:r>
    </w:p>
    <w:p w:rsidR="00261A9A" w:rsidP="00816994" w:rsidRDefault="00261A9A" w14:paraId="06615AFA" w14:textId="77777777">
      <w:pPr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2D2FDB" w:rsidP="00816994" w:rsidRDefault="008F541E" w14:paraId="386E5D57" w14:textId="4C51145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The</w:t>
      </w:r>
      <w:r>
        <w:rPr>
          <w:rFonts w:ascii="Palatino Linotype" w:hAnsi="Palatino Linotype"/>
          <w:sz w:val="24"/>
          <w:szCs w:val="24"/>
        </w:rPr>
        <w:t xml:space="preserve"> DIVCA Decision provide</w:t>
      </w:r>
      <w:r w:rsidR="0061121B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that the annual fee for each </w:t>
      </w:r>
      <w:r w:rsidR="00862B40">
        <w:rPr>
          <w:rFonts w:ascii="Palatino Linotype" w:hAnsi="Palatino Linotype"/>
          <w:sz w:val="24"/>
          <w:szCs w:val="24"/>
        </w:rPr>
        <w:t>state video</w:t>
      </w:r>
      <w:r>
        <w:rPr>
          <w:rFonts w:ascii="Palatino Linotype" w:hAnsi="Palatino Linotype"/>
          <w:sz w:val="24"/>
          <w:szCs w:val="24"/>
        </w:rPr>
        <w:t xml:space="preserve"> franchisee, </w:t>
      </w:r>
      <w:r w:rsidR="0061121B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>s to be calculated based on the percentage of all</w:t>
      </w:r>
      <w:r w:rsidR="003672FA">
        <w:rPr>
          <w:rFonts w:ascii="Palatino Linotype" w:hAnsi="Palatino Linotype"/>
          <w:sz w:val="24"/>
          <w:szCs w:val="24"/>
        </w:rPr>
        <w:t xml:space="preserve"> state video franchise holders’</w:t>
      </w:r>
      <w:r w:rsidR="00FD1CE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gross video revenue that is attributable to an individual franchise</w:t>
      </w:r>
      <w:r w:rsidR="003672FA">
        <w:rPr>
          <w:rFonts w:ascii="Palatino Linotype" w:hAnsi="Palatino Linotype"/>
          <w:sz w:val="24"/>
          <w:szCs w:val="24"/>
        </w:rPr>
        <w:t>e.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7"/>
      </w:r>
      <w:r>
        <w:rPr>
          <w:rFonts w:ascii="Palatino Linotype" w:hAnsi="Palatino Linotype"/>
          <w:sz w:val="24"/>
          <w:szCs w:val="24"/>
        </w:rPr>
        <w:t xml:space="preserve">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The fee </w:t>
      </w:r>
      <w:r w:rsidR="00015F83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 xml:space="preserve">s to be calculated based on the revenue reported for the prior calendar year.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 w:rsidR="00FD1CE5">
        <w:rPr>
          <w:rFonts w:ascii="Palatino Linotype" w:hAnsi="Palatino Linotype"/>
          <w:sz w:val="24"/>
          <w:szCs w:val="24"/>
        </w:rPr>
        <w:t>Accordingly, t</w:t>
      </w:r>
      <w:r>
        <w:rPr>
          <w:rFonts w:ascii="Palatino Linotype" w:hAnsi="Palatino Linotype"/>
          <w:sz w:val="24"/>
          <w:szCs w:val="24"/>
        </w:rPr>
        <w:t xml:space="preserve">he fees for the </w:t>
      </w:r>
      <w:r w:rsidR="00816994">
        <w:rPr>
          <w:rFonts w:ascii="Palatino Linotype" w:hAnsi="Palatino Linotype"/>
          <w:sz w:val="24"/>
          <w:szCs w:val="24"/>
        </w:rPr>
        <w:br/>
      </w:r>
      <w:r w:rsidR="002834C2">
        <w:rPr>
          <w:rFonts w:ascii="Palatino Linotype" w:hAnsi="Palatino Linotype"/>
          <w:sz w:val="24"/>
          <w:szCs w:val="24"/>
        </w:rPr>
        <w:t>20</w:t>
      </w:r>
      <w:r w:rsidR="00C50E5C">
        <w:rPr>
          <w:rFonts w:ascii="Palatino Linotype" w:hAnsi="Palatino Linotype"/>
          <w:sz w:val="24"/>
          <w:szCs w:val="24"/>
        </w:rPr>
        <w:t>2</w:t>
      </w:r>
      <w:r w:rsidR="00710482">
        <w:rPr>
          <w:rFonts w:ascii="Palatino Linotype" w:hAnsi="Palatino Linotype"/>
          <w:sz w:val="24"/>
          <w:szCs w:val="24"/>
        </w:rPr>
        <w:t>2</w:t>
      </w:r>
      <w:r w:rsidR="002834C2">
        <w:rPr>
          <w:rFonts w:ascii="Palatino Linotype" w:hAnsi="Palatino Linotype"/>
          <w:sz w:val="24"/>
          <w:szCs w:val="24"/>
        </w:rPr>
        <w:t>-20</w:t>
      </w:r>
      <w:r w:rsidR="001E192B">
        <w:rPr>
          <w:rFonts w:ascii="Palatino Linotype" w:hAnsi="Palatino Linotype"/>
          <w:sz w:val="24"/>
          <w:szCs w:val="24"/>
        </w:rPr>
        <w:t>2</w:t>
      </w:r>
      <w:r w:rsidR="00710482">
        <w:rPr>
          <w:rFonts w:ascii="Palatino Linotype" w:hAnsi="Palatino Linotype"/>
          <w:sz w:val="24"/>
          <w:szCs w:val="24"/>
        </w:rPr>
        <w:t>3</w:t>
      </w:r>
      <w:r w:rsidR="002834C2">
        <w:rPr>
          <w:rFonts w:ascii="Palatino Linotype" w:hAnsi="Palatino Linotype"/>
          <w:sz w:val="24"/>
          <w:szCs w:val="24"/>
        </w:rPr>
        <w:t xml:space="preserve"> </w:t>
      </w:r>
      <w:r w:rsidR="00A35D8A">
        <w:rPr>
          <w:rFonts w:ascii="Palatino Linotype" w:hAnsi="Palatino Linotype"/>
          <w:sz w:val="24"/>
          <w:szCs w:val="24"/>
        </w:rPr>
        <w:t>F</w:t>
      </w:r>
      <w:r>
        <w:rPr>
          <w:rFonts w:ascii="Palatino Linotype" w:hAnsi="Palatino Linotype"/>
          <w:sz w:val="24"/>
          <w:szCs w:val="24"/>
        </w:rPr>
        <w:t xml:space="preserve">iscal </w:t>
      </w:r>
      <w:r w:rsidR="00A35D8A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 xml:space="preserve">ear </w:t>
      </w:r>
      <w:r w:rsidR="00FD1CE5">
        <w:rPr>
          <w:rFonts w:ascii="Palatino Linotype" w:hAnsi="Palatino Linotype"/>
          <w:sz w:val="24"/>
          <w:szCs w:val="24"/>
        </w:rPr>
        <w:t xml:space="preserve">established by this Resolution </w:t>
      </w:r>
      <w:r>
        <w:rPr>
          <w:rFonts w:ascii="Palatino Linotype" w:hAnsi="Palatino Linotype"/>
          <w:sz w:val="24"/>
          <w:szCs w:val="24"/>
        </w:rPr>
        <w:t xml:space="preserve">are based on the </w:t>
      </w:r>
      <w:r w:rsidR="00BF5915">
        <w:rPr>
          <w:rFonts w:ascii="Palatino Linotype" w:hAnsi="Palatino Linotype"/>
          <w:sz w:val="24"/>
          <w:szCs w:val="24"/>
        </w:rPr>
        <w:t xml:space="preserve">gross </w:t>
      </w:r>
      <w:r>
        <w:rPr>
          <w:rFonts w:ascii="Palatino Linotype" w:hAnsi="Palatino Linotype"/>
          <w:sz w:val="24"/>
          <w:szCs w:val="24"/>
        </w:rPr>
        <w:t>video revenue reported by each franchise holder for calendar year 20</w:t>
      </w:r>
      <w:r w:rsidR="00E54A3D">
        <w:rPr>
          <w:rFonts w:ascii="Palatino Linotype" w:hAnsi="Palatino Linotype"/>
          <w:sz w:val="24"/>
          <w:szCs w:val="24"/>
        </w:rPr>
        <w:t>2</w:t>
      </w:r>
      <w:r w:rsidR="00710482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.</w:t>
      </w:r>
    </w:p>
    <w:p w:rsidR="00BF5915" w:rsidP="008F541E" w:rsidRDefault="00BF5915" w14:paraId="7CFFB189" w14:textId="77777777">
      <w:pPr>
        <w:pStyle w:val="Heading3"/>
        <w:rPr>
          <w:rFonts w:ascii="Palatino Linotype" w:hAnsi="Palatino Linotype"/>
          <w:szCs w:val="24"/>
        </w:rPr>
      </w:pPr>
    </w:p>
    <w:p w:rsidRPr="008331AB" w:rsidR="008F541E" w:rsidP="008F541E" w:rsidRDefault="008331AB" w14:paraId="784ADA4A" w14:textId="77777777">
      <w:pPr>
        <w:pStyle w:val="Heading3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DISCUSSION</w:t>
      </w:r>
    </w:p>
    <w:p w:rsidR="008F541E" w:rsidP="008F541E" w:rsidRDefault="008F541E" w14:paraId="6AA53D18" w14:textId="77777777">
      <w:pPr>
        <w:rPr>
          <w:rFonts w:ascii="Palatino Linotype" w:hAnsi="Palatino Linotype"/>
          <w:sz w:val="24"/>
          <w:szCs w:val="24"/>
        </w:rPr>
      </w:pPr>
    </w:p>
    <w:p w:rsidR="002F4463" w:rsidP="002F4463" w:rsidRDefault="008F541E" w14:paraId="172A111D" w14:textId="41B6B93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Resolution sets the annual fee for FY </w:t>
      </w:r>
      <w:r w:rsidR="001E192B">
        <w:rPr>
          <w:rFonts w:ascii="Palatino Linotype" w:hAnsi="Palatino Linotype"/>
          <w:sz w:val="24"/>
          <w:szCs w:val="24"/>
        </w:rPr>
        <w:t>20</w:t>
      </w:r>
      <w:r w:rsidR="006E1338">
        <w:rPr>
          <w:rFonts w:ascii="Palatino Linotype" w:hAnsi="Palatino Linotype"/>
          <w:sz w:val="24"/>
          <w:szCs w:val="24"/>
        </w:rPr>
        <w:t>2</w:t>
      </w:r>
      <w:r w:rsidR="00710482">
        <w:rPr>
          <w:rFonts w:ascii="Palatino Linotype" w:hAnsi="Palatino Linotype"/>
          <w:sz w:val="24"/>
          <w:szCs w:val="24"/>
        </w:rPr>
        <w:t>2</w:t>
      </w:r>
      <w:r w:rsidR="001E192B">
        <w:rPr>
          <w:rFonts w:ascii="Palatino Linotype" w:hAnsi="Palatino Linotype"/>
          <w:sz w:val="24"/>
          <w:szCs w:val="24"/>
        </w:rPr>
        <w:t>-202</w:t>
      </w:r>
      <w:r w:rsidR="00710482">
        <w:rPr>
          <w:rFonts w:ascii="Palatino Linotype" w:hAnsi="Palatino Linotype"/>
          <w:sz w:val="24"/>
          <w:szCs w:val="24"/>
        </w:rPr>
        <w:t>3</w:t>
      </w:r>
      <w:r w:rsidR="001E192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consistent with </w:t>
      </w:r>
      <w:r w:rsidR="00FD1CE5">
        <w:rPr>
          <w:rFonts w:ascii="Palatino Linotype" w:hAnsi="Palatino Linotype"/>
          <w:sz w:val="24"/>
          <w:szCs w:val="24"/>
        </w:rPr>
        <w:t>the DIVCA Decision</w:t>
      </w:r>
      <w:r>
        <w:rPr>
          <w:rFonts w:ascii="Palatino Linotype" w:hAnsi="Palatino Linotype"/>
          <w:sz w:val="24"/>
          <w:szCs w:val="24"/>
        </w:rPr>
        <w:t>.</w:t>
      </w:r>
      <w:r w:rsidR="00593EC8">
        <w:rPr>
          <w:rFonts w:ascii="Palatino Linotype" w:hAnsi="Palatino Linotype"/>
          <w:sz w:val="24"/>
          <w:szCs w:val="24"/>
        </w:rPr>
        <w:t xml:space="preserve">  </w:t>
      </w:r>
      <w:r w:rsidR="006F3225">
        <w:rPr>
          <w:rFonts w:ascii="Palatino Linotype" w:hAnsi="Palatino Linotype"/>
          <w:sz w:val="24"/>
          <w:szCs w:val="24"/>
        </w:rPr>
        <w:t>To</w:t>
      </w:r>
      <w:r>
        <w:rPr>
          <w:rFonts w:ascii="Palatino Linotype" w:hAnsi="Palatino Linotype"/>
          <w:sz w:val="24"/>
          <w:szCs w:val="24"/>
        </w:rPr>
        <w:t xml:space="preserve"> generate the </w:t>
      </w:r>
      <w:r w:rsidR="000976E2">
        <w:rPr>
          <w:rFonts w:ascii="Palatino Linotype" w:hAnsi="Palatino Linotype"/>
          <w:color w:val="000000"/>
          <w:sz w:val="24"/>
          <w:szCs w:val="24"/>
        </w:rPr>
        <w:t>$1.</w:t>
      </w:r>
      <w:r w:rsidR="00656542">
        <w:rPr>
          <w:rFonts w:ascii="Palatino Linotype" w:hAnsi="Palatino Linotype"/>
          <w:color w:val="000000"/>
          <w:sz w:val="24"/>
          <w:szCs w:val="24"/>
        </w:rPr>
        <w:t>6</w:t>
      </w:r>
      <w:r w:rsidR="000976E2">
        <w:rPr>
          <w:rFonts w:ascii="Palatino Linotype" w:hAnsi="Palatino Linotype"/>
          <w:color w:val="000000"/>
          <w:sz w:val="24"/>
          <w:szCs w:val="24"/>
        </w:rPr>
        <w:t xml:space="preserve"> million </w:t>
      </w:r>
      <w:r>
        <w:rPr>
          <w:rFonts w:ascii="Palatino Linotype" w:hAnsi="Palatino Linotype"/>
          <w:color w:val="000000"/>
          <w:sz w:val="24"/>
          <w:szCs w:val="24"/>
        </w:rPr>
        <w:t xml:space="preserve">authorized for the Commission’s Fiscal Year </w:t>
      </w:r>
      <w:r w:rsidR="001E192B">
        <w:rPr>
          <w:rFonts w:ascii="Palatino Linotype" w:hAnsi="Palatino Linotype"/>
          <w:sz w:val="24"/>
          <w:szCs w:val="24"/>
        </w:rPr>
        <w:t>20</w:t>
      </w:r>
      <w:r w:rsidR="006E1338">
        <w:rPr>
          <w:rFonts w:ascii="Palatino Linotype" w:hAnsi="Palatino Linotype"/>
          <w:sz w:val="24"/>
          <w:szCs w:val="24"/>
        </w:rPr>
        <w:t>2</w:t>
      </w:r>
      <w:r w:rsidR="0075796B">
        <w:rPr>
          <w:rFonts w:ascii="Palatino Linotype" w:hAnsi="Palatino Linotype"/>
          <w:sz w:val="24"/>
          <w:szCs w:val="24"/>
        </w:rPr>
        <w:t>2</w:t>
      </w:r>
      <w:r w:rsidR="001E192B">
        <w:rPr>
          <w:rFonts w:ascii="Palatino Linotype" w:hAnsi="Palatino Linotype"/>
          <w:sz w:val="24"/>
          <w:szCs w:val="24"/>
        </w:rPr>
        <w:t>-202</w:t>
      </w:r>
      <w:r w:rsidR="0075796B">
        <w:rPr>
          <w:rFonts w:ascii="Palatino Linotype" w:hAnsi="Palatino Linotype"/>
          <w:sz w:val="24"/>
          <w:szCs w:val="24"/>
        </w:rPr>
        <w:t>3</w:t>
      </w:r>
      <w:r w:rsidR="001E192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 xml:space="preserve">DIVCA-related budget, the amount due from each franchise holder is based on a pro-rata </w:t>
      </w:r>
      <w:r>
        <w:rPr>
          <w:rFonts w:ascii="Palatino Linotype" w:hAnsi="Palatino Linotype"/>
          <w:sz w:val="24"/>
        </w:rPr>
        <w:t xml:space="preserve">share of gross video revenue from </w:t>
      </w:r>
      <w:r w:rsidRPr="006B43E3" w:rsidR="003672FA">
        <w:rPr>
          <w:rFonts w:ascii="Palatino Linotype" w:hAnsi="Palatino Linotype"/>
          <w:sz w:val="24"/>
        </w:rPr>
        <w:t xml:space="preserve">all </w:t>
      </w:r>
      <w:r w:rsidRPr="006B43E3">
        <w:rPr>
          <w:rFonts w:ascii="Palatino Linotype" w:hAnsi="Palatino Linotype"/>
          <w:sz w:val="24"/>
        </w:rPr>
        <w:t>state-issued franchise</w:t>
      </w:r>
      <w:r w:rsidRPr="006B43E3" w:rsidR="003672FA">
        <w:rPr>
          <w:rFonts w:ascii="Palatino Linotype" w:hAnsi="Palatino Linotype"/>
          <w:sz w:val="24"/>
        </w:rPr>
        <w:t>e</w:t>
      </w:r>
      <w:r w:rsidRPr="006B43E3">
        <w:rPr>
          <w:rFonts w:ascii="Palatino Linotype" w:hAnsi="Palatino Linotype"/>
          <w:sz w:val="24"/>
        </w:rPr>
        <w:t>s</w:t>
      </w:r>
      <w:r>
        <w:rPr>
          <w:rFonts w:ascii="Palatino Linotype" w:hAnsi="Palatino Linotype"/>
          <w:sz w:val="24"/>
        </w:rPr>
        <w:t xml:space="preserve">, in accordance with </w:t>
      </w:r>
      <w:r w:rsidR="00FD1CE5">
        <w:rPr>
          <w:rFonts w:ascii="Palatino Linotype" w:hAnsi="Palatino Linotype"/>
          <w:sz w:val="24"/>
          <w:szCs w:val="24"/>
        </w:rPr>
        <w:t>the DIVCA Decision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5552D5">
        <w:rPr>
          <w:rFonts w:ascii="Palatino Linotype" w:hAnsi="Palatino Linotype"/>
          <w:sz w:val="24"/>
          <w:szCs w:val="24"/>
        </w:rPr>
        <w:t xml:space="preserve">Consistent with Pub. Util. Code </w:t>
      </w:r>
      <w:r w:rsidR="00BB48E7">
        <w:rPr>
          <w:rFonts w:ascii="Palatino Linotype" w:hAnsi="Palatino Linotype"/>
          <w:sz w:val="24"/>
          <w:szCs w:val="24"/>
        </w:rPr>
        <w:t>§ 441, t</w:t>
      </w:r>
      <w:r w:rsidR="000976E2">
        <w:rPr>
          <w:rFonts w:ascii="Palatino Linotype" w:hAnsi="Palatino Linotype"/>
          <w:sz w:val="24"/>
          <w:szCs w:val="24"/>
        </w:rPr>
        <w:t>he</w:t>
      </w:r>
      <w:r w:rsidR="007E1790">
        <w:rPr>
          <w:rFonts w:ascii="Palatino Linotype" w:hAnsi="Palatino Linotype"/>
          <w:sz w:val="24"/>
          <w:szCs w:val="24"/>
        </w:rPr>
        <w:t xml:space="preserve"> DIVCA budget of </w:t>
      </w:r>
      <w:r w:rsidR="00032C33">
        <w:rPr>
          <w:rFonts w:ascii="Palatino Linotype" w:hAnsi="Palatino Linotype"/>
          <w:sz w:val="24"/>
          <w:szCs w:val="24"/>
        </w:rPr>
        <w:t xml:space="preserve">approximately </w:t>
      </w:r>
      <w:r w:rsidR="007E1790">
        <w:rPr>
          <w:rFonts w:ascii="Palatino Linotype" w:hAnsi="Palatino Linotype"/>
          <w:sz w:val="24"/>
          <w:szCs w:val="24"/>
        </w:rPr>
        <w:t>$1.</w:t>
      </w:r>
      <w:r w:rsidR="00656542">
        <w:rPr>
          <w:rFonts w:ascii="Palatino Linotype" w:hAnsi="Palatino Linotype"/>
          <w:sz w:val="24"/>
          <w:szCs w:val="24"/>
        </w:rPr>
        <w:t>6</w:t>
      </w:r>
      <w:r w:rsidR="007E1790">
        <w:rPr>
          <w:rFonts w:ascii="Palatino Linotype" w:hAnsi="Palatino Linotype"/>
          <w:sz w:val="24"/>
          <w:szCs w:val="24"/>
        </w:rPr>
        <w:t xml:space="preserve"> million </w:t>
      </w:r>
      <w:r w:rsidR="00CC14B3">
        <w:rPr>
          <w:rFonts w:ascii="Palatino Linotype" w:hAnsi="Palatino Linotype"/>
          <w:sz w:val="24"/>
          <w:szCs w:val="24"/>
        </w:rPr>
        <w:t>ha</w:t>
      </w:r>
      <w:r w:rsidR="007E1790">
        <w:rPr>
          <w:rFonts w:ascii="Palatino Linotype" w:hAnsi="Palatino Linotype"/>
          <w:sz w:val="24"/>
          <w:szCs w:val="24"/>
        </w:rPr>
        <w:t>s these</w:t>
      </w:r>
      <w:r w:rsidR="000976E2">
        <w:rPr>
          <w:rFonts w:ascii="Palatino Linotype" w:hAnsi="Palatino Linotype"/>
          <w:sz w:val="24"/>
          <w:szCs w:val="24"/>
        </w:rPr>
        <w:t xml:space="preserve"> three main changes:</w:t>
      </w:r>
      <w:r w:rsidR="00FB1C7C">
        <w:rPr>
          <w:rFonts w:ascii="Palatino Linotype" w:hAnsi="Palatino Linotype"/>
          <w:sz w:val="24"/>
          <w:szCs w:val="24"/>
        </w:rPr>
        <w:t xml:space="preserve"> 1)</w:t>
      </w:r>
      <w:r w:rsidR="000976E2">
        <w:rPr>
          <w:rFonts w:ascii="Palatino Linotype" w:hAnsi="Palatino Linotype"/>
          <w:sz w:val="24"/>
          <w:szCs w:val="24"/>
        </w:rPr>
        <w:t xml:space="preserve"> incorporating </w:t>
      </w:r>
      <w:r w:rsidR="00FB1C7C">
        <w:rPr>
          <w:rFonts w:ascii="Palatino Linotype" w:hAnsi="Palatino Linotype"/>
          <w:sz w:val="24"/>
          <w:szCs w:val="24"/>
        </w:rPr>
        <w:t xml:space="preserve">the Commission’s </w:t>
      </w:r>
      <w:r w:rsidR="000976E2">
        <w:rPr>
          <w:rFonts w:ascii="Palatino Linotype" w:hAnsi="Palatino Linotype"/>
          <w:sz w:val="24"/>
          <w:szCs w:val="24"/>
        </w:rPr>
        <w:t>budget authority to implement Senate Bill 28</w:t>
      </w:r>
      <w:r w:rsidR="006765CD">
        <w:rPr>
          <w:rStyle w:val="FootnoteReference"/>
          <w:rFonts w:ascii="Palatino Linotype" w:hAnsi="Palatino Linotype"/>
          <w:sz w:val="24"/>
          <w:szCs w:val="24"/>
        </w:rPr>
        <w:footnoteReference w:id="8"/>
      </w:r>
      <w:r w:rsidR="000976E2">
        <w:rPr>
          <w:rFonts w:ascii="Palatino Linotype" w:hAnsi="Palatino Linotype"/>
          <w:sz w:val="24"/>
          <w:szCs w:val="24"/>
        </w:rPr>
        <w:t xml:space="preserve">, </w:t>
      </w:r>
      <w:r w:rsidR="00FB1C7C">
        <w:rPr>
          <w:rFonts w:ascii="Palatino Linotype" w:hAnsi="Palatino Linotype"/>
          <w:sz w:val="24"/>
          <w:szCs w:val="24"/>
        </w:rPr>
        <w:t>2)</w:t>
      </w:r>
      <w:r w:rsidR="00726FC7">
        <w:rPr>
          <w:rFonts w:ascii="Palatino Linotype" w:hAnsi="Palatino Linotype"/>
          <w:sz w:val="24"/>
          <w:szCs w:val="24"/>
        </w:rPr>
        <w:t xml:space="preserve"> </w:t>
      </w:r>
      <w:r w:rsidR="00D16233">
        <w:rPr>
          <w:rFonts w:ascii="Palatino Linotype" w:hAnsi="Palatino Linotype"/>
          <w:sz w:val="24"/>
          <w:szCs w:val="24"/>
        </w:rPr>
        <w:t>including a</w:t>
      </w:r>
      <w:r w:rsidR="00FB1C7C">
        <w:rPr>
          <w:rFonts w:ascii="Palatino Linotype" w:hAnsi="Palatino Linotype"/>
          <w:sz w:val="24"/>
          <w:szCs w:val="24"/>
        </w:rPr>
        <w:t xml:space="preserve"> </w:t>
      </w:r>
      <w:r w:rsidR="000976E2">
        <w:rPr>
          <w:rFonts w:ascii="Palatino Linotype" w:hAnsi="Palatino Linotype"/>
          <w:sz w:val="24"/>
          <w:szCs w:val="24"/>
        </w:rPr>
        <w:t xml:space="preserve">budget for </w:t>
      </w:r>
      <w:r w:rsidR="000976E2">
        <w:rPr>
          <w:rFonts w:ascii="Palatino Linotype" w:hAnsi="Palatino Linotype"/>
          <w:sz w:val="24"/>
          <w:szCs w:val="24"/>
        </w:rPr>
        <w:lastRenderedPageBreak/>
        <w:t xml:space="preserve">operating expenses and equipment, and </w:t>
      </w:r>
      <w:r w:rsidR="005A3337">
        <w:rPr>
          <w:rFonts w:ascii="Palatino Linotype" w:hAnsi="Palatino Linotype"/>
          <w:sz w:val="24"/>
          <w:szCs w:val="24"/>
        </w:rPr>
        <w:t xml:space="preserve">3) </w:t>
      </w:r>
      <w:r w:rsidR="000976E2">
        <w:rPr>
          <w:rFonts w:ascii="Palatino Linotype" w:hAnsi="Palatino Linotype"/>
          <w:sz w:val="24"/>
          <w:szCs w:val="24"/>
        </w:rPr>
        <w:t>accounting for increases in salaries</w:t>
      </w:r>
      <w:r w:rsidR="005A3337">
        <w:rPr>
          <w:rFonts w:ascii="Palatino Linotype" w:hAnsi="Palatino Linotype"/>
          <w:sz w:val="24"/>
          <w:szCs w:val="24"/>
        </w:rPr>
        <w:t xml:space="preserve"> and benefits. </w:t>
      </w:r>
      <w:bookmarkStart w:name="_Hlk62725243" w:id="3"/>
    </w:p>
    <w:p w:rsidR="002F4463" w:rsidP="002F4463" w:rsidRDefault="002F4463" w14:paraId="19EB33EA" w14:textId="77777777">
      <w:pPr>
        <w:jc w:val="both"/>
        <w:rPr>
          <w:rFonts w:ascii="Palatino Linotype" w:hAnsi="Palatino Linotype"/>
          <w:sz w:val="24"/>
          <w:szCs w:val="24"/>
        </w:rPr>
      </w:pPr>
    </w:p>
    <w:p w:rsidR="001B4E0D" w:rsidP="002F4463" w:rsidRDefault="008F541E" w14:paraId="3F4A3754" w14:textId="70E8B923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B2052A">
        <w:rPr>
          <w:rFonts w:ascii="Palatino Linotype" w:hAnsi="Palatino Linotype"/>
          <w:sz w:val="24"/>
          <w:szCs w:val="24"/>
        </w:rPr>
        <w:t>For calendar year 20</w:t>
      </w:r>
      <w:r w:rsidR="001C2BA7">
        <w:rPr>
          <w:rFonts w:ascii="Palatino Linotype" w:hAnsi="Palatino Linotype"/>
          <w:sz w:val="24"/>
          <w:szCs w:val="24"/>
        </w:rPr>
        <w:t>2</w:t>
      </w:r>
      <w:r w:rsidR="0075796B">
        <w:rPr>
          <w:rFonts w:ascii="Palatino Linotype" w:hAnsi="Palatino Linotype"/>
          <w:sz w:val="24"/>
          <w:szCs w:val="24"/>
        </w:rPr>
        <w:t>1</w:t>
      </w:r>
      <w:r w:rsidRPr="00B2052A">
        <w:rPr>
          <w:rFonts w:ascii="Palatino Linotype" w:hAnsi="Palatino Linotype"/>
          <w:sz w:val="24"/>
          <w:szCs w:val="24"/>
        </w:rPr>
        <w:t>, the time</w:t>
      </w:r>
      <w:r w:rsidR="00C00845">
        <w:rPr>
          <w:rFonts w:ascii="Palatino Linotype" w:hAnsi="Palatino Linotype"/>
          <w:sz w:val="24"/>
          <w:szCs w:val="24"/>
        </w:rPr>
        <w:t>-</w:t>
      </w:r>
      <w:r w:rsidRPr="00B2052A">
        <w:rPr>
          <w:rFonts w:ascii="Palatino Linotype" w:hAnsi="Palatino Linotype"/>
          <w:sz w:val="24"/>
          <w:szCs w:val="24"/>
        </w:rPr>
        <w:t xml:space="preserve">period used to apportion fees, total </w:t>
      </w:r>
      <w:r w:rsidRPr="00B2052A" w:rsidR="00427D9C">
        <w:rPr>
          <w:rFonts w:ascii="Palatino Linotype" w:hAnsi="Palatino Linotype"/>
          <w:sz w:val="24"/>
          <w:szCs w:val="24"/>
        </w:rPr>
        <w:t xml:space="preserve">reported </w:t>
      </w:r>
      <w:r w:rsidRPr="00B2052A">
        <w:rPr>
          <w:rFonts w:ascii="Palatino Linotype" w:hAnsi="Palatino Linotype"/>
          <w:sz w:val="24"/>
          <w:szCs w:val="24"/>
        </w:rPr>
        <w:t>gross video</w:t>
      </w:r>
      <w:r w:rsidRPr="00B2052A" w:rsidR="002834C2">
        <w:rPr>
          <w:rFonts w:ascii="Palatino Linotype" w:hAnsi="Palatino Linotype"/>
          <w:sz w:val="24"/>
          <w:szCs w:val="24"/>
        </w:rPr>
        <w:t xml:space="preserve"> revenue </w:t>
      </w:r>
      <w:r w:rsidR="00C60E02">
        <w:rPr>
          <w:rFonts w:ascii="Palatino Linotype" w:hAnsi="Palatino Linotype"/>
          <w:sz w:val="24"/>
          <w:szCs w:val="24"/>
        </w:rPr>
        <w:t xml:space="preserve">in California </w:t>
      </w:r>
      <w:r w:rsidRPr="00B2052A" w:rsidR="002834C2">
        <w:rPr>
          <w:rFonts w:ascii="Palatino Linotype" w:hAnsi="Palatino Linotype"/>
          <w:sz w:val="24"/>
          <w:szCs w:val="24"/>
        </w:rPr>
        <w:t>w</w:t>
      </w:r>
      <w:r w:rsidR="0064192C">
        <w:rPr>
          <w:rFonts w:ascii="Palatino Linotype" w:hAnsi="Palatino Linotype"/>
          <w:sz w:val="24"/>
          <w:szCs w:val="24"/>
        </w:rPr>
        <w:t>as</w:t>
      </w:r>
      <w:r w:rsidRPr="00B2052A" w:rsidR="002834C2">
        <w:rPr>
          <w:rFonts w:ascii="Palatino Linotype" w:hAnsi="Palatino Linotype"/>
          <w:sz w:val="24"/>
          <w:szCs w:val="24"/>
        </w:rPr>
        <w:t xml:space="preserve"> </w:t>
      </w:r>
      <w:r w:rsidR="00327627">
        <w:rPr>
          <w:rFonts w:ascii="Palatino Linotype" w:hAnsi="Palatino Linotype"/>
          <w:sz w:val="24"/>
          <w:szCs w:val="24"/>
        </w:rPr>
        <w:t xml:space="preserve">about </w:t>
      </w:r>
      <w:r w:rsidRPr="00B2052A" w:rsidR="002834C2">
        <w:rPr>
          <w:rFonts w:ascii="Palatino Linotype" w:hAnsi="Palatino Linotype"/>
          <w:sz w:val="24"/>
          <w:szCs w:val="24"/>
        </w:rPr>
        <w:t>$6.</w:t>
      </w:r>
      <w:r w:rsidR="007C434A">
        <w:rPr>
          <w:rFonts w:ascii="Palatino Linotype" w:hAnsi="Palatino Linotype"/>
          <w:sz w:val="24"/>
          <w:szCs w:val="24"/>
        </w:rPr>
        <w:t>48</w:t>
      </w:r>
      <w:r w:rsidRPr="00B2052A">
        <w:rPr>
          <w:rFonts w:ascii="Palatino Linotype" w:hAnsi="Palatino Linotype"/>
          <w:sz w:val="24"/>
          <w:szCs w:val="24"/>
        </w:rPr>
        <w:t xml:space="preserve"> billion ($</w:t>
      </w:r>
      <w:r w:rsidR="001C2BA7">
        <w:rPr>
          <w:rFonts w:ascii="Palatino Linotype" w:hAnsi="Palatino Linotype"/>
          <w:sz w:val="24"/>
          <w:szCs w:val="24"/>
        </w:rPr>
        <w:t>6,</w:t>
      </w:r>
      <w:r w:rsidR="007C434A">
        <w:rPr>
          <w:rFonts w:ascii="Palatino Linotype" w:hAnsi="Palatino Linotype"/>
          <w:sz w:val="24"/>
          <w:szCs w:val="24"/>
        </w:rPr>
        <w:t>479,</w:t>
      </w:r>
      <w:r w:rsidR="00645F34">
        <w:rPr>
          <w:rFonts w:ascii="Palatino Linotype" w:hAnsi="Palatino Linotype"/>
          <w:sz w:val="24"/>
          <w:szCs w:val="24"/>
        </w:rPr>
        <w:t>9</w:t>
      </w:r>
      <w:r w:rsidR="007B36A8">
        <w:rPr>
          <w:rFonts w:ascii="Palatino Linotype" w:hAnsi="Palatino Linotype"/>
          <w:sz w:val="24"/>
          <w:szCs w:val="24"/>
        </w:rPr>
        <w:t>74</w:t>
      </w:r>
      <w:r w:rsidR="007C434A">
        <w:rPr>
          <w:rFonts w:ascii="Palatino Linotype" w:hAnsi="Palatino Linotype"/>
          <w:sz w:val="24"/>
          <w:szCs w:val="24"/>
        </w:rPr>
        <w:t>,</w:t>
      </w:r>
      <w:r w:rsidR="007B36A8">
        <w:rPr>
          <w:rFonts w:ascii="Palatino Linotype" w:hAnsi="Palatino Linotype"/>
          <w:sz w:val="24"/>
          <w:szCs w:val="24"/>
        </w:rPr>
        <w:t>111</w:t>
      </w:r>
      <w:r w:rsidR="00F8732B">
        <w:rPr>
          <w:rFonts w:ascii="Palatino Linotype" w:hAnsi="Palatino Linotype"/>
          <w:sz w:val="24"/>
          <w:szCs w:val="24"/>
        </w:rPr>
        <w:t>)</w:t>
      </w:r>
      <w:r w:rsidR="00F30093">
        <w:rPr>
          <w:rFonts w:ascii="Palatino Linotype" w:hAnsi="Palatino Linotype"/>
          <w:sz w:val="24"/>
          <w:szCs w:val="24"/>
        </w:rPr>
        <w:t>,</w:t>
      </w:r>
      <w:r w:rsidR="00807899">
        <w:rPr>
          <w:rFonts w:ascii="Palatino Linotype" w:hAnsi="Palatino Linotype"/>
          <w:sz w:val="24"/>
          <w:szCs w:val="24"/>
        </w:rPr>
        <w:t xml:space="preserve"> </w:t>
      </w:r>
      <w:r w:rsidR="00813FB5">
        <w:rPr>
          <w:rFonts w:ascii="Palatino Linotype" w:hAnsi="Palatino Linotype"/>
          <w:sz w:val="24"/>
          <w:szCs w:val="24"/>
        </w:rPr>
        <w:t xml:space="preserve">which is </w:t>
      </w:r>
      <w:r w:rsidR="000F4560">
        <w:rPr>
          <w:rFonts w:ascii="Palatino Linotype" w:hAnsi="Palatino Linotype"/>
          <w:sz w:val="24"/>
          <w:szCs w:val="24"/>
        </w:rPr>
        <w:t>2.</w:t>
      </w:r>
      <w:r w:rsidR="007C434A">
        <w:rPr>
          <w:rFonts w:ascii="Palatino Linotype" w:hAnsi="Palatino Linotype"/>
          <w:sz w:val="24"/>
          <w:szCs w:val="24"/>
        </w:rPr>
        <w:t>5</w:t>
      </w:r>
      <w:r w:rsidR="000F4560">
        <w:rPr>
          <w:rFonts w:ascii="Palatino Linotype" w:hAnsi="Palatino Linotype"/>
          <w:sz w:val="24"/>
          <w:szCs w:val="24"/>
        </w:rPr>
        <w:t xml:space="preserve">3% </w:t>
      </w:r>
      <w:r w:rsidR="00F8732B">
        <w:rPr>
          <w:rFonts w:ascii="Palatino Linotype" w:hAnsi="Palatino Linotype"/>
          <w:sz w:val="24"/>
          <w:szCs w:val="24"/>
        </w:rPr>
        <w:t>(</w:t>
      </w:r>
      <w:r w:rsidR="000F4560">
        <w:rPr>
          <w:rFonts w:ascii="Palatino Linotype" w:hAnsi="Palatino Linotype"/>
          <w:sz w:val="24"/>
          <w:szCs w:val="24"/>
        </w:rPr>
        <w:t>$1</w:t>
      </w:r>
      <w:r w:rsidR="007C434A">
        <w:rPr>
          <w:rFonts w:ascii="Palatino Linotype" w:hAnsi="Palatino Linotype"/>
          <w:sz w:val="24"/>
          <w:szCs w:val="24"/>
        </w:rPr>
        <w:t>59</w:t>
      </w:r>
      <w:r w:rsidR="006D3D3C">
        <w:rPr>
          <w:rFonts w:ascii="Palatino Linotype" w:hAnsi="Palatino Linotype"/>
          <w:sz w:val="24"/>
          <w:szCs w:val="24"/>
        </w:rPr>
        <w:t>.7</w:t>
      </w:r>
      <w:r w:rsidR="00855F8E">
        <w:rPr>
          <w:rFonts w:ascii="Palatino Linotype" w:hAnsi="Palatino Linotype"/>
          <w:sz w:val="24"/>
          <w:szCs w:val="24"/>
        </w:rPr>
        <w:t xml:space="preserve"> million</w:t>
      </w:r>
      <w:r w:rsidR="000F4560">
        <w:rPr>
          <w:rFonts w:ascii="Palatino Linotype" w:hAnsi="Palatino Linotype"/>
          <w:sz w:val="24"/>
          <w:szCs w:val="24"/>
        </w:rPr>
        <w:t>)</w:t>
      </w:r>
      <w:r w:rsidR="008D3A04">
        <w:rPr>
          <w:rFonts w:ascii="Palatino Linotype" w:hAnsi="Palatino Linotype"/>
          <w:sz w:val="24"/>
          <w:szCs w:val="24"/>
        </w:rPr>
        <w:t xml:space="preserve"> </w:t>
      </w:r>
      <w:r w:rsidR="007C434A">
        <w:rPr>
          <w:rFonts w:ascii="Palatino Linotype" w:hAnsi="Palatino Linotype"/>
          <w:sz w:val="24"/>
          <w:szCs w:val="24"/>
        </w:rPr>
        <w:t>higher</w:t>
      </w:r>
      <w:r w:rsidR="00807899">
        <w:rPr>
          <w:rFonts w:ascii="Palatino Linotype" w:hAnsi="Palatino Linotype"/>
          <w:sz w:val="24"/>
          <w:szCs w:val="24"/>
        </w:rPr>
        <w:t xml:space="preserve"> than in </w:t>
      </w:r>
      <w:r w:rsidR="0088552D">
        <w:rPr>
          <w:rFonts w:ascii="Palatino Linotype" w:hAnsi="Palatino Linotype"/>
          <w:sz w:val="24"/>
          <w:szCs w:val="24"/>
        </w:rPr>
        <w:t>20</w:t>
      </w:r>
      <w:r w:rsidR="007C434A">
        <w:rPr>
          <w:rFonts w:ascii="Palatino Linotype" w:hAnsi="Palatino Linotype"/>
          <w:sz w:val="24"/>
          <w:szCs w:val="24"/>
        </w:rPr>
        <w:t>20</w:t>
      </w:r>
      <w:r w:rsidR="00E40D3A">
        <w:rPr>
          <w:rFonts w:ascii="Palatino Linotype" w:hAnsi="Palatino Linotype"/>
          <w:sz w:val="24"/>
          <w:szCs w:val="24"/>
        </w:rPr>
        <w:t xml:space="preserve"> </w:t>
      </w:r>
      <w:r w:rsidR="00A1692F">
        <w:rPr>
          <w:rFonts w:ascii="Palatino Linotype" w:hAnsi="Palatino Linotype"/>
          <w:sz w:val="24"/>
          <w:szCs w:val="24"/>
        </w:rPr>
        <w:t>(</w:t>
      </w:r>
      <w:r w:rsidR="0060545D">
        <w:rPr>
          <w:rFonts w:ascii="Palatino Linotype" w:hAnsi="Palatino Linotype"/>
          <w:sz w:val="24"/>
          <w:szCs w:val="24"/>
        </w:rPr>
        <w:t xml:space="preserve">about </w:t>
      </w:r>
      <w:r w:rsidR="0088552D">
        <w:rPr>
          <w:rFonts w:ascii="Palatino Linotype" w:hAnsi="Palatino Linotype"/>
          <w:sz w:val="24"/>
          <w:szCs w:val="24"/>
        </w:rPr>
        <w:t>$6</w:t>
      </w:r>
      <w:r w:rsidR="00DE603D">
        <w:rPr>
          <w:rFonts w:ascii="Palatino Linotype" w:hAnsi="Palatino Linotype"/>
          <w:sz w:val="24"/>
          <w:szCs w:val="24"/>
        </w:rPr>
        <w:t>.</w:t>
      </w:r>
      <w:r w:rsidR="00855F8E">
        <w:rPr>
          <w:rFonts w:ascii="Palatino Linotype" w:hAnsi="Palatino Linotype"/>
          <w:sz w:val="24"/>
          <w:szCs w:val="24"/>
        </w:rPr>
        <w:t>32 billion</w:t>
      </w:r>
      <w:r w:rsidRPr="00C00845" w:rsidR="00A1692F">
        <w:rPr>
          <w:rFonts w:ascii="Palatino Linotype" w:hAnsi="Palatino Linotype"/>
          <w:sz w:val="24"/>
          <w:szCs w:val="24"/>
        </w:rPr>
        <w:t>)</w:t>
      </w:r>
      <w:r w:rsidRPr="00C00845">
        <w:rPr>
          <w:rFonts w:ascii="Palatino Linotype" w:hAnsi="Palatino Linotype"/>
          <w:sz w:val="24"/>
          <w:szCs w:val="24"/>
        </w:rPr>
        <w:t>.</w:t>
      </w:r>
      <w:r w:rsidR="009C440A">
        <w:rPr>
          <w:rStyle w:val="FootnoteReference"/>
          <w:rFonts w:ascii="Palatino Linotype" w:hAnsi="Palatino Linotype"/>
          <w:sz w:val="24"/>
          <w:szCs w:val="24"/>
        </w:rPr>
        <w:footnoteReference w:id="9"/>
      </w:r>
      <w:r w:rsidRPr="00C00845">
        <w:rPr>
          <w:rFonts w:ascii="Palatino Linotype" w:hAnsi="Palatino Linotype"/>
          <w:sz w:val="24"/>
          <w:szCs w:val="24"/>
        </w:rPr>
        <w:t xml:space="preserve"> </w:t>
      </w:r>
      <w:r w:rsidR="00855F8E">
        <w:rPr>
          <w:rFonts w:ascii="Palatino Linotype" w:hAnsi="Palatino Linotype"/>
          <w:sz w:val="24"/>
          <w:szCs w:val="24"/>
        </w:rPr>
        <w:t xml:space="preserve"> </w:t>
      </w:r>
      <w:r w:rsidR="001B4E0D">
        <w:rPr>
          <w:rFonts w:ascii="Palatino Linotype" w:hAnsi="Palatino Linotype"/>
          <w:sz w:val="24"/>
          <w:szCs w:val="24"/>
        </w:rPr>
        <w:t xml:space="preserve">   </w:t>
      </w:r>
      <w:r w:rsidR="006D3D3C">
        <w:rPr>
          <w:rFonts w:ascii="Calibri" w:hAnsi="Calibri" w:cs="Calibri"/>
          <w:sz w:val="22"/>
          <w:szCs w:val="22"/>
        </w:rPr>
        <w:t xml:space="preserve">  </w:t>
      </w:r>
    </w:p>
    <w:p w:rsidRPr="002F4463" w:rsidR="002F4463" w:rsidP="002F4463" w:rsidRDefault="002F4463" w14:paraId="2B137498" w14:textId="77777777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bookmarkEnd w:id="3"/>
    <w:p w:rsidRPr="00266626" w:rsidR="001B4E0D" w:rsidP="002F4463" w:rsidRDefault="009D137A" w14:paraId="1A84D8AE" w14:textId="68315E6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/>
          <w:sz w:val="24"/>
          <w:szCs w:val="24"/>
        </w:rPr>
        <w:t>T</w:t>
      </w:r>
      <w:r w:rsidRPr="00B2052A" w:rsidR="008F541E">
        <w:rPr>
          <w:rFonts w:ascii="Palatino Linotype" w:hAnsi="Palatino Linotype"/>
          <w:sz w:val="24"/>
          <w:szCs w:val="24"/>
        </w:rPr>
        <w:t xml:space="preserve">he total DIVCA-related </w:t>
      </w:r>
      <w:r w:rsidRPr="00266626" w:rsidR="008F541E">
        <w:rPr>
          <w:rFonts w:ascii="Palatino Linotype" w:hAnsi="Palatino Linotype"/>
          <w:sz w:val="24"/>
          <w:szCs w:val="24"/>
        </w:rPr>
        <w:t>budget</w:t>
      </w:r>
      <w:r w:rsidRPr="00266626" w:rsidR="00BF5915">
        <w:rPr>
          <w:rFonts w:ascii="Palatino Linotype" w:hAnsi="Palatino Linotype"/>
          <w:sz w:val="24"/>
          <w:szCs w:val="24"/>
        </w:rPr>
        <w:t xml:space="preserve"> of </w:t>
      </w:r>
      <w:r w:rsidRPr="00266626" w:rsidR="00B7025F">
        <w:rPr>
          <w:rFonts w:ascii="Palatino Linotype" w:hAnsi="Palatino Linotype"/>
          <w:sz w:val="24"/>
          <w:szCs w:val="24"/>
        </w:rPr>
        <w:t>$1.</w:t>
      </w:r>
      <w:r w:rsidRPr="00266626" w:rsidR="008A4936">
        <w:rPr>
          <w:rFonts w:ascii="Palatino Linotype" w:hAnsi="Palatino Linotype"/>
          <w:sz w:val="24"/>
          <w:szCs w:val="24"/>
        </w:rPr>
        <w:t>6</w:t>
      </w:r>
      <w:r w:rsidRPr="00266626" w:rsidR="00B7025F">
        <w:rPr>
          <w:rFonts w:ascii="Palatino Linotype" w:hAnsi="Palatino Linotype"/>
          <w:sz w:val="24"/>
          <w:szCs w:val="24"/>
        </w:rPr>
        <w:t xml:space="preserve"> million </w:t>
      </w:r>
      <w:r w:rsidRPr="00266626" w:rsidR="008F541E">
        <w:rPr>
          <w:rFonts w:ascii="Palatino Linotype" w:hAnsi="Palatino Linotype"/>
          <w:sz w:val="24"/>
          <w:szCs w:val="24"/>
        </w:rPr>
        <w:t>amounts to</w:t>
      </w:r>
      <w:r w:rsidRPr="00266626" w:rsidR="00DD2F28">
        <w:rPr>
          <w:rFonts w:ascii="Palatino Linotype" w:hAnsi="Palatino Linotype"/>
          <w:sz w:val="24"/>
          <w:szCs w:val="24"/>
        </w:rPr>
        <w:t xml:space="preserve"> </w:t>
      </w:r>
      <w:r w:rsidRPr="00266626" w:rsidR="00745810">
        <w:rPr>
          <w:rFonts w:ascii="Palatino Linotype" w:hAnsi="Palatino Linotype"/>
          <w:sz w:val="24"/>
          <w:szCs w:val="24"/>
        </w:rPr>
        <w:t>0.0246915</w:t>
      </w:r>
      <w:r w:rsidRPr="00266626" w:rsidR="006D3D3C">
        <w:rPr>
          <w:rFonts w:ascii="Palatino Linotype" w:hAnsi="Palatino Linotype" w:cs="Calibri"/>
          <w:sz w:val="24"/>
          <w:szCs w:val="24"/>
        </w:rPr>
        <w:t>%</w:t>
      </w:r>
      <w:r w:rsidRPr="00266626" w:rsidR="006D3D3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66626" w:rsidR="00D559E9">
        <w:rPr>
          <w:rFonts w:ascii="Palatino Linotype" w:hAnsi="Palatino Linotype"/>
          <w:sz w:val="28"/>
          <w:szCs w:val="28"/>
        </w:rPr>
        <w:t xml:space="preserve">of </w:t>
      </w:r>
      <w:r w:rsidRPr="00266626" w:rsidR="008F541E">
        <w:rPr>
          <w:rFonts w:ascii="Palatino Linotype" w:hAnsi="Palatino Linotype"/>
          <w:sz w:val="24"/>
          <w:szCs w:val="24"/>
        </w:rPr>
        <w:t>the total video revenue in the state</w:t>
      </w:r>
      <w:r w:rsidRPr="00266626" w:rsidR="00BF5915">
        <w:rPr>
          <w:rFonts w:ascii="Palatino Linotype" w:hAnsi="Palatino Linotype"/>
          <w:sz w:val="24"/>
          <w:szCs w:val="24"/>
        </w:rPr>
        <w:t>,</w:t>
      </w:r>
      <w:r w:rsidRPr="00266626" w:rsidR="00BA199F">
        <w:rPr>
          <w:rStyle w:val="FootnoteReference"/>
          <w:rFonts w:ascii="Palatino Linotype" w:hAnsi="Palatino Linotype"/>
          <w:sz w:val="24"/>
          <w:szCs w:val="24"/>
        </w:rPr>
        <w:footnoteReference w:id="10"/>
      </w:r>
      <w:r w:rsidRPr="00266626" w:rsidR="008E305A">
        <w:rPr>
          <w:rFonts w:ascii="Palatino Linotype" w:hAnsi="Palatino Linotype"/>
          <w:sz w:val="24"/>
          <w:szCs w:val="24"/>
        </w:rPr>
        <w:t xml:space="preserve"> </w:t>
      </w:r>
      <w:r w:rsidRPr="00266626" w:rsidR="00BF5915">
        <w:rPr>
          <w:rFonts w:ascii="Palatino Linotype" w:hAnsi="Palatino Linotype"/>
          <w:sz w:val="24"/>
          <w:szCs w:val="24"/>
        </w:rPr>
        <w:t>or</w:t>
      </w:r>
      <w:r w:rsidRPr="00266626" w:rsidR="000F7D12">
        <w:rPr>
          <w:rFonts w:ascii="Palatino Linotype" w:hAnsi="Palatino Linotype"/>
          <w:sz w:val="24"/>
          <w:szCs w:val="24"/>
        </w:rPr>
        <w:t xml:space="preserve"> </w:t>
      </w:r>
      <w:r w:rsidRPr="00266626" w:rsidR="00745810">
        <w:rPr>
          <w:rFonts w:ascii="Palatino Linotype" w:hAnsi="Palatino Linotype"/>
          <w:sz w:val="24"/>
          <w:szCs w:val="24"/>
        </w:rPr>
        <w:t xml:space="preserve">0.0246915 </w:t>
      </w:r>
      <w:r w:rsidRPr="00266626" w:rsidR="008F541E">
        <w:rPr>
          <w:rFonts w:ascii="Palatino Linotype" w:hAnsi="Palatino Linotype"/>
          <w:sz w:val="24"/>
          <w:szCs w:val="24"/>
        </w:rPr>
        <w:t>cents per dollar of gross video revenue</w:t>
      </w:r>
      <w:r w:rsidRPr="00266626" w:rsidR="00BF5915">
        <w:rPr>
          <w:rFonts w:ascii="Palatino Linotype" w:hAnsi="Palatino Linotype"/>
          <w:sz w:val="24"/>
          <w:szCs w:val="24"/>
        </w:rPr>
        <w:t xml:space="preserve"> received by each franchise holder.</w:t>
      </w:r>
      <w:r w:rsidRPr="00266626" w:rsidR="001E1A82">
        <w:rPr>
          <w:rStyle w:val="FootnoteReference"/>
          <w:rFonts w:ascii="Palatino Linotype" w:hAnsi="Palatino Linotype"/>
          <w:sz w:val="24"/>
          <w:szCs w:val="24"/>
        </w:rPr>
        <w:footnoteReference w:id="11"/>
      </w:r>
      <w:r w:rsidRPr="00266626" w:rsidR="001B4E0D">
        <w:rPr>
          <w:rFonts w:ascii="Palatino Linotype" w:hAnsi="Palatino Linotype"/>
          <w:sz w:val="24"/>
          <w:szCs w:val="24"/>
        </w:rPr>
        <w:t xml:space="preserve">  </w:t>
      </w:r>
    </w:p>
    <w:p w:rsidRPr="00266626" w:rsidR="001B4E0D" w:rsidP="002F4463" w:rsidRDefault="001B4E0D" w14:paraId="56CBDB33" w14:textId="57453B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541E" w:rsidP="002F4463" w:rsidRDefault="008F541E" w14:paraId="03B7CCB7" w14:textId="5F089DD7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266626">
        <w:rPr>
          <w:rFonts w:ascii="Palatino Linotype" w:hAnsi="Palatino Linotype"/>
          <w:sz w:val="24"/>
          <w:szCs w:val="24"/>
        </w:rPr>
        <w:t xml:space="preserve">Since an individual </w:t>
      </w:r>
      <w:r w:rsidRPr="00266626" w:rsidR="00997B8A">
        <w:rPr>
          <w:rFonts w:ascii="Palatino Linotype" w:hAnsi="Palatino Linotype"/>
          <w:sz w:val="24"/>
          <w:szCs w:val="24"/>
        </w:rPr>
        <w:t xml:space="preserve">state </w:t>
      </w:r>
      <w:r w:rsidRPr="00266626" w:rsidR="0089524C">
        <w:rPr>
          <w:rFonts w:ascii="Palatino Linotype" w:hAnsi="Palatino Linotype"/>
          <w:sz w:val="24"/>
          <w:szCs w:val="24"/>
        </w:rPr>
        <w:t xml:space="preserve">video </w:t>
      </w:r>
      <w:r w:rsidRPr="00266626">
        <w:rPr>
          <w:rFonts w:ascii="Palatino Linotype" w:hAnsi="Palatino Linotype"/>
          <w:sz w:val="24"/>
          <w:szCs w:val="24"/>
        </w:rPr>
        <w:t>franchise holder’s fee</w:t>
      </w:r>
      <w:r>
        <w:rPr>
          <w:rFonts w:ascii="Palatino Linotype" w:hAnsi="Palatino Linotype"/>
          <w:sz w:val="24"/>
          <w:szCs w:val="24"/>
        </w:rPr>
        <w:t xml:space="preserve"> will be directly related to </w:t>
      </w:r>
      <w:r w:rsidR="001C34AD">
        <w:rPr>
          <w:rFonts w:ascii="Palatino Linotype" w:hAnsi="Palatino Linotype"/>
          <w:sz w:val="24"/>
          <w:szCs w:val="24"/>
        </w:rPr>
        <w:t>its</w:t>
      </w:r>
      <w:r>
        <w:rPr>
          <w:rFonts w:ascii="Palatino Linotype" w:hAnsi="Palatino Linotype"/>
          <w:sz w:val="24"/>
          <w:szCs w:val="24"/>
        </w:rPr>
        <w:t xml:space="preserve"> gross video revenue</w:t>
      </w:r>
      <w:r w:rsidR="002E49D5">
        <w:rPr>
          <w:rFonts w:ascii="Palatino Linotype" w:hAnsi="Palatino Linotype"/>
          <w:sz w:val="24"/>
          <w:szCs w:val="24"/>
        </w:rPr>
        <w:t>, which</w:t>
      </w:r>
      <w:r w:rsidR="00FF1E77">
        <w:rPr>
          <w:rFonts w:ascii="Palatino Linotype" w:hAnsi="Palatino Linotype"/>
          <w:sz w:val="24"/>
          <w:szCs w:val="24"/>
        </w:rPr>
        <w:t xml:space="preserve"> </w:t>
      </w:r>
      <w:r w:rsidR="00F1392D">
        <w:rPr>
          <w:rFonts w:ascii="Palatino Linotype" w:hAnsi="Palatino Linotype"/>
          <w:sz w:val="24"/>
          <w:szCs w:val="24"/>
        </w:rPr>
        <w:t xml:space="preserve">has </w:t>
      </w:r>
      <w:r w:rsidR="00A320BF">
        <w:rPr>
          <w:rFonts w:ascii="Palatino Linotype" w:hAnsi="Palatino Linotype"/>
          <w:sz w:val="24"/>
          <w:szCs w:val="24"/>
        </w:rPr>
        <w:t>confidential</w:t>
      </w:r>
      <w:r w:rsidR="00F1392D">
        <w:rPr>
          <w:rFonts w:ascii="Palatino Linotype" w:hAnsi="Palatino Linotype"/>
          <w:sz w:val="24"/>
          <w:szCs w:val="24"/>
        </w:rPr>
        <w:t xml:space="preserve"> treatment</w:t>
      </w:r>
      <w:r>
        <w:rPr>
          <w:rFonts w:ascii="Palatino Linotype" w:hAnsi="Palatino Linotype"/>
          <w:sz w:val="24"/>
          <w:szCs w:val="24"/>
        </w:rPr>
        <w:t xml:space="preserve">, we cannot disclose the annual fee of any individual </w:t>
      </w:r>
      <w:r w:rsidR="00997B8A">
        <w:rPr>
          <w:rFonts w:ascii="Palatino Linotype" w:hAnsi="Palatino Linotype"/>
          <w:sz w:val="24"/>
          <w:szCs w:val="24"/>
        </w:rPr>
        <w:t xml:space="preserve">state </w:t>
      </w:r>
      <w:r>
        <w:rPr>
          <w:rFonts w:ascii="Palatino Linotype" w:hAnsi="Palatino Linotype"/>
          <w:sz w:val="24"/>
          <w:szCs w:val="24"/>
        </w:rPr>
        <w:t>video franchise holder.</w:t>
      </w:r>
      <w:r w:rsidR="00792E9D">
        <w:rPr>
          <w:rStyle w:val="FootnoteReference"/>
          <w:rFonts w:ascii="Palatino Linotype" w:hAnsi="Palatino Linotype"/>
          <w:sz w:val="24"/>
          <w:szCs w:val="24"/>
        </w:rPr>
        <w:footnoteReference w:id="12"/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997B8A" w:rsidP="002F4463" w:rsidRDefault="00997B8A" w14:paraId="08F7FACB" w14:textId="77777777">
      <w:pPr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</w:p>
    <w:p w:rsidRPr="002F4463" w:rsidR="00FB65C5" w:rsidP="002F4463" w:rsidRDefault="008F541E" w14:paraId="2CA07464" w14:textId="5052438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Commission will send all </w:t>
      </w:r>
      <w:r w:rsidR="00997B8A">
        <w:rPr>
          <w:rFonts w:ascii="Palatino Linotype" w:hAnsi="Palatino Linotype"/>
          <w:sz w:val="24"/>
          <w:szCs w:val="24"/>
        </w:rPr>
        <w:t xml:space="preserve">state </w:t>
      </w:r>
      <w:r>
        <w:rPr>
          <w:rFonts w:ascii="Palatino Linotype" w:hAnsi="Palatino Linotype"/>
          <w:sz w:val="24"/>
          <w:szCs w:val="24"/>
        </w:rPr>
        <w:t xml:space="preserve">video franchise holders a confidential fee statement after adoption of this Resolution.  </w:t>
      </w:r>
      <w:r w:rsidR="00862B40">
        <w:rPr>
          <w:rFonts w:ascii="Palatino Linotype" w:hAnsi="Palatino Linotype"/>
          <w:sz w:val="24"/>
          <w:szCs w:val="24"/>
        </w:rPr>
        <w:t>State video</w:t>
      </w:r>
      <w:r>
        <w:rPr>
          <w:rFonts w:ascii="Palatino Linotype" w:hAnsi="Palatino Linotype"/>
          <w:sz w:val="24"/>
          <w:szCs w:val="24"/>
        </w:rPr>
        <w:t xml:space="preserve"> franchise holders with franchises issued any time on or prior to June </w:t>
      </w:r>
      <w:r w:rsidR="00D52408">
        <w:rPr>
          <w:rFonts w:ascii="Palatino Linotype" w:hAnsi="Palatino Linotype"/>
          <w:sz w:val="24"/>
          <w:szCs w:val="24"/>
        </w:rPr>
        <w:t xml:space="preserve">30, </w:t>
      </w:r>
      <w:r w:rsidR="00B86B28">
        <w:rPr>
          <w:rFonts w:ascii="Palatino Linotype" w:hAnsi="Palatino Linotype"/>
          <w:sz w:val="24"/>
          <w:szCs w:val="24"/>
        </w:rPr>
        <w:t>202</w:t>
      </w:r>
      <w:r w:rsidR="001E3854">
        <w:rPr>
          <w:rFonts w:ascii="Palatino Linotype" w:hAnsi="Palatino Linotype"/>
          <w:sz w:val="24"/>
          <w:szCs w:val="24"/>
        </w:rPr>
        <w:t>3</w:t>
      </w:r>
      <w:r w:rsidR="00B86B28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are required to pay the annual fee for the full Fiscal Year</w:t>
      </w:r>
      <w:r w:rsidR="00EA61B7">
        <w:rPr>
          <w:rFonts w:ascii="Palatino Linotype" w:hAnsi="Palatino Linotype"/>
          <w:sz w:val="24"/>
          <w:szCs w:val="24"/>
        </w:rPr>
        <w:t xml:space="preserve"> 20</w:t>
      </w:r>
      <w:r w:rsidR="009B6261">
        <w:rPr>
          <w:rFonts w:ascii="Palatino Linotype" w:hAnsi="Palatino Linotype"/>
          <w:sz w:val="24"/>
          <w:szCs w:val="24"/>
        </w:rPr>
        <w:t>2</w:t>
      </w:r>
      <w:r w:rsidR="001E3854">
        <w:rPr>
          <w:rFonts w:ascii="Palatino Linotype" w:hAnsi="Palatino Linotype"/>
          <w:sz w:val="24"/>
          <w:szCs w:val="24"/>
        </w:rPr>
        <w:t>2</w:t>
      </w:r>
      <w:r w:rsidR="00EA61B7">
        <w:rPr>
          <w:rFonts w:ascii="Palatino Linotype" w:hAnsi="Palatino Linotype"/>
          <w:sz w:val="24"/>
          <w:szCs w:val="24"/>
        </w:rPr>
        <w:t>-202</w:t>
      </w:r>
      <w:r w:rsidR="001E3854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997B8A">
        <w:rPr>
          <w:rFonts w:ascii="Palatino Linotype" w:hAnsi="Palatino Linotype"/>
          <w:sz w:val="24"/>
          <w:szCs w:val="24"/>
        </w:rPr>
        <w:t xml:space="preserve"> </w:t>
      </w:r>
      <w:r w:rsidR="00862B40">
        <w:rPr>
          <w:rFonts w:ascii="Palatino Linotype" w:hAnsi="Palatino Linotype"/>
          <w:sz w:val="24"/>
          <w:szCs w:val="24"/>
        </w:rPr>
        <w:t>State video</w:t>
      </w:r>
      <w:r>
        <w:rPr>
          <w:rFonts w:ascii="Palatino Linotype" w:hAnsi="Palatino Linotype"/>
          <w:sz w:val="24"/>
          <w:szCs w:val="24"/>
        </w:rPr>
        <w:t xml:space="preserve"> franchise holders with franchises issued on or before the date o</w:t>
      </w:r>
      <w:r w:rsidR="008331AB">
        <w:rPr>
          <w:rFonts w:ascii="Palatino Linotype" w:hAnsi="Palatino Linotype"/>
          <w:sz w:val="24"/>
          <w:szCs w:val="24"/>
        </w:rPr>
        <w:t xml:space="preserve">f this Resolution must pay </w:t>
      </w:r>
      <w:r w:rsidR="003672FA">
        <w:rPr>
          <w:rFonts w:ascii="Palatino Linotype" w:hAnsi="Palatino Linotype"/>
          <w:sz w:val="24"/>
          <w:szCs w:val="24"/>
        </w:rPr>
        <w:t>their</w:t>
      </w:r>
      <w:r>
        <w:rPr>
          <w:rFonts w:ascii="Palatino Linotype" w:hAnsi="Palatino Linotype"/>
          <w:sz w:val="24"/>
          <w:szCs w:val="24"/>
        </w:rPr>
        <w:t xml:space="preserve"> annual fees for Fiscal Year </w:t>
      </w:r>
      <w:r w:rsidR="007A2EA1">
        <w:rPr>
          <w:rFonts w:ascii="Palatino Linotype" w:hAnsi="Palatino Linotype"/>
          <w:sz w:val="24"/>
          <w:szCs w:val="24"/>
        </w:rPr>
        <w:t>20</w:t>
      </w:r>
      <w:r w:rsidR="009B6261">
        <w:rPr>
          <w:rFonts w:ascii="Palatino Linotype" w:hAnsi="Palatino Linotype"/>
          <w:sz w:val="24"/>
          <w:szCs w:val="24"/>
        </w:rPr>
        <w:t>2</w:t>
      </w:r>
      <w:r w:rsidR="001E3854">
        <w:rPr>
          <w:rFonts w:ascii="Palatino Linotype" w:hAnsi="Palatino Linotype"/>
          <w:sz w:val="24"/>
          <w:szCs w:val="24"/>
        </w:rPr>
        <w:t>2</w:t>
      </w:r>
      <w:r w:rsidR="007A2EA1">
        <w:rPr>
          <w:rFonts w:ascii="Palatino Linotype" w:hAnsi="Palatino Linotype"/>
          <w:sz w:val="24"/>
          <w:szCs w:val="24"/>
        </w:rPr>
        <w:t>-202</w:t>
      </w:r>
      <w:r w:rsidR="001E3854">
        <w:rPr>
          <w:rFonts w:ascii="Palatino Linotype" w:hAnsi="Palatino Linotype"/>
          <w:sz w:val="24"/>
          <w:szCs w:val="24"/>
        </w:rPr>
        <w:t>3</w:t>
      </w:r>
      <w:r w:rsidR="007A2EA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before</w:t>
      </w:r>
      <w:r w:rsidR="00F47BCB">
        <w:rPr>
          <w:rFonts w:ascii="Palatino Linotype" w:hAnsi="Palatino Linotype"/>
          <w:sz w:val="24"/>
          <w:szCs w:val="24"/>
        </w:rPr>
        <w:t xml:space="preserve"> </w:t>
      </w:r>
      <w:r w:rsidR="00F47BCB">
        <w:rPr>
          <w:rFonts w:ascii="Palatino Linotype" w:hAnsi="Palatino Linotype"/>
          <w:sz w:val="24"/>
          <w:szCs w:val="24"/>
        </w:rPr>
        <w:br/>
      </w:r>
      <w:r w:rsidR="00CD5932">
        <w:rPr>
          <w:rFonts w:ascii="Palatino Linotype" w:hAnsi="Palatino Linotype"/>
          <w:sz w:val="24"/>
          <w:szCs w:val="24"/>
        </w:rPr>
        <w:t xml:space="preserve">May 2, </w:t>
      </w:r>
      <w:r>
        <w:rPr>
          <w:rFonts w:ascii="Palatino Linotype" w:hAnsi="Palatino Linotype"/>
          <w:sz w:val="24"/>
          <w:szCs w:val="24"/>
        </w:rPr>
        <w:t>20</w:t>
      </w:r>
      <w:r w:rsidR="007A2EA1">
        <w:rPr>
          <w:rFonts w:ascii="Palatino Linotype" w:hAnsi="Palatino Linotype"/>
          <w:sz w:val="24"/>
          <w:szCs w:val="24"/>
        </w:rPr>
        <w:t>2</w:t>
      </w:r>
      <w:r w:rsidR="001E3854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.  Holders of </w:t>
      </w:r>
      <w:r w:rsidR="00862B40">
        <w:rPr>
          <w:rFonts w:ascii="Palatino Linotype" w:hAnsi="Palatino Linotype"/>
          <w:sz w:val="24"/>
          <w:szCs w:val="24"/>
        </w:rPr>
        <w:t>state video</w:t>
      </w:r>
      <w:r w:rsidR="0089524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franchises granted after the date of the Resolution shall pay the fee amount to the Commission within 60 </w:t>
      </w:r>
      <w:r w:rsidR="008331AB">
        <w:rPr>
          <w:rFonts w:ascii="Palatino Linotype" w:hAnsi="Palatino Linotype"/>
          <w:sz w:val="24"/>
          <w:szCs w:val="24"/>
        </w:rPr>
        <w:t xml:space="preserve">days after the issuance of </w:t>
      </w:r>
      <w:r w:rsidR="003672FA">
        <w:rPr>
          <w:rFonts w:ascii="Palatino Linotype" w:hAnsi="Palatino Linotype"/>
          <w:sz w:val="24"/>
          <w:szCs w:val="24"/>
        </w:rPr>
        <w:t>their</w:t>
      </w:r>
      <w:r>
        <w:rPr>
          <w:rFonts w:ascii="Palatino Linotype" w:hAnsi="Palatino Linotype"/>
          <w:sz w:val="24"/>
          <w:szCs w:val="24"/>
        </w:rPr>
        <w:t xml:space="preserve"> franchise or by June 30, 20</w:t>
      </w:r>
      <w:r w:rsidR="007A2EA1">
        <w:rPr>
          <w:rFonts w:ascii="Palatino Linotype" w:hAnsi="Palatino Linotype"/>
          <w:sz w:val="24"/>
          <w:szCs w:val="24"/>
        </w:rPr>
        <w:t>2</w:t>
      </w:r>
      <w:r w:rsidR="001E3854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>, whichever is earlier.</w:t>
      </w:r>
    </w:p>
    <w:p w:rsidR="002F4463" w:rsidP="008F541E" w:rsidRDefault="002F4463" w14:paraId="2E71F6C4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</w:p>
    <w:p w:rsidR="008331AB" w:rsidP="008F541E" w:rsidRDefault="008331AB" w14:paraId="6DA72E26" w14:textId="72BBECA2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SAFETY </w:t>
      </w:r>
      <w:r w:rsidRPr="00AD62EB">
        <w:rPr>
          <w:rFonts w:ascii="Palatino Linotype" w:hAnsi="Palatino Linotype"/>
          <w:b/>
          <w:sz w:val="24"/>
          <w:szCs w:val="24"/>
          <w:u w:val="single"/>
        </w:rPr>
        <w:t>CONSIDERATIONS</w:t>
      </w:r>
    </w:p>
    <w:p w:rsidR="008F541E" w:rsidP="008F541E" w:rsidRDefault="008F541E" w14:paraId="41A2525A" w14:textId="348E72BE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Pr="006C536C" w:rsidR="006C536C" w:rsidP="002F4463" w:rsidRDefault="006C536C" w14:paraId="57D4BAB0" w14:textId="70FBAE33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21D4DD65">
        <w:rPr>
          <w:rFonts w:ascii="Palatino Linotype" w:hAnsi="Palatino Linotype"/>
          <w:sz w:val="24"/>
          <w:szCs w:val="24"/>
        </w:rPr>
        <w:t>State video franchise holders play an important role in public safety by disseminating emergency information to viewers by participating in the Emergency Alert Program, by providing I</w:t>
      </w:r>
      <w:r w:rsidR="00936D8F">
        <w:rPr>
          <w:rFonts w:ascii="Palatino Linotype" w:hAnsi="Palatino Linotype"/>
          <w:sz w:val="24"/>
          <w:szCs w:val="24"/>
        </w:rPr>
        <w:t xml:space="preserve">nternet </w:t>
      </w:r>
      <w:r w:rsidRPr="21D4DD65">
        <w:rPr>
          <w:rFonts w:ascii="Palatino Linotype" w:hAnsi="Palatino Linotype"/>
          <w:sz w:val="24"/>
          <w:szCs w:val="24"/>
        </w:rPr>
        <w:t>P</w:t>
      </w:r>
      <w:r w:rsidR="00936D8F">
        <w:rPr>
          <w:rFonts w:ascii="Palatino Linotype" w:hAnsi="Palatino Linotype"/>
          <w:sz w:val="24"/>
          <w:szCs w:val="24"/>
        </w:rPr>
        <w:t>rotocol</w:t>
      </w:r>
      <w:r w:rsidRPr="21D4DD65">
        <w:rPr>
          <w:rFonts w:ascii="Palatino Linotype" w:hAnsi="Palatino Linotype"/>
          <w:sz w:val="24"/>
          <w:szCs w:val="24"/>
        </w:rPr>
        <w:t xml:space="preserve">-based services that will accommodate enhanced 911 services, </w:t>
      </w:r>
      <w:r w:rsidRPr="21D4DD65">
        <w:rPr>
          <w:rFonts w:ascii="Palatino Linotype" w:hAnsi="Palatino Linotype"/>
          <w:sz w:val="24"/>
          <w:szCs w:val="24"/>
        </w:rPr>
        <w:lastRenderedPageBreak/>
        <w:t>by supporting tele-health capabilities during emergencies, and by providing diverse facilities to improve survivability of the State’s communications capability during and after a catastrophic or other emergency event</w:t>
      </w:r>
      <w:r w:rsidRPr="21D4DD65" w:rsidR="00845D9D">
        <w:rPr>
          <w:rFonts w:ascii="Palatino Linotype" w:hAnsi="Palatino Linotype"/>
          <w:sz w:val="24"/>
          <w:szCs w:val="24"/>
        </w:rPr>
        <w:t>.</w:t>
      </w:r>
    </w:p>
    <w:p w:rsidR="0024662D" w:rsidP="00BA5E54" w:rsidRDefault="0024662D" w14:paraId="5AD18CDC" w14:textId="3415AE36">
      <w:pPr>
        <w:overflowPunct w:val="0"/>
        <w:autoSpaceDE w:val="0"/>
        <w:autoSpaceDN w:val="0"/>
        <w:ind w:right="630"/>
        <w:rPr>
          <w:rFonts w:ascii="Palatino Linotype" w:hAnsi="Palatino Linotype"/>
          <w:sz w:val="24"/>
          <w:szCs w:val="24"/>
        </w:rPr>
      </w:pPr>
    </w:p>
    <w:p w:rsidR="0024662D" w:rsidP="0024662D" w:rsidRDefault="0024662D" w14:paraId="45466D53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COMMENTS</w:t>
      </w:r>
    </w:p>
    <w:p w:rsidR="00E515D0" w:rsidP="00E515D0" w:rsidRDefault="00E515D0" w14:paraId="430CE11E" w14:textId="77777777">
      <w:pPr>
        <w:rPr>
          <w:rFonts w:ascii="Palatino Linotype" w:hAnsi="Palatino Linotype"/>
          <w:b/>
          <w:sz w:val="24"/>
          <w:szCs w:val="24"/>
        </w:rPr>
      </w:pPr>
    </w:p>
    <w:p w:rsidR="00722A81" w:rsidP="002F4463" w:rsidRDefault="00722A81" w14:paraId="7FC9F876" w14:textId="00C45E9C">
      <w:pPr>
        <w:jc w:val="both"/>
        <w:rPr>
          <w:sz w:val="26"/>
          <w:szCs w:val="26"/>
        </w:rPr>
      </w:pPr>
      <w:r>
        <w:rPr>
          <w:sz w:val="26"/>
          <w:szCs w:val="26"/>
        </w:rPr>
        <w:t>The Commission received no public comments.</w:t>
      </w:r>
    </w:p>
    <w:p w:rsidR="00722A81" w:rsidP="002F4463" w:rsidRDefault="00722A81" w14:paraId="7EA0FAD9" w14:textId="77777777">
      <w:pPr>
        <w:jc w:val="both"/>
        <w:rPr>
          <w:sz w:val="26"/>
          <w:szCs w:val="26"/>
        </w:rPr>
      </w:pPr>
    </w:p>
    <w:p w:rsidR="00E515D0" w:rsidP="002F4463" w:rsidRDefault="00E515D0" w14:paraId="394BD13D" w14:textId="024DD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compliance with P.U. Code § 311(g), the Commission emailed a notice letter on April 14, 2023, informing the service list of the availability of this resolution for public comments at the Commission’s Web site, </w:t>
      </w:r>
      <w:hyperlink w:history="1" r:id="rId8">
        <w:r>
          <w:rPr>
            <w:rStyle w:val="Hyperlink"/>
            <w:sz w:val="26"/>
            <w:szCs w:val="26"/>
          </w:rPr>
          <w:t>www.cpuc.ca.gov</w:t>
        </w:r>
      </w:hyperlink>
      <w:r>
        <w:rPr>
          <w:sz w:val="26"/>
          <w:szCs w:val="26"/>
        </w:rPr>
        <w:t xml:space="preserve">. The notice letter also stated that the final resolution adopted by the Commission will be posted and available at the same website.     </w:t>
      </w:r>
    </w:p>
    <w:p w:rsidR="00E515D0" w:rsidP="008F541E" w:rsidRDefault="00E515D0" w14:paraId="72ACC944" w14:textId="77777777">
      <w:pPr>
        <w:rPr>
          <w:rFonts w:ascii="Palatino Linotype" w:hAnsi="Palatino Linotype"/>
          <w:sz w:val="24"/>
          <w:szCs w:val="24"/>
        </w:rPr>
      </w:pPr>
    </w:p>
    <w:p w:rsidRPr="00E515D0" w:rsidR="00E515D0" w:rsidP="008F541E" w:rsidRDefault="00E515D0" w14:paraId="6BE63DFB" w14:textId="0301AF40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E515D0">
        <w:rPr>
          <w:rFonts w:ascii="Palatino Linotype" w:hAnsi="Palatino Linotype"/>
          <w:b/>
          <w:bCs/>
          <w:sz w:val="24"/>
          <w:szCs w:val="24"/>
          <w:u w:val="single"/>
        </w:rPr>
        <w:t>FINDINGS</w:t>
      </w:r>
    </w:p>
    <w:p w:rsidR="00E515D0" w:rsidP="008F541E" w:rsidRDefault="00E515D0" w14:paraId="155F1DDC" w14:textId="77777777">
      <w:pPr>
        <w:rPr>
          <w:rFonts w:ascii="Palatino Linotype" w:hAnsi="Palatino Linotype"/>
          <w:sz w:val="24"/>
          <w:szCs w:val="24"/>
        </w:rPr>
      </w:pPr>
    </w:p>
    <w:p w:rsidR="008F541E" w:rsidP="002F4463" w:rsidRDefault="00250703" w14:paraId="408FD46D" w14:textId="234B4079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</w:t>
      </w:r>
      <w:r w:rsidR="008F541E">
        <w:rPr>
          <w:rFonts w:ascii="Palatino Linotype" w:hAnsi="Palatino Linotype"/>
          <w:sz w:val="24"/>
        </w:rPr>
        <w:t>he Digital Infrastructure and Video Competition Act requires the Commission to calculate, and state</w:t>
      </w:r>
      <w:r w:rsidR="00997B8A">
        <w:rPr>
          <w:rFonts w:ascii="Palatino Linotype" w:hAnsi="Palatino Linotype"/>
          <w:sz w:val="24"/>
        </w:rPr>
        <w:t xml:space="preserve"> </w:t>
      </w:r>
      <w:r w:rsidR="008F541E">
        <w:rPr>
          <w:rFonts w:ascii="Palatino Linotype" w:hAnsi="Palatino Linotype"/>
          <w:sz w:val="24"/>
        </w:rPr>
        <w:t>video franchise</w:t>
      </w:r>
      <w:r w:rsidR="00997B8A">
        <w:rPr>
          <w:rFonts w:ascii="Palatino Linotype" w:hAnsi="Palatino Linotype"/>
          <w:sz w:val="24"/>
        </w:rPr>
        <w:t xml:space="preserve"> holders</w:t>
      </w:r>
      <w:r w:rsidR="008F541E">
        <w:rPr>
          <w:rFonts w:ascii="Palatino Linotype" w:hAnsi="Palatino Linotype"/>
          <w:sz w:val="24"/>
        </w:rPr>
        <w:t xml:space="preserve"> to pay, an annual fee.</w:t>
      </w:r>
    </w:p>
    <w:p w:rsidR="008F541E" w:rsidP="002F4463" w:rsidRDefault="008F541E" w14:paraId="68D525F3" w14:textId="77777777">
      <w:pPr>
        <w:tabs>
          <w:tab w:val="left" w:pos="-1440"/>
          <w:tab w:val="left" w:pos="-720"/>
        </w:tabs>
        <w:suppressAutoHyphens/>
        <w:jc w:val="both"/>
        <w:rPr>
          <w:rFonts w:ascii="Palatino Linotype" w:hAnsi="Palatino Linotype"/>
          <w:sz w:val="24"/>
        </w:rPr>
      </w:pPr>
    </w:p>
    <w:p w:rsidR="0022719B" w:rsidP="002F4463" w:rsidRDefault="008F541E" w14:paraId="7724F405" w14:textId="7EF589C6">
      <w:pPr>
        <w:numPr>
          <w:ilvl w:val="0"/>
          <w:numId w:val="2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 w:rsidRPr="21D4DD65">
        <w:rPr>
          <w:rFonts w:ascii="Palatino Linotype" w:hAnsi="Palatino Linotype"/>
          <w:sz w:val="24"/>
          <w:szCs w:val="24"/>
        </w:rPr>
        <w:t xml:space="preserve">The annual fee for </w:t>
      </w:r>
      <w:r w:rsidRPr="21D4DD65" w:rsidR="00A35D8A">
        <w:rPr>
          <w:rFonts w:ascii="Palatino Linotype" w:hAnsi="Palatino Linotype"/>
          <w:sz w:val="24"/>
          <w:szCs w:val="24"/>
        </w:rPr>
        <w:t>F</w:t>
      </w:r>
      <w:r w:rsidRPr="21D4DD65">
        <w:rPr>
          <w:rFonts w:ascii="Palatino Linotype" w:hAnsi="Palatino Linotype"/>
          <w:sz w:val="24"/>
          <w:szCs w:val="24"/>
        </w:rPr>
        <w:t xml:space="preserve">iscal </w:t>
      </w:r>
      <w:r w:rsidRPr="21D4DD65" w:rsidR="00A35D8A">
        <w:rPr>
          <w:rFonts w:ascii="Palatino Linotype" w:hAnsi="Palatino Linotype"/>
          <w:sz w:val="24"/>
          <w:szCs w:val="24"/>
        </w:rPr>
        <w:t>Y</w:t>
      </w:r>
      <w:r w:rsidRPr="21D4DD65">
        <w:rPr>
          <w:rFonts w:ascii="Palatino Linotype" w:hAnsi="Palatino Linotype"/>
          <w:sz w:val="24"/>
          <w:szCs w:val="24"/>
        </w:rPr>
        <w:t xml:space="preserve">ear </w:t>
      </w:r>
      <w:r w:rsidRPr="21D4DD65" w:rsidR="007A2EA1">
        <w:rPr>
          <w:rFonts w:ascii="Palatino Linotype" w:hAnsi="Palatino Linotype"/>
          <w:sz w:val="24"/>
          <w:szCs w:val="24"/>
        </w:rPr>
        <w:t>20</w:t>
      </w:r>
      <w:r w:rsidRPr="21D4DD65" w:rsidR="00D03879">
        <w:rPr>
          <w:rFonts w:ascii="Palatino Linotype" w:hAnsi="Palatino Linotype"/>
          <w:sz w:val="24"/>
          <w:szCs w:val="24"/>
        </w:rPr>
        <w:t>2</w:t>
      </w:r>
      <w:r w:rsidRPr="21D4DD65" w:rsidR="0022719B">
        <w:rPr>
          <w:rFonts w:ascii="Palatino Linotype" w:hAnsi="Palatino Linotype"/>
          <w:sz w:val="24"/>
          <w:szCs w:val="24"/>
        </w:rPr>
        <w:t>2</w:t>
      </w:r>
      <w:r w:rsidRPr="21D4DD65" w:rsidR="007A2EA1">
        <w:rPr>
          <w:rFonts w:ascii="Palatino Linotype" w:hAnsi="Palatino Linotype"/>
          <w:sz w:val="24"/>
          <w:szCs w:val="24"/>
        </w:rPr>
        <w:t>-202</w:t>
      </w:r>
      <w:r w:rsidRPr="21D4DD65" w:rsidR="0022719B">
        <w:rPr>
          <w:rFonts w:ascii="Palatino Linotype" w:hAnsi="Palatino Linotype"/>
          <w:sz w:val="24"/>
          <w:szCs w:val="24"/>
        </w:rPr>
        <w:t>3</w:t>
      </w:r>
      <w:r w:rsidRPr="21D4DD65" w:rsidR="007A2EA1">
        <w:rPr>
          <w:rFonts w:ascii="Palatino Linotype" w:hAnsi="Palatino Linotype"/>
          <w:sz w:val="24"/>
          <w:szCs w:val="24"/>
        </w:rPr>
        <w:t xml:space="preserve"> </w:t>
      </w:r>
      <w:r w:rsidRPr="21D4DD65">
        <w:rPr>
          <w:rFonts w:ascii="Palatino Linotype" w:hAnsi="Palatino Linotype"/>
          <w:sz w:val="24"/>
          <w:szCs w:val="24"/>
        </w:rPr>
        <w:t xml:space="preserve">is to be calculated based on each state video franchise holder’s pro-rata share of total gross video revenue </w:t>
      </w:r>
      <w:r w:rsidRPr="21D4DD65" w:rsidR="008B5332">
        <w:rPr>
          <w:rFonts w:ascii="Palatino Linotype" w:hAnsi="Palatino Linotype"/>
          <w:sz w:val="24"/>
          <w:szCs w:val="24"/>
        </w:rPr>
        <w:t xml:space="preserve">for the calendar </w:t>
      </w:r>
      <w:r w:rsidR="002F4463">
        <w:rPr>
          <w:rFonts w:ascii="Palatino Linotype" w:hAnsi="Palatino Linotype"/>
          <w:sz w:val="24"/>
          <w:szCs w:val="24"/>
        </w:rPr>
        <w:br/>
      </w:r>
      <w:r w:rsidRPr="21D4DD65" w:rsidR="008B5332">
        <w:rPr>
          <w:rFonts w:ascii="Palatino Linotype" w:hAnsi="Palatino Linotype"/>
          <w:sz w:val="24"/>
          <w:szCs w:val="24"/>
        </w:rPr>
        <w:t xml:space="preserve">year </w:t>
      </w:r>
      <w:r w:rsidRPr="21D4DD65" w:rsidR="00B21E75">
        <w:rPr>
          <w:rFonts w:ascii="Palatino Linotype" w:hAnsi="Palatino Linotype"/>
          <w:sz w:val="24"/>
          <w:szCs w:val="24"/>
        </w:rPr>
        <w:t>20</w:t>
      </w:r>
      <w:r w:rsidRPr="21D4DD65" w:rsidR="00FB5708">
        <w:rPr>
          <w:rFonts w:ascii="Palatino Linotype" w:hAnsi="Palatino Linotype"/>
          <w:sz w:val="24"/>
          <w:szCs w:val="24"/>
        </w:rPr>
        <w:t>2</w:t>
      </w:r>
      <w:r w:rsidR="0087602B">
        <w:rPr>
          <w:rFonts w:ascii="Palatino Linotype" w:hAnsi="Palatino Linotype"/>
          <w:sz w:val="24"/>
          <w:szCs w:val="24"/>
        </w:rPr>
        <w:t>1</w:t>
      </w:r>
      <w:r w:rsidRPr="21D4DD65">
        <w:rPr>
          <w:rFonts w:ascii="Palatino Linotype" w:hAnsi="Palatino Linotype"/>
          <w:sz w:val="24"/>
          <w:szCs w:val="24"/>
        </w:rPr>
        <w:t xml:space="preserve"> in accordance with D.07-03-014.</w:t>
      </w:r>
    </w:p>
    <w:p w:rsidR="0022719B" w:rsidP="002F4463" w:rsidRDefault="0022719B" w14:paraId="5FB250C3" w14:textId="77777777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Pr="0022719B" w:rsidR="008F541E" w:rsidP="002F4463" w:rsidRDefault="008F541E" w14:paraId="462E584A" w14:textId="6A639523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  <w:rPr>
          <w:rFonts w:ascii="Palatino Linotype" w:hAnsi="Palatino Linotype"/>
          <w:sz w:val="24"/>
        </w:rPr>
      </w:pPr>
      <w:r w:rsidRPr="0022719B">
        <w:rPr>
          <w:rFonts w:ascii="Palatino Linotype" w:hAnsi="Palatino Linotype"/>
          <w:sz w:val="24"/>
          <w:szCs w:val="24"/>
        </w:rPr>
        <w:t xml:space="preserve">Total gross video revenue in </w:t>
      </w:r>
      <w:r w:rsidRPr="0022719B" w:rsidR="003D67FA">
        <w:rPr>
          <w:rFonts w:ascii="Palatino Linotype" w:hAnsi="Palatino Linotype"/>
          <w:sz w:val="24"/>
          <w:szCs w:val="24"/>
        </w:rPr>
        <w:t xml:space="preserve">California for </w:t>
      </w:r>
      <w:r w:rsidRPr="0022719B">
        <w:rPr>
          <w:rFonts w:ascii="Palatino Linotype" w:hAnsi="Palatino Linotype"/>
          <w:sz w:val="24"/>
          <w:szCs w:val="24"/>
        </w:rPr>
        <w:t>calendar year 20</w:t>
      </w:r>
      <w:r w:rsidRPr="0022719B" w:rsidR="00E54A3D">
        <w:rPr>
          <w:rFonts w:ascii="Palatino Linotype" w:hAnsi="Palatino Linotype"/>
          <w:sz w:val="24"/>
          <w:szCs w:val="24"/>
        </w:rPr>
        <w:t>2</w:t>
      </w:r>
      <w:r w:rsidR="0022719B">
        <w:rPr>
          <w:rFonts w:ascii="Palatino Linotype" w:hAnsi="Palatino Linotype"/>
          <w:sz w:val="24"/>
          <w:szCs w:val="24"/>
        </w:rPr>
        <w:t>1</w:t>
      </w:r>
      <w:r w:rsidRPr="0022719B">
        <w:rPr>
          <w:rFonts w:ascii="Palatino Linotype" w:hAnsi="Palatino Linotype"/>
          <w:sz w:val="24"/>
          <w:szCs w:val="24"/>
        </w:rPr>
        <w:t xml:space="preserve"> was </w:t>
      </w:r>
      <w:r w:rsidRPr="0022719B" w:rsidR="00343361">
        <w:rPr>
          <w:rFonts w:ascii="Palatino Linotype" w:hAnsi="Palatino Linotype"/>
          <w:sz w:val="24"/>
          <w:szCs w:val="24"/>
        </w:rPr>
        <w:t>$</w:t>
      </w:r>
      <w:r w:rsidRPr="0022719B" w:rsidR="0022719B">
        <w:rPr>
          <w:rFonts w:ascii="Palatino Linotype" w:hAnsi="Palatino Linotype"/>
          <w:sz w:val="24"/>
          <w:szCs w:val="24"/>
        </w:rPr>
        <w:t>6,479,</w:t>
      </w:r>
      <w:r w:rsidR="007B655F">
        <w:rPr>
          <w:rFonts w:ascii="Palatino Linotype" w:hAnsi="Palatino Linotype"/>
          <w:sz w:val="24"/>
          <w:szCs w:val="24"/>
        </w:rPr>
        <w:t>9</w:t>
      </w:r>
      <w:r w:rsidR="00226AF7">
        <w:rPr>
          <w:rFonts w:ascii="Palatino Linotype" w:hAnsi="Palatino Linotype"/>
          <w:sz w:val="24"/>
          <w:szCs w:val="24"/>
        </w:rPr>
        <w:t>74</w:t>
      </w:r>
      <w:r w:rsidRPr="0022719B" w:rsidR="0022719B">
        <w:rPr>
          <w:rFonts w:ascii="Palatino Linotype" w:hAnsi="Palatino Linotype"/>
          <w:sz w:val="24"/>
          <w:szCs w:val="24"/>
        </w:rPr>
        <w:t>,</w:t>
      </w:r>
      <w:r w:rsidR="00226AF7">
        <w:rPr>
          <w:rFonts w:ascii="Palatino Linotype" w:hAnsi="Palatino Linotype"/>
          <w:sz w:val="24"/>
          <w:szCs w:val="24"/>
        </w:rPr>
        <w:t>111</w:t>
      </w:r>
      <w:r w:rsidRPr="0022719B" w:rsidR="0022719B">
        <w:rPr>
          <w:rFonts w:ascii="Palatino Linotype" w:hAnsi="Palatino Linotype"/>
          <w:sz w:val="24"/>
          <w:szCs w:val="24"/>
        </w:rPr>
        <w:t xml:space="preserve"> (</w:t>
      </w:r>
      <w:r w:rsidR="00C07825">
        <w:rPr>
          <w:rFonts w:ascii="Palatino Linotype" w:hAnsi="Palatino Linotype"/>
          <w:sz w:val="24"/>
          <w:szCs w:val="24"/>
        </w:rPr>
        <w:t xml:space="preserve">approximately </w:t>
      </w:r>
      <w:r w:rsidRPr="0022719B" w:rsidR="0022719B">
        <w:rPr>
          <w:rFonts w:ascii="Palatino Linotype" w:hAnsi="Palatino Linotype"/>
          <w:sz w:val="24"/>
          <w:szCs w:val="24"/>
        </w:rPr>
        <w:t>$6.48 billion),</w:t>
      </w:r>
      <w:r w:rsidR="00C07825">
        <w:rPr>
          <w:rFonts w:ascii="Palatino Linotype" w:hAnsi="Palatino Linotype"/>
          <w:sz w:val="24"/>
          <w:szCs w:val="24"/>
        </w:rPr>
        <w:t xml:space="preserve"> which is</w:t>
      </w:r>
      <w:r w:rsidRPr="0022719B" w:rsidR="0022719B">
        <w:rPr>
          <w:rFonts w:ascii="Palatino Linotype" w:hAnsi="Palatino Linotype"/>
          <w:sz w:val="24"/>
          <w:szCs w:val="24"/>
        </w:rPr>
        <w:t xml:space="preserve"> 2.53% (</w:t>
      </w:r>
      <w:r w:rsidR="00193902">
        <w:rPr>
          <w:rFonts w:ascii="Palatino Linotype" w:hAnsi="Palatino Linotype"/>
          <w:sz w:val="24"/>
          <w:szCs w:val="24"/>
        </w:rPr>
        <w:t xml:space="preserve">or </w:t>
      </w:r>
      <w:r w:rsidR="00E943D9">
        <w:rPr>
          <w:rFonts w:ascii="Palatino Linotype" w:hAnsi="Palatino Linotype"/>
          <w:sz w:val="24"/>
          <w:szCs w:val="24"/>
        </w:rPr>
        <w:t xml:space="preserve">about </w:t>
      </w:r>
      <w:r w:rsidRPr="0022719B" w:rsidR="0022719B">
        <w:rPr>
          <w:rFonts w:ascii="Palatino Linotype" w:hAnsi="Palatino Linotype"/>
          <w:sz w:val="24"/>
          <w:szCs w:val="24"/>
        </w:rPr>
        <w:t xml:space="preserve">$159 million) higher than in </w:t>
      </w:r>
      <w:r w:rsidR="00E943D9">
        <w:rPr>
          <w:rFonts w:ascii="Palatino Linotype" w:hAnsi="Palatino Linotype"/>
          <w:sz w:val="24"/>
          <w:szCs w:val="24"/>
        </w:rPr>
        <w:t xml:space="preserve">calendar year </w:t>
      </w:r>
      <w:r w:rsidRPr="0022719B" w:rsidR="0022719B">
        <w:rPr>
          <w:rFonts w:ascii="Palatino Linotype" w:hAnsi="Palatino Linotype"/>
          <w:sz w:val="24"/>
          <w:szCs w:val="24"/>
        </w:rPr>
        <w:t>2020 (</w:t>
      </w:r>
      <w:r w:rsidR="00C07825">
        <w:rPr>
          <w:rFonts w:ascii="Palatino Linotype" w:hAnsi="Palatino Linotype"/>
          <w:sz w:val="24"/>
          <w:szCs w:val="24"/>
        </w:rPr>
        <w:t xml:space="preserve">approximately </w:t>
      </w:r>
      <w:r w:rsidRPr="0022719B" w:rsidR="0022719B">
        <w:rPr>
          <w:rFonts w:ascii="Palatino Linotype" w:hAnsi="Palatino Linotype"/>
          <w:sz w:val="24"/>
          <w:szCs w:val="24"/>
        </w:rPr>
        <w:t xml:space="preserve">$6.32 billion).  </w:t>
      </w:r>
    </w:p>
    <w:p w:rsidR="008F541E" w:rsidP="002F4463" w:rsidRDefault="008F541E" w14:paraId="7AFDEEB6" w14:textId="77777777">
      <w:pPr>
        <w:tabs>
          <w:tab w:val="left" w:pos="-1440"/>
          <w:tab w:val="left" w:pos="-720"/>
        </w:tabs>
        <w:suppressAutoHyphens/>
        <w:jc w:val="both"/>
        <w:rPr>
          <w:rFonts w:ascii="Palatino Linotype" w:hAnsi="Palatino Linotype"/>
          <w:sz w:val="24"/>
        </w:rPr>
      </w:pPr>
    </w:p>
    <w:p w:rsidRPr="00CF69C8" w:rsidR="00CF69C8" w:rsidP="002F4463" w:rsidRDefault="00CF69C8" w14:paraId="6DE0D57F" w14:textId="4BB572A9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color w:val="000000"/>
          <w:sz w:val="24"/>
          <w:szCs w:val="24"/>
        </w:rPr>
        <w:t xml:space="preserve">Commission’s authorized DIVCA-related budget for </w:t>
      </w:r>
      <w:r w:rsidR="00A35D8A">
        <w:rPr>
          <w:rFonts w:ascii="Palatino Linotype" w:hAnsi="Palatino Linotype"/>
          <w:color w:val="000000"/>
          <w:sz w:val="24"/>
          <w:szCs w:val="24"/>
        </w:rPr>
        <w:t>F</w:t>
      </w:r>
      <w:r>
        <w:rPr>
          <w:rFonts w:ascii="Palatino Linotype" w:hAnsi="Palatino Linotype"/>
          <w:color w:val="000000"/>
          <w:sz w:val="24"/>
          <w:szCs w:val="24"/>
        </w:rPr>
        <w:t xml:space="preserve">iscal </w:t>
      </w:r>
      <w:r w:rsidR="00A35D8A">
        <w:rPr>
          <w:rFonts w:ascii="Palatino Linotype" w:hAnsi="Palatino Linotype"/>
          <w:color w:val="000000"/>
          <w:sz w:val="24"/>
          <w:szCs w:val="24"/>
        </w:rPr>
        <w:t>Y</w:t>
      </w:r>
      <w:r>
        <w:rPr>
          <w:rFonts w:ascii="Palatino Linotype" w:hAnsi="Palatino Linotype"/>
          <w:color w:val="000000"/>
          <w:sz w:val="24"/>
          <w:szCs w:val="24"/>
        </w:rPr>
        <w:t>ear 20</w:t>
      </w:r>
      <w:r w:rsidR="001E6225">
        <w:rPr>
          <w:rFonts w:ascii="Palatino Linotype" w:hAnsi="Palatino Linotype"/>
          <w:color w:val="000000"/>
          <w:sz w:val="24"/>
          <w:szCs w:val="24"/>
        </w:rPr>
        <w:t>2</w:t>
      </w:r>
      <w:r w:rsidR="0022719B">
        <w:rPr>
          <w:rFonts w:ascii="Palatino Linotype" w:hAnsi="Palatino Linotype"/>
          <w:color w:val="000000"/>
          <w:sz w:val="24"/>
          <w:szCs w:val="24"/>
        </w:rPr>
        <w:t>2</w:t>
      </w:r>
      <w:r>
        <w:rPr>
          <w:rFonts w:ascii="Palatino Linotype" w:hAnsi="Palatino Linotype"/>
          <w:color w:val="000000"/>
          <w:sz w:val="24"/>
          <w:szCs w:val="24"/>
        </w:rPr>
        <w:t>-</w:t>
      </w:r>
      <w:r>
        <w:rPr>
          <w:rFonts w:ascii="Palatino Linotype" w:hAnsi="Palatino Linotype"/>
          <w:sz w:val="24"/>
        </w:rPr>
        <w:t>202</w:t>
      </w:r>
      <w:r w:rsidR="0022719B">
        <w:rPr>
          <w:rFonts w:ascii="Palatino Linotype" w:hAnsi="Palatino Linotype"/>
          <w:sz w:val="24"/>
        </w:rPr>
        <w:t>3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br/>
      </w:r>
      <w:r>
        <w:rPr>
          <w:rFonts w:ascii="Palatino Linotype" w:hAnsi="Palatino Linotype"/>
          <w:color w:val="000000"/>
          <w:sz w:val="24"/>
          <w:szCs w:val="24"/>
        </w:rPr>
        <w:t xml:space="preserve">is </w:t>
      </w:r>
      <w:r w:rsidR="00B35A62">
        <w:rPr>
          <w:rFonts w:ascii="Palatino Linotype" w:hAnsi="Palatino Linotype"/>
          <w:color w:val="000000"/>
          <w:sz w:val="24"/>
          <w:szCs w:val="24"/>
        </w:rPr>
        <w:t xml:space="preserve">about </w:t>
      </w:r>
      <w:r>
        <w:rPr>
          <w:rFonts w:ascii="Palatino Linotype" w:hAnsi="Palatino Linotype"/>
          <w:color w:val="000000"/>
          <w:sz w:val="24"/>
          <w:szCs w:val="24"/>
        </w:rPr>
        <w:t>$</w:t>
      </w:r>
      <w:r w:rsidR="002F0E79">
        <w:rPr>
          <w:rFonts w:ascii="Palatino Linotype" w:hAnsi="Palatino Linotype"/>
          <w:color w:val="000000"/>
          <w:sz w:val="24"/>
          <w:szCs w:val="24"/>
        </w:rPr>
        <w:t>1,</w:t>
      </w:r>
      <w:r w:rsidR="00B35A62">
        <w:rPr>
          <w:rFonts w:ascii="Palatino Linotype" w:hAnsi="Palatino Linotype"/>
          <w:color w:val="000000"/>
          <w:sz w:val="24"/>
          <w:szCs w:val="24"/>
        </w:rPr>
        <w:t>6</w:t>
      </w:r>
      <w:r w:rsidR="002F0E79">
        <w:rPr>
          <w:rFonts w:ascii="Palatino Linotype" w:hAnsi="Palatino Linotype"/>
          <w:color w:val="000000"/>
          <w:sz w:val="24"/>
          <w:szCs w:val="24"/>
        </w:rPr>
        <w:t>00,000</w:t>
      </w:r>
      <w:r w:rsidR="00493B97">
        <w:rPr>
          <w:rFonts w:ascii="Palatino Linotype" w:hAnsi="Palatino Linotype"/>
          <w:color w:val="000000"/>
          <w:sz w:val="24"/>
          <w:szCs w:val="24"/>
        </w:rPr>
        <w:t>.</w:t>
      </w:r>
    </w:p>
    <w:p w:rsidR="00CF69C8" w:rsidP="002F4463" w:rsidRDefault="00CF69C8" w14:paraId="656B4FC9" w14:textId="77777777">
      <w:pPr>
        <w:pStyle w:val="ListParagraph"/>
        <w:jc w:val="both"/>
        <w:rPr>
          <w:rFonts w:ascii="Palatino Linotype" w:hAnsi="Palatino Linotype"/>
          <w:sz w:val="24"/>
        </w:rPr>
      </w:pPr>
    </w:p>
    <w:p w:rsidR="008F541E" w:rsidP="002F4463" w:rsidRDefault="008F541E" w14:paraId="7ABBC888" w14:textId="61A7652A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Fees in the aggregate are to equal the </w:t>
      </w:r>
      <w:r>
        <w:rPr>
          <w:rFonts w:ascii="Palatino Linotype" w:hAnsi="Palatino Linotype"/>
          <w:color w:val="000000"/>
          <w:sz w:val="24"/>
        </w:rPr>
        <w:t>Commission’s authorized budget</w:t>
      </w:r>
      <w:r>
        <w:rPr>
          <w:rFonts w:ascii="Palatino Linotype" w:hAnsi="Palatino Linotype"/>
          <w:sz w:val="24"/>
        </w:rPr>
        <w:t xml:space="preserve"> for implementation of DIVCA requirements.  </w:t>
      </w:r>
    </w:p>
    <w:p w:rsidR="008F541E" w:rsidP="002F4463" w:rsidRDefault="008F541E" w14:paraId="1108F289" w14:textId="77777777">
      <w:pPr>
        <w:jc w:val="both"/>
        <w:rPr>
          <w:rFonts w:ascii="Palatino Linotype" w:hAnsi="Palatino Linotype"/>
          <w:color w:val="000000"/>
          <w:sz w:val="24"/>
        </w:rPr>
      </w:pPr>
    </w:p>
    <w:p w:rsidRPr="00B8011B" w:rsidR="00B8011B" w:rsidP="002F4463" w:rsidRDefault="008F541E" w14:paraId="6CE63715" w14:textId="38479A1D">
      <w:pPr>
        <w:numPr>
          <w:ilvl w:val="0"/>
          <w:numId w:val="2"/>
        </w:numPr>
        <w:jc w:val="both"/>
        <w:rPr>
          <w:rFonts w:ascii="Palatino Linotype" w:hAnsi="Palatino Linotype"/>
          <w:color w:val="000000"/>
          <w:sz w:val="24"/>
        </w:rPr>
      </w:pPr>
      <w:r w:rsidRPr="00B8011B">
        <w:rPr>
          <w:rFonts w:ascii="Palatino Linotype" w:hAnsi="Palatino Linotype"/>
          <w:sz w:val="24"/>
          <w:szCs w:val="24"/>
        </w:rPr>
        <w:t xml:space="preserve">This year’s annual fee </w:t>
      </w:r>
      <w:r w:rsidRPr="00266626">
        <w:rPr>
          <w:rFonts w:ascii="Palatino Linotype" w:hAnsi="Palatino Linotype"/>
          <w:sz w:val="24"/>
          <w:szCs w:val="24"/>
        </w:rPr>
        <w:t>amounts to</w:t>
      </w:r>
      <w:r w:rsidRPr="00266626" w:rsidR="00E215FC">
        <w:rPr>
          <w:rFonts w:ascii="Palatino Linotype" w:hAnsi="Palatino Linotype"/>
          <w:sz w:val="24"/>
          <w:szCs w:val="24"/>
        </w:rPr>
        <w:t xml:space="preserve"> </w:t>
      </w:r>
      <w:r w:rsidRPr="00266626" w:rsidR="00FF211F">
        <w:rPr>
          <w:rFonts w:ascii="Palatino Linotype" w:hAnsi="Palatino Linotype"/>
          <w:sz w:val="24"/>
          <w:szCs w:val="24"/>
        </w:rPr>
        <w:t>0.0246915</w:t>
      </w:r>
      <w:r w:rsidRPr="00266626" w:rsidR="003A5FDB">
        <w:rPr>
          <w:rFonts w:ascii="Palatino Linotype" w:hAnsi="Palatino Linotype" w:cs="Calibri"/>
          <w:sz w:val="24"/>
          <w:szCs w:val="24"/>
        </w:rPr>
        <w:t>%</w:t>
      </w:r>
      <w:r w:rsidRPr="00266626" w:rsidR="001D4928">
        <w:rPr>
          <w:rFonts w:ascii="Palatino Linotype" w:hAnsi="Palatino Linotype" w:cs="Calibri"/>
          <w:sz w:val="24"/>
          <w:szCs w:val="24"/>
        </w:rPr>
        <w:t xml:space="preserve"> </w:t>
      </w:r>
      <w:r w:rsidRPr="00266626" w:rsidR="00756E94">
        <w:rPr>
          <w:rFonts w:ascii="Palatino Linotype" w:hAnsi="Palatino Linotype"/>
          <w:sz w:val="24"/>
          <w:szCs w:val="24"/>
        </w:rPr>
        <w:t>o</w:t>
      </w:r>
      <w:r w:rsidRPr="00266626">
        <w:rPr>
          <w:rFonts w:ascii="Palatino Linotype" w:hAnsi="Palatino Linotype"/>
          <w:sz w:val="24"/>
          <w:szCs w:val="24"/>
        </w:rPr>
        <w:t xml:space="preserve">f each provider’s </w:t>
      </w:r>
      <w:r w:rsidRPr="00266626" w:rsidR="004C0A6D">
        <w:rPr>
          <w:rFonts w:ascii="Palatino Linotype" w:hAnsi="Palatino Linotype"/>
          <w:sz w:val="24"/>
          <w:szCs w:val="24"/>
        </w:rPr>
        <w:t xml:space="preserve">California </w:t>
      </w:r>
      <w:r w:rsidRPr="00266626">
        <w:rPr>
          <w:rFonts w:ascii="Palatino Linotype" w:hAnsi="Palatino Linotype"/>
          <w:sz w:val="24"/>
          <w:szCs w:val="24"/>
        </w:rPr>
        <w:t xml:space="preserve">gross </w:t>
      </w:r>
      <w:r w:rsidRPr="00266626" w:rsidR="00756E94">
        <w:rPr>
          <w:rFonts w:ascii="Palatino Linotype" w:hAnsi="Palatino Linotype"/>
          <w:sz w:val="24"/>
          <w:szCs w:val="24"/>
        </w:rPr>
        <w:t>video revenues, or</w:t>
      </w:r>
      <w:r w:rsidRPr="00266626" w:rsidR="00E215FC">
        <w:rPr>
          <w:rFonts w:ascii="Palatino Linotype" w:hAnsi="Palatino Linotype"/>
          <w:sz w:val="24"/>
          <w:szCs w:val="24"/>
        </w:rPr>
        <w:t xml:space="preserve"> </w:t>
      </w:r>
      <w:bookmarkStart w:name="_Hlk132037700" w:id="4"/>
      <w:r w:rsidRPr="00266626" w:rsidR="00C645D8">
        <w:rPr>
          <w:rFonts w:ascii="Palatino Linotype" w:hAnsi="Palatino Linotype"/>
          <w:sz w:val="24"/>
          <w:szCs w:val="24"/>
        </w:rPr>
        <w:t>0.0246915</w:t>
      </w:r>
      <w:bookmarkEnd w:id="4"/>
      <w:r w:rsidRPr="00266626" w:rsidR="00C645D8">
        <w:rPr>
          <w:rFonts w:ascii="Palatino Linotype" w:hAnsi="Palatino Linotype"/>
          <w:sz w:val="24"/>
          <w:szCs w:val="24"/>
        </w:rPr>
        <w:t xml:space="preserve"> </w:t>
      </w:r>
      <w:r w:rsidRPr="00266626">
        <w:rPr>
          <w:rFonts w:ascii="Palatino Linotype" w:hAnsi="Palatino Linotype"/>
          <w:sz w:val="24"/>
          <w:szCs w:val="24"/>
        </w:rPr>
        <w:t>cent</w:t>
      </w:r>
      <w:r w:rsidRPr="00873EF7">
        <w:rPr>
          <w:rFonts w:ascii="Palatino Linotype" w:hAnsi="Palatino Linotype"/>
          <w:sz w:val="24"/>
          <w:szCs w:val="24"/>
        </w:rPr>
        <w:t>s pe</w:t>
      </w:r>
      <w:r w:rsidRPr="00873EF7" w:rsidR="00AD62EB">
        <w:rPr>
          <w:rFonts w:ascii="Palatino Linotype" w:hAnsi="Palatino Linotype"/>
          <w:sz w:val="24"/>
          <w:szCs w:val="24"/>
        </w:rPr>
        <w:t xml:space="preserve">r dollar of gross </w:t>
      </w:r>
      <w:r w:rsidRPr="00B8011B" w:rsidR="00AD62EB">
        <w:rPr>
          <w:rFonts w:ascii="Palatino Linotype" w:hAnsi="Palatino Linotype"/>
          <w:sz w:val="24"/>
          <w:szCs w:val="24"/>
        </w:rPr>
        <w:t xml:space="preserve">video revenue </w:t>
      </w:r>
      <w:r w:rsidR="00B8011B">
        <w:rPr>
          <w:rFonts w:ascii="Palatino Linotype" w:hAnsi="Palatino Linotype"/>
          <w:sz w:val="24"/>
          <w:szCs w:val="24"/>
        </w:rPr>
        <w:t>received by each franchise holder</w:t>
      </w:r>
      <w:r w:rsidR="000B135E">
        <w:rPr>
          <w:rFonts w:ascii="Palatino Linotype" w:hAnsi="Palatino Linotype"/>
          <w:sz w:val="24"/>
          <w:szCs w:val="24"/>
        </w:rPr>
        <w:t xml:space="preserve"> from California subscribers</w:t>
      </w:r>
      <w:r w:rsidR="00B8011B">
        <w:rPr>
          <w:rFonts w:ascii="Palatino Linotype" w:hAnsi="Palatino Linotype"/>
          <w:sz w:val="24"/>
          <w:szCs w:val="24"/>
        </w:rPr>
        <w:t>.</w:t>
      </w:r>
    </w:p>
    <w:p w:rsidR="008F541E" w:rsidP="002F4463" w:rsidRDefault="008F541E" w14:paraId="1D481594" w14:textId="77777777">
      <w:pPr>
        <w:jc w:val="both"/>
        <w:rPr>
          <w:rFonts w:ascii="Palatino Linotype" w:hAnsi="Palatino Linotype"/>
          <w:sz w:val="24"/>
        </w:rPr>
      </w:pPr>
    </w:p>
    <w:p w:rsidRPr="00CD3259" w:rsidR="008F541E" w:rsidP="002F4463" w:rsidRDefault="008F541E" w14:paraId="71708922" w14:textId="7D28093D">
      <w:pPr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Due to the confidentiality of individual </w:t>
      </w:r>
      <w:r w:rsidR="00862B40">
        <w:rPr>
          <w:rFonts w:ascii="Palatino Linotype" w:hAnsi="Palatino Linotype"/>
          <w:sz w:val="24"/>
          <w:szCs w:val="24"/>
        </w:rPr>
        <w:t xml:space="preserve">state video franchise </w:t>
      </w:r>
      <w:r>
        <w:rPr>
          <w:rFonts w:ascii="Palatino Linotype" w:hAnsi="Palatino Linotype"/>
          <w:sz w:val="24"/>
          <w:szCs w:val="24"/>
        </w:rPr>
        <w:t>holders</w:t>
      </w:r>
      <w:r w:rsidR="00CF69C8">
        <w:rPr>
          <w:rFonts w:ascii="Palatino Linotype" w:hAnsi="Palatino Linotype"/>
          <w:sz w:val="24"/>
          <w:szCs w:val="24"/>
        </w:rPr>
        <w:t>’</w:t>
      </w:r>
      <w:r>
        <w:rPr>
          <w:rFonts w:ascii="Palatino Linotype" w:hAnsi="Palatino Linotype"/>
          <w:sz w:val="24"/>
          <w:szCs w:val="24"/>
        </w:rPr>
        <w:t xml:space="preserve"> video revenue</w:t>
      </w:r>
      <w:r w:rsidR="00E00C17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, this Resolution does not disclose </w:t>
      </w:r>
      <w:r w:rsidR="00CF69C8">
        <w:rPr>
          <w:rFonts w:ascii="Palatino Linotype" w:hAnsi="Palatino Linotype"/>
          <w:sz w:val="24"/>
          <w:szCs w:val="24"/>
        </w:rPr>
        <w:t xml:space="preserve">fees paid by </w:t>
      </w:r>
      <w:r>
        <w:rPr>
          <w:rFonts w:ascii="Palatino Linotype" w:hAnsi="Palatino Linotype"/>
          <w:sz w:val="24"/>
          <w:szCs w:val="24"/>
        </w:rPr>
        <w:t>individual</w:t>
      </w:r>
      <w:r w:rsidR="00CF69C8">
        <w:rPr>
          <w:rFonts w:ascii="Palatino Linotype" w:hAnsi="Palatino Linotype"/>
          <w:sz w:val="24"/>
          <w:szCs w:val="24"/>
        </w:rPr>
        <w:t xml:space="preserve"> holders.</w:t>
      </w:r>
    </w:p>
    <w:p w:rsidR="008F541E" w:rsidP="002F4463" w:rsidRDefault="008F541E" w14:paraId="0549CA4D" w14:textId="77777777">
      <w:pPr>
        <w:jc w:val="both"/>
        <w:rPr>
          <w:rFonts w:ascii="Palatino Linotype" w:hAnsi="Palatino Linotype"/>
          <w:sz w:val="24"/>
        </w:rPr>
      </w:pPr>
    </w:p>
    <w:p w:rsidR="008F541E" w:rsidP="002F4463" w:rsidRDefault="008F541E" w14:paraId="7AE2A3A4" w14:textId="38E619C4">
      <w:pPr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The Commission will send confidential fee statements to existing state video franchise</w:t>
      </w:r>
      <w:r w:rsidR="00997B8A">
        <w:rPr>
          <w:rFonts w:ascii="Palatino Linotype" w:hAnsi="Palatino Linotype"/>
          <w:sz w:val="24"/>
        </w:rPr>
        <w:t xml:space="preserve"> holders</w:t>
      </w:r>
      <w:r>
        <w:rPr>
          <w:rFonts w:ascii="Palatino Linotype" w:hAnsi="Palatino Linotype"/>
          <w:sz w:val="24"/>
        </w:rPr>
        <w:t>, upon approval of this Resolution.</w:t>
      </w:r>
    </w:p>
    <w:p w:rsidR="008F541E" w:rsidP="002F4463" w:rsidRDefault="008F541E" w14:paraId="63ACC935" w14:textId="77777777">
      <w:pPr>
        <w:jc w:val="both"/>
        <w:rPr>
          <w:rFonts w:ascii="Palatino Linotype" w:hAnsi="Palatino Linotype"/>
          <w:sz w:val="24"/>
        </w:rPr>
      </w:pPr>
    </w:p>
    <w:p w:rsidR="000E4F0F" w:rsidP="002F4463" w:rsidRDefault="00E56F01" w14:paraId="474E5A86" w14:textId="539623F4">
      <w:pPr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 w:rsidRPr="00E56F01">
        <w:rPr>
          <w:rFonts w:ascii="Palatino Linotype" w:hAnsi="Palatino Linotype"/>
          <w:sz w:val="24"/>
        </w:rPr>
        <w:t>Budget Request, 8660-092-BCP-2022-GB</w:t>
      </w:r>
      <w:r>
        <w:rPr>
          <w:rFonts w:ascii="Palatino Linotype" w:hAnsi="Palatino Linotype"/>
          <w:sz w:val="24"/>
        </w:rPr>
        <w:t xml:space="preserve">, </w:t>
      </w:r>
      <w:r w:rsidR="00CC3B5B">
        <w:rPr>
          <w:rFonts w:ascii="Palatino Linotype" w:hAnsi="Palatino Linotype"/>
          <w:sz w:val="24"/>
        </w:rPr>
        <w:t>authorized the Commission funding to implement Senate Bill 28.</w:t>
      </w:r>
    </w:p>
    <w:p w:rsidR="0044099E" w:rsidP="002F4463" w:rsidRDefault="0044099E" w14:paraId="1FCEEED3" w14:textId="77777777">
      <w:pPr>
        <w:pStyle w:val="ListParagraph"/>
        <w:jc w:val="both"/>
        <w:rPr>
          <w:rFonts w:ascii="Palatino Linotype" w:hAnsi="Palatino Linotype"/>
          <w:sz w:val="24"/>
        </w:rPr>
      </w:pPr>
    </w:p>
    <w:p w:rsidR="0044099E" w:rsidP="002F4463" w:rsidRDefault="00EB6B3F" w14:paraId="16AA56C1" w14:textId="70572C8E">
      <w:pPr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The </w:t>
      </w:r>
      <w:r w:rsidR="00F94213">
        <w:rPr>
          <w:rFonts w:ascii="Palatino Linotype" w:hAnsi="Palatino Linotype"/>
          <w:color w:val="000000"/>
          <w:sz w:val="24"/>
          <w:szCs w:val="24"/>
        </w:rPr>
        <w:t>DIVCA-related budget has not changed since 2007</w:t>
      </w:r>
      <w:r w:rsidR="003A4D90">
        <w:rPr>
          <w:rFonts w:ascii="Palatino Linotype" w:hAnsi="Palatino Linotype"/>
          <w:color w:val="000000"/>
          <w:sz w:val="24"/>
          <w:szCs w:val="24"/>
        </w:rPr>
        <w:t xml:space="preserve"> despite </w:t>
      </w:r>
      <w:r w:rsidR="003A0683">
        <w:rPr>
          <w:rFonts w:ascii="Palatino Linotype" w:hAnsi="Palatino Linotype"/>
          <w:color w:val="000000"/>
          <w:sz w:val="24"/>
          <w:szCs w:val="24"/>
        </w:rPr>
        <w:t xml:space="preserve">changes in the inflation rates, salaries and benefits of staff, and </w:t>
      </w:r>
      <w:r w:rsidR="008D0D33">
        <w:rPr>
          <w:rFonts w:ascii="Palatino Linotype" w:hAnsi="Palatino Linotype"/>
          <w:color w:val="000000"/>
          <w:sz w:val="24"/>
          <w:szCs w:val="24"/>
        </w:rPr>
        <w:t>the Commission’s operating expenses and equipment.</w:t>
      </w:r>
    </w:p>
    <w:p w:rsidR="000E4F0F" w:rsidP="002F4463" w:rsidRDefault="000E4F0F" w14:paraId="23F3AA1D" w14:textId="77777777">
      <w:pPr>
        <w:pStyle w:val="ListParagraph"/>
        <w:jc w:val="both"/>
        <w:rPr>
          <w:rFonts w:ascii="Palatino Linotype" w:hAnsi="Palatino Linotype"/>
          <w:sz w:val="24"/>
        </w:rPr>
      </w:pPr>
    </w:p>
    <w:p w:rsidRPr="00722A81" w:rsidR="00D6301E" w:rsidP="002F4463" w:rsidRDefault="00E11AA3" w14:paraId="050EB8D5" w14:textId="4B6A47B9">
      <w:pPr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All </w:t>
      </w:r>
      <w:r w:rsidR="00862B40">
        <w:rPr>
          <w:rFonts w:ascii="Palatino Linotype" w:hAnsi="Palatino Linotype"/>
          <w:sz w:val="24"/>
        </w:rPr>
        <w:t>s</w:t>
      </w:r>
      <w:r>
        <w:rPr>
          <w:rFonts w:ascii="Palatino Linotype" w:hAnsi="Palatino Linotype"/>
          <w:sz w:val="24"/>
        </w:rPr>
        <w:t xml:space="preserve">tate </w:t>
      </w:r>
      <w:r w:rsidR="00997B8A">
        <w:rPr>
          <w:rFonts w:ascii="Palatino Linotype" w:hAnsi="Palatino Linotype"/>
          <w:sz w:val="24"/>
        </w:rPr>
        <w:t>v</w:t>
      </w:r>
      <w:r>
        <w:rPr>
          <w:rFonts w:ascii="Palatino Linotype" w:hAnsi="Palatino Linotype"/>
          <w:sz w:val="24"/>
        </w:rPr>
        <w:t xml:space="preserve">ideo </w:t>
      </w:r>
      <w:r w:rsidR="00997B8A">
        <w:rPr>
          <w:rFonts w:ascii="Palatino Linotype" w:hAnsi="Palatino Linotype"/>
          <w:sz w:val="24"/>
        </w:rPr>
        <w:t>f</w:t>
      </w:r>
      <w:r>
        <w:rPr>
          <w:rFonts w:ascii="Palatino Linotype" w:hAnsi="Palatino Linotype"/>
          <w:sz w:val="24"/>
        </w:rPr>
        <w:t>ranchise</w:t>
      </w:r>
      <w:r w:rsidR="00997B8A">
        <w:rPr>
          <w:rFonts w:ascii="Palatino Linotype" w:hAnsi="Palatino Linotype"/>
          <w:sz w:val="24"/>
        </w:rPr>
        <w:t xml:space="preserve"> holders</w:t>
      </w:r>
      <w:r>
        <w:rPr>
          <w:rFonts w:ascii="Palatino Linotype" w:hAnsi="Palatino Linotype"/>
          <w:sz w:val="24"/>
        </w:rPr>
        <w:t xml:space="preserve"> and other interested parties </w:t>
      </w:r>
      <w:r w:rsidR="008F541E">
        <w:rPr>
          <w:rFonts w:ascii="Palatino Linotype" w:hAnsi="Palatino Linotype"/>
          <w:sz w:val="24"/>
          <w:szCs w:val="24"/>
        </w:rPr>
        <w:t xml:space="preserve">were provided with notice of this Resolution in accordance with </w:t>
      </w:r>
      <w:r w:rsidR="00250703">
        <w:rPr>
          <w:rFonts w:ascii="Palatino Linotype" w:hAnsi="Palatino Linotype"/>
          <w:sz w:val="24"/>
          <w:szCs w:val="24"/>
        </w:rPr>
        <w:t xml:space="preserve">Cal. </w:t>
      </w:r>
      <w:r w:rsidR="008F541E">
        <w:rPr>
          <w:rFonts w:ascii="Palatino Linotype" w:hAnsi="Palatino Linotype"/>
          <w:sz w:val="24"/>
          <w:szCs w:val="24"/>
        </w:rPr>
        <w:t>P</w:t>
      </w:r>
      <w:r w:rsidR="00250703">
        <w:rPr>
          <w:rFonts w:ascii="Palatino Linotype" w:hAnsi="Palatino Linotype"/>
          <w:sz w:val="24"/>
          <w:szCs w:val="24"/>
        </w:rPr>
        <w:t xml:space="preserve">ub. </w:t>
      </w:r>
      <w:r w:rsidR="008F541E">
        <w:rPr>
          <w:rFonts w:ascii="Palatino Linotype" w:hAnsi="Palatino Linotype"/>
          <w:sz w:val="24"/>
          <w:szCs w:val="24"/>
        </w:rPr>
        <w:t>U</w:t>
      </w:r>
      <w:r w:rsidR="00250703">
        <w:rPr>
          <w:rFonts w:ascii="Palatino Linotype" w:hAnsi="Palatino Linotype"/>
          <w:sz w:val="24"/>
          <w:szCs w:val="24"/>
        </w:rPr>
        <w:t>til.</w:t>
      </w:r>
      <w:r w:rsidR="008F541E">
        <w:rPr>
          <w:rFonts w:ascii="Palatino Linotype" w:hAnsi="Palatino Linotype"/>
          <w:sz w:val="24"/>
          <w:szCs w:val="24"/>
        </w:rPr>
        <w:t xml:space="preserve"> Code </w:t>
      </w:r>
      <w:r w:rsidR="00250703">
        <w:rPr>
          <w:rFonts w:ascii="Palatino Linotype" w:hAnsi="Palatino Linotype"/>
          <w:sz w:val="24"/>
          <w:szCs w:val="24"/>
        </w:rPr>
        <w:t xml:space="preserve">§ </w:t>
      </w:r>
      <w:r w:rsidR="008F541E">
        <w:rPr>
          <w:rFonts w:ascii="Palatino Linotype" w:hAnsi="Palatino Linotype"/>
          <w:sz w:val="24"/>
          <w:szCs w:val="24"/>
        </w:rPr>
        <w:t>311(g).</w:t>
      </w:r>
      <w:r w:rsidR="00C65021">
        <w:rPr>
          <w:rFonts w:ascii="Palatino Linotype" w:hAnsi="Palatino Linotype"/>
          <w:sz w:val="24"/>
          <w:szCs w:val="24"/>
        </w:rPr>
        <w:t xml:space="preserve">  </w:t>
      </w:r>
      <w:r w:rsidRPr="0022719B" w:rsidR="0022719B">
        <w:rPr>
          <w:rFonts w:ascii="Palatino Linotype" w:hAnsi="Palatino Linotype"/>
        </w:rPr>
        <w:t xml:space="preserve"> </w:t>
      </w:r>
    </w:p>
    <w:p w:rsidR="00722A81" w:rsidP="00722A81" w:rsidRDefault="00722A81" w14:paraId="60400D14" w14:textId="77777777">
      <w:pPr>
        <w:pStyle w:val="ListParagraph"/>
        <w:rPr>
          <w:rFonts w:ascii="Palatino Linotype" w:hAnsi="Palatino Linotype"/>
          <w:sz w:val="24"/>
        </w:rPr>
      </w:pPr>
    </w:p>
    <w:p w:rsidRPr="0022719B" w:rsidR="00722A81" w:rsidP="002F4463" w:rsidRDefault="00722A81" w14:paraId="0632A712" w14:textId="46D7D58D">
      <w:pPr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The Commission received no public comments.</w:t>
      </w:r>
    </w:p>
    <w:p w:rsidR="0019035D" w:rsidP="00F2752F" w:rsidRDefault="0019035D" w14:paraId="2C58F490" w14:textId="77777777">
      <w:pPr>
        <w:spacing w:after="200" w:line="276" w:lineRule="auto"/>
        <w:rPr>
          <w:rFonts w:ascii="Palatino Linotype" w:hAnsi="Palatino Linotype"/>
          <w:b/>
          <w:sz w:val="24"/>
        </w:rPr>
      </w:pPr>
    </w:p>
    <w:p w:rsidR="008F541E" w:rsidP="00DF4D97" w:rsidRDefault="008F541E" w14:paraId="35EA7C00" w14:textId="2E904C60">
      <w:pPr>
        <w:spacing w:after="200" w:line="276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THEREFORE, IT IS ORDERED that:</w:t>
      </w:r>
      <w:r w:rsidR="004C1740">
        <w:rPr>
          <w:rFonts w:ascii="Palatino Linotype" w:hAnsi="Palatino Linotype"/>
          <w:b/>
          <w:sz w:val="24"/>
        </w:rPr>
        <w:tab/>
      </w:r>
    </w:p>
    <w:p w:rsidR="008F541E" w:rsidP="002F4463" w:rsidRDefault="008F541E" w14:paraId="7FA3EE74" w14:textId="0C058FD1">
      <w:pPr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Holders of state video franchises granted on or before the date of this Resolution shall remit to the </w:t>
      </w:r>
      <w:r w:rsidR="008331AB">
        <w:rPr>
          <w:rFonts w:ascii="Palatino Linotype" w:hAnsi="Palatino Linotype"/>
          <w:sz w:val="24"/>
        </w:rPr>
        <w:t xml:space="preserve">California Public Utilities </w:t>
      </w:r>
      <w:r>
        <w:rPr>
          <w:rFonts w:ascii="Palatino Linotype" w:hAnsi="Palatino Linotype"/>
          <w:sz w:val="24"/>
        </w:rPr>
        <w:t>Commi</w:t>
      </w:r>
      <w:r w:rsidR="008331AB">
        <w:rPr>
          <w:rFonts w:ascii="Palatino Linotype" w:hAnsi="Palatino Linotype"/>
          <w:sz w:val="24"/>
        </w:rPr>
        <w:t xml:space="preserve">ssion the amount indicated in </w:t>
      </w:r>
      <w:r w:rsidR="00BF5915">
        <w:rPr>
          <w:rFonts w:ascii="Palatino Linotype" w:hAnsi="Palatino Linotype"/>
          <w:sz w:val="24"/>
        </w:rPr>
        <w:t xml:space="preserve">their </w:t>
      </w:r>
      <w:r>
        <w:rPr>
          <w:rFonts w:ascii="Palatino Linotype" w:hAnsi="Palatino Linotype"/>
          <w:sz w:val="24"/>
        </w:rPr>
        <w:t xml:space="preserve">fee statements by </w:t>
      </w:r>
      <w:r w:rsidR="00816B1F">
        <w:rPr>
          <w:rFonts w:ascii="Palatino Linotype" w:hAnsi="Palatino Linotype"/>
          <w:sz w:val="24"/>
        </w:rPr>
        <w:t xml:space="preserve">June </w:t>
      </w:r>
      <w:r w:rsidR="00E515D0">
        <w:rPr>
          <w:rFonts w:ascii="Palatino Linotype" w:hAnsi="Palatino Linotype"/>
          <w:sz w:val="24"/>
        </w:rPr>
        <w:t>19</w:t>
      </w:r>
      <w:r>
        <w:rPr>
          <w:rFonts w:ascii="Palatino Linotype" w:hAnsi="Palatino Linotype"/>
          <w:sz w:val="24"/>
        </w:rPr>
        <w:t>, 20</w:t>
      </w:r>
      <w:r w:rsidR="003C3145">
        <w:rPr>
          <w:rFonts w:ascii="Palatino Linotype" w:hAnsi="Palatino Linotype"/>
          <w:sz w:val="24"/>
        </w:rPr>
        <w:t>2</w:t>
      </w:r>
      <w:r w:rsidR="00693A54">
        <w:rPr>
          <w:rFonts w:ascii="Palatino Linotype" w:hAnsi="Palatino Linotype"/>
          <w:sz w:val="24"/>
        </w:rPr>
        <w:t>3</w:t>
      </w:r>
      <w:r>
        <w:rPr>
          <w:rFonts w:ascii="Palatino Linotype" w:hAnsi="Palatino Linotype"/>
          <w:sz w:val="24"/>
        </w:rPr>
        <w:t>.</w:t>
      </w:r>
    </w:p>
    <w:p w:rsidR="008F541E" w:rsidP="002F4463" w:rsidRDefault="008F541E" w14:paraId="4EFFCBE7" w14:textId="77777777">
      <w:pPr>
        <w:jc w:val="both"/>
        <w:rPr>
          <w:rFonts w:ascii="Palatino Linotype" w:hAnsi="Palatino Linotype"/>
          <w:sz w:val="24"/>
        </w:rPr>
      </w:pPr>
    </w:p>
    <w:p w:rsidRPr="007A419A" w:rsidR="008F541E" w:rsidP="002F4463" w:rsidRDefault="008F541E" w14:paraId="463E4F2F" w14:textId="7D31F61B">
      <w:pPr>
        <w:numPr>
          <w:ilvl w:val="0"/>
          <w:numId w:val="1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Holders of state video franchises granted after the date of this Resolution shall remit </w:t>
      </w:r>
      <w:r w:rsidR="00BF5915">
        <w:rPr>
          <w:rFonts w:ascii="Palatino Linotype" w:hAnsi="Palatino Linotype"/>
          <w:sz w:val="24"/>
        </w:rPr>
        <w:t xml:space="preserve">their </w:t>
      </w:r>
      <w:r>
        <w:rPr>
          <w:rFonts w:ascii="Palatino Linotype" w:hAnsi="Palatino Linotype"/>
          <w:sz w:val="24"/>
        </w:rPr>
        <w:t xml:space="preserve">fee payment to the </w:t>
      </w:r>
      <w:r w:rsidR="008331AB">
        <w:rPr>
          <w:rFonts w:ascii="Palatino Linotype" w:hAnsi="Palatino Linotype"/>
          <w:sz w:val="24"/>
        </w:rPr>
        <w:t xml:space="preserve">California Public Utilities </w:t>
      </w:r>
      <w:r>
        <w:rPr>
          <w:rFonts w:ascii="Palatino Linotype" w:hAnsi="Palatino Linotype"/>
          <w:sz w:val="24"/>
        </w:rPr>
        <w:t xml:space="preserve">Commission within 60 days after the issuance of </w:t>
      </w:r>
      <w:r w:rsidR="007A419A">
        <w:rPr>
          <w:rFonts w:ascii="Palatino Linotype" w:hAnsi="Palatino Linotype"/>
          <w:sz w:val="24"/>
        </w:rPr>
        <w:t>its</w:t>
      </w:r>
      <w:r w:rsidRPr="007A419A">
        <w:rPr>
          <w:rFonts w:ascii="Palatino Linotype" w:hAnsi="Palatino Linotype"/>
          <w:sz w:val="24"/>
        </w:rPr>
        <w:t xml:space="preserve"> franchise, or June </w:t>
      </w:r>
      <w:r w:rsidR="00E515D0">
        <w:rPr>
          <w:rFonts w:ascii="Palatino Linotype" w:hAnsi="Palatino Linotype"/>
          <w:sz w:val="24"/>
        </w:rPr>
        <w:t>19</w:t>
      </w:r>
      <w:r w:rsidRPr="007A419A">
        <w:rPr>
          <w:rFonts w:ascii="Palatino Linotype" w:hAnsi="Palatino Linotype"/>
          <w:sz w:val="24"/>
        </w:rPr>
        <w:t>, 20</w:t>
      </w:r>
      <w:r w:rsidR="003C3145">
        <w:rPr>
          <w:rFonts w:ascii="Palatino Linotype" w:hAnsi="Palatino Linotype"/>
          <w:sz w:val="24"/>
        </w:rPr>
        <w:t>2</w:t>
      </w:r>
      <w:r w:rsidR="00234929">
        <w:rPr>
          <w:rFonts w:ascii="Palatino Linotype" w:hAnsi="Palatino Linotype"/>
          <w:sz w:val="24"/>
        </w:rPr>
        <w:t>3</w:t>
      </w:r>
      <w:r w:rsidRPr="007A419A">
        <w:rPr>
          <w:rFonts w:ascii="Palatino Linotype" w:hAnsi="Palatino Linotype"/>
          <w:sz w:val="24"/>
        </w:rPr>
        <w:t>, whichever is earlier.</w:t>
      </w:r>
    </w:p>
    <w:p w:rsidR="008F541E" w:rsidP="008F541E" w:rsidRDefault="008F541E" w14:paraId="5F7097FD" w14:textId="07C2FF7C">
      <w:pPr>
        <w:rPr>
          <w:rFonts w:ascii="Palatino Linotype" w:hAnsi="Palatino Linotype"/>
          <w:sz w:val="24"/>
        </w:rPr>
      </w:pPr>
    </w:p>
    <w:p w:rsidR="00483742" w:rsidP="00BA5E54" w:rsidRDefault="00483742" w14:paraId="7DAFCD6B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2FA66C69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0BE33BB3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74357D93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268EEEE2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47D7ED02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07D8D1CF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220CCD95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4E785305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54054DC3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483742" w:rsidP="00BA5E54" w:rsidRDefault="00483742" w14:paraId="0CA52951" w14:textId="77777777">
      <w:pPr>
        <w:spacing w:line="329" w:lineRule="auto"/>
        <w:ind w:right="4457"/>
        <w:rPr>
          <w:rFonts w:ascii="Palatino Linotype" w:hAnsi="Palatino Linotype" w:eastAsia="Palatino Linotype" w:cs="Palatino Linotype"/>
          <w:sz w:val="24"/>
          <w:szCs w:val="24"/>
        </w:rPr>
      </w:pPr>
    </w:p>
    <w:p w:rsidR="00C04827" w:rsidP="00483742" w:rsidRDefault="00C04827" w14:paraId="0A4B3C19" w14:textId="77777777">
      <w:pPr>
        <w:tabs>
          <w:tab w:val="right" w:pos="8640"/>
        </w:tabs>
        <w:jc w:val="both"/>
        <w:rPr>
          <w:rFonts w:ascii="Palatino Linotype" w:hAnsi="Palatino Linotype"/>
          <w:sz w:val="24"/>
          <w:szCs w:val="24"/>
        </w:rPr>
      </w:pPr>
      <w:r w:rsidRPr="00C04827">
        <w:rPr>
          <w:rFonts w:ascii="Palatino Linotype" w:hAnsi="Palatino Linotype"/>
          <w:sz w:val="24"/>
          <w:szCs w:val="24"/>
        </w:rPr>
        <w:t>This Resolution is effective today. I certify that the foregoing Resolution was duly introduced, passed, and adopted at a conference of the Public Utilities Commission of the State of California held on May 18, 2023, the following Commissioners voting favorable thereon:</w:t>
      </w:r>
    </w:p>
    <w:p w:rsidR="00561A84" w:rsidP="00483742" w:rsidRDefault="00561A84" w14:paraId="6C137927" w14:textId="6E613F52">
      <w:pPr>
        <w:tabs>
          <w:tab w:val="right" w:pos="8640"/>
        </w:tabs>
        <w:jc w:val="both"/>
        <w:rPr>
          <w:rFonts w:ascii="Palatino Linotype" w:hAnsi="Palatino Linotype"/>
          <w:sz w:val="24"/>
          <w:szCs w:val="24"/>
        </w:rPr>
      </w:pPr>
    </w:p>
    <w:p w:rsidRPr="00C04827" w:rsidR="00C04827" w:rsidP="00483742" w:rsidRDefault="00C04827" w14:paraId="2B29FD31" w14:textId="77777777">
      <w:pPr>
        <w:tabs>
          <w:tab w:val="right" w:pos="8640"/>
        </w:tabs>
        <w:jc w:val="both"/>
        <w:rPr>
          <w:rFonts w:ascii="Palatino Linotype" w:hAnsi="Palatino Linotype"/>
          <w:sz w:val="24"/>
          <w:szCs w:val="24"/>
        </w:rPr>
      </w:pPr>
    </w:p>
    <w:p w:rsidRPr="00483742" w:rsidR="00483742" w:rsidP="00483742" w:rsidRDefault="00483742" w14:paraId="305B4902" w14:textId="54B0D735">
      <w:pPr>
        <w:tabs>
          <w:tab w:val="right" w:pos="8640"/>
        </w:tabs>
        <w:jc w:val="both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/S/RACHEL PETERSON</w:t>
      </w:r>
    </w:p>
    <w:p w:rsidRPr="00483742" w:rsidR="00483742" w:rsidP="00483742" w:rsidRDefault="00483742" w14:paraId="390C9935" w14:textId="77777777">
      <w:pPr>
        <w:tabs>
          <w:tab w:val="right" w:pos="7800"/>
        </w:tabs>
        <w:jc w:val="both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4ECB682" wp14:anchorId="18648FC8">
                <wp:simplePos x="0" y="0"/>
                <wp:positionH relativeFrom="column">
                  <wp:posOffset>3448050</wp:posOffset>
                </wp:positionH>
                <wp:positionV relativeFrom="paragraph">
                  <wp:posOffset>27305</wp:posOffset>
                </wp:positionV>
                <wp:extent cx="1974850" cy="0"/>
                <wp:effectExtent l="0" t="0" r="0" b="0"/>
                <wp:wrapNone/>
                <wp:docPr id="12239341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71.5pt,2.15pt" to="427pt,2.15pt" w14:anchorId="32E3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"/>
            </w:pict>
          </mc:Fallback>
        </mc:AlternateContent>
      </w:r>
      <w:r w:rsidRPr="00483742">
        <w:rPr>
          <w:rFonts w:ascii="Palatino Linotype" w:hAnsi="Palatino Linotype"/>
          <w:sz w:val="24"/>
          <w:szCs w:val="24"/>
        </w:rPr>
        <w:tab/>
        <w:t xml:space="preserve">    Rachel A. Peterson</w:t>
      </w:r>
    </w:p>
    <w:p w:rsidRPr="00483742" w:rsidR="00483742" w:rsidP="00483742" w:rsidRDefault="00483742" w14:paraId="335E6B09" w14:textId="77777777">
      <w:pPr>
        <w:ind w:right="177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sz w:val="24"/>
          <w:szCs w:val="24"/>
        </w:rPr>
        <w:tab/>
      </w:r>
      <w:r w:rsidRPr="00483742">
        <w:rPr>
          <w:rFonts w:ascii="Palatino Linotype" w:hAnsi="Palatino Linotype"/>
          <w:sz w:val="24"/>
          <w:szCs w:val="24"/>
        </w:rPr>
        <w:tab/>
      </w:r>
      <w:r w:rsidRPr="00483742">
        <w:rPr>
          <w:rFonts w:ascii="Palatino Linotype" w:hAnsi="Palatino Linotype"/>
          <w:sz w:val="24"/>
          <w:szCs w:val="24"/>
        </w:rPr>
        <w:tab/>
      </w:r>
      <w:r w:rsidRPr="00483742">
        <w:rPr>
          <w:rFonts w:ascii="Palatino Linotype" w:hAnsi="Palatino Linotype"/>
          <w:sz w:val="24"/>
          <w:szCs w:val="24"/>
        </w:rPr>
        <w:tab/>
      </w:r>
      <w:r w:rsidRPr="00483742">
        <w:rPr>
          <w:rFonts w:ascii="Palatino Linotype" w:hAnsi="Palatino Linotype"/>
          <w:sz w:val="24"/>
          <w:szCs w:val="24"/>
        </w:rPr>
        <w:tab/>
      </w:r>
      <w:r w:rsidRPr="00483742">
        <w:rPr>
          <w:rFonts w:ascii="Palatino Linotype" w:hAnsi="Palatino Linotype"/>
          <w:sz w:val="24"/>
          <w:szCs w:val="24"/>
        </w:rPr>
        <w:tab/>
      </w:r>
      <w:r w:rsidRPr="00483742">
        <w:rPr>
          <w:rFonts w:ascii="Palatino Linotype" w:hAnsi="Palatino Linotype"/>
          <w:sz w:val="24"/>
          <w:szCs w:val="24"/>
        </w:rPr>
        <w:tab/>
      </w:r>
      <w:r w:rsidRPr="00483742">
        <w:rPr>
          <w:rFonts w:ascii="Palatino Linotype" w:hAnsi="Palatino Linotype"/>
          <w:sz w:val="24"/>
          <w:szCs w:val="24"/>
        </w:rPr>
        <w:tab/>
        <w:t xml:space="preserve"> Executive Director   </w:t>
      </w:r>
    </w:p>
    <w:p w:rsidRPr="00483742" w:rsidR="00483742" w:rsidP="00483742" w:rsidRDefault="00483742" w14:paraId="483CF782" w14:textId="77777777">
      <w:pPr>
        <w:ind w:right="177"/>
        <w:rPr>
          <w:rFonts w:ascii="Palatino Linotype" w:hAnsi="Palatino Linotype"/>
          <w:sz w:val="24"/>
          <w:szCs w:val="24"/>
        </w:rPr>
      </w:pPr>
    </w:p>
    <w:p w:rsidRPr="00483742" w:rsidR="00483742" w:rsidP="00483742" w:rsidRDefault="00483742" w14:paraId="65F01BC1" w14:textId="77777777">
      <w:pPr>
        <w:ind w:left="5040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sz w:val="24"/>
          <w:szCs w:val="24"/>
        </w:rPr>
        <w:t xml:space="preserve">            ALICE REYNOLDS</w:t>
      </w:r>
    </w:p>
    <w:p w:rsidRPr="00483742" w:rsidR="00483742" w:rsidP="00483742" w:rsidRDefault="00483742" w14:paraId="476599AC" w14:textId="77777777">
      <w:pPr>
        <w:ind w:left="5040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sz w:val="24"/>
          <w:szCs w:val="24"/>
        </w:rPr>
        <w:t xml:space="preserve">                     President </w:t>
      </w:r>
    </w:p>
    <w:p w:rsidRPr="00483742" w:rsidR="00483742" w:rsidP="00483742" w:rsidRDefault="00483742" w14:paraId="1FC53E2B" w14:textId="77777777">
      <w:pPr>
        <w:ind w:left="5040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sz w:val="24"/>
          <w:szCs w:val="24"/>
        </w:rPr>
        <w:t xml:space="preserve">          GENEVIEVE SHIROMA</w:t>
      </w:r>
    </w:p>
    <w:p w:rsidRPr="00483742" w:rsidR="00483742" w:rsidP="00483742" w:rsidRDefault="00483742" w14:paraId="6CEEB390" w14:textId="77777777">
      <w:pPr>
        <w:ind w:left="5040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sz w:val="24"/>
          <w:szCs w:val="24"/>
        </w:rPr>
        <w:t xml:space="preserve">             DARCIE L. HOUCK </w:t>
      </w:r>
    </w:p>
    <w:p w:rsidRPr="00483742" w:rsidR="00483742" w:rsidP="00483742" w:rsidRDefault="00483742" w14:paraId="1C6B8124" w14:textId="77777777">
      <w:pPr>
        <w:ind w:left="5040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sz w:val="24"/>
          <w:szCs w:val="24"/>
        </w:rPr>
        <w:t xml:space="preserve">             JOHN REYNOLDS </w:t>
      </w:r>
    </w:p>
    <w:p w:rsidRPr="00483742" w:rsidR="00483742" w:rsidP="00483742" w:rsidRDefault="00483742" w14:paraId="63461639" w14:textId="77777777">
      <w:pPr>
        <w:ind w:left="5040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sz w:val="24"/>
          <w:szCs w:val="24"/>
        </w:rPr>
        <w:t xml:space="preserve">             KAREN DOUGLAS</w:t>
      </w:r>
    </w:p>
    <w:p w:rsidRPr="00483742" w:rsidR="00561A84" w:rsidP="00483742" w:rsidRDefault="00483742" w14:paraId="11C76C52" w14:textId="638DE729">
      <w:pPr>
        <w:ind w:right="177"/>
        <w:rPr>
          <w:rFonts w:ascii="Palatino Linotype" w:hAnsi="Palatino Linotype"/>
          <w:sz w:val="24"/>
          <w:szCs w:val="24"/>
        </w:rPr>
      </w:pPr>
      <w:r w:rsidRPr="00483742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Commissioners</w:t>
      </w:r>
    </w:p>
    <w:sectPr w:rsidRPr="00483742" w:rsidR="00561A84" w:rsidSect="007C1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B866" w14:textId="77777777" w:rsidR="00E20AC1" w:rsidRDefault="00E20AC1" w:rsidP="008F541E">
      <w:r>
        <w:separator/>
      </w:r>
    </w:p>
  </w:endnote>
  <w:endnote w:type="continuationSeparator" w:id="0">
    <w:p w14:paraId="4E543722" w14:textId="77777777" w:rsidR="00E20AC1" w:rsidRDefault="00E20AC1" w:rsidP="008F541E">
      <w:r>
        <w:continuationSeparator/>
      </w:r>
    </w:p>
  </w:endnote>
  <w:endnote w:type="continuationNotice" w:id="1">
    <w:p w14:paraId="52DFE436" w14:textId="77777777" w:rsidR="00E20AC1" w:rsidRDefault="00E20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CECD" w14:textId="77777777" w:rsidR="00876AF4" w:rsidRDefault="00876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454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88BD9" w14:textId="74A0DA9F" w:rsidR="002C7A22" w:rsidRDefault="00A24998" w:rsidP="00483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934C" w14:textId="77777777" w:rsidR="00483742" w:rsidRPr="00483742" w:rsidRDefault="00483742" w:rsidP="00483742">
    <w:pPr>
      <w:spacing w:line="300" w:lineRule="atLeast"/>
      <w:rPr>
        <w:rFonts w:ascii="Arial" w:hAnsi="Arial" w:cs="Arial"/>
        <w:color w:val="000000"/>
        <w:sz w:val="18"/>
        <w:szCs w:val="18"/>
      </w:rPr>
    </w:pPr>
    <w:r w:rsidRPr="00483742">
      <w:rPr>
        <w:rFonts w:ascii="Arial" w:hAnsi="Arial" w:cs="Arial"/>
        <w:color w:val="000000"/>
        <w:sz w:val="18"/>
        <w:szCs w:val="18"/>
      </w:rPr>
      <w:br/>
      <w:t>509786799</w:t>
    </w:r>
  </w:p>
  <w:p w14:paraId="1DD4335A" w14:textId="0FDEFFE9" w:rsidR="002C7A22" w:rsidRDefault="002C7A22" w:rsidP="007303CE">
    <w:pPr>
      <w:pStyle w:val="Footer"/>
      <w:rPr>
        <w:rFonts w:ascii="Tahoma" w:hAnsi="Tahoma" w:cs="Tahoma"/>
      </w:rPr>
    </w:pPr>
  </w:p>
  <w:p w14:paraId="70C2C1BC" w14:textId="77777777" w:rsidR="002C7A22" w:rsidRDefault="002C7A22" w:rsidP="007303CE">
    <w:pPr>
      <w:pStyle w:val="Footer"/>
      <w:rPr>
        <w:rFonts w:ascii="Tahoma" w:hAnsi="Tahoma" w:cs="Tahoma"/>
      </w:rPr>
    </w:pPr>
  </w:p>
  <w:p w14:paraId="7A8F326B" w14:textId="77777777" w:rsidR="002C7A22" w:rsidRDefault="002C7A22" w:rsidP="007303CE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7123" w14:textId="77777777" w:rsidR="00E20AC1" w:rsidRDefault="00E20AC1" w:rsidP="008F541E">
      <w:r>
        <w:separator/>
      </w:r>
    </w:p>
  </w:footnote>
  <w:footnote w:type="continuationSeparator" w:id="0">
    <w:p w14:paraId="06A45994" w14:textId="77777777" w:rsidR="00E20AC1" w:rsidRDefault="00E20AC1" w:rsidP="008F541E">
      <w:r>
        <w:continuationSeparator/>
      </w:r>
    </w:p>
  </w:footnote>
  <w:footnote w:type="continuationNotice" w:id="1">
    <w:p w14:paraId="18A75188" w14:textId="77777777" w:rsidR="00E20AC1" w:rsidRDefault="00E20AC1"/>
  </w:footnote>
  <w:footnote w:id="2">
    <w:p w14:paraId="375E7669" w14:textId="6439C542" w:rsidR="002C7A22" w:rsidRPr="00142D55" w:rsidRDefault="002C7A22" w:rsidP="008F541E">
      <w:pPr>
        <w:pStyle w:val="FootnoteText"/>
        <w:rPr>
          <w:rFonts w:ascii="Palatino Linotype" w:hAnsi="Palatino Linotype"/>
        </w:rPr>
      </w:pPr>
      <w:r w:rsidRPr="00142D55">
        <w:rPr>
          <w:rStyle w:val="FootnoteReference"/>
          <w:rFonts w:ascii="Palatino Linotype" w:hAnsi="Palatino Linotype"/>
        </w:rPr>
        <w:footnoteRef/>
      </w:r>
      <w:r w:rsidR="2F978672" w:rsidRPr="00142D55">
        <w:rPr>
          <w:rFonts w:ascii="Palatino Linotype" w:hAnsi="Palatino Linotype"/>
        </w:rPr>
        <w:t xml:space="preserve"> California Public Utilities (Cal. Pub. Util.) Code, Division 2.5, The Digital Infrastructure and </w:t>
      </w:r>
      <w:r>
        <w:rPr>
          <w:rFonts w:ascii="Palatino Linotype" w:hAnsi="Palatino Linotype"/>
        </w:rPr>
        <w:br/>
      </w:r>
      <w:r w:rsidR="2F978672">
        <w:rPr>
          <w:rFonts w:ascii="Palatino Linotype" w:hAnsi="Palatino Linotype"/>
        </w:rPr>
        <w:t xml:space="preserve">  </w:t>
      </w:r>
      <w:r w:rsidR="2F978672" w:rsidRPr="00142D55">
        <w:rPr>
          <w:rFonts w:ascii="Palatino Linotype" w:hAnsi="Palatino Linotype"/>
        </w:rPr>
        <w:t>Video Competition Act of 2006 (DIVCA)</w:t>
      </w:r>
      <w:r w:rsidR="2F978672">
        <w:rPr>
          <w:rFonts w:ascii="Palatino Linotype" w:hAnsi="Palatino Linotype"/>
        </w:rPr>
        <w:t xml:space="preserve"> (Cal. Pub. Util. Code §§ 5800 et seq.)</w:t>
      </w:r>
      <w:r w:rsidR="2F978672" w:rsidRPr="00142D55">
        <w:rPr>
          <w:rFonts w:ascii="Palatino Linotype" w:hAnsi="Palatino Linotype"/>
        </w:rPr>
        <w:t>.</w:t>
      </w:r>
    </w:p>
  </w:footnote>
  <w:footnote w:id="3">
    <w:p w14:paraId="3DF16CA4" w14:textId="31A5E121" w:rsidR="002C7A22" w:rsidRPr="00142D55" w:rsidRDefault="002C7A22" w:rsidP="008F541E">
      <w:pPr>
        <w:pStyle w:val="FootnoteText"/>
        <w:rPr>
          <w:rFonts w:ascii="Palatino Linotype" w:hAnsi="Palatino Linotype"/>
        </w:rPr>
      </w:pPr>
      <w:r w:rsidRPr="00142D55">
        <w:rPr>
          <w:rStyle w:val="FootnoteReference"/>
          <w:rFonts w:ascii="Palatino Linotype" w:hAnsi="Palatino Linotype"/>
        </w:rPr>
        <w:footnoteRef/>
      </w:r>
      <w:r w:rsidRPr="00142D55">
        <w:rPr>
          <w:rFonts w:ascii="Palatino Linotype" w:hAnsi="Palatino Linotype"/>
        </w:rPr>
        <w:t xml:space="preserve"> </w:t>
      </w:r>
      <w:r w:rsidRPr="00142D55">
        <w:rPr>
          <w:rFonts w:ascii="Palatino Linotype" w:hAnsi="Palatino Linotype"/>
          <w:i/>
        </w:rPr>
        <w:t xml:space="preserve">Decision Adopting a General Order and Procedures to Implement the Digital Infrastructure and Video </w:t>
      </w:r>
      <w:r>
        <w:rPr>
          <w:rFonts w:ascii="Palatino Linotype" w:hAnsi="Palatino Linotype"/>
          <w:i/>
        </w:rPr>
        <w:br/>
        <w:t xml:space="preserve">  </w:t>
      </w:r>
      <w:r w:rsidRPr="00142D55">
        <w:rPr>
          <w:rFonts w:ascii="Palatino Linotype" w:hAnsi="Palatino Linotype"/>
          <w:i/>
        </w:rPr>
        <w:t>Competition Act of 2006</w:t>
      </w:r>
      <w:r w:rsidRPr="00142D55">
        <w:rPr>
          <w:rFonts w:ascii="Palatino Linotype" w:hAnsi="Palatino Linotype"/>
        </w:rPr>
        <w:t>, D</w:t>
      </w:r>
      <w:r w:rsidR="00CB5541">
        <w:rPr>
          <w:rFonts w:ascii="Palatino Linotype" w:hAnsi="Palatino Linotype"/>
        </w:rPr>
        <w:t>.</w:t>
      </w:r>
      <w:r w:rsidRPr="00142D55">
        <w:rPr>
          <w:rFonts w:ascii="Palatino Linotype" w:hAnsi="Palatino Linotype"/>
        </w:rPr>
        <w:t xml:space="preserve"> 07-03-014, </w:t>
      </w:r>
      <w:r w:rsidRPr="00142D55">
        <w:rPr>
          <w:rFonts w:ascii="Palatino Linotype" w:hAnsi="Palatino Linotype"/>
          <w:i/>
        </w:rPr>
        <w:t xml:space="preserve">Rulemaking for Adoption of a General Order and Procedures to </w:t>
      </w:r>
      <w:r>
        <w:rPr>
          <w:rFonts w:ascii="Palatino Linotype" w:hAnsi="Palatino Linotype"/>
          <w:i/>
        </w:rPr>
        <w:br/>
        <w:t xml:space="preserve">  </w:t>
      </w:r>
      <w:r w:rsidRPr="00142D55">
        <w:rPr>
          <w:rFonts w:ascii="Palatino Linotype" w:hAnsi="Palatino Linotype"/>
          <w:i/>
        </w:rPr>
        <w:t>Implement the Digital Infrastructure and Video Competition Act of 2006</w:t>
      </w:r>
      <w:r w:rsidRPr="00142D55">
        <w:rPr>
          <w:rFonts w:ascii="Palatino Linotype" w:hAnsi="Palatino Linotype"/>
        </w:rPr>
        <w:t xml:space="preserve"> </w:t>
      </w:r>
      <w:r w:rsidR="0061121B">
        <w:rPr>
          <w:rFonts w:ascii="Palatino Linotype" w:hAnsi="Palatino Linotype"/>
        </w:rPr>
        <w:t>[</w:t>
      </w:r>
      <w:r w:rsidRPr="00142D55">
        <w:rPr>
          <w:rFonts w:ascii="Palatino Linotype" w:hAnsi="Palatino Linotype"/>
        </w:rPr>
        <w:t>D. 07-</w:t>
      </w:r>
      <w:r>
        <w:rPr>
          <w:rFonts w:ascii="Palatino Linotype" w:hAnsi="Palatino Linotype"/>
        </w:rPr>
        <w:t xml:space="preserve"> </w:t>
      </w:r>
      <w:r w:rsidRPr="00142D55">
        <w:rPr>
          <w:rFonts w:ascii="Palatino Linotype" w:hAnsi="Palatino Linotype"/>
        </w:rPr>
        <w:t>03-014</w:t>
      </w:r>
      <w:r w:rsidR="0061121B">
        <w:rPr>
          <w:rFonts w:ascii="Palatino Linotype" w:hAnsi="Palatino Linotype"/>
        </w:rPr>
        <w:t>] (2007)</w:t>
      </w:r>
      <w:r w:rsidRPr="00142D55">
        <w:rPr>
          <w:rFonts w:ascii="Palatino Linotype" w:hAnsi="Palatino Linotype"/>
        </w:rPr>
        <w:t>.</w:t>
      </w:r>
    </w:p>
  </w:footnote>
  <w:footnote w:id="4">
    <w:p w14:paraId="71E1A8E4" w14:textId="449A665B" w:rsidR="002C7A22" w:rsidRDefault="002C7A22" w:rsidP="00A1136B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Pr="009922A8">
        <w:rPr>
          <w:rFonts w:ascii="Palatino Linotype" w:hAnsi="Palatino Linotype"/>
          <w:szCs w:val="24"/>
        </w:rPr>
        <w:t xml:space="preserve">Amendments to existing video franchises “reflect changes to the franchise service area.” </w:t>
      </w:r>
      <w:r w:rsidR="00B86B28">
        <w:rPr>
          <w:rFonts w:ascii="Palatino Linotype" w:hAnsi="Palatino Linotype"/>
          <w:szCs w:val="24"/>
        </w:rPr>
        <w:br/>
      </w:r>
      <w:r w:rsidRPr="009922A8">
        <w:rPr>
          <w:rFonts w:ascii="Palatino Linotype" w:hAnsi="Palatino Linotype"/>
          <w:szCs w:val="24"/>
        </w:rPr>
        <w:t>(</w:t>
      </w:r>
      <w:r w:rsidRPr="009922A8">
        <w:rPr>
          <w:rFonts w:ascii="Palatino Linotype" w:hAnsi="Palatino Linotype"/>
        </w:rPr>
        <w:t>CPUC, General Order 169, VI, C.)</w:t>
      </w:r>
    </w:p>
  </w:footnote>
  <w:footnote w:id="5">
    <w:p w14:paraId="151FD017" w14:textId="2918F9EF" w:rsidR="00593EC8" w:rsidRDefault="00593E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3EC8">
        <w:rPr>
          <w:i/>
          <w:iCs/>
        </w:rPr>
        <w:t>See</w:t>
      </w:r>
      <w:r>
        <w:t xml:space="preserve"> </w:t>
      </w:r>
      <w:hyperlink r:id="rId1" w:history="1">
        <w:r>
          <w:rPr>
            <w:rStyle w:val="Hyperlink"/>
          </w:rPr>
          <w:t>Video Franchising (ca.gov)</w:t>
        </w:r>
      </w:hyperlink>
      <w:r>
        <w:t xml:space="preserve"> (Last visited on February 6, 2023).</w:t>
      </w:r>
    </w:p>
  </w:footnote>
  <w:footnote w:id="6">
    <w:p w14:paraId="79192072" w14:textId="31C9AF75" w:rsidR="002C7A22" w:rsidRPr="004D0FC1" w:rsidRDefault="002C7A22" w:rsidP="008F541E">
      <w:pPr>
        <w:autoSpaceDE w:val="0"/>
        <w:autoSpaceDN w:val="0"/>
        <w:adjustRightInd w:val="0"/>
        <w:rPr>
          <w:rFonts w:ascii="Palatino Linotype" w:hAnsi="Palatino Linotype"/>
        </w:rPr>
      </w:pPr>
      <w:r w:rsidRPr="004D0FC1">
        <w:rPr>
          <w:rStyle w:val="FootnoteReference"/>
          <w:rFonts w:ascii="Palatino Linotype" w:hAnsi="Palatino Linotype"/>
        </w:rPr>
        <w:footnoteRef/>
      </w:r>
      <w:r w:rsidRPr="004D0FC1">
        <w:rPr>
          <w:rFonts w:ascii="Palatino Linotype" w:hAnsi="Palatino Linotype"/>
        </w:rPr>
        <w:t xml:space="preserve"> Cal. Pub. Util. Code § 441</w:t>
      </w:r>
      <w:r w:rsidR="00D81304"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>reads, in part, as follows:</w:t>
      </w:r>
    </w:p>
    <w:p w14:paraId="53FEABBA" w14:textId="232C1C2A" w:rsidR="002C7A22" w:rsidRDefault="002C7A22" w:rsidP="004D0FC1">
      <w:pPr>
        <w:autoSpaceDE w:val="0"/>
        <w:autoSpaceDN w:val="0"/>
        <w:adjustRightInd w:val="0"/>
      </w:pPr>
      <w:r w:rsidRPr="004D0FC1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“§441. The commission shall annually determine a fee to be paid by an applicant or holder of a state 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br/>
        <w:t xml:space="preserve">   </w:t>
      </w:r>
      <w:r w:rsidRPr="004D0FC1">
        <w:rPr>
          <w:rFonts w:ascii="Palatino Linotype" w:hAnsi="Palatino Linotype"/>
        </w:rPr>
        <w:t>franchise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pursuant to Division 2.5 (commencing with Section 5800). The annual fee shall be established </w:t>
      </w:r>
      <w:r>
        <w:rPr>
          <w:rFonts w:ascii="Palatino Linotype" w:hAnsi="Palatino Linotype"/>
        </w:rPr>
        <w:br/>
        <w:t xml:space="preserve">   </w:t>
      </w:r>
      <w:r w:rsidRPr="004D0FC1">
        <w:rPr>
          <w:rFonts w:ascii="Palatino Linotype" w:hAnsi="Palatino Linotype"/>
        </w:rPr>
        <w:t xml:space="preserve">to produce a total amount equal to that amount established in the authorized commission budget for </w:t>
      </w:r>
      <w:r>
        <w:rPr>
          <w:rFonts w:ascii="Palatino Linotype" w:hAnsi="Palatino Linotype"/>
        </w:rPr>
        <w:br/>
        <w:t xml:space="preserve">   </w:t>
      </w:r>
      <w:r w:rsidRPr="004D0FC1">
        <w:rPr>
          <w:rFonts w:ascii="Palatino Linotype" w:hAnsi="Palatino Linotype"/>
        </w:rPr>
        <w:t>the same year to carry out the provisions of Division 2.5 (commencing with Section 5800).</w:t>
      </w:r>
      <w:r w:rsidR="00FD1CE5">
        <w:rPr>
          <w:rFonts w:ascii="Palatino Linotype" w:hAnsi="Palatino Linotype"/>
        </w:rPr>
        <w:t>”</w:t>
      </w:r>
    </w:p>
  </w:footnote>
  <w:footnote w:id="7">
    <w:p w14:paraId="0F7D123C" w14:textId="04151B7A" w:rsidR="002C7A22" w:rsidRPr="004D0FC1" w:rsidRDefault="002C7A22" w:rsidP="008F541E">
      <w:pPr>
        <w:pStyle w:val="FootnoteText"/>
        <w:rPr>
          <w:rFonts w:ascii="Palatino Linotype" w:hAnsi="Palatino Linotype"/>
        </w:rPr>
      </w:pPr>
      <w:r w:rsidRPr="004D0FC1">
        <w:rPr>
          <w:rStyle w:val="FootnoteReference"/>
          <w:rFonts w:ascii="Palatino Linotype" w:hAnsi="Palatino Linotype"/>
        </w:rPr>
        <w:footnoteRef/>
      </w:r>
      <w:r w:rsidRPr="004D0FC1">
        <w:rPr>
          <w:rFonts w:ascii="Palatino Linotype" w:hAnsi="Palatino Linotype"/>
        </w:rPr>
        <w:t xml:space="preserve"> Decision 07-03-014, </w:t>
      </w:r>
      <w:r w:rsidR="00D97DFF" w:rsidRPr="00D97DFF">
        <w:rPr>
          <w:rFonts w:ascii="Palatino Linotype" w:hAnsi="Palatino Linotype"/>
          <w:i/>
        </w:rPr>
        <w:t>mimeo</w:t>
      </w:r>
      <w:r w:rsidR="00D97DFF">
        <w:rPr>
          <w:rFonts w:ascii="Palatino Linotype" w:hAnsi="Palatino Linotype"/>
        </w:rPr>
        <w:t xml:space="preserve">, </w:t>
      </w:r>
      <w:r w:rsidRPr="004D0FC1">
        <w:rPr>
          <w:rFonts w:ascii="Palatino Linotype" w:hAnsi="Palatino Linotype"/>
        </w:rPr>
        <w:t>pp. 122-123</w:t>
      </w:r>
      <w:r w:rsidR="004B5DAE">
        <w:rPr>
          <w:rFonts w:ascii="Palatino Linotype" w:hAnsi="Palatino Linotype"/>
        </w:rPr>
        <w:t>.</w:t>
      </w:r>
    </w:p>
  </w:footnote>
  <w:footnote w:id="8">
    <w:p w14:paraId="1431D2B7" w14:textId="01141CFC" w:rsidR="006765CD" w:rsidRDefault="006765CD" w:rsidP="00BD0194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="00B01218" w:rsidRPr="00691E23">
        <w:rPr>
          <w:rFonts w:ascii="Palatino Linotype" w:hAnsi="Palatino Linotype"/>
        </w:rPr>
        <w:t xml:space="preserve">The CPUC received </w:t>
      </w:r>
      <w:r w:rsidR="007D1467" w:rsidRPr="00691E23">
        <w:rPr>
          <w:rFonts w:ascii="Palatino Linotype" w:hAnsi="Palatino Linotype"/>
        </w:rPr>
        <w:t>budgetary authority in the amounts of $888,000</w:t>
      </w:r>
      <w:r w:rsidR="005B112D" w:rsidRPr="00691E23">
        <w:rPr>
          <w:rFonts w:ascii="Palatino Linotype" w:hAnsi="Palatino Linotype"/>
        </w:rPr>
        <w:t xml:space="preserve"> for FY 2022-2023 and $864,000 for the two fiscal years thereafter. </w:t>
      </w:r>
      <w:r w:rsidR="00075A19" w:rsidRPr="00691E23">
        <w:rPr>
          <w:rFonts w:ascii="Palatino Linotype" w:hAnsi="Palatino Linotype"/>
          <w:i/>
          <w:iCs/>
        </w:rPr>
        <w:t>See</w:t>
      </w:r>
      <w:r w:rsidR="00075A19" w:rsidRPr="00691E23">
        <w:rPr>
          <w:rFonts w:ascii="Palatino Linotype" w:hAnsi="Palatino Linotype"/>
        </w:rPr>
        <w:t xml:space="preserve"> Budget Request, 8660-092-BCP-2022-GB, a</w:t>
      </w:r>
      <w:r w:rsidR="00BD0194" w:rsidRPr="00691E23">
        <w:rPr>
          <w:rFonts w:ascii="Palatino Linotype" w:hAnsi="Palatino Linotype"/>
        </w:rPr>
        <w:t>t</w:t>
      </w:r>
      <w:r w:rsidR="00BD0194" w:rsidRPr="00E56F01">
        <w:rPr>
          <w:rFonts w:ascii="Palatino Linotype" w:hAnsi="Palatino Linotype"/>
        </w:rPr>
        <w:t xml:space="preserve"> </w:t>
      </w:r>
      <w:hyperlink r:id="rId2" w:history="1">
        <w:r w:rsidR="00BD0194" w:rsidRPr="00BD0194">
          <w:rPr>
            <w:rStyle w:val="Hyperlink"/>
            <w:rFonts w:ascii="Palatino Linotype" w:hAnsi="Palatino Linotype"/>
          </w:rPr>
          <w:t>https://esd.dof.ca.gov/Documents/bcp/2223/FY2223_ORG8660_BCP5300.pdf</w:t>
        </w:r>
      </w:hyperlink>
      <w:r w:rsidR="00BD0194" w:rsidRPr="00BD0194">
        <w:rPr>
          <w:rFonts w:ascii="Palatino Linotype" w:hAnsi="Palatino Linotype"/>
        </w:rPr>
        <w:t xml:space="preserve"> (Last visited on April 3, 2023).</w:t>
      </w:r>
      <w:r w:rsidR="0091538A">
        <w:rPr>
          <w:rFonts w:ascii="Palatino Linotype" w:hAnsi="Palatino Linotype"/>
        </w:rPr>
        <w:t xml:space="preserve"> </w:t>
      </w:r>
      <w:r w:rsidR="0091538A" w:rsidRPr="0091538A">
        <w:rPr>
          <w:rFonts w:ascii="Palatino Linotype" w:hAnsi="Palatino Linotype"/>
          <w:i/>
          <w:iCs/>
        </w:rPr>
        <w:t>See</w:t>
      </w:r>
      <w:r w:rsidR="0091538A">
        <w:rPr>
          <w:rFonts w:ascii="Palatino Linotype" w:hAnsi="Palatino Linotype"/>
        </w:rPr>
        <w:t xml:space="preserve"> also </w:t>
      </w:r>
      <w:hyperlink r:id="rId3" w:history="1">
        <w:r w:rsidR="0091538A" w:rsidRPr="0091538A">
          <w:rPr>
            <w:rStyle w:val="Hyperlink"/>
            <w:rFonts w:ascii="Palatino Linotype" w:hAnsi="Palatino Linotype"/>
          </w:rPr>
          <w:t>Bill Text - SB-28 Digital Infrastructure and Video Competition Act of 2006: deployment data. (ca.gov)</w:t>
        </w:r>
      </w:hyperlink>
      <w:r w:rsidR="0091538A">
        <w:rPr>
          <w:rFonts w:ascii="Palatino Linotype" w:hAnsi="Palatino Linotype"/>
        </w:rPr>
        <w:t xml:space="preserve"> </w:t>
      </w:r>
      <w:r w:rsidR="0091538A" w:rsidRPr="00BD0194">
        <w:rPr>
          <w:rFonts w:ascii="Palatino Linotype" w:hAnsi="Palatino Linotype"/>
        </w:rPr>
        <w:t>(Last visited on April 3,</w:t>
      </w:r>
      <w:r w:rsidR="0091538A">
        <w:rPr>
          <w:rFonts w:ascii="Palatino Linotype" w:hAnsi="Palatino Linotype"/>
        </w:rPr>
        <w:t xml:space="preserve"> 2023). </w:t>
      </w:r>
    </w:p>
  </w:footnote>
  <w:footnote w:id="9">
    <w:p w14:paraId="6D52A770" w14:textId="02F337D4" w:rsidR="009C440A" w:rsidRDefault="009C440A" w:rsidP="00A1136B">
      <w:pPr>
        <w:autoSpaceDE w:val="0"/>
        <w:autoSpaceDN w:val="0"/>
        <w:adjustRightInd w:val="0"/>
        <w:ind w:left="90" w:hanging="90"/>
      </w:pPr>
      <w:r>
        <w:rPr>
          <w:rStyle w:val="FootnoteReference"/>
        </w:rPr>
        <w:footnoteRef/>
      </w:r>
      <w:r>
        <w:t xml:space="preserve"> </w:t>
      </w:r>
      <w:r w:rsidR="00D06E92">
        <w:rPr>
          <w:rFonts w:ascii="Palatino Linotype" w:hAnsi="Palatino Linotype"/>
        </w:rPr>
        <w:t>In</w:t>
      </w:r>
      <w:r w:rsidR="00DE2F4D" w:rsidRPr="00DF2B7E">
        <w:rPr>
          <w:rFonts w:ascii="Palatino Linotype" w:hAnsi="Palatino Linotype"/>
        </w:rPr>
        <w:t xml:space="preserve"> 2014, state-wide gross video revenue in California was $6.2 billion.  </w:t>
      </w:r>
      <w:r w:rsidR="00DE2F4D" w:rsidRPr="00097151">
        <w:rPr>
          <w:rFonts w:ascii="Palatino Linotype" w:hAnsi="Palatino Linotype"/>
        </w:rPr>
        <w:t xml:space="preserve">It peaked in 2015 at $6.5 billion and remained at that level until it </w:t>
      </w:r>
      <w:r w:rsidR="00086721" w:rsidRPr="00097151">
        <w:rPr>
          <w:rFonts w:ascii="Palatino Linotype" w:hAnsi="Palatino Linotype"/>
        </w:rPr>
        <w:t xml:space="preserve">slightly </w:t>
      </w:r>
      <w:r w:rsidR="00DE2F4D" w:rsidRPr="00097151">
        <w:rPr>
          <w:rFonts w:ascii="Palatino Linotype" w:hAnsi="Palatino Linotype"/>
        </w:rPr>
        <w:t>decreased in 2019 to $6.45 billion</w:t>
      </w:r>
      <w:r w:rsidR="004268D0" w:rsidRPr="00097151">
        <w:rPr>
          <w:rFonts w:ascii="Palatino Linotype" w:hAnsi="Palatino Linotype"/>
        </w:rPr>
        <w:t xml:space="preserve"> </w:t>
      </w:r>
      <w:r w:rsidR="00DE2F4D" w:rsidRPr="00097151">
        <w:rPr>
          <w:rFonts w:ascii="Palatino Linotype" w:hAnsi="Palatino Linotype"/>
        </w:rPr>
        <w:t>and decreased again in 2020 to $6.32 billion.</w:t>
      </w:r>
      <w:r w:rsidR="004268D0" w:rsidRPr="00097151">
        <w:rPr>
          <w:rFonts w:ascii="Palatino Linotype" w:hAnsi="Palatino Linotype"/>
        </w:rPr>
        <w:t xml:space="preserve">  </w:t>
      </w:r>
      <w:r w:rsidR="00D06E92" w:rsidRPr="00097151">
        <w:rPr>
          <w:rFonts w:ascii="Palatino Linotype" w:hAnsi="Palatino Linotype"/>
        </w:rPr>
        <w:t xml:space="preserve">However, during 2021, </w:t>
      </w:r>
      <w:r w:rsidRPr="00097151">
        <w:rPr>
          <w:rFonts w:ascii="Palatino Linotype" w:hAnsi="Palatino Linotype"/>
        </w:rPr>
        <w:t xml:space="preserve">state-wide gross video revenue </w:t>
      </w:r>
      <w:r w:rsidR="00D06E92" w:rsidRPr="00097151">
        <w:rPr>
          <w:rFonts w:ascii="Palatino Linotype" w:hAnsi="Palatino Linotype"/>
        </w:rPr>
        <w:t>increased by 2.5</w:t>
      </w:r>
      <w:r w:rsidR="006D3D3C" w:rsidRPr="00097151">
        <w:rPr>
          <w:rFonts w:ascii="Palatino Linotype" w:hAnsi="Palatino Linotype"/>
        </w:rPr>
        <w:t>3</w:t>
      </w:r>
      <w:r w:rsidR="00D06E92" w:rsidRPr="00097151">
        <w:rPr>
          <w:rFonts w:ascii="Palatino Linotype" w:hAnsi="Palatino Linotype"/>
        </w:rPr>
        <w:t xml:space="preserve">% </w:t>
      </w:r>
      <w:r w:rsidR="00F35FBE" w:rsidRPr="00097151">
        <w:rPr>
          <w:rFonts w:ascii="Palatino Linotype" w:hAnsi="Palatino Linotype"/>
        </w:rPr>
        <w:t>or</w:t>
      </w:r>
      <w:r w:rsidR="00F35FBE">
        <w:rPr>
          <w:rFonts w:ascii="Palatino Linotype" w:hAnsi="Palatino Linotype"/>
        </w:rPr>
        <w:t xml:space="preserve"> </w:t>
      </w:r>
      <w:r w:rsidR="00D06E92">
        <w:rPr>
          <w:rFonts w:ascii="Palatino Linotype" w:hAnsi="Palatino Linotype"/>
        </w:rPr>
        <w:t xml:space="preserve">$159.7 million to </w:t>
      </w:r>
      <w:r w:rsidR="007C434A">
        <w:rPr>
          <w:rFonts w:ascii="Palatino Linotype" w:hAnsi="Palatino Linotype"/>
        </w:rPr>
        <w:t>$6.48 billion.</w:t>
      </w:r>
      <w:r w:rsidR="00D06E92">
        <w:rPr>
          <w:rFonts w:ascii="Palatino Linotype" w:hAnsi="Palatino Linotype"/>
        </w:rPr>
        <w:t xml:space="preserve">  </w:t>
      </w:r>
    </w:p>
  </w:footnote>
  <w:footnote w:id="10">
    <w:p w14:paraId="4C3146F6" w14:textId="7AD4FDF7" w:rsidR="002C7A22" w:rsidRPr="003A5FDB" w:rsidRDefault="002C7A22">
      <w:pPr>
        <w:pStyle w:val="FootnoteText"/>
        <w:rPr>
          <w:rFonts w:ascii="Palatino Linotype" w:hAnsi="Palatino Linotype"/>
        </w:rPr>
      </w:pPr>
      <w:r w:rsidRPr="00266626">
        <w:rPr>
          <w:rStyle w:val="FootnoteReference"/>
          <w:rFonts w:ascii="Palatino Linotype" w:hAnsi="Palatino Linotype"/>
        </w:rPr>
        <w:footnoteRef/>
      </w:r>
      <w:r w:rsidRPr="00266626">
        <w:rPr>
          <w:rFonts w:ascii="Palatino Linotype" w:hAnsi="Palatino Linotype"/>
        </w:rPr>
        <w:t xml:space="preserve"> The computation supporting this is:</w:t>
      </w:r>
      <w:r w:rsidR="000762B4" w:rsidRPr="00266626">
        <w:rPr>
          <w:rFonts w:ascii="Palatino Linotype" w:hAnsi="Palatino Linotype"/>
        </w:rPr>
        <w:t xml:space="preserve"> $</w:t>
      </w:r>
      <w:r w:rsidR="00347EF4" w:rsidRPr="00266626">
        <w:rPr>
          <w:rFonts w:ascii="Palatino Linotype" w:hAnsi="Palatino Linotype"/>
        </w:rPr>
        <w:t>0.0002</w:t>
      </w:r>
      <w:r w:rsidR="00D54C85" w:rsidRPr="00266626">
        <w:rPr>
          <w:rFonts w:ascii="Palatino Linotype" w:hAnsi="Palatino Linotype"/>
        </w:rPr>
        <w:t>46915</w:t>
      </w:r>
      <w:r w:rsidR="00FB5708" w:rsidRPr="00266626">
        <w:rPr>
          <w:rFonts w:ascii="Palatino Linotype" w:hAnsi="Palatino Linotype"/>
        </w:rPr>
        <w:t xml:space="preserve"> </w:t>
      </w:r>
      <w:r w:rsidR="000762B4" w:rsidRPr="00266626">
        <w:rPr>
          <w:rFonts w:ascii="Palatino Linotype" w:hAnsi="Palatino Linotype"/>
        </w:rPr>
        <w:t xml:space="preserve">x </w:t>
      </w:r>
      <w:r w:rsidR="0022719B" w:rsidRPr="00266626">
        <w:rPr>
          <w:rFonts w:ascii="Palatino Linotype" w:hAnsi="Palatino Linotype"/>
        </w:rPr>
        <w:t>$6</w:t>
      </w:r>
      <w:r w:rsidR="0022719B" w:rsidRPr="003A5FDB">
        <w:rPr>
          <w:rFonts w:ascii="Palatino Linotype" w:hAnsi="Palatino Linotype"/>
        </w:rPr>
        <w:t>,479,</w:t>
      </w:r>
      <w:r w:rsidR="00587074" w:rsidRPr="003A5FDB">
        <w:rPr>
          <w:rFonts w:ascii="Palatino Linotype" w:hAnsi="Palatino Linotype"/>
        </w:rPr>
        <w:t>9</w:t>
      </w:r>
      <w:r w:rsidR="002969F9">
        <w:rPr>
          <w:rFonts w:ascii="Palatino Linotype" w:hAnsi="Palatino Linotype"/>
        </w:rPr>
        <w:t>74</w:t>
      </w:r>
      <w:r w:rsidR="0022719B" w:rsidRPr="003A5FDB">
        <w:rPr>
          <w:rFonts w:ascii="Palatino Linotype" w:hAnsi="Palatino Linotype"/>
        </w:rPr>
        <w:t>,</w:t>
      </w:r>
      <w:r w:rsidR="002969F9">
        <w:rPr>
          <w:rFonts w:ascii="Palatino Linotype" w:hAnsi="Palatino Linotype"/>
        </w:rPr>
        <w:t>111</w:t>
      </w:r>
      <w:r w:rsidR="0022719B" w:rsidRPr="003A5FDB">
        <w:rPr>
          <w:rFonts w:ascii="Palatino Linotype" w:hAnsi="Palatino Linotype"/>
        </w:rPr>
        <w:t xml:space="preserve"> </w:t>
      </w:r>
      <w:r w:rsidRPr="003A5FDB">
        <w:rPr>
          <w:rFonts w:ascii="Palatino Linotype" w:hAnsi="Palatino Linotype"/>
        </w:rPr>
        <w:t>=</w:t>
      </w:r>
      <w:r w:rsidR="0022719B" w:rsidRPr="003A5FDB">
        <w:rPr>
          <w:rFonts w:ascii="Palatino Linotype" w:hAnsi="Palatino Linotype"/>
        </w:rPr>
        <w:t xml:space="preserve"> </w:t>
      </w:r>
      <w:r w:rsidRPr="003A5FDB">
        <w:rPr>
          <w:rFonts w:ascii="Palatino Linotype" w:hAnsi="Palatino Linotype"/>
        </w:rPr>
        <w:t>$</w:t>
      </w:r>
      <w:r w:rsidR="00ED1973" w:rsidRPr="003A5FDB">
        <w:rPr>
          <w:rFonts w:ascii="Palatino Linotype" w:hAnsi="Palatino Linotype"/>
        </w:rPr>
        <w:t>1,</w:t>
      </w:r>
      <w:r w:rsidR="00F94C01">
        <w:rPr>
          <w:rFonts w:ascii="Palatino Linotype" w:hAnsi="Palatino Linotype"/>
        </w:rPr>
        <w:t>600</w:t>
      </w:r>
      <w:r w:rsidR="00F8732B" w:rsidRPr="003A5FDB">
        <w:rPr>
          <w:rFonts w:ascii="Palatino Linotype" w:hAnsi="Palatino Linotype"/>
        </w:rPr>
        <w:t>,000</w:t>
      </w:r>
      <w:r w:rsidRPr="003A5FDB">
        <w:rPr>
          <w:rFonts w:ascii="Palatino Linotype" w:hAnsi="Palatino Linotype"/>
        </w:rPr>
        <w:t xml:space="preserve">.  </w:t>
      </w:r>
    </w:p>
  </w:footnote>
  <w:footnote w:id="11">
    <w:p w14:paraId="197C29EE" w14:textId="4C28DC3B" w:rsidR="002C7A22" w:rsidRPr="001E3854" w:rsidRDefault="002C7A22" w:rsidP="00593EC8">
      <w:pPr>
        <w:pStyle w:val="FootnoteText"/>
        <w:ind w:left="180" w:hanging="180"/>
      </w:pPr>
      <w:r w:rsidRPr="003A5FDB">
        <w:rPr>
          <w:rStyle w:val="FootnoteReference"/>
        </w:rPr>
        <w:footnoteRef/>
      </w:r>
      <w:r w:rsidRPr="003A5FDB">
        <w:t xml:space="preserve"> </w:t>
      </w:r>
      <w:r w:rsidRPr="003A5FDB">
        <w:rPr>
          <w:rFonts w:ascii="Palatino Linotype" w:hAnsi="Palatino Linotype"/>
        </w:rPr>
        <w:t xml:space="preserve">By way of comparison, for the </w:t>
      </w:r>
      <w:r w:rsidR="001E3854" w:rsidRPr="003A5FDB">
        <w:rPr>
          <w:rFonts w:ascii="Palatino Linotype" w:hAnsi="Palatino Linotype"/>
        </w:rPr>
        <w:t>previous</w:t>
      </w:r>
      <w:r w:rsidRPr="003A5FDB">
        <w:rPr>
          <w:rFonts w:ascii="Palatino Linotype" w:hAnsi="Palatino Linotype"/>
        </w:rPr>
        <w:t xml:space="preserve"> fiscal</w:t>
      </w:r>
      <w:r>
        <w:rPr>
          <w:rFonts w:ascii="Palatino Linotype" w:hAnsi="Palatino Linotype"/>
        </w:rPr>
        <w:t xml:space="preserve"> year, </w:t>
      </w:r>
      <w:r w:rsidR="001E3854" w:rsidRPr="001E3854">
        <w:rPr>
          <w:rFonts w:ascii="Palatino Linotype" w:hAnsi="Palatino Linotype"/>
        </w:rPr>
        <w:t xml:space="preserve">the DIVCA-related budget required a surcharge equal to </w:t>
      </w:r>
      <w:r w:rsidR="001E3854" w:rsidRPr="00145C59">
        <w:rPr>
          <w:rFonts w:ascii="Palatino Linotype" w:hAnsi="Palatino Linotype"/>
        </w:rPr>
        <w:t>0.01503201</w:t>
      </w:r>
      <w:r w:rsidR="001E3854" w:rsidRPr="001E3854">
        <w:rPr>
          <w:rFonts w:ascii="Palatino Linotype" w:hAnsi="Palatino Linotype"/>
        </w:rPr>
        <w:t xml:space="preserve"> cents per dollar.  The year before that it was </w:t>
      </w:r>
      <w:r w:rsidR="00EA7A05" w:rsidRPr="00987432">
        <w:rPr>
          <w:rFonts w:ascii="Palatino Linotype" w:hAnsi="Palatino Linotype"/>
        </w:rPr>
        <w:t>0.01472882</w:t>
      </w:r>
      <w:r w:rsidR="00EA7A05" w:rsidRPr="001E3854">
        <w:rPr>
          <w:rFonts w:ascii="Palatino Linotype" w:hAnsi="Palatino Linotype"/>
        </w:rPr>
        <w:t xml:space="preserve"> </w:t>
      </w:r>
      <w:r w:rsidRPr="001E3854">
        <w:rPr>
          <w:rFonts w:ascii="Palatino Linotype" w:hAnsi="Palatino Linotype"/>
        </w:rPr>
        <w:t>cents per dollar.</w:t>
      </w:r>
      <w:r w:rsidR="001E3854">
        <w:rPr>
          <w:rFonts w:ascii="Palatino Linotype" w:hAnsi="Palatino Linotype"/>
        </w:rPr>
        <w:t xml:space="preserve"> </w:t>
      </w:r>
      <w:r w:rsidR="001E3854" w:rsidRPr="001E3854">
        <w:rPr>
          <w:rFonts w:ascii="Palatino Linotype" w:hAnsi="Palatino Linotype"/>
        </w:rPr>
        <w:t xml:space="preserve"> </w:t>
      </w:r>
    </w:p>
  </w:footnote>
  <w:footnote w:id="12">
    <w:p w14:paraId="4B614BC7" w14:textId="7C8CA4CB" w:rsidR="002C7A22" w:rsidRPr="00CF37D5" w:rsidRDefault="002C7A22" w:rsidP="00A1136B">
      <w:pPr>
        <w:pStyle w:val="FootnoteText"/>
        <w:ind w:left="90" w:hanging="90"/>
      </w:pPr>
      <w:r w:rsidRPr="00CF37D5">
        <w:rPr>
          <w:rStyle w:val="FootnoteReference"/>
          <w:rFonts w:ascii="Palatino Linotype" w:hAnsi="Palatino Linotype"/>
        </w:rPr>
        <w:footnoteRef/>
      </w:r>
      <w:r w:rsidRPr="00CF37D5">
        <w:rPr>
          <w:rFonts w:ascii="Palatino Linotype" w:hAnsi="Palatino Linotype"/>
        </w:rPr>
        <w:t xml:space="preserve"> </w:t>
      </w:r>
      <w:r w:rsidR="00D97DFF">
        <w:rPr>
          <w:rFonts w:ascii="Palatino Linotype" w:hAnsi="Palatino Linotype"/>
        </w:rPr>
        <w:t xml:space="preserve">Cal. </w:t>
      </w:r>
      <w:r w:rsidRPr="00CF37D5">
        <w:rPr>
          <w:rFonts w:ascii="Palatino Linotype" w:hAnsi="Palatino Linotype"/>
        </w:rPr>
        <w:t>P</w:t>
      </w:r>
      <w:r w:rsidR="00D97DFF">
        <w:rPr>
          <w:rFonts w:ascii="Palatino Linotype" w:hAnsi="Palatino Linotype"/>
        </w:rPr>
        <w:t xml:space="preserve">ub. </w:t>
      </w:r>
      <w:r w:rsidRPr="00CF37D5">
        <w:rPr>
          <w:rFonts w:ascii="Palatino Linotype" w:hAnsi="Palatino Linotype"/>
        </w:rPr>
        <w:t>U</w:t>
      </w:r>
      <w:r w:rsidR="00D97DFF">
        <w:rPr>
          <w:rFonts w:ascii="Palatino Linotype" w:hAnsi="Palatino Linotype"/>
        </w:rPr>
        <w:t>til.</w:t>
      </w:r>
      <w:r w:rsidRPr="00CF37D5">
        <w:rPr>
          <w:rFonts w:ascii="Palatino Linotype" w:hAnsi="Palatino Linotype"/>
        </w:rPr>
        <w:t xml:space="preserve"> Code </w:t>
      </w:r>
      <w:r w:rsidR="00431485">
        <w:rPr>
          <w:rFonts w:ascii="Palatino Linotype" w:hAnsi="Palatino Linotype"/>
        </w:rPr>
        <w:t>§</w:t>
      </w:r>
      <w:r w:rsidR="00431485" w:rsidRPr="00CF37D5">
        <w:rPr>
          <w:rFonts w:ascii="Palatino Linotype" w:hAnsi="Palatino Linotype"/>
        </w:rPr>
        <w:t xml:space="preserve"> </w:t>
      </w:r>
      <w:r w:rsidRPr="00CF37D5">
        <w:rPr>
          <w:rFonts w:ascii="Palatino Linotype" w:hAnsi="Palatino Linotype"/>
        </w:rPr>
        <w:t>5960 (d) states: “All information submitted to the commission and reported by the</w:t>
      </w:r>
      <w:r w:rsidR="00B20994">
        <w:rPr>
          <w:rFonts w:ascii="Palatino Linotype" w:hAnsi="Palatino Linotype"/>
        </w:rPr>
        <w:t xml:space="preserve"> </w:t>
      </w:r>
      <w:r w:rsidRPr="00CF37D5">
        <w:rPr>
          <w:rFonts w:ascii="Palatino Linotype" w:hAnsi="Palatino Linotype"/>
        </w:rPr>
        <w:t xml:space="preserve">commission pursuant to this section shall be disclosed to the public only as provided for pursuant to </w:t>
      </w:r>
      <w:r>
        <w:rPr>
          <w:rFonts w:ascii="Palatino Linotype" w:hAnsi="Palatino Linotype"/>
        </w:rPr>
        <w:br/>
      </w:r>
      <w:r w:rsidRPr="00CF37D5">
        <w:rPr>
          <w:rFonts w:ascii="Palatino Linotype" w:hAnsi="Palatino Linotype"/>
        </w:rPr>
        <w:t xml:space="preserve">Section 583.  No individually identifiable customer or subscriber information shall be subject to public </w:t>
      </w:r>
      <w:r>
        <w:rPr>
          <w:rFonts w:ascii="Palatino Linotype" w:hAnsi="Palatino Linotype"/>
        </w:rPr>
        <w:br/>
      </w:r>
      <w:r w:rsidRPr="00CF37D5">
        <w:rPr>
          <w:rFonts w:ascii="Palatino Linotype" w:hAnsi="Palatino Linotype"/>
        </w:rPr>
        <w:t>disclosure.”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4C0F" w14:textId="77777777" w:rsidR="00876AF4" w:rsidRDefault="00876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6964" w14:textId="70096D40" w:rsidR="002C7A22" w:rsidRPr="00816994" w:rsidRDefault="002C7A22" w:rsidP="00816994">
    <w:pPr>
      <w:pStyle w:val="Header"/>
      <w:rPr>
        <w:rFonts w:ascii="Palatino Linotype" w:hAnsi="Palatino Linotype"/>
        <w:sz w:val="24"/>
        <w:lang w:val="es-MX"/>
      </w:rPr>
    </w:pPr>
    <w:r>
      <w:rPr>
        <w:rFonts w:ascii="Palatino Linotype" w:hAnsi="Palatino Linotype"/>
        <w:sz w:val="24"/>
        <w:lang w:val="es-MX"/>
      </w:rPr>
      <w:t>Resolution T-</w:t>
    </w:r>
    <w:r w:rsidR="00645F34">
      <w:rPr>
        <w:rFonts w:ascii="Palatino Linotype" w:hAnsi="Palatino Linotype"/>
        <w:sz w:val="24"/>
        <w:lang w:val="es-MX"/>
      </w:rPr>
      <w:t>17783</w:t>
    </w:r>
    <w:r w:rsidR="00AB2918">
      <w:rPr>
        <w:rFonts w:ascii="Palatino Linotype" w:hAnsi="Palatino Linotype"/>
        <w:sz w:val="24"/>
        <w:lang w:val="es-MX"/>
      </w:rPr>
      <w:t xml:space="preserve">  </w:t>
    </w:r>
    <w:r>
      <w:rPr>
        <w:rFonts w:ascii="Palatino Linotype" w:hAnsi="Palatino Linotype"/>
        <w:sz w:val="24"/>
        <w:lang w:val="es-MX"/>
      </w:rPr>
      <w:t xml:space="preserve">                      </w:t>
    </w:r>
    <w:r w:rsidR="00816994">
      <w:rPr>
        <w:rFonts w:ascii="Palatino Linotype" w:hAnsi="Palatino Linotype"/>
        <w:sz w:val="24"/>
        <w:lang w:val="es-MX"/>
      </w:rPr>
      <w:t xml:space="preserve">           </w:t>
    </w:r>
    <w:r w:rsidR="00561A84">
      <w:rPr>
        <w:rFonts w:ascii="Palatino Linotype" w:hAnsi="Palatino Linotype"/>
        <w:sz w:val="24"/>
        <w:lang w:val="es-MX"/>
      </w:rPr>
      <w:tab/>
      <w:t xml:space="preserve">         </w:t>
    </w:r>
    <w:r>
      <w:rPr>
        <w:rFonts w:ascii="Palatino Linotype" w:hAnsi="Palatino Linotype"/>
        <w:sz w:val="24"/>
        <w:lang w:val="es-MX"/>
      </w:rPr>
      <w:t xml:space="preserve">  </w:t>
    </w:r>
    <w:r w:rsidR="00816994">
      <w:rPr>
        <w:rFonts w:ascii="Palatino Linotype" w:hAnsi="Palatino Linotype"/>
        <w:sz w:val="24"/>
        <w:lang w:val="es-MX"/>
      </w:rPr>
      <w:t xml:space="preserve">                                                </w:t>
    </w:r>
    <w:r>
      <w:rPr>
        <w:rFonts w:ascii="Palatino Linotype" w:hAnsi="Palatino Linotype"/>
        <w:sz w:val="24"/>
        <w:lang w:val="es-MX"/>
      </w:rPr>
      <w:t xml:space="preserve">             CD/MBP</w:t>
    </w:r>
  </w:p>
  <w:p w14:paraId="7DCBE3B6" w14:textId="77777777" w:rsidR="002C7A22" w:rsidRDefault="002C7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924D" w14:textId="77777777" w:rsidR="002C7A22" w:rsidRDefault="002C7A22" w:rsidP="007C1044">
    <w:pPr>
      <w:pStyle w:val="Header"/>
      <w:rPr>
        <w:rFonts w:ascii="Palatino Linotype" w:hAnsi="Palatino Linotype"/>
        <w:sz w:val="24"/>
        <w:lang w:val="es-MX"/>
      </w:rPr>
    </w:pPr>
  </w:p>
  <w:p w14:paraId="7C6A6677" w14:textId="6825DD75" w:rsidR="002C7A22" w:rsidRDefault="002C7A22" w:rsidP="007C1044">
    <w:pPr>
      <w:pStyle w:val="Header"/>
      <w:rPr>
        <w:rFonts w:ascii="Palatino Linotype" w:hAnsi="Palatino Linotype"/>
        <w:sz w:val="24"/>
        <w:lang w:val="es-MX"/>
      </w:rPr>
    </w:pPr>
    <w:r w:rsidRPr="0044011D">
      <w:rPr>
        <w:rFonts w:ascii="Palatino Linotype" w:hAnsi="Palatino Linotype"/>
        <w:sz w:val="24"/>
        <w:lang w:val="es-MX"/>
      </w:rPr>
      <w:t>Resolution T-</w:t>
    </w:r>
    <w:r w:rsidR="00645F34">
      <w:rPr>
        <w:rFonts w:ascii="Palatino Linotype" w:hAnsi="Palatino Linotype"/>
        <w:sz w:val="24"/>
        <w:lang w:val="es-MX"/>
      </w:rPr>
      <w:t>17783</w:t>
    </w:r>
    <w:r>
      <w:rPr>
        <w:rFonts w:ascii="Palatino Linotype" w:hAnsi="Palatino Linotype"/>
        <w:sz w:val="24"/>
        <w:lang w:val="es-MX"/>
      </w:rPr>
      <w:t xml:space="preserve">                                    </w:t>
    </w:r>
    <w:r w:rsidR="00E169D0">
      <w:rPr>
        <w:rFonts w:ascii="Palatino Linotype" w:hAnsi="Palatino Linotype"/>
        <w:sz w:val="24"/>
        <w:lang w:val="es-MX"/>
      </w:rPr>
      <w:t xml:space="preserve">                          </w:t>
    </w:r>
    <w:r w:rsidR="00A27B35">
      <w:rPr>
        <w:rFonts w:ascii="Palatino Linotype" w:hAnsi="Palatino Linotype"/>
        <w:sz w:val="24"/>
        <w:lang w:val="es-MX"/>
      </w:rPr>
      <w:tab/>
    </w:r>
    <w:r w:rsidR="00A27B35">
      <w:rPr>
        <w:sz w:val="24"/>
        <w:szCs w:val="24"/>
      </w:rPr>
      <w:t>Date of Issuance:  May 2</w:t>
    </w:r>
    <w:r w:rsidR="00876AF4">
      <w:rPr>
        <w:sz w:val="24"/>
        <w:szCs w:val="24"/>
      </w:rPr>
      <w:t>6</w:t>
    </w:r>
    <w:r w:rsidR="00A27B35">
      <w:rPr>
        <w:sz w:val="24"/>
        <w:szCs w:val="24"/>
      </w:rPr>
      <w:t>, 2023</w:t>
    </w:r>
  </w:p>
  <w:p w14:paraId="18E9E2E9" w14:textId="1990F7D6" w:rsidR="002C7A22" w:rsidRPr="00544DDC" w:rsidRDefault="002C7A22" w:rsidP="008331AB">
    <w:pPr>
      <w:pStyle w:val="Header"/>
      <w:rPr>
        <w:rFonts w:ascii="Palatino Linotype" w:hAnsi="Palatino Linotype"/>
        <w:sz w:val="24"/>
        <w:lang w:val="es-MX"/>
      </w:rPr>
    </w:pPr>
    <w:r>
      <w:rPr>
        <w:rFonts w:ascii="Palatino Linotype" w:hAnsi="Palatino Linotype"/>
        <w:sz w:val="24"/>
        <w:lang w:val="es-MX"/>
      </w:rPr>
      <w:t xml:space="preserve">CD/MBP                                     </w:t>
    </w:r>
    <w:r w:rsidR="004E7C19">
      <w:rPr>
        <w:rFonts w:ascii="Palatino Linotype" w:hAnsi="Palatino Linotype"/>
        <w:sz w:val="24"/>
        <w:lang w:val="es-MX"/>
      </w:rPr>
      <w:t xml:space="preserve">  </w:t>
    </w:r>
    <w:r>
      <w:rPr>
        <w:rFonts w:ascii="Palatino Linotype" w:hAnsi="Palatino Linotype"/>
        <w:sz w:val="24"/>
        <w:lang w:val="es-MX"/>
      </w:rPr>
      <w:t xml:space="preserve">  </w:t>
    </w:r>
    <w:r>
      <w:rPr>
        <w:sz w:val="24"/>
        <w:szCs w:val="24"/>
      </w:rPr>
      <w:t xml:space="preserve">                                                      </w:t>
    </w:r>
  </w:p>
  <w:p w14:paraId="5FB2CBE6" w14:textId="77777777" w:rsidR="002C7A22" w:rsidRDefault="002C7A22" w:rsidP="007C1044">
    <w:pPr>
      <w:pStyle w:val="Header"/>
      <w:tabs>
        <w:tab w:val="clear" w:pos="4680"/>
        <w:tab w:val="clear" w:pos="9360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A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7F3AE3"/>
    <w:multiLevelType w:val="hybridMultilevel"/>
    <w:tmpl w:val="AD9A7E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5787D"/>
    <w:multiLevelType w:val="hybridMultilevel"/>
    <w:tmpl w:val="3942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8EB"/>
    <w:multiLevelType w:val="hybridMultilevel"/>
    <w:tmpl w:val="BE08B0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41042886">
    <w:abstractNumId w:val="0"/>
  </w:num>
  <w:num w:numId="2" w16cid:durableId="605116367">
    <w:abstractNumId w:val="1"/>
  </w:num>
  <w:num w:numId="3" w16cid:durableId="1169440293">
    <w:abstractNumId w:val="3"/>
  </w:num>
  <w:num w:numId="4" w16cid:durableId="35042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1E"/>
    <w:rsid w:val="00003650"/>
    <w:rsid w:val="000065F3"/>
    <w:rsid w:val="00014C99"/>
    <w:rsid w:val="000157DD"/>
    <w:rsid w:val="00015F83"/>
    <w:rsid w:val="00016C73"/>
    <w:rsid w:val="00017829"/>
    <w:rsid w:val="00021EED"/>
    <w:rsid w:val="00026874"/>
    <w:rsid w:val="00032C33"/>
    <w:rsid w:val="00033A3C"/>
    <w:rsid w:val="000362E2"/>
    <w:rsid w:val="00036B3F"/>
    <w:rsid w:val="0004255A"/>
    <w:rsid w:val="0004449B"/>
    <w:rsid w:val="000507CA"/>
    <w:rsid w:val="0005431D"/>
    <w:rsid w:val="00063C0B"/>
    <w:rsid w:val="00065A97"/>
    <w:rsid w:val="00065AF5"/>
    <w:rsid w:val="00067B02"/>
    <w:rsid w:val="00075A19"/>
    <w:rsid w:val="000762B4"/>
    <w:rsid w:val="00077AF1"/>
    <w:rsid w:val="00080AD5"/>
    <w:rsid w:val="00086721"/>
    <w:rsid w:val="00087341"/>
    <w:rsid w:val="00094080"/>
    <w:rsid w:val="00097151"/>
    <w:rsid w:val="000976E2"/>
    <w:rsid w:val="000A18A0"/>
    <w:rsid w:val="000A4E78"/>
    <w:rsid w:val="000B135E"/>
    <w:rsid w:val="000B2263"/>
    <w:rsid w:val="000B2E9B"/>
    <w:rsid w:val="000B314E"/>
    <w:rsid w:val="000B6768"/>
    <w:rsid w:val="000C0C2E"/>
    <w:rsid w:val="000C1BB2"/>
    <w:rsid w:val="000D0129"/>
    <w:rsid w:val="000E411F"/>
    <w:rsid w:val="000E4F0F"/>
    <w:rsid w:val="000E5728"/>
    <w:rsid w:val="000F1297"/>
    <w:rsid w:val="000F2857"/>
    <w:rsid w:val="000F4560"/>
    <w:rsid w:val="000F56CE"/>
    <w:rsid w:val="000F7D12"/>
    <w:rsid w:val="001020A8"/>
    <w:rsid w:val="00107526"/>
    <w:rsid w:val="00110912"/>
    <w:rsid w:val="00110D00"/>
    <w:rsid w:val="00111580"/>
    <w:rsid w:val="0011240A"/>
    <w:rsid w:val="001127B3"/>
    <w:rsid w:val="00121CBF"/>
    <w:rsid w:val="00125D20"/>
    <w:rsid w:val="00142D55"/>
    <w:rsid w:val="001437D4"/>
    <w:rsid w:val="00145C59"/>
    <w:rsid w:val="00145E7A"/>
    <w:rsid w:val="00147DD0"/>
    <w:rsid w:val="00150EA2"/>
    <w:rsid w:val="001556A6"/>
    <w:rsid w:val="0016165B"/>
    <w:rsid w:val="00165D22"/>
    <w:rsid w:val="00176831"/>
    <w:rsid w:val="0019035D"/>
    <w:rsid w:val="00193902"/>
    <w:rsid w:val="001A035E"/>
    <w:rsid w:val="001A4CE9"/>
    <w:rsid w:val="001A584D"/>
    <w:rsid w:val="001B165B"/>
    <w:rsid w:val="001B2893"/>
    <w:rsid w:val="001B31E7"/>
    <w:rsid w:val="001B4E0D"/>
    <w:rsid w:val="001B5E74"/>
    <w:rsid w:val="001C1ED3"/>
    <w:rsid w:val="001C2BA7"/>
    <w:rsid w:val="001C34AD"/>
    <w:rsid w:val="001C6B93"/>
    <w:rsid w:val="001C7DF8"/>
    <w:rsid w:val="001D1E17"/>
    <w:rsid w:val="001D4928"/>
    <w:rsid w:val="001D7CAC"/>
    <w:rsid w:val="001E192B"/>
    <w:rsid w:val="001E1A82"/>
    <w:rsid w:val="001E3854"/>
    <w:rsid w:val="001E3F33"/>
    <w:rsid w:val="001E6225"/>
    <w:rsid w:val="001E7E38"/>
    <w:rsid w:val="001F172E"/>
    <w:rsid w:val="001F40CB"/>
    <w:rsid w:val="001F6021"/>
    <w:rsid w:val="00200262"/>
    <w:rsid w:val="00200BCE"/>
    <w:rsid w:val="0020477F"/>
    <w:rsid w:val="002049CF"/>
    <w:rsid w:val="0020509F"/>
    <w:rsid w:val="002050E7"/>
    <w:rsid w:val="00220C40"/>
    <w:rsid w:val="0022512D"/>
    <w:rsid w:val="00226AF7"/>
    <w:rsid w:val="0022719B"/>
    <w:rsid w:val="002274DB"/>
    <w:rsid w:val="002340BD"/>
    <w:rsid w:val="00234929"/>
    <w:rsid w:val="00235419"/>
    <w:rsid w:val="00235AF9"/>
    <w:rsid w:val="002364EF"/>
    <w:rsid w:val="00236502"/>
    <w:rsid w:val="0023714C"/>
    <w:rsid w:val="0024662D"/>
    <w:rsid w:val="00250703"/>
    <w:rsid w:val="0025251F"/>
    <w:rsid w:val="00254520"/>
    <w:rsid w:val="00255188"/>
    <w:rsid w:val="00257FD0"/>
    <w:rsid w:val="00261A9A"/>
    <w:rsid w:val="002653DA"/>
    <w:rsid w:val="00266626"/>
    <w:rsid w:val="00277B36"/>
    <w:rsid w:val="002804A3"/>
    <w:rsid w:val="00283401"/>
    <w:rsid w:val="002834C2"/>
    <w:rsid w:val="002969F9"/>
    <w:rsid w:val="002A3970"/>
    <w:rsid w:val="002B10B9"/>
    <w:rsid w:val="002B15D3"/>
    <w:rsid w:val="002C7A22"/>
    <w:rsid w:val="002D258E"/>
    <w:rsid w:val="002D2FDB"/>
    <w:rsid w:val="002D5148"/>
    <w:rsid w:val="002E49D5"/>
    <w:rsid w:val="002F0E79"/>
    <w:rsid w:val="002F4463"/>
    <w:rsid w:val="002F5E50"/>
    <w:rsid w:val="0030281F"/>
    <w:rsid w:val="003040D7"/>
    <w:rsid w:val="00305A6B"/>
    <w:rsid w:val="00310242"/>
    <w:rsid w:val="00312804"/>
    <w:rsid w:val="00316879"/>
    <w:rsid w:val="00327627"/>
    <w:rsid w:val="0034207F"/>
    <w:rsid w:val="00343361"/>
    <w:rsid w:val="00344B3F"/>
    <w:rsid w:val="00345CA3"/>
    <w:rsid w:val="00346DBA"/>
    <w:rsid w:val="00347AB7"/>
    <w:rsid w:val="00347EF4"/>
    <w:rsid w:val="00357ECB"/>
    <w:rsid w:val="003634EB"/>
    <w:rsid w:val="003672FA"/>
    <w:rsid w:val="0036757B"/>
    <w:rsid w:val="00371573"/>
    <w:rsid w:val="003725B4"/>
    <w:rsid w:val="00373D01"/>
    <w:rsid w:val="00380264"/>
    <w:rsid w:val="00382273"/>
    <w:rsid w:val="003919FA"/>
    <w:rsid w:val="003A0683"/>
    <w:rsid w:val="003A2DC4"/>
    <w:rsid w:val="003A33AE"/>
    <w:rsid w:val="003A4D90"/>
    <w:rsid w:val="003A5763"/>
    <w:rsid w:val="003A5FDB"/>
    <w:rsid w:val="003B23FA"/>
    <w:rsid w:val="003B5A4E"/>
    <w:rsid w:val="003B6AA9"/>
    <w:rsid w:val="003C3145"/>
    <w:rsid w:val="003D67FA"/>
    <w:rsid w:val="003E3136"/>
    <w:rsid w:val="003E3E92"/>
    <w:rsid w:val="003E572C"/>
    <w:rsid w:val="003E5D72"/>
    <w:rsid w:val="003F1E01"/>
    <w:rsid w:val="003F389B"/>
    <w:rsid w:val="003F4789"/>
    <w:rsid w:val="003F49F3"/>
    <w:rsid w:val="003F66FD"/>
    <w:rsid w:val="003F70A8"/>
    <w:rsid w:val="00402B95"/>
    <w:rsid w:val="00413B00"/>
    <w:rsid w:val="00414C5B"/>
    <w:rsid w:val="00415586"/>
    <w:rsid w:val="00422D96"/>
    <w:rsid w:val="0042320A"/>
    <w:rsid w:val="004268D0"/>
    <w:rsid w:val="00427D9C"/>
    <w:rsid w:val="004305E1"/>
    <w:rsid w:val="00431485"/>
    <w:rsid w:val="00436466"/>
    <w:rsid w:val="0044011D"/>
    <w:rsid w:val="0044099E"/>
    <w:rsid w:val="00444349"/>
    <w:rsid w:val="00444C45"/>
    <w:rsid w:val="00444D9C"/>
    <w:rsid w:val="00444F23"/>
    <w:rsid w:val="00445E17"/>
    <w:rsid w:val="0046020F"/>
    <w:rsid w:val="00472310"/>
    <w:rsid w:val="00472BAC"/>
    <w:rsid w:val="00474CEC"/>
    <w:rsid w:val="00476ACA"/>
    <w:rsid w:val="00476E15"/>
    <w:rsid w:val="004800F6"/>
    <w:rsid w:val="00480B29"/>
    <w:rsid w:val="00483742"/>
    <w:rsid w:val="00484B84"/>
    <w:rsid w:val="00486C0E"/>
    <w:rsid w:val="00490E33"/>
    <w:rsid w:val="00493B97"/>
    <w:rsid w:val="00493D79"/>
    <w:rsid w:val="004951CE"/>
    <w:rsid w:val="004963E2"/>
    <w:rsid w:val="004A007B"/>
    <w:rsid w:val="004A5E37"/>
    <w:rsid w:val="004A75D2"/>
    <w:rsid w:val="004B036D"/>
    <w:rsid w:val="004B37F4"/>
    <w:rsid w:val="004B5DAE"/>
    <w:rsid w:val="004C0A6D"/>
    <w:rsid w:val="004C1740"/>
    <w:rsid w:val="004C244C"/>
    <w:rsid w:val="004C55BF"/>
    <w:rsid w:val="004C6104"/>
    <w:rsid w:val="004C616C"/>
    <w:rsid w:val="004C7790"/>
    <w:rsid w:val="004D0FC1"/>
    <w:rsid w:val="004D1C7C"/>
    <w:rsid w:val="004E030B"/>
    <w:rsid w:val="004E0957"/>
    <w:rsid w:val="004E192D"/>
    <w:rsid w:val="004E1C98"/>
    <w:rsid w:val="004E463E"/>
    <w:rsid w:val="004E7C19"/>
    <w:rsid w:val="004F1358"/>
    <w:rsid w:val="004F15EC"/>
    <w:rsid w:val="004F1A4B"/>
    <w:rsid w:val="004F6E86"/>
    <w:rsid w:val="004F7ECF"/>
    <w:rsid w:val="00500DB3"/>
    <w:rsid w:val="005017CE"/>
    <w:rsid w:val="005025A3"/>
    <w:rsid w:val="0051633B"/>
    <w:rsid w:val="00526B56"/>
    <w:rsid w:val="0053411E"/>
    <w:rsid w:val="00535B8D"/>
    <w:rsid w:val="00543927"/>
    <w:rsid w:val="00544DDC"/>
    <w:rsid w:val="00545BB9"/>
    <w:rsid w:val="005533AE"/>
    <w:rsid w:val="005552D5"/>
    <w:rsid w:val="005556D6"/>
    <w:rsid w:val="00560D38"/>
    <w:rsid w:val="00561A84"/>
    <w:rsid w:val="00561F02"/>
    <w:rsid w:val="00565291"/>
    <w:rsid w:val="005678B1"/>
    <w:rsid w:val="00576793"/>
    <w:rsid w:val="00580857"/>
    <w:rsid w:val="00581B84"/>
    <w:rsid w:val="005827F3"/>
    <w:rsid w:val="00583882"/>
    <w:rsid w:val="00587074"/>
    <w:rsid w:val="0058729F"/>
    <w:rsid w:val="00593EC8"/>
    <w:rsid w:val="00594337"/>
    <w:rsid w:val="00594953"/>
    <w:rsid w:val="00597325"/>
    <w:rsid w:val="005A3337"/>
    <w:rsid w:val="005B112D"/>
    <w:rsid w:val="005B3752"/>
    <w:rsid w:val="005C2C30"/>
    <w:rsid w:val="005C2DED"/>
    <w:rsid w:val="005C46C7"/>
    <w:rsid w:val="005D0F2F"/>
    <w:rsid w:val="005D26FC"/>
    <w:rsid w:val="005D2B3F"/>
    <w:rsid w:val="005D5BD3"/>
    <w:rsid w:val="005D6C56"/>
    <w:rsid w:val="005E0D23"/>
    <w:rsid w:val="005E1A4C"/>
    <w:rsid w:val="005E2086"/>
    <w:rsid w:val="005E2198"/>
    <w:rsid w:val="005E310B"/>
    <w:rsid w:val="005E5443"/>
    <w:rsid w:val="005E6326"/>
    <w:rsid w:val="005E70CB"/>
    <w:rsid w:val="005F36D2"/>
    <w:rsid w:val="0060162A"/>
    <w:rsid w:val="006022D9"/>
    <w:rsid w:val="00604875"/>
    <w:rsid w:val="0060545D"/>
    <w:rsid w:val="00606769"/>
    <w:rsid w:val="00606D1B"/>
    <w:rsid w:val="006076A8"/>
    <w:rsid w:val="0061121B"/>
    <w:rsid w:val="0062007D"/>
    <w:rsid w:val="006249CE"/>
    <w:rsid w:val="00632143"/>
    <w:rsid w:val="00634ACC"/>
    <w:rsid w:val="00635D80"/>
    <w:rsid w:val="00636674"/>
    <w:rsid w:val="00636C58"/>
    <w:rsid w:val="0064192C"/>
    <w:rsid w:val="00641AB0"/>
    <w:rsid w:val="00645509"/>
    <w:rsid w:val="00645F34"/>
    <w:rsid w:val="006474AD"/>
    <w:rsid w:val="00647B84"/>
    <w:rsid w:val="0065479F"/>
    <w:rsid w:val="00654931"/>
    <w:rsid w:val="00654A0E"/>
    <w:rsid w:val="00656542"/>
    <w:rsid w:val="00660230"/>
    <w:rsid w:val="00666BCE"/>
    <w:rsid w:val="00671735"/>
    <w:rsid w:val="006755BB"/>
    <w:rsid w:val="006765CD"/>
    <w:rsid w:val="006808B2"/>
    <w:rsid w:val="00685948"/>
    <w:rsid w:val="00690F66"/>
    <w:rsid w:val="00691E23"/>
    <w:rsid w:val="00692083"/>
    <w:rsid w:val="00693A54"/>
    <w:rsid w:val="006A4BF8"/>
    <w:rsid w:val="006A4EC6"/>
    <w:rsid w:val="006A65DA"/>
    <w:rsid w:val="006B43E3"/>
    <w:rsid w:val="006B5B51"/>
    <w:rsid w:val="006B6E07"/>
    <w:rsid w:val="006C05E7"/>
    <w:rsid w:val="006C1648"/>
    <w:rsid w:val="006C536C"/>
    <w:rsid w:val="006D0556"/>
    <w:rsid w:val="006D220B"/>
    <w:rsid w:val="006D380C"/>
    <w:rsid w:val="006D3D3C"/>
    <w:rsid w:val="006D6E65"/>
    <w:rsid w:val="006E1338"/>
    <w:rsid w:val="006E32F7"/>
    <w:rsid w:val="006E525E"/>
    <w:rsid w:val="006E5F33"/>
    <w:rsid w:val="006F1682"/>
    <w:rsid w:val="006F2043"/>
    <w:rsid w:val="006F2FCA"/>
    <w:rsid w:val="006F3225"/>
    <w:rsid w:val="00710482"/>
    <w:rsid w:val="00710CD9"/>
    <w:rsid w:val="00715CC3"/>
    <w:rsid w:val="0071705D"/>
    <w:rsid w:val="00717B27"/>
    <w:rsid w:val="00721E02"/>
    <w:rsid w:val="00722710"/>
    <w:rsid w:val="00722A81"/>
    <w:rsid w:val="00722C9E"/>
    <w:rsid w:val="007251DD"/>
    <w:rsid w:val="00726FC7"/>
    <w:rsid w:val="00727B0D"/>
    <w:rsid w:val="007303CE"/>
    <w:rsid w:val="00731D8F"/>
    <w:rsid w:val="007346B5"/>
    <w:rsid w:val="00734F30"/>
    <w:rsid w:val="00735F80"/>
    <w:rsid w:val="00745810"/>
    <w:rsid w:val="00746346"/>
    <w:rsid w:val="007518D8"/>
    <w:rsid w:val="00756472"/>
    <w:rsid w:val="00756D64"/>
    <w:rsid w:val="00756E94"/>
    <w:rsid w:val="0075796B"/>
    <w:rsid w:val="00760E1B"/>
    <w:rsid w:val="00761691"/>
    <w:rsid w:val="00773E18"/>
    <w:rsid w:val="00773FCB"/>
    <w:rsid w:val="00774BA0"/>
    <w:rsid w:val="00776E22"/>
    <w:rsid w:val="00777DBA"/>
    <w:rsid w:val="00791BB4"/>
    <w:rsid w:val="00792E9D"/>
    <w:rsid w:val="007A17C2"/>
    <w:rsid w:val="007A2836"/>
    <w:rsid w:val="007A2BF6"/>
    <w:rsid w:val="007A2EA1"/>
    <w:rsid w:val="007A419A"/>
    <w:rsid w:val="007A542C"/>
    <w:rsid w:val="007B36A8"/>
    <w:rsid w:val="007B655F"/>
    <w:rsid w:val="007B752C"/>
    <w:rsid w:val="007B7AC8"/>
    <w:rsid w:val="007C1044"/>
    <w:rsid w:val="007C2844"/>
    <w:rsid w:val="007C2EB9"/>
    <w:rsid w:val="007C434A"/>
    <w:rsid w:val="007D1467"/>
    <w:rsid w:val="007D2C3F"/>
    <w:rsid w:val="007E06E9"/>
    <w:rsid w:val="007E1380"/>
    <w:rsid w:val="007E1790"/>
    <w:rsid w:val="007E266B"/>
    <w:rsid w:val="007E5456"/>
    <w:rsid w:val="007F158D"/>
    <w:rsid w:val="007F1990"/>
    <w:rsid w:val="007F2453"/>
    <w:rsid w:val="007F623A"/>
    <w:rsid w:val="0080101C"/>
    <w:rsid w:val="00801A64"/>
    <w:rsid w:val="00807899"/>
    <w:rsid w:val="0081173E"/>
    <w:rsid w:val="00813FB5"/>
    <w:rsid w:val="0081584F"/>
    <w:rsid w:val="00816994"/>
    <w:rsid w:val="00816B1F"/>
    <w:rsid w:val="0082384B"/>
    <w:rsid w:val="00823EB6"/>
    <w:rsid w:val="008248F6"/>
    <w:rsid w:val="00827275"/>
    <w:rsid w:val="0083151F"/>
    <w:rsid w:val="00831F69"/>
    <w:rsid w:val="008331AB"/>
    <w:rsid w:val="00840467"/>
    <w:rsid w:val="00845D9D"/>
    <w:rsid w:val="008507BC"/>
    <w:rsid w:val="00851CAF"/>
    <w:rsid w:val="00854485"/>
    <w:rsid w:val="008544BC"/>
    <w:rsid w:val="00855F8E"/>
    <w:rsid w:val="00856439"/>
    <w:rsid w:val="008613FC"/>
    <w:rsid w:val="00862B40"/>
    <w:rsid w:val="0086315A"/>
    <w:rsid w:val="008727AF"/>
    <w:rsid w:val="00873EF7"/>
    <w:rsid w:val="0087602B"/>
    <w:rsid w:val="00876AF4"/>
    <w:rsid w:val="008826E5"/>
    <w:rsid w:val="0088552D"/>
    <w:rsid w:val="008902E6"/>
    <w:rsid w:val="00892F71"/>
    <w:rsid w:val="008946E0"/>
    <w:rsid w:val="0089524C"/>
    <w:rsid w:val="008A4936"/>
    <w:rsid w:val="008A6962"/>
    <w:rsid w:val="008B5332"/>
    <w:rsid w:val="008B6866"/>
    <w:rsid w:val="008B6B71"/>
    <w:rsid w:val="008B761C"/>
    <w:rsid w:val="008C4EE6"/>
    <w:rsid w:val="008C7FDE"/>
    <w:rsid w:val="008D0D33"/>
    <w:rsid w:val="008D3A04"/>
    <w:rsid w:val="008E305A"/>
    <w:rsid w:val="008F541E"/>
    <w:rsid w:val="008F66D2"/>
    <w:rsid w:val="00900805"/>
    <w:rsid w:val="009031C3"/>
    <w:rsid w:val="00904E8F"/>
    <w:rsid w:val="00906097"/>
    <w:rsid w:val="00906162"/>
    <w:rsid w:val="00913720"/>
    <w:rsid w:val="00913E80"/>
    <w:rsid w:val="0091538A"/>
    <w:rsid w:val="009306BD"/>
    <w:rsid w:val="00931CDA"/>
    <w:rsid w:val="00932F5C"/>
    <w:rsid w:val="00936D8F"/>
    <w:rsid w:val="00940D8C"/>
    <w:rsid w:val="0095269C"/>
    <w:rsid w:val="009538AC"/>
    <w:rsid w:val="0095473A"/>
    <w:rsid w:val="0095490D"/>
    <w:rsid w:val="00954A5B"/>
    <w:rsid w:val="0095767A"/>
    <w:rsid w:val="0096258B"/>
    <w:rsid w:val="0096748E"/>
    <w:rsid w:val="00967781"/>
    <w:rsid w:val="00987432"/>
    <w:rsid w:val="009901D1"/>
    <w:rsid w:val="00990D4E"/>
    <w:rsid w:val="009922A8"/>
    <w:rsid w:val="009947BC"/>
    <w:rsid w:val="00997B8A"/>
    <w:rsid w:val="009A3AD3"/>
    <w:rsid w:val="009A56E6"/>
    <w:rsid w:val="009A5E68"/>
    <w:rsid w:val="009A7E9D"/>
    <w:rsid w:val="009B27F6"/>
    <w:rsid w:val="009B2B7C"/>
    <w:rsid w:val="009B56B5"/>
    <w:rsid w:val="009B5C2A"/>
    <w:rsid w:val="009B6261"/>
    <w:rsid w:val="009C2FCC"/>
    <w:rsid w:val="009C440A"/>
    <w:rsid w:val="009D137A"/>
    <w:rsid w:val="009D19D4"/>
    <w:rsid w:val="009D6FDD"/>
    <w:rsid w:val="009D71D3"/>
    <w:rsid w:val="009E2162"/>
    <w:rsid w:val="009E3289"/>
    <w:rsid w:val="009E66C6"/>
    <w:rsid w:val="009F4A57"/>
    <w:rsid w:val="009F56B3"/>
    <w:rsid w:val="00A023D1"/>
    <w:rsid w:val="00A03376"/>
    <w:rsid w:val="00A06042"/>
    <w:rsid w:val="00A1136B"/>
    <w:rsid w:val="00A131A2"/>
    <w:rsid w:val="00A14F3D"/>
    <w:rsid w:val="00A15C6F"/>
    <w:rsid w:val="00A1635D"/>
    <w:rsid w:val="00A1692F"/>
    <w:rsid w:val="00A21284"/>
    <w:rsid w:val="00A24998"/>
    <w:rsid w:val="00A27B35"/>
    <w:rsid w:val="00A31A9E"/>
    <w:rsid w:val="00A320BF"/>
    <w:rsid w:val="00A340D5"/>
    <w:rsid w:val="00A35D8A"/>
    <w:rsid w:val="00A61E6A"/>
    <w:rsid w:val="00A653AB"/>
    <w:rsid w:val="00A65A9B"/>
    <w:rsid w:val="00A66C3D"/>
    <w:rsid w:val="00A67EAA"/>
    <w:rsid w:val="00A87534"/>
    <w:rsid w:val="00A95A2E"/>
    <w:rsid w:val="00A9787A"/>
    <w:rsid w:val="00AA4D54"/>
    <w:rsid w:val="00AB2516"/>
    <w:rsid w:val="00AB2918"/>
    <w:rsid w:val="00AB322F"/>
    <w:rsid w:val="00AB44CC"/>
    <w:rsid w:val="00AB68A6"/>
    <w:rsid w:val="00AC164E"/>
    <w:rsid w:val="00AD1C32"/>
    <w:rsid w:val="00AD235F"/>
    <w:rsid w:val="00AD4A87"/>
    <w:rsid w:val="00AD62EB"/>
    <w:rsid w:val="00AD6EBC"/>
    <w:rsid w:val="00AE29AC"/>
    <w:rsid w:val="00AE4796"/>
    <w:rsid w:val="00AE6E4A"/>
    <w:rsid w:val="00AF1096"/>
    <w:rsid w:val="00AF2D5B"/>
    <w:rsid w:val="00B01218"/>
    <w:rsid w:val="00B01711"/>
    <w:rsid w:val="00B0314F"/>
    <w:rsid w:val="00B054DC"/>
    <w:rsid w:val="00B11CC1"/>
    <w:rsid w:val="00B12569"/>
    <w:rsid w:val="00B154A6"/>
    <w:rsid w:val="00B2052A"/>
    <w:rsid w:val="00B20994"/>
    <w:rsid w:val="00B21E75"/>
    <w:rsid w:val="00B224C6"/>
    <w:rsid w:val="00B2542D"/>
    <w:rsid w:val="00B31859"/>
    <w:rsid w:val="00B33B5F"/>
    <w:rsid w:val="00B35A62"/>
    <w:rsid w:val="00B4186E"/>
    <w:rsid w:val="00B44884"/>
    <w:rsid w:val="00B519C8"/>
    <w:rsid w:val="00B557E9"/>
    <w:rsid w:val="00B57B0C"/>
    <w:rsid w:val="00B604DB"/>
    <w:rsid w:val="00B6216D"/>
    <w:rsid w:val="00B7025F"/>
    <w:rsid w:val="00B72E12"/>
    <w:rsid w:val="00B752CB"/>
    <w:rsid w:val="00B757A2"/>
    <w:rsid w:val="00B8011B"/>
    <w:rsid w:val="00B84055"/>
    <w:rsid w:val="00B8665B"/>
    <w:rsid w:val="00B86B28"/>
    <w:rsid w:val="00B86D45"/>
    <w:rsid w:val="00B875A2"/>
    <w:rsid w:val="00B95D95"/>
    <w:rsid w:val="00BA199F"/>
    <w:rsid w:val="00BA2B2F"/>
    <w:rsid w:val="00BA364D"/>
    <w:rsid w:val="00BA5E54"/>
    <w:rsid w:val="00BA7B49"/>
    <w:rsid w:val="00BB48E7"/>
    <w:rsid w:val="00BD0194"/>
    <w:rsid w:val="00BD3A66"/>
    <w:rsid w:val="00BD5467"/>
    <w:rsid w:val="00BD6E05"/>
    <w:rsid w:val="00BE1233"/>
    <w:rsid w:val="00BE26CB"/>
    <w:rsid w:val="00BF0868"/>
    <w:rsid w:val="00BF5915"/>
    <w:rsid w:val="00BF739D"/>
    <w:rsid w:val="00C00845"/>
    <w:rsid w:val="00C02A3B"/>
    <w:rsid w:val="00C030AC"/>
    <w:rsid w:val="00C03A83"/>
    <w:rsid w:val="00C04076"/>
    <w:rsid w:val="00C04827"/>
    <w:rsid w:val="00C0526E"/>
    <w:rsid w:val="00C07825"/>
    <w:rsid w:val="00C14694"/>
    <w:rsid w:val="00C162CE"/>
    <w:rsid w:val="00C173CC"/>
    <w:rsid w:val="00C2101A"/>
    <w:rsid w:val="00C27F6E"/>
    <w:rsid w:val="00C354B7"/>
    <w:rsid w:val="00C355DE"/>
    <w:rsid w:val="00C35EFD"/>
    <w:rsid w:val="00C362A9"/>
    <w:rsid w:val="00C37E14"/>
    <w:rsid w:val="00C41E9D"/>
    <w:rsid w:val="00C42EC0"/>
    <w:rsid w:val="00C46D4D"/>
    <w:rsid w:val="00C50E5C"/>
    <w:rsid w:val="00C51659"/>
    <w:rsid w:val="00C55111"/>
    <w:rsid w:val="00C579AB"/>
    <w:rsid w:val="00C57F5E"/>
    <w:rsid w:val="00C60E02"/>
    <w:rsid w:val="00C615DE"/>
    <w:rsid w:val="00C627F0"/>
    <w:rsid w:val="00C645D8"/>
    <w:rsid w:val="00C65021"/>
    <w:rsid w:val="00C65C70"/>
    <w:rsid w:val="00C73CBE"/>
    <w:rsid w:val="00C80779"/>
    <w:rsid w:val="00C83AF1"/>
    <w:rsid w:val="00C8466C"/>
    <w:rsid w:val="00C84DF1"/>
    <w:rsid w:val="00C91BBD"/>
    <w:rsid w:val="00C930DF"/>
    <w:rsid w:val="00CA30E7"/>
    <w:rsid w:val="00CB11E3"/>
    <w:rsid w:val="00CB5541"/>
    <w:rsid w:val="00CC14B3"/>
    <w:rsid w:val="00CC2B2D"/>
    <w:rsid w:val="00CC3B5B"/>
    <w:rsid w:val="00CC4CEF"/>
    <w:rsid w:val="00CC7851"/>
    <w:rsid w:val="00CD321A"/>
    <w:rsid w:val="00CD3C42"/>
    <w:rsid w:val="00CD5932"/>
    <w:rsid w:val="00CD5B6F"/>
    <w:rsid w:val="00CE2E45"/>
    <w:rsid w:val="00CE42D0"/>
    <w:rsid w:val="00CF0A1F"/>
    <w:rsid w:val="00CF259D"/>
    <w:rsid w:val="00CF37D5"/>
    <w:rsid w:val="00CF4C2E"/>
    <w:rsid w:val="00CF69C8"/>
    <w:rsid w:val="00CF79BA"/>
    <w:rsid w:val="00D0296B"/>
    <w:rsid w:val="00D03879"/>
    <w:rsid w:val="00D052FF"/>
    <w:rsid w:val="00D06E92"/>
    <w:rsid w:val="00D07206"/>
    <w:rsid w:val="00D074B4"/>
    <w:rsid w:val="00D11217"/>
    <w:rsid w:val="00D1141C"/>
    <w:rsid w:val="00D11F46"/>
    <w:rsid w:val="00D12169"/>
    <w:rsid w:val="00D131D1"/>
    <w:rsid w:val="00D16233"/>
    <w:rsid w:val="00D26F6D"/>
    <w:rsid w:val="00D2731E"/>
    <w:rsid w:val="00D277FE"/>
    <w:rsid w:val="00D30C08"/>
    <w:rsid w:val="00D30D0C"/>
    <w:rsid w:val="00D32223"/>
    <w:rsid w:val="00D34871"/>
    <w:rsid w:val="00D40C07"/>
    <w:rsid w:val="00D52408"/>
    <w:rsid w:val="00D525D1"/>
    <w:rsid w:val="00D54C85"/>
    <w:rsid w:val="00D559E9"/>
    <w:rsid w:val="00D6301E"/>
    <w:rsid w:val="00D6306C"/>
    <w:rsid w:val="00D64A11"/>
    <w:rsid w:val="00D64DBB"/>
    <w:rsid w:val="00D67D93"/>
    <w:rsid w:val="00D723D0"/>
    <w:rsid w:val="00D81304"/>
    <w:rsid w:val="00D90924"/>
    <w:rsid w:val="00D916F6"/>
    <w:rsid w:val="00D94C95"/>
    <w:rsid w:val="00D97DFF"/>
    <w:rsid w:val="00DA0200"/>
    <w:rsid w:val="00DA02D1"/>
    <w:rsid w:val="00DA1731"/>
    <w:rsid w:val="00DA36BB"/>
    <w:rsid w:val="00DA7D94"/>
    <w:rsid w:val="00DB182F"/>
    <w:rsid w:val="00DC0306"/>
    <w:rsid w:val="00DC0C60"/>
    <w:rsid w:val="00DC67C2"/>
    <w:rsid w:val="00DC6C05"/>
    <w:rsid w:val="00DD2F28"/>
    <w:rsid w:val="00DD302B"/>
    <w:rsid w:val="00DE2783"/>
    <w:rsid w:val="00DE2F4D"/>
    <w:rsid w:val="00DE3AE0"/>
    <w:rsid w:val="00DE603D"/>
    <w:rsid w:val="00DF2B7E"/>
    <w:rsid w:val="00DF4D97"/>
    <w:rsid w:val="00DF4F2E"/>
    <w:rsid w:val="00E00C17"/>
    <w:rsid w:val="00E04793"/>
    <w:rsid w:val="00E11AA3"/>
    <w:rsid w:val="00E138D8"/>
    <w:rsid w:val="00E144FB"/>
    <w:rsid w:val="00E15BCF"/>
    <w:rsid w:val="00E169D0"/>
    <w:rsid w:val="00E2017F"/>
    <w:rsid w:val="00E20776"/>
    <w:rsid w:val="00E20AC1"/>
    <w:rsid w:val="00E215FC"/>
    <w:rsid w:val="00E21770"/>
    <w:rsid w:val="00E23A80"/>
    <w:rsid w:val="00E3255E"/>
    <w:rsid w:val="00E36FAC"/>
    <w:rsid w:val="00E40D3A"/>
    <w:rsid w:val="00E44B23"/>
    <w:rsid w:val="00E45A56"/>
    <w:rsid w:val="00E50240"/>
    <w:rsid w:val="00E515D0"/>
    <w:rsid w:val="00E536E0"/>
    <w:rsid w:val="00E5423E"/>
    <w:rsid w:val="00E54A3D"/>
    <w:rsid w:val="00E56F01"/>
    <w:rsid w:val="00E6148B"/>
    <w:rsid w:val="00E616E3"/>
    <w:rsid w:val="00E62962"/>
    <w:rsid w:val="00E64EFD"/>
    <w:rsid w:val="00E662AD"/>
    <w:rsid w:val="00E671CF"/>
    <w:rsid w:val="00E73E85"/>
    <w:rsid w:val="00E779B9"/>
    <w:rsid w:val="00E80055"/>
    <w:rsid w:val="00E84662"/>
    <w:rsid w:val="00E85143"/>
    <w:rsid w:val="00E904CA"/>
    <w:rsid w:val="00E939BC"/>
    <w:rsid w:val="00E943D9"/>
    <w:rsid w:val="00E97D53"/>
    <w:rsid w:val="00EA3AFA"/>
    <w:rsid w:val="00EA61B7"/>
    <w:rsid w:val="00EA638A"/>
    <w:rsid w:val="00EA66D7"/>
    <w:rsid w:val="00EA7A05"/>
    <w:rsid w:val="00EB0E6F"/>
    <w:rsid w:val="00EB6B3F"/>
    <w:rsid w:val="00EC07CE"/>
    <w:rsid w:val="00EC26D4"/>
    <w:rsid w:val="00EC2C2A"/>
    <w:rsid w:val="00EC69A5"/>
    <w:rsid w:val="00EC6A5F"/>
    <w:rsid w:val="00EC7C55"/>
    <w:rsid w:val="00ED1973"/>
    <w:rsid w:val="00ED2FBA"/>
    <w:rsid w:val="00EE1580"/>
    <w:rsid w:val="00EF1864"/>
    <w:rsid w:val="00F00376"/>
    <w:rsid w:val="00F009BC"/>
    <w:rsid w:val="00F025C3"/>
    <w:rsid w:val="00F05E4C"/>
    <w:rsid w:val="00F10F52"/>
    <w:rsid w:val="00F12B93"/>
    <w:rsid w:val="00F1392D"/>
    <w:rsid w:val="00F16D32"/>
    <w:rsid w:val="00F17368"/>
    <w:rsid w:val="00F203A2"/>
    <w:rsid w:val="00F23ACE"/>
    <w:rsid w:val="00F2694F"/>
    <w:rsid w:val="00F2752F"/>
    <w:rsid w:val="00F27B2B"/>
    <w:rsid w:val="00F30093"/>
    <w:rsid w:val="00F30844"/>
    <w:rsid w:val="00F33877"/>
    <w:rsid w:val="00F35FBE"/>
    <w:rsid w:val="00F4033F"/>
    <w:rsid w:val="00F4151A"/>
    <w:rsid w:val="00F4365C"/>
    <w:rsid w:val="00F47BCB"/>
    <w:rsid w:val="00F52681"/>
    <w:rsid w:val="00F5779D"/>
    <w:rsid w:val="00F650D5"/>
    <w:rsid w:val="00F74F82"/>
    <w:rsid w:val="00F7543D"/>
    <w:rsid w:val="00F75B80"/>
    <w:rsid w:val="00F760BC"/>
    <w:rsid w:val="00F764C4"/>
    <w:rsid w:val="00F82720"/>
    <w:rsid w:val="00F86C9B"/>
    <w:rsid w:val="00F8732B"/>
    <w:rsid w:val="00F9276D"/>
    <w:rsid w:val="00F93A1B"/>
    <w:rsid w:val="00F94213"/>
    <w:rsid w:val="00F94C01"/>
    <w:rsid w:val="00F971EA"/>
    <w:rsid w:val="00FA7DA5"/>
    <w:rsid w:val="00FB1C7C"/>
    <w:rsid w:val="00FB3209"/>
    <w:rsid w:val="00FB5708"/>
    <w:rsid w:val="00FB63C8"/>
    <w:rsid w:val="00FB65C5"/>
    <w:rsid w:val="00FC0C4B"/>
    <w:rsid w:val="00FD1CE5"/>
    <w:rsid w:val="00FD31F6"/>
    <w:rsid w:val="00FD3CF7"/>
    <w:rsid w:val="00FD45E2"/>
    <w:rsid w:val="00FD6F16"/>
    <w:rsid w:val="00FE2C11"/>
    <w:rsid w:val="00FE4487"/>
    <w:rsid w:val="00FF0789"/>
    <w:rsid w:val="00FF1E77"/>
    <w:rsid w:val="00FF211F"/>
    <w:rsid w:val="00FF3A63"/>
    <w:rsid w:val="00FF4578"/>
    <w:rsid w:val="09249A26"/>
    <w:rsid w:val="21D4DD65"/>
    <w:rsid w:val="2897F3CA"/>
    <w:rsid w:val="2F978672"/>
    <w:rsid w:val="30BAA396"/>
    <w:rsid w:val="379608DB"/>
    <w:rsid w:val="3E630082"/>
    <w:rsid w:val="4326AACB"/>
    <w:rsid w:val="48E1E610"/>
    <w:rsid w:val="6E2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C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541E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F541E"/>
    <w:pPr>
      <w:keepNext/>
      <w:outlineLvl w:val="2"/>
    </w:pPr>
    <w:rPr>
      <w:rFonts w:ascii="Palatino" w:hAnsi="Palatino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F541E"/>
    <w:pPr>
      <w:keepNext/>
      <w:spacing w:before="120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541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F541E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F541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F541E"/>
    <w:rPr>
      <w:sz w:val="24"/>
    </w:rPr>
  </w:style>
  <w:style w:type="character" w:customStyle="1" w:styleId="BodyTextChar">
    <w:name w:val="Body Text Char"/>
    <w:basedOn w:val="DefaultParagraphFont"/>
    <w:link w:val="BodyText"/>
    <w:rsid w:val="008F541E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8F541E"/>
    <w:pPr>
      <w:ind w:left="720" w:right="72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8F541E"/>
  </w:style>
  <w:style w:type="character" w:customStyle="1" w:styleId="FootnoteTextChar">
    <w:name w:val="Footnote Text Char"/>
    <w:basedOn w:val="DefaultParagraphFont"/>
    <w:link w:val="FootnoteText"/>
    <w:semiHidden/>
    <w:rsid w:val="008F541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F54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41E"/>
    <w:pPr>
      <w:ind w:left="720"/>
    </w:pPr>
  </w:style>
  <w:style w:type="paragraph" w:customStyle="1" w:styleId="Default">
    <w:name w:val="Default"/>
    <w:rsid w:val="008F541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4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4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915"/>
  </w:style>
  <w:style w:type="character" w:customStyle="1" w:styleId="CommentTextChar">
    <w:name w:val="Comment Text Char"/>
    <w:basedOn w:val="DefaultParagraphFont"/>
    <w:link w:val="CommentText"/>
    <w:uiPriority w:val="99"/>
    <w:rsid w:val="00BF5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4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A4E78"/>
    <w:rPr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593E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c.c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info.legislature.ca.gov/faces/billNavClient.xhtml?bill_id=202120220SB28" TargetMode="External"/><Relationship Id="rId2" Type="http://schemas.openxmlformats.org/officeDocument/2006/relationships/hyperlink" Target="https://esd.dof.ca.gov/Documents/bcp/2223/FY2223_ORG8660_BCP5300.pdf" TargetMode="External"/><Relationship Id="rId1" Type="http://schemas.openxmlformats.org/officeDocument/2006/relationships/hyperlink" Target="https://www.cpuc.ca.gov/regulatory-services/licensing/video-franch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5850-24B4-4FB4-BFA7-4E02CCDD593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6</ap:Pages>
  <ap:Words>1236</ap:Words>
  <ap:Characters>7051</ap:Characters>
  <ap:Application>Microsoft Office Word</ap:Application>
  <ap:DocSecurity>0</ap:DocSecurity>
  <ap:Lines>58</ap:Lines>
  <ap:Paragraphs>16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8271</ap:CharactersWithSpaces>
  <ap:SharedDoc>false</ap:SharedDoc>
  <ap:HyperlinkBase/>
  <ap:HLinks>
    <vt:vector baseType="variant" size="18"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https://leginfo.legislature.ca.gov/faces/billNavClient.xhtml?bill_id=202120220SB28</vt:lpwstr>
      </vt:variant>
      <vt:variant>
        <vt:lpwstr/>
      </vt:variant>
      <vt:variant>
        <vt:i4>4587537</vt:i4>
      </vt:variant>
      <vt:variant>
        <vt:i4>3</vt:i4>
      </vt:variant>
      <vt:variant>
        <vt:i4>0</vt:i4>
      </vt:variant>
      <vt:variant>
        <vt:i4>5</vt:i4>
      </vt:variant>
      <vt:variant>
        <vt:lpwstr>https://esd.dof.ca.gov/Documents/bcp/2223/FY2223_ORG8660_BCP5300.pdf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https://www.cpuc.ca.gov/regulatory-services/licensing/video-franchising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2023-05-26T13:54:43Z</dcterms:created>
  <dcterms:modified xsi:type="dcterms:W3CDTF">2023-05-26T13:54:43Z</dcterms:modified>
</cp:coreProperties>
</file>