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0E97" w:rsidR="00CF17DE" w:rsidP="008E334E" w:rsidRDefault="00CF17DE" w14:paraId="70BEAF91" w14:textId="77777777">
      <w:pPr>
        <w:pStyle w:val="titlebar"/>
        <w:rPr>
          <w:sz w:val="28"/>
          <w:szCs w:val="28"/>
        </w:rPr>
      </w:pPr>
      <w:r w:rsidRPr="00520E97">
        <w:rPr>
          <w:sz w:val="28"/>
          <w:szCs w:val="28"/>
        </w:rPr>
        <w:t>PUBLIC UTILITIES COMMISSION OF THE STATE OF CALIFORNIA</w:t>
      </w:r>
    </w:p>
    <w:p w:rsidRPr="00520E97" w:rsidR="00CF17DE" w:rsidP="008E334E" w:rsidRDefault="00CF17DE" w14:paraId="5E624470" w14:textId="0347B95C">
      <w:pPr>
        <w:suppressAutoHyphens/>
        <w:rPr>
          <w:rFonts w:ascii="Palatino Linotype" w:hAnsi="Palatino Linotype"/>
          <w:sz w:val="24"/>
          <w:szCs w:val="24"/>
        </w:rPr>
      </w:pPr>
    </w:p>
    <w:p w:rsidRPr="00520E97" w:rsidR="00D865A9" w:rsidP="008E334E" w:rsidRDefault="00D865A9" w14:paraId="719EA9BA" w14:textId="77777777">
      <w:pPr>
        <w:suppressAutoHyphens/>
        <w:rPr>
          <w:rFonts w:ascii="Palatino Linotype" w:hAnsi="Palatino Linotype"/>
          <w:sz w:val="24"/>
          <w:szCs w:val="24"/>
        </w:rPr>
      </w:pPr>
    </w:p>
    <w:p w:rsidRPr="00520E97" w:rsidR="00B913F1" w:rsidP="008E334E" w:rsidRDefault="00593807" w14:paraId="41593225" w14:textId="5778C17B">
      <w:pPr>
        <w:tabs>
          <w:tab w:val="right" w:pos="8820"/>
        </w:tabs>
        <w:rPr>
          <w:rFonts w:ascii="Palatino Linotype" w:hAnsi="Palatino Linotype"/>
          <w:b/>
          <w:sz w:val="24"/>
          <w:szCs w:val="24"/>
          <w:highlight w:val="yellow"/>
        </w:rPr>
      </w:pPr>
      <w:r w:rsidRPr="00520E97">
        <w:rPr>
          <w:rFonts w:ascii="Palatino Linotype" w:hAnsi="Palatino Linotype"/>
          <w:b/>
          <w:sz w:val="24"/>
          <w:szCs w:val="24"/>
        </w:rPr>
        <w:tab/>
      </w:r>
      <w:r w:rsidRPr="00520E97" w:rsidR="000C6051">
        <w:rPr>
          <w:rFonts w:ascii="Palatino Linotype" w:hAnsi="Palatino Linotype"/>
          <w:b/>
          <w:sz w:val="24"/>
          <w:szCs w:val="24"/>
        </w:rPr>
        <w:t>Agenda ID #</w:t>
      </w:r>
      <w:r w:rsidR="00156C78">
        <w:rPr>
          <w:rFonts w:ascii="Palatino Linotype" w:hAnsi="Palatino Linotype"/>
          <w:b/>
          <w:sz w:val="24"/>
          <w:szCs w:val="24"/>
        </w:rPr>
        <w:t>21648</w:t>
      </w:r>
    </w:p>
    <w:p w:rsidRPr="00520E97" w:rsidR="00CF17DE" w:rsidP="008E334E" w:rsidRDefault="00B913F1" w14:paraId="7AE852C7" w14:textId="6B5269FF">
      <w:pPr>
        <w:tabs>
          <w:tab w:val="right" w:pos="8820"/>
        </w:tabs>
        <w:rPr>
          <w:rFonts w:ascii="Palatino Linotype" w:hAnsi="Palatino Linotype" w:eastAsia="Palatino Linotype"/>
          <w:b/>
          <w:sz w:val="24"/>
          <w:szCs w:val="24"/>
        </w:rPr>
      </w:pPr>
      <w:r w:rsidRPr="00520E97">
        <w:rPr>
          <w:rFonts w:ascii="Palatino Linotype" w:hAnsi="Palatino Linotype" w:eastAsia="Palatino Linotype"/>
          <w:b/>
          <w:sz w:val="24"/>
          <w:szCs w:val="24"/>
        </w:rPr>
        <w:t>ENERGY DIVISION</w:t>
      </w:r>
      <w:r w:rsidRPr="00520E97" w:rsidR="00593807">
        <w:rPr>
          <w:rFonts w:ascii="Palatino Linotype" w:hAnsi="Palatino Linotype"/>
          <w:b/>
          <w:sz w:val="24"/>
          <w:szCs w:val="24"/>
        </w:rPr>
        <w:tab/>
      </w:r>
      <w:r w:rsidRPr="00520E97" w:rsidR="00CF17DE">
        <w:rPr>
          <w:rFonts w:ascii="Palatino Linotype" w:hAnsi="Palatino Linotype" w:eastAsia="Palatino Linotype"/>
          <w:b/>
          <w:sz w:val="24"/>
          <w:szCs w:val="24"/>
        </w:rPr>
        <w:t xml:space="preserve">RESOLUTION </w:t>
      </w:r>
      <w:r w:rsidRPr="00520E97" w:rsidR="00FC383E">
        <w:rPr>
          <w:rFonts w:ascii="Palatino Linotype" w:hAnsi="Palatino Linotype" w:eastAsia="Palatino Linotype"/>
          <w:b/>
          <w:sz w:val="24"/>
          <w:szCs w:val="24"/>
        </w:rPr>
        <w:t>E-5275</w:t>
      </w:r>
    </w:p>
    <w:p w:rsidRPr="00520E97" w:rsidR="0020108F" w:rsidP="008E334E" w:rsidRDefault="0020108F" w14:paraId="6A61AFB6" w14:textId="3299F642">
      <w:pPr>
        <w:tabs>
          <w:tab w:val="right" w:pos="8820"/>
        </w:tabs>
        <w:rPr>
          <w:rFonts w:ascii="Palatino Linotype" w:hAnsi="Palatino Linotype"/>
          <w:b/>
          <w:sz w:val="24"/>
          <w:szCs w:val="24"/>
        </w:rPr>
      </w:pPr>
      <w:r w:rsidRPr="00520E97">
        <w:rPr>
          <w:rFonts w:ascii="Palatino Linotype" w:hAnsi="Palatino Linotype"/>
          <w:b/>
          <w:sz w:val="24"/>
          <w:szCs w:val="24"/>
        </w:rPr>
        <w:tab/>
      </w:r>
      <w:r w:rsidRPr="00520E97" w:rsidR="00C97F03">
        <w:rPr>
          <w:rFonts w:ascii="Palatino Linotype" w:hAnsi="Palatino Linotype"/>
          <w:b/>
          <w:sz w:val="24"/>
          <w:szCs w:val="24"/>
        </w:rPr>
        <w:t>June 29, 2023</w:t>
      </w:r>
    </w:p>
    <w:p w:rsidR="00CF17DE" w:rsidP="004870A9" w:rsidRDefault="00CF17DE" w14:paraId="061A7957" w14:textId="5216DCBF">
      <w:pPr>
        <w:tabs>
          <w:tab w:val="right" w:pos="8910"/>
        </w:tabs>
        <w:ind w:left="1440" w:firstLine="720"/>
        <w:rPr>
          <w:rFonts w:ascii="Palatino Linotype" w:hAnsi="Palatino Linotype"/>
          <w:b/>
          <w:sz w:val="24"/>
          <w:szCs w:val="24"/>
        </w:rPr>
      </w:pPr>
      <w:r w:rsidRPr="00520E97">
        <w:rPr>
          <w:rFonts w:ascii="Palatino Linotype" w:hAnsi="Palatino Linotype"/>
          <w:b/>
          <w:sz w:val="24"/>
          <w:szCs w:val="24"/>
        </w:rPr>
        <w:tab/>
      </w:r>
    </w:p>
    <w:p w:rsidRPr="00520E97" w:rsidR="00520E97" w:rsidP="004870A9" w:rsidRDefault="00520E97" w14:paraId="238106AA" w14:textId="77777777">
      <w:pPr>
        <w:tabs>
          <w:tab w:val="right" w:pos="8910"/>
        </w:tabs>
        <w:ind w:left="1440" w:firstLine="720"/>
        <w:rPr>
          <w:rFonts w:ascii="Palatino Linotype" w:hAnsi="Palatino Linotype"/>
          <w:b/>
          <w:sz w:val="24"/>
          <w:szCs w:val="24"/>
        </w:rPr>
      </w:pPr>
    </w:p>
    <w:p w:rsidR="00776BE4" w:rsidP="008E334E" w:rsidRDefault="00A6415F" w14:paraId="5BA2F0E2" w14:textId="77777777">
      <w:pPr>
        <w:pStyle w:val="mainex"/>
        <w:rPr>
          <w:szCs w:val="26"/>
          <w:u w:val="single"/>
        </w:rPr>
      </w:pPr>
      <w:bookmarkStart w:name="_Ref404993683" w:id="0"/>
      <w:r w:rsidRPr="00520E97">
        <w:rPr>
          <w:szCs w:val="26"/>
          <w:u w:val="single"/>
        </w:rPr>
        <w:t>REDACTED</w:t>
      </w:r>
    </w:p>
    <w:p w:rsidRPr="00520E97" w:rsidR="00CF17DE" w:rsidP="008E334E" w:rsidRDefault="00A6415F" w14:paraId="40ADBA19" w14:textId="57B87D12">
      <w:pPr>
        <w:pStyle w:val="mainex"/>
        <w:rPr>
          <w:szCs w:val="26"/>
          <w:u w:val="single"/>
        </w:rPr>
      </w:pPr>
      <w:r w:rsidRPr="00520E97">
        <w:rPr>
          <w:szCs w:val="26"/>
          <w:u w:val="single"/>
        </w:rPr>
        <w:t xml:space="preserve"> </w:t>
      </w:r>
      <w:r w:rsidRPr="00520E97" w:rsidR="00CF17DE">
        <w:rPr>
          <w:szCs w:val="26"/>
          <w:u w:val="single"/>
        </w:rPr>
        <w:t>RESOLUTION</w:t>
      </w:r>
    </w:p>
    <w:p w:rsidRPr="00520E97" w:rsidR="00CF17DE" w:rsidP="008E334E" w:rsidRDefault="00CF17DE" w14:paraId="63C93376" w14:textId="77777777">
      <w:pPr>
        <w:rPr>
          <w:rFonts w:ascii="Palatino Linotype" w:hAnsi="Palatino Linotype" w:eastAsia="Palatino Linotype"/>
          <w:sz w:val="24"/>
          <w:szCs w:val="24"/>
        </w:rPr>
      </w:pPr>
    </w:p>
    <w:p w:rsidRPr="00520E97" w:rsidR="000C50E3" w:rsidP="008E334E" w:rsidRDefault="00B927B5" w14:paraId="1069D024" w14:textId="0E0A0CF4">
      <w:pPr>
        <w:pStyle w:val="Res-Caption"/>
        <w:rPr>
          <w:rFonts w:ascii="Palatino Linotype" w:hAnsi="Palatino Linotype"/>
          <w:sz w:val="24"/>
          <w:szCs w:val="24"/>
        </w:rPr>
      </w:pPr>
      <w:r w:rsidRPr="00520E97">
        <w:rPr>
          <w:rFonts w:ascii="Palatino Linotype" w:hAnsi="Palatino Linotype"/>
          <w:sz w:val="24"/>
          <w:szCs w:val="24"/>
        </w:rPr>
        <w:t xml:space="preserve">Resolution </w:t>
      </w:r>
      <w:r w:rsidRPr="00520E97" w:rsidR="00FC383E">
        <w:rPr>
          <w:rFonts w:ascii="Palatino Linotype" w:hAnsi="Palatino Linotype"/>
          <w:sz w:val="24"/>
          <w:szCs w:val="24"/>
        </w:rPr>
        <w:t xml:space="preserve">E-5275. </w:t>
      </w:r>
      <w:r w:rsidRPr="00520E97" w:rsidR="00CC25A9">
        <w:rPr>
          <w:rFonts w:ascii="Palatino Linotype" w:hAnsi="Palatino Linotype"/>
          <w:sz w:val="24"/>
          <w:szCs w:val="24"/>
        </w:rPr>
        <w:t xml:space="preserve"> </w:t>
      </w:r>
      <w:r w:rsidRPr="00520E97" w:rsidR="008E6CE1">
        <w:rPr>
          <w:rFonts w:ascii="Palatino Linotype" w:hAnsi="Palatino Linotype"/>
          <w:sz w:val="24"/>
          <w:szCs w:val="24"/>
        </w:rPr>
        <w:t>Bear Valley Electric Service, Inc.</w:t>
      </w:r>
      <w:r w:rsidRPr="00520E97" w:rsidR="005C6433">
        <w:rPr>
          <w:rFonts w:ascii="Palatino Linotype" w:hAnsi="Palatino Linotype"/>
          <w:sz w:val="24"/>
          <w:szCs w:val="24"/>
        </w:rPr>
        <w:t xml:space="preserve"> </w:t>
      </w:r>
      <w:r w:rsidRPr="00520E97" w:rsidR="004A0072">
        <w:rPr>
          <w:rFonts w:ascii="Palatino Linotype" w:hAnsi="Palatino Linotype"/>
          <w:sz w:val="24"/>
          <w:szCs w:val="24"/>
        </w:rPr>
        <w:t xml:space="preserve">Power Purchase Agreement </w:t>
      </w:r>
      <w:r w:rsidRPr="00520E97" w:rsidR="003C2330">
        <w:rPr>
          <w:rFonts w:ascii="Palatino Linotype" w:hAnsi="Palatino Linotype"/>
          <w:sz w:val="24"/>
          <w:szCs w:val="24"/>
        </w:rPr>
        <w:t>with</w:t>
      </w:r>
      <w:r w:rsidRPr="00520E97" w:rsidR="004A0072">
        <w:rPr>
          <w:rFonts w:ascii="Palatino Linotype" w:hAnsi="Palatino Linotype"/>
          <w:sz w:val="24"/>
          <w:szCs w:val="24"/>
        </w:rPr>
        <w:t xml:space="preserve"> Shell for Procurement of Bundled Energy and </w:t>
      </w:r>
      <w:r w:rsidRPr="00520E97" w:rsidR="009D19C4">
        <w:rPr>
          <w:rFonts w:ascii="Palatino Linotype" w:hAnsi="Palatino Linotype"/>
          <w:sz w:val="24"/>
          <w:szCs w:val="24"/>
        </w:rPr>
        <w:t xml:space="preserve">Renewable Energy Credits. </w:t>
      </w:r>
    </w:p>
    <w:p w:rsidRPr="00520E97" w:rsidR="00801D70" w:rsidP="008E334E" w:rsidRDefault="00801D70" w14:paraId="70E6A3B4" w14:textId="77777777">
      <w:pPr>
        <w:pStyle w:val="Res-Caption"/>
        <w:rPr>
          <w:rFonts w:ascii="Palatino Linotype" w:hAnsi="Palatino Linotype" w:eastAsia="Palatino Linotype"/>
          <w:sz w:val="24"/>
          <w:szCs w:val="24"/>
        </w:rPr>
      </w:pPr>
    </w:p>
    <w:p w:rsidRPr="00520E97" w:rsidR="00DF35CC" w:rsidP="008E334E" w:rsidRDefault="00801D70" w14:paraId="5B232953" w14:textId="77777777">
      <w:pPr>
        <w:pStyle w:val="Res-Caption"/>
        <w:rPr>
          <w:rFonts w:ascii="Palatino Linotype" w:hAnsi="Palatino Linotype" w:eastAsia="Palatino Linotype"/>
          <w:sz w:val="24"/>
          <w:szCs w:val="24"/>
        </w:rPr>
      </w:pPr>
      <w:r w:rsidRPr="00520E97">
        <w:rPr>
          <w:rFonts w:ascii="Palatino Linotype" w:hAnsi="Palatino Linotype" w:eastAsia="Palatino Linotype"/>
          <w:sz w:val="24"/>
          <w:szCs w:val="24"/>
        </w:rPr>
        <w:t>PROPOSED OUTCOME:</w:t>
      </w:r>
      <w:r w:rsidRPr="00520E97" w:rsidR="00142FB8">
        <w:rPr>
          <w:rFonts w:ascii="Palatino Linotype" w:hAnsi="Palatino Linotype" w:eastAsia="Palatino Linotype"/>
          <w:sz w:val="24"/>
          <w:szCs w:val="24"/>
        </w:rPr>
        <w:t xml:space="preserve"> </w:t>
      </w:r>
    </w:p>
    <w:p w:rsidRPr="00520E97" w:rsidR="00142FB8" w:rsidP="008E334E" w:rsidRDefault="006C37CB" w14:paraId="6EF53595" w14:textId="203FFC83">
      <w:pPr>
        <w:pStyle w:val="Res-Caption"/>
        <w:numPr>
          <w:ilvl w:val="0"/>
          <w:numId w:val="10"/>
        </w:numPr>
        <w:rPr>
          <w:rFonts w:ascii="Palatino Linotype" w:hAnsi="Palatino Linotype"/>
          <w:sz w:val="24"/>
          <w:szCs w:val="24"/>
        </w:rPr>
      </w:pPr>
      <w:r w:rsidRPr="00520E97">
        <w:rPr>
          <w:rFonts w:ascii="Palatino Linotype" w:hAnsi="Palatino Linotype"/>
          <w:sz w:val="24"/>
          <w:szCs w:val="24"/>
        </w:rPr>
        <w:t>Approves Bear Valley Electric Service</w:t>
      </w:r>
      <w:r w:rsidRPr="00520E97" w:rsidR="003343E2">
        <w:rPr>
          <w:rFonts w:ascii="Palatino Linotype" w:hAnsi="Palatino Linotype"/>
          <w:sz w:val="24"/>
          <w:szCs w:val="24"/>
        </w:rPr>
        <w:t>’s (“BVES” or “Bear Valley”) Power Purchase Agreement with Shell Energy North America (“Shell”)</w:t>
      </w:r>
      <w:r w:rsidRPr="00520E97" w:rsidR="006721BD">
        <w:rPr>
          <w:rFonts w:ascii="Palatino Linotype" w:hAnsi="Palatino Linotype"/>
          <w:sz w:val="24"/>
          <w:szCs w:val="24"/>
        </w:rPr>
        <w:t xml:space="preserve"> to procure renewable portfolio standard energy and energy credits</w:t>
      </w:r>
      <w:r w:rsidRPr="00520E97" w:rsidR="00FC2E7E">
        <w:rPr>
          <w:rFonts w:ascii="Palatino Linotype" w:hAnsi="Palatino Linotype"/>
          <w:sz w:val="24"/>
          <w:szCs w:val="24"/>
        </w:rPr>
        <w:t>, as required by S</w:t>
      </w:r>
      <w:r w:rsidRPr="00520E97" w:rsidR="009867D0">
        <w:rPr>
          <w:rFonts w:ascii="Palatino Linotype" w:hAnsi="Palatino Linotype"/>
          <w:sz w:val="24"/>
          <w:szCs w:val="24"/>
        </w:rPr>
        <w:t xml:space="preserve">enate </w:t>
      </w:r>
      <w:r w:rsidRPr="00520E97" w:rsidR="00FC2E7E">
        <w:rPr>
          <w:rFonts w:ascii="Palatino Linotype" w:hAnsi="Palatino Linotype"/>
          <w:sz w:val="24"/>
          <w:szCs w:val="24"/>
        </w:rPr>
        <w:t>B</w:t>
      </w:r>
      <w:r w:rsidRPr="00520E97" w:rsidR="009867D0">
        <w:rPr>
          <w:rFonts w:ascii="Palatino Linotype" w:hAnsi="Palatino Linotype"/>
          <w:sz w:val="24"/>
          <w:szCs w:val="24"/>
        </w:rPr>
        <w:t>ill</w:t>
      </w:r>
      <w:r w:rsidRPr="00520E97" w:rsidR="00FC2E7E">
        <w:rPr>
          <w:rFonts w:ascii="Palatino Linotype" w:hAnsi="Palatino Linotype"/>
          <w:sz w:val="24"/>
          <w:szCs w:val="24"/>
        </w:rPr>
        <w:t xml:space="preserve"> </w:t>
      </w:r>
      <w:r w:rsidRPr="00520E97" w:rsidR="005161C5">
        <w:rPr>
          <w:rFonts w:ascii="Palatino Linotype" w:hAnsi="Palatino Linotype"/>
          <w:sz w:val="24"/>
          <w:szCs w:val="24"/>
        </w:rPr>
        <w:t>10</w:t>
      </w:r>
      <w:r w:rsidRPr="00520E97" w:rsidR="008A0DF8">
        <w:rPr>
          <w:rFonts w:ascii="Palatino Linotype" w:hAnsi="Palatino Linotype"/>
          <w:sz w:val="24"/>
          <w:szCs w:val="24"/>
        </w:rPr>
        <w:t>0</w:t>
      </w:r>
      <w:r w:rsidRPr="00520E97" w:rsidR="005161C5">
        <w:rPr>
          <w:rFonts w:ascii="Palatino Linotype" w:hAnsi="Palatino Linotype"/>
          <w:sz w:val="24"/>
          <w:szCs w:val="24"/>
        </w:rPr>
        <w:t xml:space="preserve">. </w:t>
      </w:r>
    </w:p>
    <w:p w:rsidRPr="00520E97" w:rsidR="00451339" w:rsidP="008E334E" w:rsidRDefault="00451339" w14:paraId="74403436" w14:textId="6AB2BB7F">
      <w:pPr>
        <w:pStyle w:val="Res-Caption"/>
        <w:numPr>
          <w:ilvl w:val="0"/>
          <w:numId w:val="10"/>
        </w:numPr>
        <w:rPr>
          <w:rFonts w:ascii="Palatino Linotype" w:hAnsi="Palatino Linotype"/>
          <w:sz w:val="24"/>
          <w:szCs w:val="24"/>
        </w:rPr>
      </w:pPr>
      <w:r w:rsidRPr="00520E97">
        <w:rPr>
          <w:rFonts w:ascii="Palatino Linotype" w:hAnsi="Palatino Linotype"/>
          <w:sz w:val="24"/>
          <w:szCs w:val="24"/>
        </w:rPr>
        <w:t>Approves the use of a memorandum account</w:t>
      </w:r>
      <w:r w:rsidRPr="00520E97" w:rsidR="006E3B15">
        <w:rPr>
          <w:rFonts w:ascii="Palatino Linotype" w:hAnsi="Palatino Linotype"/>
          <w:sz w:val="24"/>
          <w:szCs w:val="24"/>
        </w:rPr>
        <w:t xml:space="preserve"> to </w:t>
      </w:r>
      <w:r w:rsidRPr="00520E97" w:rsidR="000A0FEC">
        <w:rPr>
          <w:rFonts w:ascii="Palatino Linotype" w:hAnsi="Palatino Linotype"/>
          <w:sz w:val="24"/>
          <w:szCs w:val="24"/>
        </w:rPr>
        <w:t xml:space="preserve">capture refunds or under-collections </w:t>
      </w:r>
      <w:r w:rsidRPr="00520E97" w:rsidR="009A1801">
        <w:rPr>
          <w:rFonts w:ascii="Palatino Linotype" w:hAnsi="Palatino Linotype"/>
          <w:sz w:val="24"/>
          <w:szCs w:val="24"/>
        </w:rPr>
        <w:t>that arise from this agreement.</w:t>
      </w:r>
    </w:p>
    <w:p w:rsidRPr="00520E97" w:rsidR="00F51F8B" w:rsidP="008E334E" w:rsidRDefault="00F51F8B" w14:paraId="65BE5ED4" w14:textId="77777777">
      <w:pPr>
        <w:pStyle w:val="Res-Caption"/>
        <w:rPr>
          <w:rFonts w:ascii="Palatino Linotype" w:hAnsi="Palatino Linotype" w:eastAsia="Palatino Linotype"/>
          <w:sz w:val="24"/>
          <w:szCs w:val="24"/>
        </w:rPr>
      </w:pPr>
    </w:p>
    <w:p w:rsidRPr="00520E97" w:rsidR="00F51F8B" w:rsidP="008E334E" w:rsidRDefault="00F51F8B" w14:paraId="5348E825" w14:textId="77777777">
      <w:pPr>
        <w:pStyle w:val="Res-Caption"/>
        <w:rPr>
          <w:rFonts w:ascii="Palatino Linotype" w:hAnsi="Palatino Linotype" w:eastAsia="Palatino Linotype"/>
          <w:sz w:val="24"/>
          <w:szCs w:val="24"/>
        </w:rPr>
      </w:pPr>
      <w:r w:rsidRPr="00520E97">
        <w:rPr>
          <w:rFonts w:ascii="Palatino Linotype" w:hAnsi="Palatino Linotype" w:eastAsia="Palatino Linotype"/>
          <w:sz w:val="24"/>
          <w:szCs w:val="24"/>
        </w:rPr>
        <w:t>SAFETY CONSIDERATIONS:</w:t>
      </w:r>
    </w:p>
    <w:p w:rsidRPr="00520E97" w:rsidR="00F572F1" w:rsidP="008E334E" w:rsidRDefault="005B2A8C" w14:paraId="664CBB61" w14:textId="234A9FE4">
      <w:pPr>
        <w:pStyle w:val="Res-Caption"/>
        <w:numPr>
          <w:ilvl w:val="0"/>
          <w:numId w:val="9"/>
        </w:numPr>
        <w:rPr>
          <w:rFonts w:ascii="Palatino Linotype" w:hAnsi="Palatino Linotype"/>
          <w:sz w:val="24"/>
          <w:szCs w:val="24"/>
        </w:rPr>
      </w:pPr>
      <w:r w:rsidRPr="00520E97">
        <w:rPr>
          <w:rFonts w:ascii="Palatino Linotype" w:hAnsi="Palatino Linotype"/>
          <w:sz w:val="24"/>
          <w:szCs w:val="24"/>
        </w:rPr>
        <w:t xml:space="preserve">Because the </w:t>
      </w:r>
      <w:r w:rsidRPr="00520E97" w:rsidR="00480352">
        <w:rPr>
          <w:rFonts w:ascii="Palatino Linotype" w:hAnsi="Palatino Linotype"/>
          <w:sz w:val="24"/>
          <w:szCs w:val="24"/>
        </w:rPr>
        <w:t>Power Purchase Agreement</w:t>
      </w:r>
      <w:r w:rsidRPr="00520E97">
        <w:rPr>
          <w:rFonts w:ascii="Palatino Linotype" w:hAnsi="Palatino Linotype"/>
          <w:sz w:val="24"/>
          <w:szCs w:val="24"/>
        </w:rPr>
        <w:t xml:space="preserve"> will not require any changes to </w:t>
      </w:r>
      <w:r w:rsidRPr="00520E97" w:rsidR="00480352">
        <w:rPr>
          <w:rFonts w:ascii="Palatino Linotype" w:hAnsi="Palatino Linotype"/>
          <w:sz w:val="24"/>
          <w:szCs w:val="24"/>
        </w:rPr>
        <w:t xml:space="preserve">any </w:t>
      </w:r>
      <w:r w:rsidRPr="00520E97">
        <w:rPr>
          <w:rFonts w:ascii="Palatino Linotype" w:hAnsi="Palatino Linotype"/>
          <w:sz w:val="24"/>
          <w:szCs w:val="24"/>
        </w:rPr>
        <w:t>facilities</w:t>
      </w:r>
      <w:r w:rsidRPr="00520E97" w:rsidR="00480352">
        <w:rPr>
          <w:rFonts w:ascii="Palatino Linotype" w:hAnsi="Palatino Linotype"/>
          <w:sz w:val="24"/>
          <w:szCs w:val="24"/>
        </w:rPr>
        <w:t xml:space="preserve"> operations</w:t>
      </w:r>
      <w:r w:rsidRPr="00520E97">
        <w:rPr>
          <w:rFonts w:ascii="Palatino Linotype" w:hAnsi="Palatino Linotype"/>
          <w:sz w:val="24"/>
          <w:szCs w:val="24"/>
        </w:rPr>
        <w:t xml:space="preserve">, there are no incremental safety implications associated with the approval of the </w:t>
      </w:r>
      <w:r w:rsidRPr="00520E97" w:rsidR="00480352">
        <w:rPr>
          <w:rFonts w:ascii="Palatino Linotype" w:hAnsi="Palatino Linotype"/>
          <w:sz w:val="24"/>
          <w:szCs w:val="24"/>
        </w:rPr>
        <w:t>Power Purchase Agreement</w:t>
      </w:r>
      <w:r w:rsidRPr="00520E97">
        <w:rPr>
          <w:rFonts w:ascii="Palatino Linotype" w:hAnsi="Palatino Linotype"/>
          <w:sz w:val="24"/>
          <w:szCs w:val="24"/>
        </w:rPr>
        <w:t xml:space="preserve"> beyond status quo.</w:t>
      </w:r>
    </w:p>
    <w:p w:rsidRPr="00520E97" w:rsidR="00E10CEA" w:rsidP="008E334E" w:rsidRDefault="00E10CEA" w14:paraId="2CE727A9" w14:textId="77777777">
      <w:pPr>
        <w:pStyle w:val="Res-Caption"/>
        <w:rPr>
          <w:rFonts w:ascii="Palatino Linotype" w:hAnsi="Palatino Linotype" w:eastAsia="Palatino Linotype"/>
          <w:sz w:val="24"/>
          <w:szCs w:val="24"/>
        </w:rPr>
      </w:pPr>
    </w:p>
    <w:p w:rsidRPr="00520E97" w:rsidR="00801D70" w:rsidP="008E334E" w:rsidRDefault="00801D70" w14:paraId="28BD615D" w14:textId="5FA08A51">
      <w:pPr>
        <w:pStyle w:val="Res-Caption"/>
        <w:rPr>
          <w:rFonts w:ascii="Palatino Linotype" w:hAnsi="Palatino Linotype" w:eastAsia="Palatino Linotype"/>
          <w:sz w:val="24"/>
          <w:szCs w:val="24"/>
        </w:rPr>
      </w:pPr>
      <w:r w:rsidRPr="00520E97">
        <w:rPr>
          <w:rFonts w:ascii="Palatino Linotype" w:hAnsi="Palatino Linotype" w:eastAsia="Palatino Linotype"/>
          <w:sz w:val="24"/>
          <w:szCs w:val="24"/>
        </w:rPr>
        <w:t xml:space="preserve">ESTIMATED COST:  </w:t>
      </w:r>
    </w:p>
    <w:p w:rsidRPr="00520E97" w:rsidR="000C50E3" w:rsidP="008E334E" w:rsidRDefault="00C50382" w14:paraId="7FD1037D" w14:textId="38D80570">
      <w:pPr>
        <w:pStyle w:val="Res-Caption"/>
        <w:numPr>
          <w:ilvl w:val="0"/>
          <w:numId w:val="11"/>
        </w:numPr>
        <w:rPr>
          <w:rFonts w:ascii="Palatino Linotype" w:hAnsi="Palatino Linotype"/>
          <w:sz w:val="24"/>
          <w:szCs w:val="24"/>
        </w:rPr>
      </w:pPr>
      <w:r w:rsidRPr="00520E97">
        <w:rPr>
          <w:rFonts w:ascii="Palatino Linotype" w:hAnsi="Palatino Linotype"/>
          <w:sz w:val="24"/>
          <w:szCs w:val="24"/>
        </w:rPr>
        <w:t>Actual costs of the power purchase agreement are confidential at this time.</w:t>
      </w:r>
    </w:p>
    <w:p w:rsidRPr="00520E97" w:rsidR="00CF17DE" w:rsidP="008E334E" w:rsidRDefault="00CF17DE" w14:paraId="414B5F5B" w14:textId="77777777">
      <w:pPr>
        <w:pStyle w:val="Res-Caption"/>
        <w:rPr>
          <w:rFonts w:ascii="Palatino Linotype" w:hAnsi="Palatino Linotype" w:eastAsia="Palatino Linotype"/>
          <w:sz w:val="24"/>
          <w:szCs w:val="24"/>
        </w:rPr>
      </w:pPr>
    </w:p>
    <w:p w:rsidRPr="00520E97" w:rsidR="00CF17DE" w:rsidP="008E334E" w:rsidRDefault="00CF17DE" w14:paraId="0395FC4E" w14:textId="1CC614F3">
      <w:pPr>
        <w:pStyle w:val="Res-Caption"/>
        <w:rPr>
          <w:rFonts w:ascii="Palatino Linotype" w:hAnsi="Palatino Linotype" w:eastAsia="Palatino Linotype"/>
          <w:sz w:val="24"/>
          <w:szCs w:val="24"/>
        </w:rPr>
      </w:pPr>
      <w:r w:rsidRPr="00520E97">
        <w:rPr>
          <w:rFonts w:ascii="Palatino Linotype" w:hAnsi="Palatino Linotype" w:eastAsia="Palatino Linotype"/>
          <w:sz w:val="24"/>
          <w:szCs w:val="24"/>
        </w:rPr>
        <w:t xml:space="preserve">By Advice Letter </w:t>
      </w:r>
      <w:r w:rsidRPr="00520E97" w:rsidR="007B1A7F">
        <w:rPr>
          <w:rFonts w:ascii="Palatino Linotype" w:hAnsi="Palatino Linotype" w:eastAsia="Palatino Linotype"/>
          <w:sz w:val="24"/>
          <w:szCs w:val="24"/>
        </w:rPr>
        <w:t>470-E</w:t>
      </w:r>
      <w:r w:rsidRPr="00520E97" w:rsidR="44783017">
        <w:rPr>
          <w:rFonts w:ascii="Palatino Linotype" w:hAnsi="Palatino Linotype" w:eastAsia="Palatino Linotype"/>
          <w:sz w:val="24"/>
          <w:szCs w:val="24"/>
        </w:rPr>
        <w:t xml:space="preserve"> </w:t>
      </w:r>
      <w:r w:rsidRPr="00520E97" w:rsidR="00D7134D">
        <w:rPr>
          <w:rFonts w:ascii="Palatino Linotype" w:hAnsi="Palatino Linotype" w:eastAsia="Palatino Linotype"/>
          <w:sz w:val="24"/>
          <w:szCs w:val="24"/>
        </w:rPr>
        <w:t>f</w:t>
      </w:r>
      <w:r w:rsidRPr="00520E97" w:rsidR="44783017">
        <w:rPr>
          <w:rFonts w:ascii="Palatino Linotype" w:hAnsi="Palatino Linotype" w:eastAsia="Palatino Linotype"/>
          <w:sz w:val="24"/>
          <w:szCs w:val="24"/>
        </w:rPr>
        <w:t xml:space="preserve">iled on </w:t>
      </w:r>
      <w:r w:rsidRPr="00520E97" w:rsidR="00D7134D">
        <w:rPr>
          <w:rFonts w:ascii="Palatino Linotype" w:hAnsi="Palatino Linotype" w:eastAsia="Palatino Linotype"/>
          <w:sz w:val="24"/>
          <w:szCs w:val="24"/>
        </w:rPr>
        <w:t>March 30, 2023.</w:t>
      </w:r>
      <w:r w:rsidRPr="00520E97">
        <w:rPr>
          <w:rFonts w:ascii="Palatino Linotype" w:hAnsi="Palatino Linotype" w:eastAsia="Palatino Linotype"/>
          <w:sz w:val="24"/>
          <w:szCs w:val="24"/>
        </w:rPr>
        <w:t xml:space="preserve"> </w:t>
      </w:r>
    </w:p>
    <w:p w:rsidRPr="00520E97" w:rsidR="00CF17DE" w:rsidP="008E334E" w:rsidRDefault="00CF17DE" w14:paraId="2BFCF270" w14:textId="77777777">
      <w:pPr>
        <w:jc w:val="center"/>
        <w:rPr>
          <w:rFonts w:ascii="Palatino Linotype" w:hAnsi="Palatino Linotype" w:eastAsia="Palatino Linotype"/>
          <w:sz w:val="24"/>
          <w:szCs w:val="24"/>
        </w:rPr>
      </w:pPr>
      <w:r w:rsidRPr="00520E97">
        <w:rPr>
          <w:rFonts w:ascii="Palatino Linotype" w:hAnsi="Palatino Linotype" w:eastAsia="Palatino Linotype"/>
          <w:sz w:val="24"/>
          <w:szCs w:val="24"/>
        </w:rPr>
        <w:t>__________________________________________________________</w:t>
      </w:r>
    </w:p>
    <w:p w:rsidRPr="00520E97" w:rsidR="00CF17DE" w:rsidP="008E334E" w:rsidRDefault="00CF17DE" w14:paraId="21ED6BB6" w14:textId="77777777">
      <w:pPr>
        <w:rPr>
          <w:rFonts w:ascii="Palatino Linotype" w:hAnsi="Palatino Linotype" w:eastAsia="Palatino Linotype"/>
          <w:b/>
          <w:sz w:val="24"/>
          <w:szCs w:val="24"/>
        </w:rPr>
      </w:pPr>
    </w:p>
    <w:p w:rsidRPr="00520E97" w:rsidR="00CF17DE" w:rsidP="008E334E" w:rsidRDefault="00CF17DE" w14:paraId="2C49E15C" w14:textId="77777777">
      <w:pPr>
        <w:pStyle w:val="Heading1"/>
        <w:rPr>
          <w:rFonts w:ascii="Palatino Linotype" w:hAnsi="Palatino Linotype" w:eastAsia="Palatino Linotype"/>
          <w:sz w:val="24"/>
          <w:szCs w:val="24"/>
        </w:rPr>
      </w:pPr>
      <w:r w:rsidRPr="00520E97">
        <w:rPr>
          <w:rFonts w:ascii="Palatino Linotype" w:hAnsi="Palatino Linotype" w:eastAsia="Palatino Linotype"/>
          <w:sz w:val="24"/>
          <w:szCs w:val="24"/>
        </w:rPr>
        <w:t>Summary</w:t>
      </w:r>
      <w:bookmarkEnd w:id="0"/>
    </w:p>
    <w:p w:rsidRPr="00520E97" w:rsidR="00CF17DE" w:rsidP="008E334E" w:rsidRDefault="00CF17DE" w14:paraId="295761C3" w14:textId="6C603B2F">
      <w:pPr>
        <w:rPr>
          <w:rFonts w:ascii="Palatino Linotype" w:hAnsi="Palatino Linotype" w:eastAsia="Palatino Linotype"/>
          <w:sz w:val="24"/>
          <w:szCs w:val="24"/>
        </w:rPr>
      </w:pPr>
      <w:r w:rsidRPr="00520E97">
        <w:rPr>
          <w:rFonts w:ascii="Palatino Linotype" w:hAnsi="Palatino Linotype"/>
          <w:sz w:val="24"/>
          <w:szCs w:val="24"/>
        </w:rPr>
        <w:t xml:space="preserve">This </w:t>
      </w:r>
      <w:r w:rsidRPr="00520E97" w:rsidR="000E5DA9">
        <w:rPr>
          <w:rFonts w:ascii="Palatino Linotype" w:hAnsi="Palatino Linotype"/>
          <w:sz w:val="24"/>
          <w:szCs w:val="24"/>
        </w:rPr>
        <w:t>resolution approves Bear Valley Electric Service’s (“Bear Valley</w:t>
      </w:r>
      <w:r w:rsidRPr="00520E97" w:rsidR="00AB62BC">
        <w:rPr>
          <w:rFonts w:ascii="Palatino Linotype" w:hAnsi="Palatino Linotype"/>
          <w:sz w:val="24"/>
          <w:szCs w:val="24"/>
        </w:rPr>
        <w:t>’s</w:t>
      </w:r>
      <w:r w:rsidRPr="00520E97" w:rsidR="000E5DA9">
        <w:rPr>
          <w:rFonts w:ascii="Palatino Linotype" w:hAnsi="Palatino Linotype"/>
          <w:sz w:val="24"/>
          <w:szCs w:val="24"/>
        </w:rPr>
        <w:t>” or “BVES</w:t>
      </w:r>
      <w:r w:rsidRPr="00520E97" w:rsidR="00AB62BC">
        <w:rPr>
          <w:rFonts w:ascii="Palatino Linotype" w:hAnsi="Palatino Linotype"/>
          <w:sz w:val="24"/>
          <w:szCs w:val="24"/>
        </w:rPr>
        <w:t>’</w:t>
      </w:r>
      <w:r w:rsidRPr="00520E97" w:rsidR="000E5DA9">
        <w:rPr>
          <w:rFonts w:ascii="Palatino Linotype" w:hAnsi="Palatino Linotype"/>
          <w:sz w:val="24"/>
          <w:szCs w:val="24"/>
        </w:rPr>
        <w:t>”)</w:t>
      </w:r>
      <w:r w:rsidRPr="00520E97" w:rsidR="00CE60EF">
        <w:rPr>
          <w:rFonts w:ascii="Palatino Linotype" w:hAnsi="Palatino Linotype"/>
          <w:sz w:val="24"/>
          <w:szCs w:val="24"/>
        </w:rPr>
        <w:t xml:space="preserve"> </w:t>
      </w:r>
      <w:r w:rsidRPr="00520E97" w:rsidR="00AB62BC">
        <w:rPr>
          <w:rFonts w:ascii="Palatino Linotype" w:hAnsi="Palatino Linotype"/>
          <w:sz w:val="24"/>
          <w:szCs w:val="24"/>
        </w:rPr>
        <w:t xml:space="preserve">power purchase agreement </w:t>
      </w:r>
      <w:r w:rsidRPr="00520E97" w:rsidR="00566B5D">
        <w:rPr>
          <w:rFonts w:ascii="Palatino Linotype" w:hAnsi="Palatino Linotype"/>
          <w:sz w:val="24"/>
          <w:szCs w:val="24"/>
        </w:rPr>
        <w:t xml:space="preserve">(“PPA”) </w:t>
      </w:r>
      <w:r w:rsidRPr="00520E97" w:rsidR="004C2EE6">
        <w:rPr>
          <w:rFonts w:ascii="Palatino Linotype" w:hAnsi="Palatino Linotype"/>
          <w:sz w:val="24"/>
          <w:szCs w:val="24"/>
        </w:rPr>
        <w:t>with Shell Energy North America (“Shell”)</w:t>
      </w:r>
      <w:r w:rsidRPr="00520E97" w:rsidR="009502EA">
        <w:rPr>
          <w:rFonts w:ascii="Palatino Linotype" w:hAnsi="Palatino Linotype"/>
          <w:sz w:val="24"/>
          <w:szCs w:val="24"/>
        </w:rPr>
        <w:t xml:space="preserve">. The </w:t>
      </w:r>
      <w:r w:rsidRPr="00520E97" w:rsidR="00C50382">
        <w:rPr>
          <w:rFonts w:ascii="Palatino Linotype" w:hAnsi="Palatino Linotype"/>
          <w:sz w:val="24"/>
          <w:szCs w:val="24"/>
        </w:rPr>
        <w:lastRenderedPageBreak/>
        <w:t xml:space="preserve">PPA </w:t>
      </w:r>
      <w:r w:rsidRPr="00520E97" w:rsidR="009502EA">
        <w:rPr>
          <w:rFonts w:ascii="Palatino Linotype" w:hAnsi="Palatino Linotype"/>
          <w:sz w:val="24"/>
          <w:szCs w:val="24"/>
        </w:rPr>
        <w:t>will be used by Bear Valley</w:t>
      </w:r>
      <w:r w:rsidRPr="00520E97" w:rsidR="00DB2B95">
        <w:rPr>
          <w:rFonts w:ascii="Palatino Linotype" w:hAnsi="Palatino Linotype"/>
          <w:sz w:val="24"/>
          <w:szCs w:val="24"/>
        </w:rPr>
        <w:t xml:space="preserve"> for</w:t>
      </w:r>
      <w:r w:rsidRPr="00520E97" w:rsidR="00170FAE">
        <w:rPr>
          <w:rFonts w:ascii="Palatino Linotype" w:hAnsi="Palatino Linotype"/>
          <w:sz w:val="24"/>
          <w:szCs w:val="24"/>
        </w:rPr>
        <w:t xml:space="preserve"> procure</w:t>
      </w:r>
      <w:r w:rsidRPr="00520E97" w:rsidR="00DB2B95">
        <w:rPr>
          <w:rFonts w:ascii="Palatino Linotype" w:hAnsi="Palatino Linotype"/>
          <w:sz w:val="24"/>
          <w:szCs w:val="24"/>
        </w:rPr>
        <w:t>ment of “firm”</w:t>
      </w:r>
      <w:r w:rsidRPr="00520E97" w:rsidR="00170FAE">
        <w:rPr>
          <w:rFonts w:ascii="Palatino Linotype" w:hAnsi="Palatino Linotype"/>
          <w:sz w:val="24"/>
          <w:szCs w:val="24"/>
        </w:rPr>
        <w:t xml:space="preserve"> bundled energy and associated renewable energy credits (</w:t>
      </w:r>
      <w:r w:rsidRPr="00520E97" w:rsidR="009502EA">
        <w:rPr>
          <w:rFonts w:ascii="Palatino Linotype" w:hAnsi="Palatino Linotype"/>
          <w:sz w:val="24"/>
          <w:szCs w:val="24"/>
        </w:rPr>
        <w:t>“</w:t>
      </w:r>
      <w:r w:rsidRPr="00520E97" w:rsidR="00170FAE">
        <w:rPr>
          <w:rFonts w:ascii="Palatino Linotype" w:hAnsi="Palatino Linotype"/>
          <w:sz w:val="24"/>
          <w:szCs w:val="24"/>
        </w:rPr>
        <w:t>RECs</w:t>
      </w:r>
      <w:r w:rsidRPr="00520E97" w:rsidR="009502EA">
        <w:rPr>
          <w:rFonts w:ascii="Palatino Linotype" w:hAnsi="Palatino Linotype"/>
          <w:sz w:val="24"/>
          <w:szCs w:val="24"/>
        </w:rPr>
        <w:t>”</w:t>
      </w:r>
      <w:r w:rsidRPr="00520E97" w:rsidR="00170FAE">
        <w:rPr>
          <w:rFonts w:ascii="Palatino Linotype" w:hAnsi="Palatino Linotype"/>
          <w:sz w:val="24"/>
          <w:szCs w:val="24"/>
        </w:rPr>
        <w:t>)</w:t>
      </w:r>
      <w:r w:rsidRPr="00520E97" w:rsidR="00DB2B95">
        <w:rPr>
          <w:rFonts w:ascii="Palatino Linotype" w:hAnsi="Palatino Linotype"/>
          <w:sz w:val="24"/>
          <w:szCs w:val="24"/>
        </w:rPr>
        <w:t xml:space="preserve"> under a long-term contract</w:t>
      </w:r>
      <w:r w:rsidRPr="00520E97" w:rsidR="009502EA">
        <w:rPr>
          <w:rFonts w:ascii="Palatino Linotype" w:hAnsi="Palatino Linotype"/>
          <w:sz w:val="24"/>
          <w:szCs w:val="24"/>
        </w:rPr>
        <w:t xml:space="preserve">. </w:t>
      </w:r>
      <w:r w:rsidRPr="00520E97" w:rsidR="004D6E40">
        <w:rPr>
          <w:rFonts w:ascii="Palatino Linotype" w:hAnsi="Palatino Linotype"/>
          <w:sz w:val="24"/>
          <w:szCs w:val="24"/>
        </w:rPr>
        <w:t xml:space="preserve">This resolution also authorizes </w:t>
      </w:r>
      <w:r w:rsidRPr="00520E97" w:rsidR="009D35CC">
        <w:rPr>
          <w:rFonts w:ascii="Palatino Linotype" w:hAnsi="Palatino Linotype"/>
          <w:sz w:val="24"/>
          <w:szCs w:val="24"/>
        </w:rPr>
        <w:t xml:space="preserve">Bear Valley’s use of a memorandum account to </w:t>
      </w:r>
      <w:r w:rsidRPr="00520E97" w:rsidR="00BC25E6">
        <w:rPr>
          <w:rFonts w:ascii="Palatino Linotype" w:hAnsi="Palatino Linotype"/>
          <w:sz w:val="24"/>
          <w:szCs w:val="24"/>
        </w:rPr>
        <w:t xml:space="preserve">account </w:t>
      </w:r>
      <w:r w:rsidRPr="00520E97" w:rsidR="008C4D9E">
        <w:rPr>
          <w:rFonts w:ascii="Palatino Linotype" w:hAnsi="Palatino Linotype"/>
          <w:sz w:val="24"/>
          <w:szCs w:val="24"/>
        </w:rPr>
        <w:t xml:space="preserve">for any unrealized gains and losses stemming from this </w:t>
      </w:r>
      <w:r w:rsidRPr="00520E97" w:rsidR="00C50382">
        <w:rPr>
          <w:rFonts w:ascii="Palatino Linotype" w:hAnsi="Palatino Linotype"/>
          <w:sz w:val="24"/>
          <w:szCs w:val="24"/>
        </w:rPr>
        <w:t>PPA</w:t>
      </w:r>
      <w:r w:rsidRPr="00520E97" w:rsidR="008C4D9E">
        <w:rPr>
          <w:rFonts w:ascii="Palatino Linotype" w:hAnsi="Palatino Linotype"/>
          <w:sz w:val="24"/>
          <w:szCs w:val="24"/>
        </w:rPr>
        <w:t>.</w:t>
      </w:r>
    </w:p>
    <w:p w:rsidRPr="00520E97" w:rsidR="00CF17DE" w:rsidP="008E334E" w:rsidRDefault="00CF17DE" w14:paraId="184E396E" w14:textId="77777777">
      <w:pPr>
        <w:rPr>
          <w:rFonts w:ascii="Palatino Linotype" w:hAnsi="Palatino Linotype" w:eastAsia="Palatino Linotype"/>
          <w:sz w:val="24"/>
          <w:szCs w:val="24"/>
        </w:rPr>
      </w:pPr>
    </w:p>
    <w:p w:rsidRPr="00520E97" w:rsidR="00C9342B" w:rsidP="008E334E" w:rsidRDefault="00CF17DE" w14:paraId="278E8117" w14:textId="41DEE589">
      <w:pPr>
        <w:pStyle w:val="Heading1"/>
        <w:rPr>
          <w:rFonts w:ascii="Palatino Linotype" w:hAnsi="Palatino Linotype" w:eastAsia="Palatino Linotype"/>
          <w:sz w:val="24"/>
          <w:szCs w:val="24"/>
        </w:rPr>
      </w:pPr>
      <w:r w:rsidRPr="00520E97">
        <w:rPr>
          <w:rFonts w:ascii="Palatino Linotype" w:hAnsi="Palatino Linotype" w:eastAsia="Palatino Linotype"/>
          <w:sz w:val="24"/>
          <w:szCs w:val="24"/>
        </w:rPr>
        <w:t>Background</w:t>
      </w:r>
    </w:p>
    <w:p w:rsidRPr="00520E97" w:rsidR="002403CE" w:rsidP="008E334E" w:rsidRDefault="000500E8" w14:paraId="7ED5ADC6" w14:textId="360C19C9">
      <w:pPr>
        <w:rPr>
          <w:rFonts w:ascii="Palatino Linotype" w:hAnsi="Palatino Linotype" w:eastAsia="Palatino Linotype"/>
          <w:b/>
          <w:sz w:val="24"/>
          <w:szCs w:val="24"/>
        </w:rPr>
      </w:pPr>
      <w:r w:rsidRPr="00520E97">
        <w:rPr>
          <w:rFonts w:ascii="Palatino Linotype" w:hAnsi="Palatino Linotype" w:eastAsia="Palatino Linotype"/>
          <w:b/>
          <w:sz w:val="24"/>
          <w:szCs w:val="24"/>
        </w:rPr>
        <w:t>Overview of the Renewables Portfolio Standard (RPS) Program</w:t>
      </w:r>
    </w:p>
    <w:p w:rsidRPr="00520E97" w:rsidR="00A2082C" w:rsidP="008E334E" w:rsidRDefault="00045072" w14:paraId="6246B3C6" w14:textId="5275EE1A">
      <w:pPr>
        <w:rPr>
          <w:rFonts w:ascii="Palatino Linotype" w:hAnsi="Palatino Linotype" w:eastAsia="Palatino Linotype"/>
          <w:bCs/>
          <w:sz w:val="24"/>
          <w:szCs w:val="24"/>
        </w:rPr>
      </w:pPr>
      <w:r w:rsidRPr="00520E97">
        <w:rPr>
          <w:rFonts w:ascii="Palatino Linotype" w:hAnsi="Palatino Linotype" w:eastAsia="Palatino Linotype"/>
          <w:bCs/>
          <w:sz w:val="24"/>
          <w:szCs w:val="24"/>
        </w:rPr>
        <w:t xml:space="preserve">First established by </w:t>
      </w:r>
      <w:r w:rsidRPr="00520E97" w:rsidR="007A5097">
        <w:rPr>
          <w:rFonts w:ascii="Palatino Linotype" w:hAnsi="Palatino Linotype" w:eastAsia="Palatino Linotype"/>
          <w:bCs/>
          <w:sz w:val="24"/>
          <w:szCs w:val="24"/>
        </w:rPr>
        <w:t>Senate</w:t>
      </w:r>
      <w:r w:rsidRPr="00520E97" w:rsidR="00BB1708">
        <w:rPr>
          <w:rFonts w:ascii="Palatino Linotype" w:hAnsi="Palatino Linotype" w:eastAsia="Palatino Linotype"/>
          <w:bCs/>
          <w:sz w:val="24"/>
          <w:szCs w:val="24"/>
        </w:rPr>
        <w:t xml:space="preserve"> Bill (“SB”) 1078 </w:t>
      </w:r>
      <w:r w:rsidRPr="00520E97">
        <w:rPr>
          <w:rFonts w:ascii="Palatino Linotype" w:hAnsi="Palatino Linotype" w:eastAsia="Palatino Linotype"/>
          <w:bCs/>
          <w:sz w:val="24"/>
          <w:szCs w:val="24"/>
        </w:rPr>
        <w:t xml:space="preserve">in 2002, California’s RPS program </w:t>
      </w:r>
      <w:r w:rsidRPr="00520E97" w:rsidR="00BB1708">
        <w:rPr>
          <w:rFonts w:ascii="Palatino Linotype" w:hAnsi="Palatino Linotype" w:eastAsia="Palatino Linotype"/>
          <w:bCs/>
          <w:sz w:val="24"/>
          <w:szCs w:val="24"/>
        </w:rPr>
        <w:t xml:space="preserve">initially required </w:t>
      </w:r>
      <w:r w:rsidRPr="00520E97" w:rsidR="008A5460">
        <w:rPr>
          <w:rFonts w:ascii="Palatino Linotype" w:hAnsi="Palatino Linotype" w:eastAsia="Palatino Linotype"/>
          <w:bCs/>
          <w:sz w:val="24"/>
          <w:szCs w:val="24"/>
        </w:rPr>
        <w:t>from all electric retail sellers that 20</w:t>
      </w:r>
      <w:r w:rsidRPr="00520E97" w:rsidR="007269A3">
        <w:rPr>
          <w:rFonts w:ascii="Palatino Linotype" w:hAnsi="Palatino Linotype" w:eastAsia="Palatino Linotype"/>
          <w:bCs/>
          <w:sz w:val="24"/>
          <w:szCs w:val="24"/>
        </w:rPr>
        <w:t xml:space="preserve"> percent</w:t>
      </w:r>
      <w:r w:rsidRPr="00520E97" w:rsidR="008A5460">
        <w:rPr>
          <w:rFonts w:ascii="Palatino Linotype" w:hAnsi="Palatino Linotype" w:eastAsia="Palatino Linotype"/>
          <w:bCs/>
          <w:sz w:val="24"/>
          <w:szCs w:val="24"/>
        </w:rPr>
        <w:t xml:space="preserve"> of their sales must be served by renewable resources by 2017.</w:t>
      </w:r>
      <w:r w:rsidRPr="00520E97" w:rsidR="00A41499">
        <w:rPr>
          <w:rFonts w:ascii="Palatino Linotype" w:hAnsi="Palatino Linotype" w:eastAsia="Palatino Linotype"/>
          <w:bCs/>
          <w:sz w:val="24"/>
          <w:szCs w:val="24"/>
        </w:rPr>
        <w:t xml:space="preserve"> In 2015, this time frame was accelerated with the implementation of SB 350, </w:t>
      </w:r>
      <w:r w:rsidRPr="00520E97" w:rsidR="00995BE4">
        <w:rPr>
          <w:rFonts w:ascii="Palatino Linotype" w:hAnsi="Palatino Linotype" w:eastAsia="Palatino Linotype"/>
          <w:bCs/>
          <w:sz w:val="24"/>
          <w:szCs w:val="24"/>
        </w:rPr>
        <w:t>which set a mandate of 50</w:t>
      </w:r>
      <w:r w:rsidRPr="00520E97" w:rsidR="007269A3">
        <w:rPr>
          <w:rFonts w:ascii="Palatino Linotype" w:hAnsi="Palatino Linotype" w:eastAsia="Palatino Linotype"/>
          <w:bCs/>
          <w:sz w:val="24"/>
          <w:szCs w:val="24"/>
        </w:rPr>
        <w:t xml:space="preserve"> percent</w:t>
      </w:r>
      <w:r w:rsidRPr="00520E97" w:rsidR="00995BE4">
        <w:rPr>
          <w:rFonts w:ascii="Palatino Linotype" w:hAnsi="Palatino Linotype" w:eastAsia="Palatino Linotype"/>
          <w:bCs/>
          <w:sz w:val="24"/>
          <w:szCs w:val="24"/>
        </w:rPr>
        <w:t xml:space="preserve"> renewable resources by 2030. SB 350 also required that 65</w:t>
      </w:r>
      <w:r w:rsidRPr="00520E97" w:rsidR="007269A3">
        <w:rPr>
          <w:rFonts w:ascii="Palatino Linotype" w:hAnsi="Palatino Linotype" w:eastAsia="Palatino Linotype"/>
          <w:bCs/>
          <w:sz w:val="24"/>
          <w:szCs w:val="24"/>
        </w:rPr>
        <w:t xml:space="preserve"> percent</w:t>
      </w:r>
      <w:r w:rsidRPr="00520E97" w:rsidR="00995BE4">
        <w:rPr>
          <w:rFonts w:ascii="Palatino Linotype" w:hAnsi="Palatino Linotype" w:eastAsia="Palatino Linotype"/>
          <w:bCs/>
          <w:sz w:val="24"/>
          <w:szCs w:val="24"/>
        </w:rPr>
        <w:t xml:space="preserve"> of that renewable resource procurement must be derived from long-term contracts of ten or more years. </w:t>
      </w:r>
      <w:r w:rsidRPr="00520E97" w:rsidR="001F3B97">
        <w:rPr>
          <w:rFonts w:ascii="Palatino Linotype" w:hAnsi="Palatino Linotype" w:eastAsia="Palatino Linotype"/>
          <w:bCs/>
          <w:sz w:val="24"/>
          <w:szCs w:val="24"/>
        </w:rPr>
        <w:t>In 2018</w:t>
      </w:r>
      <w:r w:rsidRPr="00520E97" w:rsidR="00795644">
        <w:rPr>
          <w:rFonts w:ascii="Palatino Linotype" w:hAnsi="Palatino Linotype" w:eastAsia="Palatino Linotype"/>
          <w:bCs/>
          <w:sz w:val="24"/>
          <w:szCs w:val="24"/>
        </w:rPr>
        <w:t xml:space="preserve">, SB 100 was signed into law, further accelerating the mandate </w:t>
      </w:r>
      <w:r w:rsidRPr="00520E97" w:rsidR="00461B7E">
        <w:rPr>
          <w:rFonts w:ascii="Palatino Linotype" w:hAnsi="Palatino Linotype" w:eastAsia="Palatino Linotype"/>
          <w:bCs/>
          <w:sz w:val="24"/>
          <w:szCs w:val="24"/>
        </w:rPr>
        <w:t>by requiring that 60</w:t>
      </w:r>
      <w:r w:rsidRPr="00520E97" w:rsidR="007269A3">
        <w:rPr>
          <w:rFonts w:ascii="Palatino Linotype" w:hAnsi="Palatino Linotype" w:eastAsia="Palatino Linotype"/>
          <w:bCs/>
          <w:sz w:val="24"/>
          <w:szCs w:val="24"/>
        </w:rPr>
        <w:t xml:space="preserve"> percent</w:t>
      </w:r>
      <w:r w:rsidRPr="00520E97" w:rsidR="00461B7E">
        <w:rPr>
          <w:rFonts w:ascii="Palatino Linotype" w:hAnsi="Palatino Linotype" w:eastAsia="Palatino Linotype"/>
          <w:bCs/>
          <w:sz w:val="24"/>
          <w:szCs w:val="24"/>
        </w:rPr>
        <w:t xml:space="preserve"> of electric retail sales </w:t>
      </w:r>
      <w:r w:rsidRPr="00520E97" w:rsidR="004C76C6">
        <w:rPr>
          <w:rFonts w:ascii="Palatino Linotype" w:hAnsi="Palatino Linotype" w:eastAsia="Palatino Linotype"/>
          <w:bCs/>
          <w:sz w:val="24"/>
          <w:szCs w:val="24"/>
        </w:rPr>
        <w:t xml:space="preserve">must </w:t>
      </w:r>
      <w:r w:rsidRPr="00520E97" w:rsidR="00461B7E">
        <w:rPr>
          <w:rFonts w:ascii="Palatino Linotype" w:hAnsi="Palatino Linotype" w:eastAsia="Palatino Linotype"/>
          <w:bCs/>
          <w:sz w:val="24"/>
          <w:szCs w:val="24"/>
        </w:rPr>
        <w:t xml:space="preserve">be derived from </w:t>
      </w:r>
      <w:r w:rsidRPr="00520E97" w:rsidR="006118A0">
        <w:rPr>
          <w:rFonts w:ascii="Palatino Linotype" w:hAnsi="Palatino Linotype" w:eastAsia="Palatino Linotype"/>
          <w:bCs/>
          <w:sz w:val="24"/>
          <w:szCs w:val="24"/>
        </w:rPr>
        <w:t xml:space="preserve">an </w:t>
      </w:r>
      <w:r w:rsidRPr="00520E97" w:rsidR="00461B7E">
        <w:rPr>
          <w:rFonts w:ascii="Palatino Linotype" w:hAnsi="Palatino Linotype" w:eastAsia="Palatino Linotype"/>
          <w:bCs/>
          <w:sz w:val="24"/>
          <w:szCs w:val="24"/>
        </w:rPr>
        <w:t xml:space="preserve">RPS </w:t>
      </w:r>
      <w:r w:rsidRPr="00520E97" w:rsidR="006118A0">
        <w:rPr>
          <w:rFonts w:ascii="Palatino Linotype" w:hAnsi="Palatino Linotype" w:eastAsia="Palatino Linotype"/>
          <w:bCs/>
          <w:sz w:val="24"/>
          <w:szCs w:val="24"/>
        </w:rPr>
        <w:t>mix</w:t>
      </w:r>
      <w:r w:rsidRPr="00520E97" w:rsidR="009D2DBA">
        <w:rPr>
          <w:rFonts w:ascii="Palatino Linotype" w:hAnsi="Palatino Linotype" w:eastAsia="Palatino Linotype"/>
          <w:bCs/>
          <w:sz w:val="24"/>
          <w:szCs w:val="24"/>
        </w:rPr>
        <w:t xml:space="preserve"> by 2030, </w:t>
      </w:r>
      <w:r w:rsidRPr="00520E97" w:rsidR="004C76C6">
        <w:rPr>
          <w:rFonts w:ascii="Palatino Linotype" w:hAnsi="Palatino Linotype" w:eastAsia="Palatino Linotype"/>
          <w:bCs/>
          <w:sz w:val="24"/>
          <w:szCs w:val="24"/>
        </w:rPr>
        <w:t>and 100</w:t>
      </w:r>
      <w:r w:rsidRPr="00520E97" w:rsidR="007269A3">
        <w:rPr>
          <w:rFonts w:ascii="Palatino Linotype" w:hAnsi="Palatino Linotype" w:eastAsia="Palatino Linotype"/>
          <w:bCs/>
          <w:sz w:val="24"/>
          <w:szCs w:val="24"/>
        </w:rPr>
        <w:t xml:space="preserve"> percent</w:t>
      </w:r>
      <w:r w:rsidRPr="00520E97" w:rsidR="004C76C6">
        <w:rPr>
          <w:rFonts w:ascii="Palatino Linotype" w:hAnsi="Palatino Linotype" w:eastAsia="Palatino Linotype"/>
          <w:bCs/>
          <w:sz w:val="24"/>
          <w:szCs w:val="24"/>
        </w:rPr>
        <w:t xml:space="preserve"> of </w:t>
      </w:r>
      <w:r w:rsidRPr="00520E97" w:rsidR="005D1977">
        <w:rPr>
          <w:rFonts w:ascii="Palatino Linotype" w:hAnsi="Palatino Linotype" w:eastAsia="Palatino Linotype"/>
          <w:bCs/>
          <w:sz w:val="24"/>
          <w:szCs w:val="24"/>
        </w:rPr>
        <w:t xml:space="preserve">sales </w:t>
      </w:r>
      <w:r w:rsidRPr="00520E97" w:rsidR="008E651E">
        <w:rPr>
          <w:rFonts w:ascii="Palatino Linotype" w:hAnsi="Palatino Linotype" w:eastAsia="Palatino Linotype"/>
          <w:bCs/>
          <w:sz w:val="24"/>
          <w:szCs w:val="24"/>
        </w:rPr>
        <w:t xml:space="preserve">by carbon-free resources by 2045. </w:t>
      </w:r>
    </w:p>
    <w:p w:rsidRPr="00520E97" w:rsidR="002F4FE7" w:rsidP="008E334E" w:rsidRDefault="002F4FE7" w14:paraId="7623187B" w14:textId="77777777">
      <w:pPr>
        <w:rPr>
          <w:rFonts w:ascii="Palatino Linotype" w:hAnsi="Palatino Linotype" w:eastAsia="Palatino Linotype"/>
          <w:bCs/>
          <w:sz w:val="24"/>
          <w:szCs w:val="24"/>
        </w:rPr>
      </w:pPr>
    </w:p>
    <w:p w:rsidRPr="00520E97" w:rsidR="0018384B" w:rsidP="008E334E" w:rsidRDefault="002F4FE7" w14:paraId="736A2C19" w14:textId="77777777">
      <w:pPr>
        <w:rPr>
          <w:rFonts w:ascii="Palatino Linotype" w:hAnsi="Palatino Linotype" w:eastAsia="Palatino Linotype"/>
          <w:bCs/>
          <w:sz w:val="24"/>
          <w:szCs w:val="24"/>
        </w:rPr>
      </w:pPr>
      <w:r w:rsidRPr="00520E97">
        <w:rPr>
          <w:rFonts w:ascii="Palatino Linotype" w:hAnsi="Palatino Linotype" w:eastAsia="Palatino Linotype"/>
          <w:bCs/>
          <w:sz w:val="24"/>
          <w:szCs w:val="24"/>
        </w:rPr>
        <w:t>Additional background information about the Commission’s RPS program, i</w:t>
      </w:r>
      <w:r w:rsidRPr="00520E97" w:rsidR="005D63E2">
        <w:rPr>
          <w:rFonts w:ascii="Palatino Linotype" w:hAnsi="Palatino Linotype" w:eastAsia="Palatino Linotype"/>
          <w:bCs/>
          <w:sz w:val="24"/>
          <w:szCs w:val="24"/>
        </w:rPr>
        <w:t xml:space="preserve">ncluding links to relevant laws and Commission decisions, is available at </w:t>
      </w:r>
      <w:hyperlink w:history="1" r:id="rId11">
        <w:r w:rsidRPr="00520E97" w:rsidR="00A93358">
          <w:rPr>
            <w:rStyle w:val="Hyperlink"/>
            <w:rFonts w:ascii="Palatino Linotype" w:hAnsi="Palatino Linotype" w:eastAsia="Palatino Linotype"/>
            <w:bCs/>
            <w:sz w:val="24"/>
            <w:szCs w:val="24"/>
          </w:rPr>
          <w:t>https://www.cpuc.ca.gov/rps/</w:t>
        </w:r>
      </w:hyperlink>
      <w:r w:rsidRPr="00520E97" w:rsidR="00A93358">
        <w:rPr>
          <w:rFonts w:ascii="Palatino Linotype" w:hAnsi="Palatino Linotype" w:eastAsia="Palatino Linotype"/>
          <w:bCs/>
          <w:sz w:val="24"/>
          <w:szCs w:val="24"/>
        </w:rPr>
        <w:t xml:space="preserve"> and </w:t>
      </w:r>
      <w:hyperlink w:history="1" r:id="rId12">
        <w:r w:rsidRPr="00520E97" w:rsidR="0018384B">
          <w:rPr>
            <w:rStyle w:val="Hyperlink"/>
            <w:rFonts w:ascii="Palatino Linotype" w:hAnsi="Palatino Linotype" w:eastAsia="Palatino Linotype"/>
            <w:bCs/>
            <w:sz w:val="24"/>
            <w:szCs w:val="24"/>
          </w:rPr>
          <w:t>https://www.cpuc.ca.gov/industries-and-topics/electrical-energy/electric-power-procurement/rps/rps-program-overview/rps-decisions-and-proceedings</w:t>
        </w:r>
      </w:hyperlink>
      <w:r w:rsidRPr="00520E97" w:rsidR="0018384B">
        <w:rPr>
          <w:rFonts w:ascii="Palatino Linotype" w:hAnsi="Palatino Linotype" w:eastAsia="Palatino Linotype"/>
          <w:bCs/>
          <w:sz w:val="24"/>
          <w:szCs w:val="24"/>
        </w:rPr>
        <w:t>.</w:t>
      </w:r>
    </w:p>
    <w:p w:rsidRPr="00520E97" w:rsidR="002F4FE7" w:rsidP="008E334E" w:rsidRDefault="0018384B" w14:paraId="323AD3DA" w14:textId="5E1554FC">
      <w:pPr>
        <w:rPr>
          <w:rFonts w:ascii="Palatino Linotype" w:hAnsi="Palatino Linotype" w:eastAsia="Palatino Linotype"/>
          <w:bCs/>
          <w:sz w:val="24"/>
          <w:szCs w:val="24"/>
        </w:rPr>
      </w:pPr>
      <w:r w:rsidRPr="00520E97">
        <w:rPr>
          <w:rFonts w:ascii="Palatino Linotype" w:hAnsi="Palatino Linotype" w:eastAsia="Palatino Linotype"/>
          <w:bCs/>
          <w:sz w:val="24"/>
          <w:szCs w:val="24"/>
        </w:rPr>
        <w:t xml:space="preserve"> </w:t>
      </w:r>
    </w:p>
    <w:p w:rsidRPr="00520E97" w:rsidR="00CF17DE" w:rsidP="008E334E" w:rsidRDefault="00394B3A" w14:paraId="66788129" w14:textId="707C0E8A">
      <w:pPr>
        <w:pStyle w:val="Heading1"/>
        <w:rPr>
          <w:rFonts w:ascii="Palatino Linotype" w:hAnsi="Palatino Linotype" w:eastAsia="Palatino Linotype"/>
          <w:sz w:val="24"/>
          <w:szCs w:val="24"/>
        </w:rPr>
      </w:pPr>
      <w:r w:rsidRPr="00520E97">
        <w:rPr>
          <w:rFonts w:ascii="Palatino Linotype" w:hAnsi="Palatino Linotype" w:eastAsia="Palatino Linotype"/>
          <w:sz w:val="24"/>
          <w:szCs w:val="24"/>
        </w:rPr>
        <w:t>Notice</w:t>
      </w:r>
    </w:p>
    <w:p w:rsidRPr="00520E97" w:rsidR="00CF17DE" w:rsidP="008E334E" w:rsidRDefault="00CF17DE" w14:paraId="37FFE207" w14:textId="40CC8353">
      <w:pPr>
        <w:rPr>
          <w:rFonts w:ascii="Palatino Linotype" w:hAnsi="Palatino Linotype" w:eastAsia="Palatino Linotype"/>
          <w:sz w:val="24"/>
          <w:szCs w:val="24"/>
        </w:rPr>
      </w:pPr>
      <w:r w:rsidRPr="00520E97">
        <w:rPr>
          <w:rFonts w:ascii="Palatino Linotype" w:hAnsi="Palatino Linotype" w:eastAsia="Palatino Linotype"/>
          <w:sz w:val="24"/>
          <w:szCs w:val="24"/>
        </w:rPr>
        <w:t xml:space="preserve">Notice of AL </w:t>
      </w:r>
      <w:r w:rsidRPr="00520E97" w:rsidR="00B93CF4">
        <w:rPr>
          <w:rFonts w:ascii="Palatino Linotype" w:hAnsi="Palatino Linotype" w:eastAsia="Palatino Linotype"/>
          <w:sz w:val="24"/>
          <w:szCs w:val="24"/>
        </w:rPr>
        <w:t>470-E</w:t>
      </w:r>
      <w:r w:rsidRPr="00520E97">
        <w:rPr>
          <w:rFonts w:ascii="Palatino Linotype" w:hAnsi="Palatino Linotype" w:eastAsia="Palatino Linotype"/>
          <w:sz w:val="24"/>
          <w:szCs w:val="24"/>
        </w:rPr>
        <w:t xml:space="preserve"> was made by publication in the Commission’s Daily Calendar.  </w:t>
      </w:r>
      <w:r w:rsidRPr="00520E97" w:rsidR="0018384B">
        <w:rPr>
          <w:rFonts w:ascii="Palatino Linotype" w:hAnsi="Palatino Linotype" w:eastAsia="Palatino Linotype"/>
          <w:sz w:val="24"/>
          <w:szCs w:val="24"/>
        </w:rPr>
        <w:t xml:space="preserve">Bear Valley </w:t>
      </w:r>
      <w:r w:rsidRPr="00520E97">
        <w:rPr>
          <w:rFonts w:ascii="Palatino Linotype" w:hAnsi="Palatino Linotype" w:eastAsia="Palatino Linotype"/>
          <w:sz w:val="24"/>
          <w:szCs w:val="24"/>
        </w:rPr>
        <w:t xml:space="preserve">states that a copy of the Advice Letter was </w:t>
      </w:r>
      <w:r w:rsidRPr="00520E97" w:rsidR="008E43CD">
        <w:rPr>
          <w:rFonts w:ascii="Palatino Linotype" w:hAnsi="Palatino Linotype" w:eastAsia="Palatino Linotype"/>
          <w:sz w:val="24"/>
          <w:szCs w:val="24"/>
        </w:rPr>
        <w:t xml:space="preserve">mailed and </w:t>
      </w:r>
      <w:r w:rsidRPr="00520E97">
        <w:rPr>
          <w:rFonts w:ascii="Palatino Linotype" w:hAnsi="Palatino Linotype" w:eastAsia="Palatino Linotype"/>
          <w:sz w:val="24"/>
          <w:szCs w:val="24"/>
        </w:rPr>
        <w:t>distributed in accordance with Sec</w:t>
      </w:r>
      <w:r w:rsidRPr="00520E97" w:rsidR="00A1526C">
        <w:rPr>
          <w:rFonts w:ascii="Palatino Linotype" w:hAnsi="Palatino Linotype" w:eastAsia="Palatino Linotype"/>
          <w:sz w:val="24"/>
          <w:szCs w:val="24"/>
        </w:rPr>
        <w:t xml:space="preserve">tion </w:t>
      </w:r>
      <w:r w:rsidRPr="00520E97" w:rsidR="0069631C">
        <w:rPr>
          <w:rFonts w:ascii="Palatino Linotype" w:hAnsi="Palatino Linotype" w:eastAsia="Palatino Linotype"/>
          <w:sz w:val="24"/>
          <w:szCs w:val="24"/>
        </w:rPr>
        <w:t>4</w:t>
      </w:r>
      <w:r w:rsidRPr="00520E97" w:rsidR="00E928CF">
        <w:rPr>
          <w:rFonts w:ascii="Palatino Linotype" w:hAnsi="Palatino Linotype" w:eastAsia="Palatino Linotype"/>
          <w:sz w:val="24"/>
          <w:szCs w:val="24"/>
        </w:rPr>
        <w:t xml:space="preserve"> of General Order 96-B</w:t>
      </w:r>
      <w:r w:rsidRPr="00520E97">
        <w:rPr>
          <w:rFonts w:ascii="Palatino Linotype" w:hAnsi="Palatino Linotype" w:eastAsia="Palatino Linotype"/>
          <w:sz w:val="24"/>
          <w:szCs w:val="24"/>
        </w:rPr>
        <w:t xml:space="preserve">. </w:t>
      </w:r>
    </w:p>
    <w:p w:rsidRPr="00520E97" w:rsidR="00CF17DE" w:rsidP="008E334E" w:rsidRDefault="00CF17DE" w14:paraId="6E8F021A" w14:textId="77777777">
      <w:pPr>
        <w:rPr>
          <w:rFonts w:ascii="Palatino Linotype" w:hAnsi="Palatino Linotype" w:eastAsia="Palatino Linotype"/>
          <w:sz w:val="24"/>
          <w:szCs w:val="24"/>
        </w:rPr>
      </w:pPr>
    </w:p>
    <w:p w:rsidRPr="00520E97" w:rsidR="00CF17DE" w:rsidP="008E334E" w:rsidRDefault="00CF17DE" w14:paraId="7F509E4C" w14:textId="77777777">
      <w:pPr>
        <w:pStyle w:val="Heading1"/>
        <w:rPr>
          <w:rFonts w:ascii="Palatino Linotype" w:hAnsi="Palatino Linotype" w:eastAsia="Palatino Linotype"/>
          <w:sz w:val="24"/>
          <w:szCs w:val="24"/>
        </w:rPr>
      </w:pPr>
      <w:r w:rsidRPr="00520E97">
        <w:rPr>
          <w:rFonts w:ascii="Palatino Linotype" w:hAnsi="Palatino Linotype" w:eastAsia="Palatino Linotype"/>
          <w:sz w:val="24"/>
          <w:szCs w:val="24"/>
        </w:rPr>
        <w:t>Protests</w:t>
      </w:r>
    </w:p>
    <w:p w:rsidRPr="00520E97" w:rsidR="00CF17DE" w:rsidP="008E334E" w:rsidRDefault="00CF17DE" w14:paraId="52D5B761" w14:textId="1E14CC3A">
      <w:pPr>
        <w:rPr>
          <w:rFonts w:ascii="Palatino Linotype" w:hAnsi="Palatino Linotype" w:eastAsia="Palatino Linotype"/>
          <w:sz w:val="24"/>
          <w:szCs w:val="24"/>
        </w:rPr>
      </w:pPr>
      <w:r w:rsidRPr="00520E97">
        <w:rPr>
          <w:rFonts w:ascii="Palatino Linotype" w:hAnsi="Palatino Linotype" w:eastAsia="Palatino Linotype"/>
          <w:sz w:val="24"/>
          <w:szCs w:val="24"/>
        </w:rPr>
        <w:t xml:space="preserve">Advice Letter </w:t>
      </w:r>
      <w:r w:rsidRPr="00520E97" w:rsidR="00580331">
        <w:rPr>
          <w:rFonts w:ascii="Palatino Linotype" w:hAnsi="Palatino Linotype" w:eastAsia="Palatino Linotype"/>
          <w:sz w:val="24"/>
          <w:szCs w:val="24"/>
        </w:rPr>
        <w:t>470-E</w:t>
      </w:r>
      <w:r w:rsidRPr="00520E97">
        <w:rPr>
          <w:rFonts w:ascii="Palatino Linotype" w:hAnsi="Palatino Linotype" w:eastAsia="Palatino Linotype"/>
          <w:sz w:val="24"/>
          <w:szCs w:val="24"/>
        </w:rPr>
        <w:t xml:space="preserve"> was </w:t>
      </w:r>
      <w:r w:rsidRPr="00520E97" w:rsidR="005E3332">
        <w:rPr>
          <w:rFonts w:ascii="Palatino Linotype" w:hAnsi="Palatino Linotype" w:eastAsia="Palatino Linotype"/>
          <w:sz w:val="24"/>
          <w:szCs w:val="24"/>
        </w:rPr>
        <w:t xml:space="preserve">not </w:t>
      </w:r>
      <w:r w:rsidRPr="00520E97">
        <w:rPr>
          <w:rFonts w:ascii="Palatino Linotype" w:hAnsi="Palatino Linotype" w:eastAsia="Palatino Linotype"/>
          <w:sz w:val="24"/>
          <w:szCs w:val="24"/>
        </w:rPr>
        <w:t xml:space="preserve">protested.  </w:t>
      </w:r>
    </w:p>
    <w:p w:rsidRPr="00520E97" w:rsidR="00CF17DE" w:rsidP="008E334E" w:rsidRDefault="00CF17DE" w14:paraId="30C5808A" w14:textId="77777777">
      <w:pPr>
        <w:rPr>
          <w:rFonts w:ascii="Palatino Linotype" w:hAnsi="Palatino Linotype" w:eastAsia="Palatino Linotype"/>
          <w:sz w:val="24"/>
          <w:szCs w:val="24"/>
        </w:rPr>
      </w:pPr>
    </w:p>
    <w:p w:rsidRPr="00520E97" w:rsidR="00CF17DE" w:rsidP="007D68A1" w:rsidRDefault="00CF17DE" w14:paraId="23E10AE5" w14:textId="77777777">
      <w:pPr>
        <w:pStyle w:val="Heading1"/>
        <w:keepLines/>
        <w:rPr>
          <w:rFonts w:ascii="Palatino Linotype" w:hAnsi="Palatino Linotype" w:eastAsia="Palatino Linotype"/>
          <w:sz w:val="24"/>
          <w:szCs w:val="24"/>
        </w:rPr>
      </w:pPr>
      <w:r w:rsidRPr="00520E97">
        <w:rPr>
          <w:rFonts w:ascii="Palatino Linotype" w:hAnsi="Palatino Linotype" w:eastAsia="Palatino Linotype"/>
          <w:sz w:val="24"/>
          <w:szCs w:val="24"/>
        </w:rPr>
        <w:lastRenderedPageBreak/>
        <w:t>Discussion</w:t>
      </w:r>
    </w:p>
    <w:p w:rsidRPr="00520E97" w:rsidR="008F2620" w:rsidP="007D68A1" w:rsidRDefault="008F2620" w14:paraId="5F00D4F3" w14:textId="77777777">
      <w:pPr>
        <w:keepNext/>
        <w:keepLines/>
        <w:rPr>
          <w:rFonts w:ascii="Palatino Linotype" w:hAnsi="Palatino Linotype" w:eastAsia="Palatino Linotype"/>
          <w:b/>
          <w:bCs/>
          <w:sz w:val="24"/>
          <w:szCs w:val="24"/>
        </w:rPr>
      </w:pPr>
    </w:p>
    <w:p w:rsidRPr="00520E97" w:rsidR="00415BE5" w:rsidP="007D68A1" w:rsidRDefault="00C61423" w14:paraId="71E01B30" w14:textId="38F0618C">
      <w:pPr>
        <w:keepNext/>
        <w:keepLines/>
        <w:rPr>
          <w:rFonts w:ascii="Palatino Linotype" w:hAnsi="Palatino Linotype" w:eastAsia="Palatino Linotype"/>
          <w:b/>
          <w:bCs/>
          <w:sz w:val="24"/>
          <w:szCs w:val="24"/>
        </w:rPr>
      </w:pPr>
      <w:r w:rsidRPr="00520E97">
        <w:rPr>
          <w:rFonts w:ascii="Palatino Linotype" w:hAnsi="Palatino Linotype" w:eastAsia="Palatino Linotype"/>
          <w:b/>
          <w:bCs/>
          <w:sz w:val="24"/>
          <w:szCs w:val="24"/>
        </w:rPr>
        <w:t xml:space="preserve">BVES requests approval of a power purchase agreement </w:t>
      </w:r>
      <w:r w:rsidRPr="00520E97" w:rsidR="00DB7B5F">
        <w:rPr>
          <w:rFonts w:ascii="Palatino Linotype" w:hAnsi="Palatino Linotype" w:eastAsia="Palatino Linotype"/>
          <w:b/>
          <w:bCs/>
          <w:sz w:val="24"/>
          <w:szCs w:val="24"/>
        </w:rPr>
        <w:t xml:space="preserve">(PPA) </w:t>
      </w:r>
      <w:r w:rsidRPr="00520E97">
        <w:rPr>
          <w:rFonts w:ascii="Palatino Linotype" w:hAnsi="Palatino Linotype" w:eastAsia="Palatino Linotype"/>
          <w:b/>
          <w:bCs/>
          <w:sz w:val="24"/>
          <w:szCs w:val="24"/>
        </w:rPr>
        <w:t xml:space="preserve">for bundled energy and associated renewable energy credits </w:t>
      </w:r>
      <w:r w:rsidRPr="00520E97" w:rsidR="00415BE5">
        <w:rPr>
          <w:rFonts w:ascii="Palatino Linotype" w:hAnsi="Palatino Linotype" w:eastAsia="Palatino Linotype"/>
          <w:b/>
          <w:bCs/>
          <w:sz w:val="24"/>
          <w:szCs w:val="24"/>
        </w:rPr>
        <w:t>with Shell Energy North America</w:t>
      </w:r>
    </w:p>
    <w:p w:rsidRPr="00520E97" w:rsidR="00BD56D1" w:rsidP="008E334E" w:rsidRDefault="00BD56D1" w14:paraId="54BB9976" w14:textId="77777777">
      <w:pPr>
        <w:rPr>
          <w:rFonts w:ascii="Palatino Linotype" w:hAnsi="Palatino Linotype"/>
          <w:sz w:val="24"/>
          <w:szCs w:val="24"/>
        </w:rPr>
      </w:pPr>
    </w:p>
    <w:p w:rsidRPr="00520E97" w:rsidR="00BD56D1" w:rsidP="008E334E" w:rsidRDefault="007933EF" w14:paraId="2B2E203F" w14:textId="290F9C36">
      <w:pPr>
        <w:rPr>
          <w:rFonts w:ascii="Palatino Linotype" w:hAnsi="Palatino Linotype"/>
          <w:sz w:val="24"/>
          <w:szCs w:val="24"/>
        </w:rPr>
      </w:pPr>
      <w:r w:rsidRPr="00520E97">
        <w:rPr>
          <w:rFonts w:ascii="Palatino Linotype" w:hAnsi="Palatino Linotype"/>
          <w:sz w:val="24"/>
          <w:szCs w:val="24"/>
        </w:rPr>
        <w:t xml:space="preserve">On March 30, 2023, Bear Valley filed AL 470-E, requesting Commission approval of a bilaterally negotiated </w:t>
      </w:r>
      <w:r w:rsidRPr="00520E97" w:rsidR="00C51EF0">
        <w:rPr>
          <w:rFonts w:ascii="Palatino Linotype" w:hAnsi="Palatino Linotype"/>
          <w:sz w:val="24"/>
          <w:szCs w:val="24"/>
        </w:rPr>
        <w:t>PPA</w:t>
      </w:r>
      <w:r w:rsidRPr="00520E97" w:rsidR="00DB7B5F">
        <w:rPr>
          <w:rStyle w:val="FootnoteReference"/>
          <w:rFonts w:ascii="Palatino Linotype" w:hAnsi="Palatino Linotype"/>
          <w:sz w:val="24"/>
          <w:szCs w:val="24"/>
        </w:rPr>
        <w:footnoteReference w:id="2"/>
      </w:r>
      <w:r w:rsidRPr="00520E97" w:rsidR="00282A5C">
        <w:rPr>
          <w:rFonts w:ascii="Palatino Linotype" w:hAnsi="Palatino Linotype"/>
          <w:sz w:val="24"/>
          <w:szCs w:val="24"/>
        </w:rPr>
        <w:t xml:space="preserve"> with Shell, for the procurement of </w:t>
      </w:r>
      <w:r w:rsidRPr="00520E97" w:rsidR="003A7256">
        <w:rPr>
          <w:rFonts w:ascii="Palatino Linotype" w:hAnsi="Palatino Linotype"/>
          <w:sz w:val="24"/>
          <w:szCs w:val="24"/>
        </w:rPr>
        <w:t xml:space="preserve">portfolio content category </w:t>
      </w:r>
      <w:r w:rsidRPr="00520E97" w:rsidR="00282A5C">
        <w:rPr>
          <w:rFonts w:ascii="Palatino Linotype" w:hAnsi="Palatino Linotype"/>
          <w:sz w:val="24"/>
          <w:szCs w:val="24"/>
        </w:rPr>
        <w:t>1</w:t>
      </w:r>
      <w:r w:rsidRPr="00520E97" w:rsidR="003A7256">
        <w:rPr>
          <w:rFonts w:ascii="Palatino Linotype" w:hAnsi="Palatino Linotype"/>
          <w:sz w:val="24"/>
          <w:szCs w:val="24"/>
        </w:rPr>
        <w:t xml:space="preserve"> (PCC</w:t>
      </w:r>
      <w:r w:rsidRPr="00520E97" w:rsidR="00DB7B5F">
        <w:rPr>
          <w:rFonts w:ascii="Palatino Linotype" w:hAnsi="Palatino Linotype"/>
          <w:sz w:val="24"/>
          <w:szCs w:val="24"/>
        </w:rPr>
        <w:t xml:space="preserve"> </w:t>
      </w:r>
      <w:r w:rsidRPr="00520E97" w:rsidR="003A7256">
        <w:rPr>
          <w:rFonts w:ascii="Palatino Linotype" w:hAnsi="Palatino Linotype"/>
          <w:sz w:val="24"/>
          <w:szCs w:val="24"/>
        </w:rPr>
        <w:t>1)</w:t>
      </w:r>
      <w:r w:rsidRPr="00520E97" w:rsidR="00282A5C">
        <w:rPr>
          <w:rFonts w:ascii="Palatino Linotype" w:hAnsi="Palatino Linotype"/>
          <w:sz w:val="24"/>
          <w:szCs w:val="24"/>
        </w:rPr>
        <w:t xml:space="preserve"> energy and associated </w:t>
      </w:r>
      <w:r w:rsidRPr="00520E97" w:rsidR="007269A3">
        <w:rPr>
          <w:rFonts w:ascii="Palatino Linotype" w:hAnsi="Palatino Linotype"/>
          <w:sz w:val="24"/>
          <w:szCs w:val="24"/>
        </w:rPr>
        <w:t>renewable energy credits (</w:t>
      </w:r>
      <w:r w:rsidRPr="00520E97" w:rsidR="00282A5C">
        <w:rPr>
          <w:rFonts w:ascii="Palatino Linotype" w:hAnsi="Palatino Linotype"/>
          <w:sz w:val="24"/>
          <w:szCs w:val="24"/>
        </w:rPr>
        <w:t>RECs</w:t>
      </w:r>
      <w:r w:rsidRPr="00520E97" w:rsidR="007269A3">
        <w:rPr>
          <w:rFonts w:ascii="Palatino Linotype" w:hAnsi="Palatino Linotype"/>
          <w:sz w:val="24"/>
          <w:szCs w:val="24"/>
        </w:rPr>
        <w:t>)</w:t>
      </w:r>
      <w:r w:rsidRPr="00520E97" w:rsidR="00282A5C">
        <w:rPr>
          <w:rFonts w:ascii="Palatino Linotype" w:hAnsi="Palatino Linotype"/>
          <w:sz w:val="24"/>
          <w:szCs w:val="24"/>
        </w:rPr>
        <w:t xml:space="preserve">. </w:t>
      </w:r>
      <w:r w:rsidRPr="00520E97" w:rsidR="00595E85">
        <w:rPr>
          <w:rFonts w:ascii="Palatino Linotype" w:hAnsi="Palatino Linotype"/>
          <w:sz w:val="24"/>
          <w:szCs w:val="24"/>
        </w:rPr>
        <w:t xml:space="preserve">The </w:t>
      </w:r>
      <w:r w:rsidRPr="00520E97" w:rsidR="00DB7B5F">
        <w:rPr>
          <w:rFonts w:ascii="Palatino Linotype" w:hAnsi="Palatino Linotype"/>
          <w:sz w:val="24"/>
          <w:szCs w:val="24"/>
        </w:rPr>
        <w:t xml:space="preserve">PPA </w:t>
      </w:r>
      <w:r w:rsidRPr="00520E97" w:rsidR="00595E85">
        <w:rPr>
          <w:rFonts w:ascii="Palatino Linotype" w:hAnsi="Palatino Linotype"/>
          <w:sz w:val="24"/>
          <w:szCs w:val="24"/>
        </w:rPr>
        <w:t>would procure 6</w:t>
      </w:r>
      <w:r w:rsidRPr="00520E97" w:rsidR="00DB7B5F">
        <w:rPr>
          <w:rFonts w:ascii="Palatino Linotype" w:hAnsi="Palatino Linotype"/>
          <w:sz w:val="24"/>
          <w:szCs w:val="24"/>
        </w:rPr>
        <w:t xml:space="preserve"> megawatts (</w:t>
      </w:r>
      <w:r w:rsidRPr="00520E97" w:rsidR="00595E85">
        <w:rPr>
          <w:rFonts w:ascii="Palatino Linotype" w:hAnsi="Palatino Linotype"/>
          <w:sz w:val="24"/>
          <w:szCs w:val="24"/>
        </w:rPr>
        <w:t>MW</w:t>
      </w:r>
      <w:r w:rsidRPr="00520E97" w:rsidR="00DB7B5F">
        <w:rPr>
          <w:rFonts w:ascii="Palatino Linotype" w:hAnsi="Palatino Linotype"/>
          <w:sz w:val="24"/>
          <w:szCs w:val="24"/>
        </w:rPr>
        <w:t>)</w:t>
      </w:r>
      <w:r w:rsidRPr="00520E97" w:rsidR="00595E85">
        <w:rPr>
          <w:rFonts w:ascii="Palatino Linotype" w:hAnsi="Palatino Linotype"/>
          <w:sz w:val="24"/>
          <w:szCs w:val="24"/>
        </w:rPr>
        <w:t xml:space="preserve"> of annual, around-the-clock </w:t>
      </w:r>
      <w:r w:rsidRPr="00520E97" w:rsidR="00CF2456">
        <w:rPr>
          <w:rFonts w:ascii="Palatino Linotype" w:hAnsi="Palatino Linotype"/>
          <w:sz w:val="24"/>
          <w:szCs w:val="24"/>
        </w:rPr>
        <w:t xml:space="preserve">energy from an unspecified mix of </w:t>
      </w:r>
      <w:r w:rsidRPr="00520E97" w:rsidR="00DB7B5F">
        <w:rPr>
          <w:rFonts w:ascii="Palatino Linotype" w:hAnsi="Palatino Linotype"/>
          <w:sz w:val="24"/>
          <w:szCs w:val="24"/>
        </w:rPr>
        <w:t>eligible renewable resources (</w:t>
      </w:r>
      <w:r w:rsidRPr="00520E97" w:rsidR="00CF2456">
        <w:rPr>
          <w:rFonts w:ascii="Palatino Linotype" w:hAnsi="Palatino Linotype"/>
          <w:sz w:val="24"/>
          <w:szCs w:val="24"/>
        </w:rPr>
        <w:t>ERRs</w:t>
      </w:r>
      <w:r w:rsidRPr="00520E97" w:rsidR="00DB7B5F">
        <w:rPr>
          <w:rFonts w:ascii="Palatino Linotype" w:hAnsi="Palatino Linotype"/>
          <w:sz w:val="24"/>
          <w:szCs w:val="24"/>
        </w:rPr>
        <w:t>)</w:t>
      </w:r>
      <w:r w:rsidRPr="00520E97" w:rsidR="00CF2456">
        <w:rPr>
          <w:rFonts w:ascii="Palatino Linotype" w:hAnsi="Palatino Linotype"/>
          <w:sz w:val="24"/>
          <w:szCs w:val="24"/>
        </w:rPr>
        <w:t>.</w:t>
      </w:r>
    </w:p>
    <w:p w:rsidRPr="00520E97" w:rsidR="0043550E" w:rsidP="008E334E" w:rsidRDefault="0043550E" w14:paraId="61A5F77A" w14:textId="77777777">
      <w:pPr>
        <w:rPr>
          <w:rFonts w:ascii="Palatino Linotype" w:hAnsi="Palatino Linotype"/>
          <w:sz w:val="24"/>
          <w:szCs w:val="24"/>
        </w:rPr>
      </w:pPr>
    </w:p>
    <w:p w:rsidRPr="00520E97" w:rsidR="00931F41" w:rsidP="008E334E" w:rsidRDefault="00931F41" w14:paraId="22E5CD9C" w14:textId="2DA405C8">
      <w:pPr>
        <w:rPr>
          <w:rFonts w:ascii="Palatino Linotype" w:hAnsi="Palatino Linotype"/>
          <w:sz w:val="24"/>
          <w:szCs w:val="24"/>
        </w:rPr>
      </w:pPr>
      <w:r w:rsidRPr="00520E97">
        <w:rPr>
          <w:rFonts w:ascii="Palatino Linotype" w:hAnsi="Palatino Linotype"/>
          <w:sz w:val="24"/>
          <w:szCs w:val="24"/>
        </w:rPr>
        <w:t xml:space="preserve">The following table summarizes the Shell PPA: </w:t>
      </w:r>
    </w:p>
    <w:tbl>
      <w:tblPr>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15" w:type="dxa"/>
          <w:right w:w="115" w:type="dxa"/>
        </w:tblCellMar>
        <w:tblLook w:val="01E0" w:firstRow="1" w:lastRow="1" w:firstColumn="1" w:lastColumn="1" w:noHBand="0" w:noVBand="0"/>
      </w:tblPr>
      <w:tblGrid>
        <w:gridCol w:w="1885"/>
        <w:gridCol w:w="1800"/>
        <w:gridCol w:w="1800"/>
        <w:gridCol w:w="1982"/>
        <w:gridCol w:w="1735"/>
      </w:tblGrid>
      <w:tr w:rsidRPr="00520E97" w:rsidR="00894C35" w:rsidTr="00894C35" w14:paraId="2B4C1DE0" w14:textId="77777777">
        <w:trPr>
          <w:trHeight w:val="20"/>
          <w:jc w:val="center"/>
        </w:trPr>
        <w:tc>
          <w:tcPr>
            <w:tcW w:w="1024" w:type="pct"/>
          </w:tcPr>
          <w:p w:rsidRPr="00520E97" w:rsidR="00931F41" w:rsidP="00894C35" w:rsidRDefault="00931F41" w14:paraId="0E5E661C" w14:textId="77777777">
            <w:pPr>
              <w:keepLines/>
              <w:jc w:val="center"/>
              <w:rPr>
                <w:rFonts w:ascii="Palatino Linotype" w:hAnsi="Palatino Linotype"/>
                <w:b/>
                <w:sz w:val="24"/>
                <w:szCs w:val="24"/>
              </w:rPr>
            </w:pPr>
            <w:r w:rsidRPr="00520E97">
              <w:rPr>
                <w:rFonts w:ascii="Palatino Linotype" w:hAnsi="Palatino Linotype"/>
                <w:b/>
                <w:sz w:val="24"/>
                <w:szCs w:val="24"/>
              </w:rPr>
              <w:t>Generating Facilities</w:t>
            </w:r>
          </w:p>
        </w:tc>
        <w:tc>
          <w:tcPr>
            <w:tcW w:w="978" w:type="pct"/>
            <w:vAlign w:val="bottom"/>
          </w:tcPr>
          <w:p w:rsidRPr="00520E97" w:rsidR="00931F41" w:rsidP="008E334E" w:rsidRDefault="00931F41" w14:paraId="567FFF7C" w14:textId="77777777">
            <w:pPr>
              <w:keepLines/>
              <w:jc w:val="center"/>
              <w:rPr>
                <w:rFonts w:ascii="Palatino Linotype" w:hAnsi="Palatino Linotype"/>
                <w:b/>
                <w:sz w:val="24"/>
                <w:szCs w:val="24"/>
              </w:rPr>
            </w:pPr>
            <w:r w:rsidRPr="00520E97">
              <w:rPr>
                <w:rFonts w:ascii="Palatino Linotype" w:hAnsi="Palatino Linotype"/>
                <w:b/>
                <w:sz w:val="24"/>
                <w:szCs w:val="24"/>
              </w:rPr>
              <w:t>Project Technology Type</w:t>
            </w:r>
          </w:p>
        </w:tc>
        <w:tc>
          <w:tcPr>
            <w:tcW w:w="978" w:type="pct"/>
            <w:vAlign w:val="bottom"/>
          </w:tcPr>
          <w:p w:rsidRPr="00520E97" w:rsidR="00931F41" w:rsidP="008E334E" w:rsidRDefault="0092057C" w14:paraId="4D7BC2EF" w14:textId="71E0629D">
            <w:pPr>
              <w:keepLines/>
              <w:jc w:val="center"/>
              <w:rPr>
                <w:rFonts w:ascii="Palatino Linotype" w:hAnsi="Palatino Linotype"/>
                <w:b/>
                <w:sz w:val="24"/>
                <w:szCs w:val="24"/>
              </w:rPr>
            </w:pPr>
            <w:r w:rsidRPr="00520E97">
              <w:rPr>
                <w:rFonts w:ascii="Palatino Linotype" w:hAnsi="Palatino Linotype"/>
                <w:b/>
                <w:sz w:val="24"/>
                <w:szCs w:val="24"/>
              </w:rPr>
              <w:t xml:space="preserve">Total </w:t>
            </w:r>
            <w:r w:rsidRPr="00520E97" w:rsidR="00F14CE5">
              <w:rPr>
                <w:rFonts w:ascii="Palatino Linotype" w:hAnsi="Palatino Linotype"/>
                <w:b/>
                <w:sz w:val="24"/>
                <w:szCs w:val="24"/>
              </w:rPr>
              <w:t>Annual Quantity</w:t>
            </w:r>
          </w:p>
        </w:tc>
        <w:tc>
          <w:tcPr>
            <w:tcW w:w="1077" w:type="pct"/>
            <w:vAlign w:val="bottom"/>
          </w:tcPr>
          <w:p w:rsidRPr="00520E97" w:rsidR="00931F41" w:rsidP="008E334E" w:rsidRDefault="00931F41" w14:paraId="1FF22DE2" w14:textId="7B909E8A">
            <w:pPr>
              <w:keepLines/>
              <w:jc w:val="center"/>
              <w:rPr>
                <w:rFonts w:ascii="Palatino Linotype" w:hAnsi="Palatino Linotype"/>
                <w:b/>
                <w:sz w:val="24"/>
                <w:szCs w:val="24"/>
              </w:rPr>
            </w:pPr>
            <w:r w:rsidRPr="00520E97">
              <w:rPr>
                <w:rFonts w:ascii="Palatino Linotype" w:hAnsi="Palatino Linotype"/>
                <w:b/>
                <w:sz w:val="24"/>
                <w:szCs w:val="24"/>
              </w:rPr>
              <w:t>Contract</w:t>
            </w:r>
            <w:r w:rsidRPr="00520E97" w:rsidR="00894C35">
              <w:rPr>
                <w:rFonts w:ascii="Palatino Linotype" w:hAnsi="Palatino Linotype"/>
                <w:b/>
                <w:sz w:val="24"/>
                <w:szCs w:val="24"/>
              </w:rPr>
              <w:t xml:space="preserve"> </w:t>
            </w:r>
            <w:r w:rsidRPr="00520E97">
              <w:rPr>
                <w:rFonts w:ascii="Palatino Linotype" w:hAnsi="Palatino Linotype"/>
                <w:b/>
                <w:sz w:val="24"/>
                <w:szCs w:val="24"/>
              </w:rPr>
              <w:t>Delivery</w:t>
            </w:r>
          </w:p>
          <w:p w:rsidRPr="00520E97" w:rsidR="00931F41" w:rsidP="003B50A1" w:rsidRDefault="00931F41" w14:paraId="58AFB8E7" w14:textId="4B869B96">
            <w:pPr>
              <w:keepLines/>
              <w:jc w:val="center"/>
              <w:rPr>
                <w:rFonts w:ascii="Palatino Linotype" w:hAnsi="Palatino Linotype"/>
                <w:b/>
                <w:sz w:val="24"/>
                <w:szCs w:val="24"/>
              </w:rPr>
            </w:pPr>
            <w:r w:rsidRPr="00520E97">
              <w:rPr>
                <w:rFonts w:ascii="Palatino Linotype" w:hAnsi="Palatino Linotype"/>
                <w:b/>
                <w:sz w:val="24"/>
                <w:szCs w:val="24"/>
              </w:rPr>
              <w:t>Start</w:t>
            </w:r>
            <w:r w:rsidRPr="00520E97" w:rsidR="003B50A1">
              <w:rPr>
                <w:rFonts w:ascii="Palatino Linotype" w:hAnsi="Palatino Linotype"/>
                <w:b/>
                <w:sz w:val="24"/>
                <w:szCs w:val="24"/>
              </w:rPr>
              <w:t xml:space="preserve"> </w:t>
            </w:r>
            <w:r w:rsidRPr="00520E97">
              <w:rPr>
                <w:rFonts w:ascii="Palatino Linotype" w:hAnsi="Palatino Linotype"/>
                <w:b/>
                <w:sz w:val="24"/>
                <w:szCs w:val="24"/>
              </w:rPr>
              <w:t>Date</w:t>
            </w:r>
          </w:p>
        </w:tc>
        <w:tc>
          <w:tcPr>
            <w:tcW w:w="943" w:type="pct"/>
          </w:tcPr>
          <w:p w:rsidRPr="00520E97" w:rsidR="00931F41" w:rsidP="00894C35" w:rsidRDefault="00931F41" w14:paraId="68554BDC" w14:textId="77777777">
            <w:pPr>
              <w:keepLines/>
              <w:jc w:val="center"/>
              <w:rPr>
                <w:rFonts w:ascii="Palatino Linotype" w:hAnsi="Palatino Linotype"/>
                <w:b/>
                <w:sz w:val="24"/>
                <w:szCs w:val="24"/>
              </w:rPr>
            </w:pPr>
            <w:r w:rsidRPr="00520E97">
              <w:rPr>
                <w:rFonts w:ascii="Palatino Linotype" w:hAnsi="Palatino Linotype"/>
                <w:b/>
                <w:sz w:val="24"/>
                <w:szCs w:val="24"/>
              </w:rPr>
              <w:t>Project Location</w:t>
            </w:r>
          </w:p>
        </w:tc>
      </w:tr>
      <w:tr w:rsidRPr="00520E97" w:rsidR="00894C35" w:rsidTr="00894C35" w14:paraId="705D7651" w14:textId="77777777">
        <w:trPr>
          <w:trHeight w:val="710"/>
          <w:jc w:val="center"/>
        </w:trPr>
        <w:tc>
          <w:tcPr>
            <w:tcW w:w="1024" w:type="pct"/>
            <w:vAlign w:val="center"/>
          </w:tcPr>
          <w:p w:rsidRPr="00520E97" w:rsidR="00931F41" w:rsidP="008E334E" w:rsidRDefault="00931F41" w14:paraId="2222E3E2" w14:textId="3ACAAF7E">
            <w:pPr>
              <w:jc w:val="center"/>
              <w:rPr>
                <w:rFonts w:ascii="Palatino Linotype" w:hAnsi="Palatino Linotype"/>
                <w:sz w:val="24"/>
                <w:szCs w:val="24"/>
              </w:rPr>
            </w:pPr>
            <w:r w:rsidRPr="00520E97">
              <w:rPr>
                <w:rFonts w:ascii="Palatino Linotype" w:hAnsi="Palatino Linotype"/>
                <w:sz w:val="24"/>
                <w:szCs w:val="24"/>
              </w:rPr>
              <w:t>Various, existing</w:t>
            </w:r>
          </w:p>
        </w:tc>
        <w:tc>
          <w:tcPr>
            <w:tcW w:w="978" w:type="pct"/>
            <w:vAlign w:val="center"/>
          </w:tcPr>
          <w:p w:rsidRPr="00520E97" w:rsidR="00931F41" w:rsidP="008E334E" w:rsidRDefault="00931F41" w14:paraId="2F8D0FD9" w14:textId="6A66E9B2">
            <w:pPr>
              <w:jc w:val="center"/>
              <w:rPr>
                <w:rFonts w:ascii="Palatino Linotype" w:hAnsi="Palatino Linotype"/>
                <w:sz w:val="24"/>
                <w:szCs w:val="24"/>
              </w:rPr>
            </w:pPr>
            <w:r w:rsidRPr="00520E97">
              <w:rPr>
                <w:rFonts w:ascii="Palatino Linotype" w:hAnsi="Palatino Linotype"/>
                <w:sz w:val="24"/>
                <w:szCs w:val="24"/>
              </w:rPr>
              <w:t>Various</w:t>
            </w:r>
            <w:r w:rsidRPr="00520E97" w:rsidR="009C0BCE">
              <w:rPr>
                <w:rFonts w:ascii="Palatino Linotype" w:hAnsi="Palatino Linotype"/>
                <w:sz w:val="24"/>
                <w:szCs w:val="24"/>
              </w:rPr>
              <w:t xml:space="preserve"> ERR</w:t>
            </w:r>
            <w:r w:rsidRPr="00520E97" w:rsidR="003B50A1">
              <w:rPr>
                <w:rFonts w:ascii="Palatino Linotype" w:hAnsi="Palatino Linotype"/>
                <w:sz w:val="24"/>
                <w:szCs w:val="24"/>
              </w:rPr>
              <w:t>s</w:t>
            </w:r>
          </w:p>
        </w:tc>
        <w:tc>
          <w:tcPr>
            <w:tcW w:w="978" w:type="pct"/>
            <w:vAlign w:val="center"/>
          </w:tcPr>
          <w:p w:rsidRPr="00520E97" w:rsidR="000C00DA" w:rsidP="008E334E" w:rsidRDefault="000C00DA" w14:paraId="1A78CECA" w14:textId="77777777">
            <w:pPr>
              <w:jc w:val="center"/>
              <w:rPr>
                <w:rFonts w:ascii="Palatino Linotype" w:hAnsi="Palatino Linotype"/>
                <w:sz w:val="24"/>
                <w:szCs w:val="24"/>
              </w:rPr>
            </w:pPr>
          </w:p>
          <w:p w:rsidRPr="00520E97" w:rsidR="00931F41" w:rsidP="008E334E" w:rsidRDefault="00F14CE5" w14:paraId="08B43B21" w14:textId="7EAC203E">
            <w:pPr>
              <w:jc w:val="center"/>
              <w:rPr>
                <w:rFonts w:ascii="Palatino Linotype" w:hAnsi="Palatino Linotype"/>
                <w:sz w:val="24"/>
                <w:szCs w:val="24"/>
              </w:rPr>
            </w:pPr>
            <w:r w:rsidRPr="00520E97">
              <w:rPr>
                <w:rFonts w:ascii="Palatino Linotype" w:hAnsi="Palatino Linotype"/>
                <w:sz w:val="24"/>
                <w:szCs w:val="24"/>
              </w:rPr>
              <w:t>52,560 MWh</w:t>
            </w:r>
            <w:r w:rsidRPr="00520E97">
              <w:rPr>
                <w:rStyle w:val="FootnoteReference"/>
                <w:rFonts w:ascii="Palatino Linotype" w:hAnsi="Palatino Linotype"/>
                <w:sz w:val="24"/>
                <w:szCs w:val="24"/>
              </w:rPr>
              <w:footnoteReference w:id="3"/>
            </w:r>
          </w:p>
          <w:p w:rsidRPr="00520E97" w:rsidR="000C00DA" w:rsidP="008E334E" w:rsidRDefault="000C00DA" w14:paraId="51A5BAE4" w14:textId="755D61AB">
            <w:pPr>
              <w:jc w:val="center"/>
              <w:rPr>
                <w:rFonts w:ascii="Palatino Linotype" w:hAnsi="Palatino Linotype"/>
                <w:sz w:val="24"/>
                <w:szCs w:val="24"/>
              </w:rPr>
            </w:pPr>
          </w:p>
        </w:tc>
        <w:tc>
          <w:tcPr>
            <w:tcW w:w="1077" w:type="pct"/>
            <w:vAlign w:val="center"/>
          </w:tcPr>
          <w:p w:rsidRPr="00520E97" w:rsidR="00931F41" w:rsidP="008E334E" w:rsidRDefault="009A7153" w14:paraId="5DFFAC78" w14:textId="50C77F1D">
            <w:pPr>
              <w:jc w:val="center"/>
              <w:rPr>
                <w:rFonts w:ascii="Palatino Linotype" w:hAnsi="Palatino Linotype"/>
                <w:sz w:val="24"/>
                <w:szCs w:val="24"/>
              </w:rPr>
            </w:pPr>
            <w:r w:rsidRPr="00520E97">
              <w:rPr>
                <w:rFonts w:ascii="Palatino Linotype" w:hAnsi="Palatino Linotype"/>
                <w:sz w:val="24"/>
                <w:szCs w:val="24"/>
              </w:rPr>
              <w:t>November 1, 2024</w:t>
            </w:r>
          </w:p>
        </w:tc>
        <w:tc>
          <w:tcPr>
            <w:tcW w:w="943" w:type="pct"/>
            <w:vAlign w:val="center"/>
          </w:tcPr>
          <w:p w:rsidRPr="00520E97" w:rsidR="00931F41" w:rsidP="008E334E" w:rsidRDefault="0088230F" w14:paraId="34886A29" w14:textId="76B6012D">
            <w:pPr>
              <w:jc w:val="center"/>
              <w:rPr>
                <w:rFonts w:ascii="Palatino Linotype" w:hAnsi="Palatino Linotype"/>
                <w:sz w:val="24"/>
                <w:szCs w:val="24"/>
              </w:rPr>
            </w:pPr>
            <w:r w:rsidRPr="00520E97">
              <w:rPr>
                <w:rFonts w:ascii="Palatino Linotype" w:hAnsi="Palatino Linotype"/>
                <w:sz w:val="24"/>
                <w:szCs w:val="24"/>
              </w:rPr>
              <w:t>Various</w:t>
            </w:r>
          </w:p>
        </w:tc>
      </w:tr>
    </w:tbl>
    <w:p w:rsidRPr="00520E97" w:rsidR="00931F41" w:rsidP="008E334E" w:rsidRDefault="00931F41" w14:paraId="15562C2C" w14:textId="77777777">
      <w:pPr>
        <w:rPr>
          <w:rFonts w:ascii="Palatino Linotype" w:hAnsi="Palatino Linotype"/>
          <w:sz w:val="24"/>
          <w:szCs w:val="24"/>
        </w:rPr>
      </w:pPr>
    </w:p>
    <w:p w:rsidRPr="00520E97" w:rsidR="0043550E" w:rsidP="008E334E" w:rsidRDefault="00CA391E" w14:paraId="1206A953" w14:textId="1309857E">
      <w:pPr>
        <w:rPr>
          <w:rFonts w:ascii="Palatino Linotype" w:hAnsi="Palatino Linotype"/>
          <w:sz w:val="24"/>
          <w:szCs w:val="24"/>
        </w:rPr>
      </w:pPr>
      <w:r w:rsidRPr="00520E97">
        <w:rPr>
          <w:rFonts w:ascii="Palatino Linotype" w:hAnsi="Palatino Linotype"/>
          <w:sz w:val="24"/>
          <w:szCs w:val="24"/>
        </w:rPr>
        <w:t xml:space="preserve">In AL 470-E, </w:t>
      </w:r>
      <w:r w:rsidRPr="00520E97" w:rsidR="0041525E">
        <w:rPr>
          <w:rFonts w:ascii="Palatino Linotype" w:hAnsi="Palatino Linotype"/>
          <w:sz w:val="24"/>
          <w:szCs w:val="24"/>
        </w:rPr>
        <w:t>BVES requests that the Commission issue a resolution that:</w:t>
      </w:r>
    </w:p>
    <w:p w:rsidRPr="00520E97" w:rsidR="002E56E5" w:rsidP="008E334E" w:rsidRDefault="0041525E" w14:paraId="1A4279CB" w14:textId="3F71997F">
      <w:pPr>
        <w:pStyle w:val="ListParagraph"/>
        <w:numPr>
          <w:ilvl w:val="0"/>
          <w:numId w:val="16"/>
        </w:numPr>
        <w:rPr>
          <w:rFonts w:ascii="Palatino Linotype" w:hAnsi="Palatino Linotype"/>
          <w:sz w:val="24"/>
          <w:szCs w:val="24"/>
        </w:rPr>
      </w:pPr>
      <w:r w:rsidRPr="00520E97">
        <w:rPr>
          <w:rFonts w:ascii="Palatino Linotype" w:hAnsi="Palatino Linotype"/>
          <w:sz w:val="24"/>
          <w:szCs w:val="24"/>
        </w:rPr>
        <w:t xml:space="preserve">Approves </w:t>
      </w:r>
      <w:r w:rsidRPr="00520E97" w:rsidR="00CB1288">
        <w:rPr>
          <w:rFonts w:ascii="Palatino Linotype" w:hAnsi="Palatino Linotype"/>
          <w:sz w:val="24"/>
          <w:szCs w:val="24"/>
        </w:rPr>
        <w:t>the Master Agreement, as modified by a Cover Sheet and a Collateral Annex Credit Elections Cover Sheet, and Transaction Confirmation in their entirety</w:t>
      </w:r>
      <w:r w:rsidRPr="00520E97" w:rsidR="001460EC">
        <w:rPr>
          <w:rFonts w:ascii="Palatino Linotype" w:hAnsi="Palatino Linotype"/>
          <w:sz w:val="24"/>
          <w:szCs w:val="24"/>
        </w:rPr>
        <w:t>, including payments to be made to Bear Valley pursuant to the Transaction Confirmation, subject to the Commission’s review of Bear Valley’s administration of the Master Agreement and Transaction Confirmation.</w:t>
      </w:r>
    </w:p>
    <w:p w:rsidRPr="00520E97" w:rsidR="0041525E" w:rsidP="008E334E" w:rsidRDefault="001460EC" w14:paraId="1249D7C8" w14:textId="497E5EB0">
      <w:pPr>
        <w:pStyle w:val="ListParagraph"/>
        <w:numPr>
          <w:ilvl w:val="0"/>
          <w:numId w:val="16"/>
        </w:numPr>
        <w:rPr>
          <w:rFonts w:ascii="Palatino Linotype" w:hAnsi="Palatino Linotype"/>
          <w:sz w:val="24"/>
          <w:szCs w:val="24"/>
        </w:rPr>
      </w:pPr>
      <w:r w:rsidRPr="00520E97">
        <w:rPr>
          <w:rFonts w:ascii="Palatino Linotype" w:hAnsi="Palatino Linotype"/>
          <w:sz w:val="24"/>
          <w:szCs w:val="24"/>
        </w:rPr>
        <w:t xml:space="preserve">Finds </w:t>
      </w:r>
      <w:r w:rsidRPr="00520E97" w:rsidR="003A3A5B">
        <w:rPr>
          <w:rFonts w:ascii="Palatino Linotype" w:hAnsi="Palatino Linotype"/>
          <w:sz w:val="24"/>
          <w:szCs w:val="24"/>
        </w:rPr>
        <w:t xml:space="preserve">that any procurement pursuant to the Transaction Confirmation is procurement from an eligible renewable energy resource for purposes of determining Bear Valley’s compliance with RPS </w:t>
      </w:r>
      <w:r w:rsidRPr="00520E97" w:rsidR="00B527F9">
        <w:rPr>
          <w:rFonts w:ascii="Palatino Linotype" w:hAnsi="Palatino Linotype"/>
          <w:sz w:val="24"/>
          <w:szCs w:val="24"/>
        </w:rPr>
        <w:t xml:space="preserve">decisions and applicable laws. </w:t>
      </w:r>
    </w:p>
    <w:p w:rsidRPr="00520E97" w:rsidR="00B527F9" w:rsidP="008E334E" w:rsidRDefault="00B527F9" w14:paraId="6B30B5F7" w14:textId="5783B765">
      <w:pPr>
        <w:pStyle w:val="ListParagraph"/>
        <w:numPr>
          <w:ilvl w:val="0"/>
          <w:numId w:val="16"/>
        </w:numPr>
        <w:rPr>
          <w:rFonts w:ascii="Palatino Linotype" w:hAnsi="Palatino Linotype"/>
          <w:sz w:val="24"/>
          <w:szCs w:val="24"/>
        </w:rPr>
      </w:pPr>
      <w:r w:rsidRPr="00520E97">
        <w:rPr>
          <w:rFonts w:ascii="Palatino Linotype" w:hAnsi="Palatino Linotype"/>
          <w:sz w:val="24"/>
          <w:szCs w:val="24"/>
        </w:rPr>
        <w:t xml:space="preserve">Finds that all procurement and administrative costs </w:t>
      </w:r>
      <w:r w:rsidRPr="00520E97" w:rsidR="00505EE7">
        <w:rPr>
          <w:rFonts w:ascii="Palatino Linotype" w:hAnsi="Palatino Linotype"/>
          <w:sz w:val="24"/>
          <w:szCs w:val="24"/>
        </w:rPr>
        <w:t>(</w:t>
      </w:r>
      <w:r w:rsidRPr="00520E97">
        <w:rPr>
          <w:rFonts w:ascii="Palatino Linotype" w:hAnsi="Palatino Linotype"/>
          <w:sz w:val="24"/>
          <w:szCs w:val="24"/>
        </w:rPr>
        <w:t xml:space="preserve">as provided by </w:t>
      </w:r>
      <w:r w:rsidRPr="00520E97" w:rsidR="008D5027">
        <w:rPr>
          <w:rFonts w:ascii="Palatino Linotype" w:hAnsi="Palatino Linotype"/>
          <w:sz w:val="24"/>
          <w:szCs w:val="24"/>
        </w:rPr>
        <w:t xml:space="preserve">Public Utilities Code Section </w:t>
      </w:r>
      <w:r w:rsidRPr="00520E97" w:rsidR="00575FBF">
        <w:rPr>
          <w:rFonts w:ascii="Palatino Linotype" w:hAnsi="Palatino Linotype"/>
          <w:sz w:val="24"/>
          <w:szCs w:val="24"/>
        </w:rPr>
        <w:t xml:space="preserve">§ </w:t>
      </w:r>
      <w:r w:rsidRPr="00520E97" w:rsidR="008D5027">
        <w:rPr>
          <w:rFonts w:ascii="Palatino Linotype" w:hAnsi="Palatino Linotype"/>
          <w:sz w:val="24"/>
          <w:szCs w:val="24"/>
        </w:rPr>
        <w:t>399.13(g)</w:t>
      </w:r>
      <w:r w:rsidRPr="00520E97" w:rsidR="00505EE7">
        <w:rPr>
          <w:rFonts w:ascii="Palatino Linotype" w:hAnsi="Palatino Linotype"/>
          <w:sz w:val="24"/>
          <w:szCs w:val="24"/>
        </w:rPr>
        <w:t>)</w:t>
      </w:r>
      <w:r w:rsidRPr="00520E97" w:rsidR="008D5027">
        <w:rPr>
          <w:rFonts w:ascii="Palatino Linotype" w:hAnsi="Palatino Linotype"/>
          <w:sz w:val="24"/>
          <w:szCs w:val="24"/>
        </w:rPr>
        <w:t xml:space="preserve"> associated with the Shell Agreement shall be recovered in rates.</w:t>
      </w:r>
    </w:p>
    <w:p w:rsidRPr="00520E97" w:rsidR="002D7C0E" w:rsidP="00054D1F" w:rsidRDefault="002D7C0E" w14:paraId="6681D6B5" w14:textId="4F3BBAC5">
      <w:pPr>
        <w:pStyle w:val="ListParagraph"/>
        <w:keepNext/>
        <w:keepLines/>
        <w:numPr>
          <w:ilvl w:val="0"/>
          <w:numId w:val="16"/>
        </w:numPr>
        <w:rPr>
          <w:rFonts w:ascii="Palatino Linotype" w:hAnsi="Palatino Linotype"/>
          <w:sz w:val="24"/>
          <w:szCs w:val="24"/>
        </w:rPr>
      </w:pPr>
      <w:r w:rsidRPr="00520E97">
        <w:rPr>
          <w:rFonts w:ascii="Palatino Linotype" w:hAnsi="Palatino Linotype"/>
          <w:sz w:val="24"/>
          <w:szCs w:val="24"/>
        </w:rPr>
        <w:lastRenderedPageBreak/>
        <w:t>Adopts the following facts and conclusions of law in support of the Commission's approval:</w:t>
      </w:r>
    </w:p>
    <w:p w:rsidRPr="00520E97" w:rsidR="002D7C0E" w:rsidP="00054D1F" w:rsidRDefault="002D7C0E" w14:paraId="6CD262BF" w14:textId="132E2AB0">
      <w:pPr>
        <w:pStyle w:val="ListParagraph"/>
        <w:keepNext/>
        <w:keepLines/>
        <w:numPr>
          <w:ilvl w:val="1"/>
          <w:numId w:val="16"/>
        </w:numPr>
        <w:rPr>
          <w:rFonts w:ascii="Palatino Linotype" w:hAnsi="Palatino Linotype"/>
          <w:sz w:val="24"/>
          <w:szCs w:val="24"/>
        </w:rPr>
      </w:pPr>
      <w:r w:rsidRPr="00520E97">
        <w:rPr>
          <w:rFonts w:ascii="Palatino Linotype" w:hAnsi="Palatino Linotype"/>
          <w:sz w:val="24"/>
          <w:szCs w:val="24"/>
        </w:rPr>
        <w:t>The Transaction Confirmation is consistent with Bear Valley's RPS Procurement Plan.</w:t>
      </w:r>
    </w:p>
    <w:p w:rsidRPr="00520E97" w:rsidR="002D7C0E" w:rsidP="008E334E" w:rsidRDefault="002D7C0E" w14:paraId="5E2319AB" w14:textId="00D11443">
      <w:pPr>
        <w:pStyle w:val="ListParagraph"/>
        <w:numPr>
          <w:ilvl w:val="1"/>
          <w:numId w:val="16"/>
        </w:numPr>
        <w:rPr>
          <w:rFonts w:ascii="Palatino Linotype" w:hAnsi="Palatino Linotype"/>
          <w:sz w:val="24"/>
          <w:szCs w:val="24"/>
        </w:rPr>
      </w:pPr>
      <w:r w:rsidRPr="00520E97">
        <w:rPr>
          <w:rFonts w:ascii="Palatino Linotype" w:hAnsi="Palatino Linotype"/>
          <w:sz w:val="24"/>
          <w:szCs w:val="24"/>
        </w:rPr>
        <w:t>The Transaction Confirmation is consistent with Bear Valley's 2020 IRP.</w:t>
      </w:r>
    </w:p>
    <w:p w:rsidRPr="00520E97" w:rsidR="002D7C0E" w:rsidP="008E334E" w:rsidRDefault="002D7C0E" w14:paraId="2A80E9E2" w14:textId="1DEC693A">
      <w:pPr>
        <w:pStyle w:val="ListParagraph"/>
        <w:numPr>
          <w:ilvl w:val="1"/>
          <w:numId w:val="16"/>
        </w:numPr>
        <w:rPr>
          <w:rFonts w:ascii="Palatino Linotype" w:hAnsi="Palatino Linotype"/>
          <w:sz w:val="24"/>
          <w:szCs w:val="24"/>
        </w:rPr>
      </w:pPr>
      <w:r w:rsidRPr="00520E97">
        <w:rPr>
          <w:rFonts w:ascii="Palatino Linotype" w:hAnsi="Palatino Linotype"/>
          <w:sz w:val="24"/>
          <w:szCs w:val="24"/>
        </w:rPr>
        <w:t>The terms of the Master Agreement and the Transaction Confirmation,</w:t>
      </w:r>
      <w:r w:rsidRPr="00520E97" w:rsidR="008F1454">
        <w:rPr>
          <w:rFonts w:ascii="Palatino Linotype" w:hAnsi="Palatino Linotype"/>
          <w:sz w:val="24"/>
          <w:szCs w:val="24"/>
        </w:rPr>
        <w:t xml:space="preserve"> </w:t>
      </w:r>
      <w:r w:rsidRPr="00520E97">
        <w:rPr>
          <w:rFonts w:ascii="Palatino Linotype" w:hAnsi="Palatino Linotype"/>
          <w:sz w:val="24"/>
          <w:szCs w:val="24"/>
        </w:rPr>
        <w:t>including the price, are reasonable.</w:t>
      </w:r>
    </w:p>
    <w:p w:rsidRPr="00520E97" w:rsidR="002D7C0E" w:rsidP="008E334E" w:rsidRDefault="002D7C0E" w14:paraId="335FD91A" w14:textId="33C0117D">
      <w:pPr>
        <w:pStyle w:val="ListParagraph"/>
        <w:numPr>
          <w:ilvl w:val="1"/>
          <w:numId w:val="16"/>
        </w:numPr>
        <w:rPr>
          <w:rFonts w:ascii="Palatino Linotype" w:hAnsi="Palatino Linotype"/>
          <w:sz w:val="24"/>
          <w:szCs w:val="24"/>
        </w:rPr>
      </w:pPr>
      <w:r w:rsidRPr="00520E97">
        <w:rPr>
          <w:rFonts w:ascii="Palatino Linotype" w:hAnsi="Palatino Linotype"/>
          <w:sz w:val="24"/>
          <w:szCs w:val="24"/>
        </w:rPr>
        <w:t>The deliveries under the Transaction Confirmation shall be categorized as</w:t>
      </w:r>
      <w:r w:rsidRPr="00520E97" w:rsidR="008F1454">
        <w:rPr>
          <w:rFonts w:ascii="Palatino Linotype" w:hAnsi="Palatino Linotype"/>
          <w:sz w:val="24"/>
          <w:szCs w:val="24"/>
        </w:rPr>
        <w:t xml:space="preserve"> </w:t>
      </w:r>
      <w:r w:rsidRPr="00520E97">
        <w:rPr>
          <w:rFonts w:ascii="Palatino Linotype" w:hAnsi="Palatino Linotype"/>
          <w:sz w:val="24"/>
          <w:szCs w:val="24"/>
        </w:rPr>
        <w:t>PCC1 R</w:t>
      </w:r>
      <w:r w:rsidRPr="00520E97" w:rsidR="008F1454">
        <w:rPr>
          <w:rFonts w:ascii="Palatino Linotype" w:hAnsi="Palatino Linotype"/>
          <w:sz w:val="24"/>
          <w:szCs w:val="24"/>
        </w:rPr>
        <w:t>P</w:t>
      </w:r>
      <w:r w:rsidRPr="00520E97">
        <w:rPr>
          <w:rFonts w:ascii="Palatino Linotype" w:hAnsi="Palatino Linotype"/>
          <w:sz w:val="24"/>
          <w:szCs w:val="24"/>
        </w:rPr>
        <w:t>S procurement under the portfolio content category specified in</w:t>
      </w:r>
      <w:r w:rsidRPr="00520E97" w:rsidR="008F1454">
        <w:rPr>
          <w:rFonts w:ascii="Palatino Linotype" w:hAnsi="Palatino Linotype"/>
          <w:sz w:val="24"/>
          <w:szCs w:val="24"/>
        </w:rPr>
        <w:t xml:space="preserve"> </w:t>
      </w:r>
      <w:r w:rsidRPr="00520E97" w:rsidR="00E80B3C">
        <w:rPr>
          <w:rFonts w:ascii="Palatino Linotype" w:hAnsi="Palatino Linotype"/>
          <w:sz w:val="24"/>
          <w:szCs w:val="24"/>
        </w:rPr>
        <w:t xml:space="preserve">Public Utilities Code Section § </w:t>
      </w:r>
      <w:r w:rsidRPr="00520E97">
        <w:rPr>
          <w:rFonts w:ascii="Palatino Linotype" w:hAnsi="Palatino Linotype"/>
          <w:sz w:val="24"/>
          <w:szCs w:val="24"/>
        </w:rPr>
        <w:t>399.16(b)(1(A), subject to the Commission's after-the-fact</w:t>
      </w:r>
      <w:r w:rsidRPr="00520E97" w:rsidR="008F1454">
        <w:rPr>
          <w:rFonts w:ascii="Palatino Linotype" w:hAnsi="Palatino Linotype"/>
          <w:sz w:val="24"/>
          <w:szCs w:val="24"/>
        </w:rPr>
        <w:t xml:space="preserve"> </w:t>
      </w:r>
      <w:r w:rsidRPr="00520E97">
        <w:rPr>
          <w:rFonts w:ascii="Palatino Linotype" w:hAnsi="Palatino Linotype"/>
          <w:sz w:val="24"/>
          <w:szCs w:val="24"/>
        </w:rPr>
        <w:t>verification that all applicable criteria have been met.</w:t>
      </w:r>
    </w:p>
    <w:p w:rsidRPr="00520E97" w:rsidR="002D7C0E" w:rsidP="008E334E" w:rsidRDefault="002D7C0E" w14:paraId="598E3580" w14:textId="0EDAC9C7">
      <w:pPr>
        <w:pStyle w:val="ListParagraph"/>
        <w:numPr>
          <w:ilvl w:val="1"/>
          <w:numId w:val="16"/>
        </w:numPr>
        <w:rPr>
          <w:rFonts w:ascii="Palatino Linotype" w:hAnsi="Palatino Linotype"/>
          <w:sz w:val="24"/>
          <w:szCs w:val="24"/>
        </w:rPr>
      </w:pPr>
      <w:r w:rsidRPr="00520E97">
        <w:rPr>
          <w:rFonts w:ascii="Palatino Linotype" w:hAnsi="Palatino Linotype"/>
          <w:sz w:val="24"/>
          <w:szCs w:val="24"/>
        </w:rPr>
        <w:t>The Transaction Confirmation is not a long-term financial commitment</w:t>
      </w:r>
      <w:r w:rsidRPr="00520E97" w:rsidR="008F1454">
        <w:rPr>
          <w:rFonts w:ascii="Palatino Linotype" w:hAnsi="Palatino Linotype"/>
          <w:sz w:val="24"/>
          <w:szCs w:val="24"/>
        </w:rPr>
        <w:t xml:space="preserve"> </w:t>
      </w:r>
      <w:r w:rsidRPr="00520E97">
        <w:rPr>
          <w:rFonts w:ascii="Palatino Linotype" w:hAnsi="Palatino Linotype"/>
          <w:sz w:val="24"/>
          <w:szCs w:val="24"/>
        </w:rPr>
        <w:t xml:space="preserve">prohibited by </w:t>
      </w:r>
      <w:r w:rsidRPr="00520E97" w:rsidR="00CB3B3A">
        <w:rPr>
          <w:rFonts w:ascii="Palatino Linotype" w:hAnsi="Palatino Linotype"/>
          <w:sz w:val="24"/>
          <w:szCs w:val="24"/>
        </w:rPr>
        <w:t xml:space="preserve">Public Utilities Code Section § </w:t>
      </w:r>
      <w:r w:rsidRPr="00520E97">
        <w:rPr>
          <w:rFonts w:ascii="Palatino Linotype" w:hAnsi="Palatino Linotype"/>
          <w:sz w:val="24"/>
          <w:szCs w:val="24"/>
        </w:rPr>
        <w:t xml:space="preserve">8340 </w:t>
      </w:r>
      <w:r w:rsidRPr="00520E97">
        <w:rPr>
          <w:rFonts w:ascii="Palatino Linotype" w:hAnsi="Palatino Linotype"/>
          <w:i/>
          <w:iCs/>
          <w:sz w:val="24"/>
          <w:szCs w:val="24"/>
        </w:rPr>
        <w:t>et seg.</w:t>
      </w:r>
      <w:r w:rsidRPr="00520E97">
        <w:rPr>
          <w:rFonts w:ascii="Palatino Linotype" w:hAnsi="Palatino Linotype"/>
          <w:sz w:val="24"/>
          <w:szCs w:val="24"/>
        </w:rPr>
        <w:t xml:space="preserve"> provided that no eligible renewable</w:t>
      </w:r>
      <w:r w:rsidRPr="00520E97" w:rsidR="008F1454">
        <w:rPr>
          <w:rFonts w:ascii="Palatino Linotype" w:hAnsi="Palatino Linotype"/>
          <w:sz w:val="24"/>
          <w:szCs w:val="24"/>
        </w:rPr>
        <w:t xml:space="preserve"> e</w:t>
      </w:r>
      <w:r w:rsidRPr="00520E97">
        <w:rPr>
          <w:rFonts w:ascii="Palatino Linotype" w:hAnsi="Palatino Linotype"/>
          <w:sz w:val="24"/>
          <w:szCs w:val="24"/>
        </w:rPr>
        <w:t>nergy</w:t>
      </w:r>
      <w:r w:rsidRPr="00520E97" w:rsidR="008F1454">
        <w:rPr>
          <w:rFonts w:ascii="Palatino Linotype" w:hAnsi="Palatino Linotype"/>
          <w:sz w:val="24"/>
          <w:szCs w:val="24"/>
        </w:rPr>
        <w:t xml:space="preserve"> </w:t>
      </w:r>
      <w:r w:rsidRPr="00520E97">
        <w:rPr>
          <w:rFonts w:ascii="Palatino Linotype" w:hAnsi="Palatino Linotype"/>
          <w:sz w:val="24"/>
          <w:szCs w:val="24"/>
        </w:rPr>
        <w:t>resource under the Transaction Confirmation is a "baseload</w:t>
      </w:r>
      <w:r w:rsidRPr="00520E97" w:rsidR="008F1454">
        <w:rPr>
          <w:rFonts w:ascii="Palatino Linotype" w:hAnsi="Palatino Linotype"/>
          <w:sz w:val="24"/>
          <w:szCs w:val="24"/>
        </w:rPr>
        <w:t xml:space="preserve"> </w:t>
      </w:r>
      <w:r w:rsidRPr="00520E97">
        <w:rPr>
          <w:rFonts w:ascii="Palatino Linotype" w:hAnsi="Palatino Linotype"/>
          <w:sz w:val="24"/>
          <w:szCs w:val="24"/>
        </w:rPr>
        <w:t xml:space="preserve">generation" as defined in Section 8340(a) or does not </w:t>
      </w:r>
      <w:r w:rsidRPr="00520E97" w:rsidR="00981284">
        <w:rPr>
          <w:rFonts w:ascii="Palatino Linotype" w:hAnsi="Palatino Linotype"/>
          <w:sz w:val="24"/>
          <w:szCs w:val="24"/>
        </w:rPr>
        <w:t>produce or</w:t>
      </w:r>
      <w:r w:rsidRPr="00520E97">
        <w:rPr>
          <w:rFonts w:ascii="Palatino Linotype" w:hAnsi="Palatino Linotype"/>
          <w:sz w:val="24"/>
          <w:szCs w:val="24"/>
        </w:rPr>
        <w:t xml:space="preserve"> emit GHG</w:t>
      </w:r>
      <w:r w:rsidRPr="00520E97" w:rsidR="00981284">
        <w:rPr>
          <w:rFonts w:ascii="Palatino Linotype" w:hAnsi="Palatino Linotype"/>
          <w:sz w:val="24"/>
          <w:szCs w:val="24"/>
        </w:rPr>
        <w:t xml:space="preserve"> </w:t>
      </w:r>
      <w:r w:rsidRPr="00520E97">
        <w:rPr>
          <w:rFonts w:ascii="Palatino Linotype" w:hAnsi="Palatino Linotype"/>
          <w:sz w:val="24"/>
          <w:szCs w:val="24"/>
        </w:rPr>
        <w:t>emissions that equal or exceed the GHG emission</w:t>
      </w:r>
      <w:r w:rsidRPr="00520E97" w:rsidR="001E4540">
        <w:rPr>
          <w:rFonts w:ascii="Palatino Linotype" w:hAnsi="Palatino Linotype"/>
          <w:sz w:val="24"/>
          <w:szCs w:val="24"/>
        </w:rPr>
        <w:t xml:space="preserve"> </w:t>
      </w:r>
      <w:r w:rsidRPr="00520E97">
        <w:rPr>
          <w:rFonts w:ascii="Palatino Linotype" w:hAnsi="Palatino Linotype"/>
          <w:sz w:val="24"/>
          <w:szCs w:val="24"/>
        </w:rPr>
        <w:t>rate of a combined-cycle</w:t>
      </w:r>
      <w:r w:rsidRPr="00520E97" w:rsidR="00981284">
        <w:rPr>
          <w:rFonts w:ascii="Palatino Linotype" w:hAnsi="Palatino Linotype"/>
          <w:sz w:val="24"/>
          <w:szCs w:val="24"/>
        </w:rPr>
        <w:t xml:space="preserve"> </w:t>
      </w:r>
      <w:r w:rsidRPr="00520E97">
        <w:rPr>
          <w:rFonts w:ascii="Palatino Linotype" w:hAnsi="Palatino Linotype"/>
          <w:sz w:val="24"/>
          <w:szCs w:val="24"/>
        </w:rPr>
        <w:t>gas turbine power plant as determined in D.07-01-039 (i.e., 1,100 lbs/MWh</w:t>
      </w:r>
      <w:r w:rsidRPr="00520E97" w:rsidR="00981284">
        <w:rPr>
          <w:rFonts w:ascii="Palatino Linotype" w:hAnsi="Palatino Linotype"/>
          <w:sz w:val="24"/>
          <w:szCs w:val="24"/>
        </w:rPr>
        <w:t xml:space="preserve"> </w:t>
      </w:r>
      <w:r w:rsidRPr="00520E97">
        <w:rPr>
          <w:rFonts w:ascii="Palatino Linotype" w:hAnsi="Palatino Linotype"/>
          <w:sz w:val="24"/>
          <w:szCs w:val="24"/>
        </w:rPr>
        <w:t>of CO</w:t>
      </w:r>
      <w:r w:rsidRPr="00520E97" w:rsidR="00981284">
        <w:rPr>
          <w:rFonts w:ascii="Palatino Linotype" w:hAnsi="Palatino Linotype"/>
          <w:sz w:val="24"/>
          <w:szCs w:val="24"/>
          <w:vertAlign w:val="subscript"/>
        </w:rPr>
        <w:t>2</w:t>
      </w:r>
      <w:r w:rsidRPr="00520E97">
        <w:rPr>
          <w:rFonts w:ascii="Palatino Linotype" w:hAnsi="Palatino Linotype"/>
          <w:sz w:val="24"/>
          <w:szCs w:val="24"/>
        </w:rPr>
        <w:t>).</w:t>
      </w:r>
    </w:p>
    <w:p w:rsidRPr="00520E97" w:rsidR="00243489" w:rsidP="008E334E" w:rsidRDefault="002D7C0E" w14:paraId="50BFB734" w14:textId="45B8CFCD">
      <w:pPr>
        <w:pStyle w:val="ListParagraph"/>
        <w:numPr>
          <w:ilvl w:val="1"/>
          <w:numId w:val="16"/>
        </w:numPr>
        <w:rPr>
          <w:rFonts w:ascii="Palatino Linotype" w:hAnsi="Palatino Linotype"/>
          <w:sz w:val="24"/>
          <w:szCs w:val="24"/>
        </w:rPr>
      </w:pPr>
      <w:r w:rsidRPr="00520E97">
        <w:rPr>
          <w:rFonts w:ascii="Palatino Linotype" w:hAnsi="Palatino Linotype"/>
          <w:sz w:val="24"/>
          <w:szCs w:val="24"/>
        </w:rPr>
        <w:t>BVES is authorized to establish a memorandum account to track</w:t>
      </w:r>
      <w:r w:rsidRPr="00520E97" w:rsidR="00981284">
        <w:rPr>
          <w:rFonts w:ascii="Palatino Linotype" w:hAnsi="Palatino Linotype"/>
          <w:sz w:val="24"/>
          <w:szCs w:val="24"/>
        </w:rPr>
        <w:t xml:space="preserve"> </w:t>
      </w:r>
      <w:r w:rsidRPr="00520E97">
        <w:rPr>
          <w:rFonts w:ascii="Palatino Linotype" w:hAnsi="Palatino Linotype"/>
          <w:sz w:val="24"/>
          <w:szCs w:val="24"/>
        </w:rPr>
        <w:t>unrealized gains and unrealized losses on the Transaction Confirmation in</w:t>
      </w:r>
      <w:r w:rsidRPr="00520E97" w:rsidR="00981284">
        <w:rPr>
          <w:rFonts w:ascii="Palatino Linotype" w:hAnsi="Palatino Linotype"/>
          <w:sz w:val="24"/>
          <w:szCs w:val="24"/>
        </w:rPr>
        <w:t xml:space="preserve"> </w:t>
      </w:r>
      <w:r w:rsidRPr="00520E97">
        <w:rPr>
          <w:rFonts w:ascii="Palatino Linotype" w:hAnsi="Palatino Linotype"/>
          <w:sz w:val="24"/>
          <w:szCs w:val="24"/>
        </w:rPr>
        <w:t>a new, non-interest bearing memorandum account, the</w:t>
      </w:r>
      <w:r w:rsidRPr="00520E97" w:rsidR="00981284">
        <w:rPr>
          <w:rFonts w:ascii="Palatino Linotype" w:hAnsi="Palatino Linotype"/>
          <w:sz w:val="24"/>
          <w:szCs w:val="24"/>
        </w:rPr>
        <w:t xml:space="preserve"> </w:t>
      </w:r>
      <w:r w:rsidRPr="00520E97">
        <w:rPr>
          <w:rFonts w:ascii="Palatino Linotype" w:hAnsi="Palatino Linotype"/>
          <w:sz w:val="24"/>
          <w:szCs w:val="24"/>
        </w:rPr>
        <w:t>Preliminary</w:t>
      </w:r>
      <w:r w:rsidRPr="00520E97" w:rsidR="00981284">
        <w:rPr>
          <w:rFonts w:ascii="Palatino Linotype" w:hAnsi="Palatino Linotype"/>
          <w:sz w:val="24"/>
          <w:szCs w:val="24"/>
        </w:rPr>
        <w:t xml:space="preserve"> </w:t>
      </w:r>
      <w:r w:rsidRPr="00520E97">
        <w:rPr>
          <w:rFonts w:ascii="Palatino Linotype" w:hAnsi="Palatino Linotype"/>
          <w:sz w:val="24"/>
          <w:szCs w:val="24"/>
        </w:rPr>
        <w:t>Statement form of which is set forth in Appendix E, and BVES is</w:t>
      </w:r>
      <w:r w:rsidRPr="00520E97" w:rsidR="00981284">
        <w:rPr>
          <w:rFonts w:ascii="Palatino Linotype" w:hAnsi="Palatino Linotype"/>
          <w:sz w:val="24"/>
          <w:szCs w:val="24"/>
        </w:rPr>
        <w:t xml:space="preserve"> </w:t>
      </w:r>
      <w:r w:rsidRPr="00520E97">
        <w:rPr>
          <w:rFonts w:ascii="Palatino Linotype" w:hAnsi="Palatino Linotype"/>
          <w:sz w:val="24"/>
          <w:szCs w:val="24"/>
        </w:rPr>
        <w:t>authorized to file such Preliminary Statement form of the memorandum</w:t>
      </w:r>
      <w:r w:rsidRPr="00520E97" w:rsidR="00981284">
        <w:rPr>
          <w:rFonts w:ascii="Palatino Linotype" w:hAnsi="Palatino Linotype"/>
          <w:sz w:val="24"/>
          <w:szCs w:val="24"/>
        </w:rPr>
        <w:t xml:space="preserve"> </w:t>
      </w:r>
      <w:r w:rsidRPr="00520E97">
        <w:rPr>
          <w:rFonts w:ascii="Palatino Linotype" w:hAnsi="Palatino Linotype"/>
          <w:sz w:val="24"/>
          <w:szCs w:val="24"/>
        </w:rPr>
        <w:t>account via a Tier 1 Advice Letter.</w:t>
      </w:r>
    </w:p>
    <w:p w:rsidRPr="00520E97" w:rsidR="00BD56D1" w:rsidP="008E334E" w:rsidRDefault="00BD56D1" w14:paraId="150F1F04" w14:textId="77777777">
      <w:pPr>
        <w:rPr>
          <w:rFonts w:ascii="Palatino Linotype" w:hAnsi="Palatino Linotype"/>
          <w:sz w:val="24"/>
          <w:szCs w:val="24"/>
        </w:rPr>
      </w:pPr>
    </w:p>
    <w:p w:rsidRPr="00520E97" w:rsidR="0091012A" w:rsidP="008E334E" w:rsidRDefault="0091012A" w14:paraId="3287F5DD" w14:textId="77777777">
      <w:pPr>
        <w:rPr>
          <w:rFonts w:ascii="Palatino Linotype" w:hAnsi="Palatino Linotype"/>
          <w:sz w:val="24"/>
          <w:szCs w:val="24"/>
        </w:rPr>
      </w:pPr>
    </w:p>
    <w:p w:rsidRPr="00520E97" w:rsidR="001E4540" w:rsidP="008E334E" w:rsidRDefault="001E4540" w14:paraId="1F5F951C" w14:textId="1A7F2D8A">
      <w:pPr>
        <w:rPr>
          <w:rFonts w:ascii="Palatino Linotype" w:hAnsi="Palatino Linotype"/>
          <w:b/>
          <w:bCs/>
          <w:sz w:val="24"/>
          <w:szCs w:val="24"/>
        </w:rPr>
      </w:pPr>
      <w:r w:rsidRPr="00520E97">
        <w:rPr>
          <w:rFonts w:ascii="Palatino Linotype" w:hAnsi="Palatino Linotype"/>
          <w:b/>
          <w:bCs/>
          <w:sz w:val="24"/>
          <w:szCs w:val="24"/>
        </w:rPr>
        <w:t xml:space="preserve">Energy Division Review of the Proposed </w:t>
      </w:r>
      <w:r w:rsidRPr="00520E97" w:rsidR="00147F55">
        <w:rPr>
          <w:rFonts w:ascii="Palatino Linotype" w:hAnsi="Palatino Linotype"/>
          <w:b/>
          <w:bCs/>
          <w:sz w:val="24"/>
          <w:szCs w:val="24"/>
        </w:rPr>
        <w:t>Agreement</w:t>
      </w:r>
    </w:p>
    <w:p w:rsidRPr="00520E97" w:rsidR="00147F55" w:rsidP="008E334E" w:rsidRDefault="00147F55" w14:paraId="3398105F" w14:textId="77777777">
      <w:pPr>
        <w:rPr>
          <w:rFonts w:ascii="Palatino Linotype" w:hAnsi="Palatino Linotype"/>
          <w:b/>
          <w:bCs/>
          <w:sz w:val="24"/>
          <w:szCs w:val="24"/>
        </w:rPr>
      </w:pPr>
    </w:p>
    <w:p w:rsidRPr="00520E97" w:rsidR="00772041" w:rsidP="008E334E" w:rsidRDefault="00BD2D7C" w14:paraId="1AA723B8" w14:textId="17EB6BBD">
      <w:pPr>
        <w:rPr>
          <w:rFonts w:ascii="Palatino Linotype" w:hAnsi="Palatino Linotype"/>
          <w:sz w:val="24"/>
          <w:szCs w:val="24"/>
        </w:rPr>
      </w:pPr>
      <w:r w:rsidRPr="00520E97">
        <w:rPr>
          <w:rFonts w:ascii="Palatino Linotype" w:hAnsi="Palatino Linotype"/>
          <w:sz w:val="24"/>
          <w:szCs w:val="24"/>
        </w:rPr>
        <w:t>Energy Division evaluated the Power Purchase Agreement for the following criteria:</w:t>
      </w:r>
    </w:p>
    <w:p w:rsidRPr="00520E97" w:rsidR="00BD2D7C" w:rsidP="008E334E" w:rsidRDefault="00BD2D7C" w14:paraId="7A18085E" w14:textId="0FB6BFF9">
      <w:pPr>
        <w:pStyle w:val="ListParagraph"/>
        <w:numPr>
          <w:ilvl w:val="0"/>
          <w:numId w:val="9"/>
        </w:numPr>
        <w:rPr>
          <w:rFonts w:ascii="Palatino Linotype" w:hAnsi="Palatino Linotype"/>
          <w:sz w:val="24"/>
          <w:szCs w:val="24"/>
        </w:rPr>
      </w:pPr>
      <w:r w:rsidRPr="00520E97">
        <w:rPr>
          <w:rFonts w:ascii="Palatino Linotype" w:hAnsi="Palatino Linotype"/>
          <w:sz w:val="24"/>
          <w:szCs w:val="24"/>
        </w:rPr>
        <w:t>Consistency with bilateral contracting guidelines;</w:t>
      </w:r>
    </w:p>
    <w:p w:rsidRPr="00520E97" w:rsidR="00BD2D7C" w:rsidP="008E334E" w:rsidRDefault="007C5BD6" w14:paraId="2A21BDF3" w14:textId="1F616E0F">
      <w:pPr>
        <w:pStyle w:val="ListParagraph"/>
        <w:numPr>
          <w:ilvl w:val="0"/>
          <w:numId w:val="9"/>
        </w:numPr>
        <w:rPr>
          <w:rFonts w:ascii="Palatino Linotype" w:hAnsi="Palatino Linotype"/>
          <w:sz w:val="24"/>
          <w:szCs w:val="24"/>
        </w:rPr>
      </w:pPr>
      <w:r w:rsidRPr="00520E97">
        <w:rPr>
          <w:rFonts w:ascii="Palatino Linotype" w:hAnsi="Palatino Linotype"/>
          <w:sz w:val="24"/>
          <w:szCs w:val="24"/>
        </w:rPr>
        <w:t xml:space="preserve">Consistency with Bear Valley’s </w:t>
      </w:r>
      <w:r w:rsidRPr="00520E97" w:rsidR="00585140">
        <w:rPr>
          <w:rFonts w:ascii="Palatino Linotype" w:hAnsi="Palatino Linotype"/>
          <w:sz w:val="24"/>
          <w:szCs w:val="24"/>
        </w:rPr>
        <w:t>2020 Integrated Resour</w:t>
      </w:r>
      <w:r w:rsidRPr="00520E97" w:rsidR="00142D29">
        <w:rPr>
          <w:rFonts w:ascii="Palatino Linotype" w:hAnsi="Palatino Linotype"/>
          <w:sz w:val="24"/>
          <w:szCs w:val="24"/>
        </w:rPr>
        <w:t xml:space="preserve">ce Plan , </w:t>
      </w:r>
      <w:r w:rsidRPr="00520E97" w:rsidR="00561A7B">
        <w:rPr>
          <w:rFonts w:ascii="Palatino Linotype" w:hAnsi="Palatino Linotype"/>
          <w:sz w:val="24"/>
          <w:szCs w:val="24"/>
        </w:rPr>
        <w:t xml:space="preserve">2021 </w:t>
      </w:r>
      <w:r w:rsidRPr="00520E97" w:rsidR="00142D29">
        <w:rPr>
          <w:rFonts w:ascii="Palatino Linotype" w:hAnsi="Palatino Linotype"/>
          <w:sz w:val="24"/>
          <w:szCs w:val="24"/>
        </w:rPr>
        <w:t xml:space="preserve">RPS </w:t>
      </w:r>
      <w:r w:rsidRPr="00520E97">
        <w:rPr>
          <w:rFonts w:ascii="Palatino Linotype" w:hAnsi="Palatino Linotype"/>
          <w:sz w:val="24"/>
          <w:szCs w:val="24"/>
        </w:rPr>
        <w:t>Procurement Plan</w:t>
      </w:r>
      <w:r w:rsidRPr="00520E97" w:rsidR="00142D29">
        <w:rPr>
          <w:rFonts w:ascii="Palatino Linotype" w:hAnsi="Palatino Linotype"/>
          <w:sz w:val="24"/>
          <w:szCs w:val="24"/>
        </w:rPr>
        <w:t>, and 2022 Integrated Resource Plan</w:t>
      </w:r>
      <w:r w:rsidRPr="00520E97">
        <w:rPr>
          <w:rFonts w:ascii="Palatino Linotype" w:hAnsi="Palatino Linotype"/>
          <w:sz w:val="24"/>
          <w:szCs w:val="24"/>
        </w:rPr>
        <w:t>;</w:t>
      </w:r>
    </w:p>
    <w:p w:rsidRPr="00520E97" w:rsidR="0063492B" w:rsidP="008E334E" w:rsidRDefault="00CB6968" w14:paraId="702942C6" w14:textId="0B2ED10A">
      <w:pPr>
        <w:pStyle w:val="ListParagraph"/>
        <w:numPr>
          <w:ilvl w:val="0"/>
          <w:numId w:val="9"/>
        </w:numPr>
        <w:rPr>
          <w:rFonts w:ascii="Palatino Linotype" w:hAnsi="Palatino Linotype"/>
          <w:sz w:val="24"/>
          <w:szCs w:val="24"/>
        </w:rPr>
      </w:pPr>
      <w:r w:rsidRPr="00520E97">
        <w:rPr>
          <w:rFonts w:ascii="Palatino Linotype" w:hAnsi="Palatino Linotype"/>
          <w:sz w:val="24"/>
          <w:szCs w:val="24"/>
        </w:rPr>
        <w:t xml:space="preserve">Consistency with </w:t>
      </w:r>
      <w:r w:rsidRPr="00520E97" w:rsidR="00EA49AD">
        <w:rPr>
          <w:rFonts w:ascii="Palatino Linotype" w:hAnsi="Palatino Linotype"/>
          <w:sz w:val="24"/>
          <w:szCs w:val="24"/>
        </w:rPr>
        <w:t>portfolio content category requirements</w:t>
      </w:r>
      <w:r w:rsidRPr="00520E97" w:rsidR="00804BA2">
        <w:rPr>
          <w:rFonts w:ascii="Palatino Linotype" w:hAnsi="Palatino Linotype"/>
          <w:sz w:val="24"/>
          <w:szCs w:val="24"/>
        </w:rPr>
        <w:t>;</w:t>
      </w:r>
    </w:p>
    <w:p w:rsidRPr="00520E97" w:rsidR="00804BA2" w:rsidP="008E334E" w:rsidRDefault="00184AC4" w14:paraId="48F70137" w14:textId="520E8497">
      <w:pPr>
        <w:pStyle w:val="ListParagraph"/>
        <w:numPr>
          <w:ilvl w:val="0"/>
          <w:numId w:val="9"/>
        </w:numPr>
        <w:rPr>
          <w:rFonts w:ascii="Palatino Linotype" w:hAnsi="Palatino Linotype"/>
          <w:sz w:val="24"/>
          <w:szCs w:val="24"/>
        </w:rPr>
      </w:pPr>
      <w:r w:rsidRPr="00520E97">
        <w:rPr>
          <w:rFonts w:ascii="Palatino Linotype" w:hAnsi="Palatino Linotype"/>
          <w:sz w:val="24"/>
          <w:szCs w:val="24"/>
        </w:rPr>
        <w:t>Consistency with RPS standard terms and conditions (STCs);</w:t>
      </w:r>
    </w:p>
    <w:p w:rsidRPr="00520E97" w:rsidR="00A703D2" w:rsidP="008E334E" w:rsidRDefault="00A703D2" w14:paraId="27C0F6F7" w14:textId="6E7FA5CF">
      <w:pPr>
        <w:pStyle w:val="ListParagraph"/>
        <w:numPr>
          <w:ilvl w:val="0"/>
          <w:numId w:val="9"/>
        </w:numPr>
        <w:rPr>
          <w:rFonts w:ascii="Palatino Linotype" w:hAnsi="Palatino Linotype"/>
          <w:sz w:val="24"/>
          <w:szCs w:val="24"/>
        </w:rPr>
      </w:pPr>
      <w:r w:rsidRPr="00520E97">
        <w:rPr>
          <w:rFonts w:ascii="Palatino Linotype" w:hAnsi="Palatino Linotype"/>
          <w:sz w:val="24"/>
          <w:szCs w:val="24"/>
        </w:rPr>
        <w:t xml:space="preserve">Consistency with the Commission’s least-cost-best-fit expectations; and </w:t>
      </w:r>
    </w:p>
    <w:p w:rsidRPr="00520E97" w:rsidR="001E4540" w:rsidP="008E334E" w:rsidRDefault="008F5B4B" w14:paraId="53BDB8A9" w14:textId="6343F950">
      <w:pPr>
        <w:pStyle w:val="ListParagraph"/>
        <w:numPr>
          <w:ilvl w:val="0"/>
          <w:numId w:val="9"/>
        </w:numPr>
        <w:rPr>
          <w:rFonts w:ascii="Palatino Linotype" w:hAnsi="Palatino Linotype"/>
          <w:sz w:val="24"/>
          <w:szCs w:val="24"/>
        </w:rPr>
      </w:pPr>
      <w:r w:rsidRPr="00520E97">
        <w:rPr>
          <w:rFonts w:ascii="Palatino Linotype" w:hAnsi="Palatino Linotype"/>
          <w:sz w:val="24"/>
          <w:szCs w:val="24"/>
        </w:rPr>
        <w:t xml:space="preserve">Cost reasonableness </w:t>
      </w:r>
    </w:p>
    <w:p w:rsidRPr="00520E97" w:rsidR="00530A40" w:rsidP="008E334E" w:rsidRDefault="00530A40" w14:paraId="7577A33E" w14:textId="4CBA79AC">
      <w:pPr>
        <w:pStyle w:val="ListParagraph"/>
        <w:numPr>
          <w:ilvl w:val="0"/>
          <w:numId w:val="9"/>
        </w:numPr>
        <w:rPr>
          <w:rFonts w:ascii="Palatino Linotype" w:hAnsi="Palatino Linotype"/>
          <w:sz w:val="24"/>
          <w:szCs w:val="24"/>
        </w:rPr>
      </w:pPr>
      <w:r w:rsidRPr="00520E97">
        <w:rPr>
          <w:rFonts w:ascii="Palatino Linotype" w:hAnsi="Palatino Linotype"/>
          <w:sz w:val="24"/>
          <w:szCs w:val="24"/>
        </w:rPr>
        <w:t>Compliance with the Interim Greenhouse Gas Emissions Performance Standard</w:t>
      </w:r>
    </w:p>
    <w:p w:rsidRPr="00520E97" w:rsidR="00367A2C" w:rsidP="008E334E" w:rsidRDefault="00367A2C" w14:paraId="4EFE54F3" w14:textId="77777777">
      <w:pPr>
        <w:rPr>
          <w:rFonts w:ascii="Palatino Linotype" w:hAnsi="Palatino Linotype"/>
          <w:sz w:val="24"/>
          <w:szCs w:val="24"/>
        </w:rPr>
      </w:pPr>
    </w:p>
    <w:p w:rsidRPr="00520E97" w:rsidR="00367A2C" w:rsidP="007D68A1" w:rsidRDefault="00367A2C" w14:paraId="708B207C" w14:textId="110A7D2A">
      <w:pPr>
        <w:keepNext/>
        <w:keepLines/>
        <w:spacing w:after="240"/>
        <w:rPr>
          <w:rFonts w:ascii="Palatino Linotype" w:hAnsi="Palatino Linotype"/>
          <w:b/>
          <w:bCs/>
          <w:sz w:val="24"/>
          <w:szCs w:val="24"/>
        </w:rPr>
      </w:pPr>
      <w:r w:rsidRPr="00520E97">
        <w:rPr>
          <w:rFonts w:ascii="Palatino Linotype" w:hAnsi="Palatino Linotype"/>
          <w:b/>
          <w:bCs/>
          <w:sz w:val="24"/>
          <w:szCs w:val="24"/>
        </w:rPr>
        <w:lastRenderedPageBreak/>
        <w:t>Consistency with Bilateral Contracting Guidelines</w:t>
      </w:r>
    </w:p>
    <w:p w:rsidRPr="00520E97" w:rsidR="00367A2C" w:rsidP="007D68A1" w:rsidRDefault="00367A2C" w14:paraId="25C40369" w14:textId="28E3E5AF">
      <w:pPr>
        <w:keepNext/>
        <w:keepLines/>
        <w:rPr>
          <w:rFonts w:ascii="Palatino Linotype" w:hAnsi="Palatino Linotype"/>
          <w:sz w:val="24"/>
          <w:szCs w:val="24"/>
        </w:rPr>
      </w:pPr>
      <w:r w:rsidRPr="00520E97">
        <w:rPr>
          <w:rFonts w:ascii="Palatino Linotype" w:hAnsi="Palatino Linotype"/>
          <w:sz w:val="24"/>
          <w:szCs w:val="24"/>
        </w:rPr>
        <w:t xml:space="preserve">In AL 470-E, Bear Valley </w:t>
      </w:r>
      <w:r w:rsidRPr="00520E97" w:rsidR="008C767E">
        <w:rPr>
          <w:rFonts w:ascii="Palatino Linotype" w:hAnsi="Palatino Linotype"/>
          <w:sz w:val="24"/>
          <w:szCs w:val="24"/>
        </w:rPr>
        <w:t>describes the</w:t>
      </w:r>
      <w:r w:rsidRPr="00520E97" w:rsidR="009F3AA0">
        <w:rPr>
          <w:rFonts w:ascii="Palatino Linotype" w:hAnsi="Palatino Linotype"/>
          <w:sz w:val="24"/>
          <w:szCs w:val="24"/>
        </w:rPr>
        <w:t>ir repeated attempts to procure RPS-eligible generation and REC</w:t>
      </w:r>
      <w:r w:rsidRPr="00520E97" w:rsidR="00250242">
        <w:rPr>
          <w:rFonts w:ascii="Palatino Linotype" w:hAnsi="Palatino Linotype"/>
          <w:sz w:val="24"/>
          <w:szCs w:val="24"/>
        </w:rPr>
        <w:t>s</w:t>
      </w:r>
      <w:r w:rsidRPr="00520E97" w:rsidR="000D78A3">
        <w:rPr>
          <w:rFonts w:ascii="Palatino Linotype" w:hAnsi="Palatino Linotype"/>
          <w:sz w:val="24"/>
          <w:szCs w:val="24"/>
        </w:rPr>
        <w:t xml:space="preserve">. Bear Valley states they had </w:t>
      </w:r>
      <w:r w:rsidRPr="00520E97" w:rsidR="004C7664">
        <w:rPr>
          <w:rFonts w:ascii="Palatino Linotype" w:hAnsi="Palatino Linotype"/>
          <w:sz w:val="24"/>
          <w:szCs w:val="24"/>
        </w:rPr>
        <w:t xml:space="preserve">issued two </w:t>
      </w:r>
      <w:r w:rsidRPr="00520E97" w:rsidR="00442E6D">
        <w:rPr>
          <w:rFonts w:ascii="Palatino Linotype" w:hAnsi="Palatino Linotype"/>
          <w:sz w:val="24"/>
          <w:szCs w:val="24"/>
        </w:rPr>
        <w:t>requests for proposals (</w:t>
      </w:r>
      <w:r w:rsidRPr="00520E97" w:rsidR="00BC0444">
        <w:rPr>
          <w:rFonts w:ascii="Palatino Linotype" w:hAnsi="Palatino Linotype"/>
          <w:sz w:val="24"/>
          <w:szCs w:val="24"/>
        </w:rPr>
        <w:t>RFPs</w:t>
      </w:r>
      <w:r w:rsidRPr="00520E97" w:rsidR="00442E6D">
        <w:rPr>
          <w:rFonts w:ascii="Palatino Linotype" w:hAnsi="Palatino Linotype"/>
          <w:sz w:val="24"/>
          <w:szCs w:val="24"/>
        </w:rPr>
        <w:t>)</w:t>
      </w:r>
      <w:r w:rsidRPr="00520E97" w:rsidR="00BC0444">
        <w:rPr>
          <w:rFonts w:ascii="Palatino Linotype" w:hAnsi="Palatino Linotype"/>
          <w:sz w:val="24"/>
          <w:szCs w:val="24"/>
        </w:rPr>
        <w:t xml:space="preserve">: </w:t>
      </w:r>
      <w:r w:rsidRPr="00520E97" w:rsidR="0030100F">
        <w:rPr>
          <w:rFonts w:ascii="Palatino Linotype" w:hAnsi="Palatino Linotype"/>
          <w:sz w:val="24"/>
          <w:szCs w:val="24"/>
        </w:rPr>
        <w:t xml:space="preserve">the first being in pursuit of </w:t>
      </w:r>
      <w:r w:rsidRPr="00520E97" w:rsidR="00250242">
        <w:rPr>
          <w:rFonts w:ascii="Palatino Linotype" w:hAnsi="Palatino Linotype"/>
          <w:sz w:val="24"/>
          <w:szCs w:val="24"/>
        </w:rPr>
        <w:t xml:space="preserve">preferably PCC 1 energy under a four-month contract. </w:t>
      </w:r>
      <w:r w:rsidRPr="00520E97" w:rsidR="009047B0">
        <w:rPr>
          <w:rFonts w:ascii="Palatino Linotype" w:hAnsi="Palatino Linotype"/>
          <w:sz w:val="24"/>
          <w:szCs w:val="24"/>
        </w:rPr>
        <w:t xml:space="preserve">Bear Valley found that </w:t>
      </w:r>
      <w:r w:rsidRPr="00520E97" w:rsidR="00093C72">
        <w:rPr>
          <w:rFonts w:ascii="Palatino Linotype" w:hAnsi="Palatino Linotype"/>
          <w:sz w:val="24"/>
          <w:szCs w:val="24"/>
        </w:rPr>
        <w:t xml:space="preserve">the offers were unsatisfactory and issued a second RFP </w:t>
      </w:r>
      <w:r w:rsidRPr="00520E97" w:rsidR="00401BBD">
        <w:rPr>
          <w:rFonts w:ascii="Palatino Linotype" w:hAnsi="Palatino Linotype"/>
          <w:sz w:val="24"/>
          <w:szCs w:val="24"/>
        </w:rPr>
        <w:t xml:space="preserve">with a broader, more flexible scope. </w:t>
      </w:r>
      <w:r w:rsidRPr="00520E97" w:rsidR="003D1B03">
        <w:rPr>
          <w:rFonts w:ascii="Palatino Linotype" w:hAnsi="Palatino Linotype"/>
          <w:sz w:val="24"/>
          <w:szCs w:val="24"/>
        </w:rPr>
        <w:t>After c</w:t>
      </w:r>
      <w:r w:rsidRPr="00520E97" w:rsidR="00401BBD">
        <w:rPr>
          <w:rFonts w:ascii="Palatino Linotype" w:hAnsi="Palatino Linotype"/>
          <w:sz w:val="24"/>
          <w:szCs w:val="24"/>
        </w:rPr>
        <w:t>ertain offers were pursued by Bear Valley</w:t>
      </w:r>
      <w:r w:rsidRPr="00520E97" w:rsidR="003D1B03">
        <w:rPr>
          <w:rFonts w:ascii="Palatino Linotype" w:hAnsi="Palatino Linotype"/>
          <w:sz w:val="24"/>
          <w:szCs w:val="24"/>
        </w:rPr>
        <w:t xml:space="preserve">, the small utility </w:t>
      </w:r>
      <w:r w:rsidRPr="00520E97" w:rsidR="00555DEE">
        <w:rPr>
          <w:rFonts w:ascii="Palatino Linotype" w:hAnsi="Palatino Linotype"/>
          <w:sz w:val="24"/>
          <w:szCs w:val="24"/>
        </w:rPr>
        <w:t>pursued the proposal from Shell</w:t>
      </w:r>
      <w:r w:rsidRPr="00520E97" w:rsidR="00A6012C">
        <w:rPr>
          <w:rFonts w:ascii="Palatino Linotype" w:hAnsi="Palatino Linotype"/>
          <w:sz w:val="24"/>
          <w:szCs w:val="24"/>
        </w:rPr>
        <w:t xml:space="preserve">. </w:t>
      </w:r>
      <w:r w:rsidRPr="00520E97" w:rsidR="00A064FF">
        <w:rPr>
          <w:rFonts w:ascii="Palatino Linotype" w:hAnsi="Palatino Linotype"/>
          <w:sz w:val="24"/>
          <w:szCs w:val="24"/>
        </w:rPr>
        <w:t xml:space="preserve">The </w:t>
      </w:r>
      <w:r w:rsidRPr="00520E97" w:rsidR="000C5AE1">
        <w:rPr>
          <w:rFonts w:ascii="Palatino Linotype" w:hAnsi="Palatino Linotype"/>
          <w:sz w:val="24"/>
          <w:szCs w:val="24"/>
        </w:rPr>
        <w:t xml:space="preserve">PPA </w:t>
      </w:r>
      <w:r w:rsidRPr="00520E97" w:rsidR="0059162F">
        <w:rPr>
          <w:rFonts w:ascii="Palatino Linotype" w:hAnsi="Palatino Linotype"/>
          <w:sz w:val="24"/>
          <w:szCs w:val="24"/>
        </w:rPr>
        <w:t>considered herein is</w:t>
      </w:r>
      <w:r w:rsidRPr="00520E97" w:rsidR="00C2012B">
        <w:rPr>
          <w:rFonts w:ascii="Palatino Linotype" w:hAnsi="Palatino Linotype"/>
          <w:sz w:val="24"/>
          <w:szCs w:val="24"/>
        </w:rPr>
        <w:t xml:space="preserve"> the result of a</w:t>
      </w:r>
      <w:r w:rsidRPr="00520E97" w:rsidR="000551AD">
        <w:rPr>
          <w:rFonts w:ascii="Palatino Linotype" w:hAnsi="Palatino Linotype"/>
          <w:sz w:val="24"/>
          <w:szCs w:val="24"/>
        </w:rPr>
        <w:t xml:space="preserve">n </w:t>
      </w:r>
      <w:r w:rsidRPr="00520E97" w:rsidR="00C2012B">
        <w:rPr>
          <w:rFonts w:ascii="Palatino Linotype" w:hAnsi="Palatino Linotype"/>
          <w:sz w:val="24"/>
          <w:szCs w:val="24"/>
        </w:rPr>
        <w:t>agreement reached as a result of the negotiations between Bear Valley and Shell described above.</w:t>
      </w:r>
      <w:r w:rsidRPr="00520E97" w:rsidR="00A064FF">
        <w:rPr>
          <w:rFonts w:ascii="Palatino Linotype" w:hAnsi="Palatino Linotype"/>
          <w:sz w:val="24"/>
          <w:szCs w:val="24"/>
        </w:rPr>
        <w:t xml:space="preserve"> </w:t>
      </w:r>
    </w:p>
    <w:p w:rsidRPr="00520E97" w:rsidR="00790D2A" w:rsidP="008E334E" w:rsidRDefault="00790D2A" w14:paraId="4721B7AC" w14:textId="77777777">
      <w:pPr>
        <w:rPr>
          <w:rFonts w:ascii="Palatino Linotype" w:hAnsi="Palatino Linotype"/>
          <w:sz w:val="24"/>
          <w:szCs w:val="24"/>
        </w:rPr>
      </w:pPr>
    </w:p>
    <w:p w:rsidRPr="00520E97" w:rsidR="00B84800" w:rsidP="008E334E" w:rsidRDefault="00665165" w14:paraId="359E451A" w14:textId="21422816">
      <w:pPr>
        <w:rPr>
          <w:rFonts w:ascii="Palatino Linotype" w:hAnsi="Palatino Linotype"/>
          <w:sz w:val="24"/>
          <w:szCs w:val="24"/>
          <w:u w:val="single"/>
        </w:rPr>
      </w:pPr>
      <w:r w:rsidRPr="00520E97">
        <w:rPr>
          <w:rFonts w:ascii="Palatino Linotype" w:hAnsi="Palatino Linotype"/>
          <w:sz w:val="24"/>
          <w:szCs w:val="24"/>
        </w:rPr>
        <w:t>In D.06-10-019, the Commission determined that bilateral contracts were permissible provided that they met several condition</w:t>
      </w:r>
      <w:r w:rsidRPr="00520E97" w:rsidR="00663A64">
        <w:rPr>
          <w:rFonts w:ascii="Palatino Linotype" w:hAnsi="Palatino Linotype"/>
          <w:sz w:val="24"/>
          <w:szCs w:val="24"/>
        </w:rPr>
        <w:t xml:space="preserve">s, including that the contracts are at least one month in duration, submitted for approval by advice letter, and be deemed reasonable. </w:t>
      </w:r>
      <w:r w:rsidRPr="00520E97" w:rsidR="00340821">
        <w:rPr>
          <w:rFonts w:ascii="Palatino Linotype" w:hAnsi="Palatino Linotype"/>
          <w:sz w:val="24"/>
          <w:szCs w:val="24"/>
        </w:rPr>
        <w:t xml:space="preserve">In D.09-06-050, the Commission determined that bilateral </w:t>
      </w:r>
      <w:r w:rsidRPr="00520E97" w:rsidR="002845F3">
        <w:rPr>
          <w:rFonts w:ascii="Palatino Linotype" w:hAnsi="Palatino Linotype"/>
          <w:sz w:val="24"/>
          <w:szCs w:val="24"/>
        </w:rPr>
        <w:t>contracts should be reviewed according to the same processes and standards as contracts that are the result of a competitive solicitation. Accordingly</w:t>
      </w:r>
      <w:r w:rsidRPr="00520E97" w:rsidR="005846F7">
        <w:rPr>
          <w:rFonts w:ascii="Palatino Linotype" w:hAnsi="Palatino Linotype"/>
          <w:sz w:val="24"/>
          <w:szCs w:val="24"/>
        </w:rPr>
        <w:t xml:space="preserve">, as described in this resolution, Energy Division reviewed the Power Purchase Agreement </w:t>
      </w:r>
      <w:r w:rsidRPr="00520E97" w:rsidR="008D62F6">
        <w:rPr>
          <w:rFonts w:ascii="Palatino Linotype" w:hAnsi="Palatino Linotype"/>
          <w:sz w:val="24"/>
          <w:szCs w:val="24"/>
        </w:rPr>
        <w:t>under the same standards used to review contracts resulting from a competitive solicitation.</w:t>
      </w:r>
      <w:r w:rsidRPr="00520E97" w:rsidR="0064109E">
        <w:rPr>
          <w:rFonts w:ascii="Palatino Linotype" w:hAnsi="Palatino Linotype"/>
          <w:sz w:val="24"/>
          <w:szCs w:val="24"/>
        </w:rPr>
        <w:t xml:space="preserve"> Applying the above standards, </w:t>
      </w:r>
      <w:r w:rsidRPr="00520E97" w:rsidR="0064109E">
        <w:rPr>
          <w:rFonts w:ascii="Palatino Linotype" w:hAnsi="Palatino Linotype"/>
          <w:sz w:val="24"/>
          <w:szCs w:val="24"/>
          <w:u w:val="single"/>
        </w:rPr>
        <w:t xml:space="preserve">the </w:t>
      </w:r>
      <w:r w:rsidRPr="00520E97" w:rsidR="00544049">
        <w:rPr>
          <w:rFonts w:ascii="Palatino Linotype" w:hAnsi="Palatino Linotype"/>
          <w:sz w:val="24"/>
          <w:szCs w:val="24"/>
          <w:u w:val="single"/>
        </w:rPr>
        <w:t xml:space="preserve">Shell </w:t>
      </w:r>
      <w:r w:rsidRPr="00520E97" w:rsidR="0064109E">
        <w:rPr>
          <w:rFonts w:ascii="Palatino Linotype" w:hAnsi="Palatino Linotype"/>
          <w:sz w:val="24"/>
          <w:szCs w:val="24"/>
          <w:u w:val="single"/>
        </w:rPr>
        <w:t>Power Purchase Agreement is consistent with the bilateral contracting guidelines established in D.06-10-019 and D.09-06-050.</w:t>
      </w:r>
    </w:p>
    <w:p w:rsidRPr="00520E97" w:rsidR="00C44886" w:rsidP="008E334E" w:rsidRDefault="00C44886" w14:paraId="036B8D40" w14:textId="77777777">
      <w:pPr>
        <w:rPr>
          <w:rFonts w:ascii="Palatino Linotype" w:hAnsi="Palatino Linotype"/>
          <w:sz w:val="24"/>
          <w:szCs w:val="24"/>
          <w:u w:val="single"/>
        </w:rPr>
      </w:pPr>
    </w:p>
    <w:p w:rsidRPr="00520E97" w:rsidR="00413F2A" w:rsidP="008E334E" w:rsidRDefault="00A00738" w14:paraId="0F4C063E" w14:textId="3CE27BCC">
      <w:pPr>
        <w:spacing w:after="240"/>
        <w:rPr>
          <w:rFonts w:ascii="Palatino Linotype" w:hAnsi="Palatino Linotype"/>
          <w:b/>
          <w:bCs/>
          <w:sz w:val="24"/>
          <w:szCs w:val="24"/>
        </w:rPr>
      </w:pPr>
      <w:r w:rsidRPr="00520E97">
        <w:rPr>
          <w:rFonts w:ascii="Palatino Linotype" w:hAnsi="Palatino Linotype"/>
          <w:b/>
          <w:bCs/>
          <w:sz w:val="24"/>
          <w:szCs w:val="24"/>
        </w:rPr>
        <w:t>Consistency with Bear Valley’s RPS Procurement Plan</w:t>
      </w:r>
      <w:r w:rsidRPr="00520E97" w:rsidR="005003D1">
        <w:rPr>
          <w:rFonts w:ascii="Palatino Linotype" w:hAnsi="Palatino Linotype"/>
          <w:b/>
          <w:bCs/>
          <w:sz w:val="24"/>
          <w:szCs w:val="24"/>
        </w:rPr>
        <w:t xml:space="preserve"> and Integrated Resource Plan</w:t>
      </w:r>
      <w:r w:rsidRPr="00520E97" w:rsidR="00A4456A">
        <w:rPr>
          <w:rFonts w:ascii="Palatino Linotype" w:hAnsi="Palatino Linotype"/>
          <w:b/>
          <w:bCs/>
          <w:sz w:val="24"/>
          <w:szCs w:val="24"/>
        </w:rPr>
        <w:t>s</w:t>
      </w:r>
    </w:p>
    <w:p w:rsidRPr="00520E97" w:rsidR="001E4540" w:rsidP="008E334E" w:rsidRDefault="00AB7A28" w14:paraId="3D584A7C" w14:textId="123EB67D">
      <w:pPr>
        <w:rPr>
          <w:rFonts w:ascii="Palatino Linotype" w:hAnsi="Palatino Linotype"/>
          <w:sz w:val="24"/>
          <w:szCs w:val="24"/>
        </w:rPr>
      </w:pPr>
      <w:r w:rsidRPr="00520E97">
        <w:rPr>
          <w:rFonts w:ascii="Palatino Linotype" w:hAnsi="Palatino Linotype"/>
          <w:sz w:val="24"/>
          <w:szCs w:val="24"/>
        </w:rPr>
        <w:t xml:space="preserve">Bear Valley’s 2021 RPS Procurement Plan was </w:t>
      </w:r>
      <w:r w:rsidRPr="00520E97" w:rsidR="00E61211">
        <w:rPr>
          <w:rFonts w:ascii="Palatino Linotype" w:hAnsi="Palatino Linotype"/>
          <w:sz w:val="24"/>
          <w:szCs w:val="24"/>
        </w:rPr>
        <w:t>approved</w:t>
      </w:r>
      <w:r w:rsidRPr="00520E97" w:rsidR="006D5300">
        <w:rPr>
          <w:rFonts w:ascii="Palatino Linotype" w:hAnsi="Palatino Linotype"/>
          <w:sz w:val="24"/>
          <w:szCs w:val="24"/>
        </w:rPr>
        <w:t xml:space="preserve"> by the Commission </w:t>
      </w:r>
      <w:r w:rsidRPr="00520E97" w:rsidR="00AF02C7">
        <w:rPr>
          <w:rFonts w:ascii="Palatino Linotype" w:hAnsi="Palatino Linotype"/>
          <w:sz w:val="24"/>
          <w:szCs w:val="24"/>
        </w:rPr>
        <w:t xml:space="preserve">in </w:t>
      </w:r>
      <w:r w:rsidR="00054D1F">
        <w:rPr>
          <w:rFonts w:ascii="Palatino Linotype" w:hAnsi="Palatino Linotype"/>
          <w:sz w:val="24"/>
          <w:szCs w:val="24"/>
        </w:rPr>
        <w:br/>
      </w:r>
      <w:r w:rsidRPr="00520E97" w:rsidR="00AF02C7">
        <w:rPr>
          <w:rFonts w:ascii="Palatino Linotype" w:hAnsi="Palatino Linotype"/>
          <w:sz w:val="24"/>
          <w:szCs w:val="24"/>
        </w:rPr>
        <w:t xml:space="preserve">D.22-01-004, subject to certain modifications. In compliance of that decision, </w:t>
      </w:r>
      <w:r w:rsidRPr="00520E97" w:rsidR="001A0CA7">
        <w:rPr>
          <w:rFonts w:ascii="Palatino Linotype" w:hAnsi="Palatino Linotype"/>
          <w:sz w:val="24"/>
          <w:szCs w:val="24"/>
        </w:rPr>
        <w:t xml:space="preserve">Bear Valley modified and then filed its Final 2021 RPS Procurement Plan </w:t>
      </w:r>
      <w:r w:rsidRPr="00520E97" w:rsidR="009D512F">
        <w:rPr>
          <w:rFonts w:ascii="Palatino Linotype" w:hAnsi="Palatino Linotype"/>
          <w:sz w:val="24"/>
          <w:szCs w:val="24"/>
        </w:rPr>
        <w:t xml:space="preserve">(“RPS Procurement Plan”) on February 17, 2022. </w:t>
      </w:r>
    </w:p>
    <w:p w:rsidRPr="00520E97" w:rsidR="009D512F" w:rsidP="008E334E" w:rsidRDefault="009D512F" w14:paraId="07A55EA3" w14:textId="77777777">
      <w:pPr>
        <w:rPr>
          <w:rFonts w:ascii="Palatino Linotype" w:hAnsi="Palatino Linotype"/>
          <w:sz w:val="24"/>
          <w:szCs w:val="24"/>
        </w:rPr>
      </w:pPr>
    </w:p>
    <w:p w:rsidRPr="00520E97" w:rsidR="009D512F" w:rsidP="008E334E" w:rsidRDefault="009D512F" w14:paraId="33F9E1F7" w14:textId="78D415AB">
      <w:pPr>
        <w:rPr>
          <w:rFonts w:ascii="Palatino Linotype" w:hAnsi="Palatino Linotype"/>
          <w:sz w:val="24"/>
          <w:szCs w:val="24"/>
          <w:u w:val="single"/>
        </w:rPr>
      </w:pPr>
      <w:r w:rsidRPr="00520E97">
        <w:rPr>
          <w:rFonts w:ascii="Palatino Linotype" w:hAnsi="Palatino Linotype"/>
          <w:sz w:val="24"/>
          <w:szCs w:val="24"/>
        </w:rPr>
        <w:t xml:space="preserve">In its </w:t>
      </w:r>
      <w:r w:rsidRPr="00520E97" w:rsidR="002A6BAB">
        <w:rPr>
          <w:rFonts w:ascii="Palatino Linotype" w:hAnsi="Palatino Linotype"/>
          <w:sz w:val="24"/>
          <w:szCs w:val="24"/>
        </w:rPr>
        <w:t xml:space="preserve">RPS Procurement Plan, Bear Valley indicated that it intended to procure bundled solar energy </w:t>
      </w:r>
      <w:r w:rsidRPr="00520E97" w:rsidR="0024450A">
        <w:rPr>
          <w:rFonts w:ascii="Palatino Linotype" w:hAnsi="Palatino Linotype"/>
          <w:sz w:val="24"/>
          <w:szCs w:val="24"/>
        </w:rPr>
        <w:t xml:space="preserve">through the development of a local solar generation </w:t>
      </w:r>
      <w:r w:rsidRPr="00520E97" w:rsidR="00226790">
        <w:rPr>
          <w:rFonts w:ascii="Palatino Linotype" w:hAnsi="Palatino Linotype"/>
          <w:sz w:val="24"/>
          <w:szCs w:val="24"/>
        </w:rPr>
        <w:t>facility</w:t>
      </w:r>
      <w:r w:rsidRPr="00520E97" w:rsidR="0024450A">
        <w:rPr>
          <w:rFonts w:ascii="Palatino Linotype" w:hAnsi="Palatino Linotype"/>
          <w:sz w:val="24"/>
          <w:szCs w:val="24"/>
        </w:rPr>
        <w:t>,</w:t>
      </w:r>
      <w:r w:rsidRPr="00520E97" w:rsidR="00226790">
        <w:rPr>
          <w:rStyle w:val="FootnoteReference"/>
          <w:rFonts w:ascii="Palatino Linotype" w:hAnsi="Palatino Linotype"/>
          <w:sz w:val="24"/>
          <w:szCs w:val="24"/>
        </w:rPr>
        <w:footnoteReference w:id="4"/>
      </w:r>
      <w:r w:rsidRPr="00520E97" w:rsidR="00226790">
        <w:rPr>
          <w:rFonts w:ascii="Palatino Linotype" w:hAnsi="Palatino Linotype"/>
          <w:sz w:val="24"/>
          <w:szCs w:val="24"/>
        </w:rPr>
        <w:t xml:space="preserve"> bundled energy through additional RPS purchase agreements, and/or a singular REC contract with both base and optional REC amounts.</w:t>
      </w:r>
      <w:r w:rsidRPr="00520E97" w:rsidR="00250EB0">
        <w:rPr>
          <w:rStyle w:val="FootnoteReference"/>
          <w:rFonts w:ascii="Palatino Linotype" w:hAnsi="Palatino Linotype"/>
          <w:sz w:val="24"/>
          <w:szCs w:val="24"/>
        </w:rPr>
        <w:footnoteReference w:id="5"/>
      </w:r>
      <w:r w:rsidRPr="00520E97" w:rsidR="00226790">
        <w:rPr>
          <w:rFonts w:ascii="Palatino Linotype" w:hAnsi="Palatino Linotype"/>
          <w:sz w:val="24"/>
          <w:szCs w:val="24"/>
        </w:rPr>
        <w:t xml:space="preserve"> </w:t>
      </w:r>
      <w:r w:rsidRPr="00520E97" w:rsidR="0024450A">
        <w:rPr>
          <w:rFonts w:ascii="Palatino Linotype" w:hAnsi="Palatino Linotype"/>
          <w:sz w:val="24"/>
          <w:szCs w:val="24"/>
        </w:rPr>
        <w:t xml:space="preserve"> </w:t>
      </w:r>
      <w:r w:rsidRPr="00520E97" w:rsidR="001E5C7B">
        <w:rPr>
          <w:rFonts w:ascii="Palatino Linotype" w:hAnsi="Palatino Linotype"/>
          <w:sz w:val="24"/>
          <w:szCs w:val="24"/>
        </w:rPr>
        <w:t xml:space="preserve">Additionally, in its RPS Procurement Plan, the small utility </w:t>
      </w:r>
      <w:r w:rsidRPr="00520E97" w:rsidR="00910AD0">
        <w:rPr>
          <w:rFonts w:ascii="Palatino Linotype" w:hAnsi="Palatino Linotype"/>
          <w:sz w:val="24"/>
          <w:szCs w:val="24"/>
        </w:rPr>
        <w:t xml:space="preserve">stated that </w:t>
      </w:r>
      <w:r w:rsidRPr="00520E97" w:rsidR="00AB184A">
        <w:rPr>
          <w:rFonts w:ascii="Palatino Linotype" w:hAnsi="Palatino Linotype"/>
          <w:sz w:val="24"/>
          <w:szCs w:val="24"/>
        </w:rPr>
        <w:t>though it is already complying with the 65</w:t>
      </w:r>
      <w:r w:rsidRPr="00520E97" w:rsidR="007269A3">
        <w:rPr>
          <w:rFonts w:ascii="Palatino Linotype" w:hAnsi="Palatino Linotype"/>
          <w:sz w:val="24"/>
          <w:szCs w:val="24"/>
        </w:rPr>
        <w:t xml:space="preserve"> percent </w:t>
      </w:r>
      <w:r w:rsidRPr="00520E97" w:rsidR="00AB184A">
        <w:rPr>
          <w:rFonts w:ascii="Palatino Linotype" w:hAnsi="Palatino Linotype"/>
          <w:sz w:val="24"/>
          <w:szCs w:val="24"/>
        </w:rPr>
        <w:t>long-term procurement requirement, it intend</w:t>
      </w:r>
      <w:r w:rsidRPr="00520E97" w:rsidR="00A521F2">
        <w:rPr>
          <w:rFonts w:ascii="Palatino Linotype" w:hAnsi="Palatino Linotype"/>
          <w:sz w:val="24"/>
          <w:szCs w:val="24"/>
        </w:rPr>
        <w:t>ed</w:t>
      </w:r>
      <w:r w:rsidRPr="00520E97" w:rsidR="00AB184A">
        <w:rPr>
          <w:rFonts w:ascii="Palatino Linotype" w:hAnsi="Palatino Linotype"/>
          <w:sz w:val="24"/>
          <w:szCs w:val="24"/>
        </w:rPr>
        <w:t xml:space="preserve"> to seek long-term renewable products through a February 2022 RFP</w:t>
      </w:r>
      <w:r w:rsidRPr="00520E97" w:rsidR="008F56A2">
        <w:rPr>
          <w:rFonts w:ascii="Palatino Linotype" w:hAnsi="Palatino Linotype"/>
          <w:sz w:val="24"/>
          <w:szCs w:val="24"/>
        </w:rPr>
        <w:t>.</w:t>
      </w:r>
      <w:r w:rsidRPr="00520E97" w:rsidR="00BE64CF">
        <w:rPr>
          <w:rStyle w:val="FootnoteReference"/>
          <w:rFonts w:ascii="Palatino Linotype" w:hAnsi="Palatino Linotype"/>
          <w:sz w:val="24"/>
          <w:szCs w:val="24"/>
        </w:rPr>
        <w:footnoteReference w:id="6"/>
      </w:r>
      <w:r w:rsidRPr="00520E97" w:rsidR="00A57E87">
        <w:rPr>
          <w:rFonts w:ascii="Palatino Linotype" w:hAnsi="Palatino Linotype"/>
          <w:sz w:val="24"/>
          <w:szCs w:val="24"/>
        </w:rPr>
        <w:t xml:space="preserve"> </w:t>
      </w:r>
      <w:r w:rsidRPr="00520E97" w:rsidR="00A521F2">
        <w:rPr>
          <w:rFonts w:ascii="Palatino Linotype" w:hAnsi="Palatino Linotype"/>
          <w:sz w:val="24"/>
          <w:szCs w:val="24"/>
        </w:rPr>
        <w:t>In this case</w:t>
      </w:r>
      <w:r w:rsidRPr="00520E97" w:rsidR="00F820B7">
        <w:rPr>
          <w:rFonts w:ascii="Palatino Linotype" w:hAnsi="Palatino Linotype"/>
          <w:sz w:val="24"/>
          <w:szCs w:val="24"/>
        </w:rPr>
        <w:t xml:space="preserve"> </w:t>
      </w:r>
      <w:r w:rsidRPr="00520E97" w:rsidR="00193FB5">
        <w:rPr>
          <w:rFonts w:ascii="Palatino Linotype" w:hAnsi="Palatino Linotype"/>
          <w:sz w:val="24"/>
          <w:szCs w:val="24"/>
          <w:u w:val="single"/>
        </w:rPr>
        <w:t xml:space="preserve">Bear Valley’s procurement of bundled </w:t>
      </w:r>
      <w:r w:rsidRPr="00520E97" w:rsidR="00193FB5">
        <w:rPr>
          <w:rFonts w:ascii="Palatino Linotype" w:hAnsi="Palatino Linotype"/>
          <w:sz w:val="24"/>
          <w:szCs w:val="24"/>
          <w:u w:val="single"/>
        </w:rPr>
        <w:lastRenderedPageBreak/>
        <w:t xml:space="preserve">energy and associated RECs is consistent </w:t>
      </w:r>
      <w:r w:rsidRPr="00520E97" w:rsidR="008E7A3F">
        <w:rPr>
          <w:rFonts w:ascii="Palatino Linotype" w:hAnsi="Palatino Linotype"/>
          <w:sz w:val="24"/>
          <w:szCs w:val="24"/>
          <w:u w:val="single"/>
        </w:rPr>
        <w:t xml:space="preserve">with </w:t>
      </w:r>
      <w:r w:rsidRPr="00520E97" w:rsidR="00193FB5">
        <w:rPr>
          <w:rFonts w:ascii="Palatino Linotype" w:hAnsi="Palatino Linotype"/>
          <w:sz w:val="24"/>
          <w:szCs w:val="24"/>
          <w:u w:val="single"/>
        </w:rPr>
        <w:t>the approach laid out in their RPS Procurement Plan.</w:t>
      </w:r>
    </w:p>
    <w:p w:rsidRPr="00520E97" w:rsidR="005003D1" w:rsidP="008E334E" w:rsidRDefault="005003D1" w14:paraId="35A908F7" w14:textId="277F42E7">
      <w:pPr>
        <w:rPr>
          <w:rFonts w:ascii="Palatino Linotype" w:hAnsi="Palatino Linotype"/>
          <w:sz w:val="24"/>
          <w:szCs w:val="24"/>
          <w:u w:val="single"/>
        </w:rPr>
      </w:pPr>
    </w:p>
    <w:p w:rsidRPr="00520E97" w:rsidR="008628D5" w:rsidP="008E334E" w:rsidRDefault="00C46216" w14:paraId="0C77FE16" w14:textId="195EA35F">
      <w:pPr>
        <w:rPr>
          <w:rFonts w:ascii="Palatino Linotype" w:hAnsi="Palatino Linotype" w:cs="Calibri"/>
          <w:color w:val="1D1D1D"/>
          <w:sz w:val="24"/>
          <w:szCs w:val="24"/>
        </w:rPr>
      </w:pPr>
      <w:r w:rsidRPr="00520E97">
        <w:rPr>
          <w:rFonts w:ascii="Palatino Linotype" w:hAnsi="Palatino Linotype" w:cs="Calibri"/>
          <w:color w:val="1D1D1D"/>
          <w:sz w:val="24"/>
          <w:szCs w:val="24"/>
        </w:rPr>
        <w:t>Bear Valley file</w:t>
      </w:r>
      <w:r w:rsidRPr="00520E97" w:rsidR="005E2768">
        <w:rPr>
          <w:rFonts w:ascii="Palatino Linotype" w:hAnsi="Palatino Linotype" w:cs="Calibri"/>
          <w:color w:val="1D1D1D"/>
          <w:sz w:val="24"/>
          <w:szCs w:val="24"/>
        </w:rPr>
        <w:t>d</w:t>
      </w:r>
      <w:r w:rsidRPr="00520E97">
        <w:rPr>
          <w:rFonts w:ascii="Palatino Linotype" w:hAnsi="Palatino Linotype" w:cs="Calibri"/>
          <w:color w:val="1D1D1D"/>
          <w:sz w:val="24"/>
          <w:szCs w:val="24"/>
        </w:rPr>
        <w:t xml:space="preserve"> its 2020 Integrated Resource Plan (“IRP”) in R.20-05-003 on September 1, 2020, which was approved by the Commission in D.22-02-004. </w:t>
      </w:r>
      <w:r w:rsidRPr="00520E97" w:rsidR="00082376">
        <w:rPr>
          <w:rFonts w:ascii="Palatino Linotype" w:hAnsi="Palatino Linotype" w:cs="Calibri"/>
          <w:color w:val="1D1D1D"/>
          <w:sz w:val="24"/>
          <w:szCs w:val="24"/>
        </w:rPr>
        <w:t>Additionally, on November 1, 2022, Bear Valley filed its 2022 IRP with the Commission, which remain</w:t>
      </w:r>
      <w:r w:rsidRPr="00520E97" w:rsidR="008628D5">
        <w:rPr>
          <w:rFonts w:ascii="Palatino Linotype" w:hAnsi="Palatino Linotype" w:cs="Calibri"/>
          <w:color w:val="1D1D1D"/>
          <w:sz w:val="24"/>
          <w:szCs w:val="24"/>
        </w:rPr>
        <w:t xml:space="preserve">s </w:t>
      </w:r>
      <w:r w:rsidRPr="00520E97" w:rsidR="005E2768">
        <w:rPr>
          <w:rFonts w:ascii="Palatino Linotype" w:hAnsi="Palatino Linotype" w:cs="Calibri"/>
          <w:color w:val="1D1D1D"/>
          <w:sz w:val="24"/>
          <w:szCs w:val="24"/>
        </w:rPr>
        <w:t xml:space="preserve">under consideration </w:t>
      </w:r>
      <w:r w:rsidRPr="00520E97" w:rsidR="008628D5">
        <w:rPr>
          <w:rFonts w:ascii="Palatino Linotype" w:hAnsi="Palatino Linotype" w:cs="Calibri"/>
          <w:color w:val="1D1D1D"/>
          <w:sz w:val="24"/>
          <w:szCs w:val="24"/>
        </w:rPr>
        <w:t xml:space="preserve">by the Commission. </w:t>
      </w:r>
    </w:p>
    <w:p w:rsidRPr="00520E97" w:rsidR="008628D5" w:rsidP="008E334E" w:rsidRDefault="008628D5" w14:paraId="17D963C3" w14:textId="77777777">
      <w:pPr>
        <w:rPr>
          <w:rFonts w:ascii="Palatino Linotype" w:hAnsi="Palatino Linotype" w:cs="Calibri"/>
          <w:color w:val="1D1D1D"/>
          <w:sz w:val="24"/>
          <w:szCs w:val="24"/>
        </w:rPr>
      </w:pPr>
    </w:p>
    <w:p w:rsidRPr="00520E97" w:rsidR="005003D1" w:rsidP="008E334E" w:rsidRDefault="008628D5" w14:paraId="12B921E9" w14:textId="4DD6FD0B">
      <w:pPr>
        <w:rPr>
          <w:rFonts w:ascii="Palatino Linotype" w:hAnsi="Palatino Linotype" w:cs="Calibri"/>
          <w:color w:val="1D1D1D"/>
          <w:sz w:val="24"/>
          <w:szCs w:val="24"/>
        </w:rPr>
      </w:pPr>
      <w:r w:rsidRPr="00520E97">
        <w:rPr>
          <w:rFonts w:ascii="Palatino Linotype" w:hAnsi="Palatino Linotype" w:cs="Calibri"/>
          <w:color w:val="1D1D1D"/>
          <w:sz w:val="24"/>
          <w:szCs w:val="24"/>
        </w:rPr>
        <w:t>In its 2020 IRP, Bear Valley</w:t>
      </w:r>
      <w:r w:rsidRPr="00520E97" w:rsidR="005003D1">
        <w:rPr>
          <w:rFonts w:ascii="Palatino Linotype" w:hAnsi="Palatino Linotype" w:cs="Calibri"/>
          <w:color w:val="1D1D1D"/>
          <w:sz w:val="24"/>
          <w:szCs w:val="24"/>
        </w:rPr>
        <w:t xml:space="preserve"> declared </w:t>
      </w:r>
      <w:r w:rsidRPr="00520E97" w:rsidR="00B46B31">
        <w:rPr>
          <w:rFonts w:ascii="Palatino Linotype" w:hAnsi="Palatino Linotype" w:cs="Calibri"/>
          <w:color w:val="1D1D1D"/>
          <w:sz w:val="24"/>
          <w:szCs w:val="24"/>
        </w:rPr>
        <w:t>its</w:t>
      </w:r>
      <w:r w:rsidRPr="00520E97" w:rsidR="005003D1">
        <w:rPr>
          <w:rFonts w:ascii="Palatino Linotype" w:hAnsi="Palatino Linotype" w:cs="Calibri"/>
          <w:color w:val="1D1D1D"/>
          <w:sz w:val="24"/>
          <w:szCs w:val="24"/>
        </w:rPr>
        <w:t xml:space="preserve"> intention to transition away from primarily “brown” power and towards RPS firm contracts for base and seasonal load requirements</w:t>
      </w:r>
      <w:r w:rsidRPr="00520E97" w:rsidR="0085183B">
        <w:rPr>
          <w:rFonts w:ascii="Palatino Linotype" w:hAnsi="Palatino Linotype" w:cs="Calibri"/>
          <w:color w:val="1D1D1D"/>
          <w:sz w:val="24"/>
          <w:szCs w:val="24"/>
        </w:rPr>
        <w:t>.</w:t>
      </w:r>
      <w:r w:rsidRPr="00520E97" w:rsidR="0085183B">
        <w:rPr>
          <w:rStyle w:val="FootnoteReference"/>
          <w:rFonts w:ascii="Palatino Linotype" w:hAnsi="Palatino Linotype" w:cs="Calibri"/>
          <w:color w:val="1D1D1D"/>
          <w:sz w:val="24"/>
          <w:szCs w:val="24"/>
        </w:rPr>
        <w:footnoteReference w:id="7"/>
      </w:r>
      <w:r w:rsidRPr="00520E97" w:rsidR="0085183B">
        <w:rPr>
          <w:rFonts w:ascii="Palatino Linotype" w:hAnsi="Palatino Linotype" w:cs="Calibri"/>
          <w:color w:val="1D1D1D"/>
          <w:sz w:val="24"/>
          <w:szCs w:val="24"/>
        </w:rPr>
        <w:t xml:space="preserve"> Bear Valley also</w:t>
      </w:r>
      <w:r w:rsidRPr="00520E97" w:rsidR="005003D1">
        <w:rPr>
          <w:rFonts w:ascii="Palatino Linotype" w:hAnsi="Palatino Linotype" w:cs="Calibri"/>
          <w:color w:val="1D1D1D"/>
          <w:sz w:val="24"/>
          <w:szCs w:val="24"/>
        </w:rPr>
        <w:t xml:space="preserve"> asserted </w:t>
      </w:r>
      <w:r w:rsidRPr="00520E97" w:rsidR="008919D6">
        <w:rPr>
          <w:rFonts w:ascii="Palatino Linotype" w:hAnsi="Palatino Linotype" w:cs="Calibri"/>
          <w:color w:val="1D1D1D"/>
          <w:sz w:val="24"/>
          <w:szCs w:val="24"/>
        </w:rPr>
        <w:t xml:space="preserve">within its 2020 IRP </w:t>
      </w:r>
      <w:r w:rsidRPr="00520E97" w:rsidR="005003D1">
        <w:rPr>
          <w:rFonts w:ascii="Palatino Linotype" w:hAnsi="Palatino Linotype" w:cs="Calibri"/>
          <w:color w:val="1D1D1D"/>
          <w:sz w:val="24"/>
          <w:szCs w:val="24"/>
        </w:rPr>
        <w:t xml:space="preserve">its goal of securing solar energy contracts for daytime </w:t>
      </w:r>
      <w:r w:rsidRPr="00520E97" w:rsidR="00FD44D5">
        <w:rPr>
          <w:rFonts w:ascii="Palatino Linotype" w:hAnsi="Palatino Linotype" w:cs="Calibri"/>
          <w:color w:val="1D1D1D"/>
          <w:sz w:val="24"/>
          <w:szCs w:val="24"/>
        </w:rPr>
        <w:t>s</w:t>
      </w:r>
      <w:r w:rsidRPr="00520E97" w:rsidR="00134031">
        <w:rPr>
          <w:rFonts w:ascii="Palatino Linotype" w:hAnsi="Palatino Linotype" w:cs="Calibri"/>
          <w:color w:val="1D1D1D"/>
          <w:sz w:val="24"/>
          <w:szCs w:val="24"/>
        </w:rPr>
        <w:t>upply</w:t>
      </w:r>
      <w:r w:rsidRPr="00520E97" w:rsidR="00FD44D5">
        <w:rPr>
          <w:rFonts w:ascii="Palatino Linotype" w:hAnsi="Palatino Linotype" w:cs="Calibri"/>
          <w:color w:val="1D1D1D"/>
          <w:sz w:val="24"/>
          <w:szCs w:val="24"/>
        </w:rPr>
        <w:t xml:space="preserve"> </w:t>
      </w:r>
      <w:r w:rsidRPr="00520E97" w:rsidR="005003D1">
        <w:rPr>
          <w:rFonts w:ascii="Palatino Linotype" w:hAnsi="Palatino Linotype" w:cs="Calibri"/>
          <w:color w:val="1D1D1D"/>
          <w:sz w:val="24"/>
          <w:szCs w:val="24"/>
        </w:rPr>
        <w:t xml:space="preserve">as well as wind </w:t>
      </w:r>
      <w:r w:rsidRPr="00520E97" w:rsidR="00FD44D5">
        <w:rPr>
          <w:rFonts w:ascii="Palatino Linotype" w:hAnsi="Palatino Linotype" w:cs="Calibri"/>
          <w:color w:val="1D1D1D"/>
          <w:sz w:val="24"/>
          <w:szCs w:val="24"/>
        </w:rPr>
        <w:t>energy support</w:t>
      </w:r>
      <w:r w:rsidRPr="00520E97" w:rsidR="005003D1">
        <w:rPr>
          <w:rFonts w:ascii="Palatino Linotype" w:hAnsi="Palatino Linotype" w:cs="Calibri"/>
          <w:color w:val="1D1D1D"/>
          <w:sz w:val="24"/>
          <w:szCs w:val="24"/>
        </w:rPr>
        <w:t xml:space="preserve"> </w:t>
      </w:r>
      <w:r w:rsidRPr="00520E97" w:rsidR="00134031">
        <w:rPr>
          <w:rFonts w:ascii="Palatino Linotype" w:hAnsi="Palatino Linotype" w:cs="Calibri"/>
          <w:color w:val="1D1D1D"/>
          <w:sz w:val="24"/>
          <w:szCs w:val="24"/>
        </w:rPr>
        <w:t>(“or a blend thereof”)</w:t>
      </w:r>
      <w:r w:rsidRPr="00520E97" w:rsidR="00616C44">
        <w:rPr>
          <w:rFonts w:ascii="Palatino Linotype" w:hAnsi="Palatino Linotype" w:cs="Calibri"/>
          <w:color w:val="1D1D1D"/>
          <w:sz w:val="24"/>
          <w:szCs w:val="24"/>
        </w:rPr>
        <w:t xml:space="preserve"> </w:t>
      </w:r>
      <w:r w:rsidRPr="00520E97" w:rsidR="005003D1">
        <w:rPr>
          <w:rFonts w:ascii="Palatino Linotype" w:hAnsi="Palatino Linotype" w:cs="Calibri"/>
          <w:color w:val="1D1D1D"/>
          <w:sz w:val="24"/>
          <w:szCs w:val="24"/>
        </w:rPr>
        <w:t>for nighttime</w:t>
      </w:r>
      <w:r w:rsidRPr="00520E97" w:rsidR="00134031">
        <w:rPr>
          <w:rFonts w:ascii="Palatino Linotype" w:hAnsi="Palatino Linotype" w:cs="Calibri"/>
          <w:color w:val="1D1D1D"/>
          <w:sz w:val="24"/>
          <w:szCs w:val="24"/>
        </w:rPr>
        <w:t xml:space="preserve"> supply</w:t>
      </w:r>
      <w:r w:rsidRPr="00520E97" w:rsidR="005003D1">
        <w:rPr>
          <w:rFonts w:ascii="Palatino Linotype" w:hAnsi="Palatino Linotype" w:cs="Calibri"/>
          <w:color w:val="1D1D1D"/>
          <w:sz w:val="24"/>
          <w:szCs w:val="24"/>
        </w:rPr>
        <w:t>, starting in 2022</w:t>
      </w:r>
      <w:r w:rsidRPr="00520E97" w:rsidR="00616C44">
        <w:rPr>
          <w:rFonts w:ascii="Palatino Linotype" w:hAnsi="Palatino Linotype" w:cs="Calibri"/>
          <w:color w:val="1D1D1D"/>
          <w:sz w:val="24"/>
          <w:szCs w:val="24"/>
        </w:rPr>
        <w:t>.</w:t>
      </w:r>
      <w:r w:rsidRPr="00520E97" w:rsidR="00616C44">
        <w:rPr>
          <w:rStyle w:val="FootnoteReference"/>
          <w:rFonts w:ascii="Palatino Linotype" w:hAnsi="Palatino Linotype" w:cs="Calibri"/>
          <w:color w:val="1D1D1D"/>
          <w:sz w:val="24"/>
          <w:szCs w:val="24"/>
        </w:rPr>
        <w:footnoteReference w:id="8"/>
      </w:r>
      <w:r w:rsidRPr="00520E97" w:rsidR="00616C44">
        <w:rPr>
          <w:rFonts w:ascii="Palatino Linotype" w:hAnsi="Palatino Linotype" w:cs="Calibri"/>
          <w:color w:val="1D1D1D"/>
          <w:sz w:val="24"/>
          <w:szCs w:val="24"/>
        </w:rPr>
        <w:t xml:space="preserve"> </w:t>
      </w:r>
      <w:r w:rsidRPr="00520E97" w:rsidR="00486EAF">
        <w:rPr>
          <w:rFonts w:ascii="Palatino Linotype" w:hAnsi="Palatino Linotype" w:cs="Calibri"/>
          <w:color w:val="1D1D1D"/>
          <w:sz w:val="24"/>
          <w:szCs w:val="24"/>
        </w:rPr>
        <w:t>And finally,</w:t>
      </w:r>
      <w:r w:rsidRPr="00520E97" w:rsidR="00621E22">
        <w:rPr>
          <w:rFonts w:ascii="Palatino Linotype" w:hAnsi="Palatino Linotype" w:cs="Calibri"/>
          <w:color w:val="1D1D1D"/>
          <w:sz w:val="24"/>
          <w:szCs w:val="24"/>
        </w:rPr>
        <w:t xml:space="preserve"> </w:t>
      </w:r>
      <w:r w:rsidRPr="00520E97" w:rsidR="00D00274">
        <w:rPr>
          <w:rFonts w:ascii="Palatino Linotype" w:hAnsi="Palatino Linotype" w:cs="Calibri"/>
          <w:color w:val="1D1D1D"/>
          <w:sz w:val="24"/>
          <w:szCs w:val="24"/>
        </w:rPr>
        <w:t>in</w:t>
      </w:r>
      <w:r w:rsidRPr="00520E97" w:rsidR="005003D1">
        <w:rPr>
          <w:rFonts w:ascii="Palatino Linotype" w:hAnsi="Palatino Linotype" w:cs="Calibri"/>
          <w:color w:val="1D1D1D"/>
          <w:sz w:val="24"/>
          <w:szCs w:val="24"/>
        </w:rPr>
        <w:t xml:space="preserve"> its 2022 IRP</w:t>
      </w:r>
      <w:r w:rsidRPr="00520E97" w:rsidR="00D00274">
        <w:rPr>
          <w:rFonts w:ascii="Palatino Linotype" w:hAnsi="Palatino Linotype" w:cs="Calibri"/>
          <w:color w:val="1D1D1D"/>
          <w:sz w:val="24"/>
          <w:szCs w:val="24"/>
        </w:rPr>
        <w:t>, Bear Valley</w:t>
      </w:r>
      <w:r w:rsidRPr="00520E97" w:rsidR="005003D1">
        <w:rPr>
          <w:rFonts w:ascii="Palatino Linotype" w:hAnsi="Palatino Linotype" w:cs="Calibri"/>
          <w:color w:val="1D1D1D"/>
          <w:sz w:val="24"/>
          <w:szCs w:val="24"/>
        </w:rPr>
        <w:t xml:space="preserve"> reasserted its goal of meeting GHG emission benchmarks by transitioning to firm RPS energy contracts for base and seasonal loads.</w:t>
      </w:r>
      <w:r w:rsidRPr="00520E97" w:rsidR="00D00274">
        <w:rPr>
          <w:rFonts w:ascii="Palatino Linotype" w:hAnsi="Palatino Linotype" w:cs="Calibri"/>
          <w:color w:val="1D1D1D"/>
          <w:sz w:val="24"/>
          <w:szCs w:val="24"/>
        </w:rPr>
        <w:t xml:space="preserve"> </w:t>
      </w:r>
      <w:r w:rsidRPr="00520E97" w:rsidR="00D00274">
        <w:rPr>
          <w:rFonts w:ascii="Palatino Linotype" w:hAnsi="Palatino Linotype"/>
          <w:sz w:val="24"/>
          <w:szCs w:val="24"/>
        </w:rPr>
        <w:t xml:space="preserve">In this case </w:t>
      </w:r>
      <w:r w:rsidRPr="00520E97" w:rsidR="00D00274">
        <w:rPr>
          <w:rFonts w:ascii="Palatino Linotype" w:hAnsi="Palatino Linotype"/>
          <w:sz w:val="24"/>
          <w:szCs w:val="24"/>
          <w:u w:val="single"/>
        </w:rPr>
        <w:t>Bear Valley’s procurement of firm, bundled RPS energy</w:t>
      </w:r>
      <w:r w:rsidRPr="00520E97" w:rsidR="00143C22">
        <w:rPr>
          <w:rFonts w:ascii="Palatino Linotype" w:hAnsi="Palatino Linotype"/>
          <w:sz w:val="24"/>
          <w:szCs w:val="24"/>
          <w:u w:val="single"/>
        </w:rPr>
        <w:t xml:space="preserve"> from Shell</w:t>
      </w:r>
      <w:r w:rsidRPr="00520E97" w:rsidR="00D00274">
        <w:rPr>
          <w:rFonts w:ascii="Palatino Linotype" w:hAnsi="Palatino Linotype"/>
          <w:sz w:val="24"/>
          <w:szCs w:val="24"/>
          <w:u w:val="single"/>
        </w:rPr>
        <w:t xml:space="preserve"> is consistent with the </w:t>
      </w:r>
      <w:r w:rsidRPr="00520E97" w:rsidR="00A65F80">
        <w:rPr>
          <w:rFonts w:ascii="Palatino Linotype" w:hAnsi="Palatino Linotype"/>
          <w:sz w:val="24"/>
          <w:szCs w:val="24"/>
          <w:u w:val="single"/>
        </w:rPr>
        <w:t xml:space="preserve">goals and objectives </w:t>
      </w:r>
      <w:r w:rsidRPr="00520E97" w:rsidR="00D00274">
        <w:rPr>
          <w:rFonts w:ascii="Palatino Linotype" w:hAnsi="Palatino Linotype"/>
          <w:sz w:val="24"/>
          <w:szCs w:val="24"/>
          <w:u w:val="single"/>
        </w:rPr>
        <w:t xml:space="preserve">laid out in their </w:t>
      </w:r>
      <w:r w:rsidRPr="00520E97" w:rsidR="00143C22">
        <w:rPr>
          <w:rFonts w:ascii="Palatino Linotype" w:hAnsi="Palatino Linotype"/>
          <w:sz w:val="24"/>
          <w:szCs w:val="24"/>
          <w:u w:val="single"/>
        </w:rPr>
        <w:t>2020 and 2022 I</w:t>
      </w:r>
      <w:r w:rsidRPr="00520E97" w:rsidR="00A65F80">
        <w:rPr>
          <w:rFonts w:ascii="Palatino Linotype" w:hAnsi="Palatino Linotype"/>
          <w:sz w:val="24"/>
          <w:szCs w:val="24"/>
          <w:u w:val="single"/>
        </w:rPr>
        <w:t>ntegrated Resource Plans</w:t>
      </w:r>
      <w:r w:rsidRPr="00520E97" w:rsidR="00D00274">
        <w:rPr>
          <w:rFonts w:ascii="Palatino Linotype" w:hAnsi="Palatino Linotype"/>
          <w:sz w:val="24"/>
          <w:szCs w:val="24"/>
          <w:u w:val="single"/>
        </w:rPr>
        <w:t>.</w:t>
      </w:r>
    </w:p>
    <w:p w:rsidRPr="00520E97" w:rsidR="005003D1" w:rsidP="008E334E" w:rsidRDefault="005003D1" w14:paraId="764789CA" w14:textId="77777777">
      <w:pPr>
        <w:rPr>
          <w:rFonts w:ascii="Palatino Linotype" w:hAnsi="Palatino Linotype"/>
          <w:sz w:val="24"/>
          <w:szCs w:val="24"/>
        </w:rPr>
      </w:pPr>
    </w:p>
    <w:p w:rsidRPr="00520E97" w:rsidR="001E0F0F" w:rsidP="008E334E" w:rsidRDefault="001E0F0F" w14:paraId="7C9C8D34" w14:textId="77777777">
      <w:pPr>
        <w:rPr>
          <w:rFonts w:ascii="Palatino Linotype" w:hAnsi="Palatino Linotype"/>
          <w:sz w:val="24"/>
          <w:szCs w:val="24"/>
        </w:rPr>
      </w:pPr>
    </w:p>
    <w:p w:rsidRPr="00520E97" w:rsidR="009B75FA" w:rsidP="008E334E" w:rsidRDefault="009916E9" w14:paraId="14E71A0F" w14:textId="24A3531B">
      <w:pPr>
        <w:spacing w:after="240"/>
        <w:rPr>
          <w:rFonts w:ascii="Palatino Linotype" w:hAnsi="Palatino Linotype"/>
          <w:b/>
          <w:bCs/>
          <w:sz w:val="24"/>
          <w:szCs w:val="24"/>
        </w:rPr>
      </w:pPr>
      <w:r w:rsidRPr="00520E97">
        <w:rPr>
          <w:rFonts w:ascii="Palatino Linotype" w:hAnsi="Palatino Linotype"/>
          <w:b/>
          <w:bCs/>
          <w:sz w:val="24"/>
          <w:szCs w:val="24"/>
        </w:rPr>
        <w:t xml:space="preserve">Consistency with </w:t>
      </w:r>
      <w:r w:rsidRPr="00520E97" w:rsidR="009B75FA">
        <w:rPr>
          <w:rFonts w:ascii="Palatino Linotype" w:hAnsi="Palatino Linotype"/>
          <w:b/>
          <w:bCs/>
          <w:sz w:val="24"/>
          <w:szCs w:val="24"/>
        </w:rPr>
        <w:t>Portfolio Content Category Requirements</w:t>
      </w:r>
    </w:p>
    <w:p w:rsidRPr="00520E97" w:rsidR="004E3932" w:rsidP="008E334E" w:rsidRDefault="00425EC4" w14:paraId="76CD47EC" w14:textId="5D2B4646">
      <w:pPr>
        <w:rPr>
          <w:rFonts w:ascii="Palatino Linotype" w:hAnsi="Palatino Linotype"/>
          <w:sz w:val="24"/>
          <w:szCs w:val="24"/>
        </w:rPr>
      </w:pPr>
      <w:r w:rsidRPr="00520E97">
        <w:rPr>
          <w:rFonts w:ascii="Palatino Linotype" w:hAnsi="Palatino Linotype"/>
          <w:sz w:val="24"/>
          <w:szCs w:val="24"/>
        </w:rPr>
        <w:t xml:space="preserve">D.11-12-052 </w:t>
      </w:r>
      <w:r w:rsidRPr="00520E97" w:rsidR="00C44620">
        <w:rPr>
          <w:rFonts w:ascii="Palatino Linotype" w:hAnsi="Palatino Linotype"/>
          <w:sz w:val="24"/>
          <w:szCs w:val="24"/>
        </w:rPr>
        <w:t xml:space="preserve">requires all </w:t>
      </w:r>
      <w:r w:rsidRPr="00520E97" w:rsidR="00905C34">
        <w:rPr>
          <w:rFonts w:ascii="Palatino Linotype" w:hAnsi="Palatino Linotype"/>
          <w:sz w:val="24"/>
          <w:szCs w:val="24"/>
        </w:rPr>
        <w:t>load-serving entities (L</w:t>
      </w:r>
      <w:r w:rsidRPr="00520E97" w:rsidR="00C44620">
        <w:rPr>
          <w:rFonts w:ascii="Palatino Linotype" w:hAnsi="Palatino Linotype"/>
          <w:sz w:val="24"/>
          <w:szCs w:val="24"/>
        </w:rPr>
        <w:t>SEs</w:t>
      </w:r>
      <w:r w:rsidRPr="00520E97" w:rsidR="00905C34">
        <w:rPr>
          <w:rFonts w:ascii="Palatino Linotype" w:hAnsi="Palatino Linotype"/>
          <w:sz w:val="24"/>
          <w:szCs w:val="24"/>
        </w:rPr>
        <w:t>)</w:t>
      </w:r>
      <w:r w:rsidRPr="00520E97" w:rsidR="00C44620">
        <w:rPr>
          <w:rFonts w:ascii="Palatino Linotype" w:hAnsi="Palatino Linotype"/>
          <w:sz w:val="24"/>
          <w:szCs w:val="24"/>
        </w:rPr>
        <w:t xml:space="preserve"> to provide sufficient information about the details of their RPS procurement </w:t>
      </w:r>
      <w:r w:rsidRPr="00520E97" w:rsidR="00084E85">
        <w:rPr>
          <w:rFonts w:ascii="Palatino Linotype" w:hAnsi="Palatino Linotype"/>
          <w:sz w:val="24"/>
          <w:szCs w:val="24"/>
        </w:rPr>
        <w:t xml:space="preserve">for Commission staff to determine that the LSE’s procurement actually meets the requirements of the portfolio content category </w:t>
      </w:r>
      <w:r w:rsidRPr="00520E97" w:rsidR="00561A7B">
        <w:rPr>
          <w:rFonts w:ascii="Palatino Linotype" w:hAnsi="Palatino Linotype"/>
          <w:sz w:val="24"/>
          <w:szCs w:val="24"/>
        </w:rPr>
        <w:t xml:space="preserve">(PCC) </w:t>
      </w:r>
      <w:r w:rsidRPr="00520E97" w:rsidR="00084E85">
        <w:rPr>
          <w:rFonts w:ascii="Palatino Linotype" w:hAnsi="Palatino Linotype"/>
          <w:sz w:val="24"/>
          <w:szCs w:val="24"/>
        </w:rPr>
        <w:t xml:space="preserve">in which it is claimed. </w:t>
      </w:r>
      <w:r w:rsidRPr="00520E97" w:rsidR="00153511">
        <w:rPr>
          <w:rFonts w:ascii="Palatino Linotype" w:hAnsi="Palatino Linotype"/>
          <w:sz w:val="24"/>
          <w:szCs w:val="24"/>
        </w:rPr>
        <w:t xml:space="preserve">Bear Valley states </w:t>
      </w:r>
      <w:r w:rsidRPr="00520E97" w:rsidR="00421660">
        <w:rPr>
          <w:rFonts w:ascii="Palatino Linotype" w:hAnsi="Palatino Linotype"/>
          <w:sz w:val="24"/>
          <w:szCs w:val="24"/>
        </w:rPr>
        <w:t xml:space="preserve">in AL 470-E </w:t>
      </w:r>
      <w:r w:rsidRPr="00520E97" w:rsidR="00153511">
        <w:rPr>
          <w:rFonts w:ascii="Palatino Linotype" w:hAnsi="Palatino Linotype"/>
          <w:sz w:val="24"/>
          <w:szCs w:val="24"/>
        </w:rPr>
        <w:t xml:space="preserve">that the </w:t>
      </w:r>
      <w:r w:rsidRPr="00520E97" w:rsidR="003A6B63">
        <w:rPr>
          <w:rFonts w:ascii="Palatino Linotype" w:hAnsi="Palatino Linotype"/>
          <w:sz w:val="24"/>
          <w:szCs w:val="24"/>
        </w:rPr>
        <w:t xml:space="preserve">portfolio content </w:t>
      </w:r>
      <w:r w:rsidRPr="00520E97" w:rsidR="003A7256">
        <w:rPr>
          <w:rFonts w:ascii="Palatino Linotype" w:hAnsi="Palatino Linotype"/>
          <w:sz w:val="24"/>
          <w:szCs w:val="24"/>
        </w:rPr>
        <w:t xml:space="preserve">category of the RPS energy to be provided </w:t>
      </w:r>
      <w:r w:rsidRPr="00520E97" w:rsidR="00421660">
        <w:rPr>
          <w:rFonts w:ascii="Palatino Linotype" w:hAnsi="Palatino Linotype"/>
          <w:sz w:val="24"/>
          <w:szCs w:val="24"/>
        </w:rPr>
        <w:t>pursuant to the Shell PPA</w:t>
      </w:r>
      <w:r w:rsidRPr="00520E97" w:rsidR="002E1594">
        <w:rPr>
          <w:rFonts w:ascii="Palatino Linotype" w:hAnsi="Palatino Linotype"/>
          <w:sz w:val="24"/>
          <w:szCs w:val="24"/>
        </w:rPr>
        <w:t xml:space="preserve"> </w:t>
      </w:r>
      <w:r w:rsidRPr="00520E97" w:rsidR="004E3932">
        <w:rPr>
          <w:rFonts w:ascii="Palatino Linotype" w:hAnsi="Palatino Linotype"/>
          <w:sz w:val="24"/>
          <w:szCs w:val="24"/>
        </w:rPr>
        <w:t>is PCC</w:t>
      </w:r>
      <w:r w:rsidRPr="00520E97" w:rsidR="00085203">
        <w:rPr>
          <w:rFonts w:ascii="Palatino Linotype" w:hAnsi="Palatino Linotype"/>
          <w:sz w:val="24"/>
          <w:szCs w:val="24"/>
        </w:rPr>
        <w:t xml:space="preserve"> </w:t>
      </w:r>
      <w:r w:rsidRPr="00520E97" w:rsidR="004E3932">
        <w:rPr>
          <w:rFonts w:ascii="Palatino Linotype" w:hAnsi="Palatino Linotype"/>
          <w:sz w:val="24"/>
          <w:szCs w:val="24"/>
        </w:rPr>
        <w:t xml:space="preserve">1. </w:t>
      </w:r>
    </w:p>
    <w:p w:rsidRPr="00520E97" w:rsidR="0042124C" w:rsidP="008E334E" w:rsidRDefault="0042124C" w14:paraId="3E1875C6" w14:textId="77777777">
      <w:pPr>
        <w:rPr>
          <w:rFonts w:ascii="Palatino Linotype" w:hAnsi="Palatino Linotype"/>
          <w:sz w:val="24"/>
          <w:szCs w:val="24"/>
        </w:rPr>
      </w:pPr>
    </w:p>
    <w:p w:rsidRPr="00520E97" w:rsidR="00D451A9" w:rsidP="008E334E" w:rsidRDefault="00701B57" w14:paraId="3CAA8989" w14:textId="74314DE8">
      <w:pPr>
        <w:rPr>
          <w:rFonts w:ascii="Palatino Linotype" w:hAnsi="Palatino Linotype"/>
          <w:sz w:val="24"/>
          <w:szCs w:val="24"/>
        </w:rPr>
      </w:pPr>
      <w:r w:rsidRPr="00520E97">
        <w:rPr>
          <w:rFonts w:ascii="Palatino Linotype" w:hAnsi="Palatino Linotype"/>
          <w:sz w:val="24"/>
          <w:szCs w:val="24"/>
        </w:rPr>
        <w:t xml:space="preserve">Pursuant to D.11-12-052, </w:t>
      </w:r>
      <w:r w:rsidRPr="00520E97" w:rsidR="00C21BB2">
        <w:rPr>
          <w:rFonts w:ascii="Palatino Linotype" w:hAnsi="Palatino Linotype"/>
          <w:sz w:val="24"/>
          <w:szCs w:val="24"/>
        </w:rPr>
        <w:t xml:space="preserve">RPS procurement </w:t>
      </w:r>
      <w:r w:rsidRPr="00520E97" w:rsidR="006C2B05">
        <w:rPr>
          <w:rFonts w:ascii="Palatino Linotype" w:hAnsi="Palatino Linotype"/>
          <w:sz w:val="24"/>
          <w:szCs w:val="24"/>
        </w:rPr>
        <w:t xml:space="preserve">can be </w:t>
      </w:r>
      <w:r w:rsidRPr="00520E97" w:rsidR="00451662">
        <w:rPr>
          <w:rFonts w:ascii="Palatino Linotype" w:hAnsi="Palatino Linotype"/>
          <w:sz w:val="24"/>
          <w:szCs w:val="24"/>
        </w:rPr>
        <w:t>sufficiently classified as PCC</w:t>
      </w:r>
      <w:r w:rsidRPr="00520E97" w:rsidR="00561A7B">
        <w:rPr>
          <w:rFonts w:ascii="Palatino Linotype" w:hAnsi="Palatino Linotype"/>
          <w:sz w:val="24"/>
          <w:szCs w:val="24"/>
        </w:rPr>
        <w:t xml:space="preserve"> </w:t>
      </w:r>
      <w:r w:rsidRPr="00520E97" w:rsidR="00451662">
        <w:rPr>
          <w:rFonts w:ascii="Palatino Linotype" w:hAnsi="Palatino Linotype"/>
          <w:sz w:val="24"/>
          <w:szCs w:val="24"/>
        </w:rPr>
        <w:t xml:space="preserve">1 if it meets </w:t>
      </w:r>
      <w:r w:rsidRPr="00520E97" w:rsidR="00451662">
        <w:rPr>
          <w:rFonts w:ascii="Palatino Linotype" w:hAnsi="Palatino Linotype"/>
          <w:sz w:val="24"/>
          <w:szCs w:val="24"/>
          <w:u w:val="single"/>
        </w:rPr>
        <w:t>one</w:t>
      </w:r>
      <w:r w:rsidRPr="00520E97" w:rsidR="00451662">
        <w:rPr>
          <w:rFonts w:ascii="Palatino Linotype" w:hAnsi="Palatino Linotype"/>
          <w:sz w:val="24"/>
          <w:szCs w:val="24"/>
        </w:rPr>
        <w:t xml:space="preserve"> of the following criteria:</w:t>
      </w:r>
      <w:r w:rsidRPr="00520E97" w:rsidR="00756429">
        <w:rPr>
          <w:rStyle w:val="FootnoteReference"/>
          <w:rFonts w:ascii="Palatino Linotype" w:hAnsi="Palatino Linotype"/>
          <w:sz w:val="24"/>
          <w:szCs w:val="24"/>
        </w:rPr>
        <w:footnoteReference w:id="9"/>
      </w:r>
      <w:r w:rsidRPr="00520E97" w:rsidR="00451662">
        <w:rPr>
          <w:rFonts w:ascii="Palatino Linotype" w:hAnsi="Palatino Linotype"/>
          <w:sz w:val="24"/>
          <w:szCs w:val="24"/>
        </w:rPr>
        <w:t xml:space="preserve"> </w:t>
      </w:r>
    </w:p>
    <w:p w:rsidRPr="00520E97" w:rsidR="00756429" w:rsidP="008E334E" w:rsidRDefault="00756429" w14:paraId="367BE9EE" w14:textId="77777777">
      <w:pPr>
        <w:rPr>
          <w:rFonts w:ascii="Palatino Linotype" w:hAnsi="Palatino Linotype"/>
          <w:sz w:val="24"/>
          <w:szCs w:val="24"/>
        </w:rPr>
      </w:pPr>
    </w:p>
    <w:p w:rsidRPr="00520E97" w:rsidR="00756429" w:rsidP="008E334E" w:rsidRDefault="00756429" w14:paraId="4CF27052" w14:textId="77777777">
      <w:pPr>
        <w:numPr>
          <w:ilvl w:val="0"/>
          <w:numId w:val="17"/>
        </w:numPr>
        <w:tabs>
          <w:tab w:val="left" w:pos="360"/>
        </w:tabs>
        <w:suppressAutoHyphens/>
        <w:spacing w:after="120"/>
        <w:rPr>
          <w:rFonts w:ascii="Palatino Linotype" w:hAnsi="Palatino Linotype" w:cs="Arial"/>
          <w:bCs/>
          <w:sz w:val="24"/>
          <w:szCs w:val="24"/>
        </w:rPr>
      </w:pPr>
      <w:r w:rsidRPr="00520E97">
        <w:rPr>
          <w:rFonts w:ascii="Palatino Linotype" w:hAnsi="Palatino Linotype"/>
          <w:bCs/>
          <w:sz w:val="24"/>
          <w:szCs w:val="24"/>
        </w:rPr>
        <w:t xml:space="preserve">First point of interconnection to the Western Electricity Coordinating Council (WECC) transmission grid within the metered boundaries of a California balancing authority area. </w:t>
      </w:r>
    </w:p>
    <w:p w:rsidRPr="00520E97" w:rsidR="00756429" w:rsidP="008E334E" w:rsidRDefault="00756429" w14:paraId="0BCBCDF0" w14:textId="77777777">
      <w:pPr>
        <w:numPr>
          <w:ilvl w:val="0"/>
          <w:numId w:val="17"/>
        </w:numPr>
        <w:tabs>
          <w:tab w:val="left" w:pos="360"/>
        </w:tabs>
        <w:suppressAutoHyphens/>
        <w:spacing w:after="120"/>
        <w:rPr>
          <w:rFonts w:ascii="Palatino Linotype" w:hAnsi="Palatino Linotype" w:cs="Arial"/>
          <w:bCs/>
          <w:sz w:val="24"/>
          <w:szCs w:val="24"/>
        </w:rPr>
      </w:pPr>
      <w:r w:rsidRPr="00520E97">
        <w:rPr>
          <w:rFonts w:ascii="Palatino Linotype" w:hAnsi="Palatino Linotype"/>
          <w:bCs/>
          <w:sz w:val="24"/>
          <w:szCs w:val="24"/>
        </w:rPr>
        <w:lastRenderedPageBreak/>
        <w:t>First point of interconnection with the electricity distribution system used to serve end users within the metered boundaries of a California balancing authority area.</w:t>
      </w:r>
    </w:p>
    <w:p w:rsidRPr="00520E97" w:rsidR="00756429" w:rsidP="008E334E" w:rsidRDefault="00756429" w14:paraId="24A822FE" w14:textId="77777777">
      <w:pPr>
        <w:numPr>
          <w:ilvl w:val="0"/>
          <w:numId w:val="17"/>
        </w:numPr>
        <w:tabs>
          <w:tab w:val="left" w:pos="360"/>
        </w:tabs>
        <w:suppressAutoHyphens/>
        <w:spacing w:after="120"/>
        <w:rPr>
          <w:rFonts w:ascii="Palatino Linotype" w:hAnsi="Palatino Linotype" w:cs="Arial"/>
          <w:bCs/>
          <w:sz w:val="24"/>
          <w:szCs w:val="24"/>
        </w:rPr>
      </w:pPr>
      <w:r w:rsidRPr="00520E97">
        <w:rPr>
          <w:rFonts w:ascii="Palatino Linotype" w:hAnsi="Palatino Linotype"/>
          <w:bCs/>
          <w:sz w:val="24"/>
          <w:szCs w:val="24"/>
        </w:rPr>
        <w:t>Generation from a facility that is scheduled into a California balancing authority without substituting electricity from any other source. If another source provides real-time ancillary services required to maintain an hourly or sub-hourly import schedule into the California balancing authority only the fraction of the schedule actually generated by the generation facility from which the electricity is procured may count toward this portfolio content category.</w:t>
      </w:r>
    </w:p>
    <w:p w:rsidRPr="00520E97" w:rsidR="00756429" w:rsidP="008E334E" w:rsidRDefault="00756429" w14:paraId="61532398" w14:textId="77777777">
      <w:pPr>
        <w:numPr>
          <w:ilvl w:val="0"/>
          <w:numId w:val="17"/>
        </w:numPr>
        <w:tabs>
          <w:tab w:val="left" w:pos="360"/>
        </w:tabs>
        <w:suppressAutoHyphens/>
        <w:spacing w:after="120"/>
        <w:rPr>
          <w:rFonts w:ascii="Palatino Linotype" w:hAnsi="Palatino Linotype" w:cs="Arial"/>
          <w:bCs/>
          <w:sz w:val="24"/>
          <w:szCs w:val="24"/>
        </w:rPr>
      </w:pPr>
      <w:r w:rsidRPr="00520E97">
        <w:rPr>
          <w:rFonts w:ascii="Palatino Linotype" w:hAnsi="Palatino Linotype"/>
          <w:bCs/>
          <w:sz w:val="24"/>
          <w:szCs w:val="24"/>
        </w:rPr>
        <w:t>Generation from a facility that is scheduled into a California balancing authority pursuant to a dynamic transfer agreement</w:t>
      </w:r>
      <w:r w:rsidRPr="00520E97">
        <w:rPr>
          <w:rStyle w:val="FootnoteReference"/>
          <w:rFonts w:ascii="Palatino Linotype" w:hAnsi="Palatino Linotype"/>
          <w:bCs/>
          <w:sz w:val="24"/>
          <w:szCs w:val="24"/>
        </w:rPr>
        <w:footnoteReference w:id="10"/>
      </w:r>
      <w:r w:rsidRPr="00520E97">
        <w:rPr>
          <w:rStyle w:val="FootnoteReference"/>
          <w:rFonts w:ascii="Palatino Linotype" w:hAnsi="Palatino Linotype"/>
          <w:bCs/>
          <w:sz w:val="24"/>
          <w:szCs w:val="24"/>
        </w:rPr>
        <w:t>3</w:t>
      </w:r>
      <w:r w:rsidRPr="00520E97">
        <w:rPr>
          <w:rFonts w:ascii="Palatino Linotype" w:hAnsi="Palatino Linotype"/>
          <w:bCs/>
          <w:sz w:val="24"/>
          <w:szCs w:val="24"/>
        </w:rPr>
        <w:t xml:space="preserve"> between the balancing authority where the generation facility is located and the California balancing authority into which the generation is scheduled.</w:t>
      </w:r>
    </w:p>
    <w:p w:rsidRPr="00520E97" w:rsidR="009B75FA" w:rsidP="008E334E" w:rsidRDefault="009B75FA" w14:paraId="13CB39CF" w14:textId="77777777">
      <w:pPr>
        <w:rPr>
          <w:rFonts w:ascii="Palatino Linotype" w:hAnsi="Palatino Linotype"/>
          <w:sz w:val="24"/>
          <w:szCs w:val="24"/>
        </w:rPr>
      </w:pPr>
    </w:p>
    <w:p w:rsidRPr="00520E97" w:rsidR="00085203" w:rsidP="008E334E" w:rsidRDefault="00085203" w14:paraId="3469FC3C" w14:textId="45275D9A">
      <w:pPr>
        <w:pStyle w:val="BodyText"/>
        <w:rPr>
          <w:rFonts w:ascii="Palatino Linotype" w:hAnsi="Palatino Linotype"/>
          <w:b w:val="0"/>
          <w:bCs/>
          <w:sz w:val="24"/>
          <w:szCs w:val="24"/>
          <w:u w:val="single"/>
        </w:rPr>
      </w:pPr>
      <w:r w:rsidRPr="00520E97">
        <w:rPr>
          <w:rFonts w:ascii="Palatino Linotype" w:hAnsi="Palatino Linotype"/>
          <w:b w:val="0"/>
          <w:bCs/>
          <w:sz w:val="24"/>
          <w:szCs w:val="24"/>
        </w:rPr>
        <w:t xml:space="preserve">In AL 470-E, BVES states that </w:t>
      </w:r>
      <w:r w:rsidRPr="00520E97" w:rsidR="004A232F">
        <w:rPr>
          <w:rFonts w:ascii="Palatino Linotype" w:hAnsi="Palatino Linotype"/>
          <w:b w:val="0"/>
          <w:bCs/>
          <w:sz w:val="24"/>
          <w:szCs w:val="24"/>
        </w:rPr>
        <w:t xml:space="preserve">the </w:t>
      </w:r>
      <w:r w:rsidRPr="00520E97" w:rsidR="00421660">
        <w:rPr>
          <w:rFonts w:ascii="Palatino Linotype" w:hAnsi="Palatino Linotype"/>
          <w:b w:val="0"/>
          <w:bCs/>
          <w:sz w:val="24"/>
          <w:szCs w:val="24"/>
        </w:rPr>
        <w:t>PPA</w:t>
      </w:r>
      <w:r w:rsidRPr="00520E97" w:rsidR="00130C75">
        <w:rPr>
          <w:rFonts w:ascii="Palatino Linotype" w:hAnsi="Palatino Linotype"/>
          <w:b w:val="0"/>
          <w:bCs/>
          <w:sz w:val="24"/>
          <w:szCs w:val="24"/>
        </w:rPr>
        <w:t xml:space="preserve"> limit</w:t>
      </w:r>
      <w:r w:rsidRPr="00520E97" w:rsidR="00330C96">
        <w:rPr>
          <w:rFonts w:ascii="Palatino Linotype" w:hAnsi="Palatino Linotype"/>
          <w:b w:val="0"/>
          <w:bCs/>
          <w:sz w:val="24"/>
          <w:szCs w:val="24"/>
        </w:rPr>
        <w:t>s</w:t>
      </w:r>
      <w:r w:rsidRPr="00520E97" w:rsidR="00130C75">
        <w:rPr>
          <w:rFonts w:ascii="Palatino Linotype" w:hAnsi="Palatino Linotype"/>
          <w:b w:val="0"/>
          <w:bCs/>
          <w:sz w:val="24"/>
          <w:szCs w:val="24"/>
        </w:rPr>
        <w:t xml:space="preserve"> the RPS energy procured</w:t>
      </w:r>
      <w:r w:rsidRPr="00520E97">
        <w:rPr>
          <w:rFonts w:ascii="Palatino Linotype" w:hAnsi="Palatino Linotype"/>
          <w:b w:val="0"/>
          <w:bCs/>
          <w:sz w:val="24"/>
          <w:szCs w:val="24"/>
        </w:rPr>
        <w:t xml:space="preserve"> by BVES</w:t>
      </w:r>
      <w:r w:rsidRPr="00520E97" w:rsidR="00330C96">
        <w:rPr>
          <w:rFonts w:ascii="Palatino Linotype" w:hAnsi="Palatino Linotype"/>
          <w:b w:val="0"/>
          <w:bCs/>
          <w:sz w:val="24"/>
          <w:szCs w:val="24"/>
        </w:rPr>
        <w:t xml:space="preserve"> to </w:t>
      </w:r>
      <w:r w:rsidRPr="00520E97">
        <w:rPr>
          <w:rFonts w:ascii="Palatino Linotype" w:hAnsi="Palatino Linotype"/>
          <w:b w:val="0"/>
          <w:bCs/>
          <w:sz w:val="24"/>
          <w:szCs w:val="24"/>
        </w:rPr>
        <w:t xml:space="preserve">be from facilities that </w:t>
      </w:r>
      <w:r w:rsidRPr="00520E97" w:rsidR="00BB68A9">
        <w:rPr>
          <w:rFonts w:ascii="Palatino Linotype" w:hAnsi="Palatino Linotype"/>
          <w:b w:val="0"/>
          <w:bCs/>
          <w:sz w:val="24"/>
          <w:szCs w:val="24"/>
        </w:rPr>
        <w:t xml:space="preserve">have a first point of interconnection with a California balancing authority, have a first point of interconnection with distribution facilities used to serve end users within a California balancing authority area, or </w:t>
      </w:r>
      <w:r w:rsidRPr="00520E97" w:rsidR="0057111C">
        <w:rPr>
          <w:rFonts w:ascii="Palatino Linotype" w:hAnsi="Palatino Linotype"/>
          <w:b w:val="0"/>
          <w:bCs/>
          <w:sz w:val="24"/>
          <w:szCs w:val="24"/>
        </w:rPr>
        <w:t>be</w:t>
      </w:r>
      <w:r w:rsidRPr="00520E97" w:rsidR="00BB68A9">
        <w:rPr>
          <w:rFonts w:ascii="Palatino Linotype" w:hAnsi="Palatino Linotype"/>
          <w:b w:val="0"/>
          <w:bCs/>
          <w:sz w:val="24"/>
          <w:szCs w:val="24"/>
        </w:rPr>
        <w:t xml:space="preserve"> scheduled from the ERR into a California balancing authority without substituting electricity from another source.</w:t>
      </w:r>
      <w:r w:rsidRPr="00520E97" w:rsidR="009450DB">
        <w:rPr>
          <w:rStyle w:val="FootnoteReference"/>
          <w:rFonts w:ascii="Palatino Linotype" w:hAnsi="Palatino Linotype"/>
          <w:b w:val="0"/>
          <w:bCs/>
          <w:sz w:val="24"/>
          <w:szCs w:val="24"/>
        </w:rPr>
        <w:footnoteReference w:id="11"/>
      </w:r>
      <w:r w:rsidRPr="00520E97" w:rsidR="00BB68A9">
        <w:rPr>
          <w:rFonts w:ascii="Palatino Linotype" w:hAnsi="Palatino Linotype"/>
          <w:b w:val="0"/>
          <w:bCs/>
          <w:sz w:val="24"/>
          <w:szCs w:val="24"/>
        </w:rPr>
        <w:t xml:space="preserve"> </w:t>
      </w:r>
      <w:r w:rsidRPr="00520E97" w:rsidR="008B6DF4">
        <w:rPr>
          <w:rFonts w:ascii="Palatino Linotype" w:hAnsi="Palatino Linotype"/>
          <w:b w:val="0"/>
          <w:bCs/>
          <w:sz w:val="24"/>
          <w:szCs w:val="24"/>
        </w:rPr>
        <w:t xml:space="preserve">While the exact ERR(s) to be procured under this contract is left unspecified, </w:t>
      </w:r>
      <w:r w:rsidRPr="00520E97" w:rsidR="00EE01B1">
        <w:rPr>
          <w:rFonts w:ascii="Palatino Linotype" w:hAnsi="Palatino Linotype"/>
          <w:b w:val="0"/>
          <w:bCs/>
          <w:sz w:val="24"/>
          <w:szCs w:val="24"/>
        </w:rPr>
        <w:t>Bear Valley attests to Shell’s reliability as a “substantial power supplier, who has contractual obligation under the Transaction Confirmation to locate and retain sufficient and compliant ERRs</w:t>
      </w:r>
      <w:r w:rsidRPr="00520E97" w:rsidR="00EA6937">
        <w:rPr>
          <w:rFonts w:ascii="Palatino Linotype" w:hAnsi="Palatino Linotype"/>
          <w:b w:val="0"/>
          <w:bCs/>
          <w:sz w:val="24"/>
          <w:szCs w:val="24"/>
        </w:rPr>
        <w:t xml:space="preserve"> to provide the required amounts of PCC</w:t>
      </w:r>
      <w:r w:rsidRPr="00520E97">
        <w:rPr>
          <w:rFonts w:ascii="Palatino Linotype" w:hAnsi="Palatino Linotype"/>
          <w:b w:val="0"/>
          <w:bCs/>
          <w:sz w:val="24"/>
          <w:szCs w:val="24"/>
        </w:rPr>
        <w:t xml:space="preserve"> </w:t>
      </w:r>
      <w:r w:rsidRPr="00520E97" w:rsidR="00EA6937">
        <w:rPr>
          <w:rFonts w:ascii="Palatino Linotype" w:hAnsi="Palatino Linotype"/>
          <w:b w:val="0"/>
          <w:bCs/>
          <w:sz w:val="24"/>
          <w:szCs w:val="24"/>
        </w:rPr>
        <w:t>1 energy and related RECs”.</w:t>
      </w:r>
      <w:r w:rsidRPr="00520E97" w:rsidR="00EA6937">
        <w:rPr>
          <w:rStyle w:val="FootnoteReference"/>
          <w:rFonts w:ascii="Palatino Linotype" w:hAnsi="Palatino Linotype"/>
          <w:b w:val="0"/>
          <w:bCs/>
          <w:sz w:val="24"/>
          <w:szCs w:val="24"/>
        </w:rPr>
        <w:footnoteReference w:id="12"/>
      </w:r>
      <w:r w:rsidRPr="00520E97" w:rsidR="00E81ADC">
        <w:rPr>
          <w:rFonts w:ascii="Palatino Linotype" w:hAnsi="Palatino Linotype"/>
          <w:b w:val="0"/>
          <w:bCs/>
          <w:sz w:val="24"/>
          <w:szCs w:val="24"/>
        </w:rPr>
        <w:t xml:space="preserve"> Thus, </w:t>
      </w:r>
      <w:r w:rsidRPr="00520E97">
        <w:rPr>
          <w:rFonts w:ascii="Palatino Linotype" w:hAnsi="Palatino Linotype"/>
          <w:bCs/>
          <w:sz w:val="24"/>
          <w:szCs w:val="24"/>
          <w:u w:val="single"/>
        </w:rPr>
        <w:t xml:space="preserve"> </w:t>
      </w:r>
      <w:r w:rsidRPr="00520E97">
        <w:rPr>
          <w:rFonts w:ascii="Palatino Linotype" w:hAnsi="Palatino Linotype"/>
          <w:b w:val="0"/>
          <w:bCs/>
          <w:sz w:val="24"/>
          <w:szCs w:val="24"/>
          <w:u w:val="single"/>
        </w:rPr>
        <w:t xml:space="preserve">consistent with D.11-12-052, BVES provided information in </w:t>
      </w:r>
      <w:r w:rsidR="00054D1F">
        <w:rPr>
          <w:rFonts w:ascii="Palatino Linotype" w:hAnsi="Palatino Linotype"/>
          <w:b w:val="0"/>
          <w:bCs/>
          <w:sz w:val="24"/>
          <w:szCs w:val="24"/>
          <w:u w:val="single"/>
        </w:rPr>
        <w:br/>
      </w:r>
      <w:r w:rsidRPr="00520E97">
        <w:rPr>
          <w:rFonts w:ascii="Palatino Linotype" w:hAnsi="Palatino Linotype"/>
          <w:b w:val="0"/>
          <w:bCs/>
          <w:sz w:val="24"/>
          <w:szCs w:val="24"/>
          <w:u w:val="single"/>
        </w:rPr>
        <w:t xml:space="preserve">AL 470-E regarding the expected portfolio content category classification of the renewable energy credits procured pursuant to the Shell PPA.  </w:t>
      </w:r>
    </w:p>
    <w:p w:rsidRPr="00520E97" w:rsidR="00085203" w:rsidP="008E334E" w:rsidRDefault="00085203" w14:paraId="60FE583F" w14:textId="77777777">
      <w:pPr>
        <w:pStyle w:val="BodyText"/>
        <w:rPr>
          <w:rFonts w:ascii="Palatino Linotype" w:hAnsi="Palatino Linotype"/>
          <w:b w:val="0"/>
          <w:sz w:val="24"/>
          <w:szCs w:val="24"/>
          <w:u w:val="single"/>
        </w:rPr>
      </w:pPr>
    </w:p>
    <w:p w:rsidRPr="00520E97" w:rsidR="00BB7214" w:rsidP="008E334E" w:rsidRDefault="00085203" w14:paraId="2AEAE04C" w14:textId="25D799FD">
      <w:pPr>
        <w:pStyle w:val="BodyText"/>
        <w:rPr>
          <w:rFonts w:ascii="Palatino Linotype" w:hAnsi="Palatino Linotype"/>
          <w:b w:val="0"/>
          <w:bCs/>
          <w:sz w:val="24"/>
          <w:szCs w:val="24"/>
        </w:rPr>
      </w:pPr>
      <w:r w:rsidRPr="00520E97">
        <w:rPr>
          <w:rFonts w:ascii="Palatino Linotype" w:hAnsi="Palatino Linotype"/>
          <w:b w:val="0"/>
          <w:bCs/>
          <w:sz w:val="24"/>
          <w:szCs w:val="24"/>
        </w:rPr>
        <w:t xml:space="preserve">In this resolution, the Commission makes no determination regarding the </w:t>
      </w:r>
      <w:r w:rsidRPr="00520E97" w:rsidR="00561A7B">
        <w:rPr>
          <w:rFonts w:ascii="Palatino Linotype" w:hAnsi="Palatino Linotype"/>
          <w:b w:val="0"/>
          <w:bCs/>
          <w:sz w:val="24"/>
          <w:szCs w:val="24"/>
        </w:rPr>
        <w:t>PCC</w:t>
      </w:r>
      <w:r w:rsidRPr="00520E97">
        <w:rPr>
          <w:rFonts w:ascii="Palatino Linotype" w:hAnsi="Palatino Linotype"/>
          <w:b w:val="0"/>
          <w:bCs/>
          <w:sz w:val="24"/>
          <w:szCs w:val="24"/>
        </w:rPr>
        <w:t xml:space="preserve"> classification</w:t>
      </w:r>
      <w:r w:rsidRPr="00520E97" w:rsidR="00421660">
        <w:rPr>
          <w:rFonts w:ascii="Palatino Linotype" w:hAnsi="Palatino Linotype"/>
          <w:b w:val="0"/>
          <w:bCs/>
          <w:sz w:val="24"/>
          <w:szCs w:val="24"/>
        </w:rPr>
        <w:t xml:space="preserve"> of the RECs to be procured pursuant to this PPA</w:t>
      </w:r>
      <w:r w:rsidRPr="00520E97">
        <w:rPr>
          <w:rFonts w:ascii="Palatino Linotype" w:hAnsi="Palatino Linotype"/>
          <w:b w:val="0"/>
          <w:bCs/>
          <w:sz w:val="24"/>
          <w:szCs w:val="24"/>
        </w:rPr>
        <w:t xml:space="preserve">.  The RPS contract evaluation process is separate from the RPS compliance and </w:t>
      </w:r>
      <w:r w:rsidRPr="00520E97" w:rsidR="00561A7B">
        <w:rPr>
          <w:rFonts w:ascii="Palatino Linotype" w:hAnsi="Palatino Linotype"/>
          <w:b w:val="0"/>
          <w:bCs/>
          <w:sz w:val="24"/>
          <w:szCs w:val="24"/>
        </w:rPr>
        <w:t>PCC</w:t>
      </w:r>
      <w:r w:rsidRPr="00520E97">
        <w:rPr>
          <w:rFonts w:ascii="Palatino Linotype" w:hAnsi="Palatino Linotype"/>
          <w:b w:val="0"/>
          <w:bCs/>
          <w:sz w:val="24"/>
          <w:szCs w:val="24"/>
        </w:rPr>
        <w:t xml:space="preserve"> classification process, which requires consideration of several factors based on various showings in a compliance filing.  Thus, making a </w:t>
      </w:r>
      <w:r w:rsidRPr="00520E97" w:rsidR="00561A7B">
        <w:rPr>
          <w:rFonts w:ascii="Palatino Linotype" w:hAnsi="Palatino Linotype"/>
          <w:b w:val="0"/>
          <w:bCs/>
          <w:sz w:val="24"/>
          <w:szCs w:val="24"/>
        </w:rPr>
        <w:t>PCC</w:t>
      </w:r>
      <w:r w:rsidRPr="00520E97">
        <w:rPr>
          <w:rFonts w:ascii="Palatino Linotype" w:hAnsi="Palatino Linotype"/>
          <w:b w:val="0"/>
          <w:bCs/>
          <w:sz w:val="24"/>
          <w:szCs w:val="24"/>
        </w:rPr>
        <w:t xml:space="preserve"> classification determination in this resolution regarding the procurement considered herein is not appropriate.   BVES should </w:t>
      </w:r>
      <w:r w:rsidRPr="00520E97">
        <w:rPr>
          <w:rFonts w:ascii="Palatino Linotype" w:hAnsi="Palatino Linotype"/>
          <w:b w:val="0"/>
          <w:bCs/>
          <w:sz w:val="24"/>
          <w:szCs w:val="24"/>
        </w:rPr>
        <w:lastRenderedPageBreak/>
        <w:t xml:space="preserve">incorporate the procurement resulting from the approved the Shell PPA and all applicable supporting documentation to demonstrate </w:t>
      </w:r>
      <w:r w:rsidRPr="00520E97" w:rsidR="00561A7B">
        <w:rPr>
          <w:rFonts w:ascii="Palatino Linotype" w:hAnsi="Palatino Linotype"/>
          <w:b w:val="0"/>
          <w:bCs/>
          <w:sz w:val="24"/>
          <w:szCs w:val="24"/>
        </w:rPr>
        <w:t>PCC</w:t>
      </w:r>
      <w:r w:rsidRPr="00520E97">
        <w:rPr>
          <w:rFonts w:ascii="Palatino Linotype" w:hAnsi="Palatino Linotype"/>
          <w:b w:val="0"/>
          <w:bCs/>
          <w:sz w:val="24"/>
          <w:szCs w:val="24"/>
        </w:rPr>
        <w:t xml:space="preserve"> classification in the appropriate compliance showings consistent with all applicable RPS program rules.</w:t>
      </w:r>
    </w:p>
    <w:p w:rsidRPr="00520E97" w:rsidR="00063C5C" w:rsidP="008E334E" w:rsidRDefault="00063C5C" w14:paraId="0B5E0232" w14:textId="77777777">
      <w:pPr>
        <w:pStyle w:val="BodyText"/>
        <w:rPr>
          <w:rFonts w:ascii="Palatino Linotype" w:hAnsi="Palatino Linotype"/>
          <w:bCs/>
          <w:sz w:val="24"/>
          <w:szCs w:val="24"/>
        </w:rPr>
      </w:pPr>
    </w:p>
    <w:p w:rsidRPr="00520E97" w:rsidR="00BB7214" w:rsidP="008E334E" w:rsidRDefault="00BB7214" w14:paraId="7BDF7929" w14:textId="7E253E6F">
      <w:pPr>
        <w:rPr>
          <w:rFonts w:ascii="Palatino Linotype" w:hAnsi="Palatino Linotype"/>
          <w:b/>
          <w:bCs/>
          <w:sz w:val="24"/>
          <w:szCs w:val="24"/>
        </w:rPr>
      </w:pPr>
      <w:r w:rsidRPr="00520E97">
        <w:rPr>
          <w:rFonts w:ascii="Palatino Linotype" w:hAnsi="Palatino Linotype"/>
          <w:b/>
          <w:bCs/>
          <w:sz w:val="24"/>
          <w:szCs w:val="24"/>
        </w:rPr>
        <w:t>Consistency with RPS Standard Terms and Conditions (STCs)</w:t>
      </w:r>
    </w:p>
    <w:p w:rsidRPr="00520E97" w:rsidR="004A431D" w:rsidP="008E334E" w:rsidRDefault="004A431D" w14:paraId="346601BD" w14:textId="77777777">
      <w:pPr>
        <w:rPr>
          <w:rFonts w:ascii="Palatino Linotype" w:hAnsi="Palatino Linotype"/>
          <w:b/>
          <w:bCs/>
          <w:sz w:val="24"/>
          <w:szCs w:val="24"/>
        </w:rPr>
      </w:pPr>
    </w:p>
    <w:p w:rsidRPr="00520E97" w:rsidR="004A431D" w:rsidP="008E334E" w:rsidRDefault="004A431D" w14:paraId="452EFF2B" w14:textId="2B58AD6D">
      <w:pPr>
        <w:rPr>
          <w:rFonts w:ascii="Palatino Linotype" w:hAnsi="Palatino Linotype"/>
          <w:sz w:val="24"/>
          <w:szCs w:val="24"/>
        </w:rPr>
      </w:pPr>
      <w:r w:rsidRPr="00520E97">
        <w:rPr>
          <w:rFonts w:ascii="Palatino Linotype" w:hAnsi="Palatino Linotype"/>
          <w:sz w:val="24"/>
          <w:szCs w:val="24"/>
        </w:rPr>
        <w:t>The Commission requires a set of standard terms and conditions (STCs) required in RPS contracts</w:t>
      </w:r>
      <w:r w:rsidRPr="00520E97" w:rsidR="006678C9">
        <w:rPr>
          <w:rFonts w:ascii="Palatino Linotype" w:hAnsi="Palatino Linotype"/>
          <w:sz w:val="24"/>
          <w:szCs w:val="24"/>
        </w:rPr>
        <w:t>, six of which are considered “non-modifiable.” The STCs were compiled</w:t>
      </w:r>
      <w:r w:rsidRPr="00520E97" w:rsidR="00F70B8F">
        <w:rPr>
          <w:rFonts w:ascii="Palatino Linotype" w:hAnsi="Palatino Linotype"/>
          <w:sz w:val="24"/>
          <w:szCs w:val="24"/>
        </w:rPr>
        <w:t xml:space="preserve"> by the Commission</w:t>
      </w:r>
      <w:r w:rsidRPr="00520E97" w:rsidR="006678C9">
        <w:rPr>
          <w:rFonts w:ascii="Palatino Linotype" w:hAnsi="Palatino Linotype"/>
          <w:sz w:val="24"/>
          <w:szCs w:val="24"/>
        </w:rPr>
        <w:t xml:space="preserve"> </w:t>
      </w:r>
      <w:r w:rsidRPr="00520E97" w:rsidR="002B1BEE">
        <w:rPr>
          <w:rFonts w:ascii="Palatino Linotype" w:hAnsi="Palatino Linotype"/>
          <w:sz w:val="24"/>
          <w:szCs w:val="24"/>
        </w:rPr>
        <w:t>in D.08-04-009</w:t>
      </w:r>
      <w:r w:rsidRPr="00520E97" w:rsidR="00B20F13">
        <w:rPr>
          <w:rFonts w:ascii="Palatino Linotype" w:hAnsi="Palatino Linotype"/>
          <w:sz w:val="24"/>
          <w:szCs w:val="24"/>
        </w:rPr>
        <w:t xml:space="preserve">, </w:t>
      </w:r>
      <w:r w:rsidRPr="00520E97" w:rsidR="002B1BEE">
        <w:rPr>
          <w:rFonts w:ascii="Palatino Linotype" w:hAnsi="Palatino Linotype"/>
          <w:sz w:val="24"/>
          <w:szCs w:val="24"/>
        </w:rPr>
        <w:t>amended in D.08-08-028</w:t>
      </w:r>
      <w:r w:rsidRPr="00520E97" w:rsidR="00A61D50">
        <w:rPr>
          <w:rFonts w:ascii="Palatino Linotype" w:hAnsi="Palatino Linotype"/>
          <w:sz w:val="24"/>
          <w:szCs w:val="24"/>
        </w:rPr>
        <w:t xml:space="preserve">, </w:t>
      </w:r>
      <w:r w:rsidRPr="00520E97" w:rsidR="00B20F13">
        <w:rPr>
          <w:rFonts w:ascii="Palatino Linotype" w:hAnsi="Palatino Linotype"/>
          <w:sz w:val="24"/>
          <w:szCs w:val="24"/>
        </w:rPr>
        <w:t>and</w:t>
      </w:r>
      <w:r w:rsidRPr="00520E97" w:rsidR="00B0020E">
        <w:rPr>
          <w:rFonts w:ascii="Palatino Linotype" w:hAnsi="Palatino Linotype"/>
          <w:sz w:val="24"/>
          <w:szCs w:val="24"/>
        </w:rPr>
        <w:t xml:space="preserve"> refined in D.10-03-021, as modified by D.11-01-025. </w:t>
      </w:r>
    </w:p>
    <w:p w:rsidRPr="00520E97" w:rsidR="00F70B8F" w:rsidP="008E334E" w:rsidRDefault="00F70B8F" w14:paraId="5D77BD72" w14:textId="77777777">
      <w:pPr>
        <w:rPr>
          <w:rFonts w:ascii="Palatino Linotype" w:hAnsi="Palatino Linotype"/>
          <w:sz w:val="24"/>
          <w:szCs w:val="24"/>
        </w:rPr>
      </w:pPr>
    </w:p>
    <w:p w:rsidRPr="00520E97" w:rsidR="00F70B8F" w:rsidP="008E334E" w:rsidRDefault="00F70B8F" w14:paraId="302EE7F9" w14:textId="455C846E">
      <w:pPr>
        <w:rPr>
          <w:rFonts w:ascii="Palatino Linotype" w:hAnsi="Palatino Linotype"/>
          <w:sz w:val="24"/>
          <w:szCs w:val="24"/>
          <w:u w:val="single"/>
        </w:rPr>
      </w:pPr>
      <w:r w:rsidRPr="00520E97">
        <w:rPr>
          <w:rFonts w:ascii="Palatino Linotype" w:hAnsi="Palatino Linotype"/>
          <w:sz w:val="24"/>
          <w:szCs w:val="24"/>
          <w:u w:val="single"/>
        </w:rPr>
        <w:t xml:space="preserve">The Power Purchase Agreement includes all of the </w:t>
      </w:r>
      <w:r w:rsidRPr="00520E97" w:rsidR="00B62102">
        <w:rPr>
          <w:rFonts w:ascii="Palatino Linotype" w:hAnsi="Palatino Linotype"/>
          <w:sz w:val="24"/>
          <w:szCs w:val="24"/>
          <w:u w:val="single"/>
        </w:rPr>
        <w:t xml:space="preserve">RPS “non-modifiable” standard terms and conditions, as set forth in D.08-04-009, D.08-08-028, D.10-03-021, and </w:t>
      </w:r>
      <w:r w:rsidR="007D68A1">
        <w:rPr>
          <w:rFonts w:ascii="Palatino Linotype" w:hAnsi="Palatino Linotype"/>
          <w:sz w:val="24"/>
          <w:szCs w:val="24"/>
          <w:u w:val="single"/>
        </w:rPr>
        <w:br/>
      </w:r>
      <w:r w:rsidRPr="00520E97" w:rsidR="00B62102">
        <w:rPr>
          <w:rFonts w:ascii="Palatino Linotype" w:hAnsi="Palatino Linotype"/>
          <w:sz w:val="24"/>
          <w:szCs w:val="24"/>
          <w:u w:val="single"/>
        </w:rPr>
        <w:t>D.11-01-025.</w:t>
      </w:r>
    </w:p>
    <w:p w:rsidRPr="00520E97" w:rsidR="00BB7214" w:rsidP="008E334E" w:rsidRDefault="00BB7214" w14:paraId="280E481E" w14:textId="77777777">
      <w:pPr>
        <w:rPr>
          <w:rFonts w:ascii="Palatino Linotype" w:hAnsi="Palatino Linotype"/>
          <w:b/>
          <w:bCs/>
          <w:sz w:val="24"/>
          <w:szCs w:val="24"/>
          <w:highlight w:val="yellow"/>
        </w:rPr>
      </w:pPr>
    </w:p>
    <w:p w:rsidRPr="00520E97" w:rsidR="00BB7214" w:rsidP="008E334E" w:rsidRDefault="00BB7214" w14:paraId="47381E4B" w14:textId="5F9E181B">
      <w:pPr>
        <w:rPr>
          <w:rFonts w:ascii="Palatino Linotype" w:hAnsi="Palatino Linotype"/>
          <w:b/>
          <w:bCs/>
          <w:sz w:val="24"/>
          <w:szCs w:val="24"/>
        </w:rPr>
      </w:pPr>
      <w:r w:rsidRPr="00520E97">
        <w:rPr>
          <w:rFonts w:ascii="Palatino Linotype" w:hAnsi="Palatino Linotype"/>
          <w:b/>
          <w:bCs/>
          <w:sz w:val="24"/>
          <w:szCs w:val="24"/>
        </w:rPr>
        <w:t xml:space="preserve">Consistency with the Commission’s Least-Cost-Best-Fit Expectations </w:t>
      </w:r>
    </w:p>
    <w:p w:rsidRPr="00520E97" w:rsidR="00C46219" w:rsidP="008E334E" w:rsidRDefault="00C46219" w14:paraId="30A6FB00" w14:textId="77777777">
      <w:pPr>
        <w:rPr>
          <w:rFonts w:ascii="Palatino Linotype" w:hAnsi="Palatino Linotype"/>
          <w:sz w:val="24"/>
          <w:szCs w:val="24"/>
        </w:rPr>
      </w:pPr>
    </w:p>
    <w:p w:rsidRPr="00520E97" w:rsidR="00630787" w:rsidP="008E334E" w:rsidRDefault="007C03B2" w14:paraId="05992226" w14:textId="06D4E6CD">
      <w:pPr>
        <w:rPr>
          <w:rFonts w:ascii="Palatino Linotype" w:hAnsi="Palatino Linotype"/>
          <w:sz w:val="24"/>
          <w:szCs w:val="24"/>
        </w:rPr>
      </w:pPr>
      <w:r w:rsidRPr="00520E97">
        <w:rPr>
          <w:rFonts w:ascii="Palatino Linotype" w:hAnsi="Palatino Linotype"/>
          <w:sz w:val="24"/>
          <w:szCs w:val="24"/>
        </w:rPr>
        <w:t>In D.</w:t>
      </w:r>
      <w:r w:rsidRPr="00520E97" w:rsidR="00E765F6">
        <w:rPr>
          <w:rFonts w:ascii="Palatino Linotype" w:hAnsi="Palatino Linotype"/>
          <w:sz w:val="24"/>
          <w:szCs w:val="24"/>
        </w:rPr>
        <w:t xml:space="preserve">04-07-029, the Commission directs the utilities to use </w:t>
      </w:r>
      <w:r w:rsidRPr="00520E97" w:rsidR="002A2973">
        <w:rPr>
          <w:rFonts w:ascii="Palatino Linotype" w:hAnsi="Palatino Linotype"/>
          <w:sz w:val="24"/>
          <w:szCs w:val="24"/>
        </w:rPr>
        <w:t xml:space="preserve">certain criteria for the selection of least-cost and best-fit </w:t>
      </w:r>
      <w:r w:rsidRPr="00520E97" w:rsidR="00251D1E">
        <w:rPr>
          <w:rFonts w:ascii="Palatino Linotype" w:hAnsi="Palatino Linotype"/>
          <w:sz w:val="24"/>
          <w:szCs w:val="24"/>
        </w:rPr>
        <w:t xml:space="preserve">(“LCBF”) </w:t>
      </w:r>
      <w:r w:rsidRPr="00520E97" w:rsidR="002A2973">
        <w:rPr>
          <w:rFonts w:ascii="Palatino Linotype" w:hAnsi="Palatino Linotype"/>
          <w:sz w:val="24"/>
          <w:szCs w:val="24"/>
        </w:rPr>
        <w:t xml:space="preserve">renewable resources on a </w:t>
      </w:r>
      <w:r w:rsidRPr="00520E97" w:rsidR="00AD08A1">
        <w:rPr>
          <w:rFonts w:ascii="Palatino Linotype" w:hAnsi="Palatino Linotype"/>
          <w:sz w:val="24"/>
          <w:szCs w:val="24"/>
        </w:rPr>
        <w:t>total-cost basis to comply with the RPS program.</w:t>
      </w:r>
      <w:r w:rsidRPr="00520E97" w:rsidR="00AD08A1">
        <w:rPr>
          <w:rStyle w:val="FootnoteReference"/>
          <w:rFonts w:ascii="Palatino Linotype" w:hAnsi="Palatino Linotype"/>
          <w:sz w:val="24"/>
          <w:szCs w:val="24"/>
        </w:rPr>
        <w:footnoteReference w:id="13"/>
      </w:r>
      <w:r w:rsidRPr="00520E97" w:rsidR="00201201">
        <w:rPr>
          <w:rFonts w:ascii="Palatino Linotype" w:hAnsi="Palatino Linotype"/>
          <w:sz w:val="24"/>
          <w:szCs w:val="24"/>
        </w:rPr>
        <w:t xml:space="preserve"> </w:t>
      </w:r>
      <w:r w:rsidRPr="00520E97" w:rsidR="00B9644C">
        <w:rPr>
          <w:rFonts w:ascii="Palatino Linotype" w:hAnsi="Palatino Linotype"/>
          <w:sz w:val="24"/>
          <w:szCs w:val="24"/>
        </w:rPr>
        <w:t>The</w:t>
      </w:r>
      <w:r w:rsidRPr="00520E97" w:rsidR="00251D1E">
        <w:rPr>
          <w:rFonts w:ascii="Palatino Linotype" w:hAnsi="Palatino Linotype"/>
          <w:sz w:val="24"/>
          <w:szCs w:val="24"/>
        </w:rPr>
        <w:t xml:space="preserve"> LCBF requirements enumerated in D.04-07-029, as well as D.11-04-030, D.12</w:t>
      </w:r>
      <w:r w:rsidRPr="00520E97" w:rsidR="005A2668">
        <w:rPr>
          <w:rFonts w:ascii="Palatino Linotype" w:hAnsi="Palatino Linotype"/>
          <w:sz w:val="24"/>
          <w:szCs w:val="24"/>
        </w:rPr>
        <w:t xml:space="preserve">-11-016, D.14-11-042 and D.16-12-044 </w:t>
      </w:r>
      <w:r w:rsidRPr="00520E97" w:rsidR="00837F27">
        <w:rPr>
          <w:rFonts w:ascii="Palatino Linotype" w:hAnsi="Palatino Linotype"/>
          <w:sz w:val="24"/>
          <w:szCs w:val="24"/>
        </w:rPr>
        <w:t>were imposed on California’s three largest investor-owned utilities</w:t>
      </w:r>
      <w:r w:rsidRPr="00520E97" w:rsidR="00D911E7">
        <w:rPr>
          <w:rFonts w:ascii="Palatino Linotype" w:hAnsi="Palatino Linotype"/>
          <w:sz w:val="24"/>
          <w:szCs w:val="24"/>
        </w:rPr>
        <w:t xml:space="preserve">. </w:t>
      </w:r>
    </w:p>
    <w:p w:rsidRPr="00520E97" w:rsidR="00630787" w:rsidP="008E334E" w:rsidRDefault="00630787" w14:paraId="7BC3EE37" w14:textId="77777777">
      <w:pPr>
        <w:rPr>
          <w:rFonts w:ascii="Palatino Linotype" w:hAnsi="Palatino Linotype"/>
          <w:sz w:val="24"/>
          <w:szCs w:val="24"/>
        </w:rPr>
      </w:pPr>
    </w:p>
    <w:p w:rsidRPr="00520E97" w:rsidR="00D82D50" w:rsidP="008E334E" w:rsidRDefault="00820623" w14:paraId="4F52C249" w14:textId="2A81D694">
      <w:pPr>
        <w:rPr>
          <w:rFonts w:ascii="Palatino Linotype" w:hAnsi="Palatino Linotype"/>
          <w:sz w:val="24"/>
          <w:szCs w:val="24"/>
        </w:rPr>
      </w:pPr>
      <w:r w:rsidRPr="00520E97">
        <w:rPr>
          <w:rFonts w:ascii="Palatino Linotype" w:hAnsi="Palatino Linotype"/>
          <w:sz w:val="24"/>
          <w:szCs w:val="24"/>
        </w:rPr>
        <w:t xml:space="preserve">The </w:t>
      </w:r>
      <w:r w:rsidRPr="00520E97" w:rsidR="00DA2080">
        <w:rPr>
          <w:rFonts w:ascii="Palatino Linotype" w:hAnsi="Palatino Linotype"/>
          <w:sz w:val="24"/>
          <w:szCs w:val="24"/>
        </w:rPr>
        <w:t>PPA</w:t>
      </w:r>
      <w:r w:rsidRPr="00520E97">
        <w:rPr>
          <w:rFonts w:ascii="Palatino Linotype" w:hAnsi="Palatino Linotype"/>
          <w:sz w:val="24"/>
          <w:szCs w:val="24"/>
        </w:rPr>
        <w:t xml:space="preserve"> between Bear Valley and Shell stems from two RFP</w:t>
      </w:r>
      <w:r w:rsidRPr="00520E97" w:rsidR="00D23FBD">
        <w:rPr>
          <w:rFonts w:ascii="Palatino Linotype" w:hAnsi="Palatino Linotype"/>
          <w:sz w:val="24"/>
          <w:szCs w:val="24"/>
        </w:rPr>
        <w:t>s</w:t>
      </w:r>
      <w:r w:rsidRPr="00520E97" w:rsidR="000A2065">
        <w:rPr>
          <w:rFonts w:ascii="Palatino Linotype" w:hAnsi="Palatino Linotype"/>
          <w:sz w:val="24"/>
          <w:szCs w:val="24"/>
        </w:rPr>
        <w:t xml:space="preserve">, whereby </w:t>
      </w:r>
      <w:r w:rsidRPr="00520E97" w:rsidR="004F02C1">
        <w:rPr>
          <w:rFonts w:ascii="Palatino Linotype" w:hAnsi="Palatino Linotype"/>
          <w:sz w:val="24"/>
          <w:szCs w:val="24"/>
        </w:rPr>
        <w:t xml:space="preserve">Bear Valley considered </w:t>
      </w:r>
      <w:r w:rsidRPr="00520E97" w:rsidR="008320B2">
        <w:rPr>
          <w:rFonts w:ascii="Palatino Linotype" w:hAnsi="Palatino Linotype"/>
          <w:sz w:val="24"/>
          <w:szCs w:val="24"/>
        </w:rPr>
        <w:t xml:space="preserve">Shell </w:t>
      </w:r>
      <w:r w:rsidRPr="00520E97" w:rsidR="000A2065">
        <w:rPr>
          <w:rFonts w:ascii="Palatino Linotype" w:hAnsi="Palatino Linotype"/>
          <w:sz w:val="24"/>
          <w:szCs w:val="24"/>
        </w:rPr>
        <w:t>the best-fit option</w:t>
      </w:r>
      <w:r w:rsidRPr="00520E97" w:rsidR="008320B2">
        <w:rPr>
          <w:rFonts w:ascii="Palatino Linotype" w:hAnsi="Palatino Linotype"/>
          <w:sz w:val="24"/>
          <w:szCs w:val="24"/>
        </w:rPr>
        <w:t>, and the contract</w:t>
      </w:r>
      <w:r w:rsidRPr="00520E97" w:rsidR="000A2065">
        <w:rPr>
          <w:rFonts w:ascii="Palatino Linotype" w:hAnsi="Palatino Linotype"/>
          <w:sz w:val="24"/>
          <w:szCs w:val="24"/>
        </w:rPr>
        <w:t xml:space="preserve"> was then negotiated bilaterally</w:t>
      </w:r>
      <w:r w:rsidRPr="00520E97" w:rsidR="00D82D50">
        <w:rPr>
          <w:rFonts w:ascii="Palatino Linotype" w:hAnsi="Palatino Linotype"/>
          <w:sz w:val="24"/>
          <w:szCs w:val="24"/>
        </w:rPr>
        <w:t xml:space="preserve"> to further meet the procurement, contracting, and resource needs of the small utility</w:t>
      </w:r>
      <w:r w:rsidRPr="00520E97" w:rsidR="00D23FBD">
        <w:rPr>
          <w:rFonts w:ascii="Palatino Linotype" w:hAnsi="Palatino Linotype"/>
          <w:sz w:val="24"/>
          <w:szCs w:val="24"/>
        </w:rPr>
        <w:t xml:space="preserve">. </w:t>
      </w:r>
      <w:r w:rsidRPr="00520E97" w:rsidR="0067408E">
        <w:rPr>
          <w:rFonts w:ascii="Palatino Linotype" w:hAnsi="Palatino Linotype"/>
          <w:sz w:val="24"/>
          <w:szCs w:val="24"/>
        </w:rPr>
        <w:t xml:space="preserve">Though </w:t>
      </w:r>
      <w:r w:rsidRPr="00520E97" w:rsidR="00CB3A24">
        <w:rPr>
          <w:rFonts w:ascii="Palatino Linotype" w:hAnsi="Palatino Linotype"/>
          <w:sz w:val="24"/>
          <w:szCs w:val="24"/>
        </w:rPr>
        <w:t>Bear Valley is not required to comply to th</w:t>
      </w:r>
      <w:r w:rsidRPr="00520E97" w:rsidR="008320B2">
        <w:rPr>
          <w:rFonts w:ascii="Palatino Linotype" w:hAnsi="Palatino Linotype"/>
          <w:sz w:val="24"/>
          <w:szCs w:val="24"/>
        </w:rPr>
        <w:t xml:space="preserve">e </w:t>
      </w:r>
      <w:r w:rsidRPr="00520E97" w:rsidR="00CB3A24">
        <w:rPr>
          <w:rFonts w:ascii="Palatino Linotype" w:hAnsi="Palatino Linotype"/>
          <w:sz w:val="24"/>
          <w:szCs w:val="24"/>
        </w:rPr>
        <w:t>specific LCBF requirements</w:t>
      </w:r>
      <w:r w:rsidRPr="00520E97" w:rsidR="008320B2">
        <w:rPr>
          <w:rFonts w:ascii="Palatino Linotype" w:hAnsi="Palatino Linotype"/>
          <w:sz w:val="24"/>
          <w:szCs w:val="24"/>
        </w:rPr>
        <w:t xml:space="preserve"> mentioned above</w:t>
      </w:r>
      <w:r w:rsidRPr="00520E97" w:rsidR="005145D0">
        <w:rPr>
          <w:rFonts w:ascii="Palatino Linotype" w:hAnsi="Palatino Linotype"/>
          <w:sz w:val="24"/>
          <w:szCs w:val="24"/>
        </w:rPr>
        <w:t xml:space="preserve">, the small utility </w:t>
      </w:r>
      <w:r w:rsidRPr="00520E97" w:rsidR="004D654C">
        <w:rPr>
          <w:rFonts w:ascii="Palatino Linotype" w:hAnsi="Palatino Linotype"/>
          <w:sz w:val="24"/>
          <w:szCs w:val="24"/>
        </w:rPr>
        <w:t>states it “considered those factors and objectives in pursuing the resource product reflected</w:t>
      </w:r>
      <w:r w:rsidRPr="00520E97" w:rsidR="00CC27F5">
        <w:rPr>
          <w:rFonts w:ascii="Palatino Linotype" w:hAnsi="Palatino Linotype"/>
          <w:sz w:val="24"/>
          <w:szCs w:val="24"/>
        </w:rPr>
        <w:t xml:space="preserve"> in the subject Transaction Confirmation”.</w:t>
      </w:r>
      <w:r w:rsidRPr="00520E97" w:rsidR="00CC27F5">
        <w:rPr>
          <w:rStyle w:val="FootnoteReference"/>
          <w:rFonts w:ascii="Palatino Linotype" w:hAnsi="Palatino Linotype"/>
          <w:sz w:val="24"/>
          <w:szCs w:val="24"/>
        </w:rPr>
        <w:footnoteReference w:id="14"/>
      </w:r>
      <w:r w:rsidRPr="00520E97" w:rsidR="005878C2">
        <w:rPr>
          <w:rFonts w:ascii="Palatino Linotype" w:hAnsi="Palatino Linotype"/>
          <w:sz w:val="24"/>
          <w:szCs w:val="24"/>
        </w:rPr>
        <w:t xml:space="preserve"> </w:t>
      </w:r>
    </w:p>
    <w:p w:rsidRPr="00520E97" w:rsidR="0074253F" w:rsidP="008E334E" w:rsidRDefault="0074253F" w14:paraId="0F1D7A3E" w14:textId="77777777">
      <w:pPr>
        <w:rPr>
          <w:rFonts w:ascii="Palatino Linotype" w:hAnsi="Palatino Linotype"/>
          <w:sz w:val="24"/>
          <w:szCs w:val="24"/>
        </w:rPr>
      </w:pPr>
    </w:p>
    <w:p w:rsidRPr="00520E97" w:rsidR="0074253F" w:rsidP="008E334E" w:rsidRDefault="0074253F" w14:paraId="5BD56E9A" w14:textId="701EE124">
      <w:pPr>
        <w:rPr>
          <w:rFonts w:ascii="Palatino Linotype" w:hAnsi="Palatino Linotype"/>
          <w:sz w:val="24"/>
          <w:szCs w:val="24"/>
          <w:u w:val="single"/>
        </w:rPr>
      </w:pPr>
      <w:r w:rsidRPr="00520E97">
        <w:rPr>
          <w:rFonts w:ascii="Palatino Linotype" w:hAnsi="Palatino Linotype"/>
          <w:sz w:val="24"/>
          <w:szCs w:val="24"/>
        </w:rPr>
        <w:t>In sum,</w:t>
      </w:r>
      <w:r w:rsidRPr="00520E97">
        <w:rPr>
          <w:rFonts w:ascii="Palatino Linotype" w:hAnsi="Palatino Linotype"/>
          <w:sz w:val="24"/>
          <w:szCs w:val="24"/>
          <w:u w:val="single"/>
        </w:rPr>
        <w:t xml:space="preserve"> the </w:t>
      </w:r>
      <w:r w:rsidRPr="00520E97" w:rsidR="006A196A">
        <w:rPr>
          <w:rFonts w:ascii="Palatino Linotype" w:hAnsi="Palatino Linotype"/>
          <w:sz w:val="24"/>
          <w:szCs w:val="24"/>
          <w:u w:val="single"/>
        </w:rPr>
        <w:t>Bear Valley</w:t>
      </w:r>
      <w:r w:rsidRPr="00520E97">
        <w:rPr>
          <w:rFonts w:ascii="Palatino Linotype" w:hAnsi="Palatino Linotype"/>
          <w:sz w:val="24"/>
          <w:szCs w:val="24"/>
          <w:u w:val="single"/>
        </w:rPr>
        <w:t xml:space="preserve"> evaluated </w:t>
      </w:r>
      <w:r w:rsidRPr="00520E97" w:rsidR="006A196A">
        <w:rPr>
          <w:rFonts w:ascii="Palatino Linotype" w:hAnsi="Palatino Linotype"/>
          <w:sz w:val="24"/>
          <w:szCs w:val="24"/>
          <w:u w:val="single"/>
        </w:rPr>
        <w:t xml:space="preserve">its RFPs and bilateral options </w:t>
      </w:r>
      <w:r w:rsidRPr="00520E97">
        <w:rPr>
          <w:rFonts w:ascii="Palatino Linotype" w:hAnsi="Palatino Linotype"/>
          <w:sz w:val="24"/>
          <w:szCs w:val="24"/>
          <w:u w:val="single"/>
        </w:rPr>
        <w:t xml:space="preserve">consistent with the Commission’s LCBF </w:t>
      </w:r>
      <w:r w:rsidRPr="00520E97" w:rsidR="000F08E7">
        <w:rPr>
          <w:rFonts w:ascii="Palatino Linotype" w:hAnsi="Palatino Linotype"/>
          <w:sz w:val="24"/>
          <w:szCs w:val="24"/>
          <w:u w:val="single"/>
        </w:rPr>
        <w:t xml:space="preserve">requirements. </w:t>
      </w:r>
    </w:p>
    <w:p w:rsidRPr="00520E97" w:rsidR="00EA3BE3" w:rsidP="008E334E" w:rsidRDefault="00EA3BE3" w14:paraId="41E82FB4" w14:textId="77777777">
      <w:pPr>
        <w:rPr>
          <w:rFonts w:ascii="Palatino Linotype" w:hAnsi="Palatino Linotype"/>
          <w:b/>
          <w:bCs/>
          <w:sz w:val="24"/>
          <w:szCs w:val="24"/>
          <w:highlight w:val="yellow"/>
        </w:rPr>
      </w:pPr>
    </w:p>
    <w:p w:rsidRPr="00520E97" w:rsidR="00BB7214" w:rsidP="007D68A1" w:rsidRDefault="00BB7214" w14:paraId="247C5110" w14:textId="2A3E8001">
      <w:pPr>
        <w:keepNext/>
        <w:keepLines/>
        <w:rPr>
          <w:rFonts w:ascii="Palatino Linotype" w:hAnsi="Palatino Linotype"/>
          <w:b/>
          <w:bCs/>
          <w:sz w:val="24"/>
          <w:szCs w:val="24"/>
        </w:rPr>
      </w:pPr>
      <w:r w:rsidRPr="00520E97">
        <w:rPr>
          <w:rFonts w:ascii="Palatino Linotype" w:hAnsi="Palatino Linotype"/>
          <w:b/>
          <w:bCs/>
          <w:sz w:val="24"/>
          <w:szCs w:val="24"/>
        </w:rPr>
        <w:lastRenderedPageBreak/>
        <w:t>Cost Reasonableness</w:t>
      </w:r>
    </w:p>
    <w:p w:rsidRPr="00520E97" w:rsidR="00857619" w:rsidP="007D68A1" w:rsidRDefault="00857619" w14:paraId="0A5C708A" w14:textId="77777777">
      <w:pPr>
        <w:keepNext/>
        <w:keepLines/>
        <w:rPr>
          <w:rFonts w:ascii="Palatino Linotype" w:hAnsi="Palatino Linotype"/>
          <w:b/>
          <w:bCs/>
          <w:sz w:val="24"/>
          <w:szCs w:val="24"/>
        </w:rPr>
      </w:pPr>
    </w:p>
    <w:p w:rsidRPr="00520E97" w:rsidR="00857619" w:rsidP="007D68A1" w:rsidRDefault="009224A3" w14:paraId="5B9B0318" w14:textId="5B3B32AF">
      <w:pPr>
        <w:keepNext/>
        <w:keepLines/>
        <w:rPr>
          <w:rFonts w:ascii="Palatino Linotype" w:hAnsi="Palatino Linotype"/>
          <w:sz w:val="24"/>
          <w:szCs w:val="24"/>
        </w:rPr>
      </w:pPr>
      <w:r w:rsidRPr="00520E97">
        <w:rPr>
          <w:rFonts w:ascii="Palatino Linotype" w:hAnsi="Palatino Linotype"/>
          <w:sz w:val="24"/>
          <w:szCs w:val="24"/>
        </w:rPr>
        <w:t>Though actual costs of the power purchase agreement are confidential at this time,</w:t>
      </w:r>
      <w:r w:rsidRPr="00520E97" w:rsidR="00DF2668">
        <w:rPr>
          <w:rFonts w:ascii="Palatino Linotype" w:hAnsi="Palatino Linotype"/>
          <w:sz w:val="24"/>
          <w:szCs w:val="24"/>
        </w:rPr>
        <w:t xml:space="preserve"> the small utility determined that at the time </w:t>
      </w:r>
      <w:r w:rsidRPr="00520E97">
        <w:rPr>
          <w:rFonts w:ascii="Palatino Linotype" w:hAnsi="Palatino Linotype"/>
          <w:sz w:val="24"/>
          <w:szCs w:val="24"/>
        </w:rPr>
        <w:t xml:space="preserve">of </w:t>
      </w:r>
      <w:r w:rsidRPr="00520E97" w:rsidR="00DF2668">
        <w:rPr>
          <w:rFonts w:ascii="Palatino Linotype" w:hAnsi="Palatino Linotype"/>
          <w:sz w:val="24"/>
          <w:szCs w:val="24"/>
        </w:rPr>
        <w:t xml:space="preserve">the </w:t>
      </w:r>
      <w:r w:rsidRPr="00520E97" w:rsidR="006A196A">
        <w:rPr>
          <w:rFonts w:ascii="Palatino Linotype" w:hAnsi="Palatino Linotype"/>
          <w:sz w:val="24"/>
          <w:szCs w:val="24"/>
        </w:rPr>
        <w:t>PPA execution</w:t>
      </w:r>
      <w:r w:rsidRPr="00520E97">
        <w:rPr>
          <w:rFonts w:ascii="Palatino Linotype" w:hAnsi="Palatino Linotype"/>
          <w:sz w:val="24"/>
          <w:szCs w:val="24"/>
        </w:rPr>
        <w:t xml:space="preserve">, </w:t>
      </w:r>
      <w:r w:rsidRPr="00520E97" w:rsidR="00DF2668">
        <w:rPr>
          <w:rFonts w:ascii="Palatino Linotype" w:hAnsi="Palatino Linotype"/>
          <w:sz w:val="24"/>
          <w:szCs w:val="24"/>
        </w:rPr>
        <w:t xml:space="preserve">the </w:t>
      </w:r>
      <w:r w:rsidRPr="00520E97" w:rsidR="00973530">
        <w:rPr>
          <w:rFonts w:ascii="Palatino Linotype" w:hAnsi="Palatino Linotype"/>
          <w:sz w:val="24"/>
          <w:szCs w:val="24"/>
        </w:rPr>
        <w:t>contract price</w:t>
      </w:r>
      <w:r w:rsidRPr="00520E97" w:rsidR="001046A1">
        <w:rPr>
          <w:rFonts w:ascii="Palatino Linotype" w:hAnsi="Palatino Linotype"/>
          <w:sz w:val="24"/>
          <w:szCs w:val="24"/>
        </w:rPr>
        <w:t xml:space="preserve"> </w:t>
      </w:r>
      <w:r w:rsidRPr="00520E97">
        <w:rPr>
          <w:rFonts w:ascii="Palatino Linotype" w:hAnsi="Palatino Linotype"/>
          <w:sz w:val="24"/>
          <w:szCs w:val="24"/>
        </w:rPr>
        <w:t xml:space="preserve">that resulted from the solicitation and bilateral negotiations </w:t>
      </w:r>
      <w:r w:rsidRPr="00520E97" w:rsidR="00623B58">
        <w:rPr>
          <w:rFonts w:ascii="Palatino Linotype" w:hAnsi="Palatino Linotype"/>
          <w:sz w:val="24"/>
          <w:szCs w:val="24"/>
        </w:rPr>
        <w:t>was reasonable.</w:t>
      </w:r>
      <w:r w:rsidRPr="00520E97" w:rsidR="003A1B90">
        <w:rPr>
          <w:rFonts w:ascii="Palatino Linotype" w:hAnsi="Palatino Linotype"/>
          <w:sz w:val="24"/>
          <w:szCs w:val="24"/>
        </w:rPr>
        <w:t xml:space="preserve"> Bear Valley justifies the price reasonableness </w:t>
      </w:r>
      <w:r w:rsidRPr="00520E97" w:rsidR="008E0F6F">
        <w:rPr>
          <w:rFonts w:ascii="Palatino Linotype" w:hAnsi="Palatino Linotype"/>
          <w:sz w:val="24"/>
          <w:szCs w:val="24"/>
        </w:rPr>
        <w:t xml:space="preserve">of the contract </w:t>
      </w:r>
      <w:r w:rsidRPr="00520E97" w:rsidR="00062F5A">
        <w:rPr>
          <w:rFonts w:ascii="Palatino Linotype" w:hAnsi="Palatino Linotype"/>
          <w:sz w:val="24"/>
          <w:szCs w:val="24"/>
        </w:rPr>
        <w:t xml:space="preserve">when it is compared with other bids received in the same time frame regarding relatively comparable RPS products, as well as when compared with levelized </w:t>
      </w:r>
      <w:r w:rsidRPr="00520E97" w:rsidR="009878BD">
        <w:rPr>
          <w:rFonts w:ascii="Palatino Linotype" w:hAnsi="Palatino Linotype"/>
          <w:sz w:val="24"/>
          <w:szCs w:val="24"/>
        </w:rPr>
        <w:t>wind and solar cost outlooks.</w:t>
      </w:r>
      <w:r w:rsidRPr="00520E97" w:rsidR="009878BD">
        <w:rPr>
          <w:rStyle w:val="FootnoteReference"/>
          <w:rFonts w:ascii="Palatino Linotype" w:hAnsi="Palatino Linotype"/>
          <w:sz w:val="24"/>
          <w:szCs w:val="24"/>
        </w:rPr>
        <w:footnoteReference w:id="15"/>
      </w:r>
      <w:r w:rsidRPr="00520E97" w:rsidR="006158E1">
        <w:rPr>
          <w:rFonts w:ascii="Palatino Linotype" w:hAnsi="Palatino Linotype"/>
          <w:sz w:val="24"/>
          <w:szCs w:val="24"/>
        </w:rPr>
        <w:t xml:space="preserve"> </w:t>
      </w:r>
    </w:p>
    <w:p w:rsidRPr="00520E97" w:rsidR="00F01104" w:rsidP="008E334E" w:rsidRDefault="00F01104" w14:paraId="415F4BB0" w14:textId="77777777">
      <w:pPr>
        <w:rPr>
          <w:rFonts w:ascii="Palatino Linotype" w:hAnsi="Palatino Linotype"/>
          <w:sz w:val="24"/>
          <w:szCs w:val="24"/>
        </w:rPr>
      </w:pPr>
    </w:p>
    <w:p w:rsidRPr="00520E97" w:rsidR="00E31BF6" w:rsidP="008E334E" w:rsidRDefault="00E31BF6" w14:paraId="0DA57C9D" w14:textId="6B78DB2A">
      <w:pPr>
        <w:rPr>
          <w:rFonts w:ascii="Palatino Linotype" w:hAnsi="Palatino Linotype"/>
          <w:sz w:val="24"/>
          <w:szCs w:val="24"/>
        </w:rPr>
      </w:pPr>
      <w:r w:rsidRPr="00520E97">
        <w:rPr>
          <w:rFonts w:ascii="Palatino Linotype" w:hAnsi="Palatino Linotype"/>
          <w:sz w:val="24"/>
          <w:szCs w:val="24"/>
        </w:rPr>
        <w:t>The Commission’s cost reasonableness review for RPS contract prices includes comparisons</w:t>
      </w:r>
      <w:r w:rsidRPr="00520E97" w:rsidR="006D1D2F">
        <w:rPr>
          <w:rFonts w:ascii="Palatino Linotype" w:hAnsi="Palatino Linotype"/>
          <w:sz w:val="24"/>
          <w:szCs w:val="24"/>
        </w:rPr>
        <w:t xml:space="preserve"> of proposed </w:t>
      </w:r>
      <w:r w:rsidRPr="00520E97" w:rsidR="009359AA">
        <w:rPr>
          <w:rFonts w:ascii="Palatino Linotype" w:hAnsi="Palatino Linotype"/>
          <w:sz w:val="24"/>
          <w:szCs w:val="24"/>
        </w:rPr>
        <w:t xml:space="preserve">RPS contract prices from </w:t>
      </w:r>
      <w:r w:rsidRPr="00520E97" w:rsidR="00D2281F">
        <w:rPr>
          <w:rFonts w:ascii="Palatino Linotype" w:hAnsi="Palatino Linotype"/>
          <w:sz w:val="24"/>
          <w:szCs w:val="24"/>
        </w:rPr>
        <w:t>the</w:t>
      </w:r>
      <w:r w:rsidRPr="00520E97" w:rsidR="009359AA">
        <w:rPr>
          <w:rFonts w:ascii="Palatino Linotype" w:hAnsi="Palatino Linotype"/>
          <w:sz w:val="24"/>
          <w:szCs w:val="24"/>
        </w:rPr>
        <w:t xml:space="preserve"> </w:t>
      </w:r>
      <w:r w:rsidRPr="00520E97" w:rsidR="00D2281F">
        <w:rPr>
          <w:rFonts w:ascii="Palatino Linotype" w:hAnsi="Palatino Linotype"/>
          <w:sz w:val="24"/>
          <w:szCs w:val="24"/>
        </w:rPr>
        <w:t xml:space="preserve">Bear Valley </w:t>
      </w:r>
      <w:r w:rsidRPr="00520E97" w:rsidR="009359AA">
        <w:rPr>
          <w:rFonts w:ascii="Palatino Linotype" w:hAnsi="Palatino Linotype"/>
          <w:sz w:val="24"/>
          <w:szCs w:val="24"/>
        </w:rPr>
        <w:t>RPS solicitation</w:t>
      </w:r>
      <w:r w:rsidRPr="00520E97" w:rsidR="00D2281F">
        <w:rPr>
          <w:rFonts w:ascii="Palatino Linotype" w:hAnsi="Palatino Linotype"/>
          <w:sz w:val="24"/>
          <w:szCs w:val="24"/>
        </w:rPr>
        <w:t>s</w:t>
      </w:r>
      <w:r w:rsidRPr="00520E97" w:rsidR="009359AA">
        <w:rPr>
          <w:rFonts w:ascii="Palatino Linotype" w:hAnsi="Palatino Linotype"/>
          <w:sz w:val="24"/>
          <w:szCs w:val="24"/>
        </w:rPr>
        <w:t xml:space="preserve"> </w:t>
      </w:r>
      <w:r w:rsidRPr="00520E97" w:rsidR="00EF3EA4">
        <w:rPr>
          <w:rFonts w:ascii="Palatino Linotype" w:hAnsi="Palatino Linotype"/>
          <w:sz w:val="24"/>
          <w:szCs w:val="24"/>
        </w:rPr>
        <w:t xml:space="preserve">for similar RPS products </w:t>
      </w:r>
      <w:r w:rsidRPr="00520E97" w:rsidR="00B65CCC">
        <w:rPr>
          <w:rFonts w:ascii="Palatino Linotype" w:hAnsi="Palatino Linotype"/>
          <w:sz w:val="24"/>
          <w:szCs w:val="24"/>
        </w:rPr>
        <w:t>held around the time of the contract execution</w:t>
      </w:r>
      <w:r w:rsidRPr="00520E97" w:rsidR="004B5041">
        <w:rPr>
          <w:rFonts w:ascii="Palatino Linotype" w:hAnsi="Palatino Linotype"/>
          <w:sz w:val="24"/>
          <w:szCs w:val="24"/>
        </w:rPr>
        <w:t xml:space="preserve">. </w:t>
      </w:r>
      <w:r w:rsidRPr="00520E97" w:rsidR="00AC264E">
        <w:rPr>
          <w:rFonts w:ascii="Palatino Linotype" w:hAnsi="Palatino Linotype"/>
          <w:sz w:val="24"/>
          <w:szCs w:val="24"/>
        </w:rPr>
        <w:t xml:space="preserve">Applying this analysis and the </w:t>
      </w:r>
      <w:r w:rsidRPr="00520E97" w:rsidR="003D0627">
        <w:rPr>
          <w:rFonts w:ascii="Palatino Linotype" w:hAnsi="Palatino Linotype"/>
          <w:sz w:val="24"/>
          <w:szCs w:val="24"/>
        </w:rPr>
        <w:t>analysis provided by Bear Valley in AL 470-E</w:t>
      </w:r>
      <w:r w:rsidRPr="00520E97" w:rsidR="00B22617">
        <w:rPr>
          <w:rFonts w:ascii="Palatino Linotype" w:hAnsi="Palatino Linotype"/>
          <w:sz w:val="24"/>
          <w:szCs w:val="24"/>
        </w:rPr>
        <w:t xml:space="preserve">, the Commission determines that the </w:t>
      </w:r>
      <w:r w:rsidRPr="00520E97" w:rsidR="00DA2080">
        <w:rPr>
          <w:rFonts w:ascii="Palatino Linotype" w:hAnsi="Palatino Linotype"/>
          <w:sz w:val="24"/>
          <w:szCs w:val="24"/>
        </w:rPr>
        <w:t>PPA’s</w:t>
      </w:r>
      <w:r w:rsidRPr="00520E97" w:rsidR="00B22617">
        <w:rPr>
          <w:rFonts w:ascii="Palatino Linotype" w:hAnsi="Palatino Linotype"/>
          <w:sz w:val="24"/>
          <w:szCs w:val="24"/>
        </w:rPr>
        <w:t xml:space="preserve"> costs are reasonable. </w:t>
      </w:r>
    </w:p>
    <w:p w:rsidRPr="00520E97" w:rsidR="003B23D5" w:rsidP="008E334E" w:rsidRDefault="003B23D5" w14:paraId="19935B5F" w14:textId="77777777">
      <w:pPr>
        <w:rPr>
          <w:rFonts w:ascii="Palatino Linotype" w:hAnsi="Palatino Linotype"/>
          <w:sz w:val="24"/>
          <w:szCs w:val="24"/>
        </w:rPr>
      </w:pPr>
    </w:p>
    <w:p w:rsidRPr="00520E97" w:rsidR="003B23D5" w:rsidP="008E334E" w:rsidRDefault="006B2649" w14:paraId="3BC38EA1" w14:textId="167CD059">
      <w:pPr>
        <w:rPr>
          <w:rFonts w:ascii="Palatino Linotype" w:hAnsi="Palatino Linotype"/>
          <w:sz w:val="24"/>
          <w:szCs w:val="24"/>
          <w:u w:val="single"/>
        </w:rPr>
      </w:pPr>
      <w:r w:rsidRPr="00520E97">
        <w:rPr>
          <w:rFonts w:ascii="Palatino Linotype" w:hAnsi="Palatino Linotype"/>
          <w:sz w:val="24"/>
          <w:szCs w:val="24"/>
          <w:u w:val="single"/>
        </w:rPr>
        <w:t xml:space="preserve">The total expected costs of the </w:t>
      </w:r>
      <w:r w:rsidRPr="00520E97" w:rsidR="00DA2080">
        <w:rPr>
          <w:rFonts w:ascii="Palatino Linotype" w:hAnsi="Palatino Linotype"/>
          <w:sz w:val="24"/>
          <w:szCs w:val="24"/>
          <w:u w:val="single"/>
        </w:rPr>
        <w:t>PPA</w:t>
      </w:r>
      <w:r w:rsidRPr="00520E97">
        <w:rPr>
          <w:rFonts w:ascii="Palatino Linotype" w:hAnsi="Palatino Linotype"/>
          <w:sz w:val="24"/>
          <w:szCs w:val="24"/>
          <w:u w:val="single"/>
        </w:rPr>
        <w:t xml:space="preserve"> are reasonable based on the </w:t>
      </w:r>
      <w:r w:rsidRPr="00520E97" w:rsidR="006A196A">
        <w:rPr>
          <w:rFonts w:ascii="Palatino Linotype" w:hAnsi="Palatino Linotype"/>
          <w:sz w:val="24"/>
          <w:szCs w:val="24"/>
          <w:u w:val="single"/>
        </w:rPr>
        <w:t xml:space="preserve">PPA </w:t>
      </w:r>
      <w:r w:rsidRPr="00520E97" w:rsidR="00D02778">
        <w:rPr>
          <w:rFonts w:ascii="Palatino Linotype" w:hAnsi="Palatino Linotype"/>
          <w:sz w:val="24"/>
          <w:szCs w:val="24"/>
          <w:u w:val="single"/>
        </w:rPr>
        <w:t xml:space="preserve">price relative to Bear Valley’s solicitation </w:t>
      </w:r>
      <w:r w:rsidRPr="00520E97" w:rsidR="00AB633B">
        <w:rPr>
          <w:rFonts w:ascii="Palatino Linotype" w:hAnsi="Palatino Linotype"/>
          <w:sz w:val="24"/>
          <w:szCs w:val="24"/>
          <w:u w:val="single"/>
        </w:rPr>
        <w:t xml:space="preserve">prior to the execution of the agreement and </w:t>
      </w:r>
      <w:r w:rsidRPr="00520E97" w:rsidR="00623DE1">
        <w:rPr>
          <w:rFonts w:ascii="Palatino Linotype" w:hAnsi="Palatino Linotype"/>
          <w:sz w:val="24"/>
          <w:szCs w:val="24"/>
          <w:u w:val="single"/>
        </w:rPr>
        <w:t xml:space="preserve">comparable </w:t>
      </w:r>
      <w:r w:rsidRPr="00520E97" w:rsidR="005E2768">
        <w:rPr>
          <w:rFonts w:ascii="Palatino Linotype" w:hAnsi="Palatino Linotype"/>
          <w:sz w:val="24"/>
          <w:szCs w:val="24"/>
          <w:u w:val="single"/>
        </w:rPr>
        <w:t>metrics</w:t>
      </w:r>
      <w:r w:rsidRPr="00520E97" w:rsidR="00623DE1">
        <w:rPr>
          <w:rFonts w:ascii="Palatino Linotype" w:hAnsi="Palatino Linotype"/>
          <w:sz w:val="24"/>
          <w:szCs w:val="24"/>
          <w:u w:val="single"/>
        </w:rPr>
        <w:t xml:space="preserve"> at the time of the execution</w:t>
      </w:r>
      <w:r w:rsidRPr="00520E97" w:rsidR="00D2281F">
        <w:rPr>
          <w:rFonts w:ascii="Palatino Linotype" w:hAnsi="Palatino Linotype"/>
          <w:sz w:val="24"/>
          <w:szCs w:val="24"/>
          <w:u w:val="single"/>
        </w:rPr>
        <w:t>.</w:t>
      </w:r>
      <w:r w:rsidRPr="00520E97" w:rsidR="00B65CCC">
        <w:rPr>
          <w:rFonts w:ascii="Palatino Linotype" w:hAnsi="Palatino Linotype"/>
          <w:sz w:val="24"/>
          <w:szCs w:val="24"/>
          <w:u w:val="single"/>
        </w:rPr>
        <w:t xml:space="preserve"> </w:t>
      </w:r>
    </w:p>
    <w:p w:rsidRPr="00520E97" w:rsidR="002D6B39" w:rsidP="008E334E" w:rsidRDefault="002D6B39" w14:paraId="3341E58D" w14:textId="77777777">
      <w:pPr>
        <w:rPr>
          <w:rFonts w:ascii="Palatino Linotype" w:hAnsi="Palatino Linotype"/>
          <w:sz w:val="24"/>
          <w:szCs w:val="24"/>
          <w:u w:val="single"/>
        </w:rPr>
      </w:pPr>
    </w:p>
    <w:p w:rsidRPr="00520E97" w:rsidR="002D6B39" w:rsidP="008E334E" w:rsidRDefault="002D6B39" w14:paraId="41FE4D68" w14:textId="194125F7">
      <w:pPr>
        <w:rPr>
          <w:rFonts w:ascii="Palatino Linotype" w:hAnsi="Palatino Linotype"/>
          <w:sz w:val="24"/>
          <w:szCs w:val="24"/>
          <w:u w:val="single"/>
        </w:rPr>
      </w:pPr>
      <w:r w:rsidRPr="00520E97">
        <w:rPr>
          <w:rFonts w:ascii="Palatino Linotype" w:hAnsi="Palatino Linotype"/>
          <w:sz w:val="24"/>
          <w:szCs w:val="24"/>
          <w:u w:val="single"/>
        </w:rPr>
        <w:t xml:space="preserve">Provided that the energy and associated RECs derive from an eligible renewable energy resource, payments made by </w:t>
      </w:r>
      <w:r w:rsidRPr="00520E97" w:rsidR="006A196A">
        <w:rPr>
          <w:rFonts w:ascii="Palatino Linotype" w:hAnsi="Palatino Linotype"/>
          <w:sz w:val="24"/>
          <w:szCs w:val="24"/>
          <w:u w:val="single"/>
        </w:rPr>
        <w:t xml:space="preserve">Bear Valley </w:t>
      </w:r>
      <w:r w:rsidRPr="00520E97">
        <w:rPr>
          <w:rFonts w:ascii="Palatino Linotype" w:hAnsi="Palatino Linotype"/>
          <w:sz w:val="24"/>
          <w:szCs w:val="24"/>
          <w:u w:val="single"/>
        </w:rPr>
        <w:t xml:space="preserve">pursuant to the </w:t>
      </w:r>
      <w:r w:rsidRPr="00520E97" w:rsidR="005E167F">
        <w:rPr>
          <w:rFonts w:ascii="Palatino Linotype" w:hAnsi="Palatino Linotype"/>
          <w:sz w:val="24"/>
          <w:szCs w:val="24"/>
          <w:u w:val="single"/>
        </w:rPr>
        <w:t xml:space="preserve">PPA </w:t>
      </w:r>
      <w:r w:rsidRPr="00520E97">
        <w:rPr>
          <w:rFonts w:ascii="Palatino Linotype" w:hAnsi="Palatino Linotype"/>
          <w:sz w:val="24"/>
          <w:szCs w:val="24"/>
          <w:u w:val="single"/>
        </w:rPr>
        <w:t xml:space="preserve">are fully recoverable in rates over the life of the </w:t>
      </w:r>
      <w:r w:rsidRPr="00520E97" w:rsidR="00B90CBB">
        <w:rPr>
          <w:rFonts w:ascii="Palatino Linotype" w:hAnsi="Palatino Linotype"/>
          <w:sz w:val="24"/>
          <w:szCs w:val="24"/>
          <w:u w:val="single"/>
        </w:rPr>
        <w:t>PPA</w:t>
      </w:r>
      <w:r w:rsidRPr="00520E97">
        <w:rPr>
          <w:rFonts w:ascii="Palatino Linotype" w:hAnsi="Palatino Linotype"/>
          <w:sz w:val="24"/>
          <w:szCs w:val="24"/>
          <w:u w:val="single"/>
        </w:rPr>
        <w:t xml:space="preserve">, subject to Commission review of </w:t>
      </w:r>
      <w:r w:rsidRPr="00520E97" w:rsidR="005E167F">
        <w:rPr>
          <w:rFonts w:ascii="Palatino Linotype" w:hAnsi="Palatino Linotype"/>
          <w:sz w:val="24"/>
          <w:szCs w:val="24"/>
          <w:u w:val="single"/>
        </w:rPr>
        <w:t>the utility’s</w:t>
      </w:r>
      <w:r w:rsidRPr="00520E97" w:rsidR="009661EB">
        <w:rPr>
          <w:rFonts w:ascii="Palatino Linotype" w:hAnsi="Palatino Linotype"/>
          <w:sz w:val="24"/>
          <w:szCs w:val="24"/>
          <w:u w:val="single"/>
        </w:rPr>
        <w:t xml:space="preserve"> administration of the </w:t>
      </w:r>
      <w:r w:rsidRPr="00520E97" w:rsidR="00B90CBB">
        <w:rPr>
          <w:rFonts w:ascii="Palatino Linotype" w:hAnsi="Palatino Linotype"/>
          <w:sz w:val="24"/>
          <w:szCs w:val="24"/>
          <w:u w:val="single"/>
        </w:rPr>
        <w:t>PPA</w:t>
      </w:r>
      <w:r w:rsidRPr="00520E97" w:rsidR="009661EB">
        <w:rPr>
          <w:rFonts w:ascii="Palatino Linotype" w:hAnsi="Palatino Linotype"/>
          <w:sz w:val="24"/>
          <w:szCs w:val="24"/>
          <w:u w:val="single"/>
        </w:rPr>
        <w:t>.</w:t>
      </w:r>
    </w:p>
    <w:p w:rsidRPr="00520E97" w:rsidR="00BB7214" w:rsidP="008E334E" w:rsidRDefault="00BB7214" w14:paraId="0A704E06" w14:textId="77777777">
      <w:pPr>
        <w:rPr>
          <w:rFonts w:ascii="Palatino Linotype" w:hAnsi="Palatino Linotype"/>
          <w:b/>
          <w:bCs/>
          <w:sz w:val="24"/>
          <w:szCs w:val="24"/>
        </w:rPr>
      </w:pPr>
    </w:p>
    <w:p w:rsidRPr="00520E97" w:rsidR="00B64D47" w:rsidP="008E334E" w:rsidRDefault="00B64D47" w14:paraId="2EC2EF44" w14:textId="77777777">
      <w:pPr>
        <w:pStyle w:val="BodyText"/>
        <w:widowControl w:val="0"/>
        <w:spacing w:after="120"/>
        <w:rPr>
          <w:rFonts w:ascii="Palatino Linotype" w:hAnsi="Palatino Linotype"/>
          <w:bCs/>
          <w:sz w:val="24"/>
          <w:szCs w:val="24"/>
        </w:rPr>
      </w:pPr>
      <w:r w:rsidRPr="00520E97">
        <w:rPr>
          <w:rFonts w:ascii="Palatino Linotype" w:hAnsi="Palatino Linotype"/>
          <w:bCs/>
          <w:sz w:val="24"/>
          <w:szCs w:val="24"/>
        </w:rPr>
        <w:t>Compliance with the Interim Greenhouse Gas Emissions Performance Standard (EPS)</w:t>
      </w:r>
    </w:p>
    <w:p w:rsidRPr="00520E97" w:rsidR="00B64D47" w:rsidP="008E334E" w:rsidRDefault="00B64D47" w14:paraId="0761DD8C" w14:textId="77777777">
      <w:pPr>
        <w:pStyle w:val="BodyText"/>
        <w:widowControl w:val="0"/>
        <w:rPr>
          <w:rFonts w:ascii="Palatino Linotype" w:hAnsi="Palatino Linotype"/>
          <w:b w:val="0"/>
          <w:sz w:val="24"/>
          <w:szCs w:val="24"/>
        </w:rPr>
      </w:pPr>
      <w:r w:rsidRPr="00520E97">
        <w:rPr>
          <w:rFonts w:ascii="Palatino Linotype" w:hAnsi="Palatino Linotype"/>
          <w:b w:val="0"/>
          <w:sz w:val="24"/>
          <w:szCs w:val="24"/>
        </w:rPr>
        <w:t>Sections 8340 and 8341 require that the Commission consider emissions costs associated with new long-term (five years or greater) baseload power contracts procured on behalf of California ratepayers.</w:t>
      </w:r>
      <w:r w:rsidRPr="00520E97">
        <w:rPr>
          <w:rStyle w:val="FootnoteReference"/>
          <w:rFonts w:ascii="Palatino Linotype" w:hAnsi="Palatino Linotype"/>
          <w:b w:val="0"/>
          <w:sz w:val="24"/>
          <w:szCs w:val="24"/>
        </w:rPr>
        <w:t xml:space="preserve"> </w:t>
      </w:r>
      <w:r w:rsidRPr="00520E97">
        <w:rPr>
          <w:rStyle w:val="FootnoteReference"/>
          <w:rFonts w:ascii="Palatino Linotype" w:hAnsi="Palatino Linotype"/>
          <w:b w:val="0"/>
          <w:sz w:val="24"/>
          <w:szCs w:val="24"/>
        </w:rPr>
        <w:footnoteReference w:id="16"/>
      </w:r>
      <w:r w:rsidRPr="00520E97">
        <w:rPr>
          <w:rFonts w:ascii="Palatino Linotype" w:hAnsi="Palatino Linotype"/>
          <w:b w:val="0"/>
          <w:sz w:val="24"/>
          <w:szCs w:val="24"/>
        </w:rPr>
        <w:t xml:space="preserve"> </w:t>
      </w:r>
    </w:p>
    <w:p w:rsidRPr="00520E97" w:rsidR="00B64D47" w:rsidP="008E334E" w:rsidRDefault="00B64D47" w14:paraId="507CEF2B" w14:textId="77777777">
      <w:pPr>
        <w:pStyle w:val="BodyText"/>
        <w:widowControl w:val="0"/>
        <w:rPr>
          <w:rFonts w:ascii="Palatino Linotype" w:hAnsi="Palatino Linotype"/>
          <w:b w:val="0"/>
          <w:sz w:val="24"/>
          <w:szCs w:val="24"/>
        </w:rPr>
      </w:pPr>
    </w:p>
    <w:p w:rsidRPr="00520E97" w:rsidR="00B64D47" w:rsidP="008E334E" w:rsidRDefault="00B64D47" w14:paraId="63F01E02" w14:textId="77777777">
      <w:pPr>
        <w:pStyle w:val="BodyText"/>
        <w:rPr>
          <w:rFonts w:ascii="Palatino Linotype" w:hAnsi="Palatino Linotype"/>
          <w:b w:val="0"/>
          <w:sz w:val="24"/>
          <w:szCs w:val="24"/>
        </w:rPr>
      </w:pPr>
      <w:r w:rsidRPr="00520E97">
        <w:rPr>
          <w:rFonts w:ascii="Palatino Linotype" w:hAnsi="Palatino Linotype"/>
          <w:b w:val="0"/>
          <w:sz w:val="24"/>
          <w:szCs w:val="24"/>
        </w:rPr>
        <w:t xml:space="preserve">D.07-01-039 adopted an interim EPS that establishes an emission rate for obligated facilities at levels no greater than the greenhouse gas emissions of a combined-cycle gas </w:t>
      </w:r>
      <w:r w:rsidRPr="00520E97">
        <w:rPr>
          <w:rFonts w:ascii="Palatino Linotype" w:hAnsi="Palatino Linotype"/>
          <w:b w:val="0"/>
          <w:sz w:val="24"/>
          <w:szCs w:val="24"/>
        </w:rPr>
        <w:lastRenderedPageBreak/>
        <w:t>turbine power plant. Generating facilities using certain renewable resources are deemed compliant with the EPS.</w:t>
      </w:r>
      <w:r w:rsidRPr="00520E97">
        <w:rPr>
          <w:rStyle w:val="FootnoteReference"/>
          <w:rFonts w:ascii="Palatino Linotype" w:hAnsi="Palatino Linotype"/>
          <w:b w:val="0"/>
          <w:sz w:val="24"/>
          <w:szCs w:val="24"/>
        </w:rPr>
        <w:footnoteReference w:id="17"/>
      </w:r>
      <w:r w:rsidRPr="00520E97">
        <w:rPr>
          <w:rFonts w:ascii="Palatino Linotype" w:hAnsi="Palatino Linotype"/>
          <w:b w:val="0"/>
          <w:sz w:val="24"/>
          <w:szCs w:val="24"/>
        </w:rPr>
        <w:t xml:space="preserve"> </w:t>
      </w:r>
    </w:p>
    <w:p w:rsidRPr="00520E97" w:rsidR="00B64D47" w:rsidP="008E334E" w:rsidRDefault="00B64D47" w14:paraId="0DBC2752" w14:textId="77777777">
      <w:pPr>
        <w:pStyle w:val="BodyText"/>
        <w:rPr>
          <w:rFonts w:ascii="Palatino Linotype" w:hAnsi="Palatino Linotype"/>
          <w:b w:val="0"/>
          <w:sz w:val="24"/>
          <w:szCs w:val="24"/>
        </w:rPr>
      </w:pPr>
    </w:p>
    <w:p w:rsidRPr="00520E97" w:rsidR="00B64D47" w:rsidP="008E334E" w:rsidRDefault="004F02C1" w14:paraId="063D1A2F" w14:textId="5340B329">
      <w:pPr>
        <w:pStyle w:val="BodyText"/>
        <w:rPr>
          <w:rFonts w:ascii="Palatino Linotype" w:hAnsi="Palatino Linotype"/>
          <w:b w:val="0"/>
          <w:sz w:val="24"/>
          <w:szCs w:val="24"/>
          <w:u w:val="single"/>
        </w:rPr>
      </w:pPr>
      <w:r w:rsidRPr="00520E97">
        <w:rPr>
          <w:rFonts w:ascii="Palatino Linotype" w:hAnsi="Palatino Linotype"/>
          <w:b w:val="0"/>
          <w:sz w:val="24"/>
          <w:szCs w:val="24"/>
        </w:rPr>
        <w:t>In AL 470-E</w:t>
      </w:r>
      <w:r w:rsidRPr="00520E97" w:rsidR="00534C12">
        <w:rPr>
          <w:rFonts w:ascii="Palatino Linotype" w:hAnsi="Palatino Linotype"/>
          <w:b w:val="0"/>
          <w:sz w:val="24"/>
          <w:szCs w:val="24"/>
        </w:rPr>
        <w:t>,</w:t>
      </w:r>
      <w:r w:rsidRPr="00520E97">
        <w:rPr>
          <w:rFonts w:ascii="Palatino Linotype" w:hAnsi="Palatino Linotype"/>
          <w:b w:val="0"/>
          <w:sz w:val="24"/>
          <w:szCs w:val="24"/>
        </w:rPr>
        <w:t xml:space="preserve"> BVES states that </w:t>
      </w:r>
      <w:r w:rsidRPr="00520E97" w:rsidR="00534C12">
        <w:rPr>
          <w:rFonts w:ascii="Palatino Linotype" w:hAnsi="Palatino Linotype"/>
          <w:b w:val="0"/>
          <w:sz w:val="24"/>
          <w:szCs w:val="24"/>
        </w:rPr>
        <w:t xml:space="preserve">the Shell PPA limits </w:t>
      </w:r>
      <w:r w:rsidRPr="00520E97">
        <w:rPr>
          <w:rFonts w:ascii="Palatino Linotype" w:hAnsi="Palatino Linotype"/>
          <w:b w:val="0"/>
          <w:sz w:val="24"/>
          <w:szCs w:val="24"/>
        </w:rPr>
        <w:t xml:space="preserve">renewable generation </w:t>
      </w:r>
      <w:r w:rsidRPr="00520E97" w:rsidR="00534C12">
        <w:rPr>
          <w:rFonts w:ascii="Palatino Linotype" w:hAnsi="Palatino Linotype"/>
          <w:b w:val="0"/>
          <w:sz w:val="24"/>
          <w:szCs w:val="24"/>
        </w:rPr>
        <w:t xml:space="preserve">to be from </w:t>
      </w:r>
      <w:r w:rsidRPr="00520E97">
        <w:rPr>
          <w:rFonts w:ascii="Palatino Linotype" w:hAnsi="Palatino Linotype"/>
          <w:b w:val="0"/>
          <w:sz w:val="24"/>
          <w:szCs w:val="24"/>
        </w:rPr>
        <w:t xml:space="preserve">facilities </w:t>
      </w:r>
      <w:r w:rsidRPr="00520E97" w:rsidR="00534C12">
        <w:rPr>
          <w:rFonts w:ascii="Palatino Linotype" w:hAnsi="Palatino Linotype"/>
          <w:b w:val="0"/>
          <w:sz w:val="24"/>
          <w:szCs w:val="24"/>
        </w:rPr>
        <w:t>that</w:t>
      </w:r>
      <w:r w:rsidRPr="00520E97">
        <w:rPr>
          <w:rFonts w:ascii="Palatino Linotype" w:hAnsi="Palatino Linotype"/>
          <w:b w:val="0"/>
          <w:sz w:val="24"/>
          <w:szCs w:val="24"/>
        </w:rPr>
        <w:t xml:space="preserve"> have an annualized plant capacity factor of less than 60 percent or emit CO</w:t>
      </w:r>
      <w:r w:rsidRPr="00520E97">
        <w:rPr>
          <w:rFonts w:ascii="Palatino Linotype" w:hAnsi="Palatino Linotype"/>
          <w:b w:val="0"/>
          <w:sz w:val="24"/>
          <w:szCs w:val="24"/>
          <w:vertAlign w:val="subscript"/>
        </w:rPr>
        <w:t>2</w:t>
      </w:r>
      <w:r w:rsidRPr="00520E97" w:rsidR="00534C12">
        <w:rPr>
          <w:rFonts w:ascii="Palatino Linotype" w:hAnsi="Palatino Linotype"/>
          <w:b w:val="0"/>
          <w:sz w:val="24"/>
          <w:szCs w:val="24"/>
        </w:rPr>
        <w:t xml:space="preserve"> at a rate less than 1,100lbs/MWh</w:t>
      </w:r>
      <w:r w:rsidRPr="00520E97">
        <w:rPr>
          <w:rFonts w:ascii="Palatino Linotype" w:hAnsi="Palatino Linotype"/>
          <w:b w:val="0"/>
          <w:sz w:val="24"/>
          <w:szCs w:val="24"/>
        </w:rPr>
        <w:t>.</w:t>
      </w:r>
      <w:r w:rsidRPr="00520E97" w:rsidR="00534C12">
        <w:rPr>
          <w:rStyle w:val="FootnoteReference"/>
          <w:rFonts w:ascii="Palatino Linotype" w:hAnsi="Palatino Linotype"/>
          <w:b w:val="0"/>
          <w:sz w:val="24"/>
          <w:szCs w:val="24"/>
        </w:rPr>
        <w:footnoteReference w:id="18"/>
      </w:r>
      <w:r w:rsidRPr="00520E97">
        <w:rPr>
          <w:rFonts w:ascii="Palatino Linotype" w:hAnsi="Palatino Linotype"/>
          <w:b w:val="0"/>
          <w:sz w:val="24"/>
          <w:szCs w:val="24"/>
          <w:u w:val="single"/>
        </w:rPr>
        <w:t xml:space="preserve">  </w:t>
      </w:r>
      <w:r w:rsidRPr="00520E97" w:rsidR="00B64D47">
        <w:rPr>
          <w:rFonts w:ascii="Palatino Linotype" w:hAnsi="Palatino Linotype"/>
          <w:b w:val="0"/>
          <w:sz w:val="24"/>
          <w:szCs w:val="24"/>
          <w:u w:val="single"/>
        </w:rPr>
        <w:t>T</w:t>
      </w:r>
      <w:r w:rsidRPr="00520E97" w:rsidR="00534C12">
        <w:rPr>
          <w:rFonts w:ascii="Palatino Linotype" w:hAnsi="Palatino Linotype"/>
          <w:b w:val="0"/>
          <w:sz w:val="24"/>
          <w:szCs w:val="24"/>
          <w:u w:val="single"/>
        </w:rPr>
        <w:t>hus, t</w:t>
      </w:r>
      <w:r w:rsidRPr="00520E97" w:rsidR="00B64D47">
        <w:rPr>
          <w:rFonts w:ascii="Palatino Linotype" w:hAnsi="Palatino Linotype"/>
          <w:b w:val="0"/>
          <w:sz w:val="24"/>
          <w:szCs w:val="24"/>
          <w:u w:val="single"/>
        </w:rPr>
        <w:t>he Shell PPA is not covered procurement subject to the EPS because the generating facilities either have a forecast annualized capacity factor of less than 60 percent or will be from baseload facilities that are exempt under the Adopted Interim EPS Rules.</w:t>
      </w:r>
    </w:p>
    <w:p w:rsidRPr="00520E97" w:rsidR="00B64D47" w:rsidP="008E334E" w:rsidRDefault="00B64D47" w14:paraId="2893504D" w14:textId="77777777">
      <w:pPr>
        <w:rPr>
          <w:rFonts w:ascii="Palatino Linotype" w:hAnsi="Palatino Linotype"/>
          <w:b/>
          <w:bCs/>
          <w:sz w:val="24"/>
          <w:szCs w:val="24"/>
        </w:rPr>
      </w:pPr>
    </w:p>
    <w:p w:rsidR="004C31FC" w:rsidP="008E334E" w:rsidRDefault="004C31FC" w14:paraId="2C54B325" w14:textId="673CE80D">
      <w:pPr>
        <w:rPr>
          <w:rFonts w:ascii="Palatino Linotype" w:hAnsi="Palatino Linotype"/>
          <w:b/>
          <w:bCs/>
          <w:sz w:val="24"/>
          <w:szCs w:val="24"/>
        </w:rPr>
      </w:pPr>
      <w:r w:rsidRPr="00520E97">
        <w:rPr>
          <w:rFonts w:ascii="Palatino Linotype" w:hAnsi="Palatino Linotype"/>
          <w:b/>
          <w:bCs/>
          <w:sz w:val="24"/>
          <w:szCs w:val="24"/>
        </w:rPr>
        <w:t>Public Safety</w:t>
      </w:r>
    </w:p>
    <w:p w:rsidRPr="00520E97" w:rsidR="007D68A1" w:rsidP="008E334E" w:rsidRDefault="007D68A1" w14:paraId="50CD3AD9" w14:textId="77777777">
      <w:pPr>
        <w:rPr>
          <w:rFonts w:ascii="Palatino Linotype" w:hAnsi="Palatino Linotype"/>
          <w:b/>
          <w:bCs/>
          <w:sz w:val="24"/>
          <w:szCs w:val="24"/>
        </w:rPr>
      </w:pPr>
    </w:p>
    <w:p w:rsidRPr="00520E97" w:rsidR="004C31FC" w:rsidP="008E334E" w:rsidRDefault="004C31FC" w14:paraId="6288C950" w14:textId="22B642A4">
      <w:pPr>
        <w:pStyle w:val="PlainText"/>
        <w:rPr>
          <w:rFonts w:ascii="Palatino Linotype" w:hAnsi="Palatino Linotype"/>
          <w:sz w:val="24"/>
          <w:szCs w:val="24"/>
        </w:rPr>
      </w:pPr>
      <w:r w:rsidRPr="00520E97">
        <w:rPr>
          <w:rFonts w:ascii="Palatino Linotype" w:hAnsi="Palatino Linotype"/>
          <w:sz w:val="24"/>
          <w:szCs w:val="24"/>
        </w:rPr>
        <w:t>California Public Utilities Code Section 451 requires that every public utility maintain adequate, efficient, just, and reasonable service, instrumentalities, equipment</w:t>
      </w:r>
      <w:r w:rsidR="00054D1F">
        <w:rPr>
          <w:rFonts w:ascii="Palatino Linotype" w:hAnsi="Palatino Linotype"/>
          <w:sz w:val="24"/>
          <w:szCs w:val="24"/>
        </w:rPr>
        <w:t>,</w:t>
      </w:r>
      <w:r w:rsidRPr="00520E97">
        <w:rPr>
          <w:rFonts w:ascii="Palatino Linotype" w:hAnsi="Palatino Linotype"/>
          <w:sz w:val="24"/>
          <w:szCs w:val="24"/>
        </w:rPr>
        <w:t xml:space="preserve"> and facilities to ensure the safety, health, and comfort of the public. </w:t>
      </w:r>
    </w:p>
    <w:p w:rsidRPr="00520E97" w:rsidR="00421660" w:rsidP="008E334E" w:rsidRDefault="00421660" w14:paraId="277304BF" w14:textId="77777777">
      <w:pPr>
        <w:rPr>
          <w:rFonts w:ascii="Palatino Linotype" w:hAnsi="Palatino Linotype"/>
          <w:sz w:val="24"/>
          <w:szCs w:val="24"/>
        </w:rPr>
      </w:pPr>
    </w:p>
    <w:p w:rsidRPr="00520E97" w:rsidR="004C31FC" w:rsidP="008E334E" w:rsidRDefault="004C31FC" w14:paraId="3B46480A" w14:textId="53169038">
      <w:pPr>
        <w:rPr>
          <w:rFonts w:ascii="Palatino Linotype" w:hAnsi="Palatino Linotype"/>
          <w:sz w:val="24"/>
          <w:szCs w:val="24"/>
        </w:rPr>
      </w:pPr>
      <w:r w:rsidRPr="00520E97">
        <w:rPr>
          <w:rFonts w:ascii="Palatino Linotype" w:hAnsi="Palatino Linotype"/>
          <w:sz w:val="24"/>
          <w:szCs w:val="24"/>
        </w:rPr>
        <w:t xml:space="preserve">This resolution approves </w:t>
      </w:r>
      <w:r w:rsidRPr="00520E97" w:rsidR="00421660">
        <w:rPr>
          <w:rFonts w:ascii="Palatino Linotype" w:hAnsi="Palatino Linotype"/>
          <w:sz w:val="24"/>
          <w:szCs w:val="24"/>
        </w:rPr>
        <w:t>the</w:t>
      </w:r>
      <w:r w:rsidRPr="00520E97">
        <w:rPr>
          <w:rFonts w:ascii="Palatino Linotype" w:hAnsi="Palatino Linotype"/>
          <w:sz w:val="24"/>
          <w:szCs w:val="24"/>
        </w:rPr>
        <w:t xml:space="preserve"> Shell PPA for the purchase of RPS-eligible generation from </w:t>
      </w:r>
      <w:r w:rsidRPr="00520E97" w:rsidR="00421660">
        <w:rPr>
          <w:rFonts w:ascii="Palatino Linotype" w:hAnsi="Palatino Linotype"/>
          <w:sz w:val="24"/>
          <w:szCs w:val="24"/>
        </w:rPr>
        <w:t xml:space="preserve">potentially a mix of </w:t>
      </w:r>
      <w:r w:rsidRPr="00520E97">
        <w:rPr>
          <w:rFonts w:ascii="Palatino Linotype" w:hAnsi="Palatino Linotype"/>
          <w:sz w:val="24"/>
          <w:szCs w:val="24"/>
        </w:rPr>
        <w:t xml:space="preserve">operating </w:t>
      </w:r>
      <w:r w:rsidRPr="00520E97" w:rsidR="00421660">
        <w:rPr>
          <w:rFonts w:ascii="Palatino Linotype" w:hAnsi="Palatino Linotype"/>
          <w:sz w:val="24"/>
          <w:szCs w:val="24"/>
        </w:rPr>
        <w:t xml:space="preserve">and to be developed </w:t>
      </w:r>
      <w:r w:rsidRPr="00520E97">
        <w:rPr>
          <w:rFonts w:ascii="Palatino Linotype" w:hAnsi="Palatino Linotype"/>
          <w:sz w:val="24"/>
          <w:szCs w:val="24"/>
        </w:rPr>
        <w:t>facilities.  As this PPA does not require any changes in facilities operations, there are no incremental safety implications associated with approval of this PPA beyond the status quo.  Based on the information before us, this PPA does not appear to result in any adverse safety impacts on the facilities or operations of BVES.</w:t>
      </w:r>
    </w:p>
    <w:p w:rsidRPr="00520E97" w:rsidR="004C31FC" w:rsidP="008E334E" w:rsidRDefault="004C31FC" w14:paraId="76EB5791" w14:textId="77777777">
      <w:pPr>
        <w:rPr>
          <w:rFonts w:ascii="Palatino Linotype" w:hAnsi="Palatino Linotype"/>
          <w:b/>
          <w:bCs/>
          <w:sz w:val="24"/>
          <w:szCs w:val="24"/>
        </w:rPr>
      </w:pPr>
    </w:p>
    <w:p w:rsidRPr="00520E97" w:rsidR="001A1FF7" w:rsidP="008E334E" w:rsidRDefault="00104C8C" w14:paraId="52989EF6" w14:textId="324789D6">
      <w:pPr>
        <w:pStyle w:val="Heading1"/>
        <w:rPr>
          <w:rFonts w:ascii="Palatino Linotype" w:hAnsi="Palatino Linotype" w:eastAsia="Palatino Linotype"/>
          <w:sz w:val="24"/>
          <w:szCs w:val="24"/>
        </w:rPr>
      </w:pPr>
      <w:r w:rsidRPr="00520E97">
        <w:rPr>
          <w:rFonts w:ascii="Palatino Linotype" w:hAnsi="Palatino Linotype" w:eastAsia="Palatino Linotype"/>
          <w:sz w:val="24"/>
          <w:szCs w:val="24"/>
        </w:rPr>
        <w:t xml:space="preserve">RPS ELIGIBILITY AND CPUC APPROVAL </w:t>
      </w:r>
    </w:p>
    <w:p w:rsidRPr="00520E97" w:rsidR="001A1FF7" w:rsidP="008E334E" w:rsidRDefault="001A1FF7" w14:paraId="1A89D681" w14:textId="222C90A8">
      <w:pPr>
        <w:pStyle w:val="standard"/>
        <w:spacing w:line="240" w:lineRule="auto"/>
        <w:ind w:firstLine="0"/>
        <w:rPr>
          <w:rFonts w:ascii="Palatino Linotype" w:hAnsi="Palatino Linotype" w:eastAsia="Palatino Linotype"/>
          <w:sz w:val="24"/>
          <w:szCs w:val="24"/>
        </w:rPr>
      </w:pPr>
      <w:r w:rsidRPr="00520E97">
        <w:rPr>
          <w:rFonts w:ascii="Palatino Linotype" w:hAnsi="Palatino Linotype" w:eastAsia="Palatino Linotype"/>
          <w:sz w:val="24"/>
          <w:szCs w:val="24"/>
        </w:rPr>
        <w:t xml:space="preserve">In </w:t>
      </w:r>
      <w:r w:rsidRPr="00520E97" w:rsidR="002F6FE2">
        <w:rPr>
          <w:rFonts w:ascii="Palatino Linotype" w:hAnsi="Palatino Linotype" w:eastAsia="Palatino Linotype"/>
          <w:sz w:val="24"/>
          <w:szCs w:val="24"/>
        </w:rPr>
        <w:t xml:space="preserve">AL 470-E, Bear Valley requests that CPUC finds any procurement pursuant to the Transaction Confirmation is procurement from an </w:t>
      </w:r>
      <w:r w:rsidRPr="00520E97" w:rsidR="00463534">
        <w:rPr>
          <w:rFonts w:ascii="Palatino Linotype" w:hAnsi="Palatino Linotype" w:eastAsia="Palatino Linotype"/>
          <w:sz w:val="24"/>
          <w:szCs w:val="24"/>
        </w:rPr>
        <w:t xml:space="preserve">ERR </w:t>
      </w:r>
      <w:r w:rsidRPr="00520E97" w:rsidR="002F6FE2">
        <w:rPr>
          <w:rFonts w:ascii="Palatino Linotype" w:hAnsi="Palatino Linotype" w:eastAsia="Palatino Linotype"/>
          <w:sz w:val="24"/>
          <w:szCs w:val="24"/>
        </w:rPr>
        <w:t xml:space="preserve">for purposes of determining Bear Valley’s compliance with any obligation that it may have to procure eligible renewable energy resources pursuant to California’s RPS laws (Public Utilities Code </w:t>
      </w:r>
      <w:r w:rsidR="00054D1F">
        <w:rPr>
          <w:rFonts w:ascii="Palatino Linotype" w:hAnsi="Palatino Linotype" w:eastAsia="Palatino Linotype"/>
          <w:sz w:val="24"/>
          <w:szCs w:val="24"/>
        </w:rPr>
        <w:br/>
      </w:r>
      <w:r w:rsidRPr="00520E97" w:rsidR="00980D54">
        <w:rPr>
          <w:rFonts w:ascii="Palatino Linotype" w:hAnsi="Palatino Linotype"/>
          <w:sz w:val="24"/>
          <w:szCs w:val="24"/>
        </w:rPr>
        <w:t xml:space="preserve">§ </w:t>
      </w:r>
      <w:r w:rsidRPr="00520E97" w:rsidR="002F6FE2">
        <w:rPr>
          <w:rFonts w:ascii="Palatino Linotype" w:hAnsi="Palatino Linotype" w:eastAsia="Palatino Linotype"/>
          <w:sz w:val="24"/>
          <w:szCs w:val="24"/>
        </w:rPr>
        <w:t>311</w:t>
      </w:r>
      <w:r w:rsidRPr="00520E97" w:rsidR="00D43B75">
        <w:rPr>
          <w:rFonts w:ascii="Palatino Linotype" w:hAnsi="Palatino Linotype" w:eastAsia="Palatino Linotype"/>
          <w:sz w:val="24"/>
          <w:szCs w:val="24"/>
        </w:rPr>
        <w:t xml:space="preserve"> </w:t>
      </w:r>
      <w:r w:rsidRPr="00520E97" w:rsidR="00D43B75">
        <w:rPr>
          <w:rFonts w:ascii="Palatino Linotype" w:hAnsi="Palatino Linotype" w:eastAsia="Palatino Linotype"/>
          <w:i/>
          <w:iCs/>
          <w:sz w:val="24"/>
          <w:szCs w:val="24"/>
        </w:rPr>
        <w:t>et seq.</w:t>
      </w:r>
      <w:r w:rsidRPr="00520E97" w:rsidR="00D43B75">
        <w:rPr>
          <w:rFonts w:ascii="Palatino Linotype" w:hAnsi="Palatino Linotype" w:eastAsia="Palatino Linotype"/>
          <w:sz w:val="24"/>
          <w:szCs w:val="24"/>
        </w:rPr>
        <w:t xml:space="preserve">) and related Commission decisions and applicable laws. </w:t>
      </w:r>
      <w:r w:rsidRPr="00520E97" w:rsidR="00980D54">
        <w:rPr>
          <w:rFonts w:ascii="Palatino Linotype" w:hAnsi="Palatino Linotype" w:eastAsia="Palatino Linotype"/>
          <w:sz w:val="24"/>
          <w:szCs w:val="24"/>
        </w:rPr>
        <w:t xml:space="preserve">Pursuant to </w:t>
      </w:r>
      <w:r w:rsidRPr="00520E97" w:rsidR="00BB7D06">
        <w:rPr>
          <w:rFonts w:ascii="Palatino Linotype" w:hAnsi="Palatino Linotype" w:eastAsia="Palatino Linotype"/>
          <w:sz w:val="24"/>
          <w:szCs w:val="24"/>
        </w:rPr>
        <w:t xml:space="preserve">Public Utilities Code </w:t>
      </w:r>
      <w:r w:rsidRPr="00520E97" w:rsidR="00BB7D06">
        <w:rPr>
          <w:rFonts w:ascii="Palatino Linotype" w:hAnsi="Palatino Linotype"/>
          <w:sz w:val="24"/>
          <w:szCs w:val="24"/>
        </w:rPr>
        <w:t xml:space="preserve">§ </w:t>
      </w:r>
      <w:r w:rsidRPr="00520E97" w:rsidR="00BB7D06">
        <w:rPr>
          <w:rFonts w:ascii="Palatino Linotype" w:hAnsi="Palatino Linotype" w:eastAsia="Palatino Linotype"/>
          <w:sz w:val="24"/>
          <w:szCs w:val="24"/>
        </w:rPr>
        <w:t xml:space="preserve">399.25, the CEC certifies eligible renewable energy resources. </w:t>
      </w:r>
      <w:r w:rsidRPr="00520E97" w:rsidR="00C61D5F">
        <w:rPr>
          <w:rFonts w:ascii="Palatino Linotype" w:hAnsi="Palatino Linotype" w:eastAsia="Palatino Linotype"/>
          <w:sz w:val="24"/>
          <w:szCs w:val="24"/>
        </w:rPr>
        <w:t xml:space="preserve">Generation from a resource that is not CEC-certified cannot be used to meet RPS requirements. To ensure that only CEC-certified energy is procured under a Commission-approved RPS contract, the Commission has required standard and non-modifiable “eligibility” language in all RPS contracts. That language requires a seller to warrant that the project qualifies and is certified by the CEC as an “Eligible Renewable </w:t>
      </w:r>
      <w:r w:rsidRPr="00520E97" w:rsidR="00C61D5F">
        <w:rPr>
          <w:rFonts w:ascii="Palatino Linotype" w:hAnsi="Palatino Linotype" w:eastAsia="Palatino Linotype"/>
          <w:sz w:val="24"/>
          <w:szCs w:val="24"/>
        </w:rPr>
        <w:lastRenderedPageBreak/>
        <w:t xml:space="preserve">Energy Resource,” that the project’s output delivered to the buyer qualifies under the requirements of the California RPS, and that the seller use commercially reasonable efforts to maintain eligibility should there be a change in </w:t>
      </w:r>
      <w:r w:rsidRPr="00520E97" w:rsidR="00544542">
        <w:rPr>
          <w:rFonts w:ascii="Palatino Linotype" w:hAnsi="Palatino Linotype" w:eastAsia="Palatino Linotype"/>
          <w:sz w:val="24"/>
          <w:szCs w:val="24"/>
        </w:rPr>
        <w:t>law affecting eligibility.</w:t>
      </w:r>
      <w:r w:rsidRPr="00520E97" w:rsidR="00544542">
        <w:rPr>
          <w:rStyle w:val="FootnoteReference"/>
          <w:rFonts w:ascii="Palatino Linotype" w:hAnsi="Palatino Linotype" w:eastAsia="Palatino Linotype"/>
          <w:sz w:val="24"/>
          <w:szCs w:val="24"/>
        </w:rPr>
        <w:footnoteReference w:id="19"/>
      </w:r>
      <w:r w:rsidRPr="00520E97" w:rsidR="00544542">
        <w:rPr>
          <w:rFonts w:ascii="Palatino Linotype" w:hAnsi="Palatino Linotype" w:eastAsia="Palatino Linotype"/>
          <w:sz w:val="24"/>
          <w:szCs w:val="24"/>
        </w:rPr>
        <w:t xml:space="preserve"> </w:t>
      </w:r>
    </w:p>
    <w:p w:rsidRPr="00520E97" w:rsidR="004C5265" w:rsidP="008E334E" w:rsidRDefault="004C5265" w14:paraId="60D9D21C" w14:textId="77777777">
      <w:pPr>
        <w:pStyle w:val="standard"/>
        <w:spacing w:line="240" w:lineRule="auto"/>
        <w:ind w:firstLine="0"/>
        <w:rPr>
          <w:rFonts w:ascii="Palatino Linotype" w:hAnsi="Palatino Linotype" w:eastAsia="Palatino Linotype"/>
          <w:sz w:val="24"/>
          <w:szCs w:val="24"/>
        </w:rPr>
      </w:pPr>
    </w:p>
    <w:p w:rsidRPr="00520E97" w:rsidR="007241A7" w:rsidP="008E334E" w:rsidRDefault="007241A7" w14:paraId="62D25424" w14:textId="1EAD9D6B">
      <w:pPr>
        <w:pStyle w:val="standard"/>
        <w:spacing w:line="240" w:lineRule="auto"/>
        <w:ind w:firstLine="0"/>
        <w:rPr>
          <w:rFonts w:ascii="Palatino Linotype" w:hAnsi="Palatino Linotype"/>
          <w:sz w:val="24"/>
          <w:szCs w:val="24"/>
        </w:rPr>
      </w:pPr>
      <w:r w:rsidRPr="00520E97">
        <w:rPr>
          <w:rFonts w:ascii="Palatino Linotype" w:hAnsi="Palatino Linotype" w:eastAsia="Palatino Linotype"/>
          <w:sz w:val="24"/>
          <w:szCs w:val="24"/>
        </w:rPr>
        <w:t xml:space="preserve">The Commission requires a standard and non-modifiable clause in all RPS </w:t>
      </w:r>
      <w:r w:rsidRPr="00520E97" w:rsidR="007116C2">
        <w:rPr>
          <w:rFonts w:ascii="Palatino Linotype" w:hAnsi="Palatino Linotype" w:eastAsia="Palatino Linotype"/>
          <w:sz w:val="24"/>
          <w:szCs w:val="24"/>
        </w:rPr>
        <w:t xml:space="preserve">contracts that requires “CPUC Approval” of a PPA to include an explicit finding that “any procurement pursuant to this Agreement is procurement from an eligible renewable energy resource for purposes of determining Buyer’s compliance with any obligation that it may have to procure eligible renewable energy resources </w:t>
      </w:r>
      <w:r w:rsidRPr="00520E97" w:rsidR="00E266F0">
        <w:rPr>
          <w:rFonts w:ascii="Palatino Linotype" w:hAnsi="Palatino Linotype" w:eastAsia="Palatino Linotype"/>
          <w:sz w:val="24"/>
          <w:szCs w:val="24"/>
        </w:rPr>
        <w:t>pursuant to the California Renewables Portfolio Standard (</w:t>
      </w:r>
      <w:r w:rsidRPr="00520E97" w:rsidR="00E266F0">
        <w:rPr>
          <w:rFonts w:ascii="Palatino Linotype" w:hAnsi="Palatino Linotype" w:eastAsia="Palatino Linotype"/>
          <w:i/>
          <w:iCs/>
          <w:sz w:val="24"/>
          <w:szCs w:val="24"/>
        </w:rPr>
        <w:t xml:space="preserve">Public Utilities Code </w:t>
      </w:r>
      <w:r w:rsidRPr="00520E97" w:rsidR="00E266F0">
        <w:rPr>
          <w:rFonts w:ascii="Palatino Linotype" w:hAnsi="Palatino Linotype"/>
          <w:i/>
          <w:iCs/>
          <w:sz w:val="24"/>
          <w:szCs w:val="24"/>
        </w:rPr>
        <w:t>§</w:t>
      </w:r>
      <w:r w:rsidRPr="00520E97" w:rsidR="00FC1145">
        <w:rPr>
          <w:rFonts w:ascii="Palatino Linotype" w:hAnsi="Palatino Linotype"/>
          <w:i/>
          <w:iCs/>
          <w:sz w:val="24"/>
          <w:szCs w:val="24"/>
        </w:rPr>
        <w:t xml:space="preserve"> 399.11 et seq.</w:t>
      </w:r>
      <w:r w:rsidRPr="00520E97" w:rsidR="00FC1145">
        <w:rPr>
          <w:rFonts w:ascii="Palatino Linotype" w:hAnsi="Palatino Linotype"/>
          <w:sz w:val="24"/>
          <w:szCs w:val="24"/>
        </w:rPr>
        <w:t xml:space="preserve">), </w:t>
      </w:r>
      <w:r w:rsidR="00054D1F">
        <w:rPr>
          <w:rFonts w:ascii="Palatino Linotype" w:hAnsi="Palatino Linotype"/>
          <w:sz w:val="24"/>
          <w:szCs w:val="24"/>
        </w:rPr>
        <w:br/>
      </w:r>
      <w:r w:rsidRPr="00520E97" w:rsidR="00FC1145">
        <w:rPr>
          <w:rFonts w:ascii="Palatino Linotype" w:hAnsi="Palatino Linotype"/>
          <w:sz w:val="24"/>
          <w:szCs w:val="24"/>
        </w:rPr>
        <w:t>D.11-12-020 and D.11-12-052, or other applicable law”.</w:t>
      </w:r>
      <w:r w:rsidRPr="00520E97" w:rsidR="00FC1145">
        <w:rPr>
          <w:rStyle w:val="FootnoteReference"/>
          <w:rFonts w:ascii="Palatino Linotype" w:hAnsi="Palatino Linotype"/>
          <w:sz w:val="24"/>
          <w:szCs w:val="24"/>
        </w:rPr>
        <w:footnoteReference w:id="20"/>
      </w:r>
    </w:p>
    <w:p w:rsidRPr="00520E97" w:rsidR="008D3E24" w:rsidP="008E334E" w:rsidRDefault="008D3E24" w14:paraId="20ABA44B" w14:textId="06711188">
      <w:pPr>
        <w:pStyle w:val="standard"/>
        <w:spacing w:line="240" w:lineRule="auto"/>
        <w:ind w:firstLine="0"/>
        <w:rPr>
          <w:rFonts w:ascii="Palatino Linotype" w:hAnsi="Palatino Linotype"/>
          <w:sz w:val="24"/>
          <w:szCs w:val="24"/>
        </w:rPr>
      </w:pPr>
    </w:p>
    <w:p w:rsidRPr="00520E97" w:rsidR="00C53EB4" w:rsidP="008E334E" w:rsidRDefault="00C53EB4" w14:paraId="17A93F54" w14:textId="36FC75BA">
      <w:pPr>
        <w:pStyle w:val="standard"/>
        <w:spacing w:line="240" w:lineRule="auto"/>
        <w:ind w:firstLine="0"/>
        <w:rPr>
          <w:rFonts w:ascii="Palatino Linotype" w:hAnsi="Palatino Linotype"/>
          <w:sz w:val="24"/>
          <w:szCs w:val="24"/>
        </w:rPr>
      </w:pPr>
      <w:r w:rsidRPr="00520E97">
        <w:rPr>
          <w:rFonts w:ascii="Palatino Linotype" w:hAnsi="Palatino Linotype"/>
          <w:sz w:val="24"/>
          <w:szCs w:val="24"/>
        </w:rPr>
        <w:t>Notwithstanding this language, the Commission has no jurisdiction to determine whether a project is an eligible renewable energy resource, nor can the Commission determine prior to final CEC certification of a project, that “any procurement” pursuant to a specific contract will be “procurement from an eligible renewable energy resource.”</w:t>
      </w:r>
    </w:p>
    <w:p w:rsidRPr="00520E97" w:rsidR="004C5265" w:rsidP="008E334E" w:rsidRDefault="004C5265" w14:paraId="021AA706" w14:textId="77777777">
      <w:pPr>
        <w:pStyle w:val="standard"/>
        <w:spacing w:line="240" w:lineRule="auto"/>
        <w:ind w:firstLine="0"/>
        <w:rPr>
          <w:rFonts w:ascii="Palatino Linotype" w:hAnsi="Palatino Linotype"/>
          <w:sz w:val="24"/>
          <w:szCs w:val="24"/>
        </w:rPr>
      </w:pPr>
    </w:p>
    <w:p w:rsidRPr="00520E97" w:rsidR="0071562C" w:rsidP="008E334E" w:rsidRDefault="0071562C" w14:paraId="0727DAFB" w14:textId="74894C92">
      <w:pPr>
        <w:pStyle w:val="standard"/>
        <w:spacing w:line="240" w:lineRule="auto"/>
        <w:ind w:firstLine="0"/>
        <w:rPr>
          <w:rFonts w:ascii="Palatino Linotype" w:hAnsi="Palatino Linotype"/>
          <w:sz w:val="24"/>
          <w:szCs w:val="24"/>
        </w:rPr>
      </w:pPr>
      <w:r w:rsidRPr="00520E97">
        <w:rPr>
          <w:rFonts w:ascii="Palatino Linotype" w:hAnsi="Palatino Linotype"/>
          <w:sz w:val="24"/>
          <w:szCs w:val="24"/>
        </w:rPr>
        <w:t xml:space="preserve">Therefore, while we include the required finding here, </w:t>
      </w:r>
      <w:r w:rsidRPr="00520E97">
        <w:rPr>
          <w:rFonts w:ascii="Palatino Linotype" w:hAnsi="Palatino Linotype"/>
          <w:sz w:val="24"/>
          <w:szCs w:val="24"/>
          <w:u w:val="single"/>
        </w:rPr>
        <w:t>this finding has never been intended, and shall not be read now, to allow the generation from a non-</w:t>
      </w:r>
      <w:r w:rsidRPr="00520E97" w:rsidR="003E6509">
        <w:rPr>
          <w:rFonts w:ascii="Palatino Linotype" w:hAnsi="Palatino Linotype"/>
          <w:sz w:val="24"/>
          <w:szCs w:val="24"/>
          <w:u w:val="single"/>
        </w:rPr>
        <w:t>RPS eligible resource to count towards an RPS compliance obligation. Nor shall such a finding absolve a seller from its obligation to obtain CEC certification or absolve the purchasing utility of its ob</w:t>
      </w:r>
      <w:r w:rsidRPr="00520E97" w:rsidR="00EB70B0">
        <w:rPr>
          <w:rFonts w:ascii="Palatino Linotype" w:hAnsi="Palatino Linotype"/>
          <w:sz w:val="24"/>
          <w:szCs w:val="24"/>
          <w:u w:val="single"/>
        </w:rPr>
        <w:t>ligation to enforce compliance with Standard Term and Condition 6, set forth in Appendix A of D.08-04-009 and included in the P</w:t>
      </w:r>
      <w:r w:rsidRPr="00520E97" w:rsidR="00544049">
        <w:rPr>
          <w:rFonts w:ascii="Palatino Linotype" w:hAnsi="Palatino Linotype"/>
          <w:sz w:val="24"/>
          <w:szCs w:val="24"/>
          <w:u w:val="single"/>
        </w:rPr>
        <w:t>P</w:t>
      </w:r>
      <w:r w:rsidRPr="00520E97" w:rsidR="00EB70B0">
        <w:rPr>
          <w:rFonts w:ascii="Palatino Linotype" w:hAnsi="Palatino Linotype"/>
          <w:sz w:val="24"/>
          <w:szCs w:val="24"/>
          <w:u w:val="single"/>
        </w:rPr>
        <w:t>A.</w:t>
      </w:r>
      <w:r w:rsidRPr="00520E97" w:rsidR="00EB70B0">
        <w:rPr>
          <w:rFonts w:ascii="Palatino Linotype" w:hAnsi="Palatino Linotype"/>
          <w:sz w:val="24"/>
          <w:szCs w:val="24"/>
        </w:rPr>
        <w:t xml:space="preserve"> Such contract enforcement activities shall be reviewed pursuant to the Commission’s authority to review the administration of such contracts.</w:t>
      </w:r>
    </w:p>
    <w:p w:rsidRPr="00520E97" w:rsidR="0010660A" w:rsidP="008E334E" w:rsidRDefault="0010660A" w14:paraId="7C4D1304" w14:textId="0D56F859">
      <w:pPr>
        <w:pStyle w:val="standard"/>
        <w:spacing w:line="240" w:lineRule="auto"/>
        <w:ind w:firstLine="0"/>
        <w:rPr>
          <w:rFonts w:ascii="Palatino Linotype" w:hAnsi="Palatino Linotype" w:eastAsia="Palatino Linotype"/>
          <w:sz w:val="24"/>
          <w:szCs w:val="24"/>
        </w:rPr>
      </w:pPr>
    </w:p>
    <w:p w:rsidRPr="00520E97" w:rsidR="00367E1F" w:rsidP="008E334E" w:rsidRDefault="00367E1F" w14:paraId="6A66E139" w14:textId="07961813">
      <w:pPr>
        <w:rPr>
          <w:rFonts w:ascii="Palatino Linotype" w:hAnsi="Palatino Linotype"/>
          <w:b/>
          <w:bCs/>
          <w:sz w:val="24"/>
          <w:szCs w:val="24"/>
        </w:rPr>
      </w:pPr>
      <w:r w:rsidRPr="00520E97">
        <w:rPr>
          <w:rFonts w:ascii="Palatino Linotype" w:hAnsi="Palatino Linotype"/>
          <w:b/>
          <w:bCs/>
          <w:sz w:val="24"/>
          <w:szCs w:val="24"/>
        </w:rPr>
        <w:t>Energy Division’s Assessment of Bear Valley’s Request for a Non-Interest Bearing Memorandum</w:t>
      </w:r>
      <w:r w:rsidRPr="00520E97" w:rsidR="007A4CC7">
        <w:rPr>
          <w:rFonts w:ascii="Palatino Linotype" w:hAnsi="Palatino Linotype"/>
          <w:b/>
          <w:bCs/>
          <w:sz w:val="24"/>
          <w:szCs w:val="24"/>
        </w:rPr>
        <w:t xml:space="preserve"> Account</w:t>
      </w:r>
    </w:p>
    <w:p w:rsidRPr="00520E97" w:rsidR="00367E1F" w:rsidP="008E334E" w:rsidRDefault="00367E1F" w14:paraId="07DB3661" w14:textId="77777777">
      <w:pPr>
        <w:rPr>
          <w:rFonts w:ascii="Palatino Linotype" w:hAnsi="Palatino Linotype"/>
          <w:b/>
          <w:bCs/>
          <w:sz w:val="24"/>
          <w:szCs w:val="24"/>
        </w:rPr>
      </w:pPr>
    </w:p>
    <w:p w:rsidRPr="00520E97" w:rsidR="00367E1F" w:rsidP="008E334E" w:rsidRDefault="00367E1F" w14:paraId="7FC1E593" w14:textId="23A793E1">
      <w:pPr>
        <w:rPr>
          <w:rFonts w:ascii="Palatino Linotype" w:hAnsi="Palatino Linotype"/>
          <w:sz w:val="24"/>
          <w:szCs w:val="24"/>
        </w:rPr>
      </w:pPr>
      <w:r w:rsidRPr="00520E97">
        <w:rPr>
          <w:rFonts w:ascii="Palatino Linotype" w:hAnsi="Palatino Linotype"/>
          <w:sz w:val="24"/>
          <w:szCs w:val="24"/>
        </w:rPr>
        <w:t>Bear Valley requests that the CPUC approve the use of a memorandum account to capture refunds or under-collections that arise from this PPA. Bear Valley argues that the use of a non-interest bearing memorandum account can help the utility eliminate significant fluctuations and uncertainty to its reported earnings associated with derivative gains and losses.</w:t>
      </w:r>
      <w:r w:rsidRPr="00520E97">
        <w:rPr>
          <w:rStyle w:val="FootnoteReference"/>
          <w:rFonts w:ascii="Palatino Linotype" w:hAnsi="Palatino Linotype"/>
          <w:sz w:val="24"/>
          <w:szCs w:val="24"/>
        </w:rPr>
        <w:footnoteReference w:id="21"/>
      </w:r>
      <w:r w:rsidRPr="00520E97">
        <w:rPr>
          <w:rFonts w:ascii="Palatino Linotype" w:hAnsi="Palatino Linotype"/>
          <w:sz w:val="24"/>
          <w:szCs w:val="24"/>
        </w:rPr>
        <w:t xml:space="preserve"> It asserts that if there were fluctuations to Bear Valley’s reported earnings, the small utility would look less reliable to potential investors in the </w:t>
      </w:r>
      <w:r w:rsidRPr="00520E97">
        <w:rPr>
          <w:rFonts w:ascii="Palatino Linotype" w:hAnsi="Palatino Linotype"/>
          <w:sz w:val="24"/>
          <w:szCs w:val="24"/>
        </w:rPr>
        <w:lastRenderedPageBreak/>
        <w:t>future. Lastly, Bear Valley articulates that if authorized, the non-interest bearing memorandum account will effectively reverse and zero out by the end of the contract period, ultimately having no impact to customers. In addition, in Appendix E of AL 470-E Bear Valley provided a Preliminary Statement form for such a memorandum account.</w:t>
      </w:r>
    </w:p>
    <w:p w:rsidRPr="00520E97" w:rsidR="00367E1F" w:rsidP="008E334E" w:rsidRDefault="00367E1F" w14:paraId="4C913D66" w14:textId="77777777">
      <w:pPr>
        <w:rPr>
          <w:rFonts w:ascii="Palatino Linotype" w:hAnsi="Palatino Linotype"/>
          <w:sz w:val="24"/>
          <w:szCs w:val="24"/>
        </w:rPr>
      </w:pPr>
    </w:p>
    <w:p w:rsidRPr="00520E97" w:rsidR="00367E1F" w:rsidP="008E334E" w:rsidRDefault="00CF52BB" w14:paraId="2CC14463" w14:textId="58BB9DF8">
      <w:pPr>
        <w:spacing w:after="240"/>
        <w:rPr>
          <w:rFonts w:ascii="Palatino Linotype" w:hAnsi="Palatino Linotype"/>
          <w:sz w:val="24"/>
          <w:szCs w:val="24"/>
        </w:rPr>
      </w:pPr>
      <w:r w:rsidRPr="00520E97">
        <w:rPr>
          <w:rFonts w:ascii="Palatino Linotype" w:hAnsi="Palatino Linotype"/>
          <w:sz w:val="24"/>
          <w:szCs w:val="24"/>
        </w:rPr>
        <w:t xml:space="preserve">Similar memorandum accounts have been authorized </w:t>
      </w:r>
      <w:r w:rsidRPr="00520E97" w:rsidR="00367E1F">
        <w:rPr>
          <w:rFonts w:ascii="Palatino Linotype" w:hAnsi="Palatino Linotype"/>
          <w:sz w:val="24"/>
          <w:szCs w:val="24"/>
        </w:rPr>
        <w:t xml:space="preserve">by the CPUC in D.09-05-025, D.11-06-030, D.14-12-003, and D.19-08-030. </w:t>
      </w:r>
      <w:r w:rsidRPr="00520E97" w:rsidR="00367E1F">
        <w:rPr>
          <w:rFonts w:ascii="Palatino Linotype" w:hAnsi="Palatino Linotype"/>
          <w:sz w:val="24"/>
          <w:szCs w:val="24"/>
          <w:u w:val="single"/>
        </w:rPr>
        <w:t>The CPUC finds that the use of a memorandum account is justified</w:t>
      </w:r>
      <w:r w:rsidRPr="00520E97" w:rsidR="00367E1F">
        <w:rPr>
          <w:rFonts w:ascii="Palatino Linotype" w:hAnsi="Palatino Linotype"/>
          <w:sz w:val="24"/>
          <w:szCs w:val="24"/>
        </w:rPr>
        <w:t xml:space="preserve"> here as well. We approve this request on the understanding that no actual additional cost will be recovered or refunded that is not directly incurred as a part of the good faith contract performance. BVES shall file a Tier 1 advice letter with language consistent with the language provided in Appendix E of Bear Valley AL 470-E.</w:t>
      </w:r>
    </w:p>
    <w:p w:rsidRPr="00520E97" w:rsidR="000F5867" w:rsidP="008E334E" w:rsidRDefault="000F5867" w14:paraId="5DD79D68" w14:textId="63BB8A9B">
      <w:pPr>
        <w:pStyle w:val="Heading1"/>
        <w:rPr>
          <w:rFonts w:ascii="Palatino Linotype" w:hAnsi="Palatino Linotype" w:eastAsia="Palatino Linotype"/>
          <w:sz w:val="24"/>
          <w:szCs w:val="24"/>
        </w:rPr>
      </w:pPr>
      <w:r w:rsidRPr="00520E97">
        <w:rPr>
          <w:rFonts w:ascii="Palatino Linotype" w:hAnsi="Palatino Linotype" w:eastAsia="Palatino Linotype"/>
          <w:sz w:val="24"/>
          <w:szCs w:val="24"/>
        </w:rPr>
        <w:t>CoNFIDENTIAL INFORMATION</w:t>
      </w:r>
    </w:p>
    <w:p w:rsidRPr="00520E97" w:rsidR="000F5867" w:rsidP="008E334E" w:rsidRDefault="00963B01" w14:paraId="38CE464F" w14:textId="6EE0E8EA">
      <w:pPr>
        <w:pStyle w:val="standard"/>
        <w:spacing w:line="240" w:lineRule="auto"/>
        <w:ind w:firstLine="0"/>
        <w:rPr>
          <w:rFonts w:ascii="Palatino Linotype" w:hAnsi="Palatino Linotype"/>
          <w:sz w:val="24"/>
          <w:szCs w:val="24"/>
        </w:rPr>
      </w:pPr>
      <w:r w:rsidRPr="00520E97">
        <w:rPr>
          <w:rFonts w:ascii="Palatino Linotype" w:hAnsi="Palatino Linotype" w:eastAsia="Palatino Linotype"/>
          <w:sz w:val="24"/>
          <w:szCs w:val="24"/>
        </w:rPr>
        <w:t>The Commission</w:t>
      </w:r>
      <w:r w:rsidRPr="00520E97" w:rsidR="00A93405">
        <w:rPr>
          <w:rFonts w:ascii="Palatino Linotype" w:hAnsi="Palatino Linotype" w:eastAsia="Palatino Linotype"/>
          <w:sz w:val="24"/>
          <w:szCs w:val="24"/>
        </w:rPr>
        <w:t xml:space="preserve"> implemented Public Utilities Code </w:t>
      </w:r>
      <w:r w:rsidRPr="00520E97" w:rsidR="00BF28DA">
        <w:rPr>
          <w:rFonts w:ascii="Palatino Linotype" w:hAnsi="Palatino Linotype"/>
          <w:sz w:val="24"/>
          <w:szCs w:val="24"/>
        </w:rPr>
        <w:t>§ 454.5(g), which determined in D.06-06-066, as modified by D.07-05-032</w:t>
      </w:r>
      <w:r w:rsidRPr="00520E97" w:rsidR="00CA3F66">
        <w:rPr>
          <w:rFonts w:ascii="Palatino Linotype" w:hAnsi="Palatino Linotype"/>
          <w:sz w:val="24"/>
          <w:szCs w:val="24"/>
        </w:rPr>
        <w:t xml:space="preserve"> and D.21-11-029</w:t>
      </w:r>
      <w:r w:rsidRPr="00520E97" w:rsidR="00BF28DA">
        <w:rPr>
          <w:rFonts w:ascii="Palatino Linotype" w:hAnsi="Palatino Linotype"/>
          <w:sz w:val="24"/>
          <w:szCs w:val="24"/>
        </w:rPr>
        <w:t xml:space="preserve">, </w:t>
      </w:r>
      <w:r w:rsidRPr="00520E97" w:rsidR="000C1EA0">
        <w:rPr>
          <w:rFonts w:ascii="Palatino Linotype" w:hAnsi="Palatino Linotype"/>
          <w:sz w:val="24"/>
          <w:szCs w:val="24"/>
        </w:rPr>
        <w:t xml:space="preserve">states </w:t>
      </w:r>
      <w:r w:rsidRPr="00520E97" w:rsidR="00BF28DA">
        <w:rPr>
          <w:rFonts w:ascii="Palatino Linotype" w:hAnsi="Palatino Linotype"/>
          <w:sz w:val="24"/>
          <w:szCs w:val="24"/>
        </w:rPr>
        <w:t>that certain material submitted to the Commission as confidential should be kept confidential to ensure that market sensitive dat</w:t>
      </w:r>
      <w:r w:rsidRPr="00520E97" w:rsidR="00A575A2">
        <w:rPr>
          <w:rFonts w:ascii="Palatino Linotype" w:hAnsi="Palatino Linotype"/>
          <w:sz w:val="24"/>
          <w:szCs w:val="24"/>
        </w:rPr>
        <w:t>a</w:t>
      </w:r>
      <w:r w:rsidRPr="00520E97" w:rsidR="00BF28DA">
        <w:rPr>
          <w:rFonts w:ascii="Palatino Linotype" w:hAnsi="Palatino Linotype"/>
          <w:sz w:val="24"/>
          <w:szCs w:val="24"/>
        </w:rPr>
        <w:t xml:space="preserve"> does not influence the behavior of bidders in future RPS solicitations. D.06-06-066</w:t>
      </w:r>
      <w:r w:rsidRPr="00520E97" w:rsidR="00CA3F66">
        <w:rPr>
          <w:rFonts w:ascii="Palatino Linotype" w:hAnsi="Palatino Linotype"/>
          <w:sz w:val="24"/>
          <w:szCs w:val="24"/>
        </w:rPr>
        <w:t>, as modified,</w:t>
      </w:r>
      <w:r w:rsidRPr="00520E97" w:rsidR="00BF28DA">
        <w:rPr>
          <w:rFonts w:ascii="Palatino Linotype" w:hAnsi="Palatino Linotype"/>
          <w:sz w:val="24"/>
          <w:szCs w:val="24"/>
        </w:rPr>
        <w:t xml:space="preserve"> ad</w:t>
      </w:r>
      <w:r w:rsidRPr="00520E97" w:rsidR="00F12F5F">
        <w:rPr>
          <w:rFonts w:ascii="Palatino Linotype" w:hAnsi="Palatino Linotype"/>
          <w:sz w:val="24"/>
          <w:szCs w:val="24"/>
        </w:rPr>
        <w:t xml:space="preserve">opted a time limit on confidentiality of specific terms in RPS contracts. Such information, such as price, is confidential for </w:t>
      </w:r>
      <w:r w:rsidRPr="00520E97" w:rsidR="00CA3F66">
        <w:rPr>
          <w:rFonts w:ascii="Palatino Linotype" w:hAnsi="Palatino Linotype"/>
          <w:sz w:val="24"/>
          <w:szCs w:val="24"/>
        </w:rPr>
        <w:t>30 days after commercial operation</w:t>
      </w:r>
      <w:r w:rsidRPr="00520E97" w:rsidR="0084611B">
        <w:rPr>
          <w:rFonts w:ascii="Palatino Linotype" w:hAnsi="Palatino Linotype"/>
          <w:sz w:val="24"/>
          <w:szCs w:val="24"/>
        </w:rPr>
        <w:t xml:space="preserve"> </w:t>
      </w:r>
      <w:r w:rsidRPr="00520E97" w:rsidR="00CA3F66">
        <w:rPr>
          <w:rFonts w:ascii="Palatino Linotype" w:hAnsi="Palatino Linotype"/>
          <w:sz w:val="24"/>
          <w:szCs w:val="24"/>
        </w:rPr>
        <w:t>dat</w:t>
      </w:r>
      <w:r w:rsidRPr="00520E97" w:rsidR="0084611B">
        <w:rPr>
          <w:rFonts w:ascii="Palatino Linotype" w:hAnsi="Palatino Linotype"/>
          <w:sz w:val="24"/>
          <w:szCs w:val="24"/>
        </w:rPr>
        <w:t>e</w:t>
      </w:r>
      <w:r w:rsidRPr="00520E97" w:rsidR="00CA3F66">
        <w:rPr>
          <w:rFonts w:ascii="Palatino Linotype" w:hAnsi="Palatino Linotype"/>
          <w:sz w:val="24"/>
          <w:szCs w:val="24"/>
        </w:rPr>
        <w:t xml:space="preserve"> or 18 months from Commission approval, whichever comes first</w:t>
      </w:r>
      <w:r w:rsidRPr="00520E97" w:rsidR="00F12F5F">
        <w:rPr>
          <w:rFonts w:ascii="Palatino Linotype" w:hAnsi="Palatino Linotype"/>
          <w:sz w:val="24"/>
          <w:szCs w:val="24"/>
        </w:rPr>
        <w:t xml:space="preserve">, except contracts between IOUs and their affiliates, which are public. </w:t>
      </w:r>
    </w:p>
    <w:p w:rsidRPr="00520E97" w:rsidR="00F12F5F" w:rsidP="008E334E" w:rsidRDefault="00F12F5F" w14:paraId="2DB44876" w14:textId="77777777">
      <w:pPr>
        <w:pStyle w:val="standard"/>
        <w:spacing w:line="240" w:lineRule="auto"/>
        <w:ind w:firstLine="0"/>
        <w:rPr>
          <w:rFonts w:ascii="Palatino Linotype" w:hAnsi="Palatino Linotype"/>
          <w:sz w:val="24"/>
          <w:szCs w:val="24"/>
        </w:rPr>
      </w:pPr>
    </w:p>
    <w:p w:rsidRPr="00520E97" w:rsidR="000F5867" w:rsidP="008E334E" w:rsidRDefault="00F12F5F" w14:paraId="3318EA0C" w14:textId="54919550">
      <w:pPr>
        <w:pStyle w:val="standard"/>
        <w:spacing w:line="240" w:lineRule="auto"/>
        <w:ind w:firstLine="0"/>
        <w:rPr>
          <w:rFonts w:ascii="Palatino Linotype" w:hAnsi="Palatino Linotype"/>
          <w:sz w:val="24"/>
          <w:szCs w:val="24"/>
          <w:u w:val="single"/>
        </w:rPr>
      </w:pPr>
      <w:r w:rsidRPr="00520E97">
        <w:rPr>
          <w:rFonts w:ascii="Palatino Linotype" w:hAnsi="Palatino Linotype"/>
          <w:sz w:val="24"/>
          <w:szCs w:val="24"/>
          <w:u w:val="single"/>
        </w:rPr>
        <w:t xml:space="preserve">The confidential appendices, marked </w:t>
      </w:r>
      <w:r w:rsidRPr="00520E97" w:rsidR="00586D6E">
        <w:rPr>
          <w:rFonts w:ascii="Palatino Linotype" w:hAnsi="Palatino Linotype"/>
          <w:sz w:val="24"/>
          <w:szCs w:val="24"/>
          <w:u w:val="single"/>
        </w:rPr>
        <w:t>“CONFIDENTIAL” in the public copy of this resolution</w:t>
      </w:r>
      <w:r w:rsidRPr="00520E97" w:rsidR="00E21886">
        <w:rPr>
          <w:rFonts w:ascii="Palatino Linotype" w:hAnsi="Palatino Linotype"/>
          <w:sz w:val="24"/>
          <w:szCs w:val="24"/>
          <w:u w:val="single"/>
        </w:rPr>
        <w:t xml:space="preserve">, as well as the confidential portions of the advice letter, should remain confidential at this time. </w:t>
      </w:r>
    </w:p>
    <w:p w:rsidRPr="00520E97" w:rsidR="000C1EA0" w:rsidP="008E334E" w:rsidRDefault="000C1EA0" w14:paraId="32812579" w14:textId="77777777">
      <w:pPr>
        <w:pStyle w:val="standard"/>
        <w:spacing w:line="240" w:lineRule="auto"/>
        <w:ind w:firstLine="0"/>
        <w:rPr>
          <w:rFonts w:ascii="Palatino Linotype" w:hAnsi="Palatino Linotype" w:eastAsia="Palatino Linotype"/>
          <w:sz w:val="24"/>
          <w:szCs w:val="24"/>
          <w:u w:val="single"/>
        </w:rPr>
      </w:pPr>
    </w:p>
    <w:p w:rsidRPr="00520E97" w:rsidR="00CF17DE" w:rsidP="008E334E" w:rsidRDefault="00CF17DE" w14:paraId="16A82360" w14:textId="0C62530E">
      <w:pPr>
        <w:pStyle w:val="Heading1"/>
        <w:rPr>
          <w:rFonts w:ascii="Palatino Linotype" w:hAnsi="Palatino Linotype" w:eastAsia="Palatino Linotype"/>
          <w:sz w:val="24"/>
          <w:szCs w:val="24"/>
        </w:rPr>
      </w:pPr>
      <w:r w:rsidRPr="00520E97">
        <w:rPr>
          <w:rFonts w:ascii="Palatino Linotype" w:hAnsi="Palatino Linotype" w:eastAsia="Palatino Linotype"/>
          <w:sz w:val="24"/>
          <w:szCs w:val="24"/>
        </w:rPr>
        <w:t>Comments</w:t>
      </w:r>
    </w:p>
    <w:p w:rsidRPr="00520E97" w:rsidR="00CF17DE" w:rsidP="008E334E" w:rsidRDefault="00AF20D0" w14:paraId="22D603EE" w14:textId="6C576787">
      <w:pPr>
        <w:pStyle w:val="Style1"/>
        <w:tabs>
          <w:tab w:val="clear" w:pos="-720"/>
        </w:tabs>
        <w:suppressAutoHyphens w:val="0"/>
        <w:spacing w:after="0"/>
        <w:rPr>
          <w:rFonts w:ascii="Palatino Linotype" w:hAnsi="Palatino Linotype" w:eastAsia="Palatino Linotype"/>
          <w:sz w:val="24"/>
          <w:szCs w:val="24"/>
        </w:rPr>
      </w:pPr>
      <w:r w:rsidRPr="00520E97">
        <w:rPr>
          <w:rFonts w:ascii="Palatino Linotype" w:hAnsi="Palatino Linotype" w:eastAsia="Palatino Linotype"/>
          <w:sz w:val="24"/>
          <w:szCs w:val="24"/>
        </w:rPr>
        <w:t>This is an uncontested matter in which the resolution grants the relief requested. Accordingly, pursuant to P</w:t>
      </w:r>
      <w:r w:rsidRPr="00520E97" w:rsidR="00ED3561">
        <w:rPr>
          <w:rFonts w:ascii="Palatino Linotype" w:hAnsi="Palatino Linotype" w:eastAsia="Palatino Linotype"/>
          <w:sz w:val="24"/>
          <w:szCs w:val="24"/>
        </w:rPr>
        <w:t xml:space="preserve">ublic Utilities Code </w:t>
      </w:r>
      <w:r w:rsidRPr="00520E97" w:rsidR="005E167F">
        <w:rPr>
          <w:rFonts w:ascii="Palatino Linotype" w:hAnsi="Palatino Linotype"/>
          <w:sz w:val="24"/>
          <w:szCs w:val="24"/>
        </w:rPr>
        <w:t xml:space="preserve">§ </w:t>
      </w:r>
      <w:r w:rsidRPr="00520E97" w:rsidR="00ED3561">
        <w:rPr>
          <w:rFonts w:ascii="Palatino Linotype" w:hAnsi="Palatino Linotype" w:eastAsia="Palatino Linotype"/>
          <w:sz w:val="24"/>
          <w:szCs w:val="24"/>
        </w:rPr>
        <w:t xml:space="preserve">311(g)(2), the otherwise applicable </w:t>
      </w:r>
      <w:r w:rsidR="007D68A1">
        <w:rPr>
          <w:rFonts w:ascii="Palatino Linotype" w:hAnsi="Palatino Linotype" w:eastAsia="Palatino Linotype"/>
          <w:sz w:val="24"/>
          <w:szCs w:val="24"/>
        </w:rPr>
        <w:br/>
      </w:r>
      <w:r w:rsidRPr="00520E97" w:rsidR="00ED3561">
        <w:rPr>
          <w:rFonts w:ascii="Palatino Linotype" w:hAnsi="Palatino Linotype" w:eastAsia="Palatino Linotype"/>
          <w:sz w:val="24"/>
          <w:szCs w:val="24"/>
        </w:rPr>
        <w:t>30-day period for public review and comment is being waived.</w:t>
      </w:r>
    </w:p>
    <w:p w:rsidRPr="00520E97" w:rsidR="00ED3561" w:rsidP="008E334E" w:rsidRDefault="00ED3561" w14:paraId="7BFBFAAA" w14:textId="77777777">
      <w:pPr>
        <w:pStyle w:val="Style1"/>
        <w:tabs>
          <w:tab w:val="clear" w:pos="-720"/>
        </w:tabs>
        <w:suppressAutoHyphens w:val="0"/>
        <w:spacing w:after="0"/>
        <w:rPr>
          <w:rFonts w:ascii="Palatino Linotype" w:hAnsi="Palatino Linotype" w:eastAsia="Palatino Linotype"/>
          <w:sz w:val="24"/>
          <w:szCs w:val="24"/>
        </w:rPr>
      </w:pPr>
    </w:p>
    <w:p w:rsidRPr="00520E97" w:rsidR="00CF17DE" w:rsidP="007D68A1" w:rsidRDefault="00CF17DE" w14:paraId="07618DBE" w14:textId="77777777">
      <w:pPr>
        <w:pStyle w:val="Heading1"/>
        <w:keepLines/>
        <w:rPr>
          <w:rFonts w:ascii="Palatino Linotype" w:hAnsi="Palatino Linotype" w:eastAsia="Palatino Linotype"/>
          <w:sz w:val="24"/>
          <w:szCs w:val="24"/>
        </w:rPr>
      </w:pPr>
      <w:r w:rsidRPr="00520E97">
        <w:rPr>
          <w:rFonts w:ascii="Palatino Linotype" w:hAnsi="Palatino Linotype" w:eastAsia="Palatino Linotype"/>
          <w:sz w:val="24"/>
          <w:szCs w:val="24"/>
        </w:rPr>
        <w:lastRenderedPageBreak/>
        <w:t>Findings</w:t>
      </w:r>
    </w:p>
    <w:p w:rsidRPr="00520E97" w:rsidR="004E7CE5" w:rsidP="007D68A1" w:rsidRDefault="004E7CE5" w14:paraId="75E47D0D" w14:textId="599E62E4">
      <w:pPr>
        <w:keepNext/>
        <w:keepLines/>
        <w:rPr>
          <w:rFonts w:ascii="Palatino Linotype" w:hAnsi="Palatino Linotype" w:eastAsia="Palatino Linotype"/>
          <w:sz w:val="24"/>
          <w:szCs w:val="24"/>
        </w:rPr>
      </w:pPr>
    </w:p>
    <w:p w:rsidRPr="00520E97" w:rsidR="00E21C01" w:rsidP="007D68A1" w:rsidRDefault="00E21C01" w14:paraId="2F332C90" w14:textId="4D113552">
      <w:pPr>
        <w:pStyle w:val="ListParagraph"/>
        <w:keepNext/>
        <w:keepLines/>
        <w:numPr>
          <w:ilvl w:val="0"/>
          <w:numId w:val="20"/>
        </w:numPr>
        <w:rPr>
          <w:rFonts w:ascii="Palatino Linotype" w:hAnsi="Palatino Linotype" w:eastAsia="Palatino Linotype"/>
          <w:sz w:val="24"/>
          <w:szCs w:val="24"/>
        </w:rPr>
      </w:pPr>
      <w:r w:rsidRPr="00520E97">
        <w:rPr>
          <w:rFonts w:ascii="Palatino Linotype" w:hAnsi="Palatino Linotype"/>
          <w:sz w:val="24"/>
          <w:szCs w:val="24"/>
        </w:rPr>
        <w:t xml:space="preserve">The </w:t>
      </w:r>
      <w:r w:rsidRPr="00520E97" w:rsidR="0010660A">
        <w:rPr>
          <w:rFonts w:ascii="Palatino Linotype" w:hAnsi="Palatino Linotype"/>
          <w:sz w:val="24"/>
          <w:szCs w:val="24"/>
        </w:rPr>
        <w:t>PPA</w:t>
      </w:r>
      <w:r w:rsidRPr="00520E97">
        <w:rPr>
          <w:rFonts w:ascii="Palatino Linotype" w:hAnsi="Palatino Linotype"/>
          <w:sz w:val="24"/>
          <w:szCs w:val="24"/>
        </w:rPr>
        <w:t xml:space="preserve"> is consistent with the bilateral contracting guidelines established in D.06-10-019 and D.09-06-050.</w:t>
      </w:r>
    </w:p>
    <w:p w:rsidRPr="00520E97" w:rsidR="00CA09BE" w:rsidP="008E334E" w:rsidRDefault="00F02D05" w14:paraId="5578F817" w14:textId="0D0434DC">
      <w:pPr>
        <w:pStyle w:val="ListParagraph"/>
        <w:numPr>
          <w:ilvl w:val="0"/>
          <w:numId w:val="20"/>
        </w:numPr>
        <w:rPr>
          <w:rFonts w:ascii="Palatino Linotype" w:hAnsi="Palatino Linotype" w:eastAsia="Palatino Linotype"/>
          <w:sz w:val="24"/>
          <w:szCs w:val="24"/>
        </w:rPr>
      </w:pPr>
      <w:r w:rsidRPr="00520E97">
        <w:rPr>
          <w:rFonts w:ascii="Palatino Linotype" w:hAnsi="Palatino Linotype"/>
          <w:sz w:val="24"/>
          <w:szCs w:val="24"/>
        </w:rPr>
        <w:t xml:space="preserve">Bear Valley’s procurement of bundled energy and associated </w:t>
      </w:r>
      <w:r w:rsidRPr="00520E97" w:rsidR="007B23DA">
        <w:rPr>
          <w:rFonts w:ascii="Palatino Linotype" w:hAnsi="Palatino Linotype"/>
          <w:sz w:val="24"/>
          <w:szCs w:val="24"/>
        </w:rPr>
        <w:t>renewable energy credit</w:t>
      </w:r>
      <w:r w:rsidRPr="00520E97">
        <w:rPr>
          <w:rFonts w:ascii="Palatino Linotype" w:hAnsi="Palatino Linotype"/>
          <w:sz w:val="24"/>
          <w:szCs w:val="24"/>
        </w:rPr>
        <w:t xml:space="preserve">s is consistent </w:t>
      </w:r>
      <w:r w:rsidRPr="00520E97" w:rsidR="00851265">
        <w:rPr>
          <w:rFonts w:ascii="Palatino Linotype" w:hAnsi="Palatino Linotype"/>
          <w:sz w:val="24"/>
          <w:szCs w:val="24"/>
        </w:rPr>
        <w:t xml:space="preserve">with </w:t>
      </w:r>
      <w:r w:rsidRPr="00520E97">
        <w:rPr>
          <w:rFonts w:ascii="Palatino Linotype" w:hAnsi="Palatino Linotype"/>
          <w:sz w:val="24"/>
          <w:szCs w:val="24"/>
        </w:rPr>
        <w:t>the approach laid out in their RPS Procurement Plan.</w:t>
      </w:r>
    </w:p>
    <w:p w:rsidRPr="00520E97" w:rsidR="00A575A2" w:rsidP="008E334E" w:rsidRDefault="00A575A2" w14:paraId="128A3EB0" w14:textId="12B40213">
      <w:pPr>
        <w:pStyle w:val="ListParagraph"/>
        <w:numPr>
          <w:ilvl w:val="0"/>
          <w:numId w:val="20"/>
        </w:numPr>
        <w:rPr>
          <w:rFonts w:ascii="Palatino Linotype" w:hAnsi="Palatino Linotype"/>
          <w:sz w:val="24"/>
          <w:szCs w:val="24"/>
        </w:rPr>
      </w:pPr>
      <w:r w:rsidRPr="00520E97">
        <w:rPr>
          <w:rFonts w:ascii="Palatino Linotype" w:hAnsi="Palatino Linotype"/>
          <w:sz w:val="24"/>
          <w:szCs w:val="24"/>
        </w:rPr>
        <w:t>Bear Valley’s procurement of firm, bundled RPS energy from Shell is consistent with the goals and objectives laid out in their 2020 and 2022 Integrated Resource Plans</w:t>
      </w:r>
      <w:r w:rsidRPr="00520E97" w:rsidR="003B6AEF">
        <w:rPr>
          <w:rFonts w:ascii="Palatino Linotype" w:hAnsi="Palatino Linotype"/>
          <w:sz w:val="24"/>
          <w:szCs w:val="24"/>
        </w:rPr>
        <w:t>.</w:t>
      </w:r>
      <w:r w:rsidRPr="00520E97">
        <w:rPr>
          <w:rFonts w:ascii="Palatino Linotype" w:hAnsi="Palatino Linotype"/>
          <w:sz w:val="24"/>
          <w:szCs w:val="24"/>
        </w:rPr>
        <w:t xml:space="preserve"> </w:t>
      </w:r>
    </w:p>
    <w:p w:rsidRPr="00520E97" w:rsidR="00E21C01" w:rsidP="008E334E" w:rsidRDefault="0010660A" w14:paraId="1998E3CE" w14:textId="64E7252E">
      <w:pPr>
        <w:pStyle w:val="ListParagraph"/>
        <w:numPr>
          <w:ilvl w:val="0"/>
          <w:numId w:val="20"/>
        </w:numPr>
        <w:rPr>
          <w:rFonts w:ascii="Palatino Linotype" w:hAnsi="Palatino Linotype" w:eastAsia="Palatino Linotype"/>
          <w:sz w:val="24"/>
          <w:szCs w:val="24"/>
        </w:rPr>
      </w:pPr>
      <w:r w:rsidRPr="00520E97">
        <w:rPr>
          <w:rFonts w:ascii="Palatino Linotype" w:hAnsi="Palatino Linotype"/>
          <w:sz w:val="24"/>
          <w:szCs w:val="24"/>
        </w:rPr>
        <w:t xml:space="preserve">Consistent with D.11-12-052 </w:t>
      </w:r>
      <w:r w:rsidRPr="00520E97" w:rsidR="00085203">
        <w:rPr>
          <w:rFonts w:ascii="Palatino Linotype" w:hAnsi="Palatino Linotype"/>
          <w:sz w:val="24"/>
          <w:szCs w:val="24"/>
        </w:rPr>
        <w:t>BVES provided information in the AL 470-E regarding the expected portfolio content category classification of the renewable energy credits procured pursuant to the Shell PPA.</w:t>
      </w:r>
    </w:p>
    <w:p w:rsidRPr="00520E97" w:rsidR="00E21C01" w:rsidP="008E334E" w:rsidRDefault="00E21C01" w14:paraId="243C7955" w14:textId="6155F220">
      <w:pPr>
        <w:pStyle w:val="ListParagraph"/>
        <w:numPr>
          <w:ilvl w:val="0"/>
          <w:numId w:val="20"/>
        </w:numPr>
        <w:rPr>
          <w:rFonts w:ascii="Palatino Linotype" w:hAnsi="Palatino Linotype"/>
          <w:sz w:val="24"/>
          <w:szCs w:val="24"/>
        </w:rPr>
      </w:pPr>
      <w:r w:rsidRPr="00520E97">
        <w:rPr>
          <w:rFonts w:ascii="Palatino Linotype" w:hAnsi="Palatino Linotype"/>
          <w:sz w:val="24"/>
          <w:szCs w:val="24"/>
        </w:rPr>
        <w:t xml:space="preserve">The </w:t>
      </w:r>
      <w:r w:rsidRPr="00520E97" w:rsidR="00851265">
        <w:rPr>
          <w:rFonts w:ascii="Palatino Linotype" w:hAnsi="Palatino Linotype"/>
          <w:sz w:val="24"/>
          <w:szCs w:val="24"/>
        </w:rPr>
        <w:t>PPA</w:t>
      </w:r>
      <w:r w:rsidRPr="00520E97">
        <w:rPr>
          <w:rFonts w:ascii="Palatino Linotype" w:hAnsi="Palatino Linotype"/>
          <w:sz w:val="24"/>
          <w:szCs w:val="24"/>
        </w:rPr>
        <w:t xml:space="preserve"> includes all of the RPS “non-modifiable” standard terms and conditions, as set forth in D.08-04-009, D.08-08-028, D.10-03-021, and D.11-01-025.</w:t>
      </w:r>
    </w:p>
    <w:p w:rsidRPr="00520E97" w:rsidR="00E21C01" w:rsidP="008E334E" w:rsidRDefault="009156F5" w14:paraId="466B7A37" w14:textId="47835105">
      <w:pPr>
        <w:pStyle w:val="ListParagraph"/>
        <w:numPr>
          <w:ilvl w:val="0"/>
          <w:numId w:val="20"/>
        </w:numPr>
        <w:rPr>
          <w:rFonts w:ascii="Palatino Linotype" w:hAnsi="Palatino Linotype" w:eastAsia="Palatino Linotype"/>
          <w:sz w:val="24"/>
          <w:szCs w:val="24"/>
        </w:rPr>
      </w:pPr>
      <w:r w:rsidRPr="00520E97">
        <w:rPr>
          <w:rFonts w:ascii="Palatino Linotype" w:hAnsi="Palatino Linotype"/>
          <w:sz w:val="24"/>
          <w:szCs w:val="24"/>
        </w:rPr>
        <w:t xml:space="preserve">The </w:t>
      </w:r>
      <w:r w:rsidRPr="00520E97" w:rsidR="00851265">
        <w:rPr>
          <w:rFonts w:ascii="Palatino Linotype" w:hAnsi="Palatino Linotype"/>
          <w:sz w:val="24"/>
          <w:szCs w:val="24"/>
        </w:rPr>
        <w:t>PPA</w:t>
      </w:r>
      <w:r w:rsidRPr="00520E97">
        <w:rPr>
          <w:rFonts w:ascii="Palatino Linotype" w:hAnsi="Palatino Linotype"/>
          <w:sz w:val="24"/>
          <w:szCs w:val="24"/>
        </w:rPr>
        <w:t xml:space="preserve"> was evaluated consistent with the Commission’s </w:t>
      </w:r>
      <w:r w:rsidRPr="00520E97" w:rsidR="00D16ABE">
        <w:rPr>
          <w:rFonts w:ascii="Palatino Linotype" w:hAnsi="Palatino Linotype"/>
          <w:sz w:val="24"/>
          <w:szCs w:val="24"/>
        </w:rPr>
        <w:t xml:space="preserve">least-cost-best-fit </w:t>
      </w:r>
      <w:r w:rsidRPr="00520E97">
        <w:rPr>
          <w:rFonts w:ascii="Palatino Linotype" w:hAnsi="Palatino Linotype"/>
          <w:sz w:val="24"/>
          <w:szCs w:val="24"/>
        </w:rPr>
        <w:t>requirements.</w:t>
      </w:r>
    </w:p>
    <w:p w:rsidRPr="00520E97" w:rsidR="009156F5" w:rsidP="008E334E" w:rsidRDefault="009156F5" w14:paraId="3AB68E76" w14:textId="45545277">
      <w:pPr>
        <w:pStyle w:val="ListParagraph"/>
        <w:numPr>
          <w:ilvl w:val="0"/>
          <w:numId w:val="20"/>
        </w:numPr>
        <w:spacing w:before="240"/>
        <w:rPr>
          <w:rFonts w:ascii="Palatino Linotype" w:hAnsi="Palatino Linotype"/>
          <w:sz w:val="24"/>
          <w:szCs w:val="24"/>
        </w:rPr>
      </w:pPr>
      <w:r w:rsidRPr="00520E97">
        <w:rPr>
          <w:rFonts w:ascii="Palatino Linotype" w:hAnsi="Palatino Linotype"/>
          <w:sz w:val="24"/>
          <w:szCs w:val="24"/>
        </w:rPr>
        <w:t xml:space="preserve">The total expected costs of the </w:t>
      </w:r>
      <w:r w:rsidRPr="00520E97" w:rsidR="00851265">
        <w:rPr>
          <w:rFonts w:ascii="Palatino Linotype" w:hAnsi="Palatino Linotype"/>
          <w:sz w:val="24"/>
          <w:szCs w:val="24"/>
        </w:rPr>
        <w:t xml:space="preserve">PPA </w:t>
      </w:r>
      <w:r w:rsidRPr="00520E97">
        <w:rPr>
          <w:rFonts w:ascii="Palatino Linotype" w:hAnsi="Palatino Linotype"/>
          <w:sz w:val="24"/>
          <w:szCs w:val="24"/>
        </w:rPr>
        <w:t xml:space="preserve">are reasonable based on the </w:t>
      </w:r>
      <w:r w:rsidRPr="00520E97" w:rsidR="006C47F4">
        <w:rPr>
          <w:rFonts w:ascii="Palatino Linotype" w:hAnsi="Palatino Linotype"/>
          <w:sz w:val="24"/>
          <w:szCs w:val="24"/>
        </w:rPr>
        <w:t xml:space="preserve">PPA </w:t>
      </w:r>
      <w:r w:rsidRPr="00520E97">
        <w:rPr>
          <w:rFonts w:ascii="Palatino Linotype" w:hAnsi="Palatino Linotype"/>
          <w:sz w:val="24"/>
          <w:szCs w:val="24"/>
        </w:rPr>
        <w:t xml:space="preserve">price relative to Bear Valley’s solicitation prior to the execution of the </w:t>
      </w:r>
      <w:r w:rsidRPr="00520E97" w:rsidR="006C47F4">
        <w:rPr>
          <w:rFonts w:ascii="Palatino Linotype" w:hAnsi="Palatino Linotype"/>
          <w:sz w:val="24"/>
          <w:szCs w:val="24"/>
        </w:rPr>
        <w:t xml:space="preserve">PPA </w:t>
      </w:r>
      <w:r w:rsidRPr="00520E97">
        <w:rPr>
          <w:rFonts w:ascii="Palatino Linotype" w:hAnsi="Palatino Linotype"/>
          <w:sz w:val="24"/>
          <w:szCs w:val="24"/>
        </w:rPr>
        <w:t xml:space="preserve">and comparable </w:t>
      </w:r>
      <w:r w:rsidRPr="00520E97" w:rsidR="00A575A2">
        <w:rPr>
          <w:rFonts w:ascii="Palatino Linotype" w:hAnsi="Palatino Linotype"/>
          <w:sz w:val="24"/>
          <w:szCs w:val="24"/>
        </w:rPr>
        <w:t>metrics</w:t>
      </w:r>
      <w:r w:rsidRPr="00520E97">
        <w:rPr>
          <w:rFonts w:ascii="Palatino Linotype" w:hAnsi="Palatino Linotype"/>
          <w:sz w:val="24"/>
          <w:szCs w:val="24"/>
        </w:rPr>
        <w:t xml:space="preserve"> at the time of the execution. </w:t>
      </w:r>
    </w:p>
    <w:p w:rsidRPr="00520E97" w:rsidR="006A196A" w:rsidP="008E334E" w:rsidRDefault="006A196A" w14:paraId="5736093A" w14:textId="290CE627">
      <w:pPr>
        <w:pStyle w:val="BodyText"/>
        <w:numPr>
          <w:ilvl w:val="0"/>
          <w:numId w:val="20"/>
        </w:numPr>
        <w:spacing w:after="120"/>
        <w:rPr>
          <w:rFonts w:ascii="Palatino Linotype" w:hAnsi="Palatino Linotype"/>
          <w:b w:val="0"/>
          <w:sz w:val="24"/>
          <w:szCs w:val="24"/>
        </w:rPr>
      </w:pPr>
      <w:r w:rsidRPr="00520E97">
        <w:rPr>
          <w:rFonts w:ascii="Palatino Linotype" w:hAnsi="Palatino Linotype"/>
          <w:b w:val="0"/>
          <w:sz w:val="24"/>
          <w:szCs w:val="24"/>
        </w:rPr>
        <w:t>Payments made by BVES under the Shell PPA are fully recoverable in rates over the life of the PPA, subject to Commission reasonableness review of BVES’ administration of the PPA and any other conditions contained herein or required by law.</w:t>
      </w:r>
    </w:p>
    <w:p w:rsidRPr="00520E97" w:rsidR="00534C12" w:rsidP="008E334E" w:rsidRDefault="00534C12" w14:paraId="6FCF789B" w14:textId="140966EF">
      <w:pPr>
        <w:pStyle w:val="ListParagraph"/>
        <w:numPr>
          <w:ilvl w:val="0"/>
          <w:numId w:val="20"/>
        </w:numPr>
        <w:rPr>
          <w:rFonts w:ascii="Palatino Linotype" w:hAnsi="Palatino Linotype"/>
          <w:sz w:val="24"/>
          <w:szCs w:val="24"/>
        </w:rPr>
      </w:pPr>
      <w:r w:rsidRPr="00520E97">
        <w:rPr>
          <w:rFonts w:ascii="Palatino Linotype" w:hAnsi="Palatino Linotype"/>
          <w:sz w:val="24"/>
          <w:szCs w:val="24"/>
        </w:rPr>
        <w:t>The Shell PPA is not covered procurement subject to the EPS because the generating facilities either have a forecast annualized capacity factor of less than 60 percent or will be from baseload facilities that are exempt under the Adopted Interim EPS Rules.</w:t>
      </w:r>
    </w:p>
    <w:p w:rsidRPr="00520E97" w:rsidR="00534C12" w:rsidP="008E334E" w:rsidRDefault="00534C12" w14:paraId="23282D7F" w14:textId="0DD389BD">
      <w:pPr>
        <w:numPr>
          <w:ilvl w:val="0"/>
          <w:numId w:val="20"/>
        </w:numPr>
        <w:spacing w:after="120"/>
        <w:rPr>
          <w:rFonts w:ascii="Palatino Linotype" w:hAnsi="Palatino Linotype"/>
          <w:sz w:val="24"/>
          <w:szCs w:val="24"/>
        </w:rPr>
      </w:pPr>
      <w:r w:rsidRPr="00520E97">
        <w:rPr>
          <w:rFonts w:ascii="Palatino Linotype" w:hAnsi="Palatino Linotype"/>
          <w:sz w:val="24"/>
          <w:szCs w:val="24"/>
        </w:rPr>
        <w:t xml:space="preserve">Procurement pursuant to the </w:t>
      </w:r>
      <w:r w:rsidRPr="00520E97" w:rsidR="00366419">
        <w:rPr>
          <w:rFonts w:ascii="Palatino Linotype" w:hAnsi="Palatino Linotype"/>
          <w:sz w:val="24"/>
          <w:szCs w:val="24"/>
        </w:rPr>
        <w:t>PPA</w:t>
      </w:r>
      <w:r w:rsidRPr="00520E97">
        <w:rPr>
          <w:rFonts w:ascii="Palatino Linotype" w:hAnsi="Palatino Linotype"/>
          <w:sz w:val="24"/>
          <w:szCs w:val="24"/>
        </w:rPr>
        <w:t xml:space="preserve"> is procurement of Renewable Energy Credits that conform to the definition and attributes required for compliance with the California Renewables Portfolio Standard, as set forth in California Public Utilities Commission Decision 08-08-028, and as may be modified by subsequent decision of the California Public Utilities Commission or by subsequent legislation, for purposes of determining BVES’ compliance with any obligation it may have to procure eligible renewable energy resources pursuant to the California Renewables Portfolio Standard (Public Utilities Code Section 399.11 </w:t>
      </w:r>
      <w:r w:rsidRPr="00520E97">
        <w:rPr>
          <w:rFonts w:ascii="Palatino Linotype" w:hAnsi="Palatino Linotype"/>
          <w:i/>
          <w:sz w:val="24"/>
          <w:szCs w:val="24"/>
        </w:rPr>
        <w:t>et seq</w:t>
      </w:r>
      <w:r w:rsidRPr="00520E97">
        <w:rPr>
          <w:rFonts w:ascii="Palatino Linotype" w:hAnsi="Palatino Linotype"/>
          <w:sz w:val="24"/>
          <w:szCs w:val="24"/>
        </w:rPr>
        <w:t>.), or other applicable law.</w:t>
      </w:r>
    </w:p>
    <w:p w:rsidRPr="00520E97" w:rsidR="00534C12" w:rsidP="008E334E" w:rsidRDefault="00534C12" w14:paraId="57662B2A" w14:textId="4078C4C4">
      <w:pPr>
        <w:numPr>
          <w:ilvl w:val="0"/>
          <w:numId w:val="20"/>
        </w:numPr>
        <w:spacing w:after="120"/>
        <w:rPr>
          <w:rFonts w:ascii="Palatino Linotype" w:hAnsi="Palatino Linotype"/>
          <w:sz w:val="24"/>
          <w:szCs w:val="24"/>
        </w:rPr>
      </w:pPr>
      <w:r w:rsidRPr="00520E97">
        <w:rPr>
          <w:rFonts w:ascii="Palatino Linotype" w:hAnsi="Palatino Linotype"/>
          <w:sz w:val="24"/>
          <w:szCs w:val="24"/>
        </w:rPr>
        <w:lastRenderedPageBreak/>
        <w:t xml:space="preserve">The immediately preceding finding shall not be read to absolve BVES of its obligation to enforce compliance with Standard Term and Condition 6, set forth in Appendix A of D.08-04-009, and included in </w:t>
      </w:r>
      <w:r w:rsidRPr="00520E97" w:rsidR="00366419">
        <w:rPr>
          <w:rFonts w:ascii="Palatino Linotype" w:hAnsi="Palatino Linotype"/>
          <w:sz w:val="24"/>
          <w:szCs w:val="24"/>
        </w:rPr>
        <w:t>this</w:t>
      </w:r>
      <w:r w:rsidRPr="00520E97">
        <w:rPr>
          <w:rFonts w:ascii="Palatino Linotype" w:hAnsi="Palatino Linotype"/>
          <w:sz w:val="24"/>
          <w:szCs w:val="24"/>
        </w:rPr>
        <w:t xml:space="preserve"> </w:t>
      </w:r>
      <w:r w:rsidRPr="00520E97" w:rsidR="00366419">
        <w:rPr>
          <w:rFonts w:ascii="Palatino Linotype" w:hAnsi="Palatino Linotype"/>
          <w:sz w:val="24"/>
          <w:szCs w:val="24"/>
        </w:rPr>
        <w:t>PPA</w:t>
      </w:r>
      <w:r w:rsidRPr="00520E97">
        <w:rPr>
          <w:rFonts w:ascii="Palatino Linotype" w:hAnsi="Palatino Linotype"/>
          <w:sz w:val="24"/>
          <w:szCs w:val="24"/>
        </w:rPr>
        <w:t xml:space="preserve">.  </w:t>
      </w:r>
    </w:p>
    <w:p w:rsidRPr="00520E97" w:rsidR="00534C12" w:rsidP="008E334E" w:rsidRDefault="00534C12" w14:paraId="0592D5C9" w14:textId="77777777">
      <w:pPr>
        <w:numPr>
          <w:ilvl w:val="0"/>
          <w:numId w:val="20"/>
        </w:numPr>
        <w:autoSpaceDE w:val="0"/>
        <w:autoSpaceDN w:val="0"/>
        <w:adjustRightInd w:val="0"/>
        <w:spacing w:after="120"/>
        <w:rPr>
          <w:rFonts w:ascii="Palatino Linotype" w:hAnsi="Palatino Linotype" w:cs="Courier New"/>
          <w:sz w:val="24"/>
          <w:szCs w:val="24"/>
        </w:rPr>
      </w:pPr>
      <w:r w:rsidRPr="00520E97">
        <w:rPr>
          <w:rFonts w:ascii="Palatino Linotype" w:hAnsi="Palatino Linotype" w:cs="Courier New"/>
          <w:sz w:val="24"/>
          <w:szCs w:val="24"/>
        </w:rPr>
        <w:t>The confidential appendices, marked "[REDACTED]" in the public copy of this resolution, as well as the confidential portions of the advice letter, should remain confidential at this time.</w:t>
      </w:r>
    </w:p>
    <w:p w:rsidRPr="00520E97" w:rsidR="00534C12" w:rsidP="008E334E" w:rsidRDefault="00534C12" w14:paraId="6D20263B" w14:textId="6543C353">
      <w:pPr>
        <w:numPr>
          <w:ilvl w:val="0"/>
          <w:numId w:val="20"/>
        </w:numPr>
        <w:spacing w:after="120"/>
        <w:rPr>
          <w:rFonts w:ascii="Palatino Linotype" w:hAnsi="Palatino Linotype"/>
          <w:sz w:val="24"/>
          <w:szCs w:val="24"/>
        </w:rPr>
      </w:pPr>
      <w:r w:rsidRPr="00520E97">
        <w:rPr>
          <w:rFonts w:ascii="Palatino Linotype" w:hAnsi="Palatino Linotype"/>
          <w:sz w:val="24"/>
          <w:szCs w:val="24"/>
        </w:rPr>
        <w:t>AL 470-E should be approved without modification.</w:t>
      </w:r>
    </w:p>
    <w:p w:rsidRPr="00520E97" w:rsidR="006A0BF4" w:rsidP="008E334E" w:rsidRDefault="006A0BF4" w14:paraId="18A80BB7" w14:textId="4EEC8A01">
      <w:pPr>
        <w:pStyle w:val="BodyText"/>
        <w:numPr>
          <w:ilvl w:val="0"/>
          <w:numId w:val="20"/>
        </w:numPr>
        <w:spacing w:after="120"/>
        <w:rPr>
          <w:rFonts w:ascii="Palatino Linotype" w:hAnsi="Palatino Linotype"/>
          <w:b w:val="0"/>
          <w:sz w:val="24"/>
          <w:szCs w:val="24"/>
        </w:rPr>
      </w:pPr>
      <w:r w:rsidRPr="00520E97">
        <w:rPr>
          <w:rFonts w:ascii="Palatino Linotype" w:hAnsi="Palatino Linotype"/>
          <w:b w:val="0"/>
          <w:sz w:val="24"/>
          <w:szCs w:val="24"/>
        </w:rPr>
        <w:t xml:space="preserve">It is reasonable for BVES to establish a memorandum account to track unrealized gains and unrealized losses on the </w:t>
      </w:r>
      <w:r w:rsidRPr="00520E97" w:rsidR="00A575A2">
        <w:rPr>
          <w:rFonts w:ascii="Palatino Linotype" w:hAnsi="Palatino Linotype"/>
          <w:b w:val="0"/>
          <w:sz w:val="24"/>
          <w:szCs w:val="24"/>
        </w:rPr>
        <w:t>PPA</w:t>
      </w:r>
      <w:r w:rsidRPr="00520E97">
        <w:rPr>
          <w:rFonts w:ascii="Palatino Linotype" w:hAnsi="Palatino Linotype"/>
          <w:b w:val="0"/>
          <w:sz w:val="24"/>
          <w:szCs w:val="24"/>
        </w:rPr>
        <w:t xml:space="preserve"> in a new, non-</w:t>
      </w:r>
      <w:r w:rsidRPr="00520E97" w:rsidR="00CE51E9">
        <w:rPr>
          <w:rFonts w:ascii="Palatino Linotype" w:hAnsi="Palatino Linotype"/>
          <w:b w:val="0"/>
          <w:sz w:val="24"/>
          <w:szCs w:val="24"/>
        </w:rPr>
        <w:t>interest-bearing</w:t>
      </w:r>
      <w:r w:rsidRPr="00520E97">
        <w:rPr>
          <w:rFonts w:ascii="Palatino Linotype" w:hAnsi="Palatino Linotype"/>
          <w:b w:val="0"/>
          <w:sz w:val="24"/>
          <w:szCs w:val="24"/>
        </w:rPr>
        <w:t xml:space="preserve"> memorandum account in the form proposed in AL 470-E, Appendix E.</w:t>
      </w:r>
    </w:p>
    <w:p w:rsidRPr="00520E97" w:rsidR="00CF17DE" w:rsidP="008E334E" w:rsidRDefault="00CF17DE" w14:paraId="18C97720" w14:textId="77777777">
      <w:pPr>
        <w:rPr>
          <w:rFonts w:ascii="Palatino Linotype" w:hAnsi="Palatino Linotype" w:eastAsia="Palatino Linotype"/>
          <w:b/>
          <w:sz w:val="24"/>
          <w:szCs w:val="24"/>
        </w:rPr>
      </w:pPr>
    </w:p>
    <w:p w:rsidRPr="00520E97" w:rsidR="00CF17DE" w:rsidP="008E334E" w:rsidRDefault="00CF17DE" w14:paraId="03EBB768" w14:textId="77777777">
      <w:pPr>
        <w:pStyle w:val="Heading1"/>
        <w:rPr>
          <w:rFonts w:ascii="Palatino Linotype" w:hAnsi="Palatino Linotype" w:eastAsia="Palatino Linotype"/>
          <w:sz w:val="24"/>
          <w:szCs w:val="24"/>
        </w:rPr>
      </w:pPr>
      <w:r w:rsidRPr="00520E97">
        <w:rPr>
          <w:rFonts w:ascii="Palatino Linotype" w:hAnsi="Palatino Linotype" w:eastAsia="Palatino Linotype"/>
          <w:sz w:val="24"/>
          <w:szCs w:val="24"/>
        </w:rPr>
        <w:t>Therefore it is ordered that:</w:t>
      </w:r>
    </w:p>
    <w:p w:rsidRPr="00520E97" w:rsidR="00CF17DE" w:rsidP="008E334E" w:rsidRDefault="00CF17DE" w14:paraId="04E7CDC7" w14:textId="4F3AB775">
      <w:pPr>
        <w:numPr>
          <w:ilvl w:val="0"/>
          <w:numId w:val="8"/>
        </w:numPr>
        <w:rPr>
          <w:rFonts w:ascii="Palatino Linotype" w:hAnsi="Palatino Linotype" w:eastAsia="Palatino Linotype"/>
          <w:snapToGrid w:val="0"/>
          <w:sz w:val="24"/>
          <w:szCs w:val="24"/>
        </w:rPr>
      </w:pPr>
      <w:r w:rsidRPr="00520E97">
        <w:rPr>
          <w:rFonts w:ascii="Palatino Linotype" w:hAnsi="Palatino Linotype" w:eastAsia="Palatino Linotype"/>
          <w:snapToGrid w:val="0"/>
          <w:sz w:val="24"/>
          <w:szCs w:val="24"/>
        </w:rPr>
        <w:t xml:space="preserve">The request of </w:t>
      </w:r>
      <w:r w:rsidRPr="00520E97" w:rsidR="00377E87">
        <w:rPr>
          <w:rFonts w:ascii="Palatino Linotype" w:hAnsi="Palatino Linotype" w:eastAsia="Palatino Linotype"/>
          <w:snapToGrid w:val="0"/>
          <w:sz w:val="24"/>
          <w:szCs w:val="24"/>
        </w:rPr>
        <w:t>Bear Valley Electric Service</w:t>
      </w:r>
      <w:r w:rsidRPr="00520E97">
        <w:rPr>
          <w:rFonts w:ascii="Palatino Linotype" w:hAnsi="Palatino Linotype" w:eastAsia="Palatino Linotype"/>
          <w:snapToGrid w:val="0"/>
          <w:sz w:val="24"/>
          <w:szCs w:val="24"/>
        </w:rPr>
        <w:t xml:space="preserve"> </w:t>
      </w:r>
      <w:r w:rsidRPr="00520E97" w:rsidR="00723755">
        <w:rPr>
          <w:rFonts w:ascii="Palatino Linotype" w:hAnsi="Palatino Linotype" w:eastAsia="Palatino Linotype"/>
          <w:snapToGrid w:val="0"/>
          <w:sz w:val="24"/>
          <w:szCs w:val="24"/>
        </w:rPr>
        <w:t xml:space="preserve">for Commission review and approval of a Power Purchase Agreement </w:t>
      </w:r>
      <w:r w:rsidRPr="00520E97" w:rsidR="00E424C9">
        <w:rPr>
          <w:rFonts w:ascii="Palatino Linotype" w:hAnsi="Palatino Linotype" w:eastAsia="Palatino Linotype"/>
          <w:snapToGrid w:val="0"/>
          <w:sz w:val="24"/>
          <w:szCs w:val="24"/>
        </w:rPr>
        <w:t xml:space="preserve">with Shell </w:t>
      </w:r>
      <w:r w:rsidRPr="00520E97" w:rsidR="0010660A">
        <w:rPr>
          <w:rFonts w:ascii="Palatino Linotype" w:hAnsi="Palatino Linotype" w:eastAsia="Palatino Linotype"/>
          <w:snapToGrid w:val="0"/>
          <w:sz w:val="24"/>
          <w:szCs w:val="24"/>
        </w:rPr>
        <w:t xml:space="preserve">Energy North America (US), L.P. </w:t>
      </w:r>
      <w:r w:rsidRPr="00520E97" w:rsidR="00E424C9">
        <w:rPr>
          <w:rFonts w:ascii="Palatino Linotype" w:hAnsi="Palatino Linotype" w:eastAsia="Palatino Linotype"/>
          <w:snapToGrid w:val="0"/>
          <w:sz w:val="24"/>
          <w:szCs w:val="24"/>
        </w:rPr>
        <w:t xml:space="preserve">for the procurement of bundled </w:t>
      </w:r>
      <w:r w:rsidRPr="00520E97" w:rsidR="00787CA6">
        <w:rPr>
          <w:rFonts w:ascii="Palatino Linotype" w:hAnsi="Palatino Linotype" w:eastAsia="Palatino Linotype"/>
          <w:snapToGrid w:val="0"/>
          <w:sz w:val="24"/>
          <w:szCs w:val="24"/>
        </w:rPr>
        <w:t>renewable portfolio standard</w:t>
      </w:r>
      <w:r w:rsidRPr="00520E97" w:rsidR="00E424C9">
        <w:rPr>
          <w:rFonts w:ascii="Palatino Linotype" w:hAnsi="Palatino Linotype" w:eastAsia="Palatino Linotype"/>
          <w:snapToGrid w:val="0"/>
          <w:sz w:val="24"/>
          <w:szCs w:val="24"/>
        </w:rPr>
        <w:t xml:space="preserve"> energy and associated </w:t>
      </w:r>
      <w:r w:rsidRPr="00520E97" w:rsidR="00787CA6">
        <w:rPr>
          <w:rFonts w:ascii="Palatino Linotype" w:hAnsi="Palatino Linotype" w:eastAsia="Palatino Linotype"/>
          <w:snapToGrid w:val="0"/>
          <w:sz w:val="24"/>
          <w:szCs w:val="24"/>
        </w:rPr>
        <w:t>renewable energy credits</w:t>
      </w:r>
      <w:r w:rsidRPr="00520E97" w:rsidR="00E424C9">
        <w:rPr>
          <w:rFonts w:ascii="Palatino Linotype" w:hAnsi="Palatino Linotype" w:eastAsia="Palatino Linotype"/>
          <w:snapToGrid w:val="0"/>
          <w:sz w:val="24"/>
          <w:szCs w:val="24"/>
        </w:rPr>
        <w:t>,</w:t>
      </w:r>
      <w:r w:rsidRPr="00520E97">
        <w:rPr>
          <w:rFonts w:ascii="Palatino Linotype" w:hAnsi="Palatino Linotype" w:eastAsia="Palatino Linotype"/>
          <w:snapToGrid w:val="0"/>
          <w:sz w:val="24"/>
          <w:szCs w:val="24"/>
        </w:rPr>
        <w:t xml:space="preserve"> as requested in Advice Letter </w:t>
      </w:r>
      <w:r w:rsidRPr="00520E97" w:rsidR="00377E87">
        <w:rPr>
          <w:rFonts w:ascii="Palatino Linotype" w:hAnsi="Palatino Linotype" w:eastAsia="Palatino Linotype"/>
          <w:sz w:val="24"/>
          <w:szCs w:val="24"/>
        </w:rPr>
        <w:t>470-E</w:t>
      </w:r>
      <w:r w:rsidRPr="00520E97">
        <w:rPr>
          <w:rFonts w:ascii="Palatino Linotype" w:hAnsi="Palatino Linotype" w:eastAsia="Palatino Linotype"/>
          <w:sz w:val="24"/>
          <w:szCs w:val="24"/>
        </w:rPr>
        <w:t xml:space="preserve"> </w:t>
      </w:r>
      <w:r w:rsidRPr="00520E97">
        <w:rPr>
          <w:rFonts w:ascii="Palatino Linotype" w:hAnsi="Palatino Linotype" w:eastAsia="Palatino Linotype"/>
          <w:snapToGrid w:val="0"/>
          <w:sz w:val="24"/>
          <w:szCs w:val="24"/>
        </w:rPr>
        <w:t>is approved</w:t>
      </w:r>
      <w:r w:rsidRPr="00520E97" w:rsidR="00377E87">
        <w:rPr>
          <w:rFonts w:ascii="Palatino Linotype" w:hAnsi="Palatino Linotype" w:eastAsia="Palatino Linotype"/>
          <w:snapToGrid w:val="0"/>
          <w:sz w:val="24"/>
          <w:szCs w:val="24"/>
        </w:rPr>
        <w:t xml:space="preserve"> without modification.</w:t>
      </w:r>
    </w:p>
    <w:p w:rsidRPr="00520E97" w:rsidR="0010660A" w:rsidP="008E334E" w:rsidRDefault="0010660A" w14:paraId="342577DA" w14:textId="4B79DCE3">
      <w:pPr>
        <w:numPr>
          <w:ilvl w:val="0"/>
          <w:numId w:val="8"/>
        </w:numPr>
        <w:rPr>
          <w:rFonts w:ascii="Palatino Linotype" w:hAnsi="Palatino Linotype" w:eastAsia="Palatino Linotype"/>
          <w:snapToGrid w:val="0"/>
          <w:sz w:val="24"/>
          <w:szCs w:val="24"/>
        </w:rPr>
      </w:pPr>
      <w:r w:rsidRPr="00520E97">
        <w:rPr>
          <w:rFonts w:ascii="Palatino Linotype" w:hAnsi="Palatino Linotype" w:eastAsia="Palatino Linotype"/>
          <w:snapToGrid w:val="0"/>
          <w:sz w:val="24"/>
          <w:szCs w:val="24"/>
        </w:rPr>
        <w:t xml:space="preserve">Bear Valley Electric Services shall file a Tier 1 Advice Letter with language consistent with the tariff language </w:t>
      </w:r>
      <w:r w:rsidRPr="00520E97" w:rsidR="008554BC">
        <w:rPr>
          <w:rFonts w:ascii="Palatino Linotype" w:hAnsi="Palatino Linotype" w:eastAsia="Palatino Linotype"/>
          <w:snapToGrid w:val="0"/>
          <w:sz w:val="24"/>
          <w:szCs w:val="24"/>
        </w:rPr>
        <w:t xml:space="preserve">in </w:t>
      </w:r>
      <w:r w:rsidRPr="00520E97" w:rsidR="006A0BF4">
        <w:rPr>
          <w:rFonts w:ascii="Palatino Linotype" w:hAnsi="Palatino Linotype" w:eastAsia="Palatino Linotype"/>
          <w:snapToGrid w:val="0"/>
          <w:sz w:val="24"/>
          <w:szCs w:val="24"/>
        </w:rPr>
        <w:t>Appendix E of Bear Valley Electric Service Advice Letter 470-E</w:t>
      </w:r>
      <w:r w:rsidRPr="00520E97">
        <w:rPr>
          <w:rFonts w:ascii="Palatino Linotype" w:hAnsi="Palatino Linotype" w:eastAsia="Palatino Linotype"/>
          <w:snapToGrid w:val="0"/>
          <w:sz w:val="24"/>
          <w:szCs w:val="24"/>
        </w:rPr>
        <w:t xml:space="preserve"> to establish a non-interest bearing memorandum account to record the unrealized gains or losses with respect to the power purchase agreement with Shell Energy North America (US), L.P., LLC approved in this resolution</w:t>
      </w:r>
      <w:r w:rsidRPr="00520E97" w:rsidR="00A575A2">
        <w:rPr>
          <w:rFonts w:ascii="Palatino Linotype" w:hAnsi="Palatino Linotype" w:eastAsia="Palatino Linotype"/>
          <w:snapToGrid w:val="0"/>
          <w:sz w:val="24"/>
          <w:szCs w:val="24"/>
        </w:rPr>
        <w:t xml:space="preserve"> no later than August 1, 2024</w:t>
      </w:r>
      <w:r w:rsidRPr="00520E97">
        <w:rPr>
          <w:rFonts w:ascii="Palatino Linotype" w:hAnsi="Palatino Linotype" w:eastAsia="Palatino Linotype"/>
          <w:snapToGrid w:val="0"/>
          <w:sz w:val="24"/>
          <w:szCs w:val="24"/>
        </w:rPr>
        <w:t>.</w:t>
      </w:r>
    </w:p>
    <w:p w:rsidRPr="00520E97" w:rsidR="00CF17DE" w:rsidP="008E334E" w:rsidRDefault="00CF17DE" w14:paraId="4BCDF939" w14:textId="77777777">
      <w:pPr>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p>
    <w:p w:rsidRPr="00520E97" w:rsidR="00CF17DE" w:rsidP="008E334E" w:rsidRDefault="00CF17DE" w14:paraId="37DEE6CF"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r w:rsidRPr="00520E97">
        <w:rPr>
          <w:rFonts w:ascii="Palatino Linotype" w:hAnsi="Palatino Linotype" w:eastAsia="Palatino Linotype"/>
          <w:sz w:val="24"/>
          <w:szCs w:val="24"/>
        </w:rPr>
        <w:t>This Resolution is effective today.</w:t>
      </w:r>
    </w:p>
    <w:p w:rsidRPr="00520E97" w:rsidR="00CB42C3" w:rsidP="008E334E" w:rsidRDefault="00CB42C3" w14:paraId="7D496AA3"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sz w:val="24"/>
          <w:szCs w:val="24"/>
        </w:rPr>
      </w:pPr>
    </w:p>
    <w:p w:rsidRPr="00520E97" w:rsidR="00CF17DE" w:rsidP="008E334E" w:rsidRDefault="00CF17DE" w14:paraId="1385E60D" w14:textId="66ABACDD">
      <w:pPr>
        <w:keepNext/>
        <w:rPr>
          <w:rFonts w:ascii="Palatino Linotype" w:hAnsi="Palatino Linotype" w:eastAsia="Palatino Linotype"/>
          <w:snapToGrid w:val="0"/>
          <w:sz w:val="24"/>
          <w:szCs w:val="24"/>
        </w:rPr>
      </w:pPr>
      <w:r w:rsidRPr="00520E97">
        <w:rPr>
          <w:rFonts w:ascii="Palatino Linotype" w:hAnsi="Palatino Linotype" w:eastAsia="Palatino Linotype"/>
          <w:snapToGrid w:val="0"/>
          <w:sz w:val="24"/>
          <w:szCs w:val="24"/>
        </w:rPr>
        <w:t>I certify that the foregoing resolution was duly introduced, passed</w:t>
      </w:r>
      <w:r w:rsidRPr="00520E97" w:rsidR="007963D3">
        <w:rPr>
          <w:rFonts w:ascii="Palatino Linotype" w:hAnsi="Palatino Linotype" w:eastAsia="Palatino Linotype"/>
          <w:snapToGrid w:val="0"/>
          <w:sz w:val="24"/>
          <w:szCs w:val="24"/>
        </w:rPr>
        <w:t>,</w:t>
      </w:r>
      <w:r w:rsidRPr="00520E97">
        <w:rPr>
          <w:rFonts w:ascii="Palatino Linotype" w:hAnsi="Palatino Linotype" w:eastAsia="Palatino Linotype"/>
          <w:snapToGrid w:val="0"/>
          <w:sz w:val="24"/>
          <w:szCs w:val="24"/>
        </w:rPr>
        <w:t xml:space="preserve"> and adopted at a conference of the Public Utilities Commission of the State of California held on </w:t>
      </w:r>
      <w:r w:rsidR="00054D1F">
        <w:rPr>
          <w:rFonts w:ascii="Palatino Linotype" w:hAnsi="Palatino Linotype" w:eastAsia="Palatino Linotype"/>
          <w:snapToGrid w:val="0"/>
          <w:sz w:val="24"/>
          <w:szCs w:val="24"/>
        </w:rPr>
        <w:br/>
      </w:r>
      <w:r w:rsidRPr="00520E97" w:rsidR="00EE2409">
        <w:rPr>
          <w:rFonts w:ascii="Palatino Linotype" w:hAnsi="Palatino Linotype" w:eastAsia="Palatino Linotype"/>
          <w:snapToGrid w:val="0"/>
          <w:sz w:val="24"/>
          <w:szCs w:val="24"/>
        </w:rPr>
        <w:t xml:space="preserve">June 29, 2023; </w:t>
      </w:r>
      <w:r w:rsidRPr="00520E97">
        <w:rPr>
          <w:rFonts w:ascii="Palatino Linotype" w:hAnsi="Palatino Linotype" w:eastAsia="Palatino Linotype"/>
          <w:snapToGrid w:val="0"/>
          <w:sz w:val="24"/>
          <w:szCs w:val="24"/>
        </w:rPr>
        <w:t>the following Commissioners voting favorably thereon:</w:t>
      </w:r>
    </w:p>
    <w:p w:rsidRPr="00520E97" w:rsidR="00CF17DE" w:rsidP="008E334E" w:rsidRDefault="00CF17DE" w14:paraId="12D741D7" w14:textId="77777777">
      <w:pPr>
        <w:tabs>
          <w:tab w:val="left" w:pos="720"/>
          <w:tab w:val="left" w:pos="1152"/>
          <w:tab w:val="left" w:pos="1728"/>
          <w:tab w:val="left" w:pos="3168"/>
          <w:tab w:val="left" w:pos="5040"/>
        </w:tabs>
        <w:ind w:right="144"/>
        <w:rPr>
          <w:rFonts w:ascii="Palatino Linotype" w:hAnsi="Palatino Linotype" w:eastAsia="Palatino Linotype"/>
          <w:sz w:val="24"/>
          <w:szCs w:val="24"/>
        </w:rPr>
      </w:pPr>
    </w:p>
    <w:p w:rsidRPr="00520E97" w:rsidR="00CF17DE" w:rsidP="008E334E" w:rsidRDefault="00CF17DE" w14:paraId="670582A9" w14:textId="77777777">
      <w:pPr>
        <w:tabs>
          <w:tab w:val="left" w:pos="720"/>
          <w:tab w:val="left" w:pos="1152"/>
          <w:tab w:val="left" w:pos="1728"/>
          <w:tab w:val="left" w:pos="3168"/>
          <w:tab w:val="left" w:pos="5040"/>
        </w:tabs>
        <w:ind w:right="144"/>
        <w:rPr>
          <w:rFonts w:ascii="Palatino Linotype" w:hAnsi="Palatino Linotype" w:eastAsia="Palatino Linotype"/>
          <w:sz w:val="24"/>
          <w:szCs w:val="24"/>
        </w:rPr>
      </w:pPr>
    </w:p>
    <w:p w:rsidRPr="00520E97" w:rsidR="00CF17DE" w:rsidP="008E334E" w:rsidRDefault="00CF17DE" w14:paraId="59727804" w14:textId="77777777">
      <w:pPr>
        <w:tabs>
          <w:tab w:val="left" w:pos="720"/>
          <w:tab w:val="left" w:pos="1152"/>
          <w:tab w:val="left" w:pos="1728"/>
          <w:tab w:val="left" w:pos="3168"/>
          <w:tab w:val="left" w:pos="5040"/>
        </w:tabs>
        <w:ind w:right="144"/>
        <w:rPr>
          <w:rFonts w:ascii="Palatino Linotype" w:hAnsi="Palatino Linotype" w:eastAsia="Palatino Linotype"/>
          <w:sz w:val="24"/>
          <w:szCs w:val="24"/>
        </w:rPr>
      </w:pP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eastAsia="Palatino Linotype"/>
          <w:sz w:val="24"/>
          <w:szCs w:val="24"/>
        </w:rPr>
        <w:t>_______________</w:t>
      </w:r>
      <w:r w:rsidRPr="00520E97" w:rsidR="008E6797">
        <w:rPr>
          <w:rFonts w:ascii="Palatino Linotype" w:hAnsi="Palatino Linotype" w:eastAsia="Palatino Linotype"/>
          <w:sz w:val="24"/>
          <w:szCs w:val="24"/>
        </w:rPr>
        <w:t>______</w:t>
      </w:r>
    </w:p>
    <w:p w:rsidRPr="00520E97" w:rsidR="00CF17DE" w:rsidP="008E334E" w:rsidRDefault="00CF17DE" w14:paraId="17731D81" w14:textId="66308528">
      <w:pPr>
        <w:rPr>
          <w:rFonts w:ascii="Palatino Linotype" w:hAnsi="Palatino Linotype" w:eastAsia="Palatino Linotype"/>
          <w:sz w:val="24"/>
          <w:szCs w:val="24"/>
        </w:rPr>
      </w:pP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sidR="00FC2DE4">
        <w:rPr>
          <w:rFonts w:ascii="Palatino Linotype" w:hAnsi="Palatino Linotype" w:eastAsia="Palatino Linotype"/>
          <w:sz w:val="24"/>
          <w:szCs w:val="24"/>
        </w:rPr>
        <w:t>Rachel Peterson</w:t>
      </w:r>
    </w:p>
    <w:p w:rsidRPr="00520E97" w:rsidR="00CF17DE" w:rsidP="008E334E" w:rsidRDefault="00CF17DE" w14:paraId="363F8E7E" w14:textId="77777777">
      <w:pPr>
        <w:rPr>
          <w:rFonts w:ascii="Palatino Linotype" w:hAnsi="Palatino Linotype" w:eastAsia="Palatino Linotype"/>
          <w:sz w:val="24"/>
          <w:szCs w:val="24"/>
        </w:rPr>
      </w:pP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sz w:val="24"/>
          <w:szCs w:val="24"/>
        </w:rPr>
        <w:tab/>
      </w:r>
      <w:r w:rsidRPr="00520E97">
        <w:rPr>
          <w:rFonts w:ascii="Palatino Linotype" w:hAnsi="Palatino Linotype" w:eastAsia="Palatino Linotype"/>
          <w:sz w:val="24"/>
          <w:szCs w:val="24"/>
        </w:rPr>
        <w:t>Executive Director</w:t>
      </w:r>
    </w:p>
    <w:p w:rsidRPr="00520E97" w:rsidR="00075AB8" w:rsidP="008E334E" w:rsidRDefault="00075AB8" w14:paraId="1A955141" w14:textId="77777777">
      <w:pPr>
        <w:rPr>
          <w:rFonts w:ascii="Palatino Linotype" w:hAnsi="Palatino Linotype" w:eastAsia="Palatino Linotype"/>
          <w:sz w:val="24"/>
          <w:szCs w:val="24"/>
        </w:rPr>
      </w:pPr>
    </w:p>
    <w:p w:rsidRPr="00520E97" w:rsidR="00075AB8" w:rsidP="008E334E" w:rsidRDefault="00075AB8" w14:paraId="53E4148F" w14:textId="77777777">
      <w:pPr>
        <w:rPr>
          <w:rFonts w:ascii="Palatino Linotype" w:hAnsi="Palatino Linotype" w:eastAsia="Palatino Linotype"/>
          <w:sz w:val="24"/>
          <w:szCs w:val="24"/>
        </w:rPr>
      </w:pPr>
    </w:p>
    <w:p w:rsidR="00054D1F" w:rsidP="008E334E" w:rsidRDefault="00054D1F" w14:paraId="7FB35AC1" w14:textId="77777777">
      <w:pPr>
        <w:jc w:val="center"/>
        <w:rPr>
          <w:rFonts w:ascii="Palatino Linotype" w:hAnsi="Palatino Linotype"/>
          <w:b/>
          <w:sz w:val="24"/>
          <w:szCs w:val="24"/>
          <w:u w:val="single"/>
        </w:rPr>
      </w:pPr>
    </w:p>
    <w:p w:rsidRPr="00520E97" w:rsidR="00DB7B5F" w:rsidP="008E334E" w:rsidRDefault="00DB7B5F" w14:paraId="1236A8DE" w14:textId="63138A73">
      <w:pPr>
        <w:jc w:val="center"/>
        <w:rPr>
          <w:rFonts w:ascii="Palatino Linotype" w:hAnsi="Palatino Linotype"/>
          <w:b/>
          <w:sz w:val="24"/>
          <w:szCs w:val="24"/>
          <w:u w:val="single"/>
        </w:rPr>
      </w:pPr>
      <w:r w:rsidRPr="00520E97">
        <w:rPr>
          <w:rFonts w:ascii="Palatino Linotype" w:hAnsi="Palatino Linotype"/>
          <w:b/>
          <w:sz w:val="24"/>
          <w:szCs w:val="24"/>
          <w:u w:val="single"/>
        </w:rPr>
        <w:t xml:space="preserve">Confidential Appendix A </w:t>
      </w:r>
    </w:p>
    <w:p w:rsidRPr="00520E97" w:rsidR="00DB7B5F" w:rsidP="008E334E" w:rsidRDefault="00DB7B5F" w14:paraId="55F8F615" w14:textId="77777777">
      <w:pPr>
        <w:jc w:val="center"/>
        <w:rPr>
          <w:rFonts w:ascii="Palatino Linotype" w:hAnsi="Palatino Linotype"/>
          <w:b/>
          <w:sz w:val="24"/>
          <w:szCs w:val="24"/>
          <w:u w:val="single"/>
        </w:rPr>
      </w:pPr>
    </w:p>
    <w:p w:rsidRPr="00520E97" w:rsidR="00DB7B5F" w:rsidP="008E334E" w:rsidRDefault="00DB7B5F" w14:paraId="4B056EA0" w14:textId="517DEB3D">
      <w:pPr>
        <w:jc w:val="center"/>
        <w:rPr>
          <w:rFonts w:ascii="Palatino Linotype" w:hAnsi="Palatino Linotype"/>
          <w:sz w:val="24"/>
          <w:szCs w:val="24"/>
        </w:rPr>
      </w:pPr>
      <w:r w:rsidRPr="00520E97">
        <w:rPr>
          <w:rFonts w:ascii="Palatino Linotype" w:hAnsi="Palatino Linotype"/>
          <w:sz w:val="24"/>
          <w:szCs w:val="24"/>
        </w:rPr>
        <w:t>Summary of the Shell Power Purchase Agreement (PPA)</w:t>
      </w:r>
    </w:p>
    <w:p w:rsidRPr="00520E97" w:rsidR="0099746D" w:rsidP="008E334E" w:rsidRDefault="0099746D" w14:paraId="7F1763C7" w14:textId="77777777">
      <w:pPr>
        <w:jc w:val="center"/>
        <w:rPr>
          <w:rFonts w:ascii="Palatino Linotype" w:hAnsi="Palatino Linotype"/>
          <w:sz w:val="24"/>
          <w:szCs w:val="24"/>
        </w:rPr>
      </w:pPr>
    </w:p>
    <w:p w:rsidRPr="00520E97" w:rsidR="0099746D" w:rsidP="008E334E" w:rsidRDefault="001A20AA" w14:paraId="3F2880A4" w14:textId="6E761C9B">
      <w:pPr>
        <w:jc w:val="center"/>
        <w:rPr>
          <w:rFonts w:ascii="Palatino Linotype" w:hAnsi="Palatino Linotype"/>
          <w:sz w:val="24"/>
          <w:szCs w:val="24"/>
        </w:rPr>
      </w:pPr>
      <w:r w:rsidRPr="00520E97">
        <w:rPr>
          <w:rFonts w:ascii="Palatino Linotype" w:hAnsi="Palatino Linotype"/>
          <w:sz w:val="24"/>
          <w:szCs w:val="24"/>
        </w:rPr>
        <w:t>REDACTED</w:t>
      </w:r>
    </w:p>
    <w:p w:rsidRPr="00520E97" w:rsidR="00347E96" w:rsidP="00B567FC" w:rsidRDefault="00347E96" w14:paraId="0BAECD4A" w14:textId="5498A4A4">
      <w:pPr>
        <w:rPr>
          <w:rFonts w:ascii="Palatino Linotype" w:hAnsi="Palatino Linotype" w:eastAsia="Palatino Linotype"/>
          <w:sz w:val="24"/>
          <w:szCs w:val="24"/>
        </w:rPr>
      </w:pPr>
    </w:p>
    <w:sectPr w:rsidRPr="00520E97" w:rsidR="00347E9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F1ED" w14:textId="77777777" w:rsidR="00127438" w:rsidRDefault="00127438">
      <w:r>
        <w:separator/>
      </w:r>
    </w:p>
  </w:endnote>
  <w:endnote w:type="continuationSeparator" w:id="0">
    <w:p w14:paraId="4CB23FF0" w14:textId="77777777" w:rsidR="00127438" w:rsidRDefault="00127438">
      <w:r>
        <w:continuationSeparator/>
      </w:r>
    </w:p>
  </w:endnote>
  <w:endnote w:type="continuationNotice" w:id="1">
    <w:p w14:paraId="0F23413D" w14:textId="77777777" w:rsidR="00127438" w:rsidRDefault="001274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auto"/>
    <w:pitch w:val="variable"/>
    <w:sig w:usb0="20000A87" w:usb1="08000000" w:usb2="00000008" w:usb3="00000000" w:csb0="0000011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Antiqua">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62D5" w14:textId="77777777" w:rsidR="001F6805" w:rsidRDefault="001F6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4"/>
        <w:szCs w:val="18"/>
      </w:rPr>
      <w:id w:val="-573816544"/>
      <w:docPartObj>
        <w:docPartGallery w:val="Page Numbers (Bottom of Page)"/>
        <w:docPartUnique/>
      </w:docPartObj>
    </w:sdtPr>
    <w:sdtContent>
      <w:p w14:paraId="3B45770E" w14:textId="1BF49253" w:rsidR="00B913F1" w:rsidRPr="00D865A9" w:rsidRDefault="00B913F1">
        <w:pPr>
          <w:pStyle w:val="Footer"/>
          <w:rPr>
            <w:rFonts w:ascii="Palatino Linotype" w:hAnsi="Palatino Linotype"/>
            <w:sz w:val="24"/>
            <w:szCs w:val="18"/>
          </w:rPr>
        </w:pPr>
        <w:r w:rsidRPr="00D865A9">
          <w:rPr>
            <w:rFonts w:ascii="Palatino Linotype" w:hAnsi="Palatino Linotype"/>
            <w:sz w:val="24"/>
            <w:szCs w:val="18"/>
          </w:rPr>
          <w:fldChar w:fldCharType="begin"/>
        </w:r>
        <w:r w:rsidRPr="00D865A9">
          <w:rPr>
            <w:rFonts w:ascii="Palatino Linotype" w:hAnsi="Palatino Linotype"/>
            <w:sz w:val="24"/>
            <w:szCs w:val="18"/>
          </w:rPr>
          <w:instrText xml:space="preserve"> PAGE   \* MERGEFORMAT </w:instrText>
        </w:r>
        <w:r w:rsidRPr="00D865A9">
          <w:rPr>
            <w:rFonts w:ascii="Palatino Linotype" w:hAnsi="Palatino Linotype"/>
            <w:sz w:val="24"/>
            <w:szCs w:val="18"/>
          </w:rPr>
          <w:fldChar w:fldCharType="separate"/>
        </w:r>
        <w:r w:rsidRPr="00D865A9">
          <w:rPr>
            <w:rFonts w:ascii="Palatino Linotype" w:hAnsi="Palatino Linotype"/>
            <w:sz w:val="24"/>
            <w:szCs w:val="18"/>
          </w:rPr>
          <w:t>2</w:t>
        </w:r>
        <w:r w:rsidRPr="00D865A9">
          <w:rPr>
            <w:rFonts w:ascii="Palatino Linotype" w:hAnsi="Palatino Linotype"/>
            <w:sz w:val="24"/>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39B497A0" w:rsidR="00CF17DE" w:rsidRPr="001A1DB2" w:rsidRDefault="001F6805" w:rsidP="001F6805">
    <w:pPr>
      <w:pStyle w:val="Footer"/>
      <w:tabs>
        <w:tab w:val="clear" w:pos="4320"/>
        <w:tab w:val="center" w:pos="4680"/>
      </w:tabs>
      <w:jc w:val="left"/>
      <w:rPr>
        <w:rFonts w:ascii="Palatino Linotype" w:hAnsi="Palatino Linotype"/>
        <w:sz w:val="24"/>
        <w:szCs w:val="18"/>
      </w:rPr>
    </w:pPr>
    <w:r w:rsidRPr="001F6805">
      <w:rPr>
        <w:rStyle w:val="PageNumber"/>
        <w:rFonts w:ascii="Tahoma" w:hAnsi="Tahoma" w:cs="Tahoma"/>
        <w:sz w:val="20"/>
      </w:rPr>
      <w:t>510934892</w:t>
    </w:r>
    <w:r>
      <w:rPr>
        <w:rStyle w:val="PageNumber"/>
        <w:rFonts w:ascii="Palatino Linotype" w:hAnsi="Palatino Linotype"/>
        <w:sz w:val="24"/>
        <w:szCs w:val="18"/>
      </w:rPr>
      <w:tab/>
    </w:r>
    <w:r w:rsidR="00CF17DE" w:rsidRPr="001A1DB2">
      <w:rPr>
        <w:rStyle w:val="PageNumber"/>
        <w:rFonts w:ascii="Palatino Linotype" w:hAnsi="Palatino Linotype"/>
        <w:sz w:val="24"/>
        <w:szCs w:val="18"/>
      </w:rPr>
      <w:fldChar w:fldCharType="begin"/>
    </w:r>
    <w:r w:rsidR="00CF17DE" w:rsidRPr="001A1DB2">
      <w:rPr>
        <w:rStyle w:val="PageNumber"/>
        <w:rFonts w:ascii="Palatino Linotype" w:hAnsi="Palatino Linotype"/>
        <w:sz w:val="24"/>
        <w:szCs w:val="18"/>
      </w:rPr>
      <w:instrText xml:space="preserve"> PAGE </w:instrText>
    </w:r>
    <w:r w:rsidR="00CF17DE" w:rsidRPr="001A1DB2">
      <w:rPr>
        <w:rStyle w:val="PageNumber"/>
        <w:rFonts w:ascii="Palatino Linotype" w:hAnsi="Palatino Linotype"/>
        <w:sz w:val="24"/>
        <w:szCs w:val="18"/>
      </w:rPr>
      <w:fldChar w:fldCharType="separate"/>
    </w:r>
    <w:r w:rsidR="00946E2C" w:rsidRPr="001A1DB2">
      <w:rPr>
        <w:rStyle w:val="PageNumber"/>
        <w:rFonts w:ascii="Palatino Linotype" w:hAnsi="Palatino Linotype"/>
        <w:sz w:val="24"/>
        <w:szCs w:val="18"/>
      </w:rPr>
      <w:t>1</w:t>
    </w:r>
    <w:r w:rsidR="00CF17DE" w:rsidRPr="001A1DB2">
      <w:rPr>
        <w:rStyle w:val="PageNumber"/>
        <w:rFonts w:ascii="Palatino Linotype" w:hAnsi="Palatino Linotype"/>
        <w:sz w:val="2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51438" w14:textId="77777777" w:rsidR="00127438" w:rsidRDefault="00127438">
      <w:r>
        <w:separator/>
      </w:r>
    </w:p>
  </w:footnote>
  <w:footnote w:type="continuationSeparator" w:id="0">
    <w:p w14:paraId="0E59942A" w14:textId="77777777" w:rsidR="00127438" w:rsidRDefault="00127438">
      <w:r>
        <w:continuationSeparator/>
      </w:r>
    </w:p>
  </w:footnote>
  <w:footnote w:type="continuationNotice" w:id="1">
    <w:p w14:paraId="1470C294" w14:textId="77777777" w:rsidR="00127438" w:rsidRDefault="00127438">
      <w:pPr>
        <w:rPr>
          <w:sz w:val="22"/>
        </w:rPr>
      </w:pPr>
    </w:p>
    <w:p w14:paraId="44E55373" w14:textId="77777777" w:rsidR="00127438" w:rsidRDefault="00127438">
      <w:pPr>
        <w:jc w:val="right"/>
        <w:rPr>
          <w:sz w:val="22"/>
        </w:rPr>
      </w:pPr>
      <w:r>
        <w:rPr>
          <w:i/>
          <w:sz w:val="22"/>
        </w:rPr>
        <w:t>Footnote continued on next page.</w:t>
      </w:r>
    </w:p>
  </w:footnote>
  <w:footnote w:id="2">
    <w:p w14:paraId="1E568689" w14:textId="3EF842DC" w:rsidR="00DB7B5F" w:rsidRPr="005B7910" w:rsidRDefault="00DB7B5F"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The PPA consists of two primary documents: a Master Power Purchase and Sale Agreement (“Master Agreement”) and a Transaction Confirmation.</w:t>
      </w:r>
    </w:p>
  </w:footnote>
  <w:footnote w:id="3">
    <w:p w14:paraId="2C5DE5C8" w14:textId="28ED7A15" w:rsidR="00F14CE5" w:rsidRPr="005B7910" w:rsidRDefault="00F14CE5" w:rsidP="00316503">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rPr>
        <w:footnoteRef/>
      </w:r>
      <w:r w:rsidRPr="005B7910">
        <w:rPr>
          <w:rFonts w:ascii="Palatino Linotype" w:hAnsi="Palatino Linotype"/>
        </w:rPr>
        <w:t xml:space="preserve"> </w:t>
      </w:r>
      <w:r w:rsidR="003F72AA" w:rsidRPr="005B7910">
        <w:rPr>
          <w:rFonts w:ascii="Palatino Linotype" w:hAnsi="Palatino Linotype"/>
          <w:sz w:val="20"/>
        </w:rPr>
        <w:t>Total annual quantity is 52,560 MWh (prorated to 8,784 MWh in 2024), except 52,704 MWh for the years 2028 and 2032.</w:t>
      </w:r>
    </w:p>
  </w:footnote>
  <w:footnote w:id="4">
    <w:p w14:paraId="0E66FB56" w14:textId="14E50E1C" w:rsidR="00226790" w:rsidRPr="005B7910" w:rsidRDefault="00226790"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00250EB0" w:rsidRPr="005B7910">
        <w:rPr>
          <w:rFonts w:ascii="Palatino Linotype" w:hAnsi="Palatino Linotype"/>
          <w:sz w:val="20"/>
        </w:rPr>
        <w:t>RPS Procurement Plan at p.</w:t>
      </w:r>
      <w:r w:rsidR="00460372" w:rsidRPr="005B7910">
        <w:rPr>
          <w:rFonts w:ascii="Palatino Linotype" w:hAnsi="Palatino Linotype"/>
          <w:sz w:val="20"/>
        </w:rPr>
        <w:t xml:space="preserve"> </w:t>
      </w:r>
      <w:r w:rsidR="00250EB0" w:rsidRPr="005B7910">
        <w:rPr>
          <w:rFonts w:ascii="Palatino Linotype" w:hAnsi="Palatino Linotype"/>
          <w:sz w:val="20"/>
        </w:rPr>
        <w:t>8.</w:t>
      </w:r>
    </w:p>
  </w:footnote>
  <w:footnote w:id="5">
    <w:p w14:paraId="79A35ED9" w14:textId="79E99580" w:rsidR="00250EB0" w:rsidRPr="005B7910" w:rsidRDefault="00250EB0"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00D00959" w:rsidRPr="005B7910">
        <w:rPr>
          <w:rFonts w:ascii="Palatino Linotype" w:hAnsi="Palatino Linotype"/>
          <w:i/>
          <w:iCs/>
          <w:sz w:val="20"/>
        </w:rPr>
        <w:t>Id.</w:t>
      </w:r>
      <w:r w:rsidRPr="005B7910">
        <w:rPr>
          <w:rFonts w:ascii="Palatino Linotype" w:hAnsi="Palatino Linotype"/>
          <w:sz w:val="20"/>
        </w:rPr>
        <w:t xml:space="preserve"> at pp. 6-7.</w:t>
      </w:r>
    </w:p>
  </w:footnote>
  <w:footnote w:id="6">
    <w:p w14:paraId="66EB840F" w14:textId="22FB1F4D" w:rsidR="00BE64CF" w:rsidRPr="005B7910" w:rsidRDefault="00BE64CF"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Pr="005B7910">
        <w:rPr>
          <w:rFonts w:ascii="Palatino Linotype" w:hAnsi="Palatino Linotype"/>
          <w:i/>
          <w:iCs/>
          <w:sz w:val="20"/>
        </w:rPr>
        <w:t xml:space="preserve">Id. </w:t>
      </w:r>
      <w:r w:rsidR="00460372" w:rsidRPr="005B7910">
        <w:rPr>
          <w:rFonts w:ascii="Palatino Linotype" w:hAnsi="Palatino Linotype"/>
          <w:sz w:val="20"/>
        </w:rPr>
        <w:t>a</w:t>
      </w:r>
      <w:r w:rsidRPr="005B7910">
        <w:rPr>
          <w:rFonts w:ascii="Palatino Linotype" w:hAnsi="Palatino Linotype"/>
          <w:sz w:val="20"/>
        </w:rPr>
        <w:t>t p.</w:t>
      </w:r>
      <w:r w:rsidR="00460372" w:rsidRPr="005B7910">
        <w:rPr>
          <w:rFonts w:ascii="Palatino Linotype" w:hAnsi="Palatino Linotype"/>
          <w:sz w:val="20"/>
        </w:rPr>
        <w:t xml:space="preserve"> </w:t>
      </w:r>
      <w:r w:rsidR="00AB184A" w:rsidRPr="005B7910">
        <w:rPr>
          <w:rFonts w:ascii="Palatino Linotype" w:hAnsi="Palatino Linotype"/>
          <w:sz w:val="20"/>
        </w:rPr>
        <w:t>11.</w:t>
      </w:r>
    </w:p>
  </w:footnote>
  <w:footnote w:id="7">
    <w:p w14:paraId="70E57C3E" w14:textId="40B109F0" w:rsidR="0085183B" w:rsidRPr="005B7910" w:rsidRDefault="0085183B" w:rsidP="00351B02">
      <w:pPr>
        <w:pStyle w:val="FootnoteText"/>
        <w:numPr>
          <w:ilvl w:val="0"/>
          <w:numId w:val="0"/>
        </w:numPr>
        <w:spacing w:after="0"/>
        <w:rPr>
          <w:rFonts w:ascii="Palatino Linotype" w:hAnsi="Palatino Linotype"/>
        </w:rPr>
      </w:pPr>
      <w:r w:rsidRPr="005B7910">
        <w:rPr>
          <w:rStyle w:val="FootnoteReference"/>
          <w:rFonts w:ascii="Palatino Linotype" w:hAnsi="Palatino Linotype"/>
          <w:sz w:val="20"/>
        </w:rPr>
        <w:footnoteRef/>
      </w:r>
      <w:r w:rsidRPr="005B7910">
        <w:rPr>
          <w:rFonts w:ascii="Palatino Linotype" w:hAnsi="Palatino Linotype"/>
          <w:sz w:val="20"/>
        </w:rPr>
        <w:t xml:space="preserve"> 2020 IRP at p.44.</w:t>
      </w:r>
    </w:p>
  </w:footnote>
  <w:footnote w:id="8">
    <w:p w14:paraId="2C5BE49F" w14:textId="49C9C5F8" w:rsidR="00616C44" w:rsidRPr="005B7910" w:rsidRDefault="00616C44" w:rsidP="00351B02">
      <w:pPr>
        <w:pStyle w:val="FootnoteText"/>
        <w:numPr>
          <w:ilvl w:val="0"/>
          <w:numId w:val="0"/>
        </w:numPr>
        <w:spacing w:after="0"/>
        <w:rPr>
          <w:rFonts w:ascii="Palatino Linotype" w:hAnsi="Palatino Linotype"/>
          <w:i/>
          <w:iCs/>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Pr="005B7910">
        <w:rPr>
          <w:rFonts w:ascii="Palatino Linotype" w:hAnsi="Palatino Linotype"/>
          <w:i/>
          <w:iCs/>
          <w:sz w:val="20"/>
        </w:rPr>
        <w:t xml:space="preserve">Id. </w:t>
      </w:r>
      <w:r w:rsidRPr="005B7910">
        <w:rPr>
          <w:rFonts w:ascii="Palatino Linotype" w:hAnsi="Palatino Linotype"/>
          <w:sz w:val="20"/>
        </w:rPr>
        <w:t>at p.44</w:t>
      </w:r>
      <w:r w:rsidR="00B800A3" w:rsidRPr="005B7910">
        <w:rPr>
          <w:rFonts w:ascii="Palatino Linotype" w:hAnsi="Palatino Linotype"/>
          <w:sz w:val="20"/>
        </w:rPr>
        <w:t>.</w:t>
      </w:r>
    </w:p>
  </w:footnote>
  <w:footnote w:id="9">
    <w:p w14:paraId="45D0A0FA" w14:textId="6FAA93D8" w:rsidR="00756429" w:rsidRPr="005B7910" w:rsidRDefault="00756429"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000216D9" w:rsidRPr="005B7910">
        <w:rPr>
          <w:rFonts w:ascii="Palatino Linotype" w:hAnsi="Palatino Linotype"/>
          <w:sz w:val="20"/>
        </w:rPr>
        <w:t>CPUC Portfolio Content Category Classification Review Process Handbook</w:t>
      </w:r>
      <w:r w:rsidR="00356AFB" w:rsidRPr="005B7910">
        <w:rPr>
          <w:rFonts w:ascii="Palatino Linotype" w:hAnsi="Palatino Linotype"/>
          <w:sz w:val="20"/>
        </w:rPr>
        <w:t>.</w:t>
      </w:r>
    </w:p>
  </w:footnote>
  <w:footnote w:id="10">
    <w:p w14:paraId="4D895655" w14:textId="77777777" w:rsidR="00756429" w:rsidRPr="005B7910" w:rsidRDefault="00756429" w:rsidP="00CC25A9">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See the CAISO’s Dynamic Transfer page for more information: </w:t>
      </w:r>
      <w:hyperlink r:id="rId1" w:history="1">
        <w:r w:rsidRPr="005B7910">
          <w:rPr>
            <w:rStyle w:val="Hyperlink"/>
            <w:rFonts w:ascii="Palatino Linotype" w:hAnsi="Palatino Linotype"/>
            <w:sz w:val="20"/>
          </w:rPr>
          <w:t>http://www.caiso.com/participate/Pages/DynamicTransfers/Default.aspx</w:t>
        </w:r>
      </w:hyperlink>
      <w:r w:rsidRPr="005B7910">
        <w:rPr>
          <w:rFonts w:ascii="Palatino Linotype" w:hAnsi="Palatino Linotype"/>
          <w:sz w:val="20"/>
        </w:rPr>
        <w:t xml:space="preserve"> </w:t>
      </w:r>
    </w:p>
  </w:footnote>
  <w:footnote w:id="11">
    <w:p w14:paraId="50D61511" w14:textId="3AE848B0" w:rsidR="009450DB" w:rsidRPr="005B7910" w:rsidRDefault="009450DB"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005D1EE5" w:rsidRPr="005B7910">
        <w:rPr>
          <w:rFonts w:ascii="Palatino Linotype" w:hAnsi="Palatino Linotype"/>
          <w:sz w:val="20"/>
        </w:rPr>
        <w:t>BVES AL 470-E, p.3.</w:t>
      </w:r>
    </w:p>
  </w:footnote>
  <w:footnote w:id="12">
    <w:p w14:paraId="034C0196" w14:textId="78EDDE9C" w:rsidR="00EA6937" w:rsidRPr="005B7910" w:rsidRDefault="00EA6937"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003357B1" w:rsidRPr="005B7910">
        <w:rPr>
          <w:rFonts w:ascii="Palatino Linotype" w:hAnsi="Palatino Linotype"/>
          <w:i/>
          <w:iCs/>
          <w:sz w:val="20"/>
        </w:rPr>
        <w:t xml:space="preserve">Id. </w:t>
      </w:r>
      <w:r w:rsidR="003357B1" w:rsidRPr="005B7910">
        <w:rPr>
          <w:rFonts w:ascii="Palatino Linotype" w:hAnsi="Palatino Linotype"/>
          <w:sz w:val="20"/>
        </w:rPr>
        <w:t>at p.10</w:t>
      </w:r>
      <w:r w:rsidR="005D1EE5" w:rsidRPr="005B7910">
        <w:rPr>
          <w:rFonts w:ascii="Palatino Linotype" w:hAnsi="Palatino Linotype"/>
          <w:sz w:val="20"/>
        </w:rPr>
        <w:t>.</w:t>
      </w:r>
    </w:p>
  </w:footnote>
  <w:footnote w:id="13">
    <w:p w14:paraId="0D8A2D61" w14:textId="537019EC" w:rsidR="00AD08A1" w:rsidRPr="005B7910" w:rsidRDefault="00AD08A1"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See </w:t>
      </w:r>
      <w:r w:rsidR="00CA71F1" w:rsidRPr="005B7910">
        <w:rPr>
          <w:rFonts w:ascii="Palatino Linotype" w:hAnsi="Palatino Linotype"/>
          <w:sz w:val="20"/>
        </w:rPr>
        <w:t>§399.14(a)(2)(B)</w:t>
      </w:r>
      <w:r w:rsidR="00351B02" w:rsidRPr="005B7910">
        <w:rPr>
          <w:rFonts w:ascii="Palatino Linotype" w:hAnsi="Palatino Linotype"/>
          <w:sz w:val="20"/>
        </w:rPr>
        <w:t>.</w:t>
      </w:r>
    </w:p>
  </w:footnote>
  <w:footnote w:id="14">
    <w:p w14:paraId="4A89E877" w14:textId="6F146F7D" w:rsidR="00CC27F5" w:rsidRPr="005B7910" w:rsidRDefault="00CC27F5"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00F02221" w:rsidRPr="005B7910">
        <w:rPr>
          <w:rFonts w:ascii="Palatino Linotype" w:hAnsi="Palatino Linotype"/>
          <w:sz w:val="20"/>
        </w:rPr>
        <w:t>BVES AL 470-E</w:t>
      </w:r>
      <w:r w:rsidR="00FA073E" w:rsidRPr="005B7910">
        <w:rPr>
          <w:rFonts w:ascii="Palatino Linotype" w:hAnsi="Palatino Linotype"/>
          <w:sz w:val="20"/>
        </w:rPr>
        <w:t>, p. 8</w:t>
      </w:r>
      <w:r w:rsidR="00F02221" w:rsidRPr="005B7910">
        <w:rPr>
          <w:rFonts w:ascii="Palatino Linotype" w:hAnsi="Palatino Linotype"/>
          <w:sz w:val="20"/>
        </w:rPr>
        <w:t>.</w:t>
      </w:r>
    </w:p>
  </w:footnote>
  <w:footnote w:id="15">
    <w:p w14:paraId="3A5BF102" w14:textId="5DBA1344" w:rsidR="009878BD" w:rsidRPr="005B7910" w:rsidRDefault="009878BD"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009D592F" w:rsidRPr="005B7910">
        <w:rPr>
          <w:rFonts w:ascii="Palatino Linotype" w:hAnsi="Palatino Linotype"/>
          <w:sz w:val="20"/>
        </w:rPr>
        <w:t xml:space="preserve">In </w:t>
      </w:r>
      <w:r w:rsidR="005E2768" w:rsidRPr="005B7910">
        <w:rPr>
          <w:rFonts w:ascii="Palatino Linotype" w:hAnsi="Palatino Linotype"/>
          <w:sz w:val="20"/>
        </w:rPr>
        <w:t xml:space="preserve">Confidential </w:t>
      </w:r>
      <w:r w:rsidR="009D592F" w:rsidRPr="005B7910">
        <w:rPr>
          <w:rFonts w:ascii="Palatino Linotype" w:hAnsi="Palatino Linotype"/>
          <w:sz w:val="20"/>
        </w:rPr>
        <w:t>Appendix B</w:t>
      </w:r>
      <w:r w:rsidR="00C26A52" w:rsidRPr="005B7910">
        <w:rPr>
          <w:rFonts w:ascii="Palatino Linotype" w:hAnsi="Palatino Linotype"/>
          <w:sz w:val="20"/>
        </w:rPr>
        <w:t xml:space="preserve"> of BVES AL 470-E, Bear Valley </w:t>
      </w:r>
      <w:r w:rsidR="008C3A9E" w:rsidRPr="005B7910">
        <w:rPr>
          <w:rFonts w:ascii="Palatino Linotype" w:hAnsi="Palatino Linotype"/>
          <w:sz w:val="20"/>
        </w:rPr>
        <w:t xml:space="preserve">details their </w:t>
      </w:r>
      <w:r w:rsidR="006158E1" w:rsidRPr="005B7910">
        <w:rPr>
          <w:rFonts w:ascii="Palatino Linotype" w:hAnsi="Palatino Linotype"/>
          <w:sz w:val="20"/>
        </w:rPr>
        <w:t xml:space="preserve">process of </w:t>
      </w:r>
      <w:r w:rsidR="005E2768" w:rsidRPr="005B7910">
        <w:rPr>
          <w:rFonts w:ascii="Palatino Linotype" w:hAnsi="Palatino Linotype"/>
          <w:sz w:val="20"/>
        </w:rPr>
        <w:t>their evaluation analysis</w:t>
      </w:r>
      <w:r w:rsidR="006158E1" w:rsidRPr="005B7910">
        <w:rPr>
          <w:rFonts w:ascii="Palatino Linotype" w:hAnsi="Palatino Linotype"/>
          <w:sz w:val="20"/>
        </w:rPr>
        <w:t>.</w:t>
      </w:r>
    </w:p>
  </w:footnote>
  <w:footnote w:id="16">
    <w:p w14:paraId="712222B0" w14:textId="77777777" w:rsidR="00B64D47" w:rsidRPr="005B7910" w:rsidRDefault="00B64D47" w:rsidP="00351B02">
      <w:pPr>
        <w:pStyle w:val="FootnoteText"/>
        <w:numPr>
          <w:ilvl w:val="0"/>
          <w:numId w:val="0"/>
        </w:numPr>
        <w:spacing w:after="0"/>
        <w:rPr>
          <w:rFonts w:ascii="Palatino Linotype" w:hAnsi="Palatino Linotype" w:cs="BookAntiqua"/>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“Baseload generation” is electricity generation at a power plant “designed and intended to provide electricity at an annualized plant capacity factor of at least 60%.”  Section </w:t>
      </w:r>
      <w:r w:rsidRPr="005B7910">
        <w:rPr>
          <w:rFonts w:ascii="Palatino Linotype" w:hAnsi="Palatino Linotype" w:cs="BookAntiqua"/>
          <w:sz w:val="20"/>
        </w:rPr>
        <w:t>8340(a).</w:t>
      </w:r>
    </w:p>
  </w:footnote>
  <w:footnote w:id="17">
    <w:p w14:paraId="45999AD2" w14:textId="77777777" w:rsidR="00B64D47" w:rsidRPr="005B7910" w:rsidRDefault="00B64D47" w:rsidP="00351B02">
      <w:pPr>
        <w:autoSpaceDE w:val="0"/>
        <w:autoSpaceDN w:val="0"/>
        <w:adjustRightInd w:val="0"/>
        <w:rPr>
          <w:rFonts w:ascii="Palatino Linotype" w:hAnsi="Palatino Linotype"/>
          <w:sz w:val="20"/>
        </w:rPr>
      </w:pPr>
      <w:r w:rsidRPr="005B7910">
        <w:rPr>
          <w:rStyle w:val="FootnoteReference"/>
          <w:rFonts w:ascii="Palatino Linotype" w:hAnsi="Palatino Linotype"/>
          <w:sz w:val="20"/>
        </w:rPr>
        <w:footnoteRef/>
      </w:r>
      <w:r w:rsidRPr="005B7910">
        <w:rPr>
          <w:rStyle w:val="FootnoteReference"/>
          <w:rFonts w:ascii="Palatino Linotype" w:hAnsi="Palatino Linotype"/>
          <w:sz w:val="20"/>
        </w:rPr>
        <w:t xml:space="preserve"> </w:t>
      </w:r>
      <w:r w:rsidRPr="005B7910">
        <w:rPr>
          <w:rFonts w:ascii="Palatino Linotype" w:hAnsi="Palatino Linotype"/>
          <w:sz w:val="20"/>
        </w:rPr>
        <w:t xml:space="preserve"> D.07-01-039, Attachment 7, p. 4.</w:t>
      </w:r>
    </w:p>
  </w:footnote>
  <w:footnote w:id="18">
    <w:p w14:paraId="742619D0" w14:textId="54E86740" w:rsidR="00534C12" w:rsidRPr="005B7910" w:rsidRDefault="00534C12"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BVES AL 470-E, p.3.</w:t>
      </w:r>
    </w:p>
  </w:footnote>
  <w:footnote w:id="19">
    <w:p w14:paraId="7F01931D" w14:textId="2263BDB5" w:rsidR="00544542" w:rsidRPr="005B7910" w:rsidRDefault="00544542"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Pr="005B7910">
        <w:rPr>
          <w:rFonts w:ascii="Palatino Linotype" w:hAnsi="Palatino Linotype"/>
          <w:i/>
          <w:iCs/>
          <w:sz w:val="20"/>
        </w:rPr>
        <w:t>See, e.g.</w:t>
      </w:r>
      <w:r w:rsidR="008D3E24" w:rsidRPr="005B7910">
        <w:rPr>
          <w:rFonts w:ascii="Palatino Linotype" w:hAnsi="Palatino Linotype"/>
          <w:i/>
          <w:iCs/>
          <w:sz w:val="20"/>
        </w:rPr>
        <w:t>,</w:t>
      </w:r>
      <w:r w:rsidRPr="005B7910">
        <w:rPr>
          <w:rFonts w:ascii="Palatino Linotype" w:hAnsi="Palatino Linotype"/>
          <w:i/>
          <w:iCs/>
          <w:sz w:val="20"/>
        </w:rPr>
        <w:t xml:space="preserve"> </w:t>
      </w:r>
      <w:r w:rsidRPr="005B7910">
        <w:rPr>
          <w:rFonts w:ascii="Palatino Linotype" w:hAnsi="Palatino Linotype"/>
          <w:sz w:val="20"/>
        </w:rPr>
        <w:t>D.08-04-009 at Appendix A, STC 6, Eligibility.</w:t>
      </w:r>
    </w:p>
  </w:footnote>
  <w:footnote w:id="20">
    <w:p w14:paraId="06EB0DF2" w14:textId="229F89B7" w:rsidR="00FC1145" w:rsidRPr="005B7910" w:rsidRDefault="00FC1145"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w:t>
      </w:r>
      <w:r w:rsidRPr="005B7910">
        <w:rPr>
          <w:rFonts w:ascii="Palatino Linotype" w:hAnsi="Palatino Linotype"/>
          <w:i/>
          <w:iCs/>
          <w:sz w:val="20"/>
        </w:rPr>
        <w:t xml:space="preserve">See, e.g., </w:t>
      </w:r>
      <w:r w:rsidRPr="005B7910">
        <w:rPr>
          <w:rFonts w:ascii="Palatino Linotype" w:hAnsi="Palatino Linotype"/>
          <w:sz w:val="20"/>
        </w:rPr>
        <w:t xml:space="preserve">D.08-04-009 </w:t>
      </w:r>
      <w:r w:rsidR="008D3E24" w:rsidRPr="005B7910">
        <w:rPr>
          <w:rFonts w:ascii="Palatino Linotype" w:hAnsi="Palatino Linotype"/>
          <w:sz w:val="20"/>
        </w:rPr>
        <w:t>at Appendix A, STC 1, CPUC Approval.</w:t>
      </w:r>
    </w:p>
  </w:footnote>
  <w:footnote w:id="21">
    <w:p w14:paraId="367A759C" w14:textId="0E9F4F80" w:rsidR="00367E1F" w:rsidRPr="005B7910" w:rsidRDefault="00367E1F" w:rsidP="00351B02">
      <w:pPr>
        <w:pStyle w:val="FootnoteText"/>
        <w:numPr>
          <w:ilvl w:val="0"/>
          <w:numId w:val="0"/>
        </w:numPr>
        <w:spacing w:after="0"/>
        <w:rPr>
          <w:rFonts w:ascii="Palatino Linotype" w:hAnsi="Palatino Linotype"/>
          <w:sz w:val="20"/>
        </w:rPr>
      </w:pPr>
      <w:r w:rsidRPr="005B7910">
        <w:rPr>
          <w:rStyle w:val="FootnoteReference"/>
          <w:rFonts w:ascii="Palatino Linotype" w:hAnsi="Palatino Linotype"/>
          <w:sz w:val="20"/>
        </w:rPr>
        <w:footnoteRef/>
      </w:r>
      <w:r w:rsidRPr="005B7910">
        <w:rPr>
          <w:rFonts w:ascii="Palatino Linotype" w:hAnsi="Palatino Linotype"/>
          <w:sz w:val="20"/>
        </w:rPr>
        <w:t xml:space="preserve"> BVES AL 470-E</w:t>
      </w:r>
      <w:r w:rsidR="00351B02" w:rsidRPr="005B7910">
        <w:rPr>
          <w:rFonts w:ascii="Palatino Linotype" w:hAnsi="Palatino Linotype"/>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A552" w14:textId="77777777" w:rsidR="001F6805" w:rsidRDefault="001F6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3D77844A" w:rsidR="00CF17DE" w:rsidRPr="004870A9" w:rsidRDefault="61C943AB">
    <w:pPr>
      <w:pStyle w:val="Header"/>
      <w:tabs>
        <w:tab w:val="clear" w:pos="4320"/>
        <w:tab w:val="clear" w:pos="8640"/>
        <w:tab w:val="center" w:pos="4680"/>
        <w:tab w:val="right" w:pos="9180"/>
      </w:tabs>
      <w:rPr>
        <w:rFonts w:ascii="Palatino Linotype" w:hAnsi="Palatino Linotype"/>
        <w:sz w:val="24"/>
        <w:szCs w:val="18"/>
      </w:rPr>
    </w:pPr>
    <w:r w:rsidRPr="00CC25A9">
      <w:rPr>
        <w:rFonts w:ascii="Palatino Linotype" w:hAnsi="Palatino Linotype"/>
        <w:sz w:val="24"/>
        <w:szCs w:val="18"/>
      </w:rPr>
      <w:t xml:space="preserve">Resolution </w:t>
    </w:r>
    <w:r w:rsidR="00CC25A9" w:rsidRPr="00CC25A9">
      <w:rPr>
        <w:rFonts w:ascii="Palatino Linotype" w:hAnsi="Palatino Linotype"/>
        <w:sz w:val="24"/>
        <w:szCs w:val="18"/>
      </w:rPr>
      <w:t>E-5275</w:t>
    </w:r>
    <w:r w:rsidR="00CF17DE" w:rsidRPr="004870A9">
      <w:rPr>
        <w:rFonts w:ascii="Palatino Linotype" w:hAnsi="Palatino Linotype"/>
        <w:sz w:val="24"/>
        <w:szCs w:val="18"/>
      </w:rPr>
      <w:tab/>
    </w:r>
    <w:r w:rsidRPr="004870A9">
      <w:rPr>
        <w:rFonts w:ascii="Palatino Linotype" w:hAnsi="Palatino Linotype"/>
        <w:sz w:val="24"/>
        <w:szCs w:val="18"/>
      </w:rPr>
      <w:t>DRAFT</w:t>
    </w:r>
    <w:r w:rsidR="00CF17DE" w:rsidRPr="004870A9">
      <w:rPr>
        <w:rFonts w:ascii="Palatino Linotype" w:hAnsi="Palatino Linotype"/>
        <w:sz w:val="24"/>
        <w:szCs w:val="18"/>
      </w:rPr>
      <w:tab/>
    </w:r>
    <w:r w:rsidR="00EE19CE" w:rsidRPr="004870A9">
      <w:rPr>
        <w:rFonts w:ascii="Palatino Linotype" w:hAnsi="Palatino Linotype"/>
        <w:sz w:val="24"/>
        <w:szCs w:val="18"/>
      </w:rPr>
      <w:t>Ju</w:t>
    </w:r>
    <w:r w:rsidR="00EE2409" w:rsidRPr="004870A9">
      <w:rPr>
        <w:rFonts w:ascii="Palatino Linotype" w:hAnsi="Palatino Linotype"/>
        <w:sz w:val="24"/>
        <w:szCs w:val="18"/>
      </w:rPr>
      <w:t>ne</w:t>
    </w:r>
    <w:r w:rsidR="00EE19CE" w:rsidRPr="004870A9">
      <w:rPr>
        <w:rFonts w:ascii="Palatino Linotype" w:hAnsi="Palatino Linotype"/>
        <w:sz w:val="24"/>
        <w:szCs w:val="18"/>
      </w:rPr>
      <w:t xml:space="preserve"> 29, 2023</w:t>
    </w:r>
  </w:p>
  <w:p w14:paraId="279E5C15" w14:textId="6952CA49" w:rsidR="61C943AB" w:rsidRPr="004870A9" w:rsidRDefault="00580331">
    <w:pPr>
      <w:pStyle w:val="Header"/>
      <w:tabs>
        <w:tab w:val="clear" w:pos="4320"/>
        <w:tab w:val="clear" w:pos="8640"/>
        <w:tab w:val="center" w:pos="4680"/>
        <w:tab w:val="right" w:pos="9180"/>
      </w:tabs>
      <w:rPr>
        <w:rFonts w:ascii="Palatino Linotype" w:hAnsi="Palatino Linotype"/>
        <w:sz w:val="24"/>
        <w:szCs w:val="18"/>
      </w:rPr>
    </w:pPr>
    <w:r w:rsidRPr="004870A9">
      <w:rPr>
        <w:rFonts w:ascii="Palatino Linotype" w:hAnsi="Palatino Linotype"/>
        <w:sz w:val="24"/>
        <w:szCs w:val="18"/>
      </w:rPr>
      <w:t xml:space="preserve">BVES AL </w:t>
    </w:r>
    <w:r w:rsidR="00EE19CE" w:rsidRPr="004870A9">
      <w:rPr>
        <w:rFonts w:ascii="Palatino Linotype" w:hAnsi="Palatino Linotype"/>
        <w:sz w:val="24"/>
        <w:szCs w:val="18"/>
      </w:rPr>
      <w:t>4</w:t>
    </w:r>
    <w:r w:rsidRPr="004870A9">
      <w:rPr>
        <w:rFonts w:ascii="Palatino Linotype" w:hAnsi="Palatino Linotype"/>
        <w:sz w:val="24"/>
        <w:szCs w:val="18"/>
      </w:rPr>
      <w:t>70-E/ESV</w:t>
    </w:r>
  </w:p>
  <w:p w14:paraId="013F4CD4" w14:textId="77777777" w:rsidR="00CF17DE" w:rsidRPr="004870A9" w:rsidRDefault="00CF17DE">
    <w:pPr>
      <w:pStyle w:val="Header"/>
      <w:rPr>
        <w:rFonts w:ascii="Palatino Linotype" w:hAnsi="Palatino Linotype"/>
        <w:sz w:val="24"/>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77777777" w:rsidR="00CF17DE" w:rsidRPr="00F705C8" w:rsidRDefault="00CF17DE" w:rsidP="003F6E5A">
    <w:pPr>
      <w:pStyle w:val="Header"/>
      <w:jc w:val="center"/>
      <w:rPr>
        <w:rFonts w:ascii="Palatino Linotype" w:hAnsi="Palatino Linotype"/>
        <w:sz w:val="24"/>
        <w:szCs w:val="24"/>
      </w:rPr>
    </w:pPr>
    <w:r w:rsidRPr="00F705C8">
      <w:rPr>
        <w:rFonts w:ascii="Palatino Linotype" w:hAnsi="Palatino Linotype"/>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2737B"/>
    <w:multiLevelType w:val="hybridMultilevel"/>
    <w:tmpl w:val="EE42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C583F"/>
    <w:multiLevelType w:val="multilevel"/>
    <w:tmpl w:val="5F9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4"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8635584"/>
    <w:multiLevelType w:val="hybridMultilevel"/>
    <w:tmpl w:val="4B042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6F8414F"/>
    <w:multiLevelType w:val="hybridMultilevel"/>
    <w:tmpl w:val="3E582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607BE"/>
    <w:multiLevelType w:val="hybridMultilevel"/>
    <w:tmpl w:val="772AE192"/>
    <w:lvl w:ilvl="0" w:tplc="1DF0C2B8">
      <w:start w:val="1"/>
      <w:numFmt w:val="bullet"/>
      <w:lvlText w:val="·"/>
      <w:lvlJc w:val="left"/>
      <w:pPr>
        <w:ind w:left="720" w:hanging="360"/>
      </w:pPr>
      <w:rPr>
        <w:rFonts w:ascii="Symbol" w:hAnsi="Symbol" w:hint="default"/>
      </w:rPr>
    </w:lvl>
    <w:lvl w:ilvl="1" w:tplc="82C07882">
      <w:start w:val="1"/>
      <w:numFmt w:val="bullet"/>
      <w:lvlText w:val="o"/>
      <w:lvlJc w:val="left"/>
      <w:pPr>
        <w:ind w:left="1440" w:hanging="360"/>
      </w:pPr>
      <w:rPr>
        <w:rFonts w:ascii="Courier New" w:hAnsi="Courier New" w:hint="default"/>
      </w:rPr>
    </w:lvl>
    <w:lvl w:ilvl="2" w:tplc="ABE01C7A">
      <w:start w:val="1"/>
      <w:numFmt w:val="bullet"/>
      <w:lvlText w:val=""/>
      <w:lvlJc w:val="left"/>
      <w:pPr>
        <w:ind w:left="2160" w:hanging="360"/>
      </w:pPr>
      <w:rPr>
        <w:rFonts w:ascii="Wingdings" w:hAnsi="Wingdings" w:hint="default"/>
      </w:rPr>
    </w:lvl>
    <w:lvl w:ilvl="3" w:tplc="E92E2906">
      <w:start w:val="1"/>
      <w:numFmt w:val="bullet"/>
      <w:lvlText w:val=""/>
      <w:lvlJc w:val="left"/>
      <w:pPr>
        <w:ind w:left="2880" w:hanging="360"/>
      </w:pPr>
      <w:rPr>
        <w:rFonts w:ascii="Symbol" w:hAnsi="Symbol" w:hint="default"/>
      </w:rPr>
    </w:lvl>
    <w:lvl w:ilvl="4" w:tplc="10AE2F64">
      <w:start w:val="1"/>
      <w:numFmt w:val="bullet"/>
      <w:lvlText w:val="o"/>
      <w:lvlJc w:val="left"/>
      <w:pPr>
        <w:ind w:left="3600" w:hanging="360"/>
      </w:pPr>
      <w:rPr>
        <w:rFonts w:ascii="Courier New" w:hAnsi="Courier New" w:hint="default"/>
      </w:rPr>
    </w:lvl>
    <w:lvl w:ilvl="5" w:tplc="798C6B34">
      <w:start w:val="1"/>
      <w:numFmt w:val="bullet"/>
      <w:lvlText w:val=""/>
      <w:lvlJc w:val="left"/>
      <w:pPr>
        <w:ind w:left="4320" w:hanging="360"/>
      </w:pPr>
      <w:rPr>
        <w:rFonts w:ascii="Wingdings" w:hAnsi="Wingdings" w:hint="default"/>
      </w:rPr>
    </w:lvl>
    <w:lvl w:ilvl="6" w:tplc="3B50EA0A">
      <w:start w:val="1"/>
      <w:numFmt w:val="bullet"/>
      <w:lvlText w:val=""/>
      <w:lvlJc w:val="left"/>
      <w:pPr>
        <w:ind w:left="5040" w:hanging="360"/>
      </w:pPr>
      <w:rPr>
        <w:rFonts w:ascii="Symbol" w:hAnsi="Symbol" w:hint="default"/>
      </w:rPr>
    </w:lvl>
    <w:lvl w:ilvl="7" w:tplc="44A276DE">
      <w:start w:val="1"/>
      <w:numFmt w:val="bullet"/>
      <w:lvlText w:val="o"/>
      <w:lvlJc w:val="left"/>
      <w:pPr>
        <w:ind w:left="5760" w:hanging="360"/>
      </w:pPr>
      <w:rPr>
        <w:rFonts w:ascii="Courier New" w:hAnsi="Courier New" w:hint="default"/>
      </w:rPr>
    </w:lvl>
    <w:lvl w:ilvl="8" w:tplc="7C682E76">
      <w:start w:val="1"/>
      <w:numFmt w:val="bullet"/>
      <w:lvlText w:val=""/>
      <w:lvlJc w:val="left"/>
      <w:pPr>
        <w:ind w:left="6480" w:hanging="360"/>
      </w:pPr>
      <w:rPr>
        <w:rFonts w:ascii="Wingdings" w:hAnsi="Wingdings" w:hint="default"/>
      </w:rPr>
    </w:lvl>
  </w:abstractNum>
  <w:abstractNum w:abstractNumId="10" w15:restartNumberingAfterBreak="0">
    <w:nsid w:val="38AD14E6"/>
    <w:multiLevelType w:val="hybridMultilevel"/>
    <w:tmpl w:val="FB60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67CF6"/>
    <w:multiLevelType w:val="hybridMultilevel"/>
    <w:tmpl w:val="DB18D716"/>
    <w:lvl w:ilvl="0" w:tplc="4A5AF398">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A16231"/>
    <w:multiLevelType w:val="hybridMultilevel"/>
    <w:tmpl w:val="954AC3F0"/>
    <w:lvl w:ilvl="0" w:tplc="4A0C3290">
      <w:start w:val="1"/>
      <w:numFmt w:val="bullet"/>
      <w:lvlText w:val="·"/>
      <w:lvlJc w:val="left"/>
      <w:pPr>
        <w:ind w:left="720" w:hanging="360"/>
      </w:pPr>
      <w:rPr>
        <w:rFonts w:ascii="Symbol" w:hAnsi="Symbol" w:hint="default"/>
      </w:rPr>
    </w:lvl>
    <w:lvl w:ilvl="1" w:tplc="3CD0474A">
      <w:start w:val="1"/>
      <w:numFmt w:val="bullet"/>
      <w:lvlText w:val="o"/>
      <w:lvlJc w:val="left"/>
      <w:pPr>
        <w:ind w:left="1440" w:hanging="360"/>
      </w:pPr>
      <w:rPr>
        <w:rFonts w:ascii="Courier New" w:hAnsi="Courier New" w:hint="default"/>
      </w:rPr>
    </w:lvl>
    <w:lvl w:ilvl="2" w:tplc="3D681224">
      <w:start w:val="1"/>
      <w:numFmt w:val="bullet"/>
      <w:lvlText w:val=""/>
      <w:lvlJc w:val="left"/>
      <w:pPr>
        <w:ind w:left="2160" w:hanging="360"/>
      </w:pPr>
      <w:rPr>
        <w:rFonts w:ascii="Wingdings" w:hAnsi="Wingdings" w:hint="default"/>
      </w:rPr>
    </w:lvl>
    <w:lvl w:ilvl="3" w:tplc="46B61AA2">
      <w:start w:val="1"/>
      <w:numFmt w:val="bullet"/>
      <w:lvlText w:val=""/>
      <w:lvlJc w:val="left"/>
      <w:pPr>
        <w:ind w:left="2880" w:hanging="360"/>
      </w:pPr>
      <w:rPr>
        <w:rFonts w:ascii="Symbol" w:hAnsi="Symbol" w:hint="default"/>
      </w:rPr>
    </w:lvl>
    <w:lvl w:ilvl="4" w:tplc="061CBAA0">
      <w:start w:val="1"/>
      <w:numFmt w:val="bullet"/>
      <w:lvlText w:val="o"/>
      <w:lvlJc w:val="left"/>
      <w:pPr>
        <w:ind w:left="3600" w:hanging="360"/>
      </w:pPr>
      <w:rPr>
        <w:rFonts w:ascii="Courier New" w:hAnsi="Courier New" w:hint="default"/>
      </w:rPr>
    </w:lvl>
    <w:lvl w:ilvl="5" w:tplc="311210CA">
      <w:start w:val="1"/>
      <w:numFmt w:val="bullet"/>
      <w:lvlText w:val=""/>
      <w:lvlJc w:val="left"/>
      <w:pPr>
        <w:ind w:left="4320" w:hanging="360"/>
      </w:pPr>
      <w:rPr>
        <w:rFonts w:ascii="Wingdings" w:hAnsi="Wingdings" w:hint="default"/>
      </w:rPr>
    </w:lvl>
    <w:lvl w:ilvl="6" w:tplc="705C039A">
      <w:start w:val="1"/>
      <w:numFmt w:val="bullet"/>
      <w:lvlText w:val=""/>
      <w:lvlJc w:val="left"/>
      <w:pPr>
        <w:ind w:left="5040" w:hanging="360"/>
      </w:pPr>
      <w:rPr>
        <w:rFonts w:ascii="Symbol" w:hAnsi="Symbol" w:hint="default"/>
      </w:rPr>
    </w:lvl>
    <w:lvl w:ilvl="7" w:tplc="6C72A9A2">
      <w:start w:val="1"/>
      <w:numFmt w:val="bullet"/>
      <w:lvlText w:val="o"/>
      <w:lvlJc w:val="left"/>
      <w:pPr>
        <w:ind w:left="5760" w:hanging="360"/>
      </w:pPr>
      <w:rPr>
        <w:rFonts w:ascii="Courier New" w:hAnsi="Courier New" w:hint="default"/>
      </w:rPr>
    </w:lvl>
    <w:lvl w:ilvl="8" w:tplc="54801EA2">
      <w:start w:val="1"/>
      <w:numFmt w:val="bullet"/>
      <w:lvlText w:val=""/>
      <w:lvlJc w:val="left"/>
      <w:pPr>
        <w:ind w:left="6480" w:hanging="360"/>
      </w:pPr>
      <w:rPr>
        <w:rFonts w:ascii="Wingdings" w:hAnsi="Wingdings" w:hint="default"/>
      </w:rPr>
    </w:lvl>
  </w:abstractNum>
  <w:abstractNum w:abstractNumId="13"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99D488D"/>
    <w:multiLevelType w:val="hybridMultilevel"/>
    <w:tmpl w:val="3B44ED38"/>
    <w:lvl w:ilvl="0" w:tplc="2BF49CE6">
      <w:start w:val="1"/>
      <w:numFmt w:val="bullet"/>
      <w:lvlText w:val="·"/>
      <w:lvlJc w:val="left"/>
      <w:pPr>
        <w:ind w:left="720" w:hanging="360"/>
      </w:pPr>
      <w:rPr>
        <w:rFonts w:ascii="Symbol" w:hAnsi="Symbol" w:hint="default"/>
      </w:rPr>
    </w:lvl>
    <w:lvl w:ilvl="1" w:tplc="8B1AF868">
      <w:start w:val="1"/>
      <w:numFmt w:val="bullet"/>
      <w:lvlText w:val="o"/>
      <w:lvlJc w:val="left"/>
      <w:pPr>
        <w:ind w:left="1440" w:hanging="360"/>
      </w:pPr>
      <w:rPr>
        <w:rFonts w:ascii="Courier New" w:hAnsi="Courier New" w:hint="default"/>
      </w:rPr>
    </w:lvl>
    <w:lvl w:ilvl="2" w:tplc="5AF26B70">
      <w:start w:val="1"/>
      <w:numFmt w:val="bullet"/>
      <w:lvlText w:val=""/>
      <w:lvlJc w:val="left"/>
      <w:pPr>
        <w:ind w:left="2160" w:hanging="360"/>
      </w:pPr>
      <w:rPr>
        <w:rFonts w:ascii="Wingdings" w:hAnsi="Wingdings" w:hint="default"/>
      </w:rPr>
    </w:lvl>
    <w:lvl w:ilvl="3" w:tplc="0F209156">
      <w:start w:val="1"/>
      <w:numFmt w:val="bullet"/>
      <w:lvlText w:val=""/>
      <w:lvlJc w:val="left"/>
      <w:pPr>
        <w:ind w:left="2880" w:hanging="360"/>
      </w:pPr>
      <w:rPr>
        <w:rFonts w:ascii="Symbol" w:hAnsi="Symbol" w:hint="default"/>
      </w:rPr>
    </w:lvl>
    <w:lvl w:ilvl="4" w:tplc="34563A3A">
      <w:start w:val="1"/>
      <w:numFmt w:val="bullet"/>
      <w:lvlText w:val="o"/>
      <w:lvlJc w:val="left"/>
      <w:pPr>
        <w:ind w:left="3600" w:hanging="360"/>
      </w:pPr>
      <w:rPr>
        <w:rFonts w:ascii="Courier New" w:hAnsi="Courier New" w:hint="default"/>
      </w:rPr>
    </w:lvl>
    <w:lvl w:ilvl="5" w:tplc="38DCAC46">
      <w:start w:val="1"/>
      <w:numFmt w:val="bullet"/>
      <w:lvlText w:val=""/>
      <w:lvlJc w:val="left"/>
      <w:pPr>
        <w:ind w:left="4320" w:hanging="360"/>
      </w:pPr>
      <w:rPr>
        <w:rFonts w:ascii="Wingdings" w:hAnsi="Wingdings" w:hint="default"/>
      </w:rPr>
    </w:lvl>
    <w:lvl w:ilvl="6" w:tplc="811EE2E2">
      <w:start w:val="1"/>
      <w:numFmt w:val="bullet"/>
      <w:lvlText w:val=""/>
      <w:lvlJc w:val="left"/>
      <w:pPr>
        <w:ind w:left="5040" w:hanging="360"/>
      </w:pPr>
      <w:rPr>
        <w:rFonts w:ascii="Symbol" w:hAnsi="Symbol" w:hint="default"/>
      </w:rPr>
    </w:lvl>
    <w:lvl w:ilvl="7" w:tplc="A8E27266">
      <w:start w:val="1"/>
      <w:numFmt w:val="bullet"/>
      <w:lvlText w:val="o"/>
      <w:lvlJc w:val="left"/>
      <w:pPr>
        <w:ind w:left="5760" w:hanging="360"/>
      </w:pPr>
      <w:rPr>
        <w:rFonts w:ascii="Courier New" w:hAnsi="Courier New" w:hint="default"/>
      </w:rPr>
    </w:lvl>
    <w:lvl w:ilvl="8" w:tplc="0F20B61C">
      <w:start w:val="1"/>
      <w:numFmt w:val="bullet"/>
      <w:lvlText w:val=""/>
      <w:lvlJc w:val="left"/>
      <w:pPr>
        <w:ind w:left="6480" w:hanging="360"/>
      </w:pPr>
      <w:rPr>
        <w:rFonts w:ascii="Wingdings" w:hAnsi="Wingdings" w:hint="default"/>
      </w:rPr>
    </w:lvl>
  </w:abstractNum>
  <w:abstractNum w:abstractNumId="15"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6"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0A46E0"/>
    <w:multiLevelType w:val="hybridMultilevel"/>
    <w:tmpl w:val="6B96D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BD7F63"/>
    <w:multiLevelType w:val="hybridMultilevel"/>
    <w:tmpl w:val="197E6838"/>
    <w:lvl w:ilvl="0" w:tplc="4B847162">
      <w:numFmt w:val="bullet"/>
      <w:lvlText w:val="•"/>
      <w:lvlJc w:val="left"/>
      <w:pPr>
        <w:ind w:left="1080" w:hanging="72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9422359">
    <w:abstractNumId w:val="14"/>
  </w:num>
  <w:num w:numId="2" w16cid:durableId="961425955">
    <w:abstractNumId w:val="12"/>
  </w:num>
  <w:num w:numId="3" w16cid:durableId="1705713582">
    <w:abstractNumId w:val="9"/>
  </w:num>
  <w:num w:numId="4" w16cid:durableId="963921878">
    <w:abstractNumId w:val="3"/>
  </w:num>
  <w:num w:numId="5" w16cid:durableId="1883705939">
    <w:abstractNumId w:val="13"/>
  </w:num>
  <w:num w:numId="6" w16cid:durableId="180945800">
    <w:abstractNumId w:val="7"/>
  </w:num>
  <w:num w:numId="7" w16cid:durableId="944842790">
    <w:abstractNumId w:val="15"/>
  </w:num>
  <w:num w:numId="8" w16cid:durableId="1991593136">
    <w:abstractNumId w:val="4"/>
  </w:num>
  <w:num w:numId="9" w16cid:durableId="1754620235">
    <w:abstractNumId w:val="8"/>
  </w:num>
  <w:num w:numId="10" w16cid:durableId="969365539">
    <w:abstractNumId w:val="19"/>
  </w:num>
  <w:num w:numId="11" w16cid:durableId="1671978658">
    <w:abstractNumId w:val="20"/>
  </w:num>
  <w:num w:numId="12" w16cid:durableId="1982611534">
    <w:abstractNumId w:val="6"/>
  </w:num>
  <w:num w:numId="13" w16cid:durableId="468133998">
    <w:abstractNumId w:val="16"/>
  </w:num>
  <w:num w:numId="14" w16cid:durableId="307590920">
    <w:abstractNumId w:val="0"/>
  </w:num>
  <w:num w:numId="15" w16cid:durableId="452137340">
    <w:abstractNumId w:val="17"/>
  </w:num>
  <w:num w:numId="16" w16cid:durableId="796995954">
    <w:abstractNumId w:val="5"/>
  </w:num>
  <w:num w:numId="17" w16cid:durableId="2127699677">
    <w:abstractNumId w:val="10"/>
  </w:num>
  <w:num w:numId="18" w16cid:durableId="1209800801">
    <w:abstractNumId w:val="1"/>
  </w:num>
  <w:num w:numId="19" w16cid:durableId="1884977551">
    <w:abstractNumId w:val="21"/>
  </w:num>
  <w:num w:numId="20" w16cid:durableId="1809087297">
    <w:abstractNumId w:val="18"/>
  </w:num>
  <w:num w:numId="21" w16cid:durableId="2011718659">
    <w:abstractNumId w:val="11"/>
  </w:num>
  <w:num w:numId="22" w16cid:durableId="90684328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1DFB"/>
    <w:rsid w:val="0001080B"/>
    <w:rsid w:val="00012D45"/>
    <w:rsid w:val="00014F7C"/>
    <w:rsid w:val="000216D9"/>
    <w:rsid w:val="00021B86"/>
    <w:rsid w:val="0002476A"/>
    <w:rsid w:val="00024C89"/>
    <w:rsid w:val="00025091"/>
    <w:rsid w:val="00025975"/>
    <w:rsid w:val="0003193B"/>
    <w:rsid w:val="00032ED4"/>
    <w:rsid w:val="00034435"/>
    <w:rsid w:val="00034A6F"/>
    <w:rsid w:val="00041510"/>
    <w:rsid w:val="0004239C"/>
    <w:rsid w:val="00045072"/>
    <w:rsid w:val="000500E8"/>
    <w:rsid w:val="00054D1F"/>
    <w:rsid w:val="000551AD"/>
    <w:rsid w:val="00055467"/>
    <w:rsid w:val="00057274"/>
    <w:rsid w:val="00061C20"/>
    <w:rsid w:val="000629F8"/>
    <w:rsid w:val="00062F5A"/>
    <w:rsid w:val="00063C5C"/>
    <w:rsid w:val="0006455F"/>
    <w:rsid w:val="0006469E"/>
    <w:rsid w:val="0006631C"/>
    <w:rsid w:val="0007589B"/>
    <w:rsid w:val="00075AB8"/>
    <w:rsid w:val="00081F4D"/>
    <w:rsid w:val="00082376"/>
    <w:rsid w:val="00084E85"/>
    <w:rsid w:val="00085203"/>
    <w:rsid w:val="000870B1"/>
    <w:rsid w:val="00090457"/>
    <w:rsid w:val="00093C72"/>
    <w:rsid w:val="000A0FEC"/>
    <w:rsid w:val="000A12AA"/>
    <w:rsid w:val="000A15A7"/>
    <w:rsid w:val="000A2065"/>
    <w:rsid w:val="000B5D11"/>
    <w:rsid w:val="000C00DA"/>
    <w:rsid w:val="000C1EA0"/>
    <w:rsid w:val="000C50E3"/>
    <w:rsid w:val="000C5AE1"/>
    <w:rsid w:val="000C6051"/>
    <w:rsid w:val="000D3A75"/>
    <w:rsid w:val="000D78A3"/>
    <w:rsid w:val="000E1C4C"/>
    <w:rsid w:val="000E5DA9"/>
    <w:rsid w:val="000F08E7"/>
    <w:rsid w:val="000F5867"/>
    <w:rsid w:val="0010059C"/>
    <w:rsid w:val="0010433F"/>
    <w:rsid w:val="001046A1"/>
    <w:rsid w:val="00104C8C"/>
    <w:rsid w:val="0010660A"/>
    <w:rsid w:val="00121341"/>
    <w:rsid w:val="00127438"/>
    <w:rsid w:val="00130C75"/>
    <w:rsid w:val="00134031"/>
    <w:rsid w:val="00142D29"/>
    <w:rsid w:val="00142FB8"/>
    <w:rsid w:val="00143C22"/>
    <w:rsid w:val="001460EC"/>
    <w:rsid w:val="00147E84"/>
    <w:rsid w:val="00147F55"/>
    <w:rsid w:val="00153511"/>
    <w:rsid w:val="00155A9F"/>
    <w:rsid w:val="00156C78"/>
    <w:rsid w:val="00165280"/>
    <w:rsid w:val="0016548B"/>
    <w:rsid w:val="00170FAE"/>
    <w:rsid w:val="0018384B"/>
    <w:rsid w:val="00184AC4"/>
    <w:rsid w:val="00193FB5"/>
    <w:rsid w:val="00195394"/>
    <w:rsid w:val="001A0CA7"/>
    <w:rsid w:val="001A1DB2"/>
    <w:rsid w:val="001A1FF7"/>
    <w:rsid w:val="001A20AA"/>
    <w:rsid w:val="001B2F5A"/>
    <w:rsid w:val="001C2EC5"/>
    <w:rsid w:val="001C74D3"/>
    <w:rsid w:val="001E0F0F"/>
    <w:rsid w:val="001E4540"/>
    <w:rsid w:val="001E58A0"/>
    <w:rsid w:val="001E5C7B"/>
    <w:rsid w:val="001E7699"/>
    <w:rsid w:val="001F3B97"/>
    <w:rsid w:val="001F5325"/>
    <w:rsid w:val="001F6805"/>
    <w:rsid w:val="002001C1"/>
    <w:rsid w:val="0020108F"/>
    <w:rsid w:val="00201201"/>
    <w:rsid w:val="002119D5"/>
    <w:rsid w:val="0022335A"/>
    <w:rsid w:val="002249E9"/>
    <w:rsid w:val="0022621E"/>
    <w:rsid w:val="00226790"/>
    <w:rsid w:val="0023174E"/>
    <w:rsid w:val="002358C2"/>
    <w:rsid w:val="002401EE"/>
    <w:rsid w:val="002403CE"/>
    <w:rsid w:val="00242FF8"/>
    <w:rsid w:val="00243489"/>
    <w:rsid w:val="0024450A"/>
    <w:rsid w:val="0024459D"/>
    <w:rsid w:val="00250242"/>
    <w:rsid w:val="00250EB0"/>
    <w:rsid w:val="00251D1E"/>
    <w:rsid w:val="00257761"/>
    <w:rsid w:val="00276173"/>
    <w:rsid w:val="00282A5C"/>
    <w:rsid w:val="00282D87"/>
    <w:rsid w:val="002845F3"/>
    <w:rsid w:val="002A2973"/>
    <w:rsid w:val="002A3B12"/>
    <w:rsid w:val="002A6BAB"/>
    <w:rsid w:val="002A7021"/>
    <w:rsid w:val="002B1BEE"/>
    <w:rsid w:val="002B26DC"/>
    <w:rsid w:val="002B64F9"/>
    <w:rsid w:val="002C12B9"/>
    <w:rsid w:val="002C5BDE"/>
    <w:rsid w:val="002D27AE"/>
    <w:rsid w:val="002D6B39"/>
    <w:rsid w:val="002D7C0E"/>
    <w:rsid w:val="002E1594"/>
    <w:rsid w:val="002E56E5"/>
    <w:rsid w:val="002F4561"/>
    <w:rsid w:val="002F4FE7"/>
    <w:rsid w:val="002F6FE2"/>
    <w:rsid w:val="002F7353"/>
    <w:rsid w:val="0030100F"/>
    <w:rsid w:val="00303FBE"/>
    <w:rsid w:val="00316503"/>
    <w:rsid w:val="003251A0"/>
    <w:rsid w:val="00325C55"/>
    <w:rsid w:val="00330C96"/>
    <w:rsid w:val="003343E2"/>
    <w:rsid w:val="003357B1"/>
    <w:rsid w:val="00340821"/>
    <w:rsid w:val="00345302"/>
    <w:rsid w:val="00347E96"/>
    <w:rsid w:val="00350E47"/>
    <w:rsid w:val="00351B02"/>
    <w:rsid w:val="00356AFB"/>
    <w:rsid w:val="0036524F"/>
    <w:rsid w:val="00366419"/>
    <w:rsid w:val="00367A2C"/>
    <w:rsid w:val="00367E1F"/>
    <w:rsid w:val="003716AF"/>
    <w:rsid w:val="003774F8"/>
    <w:rsid w:val="00377E87"/>
    <w:rsid w:val="00381A2E"/>
    <w:rsid w:val="00394B3A"/>
    <w:rsid w:val="003A1B90"/>
    <w:rsid w:val="003A3A5B"/>
    <w:rsid w:val="003A4B76"/>
    <w:rsid w:val="003A6700"/>
    <w:rsid w:val="003A6B63"/>
    <w:rsid w:val="003A7256"/>
    <w:rsid w:val="003B1839"/>
    <w:rsid w:val="003B1E56"/>
    <w:rsid w:val="003B23D5"/>
    <w:rsid w:val="003B28DC"/>
    <w:rsid w:val="003B4DC9"/>
    <w:rsid w:val="003B50A1"/>
    <w:rsid w:val="003B6AEF"/>
    <w:rsid w:val="003B6D15"/>
    <w:rsid w:val="003C1687"/>
    <w:rsid w:val="003C17E4"/>
    <w:rsid w:val="003C2330"/>
    <w:rsid w:val="003D0627"/>
    <w:rsid w:val="003D1B03"/>
    <w:rsid w:val="003E2D8C"/>
    <w:rsid w:val="003E6509"/>
    <w:rsid w:val="003E6A26"/>
    <w:rsid w:val="003F6E5A"/>
    <w:rsid w:val="003F72AA"/>
    <w:rsid w:val="004008F1"/>
    <w:rsid w:val="00400F6B"/>
    <w:rsid w:val="0040159C"/>
    <w:rsid w:val="00401BBD"/>
    <w:rsid w:val="00411D6C"/>
    <w:rsid w:val="00413F2A"/>
    <w:rsid w:val="00414270"/>
    <w:rsid w:val="0041525E"/>
    <w:rsid w:val="0041587E"/>
    <w:rsid w:val="00415BE5"/>
    <w:rsid w:val="0042124C"/>
    <w:rsid w:val="00421660"/>
    <w:rsid w:val="00425EC4"/>
    <w:rsid w:val="00431BF6"/>
    <w:rsid w:val="0043550E"/>
    <w:rsid w:val="0043742B"/>
    <w:rsid w:val="00440AB7"/>
    <w:rsid w:val="00442E6D"/>
    <w:rsid w:val="00451339"/>
    <w:rsid w:val="00451662"/>
    <w:rsid w:val="00452E3E"/>
    <w:rsid w:val="00453C2F"/>
    <w:rsid w:val="00453D64"/>
    <w:rsid w:val="00460372"/>
    <w:rsid w:val="00461B7E"/>
    <w:rsid w:val="00463534"/>
    <w:rsid w:val="00466194"/>
    <w:rsid w:val="004664D4"/>
    <w:rsid w:val="00467956"/>
    <w:rsid w:val="00467DF0"/>
    <w:rsid w:val="00470B9B"/>
    <w:rsid w:val="00472FE8"/>
    <w:rsid w:val="00476C91"/>
    <w:rsid w:val="00480352"/>
    <w:rsid w:val="00486EAF"/>
    <w:rsid w:val="004870A9"/>
    <w:rsid w:val="004905D3"/>
    <w:rsid w:val="00491CFF"/>
    <w:rsid w:val="00495125"/>
    <w:rsid w:val="004A0072"/>
    <w:rsid w:val="004A232F"/>
    <w:rsid w:val="004A3738"/>
    <w:rsid w:val="004A431D"/>
    <w:rsid w:val="004A562F"/>
    <w:rsid w:val="004A6E3C"/>
    <w:rsid w:val="004B460B"/>
    <w:rsid w:val="004B5041"/>
    <w:rsid w:val="004C2EE6"/>
    <w:rsid w:val="004C31FC"/>
    <w:rsid w:val="004C5265"/>
    <w:rsid w:val="004C7664"/>
    <w:rsid w:val="004C76C6"/>
    <w:rsid w:val="004D1508"/>
    <w:rsid w:val="004D3212"/>
    <w:rsid w:val="004D654C"/>
    <w:rsid w:val="004D6E40"/>
    <w:rsid w:val="004E3932"/>
    <w:rsid w:val="004E3FA0"/>
    <w:rsid w:val="004E7CE5"/>
    <w:rsid w:val="004F02C1"/>
    <w:rsid w:val="004F1494"/>
    <w:rsid w:val="005003D1"/>
    <w:rsid w:val="00505EE7"/>
    <w:rsid w:val="00506192"/>
    <w:rsid w:val="00506925"/>
    <w:rsid w:val="005145D0"/>
    <w:rsid w:val="0051500C"/>
    <w:rsid w:val="005161C5"/>
    <w:rsid w:val="00520E97"/>
    <w:rsid w:val="005249DF"/>
    <w:rsid w:val="00530A40"/>
    <w:rsid w:val="00534C12"/>
    <w:rsid w:val="00544049"/>
    <w:rsid w:val="00544542"/>
    <w:rsid w:val="00545B62"/>
    <w:rsid w:val="00555DEE"/>
    <w:rsid w:val="00561A7B"/>
    <w:rsid w:val="00566B5D"/>
    <w:rsid w:val="00567E40"/>
    <w:rsid w:val="0057111C"/>
    <w:rsid w:val="00573528"/>
    <w:rsid w:val="0057398B"/>
    <w:rsid w:val="00575FBF"/>
    <w:rsid w:val="00576441"/>
    <w:rsid w:val="00580331"/>
    <w:rsid w:val="005805BF"/>
    <w:rsid w:val="005846F7"/>
    <w:rsid w:val="00585140"/>
    <w:rsid w:val="00586D6E"/>
    <w:rsid w:val="005878C2"/>
    <w:rsid w:val="0059162F"/>
    <w:rsid w:val="00593807"/>
    <w:rsid w:val="00595E85"/>
    <w:rsid w:val="005A2668"/>
    <w:rsid w:val="005A5B07"/>
    <w:rsid w:val="005A73DD"/>
    <w:rsid w:val="005B2A8C"/>
    <w:rsid w:val="005B6533"/>
    <w:rsid w:val="005B7910"/>
    <w:rsid w:val="005C3BA0"/>
    <w:rsid w:val="005C6433"/>
    <w:rsid w:val="005D02D9"/>
    <w:rsid w:val="005D1977"/>
    <w:rsid w:val="005D1EE5"/>
    <w:rsid w:val="005D3E71"/>
    <w:rsid w:val="005D63E2"/>
    <w:rsid w:val="005E167F"/>
    <w:rsid w:val="005E2249"/>
    <w:rsid w:val="005E2768"/>
    <w:rsid w:val="005E3332"/>
    <w:rsid w:val="005F1942"/>
    <w:rsid w:val="006118A0"/>
    <w:rsid w:val="00613C9A"/>
    <w:rsid w:val="006158E1"/>
    <w:rsid w:val="00616C44"/>
    <w:rsid w:val="006207DC"/>
    <w:rsid w:val="00621E22"/>
    <w:rsid w:val="00623B58"/>
    <w:rsid w:val="00623DE1"/>
    <w:rsid w:val="00630787"/>
    <w:rsid w:val="006325B4"/>
    <w:rsid w:val="0063492B"/>
    <w:rsid w:val="0064109E"/>
    <w:rsid w:val="00660001"/>
    <w:rsid w:val="00660D06"/>
    <w:rsid w:val="00660EF3"/>
    <w:rsid w:val="006631F6"/>
    <w:rsid w:val="00663232"/>
    <w:rsid w:val="00663A64"/>
    <w:rsid w:val="00665165"/>
    <w:rsid w:val="00666C43"/>
    <w:rsid w:val="006678C9"/>
    <w:rsid w:val="006721BD"/>
    <w:rsid w:val="006726B2"/>
    <w:rsid w:val="0067408E"/>
    <w:rsid w:val="0069221D"/>
    <w:rsid w:val="0069631C"/>
    <w:rsid w:val="006A0BF4"/>
    <w:rsid w:val="006A196A"/>
    <w:rsid w:val="006A1B7B"/>
    <w:rsid w:val="006B05EE"/>
    <w:rsid w:val="006B1608"/>
    <w:rsid w:val="006B2649"/>
    <w:rsid w:val="006C2B05"/>
    <w:rsid w:val="006C37CB"/>
    <w:rsid w:val="006C47F4"/>
    <w:rsid w:val="006C7C15"/>
    <w:rsid w:val="006D0218"/>
    <w:rsid w:val="006D0BE3"/>
    <w:rsid w:val="006D1D2F"/>
    <w:rsid w:val="006D5300"/>
    <w:rsid w:val="006E3B15"/>
    <w:rsid w:val="006E7BE2"/>
    <w:rsid w:val="00701B57"/>
    <w:rsid w:val="007031AE"/>
    <w:rsid w:val="00707A86"/>
    <w:rsid w:val="007116C2"/>
    <w:rsid w:val="0071562C"/>
    <w:rsid w:val="00723755"/>
    <w:rsid w:val="007241A7"/>
    <w:rsid w:val="007269A3"/>
    <w:rsid w:val="007355D7"/>
    <w:rsid w:val="007374F3"/>
    <w:rsid w:val="00737E0E"/>
    <w:rsid w:val="0074253F"/>
    <w:rsid w:val="00745275"/>
    <w:rsid w:val="00752AE5"/>
    <w:rsid w:val="00756429"/>
    <w:rsid w:val="00761B72"/>
    <w:rsid w:val="00766D11"/>
    <w:rsid w:val="00772041"/>
    <w:rsid w:val="00774D65"/>
    <w:rsid w:val="00776BE4"/>
    <w:rsid w:val="00787CA6"/>
    <w:rsid w:val="0079057F"/>
    <w:rsid w:val="00790D2A"/>
    <w:rsid w:val="007933EF"/>
    <w:rsid w:val="00795644"/>
    <w:rsid w:val="007963D3"/>
    <w:rsid w:val="007A281A"/>
    <w:rsid w:val="007A4CC7"/>
    <w:rsid w:val="007A5097"/>
    <w:rsid w:val="007A7371"/>
    <w:rsid w:val="007B1A7F"/>
    <w:rsid w:val="007B23DA"/>
    <w:rsid w:val="007C03B2"/>
    <w:rsid w:val="007C05CC"/>
    <w:rsid w:val="007C2322"/>
    <w:rsid w:val="007C403B"/>
    <w:rsid w:val="007C5BD6"/>
    <w:rsid w:val="007D3CC0"/>
    <w:rsid w:val="007D578F"/>
    <w:rsid w:val="007D67CA"/>
    <w:rsid w:val="007D68A1"/>
    <w:rsid w:val="007E11A5"/>
    <w:rsid w:val="007F0782"/>
    <w:rsid w:val="007F5778"/>
    <w:rsid w:val="00801D70"/>
    <w:rsid w:val="00804BA2"/>
    <w:rsid w:val="00820623"/>
    <w:rsid w:val="00822061"/>
    <w:rsid w:val="008252C7"/>
    <w:rsid w:val="008320B2"/>
    <w:rsid w:val="00832170"/>
    <w:rsid w:val="00837F27"/>
    <w:rsid w:val="0084611B"/>
    <w:rsid w:val="00851265"/>
    <w:rsid w:val="0085183B"/>
    <w:rsid w:val="008554BC"/>
    <w:rsid w:val="00857619"/>
    <w:rsid w:val="008628D5"/>
    <w:rsid w:val="00863C38"/>
    <w:rsid w:val="00864EFB"/>
    <w:rsid w:val="00880177"/>
    <w:rsid w:val="0088230F"/>
    <w:rsid w:val="00887E70"/>
    <w:rsid w:val="008919D6"/>
    <w:rsid w:val="00894C35"/>
    <w:rsid w:val="0089620E"/>
    <w:rsid w:val="008A0DF8"/>
    <w:rsid w:val="008A5460"/>
    <w:rsid w:val="008B2461"/>
    <w:rsid w:val="008B56C9"/>
    <w:rsid w:val="008B6DF4"/>
    <w:rsid w:val="008C3A9E"/>
    <w:rsid w:val="008C47BB"/>
    <w:rsid w:val="008C4D9E"/>
    <w:rsid w:val="008C767E"/>
    <w:rsid w:val="008D3E24"/>
    <w:rsid w:val="008D5027"/>
    <w:rsid w:val="008D62F6"/>
    <w:rsid w:val="008E0F6F"/>
    <w:rsid w:val="008E334E"/>
    <w:rsid w:val="008E43CD"/>
    <w:rsid w:val="008E651E"/>
    <w:rsid w:val="008E6797"/>
    <w:rsid w:val="008E6CE1"/>
    <w:rsid w:val="008E7A3F"/>
    <w:rsid w:val="008F1454"/>
    <w:rsid w:val="008F2620"/>
    <w:rsid w:val="008F56A2"/>
    <w:rsid w:val="008F5B4B"/>
    <w:rsid w:val="009003C4"/>
    <w:rsid w:val="009047B0"/>
    <w:rsid w:val="00905C34"/>
    <w:rsid w:val="0091012A"/>
    <w:rsid w:val="00910AD0"/>
    <w:rsid w:val="009156F5"/>
    <w:rsid w:val="00915E92"/>
    <w:rsid w:val="0092057C"/>
    <w:rsid w:val="009224A3"/>
    <w:rsid w:val="00931F41"/>
    <w:rsid w:val="009359AA"/>
    <w:rsid w:val="00943FF4"/>
    <w:rsid w:val="0094420F"/>
    <w:rsid w:val="009450DB"/>
    <w:rsid w:val="00946E2C"/>
    <w:rsid w:val="009502EA"/>
    <w:rsid w:val="00950AEB"/>
    <w:rsid w:val="00963B01"/>
    <w:rsid w:val="00965782"/>
    <w:rsid w:val="009661EB"/>
    <w:rsid w:val="00966821"/>
    <w:rsid w:val="00972834"/>
    <w:rsid w:val="00973530"/>
    <w:rsid w:val="009809B1"/>
    <w:rsid w:val="00980D54"/>
    <w:rsid w:val="00981284"/>
    <w:rsid w:val="009867D0"/>
    <w:rsid w:val="009878BD"/>
    <w:rsid w:val="009916E9"/>
    <w:rsid w:val="00995BE4"/>
    <w:rsid w:val="0099746D"/>
    <w:rsid w:val="009A1801"/>
    <w:rsid w:val="009A24A8"/>
    <w:rsid w:val="009A4F21"/>
    <w:rsid w:val="009A50E0"/>
    <w:rsid w:val="009A7153"/>
    <w:rsid w:val="009B0A0C"/>
    <w:rsid w:val="009B5CA7"/>
    <w:rsid w:val="009B75FA"/>
    <w:rsid w:val="009C0BCE"/>
    <w:rsid w:val="009D19C4"/>
    <w:rsid w:val="009D2DBA"/>
    <w:rsid w:val="009D35CC"/>
    <w:rsid w:val="009D512F"/>
    <w:rsid w:val="009D592F"/>
    <w:rsid w:val="009D63EA"/>
    <w:rsid w:val="009D6B31"/>
    <w:rsid w:val="009D7160"/>
    <w:rsid w:val="009E7D69"/>
    <w:rsid w:val="009F2B6A"/>
    <w:rsid w:val="009F3AA0"/>
    <w:rsid w:val="00A00738"/>
    <w:rsid w:val="00A064FF"/>
    <w:rsid w:val="00A106AD"/>
    <w:rsid w:val="00A10A9F"/>
    <w:rsid w:val="00A1526C"/>
    <w:rsid w:val="00A2082C"/>
    <w:rsid w:val="00A218B6"/>
    <w:rsid w:val="00A32525"/>
    <w:rsid w:val="00A41499"/>
    <w:rsid w:val="00A4307B"/>
    <w:rsid w:val="00A4456A"/>
    <w:rsid w:val="00A45B85"/>
    <w:rsid w:val="00A45E23"/>
    <w:rsid w:val="00A517F7"/>
    <w:rsid w:val="00A521F2"/>
    <w:rsid w:val="00A575A2"/>
    <w:rsid w:val="00A57E87"/>
    <w:rsid w:val="00A6012C"/>
    <w:rsid w:val="00A60201"/>
    <w:rsid w:val="00A607C0"/>
    <w:rsid w:val="00A61D50"/>
    <w:rsid w:val="00A622B1"/>
    <w:rsid w:val="00A62AC5"/>
    <w:rsid w:val="00A6415F"/>
    <w:rsid w:val="00A65F80"/>
    <w:rsid w:val="00A703D2"/>
    <w:rsid w:val="00A93358"/>
    <w:rsid w:val="00A93405"/>
    <w:rsid w:val="00AB184A"/>
    <w:rsid w:val="00AB56D1"/>
    <w:rsid w:val="00AB5F74"/>
    <w:rsid w:val="00AB62BC"/>
    <w:rsid w:val="00AB633B"/>
    <w:rsid w:val="00AB7A28"/>
    <w:rsid w:val="00AC264E"/>
    <w:rsid w:val="00AC6211"/>
    <w:rsid w:val="00AD08A1"/>
    <w:rsid w:val="00AD59E1"/>
    <w:rsid w:val="00AE664C"/>
    <w:rsid w:val="00AF02C7"/>
    <w:rsid w:val="00AF1DF6"/>
    <w:rsid w:val="00AF20D0"/>
    <w:rsid w:val="00AF4EF2"/>
    <w:rsid w:val="00B0020E"/>
    <w:rsid w:val="00B061C7"/>
    <w:rsid w:val="00B15637"/>
    <w:rsid w:val="00B20AB3"/>
    <w:rsid w:val="00B20F13"/>
    <w:rsid w:val="00B212BB"/>
    <w:rsid w:val="00B22617"/>
    <w:rsid w:val="00B31AA7"/>
    <w:rsid w:val="00B37483"/>
    <w:rsid w:val="00B41C18"/>
    <w:rsid w:val="00B46383"/>
    <w:rsid w:val="00B4673E"/>
    <w:rsid w:val="00B46B31"/>
    <w:rsid w:val="00B46F0B"/>
    <w:rsid w:val="00B522CD"/>
    <w:rsid w:val="00B527F9"/>
    <w:rsid w:val="00B53268"/>
    <w:rsid w:val="00B55877"/>
    <w:rsid w:val="00B567FC"/>
    <w:rsid w:val="00B61034"/>
    <w:rsid w:val="00B6206A"/>
    <w:rsid w:val="00B62102"/>
    <w:rsid w:val="00B62A12"/>
    <w:rsid w:val="00B64D47"/>
    <w:rsid w:val="00B65CCC"/>
    <w:rsid w:val="00B800A3"/>
    <w:rsid w:val="00B81F2B"/>
    <w:rsid w:val="00B841C9"/>
    <w:rsid w:val="00B84800"/>
    <w:rsid w:val="00B86BBE"/>
    <w:rsid w:val="00B90CBB"/>
    <w:rsid w:val="00B913F1"/>
    <w:rsid w:val="00B927B5"/>
    <w:rsid w:val="00B93CF4"/>
    <w:rsid w:val="00B9644C"/>
    <w:rsid w:val="00BB0893"/>
    <w:rsid w:val="00BB1708"/>
    <w:rsid w:val="00BB68A9"/>
    <w:rsid w:val="00BB7214"/>
    <w:rsid w:val="00BB7D06"/>
    <w:rsid w:val="00BC0444"/>
    <w:rsid w:val="00BC25E6"/>
    <w:rsid w:val="00BC5E96"/>
    <w:rsid w:val="00BD00DB"/>
    <w:rsid w:val="00BD2D7C"/>
    <w:rsid w:val="00BD56D1"/>
    <w:rsid w:val="00BD6FF5"/>
    <w:rsid w:val="00BE558D"/>
    <w:rsid w:val="00BE64CF"/>
    <w:rsid w:val="00BE754B"/>
    <w:rsid w:val="00BF28DA"/>
    <w:rsid w:val="00BF7390"/>
    <w:rsid w:val="00BF7A75"/>
    <w:rsid w:val="00C034B7"/>
    <w:rsid w:val="00C10C8A"/>
    <w:rsid w:val="00C11000"/>
    <w:rsid w:val="00C12653"/>
    <w:rsid w:val="00C2012B"/>
    <w:rsid w:val="00C21BB2"/>
    <w:rsid w:val="00C253EA"/>
    <w:rsid w:val="00C26A52"/>
    <w:rsid w:val="00C2743D"/>
    <w:rsid w:val="00C31AB9"/>
    <w:rsid w:val="00C35821"/>
    <w:rsid w:val="00C410A1"/>
    <w:rsid w:val="00C442D1"/>
    <w:rsid w:val="00C44620"/>
    <w:rsid w:val="00C44886"/>
    <w:rsid w:val="00C46216"/>
    <w:rsid w:val="00C46219"/>
    <w:rsid w:val="00C50382"/>
    <w:rsid w:val="00C51EF0"/>
    <w:rsid w:val="00C52BD6"/>
    <w:rsid w:val="00C53EB4"/>
    <w:rsid w:val="00C561C3"/>
    <w:rsid w:val="00C61423"/>
    <w:rsid w:val="00C61D5F"/>
    <w:rsid w:val="00C66EA1"/>
    <w:rsid w:val="00C67899"/>
    <w:rsid w:val="00C77D76"/>
    <w:rsid w:val="00C80B2B"/>
    <w:rsid w:val="00C82B7E"/>
    <w:rsid w:val="00C82C2F"/>
    <w:rsid w:val="00C9342B"/>
    <w:rsid w:val="00C97F03"/>
    <w:rsid w:val="00CA09BE"/>
    <w:rsid w:val="00CA25DC"/>
    <w:rsid w:val="00CA28A1"/>
    <w:rsid w:val="00CA2938"/>
    <w:rsid w:val="00CA391E"/>
    <w:rsid w:val="00CA3F66"/>
    <w:rsid w:val="00CA71F1"/>
    <w:rsid w:val="00CB1288"/>
    <w:rsid w:val="00CB3A24"/>
    <w:rsid w:val="00CB3B3A"/>
    <w:rsid w:val="00CB42C3"/>
    <w:rsid w:val="00CB6968"/>
    <w:rsid w:val="00CC25A9"/>
    <w:rsid w:val="00CC27F5"/>
    <w:rsid w:val="00CC331C"/>
    <w:rsid w:val="00CC3475"/>
    <w:rsid w:val="00CE37E4"/>
    <w:rsid w:val="00CE51E9"/>
    <w:rsid w:val="00CE60EF"/>
    <w:rsid w:val="00CE6B16"/>
    <w:rsid w:val="00CF17DE"/>
    <w:rsid w:val="00CF2456"/>
    <w:rsid w:val="00CF421D"/>
    <w:rsid w:val="00CF51EF"/>
    <w:rsid w:val="00CF52BB"/>
    <w:rsid w:val="00CF57A8"/>
    <w:rsid w:val="00D00274"/>
    <w:rsid w:val="00D00959"/>
    <w:rsid w:val="00D02778"/>
    <w:rsid w:val="00D0484A"/>
    <w:rsid w:val="00D137B9"/>
    <w:rsid w:val="00D14837"/>
    <w:rsid w:val="00D16ABE"/>
    <w:rsid w:val="00D20F6C"/>
    <w:rsid w:val="00D2281F"/>
    <w:rsid w:val="00D23FBD"/>
    <w:rsid w:val="00D31DA5"/>
    <w:rsid w:val="00D340E3"/>
    <w:rsid w:val="00D422C2"/>
    <w:rsid w:val="00D43B75"/>
    <w:rsid w:val="00D451A9"/>
    <w:rsid w:val="00D45857"/>
    <w:rsid w:val="00D515F8"/>
    <w:rsid w:val="00D52F2C"/>
    <w:rsid w:val="00D57236"/>
    <w:rsid w:val="00D57703"/>
    <w:rsid w:val="00D57D9B"/>
    <w:rsid w:val="00D6040C"/>
    <w:rsid w:val="00D67700"/>
    <w:rsid w:val="00D7134D"/>
    <w:rsid w:val="00D7567B"/>
    <w:rsid w:val="00D8146F"/>
    <w:rsid w:val="00D822FD"/>
    <w:rsid w:val="00D82D50"/>
    <w:rsid w:val="00D865A9"/>
    <w:rsid w:val="00D90DA0"/>
    <w:rsid w:val="00D911E7"/>
    <w:rsid w:val="00D9189E"/>
    <w:rsid w:val="00D94DAA"/>
    <w:rsid w:val="00DA2080"/>
    <w:rsid w:val="00DA2DAE"/>
    <w:rsid w:val="00DA6B3E"/>
    <w:rsid w:val="00DB08CE"/>
    <w:rsid w:val="00DB2B95"/>
    <w:rsid w:val="00DB5D30"/>
    <w:rsid w:val="00DB619F"/>
    <w:rsid w:val="00DB6F2C"/>
    <w:rsid w:val="00DB7B5F"/>
    <w:rsid w:val="00DC2182"/>
    <w:rsid w:val="00DC4851"/>
    <w:rsid w:val="00DD77AE"/>
    <w:rsid w:val="00DE38DD"/>
    <w:rsid w:val="00DE42EB"/>
    <w:rsid w:val="00DF2668"/>
    <w:rsid w:val="00DF35CC"/>
    <w:rsid w:val="00DF62F4"/>
    <w:rsid w:val="00DF6A84"/>
    <w:rsid w:val="00E013AE"/>
    <w:rsid w:val="00E02127"/>
    <w:rsid w:val="00E070FA"/>
    <w:rsid w:val="00E106E5"/>
    <w:rsid w:val="00E10CEA"/>
    <w:rsid w:val="00E12330"/>
    <w:rsid w:val="00E12C23"/>
    <w:rsid w:val="00E21886"/>
    <w:rsid w:val="00E21C01"/>
    <w:rsid w:val="00E266F0"/>
    <w:rsid w:val="00E31BF6"/>
    <w:rsid w:val="00E32F40"/>
    <w:rsid w:val="00E41282"/>
    <w:rsid w:val="00E423DB"/>
    <w:rsid w:val="00E424C9"/>
    <w:rsid w:val="00E46169"/>
    <w:rsid w:val="00E4629B"/>
    <w:rsid w:val="00E5188A"/>
    <w:rsid w:val="00E56EE2"/>
    <w:rsid w:val="00E61211"/>
    <w:rsid w:val="00E74716"/>
    <w:rsid w:val="00E74A17"/>
    <w:rsid w:val="00E765F6"/>
    <w:rsid w:val="00E77CB0"/>
    <w:rsid w:val="00E80B3C"/>
    <w:rsid w:val="00E8111E"/>
    <w:rsid w:val="00E81ADC"/>
    <w:rsid w:val="00E82A46"/>
    <w:rsid w:val="00E82A5B"/>
    <w:rsid w:val="00E928CF"/>
    <w:rsid w:val="00EA05F6"/>
    <w:rsid w:val="00EA0877"/>
    <w:rsid w:val="00EA3BE3"/>
    <w:rsid w:val="00EA49AD"/>
    <w:rsid w:val="00EA6937"/>
    <w:rsid w:val="00EB70B0"/>
    <w:rsid w:val="00ED3561"/>
    <w:rsid w:val="00EE01B1"/>
    <w:rsid w:val="00EE19CE"/>
    <w:rsid w:val="00EE2409"/>
    <w:rsid w:val="00EE690F"/>
    <w:rsid w:val="00EF3EA4"/>
    <w:rsid w:val="00EF4A31"/>
    <w:rsid w:val="00EF75DB"/>
    <w:rsid w:val="00F01104"/>
    <w:rsid w:val="00F01E05"/>
    <w:rsid w:val="00F02221"/>
    <w:rsid w:val="00F02D05"/>
    <w:rsid w:val="00F04354"/>
    <w:rsid w:val="00F12F5F"/>
    <w:rsid w:val="00F14CE5"/>
    <w:rsid w:val="00F24996"/>
    <w:rsid w:val="00F41DDF"/>
    <w:rsid w:val="00F42584"/>
    <w:rsid w:val="00F43836"/>
    <w:rsid w:val="00F46AA5"/>
    <w:rsid w:val="00F51F8B"/>
    <w:rsid w:val="00F55BB4"/>
    <w:rsid w:val="00F572F1"/>
    <w:rsid w:val="00F67A6A"/>
    <w:rsid w:val="00F705C8"/>
    <w:rsid w:val="00F70B8F"/>
    <w:rsid w:val="00F820B7"/>
    <w:rsid w:val="00F95459"/>
    <w:rsid w:val="00F9633A"/>
    <w:rsid w:val="00FA073E"/>
    <w:rsid w:val="00FA155F"/>
    <w:rsid w:val="00FC1145"/>
    <w:rsid w:val="00FC2DE4"/>
    <w:rsid w:val="00FC2E7E"/>
    <w:rsid w:val="00FC383E"/>
    <w:rsid w:val="00FD2473"/>
    <w:rsid w:val="00FD436F"/>
    <w:rsid w:val="00FD44D5"/>
    <w:rsid w:val="00FE038A"/>
    <w:rsid w:val="00FE49CA"/>
    <w:rsid w:val="00FE6C44"/>
    <w:rsid w:val="00FE6CAC"/>
    <w:rsid w:val="00FF4AFC"/>
    <w:rsid w:val="00FF7881"/>
    <w:rsid w:val="02960000"/>
    <w:rsid w:val="0DEDA953"/>
    <w:rsid w:val="0F069B70"/>
    <w:rsid w:val="12EE3726"/>
    <w:rsid w:val="140743A4"/>
    <w:rsid w:val="170A6FC5"/>
    <w:rsid w:val="1E9D4DCF"/>
    <w:rsid w:val="1EDC5FC2"/>
    <w:rsid w:val="263836AA"/>
    <w:rsid w:val="34BE6DAE"/>
    <w:rsid w:val="3AD44ECD"/>
    <w:rsid w:val="3AFF16E8"/>
    <w:rsid w:val="3EE098B0"/>
    <w:rsid w:val="413AE531"/>
    <w:rsid w:val="44783017"/>
    <w:rsid w:val="4BA7214B"/>
    <w:rsid w:val="4EA21D4B"/>
    <w:rsid w:val="503DEDAC"/>
    <w:rsid w:val="5288D8FA"/>
    <w:rsid w:val="5AA0E0F5"/>
    <w:rsid w:val="5D76A8DB"/>
    <w:rsid w:val="5F2B8189"/>
    <w:rsid w:val="61C943AB"/>
    <w:rsid w:val="61C9CAA9"/>
    <w:rsid w:val="6365140C"/>
    <w:rsid w:val="669CB4CE"/>
    <w:rsid w:val="6F740D13"/>
    <w:rsid w:val="73EE206C"/>
    <w:rsid w:val="76A4FC30"/>
    <w:rsid w:val="7740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C7BF"/>
  <w15:docId w15:val="{92A7B8E6-E4EA-4382-916C-9CF300C0A3E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6"/>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
    <w:basedOn w:val="Normal"/>
    <w:link w:val="FootnoteTextChar"/>
    <w:pPr>
      <w:numPr>
        <w:numId w:val="6"/>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4"/>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5"/>
      </w:numPr>
      <w:ind w:left="1080"/>
    </w:pPr>
  </w:style>
  <w:style w:type="character" w:styleId="FootnoteReference">
    <w:name w:val="footnote reference"/>
    <w:aliases w:val="o,fr,Style 3,o1,o2,o3,o4,o5,o6,o11,o21,o7,Footnote Reference1"/>
    <w:qFormat/>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B913F1"/>
    <w:rPr>
      <w:rFonts w:ascii="Palatino" w:hAnsi="Palatino"/>
      <w:sz w:val="26"/>
    </w:rPr>
  </w:style>
  <w:style w:type="character" w:styleId="CommentReference">
    <w:name w:val="annotation reference"/>
    <w:basedOn w:val="DefaultParagraphFont"/>
    <w:semiHidden/>
    <w:unhideWhenUsed/>
    <w:rsid w:val="0079057F"/>
    <w:rPr>
      <w:sz w:val="16"/>
      <w:szCs w:val="16"/>
    </w:rPr>
  </w:style>
  <w:style w:type="paragraph" w:styleId="CommentText">
    <w:name w:val="annotation text"/>
    <w:basedOn w:val="Normal"/>
    <w:link w:val="CommentTextChar"/>
    <w:unhideWhenUsed/>
    <w:rsid w:val="0079057F"/>
    <w:rPr>
      <w:sz w:val="20"/>
    </w:rPr>
  </w:style>
  <w:style w:type="character" w:customStyle="1" w:styleId="CommentTextChar">
    <w:name w:val="Comment Text Char"/>
    <w:basedOn w:val="DefaultParagraphFont"/>
    <w:link w:val="CommentText"/>
    <w:rsid w:val="0079057F"/>
    <w:rPr>
      <w:rFonts w:ascii="Palatino" w:hAnsi="Palatino"/>
    </w:rPr>
  </w:style>
  <w:style w:type="paragraph" w:styleId="CommentSubject">
    <w:name w:val="annotation subject"/>
    <w:basedOn w:val="CommentText"/>
    <w:next w:val="CommentText"/>
    <w:link w:val="CommentSubjectChar"/>
    <w:semiHidden/>
    <w:unhideWhenUsed/>
    <w:rsid w:val="0079057F"/>
    <w:rPr>
      <w:b/>
      <w:bCs/>
    </w:rPr>
  </w:style>
  <w:style w:type="character" w:customStyle="1" w:styleId="CommentSubjectChar">
    <w:name w:val="Comment Subject Char"/>
    <w:basedOn w:val="CommentTextChar"/>
    <w:link w:val="CommentSubject"/>
    <w:semiHidden/>
    <w:rsid w:val="0079057F"/>
    <w:rPr>
      <w:rFonts w:ascii="Palatino" w:hAnsi="Palatino"/>
      <w:b/>
      <w:bCs/>
    </w:rPr>
  </w:style>
  <w:style w:type="paragraph" w:styleId="Revision">
    <w:name w:val="Revision"/>
    <w:hidden/>
    <w:uiPriority w:val="99"/>
    <w:semiHidden/>
    <w:rsid w:val="00B522CD"/>
    <w:rPr>
      <w:rFonts w:ascii="Palatino" w:hAnsi="Palatino"/>
      <w:sz w:val="26"/>
    </w:rPr>
  </w:style>
  <w:style w:type="character" w:customStyle="1" w:styleId="FootnoteTextChar">
    <w:name w:val="Footnote Text Char"/>
    <w:aliases w:val="Footnote Text Char1 Char2,Footnote Text Char Char Char2,Footnote Text Char1 Char Char1,Footnote Text Char Char Char Char1,Char Char Char1,Footnote Text Char2 Char Char1,Footnote Text Char2 Char Char Char Char Char"/>
    <w:basedOn w:val="DefaultParagraphFont"/>
    <w:link w:val="FootnoteText"/>
    <w:uiPriority w:val="99"/>
    <w:rsid w:val="00756429"/>
    <w:rPr>
      <w:rFonts w:ascii="Palatino" w:hAnsi="Palatino"/>
      <w:sz w:val="24"/>
    </w:rPr>
  </w:style>
  <w:style w:type="table" w:styleId="TableGrid">
    <w:name w:val="Table Grid"/>
    <w:basedOn w:val="TableNormal"/>
    <w:rsid w:val="00B4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C31FC"/>
    <w:rPr>
      <w:rFonts w:ascii="Calibri" w:hAnsi="Calibri" w:cs="Consolas"/>
      <w:sz w:val="22"/>
      <w:szCs w:val="21"/>
    </w:rPr>
  </w:style>
  <w:style w:type="character" w:customStyle="1" w:styleId="PlainTextChar">
    <w:name w:val="Plain Text Char"/>
    <w:basedOn w:val="DefaultParagraphFont"/>
    <w:link w:val="PlainText"/>
    <w:uiPriority w:val="99"/>
    <w:semiHidden/>
    <w:rsid w:val="004C31FC"/>
    <w:rPr>
      <w:rFonts w:ascii="Calibri" w:hAnsi="Calibri" w:cs="Consolas"/>
      <w:sz w:val="22"/>
      <w:szCs w:val="21"/>
    </w:rPr>
  </w:style>
  <w:style w:type="paragraph" w:styleId="BodyText">
    <w:name w:val="Body Text"/>
    <w:basedOn w:val="Normal"/>
    <w:link w:val="BodyTextChar"/>
    <w:rsid w:val="00085203"/>
    <w:rPr>
      <w:rFonts w:eastAsia="SimSun"/>
      <w:b/>
    </w:rPr>
  </w:style>
  <w:style w:type="character" w:customStyle="1" w:styleId="BodyTextChar">
    <w:name w:val="Body Text Char"/>
    <w:basedOn w:val="DefaultParagraphFont"/>
    <w:link w:val="BodyText"/>
    <w:rsid w:val="00085203"/>
    <w:rPr>
      <w:rFonts w:ascii="Palatino" w:eastAsia="SimSun" w:hAnsi="Palatino"/>
      <w:b/>
      <w:sz w:val="26"/>
    </w:rPr>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uiPriority w:val="99"/>
    <w:rsid w:val="00B64D47"/>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444">
      <w:bodyDiv w:val="1"/>
      <w:marLeft w:val="0"/>
      <w:marRight w:val="0"/>
      <w:marTop w:val="0"/>
      <w:marBottom w:val="0"/>
      <w:divBdr>
        <w:top w:val="none" w:sz="0" w:space="0" w:color="auto"/>
        <w:left w:val="none" w:sz="0" w:space="0" w:color="auto"/>
        <w:bottom w:val="none" w:sz="0" w:space="0" w:color="auto"/>
        <w:right w:val="none" w:sz="0" w:space="0" w:color="auto"/>
      </w:divBdr>
      <w:divsChild>
        <w:div w:id="1637252315">
          <w:marLeft w:val="0"/>
          <w:marRight w:val="0"/>
          <w:marTop w:val="0"/>
          <w:marBottom w:val="0"/>
          <w:divBdr>
            <w:top w:val="none" w:sz="0" w:space="0" w:color="auto"/>
            <w:left w:val="none" w:sz="0" w:space="0" w:color="auto"/>
            <w:bottom w:val="none" w:sz="0" w:space="0" w:color="auto"/>
            <w:right w:val="none" w:sz="0" w:space="0" w:color="auto"/>
          </w:divBdr>
          <w:divsChild>
            <w:div w:id="640768703">
              <w:marLeft w:val="0"/>
              <w:marRight w:val="0"/>
              <w:marTop w:val="0"/>
              <w:marBottom w:val="0"/>
              <w:divBdr>
                <w:top w:val="none" w:sz="0" w:space="0" w:color="auto"/>
                <w:left w:val="none" w:sz="0" w:space="0" w:color="auto"/>
                <w:bottom w:val="none" w:sz="0" w:space="0" w:color="auto"/>
                <w:right w:val="none" w:sz="0" w:space="0" w:color="auto"/>
              </w:divBdr>
              <w:divsChild>
                <w:div w:id="1490824416">
                  <w:marLeft w:val="0"/>
                  <w:marRight w:val="0"/>
                  <w:marTop w:val="0"/>
                  <w:marBottom w:val="0"/>
                  <w:divBdr>
                    <w:top w:val="none" w:sz="0" w:space="0" w:color="auto"/>
                    <w:left w:val="none" w:sz="0" w:space="0" w:color="auto"/>
                    <w:bottom w:val="none" w:sz="0" w:space="0" w:color="auto"/>
                    <w:right w:val="none" w:sz="0" w:space="0" w:color="auto"/>
                  </w:divBdr>
                  <w:divsChild>
                    <w:div w:id="4417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2400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uc.ca.gov/industries-and-topics/electrical-energy/electric-power-procurement/rps/rps-program-overview/rps-decisions-and-proceeding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r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aiso.com/participate/Pages/DynamicTransfer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ED0DC434EC93649981C54FC51FEC81B" ma:contentTypeVersion="9" ma:contentTypeDescription="Create a new document." ma:contentTypeScope="" ma:versionID="a68673544637c67203270aedcb101fba">
  <xsd:schema xmlns:xsd="http://www.w3.org/2001/XMLSchema" xmlns:xs="http://www.w3.org/2001/XMLSchema" xmlns:p="http://schemas.microsoft.com/office/2006/metadata/properties" xmlns:ns2="b2d2777c-a1f1-404e-80d5-4b6b735f5353" xmlns:ns3="5294eb0b-0742-491f-921b-4c8fe009313f" targetNamespace="http://schemas.microsoft.com/office/2006/metadata/properties" ma:root="true" ma:fieldsID="0932a7bf21feb419952ca89ce1ac2165" ns2:_="" ns3:_="">
    <xsd:import namespace="b2d2777c-a1f1-404e-80d5-4b6b735f5353"/>
    <xsd:import namespace="5294eb0b-0742-491f-921b-4c8fe00931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2777c-a1f1-404e-80d5-4b6b735f5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94eb0b-0742-491f-921b-4c8fe00931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6743D-17D4-448F-A3A0-B2FCFCA611FF}">
  <ds:schemaRefs>
    <ds:schemaRef ds:uri="http://schemas.microsoft.com/sharepoint/v3/contenttype/forms"/>
  </ds:schemaRefs>
</ds:datastoreItem>
</file>

<file path=customXml/itemProps2.xml><?xml version="1.0" encoding="utf-8"?>
<ds:datastoreItem xmlns:ds="http://schemas.openxmlformats.org/officeDocument/2006/customXml" ds:itemID="{F0F54526-F973-479E-9E6C-9A17D746A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95425-280A-47AE-88D0-D9B292CD73F0}">
  <ds:schemaRefs>
    <ds:schemaRef ds:uri="http://schemas.openxmlformats.org/officeDocument/2006/bibliography"/>
  </ds:schemaRefs>
</ds:datastoreItem>
</file>

<file path=customXml/itemProps4.xml><?xml version="1.0" encoding="utf-8"?>
<ds:datastoreItem xmlns:ds="http://schemas.openxmlformats.org/officeDocument/2006/customXml" ds:itemID="{61D2ABF1-470B-48B3-A8A9-555390588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2777c-a1f1-404e-80d5-4b6b735f5353"/>
    <ds:schemaRef ds:uri="5294eb0b-0742-491f-921b-4c8fe0093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4185</ap:Words>
  <ap:Characters>23856</ap:Characters>
  <ap:Application>Microsoft Office Word</ap:Application>
  <ap:DocSecurity>0</ap:DocSecurity>
  <ap:Lines>198</ap:Lines>
  <ap:Paragraphs>55</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27986</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2023-05-09T17:37:00Z</cp:lastPrinted>
  <dcterms:created xsi:type="dcterms:W3CDTF">2023-06-08T09:44:44Z</dcterms:created>
  <dcterms:modified xsi:type="dcterms:W3CDTF">2023-06-08T09:44:44Z</dcterms:modified>
</cp:coreProperties>
</file>