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A7998" w:rsidR="00CF17DE" w:rsidP="007963D3" w:rsidRDefault="00CF17DE" w14:paraId="5382ABBE" w14:textId="77777777">
      <w:pPr>
        <w:pStyle w:val="titlebar"/>
        <w:rPr>
          <w:szCs w:val="26"/>
        </w:rPr>
      </w:pPr>
      <w:r w:rsidRPr="003A7998">
        <w:rPr>
          <w:szCs w:val="26"/>
        </w:rPr>
        <w:t>PUBLIC UTILITIES COMMISSION OF THE STATE OF CALIFORNIA</w:t>
      </w:r>
    </w:p>
    <w:p w:rsidR="00CF17DE" w:rsidRDefault="00CF17DE" w14:paraId="570378FB" w14:textId="77777777">
      <w:pPr>
        <w:suppressAutoHyphens/>
      </w:pPr>
    </w:p>
    <w:p w:rsidRPr="005B667C" w:rsidR="00AE0B61" w:rsidP="00A80F83" w:rsidRDefault="002603B8" w14:paraId="3B4510AC" w14:textId="78E00153">
      <w:pPr>
        <w:tabs>
          <w:tab w:val="left" w:pos="6585"/>
          <w:tab w:val="right" w:pos="8820"/>
        </w:tabs>
        <w:rPr>
          <w:rFonts w:ascii="Palatino Linotype" w:hAnsi="Palatino Linotype"/>
          <w:b/>
          <w:sz w:val="24"/>
          <w:szCs w:val="24"/>
        </w:rPr>
      </w:pPr>
      <w:r w:rsidRPr="005B667C">
        <w:rPr>
          <w:rFonts w:ascii="Palatino Linotype" w:hAnsi="Palatino Linotype"/>
          <w:b/>
          <w:sz w:val="24"/>
          <w:szCs w:val="24"/>
        </w:rPr>
        <w:tab/>
      </w:r>
      <w:r w:rsidR="00A80F83">
        <w:rPr>
          <w:rFonts w:ascii="Palatino Linotype" w:hAnsi="Palatino Linotype"/>
          <w:b/>
          <w:sz w:val="24"/>
          <w:szCs w:val="24"/>
        </w:rPr>
        <w:t xml:space="preserve">    </w:t>
      </w:r>
      <w:r w:rsidR="00FE7C6D">
        <w:rPr>
          <w:rFonts w:ascii="Palatino Linotype" w:hAnsi="Palatino Linotype"/>
          <w:b/>
          <w:sz w:val="24"/>
          <w:szCs w:val="24"/>
        </w:rPr>
        <w:t>Agenda ID#</w:t>
      </w:r>
      <w:r w:rsidR="00A80F83">
        <w:rPr>
          <w:rFonts w:ascii="Palatino Linotype" w:hAnsi="Palatino Linotype"/>
          <w:b/>
          <w:sz w:val="24"/>
          <w:szCs w:val="24"/>
        </w:rPr>
        <w:t xml:space="preserve"> </w:t>
      </w:r>
      <w:r w:rsidRPr="00A80F83" w:rsidR="00A80F83">
        <w:rPr>
          <w:rFonts w:ascii="Palatino Linotype" w:hAnsi="Palatino Linotype" w:eastAsia="Palatino Linotype"/>
          <w:b/>
          <w:sz w:val="24"/>
          <w:szCs w:val="24"/>
        </w:rPr>
        <w:t>21649</w:t>
      </w:r>
      <w:r w:rsidRPr="00A80F83" w:rsidR="00FE7C6D">
        <w:rPr>
          <w:rFonts w:ascii="Palatino Linotype" w:hAnsi="Palatino Linotype" w:eastAsia="Palatino Linotype"/>
          <w:b/>
          <w:sz w:val="24"/>
          <w:szCs w:val="24"/>
        </w:rPr>
        <w:t xml:space="preserve"> </w:t>
      </w:r>
    </w:p>
    <w:p w:rsidRPr="005B667C" w:rsidR="00CF17DE" w:rsidP="00D865A9" w:rsidRDefault="00B913F1" w14:paraId="28ABE02E" w14:textId="4275C0F5">
      <w:pPr>
        <w:tabs>
          <w:tab w:val="right" w:pos="8820"/>
        </w:tabs>
        <w:rPr>
          <w:rFonts w:ascii="Palatino Linotype" w:hAnsi="Palatino Linotype" w:eastAsia="Palatino Linotype"/>
          <w:b/>
          <w:sz w:val="24"/>
          <w:szCs w:val="24"/>
        </w:rPr>
      </w:pPr>
      <w:r w:rsidRPr="005B667C">
        <w:rPr>
          <w:rFonts w:ascii="Palatino Linotype" w:hAnsi="Palatino Linotype" w:eastAsia="Palatino Linotype"/>
          <w:b/>
          <w:sz w:val="24"/>
          <w:szCs w:val="24"/>
        </w:rPr>
        <w:t>ENERGY DIVISION</w:t>
      </w:r>
      <w:r w:rsidRPr="005B667C" w:rsidR="00593807">
        <w:rPr>
          <w:rFonts w:ascii="Palatino Linotype" w:hAnsi="Palatino Linotype"/>
          <w:b/>
          <w:sz w:val="24"/>
          <w:szCs w:val="24"/>
        </w:rPr>
        <w:tab/>
      </w:r>
      <w:r w:rsidRPr="005B667C" w:rsidR="00CF17DE">
        <w:rPr>
          <w:rFonts w:ascii="Palatino Linotype" w:hAnsi="Palatino Linotype" w:eastAsia="Palatino Linotype"/>
          <w:b/>
          <w:sz w:val="24"/>
          <w:szCs w:val="24"/>
        </w:rPr>
        <w:t>RESOLUTION E-</w:t>
      </w:r>
      <w:r w:rsidRPr="005B667C" w:rsidR="00E72936">
        <w:rPr>
          <w:rFonts w:ascii="Palatino Linotype" w:hAnsi="Palatino Linotype" w:eastAsia="Palatino Linotype"/>
          <w:b/>
          <w:sz w:val="24"/>
          <w:szCs w:val="24"/>
        </w:rPr>
        <w:t>5277</w:t>
      </w:r>
    </w:p>
    <w:p w:rsidRPr="005B667C" w:rsidR="0020108F" w:rsidP="00D865A9" w:rsidRDefault="0020108F" w14:paraId="64C41B2D" w14:textId="1EDB8E8F">
      <w:pPr>
        <w:tabs>
          <w:tab w:val="right" w:pos="8820"/>
        </w:tabs>
        <w:rPr>
          <w:rFonts w:ascii="Palatino Linotype" w:hAnsi="Palatino Linotype"/>
          <w:b/>
          <w:sz w:val="24"/>
          <w:szCs w:val="24"/>
        </w:rPr>
      </w:pPr>
      <w:r w:rsidRPr="005B667C">
        <w:rPr>
          <w:rFonts w:ascii="Palatino Linotype" w:hAnsi="Palatino Linotype"/>
          <w:b/>
          <w:sz w:val="24"/>
          <w:szCs w:val="24"/>
        </w:rPr>
        <w:tab/>
      </w:r>
      <w:r w:rsidRPr="005B667C" w:rsidR="00C525A2">
        <w:rPr>
          <w:rFonts w:ascii="Palatino Linotype" w:hAnsi="Palatino Linotype"/>
          <w:b/>
          <w:sz w:val="24"/>
          <w:szCs w:val="24"/>
        </w:rPr>
        <w:t xml:space="preserve">July </w:t>
      </w:r>
      <w:r w:rsidRPr="005B667C" w:rsidR="00E72936">
        <w:rPr>
          <w:rFonts w:ascii="Palatino Linotype" w:hAnsi="Palatino Linotype"/>
          <w:b/>
          <w:sz w:val="24"/>
          <w:szCs w:val="24"/>
        </w:rPr>
        <w:t>13</w:t>
      </w:r>
      <w:r w:rsidRPr="005B667C" w:rsidR="000F6C1E">
        <w:rPr>
          <w:rFonts w:ascii="Palatino Linotype" w:hAnsi="Palatino Linotype"/>
          <w:b/>
          <w:sz w:val="24"/>
          <w:szCs w:val="24"/>
        </w:rPr>
        <w:t>, 2023</w:t>
      </w:r>
    </w:p>
    <w:p w:rsidRPr="005B667C" w:rsidR="00CF17DE" w:rsidRDefault="00CF17DE" w14:paraId="52537EB7" w14:textId="77777777">
      <w:pPr>
        <w:tabs>
          <w:tab w:val="right" w:pos="8910"/>
        </w:tabs>
        <w:ind w:left="1440" w:firstLine="720"/>
        <w:rPr>
          <w:rFonts w:ascii="Palatino Linotype" w:hAnsi="Palatino Linotype"/>
          <w:b/>
          <w:sz w:val="24"/>
          <w:szCs w:val="24"/>
        </w:rPr>
      </w:pPr>
      <w:r w:rsidRPr="005B667C">
        <w:rPr>
          <w:rFonts w:ascii="Palatino Linotype" w:hAnsi="Palatino Linotype"/>
          <w:b/>
          <w:sz w:val="24"/>
          <w:szCs w:val="24"/>
        </w:rPr>
        <w:tab/>
      </w:r>
    </w:p>
    <w:p w:rsidRPr="005B667C" w:rsidR="00CF17DE" w:rsidRDefault="00CF17DE" w14:paraId="68310580" w14:textId="77777777">
      <w:pPr>
        <w:tabs>
          <w:tab w:val="right" w:pos="8910"/>
        </w:tabs>
        <w:ind w:left="1440" w:firstLine="720"/>
        <w:rPr>
          <w:rFonts w:ascii="Palatino Linotype" w:hAnsi="Palatino Linotype"/>
          <w:b/>
          <w:sz w:val="24"/>
          <w:szCs w:val="24"/>
        </w:rPr>
      </w:pPr>
    </w:p>
    <w:p w:rsidRPr="005B667C" w:rsidR="00CF17DE" w:rsidRDefault="00CF17DE" w14:paraId="3BACE33B" w14:textId="77777777">
      <w:pPr>
        <w:pStyle w:val="mainex"/>
        <w:rPr>
          <w:rFonts w:ascii="Palatino Linotype" w:hAnsi="Palatino Linotype" w:cs="Helvetica"/>
          <w:sz w:val="24"/>
          <w:szCs w:val="24"/>
          <w:u w:val="single"/>
        </w:rPr>
      </w:pPr>
      <w:bookmarkStart w:name="_Ref404993683" w:id="0"/>
      <w:r w:rsidRPr="005B667C">
        <w:rPr>
          <w:rFonts w:ascii="Palatino Linotype" w:hAnsi="Palatino Linotype" w:cs="Helvetica"/>
          <w:sz w:val="24"/>
          <w:szCs w:val="24"/>
          <w:u w:val="single"/>
        </w:rPr>
        <w:t>RESOLUTION</w:t>
      </w:r>
    </w:p>
    <w:p w:rsidRPr="005B667C" w:rsidR="00CF17DE" w:rsidP="4BA7214B" w:rsidRDefault="00CF17DE" w14:paraId="72961F34" w14:textId="77777777">
      <w:pPr>
        <w:rPr>
          <w:rFonts w:ascii="Palatino Linotype" w:hAnsi="Palatino Linotype" w:eastAsia="Palatino Linotype"/>
          <w:sz w:val="24"/>
          <w:szCs w:val="24"/>
        </w:rPr>
      </w:pPr>
    </w:p>
    <w:p w:rsidRPr="005B667C" w:rsidR="000C50E3" w:rsidP="00B927B5" w:rsidRDefault="00B927B5" w14:paraId="043806C1" w14:textId="2DF386F0">
      <w:pPr>
        <w:pStyle w:val="Res-Caption"/>
        <w:rPr>
          <w:rFonts w:ascii="Palatino Linotype" w:hAnsi="Palatino Linotype"/>
          <w:sz w:val="24"/>
          <w:szCs w:val="24"/>
        </w:rPr>
      </w:pPr>
      <w:r w:rsidRPr="005B667C">
        <w:rPr>
          <w:rFonts w:ascii="Palatino Linotype" w:hAnsi="Palatino Linotype"/>
          <w:sz w:val="24"/>
          <w:szCs w:val="24"/>
        </w:rPr>
        <w:t>Resolution E-</w:t>
      </w:r>
      <w:r w:rsidRPr="005B667C" w:rsidR="00E72936">
        <w:rPr>
          <w:rFonts w:ascii="Palatino Linotype" w:hAnsi="Palatino Linotype"/>
          <w:sz w:val="24"/>
          <w:szCs w:val="24"/>
        </w:rPr>
        <w:t>5277</w:t>
      </w:r>
      <w:r w:rsidRPr="005B667C">
        <w:rPr>
          <w:rFonts w:ascii="Palatino Linotype" w:hAnsi="Palatino Linotype"/>
          <w:sz w:val="24"/>
          <w:szCs w:val="24"/>
        </w:rPr>
        <w:t xml:space="preserve">.  </w:t>
      </w:r>
      <w:r w:rsidRPr="005B667C" w:rsidR="00F225F7">
        <w:rPr>
          <w:rFonts w:ascii="Palatino Linotype" w:hAnsi="Palatino Linotype"/>
          <w:sz w:val="24"/>
          <w:szCs w:val="24"/>
        </w:rPr>
        <w:t>San Diego Gas &amp; Electric</w:t>
      </w:r>
      <w:r w:rsidRPr="005B667C" w:rsidR="003C4CD2">
        <w:rPr>
          <w:rFonts w:ascii="Palatino Linotype" w:hAnsi="Palatino Linotype"/>
          <w:sz w:val="24"/>
          <w:szCs w:val="24"/>
        </w:rPr>
        <w:t xml:space="preserve"> Request to Count the </w:t>
      </w:r>
      <w:r w:rsidR="00993CBB">
        <w:rPr>
          <w:rFonts w:ascii="Palatino Linotype" w:hAnsi="Palatino Linotype"/>
          <w:sz w:val="24"/>
          <w:szCs w:val="24"/>
        </w:rPr>
        <w:br/>
      </w:r>
      <w:r w:rsidRPr="005B667C" w:rsidR="003C4CD2">
        <w:rPr>
          <w:rFonts w:ascii="Palatino Linotype" w:hAnsi="Palatino Linotype"/>
          <w:sz w:val="24"/>
          <w:szCs w:val="24"/>
        </w:rPr>
        <w:t xml:space="preserve">Utility-Owned </w:t>
      </w:r>
      <w:r w:rsidRPr="005B667C" w:rsidR="00F225F7">
        <w:rPr>
          <w:rFonts w:ascii="Palatino Linotype" w:hAnsi="Palatino Linotype"/>
          <w:sz w:val="24"/>
          <w:szCs w:val="24"/>
        </w:rPr>
        <w:t>Westside Canal Energy Storage Project</w:t>
      </w:r>
      <w:r w:rsidRPr="005B667C" w:rsidR="003C4CD2">
        <w:rPr>
          <w:rFonts w:ascii="Palatino Linotype" w:hAnsi="Palatino Linotype"/>
          <w:sz w:val="24"/>
          <w:szCs w:val="24"/>
        </w:rPr>
        <w:t xml:space="preserve"> Towards Midterm Reliability Procurement Requirements</w:t>
      </w:r>
      <w:r w:rsidRPr="005B667C" w:rsidR="00705562">
        <w:rPr>
          <w:rFonts w:ascii="Palatino Linotype" w:hAnsi="Palatino Linotype"/>
          <w:sz w:val="24"/>
          <w:szCs w:val="24"/>
        </w:rPr>
        <w:t>.</w:t>
      </w:r>
    </w:p>
    <w:p w:rsidRPr="005B667C" w:rsidR="00801D70" w:rsidP="4BA7214B" w:rsidRDefault="00801D70" w14:paraId="7467CD23" w14:textId="77777777">
      <w:pPr>
        <w:pStyle w:val="Res-Caption"/>
        <w:rPr>
          <w:rFonts w:ascii="Palatino Linotype" w:hAnsi="Palatino Linotype" w:eastAsia="Palatino Linotype"/>
          <w:sz w:val="24"/>
          <w:szCs w:val="24"/>
        </w:rPr>
      </w:pPr>
    </w:p>
    <w:p w:rsidRPr="005B667C" w:rsidR="00DF35CC" w:rsidP="4BA7214B" w:rsidRDefault="00801D70" w14:paraId="4D35AC4E" w14:textId="77777777">
      <w:pPr>
        <w:pStyle w:val="Res-Caption"/>
        <w:rPr>
          <w:rFonts w:ascii="Palatino Linotype" w:hAnsi="Palatino Linotype" w:eastAsia="Palatino Linotype"/>
          <w:sz w:val="24"/>
          <w:szCs w:val="24"/>
        </w:rPr>
      </w:pPr>
      <w:r w:rsidRPr="005B667C">
        <w:rPr>
          <w:rFonts w:ascii="Palatino Linotype" w:hAnsi="Palatino Linotype" w:eastAsia="Palatino Linotype"/>
          <w:sz w:val="24"/>
          <w:szCs w:val="24"/>
        </w:rPr>
        <w:t>PROPOSED OUTCOME:</w:t>
      </w:r>
      <w:r w:rsidRPr="005B667C" w:rsidR="00142FB8">
        <w:rPr>
          <w:rFonts w:ascii="Palatino Linotype" w:hAnsi="Palatino Linotype" w:eastAsia="Palatino Linotype"/>
          <w:sz w:val="24"/>
          <w:szCs w:val="24"/>
        </w:rPr>
        <w:t xml:space="preserve"> </w:t>
      </w:r>
    </w:p>
    <w:p w:rsidRPr="005B667C" w:rsidR="00142FB8" w:rsidP="00EC5CCD" w:rsidRDefault="003C4CD2" w14:paraId="1F1FF817" w14:textId="728C7E93">
      <w:pPr>
        <w:pStyle w:val="Res-Caption"/>
        <w:numPr>
          <w:ilvl w:val="0"/>
          <w:numId w:val="10"/>
        </w:numPr>
        <w:rPr>
          <w:rFonts w:ascii="Palatino Linotype" w:hAnsi="Palatino Linotype"/>
          <w:sz w:val="24"/>
          <w:szCs w:val="24"/>
        </w:rPr>
      </w:pPr>
      <w:r w:rsidRPr="005B667C">
        <w:rPr>
          <w:rFonts w:ascii="Palatino Linotype" w:hAnsi="Palatino Linotype"/>
          <w:sz w:val="24"/>
          <w:szCs w:val="24"/>
        </w:rPr>
        <w:t xml:space="preserve">Approves </w:t>
      </w:r>
      <w:r w:rsidRPr="005B667C" w:rsidR="001D3642">
        <w:rPr>
          <w:rFonts w:ascii="Palatino Linotype" w:hAnsi="Palatino Linotype"/>
          <w:sz w:val="24"/>
          <w:szCs w:val="24"/>
        </w:rPr>
        <w:t>San Diego Gas &amp; Electric’s</w:t>
      </w:r>
      <w:r w:rsidRPr="005B667C">
        <w:rPr>
          <w:rFonts w:ascii="Palatino Linotype" w:hAnsi="Palatino Linotype"/>
          <w:sz w:val="24"/>
          <w:szCs w:val="24"/>
        </w:rPr>
        <w:t xml:space="preserve"> request to count the </w:t>
      </w:r>
      <w:r w:rsidR="00993CBB">
        <w:rPr>
          <w:rFonts w:ascii="Palatino Linotype" w:hAnsi="Palatino Linotype"/>
          <w:sz w:val="24"/>
          <w:szCs w:val="24"/>
        </w:rPr>
        <w:br/>
      </w:r>
      <w:r w:rsidRPr="005B667C">
        <w:rPr>
          <w:rFonts w:ascii="Palatino Linotype" w:hAnsi="Palatino Linotype"/>
          <w:sz w:val="24"/>
          <w:szCs w:val="24"/>
        </w:rPr>
        <w:t xml:space="preserve">utility-owned </w:t>
      </w:r>
      <w:r w:rsidRPr="005B667C" w:rsidR="001D3642">
        <w:rPr>
          <w:rFonts w:ascii="Palatino Linotype" w:hAnsi="Palatino Linotype"/>
          <w:sz w:val="24"/>
          <w:szCs w:val="24"/>
        </w:rPr>
        <w:t>Westside Canal Energy Storage Project</w:t>
      </w:r>
      <w:r w:rsidRPr="005B667C">
        <w:rPr>
          <w:rFonts w:ascii="Palatino Linotype" w:hAnsi="Palatino Linotype"/>
          <w:sz w:val="24"/>
          <w:szCs w:val="24"/>
        </w:rPr>
        <w:t xml:space="preserve"> toward</w:t>
      </w:r>
      <w:r w:rsidRPr="005B667C" w:rsidR="00DD2C6C">
        <w:rPr>
          <w:rFonts w:ascii="Palatino Linotype" w:hAnsi="Palatino Linotype"/>
          <w:sz w:val="24"/>
          <w:szCs w:val="24"/>
        </w:rPr>
        <w:t>s its</w:t>
      </w:r>
      <w:r w:rsidRPr="005B667C">
        <w:rPr>
          <w:rFonts w:ascii="Palatino Linotype" w:hAnsi="Palatino Linotype"/>
          <w:sz w:val="24"/>
          <w:szCs w:val="24"/>
        </w:rPr>
        <w:t xml:space="preserve"> midterm reliability procurement requirements pursuant to Decision 21-06-035 and modify the </w:t>
      </w:r>
      <w:r w:rsidRPr="005B667C" w:rsidR="009C103A">
        <w:rPr>
          <w:rFonts w:ascii="Palatino Linotype" w:hAnsi="Palatino Linotype"/>
          <w:sz w:val="24"/>
          <w:szCs w:val="24"/>
        </w:rPr>
        <w:t xml:space="preserve">project’s </w:t>
      </w:r>
      <w:r w:rsidRPr="005B667C">
        <w:rPr>
          <w:rFonts w:ascii="Palatino Linotype" w:hAnsi="Palatino Linotype"/>
          <w:sz w:val="24"/>
          <w:szCs w:val="24"/>
        </w:rPr>
        <w:t>cost recovery mechanism.</w:t>
      </w:r>
    </w:p>
    <w:p w:rsidRPr="005B667C" w:rsidR="00F51F8B" w:rsidP="4BA7214B" w:rsidRDefault="00F51F8B" w14:paraId="287D5656" w14:textId="77777777">
      <w:pPr>
        <w:pStyle w:val="Res-Caption"/>
        <w:rPr>
          <w:rFonts w:ascii="Palatino Linotype" w:hAnsi="Palatino Linotype" w:eastAsia="Palatino Linotype"/>
          <w:sz w:val="24"/>
          <w:szCs w:val="24"/>
        </w:rPr>
      </w:pPr>
    </w:p>
    <w:p w:rsidRPr="005B667C" w:rsidR="00F51F8B" w:rsidP="4BA7214B" w:rsidRDefault="00F51F8B" w14:paraId="6B65DBC2" w14:textId="77777777">
      <w:pPr>
        <w:pStyle w:val="Res-Caption"/>
        <w:rPr>
          <w:rFonts w:ascii="Palatino Linotype" w:hAnsi="Palatino Linotype" w:eastAsia="Palatino Linotype"/>
          <w:sz w:val="24"/>
          <w:szCs w:val="24"/>
        </w:rPr>
      </w:pPr>
      <w:r w:rsidRPr="005B667C">
        <w:rPr>
          <w:rFonts w:ascii="Palatino Linotype" w:hAnsi="Palatino Linotype" w:eastAsia="Palatino Linotype"/>
          <w:sz w:val="24"/>
          <w:szCs w:val="24"/>
        </w:rPr>
        <w:t>SAFETY CONSIDERATIONS:</w:t>
      </w:r>
    </w:p>
    <w:p w:rsidRPr="005B667C" w:rsidR="000C50E3" w:rsidP="009668AD" w:rsidRDefault="003B28DC" w14:paraId="3DAC9C5C" w14:textId="77777777">
      <w:pPr>
        <w:pStyle w:val="xres-caption"/>
        <w:numPr>
          <w:ilvl w:val="0"/>
          <w:numId w:val="10"/>
        </w:numPr>
        <w:spacing w:before="0" w:beforeAutospacing="0" w:after="0" w:afterAutospacing="0"/>
        <w:ind w:right="540"/>
        <w:rPr>
          <w:rFonts w:ascii="Palatino Linotype" w:hAnsi="Palatino Linotype"/>
        </w:rPr>
      </w:pPr>
      <w:r w:rsidRPr="005B667C">
        <w:rPr>
          <w:rFonts w:ascii="Palatino Linotype" w:hAnsi="Palatino Linotype"/>
        </w:rPr>
        <w:t>There are no safety considerations associated with this resolution.</w:t>
      </w:r>
    </w:p>
    <w:p w:rsidRPr="005B667C" w:rsidR="00F572F1" w:rsidRDefault="00F572F1" w14:paraId="21F74B11" w14:textId="77777777">
      <w:pPr>
        <w:pStyle w:val="Res-Caption"/>
        <w:rPr>
          <w:rFonts w:ascii="Palatino Linotype" w:hAnsi="Palatino Linotype" w:eastAsia="Palatino Linotype"/>
          <w:sz w:val="24"/>
          <w:szCs w:val="24"/>
        </w:rPr>
      </w:pPr>
    </w:p>
    <w:p w:rsidRPr="005B667C" w:rsidR="00801D70" w:rsidP="4BA7214B" w:rsidRDefault="00801D70" w14:paraId="27079641" w14:textId="77777777">
      <w:pPr>
        <w:pStyle w:val="Res-Caption"/>
        <w:rPr>
          <w:rFonts w:ascii="Palatino Linotype" w:hAnsi="Palatino Linotype" w:eastAsia="Palatino Linotype"/>
          <w:sz w:val="24"/>
          <w:szCs w:val="24"/>
        </w:rPr>
      </w:pPr>
      <w:r w:rsidRPr="005B667C">
        <w:rPr>
          <w:rFonts w:ascii="Palatino Linotype" w:hAnsi="Palatino Linotype" w:eastAsia="Palatino Linotype"/>
          <w:sz w:val="24"/>
          <w:szCs w:val="24"/>
        </w:rPr>
        <w:t xml:space="preserve">ESTIMATED COST:  </w:t>
      </w:r>
    </w:p>
    <w:p w:rsidRPr="005B667C" w:rsidR="000C50E3" w:rsidP="00D758B6" w:rsidRDefault="003B28DC" w14:paraId="691C159A" w14:textId="77777777">
      <w:pPr>
        <w:pStyle w:val="Res-Caption"/>
        <w:numPr>
          <w:ilvl w:val="0"/>
          <w:numId w:val="9"/>
        </w:numPr>
        <w:rPr>
          <w:rFonts w:ascii="Palatino Linotype" w:hAnsi="Palatino Linotype"/>
          <w:sz w:val="24"/>
          <w:szCs w:val="24"/>
        </w:rPr>
      </w:pPr>
      <w:r w:rsidRPr="005B667C">
        <w:rPr>
          <w:rFonts w:ascii="Palatino Linotype" w:hAnsi="Palatino Linotype"/>
          <w:sz w:val="24"/>
          <w:szCs w:val="24"/>
        </w:rPr>
        <w:t xml:space="preserve">There are no </w:t>
      </w:r>
      <w:r w:rsidRPr="005B667C" w:rsidR="00D758B6">
        <w:rPr>
          <w:rFonts w:ascii="Palatino Linotype" w:hAnsi="Palatino Linotype"/>
          <w:sz w:val="24"/>
          <w:szCs w:val="24"/>
        </w:rPr>
        <w:t xml:space="preserve">additional </w:t>
      </w:r>
      <w:r w:rsidRPr="005B667C">
        <w:rPr>
          <w:rFonts w:ascii="Palatino Linotype" w:hAnsi="Palatino Linotype"/>
          <w:sz w:val="24"/>
          <w:szCs w:val="24"/>
        </w:rPr>
        <w:t>costs associated with this resolution.</w:t>
      </w:r>
    </w:p>
    <w:p w:rsidRPr="005B667C" w:rsidR="00CF17DE" w:rsidP="4BA7214B" w:rsidRDefault="00CF17DE" w14:paraId="7575948D" w14:textId="77777777">
      <w:pPr>
        <w:pStyle w:val="Res-Caption"/>
        <w:rPr>
          <w:rFonts w:ascii="Palatino Linotype" w:hAnsi="Palatino Linotype" w:eastAsia="Palatino Linotype"/>
          <w:sz w:val="24"/>
          <w:szCs w:val="24"/>
        </w:rPr>
      </w:pPr>
    </w:p>
    <w:p w:rsidRPr="005B667C" w:rsidR="00CF17DE" w:rsidP="4BA7214B" w:rsidRDefault="00CF17DE" w14:paraId="3AD0DCBC" w14:textId="12960A7E">
      <w:pPr>
        <w:pStyle w:val="Res-Caption"/>
        <w:rPr>
          <w:rFonts w:ascii="Palatino Linotype" w:hAnsi="Palatino Linotype" w:eastAsia="Palatino Linotype"/>
          <w:sz w:val="24"/>
          <w:szCs w:val="24"/>
        </w:rPr>
      </w:pPr>
      <w:r w:rsidRPr="005B667C">
        <w:rPr>
          <w:rFonts w:ascii="Palatino Linotype" w:hAnsi="Palatino Linotype" w:eastAsia="Palatino Linotype"/>
          <w:sz w:val="24"/>
          <w:szCs w:val="24"/>
        </w:rPr>
        <w:t xml:space="preserve">By Advice Letter </w:t>
      </w:r>
      <w:r w:rsidRPr="005B667C" w:rsidR="00D758B6">
        <w:rPr>
          <w:rFonts w:ascii="Palatino Linotype" w:hAnsi="Palatino Linotype" w:eastAsia="Palatino Linotype"/>
          <w:sz w:val="24"/>
          <w:szCs w:val="24"/>
        </w:rPr>
        <w:t>4</w:t>
      </w:r>
      <w:r w:rsidRPr="005B667C" w:rsidR="001D3642">
        <w:rPr>
          <w:rFonts w:ascii="Palatino Linotype" w:hAnsi="Palatino Linotype" w:eastAsia="Palatino Linotype"/>
          <w:sz w:val="24"/>
          <w:szCs w:val="24"/>
        </w:rPr>
        <w:t>182</w:t>
      </w:r>
      <w:r w:rsidRPr="005B667C" w:rsidR="44783017">
        <w:rPr>
          <w:rFonts w:ascii="Palatino Linotype" w:hAnsi="Palatino Linotype" w:eastAsia="Palatino Linotype"/>
          <w:sz w:val="24"/>
          <w:szCs w:val="24"/>
        </w:rPr>
        <w:t>-E, Filed on</w:t>
      </w:r>
      <w:r w:rsidRPr="005B667C" w:rsidR="001D3642">
        <w:rPr>
          <w:rFonts w:ascii="Palatino Linotype" w:hAnsi="Palatino Linotype" w:eastAsia="Palatino Linotype"/>
          <w:sz w:val="24"/>
          <w:szCs w:val="24"/>
        </w:rPr>
        <w:t xml:space="preserve"> March 22</w:t>
      </w:r>
      <w:r w:rsidRPr="005B667C" w:rsidR="00D758B6">
        <w:rPr>
          <w:rFonts w:ascii="Palatino Linotype" w:hAnsi="Palatino Linotype" w:eastAsia="Palatino Linotype"/>
          <w:sz w:val="24"/>
          <w:szCs w:val="24"/>
        </w:rPr>
        <w:t>, 202</w:t>
      </w:r>
      <w:r w:rsidRPr="005B667C" w:rsidR="001D3642">
        <w:rPr>
          <w:rFonts w:ascii="Palatino Linotype" w:hAnsi="Palatino Linotype" w:eastAsia="Palatino Linotype"/>
          <w:sz w:val="24"/>
          <w:szCs w:val="24"/>
        </w:rPr>
        <w:t>3</w:t>
      </w:r>
      <w:r w:rsidRPr="005B667C">
        <w:rPr>
          <w:rFonts w:ascii="Palatino Linotype" w:hAnsi="Palatino Linotype" w:eastAsia="Palatino Linotype"/>
          <w:sz w:val="24"/>
          <w:szCs w:val="24"/>
        </w:rPr>
        <w:t xml:space="preserve"> </w:t>
      </w:r>
    </w:p>
    <w:p w:rsidRPr="005B667C" w:rsidR="00CF17DE" w:rsidP="4BA7214B" w:rsidRDefault="00CF17DE" w14:paraId="79B0E758" w14:textId="77777777">
      <w:pPr>
        <w:jc w:val="center"/>
        <w:rPr>
          <w:rFonts w:ascii="Palatino Linotype" w:hAnsi="Palatino Linotype" w:eastAsia="Palatino Linotype"/>
          <w:sz w:val="24"/>
          <w:szCs w:val="24"/>
        </w:rPr>
      </w:pPr>
      <w:r w:rsidRPr="005B667C">
        <w:rPr>
          <w:rFonts w:ascii="Palatino Linotype" w:hAnsi="Palatino Linotype" w:eastAsia="Palatino Linotype"/>
          <w:sz w:val="24"/>
          <w:szCs w:val="24"/>
        </w:rPr>
        <w:t>__________________________________________________________</w:t>
      </w:r>
    </w:p>
    <w:p w:rsidRPr="005B667C" w:rsidR="00CF17DE" w:rsidP="4BA7214B" w:rsidRDefault="00CF17DE" w14:paraId="12A80D03" w14:textId="77777777">
      <w:pPr>
        <w:rPr>
          <w:rFonts w:ascii="Palatino Linotype" w:hAnsi="Palatino Linotype" w:eastAsia="Palatino Linotype"/>
          <w:b/>
          <w:sz w:val="24"/>
          <w:szCs w:val="24"/>
        </w:rPr>
      </w:pPr>
    </w:p>
    <w:p w:rsidRPr="005B667C" w:rsidR="00CF17DE" w:rsidP="4BA7214B" w:rsidRDefault="00CF17DE" w14:paraId="5407F13F" w14:textId="77777777">
      <w:pPr>
        <w:pStyle w:val="Heading1"/>
        <w:rPr>
          <w:rFonts w:ascii="Palatino Linotype" w:hAnsi="Palatino Linotype" w:eastAsia="Palatino Linotype"/>
          <w:sz w:val="24"/>
          <w:szCs w:val="24"/>
        </w:rPr>
      </w:pPr>
      <w:r w:rsidRPr="005B667C">
        <w:rPr>
          <w:rFonts w:ascii="Palatino Linotype" w:hAnsi="Palatino Linotype" w:eastAsia="Palatino Linotype"/>
          <w:sz w:val="24"/>
          <w:szCs w:val="24"/>
        </w:rPr>
        <w:t>Summary</w:t>
      </w:r>
      <w:bookmarkEnd w:id="0"/>
    </w:p>
    <w:p w:rsidRPr="005B667C" w:rsidR="00CF17DE" w:rsidP="4BA7214B" w:rsidRDefault="00CF17DE" w14:paraId="4FBEF0D3" w14:textId="7269CE2C">
      <w:pPr>
        <w:rPr>
          <w:rFonts w:ascii="Palatino Linotype" w:hAnsi="Palatino Linotype" w:eastAsia="Palatino Linotype"/>
          <w:sz w:val="24"/>
          <w:szCs w:val="24"/>
        </w:rPr>
      </w:pPr>
      <w:r w:rsidRPr="005B667C">
        <w:rPr>
          <w:rFonts w:ascii="Palatino Linotype" w:hAnsi="Palatino Linotype"/>
          <w:sz w:val="24"/>
          <w:szCs w:val="24"/>
        </w:rPr>
        <w:t>This Resolution</w:t>
      </w:r>
      <w:r w:rsidRPr="005B667C" w:rsidR="00BD7112">
        <w:rPr>
          <w:rFonts w:ascii="Palatino Linotype" w:hAnsi="Palatino Linotype"/>
          <w:sz w:val="24"/>
          <w:szCs w:val="24"/>
        </w:rPr>
        <w:t xml:space="preserve"> approves </w:t>
      </w:r>
      <w:r w:rsidRPr="005B667C" w:rsidR="00653B91">
        <w:rPr>
          <w:rFonts w:ascii="Palatino Linotype" w:hAnsi="Palatino Linotype"/>
          <w:sz w:val="24"/>
          <w:szCs w:val="24"/>
        </w:rPr>
        <w:t>San Diego Gas &amp; Electric’s</w:t>
      </w:r>
      <w:r w:rsidRPr="005B667C" w:rsidR="00BD7112">
        <w:rPr>
          <w:rFonts w:ascii="Palatino Linotype" w:hAnsi="Palatino Linotype"/>
          <w:sz w:val="24"/>
          <w:szCs w:val="24"/>
        </w:rPr>
        <w:t xml:space="preserve"> (S</w:t>
      </w:r>
      <w:r w:rsidRPr="005B667C" w:rsidR="00653B91">
        <w:rPr>
          <w:rFonts w:ascii="Palatino Linotype" w:hAnsi="Palatino Linotype"/>
          <w:sz w:val="24"/>
          <w:szCs w:val="24"/>
        </w:rPr>
        <w:t>DG&amp;E</w:t>
      </w:r>
      <w:r w:rsidRPr="005B667C" w:rsidR="00BD7112">
        <w:rPr>
          <w:rFonts w:ascii="Palatino Linotype" w:hAnsi="Palatino Linotype"/>
          <w:sz w:val="24"/>
          <w:szCs w:val="24"/>
        </w:rPr>
        <w:t xml:space="preserve">) request </w:t>
      </w:r>
      <w:r w:rsidRPr="005B667C" w:rsidR="00501065">
        <w:rPr>
          <w:rFonts w:ascii="Palatino Linotype" w:hAnsi="Palatino Linotype"/>
          <w:sz w:val="24"/>
          <w:szCs w:val="24"/>
        </w:rPr>
        <w:t xml:space="preserve">to count the utility-owned </w:t>
      </w:r>
      <w:r w:rsidRPr="005B667C" w:rsidR="00653B91">
        <w:rPr>
          <w:rFonts w:ascii="Palatino Linotype" w:hAnsi="Palatino Linotype"/>
          <w:sz w:val="24"/>
          <w:szCs w:val="24"/>
        </w:rPr>
        <w:t>Westside Canal Energy Storage Project</w:t>
      </w:r>
      <w:r w:rsidRPr="005B667C" w:rsidR="005D3951">
        <w:rPr>
          <w:rFonts w:ascii="Palatino Linotype" w:hAnsi="Palatino Linotype"/>
          <w:sz w:val="24"/>
          <w:szCs w:val="24"/>
        </w:rPr>
        <w:t xml:space="preserve"> (“Westside Canal”</w:t>
      </w:r>
      <w:r w:rsidRPr="005B667C" w:rsidR="0061202C">
        <w:rPr>
          <w:rFonts w:ascii="Palatino Linotype" w:hAnsi="Palatino Linotype"/>
          <w:sz w:val="24"/>
          <w:szCs w:val="24"/>
        </w:rPr>
        <w:t xml:space="preserve"> or “the Project”</w:t>
      </w:r>
      <w:r w:rsidRPr="005B667C" w:rsidR="005D3951">
        <w:rPr>
          <w:rFonts w:ascii="Palatino Linotype" w:hAnsi="Palatino Linotype"/>
          <w:sz w:val="24"/>
          <w:szCs w:val="24"/>
        </w:rPr>
        <w:t>)</w:t>
      </w:r>
      <w:r w:rsidRPr="005B667C" w:rsidR="00501065">
        <w:rPr>
          <w:rFonts w:ascii="Palatino Linotype" w:hAnsi="Palatino Linotype"/>
          <w:sz w:val="24"/>
          <w:szCs w:val="24"/>
        </w:rPr>
        <w:t xml:space="preserve"> towards its midterm reliability procurement requirements </w:t>
      </w:r>
      <w:r w:rsidRPr="005B667C" w:rsidR="00653B91">
        <w:rPr>
          <w:rFonts w:ascii="Palatino Linotype" w:hAnsi="Palatino Linotype"/>
          <w:sz w:val="24"/>
          <w:szCs w:val="24"/>
        </w:rPr>
        <w:t>pursuant to D</w:t>
      </w:r>
      <w:r w:rsidRPr="005B667C" w:rsidR="00EE1A8C">
        <w:rPr>
          <w:rFonts w:ascii="Palatino Linotype" w:hAnsi="Palatino Linotype"/>
          <w:sz w:val="24"/>
          <w:szCs w:val="24"/>
        </w:rPr>
        <w:t>ecision (D</w:t>
      </w:r>
      <w:r w:rsidRPr="005B667C" w:rsidR="00653B91">
        <w:rPr>
          <w:rFonts w:ascii="Palatino Linotype" w:hAnsi="Palatino Linotype"/>
          <w:sz w:val="24"/>
          <w:szCs w:val="24"/>
        </w:rPr>
        <w:t>.</w:t>
      </w:r>
      <w:r w:rsidRPr="005B667C" w:rsidR="00EE1A8C">
        <w:rPr>
          <w:rFonts w:ascii="Palatino Linotype" w:hAnsi="Palatino Linotype"/>
          <w:sz w:val="24"/>
          <w:szCs w:val="24"/>
        </w:rPr>
        <w:t xml:space="preserve">) </w:t>
      </w:r>
      <w:r w:rsidRPr="005B667C" w:rsidR="00653B91">
        <w:rPr>
          <w:rFonts w:ascii="Palatino Linotype" w:hAnsi="Palatino Linotype"/>
          <w:sz w:val="24"/>
          <w:szCs w:val="24"/>
        </w:rPr>
        <w:t xml:space="preserve">21-06-035 </w:t>
      </w:r>
      <w:r w:rsidRPr="005B667C" w:rsidR="00501065">
        <w:rPr>
          <w:rFonts w:ascii="Palatino Linotype" w:hAnsi="Palatino Linotype"/>
          <w:sz w:val="24"/>
          <w:szCs w:val="24"/>
        </w:rPr>
        <w:t xml:space="preserve">and modify the </w:t>
      </w:r>
      <w:r w:rsidRPr="005B667C" w:rsidR="009C103A">
        <w:rPr>
          <w:rFonts w:ascii="Palatino Linotype" w:hAnsi="Palatino Linotype"/>
          <w:sz w:val="24"/>
          <w:szCs w:val="24"/>
        </w:rPr>
        <w:t xml:space="preserve">project’s </w:t>
      </w:r>
      <w:r w:rsidRPr="005B667C" w:rsidR="00501065">
        <w:rPr>
          <w:rFonts w:ascii="Palatino Linotype" w:hAnsi="Palatino Linotype"/>
          <w:sz w:val="24"/>
          <w:szCs w:val="24"/>
        </w:rPr>
        <w:t xml:space="preserve">cost recovery mechanism. The </w:t>
      </w:r>
      <w:r w:rsidRPr="005B667C" w:rsidR="002258F4">
        <w:rPr>
          <w:rFonts w:ascii="Palatino Linotype" w:hAnsi="Palatino Linotype"/>
          <w:sz w:val="24"/>
          <w:szCs w:val="24"/>
        </w:rPr>
        <w:t>P</w:t>
      </w:r>
      <w:r w:rsidRPr="005B667C" w:rsidR="00501065">
        <w:rPr>
          <w:rFonts w:ascii="Palatino Linotype" w:hAnsi="Palatino Linotype"/>
          <w:sz w:val="24"/>
          <w:szCs w:val="24"/>
        </w:rPr>
        <w:t>roject was originally procured to meet summer reliability procurement targets</w:t>
      </w:r>
      <w:r w:rsidRPr="005B667C" w:rsidR="00653B91">
        <w:rPr>
          <w:rFonts w:ascii="Palatino Linotype" w:hAnsi="Palatino Linotype"/>
          <w:sz w:val="24"/>
          <w:szCs w:val="24"/>
        </w:rPr>
        <w:t xml:space="preserve"> pursuant to D.21-12-015</w:t>
      </w:r>
      <w:r w:rsidRPr="005B667C" w:rsidR="00501065">
        <w:rPr>
          <w:rFonts w:ascii="Palatino Linotype" w:hAnsi="Palatino Linotype"/>
          <w:sz w:val="24"/>
          <w:szCs w:val="24"/>
        </w:rPr>
        <w:t>.</w:t>
      </w:r>
    </w:p>
    <w:p w:rsidRPr="005B667C" w:rsidR="00CF17DE" w:rsidP="4BA7214B" w:rsidRDefault="00CF17DE" w14:paraId="6B29C0EA" w14:textId="77777777">
      <w:pPr>
        <w:rPr>
          <w:rFonts w:ascii="Palatino Linotype" w:hAnsi="Palatino Linotype" w:eastAsia="Palatino Linotype"/>
          <w:sz w:val="24"/>
          <w:szCs w:val="24"/>
        </w:rPr>
      </w:pPr>
    </w:p>
    <w:p w:rsidRPr="005B667C" w:rsidR="00CF17DE" w:rsidP="4BA7214B" w:rsidRDefault="00CF17DE" w14:paraId="3BDAD149" w14:textId="77777777">
      <w:pPr>
        <w:pStyle w:val="Heading1"/>
        <w:rPr>
          <w:rFonts w:ascii="Palatino Linotype" w:hAnsi="Palatino Linotype" w:eastAsia="Palatino Linotype"/>
          <w:sz w:val="24"/>
          <w:szCs w:val="24"/>
        </w:rPr>
      </w:pPr>
      <w:r w:rsidRPr="005B667C">
        <w:rPr>
          <w:rFonts w:ascii="Palatino Linotype" w:hAnsi="Palatino Linotype" w:eastAsia="Palatino Linotype"/>
          <w:sz w:val="24"/>
          <w:szCs w:val="24"/>
        </w:rPr>
        <w:lastRenderedPageBreak/>
        <w:t>Background</w:t>
      </w:r>
    </w:p>
    <w:p w:rsidRPr="005B667C" w:rsidR="00CD53B8" w:rsidP="00BD7112" w:rsidRDefault="00EE1A8C" w14:paraId="10E0C42B" w14:textId="1E0B2E14">
      <w:pPr>
        <w:rPr>
          <w:rFonts w:ascii="Palatino Linotype" w:hAnsi="Palatino Linotype"/>
          <w:sz w:val="24"/>
          <w:szCs w:val="24"/>
        </w:rPr>
      </w:pPr>
      <w:r w:rsidRPr="005B667C">
        <w:rPr>
          <w:rFonts w:ascii="Palatino Linotype" w:hAnsi="Palatino Linotype"/>
          <w:sz w:val="24"/>
          <w:szCs w:val="24"/>
        </w:rPr>
        <w:t>Since 2019, t</w:t>
      </w:r>
      <w:r w:rsidRPr="005B667C" w:rsidR="00CD53B8">
        <w:rPr>
          <w:rFonts w:ascii="Palatino Linotype" w:hAnsi="Palatino Linotype"/>
          <w:sz w:val="24"/>
          <w:szCs w:val="24"/>
        </w:rPr>
        <w:t xml:space="preserve">he Commission has issued several </w:t>
      </w:r>
      <w:r w:rsidRPr="005B667C" w:rsidR="009D3C9E">
        <w:rPr>
          <w:rFonts w:ascii="Palatino Linotype" w:hAnsi="Palatino Linotype"/>
          <w:sz w:val="24"/>
          <w:szCs w:val="24"/>
        </w:rPr>
        <w:t xml:space="preserve">large </w:t>
      </w:r>
      <w:r w:rsidRPr="005B667C" w:rsidR="00CD53B8">
        <w:rPr>
          <w:rFonts w:ascii="Palatino Linotype" w:hAnsi="Palatino Linotype"/>
          <w:sz w:val="24"/>
          <w:szCs w:val="24"/>
        </w:rPr>
        <w:t>procurement orders under its Integrated Resource Planning (IRP) authority</w:t>
      </w:r>
      <w:r w:rsidRPr="005B667C">
        <w:rPr>
          <w:rFonts w:ascii="Palatino Linotype" w:hAnsi="Palatino Linotype"/>
          <w:sz w:val="24"/>
          <w:szCs w:val="24"/>
        </w:rPr>
        <w:t>.</w:t>
      </w:r>
      <w:r w:rsidRPr="005B667C" w:rsidR="00187D90">
        <w:rPr>
          <w:rFonts w:ascii="Palatino Linotype" w:hAnsi="Palatino Linotype"/>
          <w:sz w:val="24"/>
          <w:szCs w:val="24"/>
        </w:rPr>
        <w:t xml:space="preserve"> In D.19-11-016, the Commission </w:t>
      </w:r>
      <w:r w:rsidRPr="005B667C" w:rsidR="00991E27">
        <w:rPr>
          <w:rFonts w:ascii="Palatino Linotype" w:hAnsi="Palatino Linotype"/>
          <w:sz w:val="24"/>
          <w:szCs w:val="24"/>
        </w:rPr>
        <w:t xml:space="preserve">directed load-serving entities (LSEs) under its jurisdiction to procure a total of at least 3,300 MW of system resource adequacy (RA) capacity, with at least 50 percent online by </w:t>
      </w:r>
      <w:r w:rsidR="00993CBB">
        <w:rPr>
          <w:rFonts w:ascii="Palatino Linotype" w:hAnsi="Palatino Linotype"/>
          <w:sz w:val="24"/>
          <w:szCs w:val="24"/>
        </w:rPr>
        <w:br/>
      </w:r>
      <w:r w:rsidRPr="005B667C" w:rsidR="00991E27">
        <w:rPr>
          <w:rFonts w:ascii="Palatino Linotype" w:hAnsi="Palatino Linotype"/>
          <w:sz w:val="24"/>
          <w:szCs w:val="24"/>
        </w:rPr>
        <w:t>August 1, 2021; 75 percent online by August 1, 2022; and 100 percent online by August 1, 2023</w:t>
      </w:r>
      <w:r w:rsidRPr="005B667C" w:rsidR="004B3200">
        <w:rPr>
          <w:rFonts w:ascii="Palatino Linotype" w:hAnsi="Palatino Linotype"/>
          <w:sz w:val="24"/>
          <w:szCs w:val="24"/>
        </w:rPr>
        <w:t>,</w:t>
      </w:r>
      <w:r w:rsidRPr="005B667C" w:rsidR="0098093D">
        <w:rPr>
          <w:rFonts w:ascii="Palatino Linotype" w:hAnsi="Palatino Linotype"/>
          <w:sz w:val="24"/>
          <w:szCs w:val="24"/>
        </w:rPr>
        <w:t xml:space="preserve"> </w:t>
      </w:r>
      <w:r w:rsidRPr="005B667C" w:rsidR="008235C8">
        <w:rPr>
          <w:rFonts w:ascii="Palatino Linotype" w:hAnsi="Palatino Linotype"/>
          <w:sz w:val="24"/>
          <w:szCs w:val="24"/>
        </w:rPr>
        <w:t>for near-term reliability purposes</w:t>
      </w:r>
      <w:r w:rsidRPr="005B667C" w:rsidR="00991E27">
        <w:rPr>
          <w:rFonts w:ascii="Palatino Linotype" w:hAnsi="Palatino Linotype"/>
          <w:sz w:val="24"/>
          <w:szCs w:val="24"/>
        </w:rPr>
        <w:t>.</w:t>
      </w:r>
      <w:r w:rsidRPr="005B667C" w:rsidR="009D3C9E">
        <w:rPr>
          <w:rFonts w:ascii="Palatino Linotype" w:hAnsi="Palatino Linotype"/>
          <w:sz w:val="24"/>
          <w:szCs w:val="24"/>
        </w:rPr>
        <w:t xml:space="preserve"> The Commission later adopted D.21-06-035 (“MTR Decision</w:t>
      </w:r>
      <w:r w:rsidRPr="005B667C" w:rsidR="003C3871">
        <w:rPr>
          <w:rFonts w:ascii="Palatino Linotype" w:hAnsi="Palatino Linotype"/>
          <w:sz w:val="24"/>
          <w:szCs w:val="24"/>
        </w:rPr>
        <w:t>”</w:t>
      </w:r>
      <w:r w:rsidRPr="005B667C" w:rsidR="009D3C9E">
        <w:rPr>
          <w:rFonts w:ascii="Palatino Linotype" w:hAnsi="Palatino Linotype"/>
          <w:sz w:val="24"/>
          <w:szCs w:val="24"/>
        </w:rPr>
        <w:t xml:space="preserve">) requiring LSEs to procure an additional 11,500 MW of September net qualifying capacity (NQC), with at least 2,000 MW by August 1, 2023; an additional 6,000 MW by June 1, 2024; an additional 1,500 MW by June 1, 2025; and an additional 2,000 MW of long lead time resources by June 1, 2026, for midterm reliability </w:t>
      </w:r>
      <w:r w:rsidRPr="005B667C" w:rsidR="003E4BF8">
        <w:rPr>
          <w:rFonts w:ascii="Palatino Linotype" w:hAnsi="Palatino Linotype"/>
          <w:sz w:val="24"/>
          <w:szCs w:val="24"/>
        </w:rPr>
        <w:t xml:space="preserve">(“MTR”) </w:t>
      </w:r>
      <w:r w:rsidRPr="005B667C" w:rsidR="009D3C9E">
        <w:rPr>
          <w:rFonts w:ascii="Palatino Linotype" w:hAnsi="Palatino Linotype"/>
          <w:sz w:val="24"/>
          <w:szCs w:val="24"/>
        </w:rPr>
        <w:t xml:space="preserve">purposes. </w:t>
      </w:r>
      <w:r w:rsidRPr="005B667C" w:rsidR="0098093D">
        <w:rPr>
          <w:rFonts w:ascii="Palatino Linotype" w:hAnsi="Palatino Linotype"/>
          <w:sz w:val="24"/>
          <w:szCs w:val="24"/>
        </w:rPr>
        <w:t xml:space="preserve"> </w:t>
      </w:r>
      <w:r w:rsidRPr="005B667C" w:rsidR="00991E27">
        <w:rPr>
          <w:rFonts w:ascii="Palatino Linotype" w:hAnsi="Palatino Linotype"/>
          <w:sz w:val="24"/>
          <w:szCs w:val="24"/>
        </w:rPr>
        <w:t xml:space="preserve"> </w:t>
      </w:r>
      <w:r w:rsidRPr="005B667C" w:rsidR="00187D90">
        <w:rPr>
          <w:rFonts w:ascii="Palatino Linotype" w:hAnsi="Palatino Linotype"/>
          <w:sz w:val="24"/>
          <w:szCs w:val="24"/>
        </w:rPr>
        <w:t xml:space="preserve"> </w:t>
      </w:r>
      <w:r w:rsidRPr="005B667C" w:rsidR="00CD53B8">
        <w:rPr>
          <w:rFonts w:ascii="Palatino Linotype" w:hAnsi="Palatino Linotype"/>
          <w:sz w:val="24"/>
          <w:szCs w:val="24"/>
        </w:rPr>
        <w:t xml:space="preserve"> </w:t>
      </w:r>
    </w:p>
    <w:p w:rsidRPr="005B667C" w:rsidR="00AB72EE" w:rsidP="00BD7112" w:rsidRDefault="00AB72EE" w14:paraId="2045FC87" w14:textId="77777777">
      <w:pPr>
        <w:rPr>
          <w:rFonts w:ascii="Palatino Linotype" w:hAnsi="Palatino Linotype"/>
          <w:sz w:val="24"/>
          <w:szCs w:val="24"/>
        </w:rPr>
      </w:pPr>
    </w:p>
    <w:p w:rsidRPr="005B667C" w:rsidR="00653B91" w:rsidP="00BD7112" w:rsidRDefault="00AB72EE" w14:paraId="7A67B54C" w14:textId="537EF906">
      <w:pPr>
        <w:rPr>
          <w:rFonts w:ascii="Palatino Linotype" w:hAnsi="Palatino Linotype"/>
          <w:sz w:val="24"/>
          <w:szCs w:val="24"/>
        </w:rPr>
      </w:pPr>
      <w:r w:rsidRPr="005B667C">
        <w:rPr>
          <w:rFonts w:ascii="Palatino Linotype" w:hAnsi="Palatino Linotype"/>
          <w:sz w:val="24"/>
          <w:szCs w:val="24"/>
        </w:rPr>
        <w:t xml:space="preserve">Pursuant to the MTR Decision, </w:t>
      </w:r>
      <w:r w:rsidRPr="005B667C" w:rsidR="005D3951">
        <w:rPr>
          <w:rFonts w:ascii="Palatino Linotype" w:hAnsi="Palatino Linotype"/>
          <w:sz w:val="24"/>
          <w:szCs w:val="24"/>
        </w:rPr>
        <w:t>SDG&amp;E’s share of th</w:t>
      </w:r>
      <w:r w:rsidRPr="005B667C">
        <w:rPr>
          <w:rFonts w:ascii="Palatino Linotype" w:hAnsi="Palatino Linotype"/>
          <w:sz w:val="24"/>
          <w:szCs w:val="24"/>
        </w:rPr>
        <w:t xml:space="preserve">is </w:t>
      </w:r>
      <w:r w:rsidRPr="005B667C" w:rsidR="005D3951">
        <w:rPr>
          <w:rFonts w:ascii="Palatino Linotype" w:hAnsi="Palatino Linotype"/>
          <w:sz w:val="24"/>
          <w:szCs w:val="24"/>
        </w:rPr>
        <w:t xml:space="preserve">procurement requirement </w:t>
      </w:r>
      <w:r w:rsidRPr="005B667C">
        <w:rPr>
          <w:rFonts w:ascii="Palatino Linotype" w:hAnsi="Palatino Linotype"/>
          <w:sz w:val="24"/>
          <w:szCs w:val="24"/>
        </w:rPr>
        <w:t>wa</w:t>
      </w:r>
      <w:r w:rsidRPr="005B667C" w:rsidR="005D3951">
        <w:rPr>
          <w:rFonts w:ascii="Palatino Linotype" w:hAnsi="Palatino Linotype"/>
          <w:sz w:val="24"/>
          <w:szCs w:val="24"/>
        </w:rPr>
        <w:t xml:space="preserve">s </w:t>
      </w:r>
      <w:r w:rsidR="00993CBB">
        <w:rPr>
          <w:rFonts w:ascii="Palatino Linotype" w:hAnsi="Palatino Linotype"/>
          <w:sz w:val="24"/>
          <w:szCs w:val="24"/>
        </w:rPr>
        <w:br/>
      </w:r>
      <w:r w:rsidRPr="005B667C">
        <w:rPr>
          <w:rFonts w:ascii="Palatino Linotype" w:hAnsi="Palatino Linotype"/>
          <w:sz w:val="24"/>
          <w:szCs w:val="24"/>
        </w:rPr>
        <w:t>63</w:t>
      </w:r>
      <w:r w:rsidRPr="005B667C" w:rsidR="005D3951">
        <w:rPr>
          <w:rFonts w:ascii="Palatino Linotype" w:hAnsi="Palatino Linotype"/>
          <w:sz w:val="24"/>
          <w:szCs w:val="24"/>
        </w:rPr>
        <w:t xml:space="preserve"> MW online by August 1, 2023; </w:t>
      </w:r>
      <w:r w:rsidRPr="005B667C" w:rsidR="00412DC0">
        <w:rPr>
          <w:rFonts w:ascii="Palatino Linotype" w:hAnsi="Palatino Linotype"/>
          <w:sz w:val="24"/>
          <w:szCs w:val="24"/>
        </w:rPr>
        <w:t>188</w:t>
      </w:r>
      <w:r w:rsidRPr="005B667C" w:rsidR="005D3951">
        <w:rPr>
          <w:rFonts w:ascii="Palatino Linotype" w:hAnsi="Palatino Linotype"/>
          <w:sz w:val="24"/>
          <w:szCs w:val="24"/>
        </w:rPr>
        <w:t xml:space="preserve"> MW online by June 1, 2024; </w:t>
      </w:r>
      <w:r w:rsidRPr="005B667C" w:rsidR="00412DC0">
        <w:rPr>
          <w:rFonts w:ascii="Palatino Linotype" w:hAnsi="Palatino Linotype"/>
          <w:sz w:val="24"/>
          <w:szCs w:val="24"/>
        </w:rPr>
        <w:t>47</w:t>
      </w:r>
      <w:r w:rsidRPr="005B667C" w:rsidR="005D3951">
        <w:rPr>
          <w:rFonts w:ascii="Palatino Linotype" w:hAnsi="Palatino Linotype"/>
          <w:sz w:val="24"/>
          <w:szCs w:val="24"/>
        </w:rPr>
        <w:t xml:space="preserve"> MW online by </w:t>
      </w:r>
      <w:r w:rsidR="00993CBB">
        <w:rPr>
          <w:rFonts w:ascii="Palatino Linotype" w:hAnsi="Palatino Linotype"/>
          <w:sz w:val="24"/>
          <w:szCs w:val="24"/>
        </w:rPr>
        <w:br/>
      </w:r>
      <w:r w:rsidRPr="005B667C" w:rsidR="005D3951">
        <w:rPr>
          <w:rFonts w:ascii="Palatino Linotype" w:hAnsi="Palatino Linotype"/>
          <w:sz w:val="24"/>
          <w:szCs w:val="24"/>
        </w:rPr>
        <w:t xml:space="preserve">June 1, 2025; and </w:t>
      </w:r>
      <w:r w:rsidRPr="005B667C" w:rsidR="00412DC0">
        <w:rPr>
          <w:rFonts w:ascii="Palatino Linotype" w:hAnsi="Palatino Linotype"/>
          <w:sz w:val="24"/>
          <w:szCs w:val="24"/>
        </w:rPr>
        <w:t>63</w:t>
      </w:r>
      <w:r w:rsidRPr="005B667C" w:rsidR="005D3951">
        <w:rPr>
          <w:rFonts w:ascii="Palatino Linotype" w:hAnsi="Palatino Linotype"/>
          <w:sz w:val="24"/>
          <w:szCs w:val="24"/>
        </w:rPr>
        <w:t xml:space="preserve"> MW of long lead time resources by 2026.</w:t>
      </w:r>
      <w:r w:rsidRPr="005B667C">
        <w:rPr>
          <w:rFonts w:ascii="Palatino Linotype" w:hAnsi="Palatino Linotype"/>
          <w:sz w:val="24"/>
          <w:szCs w:val="24"/>
        </w:rPr>
        <w:t xml:space="preserve"> In March 2022, SDG&amp;E </w:t>
      </w:r>
      <w:r w:rsidRPr="005B667C" w:rsidR="00412DC0">
        <w:rPr>
          <w:rFonts w:ascii="Palatino Linotype" w:hAnsi="Palatino Linotype"/>
          <w:sz w:val="24"/>
          <w:szCs w:val="24"/>
        </w:rPr>
        <w:t xml:space="preserve">filed Tier 2 </w:t>
      </w:r>
      <w:r w:rsidRPr="005B667C" w:rsidR="001E1165">
        <w:rPr>
          <w:rFonts w:ascii="Palatino Linotype" w:hAnsi="Palatino Linotype"/>
          <w:sz w:val="24"/>
          <w:szCs w:val="24"/>
        </w:rPr>
        <w:t>Advice Letter (</w:t>
      </w:r>
      <w:r w:rsidRPr="005B667C">
        <w:rPr>
          <w:rFonts w:ascii="Palatino Linotype" w:hAnsi="Palatino Linotype"/>
          <w:sz w:val="24"/>
          <w:szCs w:val="24"/>
        </w:rPr>
        <w:t>AL</w:t>
      </w:r>
      <w:r w:rsidRPr="005B667C" w:rsidR="001E1165">
        <w:rPr>
          <w:rFonts w:ascii="Palatino Linotype" w:hAnsi="Palatino Linotype"/>
          <w:sz w:val="24"/>
          <w:szCs w:val="24"/>
        </w:rPr>
        <w:t>)</w:t>
      </w:r>
      <w:r w:rsidRPr="005B667C">
        <w:rPr>
          <w:rFonts w:ascii="Palatino Linotype" w:hAnsi="Palatino Linotype"/>
          <w:sz w:val="24"/>
          <w:szCs w:val="24"/>
        </w:rPr>
        <w:t xml:space="preserve"> 3967-E </w:t>
      </w:r>
      <w:r w:rsidRPr="005B667C" w:rsidR="00412DC0">
        <w:rPr>
          <w:rFonts w:ascii="Palatino Linotype" w:hAnsi="Palatino Linotype"/>
          <w:sz w:val="24"/>
          <w:szCs w:val="24"/>
        </w:rPr>
        <w:t xml:space="preserve">with the Commission, </w:t>
      </w:r>
      <w:r w:rsidRPr="005B667C">
        <w:rPr>
          <w:rFonts w:ascii="Palatino Linotype" w:hAnsi="Palatino Linotype"/>
          <w:sz w:val="24"/>
          <w:szCs w:val="24"/>
        </w:rPr>
        <w:t xml:space="preserve">requesting to adjust its MTR capacity requirements </w:t>
      </w:r>
      <w:r w:rsidRPr="005B667C" w:rsidR="00412DC0">
        <w:rPr>
          <w:rFonts w:ascii="Palatino Linotype" w:hAnsi="Palatino Linotype"/>
          <w:sz w:val="24"/>
          <w:szCs w:val="24"/>
        </w:rPr>
        <w:t>to reflect mutually agreed-upon reallocations with San Diego Community Power (SDCP), a community choice aggregator in SDG&amp;E’s service territory. AL 3967-E was accepted by the Commission’s Energy Division in June 2022, setting SDG&amp;E’s current share of the procurement requirement as 82.7 MW online by August 1, 2023; 247.6 MW online by June 1, 2024; 62.3 MW online by June 1, 2025; and 82.7 MW of long lead time resources by 2026.</w:t>
      </w:r>
    </w:p>
    <w:p w:rsidRPr="005B667C" w:rsidR="005D3951" w:rsidP="00BD7112" w:rsidRDefault="005D3951" w14:paraId="2E672816" w14:textId="77777777">
      <w:pPr>
        <w:rPr>
          <w:rFonts w:ascii="Palatino Linotype" w:hAnsi="Palatino Linotype"/>
          <w:sz w:val="24"/>
          <w:szCs w:val="24"/>
        </w:rPr>
      </w:pPr>
    </w:p>
    <w:p w:rsidRPr="005B667C" w:rsidR="00D61F9D" w:rsidP="00D61F9D" w:rsidRDefault="00D61F9D" w14:paraId="7EF9BBFE" w14:textId="49244D85">
      <w:pPr>
        <w:rPr>
          <w:rFonts w:ascii="Palatino Linotype" w:hAnsi="Palatino Linotype"/>
          <w:sz w:val="24"/>
          <w:szCs w:val="24"/>
        </w:rPr>
      </w:pPr>
      <w:r w:rsidRPr="005B667C">
        <w:rPr>
          <w:rFonts w:ascii="Palatino Linotype" w:hAnsi="Palatino Linotype"/>
          <w:sz w:val="24"/>
          <w:szCs w:val="24"/>
        </w:rPr>
        <w:t>In December 2021, the Commission in D.21-12-015 (“</w:t>
      </w:r>
      <w:r w:rsidRPr="005B667C" w:rsidR="00E758E6">
        <w:rPr>
          <w:rFonts w:ascii="Palatino Linotype" w:hAnsi="Palatino Linotype"/>
          <w:sz w:val="24"/>
          <w:szCs w:val="24"/>
        </w:rPr>
        <w:t>Summer Reliability</w:t>
      </w:r>
      <w:r w:rsidRPr="005B667C">
        <w:rPr>
          <w:rFonts w:ascii="Palatino Linotype" w:hAnsi="Palatino Linotype"/>
          <w:sz w:val="24"/>
          <w:szCs w:val="24"/>
        </w:rPr>
        <w:t xml:space="preserve"> Decision”) adopted several supply and demand-side requirements to ensure there is adequate electric power in the event of extreme weather during the time of greatest need in the summers of 2022 and 2023. Among other things, the Commission directed the </w:t>
      </w:r>
      <w:r w:rsidR="00993CBB">
        <w:rPr>
          <w:rFonts w:ascii="Palatino Linotype" w:hAnsi="Palatino Linotype"/>
          <w:sz w:val="24"/>
          <w:szCs w:val="24"/>
        </w:rPr>
        <w:br/>
      </w:r>
      <w:r w:rsidRPr="005B667C">
        <w:rPr>
          <w:rFonts w:ascii="Palatino Linotype" w:hAnsi="Palatino Linotype"/>
          <w:sz w:val="24"/>
          <w:szCs w:val="24"/>
        </w:rPr>
        <w:t xml:space="preserve">investor-owned utilities (IOUs) to use their best efforts to meet a revised emergency reliability targeted procurement range of 2,000 MW to 3,000 MW for the summers of 2022 and 2023, resulting in an “effective” planning reserve margin of 20 to 22.5 percent. SDG&amp;E’s share of this </w:t>
      </w:r>
      <w:r w:rsidRPr="005B667C" w:rsidR="00E758E6">
        <w:rPr>
          <w:rFonts w:ascii="Palatino Linotype" w:hAnsi="Palatino Linotype"/>
          <w:sz w:val="24"/>
          <w:szCs w:val="24"/>
        </w:rPr>
        <w:t xml:space="preserve">summer </w:t>
      </w:r>
      <w:r w:rsidRPr="005B667C">
        <w:rPr>
          <w:rFonts w:ascii="Palatino Linotype" w:hAnsi="Palatino Linotype"/>
          <w:sz w:val="24"/>
          <w:szCs w:val="24"/>
        </w:rPr>
        <w:t>reliability targeted procurement is 200 to 300 MW.</w:t>
      </w:r>
      <w:r w:rsidRPr="005B667C">
        <w:rPr>
          <w:rStyle w:val="FootnoteReference"/>
          <w:rFonts w:ascii="Palatino Linotype" w:hAnsi="Palatino Linotype"/>
          <w:sz w:val="24"/>
          <w:szCs w:val="24"/>
        </w:rPr>
        <w:footnoteReference w:id="2"/>
      </w:r>
      <w:r w:rsidRPr="005B667C">
        <w:rPr>
          <w:rFonts w:ascii="Palatino Linotype" w:hAnsi="Palatino Linotype"/>
          <w:sz w:val="24"/>
          <w:szCs w:val="24"/>
        </w:rPr>
        <w:t xml:space="preserve"> </w:t>
      </w:r>
    </w:p>
    <w:p w:rsidRPr="005B667C" w:rsidR="00D61F9D" w:rsidP="00D61F9D" w:rsidRDefault="00D61F9D" w14:paraId="4DADEFE4" w14:textId="77777777">
      <w:pPr>
        <w:rPr>
          <w:rFonts w:ascii="Palatino Linotype" w:hAnsi="Palatino Linotype"/>
          <w:sz w:val="24"/>
          <w:szCs w:val="24"/>
        </w:rPr>
      </w:pPr>
    </w:p>
    <w:p w:rsidRPr="005B667C" w:rsidR="00D61F9D" w:rsidP="00D61F9D" w:rsidRDefault="00D61F9D" w14:paraId="24D8D7F8" w14:textId="7F39E344">
      <w:pPr>
        <w:rPr>
          <w:rFonts w:ascii="Palatino Linotype" w:hAnsi="Palatino Linotype"/>
          <w:sz w:val="24"/>
          <w:szCs w:val="24"/>
        </w:rPr>
      </w:pPr>
      <w:r w:rsidRPr="005B667C">
        <w:rPr>
          <w:rFonts w:ascii="Palatino Linotype" w:hAnsi="Palatino Linotype" w:eastAsia="Palatino Linotype"/>
          <w:sz w:val="24"/>
          <w:szCs w:val="24"/>
        </w:rPr>
        <w:t xml:space="preserve">The </w:t>
      </w:r>
      <w:r w:rsidRPr="005B667C" w:rsidR="00E758E6">
        <w:rPr>
          <w:rFonts w:ascii="Palatino Linotype" w:hAnsi="Palatino Linotype" w:eastAsia="Palatino Linotype"/>
          <w:sz w:val="24"/>
          <w:szCs w:val="24"/>
        </w:rPr>
        <w:t xml:space="preserve">Summer </w:t>
      </w:r>
      <w:r w:rsidRPr="005B667C">
        <w:rPr>
          <w:rFonts w:ascii="Palatino Linotype" w:hAnsi="Palatino Linotype" w:eastAsia="Palatino Linotype"/>
          <w:sz w:val="24"/>
          <w:szCs w:val="24"/>
        </w:rPr>
        <w:t xml:space="preserve">Reliability Decision established specific requirements for the procurement of additional supply resources to ensure adequate electric power in the event of extreme </w:t>
      </w:r>
      <w:r w:rsidRPr="005B667C">
        <w:rPr>
          <w:rFonts w:ascii="Palatino Linotype" w:hAnsi="Palatino Linotype" w:eastAsia="Palatino Linotype"/>
          <w:sz w:val="24"/>
          <w:szCs w:val="24"/>
        </w:rPr>
        <w:lastRenderedPageBreak/>
        <w:t xml:space="preserve">weather conditions during the summers of 2022 and 2023. Specifically, the </w:t>
      </w:r>
      <w:r w:rsidRPr="005B667C" w:rsidR="00E758E6">
        <w:rPr>
          <w:rFonts w:ascii="Palatino Linotype" w:hAnsi="Palatino Linotype" w:eastAsia="Palatino Linotype"/>
          <w:sz w:val="24"/>
          <w:szCs w:val="24"/>
        </w:rPr>
        <w:t xml:space="preserve">Summer </w:t>
      </w:r>
      <w:r w:rsidRPr="005B667C">
        <w:rPr>
          <w:rFonts w:ascii="Palatino Linotype" w:hAnsi="Palatino Linotype" w:eastAsia="Palatino Linotype"/>
          <w:sz w:val="24"/>
          <w:szCs w:val="24"/>
        </w:rPr>
        <w:t>Reliability Decision stated:</w:t>
      </w:r>
      <w:r w:rsidRPr="005B667C">
        <w:rPr>
          <w:rStyle w:val="FootnoteReference"/>
          <w:rFonts w:ascii="Palatino Linotype" w:hAnsi="Palatino Linotype" w:eastAsia="Palatino Linotype"/>
          <w:sz w:val="24"/>
          <w:szCs w:val="24"/>
        </w:rPr>
        <w:footnoteReference w:id="3"/>
      </w:r>
    </w:p>
    <w:p w:rsidRPr="005B667C" w:rsidR="00D61F9D" w:rsidP="00D61F9D" w:rsidRDefault="00D61F9D" w14:paraId="2DE20C47" w14:textId="77777777">
      <w:pPr>
        <w:rPr>
          <w:rFonts w:ascii="Palatino Linotype" w:hAnsi="Palatino Linotype"/>
          <w:sz w:val="24"/>
          <w:szCs w:val="24"/>
        </w:rPr>
      </w:pPr>
    </w:p>
    <w:p w:rsidRPr="005B667C" w:rsidR="00D61F9D" w:rsidP="00D61F9D" w:rsidRDefault="00D61F9D" w14:paraId="53FDC8B3" w14:textId="77777777">
      <w:pPr>
        <w:pStyle w:val="ListParagraph"/>
        <w:numPr>
          <w:ilvl w:val="0"/>
          <w:numId w:val="9"/>
        </w:numPr>
        <w:rPr>
          <w:rFonts w:ascii="Palatino Linotype" w:hAnsi="Palatino Linotype" w:eastAsia="Palatino Linotype"/>
          <w:sz w:val="24"/>
          <w:szCs w:val="24"/>
        </w:rPr>
      </w:pPr>
      <w:r w:rsidRPr="005B667C">
        <w:rPr>
          <w:rFonts w:ascii="Palatino Linotype" w:hAnsi="Palatino Linotype" w:eastAsia="Palatino Linotype"/>
          <w:sz w:val="24"/>
          <w:szCs w:val="24"/>
        </w:rPr>
        <w:t>Resources must be available during both the peak and net peak demand periods.</w:t>
      </w:r>
    </w:p>
    <w:p w:rsidRPr="005B667C" w:rsidR="00D61F9D" w:rsidP="00D61F9D" w:rsidRDefault="00D61F9D" w14:paraId="4A094AC0" w14:textId="3E394228">
      <w:pPr>
        <w:pStyle w:val="ListParagraph"/>
        <w:numPr>
          <w:ilvl w:val="0"/>
          <w:numId w:val="9"/>
        </w:numPr>
        <w:rPr>
          <w:rFonts w:ascii="Palatino Linotype" w:hAnsi="Palatino Linotype" w:eastAsia="Palatino Linotype"/>
          <w:sz w:val="24"/>
          <w:szCs w:val="24"/>
        </w:rPr>
      </w:pPr>
      <w:r w:rsidRPr="005B667C">
        <w:rPr>
          <w:rFonts w:ascii="Palatino Linotype" w:hAnsi="Palatino Linotype" w:eastAsia="Palatino Linotype"/>
          <w:sz w:val="24"/>
          <w:szCs w:val="24"/>
        </w:rPr>
        <w:t>Commercial Online Dates (COD) by June 1, 2022, are preferred but resources with CODs by August 1, 2023, will be considered.</w:t>
      </w:r>
    </w:p>
    <w:p w:rsidRPr="005B667C" w:rsidR="00D61F9D" w:rsidP="00D61F9D" w:rsidRDefault="00D61F9D" w14:paraId="3C128DCE" w14:textId="541317B1">
      <w:pPr>
        <w:pStyle w:val="ListParagraph"/>
        <w:numPr>
          <w:ilvl w:val="0"/>
          <w:numId w:val="9"/>
        </w:numPr>
        <w:rPr>
          <w:rFonts w:ascii="Palatino Linotype" w:hAnsi="Palatino Linotype" w:eastAsia="Palatino Linotype"/>
          <w:sz w:val="24"/>
          <w:szCs w:val="24"/>
        </w:rPr>
      </w:pPr>
      <w:r w:rsidRPr="005B667C">
        <w:rPr>
          <w:rFonts w:ascii="Palatino Linotype" w:hAnsi="Palatino Linotype" w:eastAsia="Palatino Linotype"/>
          <w:sz w:val="24"/>
          <w:szCs w:val="24"/>
        </w:rPr>
        <w:t xml:space="preserve">New resources that have not yet reached full capacity deliverability status </w:t>
      </w:r>
      <w:r w:rsidRPr="005B667C" w:rsidR="003E4BF8">
        <w:rPr>
          <w:rFonts w:ascii="Palatino Linotype" w:hAnsi="Palatino Linotype" w:eastAsia="Palatino Linotype"/>
          <w:sz w:val="24"/>
          <w:szCs w:val="24"/>
        </w:rPr>
        <w:t xml:space="preserve">(FCDS) </w:t>
      </w:r>
      <w:r w:rsidRPr="005B667C">
        <w:rPr>
          <w:rFonts w:ascii="Palatino Linotype" w:hAnsi="Palatino Linotype" w:eastAsia="Palatino Linotype"/>
          <w:sz w:val="24"/>
          <w:szCs w:val="24"/>
        </w:rPr>
        <w:t>but are capable of providing energy/grid reliability benefits during the peak and net-peak periods will also be considered.</w:t>
      </w:r>
    </w:p>
    <w:p w:rsidRPr="005B667C" w:rsidR="0000778F" w:rsidP="00D61F9D" w:rsidRDefault="00D61F9D" w14:paraId="27D01B86" w14:textId="1EF8CE4C">
      <w:pPr>
        <w:pStyle w:val="ListParagraph"/>
        <w:numPr>
          <w:ilvl w:val="0"/>
          <w:numId w:val="9"/>
        </w:numPr>
        <w:rPr>
          <w:rFonts w:ascii="Palatino Linotype" w:hAnsi="Palatino Linotype" w:eastAsia="Palatino Linotype"/>
          <w:sz w:val="24"/>
          <w:szCs w:val="24"/>
        </w:rPr>
      </w:pPr>
      <w:r w:rsidRPr="005B667C">
        <w:rPr>
          <w:rFonts w:ascii="Palatino Linotype" w:hAnsi="Palatino Linotype" w:eastAsia="Palatino Linotype"/>
          <w:sz w:val="24"/>
          <w:szCs w:val="24"/>
        </w:rPr>
        <w:t>Potential resources may include utility-owned storage</w:t>
      </w:r>
      <w:r w:rsidRPr="005B667C" w:rsidR="00AB050C">
        <w:rPr>
          <w:rFonts w:ascii="Palatino Linotype" w:hAnsi="Palatino Linotype" w:eastAsia="Palatino Linotype"/>
          <w:sz w:val="24"/>
          <w:szCs w:val="24"/>
        </w:rPr>
        <w:t xml:space="preserve"> (UOS)</w:t>
      </w:r>
      <w:r w:rsidRPr="005B667C">
        <w:rPr>
          <w:rFonts w:ascii="Palatino Linotype" w:hAnsi="Palatino Linotype" w:eastAsia="Palatino Linotype"/>
          <w:sz w:val="24"/>
          <w:szCs w:val="24"/>
        </w:rPr>
        <w:t>, with Commission consideration of such projects through a Tier 2 AL.</w:t>
      </w:r>
    </w:p>
    <w:p w:rsidRPr="005B667C" w:rsidR="004744AA" w:rsidP="00BD7112" w:rsidRDefault="0000778F" w14:paraId="33FB6380" w14:textId="1ECAA197">
      <w:pPr>
        <w:rPr>
          <w:rFonts w:ascii="Palatino Linotype" w:hAnsi="Palatino Linotype"/>
          <w:sz w:val="24"/>
          <w:szCs w:val="24"/>
        </w:rPr>
      </w:pPr>
      <w:r w:rsidRPr="005B667C">
        <w:rPr>
          <w:rFonts w:ascii="Palatino Linotype" w:hAnsi="Palatino Linotype"/>
          <w:sz w:val="24"/>
          <w:szCs w:val="24"/>
        </w:rPr>
        <w:t xml:space="preserve"> </w:t>
      </w:r>
    </w:p>
    <w:p w:rsidRPr="005B667C" w:rsidR="007C39A7" w:rsidP="00BD7112" w:rsidRDefault="007C39A7" w14:paraId="5B541449" w14:textId="13F2899B">
      <w:pPr>
        <w:rPr>
          <w:rFonts w:ascii="Palatino Linotype" w:hAnsi="Palatino Linotype"/>
          <w:sz w:val="24"/>
          <w:szCs w:val="24"/>
        </w:rPr>
      </w:pPr>
      <w:r w:rsidRPr="005B667C">
        <w:rPr>
          <w:rFonts w:ascii="Palatino Linotype" w:hAnsi="Palatino Linotype"/>
          <w:sz w:val="24"/>
          <w:szCs w:val="24"/>
        </w:rPr>
        <w:t xml:space="preserve">The Westside Canal </w:t>
      </w:r>
      <w:r w:rsidRPr="005B667C" w:rsidR="00B11468">
        <w:rPr>
          <w:rFonts w:ascii="Palatino Linotype" w:hAnsi="Palatino Linotype"/>
          <w:sz w:val="24"/>
          <w:szCs w:val="24"/>
        </w:rPr>
        <w:t>P</w:t>
      </w:r>
      <w:r w:rsidRPr="005B667C">
        <w:rPr>
          <w:rFonts w:ascii="Palatino Linotype" w:hAnsi="Palatino Linotype"/>
          <w:sz w:val="24"/>
          <w:szCs w:val="24"/>
        </w:rPr>
        <w:t>roject is a 131 MW</w:t>
      </w:r>
      <w:r w:rsidRPr="005B667C" w:rsidR="009908D1">
        <w:rPr>
          <w:rFonts w:ascii="Palatino Linotype" w:hAnsi="Palatino Linotype"/>
          <w:sz w:val="24"/>
          <w:szCs w:val="24"/>
        </w:rPr>
        <w:t xml:space="preserve"> </w:t>
      </w:r>
      <w:r w:rsidRPr="005B667C">
        <w:rPr>
          <w:rFonts w:ascii="Palatino Linotype" w:hAnsi="Palatino Linotype"/>
          <w:sz w:val="24"/>
          <w:szCs w:val="24"/>
        </w:rPr>
        <w:t>/</w:t>
      </w:r>
      <w:r w:rsidRPr="005B667C" w:rsidR="009908D1">
        <w:rPr>
          <w:rFonts w:ascii="Palatino Linotype" w:hAnsi="Palatino Linotype"/>
          <w:sz w:val="24"/>
          <w:szCs w:val="24"/>
        </w:rPr>
        <w:t xml:space="preserve"> </w:t>
      </w:r>
      <w:r w:rsidRPr="005B667C">
        <w:rPr>
          <w:rFonts w:ascii="Palatino Linotype" w:hAnsi="Palatino Linotype"/>
          <w:sz w:val="24"/>
          <w:szCs w:val="24"/>
        </w:rPr>
        <w:t xml:space="preserve">524 MWh UOS project </w:t>
      </w:r>
      <w:r w:rsidRPr="005B667C" w:rsidR="00447C01">
        <w:rPr>
          <w:rFonts w:ascii="Palatino Linotype" w:hAnsi="Palatino Linotype"/>
          <w:sz w:val="24"/>
          <w:szCs w:val="24"/>
        </w:rPr>
        <w:t>that loops into the Campo Verde-Imperial Irrigation District gen-tie line and transmission interconnect (230 kV) to SDG&amp;E’s Imperial Valley Substation</w:t>
      </w:r>
      <w:r w:rsidRPr="005B667C">
        <w:rPr>
          <w:rFonts w:ascii="Palatino Linotype" w:hAnsi="Palatino Linotype"/>
          <w:sz w:val="24"/>
          <w:szCs w:val="24"/>
        </w:rPr>
        <w:t>.</w:t>
      </w:r>
      <w:r w:rsidRPr="005B667C" w:rsidR="006B12BC">
        <w:rPr>
          <w:rFonts w:ascii="Palatino Linotype" w:hAnsi="Palatino Linotype"/>
          <w:sz w:val="24"/>
          <w:szCs w:val="24"/>
        </w:rPr>
        <w:t xml:space="preserve"> </w:t>
      </w:r>
      <w:r w:rsidRPr="005B667C">
        <w:rPr>
          <w:rFonts w:ascii="Palatino Linotype" w:hAnsi="Palatino Linotype"/>
          <w:sz w:val="24"/>
          <w:szCs w:val="24"/>
        </w:rPr>
        <w:t xml:space="preserve">The Project is under a Build, Own, and Transfer (BOT) agreement with Consolidated Edison Development, Inc. </w:t>
      </w:r>
    </w:p>
    <w:p w:rsidRPr="005B667C" w:rsidR="007C39A7" w:rsidP="00BD7112" w:rsidRDefault="007C39A7" w14:paraId="308DD98F" w14:textId="77777777">
      <w:pPr>
        <w:rPr>
          <w:rFonts w:ascii="Palatino Linotype" w:hAnsi="Palatino Linotype"/>
          <w:sz w:val="24"/>
          <w:szCs w:val="24"/>
        </w:rPr>
      </w:pPr>
    </w:p>
    <w:p w:rsidRPr="005B667C" w:rsidR="00033A24" w:rsidP="00033A24" w:rsidRDefault="00B11468" w14:paraId="19B88017" w14:textId="4DA4B61A">
      <w:pPr>
        <w:rPr>
          <w:rFonts w:ascii="Palatino Linotype" w:hAnsi="Palatino Linotype"/>
          <w:sz w:val="24"/>
          <w:szCs w:val="24"/>
        </w:rPr>
      </w:pPr>
      <w:r w:rsidRPr="005B667C">
        <w:rPr>
          <w:rFonts w:ascii="Palatino Linotype" w:hAnsi="Palatino Linotype"/>
          <w:sz w:val="24"/>
          <w:szCs w:val="24"/>
        </w:rPr>
        <w:t xml:space="preserve">The Project was originally bid into SDG&amp;E’s Electric &amp; Fuel Procurement (E&amp;FP) </w:t>
      </w:r>
      <w:r w:rsidR="00993CBB">
        <w:rPr>
          <w:rFonts w:ascii="Palatino Linotype" w:hAnsi="Palatino Linotype"/>
          <w:sz w:val="24"/>
          <w:szCs w:val="24"/>
        </w:rPr>
        <w:br/>
      </w:r>
      <w:r w:rsidRPr="005B667C">
        <w:rPr>
          <w:rFonts w:ascii="Palatino Linotype" w:hAnsi="Palatino Linotype"/>
          <w:sz w:val="24"/>
          <w:szCs w:val="24"/>
        </w:rPr>
        <w:t>2021-2023 IRP Reliability Solicitation and shortlisted in May 2020</w:t>
      </w:r>
      <w:r w:rsidRPr="005B667C" w:rsidR="00E54EE5">
        <w:rPr>
          <w:rFonts w:ascii="Palatino Linotype" w:hAnsi="Palatino Linotype"/>
          <w:sz w:val="24"/>
          <w:szCs w:val="24"/>
        </w:rPr>
        <w:t>;</w:t>
      </w:r>
      <w:r w:rsidRPr="005B667C">
        <w:rPr>
          <w:rFonts w:ascii="Palatino Linotype" w:hAnsi="Palatino Linotype"/>
          <w:sz w:val="24"/>
          <w:szCs w:val="24"/>
        </w:rPr>
        <w:t xml:space="preserve"> Westside Canal’s shortlisted position was withdrawn from the solicitation due to its inability to acquire the necessary FCDS in time to meet the relevant online date of August 1, 2021. The project was </w:t>
      </w:r>
      <w:r w:rsidRPr="005B667C" w:rsidR="0056116D">
        <w:rPr>
          <w:rFonts w:ascii="Palatino Linotype" w:hAnsi="Palatino Linotype"/>
          <w:sz w:val="24"/>
          <w:szCs w:val="24"/>
        </w:rPr>
        <w:t xml:space="preserve">subsequently </w:t>
      </w:r>
      <w:r w:rsidRPr="005B667C">
        <w:rPr>
          <w:rFonts w:ascii="Palatino Linotype" w:hAnsi="Palatino Linotype"/>
          <w:sz w:val="24"/>
          <w:szCs w:val="24"/>
        </w:rPr>
        <w:t xml:space="preserve">resubmitted with revised pricing and online dates into SDG&amp;E’s E&amp;FP 2022-2023 IRP </w:t>
      </w:r>
      <w:r w:rsidRPr="005B667C" w:rsidR="0059078E">
        <w:rPr>
          <w:rFonts w:ascii="Palatino Linotype" w:hAnsi="Palatino Linotype"/>
          <w:sz w:val="24"/>
          <w:szCs w:val="24"/>
        </w:rPr>
        <w:t>Request for Offers (</w:t>
      </w:r>
      <w:r w:rsidRPr="005B667C">
        <w:rPr>
          <w:rFonts w:ascii="Palatino Linotype" w:hAnsi="Palatino Linotype"/>
          <w:sz w:val="24"/>
          <w:szCs w:val="24"/>
        </w:rPr>
        <w:t>RFO</w:t>
      </w:r>
      <w:r w:rsidRPr="005B667C" w:rsidR="0059078E">
        <w:rPr>
          <w:rFonts w:ascii="Palatino Linotype" w:hAnsi="Palatino Linotype"/>
          <w:sz w:val="24"/>
          <w:szCs w:val="24"/>
        </w:rPr>
        <w:t>)</w:t>
      </w:r>
      <w:r w:rsidRPr="005B667C" w:rsidR="00447C01">
        <w:rPr>
          <w:rFonts w:ascii="Palatino Linotype" w:hAnsi="Palatino Linotype"/>
          <w:sz w:val="24"/>
          <w:szCs w:val="24"/>
        </w:rPr>
        <w:t>. However, i</w:t>
      </w:r>
      <w:r w:rsidRPr="005B667C" w:rsidR="00033A24">
        <w:rPr>
          <w:rFonts w:ascii="Palatino Linotype" w:hAnsi="Palatino Linotype"/>
          <w:sz w:val="24"/>
          <w:szCs w:val="24"/>
        </w:rPr>
        <w:t xml:space="preserve">n order to maintain the project development schedule for Westside Canal necessary to achieve COD within the timeframe established in the </w:t>
      </w:r>
      <w:r w:rsidRPr="005B667C" w:rsidR="00E758E6">
        <w:rPr>
          <w:rFonts w:ascii="Palatino Linotype" w:hAnsi="Palatino Linotype"/>
          <w:sz w:val="24"/>
          <w:szCs w:val="24"/>
        </w:rPr>
        <w:t xml:space="preserve">Summer </w:t>
      </w:r>
      <w:r w:rsidRPr="005B667C" w:rsidR="00033A24">
        <w:rPr>
          <w:rFonts w:ascii="Palatino Linotype" w:hAnsi="Palatino Linotype"/>
          <w:sz w:val="24"/>
          <w:szCs w:val="24"/>
        </w:rPr>
        <w:t xml:space="preserve">Reliability Decision, Commission approval was required at an earlier date than SDG&amp;E’s E&amp;FP 2022-2023 RFO process allowed. Thus, SDG&amp;E moved forward with a bilateral approach, as permitted in the </w:t>
      </w:r>
      <w:r w:rsidRPr="005B667C" w:rsidR="00E758E6">
        <w:rPr>
          <w:rFonts w:ascii="Palatino Linotype" w:hAnsi="Palatino Linotype"/>
          <w:sz w:val="24"/>
          <w:szCs w:val="24"/>
        </w:rPr>
        <w:t xml:space="preserve">Summer </w:t>
      </w:r>
      <w:r w:rsidRPr="005B667C" w:rsidR="00033A24">
        <w:rPr>
          <w:rFonts w:ascii="Palatino Linotype" w:hAnsi="Palatino Linotype"/>
          <w:sz w:val="24"/>
          <w:szCs w:val="24"/>
        </w:rPr>
        <w:t>Reliability Decision, rather than seeking project approval through the E&amp;FP 2022-2023 solicitation process.</w:t>
      </w:r>
      <w:r w:rsidRPr="005B667C" w:rsidR="00033A24">
        <w:rPr>
          <w:rStyle w:val="FootnoteReference"/>
          <w:rFonts w:ascii="Palatino Linotype" w:hAnsi="Palatino Linotype"/>
          <w:sz w:val="24"/>
          <w:szCs w:val="24"/>
        </w:rPr>
        <w:footnoteReference w:id="4"/>
      </w:r>
      <w:r w:rsidRPr="005B667C" w:rsidR="00033A24">
        <w:rPr>
          <w:rFonts w:ascii="Palatino Linotype" w:hAnsi="Palatino Linotype"/>
          <w:sz w:val="24"/>
          <w:szCs w:val="24"/>
        </w:rPr>
        <w:t xml:space="preserve">  </w:t>
      </w:r>
    </w:p>
    <w:p w:rsidRPr="005B667C" w:rsidR="00033A24" w:rsidP="00033A24" w:rsidRDefault="00033A24" w14:paraId="5616ADA9" w14:textId="77777777">
      <w:pPr>
        <w:rPr>
          <w:rFonts w:ascii="Palatino Linotype" w:hAnsi="Palatino Linotype"/>
          <w:sz w:val="24"/>
          <w:szCs w:val="24"/>
        </w:rPr>
      </w:pPr>
    </w:p>
    <w:p w:rsidRPr="005B667C" w:rsidR="00033A24" w:rsidP="00033A24" w:rsidRDefault="00033A24" w14:paraId="0ABCA23A" w14:textId="622E5912">
      <w:pPr>
        <w:rPr>
          <w:rFonts w:ascii="Palatino Linotype" w:hAnsi="Palatino Linotype"/>
          <w:sz w:val="24"/>
          <w:szCs w:val="24"/>
        </w:rPr>
      </w:pPr>
      <w:r w:rsidRPr="005B667C">
        <w:rPr>
          <w:rFonts w:ascii="Palatino Linotype" w:hAnsi="Palatino Linotype"/>
          <w:sz w:val="24"/>
          <w:szCs w:val="24"/>
        </w:rPr>
        <w:t xml:space="preserve">In December 2021, SDG&amp;E filed Tier 2 AL 3913-E requesting approval of three contracts for UOS resources and related costs to meet its share of the </w:t>
      </w:r>
      <w:r w:rsidRPr="005B667C" w:rsidR="00E758E6">
        <w:rPr>
          <w:rFonts w:ascii="Palatino Linotype" w:hAnsi="Palatino Linotype"/>
          <w:sz w:val="24"/>
          <w:szCs w:val="24"/>
        </w:rPr>
        <w:t>summer</w:t>
      </w:r>
      <w:r w:rsidRPr="005B667C" w:rsidR="00DD5BEA">
        <w:rPr>
          <w:rFonts w:ascii="Palatino Linotype" w:hAnsi="Palatino Linotype"/>
          <w:sz w:val="24"/>
          <w:szCs w:val="24"/>
        </w:rPr>
        <w:t xml:space="preserve"> reliability </w:t>
      </w:r>
      <w:r w:rsidRPr="005B667C">
        <w:rPr>
          <w:rFonts w:ascii="Palatino Linotype" w:hAnsi="Palatino Linotype"/>
          <w:sz w:val="24"/>
          <w:szCs w:val="24"/>
        </w:rPr>
        <w:t>procurement target, including Westside Canal. In February 2022, the Commission approved the Westside Canal contract</w:t>
      </w:r>
      <w:r w:rsidRPr="005B667C" w:rsidR="00DD5BEA">
        <w:rPr>
          <w:rFonts w:ascii="Palatino Linotype" w:hAnsi="Palatino Linotype"/>
          <w:sz w:val="24"/>
          <w:szCs w:val="24"/>
        </w:rPr>
        <w:t xml:space="preserve"> and its total estimated costs</w:t>
      </w:r>
      <w:r w:rsidRPr="005B667C">
        <w:rPr>
          <w:rFonts w:ascii="Palatino Linotype" w:hAnsi="Palatino Linotype"/>
          <w:sz w:val="24"/>
          <w:szCs w:val="24"/>
        </w:rPr>
        <w:t xml:space="preserve"> in Resolution E-5193</w:t>
      </w:r>
      <w:r w:rsidRPr="005B667C" w:rsidR="00DD5BEA">
        <w:rPr>
          <w:rFonts w:ascii="Palatino Linotype" w:hAnsi="Palatino Linotype"/>
          <w:sz w:val="24"/>
          <w:szCs w:val="24"/>
        </w:rPr>
        <w:t>.</w:t>
      </w:r>
    </w:p>
    <w:p w:rsidRPr="005B667C" w:rsidR="00033A24" w:rsidP="00BD7112" w:rsidRDefault="00033A24" w14:paraId="30FDF54E" w14:textId="77777777">
      <w:pPr>
        <w:rPr>
          <w:rFonts w:ascii="Palatino Linotype" w:hAnsi="Palatino Linotype"/>
          <w:sz w:val="24"/>
          <w:szCs w:val="24"/>
        </w:rPr>
      </w:pPr>
    </w:p>
    <w:p w:rsidRPr="005B667C" w:rsidR="006964C0" w:rsidP="006964C0" w:rsidRDefault="006964C0" w14:paraId="1828ABFB" w14:textId="4C7C2FE5">
      <w:pPr>
        <w:rPr>
          <w:rFonts w:ascii="Palatino Linotype" w:hAnsi="Palatino Linotype"/>
          <w:sz w:val="24"/>
          <w:szCs w:val="24"/>
        </w:rPr>
      </w:pPr>
      <w:r w:rsidRPr="005B667C">
        <w:rPr>
          <w:rFonts w:ascii="Palatino Linotype" w:hAnsi="Palatino Linotype"/>
          <w:sz w:val="24"/>
          <w:szCs w:val="24"/>
        </w:rPr>
        <w:lastRenderedPageBreak/>
        <w:t xml:space="preserve">SDG&amp;E filed AL 4182-E, the subject of this </w:t>
      </w:r>
      <w:r w:rsidRPr="005B667C" w:rsidR="00A5194A">
        <w:rPr>
          <w:rFonts w:ascii="Palatino Linotype" w:hAnsi="Palatino Linotype"/>
          <w:sz w:val="24"/>
          <w:szCs w:val="24"/>
        </w:rPr>
        <w:t>r</w:t>
      </w:r>
      <w:r w:rsidRPr="005B667C">
        <w:rPr>
          <w:rFonts w:ascii="Palatino Linotype" w:hAnsi="Palatino Linotype"/>
          <w:sz w:val="24"/>
          <w:szCs w:val="24"/>
        </w:rPr>
        <w:t xml:space="preserve">esolution, on March 22, 2023. </w:t>
      </w:r>
      <w:r w:rsidRPr="005B667C" w:rsidR="00900FCF">
        <w:rPr>
          <w:rFonts w:ascii="Palatino Linotype" w:hAnsi="Palatino Linotype"/>
          <w:sz w:val="24"/>
          <w:szCs w:val="24"/>
        </w:rPr>
        <w:t xml:space="preserve">SDG&amp;E additionally filed a substitute letter for AL 4182-E on April 14, 2023, in order to correct an </w:t>
      </w:r>
      <w:r w:rsidRPr="005B667C" w:rsidR="00126288">
        <w:rPr>
          <w:rFonts w:ascii="Palatino Linotype" w:hAnsi="Palatino Linotype"/>
          <w:sz w:val="24"/>
          <w:szCs w:val="24"/>
        </w:rPr>
        <w:t xml:space="preserve">erroneous </w:t>
      </w:r>
      <w:r w:rsidRPr="005B667C" w:rsidR="00900FCF">
        <w:rPr>
          <w:rFonts w:ascii="Palatino Linotype" w:hAnsi="Palatino Linotype"/>
          <w:sz w:val="24"/>
          <w:szCs w:val="24"/>
        </w:rPr>
        <w:t xml:space="preserve">reference to a Commission decision. </w:t>
      </w:r>
      <w:r w:rsidRPr="005B667C">
        <w:rPr>
          <w:rFonts w:ascii="Palatino Linotype" w:hAnsi="Palatino Linotype"/>
          <w:sz w:val="24"/>
          <w:szCs w:val="24"/>
        </w:rPr>
        <w:t xml:space="preserve">In AL 4182-E, SDG&amp;E states that it has shortfalls of approximately 64 MW and 84 MW for its 2023 and 2024 MTR compliance obligations, respectively. To address this shortfall, SDG&amp;E requests that </w:t>
      </w:r>
      <w:r w:rsidR="00993CBB">
        <w:rPr>
          <w:rFonts w:ascii="Palatino Linotype" w:hAnsi="Palatino Linotype"/>
          <w:sz w:val="24"/>
          <w:szCs w:val="24"/>
        </w:rPr>
        <w:br/>
      </w:r>
      <w:r w:rsidRPr="005B667C">
        <w:rPr>
          <w:rFonts w:ascii="Palatino Linotype" w:hAnsi="Palatino Linotype"/>
          <w:sz w:val="24"/>
          <w:szCs w:val="24"/>
        </w:rPr>
        <w:t>the Commission find that:</w:t>
      </w:r>
    </w:p>
    <w:p w:rsidRPr="005B667C" w:rsidR="006964C0" w:rsidP="006964C0" w:rsidRDefault="006964C0" w14:paraId="6B5A7F3E" w14:textId="77777777">
      <w:pPr>
        <w:pStyle w:val="ListParagraph"/>
        <w:ind w:left="1440"/>
        <w:rPr>
          <w:rFonts w:ascii="Palatino Linotype" w:hAnsi="Palatino Linotype"/>
          <w:sz w:val="24"/>
          <w:szCs w:val="24"/>
        </w:rPr>
      </w:pPr>
    </w:p>
    <w:p w:rsidRPr="005B667C" w:rsidR="006964C0" w:rsidP="006964C0" w:rsidRDefault="006964C0" w14:paraId="6171283F" w14:textId="77777777">
      <w:pPr>
        <w:pStyle w:val="ListParagraph"/>
        <w:numPr>
          <w:ilvl w:val="0"/>
          <w:numId w:val="9"/>
        </w:numPr>
        <w:rPr>
          <w:rFonts w:ascii="Palatino Linotype" w:hAnsi="Palatino Linotype"/>
          <w:sz w:val="24"/>
          <w:szCs w:val="24"/>
        </w:rPr>
      </w:pPr>
      <w:r w:rsidRPr="005B667C">
        <w:rPr>
          <w:rFonts w:ascii="Palatino Linotype" w:hAnsi="Palatino Linotype"/>
          <w:sz w:val="24"/>
          <w:szCs w:val="24"/>
        </w:rPr>
        <w:t>SDG&amp;E is authorized to claim Westside Canal Energy Storage Project towards compliance for capacity requirements under D.21-06-035, and</w:t>
      </w:r>
    </w:p>
    <w:p w:rsidRPr="005B667C" w:rsidR="00AB050C" w:rsidP="006964C0" w:rsidRDefault="006964C0" w14:paraId="1DDA3F5B" w14:textId="5D3BFD4C">
      <w:pPr>
        <w:pStyle w:val="ListParagraph"/>
        <w:numPr>
          <w:ilvl w:val="0"/>
          <w:numId w:val="9"/>
        </w:numPr>
        <w:rPr>
          <w:rFonts w:ascii="Palatino Linotype" w:hAnsi="Palatino Linotype"/>
          <w:sz w:val="24"/>
          <w:szCs w:val="24"/>
        </w:rPr>
      </w:pPr>
      <w:r w:rsidRPr="005B667C">
        <w:rPr>
          <w:rFonts w:ascii="Palatino Linotype" w:hAnsi="Palatino Linotype"/>
          <w:sz w:val="24"/>
          <w:szCs w:val="24"/>
        </w:rPr>
        <w:t>SDG&amp;E is authorized to recover all costs associated with the Project in rates as described, subject to its prudent administration of the agreements.</w:t>
      </w:r>
    </w:p>
    <w:p w:rsidRPr="005B667C" w:rsidR="00AF55DC" w:rsidP="00AF55DC" w:rsidRDefault="00AF55DC" w14:paraId="4DA6A24D" w14:textId="77777777">
      <w:pPr>
        <w:rPr>
          <w:rFonts w:ascii="Palatino Linotype" w:hAnsi="Palatino Linotype"/>
          <w:sz w:val="24"/>
          <w:szCs w:val="24"/>
        </w:rPr>
      </w:pPr>
    </w:p>
    <w:p w:rsidRPr="005B667C" w:rsidR="005D233C" w:rsidP="00AF55DC" w:rsidRDefault="005D233C" w14:paraId="1625E871" w14:textId="53463D94">
      <w:pPr>
        <w:rPr>
          <w:rFonts w:ascii="Palatino Linotype" w:hAnsi="Palatino Linotype"/>
          <w:sz w:val="24"/>
          <w:szCs w:val="24"/>
        </w:rPr>
      </w:pPr>
      <w:r w:rsidRPr="005B667C">
        <w:rPr>
          <w:rFonts w:ascii="Palatino Linotype" w:hAnsi="Palatino Linotype"/>
          <w:sz w:val="24"/>
          <w:szCs w:val="24"/>
        </w:rPr>
        <w:t xml:space="preserve">The </w:t>
      </w:r>
      <w:r w:rsidRPr="005B667C" w:rsidR="00E758E6">
        <w:rPr>
          <w:rFonts w:ascii="Palatino Linotype" w:hAnsi="Palatino Linotype"/>
          <w:sz w:val="24"/>
          <w:szCs w:val="24"/>
        </w:rPr>
        <w:t xml:space="preserve">Summer </w:t>
      </w:r>
      <w:r w:rsidRPr="005B667C">
        <w:rPr>
          <w:rFonts w:ascii="Palatino Linotype" w:hAnsi="Palatino Linotype"/>
          <w:sz w:val="24"/>
          <w:szCs w:val="24"/>
        </w:rPr>
        <w:t>Reliability Decision allows an IOU to use UOS resources procured for 2022 and/or 2023 summer reliability to meet its individual MTR requirements assuming the resource otherwise meets MTR requirements and the IOU charges only bundled customers for the post-2023 cost of the resources.</w:t>
      </w:r>
      <w:r w:rsidRPr="005B667C">
        <w:rPr>
          <w:rStyle w:val="FootnoteReference"/>
          <w:rFonts w:ascii="Palatino Linotype" w:hAnsi="Palatino Linotype"/>
          <w:sz w:val="24"/>
          <w:szCs w:val="24"/>
        </w:rPr>
        <w:footnoteReference w:id="5"/>
      </w:r>
      <w:r w:rsidRPr="005B667C">
        <w:rPr>
          <w:rFonts w:ascii="Palatino Linotype" w:hAnsi="Palatino Linotype"/>
          <w:sz w:val="24"/>
          <w:szCs w:val="24"/>
        </w:rPr>
        <w:t xml:space="preserve"> SDG&amp;E states that the Project meets MTR eligibility requirements because it: 1) is new in-front-of-the-meter energy storage; 2) will obtain a September 2023 NQC; and 3) is a resource that has a contract term at </w:t>
      </w:r>
      <w:r w:rsidR="00993CBB">
        <w:rPr>
          <w:rFonts w:ascii="Palatino Linotype" w:hAnsi="Palatino Linotype"/>
          <w:sz w:val="24"/>
          <w:szCs w:val="24"/>
        </w:rPr>
        <w:br/>
      </w:r>
      <w:r w:rsidRPr="005B667C">
        <w:rPr>
          <w:rFonts w:ascii="Palatino Linotype" w:hAnsi="Palatino Linotype"/>
          <w:sz w:val="24"/>
          <w:szCs w:val="24"/>
        </w:rPr>
        <w:t>a minimum of 10 years.</w:t>
      </w:r>
    </w:p>
    <w:p w:rsidRPr="005B667C" w:rsidR="005D233C" w:rsidP="00AF55DC" w:rsidRDefault="005D233C" w14:paraId="56D8E23A" w14:textId="77777777">
      <w:pPr>
        <w:rPr>
          <w:rFonts w:ascii="Palatino Linotype" w:hAnsi="Palatino Linotype"/>
          <w:sz w:val="24"/>
          <w:szCs w:val="24"/>
        </w:rPr>
      </w:pPr>
    </w:p>
    <w:p w:rsidRPr="005B667C" w:rsidR="00993121" w:rsidP="00AF55DC" w:rsidRDefault="00AF55DC" w14:paraId="3C8E97A6" w14:textId="3CDD1F2A">
      <w:pPr>
        <w:rPr>
          <w:rFonts w:ascii="Palatino Linotype" w:hAnsi="Palatino Linotype"/>
          <w:sz w:val="24"/>
          <w:szCs w:val="24"/>
        </w:rPr>
      </w:pPr>
      <w:r w:rsidRPr="005B667C">
        <w:rPr>
          <w:rFonts w:ascii="Palatino Linotype" w:hAnsi="Palatino Linotype"/>
          <w:sz w:val="24"/>
          <w:szCs w:val="24"/>
        </w:rPr>
        <w:t xml:space="preserve">SDG&amp;E states that from the Project’s online date until August 1, 2023, Westside </w:t>
      </w:r>
      <w:r w:rsidR="00993CBB">
        <w:rPr>
          <w:rFonts w:ascii="Palatino Linotype" w:hAnsi="Palatino Linotype"/>
          <w:sz w:val="24"/>
          <w:szCs w:val="24"/>
        </w:rPr>
        <w:br/>
      </w:r>
      <w:r w:rsidRPr="005B667C">
        <w:rPr>
          <w:rFonts w:ascii="Palatino Linotype" w:hAnsi="Palatino Linotype"/>
          <w:sz w:val="24"/>
          <w:szCs w:val="24"/>
        </w:rPr>
        <w:t xml:space="preserve">Canal’s capacity would continue to count toward </w:t>
      </w:r>
      <w:r w:rsidRPr="005B667C" w:rsidR="004B3200">
        <w:rPr>
          <w:rFonts w:ascii="Palatino Linotype" w:hAnsi="Palatino Linotype"/>
          <w:sz w:val="24"/>
          <w:szCs w:val="24"/>
        </w:rPr>
        <w:t xml:space="preserve">the </w:t>
      </w:r>
      <w:r w:rsidRPr="005B667C" w:rsidR="00E758E6">
        <w:rPr>
          <w:rFonts w:ascii="Palatino Linotype" w:hAnsi="Palatino Linotype"/>
          <w:sz w:val="24"/>
          <w:szCs w:val="24"/>
        </w:rPr>
        <w:t>S</w:t>
      </w:r>
      <w:r w:rsidRPr="005B667C" w:rsidR="004B3200">
        <w:rPr>
          <w:rFonts w:ascii="Palatino Linotype" w:hAnsi="Palatino Linotype"/>
          <w:sz w:val="24"/>
          <w:szCs w:val="24"/>
        </w:rPr>
        <w:t xml:space="preserve">ummer </w:t>
      </w:r>
      <w:r w:rsidRPr="005B667C" w:rsidR="00E758E6">
        <w:rPr>
          <w:rFonts w:ascii="Palatino Linotype" w:hAnsi="Palatino Linotype"/>
          <w:sz w:val="24"/>
          <w:szCs w:val="24"/>
        </w:rPr>
        <w:t xml:space="preserve">Reliability </w:t>
      </w:r>
      <w:r w:rsidR="00993CBB">
        <w:rPr>
          <w:rFonts w:ascii="Palatino Linotype" w:hAnsi="Palatino Linotype"/>
          <w:sz w:val="24"/>
          <w:szCs w:val="24"/>
        </w:rPr>
        <w:br/>
      </w:r>
      <w:r w:rsidRPr="005B667C" w:rsidR="00E758E6">
        <w:rPr>
          <w:rFonts w:ascii="Palatino Linotype" w:hAnsi="Palatino Linotype"/>
          <w:sz w:val="24"/>
          <w:szCs w:val="24"/>
        </w:rPr>
        <w:t>D</w:t>
      </w:r>
      <w:r w:rsidRPr="005B667C" w:rsidR="004B3200">
        <w:rPr>
          <w:rFonts w:ascii="Palatino Linotype" w:hAnsi="Palatino Linotype"/>
          <w:sz w:val="24"/>
          <w:szCs w:val="24"/>
        </w:rPr>
        <w:t xml:space="preserve">ecision’s “effective PRM” </w:t>
      </w:r>
      <w:r w:rsidRPr="005B667C">
        <w:rPr>
          <w:rFonts w:ascii="Palatino Linotype" w:hAnsi="Palatino Linotype"/>
          <w:sz w:val="24"/>
          <w:szCs w:val="24"/>
        </w:rPr>
        <w:t xml:space="preserve">targets and its costs would be recovered through </w:t>
      </w:r>
      <w:r w:rsidRPr="005B667C" w:rsidR="003E4BF8">
        <w:rPr>
          <w:rFonts w:ascii="Palatino Linotype" w:hAnsi="Palatino Linotype"/>
          <w:sz w:val="24"/>
          <w:szCs w:val="24"/>
        </w:rPr>
        <w:t>the</w:t>
      </w:r>
      <w:r w:rsidRPr="005B667C">
        <w:rPr>
          <w:rFonts w:ascii="Palatino Linotype" w:hAnsi="Palatino Linotype"/>
          <w:sz w:val="24"/>
          <w:szCs w:val="24"/>
        </w:rPr>
        <w:t xml:space="preserve"> cost recovery mechanism</w:t>
      </w:r>
      <w:r w:rsidRPr="005B667C" w:rsidR="003E4BF8">
        <w:rPr>
          <w:rFonts w:ascii="Palatino Linotype" w:hAnsi="Palatino Linotype"/>
          <w:sz w:val="24"/>
          <w:szCs w:val="24"/>
        </w:rPr>
        <w:t xml:space="preserve"> approved in AL 3913-E</w:t>
      </w:r>
      <w:r w:rsidRPr="005B667C">
        <w:rPr>
          <w:rFonts w:ascii="Palatino Linotype" w:hAnsi="Palatino Linotype"/>
          <w:sz w:val="24"/>
          <w:szCs w:val="24"/>
        </w:rPr>
        <w:t xml:space="preserve">, the Cost Allocation Mechanism (CAM). As of August 1, 2023, </w:t>
      </w:r>
      <w:r w:rsidRPr="005B667C" w:rsidR="00993121">
        <w:rPr>
          <w:rFonts w:ascii="Palatino Linotype" w:hAnsi="Palatino Linotype"/>
          <w:sz w:val="24"/>
          <w:szCs w:val="24"/>
        </w:rPr>
        <w:t xml:space="preserve">SDG&amp;E would allocate the costs associated with 66 MW </w:t>
      </w:r>
      <w:r w:rsidR="00993CBB">
        <w:rPr>
          <w:rFonts w:ascii="Palatino Linotype" w:hAnsi="Palatino Linotype"/>
          <w:sz w:val="24"/>
          <w:szCs w:val="24"/>
        </w:rPr>
        <w:br/>
      </w:r>
      <w:r w:rsidRPr="005B667C" w:rsidR="00993121">
        <w:rPr>
          <w:rFonts w:ascii="Palatino Linotype" w:hAnsi="Palatino Linotype"/>
          <w:sz w:val="24"/>
          <w:szCs w:val="24"/>
        </w:rPr>
        <w:t>(64 MW NQC) of the Project to applicable customers, which include bundled service customers and departing load customers with 2021 vintage cost responsibility</w:t>
      </w:r>
      <w:r w:rsidRPr="005B667C" w:rsidR="002347C3">
        <w:rPr>
          <w:rFonts w:ascii="Palatino Linotype" w:hAnsi="Palatino Linotype"/>
          <w:sz w:val="24"/>
          <w:szCs w:val="24"/>
        </w:rPr>
        <w:t xml:space="preserve">, i.e., </w:t>
      </w:r>
      <w:r w:rsidRPr="005B667C" w:rsidR="000B3D1E">
        <w:rPr>
          <w:rFonts w:ascii="Palatino Linotype" w:hAnsi="Palatino Linotype"/>
          <w:sz w:val="24"/>
          <w:szCs w:val="24"/>
        </w:rPr>
        <w:t xml:space="preserve">via </w:t>
      </w:r>
      <w:r w:rsidRPr="005B667C" w:rsidR="002347C3">
        <w:rPr>
          <w:rFonts w:ascii="Palatino Linotype" w:hAnsi="Palatino Linotype"/>
          <w:sz w:val="24"/>
          <w:szCs w:val="24"/>
        </w:rPr>
        <w:t>the Power Charge Indifference Adjustment (PCIA) mechanism</w:t>
      </w:r>
      <w:r w:rsidRPr="005B667C" w:rsidR="00993121">
        <w:rPr>
          <w:rFonts w:ascii="Palatino Linotype" w:hAnsi="Palatino Linotype"/>
          <w:sz w:val="24"/>
          <w:szCs w:val="24"/>
        </w:rPr>
        <w:t xml:space="preserve">, using the Portfolio Allocation Balancing Account (PABA) in accordance with AL 4018-E. Beginning on January 1, 2024, SDG&amp;E would allocate the costs associated with the full 131 MW </w:t>
      </w:r>
      <w:r w:rsidR="00993CBB">
        <w:rPr>
          <w:rFonts w:ascii="Palatino Linotype" w:hAnsi="Palatino Linotype"/>
          <w:sz w:val="24"/>
          <w:szCs w:val="24"/>
        </w:rPr>
        <w:br/>
      </w:r>
      <w:r w:rsidRPr="005B667C" w:rsidR="00993121">
        <w:rPr>
          <w:rFonts w:ascii="Palatino Linotype" w:hAnsi="Palatino Linotype"/>
          <w:sz w:val="24"/>
          <w:szCs w:val="24"/>
        </w:rPr>
        <w:t>(123 MW NQC) to applicable customers.</w:t>
      </w:r>
      <w:r w:rsidRPr="005B667C" w:rsidR="00670262">
        <w:rPr>
          <w:rStyle w:val="FootnoteReference"/>
          <w:rFonts w:ascii="Palatino Linotype" w:hAnsi="Palatino Linotype"/>
          <w:sz w:val="24"/>
          <w:szCs w:val="24"/>
        </w:rPr>
        <w:footnoteReference w:id="6"/>
      </w:r>
    </w:p>
    <w:p w:rsidRPr="005B667C" w:rsidR="00AF55DC" w:rsidP="00AF55DC" w:rsidRDefault="00AF55DC" w14:paraId="6B9FECA7" w14:textId="77777777">
      <w:pPr>
        <w:rPr>
          <w:rFonts w:ascii="Palatino Linotype" w:hAnsi="Palatino Linotype"/>
          <w:sz w:val="24"/>
          <w:szCs w:val="24"/>
        </w:rPr>
      </w:pPr>
    </w:p>
    <w:p w:rsidRPr="005B667C" w:rsidR="00AF55DC" w:rsidP="00AF55DC" w:rsidRDefault="00AF55DC" w14:paraId="7146C63D" w14:textId="77777777">
      <w:pPr>
        <w:rPr>
          <w:rFonts w:ascii="Palatino Linotype" w:hAnsi="Palatino Linotype"/>
          <w:sz w:val="24"/>
          <w:szCs w:val="24"/>
        </w:rPr>
      </w:pPr>
      <w:r w:rsidRPr="005B667C">
        <w:rPr>
          <w:rFonts w:ascii="Palatino Linotype" w:hAnsi="Palatino Linotype"/>
          <w:sz w:val="24"/>
          <w:szCs w:val="24"/>
        </w:rPr>
        <w:t>SDG&amp;E’s requested cost recovery modifications are summarized in the table below:</w:t>
      </w:r>
    </w:p>
    <w:p w:rsidRPr="005B667C" w:rsidR="00AF55DC" w:rsidP="00AF55DC" w:rsidRDefault="00AF55DC" w14:paraId="433010DD" w14:textId="77777777">
      <w:pPr>
        <w:rPr>
          <w:rFonts w:ascii="Palatino Linotype" w:hAnsi="Palatino Linotype"/>
          <w:sz w:val="24"/>
          <w:szCs w:val="24"/>
        </w:rPr>
      </w:pPr>
    </w:p>
    <w:tbl>
      <w:tblPr>
        <w:tblStyle w:val="TableGrid"/>
        <w:tblW w:w="0" w:type="auto"/>
        <w:jc w:val="center"/>
        <w:tblLook w:val="04A0" w:firstRow="1" w:lastRow="0" w:firstColumn="1" w:lastColumn="0" w:noHBand="0" w:noVBand="1"/>
      </w:tblPr>
      <w:tblGrid>
        <w:gridCol w:w="1870"/>
        <w:gridCol w:w="1870"/>
        <w:gridCol w:w="1870"/>
        <w:gridCol w:w="1870"/>
        <w:gridCol w:w="1870"/>
      </w:tblGrid>
      <w:tr w:rsidRPr="005B667C" w:rsidR="0027113E" w:rsidTr="00FE5FDC" w14:paraId="1D197883" w14:textId="77777777">
        <w:trPr>
          <w:jc w:val="center"/>
        </w:trPr>
        <w:tc>
          <w:tcPr>
            <w:tcW w:w="1870" w:type="dxa"/>
            <w:vAlign w:val="center"/>
          </w:tcPr>
          <w:p w:rsidRPr="005B667C" w:rsidR="0027113E" w:rsidP="00FE5FDC" w:rsidRDefault="0027113E" w14:paraId="779C652F" w14:textId="77777777">
            <w:pPr>
              <w:jc w:val="center"/>
              <w:rPr>
                <w:rFonts w:ascii="Palatino Linotype" w:hAnsi="Palatino Linotype"/>
                <w:b/>
                <w:bCs/>
                <w:sz w:val="24"/>
                <w:szCs w:val="24"/>
              </w:rPr>
            </w:pPr>
            <w:r w:rsidRPr="005B667C">
              <w:rPr>
                <w:rFonts w:ascii="Palatino Linotype" w:hAnsi="Palatino Linotype"/>
                <w:b/>
                <w:bCs/>
                <w:sz w:val="24"/>
                <w:szCs w:val="24"/>
              </w:rPr>
              <w:lastRenderedPageBreak/>
              <w:t>Time Period</w:t>
            </w:r>
          </w:p>
        </w:tc>
        <w:tc>
          <w:tcPr>
            <w:tcW w:w="1870" w:type="dxa"/>
            <w:vAlign w:val="center"/>
          </w:tcPr>
          <w:p w:rsidRPr="005B667C" w:rsidR="0027113E" w:rsidP="00FE5FDC" w:rsidRDefault="0027113E" w14:paraId="45E2C1AC" w14:textId="77777777">
            <w:pPr>
              <w:jc w:val="center"/>
              <w:rPr>
                <w:rFonts w:ascii="Palatino Linotype" w:hAnsi="Palatino Linotype"/>
                <w:b/>
                <w:bCs/>
                <w:sz w:val="24"/>
                <w:szCs w:val="24"/>
              </w:rPr>
            </w:pPr>
            <w:r w:rsidRPr="005B667C">
              <w:rPr>
                <w:rFonts w:ascii="Palatino Linotype" w:hAnsi="Palatino Linotype"/>
                <w:b/>
                <w:bCs/>
                <w:sz w:val="24"/>
                <w:szCs w:val="24"/>
              </w:rPr>
              <w:t>Nameplate Capacity (MW)</w:t>
            </w:r>
          </w:p>
        </w:tc>
        <w:tc>
          <w:tcPr>
            <w:tcW w:w="1870" w:type="dxa"/>
            <w:vAlign w:val="center"/>
          </w:tcPr>
          <w:p w:rsidRPr="005B667C" w:rsidR="0027113E" w:rsidP="00FE5FDC" w:rsidRDefault="0027113E" w14:paraId="272CB83B" w14:textId="77777777">
            <w:pPr>
              <w:jc w:val="center"/>
              <w:rPr>
                <w:rFonts w:ascii="Palatino Linotype" w:hAnsi="Palatino Linotype"/>
                <w:b/>
                <w:bCs/>
                <w:sz w:val="24"/>
                <w:szCs w:val="24"/>
              </w:rPr>
            </w:pPr>
            <w:r w:rsidRPr="005B667C">
              <w:rPr>
                <w:rFonts w:ascii="Palatino Linotype" w:hAnsi="Palatino Linotype"/>
                <w:b/>
                <w:bCs/>
                <w:sz w:val="24"/>
                <w:szCs w:val="24"/>
              </w:rPr>
              <w:t>Compliance NQC (MW)</w:t>
            </w:r>
          </w:p>
        </w:tc>
        <w:tc>
          <w:tcPr>
            <w:tcW w:w="1870" w:type="dxa"/>
            <w:vAlign w:val="center"/>
          </w:tcPr>
          <w:p w:rsidRPr="005B667C" w:rsidR="0027113E" w:rsidP="00FE5FDC" w:rsidRDefault="0027113E" w14:paraId="79A4739D" w14:textId="77777777">
            <w:pPr>
              <w:jc w:val="center"/>
              <w:rPr>
                <w:rFonts w:ascii="Palatino Linotype" w:hAnsi="Palatino Linotype"/>
                <w:b/>
                <w:bCs/>
                <w:sz w:val="24"/>
                <w:szCs w:val="24"/>
              </w:rPr>
            </w:pPr>
            <w:r w:rsidRPr="005B667C">
              <w:rPr>
                <w:rFonts w:ascii="Palatino Linotype" w:hAnsi="Palatino Linotype"/>
                <w:b/>
                <w:bCs/>
                <w:sz w:val="24"/>
                <w:szCs w:val="24"/>
              </w:rPr>
              <w:t>Compliance Category</w:t>
            </w:r>
          </w:p>
        </w:tc>
        <w:tc>
          <w:tcPr>
            <w:tcW w:w="1870" w:type="dxa"/>
            <w:vAlign w:val="center"/>
          </w:tcPr>
          <w:p w:rsidRPr="005B667C" w:rsidR="0027113E" w:rsidP="00FE5FDC" w:rsidRDefault="0027113E" w14:paraId="34F4597A" w14:textId="77777777">
            <w:pPr>
              <w:jc w:val="center"/>
              <w:rPr>
                <w:rFonts w:ascii="Palatino Linotype" w:hAnsi="Palatino Linotype"/>
                <w:b/>
                <w:bCs/>
                <w:sz w:val="24"/>
                <w:szCs w:val="24"/>
              </w:rPr>
            </w:pPr>
            <w:r w:rsidRPr="005B667C">
              <w:rPr>
                <w:rFonts w:ascii="Palatino Linotype" w:hAnsi="Palatino Linotype"/>
                <w:b/>
                <w:bCs/>
                <w:sz w:val="24"/>
                <w:szCs w:val="24"/>
              </w:rPr>
              <w:t>Cost Recovery Mechanism</w:t>
            </w:r>
          </w:p>
        </w:tc>
      </w:tr>
      <w:tr w:rsidRPr="005B667C" w:rsidR="0027113E" w:rsidTr="00FE5FDC" w14:paraId="6176381F" w14:textId="77777777">
        <w:trPr>
          <w:jc w:val="center"/>
        </w:trPr>
        <w:tc>
          <w:tcPr>
            <w:tcW w:w="1870" w:type="dxa"/>
            <w:vAlign w:val="center"/>
          </w:tcPr>
          <w:p w:rsidRPr="005B667C" w:rsidR="0027113E" w:rsidP="00FE5FDC" w:rsidRDefault="0027113E" w14:paraId="7530EF3C" w14:textId="77777777">
            <w:pPr>
              <w:jc w:val="center"/>
              <w:rPr>
                <w:rFonts w:ascii="Palatino Linotype" w:hAnsi="Palatino Linotype"/>
                <w:sz w:val="24"/>
                <w:szCs w:val="24"/>
              </w:rPr>
            </w:pPr>
            <w:r w:rsidRPr="005B667C">
              <w:rPr>
                <w:rFonts w:ascii="Palatino Linotype" w:hAnsi="Palatino Linotype"/>
                <w:sz w:val="24"/>
                <w:szCs w:val="24"/>
              </w:rPr>
              <w:t>Online – July 31, 2023</w:t>
            </w:r>
          </w:p>
        </w:tc>
        <w:tc>
          <w:tcPr>
            <w:tcW w:w="1870" w:type="dxa"/>
            <w:vAlign w:val="center"/>
          </w:tcPr>
          <w:p w:rsidRPr="005B667C" w:rsidR="0027113E" w:rsidP="00FE5FDC" w:rsidRDefault="0027113E" w14:paraId="7156D318" w14:textId="77777777">
            <w:pPr>
              <w:jc w:val="center"/>
              <w:rPr>
                <w:rFonts w:ascii="Palatino Linotype" w:hAnsi="Palatino Linotype"/>
                <w:sz w:val="24"/>
                <w:szCs w:val="24"/>
              </w:rPr>
            </w:pPr>
            <w:r w:rsidRPr="005B667C">
              <w:rPr>
                <w:rFonts w:ascii="Palatino Linotype" w:hAnsi="Palatino Linotype"/>
                <w:sz w:val="24"/>
                <w:szCs w:val="24"/>
              </w:rPr>
              <w:t>131</w:t>
            </w:r>
          </w:p>
        </w:tc>
        <w:tc>
          <w:tcPr>
            <w:tcW w:w="1870" w:type="dxa"/>
            <w:vAlign w:val="center"/>
          </w:tcPr>
          <w:p w:rsidRPr="005B667C" w:rsidR="0027113E" w:rsidP="00FE5FDC" w:rsidRDefault="0027113E" w14:paraId="2AED3B21" w14:textId="77777777">
            <w:pPr>
              <w:jc w:val="center"/>
              <w:rPr>
                <w:rFonts w:ascii="Palatino Linotype" w:hAnsi="Palatino Linotype"/>
                <w:sz w:val="24"/>
                <w:szCs w:val="24"/>
              </w:rPr>
            </w:pPr>
            <w:r w:rsidRPr="005B667C">
              <w:rPr>
                <w:rFonts w:ascii="Palatino Linotype" w:hAnsi="Palatino Linotype"/>
                <w:sz w:val="24"/>
                <w:szCs w:val="24"/>
              </w:rPr>
              <w:t>131</w:t>
            </w:r>
          </w:p>
        </w:tc>
        <w:tc>
          <w:tcPr>
            <w:tcW w:w="1870" w:type="dxa"/>
            <w:vAlign w:val="center"/>
          </w:tcPr>
          <w:p w:rsidRPr="005B667C" w:rsidR="0027113E" w:rsidP="00FE5FDC" w:rsidRDefault="0027113E" w14:paraId="6A021AC1" w14:textId="77777777">
            <w:pPr>
              <w:jc w:val="center"/>
              <w:rPr>
                <w:rFonts w:ascii="Palatino Linotype" w:hAnsi="Palatino Linotype"/>
                <w:sz w:val="24"/>
                <w:szCs w:val="24"/>
              </w:rPr>
            </w:pPr>
            <w:r w:rsidRPr="005B667C">
              <w:rPr>
                <w:rFonts w:ascii="Palatino Linotype" w:hAnsi="Palatino Linotype"/>
                <w:sz w:val="24"/>
                <w:szCs w:val="24"/>
              </w:rPr>
              <w:t>Summer 2023 Emergency Reliability</w:t>
            </w:r>
          </w:p>
        </w:tc>
        <w:tc>
          <w:tcPr>
            <w:tcW w:w="1870" w:type="dxa"/>
            <w:vAlign w:val="center"/>
          </w:tcPr>
          <w:p w:rsidRPr="005B667C" w:rsidR="0027113E" w:rsidP="00FE5FDC" w:rsidRDefault="0027113E" w14:paraId="6DC96009" w14:textId="77777777">
            <w:pPr>
              <w:jc w:val="center"/>
              <w:rPr>
                <w:rFonts w:ascii="Palatino Linotype" w:hAnsi="Palatino Linotype"/>
                <w:sz w:val="24"/>
                <w:szCs w:val="24"/>
              </w:rPr>
            </w:pPr>
            <w:r w:rsidRPr="005B667C">
              <w:rPr>
                <w:rFonts w:ascii="Palatino Linotype" w:hAnsi="Palatino Linotype"/>
                <w:sz w:val="24"/>
                <w:szCs w:val="24"/>
              </w:rPr>
              <w:t>CAM</w:t>
            </w:r>
          </w:p>
        </w:tc>
      </w:tr>
      <w:tr w:rsidRPr="005B667C" w:rsidR="001A1A13" w:rsidTr="001A1A13" w14:paraId="1EAAB22C" w14:textId="77777777">
        <w:trPr>
          <w:trHeight w:val="1025"/>
          <w:jc w:val="center"/>
        </w:trPr>
        <w:tc>
          <w:tcPr>
            <w:tcW w:w="1870" w:type="dxa"/>
            <w:vMerge w:val="restart"/>
            <w:vAlign w:val="center"/>
          </w:tcPr>
          <w:p w:rsidRPr="005B667C" w:rsidR="001A1A13" w:rsidP="00FE5FDC" w:rsidRDefault="001A1A13" w14:paraId="536E9B5B" w14:textId="126AA970">
            <w:pPr>
              <w:jc w:val="center"/>
              <w:rPr>
                <w:rFonts w:ascii="Palatino Linotype" w:hAnsi="Palatino Linotype"/>
                <w:sz w:val="24"/>
                <w:szCs w:val="24"/>
              </w:rPr>
            </w:pPr>
            <w:r w:rsidRPr="005B667C">
              <w:rPr>
                <w:rFonts w:ascii="Palatino Linotype" w:hAnsi="Palatino Linotype"/>
                <w:sz w:val="24"/>
                <w:szCs w:val="24"/>
              </w:rPr>
              <w:t>August 1, 2023 – December 31, 2023</w:t>
            </w:r>
          </w:p>
        </w:tc>
        <w:tc>
          <w:tcPr>
            <w:tcW w:w="1870" w:type="dxa"/>
            <w:vAlign w:val="center"/>
          </w:tcPr>
          <w:p w:rsidRPr="005B667C" w:rsidR="001A1A13" w:rsidP="00FE5FDC" w:rsidRDefault="001A1A13" w14:paraId="554AE260" w14:textId="389B000B">
            <w:pPr>
              <w:jc w:val="center"/>
              <w:rPr>
                <w:rFonts w:ascii="Palatino Linotype" w:hAnsi="Palatino Linotype"/>
                <w:sz w:val="24"/>
                <w:szCs w:val="24"/>
              </w:rPr>
            </w:pPr>
            <w:r w:rsidRPr="005B667C">
              <w:rPr>
                <w:rFonts w:ascii="Palatino Linotype" w:hAnsi="Palatino Linotype"/>
                <w:sz w:val="24"/>
                <w:szCs w:val="24"/>
              </w:rPr>
              <w:t>65</w:t>
            </w:r>
          </w:p>
        </w:tc>
        <w:tc>
          <w:tcPr>
            <w:tcW w:w="1870" w:type="dxa"/>
            <w:vAlign w:val="center"/>
          </w:tcPr>
          <w:p w:rsidRPr="005B667C" w:rsidR="001A1A13" w:rsidP="00FE5FDC" w:rsidRDefault="001A1A13" w14:paraId="34DB616E" w14:textId="77F25B6B">
            <w:pPr>
              <w:jc w:val="center"/>
              <w:rPr>
                <w:rFonts w:ascii="Palatino Linotype" w:hAnsi="Palatino Linotype"/>
                <w:sz w:val="24"/>
                <w:szCs w:val="24"/>
              </w:rPr>
            </w:pPr>
            <w:r w:rsidRPr="005B667C">
              <w:rPr>
                <w:rFonts w:ascii="Palatino Linotype" w:hAnsi="Palatino Linotype"/>
                <w:sz w:val="24"/>
                <w:szCs w:val="24"/>
              </w:rPr>
              <w:t>65</w:t>
            </w:r>
          </w:p>
        </w:tc>
        <w:tc>
          <w:tcPr>
            <w:tcW w:w="1870" w:type="dxa"/>
            <w:vAlign w:val="center"/>
          </w:tcPr>
          <w:p w:rsidRPr="005B667C" w:rsidR="001A1A13" w:rsidP="00FE5FDC" w:rsidRDefault="001A1A13" w14:paraId="5F3589A8" w14:textId="46D35185">
            <w:pPr>
              <w:jc w:val="center"/>
              <w:rPr>
                <w:rFonts w:ascii="Palatino Linotype" w:hAnsi="Palatino Linotype"/>
                <w:sz w:val="24"/>
                <w:szCs w:val="24"/>
              </w:rPr>
            </w:pPr>
            <w:r w:rsidRPr="005B667C">
              <w:rPr>
                <w:rFonts w:ascii="Palatino Linotype" w:hAnsi="Palatino Linotype"/>
                <w:sz w:val="24"/>
                <w:szCs w:val="24"/>
              </w:rPr>
              <w:t>Summer 2023 Emergency Reliability</w:t>
            </w:r>
          </w:p>
        </w:tc>
        <w:tc>
          <w:tcPr>
            <w:tcW w:w="1870" w:type="dxa"/>
            <w:vAlign w:val="center"/>
          </w:tcPr>
          <w:p w:rsidRPr="005B667C" w:rsidR="001A1A13" w:rsidP="00FE5FDC" w:rsidRDefault="001A1A13" w14:paraId="23EEE3ED" w14:textId="4E56514E">
            <w:pPr>
              <w:jc w:val="center"/>
              <w:rPr>
                <w:rFonts w:ascii="Palatino Linotype" w:hAnsi="Palatino Linotype"/>
                <w:sz w:val="24"/>
                <w:szCs w:val="24"/>
              </w:rPr>
            </w:pPr>
            <w:r w:rsidRPr="005B667C">
              <w:rPr>
                <w:rFonts w:ascii="Palatino Linotype" w:hAnsi="Palatino Linotype"/>
                <w:sz w:val="24"/>
                <w:szCs w:val="24"/>
              </w:rPr>
              <w:t>CAM</w:t>
            </w:r>
          </w:p>
        </w:tc>
      </w:tr>
      <w:tr w:rsidRPr="005B667C" w:rsidR="001A1A13" w:rsidTr="00D217D0" w14:paraId="27DEB531" w14:textId="77777777">
        <w:trPr>
          <w:jc w:val="center"/>
        </w:trPr>
        <w:tc>
          <w:tcPr>
            <w:tcW w:w="1870" w:type="dxa"/>
            <w:vMerge/>
            <w:tcBorders>
              <w:bottom w:val="single" w:color="auto" w:sz="4" w:space="0"/>
            </w:tcBorders>
            <w:vAlign w:val="center"/>
          </w:tcPr>
          <w:p w:rsidRPr="005B667C" w:rsidR="001A1A13" w:rsidP="00FE5FDC" w:rsidRDefault="001A1A13" w14:paraId="0F53EB09" w14:textId="798F883E">
            <w:pPr>
              <w:jc w:val="center"/>
              <w:rPr>
                <w:rFonts w:ascii="Palatino Linotype" w:hAnsi="Palatino Linotype"/>
                <w:sz w:val="24"/>
                <w:szCs w:val="24"/>
              </w:rPr>
            </w:pPr>
          </w:p>
        </w:tc>
        <w:tc>
          <w:tcPr>
            <w:tcW w:w="1870" w:type="dxa"/>
            <w:vAlign w:val="center"/>
          </w:tcPr>
          <w:p w:rsidRPr="005B667C" w:rsidR="001A1A13" w:rsidP="00FE5FDC" w:rsidRDefault="001A1A13" w14:paraId="216C6FB8" w14:textId="77777777">
            <w:pPr>
              <w:jc w:val="center"/>
              <w:rPr>
                <w:rFonts w:ascii="Palatino Linotype" w:hAnsi="Palatino Linotype"/>
                <w:sz w:val="24"/>
                <w:szCs w:val="24"/>
              </w:rPr>
            </w:pPr>
            <w:r w:rsidRPr="005B667C">
              <w:rPr>
                <w:rFonts w:ascii="Palatino Linotype" w:hAnsi="Palatino Linotype"/>
                <w:sz w:val="24"/>
                <w:szCs w:val="24"/>
              </w:rPr>
              <w:t>66</w:t>
            </w:r>
          </w:p>
        </w:tc>
        <w:tc>
          <w:tcPr>
            <w:tcW w:w="1870" w:type="dxa"/>
            <w:vAlign w:val="center"/>
          </w:tcPr>
          <w:p w:rsidRPr="005B667C" w:rsidR="001A1A13" w:rsidP="00FE5FDC" w:rsidRDefault="001A1A13" w14:paraId="5806A934" w14:textId="77777777">
            <w:pPr>
              <w:jc w:val="center"/>
              <w:rPr>
                <w:rFonts w:ascii="Palatino Linotype" w:hAnsi="Palatino Linotype"/>
                <w:sz w:val="24"/>
                <w:szCs w:val="24"/>
              </w:rPr>
            </w:pPr>
            <w:r w:rsidRPr="005B667C">
              <w:rPr>
                <w:rFonts w:ascii="Palatino Linotype" w:hAnsi="Palatino Linotype"/>
                <w:sz w:val="24"/>
                <w:szCs w:val="24"/>
              </w:rPr>
              <w:t>64</w:t>
            </w:r>
          </w:p>
        </w:tc>
        <w:tc>
          <w:tcPr>
            <w:tcW w:w="1870" w:type="dxa"/>
            <w:vAlign w:val="center"/>
          </w:tcPr>
          <w:p w:rsidRPr="005B667C" w:rsidR="001A1A13" w:rsidP="00FE5FDC" w:rsidRDefault="001A1A13" w14:paraId="1296150C" w14:textId="77777777">
            <w:pPr>
              <w:jc w:val="center"/>
              <w:rPr>
                <w:rFonts w:ascii="Palatino Linotype" w:hAnsi="Palatino Linotype"/>
                <w:sz w:val="24"/>
                <w:szCs w:val="24"/>
              </w:rPr>
            </w:pPr>
            <w:r w:rsidRPr="005B667C">
              <w:rPr>
                <w:rFonts w:ascii="Palatino Linotype" w:hAnsi="Palatino Linotype"/>
                <w:sz w:val="24"/>
                <w:szCs w:val="24"/>
              </w:rPr>
              <w:t>Midterm IRP Procurement 2023</w:t>
            </w:r>
          </w:p>
        </w:tc>
        <w:tc>
          <w:tcPr>
            <w:tcW w:w="1870" w:type="dxa"/>
            <w:vAlign w:val="center"/>
          </w:tcPr>
          <w:p w:rsidRPr="005B667C" w:rsidR="001A1A13" w:rsidP="00FE5FDC" w:rsidRDefault="001A1A13" w14:paraId="22B22914" w14:textId="77777777">
            <w:pPr>
              <w:jc w:val="center"/>
              <w:rPr>
                <w:rFonts w:ascii="Palatino Linotype" w:hAnsi="Palatino Linotype"/>
                <w:sz w:val="24"/>
                <w:szCs w:val="24"/>
              </w:rPr>
            </w:pPr>
            <w:r w:rsidRPr="005B667C">
              <w:rPr>
                <w:rFonts w:ascii="Palatino Linotype" w:hAnsi="Palatino Linotype"/>
                <w:sz w:val="24"/>
                <w:szCs w:val="24"/>
              </w:rPr>
              <w:t>PCIA, Vintage 2021</w:t>
            </w:r>
          </w:p>
        </w:tc>
      </w:tr>
      <w:tr w:rsidRPr="005B667C" w:rsidR="0027113E" w:rsidTr="00FE5FDC" w14:paraId="1C6B3681" w14:textId="77777777">
        <w:trPr>
          <w:jc w:val="center"/>
        </w:trPr>
        <w:tc>
          <w:tcPr>
            <w:tcW w:w="1870" w:type="dxa"/>
            <w:vAlign w:val="center"/>
          </w:tcPr>
          <w:p w:rsidRPr="005B667C" w:rsidR="0027113E" w:rsidP="00FE5FDC" w:rsidRDefault="0027113E" w14:paraId="25D9D2DF" w14:textId="77777777">
            <w:pPr>
              <w:jc w:val="center"/>
              <w:rPr>
                <w:rFonts w:ascii="Palatino Linotype" w:hAnsi="Palatino Linotype"/>
                <w:sz w:val="24"/>
                <w:szCs w:val="24"/>
              </w:rPr>
            </w:pPr>
            <w:r w:rsidRPr="005B667C">
              <w:rPr>
                <w:rFonts w:ascii="Palatino Linotype" w:hAnsi="Palatino Linotype"/>
                <w:sz w:val="24"/>
                <w:szCs w:val="24"/>
              </w:rPr>
              <w:t>January 1, 2024 – End of Contract</w:t>
            </w:r>
          </w:p>
        </w:tc>
        <w:tc>
          <w:tcPr>
            <w:tcW w:w="1870" w:type="dxa"/>
            <w:vAlign w:val="center"/>
          </w:tcPr>
          <w:p w:rsidRPr="005B667C" w:rsidR="0027113E" w:rsidP="00FE5FDC" w:rsidRDefault="0027113E" w14:paraId="307B8616" w14:textId="77777777">
            <w:pPr>
              <w:jc w:val="center"/>
              <w:rPr>
                <w:rFonts w:ascii="Palatino Linotype" w:hAnsi="Palatino Linotype"/>
                <w:sz w:val="24"/>
                <w:szCs w:val="24"/>
              </w:rPr>
            </w:pPr>
            <w:r w:rsidRPr="005B667C">
              <w:rPr>
                <w:rFonts w:ascii="Palatino Linotype" w:hAnsi="Palatino Linotype"/>
                <w:sz w:val="24"/>
                <w:szCs w:val="24"/>
              </w:rPr>
              <w:t>131 (66 + incremental 65)</w:t>
            </w:r>
          </w:p>
        </w:tc>
        <w:tc>
          <w:tcPr>
            <w:tcW w:w="1870" w:type="dxa"/>
            <w:vAlign w:val="center"/>
          </w:tcPr>
          <w:p w:rsidRPr="005B667C" w:rsidR="0027113E" w:rsidP="00FE5FDC" w:rsidRDefault="0027113E" w14:paraId="0DD3C200" w14:textId="77777777">
            <w:pPr>
              <w:jc w:val="center"/>
              <w:rPr>
                <w:rFonts w:ascii="Palatino Linotype" w:hAnsi="Palatino Linotype"/>
                <w:sz w:val="24"/>
                <w:szCs w:val="24"/>
              </w:rPr>
            </w:pPr>
            <w:r w:rsidRPr="005B667C">
              <w:rPr>
                <w:rFonts w:ascii="Palatino Linotype" w:hAnsi="Palatino Linotype"/>
                <w:sz w:val="24"/>
                <w:szCs w:val="24"/>
              </w:rPr>
              <w:t>123 (64 + incremental 59)</w:t>
            </w:r>
          </w:p>
        </w:tc>
        <w:tc>
          <w:tcPr>
            <w:tcW w:w="1870" w:type="dxa"/>
            <w:vAlign w:val="center"/>
          </w:tcPr>
          <w:p w:rsidRPr="005B667C" w:rsidR="0027113E" w:rsidP="00FE5FDC" w:rsidRDefault="0027113E" w14:paraId="0FC642D5" w14:textId="77777777">
            <w:pPr>
              <w:jc w:val="center"/>
              <w:rPr>
                <w:rFonts w:ascii="Palatino Linotype" w:hAnsi="Palatino Linotype"/>
                <w:sz w:val="24"/>
                <w:szCs w:val="24"/>
              </w:rPr>
            </w:pPr>
            <w:r w:rsidRPr="005B667C">
              <w:rPr>
                <w:rFonts w:ascii="Palatino Linotype" w:hAnsi="Palatino Linotype"/>
                <w:sz w:val="24"/>
                <w:szCs w:val="24"/>
              </w:rPr>
              <w:t>Midterm IRP Procurement 2024</w:t>
            </w:r>
          </w:p>
        </w:tc>
        <w:tc>
          <w:tcPr>
            <w:tcW w:w="1870" w:type="dxa"/>
            <w:vAlign w:val="center"/>
          </w:tcPr>
          <w:p w:rsidRPr="005B667C" w:rsidR="0027113E" w:rsidP="00FE5FDC" w:rsidRDefault="0027113E" w14:paraId="43FEAE22" w14:textId="77777777">
            <w:pPr>
              <w:jc w:val="center"/>
              <w:rPr>
                <w:rFonts w:ascii="Palatino Linotype" w:hAnsi="Palatino Linotype"/>
                <w:sz w:val="24"/>
                <w:szCs w:val="24"/>
              </w:rPr>
            </w:pPr>
            <w:r w:rsidRPr="005B667C">
              <w:rPr>
                <w:rFonts w:ascii="Palatino Linotype" w:hAnsi="Palatino Linotype"/>
                <w:sz w:val="24"/>
                <w:szCs w:val="24"/>
              </w:rPr>
              <w:t>PCIA, Vintage 2021</w:t>
            </w:r>
          </w:p>
        </w:tc>
      </w:tr>
    </w:tbl>
    <w:p w:rsidRPr="005B667C" w:rsidR="0027113E" w:rsidP="00AF55DC" w:rsidRDefault="0027113E" w14:paraId="6B38A846" w14:textId="77777777">
      <w:pPr>
        <w:rPr>
          <w:rFonts w:ascii="Palatino Linotype" w:hAnsi="Palatino Linotype"/>
          <w:sz w:val="24"/>
          <w:szCs w:val="24"/>
        </w:rPr>
      </w:pPr>
    </w:p>
    <w:p w:rsidRPr="005B667C" w:rsidR="00E25A81" w:rsidP="00E25A81" w:rsidRDefault="00E25A81" w14:paraId="768B4742" w14:textId="77777777">
      <w:pPr>
        <w:pStyle w:val="Heading1"/>
        <w:rPr>
          <w:rFonts w:ascii="Palatino Linotype" w:hAnsi="Palatino Linotype" w:eastAsia="Palatino Linotype"/>
          <w:sz w:val="24"/>
          <w:szCs w:val="24"/>
        </w:rPr>
      </w:pPr>
      <w:r w:rsidRPr="005B667C">
        <w:rPr>
          <w:rFonts w:ascii="Palatino Linotype" w:hAnsi="Palatino Linotype" w:eastAsia="Palatino Linotype"/>
          <w:sz w:val="24"/>
          <w:szCs w:val="24"/>
        </w:rPr>
        <w:t>Notice</w:t>
      </w:r>
    </w:p>
    <w:p w:rsidRPr="005B667C" w:rsidR="00E25A81" w:rsidP="00E25A81" w:rsidRDefault="00E25A81" w14:paraId="5839AE94" w14:textId="239608D0">
      <w:pPr>
        <w:rPr>
          <w:rFonts w:ascii="Palatino Linotype" w:hAnsi="Palatino Linotype" w:eastAsia="Palatino Linotype"/>
          <w:sz w:val="24"/>
          <w:szCs w:val="24"/>
        </w:rPr>
      </w:pPr>
      <w:r w:rsidRPr="005B667C">
        <w:rPr>
          <w:rFonts w:ascii="Palatino Linotype" w:hAnsi="Palatino Linotype" w:eastAsia="Palatino Linotype"/>
          <w:sz w:val="24"/>
          <w:szCs w:val="24"/>
        </w:rPr>
        <w:t>Notice of AL 4</w:t>
      </w:r>
      <w:r w:rsidRPr="005B667C" w:rsidR="00EF29C0">
        <w:rPr>
          <w:rFonts w:ascii="Palatino Linotype" w:hAnsi="Palatino Linotype" w:eastAsia="Palatino Linotype"/>
          <w:sz w:val="24"/>
          <w:szCs w:val="24"/>
        </w:rPr>
        <w:t>182</w:t>
      </w:r>
      <w:r w:rsidRPr="005B667C">
        <w:rPr>
          <w:rFonts w:ascii="Palatino Linotype" w:hAnsi="Palatino Linotype" w:eastAsia="Palatino Linotype"/>
          <w:sz w:val="24"/>
          <w:szCs w:val="24"/>
        </w:rPr>
        <w:t>-E was made by publication in the Commission’s Daily Calendar.</w:t>
      </w:r>
      <w:r w:rsidRPr="005B667C" w:rsidR="00EF29C0">
        <w:rPr>
          <w:rFonts w:ascii="Palatino Linotype" w:hAnsi="Palatino Linotype" w:eastAsia="Palatino Linotype"/>
          <w:sz w:val="24"/>
          <w:szCs w:val="24"/>
        </w:rPr>
        <w:t xml:space="preserve"> SDG&amp;E</w:t>
      </w:r>
      <w:r w:rsidRPr="005B667C">
        <w:rPr>
          <w:rFonts w:ascii="Palatino Linotype" w:hAnsi="Palatino Linotype" w:eastAsia="Palatino Linotype"/>
          <w:sz w:val="24"/>
          <w:szCs w:val="24"/>
        </w:rPr>
        <w:t xml:space="preserve"> states that a copy of the Advice Letter was mailed and distributed in accordance with Section 4 of General Order 96-B.</w:t>
      </w:r>
    </w:p>
    <w:p w:rsidRPr="005B667C" w:rsidR="00E25A81" w:rsidP="00E25A81" w:rsidRDefault="00E25A81" w14:paraId="37EB4A7E" w14:textId="77777777">
      <w:pPr>
        <w:rPr>
          <w:rFonts w:ascii="Palatino Linotype" w:hAnsi="Palatino Linotype" w:eastAsia="Palatino Linotype"/>
          <w:sz w:val="24"/>
          <w:szCs w:val="24"/>
        </w:rPr>
      </w:pPr>
    </w:p>
    <w:p w:rsidRPr="005B667C" w:rsidR="00E25A81" w:rsidP="00E25A81" w:rsidRDefault="00E25A81" w14:paraId="58959EBC" w14:textId="77777777">
      <w:pPr>
        <w:pStyle w:val="Heading1"/>
        <w:rPr>
          <w:rFonts w:ascii="Palatino Linotype" w:hAnsi="Palatino Linotype" w:eastAsia="Palatino Linotype"/>
          <w:sz w:val="24"/>
          <w:szCs w:val="24"/>
        </w:rPr>
      </w:pPr>
      <w:r w:rsidRPr="005B667C">
        <w:rPr>
          <w:rFonts w:ascii="Palatino Linotype" w:hAnsi="Palatino Linotype" w:eastAsia="Palatino Linotype"/>
          <w:sz w:val="24"/>
          <w:szCs w:val="24"/>
        </w:rPr>
        <w:t>Protests</w:t>
      </w:r>
    </w:p>
    <w:p w:rsidRPr="005B667C" w:rsidR="00A476FA" w:rsidP="00E25A81" w:rsidRDefault="00EF29C0" w14:paraId="6A419CA7" w14:textId="51590173">
      <w:pPr>
        <w:rPr>
          <w:rFonts w:ascii="Palatino Linotype" w:hAnsi="Palatino Linotype" w:eastAsia="Palatino Linotype"/>
          <w:sz w:val="24"/>
          <w:szCs w:val="24"/>
        </w:rPr>
      </w:pPr>
      <w:r w:rsidRPr="005B667C">
        <w:rPr>
          <w:rFonts w:ascii="Palatino Linotype" w:hAnsi="Palatino Linotype" w:eastAsia="Palatino Linotype"/>
          <w:sz w:val="24"/>
          <w:szCs w:val="24"/>
        </w:rPr>
        <w:t xml:space="preserve">SDG&amp;E AL 4182-E was timely protested by SDCP </w:t>
      </w:r>
      <w:r w:rsidRPr="005B667C" w:rsidR="00862268">
        <w:rPr>
          <w:rFonts w:ascii="Palatino Linotype" w:hAnsi="Palatino Linotype" w:eastAsia="Palatino Linotype"/>
          <w:sz w:val="24"/>
          <w:szCs w:val="24"/>
        </w:rPr>
        <w:t xml:space="preserve">on behalf of itself and its sister agency, Clean Energy Alliance (CEA), </w:t>
      </w:r>
      <w:r w:rsidRPr="005B667C">
        <w:rPr>
          <w:rFonts w:ascii="Palatino Linotype" w:hAnsi="Palatino Linotype" w:eastAsia="Palatino Linotype"/>
          <w:sz w:val="24"/>
          <w:szCs w:val="24"/>
        </w:rPr>
        <w:t xml:space="preserve">on </w:t>
      </w:r>
      <w:r w:rsidRPr="005B667C" w:rsidR="00A476FA">
        <w:rPr>
          <w:rFonts w:ascii="Palatino Linotype" w:hAnsi="Palatino Linotype" w:eastAsia="Palatino Linotype"/>
          <w:sz w:val="24"/>
          <w:szCs w:val="24"/>
        </w:rPr>
        <w:t>April 11, 2023.</w:t>
      </w:r>
      <w:r w:rsidRPr="005B667C" w:rsidR="00C10B8D">
        <w:rPr>
          <w:rFonts w:ascii="Palatino Linotype" w:hAnsi="Palatino Linotype" w:eastAsia="Palatino Linotype"/>
          <w:sz w:val="24"/>
          <w:szCs w:val="24"/>
        </w:rPr>
        <w:t xml:space="preserve"> SDCP argues that AL 4182-E should be denied without prejudice on the grounds that: 1) </w:t>
      </w:r>
      <w:r w:rsidRPr="005B667C" w:rsidR="00A8007C">
        <w:rPr>
          <w:rFonts w:ascii="Palatino Linotype" w:hAnsi="Palatino Linotype" w:eastAsia="Palatino Linotype"/>
          <w:sz w:val="24"/>
          <w:szCs w:val="24"/>
        </w:rPr>
        <w:t>SDG&amp;E cites no authority for PCIA treatment for Westside Canal</w:t>
      </w:r>
      <w:r w:rsidRPr="005B667C" w:rsidR="00C10B8D">
        <w:rPr>
          <w:rFonts w:ascii="Palatino Linotype" w:hAnsi="Palatino Linotype" w:eastAsia="Palatino Linotype"/>
          <w:sz w:val="24"/>
          <w:szCs w:val="24"/>
        </w:rPr>
        <w:t>, 2) SDG&amp;E provides no meaningful justification for PCIA treatment of the Project, 3) SDG&amp;E’s request violates the procedural requirement in the MTR Decision that utility-owned resources must be approved by application, and 4)</w:t>
      </w:r>
      <w:r w:rsidRPr="005B667C" w:rsidR="0005195F">
        <w:rPr>
          <w:rFonts w:ascii="Palatino Linotype" w:hAnsi="Palatino Linotype" w:eastAsia="Palatino Linotype"/>
          <w:sz w:val="24"/>
          <w:szCs w:val="24"/>
        </w:rPr>
        <w:t xml:space="preserve"> granting SDG&amp;E’s request would burden SDCP and CEA customers by increasing PCIA charges and eliminating any RA credits that they would have received through CAM. </w:t>
      </w:r>
      <w:r w:rsidRPr="005B667C" w:rsidR="00C10B8D">
        <w:rPr>
          <w:rFonts w:ascii="Palatino Linotype" w:hAnsi="Palatino Linotype" w:eastAsia="Palatino Linotype"/>
          <w:sz w:val="24"/>
          <w:szCs w:val="24"/>
        </w:rPr>
        <w:t xml:space="preserve"> </w:t>
      </w:r>
    </w:p>
    <w:p w:rsidRPr="005B667C" w:rsidR="00A476FA" w:rsidP="00E25A81" w:rsidRDefault="00A476FA" w14:paraId="5D3EB5F1" w14:textId="77777777">
      <w:pPr>
        <w:rPr>
          <w:rFonts w:ascii="Palatino Linotype" w:hAnsi="Palatino Linotype" w:eastAsia="Palatino Linotype"/>
          <w:sz w:val="24"/>
          <w:szCs w:val="24"/>
        </w:rPr>
      </w:pPr>
    </w:p>
    <w:p w:rsidRPr="005B667C" w:rsidR="00F45C61" w:rsidP="00E25A81" w:rsidRDefault="00A476FA" w14:paraId="0A387A92" w14:textId="77777777">
      <w:pPr>
        <w:rPr>
          <w:rFonts w:ascii="Palatino Linotype" w:hAnsi="Palatino Linotype" w:eastAsia="Palatino Linotype"/>
          <w:sz w:val="24"/>
          <w:szCs w:val="24"/>
        </w:rPr>
      </w:pPr>
      <w:r w:rsidRPr="005B667C">
        <w:rPr>
          <w:rFonts w:ascii="Palatino Linotype" w:hAnsi="Palatino Linotype" w:eastAsia="Palatino Linotype"/>
          <w:sz w:val="24"/>
          <w:szCs w:val="24"/>
        </w:rPr>
        <w:t>SDG&amp;E timely responded to SDCP’s protest on April 18, 2023.</w:t>
      </w:r>
      <w:r w:rsidRPr="005B667C" w:rsidR="00712D8D">
        <w:rPr>
          <w:rFonts w:ascii="Palatino Linotype" w:hAnsi="Palatino Linotype" w:eastAsia="Palatino Linotype"/>
          <w:sz w:val="24"/>
          <w:szCs w:val="24"/>
        </w:rPr>
        <w:t xml:space="preserve"> In response to SDCP’s claim that the AL fails to cite </w:t>
      </w:r>
      <w:r w:rsidRPr="005B667C" w:rsidR="00A8007C">
        <w:rPr>
          <w:rFonts w:ascii="Palatino Linotype" w:hAnsi="Palatino Linotype" w:eastAsia="Palatino Linotype"/>
          <w:sz w:val="24"/>
          <w:szCs w:val="24"/>
        </w:rPr>
        <w:t xml:space="preserve">relevant authority for PCIA treatment, SDG&amp;E states that AL 4182-E explicitly cites to Ordering Paragraph (OP) 14 of the MTR Decision, which states that, “Pacific Gas &amp; Electric Company, Southern California Edison Company, and </w:t>
      </w:r>
      <w:r w:rsidRPr="005B667C" w:rsidR="00A8007C">
        <w:rPr>
          <w:rFonts w:ascii="Palatino Linotype" w:hAnsi="Palatino Linotype" w:eastAsia="Palatino Linotype"/>
          <w:sz w:val="24"/>
          <w:szCs w:val="24"/>
        </w:rPr>
        <w:lastRenderedPageBreak/>
        <w:t xml:space="preserve">San Diego Gas &amp; Electric Company may file Tier 1 advice letters to claim compliance with the capacity requirements in this decision for any contract or resource that has been approved by the Commission for another purpose in another venue.” </w:t>
      </w:r>
    </w:p>
    <w:p w:rsidRPr="005B667C" w:rsidR="00F45C61" w:rsidP="00E25A81" w:rsidRDefault="00F45C61" w14:paraId="584E5966" w14:textId="77777777">
      <w:pPr>
        <w:rPr>
          <w:rFonts w:ascii="Palatino Linotype" w:hAnsi="Palatino Linotype" w:eastAsia="Palatino Linotype"/>
          <w:sz w:val="24"/>
          <w:szCs w:val="24"/>
        </w:rPr>
      </w:pPr>
    </w:p>
    <w:p w:rsidRPr="005B667C" w:rsidR="00E25A81" w:rsidP="00E25A81" w:rsidRDefault="00F45C61" w14:paraId="7EF77FC3" w14:textId="6645EE38">
      <w:pPr>
        <w:rPr>
          <w:rFonts w:ascii="Palatino Linotype" w:hAnsi="Palatino Linotype" w:eastAsia="Palatino Linotype"/>
          <w:sz w:val="24"/>
          <w:szCs w:val="24"/>
        </w:rPr>
      </w:pPr>
      <w:r w:rsidRPr="005B667C">
        <w:rPr>
          <w:rFonts w:ascii="Palatino Linotype" w:hAnsi="Palatino Linotype" w:eastAsia="Palatino Linotype"/>
          <w:sz w:val="24"/>
          <w:szCs w:val="24"/>
        </w:rPr>
        <w:t xml:space="preserve">Further, SDG&amp;E </w:t>
      </w:r>
      <w:r w:rsidRPr="005B667C" w:rsidR="003E46B8">
        <w:rPr>
          <w:rFonts w:ascii="Palatino Linotype" w:hAnsi="Palatino Linotype" w:eastAsia="Palatino Linotype"/>
          <w:sz w:val="24"/>
          <w:szCs w:val="24"/>
        </w:rPr>
        <w:t xml:space="preserve">states that </w:t>
      </w:r>
      <w:r w:rsidRPr="005B667C">
        <w:rPr>
          <w:rFonts w:ascii="Palatino Linotype" w:hAnsi="Palatino Linotype" w:eastAsia="Palatino Linotype"/>
          <w:sz w:val="24"/>
          <w:szCs w:val="24"/>
        </w:rPr>
        <w:t xml:space="preserve">the </w:t>
      </w:r>
      <w:r w:rsidRPr="005B667C" w:rsidR="00E758E6">
        <w:rPr>
          <w:rFonts w:ascii="Palatino Linotype" w:hAnsi="Palatino Linotype" w:eastAsia="Palatino Linotype"/>
          <w:sz w:val="24"/>
          <w:szCs w:val="24"/>
        </w:rPr>
        <w:t xml:space="preserve">Summer </w:t>
      </w:r>
      <w:r w:rsidRPr="005B667C">
        <w:rPr>
          <w:rFonts w:ascii="Palatino Linotype" w:hAnsi="Palatino Linotype" w:eastAsia="Palatino Linotype"/>
          <w:sz w:val="24"/>
          <w:szCs w:val="24"/>
        </w:rPr>
        <w:t>Reliability Decision</w:t>
      </w:r>
      <w:r w:rsidRPr="005B667C" w:rsidR="00A8007C">
        <w:rPr>
          <w:rFonts w:ascii="Palatino Linotype" w:hAnsi="Palatino Linotype" w:eastAsia="Palatino Linotype"/>
          <w:sz w:val="24"/>
          <w:szCs w:val="24"/>
        </w:rPr>
        <w:t xml:space="preserve"> </w:t>
      </w:r>
      <w:r w:rsidRPr="005B667C" w:rsidR="003E46B8">
        <w:rPr>
          <w:rFonts w:ascii="Palatino Linotype" w:hAnsi="Palatino Linotype" w:eastAsia="Palatino Linotype"/>
          <w:sz w:val="24"/>
          <w:szCs w:val="24"/>
        </w:rPr>
        <w:t xml:space="preserve">makes clear that if an </w:t>
      </w:r>
      <w:r w:rsidRPr="005B667C" w:rsidR="00250D49">
        <w:rPr>
          <w:rFonts w:ascii="Palatino Linotype" w:hAnsi="Palatino Linotype" w:eastAsia="Palatino Linotype"/>
          <w:sz w:val="24"/>
          <w:szCs w:val="24"/>
        </w:rPr>
        <w:t>IOU</w:t>
      </w:r>
      <w:r w:rsidRPr="005B667C" w:rsidR="003E46B8">
        <w:rPr>
          <w:rFonts w:ascii="Palatino Linotype" w:hAnsi="Palatino Linotype" w:eastAsia="Palatino Linotype"/>
          <w:sz w:val="24"/>
          <w:szCs w:val="24"/>
        </w:rPr>
        <w:t xml:space="preserve"> uses a resource to comply with MTR Decision requirements, it may not continue to recover capacity costs through CAM. SDG&amp;E states that this results in an “either/or” proposition, where the resource’s capacity is counted toward </w:t>
      </w:r>
      <w:r w:rsidRPr="005B667C" w:rsidR="00E758E6">
        <w:rPr>
          <w:rFonts w:ascii="Palatino Linotype" w:hAnsi="Palatino Linotype" w:eastAsia="Palatino Linotype"/>
          <w:sz w:val="24"/>
          <w:szCs w:val="24"/>
        </w:rPr>
        <w:t xml:space="preserve">summer </w:t>
      </w:r>
      <w:r w:rsidRPr="005B667C" w:rsidR="003E46B8">
        <w:rPr>
          <w:rFonts w:ascii="Palatino Linotype" w:hAnsi="Palatino Linotype" w:eastAsia="Palatino Linotype"/>
          <w:sz w:val="24"/>
          <w:szCs w:val="24"/>
        </w:rPr>
        <w:t xml:space="preserve">reliability requirements and costs are recovered through CAM, or the resource’s capacity is counted toward MTR Decision requirements and costs are recovered in a manner consistent with the MTR Decision, i.e., </w:t>
      </w:r>
      <w:r w:rsidRPr="005B667C" w:rsidR="00D839F4">
        <w:rPr>
          <w:rFonts w:ascii="Palatino Linotype" w:hAnsi="Palatino Linotype" w:eastAsia="Palatino Linotype"/>
          <w:sz w:val="24"/>
          <w:szCs w:val="24"/>
        </w:rPr>
        <w:t>PCIA</w:t>
      </w:r>
      <w:r w:rsidRPr="005B667C" w:rsidR="003E46B8">
        <w:rPr>
          <w:rFonts w:ascii="Palatino Linotype" w:hAnsi="Palatino Linotype" w:eastAsia="Palatino Linotype"/>
          <w:sz w:val="24"/>
          <w:szCs w:val="24"/>
        </w:rPr>
        <w:t>.</w:t>
      </w:r>
      <w:r w:rsidRPr="005B667C" w:rsidR="00606008">
        <w:rPr>
          <w:rFonts w:ascii="Palatino Linotype" w:hAnsi="Palatino Linotype" w:eastAsia="Palatino Linotype"/>
          <w:sz w:val="24"/>
          <w:szCs w:val="24"/>
        </w:rPr>
        <w:t xml:space="preserve"> SDG&amp;E points to Resolution E-5259, </w:t>
      </w:r>
      <w:r w:rsidRPr="005B667C" w:rsidR="00A45623">
        <w:rPr>
          <w:rFonts w:ascii="Palatino Linotype" w:hAnsi="Palatino Linotype" w:eastAsia="Palatino Linotype"/>
          <w:sz w:val="24"/>
          <w:szCs w:val="24"/>
        </w:rPr>
        <w:t xml:space="preserve">in </w:t>
      </w:r>
      <w:r w:rsidRPr="005B667C" w:rsidR="00606008">
        <w:rPr>
          <w:rFonts w:ascii="Palatino Linotype" w:hAnsi="Palatino Linotype" w:eastAsia="Palatino Linotype"/>
          <w:sz w:val="24"/>
          <w:szCs w:val="24"/>
        </w:rPr>
        <w:t xml:space="preserve">which </w:t>
      </w:r>
      <w:r w:rsidRPr="005B667C" w:rsidR="00A45623">
        <w:rPr>
          <w:rFonts w:ascii="Palatino Linotype" w:hAnsi="Palatino Linotype" w:eastAsia="Palatino Linotype"/>
          <w:sz w:val="24"/>
          <w:szCs w:val="24"/>
        </w:rPr>
        <w:t xml:space="preserve">the Commission </w:t>
      </w:r>
      <w:r w:rsidRPr="005B667C" w:rsidR="00606008">
        <w:rPr>
          <w:rFonts w:ascii="Palatino Linotype" w:hAnsi="Palatino Linotype" w:eastAsia="Palatino Linotype"/>
          <w:sz w:val="24"/>
          <w:szCs w:val="24"/>
        </w:rPr>
        <w:t>approved a request by Southern California Edison Company (SCE) that is “substantially identical to the request made by SDG&amp;E” in AL 4182-E.</w:t>
      </w:r>
      <w:r w:rsidRPr="005B667C" w:rsidR="00A9110C">
        <w:rPr>
          <w:rStyle w:val="FootnoteReference"/>
          <w:rFonts w:ascii="Palatino Linotype" w:hAnsi="Palatino Linotype" w:eastAsia="Palatino Linotype"/>
          <w:sz w:val="24"/>
          <w:szCs w:val="24"/>
        </w:rPr>
        <w:footnoteReference w:id="7"/>
      </w:r>
    </w:p>
    <w:p w:rsidRPr="005B667C" w:rsidR="00866AE6" w:rsidP="00E25A81" w:rsidRDefault="00866AE6" w14:paraId="34A14069" w14:textId="77777777">
      <w:pPr>
        <w:rPr>
          <w:rFonts w:ascii="Palatino Linotype" w:hAnsi="Palatino Linotype" w:eastAsia="Palatino Linotype"/>
          <w:sz w:val="24"/>
          <w:szCs w:val="24"/>
        </w:rPr>
      </w:pPr>
    </w:p>
    <w:p w:rsidRPr="005B667C" w:rsidR="008E1C0E" w:rsidP="00E25A81" w:rsidRDefault="00866AE6" w14:paraId="50AD4D75" w14:textId="23D0D8C0">
      <w:pPr>
        <w:rPr>
          <w:rFonts w:ascii="Palatino Linotype" w:hAnsi="Palatino Linotype" w:eastAsia="Palatino Linotype"/>
          <w:sz w:val="24"/>
          <w:szCs w:val="24"/>
        </w:rPr>
      </w:pPr>
      <w:r w:rsidRPr="005B667C">
        <w:rPr>
          <w:rFonts w:ascii="Palatino Linotype" w:hAnsi="Palatino Linotype" w:eastAsia="Palatino Linotype"/>
          <w:sz w:val="24"/>
          <w:szCs w:val="24"/>
        </w:rPr>
        <w:t xml:space="preserve">With regards to SDCP’s </w:t>
      </w:r>
      <w:r w:rsidRPr="005B667C" w:rsidR="001E6F02">
        <w:rPr>
          <w:rFonts w:ascii="Palatino Linotype" w:hAnsi="Palatino Linotype" w:eastAsia="Palatino Linotype"/>
          <w:sz w:val="24"/>
          <w:szCs w:val="24"/>
        </w:rPr>
        <w:t>claim that SDG&amp;E’s request</w:t>
      </w:r>
      <w:r w:rsidRPr="005B667C" w:rsidR="00CC55D6">
        <w:rPr>
          <w:rFonts w:ascii="Palatino Linotype" w:hAnsi="Palatino Linotype" w:eastAsia="Palatino Linotype"/>
          <w:sz w:val="24"/>
          <w:szCs w:val="24"/>
        </w:rPr>
        <w:t xml:space="preserve"> must be submitted via application</w:t>
      </w:r>
      <w:r w:rsidRPr="005B667C" w:rsidR="001E6F02">
        <w:rPr>
          <w:rFonts w:ascii="Palatino Linotype" w:hAnsi="Palatino Linotype" w:eastAsia="Palatino Linotype"/>
          <w:sz w:val="24"/>
          <w:szCs w:val="24"/>
        </w:rPr>
        <w:t xml:space="preserve"> in order to count for MTR purposes, </w:t>
      </w:r>
      <w:r w:rsidRPr="005B667C" w:rsidR="00E048AF">
        <w:rPr>
          <w:rFonts w:ascii="Palatino Linotype" w:hAnsi="Palatino Linotype" w:eastAsia="Palatino Linotype"/>
          <w:sz w:val="24"/>
          <w:szCs w:val="24"/>
        </w:rPr>
        <w:t xml:space="preserve">SDG&amp;E states that it is unclear what relief SDCP is requesting. </w:t>
      </w:r>
      <w:r w:rsidRPr="005B667C" w:rsidR="00695DDE">
        <w:rPr>
          <w:rFonts w:ascii="Palatino Linotype" w:hAnsi="Palatino Linotype" w:eastAsia="Palatino Linotype"/>
          <w:sz w:val="24"/>
          <w:szCs w:val="24"/>
        </w:rPr>
        <w:t xml:space="preserve">SDG&amp;E states that if SDCP recommends denial of SDG&amp;E’s request to count the Project’s capacity toward its MTR Decision requirements </w:t>
      </w:r>
      <w:r w:rsidRPr="005B667C" w:rsidR="00695DDE">
        <w:rPr>
          <w:rFonts w:ascii="Palatino Linotype" w:hAnsi="Palatino Linotype" w:eastAsia="Palatino Linotype"/>
          <w:i/>
          <w:iCs/>
          <w:sz w:val="24"/>
          <w:szCs w:val="24"/>
        </w:rPr>
        <w:t>and</w:t>
      </w:r>
      <w:r w:rsidRPr="005B667C" w:rsidR="00695DDE">
        <w:rPr>
          <w:rFonts w:ascii="Palatino Linotype" w:hAnsi="Palatino Linotype" w:eastAsia="Palatino Linotype"/>
          <w:sz w:val="24"/>
          <w:szCs w:val="24"/>
        </w:rPr>
        <w:t xml:space="preserve"> to recover the related costs through the PCIA, this request is inconsistent with the Commission’s direction because the MTR Decision permits</w:t>
      </w:r>
      <w:r w:rsidRPr="005B667C" w:rsidR="003D4D29">
        <w:rPr>
          <w:rFonts w:ascii="Palatino Linotype" w:hAnsi="Palatino Linotype" w:eastAsia="Palatino Linotype"/>
          <w:sz w:val="24"/>
          <w:szCs w:val="24"/>
        </w:rPr>
        <w:t xml:space="preserve"> </w:t>
      </w:r>
      <w:r w:rsidRPr="005B667C" w:rsidR="00695DDE">
        <w:rPr>
          <w:rFonts w:ascii="Palatino Linotype" w:hAnsi="Palatino Linotype" w:eastAsia="Palatino Linotype"/>
          <w:sz w:val="24"/>
          <w:szCs w:val="24"/>
        </w:rPr>
        <w:t xml:space="preserve">the IOUs to file Tier 1 advice letters to count approved </w:t>
      </w:r>
      <w:r w:rsidRPr="005B667C" w:rsidR="00E758E6">
        <w:rPr>
          <w:rFonts w:ascii="Palatino Linotype" w:hAnsi="Palatino Linotype" w:eastAsia="Palatino Linotype"/>
          <w:sz w:val="24"/>
          <w:szCs w:val="24"/>
        </w:rPr>
        <w:t xml:space="preserve">summer </w:t>
      </w:r>
      <w:r w:rsidRPr="005B667C" w:rsidR="00695DDE">
        <w:rPr>
          <w:rFonts w:ascii="Palatino Linotype" w:hAnsi="Palatino Linotype" w:eastAsia="Palatino Linotype"/>
          <w:sz w:val="24"/>
          <w:szCs w:val="24"/>
        </w:rPr>
        <w:t>reliability resources towards MTR Decision requirements and directs that costs of capacity counted to meet MTR Decision requirements be recovered through the 2021 PCIA vintage.</w:t>
      </w:r>
      <w:r w:rsidRPr="005B667C" w:rsidR="000B3D1E">
        <w:rPr>
          <w:rStyle w:val="FootnoteReference"/>
          <w:rFonts w:ascii="Palatino Linotype" w:hAnsi="Palatino Linotype" w:eastAsia="Palatino Linotype"/>
          <w:sz w:val="24"/>
          <w:szCs w:val="24"/>
        </w:rPr>
        <w:footnoteReference w:id="8"/>
      </w:r>
      <w:r w:rsidRPr="005B667C" w:rsidR="006104CA">
        <w:rPr>
          <w:rFonts w:ascii="Palatino Linotype" w:hAnsi="Palatino Linotype" w:eastAsia="Palatino Linotype"/>
          <w:sz w:val="24"/>
          <w:szCs w:val="24"/>
        </w:rPr>
        <w:t xml:space="preserve"> SDG&amp;E further states that if SDCP’s recommendation is that the Commission order SDG&amp;E to file an application focused solely on its cost recovery request, </w:t>
      </w:r>
      <w:r w:rsidRPr="005B667C" w:rsidR="00066263">
        <w:rPr>
          <w:rFonts w:ascii="Palatino Linotype" w:hAnsi="Palatino Linotype" w:eastAsia="Palatino Linotype"/>
          <w:sz w:val="24"/>
          <w:szCs w:val="24"/>
        </w:rPr>
        <w:t xml:space="preserve">that </w:t>
      </w:r>
      <w:r w:rsidRPr="005B667C" w:rsidR="006104CA">
        <w:rPr>
          <w:rFonts w:ascii="Palatino Linotype" w:hAnsi="Palatino Linotype" w:eastAsia="Palatino Linotype"/>
          <w:sz w:val="24"/>
          <w:szCs w:val="24"/>
        </w:rPr>
        <w:t>it would be illogical to approve SDG&amp;E’s request to count the Project’s capacity toward its MTR obligations but withhold direction regarding cost recovery.</w:t>
      </w:r>
    </w:p>
    <w:p w:rsidRPr="005B667C" w:rsidR="008E1C0E" w:rsidP="00E25A81" w:rsidRDefault="008E1C0E" w14:paraId="368E3A24" w14:textId="77777777">
      <w:pPr>
        <w:rPr>
          <w:rFonts w:ascii="Palatino Linotype" w:hAnsi="Palatino Linotype" w:eastAsia="Palatino Linotype"/>
          <w:sz w:val="24"/>
          <w:szCs w:val="24"/>
        </w:rPr>
      </w:pPr>
    </w:p>
    <w:p w:rsidRPr="005B667C" w:rsidR="00866AE6" w:rsidP="00E25A81" w:rsidRDefault="008E1C0E" w14:paraId="4F51EFF4" w14:textId="04203E58">
      <w:pPr>
        <w:rPr>
          <w:rFonts w:ascii="Palatino Linotype" w:hAnsi="Palatino Linotype" w:eastAsia="Palatino Linotype"/>
          <w:sz w:val="24"/>
          <w:szCs w:val="24"/>
        </w:rPr>
      </w:pPr>
      <w:r w:rsidRPr="005B667C">
        <w:rPr>
          <w:rFonts w:ascii="Palatino Linotype" w:hAnsi="Palatino Linotype" w:eastAsia="Palatino Linotype"/>
          <w:sz w:val="24"/>
          <w:szCs w:val="24"/>
        </w:rPr>
        <w:t xml:space="preserve">Finally, in response to SDCP’s argument regarding the impact on SDCP and CEA customers, SDG&amp;E claims </w:t>
      </w:r>
      <w:r w:rsidRPr="005B667C" w:rsidR="004725AE">
        <w:rPr>
          <w:rFonts w:ascii="Palatino Linotype" w:hAnsi="Palatino Linotype" w:eastAsia="Palatino Linotype"/>
          <w:sz w:val="24"/>
          <w:szCs w:val="24"/>
        </w:rPr>
        <w:t>that counting the Project’s capacity towards its MTR requirements could actually serve to reduce costs for those customers because if SDG&amp;E did not apply the Project’s capacity to meet its MTR requirements, it would be required to separately procure additional capacity to meet its requirements, and per the MTR Decision, this additional capacity would be placed in the 2021 PCIA vintage, resulting in SDCP/CEA customers paying those costs in addition to costs of the Project recovered through CAM.</w:t>
      </w:r>
      <w:r w:rsidRPr="005B667C" w:rsidR="00866AE6">
        <w:rPr>
          <w:rFonts w:ascii="Palatino Linotype" w:hAnsi="Palatino Linotype" w:eastAsia="Palatino Linotype"/>
          <w:sz w:val="24"/>
          <w:szCs w:val="24"/>
        </w:rPr>
        <w:t xml:space="preserve"> </w:t>
      </w:r>
      <w:r w:rsidRPr="005B667C" w:rsidR="00F523BF">
        <w:rPr>
          <w:rFonts w:ascii="Palatino Linotype" w:hAnsi="Palatino Linotype" w:eastAsia="Palatino Linotype"/>
          <w:sz w:val="24"/>
          <w:szCs w:val="24"/>
        </w:rPr>
        <w:t xml:space="preserve">SDG&amp;E also states that SDCP’s request that the Commission </w:t>
      </w:r>
      <w:r w:rsidRPr="005B667C" w:rsidR="00F523BF">
        <w:rPr>
          <w:rFonts w:ascii="Palatino Linotype" w:hAnsi="Palatino Linotype" w:eastAsia="Palatino Linotype"/>
          <w:sz w:val="24"/>
          <w:szCs w:val="24"/>
        </w:rPr>
        <w:lastRenderedPageBreak/>
        <w:t xml:space="preserve">“consider the adverse effect of reducing available CAM resources and associated </w:t>
      </w:r>
      <w:r w:rsidR="00993CBB">
        <w:rPr>
          <w:rFonts w:ascii="Palatino Linotype" w:hAnsi="Palatino Linotype" w:eastAsia="Palatino Linotype"/>
          <w:sz w:val="24"/>
          <w:szCs w:val="24"/>
        </w:rPr>
        <w:br/>
      </w:r>
      <w:r w:rsidRPr="005B667C" w:rsidR="00F523BF">
        <w:rPr>
          <w:rFonts w:ascii="Palatino Linotype" w:hAnsi="Palatino Linotype" w:eastAsia="Palatino Linotype"/>
          <w:sz w:val="24"/>
          <w:szCs w:val="24"/>
        </w:rPr>
        <w:t>RA credit in a scarce market” is a request</w:t>
      </w:r>
      <w:r w:rsidRPr="005B667C" w:rsidR="00EB2C30">
        <w:rPr>
          <w:rFonts w:ascii="Palatino Linotype" w:hAnsi="Palatino Linotype" w:eastAsia="Palatino Linotype"/>
          <w:sz w:val="24"/>
          <w:szCs w:val="24"/>
        </w:rPr>
        <w:t xml:space="preserve"> that would require relitigating the </w:t>
      </w:r>
      <w:r w:rsidR="00993CBB">
        <w:rPr>
          <w:rFonts w:ascii="Palatino Linotype" w:hAnsi="Palatino Linotype" w:eastAsia="Palatino Linotype"/>
          <w:sz w:val="24"/>
          <w:szCs w:val="24"/>
        </w:rPr>
        <w:br/>
      </w:r>
      <w:r w:rsidRPr="005B667C" w:rsidR="00EB2C30">
        <w:rPr>
          <w:rFonts w:ascii="Palatino Linotype" w:hAnsi="Palatino Linotype" w:eastAsia="Palatino Linotype"/>
          <w:sz w:val="24"/>
          <w:szCs w:val="24"/>
        </w:rPr>
        <w:t>Commission’s</w:t>
      </w:r>
      <w:r w:rsidRPr="005B667C" w:rsidR="00F523BF">
        <w:rPr>
          <w:rFonts w:ascii="Palatino Linotype" w:hAnsi="Palatino Linotype" w:eastAsia="Palatino Linotype"/>
          <w:sz w:val="24"/>
          <w:szCs w:val="24"/>
        </w:rPr>
        <w:t xml:space="preserve"> determinations </w:t>
      </w:r>
      <w:r w:rsidRPr="005B667C" w:rsidR="00EB2C30">
        <w:rPr>
          <w:rFonts w:ascii="Palatino Linotype" w:hAnsi="Palatino Linotype" w:eastAsia="Palatino Linotype"/>
          <w:sz w:val="24"/>
          <w:szCs w:val="24"/>
        </w:rPr>
        <w:t xml:space="preserve">(and is thus prohibited by General Order 96-B) </w:t>
      </w:r>
      <w:r w:rsidRPr="005B667C" w:rsidR="00F523BF">
        <w:rPr>
          <w:rFonts w:ascii="Palatino Linotype" w:hAnsi="Palatino Linotype" w:eastAsia="Palatino Linotype"/>
          <w:sz w:val="24"/>
          <w:szCs w:val="24"/>
        </w:rPr>
        <w:t xml:space="preserve">in </w:t>
      </w:r>
      <w:r w:rsidR="00993CBB">
        <w:rPr>
          <w:rFonts w:ascii="Palatino Linotype" w:hAnsi="Palatino Linotype" w:eastAsia="Palatino Linotype"/>
          <w:sz w:val="24"/>
          <w:szCs w:val="24"/>
        </w:rPr>
        <w:br/>
      </w:r>
      <w:r w:rsidRPr="005B667C" w:rsidR="00F523BF">
        <w:rPr>
          <w:rFonts w:ascii="Palatino Linotype" w:hAnsi="Palatino Linotype" w:eastAsia="Palatino Linotype"/>
          <w:sz w:val="24"/>
          <w:szCs w:val="24"/>
        </w:rPr>
        <w:t xml:space="preserve">D.21-12-015, D.21-06-035, and Resolution E-5259 that load-serving entities (LSEs) may count </w:t>
      </w:r>
      <w:r w:rsidRPr="005B667C" w:rsidR="00E758E6">
        <w:rPr>
          <w:rFonts w:ascii="Palatino Linotype" w:hAnsi="Palatino Linotype" w:eastAsia="Palatino Linotype"/>
          <w:sz w:val="24"/>
          <w:szCs w:val="24"/>
        </w:rPr>
        <w:t xml:space="preserve">summer </w:t>
      </w:r>
      <w:r w:rsidRPr="005B667C" w:rsidR="00F523BF">
        <w:rPr>
          <w:rFonts w:ascii="Palatino Linotype" w:hAnsi="Palatino Linotype" w:eastAsia="Palatino Linotype"/>
          <w:sz w:val="24"/>
          <w:szCs w:val="24"/>
        </w:rPr>
        <w:t>reliability procurement towards MTR procurement obligations and recover the costs through the 2021 PCIA vintage.</w:t>
      </w:r>
      <w:r w:rsidRPr="005B667C" w:rsidR="00093884">
        <w:rPr>
          <w:rStyle w:val="FootnoteReference"/>
          <w:rFonts w:ascii="Palatino Linotype" w:hAnsi="Palatino Linotype" w:eastAsia="Palatino Linotype"/>
          <w:sz w:val="24"/>
          <w:szCs w:val="24"/>
        </w:rPr>
        <w:footnoteReference w:id="9"/>
      </w:r>
    </w:p>
    <w:p w:rsidRPr="005B667C" w:rsidR="00E25A81" w:rsidP="00E25A81" w:rsidRDefault="00E25A81" w14:paraId="77ED6A80" w14:textId="77777777">
      <w:pPr>
        <w:rPr>
          <w:rFonts w:ascii="Palatino Linotype" w:hAnsi="Palatino Linotype" w:eastAsia="Palatino Linotype"/>
          <w:sz w:val="24"/>
          <w:szCs w:val="24"/>
        </w:rPr>
      </w:pPr>
    </w:p>
    <w:p w:rsidRPr="005B667C" w:rsidR="00E25A81" w:rsidP="00E25A81" w:rsidRDefault="00E25A81" w14:paraId="6A1BAAB5" w14:textId="77777777">
      <w:pPr>
        <w:pStyle w:val="Heading1"/>
        <w:rPr>
          <w:rFonts w:ascii="Palatino Linotype" w:hAnsi="Palatino Linotype" w:eastAsia="Palatino Linotype"/>
          <w:sz w:val="24"/>
          <w:szCs w:val="24"/>
        </w:rPr>
      </w:pPr>
      <w:r w:rsidRPr="005B667C">
        <w:rPr>
          <w:rFonts w:ascii="Palatino Linotype" w:hAnsi="Palatino Linotype" w:eastAsia="Palatino Linotype"/>
          <w:sz w:val="24"/>
          <w:szCs w:val="24"/>
        </w:rPr>
        <w:t>Discussion</w:t>
      </w:r>
    </w:p>
    <w:p w:rsidRPr="005B667C" w:rsidR="00B9393F" w:rsidP="00E25A81" w:rsidRDefault="00E90C8B" w14:paraId="30033022" w14:textId="1C6A3073">
      <w:pPr>
        <w:rPr>
          <w:rFonts w:ascii="Palatino Linotype" w:hAnsi="Palatino Linotype" w:eastAsia="Palatino Linotype"/>
          <w:sz w:val="24"/>
          <w:szCs w:val="24"/>
        </w:rPr>
      </w:pPr>
      <w:r w:rsidRPr="005B667C">
        <w:rPr>
          <w:rFonts w:ascii="Palatino Linotype" w:hAnsi="Palatino Linotype" w:eastAsia="Palatino Linotype"/>
          <w:sz w:val="24"/>
          <w:szCs w:val="24"/>
        </w:rPr>
        <w:t>As</w:t>
      </w:r>
      <w:r w:rsidRPr="005B667C" w:rsidR="00706522">
        <w:rPr>
          <w:rFonts w:ascii="Palatino Linotype" w:hAnsi="Palatino Linotype" w:eastAsia="Palatino Linotype"/>
          <w:sz w:val="24"/>
          <w:szCs w:val="24"/>
        </w:rPr>
        <w:t xml:space="preserve"> </w:t>
      </w:r>
      <w:r w:rsidRPr="005B667C">
        <w:rPr>
          <w:rFonts w:ascii="Palatino Linotype" w:hAnsi="Palatino Linotype" w:eastAsia="Palatino Linotype"/>
          <w:sz w:val="24"/>
          <w:szCs w:val="24"/>
        </w:rPr>
        <w:t xml:space="preserve">a </w:t>
      </w:r>
      <w:r w:rsidRPr="005B667C" w:rsidR="00706522">
        <w:rPr>
          <w:rFonts w:ascii="Palatino Linotype" w:hAnsi="Palatino Linotype" w:eastAsia="Palatino Linotype"/>
          <w:sz w:val="24"/>
          <w:szCs w:val="24"/>
        </w:rPr>
        <w:t>procedur</w:t>
      </w:r>
      <w:r w:rsidRPr="005B667C">
        <w:rPr>
          <w:rFonts w:ascii="Palatino Linotype" w:hAnsi="Palatino Linotype" w:eastAsia="Palatino Linotype"/>
          <w:sz w:val="24"/>
          <w:szCs w:val="24"/>
        </w:rPr>
        <w:t>al matter</w:t>
      </w:r>
      <w:r w:rsidRPr="005B667C" w:rsidR="00706522">
        <w:rPr>
          <w:rFonts w:ascii="Palatino Linotype" w:hAnsi="Palatino Linotype" w:eastAsia="Palatino Linotype"/>
          <w:sz w:val="24"/>
          <w:szCs w:val="24"/>
        </w:rPr>
        <w:t>, i</w:t>
      </w:r>
      <w:r w:rsidRPr="005B667C" w:rsidR="00B9393F">
        <w:rPr>
          <w:rFonts w:ascii="Palatino Linotype" w:hAnsi="Palatino Linotype" w:eastAsia="Palatino Linotype"/>
          <w:sz w:val="24"/>
          <w:szCs w:val="24"/>
        </w:rPr>
        <w:t xml:space="preserve">t should be noted that although SDG&amp;E filed AL 4182-E with the Commission as a Tier 1 AL, the Commission </w:t>
      </w:r>
      <w:r w:rsidRPr="005B667C" w:rsidR="00B17BAB">
        <w:rPr>
          <w:rFonts w:ascii="Palatino Linotype" w:hAnsi="Palatino Linotype" w:eastAsia="Palatino Linotype"/>
          <w:sz w:val="24"/>
          <w:szCs w:val="24"/>
        </w:rPr>
        <w:t xml:space="preserve">raises the tier level </w:t>
      </w:r>
      <w:r w:rsidRPr="005B667C" w:rsidR="00706522">
        <w:rPr>
          <w:rFonts w:ascii="Palatino Linotype" w:hAnsi="Palatino Linotype" w:eastAsia="Palatino Linotype"/>
          <w:sz w:val="24"/>
          <w:szCs w:val="24"/>
        </w:rPr>
        <w:t>on its own initiative</w:t>
      </w:r>
      <w:r w:rsidRPr="005B667C" w:rsidR="00B17BAB">
        <w:rPr>
          <w:rFonts w:ascii="Palatino Linotype" w:hAnsi="Palatino Linotype" w:eastAsia="Palatino Linotype"/>
          <w:sz w:val="24"/>
          <w:szCs w:val="24"/>
        </w:rPr>
        <w:t xml:space="preserve"> to Tier 3</w:t>
      </w:r>
      <w:r w:rsidRPr="005B667C" w:rsidR="00706522">
        <w:rPr>
          <w:rFonts w:ascii="Palatino Linotype" w:hAnsi="Palatino Linotype" w:eastAsia="Palatino Linotype"/>
          <w:sz w:val="24"/>
          <w:szCs w:val="24"/>
        </w:rPr>
        <w:t>. This is</w:t>
      </w:r>
      <w:r w:rsidRPr="005B667C" w:rsidR="00B17BAB">
        <w:rPr>
          <w:rFonts w:ascii="Palatino Linotype" w:hAnsi="Palatino Linotype" w:eastAsia="Palatino Linotype"/>
          <w:sz w:val="24"/>
          <w:szCs w:val="24"/>
        </w:rPr>
        <w:t xml:space="preserve"> consistent with General Order 96-B, </w:t>
      </w:r>
      <w:r w:rsidRPr="005B667C" w:rsidR="00F33688">
        <w:rPr>
          <w:rFonts w:ascii="Palatino Linotype" w:hAnsi="Palatino Linotype" w:eastAsia="Palatino Linotype"/>
          <w:sz w:val="24"/>
          <w:szCs w:val="24"/>
        </w:rPr>
        <w:t>Energy Industry Rule 5, where the relief requested by SDG&amp;E (a change in cost recovery methodology from CAM to PCIA) is not eligible for either a Tier 1 or Tier 2 AL.</w:t>
      </w:r>
      <w:r w:rsidRPr="005B667C" w:rsidR="00706522">
        <w:rPr>
          <w:rFonts w:ascii="Palatino Linotype" w:hAnsi="Palatino Linotype" w:eastAsia="Palatino Linotype"/>
          <w:sz w:val="24"/>
          <w:szCs w:val="24"/>
        </w:rPr>
        <w:t xml:space="preserve"> </w:t>
      </w:r>
    </w:p>
    <w:p w:rsidRPr="005B667C" w:rsidR="00B9393F" w:rsidP="00E25A81" w:rsidRDefault="00B9393F" w14:paraId="775624E4" w14:textId="77777777">
      <w:pPr>
        <w:rPr>
          <w:rFonts w:ascii="Palatino Linotype" w:hAnsi="Palatino Linotype" w:eastAsia="Palatino Linotype"/>
          <w:sz w:val="24"/>
          <w:szCs w:val="24"/>
        </w:rPr>
      </w:pPr>
    </w:p>
    <w:p w:rsidRPr="005B667C" w:rsidR="00A0651D" w:rsidP="00CC3432" w:rsidRDefault="00E25A81" w14:paraId="0FCEEEFC" w14:textId="64046CD0">
      <w:pPr>
        <w:rPr>
          <w:rFonts w:ascii="Palatino Linotype" w:hAnsi="Palatino Linotype" w:eastAsia="Palatino Linotype"/>
          <w:sz w:val="24"/>
          <w:szCs w:val="24"/>
        </w:rPr>
      </w:pPr>
      <w:r w:rsidRPr="005B667C">
        <w:rPr>
          <w:rFonts w:ascii="Palatino Linotype" w:hAnsi="Palatino Linotype" w:eastAsia="Palatino Linotype"/>
          <w:sz w:val="24"/>
          <w:szCs w:val="24"/>
        </w:rPr>
        <w:t xml:space="preserve">The Commission has reviewed </w:t>
      </w:r>
      <w:r w:rsidRPr="005B667C" w:rsidR="009C7300">
        <w:rPr>
          <w:rFonts w:ascii="Palatino Linotype" w:hAnsi="Palatino Linotype" w:eastAsia="Palatino Linotype"/>
          <w:sz w:val="24"/>
          <w:szCs w:val="24"/>
        </w:rPr>
        <w:t>AL 4182-E, SDCP’s protest and SDG&amp;E</w:t>
      </w:r>
      <w:r w:rsidRPr="005B667C" w:rsidR="00B519F5">
        <w:rPr>
          <w:rFonts w:ascii="Palatino Linotype" w:hAnsi="Palatino Linotype" w:eastAsia="Palatino Linotype"/>
          <w:sz w:val="24"/>
          <w:szCs w:val="24"/>
        </w:rPr>
        <w:t>’s reply</w:t>
      </w:r>
      <w:r w:rsidRPr="005B667C" w:rsidR="009C7300">
        <w:rPr>
          <w:rFonts w:ascii="Palatino Linotype" w:hAnsi="Palatino Linotype" w:eastAsia="Palatino Linotype"/>
          <w:sz w:val="24"/>
          <w:szCs w:val="24"/>
        </w:rPr>
        <w:t xml:space="preserve">. </w:t>
      </w:r>
      <w:r w:rsidRPr="005B667C" w:rsidR="00CC3432">
        <w:rPr>
          <w:rFonts w:ascii="Palatino Linotype" w:hAnsi="Palatino Linotype" w:eastAsia="Palatino Linotype"/>
          <w:sz w:val="24"/>
          <w:szCs w:val="24"/>
        </w:rPr>
        <w:t>With regards to SDCP’s contention that there is no authority for PCIA treatment for Westside Canal, we disagree.</w:t>
      </w:r>
      <w:r w:rsidRPr="005B667C" w:rsidR="00520532">
        <w:rPr>
          <w:rFonts w:ascii="Palatino Linotype" w:hAnsi="Palatino Linotype" w:eastAsia="Palatino Linotype"/>
          <w:sz w:val="24"/>
          <w:szCs w:val="24"/>
        </w:rPr>
        <w:t xml:space="preserve"> The </w:t>
      </w:r>
      <w:r w:rsidRPr="005B667C" w:rsidR="00E758E6">
        <w:rPr>
          <w:rFonts w:ascii="Palatino Linotype" w:hAnsi="Palatino Linotype" w:eastAsia="Palatino Linotype"/>
          <w:sz w:val="24"/>
          <w:szCs w:val="24"/>
        </w:rPr>
        <w:t xml:space="preserve">Summer </w:t>
      </w:r>
      <w:r w:rsidRPr="005B667C" w:rsidR="00520532">
        <w:rPr>
          <w:rFonts w:ascii="Palatino Linotype" w:hAnsi="Palatino Linotype" w:eastAsia="Palatino Linotype"/>
          <w:sz w:val="24"/>
          <w:szCs w:val="24"/>
        </w:rPr>
        <w:t xml:space="preserve">Reliability Decision states that it is permissible for IOU to use UOS resources procured for 2022 and/or summer reliability to meet its individual IRP MTR requirements assuming the IOU meets otherwise applicable IRP MTR resource requirements and the IOU charges only bundled customers for the </w:t>
      </w:r>
      <w:r w:rsidR="00993CBB">
        <w:rPr>
          <w:rFonts w:ascii="Palatino Linotype" w:hAnsi="Palatino Linotype" w:eastAsia="Palatino Linotype"/>
          <w:sz w:val="24"/>
          <w:szCs w:val="24"/>
        </w:rPr>
        <w:br/>
      </w:r>
      <w:r w:rsidRPr="005B667C" w:rsidR="00520532">
        <w:rPr>
          <w:rFonts w:ascii="Palatino Linotype" w:hAnsi="Palatino Linotype" w:eastAsia="Palatino Linotype"/>
          <w:sz w:val="24"/>
          <w:szCs w:val="24"/>
        </w:rPr>
        <w:t>post-2023 costs of the resources.</w:t>
      </w:r>
      <w:r w:rsidRPr="005B667C" w:rsidR="00520532">
        <w:rPr>
          <w:rStyle w:val="FootnoteReference"/>
          <w:rFonts w:ascii="Palatino Linotype" w:hAnsi="Palatino Linotype" w:eastAsia="Palatino Linotype"/>
          <w:sz w:val="24"/>
          <w:szCs w:val="24"/>
        </w:rPr>
        <w:footnoteReference w:id="10"/>
      </w:r>
      <w:r w:rsidRPr="005B667C" w:rsidR="00520532">
        <w:rPr>
          <w:rFonts w:ascii="Palatino Linotype" w:hAnsi="Palatino Linotype" w:eastAsia="Palatino Linotype"/>
          <w:sz w:val="24"/>
          <w:szCs w:val="24"/>
        </w:rPr>
        <w:t xml:space="preserve"> </w:t>
      </w:r>
      <w:r w:rsidRPr="005B667C" w:rsidR="00375500">
        <w:rPr>
          <w:rFonts w:ascii="Palatino Linotype" w:hAnsi="Palatino Linotype" w:eastAsia="Palatino Linotype"/>
          <w:sz w:val="24"/>
          <w:szCs w:val="24"/>
        </w:rPr>
        <w:t>Further, the MTR Decision</w:t>
      </w:r>
      <w:r w:rsidRPr="005B667C" w:rsidR="0002666E">
        <w:rPr>
          <w:rFonts w:ascii="Palatino Linotype" w:hAnsi="Palatino Linotype" w:eastAsia="Palatino Linotype"/>
          <w:sz w:val="24"/>
          <w:szCs w:val="24"/>
        </w:rPr>
        <w:t xml:space="preserve"> allow</w:t>
      </w:r>
      <w:r w:rsidRPr="005B667C" w:rsidR="007D35DC">
        <w:rPr>
          <w:rFonts w:ascii="Palatino Linotype" w:hAnsi="Palatino Linotype" w:eastAsia="Palatino Linotype"/>
          <w:sz w:val="24"/>
          <w:szCs w:val="24"/>
        </w:rPr>
        <w:t>s</w:t>
      </w:r>
      <w:r w:rsidRPr="005B667C" w:rsidR="0002666E">
        <w:rPr>
          <w:rFonts w:ascii="Palatino Linotype" w:hAnsi="Palatino Linotype" w:eastAsia="Palatino Linotype"/>
          <w:sz w:val="24"/>
          <w:szCs w:val="24"/>
        </w:rPr>
        <w:t xml:space="preserve"> LSEs to count toward their </w:t>
      </w:r>
      <w:r w:rsidRPr="005B667C" w:rsidR="007D35DC">
        <w:rPr>
          <w:rFonts w:ascii="Palatino Linotype" w:hAnsi="Palatino Linotype" w:eastAsia="Palatino Linotype"/>
          <w:sz w:val="24"/>
          <w:szCs w:val="24"/>
        </w:rPr>
        <w:t xml:space="preserve">MTR requirements procurement that they have conducted to support the Commission’s orders for </w:t>
      </w:r>
      <w:r w:rsidRPr="005B667C" w:rsidR="00B519F5">
        <w:rPr>
          <w:rFonts w:ascii="Palatino Linotype" w:hAnsi="Palatino Linotype" w:eastAsia="Palatino Linotype"/>
          <w:sz w:val="24"/>
          <w:szCs w:val="24"/>
        </w:rPr>
        <w:t xml:space="preserve">summer </w:t>
      </w:r>
      <w:r w:rsidRPr="005B667C" w:rsidR="007D35DC">
        <w:rPr>
          <w:rFonts w:ascii="Palatino Linotype" w:hAnsi="Palatino Linotype" w:eastAsia="Palatino Linotype"/>
          <w:sz w:val="24"/>
          <w:szCs w:val="24"/>
        </w:rPr>
        <w:t>reliability purposes in R</w:t>
      </w:r>
      <w:r w:rsidRPr="005B667C" w:rsidR="009523C5">
        <w:rPr>
          <w:rFonts w:ascii="Palatino Linotype" w:hAnsi="Palatino Linotype" w:eastAsia="Palatino Linotype"/>
          <w:sz w:val="24"/>
          <w:szCs w:val="24"/>
        </w:rPr>
        <w:t>ulemaking (R</w:t>
      </w:r>
      <w:r w:rsidRPr="005B667C" w:rsidR="007D35DC">
        <w:rPr>
          <w:rFonts w:ascii="Palatino Linotype" w:hAnsi="Palatino Linotype" w:eastAsia="Palatino Linotype"/>
          <w:sz w:val="24"/>
          <w:szCs w:val="24"/>
        </w:rPr>
        <w:t>.</w:t>
      </w:r>
      <w:r w:rsidRPr="005B667C" w:rsidR="009523C5">
        <w:rPr>
          <w:rFonts w:ascii="Palatino Linotype" w:hAnsi="Palatino Linotype" w:eastAsia="Palatino Linotype"/>
          <w:sz w:val="24"/>
          <w:szCs w:val="24"/>
        </w:rPr>
        <w:t xml:space="preserve">) </w:t>
      </w:r>
      <w:r w:rsidRPr="005B667C" w:rsidR="007D35DC">
        <w:rPr>
          <w:rFonts w:ascii="Palatino Linotype" w:hAnsi="Palatino Linotype" w:eastAsia="Palatino Linotype"/>
          <w:sz w:val="24"/>
          <w:szCs w:val="24"/>
        </w:rPr>
        <w:t>20-11-003</w:t>
      </w:r>
      <w:r w:rsidRPr="005B667C" w:rsidR="009523C5">
        <w:rPr>
          <w:rFonts w:ascii="Palatino Linotype" w:hAnsi="Palatino Linotype" w:eastAsia="Palatino Linotype"/>
          <w:sz w:val="24"/>
          <w:szCs w:val="24"/>
        </w:rPr>
        <w:t xml:space="preserve">, under which the </w:t>
      </w:r>
      <w:r w:rsidRPr="005B667C" w:rsidR="00E758E6">
        <w:rPr>
          <w:rFonts w:ascii="Palatino Linotype" w:hAnsi="Palatino Linotype" w:eastAsia="Palatino Linotype"/>
          <w:sz w:val="24"/>
          <w:szCs w:val="24"/>
        </w:rPr>
        <w:t xml:space="preserve">Summer </w:t>
      </w:r>
      <w:r w:rsidRPr="005B667C" w:rsidR="009523C5">
        <w:rPr>
          <w:rFonts w:ascii="Palatino Linotype" w:hAnsi="Palatino Linotype" w:eastAsia="Palatino Linotype"/>
          <w:sz w:val="24"/>
          <w:szCs w:val="24"/>
        </w:rPr>
        <w:t>Reliability Decision was issued</w:t>
      </w:r>
      <w:r w:rsidRPr="005B667C" w:rsidR="007D35DC">
        <w:rPr>
          <w:rFonts w:ascii="Palatino Linotype" w:hAnsi="Palatino Linotype" w:eastAsia="Palatino Linotype"/>
          <w:sz w:val="24"/>
          <w:szCs w:val="24"/>
        </w:rPr>
        <w:t>.</w:t>
      </w:r>
      <w:r w:rsidRPr="005B667C" w:rsidR="003737CE">
        <w:rPr>
          <w:rStyle w:val="FootnoteReference"/>
          <w:rFonts w:ascii="Palatino Linotype" w:hAnsi="Palatino Linotype" w:eastAsia="Palatino Linotype"/>
          <w:sz w:val="24"/>
          <w:szCs w:val="24"/>
        </w:rPr>
        <w:footnoteReference w:id="11"/>
      </w:r>
      <w:r w:rsidRPr="005B667C" w:rsidR="007D35DC">
        <w:rPr>
          <w:rFonts w:ascii="Palatino Linotype" w:hAnsi="Palatino Linotype" w:eastAsia="Palatino Linotype"/>
          <w:sz w:val="24"/>
          <w:szCs w:val="24"/>
        </w:rPr>
        <w:t xml:space="preserve"> </w:t>
      </w:r>
      <w:r w:rsidRPr="005B667C" w:rsidR="008D798F">
        <w:rPr>
          <w:rFonts w:ascii="Palatino Linotype" w:hAnsi="Palatino Linotype" w:eastAsia="Palatino Linotype"/>
          <w:sz w:val="24"/>
          <w:szCs w:val="24"/>
        </w:rPr>
        <w:t xml:space="preserve">Finally, as noted by SDG&amp;E in its reply, </w:t>
      </w:r>
      <w:r w:rsidRPr="005B667C" w:rsidR="00293567">
        <w:rPr>
          <w:rFonts w:ascii="Palatino Linotype" w:hAnsi="Palatino Linotype" w:eastAsia="Palatino Linotype"/>
          <w:sz w:val="24"/>
          <w:szCs w:val="24"/>
        </w:rPr>
        <w:t xml:space="preserve">the Commission in Resolution E-5259 approved a similar request by SCE to count its utility-owned Etiwanda Separator storage project toward its MTR obligations and modify the project’s cost recovery mechanism from CAM to PCIA.   </w:t>
      </w:r>
      <w:r w:rsidRPr="005B667C" w:rsidR="0002666E">
        <w:rPr>
          <w:rFonts w:ascii="Palatino Linotype" w:hAnsi="Palatino Linotype" w:eastAsia="Palatino Linotype"/>
          <w:sz w:val="24"/>
          <w:szCs w:val="24"/>
        </w:rPr>
        <w:t xml:space="preserve"> </w:t>
      </w:r>
    </w:p>
    <w:p w:rsidRPr="005B667C" w:rsidR="00A0651D" w:rsidP="00E25A81" w:rsidRDefault="00A0651D" w14:paraId="3E4F6D6B" w14:textId="77777777">
      <w:pPr>
        <w:rPr>
          <w:rFonts w:ascii="Palatino Linotype" w:hAnsi="Palatino Linotype" w:eastAsia="Palatino Linotype"/>
          <w:sz w:val="24"/>
          <w:szCs w:val="24"/>
        </w:rPr>
      </w:pPr>
    </w:p>
    <w:p w:rsidRPr="005B667C" w:rsidR="00ED130C" w:rsidP="00E25A81" w:rsidRDefault="007C22C0" w14:paraId="342B3CC6" w14:textId="0C662E3F">
      <w:pPr>
        <w:rPr>
          <w:rFonts w:ascii="Palatino Linotype" w:hAnsi="Palatino Linotype"/>
          <w:sz w:val="24"/>
          <w:szCs w:val="24"/>
        </w:rPr>
      </w:pPr>
      <w:r w:rsidRPr="005B667C">
        <w:rPr>
          <w:rFonts w:ascii="Palatino Linotype" w:hAnsi="Palatino Linotype"/>
          <w:sz w:val="24"/>
          <w:szCs w:val="24"/>
        </w:rPr>
        <w:t>SDCP also states that “[i]n order to count for MTR purposes, utility-owned projects must be submitted via application rather than advice letter</w:t>
      </w:r>
      <w:r w:rsidRPr="005B667C" w:rsidR="00C97D68">
        <w:rPr>
          <w:rFonts w:ascii="Palatino Linotype" w:hAnsi="Palatino Linotype"/>
          <w:sz w:val="24"/>
          <w:szCs w:val="24"/>
        </w:rPr>
        <w:t>.”</w:t>
      </w:r>
      <w:r w:rsidRPr="005B667C">
        <w:rPr>
          <w:rStyle w:val="FootnoteReference"/>
          <w:rFonts w:ascii="Palatino Linotype" w:hAnsi="Palatino Linotype"/>
          <w:sz w:val="24"/>
          <w:szCs w:val="24"/>
        </w:rPr>
        <w:footnoteReference w:id="12"/>
      </w:r>
      <w:r w:rsidRPr="005B667C">
        <w:rPr>
          <w:rFonts w:ascii="Palatino Linotype" w:hAnsi="Palatino Linotype"/>
          <w:sz w:val="24"/>
          <w:szCs w:val="24"/>
        </w:rPr>
        <w:t xml:space="preserve"> </w:t>
      </w:r>
      <w:r w:rsidRPr="005B667C" w:rsidR="00C97D68">
        <w:rPr>
          <w:rFonts w:ascii="Palatino Linotype" w:hAnsi="Palatino Linotype"/>
          <w:sz w:val="24"/>
          <w:szCs w:val="24"/>
        </w:rPr>
        <w:t>We note that OP 13 of the MTR Decision, which SDCP refers to, is in the context of cost recovery requests, not for counting capacity towards MTR requirements.</w:t>
      </w:r>
      <w:r w:rsidRPr="005B667C" w:rsidR="00C65643">
        <w:rPr>
          <w:rFonts w:ascii="Palatino Linotype" w:hAnsi="Palatino Linotype"/>
          <w:sz w:val="24"/>
          <w:szCs w:val="24"/>
        </w:rPr>
        <w:t xml:space="preserve"> </w:t>
      </w:r>
      <w:r w:rsidRPr="005B667C" w:rsidR="00C97D68">
        <w:rPr>
          <w:rFonts w:ascii="Palatino Linotype" w:hAnsi="Palatino Linotype"/>
          <w:sz w:val="24"/>
          <w:szCs w:val="24"/>
        </w:rPr>
        <w:t>Additionally</w:t>
      </w:r>
      <w:r w:rsidRPr="005B667C" w:rsidR="00C65643">
        <w:rPr>
          <w:rFonts w:ascii="Palatino Linotype" w:hAnsi="Palatino Linotype"/>
          <w:sz w:val="24"/>
          <w:szCs w:val="24"/>
        </w:rPr>
        <w:t xml:space="preserve">, </w:t>
      </w:r>
      <w:r w:rsidRPr="005B667C">
        <w:rPr>
          <w:rFonts w:ascii="Palatino Linotype" w:hAnsi="Palatino Linotype"/>
          <w:sz w:val="24"/>
          <w:szCs w:val="24"/>
        </w:rPr>
        <w:t xml:space="preserve">the </w:t>
      </w:r>
      <w:r w:rsidRPr="005B667C" w:rsidR="00E758E6">
        <w:rPr>
          <w:rFonts w:ascii="Palatino Linotype" w:hAnsi="Palatino Linotype"/>
          <w:sz w:val="24"/>
          <w:szCs w:val="24"/>
        </w:rPr>
        <w:t xml:space="preserve">Summer </w:t>
      </w:r>
      <w:r w:rsidRPr="005B667C">
        <w:rPr>
          <w:rFonts w:ascii="Palatino Linotype" w:hAnsi="Palatino Linotype"/>
          <w:sz w:val="24"/>
          <w:szCs w:val="24"/>
        </w:rPr>
        <w:t xml:space="preserve">Reliability Decision states that “[t]he requirement established in [the MTR Decision] obligating the </w:t>
      </w:r>
      <w:r w:rsidRPr="005B667C">
        <w:rPr>
          <w:rFonts w:ascii="Palatino Linotype" w:hAnsi="Palatino Linotype"/>
          <w:sz w:val="24"/>
          <w:szCs w:val="24"/>
        </w:rPr>
        <w:lastRenderedPageBreak/>
        <w:t>IOUs to submit an application for utility-owned resources procured to meet IRP MTR resource requirements does not apply to UOS resources that are brought online in response to this order.”</w:t>
      </w:r>
      <w:r w:rsidRPr="005B667C">
        <w:rPr>
          <w:rStyle w:val="FootnoteReference"/>
          <w:rFonts w:ascii="Palatino Linotype" w:hAnsi="Palatino Linotype"/>
          <w:sz w:val="24"/>
          <w:szCs w:val="24"/>
        </w:rPr>
        <w:footnoteReference w:id="13"/>
      </w:r>
      <w:r w:rsidRPr="005B667C" w:rsidR="00C65643">
        <w:rPr>
          <w:rFonts w:ascii="Palatino Linotype" w:hAnsi="Palatino Linotype"/>
          <w:sz w:val="24"/>
          <w:szCs w:val="24"/>
        </w:rPr>
        <w:t xml:space="preserve"> </w:t>
      </w:r>
      <w:r w:rsidRPr="005B667C" w:rsidR="00C97D68">
        <w:rPr>
          <w:rFonts w:ascii="Palatino Linotype" w:hAnsi="Palatino Linotype"/>
          <w:sz w:val="24"/>
          <w:szCs w:val="24"/>
        </w:rPr>
        <w:t xml:space="preserve">In accordance with the </w:t>
      </w:r>
      <w:r w:rsidRPr="005B667C" w:rsidR="00E758E6">
        <w:rPr>
          <w:rFonts w:ascii="Palatino Linotype" w:hAnsi="Palatino Linotype"/>
          <w:sz w:val="24"/>
          <w:szCs w:val="24"/>
        </w:rPr>
        <w:t xml:space="preserve">Summer </w:t>
      </w:r>
      <w:r w:rsidRPr="005B667C" w:rsidR="00C97D68">
        <w:rPr>
          <w:rFonts w:ascii="Palatino Linotype" w:hAnsi="Palatino Linotype"/>
          <w:sz w:val="24"/>
          <w:szCs w:val="24"/>
        </w:rPr>
        <w:t xml:space="preserve">Reliability Decision, </w:t>
      </w:r>
      <w:r w:rsidRPr="005B667C" w:rsidR="00C65643">
        <w:rPr>
          <w:rFonts w:ascii="Palatino Linotype" w:hAnsi="Palatino Linotype"/>
          <w:sz w:val="24"/>
          <w:szCs w:val="24"/>
        </w:rPr>
        <w:t xml:space="preserve">SDG&amp;E requested cost recovery for Westside Canal in Tier </w:t>
      </w:r>
      <w:r w:rsidRPr="005B667C" w:rsidR="00C97D68">
        <w:rPr>
          <w:rFonts w:ascii="Palatino Linotype" w:hAnsi="Palatino Linotype"/>
          <w:sz w:val="24"/>
          <w:szCs w:val="24"/>
        </w:rPr>
        <w:t>2</w:t>
      </w:r>
      <w:r w:rsidRPr="005B667C" w:rsidR="00C65643">
        <w:rPr>
          <w:rFonts w:ascii="Palatino Linotype" w:hAnsi="Palatino Linotype"/>
          <w:sz w:val="24"/>
          <w:szCs w:val="24"/>
        </w:rPr>
        <w:t xml:space="preserve"> AL 3913-E, which was approved in Resolution E-5193.</w:t>
      </w:r>
    </w:p>
    <w:p w:rsidRPr="005B667C" w:rsidR="00ED130C" w:rsidP="00E25A81" w:rsidRDefault="00ED130C" w14:paraId="6BB8E558" w14:textId="77777777">
      <w:pPr>
        <w:rPr>
          <w:rFonts w:ascii="Palatino Linotype" w:hAnsi="Palatino Linotype"/>
          <w:sz w:val="24"/>
          <w:szCs w:val="24"/>
        </w:rPr>
      </w:pPr>
    </w:p>
    <w:p w:rsidRPr="005B667C" w:rsidR="0021024B" w:rsidP="00C14010" w:rsidRDefault="00C14010" w14:paraId="2648641A" w14:textId="3B09C3CF">
      <w:pPr>
        <w:rPr>
          <w:rFonts w:ascii="Palatino Linotype" w:hAnsi="Palatino Linotype"/>
          <w:sz w:val="24"/>
          <w:szCs w:val="24"/>
        </w:rPr>
      </w:pPr>
      <w:r w:rsidRPr="005B667C">
        <w:rPr>
          <w:rFonts w:ascii="Palatino Linotype" w:hAnsi="Palatino Linotype"/>
          <w:sz w:val="24"/>
          <w:szCs w:val="24"/>
        </w:rPr>
        <w:t>Finally</w:t>
      </w:r>
      <w:r w:rsidRPr="005B667C" w:rsidR="008A2922">
        <w:rPr>
          <w:rFonts w:ascii="Palatino Linotype" w:hAnsi="Palatino Linotype"/>
          <w:sz w:val="24"/>
          <w:szCs w:val="24"/>
        </w:rPr>
        <w:t>,</w:t>
      </w:r>
      <w:r w:rsidRPr="005B667C" w:rsidR="00BA2DB1">
        <w:rPr>
          <w:rFonts w:ascii="Palatino Linotype" w:hAnsi="Palatino Linotype"/>
          <w:sz w:val="24"/>
          <w:szCs w:val="24"/>
        </w:rPr>
        <w:t xml:space="preserve"> with regards to burden</w:t>
      </w:r>
      <w:r w:rsidRPr="005B667C" w:rsidR="00D7474C">
        <w:rPr>
          <w:rFonts w:ascii="Palatino Linotype" w:hAnsi="Palatino Linotype"/>
          <w:sz w:val="24"/>
          <w:szCs w:val="24"/>
        </w:rPr>
        <w:t>ing</w:t>
      </w:r>
      <w:r w:rsidRPr="005B667C" w:rsidR="00BA2DB1">
        <w:rPr>
          <w:rFonts w:ascii="Palatino Linotype" w:hAnsi="Palatino Linotype"/>
          <w:sz w:val="24"/>
          <w:szCs w:val="24"/>
        </w:rPr>
        <w:t xml:space="preserve"> SDCP/CEA customers,</w:t>
      </w:r>
      <w:r w:rsidRPr="005B667C" w:rsidR="008A2922">
        <w:rPr>
          <w:rFonts w:ascii="Palatino Linotype" w:hAnsi="Palatino Linotype"/>
          <w:sz w:val="24"/>
          <w:szCs w:val="24"/>
        </w:rPr>
        <w:t xml:space="preserve"> </w:t>
      </w:r>
      <w:r w:rsidRPr="005B667C">
        <w:rPr>
          <w:rFonts w:ascii="Palatino Linotype" w:hAnsi="Palatino Linotype"/>
          <w:sz w:val="24"/>
          <w:szCs w:val="24"/>
        </w:rPr>
        <w:t>SDCP</w:t>
      </w:r>
      <w:r w:rsidRPr="005B667C" w:rsidR="008A2922">
        <w:rPr>
          <w:rFonts w:ascii="Palatino Linotype" w:hAnsi="Palatino Linotype"/>
          <w:sz w:val="24"/>
          <w:szCs w:val="24"/>
        </w:rPr>
        <w:t xml:space="preserve"> states</w:t>
      </w:r>
      <w:r w:rsidRPr="005B667C">
        <w:rPr>
          <w:rFonts w:ascii="Palatino Linotype" w:hAnsi="Palatino Linotype"/>
          <w:sz w:val="24"/>
          <w:szCs w:val="24"/>
        </w:rPr>
        <w:t xml:space="preserve"> that granting SDG&amp;E’s request to change cost recovery authorization </w:t>
      </w:r>
      <w:r w:rsidRPr="005B667C" w:rsidR="00D7474C">
        <w:rPr>
          <w:rFonts w:ascii="Palatino Linotype" w:hAnsi="Palatino Linotype"/>
          <w:sz w:val="24"/>
          <w:szCs w:val="24"/>
        </w:rPr>
        <w:t xml:space="preserve">would do so </w:t>
      </w:r>
      <w:r w:rsidRPr="005B667C">
        <w:rPr>
          <w:rFonts w:ascii="Palatino Linotype" w:hAnsi="Palatino Linotype"/>
          <w:sz w:val="24"/>
          <w:szCs w:val="24"/>
        </w:rPr>
        <w:t>by 1) increasing PCIA charges and 2) removing the Project from the CAM list and eliminating RA credits that SDCP/CEA customers would otherwise have paid for and obtained.</w:t>
      </w:r>
      <w:r w:rsidRPr="005B667C" w:rsidR="00DD169B">
        <w:rPr>
          <w:rFonts w:ascii="Palatino Linotype" w:hAnsi="Palatino Linotype"/>
          <w:sz w:val="24"/>
          <w:szCs w:val="24"/>
        </w:rPr>
        <w:t xml:space="preserve"> Although the Commission recognizes that this change in CAM allocations </w:t>
      </w:r>
      <w:r w:rsidRPr="005B667C" w:rsidR="003069F5">
        <w:rPr>
          <w:rFonts w:ascii="Palatino Linotype" w:hAnsi="Palatino Linotype"/>
          <w:sz w:val="24"/>
          <w:szCs w:val="24"/>
        </w:rPr>
        <w:t>may affect RA procurement efforts</w:t>
      </w:r>
      <w:r w:rsidRPr="005B667C" w:rsidR="00DD169B">
        <w:rPr>
          <w:rFonts w:ascii="Palatino Linotype" w:hAnsi="Palatino Linotype"/>
          <w:sz w:val="24"/>
          <w:szCs w:val="24"/>
        </w:rPr>
        <w:t xml:space="preserve">, </w:t>
      </w:r>
      <w:r w:rsidRPr="005B667C" w:rsidR="006E237B">
        <w:rPr>
          <w:rFonts w:ascii="Palatino Linotype" w:hAnsi="Palatino Linotype"/>
          <w:sz w:val="24"/>
          <w:szCs w:val="24"/>
        </w:rPr>
        <w:t xml:space="preserve">the </w:t>
      </w:r>
      <w:r w:rsidRPr="005B667C" w:rsidR="00E758E6">
        <w:rPr>
          <w:rFonts w:ascii="Palatino Linotype" w:hAnsi="Palatino Linotype"/>
          <w:sz w:val="24"/>
          <w:szCs w:val="24"/>
        </w:rPr>
        <w:t xml:space="preserve">Summer </w:t>
      </w:r>
      <w:r w:rsidRPr="005B667C" w:rsidR="006E237B">
        <w:rPr>
          <w:rFonts w:ascii="Palatino Linotype" w:hAnsi="Palatino Linotype"/>
          <w:sz w:val="24"/>
          <w:szCs w:val="24"/>
        </w:rPr>
        <w:t xml:space="preserve">Reliability Decision clearly states that it is permissible for IOUs to use </w:t>
      </w:r>
      <w:r w:rsidRPr="005B667C" w:rsidR="00E758E6">
        <w:rPr>
          <w:rFonts w:ascii="Palatino Linotype" w:hAnsi="Palatino Linotype"/>
          <w:sz w:val="24"/>
          <w:szCs w:val="24"/>
        </w:rPr>
        <w:t xml:space="preserve">summer </w:t>
      </w:r>
      <w:r w:rsidRPr="005B667C" w:rsidR="006E237B">
        <w:rPr>
          <w:rFonts w:ascii="Palatino Linotype" w:hAnsi="Palatino Linotype"/>
          <w:sz w:val="24"/>
          <w:szCs w:val="24"/>
        </w:rPr>
        <w:t xml:space="preserve">reliability UOS resources to meet their IRP MTR requirements and that in order to do so, they must charge only bundled customers for the post-2023 cost of the resources. </w:t>
      </w:r>
      <w:r w:rsidRPr="005B667C" w:rsidR="00900FCF">
        <w:rPr>
          <w:rFonts w:ascii="Palatino Linotype" w:hAnsi="Palatino Linotype"/>
          <w:sz w:val="24"/>
          <w:szCs w:val="24"/>
        </w:rPr>
        <w:t>This is consistent with the MTR Decision</w:t>
      </w:r>
      <w:r w:rsidRPr="005B667C" w:rsidR="00900FCF">
        <w:rPr>
          <w:rStyle w:val="FootnoteReference"/>
          <w:rFonts w:ascii="Palatino Linotype" w:hAnsi="Palatino Linotype"/>
          <w:sz w:val="24"/>
          <w:szCs w:val="24"/>
        </w:rPr>
        <w:footnoteReference w:id="14"/>
      </w:r>
      <w:r w:rsidRPr="005B667C" w:rsidR="00A910FC">
        <w:rPr>
          <w:rFonts w:ascii="Palatino Linotype" w:hAnsi="Palatino Linotype"/>
          <w:sz w:val="24"/>
          <w:szCs w:val="24"/>
        </w:rPr>
        <w:t xml:space="preserve"> and t</w:t>
      </w:r>
      <w:r w:rsidRPr="005B667C" w:rsidR="006E237B">
        <w:rPr>
          <w:rFonts w:ascii="Palatino Linotype" w:hAnsi="Palatino Linotype"/>
          <w:sz w:val="24"/>
          <w:szCs w:val="24"/>
        </w:rPr>
        <w:t xml:space="preserve">here is no other cost recovery </w:t>
      </w:r>
      <w:r w:rsidRPr="005B667C" w:rsidR="00A910FC">
        <w:rPr>
          <w:rFonts w:ascii="Palatino Linotype" w:hAnsi="Palatino Linotype"/>
          <w:sz w:val="24"/>
          <w:szCs w:val="24"/>
        </w:rPr>
        <w:t xml:space="preserve">option other than the PCIA for </w:t>
      </w:r>
      <w:r w:rsidRPr="005B667C" w:rsidR="004F2088">
        <w:rPr>
          <w:rFonts w:ascii="Palatino Linotype" w:hAnsi="Palatino Linotype"/>
          <w:sz w:val="24"/>
          <w:szCs w:val="24"/>
        </w:rPr>
        <w:t>charging only bundled customers for a resource.</w:t>
      </w:r>
    </w:p>
    <w:p w:rsidRPr="005B667C" w:rsidR="00D7474C" w:rsidP="00C14010" w:rsidRDefault="00D7474C" w14:paraId="52185C42" w14:textId="77777777">
      <w:pPr>
        <w:rPr>
          <w:rFonts w:ascii="Palatino Linotype" w:hAnsi="Palatino Linotype"/>
          <w:sz w:val="24"/>
          <w:szCs w:val="24"/>
        </w:rPr>
      </w:pPr>
    </w:p>
    <w:p w:rsidRPr="005B667C" w:rsidR="0021024B" w:rsidP="00C14010" w:rsidRDefault="0021024B" w14:paraId="08293518" w14:textId="09AB0FF4">
      <w:pPr>
        <w:rPr>
          <w:rFonts w:ascii="Palatino Linotype" w:hAnsi="Palatino Linotype"/>
          <w:sz w:val="24"/>
          <w:szCs w:val="24"/>
        </w:rPr>
      </w:pPr>
      <w:r w:rsidRPr="005B667C">
        <w:rPr>
          <w:rFonts w:ascii="Palatino Linotype" w:hAnsi="Palatino Linotype"/>
          <w:sz w:val="24"/>
          <w:szCs w:val="24"/>
        </w:rPr>
        <w:t xml:space="preserve">SDCP </w:t>
      </w:r>
      <w:r w:rsidRPr="005B667C" w:rsidR="00BA2DB1">
        <w:rPr>
          <w:rFonts w:ascii="Palatino Linotype" w:hAnsi="Palatino Linotype"/>
          <w:sz w:val="24"/>
          <w:szCs w:val="24"/>
        </w:rPr>
        <w:t xml:space="preserve">also </w:t>
      </w:r>
      <w:r w:rsidRPr="005B667C">
        <w:rPr>
          <w:rFonts w:ascii="Palatino Linotype" w:hAnsi="Palatino Linotype"/>
          <w:sz w:val="24"/>
          <w:szCs w:val="24"/>
        </w:rPr>
        <w:t xml:space="preserve">takes issue with the fact that Westside Canal would be vintaged 2021 despite </w:t>
      </w:r>
      <w:r w:rsidRPr="005B667C" w:rsidR="003E4BF8">
        <w:rPr>
          <w:rFonts w:ascii="Palatino Linotype" w:hAnsi="Palatino Linotype"/>
          <w:sz w:val="24"/>
          <w:szCs w:val="24"/>
        </w:rPr>
        <w:t>an originally expected COD</w:t>
      </w:r>
      <w:r w:rsidRPr="005B667C" w:rsidR="003E4BF8">
        <w:rPr>
          <w:rStyle w:val="FootnoteReference"/>
          <w:rFonts w:ascii="Palatino Linotype" w:hAnsi="Palatino Linotype"/>
          <w:sz w:val="24"/>
          <w:szCs w:val="24"/>
        </w:rPr>
        <w:footnoteReference w:id="15"/>
      </w:r>
      <w:r w:rsidRPr="005B667C" w:rsidR="003E4BF8">
        <w:rPr>
          <w:rFonts w:ascii="Palatino Linotype" w:hAnsi="Palatino Linotype"/>
          <w:sz w:val="24"/>
          <w:szCs w:val="24"/>
        </w:rPr>
        <w:t xml:space="preserve"> at the end of the 2022</w:t>
      </w:r>
      <w:r w:rsidRPr="005B667C" w:rsidR="00D7474C">
        <w:rPr>
          <w:rFonts w:ascii="Palatino Linotype" w:hAnsi="Palatino Linotype"/>
          <w:sz w:val="24"/>
          <w:szCs w:val="24"/>
        </w:rPr>
        <w:t xml:space="preserve">. </w:t>
      </w:r>
      <w:r w:rsidRPr="005B667C" w:rsidR="003E4BF8">
        <w:rPr>
          <w:rFonts w:ascii="Palatino Linotype" w:hAnsi="Palatino Linotype"/>
          <w:sz w:val="24"/>
          <w:szCs w:val="24"/>
        </w:rPr>
        <w:t xml:space="preserve">The Project’s COD is </w:t>
      </w:r>
      <w:r w:rsidRPr="005B667C" w:rsidR="004B3200">
        <w:rPr>
          <w:rFonts w:ascii="Palatino Linotype" w:hAnsi="Palatino Linotype"/>
          <w:sz w:val="24"/>
          <w:szCs w:val="24"/>
        </w:rPr>
        <w:t xml:space="preserve">not </w:t>
      </w:r>
      <w:r w:rsidRPr="005B667C" w:rsidR="003E4BF8">
        <w:rPr>
          <w:rFonts w:ascii="Palatino Linotype" w:hAnsi="Palatino Linotype"/>
          <w:sz w:val="24"/>
          <w:szCs w:val="24"/>
        </w:rPr>
        <w:t>relevant. Regardless of when an MTR resource comes online, the MTR Decision’s procurement requirements were established in 2021, hence the direction in the MTR Decision that any resources applying to the order and subject to allocation using the PCIA be vintaged 2021.</w:t>
      </w:r>
      <w:r w:rsidRPr="005B667C" w:rsidR="003E4BF8">
        <w:rPr>
          <w:rStyle w:val="FootnoteReference"/>
          <w:rFonts w:ascii="Palatino Linotype" w:hAnsi="Palatino Linotype"/>
          <w:sz w:val="24"/>
          <w:szCs w:val="24"/>
        </w:rPr>
        <w:footnoteReference w:id="16"/>
      </w:r>
      <w:r w:rsidRPr="005B667C" w:rsidR="003E4BF8">
        <w:rPr>
          <w:rFonts w:ascii="Palatino Linotype" w:hAnsi="Palatino Linotype"/>
          <w:sz w:val="24"/>
          <w:szCs w:val="24"/>
        </w:rPr>
        <w:t xml:space="preserve"> </w:t>
      </w:r>
      <w:r w:rsidRPr="005B667C">
        <w:rPr>
          <w:rFonts w:ascii="Palatino Linotype" w:hAnsi="Palatino Linotype"/>
          <w:sz w:val="24"/>
          <w:szCs w:val="24"/>
        </w:rPr>
        <w:t xml:space="preserve"> </w:t>
      </w:r>
    </w:p>
    <w:p w:rsidRPr="005B667C" w:rsidR="0021024B" w:rsidP="00C14010" w:rsidRDefault="0021024B" w14:paraId="3A05D15F" w14:textId="77777777">
      <w:pPr>
        <w:rPr>
          <w:rFonts w:ascii="Palatino Linotype" w:hAnsi="Palatino Linotype"/>
          <w:sz w:val="24"/>
          <w:szCs w:val="24"/>
        </w:rPr>
      </w:pPr>
    </w:p>
    <w:p w:rsidRPr="005B667C" w:rsidR="00E25A81" w:rsidP="00E25A81" w:rsidRDefault="00511DDE" w14:paraId="7B54F6D1" w14:textId="028FCB47">
      <w:pPr>
        <w:rPr>
          <w:rFonts w:ascii="Palatino Linotype" w:hAnsi="Palatino Linotype" w:eastAsia="Palatino Linotype"/>
          <w:sz w:val="24"/>
          <w:szCs w:val="24"/>
        </w:rPr>
      </w:pPr>
      <w:r w:rsidRPr="005B667C">
        <w:rPr>
          <w:rFonts w:ascii="Palatino Linotype" w:hAnsi="Palatino Linotype"/>
          <w:sz w:val="24"/>
          <w:szCs w:val="24"/>
        </w:rPr>
        <w:t xml:space="preserve">SDG&amp;E’s request in AL 4182-E complies with the directives of the </w:t>
      </w:r>
      <w:r w:rsidRPr="005B667C" w:rsidR="00E758E6">
        <w:rPr>
          <w:rFonts w:ascii="Palatino Linotype" w:hAnsi="Palatino Linotype"/>
          <w:sz w:val="24"/>
          <w:szCs w:val="24"/>
        </w:rPr>
        <w:t xml:space="preserve">Summer </w:t>
      </w:r>
      <w:r w:rsidRPr="005B667C">
        <w:rPr>
          <w:rFonts w:ascii="Palatino Linotype" w:hAnsi="Palatino Linotype"/>
          <w:sz w:val="24"/>
          <w:szCs w:val="24"/>
        </w:rPr>
        <w:t>Reliability and MTR Decisions and will help SDG&amp;E meet its 2023 and 2024 MTR obligations.</w:t>
      </w:r>
      <w:r w:rsidRPr="005B667C">
        <w:rPr>
          <w:rFonts w:ascii="Palatino Linotype" w:hAnsi="Palatino Linotype" w:eastAsia="Palatino Linotype"/>
          <w:sz w:val="24"/>
          <w:szCs w:val="24"/>
        </w:rPr>
        <w:t xml:space="preserve"> </w:t>
      </w:r>
      <w:r w:rsidRPr="005B667C" w:rsidR="00E05310">
        <w:rPr>
          <w:rFonts w:ascii="Palatino Linotype" w:hAnsi="Palatino Linotype" w:eastAsia="Palatino Linotype"/>
          <w:sz w:val="24"/>
          <w:szCs w:val="24"/>
        </w:rPr>
        <w:t>Accordingly, we accept AL 4182-E and SDCP’s protest is denied.</w:t>
      </w:r>
    </w:p>
    <w:p w:rsidRPr="005B667C" w:rsidR="00E25A81" w:rsidP="00E25A81" w:rsidRDefault="00E25A81" w14:paraId="058DA8CA" w14:textId="77777777">
      <w:pPr>
        <w:rPr>
          <w:rFonts w:ascii="Palatino Linotype" w:hAnsi="Palatino Linotype" w:eastAsia="Palatino Linotype"/>
          <w:sz w:val="24"/>
          <w:szCs w:val="24"/>
        </w:rPr>
      </w:pPr>
    </w:p>
    <w:p w:rsidRPr="005B667C" w:rsidR="00E25A81" w:rsidP="00E25A81" w:rsidRDefault="00E25A81" w14:paraId="26910069" w14:textId="77777777">
      <w:pPr>
        <w:pStyle w:val="Heading1"/>
        <w:rPr>
          <w:rFonts w:ascii="Palatino Linotype" w:hAnsi="Palatino Linotype" w:eastAsia="Palatino Linotype"/>
          <w:sz w:val="24"/>
          <w:szCs w:val="24"/>
        </w:rPr>
      </w:pPr>
      <w:r w:rsidRPr="005B667C">
        <w:rPr>
          <w:rFonts w:ascii="Palatino Linotype" w:hAnsi="Palatino Linotype" w:eastAsia="Palatino Linotype"/>
          <w:sz w:val="24"/>
          <w:szCs w:val="24"/>
        </w:rPr>
        <w:t>Comments</w:t>
      </w:r>
    </w:p>
    <w:p w:rsidRPr="005B667C" w:rsidR="00E25A81" w:rsidP="00E25A81" w:rsidRDefault="00E25A81" w14:paraId="23C98A5F" w14:textId="77777777">
      <w:pPr>
        <w:rPr>
          <w:rFonts w:ascii="Palatino Linotype" w:hAnsi="Palatino Linotype" w:eastAsia="Palatino Linotype"/>
          <w:sz w:val="24"/>
          <w:szCs w:val="24"/>
        </w:rPr>
      </w:pPr>
      <w:r w:rsidRPr="005B667C">
        <w:rPr>
          <w:rFonts w:ascii="Palatino Linotype" w:hAnsi="Palatino Linotype" w:eastAsia="Palatino Linotype"/>
          <w:sz w:val="24"/>
          <w:szCs w:val="24"/>
        </w:rPr>
        <w:t xml:space="preserve">Public Utilities Code section 311(g)(1) provides that this Resolution must be served on all parties and subject to at least 30 days public review.  Any comments are due within 20 days of the date of its mailing and publication on the Commission’s website and in </w:t>
      </w:r>
      <w:r w:rsidRPr="005B667C">
        <w:rPr>
          <w:rFonts w:ascii="Palatino Linotype" w:hAnsi="Palatino Linotype" w:eastAsia="Palatino Linotype"/>
          <w:sz w:val="24"/>
          <w:szCs w:val="24"/>
        </w:rPr>
        <w:lastRenderedPageBreak/>
        <w:t xml:space="preserve">accordance with any instructions accompanying the notice. Section 311(g)(2) provides that this 30-day review period and 20-day comment period may be reduced or waived upon the stipulation of all parties in the proceeding. </w:t>
      </w:r>
    </w:p>
    <w:p w:rsidRPr="005B667C" w:rsidR="00E25A81" w:rsidP="00E25A81" w:rsidRDefault="00E25A81" w14:paraId="05CE2A45" w14:textId="77777777">
      <w:pPr>
        <w:rPr>
          <w:rFonts w:ascii="Palatino Linotype" w:hAnsi="Palatino Linotype" w:eastAsia="Palatino Linotype"/>
          <w:sz w:val="24"/>
          <w:szCs w:val="24"/>
        </w:rPr>
      </w:pPr>
    </w:p>
    <w:p w:rsidRPr="005B667C" w:rsidR="00E25A81" w:rsidP="00E25A81" w:rsidRDefault="005A363C" w14:paraId="51383EAE" w14:textId="444CA371">
      <w:pPr>
        <w:rPr>
          <w:rFonts w:ascii="Palatino Linotype" w:hAnsi="Palatino Linotype" w:eastAsia="Palatino Linotype"/>
          <w:sz w:val="24"/>
          <w:szCs w:val="24"/>
        </w:rPr>
      </w:pPr>
      <w:r w:rsidRPr="005A363C">
        <w:rPr>
          <w:rFonts w:ascii="Palatino Linotype" w:hAnsi="Palatino Linotype" w:eastAsia="Palatino Linotype"/>
          <w:sz w:val="24"/>
          <w:szCs w:val="24"/>
        </w:rPr>
        <w:t>The 30-day review and 20-day comment period for the draft of this Resolution was neither waived nor reduced.  Accordingly, this draft Resolution was mailed to parties for comments, and will be placed on the CPUC's agenda no earlier than 30 days from today.</w:t>
      </w:r>
      <w:r w:rsidRPr="005B667C" w:rsidR="00E25A81">
        <w:rPr>
          <w:rFonts w:ascii="Palatino Linotype" w:hAnsi="Palatino Linotype" w:eastAsia="Palatino Linotype"/>
          <w:sz w:val="24"/>
          <w:szCs w:val="24"/>
        </w:rPr>
        <w:t xml:space="preserve"> </w:t>
      </w:r>
    </w:p>
    <w:p w:rsidRPr="005B667C" w:rsidR="00E25A81" w:rsidP="00E25A81" w:rsidRDefault="00E25A81" w14:paraId="75C97A17" w14:textId="77777777">
      <w:pPr>
        <w:rPr>
          <w:rFonts w:ascii="Palatino Linotype" w:hAnsi="Palatino Linotype" w:eastAsia="Palatino Linotype"/>
          <w:sz w:val="24"/>
          <w:szCs w:val="24"/>
        </w:rPr>
      </w:pPr>
    </w:p>
    <w:p w:rsidRPr="005B667C" w:rsidR="00E25A81" w:rsidP="00E25A81" w:rsidRDefault="00E25A81" w14:paraId="4D5DBF3D" w14:textId="77777777">
      <w:pPr>
        <w:pStyle w:val="Heading1"/>
        <w:rPr>
          <w:rFonts w:ascii="Palatino Linotype" w:hAnsi="Palatino Linotype" w:eastAsia="Palatino Linotype"/>
          <w:sz w:val="24"/>
          <w:szCs w:val="24"/>
        </w:rPr>
      </w:pPr>
      <w:r w:rsidRPr="005B667C">
        <w:rPr>
          <w:rFonts w:ascii="Palatino Linotype" w:hAnsi="Palatino Linotype" w:eastAsia="Palatino Linotype"/>
          <w:sz w:val="24"/>
          <w:szCs w:val="24"/>
        </w:rPr>
        <w:t>Findings</w:t>
      </w:r>
    </w:p>
    <w:p w:rsidRPr="005B667C" w:rsidR="006A4CBA" w:rsidP="003A5EE9" w:rsidRDefault="006A4CBA" w14:paraId="1604B2FD" w14:textId="18CF6645">
      <w:pPr>
        <w:pStyle w:val="ListParagraph"/>
        <w:numPr>
          <w:ilvl w:val="0"/>
          <w:numId w:val="17"/>
        </w:numPr>
        <w:rPr>
          <w:rFonts w:ascii="Palatino Linotype" w:hAnsi="Palatino Linotype" w:eastAsia="Palatino Linotype"/>
          <w:sz w:val="24"/>
          <w:szCs w:val="24"/>
        </w:rPr>
      </w:pPr>
      <w:r w:rsidRPr="005B667C">
        <w:rPr>
          <w:rFonts w:ascii="Palatino Linotype" w:hAnsi="Palatino Linotype"/>
          <w:sz w:val="24"/>
          <w:szCs w:val="24"/>
        </w:rPr>
        <w:t xml:space="preserve">San Diego Gas &amp; Electric’s (SDG&amp;E) midterm reliability procurement requirement, with the Commission’s Energy Division’s acceptance of Advice Letter 3967-E, is 82.7 MW online by August 1, 2023; 247.6 MW online by </w:t>
      </w:r>
      <w:r w:rsidR="00993CBB">
        <w:rPr>
          <w:rFonts w:ascii="Palatino Linotype" w:hAnsi="Palatino Linotype"/>
          <w:sz w:val="24"/>
          <w:szCs w:val="24"/>
        </w:rPr>
        <w:br/>
      </w:r>
      <w:r w:rsidRPr="005B667C">
        <w:rPr>
          <w:rFonts w:ascii="Palatino Linotype" w:hAnsi="Palatino Linotype"/>
          <w:sz w:val="24"/>
          <w:szCs w:val="24"/>
        </w:rPr>
        <w:t>June 1, 2024; 62.3 MW online by June 1, 2025; and 82.7 MW of long lead time resources by 2026.</w:t>
      </w:r>
    </w:p>
    <w:p w:rsidRPr="005B667C" w:rsidR="006A4CBA" w:rsidP="003A5EE9" w:rsidRDefault="003A5EE9" w14:paraId="235997F6" w14:textId="61761448">
      <w:pPr>
        <w:pStyle w:val="ListParagraph"/>
        <w:numPr>
          <w:ilvl w:val="0"/>
          <w:numId w:val="17"/>
        </w:numPr>
        <w:rPr>
          <w:rFonts w:ascii="Palatino Linotype" w:hAnsi="Palatino Linotype" w:eastAsia="Palatino Linotype"/>
          <w:sz w:val="24"/>
          <w:szCs w:val="24"/>
        </w:rPr>
      </w:pPr>
      <w:r w:rsidRPr="005B667C">
        <w:rPr>
          <w:rFonts w:ascii="Palatino Linotype" w:hAnsi="Palatino Linotype"/>
          <w:sz w:val="24"/>
          <w:szCs w:val="24"/>
        </w:rPr>
        <w:t xml:space="preserve">The Commission in </w:t>
      </w:r>
      <w:r w:rsidRPr="005B667C" w:rsidR="006A4CBA">
        <w:rPr>
          <w:rFonts w:ascii="Palatino Linotype" w:hAnsi="Palatino Linotype"/>
          <w:sz w:val="24"/>
          <w:szCs w:val="24"/>
        </w:rPr>
        <w:t>Resolution E-5193 approved the Westside Canal Energy Storage Project and two other SDG&amp;E utility-owned storage (UOS) projects and the total estimated costs of such projects to meet summer reliability needs.</w:t>
      </w:r>
    </w:p>
    <w:p w:rsidRPr="005B667C" w:rsidR="00656143" w:rsidP="003A5EE9" w:rsidRDefault="00656143" w14:paraId="504EAA24" w14:textId="57CC322B">
      <w:pPr>
        <w:pStyle w:val="ListParagraph"/>
        <w:numPr>
          <w:ilvl w:val="0"/>
          <w:numId w:val="17"/>
        </w:numPr>
        <w:rPr>
          <w:rFonts w:ascii="Palatino Linotype" w:hAnsi="Palatino Linotype" w:eastAsia="Palatino Linotype"/>
          <w:sz w:val="24"/>
          <w:szCs w:val="24"/>
        </w:rPr>
      </w:pPr>
      <w:r w:rsidRPr="005B667C">
        <w:rPr>
          <w:rFonts w:ascii="Palatino Linotype" w:hAnsi="Palatino Linotype"/>
          <w:sz w:val="24"/>
          <w:szCs w:val="24"/>
        </w:rPr>
        <w:t>Decision (D.) 21-12-015</w:t>
      </w:r>
      <w:r w:rsidRPr="005B667C" w:rsidR="001E4BDF">
        <w:rPr>
          <w:rFonts w:ascii="Palatino Linotype" w:hAnsi="Palatino Linotype"/>
          <w:sz w:val="24"/>
          <w:szCs w:val="24"/>
        </w:rPr>
        <w:t xml:space="preserve"> permits an investor-owned utility (IOU) to use UOS resources procured for 2022 and/or 2023 summer reliability to meet its individual midterm reliability requirements for its bundled customers if the resource meets otherwise applicable midterm reliability resource requirements and the IOU charges only bundled customers for the post-2023 cost of the resources. </w:t>
      </w:r>
    </w:p>
    <w:p w:rsidRPr="005B667C" w:rsidR="00A516EB" w:rsidP="003A5EE9" w:rsidRDefault="00177621" w14:paraId="089833EC" w14:textId="4FE11E5F">
      <w:pPr>
        <w:pStyle w:val="ListParagraph"/>
        <w:numPr>
          <w:ilvl w:val="0"/>
          <w:numId w:val="17"/>
        </w:numPr>
        <w:rPr>
          <w:rFonts w:ascii="Palatino Linotype" w:hAnsi="Palatino Linotype" w:eastAsia="Palatino Linotype"/>
          <w:sz w:val="24"/>
          <w:szCs w:val="24"/>
        </w:rPr>
      </w:pPr>
      <w:r w:rsidRPr="005B667C">
        <w:rPr>
          <w:rFonts w:ascii="Palatino Linotype" w:hAnsi="Palatino Linotype" w:eastAsia="Palatino Linotype"/>
          <w:sz w:val="24"/>
          <w:szCs w:val="24"/>
        </w:rPr>
        <w:t xml:space="preserve">SDG&amp;E’s proposed changes in cost recovery methodology in Advice Letter </w:t>
      </w:r>
      <w:r w:rsidR="00993CBB">
        <w:rPr>
          <w:rFonts w:ascii="Palatino Linotype" w:hAnsi="Palatino Linotype" w:eastAsia="Palatino Linotype"/>
          <w:sz w:val="24"/>
          <w:szCs w:val="24"/>
        </w:rPr>
        <w:br/>
      </w:r>
      <w:r w:rsidRPr="005B667C">
        <w:rPr>
          <w:rFonts w:ascii="Palatino Linotype" w:hAnsi="Palatino Linotype" w:eastAsia="Palatino Linotype"/>
          <w:sz w:val="24"/>
          <w:szCs w:val="24"/>
        </w:rPr>
        <w:t xml:space="preserve">4182-E comply with the Commission’s prior direction in D.21-06-035, </w:t>
      </w:r>
      <w:r w:rsidR="00993CBB">
        <w:rPr>
          <w:rFonts w:ascii="Palatino Linotype" w:hAnsi="Palatino Linotype" w:eastAsia="Palatino Linotype"/>
          <w:sz w:val="24"/>
          <w:szCs w:val="24"/>
        </w:rPr>
        <w:br/>
      </w:r>
      <w:r w:rsidRPr="005B667C">
        <w:rPr>
          <w:rFonts w:ascii="Palatino Linotype" w:hAnsi="Palatino Linotype" w:eastAsia="Palatino Linotype"/>
          <w:sz w:val="24"/>
          <w:szCs w:val="24"/>
        </w:rPr>
        <w:t xml:space="preserve">D.21-12-015, and Resolution E-5259 for purposes of applying the Westside </w:t>
      </w:r>
      <w:r w:rsidR="00993CBB">
        <w:rPr>
          <w:rFonts w:ascii="Palatino Linotype" w:hAnsi="Palatino Linotype" w:eastAsia="Palatino Linotype"/>
          <w:sz w:val="24"/>
          <w:szCs w:val="24"/>
        </w:rPr>
        <w:br/>
      </w:r>
      <w:r w:rsidRPr="005B667C">
        <w:rPr>
          <w:rFonts w:ascii="Palatino Linotype" w:hAnsi="Palatino Linotype" w:eastAsia="Palatino Linotype"/>
          <w:sz w:val="24"/>
          <w:szCs w:val="24"/>
        </w:rPr>
        <w:t>Canal Energy Storage Project toward its midterm reliability requirements.</w:t>
      </w:r>
    </w:p>
    <w:p w:rsidRPr="005B667C" w:rsidR="00177621" w:rsidP="003A5EE9" w:rsidRDefault="00A516EB" w14:paraId="6C4CC9C6" w14:textId="64E55614">
      <w:pPr>
        <w:pStyle w:val="ListParagraph"/>
        <w:numPr>
          <w:ilvl w:val="0"/>
          <w:numId w:val="17"/>
        </w:numPr>
        <w:rPr>
          <w:rFonts w:ascii="Palatino Linotype" w:hAnsi="Palatino Linotype" w:eastAsia="Palatino Linotype"/>
          <w:sz w:val="24"/>
          <w:szCs w:val="24"/>
        </w:rPr>
      </w:pPr>
      <w:r w:rsidRPr="005B667C">
        <w:rPr>
          <w:rFonts w:ascii="Palatino Linotype" w:hAnsi="Palatino Linotype" w:eastAsia="Palatino Linotype"/>
          <w:sz w:val="24"/>
          <w:szCs w:val="24"/>
        </w:rPr>
        <w:t>As of August 1, 2023, the cost</w:t>
      </w:r>
      <w:r w:rsidRPr="005B667C" w:rsidR="00511DDE">
        <w:rPr>
          <w:rFonts w:ascii="Palatino Linotype" w:hAnsi="Palatino Linotype" w:eastAsia="Palatino Linotype"/>
          <w:sz w:val="24"/>
          <w:szCs w:val="24"/>
        </w:rPr>
        <w:t>s associated with 66 MW (64 MW NQC)</w:t>
      </w:r>
      <w:r w:rsidRPr="005B667C">
        <w:rPr>
          <w:rFonts w:ascii="Palatino Linotype" w:hAnsi="Palatino Linotype" w:eastAsia="Palatino Linotype"/>
          <w:sz w:val="24"/>
          <w:szCs w:val="24"/>
        </w:rPr>
        <w:t xml:space="preserve"> of the Westside Canal Energy Storage Project approved in Resolution E-5193 will be recovered from applicable customers, which includes bundled service customers and departing load customers with 2021 vintage cost responsibility, through </w:t>
      </w:r>
      <w:r w:rsidRPr="005B667C" w:rsidR="00114028">
        <w:rPr>
          <w:rFonts w:ascii="Palatino Linotype" w:hAnsi="Palatino Linotype" w:eastAsia="Palatino Linotype"/>
          <w:sz w:val="24"/>
          <w:szCs w:val="24"/>
        </w:rPr>
        <w:t xml:space="preserve">SDG&amp;E’s </w:t>
      </w:r>
      <w:r w:rsidRPr="005B667C">
        <w:rPr>
          <w:rFonts w:ascii="Palatino Linotype" w:hAnsi="Palatino Linotype" w:eastAsia="Palatino Linotype"/>
          <w:sz w:val="24"/>
          <w:szCs w:val="24"/>
        </w:rPr>
        <w:t>Portfolio Allocation Balancing Account.</w:t>
      </w:r>
      <w:r w:rsidRPr="005B667C" w:rsidR="00177621">
        <w:rPr>
          <w:rFonts w:ascii="Palatino Linotype" w:hAnsi="Palatino Linotype" w:eastAsia="Palatino Linotype"/>
          <w:sz w:val="24"/>
          <w:szCs w:val="24"/>
        </w:rPr>
        <w:t xml:space="preserve"> </w:t>
      </w:r>
      <w:r w:rsidRPr="005B667C" w:rsidR="00511DDE">
        <w:rPr>
          <w:rFonts w:ascii="Palatino Linotype" w:hAnsi="Palatino Linotype" w:eastAsia="Palatino Linotype"/>
          <w:sz w:val="24"/>
          <w:szCs w:val="24"/>
        </w:rPr>
        <w:t>Beginning January 1, 2024, the costs associated with the remaining 65 MW (59 MW NQC) of the Westside Canal Energy Storage Project will be recovered in the same manner.</w:t>
      </w:r>
    </w:p>
    <w:p w:rsidRPr="005B667C" w:rsidR="006A4CBA" w:rsidP="003A5EE9" w:rsidRDefault="006A4CBA" w14:paraId="34AEAC90" w14:textId="24D7FDCA">
      <w:pPr>
        <w:rPr>
          <w:rFonts w:ascii="Palatino Linotype" w:hAnsi="Palatino Linotype" w:eastAsia="Palatino Linotype"/>
          <w:sz w:val="24"/>
          <w:szCs w:val="24"/>
        </w:rPr>
      </w:pPr>
      <w:r w:rsidRPr="005B667C">
        <w:rPr>
          <w:rFonts w:ascii="Palatino Linotype" w:hAnsi="Palatino Linotype" w:eastAsia="Palatino Linotype"/>
          <w:sz w:val="24"/>
          <w:szCs w:val="24"/>
        </w:rPr>
        <w:t xml:space="preserve"> </w:t>
      </w:r>
    </w:p>
    <w:p w:rsidRPr="005B667C" w:rsidR="00BD43DE" w:rsidP="00BD43DE" w:rsidRDefault="00BD43DE" w14:paraId="1D455ABE" w14:textId="77777777">
      <w:pPr>
        <w:pStyle w:val="Heading1"/>
        <w:rPr>
          <w:rFonts w:ascii="Palatino Linotype" w:hAnsi="Palatino Linotype" w:eastAsia="Palatino Linotype"/>
          <w:sz w:val="24"/>
          <w:szCs w:val="24"/>
        </w:rPr>
      </w:pPr>
      <w:r w:rsidRPr="005B667C">
        <w:rPr>
          <w:rFonts w:ascii="Palatino Linotype" w:hAnsi="Palatino Linotype" w:eastAsia="Palatino Linotype"/>
          <w:sz w:val="24"/>
          <w:szCs w:val="24"/>
        </w:rPr>
        <w:lastRenderedPageBreak/>
        <w:t>Therefore it is ordered that:</w:t>
      </w:r>
    </w:p>
    <w:p w:rsidRPr="005B667C" w:rsidR="00BD43DE" w:rsidP="00BD43DE" w:rsidRDefault="00BD43DE" w14:paraId="08B6FD13" w14:textId="1C39F08F">
      <w:pPr>
        <w:numPr>
          <w:ilvl w:val="0"/>
          <w:numId w:val="8"/>
        </w:numPr>
        <w:rPr>
          <w:rFonts w:ascii="Palatino Linotype" w:hAnsi="Palatino Linotype" w:eastAsia="Palatino Linotype"/>
          <w:snapToGrid w:val="0"/>
          <w:sz w:val="24"/>
          <w:szCs w:val="24"/>
        </w:rPr>
      </w:pPr>
      <w:r w:rsidRPr="005B667C">
        <w:rPr>
          <w:rFonts w:ascii="Palatino Linotype" w:hAnsi="Palatino Linotype" w:eastAsia="Palatino Linotype"/>
          <w:snapToGrid w:val="0"/>
          <w:sz w:val="24"/>
          <w:szCs w:val="24"/>
        </w:rPr>
        <w:t xml:space="preserve">The request of </w:t>
      </w:r>
      <w:r w:rsidRPr="005B667C" w:rsidR="003B534E">
        <w:rPr>
          <w:rFonts w:ascii="Palatino Linotype" w:hAnsi="Palatino Linotype" w:eastAsia="Palatino Linotype"/>
          <w:snapToGrid w:val="0"/>
          <w:sz w:val="24"/>
          <w:szCs w:val="24"/>
        </w:rPr>
        <w:t>San Diego Gas &amp; Electric</w:t>
      </w:r>
      <w:r w:rsidRPr="005B667C">
        <w:rPr>
          <w:rFonts w:ascii="Palatino Linotype" w:hAnsi="Palatino Linotype" w:eastAsia="Palatino Linotype"/>
          <w:snapToGrid w:val="0"/>
          <w:sz w:val="24"/>
          <w:szCs w:val="24"/>
        </w:rPr>
        <w:t xml:space="preserve"> to count the utility-owned </w:t>
      </w:r>
      <w:r w:rsidRPr="005B667C" w:rsidR="003B534E">
        <w:rPr>
          <w:rFonts w:ascii="Palatino Linotype" w:hAnsi="Palatino Linotype" w:eastAsia="Palatino Linotype"/>
          <w:snapToGrid w:val="0"/>
          <w:sz w:val="24"/>
          <w:szCs w:val="24"/>
        </w:rPr>
        <w:t>Westside Canal Energy Storage Project</w:t>
      </w:r>
      <w:r w:rsidRPr="005B667C">
        <w:rPr>
          <w:rFonts w:ascii="Palatino Linotype" w:hAnsi="Palatino Linotype" w:eastAsia="Palatino Linotype"/>
          <w:snapToGrid w:val="0"/>
          <w:sz w:val="24"/>
          <w:szCs w:val="24"/>
        </w:rPr>
        <w:t xml:space="preserve"> towards its midterm reliability procurement requirements and modify the project’s cost recovery mechanism as requested in Advice Letter </w:t>
      </w:r>
      <w:r w:rsidRPr="005B667C">
        <w:rPr>
          <w:rFonts w:ascii="Palatino Linotype" w:hAnsi="Palatino Linotype" w:eastAsia="Palatino Linotype"/>
          <w:sz w:val="24"/>
          <w:szCs w:val="24"/>
        </w:rPr>
        <w:t>4</w:t>
      </w:r>
      <w:r w:rsidRPr="005B667C" w:rsidR="003B534E">
        <w:rPr>
          <w:rFonts w:ascii="Palatino Linotype" w:hAnsi="Palatino Linotype" w:eastAsia="Palatino Linotype"/>
          <w:sz w:val="24"/>
          <w:szCs w:val="24"/>
        </w:rPr>
        <w:t>182-E</w:t>
      </w:r>
      <w:r w:rsidRPr="005B667C">
        <w:rPr>
          <w:rFonts w:ascii="Palatino Linotype" w:hAnsi="Palatino Linotype" w:eastAsia="Palatino Linotype"/>
          <w:sz w:val="24"/>
          <w:szCs w:val="24"/>
        </w:rPr>
        <w:t xml:space="preserve"> </w:t>
      </w:r>
      <w:r w:rsidRPr="005B667C">
        <w:rPr>
          <w:rFonts w:ascii="Palatino Linotype" w:hAnsi="Palatino Linotype" w:eastAsia="Palatino Linotype"/>
          <w:snapToGrid w:val="0"/>
          <w:sz w:val="24"/>
          <w:szCs w:val="24"/>
        </w:rPr>
        <w:t>is approved.</w:t>
      </w:r>
    </w:p>
    <w:p w:rsidRPr="005B667C" w:rsidR="00BD43DE" w:rsidP="00BD43DE" w:rsidRDefault="00BD43DE" w14:paraId="6F177168" w14:textId="77777777">
      <w:pPr>
        <w:tabs>
          <w:tab w:val="left" w:pos="720"/>
          <w:tab w:val="left" w:pos="1296"/>
          <w:tab w:val="left" w:pos="2016"/>
          <w:tab w:val="left" w:pos="2736"/>
          <w:tab w:val="left" w:pos="3456"/>
          <w:tab w:val="left" w:pos="4176"/>
          <w:tab w:val="left" w:pos="5760"/>
        </w:tabs>
        <w:rPr>
          <w:rFonts w:ascii="Palatino Linotype" w:hAnsi="Palatino Linotype" w:eastAsia="Palatino Linotype"/>
          <w:sz w:val="24"/>
          <w:szCs w:val="24"/>
        </w:rPr>
      </w:pPr>
    </w:p>
    <w:p w:rsidRPr="005B667C" w:rsidR="00BD43DE" w:rsidP="00BD43DE" w:rsidRDefault="00BD43DE" w14:paraId="716682C3" w14:textId="77777777">
      <w:pPr>
        <w:keepNext/>
        <w:tabs>
          <w:tab w:val="left" w:pos="720"/>
          <w:tab w:val="left" w:pos="1296"/>
          <w:tab w:val="left" w:pos="2016"/>
          <w:tab w:val="left" w:pos="2736"/>
          <w:tab w:val="left" w:pos="3456"/>
          <w:tab w:val="left" w:pos="4176"/>
          <w:tab w:val="left" w:pos="5760"/>
        </w:tabs>
        <w:rPr>
          <w:rFonts w:ascii="Palatino Linotype" w:hAnsi="Palatino Linotype" w:eastAsia="Palatino Linotype"/>
          <w:sz w:val="24"/>
          <w:szCs w:val="24"/>
        </w:rPr>
      </w:pPr>
      <w:r w:rsidRPr="005B667C">
        <w:rPr>
          <w:rFonts w:ascii="Palatino Linotype" w:hAnsi="Palatino Linotype" w:eastAsia="Palatino Linotype"/>
          <w:sz w:val="24"/>
          <w:szCs w:val="24"/>
        </w:rPr>
        <w:t>This Resolution is effective today.</w:t>
      </w:r>
    </w:p>
    <w:p w:rsidRPr="005B667C" w:rsidR="00BD43DE" w:rsidP="00BD43DE" w:rsidRDefault="00BD43DE" w14:paraId="04B366E8" w14:textId="77777777">
      <w:pPr>
        <w:keepNext/>
        <w:tabs>
          <w:tab w:val="left" w:pos="720"/>
          <w:tab w:val="left" w:pos="1296"/>
          <w:tab w:val="left" w:pos="2016"/>
          <w:tab w:val="left" w:pos="2736"/>
          <w:tab w:val="left" w:pos="3456"/>
          <w:tab w:val="left" w:pos="4176"/>
          <w:tab w:val="left" w:pos="5760"/>
        </w:tabs>
        <w:rPr>
          <w:rFonts w:ascii="Palatino Linotype" w:hAnsi="Palatino Linotype" w:eastAsia="Palatino Linotype"/>
          <w:sz w:val="24"/>
          <w:szCs w:val="24"/>
        </w:rPr>
      </w:pPr>
    </w:p>
    <w:p w:rsidRPr="005B667C" w:rsidR="00BD43DE" w:rsidP="00BD43DE" w:rsidRDefault="00BD43DE" w14:paraId="717F93B1" w14:textId="0A570E56">
      <w:pPr>
        <w:keepNext/>
        <w:rPr>
          <w:rFonts w:ascii="Palatino Linotype" w:hAnsi="Palatino Linotype" w:eastAsia="Palatino Linotype"/>
          <w:snapToGrid w:val="0"/>
          <w:sz w:val="24"/>
          <w:szCs w:val="24"/>
        </w:rPr>
      </w:pPr>
      <w:r w:rsidRPr="005B667C">
        <w:rPr>
          <w:rFonts w:ascii="Palatino Linotype" w:hAnsi="Palatino Linotype" w:eastAsia="Palatino Linotype"/>
          <w:snapToGrid w:val="0"/>
          <w:sz w:val="24"/>
          <w:szCs w:val="24"/>
        </w:rPr>
        <w:t xml:space="preserve">I certify that the foregoing resolution was duly introduced, passed, and adopted at </w:t>
      </w:r>
      <w:r w:rsidR="00993CBB">
        <w:rPr>
          <w:rFonts w:ascii="Palatino Linotype" w:hAnsi="Palatino Linotype" w:eastAsia="Palatino Linotype"/>
          <w:snapToGrid w:val="0"/>
          <w:sz w:val="24"/>
          <w:szCs w:val="24"/>
        </w:rPr>
        <w:br/>
      </w:r>
      <w:r w:rsidRPr="005B667C">
        <w:rPr>
          <w:rFonts w:ascii="Palatino Linotype" w:hAnsi="Palatino Linotype" w:eastAsia="Palatino Linotype"/>
          <w:snapToGrid w:val="0"/>
          <w:sz w:val="24"/>
          <w:szCs w:val="24"/>
        </w:rPr>
        <w:t xml:space="preserve">a conference of the Public Utilities Commission of the State of California held on </w:t>
      </w:r>
      <w:r w:rsidRPr="005B667C">
        <w:rPr>
          <w:rFonts w:ascii="Palatino Linotype" w:hAnsi="Palatino Linotype" w:eastAsia="Palatino Linotype"/>
          <w:snapToGrid w:val="0"/>
          <w:sz w:val="24"/>
          <w:szCs w:val="24"/>
        </w:rPr>
        <w:br/>
      </w:r>
      <w:r w:rsidRPr="00993CBB" w:rsidR="00BB7A5B">
        <w:rPr>
          <w:rFonts w:ascii="Palatino Linotype" w:hAnsi="Palatino Linotype" w:eastAsia="Palatino Linotype"/>
          <w:snapToGrid w:val="0"/>
          <w:sz w:val="24"/>
          <w:szCs w:val="24"/>
        </w:rPr>
        <w:t xml:space="preserve">July </w:t>
      </w:r>
      <w:r w:rsidRPr="00993CBB" w:rsidR="00E72936">
        <w:rPr>
          <w:rFonts w:ascii="Palatino Linotype" w:hAnsi="Palatino Linotype" w:eastAsia="Palatino Linotype"/>
          <w:snapToGrid w:val="0"/>
          <w:sz w:val="24"/>
          <w:szCs w:val="24"/>
        </w:rPr>
        <w:t>13</w:t>
      </w:r>
      <w:r w:rsidRPr="00993CBB">
        <w:rPr>
          <w:rFonts w:ascii="Palatino Linotype" w:hAnsi="Palatino Linotype" w:eastAsia="Palatino Linotype"/>
          <w:snapToGrid w:val="0"/>
          <w:sz w:val="24"/>
          <w:szCs w:val="24"/>
        </w:rPr>
        <w:t>, 2023;</w:t>
      </w:r>
      <w:r w:rsidRPr="005B667C">
        <w:rPr>
          <w:rFonts w:ascii="Palatino Linotype" w:hAnsi="Palatino Linotype" w:eastAsia="Palatino Linotype"/>
          <w:snapToGrid w:val="0"/>
          <w:sz w:val="24"/>
          <w:szCs w:val="24"/>
        </w:rPr>
        <w:t xml:space="preserve"> the following Commissioners voting favorably thereon:</w:t>
      </w:r>
    </w:p>
    <w:p w:rsidRPr="005B667C" w:rsidR="00BD43DE" w:rsidP="00BD43DE" w:rsidRDefault="00BD43DE" w14:paraId="4651DD18" w14:textId="77777777">
      <w:pPr>
        <w:tabs>
          <w:tab w:val="left" w:pos="720"/>
          <w:tab w:val="left" w:pos="1152"/>
          <w:tab w:val="left" w:pos="1728"/>
          <w:tab w:val="left" w:pos="3168"/>
          <w:tab w:val="left" w:pos="5040"/>
        </w:tabs>
        <w:ind w:right="144"/>
        <w:rPr>
          <w:rFonts w:ascii="Palatino Linotype" w:hAnsi="Palatino Linotype" w:eastAsia="Palatino Linotype"/>
          <w:sz w:val="24"/>
          <w:szCs w:val="24"/>
        </w:rPr>
      </w:pPr>
    </w:p>
    <w:p w:rsidR="00BD43DE" w:rsidP="00BD43DE" w:rsidRDefault="00BD43DE" w14:paraId="4D9BBBDB" w14:textId="77777777">
      <w:pPr>
        <w:tabs>
          <w:tab w:val="left" w:pos="720"/>
          <w:tab w:val="left" w:pos="1152"/>
          <w:tab w:val="left" w:pos="1728"/>
          <w:tab w:val="left" w:pos="3168"/>
          <w:tab w:val="left" w:pos="5040"/>
        </w:tabs>
        <w:ind w:right="144"/>
        <w:rPr>
          <w:rFonts w:ascii="Palatino Linotype" w:hAnsi="Palatino Linotype" w:eastAsia="Palatino Linotype"/>
          <w:sz w:val="24"/>
          <w:szCs w:val="24"/>
        </w:rPr>
      </w:pPr>
    </w:p>
    <w:p w:rsidR="00BC3DC6" w:rsidP="00BD43DE" w:rsidRDefault="007E6E27" w14:paraId="7D07FFA4" w14:textId="3B162C88">
      <w:pPr>
        <w:tabs>
          <w:tab w:val="left" w:pos="720"/>
          <w:tab w:val="left" w:pos="1152"/>
          <w:tab w:val="left" w:pos="1728"/>
          <w:tab w:val="left" w:pos="3168"/>
          <w:tab w:val="left" w:pos="5040"/>
        </w:tabs>
        <w:ind w:right="144"/>
        <w:rPr>
          <w:rFonts w:ascii="Palatino Linotype" w:hAnsi="Palatino Linotype" w:eastAsia="Palatino Linotype"/>
          <w:sz w:val="24"/>
          <w:szCs w:val="24"/>
        </w:rPr>
      </w:pPr>
      <w:r>
        <w:rPr>
          <w:rFonts w:ascii="Palatino Linotype" w:hAnsi="Palatino Linotype" w:eastAsia="Palatino Linotype"/>
          <w:sz w:val="24"/>
          <w:szCs w:val="24"/>
        </w:rPr>
        <w:t xml:space="preserve">    </w:t>
      </w:r>
      <w:r>
        <w:rPr>
          <w:rFonts w:ascii="Palatino Linotype" w:hAnsi="Palatino Linotype" w:eastAsia="Palatino Linotype"/>
          <w:sz w:val="24"/>
          <w:szCs w:val="24"/>
          <w:u w:val="single"/>
        </w:rPr>
        <w:t xml:space="preserve">                                        </w:t>
      </w:r>
      <w:r>
        <w:rPr>
          <w:rFonts w:ascii="Palatino Linotype" w:hAnsi="Palatino Linotype" w:eastAsia="Palatino Linotype"/>
          <w:sz w:val="24"/>
          <w:szCs w:val="24"/>
        </w:rPr>
        <w:t xml:space="preserve">                          </w:t>
      </w:r>
    </w:p>
    <w:p w:rsidR="007E6E27" w:rsidP="00BD43DE" w:rsidRDefault="007E6E27" w14:paraId="117F1071" w14:textId="74FC8562">
      <w:pPr>
        <w:keepNext/>
        <w:rPr>
          <w:rFonts w:ascii="Palatino Linotype" w:hAnsi="Palatino Linotype"/>
          <w:sz w:val="24"/>
          <w:szCs w:val="24"/>
        </w:rPr>
      </w:pPr>
      <w:r>
        <w:rPr>
          <w:rFonts w:ascii="Palatino Linotype" w:hAnsi="Palatino Linotype"/>
          <w:noProof/>
          <w:sz w:val="24"/>
          <w:szCs w:val="24"/>
        </w:rPr>
        <mc:AlternateContent>
          <mc:Choice Requires="wps">
            <w:drawing>
              <wp:anchor distT="0" distB="0" distL="114300" distR="114300" simplePos="0" relativeHeight="251659264" behindDoc="0" locked="0" layoutInCell="1" allowOverlap="1" wp14:editId="1236F29C" wp14:anchorId="1A8B0ABF">
                <wp:simplePos x="0" y="0"/>
                <wp:positionH relativeFrom="column">
                  <wp:posOffset>2781300</wp:posOffset>
                </wp:positionH>
                <wp:positionV relativeFrom="paragraph">
                  <wp:posOffset>192405</wp:posOffset>
                </wp:positionV>
                <wp:extent cx="1645920" cy="0"/>
                <wp:effectExtent l="0" t="0" r="0" b="0"/>
                <wp:wrapNone/>
                <wp:docPr id="2053838176" name="Straight Connector 2"/>
                <wp:cNvGraphicFramePr/>
                <a:graphic xmlns:a="http://schemas.openxmlformats.org/drawingml/2006/main">
                  <a:graphicData uri="http://schemas.microsoft.com/office/word/2010/wordprocessingShape">
                    <wps:wsp>
                      <wps:cNvCnPr/>
                      <wps:spPr>
                        <a:xfrm>
                          <a:off x="0" y="0"/>
                          <a:ext cx="1645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219pt,15.15pt" to="348.6pt,15.15pt" w14:anchorId="5A0D95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"/>
            </w:pict>
          </mc:Fallback>
        </mc:AlternateContent>
      </w:r>
    </w:p>
    <w:p w:rsidRPr="005B667C" w:rsidR="00BD43DE" w:rsidP="007E6E27" w:rsidRDefault="00BD43DE" w14:paraId="325E0AB7" w14:textId="11708A31">
      <w:pPr>
        <w:keepNext/>
        <w:rPr>
          <w:rFonts w:ascii="Palatino Linotype" w:hAnsi="Palatino Linotype" w:eastAsia="Palatino Linotype"/>
          <w:snapToGrid w:val="0"/>
          <w:sz w:val="24"/>
          <w:szCs w:val="24"/>
        </w:rPr>
      </w:pPr>
      <w:r w:rsidRPr="005B667C">
        <w:rPr>
          <w:rFonts w:ascii="Palatino Linotype" w:hAnsi="Palatino Linotype"/>
          <w:sz w:val="24"/>
          <w:szCs w:val="24"/>
        </w:rPr>
        <w:tab/>
      </w:r>
      <w:r w:rsidRPr="005B667C">
        <w:rPr>
          <w:rFonts w:ascii="Palatino Linotype" w:hAnsi="Palatino Linotype"/>
          <w:sz w:val="24"/>
          <w:szCs w:val="24"/>
        </w:rPr>
        <w:tab/>
      </w:r>
      <w:r w:rsidRPr="005B667C">
        <w:rPr>
          <w:rFonts w:ascii="Palatino Linotype" w:hAnsi="Palatino Linotype"/>
          <w:sz w:val="24"/>
          <w:szCs w:val="24"/>
        </w:rPr>
        <w:tab/>
      </w:r>
      <w:r w:rsidRPr="005B667C">
        <w:rPr>
          <w:rFonts w:ascii="Palatino Linotype" w:hAnsi="Palatino Linotype"/>
          <w:sz w:val="24"/>
          <w:szCs w:val="24"/>
        </w:rPr>
        <w:tab/>
      </w:r>
      <w:r w:rsidRPr="005B667C">
        <w:rPr>
          <w:rFonts w:ascii="Palatino Linotype" w:hAnsi="Palatino Linotype"/>
          <w:sz w:val="24"/>
          <w:szCs w:val="24"/>
        </w:rPr>
        <w:tab/>
      </w:r>
      <w:r w:rsidRPr="005B667C">
        <w:rPr>
          <w:rFonts w:ascii="Palatino Linotype" w:hAnsi="Palatino Linotype"/>
          <w:sz w:val="24"/>
          <w:szCs w:val="24"/>
        </w:rPr>
        <w:tab/>
      </w:r>
      <w:r w:rsidR="00BC3DC6">
        <w:rPr>
          <w:rFonts w:ascii="Palatino Linotype" w:hAnsi="Palatino Linotype" w:eastAsia="Palatino Linotype"/>
          <w:snapToGrid w:val="0"/>
          <w:sz w:val="24"/>
          <w:szCs w:val="24"/>
        </w:rPr>
        <w:t xml:space="preserve">   </w:t>
      </w:r>
      <w:r w:rsidRPr="005B667C">
        <w:rPr>
          <w:rFonts w:ascii="Palatino Linotype" w:hAnsi="Palatino Linotype" w:eastAsia="Palatino Linotype"/>
          <w:snapToGrid w:val="0"/>
          <w:sz w:val="24"/>
          <w:szCs w:val="24"/>
        </w:rPr>
        <w:t xml:space="preserve">   Rachel Peterson</w:t>
      </w:r>
    </w:p>
    <w:p w:rsidRPr="005B667C" w:rsidR="00BD43DE" w:rsidP="00BD43DE" w:rsidRDefault="00BC3DC6" w14:paraId="5CCDDE34" w14:textId="311BAA41">
      <w:pPr>
        <w:keepNext/>
        <w:ind w:firstLine="4590"/>
        <w:rPr>
          <w:rFonts w:ascii="Palatino Linotype" w:hAnsi="Palatino Linotype" w:eastAsia="Palatino Linotype"/>
          <w:snapToGrid w:val="0"/>
          <w:sz w:val="24"/>
          <w:szCs w:val="24"/>
        </w:rPr>
      </w:pPr>
      <w:r>
        <w:rPr>
          <w:rFonts w:ascii="Palatino Linotype" w:hAnsi="Palatino Linotype" w:eastAsia="Palatino Linotype"/>
          <w:snapToGrid w:val="0"/>
          <w:sz w:val="24"/>
          <w:szCs w:val="24"/>
        </w:rPr>
        <w:t xml:space="preserve">   </w:t>
      </w:r>
      <w:r w:rsidRPr="005B667C" w:rsidR="00BD43DE">
        <w:rPr>
          <w:rFonts w:ascii="Palatino Linotype" w:hAnsi="Palatino Linotype" w:eastAsia="Palatino Linotype"/>
          <w:snapToGrid w:val="0"/>
          <w:sz w:val="24"/>
          <w:szCs w:val="24"/>
        </w:rPr>
        <w:t>Executive Director</w:t>
      </w:r>
    </w:p>
    <w:p w:rsidRPr="005B667C" w:rsidR="00BD43DE" w:rsidP="00BD43DE" w:rsidRDefault="00BD43DE" w14:paraId="60D254EB" w14:textId="57BCEFF4">
      <w:pPr>
        <w:keepNext/>
        <w:ind w:firstLine="4590"/>
        <w:rPr>
          <w:rFonts w:ascii="Palatino Linotype" w:hAnsi="Palatino Linotype" w:eastAsia="Palatino Linotype"/>
          <w:snapToGrid w:val="0"/>
          <w:sz w:val="24"/>
          <w:szCs w:val="24"/>
        </w:rPr>
      </w:pPr>
    </w:p>
    <w:sectPr w:rsidRPr="005B667C" w:rsidR="00BD43DE">
      <w:headerReference w:type="default" r:id="rId11"/>
      <w:footerReference w:type="default" r:id="rId12"/>
      <w:headerReference w:type="first" r:id="rId13"/>
      <w:footerReference w:type="first" r:id="rId14"/>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9310D" w14:textId="77777777" w:rsidR="003B660B" w:rsidRDefault="003B660B">
      <w:r>
        <w:separator/>
      </w:r>
    </w:p>
  </w:endnote>
  <w:endnote w:type="continuationSeparator" w:id="0">
    <w:p w14:paraId="63851612" w14:textId="77777777" w:rsidR="003B660B" w:rsidRDefault="003B660B">
      <w:r>
        <w:continuationSeparator/>
      </w:r>
    </w:p>
  </w:endnote>
  <w:endnote w:type="continuationNotice" w:id="1">
    <w:p w14:paraId="0FD7BF4C" w14:textId="77777777" w:rsidR="003B660B" w:rsidRDefault="003B66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2020500000000000000"/>
    <w:charset w:val="00"/>
    <w:family w:val="auto"/>
    <w:pitch w:val="variable"/>
    <w:sig w:usb0="20000A87" w:usb1="08000000" w:usb2="00000008" w:usb3="00000000" w:csb0="00000105"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hAnsi="Palatino Linotype"/>
        <w:sz w:val="24"/>
        <w:szCs w:val="18"/>
      </w:rPr>
      <w:id w:val="-573816544"/>
      <w:docPartObj>
        <w:docPartGallery w:val="Page Numbers (Bottom of Page)"/>
        <w:docPartUnique/>
      </w:docPartObj>
    </w:sdtPr>
    <w:sdtContent>
      <w:p w14:paraId="34A5C715" w14:textId="77777777" w:rsidR="00B913F1" w:rsidRPr="00D865A9" w:rsidRDefault="00B913F1">
        <w:pPr>
          <w:pStyle w:val="Footer"/>
          <w:rPr>
            <w:rFonts w:ascii="Palatino Linotype" w:hAnsi="Palatino Linotype"/>
            <w:sz w:val="24"/>
            <w:szCs w:val="18"/>
          </w:rPr>
        </w:pPr>
        <w:r w:rsidRPr="00D865A9">
          <w:rPr>
            <w:rFonts w:ascii="Palatino Linotype" w:hAnsi="Palatino Linotype"/>
            <w:sz w:val="24"/>
            <w:szCs w:val="18"/>
          </w:rPr>
          <w:fldChar w:fldCharType="begin"/>
        </w:r>
        <w:r w:rsidRPr="00D865A9">
          <w:rPr>
            <w:rFonts w:ascii="Palatino Linotype" w:hAnsi="Palatino Linotype"/>
            <w:sz w:val="24"/>
            <w:szCs w:val="18"/>
          </w:rPr>
          <w:instrText xml:space="preserve"> PAGE   \* MERGEFORMAT </w:instrText>
        </w:r>
        <w:r w:rsidRPr="00D865A9">
          <w:rPr>
            <w:rFonts w:ascii="Palatino Linotype" w:hAnsi="Palatino Linotype"/>
            <w:sz w:val="24"/>
            <w:szCs w:val="18"/>
          </w:rPr>
          <w:fldChar w:fldCharType="separate"/>
        </w:r>
        <w:r w:rsidRPr="00D865A9">
          <w:rPr>
            <w:rFonts w:ascii="Palatino Linotype" w:hAnsi="Palatino Linotype"/>
            <w:sz w:val="24"/>
            <w:szCs w:val="18"/>
          </w:rPr>
          <w:t>2</w:t>
        </w:r>
        <w:r w:rsidRPr="00D865A9">
          <w:rPr>
            <w:rFonts w:ascii="Palatino Linotype" w:hAnsi="Palatino Linotype"/>
            <w:sz w:val="24"/>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585E6" w14:textId="4D4654C1" w:rsidR="00CF17DE" w:rsidRPr="001A1DB2" w:rsidRDefault="00D43BD9" w:rsidP="00C920E6">
    <w:pPr>
      <w:pStyle w:val="Footer"/>
      <w:tabs>
        <w:tab w:val="clear" w:pos="4320"/>
        <w:tab w:val="center" w:pos="4680"/>
      </w:tabs>
      <w:jc w:val="left"/>
      <w:rPr>
        <w:rFonts w:ascii="Palatino Linotype" w:hAnsi="Palatino Linotype"/>
        <w:sz w:val="24"/>
        <w:szCs w:val="18"/>
      </w:rPr>
    </w:pPr>
    <w:r w:rsidRPr="00D43BD9">
      <w:rPr>
        <w:rFonts w:ascii="Tahoma" w:hAnsi="Tahoma" w:cs="Tahoma"/>
        <w:sz w:val="20"/>
      </w:rPr>
      <w:t>511026147</w:t>
    </w:r>
    <w:r w:rsidR="00C920E6">
      <w:rPr>
        <w:rStyle w:val="PageNumber"/>
        <w:rFonts w:ascii="Palatino Linotype" w:hAnsi="Palatino Linotype"/>
        <w:sz w:val="24"/>
        <w:szCs w:val="18"/>
      </w:rPr>
      <w:tab/>
    </w:r>
    <w:r w:rsidR="00CF17DE" w:rsidRPr="001A1DB2">
      <w:rPr>
        <w:rStyle w:val="PageNumber"/>
        <w:rFonts w:ascii="Palatino Linotype" w:hAnsi="Palatino Linotype"/>
        <w:sz w:val="24"/>
        <w:szCs w:val="18"/>
      </w:rPr>
      <w:fldChar w:fldCharType="begin"/>
    </w:r>
    <w:r w:rsidR="00CF17DE" w:rsidRPr="001A1DB2">
      <w:rPr>
        <w:rStyle w:val="PageNumber"/>
        <w:rFonts w:ascii="Palatino Linotype" w:hAnsi="Palatino Linotype"/>
        <w:sz w:val="24"/>
        <w:szCs w:val="18"/>
      </w:rPr>
      <w:instrText xml:space="preserve"> PAGE </w:instrText>
    </w:r>
    <w:r w:rsidR="00CF17DE" w:rsidRPr="001A1DB2">
      <w:rPr>
        <w:rStyle w:val="PageNumber"/>
        <w:rFonts w:ascii="Palatino Linotype" w:hAnsi="Palatino Linotype"/>
        <w:sz w:val="24"/>
        <w:szCs w:val="18"/>
      </w:rPr>
      <w:fldChar w:fldCharType="separate"/>
    </w:r>
    <w:r w:rsidR="00946E2C" w:rsidRPr="001A1DB2">
      <w:rPr>
        <w:rStyle w:val="PageNumber"/>
        <w:rFonts w:ascii="Palatino Linotype" w:hAnsi="Palatino Linotype"/>
        <w:sz w:val="24"/>
        <w:szCs w:val="18"/>
      </w:rPr>
      <w:t>1</w:t>
    </w:r>
    <w:r w:rsidR="00CF17DE" w:rsidRPr="001A1DB2">
      <w:rPr>
        <w:rStyle w:val="PageNumber"/>
        <w:rFonts w:ascii="Palatino Linotype" w:hAnsi="Palatino Linotype"/>
        <w:sz w:val="24"/>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3560E" w14:textId="77777777" w:rsidR="003B660B" w:rsidRDefault="003B660B">
      <w:r>
        <w:separator/>
      </w:r>
    </w:p>
  </w:footnote>
  <w:footnote w:type="continuationSeparator" w:id="0">
    <w:p w14:paraId="5EA86C91" w14:textId="77777777" w:rsidR="003B660B" w:rsidRDefault="003B660B">
      <w:r>
        <w:continuationSeparator/>
      </w:r>
    </w:p>
  </w:footnote>
  <w:footnote w:type="continuationNotice" w:id="1">
    <w:p w14:paraId="57DD5B66" w14:textId="77777777" w:rsidR="003B660B" w:rsidRDefault="003B660B">
      <w:pPr>
        <w:rPr>
          <w:sz w:val="22"/>
        </w:rPr>
      </w:pPr>
    </w:p>
    <w:p w14:paraId="6208387C" w14:textId="77777777" w:rsidR="003B660B" w:rsidRDefault="003B660B">
      <w:pPr>
        <w:jc w:val="right"/>
        <w:rPr>
          <w:sz w:val="22"/>
        </w:rPr>
      </w:pPr>
      <w:r>
        <w:rPr>
          <w:i/>
          <w:sz w:val="22"/>
        </w:rPr>
        <w:t>Footnote continued on next page</w:t>
      </w:r>
    </w:p>
  </w:footnote>
  <w:footnote w:id="2">
    <w:p w14:paraId="30650890" w14:textId="77777777" w:rsidR="00D61F9D" w:rsidRPr="00993CBB" w:rsidRDefault="00D61F9D" w:rsidP="00993CBB">
      <w:pPr>
        <w:pStyle w:val="FootnoteText"/>
        <w:numPr>
          <w:ilvl w:val="0"/>
          <w:numId w:val="0"/>
        </w:numPr>
        <w:spacing w:after="0"/>
        <w:ind w:left="360" w:hanging="360"/>
        <w:rPr>
          <w:rFonts w:ascii="Palatino Linotype" w:hAnsi="Palatino Linotype"/>
          <w:sz w:val="20"/>
        </w:rPr>
      </w:pPr>
      <w:r w:rsidRPr="00993CBB">
        <w:rPr>
          <w:rStyle w:val="FootnoteReference"/>
          <w:rFonts w:ascii="Palatino Linotype" w:hAnsi="Palatino Linotype"/>
          <w:sz w:val="20"/>
        </w:rPr>
        <w:footnoteRef/>
      </w:r>
      <w:r w:rsidRPr="00993CBB">
        <w:rPr>
          <w:rFonts w:ascii="Palatino Linotype" w:hAnsi="Palatino Linotype"/>
          <w:sz w:val="20"/>
        </w:rPr>
        <w:t xml:space="preserve"> </w:t>
      </w:r>
      <w:r w:rsidRPr="00993CBB">
        <w:rPr>
          <w:rFonts w:ascii="Palatino Linotype" w:hAnsi="Palatino Linotype"/>
          <w:sz w:val="20"/>
          <w:lang w:val="en-ZW"/>
        </w:rPr>
        <w:t>D.21-12-015 OP 3.</w:t>
      </w:r>
    </w:p>
  </w:footnote>
  <w:footnote w:id="3">
    <w:p w14:paraId="2F065720" w14:textId="77777777" w:rsidR="00D61F9D" w:rsidRPr="00993CBB" w:rsidRDefault="00D61F9D" w:rsidP="00993CBB">
      <w:pPr>
        <w:pStyle w:val="FootnoteText"/>
        <w:numPr>
          <w:ilvl w:val="0"/>
          <w:numId w:val="0"/>
        </w:numPr>
        <w:spacing w:after="0"/>
        <w:rPr>
          <w:rFonts w:ascii="Palatino Linotype" w:hAnsi="Palatino Linotype"/>
          <w:sz w:val="20"/>
        </w:rPr>
      </w:pPr>
      <w:r w:rsidRPr="00993CBB">
        <w:rPr>
          <w:rStyle w:val="FootnoteReference"/>
          <w:rFonts w:ascii="Palatino Linotype" w:hAnsi="Palatino Linotype"/>
          <w:sz w:val="20"/>
        </w:rPr>
        <w:footnoteRef/>
      </w:r>
      <w:r w:rsidRPr="00993CBB">
        <w:rPr>
          <w:rFonts w:ascii="Palatino Linotype" w:hAnsi="Palatino Linotype"/>
          <w:sz w:val="20"/>
        </w:rPr>
        <w:t xml:space="preserve"> D.21-12-015 OP 64.</w:t>
      </w:r>
    </w:p>
  </w:footnote>
  <w:footnote w:id="4">
    <w:p w14:paraId="0CB43BBA" w14:textId="7801D3F2" w:rsidR="00033A24" w:rsidRPr="00993CBB" w:rsidRDefault="00033A24" w:rsidP="00993CBB">
      <w:pPr>
        <w:pStyle w:val="FootnoteText"/>
        <w:numPr>
          <w:ilvl w:val="0"/>
          <w:numId w:val="0"/>
        </w:numPr>
        <w:spacing w:after="0"/>
        <w:ind w:left="360" w:hanging="360"/>
        <w:rPr>
          <w:rFonts w:ascii="Palatino Linotype" w:hAnsi="Palatino Linotype"/>
          <w:sz w:val="20"/>
        </w:rPr>
      </w:pPr>
      <w:r w:rsidRPr="00993CBB">
        <w:rPr>
          <w:rStyle w:val="FootnoteReference"/>
          <w:rFonts w:ascii="Palatino Linotype" w:hAnsi="Palatino Linotype"/>
          <w:sz w:val="20"/>
        </w:rPr>
        <w:footnoteRef/>
      </w:r>
      <w:r w:rsidRPr="00993CBB">
        <w:rPr>
          <w:rFonts w:ascii="Palatino Linotype" w:hAnsi="Palatino Linotype"/>
          <w:sz w:val="20"/>
        </w:rPr>
        <w:t xml:space="preserve"> </w:t>
      </w:r>
      <w:r w:rsidRPr="00993CBB">
        <w:rPr>
          <w:rFonts w:ascii="Palatino Linotype" w:hAnsi="Palatino Linotype"/>
          <w:sz w:val="20"/>
          <w:lang w:val="en-ZW"/>
        </w:rPr>
        <w:t>SDG&amp;E AL 3913</w:t>
      </w:r>
      <w:r w:rsidR="00447C01" w:rsidRPr="00993CBB">
        <w:rPr>
          <w:rFonts w:ascii="Palatino Linotype" w:hAnsi="Palatino Linotype"/>
          <w:sz w:val="20"/>
          <w:lang w:val="en-ZW"/>
        </w:rPr>
        <w:t>-E</w:t>
      </w:r>
      <w:r w:rsidRPr="00993CBB">
        <w:rPr>
          <w:rFonts w:ascii="Palatino Linotype" w:hAnsi="Palatino Linotype"/>
          <w:sz w:val="20"/>
          <w:lang w:val="en-ZW"/>
        </w:rPr>
        <w:t xml:space="preserve"> at 6.</w:t>
      </w:r>
    </w:p>
  </w:footnote>
  <w:footnote w:id="5">
    <w:p w14:paraId="11D60DFE" w14:textId="77777777" w:rsidR="005D233C" w:rsidRPr="00993CBB" w:rsidRDefault="005D233C" w:rsidP="00993CBB">
      <w:pPr>
        <w:pStyle w:val="FootnoteText"/>
        <w:numPr>
          <w:ilvl w:val="0"/>
          <w:numId w:val="0"/>
        </w:numPr>
        <w:spacing w:after="0"/>
        <w:rPr>
          <w:rFonts w:ascii="Palatino Linotype" w:hAnsi="Palatino Linotype"/>
          <w:sz w:val="20"/>
        </w:rPr>
      </w:pPr>
      <w:r w:rsidRPr="00993CBB">
        <w:rPr>
          <w:rStyle w:val="FootnoteReference"/>
          <w:rFonts w:ascii="Palatino Linotype" w:hAnsi="Palatino Linotype"/>
          <w:sz w:val="20"/>
        </w:rPr>
        <w:footnoteRef/>
      </w:r>
      <w:r w:rsidRPr="00993CBB">
        <w:rPr>
          <w:rFonts w:ascii="Palatino Linotype" w:hAnsi="Palatino Linotype"/>
          <w:sz w:val="20"/>
        </w:rPr>
        <w:t xml:space="preserve"> </w:t>
      </w:r>
      <w:r w:rsidRPr="00993CBB">
        <w:rPr>
          <w:rFonts w:ascii="Palatino Linotype" w:hAnsi="Palatino Linotype"/>
          <w:sz w:val="20"/>
          <w:lang w:val="en-ZW"/>
        </w:rPr>
        <w:t>D.21-12-015 at 108.</w:t>
      </w:r>
    </w:p>
  </w:footnote>
  <w:footnote w:id="6">
    <w:p w14:paraId="533ADD18" w14:textId="549FC6EC" w:rsidR="00670262" w:rsidRPr="00993CBB" w:rsidRDefault="00670262" w:rsidP="00993CBB">
      <w:pPr>
        <w:pStyle w:val="FootnoteText"/>
        <w:numPr>
          <w:ilvl w:val="0"/>
          <w:numId w:val="0"/>
        </w:numPr>
        <w:spacing w:after="0"/>
        <w:ind w:left="360" w:hanging="360"/>
        <w:rPr>
          <w:rFonts w:ascii="Palatino Linotype" w:hAnsi="Palatino Linotype"/>
          <w:sz w:val="20"/>
        </w:rPr>
      </w:pPr>
      <w:r w:rsidRPr="00993CBB">
        <w:rPr>
          <w:rStyle w:val="FootnoteReference"/>
          <w:rFonts w:ascii="Palatino Linotype" w:hAnsi="Palatino Linotype"/>
          <w:sz w:val="20"/>
        </w:rPr>
        <w:footnoteRef/>
      </w:r>
      <w:r w:rsidRPr="00993CBB">
        <w:rPr>
          <w:rFonts w:ascii="Palatino Linotype" w:hAnsi="Palatino Linotype"/>
          <w:sz w:val="20"/>
        </w:rPr>
        <w:t xml:space="preserve"> </w:t>
      </w:r>
      <w:r w:rsidRPr="00993CBB">
        <w:rPr>
          <w:rFonts w:ascii="Palatino Linotype" w:hAnsi="Palatino Linotype"/>
          <w:sz w:val="20"/>
          <w:lang w:val="en-ZW"/>
        </w:rPr>
        <w:t>SDG&amp;E AL 4182-E at 4.</w:t>
      </w:r>
    </w:p>
  </w:footnote>
  <w:footnote w:id="7">
    <w:p w14:paraId="6ED30279" w14:textId="6FA1074C" w:rsidR="00A9110C" w:rsidRPr="00993CBB" w:rsidRDefault="00A9110C" w:rsidP="00993CBB">
      <w:pPr>
        <w:pStyle w:val="FootnoteText"/>
        <w:numPr>
          <w:ilvl w:val="0"/>
          <w:numId w:val="0"/>
        </w:numPr>
        <w:spacing w:after="0"/>
        <w:ind w:left="360" w:hanging="360"/>
        <w:rPr>
          <w:rFonts w:ascii="Palatino Linotype" w:hAnsi="Palatino Linotype"/>
          <w:sz w:val="20"/>
        </w:rPr>
      </w:pPr>
      <w:r w:rsidRPr="00993CBB">
        <w:rPr>
          <w:rStyle w:val="FootnoteReference"/>
          <w:rFonts w:ascii="Palatino Linotype" w:hAnsi="Palatino Linotype"/>
          <w:sz w:val="20"/>
        </w:rPr>
        <w:footnoteRef/>
      </w:r>
      <w:r w:rsidRPr="00993CBB">
        <w:rPr>
          <w:rFonts w:ascii="Palatino Linotype" w:hAnsi="Palatino Linotype"/>
          <w:sz w:val="20"/>
        </w:rPr>
        <w:t xml:space="preserve"> </w:t>
      </w:r>
      <w:r w:rsidRPr="00993CBB">
        <w:rPr>
          <w:rFonts w:ascii="Palatino Linotype" w:hAnsi="Palatino Linotype"/>
          <w:sz w:val="20"/>
          <w:lang w:val="en-ZW"/>
        </w:rPr>
        <w:t>SDG&amp;E Reply to SDCP Protest at 3.</w:t>
      </w:r>
    </w:p>
  </w:footnote>
  <w:footnote w:id="8">
    <w:p w14:paraId="2FC13665" w14:textId="26EBDEC8" w:rsidR="000B3D1E" w:rsidRPr="00993CBB" w:rsidRDefault="000B3D1E" w:rsidP="00993CBB">
      <w:pPr>
        <w:pStyle w:val="FootnoteText"/>
        <w:numPr>
          <w:ilvl w:val="0"/>
          <w:numId w:val="0"/>
        </w:numPr>
        <w:spacing w:after="0"/>
        <w:ind w:left="360" w:hanging="360"/>
        <w:rPr>
          <w:rFonts w:ascii="Palatino Linotype" w:hAnsi="Palatino Linotype"/>
          <w:sz w:val="20"/>
        </w:rPr>
      </w:pPr>
      <w:r w:rsidRPr="00993CBB">
        <w:rPr>
          <w:rStyle w:val="FootnoteReference"/>
          <w:rFonts w:ascii="Palatino Linotype" w:hAnsi="Palatino Linotype"/>
          <w:sz w:val="20"/>
        </w:rPr>
        <w:footnoteRef/>
      </w:r>
      <w:r w:rsidRPr="00993CBB">
        <w:rPr>
          <w:rFonts w:ascii="Palatino Linotype" w:hAnsi="Palatino Linotype"/>
          <w:sz w:val="20"/>
        </w:rPr>
        <w:t xml:space="preserve"> </w:t>
      </w:r>
      <w:r w:rsidRPr="00993CBB">
        <w:rPr>
          <w:rFonts w:ascii="Palatino Linotype" w:hAnsi="Palatino Linotype"/>
          <w:sz w:val="20"/>
          <w:lang w:val="en-ZW"/>
        </w:rPr>
        <w:t>SDG&amp;E Reply to SDCP Protest at 2-3.</w:t>
      </w:r>
    </w:p>
  </w:footnote>
  <w:footnote w:id="9">
    <w:p w14:paraId="5C59AF0A" w14:textId="2C44D17A" w:rsidR="00093884" w:rsidRPr="00993CBB" w:rsidRDefault="00093884" w:rsidP="00993CBB">
      <w:pPr>
        <w:pStyle w:val="FootnoteText"/>
        <w:numPr>
          <w:ilvl w:val="0"/>
          <w:numId w:val="0"/>
        </w:numPr>
        <w:spacing w:after="0"/>
        <w:ind w:left="360" w:hanging="360"/>
        <w:rPr>
          <w:rFonts w:ascii="Palatino Linotype" w:hAnsi="Palatino Linotype"/>
          <w:sz w:val="20"/>
        </w:rPr>
      </w:pPr>
      <w:r w:rsidRPr="00993CBB">
        <w:rPr>
          <w:rStyle w:val="FootnoteReference"/>
          <w:rFonts w:ascii="Palatino Linotype" w:hAnsi="Palatino Linotype"/>
          <w:sz w:val="20"/>
        </w:rPr>
        <w:footnoteRef/>
      </w:r>
      <w:r w:rsidRPr="00993CBB">
        <w:rPr>
          <w:rFonts w:ascii="Palatino Linotype" w:hAnsi="Palatino Linotype"/>
          <w:sz w:val="20"/>
        </w:rPr>
        <w:t xml:space="preserve"> </w:t>
      </w:r>
      <w:r w:rsidRPr="00993CBB">
        <w:rPr>
          <w:rFonts w:ascii="Palatino Linotype" w:hAnsi="Palatino Linotype"/>
          <w:sz w:val="20"/>
          <w:lang w:val="en-ZW"/>
        </w:rPr>
        <w:t>SDG&amp;E Reply to SDCP Protest at 5.</w:t>
      </w:r>
    </w:p>
  </w:footnote>
  <w:footnote w:id="10">
    <w:p w14:paraId="5BB15579" w14:textId="2DA7387B" w:rsidR="00520532" w:rsidRPr="00993CBB" w:rsidRDefault="00520532" w:rsidP="00993CBB">
      <w:pPr>
        <w:pStyle w:val="FootnoteText"/>
        <w:numPr>
          <w:ilvl w:val="0"/>
          <w:numId w:val="0"/>
        </w:numPr>
        <w:spacing w:after="0"/>
        <w:ind w:left="360" w:hanging="360"/>
        <w:rPr>
          <w:rFonts w:ascii="Palatino Linotype" w:hAnsi="Palatino Linotype"/>
          <w:sz w:val="20"/>
        </w:rPr>
      </w:pPr>
      <w:r w:rsidRPr="00993CBB">
        <w:rPr>
          <w:rStyle w:val="FootnoteReference"/>
          <w:rFonts w:ascii="Palatino Linotype" w:hAnsi="Palatino Linotype"/>
          <w:sz w:val="20"/>
        </w:rPr>
        <w:footnoteRef/>
      </w:r>
      <w:r w:rsidRPr="00993CBB">
        <w:rPr>
          <w:rFonts w:ascii="Palatino Linotype" w:hAnsi="Palatino Linotype"/>
          <w:sz w:val="20"/>
        </w:rPr>
        <w:t xml:space="preserve"> D.21-12-015 at 108. </w:t>
      </w:r>
    </w:p>
  </w:footnote>
  <w:footnote w:id="11">
    <w:p w14:paraId="6965C943" w14:textId="735DC104" w:rsidR="003737CE" w:rsidRPr="00993CBB" w:rsidRDefault="003737CE" w:rsidP="00993CBB">
      <w:pPr>
        <w:pStyle w:val="FootnoteText"/>
        <w:numPr>
          <w:ilvl w:val="0"/>
          <w:numId w:val="0"/>
        </w:numPr>
        <w:spacing w:after="0"/>
        <w:ind w:left="360" w:hanging="360"/>
        <w:rPr>
          <w:rFonts w:ascii="Palatino Linotype" w:hAnsi="Palatino Linotype"/>
          <w:sz w:val="20"/>
        </w:rPr>
      </w:pPr>
      <w:r w:rsidRPr="00993CBB">
        <w:rPr>
          <w:rStyle w:val="FootnoteReference"/>
          <w:rFonts w:ascii="Palatino Linotype" w:hAnsi="Palatino Linotype"/>
          <w:sz w:val="20"/>
        </w:rPr>
        <w:footnoteRef/>
      </w:r>
      <w:r w:rsidRPr="00993CBB">
        <w:rPr>
          <w:rFonts w:ascii="Palatino Linotype" w:hAnsi="Palatino Linotype"/>
          <w:sz w:val="20"/>
        </w:rPr>
        <w:t xml:space="preserve"> </w:t>
      </w:r>
      <w:r w:rsidRPr="00993CBB">
        <w:rPr>
          <w:rFonts w:ascii="Palatino Linotype" w:hAnsi="Palatino Linotype"/>
          <w:sz w:val="20"/>
          <w:lang w:val="en-ZW"/>
        </w:rPr>
        <w:t>D.21-06-035 at 80.</w:t>
      </w:r>
    </w:p>
  </w:footnote>
  <w:footnote w:id="12">
    <w:p w14:paraId="4E94CF8C" w14:textId="77777777" w:rsidR="007C22C0" w:rsidRPr="00993CBB" w:rsidRDefault="007C22C0" w:rsidP="00993CBB">
      <w:pPr>
        <w:pStyle w:val="FootnoteText"/>
        <w:numPr>
          <w:ilvl w:val="0"/>
          <w:numId w:val="0"/>
        </w:numPr>
        <w:spacing w:after="0"/>
        <w:ind w:left="360" w:hanging="360"/>
        <w:rPr>
          <w:rFonts w:ascii="Palatino Linotype" w:hAnsi="Palatino Linotype"/>
          <w:sz w:val="20"/>
        </w:rPr>
      </w:pPr>
      <w:r w:rsidRPr="00993CBB">
        <w:rPr>
          <w:rStyle w:val="FootnoteReference"/>
          <w:rFonts w:ascii="Palatino Linotype" w:hAnsi="Palatino Linotype"/>
          <w:sz w:val="20"/>
        </w:rPr>
        <w:footnoteRef/>
      </w:r>
      <w:r w:rsidRPr="00993CBB">
        <w:rPr>
          <w:rFonts w:ascii="Palatino Linotype" w:hAnsi="Palatino Linotype"/>
          <w:sz w:val="20"/>
        </w:rPr>
        <w:t xml:space="preserve"> </w:t>
      </w:r>
      <w:r w:rsidRPr="00993CBB">
        <w:rPr>
          <w:rFonts w:ascii="Palatino Linotype" w:hAnsi="Palatino Linotype"/>
          <w:sz w:val="20"/>
          <w:lang w:val="en-ZW"/>
        </w:rPr>
        <w:t>SDCP Protest at 1.</w:t>
      </w:r>
    </w:p>
  </w:footnote>
  <w:footnote w:id="13">
    <w:p w14:paraId="3DEB1A35" w14:textId="46AE5727" w:rsidR="007C22C0" w:rsidRPr="00993CBB" w:rsidRDefault="007C22C0" w:rsidP="00993CBB">
      <w:pPr>
        <w:pStyle w:val="FootnoteText"/>
        <w:numPr>
          <w:ilvl w:val="0"/>
          <w:numId w:val="0"/>
        </w:numPr>
        <w:spacing w:after="0"/>
        <w:ind w:left="360" w:hanging="360"/>
        <w:rPr>
          <w:rFonts w:ascii="Palatino Linotype" w:hAnsi="Palatino Linotype"/>
          <w:sz w:val="20"/>
        </w:rPr>
      </w:pPr>
      <w:r w:rsidRPr="00993CBB">
        <w:rPr>
          <w:rStyle w:val="FootnoteReference"/>
          <w:rFonts w:ascii="Palatino Linotype" w:hAnsi="Palatino Linotype"/>
          <w:sz w:val="20"/>
        </w:rPr>
        <w:footnoteRef/>
      </w:r>
      <w:r w:rsidRPr="00993CBB">
        <w:rPr>
          <w:rFonts w:ascii="Palatino Linotype" w:hAnsi="Palatino Linotype"/>
          <w:sz w:val="20"/>
        </w:rPr>
        <w:t xml:space="preserve"> </w:t>
      </w:r>
      <w:r w:rsidRPr="00993CBB">
        <w:rPr>
          <w:rFonts w:ascii="Palatino Linotype" w:hAnsi="Palatino Linotype"/>
          <w:sz w:val="20"/>
          <w:lang w:val="en-ZW"/>
        </w:rPr>
        <w:t>D.21-12-015 at 108.</w:t>
      </w:r>
    </w:p>
  </w:footnote>
  <w:footnote w:id="14">
    <w:p w14:paraId="4AC6C9ED" w14:textId="5470CA78" w:rsidR="00900FCF" w:rsidRPr="00993CBB" w:rsidRDefault="00900FCF" w:rsidP="00993CBB">
      <w:pPr>
        <w:pStyle w:val="FootnoteText"/>
        <w:numPr>
          <w:ilvl w:val="0"/>
          <w:numId w:val="0"/>
        </w:numPr>
        <w:spacing w:after="0"/>
        <w:ind w:left="360" w:hanging="360"/>
        <w:rPr>
          <w:rFonts w:ascii="Palatino Linotype" w:hAnsi="Palatino Linotype"/>
          <w:sz w:val="20"/>
        </w:rPr>
      </w:pPr>
      <w:r w:rsidRPr="00993CBB">
        <w:rPr>
          <w:rStyle w:val="FootnoteReference"/>
          <w:rFonts w:ascii="Palatino Linotype" w:hAnsi="Palatino Linotype"/>
          <w:sz w:val="20"/>
        </w:rPr>
        <w:footnoteRef/>
      </w:r>
      <w:r w:rsidRPr="00993CBB">
        <w:rPr>
          <w:rFonts w:ascii="Palatino Linotype" w:hAnsi="Palatino Linotype"/>
          <w:sz w:val="20"/>
        </w:rPr>
        <w:t xml:space="preserve"> D.21-06-035 OP 12</w:t>
      </w:r>
      <w:r w:rsidR="00A224D4" w:rsidRPr="00993CBB">
        <w:rPr>
          <w:rFonts w:ascii="Palatino Linotype" w:hAnsi="Palatino Linotype"/>
          <w:sz w:val="20"/>
        </w:rPr>
        <w:t xml:space="preserve"> and</w:t>
      </w:r>
      <w:r w:rsidR="00763E49" w:rsidRPr="00993CBB">
        <w:rPr>
          <w:rFonts w:ascii="Palatino Linotype" w:hAnsi="Palatino Linotype"/>
          <w:sz w:val="20"/>
        </w:rPr>
        <w:t xml:space="preserve"> </w:t>
      </w:r>
      <w:r w:rsidR="00A224D4" w:rsidRPr="00993CBB">
        <w:rPr>
          <w:rFonts w:ascii="Palatino Linotype" w:hAnsi="Palatino Linotype"/>
          <w:sz w:val="20"/>
        </w:rPr>
        <w:t>at 54.</w:t>
      </w:r>
      <w:r w:rsidRPr="00993CBB">
        <w:rPr>
          <w:rFonts w:ascii="Palatino Linotype" w:hAnsi="Palatino Linotype"/>
          <w:sz w:val="20"/>
        </w:rPr>
        <w:t xml:space="preserve"> </w:t>
      </w:r>
    </w:p>
  </w:footnote>
  <w:footnote w:id="15">
    <w:p w14:paraId="411B1D28" w14:textId="4E1D596D" w:rsidR="003E4BF8" w:rsidRPr="00993CBB" w:rsidRDefault="003E4BF8" w:rsidP="00993CBB">
      <w:pPr>
        <w:pStyle w:val="FootnoteText"/>
        <w:numPr>
          <w:ilvl w:val="0"/>
          <w:numId w:val="0"/>
        </w:numPr>
        <w:spacing w:after="0"/>
        <w:ind w:left="360" w:hanging="360"/>
        <w:rPr>
          <w:rFonts w:ascii="Palatino Linotype" w:hAnsi="Palatino Linotype"/>
          <w:sz w:val="20"/>
        </w:rPr>
      </w:pPr>
      <w:r w:rsidRPr="00993CBB">
        <w:rPr>
          <w:rStyle w:val="FootnoteReference"/>
          <w:rFonts w:ascii="Palatino Linotype" w:hAnsi="Palatino Linotype"/>
          <w:sz w:val="20"/>
        </w:rPr>
        <w:footnoteRef/>
      </w:r>
      <w:r w:rsidRPr="00993CBB">
        <w:rPr>
          <w:rFonts w:ascii="Palatino Linotype" w:hAnsi="Palatino Linotype"/>
          <w:sz w:val="20"/>
        </w:rPr>
        <w:t xml:space="preserve"> </w:t>
      </w:r>
      <w:r w:rsidRPr="00993CBB">
        <w:rPr>
          <w:rFonts w:ascii="Palatino Linotype" w:hAnsi="Palatino Linotype"/>
          <w:sz w:val="20"/>
          <w:lang w:val="en-ZW"/>
        </w:rPr>
        <w:t>SDG&amp;E AL 3913-E at 8.</w:t>
      </w:r>
    </w:p>
  </w:footnote>
  <w:footnote w:id="16">
    <w:p w14:paraId="2D1EFEEF" w14:textId="051B9D8D" w:rsidR="003E4BF8" w:rsidRPr="00993CBB" w:rsidRDefault="003E4BF8" w:rsidP="00993CBB">
      <w:pPr>
        <w:pStyle w:val="FootnoteText"/>
        <w:numPr>
          <w:ilvl w:val="0"/>
          <w:numId w:val="0"/>
        </w:numPr>
        <w:spacing w:after="0"/>
        <w:ind w:left="360" w:hanging="360"/>
        <w:rPr>
          <w:rFonts w:ascii="Palatino Linotype" w:hAnsi="Palatino Linotype"/>
          <w:sz w:val="20"/>
        </w:rPr>
      </w:pPr>
      <w:r w:rsidRPr="00993CBB">
        <w:rPr>
          <w:rStyle w:val="FootnoteReference"/>
          <w:rFonts w:ascii="Palatino Linotype" w:hAnsi="Palatino Linotype"/>
          <w:sz w:val="20"/>
        </w:rPr>
        <w:footnoteRef/>
      </w:r>
      <w:r w:rsidRPr="00993CBB">
        <w:rPr>
          <w:rFonts w:ascii="Palatino Linotype" w:hAnsi="Palatino Linotype"/>
          <w:sz w:val="20"/>
        </w:rPr>
        <w:t xml:space="preserve"> </w:t>
      </w:r>
      <w:r w:rsidRPr="00993CBB">
        <w:rPr>
          <w:rFonts w:ascii="Palatino Linotype" w:hAnsi="Palatino Linotype"/>
          <w:sz w:val="20"/>
          <w:lang w:val="en-ZW"/>
        </w:rPr>
        <w:t>D.21-06-035 OP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D81B6" w14:textId="15549F5D" w:rsidR="00CF17DE" w:rsidRPr="00E72936" w:rsidRDefault="61C943AB">
    <w:pPr>
      <w:pStyle w:val="Header"/>
      <w:tabs>
        <w:tab w:val="clear" w:pos="4320"/>
        <w:tab w:val="clear" w:pos="8640"/>
        <w:tab w:val="center" w:pos="4680"/>
        <w:tab w:val="right" w:pos="9180"/>
      </w:tabs>
      <w:rPr>
        <w:rFonts w:ascii="Palatino Linotype" w:hAnsi="Palatino Linotype"/>
        <w:sz w:val="24"/>
        <w:szCs w:val="18"/>
      </w:rPr>
    </w:pPr>
    <w:r w:rsidRPr="00E72936">
      <w:rPr>
        <w:rFonts w:ascii="Palatino Linotype" w:hAnsi="Palatino Linotype"/>
        <w:sz w:val="24"/>
        <w:szCs w:val="18"/>
      </w:rPr>
      <w:t>Resolution E-</w:t>
    </w:r>
    <w:r w:rsidR="00E72936" w:rsidRPr="00E72936">
      <w:rPr>
        <w:rFonts w:ascii="Palatino Linotype" w:hAnsi="Palatino Linotype"/>
        <w:sz w:val="24"/>
        <w:szCs w:val="18"/>
      </w:rPr>
      <w:t>5277</w:t>
    </w:r>
    <w:r w:rsidR="00CF17DE" w:rsidRPr="00E72936">
      <w:rPr>
        <w:rFonts w:ascii="Palatino Linotype" w:hAnsi="Palatino Linotype"/>
        <w:sz w:val="24"/>
        <w:szCs w:val="18"/>
      </w:rPr>
      <w:tab/>
    </w:r>
    <w:r w:rsidR="005B667C">
      <w:rPr>
        <w:rFonts w:ascii="Palatino Linotype" w:hAnsi="Palatino Linotype"/>
        <w:sz w:val="24"/>
        <w:szCs w:val="18"/>
      </w:rPr>
      <w:t>DRAFT</w:t>
    </w:r>
    <w:r w:rsidR="00CF17DE" w:rsidRPr="00E72936">
      <w:rPr>
        <w:rFonts w:ascii="Palatino Linotype" w:hAnsi="Palatino Linotype"/>
        <w:sz w:val="24"/>
        <w:szCs w:val="18"/>
      </w:rPr>
      <w:tab/>
    </w:r>
    <w:r w:rsidR="00E72936" w:rsidRPr="005B667C">
      <w:rPr>
        <w:rFonts w:ascii="Palatino Linotype" w:hAnsi="Palatino Linotype"/>
        <w:sz w:val="24"/>
        <w:szCs w:val="18"/>
      </w:rPr>
      <w:t>July 13</w:t>
    </w:r>
    <w:r w:rsidR="000F6C1E" w:rsidRPr="005B667C">
      <w:rPr>
        <w:rFonts w:ascii="Palatino Linotype" w:hAnsi="Palatino Linotype"/>
        <w:sz w:val="24"/>
        <w:szCs w:val="18"/>
      </w:rPr>
      <w:t>, 2023</w:t>
    </w:r>
  </w:p>
  <w:p w14:paraId="5C7625F1" w14:textId="3B22F330" w:rsidR="61C943AB" w:rsidRPr="00D865A9" w:rsidRDefault="003A7998">
    <w:pPr>
      <w:pStyle w:val="Header"/>
      <w:tabs>
        <w:tab w:val="clear" w:pos="4320"/>
        <w:tab w:val="clear" w:pos="8640"/>
        <w:tab w:val="center" w:pos="4680"/>
        <w:tab w:val="right" w:pos="9180"/>
      </w:tabs>
      <w:rPr>
        <w:rFonts w:ascii="Palatino Linotype" w:hAnsi="Palatino Linotype"/>
        <w:sz w:val="24"/>
        <w:szCs w:val="18"/>
      </w:rPr>
    </w:pPr>
    <w:r w:rsidRPr="00E72936">
      <w:rPr>
        <w:rFonts w:ascii="Palatino Linotype" w:hAnsi="Palatino Linotype"/>
        <w:sz w:val="24"/>
        <w:szCs w:val="18"/>
      </w:rPr>
      <w:t>S</w:t>
    </w:r>
    <w:r w:rsidR="001D3642" w:rsidRPr="00E72936">
      <w:rPr>
        <w:rFonts w:ascii="Palatino Linotype" w:hAnsi="Palatino Linotype"/>
        <w:sz w:val="24"/>
        <w:szCs w:val="18"/>
      </w:rPr>
      <w:t>DG&amp;E</w:t>
    </w:r>
    <w:r w:rsidR="61C943AB" w:rsidRPr="00E72936">
      <w:rPr>
        <w:rFonts w:ascii="Palatino Linotype" w:hAnsi="Palatino Linotype"/>
        <w:sz w:val="24"/>
        <w:szCs w:val="18"/>
      </w:rPr>
      <w:t xml:space="preserve"> AL </w:t>
    </w:r>
    <w:r w:rsidR="00D758B6" w:rsidRPr="00E72936">
      <w:rPr>
        <w:rFonts w:ascii="Palatino Linotype" w:hAnsi="Palatino Linotype"/>
        <w:sz w:val="24"/>
        <w:szCs w:val="18"/>
      </w:rPr>
      <w:t>4</w:t>
    </w:r>
    <w:r w:rsidR="001D3642" w:rsidRPr="00E72936">
      <w:rPr>
        <w:rFonts w:ascii="Palatino Linotype" w:hAnsi="Palatino Linotype"/>
        <w:sz w:val="24"/>
        <w:szCs w:val="18"/>
      </w:rPr>
      <w:t>182</w:t>
    </w:r>
    <w:r w:rsidR="61C943AB" w:rsidRPr="00E72936">
      <w:rPr>
        <w:rFonts w:ascii="Palatino Linotype" w:hAnsi="Palatino Linotype"/>
        <w:sz w:val="24"/>
        <w:szCs w:val="18"/>
      </w:rPr>
      <w:t>-E/</w:t>
    </w:r>
    <w:r w:rsidR="001D3642" w:rsidRPr="00E72936">
      <w:rPr>
        <w:rFonts w:ascii="Palatino Linotype" w:hAnsi="Palatino Linotype"/>
        <w:sz w:val="24"/>
        <w:szCs w:val="18"/>
      </w:rPr>
      <w:t>KC4</w:t>
    </w:r>
  </w:p>
  <w:p w14:paraId="3B9A6E16" w14:textId="77777777" w:rsidR="00CF17DE" w:rsidRPr="00D865A9" w:rsidRDefault="00CF17DE">
    <w:pPr>
      <w:pStyle w:val="Header"/>
      <w:rPr>
        <w:rFonts w:ascii="Palatino Linotype" w:hAnsi="Palatino Linotype"/>
        <w:sz w:val="24"/>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2C22B" w14:textId="0E2D9389" w:rsidR="00AE0B61" w:rsidRPr="00AE0B61" w:rsidRDefault="005B667C" w:rsidP="005B667C">
    <w:pPr>
      <w:pStyle w:val="Header"/>
      <w:tabs>
        <w:tab w:val="left" w:pos="5670"/>
      </w:tabs>
      <w:jc w:val="center"/>
      <w:rPr>
        <w:rFonts w:ascii="Palatino Linotype" w:hAnsi="Palatino Linotype"/>
        <w:sz w:val="24"/>
        <w:szCs w:val="24"/>
      </w:rPr>
    </w:pPr>
    <w:r>
      <w:rPr>
        <w:rFonts w:ascii="Palatino Linotype" w:hAnsi="Palatino Linotype"/>
        <w:color w:val="000000"/>
        <w:sz w:val="24"/>
        <w:szCs w:val="24"/>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04A7"/>
    <w:multiLevelType w:val="multilevel"/>
    <w:tmpl w:val="3E661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AE5E0A"/>
    <w:multiLevelType w:val="singleLevel"/>
    <w:tmpl w:val="81622C8A"/>
    <w:lvl w:ilvl="0">
      <w:start w:val="1"/>
      <w:numFmt w:val="upperLetter"/>
      <w:pStyle w:val="AListIndent"/>
      <w:lvlText w:val="%1. "/>
      <w:lvlJc w:val="left"/>
      <w:pPr>
        <w:tabs>
          <w:tab w:val="num" w:pos="1152"/>
        </w:tabs>
        <w:ind w:left="1152" w:hanging="432"/>
      </w:pPr>
      <w:rPr>
        <w:rFonts w:ascii="Courier" w:hAnsi="Courier" w:hint="default"/>
        <w:b w:val="0"/>
        <w:i w:val="0"/>
        <w:sz w:val="24"/>
      </w:rPr>
    </w:lvl>
  </w:abstractNum>
  <w:abstractNum w:abstractNumId="2" w15:restartNumberingAfterBreak="0">
    <w:nsid w:val="0BDB7819"/>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5906A1E"/>
    <w:multiLevelType w:val="hybridMultilevel"/>
    <w:tmpl w:val="4BE64BAA"/>
    <w:lvl w:ilvl="0" w:tplc="0B7018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237998"/>
    <w:multiLevelType w:val="hybridMultilevel"/>
    <w:tmpl w:val="2F229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80B1D"/>
    <w:multiLevelType w:val="multilevel"/>
    <w:tmpl w:val="88443944"/>
    <w:lvl w:ilvl="0">
      <w:start w:val="1"/>
      <w:numFmt w:val="decimal"/>
      <w:pStyle w:val="FootnoteText"/>
      <w:lvlText w:val="%1."/>
      <w:lvlJc w:val="left"/>
      <w:pPr>
        <w:tabs>
          <w:tab w:val="num" w:pos="360"/>
        </w:tabs>
        <w:ind w:left="360" w:hanging="360"/>
      </w:pPr>
      <w:rPr>
        <w:rFonts w:hint="default"/>
      </w:rPr>
    </w:lvl>
    <w:lvl w:ilvl="1">
      <w:start w:val="1"/>
      <w:numFmt w:val="decimal"/>
      <w:pStyle w:val="Heading2"/>
      <w:isLgl/>
      <w:lvlText w:val="%1.%2"/>
      <w:lvlJc w:val="left"/>
      <w:pPr>
        <w:tabs>
          <w:tab w:val="num" w:pos="1215"/>
        </w:tabs>
        <w:ind w:left="1215" w:hanging="495"/>
      </w:pPr>
      <w:rPr>
        <w:rFonts w:hint="default"/>
      </w:rPr>
    </w:lvl>
    <w:lvl w:ilvl="2">
      <w:start w:val="1"/>
      <w:numFmt w:val="decimal"/>
      <w:isLgl/>
      <w:lvlText w:val="%1.%2.%3"/>
      <w:lvlJc w:val="left"/>
      <w:pPr>
        <w:tabs>
          <w:tab w:val="num" w:pos="2160"/>
        </w:tabs>
        <w:ind w:left="2160" w:hanging="720"/>
      </w:pPr>
      <w:rPr>
        <w:rFonts w:hint="default"/>
      </w:rPr>
    </w:lvl>
    <w:lvl w:ilvl="3">
      <w:start w:val="1"/>
      <w:numFmt w:val="decimalZero"/>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15:restartNumberingAfterBreak="0">
    <w:nsid w:val="26F8414F"/>
    <w:multiLevelType w:val="hybridMultilevel"/>
    <w:tmpl w:val="D0D282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B607BE"/>
    <w:multiLevelType w:val="hybridMultilevel"/>
    <w:tmpl w:val="772AE192"/>
    <w:lvl w:ilvl="0" w:tplc="1DF0C2B8">
      <w:start w:val="1"/>
      <w:numFmt w:val="bullet"/>
      <w:lvlText w:val="·"/>
      <w:lvlJc w:val="left"/>
      <w:pPr>
        <w:ind w:left="720" w:hanging="360"/>
      </w:pPr>
      <w:rPr>
        <w:rFonts w:ascii="Symbol" w:hAnsi="Symbol" w:hint="default"/>
      </w:rPr>
    </w:lvl>
    <w:lvl w:ilvl="1" w:tplc="82C07882">
      <w:start w:val="1"/>
      <w:numFmt w:val="bullet"/>
      <w:lvlText w:val="o"/>
      <w:lvlJc w:val="left"/>
      <w:pPr>
        <w:ind w:left="1440" w:hanging="360"/>
      </w:pPr>
      <w:rPr>
        <w:rFonts w:ascii="Courier New" w:hAnsi="Courier New" w:hint="default"/>
      </w:rPr>
    </w:lvl>
    <w:lvl w:ilvl="2" w:tplc="ABE01C7A">
      <w:start w:val="1"/>
      <w:numFmt w:val="bullet"/>
      <w:lvlText w:val=""/>
      <w:lvlJc w:val="left"/>
      <w:pPr>
        <w:ind w:left="2160" w:hanging="360"/>
      </w:pPr>
      <w:rPr>
        <w:rFonts w:ascii="Wingdings" w:hAnsi="Wingdings" w:hint="default"/>
      </w:rPr>
    </w:lvl>
    <w:lvl w:ilvl="3" w:tplc="E92E2906">
      <w:start w:val="1"/>
      <w:numFmt w:val="bullet"/>
      <w:lvlText w:val=""/>
      <w:lvlJc w:val="left"/>
      <w:pPr>
        <w:ind w:left="2880" w:hanging="360"/>
      </w:pPr>
      <w:rPr>
        <w:rFonts w:ascii="Symbol" w:hAnsi="Symbol" w:hint="default"/>
      </w:rPr>
    </w:lvl>
    <w:lvl w:ilvl="4" w:tplc="10AE2F64">
      <w:start w:val="1"/>
      <w:numFmt w:val="bullet"/>
      <w:lvlText w:val="o"/>
      <w:lvlJc w:val="left"/>
      <w:pPr>
        <w:ind w:left="3600" w:hanging="360"/>
      </w:pPr>
      <w:rPr>
        <w:rFonts w:ascii="Courier New" w:hAnsi="Courier New" w:hint="default"/>
      </w:rPr>
    </w:lvl>
    <w:lvl w:ilvl="5" w:tplc="798C6B34">
      <w:start w:val="1"/>
      <w:numFmt w:val="bullet"/>
      <w:lvlText w:val=""/>
      <w:lvlJc w:val="left"/>
      <w:pPr>
        <w:ind w:left="4320" w:hanging="360"/>
      </w:pPr>
      <w:rPr>
        <w:rFonts w:ascii="Wingdings" w:hAnsi="Wingdings" w:hint="default"/>
      </w:rPr>
    </w:lvl>
    <w:lvl w:ilvl="6" w:tplc="3B50EA0A">
      <w:start w:val="1"/>
      <w:numFmt w:val="bullet"/>
      <w:lvlText w:val=""/>
      <w:lvlJc w:val="left"/>
      <w:pPr>
        <w:ind w:left="5040" w:hanging="360"/>
      </w:pPr>
      <w:rPr>
        <w:rFonts w:ascii="Symbol" w:hAnsi="Symbol" w:hint="default"/>
      </w:rPr>
    </w:lvl>
    <w:lvl w:ilvl="7" w:tplc="44A276DE">
      <w:start w:val="1"/>
      <w:numFmt w:val="bullet"/>
      <w:lvlText w:val="o"/>
      <w:lvlJc w:val="left"/>
      <w:pPr>
        <w:ind w:left="5760" w:hanging="360"/>
      </w:pPr>
      <w:rPr>
        <w:rFonts w:ascii="Courier New" w:hAnsi="Courier New" w:hint="default"/>
      </w:rPr>
    </w:lvl>
    <w:lvl w:ilvl="8" w:tplc="7C682E76">
      <w:start w:val="1"/>
      <w:numFmt w:val="bullet"/>
      <w:lvlText w:val=""/>
      <w:lvlJc w:val="left"/>
      <w:pPr>
        <w:ind w:left="6480" w:hanging="360"/>
      </w:pPr>
      <w:rPr>
        <w:rFonts w:ascii="Wingdings" w:hAnsi="Wingdings" w:hint="default"/>
      </w:rPr>
    </w:lvl>
  </w:abstractNum>
  <w:abstractNum w:abstractNumId="8" w15:restartNumberingAfterBreak="0">
    <w:nsid w:val="3AA16231"/>
    <w:multiLevelType w:val="hybridMultilevel"/>
    <w:tmpl w:val="954AC3F0"/>
    <w:lvl w:ilvl="0" w:tplc="4A0C3290">
      <w:start w:val="1"/>
      <w:numFmt w:val="bullet"/>
      <w:lvlText w:val="·"/>
      <w:lvlJc w:val="left"/>
      <w:pPr>
        <w:ind w:left="720" w:hanging="360"/>
      </w:pPr>
      <w:rPr>
        <w:rFonts w:ascii="Symbol" w:hAnsi="Symbol" w:hint="default"/>
      </w:rPr>
    </w:lvl>
    <w:lvl w:ilvl="1" w:tplc="3CD0474A">
      <w:start w:val="1"/>
      <w:numFmt w:val="bullet"/>
      <w:lvlText w:val="o"/>
      <w:lvlJc w:val="left"/>
      <w:pPr>
        <w:ind w:left="1440" w:hanging="360"/>
      </w:pPr>
      <w:rPr>
        <w:rFonts w:ascii="Courier New" w:hAnsi="Courier New" w:hint="default"/>
      </w:rPr>
    </w:lvl>
    <w:lvl w:ilvl="2" w:tplc="3D681224">
      <w:start w:val="1"/>
      <w:numFmt w:val="bullet"/>
      <w:lvlText w:val=""/>
      <w:lvlJc w:val="left"/>
      <w:pPr>
        <w:ind w:left="2160" w:hanging="360"/>
      </w:pPr>
      <w:rPr>
        <w:rFonts w:ascii="Wingdings" w:hAnsi="Wingdings" w:hint="default"/>
      </w:rPr>
    </w:lvl>
    <w:lvl w:ilvl="3" w:tplc="46B61AA2">
      <w:start w:val="1"/>
      <w:numFmt w:val="bullet"/>
      <w:lvlText w:val=""/>
      <w:lvlJc w:val="left"/>
      <w:pPr>
        <w:ind w:left="2880" w:hanging="360"/>
      </w:pPr>
      <w:rPr>
        <w:rFonts w:ascii="Symbol" w:hAnsi="Symbol" w:hint="default"/>
      </w:rPr>
    </w:lvl>
    <w:lvl w:ilvl="4" w:tplc="061CBAA0">
      <w:start w:val="1"/>
      <w:numFmt w:val="bullet"/>
      <w:lvlText w:val="o"/>
      <w:lvlJc w:val="left"/>
      <w:pPr>
        <w:ind w:left="3600" w:hanging="360"/>
      </w:pPr>
      <w:rPr>
        <w:rFonts w:ascii="Courier New" w:hAnsi="Courier New" w:hint="default"/>
      </w:rPr>
    </w:lvl>
    <w:lvl w:ilvl="5" w:tplc="311210CA">
      <w:start w:val="1"/>
      <w:numFmt w:val="bullet"/>
      <w:lvlText w:val=""/>
      <w:lvlJc w:val="left"/>
      <w:pPr>
        <w:ind w:left="4320" w:hanging="360"/>
      </w:pPr>
      <w:rPr>
        <w:rFonts w:ascii="Wingdings" w:hAnsi="Wingdings" w:hint="default"/>
      </w:rPr>
    </w:lvl>
    <w:lvl w:ilvl="6" w:tplc="705C039A">
      <w:start w:val="1"/>
      <w:numFmt w:val="bullet"/>
      <w:lvlText w:val=""/>
      <w:lvlJc w:val="left"/>
      <w:pPr>
        <w:ind w:left="5040" w:hanging="360"/>
      </w:pPr>
      <w:rPr>
        <w:rFonts w:ascii="Symbol" w:hAnsi="Symbol" w:hint="default"/>
      </w:rPr>
    </w:lvl>
    <w:lvl w:ilvl="7" w:tplc="6C72A9A2">
      <w:start w:val="1"/>
      <w:numFmt w:val="bullet"/>
      <w:lvlText w:val="o"/>
      <w:lvlJc w:val="left"/>
      <w:pPr>
        <w:ind w:left="5760" w:hanging="360"/>
      </w:pPr>
      <w:rPr>
        <w:rFonts w:ascii="Courier New" w:hAnsi="Courier New" w:hint="default"/>
      </w:rPr>
    </w:lvl>
    <w:lvl w:ilvl="8" w:tplc="54801EA2">
      <w:start w:val="1"/>
      <w:numFmt w:val="bullet"/>
      <w:lvlText w:val=""/>
      <w:lvlJc w:val="left"/>
      <w:pPr>
        <w:ind w:left="6480" w:hanging="360"/>
      </w:pPr>
      <w:rPr>
        <w:rFonts w:ascii="Wingdings" w:hAnsi="Wingdings" w:hint="default"/>
      </w:rPr>
    </w:lvl>
  </w:abstractNum>
  <w:abstractNum w:abstractNumId="9" w15:restartNumberingAfterBreak="0">
    <w:nsid w:val="43D34417"/>
    <w:multiLevelType w:val="multilevel"/>
    <w:tmpl w:val="C28E5C40"/>
    <w:lvl w:ilvl="0">
      <w:start w:val="1"/>
      <w:numFmt w:val="decimal"/>
      <w:pStyle w:val="1ListInden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499D488D"/>
    <w:multiLevelType w:val="hybridMultilevel"/>
    <w:tmpl w:val="3B44ED38"/>
    <w:lvl w:ilvl="0" w:tplc="2BF49CE6">
      <w:start w:val="1"/>
      <w:numFmt w:val="bullet"/>
      <w:lvlText w:val="·"/>
      <w:lvlJc w:val="left"/>
      <w:pPr>
        <w:ind w:left="720" w:hanging="360"/>
      </w:pPr>
      <w:rPr>
        <w:rFonts w:ascii="Symbol" w:hAnsi="Symbol" w:hint="default"/>
      </w:rPr>
    </w:lvl>
    <w:lvl w:ilvl="1" w:tplc="8B1AF868">
      <w:start w:val="1"/>
      <w:numFmt w:val="bullet"/>
      <w:lvlText w:val="o"/>
      <w:lvlJc w:val="left"/>
      <w:pPr>
        <w:ind w:left="1440" w:hanging="360"/>
      </w:pPr>
      <w:rPr>
        <w:rFonts w:ascii="Courier New" w:hAnsi="Courier New" w:hint="default"/>
      </w:rPr>
    </w:lvl>
    <w:lvl w:ilvl="2" w:tplc="5AF26B70">
      <w:start w:val="1"/>
      <w:numFmt w:val="bullet"/>
      <w:lvlText w:val=""/>
      <w:lvlJc w:val="left"/>
      <w:pPr>
        <w:ind w:left="2160" w:hanging="360"/>
      </w:pPr>
      <w:rPr>
        <w:rFonts w:ascii="Wingdings" w:hAnsi="Wingdings" w:hint="default"/>
      </w:rPr>
    </w:lvl>
    <w:lvl w:ilvl="3" w:tplc="0F209156">
      <w:start w:val="1"/>
      <w:numFmt w:val="bullet"/>
      <w:lvlText w:val=""/>
      <w:lvlJc w:val="left"/>
      <w:pPr>
        <w:ind w:left="2880" w:hanging="360"/>
      </w:pPr>
      <w:rPr>
        <w:rFonts w:ascii="Symbol" w:hAnsi="Symbol" w:hint="default"/>
      </w:rPr>
    </w:lvl>
    <w:lvl w:ilvl="4" w:tplc="34563A3A">
      <w:start w:val="1"/>
      <w:numFmt w:val="bullet"/>
      <w:lvlText w:val="o"/>
      <w:lvlJc w:val="left"/>
      <w:pPr>
        <w:ind w:left="3600" w:hanging="360"/>
      </w:pPr>
      <w:rPr>
        <w:rFonts w:ascii="Courier New" w:hAnsi="Courier New" w:hint="default"/>
      </w:rPr>
    </w:lvl>
    <w:lvl w:ilvl="5" w:tplc="38DCAC46">
      <w:start w:val="1"/>
      <w:numFmt w:val="bullet"/>
      <w:lvlText w:val=""/>
      <w:lvlJc w:val="left"/>
      <w:pPr>
        <w:ind w:left="4320" w:hanging="360"/>
      </w:pPr>
      <w:rPr>
        <w:rFonts w:ascii="Wingdings" w:hAnsi="Wingdings" w:hint="default"/>
      </w:rPr>
    </w:lvl>
    <w:lvl w:ilvl="6" w:tplc="811EE2E2">
      <w:start w:val="1"/>
      <w:numFmt w:val="bullet"/>
      <w:lvlText w:val=""/>
      <w:lvlJc w:val="left"/>
      <w:pPr>
        <w:ind w:left="5040" w:hanging="360"/>
      </w:pPr>
      <w:rPr>
        <w:rFonts w:ascii="Symbol" w:hAnsi="Symbol" w:hint="default"/>
      </w:rPr>
    </w:lvl>
    <w:lvl w:ilvl="7" w:tplc="A8E27266">
      <w:start w:val="1"/>
      <w:numFmt w:val="bullet"/>
      <w:lvlText w:val="o"/>
      <w:lvlJc w:val="left"/>
      <w:pPr>
        <w:ind w:left="5760" w:hanging="360"/>
      </w:pPr>
      <w:rPr>
        <w:rFonts w:ascii="Courier New" w:hAnsi="Courier New" w:hint="default"/>
      </w:rPr>
    </w:lvl>
    <w:lvl w:ilvl="8" w:tplc="0F20B61C">
      <w:start w:val="1"/>
      <w:numFmt w:val="bullet"/>
      <w:lvlText w:val=""/>
      <w:lvlJc w:val="left"/>
      <w:pPr>
        <w:ind w:left="6480" w:hanging="360"/>
      </w:pPr>
      <w:rPr>
        <w:rFonts w:ascii="Wingdings" w:hAnsi="Wingdings" w:hint="default"/>
      </w:rPr>
    </w:lvl>
  </w:abstractNum>
  <w:abstractNum w:abstractNumId="11" w15:restartNumberingAfterBreak="0">
    <w:nsid w:val="54BE4095"/>
    <w:multiLevelType w:val="hybridMultilevel"/>
    <w:tmpl w:val="B7A8471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2565C7"/>
    <w:multiLevelType w:val="singleLevel"/>
    <w:tmpl w:val="B4D29030"/>
    <w:lvl w:ilvl="0">
      <w:start w:val="1"/>
      <w:numFmt w:val="decimal"/>
      <w:lvlText w:val="%1."/>
      <w:lvlJc w:val="left"/>
      <w:pPr>
        <w:tabs>
          <w:tab w:val="num" w:pos="420"/>
        </w:tabs>
        <w:ind w:left="420" w:hanging="420"/>
      </w:pPr>
      <w:rPr>
        <w:rFonts w:hint="default"/>
      </w:rPr>
    </w:lvl>
  </w:abstractNum>
  <w:abstractNum w:abstractNumId="13" w15:restartNumberingAfterBreak="0">
    <w:nsid w:val="5B3B32E4"/>
    <w:multiLevelType w:val="hybridMultilevel"/>
    <w:tmpl w:val="514AE7FA"/>
    <w:lvl w:ilvl="0" w:tplc="BCEE72C4">
      <w:start w:val="3232"/>
      <w:numFmt w:val="bullet"/>
      <w:lvlText w:val="•"/>
      <w:lvlJc w:val="left"/>
      <w:pPr>
        <w:ind w:left="720" w:hanging="36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1F248C"/>
    <w:multiLevelType w:val="multilevel"/>
    <w:tmpl w:val="80967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BB84711"/>
    <w:multiLevelType w:val="hybridMultilevel"/>
    <w:tmpl w:val="99DE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E56713E"/>
    <w:multiLevelType w:val="hybridMultilevel"/>
    <w:tmpl w:val="45566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89422359">
    <w:abstractNumId w:val="10"/>
  </w:num>
  <w:num w:numId="2" w16cid:durableId="961425955">
    <w:abstractNumId w:val="8"/>
  </w:num>
  <w:num w:numId="3" w16cid:durableId="1705713582">
    <w:abstractNumId w:val="7"/>
  </w:num>
  <w:num w:numId="4" w16cid:durableId="963921878">
    <w:abstractNumId w:val="1"/>
  </w:num>
  <w:num w:numId="5" w16cid:durableId="1883705939">
    <w:abstractNumId w:val="9"/>
  </w:num>
  <w:num w:numId="6" w16cid:durableId="180945800">
    <w:abstractNumId w:val="5"/>
  </w:num>
  <w:num w:numId="7" w16cid:durableId="944842790">
    <w:abstractNumId w:val="12"/>
  </w:num>
  <w:num w:numId="8" w16cid:durableId="1991593136">
    <w:abstractNumId w:val="2"/>
  </w:num>
  <w:num w:numId="9" w16cid:durableId="1754620235">
    <w:abstractNumId w:val="6"/>
  </w:num>
  <w:num w:numId="10" w16cid:durableId="969365539">
    <w:abstractNumId w:val="15"/>
  </w:num>
  <w:num w:numId="11" w16cid:durableId="1671978658">
    <w:abstractNumId w:val="16"/>
  </w:num>
  <w:num w:numId="12" w16cid:durableId="1982611534">
    <w:abstractNumId w:val="4"/>
  </w:num>
  <w:num w:numId="13" w16cid:durableId="468133998">
    <w:abstractNumId w:val="13"/>
  </w:num>
  <w:num w:numId="14" w16cid:durableId="307590920">
    <w:abstractNumId w:val="0"/>
  </w:num>
  <w:num w:numId="15" w16cid:durableId="452137340">
    <w:abstractNumId w:val="14"/>
  </w:num>
  <w:num w:numId="16" w16cid:durableId="86776723">
    <w:abstractNumId w:val="3"/>
  </w:num>
  <w:num w:numId="17" w16cid:durableId="1656030139">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activeWritingStyle w:lang="en-US" w:vendorID="8" w:dllVersion="513" w:checkStyle="1" w:appName="MSWord"/>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70"/>
    <w:rsid w:val="00003E18"/>
    <w:rsid w:val="0000778F"/>
    <w:rsid w:val="00012D45"/>
    <w:rsid w:val="0001353C"/>
    <w:rsid w:val="00024C89"/>
    <w:rsid w:val="00025975"/>
    <w:rsid w:val="0002666E"/>
    <w:rsid w:val="00033A24"/>
    <w:rsid w:val="00034A6F"/>
    <w:rsid w:val="0005195F"/>
    <w:rsid w:val="00055467"/>
    <w:rsid w:val="00056DAA"/>
    <w:rsid w:val="00066263"/>
    <w:rsid w:val="0007092A"/>
    <w:rsid w:val="00074FA9"/>
    <w:rsid w:val="00081F4D"/>
    <w:rsid w:val="000861A7"/>
    <w:rsid w:val="000870B1"/>
    <w:rsid w:val="00090457"/>
    <w:rsid w:val="00093884"/>
    <w:rsid w:val="000A12AA"/>
    <w:rsid w:val="000B3718"/>
    <w:rsid w:val="000B3D1E"/>
    <w:rsid w:val="000B489E"/>
    <w:rsid w:val="000B5D11"/>
    <w:rsid w:val="000C50E3"/>
    <w:rsid w:val="000C6051"/>
    <w:rsid w:val="000D3A75"/>
    <w:rsid w:val="000E1C4C"/>
    <w:rsid w:val="000F4A0E"/>
    <w:rsid w:val="000F6C1E"/>
    <w:rsid w:val="0010092E"/>
    <w:rsid w:val="00102770"/>
    <w:rsid w:val="00114028"/>
    <w:rsid w:val="00126288"/>
    <w:rsid w:val="00135C1C"/>
    <w:rsid w:val="00142FB8"/>
    <w:rsid w:val="00153FB6"/>
    <w:rsid w:val="0015480F"/>
    <w:rsid w:val="00155A9F"/>
    <w:rsid w:val="00156757"/>
    <w:rsid w:val="00165280"/>
    <w:rsid w:val="001674DC"/>
    <w:rsid w:val="001729C2"/>
    <w:rsid w:val="001754D9"/>
    <w:rsid w:val="00177621"/>
    <w:rsid w:val="00187D90"/>
    <w:rsid w:val="00190982"/>
    <w:rsid w:val="00195394"/>
    <w:rsid w:val="0019704B"/>
    <w:rsid w:val="001A1A13"/>
    <w:rsid w:val="001A1DB2"/>
    <w:rsid w:val="001B176A"/>
    <w:rsid w:val="001C2EC5"/>
    <w:rsid w:val="001C74D3"/>
    <w:rsid w:val="001D3642"/>
    <w:rsid w:val="001E1165"/>
    <w:rsid w:val="001E4BDF"/>
    <w:rsid w:val="001E58A0"/>
    <w:rsid w:val="001E6F02"/>
    <w:rsid w:val="001E7C6D"/>
    <w:rsid w:val="001F5325"/>
    <w:rsid w:val="001F7850"/>
    <w:rsid w:val="002001C1"/>
    <w:rsid w:val="0020108F"/>
    <w:rsid w:val="0021024B"/>
    <w:rsid w:val="002258F4"/>
    <w:rsid w:val="00233D94"/>
    <w:rsid w:val="002347C3"/>
    <w:rsid w:val="002403CE"/>
    <w:rsid w:val="00242FF8"/>
    <w:rsid w:val="0024459D"/>
    <w:rsid w:val="00250D49"/>
    <w:rsid w:val="00252EFB"/>
    <w:rsid w:val="00253F14"/>
    <w:rsid w:val="002603B8"/>
    <w:rsid w:val="00265914"/>
    <w:rsid w:val="002667F9"/>
    <w:rsid w:val="0027113E"/>
    <w:rsid w:val="00282D87"/>
    <w:rsid w:val="0028429E"/>
    <w:rsid w:val="00293567"/>
    <w:rsid w:val="002A4AB2"/>
    <w:rsid w:val="002B26DC"/>
    <w:rsid w:val="002B7C29"/>
    <w:rsid w:val="002D3295"/>
    <w:rsid w:val="002F22A7"/>
    <w:rsid w:val="002F3D78"/>
    <w:rsid w:val="00300B3F"/>
    <w:rsid w:val="003048D9"/>
    <w:rsid w:val="00305609"/>
    <w:rsid w:val="003069F5"/>
    <w:rsid w:val="003132C2"/>
    <w:rsid w:val="00316BC0"/>
    <w:rsid w:val="00344CE2"/>
    <w:rsid w:val="003525FB"/>
    <w:rsid w:val="00361B9D"/>
    <w:rsid w:val="003722FA"/>
    <w:rsid w:val="003737CE"/>
    <w:rsid w:val="00373DA0"/>
    <w:rsid w:val="00375500"/>
    <w:rsid w:val="00375E3F"/>
    <w:rsid w:val="003774F8"/>
    <w:rsid w:val="00385F97"/>
    <w:rsid w:val="00394B3A"/>
    <w:rsid w:val="003A5EE9"/>
    <w:rsid w:val="003A7998"/>
    <w:rsid w:val="003A7F8F"/>
    <w:rsid w:val="003B1839"/>
    <w:rsid w:val="003B28DC"/>
    <w:rsid w:val="003B534E"/>
    <w:rsid w:val="003B660B"/>
    <w:rsid w:val="003B7F1A"/>
    <w:rsid w:val="003C1687"/>
    <w:rsid w:val="003C17E4"/>
    <w:rsid w:val="003C3871"/>
    <w:rsid w:val="003C4695"/>
    <w:rsid w:val="003C4CD2"/>
    <w:rsid w:val="003D3720"/>
    <w:rsid w:val="003D4D29"/>
    <w:rsid w:val="003E162D"/>
    <w:rsid w:val="003E46B8"/>
    <w:rsid w:val="003E4BF8"/>
    <w:rsid w:val="003F6E5A"/>
    <w:rsid w:val="00400F6B"/>
    <w:rsid w:val="004019B0"/>
    <w:rsid w:val="00411D6C"/>
    <w:rsid w:val="00412DC0"/>
    <w:rsid w:val="00414270"/>
    <w:rsid w:val="0041587E"/>
    <w:rsid w:val="00431BF6"/>
    <w:rsid w:val="00434194"/>
    <w:rsid w:val="00436E64"/>
    <w:rsid w:val="0043742B"/>
    <w:rsid w:val="00440AB7"/>
    <w:rsid w:val="0044164E"/>
    <w:rsid w:val="00447C01"/>
    <w:rsid w:val="00453D64"/>
    <w:rsid w:val="0046634F"/>
    <w:rsid w:val="00467956"/>
    <w:rsid w:val="00470B9B"/>
    <w:rsid w:val="004718D9"/>
    <w:rsid w:val="004725AE"/>
    <w:rsid w:val="00473863"/>
    <w:rsid w:val="004744AA"/>
    <w:rsid w:val="004905D3"/>
    <w:rsid w:val="00491945"/>
    <w:rsid w:val="00493583"/>
    <w:rsid w:val="004B3200"/>
    <w:rsid w:val="004D1508"/>
    <w:rsid w:val="004D3212"/>
    <w:rsid w:val="004E3FA0"/>
    <w:rsid w:val="004E5884"/>
    <w:rsid w:val="004E7734"/>
    <w:rsid w:val="004E7CE5"/>
    <w:rsid w:val="004F08CD"/>
    <w:rsid w:val="004F2088"/>
    <w:rsid w:val="00501065"/>
    <w:rsid w:val="00511DDE"/>
    <w:rsid w:val="00512B7F"/>
    <w:rsid w:val="00513100"/>
    <w:rsid w:val="0051503B"/>
    <w:rsid w:val="00520532"/>
    <w:rsid w:val="005249DF"/>
    <w:rsid w:val="00530EE7"/>
    <w:rsid w:val="005421E6"/>
    <w:rsid w:val="0056116D"/>
    <w:rsid w:val="00563F18"/>
    <w:rsid w:val="0057398B"/>
    <w:rsid w:val="005805BF"/>
    <w:rsid w:val="0059078E"/>
    <w:rsid w:val="00593807"/>
    <w:rsid w:val="005A363C"/>
    <w:rsid w:val="005B667C"/>
    <w:rsid w:val="005C3BA0"/>
    <w:rsid w:val="005C6433"/>
    <w:rsid w:val="005D02D9"/>
    <w:rsid w:val="005D086C"/>
    <w:rsid w:val="005D233C"/>
    <w:rsid w:val="005D3951"/>
    <w:rsid w:val="005D484D"/>
    <w:rsid w:val="005D6AC6"/>
    <w:rsid w:val="005F1942"/>
    <w:rsid w:val="00606008"/>
    <w:rsid w:val="00607638"/>
    <w:rsid w:val="006104CA"/>
    <w:rsid w:val="0061202C"/>
    <w:rsid w:val="00613C9A"/>
    <w:rsid w:val="006200F0"/>
    <w:rsid w:val="006207DC"/>
    <w:rsid w:val="006211A0"/>
    <w:rsid w:val="006325B4"/>
    <w:rsid w:val="00652BD8"/>
    <w:rsid w:val="00653B91"/>
    <w:rsid w:val="00656143"/>
    <w:rsid w:val="0066080C"/>
    <w:rsid w:val="006631F6"/>
    <w:rsid w:val="00663232"/>
    <w:rsid w:val="00670262"/>
    <w:rsid w:val="006747AA"/>
    <w:rsid w:val="00695DDE"/>
    <w:rsid w:val="0069631C"/>
    <w:rsid w:val="006964C0"/>
    <w:rsid w:val="006A4CBA"/>
    <w:rsid w:val="006A6519"/>
    <w:rsid w:val="006B05EE"/>
    <w:rsid w:val="006B12BC"/>
    <w:rsid w:val="006B1608"/>
    <w:rsid w:val="006B5D88"/>
    <w:rsid w:val="006C4B74"/>
    <w:rsid w:val="006C7C15"/>
    <w:rsid w:val="006D0218"/>
    <w:rsid w:val="006D3AFA"/>
    <w:rsid w:val="006D546B"/>
    <w:rsid w:val="006E237B"/>
    <w:rsid w:val="00705562"/>
    <w:rsid w:val="00706522"/>
    <w:rsid w:val="00707A86"/>
    <w:rsid w:val="00712D8D"/>
    <w:rsid w:val="00733E72"/>
    <w:rsid w:val="007374F3"/>
    <w:rsid w:val="00763E49"/>
    <w:rsid w:val="00766D11"/>
    <w:rsid w:val="00774D65"/>
    <w:rsid w:val="00787C3E"/>
    <w:rsid w:val="00787DEC"/>
    <w:rsid w:val="007963D3"/>
    <w:rsid w:val="007A281A"/>
    <w:rsid w:val="007C22C0"/>
    <w:rsid w:val="007C238E"/>
    <w:rsid w:val="007C2A2F"/>
    <w:rsid w:val="007C39A7"/>
    <w:rsid w:val="007D35DC"/>
    <w:rsid w:val="007D578F"/>
    <w:rsid w:val="007D67CA"/>
    <w:rsid w:val="007D7152"/>
    <w:rsid w:val="007E6E27"/>
    <w:rsid w:val="007F5778"/>
    <w:rsid w:val="00801D70"/>
    <w:rsid w:val="00803EE3"/>
    <w:rsid w:val="00822061"/>
    <w:rsid w:val="008235C8"/>
    <w:rsid w:val="00824D25"/>
    <w:rsid w:val="00825034"/>
    <w:rsid w:val="00835F54"/>
    <w:rsid w:val="008360BA"/>
    <w:rsid w:val="00840C86"/>
    <w:rsid w:val="00844E37"/>
    <w:rsid w:val="008538BA"/>
    <w:rsid w:val="00862268"/>
    <w:rsid w:val="00866AE6"/>
    <w:rsid w:val="008826CD"/>
    <w:rsid w:val="0089620E"/>
    <w:rsid w:val="008A2922"/>
    <w:rsid w:val="008B7FFB"/>
    <w:rsid w:val="008D1752"/>
    <w:rsid w:val="008D4A8D"/>
    <w:rsid w:val="008D798F"/>
    <w:rsid w:val="008E1C0E"/>
    <w:rsid w:val="008E42DD"/>
    <w:rsid w:val="008E6797"/>
    <w:rsid w:val="008E7860"/>
    <w:rsid w:val="00900FCF"/>
    <w:rsid w:val="0090628D"/>
    <w:rsid w:val="0090629A"/>
    <w:rsid w:val="00910207"/>
    <w:rsid w:val="009103C1"/>
    <w:rsid w:val="00915E92"/>
    <w:rsid w:val="00920154"/>
    <w:rsid w:val="00930103"/>
    <w:rsid w:val="00934786"/>
    <w:rsid w:val="0093670B"/>
    <w:rsid w:val="00946E2C"/>
    <w:rsid w:val="009523C5"/>
    <w:rsid w:val="009609B6"/>
    <w:rsid w:val="00965782"/>
    <w:rsid w:val="00966821"/>
    <w:rsid w:val="009668AD"/>
    <w:rsid w:val="00972834"/>
    <w:rsid w:val="0098093D"/>
    <w:rsid w:val="009809B1"/>
    <w:rsid w:val="00985EB2"/>
    <w:rsid w:val="009908D1"/>
    <w:rsid w:val="00991A3C"/>
    <w:rsid w:val="00991E27"/>
    <w:rsid w:val="00993121"/>
    <w:rsid w:val="00993CBB"/>
    <w:rsid w:val="009978D7"/>
    <w:rsid w:val="009A24A8"/>
    <w:rsid w:val="009A50E0"/>
    <w:rsid w:val="009B5CA7"/>
    <w:rsid w:val="009C103A"/>
    <w:rsid w:val="009C7300"/>
    <w:rsid w:val="009D3C9E"/>
    <w:rsid w:val="009D63EA"/>
    <w:rsid w:val="009D7160"/>
    <w:rsid w:val="009E36CD"/>
    <w:rsid w:val="009F1822"/>
    <w:rsid w:val="009F5834"/>
    <w:rsid w:val="00A0651D"/>
    <w:rsid w:val="00A106AD"/>
    <w:rsid w:val="00A1135C"/>
    <w:rsid w:val="00A1526C"/>
    <w:rsid w:val="00A218B6"/>
    <w:rsid w:val="00A224D4"/>
    <w:rsid w:val="00A32525"/>
    <w:rsid w:val="00A41B5E"/>
    <w:rsid w:val="00A45623"/>
    <w:rsid w:val="00A45B85"/>
    <w:rsid w:val="00A476FA"/>
    <w:rsid w:val="00A516EB"/>
    <w:rsid w:val="00A517F7"/>
    <w:rsid w:val="00A5194A"/>
    <w:rsid w:val="00A60201"/>
    <w:rsid w:val="00A8007C"/>
    <w:rsid w:val="00A80F83"/>
    <w:rsid w:val="00A910FC"/>
    <w:rsid w:val="00A9110C"/>
    <w:rsid w:val="00A94729"/>
    <w:rsid w:val="00AB050C"/>
    <w:rsid w:val="00AB5F74"/>
    <w:rsid w:val="00AB72EE"/>
    <w:rsid w:val="00AC134A"/>
    <w:rsid w:val="00AE0B61"/>
    <w:rsid w:val="00AE581F"/>
    <w:rsid w:val="00AE664C"/>
    <w:rsid w:val="00AF1DF6"/>
    <w:rsid w:val="00AF55DC"/>
    <w:rsid w:val="00B0060A"/>
    <w:rsid w:val="00B061C7"/>
    <w:rsid w:val="00B11468"/>
    <w:rsid w:val="00B15637"/>
    <w:rsid w:val="00B17BAB"/>
    <w:rsid w:val="00B20AB3"/>
    <w:rsid w:val="00B20FCB"/>
    <w:rsid w:val="00B37483"/>
    <w:rsid w:val="00B40A16"/>
    <w:rsid w:val="00B41C18"/>
    <w:rsid w:val="00B47601"/>
    <w:rsid w:val="00B519F5"/>
    <w:rsid w:val="00B53268"/>
    <w:rsid w:val="00B61034"/>
    <w:rsid w:val="00B61317"/>
    <w:rsid w:val="00B6206A"/>
    <w:rsid w:val="00B62A12"/>
    <w:rsid w:val="00B841C9"/>
    <w:rsid w:val="00B913F1"/>
    <w:rsid w:val="00B915FA"/>
    <w:rsid w:val="00B927B5"/>
    <w:rsid w:val="00B9393F"/>
    <w:rsid w:val="00B943D5"/>
    <w:rsid w:val="00BA2DB1"/>
    <w:rsid w:val="00BA31A0"/>
    <w:rsid w:val="00BB0893"/>
    <w:rsid w:val="00BB5503"/>
    <w:rsid w:val="00BB7A5B"/>
    <w:rsid w:val="00BC3DC6"/>
    <w:rsid w:val="00BD43DE"/>
    <w:rsid w:val="00BD6FF5"/>
    <w:rsid w:val="00BD7112"/>
    <w:rsid w:val="00BE19DC"/>
    <w:rsid w:val="00BE45C8"/>
    <w:rsid w:val="00BF7A75"/>
    <w:rsid w:val="00C034B7"/>
    <w:rsid w:val="00C10B8D"/>
    <w:rsid w:val="00C14010"/>
    <w:rsid w:val="00C178B2"/>
    <w:rsid w:val="00C253EA"/>
    <w:rsid w:val="00C410A1"/>
    <w:rsid w:val="00C44192"/>
    <w:rsid w:val="00C525A2"/>
    <w:rsid w:val="00C65643"/>
    <w:rsid w:val="00C677C1"/>
    <w:rsid w:val="00C77D76"/>
    <w:rsid w:val="00C920E6"/>
    <w:rsid w:val="00C97D68"/>
    <w:rsid w:val="00CA25DC"/>
    <w:rsid w:val="00CA28A1"/>
    <w:rsid w:val="00CA4390"/>
    <w:rsid w:val="00CB036C"/>
    <w:rsid w:val="00CB42C3"/>
    <w:rsid w:val="00CC3432"/>
    <w:rsid w:val="00CC4E65"/>
    <w:rsid w:val="00CC55D6"/>
    <w:rsid w:val="00CC73A4"/>
    <w:rsid w:val="00CD53B8"/>
    <w:rsid w:val="00CE7249"/>
    <w:rsid w:val="00CF17DE"/>
    <w:rsid w:val="00CF421D"/>
    <w:rsid w:val="00CF57A8"/>
    <w:rsid w:val="00D007B3"/>
    <w:rsid w:val="00D02E6D"/>
    <w:rsid w:val="00D0484A"/>
    <w:rsid w:val="00D05746"/>
    <w:rsid w:val="00D137B9"/>
    <w:rsid w:val="00D17106"/>
    <w:rsid w:val="00D20F6C"/>
    <w:rsid w:val="00D340E3"/>
    <w:rsid w:val="00D43BD9"/>
    <w:rsid w:val="00D45D7E"/>
    <w:rsid w:val="00D515F8"/>
    <w:rsid w:val="00D52F2C"/>
    <w:rsid w:val="00D538F7"/>
    <w:rsid w:val="00D546BE"/>
    <w:rsid w:val="00D61F9D"/>
    <w:rsid w:val="00D710DE"/>
    <w:rsid w:val="00D7474C"/>
    <w:rsid w:val="00D758B6"/>
    <w:rsid w:val="00D822A6"/>
    <w:rsid w:val="00D822FD"/>
    <w:rsid w:val="00D839F4"/>
    <w:rsid w:val="00D865A9"/>
    <w:rsid w:val="00D90DA0"/>
    <w:rsid w:val="00D90F58"/>
    <w:rsid w:val="00D9189E"/>
    <w:rsid w:val="00DA6B3E"/>
    <w:rsid w:val="00DB08CE"/>
    <w:rsid w:val="00DB5D30"/>
    <w:rsid w:val="00DB619F"/>
    <w:rsid w:val="00DB6F2C"/>
    <w:rsid w:val="00DC316B"/>
    <w:rsid w:val="00DD169B"/>
    <w:rsid w:val="00DD2C6C"/>
    <w:rsid w:val="00DD5BEA"/>
    <w:rsid w:val="00DE2237"/>
    <w:rsid w:val="00DE42EB"/>
    <w:rsid w:val="00DE6C8F"/>
    <w:rsid w:val="00DF35CC"/>
    <w:rsid w:val="00DF62F4"/>
    <w:rsid w:val="00E02127"/>
    <w:rsid w:val="00E048AF"/>
    <w:rsid w:val="00E05310"/>
    <w:rsid w:val="00E070FA"/>
    <w:rsid w:val="00E106E5"/>
    <w:rsid w:val="00E12330"/>
    <w:rsid w:val="00E12648"/>
    <w:rsid w:val="00E12BB0"/>
    <w:rsid w:val="00E135E4"/>
    <w:rsid w:val="00E25A81"/>
    <w:rsid w:val="00E31F0B"/>
    <w:rsid w:val="00E423DB"/>
    <w:rsid w:val="00E44C8E"/>
    <w:rsid w:val="00E46169"/>
    <w:rsid w:val="00E54EE5"/>
    <w:rsid w:val="00E56EE2"/>
    <w:rsid w:val="00E6177A"/>
    <w:rsid w:val="00E701C8"/>
    <w:rsid w:val="00E72936"/>
    <w:rsid w:val="00E758E6"/>
    <w:rsid w:val="00E76A2A"/>
    <w:rsid w:val="00E77CB0"/>
    <w:rsid w:val="00E90C8B"/>
    <w:rsid w:val="00E928CF"/>
    <w:rsid w:val="00EA595E"/>
    <w:rsid w:val="00EB2C30"/>
    <w:rsid w:val="00EC4F60"/>
    <w:rsid w:val="00ED130C"/>
    <w:rsid w:val="00EE1A8C"/>
    <w:rsid w:val="00EE690F"/>
    <w:rsid w:val="00EF29C0"/>
    <w:rsid w:val="00EF4A31"/>
    <w:rsid w:val="00EF647D"/>
    <w:rsid w:val="00F01ED8"/>
    <w:rsid w:val="00F06F1B"/>
    <w:rsid w:val="00F225F7"/>
    <w:rsid w:val="00F24996"/>
    <w:rsid w:val="00F33688"/>
    <w:rsid w:val="00F45C61"/>
    <w:rsid w:val="00F50616"/>
    <w:rsid w:val="00F51F8B"/>
    <w:rsid w:val="00F523BF"/>
    <w:rsid w:val="00F568D9"/>
    <w:rsid w:val="00F572F1"/>
    <w:rsid w:val="00F6113A"/>
    <w:rsid w:val="00F674AD"/>
    <w:rsid w:val="00F67A6A"/>
    <w:rsid w:val="00F705C8"/>
    <w:rsid w:val="00F726A9"/>
    <w:rsid w:val="00F871D7"/>
    <w:rsid w:val="00FB626B"/>
    <w:rsid w:val="00FC119C"/>
    <w:rsid w:val="00FC2DE4"/>
    <w:rsid w:val="00FD2473"/>
    <w:rsid w:val="00FD436F"/>
    <w:rsid w:val="00FE5F8C"/>
    <w:rsid w:val="00FE6C44"/>
    <w:rsid w:val="00FE6CAC"/>
    <w:rsid w:val="00FE7C6D"/>
    <w:rsid w:val="00FF4AFC"/>
    <w:rsid w:val="00FF6683"/>
    <w:rsid w:val="00FF7881"/>
    <w:rsid w:val="02960000"/>
    <w:rsid w:val="0DEDA953"/>
    <w:rsid w:val="0F069B70"/>
    <w:rsid w:val="12EE3726"/>
    <w:rsid w:val="140743A4"/>
    <w:rsid w:val="170A6FC5"/>
    <w:rsid w:val="1E9D4DCF"/>
    <w:rsid w:val="1EDC5FC2"/>
    <w:rsid w:val="263836AA"/>
    <w:rsid w:val="34BE6DAE"/>
    <w:rsid w:val="3AD44ECD"/>
    <w:rsid w:val="3AFF16E8"/>
    <w:rsid w:val="3EE098B0"/>
    <w:rsid w:val="413AE531"/>
    <w:rsid w:val="44783017"/>
    <w:rsid w:val="4BA7214B"/>
    <w:rsid w:val="4EA21D4B"/>
    <w:rsid w:val="503DEDAC"/>
    <w:rsid w:val="5288D8FA"/>
    <w:rsid w:val="5AA0E0F5"/>
    <w:rsid w:val="5D76A8DB"/>
    <w:rsid w:val="5F2B8189"/>
    <w:rsid w:val="61C943AB"/>
    <w:rsid w:val="61C9CAA9"/>
    <w:rsid w:val="6365140C"/>
    <w:rsid w:val="669CB4CE"/>
    <w:rsid w:val="6F740D13"/>
    <w:rsid w:val="73EE206C"/>
    <w:rsid w:val="76A4FC30"/>
    <w:rsid w:val="774000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EF2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4FA9"/>
    <w:rPr>
      <w:rFonts w:ascii="Palatino" w:hAnsi="Palatino"/>
      <w:sz w:val="26"/>
    </w:rPr>
  </w:style>
  <w:style w:type="paragraph" w:styleId="Heading1">
    <w:name w:val="heading 1"/>
    <w:basedOn w:val="Normal"/>
    <w:next w:val="standard"/>
    <w:qFormat/>
    <w:pPr>
      <w:keepNext/>
      <w:spacing w:before="120" w:after="240"/>
      <w:outlineLvl w:val="0"/>
    </w:pPr>
    <w:rPr>
      <w:rFonts w:ascii="Helvetica" w:hAnsi="Helvetica"/>
      <w:b/>
      <w:caps/>
      <w:kern w:val="28"/>
      <w:u w:val="single"/>
    </w:rPr>
  </w:style>
  <w:style w:type="paragraph" w:styleId="Heading2">
    <w:name w:val="heading 2"/>
    <w:basedOn w:val="Normal"/>
    <w:next w:val="sub1"/>
    <w:qFormat/>
    <w:pPr>
      <w:keepNext/>
      <w:numPr>
        <w:ilvl w:val="1"/>
        <w:numId w:val="6"/>
      </w:numPr>
      <w:spacing w:before="120" w:after="120"/>
      <w:outlineLvl w:val="1"/>
    </w:pPr>
    <w:rPr>
      <w:rFonts w:ascii="Helvetica" w:hAnsi="Helvetica"/>
      <w:b/>
      <w:i/>
    </w:rPr>
  </w:style>
  <w:style w:type="paragraph" w:styleId="Heading3">
    <w:name w:val="heading 3"/>
    <w:basedOn w:val="Normal"/>
    <w:next w:val="sub2"/>
    <w:qFormat/>
    <w:pPr>
      <w:keepNext/>
      <w:spacing w:before="120" w:after="120"/>
      <w:ind w:firstLine="2160"/>
      <w:outlineLvl w:val="2"/>
    </w:pPr>
    <w:rPr>
      <w:rFonts w:ascii="Helvetica" w:hAnsi="Helvetica"/>
      <w:b/>
    </w:rPr>
  </w:style>
  <w:style w:type="paragraph" w:styleId="Heading4">
    <w:name w:val="heading 4"/>
    <w:basedOn w:val="Normal"/>
    <w:next w:val="sub3"/>
    <w:qFormat/>
    <w:pPr>
      <w:keepNext/>
      <w:spacing w:before="120" w:after="120"/>
      <w:ind w:firstLine="2880"/>
      <w:outlineLvl w:val="3"/>
    </w:pPr>
    <w:rPr>
      <w:rFonts w:ascii="Helvetica" w:hAnsi="Helvetica"/>
      <w:b/>
      <w:i/>
    </w:rPr>
  </w:style>
  <w:style w:type="paragraph" w:styleId="Heading5">
    <w:name w:val="heading 5"/>
    <w:basedOn w:val="Normal"/>
    <w:next w:val="sub4"/>
    <w:qFormat/>
    <w:pPr>
      <w:spacing w:before="120" w:after="120"/>
      <w:ind w:firstLine="3600"/>
      <w:outlineLvl w:val="4"/>
    </w:pPr>
    <w:rPr>
      <w:rFonts w:ascii="Helvetica" w:hAnsi="Helvetica"/>
      <w:b/>
    </w:rPr>
  </w:style>
  <w:style w:type="paragraph" w:styleId="Heading6">
    <w:name w:val="heading 6"/>
    <w:basedOn w:val="Normal"/>
    <w:next w:val="Normal"/>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6"/>
      </w:numPr>
      <w:spacing w:after="240"/>
    </w:pPr>
    <w:rPr>
      <w:sz w:val="24"/>
    </w:rPr>
  </w:style>
  <w:style w:type="paragraph" w:styleId="EndnoteText">
    <w:name w:val="endnote text"/>
    <w:basedOn w:val="Normal"/>
    <w:semiHidden/>
    <w:rPr>
      <w:sz w:val="20"/>
    </w:rPr>
  </w:style>
  <w:style w:type="paragraph" w:customStyle="1" w:styleId="standard">
    <w:name w:val="standard"/>
    <w:basedOn w:val="Normal"/>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Style1">
    <w:name w:val="Style1"/>
    <w:basedOn w:val="1ListIndent"/>
    <w:pPr>
      <w:numPr>
        <w:numId w:val="0"/>
      </w:numPr>
    </w:pPr>
  </w:style>
  <w:style w:type="paragraph" w:styleId="TOC4">
    <w:name w:val="toc 4"/>
    <w:basedOn w:val="Normal"/>
    <w:next w:val="Normal"/>
    <w:semiHidden/>
    <w:pPr>
      <w:tabs>
        <w:tab w:val="right" w:leader="dot" w:pos="9360"/>
      </w:tabs>
      <w:ind w:left="720"/>
    </w:pPr>
  </w:style>
  <w:style w:type="paragraph" w:customStyle="1" w:styleId="main">
    <w:name w:val="main"/>
    <w:basedOn w:val="Normal"/>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after="240"/>
    </w:pPr>
  </w:style>
  <w:style w:type="paragraph" w:styleId="Header">
    <w:name w:val="header"/>
    <w:basedOn w:val="Normal"/>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paragraph" w:customStyle="1" w:styleId="AListIndent">
    <w:name w:val="A. List Indent"/>
    <w:basedOn w:val="1ListIndent"/>
    <w:pPr>
      <w:numPr>
        <w:numId w:val="4"/>
      </w:numPr>
      <w:ind w:left="1440" w:hanging="720"/>
    </w:pPr>
  </w:style>
  <w:style w:type="character" w:styleId="EndnoteReference">
    <w:name w:val="endnote reference"/>
    <w:semiHidden/>
    <w:rPr>
      <w:vertAlign w:val="superscript"/>
    </w:rPr>
  </w:style>
  <w:style w:type="paragraph" w:customStyle="1" w:styleId="1ListIndent">
    <w:name w:val="1. List Indent"/>
    <w:basedOn w:val="num2"/>
    <w:pPr>
      <w:numPr>
        <w:numId w:val="5"/>
      </w:numPr>
      <w:ind w:left="1080"/>
    </w:pPr>
  </w:style>
  <w:style w:type="character" w:styleId="FootnoteReference">
    <w:name w:val="footnote reference"/>
    <w:semiHidden/>
    <w:rPr>
      <w:vertAlign w:val="superscript"/>
    </w:rPr>
  </w:style>
  <w:style w:type="paragraph" w:styleId="List">
    <w:name w:val="List"/>
    <w:basedOn w:val="Normal"/>
    <w:pPr>
      <w:ind w:left="360" w:hanging="360"/>
    </w:pPr>
    <w:rPr>
      <w:rFonts w:ascii="Times New Roman" w:hAnsi="Times New Roman"/>
      <w:sz w:val="24"/>
    </w:rPr>
  </w:style>
  <w:style w:type="paragraph" w:customStyle="1" w:styleId="Res-Caption">
    <w:name w:val="Res-Caption"/>
    <w:basedOn w:val="Normal"/>
    <w:pPr>
      <w:ind w:left="720" w:right="720"/>
    </w:pPr>
  </w:style>
  <w:style w:type="paragraph" w:customStyle="1" w:styleId="Res-TitleResolution">
    <w:name w:val="Res-Title (Resolution)"/>
    <w:basedOn w:val="main"/>
  </w:style>
  <w:style w:type="paragraph" w:customStyle="1" w:styleId="ALs">
    <w:name w:val="ALs"/>
    <w:basedOn w:val="Normal"/>
    <w:rPr>
      <w:rFonts w:ascii="Times New Roman" w:hAnsi="Times New Roman"/>
      <w:sz w:val="24"/>
    </w:rPr>
  </w:style>
  <w:style w:type="paragraph" w:styleId="ListParagraph">
    <w:name w:val="List Paragraph"/>
    <w:basedOn w:val="Normal"/>
    <w:uiPriority w:val="34"/>
    <w:qFormat/>
    <w:rsid w:val="003F6E5A"/>
    <w:pPr>
      <w:ind w:left="720"/>
      <w:contextualSpacing/>
    </w:pPr>
  </w:style>
  <w:style w:type="paragraph" w:styleId="BalloonText">
    <w:name w:val="Balloon Text"/>
    <w:basedOn w:val="Normal"/>
    <w:link w:val="BalloonTextChar"/>
    <w:rsid w:val="00D822FD"/>
    <w:rPr>
      <w:rFonts w:ascii="Segoe UI" w:hAnsi="Segoe UI" w:cs="Segoe UI"/>
      <w:sz w:val="18"/>
      <w:szCs w:val="18"/>
    </w:rPr>
  </w:style>
  <w:style w:type="character" w:customStyle="1" w:styleId="BalloonTextChar">
    <w:name w:val="Balloon Text Char"/>
    <w:basedOn w:val="DefaultParagraphFont"/>
    <w:link w:val="BalloonText"/>
    <w:rsid w:val="00D822FD"/>
    <w:rPr>
      <w:rFonts w:ascii="Segoe UI" w:hAnsi="Segoe UI" w:cs="Segoe UI"/>
      <w:sz w:val="18"/>
      <w:szCs w:val="18"/>
    </w:rPr>
  </w:style>
  <w:style w:type="character" w:styleId="Hyperlink">
    <w:name w:val="Hyperlink"/>
    <w:basedOn w:val="DefaultParagraphFont"/>
    <w:unhideWhenUsed/>
    <w:rsid w:val="009D63EA"/>
    <w:rPr>
      <w:color w:val="0000FF" w:themeColor="hyperlink"/>
      <w:u w:val="single"/>
    </w:rPr>
  </w:style>
  <w:style w:type="character" w:styleId="UnresolvedMention">
    <w:name w:val="Unresolved Mention"/>
    <w:basedOn w:val="DefaultParagraphFont"/>
    <w:uiPriority w:val="99"/>
    <w:semiHidden/>
    <w:unhideWhenUsed/>
    <w:rsid w:val="009D63EA"/>
    <w:rPr>
      <w:color w:val="605E5C"/>
      <w:shd w:val="clear" w:color="auto" w:fill="E1DFDD"/>
    </w:rPr>
  </w:style>
  <w:style w:type="character" w:styleId="FollowedHyperlink">
    <w:name w:val="FollowedHyperlink"/>
    <w:basedOn w:val="DefaultParagraphFont"/>
    <w:semiHidden/>
    <w:unhideWhenUsed/>
    <w:rsid w:val="00D515F8"/>
    <w:rPr>
      <w:color w:val="800080" w:themeColor="followedHyperlink"/>
      <w:u w:val="single"/>
    </w:rPr>
  </w:style>
  <w:style w:type="paragraph" w:customStyle="1" w:styleId="xres-caption">
    <w:name w:val="x_res-caption"/>
    <w:basedOn w:val="Normal"/>
    <w:rsid w:val="003B28DC"/>
    <w:pPr>
      <w:spacing w:before="100" w:beforeAutospacing="1" w:after="100" w:afterAutospacing="1"/>
    </w:pPr>
    <w:rPr>
      <w:rFonts w:ascii="Times New Roman" w:hAnsi="Times New Roman"/>
      <w:sz w:val="24"/>
      <w:szCs w:val="24"/>
    </w:rPr>
  </w:style>
  <w:style w:type="character" w:customStyle="1" w:styleId="FooterChar">
    <w:name w:val="Footer Char"/>
    <w:basedOn w:val="DefaultParagraphFont"/>
    <w:link w:val="Footer"/>
    <w:uiPriority w:val="99"/>
    <w:rsid w:val="00B913F1"/>
    <w:rPr>
      <w:rFonts w:ascii="Palatino" w:hAnsi="Palatino"/>
      <w:sz w:val="26"/>
    </w:rPr>
  </w:style>
  <w:style w:type="paragraph" w:styleId="Revision">
    <w:name w:val="Revision"/>
    <w:hidden/>
    <w:uiPriority w:val="99"/>
    <w:semiHidden/>
    <w:rsid w:val="00920154"/>
    <w:rPr>
      <w:rFonts w:ascii="Palatino" w:hAnsi="Palatino"/>
      <w:sz w:val="26"/>
    </w:rPr>
  </w:style>
  <w:style w:type="paragraph" w:styleId="NormalWeb">
    <w:name w:val="Normal (Web)"/>
    <w:basedOn w:val="Normal"/>
    <w:uiPriority w:val="99"/>
    <w:semiHidden/>
    <w:unhideWhenUsed/>
    <w:rsid w:val="00AE0B61"/>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semiHidden/>
    <w:unhideWhenUsed/>
    <w:rsid w:val="00412DC0"/>
    <w:rPr>
      <w:sz w:val="16"/>
      <w:szCs w:val="16"/>
    </w:rPr>
  </w:style>
  <w:style w:type="paragraph" w:styleId="CommentText">
    <w:name w:val="annotation text"/>
    <w:basedOn w:val="Normal"/>
    <w:link w:val="CommentTextChar"/>
    <w:unhideWhenUsed/>
    <w:rsid w:val="00412DC0"/>
    <w:rPr>
      <w:sz w:val="20"/>
    </w:rPr>
  </w:style>
  <w:style w:type="character" w:customStyle="1" w:styleId="CommentTextChar">
    <w:name w:val="Comment Text Char"/>
    <w:basedOn w:val="DefaultParagraphFont"/>
    <w:link w:val="CommentText"/>
    <w:rsid w:val="00412DC0"/>
    <w:rPr>
      <w:rFonts w:ascii="Palatino" w:hAnsi="Palatino"/>
    </w:rPr>
  </w:style>
  <w:style w:type="paragraph" w:styleId="CommentSubject">
    <w:name w:val="annotation subject"/>
    <w:basedOn w:val="CommentText"/>
    <w:next w:val="CommentText"/>
    <w:link w:val="CommentSubjectChar"/>
    <w:semiHidden/>
    <w:unhideWhenUsed/>
    <w:rsid w:val="00412DC0"/>
    <w:rPr>
      <w:b/>
      <w:bCs/>
    </w:rPr>
  </w:style>
  <w:style w:type="character" w:customStyle="1" w:styleId="CommentSubjectChar">
    <w:name w:val="Comment Subject Char"/>
    <w:basedOn w:val="CommentTextChar"/>
    <w:link w:val="CommentSubject"/>
    <w:semiHidden/>
    <w:rsid w:val="00412DC0"/>
    <w:rPr>
      <w:rFonts w:ascii="Palatino" w:hAnsi="Palatino"/>
      <w:b/>
      <w:bCs/>
    </w:rPr>
  </w:style>
  <w:style w:type="table" w:styleId="TableGrid">
    <w:name w:val="Table Grid"/>
    <w:basedOn w:val="TableNormal"/>
    <w:rsid w:val="00156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7587">
      <w:bodyDiv w:val="1"/>
      <w:marLeft w:val="0"/>
      <w:marRight w:val="0"/>
      <w:marTop w:val="0"/>
      <w:marBottom w:val="0"/>
      <w:divBdr>
        <w:top w:val="none" w:sz="0" w:space="0" w:color="auto"/>
        <w:left w:val="none" w:sz="0" w:space="0" w:color="auto"/>
        <w:bottom w:val="none" w:sz="0" w:space="0" w:color="auto"/>
        <w:right w:val="none" w:sz="0" w:space="0" w:color="auto"/>
      </w:divBdr>
    </w:div>
    <w:div w:id="235361095">
      <w:bodyDiv w:val="1"/>
      <w:marLeft w:val="0"/>
      <w:marRight w:val="0"/>
      <w:marTop w:val="0"/>
      <w:marBottom w:val="0"/>
      <w:divBdr>
        <w:top w:val="none" w:sz="0" w:space="0" w:color="auto"/>
        <w:left w:val="none" w:sz="0" w:space="0" w:color="auto"/>
        <w:bottom w:val="none" w:sz="0" w:space="0" w:color="auto"/>
        <w:right w:val="none" w:sz="0" w:space="0" w:color="auto"/>
      </w:divBdr>
    </w:div>
    <w:div w:id="346491164">
      <w:bodyDiv w:val="1"/>
      <w:marLeft w:val="0"/>
      <w:marRight w:val="0"/>
      <w:marTop w:val="0"/>
      <w:marBottom w:val="0"/>
      <w:divBdr>
        <w:top w:val="none" w:sz="0" w:space="0" w:color="auto"/>
        <w:left w:val="none" w:sz="0" w:space="0" w:color="auto"/>
        <w:bottom w:val="none" w:sz="0" w:space="0" w:color="auto"/>
        <w:right w:val="none" w:sz="0" w:space="0" w:color="auto"/>
      </w:divBdr>
    </w:div>
    <w:div w:id="813915017">
      <w:bodyDiv w:val="1"/>
      <w:marLeft w:val="0"/>
      <w:marRight w:val="0"/>
      <w:marTop w:val="0"/>
      <w:marBottom w:val="0"/>
      <w:divBdr>
        <w:top w:val="none" w:sz="0" w:space="0" w:color="auto"/>
        <w:left w:val="none" w:sz="0" w:space="0" w:color="auto"/>
        <w:bottom w:val="none" w:sz="0" w:space="0" w:color="auto"/>
        <w:right w:val="none" w:sz="0" w:space="0" w:color="auto"/>
      </w:divBdr>
    </w:div>
    <w:div w:id="99217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D0DC434EC93649981C54FC51FEC81B" ma:contentTypeVersion="9" ma:contentTypeDescription="Create a new document." ma:contentTypeScope="" ma:versionID="a68673544637c67203270aedcb101fba">
  <xsd:schema xmlns:xsd="http://www.w3.org/2001/XMLSchema" xmlns:xs="http://www.w3.org/2001/XMLSchema" xmlns:p="http://schemas.microsoft.com/office/2006/metadata/properties" xmlns:ns2="b2d2777c-a1f1-404e-80d5-4b6b735f5353" xmlns:ns3="5294eb0b-0742-491f-921b-4c8fe009313f" targetNamespace="http://schemas.microsoft.com/office/2006/metadata/properties" ma:root="true" ma:fieldsID="0932a7bf21feb419952ca89ce1ac2165" ns2:_="" ns3:_="">
    <xsd:import namespace="b2d2777c-a1f1-404e-80d5-4b6b735f5353"/>
    <xsd:import namespace="5294eb0b-0742-491f-921b-4c8fe009313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d2777c-a1f1-404e-80d5-4b6b735f53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94eb0b-0742-491f-921b-4c8fe009313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D2ABF1-470B-48B3-A8A9-555390588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d2777c-a1f1-404e-80d5-4b6b735f5353"/>
    <ds:schemaRef ds:uri="5294eb0b-0742-491f-921b-4c8fe00931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995425-280A-47AE-88D0-D9B292CD73F0}">
  <ds:schemaRefs>
    <ds:schemaRef ds:uri="http://schemas.openxmlformats.org/officeDocument/2006/bibliography"/>
  </ds:schemaRefs>
</ds:datastoreItem>
</file>

<file path=customXml/itemProps3.xml><?xml version="1.0" encoding="utf-8"?>
<ds:datastoreItem xmlns:ds="http://schemas.openxmlformats.org/officeDocument/2006/customXml" ds:itemID="{F0F54526-F973-479E-9E6C-9A17D746A6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26743D-17D4-448F-A3A0-B2FCFCA611FF}">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10</ap:Pages>
  <ap:Words>2981</ap:Words>
  <ap:Characters>16992</ap:Characters>
  <ap:Application>Microsoft Office Word</ap:Application>
  <ap:DocSecurity>0</ap:DocSecurity>
  <ap:Lines>141</ap:Lines>
  <ap:Paragraphs>39</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19934</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2019-02-28T22:11:00Z</cp:lastPrinted>
  <dcterms:created xsi:type="dcterms:W3CDTF">2023-06-08T14:38:41Z</dcterms:created>
  <dcterms:modified xsi:type="dcterms:W3CDTF">2023-06-08T14:38:41Z</dcterms:modified>
</cp:coreProperties>
</file>