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2245" w:rsidR="00762534" w:rsidP="00882245" w:rsidRDefault="00D2447C" w14:paraId="38EFA8E4" w14:textId="344DDD52">
      <w:pPr>
        <w:tabs>
          <w:tab w:val="center" w:pos="4680"/>
          <w:tab w:val="right" w:pos="9360"/>
        </w:tabs>
        <w:spacing w:line="240" w:lineRule="auto"/>
        <w:ind w:firstLine="0"/>
        <w:rPr>
          <w:b/>
          <w:bCs/>
        </w:rPr>
      </w:pPr>
      <w:r>
        <w:t>COM</w:t>
      </w:r>
      <w:r w:rsidRPr="00905166" w:rsidR="009166C4">
        <w:t>/</w:t>
      </w:r>
      <w:r w:rsidR="00973B9C">
        <w:t>GSH</w:t>
      </w:r>
      <w:r w:rsidRPr="00905166" w:rsidR="009166C4">
        <w:t>/smt</w:t>
      </w:r>
      <w:r w:rsidR="007E0FEE">
        <w:tab/>
      </w:r>
      <w:r w:rsidR="00762534">
        <w:t xml:space="preserve">      </w:t>
      </w:r>
      <w:r w:rsidR="00882245">
        <w:tab/>
      </w:r>
      <w:r w:rsidR="00762534">
        <w:t xml:space="preserve"> </w:t>
      </w:r>
      <w:r w:rsidRPr="00882245" w:rsidR="00882245">
        <w:rPr>
          <w:b/>
          <w:bCs/>
        </w:rPr>
        <w:t>Date of Issuance 7/</w:t>
      </w:r>
      <w:r w:rsidR="00115264">
        <w:rPr>
          <w:b/>
          <w:bCs/>
        </w:rPr>
        <w:t>7</w:t>
      </w:r>
      <w:r w:rsidRPr="00882245" w:rsidR="00882245">
        <w:rPr>
          <w:b/>
          <w:bCs/>
        </w:rPr>
        <w:t>/2023</w:t>
      </w:r>
    </w:p>
    <w:p w:rsidR="00DA7B5D" w:rsidP="00882245" w:rsidRDefault="00DA7B5D" w14:paraId="00700CAD" w14:textId="77777777">
      <w:pPr>
        <w:spacing w:line="240" w:lineRule="auto"/>
        <w:ind w:firstLine="0"/>
        <w:rPr>
          <w:b/>
          <w:bCs/>
        </w:rPr>
      </w:pPr>
    </w:p>
    <w:p w:rsidRPr="00C008D4" w:rsidR="00882245" w:rsidP="00882245" w:rsidRDefault="00882245" w14:paraId="6701C1DD" w14:textId="77777777">
      <w:pPr>
        <w:spacing w:line="240" w:lineRule="auto"/>
        <w:ind w:firstLine="0"/>
        <w:rPr>
          <w:b/>
          <w:bCs/>
        </w:rPr>
      </w:pPr>
    </w:p>
    <w:p w:rsidRPr="00882245" w:rsidR="00DA7B5D" w:rsidP="00D2447C" w:rsidRDefault="00DA7B5D" w14:paraId="65A2F595" w14:textId="009B835B">
      <w:pPr>
        <w:spacing w:line="240" w:lineRule="auto"/>
        <w:ind w:left="1080" w:hanging="1080"/>
      </w:pPr>
      <w:r>
        <w:t>Decision</w:t>
      </w:r>
      <w:r w:rsidRPr="00882245">
        <w:t xml:space="preserve"> </w:t>
      </w:r>
      <w:r w:rsidRPr="00882245" w:rsidR="00882245">
        <w:rPr>
          <w:szCs w:val="26"/>
        </w:rPr>
        <w:t>23-06-030  June 29, 2023</w:t>
      </w:r>
    </w:p>
    <w:p w:rsidR="00DA7B5D" w:rsidP="00BB0243" w:rsidRDefault="00DA7B5D" w14:paraId="37B43076" w14:textId="77777777">
      <w:pPr>
        <w:spacing w:line="240" w:lineRule="auto"/>
        <w:jc w:val="center"/>
        <w:rPr>
          <w:u w:val="single"/>
        </w:rPr>
      </w:pPr>
    </w:p>
    <w:p w:rsidR="00DA7B5D" w:rsidP="00BB0243" w:rsidRDefault="00DA7B5D" w14:paraId="16B3F5B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0E60E9A"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DA7B5D" w:rsidTr="00DA7B5D" w14:paraId="725186B4" w14:textId="77777777">
        <w:tc>
          <w:tcPr>
            <w:tcW w:w="4675" w:type="dxa"/>
            <w:tcBorders>
              <w:top w:val="nil"/>
              <w:left w:val="nil"/>
              <w:bottom w:val="single" w:color="auto" w:sz="4" w:space="0"/>
              <w:right w:val="single" w:color="auto" w:sz="4" w:space="0"/>
            </w:tcBorders>
          </w:tcPr>
          <w:p w:rsidRPr="00DA7B5D" w:rsidR="00DA7B5D" w:rsidP="00C10B5F" w:rsidRDefault="00F62F4E" w14:paraId="64CAE85C" w14:textId="11F35313">
            <w:pPr>
              <w:spacing w:line="240" w:lineRule="auto"/>
              <w:ind w:firstLine="0"/>
              <w:rPr>
                <w:rFonts w:cs="Arial"/>
                <w:szCs w:val="26"/>
              </w:rPr>
            </w:pPr>
            <w:r w:rsidRPr="007522C5">
              <w:rPr>
                <w:rFonts w:eastAsia="Book Antiqua" w:cs="Book Antiqua"/>
                <w:szCs w:val="26"/>
              </w:rPr>
              <w:t>Order Instituting Investigation to Establish a Priority List, for the Fiscal Years 2022-2023 and 2023-2024, of Existing At-Grade Rail Crossings, of City Streets, County Roads or State Highways, in need of separation, or Existing Grade-Separated Rail Crossings in need of Alterations or Reconstruction in Accordance with Section</w:t>
            </w:r>
            <w:r>
              <w:rPr>
                <w:rFonts w:eastAsia="Book Antiqua" w:cs="Book Antiqua"/>
                <w:szCs w:val="26"/>
              </w:rPr>
              <w:t> </w:t>
            </w:r>
            <w:r w:rsidRPr="007522C5">
              <w:rPr>
                <w:rFonts w:eastAsia="Book Antiqua" w:cs="Book Antiqua"/>
                <w:szCs w:val="26"/>
              </w:rPr>
              <w:t>2452 of the California Streets and Highways Code.</w:t>
            </w:r>
            <w:r w:rsidRPr="00DA7B5D" w:rsidR="00DA7B5D">
              <w:rPr>
                <w:rFonts w:cs="Arial"/>
                <w:szCs w:val="26"/>
              </w:rPr>
              <w:br/>
            </w:r>
          </w:p>
        </w:tc>
        <w:tc>
          <w:tcPr>
            <w:tcW w:w="4675" w:type="dxa"/>
            <w:tcBorders>
              <w:top w:val="nil"/>
              <w:left w:val="single" w:color="auto" w:sz="4" w:space="0"/>
              <w:bottom w:val="nil"/>
              <w:right w:val="nil"/>
            </w:tcBorders>
            <w:vAlign w:val="center"/>
          </w:tcPr>
          <w:p w:rsidRPr="00DA7B5D" w:rsidR="00DA7B5D" w:rsidP="00412C83" w:rsidRDefault="00F62F4E" w14:paraId="5740F706" w14:textId="619A3AB8">
            <w:pPr>
              <w:spacing w:line="240" w:lineRule="auto"/>
              <w:ind w:firstLine="0"/>
              <w:jc w:val="center"/>
              <w:rPr>
                <w:rFonts w:cs="Arial"/>
                <w:szCs w:val="26"/>
              </w:rPr>
            </w:pPr>
            <w:r>
              <w:rPr>
                <w:rFonts w:cs="Arial"/>
                <w:szCs w:val="26"/>
              </w:rPr>
              <w:t>Investigation 21-06-018</w:t>
            </w:r>
          </w:p>
        </w:tc>
      </w:tr>
    </w:tbl>
    <w:p w:rsidR="00DA7B5D" w:rsidP="008F0116" w:rsidRDefault="00DA7B5D" w14:paraId="3CA9AC50" w14:textId="77777777">
      <w:pPr>
        <w:spacing w:line="240" w:lineRule="auto"/>
        <w:ind w:firstLine="0"/>
        <w:rPr>
          <w:rFonts w:ascii="Arial" w:hAnsi="Arial" w:cs="Arial"/>
          <w:sz w:val="24"/>
          <w:szCs w:val="24"/>
        </w:rPr>
      </w:pPr>
    </w:p>
    <w:p w:rsidR="00DA7B5D" w:rsidP="008F0116" w:rsidRDefault="00DA7B5D" w14:paraId="54445BE4" w14:textId="77777777">
      <w:pPr>
        <w:spacing w:line="240" w:lineRule="auto"/>
        <w:ind w:firstLine="0"/>
        <w:rPr>
          <w:rFonts w:ascii="Arial" w:hAnsi="Arial" w:cs="Arial"/>
          <w:sz w:val="24"/>
          <w:szCs w:val="24"/>
        </w:rPr>
      </w:pPr>
    </w:p>
    <w:p w:rsidR="006F6525" w:rsidP="009B6C3E" w:rsidRDefault="006F6525" w14:paraId="5D862A12" w14:textId="77777777">
      <w:pPr>
        <w:pStyle w:val="Dummy"/>
        <w:jc w:val="center"/>
        <w:sectPr w:rsidR="006F6525" w:rsidSect="006F6525">
          <w:headerReference w:type="default" r:id="rId8"/>
          <w:footerReference w:type="default" r:id="rId9"/>
          <w:pgSz w:w="12240" w:h="15840"/>
          <w:pgMar w:top="1440" w:right="1440" w:bottom="1440" w:left="1440" w:header="720" w:footer="720" w:gutter="0"/>
          <w:pgNumType w:start="1"/>
          <w:cols w:space="720"/>
          <w:docGrid w:linePitch="360"/>
        </w:sectPr>
      </w:pPr>
      <w:bookmarkStart w:name="_Toc12866682" w:id="0"/>
    </w:p>
    <w:p w:rsidRPr="00F62F4E" w:rsidR="00F62F4E" w:rsidP="00F62F4E" w:rsidRDefault="00F62F4E" w14:paraId="7F3EE68B" w14:textId="77777777">
      <w:pPr>
        <w:keepNext/>
        <w:keepLines/>
        <w:spacing w:after="120" w:line="240" w:lineRule="auto"/>
        <w:ind w:firstLine="0"/>
        <w:jc w:val="center"/>
        <w:outlineLvl w:val="0"/>
        <w:rPr>
          <w:rFonts w:ascii="Arial" w:hAnsi="Arial" w:cs="Arial"/>
          <w:b/>
          <w:szCs w:val="26"/>
        </w:rPr>
      </w:pPr>
      <w:bookmarkStart w:name="_Toc132804319" w:id="1"/>
      <w:bookmarkEnd w:id="0"/>
      <w:r w:rsidRPr="00F62F4E">
        <w:rPr>
          <w:rFonts w:ascii="Arial" w:hAnsi="Arial" w:cs="Arial"/>
          <w:b/>
          <w:szCs w:val="26"/>
        </w:rPr>
        <w:t xml:space="preserve">DECISION ESTABLISHING THE CALIFORNIA GRADE </w:t>
      </w:r>
      <w:r w:rsidRPr="00F62F4E">
        <w:rPr>
          <w:rFonts w:ascii="Arial" w:hAnsi="Arial" w:cs="Arial"/>
          <w:b/>
          <w:szCs w:val="26"/>
        </w:rPr>
        <w:br/>
        <w:t xml:space="preserve">SEPARATION FUND PRIORITY LIST </w:t>
      </w:r>
      <w:r w:rsidRPr="00F62F4E">
        <w:rPr>
          <w:rFonts w:ascii="Arial" w:hAnsi="Arial" w:cs="Arial"/>
          <w:b/>
          <w:szCs w:val="26"/>
        </w:rPr>
        <w:br/>
        <w:t>FOR FISCAL YEAR 2023-2024</w:t>
      </w:r>
      <w:bookmarkEnd w:id="1"/>
      <w:r w:rsidRPr="00F62F4E">
        <w:rPr>
          <w:rFonts w:ascii="Arial" w:hAnsi="Arial" w:cs="Arial"/>
          <w:b/>
          <w:szCs w:val="26"/>
        </w:rPr>
        <w:t xml:space="preserve"> </w:t>
      </w:r>
    </w:p>
    <w:p w:rsidRPr="00F62F4E" w:rsidR="00F62F4E" w:rsidP="00F62F4E" w:rsidRDefault="00F62F4E" w14:paraId="2B1F6433" w14:textId="77777777">
      <w:pPr>
        <w:keepNext/>
        <w:keepLines/>
        <w:spacing w:after="120" w:line="240" w:lineRule="auto"/>
        <w:ind w:firstLine="0"/>
        <w:outlineLvl w:val="0"/>
        <w:rPr>
          <w:rFonts w:ascii="Arial" w:hAnsi="Arial" w:cs="Arial"/>
          <w:b/>
          <w:szCs w:val="26"/>
        </w:rPr>
      </w:pPr>
      <w:bookmarkStart w:name="_Toc132804320" w:id="2"/>
      <w:r w:rsidRPr="00F62F4E">
        <w:rPr>
          <w:rFonts w:ascii="Arial" w:hAnsi="Arial" w:cs="Arial"/>
          <w:b/>
          <w:szCs w:val="26"/>
        </w:rPr>
        <w:t>Summary</w:t>
      </w:r>
      <w:bookmarkEnd w:id="2"/>
    </w:p>
    <w:p w:rsidR="009168BA" w:rsidP="00E714EF" w:rsidRDefault="00F62F4E" w14:paraId="0D763416" w14:textId="403362B1">
      <w:pPr>
        <w:pStyle w:val="Standard"/>
      </w:pPr>
      <w:r w:rsidRPr="00F62F4E">
        <w:t xml:space="preserve">This decision establishes and adopts the California Grade Separation Fund Priority List for Fiscal Year (FY) 2023-2024, as required by California Streets and Highways Code Section 2450 </w:t>
      </w:r>
      <w:r w:rsidRPr="00F62F4E">
        <w:rPr>
          <w:i/>
        </w:rPr>
        <w:t>et seq</w:t>
      </w:r>
      <w:r w:rsidRPr="00F62F4E">
        <w:t xml:space="preserve">.  Two projects from the FY 2022-2023 Grade Separation Program Priority List adopted by Decision 22-06-030, the interim decision in this investigation proceeding, have already received funding allocations this fiscal year.  Therefore, those two projects are deleted from the </w:t>
      </w:r>
      <w:r w:rsidRPr="00F62F4E">
        <w:br/>
        <w:t>FY 2022-2023 Priority List to establish the FY 2023-2024 Priority List we adopt by this decision</w:t>
      </w:r>
      <w:r w:rsidR="009168BA">
        <w:t xml:space="preserve">, </w:t>
      </w:r>
      <w:r w:rsidRPr="0052468F" w:rsidR="009168BA">
        <w:rPr>
          <w:i/>
          <w:iCs/>
        </w:rPr>
        <w:t>see</w:t>
      </w:r>
      <w:r w:rsidR="009168BA">
        <w:t xml:space="preserve"> A</w:t>
      </w:r>
      <w:r w:rsidR="00F5640C">
        <w:t>ppendix</w:t>
      </w:r>
      <w:r w:rsidR="009168BA">
        <w:t xml:space="preserve"> A</w:t>
      </w:r>
      <w:r w:rsidRPr="00F62F4E">
        <w:t xml:space="preserve">.  </w:t>
      </w:r>
    </w:p>
    <w:p w:rsidRPr="00F62F4E" w:rsidR="00F62F4E" w:rsidP="00E714EF" w:rsidRDefault="00F62F4E" w14:paraId="6E53BC2F" w14:textId="19F6004C">
      <w:pPr>
        <w:pStyle w:val="Standard"/>
      </w:pPr>
      <w:r w:rsidRPr="00F62F4E">
        <w:rPr>
          <w:rFonts w:cs="BookAntiqua"/>
          <w:szCs w:val="26"/>
        </w:rPr>
        <w:t xml:space="preserve">Investigation 21-06-018 is closed. </w:t>
      </w:r>
    </w:p>
    <w:p w:rsidRPr="00F62F4E" w:rsidR="00F62F4E" w:rsidP="00E714EF" w:rsidRDefault="00F62F4E" w14:paraId="1D67581A" w14:textId="77777777">
      <w:pPr>
        <w:pStyle w:val="Heading1"/>
        <w:ind w:left="720" w:hanging="720"/>
      </w:pPr>
      <w:bookmarkStart w:name="_Toc8123715" w:id="3"/>
      <w:bookmarkStart w:name="_Toc132804321" w:id="4"/>
      <w:r w:rsidRPr="00F62F4E">
        <w:lastRenderedPageBreak/>
        <w:t>Background</w:t>
      </w:r>
      <w:bookmarkEnd w:id="3"/>
      <w:bookmarkEnd w:id="4"/>
    </w:p>
    <w:p w:rsidRPr="00F62F4E" w:rsidR="00F62F4E" w:rsidP="00E714EF" w:rsidRDefault="00F62F4E" w14:paraId="20ABAF32" w14:textId="77777777">
      <w:pPr>
        <w:pStyle w:val="Heading2"/>
      </w:pPr>
      <w:bookmarkStart w:name="_Toc8123716" w:id="5"/>
      <w:bookmarkStart w:name="_Toc132804322" w:id="6"/>
      <w:r w:rsidRPr="00F62F4E">
        <w:t>Factual Background</w:t>
      </w:r>
      <w:bookmarkEnd w:id="5"/>
      <w:bookmarkEnd w:id="6"/>
    </w:p>
    <w:p w:rsidRPr="00F62F4E" w:rsidR="00F62F4E" w:rsidP="00E714EF" w:rsidRDefault="00F62F4E" w14:paraId="756CCB28" w14:textId="20547C68">
      <w:pPr>
        <w:pStyle w:val="Standard"/>
      </w:pPr>
      <w:r w:rsidRPr="00F62F4E">
        <w:t xml:space="preserve">Section 2452 of the California Streets and Highways </w:t>
      </w:r>
      <w:r w:rsidR="00E714EF">
        <w:t>(S&amp;H)</w:t>
      </w:r>
      <w:r w:rsidR="00677F68">
        <w:t xml:space="preserve"> </w:t>
      </w:r>
      <w:r w:rsidRPr="00F62F4E">
        <w:t xml:space="preserve">Code requires the California Public Utilities Commission (Commission) to establish the Grade Separation Program Priority List (Priority List) for qualified projects and furnish it to the California Transportation Commission (CTC) by July 1 of each year for use in the </w:t>
      </w:r>
      <w:r w:rsidR="00491FFE">
        <w:t>f</w:t>
      </w:r>
      <w:r w:rsidRPr="00F62F4E">
        <w:t xml:space="preserve">iscal </w:t>
      </w:r>
      <w:r w:rsidR="00491FFE">
        <w:t>y</w:t>
      </w:r>
      <w:r w:rsidRPr="00F62F4E">
        <w:t>ear (FY) beginning on that date.  The Priority List establishes the relative priorities for allocation of State funds to qualified rail crossing projects most urgently in need of separation or alteration, to meet the program goals of eliminating hazardous railroad crossings.</w:t>
      </w:r>
      <w:r w:rsidRPr="00F62F4E">
        <w:rPr>
          <w:rFonts w:cs="BookAntiqua"/>
          <w:szCs w:val="26"/>
          <w:vertAlign w:val="superscript"/>
        </w:rPr>
        <w:footnoteReference w:id="2"/>
      </w:r>
      <w:r w:rsidRPr="00F62F4E">
        <w:t xml:space="preserve">  These projects include construction of new grade separations to replace existing at-grade rail crossings, or alteration or reconstruction of existing grade-separated rail crossings.  </w:t>
      </w:r>
    </w:p>
    <w:p w:rsidRPr="00F62F4E" w:rsidR="00F62F4E" w:rsidP="00E714EF" w:rsidRDefault="00F62F4E" w14:paraId="69BAADFF" w14:textId="7048DF67">
      <w:pPr>
        <w:pStyle w:val="Standard"/>
      </w:pPr>
      <w:r w:rsidRPr="00F62F4E">
        <w:t>The CTC is responsible for allocating (distributing) the State funds to qualified projects, a responsibility it has delegated to the California Department of Transportation.</w:t>
      </w:r>
      <w:r w:rsidRPr="00F62F4E">
        <w:rPr>
          <w:rFonts w:cs="BookAntiqua"/>
          <w:szCs w:val="26"/>
          <w:vertAlign w:val="superscript"/>
        </w:rPr>
        <w:footnoteReference w:id="3"/>
      </w:r>
      <w:r w:rsidRPr="00F62F4E">
        <w:t xml:space="preserve">  Section 190 of the S</w:t>
      </w:r>
      <w:r w:rsidR="00E714EF">
        <w:t>&amp;H</w:t>
      </w:r>
      <w:r w:rsidRPr="00F62F4E">
        <w:t xml:space="preserve"> Code requires the State’s annual budget to include $15 million for funding of these Priority List projects.</w:t>
      </w:r>
    </w:p>
    <w:p w:rsidRPr="00F62F4E" w:rsidR="00F62F4E" w:rsidP="00E714EF" w:rsidRDefault="00F62F4E" w14:paraId="39B20234" w14:textId="77777777">
      <w:pPr>
        <w:pStyle w:val="Standard"/>
      </w:pPr>
      <w:r w:rsidRPr="00F62F4E">
        <w:t xml:space="preserve">Every two years, the Commission issues a new Order Instituting Investigation (OII), in which it determines the Priority List for the next two FYs.  The Commission adopts the Priority List for the first FY by interim decision issued before the next FY begins.  The Commission then revises the Priority List for the second FY by deleting projects for which funds were actually allocated in the first FY, adopting a revised Priority List by final decision before the second </w:t>
      </w:r>
      <w:r w:rsidRPr="00F62F4E">
        <w:br/>
        <w:t xml:space="preserve">FY begins.  Thereafter, a new two-year funding cycle begins again with the </w:t>
      </w:r>
      <w:r w:rsidRPr="00F62F4E">
        <w:lastRenderedPageBreak/>
        <w:t xml:space="preserve">issuance of a new OII for the adoption of a new Priority List for the following two FYs.  </w:t>
      </w:r>
    </w:p>
    <w:p w:rsidRPr="00F62F4E" w:rsidR="00F62F4E" w:rsidP="00E714EF" w:rsidRDefault="00F62F4E" w14:paraId="7D0B5450" w14:textId="77777777">
      <w:pPr>
        <w:pStyle w:val="Heading2"/>
      </w:pPr>
      <w:bookmarkStart w:name="_Toc8123717" w:id="7"/>
      <w:bookmarkStart w:name="_Toc132804323" w:id="8"/>
      <w:r w:rsidRPr="00F62F4E">
        <w:t>Procedural Background</w:t>
      </w:r>
      <w:bookmarkEnd w:id="7"/>
      <w:bookmarkEnd w:id="8"/>
    </w:p>
    <w:p w:rsidRPr="00F62F4E" w:rsidR="00F62F4E" w:rsidP="00E714EF" w:rsidRDefault="00F62F4E" w14:paraId="36AE6F95" w14:textId="77777777">
      <w:pPr>
        <w:pStyle w:val="Standard"/>
      </w:pPr>
      <w:r w:rsidRPr="00F62F4E">
        <w:t>On June 25, 2021, the Commission initiated the current proceeding by issuing Investigation (I.) 21-06-018 to establish the Priority List for FYs 2022-2023 and 2023-2024.  The Commission’s Rail Safety Division (RSD) received a total of thirty-eight timely nominations from railroads, light rail transit agencies, cities, counties, and other interested parties for projects to be considered for inclusion in the first Priority List for this OII.  After evaluating each project, RSD reviewed the nomination materials, the data submitted in support of the nomination, and all filings in this proceeding to develop its recommended preliminary Priority List.  RSD’s recommended preliminary Priority List has been filed in this proceeding, as ordered by the assigned Administrative Law Judge (ALJ).</w:t>
      </w:r>
    </w:p>
    <w:p w:rsidRPr="00F62F4E" w:rsidR="00F62F4E" w:rsidP="00E714EF" w:rsidRDefault="00F62F4E" w14:paraId="5CFB7DF8" w14:textId="49136E4B">
      <w:pPr>
        <w:pStyle w:val="Standard"/>
      </w:pPr>
      <w:r w:rsidRPr="00F62F4E">
        <w:t xml:space="preserve">A prehearing conference was held on September 30, 2021.  On </w:t>
      </w:r>
      <w:r w:rsidR="00491FFE">
        <w:br/>
      </w:r>
      <w:r w:rsidRPr="00F62F4E">
        <w:t>October 18, 2021, the assigned A</w:t>
      </w:r>
      <w:r w:rsidR="00E714EF">
        <w:t>LJ</w:t>
      </w:r>
      <w:r w:rsidRPr="00F62F4E">
        <w:t xml:space="preserve"> issued a ruling noticing a workshop to explore changes to the formulas that are used to establish the priority list rankings.  On October 25, 2021, the assigned Commissioner issued the scoping ruling.  The following parties filed motions for party status to the proceeding from March 23, 2022, through March 28, 2022:</w:t>
      </w:r>
      <w:r w:rsidR="00E714EF">
        <w:t xml:space="preserve"> </w:t>
      </w:r>
      <w:r w:rsidRPr="00F62F4E">
        <w:t xml:space="preserve"> Orange County Transportation Authority, City of South San Francisco, City of Menlo Park, City of Riverside, City of Oakland, San Bernardino County Transportation Authority, City of Sunnyvale, City of Oxnard, City of San Jose, Sutter County, City of San Bruno, City of Santa Barbara, City of Stockton, and City of Fresno.  All motions for party status were granted.</w:t>
      </w:r>
    </w:p>
    <w:p w:rsidRPr="00F62F4E" w:rsidR="00F62F4E" w:rsidP="00E714EF" w:rsidRDefault="00F62F4E" w14:paraId="371C80F1" w14:textId="0102D7F9">
      <w:pPr>
        <w:pStyle w:val="Standard"/>
      </w:pPr>
      <w:r w:rsidRPr="00F62F4E">
        <w:t xml:space="preserve">On April 4, 2022, the assigned ALJ held a virtual evidentiary hearing.  Parties were instructed to file their project nominations by April 15, 2022; </w:t>
      </w:r>
      <w:r w:rsidRPr="00F62F4E">
        <w:lastRenderedPageBreak/>
        <w:t xml:space="preserve">however, the deadline was extended to April 22, 2022, to accommodate parties that needed additional time to file materials with the Commission.  On </w:t>
      </w:r>
      <w:r w:rsidR="00E714EF">
        <w:br/>
      </w:r>
      <w:r w:rsidRPr="00F62F4E">
        <w:t xml:space="preserve">May 26, 2022, the assigned ALJ accepted parties’ project nominations into the record of this proceeding.  On June 23, 2022, the Commission adopted </w:t>
      </w:r>
      <w:r w:rsidR="00E714EF">
        <w:br/>
      </w:r>
      <w:r w:rsidRPr="00F62F4E">
        <w:t xml:space="preserve">Decision (D.) 22-06-030 that established a Priority List for the 2022-2023 FY.  </w:t>
      </w:r>
      <w:bookmarkStart w:name="_Hlk132719703" w:id="9"/>
      <w:r w:rsidRPr="00F62F4E">
        <w:t xml:space="preserve">On </w:t>
      </w:r>
      <w:r w:rsidR="00E714EF">
        <w:br/>
      </w:r>
      <w:r w:rsidRPr="00F62F4E">
        <w:t>March 9, 2023, the Commission adopted D</w:t>
      </w:r>
      <w:r w:rsidR="00491FFE">
        <w:t>.</w:t>
      </w:r>
      <w:r w:rsidRPr="00F62F4E">
        <w:t>23-03-002, correcting errors from the Priority List for the 2022-2023 FY.</w:t>
      </w:r>
    </w:p>
    <w:p w:rsidRPr="00F62F4E" w:rsidR="00F62F4E" w:rsidP="00E714EF" w:rsidRDefault="00F62F4E" w14:paraId="5B8B5BF7" w14:textId="28BBC3DD">
      <w:pPr>
        <w:pStyle w:val="Heading1"/>
        <w:ind w:left="720" w:hanging="720"/>
      </w:pPr>
      <w:bookmarkStart w:name="_Toc132804324" w:id="10"/>
      <w:bookmarkEnd w:id="9"/>
      <w:r w:rsidRPr="00F62F4E">
        <w:t xml:space="preserve">Establishment of the FY </w:t>
      </w:r>
      <w:r w:rsidRPr="00F62F4E">
        <w:rPr>
          <w:rFonts w:eastAsia="Times New Roman" w:cs="Times New Roman"/>
        </w:rPr>
        <w:t>2023-2024</w:t>
      </w:r>
      <w:r w:rsidRPr="00F62F4E">
        <w:t xml:space="preserve"> </w:t>
      </w:r>
      <w:r w:rsidR="00E714EF">
        <w:br/>
      </w:r>
      <w:r w:rsidRPr="00F62F4E">
        <w:t>Priority List</w:t>
      </w:r>
      <w:bookmarkEnd w:id="10"/>
    </w:p>
    <w:p w:rsidRPr="00F62F4E" w:rsidR="00F62F4E" w:rsidP="00E714EF" w:rsidRDefault="00F62F4E" w14:paraId="0C53F856" w14:textId="50A53B2B">
      <w:pPr>
        <w:pStyle w:val="Standard"/>
      </w:pPr>
      <w:r w:rsidRPr="00F62F4E">
        <w:t>Since our issuance of the interim decision, D.22-06-030, which adopted RSD’s recommended Priority List for FY 2022-2023, two projects on that list have already been funded.  Those two projects are removed from the revised Priority List for FY 2022-2023, which is updated and appended to this decision as A</w:t>
      </w:r>
      <w:r w:rsidR="00F5640C">
        <w:t>ppendix</w:t>
      </w:r>
      <w:r w:rsidRPr="00F62F4E">
        <w:t xml:space="preserve"> A and adopted.  Adoption of the FY 2023-2024 Priority List closes this biennial proceeding.</w:t>
      </w:r>
    </w:p>
    <w:p w:rsidRPr="00F62F4E" w:rsidR="00F62F4E" w:rsidP="00F62F4E" w:rsidRDefault="00F62F4E" w14:paraId="0C6ABA69" w14:textId="7D8D891A">
      <w:r w:rsidRPr="00F62F4E">
        <w:t>The two projects for which allocations have been made and which are removed from the 2022-2023 Priority List</w:t>
      </w:r>
      <w:r w:rsidR="009168BA">
        <w:rPr>
          <w:rStyle w:val="FootnoteReference"/>
        </w:rPr>
        <w:footnoteReference w:id="4"/>
      </w:r>
      <w:r w:rsidRPr="00F62F4E">
        <w:t xml:space="preserve"> are:</w:t>
      </w:r>
    </w:p>
    <w:tbl>
      <w:tblPr>
        <w:tblStyle w:val="TableGrid"/>
        <w:tblW w:w="0" w:type="auto"/>
        <w:tblLook w:val="04A0" w:firstRow="1" w:lastRow="0" w:firstColumn="1" w:lastColumn="0" w:noHBand="0" w:noVBand="1"/>
      </w:tblPr>
      <w:tblGrid>
        <w:gridCol w:w="4675"/>
        <w:gridCol w:w="4675"/>
      </w:tblGrid>
      <w:tr w:rsidRPr="00F62F4E" w:rsidR="00F62F4E" w:rsidTr="00C21559" w14:paraId="10EB44E7" w14:textId="77777777">
        <w:trPr>
          <w:tblHeader/>
        </w:trPr>
        <w:tc>
          <w:tcPr>
            <w:tcW w:w="4675" w:type="dxa"/>
          </w:tcPr>
          <w:p w:rsidRPr="00F62F4E" w:rsidR="00F62F4E" w:rsidP="00F62F4E" w:rsidRDefault="00F62F4E" w14:paraId="757E0656" w14:textId="77777777">
            <w:pPr>
              <w:keepNext/>
              <w:keepLines/>
              <w:ind w:firstLine="0"/>
              <w:jc w:val="center"/>
              <w:rPr>
                <w:rFonts w:eastAsia="Times New Roman" w:cs="BookAntiqua"/>
                <w:b/>
                <w:bCs/>
                <w:szCs w:val="26"/>
              </w:rPr>
            </w:pPr>
            <w:r w:rsidRPr="00F62F4E">
              <w:rPr>
                <w:rFonts w:eastAsia="Times New Roman" w:cs="BookAntiqua"/>
                <w:b/>
                <w:bCs/>
                <w:szCs w:val="26"/>
              </w:rPr>
              <w:lastRenderedPageBreak/>
              <w:t>FY 2022-2023 Ranking</w:t>
            </w:r>
          </w:p>
        </w:tc>
        <w:tc>
          <w:tcPr>
            <w:tcW w:w="4675" w:type="dxa"/>
          </w:tcPr>
          <w:p w:rsidRPr="00F62F4E" w:rsidR="00F62F4E" w:rsidP="00F62F4E" w:rsidRDefault="00F62F4E" w14:paraId="7EC61A48" w14:textId="77777777">
            <w:pPr>
              <w:keepNext/>
              <w:keepLines/>
              <w:ind w:firstLine="0"/>
              <w:jc w:val="center"/>
              <w:rPr>
                <w:rFonts w:eastAsia="Times New Roman" w:cs="BookAntiqua"/>
                <w:b/>
                <w:bCs/>
                <w:szCs w:val="26"/>
              </w:rPr>
            </w:pPr>
            <w:r w:rsidRPr="00F62F4E">
              <w:rPr>
                <w:rFonts w:eastAsia="Times New Roman" w:cs="BookAntiqua"/>
                <w:b/>
                <w:bCs/>
                <w:szCs w:val="26"/>
              </w:rPr>
              <w:t>Project Name</w:t>
            </w:r>
          </w:p>
        </w:tc>
      </w:tr>
      <w:tr w:rsidRPr="00F62F4E" w:rsidR="009168BA" w:rsidTr="00C21559" w14:paraId="6615D213" w14:textId="77777777">
        <w:tc>
          <w:tcPr>
            <w:tcW w:w="4675" w:type="dxa"/>
          </w:tcPr>
          <w:p w:rsidRPr="00F62F4E" w:rsidR="009168BA" w:rsidP="009168BA" w:rsidRDefault="009168BA" w14:paraId="2CBF186D" w14:textId="63C19D06">
            <w:pPr>
              <w:keepNext/>
              <w:keepLines/>
              <w:spacing w:line="240" w:lineRule="auto"/>
              <w:ind w:firstLine="0"/>
              <w:jc w:val="center"/>
              <w:rPr>
                <w:rFonts w:eastAsia="Times New Roman" w:cs="BookAntiqua"/>
                <w:b/>
                <w:bCs/>
                <w:szCs w:val="26"/>
                <w:highlight w:val="yellow"/>
              </w:rPr>
            </w:pPr>
            <w:r w:rsidRPr="00C216AA">
              <w:rPr>
                <w:rFonts w:cs="BookAntiqua"/>
                <w:b/>
                <w:bCs/>
                <w:szCs w:val="26"/>
              </w:rPr>
              <w:t>20</w:t>
            </w:r>
          </w:p>
        </w:tc>
        <w:tc>
          <w:tcPr>
            <w:tcW w:w="4675" w:type="dxa"/>
          </w:tcPr>
          <w:p w:rsidRPr="00C216AA" w:rsidR="009168BA" w:rsidP="009168BA" w:rsidRDefault="009168BA" w14:paraId="15B1E50B" w14:textId="77777777">
            <w:pPr>
              <w:keepNext/>
              <w:keepLines/>
              <w:spacing w:line="240" w:lineRule="auto"/>
              <w:jc w:val="center"/>
              <w:rPr>
                <w:rFonts w:eastAsia="Times New Roman" w:cs="BookAntiqua"/>
                <w:b/>
                <w:bCs/>
                <w:szCs w:val="26"/>
              </w:rPr>
            </w:pPr>
            <w:r w:rsidRPr="00C216AA">
              <w:rPr>
                <w:rFonts w:eastAsia="Times New Roman" w:cs="BookAntiqua"/>
                <w:b/>
                <w:bCs/>
                <w:szCs w:val="26"/>
              </w:rPr>
              <w:t xml:space="preserve">Cedar Avenue </w:t>
            </w:r>
          </w:p>
          <w:p w:rsidRPr="00C216AA" w:rsidR="009168BA" w:rsidP="009168BA" w:rsidRDefault="009168BA" w14:paraId="64ACA61E" w14:textId="77777777">
            <w:pPr>
              <w:keepNext/>
              <w:keepLines/>
              <w:spacing w:line="240" w:lineRule="auto"/>
              <w:jc w:val="center"/>
              <w:rPr>
                <w:rFonts w:eastAsia="Times New Roman" w:cs="BookAntiqua"/>
                <w:b/>
                <w:bCs/>
                <w:szCs w:val="26"/>
              </w:rPr>
            </w:pPr>
            <w:r w:rsidRPr="00C216AA">
              <w:rPr>
                <w:rFonts w:eastAsia="Times New Roman" w:cs="BookAntiqua"/>
                <w:b/>
                <w:bCs/>
                <w:szCs w:val="26"/>
              </w:rPr>
              <w:t>San Bernardino County Transportation Authority</w:t>
            </w:r>
          </w:p>
          <w:p w:rsidRPr="00F62F4E" w:rsidR="009168BA" w:rsidP="009168BA" w:rsidRDefault="009168BA" w14:paraId="68036A67" w14:textId="77777777">
            <w:pPr>
              <w:keepNext/>
              <w:keepLines/>
              <w:spacing w:line="240" w:lineRule="auto"/>
              <w:ind w:firstLine="0"/>
              <w:jc w:val="center"/>
              <w:rPr>
                <w:rFonts w:eastAsia="Times New Roman" w:cs="BookAntiqua"/>
                <w:b/>
                <w:bCs/>
                <w:szCs w:val="26"/>
                <w:highlight w:val="yellow"/>
              </w:rPr>
            </w:pPr>
          </w:p>
        </w:tc>
      </w:tr>
      <w:tr w:rsidRPr="00F62F4E" w:rsidR="009168BA" w:rsidTr="00C21559" w14:paraId="51535C29" w14:textId="77777777">
        <w:tc>
          <w:tcPr>
            <w:tcW w:w="4675" w:type="dxa"/>
          </w:tcPr>
          <w:p w:rsidRPr="00F62F4E" w:rsidR="009168BA" w:rsidP="009168BA" w:rsidRDefault="009168BA" w14:paraId="6E2908E1" w14:textId="345F5EEA">
            <w:pPr>
              <w:keepNext/>
              <w:keepLines/>
              <w:spacing w:line="240" w:lineRule="auto"/>
              <w:ind w:firstLine="0"/>
              <w:jc w:val="center"/>
              <w:rPr>
                <w:rFonts w:eastAsia="Times New Roman" w:cs="BookAntiqua"/>
                <w:b/>
                <w:bCs/>
                <w:szCs w:val="26"/>
                <w:highlight w:val="yellow"/>
              </w:rPr>
            </w:pPr>
            <w:r w:rsidRPr="00C216AA">
              <w:rPr>
                <w:rFonts w:cs="BookAntiqua"/>
                <w:b/>
                <w:bCs/>
                <w:szCs w:val="26"/>
              </w:rPr>
              <w:t>24</w:t>
            </w:r>
          </w:p>
        </w:tc>
        <w:tc>
          <w:tcPr>
            <w:tcW w:w="4675" w:type="dxa"/>
          </w:tcPr>
          <w:p w:rsidRPr="00C216AA" w:rsidR="009168BA" w:rsidP="009168BA" w:rsidRDefault="009168BA" w14:paraId="49C90130" w14:textId="77777777">
            <w:pPr>
              <w:keepNext/>
              <w:keepLines/>
              <w:spacing w:line="240" w:lineRule="auto"/>
              <w:jc w:val="center"/>
              <w:rPr>
                <w:rFonts w:eastAsia="Times New Roman" w:cs="BookAntiqua"/>
                <w:b/>
                <w:bCs/>
                <w:szCs w:val="26"/>
              </w:rPr>
            </w:pPr>
            <w:r w:rsidRPr="00C216AA">
              <w:rPr>
                <w:rFonts w:eastAsia="Times New Roman" w:cs="BookAntiqua"/>
                <w:b/>
                <w:bCs/>
                <w:szCs w:val="26"/>
              </w:rPr>
              <w:t xml:space="preserve"> Claribel Road</w:t>
            </w:r>
          </w:p>
          <w:p w:rsidRPr="00C216AA" w:rsidR="009168BA" w:rsidP="009168BA" w:rsidRDefault="009168BA" w14:paraId="3F3F6189" w14:textId="77777777">
            <w:pPr>
              <w:keepNext/>
              <w:keepLines/>
              <w:spacing w:line="240" w:lineRule="auto"/>
              <w:jc w:val="center"/>
              <w:rPr>
                <w:rFonts w:eastAsia="Times New Roman" w:cs="BookAntiqua"/>
                <w:b/>
                <w:bCs/>
                <w:szCs w:val="26"/>
              </w:rPr>
            </w:pPr>
            <w:r w:rsidRPr="00C216AA">
              <w:rPr>
                <w:rFonts w:eastAsia="Times New Roman" w:cs="BookAntiqua"/>
                <w:b/>
                <w:bCs/>
                <w:szCs w:val="26"/>
              </w:rPr>
              <w:t>Stanislaus County</w:t>
            </w:r>
          </w:p>
          <w:p w:rsidRPr="00F62F4E" w:rsidR="009168BA" w:rsidP="009168BA" w:rsidRDefault="009168BA" w14:paraId="26EC4658" w14:textId="77777777">
            <w:pPr>
              <w:keepNext/>
              <w:keepLines/>
              <w:spacing w:line="240" w:lineRule="auto"/>
              <w:ind w:firstLine="0"/>
              <w:jc w:val="center"/>
              <w:rPr>
                <w:rFonts w:eastAsia="Times New Roman" w:cs="BookAntiqua"/>
                <w:b/>
                <w:bCs/>
                <w:szCs w:val="26"/>
                <w:highlight w:val="yellow"/>
              </w:rPr>
            </w:pPr>
          </w:p>
        </w:tc>
      </w:tr>
    </w:tbl>
    <w:p w:rsidRPr="00F62F4E" w:rsidR="00F62F4E" w:rsidP="0052468F" w:rsidRDefault="00F62F4E" w14:paraId="4AC3CFBF" w14:textId="6EBB9093">
      <w:pPr>
        <w:pStyle w:val="Heading1"/>
        <w:tabs>
          <w:tab w:val="left" w:pos="720"/>
        </w:tabs>
        <w:spacing w:before="120"/>
        <w:ind w:left="720" w:hanging="720"/>
      </w:pPr>
      <w:bookmarkStart w:name="_Toc132804325" w:id="11"/>
      <w:r w:rsidRPr="00F62F4E">
        <w:t xml:space="preserve">Updating Formulas for the 2024-2025 </w:t>
      </w:r>
      <w:r w:rsidR="00E714EF">
        <w:br/>
      </w:r>
      <w:r w:rsidRPr="00F62F4E">
        <w:t>and 2025-2026 F</w:t>
      </w:r>
      <w:r w:rsidR="0052468F">
        <w:t>Y</w:t>
      </w:r>
      <w:r w:rsidRPr="00F62F4E">
        <w:t>s</w:t>
      </w:r>
      <w:bookmarkEnd w:id="11"/>
    </w:p>
    <w:p w:rsidR="00E714EF" w:rsidP="00E714EF" w:rsidRDefault="00F62F4E" w14:paraId="0CD1D2D1" w14:textId="331A82E5">
      <w:pPr>
        <w:pStyle w:val="Standard"/>
      </w:pPr>
      <w:r w:rsidRPr="00F62F4E">
        <w:t xml:space="preserve">As mentioned in D.22-06-030, on </w:t>
      </w:r>
      <w:r w:rsidRPr="00F62F4E">
        <w:rPr>
          <w:color w:val="000000"/>
          <w:sz w:val="27"/>
          <w:szCs w:val="27"/>
        </w:rPr>
        <w:t>November 9, 2021</w:t>
      </w:r>
      <w:r w:rsidR="009168BA">
        <w:rPr>
          <w:color w:val="000000"/>
          <w:sz w:val="27"/>
          <w:szCs w:val="27"/>
        </w:rPr>
        <w:t xml:space="preserve">, </w:t>
      </w:r>
      <w:r w:rsidRPr="00F62F4E">
        <w:t xml:space="preserve">RSD conducted a workshop on November 21, 2021, to afford parties </w:t>
      </w:r>
      <w:r w:rsidRPr="00F62F4E">
        <w:rPr>
          <w:rFonts w:cs="Book Antiqua"/>
          <w:szCs w:val="26"/>
        </w:rPr>
        <w:t xml:space="preserve">an opportunity to raise issues regarding the revisions of the formulas by which the Priority List is established. </w:t>
      </w:r>
      <w:r w:rsidRPr="00F62F4E">
        <w:t xml:space="preserve"> Due to the limited extent of comments received and lack of supporting data, RSD has determined that there is not sufficient data to justify changes to the current formulas.  Therefore, changes to the current formulas are not deemed reasonable for this cycle, and the formulas will remain unchanged FY 2024-2025 and </w:t>
      </w:r>
    </w:p>
    <w:p w:rsidRPr="00F62F4E" w:rsidR="00F62F4E" w:rsidP="00E714EF" w:rsidRDefault="00F62F4E" w14:paraId="5505AFD2" w14:textId="1D5CD130">
      <w:pPr>
        <w:ind w:firstLine="0"/>
      </w:pPr>
      <w:r w:rsidRPr="00F62F4E">
        <w:t>2025-2026.</w:t>
      </w:r>
    </w:p>
    <w:p w:rsidRPr="00F62F4E" w:rsidR="00F62F4E" w:rsidP="00E714EF" w:rsidRDefault="00F62F4E" w14:paraId="5636F889" w14:textId="77777777">
      <w:pPr>
        <w:pStyle w:val="Heading1"/>
        <w:ind w:left="720" w:hanging="720"/>
      </w:pPr>
      <w:bookmarkStart w:name="_Toc8123720" w:id="12"/>
      <w:bookmarkStart w:name="_Toc132804326" w:id="13"/>
      <w:r w:rsidRPr="00F62F4E">
        <w:t>Discussion and Analysis</w:t>
      </w:r>
      <w:bookmarkEnd w:id="12"/>
      <w:bookmarkEnd w:id="13"/>
    </w:p>
    <w:p w:rsidR="00E714EF" w:rsidP="00E714EF" w:rsidRDefault="00F62F4E" w14:paraId="5EF820B8" w14:textId="77777777">
      <w:pPr>
        <w:pStyle w:val="Standard"/>
      </w:pPr>
      <w:r w:rsidRPr="00F62F4E">
        <w:t>RSD staff evaluated each nominated project’s eligibility as either construction of new grade separations to replace existing at-grade rail crossings or alteration or reconstruction of existing grade separations on city streets, county roads, and state highways, which are not freeways as defined in S</w:t>
      </w:r>
      <w:r w:rsidR="00E714EF">
        <w:t>&amp;H</w:t>
      </w:r>
      <w:r w:rsidRPr="00F62F4E">
        <w:t xml:space="preserve"> Code § 257.  Staff considered the feasibility, need, urgency and relative priority for each of the grade separation projects that were nominated and applied existing formulas to provide a ranking for each project.</w:t>
      </w:r>
      <w:r w:rsidR="00E714EF">
        <w:t xml:space="preserve"> </w:t>
      </w:r>
      <w:r w:rsidRPr="00F62F4E">
        <w:t xml:space="preserve"> The existing formulas were discussed as part of a workshop where parties provided input.  The ranking process used to establish the grade-separation priority list for </w:t>
      </w:r>
    </w:p>
    <w:p w:rsidR="00491FFE" w:rsidP="00E714EF" w:rsidRDefault="00F62F4E" w14:paraId="024969B3" w14:textId="77777777">
      <w:pPr>
        <w:pStyle w:val="Standard"/>
        <w:ind w:firstLine="0"/>
      </w:pPr>
      <w:r w:rsidRPr="00F62F4E">
        <w:lastRenderedPageBreak/>
        <w:t xml:space="preserve">FY 2022-2023 was transparent and visible to the public and therefore reasonable.  All projects regardless of location were evaluated for safety.  Environmental and </w:t>
      </w:r>
      <w:r w:rsidR="00491FFE">
        <w:t>S</w:t>
      </w:r>
      <w:r w:rsidRPr="00F62F4E">
        <w:t xml:space="preserve">ocial </w:t>
      </w:r>
      <w:r w:rsidR="00491FFE">
        <w:t>J</w:t>
      </w:r>
      <w:r w:rsidRPr="00F62F4E">
        <w:t xml:space="preserve">ustice (ESJ) communities are supported by projects in this proceeding. Goal 3 and Goal 6 of the ESJ Action Plan are impacted by the projects in this proceeding.  Goal 3 as stated is to “Strive to improve access to high-quality water, communications, and transportation services for ESJ communities”.  </w:t>
      </w:r>
    </w:p>
    <w:p w:rsidRPr="00F62F4E" w:rsidR="00F62F4E" w:rsidP="00E714EF" w:rsidRDefault="00F62F4E" w14:paraId="15E9732B" w14:textId="10BEC99E">
      <w:pPr>
        <w:pStyle w:val="Standard"/>
        <w:ind w:firstLine="0"/>
      </w:pPr>
      <w:r w:rsidRPr="00F62F4E">
        <w:t>Goal 6, as stated, strives to “Enhance enforcement to ensure safety and consumer protection for all, especially for ESJ communities.”  Both goals 3 and 6 are supported by this proceeding therefore funding for these projects should be adopted by the Commission.</w:t>
      </w:r>
    </w:p>
    <w:p w:rsidRPr="00F62F4E" w:rsidR="00F62F4E" w:rsidP="00491FFE" w:rsidRDefault="00F62F4E" w14:paraId="37F3F277" w14:textId="77777777">
      <w:pPr>
        <w:pStyle w:val="Heading1"/>
        <w:ind w:left="720" w:hanging="720"/>
      </w:pPr>
      <w:bookmarkStart w:name="_Toc132804327" w:id="14"/>
      <w:bookmarkStart w:name="_Toc8123721" w:id="15"/>
      <w:r w:rsidRPr="00F62F4E">
        <w:t>Categorization and Need for Hearing</w:t>
      </w:r>
      <w:bookmarkEnd w:id="14"/>
    </w:p>
    <w:p w:rsidRPr="00F62F4E" w:rsidR="00F62F4E" w:rsidP="00491FFE" w:rsidRDefault="00F62F4E" w14:paraId="24A9A1C3" w14:textId="77777777">
      <w:pPr>
        <w:pStyle w:val="Standard"/>
      </w:pPr>
      <w:r w:rsidRPr="00F62F4E">
        <w:t>This proceeding has been categorized as quasi-legislative.  A hearing was held in accordance with the Commission’s adopted procedure for establishing the biennial Priority List.</w:t>
      </w:r>
    </w:p>
    <w:p w:rsidRPr="00F62F4E" w:rsidR="00F62F4E" w:rsidP="00491FFE" w:rsidRDefault="00F62F4E" w14:paraId="1AAF8A36" w14:textId="77777777">
      <w:pPr>
        <w:pStyle w:val="Heading1"/>
        <w:ind w:left="720" w:hanging="720"/>
      </w:pPr>
      <w:bookmarkStart w:name="_Toc8123723" w:id="16"/>
      <w:bookmarkStart w:name="_Toc132804328" w:id="17"/>
      <w:bookmarkEnd w:id="15"/>
      <w:r w:rsidRPr="00F62F4E">
        <w:t>Comments on Proposed Decision</w:t>
      </w:r>
      <w:bookmarkEnd w:id="16"/>
      <w:bookmarkEnd w:id="17"/>
    </w:p>
    <w:p w:rsidRPr="00F62F4E" w:rsidR="00F62F4E" w:rsidP="00491FFE" w:rsidRDefault="00F62F4E" w14:paraId="5B560152" w14:textId="70F67877">
      <w:pPr>
        <w:pStyle w:val="Standard"/>
      </w:pPr>
      <w:r w:rsidRPr="00F62F4E">
        <w:t xml:space="preserve">The proposed decision of Commissioner Genevieve Shiroma in this matter was mailed to the parties in accordance with Section 311 of the Public Utilities Code and comments were allowed under Rule 14.3 of the Commission’s Rules of Practice and Procedure.  </w:t>
      </w:r>
      <w:r w:rsidR="005D7A43">
        <w:t xml:space="preserve">No comments were filed to this proposed decision. </w:t>
      </w:r>
    </w:p>
    <w:p w:rsidRPr="00F62F4E" w:rsidR="00F62F4E" w:rsidP="00491FFE" w:rsidRDefault="00F62F4E" w14:paraId="0D7DA07A" w14:textId="33F8858B">
      <w:pPr>
        <w:pStyle w:val="Heading1"/>
        <w:ind w:left="720" w:hanging="720"/>
      </w:pPr>
      <w:bookmarkStart w:name="_Toc8123724" w:id="18"/>
      <w:bookmarkStart w:name="_Toc132804329" w:id="19"/>
      <w:r w:rsidRPr="00F62F4E">
        <w:t>Assignment of Proceeding</w:t>
      </w:r>
      <w:bookmarkEnd w:id="18"/>
      <w:bookmarkEnd w:id="19"/>
    </w:p>
    <w:p w:rsidRPr="00F62F4E" w:rsidR="00F62F4E" w:rsidP="00F62F4E" w:rsidRDefault="00F62F4E" w14:paraId="27821B33" w14:textId="1FDBCF76">
      <w:r w:rsidRPr="00F62F4E">
        <w:t>Genevieve Shiroma is the assigned Commissioner and Hazlyn Fortune is the assigned A</w:t>
      </w:r>
      <w:r w:rsidR="00491FFE">
        <w:t>LJ</w:t>
      </w:r>
      <w:r w:rsidRPr="00F62F4E">
        <w:t xml:space="preserve"> in this proceeding.</w:t>
      </w:r>
    </w:p>
    <w:p w:rsidRPr="00F62F4E" w:rsidR="00F62F4E" w:rsidP="00F62F4E" w:rsidRDefault="00F62F4E" w14:paraId="455A33D1" w14:textId="77777777">
      <w:pPr>
        <w:keepNext/>
        <w:keepLines/>
        <w:spacing w:after="120" w:line="240" w:lineRule="auto"/>
        <w:ind w:firstLine="0"/>
        <w:outlineLvl w:val="0"/>
        <w:rPr>
          <w:rFonts w:ascii="Arial" w:hAnsi="Arial" w:cs="Arial"/>
          <w:b/>
          <w:szCs w:val="26"/>
        </w:rPr>
      </w:pPr>
      <w:bookmarkStart w:name="_Toc8123725" w:id="20"/>
      <w:bookmarkStart w:name="_Toc132804330" w:id="21"/>
      <w:r w:rsidRPr="00F62F4E">
        <w:rPr>
          <w:rFonts w:ascii="Arial" w:hAnsi="Arial" w:cs="Arial"/>
          <w:b/>
          <w:szCs w:val="26"/>
        </w:rPr>
        <w:t>Findings of Fact</w:t>
      </w:r>
      <w:bookmarkEnd w:id="20"/>
      <w:bookmarkEnd w:id="21"/>
    </w:p>
    <w:p w:rsidRPr="00F62F4E" w:rsidR="00F62F4E" w:rsidP="00491FFE" w:rsidRDefault="00F62F4E" w14:paraId="3082ACEC" w14:textId="77777777">
      <w:pPr>
        <w:pStyle w:val="FoF"/>
      </w:pPr>
      <w:r w:rsidRPr="00F62F4E">
        <w:t xml:space="preserve">The FY 2022-2023 Priority List was established by the interim decision in this OII, D.22-06-030. </w:t>
      </w:r>
    </w:p>
    <w:p w:rsidRPr="00F62F4E" w:rsidR="00F62F4E" w:rsidP="00491FFE" w:rsidRDefault="00F62F4E" w14:paraId="2030A4F7" w14:textId="77777777">
      <w:pPr>
        <w:pStyle w:val="FoF"/>
      </w:pPr>
      <w:r w:rsidRPr="00F62F4E">
        <w:t>On March 9, 2023, the Commission adopted D.23-03-002, correcting errors from the Priority List for the 2022-2023 FY.</w:t>
      </w:r>
    </w:p>
    <w:p w:rsidRPr="00F62F4E" w:rsidR="00F62F4E" w:rsidP="00F62F4E" w:rsidRDefault="00F62F4E" w14:paraId="0535594C" w14:textId="2928AF42">
      <w:pPr>
        <w:numPr>
          <w:ilvl w:val="0"/>
          <w:numId w:val="3"/>
        </w:numPr>
        <w:ind w:firstLine="547"/>
      </w:pPr>
      <w:r w:rsidRPr="00F62F4E">
        <w:lastRenderedPageBreak/>
        <w:t>Two projects on the FY 2022-2023 Priority List received allocations</w:t>
      </w:r>
      <w:r w:rsidR="009168BA">
        <w:t>, funding is pursuant to pending Governor budget adoption.</w:t>
      </w:r>
    </w:p>
    <w:p w:rsidRPr="00F62F4E" w:rsidR="00F62F4E" w:rsidP="00F62F4E" w:rsidRDefault="00F62F4E" w14:paraId="6AAF699C" w14:textId="05BDB623">
      <w:pPr>
        <w:numPr>
          <w:ilvl w:val="0"/>
          <w:numId w:val="3"/>
        </w:numPr>
        <w:ind w:firstLine="547"/>
      </w:pPr>
      <w:bookmarkStart w:name="_Toc8123726" w:id="22"/>
      <w:r w:rsidRPr="00F62F4E">
        <w:t xml:space="preserve">RSD has prepared and filed the revised Priority List for the second </w:t>
      </w:r>
      <w:r w:rsidR="00491FFE">
        <w:br/>
        <w:t xml:space="preserve">FY </w:t>
      </w:r>
      <w:r w:rsidRPr="00F62F4E">
        <w:t>2023-2024 (</w:t>
      </w:r>
      <w:r w:rsidR="00F5640C">
        <w:t>Appendix</w:t>
      </w:r>
      <w:r w:rsidRPr="00F62F4E">
        <w:t xml:space="preserve"> A to this decision).</w:t>
      </w:r>
    </w:p>
    <w:p w:rsidRPr="00F62F4E" w:rsidR="00F62F4E" w:rsidP="00F62F4E" w:rsidRDefault="00F62F4E" w14:paraId="66737DEE" w14:textId="77777777">
      <w:pPr>
        <w:keepNext/>
        <w:keepLines/>
        <w:spacing w:after="120" w:line="240" w:lineRule="auto"/>
        <w:ind w:firstLine="0"/>
        <w:outlineLvl w:val="0"/>
        <w:rPr>
          <w:rFonts w:ascii="Arial" w:hAnsi="Arial" w:cs="Arial"/>
          <w:b/>
          <w:szCs w:val="26"/>
        </w:rPr>
      </w:pPr>
      <w:bookmarkStart w:name="_Toc132804331" w:id="23"/>
      <w:r w:rsidRPr="00F62F4E">
        <w:rPr>
          <w:rFonts w:ascii="Arial" w:hAnsi="Arial" w:cs="Arial"/>
          <w:b/>
          <w:szCs w:val="26"/>
        </w:rPr>
        <w:t>Conclusions of Law</w:t>
      </w:r>
      <w:bookmarkEnd w:id="22"/>
      <w:bookmarkEnd w:id="23"/>
    </w:p>
    <w:p w:rsidRPr="00F62F4E" w:rsidR="00F62F4E" w:rsidP="00491FFE" w:rsidRDefault="00F62F4E" w14:paraId="77B301C1" w14:textId="50110139">
      <w:pPr>
        <w:pStyle w:val="CoL"/>
      </w:pPr>
      <w:r w:rsidRPr="00F62F4E">
        <w:t>The FY 2023-2024 Grade Separation Priority List (</w:t>
      </w:r>
      <w:r w:rsidR="00F5640C">
        <w:t>Appendix</w:t>
      </w:r>
      <w:r w:rsidRPr="00F62F4E">
        <w:t xml:space="preserve"> A to this decision) should be adopted.</w:t>
      </w:r>
    </w:p>
    <w:p w:rsidRPr="00F62F4E" w:rsidR="00F62F4E" w:rsidP="00F62F4E" w:rsidRDefault="00F62F4E" w14:paraId="29573157" w14:textId="77777777">
      <w:pPr>
        <w:numPr>
          <w:ilvl w:val="0"/>
          <w:numId w:val="4"/>
        </w:numPr>
        <w:ind w:firstLine="547"/>
        <w:rPr>
          <w:rFonts w:ascii="BookAntiqua" w:hAnsi="BookAntiqua"/>
        </w:rPr>
      </w:pPr>
      <w:r w:rsidRPr="00F62F4E">
        <w:t>I.21-06-018 should be closed.</w:t>
      </w:r>
    </w:p>
    <w:p w:rsidRPr="00F62F4E" w:rsidR="00F62F4E" w:rsidP="00F62F4E" w:rsidRDefault="00F62F4E" w14:paraId="110CA38F" w14:textId="77777777">
      <w:pPr>
        <w:keepNext/>
        <w:ind w:firstLine="0"/>
        <w:jc w:val="center"/>
        <w:outlineLvl w:val="0"/>
        <w:rPr>
          <w:rFonts w:ascii="Arial" w:hAnsi="Arial" w:eastAsiaTheme="majorEastAsia" w:cstheme="majorBidi"/>
          <w:b/>
          <w:caps/>
          <w:spacing w:val="120"/>
          <w:szCs w:val="56"/>
        </w:rPr>
      </w:pPr>
      <w:bookmarkStart w:name="_Toc132804332" w:id="24"/>
      <w:r w:rsidRPr="00F62F4E">
        <w:rPr>
          <w:rFonts w:ascii="Arial" w:hAnsi="Arial" w:eastAsiaTheme="majorEastAsia" w:cstheme="majorBidi"/>
          <w:b/>
          <w:caps/>
          <w:spacing w:val="120"/>
          <w:szCs w:val="56"/>
        </w:rPr>
        <w:t>ORDER</w:t>
      </w:r>
      <w:bookmarkEnd w:id="24"/>
    </w:p>
    <w:p w:rsidRPr="00F62F4E" w:rsidR="00F62F4E" w:rsidP="00F62F4E" w:rsidRDefault="00F62F4E" w14:paraId="2CEB6D55" w14:textId="77777777">
      <w:pPr>
        <w:keepNext/>
      </w:pPr>
      <w:r w:rsidRPr="00F62F4E">
        <w:rPr>
          <w:b/>
        </w:rPr>
        <w:t>IT IS ORDERED</w:t>
      </w:r>
      <w:r w:rsidRPr="00F62F4E">
        <w:t xml:space="preserve"> that:</w:t>
      </w:r>
    </w:p>
    <w:p w:rsidRPr="00F62F4E" w:rsidR="00F62F4E" w:rsidP="00491FFE" w:rsidRDefault="00F62F4E" w14:paraId="5ECE1B30" w14:textId="4931E564">
      <w:pPr>
        <w:pStyle w:val="OP"/>
      </w:pPr>
      <w:r w:rsidRPr="00F62F4E">
        <w:t xml:space="preserve">Pursuant to California Streets and Highways Code Section 2450 </w:t>
      </w:r>
      <w:r w:rsidRPr="00F62F4E">
        <w:rPr>
          <w:i/>
        </w:rPr>
        <w:t>et seq</w:t>
      </w:r>
      <w:r w:rsidRPr="00F62F4E">
        <w:t xml:space="preserve">., the Fiscal Year 2023-2024 Grade Separation Priority List attached as </w:t>
      </w:r>
      <w:r w:rsidR="00F5640C">
        <w:t>Appendix</w:t>
      </w:r>
      <w:r w:rsidRPr="00F62F4E">
        <w:t xml:space="preserve"> A to this decision, is adopted, as the list of projects, in order of priority, which the California Public Utilities Commission determines to be the most urgently in need of grade separation, alteration, or reconstruction.</w:t>
      </w:r>
    </w:p>
    <w:p w:rsidR="00F62F4E" w:rsidP="00491FFE" w:rsidRDefault="00F62F4E" w14:paraId="23F5DAF4" w14:textId="77777777">
      <w:pPr>
        <w:pStyle w:val="OP"/>
      </w:pPr>
      <w:r w:rsidRPr="00F62F4E">
        <w:t xml:space="preserve">The California Public Utilities Commission’s Executive Director must furnish an electronic copy of this decision to the California Department of Transportation and the California Transportation Commission no later than </w:t>
      </w:r>
      <w:r w:rsidRPr="00F62F4E">
        <w:br/>
        <w:t>July 1, 2023.</w:t>
      </w:r>
    </w:p>
    <w:p w:rsidR="00CE5551" w:rsidP="00CE5551" w:rsidRDefault="00CE5551" w14:paraId="7A1F6779" w14:textId="77777777">
      <w:pPr>
        <w:pStyle w:val="OP"/>
        <w:numPr>
          <w:ilvl w:val="0"/>
          <w:numId w:val="0"/>
        </w:numPr>
        <w:ind w:left="540"/>
      </w:pPr>
    </w:p>
    <w:p w:rsidR="00CE5551" w:rsidP="00CE5551" w:rsidRDefault="00CE5551" w14:paraId="71E32824" w14:textId="77777777">
      <w:pPr>
        <w:pStyle w:val="OP"/>
        <w:numPr>
          <w:ilvl w:val="0"/>
          <w:numId w:val="0"/>
        </w:numPr>
        <w:ind w:left="540"/>
      </w:pPr>
    </w:p>
    <w:p w:rsidR="00CE5551" w:rsidP="00CE5551" w:rsidRDefault="00CE5551" w14:paraId="1FB002A2" w14:textId="77777777">
      <w:pPr>
        <w:pStyle w:val="OP"/>
        <w:numPr>
          <w:ilvl w:val="0"/>
          <w:numId w:val="0"/>
        </w:numPr>
        <w:ind w:left="540"/>
      </w:pPr>
    </w:p>
    <w:p w:rsidR="00CE5551" w:rsidP="00CE5551" w:rsidRDefault="00CE5551" w14:paraId="46DF5A36" w14:textId="77777777">
      <w:pPr>
        <w:pStyle w:val="OP"/>
        <w:numPr>
          <w:ilvl w:val="0"/>
          <w:numId w:val="0"/>
        </w:numPr>
        <w:ind w:left="540"/>
      </w:pPr>
    </w:p>
    <w:p w:rsidR="00CE5551" w:rsidP="00CE5551" w:rsidRDefault="00CE5551" w14:paraId="3EA2ED6D" w14:textId="77777777">
      <w:pPr>
        <w:pStyle w:val="OP"/>
        <w:numPr>
          <w:ilvl w:val="0"/>
          <w:numId w:val="0"/>
        </w:numPr>
        <w:ind w:left="540"/>
      </w:pPr>
    </w:p>
    <w:p w:rsidR="00CE5551" w:rsidP="00CE5551" w:rsidRDefault="00CE5551" w14:paraId="12DBF63C" w14:textId="77777777">
      <w:pPr>
        <w:pStyle w:val="OP"/>
        <w:numPr>
          <w:ilvl w:val="0"/>
          <w:numId w:val="0"/>
        </w:numPr>
        <w:ind w:left="540"/>
      </w:pPr>
    </w:p>
    <w:p w:rsidRPr="00F62F4E" w:rsidR="00CE5551" w:rsidP="00CE5551" w:rsidRDefault="00CE5551" w14:paraId="663211E1" w14:textId="77777777">
      <w:pPr>
        <w:pStyle w:val="OP"/>
        <w:numPr>
          <w:ilvl w:val="0"/>
          <w:numId w:val="0"/>
        </w:numPr>
        <w:ind w:left="540"/>
      </w:pPr>
    </w:p>
    <w:p w:rsidRPr="00F62F4E" w:rsidR="00F62F4E" w:rsidP="00491FFE" w:rsidRDefault="00F62F4E" w14:paraId="29DD864D" w14:textId="77777777">
      <w:pPr>
        <w:pStyle w:val="OP"/>
      </w:pPr>
      <w:r w:rsidRPr="00F62F4E">
        <w:lastRenderedPageBreak/>
        <w:t xml:space="preserve">Investigation 21-06-018 is closed. </w:t>
      </w:r>
    </w:p>
    <w:p w:rsidRPr="00F62F4E" w:rsidR="00F62F4E" w:rsidP="00F62F4E" w:rsidRDefault="00F62F4E" w14:paraId="327612A3" w14:textId="77777777">
      <w:r w:rsidRPr="00F62F4E">
        <w:t>This order is effective today.</w:t>
      </w:r>
    </w:p>
    <w:p w:rsidR="00F62F4E" w:rsidP="00491FFE" w:rsidRDefault="00F62F4E" w14:paraId="50020015" w14:textId="0E4E862C">
      <w:pPr>
        <w:pStyle w:val="Dummy"/>
        <w:spacing w:after="0"/>
        <w:ind w:left="720"/>
        <w:rPr>
          <w:rFonts w:ascii="Book Antiqua" w:hAnsi="Book Antiqua" w:cstheme="minorBidi"/>
          <w:b w:val="0"/>
          <w:szCs w:val="22"/>
        </w:rPr>
      </w:pPr>
      <w:r w:rsidRPr="00F62F4E">
        <w:rPr>
          <w:rFonts w:ascii="Book Antiqua" w:hAnsi="Book Antiqua" w:cstheme="minorBidi"/>
          <w:b w:val="0"/>
          <w:szCs w:val="22"/>
        </w:rPr>
        <w:t>Dated</w:t>
      </w:r>
      <w:r w:rsidR="00CE5551">
        <w:rPr>
          <w:rFonts w:ascii="Book Antiqua" w:hAnsi="Book Antiqua" w:cstheme="minorBidi"/>
          <w:b w:val="0"/>
          <w:szCs w:val="22"/>
        </w:rPr>
        <w:t xml:space="preserve"> June 29, 2023</w:t>
      </w:r>
      <w:r w:rsidRPr="00F62F4E">
        <w:rPr>
          <w:rFonts w:ascii="Book Antiqua" w:hAnsi="Book Antiqua" w:cstheme="minorBidi"/>
          <w:b w:val="0"/>
          <w:szCs w:val="22"/>
        </w:rPr>
        <w:t>, at San Francisco, Califor</w:t>
      </w:r>
      <w:r>
        <w:rPr>
          <w:rFonts w:ascii="Book Antiqua" w:hAnsi="Book Antiqua" w:cstheme="minorBidi"/>
          <w:b w:val="0"/>
          <w:szCs w:val="22"/>
        </w:rPr>
        <w:t>nia.</w:t>
      </w:r>
    </w:p>
    <w:p w:rsidRPr="00CE5551" w:rsidR="00CE5551" w:rsidP="00CE5551" w:rsidRDefault="00CE5551" w14:paraId="68D20CBF" w14:textId="77777777"/>
    <w:p w:rsidRPr="00CE5551" w:rsidR="00CE5551" w:rsidP="00CE5551" w:rsidRDefault="00CE5551" w14:paraId="1A3BE177" w14:textId="77777777">
      <w:pPr>
        <w:autoSpaceDE w:val="0"/>
        <w:autoSpaceDN w:val="0"/>
        <w:adjustRightInd w:val="0"/>
        <w:spacing w:line="240" w:lineRule="auto"/>
        <w:ind w:left="4320" w:firstLine="0"/>
        <w:jc w:val="both"/>
        <w:rPr>
          <w:rFonts w:eastAsia="Times New Roman" w:cs="Times New Roman"/>
          <w:szCs w:val="20"/>
        </w:rPr>
      </w:pPr>
      <w:bookmarkStart w:name="_Hlk17215919" w:id="25"/>
      <w:r w:rsidRPr="00CE5551">
        <w:rPr>
          <w:rFonts w:eastAsia="Times New Roman" w:cs="Times New Roman"/>
          <w:szCs w:val="20"/>
        </w:rPr>
        <w:t>ALICE REYNOLDS</w:t>
      </w:r>
    </w:p>
    <w:p w:rsidRPr="00CE5551" w:rsidR="00CE5551" w:rsidP="00CE5551" w:rsidRDefault="00CE5551" w14:paraId="06454DA7" w14:textId="77777777">
      <w:pPr>
        <w:autoSpaceDE w:val="0"/>
        <w:autoSpaceDN w:val="0"/>
        <w:adjustRightInd w:val="0"/>
        <w:spacing w:line="240" w:lineRule="auto"/>
        <w:jc w:val="both"/>
        <w:rPr>
          <w:rFonts w:eastAsia="Times New Roman" w:cs="Times New Roman"/>
          <w:szCs w:val="20"/>
        </w:rPr>
      </w:pPr>
      <w:r w:rsidRPr="00CE5551">
        <w:rPr>
          <w:rFonts w:eastAsia="Times New Roman" w:cs="Times New Roman"/>
          <w:szCs w:val="20"/>
        </w:rPr>
        <w:tab/>
      </w:r>
      <w:r w:rsidRPr="00CE5551">
        <w:rPr>
          <w:rFonts w:eastAsia="Times New Roman" w:cs="Times New Roman"/>
          <w:szCs w:val="20"/>
        </w:rPr>
        <w:tab/>
      </w:r>
      <w:r w:rsidRPr="00CE5551">
        <w:rPr>
          <w:rFonts w:eastAsia="Times New Roman" w:cs="Times New Roman"/>
          <w:szCs w:val="20"/>
        </w:rPr>
        <w:tab/>
      </w:r>
      <w:r w:rsidRPr="00CE5551">
        <w:rPr>
          <w:rFonts w:eastAsia="Times New Roman" w:cs="Times New Roman"/>
          <w:szCs w:val="20"/>
        </w:rPr>
        <w:tab/>
      </w:r>
      <w:r w:rsidRPr="00CE5551">
        <w:rPr>
          <w:rFonts w:eastAsia="Times New Roman" w:cs="Times New Roman"/>
          <w:szCs w:val="20"/>
        </w:rPr>
        <w:tab/>
        <w:t xml:space="preserve">                       President</w:t>
      </w:r>
    </w:p>
    <w:p w:rsidRPr="00CE5551" w:rsidR="00CE5551" w:rsidP="00CE5551" w:rsidRDefault="00CE5551" w14:paraId="2BC0B4B8" w14:textId="77777777">
      <w:pPr>
        <w:autoSpaceDE w:val="0"/>
        <w:autoSpaceDN w:val="0"/>
        <w:adjustRightInd w:val="0"/>
        <w:spacing w:line="240" w:lineRule="auto"/>
        <w:ind w:left="4320" w:firstLine="0"/>
        <w:jc w:val="both"/>
        <w:rPr>
          <w:rFonts w:eastAsia="Times New Roman" w:cs="Times New Roman"/>
          <w:szCs w:val="20"/>
        </w:rPr>
      </w:pPr>
      <w:r w:rsidRPr="00CE5551">
        <w:rPr>
          <w:rFonts w:eastAsia="Times New Roman" w:cs="Times New Roman"/>
          <w:szCs w:val="20"/>
        </w:rPr>
        <w:t>GENEVIEVE SHIROMA</w:t>
      </w:r>
    </w:p>
    <w:p w:rsidRPr="00CE5551" w:rsidR="00CE5551" w:rsidP="00CE5551" w:rsidRDefault="00CE5551" w14:paraId="1AE1C166" w14:textId="77777777">
      <w:pPr>
        <w:autoSpaceDE w:val="0"/>
        <w:autoSpaceDN w:val="0"/>
        <w:adjustRightInd w:val="0"/>
        <w:spacing w:line="240" w:lineRule="auto"/>
        <w:ind w:left="3600"/>
        <w:jc w:val="both"/>
        <w:rPr>
          <w:rFonts w:eastAsia="Times New Roman" w:cs="Times New Roman"/>
          <w:szCs w:val="20"/>
        </w:rPr>
      </w:pPr>
      <w:r w:rsidRPr="00CE5551">
        <w:rPr>
          <w:rFonts w:eastAsia="Times New Roman" w:cs="Times New Roman"/>
          <w:szCs w:val="20"/>
        </w:rPr>
        <w:t>DARCIE L. HOUCK</w:t>
      </w:r>
    </w:p>
    <w:p w:rsidRPr="00CE5551" w:rsidR="00CE5551" w:rsidP="00CE5551" w:rsidRDefault="00CE5551" w14:paraId="61C535A0" w14:textId="77777777">
      <w:pPr>
        <w:autoSpaceDE w:val="0"/>
        <w:autoSpaceDN w:val="0"/>
        <w:adjustRightInd w:val="0"/>
        <w:spacing w:line="240" w:lineRule="auto"/>
        <w:ind w:left="3600"/>
        <w:jc w:val="both"/>
        <w:rPr>
          <w:rFonts w:eastAsia="Times New Roman" w:cs="Times New Roman"/>
          <w:szCs w:val="20"/>
        </w:rPr>
      </w:pPr>
      <w:r w:rsidRPr="00CE5551">
        <w:rPr>
          <w:rFonts w:eastAsia="Times New Roman" w:cs="Times New Roman"/>
          <w:szCs w:val="20"/>
        </w:rPr>
        <w:t>JOHN REYNOLDS</w:t>
      </w:r>
    </w:p>
    <w:p w:rsidRPr="00CE5551" w:rsidR="00CE5551" w:rsidP="00CE5551" w:rsidRDefault="00CE5551" w14:paraId="65A73794" w14:textId="77777777">
      <w:pPr>
        <w:autoSpaceDE w:val="0"/>
        <w:autoSpaceDN w:val="0"/>
        <w:adjustRightInd w:val="0"/>
        <w:spacing w:line="240" w:lineRule="auto"/>
        <w:ind w:left="3600"/>
        <w:jc w:val="both"/>
        <w:rPr>
          <w:rFonts w:eastAsia="Times New Roman" w:cs="Times New Roman"/>
          <w:szCs w:val="20"/>
        </w:rPr>
      </w:pPr>
      <w:r w:rsidRPr="00CE5551">
        <w:rPr>
          <w:rFonts w:eastAsia="Times New Roman" w:cs="Times New Roman"/>
          <w:szCs w:val="20"/>
        </w:rPr>
        <w:t>KAREN DOUGLAS</w:t>
      </w:r>
    </w:p>
    <w:p w:rsidRPr="00CE5551" w:rsidR="00CE5551" w:rsidP="00CE5551" w:rsidRDefault="00CE5551" w14:paraId="5B0C1DA7" w14:textId="77777777">
      <w:pPr>
        <w:autoSpaceDE w:val="0"/>
        <w:autoSpaceDN w:val="0"/>
        <w:adjustRightInd w:val="0"/>
        <w:spacing w:line="240" w:lineRule="auto"/>
        <w:ind w:left="4320"/>
        <w:jc w:val="both"/>
        <w:rPr>
          <w:rFonts w:eastAsia="Times New Roman" w:cs="Times New Roman"/>
          <w:szCs w:val="20"/>
        </w:rPr>
      </w:pPr>
      <w:r w:rsidRPr="00CE5551">
        <w:rPr>
          <w:rFonts w:eastAsia="Times New Roman" w:cs="Times New Roman"/>
          <w:szCs w:val="20"/>
        </w:rPr>
        <w:t xml:space="preserve">            Commissioners</w:t>
      </w:r>
    </w:p>
    <w:bookmarkEnd w:id="25"/>
    <w:p w:rsidRPr="00CE5551" w:rsidR="00CE5551" w:rsidP="00CE5551" w:rsidRDefault="00CE5551" w14:paraId="7664F5F0" w14:textId="77777777"/>
    <w:p w:rsidR="00F62F4E" w:rsidP="00860841" w:rsidRDefault="00F62F4E" w14:paraId="1974A620" w14:textId="77777777">
      <w:pPr>
        <w:pStyle w:val="Dummy"/>
        <w:spacing w:after="0"/>
        <w:jc w:val="center"/>
      </w:pPr>
    </w:p>
    <w:p w:rsidRPr="00905166" w:rsidR="009166C4" w:rsidP="00F62F4E" w:rsidRDefault="009166C4" w14:paraId="1C8DFD1A" w14:textId="3CD4E948">
      <w:pPr>
        <w:pStyle w:val="Standard"/>
        <w:ind w:firstLine="0"/>
      </w:pPr>
    </w:p>
    <w:sectPr w:rsidRPr="00905166" w:rsidR="009166C4" w:rsidSect="006F6525">
      <w:headerReference w:type="default" r:id="rId10"/>
      <w:footerReference w:type="default" r:id="rId11"/>
      <w:type w:val="continuous"/>
      <w:pgSz w:w="12240" w:h="15840"/>
      <w:pgMar w:top="1728" w:right="1440" w:bottom="1440" w:left="1440" w:header="720" w:footer="720" w:gutter="0"/>
      <w:cols w:space="720"/>
      <w:titlePg/>
      <w:docGrid w:linePitch="360"/>
    </w:sectPr>
    <w:p>
      <w:r>
        <w:t xml:space="preserve"/>
      </w:r>
    </w:p>
    <w:p>
      <w:r>
        <w:t xml:space="preserve">Attachment 1: </w:t>
      </w:r>
    </w:p>
    <w:p>
      <w:hyperlink w:history="true" r:id="R55f960020fa34e34">
        <w:r w:rsidRPr="00CB1292">
          <w:rPr>
            <w:rStyle w:val="Hyperlink"/>
            <w:color w:val="2E74B5" w:themeColor="accent1" w:themeShade="BF"/>
            <w:u w:val="single"/>
          </w:rPr>
          <w:t>I2106018-(D2306030) Appendix A PD FY 2023-2024 .docx</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3003" w14:textId="77777777" w:rsidR="0067731E" w:rsidRDefault="0067731E" w:rsidP="0098138E">
      <w:pPr>
        <w:spacing w:line="240" w:lineRule="auto"/>
      </w:pPr>
      <w:r>
        <w:separator/>
      </w:r>
    </w:p>
  </w:endnote>
  <w:endnote w:type="continuationSeparator" w:id="0">
    <w:p w14:paraId="40A147CE" w14:textId="77777777" w:rsidR="0067731E" w:rsidRDefault="0067731E"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E86E" w14:textId="50557C2F" w:rsidR="009166C4" w:rsidRDefault="00CE5551" w:rsidP="006F6525">
    <w:pPr>
      <w:tabs>
        <w:tab w:val="center" w:pos="4680"/>
      </w:tabs>
      <w:ind w:firstLine="0"/>
    </w:pPr>
    <w:r w:rsidRPr="00CE5551">
      <w:rPr>
        <w:rFonts w:cs="Arial"/>
        <w:sz w:val="16"/>
        <w:szCs w:val="16"/>
      </w:rPr>
      <w:t>512889549</w:t>
    </w:r>
    <w:r w:rsidR="009166C4">
      <w:rPr>
        <w:rFonts w:ascii="Arial" w:hAnsi="Arial" w:cs="Arial"/>
        <w:sz w:val="16"/>
        <w:szCs w:val="16"/>
      </w:rPr>
      <w:tab/>
    </w:r>
    <w:r w:rsidR="009166C4">
      <w:fldChar w:fldCharType="begin"/>
    </w:r>
    <w:r w:rsidR="009166C4">
      <w:instrText xml:space="preserve"> PAGE  \* ArabicDash  \* MERGEFORMAT </w:instrText>
    </w:r>
    <w:r w:rsidR="009166C4">
      <w:fldChar w:fldCharType="separate"/>
    </w:r>
    <w:r w:rsidR="009166C4">
      <w:rPr>
        <w:noProof/>
      </w:rPr>
      <w:t>- 2 -</w:t>
    </w:r>
    <w:r w:rsidR="009166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4ACF" w14:textId="77777777" w:rsidR="006F6525" w:rsidRDefault="006F6525" w:rsidP="006F6525">
    <w:pPr>
      <w:tabs>
        <w:tab w:val="center" w:pos="4680"/>
      </w:tabs>
      <w:ind w:firstLine="0"/>
      <w:jc w:val="center"/>
    </w:pPr>
    <w:r>
      <w:fldChar w:fldCharType="begin"/>
    </w:r>
    <w:r>
      <w:instrText xml:space="preserve"> PAGE  \* ArabicDash  \* MERGEFORMAT </w:instrText>
    </w:r>
    <w:r>
      <w:fldChar w:fldCharType="separate"/>
    </w:r>
    <w:r>
      <w:rPr>
        <w:noProof/>
      </w:rPr>
      <w:t>- 2 -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CC28" w14:textId="77777777" w:rsidR="0067731E" w:rsidRDefault="0067731E" w:rsidP="00DF58E7">
      <w:pPr>
        <w:spacing w:line="240" w:lineRule="auto"/>
        <w:ind w:firstLine="0"/>
      </w:pPr>
      <w:r>
        <w:separator/>
      </w:r>
    </w:p>
  </w:footnote>
  <w:footnote w:type="continuationSeparator" w:id="0">
    <w:p w14:paraId="32395D1F" w14:textId="77777777" w:rsidR="0067731E" w:rsidRDefault="0067731E" w:rsidP="00DF58E7">
      <w:pPr>
        <w:spacing w:line="240" w:lineRule="auto"/>
        <w:ind w:firstLine="0"/>
      </w:pPr>
      <w:r>
        <w:continuationSeparator/>
      </w:r>
    </w:p>
  </w:footnote>
  <w:footnote w:type="continuationNotice" w:id="1">
    <w:p w14:paraId="32F93623" w14:textId="77777777" w:rsidR="0067731E" w:rsidRPr="00DF58E7" w:rsidRDefault="0067731E" w:rsidP="00DF58E7">
      <w:pPr>
        <w:spacing w:line="240" w:lineRule="auto"/>
        <w:ind w:firstLine="0"/>
        <w:jc w:val="right"/>
        <w:rPr>
          <w:i/>
          <w:sz w:val="22"/>
        </w:rPr>
      </w:pPr>
      <w:r w:rsidRPr="00DF58E7">
        <w:rPr>
          <w:i/>
          <w:sz w:val="22"/>
        </w:rPr>
        <w:t>Footnote continued on next page.</w:t>
      </w:r>
    </w:p>
  </w:footnote>
  <w:footnote w:id="2">
    <w:p w14:paraId="231D86E5" w14:textId="77777777" w:rsidR="00F62F4E" w:rsidRPr="001163B3" w:rsidRDefault="00F62F4E" w:rsidP="00F62F4E">
      <w:pPr>
        <w:pStyle w:val="FootnoteText"/>
        <w:rPr>
          <w:szCs w:val="22"/>
        </w:rPr>
      </w:pPr>
      <w:r w:rsidRPr="001163B3">
        <w:rPr>
          <w:rStyle w:val="FootnoteReference"/>
          <w:szCs w:val="22"/>
        </w:rPr>
        <w:footnoteRef/>
      </w:r>
      <w:r w:rsidRPr="001163B3">
        <w:rPr>
          <w:szCs w:val="22"/>
        </w:rPr>
        <w:t xml:space="preserve">  </w:t>
      </w:r>
      <w:r w:rsidRPr="00E714EF">
        <w:rPr>
          <w:szCs w:val="22"/>
        </w:rPr>
        <w:t>S&amp;H</w:t>
      </w:r>
      <w:r w:rsidRPr="001163B3">
        <w:rPr>
          <w:szCs w:val="22"/>
        </w:rPr>
        <w:t xml:space="preserve"> Code § 2450 </w:t>
      </w:r>
      <w:r w:rsidRPr="001163B3">
        <w:rPr>
          <w:i/>
          <w:szCs w:val="22"/>
        </w:rPr>
        <w:t>et seq</w:t>
      </w:r>
      <w:r w:rsidRPr="001163B3">
        <w:rPr>
          <w:szCs w:val="22"/>
        </w:rPr>
        <w:t>.</w:t>
      </w:r>
    </w:p>
  </w:footnote>
  <w:footnote w:id="3">
    <w:p w14:paraId="3ECCCA92" w14:textId="77777777" w:rsidR="00F62F4E" w:rsidRPr="001163B3" w:rsidRDefault="00F62F4E" w:rsidP="00F62F4E">
      <w:pPr>
        <w:pStyle w:val="FootnoteText"/>
        <w:rPr>
          <w:szCs w:val="22"/>
        </w:rPr>
      </w:pPr>
      <w:r w:rsidRPr="001163B3">
        <w:rPr>
          <w:rStyle w:val="FootnoteReference"/>
          <w:szCs w:val="22"/>
        </w:rPr>
        <w:footnoteRef/>
      </w:r>
      <w:r w:rsidRPr="001163B3">
        <w:rPr>
          <w:szCs w:val="22"/>
        </w:rPr>
        <w:t xml:space="preserve">  S&amp;H Code § 2453.</w:t>
      </w:r>
    </w:p>
  </w:footnote>
  <w:footnote w:id="4">
    <w:p w14:paraId="39D19D76" w14:textId="5CA1A97B" w:rsidR="009168BA" w:rsidRDefault="009168BA">
      <w:pPr>
        <w:pStyle w:val="FootnoteText"/>
      </w:pPr>
      <w:r>
        <w:rPr>
          <w:rStyle w:val="FootnoteReference"/>
        </w:rPr>
        <w:footnoteRef/>
      </w:r>
      <w:r>
        <w:t xml:space="preserve"> The funding for the two projects in this table are pending Governor budget adoption.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68F4" w14:textId="61BD5E89" w:rsidR="00250DB7" w:rsidRDefault="00250DB7" w:rsidP="006F6525">
    <w:pPr>
      <w:pStyle w:val="Header"/>
      <w:tabs>
        <w:tab w:val="clear" w:pos="4680"/>
      </w:tabs>
      <w:ind w:firstLine="0"/>
      <w:rPr>
        <w:i/>
        <w:color w:val="FF0000"/>
      </w:rPr>
    </w:pPr>
  </w:p>
  <w:p w14:paraId="38E09E63" w14:textId="77777777" w:rsidR="00250DB7" w:rsidRPr="00B3087D" w:rsidRDefault="00250DB7" w:rsidP="006F6525">
    <w:pPr>
      <w:pStyle w:val="Header"/>
      <w:tabs>
        <w:tab w:val="clear" w:pos="4680"/>
      </w:tabs>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90E1" w14:textId="70A4BC8A" w:rsidR="00C20388" w:rsidRDefault="00E714EF" w:rsidP="00C20388">
    <w:pPr>
      <w:pStyle w:val="Header"/>
      <w:tabs>
        <w:tab w:val="clear" w:pos="4680"/>
      </w:tabs>
      <w:ind w:firstLine="0"/>
      <w:rPr>
        <w:b/>
      </w:rPr>
    </w:pPr>
    <w:r>
      <w:t>I.21-06-018</w:t>
    </w:r>
    <w:r w:rsidR="009166C4">
      <w:t xml:space="preserve">  </w:t>
    </w:r>
    <w:r w:rsidR="00D2447C">
      <w:t>COM</w:t>
    </w:r>
    <w:r w:rsidR="009166C4">
      <w:t>/</w:t>
    </w:r>
    <w:r w:rsidR="00D2447C">
      <w:t>GSH</w:t>
    </w:r>
    <w:r w:rsidR="009166C4">
      <w:t>/smt</w:t>
    </w:r>
    <w:r w:rsidR="009166C4">
      <w:tab/>
    </w:r>
  </w:p>
  <w:p w14:paraId="42DDCFDB" w14:textId="527BDFAC" w:rsidR="00250DB7" w:rsidRDefault="00250DB7" w:rsidP="006F6525">
    <w:pPr>
      <w:pStyle w:val="Header"/>
      <w:tabs>
        <w:tab w:val="clear" w:pos="4680"/>
      </w:tabs>
      <w:ind w:firstLine="0"/>
      <w:rPr>
        <w:i/>
        <w:color w:val="FF0000"/>
      </w:rPr>
    </w:pPr>
  </w:p>
  <w:p w14:paraId="75409E86" w14:textId="77777777" w:rsidR="00250DB7" w:rsidRPr="00B3087D" w:rsidRDefault="00250DB7" w:rsidP="006F6525">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D70038F"/>
    <w:multiLevelType w:val="multilevel"/>
    <w:tmpl w:val="ECB8CCE8"/>
    <w:numStyleLink w:val="Headings"/>
  </w:abstractNum>
  <w:abstractNum w:abstractNumId="4" w15:restartNumberingAfterBreak="0">
    <w:nsid w:val="1E2242C9"/>
    <w:multiLevelType w:val="multilevel"/>
    <w:tmpl w:val="ECB8CCE8"/>
    <w:numStyleLink w:val="Headings"/>
  </w:abstractNum>
  <w:abstractNum w:abstractNumId="5"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59D042D7"/>
    <w:multiLevelType w:val="multilevel"/>
    <w:tmpl w:val="18F4A5AC"/>
    <w:numStyleLink w:val="FoFCoLOP"/>
  </w:abstractNum>
  <w:abstractNum w:abstractNumId="7"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9A0AFE"/>
    <w:multiLevelType w:val="multilevel"/>
    <w:tmpl w:val="18F4A5AC"/>
    <w:numStyleLink w:val="FoFCoLOP"/>
  </w:abstractNum>
  <w:num w:numId="1" w16cid:durableId="538707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871722">
    <w:abstractNumId w:val="1"/>
  </w:num>
  <w:num w:numId="3" w16cid:durableId="2073580993">
    <w:abstractNumId w:val="6"/>
  </w:num>
  <w:num w:numId="4" w16cid:durableId="709575410">
    <w:abstractNumId w:val="2"/>
  </w:num>
  <w:num w:numId="5" w16cid:durableId="1814523354">
    <w:abstractNumId w:val="10"/>
  </w:num>
  <w:num w:numId="6" w16cid:durableId="479424398">
    <w:abstractNumId w:val="5"/>
  </w:num>
  <w:num w:numId="7" w16cid:durableId="242105782">
    <w:abstractNumId w:val="4"/>
  </w:num>
  <w:num w:numId="8" w16cid:durableId="1535386876">
    <w:abstractNumId w:val="9"/>
  </w:num>
  <w:num w:numId="9" w16cid:durableId="2064789307">
    <w:abstractNumId w:val="0"/>
  </w:num>
  <w:num w:numId="10" w16cid:durableId="1100104955">
    <w:abstractNumId w:val="5"/>
  </w:num>
  <w:num w:numId="11" w16cid:durableId="174199541">
    <w:abstractNumId w:val="7"/>
  </w:num>
  <w:num w:numId="12" w16cid:durableId="1153907943">
    <w:abstractNumId w:val="8"/>
  </w:num>
  <w:num w:numId="13" w16cid:durableId="11092025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AF"/>
    <w:rsid w:val="00000F6A"/>
    <w:rsid w:val="000559C4"/>
    <w:rsid w:val="0007115A"/>
    <w:rsid w:val="000973C8"/>
    <w:rsid w:val="000A2AA9"/>
    <w:rsid w:val="000A56F2"/>
    <w:rsid w:val="000A6E05"/>
    <w:rsid w:val="000B12FA"/>
    <w:rsid w:val="000C08BF"/>
    <w:rsid w:val="000C3B9A"/>
    <w:rsid w:val="000C429E"/>
    <w:rsid w:val="000D25A8"/>
    <w:rsid w:val="000E4C53"/>
    <w:rsid w:val="00115264"/>
    <w:rsid w:val="00121089"/>
    <w:rsid w:val="001B0F96"/>
    <w:rsid w:val="001C363F"/>
    <w:rsid w:val="001C7AD2"/>
    <w:rsid w:val="001E2A62"/>
    <w:rsid w:val="001F2819"/>
    <w:rsid w:val="002043EC"/>
    <w:rsid w:val="002051A2"/>
    <w:rsid w:val="00216541"/>
    <w:rsid w:val="00233CAA"/>
    <w:rsid w:val="00243DC0"/>
    <w:rsid w:val="00247477"/>
    <w:rsid w:val="00250DB7"/>
    <w:rsid w:val="00253FC2"/>
    <w:rsid w:val="00270440"/>
    <w:rsid w:val="00280729"/>
    <w:rsid w:val="00293DEE"/>
    <w:rsid w:val="002A0B5D"/>
    <w:rsid w:val="002C7FE9"/>
    <w:rsid w:val="002D3B28"/>
    <w:rsid w:val="002D4EFD"/>
    <w:rsid w:val="002E6143"/>
    <w:rsid w:val="00316071"/>
    <w:rsid w:val="00343E5C"/>
    <w:rsid w:val="0036017B"/>
    <w:rsid w:val="00362755"/>
    <w:rsid w:val="00373B93"/>
    <w:rsid w:val="003834C9"/>
    <w:rsid w:val="003A38F0"/>
    <w:rsid w:val="003F4329"/>
    <w:rsid w:val="00400B5D"/>
    <w:rsid w:val="00412534"/>
    <w:rsid w:val="00412C83"/>
    <w:rsid w:val="00426014"/>
    <w:rsid w:val="00460B7D"/>
    <w:rsid w:val="00467986"/>
    <w:rsid w:val="00480CB0"/>
    <w:rsid w:val="00491FFE"/>
    <w:rsid w:val="00494819"/>
    <w:rsid w:val="004957B6"/>
    <w:rsid w:val="004B34EA"/>
    <w:rsid w:val="004B5494"/>
    <w:rsid w:val="004C7D3A"/>
    <w:rsid w:val="004E0A09"/>
    <w:rsid w:val="004F328A"/>
    <w:rsid w:val="005018A8"/>
    <w:rsid w:val="00505A39"/>
    <w:rsid w:val="005240BF"/>
    <w:rsid w:val="0052468F"/>
    <w:rsid w:val="00585390"/>
    <w:rsid w:val="00591B23"/>
    <w:rsid w:val="005939A5"/>
    <w:rsid w:val="005A148C"/>
    <w:rsid w:val="005D7A43"/>
    <w:rsid w:val="005F7BAA"/>
    <w:rsid w:val="00624500"/>
    <w:rsid w:val="00632207"/>
    <w:rsid w:val="0063491C"/>
    <w:rsid w:val="00676032"/>
    <w:rsid w:val="0067731E"/>
    <w:rsid w:val="00677F68"/>
    <w:rsid w:val="006A28A5"/>
    <w:rsid w:val="006B0354"/>
    <w:rsid w:val="006D658D"/>
    <w:rsid w:val="006E5E28"/>
    <w:rsid w:val="006E6574"/>
    <w:rsid w:val="006F6525"/>
    <w:rsid w:val="00714CF2"/>
    <w:rsid w:val="007156B9"/>
    <w:rsid w:val="00720817"/>
    <w:rsid w:val="00722850"/>
    <w:rsid w:val="0073353F"/>
    <w:rsid w:val="00742E45"/>
    <w:rsid w:val="007447AF"/>
    <w:rsid w:val="00750816"/>
    <w:rsid w:val="00762534"/>
    <w:rsid w:val="007657C1"/>
    <w:rsid w:val="007A406D"/>
    <w:rsid w:val="007A62B0"/>
    <w:rsid w:val="007B3D3B"/>
    <w:rsid w:val="007C5A0C"/>
    <w:rsid w:val="007E0FEE"/>
    <w:rsid w:val="007F2017"/>
    <w:rsid w:val="008339BB"/>
    <w:rsid w:val="00836FEB"/>
    <w:rsid w:val="00860841"/>
    <w:rsid w:val="0086419A"/>
    <w:rsid w:val="0087023B"/>
    <w:rsid w:val="00882245"/>
    <w:rsid w:val="008A179F"/>
    <w:rsid w:val="008B0864"/>
    <w:rsid w:val="008C7413"/>
    <w:rsid w:val="008D16B7"/>
    <w:rsid w:val="008E6AE6"/>
    <w:rsid w:val="008F0116"/>
    <w:rsid w:val="008F143D"/>
    <w:rsid w:val="008F72BC"/>
    <w:rsid w:val="009166C4"/>
    <w:rsid w:val="009168BA"/>
    <w:rsid w:val="00932865"/>
    <w:rsid w:val="00947BC6"/>
    <w:rsid w:val="009570AF"/>
    <w:rsid w:val="00973B9C"/>
    <w:rsid w:val="00975FA0"/>
    <w:rsid w:val="0098138E"/>
    <w:rsid w:val="0098655A"/>
    <w:rsid w:val="009A57F5"/>
    <w:rsid w:val="009B6C3E"/>
    <w:rsid w:val="009E7C7F"/>
    <w:rsid w:val="00A17CE0"/>
    <w:rsid w:val="00A42306"/>
    <w:rsid w:val="00A55ACD"/>
    <w:rsid w:val="00B01F7E"/>
    <w:rsid w:val="00B143CC"/>
    <w:rsid w:val="00B3087D"/>
    <w:rsid w:val="00B34794"/>
    <w:rsid w:val="00B60421"/>
    <w:rsid w:val="00BB0243"/>
    <w:rsid w:val="00BC177C"/>
    <w:rsid w:val="00BE4DBF"/>
    <w:rsid w:val="00C008D4"/>
    <w:rsid w:val="00C10B5F"/>
    <w:rsid w:val="00C20388"/>
    <w:rsid w:val="00C23FD7"/>
    <w:rsid w:val="00C56C00"/>
    <w:rsid w:val="00C913A1"/>
    <w:rsid w:val="00CC6A99"/>
    <w:rsid w:val="00CE5551"/>
    <w:rsid w:val="00D00AA3"/>
    <w:rsid w:val="00D07F73"/>
    <w:rsid w:val="00D160A3"/>
    <w:rsid w:val="00D2041C"/>
    <w:rsid w:val="00D2447C"/>
    <w:rsid w:val="00D25ADE"/>
    <w:rsid w:val="00D43297"/>
    <w:rsid w:val="00D44DB6"/>
    <w:rsid w:val="00D50119"/>
    <w:rsid w:val="00D82A43"/>
    <w:rsid w:val="00DA7B5D"/>
    <w:rsid w:val="00DF58E7"/>
    <w:rsid w:val="00E11876"/>
    <w:rsid w:val="00E23CBB"/>
    <w:rsid w:val="00E37B59"/>
    <w:rsid w:val="00E637FE"/>
    <w:rsid w:val="00E714EF"/>
    <w:rsid w:val="00EA36C6"/>
    <w:rsid w:val="00ED5725"/>
    <w:rsid w:val="00ED7031"/>
    <w:rsid w:val="00EE2626"/>
    <w:rsid w:val="00EE3060"/>
    <w:rsid w:val="00EE4315"/>
    <w:rsid w:val="00F26ED3"/>
    <w:rsid w:val="00F43F51"/>
    <w:rsid w:val="00F5640C"/>
    <w:rsid w:val="00F62B7A"/>
    <w:rsid w:val="00F62F4E"/>
    <w:rsid w:val="00F6397D"/>
    <w:rsid w:val="00F7293E"/>
    <w:rsid w:val="00F76650"/>
    <w:rsid w:val="00F9187B"/>
    <w:rsid w:val="00F92385"/>
    <w:rsid w:val="00FA1B4F"/>
    <w:rsid w:val="00FC47F9"/>
    <w:rsid w:val="00FE5580"/>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1490"/>
  <w15:chartTrackingRefBased/>
  <w15:docId w15:val="{DB463E45-9984-4DD4-8A96-6E2AD0773A0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qFormat/>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
    <w:basedOn w:val="DefaultParagraphFont"/>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paragraph" w:customStyle="1" w:styleId="ListNum">
    <w:name w:val="List Num"/>
    <w:basedOn w:val="Normal"/>
    <w:uiPriority w:val="4"/>
    <w:rsid w:val="006B0354"/>
    <w:pPr>
      <w:tabs>
        <w:tab w:val="num" w:pos="1080"/>
      </w:tabs>
      <w:spacing w:after="120" w:line="240" w:lineRule="auto"/>
      <w:ind w:left="1080" w:right="1440" w:hanging="360"/>
    </w:pPr>
    <w:rPr>
      <w:szCs w:val="26"/>
    </w:rPr>
  </w:style>
  <w:style w:type="numbering" w:customStyle="1" w:styleId="Headings1">
    <w:name w:val="Headings1"/>
    <w:uiPriority w:val="99"/>
    <w:rsid w:val="00F62F4E"/>
  </w:style>
  <w:style w:type="character" w:styleId="CommentReference">
    <w:name w:val="annotation reference"/>
    <w:basedOn w:val="DefaultParagraphFont"/>
    <w:uiPriority w:val="99"/>
    <w:semiHidden/>
    <w:unhideWhenUsed/>
    <w:rsid w:val="00F62F4E"/>
    <w:rPr>
      <w:sz w:val="16"/>
      <w:szCs w:val="16"/>
    </w:rPr>
  </w:style>
  <w:style w:type="paragraph" w:styleId="CommentText">
    <w:name w:val="annotation text"/>
    <w:basedOn w:val="Normal"/>
    <w:link w:val="CommentTextChar"/>
    <w:uiPriority w:val="99"/>
    <w:unhideWhenUsed/>
    <w:rsid w:val="00F62F4E"/>
    <w:pPr>
      <w:spacing w:line="240" w:lineRule="auto"/>
    </w:pPr>
    <w:rPr>
      <w:sz w:val="20"/>
      <w:szCs w:val="20"/>
    </w:rPr>
  </w:style>
  <w:style w:type="character" w:customStyle="1" w:styleId="CommentTextChar">
    <w:name w:val="Comment Text Char"/>
    <w:basedOn w:val="DefaultParagraphFont"/>
    <w:link w:val="CommentText"/>
    <w:uiPriority w:val="99"/>
    <w:rsid w:val="00F62F4E"/>
    <w:rPr>
      <w:rFonts w:ascii="Book Antiqua" w:hAnsi="Book Antiqua"/>
      <w:sz w:val="20"/>
      <w:szCs w:val="20"/>
    </w:rPr>
  </w:style>
  <w:style w:type="paragraph" w:styleId="Revision">
    <w:name w:val="Revision"/>
    <w:hidden/>
    <w:uiPriority w:val="99"/>
    <w:semiHidden/>
    <w:rsid w:val="00677F68"/>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docs.cpuc.ca.gov/PublishedDocs/Published/G000/M513/K418/513418955.docx" TargetMode="External" Id="R55f960020fa34e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1531</ap:Words>
  <ap:Characters>8727</ap:Characters>
  <ap:Application>Microsoft Office Word</ap:Application>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10238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2019-06-27T19:57:00Z</cp:lastPrinted>
  <dcterms:created xsi:type="dcterms:W3CDTF">2023-07-07T13:56:38Z</dcterms:created>
  <dcterms:modified xsi:type="dcterms:W3CDTF">2023-07-07T13:56:38Z</dcterms:modified>
</cp:coreProperties>
</file>