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6DFA" w:rsidR="00CC57A7" w:rsidP="00CC57A7" w:rsidRDefault="00CC57A7" w14:paraId="4A3C5927" w14:textId="77777777">
      <w:pPr>
        <w:pBdr>
          <w:bottom w:val="double" w:color="auto" w:sz="6" w:space="1"/>
        </w:pBdr>
        <w:tabs>
          <w:tab w:val="right" w:pos="9630"/>
          <w:tab w:val="left" w:pos="9720"/>
        </w:tabs>
        <w:rPr>
          <w:rFonts w:ascii="Arial" w:hAnsi="Arial"/>
          <w:i/>
        </w:rPr>
      </w:pPr>
      <w:r w:rsidRPr="00616DFA">
        <w:rPr>
          <w:rFonts w:ascii="Arial" w:hAnsi="Arial"/>
          <w:sz w:val="16"/>
        </w:rPr>
        <w:t>STATE OF CALIFORNIA</w:t>
      </w:r>
      <w:r w:rsidRPr="00616DFA">
        <w:rPr>
          <w:rFonts w:ascii="Arial" w:hAnsi="Arial"/>
        </w:rPr>
        <w:tab/>
      </w:r>
      <w:r w:rsidRPr="00616DFA">
        <w:rPr>
          <w:rFonts w:ascii="Arial" w:hAnsi="Arial"/>
          <w:sz w:val="16"/>
          <w:szCs w:val="16"/>
        </w:rPr>
        <w:t>GAVIN NEWSOM.,</w:t>
      </w:r>
      <w:r w:rsidRPr="00616DFA">
        <w:rPr>
          <w:rFonts w:ascii="Arial" w:hAnsi="Arial"/>
        </w:rPr>
        <w:t xml:space="preserve"> </w:t>
      </w:r>
      <w:r w:rsidRPr="00616DFA">
        <w:rPr>
          <w:rFonts w:ascii="Arial" w:hAnsi="Arial"/>
          <w:i/>
          <w:sz w:val="16"/>
        </w:rPr>
        <w:t>Governor</w:t>
      </w:r>
    </w:p>
    <w:p w:rsidRPr="00616DFA" w:rsidR="00CC57A7" w:rsidP="00CC57A7" w:rsidRDefault="00CC57A7" w14:paraId="08350729" w14:textId="77777777">
      <w:pPr>
        <w:tabs>
          <w:tab w:val="right" w:pos="11070"/>
        </w:tabs>
        <w:rPr>
          <w:rFonts w:ascii="Arial" w:hAnsi="Arial"/>
        </w:rPr>
      </w:pPr>
      <w:r w:rsidRPr="00616DFA">
        <w:rPr>
          <w:rFonts w:ascii="Arial" w:hAnsi="Arial"/>
        </w:rPr>
        <w:t>PUBLIC UTILITIES COMMISSION</w:t>
      </w:r>
    </w:p>
    <w:p w:rsidRPr="00616DFA" w:rsidR="00CC57A7" w:rsidP="00CC57A7" w:rsidRDefault="00CC57A7" w14:paraId="75606923" w14:textId="77777777">
      <w:pPr>
        <w:tabs>
          <w:tab w:val="right" w:pos="11070"/>
        </w:tabs>
        <w:rPr>
          <w:rFonts w:ascii="Arial" w:hAnsi="Arial"/>
          <w:sz w:val="12"/>
        </w:rPr>
      </w:pPr>
      <w:r w:rsidRPr="00616DFA">
        <w:rPr>
          <w:rFonts w:ascii="Arial" w:hAnsi="Arial"/>
          <w:sz w:val="12"/>
        </w:rPr>
        <w:t>505 VAN NESS AVENUE</w:t>
      </w:r>
    </w:p>
    <w:p w:rsidRPr="00616DFA" w:rsidR="00CC57A7" w:rsidP="00CC57A7" w:rsidRDefault="00CC57A7" w14:paraId="0EAE5B3B" w14:textId="77777777">
      <w:pPr>
        <w:tabs>
          <w:tab w:val="right" w:pos="11070"/>
        </w:tabs>
        <w:rPr>
          <w:rFonts w:ascii="Arial" w:hAnsi="Arial"/>
          <w:sz w:val="12"/>
        </w:rPr>
      </w:pPr>
      <w:r w:rsidRPr="00616DFA">
        <w:rPr>
          <w:rFonts w:ascii="Arial" w:hAnsi="Arial"/>
          <w:sz w:val="12"/>
        </w:rPr>
        <w:t>SAN FRANCISCO, CA 94102-3298</w:t>
      </w:r>
    </w:p>
    <w:p w:rsidRPr="00B87E34" w:rsidR="00CC57A7" w:rsidP="00CC57A7" w:rsidRDefault="00CC57A7" w14:paraId="51EE8F1E" w14:textId="77777777">
      <w:pPr>
        <w:ind w:right="90"/>
        <w:jc w:val="both"/>
      </w:pPr>
    </w:p>
    <w:p w:rsidRPr="00B87E34" w:rsidR="00CC57A7" w:rsidP="00CC57A7" w:rsidRDefault="00CC57A7" w14:paraId="47F563F0" w14:textId="77777777">
      <w:pPr>
        <w:ind w:right="90"/>
      </w:pPr>
    </w:p>
    <w:p w:rsidRPr="00B87E34" w:rsidR="00CC57A7" w:rsidP="00CC57A7" w:rsidRDefault="002F721B" w14:paraId="2C07D990" w14:textId="01AE553B">
      <w:pPr>
        <w:tabs>
          <w:tab w:val="right" w:pos="9360"/>
        </w:tabs>
        <w:rPr>
          <w:b/>
        </w:rPr>
      </w:pPr>
      <w:r>
        <w:t>September 27</w:t>
      </w:r>
      <w:r w:rsidRPr="00B87E34" w:rsidR="00CC57A7">
        <w:t xml:space="preserve">, 2023 </w:t>
      </w:r>
      <w:r w:rsidRPr="00B87E34" w:rsidR="00CC57A7">
        <w:tab/>
      </w:r>
      <w:r w:rsidRPr="00B87E34" w:rsidR="00CC57A7">
        <w:rPr>
          <w:b/>
        </w:rPr>
        <w:t>Agenda ID #</w:t>
      </w:r>
      <w:r w:rsidRPr="00833FF8" w:rsidR="00833FF8">
        <w:rPr>
          <w:b/>
        </w:rPr>
        <w:t>21864</w:t>
      </w:r>
    </w:p>
    <w:p w:rsidRPr="00B87E34" w:rsidR="00CC57A7" w:rsidP="00CC57A7" w:rsidRDefault="00CC57A7" w14:paraId="443227F4" w14:textId="77777777"/>
    <w:p w:rsidRPr="00B87E34" w:rsidR="00CC57A7" w:rsidP="00CC57A7" w:rsidRDefault="00CC57A7" w14:paraId="53338FC9" w14:textId="77777777"/>
    <w:p w:rsidRPr="00495885" w:rsidR="00CC57A7" w:rsidP="00CC57A7" w:rsidRDefault="00CC57A7" w14:paraId="7C1FEB2E" w14:textId="3451F079">
      <w:pPr>
        <w:spacing w:after="240"/>
        <w:rPr>
          <w:szCs w:val="24"/>
          <w:u w:val="single"/>
        </w:rPr>
      </w:pPr>
      <w:r w:rsidRPr="00495885">
        <w:rPr>
          <w:szCs w:val="24"/>
        </w:rPr>
        <w:t>TO PARTIES OF RECORD IN DRAFT RESOLUTION ALJ-</w:t>
      </w:r>
      <w:r w:rsidR="000F42D5">
        <w:rPr>
          <w:szCs w:val="24"/>
        </w:rPr>
        <w:t>446</w:t>
      </w:r>
      <w:r w:rsidRPr="00495885">
        <w:rPr>
          <w:szCs w:val="24"/>
        </w:rPr>
        <w:t>:</w:t>
      </w:r>
    </w:p>
    <w:p w:rsidRPr="00495885" w:rsidR="00CC57A7" w:rsidP="00CC57A7" w:rsidRDefault="00CC57A7" w14:paraId="6F8E49C1" w14:textId="3BF0E2CE">
      <w:pPr>
        <w:spacing w:after="240"/>
        <w:rPr>
          <w:szCs w:val="24"/>
        </w:rPr>
      </w:pPr>
      <w:r w:rsidRPr="00495885">
        <w:rPr>
          <w:szCs w:val="24"/>
        </w:rPr>
        <w:t>This is the draft Resolution of Administrative Law Judge</w:t>
      </w:r>
      <w:r>
        <w:rPr>
          <w:szCs w:val="24"/>
        </w:rPr>
        <w:t xml:space="preserve"> (ALJ)</w:t>
      </w:r>
      <w:r w:rsidR="000F42D5">
        <w:rPr>
          <w:szCs w:val="24"/>
        </w:rPr>
        <w:t xml:space="preserve"> Alberto Rosas </w:t>
      </w:r>
      <w:r w:rsidRPr="00495885">
        <w:rPr>
          <w:szCs w:val="24"/>
        </w:rPr>
        <w:t xml:space="preserve">Resolving </w:t>
      </w:r>
      <w:r w:rsidRPr="000F42D5" w:rsidR="000F42D5">
        <w:rPr>
          <w:szCs w:val="24"/>
        </w:rPr>
        <w:t>K</w:t>
      </w:r>
      <w:r w:rsidR="000F42D5">
        <w:rPr>
          <w:szCs w:val="24"/>
        </w:rPr>
        <w:t>.</w:t>
      </w:r>
      <w:r w:rsidRPr="000F42D5" w:rsidR="000F42D5">
        <w:rPr>
          <w:szCs w:val="24"/>
        </w:rPr>
        <w:t>21</w:t>
      </w:r>
      <w:r w:rsidR="000F42D5">
        <w:rPr>
          <w:szCs w:val="24"/>
        </w:rPr>
        <w:t>-</w:t>
      </w:r>
      <w:r w:rsidRPr="000F42D5" w:rsidR="000F42D5">
        <w:rPr>
          <w:szCs w:val="24"/>
        </w:rPr>
        <w:t>04</w:t>
      </w:r>
      <w:r w:rsidR="000F42D5">
        <w:rPr>
          <w:szCs w:val="24"/>
        </w:rPr>
        <w:t>-</w:t>
      </w:r>
      <w:r w:rsidRPr="000F42D5" w:rsidR="000F42D5">
        <w:rPr>
          <w:szCs w:val="24"/>
        </w:rPr>
        <w:t>002</w:t>
      </w:r>
      <w:r w:rsidRPr="00495885">
        <w:rPr>
          <w:szCs w:val="24"/>
        </w:rPr>
        <w:t xml:space="preserve">. </w:t>
      </w:r>
      <w:r>
        <w:rPr>
          <w:szCs w:val="24"/>
        </w:rPr>
        <w:t xml:space="preserve"> </w:t>
      </w:r>
      <w:r w:rsidRPr="00495885">
        <w:rPr>
          <w:szCs w:val="24"/>
        </w:rPr>
        <w:t>It will not appear on the Commission’s agenda sooner than 30 days from the date it is mailed.  The Commission may act then, or it may postpone action until later.</w:t>
      </w:r>
    </w:p>
    <w:p w:rsidRPr="00495885" w:rsidR="00CC57A7" w:rsidP="00CC57A7" w:rsidRDefault="00CC57A7" w14:paraId="40B06FAB" w14:textId="77777777">
      <w:pPr>
        <w:spacing w:after="240"/>
        <w:rPr>
          <w:szCs w:val="24"/>
        </w:rPr>
      </w:pPr>
      <w:r w:rsidRPr="00495885">
        <w:rPr>
          <w:szCs w:val="24"/>
        </w:rPr>
        <w:t>When the Commission acts on the draft resolution, it may adopt all or part of it as written, amend or modify it, or set it aside and prepare its own order.  Only when the Commission acts does the resolution become binding on the parties.</w:t>
      </w:r>
    </w:p>
    <w:p w:rsidRPr="00495885" w:rsidR="00CC57A7" w:rsidP="00CC57A7" w:rsidRDefault="00CC57A7" w14:paraId="4BB8C504" w14:textId="03938585">
      <w:pPr>
        <w:autoSpaceDE w:val="0"/>
        <w:autoSpaceDN w:val="0"/>
        <w:adjustRightInd w:val="0"/>
        <w:rPr>
          <w:rFonts w:eastAsia="Calibri" w:cs="Book Antiqua"/>
          <w:color w:val="000000"/>
          <w:szCs w:val="24"/>
        </w:rPr>
      </w:pPr>
      <w:r w:rsidRPr="00495885">
        <w:rPr>
          <w:rFonts w:eastAsia="Calibri" w:cs="Book Antiqua"/>
          <w:color w:val="000000"/>
          <w:szCs w:val="24"/>
        </w:rPr>
        <w:t>You may serve comments on the draft resolution.  Comments shall be served (but not filed) within 20 days of the date that the draft Resolution was mailed and published on the Commission’s website, as provided in Rule</w:t>
      </w:r>
      <w:r>
        <w:rPr>
          <w:rFonts w:eastAsia="Calibri" w:cs="Book Antiqua"/>
          <w:color w:val="000000"/>
          <w:szCs w:val="24"/>
        </w:rPr>
        <w:t> </w:t>
      </w:r>
      <w:r w:rsidRPr="00495885">
        <w:rPr>
          <w:rFonts w:eastAsia="Calibri" w:cs="Book Antiqua"/>
          <w:color w:val="000000"/>
          <w:szCs w:val="24"/>
        </w:rPr>
        <w:t xml:space="preserve">14.5 of the Commission’s Rules of Practice and Procedure. </w:t>
      </w:r>
      <w:r>
        <w:rPr>
          <w:rFonts w:eastAsia="Calibri" w:cs="Book Antiqua"/>
          <w:color w:val="000000"/>
          <w:szCs w:val="24"/>
        </w:rPr>
        <w:t xml:space="preserve"> </w:t>
      </w:r>
      <w:r w:rsidRPr="00495885">
        <w:rPr>
          <w:rFonts w:eastAsia="Calibri" w:cs="Book Antiqua"/>
          <w:color w:val="000000"/>
          <w:szCs w:val="24"/>
        </w:rPr>
        <w:t xml:space="preserve">Comments shall be served upon all persons on this proceeding’s service list and on </w:t>
      </w:r>
      <w:r>
        <w:rPr>
          <w:szCs w:val="24"/>
        </w:rPr>
        <w:t>ALJ</w:t>
      </w:r>
      <w:r w:rsidR="000F42D5">
        <w:rPr>
          <w:szCs w:val="24"/>
        </w:rPr>
        <w:t xml:space="preserve"> Rosas</w:t>
      </w:r>
      <w:r w:rsidRPr="00495885">
        <w:rPr>
          <w:szCs w:val="24"/>
        </w:rPr>
        <w:t xml:space="preserve"> at </w:t>
      </w:r>
      <w:r w:rsidR="000F42D5">
        <w:rPr>
          <w:szCs w:val="24"/>
        </w:rPr>
        <w:t>alberto.rosas@cpuc.ca.gov</w:t>
      </w:r>
      <w:r w:rsidRPr="00495885">
        <w:rPr>
          <w:rFonts w:eastAsia="Calibri" w:cs="Book Antiqua"/>
          <w:color w:val="000000"/>
          <w:szCs w:val="24"/>
        </w:rPr>
        <w:t>.</w:t>
      </w:r>
    </w:p>
    <w:p w:rsidRPr="00495885" w:rsidR="00CC57A7" w:rsidP="00CC57A7" w:rsidRDefault="00CC57A7" w14:paraId="0A6B18C0" w14:textId="77777777">
      <w:pPr>
        <w:rPr>
          <w:szCs w:val="24"/>
        </w:rPr>
      </w:pPr>
    </w:p>
    <w:p w:rsidR="00CC57A7" w:rsidP="00CC57A7" w:rsidRDefault="00CC57A7" w14:paraId="49A13F9D" w14:textId="77777777">
      <w:pPr>
        <w:rPr>
          <w:szCs w:val="24"/>
        </w:rPr>
      </w:pPr>
    </w:p>
    <w:p w:rsidRPr="00495885" w:rsidR="00CC57A7" w:rsidP="00CC57A7" w:rsidRDefault="00CC57A7" w14:paraId="4A1236E9" w14:textId="77777777">
      <w:pPr>
        <w:rPr>
          <w:szCs w:val="24"/>
        </w:rPr>
      </w:pPr>
    </w:p>
    <w:p w:rsidRPr="00B87E34" w:rsidR="00CC57A7" w:rsidP="0049770C" w:rsidRDefault="0049770C" w14:paraId="37D1706C" w14:textId="6FC5ECEA">
      <w:pPr>
        <w:tabs>
          <w:tab w:val="left" w:pos="4320"/>
        </w:tabs>
        <w:ind w:right="-126"/>
        <w:rPr>
          <w:u w:val="single"/>
        </w:rPr>
      </w:pPr>
      <w:r>
        <w:rPr>
          <w:u w:val="single"/>
        </w:rPr>
        <w:t xml:space="preserve">/s/  </w:t>
      </w:r>
      <w:r w:rsidRPr="0049770C">
        <w:rPr>
          <w:u w:val="single"/>
        </w:rPr>
        <w:t>MICHELLE COOKE</w:t>
      </w:r>
      <w:r w:rsidRPr="00B87E34" w:rsidR="00CC57A7">
        <w:rPr>
          <w:u w:val="single"/>
        </w:rPr>
        <w:tab/>
      </w:r>
    </w:p>
    <w:p w:rsidRPr="00B87E34" w:rsidR="00CC57A7" w:rsidP="00CC57A7" w:rsidRDefault="00CC57A7" w14:paraId="78D2A8A9" w14:textId="77777777">
      <w:pPr>
        <w:ind w:right="-126"/>
      </w:pPr>
      <w:r w:rsidRPr="00B87E34">
        <w:t>Michelle Cooke</w:t>
      </w:r>
    </w:p>
    <w:p w:rsidRPr="00B87E34" w:rsidR="00CC57A7" w:rsidP="00CC57A7" w:rsidRDefault="00CC57A7" w14:paraId="449D5BE6" w14:textId="77777777">
      <w:pPr>
        <w:ind w:right="-126"/>
      </w:pPr>
      <w:r w:rsidRPr="00B87E34">
        <w:t>Acting Chief Administrative Law Judge</w:t>
      </w:r>
    </w:p>
    <w:p w:rsidRPr="00B87E34" w:rsidR="00CC57A7" w:rsidP="00CC57A7" w:rsidRDefault="00CC57A7" w14:paraId="63DB4DCF" w14:textId="77777777">
      <w:pPr>
        <w:ind w:right="-126"/>
      </w:pPr>
    </w:p>
    <w:p w:rsidRPr="00495885" w:rsidR="00CC57A7" w:rsidP="00CC57A7" w:rsidRDefault="00CC57A7" w14:paraId="6F44F46F" w14:textId="77777777">
      <w:pPr>
        <w:outlineLvl w:val="0"/>
        <w:rPr>
          <w:szCs w:val="24"/>
          <w:u w:val="single"/>
        </w:rPr>
      </w:pPr>
      <w:r w:rsidRPr="00495885">
        <w:rPr>
          <w:szCs w:val="24"/>
        </w:rPr>
        <w:t>MLC:</w:t>
      </w:r>
      <w:r>
        <w:rPr>
          <w:szCs w:val="24"/>
        </w:rPr>
        <w:t>nd3</w:t>
      </w:r>
    </w:p>
    <w:p w:rsidRPr="00495885" w:rsidR="00CC57A7" w:rsidP="00CC57A7" w:rsidRDefault="00CC57A7" w14:paraId="4362384A" w14:textId="77777777">
      <w:pPr>
        <w:rPr>
          <w:szCs w:val="24"/>
        </w:rPr>
      </w:pPr>
      <w:r w:rsidRPr="00495885">
        <w:rPr>
          <w:szCs w:val="24"/>
        </w:rPr>
        <w:t>Attachment</w:t>
      </w:r>
    </w:p>
    <w:p w:rsidRPr="00AC5AAD" w:rsidR="00CC57A7" w:rsidP="00CC57A7" w:rsidRDefault="00CC57A7" w14:paraId="2A16535D" w14:textId="77777777">
      <w:pPr>
        <w:rPr>
          <w:szCs w:val="24"/>
        </w:rPr>
      </w:pPr>
    </w:p>
    <w:p w:rsidR="00CC57A7" w:rsidP="00CC57A7" w:rsidRDefault="00CC57A7" w14:paraId="3588E084" w14:textId="77777777">
      <w:pPr>
        <w:pStyle w:val="Title"/>
        <w:jc w:val="left"/>
        <w:sectPr w:rsidR="00CC57A7" w:rsidSect="00616DFA">
          <w:headerReference w:type="default" r:id="rId8"/>
          <w:footerReference w:type="default" r:id="rId9"/>
          <w:pgSz w:w="12240" w:h="15840" w:code="1"/>
          <w:pgMar w:top="1728" w:right="1440" w:bottom="1440" w:left="1440" w:header="720" w:footer="720" w:gutter="0"/>
          <w:pgNumType w:start="1"/>
          <w:cols w:space="720"/>
          <w:titlePg/>
        </w:sectPr>
      </w:pPr>
    </w:p>
    <w:p w:rsidRPr="00B72486" w:rsidR="00B95B5D" w:rsidP="00B95B5D" w:rsidRDefault="00B95B5D" w14:paraId="2A174AF1" w14:textId="4F43B515">
      <w:pPr>
        <w:pStyle w:val="Title"/>
        <w:rPr>
          <w:rFonts w:ascii="Arial" w:hAnsi="Arial" w:cs="Arial"/>
        </w:rPr>
      </w:pPr>
      <w:r w:rsidRPr="00B72486">
        <w:rPr>
          <w:rFonts w:ascii="Arial" w:hAnsi="Arial" w:cs="Arial"/>
        </w:rPr>
        <w:lastRenderedPageBreak/>
        <w:t>PUBLIC UTILITIES COMMISSION OF THE STATE OF CALIFORNIA</w:t>
      </w:r>
    </w:p>
    <w:p w:rsidR="00B95B5D" w:rsidP="00B95B5D" w:rsidRDefault="00B95B5D" w14:paraId="5AA2CED3" w14:textId="77777777">
      <w:pPr>
        <w:rPr>
          <w:szCs w:val="24"/>
        </w:rPr>
      </w:pPr>
    </w:p>
    <w:p w:rsidR="00B95B5D" w:rsidP="00B95B5D" w:rsidRDefault="00B95B5D" w14:paraId="32E5553C" w14:textId="77777777">
      <w:pPr>
        <w:rPr>
          <w:szCs w:val="24"/>
        </w:rPr>
      </w:pPr>
    </w:p>
    <w:p w:rsidRPr="007F6A57" w:rsidR="00B95B5D" w:rsidP="00B95B5D" w:rsidRDefault="00B95B5D" w14:paraId="2303BDCF" w14:textId="76CBD68A">
      <w:pPr>
        <w:ind w:left="3600"/>
        <w:rPr>
          <w:szCs w:val="24"/>
        </w:rPr>
      </w:pPr>
      <w:r w:rsidRPr="007F6A57">
        <w:rPr>
          <w:szCs w:val="24"/>
        </w:rPr>
        <w:t>Resolution ALJ</w:t>
      </w:r>
      <w:r w:rsidR="00C47FD8">
        <w:rPr>
          <w:szCs w:val="24"/>
        </w:rPr>
        <w:noBreakHyphen/>
      </w:r>
      <w:r>
        <w:rPr>
          <w:szCs w:val="24"/>
        </w:rPr>
        <w:t>446</w:t>
      </w:r>
    </w:p>
    <w:p w:rsidRPr="007F6A57" w:rsidR="00B95B5D" w:rsidP="00B95B5D" w:rsidRDefault="00B95B5D" w14:paraId="61956DF6" w14:textId="77777777">
      <w:pPr>
        <w:ind w:left="3600"/>
        <w:rPr>
          <w:szCs w:val="24"/>
        </w:rPr>
      </w:pPr>
      <w:r w:rsidRPr="007F6A57">
        <w:rPr>
          <w:szCs w:val="24"/>
        </w:rPr>
        <w:t>Administrative Law Judge Division</w:t>
      </w:r>
    </w:p>
    <w:p w:rsidR="00B95B5D" w:rsidP="00B95B5D" w:rsidRDefault="00B95B5D" w14:paraId="3CA86650" w14:textId="77777777">
      <w:pPr>
        <w:ind w:left="3600"/>
        <w:rPr>
          <w:szCs w:val="24"/>
        </w:rPr>
      </w:pPr>
      <w:r w:rsidRPr="00BD6638">
        <w:rPr>
          <w:szCs w:val="24"/>
        </w:rPr>
        <w:t>[Date]</w:t>
      </w:r>
    </w:p>
    <w:p w:rsidR="00B95B5D" w:rsidP="00B95B5D" w:rsidRDefault="00B95B5D" w14:paraId="2369CCC7" w14:textId="77777777">
      <w:pPr>
        <w:rPr>
          <w:szCs w:val="24"/>
        </w:rPr>
      </w:pPr>
    </w:p>
    <w:p w:rsidRPr="007F6A57" w:rsidR="00B95B5D" w:rsidP="00B95B5D" w:rsidRDefault="00B95B5D" w14:paraId="2CE1AD3C" w14:textId="77777777">
      <w:pPr>
        <w:rPr>
          <w:szCs w:val="24"/>
        </w:rPr>
      </w:pPr>
    </w:p>
    <w:p w:rsidRPr="00760409" w:rsidR="00462E4C" w:rsidP="00462E4C" w:rsidRDefault="00462E4C" w14:paraId="0B3F1703" w14:textId="77777777">
      <w:pPr>
        <w:jc w:val="center"/>
        <w:rPr>
          <w:rFonts w:ascii="Arial" w:hAnsi="Arial" w:cs="Arial"/>
          <w:b/>
          <w:u w:val="single"/>
        </w:rPr>
      </w:pPr>
      <w:r w:rsidRPr="00760409">
        <w:rPr>
          <w:rFonts w:ascii="Arial" w:hAnsi="Arial" w:cs="Arial"/>
          <w:b/>
          <w:u w:val="single"/>
        </w:rPr>
        <w:t>R</w:t>
      </w:r>
      <w:r w:rsidRPr="00760409">
        <w:rPr>
          <w:rFonts w:ascii="Arial" w:hAnsi="Arial" w:cs="Arial"/>
          <w:b/>
        </w:rPr>
        <w:t xml:space="preserve"> </w:t>
      </w:r>
      <w:r w:rsidRPr="00760409">
        <w:rPr>
          <w:rFonts w:ascii="Arial" w:hAnsi="Arial" w:cs="Arial"/>
          <w:b/>
          <w:u w:val="single"/>
        </w:rPr>
        <w:t>E</w:t>
      </w:r>
      <w:r w:rsidRPr="00760409">
        <w:rPr>
          <w:rFonts w:ascii="Arial" w:hAnsi="Arial" w:cs="Arial"/>
          <w:b/>
        </w:rPr>
        <w:t xml:space="preserve"> </w:t>
      </w:r>
      <w:r w:rsidRPr="00760409">
        <w:rPr>
          <w:rFonts w:ascii="Arial" w:hAnsi="Arial" w:cs="Arial"/>
          <w:b/>
          <w:u w:val="single"/>
        </w:rPr>
        <w:t>S</w:t>
      </w:r>
      <w:r w:rsidRPr="00760409">
        <w:rPr>
          <w:rFonts w:ascii="Arial" w:hAnsi="Arial" w:cs="Arial"/>
          <w:b/>
        </w:rPr>
        <w:t xml:space="preserve"> </w:t>
      </w:r>
      <w:r w:rsidRPr="00760409">
        <w:rPr>
          <w:rFonts w:ascii="Arial" w:hAnsi="Arial" w:cs="Arial"/>
          <w:b/>
          <w:u w:val="single"/>
        </w:rPr>
        <w:t>O</w:t>
      </w:r>
      <w:r w:rsidRPr="00760409">
        <w:rPr>
          <w:rFonts w:ascii="Arial" w:hAnsi="Arial" w:cs="Arial"/>
          <w:b/>
        </w:rPr>
        <w:t xml:space="preserve"> </w:t>
      </w:r>
      <w:r w:rsidRPr="00760409">
        <w:rPr>
          <w:rFonts w:ascii="Arial" w:hAnsi="Arial" w:cs="Arial"/>
          <w:b/>
          <w:u w:val="single"/>
        </w:rPr>
        <w:t>L</w:t>
      </w:r>
      <w:r w:rsidRPr="00760409">
        <w:rPr>
          <w:rFonts w:ascii="Arial" w:hAnsi="Arial" w:cs="Arial"/>
          <w:b/>
        </w:rPr>
        <w:t xml:space="preserve"> </w:t>
      </w:r>
      <w:r w:rsidRPr="00760409">
        <w:rPr>
          <w:rFonts w:ascii="Arial" w:hAnsi="Arial" w:cs="Arial"/>
          <w:b/>
          <w:u w:val="single"/>
        </w:rPr>
        <w:t>U</w:t>
      </w:r>
      <w:r w:rsidRPr="00760409">
        <w:rPr>
          <w:rFonts w:ascii="Arial" w:hAnsi="Arial" w:cs="Arial"/>
          <w:b/>
        </w:rPr>
        <w:t xml:space="preserve"> </w:t>
      </w:r>
      <w:r w:rsidRPr="00760409">
        <w:rPr>
          <w:rFonts w:ascii="Arial" w:hAnsi="Arial" w:cs="Arial"/>
          <w:b/>
          <w:u w:val="single"/>
        </w:rPr>
        <w:t>T</w:t>
      </w:r>
      <w:r w:rsidRPr="00760409">
        <w:rPr>
          <w:rFonts w:ascii="Arial" w:hAnsi="Arial" w:cs="Arial"/>
          <w:b/>
        </w:rPr>
        <w:t xml:space="preserve"> </w:t>
      </w:r>
      <w:r w:rsidRPr="00760409">
        <w:rPr>
          <w:rFonts w:ascii="Arial" w:hAnsi="Arial" w:cs="Arial"/>
          <w:b/>
          <w:u w:val="single"/>
        </w:rPr>
        <w:t>I</w:t>
      </w:r>
      <w:r w:rsidRPr="00760409">
        <w:rPr>
          <w:rFonts w:ascii="Arial" w:hAnsi="Arial" w:cs="Arial"/>
          <w:b/>
        </w:rPr>
        <w:t xml:space="preserve"> </w:t>
      </w:r>
      <w:r w:rsidRPr="00760409">
        <w:rPr>
          <w:rFonts w:ascii="Arial" w:hAnsi="Arial" w:cs="Arial"/>
          <w:b/>
          <w:u w:val="single"/>
        </w:rPr>
        <w:t>O</w:t>
      </w:r>
      <w:r w:rsidRPr="00760409">
        <w:rPr>
          <w:rFonts w:ascii="Arial" w:hAnsi="Arial" w:cs="Arial"/>
          <w:b/>
        </w:rPr>
        <w:t xml:space="preserve"> </w:t>
      </w:r>
      <w:r w:rsidRPr="00760409">
        <w:rPr>
          <w:rFonts w:ascii="Arial" w:hAnsi="Arial" w:cs="Arial"/>
          <w:b/>
          <w:u w:val="single"/>
        </w:rPr>
        <w:t>N</w:t>
      </w:r>
    </w:p>
    <w:p w:rsidR="00462E4C" w:rsidP="00462E4C" w:rsidRDefault="00462E4C" w14:paraId="0E629619" w14:textId="77777777">
      <w:pPr>
        <w:rPr>
          <w:szCs w:val="24"/>
        </w:rPr>
      </w:pPr>
    </w:p>
    <w:p w:rsidRPr="007F6A57" w:rsidR="00462E4C" w:rsidP="00462E4C" w:rsidRDefault="00462E4C" w14:paraId="772505E9" w14:textId="77777777">
      <w:pPr>
        <w:rPr>
          <w:szCs w:val="24"/>
        </w:rPr>
      </w:pPr>
    </w:p>
    <w:p w:rsidR="00826D10" w:rsidP="00826D10" w:rsidRDefault="00826D10" w14:paraId="19D98B56" w14:textId="67CF997C">
      <w:pPr>
        <w:pStyle w:val="BlockText"/>
        <w:spacing w:after="240"/>
      </w:pPr>
      <w:r w:rsidRPr="007F6A57">
        <w:rPr>
          <w:szCs w:val="24"/>
        </w:rPr>
        <w:t>RESOLUTION ALJ</w:t>
      </w:r>
      <w:r w:rsidR="00C47FD8">
        <w:rPr>
          <w:szCs w:val="24"/>
        </w:rPr>
        <w:noBreakHyphen/>
      </w:r>
      <w:r w:rsidR="00ED2CBB">
        <w:rPr>
          <w:szCs w:val="24"/>
        </w:rPr>
        <w:t>446</w:t>
      </w:r>
      <w:r w:rsidRPr="007F6A57">
        <w:rPr>
          <w:szCs w:val="24"/>
        </w:rPr>
        <w:t xml:space="preserve"> </w:t>
      </w:r>
      <w:r>
        <w:t xml:space="preserve">Resolves </w:t>
      </w:r>
      <w:r w:rsidR="00322EC8">
        <w:t xml:space="preserve">Appeal </w:t>
      </w:r>
      <w:r w:rsidRPr="00ED2CBB" w:rsidR="00ED2CBB">
        <w:t>K</w:t>
      </w:r>
      <w:r w:rsidR="00ED2CBB">
        <w:t>.</w:t>
      </w:r>
      <w:r w:rsidRPr="00ED2CBB" w:rsidR="00ED2CBB">
        <w:t>21</w:t>
      </w:r>
      <w:r w:rsidR="00ED2CBB">
        <w:t>-</w:t>
      </w:r>
      <w:r w:rsidRPr="00ED2CBB" w:rsidR="00ED2CBB">
        <w:t>04</w:t>
      </w:r>
      <w:r w:rsidR="00ED2CBB">
        <w:t>-</w:t>
      </w:r>
      <w:r w:rsidRPr="00ED2CBB" w:rsidR="00ED2CBB">
        <w:t>002</w:t>
      </w:r>
      <w:r>
        <w:t xml:space="preserve"> by Mission City Rebar, Inc. from the Denial of its Status as a Minority</w:t>
      </w:r>
      <w:r w:rsidR="00C47FD8">
        <w:noBreakHyphen/>
      </w:r>
      <w:r>
        <w:t xml:space="preserve">Owned Business issued by The Supplier Clearinghouse on </w:t>
      </w:r>
      <w:r w:rsidR="00106F82">
        <w:t>March </w:t>
      </w:r>
      <w:r>
        <w:t>12, 2021.</w:t>
      </w:r>
    </w:p>
    <w:p w:rsidRPr="00EB1758" w:rsidR="003B1F06" w:rsidP="003B1F06" w:rsidRDefault="003B1F06" w14:paraId="2C821286" w14:textId="77777777">
      <w:pPr>
        <w:tabs>
          <w:tab w:val="right" w:pos="8640"/>
        </w:tabs>
        <w:spacing w:after="240"/>
        <w:ind w:left="720" w:right="720"/>
      </w:pPr>
      <w:r w:rsidRPr="00EB1758">
        <w:rPr>
          <w:u w:val="single"/>
        </w:rPr>
        <w:tab/>
      </w:r>
    </w:p>
    <w:p w:rsidR="00675DA9" w:rsidP="00E136A9" w:rsidRDefault="00902779" w14:paraId="3FDACA19" w14:textId="26DEC5A2">
      <w:pPr>
        <w:keepNext/>
        <w:spacing w:after="240"/>
        <w:rPr>
          <w:b/>
          <w:u w:val="single"/>
        </w:rPr>
      </w:pPr>
      <w:r>
        <w:rPr>
          <w:b/>
          <w:u w:val="single"/>
        </w:rPr>
        <w:t>BACKGROUND</w:t>
      </w:r>
    </w:p>
    <w:p w:rsidR="004F6AE1" w:rsidP="003214F6" w:rsidRDefault="004251A3" w14:paraId="1F9FF16C" w14:textId="77777777">
      <w:pPr>
        <w:spacing w:after="240"/>
      </w:pPr>
      <w:r>
        <w:t xml:space="preserve">This proceeding involves the appeal by </w:t>
      </w:r>
      <w:r w:rsidRPr="0049402D" w:rsidR="00E9028E">
        <w:t>Mission City Rebar, Inc.</w:t>
      </w:r>
      <w:r w:rsidR="00E9028E">
        <w:t xml:space="preserve"> </w:t>
      </w:r>
      <w:r w:rsidR="001E0D76">
        <w:t>(</w:t>
      </w:r>
      <w:r w:rsidRPr="0049402D" w:rsidR="001E0D76">
        <w:t>Appellant</w:t>
      </w:r>
      <w:r>
        <w:t>)</w:t>
      </w:r>
      <w:r w:rsidR="001D6036">
        <w:t xml:space="preserve">, a California corporation headquartered in </w:t>
      </w:r>
      <w:r w:rsidR="00E9028E">
        <w:t>Santa Clara</w:t>
      </w:r>
      <w:r w:rsidR="00A4580A">
        <w:t>, C</w:t>
      </w:r>
      <w:r w:rsidR="00902779">
        <w:t>a</w:t>
      </w:r>
      <w:r w:rsidR="00A4580A">
        <w:t>lifornia</w:t>
      </w:r>
      <w:r w:rsidR="001E0D76">
        <w:t>,</w:t>
      </w:r>
      <w:r>
        <w:t xml:space="preserve"> of the denial of certification </w:t>
      </w:r>
      <w:r w:rsidR="00386262">
        <w:t>as a</w:t>
      </w:r>
      <w:r>
        <w:t xml:space="preserve"> </w:t>
      </w:r>
      <w:r w:rsidRPr="0049402D" w:rsidR="00E9028E">
        <w:t>Minority</w:t>
      </w:r>
      <w:r w:rsidRPr="0049402D">
        <w:t xml:space="preserve"> Business Enterprise </w:t>
      </w:r>
      <w:r>
        <w:t>(</w:t>
      </w:r>
      <w:r w:rsidRPr="0049402D" w:rsidR="00E9028E">
        <w:t>M</w:t>
      </w:r>
      <w:r w:rsidRPr="0049402D">
        <w:t>BE</w:t>
      </w:r>
      <w:r>
        <w:t>)</w:t>
      </w:r>
      <w:r w:rsidR="001E0D76">
        <w:t xml:space="preserve"> by the </w:t>
      </w:r>
      <w:r w:rsidRPr="0049402D" w:rsidR="001E0D76">
        <w:t xml:space="preserve">Supplier Clearinghouse </w:t>
      </w:r>
      <w:r w:rsidR="001E0D76">
        <w:t>(</w:t>
      </w:r>
      <w:r w:rsidRPr="0049402D" w:rsidR="001E0D76">
        <w:t>Clearinghouse</w:t>
      </w:r>
      <w:r w:rsidR="001E0D76">
        <w:t xml:space="preserve"> or </w:t>
      </w:r>
      <w:r w:rsidRPr="0049402D" w:rsidR="001E0D76">
        <w:t>Respondent</w:t>
      </w:r>
      <w:r w:rsidR="001E0D76">
        <w:t>)</w:t>
      </w:r>
      <w:r w:rsidR="00386262">
        <w:t xml:space="preserve">. </w:t>
      </w:r>
      <w:r w:rsidR="00E12E0E">
        <w:t>Appellant requests the</w:t>
      </w:r>
      <w:r>
        <w:t xml:space="preserve"> </w:t>
      </w:r>
      <w:r w:rsidRPr="0049402D" w:rsidR="001E0D76">
        <w:t xml:space="preserve">California Public Utilities </w:t>
      </w:r>
      <w:r w:rsidRPr="0049402D">
        <w:t>Commission</w:t>
      </w:r>
      <w:r w:rsidRPr="0049402D" w:rsidR="001E0D76">
        <w:t xml:space="preserve"> </w:t>
      </w:r>
      <w:r w:rsidR="001E0D76">
        <w:t>(</w:t>
      </w:r>
      <w:r w:rsidRPr="0049402D" w:rsidR="001E0D76">
        <w:t>Commission</w:t>
      </w:r>
      <w:r w:rsidR="001E0D76">
        <w:t>)</w:t>
      </w:r>
      <w:r>
        <w:t xml:space="preserve"> review the evidence and verify</w:t>
      </w:r>
      <w:r>
        <w:rPr>
          <w:rStyle w:val="FootnoteReference"/>
        </w:rPr>
        <w:footnoteReference w:id="2"/>
      </w:r>
      <w:r>
        <w:t xml:space="preserve"> appellant </w:t>
      </w:r>
      <w:r w:rsidR="00F92CA3">
        <w:t xml:space="preserve">qualifies </w:t>
      </w:r>
      <w:r>
        <w:t>as a</w:t>
      </w:r>
      <w:r w:rsidR="00B24AF8">
        <w:t>n</w:t>
      </w:r>
      <w:r>
        <w:t xml:space="preserve"> </w:t>
      </w:r>
      <w:r w:rsidR="00E9028E">
        <w:t>M</w:t>
      </w:r>
      <w:r>
        <w:t>BE.</w:t>
      </w:r>
    </w:p>
    <w:p w:rsidRPr="00B24AF8" w:rsidR="00B24AF8" w:rsidP="003214F6" w:rsidRDefault="00D65998" w14:paraId="3A5625D5" w14:textId="0A89493B">
      <w:pPr>
        <w:spacing w:after="240"/>
      </w:pPr>
      <w:r>
        <w:t xml:space="preserve">Appellant </w:t>
      </w:r>
      <w:r w:rsidR="008568EE">
        <w:t xml:space="preserve">is a California corporation </w:t>
      </w:r>
      <w:r>
        <w:t xml:space="preserve">incorporated in 1971. </w:t>
      </w:r>
      <w:r w:rsidR="00B24AF8">
        <w:t xml:space="preserve">On </w:t>
      </w:r>
      <w:r w:rsidR="00106F82">
        <w:t>February </w:t>
      </w:r>
      <w:r w:rsidR="00B24AF8">
        <w:t>5, 1991, Respondent first certified Appellant as an MBE, classified as a Hispanic American</w:t>
      </w:r>
      <w:r w:rsidR="00C47FD8">
        <w:noBreakHyphen/>
      </w:r>
      <w:r w:rsidR="00B24AF8">
        <w:t>owned business.</w:t>
      </w:r>
      <w:r w:rsidR="00B24AF8">
        <w:rPr>
          <w:rStyle w:val="FootnoteReference"/>
        </w:rPr>
        <w:footnoteReference w:id="3"/>
      </w:r>
      <w:r w:rsidR="00B24AF8">
        <w:t xml:space="preserve"> Appellant’s shares on that date were split equally amongst </w:t>
      </w:r>
      <w:r w:rsidR="009373BB">
        <w:t>Ernest A.</w:t>
      </w:r>
      <w:r>
        <w:t xml:space="preserve"> </w:t>
      </w:r>
      <w:r w:rsidR="00B24AF8">
        <w:t>Gonzales and his adult children</w:t>
      </w:r>
      <w:r w:rsidR="003E7EA5">
        <w:t xml:space="preserve">:  </w:t>
      </w:r>
      <w:r w:rsidR="009373BB">
        <w:t>John A.</w:t>
      </w:r>
      <w:r w:rsidR="00B24AF8">
        <w:t xml:space="preserve"> Gonzales, </w:t>
      </w:r>
      <w:r w:rsidR="009373BB">
        <w:t>Michael A.</w:t>
      </w:r>
      <w:r w:rsidR="00B24AF8">
        <w:t xml:space="preserve"> Gonzales, and </w:t>
      </w:r>
      <w:r w:rsidR="009373BB">
        <w:t>Cathy J.</w:t>
      </w:r>
      <w:r w:rsidR="00B24AF8">
        <w:t xml:space="preserve"> Parshall.</w:t>
      </w:r>
      <w:r w:rsidR="00B24AF8">
        <w:rPr>
          <w:rStyle w:val="FootnoteReference"/>
        </w:rPr>
        <w:footnoteReference w:id="4"/>
      </w:r>
      <w:r w:rsidR="00B24AF8">
        <w:t xml:space="preserve"> </w:t>
      </w:r>
      <w:r w:rsidR="009373BB">
        <w:t>Ernest A.</w:t>
      </w:r>
      <w:r>
        <w:t xml:space="preserve"> </w:t>
      </w:r>
      <w:r w:rsidR="00B24AF8">
        <w:t xml:space="preserve">Gonzales, and hence his children, are all Americans of Portuguese descent, through </w:t>
      </w:r>
      <w:r w:rsidR="009373BB">
        <w:t>Ernest A.</w:t>
      </w:r>
      <w:r>
        <w:t xml:space="preserve"> </w:t>
      </w:r>
      <w:r w:rsidR="00B24AF8">
        <w:t xml:space="preserve">Gonzales’ </w:t>
      </w:r>
      <w:r w:rsidR="00873A8B">
        <w:t>father (Bras Gonzales)</w:t>
      </w:r>
      <w:r w:rsidR="00B24AF8">
        <w:t xml:space="preserve">, who </w:t>
      </w:r>
      <w:r w:rsidR="00BB449D">
        <w:t xml:space="preserve">was born in </w:t>
      </w:r>
      <w:r w:rsidR="00B24AF8">
        <w:t>Portugal’s Azores islands.</w:t>
      </w:r>
      <w:r w:rsidR="000D20BA">
        <w:t xml:space="preserve"> </w:t>
      </w:r>
      <w:r w:rsidR="00350B7F">
        <w:t xml:space="preserve">Moreover, </w:t>
      </w:r>
      <w:r w:rsidR="009373BB">
        <w:t>Ernest A.</w:t>
      </w:r>
      <w:r>
        <w:t xml:space="preserve"> </w:t>
      </w:r>
      <w:r w:rsidR="00350B7F">
        <w:t>Gonzales’ father</w:t>
      </w:r>
      <w:r w:rsidR="005A02E4">
        <w:t>,</w:t>
      </w:r>
      <w:r w:rsidR="00350B7F">
        <w:t xml:space="preserve"> Bras Gonzales</w:t>
      </w:r>
      <w:r w:rsidR="005A02E4">
        <w:t>,</w:t>
      </w:r>
      <w:r w:rsidR="00350B7F">
        <w:t xml:space="preserve"> was </w:t>
      </w:r>
      <w:r w:rsidR="00350B7F">
        <w:lastRenderedPageBreak/>
        <w:t>born in the Azores.</w:t>
      </w:r>
      <w:r w:rsidR="00B97AF1">
        <w:t xml:space="preserve"> </w:t>
      </w:r>
      <w:r w:rsidR="00B24AF8">
        <w:t>Appellant</w:t>
      </w:r>
      <w:r w:rsidR="001D6036">
        <w:t xml:space="preserve"> renewed its</w:t>
      </w:r>
      <w:r w:rsidR="00B24AF8">
        <w:t xml:space="preserve"> MBE certification</w:t>
      </w:r>
      <w:r w:rsidR="001D6036">
        <w:t xml:space="preserve"> </w:t>
      </w:r>
      <w:r w:rsidR="00B24AF8">
        <w:t>in 1996, 1999, 2002, 2005, 2008, 2011, 2014, and 2017.</w:t>
      </w:r>
      <w:r w:rsidR="00B24AF8">
        <w:rPr>
          <w:rStyle w:val="FootnoteReference"/>
        </w:rPr>
        <w:footnoteReference w:id="5"/>
      </w:r>
    </w:p>
    <w:p w:rsidR="00B24AF8" w:rsidP="003214F6" w:rsidRDefault="00B24AF8" w14:paraId="22D84504" w14:textId="60828D1E">
      <w:pPr>
        <w:spacing w:after="240"/>
        <w:rPr>
          <w:bCs/>
          <w:szCs w:val="24"/>
        </w:rPr>
      </w:pPr>
      <w:r>
        <w:t xml:space="preserve">In January 2009, </w:t>
      </w:r>
      <w:r w:rsidR="009373BB">
        <w:t>Ernest A.</w:t>
      </w:r>
      <w:r w:rsidR="00D65998">
        <w:t xml:space="preserve"> </w:t>
      </w:r>
      <w:r>
        <w:t>Gonzales passed away, resulting in redistribution of his shares among his children.</w:t>
      </w:r>
      <w:r>
        <w:rPr>
          <w:rStyle w:val="FootnoteReference"/>
        </w:rPr>
        <w:footnoteReference w:id="6"/>
      </w:r>
      <w:r>
        <w:t xml:space="preserve"> Currently, Appellant’s shareholders are </w:t>
      </w:r>
      <w:r w:rsidR="009373BB">
        <w:t>John A.</w:t>
      </w:r>
      <w:r w:rsidRPr="00BF0E2F">
        <w:t xml:space="preserve"> Gonzales</w:t>
      </w:r>
      <w:r>
        <w:t xml:space="preserve"> (</w:t>
      </w:r>
      <w:r w:rsidRPr="0049402D">
        <w:t>President</w:t>
      </w:r>
      <w:r>
        <w:t>),</w:t>
      </w:r>
      <w:r w:rsidRPr="00BF0E2F">
        <w:t xml:space="preserve"> </w:t>
      </w:r>
      <w:r w:rsidR="009373BB">
        <w:t>Michael A.</w:t>
      </w:r>
      <w:r w:rsidRPr="00BF0E2F">
        <w:t xml:space="preserve"> Gonzales</w:t>
      </w:r>
      <w:r>
        <w:t xml:space="preserve"> (</w:t>
      </w:r>
      <w:r w:rsidRPr="0049402D">
        <w:t>Vice President</w:t>
      </w:r>
      <w:r>
        <w:t>),</w:t>
      </w:r>
      <w:r w:rsidRPr="00BF0E2F">
        <w:t xml:space="preserve"> and </w:t>
      </w:r>
      <w:r w:rsidR="009373BB">
        <w:t>Cathy J.</w:t>
      </w:r>
      <w:r w:rsidRPr="00BF0E2F">
        <w:t xml:space="preserve"> Parshall</w:t>
      </w:r>
      <w:r>
        <w:t xml:space="preserve"> (</w:t>
      </w:r>
      <w:r w:rsidRPr="0049402D">
        <w:t>Secretary</w:t>
      </w:r>
      <w:r>
        <w:t>), all of whom own an equal interest</w:t>
      </w:r>
      <w:r w:rsidRPr="00BF0E2F">
        <w:t>.</w:t>
      </w:r>
      <w:r>
        <w:rPr>
          <w:rStyle w:val="FootnoteReference"/>
        </w:rPr>
        <w:footnoteReference w:id="7"/>
      </w:r>
    </w:p>
    <w:p w:rsidR="00B24AF8" w:rsidP="003214F6" w:rsidRDefault="00B24AF8" w14:paraId="6D146236" w14:textId="25CA276A">
      <w:pPr>
        <w:spacing w:after="240"/>
      </w:pPr>
      <w:r>
        <w:t xml:space="preserve">Following past MBE certification renewal processes, </w:t>
      </w:r>
      <w:r w:rsidR="00B86E57">
        <w:t>o</w:t>
      </w:r>
      <w:r w:rsidRPr="00FA3036" w:rsidR="00B86E57">
        <w:t xml:space="preserve">n </w:t>
      </w:r>
      <w:r w:rsidR="008D7DF4">
        <w:t>May </w:t>
      </w:r>
      <w:r w:rsidRPr="00FA3036" w:rsidR="00B86E57">
        <w:t>15, 2020</w:t>
      </w:r>
      <w:r w:rsidR="00B86E57">
        <w:t xml:space="preserve">, </w:t>
      </w:r>
      <w:r>
        <w:t>A</w:t>
      </w:r>
      <w:r w:rsidRPr="00FA3036">
        <w:t xml:space="preserve">ppellant submitted a renewal application </w:t>
      </w:r>
      <w:r>
        <w:t>to Respondent</w:t>
      </w:r>
      <w:r w:rsidRPr="00FA3036">
        <w:t>.</w:t>
      </w:r>
      <w:r>
        <w:rPr>
          <w:rStyle w:val="FootnoteReference"/>
        </w:rPr>
        <w:footnoteReference w:id="8"/>
      </w:r>
      <w:r>
        <w:t xml:space="preserve"> After the submission of the application, Respondent</w:t>
      </w:r>
      <w:r w:rsidRPr="00FA3036">
        <w:t xml:space="preserve"> found documentation </w:t>
      </w:r>
      <w:r>
        <w:t>indicating the</w:t>
      </w:r>
      <w:r w:rsidRPr="00FA3036">
        <w:t xml:space="preserve"> Portuguese descent</w:t>
      </w:r>
      <w:r>
        <w:t xml:space="preserve"> of Appellant’s shareholders</w:t>
      </w:r>
      <w:r w:rsidRPr="00FA3036">
        <w:t>.</w:t>
      </w:r>
      <w:r>
        <w:rPr>
          <w:rStyle w:val="FootnoteReference"/>
        </w:rPr>
        <w:footnoteReference w:id="9"/>
      </w:r>
      <w:r>
        <w:t xml:space="preserve"> Respondent then denied the 2020 renewal application, stating that it</w:t>
      </w:r>
      <w:r w:rsidRPr="00FA3036">
        <w:t xml:space="preserve"> was unaware that </w:t>
      </w:r>
      <w:r>
        <w:t>Appellant</w:t>
      </w:r>
      <w:r w:rsidRPr="00FA3036">
        <w:t xml:space="preserve"> was Portuguese </w:t>
      </w:r>
      <w:r>
        <w:t>American</w:t>
      </w:r>
      <w:r w:rsidR="00C47FD8">
        <w:noBreakHyphen/>
      </w:r>
      <w:r w:rsidRPr="00FA3036">
        <w:t xml:space="preserve">owned in </w:t>
      </w:r>
      <w:r>
        <w:t>the previous</w:t>
      </w:r>
      <w:r w:rsidRPr="00FA3036">
        <w:t xml:space="preserve"> reverification application</w:t>
      </w:r>
      <w:r>
        <w:t>s</w:t>
      </w:r>
      <w:r w:rsidRPr="00FA3036">
        <w:t xml:space="preserve"> </w:t>
      </w:r>
      <w:r>
        <w:t>(</w:t>
      </w:r>
      <w:r w:rsidRPr="00FA3036">
        <w:t>as that information</w:t>
      </w:r>
      <w:r>
        <w:t xml:space="preserve"> </w:t>
      </w:r>
      <w:r w:rsidRPr="00FA3036">
        <w:t>is not required to be listed on the renewal application</w:t>
      </w:r>
      <w:r>
        <w:t>)</w:t>
      </w:r>
      <w:r w:rsidRPr="00FA3036">
        <w:t>.</w:t>
      </w:r>
      <w:r>
        <w:rPr>
          <w:rStyle w:val="FootnoteReference"/>
        </w:rPr>
        <w:footnoteReference w:id="10"/>
      </w:r>
    </w:p>
    <w:p w:rsidR="00587079" w:rsidP="003214F6" w:rsidRDefault="001E0D76" w14:paraId="62839812" w14:textId="4CFBF39F">
      <w:pPr>
        <w:spacing w:after="240"/>
        <w:rPr>
          <w:bCs/>
          <w:szCs w:val="24"/>
        </w:rPr>
      </w:pPr>
      <w:r>
        <w:rPr>
          <w:bCs/>
          <w:szCs w:val="24"/>
        </w:rPr>
        <w:t>Appellants properly exhausted their administrative remedies as require</w:t>
      </w:r>
      <w:r w:rsidR="00386262">
        <w:rPr>
          <w:bCs/>
          <w:szCs w:val="24"/>
        </w:rPr>
        <w:t>d</w:t>
      </w:r>
      <w:r>
        <w:rPr>
          <w:bCs/>
          <w:szCs w:val="24"/>
        </w:rPr>
        <w:t xml:space="preserve"> by GO</w:t>
      </w:r>
      <w:r w:rsidR="009373BB">
        <w:rPr>
          <w:bCs/>
          <w:szCs w:val="24"/>
        </w:rPr>
        <w:t> </w:t>
      </w:r>
      <w:r>
        <w:rPr>
          <w:bCs/>
          <w:szCs w:val="24"/>
        </w:rPr>
        <w:t>156.</w:t>
      </w:r>
      <w:r w:rsidR="00FD5494">
        <w:rPr>
          <w:bCs/>
          <w:szCs w:val="24"/>
        </w:rPr>
        <w:t xml:space="preserve"> </w:t>
      </w:r>
      <w:r w:rsidR="00FD5494">
        <w:t xml:space="preserve">Appellant appealed this denial internally with Respondent as required by </w:t>
      </w:r>
      <w:r w:rsidR="00F61835">
        <w:t>GO </w:t>
      </w:r>
      <w:r w:rsidR="00FD5494">
        <w:t xml:space="preserve">156 </w:t>
      </w:r>
      <w:r w:rsidR="00724FAB">
        <w:t>S</w:t>
      </w:r>
      <w:r w:rsidR="00C65D7F">
        <w:t>ection</w:t>
      </w:r>
      <w:r w:rsidR="00724FAB">
        <w:t> </w:t>
      </w:r>
      <w:r w:rsidR="00FD5494">
        <w:t>7.1, and in its appeal</w:t>
      </w:r>
      <w:r w:rsidRPr="00FA3036" w:rsidR="00FD5494">
        <w:t xml:space="preserve"> letter, dated </w:t>
      </w:r>
      <w:r w:rsidR="00106F82">
        <w:t>February </w:t>
      </w:r>
      <w:r w:rsidRPr="00FA3036" w:rsidR="00FD5494">
        <w:t xml:space="preserve">11, 2021, </w:t>
      </w:r>
      <w:r w:rsidR="00FD5494">
        <w:t>referenced external citations and research documents to support its claims</w:t>
      </w:r>
      <w:r w:rsidRPr="00FA3036" w:rsidR="00FD5494">
        <w:t>.</w:t>
      </w:r>
      <w:r w:rsidR="00FD5494">
        <w:rPr>
          <w:rStyle w:val="FootnoteReference"/>
        </w:rPr>
        <w:footnoteReference w:id="11"/>
      </w:r>
      <w:r w:rsidR="00FD5494">
        <w:t xml:space="preserve"> Respondent</w:t>
      </w:r>
      <w:r w:rsidRPr="00FA3036" w:rsidR="00FD5494">
        <w:t xml:space="preserve"> upheld the denial</w:t>
      </w:r>
      <w:r w:rsidR="00FD5494">
        <w:t xml:space="preserve"> on </w:t>
      </w:r>
      <w:r w:rsidR="00106F82">
        <w:t>March </w:t>
      </w:r>
      <w:r w:rsidR="00FD5494">
        <w:t>12, 2021, counting Appellant among</w:t>
      </w:r>
      <w:r w:rsidRPr="00FA3036" w:rsidR="00FD5494">
        <w:t xml:space="preserve"> 27 Portuguese</w:t>
      </w:r>
      <w:r w:rsidR="00FD5494">
        <w:t xml:space="preserve"> American</w:t>
      </w:r>
      <w:r w:rsidR="00C47FD8">
        <w:noBreakHyphen/>
      </w:r>
      <w:r w:rsidRPr="00FA3036" w:rsidR="00FD5494">
        <w:t>owned businesses</w:t>
      </w:r>
      <w:r w:rsidR="00FD5494">
        <w:t xml:space="preserve"> similarly denied MBE certification</w:t>
      </w:r>
      <w:r w:rsidRPr="00FA3036" w:rsidR="00FD5494">
        <w:t xml:space="preserve"> between </w:t>
      </w:r>
      <w:r w:rsidR="008D7DF4">
        <w:t>July </w:t>
      </w:r>
      <w:r w:rsidRPr="00FA3036" w:rsidR="00FD5494">
        <w:t xml:space="preserve">1, 2015, and </w:t>
      </w:r>
      <w:r w:rsidR="008D7DF4">
        <w:t>October </w:t>
      </w:r>
      <w:r w:rsidRPr="00FA3036" w:rsidR="00FD5494">
        <w:t>28, 2021.</w:t>
      </w:r>
      <w:r w:rsidR="00FD5494">
        <w:rPr>
          <w:rStyle w:val="FootnoteReference"/>
        </w:rPr>
        <w:footnoteReference w:id="12"/>
      </w:r>
    </w:p>
    <w:p w:rsidRPr="00F87B16" w:rsidR="00587079" w:rsidP="003214F6" w:rsidRDefault="00FD5494" w14:paraId="273EACF9" w14:textId="32009521">
      <w:pPr>
        <w:spacing w:after="240"/>
      </w:pPr>
      <w:r>
        <w:t xml:space="preserve">On </w:t>
      </w:r>
      <w:r w:rsidR="00106F82">
        <w:t>April </w:t>
      </w:r>
      <w:r>
        <w:t xml:space="preserve">1, 2021, Appellant filed a citation appeal with the Commission challenging Respondent’s denial, under the requirements of </w:t>
      </w:r>
      <w:r w:rsidR="00F61835">
        <w:t>GO </w:t>
      </w:r>
      <w:r>
        <w:t xml:space="preserve">156 </w:t>
      </w:r>
      <w:r w:rsidR="0054483D">
        <w:t>S</w:t>
      </w:r>
      <w:r w:rsidR="00C65D7F">
        <w:t>ections</w:t>
      </w:r>
      <w:r w:rsidR="0054483D">
        <w:t> </w:t>
      </w:r>
      <w:r>
        <w:t>7.1</w:t>
      </w:r>
      <w:r w:rsidR="0054483D">
        <w:noBreakHyphen/>
      </w:r>
      <w:r>
        <w:t xml:space="preserve">7.2. </w:t>
      </w:r>
      <w:r w:rsidR="00F87B16">
        <w:t xml:space="preserve">On </w:t>
      </w:r>
      <w:r w:rsidR="00106F82">
        <w:t>April </w:t>
      </w:r>
      <w:r w:rsidR="00F87B16">
        <w:t xml:space="preserve">12, 2021, Respondent filed a motion for filing of confidential documents in this proceeding </w:t>
      </w:r>
      <w:r w:rsidR="001D6036">
        <w:t>per</w:t>
      </w:r>
      <w:r w:rsidR="00F87B16">
        <w:t xml:space="preserve"> </w:t>
      </w:r>
      <w:r w:rsidR="00501B50">
        <w:t>Rule </w:t>
      </w:r>
      <w:r w:rsidR="00F87B16">
        <w:t xml:space="preserve">11.4 of </w:t>
      </w:r>
      <w:r w:rsidRPr="004A78D4" w:rsidR="00F87B16">
        <w:t>the Commission’s Rules of Practice and Procedure</w:t>
      </w:r>
      <w:r w:rsidR="00F87B16">
        <w:t xml:space="preserve">. </w:t>
      </w:r>
      <w:r>
        <w:t xml:space="preserve">The Commission </w:t>
      </w:r>
      <w:r>
        <w:lastRenderedPageBreak/>
        <w:t xml:space="preserve">held an Evidentiary Hearing on </w:t>
      </w:r>
      <w:r w:rsidR="008D7DF4">
        <w:t>September </w:t>
      </w:r>
      <w:r>
        <w:t xml:space="preserve">27, 2021. Appellant submitted a supporting brief on </w:t>
      </w:r>
      <w:r w:rsidR="008D7DF4">
        <w:t>November </w:t>
      </w:r>
      <w:r>
        <w:t>9, 2021.</w:t>
      </w:r>
    </w:p>
    <w:p w:rsidR="00587079" w:rsidP="003214F6" w:rsidRDefault="00FD5494" w14:paraId="542C6C68" w14:textId="39DC8B30">
      <w:pPr>
        <w:spacing w:after="240"/>
      </w:pPr>
      <w:r>
        <w:t xml:space="preserve">On </w:t>
      </w:r>
      <w:r w:rsidR="008D7DF4">
        <w:t>May </w:t>
      </w:r>
      <w:r>
        <w:t>18, 2023, t</w:t>
      </w:r>
      <w:r w:rsidRPr="00FA3036">
        <w:t xml:space="preserve">he </w:t>
      </w:r>
      <w:r>
        <w:t>Commission</w:t>
      </w:r>
      <w:r w:rsidRPr="00FA3036">
        <w:t xml:space="preserve"> held a virtual Status Conference Hearing.</w:t>
      </w:r>
      <w:r w:rsidR="00F87B16">
        <w:t xml:space="preserve"> </w:t>
      </w:r>
      <w:r>
        <w:t xml:space="preserve">The </w:t>
      </w:r>
      <w:r w:rsidRPr="00626A52">
        <w:t>presiding Administrative Law Judge</w:t>
      </w:r>
      <w:r>
        <w:t xml:space="preserve"> </w:t>
      </w:r>
      <w:r w:rsidRPr="00FA3036">
        <w:t xml:space="preserve">ruled </w:t>
      </w:r>
      <w:r>
        <w:t>for</w:t>
      </w:r>
      <w:r w:rsidRPr="00FA3036">
        <w:t xml:space="preserve"> re</w:t>
      </w:r>
      <w:r w:rsidR="00C47FD8">
        <w:noBreakHyphen/>
      </w:r>
      <w:r w:rsidRPr="00FA3036">
        <w:t xml:space="preserve">opening the record in this </w:t>
      </w:r>
      <w:r w:rsidR="001D6036">
        <w:t>c</w:t>
      </w:r>
      <w:r>
        <w:t xml:space="preserve">itation </w:t>
      </w:r>
      <w:r w:rsidR="001D6036">
        <w:t>a</w:t>
      </w:r>
      <w:r>
        <w:t>ppeal</w:t>
      </w:r>
      <w:r w:rsidRPr="00FA3036">
        <w:t xml:space="preserve"> </w:t>
      </w:r>
      <w:r>
        <w:t xml:space="preserve">and required the parties </w:t>
      </w:r>
      <w:r w:rsidR="00AD7E92">
        <w:t>address</w:t>
      </w:r>
      <w:r>
        <w:t xml:space="preserve"> s</w:t>
      </w:r>
      <w:r w:rsidR="001D6036">
        <w:t>ix</w:t>
      </w:r>
      <w:r w:rsidRPr="00FA3036">
        <w:t xml:space="preserve"> inquiries:</w:t>
      </w:r>
    </w:p>
    <w:p w:rsidR="00587079" w:rsidP="00E136A9" w:rsidRDefault="00FD5494" w14:paraId="1A571F68" w14:textId="1856C58E">
      <w:pPr>
        <w:pStyle w:val="ListParagraph"/>
        <w:numPr>
          <w:ilvl w:val="0"/>
          <w:numId w:val="8"/>
        </w:numPr>
        <w:spacing w:after="240"/>
      </w:pPr>
      <w:r w:rsidRPr="00FA3036">
        <w:t xml:space="preserve">Should Portuguese Americans be considered a Minority in California for purposes of </w:t>
      </w:r>
      <w:r w:rsidR="00F61835">
        <w:t>GO </w:t>
      </w:r>
      <w:r w:rsidRPr="00FA3036">
        <w:t>156?</w:t>
      </w:r>
    </w:p>
    <w:p w:rsidR="00587079" w:rsidP="00E136A9" w:rsidRDefault="00FD5494" w14:paraId="1B5C9D1E" w14:textId="77777777">
      <w:pPr>
        <w:pStyle w:val="ListParagraph"/>
        <w:numPr>
          <w:ilvl w:val="0"/>
          <w:numId w:val="8"/>
        </w:numPr>
        <w:spacing w:after="240"/>
      </w:pPr>
      <w:r w:rsidRPr="00FA3036">
        <w:t>Whether the Azores, which is a region of Portugal, has any ties to Spanish culture?</w:t>
      </w:r>
    </w:p>
    <w:p w:rsidRPr="00915B8F" w:rsidR="00915B8F" w:rsidP="00E136A9" w:rsidRDefault="00FD5494" w14:paraId="4B04548D" w14:textId="285AB210">
      <w:pPr>
        <w:pStyle w:val="ListParagraph"/>
        <w:numPr>
          <w:ilvl w:val="0"/>
          <w:numId w:val="8"/>
        </w:numPr>
        <w:spacing w:after="240"/>
        <w:rPr>
          <w:bCs/>
          <w:szCs w:val="24"/>
        </w:rPr>
      </w:pPr>
      <w:r w:rsidRPr="00FA3036">
        <w:t xml:space="preserve">Whether a Portuguese American person having origin in the Azores meets the definition of “Hispanic American person,” for purposes of </w:t>
      </w:r>
      <w:r w:rsidR="00F61835">
        <w:t>GO </w:t>
      </w:r>
      <w:r w:rsidRPr="00FA3036">
        <w:t>156?</w:t>
      </w:r>
    </w:p>
    <w:p w:rsidR="004F6AE1" w:rsidP="00E136A9" w:rsidRDefault="0078342B" w14:paraId="4A9A8F7A" w14:textId="77777777">
      <w:pPr>
        <w:pStyle w:val="ListParagraph"/>
        <w:numPr>
          <w:ilvl w:val="0"/>
          <w:numId w:val="8"/>
        </w:numPr>
        <w:spacing w:after="240"/>
      </w:pPr>
      <w:r>
        <w:t>[…]</w:t>
      </w:r>
      <w:r w:rsidRPr="004F6AE1" w:rsidR="00915B8F">
        <w:rPr>
          <w:rStyle w:val="FootnoteReference"/>
        </w:rPr>
        <w:footnoteReference w:id="13"/>
      </w:r>
    </w:p>
    <w:p w:rsidRPr="00915B8F" w:rsidR="00915B8F" w:rsidP="00E136A9" w:rsidRDefault="0078342B" w14:paraId="45080683" w14:textId="10B6A9BE">
      <w:pPr>
        <w:pStyle w:val="ListParagraph"/>
        <w:numPr>
          <w:ilvl w:val="0"/>
          <w:numId w:val="8"/>
        </w:numPr>
        <w:spacing w:after="240"/>
        <w:rPr>
          <w:bCs/>
          <w:szCs w:val="24"/>
        </w:rPr>
      </w:pPr>
      <w:r>
        <w:rPr>
          <w:bCs/>
          <w:szCs w:val="24"/>
        </w:rPr>
        <w:t>[…]</w:t>
      </w:r>
      <w:r w:rsidRPr="004F6AE1" w:rsidR="00915B8F">
        <w:rPr>
          <w:rStyle w:val="FootnoteReference"/>
        </w:rPr>
        <w:footnoteReference w:id="14"/>
      </w:r>
    </w:p>
    <w:p w:rsidRPr="00915B8F" w:rsidR="00915B8F" w:rsidP="00E136A9" w:rsidRDefault="00915B8F" w14:paraId="5FEEA89B" w14:textId="3A63127A">
      <w:pPr>
        <w:pStyle w:val="ListParagraph"/>
        <w:numPr>
          <w:ilvl w:val="0"/>
          <w:numId w:val="8"/>
        </w:numPr>
        <w:spacing w:after="240"/>
        <w:rPr>
          <w:bCs/>
          <w:szCs w:val="24"/>
        </w:rPr>
      </w:pPr>
      <w:r>
        <w:t>Whether K.21</w:t>
      </w:r>
      <w:r w:rsidR="00C47FD8">
        <w:noBreakHyphen/>
      </w:r>
      <w:r>
        <w:t>04</w:t>
      </w:r>
      <w:r w:rsidR="00C47FD8">
        <w:noBreakHyphen/>
      </w:r>
      <w:r>
        <w:t xml:space="preserve">002 should be stayed, pending resolution of the Commission’s rulemaking proceeding in </w:t>
      </w:r>
      <w:r w:rsidRPr="0049402D">
        <w:t>R</w:t>
      </w:r>
      <w:r w:rsidRPr="0049402D" w:rsidR="00D9790B">
        <w:t>ulemaking</w:t>
      </w:r>
      <w:r w:rsidR="00D9790B">
        <w:t xml:space="preserve"> (</w:t>
      </w:r>
      <w:r w:rsidRPr="0049402D" w:rsidR="00D9790B">
        <w:t>R</w:t>
      </w:r>
      <w:r w:rsidRPr="0049402D">
        <w:t>.</w:t>
      </w:r>
      <w:r w:rsidR="00D9790B">
        <w:t>) </w:t>
      </w:r>
      <w:r>
        <w:t>21</w:t>
      </w:r>
      <w:r w:rsidR="00C47FD8">
        <w:noBreakHyphen/>
      </w:r>
      <w:r>
        <w:t>03</w:t>
      </w:r>
      <w:r w:rsidR="00C47FD8">
        <w:noBreakHyphen/>
      </w:r>
      <w:r>
        <w:t xml:space="preserve">010 (Rulemaking to Revise </w:t>
      </w:r>
      <w:r w:rsidR="00F61835">
        <w:t>GO </w:t>
      </w:r>
      <w:r>
        <w:t>156)?</w:t>
      </w:r>
    </w:p>
    <w:p w:rsidR="00915B8F" w:rsidP="002E42CE" w:rsidRDefault="00FD5494" w14:paraId="2F81249D" w14:textId="3E1496CB">
      <w:pPr>
        <w:spacing w:after="240"/>
        <w:rPr>
          <w:bCs/>
          <w:szCs w:val="24"/>
        </w:rPr>
      </w:pPr>
      <w:r>
        <w:t>Appellant and Respondent respon</w:t>
      </w:r>
      <w:r w:rsidR="001D6036">
        <w:t>d</w:t>
      </w:r>
      <w:r>
        <w:t>e</w:t>
      </w:r>
      <w:r w:rsidR="001D6036">
        <w:t>d timely</w:t>
      </w:r>
      <w:r>
        <w:t xml:space="preserve"> to the inquiries.</w:t>
      </w:r>
    </w:p>
    <w:p w:rsidRPr="00915B8F" w:rsidR="00790C51" w:rsidP="002E42CE" w:rsidRDefault="00790C51" w14:paraId="5D6AC960" w14:textId="229CEEA1">
      <w:pPr>
        <w:spacing w:after="240"/>
        <w:rPr>
          <w:bCs/>
          <w:szCs w:val="24"/>
        </w:rPr>
      </w:pPr>
      <w:r w:rsidRPr="00915B8F">
        <w:t xml:space="preserve">With respect to the confidential material under seal, the Commission has granted similar requests for confidential treatment in the past and does so again here. We agree the information involves both personal and </w:t>
      </w:r>
      <w:r w:rsidR="00F255BB">
        <w:t>market-sensitive</w:t>
      </w:r>
      <w:r w:rsidRPr="00915B8F">
        <w:t xml:space="preserve"> information. We therefore authorize the</w:t>
      </w:r>
      <w:r w:rsidRPr="00915B8F" w:rsidR="00F87B16">
        <w:t xml:space="preserve"> </w:t>
      </w:r>
      <w:r w:rsidRPr="00915B8F">
        <w:t xml:space="preserve">confidential treatment of </w:t>
      </w:r>
      <w:r w:rsidRPr="00915B8F" w:rsidR="00F87B16">
        <w:t xml:space="preserve">all confidential materials </w:t>
      </w:r>
      <w:r w:rsidRPr="00915B8F">
        <w:t xml:space="preserve">as </w:t>
      </w:r>
      <w:r w:rsidR="001D6036">
        <w:t xml:space="preserve">ordered </w:t>
      </w:r>
      <w:r w:rsidRPr="00915B8F">
        <w:t xml:space="preserve">in the ordering paragraphs </w:t>
      </w:r>
      <w:r w:rsidR="001D6036">
        <w:t>below</w:t>
      </w:r>
      <w:r w:rsidRPr="00915B8F">
        <w:t>.</w:t>
      </w:r>
    </w:p>
    <w:p w:rsidRPr="0031273E" w:rsidR="00EA06BC" w:rsidP="00E136A9" w:rsidRDefault="005D0ED1" w14:paraId="24BEE054" w14:textId="77777777">
      <w:pPr>
        <w:keepNext/>
        <w:spacing w:after="240"/>
        <w:rPr>
          <w:bCs/>
          <w:szCs w:val="24"/>
        </w:rPr>
      </w:pPr>
      <w:r>
        <w:rPr>
          <w:b/>
          <w:bCs/>
          <w:szCs w:val="24"/>
          <w:u w:val="single"/>
        </w:rPr>
        <w:lastRenderedPageBreak/>
        <w:t>PARTY POSITIONS</w:t>
      </w:r>
    </w:p>
    <w:p w:rsidR="004F6AE1" w:rsidP="002E42CE" w:rsidRDefault="00F61835" w14:paraId="77124685" w14:textId="77777777">
      <w:pPr>
        <w:spacing w:after="240"/>
      </w:pPr>
      <w:r>
        <w:t>GO </w:t>
      </w:r>
      <w:r w:rsidR="00B24AF8">
        <w:t>156 clarifies Hispanic American persons as those of “</w:t>
      </w:r>
      <w:r w:rsidRPr="00BC1A20" w:rsidR="00B24AF8">
        <w:t>Mexican, Puerto Rican, Cuban, South or Central American, Caribbean, and other Spanish culture or origin</w:t>
      </w:r>
      <w:r w:rsidR="00B24AF8">
        <w:t>.”</w:t>
      </w:r>
      <w:r w:rsidRPr="004F6AE1" w:rsidR="00B24AF8">
        <w:rPr>
          <w:rStyle w:val="FootnoteReference"/>
        </w:rPr>
        <w:footnoteReference w:id="15"/>
      </w:r>
    </w:p>
    <w:p w:rsidR="004F6AE1" w:rsidP="002E42CE" w:rsidRDefault="00B24AF8" w14:paraId="73AF1F53" w14:textId="77777777">
      <w:pPr>
        <w:spacing w:after="240"/>
      </w:pPr>
      <w:r>
        <w:t xml:space="preserve">Appellant argues that </w:t>
      </w:r>
      <w:r w:rsidR="00492817">
        <w:t xml:space="preserve">based </w:t>
      </w:r>
      <w:r>
        <w:t>on the history of Portugal</w:t>
      </w:r>
      <w:r w:rsidR="00492817">
        <w:t xml:space="preserve"> and the Iberian Peninsula</w:t>
      </w:r>
      <w:r>
        <w:t>, persons of Portuguese</w:t>
      </w:r>
      <w:r w:rsidR="00492817">
        <w:t xml:space="preserve"> American persons</w:t>
      </w:r>
      <w:r>
        <w:t xml:space="preserve"> </w:t>
      </w:r>
      <w:r w:rsidR="00492817">
        <w:t xml:space="preserve">meet </w:t>
      </w:r>
      <w:r w:rsidR="00F61835">
        <w:t>GO </w:t>
      </w:r>
      <w:r w:rsidR="00492817">
        <w:t>156’s definition of</w:t>
      </w:r>
      <w:r>
        <w:t xml:space="preserve"> </w:t>
      </w:r>
      <w:r w:rsidR="00492817">
        <w:t>“</w:t>
      </w:r>
      <w:r>
        <w:t>Hispanic American persons</w:t>
      </w:r>
      <w:r w:rsidR="00492817">
        <w:t>” because of Portuguese American persons’ ties to “Spanish culture or origin.” Respondent contends that Portuguese American persons do not qualify as Hispanic American persons, that Respondent should never have verified Appellant under the MBE certification, and, in support, Respondent points to numerous government agencies and court decision across the nation that do not consider Portuguese Americans to meet the definitions of Hispanic Americans.</w:t>
      </w:r>
    </w:p>
    <w:p w:rsidR="009D27FB" w:rsidP="00E136A9" w:rsidRDefault="00BA2C01" w14:paraId="346F1CF0" w14:textId="267F10AA">
      <w:pPr>
        <w:keepNext/>
        <w:spacing w:after="240"/>
        <w:rPr>
          <w:b/>
          <w:u w:val="single"/>
        </w:rPr>
      </w:pPr>
      <w:r>
        <w:rPr>
          <w:b/>
          <w:u w:val="single"/>
        </w:rPr>
        <w:t>RESOLUTION OF THE APPEAL</w:t>
      </w:r>
    </w:p>
    <w:p w:rsidR="009D27FB" w:rsidP="002E42CE" w:rsidRDefault="00F6467D" w14:paraId="52FD989A" w14:textId="0C1771B9">
      <w:pPr>
        <w:spacing w:after="240"/>
      </w:pPr>
      <w:r w:rsidRPr="0049402D">
        <w:t xml:space="preserve">California Assembly Bill </w:t>
      </w:r>
      <w:r>
        <w:t>(</w:t>
      </w:r>
      <w:r w:rsidRPr="0049402D">
        <w:t>AB</w:t>
      </w:r>
      <w:r>
        <w:t>)</w:t>
      </w:r>
      <w:r w:rsidR="007A6C50">
        <w:t> </w:t>
      </w:r>
      <w:r>
        <w:t xml:space="preserve">3678, signed into law on </w:t>
      </w:r>
      <w:r w:rsidR="008D7DF4">
        <w:t>September </w:t>
      </w:r>
      <w:r>
        <w:t xml:space="preserve">26, 1986, now codified as California </w:t>
      </w:r>
      <w:r w:rsidRPr="0049402D">
        <w:t xml:space="preserve">Public Utilities </w:t>
      </w:r>
      <w:r w:rsidR="007A6C50">
        <w:t>(</w:t>
      </w:r>
      <w:r w:rsidRPr="0049402D" w:rsidR="009063F2">
        <w:t>Pub. Util.</w:t>
      </w:r>
      <w:r w:rsidR="007A6C50">
        <w:t>) Code S</w:t>
      </w:r>
      <w:r>
        <w:t>ections</w:t>
      </w:r>
      <w:r w:rsidR="007A6C50">
        <w:t> </w:t>
      </w:r>
      <w:r>
        <w:t>8281</w:t>
      </w:r>
      <w:r w:rsidR="00C47FD8">
        <w:noBreakHyphen/>
      </w:r>
      <w:r>
        <w:t>8286, requires every electric, gas, and telephone utility with gross annual revenues exceeding $25</w:t>
      </w:r>
      <w:r w:rsidR="00D9790B">
        <w:t> million</w:t>
      </w:r>
      <w:r>
        <w:t xml:space="preserve"> to implement a program developed by the Commission to encourage, </w:t>
      </w:r>
      <w:r w:rsidR="00B86717">
        <w:t xml:space="preserve">recruit, and utilize </w:t>
      </w:r>
      <w:r w:rsidR="00E62EC8">
        <w:t>Diverse Suppliers</w:t>
      </w:r>
      <w:r w:rsidR="00B86717">
        <w:t>.</w:t>
      </w:r>
      <w:r w:rsidR="007740F1">
        <w:t xml:space="preserve"> </w:t>
      </w:r>
      <w:r w:rsidR="00CF65C3">
        <w:t xml:space="preserve">In response to </w:t>
      </w:r>
      <w:r w:rsidR="004A78D4">
        <w:t>AB </w:t>
      </w:r>
      <w:r w:rsidR="00CF65C3">
        <w:t>3678, the Commission issued</w:t>
      </w:r>
      <w:r w:rsidR="00B86717">
        <w:t xml:space="preserve"> </w:t>
      </w:r>
      <w:r w:rsidR="00F61835">
        <w:t>GO </w:t>
      </w:r>
      <w:r w:rsidR="00B86717">
        <w:t xml:space="preserve">156, effective </w:t>
      </w:r>
      <w:r w:rsidR="008D7DF4">
        <w:t>May </w:t>
      </w:r>
      <w:r w:rsidR="00B86717">
        <w:t xml:space="preserve">30, 1988, </w:t>
      </w:r>
      <w:r w:rsidR="00CF65C3">
        <w:t xml:space="preserve">amended on </w:t>
      </w:r>
      <w:r w:rsidR="008D7DF4">
        <w:t>June </w:t>
      </w:r>
      <w:r w:rsidR="00CF65C3">
        <w:t>11, 2015</w:t>
      </w:r>
      <w:r w:rsidR="00FF6804">
        <w:t>,</w:t>
      </w:r>
      <w:r w:rsidRPr="004F6AE1" w:rsidR="00CF65C3">
        <w:rPr>
          <w:rStyle w:val="FootnoteReference"/>
        </w:rPr>
        <w:footnoteReference w:id="16"/>
      </w:r>
      <w:r w:rsidR="00CF65C3">
        <w:t xml:space="preserve"> to provide uniform rules and guidelines for California </w:t>
      </w:r>
      <w:r w:rsidR="00F92CA3">
        <w:t>investor</w:t>
      </w:r>
      <w:r w:rsidR="00C47FD8">
        <w:noBreakHyphen/>
      </w:r>
      <w:r w:rsidR="00F92CA3">
        <w:t xml:space="preserve">owned utility </w:t>
      </w:r>
      <w:r w:rsidR="00CF65C3">
        <w:t>companies to develop and implement programs</w:t>
      </w:r>
      <w:r w:rsidR="00FF6804">
        <w:t xml:space="preserve"> for </w:t>
      </w:r>
      <w:r w:rsidR="00E62EC8">
        <w:t>Diverse Suppliers</w:t>
      </w:r>
      <w:r w:rsidR="00CF65C3">
        <w:t>.</w:t>
      </w:r>
      <w:r w:rsidR="0016409D">
        <w:t xml:space="preserve"> As relevant here, public utilities subject to </w:t>
      </w:r>
      <w:r w:rsidR="00F61835">
        <w:t>GO </w:t>
      </w:r>
      <w:r w:rsidR="00902779">
        <w:t>156</w:t>
      </w:r>
      <w:r w:rsidR="0016409D">
        <w:t xml:space="preserve"> are obliged to see</w:t>
      </w:r>
      <w:r w:rsidR="00B86717">
        <w:t>k</w:t>
      </w:r>
      <w:r w:rsidR="0016409D">
        <w:t xml:space="preserve"> to procure, at a minimum </w:t>
      </w:r>
      <w:r w:rsidR="00C65D7F">
        <w:t>15</w:t>
      </w:r>
      <w:r w:rsidR="0016409D">
        <w:t xml:space="preserve"> percent of their </w:t>
      </w:r>
      <w:r w:rsidR="00CB36F2">
        <w:t>long</w:t>
      </w:r>
      <w:r w:rsidR="00C47FD8">
        <w:noBreakHyphen/>
      </w:r>
      <w:r w:rsidR="00CB36F2">
        <w:t xml:space="preserve">term goals for each major category of products and services from </w:t>
      </w:r>
      <w:r w:rsidR="00F92CA3">
        <w:t>minority</w:t>
      </w:r>
      <w:r w:rsidR="00C47FD8">
        <w:noBreakHyphen/>
      </w:r>
      <w:r w:rsidR="00F92CA3">
        <w:t>owned</w:t>
      </w:r>
      <w:r w:rsidR="00C65D7F">
        <w:t xml:space="preserve"> business enterprises</w:t>
      </w:r>
      <w:r w:rsidR="00CB36F2">
        <w:t>.</w:t>
      </w:r>
      <w:r w:rsidRPr="004F6AE1" w:rsidR="00CB36F2">
        <w:rPr>
          <w:rStyle w:val="FootnoteReference"/>
        </w:rPr>
        <w:footnoteReference w:id="17"/>
      </w:r>
    </w:p>
    <w:p w:rsidR="004F6AE1" w:rsidP="002E42CE" w:rsidRDefault="00F61835" w14:paraId="7618E14F" w14:textId="40538DF4">
      <w:pPr>
        <w:spacing w:after="240"/>
      </w:pPr>
      <w:r>
        <w:t>GO </w:t>
      </w:r>
      <w:r w:rsidR="00F338C9">
        <w:t xml:space="preserve">156 also established </w:t>
      </w:r>
      <w:r w:rsidR="003B080B">
        <w:t>C</w:t>
      </w:r>
      <w:r w:rsidR="00F338C9">
        <w:t xml:space="preserve">learinghouse, as a separate entity, to verify that businesses credited toward the procurement goals are, in fact, owned and controlled by qualifying women, minorities, </w:t>
      </w:r>
      <w:r w:rsidR="00B8464F">
        <w:t>lesbian, gay, bisexual or transgender person or persons.</w:t>
      </w:r>
      <w:r w:rsidR="00E001D4">
        <w:t xml:space="preserve"> </w:t>
      </w:r>
      <w:r>
        <w:t>GO </w:t>
      </w:r>
      <w:r w:rsidR="00E001D4">
        <w:t xml:space="preserve">156 further authorized the Commission to approve </w:t>
      </w:r>
      <w:r w:rsidR="00F92CA3">
        <w:t>third</w:t>
      </w:r>
      <w:r w:rsidR="00C47FD8">
        <w:noBreakHyphen/>
      </w:r>
      <w:r w:rsidR="00F92CA3">
        <w:t>party</w:t>
      </w:r>
      <w:r w:rsidR="00E001D4">
        <w:t xml:space="preserve"> agencies to perform verifications of </w:t>
      </w:r>
      <w:r w:rsidR="00E62EC8">
        <w:t>Diverse Suppliers</w:t>
      </w:r>
      <w:r w:rsidR="00E001D4">
        <w:t>.</w:t>
      </w:r>
      <w:r w:rsidR="00C65D7F">
        <w:t xml:space="preserve"> </w:t>
      </w:r>
      <w:r w:rsidR="00A05B9F">
        <w:t xml:space="preserve">The primary purpose of </w:t>
      </w:r>
      <w:r w:rsidR="00B86E57">
        <w:t>C</w:t>
      </w:r>
      <w:r w:rsidR="00A05B9F">
        <w:t xml:space="preserve">learinghouse </w:t>
      </w:r>
      <w:r w:rsidR="00FD5D7E">
        <w:t>is to audit and verify the status of</w:t>
      </w:r>
      <w:r w:rsidR="00C65D7F">
        <w:t xml:space="preserve"> </w:t>
      </w:r>
      <w:r w:rsidR="00E62EC8">
        <w:t>Diverse Suppliers</w:t>
      </w:r>
      <w:r w:rsidR="00FD5D7E">
        <w:t xml:space="preserve"> and to establish and maintain a database of these businesses that is accessible to the Commission and participating utilities.</w:t>
      </w:r>
    </w:p>
    <w:p w:rsidRPr="00C65D7F" w:rsidR="00C65D7F" w:rsidP="00E136A9" w:rsidRDefault="00C65D7F" w14:paraId="238DE0EA" w14:textId="20519DA1">
      <w:pPr>
        <w:keepNext/>
        <w:spacing w:after="240"/>
        <w:rPr>
          <w:u w:val="single"/>
        </w:rPr>
      </w:pPr>
      <w:r w:rsidRPr="00C65D7F">
        <w:rPr>
          <w:u w:val="single"/>
        </w:rPr>
        <w:lastRenderedPageBreak/>
        <w:t>Standard of Review</w:t>
      </w:r>
    </w:p>
    <w:p w:rsidR="00C97001" w:rsidP="002E42CE" w:rsidRDefault="00B86717" w14:paraId="5F5E6C4A" w14:textId="797B6157">
      <w:pPr>
        <w:spacing w:after="240"/>
      </w:pPr>
      <w:r>
        <w:t xml:space="preserve">The </w:t>
      </w:r>
      <w:r w:rsidR="00F40888">
        <w:t xml:space="preserve">Commission </w:t>
      </w:r>
      <w:r w:rsidR="00F255BB">
        <w:t>applies</w:t>
      </w:r>
      <w:r w:rsidR="00F40888">
        <w:t xml:space="preserve"> </w:t>
      </w:r>
      <w:r w:rsidR="00C97001">
        <w:t xml:space="preserve">the </w:t>
      </w:r>
      <w:r w:rsidR="00F40888">
        <w:t>“substantial evidence test” as its standard of review in exercising its jurisdiction of review over Respon</w:t>
      </w:r>
      <w:r>
        <w:t>dent’s verification decisions.</w:t>
      </w:r>
      <w:r w:rsidRPr="004F6AE1">
        <w:rPr>
          <w:rStyle w:val="FootnoteReference"/>
        </w:rPr>
        <w:footnoteReference w:id="18"/>
      </w:r>
      <w:r w:rsidR="000D20BA">
        <w:t xml:space="preserve"> </w:t>
      </w:r>
      <w:r>
        <w:t xml:space="preserve">In </w:t>
      </w:r>
      <w:r w:rsidR="00F40888">
        <w:t xml:space="preserve">other words, the Commission will affirm the decision of Respondent if </w:t>
      </w:r>
      <w:r>
        <w:t xml:space="preserve">it </w:t>
      </w:r>
      <w:r w:rsidR="00F40888">
        <w:t>is supported by the record when considered as a whole.</w:t>
      </w:r>
      <w:r w:rsidRPr="004F6AE1" w:rsidR="00F40888">
        <w:rPr>
          <w:rStyle w:val="FootnoteReference"/>
        </w:rPr>
        <w:footnoteReference w:id="19"/>
      </w:r>
      <w:r w:rsidR="000D20BA">
        <w:t xml:space="preserve"> </w:t>
      </w:r>
      <w:r w:rsidR="00AD4D18">
        <w:t>Such a review necessarily entails an examination of Respondent’s findings and conclusions and the evidence upon which those findings are based.</w:t>
      </w:r>
    </w:p>
    <w:p w:rsidRPr="000A2D33" w:rsidR="000A2D33" w:rsidP="00E136A9" w:rsidRDefault="00C97001" w14:paraId="2DC94AD1" w14:textId="7145BCDA">
      <w:pPr>
        <w:keepNext/>
        <w:spacing w:after="240"/>
        <w:rPr>
          <w:u w:val="single"/>
        </w:rPr>
      </w:pPr>
      <w:r>
        <w:rPr>
          <w:u w:val="single"/>
        </w:rPr>
        <w:t>Portuguese</w:t>
      </w:r>
      <w:r w:rsidRPr="000A2D33" w:rsidR="000A2D33">
        <w:rPr>
          <w:u w:val="single"/>
        </w:rPr>
        <w:t xml:space="preserve"> Americans </w:t>
      </w:r>
      <w:r w:rsidR="00940AEE">
        <w:rPr>
          <w:u w:val="single"/>
        </w:rPr>
        <w:t>Are</w:t>
      </w:r>
      <w:r w:rsidRPr="000A2D33" w:rsidR="000A2D33">
        <w:rPr>
          <w:u w:val="single"/>
        </w:rPr>
        <w:t xml:space="preserve"> a Minority in California for </w:t>
      </w:r>
      <w:r w:rsidR="00AD7E92">
        <w:rPr>
          <w:u w:val="single"/>
        </w:rPr>
        <w:t>P</w:t>
      </w:r>
      <w:r w:rsidRPr="000A2D33" w:rsidR="000A2D33">
        <w:rPr>
          <w:u w:val="single"/>
        </w:rPr>
        <w:t xml:space="preserve">urposes of </w:t>
      </w:r>
      <w:r w:rsidR="00F61835">
        <w:rPr>
          <w:u w:val="single"/>
        </w:rPr>
        <w:t>GO </w:t>
      </w:r>
      <w:r w:rsidRPr="000A2D33" w:rsidR="000A2D33">
        <w:rPr>
          <w:u w:val="single"/>
        </w:rPr>
        <w:t>156</w:t>
      </w:r>
    </w:p>
    <w:p w:rsidRPr="00593CB8" w:rsidR="00940AEE" w:rsidP="002E42CE" w:rsidRDefault="00F61835" w14:paraId="4B6A9F37" w14:textId="50BB90E9">
      <w:pPr>
        <w:spacing w:after="240"/>
      </w:pPr>
      <w:r>
        <w:t>GO </w:t>
      </w:r>
      <w:r w:rsidRPr="00593CB8" w:rsidR="003B5BCD">
        <w:t xml:space="preserve">156 </w:t>
      </w:r>
      <w:r w:rsidR="008309B7">
        <w:t>Section </w:t>
      </w:r>
      <w:r w:rsidRPr="00593CB8" w:rsidR="003B5BCD">
        <w:t xml:space="preserve">1.3.4 defines the term MBE and states the presumption that “minority includes, </w:t>
      </w:r>
      <w:r w:rsidRPr="00593CB8" w:rsidR="003B5BCD">
        <w:rPr>
          <w:i/>
          <w:iCs/>
        </w:rPr>
        <w:t>but is not limited to</w:t>
      </w:r>
      <w:r w:rsidRPr="00593CB8" w:rsidR="003B5BCD">
        <w:t xml:space="preserve">, African Americans, Hispanic Americans, Native Americans, and </w:t>
      </w:r>
      <w:r w:rsidRPr="00593CB8" w:rsidR="003B5BCD">
        <w:rPr>
          <w:i/>
          <w:iCs/>
        </w:rPr>
        <w:t>other groups</w:t>
      </w:r>
      <w:r w:rsidRPr="00593CB8" w:rsidR="003B5BCD">
        <w:t xml:space="preserve"> as defined herein.” (Emphasis added.) The parties both focus on the issue of whether Portuguese Americans fall under the </w:t>
      </w:r>
      <w:r w:rsidRPr="00593CB8" w:rsidR="00685A08">
        <w:t xml:space="preserve">narrow </w:t>
      </w:r>
      <w:r w:rsidRPr="00593CB8" w:rsidR="003B5BCD">
        <w:t xml:space="preserve">definition of Hispanic Americans, but they ignore the question of whether </w:t>
      </w:r>
      <w:r w:rsidRPr="00593CB8" w:rsidR="00685A08">
        <w:t>Portuguese Americans fall under the broader definition of “minority” and, relatedly, “other groups.”</w:t>
      </w:r>
      <w:r w:rsidRPr="00593CB8" w:rsidR="00940AEE">
        <w:t xml:space="preserve"> As discussed below, we consider Portuguese Americans as a separate minority category in California for purpose</w:t>
      </w:r>
      <w:r w:rsidRPr="00593CB8" w:rsidR="006249F6">
        <w:t xml:space="preserve">s of </w:t>
      </w:r>
      <w:r>
        <w:t>GO </w:t>
      </w:r>
      <w:r w:rsidRPr="00593CB8" w:rsidR="00940AEE">
        <w:t>156</w:t>
      </w:r>
      <w:r w:rsidRPr="00593CB8" w:rsidR="006249F6">
        <w:t>.</w:t>
      </w:r>
    </w:p>
    <w:p w:rsidR="004F6AE1" w:rsidP="002E42CE" w:rsidRDefault="00C65D7F" w14:paraId="0B3EF100" w14:textId="72878E44">
      <w:pPr>
        <w:spacing w:after="240"/>
      </w:pPr>
      <w:r>
        <w:t xml:space="preserve">The general definition of “minority” in </w:t>
      </w:r>
      <w:r w:rsidR="00F61835">
        <w:t>GO </w:t>
      </w:r>
      <w:r>
        <w:t>156 includes African Americans, Hispanic Americans, Native Americans, Asian Pacific Americans,</w:t>
      </w:r>
      <w:r w:rsidRPr="004F6AE1">
        <w:rPr>
          <w:rStyle w:val="FootnoteReference"/>
        </w:rPr>
        <w:footnoteReference w:id="20"/>
      </w:r>
      <w:r>
        <w:t xml:space="preserve"> and other groups and individuals defined by federal law.</w:t>
      </w:r>
      <w:r w:rsidRPr="004F6AE1">
        <w:rPr>
          <w:rStyle w:val="FootnoteReference"/>
        </w:rPr>
        <w:footnoteReference w:id="21"/>
      </w:r>
      <w:r>
        <w:t xml:space="preserve"> In deferring to federal law to define “other groups and individuals,” the Commission looks to the Small Business Act, as amended in 15</w:t>
      </w:r>
      <w:r w:rsidR="00FB0F6D">
        <w:t> U.S.C.</w:t>
      </w:r>
      <w:r>
        <w:t xml:space="preserve"> </w:t>
      </w:r>
      <w:r w:rsidR="00B33FB7">
        <w:t>S</w:t>
      </w:r>
      <w:r w:rsidR="00E90D97">
        <w:t>ection</w:t>
      </w:r>
      <w:r w:rsidR="001E7F3E">
        <w:t> </w:t>
      </w:r>
      <w:r>
        <w:t>637(a), or to the U.S. Secretary of Commerce, pursuant to Executive Order 11625.</w:t>
      </w:r>
      <w:r w:rsidRPr="004F6AE1">
        <w:rPr>
          <w:rStyle w:val="FootnoteReference"/>
        </w:rPr>
        <w:footnoteReference w:id="22"/>
      </w:r>
      <w:r>
        <w:t xml:space="preserve"> These sources consider minority persons to include those that are found to be socially and economically disadvantaged individuals</w:t>
      </w:r>
      <w:r w:rsidR="00E90D97">
        <w:t xml:space="preserve">, and </w:t>
      </w:r>
      <w:r>
        <w:t xml:space="preserve">Executive Order 11625 further clarifies this as meaning socially </w:t>
      </w:r>
      <w:r>
        <w:rPr>
          <w:i/>
          <w:iCs/>
        </w:rPr>
        <w:t>or</w:t>
      </w:r>
      <w:r>
        <w:t xml:space="preserve"> economically disadvantaged people.</w:t>
      </w:r>
      <w:r w:rsidRPr="004F6AE1">
        <w:rPr>
          <w:rStyle w:val="FootnoteReference"/>
        </w:rPr>
        <w:footnoteReference w:id="23"/>
      </w:r>
      <w:r w:rsidR="000D20BA">
        <w:t xml:space="preserve"> </w:t>
      </w:r>
      <w:r>
        <w:t>The Executive Order does not use race or ethnicity alone to classify social or economic disadvantage, but relies on a combination of socioeconomic factors instead.</w:t>
      </w:r>
      <w:r w:rsidRPr="004F6AE1">
        <w:rPr>
          <w:rStyle w:val="FootnoteReference"/>
        </w:rPr>
        <w:footnoteReference w:id="24"/>
      </w:r>
    </w:p>
    <w:p w:rsidR="004F6AE1" w:rsidP="002E42CE" w:rsidRDefault="00C65D7F" w14:paraId="15B96378" w14:textId="255708D9">
      <w:pPr>
        <w:spacing w:after="240"/>
      </w:pPr>
      <w:r>
        <w:lastRenderedPageBreak/>
        <w:t>As of the 2020 U.S. census, only 311,750 Portuguese Americans live in California.</w:t>
      </w:r>
      <w:r w:rsidRPr="004F6AE1">
        <w:rPr>
          <w:rStyle w:val="FootnoteReference"/>
        </w:rPr>
        <w:footnoteReference w:id="25"/>
      </w:r>
      <w:r>
        <w:t xml:space="preserve"> While much of the Portuguese American population of the</w:t>
      </w:r>
      <w:r w:rsidR="00E90D97">
        <w:t xml:space="preserve"> State</w:t>
      </w:r>
      <w:r>
        <w:t xml:space="preserve"> </w:t>
      </w:r>
      <w:r w:rsidR="00F255BB">
        <w:t>claims</w:t>
      </w:r>
      <w:r>
        <w:t xml:space="preserve"> origins from the Azores, they nonetheless only make up less than a single percentage point of the</w:t>
      </w:r>
      <w:r w:rsidR="00E90D97">
        <w:t xml:space="preserve"> State’s</w:t>
      </w:r>
      <w:r>
        <w:t xml:space="preserve"> overall headcount.</w:t>
      </w:r>
      <w:r w:rsidRPr="004F6AE1">
        <w:rPr>
          <w:rStyle w:val="FootnoteReference"/>
        </w:rPr>
        <w:footnoteReference w:id="26"/>
      </w:r>
      <w:r>
        <w:t xml:space="preserve"> History has even shown that Portuguese immigrants and new Americans, especially from the Azores, </w:t>
      </w:r>
      <w:r w:rsidR="00F255BB">
        <w:t xml:space="preserve">have </w:t>
      </w:r>
      <w:r>
        <w:t>long experienced the ill</w:t>
      </w:r>
      <w:r w:rsidR="00C47FD8">
        <w:noBreakHyphen/>
      </w:r>
      <w:r>
        <w:t>effects of systemic and institutionalized racism in this Nation.</w:t>
      </w:r>
      <w:r w:rsidRPr="004F6AE1">
        <w:rPr>
          <w:rStyle w:val="FootnoteReference"/>
        </w:rPr>
        <w:footnoteReference w:id="27"/>
      </w:r>
      <w:r>
        <w:t xml:space="preserve"> The cascading effects of systemic otherness and exclusion experienced by the Azorean settlers and pioneers in America extended well into the 1970s and 1980s, and perhaps even to the present day.</w:t>
      </w:r>
      <w:r w:rsidRPr="004F6AE1">
        <w:rPr>
          <w:rStyle w:val="FootnoteReference"/>
        </w:rPr>
        <w:footnoteReference w:id="28"/>
      </w:r>
    </w:p>
    <w:p w:rsidR="007B01B3" w:rsidP="002E42CE" w:rsidRDefault="00C65D7F" w14:paraId="76FE562B" w14:textId="338879E7">
      <w:pPr>
        <w:spacing w:after="240"/>
      </w:pPr>
      <w:r>
        <w:t>The descendants of these Azorean immigrants still appear to bear the burdens imposed unjustly on them by their less</w:t>
      </w:r>
      <w:r w:rsidR="00C47FD8">
        <w:noBreakHyphen/>
      </w:r>
      <w:r>
        <w:t>understanding fellow Americans in the past, and barring the affirmative protection afforded them by the State, there is a high likelihood that their financial and political liberties could yet be subject to the tyranny of the majority.</w:t>
      </w:r>
      <w:r w:rsidRPr="004F6AE1">
        <w:rPr>
          <w:rStyle w:val="FootnoteReference"/>
        </w:rPr>
        <w:footnoteReference w:id="29"/>
      </w:r>
      <w:r>
        <w:t xml:space="preserve"> Their population’s sheer infinitesimal nature and the accompanying disadvantages should make Portuguese Americans, especially those with Azorean origins, a socially and economically disadvantaged minority within California. Thus, </w:t>
      </w:r>
      <w:r w:rsidR="00F61835">
        <w:t>GO </w:t>
      </w:r>
      <w:r>
        <w:t>156 needs to extend the reach of equitable protection to Portuguese Americans and, under the Small Business Act, needs to recognize any business enterprises in which they hold more than 51</w:t>
      </w:r>
      <w:r w:rsidR="00C47FD8">
        <w:noBreakHyphen/>
      </w:r>
      <w:r>
        <w:t>percent ownership, including Appellant, as minority business enterprises.</w:t>
      </w:r>
      <w:r w:rsidRPr="004F6AE1">
        <w:rPr>
          <w:rStyle w:val="FootnoteReference"/>
        </w:rPr>
        <w:footnoteReference w:id="30"/>
      </w:r>
    </w:p>
    <w:p w:rsidRPr="00A13102" w:rsidR="007B01B3" w:rsidP="002E42CE" w:rsidRDefault="00C65D7F" w14:paraId="313AA316" w14:textId="0343B28E">
      <w:pPr>
        <w:spacing w:after="240"/>
      </w:pPr>
      <w:r>
        <w:t>The Public Utilities Code facilitates the participation of minority</w:t>
      </w:r>
      <w:r w:rsidR="00C47FD8">
        <w:noBreakHyphen/>
      </w:r>
      <w:r>
        <w:t xml:space="preserve">owned businesses in all procurement activities and contracts of the Commission in alignment with federal </w:t>
      </w:r>
      <w:r>
        <w:lastRenderedPageBreak/>
        <w:t>disadvantaged business enterprise standards.</w:t>
      </w:r>
      <w:r w:rsidRPr="004F6AE1">
        <w:rPr>
          <w:rStyle w:val="FootnoteReference"/>
        </w:rPr>
        <w:footnoteReference w:id="31"/>
      </w:r>
      <w:r>
        <w:t xml:space="preserve"> Here, in pertinent part, the law presumes any individual of Portuguese culture or origin to be socially and economically disadvantaged, and hence a minority person.</w:t>
      </w:r>
      <w:r>
        <w:rPr>
          <w:rStyle w:val="FootnoteReference"/>
        </w:rPr>
        <w:footnoteReference w:id="32"/>
      </w:r>
      <w:r>
        <w:t xml:space="preserve"> As </w:t>
      </w:r>
      <w:r w:rsidR="008568EE">
        <w:t xml:space="preserve">all of </w:t>
      </w:r>
      <w:r>
        <w:t>Appellant</w:t>
      </w:r>
      <w:r w:rsidR="008568EE">
        <w:t>’s shareholders</w:t>
      </w:r>
      <w:r>
        <w:t xml:space="preserve"> are descendants of Portuguese immigrants from the Azores, Appellant therefore is a minority</w:t>
      </w:r>
      <w:r w:rsidR="00C47FD8">
        <w:noBreakHyphen/>
      </w:r>
      <w:r>
        <w:t>owned business enterprise in California. Furthermore, public contract law in California also explicitly considers individuals of Portuguese culture or origin as minority persons for purposes of contracts with any State agency, including the Commission,</w:t>
      </w:r>
      <w:r>
        <w:rPr>
          <w:rStyle w:val="FootnoteReference"/>
        </w:rPr>
        <w:footnoteReference w:id="33"/>
      </w:r>
      <w:r>
        <w:t xml:space="preserve"> and requires the Commission, or any entity acting on its behalf, to certify businesses at least 51</w:t>
      </w:r>
      <w:r w:rsidR="00C47FD8">
        <w:noBreakHyphen/>
      </w:r>
      <w:r>
        <w:t>percent owned by such persons as MBEs.</w:t>
      </w:r>
      <w:r>
        <w:rPr>
          <w:rStyle w:val="FootnoteReference"/>
        </w:rPr>
        <w:footnoteReference w:id="34"/>
      </w:r>
      <w:r>
        <w:t xml:space="preserve"> In certifying Appellant as an MBE, neither </w:t>
      </w:r>
      <w:r w:rsidR="00F255BB">
        <w:t xml:space="preserve">the </w:t>
      </w:r>
      <w:r>
        <w:t xml:space="preserve">Respondent nor the Commission will contradict established legal traditions and interpretations of </w:t>
      </w:r>
      <w:r w:rsidR="00F255BB">
        <w:t xml:space="preserve">the </w:t>
      </w:r>
      <w:r>
        <w:t>law. On the other hand, this certification will align with several other agencies within California and across the United States that currently certify majority</w:t>
      </w:r>
      <w:r w:rsidR="00C47FD8">
        <w:noBreakHyphen/>
      </w:r>
      <w:r>
        <w:t>Portuguese American</w:t>
      </w:r>
      <w:r w:rsidR="00C47FD8">
        <w:noBreakHyphen/>
      </w:r>
      <w:r>
        <w:t>owned businesses as MBEs.</w:t>
      </w:r>
      <w:r>
        <w:rPr>
          <w:rStyle w:val="FootnoteReference"/>
        </w:rPr>
        <w:footnoteReference w:id="35"/>
      </w:r>
    </w:p>
    <w:p w:rsidRPr="00A13102" w:rsidR="001A376A" w:rsidP="002E42CE" w:rsidRDefault="00A13102" w14:paraId="6414471C" w14:textId="030B2BE0">
      <w:pPr>
        <w:spacing w:after="240"/>
      </w:pPr>
      <w:r w:rsidRPr="00A13102">
        <w:t xml:space="preserve">This minority status of Portuguese Americans in California calls for their inclusion as a minority for purposes of </w:t>
      </w:r>
      <w:r w:rsidR="00F61835">
        <w:t>GO </w:t>
      </w:r>
      <w:r w:rsidRPr="00A13102">
        <w:t>156. However, even if we d</w:t>
      </w:r>
      <w:r w:rsidR="00685A08">
        <w:t>id</w:t>
      </w:r>
      <w:r w:rsidRPr="00A13102">
        <w:t xml:space="preserve"> not consider Portuguese Americans as </w:t>
      </w:r>
      <w:r w:rsidR="003B5BCD">
        <w:t xml:space="preserve">a separate </w:t>
      </w:r>
      <w:r w:rsidRPr="00A13102">
        <w:t>minorit</w:t>
      </w:r>
      <w:r w:rsidR="003B5BCD">
        <w:t>y category</w:t>
      </w:r>
      <w:r w:rsidRPr="00A13102">
        <w:t xml:space="preserve"> in California for this limited purpose</w:t>
      </w:r>
      <w:r w:rsidR="00940AEE">
        <w:t xml:space="preserve"> related to </w:t>
      </w:r>
      <w:r w:rsidR="00F61835">
        <w:t>GO </w:t>
      </w:r>
      <w:r w:rsidR="00940AEE">
        <w:t>156</w:t>
      </w:r>
      <w:r w:rsidRPr="00A13102">
        <w:t xml:space="preserve">, we do consider Azoreans to meet the </w:t>
      </w:r>
      <w:r w:rsidR="00F61835">
        <w:t>GO </w:t>
      </w:r>
      <w:r w:rsidR="000D785E">
        <w:t xml:space="preserve">156 </w:t>
      </w:r>
      <w:r w:rsidRPr="00A13102">
        <w:t>definition of “Hispanic American persons</w:t>
      </w:r>
      <w:r w:rsidR="000D785E">
        <w:t>.</w:t>
      </w:r>
      <w:r w:rsidRPr="00A13102">
        <w:t>”</w:t>
      </w:r>
      <w:r w:rsidR="003B5BCD">
        <w:t xml:space="preserve"> </w:t>
      </w:r>
      <w:r w:rsidRPr="00A13102" w:rsidR="001A376A">
        <w:t>Although we do not make any broad characterizations about whether all Portuguese Americans meet the definition of Hispanic Americans, our analysis narrowly shows that Azoreans</w:t>
      </w:r>
      <w:r w:rsidRPr="00A13102">
        <w:t xml:space="preserve"> </w:t>
      </w:r>
      <w:r w:rsidRPr="00A13102" w:rsidR="001A376A">
        <w:t xml:space="preserve">meet </w:t>
      </w:r>
      <w:r w:rsidR="00F61835">
        <w:t>GO </w:t>
      </w:r>
      <w:r w:rsidRPr="00A13102">
        <w:t>156’s</w:t>
      </w:r>
      <w:r w:rsidR="00685A08">
        <w:t xml:space="preserve"> specific</w:t>
      </w:r>
      <w:r w:rsidRPr="00A13102">
        <w:t xml:space="preserve"> </w:t>
      </w:r>
      <w:r w:rsidRPr="00A13102" w:rsidR="001A376A">
        <w:t xml:space="preserve">definition of Hispanic Americans because of the Azores’ </w:t>
      </w:r>
      <w:r w:rsidR="000D785E">
        <w:t>strong</w:t>
      </w:r>
      <w:r w:rsidR="00685A08">
        <w:t xml:space="preserve"> </w:t>
      </w:r>
      <w:r w:rsidR="00940AEE">
        <w:t xml:space="preserve">historical </w:t>
      </w:r>
      <w:r w:rsidR="00685A08">
        <w:t>ties to</w:t>
      </w:r>
      <w:r w:rsidRPr="00A13102" w:rsidR="001A376A">
        <w:t xml:space="preserve"> “Spanish culture</w:t>
      </w:r>
      <w:r w:rsidRPr="00A13102">
        <w:t>,</w:t>
      </w:r>
      <w:r w:rsidRPr="00A13102" w:rsidR="001A376A">
        <w:t>” as elaborated below.</w:t>
      </w:r>
    </w:p>
    <w:p w:rsidRPr="007B01B3" w:rsidR="007B01B3" w:rsidP="00E136A9" w:rsidRDefault="00940AEE" w14:paraId="7F8826CC" w14:textId="77777777">
      <w:pPr>
        <w:keepNext/>
        <w:spacing w:after="240"/>
        <w:rPr>
          <w:u w:val="single"/>
        </w:rPr>
      </w:pPr>
      <w:r>
        <w:rPr>
          <w:u w:val="single"/>
        </w:rPr>
        <w:t>Historical</w:t>
      </w:r>
      <w:r w:rsidRPr="001A376A" w:rsidR="001A376A">
        <w:rPr>
          <w:u w:val="single"/>
        </w:rPr>
        <w:t xml:space="preserve"> Ties to Spanish Culture</w:t>
      </w:r>
    </w:p>
    <w:p w:rsidRPr="00593CB8" w:rsidR="005B76D6" w:rsidP="002E42CE" w:rsidRDefault="00F61835" w14:paraId="73081DBC" w14:textId="16FB246F">
      <w:pPr>
        <w:spacing w:after="240"/>
      </w:pPr>
      <w:r>
        <w:t>GO </w:t>
      </w:r>
      <w:r w:rsidRPr="00593CB8" w:rsidR="006249F6">
        <w:t xml:space="preserve">156 defines Hispanic American persons as those of “Mexican, Puerto Rican, Cuban, South or Central American, Caribbean, and </w:t>
      </w:r>
      <w:r w:rsidRPr="00593CB8" w:rsidR="006249F6">
        <w:rPr>
          <w:i/>
          <w:iCs/>
        </w:rPr>
        <w:t>other Spanish culture or origin</w:t>
      </w:r>
      <w:r w:rsidRPr="00593CB8" w:rsidR="006249F6">
        <w:t xml:space="preserve">” (emphasis </w:t>
      </w:r>
      <w:r w:rsidRPr="00593CB8" w:rsidR="006249F6">
        <w:lastRenderedPageBreak/>
        <w:t>added).</w:t>
      </w:r>
      <w:r w:rsidRPr="00593CB8" w:rsidR="006249F6">
        <w:rPr>
          <w:rStyle w:val="FootnoteReference"/>
        </w:rPr>
        <w:footnoteReference w:id="36"/>
      </w:r>
      <w:r w:rsidRPr="00593CB8" w:rsidR="006249F6">
        <w:t xml:space="preserve"> </w:t>
      </w:r>
      <w:r w:rsidRPr="00593CB8" w:rsidR="005633F7">
        <w:t>Appellant refer</w:t>
      </w:r>
      <w:r w:rsidR="000D785E">
        <w:t>s</w:t>
      </w:r>
      <w:r w:rsidRPr="00593CB8" w:rsidR="005633F7">
        <w:t xml:space="preserve"> to the Merriam</w:t>
      </w:r>
      <w:r w:rsidR="00C47FD8">
        <w:noBreakHyphen/>
      </w:r>
      <w:r w:rsidRPr="00593CB8" w:rsidR="005633F7">
        <w:t xml:space="preserve">Webster Dictionary. </w:t>
      </w:r>
      <w:r w:rsidRPr="00593CB8" w:rsidR="006249F6">
        <w:t>In general</w:t>
      </w:r>
      <w:r w:rsidR="00F255BB">
        <w:t>,</w:t>
      </w:r>
      <w:r w:rsidRPr="00593CB8" w:rsidR="006249F6">
        <w:t xml:space="preserve"> lay term</w:t>
      </w:r>
      <w:r w:rsidR="00F255BB">
        <w:t>inology</w:t>
      </w:r>
      <w:r w:rsidRPr="00593CB8" w:rsidR="006249F6">
        <w:t>, the word “Spanish” refers to “the people of Spain”</w:t>
      </w:r>
      <w:r w:rsidR="000D785E">
        <w:t>;</w:t>
      </w:r>
      <w:r w:rsidRPr="00593CB8" w:rsidR="006249F6">
        <w:rPr>
          <w:rStyle w:val="FootnoteReference"/>
        </w:rPr>
        <w:footnoteReference w:id="37"/>
      </w:r>
      <w:r w:rsidRPr="00593CB8" w:rsidR="006249F6">
        <w:t xml:space="preserve"> </w:t>
      </w:r>
      <w:r w:rsidRPr="00593CB8" w:rsidR="005B76D6">
        <w:t>and t</w:t>
      </w:r>
      <w:r w:rsidRPr="00593CB8" w:rsidR="006249F6">
        <w:t>he</w:t>
      </w:r>
      <w:r w:rsidRPr="00593CB8" w:rsidR="005B76D6">
        <w:t xml:space="preserve"> definition of the</w:t>
      </w:r>
      <w:r w:rsidRPr="00593CB8" w:rsidR="006249F6">
        <w:t xml:space="preserve"> word “culture” </w:t>
      </w:r>
      <w:r w:rsidRPr="00593CB8" w:rsidR="005B76D6">
        <w:t xml:space="preserve">includes </w:t>
      </w:r>
      <w:r w:rsidRPr="004F6AE1" w:rsidR="005B76D6">
        <w:rPr>
          <w:rFonts w:cs="Open Sans"/>
          <w:color w:val="212529"/>
          <w:szCs w:val="24"/>
          <w:bdr w:val="none" w:color="auto" w:sz="0" w:space="0" w:frame="1"/>
          <w:shd w:val="clear" w:color="auto" w:fill="FFFFFF"/>
        </w:rPr>
        <w:t>“the customary beliefs, social forms, and material traits of a racial, religious, or social group” as well as “</w:t>
      </w:r>
      <w:r w:rsidRPr="004F6AE1" w:rsidR="005B76D6">
        <w:rPr>
          <w:rFonts w:cs="Open Sans"/>
          <w:color w:val="212529"/>
          <w:szCs w:val="24"/>
          <w:bdr w:val="none" w:color="auto" w:sz="0" w:space="0" w:frame="1"/>
        </w:rPr>
        <w:t>the characteristic features of everyday existence (such as diversions or a way of life) shared by people in a place or time.”</w:t>
      </w:r>
      <w:r w:rsidRPr="004F6AE1" w:rsidR="005B76D6">
        <w:rPr>
          <w:rStyle w:val="FootnoteReference"/>
          <w:rFonts w:cs="Open Sans"/>
          <w:color w:val="212529"/>
          <w:szCs w:val="24"/>
          <w:bdr w:val="none" w:color="auto" w:sz="0" w:space="0" w:frame="1"/>
        </w:rPr>
        <w:footnoteReference w:id="38"/>
      </w:r>
    </w:p>
    <w:p w:rsidRPr="00593CB8" w:rsidR="00B86E57" w:rsidP="002E42CE" w:rsidRDefault="00B86E57" w14:paraId="075661F9" w14:textId="39D0B296">
      <w:pPr>
        <w:spacing w:after="240"/>
      </w:pPr>
      <w:r w:rsidRPr="00593CB8">
        <w:t xml:space="preserve">Contrary to Clearinghouse’s interpretation of </w:t>
      </w:r>
      <w:r w:rsidR="00F61835">
        <w:t>GO </w:t>
      </w:r>
      <w:r w:rsidRPr="00593CB8">
        <w:t>156’s definition of “Hispanic American persons,” the Commission will not assume that the words “other Spanish culture” means other Spanish</w:t>
      </w:r>
      <w:r w:rsidR="00C47FD8">
        <w:noBreakHyphen/>
      </w:r>
      <w:r w:rsidRPr="000D785E">
        <w:rPr>
          <w:i/>
          <w:iCs/>
        </w:rPr>
        <w:t>speaking</w:t>
      </w:r>
      <w:r w:rsidRPr="00593CB8">
        <w:t xml:space="preserve"> culture. Despite Clearinghouse’s argument, the Commission notes that the words “Spanish</w:t>
      </w:r>
      <w:r w:rsidR="00C47FD8">
        <w:noBreakHyphen/>
      </w:r>
      <w:r w:rsidRPr="00593CB8">
        <w:t xml:space="preserve">speaking” are absent from the </w:t>
      </w:r>
      <w:r w:rsidR="00F61835">
        <w:t>GO </w:t>
      </w:r>
      <w:r w:rsidRPr="00593CB8">
        <w:t>156 definition.</w:t>
      </w:r>
    </w:p>
    <w:p w:rsidRPr="00593CB8" w:rsidR="005633F7" w:rsidP="002E42CE" w:rsidRDefault="005633F7" w14:paraId="4F9909DE" w14:textId="749C5831">
      <w:pPr>
        <w:spacing w:after="240"/>
      </w:pPr>
      <w:r w:rsidRPr="00593CB8">
        <w:t xml:space="preserve">Appellant </w:t>
      </w:r>
      <w:r w:rsidRPr="00593CB8" w:rsidR="000D785E">
        <w:t>supplied</w:t>
      </w:r>
      <w:r w:rsidRPr="00593CB8">
        <w:t xml:space="preserve"> a broad historical perspective about Hispania, arguing that because Hispania included both Spain and Portugal, it shared a common culture and origin that gave rise to both independent nations. We disagree. Though some of Hispania’s cultural </w:t>
      </w:r>
      <w:r w:rsidR="000D785E">
        <w:t>aspects</w:t>
      </w:r>
      <w:r w:rsidRPr="00593CB8">
        <w:t xml:space="preserve"> perhaps may have impacted the regions of what is now modern</w:t>
      </w:r>
      <w:r w:rsidR="00C47FD8">
        <w:noBreakHyphen/>
      </w:r>
      <w:r w:rsidRPr="00593CB8">
        <w:t xml:space="preserve">day Portugal, the Commission agrees with Respondent that using an ancient civilization like Hispania to demonstrate that unique culture emerged within the geographical boundaries of Portugal and Spain may be somewhat unrealistic, considering </w:t>
      </w:r>
      <w:r w:rsidR="00D72699">
        <w:t xml:space="preserve">that </w:t>
      </w:r>
      <w:r w:rsidRPr="00593CB8">
        <w:t>700 years separat</w:t>
      </w:r>
      <w:r w:rsidR="00D72699">
        <w:t>es</w:t>
      </w:r>
      <w:r w:rsidRPr="00593CB8">
        <w:t xml:space="preserve"> the end of the Hispania empire </w:t>
      </w:r>
      <w:r w:rsidR="00D72699">
        <w:t>and</w:t>
      </w:r>
      <w:r w:rsidRPr="00593CB8">
        <w:t xml:space="preserve"> the formation of Portugal.</w:t>
      </w:r>
    </w:p>
    <w:p w:rsidR="004F6AE1" w:rsidP="002E42CE" w:rsidRDefault="00D72699" w14:paraId="4E58E0C0" w14:textId="48AB1000">
      <w:pPr>
        <w:spacing w:after="240"/>
      </w:pPr>
      <w:r>
        <w:t>F</w:t>
      </w:r>
      <w:r w:rsidRPr="00593CB8" w:rsidR="004A20D9">
        <w:t>ast</w:t>
      </w:r>
      <w:r w:rsidR="00C47FD8">
        <w:noBreakHyphen/>
      </w:r>
      <w:r w:rsidRPr="00593CB8" w:rsidR="004A20D9">
        <w:t>forward</w:t>
      </w:r>
      <w:r>
        <w:t>ing</w:t>
      </w:r>
      <w:r w:rsidRPr="00593CB8" w:rsidR="004A20D9">
        <w:t xml:space="preserve"> from Hispania and focus</w:t>
      </w:r>
      <w:r>
        <w:t>ing</w:t>
      </w:r>
      <w:r w:rsidRPr="00593CB8" w:rsidR="004A20D9">
        <w:t xml:space="preserve"> on Portugal and Spain, we note that </w:t>
      </w:r>
      <w:r w:rsidRPr="00593CB8" w:rsidR="005633F7">
        <w:t>t</w:t>
      </w:r>
      <w:r w:rsidRPr="00593CB8" w:rsidR="00C65D7F">
        <w:t xml:space="preserve">he history of Portugal is the history of Spain. Until its independence in the early 12th century, Portugal was a part of Spain, in varying </w:t>
      </w:r>
      <w:r>
        <w:t>degree</w:t>
      </w:r>
      <w:r w:rsidRPr="00593CB8" w:rsidR="00C65D7F">
        <w:t>, for nearly a millennium and a half. The ruler of Portugal during their discovery of the Azores, John</w:t>
      </w:r>
      <w:r w:rsidR="00D81415">
        <w:t> I</w:t>
      </w:r>
      <w:r w:rsidRPr="00593CB8" w:rsidR="00C65D7F">
        <w:t>, was the son of a noble Galician from northwest Spain.</w:t>
      </w:r>
      <w:r w:rsidRPr="00593CB8" w:rsidR="00C65D7F">
        <w:rPr>
          <w:rStyle w:val="FootnoteReference"/>
        </w:rPr>
        <w:footnoteReference w:id="39"/>
      </w:r>
      <w:r w:rsidRPr="00593CB8" w:rsidR="00C65D7F">
        <w:t xml:space="preserve"> It was his son, Henry the Navigator, uncle to later rulers of Castille, who claimed the Azores islands for the Kingdom of Portugal.</w:t>
      </w:r>
      <w:r w:rsidRPr="00593CB8" w:rsidR="00C65D7F">
        <w:rPr>
          <w:rStyle w:val="FootnoteReference"/>
        </w:rPr>
        <w:footnoteReference w:id="40"/>
      </w:r>
      <w:r w:rsidRPr="00593CB8" w:rsidR="005B76D6">
        <w:t xml:space="preserve"> </w:t>
      </w:r>
      <w:r w:rsidRPr="00593CB8" w:rsidR="00C65D7F">
        <w:t>Since its discovery by Prince Henry (aided by a map made in Spanish Catalonia</w:t>
      </w:r>
      <w:r w:rsidRPr="00593CB8" w:rsidR="00C65D7F">
        <w:rPr>
          <w:rStyle w:val="FootnoteReference"/>
        </w:rPr>
        <w:footnoteReference w:id="41"/>
      </w:r>
      <w:r w:rsidRPr="00593CB8" w:rsidR="00C65D7F">
        <w:t xml:space="preserve">), the Azores islands, along with Madeira, the Canaries, and Cape Verde, have been settled by people from various regions across Europe. Recent genealogical studies </w:t>
      </w:r>
      <w:r w:rsidR="00E505AA">
        <w:t>reveal</w:t>
      </w:r>
      <w:r w:rsidRPr="00593CB8" w:rsidR="00C65D7F">
        <w:t xml:space="preserve"> that the present population of these islands is most closely genetically related to people from </w:t>
      </w:r>
      <w:r w:rsidRPr="00593CB8" w:rsidR="00C65D7F">
        <w:lastRenderedPageBreak/>
        <w:t>mainland Portugal, along with those from Mallorca, Minorca, Ibiza, and the Basque Country, each a region or part of present</w:t>
      </w:r>
      <w:r w:rsidR="00C47FD8">
        <w:noBreakHyphen/>
      </w:r>
      <w:r w:rsidRPr="00593CB8" w:rsidR="00C65D7F">
        <w:t>day Spain.</w:t>
      </w:r>
      <w:r w:rsidRPr="00593CB8" w:rsidR="00C65D7F">
        <w:rPr>
          <w:rStyle w:val="FootnoteReference"/>
        </w:rPr>
        <w:footnoteReference w:id="42"/>
      </w:r>
    </w:p>
    <w:p w:rsidRPr="00593CB8" w:rsidR="00FE1729" w:rsidP="002E42CE" w:rsidRDefault="00FE1729" w14:paraId="4D79B099" w14:textId="1EE89D65">
      <w:pPr>
        <w:spacing w:after="240"/>
      </w:pPr>
      <w:r w:rsidRPr="00593CB8">
        <w:t>I</w:t>
      </w:r>
      <w:r w:rsidRPr="00593CB8" w:rsidR="00C65D7F">
        <w:t xml:space="preserve">n the Azores, the cultures of Portugal and Spain blend to create uniquely Azorean customs and traditions. </w:t>
      </w:r>
      <w:r w:rsidRPr="00593CB8">
        <w:t>Clearinghouse states that “no mentions of Spanish conquest or rediscovery were made for the Azores.” This is historically incorrect. Historically, n</w:t>
      </w:r>
      <w:r w:rsidRPr="00593CB8" w:rsidR="00C65D7F">
        <w:t>ot long after its European settlement, Spanish King Philip</w:t>
      </w:r>
      <w:r w:rsidR="00D81415">
        <w:t> I</w:t>
      </w:r>
      <w:r w:rsidRPr="00593CB8" w:rsidR="00C65D7F">
        <w:t>I conquered the Azores in 1583, as the last of the Portuguese territories to fall in the War of Succession.</w:t>
      </w:r>
      <w:r w:rsidRPr="00593CB8" w:rsidR="00C65D7F">
        <w:rPr>
          <w:rStyle w:val="FootnoteReference"/>
        </w:rPr>
        <w:footnoteReference w:id="43"/>
      </w:r>
      <w:r w:rsidRPr="00593CB8" w:rsidR="00C65D7F">
        <w:t xml:space="preserve"> </w:t>
      </w:r>
      <w:r w:rsidRPr="00593CB8">
        <w:t>Spanish rule lasted until 1642 when the Spanish relinquished control and the Azores restored its agency under Portugal.</w:t>
      </w:r>
      <w:r w:rsidRPr="00593CB8">
        <w:rPr>
          <w:rStyle w:val="FootnoteReference"/>
        </w:rPr>
        <w:footnoteReference w:id="44"/>
      </w:r>
      <w:r w:rsidRPr="00593CB8">
        <w:t xml:space="preserve"> To put this into perspective, after Portugal had control of the Azores islands</w:t>
      </w:r>
      <w:r w:rsidRPr="00593CB8" w:rsidR="00BC61A5">
        <w:t xml:space="preserve"> for just over a century, the Spanish reconquered the area for a significant period of time before the Azores and Portugal regained their autonomy over the region.</w:t>
      </w:r>
    </w:p>
    <w:p w:rsidR="004F6AE1" w:rsidP="002E42CE" w:rsidRDefault="00C65D7F" w14:paraId="6ACFD553" w14:textId="77777777">
      <w:pPr>
        <w:spacing w:after="240"/>
      </w:pPr>
      <w:r>
        <w:t>For 60 formative years, the Azores was part of the new Iberian Union, integrating the Spanish Empire with the absorbed Portuguese one.</w:t>
      </w:r>
      <w:r>
        <w:rPr>
          <w:rStyle w:val="FootnoteReference"/>
        </w:rPr>
        <w:footnoteReference w:id="45"/>
      </w:r>
      <w:r>
        <w:t xml:space="preserve"> This “Babylonian captivity” has left a noticeable impact on the Azorean culture to the present day, including the use of Spanish instruments in their folk music and the annual bullfight reminiscent of the ones in mainland Spain.</w:t>
      </w:r>
      <w:r>
        <w:rPr>
          <w:rStyle w:val="FootnoteReference"/>
        </w:rPr>
        <w:footnoteReference w:id="46"/>
      </w:r>
    </w:p>
    <w:p w:rsidR="007B01B3" w:rsidP="00475B1B" w:rsidRDefault="00BC61A5" w14:paraId="1D41BA7B" w14:textId="43C8DEB6">
      <w:pPr>
        <w:spacing w:after="240"/>
      </w:pPr>
      <w:r w:rsidRPr="00593CB8">
        <w:t>Bullfighting is a Spanish cultural tradition that originate</w:t>
      </w:r>
      <w:r w:rsidRPr="00593CB8" w:rsidR="00B665FE">
        <w:t>d</w:t>
      </w:r>
      <w:r w:rsidRPr="00593CB8">
        <w:t xml:space="preserve"> in 711</w:t>
      </w:r>
      <w:r w:rsidR="00EA38B0">
        <w:t> AD</w:t>
      </w:r>
      <w:r w:rsidRPr="00593CB8">
        <w:t>.</w:t>
      </w:r>
      <w:r w:rsidRPr="00593CB8">
        <w:rPr>
          <w:rStyle w:val="FootnoteReference"/>
        </w:rPr>
        <w:footnoteReference w:id="47"/>
      </w:r>
      <w:r w:rsidRPr="00593CB8">
        <w:t xml:space="preserve"> </w:t>
      </w:r>
      <w:r w:rsidRPr="00593CB8" w:rsidR="00B665FE">
        <w:t>In Terceira, one of the Azores islands, bullfighting is quite popular and one of the festivals involves rope bullfighting</w:t>
      </w:r>
      <w:r w:rsidR="004C64CB">
        <w:t xml:space="preserve"> — </w:t>
      </w:r>
      <w:r w:rsidRPr="00593CB8" w:rsidR="00B665FE">
        <w:t xml:space="preserve">guiding a bull through the streets using a rope. Today, with its unique style of rope bullfighting, the Azores bullfighting season starts in May and ends in </w:t>
      </w:r>
      <w:r w:rsidRPr="00593CB8" w:rsidR="00B665FE">
        <w:lastRenderedPageBreak/>
        <w:t>October every year.</w:t>
      </w:r>
      <w:r w:rsidRPr="00593CB8" w:rsidR="00B665FE">
        <w:rPr>
          <w:rStyle w:val="FootnoteReference"/>
        </w:rPr>
        <w:footnoteReference w:id="48"/>
      </w:r>
      <w:r w:rsidRPr="00593CB8" w:rsidR="00B665FE">
        <w:t xml:space="preserve"> T</w:t>
      </w:r>
      <w:r w:rsidRPr="00593CB8">
        <w:t>h</w:t>
      </w:r>
      <w:r w:rsidRPr="00593CB8" w:rsidR="00B665FE">
        <w:t>ese</w:t>
      </w:r>
      <w:r w:rsidRPr="00593CB8">
        <w:t xml:space="preserve"> </w:t>
      </w:r>
      <w:r w:rsidRPr="00593CB8" w:rsidR="00E62EC8">
        <w:t xml:space="preserve">annual </w:t>
      </w:r>
      <w:r w:rsidRPr="00593CB8" w:rsidR="00B665FE">
        <w:t xml:space="preserve">bullfighting </w:t>
      </w:r>
      <w:r w:rsidRPr="00593CB8" w:rsidR="00E62EC8">
        <w:t>tradition</w:t>
      </w:r>
      <w:r w:rsidRPr="00593CB8" w:rsidR="00B665FE">
        <w:t>s</w:t>
      </w:r>
      <w:r w:rsidRPr="00593CB8" w:rsidR="00E62EC8">
        <w:t xml:space="preserve"> </w:t>
      </w:r>
      <w:r w:rsidRPr="00593CB8" w:rsidR="00B665FE">
        <w:t xml:space="preserve">in the Azores </w:t>
      </w:r>
      <w:r w:rsidRPr="00593CB8" w:rsidR="00E62EC8">
        <w:t xml:space="preserve">denote the customary </w:t>
      </w:r>
      <w:r w:rsidRPr="004F6AE1" w:rsidR="00E62EC8">
        <w:rPr>
          <w:rFonts w:cs="Open Sans"/>
          <w:color w:val="212529"/>
          <w:szCs w:val="24"/>
          <w:bdr w:val="none" w:color="auto" w:sz="0" w:space="0" w:frame="1"/>
        </w:rPr>
        <w:t xml:space="preserve">diversions or a way of life with </w:t>
      </w:r>
      <w:r w:rsidRPr="004F6AE1" w:rsidR="00B665FE">
        <w:rPr>
          <w:rFonts w:cs="Open Sans"/>
          <w:color w:val="212529"/>
          <w:szCs w:val="24"/>
          <w:bdr w:val="none" w:color="auto" w:sz="0" w:space="0" w:frame="1"/>
        </w:rPr>
        <w:t xml:space="preserve">strong ropelike </w:t>
      </w:r>
      <w:r w:rsidRPr="004F6AE1" w:rsidR="00E62EC8">
        <w:rPr>
          <w:rFonts w:cs="Open Sans"/>
          <w:color w:val="212529"/>
          <w:szCs w:val="24"/>
          <w:bdr w:val="none" w:color="auto" w:sz="0" w:space="0" w:frame="1"/>
        </w:rPr>
        <w:t>ties to Spanish culture.</w:t>
      </w:r>
      <w:r w:rsidR="00E505AA">
        <w:t xml:space="preserve"> </w:t>
      </w:r>
      <w:r w:rsidR="00C65D7F">
        <w:t>Azoreans and their descendants, therefore, derive key aspects of their culture from Spanish culture and influence.</w:t>
      </w:r>
    </w:p>
    <w:p w:rsidR="004F6AE1" w:rsidP="00E136A9" w:rsidRDefault="00441920" w14:paraId="6E093430" w14:textId="77777777">
      <w:pPr>
        <w:keepNext/>
        <w:spacing w:after="240"/>
        <w:rPr>
          <w:u w:val="single"/>
        </w:rPr>
      </w:pPr>
      <w:r>
        <w:rPr>
          <w:u w:val="single"/>
        </w:rPr>
        <w:t>F</w:t>
      </w:r>
      <w:r w:rsidRPr="00A13102">
        <w:rPr>
          <w:u w:val="single"/>
        </w:rPr>
        <w:t xml:space="preserve">or Purposes of </w:t>
      </w:r>
      <w:r w:rsidR="00F61835">
        <w:rPr>
          <w:u w:val="single"/>
        </w:rPr>
        <w:t>GO </w:t>
      </w:r>
      <w:r w:rsidRPr="00A13102">
        <w:rPr>
          <w:u w:val="single"/>
        </w:rPr>
        <w:t>156</w:t>
      </w:r>
      <w:r>
        <w:rPr>
          <w:u w:val="single"/>
        </w:rPr>
        <w:t xml:space="preserve">, </w:t>
      </w:r>
      <w:r w:rsidRPr="00A13102" w:rsidR="00A13102">
        <w:rPr>
          <w:u w:val="single"/>
        </w:rPr>
        <w:t>Portuguese American Person</w:t>
      </w:r>
      <w:r>
        <w:rPr>
          <w:u w:val="single"/>
        </w:rPr>
        <w:t>s</w:t>
      </w:r>
      <w:r w:rsidRPr="00A13102" w:rsidR="00A13102">
        <w:rPr>
          <w:u w:val="single"/>
        </w:rPr>
        <w:t xml:space="preserve"> with Origins in the Azores Meet the Definition of </w:t>
      </w:r>
      <w:r w:rsidR="00350B7F">
        <w:rPr>
          <w:u w:val="single"/>
        </w:rPr>
        <w:t>“</w:t>
      </w:r>
      <w:r w:rsidRPr="00A13102" w:rsidR="00A13102">
        <w:rPr>
          <w:u w:val="single"/>
        </w:rPr>
        <w:t>Hispanic American Person</w:t>
      </w:r>
      <w:r>
        <w:rPr>
          <w:u w:val="single"/>
        </w:rPr>
        <w:t>s</w:t>
      </w:r>
      <w:r w:rsidR="00350B7F">
        <w:rPr>
          <w:u w:val="single"/>
        </w:rPr>
        <w:t>”</w:t>
      </w:r>
    </w:p>
    <w:p w:rsidR="004F6AE1" w:rsidP="002E42CE" w:rsidRDefault="001A376A" w14:paraId="6C757C30" w14:textId="4237B435">
      <w:pPr>
        <w:spacing w:after="240"/>
      </w:pPr>
      <w:r w:rsidRPr="001A376A">
        <w:t>In addition to Appellant being minority</w:t>
      </w:r>
      <w:r w:rsidR="00C47FD8">
        <w:noBreakHyphen/>
      </w:r>
      <w:r w:rsidRPr="001A376A">
        <w:t>owned, it is also a Hispanic American</w:t>
      </w:r>
      <w:r w:rsidR="00C47FD8">
        <w:noBreakHyphen/>
      </w:r>
      <w:r w:rsidRPr="001A376A">
        <w:t xml:space="preserve">owned business enterprise. While </w:t>
      </w:r>
      <w:r w:rsidR="00F61835">
        <w:t>GO </w:t>
      </w:r>
      <w:r w:rsidRPr="001A376A">
        <w:t>156 clarifies Hispanic Americans as being of “Mexican, Puerto Rican, Cuban, South or Central American, Caribbean, and other Spanish culture or origin,”</w:t>
      </w:r>
      <w:r w:rsidRPr="001A376A">
        <w:rPr>
          <w:rStyle w:val="FootnoteReference"/>
        </w:rPr>
        <w:footnoteReference w:id="49"/>
      </w:r>
      <w:r w:rsidRPr="001A376A">
        <w:t xml:space="preserve"> there is no indication in the text as to where people of Portuguese origin fall.</w:t>
      </w:r>
    </w:p>
    <w:p w:rsidR="007B01B3" w:rsidP="002E42CE" w:rsidRDefault="00F61835" w14:paraId="7F7AA558" w14:textId="08B03F35">
      <w:pPr>
        <w:spacing w:after="240"/>
      </w:pPr>
      <w:r>
        <w:t>GO </w:t>
      </w:r>
      <w:r w:rsidR="00C65D7F">
        <w:t>156 defines Hispanic Americans as persons of “</w:t>
      </w:r>
      <w:r w:rsidRPr="008B70F0" w:rsidR="00C65D7F">
        <w:t>Mexican, Puerto Rican, Cuban, South or Central American, Caribbean, and other Spanish culture or origin.</w:t>
      </w:r>
      <w:r w:rsidR="00C65D7F">
        <w:t xml:space="preserve">” </w:t>
      </w:r>
      <w:r w:rsidR="00E505AA">
        <w:t xml:space="preserve">Notably, the text of </w:t>
      </w:r>
      <w:r>
        <w:t>GO </w:t>
      </w:r>
      <w:r w:rsidR="00E505AA">
        <w:t xml:space="preserve">156 does not explicitly mention </w:t>
      </w:r>
      <w:r w:rsidR="00C65D7F">
        <w:t>Portuguese</w:t>
      </w:r>
      <w:r w:rsidR="00E505AA">
        <w:t xml:space="preserve"> Americans</w:t>
      </w:r>
      <w:r w:rsidR="00C65D7F">
        <w:t>, and those claiming descent or origin from Portuguese culture</w:t>
      </w:r>
      <w:r w:rsidR="00E505AA">
        <w:t>.</w:t>
      </w:r>
      <w:r w:rsidR="00C65D7F">
        <w:t xml:space="preserve"> However, the extensive historical and cultural ties between Portugal and Spain should render Portuguese people as having a </w:t>
      </w:r>
      <w:r w:rsidR="00D1183F">
        <w:t>“</w:t>
      </w:r>
      <w:r w:rsidR="00C65D7F">
        <w:t xml:space="preserve">Spanish </w:t>
      </w:r>
      <w:r w:rsidR="00D1183F">
        <w:t xml:space="preserve">culture or </w:t>
      </w:r>
      <w:r w:rsidR="00C65D7F">
        <w:t>origin,</w:t>
      </w:r>
      <w:r w:rsidR="00D1183F">
        <w:t>”</w:t>
      </w:r>
      <w:r w:rsidR="00C65D7F">
        <w:t xml:space="preserve"> as detailed above. Even otherwise, the Commission, in the absence of clear guidelines, should look to existing federal and state laws and court decisions in including Portuguese Americans under the General Order’s definition of Hispanic Americans, as detailed below.</w:t>
      </w:r>
    </w:p>
    <w:p w:rsidR="007B01B3" w:rsidP="002E42CE" w:rsidRDefault="00C65D7F" w14:paraId="14E785E7" w14:textId="31457333">
      <w:pPr>
        <w:spacing w:after="240"/>
      </w:pPr>
      <w:r>
        <w:t>Where</w:t>
      </w:r>
      <w:r w:rsidRPr="00A6031B">
        <w:t xml:space="preserve"> </w:t>
      </w:r>
      <w:r w:rsidR="00F61835">
        <w:t>GO </w:t>
      </w:r>
      <w:r w:rsidRPr="00A6031B">
        <w:t>156</w:t>
      </w:r>
      <w:r>
        <w:t xml:space="preserve"> spells out the lower bounds of national origins considered Hispanic, it</w:t>
      </w:r>
      <w:r w:rsidRPr="00A6031B">
        <w:t xml:space="preserve"> does not clearly define the </w:t>
      </w:r>
      <w:r>
        <w:t>upper</w:t>
      </w:r>
      <w:r w:rsidRPr="00A6031B">
        <w:t xml:space="preserve"> </w:t>
      </w:r>
      <w:r>
        <w:t>limits</w:t>
      </w:r>
      <w:r w:rsidRPr="00A6031B">
        <w:t xml:space="preserve"> of </w:t>
      </w:r>
      <w:r>
        <w:t xml:space="preserve">persons </w:t>
      </w:r>
      <w:r w:rsidRPr="00A6031B">
        <w:t>inclu</w:t>
      </w:r>
      <w:r>
        <w:t>ded</w:t>
      </w:r>
      <w:r w:rsidRPr="00A6031B">
        <w:t xml:space="preserve"> </w:t>
      </w:r>
      <w:r>
        <w:t>in this category.</w:t>
      </w:r>
      <w:r w:rsidRPr="00A6031B">
        <w:t xml:space="preserve"> </w:t>
      </w:r>
      <w:r>
        <w:t xml:space="preserve">In this vacuum, </w:t>
      </w:r>
      <w:r w:rsidRPr="00A6031B">
        <w:t>the Commission can rely on</w:t>
      </w:r>
      <w:r>
        <w:t xml:space="preserve"> the views of other courts and</w:t>
      </w:r>
      <w:r w:rsidRPr="00A6031B">
        <w:t xml:space="preserve"> interpretation</w:t>
      </w:r>
      <w:r>
        <w:t>s</w:t>
      </w:r>
      <w:r w:rsidRPr="00A6031B">
        <w:t xml:space="preserve"> grounded in state and federal law. The Public Utilities Code </w:t>
      </w:r>
      <w:r>
        <w:t>allows the Commission to defer to</w:t>
      </w:r>
      <w:r w:rsidRPr="00A6031B">
        <w:t xml:space="preserve"> federal disadvantaged business enterprise standards</w:t>
      </w:r>
      <w:r>
        <w:t xml:space="preserve"> to fill in any gaps in understanding that may arise</w:t>
      </w:r>
      <w:r w:rsidRPr="00A6031B">
        <w:t>.</w:t>
      </w:r>
      <w:r w:rsidRPr="00A6031B">
        <w:rPr>
          <w:vertAlign w:val="superscript"/>
        </w:rPr>
        <w:footnoteReference w:id="50"/>
      </w:r>
      <w:r w:rsidRPr="00A6031B">
        <w:t xml:space="preserve"> Here, </w:t>
      </w:r>
      <w:r w:rsidRPr="00741A9F">
        <w:t>Hispanic Americans include persons of Portuguese culture or origin, regardless of race</w:t>
      </w:r>
      <w:r w:rsidRPr="00A6031B">
        <w:t>.</w:t>
      </w:r>
      <w:r w:rsidRPr="00A6031B">
        <w:rPr>
          <w:vertAlign w:val="superscript"/>
        </w:rPr>
        <w:footnoteReference w:id="51"/>
      </w:r>
      <w:r w:rsidRPr="00A6031B">
        <w:t xml:space="preserve"> </w:t>
      </w:r>
      <w:r>
        <w:t>All</w:t>
      </w:r>
      <w:r w:rsidR="008568EE">
        <w:t xml:space="preserve"> of Appellant’s</w:t>
      </w:r>
      <w:r>
        <w:t xml:space="preserve"> current shareholders </w:t>
      </w:r>
      <w:r w:rsidRPr="00A6031B">
        <w:t xml:space="preserve">are descendants of </w:t>
      </w:r>
      <w:r>
        <w:t xml:space="preserve">Azorean </w:t>
      </w:r>
      <w:r w:rsidRPr="00A6031B">
        <w:t>Portuguese immigrants</w:t>
      </w:r>
      <w:r>
        <w:t xml:space="preserve"> to the United States. Following federal regulations, they should therefore be Hispanic Americans, making</w:t>
      </w:r>
      <w:r w:rsidRPr="00A6031B">
        <w:t xml:space="preserve"> Appellant</w:t>
      </w:r>
      <w:r>
        <w:t xml:space="preserve"> a Hispanic American</w:t>
      </w:r>
      <w:r w:rsidR="00C47FD8">
        <w:noBreakHyphen/>
      </w:r>
      <w:r>
        <w:t>owned business</w:t>
      </w:r>
      <w:r w:rsidRPr="00A6031B">
        <w:t>.</w:t>
      </w:r>
    </w:p>
    <w:p w:rsidRPr="00C65D7F" w:rsidR="00E545DA" w:rsidP="00E136A9" w:rsidRDefault="00350B7F" w14:paraId="16BD46AA" w14:textId="77777777">
      <w:pPr>
        <w:keepNext/>
        <w:spacing w:after="240"/>
        <w:rPr>
          <w:bCs/>
          <w:szCs w:val="24"/>
          <w:u w:val="single"/>
        </w:rPr>
      </w:pPr>
      <w:r>
        <w:rPr>
          <w:bCs/>
          <w:szCs w:val="24"/>
          <w:u w:val="single"/>
        </w:rPr>
        <w:lastRenderedPageBreak/>
        <w:t>No Good Cause to</w:t>
      </w:r>
      <w:r w:rsidR="000A2D33">
        <w:rPr>
          <w:bCs/>
          <w:szCs w:val="24"/>
          <w:u w:val="single"/>
        </w:rPr>
        <w:t xml:space="preserve"> Stay </w:t>
      </w:r>
      <w:r>
        <w:rPr>
          <w:bCs/>
          <w:szCs w:val="24"/>
          <w:u w:val="single"/>
        </w:rPr>
        <w:t xml:space="preserve">Citation </w:t>
      </w:r>
      <w:r w:rsidR="000A2D33">
        <w:rPr>
          <w:bCs/>
          <w:szCs w:val="24"/>
          <w:u w:val="single"/>
        </w:rPr>
        <w:t>Appeal</w:t>
      </w:r>
    </w:p>
    <w:p w:rsidRPr="00910050" w:rsidR="00C97E7A" w:rsidP="002E42CE" w:rsidRDefault="000A2D33" w14:paraId="73FA7DD2" w14:textId="54263971">
      <w:pPr>
        <w:spacing w:after="240"/>
        <w:rPr>
          <w:u w:val="single"/>
        </w:rPr>
      </w:pPr>
      <w:r>
        <w:t>Respondent raised the issue of whether K.21</w:t>
      </w:r>
      <w:r w:rsidR="00C47FD8">
        <w:noBreakHyphen/>
      </w:r>
      <w:r>
        <w:t>04</w:t>
      </w:r>
      <w:r w:rsidR="00C47FD8">
        <w:noBreakHyphen/>
      </w:r>
      <w:r>
        <w:t>002 should be stayed, pending resolution of the Commission’s rulemaking proceeding in R.21</w:t>
      </w:r>
      <w:r w:rsidR="00C47FD8">
        <w:noBreakHyphen/>
      </w:r>
      <w:r>
        <w:t>03</w:t>
      </w:r>
      <w:r w:rsidR="00C47FD8">
        <w:noBreakHyphen/>
      </w:r>
      <w:r>
        <w:t xml:space="preserve">010 (Rulemaking to Revise </w:t>
      </w:r>
      <w:r w:rsidR="00F61835">
        <w:t>GO </w:t>
      </w:r>
      <w:r>
        <w:t>156).</w:t>
      </w:r>
      <w:r w:rsidR="000D20BA">
        <w:t xml:space="preserve"> </w:t>
      </w:r>
      <w:r w:rsidR="00BB431B">
        <w:t>Respondent stated that if the Commission adds “Portuguese American</w:t>
      </w:r>
      <w:r w:rsidR="00E505AA">
        <w:t>s</w:t>
      </w:r>
      <w:r w:rsidR="00BB431B">
        <w:t xml:space="preserve">” to the list of eligible minority groups in </w:t>
      </w:r>
      <w:r w:rsidR="00F61835">
        <w:t>GO </w:t>
      </w:r>
      <w:r w:rsidR="00BB431B">
        <w:t>156, this citation appeal would become moot</w:t>
      </w:r>
      <w:r w:rsidR="00910050">
        <w:t>. That is true. However, we cannot speculate about th</w:t>
      </w:r>
      <w:r w:rsidR="00E505AA">
        <w:t>e</w:t>
      </w:r>
      <w:r w:rsidR="00910050">
        <w:t xml:space="preserve"> potential end</w:t>
      </w:r>
      <w:r w:rsidR="00C47FD8">
        <w:noBreakHyphen/>
      </w:r>
      <w:r w:rsidR="00910050">
        <w:t xml:space="preserve">result of an ongoing rulemaking proceeding. Also, </w:t>
      </w:r>
      <w:r>
        <w:t xml:space="preserve">Appellant filed this appeal </w:t>
      </w:r>
      <w:r w:rsidR="00910050">
        <w:t xml:space="preserve">on </w:t>
      </w:r>
      <w:r w:rsidR="00106F82">
        <w:t>April </w:t>
      </w:r>
      <w:r w:rsidR="00910050">
        <w:t xml:space="preserve">1, 2021, </w:t>
      </w:r>
      <w:r>
        <w:t xml:space="preserve">under current </w:t>
      </w:r>
      <w:r w:rsidR="00F61835">
        <w:t>GO </w:t>
      </w:r>
      <w:r>
        <w:t xml:space="preserve">156, as amended on </w:t>
      </w:r>
      <w:r w:rsidR="008D7DF4">
        <w:t>June </w:t>
      </w:r>
      <w:r>
        <w:t>11, 2015, not based on any potential</w:t>
      </w:r>
      <w:r w:rsidR="00910050">
        <w:t xml:space="preserve"> speculative</w:t>
      </w:r>
      <w:r>
        <w:t xml:space="preserve"> future amendments to </w:t>
      </w:r>
      <w:r w:rsidR="00F61835">
        <w:t>GO </w:t>
      </w:r>
      <w:r>
        <w:t xml:space="preserve">156. </w:t>
      </w:r>
      <w:r w:rsidR="00350B7F">
        <w:t>Moreover, it has been over two years since Appellant filed this citation appeal with the Commission</w:t>
      </w:r>
      <w:r w:rsidR="00910050">
        <w:t>. Our</w:t>
      </w:r>
      <w:r w:rsidRPr="00910050" w:rsidR="00910050">
        <w:t xml:space="preserve"> </w:t>
      </w:r>
      <w:r w:rsidRPr="00910050" w:rsidR="00350B7F">
        <w:t>conclusions reached</w:t>
      </w:r>
      <w:r w:rsidRPr="00910050" w:rsidR="00910050">
        <w:t xml:space="preserve"> in this appeal include</w:t>
      </w:r>
      <w:r w:rsidRPr="00910050" w:rsidR="00350B7F">
        <w:t xml:space="preserve"> </w:t>
      </w:r>
      <w:r w:rsidRPr="00910050" w:rsidR="00910050">
        <w:t xml:space="preserve">that Portuguese American persons with origins in the Azores meet </w:t>
      </w:r>
      <w:r w:rsidR="00F61835">
        <w:t>GO </w:t>
      </w:r>
      <w:r w:rsidRPr="00910050" w:rsidR="00910050">
        <w:t>156’s definition of Hispanic American persons</w:t>
      </w:r>
      <w:r w:rsidR="00910050">
        <w:t>. As such, b</w:t>
      </w:r>
      <w:r>
        <w:t>ased on our analysis and conclusion</w:t>
      </w:r>
      <w:r w:rsidR="00350B7F">
        <w:t>s</w:t>
      </w:r>
      <w:r>
        <w:t xml:space="preserve">, we do not </w:t>
      </w:r>
      <w:r w:rsidR="00350B7F">
        <w:t>find good cause</w:t>
      </w:r>
      <w:r>
        <w:t xml:space="preserve"> to </w:t>
      </w:r>
      <w:r w:rsidR="00910050">
        <w:t xml:space="preserve">prolong and </w:t>
      </w:r>
      <w:r>
        <w:t xml:space="preserve">stay this current appeal pending the rulemaking proceeding. Therefore, we deny Respondent’s request to stay this citation appeal, </w:t>
      </w:r>
      <w:r w:rsidRPr="00915B8F">
        <w:t xml:space="preserve">as </w:t>
      </w:r>
      <w:r w:rsidR="00E505AA">
        <w:t>ordered</w:t>
      </w:r>
      <w:r w:rsidRPr="00915B8F">
        <w:t xml:space="preserve"> in the ordering paragraphs </w:t>
      </w:r>
      <w:r w:rsidR="00E505AA">
        <w:t>below</w:t>
      </w:r>
      <w:r w:rsidRPr="00915B8F">
        <w:t>.</w:t>
      </w:r>
    </w:p>
    <w:p w:rsidRPr="000A2D33" w:rsidR="000A2D33" w:rsidP="00E136A9" w:rsidRDefault="000A2D33" w14:paraId="51E794BB" w14:textId="77777777">
      <w:pPr>
        <w:keepNext/>
        <w:spacing w:after="240"/>
        <w:rPr>
          <w:u w:val="single"/>
        </w:rPr>
      </w:pPr>
      <w:r w:rsidRPr="000A2D33">
        <w:rPr>
          <w:u w:val="single"/>
        </w:rPr>
        <w:t>Conclusion</w:t>
      </w:r>
    </w:p>
    <w:p w:rsidR="004F6AE1" w:rsidP="002E42CE" w:rsidRDefault="00D1183F" w14:paraId="686B5F6E" w14:textId="28607670">
      <w:pPr>
        <w:spacing w:after="240"/>
      </w:pPr>
      <w:r w:rsidRPr="00B3050D">
        <w:t>The Commission’s founding and guiding documents justify its actions within the powers granted to it by the Constitution of California.</w:t>
      </w:r>
      <w:r w:rsidRPr="00B3050D">
        <w:rPr>
          <w:vertAlign w:val="superscript"/>
        </w:rPr>
        <w:footnoteReference w:id="52"/>
      </w:r>
      <w:r w:rsidRPr="00B3050D">
        <w:t xml:space="preserve"> The Constitution grants the Commission broad authority over public utilities</w:t>
      </w:r>
      <w:r>
        <w:t>,</w:t>
      </w:r>
      <w:r w:rsidRPr="00B3050D">
        <w:rPr>
          <w:vertAlign w:val="superscript"/>
        </w:rPr>
        <w:footnoteReference w:id="53"/>
      </w:r>
      <w:r>
        <w:t xml:space="preserve"> guided by the ideal of promoting equitable access to every section of Californian society in the related economic successes. That vision of economic well</w:t>
      </w:r>
      <w:r w:rsidR="00C47FD8">
        <w:noBreakHyphen/>
      </w:r>
      <w:r>
        <w:t xml:space="preserve">being </w:t>
      </w:r>
      <w:r w:rsidRPr="007B1247">
        <w:t xml:space="preserve">cannot be realized </w:t>
      </w:r>
      <w:r>
        <w:t>“</w:t>
      </w:r>
      <w:r w:rsidRPr="007B1247">
        <w:t>unless the actual and potential capacity of women, minority</w:t>
      </w:r>
      <w:r w:rsidR="00C74B3C">
        <w:t xml:space="preserve">, </w:t>
      </w:r>
      <w:r w:rsidRPr="007B1247">
        <w:t>disabled veteran,</w:t>
      </w:r>
      <w:r>
        <w:t xml:space="preserve"> disabled,</w:t>
      </w:r>
      <w:r w:rsidRPr="007B1247">
        <w:t xml:space="preserve"> and </w:t>
      </w:r>
      <w:r w:rsidR="00C74B3C">
        <w:t xml:space="preserve">LGBT </w:t>
      </w:r>
      <w:r w:rsidRPr="007B1247">
        <w:t>business enterprises is encouraged and developed.</w:t>
      </w:r>
      <w:r>
        <w:t>”</w:t>
      </w:r>
      <w:r>
        <w:rPr>
          <w:rStyle w:val="FootnoteReference"/>
        </w:rPr>
        <w:footnoteReference w:id="54"/>
      </w:r>
    </w:p>
    <w:p w:rsidR="004F6AE1" w:rsidP="002E42CE" w:rsidRDefault="00D1183F" w14:paraId="760F5208" w14:textId="77777777">
      <w:pPr>
        <w:spacing w:after="240"/>
      </w:pPr>
      <w:r>
        <w:t>Portuguese Americans</w:t>
      </w:r>
      <w:r w:rsidR="008568EE">
        <w:t>’</w:t>
      </w:r>
      <w:r>
        <w:t xml:space="preserve"> minority status in California </w:t>
      </w:r>
      <w:r w:rsidR="00A13102">
        <w:t>call</w:t>
      </w:r>
      <w:r w:rsidR="008568EE">
        <w:t>s</w:t>
      </w:r>
      <w:r w:rsidR="00A13102">
        <w:t xml:space="preserve"> for</w:t>
      </w:r>
      <w:r w:rsidR="008A0638">
        <w:t xml:space="preserve"> their inclusion as a minority for purposes of </w:t>
      </w:r>
      <w:r w:rsidR="00F61835">
        <w:t>GO </w:t>
      </w:r>
      <w:r w:rsidR="008A0638">
        <w:t xml:space="preserve">156. However, even if we do not consider Portuguese Americans as minorities in California for purposes of </w:t>
      </w:r>
      <w:r w:rsidR="00F61835">
        <w:t>GO </w:t>
      </w:r>
      <w:r w:rsidR="008A0638">
        <w:t xml:space="preserve">156, we do consider Azoreans to meet the definition of “Hispanic American persons,” under </w:t>
      </w:r>
      <w:r w:rsidR="00F61835">
        <w:t>GO </w:t>
      </w:r>
      <w:r w:rsidR="001A376A">
        <w:t>156</w:t>
      </w:r>
      <w:r w:rsidR="008A0638">
        <w:t>, because of the</w:t>
      </w:r>
      <w:r w:rsidR="00E505AA">
        <w:t xml:space="preserve"> Azores’ strong ties to </w:t>
      </w:r>
      <w:r w:rsidR="008A0638">
        <w:t>“Spanish culture</w:t>
      </w:r>
      <w:r w:rsidR="00E505AA">
        <w:t>.</w:t>
      </w:r>
      <w:r w:rsidR="008A0638">
        <w:t>”</w:t>
      </w:r>
    </w:p>
    <w:p w:rsidRPr="004F6AE1" w:rsidR="004F6AE1" w:rsidP="002E42CE" w:rsidRDefault="008A0638" w14:paraId="3A8AEADA" w14:textId="3BB16142">
      <w:pPr>
        <w:spacing w:after="240"/>
      </w:pPr>
      <w:r>
        <w:t>In reaching this conclusion</w:t>
      </w:r>
      <w:r w:rsidR="00D1183F">
        <w:t xml:space="preserve">, ultimately, the Commission </w:t>
      </w:r>
      <w:r w:rsidR="00B53F5C">
        <w:t>fulfills</w:t>
      </w:r>
      <w:r w:rsidR="00D1183F">
        <w:t xml:space="preserve"> the noble legislative intent of preserving and promoting free competitive enterprise, grounded in fairness and equity,</w:t>
      </w:r>
      <w:r w:rsidRPr="004F6AE1" w:rsidR="00D1183F">
        <w:rPr>
          <w:szCs w:val="24"/>
        </w:rPr>
        <w:t xml:space="preserve"> that maintains and strengthens the economic future of the State.</w:t>
      </w:r>
      <w:r w:rsidRPr="004F6AE1" w:rsidR="00D1183F">
        <w:rPr>
          <w:rStyle w:val="FootnoteReference"/>
          <w:szCs w:val="24"/>
        </w:rPr>
        <w:footnoteReference w:id="55"/>
      </w:r>
      <w:r w:rsidRPr="004F6AE1">
        <w:rPr>
          <w:szCs w:val="24"/>
        </w:rPr>
        <w:t xml:space="preserve"> Moreover, in reaching this conclusion, the Commission also</w:t>
      </w:r>
      <w:r w:rsidRPr="004F6AE1" w:rsidR="00910050">
        <w:rPr>
          <w:szCs w:val="24"/>
        </w:rPr>
        <w:t xml:space="preserve"> </w:t>
      </w:r>
      <w:r w:rsidRPr="004F6AE1" w:rsidR="0067075F">
        <w:rPr>
          <w:szCs w:val="24"/>
        </w:rPr>
        <w:t xml:space="preserve">aligns itself with Governor </w:t>
      </w:r>
      <w:r w:rsidRPr="004F6AE1" w:rsidR="0067075F">
        <w:rPr>
          <w:szCs w:val="24"/>
        </w:rPr>
        <w:lastRenderedPageBreak/>
        <w:t xml:space="preserve">Gavin Newsom’s views on diversity, that is, that </w:t>
      </w:r>
      <w:r w:rsidRPr="004F6AE1" w:rsidR="00910050">
        <w:rPr>
          <w:color w:val="111111"/>
          <w:szCs w:val="24"/>
          <w:shd w:val="clear" w:color="auto" w:fill="FFFFFF"/>
        </w:rPr>
        <w:t>“California doesn’t succeed in spite of our diversity</w:t>
      </w:r>
      <w:r w:rsidR="004C64CB">
        <w:rPr>
          <w:color w:val="111111"/>
          <w:szCs w:val="24"/>
          <w:shd w:val="clear" w:color="auto" w:fill="FFFFFF"/>
        </w:rPr>
        <w:t xml:space="preserve"> — </w:t>
      </w:r>
      <w:r w:rsidRPr="004F6AE1" w:rsidR="00910050">
        <w:rPr>
          <w:color w:val="111111"/>
          <w:szCs w:val="24"/>
          <w:shd w:val="clear" w:color="auto" w:fill="FFFFFF"/>
        </w:rPr>
        <w:t>our state succeeds because of it</w:t>
      </w:r>
      <w:r w:rsidRPr="004F6AE1" w:rsidR="0067075F">
        <w:rPr>
          <w:color w:val="111111"/>
          <w:szCs w:val="24"/>
          <w:shd w:val="clear" w:color="auto" w:fill="FFFFFF"/>
        </w:rPr>
        <w:t>.</w:t>
      </w:r>
      <w:r w:rsidRPr="004F6AE1" w:rsidR="00910050">
        <w:rPr>
          <w:color w:val="111111"/>
          <w:szCs w:val="24"/>
          <w:shd w:val="clear" w:color="auto" w:fill="FFFFFF"/>
        </w:rPr>
        <w:t>”</w:t>
      </w:r>
      <w:r w:rsidRPr="004F6AE1" w:rsidR="0067075F">
        <w:rPr>
          <w:rStyle w:val="FootnoteReference"/>
          <w:color w:val="111111"/>
          <w:szCs w:val="24"/>
          <w:shd w:val="clear" w:color="auto" w:fill="FFFFFF"/>
        </w:rPr>
        <w:footnoteReference w:id="56"/>
      </w:r>
    </w:p>
    <w:p w:rsidR="000D20BA" w:rsidP="002E42CE" w:rsidRDefault="00E505AA" w14:paraId="46D31BAC" w14:textId="77777777">
      <w:pPr>
        <w:spacing w:after="240"/>
      </w:pPr>
      <w:r>
        <w:t>W</w:t>
      </w:r>
      <w:r w:rsidRPr="008977EC" w:rsidR="00E545DA">
        <w:t xml:space="preserve">e </w:t>
      </w:r>
      <w:r w:rsidR="008A0638">
        <w:t>conclude</w:t>
      </w:r>
      <w:r w:rsidRPr="008977EC" w:rsidR="00E545DA">
        <w:t xml:space="preserve"> that Respondent erred </w:t>
      </w:r>
      <w:r w:rsidR="008A0638">
        <w:t>in denying Appellant’s recertification</w:t>
      </w:r>
      <w:r w:rsidR="004C64CB">
        <w:t xml:space="preserve"> — </w:t>
      </w:r>
      <w:r w:rsidR="008A0638">
        <w:t>for the first time in over 20 years</w:t>
      </w:r>
      <w:r w:rsidR="004C64CB">
        <w:t xml:space="preserve"> — </w:t>
      </w:r>
      <w:r w:rsidR="008A0638">
        <w:t>as an MBE.</w:t>
      </w:r>
    </w:p>
    <w:p w:rsidR="003904B9" w:rsidP="00E136A9" w:rsidRDefault="004001EF" w14:paraId="7BE9B99C" w14:textId="12E3C396">
      <w:pPr>
        <w:keepNext/>
        <w:spacing w:after="240"/>
        <w:rPr>
          <w:b/>
          <w:u w:val="single"/>
        </w:rPr>
      </w:pPr>
      <w:r>
        <w:rPr>
          <w:b/>
          <w:u w:val="single"/>
        </w:rPr>
        <w:t>SAFETY</w:t>
      </w:r>
    </w:p>
    <w:p w:rsidR="004001EF" w:rsidP="002E42CE" w:rsidRDefault="00C63FFE" w14:paraId="3D23FF77" w14:textId="32388075">
      <w:pPr>
        <w:spacing w:after="240"/>
      </w:pPr>
      <w:r>
        <w:t>The Commission has broad authority</w:t>
      </w:r>
      <w:r w:rsidR="00E505AA">
        <w:t xml:space="preserve"> on </w:t>
      </w:r>
      <w:r>
        <w:t>safety concerns.</w:t>
      </w:r>
      <w:r w:rsidR="008A0638">
        <w:rPr>
          <w:rStyle w:val="FootnoteReference"/>
        </w:rPr>
        <w:footnoteReference w:id="57"/>
      </w:r>
      <w:r w:rsidR="000D20BA">
        <w:t xml:space="preserve"> </w:t>
      </w:r>
      <w:r w:rsidR="00A4580A">
        <w:t>Although d</w:t>
      </w:r>
      <w:r>
        <w:t>esignation as a</w:t>
      </w:r>
      <w:r w:rsidR="008A0638">
        <w:t>n MBE</w:t>
      </w:r>
      <w:r>
        <w:t xml:space="preserve"> does not pose any </w:t>
      </w:r>
      <w:r w:rsidR="00E3751F">
        <w:t xml:space="preserve">direct </w:t>
      </w:r>
      <w:r>
        <w:t xml:space="preserve">safety </w:t>
      </w:r>
      <w:r w:rsidR="00A4580A">
        <w:t>concerns,</w:t>
      </w:r>
      <w:r>
        <w:t xml:space="preserve"> </w:t>
      </w:r>
      <w:r w:rsidR="00A4580A">
        <w:t>integrity in the contracting</w:t>
      </w:r>
      <w:r>
        <w:t xml:space="preserve"> process </w:t>
      </w:r>
      <w:r w:rsidR="00A4580A">
        <w:t xml:space="preserve">for public utilities </w:t>
      </w:r>
      <w:r>
        <w:t>furthers safety through regulatory compliance.</w:t>
      </w:r>
    </w:p>
    <w:p w:rsidR="004001EF" w:rsidP="00E136A9" w:rsidRDefault="004001EF" w14:paraId="5A72DA2A" w14:textId="77777777">
      <w:pPr>
        <w:keepNext/>
        <w:spacing w:after="240"/>
        <w:rPr>
          <w:b/>
          <w:u w:val="single"/>
        </w:rPr>
      </w:pPr>
      <w:r>
        <w:rPr>
          <w:b/>
          <w:u w:val="single"/>
        </w:rPr>
        <w:t>COMMENTS</w:t>
      </w:r>
    </w:p>
    <w:p w:rsidR="00A33F68" w:rsidP="002E42CE" w:rsidRDefault="00A33F68" w14:paraId="74284A08" w14:textId="3F5CE029">
      <w:pPr>
        <w:spacing w:after="240"/>
      </w:pPr>
      <w:r w:rsidRPr="00A33F68">
        <w:t>Pub.</w:t>
      </w:r>
      <w:r>
        <w:t> </w:t>
      </w:r>
      <w:r w:rsidRPr="00A33F68">
        <w:t xml:space="preserve">Util. Code </w:t>
      </w:r>
      <w:r>
        <w:t>Section </w:t>
      </w:r>
      <w:r w:rsidRPr="00A33F68">
        <w:t xml:space="preserve">311(g)(1) requires that a draft resolution be served on all parties and be subject to a public review and comment period of 30 days or more, prior to a vote of the Commission on the </w:t>
      </w:r>
      <w:r w:rsidR="004F35D9">
        <w:t>r</w:t>
      </w:r>
      <w:r w:rsidRPr="00A33F68">
        <w:t xml:space="preserve">esolution. Accordingly, the draft Resolution was timely mailed for comments. </w:t>
      </w:r>
    </w:p>
    <w:p w:rsidR="009D27FB" w:rsidP="00E136A9" w:rsidRDefault="009D27FB" w14:paraId="35127C3E" w14:textId="77777777">
      <w:pPr>
        <w:keepNext/>
        <w:spacing w:after="240"/>
        <w:rPr>
          <w:b/>
          <w:u w:val="single"/>
        </w:rPr>
      </w:pPr>
      <w:r>
        <w:rPr>
          <w:b/>
          <w:u w:val="single"/>
        </w:rPr>
        <w:t>FINDINGS</w:t>
      </w:r>
      <w:r w:rsidR="00EE4F1B">
        <w:rPr>
          <w:b/>
          <w:u w:val="single"/>
        </w:rPr>
        <w:t xml:space="preserve"> OF FACT</w:t>
      </w:r>
    </w:p>
    <w:p w:rsidR="000C2EAF" w:rsidP="00E136A9" w:rsidRDefault="008568EE" w14:paraId="0F0EE2A9" w14:textId="77777777">
      <w:pPr>
        <w:pStyle w:val="ResFoF"/>
        <w:numPr>
          <w:ilvl w:val="0"/>
          <w:numId w:val="4"/>
        </w:numPr>
        <w:ind w:left="360"/>
      </w:pPr>
      <w:r>
        <w:t>Appellant is a California corporation incorporated in 1971.</w:t>
      </w:r>
    </w:p>
    <w:p w:rsidR="004F6AE1" w:rsidP="00E136A9" w:rsidRDefault="007622B7" w14:paraId="5605AC69" w14:textId="18286D8F">
      <w:pPr>
        <w:pStyle w:val="ResFoF"/>
        <w:numPr>
          <w:ilvl w:val="0"/>
          <w:numId w:val="4"/>
        </w:numPr>
        <w:ind w:left="360"/>
      </w:pPr>
      <w:r>
        <w:t xml:space="preserve">On </w:t>
      </w:r>
      <w:r w:rsidR="00106F82">
        <w:t>February </w:t>
      </w:r>
      <w:r>
        <w:t>5, 1991, Respondent first certified Appellant as an MBE, classified as a Hispanic American</w:t>
      </w:r>
      <w:r w:rsidR="00C47FD8">
        <w:noBreakHyphen/>
      </w:r>
      <w:r>
        <w:t xml:space="preserve">owned business. Appellant’s shares on that date were split equally amongst </w:t>
      </w:r>
      <w:r w:rsidR="009373BB">
        <w:t>Ernest A.</w:t>
      </w:r>
      <w:r>
        <w:t xml:space="preserve"> Gonzales and his adult children</w:t>
      </w:r>
      <w:r w:rsidR="003E7EA5">
        <w:t xml:space="preserve">:  </w:t>
      </w:r>
      <w:r w:rsidR="009373BB">
        <w:t>John A.</w:t>
      </w:r>
      <w:r>
        <w:t xml:space="preserve"> Gonzales, </w:t>
      </w:r>
      <w:r w:rsidR="009373BB">
        <w:t>Michael A.</w:t>
      </w:r>
      <w:r>
        <w:t xml:space="preserve"> Gonzales, and </w:t>
      </w:r>
      <w:r w:rsidR="009373BB">
        <w:t>Cathy J.</w:t>
      </w:r>
      <w:r>
        <w:t xml:space="preserve"> Parshall.</w:t>
      </w:r>
    </w:p>
    <w:p w:rsidR="007622B7" w:rsidP="00E136A9" w:rsidRDefault="009373BB" w14:paraId="0A33448D" w14:textId="19B3FEB4">
      <w:pPr>
        <w:pStyle w:val="ResFoF"/>
        <w:numPr>
          <w:ilvl w:val="0"/>
          <w:numId w:val="4"/>
        </w:numPr>
        <w:ind w:left="360"/>
      </w:pPr>
      <w:r>
        <w:t>Ernest A.</w:t>
      </w:r>
      <w:r w:rsidR="00D65998">
        <w:t xml:space="preserve"> </w:t>
      </w:r>
      <w:r w:rsidR="007622B7">
        <w:t>Gonzales</w:t>
      </w:r>
      <w:r w:rsidR="008568EE">
        <w:t xml:space="preserve"> </w:t>
      </w:r>
      <w:r w:rsidR="007622B7">
        <w:t xml:space="preserve">and his children are all Americans of Portuguese descent, through </w:t>
      </w:r>
      <w:r>
        <w:t>Ernest A.</w:t>
      </w:r>
      <w:r w:rsidR="00D65998">
        <w:t xml:space="preserve"> </w:t>
      </w:r>
      <w:r w:rsidR="00BB449D">
        <w:t>Gonzales’ father (Bras Gonzales), who was born in Portugal’s Azores islands.</w:t>
      </w:r>
    </w:p>
    <w:p w:rsidR="007622B7" w:rsidP="00E136A9" w:rsidRDefault="007622B7" w14:paraId="11950144" w14:textId="77777777">
      <w:pPr>
        <w:pStyle w:val="ResFoF"/>
        <w:numPr>
          <w:ilvl w:val="0"/>
          <w:numId w:val="4"/>
        </w:numPr>
        <w:ind w:left="360"/>
      </w:pPr>
      <w:r>
        <w:t>Appellant’s MBE certification was renewed in 1996, 1999, 2002, 2005, 2008, 2011, 2014, and 2017.</w:t>
      </w:r>
    </w:p>
    <w:p w:rsidRPr="007622B7" w:rsidR="007622B7" w:rsidP="00E136A9" w:rsidRDefault="007622B7" w14:paraId="675ECEBA" w14:textId="74BA5CC5">
      <w:pPr>
        <w:pStyle w:val="ResFoF"/>
        <w:numPr>
          <w:ilvl w:val="0"/>
          <w:numId w:val="4"/>
        </w:numPr>
        <w:ind w:left="360"/>
      </w:pPr>
      <w:r>
        <w:lastRenderedPageBreak/>
        <w:t xml:space="preserve">In January 2009, </w:t>
      </w:r>
      <w:r w:rsidR="009373BB">
        <w:t>Ernest A.</w:t>
      </w:r>
      <w:r w:rsidR="00D65998">
        <w:t xml:space="preserve"> </w:t>
      </w:r>
      <w:r>
        <w:t xml:space="preserve">Gonzales passed away. Currently, Appellant’s shareholders are </w:t>
      </w:r>
      <w:r w:rsidR="009373BB">
        <w:t>John A.</w:t>
      </w:r>
      <w:r w:rsidRPr="00BF0E2F">
        <w:t xml:space="preserve"> Gonzales</w:t>
      </w:r>
      <w:r>
        <w:t xml:space="preserve"> (</w:t>
      </w:r>
      <w:r w:rsidRPr="00BF0E2F">
        <w:t>President</w:t>
      </w:r>
      <w:r>
        <w:t>),</w:t>
      </w:r>
      <w:r w:rsidRPr="00BF0E2F">
        <w:t xml:space="preserve"> </w:t>
      </w:r>
      <w:r w:rsidR="009373BB">
        <w:t>Michael A.</w:t>
      </w:r>
      <w:r w:rsidRPr="00BF0E2F">
        <w:t xml:space="preserve"> Gonzales</w:t>
      </w:r>
      <w:r>
        <w:t xml:space="preserve"> (</w:t>
      </w:r>
      <w:r w:rsidRPr="00BF0E2F">
        <w:t>Vice President</w:t>
      </w:r>
      <w:r>
        <w:t>),</w:t>
      </w:r>
      <w:r w:rsidRPr="00BF0E2F">
        <w:t xml:space="preserve"> and </w:t>
      </w:r>
      <w:r w:rsidR="009373BB">
        <w:t>Cathy J.</w:t>
      </w:r>
      <w:r w:rsidRPr="00BF0E2F">
        <w:t xml:space="preserve"> Parshall</w:t>
      </w:r>
      <w:r>
        <w:t xml:space="preserve"> (</w:t>
      </w:r>
      <w:r w:rsidRPr="00BF0E2F">
        <w:t>Secretary</w:t>
      </w:r>
      <w:r>
        <w:t>), all of whom own an equal interest</w:t>
      </w:r>
      <w:r w:rsidRPr="00BF0E2F">
        <w:t>.</w:t>
      </w:r>
    </w:p>
    <w:p w:rsidR="007622B7" w:rsidP="00E136A9" w:rsidRDefault="007622B7" w14:paraId="5E95B8CC" w14:textId="7F809EE4">
      <w:pPr>
        <w:pStyle w:val="ResFoF"/>
        <w:numPr>
          <w:ilvl w:val="0"/>
          <w:numId w:val="4"/>
        </w:numPr>
        <w:ind w:left="360"/>
      </w:pPr>
      <w:r>
        <w:t>O</w:t>
      </w:r>
      <w:r w:rsidRPr="00FA3036">
        <w:t xml:space="preserve">n </w:t>
      </w:r>
      <w:r w:rsidR="008D7DF4">
        <w:t>May </w:t>
      </w:r>
      <w:r w:rsidRPr="00FA3036">
        <w:t>15, 2020</w:t>
      </w:r>
      <w:r>
        <w:t>, A</w:t>
      </w:r>
      <w:r w:rsidRPr="00FA3036">
        <w:t xml:space="preserve">ppellant submitted a renewal application </w:t>
      </w:r>
      <w:r>
        <w:t>to Respondent, which Respondent then denied.</w:t>
      </w:r>
    </w:p>
    <w:p w:rsidR="0067075F" w:rsidP="00E136A9" w:rsidRDefault="0067075F" w14:paraId="02217D3A" w14:textId="77777777">
      <w:pPr>
        <w:pStyle w:val="ResFoF"/>
        <w:numPr>
          <w:ilvl w:val="0"/>
          <w:numId w:val="4"/>
        </w:numPr>
        <w:ind w:left="360"/>
      </w:pPr>
      <w:r>
        <w:t xml:space="preserve">The </w:t>
      </w:r>
      <w:r w:rsidRPr="00A13102">
        <w:t>Azores</w:t>
      </w:r>
      <w:r>
        <w:t xml:space="preserve"> have</w:t>
      </w:r>
      <w:r w:rsidRPr="00A13102">
        <w:t xml:space="preserve"> </w:t>
      </w:r>
      <w:r w:rsidR="000D785E">
        <w:t>strong</w:t>
      </w:r>
      <w:r>
        <w:t xml:space="preserve"> historical ties to</w:t>
      </w:r>
      <w:r w:rsidRPr="00A13102">
        <w:t xml:space="preserve"> Spanish culture</w:t>
      </w:r>
      <w:r>
        <w:t>.</w:t>
      </w:r>
    </w:p>
    <w:p w:rsidRPr="00EE4F1B" w:rsidR="009D27FB" w:rsidP="00E136A9" w:rsidRDefault="00EE4F1B" w14:paraId="46FD096A" w14:textId="77777777">
      <w:pPr>
        <w:keepNext/>
        <w:spacing w:after="240"/>
        <w:rPr>
          <w:b/>
          <w:u w:val="single"/>
        </w:rPr>
      </w:pPr>
      <w:r w:rsidRPr="00EE4F1B">
        <w:rPr>
          <w:b/>
          <w:u w:val="single"/>
        </w:rPr>
        <w:t>CONCLUSIONS OF LAW</w:t>
      </w:r>
    </w:p>
    <w:p w:rsidRPr="00736B6A" w:rsidR="00EE4F1B" w:rsidP="00E136A9" w:rsidRDefault="00EE4F1B" w14:paraId="7AACB18C" w14:textId="3B11739A">
      <w:pPr>
        <w:pStyle w:val="ResCoL"/>
        <w:numPr>
          <w:ilvl w:val="0"/>
          <w:numId w:val="5"/>
        </w:numPr>
        <w:ind w:left="360"/>
        <w:rPr>
          <w:u w:val="single"/>
        </w:rPr>
      </w:pPr>
      <w:r>
        <w:t xml:space="preserve">Respondent is the duly appointed administrator of the </w:t>
      </w:r>
      <w:r w:rsidR="00E62EC8">
        <w:t>Diverse Suppliers</w:t>
      </w:r>
      <w:r>
        <w:t xml:space="preserve"> verification program established under the authority of </w:t>
      </w:r>
      <w:r w:rsidR="009063F2">
        <w:t>Pub. Util.</w:t>
      </w:r>
      <w:r>
        <w:t xml:space="preserve"> Code </w:t>
      </w:r>
      <w:r w:rsidR="004E358B">
        <w:t>S</w:t>
      </w:r>
      <w:r w:rsidR="000A2D33">
        <w:t>ections</w:t>
      </w:r>
      <w:r w:rsidR="00DF2326">
        <w:t> </w:t>
      </w:r>
      <w:r>
        <w:t>8281</w:t>
      </w:r>
      <w:r w:rsidR="004E358B">
        <w:noBreakHyphen/>
      </w:r>
      <w:r>
        <w:t xml:space="preserve">8285 and </w:t>
      </w:r>
      <w:r w:rsidR="00F61835">
        <w:t>GO </w:t>
      </w:r>
      <w:r>
        <w:t>156.</w:t>
      </w:r>
    </w:p>
    <w:p w:rsidR="004F6AE1" w:rsidP="00E136A9" w:rsidRDefault="00EE4F1B" w14:paraId="4292B1AA" w14:textId="1EECFDE4">
      <w:pPr>
        <w:pStyle w:val="ResCoL"/>
        <w:numPr>
          <w:ilvl w:val="0"/>
          <w:numId w:val="5"/>
        </w:numPr>
        <w:ind w:left="360"/>
      </w:pPr>
      <w:r>
        <w:t xml:space="preserve">The items </w:t>
      </w:r>
      <w:r w:rsidR="00B53F5C">
        <w:t>that</w:t>
      </w:r>
      <w:r>
        <w:t xml:space="preserve"> Respondent considers when investigating an applicant for </w:t>
      </w:r>
      <w:r w:rsidR="000A2D33">
        <w:t>M</w:t>
      </w:r>
      <w:r>
        <w:t>BE status are appropriate areas of inquiry, but no single item or specific combination of items is to be controlling on the issue of the applicant</w:t>
      </w:r>
      <w:r w:rsidR="00902779">
        <w:t>’</w:t>
      </w:r>
      <w:r>
        <w:t xml:space="preserve">s eligibility for verification as </w:t>
      </w:r>
      <w:r w:rsidR="008D7DF4">
        <w:t>an</w:t>
      </w:r>
      <w:r>
        <w:t xml:space="preserve"> </w:t>
      </w:r>
      <w:r w:rsidR="000A2D33">
        <w:t>M</w:t>
      </w:r>
      <w:r>
        <w:t>BE.</w:t>
      </w:r>
    </w:p>
    <w:p w:rsidRPr="00736B6A" w:rsidR="00DA3226" w:rsidP="00E136A9" w:rsidRDefault="00DA3226" w14:paraId="649EF091" w14:textId="32B41B93">
      <w:pPr>
        <w:pStyle w:val="ResCoL"/>
        <w:numPr>
          <w:ilvl w:val="0"/>
          <w:numId w:val="5"/>
        </w:numPr>
        <w:ind w:left="360"/>
        <w:rPr>
          <w:u w:val="single"/>
        </w:rPr>
      </w:pPr>
      <w:r>
        <w:t xml:space="preserve">Respondent </w:t>
      </w:r>
      <w:r w:rsidR="00902779">
        <w:t>er</w:t>
      </w:r>
      <w:r>
        <w:t xml:space="preserve">red in its determination that </w:t>
      </w:r>
      <w:r w:rsidR="000A2D33">
        <w:t>Appellant</w:t>
      </w:r>
      <w:r>
        <w:t xml:space="preserve"> does</w:t>
      </w:r>
      <w:r w:rsidR="000A2D33">
        <w:t xml:space="preserve"> qualify as an MBE under the definition of Hispanic Americans persons</w:t>
      </w:r>
      <w:r>
        <w:t>.</w:t>
      </w:r>
    </w:p>
    <w:p w:rsidR="000D20BA" w:rsidP="00E136A9" w:rsidRDefault="00DA3226" w14:paraId="0CFA0DFA" w14:textId="77777777">
      <w:pPr>
        <w:pStyle w:val="ResCoL"/>
        <w:numPr>
          <w:ilvl w:val="0"/>
          <w:numId w:val="5"/>
        </w:numPr>
        <w:ind w:left="360"/>
      </w:pPr>
      <w:r>
        <w:t xml:space="preserve">Respondent’s denial of </w:t>
      </w:r>
      <w:r w:rsidR="000A2D33">
        <w:t>M</w:t>
      </w:r>
      <w:r>
        <w:t>BE certification is not supported by substantial evidence in the record when considered as a whole.</w:t>
      </w:r>
    </w:p>
    <w:p w:rsidR="000A2D33" w:rsidP="00E136A9" w:rsidRDefault="009F313C" w14:paraId="7F0A184C" w14:textId="33E901E2">
      <w:pPr>
        <w:pStyle w:val="ResCoL"/>
        <w:numPr>
          <w:ilvl w:val="0"/>
          <w:numId w:val="5"/>
        </w:numPr>
        <w:ind w:left="360"/>
        <w:rPr>
          <w:u w:val="single"/>
        </w:rPr>
      </w:pPr>
      <w:r>
        <w:t>Respondent</w:t>
      </w:r>
      <w:r w:rsidR="00902779">
        <w:t>’s</w:t>
      </w:r>
      <w:r>
        <w:t xml:space="preserve"> motions to file </w:t>
      </w:r>
      <w:r w:rsidR="000A2D33">
        <w:t xml:space="preserve">confidential materials </w:t>
      </w:r>
      <w:r>
        <w:t>under seal should be granted.</w:t>
      </w:r>
    </w:p>
    <w:p w:rsidR="0067075F" w:rsidP="00E136A9" w:rsidRDefault="000A2D33" w14:paraId="2C3C4DDD" w14:textId="53DECB72">
      <w:pPr>
        <w:pStyle w:val="ResCoL"/>
        <w:numPr>
          <w:ilvl w:val="0"/>
          <w:numId w:val="5"/>
        </w:numPr>
        <w:ind w:left="360"/>
        <w:rPr>
          <w:u w:val="single"/>
        </w:rPr>
      </w:pPr>
      <w:r>
        <w:t>There is no legal requirement that the Commission stay this citation appeal, pending resolution of the Commission’s rulemaking proceeding in R.21</w:t>
      </w:r>
      <w:r w:rsidR="00C47FD8">
        <w:noBreakHyphen/>
      </w:r>
      <w:r>
        <w:t>03</w:t>
      </w:r>
      <w:r w:rsidR="00C47FD8">
        <w:noBreakHyphen/>
      </w:r>
      <w:r>
        <w:t xml:space="preserve">010 (Rulemaking to Revise </w:t>
      </w:r>
      <w:r w:rsidR="00F61835">
        <w:t>GO </w:t>
      </w:r>
      <w:r>
        <w:t>156).</w:t>
      </w:r>
    </w:p>
    <w:p w:rsidRPr="001A38A5" w:rsidR="00B86E57" w:rsidP="00E136A9" w:rsidRDefault="0067075F" w14:paraId="7DA9EE1E" w14:textId="353C173F">
      <w:pPr>
        <w:pStyle w:val="ResCoL"/>
        <w:numPr>
          <w:ilvl w:val="0"/>
          <w:numId w:val="5"/>
        </w:numPr>
        <w:ind w:left="360"/>
      </w:pPr>
      <w:r w:rsidRPr="001A38A5">
        <w:t xml:space="preserve">For purposes of </w:t>
      </w:r>
      <w:r w:rsidR="00F61835">
        <w:t>GO </w:t>
      </w:r>
      <w:r w:rsidRPr="001A38A5">
        <w:t xml:space="preserve">156, </w:t>
      </w:r>
      <w:r w:rsidRPr="001A38A5" w:rsidR="001A38A5">
        <w:t xml:space="preserve">because of the Azores’ historical ties to Spanish culture, </w:t>
      </w:r>
      <w:r w:rsidRPr="001A38A5">
        <w:t>Portuguese American persons with origins in the Azores meet the definition of “Hispanic American persons.”</w:t>
      </w:r>
    </w:p>
    <w:p w:rsidR="009D27FB" w:rsidP="00E136A9" w:rsidRDefault="009D27FB" w14:paraId="38EF290F" w14:textId="77777777">
      <w:pPr>
        <w:keepNext/>
        <w:spacing w:after="240"/>
      </w:pPr>
      <w:r>
        <w:rPr>
          <w:b/>
        </w:rPr>
        <w:t>THEREFORE, IT IS ORDERED</w:t>
      </w:r>
      <w:r>
        <w:t xml:space="preserve"> that:</w:t>
      </w:r>
    </w:p>
    <w:p w:rsidR="007622B7" w:rsidP="00E136A9" w:rsidRDefault="007622B7" w14:paraId="09B22A6B" w14:textId="67ED52D1">
      <w:pPr>
        <w:pStyle w:val="ResOP"/>
        <w:numPr>
          <w:ilvl w:val="0"/>
          <w:numId w:val="6"/>
        </w:numPr>
        <w:ind w:left="360"/>
      </w:pPr>
      <w:r>
        <w:t>We find no good cause to stay the citation appeal in K.21</w:t>
      </w:r>
      <w:r w:rsidR="00C47FD8">
        <w:noBreakHyphen/>
      </w:r>
      <w:r>
        <w:t>04</w:t>
      </w:r>
      <w:r w:rsidR="00C47FD8">
        <w:noBreakHyphen/>
      </w:r>
      <w:r>
        <w:t>002 pending resolution of the Commission’s rulemaking proceeding in R</w:t>
      </w:r>
      <w:r w:rsidR="009D18D7">
        <w:t xml:space="preserve">ulemaking </w:t>
      </w:r>
      <w:r>
        <w:t>21</w:t>
      </w:r>
      <w:r w:rsidR="00C47FD8">
        <w:noBreakHyphen/>
      </w:r>
      <w:r>
        <w:t>03</w:t>
      </w:r>
      <w:r w:rsidR="00C47FD8">
        <w:noBreakHyphen/>
      </w:r>
      <w:r>
        <w:t xml:space="preserve">010 (Rulemaking to Revise </w:t>
      </w:r>
      <w:r w:rsidR="00F61835">
        <w:t>G</w:t>
      </w:r>
      <w:r w:rsidR="009D18D7">
        <w:t xml:space="preserve">eneral </w:t>
      </w:r>
      <w:r w:rsidR="00F61835">
        <w:t>O</w:t>
      </w:r>
      <w:r w:rsidR="009D18D7">
        <w:t>rder</w:t>
      </w:r>
      <w:r w:rsidR="00F61835">
        <w:t> </w:t>
      </w:r>
      <w:r>
        <w:t>156)</w:t>
      </w:r>
      <w:r w:rsidR="00C97E7A">
        <w:t xml:space="preserve"> and deny the Motion of the Supplier Clearinghouse to stay the proceeding.</w:t>
      </w:r>
    </w:p>
    <w:p w:rsidR="000D20BA" w:rsidP="00E136A9" w:rsidRDefault="00DA3226" w14:paraId="1D1E2136" w14:textId="77777777">
      <w:pPr>
        <w:pStyle w:val="ResOP"/>
        <w:numPr>
          <w:ilvl w:val="0"/>
          <w:numId w:val="6"/>
        </w:numPr>
        <w:ind w:left="360"/>
      </w:pPr>
      <w:r>
        <w:t xml:space="preserve">The decision of </w:t>
      </w:r>
      <w:r w:rsidR="00DE380E">
        <w:t>t</w:t>
      </w:r>
      <w:r>
        <w:t xml:space="preserve">he Supplier Clearinghouse denying verification as a </w:t>
      </w:r>
      <w:r w:rsidR="00A13102">
        <w:t>Minority</w:t>
      </w:r>
      <w:r>
        <w:t xml:space="preserve"> Business Enterprise to </w:t>
      </w:r>
      <w:r w:rsidR="00A13102">
        <w:t>Mission City Rebar, Inc.</w:t>
      </w:r>
      <w:r>
        <w:t xml:space="preserve"> is vacated.</w:t>
      </w:r>
    </w:p>
    <w:p w:rsidR="009D27FB" w:rsidP="00E136A9" w:rsidRDefault="00DA3226" w14:paraId="35A81485" w14:textId="5355C973">
      <w:pPr>
        <w:pStyle w:val="ResOP"/>
        <w:numPr>
          <w:ilvl w:val="0"/>
          <w:numId w:val="6"/>
        </w:numPr>
        <w:ind w:left="360"/>
      </w:pPr>
      <w:r>
        <w:lastRenderedPageBreak/>
        <w:t xml:space="preserve">The Supplier Clearinghouse is directed to verify </w:t>
      </w:r>
      <w:r w:rsidR="00A13102">
        <w:t>Mission City Rebar, Inc.</w:t>
      </w:r>
      <w:r>
        <w:t xml:space="preserve"> as a </w:t>
      </w:r>
      <w:r w:rsidR="00A13102">
        <w:t>Minority</w:t>
      </w:r>
      <w:r>
        <w:t xml:space="preserve"> Business Enterprise without further delay.</w:t>
      </w:r>
    </w:p>
    <w:p w:rsidR="000D20BA" w:rsidP="00E136A9" w:rsidRDefault="000B594E" w14:paraId="3CA7A42A" w14:textId="46011A64">
      <w:pPr>
        <w:pStyle w:val="ResOP"/>
        <w:numPr>
          <w:ilvl w:val="0"/>
          <w:numId w:val="6"/>
        </w:numPr>
        <w:ind w:left="360"/>
      </w:pPr>
      <w:r>
        <w:t>The Supplier Clearinghouse</w:t>
      </w:r>
      <w:r w:rsidR="00A13102">
        <w:t>’s motion</w:t>
      </w:r>
      <w:r>
        <w:t xml:space="preserve"> to file </w:t>
      </w:r>
      <w:r w:rsidR="00A13102">
        <w:t xml:space="preserve">confidential materials </w:t>
      </w:r>
      <w:r>
        <w:t xml:space="preserve">under seal </w:t>
      </w:r>
      <w:r w:rsidR="00C97E7A">
        <w:t xml:space="preserve">is </w:t>
      </w:r>
      <w:r w:rsidR="009F313C">
        <w:t>granted</w:t>
      </w:r>
      <w:r>
        <w:t xml:space="preserve"> for a period of three years after the </w:t>
      </w:r>
      <w:r w:rsidR="00F224CB">
        <w:t xml:space="preserve">effective </w:t>
      </w:r>
      <w:r>
        <w:t xml:space="preserve">date of this </w:t>
      </w:r>
      <w:r w:rsidR="00F224CB">
        <w:t>Resolution</w:t>
      </w:r>
      <w:r>
        <w:t>.</w:t>
      </w:r>
      <w:r w:rsidR="000D20BA">
        <w:t xml:space="preserve"> </w:t>
      </w:r>
      <w:r>
        <w:t>During this three</w:t>
      </w:r>
      <w:r w:rsidR="00C47FD8">
        <w:noBreakHyphen/>
      </w:r>
      <w:r>
        <w:t>year period, this information shall not be disclosed</w:t>
      </w:r>
      <w:r w:rsidR="007622B7">
        <w:t xml:space="preserve"> publicly</w:t>
      </w:r>
      <w:r>
        <w:t xml:space="preserve"> except on further California Public Utilities Commission order or Administrative Law Judge ruling.</w:t>
      </w:r>
      <w:r w:rsidR="000D20BA">
        <w:t xml:space="preserve"> </w:t>
      </w:r>
      <w:r>
        <w:t xml:space="preserve">If </w:t>
      </w:r>
      <w:r w:rsidR="007622B7">
        <w:t xml:space="preserve">Mission City Rebar, Inc. </w:t>
      </w:r>
      <w:r>
        <w:t>or The Supplier Clearinghouse believe it is necessary for this information to remain under seal for longer than three years, they may file a new motion showing good cause for extending this order by no later than 30 days prior to the expiration of this order.</w:t>
      </w:r>
    </w:p>
    <w:p w:rsidRPr="005B7800" w:rsidR="00DA765D" w:rsidP="008C1C2E" w:rsidRDefault="00DA765D" w14:paraId="14ABFE1A" w14:textId="6704C287">
      <w:pPr>
        <w:pStyle w:val="ResOP"/>
        <w:keepNext/>
        <w:numPr>
          <w:ilvl w:val="0"/>
          <w:numId w:val="6"/>
        </w:numPr>
        <w:ind w:left="360"/>
      </w:pPr>
      <w:r w:rsidRPr="005B7800">
        <w:t>This proceeding is close</w:t>
      </w:r>
      <w:r w:rsidR="009D6214">
        <w:t>d</w:t>
      </w:r>
      <w:r w:rsidRPr="005B7800">
        <w:t>.</w:t>
      </w:r>
    </w:p>
    <w:p w:rsidR="009D27FB" w:rsidP="008C1C2E" w:rsidRDefault="009D27FB" w14:paraId="1CE50617" w14:textId="77777777">
      <w:pPr>
        <w:keepNext/>
        <w:spacing w:after="240"/>
      </w:pPr>
      <w:r>
        <w:t>This resolution is effective today.</w:t>
      </w:r>
    </w:p>
    <w:p w:rsidR="009D27FB" w:rsidP="008C1C2E" w:rsidRDefault="009D27FB" w14:paraId="19A48C0E" w14:textId="08952DD7">
      <w:pPr>
        <w:keepNext/>
        <w:spacing w:after="240"/>
      </w:pPr>
      <w:r>
        <w:t xml:space="preserve">I certify that the foregoing resolution was duly introduced, passed, and adopted at a conference of the Public Utilities Commission of the State of California held on </w:t>
      </w:r>
      <w:r w:rsidR="00A02007">
        <w:t>__________</w:t>
      </w:r>
      <w:r w:rsidR="00C01A27">
        <w:t>__________, 2023</w:t>
      </w:r>
      <w:r>
        <w:t>, the following Commissioners voting favorably thereon:</w:t>
      </w:r>
    </w:p>
    <w:tbl>
      <w:tblPr>
        <w:tblW w:w="9360" w:type="dxa"/>
        <w:tblLayout w:type="fixed"/>
        <w:tblLook w:val="0000" w:firstRow="0" w:lastRow="0" w:firstColumn="0" w:lastColumn="0" w:noHBand="0" w:noVBand="0"/>
      </w:tblPr>
      <w:tblGrid>
        <w:gridCol w:w="4320"/>
        <w:gridCol w:w="720"/>
        <w:gridCol w:w="4320"/>
      </w:tblGrid>
      <w:tr w:rsidRPr="006B5C99" w:rsidR="007404F1" w:rsidTr="00A82410" w14:paraId="59ED8FF7" w14:textId="77777777">
        <w:trPr>
          <w:cantSplit/>
        </w:trPr>
        <w:tc>
          <w:tcPr>
            <w:tcW w:w="4320" w:type="dxa"/>
          </w:tcPr>
          <w:p w:rsidRPr="002734E3" w:rsidR="007404F1" w:rsidP="00A81C55" w:rsidRDefault="007404F1" w14:paraId="098F8F7F" w14:textId="77777777">
            <w:pPr>
              <w:pStyle w:val="Box"/>
              <w:keepNext/>
              <w:numPr>
                <w:ilvl w:val="0"/>
                <w:numId w:val="0"/>
              </w:numPr>
              <w:spacing w:after="0"/>
              <w:ind w:left="288" w:hanging="288"/>
            </w:pPr>
          </w:p>
        </w:tc>
        <w:tc>
          <w:tcPr>
            <w:tcW w:w="720" w:type="dxa"/>
          </w:tcPr>
          <w:p w:rsidRPr="002734E3" w:rsidR="007404F1" w:rsidP="00A81C55" w:rsidRDefault="007404F1" w14:paraId="6380C191" w14:textId="77777777">
            <w:pPr>
              <w:keepNext/>
            </w:pPr>
          </w:p>
        </w:tc>
        <w:tc>
          <w:tcPr>
            <w:tcW w:w="4320" w:type="dxa"/>
            <w:tcBorders>
              <w:bottom w:val="single" w:color="auto" w:sz="6" w:space="0"/>
            </w:tcBorders>
          </w:tcPr>
          <w:p w:rsidR="007404F1" w:rsidP="00A81C55" w:rsidRDefault="007404F1" w14:paraId="5D8ECDFC" w14:textId="77777777">
            <w:pPr>
              <w:keepNext/>
              <w:jc w:val="center"/>
            </w:pPr>
          </w:p>
          <w:p w:rsidRPr="00B82EAC" w:rsidR="007404F1" w:rsidP="00A81C55" w:rsidRDefault="007404F1" w14:paraId="4A81357B" w14:textId="77777777">
            <w:pPr>
              <w:keepNext/>
              <w:jc w:val="center"/>
            </w:pPr>
          </w:p>
        </w:tc>
      </w:tr>
      <w:tr w:rsidRPr="006B5C99" w:rsidR="007404F1" w:rsidTr="00A82410" w14:paraId="60B12803" w14:textId="77777777">
        <w:trPr>
          <w:cantSplit/>
        </w:trPr>
        <w:tc>
          <w:tcPr>
            <w:tcW w:w="4320" w:type="dxa"/>
          </w:tcPr>
          <w:p w:rsidRPr="002734E3" w:rsidR="007404F1" w:rsidP="00A81C55" w:rsidRDefault="007404F1" w14:paraId="09B8E03C" w14:textId="77777777">
            <w:pPr>
              <w:pStyle w:val="Box"/>
              <w:keepNext/>
              <w:numPr>
                <w:ilvl w:val="0"/>
                <w:numId w:val="0"/>
              </w:numPr>
              <w:spacing w:after="0"/>
              <w:ind w:left="288" w:hanging="288"/>
            </w:pPr>
          </w:p>
        </w:tc>
        <w:tc>
          <w:tcPr>
            <w:tcW w:w="720" w:type="dxa"/>
          </w:tcPr>
          <w:p w:rsidRPr="002734E3" w:rsidR="007404F1" w:rsidP="00A81C55" w:rsidRDefault="007404F1" w14:paraId="147F07AF" w14:textId="77777777">
            <w:pPr>
              <w:keepNext/>
            </w:pPr>
          </w:p>
        </w:tc>
        <w:tc>
          <w:tcPr>
            <w:tcW w:w="4320" w:type="dxa"/>
          </w:tcPr>
          <w:p w:rsidRPr="00FB71B2" w:rsidR="007404F1" w:rsidP="00A81C55" w:rsidRDefault="007404F1" w14:paraId="68568CA7" w14:textId="77777777">
            <w:pPr>
              <w:keepNext/>
              <w:jc w:val="center"/>
              <w:rPr>
                <w:szCs w:val="24"/>
              </w:rPr>
            </w:pPr>
            <w:r w:rsidRPr="00FB71B2">
              <w:rPr>
                <w:szCs w:val="24"/>
              </w:rPr>
              <w:t>Rachel Peterson</w:t>
            </w:r>
          </w:p>
          <w:p w:rsidRPr="00B82EAC" w:rsidR="007404F1" w:rsidP="00A81C55" w:rsidRDefault="007404F1" w14:paraId="5B5ED8D4" w14:textId="77777777">
            <w:pPr>
              <w:keepNext/>
              <w:jc w:val="center"/>
            </w:pPr>
            <w:r w:rsidRPr="00FB71B2">
              <w:rPr>
                <w:szCs w:val="24"/>
              </w:rPr>
              <w:t>Executive Director</w:t>
            </w:r>
          </w:p>
        </w:tc>
      </w:tr>
    </w:tbl>
    <w:p w:rsidR="007404F1" w:rsidP="007404F1" w:rsidRDefault="007404F1" w14:paraId="0758E39E" w14:textId="77777777">
      <w:pPr>
        <w:rPr>
          <w:sz w:val="10"/>
          <w:szCs w:val="24"/>
        </w:rPr>
      </w:pPr>
    </w:p>
    <w:p w:rsidR="00A82410" w:rsidP="00A82410" w:rsidRDefault="00A82410" w14:paraId="4DB92B5D" w14:textId="77777777">
      <w:pPr>
        <w:sectPr w:rsidR="00A82410" w:rsidSect="00F61835">
          <w:headerReference w:type="default" r:id="rId10"/>
          <w:footerReference w:type="default" r:id="rId11"/>
          <w:headerReference w:type="first" r:id="rId12"/>
          <w:footerReference w:type="first" r:id="rId13"/>
          <w:pgSz w:w="12240" w:h="15840" w:code="1"/>
          <w:pgMar w:top="1728" w:right="1440" w:bottom="1440" w:left="1440" w:header="720" w:footer="720" w:gutter="0"/>
          <w:pgNumType w:start="1"/>
          <w:cols w:space="720"/>
          <w:titlePg/>
        </w:sectPr>
      </w:pPr>
    </w:p>
    <w:p w:rsidRPr="00E064B2" w:rsidR="00A82410" w:rsidP="00A82410" w:rsidRDefault="001703D7" w14:paraId="53C16DF1" w14:textId="740949A8">
      <w:pPr>
        <w:pStyle w:val="Header"/>
      </w:pPr>
      <w:r>
        <w:lastRenderedPageBreak/>
        <w:t>ALJ/ABT/nd3</w:t>
      </w:r>
    </w:p>
    <w:p w:rsidRPr="007C2251" w:rsidR="00A82410" w:rsidP="00A82410" w:rsidRDefault="00A82410" w14:paraId="3EA3AA9D" w14:textId="77777777">
      <w:pPr>
        <w:pStyle w:val="Header"/>
      </w:pPr>
    </w:p>
    <w:p w:rsidRPr="007C2251" w:rsidR="00A82410" w:rsidP="00A82410" w:rsidRDefault="00A82410" w14:paraId="27D530BD" w14:textId="77777777">
      <w:pPr>
        <w:pStyle w:val="Header"/>
      </w:pPr>
    </w:p>
    <w:p w:rsidRPr="00E064B2" w:rsidR="00A82410" w:rsidP="00A82410" w:rsidRDefault="00A82410" w14:paraId="38BB851F" w14:textId="77777777">
      <w:pPr>
        <w:pStyle w:val="titlebar"/>
        <w:keepNext w:val="0"/>
        <w:jc w:val="left"/>
        <w:rPr>
          <w:rFonts w:cs="Arial"/>
          <w:sz w:val="24"/>
        </w:rPr>
      </w:pPr>
      <w:r w:rsidRPr="00E064B2">
        <w:rPr>
          <w:rFonts w:cs="Arial"/>
          <w:sz w:val="24"/>
        </w:rPr>
        <w:t>BEFORE THE PUBLIC UTILITIES COMMISSION OF THE STATE OF CALIFORNIA</w:t>
      </w:r>
    </w:p>
    <w:p w:rsidRPr="007C2251" w:rsidR="00A82410" w:rsidP="00A82410" w:rsidRDefault="00A82410" w14:paraId="0CEED486" w14:textId="77777777">
      <w:pPr>
        <w:pStyle w:val="Header"/>
      </w:pPr>
    </w:p>
    <w:p w:rsidR="00A82410" w:rsidP="006A433B" w:rsidRDefault="006A433B" w14:paraId="7286006C" w14:textId="3479BA82">
      <w:pPr>
        <w:ind w:left="720" w:right="720"/>
      </w:pPr>
      <w:r w:rsidRPr="007F6A57">
        <w:rPr>
          <w:szCs w:val="24"/>
        </w:rPr>
        <w:t>RESOLUTION ALJ</w:t>
      </w:r>
      <w:r>
        <w:rPr>
          <w:szCs w:val="24"/>
        </w:rPr>
        <w:noBreakHyphen/>
        <w:t>446</w:t>
      </w:r>
      <w:r w:rsidRPr="007F6A57">
        <w:rPr>
          <w:szCs w:val="24"/>
        </w:rPr>
        <w:t xml:space="preserve"> </w:t>
      </w:r>
      <w:r>
        <w:t xml:space="preserve">Resolves Appeal </w:t>
      </w:r>
      <w:r w:rsidRPr="00ED2CBB">
        <w:t>K</w:t>
      </w:r>
      <w:r>
        <w:t>.</w:t>
      </w:r>
      <w:r w:rsidRPr="00ED2CBB">
        <w:t>21</w:t>
      </w:r>
      <w:r>
        <w:t>-</w:t>
      </w:r>
      <w:r w:rsidRPr="00ED2CBB">
        <w:t>04</w:t>
      </w:r>
      <w:r>
        <w:t>-</w:t>
      </w:r>
      <w:r w:rsidRPr="00ED2CBB">
        <w:t>002</w:t>
      </w:r>
      <w:r>
        <w:t xml:space="preserve"> by Mission City Rebar, Inc. from the Denial of its Status as a Minority</w:t>
      </w:r>
      <w:r>
        <w:noBreakHyphen/>
        <w:t>Owned Business issued by The Supplier Clearinghouse on March 12, 2021.</w:t>
      </w:r>
    </w:p>
    <w:p w:rsidR="00A82410" w:rsidP="00A82410" w:rsidRDefault="00A82410" w14:paraId="19CB2DCA" w14:textId="77777777"/>
    <w:p w:rsidRPr="00E064B2" w:rsidR="00A82410" w:rsidP="00A82410" w:rsidRDefault="00A82410" w14:paraId="22A87048" w14:textId="77777777">
      <w:pPr>
        <w:pStyle w:val="main"/>
        <w:rPr>
          <w:rFonts w:cs="Arial"/>
          <w:szCs w:val="26"/>
        </w:rPr>
      </w:pPr>
      <w:r w:rsidRPr="00E064B2">
        <w:rPr>
          <w:rFonts w:cs="Arial"/>
          <w:szCs w:val="26"/>
        </w:rPr>
        <w:t>INFORMATION REGARDING SERVICE</w:t>
      </w:r>
    </w:p>
    <w:p w:rsidRPr="007C2251" w:rsidR="00A82410" w:rsidP="00A82410" w:rsidRDefault="00A82410" w14:paraId="32E84217" w14:textId="77777777">
      <w:pPr>
        <w:suppressAutoHyphens/>
        <w:rPr>
          <w:szCs w:val="26"/>
        </w:rPr>
      </w:pPr>
    </w:p>
    <w:p w:rsidR="00A82410" w:rsidP="00A82410" w:rsidRDefault="00A82410" w14:paraId="133C2E38" w14:textId="601805EF">
      <w:pPr>
        <w:pStyle w:val="standard"/>
      </w:pPr>
      <w:r w:rsidRPr="00E064B2">
        <w:t>I have electronically served all persons on the attached official service list who have provided an email address for</w:t>
      </w:r>
      <w:r>
        <w:t xml:space="preserve"> </w:t>
      </w:r>
      <w:r w:rsidRPr="00163A83" w:rsidR="00163A83">
        <w:t>K.21-04-002</w:t>
      </w:r>
      <w:r w:rsidRPr="00E064B2">
        <w:t>.</w:t>
      </w:r>
    </w:p>
    <w:p w:rsidR="00A82410" w:rsidP="00A82410" w:rsidRDefault="00A82410" w14:paraId="7144371E" w14:textId="77777777">
      <w:pPr>
        <w:pStyle w:val="standard"/>
      </w:pPr>
      <w:r w:rsidRPr="00E064B2">
        <w:t>Upon confirmation of this document’s acceptance for filing, I will cause a copy of the filed document to be served by U.S. mail on all parties listed in the “Party” category of the official service list for whom no email address is provided.</w:t>
      </w:r>
    </w:p>
    <w:p w:rsidRPr="00E064B2" w:rsidR="00A82410" w:rsidP="00A82410" w:rsidRDefault="00A82410" w14:paraId="610369B1" w14:textId="2E2D7232">
      <w:pPr>
        <w:pStyle w:val="standard"/>
      </w:pPr>
      <w:r w:rsidRPr="00E064B2">
        <w:t xml:space="preserve">Dated </w:t>
      </w:r>
      <w:r w:rsidR="00163A83">
        <w:t>September 27, 2023</w:t>
      </w:r>
      <w:r w:rsidRPr="00E064B2">
        <w:t>, at San Francisco, California.</w:t>
      </w:r>
    </w:p>
    <w:tbl>
      <w:tblPr>
        <w:tblW w:w="9360" w:type="dxa"/>
        <w:tblInd w:w="108" w:type="dxa"/>
        <w:tblLayout w:type="fixed"/>
        <w:tblLook w:val="04A0" w:firstRow="1" w:lastRow="0" w:firstColumn="1" w:lastColumn="0" w:noHBand="0" w:noVBand="1"/>
      </w:tblPr>
      <w:tblGrid>
        <w:gridCol w:w="4320"/>
        <w:gridCol w:w="720"/>
        <w:gridCol w:w="4320"/>
      </w:tblGrid>
      <w:tr w:rsidRPr="00E53A75" w:rsidR="00A82410" w:rsidTr="00155D76" w14:paraId="636FDA90" w14:textId="77777777">
        <w:tc>
          <w:tcPr>
            <w:tcW w:w="4320" w:type="dxa"/>
          </w:tcPr>
          <w:p w:rsidRPr="00E53A75" w:rsidR="00A82410" w:rsidP="00155D76" w:rsidRDefault="00A82410" w14:paraId="5AFA8570" w14:textId="77777777">
            <w:pPr>
              <w:keepNext/>
              <w:jc w:val="center"/>
            </w:pPr>
          </w:p>
        </w:tc>
        <w:tc>
          <w:tcPr>
            <w:tcW w:w="720" w:type="dxa"/>
          </w:tcPr>
          <w:p w:rsidRPr="00E53A75" w:rsidR="00A82410" w:rsidP="00155D76" w:rsidRDefault="00A82410" w14:paraId="57DE073B" w14:textId="77777777">
            <w:pPr>
              <w:keepNext/>
              <w:jc w:val="center"/>
            </w:pPr>
          </w:p>
        </w:tc>
        <w:tc>
          <w:tcPr>
            <w:tcW w:w="4320" w:type="dxa"/>
            <w:tcBorders>
              <w:top w:val="nil"/>
              <w:left w:val="nil"/>
              <w:bottom w:val="single" w:color="auto" w:sz="6" w:space="0"/>
              <w:right w:val="nil"/>
            </w:tcBorders>
          </w:tcPr>
          <w:p w:rsidR="00A82410" w:rsidP="00155D76" w:rsidRDefault="00A82410" w14:paraId="7BC851B3" w14:textId="77777777">
            <w:pPr>
              <w:jc w:val="center"/>
              <w:rPr>
                <w:szCs w:val="26"/>
              </w:rPr>
            </w:pPr>
          </w:p>
          <w:p w:rsidRPr="00E53A75" w:rsidR="00A82410" w:rsidP="00155D76" w:rsidRDefault="00A82410" w14:paraId="4EF3361D" w14:textId="77777777">
            <w:pPr>
              <w:pStyle w:val="Standard0"/>
              <w:keepNext/>
              <w:spacing w:line="240" w:lineRule="auto"/>
              <w:ind w:firstLine="0"/>
              <w:jc w:val="center"/>
            </w:pPr>
            <w:r w:rsidRPr="00E064B2">
              <w:rPr>
                <w:szCs w:val="26"/>
              </w:rPr>
              <w:t xml:space="preserve">/s/  </w:t>
            </w:r>
            <w:r>
              <w:rPr>
                <w:szCs w:val="26"/>
              </w:rPr>
              <w:t>NATALIE DAVIS</w:t>
            </w:r>
          </w:p>
        </w:tc>
      </w:tr>
      <w:tr w:rsidRPr="007A73F3" w:rsidR="00A82410" w:rsidTr="00155D76" w14:paraId="0CE67742" w14:textId="77777777">
        <w:tc>
          <w:tcPr>
            <w:tcW w:w="4320" w:type="dxa"/>
          </w:tcPr>
          <w:p w:rsidRPr="00E53A75" w:rsidR="00A82410" w:rsidP="00155D76" w:rsidRDefault="00A82410" w14:paraId="5520B2F5" w14:textId="77777777">
            <w:pPr>
              <w:jc w:val="center"/>
            </w:pPr>
          </w:p>
        </w:tc>
        <w:tc>
          <w:tcPr>
            <w:tcW w:w="720" w:type="dxa"/>
          </w:tcPr>
          <w:p w:rsidRPr="00E53A75" w:rsidR="00A82410" w:rsidP="00155D76" w:rsidRDefault="00A82410" w14:paraId="627E4961" w14:textId="77777777">
            <w:pPr>
              <w:jc w:val="center"/>
            </w:pPr>
          </w:p>
        </w:tc>
        <w:tc>
          <w:tcPr>
            <w:tcW w:w="4320" w:type="dxa"/>
            <w:hideMark/>
          </w:tcPr>
          <w:p w:rsidRPr="007A73F3" w:rsidR="00A82410" w:rsidP="00155D76" w:rsidRDefault="00A82410" w14:paraId="21D1E90E" w14:textId="77777777">
            <w:pPr>
              <w:pStyle w:val="Standard0"/>
              <w:spacing w:line="240" w:lineRule="auto"/>
              <w:ind w:firstLine="0"/>
              <w:jc w:val="center"/>
            </w:pPr>
            <w:r>
              <w:rPr>
                <w:szCs w:val="26"/>
              </w:rPr>
              <w:t>Natalie Davis</w:t>
            </w:r>
          </w:p>
        </w:tc>
      </w:tr>
    </w:tbl>
    <w:p w:rsidR="00A82410" w:rsidP="00A82410" w:rsidRDefault="00A82410" w14:paraId="0079E929" w14:textId="77777777">
      <w:pPr>
        <w:autoSpaceDE w:val="0"/>
        <w:autoSpaceDN w:val="0"/>
        <w:adjustRightInd w:val="0"/>
        <w:rPr>
          <w:rFonts w:cs="Helvetica"/>
          <w:b/>
          <w:bCs/>
          <w:spacing w:val="120"/>
          <w:szCs w:val="26"/>
        </w:rPr>
      </w:pPr>
    </w:p>
    <w:p w:rsidR="00A82410" w:rsidP="00A82410" w:rsidRDefault="00A82410" w14:paraId="5FF276A0" w14:textId="77777777">
      <w:pPr>
        <w:autoSpaceDE w:val="0"/>
        <w:autoSpaceDN w:val="0"/>
        <w:adjustRightInd w:val="0"/>
        <w:rPr>
          <w:rFonts w:cs="Helvetica"/>
          <w:b/>
          <w:bCs/>
          <w:spacing w:val="120"/>
          <w:szCs w:val="26"/>
        </w:rPr>
      </w:pPr>
    </w:p>
    <w:p w:rsidRPr="00E064B2" w:rsidR="00A82410" w:rsidP="00A82410" w:rsidRDefault="00A82410" w14:paraId="73BDC2D2" w14:textId="77777777">
      <w:pPr>
        <w:autoSpaceDE w:val="0"/>
        <w:autoSpaceDN w:val="0"/>
        <w:adjustRightInd w:val="0"/>
        <w:jc w:val="center"/>
        <w:rPr>
          <w:rFonts w:cs="Helvetica"/>
          <w:b/>
          <w:bCs/>
          <w:spacing w:val="120"/>
          <w:szCs w:val="26"/>
        </w:rPr>
        <w:sectPr w:rsidRPr="00E064B2" w:rsidR="00A82410" w:rsidSect="00A82410">
          <w:headerReference w:type="default" r:id="rId14"/>
          <w:footerReference w:type="default" r:id="rId15"/>
          <w:headerReference w:type="first" r:id="rId16"/>
          <w:footerReference w:type="first" r:id="rId17"/>
          <w:pgSz w:w="12240" w:h="15840"/>
          <w:pgMar w:top="1728" w:right="1440" w:bottom="1440" w:left="1440" w:header="720" w:footer="720" w:gutter="0"/>
          <w:pgNumType w:start="1"/>
          <w:cols w:space="720"/>
          <w:titlePg/>
          <w:docGrid w:linePitch="360"/>
        </w:sectPr>
      </w:pPr>
    </w:p>
    <w:p w:rsidRPr="00E064B2" w:rsidR="00A82410" w:rsidP="00A82410" w:rsidRDefault="00A82410" w14:paraId="51E7F0C4" w14:textId="77777777">
      <w:pPr>
        <w:autoSpaceDE w:val="0"/>
        <w:autoSpaceDN w:val="0"/>
        <w:adjustRightInd w:val="0"/>
        <w:jc w:val="center"/>
        <w:rPr>
          <w:rFonts w:ascii="Arial" w:hAnsi="Arial" w:cs="Arial"/>
          <w:b/>
          <w:bCs/>
          <w:spacing w:val="120"/>
          <w:szCs w:val="26"/>
        </w:rPr>
      </w:pPr>
      <w:r w:rsidRPr="00E064B2">
        <w:rPr>
          <w:rFonts w:ascii="Arial" w:hAnsi="Arial" w:cs="Arial"/>
          <w:b/>
          <w:bCs/>
          <w:spacing w:val="120"/>
          <w:szCs w:val="26"/>
        </w:rPr>
        <w:lastRenderedPageBreak/>
        <w:t>NOTICE</w:t>
      </w:r>
    </w:p>
    <w:p w:rsidRPr="007C2251" w:rsidR="00A82410" w:rsidP="00A82410" w:rsidRDefault="00A82410" w14:paraId="4A0C806B" w14:textId="77777777">
      <w:pPr>
        <w:autoSpaceDE w:val="0"/>
        <w:autoSpaceDN w:val="0"/>
        <w:adjustRightInd w:val="0"/>
        <w:rPr>
          <w:rFonts w:ascii="Arial" w:hAnsi="Arial" w:cs="Helvetica"/>
          <w:szCs w:val="24"/>
        </w:rPr>
      </w:pPr>
    </w:p>
    <w:p w:rsidRPr="00E064B2" w:rsidR="00A82410" w:rsidP="00A82410" w:rsidRDefault="00A82410" w14:paraId="5CA77451" w14:textId="77777777">
      <w:pPr>
        <w:tabs>
          <w:tab w:val="left" w:pos="0"/>
        </w:tabs>
        <w:autoSpaceDE w:val="0"/>
        <w:autoSpaceDN w:val="0"/>
        <w:adjustRightInd w:val="0"/>
        <w:ind w:left="720" w:right="1080"/>
        <w:rPr>
          <w:rFonts w:ascii="Arial" w:hAnsi="Arial" w:cs="Arial"/>
          <w:szCs w:val="24"/>
        </w:rPr>
      </w:pPr>
      <w:r w:rsidRPr="00E064B2">
        <w:rPr>
          <w:rFonts w:ascii="Arial" w:hAnsi="Arial" w:cs="Arial"/>
          <w:szCs w:val="24"/>
        </w:rPr>
        <w:t>Persons should notify the Process Office, Public Utilities Commission, 505 Van Ness Avenue, Room 2000, San Francisco, CA  94102, of any change of address to ensure that they continue to receive documents.  You must indicate the proceeding number on the service list on which your name appears.</w:t>
      </w:r>
    </w:p>
    <w:p w:rsidRPr="00E064B2" w:rsidR="00A82410" w:rsidP="00A82410" w:rsidRDefault="00A82410" w14:paraId="1F263366" w14:textId="77777777">
      <w:pPr>
        <w:autoSpaceDE w:val="0"/>
        <w:autoSpaceDN w:val="0"/>
        <w:adjustRightInd w:val="0"/>
        <w:ind w:left="720" w:right="1080"/>
        <w:rPr>
          <w:rFonts w:ascii="Arial" w:hAnsi="Arial" w:cs="Arial"/>
          <w:szCs w:val="24"/>
        </w:rPr>
      </w:pPr>
    </w:p>
    <w:p w:rsidRPr="00E064B2" w:rsidR="00A82410" w:rsidP="00A82410" w:rsidRDefault="00A82410" w14:paraId="178EA015" w14:textId="77777777">
      <w:pPr>
        <w:tabs>
          <w:tab w:val="left" w:pos="0"/>
        </w:tabs>
        <w:autoSpaceDE w:val="0"/>
        <w:autoSpaceDN w:val="0"/>
        <w:adjustRightInd w:val="0"/>
        <w:ind w:left="720" w:right="1080"/>
        <w:rPr>
          <w:rFonts w:ascii="Arial" w:hAnsi="Arial" w:cs="Arial"/>
          <w:szCs w:val="24"/>
        </w:rPr>
      </w:pPr>
      <w:r w:rsidRPr="00E064B2">
        <w:rPr>
          <w:rFonts w:ascii="Arial" w:hAnsi="Arial" w:cs="Arial"/>
          <w:szCs w:val="24"/>
        </w:rPr>
        <w:t xml:space="preserve">* * * * * * * * * * * * * * * * * * * * * * * * * * * * * * * * * * * * * * * * * * * * * * </w:t>
      </w:r>
    </w:p>
    <w:p w:rsidRPr="00E064B2" w:rsidR="00A82410" w:rsidP="00A82410" w:rsidRDefault="00A82410" w14:paraId="559FF8CE" w14:textId="77777777">
      <w:pPr>
        <w:tabs>
          <w:tab w:val="left" w:pos="0"/>
        </w:tabs>
        <w:autoSpaceDE w:val="0"/>
        <w:autoSpaceDN w:val="0"/>
        <w:adjustRightInd w:val="0"/>
        <w:ind w:left="720" w:right="1440"/>
        <w:rPr>
          <w:rFonts w:ascii="Arial" w:hAnsi="Arial" w:cs="Arial"/>
          <w:sz w:val="18"/>
          <w:szCs w:val="18"/>
        </w:rPr>
      </w:pPr>
    </w:p>
    <w:p w:rsidRPr="00E064B2" w:rsidR="00A82410" w:rsidP="00A82410" w:rsidRDefault="00A82410" w14:paraId="7518D2FF" w14:textId="77777777">
      <w:pPr>
        <w:tabs>
          <w:tab w:val="left" w:pos="0"/>
        </w:tabs>
        <w:autoSpaceDE w:val="0"/>
        <w:autoSpaceDN w:val="0"/>
        <w:adjustRightInd w:val="0"/>
        <w:ind w:left="720" w:right="900"/>
        <w:rPr>
          <w:rFonts w:ascii="Arial" w:hAnsi="Arial" w:cs="Arial"/>
          <w:szCs w:val="24"/>
        </w:rPr>
      </w:pPr>
      <w:r w:rsidRPr="00E064B2">
        <w:rPr>
          <w:rFonts w:ascii="Arial" w:hAnsi="Arial" w:cs="Arial"/>
          <w:szCs w:val="24"/>
        </w:rPr>
        <w:t>The Commission’s policy is to schedule hearings (meetings, workshops, etc.) in locations that are accessible to people with disabilities.  To verify that a particular location is accessible, call: Calendar Clerk (415) 703</w:t>
      </w:r>
      <w:r w:rsidRPr="00E064B2">
        <w:rPr>
          <w:rFonts w:ascii="Arial" w:hAnsi="Arial" w:cs="Arial"/>
          <w:szCs w:val="24"/>
        </w:rPr>
        <w:noBreakHyphen/>
        <w:t>1203.</w:t>
      </w:r>
    </w:p>
    <w:p w:rsidRPr="00E064B2" w:rsidR="00A82410" w:rsidP="00A82410" w:rsidRDefault="00A82410" w14:paraId="54636A82" w14:textId="77777777">
      <w:pPr>
        <w:tabs>
          <w:tab w:val="left" w:pos="0"/>
        </w:tabs>
        <w:autoSpaceDE w:val="0"/>
        <w:autoSpaceDN w:val="0"/>
        <w:adjustRightInd w:val="0"/>
        <w:ind w:left="720" w:right="900"/>
        <w:rPr>
          <w:rFonts w:ascii="Arial" w:hAnsi="Arial" w:cs="Arial"/>
          <w:szCs w:val="24"/>
        </w:rPr>
      </w:pPr>
    </w:p>
    <w:p w:rsidR="00A82410" w:rsidP="00A82410" w:rsidRDefault="00A82410" w14:paraId="04F9F065" w14:textId="77777777">
      <w:pPr>
        <w:tabs>
          <w:tab w:val="left" w:pos="0"/>
        </w:tabs>
        <w:autoSpaceDE w:val="0"/>
        <w:autoSpaceDN w:val="0"/>
        <w:adjustRightInd w:val="0"/>
        <w:ind w:left="720" w:right="900"/>
        <w:rPr>
          <w:rFonts w:ascii="Arial" w:hAnsi="Arial" w:cs="Arial"/>
          <w:szCs w:val="24"/>
        </w:rPr>
      </w:pPr>
      <w:r w:rsidRPr="00E064B2">
        <w:rPr>
          <w:rFonts w:ascii="Arial" w:hAnsi="Arial" w:cs="Arial"/>
          <w:szCs w:val="24"/>
        </w:rPr>
        <w:t>If specialized accommodations for the disabled are needed, e.g., sign language interpreters, those making the arrangements must call the Public Advisor at (415) 703</w:t>
      </w:r>
      <w:r w:rsidRPr="00E064B2">
        <w:rPr>
          <w:rFonts w:ascii="Arial" w:hAnsi="Arial" w:cs="Arial"/>
          <w:szCs w:val="24"/>
        </w:rPr>
        <w:noBreakHyphen/>
        <w:t xml:space="preserve">2074 or </w:t>
      </w:r>
      <w:proofErr w:type="spellStart"/>
      <w:r w:rsidRPr="00E064B2">
        <w:rPr>
          <w:rFonts w:ascii="Arial" w:hAnsi="Arial" w:cs="Arial"/>
          <w:szCs w:val="24"/>
        </w:rPr>
        <w:t>TDD</w:t>
      </w:r>
      <w:proofErr w:type="spellEnd"/>
      <w:r w:rsidRPr="00E064B2">
        <w:rPr>
          <w:rFonts w:ascii="Arial" w:hAnsi="Arial" w:cs="Arial"/>
          <w:szCs w:val="24"/>
        </w:rPr>
        <w:t># (415) 703-2032 five working days in advance of the event</w:t>
      </w:r>
      <w:r>
        <w:rPr>
          <w:rFonts w:ascii="Arial" w:hAnsi="Arial" w:cs="Arial"/>
          <w:szCs w:val="24"/>
        </w:rPr>
        <w:t>.</w:t>
      </w:r>
    </w:p>
    <w:p w:rsidR="00A82410" w:rsidP="00A82410" w:rsidRDefault="00A82410" w14:paraId="03880D24" w14:textId="77777777">
      <w:pPr>
        <w:tabs>
          <w:tab w:val="left" w:pos="0"/>
        </w:tabs>
        <w:autoSpaceDE w:val="0"/>
        <w:autoSpaceDN w:val="0"/>
        <w:adjustRightInd w:val="0"/>
        <w:ind w:left="720" w:right="900"/>
        <w:rPr>
          <w:rFonts w:ascii="Arial" w:hAnsi="Arial" w:cs="Arial"/>
          <w:szCs w:val="24"/>
        </w:rPr>
      </w:pPr>
    </w:p>
    <w:p w:rsidRPr="00E064B2" w:rsidR="00A82410" w:rsidP="00A82410" w:rsidRDefault="00A82410" w14:paraId="156CC545" w14:textId="77777777">
      <w:pPr>
        <w:tabs>
          <w:tab w:val="left" w:pos="0"/>
        </w:tabs>
        <w:autoSpaceDE w:val="0"/>
        <w:autoSpaceDN w:val="0"/>
        <w:adjustRightInd w:val="0"/>
        <w:ind w:left="720" w:right="900"/>
        <w:rPr>
          <w:rFonts w:ascii="Arial" w:hAnsi="Arial" w:cs="Arial"/>
          <w:szCs w:val="24"/>
        </w:rPr>
        <w:sectPr w:rsidRPr="00E064B2" w:rsidR="00A82410" w:rsidSect="00A82410">
          <w:footerReference w:type="first" r:id="rId18"/>
          <w:pgSz w:w="12240" w:h="15840"/>
          <w:pgMar w:top="1728" w:right="1440" w:bottom="1440" w:left="1440" w:header="720" w:footer="720" w:gutter="0"/>
          <w:cols w:space="720"/>
          <w:docGrid w:linePitch="360"/>
        </w:sectPr>
      </w:pPr>
      <w:r>
        <w:rPr>
          <w:rFonts w:ascii="Arial" w:hAnsi="Arial" w:cs="Arial"/>
          <w:szCs w:val="24"/>
        </w:rPr>
        <w:t>.</w:t>
      </w:r>
    </w:p>
    <w:tbl>
      <w:tblPr>
        <w:tblW w:w="10800" w:type="dxa"/>
        <w:jc w:val="center"/>
        <w:tblLayout w:type="fixed"/>
        <w:tblCellMar>
          <w:left w:w="115" w:type="dxa"/>
          <w:right w:w="115" w:type="dxa"/>
        </w:tblCellMar>
        <w:tblLook w:val="0000" w:firstRow="0" w:lastRow="0" w:firstColumn="0" w:lastColumn="0" w:noHBand="0" w:noVBand="0"/>
      </w:tblPr>
      <w:tblGrid>
        <w:gridCol w:w="5400"/>
        <w:gridCol w:w="5400"/>
      </w:tblGrid>
      <w:tr w:rsidRPr="00111706" w:rsidR="00111706" w:rsidTr="00111706" w14:paraId="14FA606D" w14:textId="77777777">
        <w:trPr>
          <w:jc w:val="center"/>
        </w:trPr>
        <w:tc>
          <w:tcPr>
            <w:tcW w:w="5400" w:type="dxa"/>
            <w:tcBorders>
              <w:top w:val="nil"/>
              <w:left w:val="nil"/>
              <w:bottom w:val="nil"/>
              <w:right w:val="nil"/>
            </w:tcBorders>
          </w:tcPr>
          <w:p w:rsidRPr="00111706" w:rsidR="00111706" w:rsidP="00111706" w:rsidRDefault="00111706" w14:paraId="1B543623" w14:textId="77777777">
            <w:pPr>
              <w:jc w:val="center"/>
              <w:rPr>
                <w:rFonts w:ascii="Times New Roman" w:hAnsi="Times New Roman"/>
                <w:b/>
                <w:bCs/>
                <w:sz w:val="20"/>
              </w:rPr>
            </w:pPr>
            <w:r w:rsidRPr="00111706">
              <w:rPr>
                <w:rFonts w:ascii="Times New Roman" w:hAnsi="Times New Roman"/>
                <w:b/>
                <w:bCs/>
                <w:sz w:val="20"/>
              </w:rPr>
              <w:lastRenderedPageBreak/>
              <w:t>************ SERVICE LIST ***********</w:t>
            </w:r>
            <w:r w:rsidRPr="00111706">
              <w:rPr>
                <w:rFonts w:ascii="Times New Roman" w:hAnsi="Times New Roman"/>
                <w:b/>
                <w:bCs/>
                <w:sz w:val="20"/>
              </w:rPr>
              <w:br/>
              <w:t xml:space="preserve">Last Updated on 11-SEP-2023 by: KB3 </w:t>
            </w:r>
            <w:r w:rsidRPr="00111706">
              <w:rPr>
                <w:rFonts w:ascii="Times New Roman" w:hAnsi="Times New Roman"/>
                <w:sz w:val="20"/>
              </w:rPr>
              <w:br/>
            </w:r>
            <w:r w:rsidRPr="00111706">
              <w:rPr>
                <w:rFonts w:ascii="Times New Roman" w:hAnsi="Times New Roman"/>
                <w:b/>
                <w:bCs/>
                <w:sz w:val="20"/>
              </w:rPr>
              <w:t>K2104002 LIST</w:t>
            </w:r>
          </w:p>
          <w:p w:rsidRPr="00111706" w:rsidR="00111706" w:rsidP="00DA2E45" w:rsidRDefault="00111706" w14:paraId="09DCC74C" w14:textId="77777777">
            <w:pPr>
              <w:rPr>
                <w:rFonts w:ascii="Times New Roman" w:hAnsi="Times New Roman"/>
                <w:b/>
                <w:bCs/>
                <w:sz w:val="18"/>
              </w:rPr>
            </w:pPr>
          </w:p>
          <w:p w:rsidR="00111706" w:rsidP="00DA2E45" w:rsidRDefault="00111706" w14:paraId="4D7128DF" w14:textId="4CB006EE">
            <w:pPr>
              <w:rPr>
                <w:rFonts w:ascii="Times New Roman" w:hAnsi="Times New Roman"/>
                <w:sz w:val="18"/>
                <w:szCs w:val="18"/>
              </w:rPr>
            </w:pPr>
            <w:r w:rsidRPr="00111706">
              <w:rPr>
                <w:rFonts w:ascii="Times New Roman" w:hAnsi="Times New Roman"/>
                <w:b/>
                <w:bCs/>
                <w:sz w:val="18"/>
                <w:szCs w:val="18"/>
              </w:rPr>
              <w:t xml:space="preserve">************** PARTIES ************** </w:t>
            </w:r>
            <w:r w:rsidRPr="00111706">
              <w:rPr>
                <w:rFonts w:ascii="Times New Roman" w:hAnsi="Times New Roman"/>
                <w:sz w:val="18"/>
                <w:szCs w:val="18"/>
              </w:rPr>
              <w:br/>
            </w:r>
            <w:r w:rsidRPr="00111706">
              <w:rPr>
                <w:rFonts w:ascii="Times New Roman" w:hAnsi="Times New Roman"/>
                <w:sz w:val="18"/>
                <w:szCs w:val="18"/>
              </w:rPr>
              <w:br/>
              <w:t xml:space="preserve">Cathy Parshall                               </w:t>
            </w:r>
            <w:r w:rsidRPr="00111706">
              <w:rPr>
                <w:rFonts w:ascii="Times New Roman" w:hAnsi="Times New Roman"/>
                <w:sz w:val="18"/>
                <w:szCs w:val="18"/>
              </w:rPr>
              <w:br/>
              <w:t xml:space="preserve">Secretary - Treasurer                        </w:t>
            </w:r>
            <w:r w:rsidRPr="00111706">
              <w:rPr>
                <w:rFonts w:ascii="Times New Roman" w:hAnsi="Times New Roman"/>
                <w:sz w:val="18"/>
                <w:szCs w:val="18"/>
              </w:rPr>
              <w:br/>
              <w:t xml:space="preserve">MISSION CITY REBAR, INC.                     </w:t>
            </w:r>
            <w:r w:rsidRPr="00111706">
              <w:rPr>
                <w:rFonts w:ascii="Times New Roman" w:hAnsi="Times New Roman"/>
                <w:sz w:val="18"/>
                <w:szCs w:val="18"/>
              </w:rPr>
              <w:br/>
              <w:t xml:space="preserve">400 REED STREET, STE. 95                     </w:t>
            </w:r>
            <w:r w:rsidRPr="00111706">
              <w:rPr>
                <w:rFonts w:ascii="Times New Roman" w:hAnsi="Times New Roman"/>
                <w:sz w:val="18"/>
                <w:szCs w:val="18"/>
              </w:rPr>
              <w:br/>
              <w:t xml:space="preserve">SANTA CLARA CA 95050                         </w:t>
            </w:r>
            <w:r w:rsidRPr="00111706">
              <w:rPr>
                <w:rFonts w:ascii="Times New Roman" w:hAnsi="Times New Roman"/>
                <w:sz w:val="18"/>
                <w:szCs w:val="18"/>
              </w:rPr>
              <w:br/>
              <w:t xml:space="preserve">(408) 727-6999                               </w:t>
            </w:r>
            <w:r w:rsidRPr="00111706">
              <w:rPr>
                <w:rFonts w:ascii="Times New Roman" w:hAnsi="Times New Roman"/>
                <w:sz w:val="18"/>
                <w:szCs w:val="18"/>
              </w:rPr>
              <w:br/>
              <w:t xml:space="preserve">RebarJG@MissionCityRebar.com                 </w:t>
            </w:r>
            <w:r w:rsidRPr="00111706">
              <w:rPr>
                <w:rFonts w:ascii="Times New Roman" w:hAnsi="Times New Roman"/>
                <w:sz w:val="18"/>
                <w:szCs w:val="18"/>
              </w:rPr>
              <w:br/>
              <w:t xml:space="preserve">For: Mission City Rebar, Inc.                                       </w:t>
            </w:r>
            <w:r>
              <w:rPr>
                <w:rFonts w:ascii="Times New Roman" w:hAnsi="Times New Roman"/>
                <w:sz w:val="18"/>
                <w:szCs w:val="18"/>
              </w:rPr>
              <w:t xml:space="preserve">      </w:t>
            </w:r>
          </w:p>
          <w:p w:rsidR="00111706" w:rsidP="00DA2E45" w:rsidRDefault="00111706" w14:paraId="54EE3697" w14:textId="7CA4ADA4">
            <w:pPr>
              <w:rPr>
                <w:rFonts w:ascii="Times New Roman" w:hAnsi="Times New Roman"/>
                <w:sz w:val="18"/>
                <w:szCs w:val="18"/>
              </w:rPr>
            </w:pPr>
            <w:r>
              <w:rPr>
                <w:rFonts w:ascii="Times New Roman" w:hAnsi="Times New Roman"/>
                <w:sz w:val="18"/>
                <w:szCs w:val="18"/>
              </w:rPr>
              <w:t>__</w:t>
            </w:r>
            <w:r w:rsidRPr="00111706">
              <w:rPr>
                <w:rFonts w:ascii="Times New Roman" w:hAnsi="Times New Roman"/>
                <w:sz w:val="18"/>
                <w:szCs w:val="18"/>
              </w:rPr>
              <w:t>__________________________________________</w:t>
            </w:r>
            <w:r w:rsidRPr="00111706">
              <w:rPr>
                <w:rFonts w:ascii="Times New Roman" w:hAnsi="Times New Roman"/>
                <w:sz w:val="18"/>
                <w:szCs w:val="18"/>
              </w:rPr>
              <w:br/>
            </w:r>
            <w:r w:rsidRPr="00111706">
              <w:rPr>
                <w:rFonts w:ascii="Times New Roman" w:hAnsi="Times New Roman"/>
                <w:sz w:val="18"/>
                <w:szCs w:val="18"/>
              </w:rPr>
              <w:br/>
              <w:t xml:space="preserve">Edward Salcedo                               </w:t>
            </w:r>
            <w:r w:rsidRPr="00111706">
              <w:rPr>
                <w:rFonts w:ascii="Times New Roman" w:hAnsi="Times New Roman"/>
                <w:sz w:val="18"/>
                <w:szCs w:val="18"/>
              </w:rPr>
              <w:br/>
              <w:t xml:space="preserve">THE SUPPLIER </w:t>
            </w:r>
            <w:proofErr w:type="spellStart"/>
            <w:r w:rsidRPr="00111706">
              <w:rPr>
                <w:rFonts w:ascii="Times New Roman" w:hAnsi="Times New Roman"/>
                <w:sz w:val="18"/>
                <w:szCs w:val="18"/>
              </w:rPr>
              <w:t>CLEARNINGHOUSE</w:t>
            </w:r>
            <w:proofErr w:type="spellEnd"/>
            <w:r w:rsidRPr="00111706">
              <w:rPr>
                <w:rFonts w:ascii="Times New Roman" w:hAnsi="Times New Roman"/>
                <w:sz w:val="18"/>
                <w:szCs w:val="18"/>
              </w:rPr>
              <w:t xml:space="preserve">                  </w:t>
            </w:r>
            <w:r w:rsidRPr="00111706">
              <w:rPr>
                <w:rFonts w:ascii="Times New Roman" w:hAnsi="Times New Roman"/>
                <w:sz w:val="18"/>
                <w:szCs w:val="18"/>
              </w:rPr>
              <w:br/>
              <w:t xml:space="preserve">3525 HYLAND AVENUE, STE. 135                 </w:t>
            </w:r>
            <w:r w:rsidRPr="00111706">
              <w:rPr>
                <w:rFonts w:ascii="Times New Roman" w:hAnsi="Times New Roman"/>
                <w:sz w:val="18"/>
                <w:szCs w:val="18"/>
              </w:rPr>
              <w:br/>
              <w:t xml:space="preserve">COSTA MESA CA 92626                          </w:t>
            </w:r>
            <w:r w:rsidRPr="00111706">
              <w:rPr>
                <w:rFonts w:ascii="Times New Roman" w:hAnsi="Times New Roman"/>
                <w:sz w:val="18"/>
                <w:szCs w:val="18"/>
              </w:rPr>
              <w:br/>
              <w:t xml:space="preserve">(800) 359-7998                               </w:t>
            </w:r>
            <w:r w:rsidRPr="00111706">
              <w:rPr>
                <w:rFonts w:ascii="Times New Roman" w:hAnsi="Times New Roman"/>
                <w:sz w:val="18"/>
                <w:szCs w:val="18"/>
              </w:rPr>
              <w:br/>
              <w:t xml:space="preserve">Info@TheSupplierClearinghouse.com            </w:t>
            </w:r>
            <w:r w:rsidRPr="00111706">
              <w:rPr>
                <w:rFonts w:ascii="Times New Roman" w:hAnsi="Times New Roman"/>
                <w:sz w:val="18"/>
                <w:szCs w:val="18"/>
              </w:rPr>
              <w:br/>
              <w:t xml:space="preserve">For: The Supplier Clearinghouse                                     </w:t>
            </w:r>
            <w:r>
              <w:rPr>
                <w:rFonts w:ascii="Times New Roman" w:hAnsi="Times New Roman"/>
                <w:sz w:val="18"/>
                <w:szCs w:val="18"/>
              </w:rPr>
              <w:t xml:space="preserve">      </w:t>
            </w:r>
          </w:p>
          <w:p w:rsidRPr="00111706" w:rsidR="00111706" w:rsidP="00DA2E45" w:rsidRDefault="00111706" w14:paraId="26E50CB9" w14:textId="1134B48F">
            <w:pPr>
              <w:rPr>
                <w:rFonts w:ascii="Times New Roman" w:hAnsi="Times New Roman"/>
                <w:sz w:val="18"/>
                <w:szCs w:val="18"/>
              </w:rPr>
            </w:pPr>
            <w:r>
              <w:rPr>
                <w:rFonts w:ascii="Times New Roman" w:hAnsi="Times New Roman"/>
                <w:sz w:val="18"/>
                <w:szCs w:val="18"/>
              </w:rPr>
              <w:t>__</w:t>
            </w:r>
            <w:r w:rsidRPr="00111706">
              <w:rPr>
                <w:rFonts w:ascii="Times New Roman" w:hAnsi="Times New Roman"/>
                <w:sz w:val="18"/>
                <w:szCs w:val="18"/>
              </w:rPr>
              <w:t>__________________________________________</w:t>
            </w:r>
            <w:r w:rsidRPr="00111706">
              <w:rPr>
                <w:rFonts w:ascii="Times New Roman" w:hAnsi="Times New Roman"/>
                <w:sz w:val="18"/>
                <w:szCs w:val="18"/>
              </w:rPr>
              <w:br/>
            </w:r>
            <w:r w:rsidRPr="00111706">
              <w:rPr>
                <w:rFonts w:ascii="Times New Roman" w:hAnsi="Times New Roman"/>
                <w:sz w:val="18"/>
                <w:szCs w:val="18"/>
              </w:rPr>
              <w:br/>
            </w:r>
            <w:r w:rsidRPr="00111706">
              <w:rPr>
                <w:rFonts w:ascii="Times New Roman" w:hAnsi="Times New Roman"/>
                <w:b/>
                <w:bCs/>
                <w:sz w:val="18"/>
                <w:szCs w:val="18"/>
              </w:rPr>
              <w:t xml:space="preserve">********** STATE EMPLOYEE *********** </w:t>
            </w:r>
            <w:r w:rsidRPr="00111706">
              <w:rPr>
                <w:rFonts w:ascii="Times New Roman" w:hAnsi="Times New Roman"/>
                <w:sz w:val="18"/>
                <w:szCs w:val="18"/>
              </w:rPr>
              <w:br/>
            </w:r>
            <w:r w:rsidRPr="00111706">
              <w:rPr>
                <w:rFonts w:ascii="Times New Roman" w:hAnsi="Times New Roman"/>
                <w:sz w:val="18"/>
                <w:szCs w:val="18"/>
              </w:rPr>
              <w:br/>
            </w:r>
            <w:r w:rsidRPr="00111706">
              <w:rPr>
                <w:rFonts w:ascii="Times New Roman" w:hAnsi="Times New Roman"/>
                <w:b/>
                <w:bCs/>
                <w:sz w:val="18"/>
                <w:szCs w:val="18"/>
              </w:rPr>
              <w:t xml:space="preserve">********* INFORMATION ONLY ********** </w:t>
            </w:r>
            <w:r w:rsidRPr="00111706">
              <w:rPr>
                <w:rFonts w:ascii="Times New Roman" w:hAnsi="Times New Roman"/>
                <w:sz w:val="18"/>
                <w:szCs w:val="18"/>
              </w:rPr>
              <w:br/>
            </w:r>
            <w:r w:rsidRPr="00111706">
              <w:rPr>
                <w:rFonts w:ascii="Times New Roman" w:hAnsi="Times New Roman"/>
                <w:sz w:val="18"/>
                <w:szCs w:val="18"/>
              </w:rPr>
              <w:br/>
              <w:t xml:space="preserve">Christopher Clay                             </w:t>
            </w:r>
            <w:r w:rsidRPr="00111706">
              <w:rPr>
                <w:rFonts w:ascii="Times New Roman" w:hAnsi="Times New Roman"/>
                <w:sz w:val="18"/>
                <w:szCs w:val="18"/>
              </w:rPr>
              <w:br/>
              <w:t xml:space="preserve">Legal Division                               </w:t>
            </w:r>
            <w:r w:rsidRPr="00111706">
              <w:rPr>
                <w:rFonts w:ascii="Times New Roman" w:hAnsi="Times New Roman"/>
                <w:sz w:val="18"/>
                <w:szCs w:val="18"/>
              </w:rPr>
              <w:br/>
              <w:t xml:space="preserve">RM. 4300                                     </w:t>
            </w:r>
            <w:r w:rsidRPr="00111706">
              <w:rPr>
                <w:rFonts w:ascii="Times New Roman" w:hAnsi="Times New Roman"/>
                <w:sz w:val="18"/>
                <w:szCs w:val="18"/>
              </w:rPr>
              <w:br/>
              <w:t xml:space="preserve">505 Van Ness Avenue                          </w:t>
            </w:r>
            <w:r w:rsidRPr="00111706">
              <w:rPr>
                <w:rFonts w:ascii="Times New Roman" w:hAnsi="Times New Roman"/>
                <w:sz w:val="18"/>
                <w:szCs w:val="18"/>
              </w:rPr>
              <w:br/>
              <w:t xml:space="preserve">San Francisco CA 94102 3298                  </w:t>
            </w:r>
            <w:r w:rsidRPr="00111706">
              <w:rPr>
                <w:rFonts w:ascii="Times New Roman" w:hAnsi="Times New Roman"/>
                <w:sz w:val="18"/>
                <w:szCs w:val="18"/>
              </w:rPr>
              <w:br/>
              <w:t xml:space="preserve">(415) 703-1123                               </w:t>
            </w:r>
            <w:r w:rsidRPr="00111706">
              <w:rPr>
                <w:rFonts w:ascii="Times New Roman" w:hAnsi="Times New Roman"/>
                <w:sz w:val="18"/>
                <w:szCs w:val="18"/>
              </w:rPr>
              <w:br/>
              <w:t xml:space="preserve">cec@cpuc.ca.gov                              </w:t>
            </w:r>
            <w:r w:rsidRPr="00111706">
              <w:rPr>
                <w:rFonts w:ascii="Times New Roman" w:hAnsi="Times New Roman"/>
                <w:sz w:val="18"/>
                <w:szCs w:val="18"/>
              </w:rPr>
              <w:br/>
            </w:r>
            <w:r w:rsidRPr="00111706">
              <w:rPr>
                <w:rFonts w:ascii="Times New Roman" w:hAnsi="Times New Roman"/>
                <w:sz w:val="18"/>
                <w:szCs w:val="18"/>
              </w:rPr>
              <w:br/>
              <w:t xml:space="preserve">John A. Gonzales                             </w:t>
            </w:r>
            <w:r w:rsidRPr="00111706">
              <w:rPr>
                <w:rFonts w:ascii="Times New Roman" w:hAnsi="Times New Roman"/>
                <w:sz w:val="18"/>
                <w:szCs w:val="18"/>
              </w:rPr>
              <w:br/>
              <w:t xml:space="preserve">President                                    </w:t>
            </w:r>
            <w:r w:rsidRPr="00111706">
              <w:rPr>
                <w:rFonts w:ascii="Times New Roman" w:hAnsi="Times New Roman"/>
                <w:sz w:val="18"/>
                <w:szCs w:val="18"/>
              </w:rPr>
              <w:br/>
              <w:t xml:space="preserve">MISSION CITY REBAR, INC.                     </w:t>
            </w:r>
            <w:r w:rsidRPr="00111706">
              <w:rPr>
                <w:rFonts w:ascii="Times New Roman" w:hAnsi="Times New Roman"/>
                <w:sz w:val="18"/>
                <w:szCs w:val="18"/>
              </w:rPr>
              <w:br/>
              <w:t xml:space="preserve">542 MCGRAW AVENUE                            </w:t>
            </w:r>
            <w:r w:rsidRPr="00111706">
              <w:rPr>
                <w:rFonts w:ascii="Times New Roman" w:hAnsi="Times New Roman"/>
                <w:sz w:val="18"/>
                <w:szCs w:val="18"/>
              </w:rPr>
              <w:br/>
              <w:t xml:space="preserve">LIVERMORE CA 94551                           </w:t>
            </w:r>
            <w:r w:rsidRPr="00111706">
              <w:rPr>
                <w:rFonts w:ascii="Times New Roman" w:hAnsi="Times New Roman"/>
                <w:sz w:val="18"/>
                <w:szCs w:val="18"/>
              </w:rPr>
              <w:br/>
              <w:t xml:space="preserve">(925) 449-6999                               </w:t>
            </w:r>
            <w:r w:rsidRPr="00111706">
              <w:rPr>
                <w:rFonts w:ascii="Times New Roman" w:hAnsi="Times New Roman"/>
                <w:sz w:val="18"/>
                <w:szCs w:val="18"/>
              </w:rPr>
              <w:br/>
              <w:t xml:space="preserve">rebarjg@missioncityrebar.com                 </w:t>
            </w:r>
            <w:r w:rsidRPr="00111706">
              <w:rPr>
                <w:rFonts w:ascii="Times New Roman" w:hAnsi="Times New Roman"/>
                <w:sz w:val="18"/>
                <w:szCs w:val="18"/>
              </w:rPr>
              <w:br/>
            </w:r>
            <w:r w:rsidRPr="00111706">
              <w:rPr>
                <w:rFonts w:ascii="Times New Roman" w:hAnsi="Times New Roman"/>
                <w:sz w:val="18"/>
                <w:szCs w:val="18"/>
              </w:rPr>
              <w:br/>
              <w:t xml:space="preserve">Alberto Rosas                                </w:t>
            </w:r>
            <w:r w:rsidRPr="00111706">
              <w:rPr>
                <w:rFonts w:ascii="Times New Roman" w:hAnsi="Times New Roman"/>
                <w:sz w:val="18"/>
                <w:szCs w:val="18"/>
              </w:rPr>
              <w:br/>
              <w:t xml:space="preserve">Administrative Law Judge Division            </w:t>
            </w:r>
            <w:r w:rsidRPr="00111706">
              <w:rPr>
                <w:rFonts w:ascii="Times New Roman" w:hAnsi="Times New Roman"/>
                <w:sz w:val="18"/>
                <w:szCs w:val="18"/>
              </w:rPr>
              <w:br/>
              <w:t xml:space="preserve">300 Capitol Mall                             </w:t>
            </w:r>
            <w:r w:rsidRPr="00111706">
              <w:rPr>
                <w:rFonts w:ascii="Times New Roman" w:hAnsi="Times New Roman"/>
                <w:sz w:val="18"/>
                <w:szCs w:val="18"/>
              </w:rPr>
              <w:br/>
              <w:t xml:space="preserve">Sacramento CA 95814 4309                     </w:t>
            </w:r>
            <w:r w:rsidRPr="00111706">
              <w:rPr>
                <w:rFonts w:ascii="Times New Roman" w:hAnsi="Times New Roman"/>
                <w:sz w:val="18"/>
                <w:szCs w:val="18"/>
              </w:rPr>
              <w:br/>
              <w:t xml:space="preserve">(916) 928-2587                               </w:t>
            </w:r>
            <w:r w:rsidRPr="00111706">
              <w:rPr>
                <w:rFonts w:ascii="Times New Roman" w:hAnsi="Times New Roman"/>
                <w:sz w:val="18"/>
                <w:szCs w:val="18"/>
              </w:rPr>
              <w:br/>
              <w:t xml:space="preserve">abt@cpuc.ca.gov                              </w:t>
            </w:r>
            <w:r w:rsidRPr="00111706">
              <w:rPr>
                <w:rFonts w:ascii="Times New Roman" w:hAnsi="Times New Roman"/>
                <w:sz w:val="18"/>
                <w:szCs w:val="18"/>
              </w:rPr>
              <w:br/>
            </w:r>
            <w:r w:rsidRPr="00111706">
              <w:rPr>
                <w:rFonts w:ascii="Times New Roman" w:hAnsi="Times New Roman"/>
                <w:sz w:val="18"/>
                <w:szCs w:val="18"/>
              </w:rPr>
              <w:br/>
              <w:t>Amy C. Yip-</w:t>
            </w:r>
            <w:proofErr w:type="spellStart"/>
            <w:r w:rsidRPr="00111706">
              <w:rPr>
                <w:rFonts w:ascii="Times New Roman" w:hAnsi="Times New Roman"/>
                <w:sz w:val="18"/>
                <w:szCs w:val="18"/>
              </w:rPr>
              <w:t>Kikugawa</w:t>
            </w:r>
            <w:proofErr w:type="spellEnd"/>
            <w:r w:rsidRPr="00111706">
              <w:rPr>
                <w:rFonts w:ascii="Times New Roman" w:hAnsi="Times New Roman"/>
                <w:sz w:val="18"/>
                <w:szCs w:val="18"/>
              </w:rPr>
              <w:t xml:space="preserve">                          </w:t>
            </w:r>
            <w:r w:rsidRPr="00111706">
              <w:rPr>
                <w:rFonts w:ascii="Times New Roman" w:hAnsi="Times New Roman"/>
                <w:sz w:val="18"/>
                <w:szCs w:val="18"/>
              </w:rPr>
              <w:br/>
              <w:t xml:space="preserve">Legal Division                               </w:t>
            </w:r>
            <w:r w:rsidRPr="00111706">
              <w:rPr>
                <w:rFonts w:ascii="Times New Roman" w:hAnsi="Times New Roman"/>
                <w:sz w:val="18"/>
                <w:szCs w:val="18"/>
              </w:rPr>
              <w:br/>
              <w:t xml:space="preserve">RM. 4107                                     </w:t>
            </w:r>
            <w:r w:rsidRPr="00111706">
              <w:rPr>
                <w:rFonts w:ascii="Times New Roman" w:hAnsi="Times New Roman"/>
                <w:sz w:val="18"/>
                <w:szCs w:val="18"/>
              </w:rPr>
              <w:br/>
              <w:t xml:space="preserve">505 Van Ness Avenue                          </w:t>
            </w:r>
            <w:r w:rsidRPr="00111706">
              <w:rPr>
                <w:rFonts w:ascii="Times New Roman" w:hAnsi="Times New Roman"/>
                <w:sz w:val="18"/>
                <w:szCs w:val="18"/>
              </w:rPr>
              <w:br/>
              <w:t xml:space="preserve">San Francisco CA 94102 3298                  </w:t>
            </w:r>
            <w:r w:rsidRPr="00111706">
              <w:rPr>
                <w:rFonts w:ascii="Times New Roman" w:hAnsi="Times New Roman"/>
                <w:sz w:val="18"/>
                <w:szCs w:val="18"/>
              </w:rPr>
              <w:br/>
              <w:t xml:space="preserve">(415) 703-5256                               </w:t>
            </w:r>
            <w:r w:rsidRPr="00111706">
              <w:rPr>
                <w:rFonts w:ascii="Times New Roman" w:hAnsi="Times New Roman"/>
                <w:sz w:val="18"/>
                <w:szCs w:val="18"/>
              </w:rPr>
              <w:br/>
              <w:t xml:space="preserve">ayk@cpuc.ca.gov                              </w:t>
            </w:r>
          </w:p>
        </w:tc>
        <w:tc>
          <w:tcPr>
            <w:tcW w:w="5400" w:type="dxa"/>
            <w:tcBorders>
              <w:top w:val="nil"/>
              <w:left w:val="nil"/>
              <w:bottom w:val="nil"/>
              <w:right w:val="nil"/>
            </w:tcBorders>
          </w:tcPr>
          <w:p w:rsidRPr="00111706" w:rsidR="00111706" w:rsidP="00DA2E45" w:rsidRDefault="00111706" w14:paraId="3C25E621" w14:textId="77777777">
            <w:pPr>
              <w:rPr>
                <w:rFonts w:ascii="Times New Roman" w:hAnsi="Times New Roman"/>
                <w:sz w:val="18"/>
                <w:szCs w:val="18"/>
              </w:rPr>
            </w:pPr>
          </w:p>
        </w:tc>
      </w:tr>
    </w:tbl>
    <w:p w:rsidRPr="00111706" w:rsidR="00A82410" w:rsidP="00A82410" w:rsidRDefault="00A82410" w14:paraId="4685F3B5" w14:textId="77777777">
      <w:pPr>
        <w:rPr>
          <w:sz w:val="4"/>
        </w:rPr>
      </w:pPr>
    </w:p>
    <w:sectPr w:rsidRPr="00111706" w:rsidR="00A82410" w:rsidSect="00A82410">
      <w:headerReference w:type="first" r:id="rId19"/>
      <w:footerReference w:type="first" r:id="rId20"/>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A927" w14:textId="77777777" w:rsidR="003E7A70" w:rsidRDefault="003E7A70">
      <w:r>
        <w:separator/>
      </w:r>
    </w:p>
  </w:endnote>
  <w:endnote w:type="continuationSeparator" w:id="0">
    <w:p w14:paraId="72C0257B" w14:textId="77777777" w:rsidR="003E7A70" w:rsidRDefault="003E7A70">
      <w:r>
        <w:continuationSeparator/>
      </w:r>
    </w:p>
  </w:endnote>
  <w:endnote w:type="continuationNotice" w:id="1">
    <w:p w14:paraId="760ED283" w14:textId="77777777" w:rsidR="003E7A70" w:rsidRDefault="003E7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1F52" w14:textId="77777777" w:rsidR="00CC57A7" w:rsidRPr="00FB71B2" w:rsidRDefault="00CC57A7" w:rsidP="00FB71B2">
    <w:pPr>
      <w:pStyle w:val="Footer"/>
      <w:jc w:val="center"/>
    </w:pPr>
    <w:r>
      <w:t xml:space="preserve">- </w:t>
    </w:r>
    <w:sdt>
      <w:sdtPr>
        <w:id w:val="-4202599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0C0" w14:textId="7072347F" w:rsidR="00163A83" w:rsidRDefault="00EA3A59" w:rsidP="00A82410">
    <w:pPr>
      <w:pStyle w:val="Footer"/>
      <w:tabs>
        <w:tab w:val="clear" w:pos="4320"/>
        <w:tab w:val="clear" w:pos="8640"/>
        <w:tab w:val="center" w:pos="4680"/>
        <w:tab w:val="right" w:pos="9360"/>
      </w:tabs>
      <w:jc w:val="center"/>
    </w:pPr>
    <w:r>
      <w:t xml:space="preserve">- </w:t>
    </w:r>
    <w:r>
      <w:fldChar w:fldCharType="begin"/>
    </w:r>
    <w:r>
      <w:instrText xml:space="preserve"> PAGE   \* MERGEFORMAT </w:instrText>
    </w:r>
    <w:r>
      <w:fldChar w:fldCharType="separate"/>
    </w:r>
    <w:r>
      <w:rPr>
        <w:noProof/>
      </w:rPr>
      <w:t>1</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44C2" w14:textId="7D4D908B" w:rsidR="00163A83" w:rsidRDefault="005902DD" w:rsidP="00A82410">
    <w:pPr>
      <w:pStyle w:val="Footer"/>
      <w:tabs>
        <w:tab w:val="clear" w:pos="4320"/>
        <w:tab w:val="clear" w:pos="8640"/>
        <w:tab w:val="center" w:pos="4680"/>
        <w:tab w:val="right" w:pos="9360"/>
      </w:tabs>
      <w:rPr>
        <w:noProof/>
      </w:rPr>
    </w:pPr>
    <w:r w:rsidRPr="00F61835">
      <w:rPr>
        <w:sz w:val="16"/>
      </w:rPr>
      <w:t>517027625</w:t>
    </w:r>
    <w:r>
      <w:tab/>
    </w:r>
    <w:r w:rsidR="00C47FD8">
      <w:noBreakHyphen/>
    </w: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r w:rsidR="00F61835">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8D1C" w14:textId="4D5124F8" w:rsidR="00A82410" w:rsidRPr="00A82410" w:rsidRDefault="00A82410" w:rsidP="00A82410">
    <w:pPr>
      <w:pStyle w:val="Footer"/>
      <w:jc w:val="center"/>
    </w:pPr>
    <w:r>
      <w:t xml:space="preserve">- </w:t>
    </w:r>
    <w:r w:rsidRPr="007C2251">
      <w:fldChar w:fldCharType="begin"/>
    </w:r>
    <w:r w:rsidRPr="007C2251">
      <w:instrText xml:space="preserve"> PAGE   \* MERGEFORMAT </w:instrText>
    </w:r>
    <w:r w:rsidRPr="007C2251">
      <w:fldChar w:fldCharType="separate"/>
    </w:r>
    <w:r>
      <w:t>1</w:t>
    </w:r>
    <w:r w:rsidRPr="007C2251">
      <w:rPr>
        <w:noProof/>
      </w:rPr>
      <w:fldChar w:fldCharType="end"/>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C5EE" w14:textId="668340DE" w:rsidR="00A82410" w:rsidRPr="007C2251" w:rsidRDefault="00A82410" w:rsidP="00A82410">
    <w:pPr>
      <w:pStyle w:val="Footer"/>
      <w:jc w:val="center"/>
    </w:pPr>
    <w:r>
      <w:t xml:space="preserve">- </w:t>
    </w:r>
    <w:r w:rsidRPr="007C2251">
      <w:fldChar w:fldCharType="begin"/>
    </w:r>
    <w:r w:rsidRPr="007C2251">
      <w:instrText xml:space="preserve"> PAGE   \* MERGEFORMAT </w:instrText>
    </w:r>
    <w:r w:rsidRPr="007C2251">
      <w:fldChar w:fldCharType="separate"/>
    </w:r>
    <w:r w:rsidRPr="007C2251">
      <w:rPr>
        <w:noProof/>
      </w:rPr>
      <w:t>- 1 -</w:t>
    </w:r>
    <w:r w:rsidRPr="007C2251">
      <w:rPr>
        <w:noProof/>
      </w:rPr>
      <w:fldChar w:fldCharType="end"/>
    </w:r>
    <w:r>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FBAC" w14:textId="77777777" w:rsidR="00A82410" w:rsidRPr="00AF0F82" w:rsidRDefault="00A82410" w:rsidP="002F4E62">
    <w:pPr>
      <w:pStyle w:val="Footer"/>
    </w:pPr>
    <w:r w:rsidRPr="00AF0F82">
      <w:fldChar w:fldCharType="begin"/>
    </w:r>
    <w:r w:rsidRPr="00AF0F82">
      <w:instrText xml:space="preserve"> PAGE   \* MERGEFORMAT </w:instrText>
    </w:r>
    <w:r w:rsidRPr="00AF0F82">
      <w:fldChar w:fldCharType="separate"/>
    </w:r>
    <w:r w:rsidRPr="00AF0F82">
      <w:rPr>
        <w:noProof/>
      </w:rPr>
      <w:t>- 2 -</w:t>
    </w:r>
    <w:r w:rsidRPr="00AF0F82">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DE6E" w14:textId="77777777" w:rsidR="00163A83" w:rsidRPr="007C2251" w:rsidRDefault="00163A83" w:rsidP="002F4E62">
    <w:pPr>
      <w:pStyle w:val="Footer"/>
    </w:pPr>
    <w:r w:rsidRPr="007C2251">
      <w:fldChar w:fldCharType="begin"/>
    </w:r>
    <w:r w:rsidRPr="007C2251">
      <w:instrText xml:space="preserve"> PAGE   \* MERGEFORMAT </w:instrText>
    </w:r>
    <w:r w:rsidRPr="007C2251">
      <w:fldChar w:fldCharType="separate"/>
    </w:r>
    <w:r w:rsidRPr="007C2251">
      <w:rPr>
        <w:noProof/>
      </w:rPr>
      <w:t>- 1 -</w:t>
    </w:r>
    <w:r w:rsidRPr="007C22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3810" w14:textId="77777777" w:rsidR="003E7A70" w:rsidRDefault="003E7A70">
      <w:r>
        <w:separator/>
      </w:r>
    </w:p>
  </w:footnote>
  <w:footnote w:type="continuationSeparator" w:id="0">
    <w:p w14:paraId="3D429146" w14:textId="77777777" w:rsidR="003E7A70" w:rsidRDefault="003E7A70">
      <w:r>
        <w:continuationSeparator/>
      </w:r>
    </w:p>
  </w:footnote>
  <w:footnote w:type="continuationNotice" w:id="1">
    <w:p w14:paraId="089A87B5" w14:textId="77777777" w:rsidR="003E7A70" w:rsidRDefault="003E7A70"/>
  </w:footnote>
  <w:footnote w:id="2">
    <w:p w14:paraId="2149E2A8" w14:textId="433FC894" w:rsidR="004251A3" w:rsidRPr="00B665FE" w:rsidRDefault="004251A3" w:rsidP="00D62C00">
      <w:pPr>
        <w:pStyle w:val="FootnoteText"/>
      </w:pPr>
      <w:r w:rsidRPr="004F6AE1">
        <w:rPr>
          <w:rStyle w:val="FootnoteReference"/>
        </w:rPr>
        <w:footnoteRef/>
      </w:r>
      <w:r w:rsidR="000D20BA">
        <w:t xml:space="preserve"> </w:t>
      </w:r>
      <w:r w:rsidRPr="00B665FE">
        <w:t>The term</w:t>
      </w:r>
      <w:r w:rsidR="001A376A" w:rsidRPr="00B665FE">
        <w:t>s</w:t>
      </w:r>
      <w:r w:rsidRPr="00B665FE">
        <w:t xml:space="preserve"> “verify” and </w:t>
      </w:r>
      <w:r w:rsidR="001A376A" w:rsidRPr="00B665FE">
        <w:t xml:space="preserve">“certify” and </w:t>
      </w:r>
      <w:r w:rsidRPr="00B665FE">
        <w:t xml:space="preserve">derivations thereof </w:t>
      </w:r>
      <w:r w:rsidR="001A376A" w:rsidRPr="00B665FE">
        <w:t xml:space="preserve">are </w:t>
      </w:r>
      <w:r w:rsidRPr="00B665FE">
        <w:t>term</w:t>
      </w:r>
      <w:r w:rsidR="001A376A" w:rsidRPr="00B665FE">
        <w:t>s</w:t>
      </w:r>
      <w:r w:rsidRPr="00B665FE">
        <w:t xml:space="preserve"> of art utilized in connection with </w:t>
      </w:r>
      <w:r w:rsidR="00F0302D" w:rsidRPr="00B665FE">
        <w:t xml:space="preserve">the </w:t>
      </w:r>
      <w:r w:rsidR="00F0302D" w:rsidRPr="0049402D">
        <w:t>Women, Minority, Disabled Veteran, and Lesbian, Gay, Bisexual and Transgender</w:t>
      </w:r>
      <w:r w:rsidR="00F0302D" w:rsidRPr="00B665FE">
        <w:t xml:space="preserve"> (</w:t>
      </w:r>
      <w:r w:rsidR="00E62EC8" w:rsidRPr="0049402D">
        <w:t>Diverse Suppliers</w:t>
      </w:r>
      <w:r w:rsidR="00F0302D" w:rsidRPr="00B665FE">
        <w:t xml:space="preserve">) program to indicate the process of certifying that a particular entity meets or has met the standards set forth in </w:t>
      </w:r>
      <w:r w:rsidR="00F0302D" w:rsidRPr="0049402D">
        <w:t>General Order</w:t>
      </w:r>
      <w:r w:rsidR="00F0302D" w:rsidRPr="00B665FE">
        <w:t xml:space="preserve"> (</w:t>
      </w:r>
      <w:r w:rsidR="00F0302D" w:rsidRPr="0049402D">
        <w:t>GO</w:t>
      </w:r>
      <w:r w:rsidR="00F0302D" w:rsidRPr="00B665FE">
        <w:t>)</w:t>
      </w:r>
      <w:r w:rsidR="00BE5655">
        <w:t> </w:t>
      </w:r>
      <w:r w:rsidR="00F0302D" w:rsidRPr="00B665FE">
        <w:t xml:space="preserve">156 for designation as </w:t>
      </w:r>
      <w:r w:rsidR="00E62EC8" w:rsidRPr="00B665FE">
        <w:t>Diverse Suppliers</w:t>
      </w:r>
      <w:r w:rsidR="00F0302D" w:rsidRPr="00B665FE">
        <w:t xml:space="preserve"> of which </w:t>
      </w:r>
      <w:r w:rsidR="00587079" w:rsidRPr="00B665FE">
        <w:t>M</w:t>
      </w:r>
      <w:r w:rsidR="00F0302D" w:rsidRPr="00B665FE">
        <w:t>BE is included.</w:t>
      </w:r>
    </w:p>
  </w:footnote>
  <w:footnote w:id="3">
    <w:p w14:paraId="2A8912B6" w14:textId="33BA6CA1" w:rsidR="00B24AF8" w:rsidRPr="00D62C00" w:rsidRDefault="00B24AF8" w:rsidP="00D62C00">
      <w:pPr>
        <w:pStyle w:val="FootnoteText"/>
      </w:pPr>
      <w:r w:rsidRPr="004F6AE1">
        <w:rPr>
          <w:rStyle w:val="FootnoteReference"/>
        </w:rPr>
        <w:footnoteRef/>
      </w:r>
      <w:r w:rsidRPr="00B665FE">
        <w:t xml:space="preserve"> Appellant’s Reply Brief (</w:t>
      </w:r>
      <w:r w:rsidR="008D7DF4">
        <w:t>December </w:t>
      </w:r>
      <w:r w:rsidRPr="00B665FE">
        <w:t>7, 2021)</w:t>
      </w:r>
      <w:r w:rsidR="00F61835">
        <w:t xml:space="preserve"> at </w:t>
      </w:r>
      <w:r w:rsidRPr="00B665FE">
        <w:t>2.</w:t>
      </w:r>
    </w:p>
  </w:footnote>
  <w:footnote w:id="4">
    <w:p w14:paraId="679F9520" w14:textId="77777777" w:rsidR="00B24AF8" w:rsidRPr="00D62C00" w:rsidRDefault="00B24AF8" w:rsidP="00D62C00">
      <w:pPr>
        <w:pStyle w:val="FootnoteText"/>
      </w:pPr>
      <w:r w:rsidRPr="004F6AE1">
        <w:rPr>
          <w:rStyle w:val="FootnoteReference"/>
        </w:rPr>
        <w:footnoteRef/>
      </w:r>
      <w:r w:rsidRPr="00B665FE">
        <w:t xml:space="preserve"> </w:t>
      </w:r>
      <w:r w:rsidRPr="00D62C00">
        <w:rPr>
          <w:i/>
          <w:iCs/>
        </w:rPr>
        <w:t>Ibid</w:t>
      </w:r>
      <w:r w:rsidRPr="00B665FE">
        <w:t>.</w:t>
      </w:r>
    </w:p>
  </w:footnote>
  <w:footnote w:id="5">
    <w:p w14:paraId="7028D1A0" w14:textId="789B280D" w:rsidR="00B24AF8" w:rsidRPr="00B665FE" w:rsidRDefault="00B24AF8" w:rsidP="00D62C00">
      <w:pPr>
        <w:pStyle w:val="FootnoteText"/>
      </w:pPr>
      <w:r w:rsidRPr="004F6AE1">
        <w:rPr>
          <w:rStyle w:val="FootnoteReference"/>
        </w:rPr>
        <w:footnoteRef/>
      </w:r>
      <w:r w:rsidRPr="00B665FE">
        <w:t xml:space="preserve"> </w:t>
      </w:r>
      <w:r w:rsidR="00593CB8" w:rsidRPr="00593CB8">
        <w:rPr>
          <w:i/>
          <w:iCs/>
        </w:rPr>
        <w:t>Id</w:t>
      </w:r>
      <w:r w:rsidR="00593CB8">
        <w:t>.</w:t>
      </w:r>
      <w:r w:rsidR="00D62C00">
        <w:t xml:space="preserve"> at </w:t>
      </w:r>
      <w:r w:rsidRPr="00B665FE">
        <w:t>3.</w:t>
      </w:r>
    </w:p>
  </w:footnote>
  <w:footnote w:id="6">
    <w:p w14:paraId="68FEE1A1" w14:textId="77777777" w:rsidR="00B24AF8" w:rsidRPr="00D62C00" w:rsidRDefault="00B24AF8" w:rsidP="00D62C00">
      <w:pPr>
        <w:pStyle w:val="FootnoteText"/>
      </w:pPr>
      <w:r w:rsidRPr="004F6AE1">
        <w:rPr>
          <w:rStyle w:val="FootnoteReference"/>
        </w:rPr>
        <w:footnoteRef/>
      </w:r>
      <w:r w:rsidRPr="00B665FE">
        <w:t xml:space="preserve"> </w:t>
      </w:r>
      <w:r w:rsidRPr="00D62C00">
        <w:rPr>
          <w:i/>
          <w:iCs/>
        </w:rPr>
        <w:t>Ibid.</w:t>
      </w:r>
    </w:p>
  </w:footnote>
  <w:footnote w:id="7">
    <w:p w14:paraId="1522DD18" w14:textId="48FE17D5" w:rsidR="00B24AF8" w:rsidRPr="00E05647" w:rsidRDefault="00B24AF8" w:rsidP="00E05647">
      <w:pPr>
        <w:pStyle w:val="FootnoteText"/>
      </w:pPr>
      <w:r w:rsidRPr="004F6AE1">
        <w:rPr>
          <w:rStyle w:val="FootnoteReference"/>
        </w:rPr>
        <w:footnoteRef/>
      </w:r>
      <w:r w:rsidRPr="00B665FE">
        <w:t xml:space="preserve"> Appellant’s Reply Brief (</w:t>
      </w:r>
      <w:r w:rsidR="008D7DF4">
        <w:t>December </w:t>
      </w:r>
      <w:r w:rsidRPr="00B665FE">
        <w:t>7, 2021)</w:t>
      </w:r>
      <w:r w:rsidR="007876CC">
        <w:t xml:space="preserve"> at</w:t>
      </w:r>
      <w:r w:rsidR="009A11B8">
        <w:t> </w:t>
      </w:r>
      <w:r w:rsidRPr="00B665FE">
        <w:t>3; Respondent’s Opening Brief (</w:t>
      </w:r>
      <w:r w:rsidR="008D7DF4">
        <w:t>November </w:t>
      </w:r>
      <w:r w:rsidRPr="00B665FE">
        <w:t>12, 2021)</w:t>
      </w:r>
      <w:r w:rsidR="00E05647">
        <w:t xml:space="preserve"> at </w:t>
      </w:r>
      <w:r w:rsidRPr="00B665FE">
        <w:t>1.</w:t>
      </w:r>
    </w:p>
  </w:footnote>
  <w:footnote w:id="8">
    <w:p w14:paraId="7588A201" w14:textId="03014EB5" w:rsidR="00B24AF8" w:rsidRPr="00B665FE" w:rsidRDefault="00B24AF8" w:rsidP="000D43A3">
      <w:pPr>
        <w:pStyle w:val="FootnoteText"/>
      </w:pPr>
      <w:r w:rsidRPr="004F6AE1">
        <w:rPr>
          <w:rStyle w:val="FootnoteReference"/>
        </w:rPr>
        <w:footnoteRef/>
      </w:r>
      <w:r w:rsidRPr="00B665FE">
        <w:t xml:space="preserve"> Respondent’s Opening Brief (</w:t>
      </w:r>
      <w:r w:rsidR="008D7DF4">
        <w:t>November </w:t>
      </w:r>
      <w:r w:rsidRPr="00B665FE">
        <w:t>12, 2021)</w:t>
      </w:r>
      <w:r w:rsidR="000D43A3">
        <w:t xml:space="preserve"> at </w:t>
      </w:r>
      <w:r w:rsidRPr="00B665FE">
        <w:t>1.</w:t>
      </w:r>
    </w:p>
  </w:footnote>
  <w:footnote w:id="9">
    <w:p w14:paraId="15BBFAB9" w14:textId="41D77C22" w:rsidR="00B24AF8" w:rsidRPr="000D43A3" w:rsidRDefault="00B24AF8" w:rsidP="000D43A3">
      <w:pPr>
        <w:pStyle w:val="FootnoteText"/>
      </w:pPr>
      <w:r w:rsidRPr="004F6AE1">
        <w:rPr>
          <w:rStyle w:val="FootnoteReference"/>
        </w:rPr>
        <w:footnoteRef/>
      </w:r>
      <w:r w:rsidRPr="00B665FE">
        <w:t xml:space="preserve"> </w:t>
      </w:r>
      <w:r w:rsidRPr="00B665FE">
        <w:rPr>
          <w:i/>
          <w:iCs/>
        </w:rPr>
        <w:t>Id</w:t>
      </w:r>
      <w:r w:rsidR="00593CB8" w:rsidRPr="00593CB8">
        <w:t>.</w:t>
      </w:r>
      <w:r w:rsidRPr="00B665FE">
        <w:t xml:space="preserve"> </w:t>
      </w:r>
      <w:r w:rsidR="000D43A3">
        <w:t>at </w:t>
      </w:r>
      <w:r w:rsidRPr="00B665FE">
        <w:t>1</w:t>
      </w:r>
      <w:r w:rsidR="00C47FD8">
        <w:noBreakHyphen/>
      </w:r>
      <w:r w:rsidRPr="00B665FE">
        <w:t>2.</w:t>
      </w:r>
    </w:p>
  </w:footnote>
  <w:footnote w:id="10">
    <w:p w14:paraId="678E5682" w14:textId="77777777" w:rsidR="00B24AF8" w:rsidRPr="00B665FE" w:rsidRDefault="00B24AF8" w:rsidP="000D43A3">
      <w:pPr>
        <w:pStyle w:val="FootnoteText"/>
      </w:pPr>
      <w:r w:rsidRPr="004F6AE1">
        <w:rPr>
          <w:rStyle w:val="FootnoteReference"/>
        </w:rPr>
        <w:footnoteRef/>
      </w:r>
      <w:r w:rsidRPr="00B665FE">
        <w:t xml:space="preserve"> </w:t>
      </w:r>
      <w:r w:rsidRPr="000D43A3">
        <w:rPr>
          <w:i/>
          <w:iCs/>
        </w:rPr>
        <w:t>Ibid.</w:t>
      </w:r>
    </w:p>
  </w:footnote>
  <w:footnote w:id="11">
    <w:p w14:paraId="5A99A81E" w14:textId="63F7AB13" w:rsidR="00FD5494" w:rsidRPr="00B665FE" w:rsidRDefault="00FD5494" w:rsidP="000D43A3">
      <w:pPr>
        <w:pStyle w:val="FootnoteText"/>
      </w:pPr>
      <w:r w:rsidRPr="004F6AE1">
        <w:rPr>
          <w:rStyle w:val="FootnoteReference"/>
        </w:rPr>
        <w:footnoteRef/>
      </w:r>
      <w:r w:rsidRPr="00B665FE">
        <w:t xml:space="preserve"> Respondent’s Opening Brief (</w:t>
      </w:r>
      <w:r w:rsidR="008D7DF4">
        <w:t>November </w:t>
      </w:r>
      <w:r w:rsidRPr="00B665FE">
        <w:t>12, 2021)</w:t>
      </w:r>
      <w:r w:rsidR="000D43A3">
        <w:t xml:space="preserve"> at </w:t>
      </w:r>
      <w:r w:rsidRPr="00B665FE">
        <w:t>2.</w:t>
      </w:r>
    </w:p>
  </w:footnote>
  <w:footnote w:id="12">
    <w:p w14:paraId="53D38082" w14:textId="04436555" w:rsidR="00FD5494" w:rsidRPr="000D43A3" w:rsidRDefault="00FD5494" w:rsidP="000D43A3">
      <w:pPr>
        <w:pStyle w:val="FootnoteText"/>
      </w:pPr>
      <w:r w:rsidRPr="004F6AE1">
        <w:rPr>
          <w:rStyle w:val="FootnoteReference"/>
        </w:rPr>
        <w:footnoteRef/>
      </w:r>
      <w:r w:rsidRPr="00B665FE">
        <w:t xml:space="preserve"> </w:t>
      </w:r>
      <w:r w:rsidRPr="00B665FE">
        <w:rPr>
          <w:i/>
          <w:iCs/>
        </w:rPr>
        <w:t>Id</w:t>
      </w:r>
      <w:r w:rsidR="00593CB8" w:rsidRPr="00593CB8">
        <w:t>.</w:t>
      </w:r>
      <w:r w:rsidR="000D43A3">
        <w:t xml:space="preserve"> at </w:t>
      </w:r>
      <w:r w:rsidRPr="00B665FE">
        <w:t>7.</w:t>
      </w:r>
    </w:p>
  </w:footnote>
  <w:footnote w:id="13">
    <w:p w14:paraId="73F5CD7F" w14:textId="04D4D04D" w:rsidR="00915B8F" w:rsidRPr="00B665FE" w:rsidRDefault="00915B8F" w:rsidP="00F61835">
      <w:pPr>
        <w:pStyle w:val="FootnoteText"/>
      </w:pPr>
      <w:r w:rsidRPr="004F6AE1">
        <w:rPr>
          <w:rStyle w:val="FootnoteReference"/>
        </w:rPr>
        <w:footnoteRef/>
      </w:r>
      <w:r w:rsidRPr="00B665FE">
        <w:t xml:space="preserve"> </w:t>
      </w:r>
      <w:r w:rsidR="000D785E">
        <w:t>The</w:t>
      </w:r>
      <w:r w:rsidR="0078342B" w:rsidRPr="00B665FE">
        <w:t xml:space="preserve"> fourth </w:t>
      </w:r>
      <w:r w:rsidR="000D785E">
        <w:t>inquiry</w:t>
      </w:r>
      <w:r w:rsidR="00F255BB">
        <w:t>: “</w:t>
      </w:r>
      <w:r w:rsidR="0078342B" w:rsidRPr="00B665FE">
        <w:t>Although the doctrine of equitable estoppel is not directly applicable to this citation appeal, whether the spirit of equitable estoppel should apply, and whether the Clearinghouse should be prevented from taking a position that is inconsistent with its prior conduct?” However, b</w:t>
      </w:r>
      <w:r w:rsidRPr="00B665FE">
        <w:t>ecause the doctrine of equitable estoppel is not directly applicable to this citation appeal, and because of the Commission’s conclusions on the other issues herein, we find no reason to discuss the issue of equitable estoppel.</w:t>
      </w:r>
    </w:p>
  </w:footnote>
  <w:footnote w:id="14">
    <w:p w14:paraId="37D96BE9" w14:textId="7347BD7C" w:rsidR="00915B8F" w:rsidRPr="00B665FE" w:rsidRDefault="00915B8F" w:rsidP="00F61835">
      <w:pPr>
        <w:pStyle w:val="FootnoteText"/>
      </w:pPr>
      <w:r w:rsidRPr="004F6AE1">
        <w:rPr>
          <w:rStyle w:val="FootnoteReference"/>
        </w:rPr>
        <w:footnoteRef/>
      </w:r>
      <w:r w:rsidRPr="00B665FE">
        <w:t xml:space="preserve"> </w:t>
      </w:r>
      <w:r w:rsidR="000D785E">
        <w:t xml:space="preserve">The </w:t>
      </w:r>
      <w:r w:rsidR="0078342B" w:rsidRPr="00B665FE">
        <w:t xml:space="preserve">fifth </w:t>
      </w:r>
      <w:r w:rsidR="000D785E">
        <w:t>inquiry</w:t>
      </w:r>
      <w:r w:rsidR="00F255BB">
        <w:t>: “</w:t>
      </w:r>
      <w:r w:rsidR="00F61835">
        <w:t>GO </w:t>
      </w:r>
      <w:r w:rsidR="0078342B" w:rsidRPr="00B665FE">
        <w:t xml:space="preserve">156 section 1.1.2. states that </w:t>
      </w:r>
      <w:r w:rsidR="00BB449D" w:rsidRPr="00B665FE">
        <w:t>‘</w:t>
      </w:r>
      <w:r w:rsidR="0078342B" w:rsidRPr="00B665FE">
        <w:t xml:space="preserve">The Commission may revise </w:t>
      </w:r>
      <w:r w:rsidR="00F61835">
        <w:t>GO </w:t>
      </w:r>
      <w:r w:rsidR="0078342B" w:rsidRPr="00B665FE">
        <w:t>156 on the basis of experience gained in the application and/or changes in legislation.</w:t>
      </w:r>
      <w:r w:rsidR="00BB449D" w:rsidRPr="00B665FE">
        <w:t>’</w:t>
      </w:r>
      <w:r w:rsidR="0078342B" w:rsidRPr="00B665FE">
        <w:t xml:space="preserve"> Should the Commission revise </w:t>
      </w:r>
      <w:r w:rsidR="00F61835">
        <w:t>GO </w:t>
      </w:r>
      <w:r w:rsidR="0078342B" w:rsidRPr="00B665FE">
        <w:t xml:space="preserve">156 to provide for a grandfather clause or a legacy clause?” </w:t>
      </w:r>
      <w:r w:rsidR="000D785E">
        <w:t>T</w:t>
      </w:r>
      <w:r w:rsidRPr="00B665FE">
        <w:t xml:space="preserve">he parties were informed that their responses to this inquiry will not affect the resolution of this current citation appeal. </w:t>
      </w:r>
      <w:r w:rsidR="00BB449D" w:rsidRPr="00B665FE">
        <w:t>Thus</w:t>
      </w:r>
      <w:r w:rsidRPr="00B665FE">
        <w:t>, this issue is not relevant to this resolution and will not be addressed.</w:t>
      </w:r>
    </w:p>
  </w:footnote>
  <w:footnote w:id="15">
    <w:p w14:paraId="2B0D9D57" w14:textId="4EEA1378" w:rsidR="00B24AF8" w:rsidRPr="00B665FE" w:rsidRDefault="00B24AF8" w:rsidP="00F61835">
      <w:pPr>
        <w:pStyle w:val="FootnoteText"/>
      </w:pPr>
      <w:r w:rsidRPr="004F6AE1">
        <w:rPr>
          <w:rStyle w:val="FootnoteReference"/>
        </w:rPr>
        <w:footnoteRef/>
      </w:r>
      <w:r w:rsidRPr="00B665FE">
        <w:t xml:space="preserve"> </w:t>
      </w:r>
      <w:r w:rsidR="00F61835">
        <w:t>GO </w:t>
      </w:r>
      <w:r w:rsidRPr="00B665FE">
        <w:t xml:space="preserve">156 </w:t>
      </w:r>
      <w:r w:rsidR="00D9790B">
        <w:t>§ </w:t>
      </w:r>
      <w:r w:rsidRPr="00B665FE">
        <w:t>1.3.10.</w:t>
      </w:r>
    </w:p>
  </w:footnote>
  <w:footnote w:id="16">
    <w:p w14:paraId="4459E853" w14:textId="310E226F" w:rsidR="00CF65C3" w:rsidRPr="00B665FE" w:rsidRDefault="00CF65C3" w:rsidP="00F61835">
      <w:pPr>
        <w:pStyle w:val="FootnoteText"/>
      </w:pPr>
      <w:r w:rsidRPr="004F6AE1">
        <w:rPr>
          <w:rStyle w:val="FootnoteReference"/>
        </w:rPr>
        <w:footnoteRef/>
      </w:r>
      <w:r w:rsidR="000D20BA">
        <w:t xml:space="preserve"> </w:t>
      </w:r>
      <w:r w:rsidRPr="00B665FE">
        <w:t>A</w:t>
      </w:r>
      <w:r w:rsidR="00BE4D7D" w:rsidRPr="00B665FE">
        <w:t>s a</w:t>
      </w:r>
      <w:r w:rsidRPr="00B665FE">
        <w:t xml:space="preserve">mended by </w:t>
      </w:r>
      <w:r w:rsidRPr="0049402D">
        <w:t>D</w:t>
      </w:r>
      <w:r w:rsidR="00D9790B" w:rsidRPr="0049402D">
        <w:t>ecision</w:t>
      </w:r>
      <w:r w:rsidR="00D9790B">
        <w:t xml:space="preserve"> (</w:t>
      </w:r>
      <w:r w:rsidR="00D9790B" w:rsidRPr="0049402D">
        <w:t>D</w:t>
      </w:r>
      <w:r w:rsidRPr="0049402D">
        <w:t>.</w:t>
      </w:r>
      <w:r w:rsidR="00D9790B">
        <w:t>) </w:t>
      </w:r>
      <w:r w:rsidRPr="00B665FE">
        <w:t>15</w:t>
      </w:r>
      <w:r w:rsidR="00C47FD8">
        <w:noBreakHyphen/>
      </w:r>
      <w:r w:rsidRPr="00B665FE">
        <w:t>06</w:t>
      </w:r>
      <w:r w:rsidR="00C47FD8">
        <w:noBreakHyphen/>
      </w:r>
      <w:r w:rsidRPr="00B665FE">
        <w:t>007</w:t>
      </w:r>
      <w:r w:rsidR="00F61835">
        <w:t xml:space="preserve"> (</w:t>
      </w:r>
      <w:r w:rsidR="008D7DF4">
        <w:t>June </w:t>
      </w:r>
      <w:r w:rsidRPr="00B665FE">
        <w:t>11, 2015</w:t>
      </w:r>
      <w:r w:rsidR="00F61835">
        <w:t>)</w:t>
      </w:r>
      <w:r w:rsidRPr="00B665FE">
        <w:t>.</w:t>
      </w:r>
    </w:p>
  </w:footnote>
  <w:footnote w:id="17">
    <w:p w14:paraId="48328A33" w14:textId="26E5351D" w:rsidR="00CB36F2" w:rsidRPr="00F61835" w:rsidRDefault="00CB36F2" w:rsidP="00F61835">
      <w:pPr>
        <w:pStyle w:val="FootnoteText"/>
      </w:pPr>
      <w:r w:rsidRPr="004F6AE1">
        <w:rPr>
          <w:rStyle w:val="FootnoteReference"/>
        </w:rPr>
        <w:footnoteRef/>
      </w:r>
      <w:r w:rsidR="000D20BA">
        <w:t xml:space="preserve"> </w:t>
      </w:r>
      <w:r w:rsidR="00F61835">
        <w:t>GO </w:t>
      </w:r>
      <w:r w:rsidRPr="00B665FE">
        <w:t>156</w:t>
      </w:r>
      <w:r w:rsidR="00E17F76">
        <w:t xml:space="preserve"> </w:t>
      </w:r>
      <w:r w:rsidR="00D9790B">
        <w:t>§ </w:t>
      </w:r>
      <w:r w:rsidRPr="00B665FE">
        <w:t>8.</w:t>
      </w:r>
    </w:p>
  </w:footnote>
  <w:footnote w:id="18">
    <w:p w14:paraId="55EC9C65" w14:textId="4601538B" w:rsidR="00B86717" w:rsidRPr="00B665FE" w:rsidRDefault="00B86717" w:rsidP="00F61835">
      <w:pPr>
        <w:pStyle w:val="FootnoteText"/>
      </w:pPr>
      <w:r w:rsidRPr="004F6AE1">
        <w:rPr>
          <w:rStyle w:val="FootnoteReference"/>
        </w:rPr>
        <w:footnoteRef/>
      </w:r>
      <w:r w:rsidR="000D20BA">
        <w:t xml:space="preserve"> </w:t>
      </w:r>
      <w:r w:rsidRPr="00B665FE">
        <w:rPr>
          <w:i/>
        </w:rPr>
        <w:t>See</w:t>
      </w:r>
      <w:r w:rsidRPr="00B665FE">
        <w:t xml:space="preserve"> D.91</w:t>
      </w:r>
      <w:r w:rsidR="00C47FD8">
        <w:noBreakHyphen/>
      </w:r>
      <w:r w:rsidRPr="00B665FE">
        <w:t>12</w:t>
      </w:r>
      <w:r w:rsidR="00C47FD8">
        <w:noBreakHyphen/>
      </w:r>
      <w:r w:rsidRPr="00B665FE">
        <w:t>058</w:t>
      </w:r>
      <w:r w:rsidR="00F61835">
        <w:t xml:space="preserve"> at </w:t>
      </w:r>
      <w:r w:rsidRPr="00B665FE">
        <w:t>11.</w:t>
      </w:r>
    </w:p>
  </w:footnote>
  <w:footnote w:id="19">
    <w:p w14:paraId="7138AEAC" w14:textId="575DD4AD" w:rsidR="00F40888" w:rsidRPr="00B665FE" w:rsidRDefault="00F40888" w:rsidP="00F61835">
      <w:pPr>
        <w:pStyle w:val="FootnoteText"/>
      </w:pPr>
      <w:r w:rsidRPr="004F6AE1">
        <w:rPr>
          <w:rStyle w:val="FootnoteReference"/>
        </w:rPr>
        <w:footnoteRef/>
      </w:r>
      <w:r w:rsidR="000D20BA">
        <w:t xml:space="preserve"> </w:t>
      </w:r>
      <w:r w:rsidR="00A0531E" w:rsidRPr="00B665FE">
        <w:rPr>
          <w:i/>
        </w:rPr>
        <w:t>See</w:t>
      </w:r>
      <w:r w:rsidR="00A0531E" w:rsidRPr="00B665FE">
        <w:t xml:space="preserve"> </w:t>
      </w:r>
      <w:r w:rsidRPr="00B665FE">
        <w:t>D</w:t>
      </w:r>
      <w:r w:rsidR="00A0531E" w:rsidRPr="00B665FE">
        <w:t>.</w:t>
      </w:r>
      <w:r w:rsidRPr="00B665FE">
        <w:t>92</w:t>
      </w:r>
      <w:r w:rsidR="00C47FD8">
        <w:noBreakHyphen/>
      </w:r>
      <w:r w:rsidRPr="00B665FE">
        <w:t>04</w:t>
      </w:r>
      <w:r w:rsidR="00C47FD8">
        <w:noBreakHyphen/>
      </w:r>
      <w:r w:rsidRPr="00B665FE">
        <w:t>004</w:t>
      </w:r>
      <w:r w:rsidR="00F61835">
        <w:t xml:space="preserve"> at </w:t>
      </w:r>
      <w:r w:rsidRPr="00B665FE">
        <w:t>12.</w:t>
      </w:r>
    </w:p>
  </w:footnote>
  <w:footnote w:id="20">
    <w:p w14:paraId="2691F07A" w14:textId="7ADB86E8" w:rsidR="00C65D7F" w:rsidRPr="00B665FE" w:rsidRDefault="00C65D7F" w:rsidP="00F61835">
      <w:pPr>
        <w:pStyle w:val="FootnoteText"/>
      </w:pPr>
      <w:r w:rsidRPr="004F6AE1">
        <w:rPr>
          <w:rStyle w:val="FootnoteReference"/>
        </w:rPr>
        <w:footnoteRef/>
      </w:r>
      <w:r w:rsidRPr="00B665FE">
        <w:t xml:space="preserve"> </w:t>
      </w:r>
      <w:r w:rsidR="009063F2">
        <w:t>Pub. Util.</w:t>
      </w:r>
      <w:r w:rsidRPr="00B665FE">
        <w:t xml:space="preserve"> Code </w:t>
      </w:r>
      <w:r w:rsidR="00D9790B">
        <w:t>§ </w:t>
      </w:r>
      <w:r w:rsidRPr="00B665FE">
        <w:t xml:space="preserve">8282(d); </w:t>
      </w:r>
      <w:r w:rsidR="00F61835">
        <w:t>GO </w:t>
      </w:r>
      <w:r w:rsidRPr="00B665FE">
        <w:t xml:space="preserve">156 </w:t>
      </w:r>
      <w:r w:rsidR="00D9790B">
        <w:t>§ </w:t>
      </w:r>
      <w:r w:rsidRPr="00B665FE">
        <w:t>1.3.4.</w:t>
      </w:r>
    </w:p>
  </w:footnote>
  <w:footnote w:id="21">
    <w:p w14:paraId="47C332B0" w14:textId="24C20924" w:rsidR="00C65D7F" w:rsidRPr="00B665FE" w:rsidRDefault="00C65D7F" w:rsidP="00F61835">
      <w:pPr>
        <w:pStyle w:val="FootnoteText"/>
      </w:pPr>
      <w:r w:rsidRPr="004F6AE1">
        <w:rPr>
          <w:rStyle w:val="FootnoteReference"/>
        </w:rPr>
        <w:footnoteRef/>
      </w:r>
      <w:r w:rsidRPr="00B665FE">
        <w:t xml:space="preserve"> 15</w:t>
      </w:r>
      <w:r w:rsidR="00FB0F6D">
        <w:t> U.S.C.</w:t>
      </w:r>
      <w:r w:rsidRPr="00B665FE">
        <w:t xml:space="preserve"> </w:t>
      </w:r>
      <w:r w:rsidR="00D9790B">
        <w:t>§ </w:t>
      </w:r>
      <w:r w:rsidRPr="00B665FE">
        <w:t xml:space="preserve">637(a)(4)(A); Exec. Order </w:t>
      </w:r>
      <w:r w:rsidR="00FB0F6D">
        <w:t>No. </w:t>
      </w:r>
      <w:r w:rsidRPr="00B665FE">
        <w:t>11625, 15</w:t>
      </w:r>
      <w:r w:rsidR="00FB0F6D">
        <w:t> U.S.C.</w:t>
      </w:r>
      <w:r w:rsidRPr="00B665FE">
        <w:t xml:space="preserve"> </w:t>
      </w:r>
      <w:r w:rsidR="00D9790B">
        <w:t>§ </w:t>
      </w:r>
      <w:r w:rsidRPr="00B665FE">
        <w:t>9597.</w:t>
      </w:r>
    </w:p>
  </w:footnote>
  <w:footnote w:id="22">
    <w:p w14:paraId="267C76E3" w14:textId="763FAB5D" w:rsidR="00C65D7F" w:rsidRPr="00F61835" w:rsidRDefault="00C65D7F" w:rsidP="00F61835">
      <w:pPr>
        <w:pStyle w:val="FootnoteText"/>
      </w:pPr>
      <w:r w:rsidRPr="004F6AE1">
        <w:rPr>
          <w:rStyle w:val="FootnoteReference"/>
        </w:rPr>
        <w:footnoteRef/>
      </w:r>
      <w:r w:rsidRPr="00B665FE">
        <w:t xml:space="preserve"> </w:t>
      </w:r>
      <w:r w:rsidR="00F61835">
        <w:t>GO </w:t>
      </w:r>
      <w:r w:rsidRPr="00B665FE">
        <w:t xml:space="preserve">156 </w:t>
      </w:r>
      <w:r w:rsidR="00D9790B">
        <w:t>§ </w:t>
      </w:r>
      <w:r w:rsidRPr="00B665FE">
        <w:t>1.3.13.</w:t>
      </w:r>
    </w:p>
  </w:footnote>
  <w:footnote w:id="23">
    <w:p w14:paraId="0FE999FD" w14:textId="4DDE21DE" w:rsidR="00C65D7F" w:rsidRPr="00B665FE" w:rsidRDefault="00C65D7F" w:rsidP="00F61835">
      <w:pPr>
        <w:pStyle w:val="FootnoteText"/>
      </w:pPr>
      <w:r w:rsidRPr="004F6AE1">
        <w:rPr>
          <w:rStyle w:val="FootnoteReference"/>
        </w:rPr>
        <w:footnoteRef/>
      </w:r>
      <w:r w:rsidRPr="00B665FE">
        <w:t xml:space="preserve"> 15</w:t>
      </w:r>
      <w:r w:rsidR="00FB0F6D">
        <w:t> U.S.C.</w:t>
      </w:r>
      <w:r w:rsidRPr="00B665FE">
        <w:t xml:space="preserve"> </w:t>
      </w:r>
      <w:r w:rsidR="00D9790B">
        <w:t>§§ </w:t>
      </w:r>
      <w:r w:rsidRPr="00B665FE">
        <w:t>637(a)(4)(A)(i)(I) and 637(a)(4)(A)(ii)(I).</w:t>
      </w:r>
    </w:p>
  </w:footnote>
  <w:footnote w:id="24">
    <w:p w14:paraId="0FC5493E" w14:textId="4C2CEFB0" w:rsidR="00C65D7F" w:rsidRPr="00B665FE" w:rsidRDefault="00C65D7F" w:rsidP="007915B5">
      <w:pPr>
        <w:pStyle w:val="FootnoteText"/>
      </w:pPr>
      <w:r w:rsidRPr="004F6AE1">
        <w:rPr>
          <w:rStyle w:val="FootnoteReference"/>
        </w:rPr>
        <w:footnoteRef/>
      </w:r>
      <w:r w:rsidRPr="00B665FE">
        <w:t xml:space="preserve"> Exec. Order </w:t>
      </w:r>
      <w:r w:rsidR="00FB0F6D">
        <w:t>No. </w:t>
      </w:r>
      <w:r w:rsidRPr="00B665FE">
        <w:t xml:space="preserve">11625 </w:t>
      </w:r>
      <w:r w:rsidR="00D9790B">
        <w:t>§ </w:t>
      </w:r>
      <w:r w:rsidRPr="00B665FE">
        <w:t>6 (stating that disadvantaged persons include African American, Spanish</w:t>
      </w:r>
      <w:r w:rsidR="00C47FD8">
        <w:noBreakHyphen/>
      </w:r>
      <w:r w:rsidRPr="00B665FE">
        <w:t>speaking Americans, and Native Americans, but are not limited to these racial categories of people).</w:t>
      </w:r>
    </w:p>
  </w:footnote>
  <w:footnote w:id="25">
    <w:p w14:paraId="1E978A32" w14:textId="2CE3B796" w:rsidR="00C65D7F" w:rsidRPr="00B665FE" w:rsidRDefault="00C65D7F" w:rsidP="00FB0F6D">
      <w:pPr>
        <w:pStyle w:val="FootnoteText"/>
      </w:pPr>
      <w:r w:rsidRPr="004F6AE1">
        <w:rPr>
          <w:rStyle w:val="FootnoteReference"/>
        </w:rPr>
        <w:footnoteRef/>
      </w:r>
      <w:r w:rsidRPr="00B665FE">
        <w:t xml:space="preserve"> Ancestry Table for California, U.S. Census</w:t>
      </w:r>
      <w:r w:rsidR="00FB0F6D">
        <w:t xml:space="preserve"> at</w:t>
      </w:r>
      <w:r w:rsidR="003E7EA5">
        <w:t xml:space="preserve">:  </w:t>
      </w:r>
      <w:hyperlink r:id="rId1" w:history="1">
        <w:r w:rsidRPr="00AB0211">
          <w:rPr>
            <w:rStyle w:val="Hyperlink"/>
          </w:rPr>
          <w:t>https://data.census.gov/table?g=040XX00US06&amp;tid=ACSDP1Y2021.DP02</w:t>
        </w:r>
      </w:hyperlink>
      <w:r w:rsidRPr="00B665FE">
        <w:t xml:space="preserve"> (last </w:t>
      </w:r>
      <w:r w:rsidR="001A38A5">
        <w:t>accessed</w:t>
      </w:r>
      <w:r w:rsidRPr="00B665FE">
        <w:t xml:space="preserve"> </w:t>
      </w:r>
      <w:r w:rsidR="008D7DF4">
        <w:t>June </w:t>
      </w:r>
      <w:r w:rsidRPr="00B665FE">
        <w:t>26, 2023).</w:t>
      </w:r>
    </w:p>
  </w:footnote>
  <w:footnote w:id="26">
    <w:p w14:paraId="369D5C42" w14:textId="34716B4D" w:rsidR="00C65D7F" w:rsidRPr="00B665FE" w:rsidRDefault="00C65D7F" w:rsidP="00FB0F6D">
      <w:pPr>
        <w:pStyle w:val="FootnoteText"/>
      </w:pPr>
      <w:r w:rsidRPr="004F6AE1">
        <w:rPr>
          <w:rStyle w:val="FootnoteReference"/>
        </w:rPr>
        <w:footnoteRef/>
      </w:r>
      <w:r w:rsidRPr="00B665FE">
        <w:t xml:space="preserve"> </w:t>
      </w:r>
      <w:r w:rsidRPr="00B665FE">
        <w:rPr>
          <w:i/>
          <w:iCs/>
        </w:rPr>
        <w:t>New documentary highlights history of Central California's Portuguese American community</w:t>
      </w:r>
      <w:r w:rsidRPr="00B665FE">
        <w:t>, ABC News (</w:t>
      </w:r>
      <w:r w:rsidR="00106F82">
        <w:t>March </w:t>
      </w:r>
      <w:r w:rsidRPr="00B665FE">
        <w:t>19, 2021)</w:t>
      </w:r>
      <w:r w:rsidR="00FB0F6D">
        <w:t xml:space="preserve"> at</w:t>
      </w:r>
      <w:r w:rsidR="003E7EA5">
        <w:t xml:space="preserve">:  </w:t>
      </w:r>
      <w:hyperlink r:id="rId2" w:history="1">
        <w:r w:rsidRPr="00AB0211">
          <w:rPr>
            <w:rStyle w:val="Hyperlink"/>
          </w:rPr>
          <w:t>https://abc30.com/azorean</w:t>
        </w:r>
        <w:r w:rsidR="00C47FD8" w:rsidRPr="00AB0211">
          <w:rPr>
            <w:rStyle w:val="Hyperlink"/>
          </w:rPr>
          <w:noBreakHyphen/>
        </w:r>
        <w:r w:rsidRPr="00AB0211">
          <w:rPr>
            <w:rStyle w:val="Hyperlink"/>
          </w:rPr>
          <w:t>immigration</w:t>
        </w:r>
        <w:r w:rsidR="00C47FD8" w:rsidRPr="00AB0211">
          <w:rPr>
            <w:rStyle w:val="Hyperlink"/>
          </w:rPr>
          <w:noBreakHyphen/>
        </w:r>
        <w:r w:rsidRPr="00AB0211">
          <w:rPr>
            <w:rStyle w:val="Hyperlink"/>
          </w:rPr>
          <w:t>highway</w:t>
        </w:r>
        <w:r w:rsidR="00C47FD8" w:rsidRPr="00AB0211">
          <w:rPr>
            <w:rStyle w:val="Hyperlink"/>
          </w:rPr>
          <w:noBreakHyphen/>
        </w:r>
        <w:r w:rsidRPr="00AB0211">
          <w:rPr>
            <w:rStyle w:val="Hyperlink"/>
          </w:rPr>
          <w:t>99</w:t>
        </w:r>
        <w:r w:rsidR="00C47FD8" w:rsidRPr="00AB0211">
          <w:rPr>
            <w:rStyle w:val="Hyperlink"/>
          </w:rPr>
          <w:noBreakHyphen/>
        </w:r>
        <w:r w:rsidRPr="00AB0211">
          <w:rPr>
            <w:rStyle w:val="Hyperlink"/>
          </w:rPr>
          <w:t>portuguese</w:t>
        </w:r>
        <w:r w:rsidR="00C47FD8" w:rsidRPr="00AB0211">
          <w:rPr>
            <w:rStyle w:val="Hyperlink"/>
          </w:rPr>
          <w:noBreakHyphen/>
        </w:r>
        <w:r w:rsidRPr="00AB0211">
          <w:rPr>
            <w:rStyle w:val="Hyperlink"/>
          </w:rPr>
          <w:t>american</w:t>
        </w:r>
        <w:r w:rsidR="00C47FD8" w:rsidRPr="00AB0211">
          <w:rPr>
            <w:rStyle w:val="Hyperlink"/>
          </w:rPr>
          <w:noBreakHyphen/>
        </w:r>
        <w:r w:rsidRPr="00AB0211">
          <w:rPr>
            <w:rStyle w:val="Hyperlink"/>
          </w:rPr>
          <w:t>central</w:t>
        </w:r>
        <w:r w:rsidR="00C47FD8" w:rsidRPr="00AB0211">
          <w:rPr>
            <w:rStyle w:val="Hyperlink"/>
          </w:rPr>
          <w:noBreakHyphen/>
        </w:r>
        <w:r w:rsidRPr="00AB0211">
          <w:rPr>
            <w:rStyle w:val="Hyperlink"/>
          </w:rPr>
          <w:t>valley/10433742/</w:t>
        </w:r>
      </w:hyperlink>
      <w:r w:rsidRPr="00B665FE">
        <w:t xml:space="preserve"> (last </w:t>
      </w:r>
      <w:r w:rsidR="001A38A5">
        <w:t>accessed</w:t>
      </w:r>
      <w:r w:rsidRPr="00B665FE">
        <w:t xml:space="preserve"> </w:t>
      </w:r>
      <w:r w:rsidR="008D7DF4">
        <w:t>June </w:t>
      </w:r>
      <w:r w:rsidRPr="00B665FE">
        <w:t>26, 2023); Ancestry Table for California, U.S. Census</w:t>
      </w:r>
      <w:r w:rsidR="006C0B2A">
        <w:t xml:space="preserve"> at</w:t>
      </w:r>
      <w:r w:rsidR="003E7EA5">
        <w:t xml:space="preserve">:  </w:t>
      </w:r>
      <w:hyperlink r:id="rId3" w:history="1">
        <w:r w:rsidRPr="00AB0211">
          <w:rPr>
            <w:rStyle w:val="Hyperlink"/>
          </w:rPr>
          <w:t>https://data.census.gov/table?g=040XX00US06&amp;tid=ACSDP1Y2021.DP02</w:t>
        </w:r>
      </w:hyperlink>
      <w:r w:rsidRPr="00B665FE">
        <w:t xml:space="preserve"> (last </w:t>
      </w:r>
      <w:r w:rsidR="001A38A5">
        <w:t>accessed</w:t>
      </w:r>
      <w:r w:rsidRPr="00B665FE">
        <w:t xml:space="preserve"> </w:t>
      </w:r>
      <w:r w:rsidR="008D7DF4">
        <w:t>June </w:t>
      </w:r>
      <w:r w:rsidRPr="00B665FE">
        <w:t xml:space="preserve">26, 2023); </w:t>
      </w:r>
      <w:r w:rsidRPr="00B665FE">
        <w:rPr>
          <w:i/>
          <w:iCs/>
        </w:rPr>
        <w:t>see also</w:t>
      </w:r>
      <w:r w:rsidRPr="00B665FE">
        <w:t xml:space="preserve"> </w:t>
      </w:r>
      <w:r w:rsidR="00E71DD6">
        <w:t>Robert L</w:t>
      </w:r>
      <w:r w:rsidRPr="00593CB8">
        <w:t>. Santos, Azoreans to California</w:t>
      </w:r>
      <w:r w:rsidRPr="00B665FE">
        <w:t xml:space="preserve"> 87</w:t>
      </w:r>
      <w:r w:rsidR="00C47FD8">
        <w:noBreakHyphen/>
      </w:r>
      <w:r w:rsidRPr="00B665FE">
        <w:t>88 (1976)</w:t>
      </w:r>
      <w:r w:rsidR="00E71DD6">
        <w:t>.</w:t>
      </w:r>
    </w:p>
  </w:footnote>
  <w:footnote w:id="27">
    <w:p w14:paraId="4DE91D61" w14:textId="77777777" w:rsidR="00C65D7F" w:rsidRPr="00B665FE" w:rsidRDefault="00C65D7F" w:rsidP="000F5252">
      <w:pPr>
        <w:pStyle w:val="FootnoteText"/>
      </w:pPr>
      <w:r w:rsidRPr="004F6AE1">
        <w:rPr>
          <w:rStyle w:val="FootnoteReference"/>
        </w:rPr>
        <w:footnoteRef/>
      </w:r>
      <w:r w:rsidRPr="00B665FE">
        <w:t xml:space="preserve"> </w:t>
      </w:r>
      <w:r w:rsidRPr="00B665FE">
        <w:rPr>
          <w:i/>
          <w:iCs/>
        </w:rPr>
        <w:t xml:space="preserve">See in general </w:t>
      </w:r>
      <w:r w:rsidRPr="00E17F76">
        <w:t>Sandra Knight Wolforth, The Portuguese in America</w:t>
      </w:r>
      <w:r w:rsidRPr="00B665FE">
        <w:t xml:space="preserve"> (1976).</w:t>
      </w:r>
    </w:p>
  </w:footnote>
  <w:footnote w:id="28">
    <w:p w14:paraId="0318DE12" w14:textId="7187AC85" w:rsidR="00C65D7F" w:rsidRPr="000F5252" w:rsidRDefault="00C65D7F" w:rsidP="000F5252">
      <w:pPr>
        <w:pStyle w:val="FootnoteText"/>
      </w:pPr>
      <w:r w:rsidRPr="004F6AE1">
        <w:rPr>
          <w:rStyle w:val="FootnoteReference"/>
        </w:rPr>
        <w:footnoteRef/>
      </w:r>
      <w:r w:rsidRPr="00B665FE">
        <w:t xml:space="preserve"> Dulce Maria Scott, Portuguese Americans’ Acculturation, Socioeconomic Integration, and Amalgamation, 61</w:t>
      </w:r>
      <w:r w:rsidR="000F5252">
        <w:t> </w:t>
      </w:r>
      <w:r w:rsidRPr="00E17F76">
        <w:t>Sociologica Problemas E Practicas</w:t>
      </w:r>
      <w:r w:rsidRPr="00B665FE">
        <w:t xml:space="preserve"> 41, 41</w:t>
      </w:r>
      <w:r w:rsidR="00C47FD8">
        <w:noBreakHyphen/>
      </w:r>
      <w:r w:rsidRPr="00B665FE">
        <w:t>64 (2009).</w:t>
      </w:r>
    </w:p>
  </w:footnote>
  <w:footnote w:id="29">
    <w:p w14:paraId="6C0C051E" w14:textId="3A3B1DE3" w:rsidR="00C65D7F" w:rsidRPr="000F5252" w:rsidRDefault="00C65D7F" w:rsidP="000F5252">
      <w:pPr>
        <w:pStyle w:val="FootnoteText"/>
      </w:pPr>
      <w:r w:rsidRPr="004F6AE1">
        <w:rPr>
          <w:rStyle w:val="FootnoteReference"/>
        </w:rPr>
        <w:footnoteRef/>
      </w:r>
      <w:r w:rsidRPr="00B665FE">
        <w:t xml:space="preserve"> Alexis de Tocqueville</w:t>
      </w:r>
      <w:r w:rsidR="00C74B3C">
        <w:t xml:space="preserve">, </w:t>
      </w:r>
      <w:r w:rsidRPr="00B665FE">
        <w:rPr>
          <w:i/>
          <w:iCs/>
        </w:rPr>
        <w:t>Democracy in America</w:t>
      </w:r>
      <w:r w:rsidR="003E7EA5">
        <w:rPr>
          <w:i/>
          <w:iCs/>
        </w:rPr>
        <w:t xml:space="preserve">:  </w:t>
      </w:r>
      <w:r w:rsidRPr="00B665FE">
        <w:rPr>
          <w:i/>
          <w:iCs/>
        </w:rPr>
        <w:t>Historical</w:t>
      </w:r>
      <w:r w:rsidR="00C47FD8">
        <w:rPr>
          <w:i/>
          <w:iCs/>
        </w:rPr>
        <w:noBreakHyphen/>
      </w:r>
      <w:r w:rsidRPr="00B665FE">
        <w:rPr>
          <w:i/>
          <w:iCs/>
        </w:rPr>
        <w:t xml:space="preserve">Critical Edition, </w:t>
      </w:r>
      <w:r w:rsidR="000F5252">
        <w:rPr>
          <w:i/>
          <w:iCs/>
        </w:rPr>
        <w:t>V</w:t>
      </w:r>
      <w:r w:rsidRPr="00B665FE">
        <w:rPr>
          <w:i/>
          <w:iCs/>
        </w:rPr>
        <w:t>ol.</w:t>
      </w:r>
      <w:r w:rsidR="000F5252">
        <w:rPr>
          <w:i/>
          <w:iCs/>
        </w:rPr>
        <w:t> </w:t>
      </w:r>
      <w:r w:rsidRPr="00B665FE">
        <w:rPr>
          <w:i/>
          <w:iCs/>
        </w:rPr>
        <w:t>2</w:t>
      </w:r>
      <w:r w:rsidRPr="00B665FE">
        <w:t>. Liberty Fund</w:t>
      </w:r>
      <w:r w:rsidR="00595DDA">
        <w:t xml:space="preserve"> at</w:t>
      </w:r>
      <w:r w:rsidR="003E7EA5">
        <w:t xml:space="preserve">:  </w:t>
      </w:r>
      <w:hyperlink r:id="rId4" w:history="1">
        <w:r w:rsidRPr="00AB0211">
          <w:rPr>
            <w:rStyle w:val="Hyperlink"/>
          </w:rPr>
          <w:t>https://oll.libertyfund.org/title/schleifer</w:t>
        </w:r>
        <w:r w:rsidR="00C47FD8" w:rsidRPr="00AB0211">
          <w:rPr>
            <w:rStyle w:val="Hyperlink"/>
          </w:rPr>
          <w:noBreakHyphen/>
        </w:r>
        <w:r w:rsidRPr="00AB0211">
          <w:rPr>
            <w:rStyle w:val="Hyperlink"/>
          </w:rPr>
          <w:t>democracy</w:t>
        </w:r>
        <w:r w:rsidR="00C47FD8" w:rsidRPr="00AB0211">
          <w:rPr>
            <w:rStyle w:val="Hyperlink"/>
          </w:rPr>
          <w:noBreakHyphen/>
        </w:r>
        <w:r w:rsidRPr="00AB0211">
          <w:rPr>
            <w:rStyle w:val="Hyperlink"/>
          </w:rPr>
          <w:t>in</w:t>
        </w:r>
        <w:r w:rsidR="00C47FD8" w:rsidRPr="00AB0211">
          <w:rPr>
            <w:rStyle w:val="Hyperlink"/>
          </w:rPr>
          <w:noBreakHyphen/>
        </w:r>
        <w:r w:rsidRPr="00AB0211">
          <w:rPr>
            <w:rStyle w:val="Hyperlink"/>
          </w:rPr>
          <w:t>america</w:t>
        </w:r>
        <w:r w:rsidR="00C47FD8" w:rsidRPr="00AB0211">
          <w:rPr>
            <w:rStyle w:val="Hyperlink"/>
          </w:rPr>
          <w:noBreakHyphen/>
        </w:r>
        <w:r w:rsidRPr="00AB0211">
          <w:rPr>
            <w:rStyle w:val="Hyperlink"/>
          </w:rPr>
          <w:t>historical</w:t>
        </w:r>
        <w:r w:rsidR="00C47FD8" w:rsidRPr="00AB0211">
          <w:rPr>
            <w:rStyle w:val="Hyperlink"/>
          </w:rPr>
          <w:noBreakHyphen/>
        </w:r>
        <w:r w:rsidRPr="00AB0211">
          <w:rPr>
            <w:rStyle w:val="Hyperlink"/>
          </w:rPr>
          <w:t>critical</w:t>
        </w:r>
        <w:r w:rsidR="00C47FD8" w:rsidRPr="00AB0211">
          <w:rPr>
            <w:rStyle w:val="Hyperlink"/>
          </w:rPr>
          <w:noBreakHyphen/>
        </w:r>
        <w:r w:rsidRPr="00AB0211">
          <w:rPr>
            <w:rStyle w:val="Hyperlink"/>
          </w:rPr>
          <w:t>edition</w:t>
        </w:r>
        <w:r w:rsidR="00C47FD8" w:rsidRPr="00AB0211">
          <w:rPr>
            <w:rStyle w:val="Hyperlink"/>
          </w:rPr>
          <w:noBreakHyphen/>
        </w:r>
        <w:r w:rsidRPr="00AB0211">
          <w:rPr>
            <w:rStyle w:val="Hyperlink"/>
          </w:rPr>
          <w:t>vol</w:t>
        </w:r>
        <w:r w:rsidR="00C47FD8" w:rsidRPr="00AB0211">
          <w:rPr>
            <w:rStyle w:val="Hyperlink"/>
          </w:rPr>
          <w:noBreakHyphen/>
        </w:r>
        <w:r w:rsidRPr="00AB0211">
          <w:rPr>
            <w:rStyle w:val="Hyperlink"/>
          </w:rPr>
          <w:t>2</w:t>
        </w:r>
      </w:hyperlink>
      <w:r w:rsidRPr="00B665FE">
        <w:t xml:space="preserve"> (last accessed </w:t>
      </w:r>
      <w:r w:rsidR="008D7DF4">
        <w:t>June </w:t>
      </w:r>
      <w:r w:rsidRPr="00B665FE">
        <w:t>27, 2023) (</w:t>
      </w:r>
      <w:r w:rsidRPr="00B665FE">
        <w:rPr>
          <w:i/>
          <w:iCs/>
        </w:rPr>
        <w:t xml:space="preserve">see especially </w:t>
      </w:r>
      <w:r w:rsidR="000D2D2F">
        <w:t>Part</w:t>
      </w:r>
      <w:r w:rsidR="00D81415">
        <w:t> I</w:t>
      </w:r>
      <w:r w:rsidRPr="00B665FE">
        <w:t xml:space="preserve">I, </w:t>
      </w:r>
      <w:r w:rsidR="000D2D2F">
        <w:t>Chapter </w:t>
      </w:r>
      <w:r w:rsidRPr="00B665FE">
        <w:t>7).</w:t>
      </w:r>
    </w:p>
  </w:footnote>
  <w:footnote w:id="30">
    <w:p w14:paraId="242D5307" w14:textId="16B7EA2F" w:rsidR="00C65D7F" w:rsidRPr="000D2D2F" w:rsidRDefault="00C65D7F" w:rsidP="000D2D2F">
      <w:pPr>
        <w:pStyle w:val="FootnoteText"/>
      </w:pPr>
      <w:r w:rsidRPr="004F6AE1">
        <w:rPr>
          <w:rStyle w:val="FootnoteReference"/>
        </w:rPr>
        <w:footnoteRef/>
      </w:r>
      <w:r w:rsidRPr="00B665FE">
        <w:t xml:space="preserve"> 15</w:t>
      </w:r>
      <w:r w:rsidR="00FB0F6D">
        <w:t> U.S.C.</w:t>
      </w:r>
      <w:r w:rsidRPr="00B665FE">
        <w:t xml:space="preserve"> </w:t>
      </w:r>
      <w:r w:rsidR="00D9790B">
        <w:t>§ </w:t>
      </w:r>
      <w:r w:rsidRPr="00B665FE">
        <w:t>637(a)(4)(A).</w:t>
      </w:r>
    </w:p>
  </w:footnote>
  <w:footnote w:id="31">
    <w:p w14:paraId="79D6F926" w14:textId="64AD97D4" w:rsidR="00C65D7F" w:rsidRPr="00B665FE" w:rsidRDefault="00C65D7F" w:rsidP="00DC7716">
      <w:pPr>
        <w:pStyle w:val="FootnoteText"/>
      </w:pPr>
      <w:r w:rsidRPr="004F6AE1">
        <w:rPr>
          <w:rStyle w:val="FootnoteReference"/>
        </w:rPr>
        <w:footnoteRef/>
      </w:r>
      <w:r w:rsidRPr="00B665FE">
        <w:t xml:space="preserve"> </w:t>
      </w:r>
      <w:r w:rsidR="009063F2">
        <w:t>Pub. Util.</w:t>
      </w:r>
      <w:r w:rsidRPr="00B665FE">
        <w:t xml:space="preserve"> Code </w:t>
      </w:r>
      <w:r w:rsidR="00D9790B">
        <w:t>§ </w:t>
      </w:r>
      <w:r w:rsidRPr="00B665FE">
        <w:t>130239 (relying on 49</w:t>
      </w:r>
      <w:r w:rsidR="0042628C">
        <w:t> C.F.R.</w:t>
      </w:r>
      <w:r w:rsidRPr="00B665FE">
        <w:t xml:space="preserve"> </w:t>
      </w:r>
      <w:r w:rsidR="00D9790B">
        <w:t>§ </w:t>
      </w:r>
      <w:r w:rsidRPr="00B665FE">
        <w:t>23.3 to define minority</w:t>
      </w:r>
      <w:r w:rsidR="00C47FD8">
        <w:noBreakHyphen/>
      </w:r>
      <w:r w:rsidRPr="00B665FE">
        <w:t>owned businesses and disadvantaged individuals).</w:t>
      </w:r>
    </w:p>
  </w:footnote>
  <w:footnote w:id="32">
    <w:p w14:paraId="47211D31" w14:textId="78F688B5" w:rsidR="00C65D7F" w:rsidRPr="00B665FE" w:rsidRDefault="00C65D7F" w:rsidP="00DC7716">
      <w:pPr>
        <w:pStyle w:val="FootnoteText"/>
      </w:pPr>
      <w:r w:rsidRPr="004F6AE1">
        <w:rPr>
          <w:rStyle w:val="FootnoteReference"/>
        </w:rPr>
        <w:footnoteRef/>
      </w:r>
      <w:r w:rsidRPr="00B665FE">
        <w:t xml:space="preserve"> 49</w:t>
      </w:r>
      <w:r w:rsidR="0042628C">
        <w:t> C.F.R.</w:t>
      </w:r>
      <w:r w:rsidRPr="00B665FE">
        <w:t xml:space="preserve"> </w:t>
      </w:r>
      <w:r w:rsidR="00D9790B">
        <w:t>§ </w:t>
      </w:r>
      <w:r w:rsidRPr="00B665FE">
        <w:t>23.3.</w:t>
      </w:r>
    </w:p>
  </w:footnote>
  <w:footnote w:id="33">
    <w:p w14:paraId="5C69BA57" w14:textId="61ED0D06" w:rsidR="00C65D7F" w:rsidRPr="00B665FE" w:rsidRDefault="00C65D7F" w:rsidP="00DC7716">
      <w:pPr>
        <w:pStyle w:val="FootnoteText"/>
      </w:pPr>
      <w:r w:rsidRPr="004F6AE1">
        <w:rPr>
          <w:rStyle w:val="FootnoteReference"/>
        </w:rPr>
        <w:footnoteRef/>
      </w:r>
      <w:r w:rsidRPr="00B665FE">
        <w:t xml:space="preserve"> Pub</w:t>
      </w:r>
      <w:r w:rsidR="009063F2">
        <w:t>lic Contract (Pub. Cont.)</w:t>
      </w:r>
      <w:r w:rsidRPr="00B665FE">
        <w:t xml:space="preserve"> Code </w:t>
      </w:r>
      <w:r w:rsidR="00D9790B">
        <w:t>§ </w:t>
      </w:r>
      <w:r w:rsidRPr="00B665FE">
        <w:t xml:space="preserve">2051(c); </w:t>
      </w:r>
      <w:r w:rsidRPr="00B665FE">
        <w:rPr>
          <w:i/>
          <w:iCs/>
        </w:rPr>
        <w:t>see also Monterey Mech. Co.</w:t>
      </w:r>
      <w:r w:rsidR="00186CC8">
        <w:rPr>
          <w:i/>
          <w:iCs/>
        </w:rPr>
        <w:t xml:space="preserve"> v. </w:t>
      </w:r>
      <w:r w:rsidRPr="00B665FE">
        <w:rPr>
          <w:i/>
          <w:iCs/>
        </w:rPr>
        <w:t>Wilson</w:t>
      </w:r>
      <w:r w:rsidRPr="00B665FE">
        <w:t>, 125</w:t>
      </w:r>
      <w:r w:rsidR="0042628C">
        <w:t> F.</w:t>
      </w:r>
      <w:r w:rsidRPr="00B665FE">
        <w:t>3d 702, 714 (9th Cir. 1997).</w:t>
      </w:r>
    </w:p>
  </w:footnote>
  <w:footnote w:id="34">
    <w:p w14:paraId="5F1E77C4" w14:textId="159FFFD3" w:rsidR="00C65D7F" w:rsidRPr="00DC7716" w:rsidRDefault="00C65D7F" w:rsidP="00DC7716">
      <w:pPr>
        <w:pStyle w:val="FootnoteText"/>
      </w:pPr>
      <w:r w:rsidRPr="004F6AE1">
        <w:rPr>
          <w:rStyle w:val="FootnoteReference"/>
        </w:rPr>
        <w:footnoteRef/>
      </w:r>
      <w:r w:rsidRPr="00B665FE">
        <w:rPr>
          <w:lang w:val="fr-FR"/>
        </w:rPr>
        <w:t xml:space="preserve"> </w:t>
      </w:r>
      <w:r w:rsidR="009063F2">
        <w:rPr>
          <w:lang w:val="fr-FR"/>
        </w:rPr>
        <w:t>Pub. Cont.</w:t>
      </w:r>
      <w:r w:rsidRPr="00B665FE">
        <w:rPr>
          <w:lang w:val="fr-FR"/>
        </w:rPr>
        <w:t xml:space="preserve"> Code </w:t>
      </w:r>
      <w:r w:rsidR="00D9790B">
        <w:rPr>
          <w:lang w:val="fr-FR"/>
        </w:rPr>
        <w:t>§ </w:t>
      </w:r>
      <w:r w:rsidRPr="00B665FE">
        <w:rPr>
          <w:lang w:val="fr-FR"/>
        </w:rPr>
        <w:t>2053(a).</w:t>
      </w:r>
    </w:p>
  </w:footnote>
  <w:footnote w:id="35">
    <w:p w14:paraId="2EE58414" w14:textId="692E9DD2" w:rsidR="00C65D7F" w:rsidRPr="00B665FE" w:rsidRDefault="00C65D7F" w:rsidP="002D677A">
      <w:pPr>
        <w:pStyle w:val="FootnoteText"/>
      </w:pPr>
      <w:r w:rsidRPr="004F6AE1">
        <w:rPr>
          <w:rStyle w:val="FootnoteReference"/>
        </w:rPr>
        <w:footnoteRef/>
      </w:r>
      <w:r w:rsidRPr="00B665FE">
        <w:t xml:space="preserve"> Cal. Gov’t Code </w:t>
      </w:r>
      <w:r w:rsidR="00D9790B">
        <w:t>§ </w:t>
      </w:r>
      <w:r w:rsidRPr="00B665FE">
        <w:t>14839(a)(10) (defining Portuguese Americans as minority persons for the California Office of Small Business and Disabled Veteran Business Enterprise Services); 15</w:t>
      </w:r>
      <w:r w:rsidR="00FB0F6D">
        <w:t> U.S.C.</w:t>
      </w:r>
      <w:r w:rsidRPr="00B665FE">
        <w:t xml:space="preserve"> </w:t>
      </w:r>
      <w:r w:rsidR="00D9790B">
        <w:t>§ </w:t>
      </w:r>
      <w:r w:rsidRPr="00B665FE">
        <w:t xml:space="preserve">637(d); </w:t>
      </w:r>
      <w:r w:rsidRPr="00B665FE">
        <w:rPr>
          <w:i/>
          <w:iCs/>
        </w:rPr>
        <w:t>GEOD Corp.</w:t>
      </w:r>
      <w:r w:rsidR="00186CC8">
        <w:rPr>
          <w:i/>
          <w:iCs/>
        </w:rPr>
        <w:t xml:space="preserve"> v. </w:t>
      </w:r>
      <w:r w:rsidRPr="00B665FE">
        <w:rPr>
          <w:i/>
          <w:iCs/>
        </w:rPr>
        <w:t>N.J. Transit Corp.</w:t>
      </w:r>
      <w:r w:rsidRPr="00B665FE">
        <w:t>, 746</w:t>
      </w:r>
      <w:r w:rsidR="0042628C">
        <w:t> F.</w:t>
      </w:r>
      <w:r w:rsidRPr="00B665FE">
        <w:t>Supp.2d 642, 646 n.2 (D. N.J. 2010) (citing 49</w:t>
      </w:r>
      <w:r w:rsidR="0042628C">
        <w:t> C.F.R.</w:t>
      </w:r>
      <w:r w:rsidRPr="00B665FE">
        <w:t xml:space="preserve"> </w:t>
      </w:r>
      <w:r w:rsidR="00D9790B">
        <w:t>§ </w:t>
      </w:r>
      <w:r w:rsidRPr="00B665FE">
        <w:t xml:space="preserve">26.67 to hold Portuguese Americans as minority persons for the U.S. Dep’t of Transp.); </w:t>
      </w:r>
      <w:r w:rsidRPr="00B665FE">
        <w:rPr>
          <w:i/>
          <w:iCs/>
        </w:rPr>
        <w:t>Keith</w:t>
      </w:r>
      <w:r w:rsidR="00186CC8">
        <w:rPr>
          <w:i/>
          <w:iCs/>
        </w:rPr>
        <w:t xml:space="preserve"> v. </w:t>
      </w:r>
      <w:r w:rsidRPr="00B665FE">
        <w:rPr>
          <w:i/>
          <w:iCs/>
        </w:rPr>
        <w:t>Volpe</w:t>
      </w:r>
      <w:r w:rsidRPr="00B665FE">
        <w:t>, 965</w:t>
      </w:r>
      <w:r w:rsidR="0042628C">
        <w:t> F.</w:t>
      </w:r>
      <w:r w:rsidRPr="00B665FE">
        <w:t xml:space="preserve">Supp. 1337, </w:t>
      </w:r>
      <w:r w:rsidR="0090347A">
        <w:t>Exhibit </w:t>
      </w:r>
      <w:r w:rsidRPr="00B665FE">
        <w:t>C (C. D. Cal. 1996) (considering Portuguese Americans as minority persons for Caltrans).</w:t>
      </w:r>
    </w:p>
  </w:footnote>
  <w:footnote w:id="36">
    <w:p w14:paraId="3608BFFE" w14:textId="36183644" w:rsidR="006249F6" w:rsidRPr="00D649A7" w:rsidRDefault="006249F6" w:rsidP="00D649A7">
      <w:pPr>
        <w:pStyle w:val="FootnoteText"/>
      </w:pPr>
      <w:r w:rsidRPr="004F6AE1">
        <w:rPr>
          <w:rStyle w:val="FootnoteReference"/>
        </w:rPr>
        <w:footnoteRef/>
      </w:r>
      <w:r w:rsidRPr="00B665FE">
        <w:t xml:space="preserve"> </w:t>
      </w:r>
      <w:r w:rsidR="00F61835">
        <w:t>GO </w:t>
      </w:r>
      <w:r w:rsidRPr="00B665FE">
        <w:t xml:space="preserve">156 </w:t>
      </w:r>
      <w:r w:rsidR="00D9790B">
        <w:t>§ </w:t>
      </w:r>
      <w:r w:rsidRPr="00B665FE">
        <w:t>1.3.10.</w:t>
      </w:r>
    </w:p>
  </w:footnote>
  <w:footnote w:id="37">
    <w:p w14:paraId="08BA4D1E" w14:textId="0120AA4B" w:rsidR="006249F6" w:rsidRPr="00206381" w:rsidRDefault="006249F6" w:rsidP="00206381">
      <w:pPr>
        <w:pStyle w:val="FootnoteText"/>
      </w:pPr>
      <w:r w:rsidRPr="004F6AE1">
        <w:rPr>
          <w:rStyle w:val="FootnoteReference"/>
        </w:rPr>
        <w:footnoteRef/>
      </w:r>
      <w:r w:rsidRPr="004F6AE1">
        <w:t xml:space="preserve"> </w:t>
      </w:r>
      <w:r w:rsidRPr="00206381">
        <w:t>Merriam</w:t>
      </w:r>
      <w:r w:rsidR="00C47FD8" w:rsidRPr="00206381">
        <w:noBreakHyphen/>
      </w:r>
      <w:r w:rsidRPr="00206381">
        <w:t>Webster Dictionary</w:t>
      </w:r>
      <w:r w:rsidR="00206381" w:rsidRPr="00206381">
        <w:t xml:space="preserve"> at</w:t>
      </w:r>
      <w:r w:rsidR="003E7EA5">
        <w:t xml:space="preserve">:  </w:t>
      </w:r>
      <w:hyperlink r:id="rId5" w:history="1">
        <w:r w:rsidRPr="00361308">
          <w:rPr>
            <w:rStyle w:val="Hyperlink"/>
          </w:rPr>
          <w:t>https://www.merriam</w:t>
        </w:r>
        <w:r w:rsidR="00C47FD8" w:rsidRPr="00361308">
          <w:rPr>
            <w:rStyle w:val="Hyperlink"/>
          </w:rPr>
          <w:noBreakHyphen/>
        </w:r>
        <w:r w:rsidRPr="00361308">
          <w:rPr>
            <w:rStyle w:val="Hyperlink"/>
          </w:rPr>
          <w:t>webster.com/dictionary/Spanish</w:t>
        </w:r>
      </w:hyperlink>
      <w:r w:rsidRPr="00206381">
        <w:t xml:space="preserve"> (last accessed </w:t>
      </w:r>
      <w:r w:rsidR="008D7DF4">
        <w:t>August </w:t>
      </w:r>
      <w:r w:rsidRPr="00206381">
        <w:t>1, 2023).</w:t>
      </w:r>
    </w:p>
  </w:footnote>
  <w:footnote w:id="38">
    <w:p w14:paraId="6E2D2334" w14:textId="58BE9C91" w:rsidR="005B76D6" w:rsidRPr="00467F8B" w:rsidRDefault="005B76D6" w:rsidP="00467F8B">
      <w:pPr>
        <w:pStyle w:val="FootnoteText"/>
      </w:pPr>
      <w:r w:rsidRPr="004F6AE1">
        <w:rPr>
          <w:rStyle w:val="FootnoteReference"/>
        </w:rPr>
        <w:footnoteRef/>
      </w:r>
      <w:r w:rsidRPr="004F6AE1">
        <w:t xml:space="preserve"> </w:t>
      </w:r>
      <w:r w:rsidRPr="00206381">
        <w:t>Merriam</w:t>
      </w:r>
      <w:r w:rsidR="00C47FD8" w:rsidRPr="00206381">
        <w:noBreakHyphen/>
      </w:r>
      <w:r w:rsidRPr="00206381">
        <w:t>Webster Dictionary</w:t>
      </w:r>
      <w:r w:rsidR="00361308">
        <w:t xml:space="preserve"> at</w:t>
      </w:r>
      <w:r w:rsidR="003E7EA5">
        <w:t xml:space="preserve">:  </w:t>
      </w:r>
      <w:hyperlink r:id="rId6" w:history="1">
        <w:r w:rsidRPr="00206381">
          <w:rPr>
            <w:rStyle w:val="Hyperlink"/>
          </w:rPr>
          <w:t>https://www.merriam</w:t>
        </w:r>
        <w:r w:rsidR="00C47FD8" w:rsidRPr="00206381">
          <w:rPr>
            <w:rStyle w:val="Hyperlink"/>
          </w:rPr>
          <w:noBreakHyphen/>
        </w:r>
        <w:r w:rsidRPr="00206381">
          <w:rPr>
            <w:rStyle w:val="Hyperlink"/>
          </w:rPr>
          <w:t>webster.com/dictionary/culture</w:t>
        </w:r>
      </w:hyperlink>
      <w:r w:rsidRPr="00206381">
        <w:t xml:space="preserve"> (last accessed </w:t>
      </w:r>
      <w:r w:rsidR="008D7DF4">
        <w:t>August </w:t>
      </w:r>
      <w:r w:rsidRPr="00206381">
        <w:t>1, 2023)</w:t>
      </w:r>
      <w:r w:rsidR="00467F8B">
        <w:t>.</w:t>
      </w:r>
    </w:p>
  </w:footnote>
  <w:footnote w:id="39">
    <w:p w14:paraId="54AC81A4" w14:textId="6FEE8C9E" w:rsidR="00C65D7F" w:rsidRPr="002F3A5F" w:rsidRDefault="00C65D7F" w:rsidP="002F3A5F">
      <w:pPr>
        <w:pStyle w:val="FootnoteText"/>
      </w:pPr>
      <w:r w:rsidRPr="004F6AE1">
        <w:rPr>
          <w:rStyle w:val="FootnoteReference"/>
        </w:rPr>
        <w:footnoteRef/>
      </w:r>
      <w:r w:rsidRPr="004F6AE1">
        <w:t xml:space="preserve"> </w:t>
      </w:r>
      <w:r w:rsidRPr="002F3A5F">
        <w:t>John</w:t>
      </w:r>
      <w:r w:rsidR="00D81415">
        <w:t> I</w:t>
      </w:r>
      <w:r w:rsidRPr="002F3A5F">
        <w:t xml:space="preserve"> King of Portugal, Encyclopedia Britannica, </w:t>
      </w:r>
      <w:hyperlink r:id="rId7" w:history="1">
        <w:r w:rsidRPr="002F3A5F">
          <w:rPr>
            <w:rStyle w:val="Hyperlink"/>
          </w:rPr>
          <w:t>https://www.britannica.com/biography/John</w:t>
        </w:r>
        <w:r w:rsidR="00C47FD8" w:rsidRPr="002F3A5F">
          <w:rPr>
            <w:rStyle w:val="Hyperlink"/>
          </w:rPr>
          <w:noBreakHyphen/>
        </w:r>
        <w:r w:rsidRPr="002F3A5F">
          <w:rPr>
            <w:rStyle w:val="Hyperlink"/>
          </w:rPr>
          <w:t>I</w:t>
        </w:r>
        <w:r w:rsidR="00C47FD8" w:rsidRPr="002F3A5F">
          <w:rPr>
            <w:rStyle w:val="Hyperlink"/>
          </w:rPr>
          <w:noBreakHyphen/>
        </w:r>
        <w:r w:rsidRPr="002F3A5F">
          <w:rPr>
            <w:rStyle w:val="Hyperlink"/>
          </w:rPr>
          <w:t>king</w:t>
        </w:r>
        <w:r w:rsidR="00C47FD8" w:rsidRPr="002F3A5F">
          <w:rPr>
            <w:rStyle w:val="Hyperlink"/>
          </w:rPr>
          <w:noBreakHyphen/>
        </w:r>
        <w:r w:rsidRPr="002F3A5F">
          <w:rPr>
            <w:rStyle w:val="Hyperlink"/>
          </w:rPr>
          <w:t>of</w:t>
        </w:r>
        <w:r w:rsidR="00C47FD8" w:rsidRPr="002F3A5F">
          <w:rPr>
            <w:rStyle w:val="Hyperlink"/>
          </w:rPr>
          <w:noBreakHyphen/>
        </w:r>
        <w:r w:rsidRPr="002F3A5F">
          <w:rPr>
            <w:rStyle w:val="Hyperlink"/>
          </w:rPr>
          <w:t>Portugal</w:t>
        </w:r>
      </w:hyperlink>
      <w:r w:rsidRPr="002F3A5F">
        <w:t xml:space="preserve"> (last accessed </w:t>
      </w:r>
      <w:r w:rsidR="008D7DF4">
        <w:t>June </w:t>
      </w:r>
      <w:r w:rsidRPr="002F3A5F">
        <w:t>30, 2023).</w:t>
      </w:r>
    </w:p>
  </w:footnote>
  <w:footnote w:id="40">
    <w:p w14:paraId="78F6653D" w14:textId="2F940503" w:rsidR="00C65D7F" w:rsidRPr="002F3A5F" w:rsidRDefault="00C65D7F" w:rsidP="002F3A5F">
      <w:pPr>
        <w:pStyle w:val="FootnoteText"/>
      </w:pPr>
      <w:r w:rsidRPr="004F6AE1">
        <w:rPr>
          <w:rStyle w:val="FootnoteReference"/>
        </w:rPr>
        <w:footnoteRef/>
      </w:r>
      <w:r w:rsidRPr="00B665FE">
        <w:t xml:space="preserve"> </w:t>
      </w:r>
      <w:r w:rsidR="00E71DD6">
        <w:t>Robert L</w:t>
      </w:r>
      <w:r w:rsidRPr="00E17F76">
        <w:t>. Santos, Azoreans to California 3</w:t>
      </w:r>
      <w:r w:rsidR="00C47FD8">
        <w:noBreakHyphen/>
      </w:r>
      <w:r w:rsidRPr="00E17F76">
        <w:t>33 (1976).</w:t>
      </w:r>
    </w:p>
  </w:footnote>
  <w:footnote w:id="41">
    <w:p w14:paraId="1F96CE3F" w14:textId="079BDDED" w:rsidR="00C65D7F" w:rsidRPr="002F3A5F" w:rsidRDefault="00C65D7F" w:rsidP="002F3A5F">
      <w:pPr>
        <w:pStyle w:val="FootnoteText"/>
      </w:pPr>
      <w:r w:rsidRPr="004F6AE1">
        <w:rPr>
          <w:rStyle w:val="FootnoteReference"/>
        </w:rPr>
        <w:footnoteRef/>
      </w:r>
      <w:r w:rsidRPr="00E17F76">
        <w:t xml:space="preserve"> Evelyn Edson, The World Map 1300</w:t>
      </w:r>
      <w:r w:rsidR="00C47FD8">
        <w:noBreakHyphen/>
      </w:r>
      <w:r w:rsidRPr="00E17F76">
        <w:t>1492 74</w:t>
      </w:r>
      <w:r w:rsidR="00C47FD8">
        <w:noBreakHyphen/>
      </w:r>
      <w:r w:rsidRPr="00E17F76">
        <w:t>86 (2007).</w:t>
      </w:r>
    </w:p>
  </w:footnote>
  <w:footnote w:id="42">
    <w:p w14:paraId="77730EBD" w14:textId="7B8DA8EE" w:rsidR="00C65D7F" w:rsidRPr="00B665FE" w:rsidRDefault="00C65D7F" w:rsidP="005F6D0E">
      <w:pPr>
        <w:pStyle w:val="FootnoteText"/>
      </w:pPr>
      <w:r w:rsidRPr="004F6AE1">
        <w:rPr>
          <w:rStyle w:val="FootnoteReference"/>
        </w:rPr>
        <w:footnoteRef/>
      </w:r>
      <w:r w:rsidRPr="00B665FE">
        <w:t xml:space="preserve"> Paula Pacheco, </w:t>
      </w:r>
      <w:r w:rsidRPr="005F6D0E">
        <w:rPr>
          <w:i/>
          <w:iCs/>
        </w:rPr>
        <w:t>et al.</w:t>
      </w:r>
      <w:r w:rsidRPr="00B665FE">
        <w:t xml:space="preserve">, HLA </w:t>
      </w:r>
      <w:r w:rsidR="005F6D0E">
        <w:t>Class</w:t>
      </w:r>
      <w:r w:rsidR="00D81415">
        <w:t> I</w:t>
      </w:r>
      <w:r w:rsidRPr="00B665FE">
        <w:t xml:space="preserve"> and </w:t>
      </w:r>
      <w:r w:rsidR="005F6D0E">
        <w:t>Class</w:t>
      </w:r>
      <w:r w:rsidR="00D81415">
        <w:t> I</w:t>
      </w:r>
      <w:r w:rsidRPr="00B665FE">
        <w:t>I profiles in São Miguel Island (Azores)</w:t>
      </w:r>
      <w:r w:rsidR="003E7EA5">
        <w:t xml:space="preserve">:  </w:t>
      </w:r>
      <w:r w:rsidRPr="00B665FE">
        <w:t>genetic diversity and linkage disequilibrium, 3 BMC Rsch. Notes 134 (2010); C.</w:t>
      </w:r>
      <w:r w:rsidR="00A9434E">
        <w:t> </w:t>
      </w:r>
      <w:r w:rsidRPr="00B665FE">
        <w:t xml:space="preserve">Santos, </w:t>
      </w:r>
      <w:r w:rsidR="00D9790B" w:rsidRPr="00D9790B">
        <w:rPr>
          <w:i/>
          <w:iCs/>
        </w:rPr>
        <w:t>et al.</w:t>
      </w:r>
      <w:r w:rsidRPr="00B665FE">
        <w:t>, Genetic structure and origin of peopling in the Azores islands (Portugal)</w:t>
      </w:r>
      <w:r w:rsidR="003E7EA5">
        <w:t xml:space="preserve">:  </w:t>
      </w:r>
      <w:r w:rsidRPr="00B665FE">
        <w:t>the view from mtDNA, 67</w:t>
      </w:r>
      <w:r w:rsidR="00EA38B0">
        <w:t> </w:t>
      </w:r>
      <w:r w:rsidRPr="00B665FE">
        <w:t>Annals of Hum. Genetics 433 (2003); P.</w:t>
      </w:r>
      <w:r w:rsidR="00676438">
        <w:t> </w:t>
      </w:r>
      <w:r w:rsidRPr="00B665FE">
        <w:t xml:space="preserve">R. Pacheco, </w:t>
      </w:r>
      <w:r w:rsidR="00D9790B" w:rsidRPr="00D9790B">
        <w:rPr>
          <w:i/>
          <w:iCs/>
        </w:rPr>
        <w:t>et al.</w:t>
      </w:r>
      <w:r w:rsidRPr="00B665FE">
        <w:t>, The Y</w:t>
      </w:r>
      <w:r w:rsidR="00C47FD8">
        <w:noBreakHyphen/>
      </w:r>
      <w:r w:rsidRPr="00B665FE">
        <w:t>chromosomal heritage of the Azores Islands population, 69 Annals of Hum. Genetics 145 (2005); Claudia</w:t>
      </w:r>
      <w:r w:rsidR="00A9434E">
        <w:t> </w:t>
      </w:r>
      <w:r w:rsidRPr="00B665FE">
        <w:t xml:space="preserve">C. Branco, </w:t>
      </w:r>
      <w:r w:rsidR="00D9790B" w:rsidRPr="00D9790B">
        <w:rPr>
          <w:i/>
          <w:iCs/>
        </w:rPr>
        <w:t>et al.</w:t>
      </w:r>
      <w:r w:rsidRPr="00B665FE">
        <w:t xml:space="preserve">, Assessment of Azorean ancestry by Alu insertion polymorphisms, </w:t>
      </w:r>
      <w:r w:rsidR="00590C33">
        <w:t>18 Am. J.</w:t>
      </w:r>
      <w:r w:rsidRPr="00B665FE">
        <w:t xml:space="preserve"> Hum. Biology 223 (2006).</w:t>
      </w:r>
    </w:p>
  </w:footnote>
  <w:footnote w:id="43">
    <w:p w14:paraId="14097049" w14:textId="29A21074" w:rsidR="00C65D7F" w:rsidRPr="00475B1B" w:rsidRDefault="00C65D7F" w:rsidP="00475B1B">
      <w:pPr>
        <w:pStyle w:val="FootnoteText"/>
      </w:pPr>
      <w:r w:rsidRPr="004F6AE1">
        <w:rPr>
          <w:rStyle w:val="FootnoteReference"/>
        </w:rPr>
        <w:footnoteRef/>
      </w:r>
      <w:r w:rsidR="00475B1B">
        <w:t xml:space="preserve"> </w:t>
      </w:r>
      <w:r w:rsidRPr="00E17F76">
        <w:t>Geoffrey Parker, The Spanish Armada 73 (1999).</w:t>
      </w:r>
    </w:p>
  </w:footnote>
  <w:footnote w:id="44">
    <w:p w14:paraId="49254B4E" w14:textId="2636BF93" w:rsidR="00FE1729" w:rsidRPr="00B665FE" w:rsidRDefault="00FE1729" w:rsidP="00475B1B">
      <w:pPr>
        <w:pStyle w:val="FootnoteText"/>
      </w:pPr>
      <w:r w:rsidRPr="004F6AE1">
        <w:rPr>
          <w:rStyle w:val="FootnoteReference"/>
        </w:rPr>
        <w:footnoteRef/>
      </w:r>
      <w:r w:rsidRPr="00B665FE">
        <w:t xml:space="preserve"> Hugh Thomas, </w:t>
      </w:r>
      <w:r w:rsidRPr="00B665FE">
        <w:rPr>
          <w:i/>
          <w:iCs/>
        </w:rPr>
        <w:t>World Without End</w:t>
      </w:r>
      <w:r w:rsidR="003E7EA5">
        <w:rPr>
          <w:i/>
          <w:iCs/>
        </w:rPr>
        <w:t xml:space="preserve">:  </w:t>
      </w:r>
      <w:r w:rsidRPr="00B665FE">
        <w:rPr>
          <w:i/>
          <w:iCs/>
        </w:rPr>
        <w:t>The Global Empire of Philip</w:t>
      </w:r>
      <w:r w:rsidR="00D81415">
        <w:rPr>
          <w:i/>
          <w:iCs/>
        </w:rPr>
        <w:t> I</w:t>
      </w:r>
      <w:r w:rsidRPr="00B665FE">
        <w:rPr>
          <w:i/>
          <w:iCs/>
        </w:rPr>
        <w:t>I</w:t>
      </w:r>
      <w:r w:rsidRPr="00B665FE">
        <w:t xml:space="preserve"> (2025) </w:t>
      </w:r>
      <w:r w:rsidR="00A41C24">
        <w:t>at </w:t>
      </w:r>
      <w:r w:rsidRPr="00B665FE">
        <w:t xml:space="preserve">73; </w:t>
      </w:r>
      <w:r w:rsidRPr="00590C33">
        <w:rPr>
          <w:i/>
          <w:iCs/>
        </w:rPr>
        <w:t>see also</w:t>
      </w:r>
      <w:r w:rsidRPr="00B665FE">
        <w:t xml:space="preserve"> James Alan, </w:t>
      </w:r>
      <w:r w:rsidRPr="00B665FE">
        <w:rPr>
          <w:i/>
          <w:iCs/>
        </w:rPr>
        <w:t>A French Armada? The Azores Campaigns</w:t>
      </w:r>
      <w:r w:rsidRPr="00B665FE">
        <w:t>, 1580</w:t>
      </w:r>
      <w:r w:rsidR="00C47FD8">
        <w:noBreakHyphen/>
      </w:r>
      <w:r w:rsidRPr="00B665FE">
        <w:t xml:space="preserve">1583 The Historical Journal, 55(1) (2012) </w:t>
      </w:r>
      <w:r w:rsidR="00475B1B">
        <w:t>at </w:t>
      </w:r>
      <w:r w:rsidRPr="00B665FE">
        <w:t>1</w:t>
      </w:r>
      <w:r w:rsidR="00C47FD8">
        <w:noBreakHyphen/>
      </w:r>
      <w:r w:rsidRPr="00B665FE">
        <w:t>20.</w:t>
      </w:r>
    </w:p>
  </w:footnote>
  <w:footnote w:id="45">
    <w:p w14:paraId="36C6BE50" w14:textId="0651A10C" w:rsidR="00C65D7F" w:rsidRPr="00883690" w:rsidRDefault="00C65D7F" w:rsidP="00883690">
      <w:pPr>
        <w:pStyle w:val="FootnoteText"/>
      </w:pPr>
      <w:r w:rsidRPr="004F6AE1">
        <w:rPr>
          <w:rStyle w:val="FootnoteReference"/>
        </w:rPr>
        <w:footnoteRef/>
      </w:r>
      <w:r w:rsidRPr="00B665FE">
        <w:t xml:space="preserve"> </w:t>
      </w:r>
      <w:r w:rsidR="00873A8B" w:rsidRPr="00B665FE">
        <w:rPr>
          <w:i/>
          <w:iCs/>
        </w:rPr>
        <w:t>See</w:t>
      </w:r>
      <w:r w:rsidR="00873A8B" w:rsidRPr="00B665FE">
        <w:t xml:space="preserve"> </w:t>
      </w:r>
      <w:r w:rsidR="00873A8B" w:rsidRPr="00E17F76">
        <w:t xml:space="preserve">Santos, </w:t>
      </w:r>
      <w:r w:rsidR="003335BB" w:rsidRPr="00E17F76">
        <w:t xml:space="preserve">supra, </w:t>
      </w:r>
      <w:r w:rsidR="00873A8B" w:rsidRPr="00E17F76">
        <w:t>Azoreans to California 3</w:t>
      </w:r>
      <w:r w:rsidR="00C47FD8">
        <w:noBreakHyphen/>
      </w:r>
      <w:r w:rsidR="00873A8B" w:rsidRPr="00E17F76">
        <w:t>33 (1976)</w:t>
      </w:r>
      <w:r w:rsidRPr="00E17F76">
        <w:t>.</w:t>
      </w:r>
    </w:p>
  </w:footnote>
  <w:footnote w:id="46">
    <w:p w14:paraId="017FC7C7" w14:textId="77777777" w:rsidR="00C65D7F" w:rsidRPr="00826E33" w:rsidRDefault="00C65D7F" w:rsidP="00826E33">
      <w:pPr>
        <w:pStyle w:val="FootnoteText"/>
      </w:pPr>
      <w:r w:rsidRPr="004F6AE1">
        <w:rPr>
          <w:rStyle w:val="FootnoteReference"/>
        </w:rPr>
        <w:footnoteRef/>
      </w:r>
      <w:r w:rsidRPr="00E17F76">
        <w:t xml:space="preserve"> </w:t>
      </w:r>
      <w:r w:rsidR="003335BB" w:rsidRPr="00E17F76">
        <w:rPr>
          <w:i/>
          <w:iCs/>
        </w:rPr>
        <w:t>Ibid</w:t>
      </w:r>
      <w:r w:rsidR="003335BB" w:rsidRPr="00E17F76">
        <w:t>.</w:t>
      </w:r>
      <w:r w:rsidRPr="00E17F76">
        <w:t xml:space="preserve">; </w:t>
      </w:r>
      <w:r w:rsidRPr="00E17F76">
        <w:rPr>
          <w:i/>
          <w:iCs/>
        </w:rPr>
        <w:t xml:space="preserve">see also </w:t>
      </w:r>
      <w:r w:rsidRPr="00E17F76">
        <w:t xml:space="preserve">Charlotte Alice Baker, A Summer in the Azores with a Glimpse of Madeira </w:t>
      </w:r>
      <w:r w:rsidRPr="00B665FE">
        <w:t>(1882).</w:t>
      </w:r>
    </w:p>
  </w:footnote>
  <w:footnote w:id="47">
    <w:p w14:paraId="1E1FC010" w14:textId="16022ABD" w:rsidR="00BC61A5" w:rsidRPr="00236961" w:rsidRDefault="00BC61A5" w:rsidP="00236961">
      <w:pPr>
        <w:pStyle w:val="FootnoteText"/>
      </w:pPr>
      <w:r w:rsidRPr="004F6AE1">
        <w:rPr>
          <w:rStyle w:val="FootnoteReference"/>
        </w:rPr>
        <w:footnoteRef/>
      </w:r>
      <w:r w:rsidRPr="00B665FE">
        <w:t xml:space="preserve"> Nina Chikanov, </w:t>
      </w:r>
      <w:r w:rsidRPr="00B665FE">
        <w:rPr>
          <w:i/>
          <w:iCs/>
        </w:rPr>
        <w:t>Spain</w:t>
      </w:r>
      <w:r w:rsidR="003E7EA5">
        <w:rPr>
          <w:i/>
          <w:iCs/>
        </w:rPr>
        <w:t xml:space="preserve">:  </w:t>
      </w:r>
      <w:r w:rsidRPr="00B665FE">
        <w:rPr>
          <w:i/>
          <w:iCs/>
        </w:rPr>
        <w:t>The Art (?) of Spanish Bullfighting</w:t>
      </w:r>
      <w:r w:rsidRPr="00B665FE">
        <w:t>, UCLA Study Abroad (2017).</w:t>
      </w:r>
    </w:p>
  </w:footnote>
  <w:footnote w:id="48">
    <w:p w14:paraId="4317E414" w14:textId="19DA9B0F" w:rsidR="00B665FE" w:rsidRPr="004F6AE1" w:rsidRDefault="00B665FE" w:rsidP="00236961">
      <w:pPr>
        <w:pStyle w:val="FootnoteText"/>
      </w:pPr>
      <w:r w:rsidRPr="004F6AE1">
        <w:rPr>
          <w:rStyle w:val="FootnoteReference"/>
        </w:rPr>
        <w:footnoteRef/>
      </w:r>
      <w:r w:rsidRPr="004F6AE1">
        <w:t xml:space="preserve"> </w:t>
      </w:r>
      <w:r w:rsidRPr="00236961">
        <w:t>The Azores, Learning Portuguese</w:t>
      </w:r>
      <w:r w:rsidR="00236961" w:rsidRPr="00236961">
        <w:t xml:space="preserve"> at</w:t>
      </w:r>
      <w:r w:rsidR="003E7EA5">
        <w:t xml:space="preserve">:  </w:t>
      </w:r>
      <w:hyperlink r:id="rId8" w:history="1">
        <w:r w:rsidRPr="00236961">
          <w:rPr>
            <w:rStyle w:val="Hyperlink"/>
          </w:rPr>
          <w:t>https://www.learningportuguese.co.uk/countries/the</w:t>
        </w:r>
        <w:r w:rsidR="00C47FD8" w:rsidRPr="00236961">
          <w:rPr>
            <w:rStyle w:val="Hyperlink"/>
          </w:rPr>
          <w:noBreakHyphen/>
        </w:r>
        <w:r w:rsidRPr="00236961">
          <w:rPr>
            <w:rStyle w:val="Hyperlink"/>
          </w:rPr>
          <w:t>azores</w:t>
        </w:r>
      </w:hyperlink>
      <w:r w:rsidRPr="00236961">
        <w:t xml:space="preserve"> (last </w:t>
      </w:r>
      <w:r w:rsidR="0067075F" w:rsidRPr="00236961">
        <w:t>accessed</w:t>
      </w:r>
      <w:r w:rsidRPr="00236961">
        <w:t xml:space="preserve"> </w:t>
      </w:r>
      <w:r w:rsidR="008D7DF4">
        <w:t>July </w:t>
      </w:r>
      <w:r w:rsidRPr="00236961">
        <w:t>28, 2023).</w:t>
      </w:r>
    </w:p>
  </w:footnote>
  <w:footnote w:id="49">
    <w:p w14:paraId="0695B670" w14:textId="7FD719EF" w:rsidR="001A376A" w:rsidRPr="00B665FE" w:rsidRDefault="001A376A" w:rsidP="00236961">
      <w:pPr>
        <w:pStyle w:val="FootnoteText"/>
      </w:pPr>
      <w:r w:rsidRPr="004F6AE1">
        <w:rPr>
          <w:rStyle w:val="FootnoteReference"/>
        </w:rPr>
        <w:footnoteRef/>
      </w:r>
      <w:r w:rsidRPr="00B665FE">
        <w:t xml:space="preserve"> </w:t>
      </w:r>
      <w:r w:rsidR="00F61835">
        <w:t>GO </w:t>
      </w:r>
      <w:r w:rsidRPr="00B665FE">
        <w:t xml:space="preserve">156 </w:t>
      </w:r>
      <w:r w:rsidR="00D9790B">
        <w:t>§ </w:t>
      </w:r>
      <w:r w:rsidRPr="00B665FE">
        <w:t>1.3.10.</w:t>
      </w:r>
    </w:p>
  </w:footnote>
  <w:footnote w:id="50">
    <w:p w14:paraId="38849658" w14:textId="755BFCDA" w:rsidR="00C65D7F" w:rsidRPr="00B665FE" w:rsidRDefault="00C65D7F" w:rsidP="00236961">
      <w:pPr>
        <w:pStyle w:val="FootnoteText"/>
      </w:pPr>
      <w:r w:rsidRPr="004F6AE1">
        <w:rPr>
          <w:rStyle w:val="FootnoteReference"/>
        </w:rPr>
        <w:footnoteRef/>
      </w:r>
      <w:r w:rsidRPr="00B665FE">
        <w:t xml:space="preserve"> </w:t>
      </w:r>
      <w:r w:rsidR="009063F2">
        <w:t>Pub. Util.</w:t>
      </w:r>
      <w:r w:rsidRPr="00B665FE">
        <w:t xml:space="preserve"> Code </w:t>
      </w:r>
      <w:r w:rsidR="00D9790B">
        <w:t>§ </w:t>
      </w:r>
      <w:r w:rsidRPr="00B665FE">
        <w:t>130239 (relying on 49</w:t>
      </w:r>
      <w:r w:rsidR="0042628C">
        <w:t> C.F.R.</w:t>
      </w:r>
      <w:r w:rsidRPr="00B665FE">
        <w:t xml:space="preserve"> </w:t>
      </w:r>
      <w:r w:rsidR="00D9790B">
        <w:t>§ </w:t>
      </w:r>
      <w:r w:rsidRPr="00B665FE">
        <w:t>23.3 to define minority</w:t>
      </w:r>
      <w:r w:rsidR="00C47FD8">
        <w:noBreakHyphen/>
      </w:r>
      <w:r w:rsidRPr="00B665FE">
        <w:t>owned businesses).</w:t>
      </w:r>
    </w:p>
  </w:footnote>
  <w:footnote w:id="51">
    <w:p w14:paraId="51887586" w14:textId="525A6CD2" w:rsidR="00C65D7F" w:rsidRPr="00B665FE" w:rsidRDefault="00C65D7F" w:rsidP="00236961">
      <w:pPr>
        <w:pStyle w:val="FootnoteText"/>
      </w:pPr>
      <w:r w:rsidRPr="004F6AE1">
        <w:rPr>
          <w:rStyle w:val="FootnoteReference"/>
        </w:rPr>
        <w:footnoteRef/>
      </w:r>
      <w:r w:rsidRPr="00B665FE">
        <w:t xml:space="preserve"> 49</w:t>
      </w:r>
      <w:r w:rsidR="0042628C">
        <w:t> C.F.R.</w:t>
      </w:r>
      <w:r w:rsidRPr="00B665FE">
        <w:t xml:space="preserve"> </w:t>
      </w:r>
      <w:r w:rsidR="00D9790B">
        <w:t>§ </w:t>
      </w:r>
      <w:r w:rsidRPr="00B665FE">
        <w:t>23.3.</w:t>
      </w:r>
    </w:p>
  </w:footnote>
  <w:footnote w:id="52">
    <w:p w14:paraId="7B11816C" w14:textId="16300408" w:rsidR="00D1183F" w:rsidRPr="00236961" w:rsidRDefault="00D1183F" w:rsidP="00236961">
      <w:pPr>
        <w:pStyle w:val="FootnoteText"/>
      </w:pPr>
      <w:r w:rsidRPr="004F6AE1">
        <w:rPr>
          <w:rStyle w:val="FootnoteReference"/>
        </w:rPr>
        <w:footnoteRef/>
      </w:r>
      <w:r w:rsidRPr="00B665FE">
        <w:t xml:space="preserve"> Cal. Const. Art. XII; </w:t>
      </w:r>
      <w:r w:rsidRPr="00B665FE">
        <w:rPr>
          <w:i/>
          <w:iCs/>
        </w:rPr>
        <w:t xml:space="preserve">see especially </w:t>
      </w:r>
      <w:r w:rsidRPr="00B665FE">
        <w:t xml:space="preserve">Cal. Const. Art. XII, </w:t>
      </w:r>
      <w:r w:rsidR="00D9790B">
        <w:t>§§ </w:t>
      </w:r>
      <w:r w:rsidRPr="00B665FE">
        <w:t>3, 6.</w:t>
      </w:r>
    </w:p>
  </w:footnote>
  <w:footnote w:id="53">
    <w:p w14:paraId="699F1414" w14:textId="77777777" w:rsidR="00D1183F" w:rsidRPr="00236961" w:rsidRDefault="00D1183F" w:rsidP="00236961">
      <w:pPr>
        <w:pStyle w:val="FootnoteText"/>
      </w:pPr>
      <w:r w:rsidRPr="004F6AE1">
        <w:rPr>
          <w:rStyle w:val="FootnoteReference"/>
        </w:rPr>
        <w:footnoteRef/>
      </w:r>
      <w:r w:rsidRPr="00B665FE">
        <w:t xml:space="preserve"> </w:t>
      </w:r>
      <w:r w:rsidRPr="00236961">
        <w:rPr>
          <w:i/>
          <w:iCs/>
        </w:rPr>
        <w:t>Ibid.</w:t>
      </w:r>
    </w:p>
  </w:footnote>
  <w:footnote w:id="54">
    <w:p w14:paraId="16D2293F" w14:textId="441B5854" w:rsidR="00D1183F" w:rsidRPr="00B665FE" w:rsidRDefault="00D1183F" w:rsidP="00236961">
      <w:pPr>
        <w:pStyle w:val="FootnoteText"/>
      </w:pPr>
      <w:r w:rsidRPr="004F6AE1">
        <w:rPr>
          <w:rStyle w:val="FootnoteReference"/>
        </w:rPr>
        <w:footnoteRef/>
      </w:r>
      <w:r w:rsidRPr="00B665FE">
        <w:t xml:space="preserve"> </w:t>
      </w:r>
      <w:r w:rsidR="009063F2">
        <w:t>Pub. Util.</w:t>
      </w:r>
      <w:r w:rsidRPr="00B665FE">
        <w:t xml:space="preserve"> Code </w:t>
      </w:r>
      <w:r w:rsidR="00D9790B">
        <w:t>§ </w:t>
      </w:r>
      <w:r w:rsidRPr="00B665FE">
        <w:t>8281(a).</w:t>
      </w:r>
    </w:p>
  </w:footnote>
  <w:footnote w:id="55">
    <w:p w14:paraId="17851188" w14:textId="77777777" w:rsidR="00D1183F" w:rsidRPr="00236961" w:rsidRDefault="00D1183F" w:rsidP="00236961">
      <w:pPr>
        <w:pStyle w:val="FootnoteText"/>
      </w:pPr>
      <w:r w:rsidRPr="004F6AE1">
        <w:rPr>
          <w:rStyle w:val="FootnoteReference"/>
        </w:rPr>
        <w:footnoteRef/>
      </w:r>
      <w:r w:rsidRPr="00B665FE">
        <w:t xml:space="preserve"> </w:t>
      </w:r>
      <w:r w:rsidRPr="00236961">
        <w:rPr>
          <w:i/>
          <w:iCs/>
        </w:rPr>
        <w:t>Ibid.</w:t>
      </w:r>
    </w:p>
  </w:footnote>
  <w:footnote w:id="56">
    <w:p w14:paraId="66FE585C" w14:textId="6403F38B" w:rsidR="0067075F" w:rsidRPr="0067075F" w:rsidRDefault="0067075F" w:rsidP="00236961">
      <w:pPr>
        <w:pStyle w:val="FootnoteText"/>
        <w:rPr>
          <w:color w:val="111111"/>
          <w:shd w:val="clear" w:color="auto" w:fill="FFFFFF"/>
        </w:rPr>
      </w:pPr>
      <w:r w:rsidRPr="004F6AE1">
        <w:rPr>
          <w:rStyle w:val="FootnoteReference"/>
        </w:rPr>
        <w:footnoteRef/>
      </w:r>
      <w:r>
        <w:t xml:space="preserve"> </w:t>
      </w:r>
      <w:r w:rsidRPr="0067075F">
        <w:rPr>
          <w:color w:val="111111"/>
          <w:shd w:val="clear" w:color="auto" w:fill="FFFFFF"/>
        </w:rPr>
        <w:t xml:space="preserve">Governor Newsom, Office of Governor Gavin Newsom, </w:t>
      </w:r>
      <w:r w:rsidRPr="0067075F">
        <w:rPr>
          <w:rFonts w:cs="Arial"/>
          <w:color w:val="111111"/>
        </w:rPr>
        <w:t xml:space="preserve">“Newsom </w:t>
      </w:r>
      <w:r w:rsidRPr="00593CB8">
        <w:rPr>
          <w:rFonts w:cs="Arial"/>
        </w:rPr>
        <w:t>Administration Announces First</w:t>
      </w:r>
      <w:r w:rsidR="00C47FD8">
        <w:rPr>
          <w:rFonts w:cs="Arial"/>
        </w:rPr>
        <w:noBreakHyphen/>
      </w:r>
      <w:r w:rsidRPr="00593CB8">
        <w:rPr>
          <w:rFonts w:cs="Arial"/>
        </w:rPr>
        <w:t>of</w:t>
      </w:r>
      <w:r w:rsidR="00C47FD8">
        <w:rPr>
          <w:rFonts w:cs="Arial"/>
        </w:rPr>
        <w:noBreakHyphen/>
      </w:r>
      <w:r w:rsidRPr="00593CB8">
        <w:rPr>
          <w:rFonts w:cs="Arial"/>
        </w:rPr>
        <w:t>its</w:t>
      </w:r>
      <w:r w:rsidR="00C47FD8">
        <w:rPr>
          <w:rFonts w:cs="Arial"/>
        </w:rPr>
        <w:noBreakHyphen/>
      </w:r>
      <w:r w:rsidRPr="00593CB8">
        <w:rPr>
          <w:rFonts w:cs="Arial"/>
        </w:rPr>
        <w:t xml:space="preserve">Kind Diversity Initiative for California State Government,” published </w:t>
      </w:r>
      <w:r w:rsidR="00106F82">
        <w:rPr>
          <w:shd w:val="clear" w:color="auto" w:fill="FFFFFF"/>
        </w:rPr>
        <w:t>January </w:t>
      </w:r>
      <w:r w:rsidRPr="00593CB8">
        <w:rPr>
          <w:shd w:val="clear" w:color="auto" w:fill="FFFFFF"/>
        </w:rPr>
        <w:t>18, 2019,</w:t>
      </w:r>
      <w:r w:rsidR="00236961">
        <w:rPr>
          <w:shd w:val="clear" w:color="auto" w:fill="FFFFFF"/>
        </w:rPr>
        <w:t xml:space="preserve"> at</w:t>
      </w:r>
      <w:r w:rsidR="003E7EA5">
        <w:rPr>
          <w:shd w:val="clear" w:color="auto" w:fill="FFFFFF"/>
        </w:rPr>
        <w:t xml:space="preserve">:  </w:t>
      </w:r>
      <w:hyperlink r:id="rId9" w:history="1">
        <w:r w:rsidRPr="00AB0211">
          <w:rPr>
            <w:rStyle w:val="Hyperlink"/>
          </w:rPr>
          <w:t>https://www.gov.ca.gov/2019/01/18/inclusv/</w:t>
        </w:r>
      </w:hyperlink>
      <w:r w:rsidRPr="0067075F">
        <w:t xml:space="preserve"> (last accessed </w:t>
      </w:r>
      <w:r w:rsidR="008D7DF4">
        <w:t>August </w:t>
      </w:r>
      <w:r w:rsidRPr="0067075F">
        <w:t>1, 2023).</w:t>
      </w:r>
    </w:p>
  </w:footnote>
  <w:footnote w:id="57">
    <w:p w14:paraId="4690A5FA" w14:textId="2249028D" w:rsidR="008A0638" w:rsidRPr="00FA5CEA" w:rsidRDefault="008A0638" w:rsidP="00FA5CEA">
      <w:pPr>
        <w:pStyle w:val="FootnoteText"/>
      </w:pPr>
      <w:r w:rsidRPr="004F6AE1">
        <w:rPr>
          <w:rStyle w:val="FootnoteReference"/>
        </w:rPr>
        <w:footnoteRef/>
      </w:r>
      <w:r w:rsidRPr="00B665FE">
        <w:t xml:space="preserve"> </w:t>
      </w:r>
      <w:r w:rsidRPr="00D9790B">
        <w:rPr>
          <w:i/>
        </w:rPr>
        <w:t>See</w:t>
      </w:r>
      <w:r w:rsidR="003335BB" w:rsidRPr="00D9790B">
        <w:rPr>
          <w:i/>
        </w:rPr>
        <w:t>,</w:t>
      </w:r>
      <w:r w:rsidRPr="00D9790B">
        <w:rPr>
          <w:i/>
        </w:rPr>
        <w:t xml:space="preserve"> for example</w:t>
      </w:r>
      <w:r w:rsidR="003335BB" w:rsidRPr="00D9790B">
        <w:rPr>
          <w:i/>
        </w:rPr>
        <w:t>,</w:t>
      </w:r>
      <w:r w:rsidRPr="00B665FE">
        <w:t xml:space="preserve"> </w:t>
      </w:r>
      <w:r w:rsidR="009063F2">
        <w:t>Pub. Util.</w:t>
      </w:r>
      <w:r w:rsidRPr="00B665FE">
        <w:t xml:space="preserve"> Code </w:t>
      </w:r>
      <w:r w:rsidR="00D9790B">
        <w:t>§ </w:t>
      </w:r>
      <w:r w:rsidRPr="00B665FE">
        <w:t xml:space="preserve">451, </w:t>
      </w:r>
      <w:r w:rsidR="00D9790B">
        <w:t>§ </w:t>
      </w:r>
      <w:r w:rsidRPr="00B665FE">
        <w:t xml:space="preserve">5382, and </w:t>
      </w:r>
      <w:r w:rsidR="00D9790B">
        <w:t>§ </w:t>
      </w:r>
      <w:r w:rsidRPr="00B665FE">
        <w:t>5387.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321" w14:textId="77777777" w:rsidR="00CC57A7" w:rsidRPr="00AC5AAD" w:rsidRDefault="00CC57A7" w:rsidP="00993C4B">
    <w:pPr>
      <w:pStyle w:val="Header"/>
      <w:tabs>
        <w:tab w:val="clear" w:pos="4320"/>
        <w:tab w:val="clear" w:pos="8640"/>
        <w:tab w:val="right" w:pos="9360"/>
      </w:tabs>
      <w:rPr>
        <w:b/>
        <w:szCs w:val="24"/>
      </w:rPr>
    </w:pPr>
    <w:r w:rsidRPr="00616DFA">
      <w:t>Resolution ALJ-</w:t>
    </w:r>
    <w:r w:rsidRPr="00993C4B">
      <w:rPr>
        <w:highlight w:val="cyan"/>
      </w:rPr>
      <w:t>_</w:t>
    </w:r>
    <w:r>
      <w:rPr>
        <w:highlight w:val="cyan"/>
      </w:rPr>
      <w:t>_</w:t>
    </w:r>
    <w:r w:rsidRPr="00993C4B">
      <w:rPr>
        <w:highlight w:val="cyan"/>
      </w:rPr>
      <w:t>__</w:t>
    </w:r>
    <w:r w:rsidRPr="00616DFA">
      <w:t xml:space="preserve">  </w:t>
    </w:r>
    <w:r w:rsidRPr="00616DFA">
      <w:rPr>
        <w:szCs w:val="24"/>
      </w:rPr>
      <w:t>ALJ/</w:t>
    </w:r>
    <w:r w:rsidRPr="00136A8D">
      <w:rPr>
        <w:szCs w:val="24"/>
        <w:highlight w:val="cyan"/>
      </w:rPr>
      <w:t>___</w:t>
    </w:r>
    <w:r w:rsidRPr="00616DFA">
      <w:rPr>
        <w:szCs w:val="24"/>
      </w:rPr>
      <w:t>/</w:t>
    </w:r>
    <w:r>
      <w:rPr>
        <w:szCs w:val="24"/>
      </w:rPr>
      <w:t>nd3</w:t>
    </w:r>
    <w:r w:rsidRPr="00616DFA">
      <w:rPr>
        <w:szCs w:val="24"/>
      </w:rPr>
      <w:tab/>
    </w:r>
    <w:r w:rsidRPr="00616DFA">
      <w:rPr>
        <w:b/>
        <w:szCs w:val="24"/>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0C8C" w14:textId="25C719AC" w:rsidR="00163A83" w:rsidRDefault="007A2F1D" w:rsidP="001703D7">
    <w:pPr>
      <w:tabs>
        <w:tab w:val="right" w:pos="9360"/>
      </w:tabs>
    </w:pPr>
    <w:r>
      <w:t>Resolution ALJ</w:t>
    </w:r>
    <w:r w:rsidR="00C47FD8">
      <w:noBreakHyphen/>
    </w:r>
    <w:r>
      <w:t>446  ALJ/ABT/nd3</w:t>
    </w:r>
    <w:r>
      <w:tab/>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FA19" w14:textId="1DB50908" w:rsidR="00163A83" w:rsidRDefault="005902DD" w:rsidP="001703D7">
    <w:pPr>
      <w:pStyle w:val="Header"/>
      <w:tabs>
        <w:tab w:val="clear" w:pos="4320"/>
        <w:tab w:val="clear" w:pos="8640"/>
        <w:tab w:val="center" w:pos="4680"/>
        <w:tab w:val="right" w:pos="9360"/>
      </w:tabs>
    </w:pPr>
    <w:r>
      <w:t>ALJ/ABT/nd3</w:t>
    </w:r>
    <w:r>
      <w:tab/>
    </w:r>
    <w:r w:rsidRPr="005902DD">
      <w:rPr>
        <w:b/>
        <w:bCs/>
      </w:rPr>
      <w:t>DRAFT</w:t>
    </w:r>
    <w:r>
      <w:rPr>
        <w:b/>
        <w:bCs/>
      </w:rPr>
      <w:tab/>
      <w:t>Agenda ID #</w:t>
    </w:r>
    <w:r w:rsidR="00833FF8" w:rsidRPr="00833FF8">
      <w:rPr>
        <w:b/>
        <w:bCs/>
      </w:rPr>
      <w:t>21864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154B" w14:textId="5153596C" w:rsidR="00A82410" w:rsidRPr="001703D7" w:rsidRDefault="001703D7" w:rsidP="001703D7">
    <w:pPr>
      <w:pStyle w:val="Header"/>
    </w:pPr>
    <w:r>
      <w:t>Resolution ALJ</w:t>
    </w:r>
    <w:r>
      <w:noBreakHyphen/>
      <w:t>446  ALJ/ABT/nd3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C7B7" w14:textId="77777777" w:rsidR="00E8599A" w:rsidRDefault="00E8599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B1CF" w14:textId="77777777" w:rsidR="00163A83" w:rsidRPr="007C2251" w:rsidRDefault="0016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A10"/>
    <w:multiLevelType w:val="hybridMultilevel"/>
    <w:tmpl w:val="A170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A5415"/>
    <w:multiLevelType w:val="hybridMultilevel"/>
    <w:tmpl w:val="58E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B6B58"/>
    <w:multiLevelType w:val="hybridMultilevel"/>
    <w:tmpl w:val="36A6E5A0"/>
    <w:lvl w:ilvl="0" w:tplc="53AC5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C429F"/>
    <w:multiLevelType w:val="hybridMultilevel"/>
    <w:tmpl w:val="A170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6690B"/>
    <w:multiLevelType w:val="hybridMultilevel"/>
    <w:tmpl w:val="23BA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3309F"/>
    <w:multiLevelType w:val="hybridMultilevel"/>
    <w:tmpl w:val="E716CD04"/>
    <w:lvl w:ilvl="0" w:tplc="B4D6E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8B756E"/>
    <w:multiLevelType w:val="hybridMultilevel"/>
    <w:tmpl w:val="F616320C"/>
    <w:lvl w:ilvl="0" w:tplc="579EBDE0">
      <w:start w:val="1"/>
      <w:numFmt w:val="upperRoman"/>
      <w:lvlText w:val="%1."/>
      <w:lvlJc w:val="left"/>
      <w:pPr>
        <w:ind w:left="720" w:hanging="720"/>
      </w:pPr>
      <w:rPr>
        <w:rFonts w:hint="default"/>
        <w:b/>
        <w:bCs/>
        <w:i w:val="0"/>
        <w:iCs w:val="0"/>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7D6AB9"/>
    <w:multiLevelType w:val="hybridMultilevel"/>
    <w:tmpl w:val="4518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64647"/>
    <w:multiLevelType w:val="multilevel"/>
    <w:tmpl w:val="AF388B78"/>
    <w:lvl w:ilvl="0">
      <w:start w:val="1"/>
      <w:numFmt w:val="decimal"/>
      <w:pStyle w:val="Bo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B752B5"/>
    <w:multiLevelType w:val="hybridMultilevel"/>
    <w:tmpl w:val="246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047CB"/>
    <w:multiLevelType w:val="hybridMultilevel"/>
    <w:tmpl w:val="A170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F61304"/>
    <w:multiLevelType w:val="hybridMultilevel"/>
    <w:tmpl w:val="81843B62"/>
    <w:lvl w:ilvl="0" w:tplc="90BE6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C3C7A"/>
    <w:multiLevelType w:val="hybridMultilevel"/>
    <w:tmpl w:val="A170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7165">
    <w:abstractNumId w:val="8"/>
  </w:num>
  <w:num w:numId="2" w16cid:durableId="984045930">
    <w:abstractNumId w:val="1"/>
  </w:num>
  <w:num w:numId="3" w16cid:durableId="305670471">
    <w:abstractNumId w:val="5"/>
  </w:num>
  <w:num w:numId="4" w16cid:durableId="1249846240">
    <w:abstractNumId w:val="4"/>
  </w:num>
  <w:num w:numId="5" w16cid:durableId="2075735823">
    <w:abstractNumId w:val="10"/>
  </w:num>
  <w:num w:numId="6" w16cid:durableId="1734545695">
    <w:abstractNumId w:val="7"/>
  </w:num>
  <w:num w:numId="7" w16cid:durableId="2085562911">
    <w:abstractNumId w:val="2"/>
  </w:num>
  <w:num w:numId="8" w16cid:durableId="534657240">
    <w:abstractNumId w:val="13"/>
  </w:num>
  <w:num w:numId="9" w16cid:durableId="1841235282">
    <w:abstractNumId w:val="6"/>
  </w:num>
  <w:num w:numId="10" w16cid:durableId="952441594">
    <w:abstractNumId w:val="12"/>
  </w:num>
  <w:num w:numId="11" w16cid:durableId="753822013">
    <w:abstractNumId w:val="11"/>
  </w:num>
  <w:num w:numId="12" w16cid:durableId="266616484">
    <w:abstractNumId w:val="0"/>
  </w:num>
  <w:num w:numId="13" w16cid:durableId="1702779830">
    <w:abstractNumId w:val="3"/>
  </w:num>
  <w:num w:numId="14" w16cid:durableId="413286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activeWritingStyle w:lang="en-US" w:vendorID="64" w:dllVersion="0" w:nlCheck="1" w:checkStyle="0" w:appName="MSWord"/>
  <w:activeWritingStyle w:lang="es-ES" w:vendorID="64" w:dllVersion="0" w:nlCheck="1" w:checkStyle="0" w:appName="MSWord"/>
  <w:activeWritingStyle w:lang="fr-FR" w:vendorID="64" w:dllVersion="0" w:nlCheck="1" w:checkStyle="0" w:appName="MSWord"/>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F2"/>
    <w:rsid w:val="0000217F"/>
    <w:rsid w:val="00015A97"/>
    <w:rsid w:val="00020A50"/>
    <w:rsid w:val="000235B0"/>
    <w:rsid w:val="000250F1"/>
    <w:rsid w:val="00035DC1"/>
    <w:rsid w:val="00036829"/>
    <w:rsid w:val="0004033C"/>
    <w:rsid w:val="00047978"/>
    <w:rsid w:val="00060FC3"/>
    <w:rsid w:val="00067644"/>
    <w:rsid w:val="00070033"/>
    <w:rsid w:val="00075075"/>
    <w:rsid w:val="00076B91"/>
    <w:rsid w:val="000779C7"/>
    <w:rsid w:val="0008349B"/>
    <w:rsid w:val="000A2D33"/>
    <w:rsid w:val="000A441D"/>
    <w:rsid w:val="000B4086"/>
    <w:rsid w:val="000B594E"/>
    <w:rsid w:val="000C2EAF"/>
    <w:rsid w:val="000C4B93"/>
    <w:rsid w:val="000D20BA"/>
    <w:rsid w:val="000D2D2F"/>
    <w:rsid w:val="000D43A3"/>
    <w:rsid w:val="000D785E"/>
    <w:rsid w:val="000F21E5"/>
    <w:rsid w:val="000F42D5"/>
    <w:rsid w:val="000F5252"/>
    <w:rsid w:val="001068AD"/>
    <w:rsid w:val="00106F82"/>
    <w:rsid w:val="00111706"/>
    <w:rsid w:val="00121B3C"/>
    <w:rsid w:val="001428E9"/>
    <w:rsid w:val="00155230"/>
    <w:rsid w:val="001565BB"/>
    <w:rsid w:val="00163A83"/>
    <w:rsid w:val="0016409D"/>
    <w:rsid w:val="00165E9F"/>
    <w:rsid w:val="001703D7"/>
    <w:rsid w:val="00175767"/>
    <w:rsid w:val="00176062"/>
    <w:rsid w:val="00184890"/>
    <w:rsid w:val="00186CC8"/>
    <w:rsid w:val="00190BB1"/>
    <w:rsid w:val="00192D98"/>
    <w:rsid w:val="00197F88"/>
    <w:rsid w:val="001A376A"/>
    <w:rsid w:val="001A37D5"/>
    <w:rsid w:val="001A38A5"/>
    <w:rsid w:val="001B255C"/>
    <w:rsid w:val="001D2ACF"/>
    <w:rsid w:val="001D6036"/>
    <w:rsid w:val="001E0D76"/>
    <w:rsid w:val="001E1FD6"/>
    <w:rsid w:val="001E7F3E"/>
    <w:rsid w:val="00206381"/>
    <w:rsid w:val="002103DD"/>
    <w:rsid w:val="00222C89"/>
    <w:rsid w:val="00224682"/>
    <w:rsid w:val="00236961"/>
    <w:rsid w:val="00237194"/>
    <w:rsid w:val="002464A8"/>
    <w:rsid w:val="002518A4"/>
    <w:rsid w:val="002578A8"/>
    <w:rsid w:val="00264CBE"/>
    <w:rsid w:val="00281A10"/>
    <w:rsid w:val="002826D9"/>
    <w:rsid w:val="002908D6"/>
    <w:rsid w:val="00294D25"/>
    <w:rsid w:val="002967FE"/>
    <w:rsid w:val="002A024B"/>
    <w:rsid w:val="002B1625"/>
    <w:rsid w:val="002C67B6"/>
    <w:rsid w:val="002C683B"/>
    <w:rsid w:val="002D3993"/>
    <w:rsid w:val="002D677A"/>
    <w:rsid w:val="002E42CE"/>
    <w:rsid w:val="002F3A5F"/>
    <w:rsid w:val="002F44EC"/>
    <w:rsid w:val="002F721B"/>
    <w:rsid w:val="002F766B"/>
    <w:rsid w:val="003060E9"/>
    <w:rsid w:val="003073E3"/>
    <w:rsid w:val="0031273E"/>
    <w:rsid w:val="003214F6"/>
    <w:rsid w:val="00322EC8"/>
    <w:rsid w:val="00325EF4"/>
    <w:rsid w:val="003266E5"/>
    <w:rsid w:val="003335BB"/>
    <w:rsid w:val="00336B1C"/>
    <w:rsid w:val="00337A89"/>
    <w:rsid w:val="00350B7F"/>
    <w:rsid w:val="00361308"/>
    <w:rsid w:val="00371A70"/>
    <w:rsid w:val="00372EE2"/>
    <w:rsid w:val="00376CFD"/>
    <w:rsid w:val="003775F8"/>
    <w:rsid w:val="00386262"/>
    <w:rsid w:val="003904B9"/>
    <w:rsid w:val="00392D78"/>
    <w:rsid w:val="003A5BD7"/>
    <w:rsid w:val="003A67DF"/>
    <w:rsid w:val="003B080B"/>
    <w:rsid w:val="003B1F06"/>
    <w:rsid w:val="003B2269"/>
    <w:rsid w:val="003B5BCD"/>
    <w:rsid w:val="003C0134"/>
    <w:rsid w:val="003C052F"/>
    <w:rsid w:val="003C450B"/>
    <w:rsid w:val="003E7A70"/>
    <w:rsid w:val="003E7EA5"/>
    <w:rsid w:val="003F4702"/>
    <w:rsid w:val="003F7FC1"/>
    <w:rsid w:val="004001EF"/>
    <w:rsid w:val="00405B33"/>
    <w:rsid w:val="00411CE9"/>
    <w:rsid w:val="004251A3"/>
    <w:rsid w:val="0042628C"/>
    <w:rsid w:val="00441920"/>
    <w:rsid w:val="00462E4C"/>
    <w:rsid w:val="00467F8B"/>
    <w:rsid w:val="0047394A"/>
    <w:rsid w:val="00475918"/>
    <w:rsid w:val="00475B1B"/>
    <w:rsid w:val="00492817"/>
    <w:rsid w:val="0049402D"/>
    <w:rsid w:val="0049770C"/>
    <w:rsid w:val="004A030A"/>
    <w:rsid w:val="004A20D9"/>
    <w:rsid w:val="004A78D4"/>
    <w:rsid w:val="004C0568"/>
    <w:rsid w:val="004C49AB"/>
    <w:rsid w:val="004C64CB"/>
    <w:rsid w:val="004E1395"/>
    <w:rsid w:val="004E30C5"/>
    <w:rsid w:val="004E358B"/>
    <w:rsid w:val="004E442D"/>
    <w:rsid w:val="004E4F9B"/>
    <w:rsid w:val="004E6783"/>
    <w:rsid w:val="004F0749"/>
    <w:rsid w:val="004F35D9"/>
    <w:rsid w:val="004F6AE1"/>
    <w:rsid w:val="004F7D50"/>
    <w:rsid w:val="00501B50"/>
    <w:rsid w:val="00511FBA"/>
    <w:rsid w:val="00514DA2"/>
    <w:rsid w:val="00517DE0"/>
    <w:rsid w:val="00520B5F"/>
    <w:rsid w:val="00523ED0"/>
    <w:rsid w:val="0054483D"/>
    <w:rsid w:val="0054601A"/>
    <w:rsid w:val="00550C55"/>
    <w:rsid w:val="005633F7"/>
    <w:rsid w:val="00587079"/>
    <w:rsid w:val="005902DD"/>
    <w:rsid w:val="00590C33"/>
    <w:rsid w:val="00593CB8"/>
    <w:rsid w:val="00595DDA"/>
    <w:rsid w:val="005A02E4"/>
    <w:rsid w:val="005A3B19"/>
    <w:rsid w:val="005B76D6"/>
    <w:rsid w:val="005B7800"/>
    <w:rsid w:val="005C1F85"/>
    <w:rsid w:val="005C294E"/>
    <w:rsid w:val="005C3874"/>
    <w:rsid w:val="005D0ED1"/>
    <w:rsid w:val="005D1E47"/>
    <w:rsid w:val="005D58E2"/>
    <w:rsid w:val="005E45DF"/>
    <w:rsid w:val="005F6D0E"/>
    <w:rsid w:val="00604A39"/>
    <w:rsid w:val="00610821"/>
    <w:rsid w:val="00617E8D"/>
    <w:rsid w:val="006249F6"/>
    <w:rsid w:val="00626A52"/>
    <w:rsid w:val="0064611A"/>
    <w:rsid w:val="00647953"/>
    <w:rsid w:val="00654CE0"/>
    <w:rsid w:val="006679AA"/>
    <w:rsid w:val="006702FC"/>
    <w:rsid w:val="0067075F"/>
    <w:rsid w:val="00675DA9"/>
    <w:rsid w:val="00676438"/>
    <w:rsid w:val="00685A08"/>
    <w:rsid w:val="006A433B"/>
    <w:rsid w:val="006A7F68"/>
    <w:rsid w:val="006B76E4"/>
    <w:rsid w:val="006C0812"/>
    <w:rsid w:val="006C0B2A"/>
    <w:rsid w:val="006C158B"/>
    <w:rsid w:val="006D7D9E"/>
    <w:rsid w:val="006E6149"/>
    <w:rsid w:val="006E6BAB"/>
    <w:rsid w:val="00704C5A"/>
    <w:rsid w:val="007061F2"/>
    <w:rsid w:val="00724FAB"/>
    <w:rsid w:val="00730B08"/>
    <w:rsid w:val="007348B5"/>
    <w:rsid w:val="00736B6A"/>
    <w:rsid w:val="007404F1"/>
    <w:rsid w:val="00753D6F"/>
    <w:rsid w:val="007622B7"/>
    <w:rsid w:val="007740F1"/>
    <w:rsid w:val="0078342B"/>
    <w:rsid w:val="00783DEC"/>
    <w:rsid w:val="007876CC"/>
    <w:rsid w:val="00790C51"/>
    <w:rsid w:val="007915B5"/>
    <w:rsid w:val="00791F76"/>
    <w:rsid w:val="007A2F1D"/>
    <w:rsid w:val="007A6C50"/>
    <w:rsid w:val="007B01B3"/>
    <w:rsid w:val="007B26E7"/>
    <w:rsid w:val="007B5BF5"/>
    <w:rsid w:val="00826069"/>
    <w:rsid w:val="00826D10"/>
    <w:rsid w:val="00826E33"/>
    <w:rsid w:val="00826E3A"/>
    <w:rsid w:val="008309B7"/>
    <w:rsid w:val="00833FF8"/>
    <w:rsid w:val="0083638C"/>
    <w:rsid w:val="008568EE"/>
    <w:rsid w:val="0086373C"/>
    <w:rsid w:val="00866EFB"/>
    <w:rsid w:val="00873A8B"/>
    <w:rsid w:val="00876996"/>
    <w:rsid w:val="00883690"/>
    <w:rsid w:val="008855F2"/>
    <w:rsid w:val="008936E1"/>
    <w:rsid w:val="00894D1D"/>
    <w:rsid w:val="008977EC"/>
    <w:rsid w:val="008A0638"/>
    <w:rsid w:val="008C1C2E"/>
    <w:rsid w:val="008C755A"/>
    <w:rsid w:val="008D7DF4"/>
    <w:rsid w:val="008E1A40"/>
    <w:rsid w:val="008F2362"/>
    <w:rsid w:val="00902779"/>
    <w:rsid w:val="0090347A"/>
    <w:rsid w:val="00903E7C"/>
    <w:rsid w:val="009063F2"/>
    <w:rsid w:val="00910050"/>
    <w:rsid w:val="009119C0"/>
    <w:rsid w:val="00915275"/>
    <w:rsid w:val="00915B8F"/>
    <w:rsid w:val="009266F2"/>
    <w:rsid w:val="00930864"/>
    <w:rsid w:val="00930A5B"/>
    <w:rsid w:val="0093163E"/>
    <w:rsid w:val="00932E70"/>
    <w:rsid w:val="009373BB"/>
    <w:rsid w:val="00940AEE"/>
    <w:rsid w:val="009427A4"/>
    <w:rsid w:val="00950DDE"/>
    <w:rsid w:val="00955B09"/>
    <w:rsid w:val="00956824"/>
    <w:rsid w:val="00987752"/>
    <w:rsid w:val="00992B3A"/>
    <w:rsid w:val="009950CB"/>
    <w:rsid w:val="009A11B8"/>
    <w:rsid w:val="009C2963"/>
    <w:rsid w:val="009C5726"/>
    <w:rsid w:val="009C782B"/>
    <w:rsid w:val="009D18D7"/>
    <w:rsid w:val="009D1F33"/>
    <w:rsid w:val="009D219A"/>
    <w:rsid w:val="009D27FB"/>
    <w:rsid w:val="009D6214"/>
    <w:rsid w:val="009F313C"/>
    <w:rsid w:val="00A02007"/>
    <w:rsid w:val="00A0531E"/>
    <w:rsid w:val="00A05B9F"/>
    <w:rsid w:val="00A13102"/>
    <w:rsid w:val="00A228DF"/>
    <w:rsid w:val="00A30D92"/>
    <w:rsid w:val="00A32F1F"/>
    <w:rsid w:val="00A33F68"/>
    <w:rsid w:val="00A349F4"/>
    <w:rsid w:val="00A41C24"/>
    <w:rsid w:val="00A4580A"/>
    <w:rsid w:val="00A51912"/>
    <w:rsid w:val="00A62D8B"/>
    <w:rsid w:val="00A70B70"/>
    <w:rsid w:val="00A82410"/>
    <w:rsid w:val="00A82BD7"/>
    <w:rsid w:val="00A852F1"/>
    <w:rsid w:val="00A8773D"/>
    <w:rsid w:val="00A91EBC"/>
    <w:rsid w:val="00A93700"/>
    <w:rsid w:val="00A9434E"/>
    <w:rsid w:val="00AB0211"/>
    <w:rsid w:val="00AB29C1"/>
    <w:rsid w:val="00AC026D"/>
    <w:rsid w:val="00AC11BB"/>
    <w:rsid w:val="00AC63DB"/>
    <w:rsid w:val="00AD327E"/>
    <w:rsid w:val="00AD4D18"/>
    <w:rsid w:val="00AD50D0"/>
    <w:rsid w:val="00AD7E92"/>
    <w:rsid w:val="00AE025C"/>
    <w:rsid w:val="00B04D5A"/>
    <w:rsid w:val="00B07DDE"/>
    <w:rsid w:val="00B212F3"/>
    <w:rsid w:val="00B24AF8"/>
    <w:rsid w:val="00B26AF8"/>
    <w:rsid w:val="00B272DD"/>
    <w:rsid w:val="00B31B8B"/>
    <w:rsid w:val="00B33FB7"/>
    <w:rsid w:val="00B53F5C"/>
    <w:rsid w:val="00B665FE"/>
    <w:rsid w:val="00B70045"/>
    <w:rsid w:val="00B83FD6"/>
    <w:rsid w:val="00B8464F"/>
    <w:rsid w:val="00B86717"/>
    <w:rsid w:val="00B86E57"/>
    <w:rsid w:val="00B9373C"/>
    <w:rsid w:val="00B95B5D"/>
    <w:rsid w:val="00B97AF1"/>
    <w:rsid w:val="00BA2C01"/>
    <w:rsid w:val="00BA2E91"/>
    <w:rsid w:val="00BB2C62"/>
    <w:rsid w:val="00BB431B"/>
    <w:rsid w:val="00BB449D"/>
    <w:rsid w:val="00BB4B61"/>
    <w:rsid w:val="00BB5E9D"/>
    <w:rsid w:val="00BC61A5"/>
    <w:rsid w:val="00BD6638"/>
    <w:rsid w:val="00BE49DD"/>
    <w:rsid w:val="00BE4D7D"/>
    <w:rsid w:val="00BE533D"/>
    <w:rsid w:val="00BE5655"/>
    <w:rsid w:val="00BF3796"/>
    <w:rsid w:val="00C01A27"/>
    <w:rsid w:val="00C03F68"/>
    <w:rsid w:val="00C07474"/>
    <w:rsid w:val="00C162CF"/>
    <w:rsid w:val="00C23849"/>
    <w:rsid w:val="00C24C20"/>
    <w:rsid w:val="00C25EAD"/>
    <w:rsid w:val="00C47FD8"/>
    <w:rsid w:val="00C63FFE"/>
    <w:rsid w:val="00C65616"/>
    <w:rsid w:val="00C65D7F"/>
    <w:rsid w:val="00C72C7A"/>
    <w:rsid w:val="00C74B3C"/>
    <w:rsid w:val="00C77434"/>
    <w:rsid w:val="00C80575"/>
    <w:rsid w:val="00C813D9"/>
    <w:rsid w:val="00C97001"/>
    <w:rsid w:val="00C97E7A"/>
    <w:rsid w:val="00CB36F2"/>
    <w:rsid w:val="00CC0FA1"/>
    <w:rsid w:val="00CC209E"/>
    <w:rsid w:val="00CC2468"/>
    <w:rsid w:val="00CC57A7"/>
    <w:rsid w:val="00CF4EA8"/>
    <w:rsid w:val="00CF65C3"/>
    <w:rsid w:val="00D10B9C"/>
    <w:rsid w:val="00D1183F"/>
    <w:rsid w:val="00D12256"/>
    <w:rsid w:val="00D15D92"/>
    <w:rsid w:val="00D241E8"/>
    <w:rsid w:val="00D27DD9"/>
    <w:rsid w:val="00D3238A"/>
    <w:rsid w:val="00D415C9"/>
    <w:rsid w:val="00D45D72"/>
    <w:rsid w:val="00D4703E"/>
    <w:rsid w:val="00D53471"/>
    <w:rsid w:val="00D57721"/>
    <w:rsid w:val="00D62C00"/>
    <w:rsid w:val="00D649A7"/>
    <w:rsid w:val="00D65998"/>
    <w:rsid w:val="00D72699"/>
    <w:rsid w:val="00D81415"/>
    <w:rsid w:val="00D94DCD"/>
    <w:rsid w:val="00D9660C"/>
    <w:rsid w:val="00D9790B"/>
    <w:rsid w:val="00DA3226"/>
    <w:rsid w:val="00DA765D"/>
    <w:rsid w:val="00DB4B05"/>
    <w:rsid w:val="00DB59D3"/>
    <w:rsid w:val="00DC7716"/>
    <w:rsid w:val="00DD1260"/>
    <w:rsid w:val="00DD4EA2"/>
    <w:rsid w:val="00DE21E4"/>
    <w:rsid w:val="00DE380E"/>
    <w:rsid w:val="00DE5EFD"/>
    <w:rsid w:val="00DF2326"/>
    <w:rsid w:val="00DF2A33"/>
    <w:rsid w:val="00E001D4"/>
    <w:rsid w:val="00E01C5A"/>
    <w:rsid w:val="00E02AB4"/>
    <w:rsid w:val="00E03800"/>
    <w:rsid w:val="00E05647"/>
    <w:rsid w:val="00E12847"/>
    <w:rsid w:val="00E12E0E"/>
    <w:rsid w:val="00E136A9"/>
    <w:rsid w:val="00E17F76"/>
    <w:rsid w:val="00E206CD"/>
    <w:rsid w:val="00E26BC1"/>
    <w:rsid w:val="00E3751F"/>
    <w:rsid w:val="00E43231"/>
    <w:rsid w:val="00E505AA"/>
    <w:rsid w:val="00E545DA"/>
    <w:rsid w:val="00E559BD"/>
    <w:rsid w:val="00E62EC8"/>
    <w:rsid w:val="00E655E0"/>
    <w:rsid w:val="00E6591E"/>
    <w:rsid w:val="00E67669"/>
    <w:rsid w:val="00E71DD6"/>
    <w:rsid w:val="00E7282D"/>
    <w:rsid w:val="00E8599A"/>
    <w:rsid w:val="00E9028E"/>
    <w:rsid w:val="00E90507"/>
    <w:rsid w:val="00E90D97"/>
    <w:rsid w:val="00E91021"/>
    <w:rsid w:val="00EA06BC"/>
    <w:rsid w:val="00EA35A2"/>
    <w:rsid w:val="00EA3884"/>
    <w:rsid w:val="00EA38B0"/>
    <w:rsid w:val="00EA3A59"/>
    <w:rsid w:val="00EA4C98"/>
    <w:rsid w:val="00EB23EA"/>
    <w:rsid w:val="00EB5951"/>
    <w:rsid w:val="00EC4A9D"/>
    <w:rsid w:val="00ED2CBB"/>
    <w:rsid w:val="00ED37A1"/>
    <w:rsid w:val="00ED5B57"/>
    <w:rsid w:val="00ED5E4F"/>
    <w:rsid w:val="00ED6276"/>
    <w:rsid w:val="00EE3C5B"/>
    <w:rsid w:val="00EE4F1B"/>
    <w:rsid w:val="00EF308A"/>
    <w:rsid w:val="00F03007"/>
    <w:rsid w:val="00F0302D"/>
    <w:rsid w:val="00F224CB"/>
    <w:rsid w:val="00F255BB"/>
    <w:rsid w:val="00F338C9"/>
    <w:rsid w:val="00F40888"/>
    <w:rsid w:val="00F61835"/>
    <w:rsid w:val="00F6467D"/>
    <w:rsid w:val="00F6771B"/>
    <w:rsid w:val="00F74536"/>
    <w:rsid w:val="00F87B16"/>
    <w:rsid w:val="00F92CA3"/>
    <w:rsid w:val="00F93BA4"/>
    <w:rsid w:val="00F9443B"/>
    <w:rsid w:val="00FA5CEA"/>
    <w:rsid w:val="00FB0F6D"/>
    <w:rsid w:val="00FB3D90"/>
    <w:rsid w:val="00FC27A4"/>
    <w:rsid w:val="00FC3C20"/>
    <w:rsid w:val="00FD5494"/>
    <w:rsid w:val="00FD5D7E"/>
    <w:rsid w:val="00FE1729"/>
    <w:rsid w:val="00FE51E4"/>
    <w:rsid w:val="00FF4FC1"/>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66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2DD"/>
    <w:rPr>
      <w:rFonts w:ascii="Book Antiqua" w:hAnsi="Book Antiqua"/>
      <w:sz w:val="24"/>
    </w:rPr>
  </w:style>
  <w:style w:type="paragraph" w:styleId="Heading1">
    <w:name w:val="heading 1"/>
    <w:basedOn w:val="Normal"/>
    <w:next w:val="Normal"/>
    <w:link w:val="Heading1Char"/>
    <w:qFormat/>
    <w:rsid w:val="00EE4F1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62C00"/>
    <w:pPr>
      <w:spacing w:after="120"/>
    </w:pPr>
    <w:rPr>
      <w:sz w:val="22"/>
    </w:rPr>
  </w:style>
  <w:style w:type="character" w:styleId="FootnoteReference">
    <w:name w:val="footnote reference"/>
    <w:aliases w:val="o,fr,o1,o2,o3,o4,o5,o6,o11,o21,o7,Style 3,o + Times New Roman,Style 58"/>
    <w:uiPriority w:val="99"/>
    <w:semiHidden/>
    <w:rsid w:val="004F6AE1"/>
    <w:rPr>
      <w:rFonts w:ascii="Book Antiqua" w:hAnsi="Book Antiqua"/>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character" w:customStyle="1" w:styleId="standardChar">
    <w:name w:val="standard Char"/>
    <w:link w:val="standard"/>
    <w:rPr>
      <w:rFonts w:ascii="Palatino" w:hAnsi="Palatino"/>
      <w:sz w:val="24"/>
      <w:lang w:val="en-US" w:eastAsia="en-US" w:bidi="ar-SA"/>
    </w:rPr>
  </w:style>
  <w:style w:type="paragraph" w:styleId="BalloonText">
    <w:name w:val="Balloon Text"/>
    <w:basedOn w:val="Normal"/>
    <w:link w:val="BalloonTextChar"/>
    <w:rsid w:val="00BE4D7D"/>
    <w:rPr>
      <w:rFonts w:ascii="Tahoma" w:hAnsi="Tahoma" w:cs="Tahoma"/>
      <w:sz w:val="16"/>
      <w:szCs w:val="16"/>
    </w:rPr>
  </w:style>
  <w:style w:type="character" w:customStyle="1" w:styleId="BalloonTextChar">
    <w:name w:val="Balloon Text Char"/>
    <w:link w:val="BalloonText"/>
    <w:rsid w:val="00BE4D7D"/>
    <w:rPr>
      <w:rFonts w:ascii="Tahoma" w:hAnsi="Tahoma" w:cs="Tahoma"/>
      <w:sz w:val="16"/>
      <w:szCs w:val="16"/>
    </w:rPr>
  </w:style>
  <w:style w:type="character" w:customStyle="1" w:styleId="Heading1Char">
    <w:name w:val="Heading 1 Char"/>
    <w:link w:val="Heading1"/>
    <w:rsid w:val="00EE4F1B"/>
    <w:rPr>
      <w:rFonts w:ascii="Cambria" w:eastAsia="Times New Roman" w:hAnsi="Cambria" w:cs="Times New Roman"/>
      <w:b/>
      <w:bCs/>
      <w:kern w:val="32"/>
      <w:sz w:val="32"/>
      <w:szCs w:val="32"/>
    </w:rPr>
  </w:style>
  <w:style w:type="paragraph" w:styleId="ListParagraph">
    <w:name w:val="List Paragraph"/>
    <w:basedOn w:val="Normal"/>
    <w:uiPriority w:val="34"/>
    <w:qFormat/>
    <w:rsid w:val="00EA06BC"/>
    <w:pPr>
      <w:ind w:left="720"/>
    </w:pPr>
  </w:style>
  <w:style w:type="paragraph" w:styleId="Quote">
    <w:name w:val="Quote"/>
    <w:basedOn w:val="Normal"/>
    <w:next w:val="Normal"/>
    <w:link w:val="QuoteChar"/>
    <w:uiPriority w:val="73"/>
    <w:qFormat/>
    <w:rsid w:val="008977EC"/>
    <w:rPr>
      <w:i/>
      <w:iCs/>
      <w:color w:val="000000"/>
    </w:rPr>
  </w:style>
  <w:style w:type="character" w:customStyle="1" w:styleId="QuoteChar">
    <w:name w:val="Quote Char"/>
    <w:link w:val="Quote"/>
    <w:uiPriority w:val="73"/>
    <w:rsid w:val="008977EC"/>
    <w:rPr>
      <w:rFonts w:ascii="Palatino" w:hAnsi="Palatino"/>
      <w:i/>
      <w:iCs/>
      <w:color w:val="000000"/>
      <w:sz w:val="24"/>
    </w:rPr>
  </w:style>
  <w:style w:type="character" w:customStyle="1" w:styleId="HeaderChar">
    <w:name w:val="Header Char"/>
    <w:link w:val="Header"/>
    <w:rsid w:val="00B70045"/>
    <w:rPr>
      <w:rFonts w:ascii="Palatino" w:hAnsi="Palatino"/>
      <w:sz w:val="24"/>
    </w:rPr>
  </w:style>
  <w:style w:type="character" w:customStyle="1" w:styleId="FootnoteTextChar">
    <w:name w:val="Footnote Text Char"/>
    <w:link w:val="FootnoteText"/>
    <w:uiPriority w:val="99"/>
    <w:semiHidden/>
    <w:rsid w:val="00D62C00"/>
    <w:rPr>
      <w:rFonts w:ascii="Book Antiqua" w:hAnsi="Book Antiqua"/>
      <w:sz w:val="22"/>
    </w:rPr>
  </w:style>
  <w:style w:type="character" w:styleId="CommentReference">
    <w:name w:val="annotation reference"/>
    <w:uiPriority w:val="99"/>
    <w:unhideWhenUsed/>
    <w:rsid w:val="00FD5494"/>
    <w:rPr>
      <w:sz w:val="16"/>
      <w:szCs w:val="16"/>
    </w:rPr>
  </w:style>
  <w:style w:type="paragraph" w:styleId="CommentText">
    <w:name w:val="annotation text"/>
    <w:basedOn w:val="Normal"/>
    <w:link w:val="CommentTextChar"/>
    <w:uiPriority w:val="99"/>
    <w:unhideWhenUsed/>
    <w:rsid w:val="00FD5494"/>
    <w:rPr>
      <w:rFonts w:ascii="Times New Roman" w:eastAsia="Calibri" w:hAnsi="Times New Roman"/>
      <w:kern w:val="2"/>
      <w:sz w:val="20"/>
    </w:rPr>
  </w:style>
  <w:style w:type="character" w:customStyle="1" w:styleId="CommentTextChar">
    <w:name w:val="Comment Text Char"/>
    <w:link w:val="CommentText"/>
    <w:uiPriority w:val="99"/>
    <w:rsid w:val="00FD5494"/>
    <w:rPr>
      <w:rFonts w:eastAsia="Calibri"/>
      <w:kern w:val="2"/>
    </w:rPr>
  </w:style>
  <w:style w:type="character" w:styleId="Hyperlink">
    <w:name w:val="Hyperlink"/>
    <w:uiPriority w:val="99"/>
    <w:unhideWhenUsed/>
    <w:rsid w:val="00E71DD6"/>
    <w:rPr>
      <w:rFonts w:ascii="Book Antiqua" w:hAnsi="Book Antiqua"/>
      <w:color w:val="0563C1"/>
      <w:u w:val="single"/>
    </w:rPr>
  </w:style>
  <w:style w:type="character" w:styleId="UnresolvedMention">
    <w:name w:val="Unresolved Mention"/>
    <w:uiPriority w:val="99"/>
    <w:semiHidden/>
    <w:unhideWhenUsed/>
    <w:rsid w:val="006249F6"/>
    <w:rPr>
      <w:color w:val="605E5C"/>
      <w:shd w:val="clear" w:color="auto" w:fill="E1DFDD"/>
    </w:rPr>
  </w:style>
  <w:style w:type="character" w:customStyle="1" w:styleId="dttext">
    <w:name w:val="dttext"/>
    <w:basedOn w:val="DefaultParagraphFont"/>
    <w:rsid w:val="005B76D6"/>
  </w:style>
  <w:style w:type="character" w:customStyle="1" w:styleId="sd">
    <w:name w:val="sd"/>
    <w:basedOn w:val="DefaultParagraphFont"/>
    <w:rsid w:val="005B76D6"/>
  </w:style>
  <w:style w:type="character" w:styleId="Strong">
    <w:name w:val="Strong"/>
    <w:uiPriority w:val="22"/>
    <w:qFormat/>
    <w:rsid w:val="005B76D6"/>
    <w:rPr>
      <w:b/>
      <w:bCs/>
    </w:rPr>
  </w:style>
  <w:style w:type="paragraph" w:styleId="Revision">
    <w:name w:val="Revision"/>
    <w:hidden/>
    <w:uiPriority w:val="71"/>
    <w:rsid w:val="00F92CA3"/>
    <w:rPr>
      <w:rFonts w:ascii="Palatino" w:hAnsi="Palatino"/>
      <w:sz w:val="24"/>
    </w:rPr>
  </w:style>
  <w:style w:type="paragraph" w:customStyle="1" w:styleId="ResFoF">
    <w:name w:val="ResFoF"/>
    <w:basedOn w:val="ListParagraph"/>
    <w:qFormat/>
    <w:rsid w:val="00E136A9"/>
    <w:pPr>
      <w:spacing w:after="240"/>
      <w:ind w:left="0"/>
    </w:pPr>
    <w:rPr>
      <w:szCs w:val="24"/>
    </w:rPr>
  </w:style>
  <w:style w:type="paragraph" w:customStyle="1" w:styleId="ResCoL">
    <w:name w:val="ResCoL"/>
    <w:basedOn w:val="ListParagraph"/>
    <w:qFormat/>
    <w:rsid w:val="00E136A9"/>
    <w:pPr>
      <w:spacing w:after="240"/>
      <w:ind w:left="0"/>
    </w:pPr>
    <w:rPr>
      <w:szCs w:val="24"/>
    </w:rPr>
  </w:style>
  <w:style w:type="paragraph" w:customStyle="1" w:styleId="ResOP">
    <w:name w:val="ResOP"/>
    <w:basedOn w:val="Normal"/>
    <w:qFormat/>
    <w:rsid w:val="00E136A9"/>
    <w:pPr>
      <w:spacing w:after="240"/>
    </w:pPr>
    <w:rPr>
      <w:szCs w:val="24"/>
    </w:rPr>
  </w:style>
  <w:style w:type="paragraph" w:customStyle="1" w:styleId="Box">
    <w:name w:val="Box"/>
    <w:basedOn w:val="Normal"/>
    <w:qFormat/>
    <w:rsid w:val="007404F1"/>
    <w:pPr>
      <w:numPr>
        <w:numId w:val="14"/>
      </w:numPr>
      <w:spacing w:after="240"/>
      <w:ind w:left="288" w:hanging="288"/>
      <w:contextualSpacing/>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EA3A59"/>
    <w:rPr>
      <w:rFonts w:ascii="Book Antiqua" w:hAnsi="Book Antiqua"/>
      <w:sz w:val="24"/>
    </w:rPr>
  </w:style>
  <w:style w:type="character" w:styleId="FollowedHyperlink">
    <w:name w:val="FollowedHyperlink"/>
    <w:basedOn w:val="DefaultParagraphFont"/>
    <w:rsid w:val="00361308"/>
    <w:rPr>
      <w:color w:val="954F72" w:themeColor="followedHyperlink"/>
      <w:u w:val="single"/>
    </w:rPr>
  </w:style>
  <w:style w:type="paragraph" w:customStyle="1" w:styleId="main">
    <w:name w:val="main"/>
    <w:basedOn w:val="Normal"/>
    <w:rsid w:val="00A82410"/>
    <w:pPr>
      <w:jc w:val="center"/>
    </w:pPr>
    <w:rPr>
      <w:rFonts w:ascii="Arial" w:hAnsi="Arial"/>
      <w:b/>
      <w:sz w:val="26"/>
    </w:rPr>
  </w:style>
  <w:style w:type="paragraph" w:customStyle="1" w:styleId="titlebar">
    <w:name w:val="title bar"/>
    <w:basedOn w:val="main"/>
    <w:rsid w:val="00A82410"/>
    <w:pPr>
      <w:keepNext/>
      <w:suppressAutoHyphens/>
    </w:pPr>
  </w:style>
  <w:style w:type="paragraph" w:customStyle="1" w:styleId="Standard0">
    <w:name w:val="Standard"/>
    <w:basedOn w:val="Normal"/>
    <w:qFormat/>
    <w:rsid w:val="00A82410"/>
    <w:pPr>
      <w:spacing w:line="360" w:lineRule="auto"/>
      <w:ind w:firstLine="720"/>
    </w:pPr>
    <w:rPr>
      <w:rFonts w:eastAsiaTheme="minorHAnsi" w:cstheme="minorBidi"/>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0267">
      <w:bodyDiv w:val="1"/>
      <w:marLeft w:val="0"/>
      <w:marRight w:val="0"/>
      <w:marTop w:val="0"/>
      <w:marBottom w:val="0"/>
      <w:divBdr>
        <w:top w:val="none" w:sz="0" w:space="0" w:color="auto"/>
        <w:left w:val="none" w:sz="0" w:space="0" w:color="auto"/>
        <w:bottom w:val="none" w:sz="0" w:space="0" w:color="auto"/>
        <w:right w:val="none" w:sz="0" w:space="0" w:color="auto"/>
      </w:divBdr>
      <w:divsChild>
        <w:div w:id="2081050604">
          <w:marLeft w:val="0"/>
          <w:marRight w:val="0"/>
          <w:marTop w:val="0"/>
          <w:marBottom w:val="0"/>
          <w:divBdr>
            <w:top w:val="none" w:sz="0" w:space="0" w:color="auto"/>
            <w:left w:val="none" w:sz="0" w:space="0" w:color="auto"/>
            <w:bottom w:val="none" w:sz="0" w:space="0" w:color="auto"/>
            <w:right w:val="none" w:sz="0" w:space="0" w:color="auto"/>
          </w:divBdr>
          <w:divsChild>
            <w:div w:id="1601255047">
              <w:marLeft w:val="0"/>
              <w:marRight w:val="0"/>
              <w:marTop w:val="0"/>
              <w:marBottom w:val="0"/>
              <w:divBdr>
                <w:top w:val="none" w:sz="0" w:space="0" w:color="auto"/>
                <w:left w:val="none" w:sz="0" w:space="0" w:color="auto"/>
                <w:bottom w:val="none" w:sz="0" w:space="0" w:color="auto"/>
                <w:right w:val="none" w:sz="0" w:space="0" w:color="auto"/>
              </w:divBdr>
              <w:divsChild>
                <w:div w:id="350183550">
                  <w:marLeft w:val="0"/>
                  <w:marRight w:val="0"/>
                  <w:marTop w:val="0"/>
                  <w:marBottom w:val="0"/>
                  <w:divBdr>
                    <w:top w:val="none" w:sz="0" w:space="0" w:color="auto"/>
                    <w:left w:val="none" w:sz="0" w:space="0" w:color="auto"/>
                    <w:bottom w:val="none" w:sz="0" w:space="0" w:color="auto"/>
                    <w:right w:val="none" w:sz="0" w:space="0" w:color="auto"/>
                  </w:divBdr>
                  <w:divsChild>
                    <w:div w:id="627710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01771">
      <w:bodyDiv w:val="1"/>
      <w:marLeft w:val="0"/>
      <w:marRight w:val="0"/>
      <w:marTop w:val="0"/>
      <w:marBottom w:val="0"/>
      <w:divBdr>
        <w:top w:val="none" w:sz="0" w:space="0" w:color="auto"/>
        <w:left w:val="none" w:sz="0" w:space="0" w:color="auto"/>
        <w:bottom w:val="none" w:sz="0" w:space="0" w:color="auto"/>
        <w:right w:val="none" w:sz="0" w:space="0" w:color="auto"/>
      </w:divBdr>
      <w:divsChild>
        <w:div w:id="484862087">
          <w:marLeft w:val="0"/>
          <w:marRight w:val="0"/>
          <w:marTop w:val="0"/>
          <w:marBottom w:val="0"/>
          <w:divBdr>
            <w:top w:val="none" w:sz="0" w:space="0" w:color="auto"/>
            <w:left w:val="none" w:sz="0" w:space="0" w:color="auto"/>
            <w:bottom w:val="none" w:sz="0" w:space="0" w:color="auto"/>
            <w:right w:val="none" w:sz="0" w:space="0" w:color="auto"/>
          </w:divBdr>
        </w:div>
      </w:divsChild>
    </w:div>
    <w:div w:id="790436623">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037392653">
      <w:bodyDiv w:val="1"/>
      <w:marLeft w:val="0"/>
      <w:marRight w:val="0"/>
      <w:marTop w:val="0"/>
      <w:marBottom w:val="0"/>
      <w:divBdr>
        <w:top w:val="none" w:sz="0" w:space="0" w:color="auto"/>
        <w:left w:val="none" w:sz="0" w:space="0" w:color="auto"/>
        <w:bottom w:val="none" w:sz="0" w:space="0" w:color="auto"/>
        <w:right w:val="none" w:sz="0" w:space="0" w:color="auto"/>
      </w:divBdr>
    </w:div>
    <w:div w:id="1918595130">
      <w:bodyDiv w:val="1"/>
      <w:marLeft w:val="0"/>
      <w:marRight w:val="0"/>
      <w:marTop w:val="0"/>
      <w:marBottom w:val="0"/>
      <w:divBdr>
        <w:top w:val="none" w:sz="0" w:space="0" w:color="auto"/>
        <w:left w:val="none" w:sz="0" w:space="0" w:color="auto"/>
        <w:bottom w:val="none" w:sz="0" w:space="0" w:color="auto"/>
        <w:right w:val="none" w:sz="0" w:space="0" w:color="auto"/>
      </w:divBdr>
    </w:div>
    <w:div w:id="1996837532">
      <w:bodyDiv w:val="1"/>
      <w:marLeft w:val="0"/>
      <w:marRight w:val="0"/>
      <w:marTop w:val="0"/>
      <w:marBottom w:val="0"/>
      <w:divBdr>
        <w:top w:val="none" w:sz="0" w:space="0" w:color="auto"/>
        <w:left w:val="none" w:sz="0" w:space="0" w:color="auto"/>
        <w:bottom w:val="none" w:sz="0" w:space="0" w:color="auto"/>
        <w:right w:val="none" w:sz="0" w:space="0" w:color="auto"/>
      </w:divBdr>
    </w:div>
    <w:div w:id="2130079361">
      <w:bodyDiv w:val="1"/>
      <w:marLeft w:val="0"/>
      <w:marRight w:val="0"/>
      <w:marTop w:val="0"/>
      <w:marBottom w:val="0"/>
      <w:divBdr>
        <w:top w:val="none" w:sz="0" w:space="0" w:color="auto"/>
        <w:left w:val="none" w:sz="0" w:space="0" w:color="auto"/>
        <w:bottom w:val="none" w:sz="0" w:space="0" w:color="auto"/>
        <w:right w:val="none" w:sz="0" w:space="0" w:color="auto"/>
      </w:divBdr>
      <w:divsChild>
        <w:div w:id="1414664660">
          <w:marLeft w:val="0"/>
          <w:marRight w:val="0"/>
          <w:marTop w:val="0"/>
          <w:marBottom w:val="0"/>
          <w:divBdr>
            <w:top w:val="none" w:sz="0" w:space="0" w:color="auto"/>
            <w:left w:val="none" w:sz="0" w:space="0" w:color="auto"/>
            <w:bottom w:val="none" w:sz="0" w:space="0" w:color="auto"/>
            <w:right w:val="none" w:sz="0" w:space="0" w:color="auto"/>
          </w:divBdr>
          <w:divsChild>
            <w:div w:id="1894196746">
              <w:marLeft w:val="0"/>
              <w:marRight w:val="0"/>
              <w:marTop w:val="0"/>
              <w:marBottom w:val="0"/>
              <w:divBdr>
                <w:top w:val="none" w:sz="0" w:space="0" w:color="auto"/>
                <w:left w:val="none" w:sz="0" w:space="0" w:color="auto"/>
                <w:bottom w:val="none" w:sz="0" w:space="0" w:color="auto"/>
                <w:right w:val="none" w:sz="0" w:space="0" w:color="auto"/>
              </w:divBdr>
              <w:divsChild>
                <w:div w:id="857349835">
                  <w:marLeft w:val="0"/>
                  <w:marRight w:val="0"/>
                  <w:marTop w:val="0"/>
                  <w:marBottom w:val="0"/>
                  <w:divBdr>
                    <w:top w:val="none" w:sz="0" w:space="0" w:color="auto"/>
                    <w:left w:val="none" w:sz="0" w:space="0" w:color="auto"/>
                    <w:bottom w:val="none" w:sz="0" w:space="0" w:color="auto"/>
                    <w:right w:val="none" w:sz="0" w:space="0" w:color="auto"/>
                  </w:divBdr>
                  <w:divsChild>
                    <w:div w:id="6142863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arningportuguese.co.uk/countries/the-azores" TargetMode="External"/><Relationship Id="rId3" Type="http://schemas.openxmlformats.org/officeDocument/2006/relationships/hyperlink" Target="https://data.census.gov/table?g=040XX00US06&amp;tid=ACSDP1Y2021.DP02" TargetMode="External"/><Relationship Id="rId7" Type="http://schemas.openxmlformats.org/officeDocument/2006/relationships/hyperlink" Target="https://www.britannica.com/biography/John-I-king-of-Portugal" TargetMode="External"/><Relationship Id="rId2" Type="http://schemas.openxmlformats.org/officeDocument/2006/relationships/hyperlink" Target="https://abc30.com/azorean-immigration-highway-99-portuguese-american-central-valley/10433742/" TargetMode="External"/><Relationship Id="rId1" Type="http://schemas.openxmlformats.org/officeDocument/2006/relationships/hyperlink" Target="https://data.census.gov/table?g=040XX00US06&amp;tid=ACSDP1Y2021.DP02" TargetMode="External"/><Relationship Id="rId6" Type="http://schemas.openxmlformats.org/officeDocument/2006/relationships/hyperlink" Target="https://www.merriam-webster.com/dictionary/culture" TargetMode="External"/><Relationship Id="rId5" Type="http://schemas.openxmlformats.org/officeDocument/2006/relationships/hyperlink" Target="https://www.merriam-webster.com/dictionary/Spanish" TargetMode="External"/><Relationship Id="rId4" Type="http://schemas.openxmlformats.org/officeDocument/2006/relationships/hyperlink" Target="https://oll.libertyfund.org/title/schleifer-democracy-in-america-historical-critical-edition-vol-2" TargetMode="External"/><Relationship Id="rId9" Type="http://schemas.openxmlformats.org/officeDocument/2006/relationships/hyperlink" Target="https://www.gov.ca.gov/2019/01/18/inclu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B2AAE9-C439-4243-9A05-E12089F28BA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18</ap:Pages>
  <ap:Words>4437</ap:Words>
  <ap:Characters>26133</ap:Characters>
  <ap:Application>Microsoft Office Word</ap:Application>
  <ap:DocSecurity>0</ap:DocSecurity>
  <ap:Lines>217</ap:Lines>
  <ap:Paragraphs>61</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30509</ap:CharactersWithSpaces>
  <ap:SharedDoc>false</ap:SharedDoc>
  <ap:HLinks>
    <vt:vector baseType="variant" size="54">
      <vt:variant>
        <vt:i4>2359419</vt:i4>
      </vt:variant>
      <vt:variant>
        <vt:i4>24</vt:i4>
      </vt:variant>
      <vt:variant>
        <vt:i4>0</vt:i4>
      </vt:variant>
      <vt:variant>
        <vt:i4>5</vt:i4>
      </vt:variant>
      <vt:variant>
        <vt:lpwstr>https://www.gov.ca.gov/2019/01/18/inclusv/</vt:lpwstr>
      </vt:variant>
      <vt:variant>
        <vt:lpwstr/>
      </vt:variant>
      <vt:variant>
        <vt:i4>589907</vt:i4>
      </vt:variant>
      <vt:variant>
        <vt:i4>21</vt:i4>
      </vt:variant>
      <vt:variant>
        <vt:i4>0</vt:i4>
      </vt:variant>
      <vt:variant>
        <vt:i4>5</vt:i4>
      </vt:variant>
      <vt:variant>
        <vt:lpwstr>https://www.learningportuguese.co.uk/countries/the-azores</vt:lpwstr>
      </vt:variant>
      <vt:variant>
        <vt:lpwstr/>
      </vt:variant>
      <vt:variant>
        <vt:i4>917585</vt:i4>
      </vt:variant>
      <vt:variant>
        <vt:i4>18</vt:i4>
      </vt:variant>
      <vt:variant>
        <vt:i4>0</vt:i4>
      </vt:variant>
      <vt:variant>
        <vt:i4>5</vt:i4>
      </vt:variant>
      <vt:variant>
        <vt:lpwstr>https://www.britannica.com/biography/John-I-king-of-Portugal</vt:lpwstr>
      </vt:variant>
      <vt:variant>
        <vt:lpwstr/>
      </vt:variant>
      <vt:variant>
        <vt:i4>8061032</vt:i4>
      </vt:variant>
      <vt:variant>
        <vt:i4>15</vt:i4>
      </vt:variant>
      <vt:variant>
        <vt:i4>0</vt:i4>
      </vt:variant>
      <vt:variant>
        <vt:i4>5</vt:i4>
      </vt:variant>
      <vt:variant>
        <vt:lpwstr>https://www.merriam-webster.com/dictionary/culture</vt:lpwstr>
      </vt:variant>
      <vt:variant>
        <vt:lpwstr/>
      </vt:variant>
      <vt:variant>
        <vt:i4>7798902</vt:i4>
      </vt:variant>
      <vt:variant>
        <vt:i4>12</vt:i4>
      </vt:variant>
      <vt:variant>
        <vt:i4>0</vt:i4>
      </vt:variant>
      <vt:variant>
        <vt:i4>5</vt:i4>
      </vt:variant>
      <vt:variant>
        <vt:lpwstr>https://www.merriam-webster.com/dictionary/Spanish</vt:lpwstr>
      </vt:variant>
      <vt:variant>
        <vt:lpwstr/>
      </vt:variant>
      <vt:variant>
        <vt:i4>8061032</vt:i4>
      </vt:variant>
      <vt:variant>
        <vt:i4>9</vt:i4>
      </vt:variant>
      <vt:variant>
        <vt:i4>0</vt:i4>
      </vt:variant>
      <vt:variant>
        <vt:i4>5</vt:i4>
      </vt:variant>
      <vt:variant>
        <vt:lpwstr>https://oll.libertyfund.org/title/schleifer-democracy-in-america-historical-critical-edition-vol-2</vt:lpwstr>
      </vt:variant>
      <vt:variant>
        <vt:lpwstr/>
      </vt:variant>
      <vt:variant>
        <vt:i4>1638477</vt:i4>
      </vt:variant>
      <vt:variant>
        <vt:i4>6</vt:i4>
      </vt:variant>
      <vt:variant>
        <vt:i4>0</vt:i4>
      </vt:variant>
      <vt:variant>
        <vt:i4>5</vt:i4>
      </vt:variant>
      <vt:variant>
        <vt:lpwstr>https://data.census.gov/table?g=040XX00US06&amp;tid=ACSDP1Y2021.DP02</vt:lpwstr>
      </vt:variant>
      <vt:variant>
        <vt:lpwstr/>
      </vt:variant>
      <vt:variant>
        <vt:i4>5570591</vt:i4>
      </vt:variant>
      <vt:variant>
        <vt:i4>3</vt:i4>
      </vt:variant>
      <vt:variant>
        <vt:i4>0</vt:i4>
      </vt:variant>
      <vt:variant>
        <vt:i4>5</vt:i4>
      </vt:variant>
      <vt:variant>
        <vt:lpwstr>https://abc30.com/azorean-immigration-highway-99-portuguese-american-central-valley/10433742/</vt:lpwstr>
      </vt:variant>
      <vt:variant>
        <vt:lpwstr/>
      </vt:variant>
      <vt:variant>
        <vt:i4>1638477</vt:i4>
      </vt:variant>
      <vt:variant>
        <vt:i4>0</vt:i4>
      </vt:variant>
      <vt:variant>
        <vt:i4>0</vt:i4>
      </vt:variant>
      <vt:variant>
        <vt:i4>5</vt:i4>
      </vt:variant>
      <vt:variant>
        <vt:lpwstr>https://data.census.gov/table?g=040XX00US06&amp;tid=ACSDP1Y2021.DP02</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2008-07-18T20:41:00Z</cp:lastPrinted>
  <dcterms:created xsi:type="dcterms:W3CDTF">2023-09-27T10:39:32Z</dcterms:created>
  <dcterms:modified xsi:type="dcterms:W3CDTF">2023-09-27T10:39:32Z</dcterms:modified>
</cp:coreProperties>
</file>