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421" w:rsidP="007E0FEE" w:rsidRDefault="001D7A45" w14:paraId="3AACD3EC" w14:textId="5EF68BB2">
      <w:pPr>
        <w:tabs>
          <w:tab w:val="center" w:pos="4680"/>
          <w:tab w:val="right" w:pos="9360"/>
        </w:tabs>
        <w:spacing w:line="240" w:lineRule="auto"/>
        <w:ind w:firstLine="0"/>
        <w:rPr>
          <w:b/>
          <w:bCs/>
        </w:rPr>
      </w:pPr>
      <w:r>
        <w:t>ALJ/</w:t>
      </w:r>
      <w:r w:rsidR="00815866">
        <w:t>VUK/mef/smt</w:t>
      </w:r>
      <w:r w:rsidR="007E0FEE">
        <w:tab/>
      </w:r>
      <w:r w:rsidR="00815866">
        <w:tab/>
      </w:r>
      <w:r w:rsidRPr="00815866" w:rsidR="00815866">
        <w:rPr>
          <w:b/>
          <w:bCs/>
        </w:rPr>
        <w:t>Date of Issuance 8/1</w:t>
      </w:r>
      <w:r w:rsidR="00843B10">
        <w:rPr>
          <w:b/>
          <w:bCs/>
        </w:rPr>
        <w:t>6</w:t>
      </w:r>
      <w:r w:rsidRPr="00815866" w:rsidR="00815866">
        <w:rPr>
          <w:b/>
          <w:bCs/>
        </w:rPr>
        <w:t>/2023</w:t>
      </w:r>
    </w:p>
    <w:p w:rsidR="00815866" w:rsidP="007E0FEE" w:rsidRDefault="00815866" w14:paraId="0C3CFAE6" w14:textId="77777777">
      <w:pPr>
        <w:tabs>
          <w:tab w:val="center" w:pos="4680"/>
          <w:tab w:val="right" w:pos="9360"/>
        </w:tabs>
        <w:spacing w:line="240" w:lineRule="auto"/>
        <w:ind w:firstLine="0"/>
        <w:rPr>
          <w:b/>
          <w:bCs/>
        </w:rPr>
      </w:pPr>
    </w:p>
    <w:p w:rsidRPr="00815866" w:rsidR="00815866" w:rsidP="007E0FEE" w:rsidRDefault="00815866" w14:paraId="226C68ED" w14:textId="77777777">
      <w:pPr>
        <w:tabs>
          <w:tab w:val="center" w:pos="4680"/>
          <w:tab w:val="right" w:pos="9360"/>
        </w:tabs>
        <w:spacing w:line="240" w:lineRule="auto"/>
        <w:ind w:firstLine="0"/>
        <w:rPr>
          <w:b/>
          <w:bCs/>
        </w:rPr>
      </w:pPr>
    </w:p>
    <w:p w:rsidRPr="001D7A45" w:rsidR="00DA7B5D" w:rsidP="0098655A" w:rsidRDefault="00DA7B5D" w14:paraId="71CE8189" w14:textId="7933D1FC">
      <w:pPr>
        <w:ind w:left="1080" w:hanging="1080"/>
      </w:pPr>
      <w:r>
        <w:t xml:space="preserve">Decision </w:t>
      </w:r>
      <w:r w:rsidR="00815866">
        <w:t>23-08-0</w:t>
      </w:r>
      <w:r w:rsidR="00AA4EAD">
        <w:t>05</w:t>
      </w:r>
      <w:r w:rsidR="00815866">
        <w:t xml:space="preserve">  August 10, 2023</w:t>
      </w:r>
    </w:p>
    <w:p w:rsidR="00DA7B5D" w:rsidP="00A660E4" w:rsidRDefault="00DA7B5D" w14:paraId="1A4C55C4" w14:textId="77777777">
      <w:pPr>
        <w:spacing w:line="240" w:lineRule="auto"/>
        <w:ind w:firstLine="0"/>
        <w:rPr>
          <w:u w:val="single"/>
        </w:rPr>
      </w:pPr>
    </w:p>
    <w:p w:rsidR="00DA7B5D" w:rsidP="00BB0243" w:rsidRDefault="00DA7B5D" w14:paraId="7D82F061"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234CB193"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1DF0114D"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815866" w14:paraId="50452373" w14:textId="0C6A9F32">
            <w:pPr>
              <w:spacing w:line="240" w:lineRule="auto"/>
              <w:ind w:firstLine="0"/>
              <w:rPr>
                <w:rFonts w:cs="Arial"/>
                <w:szCs w:val="26"/>
              </w:rPr>
            </w:pPr>
            <w:r w:rsidRPr="00FA4D7E">
              <w:rPr>
                <w:rFonts w:cs="Arial"/>
                <w:szCs w:val="26"/>
              </w:rPr>
              <w:t>Order Instituting Rulemaking Concerning Energy Efficiency Rolling Portfolios, Policies, Programs, Evaluation, and Related Issues</w:t>
            </w:r>
            <w:r>
              <w:rPr>
                <w:rFonts w:cs="Arial"/>
                <w:szCs w:val="26"/>
              </w:rPr>
              <w:t>.</w:t>
            </w:r>
            <w:r w:rsidRP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815866" w14:paraId="076DE4D2" w14:textId="0247BBA9">
            <w:pPr>
              <w:spacing w:line="240" w:lineRule="auto"/>
              <w:ind w:firstLine="0"/>
              <w:jc w:val="center"/>
              <w:rPr>
                <w:rFonts w:cs="Arial"/>
                <w:szCs w:val="26"/>
              </w:rPr>
            </w:pPr>
            <w:r>
              <w:rPr>
                <w:rFonts w:cs="Arial"/>
                <w:szCs w:val="26"/>
              </w:rPr>
              <w:t>Rulemaking 13-11-005</w:t>
            </w:r>
          </w:p>
        </w:tc>
      </w:tr>
    </w:tbl>
    <w:p w:rsidR="00DA7B5D" w:rsidP="008F0116" w:rsidRDefault="00DA7B5D" w14:paraId="1DD4759D" w14:textId="77777777">
      <w:pPr>
        <w:spacing w:line="240" w:lineRule="auto"/>
        <w:ind w:firstLine="0"/>
        <w:rPr>
          <w:rFonts w:ascii="Arial" w:hAnsi="Arial" w:cs="Arial"/>
          <w:sz w:val="24"/>
          <w:szCs w:val="24"/>
        </w:rPr>
      </w:pPr>
    </w:p>
    <w:p w:rsidR="00DA7B5D" w:rsidP="008F0116" w:rsidRDefault="00DA7B5D" w14:paraId="7AB0DC2D" w14:textId="77777777">
      <w:pPr>
        <w:spacing w:line="240" w:lineRule="auto"/>
        <w:ind w:firstLine="0"/>
        <w:rPr>
          <w:rFonts w:ascii="Arial" w:hAnsi="Arial" w:cs="Arial"/>
          <w:sz w:val="24"/>
          <w:szCs w:val="24"/>
        </w:rPr>
      </w:pPr>
    </w:p>
    <w:p w:rsidRPr="00F92385" w:rsidR="00F92385" w:rsidP="00B3087D" w:rsidRDefault="00815866" w14:paraId="6DFBA9E0" w14:textId="0A3093A9">
      <w:pPr>
        <w:pStyle w:val="Dummy"/>
        <w:jc w:val="center"/>
        <w:sectPr w:rsidRPr="00F92385" w:rsidR="00F92385" w:rsidSect="00815866">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docGrid w:linePitch="360"/>
        </w:sectPr>
      </w:pPr>
      <w:bookmarkStart w:name="_Toc142653807" w:id="0"/>
      <w:r>
        <w:t xml:space="preserve">DECISION ADOPTING ENERGY </w:t>
      </w:r>
      <w:r>
        <w:br/>
        <w:t>EFFICIENCY GOALS FOR 2024-2035</w:t>
      </w:r>
      <w:bookmarkEnd w:id="0"/>
    </w:p>
    <w:sdt>
      <w:sdtPr>
        <w:id w:val="-1224440197"/>
        <w:docPartObj>
          <w:docPartGallery w:val="Table of Contents"/>
          <w:docPartUnique/>
        </w:docPartObj>
      </w:sdtPr>
      <w:sdtEndPr>
        <w:rPr>
          <w:b/>
          <w:bCs/>
          <w:noProof/>
        </w:rPr>
      </w:sdtEndPr>
      <w:sdtContent>
        <w:p w:rsidR="00815866" w:rsidRDefault="008C7413" w14:paraId="15A2F597" w14:textId="2CEC04A1">
          <w:pPr>
            <w:pStyle w:val="TOC1"/>
            <w:tabs>
              <w:tab w:val="right" w:leader="dot" w:pos="9350"/>
            </w:tabs>
            <w:rPr>
              <w:rFonts w:asciiTheme="minorHAnsi" w:hAnsiTheme="minorHAnsi" w:cstheme="minorBidi"/>
              <w:noProof/>
              <w:kern w:val="2"/>
              <w:sz w:val="22"/>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42653807">
            <w:r w:rsidRPr="001E1E70" w:rsidR="00815866">
              <w:rPr>
                <w:rStyle w:val="Hyperlink"/>
                <w:noProof/>
              </w:rPr>
              <w:t>DECISION ADOPTING ENERGY  EFFICIENCY GOALS FOR 2024-2035</w:t>
            </w:r>
            <w:r w:rsidR="00815866">
              <w:rPr>
                <w:noProof/>
                <w:webHidden/>
              </w:rPr>
              <w:tab/>
            </w:r>
            <w:r w:rsidR="00815866">
              <w:rPr>
                <w:noProof/>
                <w:webHidden/>
              </w:rPr>
              <w:fldChar w:fldCharType="begin"/>
            </w:r>
            <w:r w:rsidR="00815866">
              <w:rPr>
                <w:noProof/>
                <w:webHidden/>
              </w:rPr>
              <w:instrText xml:space="preserve"> PAGEREF _Toc142653807 \h </w:instrText>
            </w:r>
            <w:r w:rsidR="00815866">
              <w:rPr>
                <w:noProof/>
                <w:webHidden/>
              </w:rPr>
            </w:r>
            <w:r w:rsidR="00815866">
              <w:rPr>
                <w:noProof/>
                <w:webHidden/>
              </w:rPr>
              <w:fldChar w:fldCharType="separate"/>
            </w:r>
            <w:r w:rsidR="00815866">
              <w:rPr>
                <w:noProof/>
                <w:webHidden/>
              </w:rPr>
              <w:t>1</w:t>
            </w:r>
            <w:r w:rsidR="00815866">
              <w:rPr>
                <w:noProof/>
                <w:webHidden/>
              </w:rPr>
              <w:fldChar w:fldCharType="end"/>
            </w:r>
          </w:hyperlink>
        </w:p>
        <w:p w:rsidRPr="00815866" w:rsidR="00815866" w:rsidRDefault="00000000" w14:paraId="4BAAB604" w14:textId="0D22DEEE">
          <w:pPr>
            <w:pStyle w:val="TOC1"/>
            <w:tabs>
              <w:tab w:val="right" w:leader="dot" w:pos="9350"/>
            </w:tabs>
            <w:rPr>
              <w:rFonts w:cstheme="minorBidi"/>
              <w:noProof/>
              <w:kern w:val="2"/>
              <w:sz w:val="22"/>
              <w14:ligatures w14:val="standardContextual"/>
            </w:rPr>
          </w:pPr>
          <w:hyperlink w:history="1" w:anchor="_Toc142653809">
            <w:r w:rsidRPr="00815866" w:rsidR="00815866">
              <w:rPr>
                <w:rStyle w:val="Hyperlink"/>
                <w:rFonts w:cs="Arial"/>
                <w:noProof/>
              </w:rPr>
              <w:t>Summary</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_Toc142653809 \h </w:instrText>
            </w:r>
            <w:r w:rsidRPr="00815866" w:rsidR="00815866">
              <w:rPr>
                <w:noProof/>
                <w:webHidden/>
              </w:rPr>
            </w:r>
            <w:r w:rsidRPr="00815866" w:rsidR="00815866">
              <w:rPr>
                <w:noProof/>
                <w:webHidden/>
              </w:rPr>
              <w:fldChar w:fldCharType="separate"/>
            </w:r>
            <w:r w:rsidRPr="00815866" w:rsidR="00815866">
              <w:rPr>
                <w:noProof/>
                <w:webHidden/>
              </w:rPr>
              <w:t>1</w:t>
            </w:r>
            <w:r w:rsidRPr="00815866" w:rsidR="00815866">
              <w:rPr>
                <w:noProof/>
                <w:webHidden/>
              </w:rPr>
              <w:fldChar w:fldCharType="end"/>
            </w:r>
          </w:hyperlink>
        </w:p>
        <w:p w:rsidRPr="00815866" w:rsidR="00815866" w:rsidRDefault="00000000" w14:paraId="6F159F14" w14:textId="64696373">
          <w:pPr>
            <w:pStyle w:val="TOC1"/>
            <w:tabs>
              <w:tab w:val="right" w:leader="dot" w:pos="9350"/>
            </w:tabs>
            <w:rPr>
              <w:rFonts w:cstheme="minorBidi"/>
              <w:noProof/>
              <w:kern w:val="2"/>
              <w:sz w:val="22"/>
              <w14:ligatures w14:val="standardContextual"/>
            </w:rPr>
          </w:pPr>
          <w:hyperlink w:history="1" w:anchor="_Toc142653810">
            <w:r w:rsidRPr="00815866" w:rsidR="00815866">
              <w:rPr>
                <w:rStyle w:val="Hyperlink"/>
                <w:rFonts w:eastAsiaTheme="majorEastAsia" w:cstheme="majorBidi"/>
                <w:noProof/>
              </w:rPr>
              <w:t>1.</w:t>
            </w:r>
            <w:r w:rsidRPr="00815866" w:rsidR="00815866">
              <w:rPr>
                <w:rFonts w:cstheme="minorBidi"/>
                <w:noProof/>
                <w:kern w:val="2"/>
                <w:sz w:val="22"/>
                <w14:ligatures w14:val="standardContextual"/>
              </w:rPr>
              <w:tab/>
            </w:r>
            <w:r w:rsidRPr="00815866" w:rsidR="00815866">
              <w:rPr>
                <w:rStyle w:val="Hyperlink"/>
                <w:rFonts w:eastAsiaTheme="majorEastAsia" w:cstheme="majorBidi"/>
                <w:noProof/>
              </w:rPr>
              <w:t>Background</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_Toc142653810 \h </w:instrText>
            </w:r>
            <w:r w:rsidRPr="00815866" w:rsidR="00815866">
              <w:rPr>
                <w:noProof/>
                <w:webHidden/>
              </w:rPr>
            </w:r>
            <w:r w:rsidRPr="00815866" w:rsidR="00815866">
              <w:rPr>
                <w:noProof/>
                <w:webHidden/>
              </w:rPr>
              <w:fldChar w:fldCharType="separate"/>
            </w:r>
            <w:r w:rsidRPr="00815866" w:rsidR="00815866">
              <w:rPr>
                <w:noProof/>
                <w:webHidden/>
              </w:rPr>
              <w:t>1</w:t>
            </w:r>
            <w:r w:rsidRPr="00815866" w:rsidR="00815866">
              <w:rPr>
                <w:noProof/>
                <w:webHidden/>
              </w:rPr>
              <w:fldChar w:fldCharType="end"/>
            </w:r>
          </w:hyperlink>
        </w:p>
        <w:p w:rsidRPr="00815866" w:rsidR="00815866" w:rsidRDefault="00000000" w14:paraId="2B84A420" w14:textId="7F409196">
          <w:pPr>
            <w:pStyle w:val="TOC2"/>
            <w:tabs>
              <w:tab w:val="left" w:pos="1296"/>
              <w:tab w:val="right" w:leader="dot" w:pos="9350"/>
            </w:tabs>
            <w:rPr>
              <w:rFonts w:cstheme="minorBidi"/>
              <w:noProof/>
              <w:kern w:val="2"/>
              <w:sz w:val="22"/>
              <w14:ligatures w14:val="standardContextual"/>
            </w:rPr>
          </w:pPr>
          <w:hyperlink w:history="1" w:anchor="_Toc142653811">
            <w:r w:rsidRPr="00815866" w:rsidR="00815866">
              <w:rPr>
                <w:rStyle w:val="Hyperlink"/>
                <w:rFonts w:cs="Arial"/>
                <w:noProof/>
              </w:rPr>
              <w:t>1.1.</w:t>
            </w:r>
            <w:r w:rsidRPr="00815866" w:rsidR="00815866">
              <w:rPr>
                <w:rFonts w:cstheme="minorBidi"/>
                <w:noProof/>
                <w:kern w:val="2"/>
                <w:sz w:val="22"/>
                <w14:ligatures w14:val="standardContextual"/>
              </w:rPr>
              <w:tab/>
            </w:r>
            <w:r w:rsidRPr="00815866" w:rsidR="00815866">
              <w:rPr>
                <w:rStyle w:val="Hyperlink"/>
                <w:rFonts w:cs="Arial"/>
                <w:noProof/>
              </w:rPr>
              <w:t>Procedural Background</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_Toc142653811 \h </w:instrText>
            </w:r>
            <w:r w:rsidRPr="00815866" w:rsidR="00815866">
              <w:rPr>
                <w:noProof/>
                <w:webHidden/>
              </w:rPr>
            </w:r>
            <w:r w:rsidRPr="00815866" w:rsidR="00815866">
              <w:rPr>
                <w:noProof/>
                <w:webHidden/>
              </w:rPr>
              <w:fldChar w:fldCharType="separate"/>
            </w:r>
            <w:r w:rsidRPr="00815866" w:rsidR="00815866">
              <w:rPr>
                <w:noProof/>
                <w:webHidden/>
              </w:rPr>
              <w:t>1</w:t>
            </w:r>
            <w:r w:rsidRPr="00815866" w:rsidR="00815866">
              <w:rPr>
                <w:noProof/>
                <w:webHidden/>
              </w:rPr>
              <w:fldChar w:fldCharType="end"/>
            </w:r>
          </w:hyperlink>
        </w:p>
        <w:p w:rsidRPr="00815866" w:rsidR="00815866" w:rsidRDefault="00000000" w14:paraId="1A991BCC" w14:textId="2C39D7B4">
          <w:pPr>
            <w:pStyle w:val="TOC2"/>
            <w:tabs>
              <w:tab w:val="left" w:pos="1296"/>
              <w:tab w:val="right" w:leader="dot" w:pos="9350"/>
            </w:tabs>
            <w:rPr>
              <w:rFonts w:cstheme="minorBidi"/>
              <w:noProof/>
              <w:kern w:val="2"/>
              <w:sz w:val="22"/>
              <w14:ligatures w14:val="standardContextual"/>
            </w:rPr>
          </w:pPr>
          <w:hyperlink w:history="1" w:anchor="_Toc142653812">
            <w:r w:rsidRPr="00815866" w:rsidR="00815866">
              <w:rPr>
                <w:rStyle w:val="Hyperlink"/>
                <w:rFonts w:cs="Arial"/>
                <w:noProof/>
              </w:rPr>
              <w:t>1.2.</w:t>
            </w:r>
            <w:r w:rsidRPr="00815866" w:rsidR="00815866">
              <w:rPr>
                <w:rFonts w:cstheme="minorBidi"/>
                <w:noProof/>
                <w:kern w:val="2"/>
                <w:sz w:val="22"/>
                <w14:ligatures w14:val="standardContextual"/>
              </w:rPr>
              <w:tab/>
            </w:r>
            <w:r w:rsidRPr="00815866" w:rsidR="00815866">
              <w:rPr>
                <w:rStyle w:val="Hyperlink"/>
                <w:rFonts w:cs="Arial"/>
                <w:noProof/>
              </w:rPr>
              <w:t>Submission Date</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_Toc142653812 \h </w:instrText>
            </w:r>
            <w:r w:rsidRPr="00815866" w:rsidR="00815866">
              <w:rPr>
                <w:noProof/>
                <w:webHidden/>
              </w:rPr>
            </w:r>
            <w:r w:rsidRPr="00815866" w:rsidR="00815866">
              <w:rPr>
                <w:noProof/>
                <w:webHidden/>
              </w:rPr>
              <w:fldChar w:fldCharType="separate"/>
            </w:r>
            <w:r w:rsidRPr="00815866" w:rsidR="00815866">
              <w:rPr>
                <w:noProof/>
                <w:webHidden/>
              </w:rPr>
              <w:t>4</w:t>
            </w:r>
            <w:r w:rsidRPr="00815866" w:rsidR="00815866">
              <w:rPr>
                <w:noProof/>
                <w:webHidden/>
              </w:rPr>
              <w:fldChar w:fldCharType="end"/>
            </w:r>
          </w:hyperlink>
        </w:p>
        <w:p w:rsidRPr="00815866" w:rsidR="00815866" w:rsidRDefault="00000000" w14:paraId="7ECC0F1D" w14:textId="7C3E5B7E">
          <w:pPr>
            <w:pStyle w:val="TOC1"/>
            <w:tabs>
              <w:tab w:val="right" w:leader="dot" w:pos="9350"/>
            </w:tabs>
            <w:rPr>
              <w:rFonts w:cstheme="minorBidi"/>
              <w:noProof/>
              <w:kern w:val="2"/>
              <w:sz w:val="22"/>
              <w14:ligatures w14:val="standardContextual"/>
            </w:rPr>
          </w:pPr>
          <w:hyperlink w:history="1" w:anchor="_Toc142653813">
            <w:r w:rsidRPr="00815866" w:rsidR="00815866">
              <w:rPr>
                <w:rStyle w:val="Hyperlink"/>
                <w:rFonts w:eastAsiaTheme="majorEastAsia" w:cstheme="majorBidi"/>
                <w:noProof/>
              </w:rPr>
              <w:t>2.</w:t>
            </w:r>
            <w:r w:rsidRPr="00815866" w:rsidR="00815866">
              <w:rPr>
                <w:rFonts w:cstheme="minorBidi"/>
                <w:noProof/>
                <w:kern w:val="2"/>
                <w:sz w:val="22"/>
                <w14:ligatures w14:val="standardContextual"/>
              </w:rPr>
              <w:tab/>
            </w:r>
            <w:r w:rsidRPr="00815866" w:rsidR="00815866">
              <w:rPr>
                <w:rStyle w:val="Hyperlink"/>
                <w:rFonts w:eastAsiaTheme="majorEastAsia" w:cstheme="majorBidi"/>
                <w:noProof/>
              </w:rPr>
              <w:t>Inclusion of Inflation Reduction  Act (IRA) Impacts</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_Toc142653813 \h </w:instrText>
            </w:r>
            <w:r w:rsidRPr="00815866" w:rsidR="00815866">
              <w:rPr>
                <w:noProof/>
                <w:webHidden/>
              </w:rPr>
            </w:r>
            <w:r w:rsidRPr="00815866" w:rsidR="00815866">
              <w:rPr>
                <w:noProof/>
                <w:webHidden/>
              </w:rPr>
              <w:fldChar w:fldCharType="separate"/>
            </w:r>
            <w:r w:rsidRPr="00815866" w:rsidR="00815866">
              <w:rPr>
                <w:noProof/>
                <w:webHidden/>
              </w:rPr>
              <w:t>5</w:t>
            </w:r>
            <w:r w:rsidRPr="00815866" w:rsidR="00815866">
              <w:rPr>
                <w:noProof/>
                <w:webHidden/>
              </w:rPr>
              <w:fldChar w:fldCharType="end"/>
            </w:r>
          </w:hyperlink>
        </w:p>
        <w:p w:rsidRPr="00815866" w:rsidR="00815866" w:rsidRDefault="00000000" w14:paraId="756CB99A" w14:textId="529A56C0">
          <w:pPr>
            <w:pStyle w:val="TOC2"/>
            <w:tabs>
              <w:tab w:val="left" w:pos="1296"/>
              <w:tab w:val="right" w:leader="dot" w:pos="9350"/>
            </w:tabs>
            <w:rPr>
              <w:rFonts w:cstheme="minorBidi"/>
              <w:noProof/>
              <w:kern w:val="2"/>
              <w:sz w:val="22"/>
              <w14:ligatures w14:val="standardContextual"/>
            </w:rPr>
          </w:pPr>
          <w:hyperlink w:history="1" w:anchor="_Toc142653814">
            <w:r w:rsidRPr="00815866" w:rsidR="00815866">
              <w:rPr>
                <w:rStyle w:val="Hyperlink"/>
                <w:rFonts w:cs="Arial"/>
                <w:noProof/>
              </w:rPr>
              <w:t>2.1.</w:t>
            </w:r>
            <w:r w:rsidRPr="00815866" w:rsidR="00815866">
              <w:rPr>
                <w:rFonts w:cstheme="minorBidi"/>
                <w:noProof/>
                <w:kern w:val="2"/>
                <w:sz w:val="22"/>
                <w14:ligatures w14:val="standardContextual"/>
              </w:rPr>
              <w:tab/>
            </w:r>
            <w:r w:rsidRPr="00815866" w:rsidR="00815866">
              <w:rPr>
                <w:rStyle w:val="Hyperlink"/>
                <w:rFonts w:cs="Arial"/>
                <w:noProof/>
              </w:rPr>
              <w:t>IRA Implementation Guidance</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_Toc142653814 \h </w:instrText>
            </w:r>
            <w:r w:rsidRPr="00815866" w:rsidR="00815866">
              <w:rPr>
                <w:noProof/>
                <w:webHidden/>
              </w:rPr>
            </w:r>
            <w:r w:rsidRPr="00815866" w:rsidR="00815866">
              <w:rPr>
                <w:noProof/>
                <w:webHidden/>
              </w:rPr>
              <w:fldChar w:fldCharType="separate"/>
            </w:r>
            <w:r w:rsidRPr="00815866" w:rsidR="00815866">
              <w:rPr>
                <w:noProof/>
                <w:webHidden/>
              </w:rPr>
              <w:t>6</w:t>
            </w:r>
            <w:r w:rsidRPr="00815866" w:rsidR="00815866">
              <w:rPr>
                <w:noProof/>
                <w:webHidden/>
              </w:rPr>
              <w:fldChar w:fldCharType="end"/>
            </w:r>
          </w:hyperlink>
        </w:p>
        <w:p w:rsidRPr="00815866" w:rsidR="00815866" w:rsidRDefault="00000000" w14:paraId="671942B4" w14:textId="715237CA">
          <w:pPr>
            <w:pStyle w:val="TOC1"/>
            <w:tabs>
              <w:tab w:val="right" w:leader="dot" w:pos="9350"/>
            </w:tabs>
            <w:rPr>
              <w:rFonts w:cstheme="minorBidi"/>
              <w:noProof/>
              <w:kern w:val="2"/>
              <w:sz w:val="22"/>
              <w14:ligatures w14:val="standardContextual"/>
            </w:rPr>
          </w:pPr>
          <w:hyperlink w:history="1" w:anchor="_Toc142653815">
            <w:r w:rsidRPr="00815866" w:rsidR="00815866">
              <w:rPr>
                <w:rStyle w:val="Hyperlink"/>
                <w:rFonts w:eastAsiaTheme="majorEastAsia" w:cstheme="majorBidi"/>
                <w:noProof/>
              </w:rPr>
              <w:t>3.</w:t>
            </w:r>
            <w:r w:rsidRPr="00815866" w:rsidR="00815866">
              <w:rPr>
                <w:rFonts w:cstheme="minorBidi"/>
                <w:noProof/>
                <w:kern w:val="2"/>
                <w:sz w:val="22"/>
                <w14:ligatures w14:val="standardContextual"/>
              </w:rPr>
              <w:tab/>
            </w:r>
            <w:r w:rsidRPr="00815866" w:rsidR="00815866">
              <w:rPr>
                <w:rStyle w:val="Hyperlink"/>
                <w:rFonts w:eastAsiaTheme="majorEastAsia" w:cstheme="majorBidi"/>
                <w:noProof/>
              </w:rPr>
              <w:t>Assumptions Regarding  Fuel Substitution</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_Toc142653815 \h </w:instrText>
            </w:r>
            <w:r w:rsidRPr="00815866" w:rsidR="00815866">
              <w:rPr>
                <w:noProof/>
                <w:webHidden/>
              </w:rPr>
            </w:r>
            <w:r w:rsidRPr="00815866" w:rsidR="00815866">
              <w:rPr>
                <w:noProof/>
                <w:webHidden/>
              </w:rPr>
              <w:fldChar w:fldCharType="separate"/>
            </w:r>
            <w:r w:rsidRPr="00815866" w:rsidR="00815866">
              <w:rPr>
                <w:noProof/>
                <w:webHidden/>
              </w:rPr>
              <w:t>9</w:t>
            </w:r>
            <w:r w:rsidRPr="00815866" w:rsidR="00815866">
              <w:rPr>
                <w:noProof/>
                <w:webHidden/>
              </w:rPr>
              <w:fldChar w:fldCharType="end"/>
            </w:r>
          </w:hyperlink>
        </w:p>
        <w:p w:rsidRPr="00815866" w:rsidR="00815866" w:rsidRDefault="00000000" w14:paraId="4F20D3AC" w14:textId="46ACC957">
          <w:pPr>
            <w:pStyle w:val="TOC2"/>
            <w:tabs>
              <w:tab w:val="left" w:pos="1296"/>
              <w:tab w:val="right" w:leader="dot" w:pos="9350"/>
            </w:tabs>
            <w:rPr>
              <w:rFonts w:cstheme="minorBidi"/>
              <w:noProof/>
              <w:kern w:val="2"/>
              <w:sz w:val="22"/>
              <w14:ligatures w14:val="standardContextual"/>
            </w:rPr>
          </w:pPr>
          <w:hyperlink w:history="1" w:anchor="_Toc142653816">
            <w:r w:rsidRPr="00815866" w:rsidR="00815866">
              <w:rPr>
                <w:rStyle w:val="Hyperlink"/>
                <w:rFonts w:cs="Arial"/>
                <w:noProof/>
              </w:rPr>
              <w:t>3.1.</w:t>
            </w:r>
            <w:r w:rsidRPr="00815866" w:rsidR="00815866">
              <w:rPr>
                <w:rFonts w:cstheme="minorBidi"/>
                <w:noProof/>
                <w:kern w:val="2"/>
                <w:sz w:val="22"/>
                <w14:ligatures w14:val="standardContextual"/>
              </w:rPr>
              <w:tab/>
            </w:r>
            <w:r w:rsidRPr="00815866" w:rsidR="00815866">
              <w:rPr>
                <w:rStyle w:val="Hyperlink"/>
                <w:rFonts w:cs="Arial"/>
                <w:noProof/>
              </w:rPr>
              <w:t>Methodology for Estimating  Infrastructure Costs</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_Toc142653816 \h </w:instrText>
            </w:r>
            <w:r w:rsidRPr="00815866" w:rsidR="00815866">
              <w:rPr>
                <w:noProof/>
                <w:webHidden/>
              </w:rPr>
            </w:r>
            <w:r w:rsidRPr="00815866" w:rsidR="00815866">
              <w:rPr>
                <w:noProof/>
                <w:webHidden/>
              </w:rPr>
              <w:fldChar w:fldCharType="separate"/>
            </w:r>
            <w:r w:rsidRPr="00815866" w:rsidR="00815866">
              <w:rPr>
                <w:noProof/>
                <w:webHidden/>
              </w:rPr>
              <w:t>11</w:t>
            </w:r>
            <w:r w:rsidRPr="00815866" w:rsidR="00815866">
              <w:rPr>
                <w:noProof/>
                <w:webHidden/>
              </w:rPr>
              <w:fldChar w:fldCharType="end"/>
            </w:r>
          </w:hyperlink>
        </w:p>
        <w:p w:rsidRPr="00815866" w:rsidR="00815866" w:rsidRDefault="00000000" w14:paraId="396556FC" w14:textId="08292702">
          <w:pPr>
            <w:pStyle w:val="TOC1"/>
            <w:tabs>
              <w:tab w:val="right" w:leader="dot" w:pos="9350"/>
            </w:tabs>
            <w:rPr>
              <w:rFonts w:cstheme="minorBidi"/>
              <w:noProof/>
              <w:kern w:val="2"/>
              <w:sz w:val="22"/>
              <w14:ligatures w14:val="standardContextual"/>
            </w:rPr>
          </w:pPr>
          <w:hyperlink w:history="1" w:anchor="_Toc142653817">
            <w:r w:rsidRPr="00815866" w:rsidR="00815866">
              <w:rPr>
                <w:rStyle w:val="Hyperlink"/>
                <w:rFonts w:eastAsiaTheme="majorEastAsia" w:cstheme="majorBidi"/>
                <w:noProof/>
              </w:rPr>
              <w:t>4.</w:t>
            </w:r>
            <w:r w:rsidRPr="00815866" w:rsidR="00815866">
              <w:rPr>
                <w:rFonts w:cstheme="minorBidi"/>
                <w:noProof/>
                <w:kern w:val="2"/>
                <w:sz w:val="22"/>
                <w14:ligatures w14:val="standardContextual"/>
              </w:rPr>
              <w:tab/>
            </w:r>
            <w:r w:rsidRPr="00815866" w:rsidR="00815866">
              <w:rPr>
                <w:rStyle w:val="Hyperlink"/>
                <w:rFonts w:eastAsiaTheme="majorEastAsia" w:cstheme="majorBidi"/>
                <w:noProof/>
              </w:rPr>
              <w:t>Inclusion of CARB’s State  Implementation Plan Memo</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_Toc142653817 \h </w:instrText>
            </w:r>
            <w:r w:rsidRPr="00815866" w:rsidR="00815866">
              <w:rPr>
                <w:noProof/>
                <w:webHidden/>
              </w:rPr>
            </w:r>
            <w:r w:rsidRPr="00815866" w:rsidR="00815866">
              <w:rPr>
                <w:noProof/>
                <w:webHidden/>
              </w:rPr>
              <w:fldChar w:fldCharType="separate"/>
            </w:r>
            <w:r w:rsidRPr="00815866" w:rsidR="00815866">
              <w:rPr>
                <w:noProof/>
                <w:webHidden/>
              </w:rPr>
              <w:t>12</w:t>
            </w:r>
            <w:r w:rsidRPr="00815866" w:rsidR="00815866">
              <w:rPr>
                <w:noProof/>
                <w:webHidden/>
              </w:rPr>
              <w:fldChar w:fldCharType="end"/>
            </w:r>
          </w:hyperlink>
        </w:p>
        <w:p w:rsidRPr="00815866" w:rsidR="00815866" w:rsidRDefault="00000000" w14:paraId="7FC6D1CB" w14:textId="5153E037">
          <w:pPr>
            <w:pStyle w:val="TOC1"/>
            <w:tabs>
              <w:tab w:val="right" w:leader="dot" w:pos="9350"/>
            </w:tabs>
            <w:rPr>
              <w:rFonts w:cstheme="minorBidi"/>
              <w:noProof/>
              <w:kern w:val="2"/>
              <w:sz w:val="22"/>
              <w14:ligatures w14:val="standardContextual"/>
            </w:rPr>
          </w:pPr>
          <w:hyperlink w:history="1" w:anchor="_Toc142653818">
            <w:r w:rsidRPr="00815866" w:rsidR="00815866">
              <w:rPr>
                <w:rStyle w:val="Hyperlink"/>
                <w:rFonts w:eastAsiaTheme="majorEastAsia" w:cstheme="majorBidi"/>
                <w:noProof/>
              </w:rPr>
              <w:t>5.</w:t>
            </w:r>
            <w:r w:rsidRPr="00815866" w:rsidR="00815866">
              <w:rPr>
                <w:rFonts w:cstheme="minorBidi"/>
                <w:noProof/>
                <w:kern w:val="2"/>
                <w:sz w:val="22"/>
                <w14:ligatures w14:val="standardContextual"/>
              </w:rPr>
              <w:tab/>
            </w:r>
            <w:r w:rsidRPr="00815866" w:rsidR="00815866">
              <w:rPr>
                <w:rStyle w:val="Hyperlink"/>
                <w:rFonts w:eastAsiaTheme="majorEastAsia" w:cstheme="majorBidi"/>
                <w:noProof/>
              </w:rPr>
              <w:t>Codes and Standards</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_Toc142653818 \h </w:instrText>
            </w:r>
            <w:r w:rsidRPr="00815866" w:rsidR="00815866">
              <w:rPr>
                <w:noProof/>
                <w:webHidden/>
              </w:rPr>
            </w:r>
            <w:r w:rsidRPr="00815866" w:rsidR="00815866">
              <w:rPr>
                <w:noProof/>
                <w:webHidden/>
              </w:rPr>
              <w:fldChar w:fldCharType="separate"/>
            </w:r>
            <w:r w:rsidRPr="00815866" w:rsidR="00815866">
              <w:rPr>
                <w:noProof/>
                <w:webHidden/>
              </w:rPr>
              <w:t>14</w:t>
            </w:r>
            <w:r w:rsidRPr="00815866" w:rsidR="00815866">
              <w:rPr>
                <w:noProof/>
                <w:webHidden/>
              </w:rPr>
              <w:fldChar w:fldCharType="end"/>
            </w:r>
          </w:hyperlink>
        </w:p>
        <w:p w:rsidRPr="00815866" w:rsidR="00815866" w:rsidRDefault="00000000" w14:paraId="096B4732" w14:textId="2FD76749">
          <w:pPr>
            <w:pStyle w:val="TOC1"/>
            <w:tabs>
              <w:tab w:val="right" w:leader="dot" w:pos="9350"/>
            </w:tabs>
            <w:rPr>
              <w:rFonts w:cstheme="minorBidi"/>
              <w:noProof/>
              <w:kern w:val="2"/>
              <w:sz w:val="22"/>
              <w14:ligatures w14:val="standardContextual"/>
            </w:rPr>
          </w:pPr>
          <w:hyperlink w:history="1" w:anchor="_Toc142653819">
            <w:r w:rsidRPr="00815866" w:rsidR="00815866">
              <w:rPr>
                <w:rStyle w:val="Hyperlink"/>
                <w:rFonts w:eastAsiaTheme="majorEastAsia" w:cstheme="majorBidi"/>
                <w:noProof/>
              </w:rPr>
              <w:t>6.</w:t>
            </w:r>
            <w:r w:rsidRPr="00815866" w:rsidR="00815866">
              <w:rPr>
                <w:rFonts w:cstheme="minorBidi"/>
                <w:noProof/>
                <w:kern w:val="2"/>
                <w:sz w:val="22"/>
                <w14:ligatures w14:val="standardContextual"/>
              </w:rPr>
              <w:tab/>
            </w:r>
            <w:r w:rsidRPr="00815866" w:rsidR="00815866">
              <w:rPr>
                <w:rStyle w:val="Hyperlink"/>
                <w:rFonts w:eastAsiaTheme="majorEastAsia" w:cstheme="majorBidi"/>
                <w:noProof/>
              </w:rPr>
              <w:t>Energy Efficiency Goals  for 2024-2035</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_Toc142653819 \h </w:instrText>
            </w:r>
            <w:r w:rsidRPr="00815866" w:rsidR="00815866">
              <w:rPr>
                <w:noProof/>
                <w:webHidden/>
              </w:rPr>
            </w:r>
            <w:r w:rsidRPr="00815866" w:rsidR="00815866">
              <w:rPr>
                <w:noProof/>
                <w:webHidden/>
              </w:rPr>
              <w:fldChar w:fldCharType="separate"/>
            </w:r>
            <w:r w:rsidRPr="00815866" w:rsidR="00815866">
              <w:rPr>
                <w:noProof/>
                <w:webHidden/>
              </w:rPr>
              <w:t>14</w:t>
            </w:r>
            <w:r w:rsidRPr="00815866" w:rsidR="00815866">
              <w:rPr>
                <w:noProof/>
                <w:webHidden/>
              </w:rPr>
              <w:fldChar w:fldCharType="end"/>
            </w:r>
          </w:hyperlink>
        </w:p>
        <w:p w:rsidRPr="00815866" w:rsidR="00815866" w:rsidRDefault="00000000" w14:paraId="7396F2BF" w14:textId="466C21C2">
          <w:pPr>
            <w:pStyle w:val="TOC1"/>
            <w:tabs>
              <w:tab w:val="right" w:leader="dot" w:pos="9350"/>
            </w:tabs>
            <w:rPr>
              <w:rFonts w:cstheme="minorBidi"/>
              <w:noProof/>
              <w:kern w:val="2"/>
              <w:sz w:val="22"/>
              <w14:ligatures w14:val="standardContextual"/>
            </w:rPr>
          </w:pPr>
          <w:hyperlink w:history="1" w:anchor="_Toc142653820">
            <w:r w:rsidRPr="00815866" w:rsidR="00815866">
              <w:rPr>
                <w:rStyle w:val="Hyperlink"/>
                <w:rFonts w:eastAsiaTheme="majorEastAsia" w:cstheme="majorBidi"/>
                <w:noProof/>
              </w:rPr>
              <w:t>7.</w:t>
            </w:r>
            <w:r w:rsidRPr="00815866" w:rsidR="00815866">
              <w:rPr>
                <w:rFonts w:cstheme="minorBidi"/>
                <w:noProof/>
                <w:kern w:val="2"/>
                <w:sz w:val="22"/>
                <w14:ligatures w14:val="standardContextual"/>
              </w:rPr>
              <w:tab/>
            </w:r>
            <w:r w:rsidRPr="00815866" w:rsidR="00815866">
              <w:rPr>
                <w:rStyle w:val="Hyperlink"/>
                <w:rFonts w:eastAsiaTheme="majorEastAsia" w:cstheme="majorBidi"/>
                <w:noProof/>
              </w:rPr>
              <w:t>Considerations for Future  Study Cycles</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_Toc142653820 \h </w:instrText>
            </w:r>
            <w:r w:rsidRPr="00815866" w:rsidR="00815866">
              <w:rPr>
                <w:noProof/>
                <w:webHidden/>
              </w:rPr>
            </w:r>
            <w:r w:rsidRPr="00815866" w:rsidR="00815866">
              <w:rPr>
                <w:noProof/>
                <w:webHidden/>
              </w:rPr>
              <w:fldChar w:fldCharType="separate"/>
            </w:r>
            <w:r w:rsidRPr="00815866" w:rsidR="00815866">
              <w:rPr>
                <w:noProof/>
                <w:webHidden/>
              </w:rPr>
              <w:t>21</w:t>
            </w:r>
            <w:r w:rsidRPr="00815866" w:rsidR="00815866">
              <w:rPr>
                <w:noProof/>
                <w:webHidden/>
              </w:rPr>
              <w:fldChar w:fldCharType="end"/>
            </w:r>
          </w:hyperlink>
        </w:p>
        <w:p w:rsidRPr="00815866" w:rsidR="00815866" w:rsidRDefault="00000000" w14:paraId="00EB8253" w14:textId="7E0F2E93">
          <w:pPr>
            <w:pStyle w:val="TOC1"/>
            <w:tabs>
              <w:tab w:val="right" w:leader="dot" w:pos="9350"/>
            </w:tabs>
            <w:rPr>
              <w:rFonts w:cstheme="minorBidi"/>
              <w:noProof/>
              <w:kern w:val="2"/>
              <w:sz w:val="22"/>
              <w14:ligatures w14:val="standardContextual"/>
            </w:rPr>
          </w:pPr>
          <w:hyperlink w:history="1" w:anchor="_Toc142653821">
            <w:r w:rsidRPr="00815866" w:rsidR="00815866">
              <w:rPr>
                <w:rStyle w:val="Hyperlink"/>
                <w:rFonts w:eastAsiaTheme="majorEastAsia" w:cstheme="majorBidi"/>
                <w:noProof/>
              </w:rPr>
              <w:t>8.</w:t>
            </w:r>
            <w:r w:rsidRPr="00815866" w:rsidR="00815866">
              <w:rPr>
                <w:rFonts w:cstheme="minorBidi"/>
                <w:noProof/>
                <w:kern w:val="2"/>
                <w:sz w:val="22"/>
                <w14:ligatures w14:val="standardContextual"/>
              </w:rPr>
              <w:tab/>
            </w:r>
            <w:r w:rsidRPr="00815866" w:rsidR="00815866">
              <w:rPr>
                <w:rStyle w:val="Hyperlink"/>
                <w:rFonts w:eastAsiaTheme="majorEastAsia" w:cstheme="majorBidi"/>
                <w:noProof/>
              </w:rPr>
              <w:t>Summary of Public Comment</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_Toc142653821 \h </w:instrText>
            </w:r>
            <w:r w:rsidRPr="00815866" w:rsidR="00815866">
              <w:rPr>
                <w:noProof/>
                <w:webHidden/>
              </w:rPr>
            </w:r>
            <w:r w:rsidRPr="00815866" w:rsidR="00815866">
              <w:rPr>
                <w:noProof/>
                <w:webHidden/>
              </w:rPr>
              <w:fldChar w:fldCharType="separate"/>
            </w:r>
            <w:r w:rsidRPr="00815866" w:rsidR="00815866">
              <w:rPr>
                <w:noProof/>
                <w:webHidden/>
              </w:rPr>
              <w:t>22</w:t>
            </w:r>
            <w:r w:rsidRPr="00815866" w:rsidR="00815866">
              <w:rPr>
                <w:noProof/>
                <w:webHidden/>
              </w:rPr>
              <w:fldChar w:fldCharType="end"/>
            </w:r>
          </w:hyperlink>
        </w:p>
        <w:p w:rsidRPr="00815866" w:rsidR="00815866" w:rsidRDefault="00000000" w14:paraId="65F36438" w14:textId="619F99EE">
          <w:pPr>
            <w:pStyle w:val="TOC1"/>
            <w:tabs>
              <w:tab w:val="right" w:leader="dot" w:pos="9350"/>
            </w:tabs>
            <w:rPr>
              <w:rFonts w:cstheme="minorBidi"/>
              <w:noProof/>
              <w:kern w:val="2"/>
              <w:sz w:val="22"/>
              <w14:ligatures w14:val="standardContextual"/>
            </w:rPr>
          </w:pPr>
          <w:hyperlink w:history="1" w:anchor="_Toc142653822">
            <w:r w:rsidRPr="00815866" w:rsidR="00815866">
              <w:rPr>
                <w:rStyle w:val="Hyperlink"/>
                <w:rFonts w:eastAsiaTheme="majorEastAsia" w:cstheme="majorBidi"/>
                <w:noProof/>
              </w:rPr>
              <w:t>9.</w:t>
            </w:r>
            <w:r w:rsidRPr="00815866" w:rsidR="00815866">
              <w:rPr>
                <w:rFonts w:cstheme="minorBidi"/>
                <w:noProof/>
                <w:kern w:val="2"/>
                <w:sz w:val="22"/>
                <w14:ligatures w14:val="standardContextual"/>
              </w:rPr>
              <w:tab/>
            </w:r>
            <w:r w:rsidRPr="00815866" w:rsidR="00815866">
              <w:rPr>
                <w:rStyle w:val="Hyperlink"/>
                <w:rFonts w:eastAsiaTheme="majorEastAsia" w:cstheme="majorBidi"/>
                <w:noProof/>
              </w:rPr>
              <w:t>Comments on Proposed Decision</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_Toc142653822 \h </w:instrText>
            </w:r>
            <w:r w:rsidRPr="00815866" w:rsidR="00815866">
              <w:rPr>
                <w:noProof/>
                <w:webHidden/>
              </w:rPr>
            </w:r>
            <w:r w:rsidRPr="00815866" w:rsidR="00815866">
              <w:rPr>
                <w:noProof/>
                <w:webHidden/>
              </w:rPr>
              <w:fldChar w:fldCharType="separate"/>
            </w:r>
            <w:r w:rsidRPr="00815866" w:rsidR="00815866">
              <w:rPr>
                <w:noProof/>
                <w:webHidden/>
              </w:rPr>
              <w:t>22</w:t>
            </w:r>
            <w:r w:rsidRPr="00815866" w:rsidR="00815866">
              <w:rPr>
                <w:noProof/>
                <w:webHidden/>
              </w:rPr>
              <w:fldChar w:fldCharType="end"/>
            </w:r>
          </w:hyperlink>
        </w:p>
        <w:p w:rsidRPr="00815866" w:rsidR="00815866" w:rsidRDefault="00000000" w14:paraId="4558AFC8" w14:textId="5B2AE3D0">
          <w:pPr>
            <w:pStyle w:val="TOC1"/>
            <w:tabs>
              <w:tab w:val="right" w:leader="dot" w:pos="9350"/>
            </w:tabs>
            <w:rPr>
              <w:rFonts w:cstheme="minorBidi"/>
              <w:noProof/>
              <w:kern w:val="2"/>
              <w:sz w:val="22"/>
              <w14:ligatures w14:val="standardContextual"/>
            </w:rPr>
          </w:pPr>
          <w:hyperlink w:history="1" w:anchor="_Toc142653823">
            <w:r w:rsidRPr="00815866" w:rsidR="00815866">
              <w:rPr>
                <w:rStyle w:val="Hyperlink"/>
                <w:rFonts w:eastAsiaTheme="majorEastAsia" w:cstheme="majorBidi"/>
                <w:noProof/>
              </w:rPr>
              <w:t>10.</w:t>
            </w:r>
            <w:r w:rsidRPr="00815866" w:rsidR="00815866">
              <w:rPr>
                <w:rFonts w:cstheme="minorBidi"/>
                <w:noProof/>
                <w:kern w:val="2"/>
                <w:sz w:val="22"/>
                <w14:ligatures w14:val="standardContextual"/>
              </w:rPr>
              <w:tab/>
            </w:r>
            <w:r w:rsidRPr="00815866" w:rsidR="00815866">
              <w:rPr>
                <w:rStyle w:val="Hyperlink"/>
                <w:rFonts w:eastAsiaTheme="majorEastAsia" w:cstheme="majorBidi"/>
                <w:noProof/>
              </w:rPr>
              <w:t>Assignment of Proceeding</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_Toc142653823 \h </w:instrText>
            </w:r>
            <w:r w:rsidRPr="00815866" w:rsidR="00815866">
              <w:rPr>
                <w:noProof/>
                <w:webHidden/>
              </w:rPr>
            </w:r>
            <w:r w:rsidRPr="00815866" w:rsidR="00815866">
              <w:rPr>
                <w:noProof/>
                <w:webHidden/>
              </w:rPr>
              <w:fldChar w:fldCharType="separate"/>
            </w:r>
            <w:r w:rsidRPr="00815866" w:rsidR="00815866">
              <w:rPr>
                <w:noProof/>
                <w:webHidden/>
              </w:rPr>
              <w:t>24</w:t>
            </w:r>
            <w:r w:rsidRPr="00815866" w:rsidR="00815866">
              <w:rPr>
                <w:noProof/>
                <w:webHidden/>
              </w:rPr>
              <w:fldChar w:fldCharType="end"/>
            </w:r>
          </w:hyperlink>
        </w:p>
        <w:p w:rsidRPr="00815866" w:rsidR="00815866" w:rsidRDefault="00000000" w14:paraId="765C5F20" w14:textId="64A6F20D">
          <w:pPr>
            <w:pStyle w:val="TOC1"/>
            <w:tabs>
              <w:tab w:val="right" w:leader="dot" w:pos="9350"/>
            </w:tabs>
            <w:rPr>
              <w:rFonts w:cstheme="minorBidi"/>
              <w:noProof/>
              <w:kern w:val="2"/>
              <w:sz w:val="22"/>
              <w14:ligatures w14:val="standardContextual"/>
            </w:rPr>
          </w:pPr>
          <w:hyperlink w:history="1" w:anchor="_Toc142653824">
            <w:r w:rsidRPr="00815866" w:rsidR="00815866">
              <w:rPr>
                <w:rStyle w:val="Hyperlink"/>
                <w:rFonts w:cs="Arial"/>
                <w:noProof/>
              </w:rPr>
              <w:t>Findings of Fact</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_Toc142653824 \h </w:instrText>
            </w:r>
            <w:r w:rsidRPr="00815866" w:rsidR="00815866">
              <w:rPr>
                <w:noProof/>
                <w:webHidden/>
              </w:rPr>
            </w:r>
            <w:r w:rsidRPr="00815866" w:rsidR="00815866">
              <w:rPr>
                <w:noProof/>
                <w:webHidden/>
              </w:rPr>
              <w:fldChar w:fldCharType="separate"/>
            </w:r>
            <w:r w:rsidRPr="00815866" w:rsidR="00815866">
              <w:rPr>
                <w:noProof/>
                <w:webHidden/>
              </w:rPr>
              <w:t>24</w:t>
            </w:r>
            <w:r w:rsidRPr="00815866" w:rsidR="00815866">
              <w:rPr>
                <w:noProof/>
                <w:webHidden/>
              </w:rPr>
              <w:fldChar w:fldCharType="end"/>
            </w:r>
          </w:hyperlink>
        </w:p>
        <w:p w:rsidRPr="00815866" w:rsidR="00815866" w:rsidRDefault="00000000" w14:paraId="50BA35CD" w14:textId="6A26E989">
          <w:pPr>
            <w:pStyle w:val="TOC1"/>
            <w:tabs>
              <w:tab w:val="right" w:leader="dot" w:pos="9350"/>
            </w:tabs>
            <w:rPr>
              <w:rFonts w:cstheme="minorBidi"/>
              <w:noProof/>
              <w:kern w:val="2"/>
              <w:sz w:val="22"/>
              <w14:ligatures w14:val="standardContextual"/>
            </w:rPr>
          </w:pPr>
          <w:hyperlink w:history="1" w:anchor="_Toc142653825">
            <w:r w:rsidRPr="00815866" w:rsidR="00815866">
              <w:rPr>
                <w:rStyle w:val="Hyperlink"/>
                <w:rFonts w:cs="Arial"/>
                <w:noProof/>
              </w:rPr>
              <w:t>Conclusions of Law</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_Toc142653825 \h </w:instrText>
            </w:r>
            <w:r w:rsidRPr="00815866" w:rsidR="00815866">
              <w:rPr>
                <w:noProof/>
                <w:webHidden/>
              </w:rPr>
            </w:r>
            <w:r w:rsidRPr="00815866" w:rsidR="00815866">
              <w:rPr>
                <w:noProof/>
                <w:webHidden/>
              </w:rPr>
              <w:fldChar w:fldCharType="separate"/>
            </w:r>
            <w:r w:rsidRPr="00815866" w:rsidR="00815866">
              <w:rPr>
                <w:noProof/>
                <w:webHidden/>
              </w:rPr>
              <w:t>24</w:t>
            </w:r>
            <w:r w:rsidRPr="00815866" w:rsidR="00815866">
              <w:rPr>
                <w:noProof/>
                <w:webHidden/>
              </w:rPr>
              <w:fldChar w:fldCharType="end"/>
            </w:r>
          </w:hyperlink>
        </w:p>
        <w:p w:rsidRPr="00815866" w:rsidR="00815866" w:rsidRDefault="00000000" w14:paraId="12AED7F6" w14:textId="68305932">
          <w:pPr>
            <w:pStyle w:val="TOC1"/>
            <w:tabs>
              <w:tab w:val="right" w:leader="dot" w:pos="9350"/>
            </w:tabs>
            <w:rPr>
              <w:rFonts w:cstheme="minorBidi"/>
              <w:noProof/>
              <w:kern w:val="2"/>
              <w:sz w:val="22"/>
              <w14:ligatures w14:val="standardContextual"/>
            </w:rPr>
          </w:pPr>
          <w:hyperlink w:history="1" w:anchor="_Toc142653826">
            <w:r w:rsidRPr="00815866" w:rsidR="00815866">
              <w:rPr>
                <w:rStyle w:val="Hyperlink"/>
                <w:rFonts w:eastAsiaTheme="majorEastAsia" w:cstheme="majorBidi"/>
                <w:caps/>
                <w:noProof/>
                <w:spacing w:val="120"/>
              </w:rPr>
              <w:t>ORDER</w:t>
            </w:r>
            <w:r w:rsidRPr="00815866" w:rsidR="00815866">
              <w:rPr>
                <w:noProof/>
                <w:webHidden/>
              </w:rPr>
              <w:tab/>
            </w:r>
            <w:r w:rsidRPr="00815866" w:rsidR="00815866">
              <w:rPr>
                <w:noProof/>
                <w:webHidden/>
              </w:rPr>
              <w:fldChar w:fldCharType="begin"/>
            </w:r>
            <w:r w:rsidRPr="00815866" w:rsidR="00815866">
              <w:rPr>
                <w:noProof/>
                <w:webHidden/>
              </w:rPr>
              <w:instrText xml:space="preserve"> PAGEREF _Toc142653826 \h </w:instrText>
            </w:r>
            <w:r w:rsidRPr="00815866" w:rsidR="00815866">
              <w:rPr>
                <w:noProof/>
                <w:webHidden/>
              </w:rPr>
            </w:r>
            <w:r w:rsidRPr="00815866" w:rsidR="00815866">
              <w:rPr>
                <w:noProof/>
                <w:webHidden/>
              </w:rPr>
              <w:fldChar w:fldCharType="separate"/>
            </w:r>
            <w:r w:rsidRPr="00815866" w:rsidR="00815866">
              <w:rPr>
                <w:noProof/>
                <w:webHidden/>
              </w:rPr>
              <w:t>25</w:t>
            </w:r>
            <w:r w:rsidRPr="00815866" w:rsidR="00815866">
              <w:rPr>
                <w:noProof/>
                <w:webHidden/>
              </w:rPr>
              <w:fldChar w:fldCharType="end"/>
            </w:r>
          </w:hyperlink>
        </w:p>
        <w:p w:rsidR="00D82A43" w:rsidP="008C7413" w:rsidRDefault="008C7413" w14:paraId="42E12FD7" w14:textId="589FADB7">
          <w:pPr>
            <w:pStyle w:val="TOC1"/>
            <w:tabs>
              <w:tab w:val="right" w:leader="dot" w:pos="9350"/>
            </w:tabs>
          </w:pPr>
          <w:r>
            <w:rPr>
              <w:rFonts w:asciiTheme="minorHAnsi" w:hAnsiTheme="minorHAnsi"/>
              <w:sz w:val="22"/>
            </w:rPr>
            <w:fldChar w:fldCharType="end"/>
          </w:r>
        </w:p>
      </w:sdtContent>
    </w:sdt>
    <w:p w:rsidR="00D44DB6" w:rsidP="00D44DB6" w:rsidRDefault="00D44DB6" w14:paraId="18185EDA" w14:textId="77777777">
      <w:pPr>
        <w:spacing w:line="240" w:lineRule="auto"/>
        <w:ind w:firstLine="0"/>
        <w:rPr>
          <w:rFonts w:cs="Arial"/>
          <w:i/>
          <w:szCs w:val="26"/>
        </w:rPr>
      </w:pPr>
    </w:p>
    <w:p w:rsidRPr="00815866" w:rsidR="00815866" w:rsidP="00D44DB6" w:rsidRDefault="00815866" w14:paraId="3E69E68C" w14:textId="77FDED04">
      <w:pPr>
        <w:spacing w:line="240" w:lineRule="auto"/>
        <w:ind w:firstLine="0"/>
        <w:rPr>
          <w:rFonts w:cs="Arial"/>
          <w:iCs/>
          <w:szCs w:val="26"/>
        </w:rPr>
        <w:sectPr w:rsidRPr="00815866" w:rsidR="00815866" w:rsidSect="00D44DB6">
          <w:headerReference w:type="default" r:id="rId12"/>
          <w:footerReference w:type="default" r:id="rId13"/>
          <w:pgSz w:w="12240" w:h="15840"/>
          <w:pgMar w:top="1728" w:right="1440" w:bottom="1440" w:left="1440" w:header="720" w:footer="720" w:gutter="0"/>
          <w:pgNumType w:fmt="lowerRoman" w:start="1"/>
          <w:cols w:space="720"/>
          <w:docGrid w:linePitch="360"/>
        </w:sectPr>
      </w:pPr>
      <w:r>
        <w:rPr>
          <w:rFonts w:cs="Arial"/>
          <w:iCs/>
          <w:szCs w:val="26"/>
        </w:rPr>
        <w:t>Attachment 1 – Report Template</w:t>
      </w:r>
    </w:p>
    <w:p w:rsidRPr="00815866" w:rsidR="00815866" w:rsidP="00815866" w:rsidRDefault="00815866" w14:paraId="1102511B" w14:textId="0A0FDBE9">
      <w:pPr>
        <w:pStyle w:val="Dummy"/>
        <w:spacing w:after="360"/>
        <w:jc w:val="center"/>
      </w:pPr>
      <w:bookmarkStart w:name="_Toc142653808" w:id="1"/>
      <w:bookmarkStart w:name="_Hlk142308092" w:id="2"/>
      <w:bookmarkStart w:name="_Hlk142308136" w:id="3"/>
      <w:r w:rsidRPr="00815866">
        <w:lastRenderedPageBreak/>
        <w:t xml:space="preserve">DECISION ADOPTING ENERGY </w:t>
      </w:r>
      <w:r w:rsidRPr="00815866">
        <w:br/>
        <w:t>EFFICIENCY GOALS FOR 2024-2035</w:t>
      </w:r>
      <w:bookmarkEnd w:id="1"/>
    </w:p>
    <w:p w:rsidRPr="00815866" w:rsidR="00815866" w:rsidP="00815866" w:rsidRDefault="00815866" w14:paraId="20EE42EA" w14:textId="77777777">
      <w:pPr>
        <w:keepNext/>
        <w:keepLines/>
        <w:spacing w:after="120" w:line="240" w:lineRule="auto"/>
        <w:ind w:firstLine="0"/>
        <w:outlineLvl w:val="0"/>
        <w:rPr>
          <w:rFonts w:ascii="Arial" w:hAnsi="Arial" w:cs="Arial"/>
          <w:b/>
          <w:szCs w:val="26"/>
        </w:rPr>
      </w:pPr>
      <w:bookmarkStart w:name="_Toc119415983" w:id="4"/>
      <w:bookmarkStart w:name="_Toc142653809" w:id="5"/>
      <w:bookmarkEnd w:id="2"/>
      <w:r w:rsidRPr="00815866">
        <w:rPr>
          <w:rFonts w:ascii="Arial" w:hAnsi="Arial" w:cs="Arial"/>
          <w:b/>
          <w:szCs w:val="26"/>
        </w:rPr>
        <w:t>Summary</w:t>
      </w:r>
      <w:bookmarkEnd w:id="4"/>
      <w:bookmarkEnd w:id="5"/>
    </w:p>
    <w:p w:rsidRPr="00815866" w:rsidR="00815866" w:rsidP="00815866" w:rsidRDefault="00815866" w14:paraId="6F89D722" w14:textId="77777777">
      <w:r w:rsidRPr="00815866">
        <w:t xml:space="preserve">This decision adopts total system benefit and energy savings goals for ratepayer-funded energy efficiency portfolios for 2024 – 2035. </w:t>
      </w:r>
    </w:p>
    <w:p w:rsidRPr="00815866" w:rsidR="00815866" w:rsidP="00815866" w:rsidRDefault="00815866" w14:paraId="160F222C" w14:textId="77777777">
      <w:r w:rsidRPr="00815866">
        <w:rPr>
          <w:rFonts w:cs="Arial"/>
          <w:szCs w:val="26"/>
        </w:rPr>
        <w:t>Rulemaking 13-11-005</w:t>
      </w:r>
      <w:r w:rsidRPr="00815866">
        <w:t xml:space="preserve"> remains open.</w:t>
      </w:r>
    </w:p>
    <w:p w:rsidRPr="00815866" w:rsidR="00815866" w:rsidP="00815866" w:rsidRDefault="00815866" w14:paraId="5D9EBE56" w14:textId="77777777">
      <w:pPr>
        <w:pStyle w:val="Heading1"/>
      </w:pPr>
      <w:bookmarkStart w:name="_Toc119415984" w:id="6"/>
      <w:bookmarkStart w:name="_Toc142653810" w:id="7"/>
      <w:r w:rsidRPr="00815866">
        <w:t>Background</w:t>
      </w:r>
      <w:bookmarkEnd w:id="6"/>
      <w:bookmarkEnd w:id="7"/>
      <w:r w:rsidRPr="00815866">
        <w:t xml:space="preserve"> </w:t>
      </w:r>
    </w:p>
    <w:p w:rsidRPr="00815866" w:rsidR="00815866" w:rsidP="00815866" w:rsidRDefault="00815866" w14:paraId="2DF8C69B" w14:textId="77777777">
      <w:pPr>
        <w:pStyle w:val="Heading2"/>
      </w:pPr>
      <w:bookmarkStart w:name="_Toc142653811" w:id="8"/>
      <w:r w:rsidRPr="00815866">
        <w:t>Procedural Background</w:t>
      </w:r>
      <w:bookmarkEnd w:id="8"/>
    </w:p>
    <w:p w:rsidRPr="00815866" w:rsidR="00815866" w:rsidP="00815866" w:rsidRDefault="00815866" w14:paraId="3BE7E839" w14:textId="77777777">
      <w:r w:rsidRPr="00815866">
        <w:t>California Public Utilities (Pub. Util.) Code Sections 454.55 and 454.56 require the California Public Utilities Commission (Commission), in consultation with the California Energy Commission (CEC), to identify all potentially achievable cost</w:t>
      </w:r>
      <w:r w:rsidRPr="00815866">
        <w:noBreakHyphen/>
        <w:t>effective electricity and natural gas efficiency savings and “establish efficiency targets” for electrical and gas corporations to achieve.</w:t>
      </w:r>
      <w:r w:rsidRPr="00815866">
        <w:rPr>
          <w:vertAlign w:val="superscript"/>
        </w:rPr>
        <w:footnoteReference w:id="2"/>
      </w:r>
      <w:r w:rsidRPr="00815866">
        <w:t xml:space="preserve"> To this end, Commission staff manage the development of a study that provides the technical analysis for assessing the cost-effective energy savings, and associated system benefits, potentially available in the state’s residential and commercial building stocks, residential and commercial equipment and processes, and the industrial, agricultural and mining sectors. We use this study primarily to set goals for the large investor-owned utilities (IOUs).</w:t>
      </w:r>
      <w:r w:rsidRPr="00815866">
        <w:rPr>
          <w:vertAlign w:val="superscript"/>
        </w:rPr>
        <w:footnoteReference w:id="3"/>
      </w:r>
      <w:r w:rsidRPr="00815866">
        <w:t xml:space="preserve"> These goals in turn inform </w:t>
      </w:r>
      <w:r w:rsidRPr="00815866">
        <w:lastRenderedPageBreak/>
        <w:t>the planning activities of the energy efficiency portfolio administrators, Commission staff in integrated energy resource planning, and other state agencies, including the CEC, California Air Resources Board (CARB), and the California Independent System Operator. The Commission aims to set goals that are “aggressive yet achievable,”</w:t>
      </w:r>
      <w:r w:rsidRPr="00815866">
        <w:rPr>
          <w:vertAlign w:val="superscript"/>
        </w:rPr>
        <w:footnoteReference w:id="4"/>
      </w:r>
      <w:r w:rsidRPr="00815866">
        <w:t xml:space="preserve"> reflecting our intent to balance the mandate to pursue all feasible, reliable and cost-effective energy efficiency opportunities with the important objective of providing reliable estimates for resource planning purposes.</w:t>
      </w:r>
    </w:p>
    <w:p w:rsidRPr="00815866" w:rsidR="00815866" w:rsidP="00815866" w:rsidRDefault="00815866" w14:paraId="4AC4AA39" w14:textId="77777777">
      <w:r w:rsidRPr="00815866">
        <w:t>Decision (D.) 15-10-028 established an approach to incorporate new information into required energy efficiency work products, such as the potential study, on a regular basis. D.21-05-031, which adopted a new total system benefit (TSB) goal metric, directed that this new metric replace energy and peak demand savings goals as the single goals metric. The TSB metric reflects the lifecycle energy, capacity, and greenhouse gas benefits of a measure in dollar terms, in contrast to the separate energy and peak demand (</w:t>
      </w:r>
      <w:r w:rsidRPr="00815866">
        <w:rPr>
          <w:i/>
          <w:iCs/>
        </w:rPr>
        <w:t>i.e</w:t>
      </w:r>
      <w:r w:rsidRPr="00815866">
        <w:t>., kilowatt-hour, kilowatt, and therm) goals we have traditionally adopted.</w:t>
      </w:r>
    </w:p>
    <w:p w:rsidRPr="00815866" w:rsidR="00815866" w:rsidP="00815866" w:rsidRDefault="00815866" w14:paraId="75C32C8A" w14:textId="77777777">
      <w:r w:rsidRPr="00815866">
        <w:t xml:space="preserve">The Commission last revised energy efficiency goals in D.21-09-037. The Commission needs to adopt goals for 2024 forward, and incorporate new information that updates or modifies some of the inputs and approaches to estimating energy efficiency potential. </w:t>
      </w:r>
    </w:p>
    <w:p w:rsidRPr="00815866" w:rsidR="00815866" w:rsidP="00815866" w:rsidRDefault="00815866" w14:paraId="5B90902F" w14:textId="77777777">
      <w:r w:rsidRPr="00815866">
        <w:lastRenderedPageBreak/>
        <w:t>On April 17, 2023, the assigned administrative law judge (ALJ) issued a ruling inviting parties to comment on the draft 2023 potential study (draft potential study).</w:t>
      </w:r>
      <w:r w:rsidRPr="00815866">
        <w:rPr>
          <w:vertAlign w:val="superscript"/>
        </w:rPr>
        <w:footnoteReference w:id="5"/>
      </w:r>
      <w:r w:rsidRPr="00815866">
        <w:t xml:space="preserve"> On May 3, 2023, Commission staff held a workshop for the study’s author, Guidehouse, to provide an overview of the draft potential study, and for parties to ask questions.</w:t>
      </w:r>
    </w:p>
    <w:p w:rsidRPr="00815866" w:rsidR="00815866" w:rsidP="00815866" w:rsidRDefault="00815866" w14:paraId="53F84433" w14:textId="77777777">
      <w:r w:rsidRPr="00815866">
        <w:t>The draft potential study updates the energy savings potential forecasts of the 2021 potential study, with updated avoided cost assumptions and updated savings estimates for fuel substitution, behavioral, retro commissioning and operational programs, and new assumptions reflecting impacts from the federal Inflation Reduction Act (IRA) and CARB’s proposal for a zero-emission standard for space and water heaters in 2030. The draft potential study presents four scenarios of energy efficiency potential based on different assumptions regarding cost-effectiveness and adoption levels:</w:t>
      </w:r>
    </w:p>
    <w:p w:rsidRPr="00815866" w:rsidR="00815866" w:rsidP="00815866" w:rsidRDefault="00815866" w14:paraId="765D2C4B" w14:textId="77777777">
      <w:pPr>
        <w:numPr>
          <w:ilvl w:val="0"/>
          <w:numId w:val="29"/>
        </w:numPr>
        <w:spacing w:after="120" w:line="240" w:lineRule="auto"/>
        <w:ind w:right="1440"/>
      </w:pPr>
      <w:r w:rsidRPr="00815866">
        <w:t>Scenario 1: Energy efficiency incentive levels capped at 50 percent, “reference” assumptions for fuel substitution. IRA tax credits not considered;</w:t>
      </w:r>
    </w:p>
    <w:p w:rsidRPr="00815866" w:rsidR="00815866" w:rsidP="00815866" w:rsidRDefault="00815866" w14:paraId="6F793C4B" w14:textId="77777777">
      <w:pPr>
        <w:numPr>
          <w:ilvl w:val="0"/>
          <w:numId w:val="29"/>
        </w:numPr>
        <w:spacing w:after="120" w:line="240" w:lineRule="auto"/>
        <w:ind w:right="1440"/>
      </w:pPr>
      <w:r w:rsidRPr="00815866">
        <w:t>Scenario 2:  Conservative or “reference” assumptions for IRA tax credits, energy efficiency incentive levels capped at 50 percent, “reference” assumptions for fuel substitution;</w:t>
      </w:r>
    </w:p>
    <w:p w:rsidRPr="00815866" w:rsidR="00815866" w:rsidP="00815866" w:rsidRDefault="00815866" w14:paraId="190AFD9D" w14:textId="77777777">
      <w:pPr>
        <w:numPr>
          <w:ilvl w:val="0"/>
          <w:numId w:val="29"/>
        </w:numPr>
        <w:spacing w:after="120" w:line="240" w:lineRule="auto"/>
        <w:ind w:right="1440"/>
      </w:pPr>
      <w:r w:rsidRPr="00815866">
        <w:t>Scenario 3:  Conservative or “reference” assumptions for IRA tax credits, energy efficiency incentive levels capped at 75 percent, aggressive assumptions for fuel substitution; and</w:t>
      </w:r>
    </w:p>
    <w:p w:rsidRPr="00815866" w:rsidR="00815866" w:rsidP="00815866" w:rsidRDefault="00815866" w14:paraId="55B026F5" w14:textId="77777777">
      <w:pPr>
        <w:numPr>
          <w:ilvl w:val="0"/>
          <w:numId w:val="29"/>
        </w:numPr>
        <w:spacing w:after="120" w:line="240" w:lineRule="auto"/>
        <w:ind w:right="1440"/>
      </w:pPr>
      <w:r w:rsidRPr="00815866">
        <w:t>Scenario 4:  Aggressive assumptions for IRA tax credits, energy efficiency incentive levels capped at 50 percent, “reference” assumptions for fuel substitution.</w:t>
      </w:r>
    </w:p>
    <w:p w:rsidRPr="00815866" w:rsidR="00815866" w:rsidP="00815866" w:rsidRDefault="00815866" w14:paraId="61D36450" w14:textId="77777777">
      <w:r w:rsidRPr="00815866">
        <w:lastRenderedPageBreak/>
        <w:t xml:space="preserve">The Public Advocate’s Office of the Public Utilities Commission </w:t>
      </w:r>
      <w:r w:rsidRPr="00815866">
        <w:br/>
        <w:t>(Cal Advocates); California Efficiency + Demand Management Council (CEDMC); Small Business Utility Advocates (SBUA); Natural Resources Defense Council (NRDC); Association of Bay Area Governments on behalf of Bay Area Regional Energy Network and County of Ventura on behalf of Tri-County Regional Energy Network (jointly, BayREN and 3C-REN); Southern California Regional Energy Network (SoCalREN); Pacific Gas and Electric Company (PG&amp;E); San Diego Gas &amp; Electric Company (SDG&amp;E); Southern California Edison Company (SCE); Southern California Gas Company (SoCalGas); and SPAN.IO, Inc. (SPAN) timely filed comments in response to the April 17, 2023 ruling.</w:t>
      </w:r>
      <w:r w:rsidRPr="00815866">
        <w:rPr>
          <w:vertAlign w:val="superscript"/>
        </w:rPr>
        <w:footnoteReference w:id="6"/>
      </w:r>
      <w:r w:rsidRPr="00815866">
        <w:t xml:space="preserve"> On May 18, 2023, CEDMC; SBUA; BayREN and 3C-REN (jointly); PG&amp;E; SDG&amp;E; SCE; SoCalGas; SPAN; NRDC and Sierra Club (jointly); Redwood Coast Energy Authority on behalf of Rural Regional Energy Network (R-REN); Western Riverside Council of Governments on behalf of the Inland Regional Energy Network (I-REN); and San Joaquin Valley Clean Energy Organization (SJVCEO) filed reply comments. </w:t>
      </w:r>
    </w:p>
    <w:p w:rsidRPr="00815866" w:rsidR="00815866" w:rsidP="00815866" w:rsidRDefault="00815866" w14:paraId="05BC2CB4" w14:textId="77777777">
      <w:r w:rsidRPr="00815866">
        <w:t xml:space="preserve">We address party comments as they relate to our consideration of draft potential study assumptions and the determinations we reach in this decision. </w:t>
      </w:r>
    </w:p>
    <w:p w:rsidRPr="00815866" w:rsidR="00815866" w:rsidP="00815866" w:rsidRDefault="00815866" w14:paraId="1F0BAE7D" w14:textId="77777777">
      <w:pPr>
        <w:keepNext/>
        <w:keepLines/>
        <w:numPr>
          <w:ilvl w:val="1"/>
          <w:numId w:val="25"/>
        </w:numPr>
        <w:tabs>
          <w:tab w:val="num" w:pos="360"/>
          <w:tab w:val="num" w:pos="1080"/>
        </w:tabs>
        <w:spacing w:after="120" w:line="240" w:lineRule="auto"/>
        <w:ind w:left="0" w:right="2160" w:firstLine="720"/>
        <w:outlineLvl w:val="1"/>
        <w:rPr>
          <w:rFonts w:ascii="Arial" w:hAnsi="Arial" w:cs="Arial"/>
          <w:b/>
          <w:szCs w:val="26"/>
        </w:rPr>
      </w:pPr>
      <w:bookmarkStart w:name="_Toc142653812" w:id="9"/>
      <w:r w:rsidRPr="00815866">
        <w:rPr>
          <w:rFonts w:ascii="Arial" w:hAnsi="Arial" w:cs="Arial"/>
          <w:b/>
          <w:szCs w:val="26"/>
        </w:rPr>
        <w:t>Submission Date</w:t>
      </w:r>
      <w:bookmarkEnd w:id="9"/>
    </w:p>
    <w:p w:rsidRPr="00815866" w:rsidR="00815866" w:rsidP="00815866" w:rsidRDefault="00815866" w14:paraId="1E31B4A0" w14:textId="77777777">
      <w:r w:rsidRPr="00815866">
        <w:t>This matter was submitted for decision on May 18, 2023, upon filing of the reply comments.</w:t>
      </w:r>
    </w:p>
    <w:p w:rsidRPr="00815866" w:rsidR="00815866" w:rsidP="00815866" w:rsidRDefault="00815866" w14:paraId="73EB0EFA" w14:textId="77777777">
      <w:pPr>
        <w:pStyle w:val="Heading1"/>
      </w:pPr>
      <w:bookmarkStart w:name="_Toc142653813" w:id="10"/>
      <w:r w:rsidRPr="00815866">
        <w:lastRenderedPageBreak/>
        <w:t xml:space="preserve">Inclusion of Inflation Reduction </w:t>
      </w:r>
      <w:r w:rsidRPr="00815866">
        <w:br/>
        <w:t>Act (IRA) Impacts</w:t>
      </w:r>
      <w:bookmarkEnd w:id="10"/>
    </w:p>
    <w:p w:rsidRPr="00815866" w:rsidR="00815866" w:rsidP="00815866" w:rsidRDefault="00815866" w14:paraId="1BAA7725" w14:textId="77777777">
      <w:r w:rsidRPr="00815866">
        <w:t>Cal Advocates and SCE recommend against including any assumed impacts from the IRA. Cal Advocates raises several arguments that generally agree with the draft potential study’s acknowledgment that the “precise impacts of the IRA are difficult to predict.”</w:t>
      </w:r>
      <w:r w:rsidRPr="00815866">
        <w:rPr>
          <w:vertAlign w:val="superscript"/>
        </w:rPr>
        <w:footnoteReference w:id="7"/>
      </w:r>
      <w:r w:rsidRPr="00815866">
        <w:t xml:space="preserve"> SCE similarly suggests holding off on including IRA impacts until more is known about the impact of energy efficiency home improvement credits on uptake of energy efficiency upgrades. SCE also disagrees with the draft potential study’s assumption that IRA tax credits feed into the TRC test and act to increase cost-effectiveness.</w:t>
      </w:r>
      <w:r w:rsidRPr="00815866">
        <w:rPr>
          <w:vertAlign w:val="superscript"/>
        </w:rPr>
        <w:footnoteReference w:id="8"/>
      </w:r>
      <w:r w:rsidRPr="00815866">
        <w:t xml:space="preserve"> In reply comments, CEDMC agrees with Cal Advocates and SCE, identifying a number of uncertainties about implementation of the IRA.</w:t>
      </w:r>
      <w:r w:rsidRPr="00815866">
        <w:rPr>
          <w:vertAlign w:val="superscript"/>
        </w:rPr>
        <w:footnoteReference w:id="9"/>
      </w:r>
      <w:r w:rsidRPr="00815866">
        <w:t xml:space="preserve"> </w:t>
      </w:r>
    </w:p>
    <w:p w:rsidRPr="00815866" w:rsidR="00815866" w:rsidP="00815866" w:rsidRDefault="00815866" w14:paraId="75A996B0" w14:textId="77777777">
      <w:r w:rsidRPr="00815866">
        <w:t>NRDC, PG&amp;E, SBUA, BayREN and 3C-REN, SoCalREN, and SDG&amp;E support inclusion of the reference IRA assumptions, either explicitly or by virtue of recommending adoption of Scenario 2 or, for BayREN and 3C-REN, a variation between Scenarios 2 and 3.</w:t>
      </w:r>
      <w:r w:rsidRPr="00815866">
        <w:rPr>
          <w:vertAlign w:val="superscript"/>
        </w:rPr>
        <w:footnoteReference w:id="10"/>
      </w:r>
      <w:r w:rsidRPr="00815866">
        <w:t xml:space="preserve"> While these parties acknowledge the uncertainty of IRA implementation highlighted by Cal Advocates and SCE, they generally favor including some impacts from the IRA as opposed to no impacts.</w:t>
      </w:r>
    </w:p>
    <w:p w:rsidRPr="00815866" w:rsidR="00815866" w:rsidP="00815866" w:rsidRDefault="00815866" w14:paraId="0606CC63" w14:textId="77777777">
      <w:r w:rsidRPr="00815866">
        <w:t xml:space="preserve">SoCalGas recommends inclusion of the aggressive IRA assumptions, noting that the aggressive IRA assumptions include a greater penetration in the commercial sector, and that the draft potential study excludes funding for </w:t>
      </w:r>
      <w:r w:rsidRPr="00815866">
        <w:lastRenderedPageBreak/>
        <w:t xml:space="preserve">specific programs, such as the High-Efficiency Electric Home Rebate and </w:t>
      </w:r>
      <w:r w:rsidRPr="00815866">
        <w:br/>
        <w:t>Home Owner Managing Energy Savings programs, which SoCalGas asserts are significant components of the IRA.</w:t>
      </w:r>
      <w:r w:rsidRPr="00815866">
        <w:rPr>
          <w:vertAlign w:val="superscript"/>
        </w:rPr>
        <w:footnoteReference w:id="11"/>
      </w:r>
    </w:p>
    <w:p w:rsidRPr="00815866" w:rsidR="00815866" w:rsidP="00815866" w:rsidRDefault="00815866" w14:paraId="4DDB9B8D" w14:textId="77777777">
      <w:r w:rsidRPr="00815866">
        <w:t>As most parties acknowledge, the draft potential study assumes impacts from the IRA tax credits but does not include rebates/funding for specific programs. At the time the draft potential study was conducted, details about the rebates/program funding were not available, making it difficult to model them with any confidence. This decision generally agrees with the reasoning of most parties that, while the precise impacts of the IRA remain challenging to estimate, it is reasonable to assume some impacts from the IRA on energy efficiency savings. Of the two sets of assumptions, the reference IRA assumptions are more reasonable to incorporate into our consideration for setting goals, as they have a more feasible estimation for commercial potential. With respect to SCE’s disagreement with the draft potential study’s statement that the tax credits feed into the TRC test, we confirm that the draft potential study’s approach to modeling the tax credits is to account for tax credits (as a reduction in cost) in the year during which the tax credit is assumed to be claimed by a participant.</w:t>
      </w:r>
      <w:r w:rsidRPr="00815866">
        <w:rPr>
          <w:vertAlign w:val="superscript"/>
        </w:rPr>
        <w:footnoteReference w:id="12"/>
      </w:r>
    </w:p>
    <w:p w:rsidRPr="00815866" w:rsidR="00815866" w:rsidP="00815866" w:rsidRDefault="00815866" w14:paraId="7CEB42CA" w14:textId="77777777">
      <w:pPr>
        <w:keepNext/>
        <w:keepLines/>
        <w:numPr>
          <w:ilvl w:val="1"/>
          <w:numId w:val="25"/>
        </w:numPr>
        <w:tabs>
          <w:tab w:val="num" w:pos="360"/>
          <w:tab w:val="num" w:pos="1080"/>
        </w:tabs>
        <w:spacing w:after="120" w:line="240" w:lineRule="auto"/>
        <w:ind w:left="0" w:right="2160" w:firstLine="720"/>
        <w:outlineLvl w:val="1"/>
        <w:rPr>
          <w:rFonts w:ascii="Arial" w:hAnsi="Arial" w:cs="Arial"/>
          <w:b/>
          <w:szCs w:val="26"/>
        </w:rPr>
      </w:pPr>
      <w:bookmarkStart w:name="_Toc142653814" w:id="11"/>
      <w:r w:rsidRPr="00815866">
        <w:rPr>
          <w:rFonts w:ascii="Arial" w:hAnsi="Arial" w:cs="Arial"/>
          <w:b/>
          <w:szCs w:val="26"/>
        </w:rPr>
        <w:t>IRA Implementation Guidance</w:t>
      </w:r>
      <w:bookmarkEnd w:id="11"/>
    </w:p>
    <w:p w:rsidRPr="00815866" w:rsidR="00815866" w:rsidP="00815866" w:rsidRDefault="00815866" w14:paraId="686E4607" w14:textId="77777777">
      <w:r w:rsidRPr="00815866">
        <w:t xml:space="preserve">Many parties, regardless of whether they support including impacts from the IRA, raise an implementation question of whether and how to track and </w:t>
      </w:r>
      <w:r w:rsidRPr="00815866">
        <w:lastRenderedPageBreak/>
        <w:t>account for customers who leverage the available tax credits.</w:t>
      </w:r>
      <w:r w:rsidRPr="00815866">
        <w:rPr>
          <w:vertAlign w:val="superscript"/>
        </w:rPr>
        <w:footnoteReference w:id="13"/>
      </w:r>
      <w:r w:rsidRPr="00815866">
        <w:t xml:space="preserve"> NRDC observes that program design should account for the fact that implementers will need to educate customers on how to claim IRA tax credits, and evaluations should assess whether customers claimed the IRA tax credit, and reasons for not claiming the tax credit.</w:t>
      </w:r>
      <w:r w:rsidRPr="00815866">
        <w:rPr>
          <w:vertAlign w:val="superscript"/>
        </w:rPr>
        <w:footnoteReference w:id="14"/>
      </w:r>
      <w:r w:rsidRPr="00815866">
        <w:t xml:space="preserve"> SoCalGas suggests that the Commission encourage the use of outside funds in ratepayer-funded programs by directing that evaluation methods consider co-funding as a form of energy efficiency program influence (as opposed to an indication of free-ridership).</w:t>
      </w:r>
      <w:r w:rsidRPr="00815866">
        <w:rPr>
          <w:vertAlign w:val="superscript"/>
        </w:rPr>
        <w:footnoteReference w:id="15"/>
      </w:r>
      <w:r w:rsidRPr="00815866">
        <w:t xml:space="preserve"> Similarly, SDG&amp;E identifies potential negative impacts to program net-to-gross (NTG) if customer choice is partially influenced by the IRA, and suggests that we alternatively consider the IRA tax credit as a benefit in that it improves customers’ return on investment calculations.</w:t>
      </w:r>
      <w:r w:rsidRPr="00815866">
        <w:rPr>
          <w:vertAlign w:val="superscript"/>
        </w:rPr>
        <w:footnoteReference w:id="16"/>
      </w:r>
      <w:r w:rsidRPr="00815866">
        <w:t xml:space="preserve"> SCE, though it recommends against including IRA impacts, urges the Commission to use the incentive “stacking” or layering framework established in the Building Decarbonization proceeding (Rulemaking 19-01-011), as this would enable IRA funding and other funding sources to be fully </w:t>
      </w:r>
      <w:r w:rsidRPr="00815866">
        <w:lastRenderedPageBreak/>
        <w:t>leveraged for building electrification measures.</w:t>
      </w:r>
      <w:r w:rsidRPr="00815866">
        <w:rPr>
          <w:vertAlign w:val="superscript"/>
        </w:rPr>
        <w:footnoteReference w:id="17"/>
      </w:r>
      <w:r w:rsidRPr="00815866">
        <w:t xml:space="preserve"> CEDMC also urges the Commission to consider how to stack incentives. Like NRDC, CEDMC urges consideration of rebate engagement including user-friendliness, timeliness, efficiency of the flow of funds and security and oversight. CEDMC also recommends that policy and implementation considerations include equitable distribution of benefits in line with the Justice40 Initiative and the state’s equity goals.</w:t>
      </w:r>
      <w:r w:rsidRPr="00815866">
        <w:rPr>
          <w:vertAlign w:val="superscript"/>
        </w:rPr>
        <w:footnoteReference w:id="18"/>
      </w:r>
    </w:p>
    <w:p w:rsidRPr="00815866" w:rsidR="00815866" w:rsidP="00815866" w:rsidRDefault="00815866" w14:paraId="6981641D" w14:textId="77777777">
      <w:r w:rsidRPr="00815866">
        <w:t>The Commission agrees with the need for explicit evaluation guidance in order to encourage implementers to leverage the IRA in marketing and promoting energy efficiency projects. Such guidance also in part addresses the concern raised by Cal Advocates and PG&amp;E regarding challenges to tracking customer savings and utilization of tax credits. This decision provides that ex</w:t>
      </w:r>
      <w:r w:rsidRPr="00815866">
        <w:noBreakHyphen/>
        <w:t xml:space="preserve">post evaluations should align with the draft potential study’s assumptions, </w:t>
      </w:r>
      <w:r w:rsidRPr="00815866">
        <w:rPr>
          <w:i/>
          <w:iCs/>
        </w:rPr>
        <w:t>i.e.</w:t>
      </w:r>
      <w:r w:rsidRPr="00815866">
        <w:t xml:space="preserve">, evaluations should not lower the program NTG ratio in cases where collected documentation shows IRA tax credits influenced a customer’s choice to adopt an energy efficiency measure or project. Portfolio administrators and/or program implementers must create and maintain, at minimum, promotional and educational documentation to influence customers to use the IRA tax credit for applicable measures. </w:t>
      </w:r>
      <w:r w:rsidRPr="00815866">
        <w:rPr>
          <w:lang w:val="en"/>
        </w:rPr>
        <w:t xml:space="preserve">Promotional materials must explain the benefits of IRA tax </w:t>
      </w:r>
      <w:r w:rsidRPr="00815866">
        <w:rPr>
          <w:lang w:val="en"/>
        </w:rPr>
        <w:lastRenderedPageBreak/>
        <w:t>credits to the end customer. Educational materials must explain how IRA tax credits can be used by the customer to calculate their cost for equipment and installation, as well as information about how the customer claims the tax credits. The portfolio administrators must take steps to identify which customers have received or plan to receive the applicable IRA tax incentives in order to receive credit for IRA program influence in their ex-post evaluations. Portfolio administrators may do this by adding questions to existing tools to inspect their programs and determine customer eligibility.</w:t>
      </w:r>
    </w:p>
    <w:p w:rsidRPr="00815866" w:rsidR="00815866" w:rsidP="00815866" w:rsidRDefault="00815866" w14:paraId="23EAAA1E" w14:textId="77777777">
      <w:pPr>
        <w:pStyle w:val="Heading1"/>
      </w:pPr>
      <w:bookmarkStart w:name="_Toc142653815" w:id="12"/>
      <w:r w:rsidRPr="00815866">
        <w:t xml:space="preserve">Assumptions Regarding </w:t>
      </w:r>
      <w:r w:rsidRPr="00815866">
        <w:br/>
        <w:t>Fuel Substitution</w:t>
      </w:r>
      <w:bookmarkEnd w:id="12"/>
    </w:p>
    <w:p w:rsidRPr="00815866" w:rsidR="00815866" w:rsidP="00815866" w:rsidRDefault="00815866" w14:paraId="7C8D04DB" w14:textId="77777777">
      <w:r w:rsidRPr="00815866">
        <w:t>Most parties recommend adoption of a scenario that includes reference assumptions as opposed to aggressive assumptions for fuel substitution, asserting generally that the draft potential study’s aggressive assumptions are unreasonably optimistic.</w:t>
      </w:r>
      <w:r w:rsidRPr="00815866">
        <w:rPr>
          <w:vertAlign w:val="superscript"/>
        </w:rPr>
        <w:footnoteReference w:id="19"/>
      </w:r>
      <w:r w:rsidRPr="00815866">
        <w:t xml:space="preserve"> NRDC and Sierra Club are the two parties that support inclusion of aggressive fuel substitution assumptions, asserting that this is necessary to ensure the market is mature enough by 2030 for CARB to equitably implement zero-emission standards for space and water heating.</w:t>
      </w:r>
      <w:r w:rsidRPr="00815866">
        <w:rPr>
          <w:vertAlign w:val="superscript"/>
        </w:rPr>
        <w:footnoteReference w:id="20"/>
      </w:r>
      <w:r w:rsidRPr="00815866">
        <w:t xml:space="preserve"> Several parties observe a considerable gap in results between Scenarios 2 and 3, which differ mainly on the fuel substitution assumptions, and suggest further modeling of some sort of “middle ground” between the reference and aggressive fuel substitution assumptions is needed.</w:t>
      </w:r>
      <w:r w:rsidRPr="00815866">
        <w:rPr>
          <w:vertAlign w:val="superscript"/>
        </w:rPr>
        <w:footnoteReference w:id="21"/>
      </w:r>
    </w:p>
    <w:p w:rsidRPr="00815866" w:rsidR="00815866" w:rsidP="00815866" w:rsidRDefault="00815866" w14:paraId="49003C18" w14:textId="77777777">
      <w:r w:rsidRPr="00815866">
        <w:lastRenderedPageBreak/>
        <w:t>This decision agrees with most parties that the draft potential study’s reference fuel substitution assumptions are reasonable (as incorporated into Scenarios 1, 2 and 4) as opposed to the aggressive assumptions. In D.21-09-037 the Commission adopted goals that for the first time included savings from fuel substitution. Those estimates were significantly high and did not account for more recent program data from PG&amp;E and SCE. In adopting goals that included these significant fuel substitution savings, we stated our intent to send a strong signal for portfolio administrators to aggressively pursue fuel substitution savings opportunities. Importantly, D.21-09-037 also acknowledged that the Commission would have the benefit of more program data to estimate fuel substitution savings potential more accurately as part of the 2023 study.</w:t>
      </w:r>
      <w:r w:rsidRPr="00815866">
        <w:rPr>
          <w:vertAlign w:val="superscript"/>
        </w:rPr>
        <w:footnoteReference w:id="22"/>
      </w:r>
      <w:r w:rsidRPr="00815866">
        <w:t xml:space="preserve"> This decision maintains the stated intent from D.21-09-037, that the IOUs should continue to aggressively pursue fuel substitution savings opportunities; at the same time, we must also consider what can be reasonably adopted over the course of the study period. The goals adopted in this decision not only influence, in part, the overall budgets for the IOU energy efficiency portfolios, but also are used by the CEC in modeling the overall energy demand forecast for the state. The 2023 draft potential study reflects the results of portfolio administrators’ efforts to pursue fuel substitution savings opportunities. It would be unreasonable to ignore recent program data that more accurately reflects what is realistically achievable; therefore this decision determines to estimate fuel substitution savings potential using the draft potential study’s reference fuel substitution assumptions.</w:t>
      </w:r>
    </w:p>
    <w:p w:rsidRPr="00815866" w:rsidR="00815866" w:rsidP="00815866" w:rsidRDefault="00815866" w14:paraId="290E4C59" w14:textId="77777777">
      <w:pPr>
        <w:pStyle w:val="Heading2"/>
      </w:pPr>
      <w:bookmarkStart w:name="_Toc142653816" w:id="13"/>
      <w:r w:rsidRPr="00815866">
        <w:lastRenderedPageBreak/>
        <w:t xml:space="preserve">Methodology for Estimating </w:t>
      </w:r>
      <w:r w:rsidRPr="00815866">
        <w:br/>
        <w:t>Infrastructure Costs</w:t>
      </w:r>
      <w:bookmarkEnd w:id="13"/>
    </w:p>
    <w:p w:rsidRPr="00815866" w:rsidR="00815866" w:rsidP="00815866" w:rsidRDefault="00815866" w14:paraId="2493ADD4" w14:textId="77777777">
      <w:r w:rsidRPr="00815866">
        <w:t>PG&amp;E, BayREN and 3C-REN, and NRDC agree with the draft potential study’s approach to estimating panel upgrade costs for fuel substitution measures, given the limitations of available data.</w:t>
      </w:r>
      <w:r w:rsidRPr="00815866">
        <w:rPr>
          <w:vertAlign w:val="superscript"/>
        </w:rPr>
        <w:footnoteReference w:id="23"/>
      </w:r>
      <w:r w:rsidRPr="00815866">
        <w:t xml:space="preserve"> Cal Advocates and SBUA urge consideration of alternatives to panel upgrades, and Cal Advocates further suggests that scenarios that include impacts from the IRA should consider available federal tax credits for electrical panel upgrades.</w:t>
      </w:r>
      <w:r w:rsidRPr="00815866">
        <w:rPr>
          <w:vertAlign w:val="superscript"/>
        </w:rPr>
        <w:footnoteReference w:id="24"/>
      </w:r>
      <w:r w:rsidRPr="00815866">
        <w:t xml:space="preserve"> SPAN highlights the potential to use smart panels as an alternative, and NRDC recommends that future studies consider technological developments in circuit-sharing devices and in low-amp electric appliances.</w:t>
      </w:r>
      <w:r w:rsidRPr="00815866">
        <w:rPr>
          <w:vertAlign w:val="superscript"/>
        </w:rPr>
        <w:footnoteReference w:id="25"/>
      </w:r>
      <w:r w:rsidRPr="00815866">
        <w:t xml:space="preserve"> SCE and SDG&amp;E note the wide variation in costs from project to project; SCE proposes including additional methodological steps to obtain more granular estimates, and SDG&amp;E recommends that future studies create a robust panel cost reference.</w:t>
      </w:r>
      <w:r w:rsidRPr="00815866">
        <w:rPr>
          <w:vertAlign w:val="superscript"/>
        </w:rPr>
        <w:footnoteReference w:id="26"/>
      </w:r>
    </w:p>
    <w:p w:rsidRPr="00815866" w:rsidR="00815866" w:rsidP="00815866" w:rsidRDefault="00815866" w14:paraId="50805A08" w14:textId="77777777">
      <w:r w:rsidRPr="00815866">
        <w:t xml:space="preserve">In light of the available data at the time of conducting the study, this decision finds the draft potential study’s approach to estimating fuel substitution panel upgrade costs reasonable. We acknowledge party comments that the draft potential study’s estimates are still uncertain; in some ways the study may </w:t>
      </w:r>
      <w:r w:rsidRPr="00815866">
        <w:lastRenderedPageBreak/>
        <w:t>underestimate these costs (</w:t>
      </w:r>
      <w:r w:rsidRPr="00815866">
        <w:rPr>
          <w:i/>
          <w:iCs/>
        </w:rPr>
        <w:t>e.g.</w:t>
      </w:r>
      <w:r w:rsidRPr="00815866">
        <w:t>, by not including costs beyond the electric panel, such as wiring or outlets) and in other ways it may overestimate them (</w:t>
      </w:r>
      <w:r w:rsidRPr="00815866">
        <w:rPr>
          <w:i/>
          <w:iCs/>
        </w:rPr>
        <w:t>e.g.,</w:t>
      </w:r>
      <w:r w:rsidRPr="00815866">
        <w:t xml:space="preserve"> by not accounting for alternatives to panel upgrades or by attributing the full cost of an upgrade to a measure even though the upgrade enables adoption of more electric technologies). The additional and alternative considerations suggested by Cal Advocates, SPAN, NRDC and SCE may be examined as part of the market studies on panel upgrade costs ordered in D.23-04-035, which will inform future potential studies.</w:t>
      </w:r>
      <w:r w:rsidRPr="00815866">
        <w:rPr>
          <w:vertAlign w:val="superscript"/>
        </w:rPr>
        <w:footnoteReference w:id="27"/>
      </w:r>
    </w:p>
    <w:p w:rsidRPr="00815866" w:rsidR="00815866" w:rsidP="00815866" w:rsidRDefault="00815866" w14:paraId="670AD1B3" w14:textId="77777777">
      <w:pPr>
        <w:pStyle w:val="Heading1"/>
      </w:pPr>
      <w:bookmarkStart w:name="_Toc142653817" w:id="14"/>
      <w:r w:rsidRPr="00815866">
        <w:t xml:space="preserve">Inclusion of CARB’s State </w:t>
      </w:r>
      <w:r w:rsidRPr="00815866">
        <w:br/>
        <w:t>Implementation Plan Memo</w:t>
      </w:r>
      <w:bookmarkEnd w:id="14"/>
    </w:p>
    <w:p w:rsidRPr="00815866" w:rsidR="00815866" w:rsidP="00815866" w:rsidRDefault="00815866" w14:paraId="251BB657" w14:textId="77777777">
      <w:r w:rsidRPr="00815866">
        <w:t>Most parties either agree with or do not address the draft potential study’s inclusion of CARB’s State Implementation Plan (SIP) memo,</w:t>
      </w:r>
      <w:r w:rsidRPr="00815866">
        <w:rPr>
          <w:vertAlign w:val="superscript"/>
        </w:rPr>
        <w:footnoteReference w:id="28"/>
      </w:r>
      <w:r w:rsidRPr="00815866">
        <w:t xml:space="preserve"> which reduces energy efficiency potential beginning in 2030 due to the anticipated adoption of zero-emission standards for space and water heaters.</w:t>
      </w:r>
      <w:r w:rsidRPr="00815866">
        <w:rPr>
          <w:vertAlign w:val="superscript"/>
        </w:rPr>
        <w:footnoteReference w:id="29"/>
      </w:r>
      <w:r w:rsidRPr="00815866">
        <w:t xml:space="preserve"> NRDC notes that the draft potential study will only impact programmatic potential for the next two to three years (in spite of forecasting potential for ten years), but cautions that CARB will not be able to implement the SIP equitably unless heat pumps become affordable to purchase and operate relative to gas appliances for all customers.</w:t>
      </w:r>
      <w:r w:rsidRPr="00815866">
        <w:rPr>
          <w:vertAlign w:val="superscript"/>
        </w:rPr>
        <w:footnoteReference w:id="30"/>
      </w:r>
      <w:r w:rsidRPr="00815866">
        <w:t xml:space="preserve"> SDG&amp;E recommends that the draft potential study treat the SIP memo’s requirements in the same manner as new state and federal codes and standards (and any new </w:t>
      </w:r>
      <w:r w:rsidRPr="00815866">
        <w:lastRenderedPageBreak/>
        <w:t>legislation impacting appliances and equipment), which is to set a new baseline or industry standard practice after 2030 that would only apply to the Normal Replacement measure application type. SDG&amp;E elaborates that Accelerated Replacement measure offerings should still be eligible (after 2030).</w:t>
      </w:r>
      <w:r w:rsidRPr="00815866">
        <w:rPr>
          <w:vertAlign w:val="superscript"/>
        </w:rPr>
        <w:footnoteReference w:id="31"/>
      </w:r>
      <w:r w:rsidRPr="00815866">
        <w:t xml:space="preserve"> PG&amp;E is the one party to recommend against modeling the SIP memo in the draft potential study, arguing it is premature because CARB has not yet adopted the proposed standards.</w:t>
      </w:r>
      <w:r w:rsidRPr="00815866">
        <w:rPr>
          <w:vertAlign w:val="superscript"/>
        </w:rPr>
        <w:footnoteReference w:id="32"/>
      </w:r>
    </w:p>
    <w:p w:rsidRPr="00815866" w:rsidR="00815866" w:rsidP="00815866" w:rsidRDefault="00815866" w14:paraId="332EFA2D" w14:textId="77777777">
      <w:r w:rsidRPr="00815866">
        <w:t>This decision finds the draft potential study’s approach to modeling the SIP memo reasonable. While we acknowledge that even though CARB has yet to adopt zero-emission standards for space and water heaters, as noted by PG&amp;E and NRDC, it is helpful to anticipate and estimate the potential impact of these standards on longer-term savings potential. Future studies will certainly model the SIP memo and any other relevant policies based on the most reliable and current information available at the time of conducting the study.</w:t>
      </w:r>
    </w:p>
    <w:p w:rsidRPr="00815866" w:rsidR="00815866" w:rsidP="00815866" w:rsidRDefault="00815866" w14:paraId="2C4070A2" w14:textId="77777777">
      <w:pPr>
        <w:pStyle w:val="Heading1"/>
      </w:pPr>
      <w:bookmarkStart w:name="_Toc142653818" w:id="15"/>
      <w:r w:rsidRPr="00815866">
        <w:lastRenderedPageBreak/>
        <w:t>Codes and Standards</w:t>
      </w:r>
      <w:bookmarkEnd w:id="15"/>
    </w:p>
    <w:p w:rsidRPr="00815866" w:rsidR="00815866" w:rsidP="00815866" w:rsidRDefault="00815866" w14:paraId="3F2DB9FD" w14:textId="77777777">
      <w:r w:rsidRPr="00815866">
        <w:rPr>
          <w:lang w:val="en"/>
        </w:rPr>
        <w:t xml:space="preserve">The final potential study used the same methodology that has been historically used in previous potential studies to allocate codes and standards potential among the IOUs, forecasting a best approximation for where savings are expected to occur by using an IOU allocation factor based on energy sales. However, as PG&amp;E points out in their opening comments to the proposed decision, this is in contrast to the way IOU budgets to achieve the codes and standards goals are set in D.23-06-055, which addressed the portfolio administrators’ 2024-2027 portfolios and budgets. This inconsistency may pose challenges to IOUs such as SoCalGas and SDG&amp;E, which have a greater portion of overall codes and standards potential allocated to them than their portion of the allocated codes and standards budget. Because of this, this decision directs the IOUs to use their annual true-up advice letters that are to be submitted </w:t>
      </w:r>
      <w:r w:rsidRPr="00815866">
        <w:rPr>
          <w:lang w:val="en"/>
        </w:rPr>
        <w:br/>
        <w:t>60 days after the energy efficiency goals are adopted to adjust their codes and standards budgets to align their with codes and standards potential in the final potential study.</w:t>
      </w:r>
      <w:r w:rsidRPr="00815866">
        <w:rPr>
          <w:vertAlign w:val="superscript"/>
          <w:lang w:val="en"/>
        </w:rPr>
        <w:footnoteReference w:id="33"/>
      </w:r>
      <w:r w:rsidRPr="00815866">
        <w:rPr>
          <w:lang w:val="en"/>
        </w:rPr>
        <w:t xml:space="preserve"> </w:t>
      </w:r>
    </w:p>
    <w:p w:rsidRPr="00815866" w:rsidR="00815866" w:rsidP="00815866" w:rsidRDefault="00815866" w14:paraId="5844EF28" w14:textId="77777777">
      <w:pPr>
        <w:pStyle w:val="Heading1"/>
      </w:pPr>
      <w:bookmarkStart w:name="_Toc142653819" w:id="16"/>
      <w:r w:rsidRPr="00815866">
        <w:t xml:space="preserve">Energy Efficiency Goals </w:t>
      </w:r>
      <w:r w:rsidRPr="00815866">
        <w:br/>
        <w:t>for 2024-2035</w:t>
      </w:r>
      <w:bookmarkEnd w:id="16"/>
    </w:p>
    <w:p w:rsidRPr="00815866" w:rsidR="00815866" w:rsidP="00815866" w:rsidRDefault="00815866" w14:paraId="6797BFF9" w14:textId="77777777">
      <w:r w:rsidRPr="00815866">
        <w:t xml:space="preserve">Based on our determinations to include reference IRA assumptions and reference fuel substitution assumptions, this decision adopts TSB and energy efficiency goals for 2024-2035 using Scenario 2 from the final potential study, included in this decision as Attachment 1. In alignment with D.21-05-031, the goals for each four-year period between 2024 and 2035 are set cumulatively (2024-2027, 2028-2031, and 2032-2035). The following tables show the adopted cumulative goals and annual targets for each IOU; savings from codes and </w:t>
      </w:r>
      <w:r w:rsidRPr="00815866">
        <w:lastRenderedPageBreak/>
        <w:t>standards programs continue to be expressed in electric energy (gigawatt-hours, or GWh), demand (megawatts, or MW) and gas energy (million metric therms, or MMTherms). Adoption/updating of energy efficiency goals for the low-income sector will be addressed in the next applications for approval of the Energy Savings Assistance (ESA) programs and budgets, or a mid-cycle update. Pursuant to D.21-06-015, the ESA Working Group is the appropriate forum for addressing the study’s approach to estimating low-income savings potential.</w:t>
      </w:r>
      <w:r w:rsidRPr="00815866">
        <w:rPr>
          <w:vertAlign w:val="superscript"/>
        </w:rPr>
        <w:footnoteReference w:id="34"/>
      </w:r>
      <w:r w:rsidRPr="00815866">
        <w:t xml:space="preserve"> </w:t>
      </w:r>
    </w:p>
    <w:p w:rsidRPr="00815866" w:rsidR="00815866" w:rsidP="00815866" w:rsidRDefault="00815866" w14:paraId="43ACA99E" w14:textId="77777777">
      <w:pPr>
        <w:keepNext/>
        <w:keepLines/>
        <w:spacing w:after="120" w:line="240" w:lineRule="auto"/>
        <w:ind w:firstLine="0"/>
        <w:jc w:val="center"/>
      </w:pPr>
      <w:r w:rsidRPr="00815866">
        <w:lastRenderedPageBreak/>
        <w:t xml:space="preserve">Table 1: Cumulative Adopted TSB and Energy Efficiency Goals for PG&amp;E </w:t>
      </w:r>
      <w:r w:rsidRPr="00815866">
        <w:br/>
        <w:t>(2024-2035)</w:t>
      </w:r>
    </w:p>
    <w:tbl>
      <w:tblPr>
        <w:tblStyle w:val="TableGrid0"/>
        <w:tblW w:w="7562" w:type="dxa"/>
        <w:tblInd w:w="625" w:type="dxa"/>
        <w:tblCellMar>
          <w:top w:w="91" w:type="dxa"/>
          <w:left w:w="59" w:type="dxa"/>
          <w:right w:w="33" w:type="dxa"/>
        </w:tblCellMar>
        <w:tblLook w:val="04A0" w:firstRow="1" w:lastRow="0" w:firstColumn="1" w:lastColumn="0" w:noHBand="0" w:noVBand="1"/>
      </w:tblPr>
      <w:tblGrid>
        <w:gridCol w:w="1413"/>
        <w:gridCol w:w="2461"/>
        <w:gridCol w:w="1155"/>
        <w:gridCol w:w="959"/>
        <w:gridCol w:w="1574"/>
      </w:tblGrid>
      <w:tr w:rsidRPr="00815866" w:rsidR="00815866" w:rsidTr="006008C5" w14:paraId="060B3F3B" w14:textId="77777777">
        <w:trPr>
          <w:trHeight w:val="382"/>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rsidRPr="00815866" w:rsidR="00815866" w:rsidP="00815866" w:rsidRDefault="00815866" w14:paraId="51F3FD65" w14:textId="77777777">
            <w:pPr>
              <w:keepNext/>
              <w:keepLines/>
              <w:spacing w:line="240" w:lineRule="auto"/>
              <w:ind w:firstLine="0"/>
              <w:jc w:val="center"/>
              <w:rPr>
                <w:szCs w:val="26"/>
              </w:rPr>
            </w:pPr>
            <w:r w:rsidRPr="00815866">
              <w:rPr>
                <w:szCs w:val="26"/>
              </w:rPr>
              <w:t>Period</w:t>
            </w:r>
          </w:p>
        </w:tc>
        <w:tc>
          <w:tcPr>
            <w:tcW w:w="2461" w:type="dxa"/>
            <w:tcBorders>
              <w:top w:val="single" w:color="000000" w:sz="4" w:space="0"/>
              <w:left w:val="single" w:color="000000" w:sz="4" w:space="0"/>
              <w:bottom w:val="single" w:color="000000" w:sz="4" w:space="0"/>
              <w:right w:val="double" w:color="000000" w:sz="4" w:space="0"/>
            </w:tcBorders>
          </w:tcPr>
          <w:p w:rsidRPr="00815866" w:rsidR="00815866" w:rsidP="00815866" w:rsidRDefault="00815866" w14:paraId="184CF438" w14:textId="77777777">
            <w:pPr>
              <w:keepNext/>
              <w:keepLines/>
              <w:spacing w:line="240" w:lineRule="auto"/>
              <w:ind w:firstLine="0"/>
              <w:jc w:val="both"/>
              <w:rPr>
                <w:szCs w:val="26"/>
              </w:rPr>
            </w:pPr>
            <w:r w:rsidRPr="00815866">
              <w:rPr>
                <w:szCs w:val="26"/>
              </w:rPr>
              <w:t xml:space="preserve">Incentive Programs </w:t>
            </w:r>
          </w:p>
        </w:tc>
        <w:tc>
          <w:tcPr>
            <w:tcW w:w="3688" w:type="dxa"/>
            <w:gridSpan w:val="3"/>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5B41CABB" w14:textId="77777777">
            <w:pPr>
              <w:keepNext/>
              <w:keepLines/>
              <w:spacing w:line="240" w:lineRule="auto"/>
              <w:ind w:right="28" w:firstLine="0"/>
              <w:jc w:val="center"/>
              <w:rPr>
                <w:szCs w:val="26"/>
              </w:rPr>
            </w:pPr>
            <w:r w:rsidRPr="00815866">
              <w:rPr>
                <w:szCs w:val="26"/>
              </w:rPr>
              <w:t xml:space="preserve">Codes and Standards </w:t>
            </w:r>
          </w:p>
        </w:tc>
      </w:tr>
      <w:tr w:rsidRPr="00815866" w:rsidR="00815866" w:rsidTr="006008C5" w14:paraId="06C61F89" w14:textId="77777777">
        <w:trPr>
          <w:trHeight w:val="391"/>
        </w:trPr>
        <w:tc>
          <w:tcPr>
            <w:tcW w:w="1413" w:type="dxa"/>
            <w:vMerge/>
            <w:tcBorders>
              <w:top w:val="nil"/>
              <w:left w:val="single" w:color="000000" w:sz="4" w:space="0"/>
              <w:bottom w:val="single" w:color="000000" w:sz="4" w:space="0"/>
              <w:right w:val="single" w:color="000000" w:sz="4" w:space="0"/>
            </w:tcBorders>
          </w:tcPr>
          <w:p w:rsidRPr="00815866" w:rsidR="00815866" w:rsidP="00815866" w:rsidRDefault="00815866" w14:paraId="78855EFF" w14:textId="77777777">
            <w:pPr>
              <w:keepNext/>
              <w:keepLines/>
              <w:spacing w:after="160" w:line="240" w:lineRule="auto"/>
              <w:ind w:firstLine="0"/>
              <w:rPr>
                <w:szCs w:val="26"/>
              </w:rPr>
            </w:pPr>
          </w:p>
        </w:tc>
        <w:tc>
          <w:tcPr>
            <w:tcW w:w="2461" w:type="dxa"/>
            <w:tcBorders>
              <w:top w:val="single" w:color="000000" w:sz="4" w:space="0"/>
              <w:left w:val="single" w:color="000000" w:sz="4" w:space="0"/>
              <w:bottom w:val="single" w:color="000000" w:sz="4" w:space="0"/>
              <w:right w:val="double" w:color="000000" w:sz="4" w:space="0"/>
            </w:tcBorders>
          </w:tcPr>
          <w:p w:rsidRPr="00815866" w:rsidR="00815866" w:rsidP="00815866" w:rsidRDefault="00815866" w14:paraId="2F9A4F0E" w14:textId="77777777">
            <w:pPr>
              <w:keepNext/>
              <w:keepLines/>
              <w:spacing w:line="240" w:lineRule="auto"/>
              <w:ind w:right="25" w:firstLine="0"/>
              <w:jc w:val="center"/>
              <w:rPr>
                <w:szCs w:val="26"/>
              </w:rPr>
            </w:pPr>
            <w:r w:rsidRPr="00815866">
              <w:rPr>
                <w:szCs w:val="26"/>
              </w:rPr>
              <w:t xml:space="preserve">TSB </w:t>
            </w:r>
          </w:p>
        </w:tc>
        <w:tc>
          <w:tcPr>
            <w:tcW w:w="1155" w:type="dxa"/>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4DD78DA6" w14:textId="77777777">
            <w:pPr>
              <w:keepNext/>
              <w:keepLines/>
              <w:spacing w:line="240" w:lineRule="auto"/>
              <w:ind w:left="212" w:firstLine="0"/>
              <w:rPr>
                <w:szCs w:val="26"/>
              </w:rPr>
            </w:pPr>
            <w:r w:rsidRPr="00815866">
              <w:rPr>
                <w:szCs w:val="26"/>
              </w:rPr>
              <w:t xml:space="preserve">GWh </w:t>
            </w:r>
          </w:p>
        </w:tc>
        <w:tc>
          <w:tcPr>
            <w:tcW w:w="959"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6161F0AB" w14:textId="77777777">
            <w:pPr>
              <w:keepNext/>
              <w:keepLines/>
              <w:spacing w:line="240" w:lineRule="auto"/>
              <w:ind w:left="167" w:firstLine="0"/>
              <w:rPr>
                <w:szCs w:val="26"/>
              </w:rPr>
            </w:pPr>
            <w:r w:rsidRPr="00815866">
              <w:rPr>
                <w:szCs w:val="26"/>
              </w:rPr>
              <w:t xml:space="preserve">MW </w:t>
            </w:r>
          </w:p>
        </w:tc>
        <w:tc>
          <w:tcPr>
            <w:tcW w:w="1574"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055AC863" w14:textId="77777777">
            <w:pPr>
              <w:keepNext/>
              <w:keepLines/>
              <w:spacing w:line="240" w:lineRule="auto"/>
              <w:ind w:left="43" w:firstLine="0"/>
              <w:jc w:val="both"/>
              <w:rPr>
                <w:szCs w:val="26"/>
              </w:rPr>
            </w:pPr>
            <w:r w:rsidRPr="00815866">
              <w:rPr>
                <w:szCs w:val="26"/>
              </w:rPr>
              <w:t xml:space="preserve">MMTherms </w:t>
            </w:r>
          </w:p>
        </w:tc>
      </w:tr>
    </w:tbl>
    <w:tbl>
      <w:tblPr>
        <w:tblW w:w="7562" w:type="dxa"/>
        <w:tblInd w:w="625" w:type="dxa"/>
        <w:tblCellMar>
          <w:top w:w="91" w:type="dxa"/>
          <w:left w:w="59" w:type="dxa"/>
          <w:right w:w="33" w:type="dxa"/>
        </w:tblCellMar>
        <w:tblLook w:val="04A0" w:firstRow="1" w:lastRow="0" w:firstColumn="1" w:lastColumn="0" w:noHBand="0" w:noVBand="1"/>
      </w:tblPr>
      <w:tblGrid>
        <w:gridCol w:w="1413"/>
        <w:gridCol w:w="2461"/>
        <w:gridCol w:w="1155"/>
        <w:gridCol w:w="959"/>
        <w:gridCol w:w="1574"/>
      </w:tblGrid>
      <w:tr w:rsidRPr="00815866" w:rsidR="00815866" w:rsidTr="006008C5" w14:paraId="3747E7C6" w14:textId="77777777">
        <w:trPr>
          <w:trHeight w:val="391"/>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79B48CA1" w14:textId="77777777">
            <w:pPr>
              <w:keepNext/>
              <w:keepLines/>
              <w:spacing w:line="240" w:lineRule="auto"/>
              <w:ind w:firstLine="0"/>
              <w:rPr>
                <w:szCs w:val="26"/>
              </w:rPr>
            </w:pPr>
            <w:r w:rsidRPr="00815866">
              <w:rPr>
                <w:szCs w:val="26"/>
              </w:rPr>
              <w:t>2024-2027</w:t>
            </w:r>
          </w:p>
        </w:tc>
        <w:tc>
          <w:tcPr>
            <w:tcW w:w="2461" w:type="dxa"/>
            <w:tcBorders>
              <w:top w:val="single" w:color="000000" w:sz="4" w:space="0"/>
              <w:left w:val="single" w:color="000000" w:sz="4" w:space="0"/>
              <w:bottom w:val="single" w:color="000000" w:sz="4" w:space="0"/>
              <w:right w:val="double" w:color="000000" w:sz="4" w:space="0"/>
            </w:tcBorders>
            <w:shd w:val="clear" w:color="auto" w:fill="auto"/>
            <w:vAlign w:val="bottom"/>
          </w:tcPr>
          <w:p w:rsidRPr="00815866" w:rsidR="00815866" w:rsidP="00815866" w:rsidRDefault="00815866" w14:paraId="1E83EFBB" w14:textId="77777777">
            <w:pPr>
              <w:keepNext/>
              <w:keepLines/>
              <w:spacing w:line="240" w:lineRule="auto"/>
              <w:ind w:right="24" w:firstLine="0"/>
              <w:jc w:val="center"/>
              <w:rPr>
                <w:szCs w:val="26"/>
              </w:rPr>
            </w:pPr>
            <w:r w:rsidRPr="00815866">
              <w:rPr>
                <w:szCs w:val="26"/>
              </w:rPr>
              <w:t>$852,860,729</w:t>
            </w:r>
          </w:p>
        </w:tc>
        <w:tc>
          <w:tcPr>
            <w:tcW w:w="1155" w:type="dxa"/>
            <w:tcBorders>
              <w:top w:val="single" w:color="000000" w:sz="4" w:space="0"/>
              <w:left w:val="double" w:color="000000" w:sz="4" w:space="0"/>
              <w:bottom w:val="single" w:color="000000" w:sz="4" w:space="0"/>
              <w:right w:val="single" w:color="000000" w:sz="4" w:space="0"/>
            </w:tcBorders>
            <w:shd w:val="clear" w:color="auto" w:fill="auto"/>
            <w:vAlign w:val="bottom"/>
          </w:tcPr>
          <w:p w:rsidRPr="00815866" w:rsidR="00815866" w:rsidP="00815866" w:rsidRDefault="00815866" w14:paraId="46909A7F" w14:textId="77777777">
            <w:pPr>
              <w:keepNext/>
              <w:keepLines/>
              <w:spacing w:line="240" w:lineRule="auto"/>
              <w:ind w:left="127" w:firstLine="0"/>
              <w:rPr>
                <w:szCs w:val="26"/>
              </w:rPr>
            </w:pPr>
            <w:r w:rsidRPr="00815866">
              <w:rPr>
                <w:szCs w:val="26"/>
              </w:rPr>
              <w:t>3,976.6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3483D181" w14:textId="77777777">
            <w:pPr>
              <w:keepNext/>
              <w:keepLines/>
              <w:spacing w:line="240" w:lineRule="auto"/>
              <w:ind w:left="127" w:firstLine="0"/>
              <w:rPr>
                <w:szCs w:val="26"/>
              </w:rPr>
            </w:pPr>
            <w:r w:rsidRPr="00815866">
              <w:rPr>
                <w:szCs w:val="26"/>
              </w:rPr>
              <w:t>733.2</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400913C3" w14:textId="77777777">
            <w:pPr>
              <w:keepNext/>
              <w:keepLines/>
              <w:spacing w:line="240" w:lineRule="auto"/>
              <w:ind w:right="26" w:firstLine="0"/>
              <w:jc w:val="center"/>
              <w:rPr>
                <w:szCs w:val="26"/>
              </w:rPr>
            </w:pPr>
            <w:r w:rsidRPr="00815866">
              <w:rPr>
                <w:szCs w:val="26"/>
              </w:rPr>
              <w:t>74.8</w:t>
            </w:r>
          </w:p>
        </w:tc>
      </w:tr>
      <w:tr w:rsidRPr="00815866" w:rsidR="00815866" w:rsidTr="006008C5" w14:paraId="03BE6554" w14:textId="77777777">
        <w:trPr>
          <w:trHeight w:val="391"/>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5C9358CA" w14:textId="77777777">
            <w:pPr>
              <w:keepNext/>
              <w:keepLines/>
              <w:spacing w:line="240" w:lineRule="auto"/>
              <w:ind w:firstLine="0"/>
              <w:rPr>
                <w:szCs w:val="26"/>
              </w:rPr>
            </w:pPr>
            <w:r w:rsidRPr="00815866">
              <w:rPr>
                <w:szCs w:val="26"/>
              </w:rPr>
              <w:t>2028-2031</w:t>
            </w:r>
          </w:p>
        </w:tc>
        <w:tc>
          <w:tcPr>
            <w:tcW w:w="2461" w:type="dxa"/>
            <w:tcBorders>
              <w:top w:val="single" w:color="000000" w:sz="4" w:space="0"/>
              <w:left w:val="single" w:color="000000" w:sz="4" w:space="0"/>
              <w:bottom w:val="single" w:color="000000" w:sz="4" w:space="0"/>
              <w:right w:val="double" w:color="000000" w:sz="4" w:space="0"/>
            </w:tcBorders>
            <w:shd w:val="clear" w:color="auto" w:fill="auto"/>
            <w:vAlign w:val="bottom"/>
          </w:tcPr>
          <w:p w:rsidRPr="00815866" w:rsidR="00815866" w:rsidP="00815866" w:rsidRDefault="00815866" w14:paraId="1BC230A0" w14:textId="77777777">
            <w:pPr>
              <w:keepNext/>
              <w:keepLines/>
              <w:spacing w:line="240" w:lineRule="auto"/>
              <w:ind w:right="24" w:firstLine="0"/>
              <w:jc w:val="center"/>
              <w:rPr>
                <w:szCs w:val="26"/>
              </w:rPr>
            </w:pPr>
            <w:r w:rsidRPr="00815866">
              <w:rPr>
                <w:szCs w:val="26"/>
              </w:rPr>
              <w:t>$917,142,715</w:t>
            </w:r>
          </w:p>
        </w:tc>
        <w:tc>
          <w:tcPr>
            <w:tcW w:w="1155" w:type="dxa"/>
            <w:tcBorders>
              <w:top w:val="single" w:color="000000" w:sz="4" w:space="0"/>
              <w:left w:val="double" w:color="000000" w:sz="4" w:space="0"/>
              <w:bottom w:val="single" w:color="000000" w:sz="4" w:space="0"/>
              <w:right w:val="single" w:color="000000" w:sz="4" w:space="0"/>
            </w:tcBorders>
            <w:shd w:val="clear" w:color="auto" w:fill="auto"/>
            <w:vAlign w:val="bottom"/>
          </w:tcPr>
          <w:p w:rsidRPr="00815866" w:rsidR="00815866" w:rsidP="00815866" w:rsidRDefault="00815866" w14:paraId="03D02B8B" w14:textId="77777777">
            <w:pPr>
              <w:keepNext/>
              <w:keepLines/>
              <w:spacing w:line="240" w:lineRule="auto"/>
              <w:ind w:left="127" w:firstLine="0"/>
              <w:rPr>
                <w:szCs w:val="26"/>
              </w:rPr>
            </w:pPr>
            <w:r w:rsidRPr="00815866">
              <w:rPr>
                <w:szCs w:val="26"/>
              </w:rPr>
              <w:t>2,654.4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64231690" w14:textId="77777777">
            <w:pPr>
              <w:keepNext/>
              <w:keepLines/>
              <w:spacing w:line="240" w:lineRule="auto"/>
              <w:ind w:left="127" w:firstLine="0"/>
              <w:rPr>
                <w:szCs w:val="26"/>
              </w:rPr>
            </w:pPr>
            <w:r w:rsidRPr="00815866">
              <w:rPr>
                <w:szCs w:val="26"/>
              </w:rPr>
              <w:t>531.3</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31256C74" w14:textId="77777777">
            <w:pPr>
              <w:keepNext/>
              <w:keepLines/>
              <w:spacing w:line="240" w:lineRule="auto"/>
              <w:ind w:right="26" w:firstLine="0"/>
              <w:jc w:val="center"/>
              <w:rPr>
                <w:szCs w:val="26"/>
              </w:rPr>
            </w:pPr>
            <w:r w:rsidRPr="00815866">
              <w:rPr>
                <w:szCs w:val="26"/>
              </w:rPr>
              <w:t>51.8</w:t>
            </w:r>
          </w:p>
        </w:tc>
      </w:tr>
      <w:tr w:rsidRPr="00815866" w:rsidR="00815866" w:rsidTr="006008C5" w14:paraId="6D20C94C" w14:textId="77777777">
        <w:trPr>
          <w:trHeight w:val="391"/>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3A41EA0F" w14:textId="77777777">
            <w:pPr>
              <w:keepNext/>
              <w:keepLines/>
              <w:spacing w:line="240" w:lineRule="auto"/>
              <w:ind w:firstLine="0"/>
              <w:rPr>
                <w:szCs w:val="26"/>
              </w:rPr>
            </w:pPr>
            <w:r w:rsidRPr="00815866">
              <w:rPr>
                <w:szCs w:val="26"/>
              </w:rPr>
              <w:t>2032-2035</w:t>
            </w:r>
          </w:p>
        </w:tc>
        <w:tc>
          <w:tcPr>
            <w:tcW w:w="2461" w:type="dxa"/>
            <w:tcBorders>
              <w:top w:val="single" w:color="000000" w:sz="4" w:space="0"/>
              <w:left w:val="single" w:color="000000" w:sz="4" w:space="0"/>
              <w:bottom w:val="single" w:color="000000" w:sz="4" w:space="0"/>
              <w:right w:val="double" w:color="000000" w:sz="4" w:space="0"/>
            </w:tcBorders>
            <w:shd w:val="clear" w:color="auto" w:fill="auto"/>
            <w:vAlign w:val="bottom"/>
          </w:tcPr>
          <w:p w:rsidRPr="00815866" w:rsidR="00815866" w:rsidP="00815866" w:rsidRDefault="00815866" w14:paraId="0DBD112D" w14:textId="77777777">
            <w:pPr>
              <w:keepNext/>
              <w:keepLines/>
              <w:spacing w:line="240" w:lineRule="auto"/>
              <w:ind w:right="24" w:firstLine="0"/>
              <w:jc w:val="center"/>
              <w:rPr>
                <w:szCs w:val="26"/>
              </w:rPr>
            </w:pPr>
            <w:r w:rsidRPr="00815866">
              <w:rPr>
                <w:szCs w:val="26"/>
              </w:rPr>
              <w:t>$1,053,987,446</w:t>
            </w:r>
          </w:p>
        </w:tc>
        <w:tc>
          <w:tcPr>
            <w:tcW w:w="1155" w:type="dxa"/>
            <w:tcBorders>
              <w:top w:val="single" w:color="000000" w:sz="4" w:space="0"/>
              <w:left w:val="double" w:color="000000" w:sz="4" w:space="0"/>
              <w:bottom w:val="single" w:color="000000" w:sz="4" w:space="0"/>
              <w:right w:val="single" w:color="000000" w:sz="4" w:space="0"/>
            </w:tcBorders>
            <w:shd w:val="clear" w:color="auto" w:fill="auto"/>
            <w:vAlign w:val="bottom"/>
          </w:tcPr>
          <w:p w:rsidRPr="00815866" w:rsidR="00815866" w:rsidP="00815866" w:rsidRDefault="00815866" w14:paraId="2948A904" w14:textId="77777777">
            <w:pPr>
              <w:keepNext/>
              <w:keepLines/>
              <w:spacing w:line="240" w:lineRule="auto"/>
              <w:ind w:right="26" w:firstLine="0"/>
              <w:jc w:val="center"/>
              <w:rPr>
                <w:szCs w:val="26"/>
              </w:rPr>
            </w:pPr>
            <w:r w:rsidRPr="00815866">
              <w:rPr>
                <w:szCs w:val="26"/>
              </w:rPr>
              <w:t>1,851.8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6388C4BC" w14:textId="77777777">
            <w:pPr>
              <w:keepNext/>
              <w:keepLines/>
              <w:spacing w:line="240" w:lineRule="auto"/>
              <w:ind w:left="127" w:firstLine="0"/>
              <w:rPr>
                <w:szCs w:val="26"/>
              </w:rPr>
            </w:pPr>
            <w:r w:rsidRPr="00815866">
              <w:rPr>
                <w:szCs w:val="26"/>
              </w:rPr>
              <w:t>397.8</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10F048AD" w14:textId="77777777">
            <w:pPr>
              <w:keepNext/>
              <w:keepLines/>
              <w:spacing w:line="240" w:lineRule="auto"/>
              <w:ind w:right="26" w:firstLine="0"/>
              <w:jc w:val="center"/>
              <w:rPr>
                <w:szCs w:val="26"/>
              </w:rPr>
            </w:pPr>
            <w:r w:rsidRPr="00815866">
              <w:rPr>
                <w:szCs w:val="26"/>
              </w:rPr>
              <w:t>43.4</w:t>
            </w:r>
          </w:p>
        </w:tc>
      </w:tr>
    </w:tbl>
    <w:p w:rsidRPr="00815866" w:rsidR="00815866" w:rsidP="00815866" w:rsidRDefault="00815866" w14:paraId="1DD74825" w14:textId="77777777">
      <w:pPr>
        <w:keepNext/>
        <w:spacing w:line="240" w:lineRule="auto"/>
        <w:ind w:firstLine="0"/>
        <w:jc w:val="center"/>
      </w:pPr>
    </w:p>
    <w:p w:rsidRPr="00815866" w:rsidR="00815866" w:rsidP="00815866" w:rsidRDefault="00815866" w14:paraId="66F77DB1" w14:textId="77777777">
      <w:pPr>
        <w:keepNext/>
        <w:spacing w:line="240" w:lineRule="auto"/>
        <w:ind w:firstLine="0"/>
        <w:jc w:val="center"/>
      </w:pPr>
    </w:p>
    <w:p w:rsidRPr="00815866" w:rsidR="00815866" w:rsidP="00815866" w:rsidRDefault="00815866" w14:paraId="3F9DEFBA" w14:textId="77777777">
      <w:pPr>
        <w:keepNext/>
        <w:spacing w:after="120" w:line="240" w:lineRule="auto"/>
        <w:ind w:firstLine="0"/>
        <w:jc w:val="center"/>
      </w:pPr>
      <w:r w:rsidRPr="00815866">
        <w:t>Table 2: Annual TSB and Energy Efficiency Targets for PG&amp;E (2024-2035)</w:t>
      </w:r>
    </w:p>
    <w:tbl>
      <w:tblPr>
        <w:tblStyle w:val="TableGrid"/>
        <w:tblW w:w="0" w:type="auto"/>
        <w:jc w:val="center"/>
        <w:tblLook w:val="04A0" w:firstRow="1" w:lastRow="0" w:firstColumn="1" w:lastColumn="0" w:noHBand="0" w:noVBand="1"/>
      </w:tblPr>
      <w:tblGrid>
        <w:gridCol w:w="864"/>
        <w:gridCol w:w="2461"/>
        <w:gridCol w:w="1154"/>
        <w:gridCol w:w="959"/>
        <w:gridCol w:w="1574"/>
      </w:tblGrid>
      <w:tr w:rsidRPr="00815866" w:rsidR="00815866" w:rsidTr="006008C5" w14:paraId="7824441E" w14:textId="77777777">
        <w:trPr>
          <w:jc w:val="center"/>
        </w:trPr>
        <w:tc>
          <w:tcPr>
            <w:tcW w:w="864" w:type="dxa"/>
            <w:vMerge w:val="restart"/>
            <w:tcMar>
              <w:top w:w="29" w:type="dxa"/>
              <w:left w:w="58" w:type="dxa"/>
              <w:bottom w:w="29" w:type="dxa"/>
              <w:right w:w="58" w:type="dxa"/>
            </w:tcMar>
            <w:vAlign w:val="center"/>
          </w:tcPr>
          <w:p w:rsidRPr="00815866" w:rsidR="00815866" w:rsidP="00815866" w:rsidRDefault="00815866" w14:paraId="29029926" w14:textId="77777777">
            <w:pPr>
              <w:keepNext/>
              <w:keepLines/>
              <w:spacing w:line="240" w:lineRule="auto"/>
              <w:ind w:firstLine="0"/>
            </w:pPr>
            <w:r w:rsidRPr="00815866">
              <w:t>Year</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63BA13D4" w14:textId="77777777">
            <w:pPr>
              <w:keepNext/>
              <w:keepLines/>
              <w:spacing w:line="240" w:lineRule="auto"/>
              <w:ind w:firstLine="0"/>
              <w:rPr>
                <w:b/>
                <w:bCs/>
              </w:rPr>
            </w:pPr>
            <w:r w:rsidRPr="00815866">
              <w:rPr>
                <w:b/>
                <w:bCs/>
              </w:rPr>
              <w:t>Incentive Programs</w:t>
            </w:r>
          </w:p>
        </w:tc>
        <w:tc>
          <w:tcPr>
            <w:tcW w:w="3687" w:type="dxa"/>
            <w:gridSpan w:val="3"/>
            <w:tcBorders>
              <w:left w:val="triple" w:color="auto" w:sz="4" w:space="0"/>
            </w:tcBorders>
            <w:tcMar>
              <w:top w:w="29" w:type="dxa"/>
              <w:left w:w="58" w:type="dxa"/>
              <w:bottom w:w="29" w:type="dxa"/>
              <w:right w:w="58" w:type="dxa"/>
            </w:tcMar>
          </w:tcPr>
          <w:p w:rsidRPr="00815866" w:rsidR="00815866" w:rsidP="00815866" w:rsidRDefault="00815866" w14:paraId="7497A1BA" w14:textId="77777777">
            <w:pPr>
              <w:keepNext/>
              <w:keepLines/>
              <w:spacing w:line="240" w:lineRule="auto"/>
              <w:ind w:firstLine="0"/>
              <w:jc w:val="center"/>
              <w:rPr>
                <w:b/>
                <w:bCs/>
              </w:rPr>
            </w:pPr>
            <w:r w:rsidRPr="00815866">
              <w:rPr>
                <w:b/>
                <w:bCs/>
              </w:rPr>
              <w:t>Codes and Standards</w:t>
            </w:r>
          </w:p>
        </w:tc>
      </w:tr>
      <w:tr w:rsidRPr="00815866" w:rsidR="00815866" w:rsidTr="006008C5" w14:paraId="576441D1" w14:textId="77777777">
        <w:trPr>
          <w:jc w:val="center"/>
        </w:trPr>
        <w:tc>
          <w:tcPr>
            <w:tcW w:w="864" w:type="dxa"/>
            <w:vMerge/>
            <w:tcMar>
              <w:top w:w="29" w:type="dxa"/>
              <w:left w:w="58" w:type="dxa"/>
              <w:bottom w:w="29" w:type="dxa"/>
              <w:right w:w="58" w:type="dxa"/>
            </w:tcMar>
          </w:tcPr>
          <w:p w:rsidRPr="00815866" w:rsidR="00815866" w:rsidP="00815866" w:rsidRDefault="00815866" w14:paraId="2256344D" w14:textId="77777777">
            <w:pPr>
              <w:keepNext/>
              <w:keepLines/>
              <w:spacing w:line="240" w:lineRule="auto"/>
              <w:ind w:firstLine="0"/>
            </w:pP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60213C1F" w14:textId="77777777">
            <w:pPr>
              <w:keepNext/>
              <w:keepLines/>
              <w:spacing w:line="240" w:lineRule="auto"/>
              <w:ind w:firstLine="0"/>
              <w:jc w:val="center"/>
            </w:pPr>
            <w:r w:rsidRPr="00815866">
              <w:t>TSB</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760C5C68" w14:textId="77777777">
            <w:pPr>
              <w:keepNext/>
              <w:keepLines/>
              <w:spacing w:line="240" w:lineRule="auto"/>
              <w:ind w:firstLine="0"/>
              <w:jc w:val="center"/>
            </w:pPr>
            <w:r w:rsidRPr="00815866">
              <w:t>GWh</w:t>
            </w:r>
          </w:p>
        </w:tc>
        <w:tc>
          <w:tcPr>
            <w:tcW w:w="959" w:type="dxa"/>
            <w:tcMar>
              <w:top w:w="29" w:type="dxa"/>
              <w:left w:w="58" w:type="dxa"/>
              <w:bottom w:w="29" w:type="dxa"/>
              <w:right w:w="58" w:type="dxa"/>
            </w:tcMar>
          </w:tcPr>
          <w:p w:rsidRPr="00815866" w:rsidR="00815866" w:rsidP="00815866" w:rsidRDefault="00815866" w14:paraId="5341F83E" w14:textId="77777777">
            <w:pPr>
              <w:keepNext/>
              <w:keepLines/>
              <w:spacing w:line="240" w:lineRule="auto"/>
              <w:ind w:firstLine="0"/>
              <w:jc w:val="center"/>
            </w:pPr>
            <w:r w:rsidRPr="00815866">
              <w:t>MW</w:t>
            </w:r>
          </w:p>
        </w:tc>
        <w:tc>
          <w:tcPr>
            <w:tcW w:w="1574" w:type="dxa"/>
            <w:tcMar>
              <w:top w:w="29" w:type="dxa"/>
              <w:left w:w="58" w:type="dxa"/>
              <w:bottom w:w="29" w:type="dxa"/>
              <w:right w:w="58" w:type="dxa"/>
            </w:tcMar>
          </w:tcPr>
          <w:p w:rsidRPr="00815866" w:rsidR="00815866" w:rsidP="00815866" w:rsidRDefault="00815866" w14:paraId="24DD431C" w14:textId="77777777">
            <w:pPr>
              <w:keepNext/>
              <w:keepLines/>
              <w:spacing w:line="240" w:lineRule="auto"/>
              <w:ind w:firstLine="0"/>
              <w:jc w:val="center"/>
            </w:pPr>
            <w:r w:rsidRPr="00815866">
              <w:t>MMTherms</w:t>
            </w:r>
          </w:p>
        </w:tc>
      </w:tr>
      <w:tr w:rsidRPr="00815866" w:rsidR="00815866" w:rsidTr="006008C5" w14:paraId="1CB9B61F" w14:textId="77777777">
        <w:trPr>
          <w:jc w:val="center"/>
        </w:trPr>
        <w:tc>
          <w:tcPr>
            <w:tcW w:w="864" w:type="dxa"/>
            <w:tcMar>
              <w:top w:w="29" w:type="dxa"/>
              <w:left w:w="58" w:type="dxa"/>
              <w:bottom w:w="29" w:type="dxa"/>
              <w:right w:w="58" w:type="dxa"/>
            </w:tcMar>
          </w:tcPr>
          <w:p w:rsidRPr="00815866" w:rsidR="00815866" w:rsidP="00815866" w:rsidRDefault="00815866" w14:paraId="3C3DD50E" w14:textId="77777777">
            <w:pPr>
              <w:keepNext/>
              <w:keepLines/>
              <w:spacing w:line="240" w:lineRule="auto"/>
              <w:ind w:firstLine="0"/>
            </w:pPr>
            <w:r w:rsidRPr="00815866">
              <w:t>2024</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2B2343AB" w14:textId="77777777">
            <w:pPr>
              <w:keepNext/>
              <w:keepLines/>
              <w:spacing w:line="240" w:lineRule="auto"/>
              <w:ind w:firstLine="0"/>
              <w:jc w:val="center"/>
            </w:pPr>
            <w:r w:rsidRPr="00815866">
              <w:t>$211,992,628</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02E7B8D6" w14:textId="77777777">
            <w:pPr>
              <w:keepNext/>
              <w:keepLines/>
              <w:spacing w:line="240" w:lineRule="auto"/>
              <w:ind w:firstLine="0"/>
              <w:jc w:val="center"/>
            </w:pPr>
            <w:r w:rsidRPr="00815866">
              <w:t>1,071.2</w:t>
            </w:r>
          </w:p>
        </w:tc>
        <w:tc>
          <w:tcPr>
            <w:tcW w:w="959" w:type="dxa"/>
            <w:tcMar>
              <w:top w:w="29" w:type="dxa"/>
              <w:left w:w="58" w:type="dxa"/>
              <w:bottom w:w="29" w:type="dxa"/>
              <w:right w:w="58" w:type="dxa"/>
            </w:tcMar>
            <w:vAlign w:val="center"/>
          </w:tcPr>
          <w:p w:rsidRPr="00815866" w:rsidR="00815866" w:rsidP="00815866" w:rsidRDefault="00815866" w14:paraId="0EAAA8AF" w14:textId="77777777">
            <w:pPr>
              <w:keepNext/>
              <w:keepLines/>
              <w:spacing w:line="240" w:lineRule="auto"/>
              <w:ind w:firstLine="0"/>
              <w:jc w:val="center"/>
            </w:pPr>
            <w:r w:rsidRPr="00815866">
              <w:t>201.9</w:t>
            </w:r>
          </w:p>
        </w:tc>
        <w:tc>
          <w:tcPr>
            <w:tcW w:w="1574" w:type="dxa"/>
            <w:tcMar>
              <w:top w:w="29" w:type="dxa"/>
              <w:left w:w="58" w:type="dxa"/>
              <w:bottom w:w="29" w:type="dxa"/>
              <w:right w:w="58" w:type="dxa"/>
            </w:tcMar>
            <w:vAlign w:val="center"/>
          </w:tcPr>
          <w:p w:rsidRPr="00815866" w:rsidR="00815866" w:rsidP="00815866" w:rsidRDefault="00815866" w14:paraId="44160B3B" w14:textId="77777777">
            <w:pPr>
              <w:keepNext/>
              <w:keepLines/>
              <w:spacing w:line="240" w:lineRule="auto"/>
              <w:ind w:firstLine="0"/>
              <w:jc w:val="center"/>
            </w:pPr>
            <w:r w:rsidRPr="00815866">
              <w:t>23.0</w:t>
            </w:r>
          </w:p>
        </w:tc>
      </w:tr>
      <w:tr w:rsidRPr="00815866" w:rsidR="00815866" w:rsidTr="006008C5" w14:paraId="126B7EEA" w14:textId="77777777">
        <w:trPr>
          <w:jc w:val="center"/>
        </w:trPr>
        <w:tc>
          <w:tcPr>
            <w:tcW w:w="864" w:type="dxa"/>
            <w:tcMar>
              <w:top w:w="29" w:type="dxa"/>
              <w:left w:w="58" w:type="dxa"/>
              <w:bottom w:w="29" w:type="dxa"/>
              <w:right w:w="58" w:type="dxa"/>
            </w:tcMar>
          </w:tcPr>
          <w:p w:rsidRPr="00815866" w:rsidR="00815866" w:rsidP="00815866" w:rsidRDefault="00815866" w14:paraId="1B8C7504" w14:textId="77777777">
            <w:pPr>
              <w:keepNext/>
              <w:keepLines/>
              <w:spacing w:line="240" w:lineRule="auto"/>
              <w:ind w:firstLine="0"/>
            </w:pPr>
            <w:r w:rsidRPr="00815866">
              <w:t>2025</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7671E54E" w14:textId="77777777">
            <w:pPr>
              <w:keepNext/>
              <w:keepLines/>
              <w:spacing w:line="240" w:lineRule="auto"/>
              <w:ind w:firstLine="0"/>
              <w:jc w:val="center"/>
            </w:pPr>
            <w:r w:rsidRPr="00815866">
              <w:t>$211,860,888</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0A76CCC9" w14:textId="77777777">
            <w:pPr>
              <w:keepNext/>
              <w:keepLines/>
              <w:spacing w:line="240" w:lineRule="auto"/>
              <w:ind w:firstLine="0"/>
              <w:jc w:val="center"/>
            </w:pPr>
            <w:r w:rsidRPr="00815866">
              <w:t>1,008.4</w:t>
            </w:r>
          </w:p>
        </w:tc>
        <w:tc>
          <w:tcPr>
            <w:tcW w:w="959" w:type="dxa"/>
            <w:tcMar>
              <w:top w:w="29" w:type="dxa"/>
              <w:left w:w="58" w:type="dxa"/>
              <w:bottom w:w="29" w:type="dxa"/>
              <w:right w:w="58" w:type="dxa"/>
            </w:tcMar>
            <w:vAlign w:val="center"/>
          </w:tcPr>
          <w:p w:rsidRPr="00815866" w:rsidR="00815866" w:rsidP="00815866" w:rsidRDefault="00815866" w14:paraId="0A9B00C8" w14:textId="77777777">
            <w:pPr>
              <w:keepNext/>
              <w:keepLines/>
              <w:spacing w:line="240" w:lineRule="auto"/>
              <w:ind w:firstLine="0"/>
              <w:jc w:val="center"/>
            </w:pPr>
            <w:r w:rsidRPr="00815866">
              <w:t>184.7</w:t>
            </w:r>
          </w:p>
        </w:tc>
        <w:tc>
          <w:tcPr>
            <w:tcW w:w="1574" w:type="dxa"/>
            <w:tcMar>
              <w:top w:w="29" w:type="dxa"/>
              <w:left w:w="58" w:type="dxa"/>
              <w:bottom w:w="29" w:type="dxa"/>
              <w:right w:w="58" w:type="dxa"/>
            </w:tcMar>
            <w:vAlign w:val="center"/>
          </w:tcPr>
          <w:p w:rsidRPr="00815866" w:rsidR="00815866" w:rsidP="00815866" w:rsidRDefault="00815866" w14:paraId="7779B040" w14:textId="77777777">
            <w:pPr>
              <w:keepNext/>
              <w:keepLines/>
              <w:spacing w:line="240" w:lineRule="auto"/>
              <w:ind w:firstLine="0"/>
              <w:jc w:val="center"/>
            </w:pPr>
            <w:r w:rsidRPr="00815866">
              <w:t>22.5</w:t>
            </w:r>
          </w:p>
        </w:tc>
      </w:tr>
      <w:tr w:rsidRPr="00815866" w:rsidR="00815866" w:rsidTr="006008C5" w14:paraId="1ECE33E0" w14:textId="77777777">
        <w:trPr>
          <w:jc w:val="center"/>
        </w:trPr>
        <w:tc>
          <w:tcPr>
            <w:tcW w:w="864" w:type="dxa"/>
            <w:tcMar>
              <w:top w:w="29" w:type="dxa"/>
              <w:left w:w="58" w:type="dxa"/>
              <w:bottom w:w="29" w:type="dxa"/>
              <w:right w:w="58" w:type="dxa"/>
            </w:tcMar>
          </w:tcPr>
          <w:p w:rsidRPr="00815866" w:rsidR="00815866" w:rsidP="00815866" w:rsidRDefault="00815866" w14:paraId="40F08DA1" w14:textId="77777777">
            <w:pPr>
              <w:keepNext/>
              <w:keepLines/>
              <w:spacing w:line="240" w:lineRule="auto"/>
              <w:ind w:firstLine="0"/>
            </w:pPr>
            <w:r w:rsidRPr="00815866">
              <w:t>2026</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67764349" w14:textId="77777777">
            <w:pPr>
              <w:keepNext/>
              <w:keepLines/>
              <w:spacing w:line="240" w:lineRule="auto"/>
              <w:ind w:firstLine="0"/>
              <w:jc w:val="center"/>
            </w:pPr>
            <w:r w:rsidRPr="00815866">
              <w:t>$212,385,721</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3F0033A4" w14:textId="77777777">
            <w:pPr>
              <w:keepNext/>
              <w:keepLines/>
              <w:spacing w:line="240" w:lineRule="auto"/>
              <w:ind w:firstLine="0"/>
              <w:jc w:val="center"/>
            </w:pPr>
            <w:r w:rsidRPr="00815866">
              <w:t>987.2</w:t>
            </w:r>
          </w:p>
        </w:tc>
        <w:tc>
          <w:tcPr>
            <w:tcW w:w="959" w:type="dxa"/>
            <w:tcMar>
              <w:top w:w="29" w:type="dxa"/>
              <w:left w:w="58" w:type="dxa"/>
              <w:bottom w:w="29" w:type="dxa"/>
              <w:right w:w="58" w:type="dxa"/>
            </w:tcMar>
            <w:vAlign w:val="center"/>
          </w:tcPr>
          <w:p w:rsidRPr="00815866" w:rsidR="00815866" w:rsidP="00815866" w:rsidRDefault="00815866" w14:paraId="05C9F88B" w14:textId="77777777">
            <w:pPr>
              <w:keepNext/>
              <w:keepLines/>
              <w:spacing w:line="240" w:lineRule="auto"/>
              <w:ind w:firstLine="0"/>
              <w:jc w:val="center"/>
            </w:pPr>
            <w:r w:rsidRPr="00815866">
              <w:t>180.7</w:t>
            </w:r>
          </w:p>
        </w:tc>
        <w:tc>
          <w:tcPr>
            <w:tcW w:w="1574" w:type="dxa"/>
            <w:tcMar>
              <w:top w:w="29" w:type="dxa"/>
              <w:left w:w="58" w:type="dxa"/>
              <w:bottom w:w="29" w:type="dxa"/>
              <w:right w:w="58" w:type="dxa"/>
            </w:tcMar>
            <w:vAlign w:val="center"/>
          </w:tcPr>
          <w:p w:rsidRPr="00815866" w:rsidR="00815866" w:rsidP="00815866" w:rsidRDefault="00815866" w14:paraId="3050976E" w14:textId="77777777">
            <w:pPr>
              <w:keepNext/>
              <w:keepLines/>
              <w:spacing w:line="240" w:lineRule="auto"/>
              <w:ind w:firstLine="0"/>
              <w:jc w:val="center"/>
            </w:pPr>
            <w:r w:rsidRPr="00815866">
              <w:t>14.5</w:t>
            </w:r>
          </w:p>
        </w:tc>
      </w:tr>
      <w:tr w:rsidRPr="00815866" w:rsidR="00815866" w:rsidTr="006008C5" w14:paraId="2270229A" w14:textId="77777777">
        <w:trPr>
          <w:jc w:val="center"/>
        </w:trPr>
        <w:tc>
          <w:tcPr>
            <w:tcW w:w="864" w:type="dxa"/>
            <w:tcMar>
              <w:top w:w="29" w:type="dxa"/>
              <w:left w:w="58" w:type="dxa"/>
              <w:bottom w:w="29" w:type="dxa"/>
              <w:right w:w="58" w:type="dxa"/>
            </w:tcMar>
          </w:tcPr>
          <w:p w:rsidRPr="00815866" w:rsidR="00815866" w:rsidP="00815866" w:rsidRDefault="00815866" w14:paraId="67A8D4D7" w14:textId="77777777">
            <w:pPr>
              <w:keepNext/>
              <w:keepLines/>
              <w:spacing w:line="240" w:lineRule="auto"/>
              <w:ind w:firstLine="0"/>
            </w:pPr>
            <w:r w:rsidRPr="00815866">
              <w:t>2027</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2FA2C59" w14:textId="77777777">
            <w:pPr>
              <w:keepNext/>
              <w:keepLines/>
              <w:spacing w:line="240" w:lineRule="auto"/>
              <w:ind w:firstLine="0"/>
              <w:jc w:val="center"/>
            </w:pPr>
            <w:r w:rsidRPr="00815866">
              <w:t>$216,621,492</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62842FEA" w14:textId="77777777">
            <w:pPr>
              <w:keepNext/>
              <w:keepLines/>
              <w:spacing w:line="240" w:lineRule="auto"/>
              <w:ind w:firstLine="0"/>
              <w:jc w:val="center"/>
            </w:pPr>
            <w:r w:rsidRPr="00815866">
              <w:t>909.8</w:t>
            </w:r>
          </w:p>
        </w:tc>
        <w:tc>
          <w:tcPr>
            <w:tcW w:w="959" w:type="dxa"/>
            <w:tcMar>
              <w:top w:w="29" w:type="dxa"/>
              <w:left w:w="58" w:type="dxa"/>
              <w:bottom w:w="29" w:type="dxa"/>
              <w:right w:w="58" w:type="dxa"/>
            </w:tcMar>
            <w:vAlign w:val="center"/>
          </w:tcPr>
          <w:p w:rsidRPr="00815866" w:rsidR="00815866" w:rsidP="00815866" w:rsidRDefault="00815866" w14:paraId="042F1F32" w14:textId="77777777">
            <w:pPr>
              <w:keepNext/>
              <w:keepLines/>
              <w:spacing w:line="240" w:lineRule="auto"/>
              <w:ind w:firstLine="0"/>
              <w:jc w:val="center"/>
            </w:pPr>
            <w:r w:rsidRPr="00815866">
              <w:t>165.9</w:t>
            </w:r>
          </w:p>
        </w:tc>
        <w:tc>
          <w:tcPr>
            <w:tcW w:w="1574" w:type="dxa"/>
            <w:tcMar>
              <w:top w:w="29" w:type="dxa"/>
              <w:left w:w="58" w:type="dxa"/>
              <w:bottom w:w="29" w:type="dxa"/>
              <w:right w:w="58" w:type="dxa"/>
            </w:tcMar>
            <w:vAlign w:val="center"/>
          </w:tcPr>
          <w:p w:rsidRPr="00815866" w:rsidR="00815866" w:rsidP="00815866" w:rsidRDefault="00815866" w14:paraId="1ECC65F5" w14:textId="77777777">
            <w:pPr>
              <w:keepNext/>
              <w:keepLines/>
              <w:spacing w:line="240" w:lineRule="auto"/>
              <w:ind w:firstLine="0"/>
              <w:jc w:val="center"/>
            </w:pPr>
            <w:r w:rsidRPr="00815866">
              <w:t>14.8</w:t>
            </w:r>
          </w:p>
        </w:tc>
      </w:tr>
      <w:tr w:rsidRPr="00815866" w:rsidR="00815866" w:rsidTr="006008C5" w14:paraId="04FA5FD3" w14:textId="77777777">
        <w:trPr>
          <w:jc w:val="center"/>
        </w:trPr>
        <w:tc>
          <w:tcPr>
            <w:tcW w:w="864" w:type="dxa"/>
            <w:tcMar>
              <w:top w:w="29" w:type="dxa"/>
              <w:left w:w="58" w:type="dxa"/>
              <w:bottom w:w="29" w:type="dxa"/>
              <w:right w:w="58" w:type="dxa"/>
            </w:tcMar>
          </w:tcPr>
          <w:p w:rsidRPr="00815866" w:rsidR="00815866" w:rsidP="00815866" w:rsidRDefault="00815866" w14:paraId="42EC2312" w14:textId="77777777">
            <w:pPr>
              <w:keepNext/>
              <w:keepLines/>
              <w:spacing w:line="240" w:lineRule="auto"/>
              <w:ind w:firstLine="0"/>
            </w:pPr>
            <w:r w:rsidRPr="00815866">
              <w:t>2028</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780A3B0F" w14:textId="77777777">
            <w:pPr>
              <w:keepNext/>
              <w:keepLines/>
              <w:spacing w:line="240" w:lineRule="auto"/>
              <w:ind w:firstLine="0"/>
              <w:jc w:val="center"/>
            </w:pPr>
            <w:r w:rsidRPr="00815866">
              <w:t>$227,558,742</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3B88A044" w14:textId="77777777">
            <w:pPr>
              <w:keepNext/>
              <w:keepLines/>
              <w:spacing w:line="240" w:lineRule="auto"/>
              <w:ind w:firstLine="0"/>
              <w:jc w:val="center"/>
            </w:pPr>
            <w:r w:rsidRPr="00815866">
              <w:t>830.0</w:t>
            </w:r>
          </w:p>
        </w:tc>
        <w:tc>
          <w:tcPr>
            <w:tcW w:w="959" w:type="dxa"/>
            <w:tcMar>
              <w:top w:w="29" w:type="dxa"/>
              <w:left w:w="58" w:type="dxa"/>
              <w:bottom w:w="29" w:type="dxa"/>
              <w:right w:w="58" w:type="dxa"/>
            </w:tcMar>
            <w:vAlign w:val="center"/>
          </w:tcPr>
          <w:p w:rsidRPr="00815866" w:rsidR="00815866" w:rsidP="00815866" w:rsidRDefault="00815866" w14:paraId="03792740" w14:textId="77777777">
            <w:pPr>
              <w:keepNext/>
              <w:keepLines/>
              <w:spacing w:line="240" w:lineRule="auto"/>
              <w:ind w:firstLine="0"/>
              <w:jc w:val="center"/>
            </w:pPr>
            <w:r w:rsidRPr="00815866">
              <w:t>157.8</w:t>
            </w:r>
          </w:p>
        </w:tc>
        <w:tc>
          <w:tcPr>
            <w:tcW w:w="1574" w:type="dxa"/>
            <w:tcMar>
              <w:top w:w="29" w:type="dxa"/>
              <w:left w:w="58" w:type="dxa"/>
              <w:bottom w:w="29" w:type="dxa"/>
              <w:right w:w="58" w:type="dxa"/>
            </w:tcMar>
            <w:vAlign w:val="center"/>
          </w:tcPr>
          <w:p w:rsidRPr="00815866" w:rsidR="00815866" w:rsidP="00815866" w:rsidRDefault="00815866" w14:paraId="59E36DDB" w14:textId="77777777">
            <w:pPr>
              <w:keepNext/>
              <w:keepLines/>
              <w:spacing w:line="240" w:lineRule="auto"/>
              <w:ind w:firstLine="0"/>
              <w:jc w:val="center"/>
            </w:pPr>
            <w:r w:rsidRPr="00815866">
              <w:t>13.8</w:t>
            </w:r>
          </w:p>
        </w:tc>
      </w:tr>
      <w:tr w:rsidRPr="00815866" w:rsidR="00815866" w:rsidTr="006008C5" w14:paraId="487F4EBD" w14:textId="77777777">
        <w:trPr>
          <w:jc w:val="center"/>
        </w:trPr>
        <w:tc>
          <w:tcPr>
            <w:tcW w:w="864" w:type="dxa"/>
            <w:tcMar>
              <w:top w:w="29" w:type="dxa"/>
              <w:left w:w="58" w:type="dxa"/>
              <w:bottom w:w="29" w:type="dxa"/>
              <w:right w:w="58" w:type="dxa"/>
            </w:tcMar>
          </w:tcPr>
          <w:p w:rsidRPr="00815866" w:rsidR="00815866" w:rsidP="00815866" w:rsidRDefault="00815866" w14:paraId="143ADF65" w14:textId="77777777">
            <w:pPr>
              <w:keepNext/>
              <w:keepLines/>
              <w:spacing w:line="240" w:lineRule="auto"/>
              <w:ind w:firstLine="0"/>
            </w:pPr>
            <w:r w:rsidRPr="00815866">
              <w:t>2029</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3198F2F2" w14:textId="77777777">
            <w:pPr>
              <w:keepNext/>
              <w:keepLines/>
              <w:spacing w:line="240" w:lineRule="auto"/>
              <w:ind w:firstLine="0"/>
              <w:jc w:val="center"/>
            </w:pPr>
            <w:r w:rsidRPr="00815866">
              <w:t>$238,185,795</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53ACEBCE" w14:textId="77777777">
            <w:pPr>
              <w:keepNext/>
              <w:keepLines/>
              <w:spacing w:line="240" w:lineRule="auto"/>
              <w:ind w:firstLine="0"/>
              <w:jc w:val="center"/>
            </w:pPr>
            <w:r w:rsidRPr="00815866">
              <w:t>659.5</w:t>
            </w:r>
          </w:p>
        </w:tc>
        <w:tc>
          <w:tcPr>
            <w:tcW w:w="959" w:type="dxa"/>
            <w:tcMar>
              <w:top w:w="29" w:type="dxa"/>
              <w:left w:w="58" w:type="dxa"/>
              <w:bottom w:w="29" w:type="dxa"/>
              <w:right w:w="58" w:type="dxa"/>
            </w:tcMar>
            <w:vAlign w:val="center"/>
          </w:tcPr>
          <w:p w:rsidRPr="00815866" w:rsidR="00815866" w:rsidP="00815866" w:rsidRDefault="00815866" w14:paraId="2BDF1906" w14:textId="77777777">
            <w:pPr>
              <w:keepNext/>
              <w:keepLines/>
              <w:spacing w:line="240" w:lineRule="auto"/>
              <w:ind w:firstLine="0"/>
              <w:jc w:val="center"/>
            </w:pPr>
            <w:r w:rsidRPr="00815866">
              <w:t>132.0</w:t>
            </w:r>
          </w:p>
        </w:tc>
        <w:tc>
          <w:tcPr>
            <w:tcW w:w="1574" w:type="dxa"/>
            <w:tcMar>
              <w:top w:w="29" w:type="dxa"/>
              <w:left w:w="58" w:type="dxa"/>
              <w:bottom w:w="29" w:type="dxa"/>
              <w:right w:w="58" w:type="dxa"/>
            </w:tcMar>
            <w:vAlign w:val="center"/>
          </w:tcPr>
          <w:p w:rsidRPr="00815866" w:rsidR="00815866" w:rsidP="00815866" w:rsidRDefault="00815866" w14:paraId="28CFD732" w14:textId="77777777">
            <w:pPr>
              <w:keepNext/>
              <w:keepLines/>
              <w:spacing w:line="240" w:lineRule="auto"/>
              <w:ind w:firstLine="0"/>
              <w:jc w:val="center"/>
            </w:pPr>
            <w:r w:rsidRPr="00815866">
              <w:t>13.1</w:t>
            </w:r>
          </w:p>
        </w:tc>
      </w:tr>
      <w:tr w:rsidRPr="00815866" w:rsidR="00815866" w:rsidTr="006008C5" w14:paraId="2602A875" w14:textId="77777777">
        <w:trPr>
          <w:jc w:val="center"/>
        </w:trPr>
        <w:tc>
          <w:tcPr>
            <w:tcW w:w="864" w:type="dxa"/>
            <w:tcMar>
              <w:top w:w="29" w:type="dxa"/>
              <w:left w:w="58" w:type="dxa"/>
              <w:bottom w:w="29" w:type="dxa"/>
              <w:right w:w="58" w:type="dxa"/>
            </w:tcMar>
          </w:tcPr>
          <w:p w:rsidRPr="00815866" w:rsidR="00815866" w:rsidP="00815866" w:rsidRDefault="00815866" w14:paraId="56FC7DA1" w14:textId="77777777">
            <w:pPr>
              <w:keepNext/>
              <w:keepLines/>
              <w:spacing w:line="240" w:lineRule="auto"/>
              <w:ind w:firstLine="0"/>
            </w:pPr>
            <w:r w:rsidRPr="00815866">
              <w:t>2030</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2F6C6294" w14:textId="77777777">
            <w:pPr>
              <w:keepNext/>
              <w:keepLines/>
              <w:spacing w:line="240" w:lineRule="auto"/>
              <w:ind w:firstLine="0"/>
              <w:jc w:val="center"/>
            </w:pPr>
            <w:r w:rsidRPr="00815866">
              <w:t>$222,939,809</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6C0EA07A" w14:textId="77777777">
            <w:pPr>
              <w:keepNext/>
              <w:keepLines/>
              <w:spacing w:line="240" w:lineRule="auto"/>
              <w:ind w:firstLine="0"/>
              <w:jc w:val="center"/>
            </w:pPr>
            <w:r w:rsidRPr="00815866">
              <w:t>599.0</w:t>
            </w:r>
          </w:p>
        </w:tc>
        <w:tc>
          <w:tcPr>
            <w:tcW w:w="959" w:type="dxa"/>
            <w:tcMar>
              <w:top w:w="29" w:type="dxa"/>
              <w:left w:w="58" w:type="dxa"/>
              <w:bottom w:w="29" w:type="dxa"/>
              <w:right w:w="58" w:type="dxa"/>
            </w:tcMar>
            <w:vAlign w:val="center"/>
          </w:tcPr>
          <w:p w:rsidRPr="00815866" w:rsidR="00815866" w:rsidP="00815866" w:rsidRDefault="00815866" w14:paraId="082F6AED" w14:textId="77777777">
            <w:pPr>
              <w:keepNext/>
              <w:keepLines/>
              <w:spacing w:line="240" w:lineRule="auto"/>
              <w:ind w:firstLine="0"/>
              <w:jc w:val="center"/>
            </w:pPr>
            <w:r w:rsidRPr="00815866">
              <w:t>123.2</w:t>
            </w:r>
          </w:p>
        </w:tc>
        <w:tc>
          <w:tcPr>
            <w:tcW w:w="1574" w:type="dxa"/>
            <w:tcMar>
              <w:top w:w="29" w:type="dxa"/>
              <w:left w:w="58" w:type="dxa"/>
              <w:bottom w:w="29" w:type="dxa"/>
              <w:right w:w="58" w:type="dxa"/>
            </w:tcMar>
            <w:vAlign w:val="center"/>
          </w:tcPr>
          <w:p w:rsidRPr="00815866" w:rsidR="00815866" w:rsidP="00815866" w:rsidRDefault="00815866" w14:paraId="1E25AA4A" w14:textId="77777777">
            <w:pPr>
              <w:keepNext/>
              <w:keepLines/>
              <w:spacing w:line="240" w:lineRule="auto"/>
              <w:ind w:firstLine="0"/>
              <w:jc w:val="center"/>
            </w:pPr>
            <w:r w:rsidRPr="00815866">
              <w:t>12.7</w:t>
            </w:r>
          </w:p>
        </w:tc>
      </w:tr>
      <w:tr w:rsidRPr="00815866" w:rsidR="00815866" w:rsidTr="006008C5" w14:paraId="7B4EF726" w14:textId="77777777">
        <w:trPr>
          <w:jc w:val="center"/>
        </w:trPr>
        <w:tc>
          <w:tcPr>
            <w:tcW w:w="864" w:type="dxa"/>
            <w:tcMar>
              <w:top w:w="29" w:type="dxa"/>
              <w:left w:w="58" w:type="dxa"/>
              <w:bottom w:w="29" w:type="dxa"/>
              <w:right w:w="58" w:type="dxa"/>
            </w:tcMar>
          </w:tcPr>
          <w:p w:rsidRPr="00815866" w:rsidR="00815866" w:rsidP="00815866" w:rsidRDefault="00815866" w14:paraId="4F056699" w14:textId="77777777">
            <w:pPr>
              <w:keepNext/>
              <w:keepLines/>
              <w:spacing w:line="240" w:lineRule="auto"/>
              <w:ind w:firstLine="0"/>
            </w:pPr>
            <w:r w:rsidRPr="00815866">
              <w:t>2031</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1D3DCA1C" w14:textId="77777777">
            <w:pPr>
              <w:keepNext/>
              <w:keepLines/>
              <w:spacing w:line="240" w:lineRule="auto"/>
              <w:ind w:firstLine="0"/>
              <w:jc w:val="center"/>
            </w:pPr>
            <w:r w:rsidRPr="00815866">
              <w:t>$228,458,369</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667F556F" w14:textId="77777777">
            <w:pPr>
              <w:keepNext/>
              <w:keepLines/>
              <w:spacing w:line="240" w:lineRule="auto"/>
              <w:ind w:firstLine="0"/>
              <w:jc w:val="center"/>
            </w:pPr>
            <w:r w:rsidRPr="00815866">
              <w:t>565.9</w:t>
            </w:r>
          </w:p>
        </w:tc>
        <w:tc>
          <w:tcPr>
            <w:tcW w:w="959" w:type="dxa"/>
            <w:tcMar>
              <w:top w:w="29" w:type="dxa"/>
              <w:left w:w="58" w:type="dxa"/>
              <w:bottom w:w="29" w:type="dxa"/>
              <w:right w:w="58" w:type="dxa"/>
            </w:tcMar>
            <w:vAlign w:val="center"/>
          </w:tcPr>
          <w:p w:rsidRPr="00815866" w:rsidR="00815866" w:rsidP="00815866" w:rsidRDefault="00815866" w14:paraId="3DFD652E" w14:textId="77777777">
            <w:pPr>
              <w:keepNext/>
              <w:keepLines/>
              <w:spacing w:line="240" w:lineRule="auto"/>
              <w:ind w:firstLine="0"/>
              <w:jc w:val="center"/>
            </w:pPr>
            <w:r w:rsidRPr="00815866">
              <w:t>118.3</w:t>
            </w:r>
          </w:p>
        </w:tc>
        <w:tc>
          <w:tcPr>
            <w:tcW w:w="1574" w:type="dxa"/>
            <w:tcMar>
              <w:top w:w="29" w:type="dxa"/>
              <w:left w:w="58" w:type="dxa"/>
              <w:bottom w:w="29" w:type="dxa"/>
              <w:right w:w="58" w:type="dxa"/>
            </w:tcMar>
            <w:vAlign w:val="center"/>
          </w:tcPr>
          <w:p w:rsidRPr="00815866" w:rsidR="00815866" w:rsidP="00815866" w:rsidRDefault="00815866" w14:paraId="3D1F7818" w14:textId="77777777">
            <w:pPr>
              <w:keepNext/>
              <w:keepLines/>
              <w:spacing w:line="240" w:lineRule="auto"/>
              <w:ind w:firstLine="0"/>
              <w:jc w:val="center"/>
            </w:pPr>
            <w:r w:rsidRPr="00815866">
              <w:t>12.2</w:t>
            </w:r>
          </w:p>
        </w:tc>
      </w:tr>
      <w:tr w:rsidRPr="00815866" w:rsidR="00815866" w:rsidTr="006008C5" w14:paraId="600CAF93" w14:textId="77777777">
        <w:trPr>
          <w:jc w:val="center"/>
        </w:trPr>
        <w:tc>
          <w:tcPr>
            <w:tcW w:w="864" w:type="dxa"/>
            <w:tcMar>
              <w:top w:w="29" w:type="dxa"/>
              <w:left w:w="58" w:type="dxa"/>
              <w:bottom w:w="29" w:type="dxa"/>
              <w:right w:w="58" w:type="dxa"/>
            </w:tcMar>
          </w:tcPr>
          <w:p w:rsidRPr="00815866" w:rsidR="00815866" w:rsidP="00815866" w:rsidRDefault="00815866" w14:paraId="1F6C631E" w14:textId="77777777">
            <w:pPr>
              <w:keepNext/>
              <w:keepLines/>
              <w:spacing w:line="240" w:lineRule="auto"/>
              <w:ind w:firstLine="0"/>
            </w:pPr>
            <w:r w:rsidRPr="00815866">
              <w:t>2032</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1C23488C" w14:textId="77777777">
            <w:pPr>
              <w:keepNext/>
              <w:keepLines/>
              <w:spacing w:line="240" w:lineRule="auto"/>
              <w:ind w:firstLine="0"/>
              <w:jc w:val="center"/>
            </w:pPr>
            <w:r w:rsidRPr="00815866">
              <w:t>$244,634,558</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10A2E3C0" w14:textId="77777777">
            <w:pPr>
              <w:keepNext/>
              <w:keepLines/>
              <w:spacing w:line="240" w:lineRule="auto"/>
              <w:ind w:firstLine="0"/>
              <w:jc w:val="center"/>
            </w:pPr>
            <w:r w:rsidRPr="00815866">
              <w:t>530.2</w:t>
            </w:r>
          </w:p>
        </w:tc>
        <w:tc>
          <w:tcPr>
            <w:tcW w:w="959" w:type="dxa"/>
            <w:tcMar>
              <w:top w:w="29" w:type="dxa"/>
              <w:left w:w="58" w:type="dxa"/>
              <w:bottom w:w="29" w:type="dxa"/>
              <w:right w:w="58" w:type="dxa"/>
            </w:tcMar>
            <w:vAlign w:val="center"/>
          </w:tcPr>
          <w:p w:rsidRPr="00815866" w:rsidR="00815866" w:rsidP="00815866" w:rsidRDefault="00815866" w14:paraId="5407FBC4" w14:textId="77777777">
            <w:pPr>
              <w:keepNext/>
              <w:keepLines/>
              <w:spacing w:line="240" w:lineRule="auto"/>
              <w:ind w:firstLine="0"/>
              <w:jc w:val="center"/>
            </w:pPr>
            <w:r w:rsidRPr="00815866">
              <w:t>110.0</w:t>
            </w:r>
          </w:p>
        </w:tc>
        <w:tc>
          <w:tcPr>
            <w:tcW w:w="1574" w:type="dxa"/>
            <w:tcMar>
              <w:top w:w="29" w:type="dxa"/>
              <w:left w:w="58" w:type="dxa"/>
              <w:bottom w:w="29" w:type="dxa"/>
              <w:right w:w="58" w:type="dxa"/>
            </w:tcMar>
            <w:vAlign w:val="center"/>
          </w:tcPr>
          <w:p w:rsidRPr="00815866" w:rsidR="00815866" w:rsidP="00815866" w:rsidRDefault="00815866" w14:paraId="51525ED3" w14:textId="77777777">
            <w:pPr>
              <w:keepNext/>
              <w:keepLines/>
              <w:spacing w:line="240" w:lineRule="auto"/>
              <w:ind w:firstLine="0"/>
              <w:jc w:val="center"/>
            </w:pPr>
            <w:r w:rsidRPr="00815866">
              <w:t>11.4</w:t>
            </w:r>
          </w:p>
        </w:tc>
      </w:tr>
      <w:tr w:rsidRPr="00815866" w:rsidR="00815866" w:rsidTr="006008C5" w14:paraId="2BC605C5" w14:textId="77777777">
        <w:trPr>
          <w:jc w:val="center"/>
        </w:trPr>
        <w:tc>
          <w:tcPr>
            <w:tcW w:w="864" w:type="dxa"/>
            <w:tcMar>
              <w:top w:w="29" w:type="dxa"/>
              <w:left w:w="58" w:type="dxa"/>
              <w:bottom w:w="29" w:type="dxa"/>
              <w:right w:w="58" w:type="dxa"/>
            </w:tcMar>
          </w:tcPr>
          <w:p w:rsidRPr="00815866" w:rsidR="00815866" w:rsidP="00815866" w:rsidRDefault="00815866" w14:paraId="61B87BF5" w14:textId="77777777">
            <w:pPr>
              <w:keepNext/>
              <w:keepLines/>
              <w:spacing w:line="240" w:lineRule="auto"/>
              <w:ind w:firstLine="0"/>
            </w:pPr>
            <w:r w:rsidRPr="00815866">
              <w:t>2033</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7D7852DF" w14:textId="77777777">
            <w:pPr>
              <w:keepNext/>
              <w:keepLines/>
              <w:spacing w:line="240" w:lineRule="auto"/>
              <w:ind w:firstLine="0"/>
              <w:jc w:val="center"/>
            </w:pPr>
            <w:r w:rsidRPr="00815866">
              <w:t>$261,850,172</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0C10324C" w14:textId="77777777">
            <w:pPr>
              <w:keepNext/>
              <w:keepLines/>
              <w:spacing w:line="240" w:lineRule="auto"/>
              <w:ind w:firstLine="0"/>
              <w:jc w:val="center"/>
            </w:pPr>
            <w:r w:rsidRPr="00815866">
              <w:t>502.5</w:t>
            </w:r>
          </w:p>
        </w:tc>
        <w:tc>
          <w:tcPr>
            <w:tcW w:w="959" w:type="dxa"/>
            <w:tcMar>
              <w:top w:w="29" w:type="dxa"/>
              <w:left w:w="58" w:type="dxa"/>
              <w:bottom w:w="29" w:type="dxa"/>
              <w:right w:w="58" w:type="dxa"/>
            </w:tcMar>
            <w:vAlign w:val="center"/>
          </w:tcPr>
          <w:p w:rsidRPr="00815866" w:rsidR="00815866" w:rsidP="00815866" w:rsidRDefault="00815866" w14:paraId="646635B2" w14:textId="77777777">
            <w:pPr>
              <w:keepNext/>
              <w:keepLines/>
              <w:spacing w:line="240" w:lineRule="auto"/>
              <w:ind w:firstLine="0"/>
              <w:jc w:val="center"/>
            </w:pPr>
            <w:r w:rsidRPr="00815866">
              <w:t>104.3</w:t>
            </w:r>
          </w:p>
        </w:tc>
        <w:tc>
          <w:tcPr>
            <w:tcW w:w="1574" w:type="dxa"/>
            <w:tcMar>
              <w:top w:w="29" w:type="dxa"/>
              <w:left w:w="58" w:type="dxa"/>
              <w:bottom w:w="29" w:type="dxa"/>
              <w:right w:w="58" w:type="dxa"/>
            </w:tcMar>
            <w:vAlign w:val="center"/>
          </w:tcPr>
          <w:p w:rsidRPr="00815866" w:rsidR="00815866" w:rsidP="00815866" w:rsidRDefault="00815866" w14:paraId="4026CE52" w14:textId="77777777">
            <w:pPr>
              <w:keepNext/>
              <w:keepLines/>
              <w:spacing w:line="240" w:lineRule="auto"/>
              <w:ind w:firstLine="0"/>
              <w:jc w:val="center"/>
            </w:pPr>
            <w:r w:rsidRPr="00815866">
              <w:t>11.0</w:t>
            </w:r>
          </w:p>
        </w:tc>
      </w:tr>
      <w:tr w:rsidRPr="00815866" w:rsidR="00815866" w:rsidTr="006008C5" w14:paraId="2CC1D1FE" w14:textId="77777777">
        <w:trPr>
          <w:jc w:val="center"/>
        </w:trPr>
        <w:tc>
          <w:tcPr>
            <w:tcW w:w="864" w:type="dxa"/>
            <w:tcMar>
              <w:top w:w="29" w:type="dxa"/>
              <w:left w:w="58" w:type="dxa"/>
              <w:bottom w:w="29" w:type="dxa"/>
              <w:right w:w="58" w:type="dxa"/>
            </w:tcMar>
          </w:tcPr>
          <w:p w:rsidRPr="00815866" w:rsidR="00815866" w:rsidP="00815866" w:rsidRDefault="00815866" w14:paraId="66D81235" w14:textId="77777777">
            <w:pPr>
              <w:keepNext/>
              <w:keepLines/>
              <w:spacing w:line="240" w:lineRule="auto"/>
              <w:ind w:firstLine="0"/>
            </w:pPr>
            <w:r w:rsidRPr="00815866">
              <w:t>2034</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0A3F6B93" w14:textId="77777777">
            <w:pPr>
              <w:keepNext/>
              <w:keepLines/>
              <w:spacing w:line="240" w:lineRule="auto"/>
              <w:ind w:firstLine="0"/>
              <w:jc w:val="center"/>
            </w:pPr>
            <w:r w:rsidRPr="00815866">
              <w:t>$265,251,413</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3E0EA498" w14:textId="77777777">
            <w:pPr>
              <w:keepNext/>
              <w:keepLines/>
              <w:spacing w:line="240" w:lineRule="auto"/>
              <w:ind w:firstLine="0"/>
              <w:jc w:val="center"/>
            </w:pPr>
            <w:r w:rsidRPr="00815866">
              <w:t>417.5</w:t>
            </w:r>
          </w:p>
        </w:tc>
        <w:tc>
          <w:tcPr>
            <w:tcW w:w="959" w:type="dxa"/>
            <w:tcMar>
              <w:top w:w="29" w:type="dxa"/>
              <w:left w:w="58" w:type="dxa"/>
              <w:bottom w:w="29" w:type="dxa"/>
              <w:right w:w="58" w:type="dxa"/>
            </w:tcMar>
            <w:vAlign w:val="center"/>
          </w:tcPr>
          <w:p w:rsidRPr="00815866" w:rsidR="00815866" w:rsidP="00815866" w:rsidRDefault="00815866" w14:paraId="52CD2BEA" w14:textId="77777777">
            <w:pPr>
              <w:keepNext/>
              <w:keepLines/>
              <w:spacing w:line="240" w:lineRule="auto"/>
              <w:ind w:firstLine="0"/>
              <w:jc w:val="center"/>
            </w:pPr>
            <w:r w:rsidRPr="00815866">
              <w:t>94.0</w:t>
            </w:r>
          </w:p>
        </w:tc>
        <w:tc>
          <w:tcPr>
            <w:tcW w:w="1574" w:type="dxa"/>
            <w:tcMar>
              <w:top w:w="29" w:type="dxa"/>
              <w:left w:w="58" w:type="dxa"/>
              <w:bottom w:w="29" w:type="dxa"/>
              <w:right w:w="58" w:type="dxa"/>
            </w:tcMar>
            <w:vAlign w:val="center"/>
          </w:tcPr>
          <w:p w:rsidRPr="00815866" w:rsidR="00815866" w:rsidP="00815866" w:rsidRDefault="00815866" w14:paraId="241AA1E7" w14:textId="77777777">
            <w:pPr>
              <w:keepNext/>
              <w:keepLines/>
              <w:spacing w:line="240" w:lineRule="auto"/>
              <w:ind w:firstLine="0"/>
              <w:jc w:val="center"/>
            </w:pPr>
            <w:r w:rsidRPr="00815866">
              <w:t>10.7</w:t>
            </w:r>
          </w:p>
        </w:tc>
      </w:tr>
      <w:tr w:rsidRPr="00815866" w:rsidR="00815866" w:rsidTr="006008C5" w14:paraId="4CCF4786" w14:textId="77777777">
        <w:trPr>
          <w:jc w:val="center"/>
        </w:trPr>
        <w:tc>
          <w:tcPr>
            <w:tcW w:w="864" w:type="dxa"/>
            <w:tcMar>
              <w:top w:w="29" w:type="dxa"/>
              <w:left w:w="58" w:type="dxa"/>
              <w:bottom w:w="29" w:type="dxa"/>
              <w:right w:w="58" w:type="dxa"/>
            </w:tcMar>
          </w:tcPr>
          <w:p w:rsidRPr="00815866" w:rsidR="00815866" w:rsidP="00815866" w:rsidRDefault="00815866" w14:paraId="22A1C428" w14:textId="77777777">
            <w:pPr>
              <w:keepNext/>
              <w:keepLines/>
              <w:spacing w:line="240" w:lineRule="auto"/>
              <w:ind w:firstLine="0"/>
            </w:pPr>
            <w:r w:rsidRPr="00815866">
              <w:t>2035</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32EF05ED" w14:textId="77777777">
            <w:pPr>
              <w:keepNext/>
              <w:keepLines/>
              <w:spacing w:line="240" w:lineRule="auto"/>
              <w:ind w:firstLine="0"/>
              <w:jc w:val="center"/>
            </w:pPr>
            <w:r w:rsidRPr="00815866">
              <w:t>$282,251,303</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16C3354F" w14:textId="77777777">
            <w:pPr>
              <w:keepNext/>
              <w:keepLines/>
              <w:spacing w:line="240" w:lineRule="auto"/>
              <w:ind w:firstLine="0"/>
              <w:jc w:val="center"/>
            </w:pPr>
            <w:r w:rsidRPr="00815866">
              <w:t>401.6</w:t>
            </w:r>
          </w:p>
        </w:tc>
        <w:tc>
          <w:tcPr>
            <w:tcW w:w="959" w:type="dxa"/>
            <w:tcMar>
              <w:top w:w="29" w:type="dxa"/>
              <w:left w:w="58" w:type="dxa"/>
              <w:bottom w:w="29" w:type="dxa"/>
              <w:right w:w="58" w:type="dxa"/>
            </w:tcMar>
            <w:vAlign w:val="center"/>
          </w:tcPr>
          <w:p w:rsidRPr="00815866" w:rsidR="00815866" w:rsidP="00815866" w:rsidRDefault="00815866" w14:paraId="59E0D3DE" w14:textId="77777777">
            <w:pPr>
              <w:keepNext/>
              <w:keepLines/>
              <w:spacing w:line="240" w:lineRule="auto"/>
              <w:ind w:firstLine="0"/>
              <w:jc w:val="center"/>
            </w:pPr>
            <w:r w:rsidRPr="00815866">
              <w:t>89.5</w:t>
            </w:r>
          </w:p>
        </w:tc>
        <w:tc>
          <w:tcPr>
            <w:tcW w:w="1574" w:type="dxa"/>
            <w:tcMar>
              <w:top w:w="29" w:type="dxa"/>
              <w:left w:w="58" w:type="dxa"/>
              <w:bottom w:w="29" w:type="dxa"/>
              <w:right w:w="58" w:type="dxa"/>
            </w:tcMar>
            <w:vAlign w:val="center"/>
          </w:tcPr>
          <w:p w:rsidRPr="00815866" w:rsidR="00815866" w:rsidP="00815866" w:rsidRDefault="00815866" w14:paraId="212CC005" w14:textId="77777777">
            <w:pPr>
              <w:keepNext/>
              <w:keepLines/>
              <w:spacing w:line="240" w:lineRule="auto"/>
              <w:ind w:firstLine="0"/>
              <w:jc w:val="center"/>
            </w:pPr>
            <w:r w:rsidRPr="00815866">
              <w:t>10.3</w:t>
            </w:r>
          </w:p>
        </w:tc>
      </w:tr>
    </w:tbl>
    <w:p w:rsidRPr="00815866" w:rsidR="00815866" w:rsidP="00815866" w:rsidRDefault="00815866" w14:paraId="46F7B300" w14:textId="77777777">
      <w:pPr>
        <w:ind w:firstLine="0"/>
      </w:pPr>
    </w:p>
    <w:p w:rsidRPr="00815866" w:rsidR="00815866" w:rsidP="00815866" w:rsidRDefault="00815866" w14:paraId="279AE03E" w14:textId="77777777">
      <w:pPr>
        <w:keepNext/>
        <w:keepLines/>
        <w:spacing w:after="120" w:line="240" w:lineRule="auto"/>
        <w:ind w:firstLine="0"/>
        <w:jc w:val="center"/>
      </w:pPr>
      <w:r w:rsidRPr="00815866">
        <w:lastRenderedPageBreak/>
        <w:t xml:space="preserve">Table 3: Cumulative Adopted TSB and Energy Efficiency Goals for SCE </w:t>
      </w:r>
      <w:r w:rsidRPr="00815866">
        <w:br/>
        <w:t>(2024-2035)</w:t>
      </w:r>
    </w:p>
    <w:tbl>
      <w:tblPr>
        <w:tblStyle w:val="TableGrid0"/>
        <w:tblW w:w="7562" w:type="dxa"/>
        <w:tblInd w:w="625" w:type="dxa"/>
        <w:tblCellMar>
          <w:top w:w="91" w:type="dxa"/>
          <w:left w:w="59" w:type="dxa"/>
          <w:right w:w="33" w:type="dxa"/>
        </w:tblCellMar>
        <w:tblLook w:val="04A0" w:firstRow="1" w:lastRow="0" w:firstColumn="1" w:lastColumn="0" w:noHBand="0" w:noVBand="1"/>
      </w:tblPr>
      <w:tblGrid>
        <w:gridCol w:w="1413"/>
        <w:gridCol w:w="2461"/>
        <w:gridCol w:w="1155"/>
        <w:gridCol w:w="959"/>
        <w:gridCol w:w="1574"/>
      </w:tblGrid>
      <w:tr w:rsidRPr="00815866" w:rsidR="00815866" w:rsidTr="006008C5" w14:paraId="3F988425" w14:textId="77777777">
        <w:trPr>
          <w:trHeight w:val="382"/>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rsidRPr="00815866" w:rsidR="00815866" w:rsidP="00815866" w:rsidRDefault="00815866" w14:paraId="7B996ACF" w14:textId="77777777">
            <w:pPr>
              <w:keepNext/>
              <w:keepLines/>
              <w:spacing w:line="240" w:lineRule="auto"/>
              <w:ind w:firstLine="0"/>
              <w:jc w:val="center"/>
              <w:rPr>
                <w:szCs w:val="26"/>
              </w:rPr>
            </w:pPr>
            <w:r w:rsidRPr="00815866">
              <w:rPr>
                <w:szCs w:val="26"/>
              </w:rPr>
              <w:t>Period</w:t>
            </w:r>
          </w:p>
        </w:tc>
        <w:tc>
          <w:tcPr>
            <w:tcW w:w="2461" w:type="dxa"/>
            <w:tcBorders>
              <w:top w:val="single" w:color="000000" w:sz="4" w:space="0"/>
              <w:left w:val="single" w:color="000000" w:sz="4" w:space="0"/>
              <w:bottom w:val="single" w:color="000000" w:sz="4" w:space="0"/>
              <w:right w:val="double" w:color="000000" w:sz="4" w:space="0"/>
            </w:tcBorders>
          </w:tcPr>
          <w:p w:rsidRPr="00815866" w:rsidR="00815866" w:rsidP="00815866" w:rsidRDefault="00815866" w14:paraId="47A3818F" w14:textId="77777777">
            <w:pPr>
              <w:keepNext/>
              <w:keepLines/>
              <w:spacing w:line="240" w:lineRule="auto"/>
              <w:ind w:firstLine="0"/>
              <w:jc w:val="both"/>
              <w:rPr>
                <w:szCs w:val="26"/>
              </w:rPr>
            </w:pPr>
            <w:r w:rsidRPr="00815866">
              <w:rPr>
                <w:szCs w:val="26"/>
              </w:rPr>
              <w:t xml:space="preserve">Incentive Programs </w:t>
            </w:r>
          </w:p>
        </w:tc>
        <w:tc>
          <w:tcPr>
            <w:tcW w:w="3688" w:type="dxa"/>
            <w:gridSpan w:val="3"/>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66AE1640" w14:textId="77777777">
            <w:pPr>
              <w:keepNext/>
              <w:keepLines/>
              <w:spacing w:line="240" w:lineRule="auto"/>
              <w:ind w:right="28" w:firstLine="0"/>
              <w:jc w:val="center"/>
              <w:rPr>
                <w:szCs w:val="26"/>
              </w:rPr>
            </w:pPr>
            <w:r w:rsidRPr="00815866">
              <w:rPr>
                <w:szCs w:val="26"/>
              </w:rPr>
              <w:t xml:space="preserve">Codes and Standards </w:t>
            </w:r>
          </w:p>
        </w:tc>
      </w:tr>
      <w:tr w:rsidRPr="00815866" w:rsidR="00815866" w:rsidTr="006008C5" w14:paraId="60B27CE4" w14:textId="77777777">
        <w:trPr>
          <w:trHeight w:val="391"/>
        </w:trPr>
        <w:tc>
          <w:tcPr>
            <w:tcW w:w="1413" w:type="dxa"/>
            <w:vMerge/>
            <w:tcBorders>
              <w:top w:val="nil"/>
              <w:left w:val="single" w:color="000000" w:sz="4" w:space="0"/>
              <w:bottom w:val="single" w:color="000000" w:sz="4" w:space="0"/>
              <w:right w:val="single" w:color="000000" w:sz="4" w:space="0"/>
            </w:tcBorders>
          </w:tcPr>
          <w:p w:rsidRPr="00815866" w:rsidR="00815866" w:rsidP="00815866" w:rsidRDefault="00815866" w14:paraId="591252AF" w14:textId="77777777">
            <w:pPr>
              <w:keepNext/>
              <w:keepLines/>
              <w:spacing w:after="160" w:line="240" w:lineRule="auto"/>
              <w:ind w:firstLine="0"/>
              <w:rPr>
                <w:szCs w:val="26"/>
              </w:rPr>
            </w:pPr>
          </w:p>
        </w:tc>
        <w:tc>
          <w:tcPr>
            <w:tcW w:w="2461" w:type="dxa"/>
            <w:tcBorders>
              <w:top w:val="single" w:color="000000" w:sz="4" w:space="0"/>
              <w:left w:val="single" w:color="000000" w:sz="4" w:space="0"/>
              <w:bottom w:val="single" w:color="000000" w:sz="4" w:space="0"/>
              <w:right w:val="double" w:color="000000" w:sz="4" w:space="0"/>
            </w:tcBorders>
          </w:tcPr>
          <w:p w:rsidRPr="00815866" w:rsidR="00815866" w:rsidP="00815866" w:rsidRDefault="00815866" w14:paraId="2EFAFC36" w14:textId="77777777">
            <w:pPr>
              <w:keepNext/>
              <w:keepLines/>
              <w:spacing w:line="240" w:lineRule="auto"/>
              <w:ind w:right="25" w:firstLine="0"/>
              <w:jc w:val="center"/>
              <w:rPr>
                <w:szCs w:val="26"/>
              </w:rPr>
            </w:pPr>
            <w:r w:rsidRPr="00815866">
              <w:rPr>
                <w:szCs w:val="26"/>
              </w:rPr>
              <w:t xml:space="preserve">TSB </w:t>
            </w:r>
          </w:p>
        </w:tc>
        <w:tc>
          <w:tcPr>
            <w:tcW w:w="1155" w:type="dxa"/>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6DAA6806" w14:textId="77777777">
            <w:pPr>
              <w:keepNext/>
              <w:keepLines/>
              <w:spacing w:line="240" w:lineRule="auto"/>
              <w:ind w:left="212" w:firstLine="0"/>
              <w:rPr>
                <w:szCs w:val="26"/>
              </w:rPr>
            </w:pPr>
            <w:r w:rsidRPr="00815866">
              <w:rPr>
                <w:szCs w:val="26"/>
              </w:rPr>
              <w:t xml:space="preserve">GWh </w:t>
            </w:r>
          </w:p>
        </w:tc>
        <w:tc>
          <w:tcPr>
            <w:tcW w:w="959"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3D65A82A" w14:textId="77777777">
            <w:pPr>
              <w:keepNext/>
              <w:keepLines/>
              <w:spacing w:line="240" w:lineRule="auto"/>
              <w:ind w:left="167" w:firstLine="0"/>
              <w:rPr>
                <w:szCs w:val="26"/>
              </w:rPr>
            </w:pPr>
            <w:r w:rsidRPr="00815866">
              <w:rPr>
                <w:szCs w:val="26"/>
              </w:rPr>
              <w:t xml:space="preserve">MW </w:t>
            </w:r>
          </w:p>
        </w:tc>
        <w:tc>
          <w:tcPr>
            <w:tcW w:w="1574"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7FF12201" w14:textId="77777777">
            <w:pPr>
              <w:keepNext/>
              <w:keepLines/>
              <w:spacing w:line="240" w:lineRule="auto"/>
              <w:ind w:left="43" w:firstLine="0"/>
              <w:jc w:val="both"/>
              <w:rPr>
                <w:szCs w:val="26"/>
              </w:rPr>
            </w:pPr>
            <w:r w:rsidRPr="00815866">
              <w:rPr>
                <w:szCs w:val="26"/>
              </w:rPr>
              <w:t xml:space="preserve">MMTherms </w:t>
            </w:r>
          </w:p>
        </w:tc>
      </w:tr>
    </w:tbl>
    <w:tbl>
      <w:tblPr>
        <w:tblW w:w="7562" w:type="dxa"/>
        <w:tblInd w:w="625" w:type="dxa"/>
        <w:tblCellMar>
          <w:top w:w="91" w:type="dxa"/>
          <w:left w:w="59" w:type="dxa"/>
          <w:right w:w="33" w:type="dxa"/>
        </w:tblCellMar>
        <w:tblLook w:val="04A0" w:firstRow="1" w:lastRow="0" w:firstColumn="1" w:lastColumn="0" w:noHBand="0" w:noVBand="1"/>
      </w:tblPr>
      <w:tblGrid>
        <w:gridCol w:w="1413"/>
        <w:gridCol w:w="2461"/>
        <w:gridCol w:w="1076"/>
        <w:gridCol w:w="1038"/>
        <w:gridCol w:w="1574"/>
      </w:tblGrid>
      <w:tr w:rsidRPr="00815866" w:rsidR="00815866" w:rsidTr="006008C5" w14:paraId="7EE024A6" w14:textId="77777777">
        <w:trPr>
          <w:trHeight w:val="391"/>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3A6E32D6" w14:textId="77777777">
            <w:pPr>
              <w:keepNext/>
              <w:keepLines/>
              <w:spacing w:line="240" w:lineRule="auto"/>
              <w:ind w:firstLine="0"/>
              <w:rPr>
                <w:szCs w:val="26"/>
              </w:rPr>
            </w:pPr>
            <w:r w:rsidRPr="00815866">
              <w:rPr>
                <w:szCs w:val="26"/>
              </w:rPr>
              <w:t>2024-2027</w:t>
            </w:r>
          </w:p>
        </w:tc>
        <w:tc>
          <w:tcPr>
            <w:tcW w:w="2461" w:type="dxa"/>
            <w:tcBorders>
              <w:top w:val="single" w:color="000000" w:sz="4" w:space="0"/>
              <w:left w:val="single" w:color="000000" w:sz="4" w:space="0"/>
              <w:bottom w:val="single" w:color="000000" w:sz="4" w:space="0"/>
              <w:right w:val="double" w:color="000000" w:sz="4" w:space="0"/>
            </w:tcBorders>
            <w:shd w:val="clear" w:color="auto" w:fill="auto"/>
            <w:vAlign w:val="bottom"/>
          </w:tcPr>
          <w:p w:rsidRPr="00815866" w:rsidR="00815866" w:rsidP="00815866" w:rsidRDefault="00815866" w14:paraId="30A106D2" w14:textId="77777777">
            <w:pPr>
              <w:keepNext/>
              <w:keepLines/>
              <w:spacing w:line="240" w:lineRule="auto"/>
              <w:ind w:right="24" w:firstLine="0"/>
              <w:jc w:val="center"/>
              <w:rPr>
                <w:szCs w:val="26"/>
              </w:rPr>
            </w:pPr>
            <w:r w:rsidRPr="00815866">
              <w:rPr>
                <w:szCs w:val="26"/>
              </w:rPr>
              <w:t>$500,266,416</w:t>
            </w:r>
          </w:p>
        </w:tc>
        <w:tc>
          <w:tcPr>
            <w:tcW w:w="1076" w:type="dxa"/>
            <w:tcBorders>
              <w:top w:val="single" w:color="000000" w:sz="4" w:space="0"/>
              <w:left w:val="double" w:color="000000" w:sz="4" w:space="0"/>
              <w:bottom w:val="single" w:color="000000" w:sz="4" w:space="0"/>
              <w:right w:val="single" w:color="000000" w:sz="4" w:space="0"/>
            </w:tcBorders>
            <w:shd w:val="clear" w:color="auto" w:fill="auto"/>
            <w:vAlign w:val="bottom"/>
          </w:tcPr>
          <w:p w:rsidRPr="00815866" w:rsidR="00815866" w:rsidP="00815866" w:rsidRDefault="00815866" w14:paraId="2C8F8048" w14:textId="77777777">
            <w:pPr>
              <w:keepNext/>
              <w:keepLines/>
              <w:spacing w:line="240" w:lineRule="auto"/>
              <w:ind w:left="127" w:firstLine="0"/>
              <w:rPr>
                <w:szCs w:val="26"/>
              </w:rPr>
            </w:pPr>
            <w:r w:rsidRPr="00815866">
              <w:rPr>
                <w:szCs w:val="26"/>
              </w:rPr>
              <w:t>3,976.6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18390367" w14:textId="77777777">
            <w:pPr>
              <w:keepNext/>
              <w:keepLines/>
              <w:spacing w:line="240" w:lineRule="auto"/>
              <w:ind w:left="127" w:firstLine="0"/>
              <w:rPr>
                <w:szCs w:val="26"/>
              </w:rPr>
            </w:pPr>
            <w:r w:rsidRPr="00815866">
              <w:rPr>
                <w:szCs w:val="26"/>
              </w:rPr>
              <w:t>682.5</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5E445790" w14:textId="77777777">
            <w:pPr>
              <w:keepNext/>
              <w:keepLines/>
              <w:spacing w:line="240" w:lineRule="auto"/>
              <w:ind w:right="26" w:firstLine="0"/>
              <w:jc w:val="center"/>
              <w:rPr>
                <w:szCs w:val="26"/>
              </w:rPr>
            </w:pPr>
            <w:r w:rsidRPr="00815866">
              <w:rPr>
                <w:szCs w:val="26"/>
              </w:rPr>
              <w:t>-</w:t>
            </w:r>
          </w:p>
        </w:tc>
      </w:tr>
      <w:tr w:rsidRPr="00815866" w:rsidR="00815866" w:rsidTr="006008C5" w14:paraId="69133D4F" w14:textId="77777777">
        <w:trPr>
          <w:trHeight w:val="391"/>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77EADF60" w14:textId="77777777">
            <w:pPr>
              <w:keepNext/>
              <w:keepLines/>
              <w:spacing w:line="240" w:lineRule="auto"/>
              <w:ind w:firstLine="0"/>
              <w:rPr>
                <w:szCs w:val="26"/>
              </w:rPr>
            </w:pPr>
            <w:r w:rsidRPr="00815866">
              <w:rPr>
                <w:szCs w:val="26"/>
              </w:rPr>
              <w:t>2028-2031</w:t>
            </w:r>
          </w:p>
        </w:tc>
        <w:tc>
          <w:tcPr>
            <w:tcW w:w="2461" w:type="dxa"/>
            <w:tcBorders>
              <w:top w:val="single" w:color="000000" w:sz="4" w:space="0"/>
              <w:left w:val="single" w:color="000000" w:sz="4" w:space="0"/>
              <w:bottom w:val="single" w:color="000000" w:sz="4" w:space="0"/>
              <w:right w:val="double" w:color="000000" w:sz="4" w:space="0"/>
            </w:tcBorders>
            <w:shd w:val="clear" w:color="auto" w:fill="auto"/>
            <w:vAlign w:val="bottom"/>
          </w:tcPr>
          <w:p w:rsidRPr="00815866" w:rsidR="00815866" w:rsidP="00815866" w:rsidRDefault="00815866" w14:paraId="08885572" w14:textId="77777777">
            <w:pPr>
              <w:keepNext/>
              <w:keepLines/>
              <w:spacing w:line="240" w:lineRule="auto"/>
              <w:ind w:right="24" w:firstLine="0"/>
              <w:jc w:val="center"/>
              <w:rPr>
                <w:szCs w:val="26"/>
              </w:rPr>
            </w:pPr>
            <w:r w:rsidRPr="00815866">
              <w:rPr>
                <w:szCs w:val="26"/>
              </w:rPr>
              <w:t>$574,255,562</w:t>
            </w:r>
          </w:p>
        </w:tc>
        <w:tc>
          <w:tcPr>
            <w:tcW w:w="1076" w:type="dxa"/>
            <w:tcBorders>
              <w:top w:val="single" w:color="000000" w:sz="4" w:space="0"/>
              <w:left w:val="double" w:color="000000" w:sz="4" w:space="0"/>
              <w:bottom w:val="single" w:color="000000" w:sz="4" w:space="0"/>
              <w:right w:val="single" w:color="000000" w:sz="4" w:space="0"/>
            </w:tcBorders>
            <w:shd w:val="clear" w:color="auto" w:fill="auto"/>
            <w:vAlign w:val="bottom"/>
          </w:tcPr>
          <w:p w:rsidRPr="00815866" w:rsidR="00815866" w:rsidP="00815866" w:rsidRDefault="00815866" w14:paraId="7142BBB8" w14:textId="77777777">
            <w:pPr>
              <w:keepNext/>
              <w:keepLines/>
              <w:spacing w:line="240" w:lineRule="auto"/>
              <w:ind w:left="127" w:firstLine="0"/>
              <w:rPr>
                <w:szCs w:val="26"/>
              </w:rPr>
            </w:pPr>
            <w:r w:rsidRPr="00815866">
              <w:rPr>
                <w:szCs w:val="26"/>
              </w:rPr>
              <w:t>2,654.4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282882B9" w14:textId="77777777">
            <w:pPr>
              <w:keepNext/>
              <w:keepLines/>
              <w:spacing w:line="240" w:lineRule="auto"/>
              <w:ind w:left="127" w:firstLine="0"/>
              <w:rPr>
                <w:szCs w:val="26"/>
              </w:rPr>
            </w:pPr>
            <w:r w:rsidRPr="00815866">
              <w:rPr>
                <w:szCs w:val="26"/>
              </w:rPr>
              <w:t>491.0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352BB6DE" w14:textId="77777777">
            <w:pPr>
              <w:keepNext/>
              <w:keepLines/>
              <w:spacing w:line="240" w:lineRule="auto"/>
              <w:ind w:right="26" w:firstLine="0"/>
              <w:jc w:val="center"/>
              <w:rPr>
                <w:szCs w:val="26"/>
              </w:rPr>
            </w:pPr>
            <w:r w:rsidRPr="00815866">
              <w:rPr>
                <w:szCs w:val="26"/>
              </w:rPr>
              <w:t>-</w:t>
            </w:r>
          </w:p>
        </w:tc>
      </w:tr>
      <w:tr w:rsidRPr="00815866" w:rsidR="00815866" w:rsidTr="006008C5" w14:paraId="62AEC23A" w14:textId="77777777">
        <w:trPr>
          <w:trHeight w:val="391"/>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2223F7A9" w14:textId="77777777">
            <w:pPr>
              <w:keepNext/>
              <w:keepLines/>
              <w:spacing w:line="240" w:lineRule="auto"/>
              <w:ind w:firstLine="0"/>
              <w:rPr>
                <w:szCs w:val="26"/>
              </w:rPr>
            </w:pPr>
            <w:r w:rsidRPr="00815866">
              <w:rPr>
                <w:szCs w:val="26"/>
              </w:rPr>
              <w:t>2032-2035</w:t>
            </w:r>
          </w:p>
        </w:tc>
        <w:tc>
          <w:tcPr>
            <w:tcW w:w="2461" w:type="dxa"/>
            <w:tcBorders>
              <w:top w:val="single" w:color="000000" w:sz="4" w:space="0"/>
              <w:left w:val="single" w:color="000000" w:sz="4" w:space="0"/>
              <w:bottom w:val="single" w:color="000000" w:sz="4" w:space="0"/>
              <w:right w:val="double" w:color="000000" w:sz="4" w:space="0"/>
            </w:tcBorders>
            <w:shd w:val="clear" w:color="auto" w:fill="auto"/>
            <w:vAlign w:val="bottom"/>
          </w:tcPr>
          <w:p w:rsidRPr="00815866" w:rsidR="00815866" w:rsidP="00815866" w:rsidRDefault="00815866" w14:paraId="58E0E0D1" w14:textId="77777777">
            <w:pPr>
              <w:keepNext/>
              <w:keepLines/>
              <w:spacing w:line="240" w:lineRule="auto"/>
              <w:ind w:right="24" w:firstLine="0"/>
              <w:jc w:val="center"/>
              <w:rPr>
                <w:szCs w:val="26"/>
              </w:rPr>
            </w:pPr>
            <w:r w:rsidRPr="00815866">
              <w:rPr>
                <w:szCs w:val="26"/>
              </w:rPr>
              <w:t>$555,486,815</w:t>
            </w:r>
          </w:p>
        </w:tc>
        <w:tc>
          <w:tcPr>
            <w:tcW w:w="1076" w:type="dxa"/>
            <w:tcBorders>
              <w:top w:val="single" w:color="000000" w:sz="4" w:space="0"/>
              <w:left w:val="double" w:color="000000" w:sz="4" w:space="0"/>
              <w:bottom w:val="single" w:color="000000" w:sz="4" w:space="0"/>
              <w:right w:val="single" w:color="000000" w:sz="4" w:space="0"/>
            </w:tcBorders>
            <w:shd w:val="clear" w:color="auto" w:fill="auto"/>
            <w:vAlign w:val="bottom"/>
          </w:tcPr>
          <w:p w:rsidRPr="00815866" w:rsidR="00815866" w:rsidP="00815866" w:rsidRDefault="00815866" w14:paraId="461D8446" w14:textId="77777777">
            <w:pPr>
              <w:keepNext/>
              <w:keepLines/>
              <w:spacing w:line="240" w:lineRule="auto"/>
              <w:ind w:right="26" w:firstLine="0"/>
              <w:jc w:val="center"/>
              <w:rPr>
                <w:szCs w:val="26"/>
              </w:rPr>
            </w:pPr>
            <w:r w:rsidRPr="00815866">
              <w:rPr>
                <w:szCs w:val="26"/>
              </w:rPr>
              <w:t>1,851.8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75683CCE" w14:textId="77777777">
            <w:pPr>
              <w:keepNext/>
              <w:keepLines/>
              <w:spacing w:line="240" w:lineRule="auto"/>
              <w:ind w:left="127" w:firstLine="0"/>
              <w:rPr>
                <w:szCs w:val="26"/>
              </w:rPr>
            </w:pPr>
            <w:r w:rsidRPr="00815866">
              <w:rPr>
                <w:szCs w:val="26"/>
              </w:rPr>
              <w:t>364.3</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15866" w:rsidR="00815866" w:rsidP="00815866" w:rsidRDefault="00815866" w14:paraId="3AF1A0B3" w14:textId="77777777">
            <w:pPr>
              <w:keepNext/>
              <w:keepLines/>
              <w:spacing w:line="240" w:lineRule="auto"/>
              <w:ind w:right="26" w:firstLine="0"/>
              <w:jc w:val="center"/>
              <w:rPr>
                <w:szCs w:val="26"/>
              </w:rPr>
            </w:pPr>
            <w:r w:rsidRPr="00815866">
              <w:rPr>
                <w:szCs w:val="26"/>
              </w:rPr>
              <w:t>-</w:t>
            </w:r>
          </w:p>
        </w:tc>
      </w:tr>
    </w:tbl>
    <w:p w:rsidRPr="00815866" w:rsidR="00815866" w:rsidP="00815866" w:rsidRDefault="00815866" w14:paraId="655E04AF" w14:textId="77777777">
      <w:pPr>
        <w:ind w:firstLine="0"/>
      </w:pPr>
    </w:p>
    <w:p w:rsidRPr="00815866" w:rsidR="00815866" w:rsidP="00815866" w:rsidRDefault="00815866" w14:paraId="62E690B4" w14:textId="77777777">
      <w:pPr>
        <w:keepNext/>
        <w:spacing w:after="120" w:line="240" w:lineRule="auto"/>
        <w:ind w:firstLine="0"/>
        <w:jc w:val="center"/>
      </w:pPr>
      <w:r w:rsidRPr="00815866">
        <w:t>Table 4: Annual TSB and Energy Efficiency Targets for SCE (2024-2035)</w:t>
      </w:r>
    </w:p>
    <w:tbl>
      <w:tblPr>
        <w:tblStyle w:val="TableGrid"/>
        <w:tblW w:w="0" w:type="auto"/>
        <w:jc w:val="center"/>
        <w:tblLook w:val="04A0" w:firstRow="1" w:lastRow="0" w:firstColumn="1" w:lastColumn="0" w:noHBand="0" w:noVBand="1"/>
      </w:tblPr>
      <w:tblGrid>
        <w:gridCol w:w="864"/>
        <w:gridCol w:w="2461"/>
        <w:gridCol w:w="1154"/>
        <w:gridCol w:w="959"/>
        <w:gridCol w:w="1574"/>
      </w:tblGrid>
      <w:tr w:rsidRPr="00815866" w:rsidR="00815866" w:rsidTr="006008C5" w14:paraId="672CD3FE" w14:textId="77777777">
        <w:trPr>
          <w:jc w:val="center"/>
        </w:trPr>
        <w:tc>
          <w:tcPr>
            <w:tcW w:w="864" w:type="dxa"/>
            <w:vMerge w:val="restart"/>
            <w:tcMar>
              <w:top w:w="29" w:type="dxa"/>
              <w:left w:w="58" w:type="dxa"/>
              <w:bottom w:w="29" w:type="dxa"/>
              <w:right w:w="58" w:type="dxa"/>
            </w:tcMar>
            <w:vAlign w:val="center"/>
          </w:tcPr>
          <w:p w:rsidRPr="00815866" w:rsidR="00815866" w:rsidP="00815866" w:rsidRDefault="00815866" w14:paraId="424A2F25" w14:textId="77777777">
            <w:pPr>
              <w:keepNext/>
              <w:keepLines/>
              <w:spacing w:line="240" w:lineRule="auto"/>
              <w:ind w:firstLine="0"/>
            </w:pPr>
            <w:r w:rsidRPr="00815866">
              <w:t>Year</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32FF6B8B" w14:textId="77777777">
            <w:pPr>
              <w:keepNext/>
              <w:keepLines/>
              <w:spacing w:line="240" w:lineRule="auto"/>
              <w:ind w:firstLine="0"/>
              <w:rPr>
                <w:b/>
                <w:bCs/>
              </w:rPr>
            </w:pPr>
            <w:r w:rsidRPr="00815866">
              <w:rPr>
                <w:b/>
                <w:bCs/>
              </w:rPr>
              <w:t>Incentive Programs</w:t>
            </w:r>
          </w:p>
        </w:tc>
        <w:tc>
          <w:tcPr>
            <w:tcW w:w="3687" w:type="dxa"/>
            <w:gridSpan w:val="3"/>
            <w:tcBorders>
              <w:left w:val="triple" w:color="auto" w:sz="4" w:space="0"/>
            </w:tcBorders>
            <w:tcMar>
              <w:top w:w="29" w:type="dxa"/>
              <w:left w:w="58" w:type="dxa"/>
              <w:bottom w:w="29" w:type="dxa"/>
              <w:right w:w="58" w:type="dxa"/>
            </w:tcMar>
          </w:tcPr>
          <w:p w:rsidRPr="00815866" w:rsidR="00815866" w:rsidP="00815866" w:rsidRDefault="00815866" w14:paraId="0BCD89D1" w14:textId="77777777">
            <w:pPr>
              <w:keepNext/>
              <w:keepLines/>
              <w:spacing w:line="240" w:lineRule="auto"/>
              <w:ind w:firstLine="0"/>
              <w:jc w:val="center"/>
              <w:rPr>
                <w:b/>
                <w:bCs/>
              </w:rPr>
            </w:pPr>
            <w:r w:rsidRPr="00815866">
              <w:rPr>
                <w:b/>
                <w:bCs/>
              </w:rPr>
              <w:t>Codes and Standards</w:t>
            </w:r>
          </w:p>
        </w:tc>
      </w:tr>
      <w:tr w:rsidRPr="00815866" w:rsidR="00815866" w:rsidTr="006008C5" w14:paraId="69899013" w14:textId="77777777">
        <w:trPr>
          <w:jc w:val="center"/>
        </w:trPr>
        <w:tc>
          <w:tcPr>
            <w:tcW w:w="864" w:type="dxa"/>
            <w:vMerge/>
            <w:tcMar>
              <w:top w:w="29" w:type="dxa"/>
              <w:left w:w="58" w:type="dxa"/>
              <w:bottom w:w="29" w:type="dxa"/>
              <w:right w:w="58" w:type="dxa"/>
            </w:tcMar>
          </w:tcPr>
          <w:p w:rsidRPr="00815866" w:rsidR="00815866" w:rsidP="00815866" w:rsidRDefault="00815866" w14:paraId="3DCD9289" w14:textId="77777777">
            <w:pPr>
              <w:keepNext/>
              <w:keepLines/>
              <w:spacing w:line="240" w:lineRule="auto"/>
              <w:ind w:firstLine="0"/>
            </w:pP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127B74C1" w14:textId="77777777">
            <w:pPr>
              <w:keepNext/>
              <w:keepLines/>
              <w:spacing w:line="240" w:lineRule="auto"/>
              <w:ind w:firstLine="0"/>
              <w:jc w:val="center"/>
            </w:pPr>
            <w:r w:rsidRPr="00815866">
              <w:t>TSB</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253AC191" w14:textId="77777777">
            <w:pPr>
              <w:keepNext/>
              <w:keepLines/>
              <w:spacing w:line="240" w:lineRule="auto"/>
              <w:ind w:firstLine="0"/>
              <w:jc w:val="center"/>
            </w:pPr>
            <w:r w:rsidRPr="00815866">
              <w:t>GWh</w:t>
            </w:r>
          </w:p>
        </w:tc>
        <w:tc>
          <w:tcPr>
            <w:tcW w:w="959" w:type="dxa"/>
            <w:tcMar>
              <w:top w:w="29" w:type="dxa"/>
              <w:left w:w="58" w:type="dxa"/>
              <w:bottom w:w="29" w:type="dxa"/>
              <w:right w:w="58" w:type="dxa"/>
            </w:tcMar>
          </w:tcPr>
          <w:p w:rsidRPr="00815866" w:rsidR="00815866" w:rsidP="00815866" w:rsidRDefault="00815866" w14:paraId="5A20AD05" w14:textId="77777777">
            <w:pPr>
              <w:keepNext/>
              <w:keepLines/>
              <w:spacing w:line="240" w:lineRule="auto"/>
              <w:ind w:firstLine="0"/>
              <w:jc w:val="center"/>
            </w:pPr>
            <w:r w:rsidRPr="00815866">
              <w:t>MW</w:t>
            </w:r>
          </w:p>
        </w:tc>
        <w:tc>
          <w:tcPr>
            <w:tcW w:w="1574" w:type="dxa"/>
            <w:tcMar>
              <w:top w:w="29" w:type="dxa"/>
              <w:left w:w="58" w:type="dxa"/>
              <w:bottom w:w="29" w:type="dxa"/>
              <w:right w:w="58" w:type="dxa"/>
            </w:tcMar>
          </w:tcPr>
          <w:p w:rsidRPr="00815866" w:rsidR="00815866" w:rsidP="00815866" w:rsidRDefault="00815866" w14:paraId="329A6E63" w14:textId="77777777">
            <w:pPr>
              <w:keepNext/>
              <w:keepLines/>
              <w:spacing w:line="240" w:lineRule="auto"/>
              <w:ind w:firstLine="0"/>
              <w:jc w:val="center"/>
            </w:pPr>
            <w:r w:rsidRPr="00815866">
              <w:t>MMTherms</w:t>
            </w:r>
          </w:p>
        </w:tc>
      </w:tr>
      <w:tr w:rsidRPr="00815866" w:rsidR="00815866" w:rsidTr="006008C5" w14:paraId="2F7FEC92" w14:textId="77777777">
        <w:trPr>
          <w:jc w:val="center"/>
        </w:trPr>
        <w:tc>
          <w:tcPr>
            <w:tcW w:w="864" w:type="dxa"/>
            <w:tcMar>
              <w:top w:w="29" w:type="dxa"/>
              <w:left w:w="58" w:type="dxa"/>
              <w:bottom w:w="29" w:type="dxa"/>
              <w:right w:w="58" w:type="dxa"/>
            </w:tcMar>
          </w:tcPr>
          <w:p w:rsidRPr="00815866" w:rsidR="00815866" w:rsidP="00815866" w:rsidRDefault="00815866" w14:paraId="5D690703" w14:textId="77777777">
            <w:pPr>
              <w:keepNext/>
              <w:keepLines/>
              <w:spacing w:line="240" w:lineRule="auto"/>
              <w:ind w:firstLine="0"/>
            </w:pPr>
            <w:r w:rsidRPr="00815866">
              <w:t>2024</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213EDD53" w14:textId="77777777">
            <w:pPr>
              <w:keepNext/>
              <w:keepLines/>
              <w:spacing w:line="240" w:lineRule="auto"/>
              <w:ind w:firstLine="0"/>
              <w:jc w:val="center"/>
            </w:pPr>
            <w:r w:rsidRPr="00815866">
              <w:t>$112,534,778</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03BD8DD3" w14:textId="77777777">
            <w:pPr>
              <w:keepNext/>
              <w:keepLines/>
              <w:spacing w:line="240" w:lineRule="auto"/>
              <w:ind w:firstLine="0"/>
              <w:jc w:val="center"/>
            </w:pPr>
            <w:r w:rsidRPr="00815866">
              <w:t>1,071.2</w:t>
            </w:r>
          </w:p>
        </w:tc>
        <w:tc>
          <w:tcPr>
            <w:tcW w:w="959" w:type="dxa"/>
            <w:tcMar>
              <w:top w:w="29" w:type="dxa"/>
              <w:left w:w="58" w:type="dxa"/>
              <w:bottom w:w="29" w:type="dxa"/>
              <w:right w:w="58" w:type="dxa"/>
            </w:tcMar>
            <w:vAlign w:val="center"/>
          </w:tcPr>
          <w:p w:rsidRPr="00815866" w:rsidR="00815866" w:rsidP="00815866" w:rsidRDefault="00815866" w14:paraId="19F694DF" w14:textId="77777777">
            <w:pPr>
              <w:keepNext/>
              <w:keepLines/>
              <w:spacing w:line="240" w:lineRule="auto"/>
              <w:ind w:firstLine="0"/>
              <w:jc w:val="center"/>
            </w:pPr>
            <w:r w:rsidRPr="00815866">
              <w:t>186.5</w:t>
            </w:r>
          </w:p>
        </w:tc>
        <w:tc>
          <w:tcPr>
            <w:tcW w:w="1574" w:type="dxa"/>
            <w:tcMar>
              <w:top w:w="29" w:type="dxa"/>
              <w:left w:w="58" w:type="dxa"/>
              <w:bottom w:w="29" w:type="dxa"/>
              <w:right w:w="58" w:type="dxa"/>
            </w:tcMar>
          </w:tcPr>
          <w:p w:rsidRPr="00815866" w:rsidR="00815866" w:rsidP="00815866" w:rsidRDefault="00815866" w14:paraId="23B9F1DA" w14:textId="77777777">
            <w:pPr>
              <w:keepNext/>
              <w:keepLines/>
              <w:spacing w:line="240" w:lineRule="auto"/>
              <w:ind w:firstLine="0"/>
              <w:jc w:val="center"/>
            </w:pPr>
            <w:r w:rsidRPr="00815866">
              <w:t>-</w:t>
            </w:r>
          </w:p>
        </w:tc>
      </w:tr>
      <w:tr w:rsidRPr="00815866" w:rsidR="00815866" w:rsidTr="006008C5" w14:paraId="0421CDE6" w14:textId="77777777">
        <w:trPr>
          <w:jc w:val="center"/>
        </w:trPr>
        <w:tc>
          <w:tcPr>
            <w:tcW w:w="864" w:type="dxa"/>
            <w:tcMar>
              <w:top w:w="29" w:type="dxa"/>
              <w:left w:w="58" w:type="dxa"/>
              <w:bottom w:w="29" w:type="dxa"/>
              <w:right w:w="58" w:type="dxa"/>
            </w:tcMar>
          </w:tcPr>
          <w:p w:rsidRPr="00815866" w:rsidR="00815866" w:rsidP="00815866" w:rsidRDefault="00815866" w14:paraId="59A3759A" w14:textId="77777777">
            <w:pPr>
              <w:keepNext/>
              <w:keepLines/>
              <w:spacing w:line="240" w:lineRule="auto"/>
              <w:ind w:firstLine="0"/>
            </w:pPr>
            <w:r w:rsidRPr="00815866">
              <w:t>2025</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6EE3899B" w14:textId="77777777">
            <w:pPr>
              <w:keepNext/>
              <w:keepLines/>
              <w:spacing w:line="240" w:lineRule="auto"/>
              <w:ind w:firstLine="0"/>
              <w:jc w:val="center"/>
            </w:pPr>
            <w:r w:rsidRPr="00815866">
              <w:t>$117,062,964</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2A22F865" w14:textId="77777777">
            <w:pPr>
              <w:keepNext/>
              <w:keepLines/>
              <w:spacing w:line="240" w:lineRule="auto"/>
              <w:ind w:firstLine="0"/>
              <w:jc w:val="center"/>
            </w:pPr>
            <w:r w:rsidRPr="00815866">
              <w:t>1,008.4</w:t>
            </w:r>
          </w:p>
        </w:tc>
        <w:tc>
          <w:tcPr>
            <w:tcW w:w="959" w:type="dxa"/>
            <w:tcMar>
              <w:top w:w="29" w:type="dxa"/>
              <w:left w:w="58" w:type="dxa"/>
              <w:bottom w:w="29" w:type="dxa"/>
              <w:right w:w="58" w:type="dxa"/>
            </w:tcMar>
            <w:vAlign w:val="center"/>
          </w:tcPr>
          <w:p w:rsidRPr="00815866" w:rsidR="00815866" w:rsidP="00815866" w:rsidRDefault="00815866" w14:paraId="1AA0028D" w14:textId="77777777">
            <w:pPr>
              <w:keepNext/>
              <w:keepLines/>
              <w:spacing w:line="240" w:lineRule="auto"/>
              <w:ind w:firstLine="0"/>
              <w:jc w:val="center"/>
            </w:pPr>
            <w:r w:rsidRPr="00815866">
              <w:t>172.4</w:t>
            </w:r>
          </w:p>
        </w:tc>
        <w:tc>
          <w:tcPr>
            <w:tcW w:w="1574" w:type="dxa"/>
            <w:tcMar>
              <w:top w:w="29" w:type="dxa"/>
              <w:left w:w="58" w:type="dxa"/>
              <w:bottom w:w="29" w:type="dxa"/>
              <w:right w:w="58" w:type="dxa"/>
            </w:tcMar>
          </w:tcPr>
          <w:p w:rsidRPr="00815866" w:rsidR="00815866" w:rsidP="00815866" w:rsidRDefault="00815866" w14:paraId="078E961F" w14:textId="77777777">
            <w:pPr>
              <w:keepNext/>
              <w:keepLines/>
              <w:spacing w:line="240" w:lineRule="auto"/>
              <w:ind w:firstLine="0"/>
              <w:jc w:val="center"/>
            </w:pPr>
            <w:r w:rsidRPr="00815866">
              <w:t>-</w:t>
            </w:r>
          </w:p>
        </w:tc>
      </w:tr>
      <w:tr w:rsidRPr="00815866" w:rsidR="00815866" w:rsidTr="006008C5" w14:paraId="023AFE7B" w14:textId="77777777">
        <w:trPr>
          <w:jc w:val="center"/>
        </w:trPr>
        <w:tc>
          <w:tcPr>
            <w:tcW w:w="864" w:type="dxa"/>
            <w:tcMar>
              <w:top w:w="29" w:type="dxa"/>
              <w:left w:w="58" w:type="dxa"/>
              <w:bottom w:w="29" w:type="dxa"/>
              <w:right w:w="58" w:type="dxa"/>
            </w:tcMar>
          </w:tcPr>
          <w:p w:rsidRPr="00815866" w:rsidR="00815866" w:rsidP="00815866" w:rsidRDefault="00815866" w14:paraId="1FE4B198" w14:textId="77777777">
            <w:pPr>
              <w:keepNext/>
              <w:keepLines/>
              <w:spacing w:line="240" w:lineRule="auto"/>
              <w:ind w:firstLine="0"/>
            </w:pPr>
            <w:r w:rsidRPr="00815866">
              <w:t>2026</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237DE12C" w14:textId="77777777">
            <w:pPr>
              <w:keepNext/>
              <w:keepLines/>
              <w:spacing w:line="240" w:lineRule="auto"/>
              <w:ind w:firstLine="0"/>
              <w:jc w:val="center"/>
            </w:pPr>
            <w:r w:rsidRPr="00815866">
              <w:t>$128,212,309</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2F341D5E" w14:textId="77777777">
            <w:pPr>
              <w:keepNext/>
              <w:keepLines/>
              <w:spacing w:line="240" w:lineRule="auto"/>
              <w:ind w:firstLine="0"/>
              <w:jc w:val="center"/>
            </w:pPr>
            <w:r w:rsidRPr="00815866">
              <w:t>987.2</w:t>
            </w:r>
          </w:p>
        </w:tc>
        <w:tc>
          <w:tcPr>
            <w:tcW w:w="959" w:type="dxa"/>
            <w:tcMar>
              <w:top w:w="29" w:type="dxa"/>
              <w:left w:w="58" w:type="dxa"/>
              <w:bottom w:w="29" w:type="dxa"/>
              <w:right w:w="58" w:type="dxa"/>
            </w:tcMar>
            <w:vAlign w:val="center"/>
          </w:tcPr>
          <w:p w:rsidRPr="00815866" w:rsidR="00815866" w:rsidP="00815866" w:rsidRDefault="00815866" w14:paraId="7D576474" w14:textId="77777777">
            <w:pPr>
              <w:keepNext/>
              <w:keepLines/>
              <w:spacing w:line="240" w:lineRule="auto"/>
              <w:ind w:firstLine="0"/>
              <w:jc w:val="center"/>
            </w:pPr>
            <w:r w:rsidRPr="00815866">
              <w:t>168.9</w:t>
            </w:r>
          </w:p>
        </w:tc>
        <w:tc>
          <w:tcPr>
            <w:tcW w:w="1574" w:type="dxa"/>
            <w:tcMar>
              <w:top w:w="29" w:type="dxa"/>
              <w:left w:w="58" w:type="dxa"/>
              <w:bottom w:w="29" w:type="dxa"/>
              <w:right w:w="58" w:type="dxa"/>
            </w:tcMar>
          </w:tcPr>
          <w:p w:rsidRPr="00815866" w:rsidR="00815866" w:rsidP="00815866" w:rsidRDefault="00815866" w14:paraId="1CB5B705" w14:textId="77777777">
            <w:pPr>
              <w:keepNext/>
              <w:keepLines/>
              <w:spacing w:line="240" w:lineRule="auto"/>
              <w:ind w:firstLine="0"/>
              <w:jc w:val="center"/>
            </w:pPr>
            <w:r w:rsidRPr="00815866">
              <w:t>-</w:t>
            </w:r>
          </w:p>
        </w:tc>
      </w:tr>
      <w:tr w:rsidRPr="00815866" w:rsidR="00815866" w:rsidTr="006008C5" w14:paraId="242E8D2F" w14:textId="77777777">
        <w:trPr>
          <w:jc w:val="center"/>
        </w:trPr>
        <w:tc>
          <w:tcPr>
            <w:tcW w:w="864" w:type="dxa"/>
            <w:tcMar>
              <w:top w:w="29" w:type="dxa"/>
              <w:left w:w="58" w:type="dxa"/>
              <w:bottom w:w="29" w:type="dxa"/>
              <w:right w:w="58" w:type="dxa"/>
            </w:tcMar>
          </w:tcPr>
          <w:p w:rsidRPr="00815866" w:rsidR="00815866" w:rsidP="00815866" w:rsidRDefault="00815866" w14:paraId="2C4168FC" w14:textId="77777777">
            <w:pPr>
              <w:keepNext/>
              <w:keepLines/>
              <w:spacing w:line="240" w:lineRule="auto"/>
              <w:ind w:firstLine="0"/>
            </w:pPr>
            <w:r w:rsidRPr="00815866">
              <w:t>2027</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64655D25" w14:textId="77777777">
            <w:pPr>
              <w:keepNext/>
              <w:keepLines/>
              <w:spacing w:line="240" w:lineRule="auto"/>
              <w:ind w:firstLine="0"/>
              <w:jc w:val="center"/>
            </w:pPr>
            <w:r w:rsidRPr="00815866">
              <w:t>$142,456,365</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1FB33DDE" w14:textId="77777777">
            <w:pPr>
              <w:keepNext/>
              <w:keepLines/>
              <w:spacing w:line="240" w:lineRule="auto"/>
              <w:ind w:firstLine="0"/>
              <w:jc w:val="center"/>
            </w:pPr>
            <w:r w:rsidRPr="00815866">
              <w:t>909.8</w:t>
            </w:r>
          </w:p>
        </w:tc>
        <w:tc>
          <w:tcPr>
            <w:tcW w:w="959" w:type="dxa"/>
            <w:tcMar>
              <w:top w:w="29" w:type="dxa"/>
              <w:left w:w="58" w:type="dxa"/>
              <w:bottom w:w="29" w:type="dxa"/>
              <w:right w:w="58" w:type="dxa"/>
            </w:tcMar>
            <w:vAlign w:val="center"/>
          </w:tcPr>
          <w:p w:rsidRPr="00815866" w:rsidR="00815866" w:rsidP="00815866" w:rsidRDefault="00815866" w14:paraId="3A5936EE" w14:textId="77777777">
            <w:pPr>
              <w:keepNext/>
              <w:keepLines/>
              <w:spacing w:line="240" w:lineRule="auto"/>
              <w:ind w:firstLine="0"/>
              <w:jc w:val="center"/>
            </w:pPr>
            <w:r w:rsidRPr="00815866">
              <w:t>154.7</w:t>
            </w:r>
          </w:p>
        </w:tc>
        <w:tc>
          <w:tcPr>
            <w:tcW w:w="1574" w:type="dxa"/>
            <w:tcMar>
              <w:top w:w="29" w:type="dxa"/>
              <w:left w:w="58" w:type="dxa"/>
              <w:bottom w:w="29" w:type="dxa"/>
              <w:right w:w="58" w:type="dxa"/>
            </w:tcMar>
          </w:tcPr>
          <w:p w:rsidRPr="00815866" w:rsidR="00815866" w:rsidP="00815866" w:rsidRDefault="00815866" w14:paraId="0B9D14AB" w14:textId="77777777">
            <w:pPr>
              <w:keepNext/>
              <w:keepLines/>
              <w:spacing w:line="240" w:lineRule="auto"/>
              <w:ind w:firstLine="0"/>
              <w:jc w:val="center"/>
            </w:pPr>
            <w:r w:rsidRPr="00815866">
              <w:t>-</w:t>
            </w:r>
          </w:p>
        </w:tc>
      </w:tr>
      <w:tr w:rsidRPr="00815866" w:rsidR="00815866" w:rsidTr="006008C5" w14:paraId="69C4D0B7" w14:textId="77777777">
        <w:trPr>
          <w:jc w:val="center"/>
        </w:trPr>
        <w:tc>
          <w:tcPr>
            <w:tcW w:w="864" w:type="dxa"/>
            <w:tcMar>
              <w:top w:w="29" w:type="dxa"/>
              <w:left w:w="58" w:type="dxa"/>
              <w:bottom w:w="29" w:type="dxa"/>
              <w:right w:w="58" w:type="dxa"/>
            </w:tcMar>
          </w:tcPr>
          <w:p w:rsidRPr="00815866" w:rsidR="00815866" w:rsidP="00815866" w:rsidRDefault="00815866" w14:paraId="28EB0C3B" w14:textId="77777777">
            <w:pPr>
              <w:keepNext/>
              <w:keepLines/>
              <w:spacing w:line="240" w:lineRule="auto"/>
              <w:ind w:firstLine="0"/>
            </w:pPr>
            <w:r w:rsidRPr="00815866">
              <w:t>2028</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C410A33" w14:textId="77777777">
            <w:pPr>
              <w:keepNext/>
              <w:keepLines/>
              <w:spacing w:line="240" w:lineRule="auto"/>
              <w:ind w:firstLine="0"/>
              <w:jc w:val="center"/>
            </w:pPr>
            <w:r w:rsidRPr="00815866">
              <w:t>$154,873,672</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46312D67" w14:textId="77777777">
            <w:pPr>
              <w:keepNext/>
              <w:keepLines/>
              <w:spacing w:line="240" w:lineRule="auto"/>
              <w:ind w:firstLine="0"/>
              <w:jc w:val="center"/>
            </w:pPr>
            <w:r w:rsidRPr="00815866">
              <w:t>830.0</w:t>
            </w:r>
          </w:p>
        </w:tc>
        <w:tc>
          <w:tcPr>
            <w:tcW w:w="959" w:type="dxa"/>
            <w:tcMar>
              <w:top w:w="29" w:type="dxa"/>
              <w:left w:w="58" w:type="dxa"/>
              <w:bottom w:w="29" w:type="dxa"/>
              <w:right w:w="58" w:type="dxa"/>
            </w:tcMar>
            <w:vAlign w:val="center"/>
          </w:tcPr>
          <w:p w:rsidRPr="00815866" w:rsidR="00815866" w:rsidP="00815866" w:rsidRDefault="00815866" w14:paraId="67A7B151" w14:textId="77777777">
            <w:pPr>
              <w:keepNext/>
              <w:keepLines/>
              <w:spacing w:line="240" w:lineRule="auto"/>
              <w:ind w:firstLine="0"/>
              <w:jc w:val="center"/>
            </w:pPr>
            <w:r w:rsidRPr="00815866">
              <w:t>147.1</w:t>
            </w:r>
          </w:p>
        </w:tc>
        <w:tc>
          <w:tcPr>
            <w:tcW w:w="1574" w:type="dxa"/>
            <w:tcMar>
              <w:top w:w="29" w:type="dxa"/>
              <w:left w:w="58" w:type="dxa"/>
              <w:bottom w:w="29" w:type="dxa"/>
              <w:right w:w="58" w:type="dxa"/>
            </w:tcMar>
          </w:tcPr>
          <w:p w:rsidRPr="00815866" w:rsidR="00815866" w:rsidP="00815866" w:rsidRDefault="00815866" w14:paraId="274A55A8" w14:textId="77777777">
            <w:pPr>
              <w:keepNext/>
              <w:keepLines/>
              <w:spacing w:line="240" w:lineRule="auto"/>
              <w:ind w:firstLine="0"/>
              <w:jc w:val="center"/>
            </w:pPr>
            <w:r w:rsidRPr="00815866">
              <w:t>-</w:t>
            </w:r>
          </w:p>
        </w:tc>
      </w:tr>
      <w:tr w:rsidRPr="00815866" w:rsidR="00815866" w:rsidTr="006008C5" w14:paraId="1955B560" w14:textId="77777777">
        <w:trPr>
          <w:jc w:val="center"/>
        </w:trPr>
        <w:tc>
          <w:tcPr>
            <w:tcW w:w="864" w:type="dxa"/>
            <w:tcMar>
              <w:top w:w="29" w:type="dxa"/>
              <w:left w:w="58" w:type="dxa"/>
              <w:bottom w:w="29" w:type="dxa"/>
              <w:right w:w="58" w:type="dxa"/>
            </w:tcMar>
          </w:tcPr>
          <w:p w:rsidRPr="00815866" w:rsidR="00815866" w:rsidP="00815866" w:rsidRDefault="00815866" w14:paraId="3E87EFA5" w14:textId="77777777">
            <w:pPr>
              <w:keepNext/>
              <w:keepLines/>
              <w:spacing w:line="240" w:lineRule="auto"/>
              <w:ind w:firstLine="0"/>
            </w:pPr>
            <w:r w:rsidRPr="00815866">
              <w:t>2029</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00016DC1" w14:textId="77777777">
            <w:pPr>
              <w:keepNext/>
              <w:keepLines/>
              <w:spacing w:line="240" w:lineRule="auto"/>
              <w:ind w:firstLine="0"/>
              <w:jc w:val="center"/>
            </w:pPr>
            <w:r w:rsidRPr="00815866">
              <w:t>$166,183,167</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51DC2C4D" w14:textId="77777777">
            <w:pPr>
              <w:keepNext/>
              <w:keepLines/>
              <w:spacing w:line="240" w:lineRule="auto"/>
              <w:ind w:firstLine="0"/>
              <w:jc w:val="center"/>
            </w:pPr>
            <w:r w:rsidRPr="00815866">
              <w:t>659.5</w:t>
            </w:r>
          </w:p>
        </w:tc>
        <w:tc>
          <w:tcPr>
            <w:tcW w:w="959" w:type="dxa"/>
            <w:tcMar>
              <w:top w:w="29" w:type="dxa"/>
              <w:left w:w="58" w:type="dxa"/>
              <w:bottom w:w="29" w:type="dxa"/>
              <w:right w:w="58" w:type="dxa"/>
            </w:tcMar>
            <w:vAlign w:val="center"/>
          </w:tcPr>
          <w:p w:rsidRPr="00815866" w:rsidR="00815866" w:rsidP="00815866" w:rsidRDefault="00815866" w14:paraId="069C5FBE" w14:textId="77777777">
            <w:pPr>
              <w:keepNext/>
              <w:keepLines/>
              <w:spacing w:line="240" w:lineRule="auto"/>
              <w:ind w:firstLine="0"/>
              <w:jc w:val="center"/>
            </w:pPr>
            <w:r w:rsidRPr="00815866">
              <w:t>121.9</w:t>
            </w:r>
          </w:p>
        </w:tc>
        <w:tc>
          <w:tcPr>
            <w:tcW w:w="1574" w:type="dxa"/>
            <w:tcMar>
              <w:top w:w="29" w:type="dxa"/>
              <w:left w:w="58" w:type="dxa"/>
              <w:bottom w:w="29" w:type="dxa"/>
              <w:right w:w="58" w:type="dxa"/>
            </w:tcMar>
          </w:tcPr>
          <w:p w:rsidRPr="00815866" w:rsidR="00815866" w:rsidP="00815866" w:rsidRDefault="00815866" w14:paraId="3811AE3A" w14:textId="77777777">
            <w:pPr>
              <w:keepNext/>
              <w:keepLines/>
              <w:spacing w:line="240" w:lineRule="auto"/>
              <w:ind w:firstLine="0"/>
              <w:jc w:val="center"/>
            </w:pPr>
            <w:r w:rsidRPr="00815866">
              <w:t>-</w:t>
            </w:r>
          </w:p>
        </w:tc>
      </w:tr>
      <w:tr w:rsidRPr="00815866" w:rsidR="00815866" w:rsidTr="006008C5" w14:paraId="2C819737" w14:textId="77777777">
        <w:trPr>
          <w:jc w:val="center"/>
        </w:trPr>
        <w:tc>
          <w:tcPr>
            <w:tcW w:w="864" w:type="dxa"/>
            <w:tcMar>
              <w:top w:w="29" w:type="dxa"/>
              <w:left w:w="58" w:type="dxa"/>
              <w:bottom w:w="29" w:type="dxa"/>
              <w:right w:w="58" w:type="dxa"/>
            </w:tcMar>
          </w:tcPr>
          <w:p w:rsidRPr="00815866" w:rsidR="00815866" w:rsidP="00815866" w:rsidRDefault="00815866" w14:paraId="081BD03C" w14:textId="77777777">
            <w:pPr>
              <w:keepNext/>
              <w:keepLines/>
              <w:spacing w:line="240" w:lineRule="auto"/>
              <w:ind w:firstLine="0"/>
            </w:pPr>
            <w:r w:rsidRPr="00815866">
              <w:t>2030</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2E1055A8" w14:textId="77777777">
            <w:pPr>
              <w:keepNext/>
              <w:keepLines/>
              <w:spacing w:line="240" w:lineRule="auto"/>
              <w:ind w:firstLine="0"/>
              <w:jc w:val="center"/>
            </w:pPr>
            <w:r w:rsidRPr="00815866">
              <w:t>$123,108,254</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43B2C8ED" w14:textId="77777777">
            <w:pPr>
              <w:keepNext/>
              <w:keepLines/>
              <w:spacing w:line="240" w:lineRule="auto"/>
              <w:ind w:firstLine="0"/>
              <w:jc w:val="center"/>
            </w:pPr>
            <w:r w:rsidRPr="00815866">
              <w:t>599.0</w:t>
            </w:r>
          </w:p>
        </w:tc>
        <w:tc>
          <w:tcPr>
            <w:tcW w:w="959" w:type="dxa"/>
            <w:tcMar>
              <w:top w:w="29" w:type="dxa"/>
              <w:left w:w="58" w:type="dxa"/>
              <w:bottom w:w="29" w:type="dxa"/>
              <w:right w:w="58" w:type="dxa"/>
            </w:tcMar>
            <w:vAlign w:val="center"/>
          </w:tcPr>
          <w:p w:rsidRPr="00815866" w:rsidR="00815866" w:rsidP="00815866" w:rsidRDefault="00815866" w14:paraId="3CD2FD18" w14:textId="77777777">
            <w:pPr>
              <w:keepNext/>
              <w:keepLines/>
              <w:spacing w:line="240" w:lineRule="auto"/>
              <w:ind w:firstLine="0"/>
              <w:jc w:val="center"/>
            </w:pPr>
            <w:r w:rsidRPr="00815866">
              <w:t>113.3</w:t>
            </w:r>
          </w:p>
        </w:tc>
        <w:tc>
          <w:tcPr>
            <w:tcW w:w="1574" w:type="dxa"/>
            <w:tcMar>
              <w:top w:w="29" w:type="dxa"/>
              <w:left w:w="58" w:type="dxa"/>
              <w:bottom w:w="29" w:type="dxa"/>
              <w:right w:w="58" w:type="dxa"/>
            </w:tcMar>
          </w:tcPr>
          <w:p w:rsidRPr="00815866" w:rsidR="00815866" w:rsidP="00815866" w:rsidRDefault="00815866" w14:paraId="05446920" w14:textId="77777777">
            <w:pPr>
              <w:keepNext/>
              <w:keepLines/>
              <w:spacing w:line="240" w:lineRule="auto"/>
              <w:ind w:firstLine="0"/>
              <w:jc w:val="center"/>
            </w:pPr>
            <w:r w:rsidRPr="00815866">
              <w:t>-</w:t>
            </w:r>
          </w:p>
        </w:tc>
      </w:tr>
      <w:tr w:rsidRPr="00815866" w:rsidR="00815866" w:rsidTr="006008C5" w14:paraId="5FD310A6" w14:textId="77777777">
        <w:trPr>
          <w:jc w:val="center"/>
        </w:trPr>
        <w:tc>
          <w:tcPr>
            <w:tcW w:w="864" w:type="dxa"/>
            <w:tcMar>
              <w:top w:w="29" w:type="dxa"/>
              <w:left w:w="58" w:type="dxa"/>
              <w:bottom w:w="29" w:type="dxa"/>
              <w:right w:w="58" w:type="dxa"/>
            </w:tcMar>
          </w:tcPr>
          <w:p w:rsidRPr="00815866" w:rsidR="00815866" w:rsidP="00815866" w:rsidRDefault="00815866" w14:paraId="0292E15E" w14:textId="77777777">
            <w:pPr>
              <w:keepNext/>
              <w:keepLines/>
              <w:spacing w:line="240" w:lineRule="auto"/>
              <w:ind w:firstLine="0"/>
            </w:pPr>
            <w:r w:rsidRPr="00815866">
              <w:t>2031</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7DC7218" w14:textId="77777777">
            <w:pPr>
              <w:keepNext/>
              <w:keepLines/>
              <w:spacing w:line="240" w:lineRule="auto"/>
              <w:ind w:firstLine="0"/>
              <w:jc w:val="center"/>
            </w:pPr>
            <w:r w:rsidRPr="00815866">
              <w:t>$130,090,469</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3F11DD3C" w14:textId="77777777">
            <w:pPr>
              <w:keepNext/>
              <w:keepLines/>
              <w:spacing w:line="240" w:lineRule="auto"/>
              <w:ind w:firstLine="0"/>
              <w:jc w:val="center"/>
            </w:pPr>
            <w:r w:rsidRPr="00815866">
              <w:t>565.9</w:t>
            </w:r>
          </w:p>
        </w:tc>
        <w:tc>
          <w:tcPr>
            <w:tcW w:w="959" w:type="dxa"/>
            <w:tcMar>
              <w:top w:w="29" w:type="dxa"/>
              <w:left w:w="58" w:type="dxa"/>
              <w:bottom w:w="29" w:type="dxa"/>
              <w:right w:w="58" w:type="dxa"/>
            </w:tcMar>
            <w:vAlign w:val="center"/>
          </w:tcPr>
          <w:p w:rsidRPr="00815866" w:rsidR="00815866" w:rsidP="00815866" w:rsidRDefault="00815866" w14:paraId="2B612176" w14:textId="77777777">
            <w:pPr>
              <w:keepNext/>
              <w:keepLines/>
              <w:spacing w:line="240" w:lineRule="auto"/>
              <w:ind w:firstLine="0"/>
              <w:jc w:val="center"/>
            </w:pPr>
            <w:r w:rsidRPr="00815866">
              <w:t>108.7</w:t>
            </w:r>
          </w:p>
        </w:tc>
        <w:tc>
          <w:tcPr>
            <w:tcW w:w="1574" w:type="dxa"/>
            <w:tcMar>
              <w:top w:w="29" w:type="dxa"/>
              <w:left w:w="58" w:type="dxa"/>
              <w:bottom w:w="29" w:type="dxa"/>
              <w:right w:w="58" w:type="dxa"/>
            </w:tcMar>
          </w:tcPr>
          <w:p w:rsidRPr="00815866" w:rsidR="00815866" w:rsidP="00815866" w:rsidRDefault="00815866" w14:paraId="484D7D77" w14:textId="77777777">
            <w:pPr>
              <w:keepNext/>
              <w:keepLines/>
              <w:spacing w:line="240" w:lineRule="auto"/>
              <w:ind w:firstLine="0"/>
              <w:jc w:val="center"/>
            </w:pPr>
            <w:r w:rsidRPr="00815866">
              <w:t>-</w:t>
            </w:r>
          </w:p>
        </w:tc>
      </w:tr>
      <w:tr w:rsidRPr="00815866" w:rsidR="00815866" w:rsidTr="006008C5" w14:paraId="4B52B2C9" w14:textId="77777777">
        <w:trPr>
          <w:jc w:val="center"/>
        </w:trPr>
        <w:tc>
          <w:tcPr>
            <w:tcW w:w="864" w:type="dxa"/>
            <w:tcMar>
              <w:top w:w="29" w:type="dxa"/>
              <w:left w:w="58" w:type="dxa"/>
              <w:bottom w:w="29" w:type="dxa"/>
              <w:right w:w="58" w:type="dxa"/>
            </w:tcMar>
          </w:tcPr>
          <w:p w:rsidRPr="00815866" w:rsidR="00815866" w:rsidP="00815866" w:rsidRDefault="00815866" w14:paraId="3F32A904" w14:textId="77777777">
            <w:pPr>
              <w:keepNext/>
              <w:keepLines/>
              <w:spacing w:line="240" w:lineRule="auto"/>
              <w:ind w:firstLine="0"/>
            </w:pPr>
            <w:r w:rsidRPr="00815866">
              <w:t>2032</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158AC9D5" w14:textId="77777777">
            <w:pPr>
              <w:keepNext/>
              <w:keepLines/>
              <w:spacing w:line="240" w:lineRule="auto"/>
              <w:ind w:firstLine="0"/>
              <w:jc w:val="center"/>
            </w:pPr>
            <w:r w:rsidRPr="00815866">
              <w:t>$134,974,655</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086DBFE2" w14:textId="77777777">
            <w:pPr>
              <w:keepNext/>
              <w:keepLines/>
              <w:spacing w:line="240" w:lineRule="auto"/>
              <w:ind w:firstLine="0"/>
              <w:jc w:val="center"/>
            </w:pPr>
            <w:r w:rsidRPr="00815866">
              <w:t>530.2</w:t>
            </w:r>
          </w:p>
        </w:tc>
        <w:tc>
          <w:tcPr>
            <w:tcW w:w="959" w:type="dxa"/>
            <w:tcMar>
              <w:top w:w="29" w:type="dxa"/>
              <w:left w:w="58" w:type="dxa"/>
              <w:bottom w:w="29" w:type="dxa"/>
              <w:right w:w="58" w:type="dxa"/>
            </w:tcMar>
            <w:vAlign w:val="center"/>
          </w:tcPr>
          <w:p w:rsidRPr="00815866" w:rsidR="00815866" w:rsidP="00815866" w:rsidRDefault="00815866" w14:paraId="7566E9DC" w14:textId="77777777">
            <w:pPr>
              <w:keepNext/>
              <w:keepLines/>
              <w:spacing w:line="240" w:lineRule="auto"/>
              <w:ind w:firstLine="0"/>
              <w:jc w:val="center"/>
            </w:pPr>
            <w:r w:rsidRPr="00815866">
              <w:t>101.0</w:t>
            </w:r>
          </w:p>
        </w:tc>
        <w:tc>
          <w:tcPr>
            <w:tcW w:w="1574" w:type="dxa"/>
            <w:tcMar>
              <w:top w:w="29" w:type="dxa"/>
              <w:left w:w="58" w:type="dxa"/>
              <w:bottom w:w="29" w:type="dxa"/>
              <w:right w:w="58" w:type="dxa"/>
            </w:tcMar>
          </w:tcPr>
          <w:p w:rsidRPr="00815866" w:rsidR="00815866" w:rsidP="00815866" w:rsidRDefault="00815866" w14:paraId="082695EF" w14:textId="77777777">
            <w:pPr>
              <w:keepNext/>
              <w:keepLines/>
              <w:spacing w:line="240" w:lineRule="auto"/>
              <w:ind w:firstLine="0"/>
              <w:jc w:val="center"/>
            </w:pPr>
            <w:r w:rsidRPr="00815866">
              <w:t>-</w:t>
            </w:r>
          </w:p>
        </w:tc>
      </w:tr>
      <w:tr w:rsidRPr="00815866" w:rsidR="00815866" w:rsidTr="006008C5" w14:paraId="74CBD891" w14:textId="77777777">
        <w:trPr>
          <w:jc w:val="center"/>
        </w:trPr>
        <w:tc>
          <w:tcPr>
            <w:tcW w:w="864" w:type="dxa"/>
            <w:tcMar>
              <w:top w:w="29" w:type="dxa"/>
              <w:left w:w="58" w:type="dxa"/>
              <w:bottom w:w="29" w:type="dxa"/>
              <w:right w:w="58" w:type="dxa"/>
            </w:tcMar>
          </w:tcPr>
          <w:p w:rsidRPr="00815866" w:rsidR="00815866" w:rsidP="00815866" w:rsidRDefault="00815866" w14:paraId="3EA1B55E" w14:textId="77777777">
            <w:pPr>
              <w:keepNext/>
              <w:keepLines/>
              <w:spacing w:line="240" w:lineRule="auto"/>
              <w:ind w:firstLine="0"/>
            </w:pPr>
            <w:r w:rsidRPr="00815866">
              <w:t>2033</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CB7A3A6" w14:textId="77777777">
            <w:pPr>
              <w:keepNext/>
              <w:keepLines/>
              <w:spacing w:line="240" w:lineRule="auto"/>
              <w:ind w:firstLine="0"/>
              <w:jc w:val="center"/>
            </w:pPr>
            <w:r w:rsidRPr="00815866">
              <w:t>$136,958,995</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0C0E029B" w14:textId="77777777">
            <w:pPr>
              <w:keepNext/>
              <w:keepLines/>
              <w:spacing w:line="240" w:lineRule="auto"/>
              <w:ind w:firstLine="0"/>
              <w:jc w:val="center"/>
            </w:pPr>
            <w:r w:rsidRPr="00815866">
              <w:t>502.5</w:t>
            </w:r>
          </w:p>
        </w:tc>
        <w:tc>
          <w:tcPr>
            <w:tcW w:w="959" w:type="dxa"/>
            <w:tcMar>
              <w:top w:w="29" w:type="dxa"/>
              <w:left w:w="58" w:type="dxa"/>
              <w:bottom w:w="29" w:type="dxa"/>
              <w:right w:w="58" w:type="dxa"/>
            </w:tcMar>
            <w:vAlign w:val="center"/>
          </w:tcPr>
          <w:p w:rsidRPr="00815866" w:rsidR="00815866" w:rsidP="00815866" w:rsidRDefault="00815866" w14:paraId="1086ABFC" w14:textId="77777777">
            <w:pPr>
              <w:keepNext/>
              <w:keepLines/>
              <w:spacing w:line="240" w:lineRule="auto"/>
              <w:ind w:firstLine="0"/>
              <w:jc w:val="center"/>
            </w:pPr>
            <w:r w:rsidRPr="00815866">
              <w:t>95.8</w:t>
            </w:r>
          </w:p>
        </w:tc>
        <w:tc>
          <w:tcPr>
            <w:tcW w:w="1574" w:type="dxa"/>
            <w:tcMar>
              <w:top w:w="29" w:type="dxa"/>
              <w:left w:w="58" w:type="dxa"/>
              <w:bottom w:w="29" w:type="dxa"/>
              <w:right w:w="58" w:type="dxa"/>
            </w:tcMar>
          </w:tcPr>
          <w:p w:rsidRPr="00815866" w:rsidR="00815866" w:rsidP="00815866" w:rsidRDefault="00815866" w14:paraId="19809474" w14:textId="77777777">
            <w:pPr>
              <w:keepNext/>
              <w:keepLines/>
              <w:spacing w:line="240" w:lineRule="auto"/>
              <w:ind w:firstLine="0"/>
              <w:jc w:val="center"/>
            </w:pPr>
            <w:r w:rsidRPr="00815866">
              <w:t>-</w:t>
            </w:r>
          </w:p>
        </w:tc>
      </w:tr>
      <w:tr w:rsidRPr="00815866" w:rsidR="00815866" w:rsidTr="006008C5" w14:paraId="4D0EDA3D" w14:textId="77777777">
        <w:trPr>
          <w:jc w:val="center"/>
        </w:trPr>
        <w:tc>
          <w:tcPr>
            <w:tcW w:w="864" w:type="dxa"/>
            <w:tcMar>
              <w:top w:w="29" w:type="dxa"/>
              <w:left w:w="58" w:type="dxa"/>
              <w:bottom w:w="29" w:type="dxa"/>
              <w:right w:w="58" w:type="dxa"/>
            </w:tcMar>
          </w:tcPr>
          <w:p w:rsidRPr="00815866" w:rsidR="00815866" w:rsidP="00815866" w:rsidRDefault="00815866" w14:paraId="4B4015E1" w14:textId="77777777">
            <w:pPr>
              <w:keepNext/>
              <w:keepLines/>
              <w:spacing w:line="240" w:lineRule="auto"/>
              <w:ind w:firstLine="0"/>
            </w:pPr>
            <w:r w:rsidRPr="00815866">
              <w:t>2034</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74944575" w14:textId="77777777">
            <w:pPr>
              <w:keepNext/>
              <w:keepLines/>
              <w:spacing w:line="240" w:lineRule="auto"/>
              <w:ind w:firstLine="0"/>
              <w:jc w:val="center"/>
            </w:pPr>
            <w:r w:rsidRPr="00815866">
              <w:t>$139,056,217</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773988D8" w14:textId="77777777">
            <w:pPr>
              <w:keepNext/>
              <w:keepLines/>
              <w:spacing w:line="240" w:lineRule="auto"/>
              <w:ind w:firstLine="0"/>
              <w:jc w:val="center"/>
            </w:pPr>
            <w:r w:rsidRPr="00815866">
              <w:t>417.5</w:t>
            </w:r>
          </w:p>
        </w:tc>
        <w:tc>
          <w:tcPr>
            <w:tcW w:w="959" w:type="dxa"/>
            <w:tcMar>
              <w:top w:w="29" w:type="dxa"/>
              <w:left w:w="58" w:type="dxa"/>
              <w:bottom w:w="29" w:type="dxa"/>
              <w:right w:w="58" w:type="dxa"/>
            </w:tcMar>
            <w:vAlign w:val="center"/>
          </w:tcPr>
          <w:p w:rsidRPr="00815866" w:rsidR="00815866" w:rsidP="00815866" w:rsidRDefault="00815866" w14:paraId="7543C3AC" w14:textId="77777777">
            <w:pPr>
              <w:keepNext/>
              <w:keepLines/>
              <w:spacing w:line="240" w:lineRule="auto"/>
              <w:ind w:firstLine="0"/>
              <w:jc w:val="center"/>
            </w:pPr>
            <w:r w:rsidRPr="00815866">
              <w:t>85.9</w:t>
            </w:r>
          </w:p>
        </w:tc>
        <w:tc>
          <w:tcPr>
            <w:tcW w:w="1574" w:type="dxa"/>
            <w:tcMar>
              <w:top w:w="29" w:type="dxa"/>
              <w:left w:w="58" w:type="dxa"/>
              <w:bottom w:w="29" w:type="dxa"/>
              <w:right w:w="58" w:type="dxa"/>
            </w:tcMar>
          </w:tcPr>
          <w:p w:rsidRPr="00815866" w:rsidR="00815866" w:rsidP="00815866" w:rsidRDefault="00815866" w14:paraId="43B68B67" w14:textId="77777777">
            <w:pPr>
              <w:keepNext/>
              <w:keepLines/>
              <w:spacing w:line="240" w:lineRule="auto"/>
              <w:ind w:firstLine="0"/>
              <w:jc w:val="center"/>
            </w:pPr>
            <w:r w:rsidRPr="00815866">
              <w:t>-</w:t>
            </w:r>
          </w:p>
        </w:tc>
      </w:tr>
      <w:tr w:rsidRPr="00815866" w:rsidR="00815866" w:rsidTr="006008C5" w14:paraId="3AB85BC3" w14:textId="77777777">
        <w:trPr>
          <w:jc w:val="center"/>
        </w:trPr>
        <w:tc>
          <w:tcPr>
            <w:tcW w:w="864" w:type="dxa"/>
            <w:tcMar>
              <w:top w:w="29" w:type="dxa"/>
              <w:left w:w="58" w:type="dxa"/>
              <w:bottom w:w="29" w:type="dxa"/>
              <w:right w:w="58" w:type="dxa"/>
            </w:tcMar>
          </w:tcPr>
          <w:p w:rsidRPr="00815866" w:rsidR="00815866" w:rsidP="00815866" w:rsidRDefault="00815866" w14:paraId="4DD73E9C" w14:textId="77777777">
            <w:pPr>
              <w:keepNext/>
              <w:keepLines/>
              <w:spacing w:line="240" w:lineRule="auto"/>
              <w:ind w:firstLine="0"/>
            </w:pPr>
            <w:r w:rsidRPr="00815866">
              <w:t>2035</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589C874" w14:textId="77777777">
            <w:pPr>
              <w:keepNext/>
              <w:keepLines/>
              <w:spacing w:line="240" w:lineRule="auto"/>
              <w:ind w:firstLine="0"/>
              <w:jc w:val="center"/>
            </w:pPr>
            <w:r w:rsidRPr="00815866">
              <w:t>$144,496,948</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21DBE58E" w14:textId="77777777">
            <w:pPr>
              <w:keepNext/>
              <w:keepLines/>
              <w:spacing w:line="240" w:lineRule="auto"/>
              <w:ind w:firstLine="0"/>
              <w:jc w:val="center"/>
            </w:pPr>
            <w:r w:rsidRPr="00815866">
              <w:t>401.6</w:t>
            </w:r>
          </w:p>
        </w:tc>
        <w:tc>
          <w:tcPr>
            <w:tcW w:w="959" w:type="dxa"/>
            <w:tcMar>
              <w:top w:w="29" w:type="dxa"/>
              <w:left w:w="58" w:type="dxa"/>
              <w:bottom w:w="29" w:type="dxa"/>
              <w:right w:w="58" w:type="dxa"/>
            </w:tcMar>
            <w:vAlign w:val="center"/>
          </w:tcPr>
          <w:p w:rsidRPr="00815866" w:rsidR="00815866" w:rsidP="00815866" w:rsidRDefault="00815866" w14:paraId="0C024325" w14:textId="77777777">
            <w:pPr>
              <w:keepNext/>
              <w:keepLines/>
              <w:spacing w:line="240" w:lineRule="auto"/>
              <w:ind w:firstLine="0"/>
              <w:jc w:val="center"/>
            </w:pPr>
            <w:r w:rsidRPr="00815866">
              <w:t>81.6</w:t>
            </w:r>
          </w:p>
        </w:tc>
        <w:tc>
          <w:tcPr>
            <w:tcW w:w="1574" w:type="dxa"/>
            <w:tcMar>
              <w:top w:w="29" w:type="dxa"/>
              <w:left w:w="58" w:type="dxa"/>
              <w:bottom w:w="29" w:type="dxa"/>
              <w:right w:w="58" w:type="dxa"/>
            </w:tcMar>
          </w:tcPr>
          <w:p w:rsidRPr="00815866" w:rsidR="00815866" w:rsidP="00815866" w:rsidRDefault="00815866" w14:paraId="4DD68BA7" w14:textId="77777777">
            <w:pPr>
              <w:keepNext/>
              <w:keepLines/>
              <w:spacing w:line="240" w:lineRule="auto"/>
              <w:ind w:firstLine="0"/>
              <w:jc w:val="center"/>
            </w:pPr>
            <w:r w:rsidRPr="00815866">
              <w:t>-</w:t>
            </w:r>
          </w:p>
        </w:tc>
      </w:tr>
    </w:tbl>
    <w:p w:rsidRPr="00815866" w:rsidR="00815866" w:rsidP="00815866" w:rsidRDefault="00815866" w14:paraId="4DA5165D" w14:textId="77777777">
      <w:pPr>
        <w:ind w:firstLine="0"/>
      </w:pPr>
    </w:p>
    <w:p w:rsidRPr="00815866" w:rsidR="00815866" w:rsidP="00815866" w:rsidRDefault="00815866" w14:paraId="5157D569" w14:textId="77777777">
      <w:pPr>
        <w:keepNext/>
        <w:keepLines/>
        <w:spacing w:after="120" w:line="240" w:lineRule="auto"/>
        <w:ind w:firstLine="0"/>
        <w:jc w:val="center"/>
      </w:pPr>
      <w:r w:rsidRPr="00815866">
        <w:lastRenderedPageBreak/>
        <w:t>Table 5: Cumulative Adopted TSB and Energy Efficiency Goals for SDG&amp;E (2024-2035)</w:t>
      </w:r>
    </w:p>
    <w:tbl>
      <w:tblPr>
        <w:tblStyle w:val="TableGrid0"/>
        <w:tblW w:w="7562" w:type="dxa"/>
        <w:tblInd w:w="625" w:type="dxa"/>
        <w:tblCellMar>
          <w:top w:w="91" w:type="dxa"/>
          <w:left w:w="59" w:type="dxa"/>
          <w:right w:w="33" w:type="dxa"/>
        </w:tblCellMar>
        <w:tblLook w:val="04A0" w:firstRow="1" w:lastRow="0" w:firstColumn="1" w:lastColumn="0" w:noHBand="0" w:noVBand="1"/>
      </w:tblPr>
      <w:tblGrid>
        <w:gridCol w:w="1413"/>
        <w:gridCol w:w="2461"/>
        <w:gridCol w:w="1155"/>
        <w:gridCol w:w="959"/>
        <w:gridCol w:w="1574"/>
      </w:tblGrid>
      <w:tr w:rsidRPr="00815866" w:rsidR="00815866" w:rsidTr="006008C5" w14:paraId="61EA7437" w14:textId="77777777">
        <w:trPr>
          <w:trHeight w:val="382"/>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rsidRPr="00815866" w:rsidR="00815866" w:rsidP="00815866" w:rsidRDefault="00815866" w14:paraId="31A2FF01" w14:textId="77777777">
            <w:pPr>
              <w:keepNext/>
              <w:keepLines/>
              <w:spacing w:line="240" w:lineRule="auto"/>
              <w:ind w:firstLine="0"/>
              <w:jc w:val="center"/>
              <w:rPr>
                <w:szCs w:val="26"/>
              </w:rPr>
            </w:pPr>
            <w:r w:rsidRPr="00815866">
              <w:rPr>
                <w:szCs w:val="26"/>
              </w:rPr>
              <w:t>Period</w:t>
            </w:r>
          </w:p>
        </w:tc>
        <w:tc>
          <w:tcPr>
            <w:tcW w:w="2461" w:type="dxa"/>
            <w:tcBorders>
              <w:top w:val="single" w:color="000000" w:sz="4" w:space="0"/>
              <w:left w:val="single" w:color="000000" w:sz="4" w:space="0"/>
              <w:bottom w:val="single" w:color="000000" w:sz="4" w:space="0"/>
              <w:right w:val="double" w:color="000000" w:sz="4" w:space="0"/>
            </w:tcBorders>
          </w:tcPr>
          <w:p w:rsidRPr="00815866" w:rsidR="00815866" w:rsidP="00815866" w:rsidRDefault="00815866" w14:paraId="551D8561" w14:textId="77777777">
            <w:pPr>
              <w:keepNext/>
              <w:keepLines/>
              <w:spacing w:line="240" w:lineRule="auto"/>
              <w:ind w:firstLine="0"/>
              <w:jc w:val="both"/>
              <w:rPr>
                <w:szCs w:val="26"/>
              </w:rPr>
            </w:pPr>
            <w:r w:rsidRPr="00815866">
              <w:rPr>
                <w:szCs w:val="26"/>
              </w:rPr>
              <w:t xml:space="preserve">Incentive Programs </w:t>
            </w:r>
          </w:p>
        </w:tc>
        <w:tc>
          <w:tcPr>
            <w:tcW w:w="3688" w:type="dxa"/>
            <w:gridSpan w:val="3"/>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6892C708" w14:textId="77777777">
            <w:pPr>
              <w:keepNext/>
              <w:keepLines/>
              <w:spacing w:line="240" w:lineRule="auto"/>
              <w:ind w:right="28" w:firstLine="0"/>
              <w:jc w:val="center"/>
              <w:rPr>
                <w:szCs w:val="26"/>
              </w:rPr>
            </w:pPr>
            <w:r w:rsidRPr="00815866">
              <w:rPr>
                <w:szCs w:val="26"/>
              </w:rPr>
              <w:t xml:space="preserve">Codes and Standards </w:t>
            </w:r>
          </w:p>
        </w:tc>
      </w:tr>
      <w:tr w:rsidRPr="00815866" w:rsidR="00815866" w:rsidTr="006008C5" w14:paraId="235562A8" w14:textId="77777777">
        <w:trPr>
          <w:trHeight w:val="391"/>
        </w:trPr>
        <w:tc>
          <w:tcPr>
            <w:tcW w:w="1413" w:type="dxa"/>
            <w:vMerge/>
            <w:tcBorders>
              <w:top w:val="nil"/>
              <w:left w:val="single" w:color="000000" w:sz="4" w:space="0"/>
              <w:bottom w:val="single" w:color="000000" w:sz="4" w:space="0"/>
              <w:right w:val="single" w:color="000000" w:sz="4" w:space="0"/>
            </w:tcBorders>
          </w:tcPr>
          <w:p w:rsidRPr="00815866" w:rsidR="00815866" w:rsidP="00815866" w:rsidRDefault="00815866" w14:paraId="7A795AE9" w14:textId="77777777">
            <w:pPr>
              <w:keepNext/>
              <w:keepLines/>
              <w:spacing w:after="160" w:line="240" w:lineRule="auto"/>
              <w:ind w:firstLine="0"/>
              <w:rPr>
                <w:szCs w:val="26"/>
              </w:rPr>
            </w:pPr>
          </w:p>
        </w:tc>
        <w:tc>
          <w:tcPr>
            <w:tcW w:w="2461" w:type="dxa"/>
            <w:tcBorders>
              <w:top w:val="single" w:color="000000" w:sz="4" w:space="0"/>
              <w:left w:val="single" w:color="000000" w:sz="4" w:space="0"/>
              <w:bottom w:val="single" w:color="000000" w:sz="4" w:space="0"/>
              <w:right w:val="double" w:color="000000" w:sz="4" w:space="0"/>
            </w:tcBorders>
          </w:tcPr>
          <w:p w:rsidRPr="00815866" w:rsidR="00815866" w:rsidP="00815866" w:rsidRDefault="00815866" w14:paraId="1CA1A34B" w14:textId="77777777">
            <w:pPr>
              <w:keepNext/>
              <w:keepLines/>
              <w:spacing w:line="240" w:lineRule="auto"/>
              <w:ind w:right="25" w:firstLine="0"/>
              <w:jc w:val="center"/>
              <w:rPr>
                <w:szCs w:val="26"/>
              </w:rPr>
            </w:pPr>
            <w:r w:rsidRPr="00815866">
              <w:rPr>
                <w:szCs w:val="26"/>
              </w:rPr>
              <w:t xml:space="preserve">TSB </w:t>
            </w:r>
          </w:p>
        </w:tc>
        <w:tc>
          <w:tcPr>
            <w:tcW w:w="1155" w:type="dxa"/>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00023776" w14:textId="77777777">
            <w:pPr>
              <w:keepNext/>
              <w:keepLines/>
              <w:spacing w:line="240" w:lineRule="auto"/>
              <w:ind w:left="212" w:firstLine="0"/>
              <w:rPr>
                <w:szCs w:val="26"/>
              </w:rPr>
            </w:pPr>
            <w:r w:rsidRPr="00815866">
              <w:rPr>
                <w:szCs w:val="26"/>
              </w:rPr>
              <w:t xml:space="preserve">GWh </w:t>
            </w:r>
          </w:p>
        </w:tc>
        <w:tc>
          <w:tcPr>
            <w:tcW w:w="959"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70165AB8" w14:textId="77777777">
            <w:pPr>
              <w:keepNext/>
              <w:keepLines/>
              <w:spacing w:line="240" w:lineRule="auto"/>
              <w:ind w:left="167" w:firstLine="0"/>
              <w:rPr>
                <w:szCs w:val="26"/>
              </w:rPr>
            </w:pPr>
            <w:r w:rsidRPr="00815866">
              <w:rPr>
                <w:szCs w:val="26"/>
              </w:rPr>
              <w:t xml:space="preserve">MW </w:t>
            </w:r>
          </w:p>
        </w:tc>
        <w:tc>
          <w:tcPr>
            <w:tcW w:w="1574"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24A32F2C" w14:textId="77777777">
            <w:pPr>
              <w:keepNext/>
              <w:keepLines/>
              <w:spacing w:line="240" w:lineRule="auto"/>
              <w:ind w:left="43" w:firstLine="0"/>
              <w:jc w:val="both"/>
              <w:rPr>
                <w:szCs w:val="26"/>
              </w:rPr>
            </w:pPr>
            <w:r w:rsidRPr="00815866">
              <w:rPr>
                <w:szCs w:val="26"/>
              </w:rPr>
              <w:t xml:space="preserve">MMTherms </w:t>
            </w:r>
          </w:p>
        </w:tc>
      </w:tr>
    </w:tbl>
    <w:tbl>
      <w:tblPr>
        <w:tblW w:w="7562" w:type="dxa"/>
        <w:tblInd w:w="625" w:type="dxa"/>
        <w:tblCellMar>
          <w:top w:w="91" w:type="dxa"/>
          <w:left w:w="59" w:type="dxa"/>
          <w:right w:w="33" w:type="dxa"/>
        </w:tblCellMar>
        <w:tblLook w:val="04A0" w:firstRow="1" w:lastRow="0" w:firstColumn="1" w:lastColumn="0" w:noHBand="0" w:noVBand="1"/>
      </w:tblPr>
      <w:tblGrid>
        <w:gridCol w:w="1413"/>
        <w:gridCol w:w="2461"/>
        <w:gridCol w:w="1155"/>
        <w:gridCol w:w="959"/>
        <w:gridCol w:w="1574"/>
      </w:tblGrid>
      <w:tr w:rsidRPr="00815866" w:rsidR="00815866" w:rsidTr="006008C5" w14:paraId="0733A2B8" w14:textId="77777777">
        <w:trPr>
          <w:trHeight w:val="391"/>
        </w:trPr>
        <w:tc>
          <w:tcPr>
            <w:tcW w:w="1413"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1DB69F4D" w14:textId="77777777">
            <w:pPr>
              <w:keepNext/>
              <w:keepLines/>
              <w:spacing w:line="240" w:lineRule="auto"/>
              <w:ind w:firstLine="0"/>
              <w:rPr>
                <w:szCs w:val="26"/>
              </w:rPr>
            </w:pPr>
            <w:r w:rsidRPr="00815866">
              <w:rPr>
                <w:szCs w:val="26"/>
              </w:rPr>
              <w:t>2024-2027</w:t>
            </w:r>
          </w:p>
        </w:tc>
        <w:tc>
          <w:tcPr>
            <w:tcW w:w="2461" w:type="dxa"/>
            <w:tcBorders>
              <w:top w:val="single" w:color="000000" w:sz="4" w:space="0"/>
              <w:left w:val="single" w:color="000000" w:sz="4" w:space="0"/>
              <w:bottom w:val="single" w:color="000000" w:sz="4" w:space="0"/>
              <w:right w:val="double" w:color="000000" w:sz="4" w:space="0"/>
            </w:tcBorders>
            <w:vAlign w:val="bottom"/>
          </w:tcPr>
          <w:p w:rsidRPr="00815866" w:rsidR="00815866" w:rsidP="00815866" w:rsidRDefault="00815866" w14:paraId="0209FF67" w14:textId="77777777">
            <w:pPr>
              <w:keepNext/>
              <w:keepLines/>
              <w:spacing w:line="240" w:lineRule="auto"/>
              <w:ind w:right="24" w:firstLine="0"/>
              <w:jc w:val="center"/>
              <w:rPr>
                <w:szCs w:val="26"/>
              </w:rPr>
            </w:pPr>
            <w:r w:rsidRPr="00815866">
              <w:rPr>
                <w:szCs w:val="26"/>
              </w:rPr>
              <w:t>$184,147,673</w:t>
            </w:r>
          </w:p>
        </w:tc>
        <w:tc>
          <w:tcPr>
            <w:tcW w:w="1155" w:type="dxa"/>
            <w:tcBorders>
              <w:top w:val="single" w:color="000000" w:sz="4" w:space="0"/>
              <w:left w:val="double" w:color="000000" w:sz="4" w:space="0"/>
              <w:bottom w:val="single" w:color="000000" w:sz="4" w:space="0"/>
              <w:right w:val="single" w:color="000000" w:sz="4" w:space="0"/>
            </w:tcBorders>
            <w:vAlign w:val="bottom"/>
          </w:tcPr>
          <w:p w:rsidRPr="00815866" w:rsidR="00815866" w:rsidP="00815866" w:rsidRDefault="00815866" w14:paraId="5497CF42" w14:textId="77777777">
            <w:pPr>
              <w:keepNext/>
              <w:keepLines/>
              <w:spacing w:line="240" w:lineRule="auto"/>
              <w:ind w:left="127" w:firstLine="0"/>
              <w:rPr>
                <w:szCs w:val="26"/>
              </w:rPr>
            </w:pPr>
            <w:r w:rsidRPr="00815866">
              <w:rPr>
                <w:szCs w:val="26"/>
              </w:rPr>
              <w:t>814.4</w:t>
            </w:r>
          </w:p>
        </w:tc>
        <w:tc>
          <w:tcPr>
            <w:tcW w:w="959"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5EF703B3" w14:textId="77777777">
            <w:pPr>
              <w:keepNext/>
              <w:keepLines/>
              <w:spacing w:line="240" w:lineRule="auto"/>
              <w:ind w:left="127" w:firstLine="0"/>
              <w:rPr>
                <w:szCs w:val="26"/>
              </w:rPr>
            </w:pPr>
            <w:r w:rsidRPr="00815866">
              <w:rPr>
                <w:szCs w:val="26"/>
              </w:rPr>
              <w:t>140.6</w:t>
            </w:r>
          </w:p>
        </w:tc>
        <w:tc>
          <w:tcPr>
            <w:tcW w:w="1574"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4555CA03" w14:textId="77777777">
            <w:pPr>
              <w:keepNext/>
              <w:keepLines/>
              <w:spacing w:line="240" w:lineRule="auto"/>
              <w:ind w:right="26" w:firstLine="0"/>
              <w:jc w:val="center"/>
              <w:rPr>
                <w:szCs w:val="26"/>
              </w:rPr>
            </w:pPr>
            <w:r w:rsidRPr="00815866">
              <w:rPr>
                <w:szCs w:val="26"/>
              </w:rPr>
              <w:t>7.6</w:t>
            </w:r>
          </w:p>
        </w:tc>
      </w:tr>
      <w:tr w:rsidRPr="00815866" w:rsidR="00815866" w:rsidTr="006008C5" w14:paraId="09702451" w14:textId="77777777">
        <w:trPr>
          <w:trHeight w:val="391"/>
        </w:trPr>
        <w:tc>
          <w:tcPr>
            <w:tcW w:w="1413"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62F62736" w14:textId="77777777">
            <w:pPr>
              <w:keepNext/>
              <w:keepLines/>
              <w:spacing w:line="240" w:lineRule="auto"/>
              <w:ind w:firstLine="0"/>
              <w:rPr>
                <w:szCs w:val="26"/>
              </w:rPr>
            </w:pPr>
            <w:r w:rsidRPr="00815866">
              <w:rPr>
                <w:szCs w:val="26"/>
              </w:rPr>
              <w:t>2028-2031</w:t>
            </w:r>
          </w:p>
        </w:tc>
        <w:tc>
          <w:tcPr>
            <w:tcW w:w="2461" w:type="dxa"/>
            <w:tcBorders>
              <w:top w:val="single" w:color="000000" w:sz="4" w:space="0"/>
              <w:left w:val="single" w:color="000000" w:sz="4" w:space="0"/>
              <w:bottom w:val="single" w:color="000000" w:sz="4" w:space="0"/>
              <w:right w:val="double" w:color="000000" w:sz="4" w:space="0"/>
            </w:tcBorders>
            <w:vAlign w:val="bottom"/>
          </w:tcPr>
          <w:p w:rsidRPr="00815866" w:rsidR="00815866" w:rsidP="00815866" w:rsidRDefault="00815866" w14:paraId="184B2F91" w14:textId="77777777">
            <w:pPr>
              <w:keepNext/>
              <w:keepLines/>
              <w:spacing w:line="240" w:lineRule="auto"/>
              <w:ind w:right="24" w:firstLine="0"/>
              <w:jc w:val="center"/>
              <w:rPr>
                <w:szCs w:val="26"/>
              </w:rPr>
            </w:pPr>
            <w:r w:rsidRPr="00815866">
              <w:rPr>
                <w:szCs w:val="26"/>
              </w:rPr>
              <w:t>$205,673,091</w:t>
            </w:r>
          </w:p>
        </w:tc>
        <w:tc>
          <w:tcPr>
            <w:tcW w:w="1155" w:type="dxa"/>
            <w:tcBorders>
              <w:top w:val="single" w:color="000000" w:sz="4" w:space="0"/>
              <w:left w:val="double" w:color="000000" w:sz="4" w:space="0"/>
              <w:bottom w:val="single" w:color="000000" w:sz="4" w:space="0"/>
              <w:right w:val="single" w:color="000000" w:sz="4" w:space="0"/>
            </w:tcBorders>
            <w:vAlign w:val="bottom"/>
          </w:tcPr>
          <w:p w:rsidRPr="00815866" w:rsidR="00815866" w:rsidP="00815866" w:rsidRDefault="00815866" w14:paraId="176C8533" w14:textId="77777777">
            <w:pPr>
              <w:keepNext/>
              <w:keepLines/>
              <w:spacing w:line="240" w:lineRule="auto"/>
              <w:ind w:left="127" w:firstLine="0"/>
              <w:rPr>
                <w:szCs w:val="26"/>
              </w:rPr>
            </w:pPr>
            <w:r w:rsidRPr="00815866">
              <w:rPr>
                <w:szCs w:val="26"/>
              </w:rPr>
              <w:t>543.7</w:t>
            </w:r>
          </w:p>
        </w:tc>
        <w:tc>
          <w:tcPr>
            <w:tcW w:w="959"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393EBFDB" w14:textId="77777777">
            <w:pPr>
              <w:keepNext/>
              <w:keepLines/>
              <w:spacing w:line="240" w:lineRule="auto"/>
              <w:ind w:left="127" w:firstLine="0"/>
              <w:rPr>
                <w:szCs w:val="26"/>
              </w:rPr>
            </w:pPr>
            <w:r w:rsidRPr="00815866">
              <w:rPr>
                <w:szCs w:val="26"/>
              </w:rPr>
              <w:t>100.9</w:t>
            </w:r>
          </w:p>
        </w:tc>
        <w:tc>
          <w:tcPr>
            <w:tcW w:w="1574"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37531597" w14:textId="77777777">
            <w:pPr>
              <w:keepNext/>
              <w:keepLines/>
              <w:spacing w:line="240" w:lineRule="auto"/>
              <w:ind w:right="26" w:firstLine="0"/>
              <w:jc w:val="center"/>
              <w:rPr>
                <w:szCs w:val="26"/>
              </w:rPr>
            </w:pPr>
            <w:r w:rsidRPr="00815866">
              <w:rPr>
                <w:szCs w:val="26"/>
              </w:rPr>
              <w:t>5.2</w:t>
            </w:r>
          </w:p>
        </w:tc>
      </w:tr>
      <w:tr w:rsidRPr="00815866" w:rsidR="00815866" w:rsidTr="006008C5" w14:paraId="3412AE64" w14:textId="77777777">
        <w:trPr>
          <w:trHeight w:val="391"/>
        </w:trPr>
        <w:tc>
          <w:tcPr>
            <w:tcW w:w="1413"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2E2DDE77" w14:textId="77777777">
            <w:pPr>
              <w:keepNext/>
              <w:keepLines/>
              <w:spacing w:line="240" w:lineRule="auto"/>
              <w:ind w:firstLine="0"/>
              <w:rPr>
                <w:szCs w:val="26"/>
              </w:rPr>
            </w:pPr>
            <w:r w:rsidRPr="00815866">
              <w:rPr>
                <w:szCs w:val="26"/>
              </w:rPr>
              <w:t>2032-2035</w:t>
            </w:r>
          </w:p>
        </w:tc>
        <w:tc>
          <w:tcPr>
            <w:tcW w:w="2461" w:type="dxa"/>
            <w:tcBorders>
              <w:top w:val="single" w:color="000000" w:sz="4" w:space="0"/>
              <w:left w:val="single" w:color="000000" w:sz="4" w:space="0"/>
              <w:bottom w:val="single" w:color="000000" w:sz="4" w:space="0"/>
              <w:right w:val="double" w:color="000000" w:sz="4" w:space="0"/>
            </w:tcBorders>
            <w:vAlign w:val="bottom"/>
          </w:tcPr>
          <w:p w:rsidRPr="00815866" w:rsidR="00815866" w:rsidP="00815866" w:rsidRDefault="00815866" w14:paraId="30BC470F" w14:textId="77777777">
            <w:pPr>
              <w:keepNext/>
              <w:keepLines/>
              <w:spacing w:line="240" w:lineRule="auto"/>
              <w:ind w:right="24" w:firstLine="0"/>
              <w:jc w:val="center"/>
              <w:rPr>
                <w:szCs w:val="26"/>
              </w:rPr>
            </w:pPr>
            <w:r w:rsidRPr="00815866">
              <w:rPr>
                <w:szCs w:val="26"/>
              </w:rPr>
              <w:t>$238,753,108</w:t>
            </w:r>
          </w:p>
        </w:tc>
        <w:tc>
          <w:tcPr>
            <w:tcW w:w="1155" w:type="dxa"/>
            <w:tcBorders>
              <w:top w:val="single" w:color="000000" w:sz="4" w:space="0"/>
              <w:left w:val="double" w:color="000000" w:sz="4" w:space="0"/>
              <w:bottom w:val="single" w:color="000000" w:sz="4" w:space="0"/>
              <w:right w:val="single" w:color="000000" w:sz="4" w:space="0"/>
            </w:tcBorders>
            <w:vAlign w:val="bottom"/>
          </w:tcPr>
          <w:p w:rsidRPr="00815866" w:rsidR="00815866" w:rsidP="00815866" w:rsidRDefault="00815866" w14:paraId="41FEDD65" w14:textId="77777777">
            <w:pPr>
              <w:keepNext/>
              <w:keepLines/>
              <w:spacing w:line="240" w:lineRule="auto"/>
              <w:ind w:right="26" w:firstLine="0"/>
              <w:jc w:val="center"/>
              <w:rPr>
                <w:szCs w:val="26"/>
              </w:rPr>
            </w:pPr>
            <w:r w:rsidRPr="00815866">
              <w:rPr>
                <w:szCs w:val="26"/>
              </w:rPr>
              <w:t>379.2</w:t>
            </w:r>
          </w:p>
        </w:tc>
        <w:tc>
          <w:tcPr>
            <w:tcW w:w="959"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69804873" w14:textId="77777777">
            <w:pPr>
              <w:keepNext/>
              <w:keepLines/>
              <w:spacing w:line="240" w:lineRule="auto"/>
              <w:ind w:left="127" w:firstLine="0"/>
              <w:rPr>
                <w:szCs w:val="26"/>
              </w:rPr>
            </w:pPr>
            <w:r w:rsidRPr="00815866">
              <w:rPr>
                <w:szCs w:val="26"/>
              </w:rPr>
              <w:t>74.4</w:t>
            </w:r>
          </w:p>
        </w:tc>
        <w:tc>
          <w:tcPr>
            <w:tcW w:w="1574"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79685F08" w14:textId="77777777">
            <w:pPr>
              <w:keepNext/>
              <w:keepLines/>
              <w:spacing w:line="240" w:lineRule="auto"/>
              <w:ind w:right="26" w:firstLine="0"/>
              <w:jc w:val="center"/>
              <w:rPr>
                <w:szCs w:val="26"/>
              </w:rPr>
            </w:pPr>
            <w:r w:rsidRPr="00815866">
              <w:rPr>
                <w:szCs w:val="26"/>
              </w:rPr>
              <w:t>4.3</w:t>
            </w:r>
          </w:p>
        </w:tc>
      </w:tr>
    </w:tbl>
    <w:p w:rsidRPr="00815866" w:rsidR="00815866" w:rsidP="00815866" w:rsidRDefault="00815866" w14:paraId="4BB90F2A" w14:textId="77777777">
      <w:pPr>
        <w:keepNext/>
        <w:spacing w:line="240" w:lineRule="auto"/>
        <w:ind w:firstLine="0"/>
        <w:jc w:val="center"/>
      </w:pPr>
    </w:p>
    <w:p w:rsidRPr="00815866" w:rsidR="00815866" w:rsidP="00815866" w:rsidRDefault="00815866" w14:paraId="15879A1F" w14:textId="77777777">
      <w:pPr>
        <w:spacing w:line="240" w:lineRule="auto"/>
        <w:ind w:firstLine="0"/>
        <w:jc w:val="center"/>
      </w:pPr>
    </w:p>
    <w:p w:rsidRPr="00815866" w:rsidR="00815866" w:rsidP="00815866" w:rsidRDefault="00815866" w14:paraId="0E306544" w14:textId="77777777">
      <w:pPr>
        <w:spacing w:after="120" w:line="240" w:lineRule="auto"/>
        <w:ind w:firstLine="0"/>
        <w:jc w:val="center"/>
      </w:pPr>
      <w:r w:rsidRPr="00815866">
        <w:t>Table 6: Annual TSB and Energy Efficiency Targets for SDG&amp;E (2024-2035)</w:t>
      </w:r>
    </w:p>
    <w:tbl>
      <w:tblPr>
        <w:tblStyle w:val="TableGrid"/>
        <w:tblW w:w="0" w:type="auto"/>
        <w:jc w:val="center"/>
        <w:tblLook w:val="04A0" w:firstRow="1" w:lastRow="0" w:firstColumn="1" w:lastColumn="0" w:noHBand="0" w:noVBand="1"/>
      </w:tblPr>
      <w:tblGrid>
        <w:gridCol w:w="864"/>
        <w:gridCol w:w="2461"/>
        <w:gridCol w:w="1154"/>
        <w:gridCol w:w="959"/>
        <w:gridCol w:w="1574"/>
      </w:tblGrid>
      <w:tr w:rsidRPr="00815866" w:rsidR="00815866" w:rsidTr="006008C5" w14:paraId="3C600E7F" w14:textId="77777777">
        <w:trPr>
          <w:jc w:val="center"/>
        </w:trPr>
        <w:tc>
          <w:tcPr>
            <w:tcW w:w="864" w:type="dxa"/>
            <w:vMerge w:val="restart"/>
            <w:tcMar>
              <w:top w:w="29" w:type="dxa"/>
              <w:left w:w="58" w:type="dxa"/>
              <w:bottom w:w="29" w:type="dxa"/>
              <w:right w:w="58" w:type="dxa"/>
            </w:tcMar>
            <w:vAlign w:val="center"/>
          </w:tcPr>
          <w:p w:rsidRPr="00815866" w:rsidR="00815866" w:rsidP="00815866" w:rsidRDefault="00815866" w14:paraId="71A9988C" w14:textId="77777777">
            <w:pPr>
              <w:keepNext/>
              <w:keepLines/>
              <w:spacing w:line="240" w:lineRule="auto"/>
              <w:ind w:firstLine="0"/>
            </w:pPr>
            <w:r w:rsidRPr="00815866">
              <w:t>Year</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124E3191" w14:textId="77777777">
            <w:pPr>
              <w:keepNext/>
              <w:keepLines/>
              <w:spacing w:line="240" w:lineRule="auto"/>
              <w:ind w:firstLine="0"/>
              <w:rPr>
                <w:b/>
                <w:bCs/>
              </w:rPr>
            </w:pPr>
            <w:r w:rsidRPr="00815866">
              <w:rPr>
                <w:b/>
                <w:bCs/>
              </w:rPr>
              <w:t>Incentive Programs</w:t>
            </w:r>
          </w:p>
        </w:tc>
        <w:tc>
          <w:tcPr>
            <w:tcW w:w="3687" w:type="dxa"/>
            <w:gridSpan w:val="3"/>
            <w:tcBorders>
              <w:left w:val="triple" w:color="auto" w:sz="4" w:space="0"/>
            </w:tcBorders>
            <w:tcMar>
              <w:top w:w="29" w:type="dxa"/>
              <w:left w:w="58" w:type="dxa"/>
              <w:bottom w:w="29" w:type="dxa"/>
              <w:right w:w="58" w:type="dxa"/>
            </w:tcMar>
          </w:tcPr>
          <w:p w:rsidRPr="00815866" w:rsidR="00815866" w:rsidP="00815866" w:rsidRDefault="00815866" w14:paraId="5CD04125" w14:textId="77777777">
            <w:pPr>
              <w:keepNext/>
              <w:keepLines/>
              <w:spacing w:line="240" w:lineRule="auto"/>
              <w:ind w:firstLine="0"/>
              <w:jc w:val="center"/>
              <w:rPr>
                <w:b/>
                <w:bCs/>
              </w:rPr>
            </w:pPr>
            <w:r w:rsidRPr="00815866">
              <w:rPr>
                <w:b/>
                <w:bCs/>
              </w:rPr>
              <w:t>Codes and Standards</w:t>
            </w:r>
          </w:p>
        </w:tc>
      </w:tr>
      <w:tr w:rsidRPr="00815866" w:rsidR="00815866" w:rsidTr="006008C5" w14:paraId="6EF2847E" w14:textId="77777777">
        <w:trPr>
          <w:jc w:val="center"/>
        </w:trPr>
        <w:tc>
          <w:tcPr>
            <w:tcW w:w="864" w:type="dxa"/>
            <w:vMerge/>
            <w:tcMar>
              <w:top w:w="29" w:type="dxa"/>
              <w:left w:w="58" w:type="dxa"/>
              <w:bottom w:w="29" w:type="dxa"/>
              <w:right w:w="58" w:type="dxa"/>
            </w:tcMar>
          </w:tcPr>
          <w:p w:rsidRPr="00815866" w:rsidR="00815866" w:rsidP="00815866" w:rsidRDefault="00815866" w14:paraId="4C18E0BF" w14:textId="77777777">
            <w:pPr>
              <w:keepNext/>
              <w:keepLines/>
              <w:spacing w:line="240" w:lineRule="auto"/>
              <w:ind w:firstLine="0"/>
            </w:pP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7172EB95" w14:textId="77777777">
            <w:pPr>
              <w:keepNext/>
              <w:keepLines/>
              <w:spacing w:line="240" w:lineRule="auto"/>
              <w:ind w:firstLine="0"/>
              <w:jc w:val="center"/>
            </w:pPr>
            <w:r w:rsidRPr="00815866">
              <w:t>TSB</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60C4980E" w14:textId="77777777">
            <w:pPr>
              <w:keepNext/>
              <w:keepLines/>
              <w:spacing w:line="240" w:lineRule="auto"/>
              <w:ind w:firstLine="0"/>
              <w:jc w:val="center"/>
            </w:pPr>
            <w:r w:rsidRPr="00815866">
              <w:t>GWh</w:t>
            </w:r>
          </w:p>
        </w:tc>
        <w:tc>
          <w:tcPr>
            <w:tcW w:w="959" w:type="dxa"/>
            <w:tcMar>
              <w:top w:w="29" w:type="dxa"/>
              <w:left w:w="58" w:type="dxa"/>
              <w:bottom w:w="29" w:type="dxa"/>
              <w:right w:w="58" w:type="dxa"/>
            </w:tcMar>
          </w:tcPr>
          <w:p w:rsidRPr="00815866" w:rsidR="00815866" w:rsidP="00815866" w:rsidRDefault="00815866" w14:paraId="710A44B3" w14:textId="77777777">
            <w:pPr>
              <w:keepNext/>
              <w:keepLines/>
              <w:spacing w:line="240" w:lineRule="auto"/>
              <w:ind w:firstLine="0"/>
              <w:jc w:val="center"/>
            </w:pPr>
            <w:r w:rsidRPr="00815866">
              <w:t>MW</w:t>
            </w:r>
          </w:p>
        </w:tc>
        <w:tc>
          <w:tcPr>
            <w:tcW w:w="1574" w:type="dxa"/>
            <w:tcMar>
              <w:top w:w="29" w:type="dxa"/>
              <w:left w:w="58" w:type="dxa"/>
              <w:bottom w:w="29" w:type="dxa"/>
              <w:right w:w="58" w:type="dxa"/>
            </w:tcMar>
          </w:tcPr>
          <w:p w:rsidRPr="00815866" w:rsidR="00815866" w:rsidP="00815866" w:rsidRDefault="00815866" w14:paraId="31FA6B48" w14:textId="77777777">
            <w:pPr>
              <w:keepNext/>
              <w:keepLines/>
              <w:spacing w:line="240" w:lineRule="auto"/>
              <w:ind w:firstLine="0"/>
              <w:jc w:val="center"/>
            </w:pPr>
            <w:r w:rsidRPr="00815866">
              <w:t>MMTherms</w:t>
            </w:r>
          </w:p>
        </w:tc>
      </w:tr>
      <w:tr w:rsidRPr="00815866" w:rsidR="00815866" w:rsidTr="006008C5" w14:paraId="794CB4F9" w14:textId="77777777">
        <w:trPr>
          <w:jc w:val="center"/>
        </w:trPr>
        <w:tc>
          <w:tcPr>
            <w:tcW w:w="864" w:type="dxa"/>
            <w:tcMar>
              <w:top w:w="29" w:type="dxa"/>
              <w:left w:w="58" w:type="dxa"/>
              <w:bottom w:w="29" w:type="dxa"/>
              <w:right w:w="58" w:type="dxa"/>
            </w:tcMar>
          </w:tcPr>
          <w:p w:rsidRPr="00815866" w:rsidR="00815866" w:rsidP="00815866" w:rsidRDefault="00815866" w14:paraId="68D1BFB8" w14:textId="77777777">
            <w:pPr>
              <w:keepNext/>
              <w:keepLines/>
              <w:spacing w:line="240" w:lineRule="auto"/>
              <w:ind w:firstLine="0"/>
            </w:pPr>
            <w:r w:rsidRPr="00815866">
              <w:t>2024</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1B4F00D" w14:textId="77777777">
            <w:pPr>
              <w:keepNext/>
              <w:keepLines/>
              <w:spacing w:line="240" w:lineRule="auto"/>
              <w:ind w:firstLine="0"/>
              <w:jc w:val="center"/>
            </w:pPr>
            <w:r w:rsidRPr="00815866">
              <w:t>$45,004,630</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256A0661" w14:textId="77777777">
            <w:pPr>
              <w:keepNext/>
              <w:keepLines/>
              <w:spacing w:line="240" w:lineRule="auto"/>
              <w:ind w:firstLine="0"/>
              <w:jc w:val="center"/>
            </w:pPr>
            <w:r w:rsidRPr="00815866">
              <w:t>219.4</w:t>
            </w:r>
          </w:p>
        </w:tc>
        <w:tc>
          <w:tcPr>
            <w:tcW w:w="959" w:type="dxa"/>
            <w:tcMar>
              <w:top w:w="29" w:type="dxa"/>
              <w:left w:w="58" w:type="dxa"/>
              <w:bottom w:w="29" w:type="dxa"/>
              <w:right w:w="58" w:type="dxa"/>
            </w:tcMar>
            <w:vAlign w:val="center"/>
          </w:tcPr>
          <w:p w:rsidRPr="00815866" w:rsidR="00815866" w:rsidP="00815866" w:rsidRDefault="00815866" w14:paraId="6F83810A" w14:textId="77777777">
            <w:pPr>
              <w:keepNext/>
              <w:keepLines/>
              <w:spacing w:line="240" w:lineRule="auto"/>
              <w:ind w:firstLine="0"/>
              <w:jc w:val="center"/>
            </w:pPr>
            <w:r w:rsidRPr="00815866">
              <w:t>38.2</w:t>
            </w:r>
          </w:p>
        </w:tc>
        <w:tc>
          <w:tcPr>
            <w:tcW w:w="1574" w:type="dxa"/>
            <w:tcMar>
              <w:top w:w="29" w:type="dxa"/>
              <w:left w:w="58" w:type="dxa"/>
              <w:bottom w:w="29" w:type="dxa"/>
              <w:right w:w="58" w:type="dxa"/>
            </w:tcMar>
            <w:vAlign w:val="center"/>
          </w:tcPr>
          <w:p w:rsidRPr="00815866" w:rsidR="00815866" w:rsidP="00815866" w:rsidRDefault="00815866" w14:paraId="22FA599E" w14:textId="77777777">
            <w:pPr>
              <w:keepNext/>
              <w:keepLines/>
              <w:spacing w:line="240" w:lineRule="auto"/>
              <w:ind w:firstLine="0"/>
              <w:jc w:val="center"/>
            </w:pPr>
            <w:r w:rsidRPr="00815866">
              <w:t>2.3</w:t>
            </w:r>
          </w:p>
        </w:tc>
      </w:tr>
      <w:tr w:rsidRPr="00815866" w:rsidR="00815866" w:rsidTr="006008C5" w14:paraId="1DBF7802" w14:textId="77777777">
        <w:trPr>
          <w:jc w:val="center"/>
        </w:trPr>
        <w:tc>
          <w:tcPr>
            <w:tcW w:w="864" w:type="dxa"/>
            <w:tcMar>
              <w:top w:w="29" w:type="dxa"/>
              <w:left w:w="58" w:type="dxa"/>
              <w:bottom w:w="29" w:type="dxa"/>
              <w:right w:w="58" w:type="dxa"/>
            </w:tcMar>
          </w:tcPr>
          <w:p w:rsidRPr="00815866" w:rsidR="00815866" w:rsidP="00815866" w:rsidRDefault="00815866" w14:paraId="0EC7A59A" w14:textId="77777777">
            <w:pPr>
              <w:keepNext/>
              <w:keepLines/>
              <w:spacing w:line="240" w:lineRule="auto"/>
              <w:ind w:firstLine="0"/>
            </w:pPr>
            <w:r w:rsidRPr="00815866">
              <w:t>2025</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1C28C337" w14:textId="77777777">
            <w:pPr>
              <w:keepNext/>
              <w:keepLines/>
              <w:spacing w:line="240" w:lineRule="auto"/>
              <w:ind w:firstLine="0"/>
              <w:jc w:val="center"/>
            </w:pPr>
            <w:r w:rsidRPr="00815866">
              <w:t>$45,267,492</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62D5C648" w14:textId="77777777">
            <w:pPr>
              <w:keepNext/>
              <w:keepLines/>
              <w:spacing w:line="240" w:lineRule="auto"/>
              <w:ind w:firstLine="0"/>
              <w:jc w:val="center"/>
            </w:pPr>
            <w:r w:rsidRPr="00815866">
              <w:t>206.5</w:t>
            </w:r>
          </w:p>
        </w:tc>
        <w:tc>
          <w:tcPr>
            <w:tcW w:w="959" w:type="dxa"/>
            <w:tcMar>
              <w:top w:w="29" w:type="dxa"/>
              <w:left w:w="58" w:type="dxa"/>
              <w:bottom w:w="29" w:type="dxa"/>
              <w:right w:w="58" w:type="dxa"/>
            </w:tcMar>
            <w:vAlign w:val="center"/>
          </w:tcPr>
          <w:p w:rsidRPr="00815866" w:rsidR="00815866" w:rsidP="00815866" w:rsidRDefault="00815866" w14:paraId="3E24A5ED" w14:textId="77777777">
            <w:pPr>
              <w:keepNext/>
              <w:keepLines/>
              <w:spacing w:line="240" w:lineRule="auto"/>
              <w:ind w:firstLine="0"/>
              <w:jc w:val="center"/>
            </w:pPr>
            <w:r w:rsidRPr="00815866">
              <w:t>35.6</w:t>
            </w:r>
          </w:p>
        </w:tc>
        <w:tc>
          <w:tcPr>
            <w:tcW w:w="1574" w:type="dxa"/>
            <w:tcMar>
              <w:top w:w="29" w:type="dxa"/>
              <w:left w:w="58" w:type="dxa"/>
              <w:bottom w:w="29" w:type="dxa"/>
              <w:right w:w="58" w:type="dxa"/>
            </w:tcMar>
            <w:vAlign w:val="center"/>
          </w:tcPr>
          <w:p w:rsidRPr="00815866" w:rsidR="00815866" w:rsidP="00815866" w:rsidRDefault="00815866" w14:paraId="1EFE52E9" w14:textId="77777777">
            <w:pPr>
              <w:keepNext/>
              <w:keepLines/>
              <w:spacing w:line="240" w:lineRule="auto"/>
              <w:ind w:firstLine="0"/>
              <w:jc w:val="center"/>
            </w:pPr>
            <w:r w:rsidRPr="00815866">
              <w:t>2.3</w:t>
            </w:r>
          </w:p>
        </w:tc>
      </w:tr>
      <w:tr w:rsidRPr="00815866" w:rsidR="00815866" w:rsidTr="006008C5" w14:paraId="516A63E3" w14:textId="77777777">
        <w:trPr>
          <w:jc w:val="center"/>
        </w:trPr>
        <w:tc>
          <w:tcPr>
            <w:tcW w:w="864" w:type="dxa"/>
            <w:tcMar>
              <w:top w:w="29" w:type="dxa"/>
              <w:left w:w="58" w:type="dxa"/>
              <w:bottom w:w="29" w:type="dxa"/>
              <w:right w:w="58" w:type="dxa"/>
            </w:tcMar>
          </w:tcPr>
          <w:p w:rsidRPr="00815866" w:rsidR="00815866" w:rsidP="00815866" w:rsidRDefault="00815866" w14:paraId="556BA384" w14:textId="77777777">
            <w:pPr>
              <w:keepNext/>
              <w:keepLines/>
              <w:spacing w:line="240" w:lineRule="auto"/>
              <w:ind w:firstLine="0"/>
            </w:pPr>
            <w:r w:rsidRPr="00815866">
              <w:t>2026</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1D6CE109" w14:textId="77777777">
            <w:pPr>
              <w:keepNext/>
              <w:keepLines/>
              <w:spacing w:line="240" w:lineRule="auto"/>
              <w:ind w:firstLine="0"/>
              <w:jc w:val="center"/>
            </w:pPr>
            <w:r w:rsidRPr="00815866">
              <w:t>$45,878,572</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7501E730" w14:textId="77777777">
            <w:pPr>
              <w:keepNext/>
              <w:keepLines/>
              <w:spacing w:line="240" w:lineRule="auto"/>
              <w:ind w:firstLine="0"/>
              <w:jc w:val="center"/>
            </w:pPr>
            <w:r w:rsidRPr="00815866">
              <w:t>202.2</w:t>
            </w:r>
          </w:p>
        </w:tc>
        <w:tc>
          <w:tcPr>
            <w:tcW w:w="959" w:type="dxa"/>
            <w:tcMar>
              <w:top w:w="29" w:type="dxa"/>
              <w:left w:w="58" w:type="dxa"/>
              <w:bottom w:w="29" w:type="dxa"/>
              <w:right w:w="58" w:type="dxa"/>
            </w:tcMar>
            <w:vAlign w:val="center"/>
          </w:tcPr>
          <w:p w:rsidRPr="00815866" w:rsidR="00815866" w:rsidP="00815866" w:rsidRDefault="00815866" w14:paraId="650F233B" w14:textId="77777777">
            <w:pPr>
              <w:keepNext/>
              <w:keepLines/>
              <w:spacing w:line="240" w:lineRule="auto"/>
              <w:ind w:firstLine="0"/>
              <w:jc w:val="center"/>
            </w:pPr>
            <w:r w:rsidRPr="00815866">
              <w:t>34.9</w:t>
            </w:r>
          </w:p>
        </w:tc>
        <w:tc>
          <w:tcPr>
            <w:tcW w:w="1574" w:type="dxa"/>
            <w:tcMar>
              <w:top w:w="29" w:type="dxa"/>
              <w:left w:w="58" w:type="dxa"/>
              <w:bottom w:w="29" w:type="dxa"/>
              <w:right w:w="58" w:type="dxa"/>
            </w:tcMar>
            <w:vAlign w:val="center"/>
          </w:tcPr>
          <w:p w:rsidRPr="00815866" w:rsidR="00815866" w:rsidP="00815866" w:rsidRDefault="00815866" w14:paraId="10C785F3" w14:textId="77777777">
            <w:pPr>
              <w:keepNext/>
              <w:keepLines/>
              <w:spacing w:line="240" w:lineRule="auto"/>
              <w:ind w:firstLine="0"/>
              <w:jc w:val="center"/>
            </w:pPr>
            <w:r w:rsidRPr="00815866">
              <w:t>1.5</w:t>
            </w:r>
          </w:p>
        </w:tc>
      </w:tr>
      <w:tr w:rsidRPr="00815866" w:rsidR="00815866" w:rsidTr="006008C5" w14:paraId="38B8D2C6" w14:textId="77777777">
        <w:trPr>
          <w:jc w:val="center"/>
        </w:trPr>
        <w:tc>
          <w:tcPr>
            <w:tcW w:w="864" w:type="dxa"/>
            <w:tcMar>
              <w:top w:w="29" w:type="dxa"/>
              <w:left w:w="58" w:type="dxa"/>
              <w:bottom w:w="29" w:type="dxa"/>
              <w:right w:w="58" w:type="dxa"/>
            </w:tcMar>
          </w:tcPr>
          <w:p w:rsidRPr="00815866" w:rsidR="00815866" w:rsidP="00815866" w:rsidRDefault="00815866" w14:paraId="7986E689" w14:textId="77777777">
            <w:pPr>
              <w:keepNext/>
              <w:keepLines/>
              <w:spacing w:line="240" w:lineRule="auto"/>
              <w:ind w:firstLine="0"/>
            </w:pPr>
            <w:r w:rsidRPr="00815866">
              <w:t>2027</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47470543" w14:textId="77777777">
            <w:pPr>
              <w:keepNext/>
              <w:keepLines/>
              <w:spacing w:line="240" w:lineRule="auto"/>
              <w:ind w:firstLine="0"/>
              <w:jc w:val="center"/>
            </w:pPr>
            <w:r w:rsidRPr="00815866">
              <w:t>$47,996,979</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0AA1BFF9" w14:textId="77777777">
            <w:pPr>
              <w:keepNext/>
              <w:keepLines/>
              <w:spacing w:line="240" w:lineRule="auto"/>
              <w:ind w:firstLine="0"/>
              <w:jc w:val="center"/>
            </w:pPr>
            <w:r w:rsidRPr="00815866">
              <w:t>186.3</w:t>
            </w:r>
          </w:p>
        </w:tc>
        <w:tc>
          <w:tcPr>
            <w:tcW w:w="959" w:type="dxa"/>
            <w:tcMar>
              <w:top w:w="29" w:type="dxa"/>
              <w:left w:w="58" w:type="dxa"/>
              <w:bottom w:w="29" w:type="dxa"/>
              <w:right w:w="58" w:type="dxa"/>
            </w:tcMar>
            <w:vAlign w:val="center"/>
          </w:tcPr>
          <w:p w:rsidRPr="00815866" w:rsidR="00815866" w:rsidP="00815866" w:rsidRDefault="00815866" w14:paraId="7A4E64C2" w14:textId="77777777">
            <w:pPr>
              <w:keepNext/>
              <w:keepLines/>
              <w:spacing w:line="240" w:lineRule="auto"/>
              <w:ind w:firstLine="0"/>
              <w:jc w:val="center"/>
            </w:pPr>
            <w:r w:rsidRPr="00815866">
              <w:t>31.9</w:t>
            </w:r>
          </w:p>
        </w:tc>
        <w:tc>
          <w:tcPr>
            <w:tcW w:w="1574" w:type="dxa"/>
            <w:tcMar>
              <w:top w:w="29" w:type="dxa"/>
              <w:left w:w="58" w:type="dxa"/>
              <w:bottom w:w="29" w:type="dxa"/>
              <w:right w:w="58" w:type="dxa"/>
            </w:tcMar>
            <w:vAlign w:val="center"/>
          </w:tcPr>
          <w:p w:rsidRPr="00815866" w:rsidR="00815866" w:rsidP="00815866" w:rsidRDefault="00815866" w14:paraId="2C7C543F" w14:textId="77777777">
            <w:pPr>
              <w:keepNext/>
              <w:keepLines/>
              <w:spacing w:line="240" w:lineRule="auto"/>
              <w:ind w:firstLine="0"/>
              <w:jc w:val="center"/>
            </w:pPr>
            <w:r w:rsidRPr="00815866">
              <w:t>1.5</w:t>
            </w:r>
          </w:p>
        </w:tc>
      </w:tr>
      <w:tr w:rsidRPr="00815866" w:rsidR="00815866" w:rsidTr="006008C5" w14:paraId="4F65B488" w14:textId="77777777">
        <w:trPr>
          <w:jc w:val="center"/>
        </w:trPr>
        <w:tc>
          <w:tcPr>
            <w:tcW w:w="864" w:type="dxa"/>
            <w:tcMar>
              <w:top w:w="29" w:type="dxa"/>
              <w:left w:w="58" w:type="dxa"/>
              <w:bottom w:w="29" w:type="dxa"/>
              <w:right w:w="58" w:type="dxa"/>
            </w:tcMar>
          </w:tcPr>
          <w:p w:rsidRPr="00815866" w:rsidR="00815866" w:rsidP="00815866" w:rsidRDefault="00815866" w14:paraId="257AC043" w14:textId="77777777">
            <w:pPr>
              <w:keepNext/>
              <w:keepLines/>
              <w:spacing w:line="240" w:lineRule="auto"/>
              <w:ind w:firstLine="0"/>
            </w:pPr>
            <w:r w:rsidRPr="00815866">
              <w:t>2028</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712E8502" w14:textId="77777777">
            <w:pPr>
              <w:keepNext/>
              <w:keepLines/>
              <w:spacing w:line="240" w:lineRule="auto"/>
              <w:ind w:firstLine="0"/>
              <w:jc w:val="center"/>
            </w:pPr>
            <w:r w:rsidRPr="00815866">
              <w:t>$53,596,931</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20B1802F" w14:textId="77777777">
            <w:pPr>
              <w:keepNext/>
              <w:keepLines/>
              <w:spacing w:line="240" w:lineRule="auto"/>
              <w:ind w:firstLine="0"/>
              <w:jc w:val="center"/>
            </w:pPr>
            <w:r w:rsidRPr="00815866">
              <w:t>170.0</w:t>
            </w:r>
          </w:p>
        </w:tc>
        <w:tc>
          <w:tcPr>
            <w:tcW w:w="959" w:type="dxa"/>
            <w:tcMar>
              <w:top w:w="29" w:type="dxa"/>
              <w:left w:w="58" w:type="dxa"/>
              <w:bottom w:w="29" w:type="dxa"/>
              <w:right w:w="58" w:type="dxa"/>
            </w:tcMar>
            <w:vAlign w:val="center"/>
          </w:tcPr>
          <w:p w:rsidRPr="00815866" w:rsidR="00815866" w:rsidP="00815866" w:rsidRDefault="00815866" w14:paraId="548F58A0" w14:textId="77777777">
            <w:pPr>
              <w:keepNext/>
              <w:keepLines/>
              <w:spacing w:line="240" w:lineRule="auto"/>
              <w:ind w:firstLine="0"/>
              <w:jc w:val="center"/>
            </w:pPr>
            <w:r w:rsidRPr="00815866">
              <w:t>30.3</w:t>
            </w:r>
          </w:p>
        </w:tc>
        <w:tc>
          <w:tcPr>
            <w:tcW w:w="1574" w:type="dxa"/>
            <w:tcMar>
              <w:top w:w="29" w:type="dxa"/>
              <w:left w:w="58" w:type="dxa"/>
              <w:bottom w:w="29" w:type="dxa"/>
              <w:right w:w="58" w:type="dxa"/>
            </w:tcMar>
            <w:vAlign w:val="center"/>
          </w:tcPr>
          <w:p w:rsidRPr="00815866" w:rsidR="00815866" w:rsidP="00815866" w:rsidRDefault="00815866" w14:paraId="1A47CBE4" w14:textId="77777777">
            <w:pPr>
              <w:keepNext/>
              <w:keepLines/>
              <w:spacing w:line="240" w:lineRule="auto"/>
              <w:ind w:firstLine="0"/>
              <w:jc w:val="center"/>
            </w:pPr>
            <w:r w:rsidRPr="00815866">
              <w:t>1.4</w:t>
            </w:r>
          </w:p>
        </w:tc>
      </w:tr>
      <w:tr w:rsidRPr="00815866" w:rsidR="00815866" w:rsidTr="006008C5" w14:paraId="693574BE" w14:textId="77777777">
        <w:trPr>
          <w:jc w:val="center"/>
        </w:trPr>
        <w:tc>
          <w:tcPr>
            <w:tcW w:w="864" w:type="dxa"/>
            <w:tcMar>
              <w:top w:w="29" w:type="dxa"/>
              <w:left w:w="58" w:type="dxa"/>
              <w:bottom w:w="29" w:type="dxa"/>
              <w:right w:w="58" w:type="dxa"/>
            </w:tcMar>
          </w:tcPr>
          <w:p w:rsidRPr="00815866" w:rsidR="00815866" w:rsidP="00815866" w:rsidRDefault="00815866" w14:paraId="0BCBA2EC" w14:textId="77777777">
            <w:pPr>
              <w:keepNext/>
              <w:keepLines/>
              <w:spacing w:line="240" w:lineRule="auto"/>
              <w:ind w:firstLine="0"/>
            </w:pPr>
            <w:r w:rsidRPr="00815866">
              <w:t>2029</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1E35DF39" w14:textId="77777777">
            <w:pPr>
              <w:keepNext/>
              <w:keepLines/>
              <w:spacing w:line="240" w:lineRule="auto"/>
              <w:ind w:firstLine="0"/>
              <w:jc w:val="center"/>
            </w:pPr>
            <w:r w:rsidRPr="00815866">
              <w:t>$54,624,969</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13C15CFC" w14:textId="77777777">
            <w:pPr>
              <w:keepNext/>
              <w:keepLines/>
              <w:spacing w:line="240" w:lineRule="auto"/>
              <w:ind w:firstLine="0"/>
              <w:jc w:val="center"/>
            </w:pPr>
            <w:r w:rsidRPr="00815866">
              <w:t>135.1</w:t>
            </w:r>
          </w:p>
        </w:tc>
        <w:tc>
          <w:tcPr>
            <w:tcW w:w="959" w:type="dxa"/>
            <w:tcMar>
              <w:top w:w="29" w:type="dxa"/>
              <w:left w:w="58" w:type="dxa"/>
              <w:bottom w:w="29" w:type="dxa"/>
              <w:right w:w="58" w:type="dxa"/>
            </w:tcMar>
            <w:vAlign w:val="center"/>
          </w:tcPr>
          <w:p w:rsidRPr="00815866" w:rsidR="00815866" w:rsidP="00815866" w:rsidRDefault="00815866" w14:paraId="7C18E9C3" w14:textId="77777777">
            <w:pPr>
              <w:keepNext/>
              <w:keepLines/>
              <w:spacing w:line="240" w:lineRule="auto"/>
              <w:ind w:firstLine="0"/>
              <w:jc w:val="center"/>
            </w:pPr>
            <w:r w:rsidRPr="00815866">
              <w:t>25.0</w:t>
            </w:r>
          </w:p>
        </w:tc>
        <w:tc>
          <w:tcPr>
            <w:tcW w:w="1574" w:type="dxa"/>
            <w:tcMar>
              <w:top w:w="29" w:type="dxa"/>
              <w:left w:w="58" w:type="dxa"/>
              <w:bottom w:w="29" w:type="dxa"/>
              <w:right w:w="58" w:type="dxa"/>
            </w:tcMar>
            <w:vAlign w:val="center"/>
          </w:tcPr>
          <w:p w:rsidRPr="00815866" w:rsidR="00815866" w:rsidP="00815866" w:rsidRDefault="00815866" w14:paraId="62CCE336" w14:textId="77777777">
            <w:pPr>
              <w:keepNext/>
              <w:keepLines/>
              <w:spacing w:line="240" w:lineRule="auto"/>
              <w:ind w:firstLine="0"/>
              <w:jc w:val="center"/>
            </w:pPr>
            <w:r w:rsidRPr="00815866">
              <w:t>1.3</w:t>
            </w:r>
          </w:p>
        </w:tc>
      </w:tr>
      <w:tr w:rsidRPr="00815866" w:rsidR="00815866" w:rsidTr="006008C5" w14:paraId="30FD6502" w14:textId="77777777">
        <w:trPr>
          <w:jc w:val="center"/>
        </w:trPr>
        <w:tc>
          <w:tcPr>
            <w:tcW w:w="864" w:type="dxa"/>
            <w:tcMar>
              <w:top w:w="29" w:type="dxa"/>
              <w:left w:w="58" w:type="dxa"/>
              <w:bottom w:w="29" w:type="dxa"/>
              <w:right w:w="58" w:type="dxa"/>
            </w:tcMar>
          </w:tcPr>
          <w:p w:rsidRPr="00815866" w:rsidR="00815866" w:rsidP="00815866" w:rsidRDefault="00815866" w14:paraId="42CC8CF7" w14:textId="77777777">
            <w:pPr>
              <w:keepNext/>
              <w:keepLines/>
              <w:spacing w:line="240" w:lineRule="auto"/>
              <w:ind w:firstLine="0"/>
            </w:pPr>
            <w:r w:rsidRPr="00815866">
              <w:t>2030</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3C48C7CE" w14:textId="77777777">
            <w:pPr>
              <w:keepNext/>
              <w:keepLines/>
              <w:spacing w:line="240" w:lineRule="auto"/>
              <w:ind w:firstLine="0"/>
              <w:jc w:val="center"/>
            </w:pPr>
            <w:r w:rsidRPr="00815866">
              <w:t>$47,447,704</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4F260F23" w14:textId="77777777">
            <w:pPr>
              <w:keepNext/>
              <w:keepLines/>
              <w:spacing w:line="240" w:lineRule="auto"/>
              <w:ind w:firstLine="0"/>
              <w:jc w:val="center"/>
            </w:pPr>
            <w:r w:rsidRPr="00815866">
              <w:t>122.7</w:t>
            </w:r>
          </w:p>
        </w:tc>
        <w:tc>
          <w:tcPr>
            <w:tcW w:w="959" w:type="dxa"/>
            <w:tcMar>
              <w:top w:w="29" w:type="dxa"/>
              <w:left w:w="58" w:type="dxa"/>
              <w:bottom w:w="29" w:type="dxa"/>
              <w:right w:w="58" w:type="dxa"/>
            </w:tcMar>
            <w:vAlign w:val="center"/>
          </w:tcPr>
          <w:p w:rsidRPr="00815866" w:rsidR="00815866" w:rsidP="00815866" w:rsidRDefault="00815866" w14:paraId="021FA1BD" w14:textId="77777777">
            <w:pPr>
              <w:keepNext/>
              <w:keepLines/>
              <w:spacing w:line="240" w:lineRule="auto"/>
              <w:ind w:firstLine="0"/>
              <w:jc w:val="center"/>
            </w:pPr>
            <w:r w:rsidRPr="00815866">
              <w:t>23.3</w:t>
            </w:r>
          </w:p>
        </w:tc>
        <w:tc>
          <w:tcPr>
            <w:tcW w:w="1574" w:type="dxa"/>
            <w:tcMar>
              <w:top w:w="29" w:type="dxa"/>
              <w:left w:w="58" w:type="dxa"/>
              <w:bottom w:w="29" w:type="dxa"/>
              <w:right w:w="58" w:type="dxa"/>
            </w:tcMar>
            <w:vAlign w:val="center"/>
          </w:tcPr>
          <w:p w:rsidRPr="00815866" w:rsidR="00815866" w:rsidP="00815866" w:rsidRDefault="00815866" w14:paraId="128C71FB" w14:textId="77777777">
            <w:pPr>
              <w:keepNext/>
              <w:keepLines/>
              <w:spacing w:line="240" w:lineRule="auto"/>
              <w:ind w:firstLine="0"/>
              <w:jc w:val="center"/>
            </w:pPr>
            <w:r w:rsidRPr="00815866">
              <w:t>1.3</w:t>
            </w:r>
          </w:p>
        </w:tc>
      </w:tr>
      <w:tr w:rsidRPr="00815866" w:rsidR="00815866" w:rsidTr="006008C5" w14:paraId="160B493E" w14:textId="77777777">
        <w:trPr>
          <w:jc w:val="center"/>
        </w:trPr>
        <w:tc>
          <w:tcPr>
            <w:tcW w:w="864" w:type="dxa"/>
            <w:tcMar>
              <w:top w:w="29" w:type="dxa"/>
              <w:left w:w="58" w:type="dxa"/>
              <w:bottom w:w="29" w:type="dxa"/>
              <w:right w:w="58" w:type="dxa"/>
            </w:tcMar>
          </w:tcPr>
          <w:p w:rsidRPr="00815866" w:rsidR="00815866" w:rsidP="00815866" w:rsidRDefault="00815866" w14:paraId="0418B866" w14:textId="77777777">
            <w:pPr>
              <w:keepNext/>
              <w:keepLines/>
              <w:spacing w:line="240" w:lineRule="auto"/>
              <w:ind w:firstLine="0"/>
            </w:pPr>
            <w:r w:rsidRPr="00815866">
              <w:t>2031</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4366DD26" w14:textId="77777777">
            <w:pPr>
              <w:keepNext/>
              <w:keepLines/>
              <w:spacing w:line="240" w:lineRule="auto"/>
              <w:ind w:firstLine="0"/>
              <w:jc w:val="center"/>
            </w:pPr>
            <w:r w:rsidRPr="00815866">
              <w:t>$50,003,487</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5C3EC834" w14:textId="77777777">
            <w:pPr>
              <w:keepNext/>
              <w:keepLines/>
              <w:spacing w:line="240" w:lineRule="auto"/>
              <w:ind w:firstLine="0"/>
              <w:jc w:val="center"/>
            </w:pPr>
            <w:r w:rsidRPr="00815866">
              <w:t>115.9</w:t>
            </w:r>
          </w:p>
        </w:tc>
        <w:tc>
          <w:tcPr>
            <w:tcW w:w="959" w:type="dxa"/>
            <w:tcMar>
              <w:top w:w="29" w:type="dxa"/>
              <w:left w:w="58" w:type="dxa"/>
              <w:bottom w:w="29" w:type="dxa"/>
              <w:right w:w="58" w:type="dxa"/>
            </w:tcMar>
            <w:vAlign w:val="center"/>
          </w:tcPr>
          <w:p w:rsidRPr="00815866" w:rsidR="00815866" w:rsidP="00815866" w:rsidRDefault="00815866" w14:paraId="6F936514" w14:textId="77777777">
            <w:pPr>
              <w:keepNext/>
              <w:keepLines/>
              <w:spacing w:line="240" w:lineRule="auto"/>
              <w:ind w:firstLine="0"/>
              <w:jc w:val="center"/>
            </w:pPr>
            <w:r w:rsidRPr="00815866">
              <w:t>22.3</w:t>
            </w:r>
          </w:p>
        </w:tc>
        <w:tc>
          <w:tcPr>
            <w:tcW w:w="1574" w:type="dxa"/>
            <w:tcMar>
              <w:top w:w="29" w:type="dxa"/>
              <w:left w:w="58" w:type="dxa"/>
              <w:bottom w:w="29" w:type="dxa"/>
              <w:right w:w="58" w:type="dxa"/>
            </w:tcMar>
            <w:vAlign w:val="center"/>
          </w:tcPr>
          <w:p w:rsidRPr="00815866" w:rsidR="00815866" w:rsidP="00815866" w:rsidRDefault="00815866" w14:paraId="0499A994" w14:textId="77777777">
            <w:pPr>
              <w:keepNext/>
              <w:keepLines/>
              <w:spacing w:line="240" w:lineRule="auto"/>
              <w:ind w:firstLine="0"/>
              <w:jc w:val="center"/>
            </w:pPr>
            <w:r w:rsidRPr="00815866">
              <w:t>1.2</w:t>
            </w:r>
          </w:p>
        </w:tc>
      </w:tr>
      <w:tr w:rsidRPr="00815866" w:rsidR="00815866" w:rsidTr="006008C5" w14:paraId="1D734A7B" w14:textId="77777777">
        <w:trPr>
          <w:jc w:val="center"/>
        </w:trPr>
        <w:tc>
          <w:tcPr>
            <w:tcW w:w="864" w:type="dxa"/>
            <w:tcMar>
              <w:top w:w="29" w:type="dxa"/>
              <w:left w:w="58" w:type="dxa"/>
              <w:bottom w:w="29" w:type="dxa"/>
              <w:right w:w="58" w:type="dxa"/>
            </w:tcMar>
          </w:tcPr>
          <w:p w:rsidRPr="00815866" w:rsidR="00815866" w:rsidP="00815866" w:rsidRDefault="00815866" w14:paraId="4A058506" w14:textId="77777777">
            <w:pPr>
              <w:keepNext/>
              <w:keepLines/>
              <w:spacing w:line="240" w:lineRule="auto"/>
              <w:ind w:firstLine="0"/>
            </w:pPr>
            <w:r w:rsidRPr="00815866">
              <w:t>2032</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0CD052E" w14:textId="77777777">
            <w:pPr>
              <w:keepNext/>
              <w:keepLines/>
              <w:spacing w:line="240" w:lineRule="auto"/>
              <w:ind w:firstLine="0"/>
              <w:jc w:val="center"/>
            </w:pPr>
            <w:r w:rsidRPr="00815866">
              <w:t>$53,833,829</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644C92EB" w14:textId="77777777">
            <w:pPr>
              <w:keepNext/>
              <w:keepLines/>
              <w:spacing w:line="240" w:lineRule="auto"/>
              <w:ind w:firstLine="0"/>
              <w:jc w:val="center"/>
            </w:pPr>
            <w:r w:rsidRPr="00815866">
              <w:t>108.6</w:t>
            </w:r>
          </w:p>
        </w:tc>
        <w:tc>
          <w:tcPr>
            <w:tcW w:w="959" w:type="dxa"/>
            <w:tcMar>
              <w:top w:w="29" w:type="dxa"/>
              <w:left w:w="58" w:type="dxa"/>
              <w:bottom w:w="29" w:type="dxa"/>
              <w:right w:w="58" w:type="dxa"/>
            </w:tcMar>
            <w:vAlign w:val="center"/>
          </w:tcPr>
          <w:p w:rsidRPr="00815866" w:rsidR="00815866" w:rsidP="00815866" w:rsidRDefault="00815866" w14:paraId="68AD4013" w14:textId="77777777">
            <w:pPr>
              <w:keepNext/>
              <w:keepLines/>
              <w:spacing w:line="240" w:lineRule="auto"/>
              <w:ind w:firstLine="0"/>
              <w:jc w:val="center"/>
            </w:pPr>
            <w:r w:rsidRPr="00815866">
              <w:t>20.7</w:t>
            </w:r>
          </w:p>
        </w:tc>
        <w:tc>
          <w:tcPr>
            <w:tcW w:w="1574" w:type="dxa"/>
            <w:tcMar>
              <w:top w:w="29" w:type="dxa"/>
              <w:left w:w="58" w:type="dxa"/>
              <w:bottom w:w="29" w:type="dxa"/>
              <w:right w:w="58" w:type="dxa"/>
            </w:tcMar>
            <w:vAlign w:val="center"/>
          </w:tcPr>
          <w:p w:rsidRPr="00815866" w:rsidR="00815866" w:rsidP="00815866" w:rsidRDefault="00815866" w14:paraId="597FF8A9" w14:textId="77777777">
            <w:pPr>
              <w:keepNext/>
              <w:keepLines/>
              <w:spacing w:line="240" w:lineRule="auto"/>
              <w:ind w:firstLine="0"/>
              <w:jc w:val="center"/>
            </w:pPr>
            <w:r w:rsidRPr="00815866">
              <w:t>1.1</w:t>
            </w:r>
          </w:p>
        </w:tc>
      </w:tr>
      <w:tr w:rsidRPr="00815866" w:rsidR="00815866" w:rsidTr="006008C5" w14:paraId="277A661F" w14:textId="77777777">
        <w:trPr>
          <w:jc w:val="center"/>
        </w:trPr>
        <w:tc>
          <w:tcPr>
            <w:tcW w:w="864" w:type="dxa"/>
            <w:tcMar>
              <w:top w:w="29" w:type="dxa"/>
              <w:left w:w="58" w:type="dxa"/>
              <w:bottom w:w="29" w:type="dxa"/>
              <w:right w:w="58" w:type="dxa"/>
            </w:tcMar>
          </w:tcPr>
          <w:p w:rsidRPr="00815866" w:rsidR="00815866" w:rsidP="00815866" w:rsidRDefault="00815866" w14:paraId="6AFD176A" w14:textId="77777777">
            <w:pPr>
              <w:keepNext/>
              <w:keepLines/>
              <w:spacing w:line="240" w:lineRule="auto"/>
              <w:ind w:firstLine="0"/>
            </w:pPr>
            <w:r w:rsidRPr="00815866">
              <w:t>2033</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0A782955" w14:textId="77777777">
            <w:pPr>
              <w:keepNext/>
              <w:keepLines/>
              <w:spacing w:line="240" w:lineRule="auto"/>
              <w:ind w:firstLine="0"/>
              <w:jc w:val="center"/>
            </w:pPr>
            <w:r w:rsidRPr="00815866">
              <w:t>$60,192,598</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3ED6640A" w14:textId="77777777">
            <w:pPr>
              <w:keepNext/>
              <w:keepLines/>
              <w:spacing w:line="240" w:lineRule="auto"/>
              <w:ind w:firstLine="0"/>
              <w:jc w:val="center"/>
            </w:pPr>
            <w:r w:rsidRPr="00815866">
              <w:t>102.9</w:t>
            </w:r>
          </w:p>
        </w:tc>
        <w:tc>
          <w:tcPr>
            <w:tcW w:w="959" w:type="dxa"/>
            <w:tcMar>
              <w:top w:w="29" w:type="dxa"/>
              <w:left w:w="58" w:type="dxa"/>
              <w:bottom w:w="29" w:type="dxa"/>
              <w:right w:w="58" w:type="dxa"/>
            </w:tcMar>
            <w:vAlign w:val="center"/>
          </w:tcPr>
          <w:p w:rsidRPr="00815866" w:rsidR="00815866" w:rsidP="00815866" w:rsidRDefault="00815866" w14:paraId="41C8BC62" w14:textId="77777777">
            <w:pPr>
              <w:keepNext/>
              <w:keepLines/>
              <w:spacing w:line="240" w:lineRule="auto"/>
              <w:ind w:firstLine="0"/>
              <w:jc w:val="center"/>
            </w:pPr>
            <w:r w:rsidRPr="00815866">
              <w:t>19.6</w:t>
            </w:r>
          </w:p>
        </w:tc>
        <w:tc>
          <w:tcPr>
            <w:tcW w:w="1574" w:type="dxa"/>
            <w:tcMar>
              <w:top w:w="29" w:type="dxa"/>
              <w:left w:w="58" w:type="dxa"/>
              <w:bottom w:w="29" w:type="dxa"/>
              <w:right w:w="58" w:type="dxa"/>
            </w:tcMar>
            <w:vAlign w:val="center"/>
          </w:tcPr>
          <w:p w:rsidRPr="00815866" w:rsidR="00815866" w:rsidP="00815866" w:rsidRDefault="00815866" w14:paraId="4CEFD2E4" w14:textId="77777777">
            <w:pPr>
              <w:keepNext/>
              <w:keepLines/>
              <w:spacing w:line="240" w:lineRule="auto"/>
              <w:ind w:firstLine="0"/>
              <w:jc w:val="center"/>
            </w:pPr>
            <w:r w:rsidRPr="00815866">
              <w:t>1.1</w:t>
            </w:r>
          </w:p>
        </w:tc>
      </w:tr>
      <w:tr w:rsidRPr="00815866" w:rsidR="00815866" w:rsidTr="006008C5" w14:paraId="742C012D" w14:textId="77777777">
        <w:trPr>
          <w:jc w:val="center"/>
        </w:trPr>
        <w:tc>
          <w:tcPr>
            <w:tcW w:w="864" w:type="dxa"/>
            <w:tcMar>
              <w:top w:w="29" w:type="dxa"/>
              <w:left w:w="58" w:type="dxa"/>
              <w:bottom w:w="29" w:type="dxa"/>
              <w:right w:w="58" w:type="dxa"/>
            </w:tcMar>
          </w:tcPr>
          <w:p w:rsidRPr="00815866" w:rsidR="00815866" w:rsidP="00815866" w:rsidRDefault="00815866" w14:paraId="1DAC7F51" w14:textId="77777777">
            <w:pPr>
              <w:keepNext/>
              <w:keepLines/>
              <w:spacing w:line="240" w:lineRule="auto"/>
              <w:ind w:firstLine="0"/>
            </w:pPr>
            <w:r w:rsidRPr="00815866">
              <w:t>2034</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7D9D07E9" w14:textId="77777777">
            <w:pPr>
              <w:keepNext/>
              <w:keepLines/>
              <w:spacing w:line="240" w:lineRule="auto"/>
              <w:ind w:firstLine="0"/>
              <w:jc w:val="center"/>
            </w:pPr>
            <w:r w:rsidRPr="00815866">
              <w:t>$59,986,628</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0C456C69" w14:textId="77777777">
            <w:pPr>
              <w:keepNext/>
              <w:keepLines/>
              <w:spacing w:line="240" w:lineRule="auto"/>
              <w:ind w:firstLine="0"/>
              <w:jc w:val="center"/>
            </w:pPr>
            <w:r w:rsidRPr="00815866">
              <w:t>85.5</w:t>
            </w:r>
          </w:p>
        </w:tc>
        <w:tc>
          <w:tcPr>
            <w:tcW w:w="959" w:type="dxa"/>
            <w:tcMar>
              <w:top w:w="29" w:type="dxa"/>
              <w:left w:w="58" w:type="dxa"/>
              <w:bottom w:w="29" w:type="dxa"/>
              <w:right w:w="58" w:type="dxa"/>
            </w:tcMar>
            <w:vAlign w:val="center"/>
          </w:tcPr>
          <w:p w:rsidRPr="00815866" w:rsidR="00815866" w:rsidP="00815866" w:rsidRDefault="00815866" w14:paraId="5E5CA7DF" w14:textId="77777777">
            <w:pPr>
              <w:keepNext/>
              <w:keepLines/>
              <w:spacing w:line="240" w:lineRule="auto"/>
              <w:ind w:firstLine="0"/>
              <w:jc w:val="center"/>
            </w:pPr>
            <w:r w:rsidRPr="00815866">
              <w:t>17.5</w:t>
            </w:r>
          </w:p>
        </w:tc>
        <w:tc>
          <w:tcPr>
            <w:tcW w:w="1574" w:type="dxa"/>
            <w:tcMar>
              <w:top w:w="29" w:type="dxa"/>
              <w:left w:w="58" w:type="dxa"/>
              <w:bottom w:w="29" w:type="dxa"/>
              <w:right w:w="58" w:type="dxa"/>
            </w:tcMar>
            <w:vAlign w:val="center"/>
          </w:tcPr>
          <w:p w:rsidRPr="00815866" w:rsidR="00815866" w:rsidP="00815866" w:rsidRDefault="00815866" w14:paraId="23A10AE7" w14:textId="77777777">
            <w:pPr>
              <w:keepNext/>
              <w:keepLines/>
              <w:spacing w:line="240" w:lineRule="auto"/>
              <w:ind w:firstLine="0"/>
              <w:jc w:val="center"/>
            </w:pPr>
            <w:r w:rsidRPr="00815866">
              <w:t>1.1</w:t>
            </w:r>
          </w:p>
        </w:tc>
      </w:tr>
      <w:tr w:rsidRPr="00815866" w:rsidR="00815866" w:rsidTr="006008C5" w14:paraId="2D84A845" w14:textId="77777777">
        <w:trPr>
          <w:jc w:val="center"/>
        </w:trPr>
        <w:tc>
          <w:tcPr>
            <w:tcW w:w="864" w:type="dxa"/>
            <w:tcMar>
              <w:top w:w="29" w:type="dxa"/>
              <w:left w:w="58" w:type="dxa"/>
              <w:bottom w:w="29" w:type="dxa"/>
              <w:right w:w="58" w:type="dxa"/>
            </w:tcMar>
          </w:tcPr>
          <w:p w:rsidRPr="00815866" w:rsidR="00815866" w:rsidP="00815866" w:rsidRDefault="00815866" w14:paraId="57362391" w14:textId="77777777">
            <w:pPr>
              <w:keepNext/>
              <w:keepLines/>
              <w:spacing w:line="240" w:lineRule="auto"/>
              <w:ind w:firstLine="0"/>
            </w:pPr>
            <w:r w:rsidRPr="00815866">
              <w:t>2035</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2FF5435" w14:textId="77777777">
            <w:pPr>
              <w:keepNext/>
              <w:keepLines/>
              <w:spacing w:line="240" w:lineRule="auto"/>
              <w:ind w:firstLine="0"/>
              <w:jc w:val="center"/>
            </w:pPr>
            <w:r w:rsidRPr="00815866">
              <w:t>$64,740,053</w:t>
            </w:r>
          </w:p>
        </w:tc>
        <w:tc>
          <w:tcPr>
            <w:tcW w:w="1154" w:type="dxa"/>
            <w:tcBorders>
              <w:left w:val="triple" w:color="auto" w:sz="4" w:space="0"/>
            </w:tcBorders>
            <w:tcMar>
              <w:top w:w="29" w:type="dxa"/>
              <w:left w:w="58" w:type="dxa"/>
              <w:bottom w:w="29" w:type="dxa"/>
              <w:right w:w="58" w:type="dxa"/>
            </w:tcMar>
            <w:vAlign w:val="center"/>
          </w:tcPr>
          <w:p w:rsidRPr="00815866" w:rsidR="00815866" w:rsidP="00815866" w:rsidRDefault="00815866" w14:paraId="284E49A0" w14:textId="77777777">
            <w:pPr>
              <w:keepNext/>
              <w:keepLines/>
              <w:spacing w:line="240" w:lineRule="auto"/>
              <w:ind w:firstLine="0"/>
              <w:jc w:val="center"/>
            </w:pPr>
            <w:r w:rsidRPr="00815866">
              <w:t>82.2</w:t>
            </w:r>
          </w:p>
        </w:tc>
        <w:tc>
          <w:tcPr>
            <w:tcW w:w="959" w:type="dxa"/>
            <w:tcMar>
              <w:top w:w="29" w:type="dxa"/>
              <w:left w:w="58" w:type="dxa"/>
              <w:bottom w:w="29" w:type="dxa"/>
              <w:right w:w="58" w:type="dxa"/>
            </w:tcMar>
            <w:vAlign w:val="center"/>
          </w:tcPr>
          <w:p w:rsidRPr="00815866" w:rsidR="00815866" w:rsidP="00815866" w:rsidRDefault="00815866" w14:paraId="5E6B46D4" w14:textId="77777777">
            <w:pPr>
              <w:keepNext/>
              <w:keepLines/>
              <w:spacing w:line="240" w:lineRule="auto"/>
              <w:ind w:firstLine="0"/>
              <w:jc w:val="center"/>
            </w:pPr>
            <w:r w:rsidRPr="00815866">
              <w:t>16.6</w:t>
            </w:r>
          </w:p>
        </w:tc>
        <w:tc>
          <w:tcPr>
            <w:tcW w:w="1574" w:type="dxa"/>
            <w:tcMar>
              <w:top w:w="29" w:type="dxa"/>
              <w:left w:w="58" w:type="dxa"/>
              <w:bottom w:w="29" w:type="dxa"/>
              <w:right w:w="58" w:type="dxa"/>
            </w:tcMar>
            <w:vAlign w:val="center"/>
          </w:tcPr>
          <w:p w:rsidRPr="00815866" w:rsidR="00815866" w:rsidP="00815866" w:rsidRDefault="00815866" w14:paraId="54892CB3" w14:textId="77777777">
            <w:pPr>
              <w:keepNext/>
              <w:keepLines/>
              <w:spacing w:line="240" w:lineRule="auto"/>
              <w:ind w:firstLine="0"/>
              <w:jc w:val="center"/>
            </w:pPr>
            <w:r w:rsidRPr="00815866">
              <w:t>1.0</w:t>
            </w:r>
          </w:p>
        </w:tc>
      </w:tr>
    </w:tbl>
    <w:p w:rsidRPr="00815866" w:rsidR="00815866" w:rsidP="00815866" w:rsidRDefault="00815866" w14:paraId="55381F5B" w14:textId="77777777">
      <w:pPr>
        <w:ind w:firstLine="0"/>
      </w:pPr>
    </w:p>
    <w:p w:rsidRPr="00815866" w:rsidR="00815866" w:rsidP="00815866" w:rsidRDefault="00815866" w14:paraId="6517BA0D" w14:textId="77777777">
      <w:pPr>
        <w:keepNext/>
        <w:keepLines/>
        <w:spacing w:after="120" w:line="240" w:lineRule="auto"/>
        <w:ind w:firstLine="0"/>
        <w:jc w:val="center"/>
      </w:pPr>
      <w:r w:rsidRPr="00815866">
        <w:lastRenderedPageBreak/>
        <w:t>Table 7: Cumulative Adopted TSB and Energy Efficiency Goals for SoCalGas (2024-2035)</w:t>
      </w:r>
    </w:p>
    <w:tbl>
      <w:tblPr>
        <w:tblStyle w:val="TableGrid0"/>
        <w:tblW w:w="7562" w:type="dxa"/>
        <w:tblInd w:w="625" w:type="dxa"/>
        <w:tblCellMar>
          <w:top w:w="91" w:type="dxa"/>
          <w:left w:w="59" w:type="dxa"/>
          <w:right w:w="33" w:type="dxa"/>
        </w:tblCellMar>
        <w:tblLook w:val="04A0" w:firstRow="1" w:lastRow="0" w:firstColumn="1" w:lastColumn="0" w:noHBand="0" w:noVBand="1"/>
      </w:tblPr>
      <w:tblGrid>
        <w:gridCol w:w="1413"/>
        <w:gridCol w:w="2461"/>
        <w:gridCol w:w="1155"/>
        <w:gridCol w:w="959"/>
        <w:gridCol w:w="1574"/>
      </w:tblGrid>
      <w:tr w:rsidRPr="00815866" w:rsidR="00815866" w:rsidTr="006008C5" w14:paraId="31ABE4B1" w14:textId="77777777">
        <w:trPr>
          <w:trHeight w:val="382"/>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rsidRPr="00815866" w:rsidR="00815866" w:rsidP="00815866" w:rsidRDefault="00815866" w14:paraId="5A497650" w14:textId="77777777">
            <w:pPr>
              <w:keepNext/>
              <w:keepLines/>
              <w:spacing w:line="240" w:lineRule="auto"/>
              <w:ind w:firstLine="0"/>
              <w:jc w:val="center"/>
              <w:rPr>
                <w:szCs w:val="26"/>
              </w:rPr>
            </w:pPr>
            <w:r w:rsidRPr="00815866">
              <w:rPr>
                <w:szCs w:val="26"/>
              </w:rPr>
              <w:t>Period</w:t>
            </w:r>
          </w:p>
        </w:tc>
        <w:tc>
          <w:tcPr>
            <w:tcW w:w="2461" w:type="dxa"/>
            <w:tcBorders>
              <w:top w:val="single" w:color="000000" w:sz="4" w:space="0"/>
              <w:left w:val="single" w:color="000000" w:sz="4" w:space="0"/>
              <w:bottom w:val="single" w:color="000000" w:sz="4" w:space="0"/>
              <w:right w:val="double" w:color="000000" w:sz="4" w:space="0"/>
            </w:tcBorders>
          </w:tcPr>
          <w:p w:rsidRPr="00815866" w:rsidR="00815866" w:rsidP="00815866" w:rsidRDefault="00815866" w14:paraId="4F4CC2FD" w14:textId="77777777">
            <w:pPr>
              <w:keepNext/>
              <w:keepLines/>
              <w:spacing w:line="240" w:lineRule="auto"/>
              <w:ind w:firstLine="0"/>
              <w:jc w:val="both"/>
              <w:rPr>
                <w:szCs w:val="26"/>
              </w:rPr>
            </w:pPr>
            <w:r w:rsidRPr="00815866">
              <w:rPr>
                <w:szCs w:val="26"/>
              </w:rPr>
              <w:t xml:space="preserve">Incentive Programs </w:t>
            </w:r>
          </w:p>
        </w:tc>
        <w:tc>
          <w:tcPr>
            <w:tcW w:w="3688" w:type="dxa"/>
            <w:gridSpan w:val="3"/>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4EE13B47" w14:textId="77777777">
            <w:pPr>
              <w:keepNext/>
              <w:keepLines/>
              <w:spacing w:line="240" w:lineRule="auto"/>
              <w:ind w:right="28" w:firstLine="0"/>
              <w:jc w:val="center"/>
              <w:rPr>
                <w:szCs w:val="26"/>
              </w:rPr>
            </w:pPr>
            <w:r w:rsidRPr="00815866">
              <w:rPr>
                <w:szCs w:val="26"/>
              </w:rPr>
              <w:t xml:space="preserve">Codes and Standards </w:t>
            </w:r>
          </w:p>
        </w:tc>
      </w:tr>
      <w:tr w:rsidRPr="00815866" w:rsidR="00815866" w:rsidTr="006008C5" w14:paraId="477333B1" w14:textId="77777777">
        <w:trPr>
          <w:trHeight w:val="391"/>
        </w:trPr>
        <w:tc>
          <w:tcPr>
            <w:tcW w:w="1413" w:type="dxa"/>
            <w:vMerge/>
            <w:tcBorders>
              <w:top w:val="nil"/>
              <w:left w:val="single" w:color="000000" w:sz="4" w:space="0"/>
              <w:bottom w:val="single" w:color="000000" w:sz="4" w:space="0"/>
              <w:right w:val="single" w:color="000000" w:sz="4" w:space="0"/>
            </w:tcBorders>
          </w:tcPr>
          <w:p w:rsidRPr="00815866" w:rsidR="00815866" w:rsidP="00815866" w:rsidRDefault="00815866" w14:paraId="2A71223C" w14:textId="77777777">
            <w:pPr>
              <w:keepNext/>
              <w:keepLines/>
              <w:spacing w:after="160" w:line="240" w:lineRule="auto"/>
              <w:ind w:firstLine="0"/>
              <w:rPr>
                <w:szCs w:val="26"/>
              </w:rPr>
            </w:pPr>
          </w:p>
        </w:tc>
        <w:tc>
          <w:tcPr>
            <w:tcW w:w="2461" w:type="dxa"/>
            <w:tcBorders>
              <w:top w:val="single" w:color="000000" w:sz="4" w:space="0"/>
              <w:left w:val="single" w:color="000000" w:sz="4" w:space="0"/>
              <w:bottom w:val="single" w:color="000000" w:sz="4" w:space="0"/>
              <w:right w:val="double" w:color="000000" w:sz="4" w:space="0"/>
            </w:tcBorders>
          </w:tcPr>
          <w:p w:rsidRPr="00815866" w:rsidR="00815866" w:rsidP="00815866" w:rsidRDefault="00815866" w14:paraId="513B19A8" w14:textId="77777777">
            <w:pPr>
              <w:keepNext/>
              <w:keepLines/>
              <w:spacing w:line="240" w:lineRule="auto"/>
              <w:ind w:right="25" w:firstLine="0"/>
              <w:jc w:val="center"/>
              <w:rPr>
                <w:szCs w:val="26"/>
              </w:rPr>
            </w:pPr>
            <w:r w:rsidRPr="00815866">
              <w:rPr>
                <w:szCs w:val="26"/>
              </w:rPr>
              <w:t xml:space="preserve">TSB </w:t>
            </w:r>
          </w:p>
        </w:tc>
        <w:tc>
          <w:tcPr>
            <w:tcW w:w="1155" w:type="dxa"/>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63543545" w14:textId="77777777">
            <w:pPr>
              <w:keepNext/>
              <w:keepLines/>
              <w:spacing w:line="240" w:lineRule="auto"/>
              <w:ind w:left="212" w:firstLine="0"/>
              <w:rPr>
                <w:szCs w:val="26"/>
              </w:rPr>
            </w:pPr>
            <w:r w:rsidRPr="00815866">
              <w:rPr>
                <w:szCs w:val="26"/>
              </w:rPr>
              <w:t xml:space="preserve">GWh </w:t>
            </w:r>
          </w:p>
        </w:tc>
        <w:tc>
          <w:tcPr>
            <w:tcW w:w="959"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308C7FD8" w14:textId="77777777">
            <w:pPr>
              <w:keepNext/>
              <w:keepLines/>
              <w:spacing w:line="240" w:lineRule="auto"/>
              <w:ind w:left="167" w:firstLine="0"/>
              <w:rPr>
                <w:szCs w:val="26"/>
              </w:rPr>
            </w:pPr>
            <w:r w:rsidRPr="00815866">
              <w:rPr>
                <w:szCs w:val="26"/>
              </w:rPr>
              <w:t xml:space="preserve">MW </w:t>
            </w:r>
          </w:p>
        </w:tc>
        <w:tc>
          <w:tcPr>
            <w:tcW w:w="1574"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19114AE7" w14:textId="77777777">
            <w:pPr>
              <w:keepNext/>
              <w:keepLines/>
              <w:spacing w:line="240" w:lineRule="auto"/>
              <w:ind w:left="43" w:firstLine="0"/>
              <w:jc w:val="both"/>
              <w:rPr>
                <w:szCs w:val="26"/>
              </w:rPr>
            </w:pPr>
            <w:r w:rsidRPr="00815866">
              <w:rPr>
                <w:szCs w:val="26"/>
              </w:rPr>
              <w:t xml:space="preserve">MMTherms </w:t>
            </w:r>
          </w:p>
        </w:tc>
      </w:tr>
    </w:tbl>
    <w:tbl>
      <w:tblPr>
        <w:tblW w:w="7562" w:type="dxa"/>
        <w:tblInd w:w="625" w:type="dxa"/>
        <w:tblCellMar>
          <w:top w:w="91" w:type="dxa"/>
          <w:left w:w="59" w:type="dxa"/>
          <w:right w:w="33" w:type="dxa"/>
        </w:tblCellMar>
        <w:tblLook w:val="04A0" w:firstRow="1" w:lastRow="0" w:firstColumn="1" w:lastColumn="0" w:noHBand="0" w:noVBand="1"/>
      </w:tblPr>
      <w:tblGrid>
        <w:gridCol w:w="1413"/>
        <w:gridCol w:w="2461"/>
        <w:gridCol w:w="1155"/>
        <w:gridCol w:w="959"/>
        <w:gridCol w:w="1574"/>
      </w:tblGrid>
      <w:tr w:rsidRPr="00815866" w:rsidR="00815866" w:rsidTr="006008C5" w14:paraId="5BA11DBA" w14:textId="77777777">
        <w:trPr>
          <w:trHeight w:val="391"/>
        </w:trPr>
        <w:tc>
          <w:tcPr>
            <w:tcW w:w="1413"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2992FAD9" w14:textId="77777777">
            <w:pPr>
              <w:keepNext/>
              <w:keepLines/>
              <w:spacing w:line="240" w:lineRule="auto"/>
              <w:ind w:firstLine="0"/>
              <w:rPr>
                <w:szCs w:val="26"/>
              </w:rPr>
            </w:pPr>
            <w:r w:rsidRPr="00815866">
              <w:rPr>
                <w:szCs w:val="26"/>
              </w:rPr>
              <w:t>2024-2027</w:t>
            </w:r>
          </w:p>
        </w:tc>
        <w:tc>
          <w:tcPr>
            <w:tcW w:w="2461" w:type="dxa"/>
            <w:tcBorders>
              <w:top w:val="single" w:color="000000" w:sz="4" w:space="0"/>
              <w:left w:val="single" w:color="000000" w:sz="4" w:space="0"/>
              <w:bottom w:val="single" w:color="000000" w:sz="4" w:space="0"/>
              <w:right w:val="double" w:color="000000" w:sz="4" w:space="0"/>
            </w:tcBorders>
            <w:vAlign w:val="bottom"/>
          </w:tcPr>
          <w:p w:rsidRPr="00815866" w:rsidR="00815866" w:rsidP="00815866" w:rsidRDefault="00815866" w14:paraId="06AE1FBE" w14:textId="77777777">
            <w:pPr>
              <w:keepNext/>
              <w:keepLines/>
              <w:spacing w:line="240" w:lineRule="auto"/>
              <w:ind w:right="24" w:firstLine="0"/>
              <w:jc w:val="center"/>
              <w:rPr>
                <w:szCs w:val="26"/>
              </w:rPr>
            </w:pPr>
            <w:r w:rsidRPr="00815866">
              <w:rPr>
                <w:szCs w:val="26"/>
              </w:rPr>
              <w:t>$772,530,337</w:t>
            </w:r>
          </w:p>
        </w:tc>
        <w:tc>
          <w:tcPr>
            <w:tcW w:w="1155" w:type="dxa"/>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61046562" w14:textId="77777777">
            <w:pPr>
              <w:keepNext/>
              <w:keepLines/>
              <w:spacing w:line="240" w:lineRule="auto"/>
              <w:ind w:left="127" w:firstLine="0"/>
              <w:jc w:val="center"/>
              <w:rPr>
                <w:szCs w:val="26"/>
              </w:rPr>
            </w:pPr>
            <w:r w:rsidRPr="00815866">
              <w:t>-</w:t>
            </w:r>
          </w:p>
        </w:tc>
        <w:tc>
          <w:tcPr>
            <w:tcW w:w="959"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00B244A3" w14:textId="77777777">
            <w:pPr>
              <w:keepNext/>
              <w:keepLines/>
              <w:spacing w:line="240" w:lineRule="auto"/>
              <w:ind w:left="127" w:firstLine="0"/>
              <w:jc w:val="center"/>
              <w:rPr>
                <w:szCs w:val="26"/>
              </w:rPr>
            </w:pPr>
            <w:r w:rsidRPr="00815866">
              <w:t>-</w:t>
            </w:r>
          </w:p>
        </w:tc>
        <w:tc>
          <w:tcPr>
            <w:tcW w:w="1574"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51FFC122" w14:textId="77777777">
            <w:pPr>
              <w:keepNext/>
              <w:keepLines/>
              <w:spacing w:line="240" w:lineRule="auto"/>
              <w:ind w:right="26" w:firstLine="0"/>
              <w:jc w:val="center"/>
              <w:rPr>
                <w:szCs w:val="26"/>
              </w:rPr>
            </w:pPr>
            <w:r w:rsidRPr="00815866">
              <w:rPr>
                <w:szCs w:val="26"/>
              </w:rPr>
              <w:t>83.2</w:t>
            </w:r>
          </w:p>
        </w:tc>
      </w:tr>
      <w:tr w:rsidRPr="00815866" w:rsidR="00815866" w:rsidTr="006008C5" w14:paraId="7631EEAE" w14:textId="77777777">
        <w:trPr>
          <w:trHeight w:val="391"/>
        </w:trPr>
        <w:tc>
          <w:tcPr>
            <w:tcW w:w="1413"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4EFE4ED9" w14:textId="77777777">
            <w:pPr>
              <w:keepNext/>
              <w:keepLines/>
              <w:spacing w:line="240" w:lineRule="auto"/>
              <w:ind w:firstLine="0"/>
              <w:rPr>
                <w:szCs w:val="26"/>
              </w:rPr>
            </w:pPr>
            <w:r w:rsidRPr="00815866">
              <w:rPr>
                <w:szCs w:val="26"/>
              </w:rPr>
              <w:t>2028-2031</w:t>
            </w:r>
          </w:p>
        </w:tc>
        <w:tc>
          <w:tcPr>
            <w:tcW w:w="2461" w:type="dxa"/>
            <w:tcBorders>
              <w:top w:val="single" w:color="000000" w:sz="4" w:space="0"/>
              <w:left w:val="single" w:color="000000" w:sz="4" w:space="0"/>
              <w:bottom w:val="single" w:color="000000" w:sz="4" w:space="0"/>
              <w:right w:val="double" w:color="000000" w:sz="4" w:space="0"/>
            </w:tcBorders>
            <w:vAlign w:val="bottom"/>
          </w:tcPr>
          <w:p w:rsidRPr="00815866" w:rsidR="00815866" w:rsidP="00815866" w:rsidRDefault="00815866" w14:paraId="0D23B25A" w14:textId="77777777">
            <w:pPr>
              <w:keepNext/>
              <w:keepLines/>
              <w:spacing w:line="240" w:lineRule="auto"/>
              <w:ind w:right="24" w:firstLine="0"/>
              <w:jc w:val="center"/>
              <w:rPr>
                <w:szCs w:val="26"/>
              </w:rPr>
            </w:pPr>
            <w:r w:rsidRPr="00815866">
              <w:rPr>
                <w:szCs w:val="26"/>
              </w:rPr>
              <w:t>$892,488,372</w:t>
            </w:r>
          </w:p>
        </w:tc>
        <w:tc>
          <w:tcPr>
            <w:tcW w:w="1155" w:type="dxa"/>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2D7DE02B" w14:textId="77777777">
            <w:pPr>
              <w:keepNext/>
              <w:keepLines/>
              <w:spacing w:line="240" w:lineRule="auto"/>
              <w:ind w:left="127" w:firstLine="0"/>
              <w:jc w:val="center"/>
              <w:rPr>
                <w:szCs w:val="26"/>
              </w:rPr>
            </w:pPr>
            <w:r w:rsidRPr="00815866">
              <w:t>-</w:t>
            </w:r>
          </w:p>
        </w:tc>
        <w:tc>
          <w:tcPr>
            <w:tcW w:w="959"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510D914F" w14:textId="77777777">
            <w:pPr>
              <w:keepNext/>
              <w:keepLines/>
              <w:spacing w:line="240" w:lineRule="auto"/>
              <w:ind w:left="127" w:firstLine="0"/>
              <w:jc w:val="center"/>
              <w:rPr>
                <w:szCs w:val="26"/>
              </w:rPr>
            </w:pPr>
            <w:r w:rsidRPr="00815866">
              <w:t>-</w:t>
            </w:r>
          </w:p>
        </w:tc>
        <w:tc>
          <w:tcPr>
            <w:tcW w:w="1574"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108C6CAD" w14:textId="77777777">
            <w:pPr>
              <w:keepNext/>
              <w:keepLines/>
              <w:spacing w:line="240" w:lineRule="auto"/>
              <w:ind w:right="26" w:firstLine="0"/>
              <w:jc w:val="center"/>
              <w:rPr>
                <w:szCs w:val="26"/>
              </w:rPr>
            </w:pPr>
            <w:r w:rsidRPr="00815866">
              <w:rPr>
                <w:szCs w:val="26"/>
              </w:rPr>
              <w:t>57.8</w:t>
            </w:r>
          </w:p>
        </w:tc>
      </w:tr>
      <w:tr w:rsidRPr="00815866" w:rsidR="00815866" w:rsidTr="006008C5" w14:paraId="17E373CF" w14:textId="77777777">
        <w:trPr>
          <w:trHeight w:val="391"/>
        </w:trPr>
        <w:tc>
          <w:tcPr>
            <w:tcW w:w="1413"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749E6E23" w14:textId="77777777">
            <w:pPr>
              <w:keepNext/>
              <w:keepLines/>
              <w:spacing w:line="240" w:lineRule="auto"/>
              <w:ind w:firstLine="0"/>
              <w:rPr>
                <w:szCs w:val="26"/>
              </w:rPr>
            </w:pPr>
            <w:r w:rsidRPr="00815866">
              <w:rPr>
                <w:szCs w:val="26"/>
              </w:rPr>
              <w:t>2032-2035</w:t>
            </w:r>
          </w:p>
        </w:tc>
        <w:tc>
          <w:tcPr>
            <w:tcW w:w="2461" w:type="dxa"/>
            <w:tcBorders>
              <w:top w:val="single" w:color="000000" w:sz="4" w:space="0"/>
              <w:left w:val="single" w:color="000000" w:sz="4" w:space="0"/>
              <w:bottom w:val="single" w:color="000000" w:sz="4" w:space="0"/>
              <w:right w:val="double" w:color="000000" w:sz="4" w:space="0"/>
            </w:tcBorders>
            <w:vAlign w:val="bottom"/>
          </w:tcPr>
          <w:p w:rsidRPr="00815866" w:rsidR="00815866" w:rsidP="00815866" w:rsidRDefault="00815866" w14:paraId="7CF42853" w14:textId="77777777">
            <w:pPr>
              <w:keepNext/>
              <w:keepLines/>
              <w:spacing w:line="240" w:lineRule="auto"/>
              <w:ind w:right="24" w:firstLine="0"/>
              <w:jc w:val="center"/>
              <w:rPr>
                <w:szCs w:val="26"/>
              </w:rPr>
            </w:pPr>
            <w:r w:rsidRPr="00815866">
              <w:rPr>
                <w:szCs w:val="26"/>
              </w:rPr>
              <w:t>$1,054,383,919</w:t>
            </w:r>
          </w:p>
        </w:tc>
        <w:tc>
          <w:tcPr>
            <w:tcW w:w="1155" w:type="dxa"/>
            <w:tcBorders>
              <w:top w:val="single" w:color="000000" w:sz="4" w:space="0"/>
              <w:left w:val="double" w:color="000000" w:sz="4" w:space="0"/>
              <w:bottom w:val="single" w:color="000000" w:sz="4" w:space="0"/>
              <w:right w:val="single" w:color="000000" w:sz="4" w:space="0"/>
            </w:tcBorders>
          </w:tcPr>
          <w:p w:rsidRPr="00815866" w:rsidR="00815866" w:rsidP="00815866" w:rsidRDefault="00815866" w14:paraId="3DBC02D8" w14:textId="77777777">
            <w:pPr>
              <w:keepNext/>
              <w:keepLines/>
              <w:spacing w:line="240" w:lineRule="auto"/>
              <w:ind w:right="26" w:firstLine="0"/>
              <w:jc w:val="center"/>
              <w:rPr>
                <w:szCs w:val="26"/>
              </w:rPr>
            </w:pPr>
            <w:r w:rsidRPr="00815866">
              <w:t>-</w:t>
            </w:r>
          </w:p>
        </w:tc>
        <w:tc>
          <w:tcPr>
            <w:tcW w:w="959" w:type="dxa"/>
            <w:tcBorders>
              <w:top w:val="single" w:color="000000" w:sz="4" w:space="0"/>
              <w:left w:val="single" w:color="000000" w:sz="4" w:space="0"/>
              <w:bottom w:val="single" w:color="000000" w:sz="4" w:space="0"/>
              <w:right w:val="single" w:color="000000" w:sz="4" w:space="0"/>
            </w:tcBorders>
          </w:tcPr>
          <w:p w:rsidRPr="00815866" w:rsidR="00815866" w:rsidP="00815866" w:rsidRDefault="00815866" w14:paraId="70C5FAB2" w14:textId="77777777">
            <w:pPr>
              <w:keepNext/>
              <w:keepLines/>
              <w:spacing w:line="240" w:lineRule="auto"/>
              <w:ind w:left="127" w:firstLine="0"/>
              <w:jc w:val="center"/>
              <w:rPr>
                <w:szCs w:val="26"/>
              </w:rPr>
            </w:pPr>
            <w:r w:rsidRPr="00815866">
              <w:t>-</w:t>
            </w:r>
          </w:p>
        </w:tc>
        <w:tc>
          <w:tcPr>
            <w:tcW w:w="1574" w:type="dxa"/>
            <w:tcBorders>
              <w:top w:val="single" w:color="000000" w:sz="4" w:space="0"/>
              <w:left w:val="single" w:color="000000" w:sz="4" w:space="0"/>
              <w:bottom w:val="single" w:color="000000" w:sz="4" w:space="0"/>
              <w:right w:val="single" w:color="000000" w:sz="4" w:space="0"/>
            </w:tcBorders>
            <w:vAlign w:val="bottom"/>
          </w:tcPr>
          <w:p w:rsidRPr="00815866" w:rsidR="00815866" w:rsidP="00815866" w:rsidRDefault="00815866" w14:paraId="762F83E2" w14:textId="77777777">
            <w:pPr>
              <w:keepNext/>
              <w:keepLines/>
              <w:spacing w:line="240" w:lineRule="auto"/>
              <w:ind w:right="26" w:firstLine="0"/>
              <w:jc w:val="center"/>
              <w:rPr>
                <w:szCs w:val="26"/>
              </w:rPr>
            </w:pPr>
            <w:r w:rsidRPr="00815866">
              <w:rPr>
                <w:szCs w:val="26"/>
              </w:rPr>
              <w:t>48.3</w:t>
            </w:r>
          </w:p>
        </w:tc>
      </w:tr>
    </w:tbl>
    <w:p w:rsidRPr="00815866" w:rsidR="00815866" w:rsidP="00815866" w:rsidRDefault="00815866" w14:paraId="0BDE85AC" w14:textId="77777777">
      <w:pPr>
        <w:keepNext/>
        <w:spacing w:line="240" w:lineRule="auto"/>
        <w:ind w:firstLine="0"/>
        <w:jc w:val="center"/>
      </w:pPr>
    </w:p>
    <w:p w:rsidRPr="00815866" w:rsidR="00815866" w:rsidP="00815866" w:rsidRDefault="00815866" w14:paraId="72BAD72C" w14:textId="77777777">
      <w:pPr>
        <w:spacing w:after="120" w:line="240" w:lineRule="auto"/>
        <w:ind w:firstLine="0"/>
        <w:jc w:val="center"/>
      </w:pPr>
      <w:r w:rsidRPr="00815866">
        <w:t>Table 8: Annual TSB and Energy Efficiency Targets for SoCalGas (2024-2035)</w:t>
      </w:r>
    </w:p>
    <w:tbl>
      <w:tblPr>
        <w:tblStyle w:val="TableGrid"/>
        <w:tblW w:w="0" w:type="auto"/>
        <w:jc w:val="center"/>
        <w:tblLook w:val="04A0" w:firstRow="1" w:lastRow="0" w:firstColumn="1" w:lastColumn="0" w:noHBand="0" w:noVBand="1"/>
      </w:tblPr>
      <w:tblGrid>
        <w:gridCol w:w="864"/>
        <w:gridCol w:w="2461"/>
        <w:gridCol w:w="1154"/>
        <w:gridCol w:w="959"/>
        <w:gridCol w:w="1574"/>
      </w:tblGrid>
      <w:tr w:rsidRPr="00815866" w:rsidR="00815866" w:rsidTr="006008C5" w14:paraId="02EC8693" w14:textId="77777777">
        <w:trPr>
          <w:jc w:val="center"/>
        </w:trPr>
        <w:tc>
          <w:tcPr>
            <w:tcW w:w="864" w:type="dxa"/>
            <w:vMerge w:val="restart"/>
            <w:tcMar>
              <w:top w:w="29" w:type="dxa"/>
              <w:left w:w="58" w:type="dxa"/>
              <w:bottom w:w="29" w:type="dxa"/>
              <w:right w:w="58" w:type="dxa"/>
            </w:tcMar>
            <w:vAlign w:val="center"/>
          </w:tcPr>
          <w:p w:rsidRPr="00815866" w:rsidR="00815866" w:rsidP="00815866" w:rsidRDefault="00815866" w14:paraId="04DD9BF6" w14:textId="77777777">
            <w:pPr>
              <w:keepNext/>
              <w:keepLines/>
              <w:spacing w:line="240" w:lineRule="auto"/>
              <w:ind w:firstLine="0"/>
            </w:pPr>
            <w:r w:rsidRPr="00815866">
              <w:t>Year</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44B4F246" w14:textId="77777777">
            <w:pPr>
              <w:keepNext/>
              <w:keepLines/>
              <w:spacing w:line="240" w:lineRule="auto"/>
              <w:ind w:firstLine="0"/>
              <w:rPr>
                <w:b/>
                <w:bCs/>
              </w:rPr>
            </w:pPr>
            <w:r w:rsidRPr="00815866">
              <w:rPr>
                <w:b/>
                <w:bCs/>
              </w:rPr>
              <w:t>Incentive Programs</w:t>
            </w:r>
          </w:p>
        </w:tc>
        <w:tc>
          <w:tcPr>
            <w:tcW w:w="3687" w:type="dxa"/>
            <w:gridSpan w:val="3"/>
            <w:tcBorders>
              <w:left w:val="triple" w:color="auto" w:sz="4" w:space="0"/>
            </w:tcBorders>
            <w:tcMar>
              <w:top w:w="29" w:type="dxa"/>
              <w:left w:w="58" w:type="dxa"/>
              <w:bottom w:w="29" w:type="dxa"/>
              <w:right w:w="58" w:type="dxa"/>
            </w:tcMar>
          </w:tcPr>
          <w:p w:rsidRPr="00815866" w:rsidR="00815866" w:rsidP="00815866" w:rsidRDefault="00815866" w14:paraId="6CBF5353" w14:textId="77777777">
            <w:pPr>
              <w:keepNext/>
              <w:keepLines/>
              <w:spacing w:line="240" w:lineRule="auto"/>
              <w:ind w:firstLine="0"/>
              <w:jc w:val="center"/>
              <w:rPr>
                <w:b/>
                <w:bCs/>
              </w:rPr>
            </w:pPr>
            <w:r w:rsidRPr="00815866">
              <w:rPr>
                <w:b/>
                <w:bCs/>
              </w:rPr>
              <w:t>Codes and Standards</w:t>
            </w:r>
          </w:p>
        </w:tc>
      </w:tr>
      <w:tr w:rsidRPr="00815866" w:rsidR="00815866" w:rsidTr="006008C5" w14:paraId="60F10EB0" w14:textId="77777777">
        <w:trPr>
          <w:jc w:val="center"/>
        </w:trPr>
        <w:tc>
          <w:tcPr>
            <w:tcW w:w="864" w:type="dxa"/>
            <w:vMerge/>
            <w:tcMar>
              <w:top w:w="29" w:type="dxa"/>
              <w:left w:w="58" w:type="dxa"/>
              <w:bottom w:w="29" w:type="dxa"/>
              <w:right w:w="58" w:type="dxa"/>
            </w:tcMar>
          </w:tcPr>
          <w:p w:rsidRPr="00815866" w:rsidR="00815866" w:rsidP="00815866" w:rsidRDefault="00815866" w14:paraId="46F36CC6" w14:textId="77777777">
            <w:pPr>
              <w:keepNext/>
              <w:keepLines/>
              <w:spacing w:line="240" w:lineRule="auto"/>
              <w:ind w:firstLine="0"/>
            </w:pP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03A0CAB1" w14:textId="77777777">
            <w:pPr>
              <w:keepNext/>
              <w:keepLines/>
              <w:spacing w:line="240" w:lineRule="auto"/>
              <w:ind w:firstLine="0"/>
              <w:jc w:val="center"/>
            </w:pPr>
            <w:r w:rsidRPr="00815866">
              <w:t>TSB</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4A8C9BDA" w14:textId="77777777">
            <w:pPr>
              <w:keepNext/>
              <w:keepLines/>
              <w:spacing w:line="240" w:lineRule="auto"/>
              <w:ind w:firstLine="0"/>
              <w:jc w:val="center"/>
            </w:pPr>
            <w:r w:rsidRPr="00815866">
              <w:t>GWh</w:t>
            </w:r>
          </w:p>
        </w:tc>
        <w:tc>
          <w:tcPr>
            <w:tcW w:w="959" w:type="dxa"/>
            <w:tcMar>
              <w:top w:w="29" w:type="dxa"/>
              <w:left w:w="58" w:type="dxa"/>
              <w:bottom w:w="29" w:type="dxa"/>
              <w:right w:w="58" w:type="dxa"/>
            </w:tcMar>
          </w:tcPr>
          <w:p w:rsidRPr="00815866" w:rsidR="00815866" w:rsidP="00815866" w:rsidRDefault="00815866" w14:paraId="0F43D2D7" w14:textId="77777777">
            <w:pPr>
              <w:keepNext/>
              <w:keepLines/>
              <w:spacing w:line="240" w:lineRule="auto"/>
              <w:ind w:firstLine="0"/>
              <w:jc w:val="center"/>
            </w:pPr>
            <w:r w:rsidRPr="00815866">
              <w:t>MW</w:t>
            </w:r>
          </w:p>
        </w:tc>
        <w:tc>
          <w:tcPr>
            <w:tcW w:w="1574" w:type="dxa"/>
            <w:tcMar>
              <w:top w:w="29" w:type="dxa"/>
              <w:left w:w="58" w:type="dxa"/>
              <w:bottom w:w="29" w:type="dxa"/>
              <w:right w:w="58" w:type="dxa"/>
            </w:tcMar>
          </w:tcPr>
          <w:p w:rsidRPr="00815866" w:rsidR="00815866" w:rsidP="00815866" w:rsidRDefault="00815866" w14:paraId="37FC3103" w14:textId="77777777">
            <w:pPr>
              <w:keepNext/>
              <w:keepLines/>
              <w:spacing w:line="240" w:lineRule="auto"/>
              <w:ind w:firstLine="0"/>
              <w:jc w:val="center"/>
            </w:pPr>
            <w:r w:rsidRPr="00815866">
              <w:t>MMTherms</w:t>
            </w:r>
          </w:p>
        </w:tc>
      </w:tr>
      <w:tr w:rsidRPr="00815866" w:rsidR="00815866" w:rsidTr="006008C5" w14:paraId="0AED5953" w14:textId="77777777">
        <w:trPr>
          <w:jc w:val="center"/>
        </w:trPr>
        <w:tc>
          <w:tcPr>
            <w:tcW w:w="864" w:type="dxa"/>
            <w:tcMar>
              <w:top w:w="29" w:type="dxa"/>
              <w:left w:w="58" w:type="dxa"/>
              <w:bottom w:w="29" w:type="dxa"/>
              <w:right w:w="58" w:type="dxa"/>
            </w:tcMar>
          </w:tcPr>
          <w:p w:rsidRPr="00815866" w:rsidR="00815866" w:rsidP="00815866" w:rsidRDefault="00815866" w14:paraId="1ACD6489" w14:textId="77777777">
            <w:pPr>
              <w:keepNext/>
              <w:keepLines/>
              <w:spacing w:line="240" w:lineRule="auto"/>
              <w:ind w:firstLine="0"/>
            </w:pPr>
            <w:r w:rsidRPr="00815866">
              <w:t>2024</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4969324" w14:textId="77777777">
            <w:pPr>
              <w:keepNext/>
              <w:keepLines/>
              <w:spacing w:line="240" w:lineRule="auto"/>
              <w:ind w:firstLine="0"/>
              <w:jc w:val="center"/>
            </w:pPr>
            <w:r w:rsidRPr="00815866">
              <w:t>164,432,152</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2F97AED6"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691B0AA7"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4D748A60" w14:textId="77777777">
            <w:pPr>
              <w:keepNext/>
              <w:keepLines/>
              <w:spacing w:line="240" w:lineRule="auto"/>
              <w:ind w:firstLine="0"/>
              <w:jc w:val="center"/>
            </w:pPr>
            <w:r w:rsidRPr="00815866">
              <w:t>25.6</w:t>
            </w:r>
          </w:p>
        </w:tc>
      </w:tr>
      <w:tr w:rsidRPr="00815866" w:rsidR="00815866" w:rsidTr="006008C5" w14:paraId="0532ED00" w14:textId="77777777">
        <w:trPr>
          <w:jc w:val="center"/>
        </w:trPr>
        <w:tc>
          <w:tcPr>
            <w:tcW w:w="864" w:type="dxa"/>
            <w:tcMar>
              <w:top w:w="29" w:type="dxa"/>
              <w:left w:w="58" w:type="dxa"/>
              <w:bottom w:w="29" w:type="dxa"/>
              <w:right w:w="58" w:type="dxa"/>
            </w:tcMar>
          </w:tcPr>
          <w:p w:rsidRPr="00815866" w:rsidR="00815866" w:rsidP="00815866" w:rsidRDefault="00815866" w14:paraId="4E886D77" w14:textId="77777777">
            <w:pPr>
              <w:keepNext/>
              <w:keepLines/>
              <w:spacing w:line="240" w:lineRule="auto"/>
              <w:ind w:firstLine="0"/>
            </w:pPr>
            <w:r w:rsidRPr="00815866">
              <w:t>2025</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62DC3D6E" w14:textId="77777777">
            <w:pPr>
              <w:keepNext/>
              <w:keepLines/>
              <w:spacing w:line="240" w:lineRule="auto"/>
              <w:ind w:firstLine="0"/>
              <w:jc w:val="center"/>
            </w:pPr>
            <w:r w:rsidRPr="00815866">
              <w:t>188,742,137</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362D7E93"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0A5DB089"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474A3729" w14:textId="77777777">
            <w:pPr>
              <w:keepNext/>
              <w:keepLines/>
              <w:spacing w:line="240" w:lineRule="auto"/>
              <w:ind w:firstLine="0"/>
              <w:jc w:val="center"/>
            </w:pPr>
            <w:r w:rsidRPr="00815866">
              <w:t>25.0</w:t>
            </w:r>
          </w:p>
        </w:tc>
      </w:tr>
      <w:tr w:rsidRPr="00815866" w:rsidR="00815866" w:rsidTr="006008C5" w14:paraId="6B9A9158" w14:textId="77777777">
        <w:trPr>
          <w:jc w:val="center"/>
        </w:trPr>
        <w:tc>
          <w:tcPr>
            <w:tcW w:w="864" w:type="dxa"/>
            <w:tcMar>
              <w:top w:w="29" w:type="dxa"/>
              <w:left w:w="58" w:type="dxa"/>
              <w:bottom w:w="29" w:type="dxa"/>
              <w:right w:w="58" w:type="dxa"/>
            </w:tcMar>
          </w:tcPr>
          <w:p w:rsidRPr="00815866" w:rsidR="00815866" w:rsidP="00815866" w:rsidRDefault="00815866" w14:paraId="0DBAC8F5" w14:textId="77777777">
            <w:pPr>
              <w:keepNext/>
              <w:keepLines/>
              <w:spacing w:line="240" w:lineRule="auto"/>
              <w:ind w:firstLine="0"/>
            </w:pPr>
            <w:r w:rsidRPr="00815866">
              <w:t>2026</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1BC1C12" w14:textId="77777777">
            <w:pPr>
              <w:keepNext/>
              <w:keepLines/>
              <w:spacing w:line="240" w:lineRule="auto"/>
              <w:ind w:firstLine="0"/>
              <w:jc w:val="center"/>
            </w:pPr>
            <w:r w:rsidRPr="00815866">
              <w:t>203,872,384</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388DB9CD"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301DD074"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02D2C9F6" w14:textId="77777777">
            <w:pPr>
              <w:keepNext/>
              <w:keepLines/>
              <w:spacing w:line="240" w:lineRule="auto"/>
              <w:ind w:firstLine="0"/>
              <w:jc w:val="center"/>
            </w:pPr>
            <w:r w:rsidRPr="00815866">
              <w:t>16.1</w:t>
            </w:r>
          </w:p>
        </w:tc>
      </w:tr>
      <w:tr w:rsidRPr="00815866" w:rsidR="00815866" w:rsidTr="006008C5" w14:paraId="61893EB9" w14:textId="77777777">
        <w:trPr>
          <w:jc w:val="center"/>
        </w:trPr>
        <w:tc>
          <w:tcPr>
            <w:tcW w:w="864" w:type="dxa"/>
            <w:tcMar>
              <w:top w:w="29" w:type="dxa"/>
              <w:left w:w="58" w:type="dxa"/>
              <w:bottom w:w="29" w:type="dxa"/>
              <w:right w:w="58" w:type="dxa"/>
            </w:tcMar>
          </w:tcPr>
          <w:p w:rsidRPr="00815866" w:rsidR="00815866" w:rsidP="00815866" w:rsidRDefault="00815866" w14:paraId="23C6D8E8" w14:textId="77777777">
            <w:pPr>
              <w:keepNext/>
              <w:keepLines/>
              <w:spacing w:line="240" w:lineRule="auto"/>
              <w:ind w:firstLine="0"/>
            </w:pPr>
            <w:r w:rsidRPr="00815866">
              <w:t>2027</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1E7BF11C" w14:textId="77777777">
            <w:pPr>
              <w:keepNext/>
              <w:keepLines/>
              <w:spacing w:line="240" w:lineRule="auto"/>
              <w:ind w:firstLine="0"/>
              <w:jc w:val="center"/>
            </w:pPr>
            <w:r w:rsidRPr="00815866">
              <w:t>215,483,664</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13DD74D3"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31D7783A"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322C1E0A" w14:textId="77777777">
            <w:pPr>
              <w:keepNext/>
              <w:keepLines/>
              <w:spacing w:line="240" w:lineRule="auto"/>
              <w:ind w:firstLine="0"/>
              <w:jc w:val="center"/>
            </w:pPr>
            <w:r w:rsidRPr="00815866">
              <w:t>16.5</w:t>
            </w:r>
          </w:p>
        </w:tc>
      </w:tr>
      <w:tr w:rsidRPr="00815866" w:rsidR="00815866" w:rsidTr="006008C5" w14:paraId="4CDA0984" w14:textId="77777777">
        <w:trPr>
          <w:jc w:val="center"/>
        </w:trPr>
        <w:tc>
          <w:tcPr>
            <w:tcW w:w="864" w:type="dxa"/>
            <w:tcMar>
              <w:top w:w="29" w:type="dxa"/>
              <w:left w:w="58" w:type="dxa"/>
              <w:bottom w:w="29" w:type="dxa"/>
              <w:right w:w="58" w:type="dxa"/>
            </w:tcMar>
          </w:tcPr>
          <w:p w:rsidRPr="00815866" w:rsidR="00815866" w:rsidP="00815866" w:rsidRDefault="00815866" w14:paraId="693817EC" w14:textId="77777777">
            <w:pPr>
              <w:keepNext/>
              <w:keepLines/>
              <w:spacing w:line="240" w:lineRule="auto"/>
              <w:ind w:firstLine="0"/>
            </w:pPr>
            <w:r w:rsidRPr="00815866">
              <w:t>2028</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27FA94F9" w14:textId="77777777">
            <w:pPr>
              <w:keepNext/>
              <w:keepLines/>
              <w:spacing w:line="240" w:lineRule="auto"/>
              <w:ind w:firstLine="0"/>
              <w:jc w:val="center"/>
            </w:pPr>
            <w:r w:rsidRPr="00815866">
              <w:t>227,299,260</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5331DEEF"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3B4265CB"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7D47F6F5" w14:textId="77777777">
            <w:pPr>
              <w:keepNext/>
              <w:keepLines/>
              <w:spacing w:line="240" w:lineRule="auto"/>
              <w:ind w:firstLine="0"/>
              <w:jc w:val="center"/>
            </w:pPr>
            <w:r w:rsidRPr="00815866">
              <w:t>15.4</w:t>
            </w:r>
          </w:p>
        </w:tc>
      </w:tr>
      <w:tr w:rsidRPr="00815866" w:rsidR="00815866" w:rsidTr="006008C5" w14:paraId="66A4553B" w14:textId="77777777">
        <w:trPr>
          <w:jc w:val="center"/>
        </w:trPr>
        <w:tc>
          <w:tcPr>
            <w:tcW w:w="864" w:type="dxa"/>
            <w:tcMar>
              <w:top w:w="29" w:type="dxa"/>
              <w:left w:w="58" w:type="dxa"/>
              <w:bottom w:w="29" w:type="dxa"/>
              <w:right w:w="58" w:type="dxa"/>
            </w:tcMar>
          </w:tcPr>
          <w:p w:rsidRPr="00815866" w:rsidR="00815866" w:rsidP="00815866" w:rsidRDefault="00815866" w14:paraId="63ABF82C" w14:textId="77777777">
            <w:pPr>
              <w:keepNext/>
              <w:keepLines/>
              <w:spacing w:line="240" w:lineRule="auto"/>
              <w:ind w:firstLine="0"/>
            </w:pPr>
            <w:r w:rsidRPr="00815866">
              <w:t>2029</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575CAD6A" w14:textId="77777777">
            <w:pPr>
              <w:keepNext/>
              <w:keepLines/>
              <w:spacing w:line="240" w:lineRule="auto"/>
              <w:ind w:firstLine="0"/>
              <w:jc w:val="center"/>
            </w:pPr>
            <w:r w:rsidRPr="00815866">
              <w:t>237,409,377</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197597E6"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4F51049B"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722A9508" w14:textId="77777777">
            <w:pPr>
              <w:keepNext/>
              <w:keepLines/>
              <w:spacing w:line="240" w:lineRule="auto"/>
              <w:ind w:firstLine="0"/>
              <w:jc w:val="center"/>
            </w:pPr>
            <w:r w:rsidRPr="00815866">
              <w:t>14.6</w:t>
            </w:r>
          </w:p>
        </w:tc>
      </w:tr>
      <w:tr w:rsidRPr="00815866" w:rsidR="00815866" w:rsidTr="006008C5" w14:paraId="03383F69" w14:textId="77777777">
        <w:trPr>
          <w:jc w:val="center"/>
        </w:trPr>
        <w:tc>
          <w:tcPr>
            <w:tcW w:w="864" w:type="dxa"/>
            <w:tcMar>
              <w:top w:w="29" w:type="dxa"/>
              <w:left w:w="58" w:type="dxa"/>
              <w:bottom w:w="29" w:type="dxa"/>
              <w:right w:w="58" w:type="dxa"/>
            </w:tcMar>
          </w:tcPr>
          <w:p w:rsidRPr="00815866" w:rsidR="00815866" w:rsidP="00815866" w:rsidRDefault="00815866" w14:paraId="4966A60E" w14:textId="77777777">
            <w:pPr>
              <w:keepNext/>
              <w:keepLines/>
              <w:spacing w:line="240" w:lineRule="auto"/>
              <w:ind w:firstLine="0"/>
            </w:pPr>
            <w:r w:rsidRPr="00815866">
              <w:t>2030</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01FD36F7" w14:textId="77777777">
            <w:pPr>
              <w:keepNext/>
              <w:keepLines/>
              <w:spacing w:line="240" w:lineRule="auto"/>
              <w:ind w:firstLine="0"/>
              <w:jc w:val="center"/>
            </w:pPr>
            <w:r w:rsidRPr="00815866">
              <w:t>208,882,271</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6A3246F8"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25D97C80"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238A1444" w14:textId="77777777">
            <w:pPr>
              <w:keepNext/>
              <w:keepLines/>
              <w:spacing w:line="240" w:lineRule="auto"/>
              <w:ind w:firstLine="0"/>
              <w:jc w:val="center"/>
            </w:pPr>
            <w:r w:rsidRPr="00815866">
              <w:t>14.2</w:t>
            </w:r>
          </w:p>
        </w:tc>
      </w:tr>
      <w:tr w:rsidRPr="00815866" w:rsidR="00815866" w:rsidTr="006008C5" w14:paraId="247F32DF" w14:textId="77777777">
        <w:trPr>
          <w:jc w:val="center"/>
        </w:trPr>
        <w:tc>
          <w:tcPr>
            <w:tcW w:w="864" w:type="dxa"/>
            <w:tcMar>
              <w:top w:w="29" w:type="dxa"/>
              <w:left w:w="58" w:type="dxa"/>
              <w:bottom w:w="29" w:type="dxa"/>
              <w:right w:w="58" w:type="dxa"/>
            </w:tcMar>
          </w:tcPr>
          <w:p w:rsidRPr="00815866" w:rsidR="00815866" w:rsidP="00815866" w:rsidRDefault="00815866" w14:paraId="1FE5564B" w14:textId="77777777">
            <w:pPr>
              <w:keepNext/>
              <w:keepLines/>
              <w:spacing w:line="240" w:lineRule="auto"/>
              <w:ind w:firstLine="0"/>
            </w:pPr>
            <w:r w:rsidRPr="00815866">
              <w:t>2031</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3C2C4919" w14:textId="77777777">
            <w:pPr>
              <w:keepNext/>
              <w:keepLines/>
              <w:spacing w:line="240" w:lineRule="auto"/>
              <w:ind w:firstLine="0"/>
              <w:jc w:val="center"/>
            </w:pPr>
            <w:r w:rsidRPr="00815866">
              <w:t>218,897,464</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09FD2A5D"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504EE2F0"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7D64F104" w14:textId="77777777">
            <w:pPr>
              <w:keepNext/>
              <w:keepLines/>
              <w:spacing w:line="240" w:lineRule="auto"/>
              <w:ind w:firstLine="0"/>
              <w:jc w:val="center"/>
            </w:pPr>
            <w:r w:rsidRPr="00815866">
              <w:t>13.6</w:t>
            </w:r>
          </w:p>
        </w:tc>
      </w:tr>
      <w:tr w:rsidRPr="00815866" w:rsidR="00815866" w:rsidTr="006008C5" w14:paraId="6FF12DA3" w14:textId="77777777">
        <w:trPr>
          <w:jc w:val="center"/>
        </w:trPr>
        <w:tc>
          <w:tcPr>
            <w:tcW w:w="864" w:type="dxa"/>
            <w:tcMar>
              <w:top w:w="29" w:type="dxa"/>
              <w:left w:w="58" w:type="dxa"/>
              <w:bottom w:w="29" w:type="dxa"/>
              <w:right w:w="58" w:type="dxa"/>
            </w:tcMar>
          </w:tcPr>
          <w:p w:rsidRPr="00815866" w:rsidR="00815866" w:rsidP="00815866" w:rsidRDefault="00815866" w14:paraId="3ECF57C6" w14:textId="77777777">
            <w:pPr>
              <w:keepNext/>
              <w:keepLines/>
              <w:spacing w:line="240" w:lineRule="auto"/>
              <w:ind w:firstLine="0"/>
            </w:pPr>
            <w:r w:rsidRPr="00815866">
              <w:t>2032</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33671AB3" w14:textId="77777777">
            <w:pPr>
              <w:keepNext/>
              <w:keepLines/>
              <w:spacing w:line="240" w:lineRule="auto"/>
              <w:ind w:firstLine="0"/>
              <w:jc w:val="center"/>
            </w:pPr>
            <w:r w:rsidRPr="00815866">
              <w:t>237,492,445</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157821B7"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3CB23768"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1C046707" w14:textId="77777777">
            <w:pPr>
              <w:keepNext/>
              <w:keepLines/>
              <w:spacing w:line="240" w:lineRule="auto"/>
              <w:ind w:firstLine="0"/>
              <w:jc w:val="center"/>
            </w:pPr>
            <w:r w:rsidRPr="00815866">
              <w:t>12.6</w:t>
            </w:r>
          </w:p>
        </w:tc>
      </w:tr>
      <w:tr w:rsidRPr="00815866" w:rsidR="00815866" w:rsidTr="006008C5" w14:paraId="3D646882" w14:textId="77777777">
        <w:trPr>
          <w:jc w:val="center"/>
        </w:trPr>
        <w:tc>
          <w:tcPr>
            <w:tcW w:w="864" w:type="dxa"/>
            <w:tcMar>
              <w:top w:w="29" w:type="dxa"/>
              <w:left w:w="58" w:type="dxa"/>
              <w:bottom w:w="29" w:type="dxa"/>
              <w:right w:w="58" w:type="dxa"/>
            </w:tcMar>
          </w:tcPr>
          <w:p w:rsidRPr="00815866" w:rsidR="00815866" w:rsidP="00815866" w:rsidRDefault="00815866" w14:paraId="1270CBF7" w14:textId="77777777">
            <w:pPr>
              <w:keepNext/>
              <w:keepLines/>
              <w:spacing w:line="240" w:lineRule="auto"/>
              <w:ind w:firstLine="0"/>
            </w:pPr>
            <w:r w:rsidRPr="00815866">
              <w:t>2033</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0C4D7F0D" w14:textId="77777777">
            <w:pPr>
              <w:keepNext/>
              <w:keepLines/>
              <w:spacing w:line="240" w:lineRule="auto"/>
              <w:ind w:firstLine="0"/>
              <w:jc w:val="center"/>
            </w:pPr>
            <w:r w:rsidRPr="00815866">
              <w:t>254,060,765</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140FD1AB"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3DEB4C96"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06E5EA91" w14:textId="77777777">
            <w:pPr>
              <w:keepNext/>
              <w:keepLines/>
              <w:spacing w:line="240" w:lineRule="auto"/>
              <w:ind w:firstLine="0"/>
              <w:jc w:val="center"/>
            </w:pPr>
            <w:r w:rsidRPr="00815866">
              <w:t>12.3</w:t>
            </w:r>
          </w:p>
        </w:tc>
      </w:tr>
      <w:tr w:rsidRPr="00815866" w:rsidR="00815866" w:rsidTr="006008C5" w14:paraId="13C2FC2C" w14:textId="77777777">
        <w:trPr>
          <w:jc w:val="center"/>
        </w:trPr>
        <w:tc>
          <w:tcPr>
            <w:tcW w:w="864" w:type="dxa"/>
            <w:tcMar>
              <w:top w:w="29" w:type="dxa"/>
              <w:left w:w="58" w:type="dxa"/>
              <w:bottom w:w="29" w:type="dxa"/>
              <w:right w:w="58" w:type="dxa"/>
            </w:tcMar>
          </w:tcPr>
          <w:p w:rsidRPr="00815866" w:rsidR="00815866" w:rsidP="00815866" w:rsidRDefault="00815866" w14:paraId="500A2708" w14:textId="77777777">
            <w:pPr>
              <w:keepNext/>
              <w:keepLines/>
              <w:spacing w:line="240" w:lineRule="auto"/>
              <w:ind w:firstLine="0"/>
            </w:pPr>
            <w:r w:rsidRPr="00815866">
              <w:t>2034</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308835A6" w14:textId="77777777">
            <w:pPr>
              <w:keepNext/>
              <w:keepLines/>
              <w:spacing w:line="240" w:lineRule="auto"/>
              <w:ind w:firstLine="0"/>
              <w:jc w:val="center"/>
            </w:pPr>
            <w:r w:rsidRPr="00815866">
              <w:t>269,208,582</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747EEFAD"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44BDBFE6"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3E77C4BA" w14:textId="77777777">
            <w:pPr>
              <w:keepNext/>
              <w:keepLines/>
              <w:spacing w:line="240" w:lineRule="auto"/>
              <w:ind w:firstLine="0"/>
              <w:jc w:val="center"/>
            </w:pPr>
            <w:r w:rsidRPr="00815866">
              <w:t>11.9</w:t>
            </w:r>
          </w:p>
        </w:tc>
      </w:tr>
      <w:tr w:rsidRPr="00815866" w:rsidR="00815866" w:rsidTr="006008C5" w14:paraId="354665EE" w14:textId="77777777">
        <w:trPr>
          <w:jc w:val="center"/>
        </w:trPr>
        <w:tc>
          <w:tcPr>
            <w:tcW w:w="864" w:type="dxa"/>
            <w:tcMar>
              <w:top w:w="29" w:type="dxa"/>
              <w:left w:w="58" w:type="dxa"/>
              <w:bottom w:w="29" w:type="dxa"/>
              <w:right w:w="58" w:type="dxa"/>
            </w:tcMar>
          </w:tcPr>
          <w:p w:rsidRPr="00815866" w:rsidR="00815866" w:rsidP="00815866" w:rsidRDefault="00815866" w14:paraId="3A50ED57" w14:textId="77777777">
            <w:pPr>
              <w:keepNext/>
              <w:keepLines/>
              <w:spacing w:line="240" w:lineRule="auto"/>
              <w:ind w:firstLine="0"/>
            </w:pPr>
            <w:r w:rsidRPr="00815866">
              <w:t>2035</w:t>
            </w:r>
          </w:p>
        </w:tc>
        <w:tc>
          <w:tcPr>
            <w:tcW w:w="2461" w:type="dxa"/>
            <w:tcBorders>
              <w:right w:val="triple" w:color="auto" w:sz="4" w:space="0"/>
            </w:tcBorders>
            <w:tcMar>
              <w:top w:w="29" w:type="dxa"/>
              <w:left w:w="58" w:type="dxa"/>
              <w:bottom w:w="29" w:type="dxa"/>
              <w:right w:w="58" w:type="dxa"/>
            </w:tcMar>
          </w:tcPr>
          <w:p w:rsidRPr="00815866" w:rsidR="00815866" w:rsidP="00815866" w:rsidRDefault="00815866" w14:paraId="4DADF5C6" w14:textId="77777777">
            <w:pPr>
              <w:keepNext/>
              <w:keepLines/>
              <w:spacing w:line="240" w:lineRule="auto"/>
              <w:ind w:firstLine="0"/>
              <w:jc w:val="center"/>
            </w:pPr>
            <w:r w:rsidRPr="00815866">
              <w:t>293,622,127</w:t>
            </w:r>
          </w:p>
        </w:tc>
        <w:tc>
          <w:tcPr>
            <w:tcW w:w="1154" w:type="dxa"/>
            <w:tcBorders>
              <w:left w:val="triple" w:color="auto" w:sz="4" w:space="0"/>
            </w:tcBorders>
            <w:tcMar>
              <w:top w:w="29" w:type="dxa"/>
              <w:left w:w="58" w:type="dxa"/>
              <w:bottom w:w="29" w:type="dxa"/>
              <w:right w:w="58" w:type="dxa"/>
            </w:tcMar>
          </w:tcPr>
          <w:p w:rsidRPr="00815866" w:rsidR="00815866" w:rsidP="00815866" w:rsidRDefault="00815866" w14:paraId="25BA9E99" w14:textId="77777777">
            <w:pPr>
              <w:keepNext/>
              <w:keepLines/>
              <w:spacing w:line="240" w:lineRule="auto"/>
              <w:ind w:firstLine="0"/>
              <w:jc w:val="center"/>
            </w:pPr>
            <w:r w:rsidRPr="00815866">
              <w:t>-</w:t>
            </w:r>
          </w:p>
        </w:tc>
        <w:tc>
          <w:tcPr>
            <w:tcW w:w="959" w:type="dxa"/>
            <w:tcMar>
              <w:top w:w="29" w:type="dxa"/>
              <w:left w:w="58" w:type="dxa"/>
              <w:bottom w:w="29" w:type="dxa"/>
              <w:right w:w="58" w:type="dxa"/>
            </w:tcMar>
          </w:tcPr>
          <w:p w:rsidRPr="00815866" w:rsidR="00815866" w:rsidP="00815866" w:rsidRDefault="00815866" w14:paraId="03631C1E" w14:textId="77777777">
            <w:pPr>
              <w:keepNext/>
              <w:keepLines/>
              <w:spacing w:line="240" w:lineRule="auto"/>
              <w:ind w:firstLine="0"/>
              <w:jc w:val="center"/>
            </w:pPr>
            <w:r w:rsidRPr="00815866">
              <w:t>-</w:t>
            </w:r>
          </w:p>
        </w:tc>
        <w:tc>
          <w:tcPr>
            <w:tcW w:w="1574" w:type="dxa"/>
            <w:tcMar>
              <w:top w:w="29" w:type="dxa"/>
              <w:left w:w="58" w:type="dxa"/>
              <w:bottom w:w="29" w:type="dxa"/>
              <w:right w:w="58" w:type="dxa"/>
            </w:tcMar>
            <w:vAlign w:val="center"/>
          </w:tcPr>
          <w:p w:rsidRPr="00815866" w:rsidR="00815866" w:rsidP="00815866" w:rsidRDefault="00815866" w14:paraId="0C3A57C9" w14:textId="77777777">
            <w:pPr>
              <w:keepNext/>
              <w:keepLines/>
              <w:spacing w:line="240" w:lineRule="auto"/>
              <w:ind w:firstLine="0"/>
              <w:jc w:val="center"/>
            </w:pPr>
            <w:r w:rsidRPr="00815866">
              <w:t>11.5</w:t>
            </w:r>
          </w:p>
        </w:tc>
      </w:tr>
    </w:tbl>
    <w:p w:rsidRPr="00815866" w:rsidR="00815866" w:rsidP="00815866" w:rsidRDefault="00815866" w14:paraId="68C11FDE" w14:textId="77777777">
      <w:pPr>
        <w:ind w:firstLine="0"/>
      </w:pPr>
    </w:p>
    <w:p w:rsidRPr="00815866" w:rsidR="00815866" w:rsidP="00815866" w:rsidRDefault="00815866" w14:paraId="53F081A1" w14:textId="77777777">
      <w:r w:rsidRPr="00815866">
        <w:t>Parties raised a number of issues relating to data assumptions (</w:t>
      </w:r>
      <w:r w:rsidRPr="00815866">
        <w:rPr>
          <w:i/>
          <w:iCs/>
        </w:rPr>
        <w:t>e.g.,</w:t>
      </w:r>
      <w:r w:rsidRPr="00815866">
        <w:t xml:space="preserve"> the specific inputs or approaches used) in the draft potential study.</w:t>
      </w:r>
      <w:r w:rsidRPr="00815866">
        <w:rPr>
          <w:vertAlign w:val="superscript"/>
        </w:rPr>
        <w:footnoteReference w:id="35"/>
      </w:r>
      <w:r w:rsidRPr="00815866">
        <w:t xml:space="preserve"> The final study includes an appendix (Appendix L) that addresses these comments, and whether </w:t>
      </w:r>
      <w:r w:rsidRPr="00815866">
        <w:lastRenderedPageBreak/>
        <w:t>and how the study team adjusted its analysis in response to each comment. One adjustment that merits highlighting here is that the final study updates the analysis for emerging technologies potential, as recommended by PG&amp;E, which advocates to use historical claims data to calibrate this forecast.</w:t>
      </w:r>
      <w:r w:rsidRPr="00815866">
        <w:rPr>
          <w:vertAlign w:val="superscript"/>
        </w:rPr>
        <w:footnoteReference w:id="36"/>
      </w:r>
      <w:r w:rsidRPr="00815866">
        <w:t xml:space="preserve"> Particularly because the growth rate is based on a compounded annual growth rate function, we agree that the draft potential study’s forecast is unrealistically high in the later years. No new data was available to calibrate to, so the final study constrains growth in the later years (after 2030), similar to the approach taken in the 2021 study.</w:t>
      </w:r>
    </w:p>
    <w:p w:rsidRPr="00815866" w:rsidR="00815866" w:rsidP="00815866" w:rsidRDefault="00815866" w14:paraId="4CA9F29A" w14:textId="77777777">
      <w:r w:rsidRPr="00815866">
        <w:t>As with past study cycles, CEDMC and NRDC recommend modeling a PAC scenario.</w:t>
      </w:r>
      <w:r w:rsidRPr="00815866">
        <w:rPr>
          <w:vertAlign w:val="superscript"/>
        </w:rPr>
        <w:footnoteReference w:id="37"/>
      </w:r>
      <w:r w:rsidRPr="00815866">
        <w:t xml:space="preserve"> For the same reasons provided in D.17-09-025, particularly that modeling and considering a PAC scenario requires consideration of revising our portfolio cost-effectiveness requirements, which is beyond the scope of this decision, we decline to consider this recommendation.</w:t>
      </w:r>
      <w:r w:rsidRPr="00815866">
        <w:rPr>
          <w:vertAlign w:val="superscript"/>
        </w:rPr>
        <w:footnoteReference w:id="38"/>
      </w:r>
      <w:r w:rsidRPr="00815866">
        <w:t xml:space="preserve"> We also reiterate, as with past study cycles and in response to party comments recommending adoption of more aggressive goals, that the goals we adopt establish a floor (as opposed to a ceiling) and, certainly, the portfolio administrators should strive to exceed these goals when designing and implementing their portfolios.</w:t>
      </w:r>
      <w:r w:rsidRPr="00815866">
        <w:rPr>
          <w:vertAlign w:val="superscript"/>
        </w:rPr>
        <w:footnoteReference w:id="39"/>
      </w:r>
      <w:r w:rsidRPr="00815866">
        <w:t xml:space="preserve"> </w:t>
      </w:r>
    </w:p>
    <w:p w:rsidRPr="00815866" w:rsidR="00815866" w:rsidP="00815866" w:rsidRDefault="00815866" w14:paraId="2ECCD41D" w14:textId="77777777">
      <w:pPr>
        <w:pStyle w:val="Heading1"/>
      </w:pPr>
      <w:bookmarkStart w:name="_Toc142653820" w:id="17"/>
      <w:r w:rsidRPr="00815866">
        <w:lastRenderedPageBreak/>
        <w:t xml:space="preserve">Considerations for Future </w:t>
      </w:r>
      <w:r w:rsidRPr="00815866">
        <w:br/>
        <w:t>Study Cycles</w:t>
      </w:r>
      <w:bookmarkEnd w:id="17"/>
    </w:p>
    <w:p w:rsidRPr="00815866" w:rsidR="00815866" w:rsidP="00815866" w:rsidRDefault="00815866" w14:paraId="02F23208" w14:textId="77777777">
      <w:r w:rsidRPr="00815866">
        <w:t>This decision acknowledges party comments for future study cycles, which Commission staff and the selected study team will take into consideration when developing the 2025 potential study; we note however that any recommendations for the 2025 study will also need to be provided as part of the development process for that study so that they may be considered as part of the record. These include most parties’ agreement that future studies should model regionally specific policy decisions and suggestions for how to achieve such modeling,</w:t>
      </w:r>
      <w:r w:rsidRPr="00815866">
        <w:rPr>
          <w:vertAlign w:val="superscript"/>
        </w:rPr>
        <w:footnoteReference w:id="40"/>
      </w:r>
      <w:r w:rsidRPr="00815866">
        <w:t xml:space="preserve"> SoCalREN’s recommendation to model the public sector separate from commercial and industrial,</w:t>
      </w:r>
      <w:r w:rsidRPr="00815866">
        <w:rPr>
          <w:vertAlign w:val="superscript"/>
        </w:rPr>
        <w:footnoteReference w:id="41"/>
      </w:r>
      <w:r w:rsidRPr="00815866">
        <w:t xml:space="preserve"> and Cal Advocates’ recommendation to forecast savings potential in the equity segment,</w:t>
      </w:r>
      <w:r w:rsidRPr="00815866">
        <w:rPr>
          <w:vertAlign w:val="superscript"/>
        </w:rPr>
        <w:footnoteReference w:id="42"/>
      </w:r>
      <w:r w:rsidRPr="00815866">
        <w:t xml:space="preserve"> among other proposals.</w:t>
      </w:r>
      <w:r w:rsidRPr="00815866">
        <w:rPr>
          <w:vertAlign w:val="superscript"/>
        </w:rPr>
        <w:footnoteReference w:id="43"/>
      </w:r>
      <w:r w:rsidRPr="00815866">
        <w:t xml:space="preserve"> With respect to Cal Advocates’ recommendation, it is worth emphasizing that the study’s bottom-up approach is not easily conducive to parsing out savings estimates for the equity segment because this approach is program-agnostic. It may be feasible to estimate equity segment potential if a more top-down analysis is conducted for calibration purposes (similar to the 2021 top-down study), and with greater input from portfolio administrators’ knowledge of their own equity segment customers.</w:t>
      </w:r>
      <w:r w:rsidRPr="00815866">
        <w:rPr>
          <w:vertAlign w:val="superscript"/>
        </w:rPr>
        <w:footnoteReference w:id="44"/>
      </w:r>
      <w:r w:rsidRPr="00815866">
        <w:t xml:space="preserve"> More immediately, portfolio administrators can certainly </w:t>
      </w:r>
      <w:r w:rsidRPr="00815866">
        <w:lastRenderedPageBreak/>
        <w:t>use the study’s Analytica files and the low-income sector study, combined with their knowledge of their own equity segment customers, to inform their portfolios and strategies. Parties and other stakeholders are encouraged to participate and provide input into development of the potential studies from the outset, which may occur as early as July 2024, to ensure consideration of all study inputs, assumptions, approaches, etc. prior to modeling specific scenarios.</w:t>
      </w:r>
      <w:r w:rsidRPr="00815866">
        <w:rPr>
          <w:vertAlign w:val="superscript"/>
        </w:rPr>
        <w:footnoteReference w:id="45"/>
      </w:r>
      <w:r w:rsidRPr="00815866">
        <w:t xml:space="preserve"> </w:t>
      </w:r>
    </w:p>
    <w:p w:rsidRPr="00815866" w:rsidR="00815866" w:rsidP="00815866" w:rsidRDefault="00815866" w14:paraId="20761A0D" w14:textId="77777777">
      <w:pPr>
        <w:pStyle w:val="Heading1"/>
      </w:pPr>
      <w:bookmarkStart w:name="_Toc142653821" w:id="18"/>
      <w:r w:rsidRPr="00815866">
        <w:t>Summary of Public Comment</w:t>
      </w:r>
      <w:bookmarkEnd w:id="18"/>
    </w:p>
    <w:p w:rsidRPr="00815866" w:rsidR="00815866" w:rsidP="00815866" w:rsidRDefault="00815866" w14:paraId="6DD22097" w14:textId="77777777">
      <w:r w:rsidRPr="00815866">
        <w:t>Rule 1.18 of the Commission’s Rules of Practice and Procedure allows any member of the public to submit written comments in any Commission proceeding using the “Public Comment” tab of the online Docket Card for that proceeding on the Commission’s website. Rule 1.18(b) requires that relevant written comments submitted in a proceeding be summarized in the final decision issued in that proceeding. The Commission received no public comments addressing this issue as of the submission date.</w:t>
      </w:r>
    </w:p>
    <w:p w:rsidRPr="00815866" w:rsidR="00815866" w:rsidP="00815866" w:rsidRDefault="00815866" w14:paraId="313936B8" w14:textId="77777777">
      <w:pPr>
        <w:pStyle w:val="Heading1"/>
      </w:pPr>
      <w:bookmarkStart w:name="_Toc142653822" w:id="19"/>
      <w:r w:rsidRPr="00815866">
        <w:t>Comments on Proposed Decision</w:t>
      </w:r>
      <w:bookmarkEnd w:id="19"/>
    </w:p>
    <w:p w:rsidRPr="00815866" w:rsidR="00815866" w:rsidP="00815866" w:rsidRDefault="00815866" w14:paraId="7AF5000A" w14:textId="77777777">
      <w:r w:rsidRPr="00815866">
        <w:t>The proposed decision of ALJ Valerie U. Kao in this matter was mailed to the parties in accordance with Section 311 of the Pub. Util. Code and comments were allowed under Rule 14.3 of the Commission’s Rules of Practice and Procedure. The Commission received timely comments from SCE, PG&amp;E, SoCalGas, SDG&amp;E, Cal Advocates, CEDMC and SBUA;</w:t>
      </w:r>
      <w:r w:rsidRPr="00815866">
        <w:rPr>
          <w:vertAlign w:val="superscript"/>
        </w:rPr>
        <w:footnoteReference w:id="46"/>
      </w:r>
      <w:r w:rsidRPr="00815866">
        <w:t xml:space="preserve"> and timely reply comments from I-REN, SoCalGas, PG&amp;E, SCE and SDG&amp;E.</w:t>
      </w:r>
    </w:p>
    <w:p w:rsidRPr="00815866" w:rsidR="00815866" w:rsidP="00815866" w:rsidRDefault="00815866" w14:paraId="240F7F9D" w14:textId="77777777">
      <w:r w:rsidRPr="00815866">
        <w:lastRenderedPageBreak/>
        <w:t>The proposed decision has been modified in response to party comments in the following respects:</w:t>
      </w:r>
    </w:p>
    <w:p w:rsidRPr="00815866" w:rsidR="00815866" w:rsidP="00815866" w:rsidRDefault="00815866" w14:paraId="019F66CE" w14:textId="77777777">
      <w:pPr>
        <w:numPr>
          <w:ilvl w:val="0"/>
          <w:numId w:val="30"/>
        </w:numPr>
        <w:spacing w:after="120" w:line="240" w:lineRule="auto"/>
        <w:ind w:left="1080" w:right="1440"/>
      </w:pPr>
      <w:r w:rsidRPr="00815866">
        <w:t>Modify the evaluation guidance regarding IRA implementation to specify the type of documentation that should be created and maintained, for purposes of demonstrating the IRA tax credit’s influence on customer adoption. Further, make clear that portfolio administrators must take steps to identify which customers have received or plan to receive the applicable tax incentives, while affording flexibility in how this may be achieved.</w:t>
      </w:r>
    </w:p>
    <w:p w:rsidRPr="00815866" w:rsidR="00815866" w:rsidP="00815866" w:rsidRDefault="00815866" w14:paraId="5B37AC39" w14:textId="77777777">
      <w:pPr>
        <w:numPr>
          <w:ilvl w:val="0"/>
          <w:numId w:val="30"/>
        </w:numPr>
        <w:spacing w:after="120" w:line="240" w:lineRule="auto"/>
        <w:ind w:left="1080" w:right="1440"/>
      </w:pPr>
      <w:r w:rsidRPr="00815866">
        <w:t>Include tables to show four-year cumulative goals, consistent with D.21-05-031, and clarify that the annual TSB and energy savings estimates are targets rather than goals.</w:t>
      </w:r>
      <w:r w:rsidRPr="00815866">
        <w:rPr>
          <w:vertAlign w:val="superscript"/>
        </w:rPr>
        <w:footnoteReference w:id="47"/>
      </w:r>
      <w:r w:rsidRPr="00815866">
        <w:t xml:space="preserve">  </w:t>
      </w:r>
    </w:p>
    <w:p w:rsidRPr="00815866" w:rsidR="00815866" w:rsidP="00815866" w:rsidRDefault="00815866" w14:paraId="01D6FA2D" w14:textId="77777777">
      <w:pPr>
        <w:numPr>
          <w:ilvl w:val="0"/>
          <w:numId w:val="30"/>
        </w:numPr>
        <w:spacing w:after="120" w:line="240" w:lineRule="auto"/>
        <w:ind w:left="1080" w:right="1440"/>
      </w:pPr>
      <w:r w:rsidRPr="00815866">
        <w:t>Provide that the IOUs’ codes and standards budgets should align with their codes and standards potential in the final 2023 potential study, as suggested by PG&amp;E.</w:t>
      </w:r>
    </w:p>
    <w:p w:rsidRPr="00815866" w:rsidR="00815866" w:rsidP="00815866" w:rsidRDefault="00815866" w14:paraId="2F484BC4" w14:textId="77777777">
      <w:r w:rsidRPr="00815866">
        <w:t>Most significantly, SCE and CEDMC maintain that the Commission should adopt Scenario 1, repeating and adding to their prior arguments that indicate Scenario 2 is not realistically achievable. This decision maintains that Scenario 2 reflects aggressive yet achievable goals. In response to SoCalGas’s recommendation to include the CEC’s Reliability Analysis of the CARB SIP Memo, modeling/forecasting grid impacts of state policies is more appropriately within scope of other proceedings related to grid planning.</w:t>
      </w:r>
    </w:p>
    <w:p w:rsidRPr="00815866" w:rsidR="00815866" w:rsidP="00815866" w:rsidRDefault="00815866" w14:paraId="038F799F" w14:textId="77777777">
      <w:r w:rsidRPr="00815866">
        <w:t xml:space="preserve">This decision confirms that SCE’s GWh targets and goals for codes and standards are correct, and that the “low-income” building types identified by SDG&amp;E are appropriately included in the potential and goals study, as these building types are not applicable to the Energy Savings Assistance program. </w:t>
      </w:r>
    </w:p>
    <w:p w:rsidRPr="00815866" w:rsidR="00815866" w:rsidP="00815866" w:rsidRDefault="00815866" w14:paraId="323983F5" w14:textId="77777777">
      <w:pPr>
        <w:pStyle w:val="Heading1"/>
      </w:pPr>
      <w:bookmarkStart w:name="_Toc142653823" w:id="20"/>
      <w:r w:rsidRPr="00815866">
        <w:lastRenderedPageBreak/>
        <w:t>Assignment of Proceeding</w:t>
      </w:r>
      <w:bookmarkEnd w:id="20"/>
    </w:p>
    <w:p w:rsidRPr="00815866" w:rsidR="00815866" w:rsidP="00815866" w:rsidRDefault="00815866" w14:paraId="63881482" w14:textId="77777777">
      <w:r w:rsidRPr="00815866">
        <w:t>Genevieve Shiroma is the assigned Commissioner and Julie A. Fitch and Valerie U. Kao are the assigned ALJs in this proceeding.</w:t>
      </w:r>
    </w:p>
    <w:p w:rsidRPr="00815866" w:rsidR="00815866" w:rsidP="00815866" w:rsidRDefault="00815866" w14:paraId="7687BC81" w14:textId="77777777">
      <w:pPr>
        <w:keepNext/>
        <w:keepLines/>
        <w:spacing w:after="120" w:line="240" w:lineRule="auto"/>
        <w:ind w:firstLine="0"/>
        <w:outlineLvl w:val="0"/>
        <w:rPr>
          <w:rFonts w:ascii="Arial" w:hAnsi="Arial" w:cs="Arial"/>
          <w:b/>
          <w:szCs w:val="26"/>
        </w:rPr>
      </w:pPr>
      <w:bookmarkStart w:name="_Toc119415996" w:id="21"/>
      <w:bookmarkStart w:name="_Toc142653824" w:id="22"/>
      <w:r w:rsidRPr="00815866">
        <w:rPr>
          <w:rFonts w:ascii="Arial" w:hAnsi="Arial" w:cs="Arial"/>
          <w:b/>
          <w:szCs w:val="26"/>
        </w:rPr>
        <w:t>Findings of Fact</w:t>
      </w:r>
      <w:bookmarkEnd w:id="21"/>
      <w:bookmarkEnd w:id="22"/>
    </w:p>
    <w:p w:rsidRPr="00815866" w:rsidR="00815866" w:rsidP="00815866" w:rsidRDefault="00815866" w14:paraId="505795AD" w14:textId="77777777">
      <w:pPr>
        <w:numPr>
          <w:ilvl w:val="0"/>
          <w:numId w:val="3"/>
        </w:numPr>
        <w:ind w:firstLine="547"/>
      </w:pPr>
      <w:r w:rsidRPr="00815866">
        <w:t>Pub. Util. Code Sections 454.55 and 454.56 require the Commission, in consultation with the CEC, to identify all potential achievable cost-effective electricity and natural gas efficiency savings and “establish efficiency targets” for electrical and gas corporations to achieve.</w:t>
      </w:r>
    </w:p>
    <w:p w:rsidRPr="00815866" w:rsidR="00815866" w:rsidP="00815866" w:rsidRDefault="00815866" w14:paraId="4B15EE94" w14:textId="77777777">
      <w:pPr>
        <w:numPr>
          <w:ilvl w:val="0"/>
          <w:numId w:val="3"/>
        </w:numPr>
        <w:ind w:firstLine="547"/>
      </w:pPr>
      <w:r w:rsidRPr="00815866">
        <w:t xml:space="preserve">The Commission sets electricity and natural gas efficiency savings “targets,” </w:t>
      </w:r>
      <w:r w:rsidRPr="00815866">
        <w:rPr>
          <w:i/>
          <w:iCs/>
        </w:rPr>
        <w:t>i.e.,</w:t>
      </w:r>
      <w:r w:rsidRPr="00815866">
        <w:t xml:space="preserve"> goals, for the IOUs.</w:t>
      </w:r>
    </w:p>
    <w:p w:rsidRPr="00815866" w:rsidR="00815866" w:rsidP="00815866" w:rsidRDefault="00815866" w14:paraId="236E90B7" w14:textId="77777777">
      <w:pPr>
        <w:numPr>
          <w:ilvl w:val="0"/>
          <w:numId w:val="3"/>
        </w:numPr>
        <w:ind w:firstLine="547"/>
      </w:pPr>
      <w:r w:rsidRPr="00815866">
        <w:t>The Commission’s policy objective in setting energy efficiency goals is to set goals that are realistic and aggressive, yet achievable.</w:t>
      </w:r>
    </w:p>
    <w:p w:rsidRPr="00815866" w:rsidR="00815866" w:rsidP="00815866" w:rsidRDefault="00815866" w14:paraId="63B27400" w14:textId="77777777">
      <w:pPr>
        <w:numPr>
          <w:ilvl w:val="0"/>
          <w:numId w:val="3"/>
        </w:numPr>
        <w:ind w:firstLine="547"/>
      </w:pPr>
      <w:r w:rsidRPr="00815866">
        <w:t>Scenario 2 of the 2023 final potential study includes reference assumptions for savings from IRA tax credits and for fuel substitution savings, and sets aggressive yet achievable energy savings goals.</w:t>
      </w:r>
    </w:p>
    <w:p w:rsidRPr="00815866" w:rsidR="00815866" w:rsidP="00815866" w:rsidRDefault="00815866" w14:paraId="501914B1" w14:textId="77777777">
      <w:pPr>
        <w:keepNext/>
        <w:keepLines/>
        <w:spacing w:after="120" w:line="240" w:lineRule="auto"/>
        <w:ind w:firstLine="0"/>
        <w:outlineLvl w:val="0"/>
        <w:rPr>
          <w:rFonts w:ascii="Arial" w:hAnsi="Arial" w:cs="Arial"/>
          <w:b/>
          <w:szCs w:val="26"/>
        </w:rPr>
      </w:pPr>
      <w:bookmarkStart w:name="_Toc119415997" w:id="23"/>
      <w:bookmarkStart w:name="_Toc142653825" w:id="24"/>
      <w:r w:rsidRPr="00815866">
        <w:rPr>
          <w:rFonts w:ascii="Arial" w:hAnsi="Arial" w:cs="Arial"/>
          <w:b/>
          <w:szCs w:val="26"/>
        </w:rPr>
        <w:t>Conclusions of Law</w:t>
      </w:r>
      <w:bookmarkEnd w:id="23"/>
      <w:bookmarkEnd w:id="24"/>
    </w:p>
    <w:p w:rsidRPr="00815866" w:rsidR="00815866" w:rsidP="00815866" w:rsidRDefault="00815866" w14:paraId="6D3BAB55" w14:textId="77777777">
      <w:pPr>
        <w:numPr>
          <w:ilvl w:val="0"/>
          <w:numId w:val="4"/>
        </w:numPr>
        <w:ind w:firstLine="547"/>
      </w:pPr>
      <w:r w:rsidRPr="00815866">
        <w:t>It is reasonable to establish goals that are “aggressive yet achievable,” and that reflect an accurate estimation of energy efficiency cost-effectiveness.</w:t>
      </w:r>
    </w:p>
    <w:p w:rsidRPr="00815866" w:rsidR="00815866" w:rsidP="00815866" w:rsidRDefault="00815866" w14:paraId="2528BE56" w14:textId="77777777">
      <w:pPr>
        <w:numPr>
          <w:ilvl w:val="0"/>
          <w:numId w:val="4"/>
        </w:numPr>
        <w:ind w:firstLine="547"/>
      </w:pPr>
      <w:r w:rsidRPr="00815866">
        <w:t>It is reasonable to adopt energy efficiency goals for 2024 – 2035 based on Scenario 2 of the 2023 final potential study, which includes reference assumptions for IRA tax credits and for fuel substitution savings, because it best reflects the Commission’s intent to set aggressive yet achievable energy savings goals.</w:t>
      </w:r>
    </w:p>
    <w:p w:rsidRPr="00815866" w:rsidR="00815866" w:rsidP="00815866" w:rsidRDefault="00815866" w14:paraId="271AB6CB" w14:textId="77777777">
      <w:pPr>
        <w:numPr>
          <w:ilvl w:val="0"/>
          <w:numId w:val="4"/>
        </w:numPr>
        <w:ind w:firstLine="547"/>
      </w:pPr>
      <w:r w:rsidRPr="00815866">
        <w:t xml:space="preserve">Because the 2023 potential study (draft and final) assumes energy savings from IRA tax credits, it is reasonable to provide explicit evaluation guidance to </w:t>
      </w:r>
      <w:r w:rsidRPr="00815866">
        <w:lastRenderedPageBreak/>
        <w:t>encourage implementers to leverage the IRA in marketing and promoting energy efficiency projects.</w:t>
      </w:r>
    </w:p>
    <w:p w:rsidRPr="00815866" w:rsidR="00815866" w:rsidP="00815866" w:rsidRDefault="00815866" w14:paraId="46E36383" w14:textId="77777777">
      <w:pPr>
        <w:keepNext/>
        <w:ind w:firstLine="0"/>
        <w:jc w:val="center"/>
        <w:outlineLvl w:val="0"/>
        <w:rPr>
          <w:rFonts w:ascii="Arial" w:hAnsi="Arial" w:eastAsiaTheme="majorEastAsia" w:cstheme="majorBidi"/>
          <w:b/>
          <w:caps/>
          <w:spacing w:val="120"/>
          <w:szCs w:val="56"/>
        </w:rPr>
      </w:pPr>
      <w:bookmarkStart w:name="_Toc119415998" w:id="25"/>
      <w:bookmarkStart w:name="_Toc142653826" w:id="26"/>
      <w:r w:rsidRPr="00815866">
        <w:rPr>
          <w:rFonts w:ascii="Arial" w:hAnsi="Arial" w:eastAsiaTheme="majorEastAsia" w:cstheme="majorBidi"/>
          <w:b/>
          <w:caps/>
          <w:spacing w:val="120"/>
          <w:szCs w:val="56"/>
        </w:rPr>
        <w:t>ORDER</w:t>
      </w:r>
      <w:bookmarkEnd w:id="25"/>
      <w:bookmarkEnd w:id="26"/>
    </w:p>
    <w:p w:rsidRPr="00815866" w:rsidR="00815866" w:rsidP="00815866" w:rsidRDefault="00815866" w14:paraId="1C6D634C" w14:textId="77777777">
      <w:pPr>
        <w:keepNext/>
      </w:pPr>
      <w:r w:rsidRPr="00815866">
        <w:rPr>
          <w:b/>
        </w:rPr>
        <w:t>IT IS ORDERED</w:t>
      </w:r>
      <w:r w:rsidRPr="00815866">
        <w:t xml:space="preserve"> that:</w:t>
      </w:r>
    </w:p>
    <w:p w:rsidRPr="00815866" w:rsidR="00815866" w:rsidP="00815866" w:rsidRDefault="00815866" w14:paraId="2B8711C2" w14:textId="77777777">
      <w:pPr>
        <w:numPr>
          <w:ilvl w:val="0"/>
          <w:numId w:val="5"/>
        </w:numPr>
      </w:pPr>
      <w:r w:rsidRPr="00815866">
        <w:t>The total system benefit and energy savings goals for 2024 – 2035 for Pacific Gas and Electric Company, San Diego Gas &amp; Electric Company, Southern California Edison Company, and Southern California Gas Company based on Scenario 2 of the 2023 final potential study are adopted as detailed in Section 5 of this decision.</w:t>
      </w:r>
    </w:p>
    <w:p w:rsidRPr="00815866" w:rsidR="00815866" w:rsidP="00815866" w:rsidRDefault="00815866" w14:paraId="77C10D53" w14:textId="77777777">
      <w:pPr>
        <w:numPr>
          <w:ilvl w:val="0"/>
          <w:numId w:val="5"/>
        </w:numPr>
      </w:pPr>
      <w:r w:rsidRPr="00815866">
        <w:t>Pacific Gas and Electric Company, San Diego Gas &amp; Electric Company, Southern California Edison Company, Southern California Gas Company, and all other energy efficiency portfolio administrators must collect and maintain documentation showing implementers’ involvement in using the Inflation Reduction Act (IRA) tax credits to influence customer adoption, for programs where marketing and promotion of IRA tax credits occurs. The portfolio administrators must take steps to identify which customers have received or plan to receive credit for IRA program influence in their ex-post evaluations.</w:t>
      </w:r>
    </w:p>
    <w:p w:rsidRPr="00815866" w:rsidR="00815866" w:rsidP="00815866" w:rsidRDefault="00815866" w14:paraId="44291ECA" w14:textId="77777777">
      <w:pPr>
        <w:numPr>
          <w:ilvl w:val="0"/>
          <w:numId w:val="5"/>
        </w:numPr>
      </w:pPr>
      <w:r w:rsidRPr="00815866">
        <w:rPr>
          <w:lang w:val="en"/>
        </w:rPr>
        <w:t xml:space="preserve">The Codes and Standards Statewide Advocacy Program budget allocations among Pacific Gas and Electric Company, San Diego Gas &amp; Electric Company, Southern California Edison Company, and Southern California Gas Company shall be aligned with the distribution methodology for codes and standards potential and goals established by the final 2023 potential study. Pacific Gas and Electric Company, San Diego Gas &amp; Electric Company, Southern California Edison Company, and Southern California Gas Company shall use the annual true-up advice letters that are to be submitted 60 days after the energy efficiency </w:t>
      </w:r>
      <w:r w:rsidRPr="00815866">
        <w:rPr>
          <w:lang w:val="en"/>
        </w:rPr>
        <w:lastRenderedPageBreak/>
        <w:t>goals are adopted to adjust their Codes and Standards budgets to align with their codes and standards potential in the final 2023 potential study.</w:t>
      </w:r>
    </w:p>
    <w:p w:rsidRPr="00815866" w:rsidR="00815866" w:rsidP="00815866" w:rsidRDefault="00815866" w14:paraId="788F0C1D" w14:textId="77777777">
      <w:pPr>
        <w:numPr>
          <w:ilvl w:val="0"/>
          <w:numId w:val="5"/>
        </w:numPr>
      </w:pPr>
      <w:r w:rsidRPr="00815866">
        <w:t>Rulemaking 13-11-005 remains open.</w:t>
      </w:r>
    </w:p>
    <w:p w:rsidRPr="00815866" w:rsidR="00815866" w:rsidP="00815866" w:rsidRDefault="00815866" w14:paraId="22D0A17C" w14:textId="77777777">
      <w:r w:rsidRPr="00815866">
        <w:t>This order is effective today.</w:t>
      </w:r>
    </w:p>
    <w:p w:rsidR="00815866" w:rsidP="00815866" w:rsidRDefault="00815866" w14:paraId="38CFC9B8" w14:textId="77777777">
      <w:r w:rsidRPr="00815866">
        <w:t>Dated August 10, 2023, at San Francisco, California.</w:t>
      </w:r>
    </w:p>
    <w:p w:rsidRPr="00815866" w:rsidR="00926BF4" w:rsidP="00926BF4" w:rsidRDefault="00926BF4" w14:paraId="782F95A4" w14:textId="77777777">
      <w:pPr>
        <w:spacing w:line="240" w:lineRule="auto"/>
      </w:pPr>
    </w:p>
    <w:p w:rsidRPr="00926BF4" w:rsidR="00843B10" w:rsidP="00926BF4" w:rsidRDefault="00843B10" w14:paraId="2783E3A8" w14:textId="77777777">
      <w:pPr>
        <w:pStyle w:val="NormalWeb"/>
        <w:ind w:left="4320"/>
        <w:contextualSpacing/>
        <w:rPr>
          <w:rFonts w:ascii="Book Antiqua" w:hAnsi="Book Antiqua" w:cs="Times New Roman"/>
          <w:color w:val="000000"/>
          <w:sz w:val="26"/>
          <w:szCs w:val="26"/>
        </w:rPr>
      </w:pPr>
      <w:bookmarkStart w:name="_Hlk17215919" w:id="27"/>
      <w:r w:rsidRPr="00926BF4">
        <w:rPr>
          <w:rFonts w:ascii="Book Antiqua" w:hAnsi="Book Antiqua" w:cs="Times New Roman"/>
          <w:color w:val="000000"/>
          <w:sz w:val="26"/>
          <w:szCs w:val="26"/>
        </w:rPr>
        <w:t>ALICE REYNOLDS</w:t>
      </w:r>
    </w:p>
    <w:p w:rsidRPr="00926BF4" w:rsidR="00843B10" w:rsidP="00926BF4" w:rsidRDefault="00843B10" w14:paraId="09C15C62" w14:textId="77777777">
      <w:pPr>
        <w:pStyle w:val="NormalWeb"/>
        <w:ind w:left="4320"/>
        <w:contextualSpacing/>
        <w:rPr>
          <w:rFonts w:ascii="Book Antiqua" w:hAnsi="Book Antiqua" w:cs="Times New Roman"/>
          <w:color w:val="000000"/>
          <w:sz w:val="26"/>
          <w:szCs w:val="26"/>
        </w:rPr>
      </w:pPr>
      <w:r w:rsidRPr="00926BF4">
        <w:rPr>
          <w:rFonts w:ascii="Book Antiqua" w:hAnsi="Book Antiqua" w:cs="Times New Roman"/>
          <w:color w:val="000000"/>
          <w:sz w:val="26"/>
          <w:szCs w:val="26"/>
        </w:rPr>
        <w:t>             President</w:t>
      </w:r>
    </w:p>
    <w:p w:rsidRPr="00926BF4" w:rsidR="00843B10" w:rsidP="00926BF4" w:rsidRDefault="00843B10" w14:paraId="5A01BF7E" w14:textId="77777777">
      <w:pPr>
        <w:pStyle w:val="NormalWeb"/>
        <w:ind w:left="4320"/>
        <w:contextualSpacing/>
        <w:rPr>
          <w:rFonts w:ascii="Book Antiqua" w:hAnsi="Book Antiqua" w:cs="Times New Roman"/>
          <w:color w:val="000000"/>
          <w:sz w:val="26"/>
          <w:szCs w:val="26"/>
        </w:rPr>
      </w:pPr>
      <w:r w:rsidRPr="00926BF4">
        <w:rPr>
          <w:rFonts w:ascii="Book Antiqua" w:hAnsi="Book Antiqua" w:cs="Times New Roman"/>
          <w:color w:val="000000"/>
          <w:sz w:val="26"/>
          <w:szCs w:val="26"/>
        </w:rPr>
        <w:t>GENEVIEVE SHIROMA</w:t>
      </w:r>
    </w:p>
    <w:p w:rsidRPr="00926BF4" w:rsidR="00843B10" w:rsidP="00926BF4" w:rsidRDefault="00843B10" w14:paraId="101C1ED7" w14:textId="77777777">
      <w:pPr>
        <w:pStyle w:val="NormalWeb"/>
        <w:ind w:left="4320"/>
        <w:contextualSpacing/>
        <w:rPr>
          <w:rFonts w:ascii="Book Antiqua" w:hAnsi="Book Antiqua" w:cs="Times New Roman"/>
          <w:color w:val="000000"/>
          <w:sz w:val="26"/>
          <w:szCs w:val="26"/>
        </w:rPr>
      </w:pPr>
      <w:r w:rsidRPr="00926BF4">
        <w:rPr>
          <w:rFonts w:ascii="Book Antiqua" w:hAnsi="Book Antiqua" w:cs="Times New Roman"/>
          <w:color w:val="000000"/>
          <w:sz w:val="26"/>
          <w:szCs w:val="26"/>
        </w:rPr>
        <w:t>DARCIE L. HOUCK</w:t>
      </w:r>
    </w:p>
    <w:p w:rsidRPr="00926BF4" w:rsidR="00843B10" w:rsidP="00926BF4" w:rsidRDefault="00843B10" w14:paraId="21D7DE52" w14:textId="77777777">
      <w:pPr>
        <w:pStyle w:val="NormalWeb"/>
        <w:ind w:left="4320"/>
        <w:contextualSpacing/>
        <w:rPr>
          <w:rFonts w:ascii="Book Antiqua" w:hAnsi="Book Antiqua" w:cs="Times New Roman"/>
          <w:color w:val="000000"/>
          <w:sz w:val="26"/>
          <w:szCs w:val="26"/>
        </w:rPr>
      </w:pPr>
      <w:r w:rsidRPr="00926BF4">
        <w:rPr>
          <w:rFonts w:ascii="Book Antiqua" w:hAnsi="Book Antiqua" w:cs="Times New Roman"/>
          <w:color w:val="000000"/>
          <w:sz w:val="26"/>
          <w:szCs w:val="26"/>
        </w:rPr>
        <w:t>JOHN REYNOLDS</w:t>
      </w:r>
    </w:p>
    <w:p w:rsidRPr="00926BF4" w:rsidR="00843B10" w:rsidP="00926BF4" w:rsidRDefault="00843B10" w14:paraId="3FF06D46" w14:textId="77777777">
      <w:pPr>
        <w:pStyle w:val="NormalWeb"/>
        <w:ind w:left="4320"/>
        <w:contextualSpacing/>
        <w:rPr>
          <w:rFonts w:ascii="Book Antiqua" w:hAnsi="Book Antiqua" w:cs="Times New Roman"/>
          <w:color w:val="000000"/>
          <w:sz w:val="26"/>
          <w:szCs w:val="26"/>
        </w:rPr>
      </w:pPr>
      <w:r w:rsidRPr="00926BF4">
        <w:rPr>
          <w:rFonts w:ascii="Book Antiqua" w:hAnsi="Book Antiqua" w:cs="Times New Roman"/>
          <w:color w:val="000000"/>
          <w:sz w:val="26"/>
          <w:szCs w:val="26"/>
        </w:rPr>
        <w:t>            Commissioners</w:t>
      </w:r>
    </w:p>
    <w:p w:rsidRPr="00926BF4" w:rsidR="00843B10" w:rsidP="00926BF4" w:rsidRDefault="00843B10" w14:paraId="555AC0A0" w14:textId="77777777">
      <w:pPr>
        <w:pStyle w:val="NormalWeb"/>
        <w:ind w:left="4320"/>
        <w:contextualSpacing/>
        <w:rPr>
          <w:rFonts w:ascii="Book Antiqua" w:hAnsi="Book Antiqua" w:cs="Times New Roman"/>
          <w:color w:val="000000"/>
          <w:sz w:val="26"/>
          <w:szCs w:val="26"/>
        </w:rPr>
      </w:pPr>
    </w:p>
    <w:p w:rsidRPr="00926BF4" w:rsidR="00843B10" w:rsidP="00926BF4" w:rsidRDefault="00843B10" w14:paraId="059CFE0F" w14:textId="48D26F03">
      <w:pPr>
        <w:pStyle w:val="NormalWeb"/>
        <w:ind w:left="4320"/>
        <w:contextualSpacing/>
        <w:rPr>
          <w:rFonts w:ascii="Book Antiqua" w:hAnsi="Book Antiqua" w:cs="Times New Roman"/>
          <w:color w:val="000000"/>
          <w:sz w:val="26"/>
          <w:szCs w:val="26"/>
        </w:rPr>
      </w:pPr>
      <w:r w:rsidRPr="00926BF4">
        <w:rPr>
          <w:rFonts w:ascii="Book Antiqua" w:hAnsi="Book Antiqua" w:cs="Times New Roman"/>
          <w:color w:val="000000"/>
          <w:sz w:val="26"/>
          <w:szCs w:val="26"/>
        </w:rPr>
        <w:t xml:space="preserve">Commissioner </w:t>
      </w:r>
      <w:r w:rsidRPr="00926BF4" w:rsidR="00926BF4">
        <w:rPr>
          <w:rFonts w:ascii="Book Antiqua" w:hAnsi="Book Antiqua" w:cs="Times New Roman"/>
          <w:color w:val="000000"/>
          <w:sz w:val="26"/>
          <w:szCs w:val="26"/>
        </w:rPr>
        <w:t>Karen Douglas</w:t>
      </w:r>
      <w:r w:rsidRPr="00926BF4">
        <w:rPr>
          <w:rFonts w:ascii="Book Antiqua" w:hAnsi="Book Antiqua" w:cs="Times New Roman"/>
          <w:color w:val="000000"/>
          <w:sz w:val="26"/>
          <w:szCs w:val="26"/>
        </w:rPr>
        <w:t>, being necessarily absent, did not participate.</w:t>
      </w:r>
    </w:p>
    <w:bookmarkEnd w:id="27"/>
    <w:p w:rsidRPr="00815866" w:rsidR="00815866" w:rsidP="00843B10" w:rsidRDefault="00815866" w14:paraId="0724F925" w14:textId="77777777">
      <w:pPr>
        <w:ind w:left="3780" w:firstLine="0"/>
        <w:sectPr w:rsidRPr="00815866" w:rsidR="00815866" w:rsidSect="00A1132A">
          <w:headerReference w:type="default" r:id="rId14"/>
          <w:footerReference w:type="default" r:id="rId15"/>
          <w:footerReference w:type="first" r:id="rId16"/>
          <w:pgSz w:w="12240" w:h="15840" w:code="1"/>
          <w:pgMar w:top="1728" w:right="1440" w:bottom="1440" w:left="1440" w:header="720" w:footer="720" w:gutter="0"/>
          <w:pgNumType w:start="1"/>
          <w:cols w:space="720"/>
          <w:titlePg/>
          <w:docGrid w:linePitch="360"/>
        </w:sectPr>
      </w:pPr>
    </w:p>
    <w:p w:rsidRPr="00815866" w:rsidR="00815866" w:rsidP="00815866" w:rsidRDefault="00815866" w14:paraId="560362FB" w14:textId="77777777">
      <w:pPr>
        <w:ind w:firstLine="0"/>
        <w:jc w:val="center"/>
        <w:rPr>
          <w:b/>
          <w:bCs/>
          <w:sz w:val="52"/>
          <w:szCs w:val="52"/>
        </w:rPr>
      </w:pPr>
      <w:r w:rsidRPr="00815866">
        <w:rPr>
          <w:b/>
          <w:bCs/>
          <w:sz w:val="52"/>
          <w:szCs w:val="52"/>
        </w:rPr>
        <w:lastRenderedPageBreak/>
        <w:t>ATTACHMENT 1</w:t>
      </w:r>
    </w:p>
    <w:p w:rsidRPr="00815866" w:rsidR="00815866" w:rsidP="00815866" w:rsidRDefault="00815866" w14:paraId="5AF91657" w14:textId="77777777">
      <w:pPr>
        <w:ind w:firstLine="0"/>
        <w:jc w:val="center"/>
        <w:rPr>
          <w:b/>
          <w:bCs/>
          <w:sz w:val="52"/>
          <w:szCs w:val="52"/>
        </w:rPr>
      </w:pPr>
      <w:r w:rsidRPr="00815866">
        <w:rPr>
          <w:b/>
          <w:bCs/>
          <w:sz w:val="52"/>
          <w:szCs w:val="52"/>
        </w:rPr>
        <w:t>REPORT TEMPLATE</w:t>
      </w:r>
      <w:bookmarkEnd w:id="3"/>
    </w:p>
    <w:sectPr w:rsidRPr="00815866" w:rsidR="00815866" w:rsidSect="001E51F7">
      <w:headerReference w:type="default" r:id="rId17"/>
      <w:footerReference w:type="default" r:id="rId18"/>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96B5" w14:textId="77777777" w:rsidR="000F69B7" w:rsidRDefault="000F69B7" w:rsidP="0098138E">
      <w:pPr>
        <w:spacing w:line="240" w:lineRule="auto"/>
      </w:pPr>
      <w:r>
        <w:separator/>
      </w:r>
    </w:p>
  </w:endnote>
  <w:endnote w:type="continuationSeparator" w:id="0">
    <w:p w14:paraId="1D4E5CBE" w14:textId="77777777" w:rsidR="000F69B7" w:rsidRDefault="000F69B7"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3514" w14:textId="556352FD" w:rsidR="00F92385" w:rsidRDefault="00C22D54" w:rsidP="00C22D54">
    <w:pPr>
      <w:ind w:firstLine="0"/>
    </w:pPr>
    <w:r w:rsidRPr="00C22D54">
      <w:rPr>
        <w:sz w:val="16"/>
        <w:szCs w:val="16"/>
      </w:rPr>
      <w:t>517027629</w:t>
    </w:r>
    <w:r>
      <w:tab/>
    </w:r>
    <w:r>
      <w:tab/>
    </w:r>
    <w:r>
      <w:tab/>
    </w:r>
    <w:r>
      <w:tab/>
    </w:r>
    <w:r>
      <w:tab/>
    </w:r>
    <w:r w:rsidR="00F92385">
      <w:t>-</w:t>
    </w:r>
    <w:sdt>
      <w:sdtPr>
        <w:id w:val="-1472208903"/>
        <w:docPartObj>
          <w:docPartGallery w:val="Page Numbers (Bottom of Page)"/>
          <w:docPartUnique/>
        </w:docPartObj>
      </w:sdtPr>
      <w:sdtEndPr>
        <w:rPr>
          <w:noProof/>
        </w:rPr>
      </w:sdtEndPr>
      <w:sdtContent>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r w:rsidR="00F92385">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867A" w14:textId="5F70B9D9" w:rsidR="00632207" w:rsidRDefault="00000000" w:rsidP="007E0FEE">
    <w:pPr>
      <w:tabs>
        <w:tab w:val="center" w:pos="4680"/>
      </w:tabs>
      <w:ind w:firstLine="0"/>
      <w:rPr>
        <w:noProof/>
      </w:rPr>
    </w:pPr>
    <w:sdt>
      <w:sdtPr>
        <w:id w:val="-1352874971"/>
        <w:docPartObj>
          <w:docPartGallery w:val="Page Numbers (Bottom of Page)"/>
          <w:docPartUnique/>
        </w:docPartObj>
      </w:sdtPr>
      <w:sdtEndPr>
        <w:rPr>
          <w:noProof/>
        </w:rPr>
      </w:sdtEndPr>
      <w:sdtContent>
        <w:r w:rsidR="00632207">
          <w:rPr>
            <w:rFonts w:ascii="Arial" w:hAnsi="Arial" w:cs="Arial"/>
            <w:sz w:val="16"/>
            <w:szCs w:val="16"/>
          </w:rPr>
          <w:tab/>
        </w:r>
        <w:r w:rsidR="00F92385">
          <w:t>-</w:t>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sdtContent>
    </w:sdt>
    <w:r w:rsidR="00EE4315">
      <w:rPr>
        <w:noProof/>
      </w:rPr>
      <w:t xml:space="preserve"> </w:t>
    </w:r>
    <w:r w:rsidR="00F92385">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8D88" w14:textId="5EDC150B"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E90F" w14:textId="77777777" w:rsidR="00815866" w:rsidRDefault="00815866" w:rsidP="001A45A6">
    <w:pPr>
      <w:pStyle w:val="Footer"/>
      <w:ind w:firstLine="0"/>
      <w:jc w:val="center"/>
    </w:pPr>
    <w:r>
      <w:t xml:space="preserve">- </w:t>
    </w:r>
    <w:sdt>
      <w:sdtPr>
        <w:id w:val="-6626196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w:t>
        </w:r>
        <w:r>
          <w:rPr>
            <w:noProof/>
          </w:rPr>
          <w:fldChar w:fldCharType="end"/>
        </w:r>
        <w:r>
          <w:rPr>
            <w:noProof/>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B57C" w14:textId="77777777" w:rsidR="00815866" w:rsidRDefault="00815866" w:rsidP="0018169E">
    <w:pPr>
      <w:pStyle w:val="Footer"/>
      <w:ind w:firstLine="0"/>
    </w:pPr>
    <w:r w:rsidRPr="007F773C">
      <w:rPr>
        <w:sz w:val="16"/>
        <w:szCs w:val="16"/>
      </w:rPr>
      <w:t>517027608</w:t>
    </w:r>
    <w:r>
      <w:tab/>
      <w:t xml:space="preserve">- </w:t>
    </w:r>
    <w:sdt>
      <w:sdtPr>
        <w:id w:val="-7897425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t xml:space="preserve"> -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55D1" w14:textId="57C23846"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rsidR="009853EA">
          <w:t>1</w:t>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7156" w14:textId="77777777" w:rsidR="000F69B7" w:rsidRDefault="000F69B7" w:rsidP="00DF58E7">
      <w:pPr>
        <w:spacing w:line="240" w:lineRule="auto"/>
        <w:ind w:firstLine="0"/>
      </w:pPr>
      <w:r>
        <w:separator/>
      </w:r>
    </w:p>
  </w:footnote>
  <w:footnote w:type="continuationSeparator" w:id="0">
    <w:p w14:paraId="1CE1C61B" w14:textId="77777777" w:rsidR="000F69B7" w:rsidRDefault="000F69B7" w:rsidP="00DF58E7">
      <w:pPr>
        <w:spacing w:line="240" w:lineRule="auto"/>
        <w:ind w:firstLine="0"/>
      </w:pPr>
      <w:r>
        <w:continuationSeparator/>
      </w:r>
    </w:p>
  </w:footnote>
  <w:footnote w:type="continuationNotice" w:id="1">
    <w:p w14:paraId="068E91F1" w14:textId="77777777" w:rsidR="000F69B7" w:rsidRPr="00DF58E7" w:rsidRDefault="000F69B7" w:rsidP="00DF58E7">
      <w:pPr>
        <w:spacing w:line="240" w:lineRule="auto"/>
        <w:ind w:firstLine="0"/>
        <w:jc w:val="right"/>
        <w:rPr>
          <w:i/>
          <w:sz w:val="22"/>
        </w:rPr>
      </w:pPr>
      <w:r w:rsidRPr="00DF58E7">
        <w:rPr>
          <w:i/>
          <w:sz w:val="22"/>
        </w:rPr>
        <w:t>Footnote continued on next page.</w:t>
      </w:r>
    </w:p>
  </w:footnote>
  <w:footnote w:id="2">
    <w:p w14:paraId="0BF5B6D3" w14:textId="77777777" w:rsidR="00815866" w:rsidRDefault="00815866" w:rsidP="00815866">
      <w:pPr>
        <w:pStyle w:val="FootnoteText"/>
      </w:pPr>
      <w:r>
        <w:rPr>
          <w:rStyle w:val="FootnoteReference"/>
        </w:rPr>
        <w:footnoteRef/>
      </w:r>
      <w:r>
        <w:t xml:space="preserve">  Pub. Util. Code §</w:t>
      </w:r>
      <w:r w:rsidRPr="008A690E">
        <w:t>454.55(a)(1): “</w:t>
      </w:r>
      <w:r w:rsidRPr="00E7087D">
        <w:t>The commission, in consultation with the Energy Commission, shall identify all potentially achievable cost-effective electricity efficiency savings and establish efficiency targets for an electrical corporation to achieve, pursuant to Section 454.5, consistent with the targets established pursuant to subdivision (c) of Section 253</w:t>
      </w:r>
      <w:r>
        <w:t>10 of the Public Resources Code</w:t>
      </w:r>
      <w:r w:rsidRPr="008A690E">
        <w:t>.” Pub.</w:t>
      </w:r>
      <w:r>
        <w:t xml:space="preserve"> </w:t>
      </w:r>
      <w:r w:rsidRPr="008A690E">
        <w:t>Util. Code § 454.56:</w:t>
      </w:r>
      <w:r>
        <w:t xml:space="preserve"> </w:t>
      </w:r>
      <w:r w:rsidRPr="008A690E">
        <w:t xml:space="preserve">“(a) </w:t>
      </w:r>
      <w:r w:rsidRPr="00E7087D">
        <w:t>The commission, in consultation with the Energy Commission, shall identify all potentially achievable cost-effective natural gas efficiency savings and establish efficiency targets for the gas corporation to achieve, consistent with the targets established pursuant to subdivision (c) of Section 25310 of the Public Resources Code</w:t>
      </w:r>
      <w:r w:rsidRPr="008A690E">
        <w:t>.”</w:t>
      </w:r>
    </w:p>
  </w:footnote>
  <w:footnote w:id="3">
    <w:p w14:paraId="6C737F1D" w14:textId="77777777" w:rsidR="00815866" w:rsidRDefault="00815866" w:rsidP="00815866">
      <w:pPr>
        <w:pStyle w:val="FootnoteText"/>
      </w:pPr>
      <w:r>
        <w:rPr>
          <w:rStyle w:val="FootnoteReference"/>
        </w:rPr>
        <w:footnoteRef/>
      </w:r>
      <w:r>
        <w:t xml:space="preserve">  The large IOUs are Pacific Gas and Electric Company, San Diego Gas &amp; Electric Company, Southern California Edison Company, and Southern California Gas Company.</w:t>
      </w:r>
    </w:p>
  </w:footnote>
  <w:footnote w:id="4">
    <w:p w14:paraId="25E059CC" w14:textId="77777777" w:rsidR="00815866" w:rsidRDefault="00815866" w:rsidP="00815866">
      <w:pPr>
        <w:pStyle w:val="FootnoteText"/>
      </w:pPr>
      <w:r>
        <w:rPr>
          <w:rStyle w:val="FootnoteReference"/>
        </w:rPr>
        <w:footnoteRef/>
      </w:r>
      <w:r>
        <w:t xml:space="preserve">  D.15-10-028 </w:t>
      </w:r>
      <w:r w:rsidRPr="00F0338E">
        <w:rPr>
          <w:i/>
          <w:iCs/>
        </w:rPr>
        <w:t>Decision Re Energy Efficiency Goals for 2016 and Beyond and Energy Efficiency Rolling Portfolio Mechanics</w:t>
      </w:r>
      <w:r>
        <w:t xml:space="preserve">, issued October 28, 2015 at 11-17; D.14-10-046 </w:t>
      </w:r>
      <w:r w:rsidRPr="00F0338E">
        <w:rPr>
          <w:i/>
          <w:iCs/>
        </w:rPr>
        <w:t>Decision Establishing Energy Efficiency Savings Goals and Approving 2015 Energy Efficiency Programs and Budgets (Concludes Phase I of R.13-11-005)</w:t>
      </w:r>
      <w:r>
        <w:t xml:space="preserve">, issued October 24, 2014 at 15-16; D.12-05-015 </w:t>
      </w:r>
      <w:r w:rsidRPr="00F0338E">
        <w:rPr>
          <w:i/>
          <w:iCs/>
        </w:rPr>
        <w:t>Decision Providing Guidance on 2013-2014 Energy Efficiency Portfolios and 2012 Marketing, Education, and Outreach</w:t>
      </w:r>
      <w:r>
        <w:t>, issued May 8, 2012, at 81.</w:t>
      </w:r>
    </w:p>
  </w:footnote>
  <w:footnote w:id="5">
    <w:p w14:paraId="2AE1AE11" w14:textId="77777777" w:rsidR="00815866" w:rsidRDefault="00815866" w:rsidP="00815866">
      <w:pPr>
        <w:pStyle w:val="FootnoteText"/>
      </w:pPr>
      <w:r>
        <w:rPr>
          <w:rStyle w:val="FootnoteReference"/>
        </w:rPr>
        <w:footnoteRef/>
      </w:r>
      <w:r>
        <w:t xml:space="preserve"> </w:t>
      </w:r>
      <w:r w:rsidRPr="0000561E">
        <w:t>Guidehouse also conducted a separate potential study for the low-income sector.</w:t>
      </w:r>
    </w:p>
  </w:footnote>
  <w:footnote w:id="6">
    <w:p w14:paraId="2EDF9C8A" w14:textId="77777777" w:rsidR="00815866" w:rsidRDefault="00815866" w:rsidP="00815866">
      <w:pPr>
        <w:pStyle w:val="FootnoteText"/>
      </w:pPr>
      <w:r>
        <w:rPr>
          <w:rStyle w:val="FootnoteReference"/>
        </w:rPr>
        <w:footnoteRef/>
      </w:r>
      <w:r>
        <w:t xml:space="preserve">  The final date to file comments on the April 17, 2023, ruling was May 8, 2023. SPAN’s comments were accepted for filing on May 9, 2023; the assigned ALJ permitted Docket Office to file SPAN’s comments without requiring a motion for acceptance of a late-filed document. </w:t>
      </w:r>
    </w:p>
  </w:footnote>
  <w:footnote w:id="7">
    <w:p w14:paraId="53853638" w14:textId="77777777" w:rsidR="00815866" w:rsidRDefault="00815866" w:rsidP="00815866">
      <w:pPr>
        <w:pStyle w:val="FootnoteText"/>
      </w:pPr>
      <w:r>
        <w:rPr>
          <w:rStyle w:val="FootnoteReference"/>
        </w:rPr>
        <w:footnoteRef/>
      </w:r>
      <w:r>
        <w:t xml:space="preserve">  Cal Advocates comments, at 2.</w:t>
      </w:r>
    </w:p>
  </w:footnote>
  <w:footnote w:id="8">
    <w:p w14:paraId="387DE540" w14:textId="77777777" w:rsidR="00815866" w:rsidRDefault="00815866" w:rsidP="00815866">
      <w:pPr>
        <w:pStyle w:val="FootnoteText"/>
      </w:pPr>
      <w:r>
        <w:rPr>
          <w:rStyle w:val="FootnoteReference"/>
        </w:rPr>
        <w:footnoteRef/>
      </w:r>
      <w:r>
        <w:t xml:space="preserve">  SCE comments, at 7-8.</w:t>
      </w:r>
    </w:p>
  </w:footnote>
  <w:footnote w:id="9">
    <w:p w14:paraId="50D09919" w14:textId="77777777" w:rsidR="00815866" w:rsidRDefault="00815866" w:rsidP="00815866">
      <w:pPr>
        <w:pStyle w:val="FootnoteText"/>
      </w:pPr>
      <w:r>
        <w:rPr>
          <w:rStyle w:val="FootnoteReference"/>
        </w:rPr>
        <w:footnoteRef/>
      </w:r>
      <w:r>
        <w:t xml:space="preserve">  CEDMC reply comments, at 2-4. CEDMC’s comments supported adoption of Scenario 4, but in reply comments expressed support for Scenario 1.</w:t>
      </w:r>
    </w:p>
  </w:footnote>
  <w:footnote w:id="10">
    <w:p w14:paraId="6D8E2D8B" w14:textId="77777777" w:rsidR="00815866" w:rsidRDefault="00815866" w:rsidP="00815866">
      <w:pPr>
        <w:pStyle w:val="FootnoteText"/>
      </w:pPr>
      <w:r>
        <w:rPr>
          <w:rStyle w:val="FootnoteReference"/>
        </w:rPr>
        <w:footnoteRef/>
      </w:r>
      <w:r>
        <w:t xml:space="preserve">  NRDC comments, at 6; PG&amp;E comments, at 1-4; SBUA comments, at 1; BayREN and 3C-REN comments, at 2-3; SoCalREN comments, at 4-5; and SDG&amp;E comments, at 1-3.</w:t>
      </w:r>
    </w:p>
  </w:footnote>
  <w:footnote w:id="11">
    <w:p w14:paraId="0276290F" w14:textId="77777777" w:rsidR="00815866" w:rsidRDefault="00815866" w:rsidP="00815866">
      <w:pPr>
        <w:pStyle w:val="FootnoteText"/>
      </w:pPr>
      <w:r>
        <w:rPr>
          <w:rStyle w:val="FootnoteReference"/>
        </w:rPr>
        <w:footnoteRef/>
      </w:r>
      <w:r>
        <w:t xml:space="preserve">  SoCalGas comments, at 2-3.</w:t>
      </w:r>
    </w:p>
  </w:footnote>
  <w:footnote w:id="12">
    <w:p w14:paraId="0A11C5CC" w14:textId="77777777" w:rsidR="00815866" w:rsidRDefault="00815866" w:rsidP="00815866">
      <w:pPr>
        <w:pStyle w:val="FootnoteText"/>
      </w:pPr>
      <w:r>
        <w:rPr>
          <w:rStyle w:val="FootnoteReference"/>
        </w:rPr>
        <w:footnoteRef/>
      </w:r>
      <w:r>
        <w:t xml:space="preserve"> California Standard Practice Manual:  Economic Analysis of Demand-Side Programs and Projects, October 2001, at 29-32. Uniform resource locator (url): </w:t>
      </w:r>
      <w:hyperlink r:id="rId1" w:history="1">
        <w:r w:rsidRPr="00A23A22">
          <w:rPr>
            <w:rStyle w:val="Hyperlink"/>
          </w:rPr>
          <w:t>https://www.cpuc.ca.gov/-/media/cpuc-website/files/uploadedfiles/cpuc_public_website/content/utilities_and_industries/energy_-_electricity_and_natural_gas/cpuc-standard-practice-manual.pdf</w:t>
        </w:r>
      </w:hyperlink>
      <w:r>
        <w:t xml:space="preserve"> </w:t>
      </w:r>
    </w:p>
  </w:footnote>
  <w:footnote w:id="13">
    <w:p w14:paraId="66DDD011" w14:textId="77777777" w:rsidR="00815866" w:rsidRDefault="00815866" w:rsidP="00815866">
      <w:pPr>
        <w:pStyle w:val="FootnoteText"/>
      </w:pPr>
      <w:r>
        <w:rPr>
          <w:rStyle w:val="FootnoteReference"/>
        </w:rPr>
        <w:footnoteRef/>
      </w:r>
      <w:r>
        <w:t xml:space="preserve"> Cal Advocates comments, at 6; and PG&amp;E comments, at 5.</w:t>
      </w:r>
    </w:p>
  </w:footnote>
  <w:footnote w:id="14">
    <w:p w14:paraId="66840C68" w14:textId="77777777" w:rsidR="00815866" w:rsidRDefault="00815866" w:rsidP="00815866">
      <w:pPr>
        <w:pStyle w:val="FootnoteText"/>
      </w:pPr>
      <w:r>
        <w:rPr>
          <w:rStyle w:val="FootnoteReference"/>
        </w:rPr>
        <w:footnoteRef/>
      </w:r>
      <w:r>
        <w:t xml:space="preserve"> NRDC comments, at 8.</w:t>
      </w:r>
    </w:p>
  </w:footnote>
  <w:footnote w:id="15">
    <w:p w14:paraId="72DCE671" w14:textId="77777777" w:rsidR="00815866" w:rsidRDefault="00815866" w:rsidP="00815866">
      <w:pPr>
        <w:pStyle w:val="FootnoteText"/>
      </w:pPr>
      <w:r>
        <w:rPr>
          <w:rStyle w:val="FootnoteReference"/>
        </w:rPr>
        <w:footnoteRef/>
      </w:r>
      <w:r>
        <w:t xml:space="preserve"> SoCalGas comments, at 3.</w:t>
      </w:r>
    </w:p>
  </w:footnote>
  <w:footnote w:id="16">
    <w:p w14:paraId="1F817623" w14:textId="77777777" w:rsidR="00815866" w:rsidRDefault="00815866" w:rsidP="00815866">
      <w:pPr>
        <w:pStyle w:val="FootnoteText"/>
      </w:pPr>
      <w:r>
        <w:rPr>
          <w:rStyle w:val="FootnoteReference"/>
        </w:rPr>
        <w:footnoteRef/>
      </w:r>
      <w:r>
        <w:t xml:space="preserve"> SDG&amp;E comments, at 4-5. NTG ratio is “a factor representing net program load impacts divided by gross program load impacts that is applied to gross program load impacts to convert them into net program load impacts.” Gross load impact is the “</w:t>
      </w:r>
      <w:r w:rsidRPr="00AB0E76">
        <w:t xml:space="preserve">change in energy consumption and/or demand that results directly from program-related actions taken by participants in a </w:t>
      </w:r>
      <w:r>
        <w:t xml:space="preserve">[demand-side management, or DSM] </w:t>
      </w:r>
      <w:r w:rsidRPr="00AB0E76">
        <w:t>program, regardless of why they participated.</w:t>
      </w:r>
      <w:r>
        <w:t>” Net load impact is the “total change in load that is attributable to the utility DSM program. This change in load may include, implicitly or explicitly, the effects of free-drivers, free-riders, state or federal energy efficiency standards, changes in the level of energy service and natural change effects.”</w:t>
      </w:r>
      <w:r w:rsidRPr="00A16595">
        <w:rPr>
          <w:i/>
          <w:iCs/>
        </w:rPr>
        <w:t xml:space="preserve"> See </w:t>
      </w:r>
      <w:r>
        <w:t xml:space="preserve">California Energy Efficiency Evaluation Protocols:  Technical, Methodological, and Reporting Requirements for Evaluation Professionals, April 2006, Appendix B (Glossary of Terms). Url: </w:t>
      </w:r>
      <w:r w:rsidRPr="009C5B97">
        <w:t>https://www.cpuc.ca.gov/-/media/cpuc-website/files/legacyfiles/c/5212-caenergyefficiencyevaluationprotocols.doc</w:t>
      </w:r>
    </w:p>
  </w:footnote>
  <w:footnote w:id="17">
    <w:p w14:paraId="449DE492" w14:textId="77777777" w:rsidR="00815866" w:rsidRDefault="00815866" w:rsidP="00815866">
      <w:pPr>
        <w:pStyle w:val="FootnoteText"/>
      </w:pPr>
      <w:r>
        <w:rPr>
          <w:rStyle w:val="FootnoteReference"/>
        </w:rPr>
        <w:footnoteRef/>
      </w:r>
      <w:r>
        <w:t xml:space="preserve"> SCE comments, at 10. Incentive stacking, also referred to as layering, refers to the availability of multiple program incentives, with each program having different funding sources, design requirements, goals, and evaluation methodologies, for a given measure (e.g., electric heat pump water heaters). D.21-11-002 adopted a set of guiding principles for the layering of incentives from various building decarbonization programs. </w:t>
      </w:r>
      <w:r w:rsidRPr="000A0D13">
        <w:rPr>
          <w:i/>
          <w:iCs/>
        </w:rPr>
        <w:t>See</w:t>
      </w:r>
      <w:r>
        <w:t xml:space="preserve"> D.21-11-002, at Section 2.</w:t>
      </w:r>
    </w:p>
  </w:footnote>
  <w:footnote w:id="18">
    <w:p w14:paraId="7856964B" w14:textId="77777777" w:rsidR="00815866" w:rsidRDefault="00815866" w:rsidP="00815866">
      <w:pPr>
        <w:pStyle w:val="FootnoteText"/>
      </w:pPr>
      <w:r>
        <w:rPr>
          <w:rStyle w:val="FootnoteReference"/>
        </w:rPr>
        <w:footnoteRef/>
      </w:r>
      <w:r>
        <w:t xml:space="preserve"> CEDMC comments, at 6. The federal government’s Justice40 Initiative establishes a goal that 40 percent of the overall benefits of certain Federal investments flow to disadvantaged communities that are marginalized, underserved, and overburdened by pollution. </w:t>
      </w:r>
      <w:r w:rsidRPr="000A0D13">
        <w:rPr>
          <w:i/>
          <w:iCs/>
        </w:rPr>
        <w:t>See</w:t>
      </w:r>
      <w:r>
        <w:t xml:space="preserve"> Executive Order 14008, Sec. 223. url: </w:t>
      </w:r>
      <w:r w:rsidRPr="005D4BAC">
        <w:t>https://www.whitehouse.gov/briefing-room/presidential-actions/2021/01/27/executive-order-on-tackling-the-climate-crisis-at-home-and-abroad/</w:t>
      </w:r>
    </w:p>
  </w:footnote>
  <w:footnote w:id="19">
    <w:p w14:paraId="2CD0B29C" w14:textId="77777777" w:rsidR="00815866" w:rsidRDefault="00815866" w:rsidP="00815866">
      <w:pPr>
        <w:pStyle w:val="FootnoteText"/>
      </w:pPr>
      <w:r>
        <w:rPr>
          <w:rStyle w:val="FootnoteReference"/>
        </w:rPr>
        <w:footnoteRef/>
      </w:r>
      <w:r>
        <w:t xml:space="preserve"> Cal Advocates comments, at 7-8; CEDMC comments, at 7 and reply comments, at 3-4; SBUA comments, at 2; SCE comments, at 11; PG&amp;E comments, at 7; R-REN reply comments, at 1-2; and SJVCEO reply comments, at 3-4.</w:t>
      </w:r>
    </w:p>
  </w:footnote>
  <w:footnote w:id="20">
    <w:p w14:paraId="5D60CBC8" w14:textId="77777777" w:rsidR="00815866" w:rsidRDefault="00815866" w:rsidP="00815866">
      <w:pPr>
        <w:pStyle w:val="FootnoteText"/>
      </w:pPr>
      <w:r>
        <w:rPr>
          <w:rStyle w:val="FootnoteReference"/>
        </w:rPr>
        <w:footnoteRef/>
      </w:r>
      <w:r>
        <w:t xml:space="preserve"> NRDC comments, at 9-11 and NRDC/Sierra Club reply comments, at 2-3.</w:t>
      </w:r>
    </w:p>
  </w:footnote>
  <w:footnote w:id="21">
    <w:p w14:paraId="6576B1F0" w14:textId="77777777" w:rsidR="00815866" w:rsidRDefault="00815866" w:rsidP="00815866">
      <w:pPr>
        <w:pStyle w:val="FootnoteText"/>
      </w:pPr>
      <w:r>
        <w:rPr>
          <w:rStyle w:val="FootnoteReference"/>
        </w:rPr>
        <w:footnoteRef/>
      </w:r>
      <w:r>
        <w:t xml:space="preserve"> BayREN/3C-REN comments, at 2-3; NRDC comments, at 3; and SoCalGas comments, at 4.</w:t>
      </w:r>
    </w:p>
  </w:footnote>
  <w:footnote w:id="22">
    <w:p w14:paraId="15952ED0" w14:textId="77777777" w:rsidR="00815866" w:rsidRDefault="00815866" w:rsidP="00815866">
      <w:pPr>
        <w:pStyle w:val="FootnoteText"/>
      </w:pPr>
      <w:r>
        <w:rPr>
          <w:rStyle w:val="FootnoteReference"/>
        </w:rPr>
        <w:footnoteRef/>
      </w:r>
      <w:r>
        <w:t xml:space="preserve"> D.21-09-037, at 16-17.</w:t>
      </w:r>
    </w:p>
  </w:footnote>
  <w:footnote w:id="23">
    <w:p w14:paraId="1731A740" w14:textId="77777777" w:rsidR="00815866" w:rsidRDefault="00815866" w:rsidP="00815866">
      <w:pPr>
        <w:pStyle w:val="FootnoteText"/>
      </w:pPr>
      <w:r>
        <w:rPr>
          <w:rStyle w:val="FootnoteReference"/>
        </w:rPr>
        <w:footnoteRef/>
      </w:r>
      <w:r>
        <w:t xml:space="preserve"> PG&amp;E comments, at 10; BayREN and 3C-REN comments, at 6; and NRDC comments, at 11.</w:t>
      </w:r>
    </w:p>
  </w:footnote>
  <w:footnote w:id="24">
    <w:p w14:paraId="66E9F2E0" w14:textId="77777777" w:rsidR="00815866" w:rsidRDefault="00815866" w:rsidP="00815866">
      <w:pPr>
        <w:pStyle w:val="FootnoteText"/>
      </w:pPr>
      <w:r>
        <w:rPr>
          <w:rStyle w:val="FootnoteReference"/>
        </w:rPr>
        <w:footnoteRef/>
      </w:r>
      <w:r>
        <w:t xml:space="preserve"> Cal Advocates comments, at 12. A panel upgrade, for instance increasing the size of the electrical panel to accommodate added electric load, may be needed when substituting gas technologies for electric technologies. </w:t>
      </w:r>
      <w:r w:rsidRPr="00760CAF">
        <w:rPr>
          <w:i/>
          <w:iCs/>
        </w:rPr>
        <w:t xml:space="preserve">See </w:t>
      </w:r>
      <w:r>
        <w:t>Appendix C of the draft study.</w:t>
      </w:r>
    </w:p>
  </w:footnote>
  <w:footnote w:id="25">
    <w:p w14:paraId="38177728" w14:textId="77777777" w:rsidR="00815866" w:rsidRDefault="00815866" w:rsidP="00815866">
      <w:pPr>
        <w:pStyle w:val="FootnoteText"/>
      </w:pPr>
      <w:r>
        <w:rPr>
          <w:rStyle w:val="FootnoteReference"/>
        </w:rPr>
        <w:footnoteRef/>
      </w:r>
      <w:r>
        <w:t xml:space="preserve"> SPAN comments, at 4; and NRDC comments, at 5. SPAN’s comments refer to smart panels as “a one-for-one replacement of the traditional residential electrical breaker box. Intelligent hardware is included in smart panels that can enable whole-home electrification, including the installation of rooftop solar, backup battery, heat pump heating, ventilation and air conditioning (‘HVAC’), hot water heaters, induction cooking, and electric vehicle (‘EV’) charging without the need for expensive utility service upgrades.” SPAN comments, at 1-2.</w:t>
      </w:r>
    </w:p>
  </w:footnote>
  <w:footnote w:id="26">
    <w:p w14:paraId="77431611" w14:textId="77777777" w:rsidR="00815866" w:rsidRDefault="00815866" w:rsidP="00815866">
      <w:pPr>
        <w:pStyle w:val="FootnoteText"/>
      </w:pPr>
      <w:r>
        <w:rPr>
          <w:rStyle w:val="FootnoteReference"/>
        </w:rPr>
        <w:footnoteRef/>
      </w:r>
      <w:r>
        <w:t xml:space="preserve"> SCE comments, at 13-14; and SDG&amp;E comments, at 9-10.</w:t>
      </w:r>
    </w:p>
  </w:footnote>
  <w:footnote w:id="27">
    <w:p w14:paraId="63B27087" w14:textId="77777777" w:rsidR="00815866" w:rsidRDefault="00815866" w:rsidP="00815866">
      <w:pPr>
        <w:pStyle w:val="FootnoteText"/>
      </w:pPr>
      <w:r>
        <w:rPr>
          <w:rStyle w:val="FootnoteReference"/>
        </w:rPr>
        <w:footnoteRef/>
      </w:r>
      <w:r>
        <w:t xml:space="preserve"> </w:t>
      </w:r>
      <w:r w:rsidRPr="00760CAF">
        <w:rPr>
          <w:i/>
          <w:iCs/>
        </w:rPr>
        <w:t>See</w:t>
      </w:r>
      <w:r>
        <w:t xml:space="preserve"> D.23-04-035, at 25-26 and Ordering Paragraph 7.</w:t>
      </w:r>
    </w:p>
  </w:footnote>
  <w:footnote w:id="28">
    <w:p w14:paraId="4F93C9AD" w14:textId="77777777" w:rsidR="00815866" w:rsidRDefault="00815866" w:rsidP="00815866">
      <w:pPr>
        <w:pStyle w:val="FootnoteText"/>
      </w:pPr>
      <w:r>
        <w:rPr>
          <w:rStyle w:val="FootnoteReference"/>
        </w:rPr>
        <w:footnoteRef/>
      </w:r>
      <w:r>
        <w:t xml:space="preserve"> California Air Resources Board, “2022 State Strategy for the State Implementation Plan,” Adopted September 22, 2022. url: https://ww2.arb.ca.gov/sites/default/files/2022-08/2022_State_SIP_Strategy.pdf</w:t>
      </w:r>
    </w:p>
  </w:footnote>
  <w:footnote w:id="29">
    <w:p w14:paraId="73ACDB7E" w14:textId="77777777" w:rsidR="00815866" w:rsidRDefault="00815866" w:rsidP="00815866">
      <w:pPr>
        <w:pStyle w:val="FootnoteText"/>
      </w:pPr>
      <w:r>
        <w:rPr>
          <w:rStyle w:val="FootnoteReference"/>
        </w:rPr>
        <w:footnoteRef/>
      </w:r>
      <w:r>
        <w:t xml:space="preserve"> Cal Advocates comments, at 10-11; BayREN and 3C-REN comments, at 5; and SCE comments, at 12 agree. CEDMC comments, at 8; SoCalGas comments, at 5; and SoCalREN comments, at 6 explicitly do not address.</w:t>
      </w:r>
    </w:p>
  </w:footnote>
  <w:footnote w:id="30">
    <w:p w14:paraId="496D7552" w14:textId="77777777" w:rsidR="00815866" w:rsidRDefault="00815866" w:rsidP="00815866">
      <w:pPr>
        <w:pStyle w:val="FootnoteText"/>
      </w:pPr>
      <w:r>
        <w:rPr>
          <w:rStyle w:val="FootnoteReference"/>
        </w:rPr>
        <w:footnoteRef/>
      </w:r>
      <w:r>
        <w:t xml:space="preserve"> NRDC comments, at 11.</w:t>
      </w:r>
    </w:p>
  </w:footnote>
  <w:footnote w:id="31">
    <w:p w14:paraId="073AB112" w14:textId="77777777" w:rsidR="00815866" w:rsidRDefault="00815866" w:rsidP="00815866">
      <w:pPr>
        <w:pStyle w:val="FootnoteText"/>
      </w:pPr>
      <w:r>
        <w:rPr>
          <w:rStyle w:val="FootnoteReference"/>
        </w:rPr>
        <w:footnoteRef/>
      </w:r>
      <w:r>
        <w:t xml:space="preserve"> SDG&amp;E comments, at 7-8. Normal Replacement refers to measure installations where the existing equipment has failed or no longer meets current or anticipated needs or is being replaced due to normal remodeling or upgrading or replacement activities that are expected and undertaken in the normal course of business. Accelerated Replacement refers to replacements of existing equipment with nominally higher efficiency equipment and where the preponderance of evidence supports that a) the existing equipment would have remained in operation for at least the remaining life of the existing equipment, performing its current service requirement and b) the energy efficiency program activity induced or accelerated the equipment replacement. The remaining useful life must be at least one year to qualify as Accelerated Replacement. Accelerated Replacement is further categorized as repair eligible, repair indefinitely or early retirement. </w:t>
      </w:r>
      <w:r w:rsidRPr="002D61B9">
        <w:rPr>
          <w:i/>
          <w:iCs/>
        </w:rPr>
        <w:t>See</w:t>
      </w:r>
      <w:r>
        <w:t xml:space="preserve"> Track 1 Working Group Report, Appendix A </w:t>
      </w:r>
      <w:r>
        <w:br/>
        <w:t xml:space="preserve">at 12-13. url: </w:t>
      </w:r>
      <w:hyperlink r:id="rId2" w:history="1">
        <w:r w:rsidRPr="00A23A22">
          <w:rPr>
            <w:rStyle w:val="Hyperlink"/>
          </w:rPr>
          <w:t>https://www.cpuc.ca.gov/-/media/cpuc-website/files/legacyfiles/c/6442451953-cpuc-ml-poe-dec12.pdf</w:t>
        </w:r>
      </w:hyperlink>
      <w:r>
        <w:t xml:space="preserve"> </w:t>
      </w:r>
      <w:hyperlink r:id="rId3" w:history="1"/>
      <w:r>
        <w:t xml:space="preserve"> and Resolution E-4818 </w:t>
      </w:r>
      <w:r>
        <w:br/>
        <w:t>at 27-28.</w:t>
      </w:r>
    </w:p>
  </w:footnote>
  <w:footnote w:id="32">
    <w:p w14:paraId="71A7B0B0" w14:textId="77777777" w:rsidR="00815866" w:rsidRDefault="00815866" w:rsidP="00815866">
      <w:pPr>
        <w:pStyle w:val="FootnoteText"/>
      </w:pPr>
      <w:r>
        <w:rPr>
          <w:rStyle w:val="FootnoteReference"/>
        </w:rPr>
        <w:footnoteRef/>
      </w:r>
      <w:r>
        <w:t xml:space="preserve"> PG&amp;E comments, at 8.</w:t>
      </w:r>
    </w:p>
  </w:footnote>
  <w:footnote w:id="33">
    <w:p w14:paraId="49325622" w14:textId="77777777" w:rsidR="00815866" w:rsidRPr="005C59CB" w:rsidRDefault="00815866" w:rsidP="00815866">
      <w:pPr>
        <w:pStyle w:val="FootnoteText"/>
      </w:pPr>
      <w:r>
        <w:rPr>
          <w:rStyle w:val="FootnoteReference"/>
        </w:rPr>
        <w:footnoteRef/>
      </w:r>
      <w:r>
        <w:t xml:space="preserve"> D.23-06-055, Ordering Paragraph 37.</w:t>
      </w:r>
    </w:p>
  </w:footnote>
  <w:footnote w:id="34">
    <w:p w14:paraId="2B1F3C7B" w14:textId="77777777" w:rsidR="00815866" w:rsidRDefault="00815866" w:rsidP="00815866">
      <w:pPr>
        <w:pStyle w:val="FootnoteText"/>
      </w:pPr>
      <w:r>
        <w:rPr>
          <w:rStyle w:val="FootnoteReference"/>
        </w:rPr>
        <w:footnoteRef/>
      </w:r>
      <w:r>
        <w:t xml:space="preserve"> D.21-06-015, at 220-221.</w:t>
      </w:r>
    </w:p>
  </w:footnote>
  <w:footnote w:id="35">
    <w:p w14:paraId="68600443" w14:textId="77777777" w:rsidR="00815866" w:rsidRDefault="00815866" w:rsidP="00815866">
      <w:pPr>
        <w:pStyle w:val="FootnoteText"/>
      </w:pPr>
      <w:r>
        <w:rPr>
          <w:rStyle w:val="FootnoteReference"/>
        </w:rPr>
        <w:footnoteRef/>
      </w:r>
      <w:r>
        <w:t xml:space="preserve"> PG&amp;E comments, at 11-15; SCE comments, at 6 and 14-17; SDG&amp;E comments, at 10-11; SoCalGas comments, at 6; and SoCalREN comments, at 3-7.</w:t>
      </w:r>
    </w:p>
  </w:footnote>
  <w:footnote w:id="36">
    <w:p w14:paraId="4690666A" w14:textId="77777777" w:rsidR="00815866" w:rsidRDefault="00815866" w:rsidP="00815866">
      <w:pPr>
        <w:pStyle w:val="FootnoteText"/>
      </w:pPr>
      <w:r>
        <w:rPr>
          <w:rStyle w:val="FootnoteReference"/>
        </w:rPr>
        <w:footnoteRef/>
      </w:r>
      <w:r>
        <w:t xml:space="preserve"> PG&amp;E comments, at 14.</w:t>
      </w:r>
    </w:p>
  </w:footnote>
  <w:footnote w:id="37">
    <w:p w14:paraId="2CB5D5D0" w14:textId="77777777" w:rsidR="00815866" w:rsidRDefault="00815866" w:rsidP="00815866">
      <w:pPr>
        <w:pStyle w:val="FootnoteText"/>
      </w:pPr>
      <w:r>
        <w:rPr>
          <w:rStyle w:val="FootnoteReference"/>
        </w:rPr>
        <w:footnoteRef/>
      </w:r>
      <w:r>
        <w:t xml:space="preserve"> CEDMC comments, at 2; and NRDC comments, at 4. The PAC test “measures the net costs of a demand-side management program as a resource option based on the costs incurred by the program administrator (including incentive costs) and excluding any net costs incurred by the participant. The benefits are similar to the TRC benefits. Costs are defined more narrowly.” </w:t>
      </w:r>
      <w:r>
        <w:br/>
      </w:r>
      <w:r w:rsidRPr="00DD2366">
        <w:rPr>
          <w:i/>
          <w:iCs/>
        </w:rPr>
        <w:t>See</w:t>
      </w:r>
      <w:r>
        <w:t xml:space="preserve"> Standard Practice Manual at Chapter 5.</w:t>
      </w:r>
    </w:p>
  </w:footnote>
  <w:footnote w:id="38">
    <w:p w14:paraId="56D85637" w14:textId="77777777" w:rsidR="00815866" w:rsidRDefault="00815866" w:rsidP="00815866">
      <w:pPr>
        <w:pStyle w:val="FootnoteText"/>
      </w:pPr>
      <w:r>
        <w:rPr>
          <w:rStyle w:val="FootnoteReference"/>
        </w:rPr>
        <w:footnoteRef/>
      </w:r>
      <w:r>
        <w:t xml:space="preserve"> D.17-09-025, at 17-23.</w:t>
      </w:r>
    </w:p>
  </w:footnote>
  <w:footnote w:id="39">
    <w:p w14:paraId="44706B06" w14:textId="77777777" w:rsidR="00815866" w:rsidRDefault="00815866" w:rsidP="00815866">
      <w:pPr>
        <w:pStyle w:val="FootnoteText"/>
      </w:pPr>
      <w:r>
        <w:rPr>
          <w:rStyle w:val="FootnoteReference"/>
        </w:rPr>
        <w:footnoteRef/>
      </w:r>
      <w:r>
        <w:t xml:space="preserve"> D.19-08-034, at 15.</w:t>
      </w:r>
    </w:p>
  </w:footnote>
  <w:footnote w:id="40">
    <w:p w14:paraId="27C6A65D" w14:textId="77777777" w:rsidR="00815866" w:rsidRDefault="00815866" w:rsidP="00815866">
      <w:pPr>
        <w:pStyle w:val="FootnoteText"/>
      </w:pPr>
      <w:r>
        <w:rPr>
          <w:rStyle w:val="FootnoteReference"/>
        </w:rPr>
        <w:footnoteRef/>
      </w:r>
      <w:r>
        <w:t xml:space="preserve"> CEDMC comments, at 7-8; BayREN/3C-REN comments, at 6; SCE comments, at 12; NRDC comments, at 11; and PG&amp;E comments, at 8.</w:t>
      </w:r>
    </w:p>
  </w:footnote>
  <w:footnote w:id="41">
    <w:p w14:paraId="0AE907D1" w14:textId="77777777" w:rsidR="00815866" w:rsidRDefault="00815866" w:rsidP="00815866">
      <w:pPr>
        <w:pStyle w:val="FootnoteText"/>
      </w:pPr>
      <w:r>
        <w:rPr>
          <w:rStyle w:val="FootnoteReference"/>
        </w:rPr>
        <w:footnoteRef/>
      </w:r>
      <w:r>
        <w:t xml:space="preserve"> BayREN/3C-REN comments, at 3.</w:t>
      </w:r>
    </w:p>
  </w:footnote>
  <w:footnote w:id="42">
    <w:p w14:paraId="28DDA216" w14:textId="77777777" w:rsidR="00815866" w:rsidRDefault="00815866" w:rsidP="00815866">
      <w:pPr>
        <w:pStyle w:val="FootnoteText"/>
      </w:pPr>
      <w:r>
        <w:rPr>
          <w:rStyle w:val="FootnoteReference"/>
        </w:rPr>
        <w:footnoteRef/>
      </w:r>
      <w:r>
        <w:t xml:space="preserve"> Cal Advocates comments, at 14-15.</w:t>
      </w:r>
    </w:p>
  </w:footnote>
  <w:footnote w:id="43">
    <w:p w14:paraId="599FF291" w14:textId="77777777" w:rsidR="00815866" w:rsidRDefault="00815866" w:rsidP="00815866">
      <w:pPr>
        <w:pStyle w:val="FootnoteText"/>
      </w:pPr>
      <w:r>
        <w:rPr>
          <w:rStyle w:val="FootnoteReference"/>
        </w:rPr>
        <w:footnoteRef/>
      </w:r>
      <w:r>
        <w:t xml:space="preserve"> Further recommendations were provided by PG&amp;E, SCE and SBUA in comments to the proposed decision.</w:t>
      </w:r>
    </w:p>
  </w:footnote>
  <w:footnote w:id="44">
    <w:p w14:paraId="682996F0" w14:textId="77777777" w:rsidR="00815866" w:rsidRDefault="00815866" w:rsidP="00815866">
      <w:pPr>
        <w:pStyle w:val="FootnoteText"/>
      </w:pPr>
      <w:r>
        <w:rPr>
          <w:rStyle w:val="FootnoteReference"/>
        </w:rPr>
        <w:footnoteRef/>
      </w:r>
      <w:r>
        <w:t xml:space="preserve"> </w:t>
      </w:r>
      <w:r w:rsidRPr="0038422D">
        <w:rPr>
          <w:i/>
          <w:iCs/>
        </w:rPr>
        <w:t xml:space="preserve">See </w:t>
      </w:r>
      <w:r>
        <w:t xml:space="preserve">2021 top-down study documentation, available at </w:t>
      </w:r>
      <w:r w:rsidRPr="008C7EB2">
        <w:t>https://www.cpuc.ca.gov/industries-and-topics/electrical-energy/demand-side-management/energy-efficiency/energy-efficiency-potential-and-goals-studies/2021-potential-and-goals-study</w:t>
      </w:r>
      <w:r>
        <w:t>.</w:t>
      </w:r>
    </w:p>
  </w:footnote>
  <w:footnote w:id="45">
    <w:p w14:paraId="1E907578" w14:textId="77777777" w:rsidR="00815866" w:rsidRDefault="00815866" w:rsidP="00815866">
      <w:pPr>
        <w:pStyle w:val="FootnoteText"/>
      </w:pPr>
      <w:r>
        <w:rPr>
          <w:rStyle w:val="FootnoteReference"/>
        </w:rPr>
        <w:footnoteRef/>
      </w:r>
      <w:r>
        <w:t xml:space="preserve"> </w:t>
      </w:r>
      <w:r w:rsidRPr="00D7763F">
        <w:rPr>
          <w:i/>
          <w:iCs/>
        </w:rPr>
        <w:t>See</w:t>
      </w:r>
      <w:r>
        <w:t xml:space="preserve"> the Final Workplan prepared for the 2023 study, accessible at </w:t>
      </w:r>
      <w:hyperlink r:id="rId4" w:history="1">
        <w:r w:rsidRPr="00C26D29">
          <w:rPr>
            <w:rStyle w:val="Hyperlink"/>
          </w:rPr>
          <w:t>https://www.cpuc.ca.gov/-/media/cpuc-website/divisions/energy-division/documents/energy-efficiency/2023-potential-goals-study/final-group-e-workplan---2023-energy-efficiency-pg-study.pdf</w:t>
        </w:r>
      </w:hyperlink>
      <w:r>
        <w:t xml:space="preserve"> .</w:t>
      </w:r>
    </w:p>
  </w:footnote>
  <w:footnote w:id="46">
    <w:p w14:paraId="26F72EDF" w14:textId="77777777" w:rsidR="00815866" w:rsidRDefault="00815866" w:rsidP="00815866">
      <w:pPr>
        <w:pStyle w:val="FootnoteText"/>
      </w:pPr>
      <w:r>
        <w:rPr>
          <w:rStyle w:val="FootnoteReference"/>
        </w:rPr>
        <w:footnoteRef/>
      </w:r>
      <w:r>
        <w:t xml:space="preserve"> On July 26, 2023, SBUA provided notice via email that its comments, which were timely served, were tendered for filing several minutes after the filing deadline; SBUA requested that its comments be accepted for filing. The assigned ALJ instructed Docket Office to late-file SBUA’s comments given the stated circumstances.</w:t>
      </w:r>
    </w:p>
  </w:footnote>
  <w:footnote w:id="47">
    <w:p w14:paraId="73CDF647" w14:textId="77777777" w:rsidR="00815866" w:rsidRDefault="00815866" w:rsidP="00815866">
      <w:pPr>
        <w:pStyle w:val="FootnoteText"/>
      </w:pPr>
      <w:r>
        <w:rPr>
          <w:rStyle w:val="FootnoteReference"/>
        </w:rPr>
        <w:footnoteRef/>
      </w:r>
      <w:r>
        <w:t xml:space="preserve"> D.21-05-031, Conclusion of Law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F9E5" w14:textId="77777777" w:rsidR="00F92385" w:rsidRPr="00585390" w:rsidRDefault="00F92385"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1BC0" w14:textId="5D4E6B9B" w:rsidR="00F92385" w:rsidRPr="00815866" w:rsidRDefault="00815866" w:rsidP="00F92385">
    <w:pPr>
      <w:pStyle w:val="Header"/>
      <w:ind w:firstLine="0"/>
      <w:rPr>
        <w:iCs/>
      </w:rPr>
    </w:pPr>
    <w:r w:rsidRPr="00815866">
      <w:rPr>
        <w:iCs/>
      </w:rPr>
      <w:t>R.13-11-005  ALJ/VUK/mef/smt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2B4C" w14:textId="6C4F7039" w:rsidR="00E23CBB" w:rsidRDefault="00815866" w:rsidP="00EE4315">
    <w:pPr>
      <w:pStyle w:val="Header"/>
      <w:tabs>
        <w:tab w:val="clear" w:pos="4680"/>
      </w:tabs>
      <w:ind w:firstLine="0"/>
      <w:rPr>
        <w:b/>
      </w:rPr>
    </w:pPr>
    <w:r>
      <w:t>R.13-11-005</w:t>
    </w:r>
    <w:r w:rsidR="00DD5D30">
      <w:t xml:space="preserve">  ALJ/</w:t>
    </w:r>
    <w:r>
      <w:t xml:space="preserve">VUK/mef/ </w:t>
    </w:r>
    <w:r w:rsidR="00173585">
      <w:t>smt</w:t>
    </w:r>
    <w:r w:rsidR="00E23CBB">
      <w:tab/>
    </w:r>
  </w:p>
  <w:p w14:paraId="108827E6" w14:textId="526F653D" w:rsidR="00DD5D30" w:rsidRDefault="00DD5D30" w:rsidP="00B3087D">
    <w:pPr>
      <w:pStyle w:val="Header"/>
      <w:tabs>
        <w:tab w:val="clear" w:pos="4680"/>
      </w:tabs>
      <w:ind w:firstLine="0"/>
      <w:rPr>
        <w:i/>
        <w:color w:val="FF0000"/>
      </w:rPr>
    </w:pPr>
  </w:p>
  <w:p w14:paraId="4EB1453B" w14:textId="77777777" w:rsidR="00DD5D30" w:rsidRPr="001E2A62" w:rsidRDefault="00DD5D30" w:rsidP="00DD5D30">
    <w:pPr>
      <w:pStyle w:val="Main"/>
      <w:rPr>
        <w:rFonts w:ascii="Book Antiqua" w:hAnsi="Book Antiqua"/>
      </w:rPr>
    </w:pPr>
    <w:r w:rsidRPr="001E2A62">
      <w:rPr>
        <w:rFonts w:ascii="Book Antiqua" w:hAnsi="Book Antiqua"/>
      </w:rPr>
      <w:t>TABLE OF CONTENTS</w:t>
    </w:r>
  </w:p>
  <w:p w14:paraId="01B9D96E" w14:textId="77777777" w:rsidR="00DD5D30" w:rsidRDefault="00DD5D30" w:rsidP="00DD5D30">
    <w:pPr>
      <w:tabs>
        <w:tab w:val="right" w:pos="9360"/>
      </w:tabs>
      <w:ind w:firstLine="0"/>
      <w:rPr>
        <w:b/>
      </w:rPr>
    </w:pPr>
    <w:r w:rsidRPr="00DD5D30">
      <w:rPr>
        <w:b/>
        <w:u w:val="single"/>
      </w:rPr>
      <w:t>Title</w:t>
    </w:r>
    <w:r>
      <w:tab/>
    </w:r>
    <w:r w:rsidRPr="00DD5D30">
      <w:rPr>
        <w:b/>
        <w:u w:val="single"/>
      </w:rPr>
      <w:t>Page</w:t>
    </w:r>
  </w:p>
  <w:p w14:paraId="51D70124" w14:textId="77777777" w:rsidR="00DD5D30" w:rsidRPr="00D50119" w:rsidRDefault="00DD5D30" w:rsidP="00DD5D30">
    <w:pPr>
      <w:tabs>
        <w:tab w:val="right" w:pos="9360"/>
      </w:tabs>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F6C2" w14:textId="77777777" w:rsidR="00815866" w:rsidRPr="0018169E" w:rsidRDefault="00815866" w:rsidP="00B3087D">
    <w:pPr>
      <w:pStyle w:val="Header"/>
      <w:tabs>
        <w:tab w:val="clear" w:pos="4680"/>
      </w:tabs>
      <w:ind w:firstLine="0"/>
      <w:rPr>
        <w:iCs/>
      </w:rPr>
    </w:pPr>
    <w:r w:rsidRPr="0018169E">
      <w:rPr>
        <w:iCs/>
      </w:rPr>
      <w:t>R.13-11-005  ALJ/VUK/mef</w:t>
    </w:r>
    <w:r>
      <w:rPr>
        <w:iCs/>
      </w:rPr>
      <w:t>/smt</w:t>
    </w:r>
    <w:r w:rsidRPr="0018169E">
      <w:rPr>
        <w:iCs/>
      </w:rPr>
      <w:tab/>
    </w:r>
  </w:p>
  <w:p w14:paraId="78A038C7" w14:textId="77777777" w:rsidR="00815866" w:rsidRDefault="00815866" w:rsidP="00B3087D">
    <w:pPr>
      <w:pStyle w:val="Header"/>
      <w:tabs>
        <w:tab w:val="clear" w:pos="4680"/>
      </w:tabs>
      <w:ind w:firstLine="0"/>
      <w:rPr>
        <w:i/>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11AE" w14:textId="54537680" w:rsidR="00FE2351" w:rsidRDefault="00815866" w:rsidP="00EE4315">
    <w:pPr>
      <w:pStyle w:val="Header"/>
      <w:tabs>
        <w:tab w:val="clear" w:pos="4680"/>
      </w:tabs>
      <w:ind w:firstLine="0"/>
      <w:rPr>
        <w:b/>
      </w:rPr>
    </w:pPr>
    <w:r>
      <w:t>R.13-11-005</w:t>
    </w:r>
    <w:r w:rsidR="00DD5D30">
      <w:t xml:space="preserve">  ALJ/</w:t>
    </w:r>
    <w:r>
      <w:t>VUK</w:t>
    </w:r>
    <w:r w:rsidR="00DD5D30">
      <w:t>/</w:t>
    </w:r>
    <w:r>
      <w:t>mef</w:t>
    </w:r>
    <w:r w:rsidR="00173585">
      <w:t>/smt</w:t>
    </w:r>
    <w:r w:rsidR="00FE2351">
      <w:tab/>
    </w:r>
  </w:p>
  <w:p w14:paraId="79CDC370" w14:textId="5D059DD3" w:rsidR="00FE2351" w:rsidRDefault="00FE2351" w:rsidP="00B3087D">
    <w:pPr>
      <w:pStyle w:val="Header"/>
      <w:tabs>
        <w:tab w:val="clear" w:pos="4680"/>
      </w:tabs>
      <w:ind w:firstLine="0"/>
      <w:rPr>
        <w:i/>
        <w:color w:val="FF0000"/>
      </w:rPr>
    </w:pPr>
  </w:p>
  <w:p w14:paraId="6BF6EEA7" w14:textId="77777777" w:rsidR="00DD5D30" w:rsidRPr="00B3087D" w:rsidRDefault="00DD5D30"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FE324E"/>
    <w:multiLevelType w:val="multilevel"/>
    <w:tmpl w:val="423698C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38F"/>
    <w:multiLevelType w:val="multilevel"/>
    <w:tmpl w:val="3C526EDE"/>
    <w:numStyleLink w:val="Headings"/>
  </w:abstractNum>
  <w:abstractNum w:abstractNumId="6" w15:restartNumberingAfterBreak="0">
    <w:nsid w:val="1E2242C9"/>
    <w:multiLevelType w:val="multilevel"/>
    <w:tmpl w:val="3C526EDE"/>
    <w:numStyleLink w:val="Headings"/>
  </w:abstractNum>
  <w:abstractNum w:abstractNumId="7" w15:restartNumberingAfterBreak="0">
    <w:nsid w:val="1F6A6E5D"/>
    <w:multiLevelType w:val="hybridMultilevel"/>
    <w:tmpl w:val="6C960E1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B58FE"/>
    <w:multiLevelType w:val="multilevel"/>
    <w:tmpl w:val="3C526EDE"/>
    <w:numStyleLink w:val="Headings"/>
  </w:abstractNum>
  <w:abstractNum w:abstractNumId="9" w15:restartNumberingAfterBreak="0">
    <w:nsid w:val="243663A0"/>
    <w:multiLevelType w:val="multilevel"/>
    <w:tmpl w:val="3C526EDE"/>
    <w:numStyleLink w:val="Headings"/>
  </w:abstractNum>
  <w:abstractNum w:abstractNumId="10" w15:restartNumberingAfterBreak="0">
    <w:nsid w:val="24E35711"/>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B8124D7"/>
    <w:multiLevelType w:val="multilevel"/>
    <w:tmpl w:val="3C526EDE"/>
    <w:numStyleLink w:val="Headings"/>
  </w:abstractNum>
  <w:abstractNum w:abstractNumId="12" w15:restartNumberingAfterBreak="0">
    <w:nsid w:val="3033564E"/>
    <w:multiLevelType w:val="hybridMultilevel"/>
    <w:tmpl w:val="767E4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3A935813"/>
    <w:multiLevelType w:val="hybridMultilevel"/>
    <w:tmpl w:val="5424608E"/>
    <w:lvl w:ilvl="0" w:tplc="5074D636">
      <w:start w:val="1"/>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4E2CC0"/>
    <w:multiLevelType w:val="hybridMultilevel"/>
    <w:tmpl w:val="0FBAB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AD4DA7"/>
    <w:multiLevelType w:val="hybridMultilevel"/>
    <w:tmpl w:val="62167DB6"/>
    <w:lvl w:ilvl="0" w:tplc="0882A26A">
      <w:start w:val="1"/>
      <w:numFmt w:val="bullet"/>
      <w:lvlText w:val="-"/>
      <w:lvlJc w:val="left"/>
      <w:pPr>
        <w:ind w:left="1440" w:hanging="360"/>
      </w:pPr>
      <w:rPr>
        <w:rFonts w:ascii="Book Antiqua" w:eastAsiaTheme="minorHAnsi" w:hAnsi="Book Antiqu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5B7210"/>
    <w:multiLevelType w:val="hybridMultilevel"/>
    <w:tmpl w:val="5D60C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4B3A2D"/>
    <w:multiLevelType w:val="hybridMultilevel"/>
    <w:tmpl w:val="0BD8D8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D042D7"/>
    <w:multiLevelType w:val="multilevel"/>
    <w:tmpl w:val="18F4A5AC"/>
    <w:numStyleLink w:val="FoFCoLOP"/>
  </w:abstractNum>
  <w:abstractNum w:abstractNumId="20" w15:restartNumberingAfterBreak="0">
    <w:nsid w:val="5A9E2171"/>
    <w:multiLevelType w:val="multilevel"/>
    <w:tmpl w:val="3C526EDE"/>
    <w:numStyleLink w:val="Headings"/>
  </w:abstractNum>
  <w:abstractNum w:abstractNumId="21" w15:restartNumberingAfterBreak="0">
    <w:nsid w:val="5DA132BD"/>
    <w:multiLevelType w:val="hybridMultilevel"/>
    <w:tmpl w:val="7A6E4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A25780"/>
    <w:multiLevelType w:val="multilevel"/>
    <w:tmpl w:val="3C526EDE"/>
    <w:numStyleLink w:val="Headings"/>
  </w:abstractNum>
  <w:abstractNum w:abstractNumId="23" w15:restartNumberingAfterBreak="0">
    <w:nsid w:val="646954E2"/>
    <w:multiLevelType w:val="hybridMultilevel"/>
    <w:tmpl w:val="942CD046"/>
    <w:lvl w:ilvl="0" w:tplc="2E00466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9A0AFE"/>
    <w:multiLevelType w:val="multilevel"/>
    <w:tmpl w:val="18F4A5AC"/>
    <w:numStyleLink w:val="FoFCoLOP"/>
  </w:abstractNum>
  <w:abstractNum w:abstractNumId="26" w15:restartNumberingAfterBreak="0">
    <w:nsid w:val="7F0A672F"/>
    <w:multiLevelType w:val="hybridMultilevel"/>
    <w:tmpl w:val="6F82497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945961844">
    <w:abstractNumId w:val="20"/>
  </w:num>
  <w:num w:numId="2" w16cid:durableId="820655111">
    <w:abstractNumId w:val="2"/>
  </w:num>
  <w:num w:numId="3" w16cid:durableId="413281586">
    <w:abstractNumId w:val="19"/>
  </w:num>
  <w:num w:numId="4" w16cid:durableId="826634333">
    <w:abstractNumId w:val="3"/>
  </w:num>
  <w:num w:numId="5" w16cid:durableId="1927229188">
    <w:abstractNumId w:val="25"/>
  </w:num>
  <w:num w:numId="6" w16cid:durableId="2045787441">
    <w:abstractNumId w:val="13"/>
  </w:num>
  <w:num w:numId="7" w16cid:durableId="2008047409">
    <w:abstractNumId w:val="6"/>
  </w:num>
  <w:num w:numId="8" w16cid:durableId="291181923">
    <w:abstractNumId w:val="24"/>
  </w:num>
  <w:num w:numId="9" w16cid:durableId="1583024760">
    <w:abstractNumId w:val="0"/>
  </w:num>
  <w:num w:numId="10" w16cid:durableId="1860048508">
    <w:abstractNumId w:val="5"/>
  </w:num>
  <w:num w:numId="11" w16cid:durableId="1412658673">
    <w:abstractNumId w:val="8"/>
  </w:num>
  <w:num w:numId="12" w16cid:durableId="1351108432">
    <w:abstractNumId w:val="4"/>
  </w:num>
  <w:num w:numId="13" w16cid:durableId="316224447">
    <w:abstractNumId w:val="9"/>
  </w:num>
  <w:num w:numId="14" w16cid:durableId="515777319">
    <w:abstractNumId w:val="11"/>
  </w:num>
  <w:num w:numId="15" w16cid:durableId="2061173597">
    <w:abstractNumId w:val="22"/>
    <w:lvlOverride w:ilvl="0">
      <w:lvl w:ilvl="0">
        <w:numFmt w:val="decimal"/>
        <w:lvlText w:val=""/>
        <w:lvlJc w:val="left"/>
      </w:lvl>
    </w:lvlOverride>
    <w:lvlOverride w:ilvl="1">
      <w:lvl w:ilvl="1">
        <w:start w:val="1"/>
        <w:numFmt w:val="decimal"/>
        <w:lvlText w:val="%1.%2."/>
        <w:lvlJc w:val="left"/>
        <w:pPr>
          <w:tabs>
            <w:tab w:val="num" w:pos="1080"/>
          </w:tabs>
          <w:ind w:left="1080" w:hanging="720"/>
        </w:pPr>
      </w:lvl>
    </w:lvlOverride>
  </w:num>
  <w:num w:numId="16" w16cid:durableId="144669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69696">
    <w:abstractNumId w:val="12"/>
  </w:num>
  <w:num w:numId="18" w16cid:durableId="773407398">
    <w:abstractNumId w:val="15"/>
  </w:num>
  <w:num w:numId="19" w16cid:durableId="952976026">
    <w:abstractNumId w:val="10"/>
  </w:num>
  <w:num w:numId="20" w16cid:durableId="667102356">
    <w:abstractNumId w:val="18"/>
  </w:num>
  <w:num w:numId="21" w16cid:durableId="335159044">
    <w:abstractNumId w:val="3"/>
    <w:lvlOverride w:ilvl="0">
      <w:lvl w:ilvl="0">
        <w:start w:val="1"/>
        <w:numFmt w:val="decimal"/>
        <w:pStyle w:val="CoL"/>
        <w:lvlText w:val="%1."/>
        <w:lvlJc w:val="right"/>
        <w:pPr>
          <w:ind w:left="0" w:firstLine="540"/>
        </w:pPr>
        <w:rPr>
          <w:rFonts w:ascii="Book Antiqua" w:hAnsi="Book Antiqua" w:hint="default"/>
        </w:rPr>
      </w:lvl>
    </w:lvlOverride>
  </w:num>
  <w:num w:numId="22" w16cid:durableId="669134888">
    <w:abstractNumId w:val="26"/>
  </w:num>
  <w:num w:numId="23" w16cid:durableId="1315375445">
    <w:abstractNumId w:val="21"/>
  </w:num>
  <w:num w:numId="24" w16cid:durableId="2007392781">
    <w:abstractNumId w:val="23"/>
  </w:num>
  <w:num w:numId="25" w16cid:durableId="2059041622">
    <w:abstractNumId w:val="1"/>
  </w:num>
  <w:num w:numId="26" w16cid:durableId="920873635">
    <w:abstractNumId w:val="22"/>
  </w:num>
  <w:num w:numId="27" w16cid:durableId="935744499">
    <w:abstractNumId w:val="14"/>
  </w:num>
  <w:num w:numId="28" w16cid:durableId="1360814272">
    <w:abstractNumId w:val="16"/>
  </w:num>
  <w:num w:numId="29" w16cid:durableId="6372523">
    <w:abstractNumId w:val="7"/>
  </w:num>
  <w:num w:numId="30" w16cid:durableId="58125636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F5"/>
    <w:rsid w:val="00000F6A"/>
    <w:rsid w:val="00004941"/>
    <w:rsid w:val="00015C4F"/>
    <w:rsid w:val="00027446"/>
    <w:rsid w:val="000275CF"/>
    <w:rsid w:val="00041A32"/>
    <w:rsid w:val="00044563"/>
    <w:rsid w:val="00051420"/>
    <w:rsid w:val="00060D8D"/>
    <w:rsid w:val="00065DC0"/>
    <w:rsid w:val="0007115A"/>
    <w:rsid w:val="00074856"/>
    <w:rsid w:val="00092EB4"/>
    <w:rsid w:val="00096C5D"/>
    <w:rsid w:val="000973C8"/>
    <w:rsid w:val="000A0A78"/>
    <w:rsid w:val="000A2AA9"/>
    <w:rsid w:val="000A3009"/>
    <w:rsid w:val="000A39F9"/>
    <w:rsid w:val="000A56F2"/>
    <w:rsid w:val="000A5FF9"/>
    <w:rsid w:val="000A6E05"/>
    <w:rsid w:val="000A7238"/>
    <w:rsid w:val="000A7777"/>
    <w:rsid w:val="000B12FA"/>
    <w:rsid w:val="000B5570"/>
    <w:rsid w:val="000C08BF"/>
    <w:rsid w:val="000C2A18"/>
    <w:rsid w:val="000C3B9A"/>
    <w:rsid w:val="000C55A8"/>
    <w:rsid w:val="000D25A8"/>
    <w:rsid w:val="000E270A"/>
    <w:rsid w:val="000E4C53"/>
    <w:rsid w:val="000F3CA3"/>
    <w:rsid w:val="000F5749"/>
    <w:rsid w:val="000F69B7"/>
    <w:rsid w:val="001018E3"/>
    <w:rsid w:val="001031D8"/>
    <w:rsid w:val="00104310"/>
    <w:rsid w:val="0011008F"/>
    <w:rsid w:val="00111B1C"/>
    <w:rsid w:val="00121089"/>
    <w:rsid w:val="00130466"/>
    <w:rsid w:val="00161D24"/>
    <w:rsid w:val="00164CE8"/>
    <w:rsid w:val="001654D3"/>
    <w:rsid w:val="001662E3"/>
    <w:rsid w:val="0016779D"/>
    <w:rsid w:val="00173585"/>
    <w:rsid w:val="001807D3"/>
    <w:rsid w:val="001824D7"/>
    <w:rsid w:val="00186DDE"/>
    <w:rsid w:val="001B1011"/>
    <w:rsid w:val="001C1D30"/>
    <w:rsid w:val="001C363F"/>
    <w:rsid w:val="001C6E94"/>
    <w:rsid w:val="001D7A45"/>
    <w:rsid w:val="001E2A62"/>
    <w:rsid w:val="001E4204"/>
    <w:rsid w:val="001E467E"/>
    <w:rsid w:val="001E51F7"/>
    <w:rsid w:val="001E5D9C"/>
    <w:rsid w:val="001F2819"/>
    <w:rsid w:val="001F5A9F"/>
    <w:rsid w:val="001F63A6"/>
    <w:rsid w:val="00203C3B"/>
    <w:rsid w:val="002043EC"/>
    <w:rsid w:val="002152BC"/>
    <w:rsid w:val="002277A2"/>
    <w:rsid w:val="00243DC0"/>
    <w:rsid w:val="00244C1C"/>
    <w:rsid w:val="00247477"/>
    <w:rsid w:val="00250CF0"/>
    <w:rsid w:val="00256276"/>
    <w:rsid w:val="002562BF"/>
    <w:rsid w:val="00265C6C"/>
    <w:rsid w:val="00270440"/>
    <w:rsid w:val="00271AFD"/>
    <w:rsid w:val="00272688"/>
    <w:rsid w:val="00273F38"/>
    <w:rsid w:val="00275B30"/>
    <w:rsid w:val="002856E7"/>
    <w:rsid w:val="00287435"/>
    <w:rsid w:val="00287BC5"/>
    <w:rsid w:val="00293DEE"/>
    <w:rsid w:val="00295294"/>
    <w:rsid w:val="002A0B02"/>
    <w:rsid w:val="002A0B5D"/>
    <w:rsid w:val="002B6D56"/>
    <w:rsid w:val="002C7FE9"/>
    <w:rsid w:val="002D0DC5"/>
    <w:rsid w:val="002D4EFD"/>
    <w:rsid w:val="002D70EE"/>
    <w:rsid w:val="002E11EC"/>
    <w:rsid w:val="002E18D0"/>
    <w:rsid w:val="002F2070"/>
    <w:rsid w:val="002F6156"/>
    <w:rsid w:val="003009F3"/>
    <w:rsid w:val="003127C8"/>
    <w:rsid w:val="00315A97"/>
    <w:rsid w:val="00316071"/>
    <w:rsid w:val="00330CB0"/>
    <w:rsid w:val="00340509"/>
    <w:rsid w:val="00343E5C"/>
    <w:rsid w:val="00344FB8"/>
    <w:rsid w:val="0035451B"/>
    <w:rsid w:val="0036017B"/>
    <w:rsid w:val="00362755"/>
    <w:rsid w:val="00373B93"/>
    <w:rsid w:val="00380CD1"/>
    <w:rsid w:val="00383089"/>
    <w:rsid w:val="003845F6"/>
    <w:rsid w:val="00391B19"/>
    <w:rsid w:val="003A38F0"/>
    <w:rsid w:val="003B5549"/>
    <w:rsid w:val="003B5642"/>
    <w:rsid w:val="003E55A3"/>
    <w:rsid w:val="003E5FFB"/>
    <w:rsid w:val="003F069A"/>
    <w:rsid w:val="003F08F1"/>
    <w:rsid w:val="003F3B9F"/>
    <w:rsid w:val="003F4329"/>
    <w:rsid w:val="003F7A84"/>
    <w:rsid w:val="004003B8"/>
    <w:rsid w:val="0040478D"/>
    <w:rsid w:val="00410EE5"/>
    <w:rsid w:val="00412534"/>
    <w:rsid w:val="00412C83"/>
    <w:rsid w:val="00420E9B"/>
    <w:rsid w:val="00426014"/>
    <w:rsid w:val="00432D72"/>
    <w:rsid w:val="0044617E"/>
    <w:rsid w:val="0046012D"/>
    <w:rsid w:val="00460B7D"/>
    <w:rsid w:val="004620DE"/>
    <w:rsid w:val="004727E0"/>
    <w:rsid w:val="00472FEA"/>
    <w:rsid w:val="004737B3"/>
    <w:rsid w:val="00475FB6"/>
    <w:rsid w:val="004767D0"/>
    <w:rsid w:val="00480CB0"/>
    <w:rsid w:val="004817C8"/>
    <w:rsid w:val="00495500"/>
    <w:rsid w:val="004A622A"/>
    <w:rsid w:val="004B34EA"/>
    <w:rsid w:val="004B5494"/>
    <w:rsid w:val="004B5B11"/>
    <w:rsid w:val="004C72CE"/>
    <w:rsid w:val="004C7A2B"/>
    <w:rsid w:val="004C7D3A"/>
    <w:rsid w:val="004D3412"/>
    <w:rsid w:val="004E5D03"/>
    <w:rsid w:val="004F1875"/>
    <w:rsid w:val="005003FF"/>
    <w:rsid w:val="005018A8"/>
    <w:rsid w:val="00503A68"/>
    <w:rsid w:val="00504460"/>
    <w:rsid w:val="00505A39"/>
    <w:rsid w:val="005071BA"/>
    <w:rsid w:val="005238AF"/>
    <w:rsid w:val="005240BF"/>
    <w:rsid w:val="00527A57"/>
    <w:rsid w:val="00534D10"/>
    <w:rsid w:val="00542588"/>
    <w:rsid w:val="00543E96"/>
    <w:rsid w:val="0055088F"/>
    <w:rsid w:val="00560F50"/>
    <w:rsid w:val="00565932"/>
    <w:rsid w:val="00571D1B"/>
    <w:rsid w:val="0057387E"/>
    <w:rsid w:val="00574F70"/>
    <w:rsid w:val="00585052"/>
    <w:rsid w:val="005850F3"/>
    <w:rsid w:val="00585390"/>
    <w:rsid w:val="00587E0A"/>
    <w:rsid w:val="005939A5"/>
    <w:rsid w:val="005A0570"/>
    <w:rsid w:val="005A148C"/>
    <w:rsid w:val="005A3353"/>
    <w:rsid w:val="005A62FF"/>
    <w:rsid w:val="005B0F9E"/>
    <w:rsid w:val="005B1E55"/>
    <w:rsid w:val="005B7C1C"/>
    <w:rsid w:val="005C58FA"/>
    <w:rsid w:val="005C5D96"/>
    <w:rsid w:val="005D2DAE"/>
    <w:rsid w:val="005D4638"/>
    <w:rsid w:val="005D46BF"/>
    <w:rsid w:val="005E40CD"/>
    <w:rsid w:val="005E4BE9"/>
    <w:rsid w:val="005E76C7"/>
    <w:rsid w:val="005F237D"/>
    <w:rsid w:val="00604434"/>
    <w:rsid w:val="006062A6"/>
    <w:rsid w:val="00607F5E"/>
    <w:rsid w:val="0061061F"/>
    <w:rsid w:val="006132F3"/>
    <w:rsid w:val="006147C0"/>
    <w:rsid w:val="006150DB"/>
    <w:rsid w:val="00615EB1"/>
    <w:rsid w:val="00616DA7"/>
    <w:rsid w:val="00623ABB"/>
    <w:rsid w:val="00632207"/>
    <w:rsid w:val="006341E5"/>
    <w:rsid w:val="0063491C"/>
    <w:rsid w:val="00640224"/>
    <w:rsid w:val="00657C8F"/>
    <w:rsid w:val="00660DA0"/>
    <w:rsid w:val="00661AFE"/>
    <w:rsid w:val="006666CE"/>
    <w:rsid w:val="00680092"/>
    <w:rsid w:val="00680F19"/>
    <w:rsid w:val="00686FA6"/>
    <w:rsid w:val="006929F6"/>
    <w:rsid w:val="006A1183"/>
    <w:rsid w:val="006B3522"/>
    <w:rsid w:val="006C1F10"/>
    <w:rsid w:val="006C2A26"/>
    <w:rsid w:val="006C4B2D"/>
    <w:rsid w:val="006E3B7F"/>
    <w:rsid w:val="006E5E28"/>
    <w:rsid w:val="006E6574"/>
    <w:rsid w:val="006E6D4A"/>
    <w:rsid w:val="006F2381"/>
    <w:rsid w:val="00700FF7"/>
    <w:rsid w:val="00705063"/>
    <w:rsid w:val="00705FF5"/>
    <w:rsid w:val="00714CF2"/>
    <w:rsid w:val="007156B9"/>
    <w:rsid w:val="0071590B"/>
    <w:rsid w:val="00720817"/>
    <w:rsid w:val="00722850"/>
    <w:rsid w:val="00724A37"/>
    <w:rsid w:val="0072528A"/>
    <w:rsid w:val="007265E6"/>
    <w:rsid w:val="007332AD"/>
    <w:rsid w:val="0073353F"/>
    <w:rsid w:val="00735A91"/>
    <w:rsid w:val="00735FEA"/>
    <w:rsid w:val="00742E45"/>
    <w:rsid w:val="007447AF"/>
    <w:rsid w:val="00750816"/>
    <w:rsid w:val="00756273"/>
    <w:rsid w:val="0076395A"/>
    <w:rsid w:val="007657C1"/>
    <w:rsid w:val="00770E6C"/>
    <w:rsid w:val="00773715"/>
    <w:rsid w:val="0077755F"/>
    <w:rsid w:val="0078250D"/>
    <w:rsid w:val="00791298"/>
    <w:rsid w:val="00793028"/>
    <w:rsid w:val="007A0151"/>
    <w:rsid w:val="007A03F4"/>
    <w:rsid w:val="007A406D"/>
    <w:rsid w:val="007A62B0"/>
    <w:rsid w:val="007B64A1"/>
    <w:rsid w:val="007B7B42"/>
    <w:rsid w:val="007C4C34"/>
    <w:rsid w:val="007C5A0C"/>
    <w:rsid w:val="007D7D86"/>
    <w:rsid w:val="007D7FED"/>
    <w:rsid w:val="007E0FEE"/>
    <w:rsid w:val="007E6AF9"/>
    <w:rsid w:val="007F2017"/>
    <w:rsid w:val="007F2A05"/>
    <w:rsid w:val="007F45B4"/>
    <w:rsid w:val="007F570B"/>
    <w:rsid w:val="007F5B50"/>
    <w:rsid w:val="007F6AAE"/>
    <w:rsid w:val="00815866"/>
    <w:rsid w:val="008159CF"/>
    <w:rsid w:val="00816E05"/>
    <w:rsid w:val="00817FB5"/>
    <w:rsid w:val="00824CA5"/>
    <w:rsid w:val="00830797"/>
    <w:rsid w:val="008319B7"/>
    <w:rsid w:val="0083398C"/>
    <w:rsid w:val="008339BB"/>
    <w:rsid w:val="00834A14"/>
    <w:rsid w:val="00842C2A"/>
    <w:rsid w:val="00843B10"/>
    <w:rsid w:val="00850F66"/>
    <w:rsid w:val="00852AD7"/>
    <w:rsid w:val="00863A8B"/>
    <w:rsid w:val="0086419A"/>
    <w:rsid w:val="00864958"/>
    <w:rsid w:val="00864D07"/>
    <w:rsid w:val="0087023B"/>
    <w:rsid w:val="00871AA3"/>
    <w:rsid w:val="00882929"/>
    <w:rsid w:val="0088631C"/>
    <w:rsid w:val="0089532E"/>
    <w:rsid w:val="008A179F"/>
    <w:rsid w:val="008A47E6"/>
    <w:rsid w:val="008B01F2"/>
    <w:rsid w:val="008B0864"/>
    <w:rsid w:val="008B2FC8"/>
    <w:rsid w:val="008B3BE0"/>
    <w:rsid w:val="008B42DF"/>
    <w:rsid w:val="008B7871"/>
    <w:rsid w:val="008C4FD6"/>
    <w:rsid w:val="008C7413"/>
    <w:rsid w:val="008D16B7"/>
    <w:rsid w:val="008D734B"/>
    <w:rsid w:val="008E3CFC"/>
    <w:rsid w:val="008E6AE6"/>
    <w:rsid w:val="008F0116"/>
    <w:rsid w:val="008F143D"/>
    <w:rsid w:val="0090013A"/>
    <w:rsid w:val="009070B7"/>
    <w:rsid w:val="009134DD"/>
    <w:rsid w:val="00926BF4"/>
    <w:rsid w:val="00931DC7"/>
    <w:rsid w:val="00932865"/>
    <w:rsid w:val="0093637D"/>
    <w:rsid w:val="00953611"/>
    <w:rsid w:val="0096388B"/>
    <w:rsid w:val="0097060F"/>
    <w:rsid w:val="00971ABC"/>
    <w:rsid w:val="009732F1"/>
    <w:rsid w:val="009765F8"/>
    <w:rsid w:val="0098138E"/>
    <w:rsid w:val="009853EA"/>
    <w:rsid w:val="00985E1B"/>
    <w:rsid w:val="0098655A"/>
    <w:rsid w:val="00993B16"/>
    <w:rsid w:val="00996BE8"/>
    <w:rsid w:val="009B630B"/>
    <w:rsid w:val="009C02EB"/>
    <w:rsid w:val="009D353B"/>
    <w:rsid w:val="009E6052"/>
    <w:rsid w:val="009E7C7F"/>
    <w:rsid w:val="009E7CBB"/>
    <w:rsid w:val="009F0097"/>
    <w:rsid w:val="00A03107"/>
    <w:rsid w:val="00A14A97"/>
    <w:rsid w:val="00A14C9A"/>
    <w:rsid w:val="00A17CE0"/>
    <w:rsid w:val="00A200EC"/>
    <w:rsid w:val="00A223A3"/>
    <w:rsid w:val="00A23D48"/>
    <w:rsid w:val="00A262FF"/>
    <w:rsid w:val="00A3028E"/>
    <w:rsid w:val="00A31287"/>
    <w:rsid w:val="00A42306"/>
    <w:rsid w:val="00A44D96"/>
    <w:rsid w:val="00A44E8D"/>
    <w:rsid w:val="00A45590"/>
    <w:rsid w:val="00A46EA8"/>
    <w:rsid w:val="00A54E87"/>
    <w:rsid w:val="00A55ACD"/>
    <w:rsid w:val="00A56EBA"/>
    <w:rsid w:val="00A64319"/>
    <w:rsid w:val="00A660E4"/>
    <w:rsid w:val="00A75569"/>
    <w:rsid w:val="00A761D4"/>
    <w:rsid w:val="00A82FAF"/>
    <w:rsid w:val="00A85D27"/>
    <w:rsid w:val="00A910F5"/>
    <w:rsid w:val="00AA057D"/>
    <w:rsid w:val="00AA4EAD"/>
    <w:rsid w:val="00AA65B0"/>
    <w:rsid w:val="00AB0BDC"/>
    <w:rsid w:val="00AB3CE9"/>
    <w:rsid w:val="00AB731F"/>
    <w:rsid w:val="00AB7875"/>
    <w:rsid w:val="00AC68EE"/>
    <w:rsid w:val="00AC7E9E"/>
    <w:rsid w:val="00AD44DF"/>
    <w:rsid w:val="00AD5C31"/>
    <w:rsid w:val="00AE0FCD"/>
    <w:rsid w:val="00AF4864"/>
    <w:rsid w:val="00AF6189"/>
    <w:rsid w:val="00AF6413"/>
    <w:rsid w:val="00AF7CC1"/>
    <w:rsid w:val="00B01F7E"/>
    <w:rsid w:val="00B07845"/>
    <w:rsid w:val="00B15795"/>
    <w:rsid w:val="00B16C2A"/>
    <w:rsid w:val="00B229E6"/>
    <w:rsid w:val="00B26EFD"/>
    <w:rsid w:val="00B30581"/>
    <w:rsid w:val="00B3087D"/>
    <w:rsid w:val="00B322DA"/>
    <w:rsid w:val="00B34794"/>
    <w:rsid w:val="00B4648D"/>
    <w:rsid w:val="00B60421"/>
    <w:rsid w:val="00B80AA6"/>
    <w:rsid w:val="00B81EB6"/>
    <w:rsid w:val="00B83D18"/>
    <w:rsid w:val="00B83F4E"/>
    <w:rsid w:val="00B8769D"/>
    <w:rsid w:val="00B940E8"/>
    <w:rsid w:val="00BA6BAF"/>
    <w:rsid w:val="00BA70FD"/>
    <w:rsid w:val="00BA7C74"/>
    <w:rsid w:val="00BA7E95"/>
    <w:rsid w:val="00BB0243"/>
    <w:rsid w:val="00BD1060"/>
    <w:rsid w:val="00BD4393"/>
    <w:rsid w:val="00BD717F"/>
    <w:rsid w:val="00BE04F7"/>
    <w:rsid w:val="00BE3B1F"/>
    <w:rsid w:val="00BF4E58"/>
    <w:rsid w:val="00C06426"/>
    <w:rsid w:val="00C106B0"/>
    <w:rsid w:val="00C10B5F"/>
    <w:rsid w:val="00C1267D"/>
    <w:rsid w:val="00C21069"/>
    <w:rsid w:val="00C22D54"/>
    <w:rsid w:val="00C25889"/>
    <w:rsid w:val="00C31260"/>
    <w:rsid w:val="00C31ADB"/>
    <w:rsid w:val="00C36DA1"/>
    <w:rsid w:val="00C40662"/>
    <w:rsid w:val="00C441E8"/>
    <w:rsid w:val="00C45C17"/>
    <w:rsid w:val="00C5428A"/>
    <w:rsid w:val="00C74C58"/>
    <w:rsid w:val="00C76505"/>
    <w:rsid w:val="00C77A6E"/>
    <w:rsid w:val="00C821F9"/>
    <w:rsid w:val="00C86A5B"/>
    <w:rsid w:val="00C878D5"/>
    <w:rsid w:val="00C9033B"/>
    <w:rsid w:val="00C913A1"/>
    <w:rsid w:val="00C92D5F"/>
    <w:rsid w:val="00CA2AE8"/>
    <w:rsid w:val="00CA7933"/>
    <w:rsid w:val="00CB085C"/>
    <w:rsid w:val="00CC6A99"/>
    <w:rsid w:val="00CD6F79"/>
    <w:rsid w:val="00CE60D3"/>
    <w:rsid w:val="00CF3E1A"/>
    <w:rsid w:val="00CF7017"/>
    <w:rsid w:val="00D00AA3"/>
    <w:rsid w:val="00D02396"/>
    <w:rsid w:val="00D02979"/>
    <w:rsid w:val="00D0477E"/>
    <w:rsid w:val="00D0504E"/>
    <w:rsid w:val="00D07F73"/>
    <w:rsid w:val="00D12623"/>
    <w:rsid w:val="00D14844"/>
    <w:rsid w:val="00D2041C"/>
    <w:rsid w:val="00D25ADE"/>
    <w:rsid w:val="00D31B2B"/>
    <w:rsid w:val="00D36B2B"/>
    <w:rsid w:val="00D40CC0"/>
    <w:rsid w:val="00D43297"/>
    <w:rsid w:val="00D44DB6"/>
    <w:rsid w:val="00D50119"/>
    <w:rsid w:val="00D56516"/>
    <w:rsid w:val="00D60058"/>
    <w:rsid w:val="00D641FE"/>
    <w:rsid w:val="00D766FC"/>
    <w:rsid w:val="00D803CF"/>
    <w:rsid w:val="00D82A43"/>
    <w:rsid w:val="00DA2D83"/>
    <w:rsid w:val="00DA7B5D"/>
    <w:rsid w:val="00DB1E1A"/>
    <w:rsid w:val="00DB366C"/>
    <w:rsid w:val="00DB6CA2"/>
    <w:rsid w:val="00DC40EC"/>
    <w:rsid w:val="00DD0E45"/>
    <w:rsid w:val="00DD5D30"/>
    <w:rsid w:val="00DD679D"/>
    <w:rsid w:val="00DE6111"/>
    <w:rsid w:val="00DE6CBE"/>
    <w:rsid w:val="00DF23DF"/>
    <w:rsid w:val="00DF58E7"/>
    <w:rsid w:val="00DF6A08"/>
    <w:rsid w:val="00E11876"/>
    <w:rsid w:val="00E12ABE"/>
    <w:rsid w:val="00E20A78"/>
    <w:rsid w:val="00E23CBB"/>
    <w:rsid w:val="00E332CA"/>
    <w:rsid w:val="00E37B59"/>
    <w:rsid w:val="00E45FDD"/>
    <w:rsid w:val="00E47FF5"/>
    <w:rsid w:val="00E5038F"/>
    <w:rsid w:val="00E53438"/>
    <w:rsid w:val="00E53E15"/>
    <w:rsid w:val="00E54C7E"/>
    <w:rsid w:val="00E5705D"/>
    <w:rsid w:val="00E6467A"/>
    <w:rsid w:val="00E725FC"/>
    <w:rsid w:val="00E908A8"/>
    <w:rsid w:val="00E95463"/>
    <w:rsid w:val="00EA25D5"/>
    <w:rsid w:val="00EA2B08"/>
    <w:rsid w:val="00EA36C6"/>
    <w:rsid w:val="00EA6675"/>
    <w:rsid w:val="00EA6AAD"/>
    <w:rsid w:val="00EA7F70"/>
    <w:rsid w:val="00EB1EB3"/>
    <w:rsid w:val="00EB36FB"/>
    <w:rsid w:val="00EB7873"/>
    <w:rsid w:val="00EC30F9"/>
    <w:rsid w:val="00EC6765"/>
    <w:rsid w:val="00EC6B9C"/>
    <w:rsid w:val="00EC75BC"/>
    <w:rsid w:val="00ED1D85"/>
    <w:rsid w:val="00ED43B7"/>
    <w:rsid w:val="00ED5725"/>
    <w:rsid w:val="00ED7031"/>
    <w:rsid w:val="00EE200D"/>
    <w:rsid w:val="00EE3060"/>
    <w:rsid w:val="00EE4315"/>
    <w:rsid w:val="00EE47B2"/>
    <w:rsid w:val="00EE59E2"/>
    <w:rsid w:val="00EF339C"/>
    <w:rsid w:val="00EF6925"/>
    <w:rsid w:val="00EF74BA"/>
    <w:rsid w:val="00F06858"/>
    <w:rsid w:val="00F06ACA"/>
    <w:rsid w:val="00F06ADF"/>
    <w:rsid w:val="00F10CF1"/>
    <w:rsid w:val="00F11B4A"/>
    <w:rsid w:val="00F145B7"/>
    <w:rsid w:val="00F1665C"/>
    <w:rsid w:val="00F26ED3"/>
    <w:rsid w:val="00F35F4C"/>
    <w:rsid w:val="00F3664F"/>
    <w:rsid w:val="00F51A61"/>
    <w:rsid w:val="00F559FA"/>
    <w:rsid w:val="00F568E7"/>
    <w:rsid w:val="00F617B5"/>
    <w:rsid w:val="00F62B7A"/>
    <w:rsid w:val="00F6397D"/>
    <w:rsid w:val="00F72001"/>
    <w:rsid w:val="00F725BD"/>
    <w:rsid w:val="00F7293E"/>
    <w:rsid w:val="00F75D47"/>
    <w:rsid w:val="00F76650"/>
    <w:rsid w:val="00F9187B"/>
    <w:rsid w:val="00F918A1"/>
    <w:rsid w:val="00F92385"/>
    <w:rsid w:val="00F949C0"/>
    <w:rsid w:val="00F95033"/>
    <w:rsid w:val="00F969BD"/>
    <w:rsid w:val="00FA1B4F"/>
    <w:rsid w:val="00FA6EC9"/>
    <w:rsid w:val="00FC47F9"/>
    <w:rsid w:val="00FE2351"/>
    <w:rsid w:val="00FE337D"/>
    <w:rsid w:val="00FE3DFC"/>
    <w:rsid w:val="00FE5580"/>
    <w:rsid w:val="00FE61E5"/>
    <w:rsid w:val="00FF110C"/>
    <w:rsid w:val="00FF14E1"/>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C38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72528A"/>
    <w:pPr>
      <w:numPr>
        <w:numId w:val="25"/>
      </w:numPr>
      <w:ind w:right="2160" w:hanging="720"/>
    </w:pPr>
    <w:rPr>
      <w:rFonts w:eastAsiaTheme="majorEastAsia" w:cstheme="majorBidi"/>
      <w:szCs w:val="32"/>
    </w:rPr>
  </w:style>
  <w:style w:type="paragraph" w:styleId="Heading2">
    <w:name w:val="heading 2"/>
    <w:basedOn w:val="Dummy"/>
    <w:next w:val="Standard"/>
    <w:link w:val="Heading2Char"/>
    <w:uiPriority w:val="4"/>
    <w:qFormat/>
    <w:rsid w:val="0072528A"/>
    <w:pPr>
      <w:numPr>
        <w:ilvl w:val="1"/>
        <w:numId w:val="25"/>
      </w:numPr>
      <w:ind w:left="1440"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72528A"/>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72528A"/>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n C,Char Char,f"/>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n C Char,f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3,Style 17,Style 13,Appel note de bas de p,Style 12,(NECG) Footnote Reference,Style 124,o + Times New Roman,Style 58,Style 20,fr1,fr2,fr3,FR,Footnote Reference/,Style 6,Footnote Reference1,char"/>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BodyText">
    <w:name w:val="Body Text"/>
    <w:basedOn w:val="Normal"/>
    <w:link w:val="BodyTextChar"/>
    <w:qFormat/>
    <w:rsid w:val="00C21069"/>
    <w:pPr>
      <w:widowControl w:val="0"/>
      <w:autoSpaceDE w:val="0"/>
      <w:autoSpaceDN w:val="0"/>
      <w:spacing w:line="240" w:lineRule="auto"/>
      <w:ind w:firstLine="0"/>
    </w:pPr>
    <w:rPr>
      <w:rFonts w:eastAsia="Book Antiqua" w:cs="Book Antiqua"/>
      <w:szCs w:val="26"/>
    </w:rPr>
  </w:style>
  <w:style w:type="character" w:customStyle="1" w:styleId="BodyTextChar">
    <w:name w:val="Body Text Char"/>
    <w:basedOn w:val="DefaultParagraphFont"/>
    <w:link w:val="BodyText"/>
    <w:rsid w:val="00C21069"/>
    <w:rPr>
      <w:rFonts w:ascii="Book Antiqua" w:eastAsia="Book Antiqua" w:hAnsi="Book Antiqua" w:cs="Book Antiqua"/>
      <w:sz w:val="26"/>
      <w:szCs w:val="26"/>
    </w:rPr>
  </w:style>
  <w:style w:type="paragraph" w:styleId="ListParagraph">
    <w:name w:val="List Paragraph"/>
    <w:basedOn w:val="Normal"/>
    <w:uiPriority w:val="34"/>
    <w:qFormat/>
    <w:rsid w:val="00C21069"/>
    <w:pPr>
      <w:ind w:left="720"/>
      <w:contextualSpacing/>
    </w:pPr>
  </w:style>
  <w:style w:type="paragraph" w:customStyle="1" w:styleId="ALJBlockQuote">
    <w:name w:val="ALJ Block Quote"/>
    <w:basedOn w:val="Normal"/>
    <w:next w:val="Normal"/>
    <w:link w:val="ALJBlockQuoteChar"/>
    <w:rsid w:val="00CA7933"/>
    <w:pPr>
      <w:spacing w:before="120" w:after="120" w:line="240" w:lineRule="auto"/>
      <w:ind w:left="1440" w:right="1440" w:firstLine="0"/>
    </w:pPr>
    <w:rPr>
      <w:rFonts w:cs="Times New Roman"/>
      <w:szCs w:val="20"/>
    </w:rPr>
  </w:style>
  <w:style w:type="character" w:customStyle="1" w:styleId="ALJBlockQuoteChar">
    <w:name w:val="ALJ Block Quote Char"/>
    <w:basedOn w:val="DefaultParagraphFont"/>
    <w:link w:val="ALJBlockQuote"/>
    <w:rsid w:val="00CA7933"/>
    <w:rPr>
      <w:rFonts w:ascii="Book Antiqua" w:hAnsi="Book Antiqua" w:cs="Times New Roman"/>
      <w:sz w:val="26"/>
      <w:szCs w:val="20"/>
    </w:rPr>
  </w:style>
  <w:style w:type="character" w:styleId="UnresolvedMention">
    <w:name w:val="Unresolved Mention"/>
    <w:basedOn w:val="DefaultParagraphFont"/>
    <w:uiPriority w:val="99"/>
    <w:semiHidden/>
    <w:unhideWhenUsed/>
    <w:rsid w:val="00B229E6"/>
    <w:rPr>
      <w:color w:val="605E5C"/>
      <w:shd w:val="clear" w:color="auto" w:fill="E1DFDD"/>
    </w:rPr>
  </w:style>
  <w:style w:type="paragraph" w:styleId="Revision">
    <w:name w:val="Revision"/>
    <w:hidden/>
    <w:uiPriority w:val="99"/>
    <w:semiHidden/>
    <w:rsid w:val="00FE61E5"/>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4B5B11"/>
    <w:rPr>
      <w:sz w:val="16"/>
      <w:szCs w:val="16"/>
    </w:rPr>
  </w:style>
  <w:style w:type="paragraph" w:styleId="CommentText">
    <w:name w:val="annotation text"/>
    <w:basedOn w:val="Normal"/>
    <w:link w:val="CommentTextChar"/>
    <w:uiPriority w:val="99"/>
    <w:unhideWhenUsed/>
    <w:rsid w:val="004B5B11"/>
    <w:pPr>
      <w:spacing w:line="240" w:lineRule="auto"/>
    </w:pPr>
    <w:rPr>
      <w:sz w:val="20"/>
      <w:szCs w:val="20"/>
    </w:rPr>
  </w:style>
  <w:style w:type="character" w:customStyle="1" w:styleId="CommentTextChar">
    <w:name w:val="Comment Text Char"/>
    <w:basedOn w:val="DefaultParagraphFont"/>
    <w:link w:val="CommentText"/>
    <w:uiPriority w:val="99"/>
    <w:rsid w:val="004B5B11"/>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4B5B11"/>
    <w:rPr>
      <w:b/>
      <w:bCs/>
    </w:rPr>
  </w:style>
  <w:style w:type="character" w:customStyle="1" w:styleId="CommentSubjectChar">
    <w:name w:val="Comment Subject Char"/>
    <w:basedOn w:val="CommentTextChar"/>
    <w:link w:val="CommentSubject"/>
    <w:uiPriority w:val="99"/>
    <w:semiHidden/>
    <w:rsid w:val="004B5B11"/>
    <w:rPr>
      <w:rFonts w:ascii="Book Antiqua" w:hAnsi="Book Antiqua"/>
      <w:b/>
      <w:bCs/>
      <w:sz w:val="20"/>
      <w:szCs w:val="20"/>
    </w:rPr>
  </w:style>
  <w:style w:type="character" w:customStyle="1" w:styleId="cf01">
    <w:name w:val="cf01"/>
    <w:basedOn w:val="DefaultParagraphFont"/>
    <w:rsid w:val="00272688"/>
    <w:rPr>
      <w:rFonts w:ascii="Segoe UI" w:hAnsi="Segoe UI" w:cs="Segoe UI" w:hint="default"/>
      <w:sz w:val="18"/>
      <w:szCs w:val="18"/>
    </w:rPr>
  </w:style>
  <w:style w:type="character" w:styleId="FollowedHyperlink">
    <w:name w:val="FollowedHyperlink"/>
    <w:basedOn w:val="DefaultParagraphFont"/>
    <w:uiPriority w:val="99"/>
    <w:semiHidden/>
    <w:unhideWhenUsed/>
    <w:rsid w:val="006C2A26"/>
    <w:rPr>
      <w:color w:val="954F72" w:themeColor="followedHyperlink"/>
      <w:u w:val="single"/>
    </w:rPr>
  </w:style>
  <w:style w:type="character" w:customStyle="1" w:styleId="UnresolvedMention1">
    <w:name w:val="Unresolved Mention1"/>
    <w:basedOn w:val="DefaultParagraphFont"/>
    <w:uiPriority w:val="99"/>
    <w:semiHidden/>
    <w:unhideWhenUsed/>
    <w:rsid w:val="00815866"/>
    <w:rPr>
      <w:color w:val="605E5C"/>
      <w:shd w:val="clear" w:color="auto" w:fill="E1DFDD"/>
    </w:rPr>
  </w:style>
  <w:style w:type="character" w:customStyle="1" w:styleId="Mention1">
    <w:name w:val="Mention1"/>
    <w:basedOn w:val="DefaultParagraphFont"/>
    <w:uiPriority w:val="99"/>
    <w:unhideWhenUsed/>
    <w:rsid w:val="00815866"/>
    <w:rPr>
      <w:color w:val="2B579A"/>
      <w:shd w:val="clear" w:color="auto" w:fill="E6E6E6"/>
    </w:rPr>
  </w:style>
  <w:style w:type="table" w:customStyle="1" w:styleId="TableGrid0">
    <w:name w:val="TableGrid"/>
    <w:rsid w:val="00815866"/>
    <w:pPr>
      <w:spacing w:after="0" w:line="240" w:lineRule="auto"/>
    </w:pPr>
    <w:rPr>
      <w:rFonts w:eastAsiaTheme="minorEastAsia"/>
      <w:kern w:val="2"/>
      <w:sz w:val="24"/>
      <w:szCs w:val="24"/>
      <w:lang w:eastAsia="zh-CN"/>
      <w14:ligatures w14:val="standardContextual"/>
    </w:rPr>
    <w:tblPr>
      <w:tblCellMar>
        <w:top w:w="0" w:type="dxa"/>
        <w:left w:w="0" w:type="dxa"/>
        <w:bottom w:w="0" w:type="dxa"/>
        <w:right w:w="0" w:type="dxa"/>
      </w:tblCellMar>
    </w:tblPr>
  </w:style>
  <w:style w:type="paragraph" w:styleId="NormalWeb">
    <w:name w:val="Normal (Web)"/>
    <w:basedOn w:val="Normal"/>
    <w:uiPriority w:val="99"/>
    <w:semiHidden/>
    <w:unhideWhenUsed/>
    <w:rsid w:val="00843B10"/>
    <w:pPr>
      <w:spacing w:before="100" w:beforeAutospacing="1" w:after="100" w:afterAutospacing="1" w:line="240" w:lineRule="auto"/>
      <w:ind w:firstLine="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files.cpuc.ca.gov/gopher-data/energy_division/EnergyEfficiency/Track2WorkingGroup/Meeting%202%20-%20April%2026/Reference/T1%20Working%20Group%20Report.pdf" TargetMode="External"/><Relationship Id="rId2" Type="http://schemas.openxmlformats.org/officeDocument/2006/relationships/hyperlink" Target="https://www.cpuc.ca.gov/-/media/cpuc-website/files/legacyfiles/c/6442451953-cpuc-ml-poe-dec12.pdf" TargetMode="External"/><Relationship Id="rId1" Type="http://schemas.openxmlformats.org/officeDocument/2006/relationships/hyperlink" Target="https://www.cpuc.ca.gov/-/media/cpuc-website/files/uploadedfiles/cpuc_public_website/content/utilities_and_industries/energy_-_electricity_and_natural_gas/cpuc-standard-practice-manual.pdf" TargetMode="External"/><Relationship Id="rId4" Type="http://schemas.openxmlformats.org/officeDocument/2006/relationships/hyperlink" Target="https://www.cpuc.ca.gov/-/media/cpuc-website/divisions/energy-division/documents/energy-efficiency/2023-potential-goals-study/final-group-e-workplan---2023-energy-efficiency-pg-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82EB-4AF1-47AD-8787-2E2FD0D4440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29</ap:Pages>
  <ap:Words>5240</ap:Words>
  <ap:Characters>29872</ap:Characters>
  <ap:Application>Microsoft Office Word</ap:Application>
  <ap:DocSecurity>0</ap:DocSecurity>
  <ap:Lines>248</ap:Lines>
  <ap:Paragraphs>70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35042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2023-08-17T09:53:39Z</dcterms:created>
  <dcterms:modified xsi:type="dcterms:W3CDTF">2023-08-17T09:53:39Z</dcterms:modified>
</cp:coreProperties>
</file>