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238F" w:rsidR="002C77FA" w:rsidP="002C77FA" w:rsidRDefault="002C77FA" w14:paraId="50A926C6" w14:textId="77777777">
      <w:pPr>
        <w:spacing w:before="9" w:line="240" w:lineRule="auto"/>
        <w:ind w:left="820"/>
        <w:rPr>
          <w:rFonts w:ascii="Helvetica" w:hAnsi="Helvetica" w:eastAsia="Arial" w:cs="Helvetica"/>
          <w:b/>
          <w:sz w:val="26"/>
          <w:szCs w:val="26"/>
        </w:rPr>
      </w:pPr>
      <w:r w:rsidRPr="002B238F">
        <w:rPr>
          <w:rFonts w:ascii="Helvetica" w:hAnsi="Helvetica" w:eastAsia="Arial" w:cs="Helvetica"/>
          <w:b/>
          <w:sz w:val="26"/>
          <w:szCs w:val="26"/>
        </w:rPr>
        <w:t>PU</w:t>
      </w:r>
      <w:r w:rsidRPr="002B238F">
        <w:rPr>
          <w:rFonts w:ascii="Helvetica" w:hAnsi="Helvetica" w:eastAsia="Arial" w:cs="Helvetica"/>
          <w:b/>
          <w:spacing w:val="-1"/>
          <w:sz w:val="26"/>
          <w:szCs w:val="26"/>
        </w:rPr>
        <w:t>B</w:t>
      </w:r>
      <w:r w:rsidRPr="002B238F">
        <w:rPr>
          <w:rFonts w:ascii="Helvetica" w:hAnsi="Helvetica" w:eastAsia="Arial" w:cs="Helvetica"/>
          <w:b/>
          <w:sz w:val="26"/>
          <w:szCs w:val="26"/>
        </w:rPr>
        <w:t>LIC UTILITI</w:t>
      </w:r>
      <w:r w:rsidRPr="002B238F">
        <w:rPr>
          <w:rFonts w:ascii="Helvetica" w:hAnsi="Helvetica" w:eastAsia="Arial" w:cs="Helvetica"/>
          <w:b/>
          <w:spacing w:val="1"/>
          <w:sz w:val="26"/>
          <w:szCs w:val="26"/>
        </w:rPr>
        <w:t>E</w:t>
      </w:r>
      <w:r w:rsidRPr="002B238F">
        <w:rPr>
          <w:rFonts w:ascii="Helvetica" w:hAnsi="Helvetica" w:eastAsia="Arial" w:cs="Helvetica"/>
          <w:b/>
          <w:sz w:val="26"/>
          <w:szCs w:val="26"/>
        </w:rPr>
        <w:t>S</w:t>
      </w:r>
      <w:r w:rsidRPr="002B238F">
        <w:rPr>
          <w:rFonts w:ascii="Helvetica" w:hAnsi="Helvetica" w:eastAsia="Arial" w:cs="Helvetica"/>
          <w:b/>
          <w:spacing w:val="1"/>
          <w:sz w:val="26"/>
          <w:szCs w:val="26"/>
        </w:rPr>
        <w:t xml:space="preserve"> </w:t>
      </w:r>
      <w:r w:rsidRPr="002B238F">
        <w:rPr>
          <w:rFonts w:ascii="Helvetica" w:hAnsi="Helvetica" w:eastAsia="Arial" w:cs="Helvetica"/>
          <w:b/>
          <w:spacing w:val="-2"/>
          <w:sz w:val="26"/>
          <w:szCs w:val="26"/>
        </w:rPr>
        <w:t>C</w:t>
      </w:r>
      <w:r w:rsidRPr="002B238F">
        <w:rPr>
          <w:rFonts w:ascii="Helvetica" w:hAnsi="Helvetica" w:eastAsia="Arial" w:cs="Helvetica"/>
          <w:b/>
          <w:sz w:val="26"/>
          <w:szCs w:val="26"/>
        </w:rPr>
        <w:t>OM</w:t>
      </w:r>
      <w:r w:rsidRPr="002B238F">
        <w:rPr>
          <w:rFonts w:ascii="Helvetica" w:hAnsi="Helvetica" w:eastAsia="Arial" w:cs="Helvetica"/>
          <w:b/>
          <w:spacing w:val="-1"/>
          <w:sz w:val="26"/>
          <w:szCs w:val="26"/>
        </w:rPr>
        <w:t>M</w:t>
      </w:r>
      <w:r w:rsidRPr="002B238F">
        <w:rPr>
          <w:rFonts w:ascii="Helvetica" w:hAnsi="Helvetica" w:eastAsia="Arial" w:cs="Helvetica"/>
          <w:b/>
          <w:sz w:val="26"/>
          <w:szCs w:val="26"/>
        </w:rPr>
        <w:t>I</w:t>
      </w:r>
      <w:r w:rsidRPr="002B238F">
        <w:rPr>
          <w:rFonts w:ascii="Helvetica" w:hAnsi="Helvetica" w:eastAsia="Arial" w:cs="Helvetica"/>
          <w:b/>
          <w:spacing w:val="1"/>
          <w:sz w:val="26"/>
          <w:szCs w:val="26"/>
        </w:rPr>
        <w:t>S</w:t>
      </w:r>
      <w:r w:rsidRPr="002B238F">
        <w:rPr>
          <w:rFonts w:ascii="Helvetica" w:hAnsi="Helvetica" w:eastAsia="Arial" w:cs="Helvetica"/>
          <w:b/>
          <w:sz w:val="26"/>
          <w:szCs w:val="26"/>
        </w:rPr>
        <w:t>SI</w:t>
      </w:r>
      <w:r w:rsidRPr="002B238F">
        <w:rPr>
          <w:rFonts w:ascii="Helvetica" w:hAnsi="Helvetica" w:eastAsia="Arial" w:cs="Helvetica"/>
          <w:b/>
          <w:spacing w:val="1"/>
          <w:sz w:val="26"/>
          <w:szCs w:val="26"/>
        </w:rPr>
        <w:t>O</w:t>
      </w:r>
      <w:r w:rsidRPr="002B238F">
        <w:rPr>
          <w:rFonts w:ascii="Helvetica" w:hAnsi="Helvetica" w:eastAsia="Arial" w:cs="Helvetica"/>
          <w:b/>
          <w:sz w:val="26"/>
          <w:szCs w:val="26"/>
        </w:rPr>
        <w:t>N OF THE</w:t>
      </w:r>
      <w:r w:rsidRPr="002B238F">
        <w:rPr>
          <w:rFonts w:ascii="Helvetica" w:hAnsi="Helvetica" w:eastAsia="Arial" w:cs="Helvetica"/>
          <w:b/>
          <w:spacing w:val="-2"/>
          <w:sz w:val="26"/>
          <w:szCs w:val="26"/>
        </w:rPr>
        <w:t xml:space="preserve"> </w:t>
      </w:r>
      <w:r w:rsidRPr="002B238F">
        <w:rPr>
          <w:rFonts w:ascii="Helvetica" w:hAnsi="Helvetica" w:eastAsia="Arial" w:cs="Helvetica"/>
          <w:b/>
          <w:sz w:val="26"/>
          <w:szCs w:val="26"/>
        </w:rPr>
        <w:t>S</w:t>
      </w:r>
      <w:r w:rsidRPr="002B238F">
        <w:rPr>
          <w:rFonts w:ascii="Helvetica" w:hAnsi="Helvetica" w:eastAsia="Arial" w:cs="Helvetica"/>
          <w:b/>
          <w:spacing w:val="2"/>
          <w:sz w:val="26"/>
          <w:szCs w:val="26"/>
        </w:rPr>
        <w:t>T</w:t>
      </w:r>
      <w:r w:rsidRPr="002B238F">
        <w:rPr>
          <w:rFonts w:ascii="Helvetica" w:hAnsi="Helvetica" w:eastAsia="Arial" w:cs="Helvetica"/>
          <w:b/>
          <w:spacing w:val="-5"/>
          <w:sz w:val="26"/>
          <w:szCs w:val="26"/>
        </w:rPr>
        <w:t>A</w:t>
      </w:r>
      <w:r w:rsidRPr="002B238F">
        <w:rPr>
          <w:rFonts w:ascii="Helvetica" w:hAnsi="Helvetica" w:eastAsia="Arial" w:cs="Helvetica"/>
          <w:b/>
          <w:sz w:val="26"/>
          <w:szCs w:val="26"/>
        </w:rPr>
        <w:t>TE</w:t>
      </w:r>
      <w:r w:rsidRPr="002B238F">
        <w:rPr>
          <w:rFonts w:ascii="Helvetica" w:hAnsi="Helvetica" w:eastAsia="Arial" w:cs="Helvetica"/>
          <w:b/>
          <w:spacing w:val="1"/>
          <w:sz w:val="26"/>
          <w:szCs w:val="26"/>
        </w:rPr>
        <w:t xml:space="preserve"> </w:t>
      </w:r>
      <w:r w:rsidRPr="002B238F">
        <w:rPr>
          <w:rFonts w:ascii="Helvetica" w:hAnsi="Helvetica" w:eastAsia="Arial" w:cs="Helvetica"/>
          <w:b/>
          <w:sz w:val="26"/>
          <w:szCs w:val="26"/>
        </w:rPr>
        <w:t>OF</w:t>
      </w:r>
      <w:r w:rsidRPr="002B238F">
        <w:rPr>
          <w:rFonts w:ascii="Helvetica" w:hAnsi="Helvetica" w:eastAsia="Arial" w:cs="Helvetica"/>
          <w:b/>
          <w:spacing w:val="1"/>
          <w:sz w:val="26"/>
          <w:szCs w:val="26"/>
        </w:rPr>
        <w:t xml:space="preserve"> </w:t>
      </w:r>
      <w:r w:rsidRPr="002B238F">
        <w:rPr>
          <w:rFonts w:ascii="Helvetica" w:hAnsi="Helvetica" w:eastAsia="Arial" w:cs="Helvetica"/>
          <w:b/>
          <w:spacing w:val="4"/>
          <w:sz w:val="26"/>
          <w:szCs w:val="26"/>
        </w:rPr>
        <w:t>C</w:t>
      </w:r>
      <w:r w:rsidRPr="002B238F">
        <w:rPr>
          <w:rFonts w:ascii="Helvetica" w:hAnsi="Helvetica" w:eastAsia="Arial" w:cs="Helvetica"/>
          <w:b/>
          <w:spacing w:val="-5"/>
          <w:sz w:val="26"/>
          <w:szCs w:val="26"/>
        </w:rPr>
        <w:t>A</w:t>
      </w:r>
      <w:r w:rsidRPr="002B238F">
        <w:rPr>
          <w:rFonts w:ascii="Helvetica" w:hAnsi="Helvetica" w:eastAsia="Arial" w:cs="Helvetica"/>
          <w:b/>
          <w:sz w:val="26"/>
          <w:szCs w:val="26"/>
        </w:rPr>
        <w:t>LIFO</w:t>
      </w:r>
      <w:r w:rsidRPr="002B238F">
        <w:rPr>
          <w:rFonts w:ascii="Helvetica" w:hAnsi="Helvetica" w:eastAsia="Arial" w:cs="Helvetica"/>
          <w:b/>
          <w:spacing w:val="2"/>
          <w:sz w:val="26"/>
          <w:szCs w:val="26"/>
        </w:rPr>
        <w:t>R</w:t>
      </w:r>
      <w:r w:rsidRPr="002B238F">
        <w:rPr>
          <w:rFonts w:ascii="Helvetica" w:hAnsi="Helvetica" w:eastAsia="Arial" w:cs="Helvetica"/>
          <w:b/>
          <w:sz w:val="26"/>
          <w:szCs w:val="26"/>
        </w:rPr>
        <w:t>N</w:t>
      </w:r>
      <w:r w:rsidRPr="002B238F">
        <w:rPr>
          <w:rFonts w:ascii="Helvetica" w:hAnsi="Helvetica" w:eastAsia="Arial" w:cs="Helvetica"/>
          <w:b/>
          <w:spacing w:val="2"/>
          <w:sz w:val="26"/>
          <w:szCs w:val="26"/>
        </w:rPr>
        <w:t>I</w:t>
      </w:r>
      <w:r w:rsidRPr="002B238F">
        <w:rPr>
          <w:rFonts w:ascii="Helvetica" w:hAnsi="Helvetica" w:eastAsia="Arial" w:cs="Helvetica"/>
          <w:b/>
          <w:sz w:val="26"/>
          <w:szCs w:val="26"/>
        </w:rPr>
        <w:t xml:space="preserve">A    </w:t>
      </w:r>
    </w:p>
    <w:p w:rsidRPr="002B238F" w:rsidR="002C77FA" w:rsidP="003B145C" w:rsidRDefault="002C77FA" w14:paraId="044149F5" w14:textId="199B58BA">
      <w:pPr>
        <w:spacing w:before="29" w:after="0" w:line="240" w:lineRule="auto"/>
        <w:ind w:left="6581" w:right="450" w:firstLine="79"/>
        <w:rPr>
          <w:rFonts w:ascii="Palatino Linotype" w:hAnsi="Palatino Linotype" w:eastAsia="Book Antiqua" w:cs="Book Antiqua"/>
          <w:sz w:val="24"/>
          <w:szCs w:val="24"/>
        </w:rPr>
      </w:pPr>
      <w:r w:rsidRPr="002B238F">
        <w:rPr>
          <w:rFonts w:ascii="Palatino Linotype" w:hAnsi="Palatino Linotype" w:eastAsia="Book Antiqua" w:cs="Book Antiqua"/>
          <w:b/>
          <w:sz w:val="24"/>
          <w:szCs w:val="24"/>
        </w:rPr>
        <w:t>AGE</w:t>
      </w:r>
      <w:r w:rsidRPr="002B238F">
        <w:rPr>
          <w:rFonts w:ascii="Palatino Linotype" w:hAnsi="Palatino Linotype" w:eastAsia="Book Antiqua" w:cs="Book Antiqua"/>
          <w:b/>
          <w:spacing w:val="-1"/>
          <w:sz w:val="24"/>
          <w:szCs w:val="24"/>
        </w:rPr>
        <w:t>ND</w:t>
      </w:r>
      <w:r w:rsidRPr="002B238F">
        <w:rPr>
          <w:rFonts w:ascii="Palatino Linotype" w:hAnsi="Palatino Linotype" w:eastAsia="Book Antiqua" w:cs="Book Antiqua"/>
          <w:b/>
          <w:sz w:val="24"/>
          <w:szCs w:val="24"/>
        </w:rPr>
        <w:t>A ID</w:t>
      </w:r>
      <w:r w:rsidR="003B145C">
        <w:rPr>
          <w:rFonts w:ascii="Palatino Linotype" w:hAnsi="Palatino Linotype" w:eastAsia="Book Antiqua" w:cs="Book Antiqua"/>
          <w:b/>
          <w:sz w:val="24"/>
          <w:szCs w:val="24"/>
        </w:rPr>
        <w:t>#</w:t>
      </w:r>
      <w:r w:rsidR="00FC4D7D">
        <w:rPr>
          <w:rFonts w:ascii="Palatino Linotype" w:hAnsi="Palatino Linotype" w:eastAsia="Book Antiqua" w:cs="Book Antiqua"/>
          <w:b/>
          <w:sz w:val="24"/>
          <w:szCs w:val="24"/>
        </w:rPr>
        <w:t xml:space="preserve"> </w:t>
      </w:r>
      <w:r w:rsidRPr="00FC4D7D" w:rsidR="00FC4D7D">
        <w:rPr>
          <w:rFonts w:ascii="Palatino Linotype" w:hAnsi="Palatino Linotype" w:eastAsia="Book Antiqua" w:cs="Book Antiqua"/>
          <w:b/>
          <w:sz w:val="24"/>
          <w:szCs w:val="24"/>
        </w:rPr>
        <w:t>21868</w:t>
      </w:r>
    </w:p>
    <w:p w:rsidRPr="002B238F" w:rsidR="002C77FA" w:rsidP="002C77FA" w:rsidRDefault="002C77FA" w14:paraId="57BEEF2E" w14:textId="2BB1677A">
      <w:pPr>
        <w:spacing w:after="0" w:line="240" w:lineRule="auto"/>
        <w:rPr>
          <w:rFonts w:ascii="Palatino Linotype" w:hAnsi="Palatino Linotype" w:eastAsia="Book Antiqua" w:cs="Book Antiqua"/>
          <w:sz w:val="24"/>
          <w:szCs w:val="24"/>
        </w:rPr>
      </w:pPr>
      <w:r w:rsidRPr="002B238F">
        <w:rPr>
          <w:rFonts w:ascii="Palatino Linotype" w:hAnsi="Palatino Linotype" w:eastAsia="Book Antiqua" w:cs="Book Antiqua"/>
          <w:b/>
          <w:bCs/>
          <w:position w:val="1"/>
          <w:sz w:val="24"/>
          <w:szCs w:val="24"/>
        </w:rPr>
        <w:t xml:space="preserve"> E</w:t>
      </w:r>
      <w:r w:rsidRPr="002B238F">
        <w:rPr>
          <w:rFonts w:ascii="Palatino Linotype" w:hAnsi="Palatino Linotype" w:eastAsia="Book Antiqua" w:cs="Book Antiqua"/>
          <w:b/>
          <w:bCs/>
          <w:spacing w:val="-1"/>
          <w:position w:val="1"/>
          <w:sz w:val="24"/>
          <w:szCs w:val="24"/>
        </w:rPr>
        <w:t>N</w:t>
      </w:r>
      <w:r w:rsidRPr="002B238F">
        <w:rPr>
          <w:rFonts w:ascii="Palatino Linotype" w:hAnsi="Palatino Linotype" w:eastAsia="Book Antiqua" w:cs="Book Antiqua"/>
          <w:b/>
          <w:bCs/>
          <w:position w:val="1"/>
          <w:sz w:val="24"/>
          <w:szCs w:val="24"/>
        </w:rPr>
        <w:t>ER</w:t>
      </w:r>
      <w:r w:rsidRPr="002B238F">
        <w:rPr>
          <w:rFonts w:ascii="Palatino Linotype" w:hAnsi="Palatino Linotype" w:eastAsia="Book Antiqua" w:cs="Book Antiqua"/>
          <w:b/>
          <w:bCs/>
          <w:spacing w:val="-1"/>
          <w:position w:val="1"/>
          <w:sz w:val="24"/>
          <w:szCs w:val="24"/>
        </w:rPr>
        <w:t>G</w:t>
      </w:r>
      <w:r w:rsidRPr="002B238F">
        <w:rPr>
          <w:rFonts w:ascii="Palatino Linotype" w:hAnsi="Palatino Linotype" w:eastAsia="Book Antiqua" w:cs="Book Antiqua"/>
          <w:b/>
          <w:bCs/>
          <w:position w:val="1"/>
          <w:sz w:val="24"/>
          <w:szCs w:val="24"/>
        </w:rPr>
        <w:t xml:space="preserve">Y DIVISION                                                             </w:t>
      </w:r>
      <w:r w:rsidR="003B145C">
        <w:rPr>
          <w:rFonts w:ascii="Palatino Linotype" w:hAnsi="Palatino Linotype" w:eastAsia="Book Antiqua" w:cs="Book Antiqua"/>
          <w:b/>
          <w:bCs/>
          <w:position w:val="1"/>
          <w:sz w:val="24"/>
          <w:szCs w:val="24"/>
        </w:rPr>
        <w:t xml:space="preserve">   </w:t>
      </w:r>
      <w:r w:rsidRPr="002B238F">
        <w:rPr>
          <w:rFonts w:ascii="Palatino Linotype" w:hAnsi="Palatino Linotype" w:eastAsia="Book Antiqua" w:cs="Book Antiqua"/>
          <w:b/>
          <w:bCs/>
          <w:position w:val="1"/>
          <w:sz w:val="24"/>
          <w:szCs w:val="24"/>
        </w:rPr>
        <w:t xml:space="preserve">   </w:t>
      </w:r>
      <w:r w:rsidR="003B145C">
        <w:rPr>
          <w:rFonts w:ascii="Palatino Linotype" w:hAnsi="Palatino Linotype" w:eastAsia="Book Antiqua" w:cs="Book Antiqua"/>
          <w:b/>
          <w:bCs/>
          <w:position w:val="1"/>
          <w:sz w:val="24"/>
          <w:szCs w:val="24"/>
        </w:rPr>
        <w:t xml:space="preserve">  </w:t>
      </w:r>
      <w:r w:rsidRPr="002B238F">
        <w:rPr>
          <w:rFonts w:ascii="Palatino Linotype" w:hAnsi="Palatino Linotype" w:eastAsia="Book Antiqua" w:cs="Book Antiqua"/>
          <w:b/>
          <w:bCs/>
          <w:position w:val="1"/>
          <w:sz w:val="24"/>
          <w:szCs w:val="24"/>
        </w:rPr>
        <w:t>RE</w:t>
      </w:r>
      <w:r w:rsidRPr="002B238F">
        <w:rPr>
          <w:rFonts w:ascii="Palatino Linotype" w:hAnsi="Palatino Linotype" w:eastAsia="Book Antiqua" w:cs="Book Antiqua"/>
          <w:b/>
          <w:bCs/>
          <w:spacing w:val="-1"/>
          <w:position w:val="1"/>
          <w:sz w:val="24"/>
          <w:szCs w:val="24"/>
        </w:rPr>
        <w:t>SO</w:t>
      </w:r>
      <w:r w:rsidRPr="002B238F">
        <w:rPr>
          <w:rFonts w:ascii="Palatino Linotype" w:hAnsi="Palatino Linotype" w:eastAsia="Book Antiqua" w:cs="Book Antiqua"/>
          <w:b/>
          <w:bCs/>
          <w:position w:val="1"/>
          <w:sz w:val="24"/>
          <w:szCs w:val="24"/>
        </w:rPr>
        <w:t>LU</w:t>
      </w:r>
      <w:r w:rsidRPr="002B238F">
        <w:rPr>
          <w:rFonts w:ascii="Palatino Linotype" w:hAnsi="Palatino Linotype" w:eastAsia="Book Antiqua" w:cs="Book Antiqua"/>
          <w:b/>
          <w:bCs/>
          <w:spacing w:val="1"/>
          <w:position w:val="1"/>
          <w:sz w:val="24"/>
          <w:szCs w:val="24"/>
        </w:rPr>
        <w:t>T</w:t>
      </w:r>
      <w:r w:rsidRPr="002B238F">
        <w:rPr>
          <w:rFonts w:ascii="Palatino Linotype" w:hAnsi="Palatino Linotype" w:eastAsia="Book Antiqua" w:cs="Book Antiqua"/>
          <w:b/>
          <w:bCs/>
          <w:position w:val="1"/>
          <w:sz w:val="24"/>
          <w:szCs w:val="24"/>
        </w:rPr>
        <w:t xml:space="preserve">ION </w:t>
      </w:r>
      <w:r w:rsidRPr="002B238F" w:rsidR="0C7D4304">
        <w:rPr>
          <w:rFonts w:ascii="Palatino Linotype" w:hAnsi="Palatino Linotype" w:eastAsia="Book Antiqua" w:cs="Book Antiqua"/>
          <w:b/>
          <w:bCs/>
          <w:position w:val="1"/>
          <w:sz w:val="24"/>
          <w:szCs w:val="24"/>
        </w:rPr>
        <w:t>E-5290</w:t>
      </w:r>
    </w:p>
    <w:p w:rsidRPr="002B238F" w:rsidR="002C77FA" w:rsidP="002C77FA" w:rsidRDefault="003B145C" w14:paraId="52EA93DF" w14:textId="6C6DF268">
      <w:pPr>
        <w:spacing w:before="1" w:after="0" w:line="240" w:lineRule="auto"/>
        <w:ind w:left="5760" w:right="20" w:firstLine="720"/>
        <w:rPr>
          <w:rFonts w:ascii="Palatino Linotype" w:hAnsi="Palatino Linotype" w:eastAsia="Book Antiqua" w:cs="Book Antiqua"/>
          <w:sz w:val="24"/>
          <w:szCs w:val="24"/>
        </w:rPr>
      </w:pPr>
      <w:r>
        <w:rPr>
          <w:rFonts w:ascii="Palatino Linotype" w:hAnsi="Palatino Linotype" w:eastAsia="Book Antiqua" w:cs="Book Antiqua"/>
          <w:b/>
          <w:bCs/>
          <w:sz w:val="24"/>
          <w:szCs w:val="24"/>
        </w:rPr>
        <w:t xml:space="preserve">        </w:t>
      </w:r>
      <w:r w:rsidRPr="002B238F" w:rsidR="2A59D32A">
        <w:rPr>
          <w:rFonts w:ascii="Palatino Linotype" w:hAnsi="Palatino Linotype" w:eastAsia="Book Antiqua" w:cs="Book Antiqua"/>
          <w:b/>
          <w:bCs/>
          <w:sz w:val="24"/>
          <w:szCs w:val="24"/>
        </w:rPr>
        <w:t xml:space="preserve">November </w:t>
      </w:r>
      <w:r w:rsidRPr="002B238F" w:rsidR="00DE204D">
        <w:rPr>
          <w:rFonts w:ascii="Palatino Linotype" w:hAnsi="Palatino Linotype" w:eastAsia="Book Antiqua" w:cs="Book Antiqua"/>
          <w:b/>
          <w:bCs/>
          <w:sz w:val="24"/>
          <w:szCs w:val="24"/>
        </w:rPr>
        <w:t>2</w:t>
      </w:r>
      <w:r w:rsidRPr="002B238F" w:rsidR="002C77FA">
        <w:rPr>
          <w:rFonts w:ascii="Palatino Linotype" w:hAnsi="Palatino Linotype" w:eastAsia="Book Antiqua" w:cs="Book Antiqua"/>
          <w:b/>
          <w:bCs/>
          <w:sz w:val="24"/>
          <w:szCs w:val="24"/>
        </w:rPr>
        <w:t>, 20</w:t>
      </w:r>
      <w:r w:rsidRPr="002B238F" w:rsidR="00037F4C">
        <w:rPr>
          <w:rFonts w:ascii="Palatino Linotype" w:hAnsi="Palatino Linotype" w:eastAsia="Book Antiqua" w:cs="Book Antiqua"/>
          <w:b/>
          <w:bCs/>
          <w:sz w:val="24"/>
          <w:szCs w:val="24"/>
        </w:rPr>
        <w:t>23</w:t>
      </w:r>
    </w:p>
    <w:p w:rsidRPr="002B238F" w:rsidR="002C77FA" w:rsidP="002C77FA" w:rsidRDefault="002C77FA" w14:paraId="0C37BBE4" w14:textId="77777777">
      <w:pPr>
        <w:tabs>
          <w:tab w:val="right" w:pos="8910"/>
        </w:tabs>
        <w:ind w:left="1440" w:firstLine="720"/>
        <w:rPr>
          <w:rFonts w:ascii="Palatino Linotype" w:hAnsi="Palatino Linotype"/>
          <w:b/>
          <w:sz w:val="24"/>
          <w:szCs w:val="24"/>
        </w:rPr>
      </w:pPr>
    </w:p>
    <w:p w:rsidRPr="002B238F" w:rsidR="002C77FA" w:rsidP="002C77FA" w:rsidRDefault="002C77FA" w14:paraId="512FC031" w14:textId="77777777">
      <w:pPr>
        <w:pStyle w:val="mainex"/>
        <w:rPr>
          <w:rFonts w:ascii="Palatino Linotype" w:hAnsi="Palatino Linotype"/>
          <w:sz w:val="24"/>
          <w:szCs w:val="24"/>
          <w:u w:val="single"/>
        </w:rPr>
      </w:pPr>
      <w:r w:rsidRPr="002B238F">
        <w:rPr>
          <w:rFonts w:ascii="Palatino Linotype" w:hAnsi="Palatino Linotype"/>
          <w:sz w:val="24"/>
          <w:szCs w:val="24"/>
          <w:u w:val="single"/>
        </w:rPr>
        <w:t>RESOLUTION</w:t>
      </w:r>
    </w:p>
    <w:p w:rsidRPr="002B238F" w:rsidR="002C77FA" w:rsidP="002C77FA" w:rsidRDefault="002C77FA" w14:paraId="2FECF1A4" w14:textId="77777777">
      <w:pPr>
        <w:rPr>
          <w:rFonts w:ascii="Palatino Linotype" w:hAnsi="Palatino Linotype"/>
          <w:sz w:val="24"/>
          <w:szCs w:val="24"/>
        </w:rPr>
      </w:pPr>
    </w:p>
    <w:p w:rsidRPr="002B238F" w:rsidR="002C77FA" w:rsidP="002C77FA" w:rsidRDefault="002C77FA" w14:paraId="2FFEF240" w14:textId="009D6FF4">
      <w:pPr>
        <w:pStyle w:val="Res-Caption"/>
        <w:rPr>
          <w:rFonts w:ascii="Palatino Linotype" w:hAnsi="Palatino Linotype"/>
          <w:sz w:val="24"/>
          <w:szCs w:val="24"/>
        </w:rPr>
      </w:pPr>
      <w:r w:rsidRPr="002B238F">
        <w:rPr>
          <w:rFonts w:ascii="Palatino Linotype" w:hAnsi="Palatino Linotype"/>
          <w:sz w:val="24"/>
          <w:szCs w:val="24"/>
        </w:rPr>
        <w:t>Resolution E-</w:t>
      </w:r>
      <w:r w:rsidRPr="002B238F" w:rsidR="00444E7A">
        <w:rPr>
          <w:rFonts w:ascii="Palatino Linotype" w:hAnsi="Palatino Linotype"/>
          <w:sz w:val="24"/>
          <w:szCs w:val="24"/>
        </w:rPr>
        <w:t>52</w:t>
      </w:r>
      <w:r w:rsidRPr="002B238F" w:rsidR="7675AE10">
        <w:rPr>
          <w:rFonts w:ascii="Palatino Linotype" w:hAnsi="Palatino Linotype"/>
          <w:sz w:val="24"/>
          <w:szCs w:val="24"/>
        </w:rPr>
        <w:t>90</w:t>
      </w:r>
      <w:r w:rsidRPr="002B238F">
        <w:rPr>
          <w:rFonts w:ascii="Palatino Linotype" w:hAnsi="Palatino Linotype"/>
          <w:sz w:val="24"/>
          <w:szCs w:val="24"/>
        </w:rPr>
        <w:t xml:space="preserve"> </w:t>
      </w:r>
      <w:r w:rsidRPr="002B238F" w:rsidR="00261742">
        <w:rPr>
          <w:rFonts w:ascii="Palatino Linotype" w:hAnsi="Palatino Linotype"/>
          <w:sz w:val="24"/>
          <w:szCs w:val="24"/>
        </w:rPr>
        <w:t>pertains to</w:t>
      </w:r>
      <w:r w:rsidRPr="002B238F">
        <w:rPr>
          <w:rFonts w:ascii="Palatino Linotype" w:hAnsi="Palatino Linotype"/>
          <w:sz w:val="24"/>
          <w:szCs w:val="24"/>
        </w:rPr>
        <w:t xml:space="preserve"> Southern California Edison’s site prioritization criteria, updated budget, and number of </w:t>
      </w:r>
      <w:r w:rsidRPr="002B238F" w:rsidR="00D24890">
        <w:rPr>
          <w:rFonts w:ascii="Palatino Linotype" w:hAnsi="Palatino Linotype"/>
          <w:sz w:val="24"/>
          <w:szCs w:val="24"/>
        </w:rPr>
        <w:t xml:space="preserve">charging </w:t>
      </w:r>
      <w:r w:rsidRPr="002B238F">
        <w:rPr>
          <w:rFonts w:ascii="Palatino Linotype" w:hAnsi="Palatino Linotype"/>
          <w:sz w:val="24"/>
          <w:szCs w:val="24"/>
        </w:rPr>
        <w:t xml:space="preserve">ports and sites SCE will target through the Direct Current Fast Charging (DCFC) component of the </w:t>
      </w:r>
      <w:r w:rsidRPr="002B238F" w:rsidR="00734E81">
        <w:rPr>
          <w:rFonts w:ascii="Palatino Linotype" w:hAnsi="Palatino Linotype"/>
          <w:sz w:val="24"/>
          <w:szCs w:val="24"/>
        </w:rPr>
        <w:t xml:space="preserve">Charge Ready 2 </w:t>
      </w:r>
      <w:r w:rsidRPr="002B238F">
        <w:rPr>
          <w:rFonts w:ascii="Palatino Linotype" w:hAnsi="Palatino Linotype"/>
          <w:sz w:val="24"/>
          <w:szCs w:val="24"/>
        </w:rPr>
        <w:t>Make-Ready Expansion program.</w:t>
      </w:r>
      <w:r w:rsidRPr="002B238F">
        <w:rPr>
          <w:rStyle w:val="FootnoteReference"/>
          <w:rFonts w:ascii="Palatino Linotype" w:hAnsi="Palatino Linotype"/>
          <w:sz w:val="24"/>
          <w:szCs w:val="24"/>
        </w:rPr>
        <w:footnoteReference w:id="2"/>
      </w:r>
    </w:p>
    <w:p w:rsidRPr="002B238F" w:rsidR="002C77FA" w:rsidP="002C77FA" w:rsidRDefault="002C77FA" w14:paraId="62A05AA3" w14:textId="77777777">
      <w:pPr>
        <w:pStyle w:val="Res-Caption"/>
        <w:ind w:left="0"/>
        <w:rPr>
          <w:rFonts w:ascii="Palatino Linotype" w:hAnsi="Palatino Linotype"/>
          <w:sz w:val="24"/>
          <w:szCs w:val="24"/>
        </w:rPr>
      </w:pPr>
    </w:p>
    <w:p w:rsidRPr="002B238F" w:rsidR="002C77FA" w:rsidP="002C77FA" w:rsidRDefault="002C77FA" w14:paraId="3CC213CE" w14:textId="77777777">
      <w:pPr>
        <w:pStyle w:val="Res-Caption"/>
        <w:rPr>
          <w:rFonts w:ascii="Palatino Linotype" w:hAnsi="Palatino Linotype"/>
          <w:sz w:val="24"/>
          <w:szCs w:val="24"/>
        </w:rPr>
      </w:pPr>
      <w:r w:rsidRPr="002B238F">
        <w:rPr>
          <w:rFonts w:ascii="Palatino Linotype" w:hAnsi="Palatino Linotype"/>
          <w:sz w:val="24"/>
          <w:szCs w:val="24"/>
        </w:rPr>
        <w:t>PROPOSED OUTCOME:</w:t>
      </w:r>
    </w:p>
    <w:p w:rsidRPr="002B238F" w:rsidR="002C77FA" w:rsidP="002C77FA" w:rsidRDefault="002C77FA" w14:paraId="7C7E9196" w14:textId="664E3E7C">
      <w:pPr>
        <w:pStyle w:val="Res-Caption"/>
        <w:numPr>
          <w:ilvl w:val="0"/>
          <w:numId w:val="5"/>
        </w:numPr>
        <w:rPr>
          <w:rFonts w:ascii="Palatino Linotype" w:hAnsi="Palatino Linotype"/>
          <w:sz w:val="24"/>
          <w:szCs w:val="24"/>
        </w:rPr>
      </w:pPr>
      <w:r w:rsidRPr="002B238F">
        <w:rPr>
          <w:rFonts w:ascii="Palatino Linotype" w:hAnsi="Palatino Linotype"/>
          <w:sz w:val="24"/>
          <w:szCs w:val="24"/>
        </w:rPr>
        <w:t>This Resolution approves</w:t>
      </w:r>
      <w:r w:rsidRPr="002B238F" w:rsidR="00027F30">
        <w:rPr>
          <w:rFonts w:ascii="Palatino Linotype" w:hAnsi="Palatino Linotype"/>
          <w:sz w:val="24"/>
          <w:szCs w:val="24"/>
        </w:rPr>
        <w:t>, with modifications,</w:t>
      </w:r>
      <w:r w:rsidRPr="002B238F">
        <w:rPr>
          <w:rFonts w:ascii="Palatino Linotype" w:hAnsi="Palatino Linotype"/>
          <w:sz w:val="24"/>
          <w:szCs w:val="24"/>
        </w:rPr>
        <w:t xml:space="preserve"> Southern California Edison Company’s (SCE) plan for site prioritization, budget, and </w:t>
      </w:r>
      <w:r w:rsidRPr="002B238F" w:rsidR="005D01B7">
        <w:rPr>
          <w:rFonts w:ascii="Palatino Linotype" w:hAnsi="Palatino Linotype"/>
          <w:sz w:val="24"/>
          <w:szCs w:val="24"/>
        </w:rPr>
        <w:t xml:space="preserve">number of charging </w:t>
      </w:r>
      <w:r w:rsidRPr="002B238F">
        <w:rPr>
          <w:rFonts w:ascii="Palatino Linotype" w:hAnsi="Palatino Linotype"/>
          <w:sz w:val="24"/>
          <w:szCs w:val="24"/>
        </w:rPr>
        <w:t>ports and sites SCE will target for DCFC installations, in compliance with Decision (D.) 20-08-045.</w:t>
      </w:r>
    </w:p>
    <w:p w:rsidRPr="002B238F" w:rsidR="002C77FA" w:rsidP="002C77FA" w:rsidRDefault="002C77FA" w14:paraId="1EA419D6" w14:textId="77777777">
      <w:pPr>
        <w:pStyle w:val="Res-Caption"/>
        <w:ind w:left="1575"/>
        <w:rPr>
          <w:rFonts w:ascii="Palatino Linotype" w:hAnsi="Palatino Linotype"/>
          <w:sz w:val="24"/>
          <w:szCs w:val="24"/>
        </w:rPr>
      </w:pPr>
    </w:p>
    <w:p w:rsidRPr="002B238F" w:rsidR="002C77FA" w:rsidP="002C77FA" w:rsidRDefault="002C77FA" w14:paraId="187FE16A" w14:textId="77777777">
      <w:pPr>
        <w:autoSpaceDE w:val="0"/>
        <w:autoSpaceDN w:val="0"/>
        <w:ind w:left="720" w:right="720"/>
        <w:rPr>
          <w:rFonts w:ascii="Palatino Linotype" w:hAnsi="Palatino Linotype" w:eastAsia="Times New Roman" w:cs="Times New Roman"/>
          <w:sz w:val="24"/>
          <w:szCs w:val="24"/>
        </w:rPr>
      </w:pPr>
      <w:r w:rsidRPr="002B238F">
        <w:rPr>
          <w:rFonts w:ascii="Palatino Linotype" w:hAnsi="Palatino Linotype" w:eastAsia="Times New Roman" w:cs="Times New Roman"/>
          <w:sz w:val="24"/>
          <w:szCs w:val="24"/>
        </w:rPr>
        <w:t>SAFETY CONSIDERATIONS:</w:t>
      </w:r>
    </w:p>
    <w:p w:rsidRPr="002B238F" w:rsidR="002C77FA" w:rsidP="002C77FA" w:rsidRDefault="002C77FA" w14:paraId="7CF75B99" w14:textId="62C019E6">
      <w:pPr>
        <w:pStyle w:val="Res-Caption"/>
        <w:numPr>
          <w:ilvl w:val="0"/>
          <w:numId w:val="5"/>
        </w:numPr>
        <w:rPr>
          <w:rFonts w:ascii="Palatino Linotype" w:hAnsi="Palatino Linotype"/>
          <w:sz w:val="24"/>
          <w:szCs w:val="24"/>
        </w:rPr>
      </w:pPr>
      <w:r w:rsidRPr="002B238F">
        <w:rPr>
          <w:rFonts w:ascii="Palatino Linotype" w:hAnsi="Palatino Linotype"/>
          <w:sz w:val="24"/>
          <w:szCs w:val="24"/>
        </w:rPr>
        <w:t xml:space="preserve">There is no </w:t>
      </w:r>
      <w:r w:rsidRPr="002B238F" w:rsidR="005D01B7">
        <w:rPr>
          <w:rFonts w:ascii="Palatino Linotype" w:hAnsi="Palatino Linotype"/>
          <w:sz w:val="24"/>
          <w:szCs w:val="24"/>
        </w:rPr>
        <w:t>incremental</w:t>
      </w:r>
      <w:r w:rsidRPr="002B238F">
        <w:rPr>
          <w:rFonts w:ascii="Palatino Linotype" w:hAnsi="Palatino Linotype"/>
          <w:sz w:val="24"/>
          <w:szCs w:val="24"/>
        </w:rPr>
        <w:t xml:space="preserve"> impact on safety. SCE must comply with the Safety Requirements Checklist for Transportation Electrification programs</w:t>
      </w:r>
      <w:r w:rsidRPr="002B238F" w:rsidR="005D01B7">
        <w:rPr>
          <w:rFonts w:ascii="Palatino Linotype" w:hAnsi="Palatino Linotype"/>
          <w:sz w:val="24"/>
          <w:szCs w:val="24"/>
        </w:rPr>
        <w:t xml:space="preserve"> </w:t>
      </w:r>
      <w:r w:rsidRPr="002B238F" w:rsidR="0029037E">
        <w:rPr>
          <w:rFonts w:ascii="Palatino Linotype" w:hAnsi="Palatino Linotype"/>
          <w:sz w:val="24"/>
          <w:szCs w:val="24"/>
        </w:rPr>
        <w:t>that</w:t>
      </w:r>
      <w:r w:rsidRPr="002B238F">
        <w:rPr>
          <w:rFonts w:ascii="Palatino Linotype" w:hAnsi="Palatino Linotype"/>
          <w:sz w:val="24"/>
          <w:szCs w:val="24"/>
        </w:rPr>
        <w:t xml:space="preserve"> the California Public Utilities Commission adopted in D.18-05-040. </w:t>
      </w:r>
    </w:p>
    <w:p w:rsidRPr="002B238F" w:rsidR="002C77FA" w:rsidP="002C77FA" w:rsidRDefault="002C77FA" w14:paraId="3881F059" w14:textId="77777777">
      <w:pPr>
        <w:pStyle w:val="Res-Caption"/>
        <w:rPr>
          <w:rFonts w:ascii="Palatino Linotype" w:hAnsi="Palatino Linotype"/>
          <w:sz w:val="24"/>
          <w:szCs w:val="24"/>
        </w:rPr>
      </w:pPr>
    </w:p>
    <w:p w:rsidRPr="002B238F" w:rsidR="002C77FA" w:rsidP="002C77FA" w:rsidRDefault="002C77FA" w14:paraId="6BEE523B" w14:textId="77777777">
      <w:pPr>
        <w:pStyle w:val="Res-Caption"/>
        <w:rPr>
          <w:rFonts w:ascii="Palatino Linotype" w:hAnsi="Palatino Linotype"/>
          <w:sz w:val="24"/>
          <w:szCs w:val="24"/>
        </w:rPr>
      </w:pPr>
      <w:r w:rsidRPr="002B238F">
        <w:rPr>
          <w:rFonts w:ascii="Palatino Linotype" w:hAnsi="Palatino Linotype"/>
          <w:sz w:val="24"/>
          <w:szCs w:val="24"/>
        </w:rPr>
        <w:t>ESTIMATED COST:</w:t>
      </w:r>
    </w:p>
    <w:p w:rsidRPr="002B238F" w:rsidR="002C77FA" w:rsidP="002C77FA" w:rsidRDefault="002C77FA" w14:paraId="30D5A1B6" w14:textId="7A6FB18D">
      <w:pPr>
        <w:pStyle w:val="Res-Caption"/>
        <w:numPr>
          <w:ilvl w:val="0"/>
          <w:numId w:val="5"/>
        </w:numPr>
        <w:rPr>
          <w:rFonts w:ascii="Palatino Linotype" w:hAnsi="Palatino Linotype" w:cs="Arial"/>
          <w:sz w:val="24"/>
          <w:szCs w:val="24"/>
        </w:rPr>
      </w:pPr>
      <w:r w:rsidRPr="002B238F">
        <w:rPr>
          <w:rFonts w:ascii="Palatino Linotype" w:hAnsi="Palatino Linotype"/>
          <w:sz w:val="24"/>
          <w:szCs w:val="24"/>
        </w:rPr>
        <w:t>This Resolution has no direct cost impact. The California Public Utilities Commission authorized Southern California Edison Company’s</w:t>
      </w:r>
      <w:r w:rsidRPr="002B238F" w:rsidR="0029037E">
        <w:rPr>
          <w:rFonts w:ascii="Palatino Linotype" w:hAnsi="Palatino Linotype"/>
          <w:sz w:val="24"/>
          <w:szCs w:val="24"/>
        </w:rPr>
        <w:t xml:space="preserve"> implementation of the</w:t>
      </w:r>
      <w:r w:rsidRPr="002B238F">
        <w:rPr>
          <w:rFonts w:ascii="Palatino Linotype" w:hAnsi="Palatino Linotype"/>
          <w:sz w:val="24"/>
          <w:szCs w:val="24"/>
        </w:rPr>
        <w:t xml:space="preserve"> Charge Ready 2 program via D. 20-08-045, and this Resolution does not modify that budget. </w:t>
      </w:r>
    </w:p>
    <w:p w:rsidRPr="002B238F" w:rsidR="002C77FA" w:rsidP="002C77FA" w:rsidRDefault="002C77FA" w14:paraId="0EA99BC3" w14:textId="77777777">
      <w:pPr>
        <w:autoSpaceDE w:val="0"/>
        <w:autoSpaceDN w:val="0"/>
        <w:ind w:left="720" w:right="720"/>
        <w:rPr>
          <w:rFonts w:ascii="Palatino Linotype" w:hAnsi="Palatino Linotype" w:eastAsia="Times New Roman" w:cs="Times New Roman"/>
          <w:sz w:val="24"/>
          <w:szCs w:val="24"/>
        </w:rPr>
      </w:pPr>
    </w:p>
    <w:p w:rsidRPr="002B238F" w:rsidR="002C77FA" w:rsidP="002C77FA" w:rsidRDefault="002C77FA" w14:paraId="1BC936BF" w14:textId="270D7AFE">
      <w:pPr>
        <w:autoSpaceDE w:val="0"/>
        <w:autoSpaceDN w:val="0"/>
        <w:ind w:left="720" w:right="720"/>
        <w:rPr>
          <w:rFonts w:ascii="Palatino Linotype" w:hAnsi="Palatino Linotype" w:eastAsia="Times New Roman" w:cs="Times New Roman"/>
          <w:sz w:val="24"/>
          <w:szCs w:val="24"/>
        </w:rPr>
      </w:pPr>
      <w:r w:rsidRPr="002B238F">
        <w:rPr>
          <w:rFonts w:ascii="Palatino Linotype" w:hAnsi="Palatino Linotype" w:eastAsia="Times New Roman" w:cs="Times New Roman"/>
          <w:sz w:val="24"/>
          <w:szCs w:val="24"/>
        </w:rPr>
        <w:t>By</w:t>
      </w:r>
      <w:r w:rsidRPr="002B238F" w:rsidR="0083234A">
        <w:rPr>
          <w:rFonts w:ascii="Palatino Linotype" w:hAnsi="Palatino Linotype" w:eastAsia="Times New Roman" w:cs="Times New Roman"/>
          <w:sz w:val="24"/>
          <w:szCs w:val="24"/>
        </w:rPr>
        <w:t xml:space="preserve"> </w:t>
      </w:r>
      <w:r w:rsidRPr="002B238F">
        <w:rPr>
          <w:rFonts w:ascii="Palatino Linotype" w:hAnsi="Palatino Linotype" w:eastAsia="Times New Roman" w:cs="Times New Roman"/>
          <w:sz w:val="24"/>
          <w:szCs w:val="24"/>
        </w:rPr>
        <w:t>Advice Letter 4433-E</w:t>
      </w:r>
      <w:r w:rsidR="006E59A5">
        <w:rPr>
          <w:rFonts w:ascii="Palatino Linotype" w:hAnsi="Palatino Linotype" w:eastAsia="Times New Roman" w:cs="Times New Roman"/>
          <w:sz w:val="24"/>
          <w:szCs w:val="24"/>
        </w:rPr>
        <w:t xml:space="preserve"> and 4433-E-A</w:t>
      </w:r>
      <w:r w:rsidRPr="002B238F">
        <w:rPr>
          <w:rFonts w:ascii="Palatino Linotype" w:hAnsi="Palatino Linotype" w:eastAsia="Times New Roman" w:cs="Times New Roman"/>
          <w:sz w:val="24"/>
          <w:szCs w:val="24"/>
        </w:rPr>
        <w:t xml:space="preserve"> filed </w:t>
      </w:r>
      <w:r w:rsidRPr="002B238F" w:rsidR="002502C9">
        <w:rPr>
          <w:rFonts w:ascii="Palatino Linotype" w:hAnsi="Palatino Linotype"/>
          <w:sz w:val="24"/>
          <w:szCs w:val="24"/>
        </w:rPr>
        <w:t>o</w:t>
      </w:r>
      <w:r w:rsidRPr="002B238F">
        <w:rPr>
          <w:rFonts w:ascii="Palatino Linotype" w:hAnsi="Palatino Linotype"/>
          <w:sz w:val="24"/>
          <w:szCs w:val="24"/>
        </w:rPr>
        <w:t xml:space="preserve">n March </w:t>
      </w:r>
      <w:r w:rsidR="006E59A5">
        <w:rPr>
          <w:rFonts w:ascii="Palatino Linotype" w:hAnsi="Palatino Linotype"/>
          <w:sz w:val="24"/>
          <w:szCs w:val="24"/>
        </w:rPr>
        <w:t>04</w:t>
      </w:r>
      <w:r w:rsidRPr="002B238F">
        <w:rPr>
          <w:rFonts w:ascii="Palatino Linotype" w:hAnsi="Palatino Linotype"/>
          <w:sz w:val="24"/>
          <w:szCs w:val="24"/>
        </w:rPr>
        <w:t xml:space="preserve">, </w:t>
      </w:r>
      <w:proofErr w:type="gramStart"/>
      <w:r w:rsidRPr="002B238F">
        <w:rPr>
          <w:rFonts w:ascii="Palatino Linotype" w:hAnsi="Palatino Linotype"/>
          <w:sz w:val="24"/>
          <w:szCs w:val="24"/>
        </w:rPr>
        <w:t>202</w:t>
      </w:r>
      <w:r w:rsidR="006E59A5">
        <w:rPr>
          <w:rFonts w:ascii="Palatino Linotype" w:hAnsi="Palatino Linotype"/>
          <w:sz w:val="24"/>
          <w:szCs w:val="24"/>
        </w:rPr>
        <w:t>1</w:t>
      </w:r>
      <w:proofErr w:type="gramEnd"/>
      <w:r w:rsidR="006E59A5">
        <w:rPr>
          <w:rFonts w:ascii="Palatino Linotype" w:hAnsi="Palatino Linotype" w:eastAsia="Times New Roman" w:cs="Times New Roman"/>
          <w:sz w:val="24"/>
          <w:szCs w:val="24"/>
        </w:rPr>
        <w:t xml:space="preserve"> and </w:t>
      </w:r>
      <w:r w:rsidR="006E59A5">
        <w:rPr>
          <w:rFonts w:ascii="Palatino Linotype" w:hAnsi="Palatino Linotype" w:eastAsia="Times New Roman" w:cs="Times New Roman"/>
          <w:sz w:val="24"/>
          <w:szCs w:val="24"/>
        </w:rPr>
        <w:br/>
        <w:t>March 31, 2023.</w:t>
      </w:r>
      <w:r w:rsidRPr="002B238F">
        <w:rPr>
          <w:rFonts w:ascii="Palatino Linotype" w:hAnsi="Palatino Linotype"/>
          <w:sz w:val="24"/>
          <w:szCs w:val="24"/>
        </w:rPr>
        <w:br/>
      </w:r>
    </w:p>
    <w:p w:rsidRPr="002B238F" w:rsidR="002C77FA" w:rsidP="002C77FA" w:rsidRDefault="002C77FA" w14:paraId="11460BFD" w14:textId="77777777">
      <w:pPr>
        <w:pStyle w:val="Heading1"/>
        <w:jc w:val="both"/>
        <w:rPr>
          <w:rFonts w:ascii="Palatino Linotype" w:hAnsi="Palatino Linotype" w:cs="Helvetica"/>
          <w:sz w:val="24"/>
          <w:szCs w:val="24"/>
        </w:rPr>
      </w:pPr>
      <w:r w:rsidRPr="002B238F">
        <w:rPr>
          <w:rFonts w:ascii="Palatino Linotype" w:hAnsi="Palatino Linotype" w:cs="Helvetica"/>
          <w:sz w:val="24"/>
          <w:szCs w:val="24"/>
        </w:rPr>
        <w:lastRenderedPageBreak/>
        <w:t>Summary</w:t>
      </w:r>
    </w:p>
    <w:p w:rsidRPr="002B238F" w:rsidR="0083234A" w:rsidP="002C77FA" w:rsidRDefault="002C77FA" w14:paraId="0583406F" w14:textId="2E7ADBFE">
      <w:pPr>
        <w:autoSpaceDE w:val="0"/>
        <w:autoSpaceDN w:val="0"/>
        <w:rPr>
          <w:rFonts w:ascii="Palatino Linotype" w:hAnsi="Palatino Linotype"/>
          <w:b/>
          <w:bCs/>
          <w:sz w:val="24"/>
          <w:szCs w:val="24"/>
        </w:rPr>
      </w:pPr>
      <w:r w:rsidRPr="002B238F">
        <w:rPr>
          <w:rFonts w:ascii="Palatino Linotype" w:hAnsi="Palatino Linotype"/>
          <w:b/>
          <w:bCs/>
          <w:sz w:val="24"/>
          <w:szCs w:val="24"/>
        </w:rPr>
        <w:t>This Resolution approves, with modifications, the request from Southern California Edison Company (SCE) to implement a plan</w:t>
      </w:r>
      <w:r w:rsidRPr="002B238F" w:rsidR="00CE2C9C">
        <w:rPr>
          <w:rFonts w:ascii="Palatino Linotype" w:hAnsi="Palatino Linotype"/>
          <w:b/>
          <w:bCs/>
          <w:sz w:val="24"/>
          <w:szCs w:val="24"/>
        </w:rPr>
        <w:t xml:space="preserve"> for its Charge Ready 2 </w:t>
      </w:r>
      <w:r w:rsidRPr="002B238F" w:rsidR="00B376F2">
        <w:rPr>
          <w:rFonts w:ascii="Palatino Linotype" w:hAnsi="Palatino Linotype"/>
          <w:b/>
          <w:bCs/>
          <w:sz w:val="24"/>
          <w:szCs w:val="24"/>
        </w:rPr>
        <w:t xml:space="preserve">(CR2) </w:t>
      </w:r>
      <w:r w:rsidRPr="002B238F" w:rsidR="00CE2C9C">
        <w:rPr>
          <w:rFonts w:ascii="Palatino Linotype" w:hAnsi="Palatino Linotype"/>
          <w:b/>
          <w:bCs/>
          <w:sz w:val="24"/>
          <w:szCs w:val="24"/>
        </w:rPr>
        <w:t>program to</w:t>
      </w:r>
      <w:r w:rsidRPr="002B238F">
        <w:rPr>
          <w:rFonts w:ascii="Palatino Linotype" w:hAnsi="Palatino Linotype"/>
          <w:b/>
          <w:bCs/>
          <w:sz w:val="24"/>
          <w:szCs w:val="24"/>
        </w:rPr>
        <w:t xml:space="preserve"> establish site prioritization criteri</w:t>
      </w:r>
      <w:r w:rsidRPr="002B238F" w:rsidR="003E4D3B">
        <w:rPr>
          <w:rFonts w:ascii="Palatino Linotype" w:hAnsi="Palatino Linotype"/>
          <w:b/>
          <w:bCs/>
          <w:sz w:val="24"/>
          <w:szCs w:val="24"/>
        </w:rPr>
        <w:t>a</w:t>
      </w:r>
      <w:r w:rsidRPr="002B238F">
        <w:rPr>
          <w:rFonts w:ascii="Palatino Linotype" w:hAnsi="Palatino Linotype"/>
          <w:b/>
          <w:bCs/>
          <w:sz w:val="24"/>
          <w:szCs w:val="24"/>
        </w:rPr>
        <w:t>, updated budget</w:t>
      </w:r>
      <w:r w:rsidRPr="002B238F" w:rsidR="000969F7">
        <w:rPr>
          <w:rFonts w:ascii="Palatino Linotype" w:hAnsi="Palatino Linotype"/>
          <w:b/>
          <w:bCs/>
          <w:sz w:val="24"/>
          <w:szCs w:val="24"/>
        </w:rPr>
        <w:t xml:space="preserve"> </w:t>
      </w:r>
      <w:r w:rsidRPr="002B238F" w:rsidR="00D42BD1">
        <w:rPr>
          <w:rFonts w:ascii="Palatino Linotype" w:hAnsi="Palatino Linotype"/>
          <w:b/>
          <w:bCs/>
          <w:sz w:val="24"/>
          <w:szCs w:val="24"/>
        </w:rPr>
        <w:t>allocation</w:t>
      </w:r>
      <w:r w:rsidRPr="002B238F">
        <w:rPr>
          <w:rFonts w:ascii="Palatino Linotype" w:hAnsi="Palatino Linotype"/>
          <w:b/>
          <w:bCs/>
          <w:sz w:val="24"/>
          <w:szCs w:val="24"/>
        </w:rPr>
        <w:t>, and</w:t>
      </w:r>
      <w:r w:rsidRPr="002B238F" w:rsidR="000969F7">
        <w:rPr>
          <w:rFonts w:ascii="Palatino Linotype" w:hAnsi="Palatino Linotype"/>
          <w:b/>
          <w:bCs/>
          <w:sz w:val="24"/>
          <w:szCs w:val="24"/>
        </w:rPr>
        <w:t xml:space="preserve"> charging port and site targets for the program’s</w:t>
      </w:r>
      <w:r w:rsidRPr="002B238F">
        <w:rPr>
          <w:rFonts w:ascii="Palatino Linotype" w:hAnsi="Palatino Linotype"/>
          <w:b/>
          <w:bCs/>
          <w:sz w:val="24"/>
          <w:szCs w:val="24"/>
        </w:rPr>
        <w:t xml:space="preserve"> </w:t>
      </w:r>
      <w:r w:rsidRPr="002B238F" w:rsidR="003E4D3B">
        <w:rPr>
          <w:rFonts w:ascii="Palatino Linotype" w:hAnsi="Palatino Linotype"/>
          <w:b/>
          <w:bCs/>
          <w:sz w:val="24"/>
          <w:szCs w:val="24"/>
        </w:rPr>
        <w:t>d</w:t>
      </w:r>
      <w:r w:rsidRPr="002B238F" w:rsidR="005A49C1">
        <w:rPr>
          <w:rFonts w:ascii="Palatino Linotype" w:hAnsi="Palatino Linotype"/>
          <w:b/>
          <w:bCs/>
          <w:sz w:val="24"/>
          <w:szCs w:val="24"/>
        </w:rPr>
        <w:t xml:space="preserve">irect </w:t>
      </w:r>
      <w:r w:rsidRPr="002B238F" w:rsidR="003E4D3B">
        <w:rPr>
          <w:rFonts w:ascii="Palatino Linotype" w:hAnsi="Palatino Linotype"/>
          <w:b/>
          <w:bCs/>
          <w:sz w:val="24"/>
          <w:szCs w:val="24"/>
        </w:rPr>
        <w:t>c</w:t>
      </w:r>
      <w:r w:rsidRPr="002B238F" w:rsidR="005A49C1">
        <w:rPr>
          <w:rFonts w:ascii="Palatino Linotype" w:hAnsi="Palatino Linotype"/>
          <w:b/>
          <w:bCs/>
          <w:sz w:val="24"/>
          <w:szCs w:val="24"/>
        </w:rPr>
        <w:t xml:space="preserve">urrent </w:t>
      </w:r>
      <w:r w:rsidRPr="002B238F" w:rsidR="003E4D3B">
        <w:rPr>
          <w:rFonts w:ascii="Palatino Linotype" w:hAnsi="Palatino Linotype"/>
          <w:b/>
          <w:bCs/>
          <w:sz w:val="24"/>
          <w:szCs w:val="24"/>
        </w:rPr>
        <w:t>f</w:t>
      </w:r>
      <w:r w:rsidRPr="002B238F" w:rsidR="005A49C1">
        <w:rPr>
          <w:rFonts w:ascii="Palatino Linotype" w:hAnsi="Palatino Linotype"/>
          <w:b/>
          <w:bCs/>
          <w:sz w:val="24"/>
          <w:szCs w:val="24"/>
        </w:rPr>
        <w:t xml:space="preserve">ast </w:t>
      </w:r>
      <w:r w:rsidRPr="002B238F" w:rsidR="003E4D3B">
        <w:rPr>
          <w:rFonts w:ascii="Palatino Linotype" w:hAnsi="Palatino Linotype"/>
          <w:b/>
          <w:bCs/>
          <w:sz w:val="24"/>
          <w:szCs w:val="24"/>
        </w:rPr>
        <w:t>c</w:t>
      </w:r>
      <w:r w:rsidRPr="002B238F" w:rsidR="005A49C1">
        <w:rPr>
          <w:rFonts w:ascii="Palatino Linotype" w:hAnsi="Palatino Linotype"/>
          <w:b/>
          <w:bCs/>
          <w:sz w:val="24"/>
          <w:szCs w:val="24"/>
        </w:rPr>
        <w:t>harging</w:t>
      </w:r>
      <w:r w:rsidRPr="002B238F" w:rsidR="005342AC">
        <w:rPr>
          <w:rFonts w:ascii="Palatino Linotype" w:hAnsi="Palatino Linotype"/>
          <w:b/>
          <w:bCs/>
          <w:sz w:val="24"/>
          <w:szCs w:val="24"/>
        </w:rPr>
        <w:t xml:space="preserve"> (DCFC)</w:t>
      </w:r>
      <w:r w:rsidRPr="002B238F">
        <w:rPr>
          <w:rFonts w:ascii="Palatino Linotype" w:hAnsi="Palatino Linotype"/>
          <w:b/>
          <w:bCs/>
          <w:sz w:val="24"/>
          <w:szCs w:val="24"/>
        </w:rPr>
        <w:t xml:space="preserve"> </w:t>
      </w:r>
      <w:r w:rsidRPr="002B238F" w:rsidR="000969F7">
        <w:rPr>
          <w:rFonts w:ascii="Palatino Linotype" w:hAnsi="Palatino Linotype"/>
          <w:b/>
          <w:bCs/>
          <w:sz w:val="24"/>
          <w:szCs w:val="24"/>
        </w:rPr>
        <w:t>component</w:t>
      </w:r>
      <w:r w:rsidRPr="002B238F">
        <w:rPr>
          <w:rFonts w:ascii="Palatino Linotype" w:hAnsi="Palatino Linotype"/>
          <w:b/>
          <w:bCs/>
          <w:sz w:val="24"/>
          <w:szCs w:val="24"/>
        </w:rPr>
        <w:t xml:space="preserve">. </w:t>
      </w:r>
      <w:bookmarkStart w:name="_Hlk87895779" w:id="0"/>
    </w:p>
    <w:p w:rsidRPr="002B238F" w:rsidR="002C77FA" w:rsidP="009F081E" w:rsidRDefault="002C77FA" w14:paraId="7E068FCF" w14:textId="7281B3A6">
      <w:pPr>
        <w:rPr>
          <w:rFonts w:ascii="Palatino Linotype" w:hAnsi="Palatino Linotype"/>
          <w:color w:val="0E101A"/>
          <w:sz w:val="24"/>
          <w:szCs w:val="24"/>
        </w:rPr>
      </w:pPr>
      <w:r w:rsidRPr="002B238F">
        <w:rPr>
          <w:rFonts w:ascii="Palatino Linotype" w:hAnsi="Palatino Linotype"/>
          <w:sz w:val="24"/>
          <w:szCs w:val="24"/>
        </w:rPr>
        <w:t xml:space="preserve">On March </w:t>
      </w:r>
      <w:r w:rsidRPr="002B238F" w:rsidR="009F081E">
        <w:rPr>
          <w:rFonts w:ascii="Palatino Linotype" w:hAnsi="Palatino Linotype"/>
          <w:sz w:val="24"/>
          <w:szCs w:val="24"/>
        </w:rPr>
        <w:t>31</w:t>
      </w:r>
      <w:r w:rsidRPr="002B238F">
        <w:rPr>
          <w:rFonts w:ascii="Palatino Linotype" w:hAnsi="Palatino Linotype"/>
          <w:sz w:val="24"/>
          <w:szCs w:val="24"/>
        </w:rPr>
        <w:t>, 202</w:t>
      </w:r>
      <w:r w:rsidRPr="002B238F" w:rsidR="009F081E">
        <w:rPr>
          <w:rFonts w:ascii="Palatino Linotype" w:hAnsi="Palatino Linotype"/>
          <w:sz w:val="24"/>
          <w:szCs w:val="24"/>
        </w:rPr>
        <w:t>3</w:t>
      </w:r>
      <w:r w:rsidRPr="002B238F" w:rsidR="00675BA5">
        <w:rPr>
          <w:rFonts w:ascii="Palatino Linotype" w:hAnsi="Palatino Linotype"/>
          <w:sz w:val="24"/>
          <w:szCs w:val="24"/>
        </w:rPr>
        <w:t>,</w:t>
      </w:r>
      <w:r w:rsidRPr="002B238F">
        <w:rPr>
          <w:rFonts w:ascii="Palatino Linotype" w:hAnsi="Palatino Linotype"/>
          <w:sz w:val="24"/>
          <w:szCs w:val="24"/>
        </w:rPr>
        <w:t xml:space="preserve"> SCE filed </w:t>
      </w:r>
      <w:r w:rsidRPr="002B238F" w:rsidR="001A0E87">
        <w:rPr>
          <w:rFonts w:ascii="Palatino Linotype" w:hAnsi="Palatino Linotype"/>
          <w:sz w:val="24"/>
          <w:szCs w:val="24"/>
        </w:rPr>
        <w:t>advice letter (</w:t>
      </w:r>
      <w:r w:rsidRPr="002B238F">
        <w:rPr>
          <w:rFonts w:ascii="Palatino Linotype" w:hAnsi="Palatino Linotype"/>
          <w:sz w:val="24"/>
          <w:szCs w:val="24"/>
        </w:rPr>
        <w:t>AL</w:t>
      </w:r>
      <w:r w:rsidRPr="002B238F" w:rsidR="001A0E87">
        <w:rPr>
          <w:rFonts w:ascii="Palatino Linotype" w:hAnsi="Palatino Linotype"/>
          <w:sz w:val="24"/>
          <w:szCs w:val="24"/>
        </w:rPr>
        <w:t>)</w:t>
      </w:r>
      <w:r w:rsidRPr="002B238F">
        <w:rPr>
          <w:rFonts w:ascii="Palatino Linotype" w:hAnsi="Palatino Linotype"/>
          <w:sz w:val="24"/>
          <w:szCs w:val="24"/>
        </w:rPr>
        <w:t xml:space="preserve"> 4433-E</w:t>
      </w:r>
      <w:r w:rsidRPr="002B238F" w:rsidR="009F081E">
        <w:rPr>
          <w:rFonts w:ascii="Palatino Linotype" w:hAnsi="Palatino Linotype"/>
          <w:sz w:val="24"/>
          <w:szCs w:val="24"/>
        </w:rPr>
        <w:t xml:space="preserve">-A, </w:t>
      </w:r>
      <w:r w:rsidRPr="002B238F" w:rsidR="00C8353A">
        <w:rPr>
          <w:rFonts w:ascii="Palatino Linotype" w:hAnsi="Palatino Linotype"/>
          <w:sz w:val="24"/>
          <w:szCs w:val="24"/>
        </w:rPr>
        <w:t>amending</w:t>
      </w:r>
      <w:r w:rsidRPr="002B238F" w:rsidR="00F059E5">
        <w:rPr>
          <w:rFonts w:ascii="Palatino Linotype" w:hAnsi="Palatino Linotype"/>
          <w:sz w:val="24"/>
          <w:szCs w:val="24"/>
        </w:rPr>
        <w:t xml:space="preserve"> </w:t>
      </w:r>
      <w:r w:rsidRPr="002B238F" w:rsidR="009F081E">
        <w:rPr>
          <w:rFonts w:ascii="Palatino Linotype" w:hAnsi="Palatino Linotype"/>
          <w:sz w:val="24"/>
          <w:szCs w:val="24"/>
        </w:rPr>
        <w:t>AL 4433-E filed on March 4, 2021</w:t>
      </w:r>
      <w:r w:rsidRPr="002B238F" w:rsidR="00CE2C9C">
        <w:rPr>
          <w:rFonts w:ascii="Palatino Linotype" w:hAnsi="Palatino Linotype"/>
          <w:sz w:val="24"/>
          <w:szCs w:val="24"/>
        </w:rPr>
        <w:t>. AL 4433-E, and subsequently AL 4433-E-A,</w:t>
      </w:r>
      <w:r w:rsidRPr="002B238F" w:rsidR="009F081E">
        <w:rPr>
          <w:rFonts w:ascii="Palatino Linotype" w:hAnsi="Palatino Linotype"/>
          <w:sz w:val="24"/>
          <w:szCs w:val="24"/>
        </w:rPr>
        <w:t xml:space="preserve"> </w:t>
      </w:r>
      <w:r w:rsidRPr="002B238F">
        <w:rPr>
          <w:rFonts w:ascii="Palatino Linotype" w:hAnsi="Palatino Linotype"/>
          <w:sz w:val="24"/>
          <w:szCs w:val="24"/>
        </w:rPr>
        <w:t>detail</w:t>
      </w:r>
      <w:r w:rsidRPr="002B238F" w:rsidR="00CE2C9C">
        <w:rPr>
          <w:rFonts w:ascii="Palatino Linotype" w:hAnsi="Palatino Linotype"/>
          <w:sz w:val="24"/>
          <w:szCs w:val="24"/>
        </w:rPr>
        <w:t>s</w:t>
      </w:r>
      <w:r w:rsidRPr="002B238F">
        <w:rPr>
          <w:rFonts w:ascii="Palatino Linotype" w:hAnsi="Palatino Linotype"/>
          <w:sz w:val="24"/>
          <w:szCs w:val="24"/>
        </w:rPr>
        <w:t xml:space="preserve"> </w:t>
      </w:r>
      <w:r w:rsidRPr="002B238F" w:rsidR="00CE2C9C">
        <w:rPr>
          <w:rFonts w:ascii="Palatino Linotype" w:hAnsi="Palatino Linotype"/>
          <w:sz w:val="24"/>
          <w:szCs w:val="24"/>
        </w:rPr>
        <w:t>SCE’s</w:t>
      </w:r>
      <w:r w:rsidRPr="002B238F">
        <w:rPr>
          <w:rFonts w:ascii="Palatino Linotype" w:hAnsi="Palatino Linotype"/>
          <w:sz w:val="24"/>
          <w:szCs w:val="24"/>
        </w:rPr>
        <w:t xml:space="preserve"> site prioritization plan and criteria</w:t>
      </w:r>
      <w:r w:rsidRPr="002B238F" w:rsidR="00CE2C9C">
        <w:rPr>
          <w:rFonts w:ascii="Palatino Linotype" w:hAnsi="Palatino Linotype"/>
          <w:sz w:val="24"/>
          <w:szCs w:val="24"/>
        </w:rPr>
        <w:t xml:space="preserve"> for </w:t>
      </w:r>
      <w:r w:rsidRPr="002B238F" w:rsidR="00B376F2">
        <w:rPr>
          <w:rFonts w:ascii="Palatino Linotype" w:hAnsi="Palatino Linotype"/>
          <w:sz w:val="24"/>
          <w:szCs w:val="24"/>
        </w:rPr>
        <w:t>CR2</w:t>
      </w:r>
      <w:r w:rsidRPr="002B238F">
        <w:rPr>
          <w:rFonts w:ascii="Palatino Linotype" w:hAnsi="Palatino Linotype"/>
          <w:sz w:val="24"/>
          <w:szCs w:val="24"/>
        </w:rPr>
        <w:t>, updated budget</w:t>
      </w:r>
      <w:r w:rsidRPr="002B238F" w:rsidR="005342AC">
        <w:rPr>
          <w:rFonts w:ascii="Palatino Linotype" w:hAnsi="Palatino Linotype"/>
          <w:sz w:val="24"/>
          <w:szCs w:val="24"/>
        </w:rPr>
        <w:t xml:space="preserve"> </w:t>
      </w:r>
      <w:r w:rsidRPr="002B238F" w:rsidR="00D42BD1">
        <w:rPr>
          <w:rFonts w:ascii="Palatino Linotype" w:hAnsi="Palatino Linotype"/>
          <w:sz w:val="24"/>
          <w:szCs w:val="24"/>
        </w:rPr>
        <w:t>allocation</w:t>
      </w:r>
      <w:r w:rsidRPr="002B238F">
        <w:rPr>
          <w:rFonts w:ascii="Palatino Linotype" w:hAnsi="Palatino Linotype"/>
          <w:sz w:val="24"/>
          <w:szCs w:val="24"/>
        </w:rPr>
        <w:t xml:space="preserve"> based on the </w:t>
      </w:r>
      <w:r w:rsidRPr="002B238F" w:rsidR="005342AC">
        <w:rPr>
          <w:rFonts w:ascii="Palatino Linotype" w:hAnsi="Palatino Linotype"/>
          <w:sz w:val="24"/>
          <w:szCs w:val="24"/>
        </w:rPr>
        <w:t xml:space="preserve">approved </w:t>
      </w:r>
      <w:r w:rsidRPr="002B238F">
        <w:rPr>
          <w:rFonts w:ascii="Palatino Linotype" w:hAnsi="Palatino Linotype"/>
          <w:sz w:val="24"/>
          <w:szCs w:val="24"/>
        </w:rPr>
        <w:t xml:space="preserve">rebate model and program modifications, and description of how many ports and sites SCE will target, pursuant to </w:t>
      </w:r>
      <w:r w:rsidRPr="002B238F" w:rsidR="005342AC">
        <w:rPr>
          <w:rFonts w:ascii="Palatino Linotype" w:hAnsi="Palatino Linotype"/>
          <w:sz w:val="24"/>
          <w:szCs w:val="24"/>
        </w:rPr>
        <w:t xml:space="preserve">Decision (D.) 20-08-045 </w:t>
      </w:r>
      <w:r w:rsidRPr="002B238F">
        <w:rPr>
          <w:rFonts w:ascii="Palatino Linotype" w:hAnsi="Palatino Linotype"/>
          <w:sz w:val="24"/>
          <w:szCs w:val="24"/>
        </w:rPr>
        <w:t>Ordering Paragraphs (OP) 15 and 16</w:t>
      </w:r>
      <w:r w:rsidRPr="002B238F" w:rsidR="005A49C1">
        <w:rPr>
          <w:rFonts w:ascii="Palatino Linotype" w:hAnsi="Palatino Linotype"/>
          <w:sz w:val="24"/>
          <w:szCs w:val="24"/>
        </w:rPr>
        <w:t>.</w:t>
      </w:r>
      <w:r w:rsidRPr="002B238F">
        <w:rPr>
          <w:rStyle w:val="FootnoteReference"/>
          <w:rFonts w:ascii="Palatino Linotype" w:hAnsi="Palatino Linotype"/>
          <w:sz w:val="24"/>
          <w:szCs w:val="24"/>
        </w:rPr>
        <w:footnoteReference w:id="3"/>
      </w:r>
      <w:r w:rsidRPr="002B238F">
        <w:rPr>
          <w:rFonts w:ascii="Palatino Linotype" w:hAnsi="Palatino Linotype"/>
          <w:sz w:val="24"/>
          <w:szCs w:val="24"/>
        </w:rPr>
        <w:t xml:space="preserve"> </w:t>
      </w:r>
    </w:p>
    <w:bookmarkEnd w:id="0"/>
    <w:p w:rsidRPr="002B238F" w:rsidR="002C77FA" w:rsidP="26007131" w:rsidRDefault="002C77FA" w14:paraId="5B8E2A63" w14:textId="6004AD57">
      <w:pPr>
        <w:rPr>
          <w:rFonts w:ascii="Palatino Linotype" w:hAnsi="Palatino Linotype"/>
          <w:sz w:val="24"/>
          <w:szCs w:val="24"/>
        </w:rPr>
      </w:pPr>
      <w:r w:rsidRPr="002B238F">
        <w:rPr>
          <w:rFonts w:ascii="Palatino Linotype" w:hAnsi="Palatino Linotype"/>
          <w:sz w:val="24"/>
          <w:szCs w:val="24"/>
        </w:rPr>
        <w:t xml:space="preserve">This Resolution approves, with modifications, the site prioritization </w:t>
      </w:r>
      <w:proofErr w:type="gramStart"/>
      <w:r w:rsidRPr="002B238F">
        <w:rPr>
          <w:rFonts w:ascii="Palatino Linotype" w:hAnsi="Palatino Linotype"/>
          <w:sz w:val="24"/>
          <w:szCs w:val="24"/>
        </w:rPr>
        <w:t>plan</w:t>
      </w:r>
      <w:proofErr w:type="gramEnd"/>
      <w:r w:rsidRPr="002B238F">
        <w:rPr>
          <w:rFonts w:ascii="Palatino Linotype" w:hAnsi="Palatino Linotype"/>
          <w:sz w:val="24"/>
          <w:szCs w:val="24"/>
        </w:rPr>
        <w:t xml:space="preserve"> and criteria for the DCFC component of SCE’s </w:t>
      </w:r>
      <w:r w:rsidRPr="002B238F" w:rsidR="005A49C1">
        <w:rPr>
          <w:rFonts w:ascii="Palatino Linotype" w:hAnsi="Palatino Linotype"/>
          <w:sz w:val="24"/>
          <w:szCs w:val="24"/>
        </w:rPr>
        <w:t xml:space="preserve">CR2 </w:t>
      </w:r>
      <w:r w:rsidRPr="002B238F">
        <w:rPr>
          <w:rFonts w:ascii="Palatino Linotype" w:hAnsi="Palatino Linotype"/>
          <w:sz w:val="24"/>
          <w:szCs w:val="24"/>
        </w:rPr>
        <w:t xml:space="preserve">Make-Ready Expansion program, which includes </w:t>
      </w:r>
      <w:r w:rsidRPr="002B238F" w:rsidR="0000517D">
        <w:rPr>
          <w:rFonts w:ascii="Palatino Linotype" w:hAnsi="Palatino Linotype"/>
          <w:sz w:val="24"/>
          <w:szCs w:val="24"/>
        </w:rPr>
        <w:t xml:space="preserve">programmatic details related to </w:t>
      </w:r>
      <w:r w:rsidRPr="002B238F">
        <w:rPr>
          <w:rFonts w:ascii="Palatino Linotype" w:hAnsi="Palatino Linotype"/>
          <w:sz w:val="24"/>
          <w:szCs w:val="24"/>
        </w:rPr>
        <w:t xml:space="preserve">site selection, </w:t>
      </w:r>
      <w:r w:rsidRPr="002B238F" w:rsidR="00B376F2">
        <w:rPr>
          <w:rFonts w:ascii="Palatino Linotype" w:hAnsi="Palatino Linotype"/>
          <w:sz w:val="24"/>
          <w:szCs w:val="24"/>
        </w:rPr>
        <w:t xml:space="preserve">an </w:t>
      </w:r>
      <w:r w:rsidRPr="002B238F">
        <w:rPr>
          <w:rFonts w:ascii="Palatino Linotype" w:hAnsi="Palatino Linotype"/>
          <w:sz w:val="24"/>
          <w:szCs w:val="24"/>
        </w:rPr>
        <w:t>updated rebate model and budget</w:t>
      </w:r>
      <w:r w:rsidRPr="002B238F" w:rsidR="00B376F2">
        <w:rPr>
          <w:rFonts w:ascii="Palatino Linotype" w:hAnsi="Palatino Linotype"/>
          <w:sz w:val="24"/>
          <w:szCs w:val="24"/>
        </w:rPr>
        <w:t xml:space="preserve"> </w:t>
      </w:r>
      <w:r w:rsidRPr="002B238F" w:rsidR="00D42BD1">
        <w:rPr>
          <w:rFonts w:ascii="Palatino Linotype" w:hAnsi="Palatino Linotype"/>
          <w:sz w:val="24"/>
          <w:szCs w:val="24"/>
        </w:rPr>
        <w:t>allocation</w:t>
      </w:r>
      <w:r w:rsidRPr="002B238F">
        <w:rPr>
          <w:rFonts w:ascii="Palatino Linotype" w:hAnsi="Palatino Linotype"/>
          <w:sz w:val="24"/>
          <w:szCs w:val="24"/>
        </w:rPr>
        <w:t xml:space="preserve">, and </w:t>
      </w:r>
      <w:r w:rsidRPr="002B238F" w:rsidR="00E66280">
        <w:rPr>
          <w:rFonts w:ascii="Palatino Linotype" w:hAnsi="Palatino Linotype"/>
          <w:sz w:val="24"/>
          <w:szCs w:val="24"/>
        </w:rPr>
        <w:t xml:space="preserve">charging </w:t>
      </w:r>
      <w:r w:rsidRPr="002B238F">
        <w:rPr>
          <w:rFonts w:ascii="Palatino Linotype" w:hAnsi="Palatino Linotype"/>
          <w:sz w:val="24"/>
          <w:szCs w:val="24"/>
        </w:rPr>
        <w:t>port targets.</w:t>
      </w:r>
      <w:r w:rsidRPr="002B238F" w:rsidR="46B03BA1">
        <w:rPr>
          <w:rFonts w:ascii="Palatino Linotype" w:hAnsi="Palatino Linotype"/>
          <w:sz w:val="24"/>
          <w:szCs w:val="24"/>
        </w:rPr>
        <w:t xml:space="preserve"> This Resolution modifies SCE's </w:t>
      </w:r>
      <w:r w:rsidRPr="002B238F" w:rsidR="009C6A82">
        <w:rPr>
          <w:rFonts w:ascii="Palatino Linotype" w:hAnsi="Palatino Linotype"/>
          <w:sz w:val="24"/>
          <w:szCs w:val="24"/>
        </w:rPr>
        <w:t>m</w:t>
      </w:r>
      <w:r w:rsidRPr="002B238F" w:rsidR="46B03BA1">
        <w:rPr>
          <w:rFonts w:ascii="Palatino Linotype" w:hAnsi="Palatino Linotype"/>
          <w:sz w:val="24"/>
          <w:szCs w:val="24"/>
        </w:rPr>
        <w:t>ulti-</w:t>
      </w:r>
      <w:r w:rsidRPr="002B238F" w:rsidR="009C6A82">
        <w:rPr>
          <w:rFonts w:ascii="Palatino Linotype" w:hAnsi="Palatino Linotype"/>
          <w:sz w:val="24"/>
          <w:szCs w:val="24"/>
        </w:rPr>
        <w:t>u</w:t>
      </w:r>
      <w:r w:rsidRPr="002B238F" w:rsidR="46B03BA1">
        <w:rPr>
          <w:rFonts w:ascii="Palatino Linotype" w:hAnsi="Palatino Linotype"/>
          <w:sz w:val="24"/>
          <w:szCs w:val="24"/>
        </w:rPr>
        <w:t xml:space="preserve">nit </w:t>
      </w:r>
      <w:r w:rsidRPr="002B238F" w:rsidR="009C6A82">
        <w:rPr>
          <w:rFonts w:ascii="Palatino Linotype" w:hAnsi="Palatino Linotype"/>
          <w:sz w:val="24"/>
          <w:szCs w:val="24"/>
        </w:rPr>
        <w:t>d</w:t>
      </w:r>
      <w:r w:rsidRPr="002B238F" w:rsidR="46B03BA1">
        <w:rPr>
          <w:rFonts w:ascii="Palatino Linotype" w:hAnsi="Palatino Linotype"/>
          <w:sz w:val="24"/>
          <w:szCs w:val="24"/>
        </w:rPr>
        <w:t xml:space="preserve">welling (MUD) serving definition, adds conditions to which SCE must adhere if </w:t>
      </w:r>
      <w:proofErr w:type="spellStart"/>
      <w:r w:rsidRPr="002B238F" w:rsidR="00614FA8">
        <w:rPr>
          <w:rFonts w:ascii="Palatino Linotype" w:hAnsi="Palatino Linotype"/>
          <w:sz w:val="24"/>
          <w:szCs w:val="24"/>
        </w:rPr>
        <w:t>colocating</w:t>
      </w:r>
      <w:proofErr w:type="spellEnd"/>
      <w:r w:rsidRPr="002B238F" w:rsidR="00614FA8">
        <w:rPr>
          <w:rFonts w:ascii="Palatino Linotype" w:hAnsi="Palatino Linotype"/>
          <w:sz w:val="24"/>
          <w:szCs w:val="24"/>
        </w:rPr>
        <w:t xml:space="preserve"> </w:t>
      </w:r>
      <w:r w:rsidRPr="002B238F" w:rsidR="46B03BA1">
        <w:rPr>
          <w:rFonts w:ascii="Palatino Linotype" w:hAnsi="Palatino Linotype"/>
          <w:sz w:val="24"/>
          <w:szCs w:val="24"/>
        </w:rPr>
        <w:t xml:space="preserve">DCFCs with Level 2 </w:t>
      </w:r>
      <w:r w:rsidRPr="002B238F" w:rsidR="00E66280">
        <w:rPr>
          <w:rFonts w:ascii="Palatino Linotype" w:hAnsi="Palatino Linotype"/>
          <w:sz w:val="24"/>
          <w:szCs w:val="24"/>
        </w:rPr>
        <w:t xml:space="preserve">chargers at the same </w:t>
      </w:r>
      <w:r w:rsidRPr="002B238F" w:rsidR="46B03BA1">
        <w:rPr>
          <w:rFonts w:ascii="Palatino Linotype" w:hAnsi="Palatino Linotype"/>
          <w:sz w:val="24"/>
          <w:szCs w:val="24"/>
        </w:rPr>
        <w:t xml:space="preserve">site, </w:t>
      </w:r>
      <w:r w:rsidRPr="002B238F" w:rsidR="00983DBD">
        <w:rPr>
          <w:rFonts w:ascii="Palatino Linotype" w:hAnsi="Palatino Linotype"/>
          <w:sz w:val="24"/>
          <w:szCs w:val="24"/>
        </w:rPr>
        <w:t xml:space="preserve">discusses charger power levels, </w:t>
      </w:r>
      <w:r w:rsidRPr="002B238F" w:rsidR="46B03BA1">
        <w:rPr>
          <w:rFonts w:ascii="Palatino Linotype" w:hAnsi="Palatino Linotype"/>
          <w:sz w:val="24"/>
          <w:szCs w:val="24"/>
        </w:rPr>
        <w:t xml:space="preserve">and directs SCE to </w:t>
      </w:r>
      <w:r w:rsidRPr="002B238F" w:rsidR="00BD2866">
        <w:rPr>
          <w:rFonts w:ascii="Palatino Linotype" w:hAnsi="Palatino Linotype"/>
          <w:sz w:val="24"/>
          <w:szCs w:val="24"/>
        </w:rPr>
        <w:t xml:space="preserve">work with Energy Division staff to develop </w:t>
      </w:r>
      <w:r w:rsidRPr="002B238F" w:rsidR="008114A8">
        <w:rPr>
          <w:rFonts w:ascii="Palatino Linotype" w:hAnsi="Palatino Linotype"/>
          <w:sz w:val="24"/>
          <w:szCs w:val="24"/>
        </w:rPr>
        <w:t xml:space="preserve">data reporting </w:t>
      </w:r>
      <w:r w:rsidRPr="002B238F" w:rsidR="00983DBD">
        <w:rPr>
          <w:rFonts w:ascii="Palatino Linotype" w:hAnsi="Palatino Linotype"/>
          <w:sz w:val="24"/>
          <w:szCs w:val="24"/>
        </w:rPr>
        <w:t>requirements.</w:t>
      </w:r>
    </w:p>
    <w:p w:rsidRPr="002B238F" w:rsidR="002C77FA" w:rsidP="26007131" w:rsidRDefault="002C77FA" w14:paraId="7FE769D9" w14:textId="77777777">
      <w:pPr>
        <w:autoSpaceDE w:val="0"/>
        <w:autoSpaceDN w:val="0"/>
        <w:rPr>
          <w:rFonts w:ascii="Palatino Linotype" w:hAnsi="Palatino Linotype" w:eastAsia="Times New Roman" w:cs="Helvetica"/>
          <w:b/>
          <w:bCs/>
          <w:caps/>
          <w:kern w:val="28"/>
          <w:sz w:val="24"/>
          <w:szCs w:val="24"/>
          <w:u w:val="single"/>
        </w:rPr>
      </w:pPr>
      <w:r w:rsidRPr="002B238F">
        <w:rPr>
          <w:rFonts w:ascii="Palatino Linotype" w:hAnsi="Palatino Linotype" w:eastAsia="Times New Roman" w:cs="Helvetica"/>
          <w:b/>
          <w:bCs/>
          <w:caps/>
          <w:kern w:val="28"/>
          <w:sz w:val="24"/>
          <w:szCs w:val="24"/>
          <w:u w:val="single"/>
        </w:rPr>
        <w:t>Background</w:t>
      </w:r>
    </w:p>
    <w:p w:rsidRPr="002B238F" w:rsidR="002C77FA" w:rsidP="2FDB5FF9" w:rsidRDefault="002C77FA" w14:paraId="7B5106F1" w14:textId="4857E1D5">
      <w:pPr>
        <w:rPr>
          <w:rFonts w:ascii="Palatino Linotype" w:hAnsi="Palatino Linotype" w:eastAsia="Helvetica" w:cs="Helvetica"/>
          <w:b/>
          <w:bCs/>
          <w:sz w:val="24"/>
          <w:szCs w:val="24"/>
        </w:rPr>
      </w:pPr>
      <w:r w:rsidRPr="002B238F">
        <w:rPr>
          <w:rFonts w:ascii="Palatino Linotype" w:hAnsi="Palatino Linotype"/>
          <w:sz w:val="24"/>
          <w:szCs w:val="24"/>
        </w:rPr>
        <w:t xml:space="preserve">Southern California Edison Company (SCE) filed </w:t>
      </w:r>
      <w:r w:rsidRPr="002B238F" w:rsidR="00F57FB2">
        <w:rPr>
          <w:rFonts w:ascii="Palatino Linotype" w:hAnsi="Palatino Linotype"/>
          <w:sz w:val="24"/>
          <w:szCs w:val="24"/>
        </w:rPr>
        <w:t>s</w:t>
      </w:r>
      <w:r w:rsidRPr="002B238F" w:rsidR="00B2415C">
        <w:rPr>
          <w:rFonts w:ascii="Palatino Linotype" w:hAnsi="Palatino Linotype"/>
          <w:sz w:val="24"/>
          <w:szCs w:val="24"/>
        </w:rPr>
        <w:t xml:space="preserve">upplemental </w:t>
      </w:r>
      <w:r w:rsidRPr="002B238F">
        <w:rPr>
          <w:rFonts w:ascii="Palatino Linotype" w:hAnsi="Palatino Linotype"/>
          <w:sz w:val="24"/>
          <w:szCs w:val="24"/>
        </w:rPr>
        <w:t>AL 4433-E</w:t>
      </w:r>
      <w:r w:rsidRPr="002B238F" w:rsidR="00B2415C">
        <w:rPr>
          <w:rFonts w:ascii="Palatino Linotype" w:hAnsi="Palatino Linotype"/>
          <w:sz w:val="24"/>
          <w:szCs w:val="24"/>
        </w:rPr>
        <w:t>-A</w:t>
      </w:r>
      <w:r w:rsidRPr="002B238F">
        <w:rPr>
          <w:rFonts w:ascii="Palatino Linotype" w:hAnsi="Palatino Linotype"/>
          <w:sz w:val="24"/>
          <w:szCs w:val="24"/>
        </w:rPr>
        <w:t xml:space="preserve"> on </w:t>
      </w:r>
      <w:r w:rsidR="001524C5">
        <w:rPr>
          <w:rFonts w:ascii="Palatino Linotype" w:hAnsi="Palatino Linotype"/>
          <w:sz w:val="24"/>
          <w:szCs w:val="24"/>
        </w:rPr>
        <w:br/>
      </w:r>
      <w:r w:rsidRPr="002B238F">
        <w:rPr>
          <w:rFonts w:ascii="Palatino Linotype" w:hAnsi="Palatino Linotype"/>
          <w:sz w:val="24"/>
          <w:szCs w:val="24"/>
        </w:rPr>
        <w:t xml:space="preserve">March </w:t>
      </w:r>
      <w:r w:rsidRPr="002B238F" w:rsidR="00B2415C">
        <w:rPr>
          <w:rFonts w:ascii="Palatino Linotype" w:hAnsi="Palatino Linotype"/>
          <w:sz w:val="24"/>
          <w:szCs w:val="24"/>
        </w:rPr>
        <w:t>31</w:t>
      </w:r>
      <w:r w:rsidRPr="002B238F">
        <w:rPr>
          <w:rFonts w:ascii="Palatino Linotype" w:hAnsi="Palatino Linotype"/>
          <w:sz w:val="24"/>
          <w:szCs w:val="24"/>
        </w:rPr>
        <w:t>, 202</w:t>
      </w:r>
      <w:r w:rsidRPr="002B238F" w:rsidR="00B2415C">
        <w:rPr>
          <w:rFonts w:ascii="Palatino Linotype" w:hAnsi="Palatino Linotype"/>
          <w:sz w:val="24"/>
          <w:szCs w:val="24"/>
        </w:rPr>
        <w:t>3</w:t>
      </w:r>
      <w:r w:rsidRPr="002B238F">
        <w:rPr>
          <w:rFonts w:ascii="Palatino Linotype" w:hAnsi="Palatino Linotype"/>
          <w:sz w:val="24"/>
          <w:szCs w:val="24"/>
        </w:rPr>
        <w:t xml:space="preserve">, </w:t>
      </w:r>
      <w:r w:rsidRPr="002B238F" w:rsidR="00404A09">
        <w:rPr>
          <w:rFonts w:ascii="Palatino Linotype" w:hAnsi="Palatino Linotype"/>
          <w:sz w:val="24"/>
          <w:szCs w:val="24"/>
        </w:rPr>
        <w:t xml:space="preserve">which replaced AL 4433-E, </w:t>
      </w:r>
      <w:r w:rsidRPr="002B238F">
        <w:rPr>
          <w:rFonts w:ascii="Palatino Linotype" w:hAnsi="Palatino Linotype"/>
          <w:sz w:val="24"/>
          <w:szCs w:val="24"/>
        </w:rPr>
        <w:t>requesting approval for its</w:t>
      </w:r>
      <w:r w:rsidRPr="002B238F" w:rsidR="00404A09">
        <w:rPr>
          <w:rFonts w:ascii="Palatino Linotype" w:hAnsi="Palatino Linotype"/>
          <w:sz w:val="24"/>
          <w:szCs w:val="24"/>
        </w:rPr>
        <w:t xml:space="preserve"> Charge Ready </w:t>
      </w:r>
      <w:r w:rsidR="001524C5">
        <w:rPr>
          <w:rFonts w:ascii="Palatino Linotype" w:hAnsi="Palatino Linotype"/>
          <w:sz w:val="24"/>
          <w:szCs w:val="24"/>
        </w:rPr>
        <w:br/>
      </w:r>
      <w:r w:rsidRPr="002B238F" w:rsidR="00404A09">
        <w:rPr>
          <w:rFonts w:ascii="Palatino Linotype" w:hAnsi="Palatino Linotype"/>
          <w:sz w:val="24"/>
          <w:szCs w:val="24"/>
        </w:rPr>
        <w:t>2</w:t>
      </w:r>
      <w:r w:rsidRPr="002B238F">
        <w:rPr>
          <w:rFonts w:ascii="Palatino Linotype" w:hAnsi="Palatino Linotype"/>
          <w:sz w:val="24"/>
          <w:szCs w:val="24"/>
        </w:rPr>
        <w:t xml:space="preserve"> site prioritization plan and criteria</w:t>
      </w:r>
      <w:r w:rsidRPr="002B238F" w:rsidR="00367F86">
        <w:rPr>
          <w:rFonts w:ascii="Palatino Linotype" w:hAnsi="Palatino Linotype"/>
          <w:sz w:val="24"/>
          <w:szCs w:val="24"/>
        </w:rPr>
        <w:t>,</w:t>
      </w:r>
      <w:r w:rsidRPr="002B238F">
        <w:rPr>
          <w:rFonts w:ascii="Palatino Linotype" w:hAnsi="Palatino Linotype"/>
          <w:sz w:val="24"/>
          <w:szCs w:val="24"/>
        </w:rPr>
        <w:t xml:space="preserve"> its updated budget</w:t>
      </w:r>
      <w:r w:rsidRPr="002B238F" w:rsidR="00367F86">
        <w:rPr>
          <w:rFonts w:ascii="Palatino Linotype" w:hAnsi="Palatino Linotype"/>
          <w:sz w:val="24"/>
          <w:szCs w:val="24"/>
        </w:rPr>
        <w:t xml:space="preserve"> distribution,</w:t>
      </w:r>
      <w:r w:rsidRPr="002B238F">
        <w:rPr>
          <w:rFonts w:ascii="Palatino Linotype" w:hAnsi="Palatino Linotype"/>
          <w:sz w:val="24"/>
          <w:szCs w:val="24"/>
        </w:rPr>
        <w:t xml:space="preserve"> and </w:t>
      </w:r>
      <w:r w:rsidRPr="002B238F" w:rsidR="005218E3">
        <w:rPr>
          <w:rFonts w:ascii="Palatino Linotype" w:hAnsi="Palatino Linotype"/>
          <w:sz w:val="24"/>
          <w:szCs w:val="24"/>
        </w:rPr>
        <w:t xml:space="preserve">charging port and site </w:t>
      </w:r>
      <w:r w:rsidRPr="002B238F">
        <w:rPr>
          <w:rFonts w:ascii="Palatino Linotype" w:hAnsi="Palatino Linotype"/>
          <w:sz w:val="24"/>
          <w:szCs w:val="24"/>
        </w:rPr>
        <w:t>target</w:t>
      </w:r>
      <w:r w:rsidRPr="002B238F" w:rsidR="005218E3">
        <w:rPr>
          <w:rFonts w:ascii="Palatino Linotype" w:hAnsi="Palatino Linotype"/>
          <w:sz w:val="24"/>
          <w:szCs w:val="24"/>
        </w:rPr>
        <w:t>s</w:t>
      </w:r>
      <w:r w:rsidRPr="002B238F">
        <w:rPr>
          <w:rFonts w:ascii="Palatino Linotype" w:hAnsi="Palatino Linotype"/>
          <w:sz w:val="24"/>
          <w:szCs w:val="24"/>
        </w:rPr>
        <w:t xml:space="preserve"> </w:t>
      </w:r>
      <w:r w:rsidRPr="002B238F" w:rsidR="005218E3">
        <w:rPr>
          <w:rFonts w:ascii="Palatino Linotype" w:hAnsi="Palatino Linotype"/>
          <w:sz w:val="24"/>
          <w:szCs w:val="24"/>
        </w:rPr>
        <w:t>for the program’s Direct Current Fast Charging (DCFC) component</w:t>
      </w:r>
      <w:r w:rsidRPr="002B238F">
        <w:rPr>
          <w:rFonts w:ascii="Palatino Linotype" w:hAnsi="Palatino Linotype"/>
          <w:sz w:val="24"/>
          <w:szCs w:val="24"/>
        </w:rPr>
        <w:t>, pursuant to Order Paragraph</w:t>
      </w:r>
      <w:r w:rsidRPr="002B238F" w:rsidR="005F6160">
        <w:rPr>
          <w:rFonts w:ascii="Palatino Linotype" w:hAnsi="Palatino Linotype"/>
          <w:sz w:val="24"/>
          <w:szCs w:val="24"/>
        </w:rPr>
        <w:t xml:space="preserve">s (OP) </w:t>
      </w:r>
      <w:r w:rsidRPr="002B238F">
        <w:rPr>
          <w:rFonts w:ascii="Palatino Linotype" w:hAnsi="Palatino Linotype"/>
          <w:sz w:val="24"/>
          <w:szCs w:val="24"/>
        </w:rPr>
        <w:t>15 and 16 of Decision (D.) 20-08-045. The C</w:t>
      </w:r>
      <w:r w:rsidRPr="002B238F" w:rsidR="005A49C1">
        <w:rPr>
          <w:rFonts w:ascii="Palatino Linotype" w:hAnsi="Palatino Linotype"/>
          <w:sz w:val="24"/>
          <w:szCs w:val="24"/>
        </w:rPr>
        <w:t>R2</w:t>
      </w:r>
      <w:r w:rsidRPr="002B238F">
        <w:rPr>
          <w:rFonts w:ascii="Palatino Linotype" w:hAnsi="Palatino Linotype"/>
          <w:sz w:val="24"/>
          <w:szCs w:val="24"/>
        </w:rPr>
        <w:t xml:space="preserve"> program</w:t>
      </w:r>
      <w:r w:rsidRPr="002B238F" w:rsidR="00E01581">
        <w:rPr>
          <w:rFonts w:ascii="Palatino Linotype" w:hAnsi="Palatino Linotype"/>
          <w:sz w:val="24"/>
          <w:szCs w:val="24"/>
        </w:rPr>
        <w:t>, which D.20-08-045 authorized,</w:t>
      </w:r>
      <w:r w:rsidRPr="002B238F">
        <w:rPr>
          <w:rFonts w:ascii="Palatino Linotype" w:hAnsi="Palatino Linotype"/>
          <w:sz w:val="24"/>
          <w:szCs w:val="24"/>
        </w:rPr>
        <w:t xml:space="preserve"> will deploy approximately 38,000 new </w:t>
      </w:r>
      <w:r w:rsidRPr="002B238F" w:rsidR="00E01581">
        <w:rPr>
          <w:rFonts w:ascii="Palatino Linotype" w:hAnsi="Palatino Linotype"/>
          <w:sz w:val="24"/>
          <w:szCs w:val="24"/>
        </w:rPr>
        <w:t>e</w:t>
      </w:r>
      <w:r w:rsidRPr="002B238F" w:rsidR="005A49C1">
        <w:rPr>
          <w:rFonts w:ascii="Palatino Linotype" w:hAnsi="Palatino Linotype"/>
          <w:sz w:val="24"/>
          <w:szCs w:val="24"/>
        </w:rPr>
        <w:t xml:space="preserve">lectric </w:t>
      </w:r>
      <w:r w:rsidRPr="002B238F" w:rsidR="00E01581">
        <w:rPr>
          <w:rFonts w:ascii="Palatino Linotype" w:hAnsi="Palatino Linotype"/>
          <w:sz w:val="24"/>
          <w:szCs w:val="24"/>
        </w:rPr>
        <w:t>v</w:t>
      </w:r>
      <w:r w:rsidRPr="002B238F" w:rsidR="005A49C1">
        <w:rPr>
          <w:rFonts w:ascii="Palatino Linotype" w:hAnsi="Palatino Linotype"/>
          <w:sz w:val="24"/>
          <w:szCs w:val="24"/>
        </w:rPr>
        <w:t>ehicle (EV)</w:t>
      </w:r>
      <w:r w:rsidRPr="002B238F">
        <w:rPr>
          <w:rFonts w:ascii="Palatino Linotype" w:hAnsi="Palatino Linotype"/>
          <w:sz w:val="24"/>
          <w:szCs w:val="24"/>
        </w:rPr>
        <w:t xml:space="preserve"> chargers for passenger (light-duty) vehicles at workplaces, multi-unit dwellings (MUD), and public destination centers. SCE will deploy mostly Level 2 </w:t>
      </w:r>
      <w:r w:rsidRPr="002B238F" w:rsidR="005A49C1">
        <w:rPr>
          <w:rFonts w:ascii="Palatino Linotype" w:hAnsi="Palatino Linotype"/>
          <w:sz w:val="24"/>
          <w:szCs w:val="24"/>
        </w:rPr>
        <w:t xml:space="preserve">(L2) </w:t>
      </w:r>
      <w:r w:rsidRPr="002B238F">
        <w:rPr>
          <w:rFonts w:ascii="Palatino Linotype" w:hAnsi="Palatino Linotype"/>
          <w:sz w:val="24"/>
          <w:szCs w:val="24"/>
        </w:rPr>
        <w:t>chargers, with the option for Level 1</w:t>
      </w:r>
      <w:r w:rsidRPr="002B238F" w:rsidR="005A49C1">
        <w:rPr>
          <w:rFonts w:ascii="Palatino Linotype" w:hAnsi="Palatino Linotype"/>
          <w:sz w:val="24"/>
          <w:szCs w:val="24"/>
        </w:rPr>
        <w:t xml:space="preserve"> (L1)</w:t>
      </w:r>
      <w:r w:rsidRPr="002B238F">
        <w:rPr>
          <w:rFonts w:ascii="Palatino Linotype" w:hAnsi="Palatino Linotype"/>
          <w:sz w:val="24"/>
          <w:szCs w:val="24"/>
        </w:rPr>
        <w:t xml:space="preserve">, and a minimum of 205 DCFC ports. The program is divided into several sub-programs, as described in Table 1 below. </w:t>
      </w:r>
      <w:r w:rsidRPr="002B238F">
        <w:rPr>
          <w:rFonts w:ascii="Palatino Linotype" w:hAnsi="Palatino Linotype"/>
          <w:sz w:val="24"/>
          <w:szCs w:val="24"/>
        </w:rPr>
        <w:br/>
      </w:r>
      <w:r w:rsidRPr="002B238F">
        <w:rPr>
          <w:rFonts w:ascii="Palatino Linotype" w:hAnsi="Palatino Linotype"/>
          <w:sz w:val="24"/>
          <w:szCs w:val="24"/>
        </w:rPr>
        <w:lastRenderedPageBreak/>
        <w:br/>
      </w:r>
      <w:r w:rsidRPr="002B238F" w:rsidR="592D2B8B">
        <w:rPr>
          <w:rFonts w:ascii="Palatino Linotype" w:hAnsi="Palatino Linotype" w:eastAsia="Helvetica" w:cs="Helvetica"/>
          <w:b/>
          <w:bCs/>
          <w:sz w:val="24"/>
          <w:szCs w:val="24"/>
        </w:rPr>
        <w:t>Summary of CPUC Decision (D)</w:t>
      </w:r>
      <w:r w:rsidRPr="002B238F" w:rsidR="4E01A29C">
        <w:rPr>
          <w:rFonts w:ascii="Palatino Linotype" w:hAnsi="Palatino Linotype" w:eastAsia="Helvetica" w:cs="Helvetica"/>
          <w:b/>
          <w:bCs/>
          <w:sz w:val="24"/>
          <w:szCs w:val="24"/>
        </w:rPr>
        <w:t>.20-08-045</w:t>
      </w:r>
      <w:r w:rsidRPr="002B238F" w:rsidR="1296BA3E">
        <w:rPr>
          <w:rFonts w:ascii="Palatino Linotype" w:hAnsi="Palatino Linotype" w:eastAsia="Helvetica" w:cs="Helvetica"/>
          <w:b/>
          <w:bCs/>
          <w:sz w:val="24"/>
          <w:szCs w:val="24"/>
        </w:rPr>
        <w:t>, authorizing SCE’s Charge Ready 2 Program</w:t>
      </w:r>
    </w:p>
    <w:p w:rsidRPr="002B238F" w:rsidR="002C77FA" w:rsidP="63103CED" w:rsidRDefault="002C77FA" w14:paraId="6BD49979" w14:textId="0868C30B">
      <w:pPr>
        <w:rPr>
          <w:rFonts w:ascii="Palatino Linotype" w:hAnsi="Palatino Linotype"/>
          <w:sz w:val="24"/>
          <w:szCs w:val="24"/>
        </w:rPr>
      </w:pPr>
      <w:r w:rsidRPr="002B238F">
        <w:rPr>
          <w:rFonts w:ascii="Palatino Linotype" w:hAnsi="Palatino Linotype"/>
          <w:i/>
          <w:iCs/>
          <w:sz w:val="24"/>
          <w:szCs w:val="24"/>
        </w:rPr>
        <w:t>Table 1: Summary of Charge Ready 2 Programs</w:t>
      </w:r>
      <w:r w:rsidRPr="002B238F" w:rsidR="0079393F">
        <w:rPr>
          <w:rFonts w:ascii="Palatino Linotype" w:hAnsi="Palatino Linotype"/>
          <w:i/>
          <w:iCs/>
          <w:sz w:val="24"/>
          <w:szCs w:val="24"/>
        </w:rPr>
        <w:t xml:space="preserve"> Approved in D.20-08-045</w:t>
      </w:r>
    </w:p>
    <w:tbl>
      <w:tblPr>
        <w:tblStyle w:val="TableGrid"/>
        <w:tblpPr w:leftFromText="180" w:rightFromText="180" w:vertAnchor="text" w:tblpY="1"/>
        <w:tblOverlap w:val="never"/>
        <w:tblW w:w="0" w:type="auto"/>
        <w:tblLook w:val="04A0" w:firstRow="1" w:lastRow="0" w:firstColumn="1" w:lastColumn="0" w:noHBand="0" w:noVBand="1"/>
      </w:tblPr>
      <w:tblGrid>
        <w:gridCol w:w="3116"/>
        <w:gridCol w:w="1739"/>
        <w:gridCol w:w="4495"/>
      </w:tblGrid>
      <w:tr w:rsidRPr="002B238F" w:rsidR="002C77FA" w:rsidTr="001524C5" w14:paraId="1301DCCC" w14:textId="77777777">
        <w:tc>
          <w:tcPr>
            <w:tcW w:w="3116" w:type="dxa"/>
            <w:shd w:val="clear" w:color="auto" w:fill="ACB9CA" w:themeFill="text2" w:themeFillTint="66"/>
          </w:tcPr>
          <w:p w:rsidRPr="002B238F" w:rsidR="002C77FA" w:rsidP="001524C5" w:rsidRDefault="002C77FA" w14:paraId="5610A9AC" w14:textId="77777777">
            <w:pPr>
              <w:rPr>
                <w:rFonts w:ascii="Palatino Linotype" w:hAnsi="Palatino Linotype"/>
                <w:b/>
                <w:sz w:val="24"/>
                <w:szCs w:val="24"/>
              </w:rPr>
            </w:pPr>
            <w:r w:rsidRPr="002B238F">
              <w:rPr>
                <w:rFonts w:ascii="Palatino Linotype" w:hAnsi="Palatino Linotype"/>
                <w:b/>
                <w:sz w:val="24"/>
                <w:szCs w:val="24"/>
              </w:rPr>
              <w:t>Program</w:t>
            </w:r>
          </w:p>
        </w:tc>
        <w:tc>
          <w:tcPr>
            <w:tcW w:w="1739" w:type="dxa"/>
            <w:shd w:val="clear" w:color="auto" w:fill="ACB9CA" w:themeFill="text2" w:themeFillTint="66"/>
          </w:tcPr>
          <w:p w:rsidRPr="002B238F" w:rsidR="002C77FA" w:rsidP="001524C5" w:rsidRDefault="002C77FA" w14:paraId="584A08EB" w14:textId="77777777">
            <w:pPr>
              <w:rPr>
                <w:rFonts w:ascii="Palatino Linotype" w:hAnsi="Palatino Linotype"/>
                <w:b/>
                <w:sz w:val="24"/>
                <w:szCs w:val="24"/>
              </w:rPr>
            </w:pPr>
            <w:r w:rsidRPr="002B238F">
              <w:rPr>
                <w:rFonts w:ascii="Palatino Linotype" w:hAnsi="Palatino Linotype"/>
                <w:b/>
                <w:sz w:val="24"/>
                <w:szCs w:val="24"/>
              </w:rPr>
              <w:t>Budget</w:t>
            </w:r>
          </w:p>
        </w:tc>
        <w:tc>
          <w:tcPr>
            <w:tcW w:w="4495" w:type="dxa"/>
            <w:shd w:val="clear" w:color="auto" w:fill="ACB9CA" w:themeFill="text2" w:themeFillTint="66"/>
          </w:tcPr>
          <w:p w:rsidRPr="002B238F" w:rsidR="002C77FA" w:rsidP="001524C5" w:rsidRDefault="002C77FA" w14:paraId="2B450C9E" w14:textId="77777777">
            <w:pPr>
              <w:rPr>
                <w:rFonts w:ascii="Palatino Linotype" w:hAnsi="Palatino Linotype"/>
                <w:b/>
                <w:sz w:val="24"/>
                <w:szCs w:val="24"/>
              </w:rPr>
            </w:pPr>
            <w:r w:rsidRPr="002B238F">
              <w:rPr>
                <w:rFonts w:ascii="Palatino Linotype" w:hAnsi="Palatino Linotype"/>
                <w:b/>
                <w:sz w:val="24"/>
                <w:szCs w:val="24"/>
              </w:rPr>
              <w:t>Description</w:t>
            </w:r>
          </w:p>
        </w:tc>
      </w:tr>
      <w:tr w:rsidRPr="002B238F" w:rsidR="002C77FA" w:rsidTr="001524C5" w14:paraId="6B6404C3" w14:textId="77777777">
        <w:trPr>
          <w:trHeight w:val="8033"/>
        </w:trPr>
        <w:tc>
          <w:tcPr>
            <w:tcW w:w="3116" w:type="dxa"/>
          </w:tcPr>
          <w:p w:rsidRPr="002B238F" w:rsidR="002C77FA" w:rsidP="001524C5" w:rsidRDefault="002C77FA" w14:paraId="498037F4" w14:textId="77777777">
            <w:pPr>
              <w:rPr>
                <w:rFonts w:ascii="Palatino Linotype" w:hAnsi="Palatino Linotype"/>
                <w:bCs/>
                <w:sz w:val="24"/>
                <w:szCs w:val="24"/>
              </w:rPr>
            </w:pPr>
            <w:r w:rsidRPr="002B238F">
              <w:rPr>
                <w:rFonts w:ascii="Palatino Linotype" w:hAnsi="Palatino Linotype"/>
                <w:bCs/>
                <w:sz w:val="24"/>
                <w:szCs w:val="24"/>
              </w:rPr>
              <w:t>Make-Ready Expansion (Level 2 and Level 1)</w:t>
            </w:r>
          </w:p>
        </w:tc>
        <w:tc>
          <w:tcPr>
            <w:tcW w:w="1739" w:type="dxa"/>
          </w:tcPr>
          <w:p w:rsidRPr="002B238F" w:rsidR="002C77FA" w:rsidP="001524C5" w:rsidRDefault="002C77FA" w14:paraId="56EF6E2C" w14:textId="77777777">
            <w:pPr>
              <w:rPr>
                <w:rFonts w:ascii="Palatino Linotype" w:hAnsi="Palatino Linotype"/>
                <w:bCs/>
                <w:sz w:val="24"/>
                <w:szCs w:val="24"/>
              </w:rPr>
            </w:pPr>
            <w:r w:rsidRPr="002B238F">
              <w:rPr>
                <w:rFonts w:ascii="Palatino Linotype" w:hAnsi="Palatino Linotype"/>
                <w:bCs/>
                <w:sz w:val="24"/>
                <w:szCs w:val="24"/>
              </w:rPr>
              <w:t>$333,000,000</w:t>
            </w:r>
          </w:p>
        </w:tc>
        <w:tc>
          <w:tcPr>
            <w:tcW w:w="4495" w:type="dxa"/>
          </w:tcPr>
          <w:p w:rsidRPr="002B238F" w:rsidR="002C77FA" w:rsidP="001524C5" w:rsidRDefault="002C77FA" w14:paraId="3A62625B" w14:textId="579CC606">
            <w:pPr>
              <w:rPr>
                <w:rFonts w:ascii="Palatino Linotype" w:hAnsi="Palatino Linotype"/>
                <w:sz w:val="24"/>
                <w:szCs w:val="24"/>
              </w:rPr>
            </w:pPr>
            <w:r w:rsidRPr="002B238F">
              <w:rPr>
                <w:rFonts w:ascii="Palatino Linotype" w:hAnsi="Palatino Linotype"/>
                <w:sz w:val="24"/>
                <w:szCs w:val="24"/>
              </w:rPr>
              <w:t>This is an expansion of SCE’s Charge Ready Pilot program and allow</w:t>
            </w:r>
            <w:r w:rsidRPr="002B238F" w:rsidR="000F478E">
              <w:rPr>
                <w:rFonts w:ascii="Palatino Linotype" w:hAnsi="Palatino Linotype"/>
                <w:sz w:val="24"/>
                <w:szCs w:val="24"/>
              </w:rPr>
              <w:t>s</w:t>
            </w:r>
            <w:r w:rsidRPr="002B238F">
              <w:rPr>
                <w:rFonts w:ascii="Palatino Linotype" w:hAnsi="Palatino Linotype"/>
                <w:sz w:val="24"/>
                <w:szCs w:val="24"/>
              </w:rPr>
              <w:t xml:space="preserve"> SCE to build the make-ready infrastructure to support a total of 22,000 ports</w:t>
            </w:r>
            <w:r w:rsidRPr="002B238F">
              <w:rPr>
                <w:rStyle w:val="FootnoteReference"/>
                <w:rFonts w:ascii="Palatino Linotype" w:hAnsi="Palatino Linotype"/>
                <w:sz w:val="24"/>
                <w:szCs w:val="24"/>
              </w:rPr>
              <w:footnoteReference w:id="4"/>
            </w:r>
            <w:r w:rsidRPr="002B238F">
              <w:rPr>
                <w:rFonts w:ascii="Palatino Linotype" w:hAnsi="Palatino Linotype"/>
                <w:sz w:val="24"/>
                <w:szCs w:val="24"/>
              </w:rPr>
              <w:t xml:space="preserve"> of mostly L2 and some L1 chargers. In most cases, site hosts will own the </w:t>
            </w:r>
            <w:r w:rsidRPr="002B238F" w:rsidR="005A49C1">
              <w:rPr>
                <w:rFonts w:ascii="Palatino Linotype" w:hAnsi="Palatino Linotype"/>
                <w:sz w:val="24"/>
                <w:szCs w:val="24"/>
              </w:rPr>
              <w:t>Electric Vehicle S</w:t>
            </w:r>
            <w:r w:rsidRPr="002B238F" w:rsidR="00E01581">
              <w:rPr>
                <w:rFonts w:ascii="Palatino Linotype" w:hAnsi="Palatino Linotype"/>
                <w:sz w:val="24"/>
                <w:szCs w:val="24"/>
              </w:rPr>
              <w:t>uppl</w:t>
            </w:r>
            <w:r w:rsidRPr="002B238F" w:rsidR="007C4E6E">
              <w:rPr>
                <w:rFonts w:ascii="Palatino Linotype" w:hAnsi="Palatino Linotype"/>
                <w:sz w:val="24"/>
                <w:szCs w:val="24"/>
              </w:rPr>
              <w:t>y</w:t>
            </w:r>
            <w:r w:rsidRPr="002B238F" w:rsidR="005A49C1">
              <w:rPr>
                <w:rFonts w:ascii="Palatino Linotype" w:hAnsi="Palatino Linotype"/>
                <w:sz w:val="24"/>
                <w:szCs w:val="24"/>
              </w:rPr>
              <w:t xml:space="preserve"> Equipment (</w:t>
            </w:r>
            <w:r w:rsidRPr="002B238F">
              <w:rPr>
                <w:rFonts w:ascii="Palatino Linotype" w:hAnsi="Palatino Linotype"/>
                <w:sz w:val="24"/>
                <w:szCs w:val="24"/>
              </w:rPr>
              <w:t>EVSE</w:t>
            </w:r>
            <w:r w:rsidRPr="002B238F" w:rsidR="005A49C1">
              <w:rPr>
                <w:rFonts w:ascii="Palatino Linotype" w:hAnsi="Palatino Linotype"/>
                <w:sz w:val="24"/>
                <w:szCs w:val="24"/>
              </w:rPr>
              <w:t>)</w:t>
            </w:r>
            <w:r w:rsidRPr="002B238F">
              <w:rPr>
                <w:rFonts w:ascii="Palatino Linotype" w:hAnsi="Palatino Linotype"/>
                <w:sz w:val="24"/>
                <w:szCs w:val="24"/>
              </w:rPr>
              <w:t>. SCE will site these chargers at MUDs, workplaces, and public destination centers. While SCE will build the make-ready, customers participating in this program will receive a rebate for purchasing and owning the EVSE. All site hosts installing L1 or L2 charging through the Make-Ready Expansion program must participate in the Charge Ready D</w:t>
            </w:r>
            <w:r w:rsidRPr="002B238F" w:rsidR="005A49C1">
              <w:rPr>
                <w:rFonts w:ascii="Palatino Linotype" w:hAnsi="Palatino Linotype"/>
                <w:sz w:val="24"/>
                <w:szCs w:val="24"/>
              </w:rPr>
              <w:t xml:space="preserve">emand </w:t>
            </w:r>
            <w:r w:rsidRPr="002B238F">
              <w:rPr>
                <w:rFonts w:ascii="Palatino Linotype" w:hAnsi="Palatino Linotype"/>
                <w:sz w:val="24"/>
                <w:szCs w:val="24"/>
              </w:rPr>
              <w:t>R</w:t>
            </w:r>
            <w:r w:rsidRPr="002B238F" w:rsidR="005A49C1">
              <w:rPr>
                <w:rFonts w:ascii="Palatino Linotype" w:hAnsi="Palatino Linotype"/>
                <w:sz w:val="24"/>
                <w:szCs w:val="24"/>
              </w:rPr>
              <w:t>esponse</w:t>
            </w:r>
            <w:r w:rsidRPr="002B238F">
              <w:rPr>
                <w:rFonts w:ascii="Palatino Linotype" w:hAnsi="Palatino Linotype"/>
                <w:sz w:val="24"/>
                <w:szCs w:val="24"/>
              </w:rPr>
              <w:t xml:space="preserve"> program</w:t>
            </w:r>
            <w:r w:rsidRPr="002B238F" w:rsidR="00E01581">
              <w:rPr>
                <w:rFonts w:ascii="Palatino Linotype" w:hAnsi="Palatino Linotype"/>
                <w:sz w:val="24"/>
                <w:szCs w:val="24"/>
              </w:rPr>
              <w:t>.</w:t>
            </w:r>
            <w:r w:rsidRPr="002B238F" w:rsidR="00106CBA">
              <w:rPr>
                <w:rStyle w:val="FootnoteReference"/>
                <w:rFonts w:ascii="Palatino Linotype" w:hAnsi="Palatino Linotype"/>
                <w:sz w:val="24"/>
                <w:szCs w:val="24"/>
              </w:rPr>
              <w:footnoteReference w:id="5"/>
            </w:r>
            <w:r w:rsidRPr="002B238F">
              <w:rPr>
                <w:rFonts w:ascii="Palatino Linotype" w:hAnsi="Palatino Linotype"/>
                <w:sz w:val="24"/>
                <w:szCs w:val="24"/>
              </w:rPr>
              <w:t xml:space="preserve"> </w:t>
            </w:r>
          </w:p>
        </w:tc>
      </w:tr>
      <w:tr w:rsidRPr="002B238F" w:rsidR="001524C5" w:rsidTr="007E2F4D" w14:paraId="06411CAC" w14:textId="77777777">
        <w:tc>
          <w:tcPr>
            <w:tcW w:w="3116" w:type="dxa"/>
            <w:shd w:val="clear" w:color="auto" w:fill="ACB9CA" w:themeFill="text2" w:themeFillTint="66"/>
          </w:tcPr>
          <w:p w:rsidRPr="002B238F" w:rsidR="001524C5" w:rsidP="001524C5" w:rsidRDefault="001524C5" w14:paraId="4C71C357" w14:textId="77777777">
            <w:pPr>
              <w:rPr>
                <w:rFonts w:ascii="Palatino Linotype" w:hAnsi="Palatino Linotype"/>
                <w:b/>
                <w:sz w:val="24"/>
                <w:szCs w:val="24"/>
              </w:rPr>
            </w:pPr>
            <w:r w:rsidRPr="002B238F">
              <w:rPr>
                <w:rFonts w:ascii="Palatino Linotype" w:hAnsi="Palatino Linotype"/>
                <w:b/>
                <w:sz w:val="24"/>
                <w:szCs w:val="24"/>
              </w:rPr>
              <w:lastRenderedPageBreak/>
              <w:t>Program</w:t>
            </w:r>
          </w:p>
        </w:tc>
        <w:tc>
          <w:tcPr>
            <w:tcW w:w="1739" w:type="dxa"/>
            <w:shd w:val="clear" w:color="auto" w:fill="ACB9CA" w:themeFill="text2" w:themeFillTint="66"/>
          </w:tcPr>
          <w:p w:rsidRPr="002B238F" w:rsidR="001524C5" w:rsidP="001524C5" w:rsidRDefault="001524C5" w14:paraId="435FC695" w14:textId="77777777">
            <w:pPr>
              <w:rPr>
                <w:rFonts w:ascii="Palatino Linotype" w:hAnsi="Palatino Linotype"/>
                <w:b/>
                <w:sz w:val="24"/>
                <w:szCs w:val="24"/>
              </w:rPr>
            </w:pPr>
            <w:r w:rsidRPr="002B238F">
              <w:rPr>
                <w:rFonts w:ascii="Palatino Linotype" w:hAnsi="Palatino Linotype"/>
                <w:b/>
                <w:sz w:val="24"/>
                <w:szCs w:val="24"/>
              </w:rPr>
              <w:t>Budget</w:t>
            </w:r>
          </w:p>
        </w:tc>
        <w:tc>
          <w:tcPr>
            <w:tcW w:w="4495" w:type="dxa"/>
            <w:shd w:val="clear" w:color="auto" w:fill="ACB9CA" w:themeFill="text2" w:themeFillTint="66"/>
          </w:tcPr>
          <w:p w:rsidRPr="002B238F" w:rsidR="001524C5" w:rsidP="001524C5" w:rsidRDefault="001524C5" w14:paraId="4C522422" w14:textId="77777777">
            <w:pPr>
              <w:rPr>
                <w:rFonts w:ascii="Palatino Linotype" w:hAnsi="Palatino Linotype"/>
                <w:b/>
                <w:sz w:val="24"/>
                <w:szCs w:val="24"/>
              </w:rPr>
            </w:pPr>
            <w:r w:rsidRPr="002B238F">
              <w:rPr>
                <w:rFonts w:ascii="Palatino Linotype" w:hAnsi="Palatino Linotype"/>
                <w:b/>
                <w:sz w:val="24"/>
                <w:szCs w:val="24"/>
              </w:rPr>
              <w:t>Description</w:t>
            </w:r>
          </w:p>
        </w:tc>
      </w:tr>
      <w:tr w:rsidRPr="002B238F" w:rsidR="002C77FA" w:rsidTr="001524C5" w14:paraId="2DF8D30C" w14:textId="77777777">
        <w:tc>
          <w:tcPr>
            <w:tcW w:w="3116" w:type="dxa"/>
          </w:tcPr>
          <w:p w:rsidRPr="002B238F" w:rsidR="002C77FA" w:rsidP="001524C5" w:rsidRDefault="002C77FA" w14:paraId="7717A685" w14:textId="77777777">
            <w:pPr>
              <w:rPr>
                <w:rFonts w:ascii="Palatino Linotype" w:hAnsi="Palatino Linotype"/>
                <w:bCs/>
                <w:sz w:val="24"/>
                <w:szCs w:val="24"/>
              </w:rPr>
            </w:pPr>
            <w:r w:rsidRPr="002B238F">
              <w:rPr>
                <w:rFonts w:ascii="Palatino Linotype" w:hAnsi="Palatino Linotype"/>
                <w:bCs/>
                <w:sz w:val="24"/>
                <w:szCs w:val="24"/>
              </w:rPr>
              <w:t>Make-Ready Expansion (DCFC)</w:t>
            </w:r>
          </w:p>
        </w:tc>
        <w:tc>
          <w:tcPr>
            <w:tcW w:w="1739" w:type="dxa"/>
          </w:tcPr>
          <w:p w:rsidRPr="002B238F" w:rsidR="002C77FA" w:rsidP="001524C5" w:rsidRDefault="002C77FA" w14:paraId="615C3BEB" w14:textId="77777777">
            <w:pPr>
              <w:rPr>
                <w:rFonts w:ascii="Palatino Linotype" w:hAnsi="Palatino Linotype"/>
                <w:bCs/>
                <w:sz w:val="24"/>
                <w:szCs w:val="24"/>
              </w:rPr>
            </w:pPr>
            <w:r w:rsidRPr="002B238F">
              <w:rPr>
                <w:rFonts w:ascii="Palatino Linotype" w:hAnsi="Palatino Linotype"/>
                <w:bCs/>
                <w:sz w:val="24"/>
                <w:szCs w:val="24"/>
              </w:rPr>
              <w:t>$13,975,206</w:t>
            </w:r>
          </w:p>
        </w:tc>
        <w:tc>
          <w:tcPr>
            <w:tcW w:w="4495" w:type="dxa"/>
          </w:tcPr>
          <w:p w:rsidRPr="002B238F" w:rsidR="002C77FA" w:rsidP="001524C5" w:rsidRDefault="002C77FA" w14:paraId="2A738D19" w14:textId="77777777">
            <w:pPr>
              <w:rPr>
                <w:rFonts w:ascii="Palatino Linotype" w:hAnsi="Palatino Linotype"/>
                <w:sz w:val="24"/>
                <w:szCs w:val="24"/>
              </w:rPr>
            </w:pPr>
            <w:r w:rsidRPr="002B238F">
              <w:rPr>
                <w:rFonts w:ascii="Palatino Linotype" w:hAnsi="Palatino Linotype"/>
                <w:sz w:val="24"/>
                <w:szCs w:val="24"/>
              </w:rPr>
              <w:t xml:space="preserve">A subset of the Make-Ready Expansion, SCE will offer rebates to a limited number of sites to install DCFCs. At minimum, this program will support the installation of 205 DCFC ports. Site prioritization for DCFCs is addressed through a separate Tier 3 AL filing, and criteria for siting and rebates, among other programmatic details, will be determined based on proximity to customers needing charging, proximity to MUDs, and proximity to Disadvantaged Communities (DACs) and low-income customers. </w:t>
            </w:r>
          </w:p>
        </w:tc>
      </w:tr>
      <w:tr w:rsidRPr="002B238F" w:rsidR="002C77FA" w:rsidTr="001524C5" w14:paraId="7BDA42E7" w14:textId="77777777">
        <w:tc>
          <w:tcPr>
            <w:tcW w:w="3116" w:type="dxa"/>
          </w:tcPr>
          <w:p w:rsidRPr="002B238F" w:rsidR="002C77FA" w:rsidP="001524C5" w:rsidRDefault="002C77FA" w14:paraId="3DC53A77" w14:textId="77777777">
            <w:pPr>
              <w:rPr>
                <w:rFonts w:ascii="Palatino Linotype" w:hAnsi="Palatino Linotype"/>
                <w:bCs/>
                <w:sz w:val="24"/>
                <w:szCs w:val="24"/>
              </w:rPr>
            </w:pPr>
            <w:r w:rsidRPr="002B238F">
              <w:rPr>
                <w:rFonts w:ascii="Palatino Linotype" w:hAnsi="Palatino Linotype"/>
                <w:bCs/>
                <w:sz w:val="24"/>
                <w:szCs w:val="24"/>
              </w:rPr>
              <w:t>Make-Ready Expansion (Own and Operate)</w:t>
            </w:r>
          </w:p>
        </w:tc>
        <w:tc>
          <w:tcPr>
            <w:tcW w:w="1739" w:type="dxa"/>
          </w:tcPr>
          <w:p w:rsidRPr="002B238F" w:rsidR="002C77FA" w:rsidP="001524C5" w:rsidRDefault="002C77FA" w14:paraId="5260CF88" w14:textId="77777777">
            <w:pPr>
              <w:rPr>
                <w:rFonts w:ascii="Palatino Linotype" w:hAnsi="Palatino Linotype"/>
                <w:bCs/>
                <w:sz w:val="24"/>
                <w:szCs w:val="24"/>
              </w:rPr>
            </w:pPr>
            <w:r w:rsidRPr="002B238F">
              <w:rPr>
                <w:rFonts w:ascii="Palatino Linotype" w:hAnsi="Palatino Linotype"/>
                <w:bCs/>
                <w:sz w:val="24"/>
                <w:szCs w:val="24"/>
              </w:rPr>
              <w:t>$16,548,463</w:t>
            </w:r>
          </w:p>
        </w:tc>
        <w:tc>
          <w:tcPr>
            <w:tcW w:w="4495" w:type="dxa"/>
          </w:tcPr>
          <w:p w:rsidRPr="002B238F" w:rsidR="002C77FA" w:rsidP="001524C5" w:rsidRDefault="002C77FA" w14:paraId="67066840" w14:textId="44C0F338">
            <w:pPr>
              <w:rPr>
                <w:rFonts w:ascii="Palatino Linotype" w:hAnsi="Palatino Linotype"/>
                <w:sz w:val="24"/>
                <w:szCs w:val="24"/>
              </w:rPr>
            </w:pPr>
            <w:r w:rsidRPr="002B238F">
              <w:rPr>
                <w:rFonts w:ascii="Palatino Linotype" w:hAnsi="Palatino Linotype"/>
                <w:sz w:val="24"/>
                <w:szCs w:val="24"/>
              </w:rPr>
              <w:t xml:space="preserve">A subset of the Make-Ready Expansion, customers at MUDs in </w:t>
            </w:r>
            <w:r w:rsidRPr="002B238F" w:rsidR="005A49C1">
              <w:rPr>
                <w:rFonts w:ascii="Palatino Linotype" w:hAnsi="Palatino Linotype"/>
                <w:sz w:val="24"/>
                <w:szCs w:val="24"/>
              </w:rPr>
              <w:t>Disadvantaged Communities (</w:t>
            </w:r>
            <w:r w:rsidRPr="002B238F">
              <w:rPr>
                <w:rFonts w:ascii="Palatino Linotype" w:hAnsi="Palatino Linotype"/>
                <w:sz w:val="24"/>
                <w:szCs w:val="24"/>
              </w:rPr>
              <w:t>DAC</w:t>
            </w:r>
            <w:r w:rsidRPr="002B238F" w:rsidR="005A49C1">
              <w:rPr>
                <w:rFonts w:ascii="Palatino Linotype" w:hAnsi="Palatino Linotype"/>
                <w:sz w:val="24"/>
                <w:szCs w:val="24"/>
              </w:rPr>
              <w:t>)</w:t>
            </w:r>
            <w:r w:rsidRPr="002B238F">
              <w:rPr>
                <w:rFonts w:ascii="Palatino Linotype" w:hAnsi="Palatino Linotype"/>
                <w:sz w:val="24"/>
                <w:szCs w:val="24"/>
              </w:rPr>
              <w:t xml:space="preserve"> can choose between having SCE own and operate the EVSE and make-ready</w:t>
            </w:r>
            <w:r w:rsidRPr="002B238F" w:rsidDel="62F651A4">
              <w:rPr>
                <w:rFonts w:ascii="Palatino Linotype" w:hAnsi="Palatino Linotype"/>
                <w:sz w:val="24"/>
                <w:szCs w:val="24"/>
              </w:rPr>
              <w:t xml:space="preserve"> </w:t>
            </w:r>
            <w:r w:rsidRPr="002B238F">
              <w:rPr>
                <w:rFonts w:ascii="Palatino Linotype" w:hAnsi="Palatino Linotype"/>
                <w:sz w:val="24"/>
                <w:szCs w:val="24"/>
              </w:rPr>
              <w:t xml:space="preserve">or can own the infrastructure themselves and receive a rebate to cover the cost of maintenance and operation of the EVSE. This program is capped at </w:t>
            </w:r>
            <w:r w:rsidR="00CC60E7">
              <w:rPr>
                <w:rFonts w:ascii="Palatino Linotype" w:hAnsi="Palatino Linotype"/>
                <w:sz w:val="24"/>
                <w:szCs w:val="24"/>
              </w:rPr>
              <w:br/>
            </w:r>
            <w:r w:rsidRPr="002B238F">
              <w:rPr>
                <w:rFonts w:ascii="Palatino Linotype" w:hAnsi="Palatino Linotype"/>
                <w:sz w:val="24"/>
                <w:szCs w:val="24"/>
              </w:rPr>
              <w:t xml:space="preserve">2,500 ports within the Make-Ready Expansion program. </w:t>
            </w:r>
          </w:p>
        </w:tc>
      </w:tr>
      <w:tr w:rsidRPr="002B238F" w:rsidR="002C77FA" w:rsidTr="001524C5" w14:paraId="336CAA93" w14:textId="77777777">
        <w:tc>
          <w:tcPr>
            <w:tcW w:w="3116" w:type="dxa"/>
          </w:tcPr>
          <w:p w:rsidRPr="002B238F" w:rsidR="002C77FA" w:rsidP="001524C5" w:rsidRDefault="002C77FA" w14:paraId="7F458815" w14:textId="77777777">
            <w:pPr>
              <w:rPr>
                <w:rFonts w:ascii="Palatino Linotype" w:hAnsi="Palatino Linotype"/>
                <w:bCs/>
                <w:sz w:val="24"/>
                <w:szCs w:val="24"/>
              </w:rPr>
            </w:pPr>
            <w:r w:rsidRPr="002B238F">
              <w:rPr>
                <w:rFonts w:ascii="Palatino Linotype" w:hAnsi="Palatino Linotype"/>
                <w:bCs/>
                <w:sz w:val="24"/>
                <w:szCs w:val="24"/>
              </w:rPr>
              <w:t>New Construction Rebate</w:t>
            </w:r>
          </w:p>
        </w:tc>
        <w:tc>
          <w:tcPr>
            <w:tcW w:w="1739" w:type="dxa"/>
          </w:tcPr>
          <w:p w:rsidRPr="002B238F" w:rsidR="002C77FA" w:rsidP="001524C5" w:rsidRDefault="002C77FA" w14:paraId="29828AB0" w14:textId="77777777">
            <w:pPr>
              <w:rPr>
                <w:rFonts w:ascii="Palatino Linotype" w:hAnsi="Palatino Linotype"/>
                <w:bCs/>
                <w:sz w:val="24"/>
                <w:szCs w:val="24"/>
              </w:rPr>
            </w:pPr>
            <w:r w:rsidRPr="002B238F">
              <w:rPr>
                <w:rFonts w:ascii="Palatino Linotype" w:hAnsi="Palatino Linotype"/>
                <w:bCs/>
                <w:sz w:val="24"/>
                <w:szCs w:val="24"/>
              </w:rPr>
              <w:t>$54,000,000</w:t>
            </w:r>
          </w:p>
        </w:tc>
        <w:tc>
          <w:tcPr>
            <w:tcW w:w="4495" w:type="dxa"/>
          </w:tcPr>
          <w:p w:rsidR="002C77FA" w:rsidP="001524C5" w:rsidRDefault="002C77FA" w14:paraId="6E647F0C" w14:textId="77777777">
            <w:pPr>
              <w:rPr>
                <w:rFonts w:ascii="Palatino Linotype" w:hAnsi="Palatino Linotype"/>
                <w:bCs/>
                <w:sz w:val="24"/>
                <w:szCs w:val="24"/>
              </w:rPr>
            </w:pPr>
            <w:r w:rsidRPr="002B238F">
              <w:rPr>
                <w:rFonts w:ascii="Palatino Linotype" w:hAnsi="Palatino Linotype"/>
                <w:bCs/>
                <w:sz w:val="24"/>
                <w:szCs w:val="24"/>
              </w:rPr>
              <w:t>SCE will provide rebates to developers of new MUD buildings to encourage MUD developers to install operational charging stations during construction. The rebate will only cover an installation that is beyond the local and state building code requirements. The rebate program will target up to approximately 15,400 ports and will provide a rebate of up to $3,500 per port.</w:t>
            </w:r>
          </w:p>
          <w:p w:rsidRPr="002B238F" w:rsidR="001524C5" w:rsidP="001524C5" w:rsidRDefault="001524C5" w14:paraId="100F3B90" w14:textId="01905E0F">
            <w:pPr>
              <w:rPr>
                <w:rFonts w:ascii="Palatino Linotype" w:hAnsi="Palatino Linotype"/>
                <w:bCs/>
                <w:sz w:val="24"/>
                <w:szCs w:val="24"/>
              </w:rPr>
            </w:pPr>
          </w:p>
        </w:tc>
      </w:tr>
      <w:tr w:rsidRPr="002B238F" w:rsidR="001524C5" w:rsidTr="007E2F4D" w14:paraId="4E2CDEFE" w14:textId="77777777">
        <w:tc>
          <w:tcPr>
            <w:tcW w:w="3116" w:type="dxa"/>
            <w:shd w:val="clear" w:color="auto" w:fill="ACB9CA" w:themeFill="text2" w:themeFillTint="66"/>
          </w:tcPr>
          <w:p w:rsidRPr="002B238F" w:rsidR="001524C5" w:rsidP="001524C5" w:rsidRDefault="001524C5" w14:paraId="4F2B2CC8" w14:textId="77777777">
            <w:pPr>
              <w:rPr>
                <w:rFonts w:ascii="Palatino Linotype" w:hAnsi="Palatino Linotype"/>
                <w:b/>
                <w:sz w:val="24"/>
                <w:szCs w:val="24"/>
              </w:rPr>
            </w:pPr>
            <w:r w:rsidRPr="002B238F">
              <w:rPr>
                <w:rFonts w:ascii="Palatino Linotype" w:hAnsi="Palatino Linotype"/>
                <w:b/>
                <w:sz w:val="24"/>
                <w:szCs w:val="24"/>
              </w:rPr>
              <w:lastRenderedPageBreak/>
              <w:t>Program</w:t>
            </w:r>
          </w:p>
        </w:tc>
        <w:tc>
          <w:tcPr>
            <w:tcW w:w="1739" w:type="dxa"/>
            <w:shd w:val="clear" w:color="auto" w:fill="ACB9CA" w:themeFill="text2" w:themeFillTint="66"/>
          </w:tcPr>
          <w:p w:rsidRPr="002B238F" w:rsidR="001524C5" w:rsidP="001524C5" w:rsidRDefault="001524C5" w14:paraId="4661C80D" w14:textId="77777777">
            <w:pPr>
              <w:rPr>
                <w:rFonts w:ascii="Palatino Linotype" w:hAnsi="Palatino Linotype"/>
                <w:b/>
                <w:sz w:val="24"/>
                <w:szCs w:val="24"/>
              </w:rPr>
            </w:pPr>
            <w:r w:rsidRPr="002B238F">
              <w:rPr>
                <w:rFonts w:ascii="Palatino Linotype" w:hAnsi="Palatino Linotype"/>
                <w:b/>
                <w:sz w:val="24"/>
                <w:szCs w:val="24"/>
              </w:rPr>
              <w:t>Budget</w:t>
            </w:r>
          </w:p>
        </w:tc>
        <w:tc>
          <w:tcPr>
            <w:tcW w:w="4495" w:type="dxa"/>
            <w:shd w:val="clear" w:color="auto" w:fill="ACB9CA" w:themeFill="text2" w:themeFillTint="66"/>
          </w:tcPr>
          <w:p w:rsidRPr="002B238F" w:rsidR="001524C5" w:rsidP="001524C5" w:rsidRDefault="001524C5" w14:paraId="30447AEF" w14:textId="77777777">
            <w:pPr>
              <w:rPr>
                <w:rFonts w:ascii="Palatino Linotype" w:hAnsi="Palatino Linotype"/>
                <w:b/>
                <w:sz w:val="24"/>
                <w:szCs w:val="24"/>
              </w:rPr>
            </w:pPr>
            <w:r w:rsidRPr="002B238F">
              <w:rPr>
                <w:rFonts w:ascii="Palatino Linotype" w:hAnsi="Palatino Linotype"/>
                <w:b/>
                <w:sz w:val="24"/>
                <w:szCs w:val="24"/>
              </w:rPr>
              <w:t>Description</w:t>
            </w:r>
          </w:p>
        </w:tc>
      </w:tr>
      <w:tr w:rsidRPr="002B238F" w:rsidR="002C77FA" w:rsidTr="001524C5" w14:paraId="4F7D6E35" w14:textId="77777777">
        <w:tc>
          <w:tcPr>
            <w:tcW w:w="3116" w:type="dxa"/>
          </w:tcPr>
          <w:p w:rsidRPr="002B238F" w:rsidR="002C77FA" w:rsidP="001524C5" w:rsidRDefault="002C77FA" w14:paraId="6AD8AA22" w14:textId="17F2C844">
            <w:pPr>
              <w:rPr>
                <w:rFonts w:ascii="Palatino Linotype" w:hAnsi="Palatino Linotype"/>
                <w:bCs/>
                <w:sz w:val="24"/>
                <w:szCs w:val="24"/>
              </w:rPr>
            </w:pPr>
            <w:r w:rsidRPr="002B238F">
              <w:rPr>
                <w:rFonts w:ascii="Palatino Linotype" w:hAnsi="Palatino Linotype"/>
                <w:bCs/>
                <w:sz w:val="24"/>
                <w:szCs w:val="24"/>
              </w:rPr>
              <w:t xml:space="preserve">Marketing, Education, and Outreach </w:t>
            </w:r>
          </w:p>
        </w:tc>
        <w:tc>
          <w:tcPr>
            <w:tcW w:w="1739" w:type="dxa"/>
          </w:tcPr>
          <w:p w:rsidRPr="002B238F" w:rsidR="002C77FA" w:rsidP="001524C5" w:rsidRDefault="002C77FA" w14:paraId="1503C74D" w14:textId="7CBDC902">
            <w:pPr>
              <w:rPr>
                <w:rFonts w:ascii="Palatino Linotype" w:hAnsi="Palatino Linotype"/>
                <w:bCs/>
                <w:sz w:val="24"/>
                <w:szCs w:val="24"/>
              </w:rPr>
            </w:pPr>
            <w:r w:rsidRPr="002B238F">
              <w:rPr>
                <w:rFonts w:ascii="Palatino Linotype" w:hAnsi="Palatino Linotype"/>
                <w:bCs/>
                <w:sz w:val="24"/>
                <w:szCs w:val="24"/>
              </w:rPr>
              <w:t>$15,500,000</w:t>
            </w:r>
          </w:p>
        </w:tc>
        <w:tc>
          <w:tcPr>
            <w:tcW w:w="4495" w:type="dxa"/>
          </w:tcPr>
          <w:p w:rsidRPr="002B238F" w:rsidR="002C77FA" w:rsidP="001524C5" w:rsidRDefault="002C77FA" w14:paraId="4D018CA5" w14:textId="393F8482">
            <w:pPr>
              <w:rPr>
                <w:rFonts w:ascii="Palatino Linotype" w:hAnsi="Palatino Linotype"/>
                <w:bCs/>
                <w:sz w:val="24"/>
                <w:szCs w:val="24"/>
              </w:rPr>
            </w:pPr>
            <w:r w:rsidRPr="002B238F">
              <w:rPr>
                <w:rFonts w:ascii="Palatino Linotype" w:hAnsi="Palatino Linotype"/>
                <w:bCs/>
                <w:sz w:val="24"/>
                <w:szCs w:val="24"/>
              </w:rPr>
              <w:t xml:space="preserve">The Charge Ready 2 ME&amp;O program includes $4.8 million to expand </w:t>
            </w:r>
            <w:r w:rsidR="00CC60E7">
              <w:rPr>
                <w:rFonts w:ascii="Palatino Linotype" w:hAnsi="Palatino Linotype"/>
                <w:bCs/>
                <w:sz w:val="24"/>
                <w:szCs w:val="24"/>
              </w:rPr>
              <w:br/>
            </w:r>
            <w:r w:rsidRPr="002B238F">
              <w:rPr>
                <w:rFonts w:ascii="Palatino Linotype" w:hAnsi="Palatino Linotype"/>
                <w:bCs/>
                <w:sz w:val="24"/>
                <w:szCs w:val="24"/>
              </w:rPr>
              <w:t>SCE’s TE Advisory Services</w:t>
            </w:r>
            <w:r w:rsidRPr="002B238F" w:rsidR="000521C0">
              <w:rPr>
                <w:rStyle w:val="FootnoteReference"/>
                <w:rFonts w:ascii="Palatino Linotype" w:hAnsi="Palatino Linotype"/>
                <w:bCs/>
                <w:sz w:val="24"/>
                <w:szCs w:val="24"/>
              </w:rPr>
              <w:footnoteReference w:id="6"/>
            </w:r>
            <w:r w:rsidRPr="002B238F">
              <w:rPr>
                <w:rFonts w:ascii="Palatino Linotype" w:hAnsi="Palatino Linotype"/>
                <w:bCs/>
                <w:sz w:val="24"/>
                <w:szCs w:val="24"/>
              </w:rPr>
              <w:t xml:space="preserve"> program and $9.7 million for program specific marketing to drive participation in the infrastructure programs. </w:t>
            </w:r>
          </w:p>
        </w:tc>
      </w:tr>
      <w:tr w:rsidRPr="002B238F" w:rsidR="002C77FA" w:rsidTr="001524C5" w14:paraId="0F845E3C" w14:textId="77777777">
        <w:tc>
          <w:tcPr>
            <w:tcW w:w="3116" w:type="dxa"/>
          </w:tcPr>
          <w:p w:rsidRPr="002B238F" w:rsidR="002C77FA" w:rsidP="001524C5" w:rsidRDefault="002C77FA" w14:paraId="19F9C00C" w14:textId="77777777">
            <w:pPr>
              <w:rPr>
                <w:rFonts w:ascii="Palatino Linotype" w:hAnsi="Palatino Linotype"/>
                <w:bCs/>
                <w:sz w:val="24"/>
                <w:szCs w:val="24"/>
              </w:rPr>
            </w:pPr>
            <w:r w:rsidRPr="002B238F">
              <w:rPr>
                <w:rFonts w:ascii="Palatino Linotype" w:hAnsi="Palatino Linotype"/>
                <w:bCs/>
                <w:sz w:val="24"/>
                <w:szCs w:val="24"/>
              </w:rPr>
              <w:t>Evaluation</w:t>
            </w:r>
          </w:p>
        </w:tc>
        <w:tc>
          <w:tcPr>
            <w:tcW w:w="1739" w:type="dxa"/>
          </w:tcPr>
          <w:p w:rsidRPr="002B238F" w:rsidR="002C77FA" w:rsidP="001524C5" w:rsidRDefault="002C77FA" w14:paraId="1D494934" w14:textId="77777777">
            <w:pPr>
              <w:rPr>
                <w:rFonts w:ascii="Palatino Linotype" w:hAnsi="Palatino Linotype"/>
                <w:bCs/>
                <w:sz w:val="24"/>
                <w:szCs w:val="24"/>
              </w:rPr>
            </w:pPr>
            <w:r w:rsidRPr="002B238F">
              <w:rPr>
                <w:rFonts w:ascii="Palatino Linotype" w:hAnsi="Palatino Linotype"/>
                <w:bCs/>
                <w:sz w:val="24"/>
                <w:szCs w:val="24"/>
              </w:rPr>
              <w:t>$4,320,000</w:t>
            </w:r>
          </w:p>
        </w:tc>
        <w:tc>
          <w:tcPr>
            <w:tcW w:w="4495" w:type="dxa"/>
          </w:tcPr>
          <w:p w:rsidRPr="002B238F" w:rsidR="002C77FA" w:rsidP="001524C5" w:rsidRDefault="002C77FA" w14:paraId="1F8A1640" w14:textId="77777777">
            <w:pPr>
              <w:rPr>
                <w:rFonts w:ascii="Palatino Linotype" w:hAnsi="Palatino Linotype"/>
                <w:bCs/>
                <w:sz w:val="24"/>
                <w:szCs w:val="24"/>
              </w:rPr>
            </w:pPr>
            <w:r w:rsidRPr="002B238F">
              <w:rPr>
                <w:rFonts w:ascii="Palatino Linotype" w:hAnsi="Palatino Linotype"/>
                <w:bCs/>
                <w:sz w:val="24"/>
                <w:szCs w:val="24"/>
              </w:rPr>
              <w:t xml:space="preserve">This budget will go to a third-party evaluator. </w:t>
            </w:r>
          </w:p>
        </w:tc>
      </w:tr>
    </w:tbl>
    <w:p w:rsidRPr="002B238F" w:rsidR="002C77FA" w:rsidP="002C77FA" w:rsidRDefault="001524C5" w14:paraId="641FD420" w14:textId="2C333ECF">
      <w:pPr>
        <w:rPr>
          <w:rFonts w:ascii="Palatino Linotype" w:hAnsi="Palatino Linotype"/>
          <w:bCs/>
          <w:sz w:val="24"/>
          <w:szCs w:val="24"/>
        </w:rPr>
      </w:pPr>
      <w:r>
        <w:rPr>
          <w:rFonts w:ascii="Palatino Linotype" w:hAnsi="Palatino Linotype"/>
          <w:bCs/>
          <w:sz w:val="24"/>
          <w:szCs w:val="24"/>
        </w:rPr>
        <w:br w:type="textWrapping" w:clear="all"/>
      </w:r>
    </w:p>
    <w:p w:rsidRPr="002B238F" w:rsidR="002C77FA" w:rsidP="002C77FA" w:rsidRDefault="0066684F" w14:paraId="3419AF89" w14:textId="3EFC6305">
      <w:pPr>
        <w:rPr>
          <w:rFonts w:ascii="Palatino Linotype" w:hAnsi="Palatino Linotype"/>
          <w:bCs/>
          <w:sz w:val="24"/>
          <w:szCs w:val="24"/>
          <w:u w:val="single"/>
        </w:rPr>
      </w:pPr>
      <w:r w:rsidRPr="002B238F">
        <w:rPr>
          <w:rFonts w:ascii="Palatino Linotype" w:hAnsi="Palatino Linotype"/>
          <w:bCs/>
          <w:sz w:val="24"/>
          <w:szCs w:val="24"/>
          <w:u w:val="single"/>
        </w:rPr>
        <w:t xml:space="preserve">Definition of </w:t>
      </w:r>
      <w:r w:rsidRPr="002B238F" w:rsidR="002C77FA">
        <w:rPr>
          <w:rFonts w:ascii="Palatino Linotype" w:hAnsi="Palatino Linotype"/>
          <w:bCs/>
          <w:sz w:val="24"/>
          <w:szCs w:val="24"/>
          <w:u w:val="single"/>
        </w:rPr>
        <w:t>Make-</w:t>
      </w:r>
      <w:r w:rsidRPr="002B238F" w:rsidR="000F478E">
        <w:rPr>
          <w:rFonts w:ascii="Palatino Linotype" w:hAnsi="Palatino Linotype"/>
          <w:bCs/>
          <w:sz w:val="24"/>
          <w:szCs w:val="24"/>
          <w:u w:val="single"/>
        </w:rPr>
        <w:t>R</w:t>
      </w:r>
      <w:r w:rsidRPr="002B238F" w:rsidR="002C77FA">
        <w:rPr>
          <w:rFonts w:ascii="Palatino Linotype" w:hAnsi="Palatino Linotype"/>
          <w:bCs/>
          <w:sz w:val="24"/>
          <w:szCs w:val="24"/>
          <w:u w:val="single"/>
        </w:rPr>
        <w:t>eady</w:t>
      </w:r>
      <w:r w:rsidRPr="002B238F" w:rsidR="00EB02A6">
        <w:rPr>
          <w:rFonts w:ascii="Palatino Linotype" w:hAnsi="Palatino Linotype"/>
          <w:bCs/>
          <w:sz w:val="24"/>
          <w:szCs w:val="24"/>
          <w:u w:val="single"/>
        </w:rPr>
        <w:t>, Site, and Port</w:t>
      </w:r>
    </w:p>
    <w:p w:rsidRPr="002B238F" w:rsidR="002C77FA" w:rsidP="765BEDE1" w:rsidRDefault="0066684F" w14:paraId="586FE16D" w14:textId="169F18C3">
      <w:pPr>
        <w:rPr>
          <w:rFonts w:ascii="Palatino Linotype" w:hAnsi="Palatino Linotype"/>
          <w:sz w:val="24"/>
          <w:szCs w:val="24"/>
        </w:rPr>
      </w:pPr>
      <w:r w:rsidRPr="002B238F">
        <w:rPr>
          <w:rFonts w:ascii="Palatino Linotype" w:hAnsi="Palatino Linotype"/>
          <w:sz w:val="24"/>
          <w:szCs w:val="24"/>
        </w:rPr>
        <w:t xml:space="preserve">Within the CR2 </w:t>
      </w:r>
      <w:r w:rsidRPr="002B238F" w:rsidR="37C1A4C8">
        <w:rPr>
          <w:rFonts w:ascii="Palatino Linotype" w:hAnsi="Palatino Linotype"/>
          <w:sz w:val="24"/>
          <w:szCs w:val="24"/>
        </w:rPr>
        <w:t>Decision</w:t>
      </w:r>
      <w:r w:rsidRPr="002B238F">
        <w:rPr>
          <w:rFonts w:ascii="Palatino Linotype" w:hAnsi="Palatino Linotype"/>
          <w:sz w:val="24"/>
          <w:szCs w:val="24"/>
        </w:rPr>
        <w:t xml:space="preserve">, </w:t>
      </w:r>
      <w:r w:rsidRPr="002B238F" w:rsidR="00041D16">
        <w:rPr>
          <w:rFonts w:ascii="Palatino Linotype" w:hAnsi="Palatino Linotype"/>
          <w:sz w:val="24"/>
          <w:szCs w:val="24"/>
        </w:rPr>
        <w:t xml:space="preserve">the </w:t>
      </w:r>
      <w:r w:rsidRPr="002B238F" w:rsidR="002C77FA">
        <w:rPr>
          <w:rFonts w:ascii="Palatino Linotype" w:hAnsi="Palatino Linotype"/>
          <w:sz w:val="24"/>
          <w:szCs w:val="24"/>
        </w:rPr>
        <w:t>defin</w:t>
      </w:r>
      <w:r w:rsidRPr="002B238F" w:rsidR="00041D16">
        <w:rPr>
          <w:rFonts w:ascii="Palatino Linotype" w:hAnsi="Palatino Linotype"/>
          <w:sz w:val="24"/>
          <w:szCs w:val="24"/>
        </w:rPr>
        <w:t>ition of</w:t>
      </w:r>
      <w:r w:rsidRPr="002B238F" w:rsidR="002C77FA">
        <w:rPr>
          <w:rFonts w:ascii="Palatino Linotype" w:hAnsi="Palatino Linotype"/>
          <w:sz w:val="24"/>
          <w:szCs w:val="24"/>
        </w:rPr>
        <w:t xml:space="preserve"> “make-ready” </w:t>
      </w:r>
      <w:r w:rsidRPr="002B238F" w:rsidR="00DB114A">
        <w:rPr>
          <w:rFonts w:ascii="Palatino Linotype" w:hAnsi="Palatino Linotype"/>
          <w:sz w:val="24"/>
          <w:szCs w:val="24"/>
        </w:rPr>
        <w:t>is</w:t>
      </w:r>
      <w:r w:rsidRPr="002B238F" w:rsidR="002C77FA">
        <w:rPr>
          <w:rFonts w:ascii="Palatino Linotype" w:hAnsi="Palatino Linotype"/>
          <w:sz w:val="24"/>
          <w:szCs w:val="24"/>
        </w:rPr>
        <w:t xml:space="preserve"> the service</w:t>
      </w:r>
      <w:r w:rsidRPr="002B238F" w:rsidR="00DB114A">
        <w:rPr>
          <w:rFonts w:ascii="Palatino Linotype" w:hAnsi="Palatino Linotype"/>
          <w:sz w:val="24"/>
          <w:szCs w:val="24"/>
        </w:rPr>
        <w:t xml:space="preserve"> </w:t>
      </w:r>
      <w:r w:rsidRPr="002B238F" w:rsidR="002C77FA">
        <w:rPr>
          <w:rFonts w:ascii="Palatino Linotype" w:hAnsi="Palatino Linotype"/>
          <w:sz w:val="24"/>
          <w:szCs w:val="24"/>
        </w:rPr>
        <w:t>connecti</w:t>
      </w:r>
      <w:r w:rsidRPr="002B238F" w:rsidR="00DB114A">
        <w:rPr>
          <w:rFonts w:ascii="Palatino Linotype" w:hAnsi="Palatino Linotype"/>
          <w:sz w:val="24"/>
          <w:szCs w:val="24"/>
        </w:rPr>
        <w:t>o</w:t>
      </w:r>
      <w:r w:rsidRPr="002B238F" w:rsidR="002C77FA">
        <w:rPr>
          <w:rFonts w:ascii="Palatino Linotype" w:hAnsi="Palatino Linotype"/>
          <w:sz w:val="24"/>
          <w:szCs w:val="24"/>
        </w:rPr>
        <w:t xml:space="preserve">n and supply infrastructure </w:t>
      </w:r>
      <w:r w:rsidRPr="002B238F" w:rsidR="00590151">
        <w:rPr>
          <w:rFonts w:ascii="Palatino Linotype" w:hAnsi="Palatino Linotype"/>
          <w:sz w:val="24"/>
          <w:szCs w:val="24"/>
        </w:rPr>
        <w:t xml:space="preserve">from the distribution circuit to the stub of the EVSE. This can include equipment on the utility-side (e.g., transformer) and customer-side </w:t>
      </w:r>
      <w:r w:rsidR="00CC60E7">
        <w:rPr>
          <w:rFonts w:ascii="Palatino Linotype" w:hAnsi="Palatino Linotype"/>
          <w:sz w:val="24"/>
          <w:szCs w:val="24"/>
        </w:rPr>
        <w:br/>
      </w:r>
      <w:r w:rsidRPr="002B238F" w:rsidR="00590151">
        <w:rPr>
          <w:rFonts w:ascii="Palatino Linotype" w:hAnsi="Palatino Linotype"/>
          <w:sz w:val="24"/>
          <w:szCs w:val="24"/>
        </w:rPr>
        <w:t xml:space="preserve">(e.g., electrical panel, conduit, and wiring to the meter). </w:t>
      </w:r>
      <w:r w:rsidRPr="002B238F" w:rsidR="002C77FA">
        <w:rPr>
          <w:rFonts w:ascii="Palatino Linotype" w:hAnsi="Palatino Linotype"/>
          <w:sz w:val="24"/>
          <w:szCs w:val="24"/>
        </w:rPr>
        <w:t>to support EV charging comprised of electrical infrastructure from the distribution to the stub of the EVSE. Make-ready can include equipment on the utility-side (e.g.</w:t>
      </w:r>
      <w:r w:rsidRPr="002B238F" w:rsidR="008D1D5E">
        <w:rPr>
          <w:rFonts w:ascii="Palatino Linotype" w:hAnsi="Palatino Linotype"/>
          <w:sz w:val="24"/>
          <w:szCs w:val="24"/>
        </w:rPr>
        <w:t>,</w:t>
      </w:r>
      <w:r w:rsidRPr="002B238F" w:rsidR="002C77FA">
        <w:rPr>
          <w:rFonts w:ascii="Palatino Linotype" w:hAnsi="Palatino Linotype"/>
          <w:sz w:val="24"/>
          <w:szCs w:val="24"/>
        </w:rPr>
        <w:t xml:space="preserve"> transformer) and </w:t>
      </w:r>
      <w:r w:rsidR="00CC60E7">
        <w:rPr>
          <w:rFonts w:ascii="Palatino Linotype" w:hAnsi="Palatino Linotype"/>
          <w:sz w:val="24"/>
          <w:szCs w:val="24"/>
        </w:rPr>
        <w:br/>
      </w:r>
      <w:r w:rsidRPr="002B238F" w:rsidR="002C77FA">
        <w:rPr>
          <w:rFonts w:ascii="Palatino Linotype" w:hAnsi="Palatino Linotype"/>
          <w:sz w:val="24"/>
          <w:szCs w:val="24"/>
        </w:rPr>
        <w:t>customer-side (e.g., electrical panel, conduit, and wiring) of the meter</w:t>
      </w:r>
      <w:r w:rsidRPr="002B238F" w:rsidR="008D1D5E">
        <w:rPr>
          <w:rFonts w:ascii="Palatino Linotype" w:hAnsi="Palatino Linotype"/>
          <w:sz w:val="24"/>
          <w:szCs w:val="24"/>
        </w:rPr>
        <w:t>.</w:t>
      </w:r>
      <w:r w:rsidRPr="002B238F" w:rsidR="002C77FA">
        <w:rPr>
          <w:rStyle w:val="FootnoteReference"/>
          <w:rFonts w:ascii="Palatino Linotype" w:hAnsi="Palatino Linotype"/>
          <w:sz w:val="24"/>
          <w:szCs w:val="24"/>
        </w:rPr>
        <w:footnoteReference w:id="7"/>
      </w:r>
      <w:r w:rsidRPr="002B238F" w:rsidR="002C77FA">
        <w:rPr>
          <w:rFonts w:ascii="Palatino Linotype" w:hAnsi="Palatino Linotype"/>
          <w:sz w:val="24"/>
          <w:szCs w:val="24"/>
        </w:rPr>
        <w:t xml:space="preserve"> </w:t>
      </w:r>
    </w:p>
    <w:p w:rsidRPr="002B238F" w:rsidR="007C6C4E" w:rsidP="765BEDE1" w:rsidRDefault="007C6C4E" w14:paraId="5077919A" w14:textId="2317B843">
      <w:pPr>
        <w:rPr>
          <w:rFonts w:ascii="Palatino Linotype" w:hAnsi="Palatino Linotype"/>
          <w:sz w:val="24"/>
          <w:szCs w:val="24"/>
        </w:rPr>
      </w:pPr>
      <w:r w:rsidRPr="002B238F">
        <w:rPr>
          <w:rFonts w:ascii="Palatino Linotype" w:hAnsi="Palatino Linotype"/>
          <w:sz w:val="24"/>
          <w:szCs w:val="24"/>
        </w:rPr>
        <w:t>While D.20-08-040 does not explicitly define “port”</w:t>
      </w:r>
      <w:r w:rsidRPr="002B238F" w:rsidR="002F2E91">
        <w:rPr>
          <w:rFonts w:ascii="Palatino Linotype" w:hAnsi="Palatino Linotype"/>
          <w:sz w:val="24"/>
          <w:szCs w:val="24"/>
        </w:rPr>
        <w:t xml:space="preserve"> o</w:t>
      </w:r>
      <w:r w:rsidRPr="002B238F" w:rsidR="005E30D5">
        <w:rPr>
          <w:rFonts w:ascii="Palatino Linotype" w:hAnsi="Palatino Linotype"/>
          <w:sz w:val="24"/>
          <w:szCs w:val="24"/>
        </w:rPr>
        <w:t>r</w:t>
      </w:r>
      <w:r w:rsidRPr="002B238F" w:rsidR="002F2E91">
        <w:rPr>
          <w:rFonts w:ascii="Palatino Linotype" w:hAnsi="Palatino Linotype"/>
          <w:sz w:val="24"/>
          <w:szCs w:val="24"/>
        </w:rPr>
        <w:t xml:space="preserve"> “site,” D.18-05-040 did include a definition for both “site” and “charge port.”</w:t>
      </w:r>
      <w:r w:rsidRPr="002B238F" w:rsidR="008000A2">
        <w:rPr>
          <w:rFonts w:ascii="Palatino Linotype" w:hAnsi="Palatino Linotype"/>
          <w:sz w:val="24"/>
          <w:szCs w:val="24"/>
        </w:rPr>
        <w:t xml:space="preserve"> Specifically, the Decision states that a charge port generally refers to the location where EVSE connector attaches to the vehicle</w:t>
      </w:r>
      <w:r w:rsidRPr="002B238F" w:rsidR="00E05C69">
        <w:rPr>
          <w:rFonts w:ascii="Palatino Linotype" w:hAnsi="Palatino Linotype"/>
          <w:sz w:val="24"/>
          <w:szCs w:val="24"/>
        </w:rPr>
        <w:t>, and that one EVSE may have multiple charge ports. Per this Decision, a site is the location at which charging infrastructure is installed.</w:t>
      </w:r>
      <w:r w:rsidRPr="002B238F" w:rsidR="00E05C69">
        <w:rPr>
          <w:rStyle w:val="FootnoteReference"/>
          <w:rFonts w:ascii="Palatino Linotype" w:hAnsi="Palatino Linotype"/>
          <w:sz w:val="24"/>
          <w:szCs w:val="24"/>
        </w:rPr>
        <w:footnoteReference w:id="8"/>
      </w:r>
      <w:r w:rsidRPr="002B238F" w:rsidR="00E05C69">
        <w:rPr>
          <w:rFonts w:ascii="Palatino Linotype" w:hAnsi="Palatino Linotype"/>
          <w:sz w:val="24"/>
          <w:szCs w:val="24"/>
        </w:rPr>
        <w:t xml:space="preserve"> </w:t>
      </w:r>
    </w:p>
    <w:p w:rsidRPr="002B238F" w:rsidR="006B0054" w:rsidP="765BEDE1" w:rsidRDefault="006B0054" w14:paraId="015B5FF3" w14:textId="77777777">
      <w:pPr>
        <w:rPr>
          <w:rFonts w:ascii="Palatino Linotype" w:hAnsi="Palatino Linotype"/>
          <w:sz w:val="24"/>
          <w:szCs w:val="24"/>
        </w:rPr>
      </w:pPr>
    </w:p>
    <w:p w:rsidRPr="002B238F" w:rsidR="20028CD9" w:rsidP="2F410FD2" w:rsidRDefault="20028CD9" w14:paraId="42674AFC" w14:textId="3F01A08A">
      <w:pPr>
        <w:rPr>
          <w:rFonts w:ascii="Palatino Linotype" w:hAnsi="Palatino Linotype"/>
          <w:sz w:val="24"/>
          <w:szCs w:val="24"/>
          <w:u w:val="single"/>
        </w:rPr>
      </w:pPr>
      <w:r w:rsidRPr="002B238F">
        <w:rPr>
          <w:rFonts w:ascii="Palatino Linotype" w:hAnsi="Palatino Linotype"/>
          <w:sz w:val="24"/>
          <w:szCs w:val="24"/>
          <w:u w:val="single"/>
        </w:rPr>
        <w:lastRenderedPageBreak/>
        <w:t>Customer-Side Make-Ready</w:t>
      </w:r>
      <w:r w:rsidRPr="002B238F" w:rsidR="00EC455B">
        <w:rPr>
          <w:rFonts w:ascii="Palatino Linotype" w:hAnsi="Palatino Linotype"/>
          <w:sz w:val="24"/>
          <w:szCs w:val="24"/>
          <w:u w:val="single"/>
        </w:rPr>
        <w:t xml:space="preserve"> as Authorized by D.20-08-045</w:t>
      </w:r>
    </w:p>
    <w:p w:rsidRPr="002B238F" w:rsidR="005F0702" w:rsidP="2F410FD2" w:rsidRDefault="00184353" w14:paraId="43B95F72" w14:textId="10203E08">
      <w:pPr>
        <w:rPr>
          <w:rFonts w:ascii="Palatino Linotype" w:hAnsi="Palatino Linotype"/>
          <w:sz w:val="24"/>
          <w:szCs w:val="24"/>
        </w:rPr>
      </w:pPr>
      <w:r w:rsidRPr="002B238F">
        <w:rPr>
          <w:rFonts w:ascii="Palatino Linotype" w:hAnsi="Palatino Linotype"/>
          <w:sz w:val="24"/>
          <w:szCs w:val="24"/>
        </w:rPr>
        <w:t xml:space="preserve">SCE investments for </w:t>
      </w:r>
      <w:r w:rsidRPr="002B238F" w:rsidR="008D1D5E">
        <w:rPr>
          <w:rFonts w:ascii="Palatino Linotype" w:hAnsi="Palatino Linotype"/>
          <w:sz w:val="24"/>
          <w:szCs w:val="24"/>
        </w:rPr>
        <w:t>CR2</w:t>
      </w:r>
      <w:r w:rsidRPr="002B238F">
        <w:rPr>
          <w:rFonts w:ascii="Palatino Linotype" w:hAnsi="Palatino Linotype"/>
          <w:sz w:val="24"/>
          <w:szCs w:val="24"/>
        </w:rPr>
        <w:t xml:space="preserve"> programs will be considered per se reasonable, provided at least 15 percent of Make-Ready Expansion ports are under the site host ownership</w:t>
      </w:r>
      <w:r w:rsidRPr="002B238F" w:rsidR="00423F59">
        <w:rPr>
          <w:rFonts w:ascii="Palatino Linotype" w:hAnsi="Palatino Linotype"/>
          <w:sz w:val="24"/>
          <w:szCs w:val="24"/>
        </w:rPr>
        <w:t xml:space="preserve"> model</w:t>
      </w:r>
      <w:r w:rsidRPr="002B238F" w:rsidR="008D1D5E">
        <w:rPr>
          <w:rFonts w:ascii="Palatino Linotype" w:hAnsi="Palatino Linotype"/>
          <w:sz w:val="24"/>
          <w:szCs w:val="24"/>
        </w:rPr>
        <w:t>.</w:t>
      </w:r>
      <w:r w:rsidRPr="002B238F">
        <w:rPr>
          <w:rStyle w:val="FootnoteReference"/>
          <w:rFonts w:ascii="Palatino Linotype" w:hAnsi="Palatino Linotype"/>
          <w:sz w:val="24"/>
          <w:szCs w:val="24"/>
        </w:rPr>
        <w:footnoteReference w:id="9"/>
      </w:r>
      <w:r w:rsidRPr="002B238F">
        <w:rPr>
          <w:rFonts w:ascii="Palatino Linotype" w:hAnsi="Palatino Linotype"/>
          <w:sz w:val="24"/>
          <w:szCs w:val="24"/>
        </w:rPr>
        <w:t xml:space="preserve"> </w:t>
      </w:r>
      <w:r w:rsidRPr="002B238F" w:rsidR="00D8648B">
        <w:rPr>
          <w:rFonts w:ascii="Palatino Linotype" w:hAnsi="Palatino Linotype"/>
          <w:sz w:val="24"/>
          <w:szCs w:val="24"/>
        </w:rPr>
        <w:t xml:space="preserve">Under this structure, </w:t>
      </w:r>
      <w:r w:rsidRPr="002B238F">
        <w:rPr>
          <w:rFonts w:ascii="Palatino Linotype" w:hAnsi="Palatino Linotype"/>
          <w:sz w:val="24"/>
          <w:szCs w:val="24"/>
        </w:rPr>
        <w:t>SCE offer</w:t>
      </w:r>
      <w:r w:rsidRPr="002B238F" w:rsidR="00D8648B">
        <w:rPr>
          <w:rFonts w:ascii="Palatino Linotype" w:hAnsi="Palatino Linotype"/>
          <w:sz w:val="24"/>
          <w:szCs w:val="24"/>
        </w:rPr>
        <w:t>s</w:t>
      </w:r>
      <w:r w:rsidRPr="002B238F">
        <w:rPr>
          <w:rFonts w:ascii="Palatino Linotype" w:hAnsi="Palatino Linotype"/>
          <w:sz w:val="24"/>
          <w:szCs w:val="24"/>
        </w:rPr>
        <w:t xml:space="preserve"> customers the choice to manage and pay for the installation of the customer-side infrastructure with a rebate of up to 80 percent of installation costs under the Make-Ready Expansion program</w:t>
      </w:r>
      <w:r w:rsidRPr="002B238F" w:rsidR="008D1D5E">
        <w:rPr>
          <w:rFonts w:ascii="Palatino Linotype" w:hAnsi="Palatino Linotype"/>
          <w:sz w:val="24"/>
          <w:szCs w:val="24"/>
        </w:rPr>
        <w:t>.</w:t>
      </w:r>
      <w:r w:rsidRPr="002B238F">
        <w:rPr>
          <w:rStyle w:val="FootnoteReference"/>
          <w:rFonts w:ascii="Palatino Linotype" w:hAnsi="Palatino Linotype"/>
          <w:sz w:val="24"/>
          <w:szCs w:val="24"/>
        </w:rPr>
        <w:footnoteReference w:id="10"/>
      </w:r>
    </w:p>
    <w:p w:rsidRPr="002B238F" w:rsidR="002C77FA" w:rsidP="002C77FA" w:rsidRDefault="002C77FA" w14:paraId="5727F773" w14:textId="0AE7FD8E">
      <w:pPr>
        <w:rPr>
          <w:rFonts w:ascii="Palatino Linotype" w:hAnsi="Palatino Linotype"/>
          <w:bCs/>
          <w:sz w:val="24"/>
          <w:szCs w:val="24"/>
          <w:u w:val="single"/>
        </w:rPr>
      </w:pPr>
      <w:r w:rsidRPr="002B238F">
        <w:rPr>
          <w:rFonts w:ascii="Palatino Linotype" w:hAnsi="Palatino Linotype"/>
          <w:bCs/>
          <w:sz w:val="24"/>
          <w:szCs w:val="24"/>
          <w:u w:val="single"/>
        </w:rPr>
        <w:t>Power Level Requirement</w:t>
      </w:r>
      <w:r w:rsidRPr="002B238F" w:rsidR="009824DC">
        <w:rPr>
          <w:rFonts w:ascii="Palatino Linotype" w:hAnsi="Palatino Linotype"/>
          <w:bCs/>
          <w:sz w:val="24"/>
          <w:szCs w:val="24"/>
          <w:u w:val="single"/>
        </w:rPr>
        <w:t>s as Authorized by D.20-08-045</w:t>
      </w:r>
    </w:p>
    <w:p w:rsidRPr="002B238F" w:rsidR="002C77FA" w:rsidP="00007FA0" w:rsidRDefault="00754F1E" w14:paraId="334CE359" w14:textId="7085BBB1">
      <w:pPr>
        <w:rPr>
          <w:rFonts w:ascii="Palatino Linotype" w:hAnsi="Palatino Linotype"/>
          <w:sz w:val="24"/>
          <w:szCs w:val="24"/>
        </w:rPr>
      </w:pPr>
      <w:r w:rsidRPr="002B238F">
        <w:rPr>
          <w:rFonts w:ascii="Palatino Linotype" w:hAnsi="Palatino Linotype"/>
          <w:sz w:val="24"/>
          <w:szCs w:val="24"/>
        </w:rPr>
        <w:t xml:space="preserve">Under the CR2 Decision and consistent with the Commission's rationale for </w:t>
      </w:r>
      <w:r w:rsidR="00CC60E7">
        <w:rPr>
          <w:rFonts w:ascii="Palatino Linotype" w:hAnsi="Palatino Linotype"/>
          <w:sz w:val="24"/>
          <w:szCs w:val="24"/>
        </w:rPr>
        <w:br/>
      </w:r>
      <w:r w:rsidRPr="002B238F">
        <w:rPr>
          <w:rFonts w:ascii="Palatino Linotype" w:hAnsi="Palatino Linotype"/>
          <w:sz w:val="24"/>
          <w:szCs w:val="24"/>
        </w:rPr>
        <w:t xml:space="preserve">PG&amp;E's Fast Charge program, SCE </w:t>
      </w:r>
      <w:r w:rsidRPr="002B238F" w:rsidR="00DF4BE9">
        <w:rPr>
          <w:rFonts w:ascii="Palatino Linotype" w:hAnsi="Palatino Linotype"/>
          <w:sz w:val="24"/>
          <w:szCs w:val="24"/>
        </w:rPr>
        <w:t>is allowed to</w:t>
      </w:r>
      <w:r w:rsidRPr="002B238F">
        <w:rPr>
          <w:rFonts w:ascii="Palatino Linotype" w:hAnsi="Palatino Linotype"/>
          <w:sz w:val="24"/>
          <w:szCs w:val="24"/>
        </w:rPr>
        <w:t xml:space="preserve"> install make-ready infrastructure to support EVSE of 150kW for its DCFC component of the Make-Ready Expansion program to support higher-powered charging in the future</w:t>
      </w:r>
      <w:r w:rsidRPr="002B238F" w:rsidR="00DF4BE9">
        <w:rPr>
          <w:rFonts w:ascii="Palatino Linotype" w:hAnsi="Palatino Linotype"/>
          <w:sz w:val="24"/>
          <w:szCs w:val="24"/>
        </w:rPr>
        <w:t>.</w:t>
      </w:r>
      <w:r w:rsidRPr="002B238F" w:rsidR="003429A1">
        <w:rPr>
          <w:rStyle w:val="FootnoteReference"/>
          <w:rFonts w:ascii="Palatino Linotype" w:hAnsi="Palatino Linotype"/>
          <w:sz w:val="24"/>
          <w:szCs w:val="24"/>
        </w:rPr>
        <w:footnoteReference w:id="11"/>
      </w:r>
      <w:r w:rsidRPr="002B238F" w:rsidR="009D5A0C">
        <w:rPr>
          <w:rFonts w:ascii="Palatino Linotype" w:hAnsi="Palatino Linotype"/>
          <w:sz w:val="24"/>
          <w:szCs w:val="24"/>
        </w:rPr>
        <w:t xml:space="preserve"> </w:t>
      </w:r>
      <w:r w:rsidRPr="002B238F" w:rsidR="00007FA0">
        <w:rPr>
          <w:rFonts w:ascii="Palatino Linotype" w:hAnsi="Palatino Linotype"/>
          <w:sz w:val="24"/>
          <w:szCs w:val="24"/>
        </w:rPr>
        <w:t xml:space="preserve"> The higher capacity requirement for make-ready infrastructure accounts for the possibility that the site host may wish to upgrade to higher-powered DCFC(s) in the future. However, SCE is authorized to provide rebates for DCFC capable of charging at 50kW or greater</w:t>
      </w:r>
      <w:r w:rsidRPr="002B238F" w:rsidR="00DF4BE9">
        <w:rPr>
          <w:rFonts w:ascii="Palatino Linotype" w:hAnsi="Palatino Linotype"/>
          <w:sz w:val="24"/>
          <w:szCs w:val="24"/>
        </w:rPr>
        <w:t>.</w:t>
      </w:r>
      <w:r w:rsidRPr="002B238F" w:rsidR="00007FA0">
        <w:rPr>
          <w:rStyle w:val="FootnoteReference"/>
          <w:rFonts w:ascii="Palatino Linotype" w:hAnsi="Palatino Linotype"/>
          <w:sz w:val="24"/>
          <w:szCs w:val="24"/>
        </w:rPr>
        <w:footnoteReference w:id="12"/>
      </w:r>
    </w:p>
    <w:p w:rsidRPr="002B238F" w:rsidR="00E26C20" w:rsidP="00007FA0" w:rsidRDefault="00E26C20" w14:paraId="622A2243" w14:textId="148A5277">
      <w:pPr>
        <w:rPr>
          <w:rFonts w:ascii="Palatino Linotype" w:hAnsi="Palatino Linotype"/>
          <w:sz w:val="24"/>
          <w:szCs w:val="24"/>
          <w:u w:val="single"/>
        </w:rPr>
      </w:pPr>
      <w:r w:rsidRPr="002B238F">
        <w:rPr>
          <w:rFonts w:ascii="Palatino Linotype" w:hAnsi="Palatino Linotype"/>
          <w:sz w:val="24"/>
          <w:szCs w:val="24"/>
          <w:u w:val="single"/>
        </w:rPr>
        <w:t>Rebate Levels</w:t>
      </w:r>
      <w:r w:rsidRPr="002B238F" w:rsidR="009824DC">
        <w:rPr>
          <w:rFonts w:ascii="Palatino Linotype" w:hAnsi="Palatino Linotype"/>
          <w:sz w:val="24"/>
          <w:szCs w:val="24"/>
          <w:u w:val="single"/>
        </w:rPr>
        <w:t xml:space="preserve"> </w:t>
      </w:r>
      <w:r w:rsidRPr="002B238F" w:rsidR="00B73F94">
        <w:rPr>
          <w:rFonts w:ascii="Palatino Linotype" w:hAnsi="Palatino Linotype"/>
          <w:sz w:val="24"/>
          <w:szCs w:val="24"/>
          <w:u w:val="single"/>
        </w:rPr>
        <w:t>as Authorized by D.20-08-045</w:t>
      </w:r>
    </w:p>
    <w:p w:rsidRPr="002B238F" w:rsidR="00065576" w:rsidP="00065576" w:rsidRDefault="00065576" w14:paraId="2EBEB22E" w14:textId="557E60BF">
      <w:pPr>
        <w:rPr>
          <w:rFonts w:ascii="Palatino Linotype" w:hAnsi="Palatino Linotype"/>
          <w:sz w:val="24"/>
          <w:szCs w:val="24"/>
        </w:rPr>
      </w:pPr>
      <w:r w:rsidRPr="002B238F">
        <w:rPr>
          <w:rFonts w:ascii="Palatino Linotype" w:hAnsi="Palatino Linotype"/>
          <w:sz w:val="24"/>
          <w:szCs w:val="24"/>
        </w:rPr>
        <w:t xml:space="preserve">The Commission adopts the same rebate </w:t>
      </w:r>
      <w:r w:rsidRPr="002B238F" w:rsidR="00DF4BE9">
        <w:rPr>
          <w:rFonts w:ascii="Palatino Linotype" w:hAnsi="Palatino Linotype"/>
          <w:sz w:val="24"/>
          <w:szCs w:val="24"/>
        </w:rPr>
        <w:t>structure</w:t>
      </w:r>
      <w:r w:rsidRPr="002B238F">
        <w:rPr>
          <w:rFonts w:ascii="Palatino Linotype" w:hAnsi="Palatino Linotype"/>
          <w:sz w:val="24"/>
          <w:szCs w:val="24"/>
        </w:rPr>
        <w:t xml:space="preserve"> set in SCE's </w:t>
      </w:r>
      <w:r w:rsidRPr="002B238F" w:rsidR="00DF4BE9">
        <w:rPr>
          <w:rFonts w:ascii="Palatino Linotype" w:hAnsi="Palatino Linotype"/>
          <w:sz w:val="24"/>
          <w:szCs w:val="24"/>
        </w:rPr>
        <w:t xml:space="preserve">Charge Ready </w:t>
      </w:r>
      <w:r w:rsidR="00CC60E7">
        <w:rPr>
          <w:rFonts w:ascii="Palatino Linotype" w:hAnsi="Palatino Linotype"/>
          <w:sz w:val="24"/>
          <w:szCs w:val="24"/>
        </w:rPr>
        <w:br/>
      </w:r>
      <w:r w:rsidRPr="002B238F">
        <w:rPr>
          <w:rFonts w:ascii="Palatino Linotype" w:hAnsi="Palatino Linotype"/>
          <w:sz w:val="24"/>
          <w:szCs w:val="24"/>
        </w:rPr>
        <w:t xml:space="preserve">Phase 1 Pilot. SCE </w:t>
      </w:r>
      <w:r w:rsidRPr="002B238F" w:rsidR="00DF4BE9">
        <w:rPr>
          <w:rFonts w:ascii="Palatino Linotype" w:hAnsi="Palatino Linotype"/>
          <w:sz w:val="24"/>
          <w:szCs w:val="24"/>
        </w:rPr>
        <w:t>is directed to</w:t>
      </w:r>
      <w:r w:rsidRPr="002B238F">
        <w:rPr>
          <w:rFonts w:ascii="Palatino Linotype" w:hAnsi="Palatino Linotype"/>
          <w:sz w:val="24"/>
          <w:szCs w:val="24"/>
        </w:rPr>
        <w:t xml:space="preserve"> set rebate levels at 100 percent for DACs, 50 percent for non-DAC MUDs, and 25 percent for all other market segments, including sites on the Fortune 1000 list regardless of DAC status. </w:t>
      </w:r>
    </w:p>
    <w:p w:rsidR="00B73F94" w:rsidP="00007FA0" w:rsidRDefault="00065576" w14:paraId="7EBF2674" w14:textId="21037E23">
      <w:pPr>
        <w:rPr>
          <w:rFonts w:ascii="Palatino Linotype" w:hAnsi="Palatino Linotype"/>
          <w:sz w:val="24"/>
          <w:szCs w:val="24"/>
        </w:rPr>
      </w:pPr>
      <w:r w:rsidRPr="002B238F">
        <w:rPr>
          <w:rFonts w:ascii="Palatino Linotype" w:hAnsi="Palatino Linotype"/>
          <w:sz w:val="24"/>
          <w:szCs w:val="24"/>
        </w:rPr>
        <w:t xml:space="preserve">Further, </w:t>
      </w:r>
      <w:r w:rsidRPr="002B238F" w:rsidR="00DF4BE9">
        <w:rPr>
          <w:rFonts w:ascii="Palatino Linotype" w:hAnsi="Palatino Linotype"/>
          <w:sz w:val="24"/>
          <w:szCs w:val="24"/>
        </w:rPr>
        <w:t xml:space="preserve">the Commission directs that </w:t>
      </w:r>
      <w:r w:rsidRPr="002B238F">
        <w:rPr>
          <w:rFonts w:ascii="Palatino Linotype" w:hAnsi="Palatino Linotype"/>
          <w:sz w:val="24"/>
          <w:szCs w:val="24"/>
        </w:rPr>
        <w:t xml:space="preserve">SCE be flexible </w:t>
      </w:r>
      <w:r w:rsidRPr="002B238F" w:rsidR="00DF4BE9">
        <w:rPr>
          <w:rFonts w:ascii="Palatino Linotype" w:hAnsi="Palatino Linotype"/>
          <w:sz w:val="24"/>
          <w:szCs w:val="24"/>
        </w:rPr>
        <w:t>in</w:t>
      </w:r>
      <w:r w:rsidRPr="002B238F">
        <w:rPr>
          <w:rFonts w:ascii="Palatino Linotype" w:hAnsi="Palatino Linotype"/>
          <w:sz w:val="24"/>
          <w:szCs w:val="24"/>
        </w:rPr>
        <w:t xml:space="preserve"> mov</w:t>
      </w:r>
      <w:r w:rsidRPr="002B238F" w:rsidR="00AB7453">
        <w:rPr>
          <w:rFonts w:ascii="Palatino Linotype" w:hAnsi="Palatino Linotype"/>
          <w:sz w:val="24"/>
          <w:szCs w:val="24"/>
        </w:rPr>
        <w:t>ing</w:t>
      </w:r>
      <w:r w:rsidRPr="002B238F">
        <w:rPr>
          <w:rFonts w:ascii="Palatino Linotype" w:hAnsi="Palatino Linotype"/>
          <w:sz w:val="24"/>
          <w:szCs w:val="24"/>
        </w:rPr>
        <w:t xml:space="preserve"> rebate levels up or down during program implementation to</w:t>
      </w:r>
      <w:r w:rsidRPr="002B238F" w:rsidR="00AB7453">
        <w:rPr>
          <w:rFonts w:ascii="Palatino Linotype" w:hAnsi="Palatino Linotype"/>
          <w:sz w:val="24"/>
          <w:szCs w:val="24"/>
        </w:rPr>
        <w:t xml:space="preserve"> allow for</w:t>
      </w:r>
      <w:r w:rsidRPr="002B238F">
        <w:rPr>
          <w:rFonts w:ascii="Palatino Linotype" w:hAnsi="Palatino Linotype"/>
          <w:sz w:val="24"/>
          <w:szCs w:val="24"/>
        </w:rPr>
        <w:t xml:space="preserve"> sites to contribute more to installation costs if willing. Should the CR2 program find sufficient demand in the workplace segment, SCE </w:t>
      </w:r>
      <w:r w:rsidRPr="002B238F" w:rsidR="00AB7453">
        <w:rPr>
          <w:rFonts w:ascii="Palatino Linotype" w:hAnsi="Palatino Linotype"/>
          <w:sz w:val="24"/>
          <w:szCs w:val="24"/>
        </w:rPr>
        <w:t>is also directed to</w:t>
      </w:r>
      <w:r w:rsidRPr="002B238F">
        <w:rPr>
          <w:rFonts w:ascii="Palatino Linotype" w:hAnsi="Palatino Linotype"/>
          <w:sz w:val="24"/>
          <w:szCs w:val="24"/>
        </w:rPr>
        <w:t xml:space="preserve"> reduce subsidies to zero throughout the program</w:t>
      </w:r>
      <w:r w:rsidRPr="002B238F" w:rsidR="00AB7453">
        <w:rPr>
          <w:rFonts w:ascii="Palatino Linotype" w:hAnsi="Palatino Linotype"/>
          <w:sz w:val="24"/>
          <w:szCs w:val="24"/>
        </w:rPr>
        <w:t>.</w:t>
      </w:r>
      <w:r w:rsidRPr="002B238F" w:rsidR="0060776C">
        <w:rPr>
          <w:rStyle w:val="FootnoteReference"/>
          <w:rFonts w:ascii="Palatino Linotype" w:hAnsi="Palatino Linotype"/>
          <w:sz w:val="24"/>
          <w:szCs w:val="24"/>
        </w:rPr>
        <w:footnoteReference w:id="13"/>
      </w:r>
    </w:p>
    <w:p w:rsidRPr="002B238F" w:rsidR="00CC60E7" w:rsidP="00007FA0" w:rsidRDefault="00CC60E7" w14:paraId="30F33830" w14:textId="77777777">
      <w:pPr>
        <w:rPr>
          <w:rFonts w:ascii="Palatino Linotype" w:hAnsi="Palatino Linotype"/>
          <w:sz w:val="24"/>
          <w:szCs w:val="24"/>
        </w:rPr>
      </w:pPr>
    </w:p>
    <w:p w:rsidRPr="002B238F" w:rsidR="002C77FA" w:rsidP="26007131" w:rsidRDefault="002C77FA" w14:paraId="6C691160" w14:textId="51C73D63">
      <w:pPr>
        <w:rPr>
          <w:rFonts w:ascii="Palatino Linotype" w:hAnsi="Palatino Linotype"/>
          <w:sz w:val="24"/>
          <w:szCs w:val="24"/>
          <w:u w:val="single"/>
        </w:rPr>
      </w:pPr>
      <w:r w:rsidRPr="002B238F">
        <w:rPr>
          <w:rFonts w:ascii="Palatino Linotype" w:hAnsi="Palatino Linotype"/>
          <w:sz w:val="24"/>
          <w:szCs w:val="24"/>
          <w:u w:val="single"/>
        </w:rPr>
        <w:lastRenderedPageBreak/>
        <w:t>DCFC Component</w:t>
      </w:r>
      <w:r w:rsidRPr="002B238F" w:rsidR="00C50F57">
        <w:rPr>
          <w:rFonts w:ascii="Palatino Linotype" w:hAnsi="Palatino Linotype"/>
          <w:sz w:val="24"/>
          <w:szCs w:val="24"/>
          <w:u w:val="single"/>
        </w:rPr>
        <w:t xml:space="preserve"> of CR2 Program</w:t>
      </w:r>
      <w:r w:rsidRPr="002B238F" w:rsidR="00FB604B">
        <w:rPr>
          <w:rFonts w:ascii="Palatino Linotype" w:hAnsi="Palatino Linotype"/>
          <w:sz w:val="24"/>
          <w:szCs w:val="24"/>
          <w:u w:val="single"/>
        </w:rPr>
        <w:t xml:space="preserve"> as Authorized by</w:t>
      </w:r>
      <w:r w:rsidRPr="002B238F">
        <w:rPr>
          <w:rFonts w:ascii="Palatino Linotype" w:hAnsi="Palatino Linotype"/>
          <w:sz w:val="24"/>
          <w:szCs w:val="24"/>
          <w:u w:val="single"/>
        </w:rPr>
        <w:t xml:space="preserve"> D.20-08-045 </w:t>
      </w:r>
    </w:p>
    <w:p w:rsidRPr="002B238F" w:rsidR="4AA8B61D" w:rsidP="0051535B" w:rsidRDefault="4AA8B61D" w14:paraId="182FC99B" w14:textId="786CD0C8">
      <w:pPr>
        <w:rPr>
          <w:rFonts w:ascii="Palatino Linotype" w:hAnsi="Palatino Linotype"/>
          <w:sz w:val="24"/>
          <w:szCs w:val="24"/>
        </w:rPr>
      </w:pPr>
      <w:r w:rsidRPr="002B238F">
        <w:rPr>
          <w:rFonts w:ascii="Palatino Linotype" w:hAnsi="Palatino Linotype"/>
          <w:sz w:val="24"/>
          <w:szCs w:val="24"/>
        </w:rPr>
        <w:t>Decision 20-08-045 made the following requirements with regards to the DCFC component of the CR2 program:</w:t>
      </w:r>
    </w:p>
    <w:p w:rsidRPr="002B238F" w:rsidR="002C77FA" w:rsidP="2FDB5FF9" w:rsidRDefault="002C77FA" w14:paraId="78520173" w14:textId="1E0ACCCC">
      <w:pPr>
        <w:pStyle w:val="ListParagraph"/>
        <w:numPr>
          <w:ilvl w:val="0"/>
          <w:numId w:val="20"/>
        </w:numPr>
        <w:rPr>
          <w:rFonts w:ascii="Palatino Linotype" w:hAnsi="Palatino Linotype"/>
          <w:sz w:val="24"/>
          <w:szCs w:val="24"/>
        </w:rPr>
      </w:pPr>
      <w:r w:rsidRPr="002B238F">
        <w:rPr>
          <w:rFonts w:ascii="Palatino Linotype" w:hAnsi="Palatino Linotype"/>
          <w:sz w:val="24"/>
          <w:szCs w:val="24"/>
        </w:rPr>
        <w:t>DCFC is not appropriate for long-dwell time</w:t>
      </w:r>
      <w:r w:rsidRPr="002B238F" w:rsidR="00AC29E1">
        <w:rPr>
          <w:rStyle w:val="FootnoteReference"/>
          <w:rFonts w:ascii="Palatino Linotype" w:hAnsi="Palatino Linotype"/>
          <w:sz w:val="24"/>
          <w:szCs w:val="24"/>
        </w:rPr>
        <w:footnoteReference w:id="14"/>
      </w:r>
      <w:r w:rsidRPr="002B238F">
        <w:rPr>
          <w:rFonts w:ascii="Palatino Linotype" w:hAnsi="Palatino Linotype"/>
          <w:sz w:val="24"/>
          <w:szCs w:val="24"/>
        </w:rPr>
        <w:t xml:space="preserve"> and should not necessarily be </w:t>
      </w:r>
      <w:proofErr w:type="spellStart"/>
      <w:r w:rsidRPr="002B238F">
        <w:rPr>
          <w:rFonts w:ascii="Palatino Linotype" w:hAnsi="Palatino Linotype"/>
          <w:sz w:val="24"/>
          <w:szCs w:val="24"/>
        </w:rPr>
        <w:t>colocated</w:t>
      </w:r>
      <w:proofErr w:type="spellEnd"/>
      <w:r w:rsidRPr="002B238F">
        <w:rPr>
          <w:rFonts w:ascii="Palatino Linotype" w:hAnsi="Palatino Linotype"/>
          <w:sz w:val="24"/>
          <w:szCs w:val="24"/>
        </w:rPr>
        <w:t xml:space="preserve"> with </w:t>
      </w:r>
      <w:r w:rsidRPr="002B238F" w:rsidR="003B1B24">
        <w:rPr>
          <w:rFonts w:ascii="Palatino Linotype" w:hAnsi="Palatino Linotype"/>
          <w:sz w:val="24"/>
          <w:szCs w:val="24"/>
        </w:rPr>
        <w:t>L</w:t>
      </w:r>
      <w:r w:rsidRPr="002B238F">
        <w:rPr>
          <w:rFonts w:ascii="Palatino Linotype" w:hAnsi="Palatino Linotype"/>
          <w:sz w:val="24"/>
          <w:szCs w:val="24"/>
        </w:rPr>
        <w:t>2 EVSE</w:t>
      </w:r>
      <w:r w:rsidRPr="002B238F" w:rsidR="00577710">
        <w:rPr>
          <w:rFonts w:ascii="Palatino Linotype" w:hAnsi="Palatino Linotype"/>
          <w:sz w:val="24"/>
          <w:szCs w:val="24"/>
        </w:rPr>
        <w:t>.</w:t>
      </w:r>
      <w:r w:rsidRPr="002B238F">
        <w:rPr>
          <w:rFonts w:ascii="Palatino Linotype" w:hAnsi="Palatino Linotype"/>
          <w:sz w:val="24"/>
          <w:szCs w:val="24"/>
        </w:rPr>
        <w:t xml:space="preserve"> </w:t>
      </w:r>
    </w:p>
    <w:p w:rsidRPr="002B238F" w:rsidR="002C77FA" w:rsidP="2FDB5FF9" w:rsidRDefault="002C77FA" w14:paraId="7D0E880B" w14:textId="5B073F00">
      <w:pPr>
        <w:pStyle w:val="ListParagraph"/>
        <w:numPr>
          <w:ilvl w:val="0"/>
          <w:numId w:val="20"/>
        </w:numPr>
        <w:rPr>
          <w:rFonts w:ascii="Palatino Linotype" w:hAnsi="Palatino Linotype"/>
          <w:sz w:val="24"/>
          <w:szCs w:val="24"/>
        </w:rPr>
      </w:pPr>
      <w:r w:rsidRPr="002B238F">
        <w:rPr>
          <w:rFonts w:ascii="Palatino Linotype" w:hAnsi="Palatino Linotype"/>
          <w:sz w:val="24"/>
          <w:szCs w:val="24"/>
        </w:rPr>
        <w:t>SCE must propose an updated rebate model that is reflective of the program modifications</w:t>
      </w:r>
      <w:r w:rsidRPr="002B238F" w:rsidR="6E24D543">
        <w:rPr>
          <w:rFonts w:ascii="Palatino Linotype" w:hAnsi="Palatino Linotype"/>
          <w:sz w:val="24"/>
          <w:szCs w:val="24"/>
        </w:rPr>
        <w:t xml:space="preserve"> included in D.20-08-045</w:t>
      </w:r>
      <w:r w:rsidRPr="002B238F" w:rsidR="00E2026D">
        <w:rPr>
          <w:rFonts w:ascii="Palatino Linotype" w:hAnsi="Palatino Linotype"/>
          <w:sz w:val="24"/>
          <w:szCs w:val="24"/>
        </w:rPr>
        <w:t>, including a plan and criteria of how to site DCFCs at short-dwell locations, a plan, and criteria for siting 30 percent of DCFCs in DACs, a plan, and criteria for siting 25 percent of ports to serve residents of MUDs.</w:t>
      </w:r>
      <w:r w:rsidRPr="002B238F" w:rsidR="008E193A">
        <w:rPr>
          <w:rFonts w:ascii="Palatino Linotype" w:hAnsi="Palatino Linotype"/>
          <w:sz w:val="24"/>
          <w:szCs w:val="24"/>
        </w:rPr>
        <w:t xml:space="preserve"> </w:t>
      </w:r>
    </w:p>
    <w:p w:rsidRPr="002B238F" w:rsidR="002C77FA" w:rsidP="2FDB5FF9" w:rsidRDefault="002C77FA" w14:paraId="31860429" w14:textId="7B55C76C">
      <w:pPr>
        <w:pStyle w:val="ListParagraph"/>
        <w:numPr>
          <w:ilvl w:val="0"/>
          <w:numId w:val="20"/>
        </w:numPr>
        <w:rPr>
          <w:rFonts w:ascii="Palatino Linotype" w:hAnsi="Palatino Linotype"/>
          <w:sz w:val="24"/>
          <w:szCs w:val="24"/>
        </w:rPr>
      </w:pPr>
      <w:r w:rsidRPr="002B238F">
        <w:rPr>
          <w:rFonts w:ascii="Palatino Linotype" w:hAnsi="Palatino Linotype"/>
          <w:sz w:val="24"/>
          <w:szCs w:val="24"/>
        </w:rPr>
        <w:t>SCE must file an updated budget based on the updated rebate model</w:t>
      </w:r>
      <w:r w:rsidRPr="002B238F" w:rsidR="00BB19D7">
        <w:rPr>
          <w:rFonts w:ascii="Palatino Linotype" w:hAnsi="Palatino Linotype"/>
          <w:sz w:val="24"/>
          <w:szCs w:val="24"/>
        </w:rPr>
        <w:t>, accounting for rebate levels authorized in this Decision</w:t>
      </w:r>
      <w:r w:rsidRPr="002B238F">
        <w:rPr>
          <w:rFonts w:ascii="Palatino Linotype" w:hAnsi="Palatino Linotype"/>
          <w:sz w:val="24"/>
          <w:szCs w:val="24"/>
        </w:rPr>
        <w:t xml:space="preserve"> and program modifications </w:t>
      </w:r>
      <w:r w:rsidRPr="002B238F" w:rsidR="00BB19D7">
        <w:rPr>
          <w:rFonts w:ascii="Palatino Linotype" w:hAnsi="Palatino Linotype"/>
          <w:sz w:val="24"/>
          <w:szCs w:val="24"/>
        </w:rPr>
        <w:t>outlined above</w:t>
      </w:r>
      <w:r w:rsidRPr="002B238F" w:rsidR="00C2677D">
        <w:rPr>
          <w:rFonts w:ascii="Palatino Linotype" w:hAnsi="Palatino Linotype"/>
          <w:sz w:val="24"/>
          <w:szCs w:val="24"/>
        </w:rPr>
        <w:t>.</w:t>
      </w:r>
    </w:p>
    <w:p w:rsidRPr="002B238F" w:rsidR="002C77FA" w:rsidP="2FDB5FF9" w:rsidRDefault="002C77FA" w14:paraId="7D5A5D9A" w14:textId="42E40A50">
      <w:pPr>
        <w:pStyle w:val="ListParagraph"/>
        <w:numPr>
          <w:ilvl w:val="0"/>
          <w:numId w:val="20"/>
        </w:numPr>
        <w:rPr>
          <w:rFonts w:ascii="Palatino Linotype" w:hAnsi="Palatino Linotype"/>
          <w:sz w:val="24"/>
          <w:szCs w:val="24"/>
        </w:rPr>
      </w:pPr>
      <w:r w:rsidRPr="002B238F">
        <w:rPr>
          <w:rFonts w:ascii="Palatino Linotype" w:hAnsi="Palatino Linotype"/>
          <w:sz w:val="24"/>
          <w:szCs w:val="24"/>
        </w:rPr>
        <w:t xml:space="preserve">SCE must outline a load management plan for DCFC sites as it may differ from the plan to leverage time-of-use rates and demand response for </w:t>
      </w:r>
      <w:r w:rsidRPr="002B238F" w:rsidR="00523841">
        <w:rPr>
          <w:rFonts w:ascii="Palatino Linotype" w:hAnsi="Palatino Linotype"/>
          <w:sz w:val="24"/>
          <w:szCs w:val="24"/>
        </w:rPr>
        <w:t>L2</w:t>
      </w:r>
      <w:r w:rsidRPr="002B238F">
        <w:rPr>
          <w:rFonts w:ascii="Palatino Linotype" w:hAnsi="Palatino Linotype"/>
          <w:sz w:val="24"/>
          <w:szCs w:val="24"/>
        </w:rPr>
        <w:t xml:space="preserve"> sites</w:t>
      </w:r>
      <w:r w:rsidRPr="002B238F" w:rsidR="00577710">
        <w:rPr>
          <w:rFonts w:ascii="Palatino Linotype" w:hAnsi="Palatino Linotype"/>
          <w:sz w:val="24"/>
          <w:szCs w:val="24"/>
        </w:rPr>
        <w:t>.</w:t>
      </w:r>
      <w:r w:rsidRPr="002B238F">
        <w:rPr>
          <w:rFonts w:ascii="Palatino Linotype" w:hAnsi="Palatino Linotype"/>
          <w:sz w:val="24"/>
          <w:szCs w:val="24"/>
        </w:rPr>
        <w:t xml:space="preserve"> </w:t>
      </w:r>
    </w:p>
    <w:p w:rsidRPr="002B238F" w:rsidR="002C77FA" w:rsidP="2FDB5FF9" w:rsidRDefault="002C77FA" w14:paraId="0EC5CC71" w14:textId="1F5F7DE9">
      <w:pPr>
        <w:pStyle w:val="ListParagraph"/>
        <w:numPr>
          <w:ilvl w:val="0"/>
          <w:numId w:val="20"/>
        </w:numPr>
        <w:rPr>
          <w:rFonts w:ascii="Palatino Linotype" w:hAnsi="Palatino Linotype"/>
          <w:sz w:val="24"/>
          <w:szCs w:val="24"/>
        </w:rPr>
      </w:pPr>
      <w:r w:rsidRPr="002B238F">
        <w:rPr>
          <w:rFonts w:ascii="Palatino Linotype" w:hAnsi="Palatino Linotype"/>
          <w:sz w:val="24"/>
          <w:szCs w:val="24"/>
        </w:rPr>
        <w:t>Make-ready infrastructure must be sized to support EVSE of 150 kW even though SCE is authorized to provide rebates for DCFC</w:t>
      </w:r>
      <w:r w:rsidRPr="002B238F" w:rsidR="332D2292">
        <w:rPr>
          <w:rFonts w:ascii="Palatino Linotype" w:hAnsi="Palatino Linotype"/>
          <w:sz w:val="24"/>
          <w:szCs w:val="24"/>
        </w:rPr>
        <w:t xml:space="preserve"> that may initially only have the capacity </w:t>
      </w:r>
      <w:r w:rsidRPr="002B238F">
        <w:rPr>
          <w:rFonts w:ascii="Palatino Linotype" w:hAnsi="Palatino Linotype"/>
          <w:sz w:val="24"/>
          <w:szCs w:val="24"/>
        </w:rPr>
        <w:t>of charging</w:t>
      </w:r>
      <w:r w:rsidRPr="002B238F" w:rsidR="57837FE7">
        <w:rPr>
          <w:rFonts w:ascii="Palatino Linotype" w:hAnsi="Palatino Linotype"/>
          <w:sz w:val="24"/>
          <w:szCs w:val="24"/>
        </w:rPr>
        <w:t xml:space="preserve"> levels at a minimum </w:t>
      </w:r>
      <w:r w:rsidRPr="002B238F" w:rsidR="45DCB39C">
        <w:rPr>
          <w:rFonts w:ascii="Palatino Linotype" w:hAnsi="Palatino Linotype"/>
          <w:sz w:val="24"/>
          <w:szCs w:val="24"/>
        </w:rPr>
        <w:t xml:space="preserve">of </w:t>
      </w:r>
      <w:r w:rsidRPr="002B238F" w:rsidR="00577710">
        <w:rPr>
          <w:rFonts w:ascii="Palatino Linotype" w:hAnsi="Palatino Linotype"/>
          <w:sz w:val="24"/>
          <w:szCs w:val="24"/>
        </w:rPr>
        <w:t>50kW.</w:t>
      </w:r>
    </w:p>
    <w:p w:rsidRPr="002B238F" w:rsidR="002C77FA" w:rsidP="2FDB5FF9" w:rsidRDefault="002C77FA" w14:paraId="5540C951" w14:textId="2D6E1848">
      <w:pPr>
        <w:pStyle w:val="ListParagraph"/>
        <w:numPr>
          <w:ilvl w:val="0"/>
          <w:numId w:val="20"/>
        </w:numPr>
        <w:rPr>
          <w:rFonts w:ascii="Palatino Linotype" w:hAnsi="Palatino Linotype"/>
          <w:sz w:val="24"/>
          <w:szCs w:val="24"/>
        </w:rPr>
      </w:pPr>
      <w:r w:rsidRPr="002B238F">
        <w:rPr>
          <w:rFonts w:ascii="Palatino Linotype" w:hAnsi="Palatino Linotype"/>
          <w:sz w:val="24"/>
          <w:szCs w:val="24"/>
        </w:rPr>
        <w:t xml:space="preserve">SCE must at minimum include data reporting on 1) the number of charging events and their times and duration, 2) load profiles and adherence to off-peak periods, and 3) demand response </w:t>
      </w:r>
      <w:r w:rsidRPr="002B238F" w:rsidR="00577710">
        <w:rPr>
          <w:rFonts w:ascii="Palatino Linotype" w:hAnsi="Palatino Linotype"/>
          <w:sz w:val="24"/>
          <w:szCs w:val="24"/>
        </w:rPr>
        <w:t>levels.</w:t>
      </w:r>
    </w:p>
    <w:p w:rsidRPr="002B238F" w:rsidR="002C77FA" w:rsidP="2FDB5FF9" w:rsidRDefault="0A63FD10" w14:paraId="31780018" w14:textId="7BC66415">
      <w:pPr>
        <w:rPr>
          <w:rFonts w:ascii="Palatino Linotype" w:hAnsi="Palatino Linotype"/>
          <w:sz w:val="24"/>
          <w:szCs w:val="24"/>
          <w:u w:val="single"/>
        </w:rPr>
      </w:pPr>
      <w:r w:rsidRPr="002B238F">
        <w:rPr>
          <w:rFonts w:ascii="Palatino Linotype" w:hAnsi="Palatino Linotype"/>
          <w:sz w:val="24"/>
          <w:szCs w:val="24"/>
          <w:u w:val="single"/>
        </w:rPr>
        <w:t>Advice Letter Requirements</w:t>
      </w:r>
    </w:p>
    <w:p w:rsidRPr="002B238F" w:rsidR="002C77FA" w:rsidP="002C77FA" w:rsidRDefault="002C77FA" w14:paraId="63A86020" w14:textId="74B455C9">
      <w:pPr>
        <w:rPr>
          <w:rFonts w:ascii="Palatino Linotype" w:hAnsi="Palatino Linotype"/>
          <w:sz w:val="24"/>
          <w:szCs w:val="24"/>
        </w:rPr>
      </w:pPr>
      <w:r w:rsidRPr="002B238F">
        <w:rPr>
          <w:rFonts w:ascii="Palatino Linotype" w:hAnsi="Palatino Linotype"/>
          <w:sz w:val="24"/>
          <w:szCs w:val="24"/>
        </w:rPr>
        <w:t xml:space="preserve">OP 15 </w:t>
      </w:r>
      <w:r w:rsidRPr="002B238F" w:rsidR="07B47144">
        <w:rPr>
          <w:rFonts w:ascii="Palatino Linotype" w:hAnsi="Palatino Linotype"/>
          <w:sz w:val="24"/>
          <w:szCs w:val="24"/>
        </w:rPr>
        <w:t xml:space="preserve">of D.20-08-045 </w:t>
      </w:r>
      <w:r w:rsidRPr="002B238F">
        <w:rPr>
          <w:rFonts w:ascii="Palatino Linotype" w:hAnsi="Palatino Linotype"/>
          <w:sz w:val="24"/>
          <w:szCs w:val="24"/>
        </w:rPr>
        <w:t xml:space="preserve">directs SCE </w:t>
      </w:r>
      <w:r w:rsidRPr="002B238F" w:rsidR="4EEB4683">
        <w:rPr>
          <w:rFonts w:ascii="Palatino Linotype" w:hAnsi="Palatino Linotype"/>
          <w:sz w:val="24"/>
          <w:szCs w:val="24"/>
        </w:rPr>
        <w:t xml:space="preserve">to file a Tier </w:t>
      </w:r>
      <w:r w:rsidRPr="002B238F" w:rsidR="000E1AE9">
        <w:rPr>
          <w:rFonts w:ascii="Palatino Linotype" w:hAnsi="Palatino Linotype"/>
          <w:sz w:val="24"/>
          <w:szCs w:val="24"/>
        </w:rPr>
        <w:t>3</w:t>
      </w:r>
      <w:r w:rsidRPr="002B238F" w:rsidR="4EEB4683">
        <w:rPr>
          <w:rFonts w:ascii="Palatino Linotype" w:hAnsi="Palatino Linotype"/>
          <w:sz w:val="24"/>
          <w:szCs w:val="24"/>
        </w:rPr>
        <w:t xml:space="preserve"> </w:t>
      </w:r>
      <w:r w:rsidRPr="002B238F" w:rsidR="00E61CE5">
        <w:rPr>
          <w:rFonts w:ascii="Palatino Linotype" w:hAnsi="Palatino Linotype"/>
          <w:sz w:val="24"/>
          <w:szCs w:val="24"/>
        </w:rPr>
        <w:t>AL</w:t>
      </w:r>
      <w:r w:rsidRPr="002B238F" w:rsidR="4EEB4683">
        <w:rPr>
          <w:rFonts w:ascii="Palatino Linotype" w:hAnsi="Palatino Linotype"/>
          <w:sz w:val="24"/>
          <w:szCs w:val="24"/>
        </w:rPr>
        <w:t xml:space="preserve"> </w:t>
      </w:r>
      <w:r w:rsidRPr="002B238F" w:rsidR="009E6011">
        <w:rPr>
          <w:rFonts w:ascii="Palatino Linotype" w:hAnsi="Palatino Linotype"/>
          <w:sz w:val="24"/>
          <w:szCs w:val="24"/>
        </w:rPr>
        <w:t>reflecting</w:t>
      </w:r>
      <w:r w:rsidRPr="002B238F">
        <w:rPr>
          <w:rFonts w:ascii="Palatino Linotype" w:hAnsi="Palatino Linotype"/>
          <w:sz w:val="24"/>
          <w:szCs w:val="24"/>
        </w:rPr>
        <w:t xml:space="preserve"> on the lessons learned to date from the Urban DCFC Clusters Pilot, and at a minimum detail: </w:t>
      </w:r>
    </w:p>
    <w:p w:rsidRPr="002B238F" w:rsidR="002C77FA" w:rsidP="002C77FA" w:rsidRDefault="002C77FA" w14:paraId="4D7C896F" w14:textId="77777777">
      <w:pPr>
        <w:pStyle w:val="ListParagraph"/>
        <w:numPr>
          <w:ilvl w:val="0"/>
          <w:numId w:val="17"/>
        </w:numPr>
        <w:rPr>
          <w:rFonts w:ascii="Palatino Linotype" w:hAnsi="Palatino Linotype"/>
          <w:sz w:val="24"/>
          <w:szCs w:val="24"/>
        </w:rPr>
      </w:pPr>
      <w:r w:rsidRPr="002B238F">
        <w:rPr>
          <w:rFonts w:ascii="Palatino Linotype" w:hAnsi="Palatino Linotype"/>
          <w:sz w:val="24"/>
          <w:szCs w:val="24"/>
        </w:rPr>
        <w:t>A plan and criteria of how to site DCFC ports at short dwell locations to maximize utilization.</w:t>
      </w:r>
    </w:p>
    <w:p w:rsidRPr="002B238F" w:rsidR="002C77FA" w:rsidP="004B0F8B" w:rsidRDefault="002C77FA" w14:paraId="3DB1510C" w14:textId="1D7D85DC">
      <w:pPr>
        <w:pStyle w:val="ListParagraph"/>
        <w:numPr>
          <w:ilvl w:val="0"/>
          <w:numId w:val="17"/>
        </w:numPr>
        <w:rPr>
          <w:rFonts w:ascii="Palatino Linotype" w:hAnsi="Palatino Linotype"/>
          <w:sz w:val="24"/>
          <w:szCs w:val="24"/>
        </w:rPr>
      </w:pPr>
      <w:r w:rsidRPr="002B238F">
        <w:rPr>
          <w:rFonts w:ascii="Palatino Linotype" w:hAnsi="Palatino Linotype"/>
          <w:sz w:val="24"/>
          <w:szCs w:val="24"/>
        </w:rPr>
        <w:t>A plan and criteria for siting 30</w:t>
      </w:r>
      <w:r w:rsidRPr="002B238F" w:rsidR="00EA370E">
        <w:rPr>
          <w:rFonts w:ascii="Palatino Linotype" w:hAnsi="Palatino Linotype"/>
          <w:sz w:val="24"/>
          <w:szCs w:val="24"/>
        </w:rPr>
        <w:t xml:space="preserve"> percent</w:t>
      </w:r>
      <w:r w:rsidRPr="002B238F">
        <w:rPr>
          <w:rFonts w:ascii="Palatino Linotype" w:hAnsi="Palatino Linotype"/>
          <w:sz w:val="24"/>
          <w:szCs w:val="24"/>
        </w:rPr>
        <w:t xml:space="preserve"> of ports in </w:t>
      </w:r>
      <w:proofErr w:type="gramStart"/>
      <w:r w:rsidRPr="002B238F">
        <w:rPr>
          <w:rFonts w:ascii="Palatino Linotype" w:hAnsi="Palatino Linotype"/>
          <w:sz w:val="24"/>
          <w:szCs w:val="24"/>
        </w:rPr>
        <w:t>DACs</w:t>
      </w:r>
      <w:r w:rsidRPr="002B238F" w:rsidR="00312B85">
        <w:rPr>
          <w:rFonts w:ascii="Palatino Linotype" w:hAnsi="Palatino Linotype"/>
          <w:sz w:val="24"/>
          <w:szCs w:val="24"/>
        </w:rPr>
        <w:t>;</w:t>
      </w:r>
      <w:proofErr w:type="gramEnd"/>
    </w:p>
    <w:p w:rsidRPr="002B238F" w:rsidR="002C77FA" w:rsidP="004B0F8B" w:rsidRDefault="002C77FA" w14:paraId="567F1E83" w14:textId="611E6142">
      <w:pPr>
        <w:pStyle w:val="ListParagraph"/>
        <w:numPr>
          <w:ilvl w:val="0"/>
          <w:numId w:val="17"/>
        </w:numPr>
        <w:rPr>
          <w:rFonts w:ascii="Palatino Linotype" w:hAnsi="Palatino Linotype"/>
          <w:sz w:val="24"/>
          <w:szCs w:val="24"/>
        </w:rPr>
      </w:pPr>
      <w:r w:rsidRPr="002B238F">
        <w:rPr>
          <w:rFonts w:ascii="Palatino Linotype" w:hAnsi="Palatino Linotype"/>
          <w:sz w:val="24"/>
          <w:szCs w:val="24"/>
        </w:rPr>
        <w:t>A plan and criteria for siting 25</w:t>
      </w:r>
      <w:r w:rsidRPr="002B238F" w:rsidR="00EA370E">
        <w:rPr>
          <w:rFonts w:ascii="Palatino Linotype" w:hAnsi="Palatino Linotype"/>
          <w:sz w:val="24"/>
          <w:szCs w:val="24"/>
        </w:rPr>
        <w:t xml:space="preserve"> percent</w:t>
      </w:r>
      <w:r w:rsidRPr="002B238F">
        <w:rPr>
          <w:rFonts w:ascii="Palatino Linotype" w:hAnsi="Palatino Linotype"/>
          <w:sz w:val="24"/>
          <w:szCs w:val="24"/>
        </w:rPr>
        <w:t xml:space="preserve"> of ports to serve residents of MUDs, including definitions for how to define areas that are dense with </w:t>
      </w:r>
      <w:proofErr w:type="gramStart"/>
      <w:r w:rsidRPr="002B238F">
        <w:rPr>
          <w:rFonts w:ascii="Palatino Linotype" w:hAnsi="Palatino Linotype"/>
          <w:sz w:val="24"/>
          <w:szCs w:val="24"/>
        </w:rPr>
        <w:t>MUDs</w:t>
      </w:r>
      <w:r w:rsidRPr="002B238F" w:rsidR="00312B85">
        <w:rPr>
          <w:rFonts w:ascii="Palatino Linotype" w:hAnsi="Palatino Linotype"/>
          <w:sz w:val="24"/>
          <w:szCs w:val="24"/>
        </w:rPr>
        <w:t>;</w:t>
      </w:r>
      <w:proofErr w:type="gramEnd"/>
    </w:p>
    <w:p w:rsidRPr="002B238F" w:rsidR="002C77FA" w:rsidP="004B0F8B" w:rsidRDefault="002C77FA" w14:paraId="65C269AB" w14:textId="658618A3">
      <w:pPr>
        <w:pStyle w:val="ListParagraph"/>
        <w:numPr>
          <w:ilvl w:val="0"/>
          <w:numId w:val="17"/>
        </w:numPr>
        <w:rPr>
          <w:rFonts w:ascii="Palatino Linotype" w:hAnsi="Palatino Linotype"/>
          <w:sz w:val="24"/>
          <w:szCs w:val="24"/>
        </w:rPr>
      </w:pPr>
      <w:r w:rsidRPr="002B238F">
        <w:rPr>
          <w:rFonts w:ascii="Palatino Linotype" w:hAnsi="Palatino Linotype"/>
          <w:sz w:val="24"/>
          <w:szCs w:val="24"/>
        </w:rPr>
        <w:lastRenderedPageBreak/>
        <w:t xml:space="preserve">An assessment of </w:t>
      </w:r>
      <w:r w:rsidRPr="002B238F" w:rsidR="00312B85">
        <w:rPr>
          <w:rFonts w:ascii="Palatino Linotype" w:hAnsi="Palatino Linotype"/>
          <w:sz w:val="24"/>
          <w:szCs w:val="24"/>
        </w:rPr>
        <w:t>customer-side</w:t>
      </w:r>
      <w:r w:rsidRPr="002B238F">
        <w:rPr>
          <w:rFonts w:ascii="Palatino Linotype" w:hAnsi="Palatino Linotype"/>
          <w:sz w:val="24"/>
          <w:szCs w:val="24"/>
        </w:rPr>
        <w:t xml:space="preserve"> infrastructure ownership, an assessment of appropriate DCFC power levels, and feedback from community stakeholders on siting locations; and</w:t>
      </w:r>
    </w:p>
    <w:p w:rsidRPr="002B238F" w:rsidR="002C77FA" w:rsidP="002C77FA" w:rsidRDefault="002C77FA" w14:paraId="6E5CBC68" w14:textId="2C2F6487">
      <w:pPr>
        <w:pStyle w:val="ListParagraph"/>
        <w:numPr>
          <w:ilvl w:val="0"/>
          <w:numId w:val="17"/>
        </w:numPr>
        <w:jc w:val="both"/>
        <w:rPr>
          <w:rFonts w:ascii="Palatino Linotype" w:hAnsi="Palatino Linotype"/>
          <w:sz w:val="24"/>
          <w:szCs w:val="24"/>
        </w:rPr>
      </w:pPr>
      <w:r w:rsidRPr="002B238F">
        <w:rPr>
          <w:rFonts w:ascii="Palatino Linotype" w:hAnsi="Palatino Linotype"/>
          <w:sz w:val="24"/>
          <w:szCs w:val="24"/>
        </w:rPr>
        <w:t>Input from and a plan for continued collaboration with community-based organizations (CBOs) on siting criteria</w:t>
      </w:r>
      <w:r w:rsidRPr="002B238F" w:rsidR="00B245C7">
        <w:rPr>
          <w:rFonts w:ascii="Palatino Linotype" w:hAnsi="Palatino Linotype"/>
          <w:sz w:val="24"/>
          <w:szCs w:val="24"/>
        </w:rPr>
        <w:t>.</w:t>
      </w:r>
    </w:p>
    <w:p w:rsidRPr="002B238F" w:rsidR="002C77FA" w:rsidP="002C77FA" w:rsidRDefault="002C77FA" w14:paraId="76B4C236" w14:textId="77777777">
      <w:pPr>
        <w:pStyle w:val="ListParagraph"/>
        <w:ind w:left="1080"/>
        <w:jc w:val="both"/>
        <w:rPr>
          <w:rFonts w:ascii="Palatino Linotype" w:hAnsi="Palatino Linotype"/>
          <w:sz w:val="24"/>
          <w:szCs w:val="24"/>
        </w:rPr>
      </w:pPr>
    </w:p>
    <w:p w:rsidRPr="002B238F" w:rsidR="002C77FA" w:rsidP="004B0F8B" w:rsidRDefault="36DD8359" w14:paraId="0F8B8922" w14:textId="134EFF31">
      <w:pPr>
        <w:rPr>
          <w:rFonts w:ascii="Palatino Linotype" w:hAnsi="Palatino Linotype"/>
          <w:sz w:val="24"/>
          <w:szCs w:val="24"/>
        </w:rPr>
      </w:pPr>
      <w:bookmarkStart w:name="_Hlk104363384" w:id="1"/>
      <w:r w:rsidRPr="002B238F">
        <w:rPr>
          <w:rFonts w:ascii="Palatino Linotype" w:hAnsi="Palatino Linotype"/>
          <w:sz w:val="24"/>
          <w:szCs w:val="24"/>
        </w:rPr>
        <w:t xml:space="preserve">Furthermore, </w:t>
      </w:r>
      <w:r w:rsidRPr="002B238F" w:rsidR="002C77FA">
        <w:rPr>
          <w:rFonts w:ascii="Palatino Linotype" w:hAnsi="Palatino Linotype"/>
          <w:sz w:val="24"/>
          <w:szCs w:val="24"/>
        </w:rPr>
        <w:t>OP 16</w:t>
      </w:r>
      <w:r w:rsidRPr="002B238F" w:rsidR="39857FDC">
        <w:rPr>
          <w:rFonts w:ascii="Palatino Linotype" w:hAnsi="Palatino Linotype"/>
          <w:sz w:val="24"/>
          <w:szCs w:val="24"/>
        </w:rPr>
        <w:t xml:space="preserve"> </w:t>
      </w:r>
      <w:r w:rsidRPr="002B238F" w:rsidR="002C77FA">
        <w:rPr>
          <w:rFonts w:ascii="Palatino Linotype" w:hAnsi="Palatino Linotype"/>
          <w:sz w:val="24"/>
          <w:szCs w:val="24"/>
        </w:rPr>
        <w:t xml:space="preserve">directs SCE to, consistent with Section 4.5.8 of D.20-08-045, to include within a Tier 3 AL, </w:t>
      </w:r>
      <w:bookmarkStart w:name="_Hlk104363366" w:id="2"/>
      <w:r w:rsidRPr="002B238F" w:rsidR="002C77FA">
        <w:rPr>
          <w:rFonts w:ascii="Palatino Linotype" w:hAnsi="Palatino Linotype"/>
          <w:sz w:val="24"/>
          <w:szCs w:val="24"/>
        </w:rPr>
        <w:t xml:space="preserve">“an </w:t>
      </w:r>
      <w:bookmarkEnd w:id="1"/>
      <w:r w:rsidRPr="002B238F" w:rsidR="002C77FA">
        <w:rPr>
          <w:rFonts w:ascii="Palatino Linotype" w:hAnsi="Palatino Linotype"/>
          <w:sz w:val="24"/>
          <w:szCs w:val="24"/>
        </w:rPr>
        <w:t>updated budget based on the updated rebate model and program modifications</w:t>
      </w:r>
      <w:bookmarkEnd w:id="2"/>
      <w:r w:rsidRPr="002B238F" w:rsidR="002C77FA">
        <w:rPr>
          <w:rFonts w:ascii="Palatino Linotype" w:hAnsi="Palatino Linotype"/>
          <w:sz w:val="24"/>
          <w:szCs w:val="24"/>
        </w:rPr>
        <w:t xml:space="preserve">”. The </w:t>
      </w:r>
      <w:r w:rsidRPr="002B238F" w:rsidR="005E4E55">
        <w:rPr>
          <w:rFonts w:ascii="Palatino Linotype" w:hAnsi="Palatino Linotype"/>
          <w:sz w:val="24"/>
          <w:szCs w:val="24"/>
        </w:rPr>
        <w:t>D</w:t>
      </w:r>
      <w:r w:rsidRPr="002B238F" w:rsidR="002C77FA">
        <w:rPr>
          <w:rFonts w:ascii="Palatino Linotype" w:hAnsi="Palatino Linotype"/>
          <w:sz w:val="24"/>
          <w:szCs w:val="24"/>
        </w:rPr>
        <w:t xml:space="preserve">ecision further </w:t>
      </w:r>
      <w:r w:rsidRPr="002B238F" w:rsidR="00946BFE">
        <w:rPr>
          <w:rFonts w:ascii="Palatino Linotype" w:hAnsi="Palatino Linotype"/>
          <w:sz w:val="24"/>
          <w:szCs w:val="24"/>
        </w:rPr>
        <w:t>directed</w:t>
      </w:r>
      <w:r w:rsidRPr="002B238F" w:rsidR="002C77FA">
        <w:rPr>
          <w:rFonts w:ascii="Palatino Linotype" w:hAnsi="Palatino Linotype"/>
          <w:sz w:val="24"/>
          <w:szCs w:val="24"/>
        </w:rPr>
        <w:t xml:space="preserve"> SCE to describe how many ports and sites SCE will target through the DCFC component of the Make-Ready Expansion program.</w:t>
      </w:r>
    </w:p>
    <w:p w:rsidRPr="002B238F" w:rsidR="002C77FA" w:rsidP="004B0F8B" w:rsidRDefault="4B106FE4" w14:paraId="02DAF951" w14:textId="268A1422">
      <w:pPr>
        <w:rPr>
          <w:rFonts w:ascii="Palatino Linotype" w:hAnsi="Palatino Linotype"/>
          <w:sz w:val="24"/>
          <w:szCs w:val="24"/>
        </w:rPr>
      </w:pPr>
      <w:r w:rsidRPr="002B238F">
        <w:rPr>
          <w:rFonts w:ascii="Palatino Linotype" w:hAnsi="Palatino Linotype"/>
          <w:sz w:val="24"/>
          <w:szCs w:val="24"/>
        </w:rPr>
        <w:t xml:space="preserve">Finally, </w:t>
      </w:r>
      <w:r w:rsidRPr="002B238F" w:rsidR="002C77FA">
        <w:rPr>
          <w:rFonts w:ascii="Palatino Linotype" w:hAnsi="Palatino Linotype"/>
          <w:sz w:val="24"/>
          <w:szCs w:val="24"/>
        </w:rPr>
        <w:t>OP 10</w:t>
      </w:r>
      <w:r w:rsidRPr="002B238F" w:rsidR="3F7B9694">
        <w:rPr>
          <w:rFonts w:ascii="Palatino Linotype" w:hAnsi="Palatino Linotype"/>
          <w:sz w:val="24"/>
          <w:szCs w:val="24"/>
        </w:rPr>
        <w:t xml:space="preserve"> of D.20-08-045</w:t>
      </w:r>
      <w:r w:rsidRPr="002B238F" w:rsidR="002C77FA">
        <w:rPr>
          <w:rFonts w:ascii="Palatino Linotype" w:hAnsi="Palatino Linotype"/>
          <w:sz w:val="24"/>
          <w:szCs w:val="24"/>
        </w:rPr>
        <w:t xml:space="preserve"> directs </w:t>
      </w:r>
      <w:r w:rsidRPr="002B238F" w:rsidR="00BA4441">
        <w:rPr>
          <w:rFonts w:ascii="Palatino Linotype" w:hAnsi="Palatino Linotype"/>
          <w:sz w:val="24"/>
          <w:szCs w:val="24"/>
        </w:rPr>
        <w:t>S</w:t>
      </w:r>
      <w:r w:rsidRPr="002B238F" w:rsidR="00C91BD8">
        <w:rPr>
          <w:rFonts w:ascii="Palatino Linotype" w:hAnsi="Palatino Linotype"/>
          <w:sz w:val="24"/>
          <w:szCs w:val="24"/>
        </w:rPr>
        <w:t>CE</w:t>
      </w:r>
      <w:r w:rsidRPr="002B238F" w:rsidR="00BA4441">
        <w:rPr>
          <w:rFonts w:ascii="Palatino Linotype" w:hAnsi="Palatino Linotype"/>
          <w:sz w:val="24"/>
          <w:szCs w:val="24"/>
        </w:rPr>
        <w:t xml:space="preserve"> </w:t>
      </w:r>
      <w:r w:rsidRPr="002B238F" w:rsidR="002C77FA">
        <w:rPr>
          <w:rFonts w:ascii="Palatino Linotype" w:hAnsi="Palatino Linotype"/>
          <w:sz w:val="24"/>
          <w:szCs w:val="24"/>
        </w:rPr>
        <w:t>to annually evaluate infrastructure incentive levels and rebate levels with its TE Advisory Board to ensure the amount is appropriate.</w:t>
      </w:r>
    </w:p>
    <w:p w:rsidRPr="002B238F" w:rsidR="002C77FA" w:rsidP="004B0F8B" w:rsidRDefault="002C77FA" w14:paraId="259B3739" w14:textId="77777777">
      <w:pPr>
        <w:rPr>
          <w:rFonts w:ascii="Palatino Linotype" w:hAnsi="Palatino Linotype"/>
          <w:sz w:val="24"/>
          <w:szCs w:val="24"/>
        </w:rPr>
      </w:pPr>
    </w:p>
    <w:p w:rsidRPr="002B238F" w:rsidR="002C77FA" w:rsidP="2FDB5FF9" w:rsidRDefault="00B64044" w14:paraId="4EA25249" w14:textId="38957BA0">
      <w:pPr>
        <w:autoSpaceDE w:val="0"/>
        <w:autoSpaceDN w:val="0"/>
        <w:rPr>
          <w:rFonts w:ascii="Palatino Linotype" w:hAnsi="Palatino Linotype" w:eastAsia="Helvetica" w:cs="Helvetica"/>
          <w:b/>
          <w:bCs/>
          <w:sz w:val="24"/>
          <w:szCs w:val="24"/>
          <w:u w:val="single"/>
        </w:rPr>
      </w:pPr>
      <w:r w:rsidRPr="002B238F">
        <w:rPr>
          <w:rFonts w:ascii="Palatino Linotype" w:hAnsi="Palatino Linotype" w:eastAsia="Helvetica" w:cs="Helvetica"/>
          <w:b/>
          <w:bCs/>
          <w:sz w:val="24"/>
          <w:szCs w:val="24"/>
          <w:u w:val="single"/>
        </w:rPr>
        <w:t xml:space="preserve">Summary of SCE AL </w:t>
      </w:r>
      <w:r w:rsidRPr="002B238F" w:rsidR="00312B85">
        <w:rPr>
          <w:rFonts w:ascii="Palatino Linotype" w:hAnsi="Palatino Linotype" w:eastAsia="Helvetica" w:cs="Helvetica"/>
          <w:b/>
          <w:bCs/>
          <w:sz w:val="24"/>
          <w:szCs w:val="24"/>
          <w:u w:val="single"/>
        </w:rPr>
        <w:t xml:space="preserve">4433-E and AL </w:t>
      </w:r>
      <w:r w:rsidRPr="002B238F">
        <w:rPr>
          <w:rFonts w:ascii="Palatino Linotype" w:hAnsi="Palatino Linotype" w:eastAsia="Helvetica" w:cs="Helvetica"/>
          <w:b/>
          <w:bCs/>
          <w:sz w:val="24"/>
          <w:szCs w:val="24"/>
          <w:u w:val="single"/>
        </w:rPr>
        <w:t>4433-</w:t>
      </w:r>
      <w:r w:rsidRPr="002B238F" w:rsidR="004000C5">
        <w:rPr>
          <w:rFonts w:ascii="Palatino Linotype" w:hAnsi="Palatino Linotype" w:eastAsia="Helvetica" w:cs="Helvetica"/>
          <w:b/>
          <w:bCs/>
          <w:sz w:val="24"/>
          <w:szCs w:val="24"/>
          <w:u w:val="single"/>
        </w:rPr>
        <w:t>E-A</w:t>
      </w:r>
      <w:r w:rsidRPr="002B238F">
        <w:rPr>
          <w:rFonts w:ascii="Palatino Linotype" w:hAnsi="Palatino Linotype" w:eastAsia="Helvetica" w:cs="Helvetica"/>
          <w:sz w:val="24"/>
          <w:szCs w:val="24"/>
        </w:rPr>
        <w:t xml:space="preserve"> </w:t>
      </w:r>
    </w:p>
    <w:p w:rsidRPr="002B238F" w:rsidR="007B1237" w:rsidP="26007131" w:rsidRDefault="007B1237" w14:paraId="6D9F55EF" w14:textId="310E7AF3">
      <w:pPr>
        <w:rPr>
          <w:rFonts w:ascii="Palatino Linotype" w:hAnsi="Palatino Linotype"/>
          <w:sz w:val="24"/>
          <w:szCs w:val="24"/>
        </w:rPr>
      </w:pPr>
      <w:r w:rsidRPr="002B238F">
        <w:rPr>
          <w:rFonts w:ascii="Palatino Linotype" w:hAnsi="Palatino Linotype"/>
          <w:sz w:val="24"/>
          <w:szCs w:val="24"/>
        </w:rPr>
        <w:t>In response to OP</w:t>
      </w:r>
      <w:r w:rsidRPr="002B238F" w:rsidR="04A94D7C">
        <w:rPr>
          <w:rFonts w:ascii="Palatino Linotype" w:hAnsi="Palatino Linotype"/>
          <w:sz w:val="24"/>
          <w:szCs w:val="24"/>
        </w:rPr>
        <w:t xml:space="preserve"> 15 and 16</w:t>
      </w:r>
      <w:r w:rsidRPr="002B238F">
        <w:rPr>
          <w:rFonts w:ascii="Palatino Linotype" w:hAnsi="Palatino Linotype"/>
          <w:sz w:val="24"/>
          <w:szCs w:val="24"/>
        </w:rPr>
        <w:t xml:space="preserve"> of D.20-08-0</w:t>
      </w:r>
      <w:r w:rsidRPr="002B238F" w:rsidR="00946BFE">
        <w:rPr>
          <w:rFonts w:ascii="Palatino Linotype" w:hAnsi="Palatino Linotype"/>
          <w:sz w:val="24"/>
          <w:szCs w:val="24"/>
        </w:rPr>
        <w:t>4</w:t>
      </w:r>
      <w:r w:rsidRPr="002B238F">
        <w:rPr>
          <w:rFonts w:ascii="Palatino Linotype" w:hAnsi="Palatino Linotype"/>
          <w:sz w:val="24"/>
          <w:szCs w:val="24"/>
        </w:rPr>
        <w:t>5, SCE filed</w:t>
      </w:r>
      <w:r w:rsidRPr="002B238F" w:rsidR="4955924A">
        <w:rPr>
          <w:rFonts w:ascii="Palatino Linotype" w:hAnsi="Palatino Linotype"/>
          <w:sz w:val="24"/>
          <w:szCs w:val="24"/>
        </w:rPr>
        <w:t xml:space="preserve"> a Tier 3</w:t>
      </w:r>
      <w:r w:rsidRPr="002B238F">
        <w:rPr>
          <w:rFonts w:ascii="Palatino Linotype" w:hAnsi="Palatino Linotype"/>
          <w:sz w:val="24"/>
          <w:szCs w:val="24"/>
        </w:rPr>
        <w:t xml:space="preserve"> AL</w:t>
      </w:r>
      <w:r w:rsidRPr="002B238F" w:rsidR="00946BFE">
        <w:rPr>
          <w:rFonts w:ascii="Palatino Linotype" w:hAnsi="Palatino Linotype"/>
          <w:sz w:val="24"/>
          <w:szCs w:val="24"/>
        </w:rPr>
        <w:t>, AL</w:t>
      </w:r>
      <w:r w:rsidRPr="002B238F">
        <w:rPr>
          <w:rFonts w:ascii="Palatino Linotype" w:hAnsi="Palatino Linotype"/>
          <w:sz w:val="24"/>
          <w:szCs w:val="24"/>
        </w:rPr>
        <w:t xml:space="preserve"> 4433-E on </w:t>
      </w:r>
      <w:r w:rsidR="00CC60E7">
        <w:rPr>
          <w:rFonts w:ascii="Palatino Linotype" w:hAnsi="Palatino Linotype"/>
          <w:sz w:val="24"/>
          <w:szCs w:val="24"/>
        </w:rPr>
        <w:br/>
      </w:r>
      <w:r w:rsidRPr="002B238F" w:rsidR="7BC5A7FE">
        <w:rPr>
          <w:rFonts w:ascii="Palatino Linotype" w:hAnsi="Palatino Linotype"/>
          <w:sz w:val="24"/>
          <w:szCs w:val="24"/>
        </w:rPr>
        <w:t>March 4</w:t>
      </w:r>
      <w:r w:rsidRPr="002B238F" w:rsidR="005E4E55">
        <w:rPr>
          <w:rFonts w:ascii="Palatino Linotype" w:hAnsi="Palatino Linotype"/>
          <w:sz w:val="24"/>
          <w:szCs w:val="24"/>
        </w:rPr>
        <w:t>,</w:t>
      </w:r>
      <w:r w:rsidRPr="002B238F" w:rsidR="7BC5A7FE">
        <w:rPr>
          <w:rFonts w:ascii="Palatino Linotype" w:hAnsi="Palatino Linotype"/>
          <w:sz w:val="24"/>
          <w:szCs w:val="24"/>
        </w:rPr>
        <w:t xml:space="preserve"> 2021</w:t>
      </w:r>
      <w:r w:rsidRPr="002B238F" w:rsidR="00946BFE">
        <w:rPr>
          <w:rFonts w:ascii="Palatino Linotype" w:hAnsi="Palatino Linotype"/>
          <w:sz w:val="24"/>
          <w:szCs w:val="24"/>
        </w:rPr>
        <w:t xml:space="preserve">, and later amended this AL with a supplemental, AL 4433-E-A, on </w:t>
      </w:r>
      <w:r w:rsidR="00CC60E7">
        <w:rPr>
          <w:rFonts w:ascii="Palatino Linotype" w:hAnsi="Palatino Linotype"/>
          <w:sz w:val="24"/>
          <w:szCs w:val="24"/>
        </w:rPr>
        <w:br/>
      </w:r>
      <w:r w:rsidRPr="002B238F" w:rsidR="00946BFE">
        <w:rPr>
          <w:rFonts w:ascii="Palatino Linotype" w:hAnsi="Palatino Linotype"/>
          <w:sz w:val="24"/>
          <w:szCs w:val="24"/>
        </w:rPr>
        <w:t>March 31, 2023</w:t>
      </w:r>
      <w:r w:rsidRPr="002B238F">
        <w:rPr>
          <w:rFonts w:ascii="Palatino Linotype" w:hAnsi="Palatino Linotype"/>
          <w:sz w:val="24"/>
          <w:szCs w:val="24"/>
        </w:rPr>
        <w:t>. The AL</w:t>
      </w:r>
      <w:r w:rsidRPr="002B238F" w:rsidR="00946BFE">
        <w:rPr>
          <w:rFonts w:ascii="Palatino Linotype" w:hAnsi="Palatino Linotype"/>
          <w:sz w:val="24"/>
          <w:szCs w:val="24"/>
        </w:rPr>
        <w:t xml:space="preserve"> and the supplemental</w:t>
      </w:r>
      <w:r w:rsidRPr="002B238F">
        <w:rPr>
          <w:rFonts w:ascii="Palatino Linotype" w:hAnsi="Palatino Linotype"/>
          <w:sz w:val="24"/>
          <w:szCs w:val="24"/>
        </w:rPr>
        <w:t xml:space="preserve"> made the following proposals:</w:t>
      </w:r>
    </w:p>
    <w:p w:rsidRPr="002B238F" w:rsidR="002C77FA" w:rsidP="009E6011" w:rsidRDefault="002C77FA" w14:paraId="443B9D6D" w14:textId="48A88F2E">
      <w:pPr>
        <w:pStyle w:val="ListParagraph"/>
        <w:numPr>
          <w:ilvl w:val="0"/>
          <w:numId w:val="3"/>
        </w:numPr>
        <w:rPr>
          <w:rFonts w:ascii="Palatino Linotype" w:hAnsi="Palatino Linotype" w:eastAsiaTheme="minorEastAsia"/>
          <w:sz w:val="24"/>
          <w:szCs w:val="24"/>
          <w:u w:val="single"/>
        </w:rPr>
      </w:pPr>
      <w:r w:rsidRPr="002B238F">
        <w:rPr>
          <w:rFonts w:ascii="Palatino Linotype" w:hAnsi="Palatino Linotype"/>
          <w:sz w:val="24"/>
          <w:szCs w:val="24"/>
          <w:u w:val="single"/>
        </w:rPr>
        <w:t>Site Prioritization Criteria</w:t>
      </w:r>
    </w:p>
    <w:p w:rsidRPr="002B238F" w:rsidR="002C77FA" w:rsidP="002C77FA" w:rsidRDefault="002C77FA" w14:paraId="3E132F72" w14:textId="351402EF">
      <w:pPr>
        <w:pStyle w:val="ListParagraph"/>
        <w:numPr>
          <w:ilvl w:val="0"/>
          <w:numId w:val="22"/>
        </w:numPr>
        <w:rPr>
          <w:rFonts w:ascii="Palatino Linotype" w:hAnsi="Palatino Linotype"/>
          <w:sz w:val="24"/>
          <w:szCs w:val="24"/>
        </w:rPr>
      </w:pPr>
      <w:r w:rsidRPr="002B238F">
        <w:rPr>
          <w:rFonts w:ascii="Palatino Linotype" w:hAnsi="Palatino Linotype"/>
          <w:sz w:val="24"/>
          <w:szCs w:val="24"/>
        </w:rPr>
        <w:t xml:space="preserve">Plan and criteria of how to site DCFCs at short-dwell locations to maximize </w:t>
      </w:r>
      <w:r w:rsidRPr="002B238F" w:rsidR="00E132CF">
        <w:rPr>
          <w:rFonts w:ascii="Palatino Linotype" w:hAnsi="Palatino Linotype"/>
          <w:sz w:val="24"/>
          <w:szCs w:val="24"/>
        </w:rPr>
        <w:t>utilization.</w:t>
      </w:r>
      <w:r w:rsidRPr="002B238F">
        <w:rPr>
          <w:rFonts w:ascii="Palatino Linotype" w:hAnsi="Palatino Linotype"/>
          <w:sz w:val="24"/>
          <w:szCs w:val="24"/>
        </w:rPr>
        <w:t xml:space="preserve"> </w:t>
      </w:r>
    </w:p>
    <w:p w:rsidRPr="002B238F" w:rsidR="002C77FA" w:rsidP="002C77FA" w:rsidRDefault="002C77FA" w14:paraId="011001E2" w14:textId="138F9705">
      <w:pPr>
        <w:rPr>
          <w:rFonts w:ascii="Palatino Linotype" w:hAnsi="Palatino Linotype"/>
          <w:sz w:val="24"/>
          <w:szCs w:val="24"/>
        </w:rPr>
      </w:pPr>
      <w:r w:rsidRPr="002B238F">
        <w:rPr>
          <w:rFonts w:ascii="Palatino Linotype" w:hAnsi="Palatino Linotype"/>
          <w:sz w:val="24"/>
          <w:szCs w:val="24"/>
        </w:rPr>
        <w:t xml:space="preserve">SCE </w:t>
      </w:r>
      <w:r w:rsidRPr="002B238F" w:rsidR="2D14EDB5">
        <w:rPr>
          <w:rFonts w:ascii="Palatino Linotype" w:hAnsi="Palatino Linotype"/>
          <w:sz w:val="24"/>
          <w:szCs w:val="24"/>
        </w:rPr>
        <w:t xml:space="preserve">proposes </w:t>
      </w:r>
      <w:r w:rsidRPr="002B238F" w:rsidR="007D3177">
        <w:rPr>
          <w:rFonts w:ascii="Palatino Linotype" w:hAnsi="Palatino Linotype"/>
          <w:sz w:val="24"/>
          <w:szCs w:val="24"/>
        </w:rPr>
        <w:t>that it will seek</w:t>
      </w:r>
      <w:r w:rsidRPr="002B238F">
        <w:rPr>
          <w:rFonts w:ascii="Palatino Linotype" w:hAnsi="Palatino Linotype"/>
          <w:sz w:val="24"/>
          <w:szCs w:val="24"/>
        </w:rPr>
        <w:t xml:space="preserve"> to install DCFC </w:t>
      </w:r>
      <w:r w:rsidRPr="002B238F" w:rsidR="0070033D">
        <w:rPr>
          <w:rFonts w:ascii="Palatino Linotype" w:hAnsi="Palatino Linotype"/>
          <w:sz w:val="24"/>
          <w:szCs w:val="24"/>
        </w:rPr>
        <w:t>through the program</w:t>
      </w:r>
      <w:r w:rsidRPr="002B238F">
        <w:rPr>
          <w:rFonts w:ascii="Palatino Linotype" w:hAnsi="Palatino Linotype"/>
          <w:sz w:val="24"/>
          <w:szCs w:val="24"/>
        </w:rPr>
        <w:t xml:space="preserve"> at or near </w:t>
      </w:r>
      <w:r w:rsidR="00CC60E7">
        <w:rPr>
          <w:rFonts w:ascii="Palatino Linotype" w:hAnsi="Palatino Linotype"/>
          <w:sz w:val="24"/>
          <w:szCs w:val="24"/>
        </w:rPr>
        <w:br/>
      </w:r>
      <w:r w:rsidRPr="002B238F">
        <w:rPr>
          <w:rFonts w:ascii="Palatino Linotype" w:hAnsi="Palatino Linotype"/>
          <w:sz w:val="24"/>
          <w:szCs w:val="24"/>
        </w:rPr>
        <w:t xml:space="preserve">short-term dwell locations with expected parking times of two hours or less. SCE will review all </w:t>
      </w:r>
      <w:r w:rsidRPr="002B238F" w:rsidR="00FC6FC5">
        <w:rPr>
          <w:rFonts w:ascii="Palatino Linotype" w:hAnsi="Palatino Linotype"/>
          <w:sz w:val="24"/>
          <w:szCs w:val="24"/>
        </w:rPr>
        <w:t xml:space="preserve">CR2 </w:t>
      </w:r>
      <w:r w:rsidRPr="002B238F" w:rsidR="0070033D">
        <w:rPr>
          <w:rFonts w:ascii="Palatino Linotype" w:hAnsi="Palatino Linotype"/>
          <w:sz w:val="24"/>
          <w:szCs w:val="24"/>
        </w:rPr>
        <w:t xml:space="preserve">customer </w:t>
      </w:r>
      <w:r w:rsidRPr="002B238F">
        <w:rPr>
          <w:rFonts w:ascii="Palatino Linotype" w:hAnsi="Palatino Linotype"/>
          <w:sz w:val="24"/>
          <w:szCs w:val="24"/>
        </w:rPr>
        <w:t>make-ready applications and categorize them into short and long dwell locations</w:t>
      </w:r>
      <w:r w:rsidRPr="002B238F" w:rsidR="0070033D">
        <w:rPr>
          <w:rFonts w:ascii="Palatino Linotype" w:hAnsi="Palatino Linotype"/>
          <w:sz w:val="24"/>
          <w:szCs w:val="24"/>
        </w:rPr>
        <w:t xml:space="preserve">. </w:t>
      </w:r>
      <w:r w:rsidRPr="002B238F">
        <w:rPr>
          <w:rFonts w:ascii="Palatino Linotype" w:hAnsi="Palatino Linotype"/>
          <w:sz w:val="24"/>
          <w:szCs w:val="24"/>
        </w:rPr>
        <w:t>SCE will further evaluate short dwell sites for potential DCFC site qualification. Short dwell sites may include but are not limited to mixed-use retail shopping centers, libraries, community centers, and grocery stores.</w:t>
      </w:r>
    </w:p>
    <w:p w:rsidRPr="002B238F" w:rsidR="002C77FA" w:rsidP="004B0F8B" w:rsidRDefault="002C77FA" w14:paraId="5E24E9EE" w14:textId="3E9D0731">
      <w:pPr>
        <w:rPr>
          <w:rFonts w:ascii="Palatino Linotype" w:hAnsi="Palatino Linotype"/>
          <w:sz w:val="24"/>
          <w:szCs w:val="24"/>
        </w:rPr>
      </w:pPr>
      <w:r w:rsidRPr="002B238F">
        <w:rPr>
          <w:rFonts w:ascii="Palatino Linotype" w:hAnsi="Palatino Linotype"/>
          <w:sz w:val="24"/>
          <w:szCs w:val="24"/>
        </w:rPr>
        <w:t xml:space="preserve">SCE proposes to focus on </w:t>
      </w:r>
      <w:r w:rsidRPr="002B238F" w:rsidR="00851D34">
        <w:rPr>
          <w:rFonts w:ascii="Palatino Linotype" w:hAnsi="Palatino Linotype"/>
          <w:sz w:val="24"/>
          <w:szCs w:val="24"/>
        </w:rPr>
        <w:t>co</w:t>
      </w:r>
      <w:r w:rsidRPr="002B238F" w:rsidR="00C368F1">
        <w:rPr>
          <w:rFonts w:ascii="Palatino Linotype" w:hAnsi="Palatino Linotype"/>
          <w:sz w:val="24"/>
          <w:szCs w:val="24"/>
        </w:rPr>
        <w:t>-</w:t>
      </w:r>
      <w:r w:rsidRPr="002B238F" w:rsidR="00851D34">
        <w:rPr>
          <w:rFonts w:ascii="Palatino Linotype" w:hAnsi="Palatino Linotype"/>
          <w:sz w:val="24"/>
          <w:szCs w:val="24"/>
        </w:rPr>
        <w:t>locating</w:t>
      </w:r>
      <w:r w:rsidRPr="002B238F">
        <w:rPr>
          <w:rFonts w:ascii="Palatino Linotype" w:hAnsi="Palatino Linotype"/>
          <w:sz w:val="24"/>
          <w:szCs w:val="24"/>
        </w:rPr>
        <w:t xml:space="preserve"> DCFCs at sites with </w:t>
      </w:r>
      <w:r w:rsidRPr="002B238F" w:rsidR="003B1B24">
        <w:rPr>
          <w:rFonts w:ascii="Palatino Linotype" w:hAnsi="Palatino Linotype"/>
          <w:sz w:val="24"/>
          <w:szCs w:val="24"/>
        </w:rPr>
        <w:t xml:space="preserve">L2 </w:t>
      </w:r>
      <w:r w:rsidRPr="002B238F">
        <w:rPr>
          <w:rFonts w:ascii="Palatino Linotype" w:hAnsi="Palatino Linotype"/>
          <w:sz w:val="24"/>
          <w:szCs w:val="24"/>
        </w:rPr>
        <w:t>ports to reduce utility-side and customer-side make-ready infrastructure costs and increase the availability of charging ports at those sites during the early stages of the program. SCE</w:t>
      </w:r>
      <w:r w:rsidRPr="002B238F" w:rsidR="00521B0A">
        <w:rPr>
          <w:rFonts w:ascii="Palatino Linotype" w:hAnsi="Palatino Linotype"/>
          <w:sz w:val="24"/>
          <w:szCs w:val="24"/>
        </w:rPr>
        <w:t xml:space="preserve">’s AL states it </w:t>
      </w:r>
      <w:r w:rsidRPr="002B238F">
        <w:rPr>
          <w:rFonts w:ascii="Palatino Linotype" w:hAnsi="Palatino Linotype"/>
          <w:sz w:val="24"/>
          <w:szCs w:val="24"/>
        </w:rPr>
        <w:lastRenderedPageBreak/>
        <w:t xml:space="preserve">will consider </w:t>
      </w:r>
      <w:r w:rsidRPr="002B238F" w:rsidR="003A72A4">
        <w:rPr>
          <w:rFonts w:ascii="Palatino Linotype" w:hAnsi="Palatino Linotype"/>
          <w:sz w:val="24"/>
          <w:szCs w:val="24"/>
        </w:rPr>
        <w:t xml:space="preserve">the following </w:t>
      </w:r>
      <w:r w:rsidRPr="002B238F">
        <w:rPr>
          <w:rFonts w:ascii="Palatino Linotype" w:hAnsi="Palatino Linotype"/>
          <w:sz w:val="24"/>
          <w:szCs w:val="24"/>
        </w:rPr>
        <w:t xml:space="preserve">primary and secondary criteria for </w:t>
      </w:r>
      <w:r w:rsidRPr="002B238F" w:rsidR="007C1A6B">
        <w:rPr>
          <w:rFonts w:ascii="Palatino Linotype" w:hAnsi="Palatino Linotype"/>
          <w:sz w:val="24"/>
          <w:szCs w:val="24"/>
        </w:rPr>
        <w:t>DCFC solicitation and siting including</w:t>
      </w:r>
      <w:r w:rsidRPr="002B238F">
        <w:rPr>
          <w:rFonts w:ascii="Palatino Linotype" w:hAnsi="Palatino Linotype"/>
          <w:sz w:val="24"/>
          <w:szCs w:val="24"/>
        </w:rPr>
        <w:t>:</w:t>
      </w:r>
    </w:p>
    <w:p w:rsidRPr="002B238F" w:rsidR="002C77FA" w:rsidP="002C77FA" w:rsidRDefault="002C77FA" w14:paraId="492F3D75" w14:textId="5AF02274">
      <w:pPr>
        <w:pStyle w:val="ListParagraph"/>
        <w:numPr>
          <w:ilvl w:val="1"/>
          <w:numId w:val="24"/>
        </w:numPr>
        <w:rPr>
          <w:rFonts w:ascii="Palatino Linotype" w:hAnsi="Palatino Linotype"/>
          <w:sz w:val="24"/>
          <w:szCs w:val="24"/>
        </w:rPr>
      </w:pPr>
      <w:r w:rsidRPr="002B238F">
        <w:rPr>
          <w:rFonts w:ascii="Palatino Linotype" w:hAnsi="Palatino Linotype"/>
          <w:sz w:val="24"/>
          <w:szCs w:val="24"/>
        </w:rPr>
        <w:t>Primary criteria:</w:t>
      </w:r>
    </w:p>
    <w:p w:rsidRPr="002B238F" w:rsidR="002C77FA" w:rsidP="002C77FA" w:rsidRDefault="002C77FA" w14:paraId="34558952" w14:textId="51790B9D">
      <w:pPr>
        <w:pStyle w:val="ListParagraph"/>
        <w:numPr>
          <w:ilvl w:val="2"/>
          <w:numId w:val="24"/>
        </w:numPr>
        <w:rPr>
          <w:rFonts w:ascii="Palatino Linotype" w:hAnsi="Palatino Linotype"/>
          <w:sz w:val="24"/>
          <w:szCs w:val="24"/>
        </w:rPr>
      </w:pPr>
      <w:r w:rsidRPr="002B238F">
        <w:rPr>
          <w:rFonts w:ascii="Palatino Linotype" w:hAnsi="Palatino Linotype"/>
          <w:sz w:val="24"/>
          <w:szCs w:val="24"/>
        </w:rPr>
        <w:t>Project’s estimated costs</w:t>
      </w:r>
      <w:r w:rsidRPr="002B238F" w:rsidR="00521B0A">
        <w:rPr>
          <w:rFonts w:ascii="Palatino Linotype" w:hAnsi="Palatino Linotype"/>
          <w:sz w:val="24"/>
          <w:szCs w:val="24"/>
        </w:rPr>
        <w:t>,</w:t>
      </w:r>
      <w:r w:rsidRPr="002B238F">
        <w:rPr>
          <w:rFonts w:ascii="Palatino Linotype" w:hAnsi="Palatino Linotype"/>
          <w:sz w:val="24"/>
          <w:szCs w:val="24"/>
        </w:rPr>
        <w:t xml:space="preserve"> </w:t>
      </w:r>
    </w:p>
    <w:p w:rsidRPr="002B238F" w:rsidR="002C77FA" w:rsidP="002C77FA" w:rsidRDefault="002C77FA" w14:paraId="5081E422" w14:textId="247B1874">
      <w:pPr>
        <w:pStyle w:val="ListParagraph"/>
        <w:numPr>
          <w:ilvl w:val="2"/>
          <w:numId w:val="24"/>
        </w:numPr>
        <w:rPr>
          <w:rFonts w:ascii="Palatino Linotype" w:hAnsi="Palatino Linotype"/>
          <w:sz w:val="24"/>
          <w:szCs w:val="24"/>
        </w:rPr>
      </w:pPr>
      <w:r w:rsidRPr="002B238F">
        <w:rPr>
          <w:rFonts w:ascii="Palatino Linotype" w:hAnsi="Palatino Linotype"/>
          <w:sz w:val="24"/>
          <w:szCs w:val="24"/>
        </w:rPr>
        <w:t>DAC status</w:t>
      </w:r>
      <w:r w:rsidRPr="002B238F" w:rsidR="00521B0A">
        <w:rPr>
          <w:rFonts w:ascii="Palatino Linotype" w:hAnsi="Palatino Linotype"/>
          <w:sz w:val="24"/>
          <w:szCs w:val="24"/>
        </w:rPr>
        <w:t>,</w:t>
      </w:r>
    </w:p>
    <w:p w:rsidRPr="002B238F" w:rsidR="002C77FA" w:rsidP="002C77FA" w:rsidRDefault="002C77FA" w14:paraId="2219C1EC" w14:textId="4953F9E5">
      <w:pPr>
        <w:pStyle w:val="ListParagraph"/>
        <w:numPr>
          <w:ilvl w:val="2"/>
          <w:numId w:val="24"/>
        </w:numPr>
        <w:rPr>
          <w:rFonts w:ascii="Palatino Linotype" w:hAnsi="Palatino Linotype"/>
          <w:sz w:val="24"/>
          <w:szCs w:val="24"/>
        </w:rPr>
      </w:pPr>
      <w:r w:rsidRPr="002B238F">
        <w:rPr>
          <w:rFonts w:ascii="Palatino Linotype" w:hAnsi="Palatino Linotype"/>
          <w:sz w:val="24"/>
          <w:szCs w:val="24"/>
        </w:rPr>
        <w:t>Proximity to the saturation of MUDs</w:t>
      </w:r>
      <w:r w:rsidRPr="002B238F" w:rsidR="00521B0A">
        <w:rPr>
          <w:rFonts w:ascii="Palatino Linotype" w:hAnsi="Palatino Linotype"/>
          <w:sz w:val="24"/>
          <w:szCs w:val="24"/>
        </w:rPr>
        <w:t>, and</w:t>
      </w:r>
    </w:p>
    <w:p w:rsidRPr="002B238F" w:rsidR="002C77FA" w:rsidP="002C77FA" w:rsidRDefault="002C77FA" w14:paraId="51313ED8" w14:textId="2FB95995">
      <w:pPr>
        <w:pStyle w:val="ListParagraph"/>
        <w:numPr>
          <w:ilvl w:val="2"/>
          <w:numId w:val="24"/>
        </w:numPr>
        <w:rPr>
          <w:rFonts w:ascii="Palatino Linotype" w:hAnsi="Palatino Linotype"/>
          <w:sz w:val="24"/>
          <w:szCs w:val="24"/>
        </w:rPr>
      </w:pPr>
      <w:r w:rsidRPr="002B238F">
        <w:rPr>
          <w:rFonts w:ascii="Palatino Linotype" w:hAnsi="Palatino Linotype"/>
          <w:sz w:val="24"/>
          <w:szCs w:val="24"/>
        </w:rPr>
        <w:t>Ability to meet code compliance</w:t>
      </w:r>
      <w:r w:rsidRPr="002B238F" w:rsidR="00521B0A">
        <w:rPr>
          <w:rFonts w:ascii="Palatino Linotype" w:hAnsi="Palatino Linotype"/>
          <w:sz w:val="24"/>
          <w:szCs w:val="24"/>
        </w:rPr>
        <w:t>.</w:t>
      </w:r>
      <w:r w:rsidRPr="002B238F">
        <w:rPr>
          <w:rFonts w:ascii="Palatino Linotype" w:hAnsi="Palatino Linotype"/>
          <w:sz w:val="24"/>
          <w:szCs w:val="24"/>
        </w:rPr>
        <w:t xml:space="preserve"> </w:t>
      </w:r>
    </w:p>
    <w:p w:rsidRPr="002B238F" w:rsidR="002C77FA" w:rsidP="002C77FA" w:rsidRDefault="002C77FA" w14:paraId="6944C294" w14:textId="22D675D4">
      <w:pPr>
        <w:pStyle w:val="ListParagraph"/>
        <w:numPr>
          <w:ilvl w:val="1"/>
          <w:numId w:val="24"/>
        </w:numPr>
        <w:rPr>
          <w:rFonts w:ascii="Palatino Linotype" w:hAnsi="Palatino Linotype"/>
          <w:sz w:val="24"/>
          <w:szCs w:val="24"/>
        </w:rPr>
      </w:pPr>
      <w:r w:rsidRPr="002B238F">
        <w:rPr>
          <w:rFonts w:ascii="Palatino Linotype" w:hAnsi="Palatino Linotype"/>
          <w:sz w:val="24"/>
          <w:szCs w:val="24"/>
        </w:rPr>
        <w:t xml:space="preserve">Secondary </w:t>
      </w:r>
      <w:r w:rsidRPr="002B238F" w:rsidR="00A058DE">
        <w:rPr>
          <w:rFonts w:ascii="Palatino Linotype" w:hAnsi="Palatino Linotype"/>
          <w:sz w:val="24"/>
          <w:szCs w:val="24"/>
        </w:rPr>
        <w:t>criteria</w:t>
      </w:r>
      <w:r w:rsidRPr="002B238F">
        <w:rPr>
          <w:rFonts w:ascii="Palatino Linotype" w:hAnsi="Palatino Linotype"/>
          <w:sz w:val="24"/>
          <w:szCs w:val="24"/>
        </w:rPr>
        <w:t xml:space="preserve">: </w:t>
      </w:r>
    </w:p>
    <w:p w:rsidRPr="002B238F" w:rsidR="002C77FA" w:rsidP="002C77FA" w:rsidRDefault="002C77FA" w14:paraId="0DE98701" w14:textId="5CCF8351">
      <w:pPr>
        <w:pStyle w:val="ListParagraph"/>
        <w:numPr>
          <w:ilvl w:val="2"/>
          <w:numId w:val="24"/>
        </w:numPr>
        <w:rPr>
          <w:rFonts w:ascii="Palatino Linotype" w:hAnsi="Palatino Linotype"/>
          <w:sz w:val="24"/>
          <w:szCs w:val="24"/>
        </w:rPr>
      </w:pPr>
      <w:r w:rsidRPr="002B238F">
        <w:rPr>
          <w:rFonts w:ascii="Palatino Linotype" w:hAnsi="Palatino Linotype"/>
          <w:sz w:val="24"/>
          <w:szCs w:val="24"/>
        </w:rPr>
        <w:t>Potential number of visitors that might frequent the general site location</w:t>
      </w:r>
      <w:r w:rsidRPr="002B238F" w:rsidR="00521B0A">
        <w:rPr>
          <w:rFonts w:ascii="Palatino Linotype" w:hAnsi="Palatino Linotype"/>
          <w:sz w:val="24"/>
          <w:szCs w:val="24"/>
        </w:rPr>
        <w:t>,</w:t>
      </w:r>
    </w:p>
    <w:p w:rsidRPr="002B238F" w:rsidR="002C77FA" w:rsidP="002C77FA" w:rsidRDefault="002C77FA" w14:paraId="52ECDFAB" w14:textId="5916ECB9">
      <w:pPr>
        <w:pStyle w:val="ListParagraph"/>
        <w:numPr>
          <w:ilvl w:val="2"/>
          <w:numId w:val="24"/>
        </w:numPr>
        <w:rPr>
          <w:rFonts w:ascii="Palatino Linotype" w:hAnsi="Palatino Linotype"/>
          <w:sz w:val="24"/>
          <w:szCs w:val="24"/>
        </w:rPr>
      </w:pPr>
      <w:r w:rsidRPr="002B238F">
        <w:rPr>
          <w:rFonts w:ascii="Palatino Linotype" w:hAnsi="Palatino Linotype"/>
          <w:sz w:val="24"/>
          <w:szCs w:val="24"/>
        </w:rPr>
        <w:t xml:space="preserve">Number and type of other destination sites within </w:t>
      </w:r>
      <w:proofErr w:type="gramStart"/>
      <w:r w:rsidRPr="002B238F">
        <w:rPr>
          <w:rFonts w:ascii="Palatino Linotype" w:hAnsi="Palatino Linotype"/>
          <w:sz w:val="24"/>
          <w:szCs w:val="24"/>
        </w:rPr>
        <w:t>close proximity</w:t>
      </w:r>
      <w:proofErr w:type="gramEnd"/>
      <w:r w:rsidRPr="002B238F" w:rsidR="00521B0A">
        <w:rPr>
          <w:rFonts w:ascii="Palatino Linotype" w:hAnsi="Palatino Linotype"/>
          <w:sz w:val="24"/>
          <w:szCs w:val="24"/>
        </w:rPr>
        <w:t>,</w:t>
      </w:r>
      <w:r w:rsidRPr="002B238F">
        <w:rPr>
          <w:rFonts w:ascii="Palatino Linotype" w:hAnsi="Palatino Linotype"/>
          <w:sz w:val="24"/>
          <w:szCs w:val="24"/>
        </w:rPr>
        <w:t xml:space="preserve"> </w:t>
      </w:r>
    </w:p>
    <w:p w:rsidRPr="002B238F" w:rsidR="002C77FA" w:rsidP="002C77FA" w:rsidRDefault="002C77FA" w14:paraId="644D86B3" w14:textId="55823B3E">
      <w:pPr>
        <w:pStyle w:val="ListParagraph"/>
        <w:numPr>
          <w:ilvl w:val="2"/>
          <w:numId w:val="24"/>
        </w:numPr>
        <w:rPr>
          <w:rFonts w:ascii="Palatino Linotype" w:hAnsi="Palatino Linotype"/>
          <w:sz w:val="24"/>
          <w:szCs w:val="24"/>
        </w:rPr>
      </w:pPr>
      <w:r w:rsidRPr="002B238F">
        <w:rPr>
          <w:rFonts w:ascii="Palatino Linotype" w:hAnsi="Palatino Linotype"/>
          <w:sz w:val="24"/>
          <w:szCs w:val="24"/>
        </w:rPr>
        <w:t>Vehicle traffic on adjacent streets</w:t>
      </w:r>
      <w:r w:rsidRPr="002B238F" w:rsidR="00521B0A">
        <w:rPr>
          <w:rFonts w:ascii="Palatino Linotype" w:hAnsi="Palatino Linotype"/>
          <w:sz w:val="24"/>
          <w:szCs w:val="24"/>
        </w:rPr>
        <w:t>,</w:t>
      </w:r>
    </w:p>
    <w:p w:rsidRPr="002B238F" w:rsidR="002C77FA" w:rsidP="002C77FA" w:rsidRDefault="002C77FA" w14:paraId="0D356A3B" w14:textId="483DE2C6">
      <w:pPr>
        <w:pStyle w:val="ListParagraph"/>
        <w:numPr>
          <w:ilvl w:val="2"/>
          <w:numId w:val="24"/>
        </w:numPr>
        <w:rPr>
          <w:rFonts w:ascii="Palatino Linotype" w:hAnsi="Palatino Linotype"/>
          <w:sz w:val="24"/>
          <w:szCs w:val="24"/>
        </w:rPr>
      </w:pPr>
      <w:r w:rsidRPr="002B238F">
        <w:rPr>
          <w:rFonts w:ascii="Palatino Linotype" w:hAnsi="Palatino Linotype"/>
          <w:sz w:val="24"/>
          <w:szCs w:val="24"/>
        </w:rPr>
        <w:t>Proximity to existing DCFC stations</w:t>
      </w:r>
      <w:r w:rsidRPr="002B238F" w:rsidR="00521B0A">
        <w:rPr>
          <w:rFonts w:ascii="Palatino Linotype" w:hAnsi="Palatino Linotype"/>
          <w:sz w:val="24"/>
          <w:szCs w:val="24"/>
        </w:rPr>
        <w:t>.</w:t>
      </w:r>
    </w:p>
    <w:p w:rsidRPr="002B238F" w:rsidR="002C77FA" w:rsidP="002C77FA" w:rsidRDefault="002C77FA" w14:paraId="55390DCF" w14:textId="77777777">
      <w:pPr>
        <w:pStyle w:val="ListParagraph"/>
        <w:ind w:left="2160"/>
        <w:rPr>
          <w:rFonts w:ascii="Palatino Linotype" w:hAnsi="Palatino Linotype"/>
          <w:sz w:val="24"/>
          <w:szCs w:val="24"/>
        </w:rPr>
      </w:pPr>
    </w:p>
    <w:p w:rsidRPr="002B238F" w:rsidR="002C77FA" w:rsidP="002C77FA" w:rsidRDefault="002C77FA" w14:paraId="08D396C5" w14:textId="77777777">
      <w:pPr>
        <w:pStyle w:val="ListParagraph"/>
        <w:numPr>
          <w:ilvl w:val="0"/>
          <w:numId w:val="22"/>
        </w:numPr>
        <w:jc w:val="both"/>
        <w:rPr>
          <w:rFonts w:ascii="Palatino Linotype" w:hAnsi="Palatino Linotype"/>
          <w:sz w:val="24"/>
          <w:szCs w:val="24"/>
        </w:rPr>
      </w:pPr>
      <w:r w:rsidRPr="002B238F">
        <w:rPr>
          <w:rFonts w:ascii="Palatino Linotype" w:hAnsi="Palatino Linotype"/>
          <w:sz w:val="24"/>
          <w:szCs w:val="24"/>
        </w:rPr>
        <w:t>Plan and criteria for siting 30 percent of ports in DACs</w:t>
      </w:r>
    </w:p>
    <w:p w:rsidRPr="002B238F" w:rsidR="002C77FA" w:rsidP="004B0F8B" w:rsidRDefault="00BE41BF" w14:paraId="384BAB81" w14:textId="0963AD4E">
      <w:pPr>
        <w:rPr>
          <w:rFonts w:ascii="Palatino Linotype" w:hAnsi="Palatino Linotype"/>
          <w:sz w:val="24"/>
          <w:szCs w:val="24"/>
        </w:rPr>
      </w:pPr>
      <w:r w:rsidRPr="002B238F">
        <w:rPr>
          <w:rFonts w:ascii="Palatino Linotype" w:hAnsi="Palatino Linotype"/>
          <w:sz w:val="24"/>
          <w:szCs w:val="24"/>
        </w:rPr>
        <w:t xml:space="preserve">Per D.20-08-045, </w:t>
      </w:r>
      <w:r w:rsidRPr="002B238F" w:rsidR="002C77FA">
        <w:rPr>
          <w:rFonts w:ascii="Palatino Linotype" w:hAnsi="Palatino Linotype"/>
          <w:sz w:val="24"/>
          <w:szCs w:val="24"/>
        </w:rPr>
        <w:t xml:space="preserve">SCE </w:t>
      </w:r>
      <w:r w:rsidRPr="002B238F" w:rsidR="0B4CB5D2">
        <w:rPr>
          <w:rFonts w:ascii="Palatino Linotype" w:hAnsi="Palatino Linotype"/>
          <w:sz w:val="24"/>
          <w:szCs w:val="24"/>
        </w:rPr>
        <w:t>proposes</w:t>
      </w:r>
      <w:r w:rsidRPr="002B238F">
        <w:rPr>
          <w:rFonts w:ascii="Palatino Linotype" w:hAnsi="Palatino Linotype"/>
          <w:sz w:val="24"/>
          <w:szCs w:val="24"/>
        </w:rPr>
        <w:t xml:space="preserve"> a plan and criteria for</w:t>
      </w:r>
      <w:r w:rsidRPr="002B238F" w:rsidR="002C77FA">
        <w:rPr>
          <w:rFonts w:ascii="Palatino Linotype" w:hAnsi="Palatino Linotype"/>
          <w:sz w:val="24"/>
          <w:szCs w:val="24"/>
        </w:rPr>
        <w:t xml:space="preserve"> siting a minimum of 30 percent of DCFC ports at DAC sites and focus on identifying sites with the potential for high DCFC utilizations. Additionally, SCE will perform outreach to high-potential sites it identifies to educate site hosts on the benefits of installing charging. High potential sites will include DAC customers who expressed interest in participating in prior SCE programs but did not due to port minimums or funding challenges. SCE will also perform marketing analysis to develop a high propensity model to identify targeted DAC properties within SCE's territory and conduct ME&amp;O to generate interest, including online tools. </w:t>
      </w:r>
    </w:p>
    <w:p w:rsidRPr="002B238F" w:rsidR="002C77FA" w:rsidP="002C77FA" w:rsidRDefault="002C77FA" w14:paraId="49FF4695" w14:textId="62590EA4">
      <w:pPr>
        <w:pStyle w:val="ListParagraph"/>
        <w:numPr>
          <w:ilvl w:val="0"/>
          <w:numId w:val="22"/>
        </w:numPr>
        <w:jc w:val="both"/>
        <w:rPr>
          <w:rFonts w:ascii="Palatino Linotype" w:hAnsi="Palatino Linotype"/>
          <w:sz w:val="24"/>
          <w:szCs w:val="24"/>
        </w:rPr>
      </w:pPr>
      <w:r w:rsidRPr="002B238F">
        <w:rPr>
          <w:rFonts w:ascii="Palatino Linotype" w:hAnsi="Palatino Linotype"/>
          <w:sz w:val="24"/>
          <w:szCs w:val="24"/>
        </w:rPr>
        <w:t>Plan and criteria for siting 25 percent of ports to serve MUDs</w:t>
      </w:r>
      <w:r w:rsidRPr="002B238F" w:rsidR="00BC2C6C">
        <w:rPr>
          <w:rFonts w:ascii="Palatino Linotype" w:hAnsi="Palatino Linotype"/>
          <w:sz w:val="24"/>
          <w:szCs w:val="24"/>
        </w:rPr>
        <w:t xml:space="preserve"> following</w:t>
      </w:r>
      <w:r w:rsidRPr="002B238F" w:rsidR="00D92B58">
        <w:rPr>
          <w:rFonts w:ascii="Palatino Linotype" w:hAnsi="Palatino Linotype"/>
          <w:sz w:val="24"/>
          <w:szCs w:val="24"/>
        </w:rPr>
        <w:t xml:space="preserve"> the </w:t>
      </w:r>
      <w:r w:rsidR="00CC60E7">
        <w:rPr>
          <w:rFonts w:ascii="Palatino Linotype" w:hAnsi="Palatino Linotype"/>
          <w:sz w:val="24"/>
          <w:szCs w:val="24"/>
        </w:rPr>
        <w:br/>
      </w:r>
      <w:r w:rsidRPr="002B238F">
        <w:rPr>
          <w:rFonts w:ascii="Palatino Linotype" w:hAnsi="Palatino Linotype"/>
          <w:sz w:val="24"/>
          <w:szCs w:val="24"/>
        </w:rPr>
        <w:t>MUD</w:t>
      </w:r>
      <w:r w:rsidRPr="002B238F" w:rsidR="00D0325E">
        <w:rPr>
          <w:rFonts w:ascii="Palatino Linotype" w:hAnsi="Palatino Linotype"/>
          <w:sz w:val="24"/>
          <w:szCs w:val="24"/>
        </w:rPr>
        <w:t>-</w:t>
      </w:r>
      <w:r w:rsidRPr="002B238F">
        <w:rPr>
          <w:rFonts w:ascii="Palatino Linotype" w:hAnsi="Palatino Linotype"/>
          <w:sz w:val="24"/>
          <w:szCs w:val="24"/>
        </w:rPr>
        <w:t xml:space="preserve">serving </w:t>
      </w:r>
      <w:r w:rsidRPr="002B238F" w:rsidR="00E132CF">
        <w:rPr>
          <w:rFonts w:ascii="Palatino Linotype" w:hAnsi="Palatino Linotype"/>
          <w:sz w:val="24"/>
          <w:szCs w:val="24"/>
        </w:rPr>
        <w:t>definition.</w:t>
      </w:r>
    </w:p>
    <w:p w:rsidRPr="002B238F" w:rsidR="002C77FA" w:rsidP="004B0F8B" w:rsidRDefault="002C77FA" w14:paraId="6143B059" w14:textId="373F612E">
      <w:pPr>
        <w:rPr>
          <w:rFonts w:ascii="Palatino Linotype" w:hAnsi="Palatino Linotype"/>
          <w:sz w:val="24"/>
          <w:szCs w:val="24"/>
        </w:rPr>
      </w:pPr>
      <w:r w:rsidRPr="002B238F">
        <w:rPr>
          <w:rFonts w:ascii="Palatino Linotype" w:hAnsi="Palatino Linotype"/>
          <w:sz w:val="24"/>
          <w:szCs w:val="24"/>
        </w:rPr>
        <w:t xml:space="preserve">SCE </w:t>
      </w:r>
      <w:r w:rsidRPr="002B238F" w:rsidR="681AB495">
        <w:rPr>
          <w:rFonts w:ascii="Palatino Linotype" w:hAnsi="Palatino Linotype"/>
          <w:sz w:val="24"/>
          <w:szCs w:val="24"/>
        </w:rPr>
        <w:t xml:space="preserve">proposes to </w:t>
      </w:r>
      <w:r w:rsidRPr="002B238F">
        <w:rPr>
          <w:rFonts w:ascii="Palatino Linotype" w:hAnsi="Palatino Linotype"/>
          <w:sz w:val="24"/>
          <w:szCs w:val="24"/>
        </w:rPr>
        <w:t>target siting at least 25 percent of DCFC ports to serve residents of MUDs. SCE defines qualifying MUD</w:t>
      </w:r>
      <w:r w:rsidRPr="002B238F" w:rsidR="00E067B1">
        <w:rPr>
          <w:rFonts w:ascii="Palatino Linotype" w:hAnsi="Palatino Linotype"/>
          <w:sz w:val="24"/>
          <w:szCs w:val="24"/>
        </w:rPr>
        <w:t>-</w:t>
      </w:r>
      <w:r w:rsidRPr="002B238F">
        <w:rPr>
          <w:rFonts w:ascii="Palatino Linotype" w:hAnsi="Palatino Linotype"/>
          <w:sz w:val="24"/>
          <w:szCs w:val="24"/>
        </w:rPr>
        <w:t xml:space="preserve">serving sites as being located within a </w:t>
      </w:r>
      <w:r w:rsidRPr="002B238F" w:rsidR="00B30118">
        <w:rPr>
          <w:rFonts w:ascii="Palatino Linotype" w:hAnsi="Palatino Linotype"/>
          <w:sz w:val="24"/>
          <w:szCs w:val="24"/>
        </w:rPr>
        <w:t>two</w:t>
      </w:r>
      <w:r w:rsidRPr="002B238F">
        <w:rPr>
          <w:rFonts w:ascii="Palatino Linotype" w:hAnsi="Palatino Linotype"/>
          <w:sz w:val="24"/>
          <w:szCs w:val="24"/>
        </w:rPr>
        <w:t xml:space="preserve">-mile radius of one or more residential </w:t>
      </w:r>
      <w:r w:rsidRPr="002B238F" w:rsidR="00B30118">
        <w:rPr>
          <w:rFonts w:ascii="Palatino Linotype" w:hAnsi="Palatino Linotype"/>
          <w:sz w:val="24"/>
          <w:szCs w:val="24"/>
        </w:rPr>
        <w:t>MUDs</w:t>
      </w:r>
      <w:r w:rsidRPr="002B238F">
        <w:rPr>
          <w:rFonts w:ascii="Palatino Linotype" w:hAnsi="Palatino Linotype"/>
          <w:sz w:val="24"/>
          <w:szCs w:val="24"/>
        </w:rPr>
        <w:t>. SCE states it will attempt to target sites with a higher density of MUDs and determine MUD density using real estate data analytical/database tools. Sites serving MUD residents can span a variety of business types (e.g., retail centers, grocery store lots, other locations providing public access</w:t>
      </w:r>
      <w:r w:rsidRPr="002B238F" w:rsidR="00B30118">
        <w:rPr>
          <w:rFonts w:ascii="Palatino Linotype" w:hAnsi="Palatino Linotype"/>
          <w:sz w:val="24"/>
          <w:szCs w:val="24"/>
        </w:rPr>
        <w:t>)</w:t>
      </w:r>
      <w:r w:rsidRPr="002B238F">
        <w:rPr>
          <w:rFonts w:ascii="Palatino Linotype" w:hAnsi="Palatino Linotype"/>
          <w:sz w:val="24"/>
          <w:szCs w:val="24"/>
        </w:rPr>
        <w:t>.</w:t>
      </w:r>
    </w:p>
    <w:p w:rsidRPr="002B238F" w:rsidR="002C77FA" w:rsidP="002C77FA" w:rsidRDefault="002C77FA" w14:paraId="7CD12796" w14:textId="2A121CC4">
      <w:pPr>
        <w:jc w:val="both"/>
        <w:rPr>
          <w:rFonts w:ascii="Palatino Linotype" w:hAnsi="Palatino Linotype"/>
          <w:sz w:val="24"/>
          <w:szCs w:val="24"/>
        </w:rPr>
      </w:pPr>
      <w:bookmarkStart w:name="_Hlk114584558" w:id="3"/>
      <w:r w:rsidRPr="002B238F">
        <w:rPr>
          <w:rFonts w:ascii="Palatino Linotype" w:hAnsi="Palatino Linotype"/>
          <w:sz w:val="24"/>
          <w:szCs w:val="24"/>
        </w:rPr>
        <w:lastRenderedPageBreak/>
        <w:t xml:space="preserve">SCE </w:t>
      </w:r>
      <w:r w:rsidRPr="002B238F" w:rsidR="001E65A8">
        <w:rPr>
          <w:rFonts w:ascii="Palatino Linotype" w:hAnsi="Palatino Linotype"/>
          <w:sz w:val="24"/>
          <w:szCs w:val="24"/>
        </w:rPr>
        <w:t xml:space="preserve">proposes to </w:t>
      </w:r>
      <w:r w:rsidRPr="002B238F">
        <w:rPr>
          <w:rFonts w:ascii="Palatino Linotype" w:hAnsi="Palatino Linotype"/>
          <w:sz w:val="24"/>
          <w:szCs w:val="24"/>
        </w:rPr>
        <w:t xml:space="preserve">conduct targeted ME&amp;O and may look to </w:t>
      </w:r>
      <w:proofErr w:type="spellStart"/>
      <w:r w:rsidRPr="002B238F" w:rsidR="00851D34">
        <w:rPr>
          <w:rFonts w:ascii="Palatino Linotype" w:hAnsi="Palatino Linotype"/>
          <w:sz w:val="24"/>
          <w:szCs w:val="24"/>
        </w:rPr>
        <w:t>colocate</w:t>
      </w:r>
      <w:proofErr w:type="spellEnd"/>
      <w:r w:rsidRPr="002B238F">
        <w:rPr>
          <w:rFonts w:ascii="Palatino Linotype" w:hAnsi="Palatino Linotype"/>
          <w:sz w:val="24"/>
          <w:szCs w:val="24"/>
        </w:rPr>
        <w:t xml:space="preserve"> DCFC ports with CR2 customers' L2 port installation if </w:t>
      </w:r>
      <w:r w:rsidRPr="002B238F" w:rsidR="00DB5D8E">
        <w:rPr>
          <w:rFonts w:ascii="Palatino Linotype" w:hAnsi="Palatino Linotype"/>
          <w:sz w:val="24"/>
          <w:szCs w:val="24"/>
        </w:rPr>
        <w:t xml:space="preserve">SCE </w:t>
      </w:r>
      <w:r w:rsidRPr="002B238F">
        <w:rPr>
          <w:rFonts w:ascii="Palatino Linotype" w:hAnsi="Palatino Linotype"/>
          <w:sz w:val="24"/>
          <w:szCs w:val="24"/>
        </w:rPr>
        <w:t>determine</w:t>
      </w:r>
      <w:r w:rsidRPr="002B238F" w:rsidR="00DB5D8E">
        <w:rPr>
          <w:rFonts w:ascii="Palatino Linotype" w:hAnsi="Palatino Linotype"/>
          <w:sz w:val="24"/>
          <w:szCs w:val="24"/>
        </w:rPr>
        <w:t>s</w:t>
      </w:r>
      <w:r w:rsidRPr="002B238F" w:rsidR="00495838">
        <w:rPr>
          <w:rFonts w:ascii="Palatino Linotype" w:hAnsi="Palatino Linotype"/>
          <w:sz w:val="24"/>
          <w:szCs w:val="24"/>
        </w:rPr>
        <w:t xml:space="preserve"> the site</w:t>
      </w:r>
      <w:r w:rsidRPr="002B238F">
        <w:rPr>
          <w:rFonts w:ascii="Palatino Linotype" w:hAnsi="Palatino Linotype"/>
          <w:sz w:val="24"/>
          <w:szCs w:val="24"/>
        </w:rPr>
        <w:t xml:space="preserve"> to be </w:t>
      </w:r>
      <w:r w:rsidRPr="002B238F" w:rsidR="00495838">
        <w:rPr>
          <w:rFonts w:ascii="Palatino Linotype" w:hAnsi="Palatino Linotype"/>
          <w:sz w:val="24"/>
          <w:szCs w:val="24"/>
        </w:rPr>
        <w:t xml:space="preserve">a </w:t>
      </w:r>
      <w:r w:rsidRPr="002B238F">
        <w:rPr>
          <w:rFonts w:ascii="Palatino Linotype" w:hAnsi="Palatino Linotype"/>
          <w:sz w:val="24"/>
          <w:szCs w:val="24"/>
        </w:rPr>
        <w:t xml:space="preserve">strong candidate for </w:t>
      </w:r>
      <w:r w:rsidRPr="002B238F" w:rsidR="00851D34">
        <w:rPr>
          <w:rFonts w:ascii="Palatino Linotype" w:hAnsi="Palatino Linotype"/>
          <w:sz w:val="24"/>
          <w:szCs w:val="24"/>
        </w:rPr>
        <w:t>colocation</w:t>
      </w:r>
      <w:r w:rsidRPr="002B238F">
        <w:rPr>
          <w:rFonts w:ascii="Palatino Linotype" w:hAnsi="Palatino Linotype"/>
          <w:sz w:val="24"/>
          <w:szCs w:val="24"/>
        </w:rPr>
        <w:t>.</w:t>
      </w:r>
    </w:p>
    <w:bookmarkEnd w:id="3"/>
    <w:p w:rsidRPr="002B238F" w:rsidR="002C77FA" w:rsidP="002C77FA" w:rsidRDefault="002C77FA" w14:paraId="7EE89CD9" w14:textId="687D9B7A">
      <w:pPr>
        <w:pStyle w:val="ListParagraph"/>
        <w:numPr>
          <w:ilvl w:val="0"/>
          <w:numId w:val="22"/>
        </w:numPr>
        <w:jc w:val="both"/>
        <w:rPr>
          <w:rFonts w:ascii="Palatino Linotype" w:hAnsi="Palatino Linotype"/>
          <w:sz w:val="24"/>
          <w:szCs w:val="24"/>
        </w:rPr>
      </w:pPr>
      <w:r w:rsidRPr="002B238F">
        <w:rPr>
          <w:rFonts w:ascii="Palatino Linotype" w:hAnsi="Palatino Linotype"/>
          <w:sz w:val="24"/>
          <w:szCs w:val="24"/>
        </w:rPr>
        <w:t xml:space="preserve">Input from and a plan for continued collaboration with CBOs on siting criteria and feedback from community stakeholders on siting DCFCs </w:t>
      </w:r>
    </w:p>
    <w:p w:rsidRPr="002B238F" w:rsidR="002C77FA" w:rsidP="002C77FA" w:rsidRDefault="002C77FA" w14:paraId="3CD63EAC" w14:textId="350570CA">
      <w:pPr>
        <w:rPr>
          <w:rFonts w:ascii="Palatino Linotype" w:hAnsi="Palatino Linotype"/>
          <w:sz w:val="24"/>
          <w:szCs w:val="24"/>
        </w:rPr>
      </w:pPr>
      <w:bookmarkStart w:name="_Hlk114584577" w:id="4"/>
      <w:r w:rsidRPr="002B238F">
        <w:rPr>
          <w:rFonts w:ascii="Palatino Linotype" w:hAnsi="Palatino Linotype"/>
          <w:sz w:val="24"/>
          <w:szCs w:val="24"/>
        </w:rPr>
        <w:t xml:space="preserve">On December 3, 2020, SCE held a webinar where they received feedback from environmental justice </w:t>
      </w:r>
      <w:r w:rsidRPr="002B238F" w:rsidR="00E132CF">
        <w:rPr>
          <w:rFonts w:ascii="Palatino Linotype" w:hAnsi="Palatino Linotype"/>
          <w:sz w:val="24"/>
          <w:szCs w:val="24"/>
        </w:rPr>
        <w:t>organizations expressing</w:t>
      </w:r>
      <w:r w:rsidRPr="002B238F">
        <w:rPr>
          <w:rFonts w:ascii="Palatino Linotype" w:hAnsi="Palatino Linotype"/>
          <w:sz w:val="24"/>
          <w:szCs w:val="24"/>
        </w:rPr>
        <w:t xml:space="preserve"> the need to locate DCFCs </w:t>
      </w:r>
      <w:r w:rsidRPr="002B238F" w:rsidR="00D229A5">
        <w:rPr>
          <w:rFonts w:ascii="Palatino Linotype" w:hAnsi="Palatino Linotype"/>
          <w:sz w:val="24"/>
          <w:szCs w:val="24"/>
        </w:rPr>
        <w:t>at sites with</w:t>
      </w:r>
      <w:r w:rsidRPr="002B238F">
        <w:rPr>
          <w:rFonts w:ascii="Palatino Linotype" w:hAnsi="Palatino Linotype"/>
          <w:sz w:val="24"/>
          <w:szCs w:val="24"/>
        </w:rPr>
        <w:t xml:space="preserve"> the highest potential utilization.</w:t>
      </w:r>
    </w:p>
    <w:bookmarkEnd w:id="4"/>
    <w:p w:rsidRPr="002B238F" w:rsidR="002C77FA" w:rsidP="002C77FA" w:rsidRDefault="002C77FA" w14:paraId="022F207C" w14:textId="4BF1A0E5">
      <w:pPr>
        <w:rPr>
          <w:rFonts w:ascii="Palatino Linotype" w:hAnsi="Palatino Linotype"/>
          <w:sz w:val="24"/>
          <w:szCs w:val="24"/>
        </w:rPr>
      </w:pPr>
      <w:r w:rsidRPr="002B238F">
        <w:rPr>
          <w:rFonts w:ascii="Palatino Linotype" w:hAnsi="Palatino Linotype"/>
          <w:sz w:val="24"/>
          <w:szCs w:val="24"/>
        </w:rPr>
        <w:t>Key pieces of feedback</w:t>
      </w:r>
      <w:r w:rsidRPr="002B238F" w:rsidR="00D229A5">
        <w:rPr>
          <w:rFonts w:ascii="Palatino Linotype" w:hAnsi="Palatino Linotype"/>
          <w:sz w:val="24"/>
          <w:szCs w:val="24"/>
        </w:rPr>
        <w:t xml:space="preserve"> SCE received</w:t>
      </w:r>
      <w:r w:rsidRPr="002B238F" w:rsidR="00B64044">
        <w:rPr>
          <w:rFonts w:ascii="Palatino Linotype" w:hAnsi="Palatino Linotype"/>
          <w:sz w:val="24"/>
          <w:szCs w:val="24"/>
        </w:rPr>
        <w:t xml:space="preserve"> include</w:t>
      </w:r>
      <w:r w:rsidRPr="002B238F">
        <w:rPr>
          <w:rFonts w:ascii="Palatino Linotype" w:hAnsi="Palatino Linotype"/>
          <w:sz w:val="24"/>
          <w:szCs w:val="24"/>
        </w:rPr>
        <w:t>:</w:t>
      </w:r>
    </w:p>
    <w:p w:rsidRPr="002B238F" w:rsidR="002C77FA" w:rsidP="00B20091" w:rsidRDefault="002C77FA" w14:paraId="64FDD9E9" w14:textId="0643DFE1">
      <w:pPr>
        <w:pStyle w:val="ListParagraph"/>
        <w:numPr>
          <w:ilvl w:val="0"/>
          <w:numId w:val="4"/>
        </w:numPr>
        <w:rPr>
          <w:rFonts w:ascii="Palatino Linotype" w:hAnsi="Palatino Linotype"/>
          <w:sz w:val="24"/>
          <w:szCs w:val="24"/>
        </w:rPr>
      </w:pPr>
      <w:r w:rsidRPr="002B238F">
        <w:rPr>
          <w:rFonts w:ascii="Palatino Linotype" w:hAnsi="Palatino Linotype"/>
          <w:sz w:val="24"/>
          <w:szCs w:val="24"/>
        </w:rPr>
        <w:t xml:space="preserve">The selection process should leverage various variables to provide a more holistic site evaluation process than firm quantitative metrics. </w:t>
      </w:r>
    </w:p>
    <w:p w:rsidRPr="002B238F" w:rsidR="002C77FA" w:rsidP="00B20091" w:rsidRDefault="002C77FA" w14:paraId="799DA792" w14:textId="0ABF6E1A">
      <w:pPr>
        <w:pStyle w:val="ListParagraph"/>
        <w:numPr>
          <w:ilvl w:val="0"/>
          <w:numId w:val="4"/>
        </w:numPr>
        <w:rPr>
          <w:rFonts w:ascii="Palatino Linotype" w:hAnsi="Palatino Linotype"/>
          <w:sz w:val="24"/>
          <w:szCs w:val="24"/>
        </w:rPr>
      </w:pPr>
      <w:r w:rsidRPr="002B238F">
        <w:rPr>
          <w:rFonts w:ascii="Palatino Linotype" w:hAnsi="Palatino Linotype"/>
          <w:sz w:val="24"/>
          <w:szCs w:val="24"/>
        </w:rPr>
        <w:t>SCE should ensure DCFC stations are sited at locations that could provide the highest potential utilization</w:t>
      </w:r>
      <w:r w:rsidRPr="002B238F" w:rsidR="00073279">
        <w:rPr>
          <w:rFonts w:ascii="Palatino Linotype" w:hAnsi="Palatino Linotype"/>
          <w:sz w:val="24"/>
          <w:szCs w:val="24"/>
        </w:rPr>
        <w:t>.</w:t>
      </w:r>
    </w:p>
    <w:p w:rsidRPr="002B238F" w:rsidR="002C77FA" w:rsidP="00B20091" w:rsidRDefault="002C77FA" w14:paraId="30327A69" w14:textId="25CE260E">
      <w:pPr>
        <w:pStyle w:val="ListParagraph"/>
        <w:numPr>
          <w:ilvl w:val="0"/>
          <w:numId w:val="4"/>
        </w:numPr>
        <w:rPr>
          <w:rFonts w:ascii="Palatino Linotype" w:hAnsi="Palatino Linotype"/>
          <w:sz w:val="24"/>
          <w:szCs w:val="24"/>
        </w:rPr>
      </w:pPr>
      <w:r w:rsidRPr="002B238F">
        <w:rPr>
          <w:rFonts w:ascii="Palatino Linotype" w:hAnsi="Palatino Linotype"/>
          <w:sz w:val="24"/>
          <w:szCs w:val="24"/>
        </w:rPr>
        <w:t xml:space="preserve">Participants agreed that using a </w:t>
      </w:r>
      <w:r w:rsidRPr="002B238F" w:rsidR="00D229A5">
        <w:rPr>
          <w:rFonts w:ascii="Palatino Linotype" w:hAnsi="Palatino Linotype"/>
          <w:sz w:val="24"/>
          <w:szCs w:val="24"/>
        </w:rPr>
        <w:t>two</w:t>
      </w:r>
      <w:r w:rsidRPr="002B238F">
        <w:rPr>
          <w:rFonts w:ascii="Palatino Linotype" w:hAnsi="Palatino Linotype"/>
          <w:sz w:val="24"/>
          <w:szCs w:val="24"/>
        </w:rPr>
        <w:t>-mile radius that encompasses several MUD locations is appropriate</w:t>
      </w:r>
      <w:r w:rsidRPr="002B238F" w:rsidR="00073279">
        <w:rPr>
          <w:rFonts w:ascii="Palatino Linotype" w:hAnsi="Palatino Linotype"/>
          <w:sz w:val="24"/>
          <w:szCs w:val="24"/>
        </w:rPr>
        <w:t>.</w:t>
      </w:r>
    </w:p>
    <w:p w:rsidRPr="002B238F" w:rsidR="002C77FA" w:rsidP="00B20091" w:rsidRDefault="002C77FA" w14:paraId="1B8ED70D" w14:textId="43EBEE3E">
      <w:pPr>
        <w:pStyle w:val="ListParagraph"/>
        <w:numPr>
          <w:ilvl w:val="0"/>
          <w:numId w:val="4"/>
        </w:numPr>
        <w:rPr>
          <w:rFonts w:ascii="Palatino Linotype" w:hAnsi="Palatino Linotype"/>
          <w:sz w:val="24"/>
          <w:szCs w:val="24"/>
        </w:rPr>
      </w:pPr>
      <w:r w:rsidRPr="002B238F">
        <w:rPr>
          <w:rFonts w:ascii="Palatino Linotype" w:hAnsi="Palatino Linotype"/>
          <w:sz w:val="24"/>
          <w:szCs w:val="24"/>
        </w:rPr>
        <w:t xml:space="preserve">SCE plans to continue collaborating with local CBOs throughout the CR2 program through future PAC meetings and targeted CBO meetings. </w:t>
      </w:r>
    </w:p>
    <w:p w:rsidRPr="002B238F" w:rsidR="002C77FA" w:rsidP="00B20091" w:rsidRDefault="002C77FA" w14:paraId="51DCDD72" w14:textId="7C39746D">
      <w:pPr>
        <w:pStyle w:val="ListParagraph"/>
        <w:numPr>
          <w:ilvl w:val="0"/>
          <w:numId w:val="4"/>
        </w:numPr>
        <w:rPr>
          <w:rFonts w:ascii="Palatino Linotype" w:hAnsi="Palatino Linotype"/>
          <w:sz w:val="24"/>
          <w:szCs w:val="24"/>
        </w:rPr>
      </w:pPr>
      <w:r w:rsidRPr="002B238F">
        <w:rPr>
          <w:rFonts w:ascii="Palatino Linotype" w:hAnsi="Palatino Linotype"/>
          <w:sz w:val="24"/>
          <w:szCs w:val="24"/>
        </w:rPr>
        <w:t>SCE will distribute program materials about CR2 to CBOs, as several local CBOs and government representatives expressed interest in partnering with SCE to perform program participation outreach to their constituents.</w:t>
      </w:r>
    </w:p>
    <w:p w:rsidRPr="002B238F" w:rsidR="002C77FA" w:rsidP="002C77FA" w:rsidRDefault="002C77FA" w14:paraId="21284272" w14:textId="77777777">
      <w:pPr>
        <w:jc w:val="both"/>
        <w:rPr>
          <w:rFonts w:ascii="Palatino Linotype" w:hAnsi="Palatino Linotype"/>
          <w:sz w:val="24"/>
          <w:szCs w:val="24"/>
        </w:rPr>
      </w:pPr>
    </w:p>
    <w:p w:rsidRPr="002B238F" w:rsidR="002C77FA" w:rsidP="002C77FA" w:rsidRDefault="002C77FA" w14:paraId="2089D5B3" w14:textId="7096A4AD">
      <w:pPr>
        <w:pStyle w:val="ListParagraph"/>
        <w:numPr>
          <w:ilvl w:val="0"/>
          <w:numId w:val="22"/>
        </w:numPr>
        <w:jc w:val="both"/>
        <w:rPr>
          <w:rFonts w:ascii="Palatino Linotype" w:hAnsi="Palatino Linotype"/>
          <w:i/>
          <w:iCs/>
          <w:sz w:val="24"/>
          <w:szCs w:val="24"/>
        </w:rPr>
      </w:pPr>
      <w:r w:rsidRPr="002B238F">
        <w:rPr>
          <w:rFonts w:ascii="Palatino Linotype" w:hAnsi="Palatino Linotype"/>
          <w:sz w:val="24"/>
          <w:szCs w:val="24"/>
        </w:rPr>
        <w:t xml:space="preserve">Assessment of </w:t>
      </w:r>
      <w:r w:rsidRPr="002B238F" w:rsidR="0066684F">
        <w:rPr>
          <w:rFonts w:ascii="Palatino Linotype" w:hAnsi="Palatino Linotype"/>
          <w:sz w:val="24"/>
          <w:szCs w:val="24"/>
        </w:rPr>
        <w:t xml:space="preserve">customer ownership of </w:t>
      </w:r>
      <w:r w:rsidRPr="002B238F">
        <w:rPr>
          <w:rFonts w:ascii="Palatino Linotype" w:hAnsi="Palatino Linotype"/>
          <w:sz w:val="24"/>
          <w:szCs w:val="24"/>
        </w:rPr>
        <w:t xml:space="preserve">customer-side make-ready infrastructure </w:t>
      </w:r>
    </w:p>
    <w:p w:rsidRPr="002B238F" w:rsidR="002C77FA" w:rsidP="002C77FA" w:rsidRDefault="0066684F" w14:paraId="62D7F60A" w14:textId="13CFEBA9">
      <w:pPr>
        <w:rPr>
          <w:rFonts w:ascii="Palatino Linotype" w:hAnsi="Palatino Linotype"/>
          <w:sz w:val="24"/>
          <w:szCs w:val="24"/>
        </w:rPr>
      </w:pPr>
      <w:r w:rsidRPr="002B238F">
        <w:rPr>
          <w:rFonts w:ascii="Palatino Linotype" w:hAnsi="Palatino Linotype"/>
          <w:sz w:val="24"/>
          <w:szCs w:val="24"/>
        </w:rPr>
        <w:t xml:space="preserve">Pursuant to </w:t>
      </w:r>
      <w:r w:rsidRPr="002B238F" w:rsidR="2899D1B1">
        <w:rPr>
          <w:rFonts w:ascii="Palatino Linotype" w:hAnsi="Palatino Linotype"/>
          <w:sz w:val="24"/>
          <w:szCs w:val="24"/>
        </w:rPr>
        <w:t>D.20-08-045</w:t>
      </w:r>
      <w:r w:rsidRPr="002B238F">
        <w:rPr>
          <w:rFonts w:ascii="Palatino Linotype" w:hAnsi="Palatino Linotype"/>
          <w:sz w:val="24"/>
          <w:szCs w:val="24"/>
        </w:rPr>
        <w:t xml:space="preserve">, </w:t>
      </w:r>
      <w:r w:rsidRPr="002B238F" w:rsidR="002C77FA">
        <w:rPr>
          <w:rFonts w:ascii="Palatino Linotype" w:hAnsi="Palatino Linotype"/>
          <w:sz w:val="24"/>
          <w:szCs w:val="24"/>
        </w:rPr>
        <w:t xml:space="preserve">SCE </w:t>
      </w:r>
      <w:r w:rsidRPr="002B238F" w:rsidR="00E34384">
        <w:rPr>
          <w:rFonts w:ascii="Palatino Linotype" w:hAnsi="Palatino Linotype"/>
          <w:sz w:val="24"/>
          <w:szCs w:val="24"/>
        </w:rPr>
        <w:t xml:space="preserve">is </w:t>
      </w:r>
      <w:r w:rsidRPr="002B238F" w:rsidR="00AE3FB5">
        <w:rPr>
          <w:rFonts w:ascii="Palatino Linotype" w:hAnsi="Palatino Linotype"/>
          <w:sz w:val="24"/>
          <w:szCs w:val="24"/>
        </w:rPr>
        <w:t>directed</w:t>
      </w:r>
      <w:r w:rsidRPr="002B238F" w:rsidR="00E34384">
        <w:rPr>
          <w:rFonts w:ascii="Palatino Linotype" w:hAnsi="Palatino Linotype"/>
          <w:sz w:val="24"/>
          <w:szCs w:val="24"/>
        </w:rPr>
        <w:t xml:space="preserve"> to </w:t>
      </w:r>
      <w:r w:rsidRPr="002B238F" w:rsidR="002C77FA">
        <w:rPr>
          <w:rFonts w:ascii="Palatino Linotype" w:hAnsi="Palatino Linotype"/>
          <w:sz w:val="24"/>
          <w:szCs w:val="24"/>
        </w:rPr>
        <w:t xml:space="preserve">offer customers the choice of managing and paying for the installation of the customer-side </w:t>
      </w:r>
      <w:r w:rsidRPr="002B238F" w:rsidR="00AE3FB5">
        <w:rPr>
          <w:rFonts w:ascii="Palatino Linotype" w:hAnsi="Palatino Linotype"/>
          <w:sz w:val="24"/>
          <w:szCs w:val="24"/>
        </w:rPr>
        <w:t xml:space="preserve">make-ready </w:t>
      </w:r>
      <w:r w:rsidRPr="002B238F" w:rsidR="002C77FA">
        <w:rPr>
          <w:rFonts w:ascii="Palatino Linotype" w:hAnsi="Palatino Linotype"/>
          <w:sz w:val="24"/>
          <w:szCs w:val="24"/>
        </w:rPr>
        <w:t xml:space="preserve">infrastructure </w:t>
      </w:r>
      <w:r w:rsidRPr="002B238F" w:rsidR="008924AB">
        <w:rPr>
          <w:rFonts w:ascii="Palatino Linotype" w:hAnsi="Palatino Linotype"/>
          <w:sz w:val="24"/>
          <w:szCs w:val="24"/>
        </w:rPr>
        <w:t xml:space="preserve">with a rebate of up to </w:t>
      </w:r>
      <w:r w:rsidRPr="002B238F" w:rsidR="008056F1">
        <w:rPr>
          <w:rFonts w:ascii="Palatino Linotype" w:hAnsi="Palatino Linotype"/>
          <w:sz w:val="24"/>
          <w:szCs w:val="24"/>
        </w:rPr>
        <w:t xml:space="preserve">80 percent of the installation costs, </w:t>
      </w:r>
      <w:r w:rsidRPr="002B238F" w:rsidR="00B04BAA">
        <w:rPr>
          <w:rFonts w:ascii="Palatino Linotype" w:hAnsi="Palatino Linotype"/>
          <w:sz w:val="24"/>
          <w:szCs w:val="24"/>
        </w:rPr>
        <w:t>under</w:t>
      </w:r>
      <w:r w:rsidRPr="002B238F" w:rsidR="008056F1">
        <w:rPr>
          <w:rFonts w:ascii="Palatino Linotype" w:hAnsi="Palatino Linotype"/>
          <w:sz w:val="24"/>
          <w:szCs w:val="24"/>
        </w:rPr>
        <w:t xml:space="preserve"> the Make-Ready Expansion Program</w:t>
      </w:r>
      <w:r w:rsidRPr="002B238F" w:rsidR="00D229A5">
        <w:rPr>
          <w:rFonts w:ascii="Palatino Linotype" w:hAnsi="Palatino Linotype"/>
          <w:sz w:val="24"/>
          <w:szCs w:val="24"/>
        </w:rPr>
        <w:t>.</w:t>
      </w:r>
      <w:r w:rsidRPr="002B238F" w:rsidR="00875CCD">
        <w:rPr>
          <w:rStyle w:val="FootnoteReference"/>
          <w:rFonts w:ascii="Palatino Linotype" w:hAnsi="Palatino Linotype"/>
          <w:sz w:val="24"/>
          <w:szCs w:val="24"/>
        </w:rPr>
        <w:footnoteReference w:id="15"/>
      </w:r>
      <w:r w:rsidRPr="002B238F" w:rsidDel="00875CCD" w:rsidR="00875CCD">
        <w:rPr>
          <w:rFonts w:ascii="Palatino Linotype" w:hAnsi="Palatino Linotype"/>
          <w:sz w:val="24"/>
          <w:szCs w:val="24"/>
        </w:rPr>
        <w:t xml:space="preserve"> </w:t>
      </w:r>
      <w:r w:rsidRPr="002B238F">
        <w:rPr>
          <w:rFonts w:ascii="Palatino Linotype" w:hAnsi="Palatino Linotype"/>
          <w:sz w:val="24"/>
          <w:szCs w:val="24"/>
        </w:rPr>
        <w:t xml:space="preserve">However, </w:t>
      </w:r>
      <w:r w:rsidRPr="002B238F" w:rsidR="32A3F546">
        <w:rPr>
          <w:rFonts w:ascii="Palatino Linotype" w:hAnsi="Palatino Linotype"/>
          <w:sz w:val="24"/>
          <w:szCs w:val="24"/>
        </w:rPr>
        <w:t xml:space="preserve">SCE </w:t>
      </w:r>
      <w:r w:rsidRPr="002B238F" w:rsidR="00FA6B0A">
        <w:rPr>
          <w:rFonts w:ascii="Palatino Linotype" w:hAnsi="Palatino Linotype"/>
          <w:sz w:val="24"/>
          <w:szCs w:val="24"/>
        </w:rPr>
        <w:t xml:space="preserve">anticipates </w:t>
      </w:r>
      <w:r w:rsidRPr="002B238F" w:rsidR="00482DC7">
        <w:rPr>
          <w:rFonts w:ascii="Palatino Linotype" w:hAnsi="Palatino Linotype"/>
          <w:sz w:val="24"/>
          <w:szCs w:val="24"/>
        </w:rPr>
        <w:t>limited interest in a site-host ownership option</w:t>
      </w:r>
      <w:r w:rsidRPr="002B238F" w:rsidR="009E5A15">
        <w:rPr>
          <w:rFonts w:ascii="Palatino Linotype" w:hAnsi="Palatino Linotype"/>
          <w:sz w:val="24"/>
          <w:szCs w:val="24"/>
        </w:rPr>
        <w:t xml:space="preserve">, as customers </w:t>
      </w:r>
      <w:r w:rsidRPr="002B238F" w:rsidR="00F22FF7">
        <w:rPr>
          <w:rFonts w:ascii="Palatino Linotype" w:hAnsi="Palatino Linotype"/>
          <w:sz w:val="24"/>
          <w:szCs w:val="24"/>
        </w:rPr>
        <w:t xml:space="preserve">would be required to agree </w:t>
      </w:r>
      <w:r w:rsidRPr="002B238F" w:rsidR="002C77FA">
        <w:rPr>
          <w:rFonts w:ascii="Palatino Linotype" w:hAnsi="Palatino Linotype"/>
          <w:sz w:val="24"/>
          <w:szCs w:val="24"/>
        </w:rPr>
        <w:t>to:</w:t>
      </w:r>
    </w:p>
    <w:p w:rsidRPr="002B238F" w:rsidR="002C77FA" w:rsidP="002C77FA" w:rsidRDefault="002C77FA" w14:paraId="1206B873" w14:textId="01131CF4">
      <w:pPr>
        <w:ind w:left="720"/>
        <w:rPr>
          <w:rFonts w:ascii="Palatino Linotype" w:hAnsi="Palatino Linotype"/>
          <w:sz w:val="24"/>
          <w:szCs w:val="24"/>
        </w:rPr>
      </w:pPr>
      <w:r w:rsidRPr="002B238F">
        <w:rPr>
          <w:rFonts w:ascii="Palatino Linotype" w:hAnsi="Palatino Linotype"/>
          <w:sz w:val="24"/>
          <w:szCs w:val="24"/>
        </w:rPr>
        <w:lastRenderedPageBreak/>
        <w:t xml:space="preserve">(1) Added responsibility of maintaining and operating customer-side infrastructure for ten </w:t>
      </w:r>
      <w:proofErr w:type="gramStart"/>
      <w:r w:rsidRPr="002B238F">
        <w:rPr>
          <w:rFonts w:ascii="Palatino Linotype" w:hAnsi="Palatino Linotype"/>
          <w:sz w:val="24"/>
          <w:szCs w:val="24"/>
        </w:rPr>
        <w:t>years</w:t>
      </w:r>
      <w:r w:rsidRPr="002B238F" w:rsidR="00D229A5">
        <w:rPr>
          <w:rFonts w:ascii="Palatino Linotype" w:hAnsi="Palatino Linotype"/>
          <w:sz w:val="24"/>
          <w:szCs w:val="24"/>
        </w:rPr>
        <w:t>;</w:t>
      </w:r>
      <w:proofErr w:type="gramEnd"/>
    </w:p>
    <w:p w:rsidRPr="002B238F" w:rsidR="002C77FA" w:rsidP="002C77FA" w:rsidRDefault="002C77FA" w14:paraId="26DECCF3" w14:textId="34BCF6BF">
      <w:pPr>
        <w:ind w:left="720"/>
        <w:rPr>
          <w:rFonts w:ascii="Palatino Linotype" w:hAnsi="Palatino Linotype"/>
          <w:sz w:val="24"/>
          <w:szCs w:val="24"/>
        </w:rPr>
      </w:pPr>
      <w:r w:rsidRPr="002B238F">
        <w:rPr>
          <w:rFonts w:ascii="Palatino Linotype" w:hAnsi="Palatino Linotype"/>
          <w:sz w:val="24"/>
          <w:szCs w:val="24"/>
        </w:rPr>
        <w:t xml:space="preserve">(2) An 80 percent rebate cap for installation costs that can potentially translate into higher </w:t>
      </w:r>
      <w:proofErr w:type="gramStart"/>
      <w:r w:rsidRPr="002B238F">
        <w:rPr>
          <w:rFonts w:ascii="Palatino Linotype" w:hAnsi="Palatino Linotype"/>
          <w:sz w:val="24"/>
          <w:szCs w:val="24"/>
        </w:rPr>
        <w:t>costs</w:t>
      </w:r>
      <w:r w:rsidRPr="002B238F" w:rsidR="00D229A5">
        <w:rPr>
          <w:rFonts w:ascii="Palatino Linotype" w:hAnsi="Palatino Linotype"/>
          <w:sz w:val="24"/>
          <w:szCs w:val="24"/>
        </w:rPr>
        <w:t>;</w:t>
      </w:r>
      <w:proofErr w:type="gramEnd"/>
    </w:p>
    <w:p w:rsidRPr="002B238F" w:rsidR="002C77FA" w:rsidP="002C77FA" w:rsidRDefault="002C77FA" w14:paraId="4C695075" w14:textId="6A4828FB">
      <w:pPr>
        <w:ind w:firstLine="720"/>
        <w:rPr>
          <w:rFonts w:ascii="Palatino Linotype" w:hAnsi="Palatino Linotype"/>
          <w:sz w:val="24"/>
          <w:szCs w:val="24"/>
        </w:rPr>
      </w:pPr>
      <w:r w:rsidRPr="002B238F">
        <w:rPr>
          <w:rFonts w:ascii="Palatino Linotype" w:hAnsi="Palatino Linotype"/>
          <w:sz w:val="24"/>
          <w:szCs w:val="24"/>
        </w:rPr>
        <w:t>(3) Lack of experience managing DCFCs which are more complex than L2 ports</w:t>
      </w:r>
      <w:r w:rsidRPr="002B238F" w:rsidR="00D229A5">
        <w:rPr>
          <w:rFonts w:ascii="Palatino Linotype" w:hAnsi="Palatino Linotype"/>
          <w:sz w:val="24"/>
          <w:szCs w:val="24"/>
        </w:rPr>
        <w:t>.</w:t>
      </w:r>
    </w:p>
    <w:p w:rsidRPr="002B238F" w:rsidR="002C77FA" w:rsidP="002C77FA" w:rsidRDefault="002C77FA" w14:paraId="7F406B99" w14:textId="77777777">
      <w:pPr>
        <w:rPr>
          <w:rFonts w:ascii="Palatino Linotype" w:hAnsi="Palatino Linotype"/>
          <w:b/>
          <w:bCs/>
          <w:color w:val="FF0000"/>
          <w:sz w:val="24"/>
          <w:szCs w:val="24"/>
        </w:rPr>
      </w:pPr>
      <w:r w:rsidRPr="002B238F">
        <w:rPr>
          <w:rFonts w:ascii="Palatino Linotype" w:hAnsi="Palatino Linotype"/>
          <w:sz w:val="24"/>
          <w:szCs w:val="24"/>
        </w:rPr>
        <w:t xml:space="preserve">Thus, </w:t>
      </w:r>
      <w:bookmarkStart w:name="_Hlk114584594" w:id="5"/>
      <w:r w:rsidRPr="002B238F">
        <w:rPr>
          <w:rFonts w:ascii="Palatino Linotype" w:hAnsi="Palatino Linotype"/>
          <w:sz w:val="24"/>
          <w:szCs w:val="24"/>
        </w:rPr>
        <w:t>SCE states that setting and achieving specific adoption rates for this option will be difficult to achieve absent a more compelling customer-facing value proposition.</w:t>
      </w:r>
    </w:p>
    <w:bookmarkEnd w:id="5"/>
    <w:p w:rsidRPr="002B238F" w:rsidR="005777BA" w:rsidP="005777BA" w:rsidRDefault="005777BA" w14:paraId="63A496A8" w14:textId="20A42C7F">
      <w:pPr>
        <w:rPr>
          <w:rFonts w:ascii="Palatino Linotype" w:hAnsi="Palatino Linotype"/>
          <w:sz w:val="24"/>
          <w:szCs w:val="24"/>
        </w:rPr>
      </w:pPr>
      <w:r w:rsidRPr="002B238F">
        <w:rPr>
          <w:rFonts w:ascii="Palatino Linotype" w:hAnsi="Palatino Linotype"/>
          <w:sz w:val="24"/>
          <w:szCs w:val="24"/>
        </w:rPr>
        <w:t>Since submitting AL 4433-E, SCE reassessed the efficacy of offering DCFC site-host owners</w:t>
      </w:r>
      <w:r w:rsidRPr="002B238F" w:rsidR="008B322B">
        <w:rPr>
          <w:rFonts w:ascii="Palatino Linotype" w:hAnsi="Palatino Linotype"/>
          <w:sz w:val="24"/>
          <w:szCs w:val="24"/>
        </w:rPr>
        <w:t xml:space="preserve"> the option to </w:t>
      </w:r>
      <w:r w:rsidRPr="002B238F" w:rsidR="005C3DDA">
        <w:rPr>
          <w:rFonts w:ascii="Palatino Linotype" w:hAnsi="Palatino Linotype"/>
          <w:sz w:val="24"/>
          <w:szCs w:val="24"/>
        </w:rPr>
        <w:t>own the customer-side make-ready infrastructure and receive a rebate</w:t>
      </w:r>
      <w:r w:rsidRPr="002B238F">
        <w:rPr>
          <w:rFonts w:ascii="Palatino Linotype" w:hAnsi="Palatino Linotype"/>
          <w:sz w:val="24"/>
          <w:szCs w:val="24"/>
        </w:rPr>
        <w:t xml:space="preserve">. </w:t>
      </w:r>
      <w:r w:rsidRPr="002B238F" w:rsidR="005C3DDA">
        <w:rPr>
          <w:rFonts w:ascii="Palatino Linotype" w:hAnsi="Palatino Linotype"/>
          <w:sz w:val="24"/>
          <w:szCs w:val="24"/>
        </w:rPr>
        <w:t xml:space="preserve">As such, </w:t>
      </w:r>
      <w:r w:rsidRPr="002B238F">
        <w:rPr>
          <w:rFonts w:ascii="Palatino Linotype" w:hAnsi="Palatino Linotype"/>
          <w:sz w:val="24"/>
          <w:szCs w:val="24"/>
        </w:rPr>
        <w:t xml:space="preserve">SCE </w:t>
      </w:r>
      <w:r w:rsidRPr="002B238F" w:rsidR="005C3DDA">
        <w:rPr>
          <w:rFonts w:ascii="Palatino Linotype" w:hAnsi="Palatino Linotype"/>
          <w:sz w:val="24"/>
          <w:szCs w:val="24"/>
        </w:rPr>
        <w:t>states</w:t>
      </w:r>
      <w:r w:rsidRPr="002B238F" w:rsidR="00F74454">
        <w:rPr>
          <w:rFonts w:ascii="Palatino Linotype" w:hAnsi="Palatino Linotype"/>
          <w:sz w:val="24"/>
          <w:szCs w:val="24"/>
        </w:rPr>
        <w:t xml:space="preserve"> within the supplemental AL that</w:t>
      </w:r>
      <w:r w:rsidRPr="002B238F" w:rsidR="005C3DDA">
        <w:rPr>
          <w:rFonts w:ascii="Palatino Linotype" w:hAnsi="Palatino Linotype"/>
          <w:sz w:val="24"/>
          <w:szCs w:val="24"/>
        </w:rPr>
        <w:t xml:space="preserve"> it </w:t>
      </w:r>
      <w:r w:rsidRPr="002B238F">
        <w:rPr>
          <w:rFonts w:ascii="Palatino Linotype" w:hAnsi="Palatino Linotype"/>
          <w:sz w:val="24"/>
          <w:szCs w:val="24"/>
        </w:rPr>
        <w:t>will target most DCFC projects as Customer-Side Make Ready (CSMR)</w:t>
      </w:r>
      <w:r w:rsidRPr="002B238F" w:rsidR="005C3DDA">
        <w:rPr>
          <w:rFonts w:ascii="Palatino Linotype" w:hAnsi="Palatino Linotype"/>
          <w:sz w:val="24"/>
          <w:szCs w:val="24"/>
        </w:rPr>
        <w:t xml:space="preserve">, their terminology for this </w:t>
      </w:r>
      <w:r w:rsidRPr="002B238F" w:rsidR="00AE3FB5">
        <w:rPr>
          <w:rFonts w:ascii="Palatino Linotype" w:hAnsi="Palatino Linotype"/>
          <w:sz w:val="24"/>
          <w:szCs w:val="24"/>
        </w:rPr>
        <w:t xml:space="preserve">site-host </w:t>
      </w:r>
      <w:r w:rsidRPr="002B238F" w:rsidR="005C3DDA">
        <w:rPr>
          <w:rFonts w:ascii="Palatino Linotype" w:hAnsi="Palatino Linotype"/>
          <w:sz w:val="24"/>
          <w:szCs w:val="24"/>
        </w:rPr>
        <w:t>ownership structure,</w:t>
      </w:r>
      <w:r w:rsidRPr="002B238F">
        <w:rPr>
          <w:rFonts w:ascii="Palatino Linotype" w:hAnsi="Palatino Linotype"/>
          <w:sz w:val="24"/>
          <w:szCs w:val="24"/>
        </w:rPr>
        <w:t xml:space="preserve"> to accommodate at least 205 DCFC ports remaining under the authorized budget. SCE notes infrastructure cost estimates have increased considerably since filling AL 4433-E in March of 2021 and states CSMR is less costly to the program on a per-port basis than the utility ownership option in which SCE funds both the utility and customer-side infrastructure. </w:t>
      </w:r>
    </w:p>
    <w:p w:rsidRPr="002B238F" w:rsidR="00E95D8A" w:rsidP="002C77FA" w:rsidRDefault="005777BA" w14:paraId="73DFF5C3" w14:textId="694EDC45">
      <w:pPr>
        <w:rPr>
          <w:rFonts w:ascii="Palatino Linotype" w:hAnsi="Palatino Linotype"/>
          <w:sz w:val="24"/>
          <w:szCs w:val="24"/>
        </w:rPr>
      </w:pPr>
      <w:r w:rsidRPr="002B238F">
        <w:rPr>
          <w:rFonts w:ascii="Palatino Linotype" w:hAnsi="Palatino Linotype"/>
          <w:sz w:val="24"/>
          <w:szCs w:val="24"/>
        </w:rPr>
        <w:t xml:space="preserve">SCE states by focusing on CSMR, they may have additional budgetary flexibility to deemphasize the need to </w:t>
      </w:r>
      <w:proofErr w:type="spellStart"/>
      <w:r w:rsidRPr="002B238F">
        <w:rPr>
          <w:rFonts w:ascii="Palatino Linotype" w:hAnsi="Palatino Linotype"/>
          <w:sz w:val="24"/>
          <w:szCs w:val="24"/>
        </w:rPr>
        <w:t>colocate</w:t>
      </w:r>
      <w:proofErr w:type="spellEnd"/>
      <w:r w:rsidRPr="002B238F">
        <w:rPr>
          <w:rFonts w:ascii="Palatino Linotype" w:hAnsi="Palatino Linotype"/>
          <w:sz w:val="24"/>
          <w:szCs w:val="24"/>
        </w:rPr>
        <w:t xml:space="preserve"> DCFC with </w:t>
      </w:r>
      <w:r w:rsidRPr="002B238F" w:rsidR="005C3DDA">
        <w:rPr>
          <w:rFonts w:ascii="Palatino Linotype" w:hAnsi="Palatino Linotype"/>
          <w:sz w:val="24"/>
          <w:szCs w:val="24"/>
        </w:rPr>
        <w:t>L</w:t>
      </w:r>
      <w:r w:rsidRPr="002B238F">
        <w:rPr>
          <w:rFonts w:ascii="Palatino Linotype" w:hAnsi="Palatino Linotype"/>
          <w:sz w:val="24"/>
          <w:szCs w:val="24"/>
        </w:rPr>
        <w:t>2 chargers. Further, SCE elaborates that CSMR includes two possible rebates</w:t>
      </w:r>
      <w:r w:rsidRPr="002B238F" w:rsidR="005C3DDA">
        <w:rPr>
          <w:rFonts w:ascii="Palatino Linotype" w:hAnsi="Palatino Linotype"/>
          <w:sz w:val="24"/>
          <w:szCs w:val="24"/>
        </w:rPr>
        <w:t>--</w:t>
      </w:r>
      <w:r w:rsidRPr="002B238F">
        <w:rPr>
          <w:rFonts w:ascii="Palatino Linotype" w:hAnsi="Palatino Linotype"/>
          <w:sz w:val="24"/>
          <w:szCs w:val="24"/>
        </w:rPr>
        <w:t>the first for customer procured EVSE</w:t>
      </w:r>
      <w:r w:rsidRPr="002B238F" w:rsidR="00E95D8A">
        <w:rPr>
          <w:rFonts w:ascii="Palatino Linotype" w:hAnsi="Palatino Linotype"/>
          <w:sz w:val="24"/>
          <w:szCs w:val="24"/>
        </w:rPr>
        <w:t>; and</w:t>
      </w:r>
      <w:r w:rsidRPr="002B238F">
        <w:rPr>
          <w:rFonts w:ascii="Palatino Linotype" w:hAnsi="Palatino Linotype"/>
          <w:sz w:val="24"/>
          <w:szCs w:val="24"/>
        </w:rPr>
        <w:t xml:space="preserve"> </w:t>
      </w:r>
      <w:r w:rsidRPr="002B238F" w:rsidR="00E95D8A">
        <w:rPr>
          <w:rFonts w:ascii="Palatino Linotype" w:hAnsi="Palatino Linotype"/>
          <w:sz w:val="24"/>
          <w:szCs w:val="24"/>
        </w:rPr>
        <w:t>t</w:t>
      </w:r>
      <w:r w:rsidRPr="002B238F">
        <w:rPr>
          <w:rFonts w:ascii="Palatino Linotype" w:hAnsi="Palatino Linotype"/>
          <w:sz w:val="24"/>
          <w:szCs w:val="24"/>
        </w:rPr>
        <w:t xml:space="preserve">he second </w:t>
      </w:r>
      <w:r w:rsidRPr="002B238F" w:rsidR="00E95D8A">
        <w:rPr>
          <w:rFonts w:ascii="Palatino Linotype" w:hAnsi="Palatino Linotype"/>
          <w:sz w:val="24"/>
          <w:szCs w:val="24"/>
        </w:rPr>
        <w:t xml:space="preserve">covering the customer-side make-ready for </w:t>
      </w:r>
      <w:r w:rsidRPr="002B238F">
        <w:rPr>
          <w:rFonts w:ascii="Palatino Linotype" w:hAnsi="Palatino Linotype"/>
          <w:sz w:val="24"/>
          <w:szCs w:val="24"/>
        </w:rPr>
        <w:t xml:space="preserve">qualifying customers </w:t>
      </w:r>
      <w:r w:rsidRPr="002B238F" w:rsidR="00E95D8A">
        <w:rPr>
          <w:rFonts w:ascii="Palatino Linotype" w:hAnsi="Palatino Linotype"/>
          <w:sz w:val="24"/>
          <w:szCs w:val="24"/>
        </w:rPr>
        <w:t xml:space="preserve">to </w:t>
      </w:r>
      <w:r w:rsidRPr="002B238F">
        <w:rPr>
          <w:rFonts w:ascii="Palatino Linotype" w:hAnsi="Palatino Linotype"/>
          <w:sz w:val="24"/>
          <w:szCs w:val="24"/>
        </w:rPr>
        <w:t xml:space="preserve">receive a rebate of up to 80 percent of SCE's estimated construction costs or up to 80 percent of the contractor's incurred costs, whichever is less. </w:t>
      </w:r>
    </w:p>
    <w:p w:rsidRPr="002B238F" w:rsidR="00FB7A92" w:rsidP="002C77FA" w:rsidRDefault="005777BA" w14:paraId="614A456F" w14:textId="2F30C83A">
      <w:pPr>
        <w:rPr>
          <w:rFonts w:ascii="Palatino Linotype" w:hAnsi="Palatino Linotype"/>
          <w:color w:val="FF0000"/>
          <w:sz w:val="24"/>
          <w:szCs w:val="24"/>
        </w:rPr>
      </w:pPr>
      <w:r w:rsidRPr="002B238F">
        <w:rPr>
          <w:rFonts w:ascii="Palatino Linotype" w:hAnsi="Palatino Linotype"/>
          <w:sz w:val="24"/>
          <w:szCs w:val="24"/>
        </w:rPr>
        <w:t>SCE states they will find it difficult to establish specific targets for CSMR adoption due to the complexity of AC/DC infrastructure and high installation costs, with a rebate not fully covering all installation costs as utility ownership models do.</w:t>
      </w:r>
    </w:p>
    <w:p w:rsidRPr="002B238F" w:rsidR="2FDB5FF9" w:rsidP="5D73D4E8" w:rsidRDefault="002C77FA" w14:paraId="388E0568" w14:textId="2C6B18EE">
      <w:pPr>
        <w:pStyle w:val="ListParagraph"/>
        <w:numPr>
          <w:ilvl w:val="0"/>
          <w:numId w:val="3"/>
        </w:numPr>
        <w:rPr>
          <w:rFonts w:ascii="Palatino Linotype" w:hAnsi="Palatino Linotype" w:eastAsiaTheme="minorEastAsia"/>
          <w:sz w:val="24"/>
          <w:szCs w:val="24"/>
          <w:u w:val="single"/>
        </w:rPr>
      </w:pPr>
      <w:r w:rsidRPr="002B238F">
        <w:rPr>
          <w:rFonts w:ascii="Palatino Linotype" w:hAnsi="Palatino Linotype"/>
          <w:sz w:val="24"/>
          <w:szCs w:val="24"/>
          <w:u w:val="single"/>
        </w:rPr>
        <w:t xml:space="preserve">Updated </w:t>
      </w:r>
      <w:r w:rsidRPr="002B238F" w:rsidR="00B206E6">
        <w:rPr>
          <w:rFonts w:ascii="Palatino Linotype" w:hAnsi="Palatino Linotype"/>
          <w:sz w:val="24"/>
          <w:szCs w:val="24"/>
          <w:u w:val="single"/>
        </w:rPr>
        <w:t>R</w:t>
      </w:r>
      <w:r w:rsidRPr="002B238F">
        <w:rPr>
          <w:rFonts w:ascii="Palatino Linotype" w:hAnsi="Palatino Linotype"/>
          <w:sz w:val="24"/>
          <w:szCs w:val="24"/>
          <w:u w:val="single"/>
        </w:rPr>
        <w:t xml:space="preserve">ebate </w:t>
      </w:r>
      <w:r w:rsidRPr="002B238F" w:rsidR="00B206E6">
        <w:rPr>
          <w:rFonts w:ascii="Palatino Linotype" w:hAnsi="Palatino Linotype"/>
          <w:sz w:val="24"/>
          <w:szCs w:val="24"/>
          <w:u w:val="single"/>
        </w:rPr>
        <w:t>M</w:t>
      </w:r>
      <w:r w:rsidRPr="002B238F">
        <w:rPr>
          <w:rFonts w:ascii="Palatino Linotype" w:hAnsi="Palatino Linotype"/>
          <w:sz w:val="24"/>
          <w:szCs w:val="24"/>
          <w:u w:val="single"/>
        </w:rPr>
        <w:t xml:space="preserve">odel and </w:t>
      </w:r>
      <w:r w:rsidRPr="002B238F" w:rsidR="00B206E6">
        <w:rPr>
          <w:rFonts w:ascii="Palatino Linotype" w:hAnsi="Palatino Linotype"/>
          <w:sz w:val="24"/>
          <w:szCs w:val="24"/>
          <w:u w:val="single"/>
        </w:rPr>
        <w:t>B</w:t>
      </w:r>
      <w:r w:rsidRPr="002B238F">
        <w:rPr>
          <w:rFonts w:ascii="Palatino Linotype" w:hAnsi="Palatino Linotype"/>
          <w:sz w:val="24"/>
          <w:szCs w:val="24"/>
          <w:u w:val="single"/>
        </w:rPr>
        <w:t>udget</w:t>
      </w:r>
      <w:r w:rsidRPr="002B238F" w:rsidR="00B206E6">
        <w:rPr>
          <w:rFonts w:ascii="Palatino Linotype" w:hAnsi="Palatino Linotype"/>
          <w:sz w:val="24"/>
          <w:szCs w:val="24"/>
          <w:u w:val="single"/>
        </w:rPr>
        <w:t xml:space="preserve"> Distribution</w:t>
      </w:r>
      <w:r w:rsidRPr="002B238F">
        <w:rPr>
          <w:rFonts w:ascii="Palatino Linotype" w:hAnsi="Palatino Linotype"/>
          <w:sz w:val="24"/>
          <w:szCs w:val="24"/>
          <w:u w:val="single"/>
        </w:rPr>
        <w:t xml:space="preserve"> </w:t>
      </w:r>
      <w:r w:rsidRPr="002B238F" w:rsidR="00B206E6">
        <w:rPr>
          <w:rFonts w:ascii="Palatino Linotype" w:hAnsi="Palatino Linotype"/>
          <w:sz w:val="24"/>
          <w:szCs w:val="24"/>
          <w:u w:val="single"/>
        </w:rPr>
        <w:t>B</w:t>
      </w:r>
      <w:r w:rsidRPr="002B238F">
        <w:rPr>
          <w:rFonts w:ascii="Palatino Linotype" w:hAnsi="Palatino Linotype"/>
          <w:sz w:val="24"/>
          <w:szCs w:val="24"/>
          <w:u w:val="single"/>
        </w:rPr>
        <w:t xml:space="preserve">ased on </w:t>
      </w:r>
      <w:r w:rsidRPr="002B238F" w:rsidR="00B206E6">
        <w:rPr>
          <w:rFonts w:ascii="Palatino Linotype" w:hAnsi="Palatino Linotype"/>
          <w:sz w:val="24"/>
          <w:szCs w:val="24"/>
          <w:u w:val="single"/>
        </w:rPr>
        <w:t>P</w:t>
      </w:r>
      <w:r w:rsidRPr="002B238F">
        <w:rPr>
          <w:rFonts w:ascii="Palatino Linotype" w:hAnsi="Palatino Linotype"/>
          <w:sz w:val="24"/>
          <w:szCs w:val="24"/>
          <w:u w:val="single"/>
        </w:rPr>
        <w:t xml:space="preserve">rogram </w:t>
      </w:r>
      <w:r w:rsidRPr="002B238F" w:rsidR="00B206E6">
        <w:rPr>
          <w:rFonts w:ascii="Palatino Linotype" w:hAnsi="Palatino Linotype"/>
          <w:sz w:val="24"/>
          <w:szCs w:val="24"/>
          <w:u w:val="single"/>
        </w:rPr>
        <w:t>M</w:t>
      </w:r>
      <w:r w:rsidRPr="002B238F">
        <w:rPr>
          <w:rFonts w:ascii="Palatino Linotype" w:hAnsi="Palatino Linotype"/>
          <w:sz w:val="24"/>
          <w:szCs w:val="24"/>
          <w:u w:val="single"/>
        </w:rPr>
        <w:t>odifications</w:t>
      </w:r>
    </w:p>
    <w:p w:rsidRPr="002B238F" w:rsidR="002C77FA" w:rsidP="5D73D4E8" w:rsidRDefault="002C77FA" w14:paraId="61780511" w14:textId="18711F05">
      <w:pPr>
        <w:pStyle w:val="ListParagraph"/>
        <w:numPr>
          <w:ilvl w:val="0"/>
          <w:numId w:val="2"/>
        </w:numPr>
        <w:rPr>
          <w:rFonts w:ascii="Palatino Linotype" w:hAnsi="Palatino Linotype" w:eastAsiaTheme="minorEastAsia"/>
          <w:sz w:val="24"/>
          <w:szCs w:val="24"/>
        </w:rPr>
      </w:pPr>
      <w:bookmarkStart w:name="_Hlk114225961" w:id="6"/>
      <w:r w:rsidRPr="002B238F">
        <w:rPr>
          <w:rFonts w:ascii="Palatino Linotype" w:hAnsi="Palatino Linotype"/>
          <w:sz w:val="24"/>
          <w:szCs w:val="24"/>
        </w:rPr>
        <w:t xml:space="preserve">Assessment of </w:t>
      </w:r>
      <w:r w:rsidRPr="002B238F" w:rsidR="00B206E6">
        <w:rPr>
          <w:rFonts w:ascii="Palatino Linotype" w:hAnsi="Palatino Linotype"/>
          <w:sz w:val="24"/>
          <w:szCs w:val="24"/>
        </w:rPr>
        <w:t>a</w:t>
      </w:r>
      <w:r w:rsidRPr="002B238F">
        <w:rPr>
          <w:rFonts w:ascii="Palatino Linotype" w:hAnsi="Palatino Linotype"/>
          <w:sz w:val="24"/>
          <w:szCs w:val="24"/>
        </w:rPr>
        <w:t xml:space="preserve">ppropriate DCFC </w:t>
      </w:r>
      <w:r w:rsidRPr="002B238F" w:rsidR="00B206E6">
        <w:rPr>
          <w:rFonts w:ascii="Palatino Linotype" w:hAnsi="Palatino Linotype"/>
          <w:sz w:val="24"/>
          <w:szCs w:val="24"/>
        </w:rPr>
        <w:t>p</w:t>
      </w:r>
      <w:r w:rsidRPr="002B238F">
        <w:rPr>
          <w:rFonts w:ascii="Palatino Linotype" w:hAnsi="Palatino Linotype"/>
          <w:sz w:val="24"/>
          <w:szCs w:val="24"/>
        </w:rPr>
        <w:t xml:space="preserve">ower </w:t>
      </w:r>
      <w:r w:rsidRPr="002B238F" w:rsidR="00B206E6">
        <w:rPr>
          <w:rFonts w:ascii="Palatino Linotype" w:hAnsi="Palatino Linotype"/>
          <w:sz w:val="24"/>
          <w:szCs w:val="24"/>
        </w:rPr>
        <w:t>l</w:t>
      </w:r>
      <w:r w:rsidRPr="002B238F">
        <w:rPr>
          <w:rFonts w:ascii="Palatino Linotype" w:hAnsi="Palatino Linotype"/>
          <w:sz w:val="24"/>
          <w:szCs w:val="24"/>
        </w:rPr>
        <w:t xml:space="preserve">evel </w:t>
      </w:r>
    </w:p>
    <w:p w:rsidRPr="002B238F" w:rsidR="002C77FA" w:rsidP="002C77FA" w:rsidRDefault="002C77FA" w14:paraId="54675955" w14:textId="77777777">
      <w:pPr>
        <w:spacing w:after="0" w:line="240" w:lineRule="auto"/>
        <w:rPr>
          <w:rFonts w:ascii="Palatino Linotype" w:hAnsi="Palatino Linotype" w:eastAsia="Times New Roman" w:cs="Times New Roman"/>
          <w:color w:val="0E101A"/>
          <w:sz w:val="24"/>
          <w:szCs w:val="24"/>
        </w:rPr>
      </w:pPr>
      <w:r w:rsidRPr="002B238F">
        <w:rPr>
          <w:rFonts w:ascii="Palatino Linotype" w:hAnsi="Palatino Linotype" w:eastAsia="Times New Roman" w:cs="Times New Roman"/>
          <w:color w:val="0E101A"/>
          <w:sz w:val="24"/>
          <w:szCs w:val="24"/>
        </w:rPr>
        <w:t>SCE will work with participants to understand their DCFC power level needs. SCE will assist customers with considering:</w:t>
      </w:r>
    </w:p>
    <w:p w:rsidRPr="002B238F" w:rsidR="002C77FA" w:rsidP="002C77FA" w:rsidRDefault="002C77FA" w14:paraId="1BDAEAE5" w14:textId="46BFCA86">
      <w:pPr>
        <w:numPr>
          <w:ilvl w:val="0"/>
          <w:numId w:val="26"/>
        </w:numPr>
        <w:spacing w:after="0" w:line="240" w:lineRule="auto"/>
        <w:rPr>
          <w:rFonts w:ascii="Palatino Linotype" w:hAnsi="Palatino Linotype" w:eastAsia="Times New Roman" w:cs="Times New Roman"/>
          <w:color w:val="0E101A"/>
          <w:sz w:val="24"/>
          <w:szCs w:val="24"/>
        </w:rPr>
      </w:pPr>
      <w:r w:rsidRPr="002B238F">
        <w:rPr>
          <w:rFonts w:ascii="Palatino Linotype" w:hAnsi="Palatino Linotype" w:eastAsia="Times New Roman" w:cs="Times New Roman"/>
          <w:color w:val="0E101A"/>
          <w:sz w:val="24"/>
          <w:szCs w:val="24"/>
        </w:rPr>
        <w:t xml:space="preserve">Customer’s charging </w:t>
      </w:r>
      <w:proofErr w:type="gramStart"/>
      <w:r w:rsidRPr="002B238F">
        <w:rPr>
          <w:rFonts w:ascii="Palatino Linotype" w:hAnsi="Palatino Linotype" w:eastAsia="Times New Roman" w:cs="Times New Roman"/>
          <w:color w:val="0E101A"/>
          <w:sz w:val="24"/>
          <w:szCs w:val="24"/>
        </w:rPr>
        <w:t>objectives</w:t>
      </w:r>
      <w:r w:rsidRPr="002B238F" w:rsidR="00E95D8A">
        <w:rPr>
          <w:rFonts w:ascii="Palatino Linotype" w:hAnsi="Palatino Linotype" w:eastAsia="Times New Roman" w:cs="Times New Roman"/>
          <w:color w:val="0E101A"/>
          <w:sz w:val="24"/>
          <w:szCs w:val="24"/>
        </w:rPr>
        <w:t>;</w:t>
      </w:r>
      <w:proofErr w:type="gramEnd"/>
    </w:p>
    <w:p w:rsidRPr="002B238F" w:rsidR="002C77FA" w:rsidP="002C77FA" w:rsidRDefault="002C77FA" w14:paraId="387224F0" w14:textId="46C96101">
      <w:pPr>
        <w:numPr>
          <w:ilvl w:val="0"/>
          <w:numId w:val="26"/>
        </w:numPr>
        <w:spacing w:after="0" w:line="240" w:lineRule="auto"/>
        <w:rPr>
          <w:rFonts w:ascii="Palatino Linotype" w:hAnsi="Palatino Linotype" w:eastAsia="Times New Roman" w:cs="Times New Roman"/>
          <w:color w:val="0E101A"/>
          <w:sz w:val="24"/>
          <w:szCs w:val="24"/>
        </w:rPr>
      </w:pPr>
      <w:r w:rsidRPr="002B238F">
        <w:rPr>
          <w:rFonts w:ascii="Palatino Linotype" w:hAnsi="Palatino Linotype" w:eastAsia="Times New Roman" w:cs="Times New Roman"/>
          <w:color w:val="0E101A"/>
          <w:sz w:val="24"/>
          <w:szCs w:val="24"/>
        </w:rPr>
        <w:t xml:space="preserve">TOU rate fluctuations and demand charge </w:t>
      </w:r>
      <w:proofErr w:type="gramStart"/>
      <w:r w:rsidRPr="002B238F">
        <w:rPr>
          <w:rFonts w:ascii="Palatino Linotype" w:hAnsi="Palatino Linotype" w:eastAsia="Times New Roman" w:cs="Times New Roman"/>
          <w:color w:val="0E101A"/>
          <w:sz w:val="24"/>
          <w:szCs w:val="24"/>
        </w:rPr>
        <w:t>impacts</w:t>
      </w:r>
      <w:r w:rsidRPr="002B238F" w:rsidR="00E95D8A">
        <w:rPr>
          <w:rFonts w:ascii="Palatino Linotype" w:hAnsi="Palatino Linotype" w:eastAsia="Times New Roman" w:cs="Times New Roman"/>
          <w:color w:val="0E101A"/>
          <w:sz w:val="24"/>
          <w:szCs w:val="24"/>
        </w:rPr>
        <w:t>;</w:t>
      </w:r>
      <w:proofErr w:type="gramEnd"/>
    </w:p>
    <w:p w:rsidRPr="002B238F" w:rsidR="002C77FA" w:rsidP="002C77FA" w:rsidRDefault="002C77FA" w14:paraId="0DFFEB8C" w14:textId="369B338A">
      <w:pPr>
        <w:numPr>
          <w:ilvl w:val="0"/>
          <w:numId w:val="26"/>
        </w:numPr>
        <w:spacing w:after="0" w:line="240" w:lineRule="auto"/>
        <w:rPr>
          <w:rFonts w:ascii="Palatino Linotype" w:hAnsi="Palatino Linotype" w:eastAsia="Times New Roman" w:cs="Times New Roman"/>
          <w:color w:val="0E101A"/>
          <w:sz w:val="24"/>
          <w:szCs w:val="24"/>
        </w:rPr>
      </w:pPr>
      <w:r w:rsidRPr="002B238F">
        <w:rPr>
          <w:rFonts w:ascii="Palatino Linotype" w:hAnsi="Palatino Linotype" w:eastAsia="Times New Roman" w:cs="Times New Roman"/>
          <w:color w:val="0E101A"/>
          <w:sz w:val="24"/>
          <w:szCs w:val="24"/>
        </w:rPr>
        <w:t xml:space="preserve">Manufacturer </w:t>
      </w:r>
      <w:proofErr w:type="gramStart"/>
      <w:r w:rsidRPr="002B238F">
        <w:rPr>
          <w:rFonts w:ascii="Palatino Linotype" w:hAnsi="Palatino Linotype" w:eastAsia="Times New Roman" w:cs="Times New Roman"/>
          <w:color w:val="0E101A"/>
          <w:sz w:val="24"/>
          <w:szCs w:val="24"/>
        </w:rPr>
        <w:t>discounts</w:t>
      </w:r>
      <w:r w:rsidRPr="002B238F" w:rsidR="00E95D8A">
        <w:rPr>
          <w:rFonts w:ascii="Palatino Linotype" w:hAnsi="Palatino Linotype" w:eastAsia="Times New Roman" w:cs="Times New Roman"/>
          <w:color w:val="0E101A"/>
          <w:sz w:val="24"/>
          <w:szCs w:val="24"/>
        </w:rPr>
        <w:t>;</w:t>
      </w:r>
      <w:proofErr w:type="gramEnd"/>
    </w:p>
    <w:p w:rsidRPr="002B238F" w:rsidR="002C77FA" w:rsidP="002C77FA" w:rsidRDefault="002C77FA" w14:paraId="2DFC23F7" w14:textId="7B14F63E">
      <w:pPr>
        <w:numPr>
          <w:ilvl w:val="0"/>
          <w:numId w:val="26"/>
        </w:numPr>
        <w:spacing w:after="0" w:line="240" w:lineRule="auto"/>
        <w:rPr>
          <w:rFonts w:ascii="Palatino Linotype" w:hAnsi="Palatino Linotype" w:eastAsia="Times New Roman" w:cs="Times New Roman"/>
          <w:color w:val="0E101A"/>
          <w:sz w:val="24"/>
          <w:szCs w:val="24"/>
        </w:rPr>
      </w:pPr>
      <w:r w:rsidRPr="002B238F">
        <w:rPr>
          <w:rFonts w:ascii="Palatino Linotype" w:hAnsi="Palatino Linotype" w:eastAsia="Times New Roman" w:cs="Times New Roman"/>
          <w:color w:val="0E101A"/>
          <w:sz w:val="24"/>
          <w:szCs w:val="24"/>
        </w:rPr>
        <w:lastRenderedPageBreak/>
        <w:t>DC</w:t>
      </w:r>
      <w:r w:rsidRPr="002B238F" w:rsidR="00221423">
        <w:rPr>
          <w:rFonts w:ascii="Palatino Linotype" w:hAnsi="Palatino Linotype" w:eastAsia="Times New Roman" w:cs="Times New Roman"/>
          <w:color w:val="0E101A"/>
          <w:sz w:val="24"/>
          <w:szCs w:val="24"/>
        </w:rPr>
        <w:t>FC</w:t>
      </w:r>
      <w:r w:rsidRPr="002B238F">
        <w:rPr>
          <w:rFonts w:ascii="Palatino Linotype" w:hAnsi="Palatino Linotype" w:eastAsia="Times New Roman" w:cs="Times New Roman"/>
          <w:color w:val="0E101A"/>
          <w:sz w:val="24"/>
          <w:szCs w:val="24"/>
        </w:rPr>
        <w:t xml:space="preserve"> equipment </w:t>
      </w:r>
      <w:proofErr w:type="gramStart"/>
      <w:r w:rsidRPr="002B238F">
        <w:rPr>
          <w:rFonts w:ascii="Palatino Linotype" w:hAnsi="Palatino Linotype" w:eastAsia="Times New Roman" w:cs="Times New Roman"/>
          <w:color w:val="0E101A"/>
          <w:sz w:val="24"/>
          <w:szCs w:val="24"/>
        </w:rPr>
        <w:t>costs</w:t>
      </w:r>
      <w:r w:rsidRPr="002B238F" w:rsidR="00E95D8A">
        <w:rPr>
          <w:rFonts w:ascii="Palatino Linotype" w:hAnsi="Palatino Linotype" w:eastAsia="Times New Roman" w:cs="Times New Roman"/>
          <w:color w:val="0E101A"/>
          <w:sz w:val="24"/>
          <w:szCs w:val="24"/>
        </w:rPr>
        <w:t>;</w:t>
      </w:r>
      <w:proofErr w:type="gramEnd"/>
    </w:p>
    <w:p w:rsidRPr="002B238F" w:rsidR="002C77FA" w:rsidP="002C77FA" w:rsidRDefault="002C77FA" w14:paraId="3CFC86DC" w14:textId="77777777">
      <w:pPr>
        <w:numPr>
          <w:ilvl w:val="0"/>
          <w:numId w:val="26"/>
        </w:numPr>
        <w:spacing w:after="0" w:line="240" w:lineRule="auto"/>
        <w:rPr>
          <w:rFonts w:ascii="Palatino Linotype" w:hAnsi="Palatino Linotype" w:eastAsia="Times New Roman" w:cs="Times New Roman"/>
          <w:color w:val="0E101A"/>
          <w:sz w:val="24"/>
          <w:szCs w:val="24"/>
        </w:rPr>
      </w:pPr>
      <w:r w:rsidRPr="002B238F">
        <w:rPr>
          <w:rFonts w:ascii="Palatino Linotype" w:hAnsi="Palatino Linotype" w:eastAsia="Times New Roman" w:cs="Times New Roman"/>
          <w:color w:val="0E101A"/>
          <w:sz w:val="24"/>
          <w:szCs w:val="24"/>
        </w:rPr>
        <w:t>The inability of some commercially available light-duty EVs to accept higher power charging.</w:t>
      </w:r>
    </w:p>
    <w:p w:rsidRPr="002B238F" w:rsidR="002C77FA" w:rsidP="002C77FA" w:rsidRDefault="002C77FA" w14:paraId="3ECE6E61" w14:textId="77777777">
      <w:pPr>
        <w:spacing w:after="0" w:line="240" w:lineRule="auto"/>
        <w:rPr>
          <w:rFonts w:ascii="Palatino Linotype" w:hAnsi="Palatino Linotype" w:eastAsia="Times New Roman" w:cs="Times New Roman"/>
          <w:color w:val="0E101A"/>
          <w:sz w:val="24"/>
          <w:szCs w:val="24"/>
        </w:rPr>
      </w:pPr>
    </w:p>
    <w:p w:rsidRPr="002B238F" w:rsidR="002C77FA" w:rsidP="002C77FA" w:rsidRDefault="002C77FA" w14:paraId="106D4B85" w14:textId="5AFB2B89">
      <w:pPr>
        <w:spacing w:after="0" w:line="240" w:lineRule="auto"/>
        <w:rPr>
          <w:rFonts w:ascii="Palatino Linotype" w:hAnsi="Palatino Linotype" w:eastAsia="Times New Roman" w:cs="Times New Roman"/>
          <w:sz w:val="24"/>
          <w:szCs w:val="24"/>
        </w:rPr>
      </w:pPr>
      <w:bookmarkStart w:name="_Hlk114584610" w:id="7"/>
      <w:r w:rsidRPr="002B238F">
        <w:rPr>
          <w:rFonts w:ascii="Palatino Linotype" w:hAnsi="Palatino Linotype" w:eastAsia="Times New Roman" w:cs="Times New Roman"/>
          <w:color w:val="0E101A"/>
          <w:sz w:val="24"/>
          <w:szCs w:val="24"/>
        </w:rPr>
        <w:t xml:space="preserve">SCE </w:t>
      </w:r>
      <w:r w:rsidRPr="002B238F" w:rsidR="46DEE2F4">
        <w:rPr>
          <w:rFonts w:ascii="Palatino Linotype" w:hAnsi="Palatino Linotype" w:eastAsia="Times New Roman" w:cs="Times New Roman"/>
          <w:color w:val="0E101A"/>
          <w:sz w:val="24"/>
          <w:szCs w:val="24"/>
        </w:rPr>
        <w:t xml:space="preserve">proposes to </w:t>
      </w:r>
      <w:r w:rsidRPr="002B238F">
        <w:rPr>
          <w:rFonts w:ascii="Palatino Linotype" w:hAnsi="Palatino Linotype" w:eastAsia="Times New Roman" w:cs="Times New Roman"/>
          <w:color w:val="0E101A"/>
          <w:sz w:val="24"/>
          <w:szCs w:val="24"/>
        </w:rPr>
        <w:t xml:space="preserve">inform participants of the pros and cons of lower and higher DCFC power level charging stations and allow participants to work with SCE subject matter experts to assess appropriate power levels for specific site needs. </w:t>
      </w:r>
      <w:bookmarkEnd w:id="7"/>
      <w:r w:rsidRPr="002B238F">
        <w:rPr>
          <w:rFonts w:ascii="Palatino Linotype" w:hAnsi="Palatino Linotype" w:eastAsia="Times New Roman" w:cs="Times New Roman"/>
          <w:color w:val="0E101A"/>
          <w:sz w:val="24"/>
          <w:szCs w:val="24"/>
        </w:rPr>
        <w:t>SCE will offer a single port level rebate for DCFC EVSE and perform the annual evaluation with its PAC. Customer feedback, participation rates, and remaining program funds will determine proposed rebate level adjustments. </w:t>
      </w:r>
    </w:p>
    <w:bookmarkEnd w:id="6"/>
    <w:p w:rsidRPr="002B238F" w:rsidR="002C77FA" w:rsidP="002C77FA" w:rsidRDefault="002C77FA" w14:paraId="4BF6DD58" w14:textId="77777777">
      <w:pPr>
        <w:rPr>
          <w:rFonts w:ascii="Palatino Linotype" w:hAnsi="Palatino Linotype"/>
          <w:i/>
          <w:iCs/>
          <w:sz w:val="24"/>
          <w:szCs w:val="24"/>
        </w:rPr>
      </w:pPr>
    </w:p>
    <w:p w:rsidRPr="002B238F" w:rsidR="002C77FA" w:rsidP="5D73D4E8" w:rsidRDefault="002C77FA" w14:paraId="5896635E" w14:textId="74FCC0B1">
      <w:pPr>
        <w:pStyle w:val="ListParagraph"/>
        <w:numPr>
          <w:ilvl w:val="0"/>
          <w:numId w:val="2"/>
        </w:numPr>
        <w:rPr>
          <w:rFonts w:ascii="Palatino Linotype" w:hAnsi="Palatino Linotype" w:eastAsiaTheme="minorEastAsia"/>
          <w:sz w:val="24"/>
          <w:szCs w:val="24"/>
        </w:rPr>
      </w:pPr>
      <w:r w:rsidRPr="002B238F">
        <w:rPr>
          <w:rFonts w:ascii="Palatino Linotype" w:hAnsi="Palatino Linotype"/>
          <w:sz w:val="24"/>
          <w:szCs w:val="24"/>
        </w:rPr>
        <w:t>EVSE base cost methodology</w:t>
      </w:r>
    </w:p>
    <w:p w:rsidRPr="002B238F" w:rsidR="00080127" w:rsidP="00080127" w:rsidRDefault="00881B50" w14:paraId="587ADF6E" w14:textId="56430E9B">
      <w:pPr>
        <w:rPr>
          <w:rFonts w:ascii="Palatino Linotype" w:hAnsi="Palatino Linotype"/>
          <w:sz w:val="24"/>
          <w:szCs w:val="24"/>
        </w:rPr>
      </w:pPr>
      <w:bookmarkStart w:name="_Hlk114584627" w:id="8"/>
      <w:r w:rsidRPr="002B238F">
        <w:rPr>
          <w:rFonts w:ascii="Palatino Linotype" w:hAnsi="Palatino Linotype"/>
          <w:sz w:val="24"/>
          <w:szCs w:val="24"/>
        </w:rPr>
        <w:t>Within the supplemental AL, and c</w:t>
      </w:r>
      <w:r w:rsidRPr="002B238F" w:rsidR="00080127">
        <w:rPr>
          <w:rFonts w:ascii="Palatino Linotype" w:hAnsi="Palatino Linotype"/>
          <w:sz w:val="24"/>
          <w:szCs w:val="24"/>
        </w:rPr>
        <w:t xml:space="preserve">onsistent with the methodology approved for L1 and L2 chargers in AL 4413-E, </w:t>
      </w:r>
      <w:r w:rsidRPr="002B238F" w:rsidR="0047763A">
        <w:rPr>
          <w:rFonts w:ascii="Palatino Linotype" w:hAnsi="Palatino Linotype"/>
          <w:sz w:val="24"/>
          <w:szCs w:val="24"/>
        </w:rPr>
        <w:t xml:space="preserve">SCE </w:t>
      </w:r>
      <w:r w:rsidRPr="002B238F" w:rsidR="00080127">
        <w:rPr>
          <w:rFonts w:ascii="Palatino Linotype" w:hAnsi="Palatino Linotype"/>
          <w:sz w:val="24"/>
          <w:szCs w:val="24"/>
        </w:rPr>
        <w:t>proposes to use the</w:t>
      </w:r>
      <w:r w:rsidRPr="002B238F" w:rsidR="0047763A">
        <w:rPr>
          <w:rFonts w:ascii="Palatino Linotype" w:hAnsi="Palatino Linotype"/>
          <w:sz w:val="24"/>
          <w:szCs w:val="24"/>
        </w:rPr>
        <w:t xml:space="preserve"> median price </w:t>
      </w:r>
      <w:r w:rsidRPr="002B238F" w:rsidR="00080127">
        <w:rPr>
          <w:rFonts w:ascii="Palatino Linotype" w:hAnsi="Palatino Linotype"/>
          <w:sz w:val="24"/>
          <w:szCs w:val="24"/>
        </w:rPr>
        <w:t>approach</w:t>
      </w:r>
      <w:r w:rsidRPr="002B238F" w:rsidR="0047763A">
        <w:rPr>
          <w:rFonts w:ascii="Palatino Linotype" w:hAnsi="Palatino Linotype"/>
          <w:sz w:val="24"/>
          <w:szCs w:val="24"/>
        </w:rPr>
        <w:t xml:space="preserve"> to determine the base cost.</w:t>
      </w:r>
      <w:r w:rsidRPr="002B238F" w:rsidDel="0047763A" w:rsidR="0047763A">
        <w:rPr>
          <w:rFonts w:ascii="Palatino Linotype" w:hAnsi="Palatino Linotype"/>
          <w:sz w:val="24"/>
          <w:szCs w:val="24"/>
        </w:rPr>
        <w:t xml:space="preserve"> </w:t>
      </w:r>
      <w:bookmarkEnd w:id="8"/>
      <w:r w:rsidRPr="002B238F" w:rsidR="002C77FA">
        <w:rPr>
          <w:rFonts w:ascii="Palatino Linotype" w:hAnsi="Palatino Linotype"/>
          <w:sz w:val="24"/>
          <w:szCs w:val="24"/>
        </w:rPr>
        <w:t>SCE states the median price point</w:t>
      </w:r>
      <w:r w:rsidRPr="002B238F">
        <w:rPr>
          <w:rFonts w:ascii="Palatino Linotype" w:hAnsi="Palatino Linotype"/>
          <w:sz w:val="24"/>
          <w:szCs w:val="24"/>
        </w:rPr>
        <w:t xml:space="preserve"> </w:t>
      </w:r>
      <w:r w:rsidRPr="002B238F" w:rsidR="00453C1F">
        <w:rPr>
          <w:rFonts w:ascii="Palatino Linotype" w:hAnsi="Palatino Linotype"/>
          <w:sz w:val="24"/>
          <w:szCs w:val="24"/>
        </w:rPr>
        <w:t>within each power level to establish the base cast. SCE argues that this approach</w:t>
      </w:r>
      <w:r w:rsidRPr="002B238F" w:rsidR="002C77FA">
        <w:rPr>
          <w:rFonts w:ascii="Palatino Linotype" w:hAnsi="Palatino Linotype"/>
          <w:sz w:val="24"/>
          <w:szCs w:val="24"/>
        </w:rPr>
        <w:t xml:space="preserve"> will better account for new enhancements, different features that enter the marketplace, and unit pricing adjustments. </w:t>
      </w:r>
      <w:r w:rsidRPr="002B238F" w:rsidR="00080127">
        <w:rPr>
          <w:rFonts w:ascii="Palatino Linotype" w:hAnsi="Palatino Linotype"/>
          <w:sz w:val="24"/>
          <w:szCs w:val="24"/>
        </w:rPr>
        <w:t xml:space="preserve">Based on the median price approach, SCE proposes to set the DCFC EVSE base cost at $40,200. </w:t>
      </w:r>
    </w:p>
    <w:p w:rsidRPr="002B238F" w:rsidR="002C77FA" w:rsidP="002C77FA" w:rsidRDefault="002C77FA" w14:paraId="5CDB2164" w14:textId="77777777">
      <w:pPr>
        <w:rPr>
          <w:rFonts w:ascii="Palatino Linotype" w:hAnsi="Palatino Linotype"/>
          <w:sz w:val="24"/>
          <w:szCs w:val="24"/>
          <w:highlight w:val="yellow"/>
        </w:rPr>
      </w:pPr>
    </w:p>
    <w:p w:rsidRPr="002B238F" w:rsidR="002C77FA" w:rsidP="5D73D4E8" w:rsidRDefault="00315902" w14:paraId="5D9CE1ED" w14:textId="28E0327F">
      <w:pPr>
        <w:pStyle w:val="ListParagraph"/>
        <w:numPr>
          <w:ilvl w:val="0"/>
          <w:numId w:val="2"/>
        </w:numPr>
        <w:rPr>
          <w:rFonts w:ascii="Palatino Linotype" w:hAnsi="Palatino Linotype" w:eastAsiaTheme="minorEastAsia"/>
          <w:sz w:val="24"/>
          <w:szCs w:val="24"/>
        </w:rPr>
      </w:pPr>
      <w:bookmarkStart w:name="_Hlk114226949" w:id="9"/>
      <w:r w:rsidRPr="002B238F">
        <w:rPr>
          <w:rFonts w:ascii="Palatino Linotype" w:hAnsi="Palatino Linotype"/>
          <w:sz w:val="24"/>
          <w:szCs w:val="24"/>
        </w:rPr>
        <w:t>R</w:t>
      </w:r>
      <w:r w:rsidRPr="002B238F" w:rsidR="002C77FA">
        <w:rPr>
          <w:rFonts w:ascii="Palatino Linotype" w:hAnsi="Palatino Linotype"/>
          <w:sz w:val="24"/>
          <w:szCs w:val="24"/>
        </w:rPr>
        <w:t xml:space="preserve">ebate amounts </w:t>
      </w:r>
    </w:p>
    <w:p w:rsidRPr="002B238F" w:rsidR="002C77FA" w:rsidP="002C77FA" w:rsidRDefault="002C77FA" w14:paraId="669430D0" w14:textId="030D23DB">
      <w:pPr>
        <w:rPr>
          <w:rFonts w:ascii="Palatino Linotype" w:hAnsi="Palatino Linotype"/>
          <w:sz w:val="24"/>
          <w:szCs w:val="24"/>
        </w:rPr>
      </w:pPr>
      <w:r w:rsidRPr="002B238F">
        <w:rPr>
          <w:rFonts w:ascii="Palatino Linotype" w:hAnsi="Palatino Linotype"/>
          <w:sz w:val="24"/>
          <w:szCs w:val="24"/>
        </w:rPr>
        <w:t xml:space="preserve">SCE </w:t>
      </w:r>
      <w:r w:rsidRPr="002B238F" w:rsidR="00315902">
        <w:rPr>
          <w:rFonts w:ascii="Palatino Linotype" w:hAnsi="Palatino Linotype"/>
          <w:sz w:val="24"/>
          <w:szCs w:val="24"/>
        </w:rPr>
        <w:t>proposes</w:t>
      </w:r>
      <w:r w:rsidRPr="002B238F" w:rsidR="004A0707">
        <w:rPr>
          <w:rFonts w:ascii="Palatino Linotype" w:hAnsi="Palatino Linotype"/>
          <w:sz w:val="24"/>
          <w:szCs w:val="24"/>
        </w:rPr>
        <w:t xml:space="preserve">, consistent with the </w:t>
      </w:r>
      <w:r w:rsidRPr="002B238F" w:rsidR="00AD1AC6">
        <w:rPr>
          <w:rFonts w:ascii="Palatino Linotype" w:hAnsi="Palatino Linotype"/>
          <w:sz w:val="24"/>
          <w:szCs w:val="24"/>
        </w:rPr>
        <w:t>D</w:t>
      </w:r>
      <w:r w:rsidRPr="002B238F" w:rsidR="004A0707">
        <w:rPr>
          <w:rFonts w:ascii="Palatino Linotype" w:hAnsi="Palatino Linotype"/>
          <w:sz w:val="24"/>
          <w:szCs w:val="24"/>
        </w:rPr>
        <w:t>ecision, that the</w:t>
      </w:r>
      <w:r w:rsidRPr="002B238F" w:rsidR="00315902">
        <w:rPr>
          <w:rFonts w:ascii="Palatino Linotype" w:hAnsi="Palatino Linotype"/>
          <w:sz w:val="24"/>
          <w:szCs w:val="24"/>
        </w:rPr>
        <w:t xml:space="preserve"> DCFC rebates follow</w:t>
      </w:r>
      <w:r w:rsidRPr="002B238F">
        <w:rPr>
          <w:rFonts w:ascii="Palatino Linotype" w:hAnsi="Palatino Linotype"/>
          <w:sz w:val="24"/>
          <w:szCs w:val="24"/>
        </w:rPr>
        <w:t xml:space="preserve"> the same rebate structure as L2 ports, with a 100 percent rebate for DACs, 50 percent rebate for MUDs, and 25 percent rebate for all other sectors. </w:t>
      </w:r>
    </w:p>
    <w:p w:rsidRPr="002B238F" w:rsidR="00315902" w:rsidP="002C77FA" w:rsidRDefault="00315902" w14:paraId="5C4A5FD7" w14:textId="4E5AD4AA">
      <w:pPr>
        <w:rPr>
          <w:rFonts w:ascii="Palatino Linotype" w:hAnsi="Palatino Linotype"/>
          <w:i/>
          <w:iCs/>
          <w:sz w:val="24"/>
          <w:szCs w:val="24"/>
        </w:rPr>
      </w:pPr>
      <w:r w:rsidRPr="002B238F">
        <w:rPr>
          <w:rFonts w:ascii="Palatino Linotype" w:hAnsi="Palatino Linotype"/>
          <w:i/>
          <w:iCs/>
          <w:sz w:val="24"/>
          <w:szCs w:val="24"/>
        </w:rPr>
        <w:t xml:space="preserve">Table </w:t>
      </w:r>
      <w:r w:rsidRPr="002B238F" w:rsidR="00A073EE">
        <w:rPr>
          <w:rFonts w:ascii="Palatino Linotype" w:hAnsi="Palatino Linotype"/>
          <w:i/>
          <w:iCs/>
          <w:sz w:val="24"/>
          <w:szCs w:val="24"/>
        </w:rPr>
        <w:t>2:</w:t>
      </w:r>
      <w:r w:rsidRPr="002B238F">
        <w:rPr>
          <w:rFonts w:ascii="Palatino Linotype" w:hAnsi="Palatino Linotype"/>
          <w:i/>
          <w:iCs/>
          <w:sz w:val="24"/>
          <w:szCs w:val="24"/>
        </w:rPr>
        <w:t xml:space="preserve"> Charging stations Rebate </w:t>
      </w:r>
      <w:r w:rsidRPr="002B238F" w:rsidR="00A073EE">
        <w:rPr>
          <w:rFonts w:ascii="Palatino Linotype" w:hAnsi="Palatino Linotype"/>
          <w:i/>
          <w:iCs/>
          <w:sz w:val="24"/>
          <w:szCs w:val="24"/>
        </w:rPr>
        <w:t>Levels</w:t>
      </w:r>
    </w:p>
    <w:tbl>
      <w:tblPr>
        <w:tblStyle w:val="TableGrid"/>
        <w:tblW w:w="0" w:type="auto"/>
        <w:tblLook w:val="04A0" w:firstRow="1" w:lastRow="0" w:firstColumn="1" w:lastColumn="0" w:noHBand="0" w:noVBand="1"/>
      </w:tblPr>
      <w:tblGrid>
        <w:gridCol w:w="2337"/>
        <w:gridCol w:w="2337"/>
        <w:gridCol w:w="2338"/>
        <w:gridCol w:w="2338"/>
      </w:tblGrid>
      <w:tr w:rsidRPr="002B238F" w:rsidR="00315902" w:rsidTr="00315902" w14:paraId="53FB75E9" w14:textId="77777777">
        <w:tc>
          <w:tcPr>
            <w:tcW w:w="2337" w:type="dxa"/>
          </w:tcPr>
          <w:p w:rsidRPr="002B238F" w:rsidR="00315902" w:rsidP="002C77FA" w:rsidRDefault="00315902" w14:paraId="0A61BB40" w14:textId="0AEBF9A7">
            <w:pPr>
              <w:rPr>
                <w:rFonts w:ascii="Palatino Linotype" w:hAnsi="Palatino Linotype"/>
                <w:sz w:val="24"/>
                <w:szCs w:val="24"/>
              </w:rPr>
            </w:pPr>
            <w:r w:rsidRPr="002B238F">
              <w:rPr>
                <w:rFonts w:ascii="Palatino Linotype" w:hAnsi="Palatino Linotype"/>
                <w:sz w:val="24"/>
                <w:szCs w:val="24"/>
              </w:rPr>
              <w:t>Power level</w:t>
            </w:r>
          </w:p>
        </w:tc>
        <w:tc>
          <w:tcPr>
            <w:tcW w:w="2337" w:type="dxa"/>
          </w:tcPr>
          <w:p w:rsidRPr="002B238F" w:rsidR="00315902" w:rsidP="00CA2562" w:rsidRDefault="00315902" w14:paraId="0D2A1073" w14:textId="7F328FC8">
            <w:pPr>
              <w:jc w:val="center"/>
              <w:rPr>
                <w:rFonts w:ascii="Palatino Linotype" w:hAnsi="Palatino Linotype"/>
                <w:sz w:val="24"/>
                <w:szCs w:val="24"/>
              </w:rPr>
            </w:pPr>
            <w:r w:rsidRPr="002B238F">
              <w:rPr>
                <w:rFonts w:ascii="Palatino Linotype" w:hAnsi="Palatino Linotype"/>
                <w:sz w:val="24"/>
                <w:szCs w:val="24"/>
              </w:rPr>
              <w:t>DAC</w:t>
            </w:r>
          </w:p>
          <w:p w:rsidRPr="002B238F" w:rsidR="00315902" w:rsidP="00CA2562" w:rsidRDefault="00315902" w14:paraId="62592B90" w14:textId="19B69976">
            <w:pPr>
              <w:jc w:val="center"/>
              <w:rPr>
                <w:rFonts w:ascii="Palatino Linotype" w:hAnsi="Palatino Linotype"/>
                <w:sz w:val="24"/>
                <w:szCs w:val="24"/>
              </w:rPr>
            </w:pPr>
            <w:r w:rsidRPr="002B238F">
              <w:rPr>
                <w:rFonts w:ascii="Palatino Linotype" w:hAnsi="Palatino Linotype"/>
                <w:sz w:val="24"/>
                <w:szCs w:val="24"/>
              </w:rPr>
              <w:t>(</w:t>
            </w:r>
            <w:proofErr w:type="gramStart"/>
            <w:r w:rsidRPr="002B238F">
              <w:rPr>
                <w:rFonts w:ascii="Palatino Linotype" w:hAnsi="Palatino Linotype"/>
                <w:sz w:val="24"/>
                <w:szCs w:val="24"/>
              </w:rPr>
              <w:t>excluding</w:t>
            </w:r>
            <w:proofErr w:type="gramEnd"/>
            <w:r w:rsidRPr="002B238F">
              <w:rPr>
                <w:rFonts w:ascii="Palatino Linotype" w:hAnsi="Palatino Linotype"/>
                <w:sz w:val="24"/>
                <w:szCs w:val="24"/>
              </w:rPr>
              <w:t xml:space="preserve"> Fortune 1000)</w:t>
            </w:r>
          </w:p>
        </w:tc>
        <w:tc>
          <w:tcPr>
            <w:tcW w:w="2338" w:type="dxa"/>
          </w:tcPr>
          <w:p w:rsidRPr="002B238F" w:rsidR="00315902" w:rsidP="00CA2562" w:rsidRDefault="00315902" w14:paraId="38857BF8" w14:textId="51C2E50A">
            <w:pPr>
              <w:jc w:val="center"/>
              <w:rPr>
                <w:rFonts w:ascii="Palatino Linotype" w:hAnsi="Palatino Linotype"/>
                <w:sz w:val="24"/>
                <w:szCs w:val="24"/>
              </w:rPr>
            </w:pPr>
            <w:r w:rsidRPr="002B238F">
              <w:rPr>
                <w:rFonts w:ascii="Palatino Linotype" w:hAnsi="Palatino Linotype"/>
                <w:sz w:val="24"/>
                <w:szCs w:val="24"/>
              </w:rPr>
              <w:t>Multi-Family</w:t>
            </w:r>
          </w:p>
          <w:p w:rsidRPr="002B238F" w:rsidR="00315902" w:rsidP="00CA2562" w:rsidRDefault="00315902" w14:paraId="11E91EB0" w14:textId="675810B2">
            <w:pPr>
              <w:jc w:val="center"/>
              <w:rPr>
                <w:rFonts w:ascii="Palatino Linotype" w:hAnsi="Palatino Linotype"/>
                <w:sz w:val="24"/>
                <w:szCs w:val="24"/>
              </w:rPr>
            </w:pPr>
            <w:r w:rsidRPr="002B238F">
              <w:rPr>
                <w:rFonts w:ascii="Palatino Linotype" w:hAnsi="Palatino Linotype"/>
                <w:sz w:val="24"/>
                <w:szCs w:val="24"/>
              </w:rPr>
              <w:t>(non-DAC)</w:t>
            </w:r>
          </w:p>
        </w:tc>
        <w:tc>
          <w:tcPr>
            <w:tcW w:w="2338" w:type="dxa"/>
          </w:tcPr>
          <w:p w:rsidRPr="002B238F" w:rsidR="00315902" w:rsidP="00CA2562" w:rsidRDefault="00315902" w14:paraId="13015325" w14:textId="3CD9945D">
            <w:pPr>
              <w:jc w:val="center"/>
              <w:rPr>
                <w:rFonts w:ascii="Palatino Linotype" w:hAnsi="Palatino Linotype"/>
                <w:sz w:val="24"/>
                <w:szCs w:val="24"/>
              </w:rPr>
            </w:pPr>
            <w:r w:rsidRPr="002B238F">
              <w:rPr>
                <w:rFonts w:ascii="Palatino Linotype" w:hAnsi="Palatino Linotype"/>
                <w:sz w:val="24"/>
                <w:szCs w:val="24"/>
              </w:rPr>
              <w:t>Others</w:t>
            </w:r>
          </w:p>
          <w:p w:rsidRPr="002B238F" w:rsidR="00315902" w:rsidP="00CA2562" w:rsidRDefault="00315902" w14:paraId="374B0494" w14:textId="3139A7EF">
            <w:pPr>
              <w:jc w:val="center"/>
              <w:rPr>
                <w:rFonts w:ascii="Palatino Linotype" w:hAnsi="Palatino Linotype"/>
                <w:sz w:val="24"/>
                <w:szCs w:val="24"/>
              </w:rPr>
            </w:pPr>
            <w:r w:rsidRPr="002B238F">
              <w:rPr>
                <w:rFonts w:ascii="Palatino Linotype" w:hAnsi="Palatino Linotype"/>
                <w:sz w:val="24"/>
                <w:szCs w:val="24"/>
              </w:rPr>
              <w:t>(</w:t>
            </w:r>
            <w:proofErr w:type="gramStart"/>
            <w:r w:rsidRPr="002B238F">
              <w:rPr>
                <w:rFonts w:ascii="Palatino Linotype" w:hAnsi="Palatino Linotype"/>
                <w:sz w:val="24"/>
                <w:szCs w:val="24"/>
              </w:rPr>
              <w:t>including</w:t>
            </w:r>
            <w:proofErr w:type="gramEnd"/>
            <w:r w:rsidRPr="002B238F">
              <w:rPr>
                <w:rFonts w:ascii="Palatino Linotype" w:hAnsi="Palatino Linotype"/>
                <w:sz w:val="24"/>
                <w:szCs w:val="24"/>
              </w:rPr>
              <w:t xml:space="preserve"> Fortune 1000)</w:t>
            </w:r>
          </w:p>
        </w:tc>
      </w:tr>
      <w:tr w:rsidRPr="002B238F" w:rsidR="00315902" w:rsidTr="00315902" w14:paraId="0F72522D" w14:textId="77777777">
        <w:tc>
          <w:tcPr>
            <w:tcW w:w="2337" w:type="dxa"/>
          </w:tcPr>
          <w:p w:rsidRPr="002B238F" w:rsidR="00315902" w:rsidP="002C77FA" w:rsidRDefault="00315902" w14:paraId="69013F2A" w14:textId="7AEFFAC8">
            <w:pPr>
              <w:rPr>
                <w:rFonts w:ascii="Palatino Linotype" w:hAnsi="Palatino Linotype"/>
                <w:sz w:val="24"/>
                <w:szCs w:val="24"/>
              </w:rPr>
            </w:pPr>
            <w:r w:rsidRPr="002B238F">
              <w:rPr>
                <w:rFonts w:ascii="Palatino Linotype" w:hAnsi="Palatino Linotype"/>
                <w:sz w:val="24"/>
                <w:szCs w:val="24"/>
              </w:rPr>
              <w:t>L1</w:t>
            </w:r>
          </w:p>
        </w:tc>
        <w:tc>
          <w:tcPr>
            <w:tcW w:w="2337" w:type="dxa"/>
          </w:tcPr>
          <w:p w:rsidRPr="002B238F" w:rsidR="00315902" w:rsidP="00114138" w:rsidRDefault="00315902" w14:paraId="6FE10A58" w14:textId="2A8DC55F">
            <w:pPr>
              <w:jc w:val="center"/>
              <w:rPr>
                <w:rFonts w:ascii="Palatino Linotype" w:hAnsi="Palatino Linotype"/>
                <w:sz w:val="24"/>
                <w:szCs w:val="24"/>
              </w:rPr>
            </w:pPr>
            <w:r w:rsidRPr="002B238F">
              <w:rPr>
                <w:rFonts w:ascii="Palatino Linotype" w:hAnsi="Palatino Linotype"/>
                <w:sz w:val="24"/>
                <w:szCs w:val="24"/>
              </w:rPr>
              <w:t>$2,200</w:t>
            </w:r>
          </w:p>
        </w:tc>
        <w:tc>
          <w:tcPr>
            <w:tcW w:w="2338" w:type="dxa"/>
          </w:tcPr>
          <w:p w:rsidRPr="002B238F" w:rsidR="00315902" w:rsidP="00114138" w:rsidRDefault="00315902" w14:paraId="2756B4E0" w14:textId="405AC592">
            <w:pPr>
              <w:jc w:val="center"/>
              <w:rPr>
                <w:rFonts w:ascii="Palatino Linotype" w:hAnsi="Palatino Linotype"/>
                <w:sz w:val="24"/>
                <w:szCs w:val="24"/>
              </w:rPr>
            </w:pPr>
            <w:r w:rsidRPr="002B238F">
              <w:rPr>
                <w:rFonts w:ascii="Palatino Linotype" w:hAnsi="Palatino Linotype"/>
                <w:sz w:val="24"/>
                <w:szCs w:val="24"/>
              </w:rPr>
              <w:t>$1,100</w:t>
            </w:r>
          </w:p>
        </w:tc>
        <w:tc>
          <w:tcPr>
            <w:tcW w:w="2338" w:type="dxa"/>
          </w:tcPr>
          <w:p w:rsidRPr="002B238F" w:rsidR="00315902" w:rsidP="00114138" w:rsidRDefault="00315902" w14:paraId="4465C639" w14:textId="4FE6A421">
            <w:pPr>
              <w:jc w:val="center"/>
              <w:rPr>
                <w:rFonts w:ascii="Palatino Linotype" w:hAnsi="Palatino Linotype"/>
                <w:sz w:val="24"/>
                <w:szCs w:val="24"/>
              </w:rPr>
            </w:pPr>
            <w:r w:rsidRPr="002B238F">
              <w:rPr>
                <w:rFonts w:ascii="Palatino Linotype" w:hAnsi="Palatino Linotype"/>
                <w:sz w:val="24"/>
                <w:szCs w:val="24"/>
              </w:rPr>
              <w:t>$550</w:t>
            </w:r>
          </w:p>
        </w:tc>
      </w:tr>
      <w:tr w:rsidRPr="002B238F" w:rsidR="00315902" w:rsidTr="00315902" w14:paraId="7FF94B07" w14:textId="77777777">
        <w:tc>
          <w:tcPr>
            <w:tcW w:w="2337" w:type="dxa"/>
          </w:tcPr>
          <w:p w:rsidRPr="002B238F" w:rsidR="00315902" w:rsidP="002C77FA" w:rsidRDefault="00315902" w14:paraId="475D0625" w14:textId="44947BD4">
            <w:pPr>
              <w:rPr>
                <w:rFonts w:ascii="Palatino Linotype" w:hAnsi="Palatino Linotype"/>
                <w:sz w:val="24"/>
                <w:szCs w:val="24"/>
              </w:rPr>
            </w:pPr>
            <w:r w:rsidRPr="002B238F">
              <w:rPr>
                <w:rFonts w:ascii="Palatino Linotype" w:hAnsi="Palatino Linotype"/>
                <w:sz w:val="24"/>
                <w:szCs w:val="24"/>
              </w:rPr>
              <w:t>L2</w:t>
            </w:r>
          </w:p>
        </w:tc>
        <w:tc>
          <w:tcPr>
            <w:tcW w:w="2337" w:type="dxa"/>
          </w:tcPr>
          <w:p w:rsidRPr="002B238F" w:rsidR="00315902" w:rsidP="00114138" w:rsidRDefault="00315902" w14:paraId="56C19EBE" w14:textId="26CA4D61">
            <w:pPr>
              <w:jc w:val="center"/>
              <w:rPr>
                <w:rFonts w:ascii="Palatino Linotype" w:hAnsi="Palatino Linotype"/>
                <w:sz w:val="24"/>
                <w:szCs w:val="24"/>
              </w:rPr>
            </w:pPr>
            <w:r w:rsidRPr="002B238F">
              <w:rPr>
                <w:rFonts w:ascii="Palatino Linotype" w:hAnsi="Palatino Linotype"/>
                <w:sz w:val="24"/>
                <w:szCs w:val="24"/>
              </w:rPr>
              <w:t>$2,900</w:t>
            </w:r>
          </w:p>
        </w:tc>
        <w:tc>
          <w:tcPr>
            <w:tcW w:w="2338" w:type="dxa"/>
          </w:tcPr>
          <w:p w:rsidRPr="002B238F" w:rsidR="00315902" w:rsidP="00114138" w:rsidRDefault="00315902" w14:paraId="5CF3CF0A" w14:textId="767163BB">
            <w:pPr>
              <w:jc w:val="center"/>
              <w:rPr>
                <w:rFonts w:ascii="Palatino Linotype" w:hAnsi="Palatino Linotype"/>
                <w:sz w:val="24"/>
                <w:szCs w:val="24"/>
              </w:rPr>
            </w:pPr>
            <w:r w:rsidRPr="002B238F">
              <w:rPr>
                <w:rFonts w:ascii="Palatino Linotype" w:hAnsi="Palatino Linotype"/>
                <w:sz w:val="24"/>
                <w:szCs w:val="24"/>
              </w:rPr>
              <w:t>$1,450</w:t>
            </w:r>
          </w:p>
        </w:tc>
        <w:tc>
          <w:tcPr>
            <w:tcW w:w="2338" w:type="dxa"/>
          </w:tcPr>
          <w:p w:rsidRPr="002B238F" w:rsidR="00315902" w:rsidP="00114138" w:rsidRDefault="00315902" w14:paraId="105AA1AE" w14:textId="13EC9924">
            <w:pPr>
              <w:jc w:val="center"/>
              <w:rPr>
                <w:rFonts w:ascii="Palatino Linotype" w:hAnsi="Palatino Linotype"/>
                <w:sz w:val="24"/>
                <w:szCs w:val="24"/>
              </w:rPr>
            </w:pPr>
            <w:r w:rsidRPr="002B238F">
              <w:rPr>
                <w:rFonts w:ascii="Palatino Linotype" w:hAnsi="Palatino Linotype"/>
                <w:sz w:val="24"/>
                <w:szCs w:val="24"/>
              </w:rPr>
              <w:t>$750</w:t>
            </w:r>
          </w:p>
        </w:tc>
      </w:tr>
      <w:tr w:rsidRPr="002B238F" w:rsidR="00315902" w:rsidTr="00315902" w14:paraId="0F709F59" w14:textId="77777777">
        <w:tc>
          <w:tcPr>
            <w:tcW w:w="2337" w:type="dxa"/>
          </w:tcPr>
          <w:p w:rsidRPr="002B238F" w:rsidR="00315902" w:rsidP="002C77FA" w:rsidRDefault="00315902" w14:paraId="0E841037" w14:textId="040DCBE0">
            <w:pPr>
              <w:rPr>
                <w:rFonts w:ascii="Palatino Linotype" w:hAnsi="Palatino Linotype"/>
                <w:sz w:val="24"/>
                <w:szCs w:val="24"/>
              </w:rPr>
            </w:pPr>
            <w:r w:rsidRPr="002B238F">
              <w:rPr>
                <w:rFonts w:ascii="Palatino Linotype" w:hAnsi="Palatino Linotype"/>
                <w:sz w:val="24"/>
                <w:szCs w:val="24"/>
              </w:rPr>
              <w:t>DCFC</w:t>
            </w:r>
          </w:p>
        </w:tc>
        <w:tc>
          <w:tcPr>
            <w:tcW w:w="2337" w:type="dxa"/>
          </w:tcPr>
          <w:p w:rsidRPr="002B238F" w:rsidR="00315902" w:rsidP="00114138" w:rsidRDefault="00315902" w14:paraId="7B6ED4EF" w14:textId="7BE27B66">
            <w:pPr>
              <w:jc w:val="center"/>
              <w:rPr>
                <w:rFonts w:ascii="Palatino Linotype" w:hAnsi="Palatino Linotype"/>
                <w:sz w:val="24"/>
                <w:szCs w:val="24"/>
              </w:rPr>
            </w:pPr>
            <w:r w:rsidRPr="002B238F">
              <w:rPr>
                <w:rFonts w:ascii="Palatino Linotype" w:hAnsi="Palatino Linotype"/>
                <w:sz w:val="24"/>
                <w:szCs w:val="24"/>
              </w:rPr>
              <w:t>$40,200</w:t>
            </w:r>
          </w:p>
        </w:tc>
        <w:tc>
          <w:tcPr>
            <w:tcW w:w="2338" w:type="dxa"/>
          </w:tcPr>
          <w:p w:rsidRPr="002B238F" w:rsidR="00315902" w:rsidP="00114138" w:rsidRDefault="00315902" w14:paraId="65EBD58D" w14:textId="68EF5BBB">
            <w:pPr>
              <w:jc w:val="center"/>
              <w:rPr>
                <w:rFonts w:ascii="Palatino Linotype" w:hAnsi="Palatino Linotype"/>
                <w:sz w:val="24"/>
                <w:szCs w:val="24"/>
              </w:rPr>
            </w:pPr>
            <w:r w:rsidRPr="002B238F">
              <w:rPr>
                <w:rFonts w:ascii="Palatino Linotype" w:hAnsi="Palatino Linotype"/>
                <w:sz w:val="24"/>
                <w:szCs w:val="24"/>
              </w:rPr>
              <w:t>$20,100</w:t>
            </w:r>
          </w:p>
        </w:tc>
        <w:tc>
          <w:tcPr>
            <w:tcW w:w="2338" w:type="dxa"/>
          </w:tcPr>
          <w:p w:rsidRPr="002B238F" w:rsidR="00315902" w:rsidP="00114138" w:rsidRDefault="00315902" w14:paraId="236C5E76" w14:textId="5AFB6F1D">
            <w:pPr>
              <w:jc w:val="center"/>
              <w:rPr>
                <w:rFonts w:ascii="Palatino Linotype" w:hAnsi="Palatino Linotype"/>
                <w:sz w:val="24"/>
                <w:szCs w:val="24"/>
              </w:rPr>
            </w:pPr>
            <w:r w:rsidRPr="002B238F">
              <w:rPr>
                <w:rFonts w:ascii="Palatino Linotype" w:hAnsi="Palatino Linotype"/>
                <w:sz w:val="24"/>
                <w:szCs w:val="24"/>
              </w:rPr>
              <w:t>$10,050</w:t>
            </w:r>
          </w:p>
        </w:tc>
      </w:tr>
    </w:tbl>
    <w:p w:rsidRPr="002B238F" w:rsidR="00315902" w:rsidP="002C77FA" w:rsidRDefault="00315902" w14:paraId="35437E76" w14:textId="6AB19328">
      <w:pPr>
        <w:rPr>
          <w:rFonts w:ascii="Palatino Linotype" w:hAnsi="Palatino Linotype"/>
          <w:sz w:val="24"/>
          <w:szCs w:val="24"/>
        </w:rPr>
      </w:pPr>
      <w:r w:rsidRPr="002B238F">
        <w:rPr>
          <w:rFonts w:ascii="Palatino Linotype" w:hAnsi="Palatino Linotype"/>
          <w:sz w:val="24"/>
          <w:szCs w:val="24"/>
        </w:rPr>
        <w:t>Source: Al 4433-E</w:t>
      </w:r>
      <w:r w:rsidRPr="002B238F" w:rsidR="000D2911">
        <w:rPr>
          <w:rFonts w:ascii="Palatino Linotype" w:hAnsi="Palatino Linotype"/>
          <w:sz w:val="24"/>
          <w:szCs w:val="24"/>
        </w:rPr>
        <w:t>-A</w:t>
      </w:r>
      <w:r w:rsidRPr="002B238F">
        <w:rPr>
          <w:rFonts w:ascii="Palatino Linotype" w:hAnsi="Palatino Linotype"/>
          <w:sz w:val="24"/>
          <w:szCs w:val="24"/>
        </w:rPr>
        <w:t xml:space="preserve"> Table 2</w:t>
      </w:r>
    </w:p>
    <w:p w:rsidRPr="002B238F" w:rsidR="002C77FA" w:rsidP="002C77FA" w:rsidRDefault="002C77FA" w14:paraId="6C0575DF" w14:textId="77777777">
      <w:pPr>
        <w:rPr>
          <w:rFonts w:ascii="Palatino Linotype" w:hAnsi="Palatino Linotype"/>
          <w:sz w:val="24"/>
          <w:szCs w:val="24"/>
        </w:rPr>
      </w:pPr>
    </w:p>
    <w:p w:rsidRPr="002B238F" w:rsidR="002C77FA" w:rsidP="002C77FA" w:rsidRDefault="002C77FA" w14:paraId="2887D6C9" w14:textId="7514871D">
      <w:pPr>
        <w:rPr>
          <w:rFonts w:ascii="Palatino Linotype" w:hAnsi="Palatino Linotype"/>
          <w:sz w:val="24"/>
          <w:szCs w:val="24"/>
        </w:rPr>
      </w:pPr>
      <w:r w:rsidRPr="002B238F">
        <w:rPr>
          <w:rFonts w:ascii="Palatino Linotype" w:hAnsi="Palatino Linotype"/>
          <w:sz w:val="24"/>
          <w:szCs w:val="24"/>
        </w:rPr>
        <w:lastRenderedPageBreak/>
        <w:t xml:space="preserve">As SCE acknowledges more exploration on how to appropriately incentivize </w:t>
      </w:r>
      <w:r w:rsidR="00CC60E7">
        <w:rPr>
          <w:rFonts w:ascii="Palatino Linotype" w:hAnsi="Palatino Linotype"/>
          <w:sz w:val="24"/>
          <w:szCs w:val="24"/>
        </w:rPr>
        <w:br/>
      </w:r>
      <w:r w:rsidRPr="002B238F">
        <w:rPr>
          <w:rFonts w:ascii="Palatino Linotype" w:hAnsi="Palatino Linotype"/>
          <w:sz w:val="24"/>
          <w:szCs w:val="24"/>
        </w:rPr>
        <w:t xml:space="preserve">high-powered charging would be useful, SCE </w:t>
      </w:r>
      <w:r w:rsidRPr="002B238F" w:rsidR="004933FE">
        <w:rPr>
          <w:rFonts w:ascii="Palatino Linotype" w:hAnsi="Palatino Linotype"/>
          <w:sz w:val="24"/>
          <w:szCs w:val="24"/>
        </w:rPr>
        <w:t>proposes</w:t>
      </w:r>
      <w:r w:rsidRPr="002B238F">
        <w:rPr>
          <w:rFonts w:ascii="Palatino Linotype" w:hAnsi="Palatino Linotype"/>
          <w:sz w:val="24"/>
          <w:szCs w:val="24"/>
        </w:rPr>
        <w:t xml:space="preserve"> to offer a single rebate for the first year of the program, to gain additional insights regarding the customers’ DCFC operational and power level needs. SCE </w:t>
      </w:r>
      <w:r w:rsidRPr="002B238F" w:rsidR="00A073EE">
        <w:rPr>
          <w:rFonts w:ascii="Palatino Linotype" w:hAnsi="Palatino Linotype"/>
          <w:sz w:val="24"/>
          <w:szCs w:val="24"/>
        </w:rPr>
        <w:t>t</w:t>
      </w:r>
      <w:r w:rsidRPr="002B238F">
        <w:rPr>
          <w:rFonts w:ascii="Palatino Linotype" w:hAnsi="Palatino Linotype"/>
          <w:sz w:val="24"/>
          <w:szCs w:val="24"/>
        </w:rPr>
        <w:t xml:space="preserve">hen </w:t>
      </w:r>
      <w:r w:rsidRPr="002B238F" w:rsidR="00A073EE">
        <w:rPr>
          <w:rFonts w:ascii="Palatino Linotype" w:hAnsi="Palatino Linotype"/>
          <w:sz w:val="24"/>
          <w:szCs w:val="24"/>
        </w:rPr>
        <w:t xml:space="preserve">proposes that it would </w:t>
      </w:r>
      <w:r w:rsidRPr="002B238F">
        <w:rPr>
          <w:rFonts w:ascii="Palatino Linotype" w:hAnsi="Palatino Linotype"/>
          <w:sz w:val="24"/>
          <w:szCs w:val="24"/>
        </w:rPr>
        <w:t>consider the need for incorporating a tiered rebated structure. Any proposed adjustments will be included in the CR2 annual program report.</w:t>
      </w:r>
    </w:p>
    <w:p w:rsidRPr="002B238F" w:rsidR="002C77FA" w:rsidP="002C77FA" w:rsidRDefault="002C77FA" w14:paraId="7E47B0B6" w14:textId="77777777">
      <w:pPr>
        <w:rPr>
          <w:rFonts w:ascii="Palatino Linotype" w:hAnsi="Palatino Linotype"/>
          <w:sz w:val="24"/>
          <w:szCs w:val="24"/>
        </w:rPr>
      </w:pPr>
    </w:p>
    <w:p w:rsidRPr="002B238F" w:rsidR="002C77FA" w:rsidP="7D5F3F4E" w:rsidRDefault="002C77FA" w14:paraId="1F533233" w14:textId="16DA0A0E">
      <w:pPr>
        <w:pStyle w:val="NormalWeb"/>
        <w:numPr>
          <w:ilvl w:val="0"/>
          <w:numId w:val="2"/>
        </w:numPr>
        <w:spacing w:before="0" w:beforeAutospacing="0" w:after="0" w:afterAutospacing="0"/>
        <w:rPr>
          <w:rFonts w:ascii="Palatino Linotype" w:hAnsi="Palatino Linotype" w:eastAsiaTheme="minorEastAsia" w:cstheme="minorBidi"/>
          <w:color w:val="0E101A"/>
        </w:rPr>
      </w:pPr>
      <w:r w:rsidRPr="002B238F">
        <w:rPr>
          <w:rStyle w:val="Emphasis"/>
          <w:rFonts w:ascii="Palatino Linotype" w:hAnsi="Palatino Linotype"/>
          <w:i w:val="0"/>
          <w:iCs w:val="0"/>
          <w:color w:val="0E101A"/>
        </w:rPr>
        <w:t xml:space="preserve">DCFC </w:t>
      </w:r>
      <w:r w:rsidRPr="002B238F" w:rsidR="00214689">
        <w:rPr>
          <w:rStyle w:val="Emphasis"/>
          <w:rFonts w:ascii="Palatino Linotype" w:hAnsi="Palatino Linotype"/>
          <w:i w:val="0"/>
          <w:iCs w:val="0"/>
          <w:color w:val="0E101A"/>
        </w:rPr>
        <w:t>u</w:t>
      </w:r>
      <w:r w:rsidRPr="002B238F">
        <w:rPr>
          <w:rStyle w:val="Emphasis"/>
          <w:rFonts w:ascii="Palatino Linotype" w:hAnsi="Palatino Linotype"/>
          <w:i w:val="0"/>
          <w:iCs w:val="0"/>
          <w:color w:val="0E101A"/>
        </w:rPr>
        <w:t xml:space="preserve">pdated </w:t>
      </w:r>
      <w:r w:rsidRPr="002B238F" w:rsidR="00214689">
        <w:rPr>
          <w:rStyle w:val="Emphasis"/>
          <w:rFonts w:ascii="Palatino Linotype" w:hAnsi="Palatino Linotype"/>
          <w:i w:val="0"/>
          <w:iCs w:val="0"/>
          <w:color w:val="0E101A"/>
        </w:rPr>
        <w:t>b</w:t>
      </w:r>
      <w:r w:rsidRPr="002B238F">
        <w:rPr>
          <w:rStyle w:val="Emphasis"/>
          <w:rFonts w:ascii="Palatino Linotype" w:hAnsi="Palatino Linotype"/>
          <w:i w:val="0"/>
          <w:iCs w:val="0"/>
          <w:color w:val="0E101A"/>
        </w:rPr>
        <w:t xml:space="preserve">udget </w:t>
      </w:r>
      <w:r w:rsidRPr="002B238F" w:rsidR="00214689">
        <w:rPr>
          <w:rStyle w:val="Emphasis"/>
          <w:rFonts w:ascii="Palatino Linotype" w:hAnsi="Palatino Linotype"/>
          <w:i w:val="0"/>
          <w:iCs w:val="0"/>
          <w:color w:val="0E101A"/>
        </w:rPr>
        <w:t>b</w:t>
      </w:r>
      <w:r w:rsidRPr="002B238F">
        <w:rPr>
          <w:rStyle w:val="Emphasis"/>
          <w:rFonts w:ascii="Palatino Linotype" w:hAnsi="Palatino Linotype"/>
          <w:i w:val="0"/>
          <w:iCs w:val="0"/>
          <w:color w:val="0E101A"/>
        </w:rPr>
        <w:t xml:space="preserve">ased on </w:t>
      </w:r>
      <w:r w:rsidRPr="002B238F" w:rsidR="00214689">
        <w:rPr>
          <w:rStyle w:val="Emphasis"/>
          <w:rFonts w:ascii="Palatino Linotype" w:hAnsi="Palatino Linotype"/>
          <w:i w:val="0"/>
          <w:iCs w:val="0"/>
          <w:color w:val="0E101A"/>
        </w:rPr>
        <w:t>p</w:t>
      </w:r>
      <w:r w:rsidRPr="002B238F">
        <w:rPr>
          <w:rStyle w:val="Emphasis"/>
          <w:rFonts w:ascii="Palatino Linotype" w:hAnsi="Palatino Linotype"/>
          <w:i w:val="0"/>
          <w:iCs w:val="0"/>
          <w:color w:val="0E101A"/>
        </w:rPr>
        <w:t xml:space="preserve">rogram </w:t>
      </w:r>
      <w:r w:rsidRPr="002B238F" w:rsidR="00E132CF">
        <w:rPr>
          <w:rStyle w:val="Emphasis"/>
          <w:rFonts w:ascii="Palatino Linotype" w:hAnsi="Palatino Linotype"/>
          <w:i w:val="0"/>
          <w:iCs w:val="0"/>
          <w:color w:val="0E101A"/>
        </w:rPr>
        <w:t>modifications.</w:t>
      </w:r>
    </w:p>
    <w:p w:rsidRPr="002B238F" w:rsidR="002C77FA" w:rsidP="002C77FA" w:rsidRDefault="002C77FA" w14:paraId="55B9A093" w14:textId="77777777">
      <w:pPr>
        <w:pStyle w:val="NormalWeb"/>
        <w:spacing w:before="0" w:beforeAutospacing="0" w:after="0" w:afterAutospacing="0"/>
        <w:rPr>
          <w:rFonts w:ascii="Palatino Linotype" w:hAnsi="Palatino Linotype"/>
          <w:color w:val="0E101A"/>
        </w:rPr>
      </w:pPr>
    </w:p>
    <w:p w:rsidRPr="002B238F" w:rsidR="002C77FA" w:rsidP="002C77FA" w:rsidRDefault="002C77FA" w14:paraId="4D51FD45" w14:textId="0656DABF">
      <w:pPr>
        <w:pStyle w:val="NormalWeb"/>
        <w:spacing w:before="0" w:beforeAutospacing="0" w:after="0" w:afterAutospacing="0"/>
        <w:rPr>
          <w:rFonts w:ascii="Palatino Linotype" w:hAnsi="Palatino Linotype"/>
          <w:color w:val="0E101A"/>
        </w:rPr>
      </w:pPr>
      <w:bookmarkStart w:name="_Hlk114584648" w:id="10"/>
      <w:r w:rsidRPr="002B238F">
        <w:rPr>
          <w:rFonts w:ascii="Palatino Linotype" w:hAnsi="Palatino Linotype"/>
          <w:color w:val="0E101A"/>
        </w:rPr>
        <w:t>SCE expects a $1.09 million surplus based on the proposed rebate and program modifications</w:t>
      </w:r>
      <w:r w:rsidRPr="002B238F" w:rsidR="00D83EFB">
        <w:rPr>
          <w:rFonts w:ascii="Palatino Linotype" w:hAnsi="Palatino Linotype"/>
          <w:color w:val="0E101A"/>
        </w:rPr>
        <w:t xml:space="preserve"> included within the supplemental AL</w:t>
      </w:r>
      <w:r w:rsidRPr="002B238F">
        <w:rPr>
          <w:rFonts w:ascii="Palatino Linotype" w:hAnsi="Palatino Linotype"/>
          <w:color w:val="0E101A"/>
        </w:rPr>
        <w:t xml:space="preserve">. </w:t>
      </w:r>
      <w:bookmarkEnd w:id="10"/>
      <w:r w:rsidRPr="002B238F">
        <w:rPr>
          <w:rFonts w:ascii="Palatino Linotype" w:hAnsi="Palatino Linotype"/>
          <w:color w:val="0E101A"/>
        </w:rPr>
        <w:t>SCE proposes to treat the surplus as a contingency, subject to rebate adjustments as the program matures.</w:t>
      </w:r>
    </w:p>
    <w:p w:rsidRPr="002B238F" w:rsidR="002C77FA" w:rsidP="002C77FA" w:rsidRDefault="002C77FA" w14:paraId="5D6E200C" w14:textId="77777777">
      <w:pPr>
        <w:pStyle w:val="NormalWeb"/>
        <w:spacing w:before="0" w:beforeAutospacing="0" w:after="0" w:afterAutospacing="0"/>
        <w:rPr>
          <w:rStyle w:val="Emphasis"/>
          <w:rFonts w:ascii="Palatino Linotype" w:hAnsi="Palatino Linotype"/>
          <w:i w:val="0"/>
          <w:iCs w:val="0"/>
          <w:color w:val="0E101A"/>
        </w:rPr>
      </w:pPr>
    </w:p>
    <w:p w:rsidRPr="002B238F" w:rsidR="002C77FA" w:rsidP="7D5F3F4E" w:rsidRDefault="00036386" w14:paraId="64D06059" w14:textId="11083333">
      <w:pPr>
        <w:pStyle w:val="NormalWeb"/>
        <w:numPr>
          <w:ilvl w:val="0"/>
          <w:numId w:val="2"/>
        </w:numPr>
        <w:spacing w:before="0" w:beforeAutospacing="0" w:after="0" w:afterAutospacing="0"/>
        <w:rPr>
          <w:rFonts w:ascii="Palatino Linotype" w:hAnsi="Palatino Linotype" w:eastAsiaTheme="minorEastAsia" w:cstheme="minorBidi"/>
          <w:color w:val="0E101A"/>
        </w:rPr>
      </w:pPr>
      <w:r w:rsidRPr="002B238F">
        <w:rPr>
          <w:rStyle w:val="Emphasis"/>
          <w:rFonts w:ascii="Palatino Linotype" w:hAnsi="Palatino Linotype"/>
          <w:i w:val="0"/>
          <w:iCs w:val="0"/>
          <w:color w:val="0E101A"/>
        </w:rPr>
        <w:t>N</w:t>
      </w:r>
      <w:r w:rsidRPr="002B238F" w:rsidR="002C77FA">
        <w:rPr>
          <w:rStyle w:val="Emphasis"/>
          <w:rFonts w:ascii="Palatino Linotype" w:hAnsi="Palatino Linotype"/>
          <w:i w:val="0"/>
          <w:iCs w:val="0"/>
          <w:color w:val="0E101A"/>
        </w:rPr>
        <w:t xml:space="preserve">umber of </w:t>
      </w:r>
      <w:r w:rsidRPr="002B238F" w:rsidR="004F0F8B">
        <w:rPr>
          <w:rStyle w:val="Emphasis"/>
          <w:rFonts w:ascii="Palatino Linotype" w:hAnsi="Palatino Linotype"/>
          <w:i w:val="0"/>
          <w:iCs w:val="0"/>
          <w:color w:val="0E101A"/>
        </w:rPr>
        <w:t>p</w:t>
      </w:r>
      <w:r w:rsidRPr="002B238F" w:rsidR="002C77FA">
        <w:rPr>
          <w:rStyle w:val="Emphasis"/>
          <w:rFonts w:ascii="Palatino Linotype" w:hAnsi="Palatino Linotype"/>
          <w:i w:val="0"/>
          <w:iCs w:val="0"/>
          <w:color w:val="0E101A"/>
        </w:rPr>
        <w:t xml:space="preserve">orts and </w:t>
      </w:r>
      <w:r w:rsidRPr="002B238F" w:rsidR="004F0F8B">
        <w:rPr>
          <w:rStyle w:val="Emphasis"/>
          <w:rFonts w:ascii="Palatino Linotype" w:hAnsi="Palatino Linotype"/>
          <w:i w:val="0"/>
          <w:iCs w:val="0"/>
          <w:color w:val="0E101A"/>
        </w:rPr>
        <w:t>s</w:t>
      </w:r>
      <w:r w:rsidRPr="002B238F" w:rsidR="002C77FA">
        <w:rPr>
          <w:rStyle w:val="Emphasis"/>
          <w:rFonts w:ascii="Palatino Linotype" w:hAnsi="Palatino Linotype"/>
          <w:i w:val="0"/>
          <w:iCs w:val="0"/>
          <w:color w:val="0E101A"/>
        </w:rPr>
        <w:t>ites SCE will target through the DCFC component of the Make-Ready Expansion program</w:t>
      </w:r>
      <w:r w:rsidRPr="002B238F" w:rsidR="002C77FA">
        <w:rPr>
          <w:rFonts w:ascii="Palatino Linotype" w:hAnsi="Palatino Linotype"/>
          <w:color w:val="0E101A"/>
        </w:rPr>
        <w:t>.</w:t>
      </w:r>
    </w:p>
    <w:p w:rsidRPr="002B238F" w:rsidR="002C77FA" w:rsidP="002C77FA" w:rsidRDefault="002C77FA" w14:paraId="290D1711" w14:textId="77777777">
      <w:pPr>
        <w:pStyle w:val="NormalWeb"/>
        <w:spacing w:before="0" w:beforeAutospacing="0" w:after="0" w:afterAutospacing="0"/>
        <w:rPr>
          <w:rFonts w:ascii="Palatino Linotype" w:hAnsi="Palatino Linotype"/>
          <w:color w:val="0E101A"/>
        </w:rPr>
      </w:pPr>
    </w:p>
    <w:p w:rsidRPr="002B238F" w:rsidR="002C77FA" w:rsidP="002C77FA" w:rsidRDefault="002C77FA" w14:paraId="763AADC1" w14:textId="73CE160C">
      <w:pPr>
        <w:pStyle w:val="NormalWeb"/>
        <w:spacing w:before="0" w:beforeAutospacing="0" w:after="0" w:afterAutospacing="0"/>
        <w:rPr>
          <w:rFonts w:ascii="Palatino Linotype" w:hAnsi="Palatino Linotype"/>
          <w:color w:val="0E101A"/>
        </w:rPr>
      </w:pPr>
      <w:r w:rsidRPr="002B238F">
        <w:rPr>
          <w:rFonts w:ascii="Palatino Linotype" w:hAnsi="Palatino Linotype"/>
          <w:color w:val="0E101A"/>
        </w:rPr>
        <w:t>The Decision directs SCE to build a minimum of 205 ports and requires a two-port minimum per site, equating to a</w:t>
      </w:r>
      <w:r w:rsidRPr="002B238F" w:rsidR="00210C63">
        <w:rPr>
          <w:rFonts w:ascii="Palatino Linotype" w:hAnsi="Palatino Linotype"/>
          <w:color w:val="0E101A"/>
        </w:rPr>
        <w:t>pproximately no more than</w:t>
      </w:r>
      <w:r w:rsidRPr="002B238F">
        <w:rPr>
          <w:rFonts w:ascii="Palatino Linotype" w:hAnsi="Palatino Linotype"/>
          <w:color w:val="0E101A"/>
        </w:rPr>
        <w:t xml:space="preserve"> 102 sites. </w:t>
      </w:r>
      <w:bookmarkStart w:name="_Hlk114584681" w:id="11"/>
      <w:r w:rsidRPr="002B238F">
        <w:rPr>
          <w:rFonts w:ascii="Palatino Linotype" w:hAnsi="Palatino Linotype"/>
          <w:color w:val="0E101A"/>
        </w:rPr>
        <w:t xml:space="preserve">SCE will leverage the new DCFC rebate contingencies and anticipates </w:t>
      </w:r>
      <w:r w:rsidRPr="002B238F" w:rsidR="001E72FF">
        <w:rPr>
          <w:rFonts w:ascii="Palatino Linotype" w:hAnsi="Palatino Linotype"/>
          <w:color w:val="0E101A"/>
        </w:rPr>
        <w:t xml:space="preserve">the program </w:t>
      </w:r>
      <w:r w:rsidRPr="002B238F">
        <w:rPr>
          <w:rFonts w:ascii="Palatino Linotype" w:hAnsi="Palatino Linotype"/>
          <w:color w:val="0E101A"/>
        </w:rPr>
        <w:t>may install an additional 50 ports.</w:t>
      </w:r>
      <w:bookmarkEnd w:id="11"/>
    </w:p>
    <w:bookmarkEnd w:id="9"/>
    <w:p w:rsidRPr="002B238F" w:rsidR="002C77FA" w:rsidP="002C77FA" w:rsidRDefault="002C77FA" w14:paraId="4428C95D" w14:textId="77777777">
      <w:pPr>
        <w:pStyle w:val="NormalWeb"/>
        <w:spacing w:before="0" w:beforeAutospacing="0" w:after="0" w:afterAutospacing="0"/>
        <w:rPr>
          <w:rFonts w:ascii="Palatino Linotype" w:hAnsi="Palatino Linotype"/>
          <w:color w:val="0E101A"/>
        </w:rPr>
      </w:pPr>
    </w:p>
    <w:p w:rsidRPr="002B238F" w:rsidR="002C77FA" w:rsidP="5D73D4E8" w:rsidRDefault="1249C929" w14:paraId="6BC1BF30" w14:textId="4DEA798E">
      <w:pPr>
        <w:autoSpaceDE w:val="0"/>
        <w:autoSpaceDN w:val="0"/>
        <w:rPr>
          <w:rFonts w:ascii="Palatino Linotype" w:hAnsi="Palatino Linotype" w:eastAsiaTheme="minorEastAsia"/>
          <w:sz w:val="24"/>
          <w:szCs w:val="24"/>
          <w:u w:val="single"/>
        </w:rPr>
      </w:pPr>
      <w:r w:rsidRPr="002B238F">
        <w:rPr>
          <w:rFonts w:ascii="Palatino Linotype" w:hAnsi="Palatino Linotype"/>
          <w:sz w:val="24"/>
          <w:szCs w:val="24"/>
          <w:u w:val="single"/>
        </w:rPr>
        <w:t xml:space="preserve">3. </w:t>
      </w:r>
      <w:r w:rsidRPr="002B238F" w:rsidR="002C77FA">
        <w:rPr>
          <w:rFonts w:ascii="Palatino Linotype" w:hAnsi="Palatino Linotype"/>
          <w:sz w:val="24"/>
          <w:szCs w:val="24"/>
          <w:u w:val="single"/>
        </w:rPr>
        <w:t>Lessons Learned from SCE’s Urban DCFC Cluster Pilot</w:t>
      </w:r>
    </w:p>
    <w:p w:rsidRPr="002B238F" w:rsidR="002C77FA" w:rsidP="002C77FA" w:rsidRDefault="002C77FA" w14:paraId="02D07C71" w14:textId="07AAE484">
      <w:pPr>
        <w:rPr>
          <w:rFonts w:ascii="Palatino Linotype" w:hAnsi="Palatino Linotype"/>
          <w:sz w:val="24"/>
          <w:szCs w:val="24"/>
        </w:rPr>
      </w:pPr>
      <w:r w:rsidRPr="002B238F">
        <w:rPr>
          <w:rFonts w:ascii="Palatino Linotype" w:hAnsi="Palatino Linotype"/>
          <w:sz w:val="24"/>
          <w:szCs w:val="24"/>
        </w:rPr>
        <w:t xml:space="preserve">SCE found site hosts in the DCFC Urban Cluster Pilot were installing fewer DCFC ports per site than anticipated. Additionally, SCE noted retail outlets had the highest utilization of these sites, and SCE will focus on short-term dwell sites with high pedestrian traffic for the DCFC component of the make-ready expansion. SCE found the most utilized sites have a grocery store, bakery, restaurant, and other retail outlets sharing a parking lot. The pilot program found that DACs and customers near MUDs voiced concerns about low EV adoption and charging station utilization in their neighborhoods. SCE will use these findings to shape outreach strategies and address concerns raised by DACs and customers near MUDs. Key issues SCE raised regarding the </w:t>
      </w:r>
      <w:r w:rsidRPr="002B238F" w:rsidR="0079467B">
        <w:rPr>
          <w:rFonts w:ascii="Palatino Linotype" w:hAnsi="Palatino Linotype"/>
          <w:sz w:val="24"/>
          <w:szCs w:val="24"/>
        </w:rPr>
        <w:t>p</w:t>
      </w:r>
      <w:r w:rsidRPr="002B238F">
        <w:rPr>
          <w:rFonts w:ascii="Palatino Linotype" w:hAnsi="Palatino Linotype"/>
          <w:sz w:val="24"/>
          <w:szCs w:val="24"/>
        </w:rPr>
        <w:t>ilot were the applicant's lack of experience in operating and maintaining DCFC stations, costs associated with purchasing more than two stations, and a significant loss of parking stalls.</w:t>
      </w:r>
    </w:p>
    <w:p w:rsidRPr="002B238F" w:rsidR="002C77FA" w:rsidP="002C77FA" w:rsidRDefault="002C77FA" w14:paraId="00DABAF6" w14:textId="77777777">
      <w:pPr>
        <w:pStyle w:val="Heading1"/>
        <w:jc w:val="both"/>
        <w:rPr>
          <w:rFonts w:ascii="Palatino Linotype" w:hAnsi="Palatino Linotype" w:cs="Helvetica"/>
          <w:sz w:val="24"/>
          <w:szCs w:val="24"/>
        </w:rPr>
      </w:pPr>
      <w:r w:rsidRPr="002B238F">
        <w:rPr>
          <w:rFonts w:ascii="Palatino Linotype" w:hAnsi="Palatino Linotype" w:cs="Helvetica"/>
          <w:sz w:val="24"/>
          <w:szCs w:val="24"/>
        </w:rPr>
        <w:lastRenderedPageBreak/>
        <w:t>NOTICE</w:t>
      </w:r>
    </w:p>
    <w:p w:rsidRPr="002B238F" w:rsidR="002C77FA" w:rsidP="002C77FA" w:rsidRDefault="002C77FA" w14:paraId="62432850" w14:textId="420D54F9">
      <w:pPr>
        <w:spacing w:after="120"/>
        <w:rPr>
          <w:rFonts w:ascii="Palatino Linotype" w:hAnsi="Palatino Linotype"/>
          <w:sz w:val="24"/>
          <w:szCs w:val="24"/>
        </w:rPr>
      </w:pPr>
      <w:r w:rsidRPr="002B238F">
        <w:rPr>
          <w:rFonts w:ascii="Palatino Linotype" w:hAnsi="Palatino Linotype"/>
          <w:sz w:val="24"/>
          <w:szCs w:val="24"/>
        </w:rPr>
        <w:t>Notice of SCE’s AL</w:t>
      </w:r>
      <w:r w:rsidRPr="002B238F" w:rsidR="00E17B10">
        <w:rPr>
          <w:rFonts w:ascii="Palatino Linotype" w:hAnsi="Palatino Linotype"/>
          <w:sz w:val="24"/>
          <w:szCs w:val="24"/>
        </w:rPr>
        <w:t xml:space="preserve"> 4433-E and AL</w:t>
      </w:r>
      <w:r w:rsidRPr="002B238F">
        <w:rPr>
          <w:rFonts w:ascii="Palatino Linotype" w:hAnsi="Palatino Linotype"/>
          <w:sz w:val="24"/>
          <w:szCs w:val="24"/>
        </w:rPr>
        <w:t xml:space="preserve"> 4433-E</w:t>
      </w:r>
      <w:r w:rsidRPr="002B238F" w:rsidR="000D2911">
        <w:rPr>
          <w:rFonts w:ascii="Palatino Linotype" w:hAnsi="Palatino Linotype"/>
          <w:sz w:val="24"/>
          <w:szCs w:val="24"/>
        </w:rPr>
        <w:t>-A</w:t>
      </w:r>
      <w:r w:rsidRPr="002B238F">
        <w:rPr>
          <w:rFonts w:ascii="Palatino Linotype" w:hAnsi="Palatino Linotype"/>
          <w:sz w:val="24"/>
          <w:szCs w:val="24"/>
        </w:rPr>
        <w:t xml:space="preserve"> w</w:t>
      </w:r>
      <w:r w:rsidRPr="002B238F" w:rsidR="00E17B10">
        <w:rPr>
          <w:rFonts w:ascii="Palatino Linotype" w:hAnsi="Palatino Linotype"/>
          <w:sz w:val="24"/>
          <w:szCs w:val="24"/>
        </w:rPr>
        <w:t>ere</w:t>
      </w:r>
      <w:r w:rsidRPr="002B238F">
        <w:rPr>
          <w:rFonts w:ascii="Palatino Linotype" w:hAnsi="Palatino Linotype"/>
          <w:sz w:val="24"/>
          <w:szCs w:val="24"/>
        </w:rPr>
        <w:t xml:space="preserve"> made by publication in the CPUC’s Daily Calendar. SCE states that a copy of the AL was mailed and distributed in accordance with Section 4 of General Order 96-B.</w:t>
      </w:r>
      <w:r w:rsidRPr="002B238F">
        <w:rPr>
          <w:rFonts w:ascii="Palatino Linotype" w:hAnsi="Palatino Linotype"/>
          <w:sz w:val="24"/>
          <w:szCs w:val="24"/>
        </w:rPr>
        <w:br/>
      </w:r>
    </w:p>
    <w:p w:rsidRPr="002B238F" w:rsidR="002C77FA" w:rsidP="002C77FA" w:rsidRDefault="002C77FA" w14:paraId="456E60B3" w14:textId="77777777">
      <w:pPr>
        <w:pStyle w:val="Heading1"/>
        <w:jc w:val="both"/>
        <w:rPr>
          <w:rFonts w:ascii="Palatino Linotype" w:hAnsi="Palatino Linotype" w:cs="Helvetica"/>
          <w:sz w:val="24"/>
          <w:szCs w:val="24"/>
        </w:rPr>
      </w:pPr>
      <w:r w:rsidRPr="002B238F">
        <w:rPr>
          <w:rFonts w:ascii="Palatino Linotype" w:hAnsi="Palatino Linotype" w:cs="Helvetica"/>
          <w:sz w:val="24"/>
          <w:szCs w:val="24"/>
        </w:rPr>
        <w:t>PROTESTS</w:t>
      </w:r>
    </w:p>
    <w:p w:rsidRPr="002B238F" w:rsidR="002C77FA" w:rsidP="002C77FA" w:rsidRDefault="002C77FA" w14:paraId="36809DF3" w14:textId="77777777">
      <w:pPr>
        <w:rPr>
          <w:rFonts w:ascii="Palatino Linotype" w:hAnsi="Palatino Linotype"/>
          <w:sz w:val="24"/>
          <w:szCs w:val="24"/>
        </w:rPr>
      </w:pPr>
      <w:r w:rsidRPr="002B238F">
        <w:rPr>
          <w:rFonts w:ascii="Palatino Linotype" w:hAnsi="Palatino Linotype"/>
          <w:sz w:val="24"/>
          <w:szCs w:val="24"/>
        </w:rPr>
        <w:t xml:space="preserve">The AL was not protested. </w:t>
      </w:r>
    </w:p>
    <w:p w:rsidRPr="002B238F" w:rsidR="0009173B" w:rsidP="002C77FA" w:rsidRDefault="0009173B" w14:paraId="63FF328C" w14:textId="77777777">
      <w:pPr>
        <w:rPr>
          <w:rFonts w:ascii="Palatino Linotype" w:hAnsi="Palatino Linotype"/>
          <w:sz w:val="24"/>
          <w:szCs w:val="24"/>
        </w:rPr>
      </w:pPr>
    </w:p>
    <w:p w:rsidRPr="002B238F" w:rsidR="002C77FA" w:rsidP="002C77FA" w:rsidRDefault="002C77FA" w14:paraId="7F3854D5" w14:textId="77777777">
      <w:pPr>
        <w:pStyle w:val="Heading1"/>
        <w:jc w:val="both"/>
        <w:rPr>
          <w:rFonts w:ascii="Palatino Linotype" w:hAnsi="Palatino Linotype" w:cs="Helvetica"/>
          <w:sz w:val="24"/>
          <w:szCs w:val="24"/>
        </w:rPr>
      </w:pPr>
      <w:r w:rsidRPr="002B238F">
        <w:rPr>
          <w:rFonts w:ascii="Palatino Linotype" w:hAnsi="Palatino Linotype" w:cs="Helvetica"/>
          <w:sz w:val="24"/>
          <w:szCs w:val="24"/>
        </w:rPr>
        <w:t xml:space="preserve">DISCUSSION </w:t>
      </w:r>
    </w:p>
    <w:p w:rsidRPr="002B238F" w:rsidR="002C77FA" w:rsidP="002C77FA" w:rsidRDefault="00890F85" w14:paraId="47AEDA3E" w14:textId="20763A23">
      <w:pPr>
        <w:rPr>
          <w:rFonts w:ascii="Palatino Linotype" w:hAnsi="Palatino Linotype"/>
          <w:sz w:val="24"/>
          <w:szCs w:val="24"/>
        </w:rPr>
      </w:pPr>
      <w:r w:rsidRPr="002B238F">
        <w:rPr>
          <w:rFonts w:ascii="Palatino Linotype" w:hAnsi="Palatino Linotype"/>
          <w:sz w:val="24"/>
          <w:szCs w:val="24"/>
        </w:rPr>
        <w:t xml:space="preserve">This section of the Resolution disposes of the issues associated with the planning and criteria for prioritizing DCFC sites and budget modifications of the SCE’s DCFC component of the </w:t>
      </w:r>
      <w:r w:rsidRPr="002B238F" w:rsidR="009646F5">
        <w:rPr>
          <w:rFonts w:ascii="Palatino Linotype" w:hAnsi="Palatino Linotype"/>
          <w:sz w:val="24"/>
          <w:szCs w:val="24"/>
        </w:rPr>
        <w:t>CR2 M</w:t>
      </w:r>
      <w:r w:rsidRPr="002B238F">
        <w:rPr>
          <w:rFonts w:ascii="Palatino Linotype" w:hAnsi="Palatino Linotype"/>
          <w:sz w:val="24"/>
          <w:szCs w:val="24"/>
        </w:rPr>
        <w:t>ake</w:t>
      </w:r>
      <w:r w:rsidRPr="002B238F" w:rsidR="009646F5">
        <w:rPr>
          <w:rFonts w:ascii="Palatino Linotype" w:hAnsi="Palatino Linotype"/>
          <w:sz w:val="24"/>
          <w:szCs w:val="24"/>
        </w:rPr>
        <w:t>-R</w:t>
      </w:r>
      <w:r w:rsidRPr="002B238F">
        <w:rPr>
          <w:rFonts w:ascii="Palatino Linotype" w:hAnsi="Palatino Linotype"/>
          <w:sz w:val="24"/>
          <w:szCs w:val="24"/>
        </w:rPr>
        <w:t xml:space="preserve">eady </w:t>
      </w:r>
      <w:r w:rsidRPr="002B238F" w:rsidR="009646F5">
        <w:rPr>
          <w:rFonts w:ascii="Palatino Linotype" w:hAnsi="Palatino Linotype"/>
          <w:sz w:val="24"/>
          <w:szCs w:val="24"/>
        </w:rPr>
        <w:t>E</w:t>
      </w:r>
      <w:r w:rsidRPr="002B238F">
        <w:rPr>
          <w:rFonts w:ascii="Palatino Linotype" w:hAnsi="Palatino Linotype"/>
          <w:sz w:val="24"/>
          <w:szCs w:val="24"/>
        </w:rPr>
        <w:t>xpansion</w:t>
      </w:r>
      <w:r w:rsidRPr="002B238F" w:rsidR="009646F5">
        <w:rPr>
          <w:rFonts w:ascii="Palatino Linotype" w:hAnsi="Palatino Linotype"/>
          <w:sz w:val="24"/>
          <w:szCs w:val="24"/>
        </w:rPr>
        <w:t xml:space="preserve"> program</w:t>
      </w:r>
      <w:r w:rsidRPr="002B238F">
        <w:rPr>
          <w:rFonts w:ascii="Palatino Linotype" w:hAnsi="Palatino Linotype"/>
          <w:sz w:val="24"/>
          <w:szCs w:val="24"/>
        </w:rPr>
        <w:t>. We find SCE’s DCFC proposal</w:t>
      </w:r>
      <w:r w:rsidRPr="002B238F" w:rsidR="1F6BFCF5">
        <w:rPr>
          <w:rFonts w:ascii="Palatino Linotype" w:hAnsi="Palatino Linotype"/>
          <w:sz w:val="24"/>
          <w:szCs w:val="24"/>
        </w:rPr>
        <w:t xml:space="preserve">s </w:t>
      </w:r>
      <w:r w:rsidRPr="002B238F">
        <w:rPr>
          <w:rFonts w:ascii="Palatino Linotype" w:hAnsi="Palatino Linotype"/>
          <w:sz w:val="24"/>
          <w:szCs w:val="24"/>
        </w:rPr>
        <w:t xml:space="preserve">reasonable in most aspects. </w:t>
      </w:r>
      <w:r w:rsidRPr="002B238F" w:rsidR="002C77FA">
        <w:rPr>
          <w:rFonts w:ascii="Palatino Linotype" w:hAnsi="Palatino Linotype"/>
          <w:sz w:val="24"/>
          <w:szCs w:val="24"/>
        </w:rPr>
        <w:t>However, this section addresses issues with details provided in SCE’s DCFC prioritization and planning and directs modifications</w:t>
      </w:r>
      <w:r w:rsidRPr="002B238F" w:rsidR="0009173B">
        <w:rPr>
          <w:rFonts w:ascii="Palatino Linotype" w:hAnsi="Palatino Linotype"/>
          <w:sz w:val="24"/>
          <w:szCs w:val="24"/>
        </w:rPr>
        <w:t xml:space="preserve"> to SCE’s proposal within AL 4433-E/AL4433-E-A</w:t>
      </w:r>
      <w:r w:rsidRPr="002B238F" w:rsidR="002C77FA">
        <w:rPr>
          <w:rFonts w:ascii="Palatino Linotype" w:hAnsi="Palatino Linotype"/>
          <w:sz w:val="24"/>
          <w:szCs w:val="24"/>
        </w:rPr>
        <w:t xml:space="preserve">. </w:t>
      </w:r>
      <w:r w:rsidRPr="002B238F" w:rsidR="0009173B">
        <w:rPr>
          <w:rFonts w:ascii="Palatino Linotype" w:hAnsi="Palatino Linotype"/>
          <w:sz w:val="24"/>
          <w:szCs w:val="24"/>
        </w:rPr>
        <w:t>This section</w:t>
      </w:r>
      <w:r w:rsidRPr="002B238F" w:rsidR="002C77FA">
        <w:rPr>
          <w:rFonts w:ascii="Palatino Linotype" w:hAnsi="Palatino Linotype"/>
          <w:sz w:val="24"/>
          <w:szCs w:val="24"/>
        </w:rPr>
        <w:t xml:space="preserve"> evaluate</w:t>
      </w:r>
      <w:r w:rsidRPr="002B238F" w:rsidR="0009173B">
        <w:rPr>
          <w:rFonts w:ascii="Palatino Linotype" w:hAnsi="Palatino Linotype"/>
          <w:sz w:val="24"/>
          <w:szCs w:val="24"/>
        </w:rPr>
        <w:t>s</w:t>
      </w:r>
      <w:r w:rsidRPr="002B238F" w:rsidR="002C77FA">
        <w:rPr>
          <w:rFonts w:ascii="Palatino Linotype" w:hAnsi="Palatino Linotype"/>
          <w:sz w:val="24"/>
          <w:szCs w:val="24"/>
        </w:rPr>
        <w:t xml:space="preserve"> these issues based on consistency with D.20-08-045. </w:t>
      </w:r>
    </w:p>
    <w:p w:rsidRPr="002B238F" w:rsidR="002C77FA" w:rsidP="00CA2562" w:rsidRDefault="002C77FA" w14:paraId="400F6716" w14:textId="23924BFD">
      <w:pPr>
        <w:pStyle w:val="ListParagraph"/>
        <w:numPr>
          <w:ilvl w:val="0"/>
          <w:numId w:val="30"/>
        </w:numPr>
        <w:rPr>
          <w:rFonts w:ascii="Palatino Linotype" w:hAnsi="Palatino Linotype"/>
          <w:b/>
          <w:bCs/>
          <w:sz w:val="24"/>
          <w:szCs w:val="24"/>
        </w:rPr>
      </w:pPr>
      <w:r w:rsidRPr="002B238F">
        <w:rPr>
          <w:rFonts w:ascii="Palatino Linotype" w:hAnsi="Palatino Linotype"/>
          <w:b/>
          <w:bCs/>
          <w:sz w:val="24"/>
          <w:szCs w:val="24"/>
        </w:rPr>
        <w:t xml:space="preserve">Plan and criteria of how to site DCFCs at short-dwell locations to maximize </w:t>
      </w:r>
      <w:r w:rsidRPr="002B238F" w:rsidR="00E132CF">
        <w:rPr>
          <w:rFonts w:ascii="Palatino Linotype" w:hAnsi="Palatino Linotype"/>
          <w:b/>
          <w:bCs/>
          <w:sz w:val="24"/>
          <w:szCs w:val="24"/>
        </w:rPr>
        <w:t>utilization.</w:t>
      </w:r>
    </w:p>
    <w:p w:rsidRPr="002B238F" w:rsidR="002C77FA" w:rsidP="5D73D4E8" w:rsidRDefault="002C77FA" w14:paraId="29F29D59" w14:textId="72A10131">
      <w:pPr>
        <w:pStyle w:val="ListParagraph"/>
        <w:numPr>
          <w:ilvl w:val="0"/>
          <w:numId w:val="1"/>
        </w:numPr>
        <w:rPr>
          <w:rFonts w:ascii="Palatino Linotype" w:hAnsi="Palatino Linotype" w:eastAsia="Times New Roman" w:cs="Times New Roman"/>
          <w:b/>
          <w:bCs/>
          <w:color w:val="0E101A"/>
          <w:sz w:val="24"/>
          <w:szCs w:val="24"/>
        </w:rPr>
      </w:pPr>
      <w:r w:rsidRPr="002B238F">
        <w:rPr>
          <w:rFonts w:ascii="Palatino Linotype" w:hAnsi="Palatino Linotype" w:eastAsia="Times New Roman" w:cs="Times New Roman"/>
          <w:b/>
          <w:bCs/>
          <w:color w:val="0E101A"/>
          <w:sz w:val="24"/>
          <w:szCs w:val="24"/>
        </w:rPr>
        <w:t xml:space="preserve">Primary and </w:t>
      </w:r>
      <w:r w:rsidRPr="002B238F" w:rsidR="001B7690">
        <w:rPr>
          <w:rFonts w:ascii="Palatino Linotype" w:hAnsi="Palatino Linotype" w:eastAsia="Times New Roman" w:cs="Times New Roman"/>
          <w:b/>
          <w:bCs/>
          <w:color w:val="0E101A"/>
          <w:sz w:val="24"/>
          <w:szCs w:val="24"/>
        </w:rPr>
        <w:t>s</w:t>
      </w:r>
      <w:r w:rsidRPr="002B238F">
        <w:rPr>
          <w:rFonts w:ascii="Palatino Linotype" w:hAnsi="Palatino Linotype" w:eastAsia="Times New Roman" w:cs="Times New Roman"/>
          <w:b/>
          <w:bCs/>
          <w:color w:val="0E101A"/>
          <w:sz w:val="24"/>
          <w:szCs w:val="24"/>
        </w:rPr>
        <w:t xml:space="preserve">econdary criteria for siting </w:t>
      </w:r>
    </w:p>
    <w:p w:rsidRPr="002B238F" w:rsidR="002C77FA" w:rsidP="002C77FA" w:rsidRDefault="002C77FA" w14:paraId="2B67C9A0" w14:textId="4C746949">
      <w:pPr>
        <w:spacing w:after="0" w:line="240" w:lineRule="auto"/>
        <w:rPr>
          <w:rFonts w:ascii="Palatino Linotype" w:hAnsi="Palatino Linotype" w:cs="Times New Roman"/>
          <w:sz w:val="24"/>
          <w:szCs w:val="24"/>
        </w:rPr>
      </w:pPr>
      <w:r w:rsidRPr="002B238F">
        <w:rPr>
          <w:rFonts w:ascii="Palatino Linotype" w:hAnsi="Palatino Linotype" w:cs="Times New Roman"/>
          <w:sz w:val="24"/>
          <w:szCs w:val="24"/>
        </w:rPr>
        <w:t xml:space="preserve">To align the benefits of DCFC charging with potential site locations, SCE will seek to site DCFC stations at or near short-term dwell locations where the expected parking time is two hours or less. SCE believes these criteria will provide drivers ample time to complete a charging session and maximize port utilization by increasing charging station availability to more users. Site candidates may include but are not limited to mixed-use retail shopping centers, libraries, community centers, and grocery stores.  </w:t>
      </w:r>
    </w:p>
    <w:p w:rsidRPr="002B238F" w:rsidR="00CE5013" w:rsidP="006D7876" w:rsidRDefault="00CE5013" w14:paraId="31A7F047" w14:textId="64269785">
      <w:pPr>
        <w:spacing w:after="0" w:line="240" w:lineRule="auto"/>
        <w:rPr>
          <w:rFonts w:ascii="Palatino Linotype" w:hAnsi="Palatino Linotype" w:cs="Times New Roman"/>
          <w:sz w:val="24"/>
          <w:szCs w:val="24"/>
        </w:rPr>
      </w:pPr>
    </w:p>
    <w:p w:rsidRPr="002B238F" w:rsidR="00163D00" w:rsidP="26007131" w:rsidRDefault="06AA4D1C" w14:paraId="57F3689F" w14:textId="49367EA6">
      <w:pPr>
        <w:spacing w:after="0" w:line="257" w:lineRule="auto"/>
        <w:rPr>
          <w:rFonts w:ascii="Palatino Linotype" w:hAnsi="Palatino Linotype" w:eastAsia="Palatino Linotype" w:cs="Palatino Linotype"/>
          <w:sz w:val="24"/>
          <w:szCs w:val="24"/>
        </w:rPr>
      </w:pPr>
      <w:r w:rsidRPr="002B238F">
        <w:rPr>
          <w:rFonts w:ascii="Palatino Linotype" w:hAnsi="Palatino Linotype" w:eastAsia="Palatino Linotype" w:cs="Palatino Linotype"/>
          <w:sz w:val="24"/>
          <w:szCs w:val="24"/>
        </w:rPr>
        <w:t xml:space="preserve">We </w:t>
      </w:r>
      <w:r w:rsidRPr="002B238F" w:rsidR="001214DD">
        <w:rPr>
          <w:rFonts w:ascii="Palatino Linotype" w:hAnsi="Palatino Linotype" w:eastAsia="Palatino Linotype" w:cs="Palatino Linotype"/>
          <w:sz w:val="24"/>
          <w:szCs w:val="24"/>
        </w:rPr>
        <w:t xml:space="preserve">find </w:t>
      </w:r>
      <w:r w:rsidRPr="002B238F" w:rsidR="00E365B0">
        <w:rPr>
          <w:rFonts w:ascii="Palatino Linotype" w:hAnsi="Palatino Linotype" w:eastAsia="Palatino Linotype" w:cs="Palatino Linotype"/>
          <w:sz w:val="24"/>
          <w:szCs w:val="24"/>
        </w:rPr>
        <w:t xml:space="preserve">SCE’s </w:t>
      </w:r>
      <w:r w:rsidRPr="002B238F" w:rsidR="00184335">
        <w:rPr>
          <w:rFonts w:ascii="Palatino Linotype" w:hAnsi="Palatino Linotype" w:eastAsia="Palatino Linotype" w:cs="Palatino Linotype"/>
          <w:sz w:val="24"/>
          <w:szCs w:val="24"/>
        </w:rPr>
        <w:t xml:space="preserve">proposal to </w:t>
      </w:r>
      <w:r w:rsidRPr="002B238F">
        <w:rPr>
          <w:rFonts w:ascii="Palatino Linotype" w:hAnsi="Palatino Linotype" w:eastAsia="Palatino Linotype" w:cs="Palatino Linotype"/>
          <w:sz w:val="24"/>
          <w:szCs w:val="24"/>
        </w:rPr>
        <w:t>locat</w:t>
      </w:r>
      <w:r w:rsidRPr="002B238F" w:rsidR="00184335">
        <w:rPr>
          <w:rFonts w:ascii="Palatino Linotype" w:hAnsi="Palatino Linotype" w:eastAsia="Palatino Linotype" w:cs="Palatino Linotype"/>
          <w:sz w:val="24"/>
          <w:szCs w:val="24"/>
        </w:rPr>
        <w:t>e</w:t>
      </w:r>
      <w:r w:rsidRPr="002B238F">
        <w:rPr>
          <w:rFonts w:ascii="Palatino Linotype" w:hAnsi="Palatino Linotype" w:eastAsia="Palatino Linotype" w:cs="Palatino Linotype"/>
          <w:sz w:val="24"/>
          <w:szCs w:val="24"/>
        </w:rPr>
        <w:t xml:space="preserve"> DCFCs at short dwell locations of two hours or less to </w:t>
      </w:r>
      <w:r w:rsidRPr="002B238F" w:rsidR="001214DD">
        <w:rPr>
          <w:rFonts w:ascii="Palatino Linotype" w:hAnsi="Palatino Linotype" w:eastAsia="Palatino Linotype" w:cs="Palatino Linotype"/>
          <w:sz w:val="24"/>
          <w:szCs w:val="24"/>
        </w:rPr>
        <w:t xml:space="preserve">be reasonable </w:t>
      </w:r>
      <w:r w:rsidRPr="002B238F" w:rsidR="00FC5DD5">
        <w:rPr>
          <w:rFonts w:ascii="Palatino Linotype" w:hAnsi="Palatino Linotype" w:eastAsia="Palatino Linotype" w:cs="Palatino Linotype"/>
          <w:sz w:val="24"/>
          <w:szCs w:val="24"/>
        </w:rPr>
        <w:t xml:space="preserve">as it will </w:t>
      </w:r>
      <w:r w:rsidRPr="002B238F">
        <w:rPr>
          <w:rFonts w:ascii="Palatino Linotype" w:hAnsi="Palatino Linotype" w:eastAsia="Palatino Linotype" w:cs="Palatino Linotype"/>
          <w:sz w:val="24"/>
          <w:szCs w:val="24"/>
        </w:rPr>
        <w:t>provide drivers with ample time to complete a charging session and maximize utilization by mitigating longer than needed stays.</w:t>
      </w:r>
      <w:r w:rsidRPr="002B238F" w:rsidR="00FC5DD5">
        <w:rPr>
          <w:rFonts w:ascii="Palatino Linotype" w:hAnsi="Palatino Linotype" w:eastAsia="Palatino Linotype" w:cs="Palatino Linotype"/>
          <w:sz w:val="24"/>
          <w:szCs w:val="24"/>
        </w:rPr>
        <w:t xml:space="preserve"> Further, this proposal aligns with the direction within D.20-0</w:t>
      </w:r>
      <w:r w:rsidRPr="002B238F" w:rsidR="001E72FF">
        <w:rPr>
          <w:rFonts w:ascii="Palatino Linotype" w:hAnsi="Palatino Linotype" w:eastAsia="Palatino Linotype" w:cs="Palatino Linotype"/>
          <w:sz w:val="24"/>
          <w:szCs w:val="24"/>
        </w:rPr>
        <w:t>8</w:t>
      </w:r>
      <w:r w:rsidRPr="002B238F" w:rsidR="00FC5DD5">
        <w:rPr>
          <w:rFonts w:ascii="Palatino Linotype" w:hAnsi="Palatino Linotype" w:eastAsia="Palatino Linotype" w:cs="Palatino Linotype"/>
          <w:sz w:val="24"/>
          <w:szCs w:val="24"/>
        </w:rPr>
        <w:t>-045.</w:t>
      </w:r>
      <w:r w:rsidRPr="002B238F">
        <w:rPr>
          <w:rFonts w:ascii="Palatino Linotype" w:hAnsi="Palatino Linotype" w:eastAsia="Palatino Linotype" w:cs="Palatino Linotype"/>
          <w:sz w:val="24"/>
          <w:szCs w:val="24"/>
        </w:rPr>
        <w:t xml:space="preserve"> </w:t>
      </w:r>
    </w:p>
    <w:p w:rsidRPr="002B238F" w:rsidR="00163D00" w:rsidP="26007131" w:rsidRDefault="00163D00" w14:paraId="47BDD979" w14:textId="77777777">
      <w:pPr>
        <w:spacing w:after="0" w:line="257" w:lineRule="auto"/>
        <w:rPr>
          <w:rFonts w:ascii="Palatino Linotype" w:hAnsi="Palatino Linotype" w:eastAsia="Palatino Linotype" w:cs="Palatino Linotype"/>
          <w:sz w:val="24"/>
          <w:szCs w:val="24"/>
        </w:rPr>
      </w:pPr>
    </w:p>
    <w:p w:rsidRPr="002B238F" w:rsidR="00BA053C" w:rsidP="26007131" w:rsidRDefault="00163D00" w14:paraId="2B9F641E" w14:textId="1B4DBDCC">
      <w:pPr>
        <w:spacing w:after="0" w:line="257" w:lineRule="auto"/>
        <w:rPr>
          <w:rFonts w:ascii="Palatino Linotype" w:hAnsi="Palatino Linotype" w:eastAsia="Palatino Linotype" w:cs="Palatino Linotype"/>
          <w:sz w:val="24"/>
          <w:szCs w:val="24"/>
        </w:rPr>
      </w:pPr>
      <w:r w:rsidRPr="002B238F">
        <w:rPr>
          <w:rFonts w:ascii="Palatino Linotype" w:hAnsi="Palatino Linotype" w:eastAsia="Palatino Linotype" w:cs="Palatino Linotype"/>
          <w:sz w:val="24"/>
          <w:szCs w:val="24"/>
        </w:rPr>
        <w:lastRenderedPageBreak/>
        <w:t>S</w:t>
      </w:r>
      <w:r w:rsidRPr="002B238F" w:rsidR="06AA4D1C">
        <w:rPr>
          <w:rFonts w:ascii="Palatino Linotype" w:hAnsi="Palatino Linotype" w:eastAsia="Palatino Linotype" w:cs="Palatino Linotype"/>
          <w:sz w:val="24"/>
          <w:szCs w:val="24"/>
        </w:rPr>
        <w:t xml:space="preserve">hould SCE need to locate DCFCs near short-dwell locations in instances where it may not be feasible to locate DCFCs at short-dwell locations, </w:t>
      </w:r>
      <w:r w:rsidRPr="002B238F">
        <w:rPr>
          <w:rFonts w:ascii="Palatino Linotype" w:hAnsi="Palatino Linotype" w:eastAsia="Palatino Linotype" w:cs="Palatino Linotype"/>
          <w:sz w:val="24"/>
          <w:szCs w:val="24"/>
        </w:rPr>
        <w:t xml:space="preserve">we find it reasonable that </w:t>
      </w:r>
      <w:r w:rsidRPr="002B238F" w:rsidR="06AA4D1C">
        <w:rPr>
          <w:rFonts w:ascii="Palatino Linotype" w:hAnsi="Palatino Linotype" w:eastAsia="Palatino Linotype" w:cs="Palatino Linotype"/>
          <w:sz w:val="24"/>
          <w:szCs w:val="24"/>
        </w:rPr>
        <w:t>SCE may</w:t>
      </w:r>
      <w:r w:rsidRPr="002B238F" w:rsidR="00F86225">
        <w:rPr>
          <w:rFonts w:ascii="Palatino Linotype" w:hAnsi="Palatino Linotype" w:eastAsia="Palatino Linotype" w:cs="Palatino Linotype"/>
          <w:sz w:val="24"/>
          <w:szCs w:val="24"/>
        </w:rPr>
        <w:t xml:space="preserve"> do so. In this circumstance, siting </w:t>
      </w:r>
      <w:r w:rsidRPr="002B238F" w:rsidR="06AA4D1C">
        <w:rPr>
          <w:rFonts w:ascii="Palatino Linotype" w:hAnsi="Palatino Linotype" w:eastAsia="Palatino Linotype" w:cs="Palatino Linotype"/>
          <w:sz w:val="24"/>
          <w:szCs w:val="24"/>
        </w:rPr>
        <w:t xml:space="preserve">near short-dwell high utilization areas </w:t>
      </w:r>
      <w:r w:rsidRPr="002B238F" w:rsidR="00A81289">
        <w:rPr>
          <w:rFonts w:ascii="Palatino Linotype" w:hAnsi="Palatino Linotype" w:eastAsia="Palatino Linotype" w:cs="Palatino Linotype"/>
          <w:sz w:val="24"/>
          <w:szCs w:val="24"/>
        </w:rPr>
        <w:t xml:space="preserve">should occur </w:t>
      </w:r>
      <w:r w:rsidRPr="002B238F" w:rsidR="06AA4D1C">
        <w:rPr>
          <w:rFonts w:ascii="Palatino Linotype" w:hAnsi="Palatino Linotype" w:eastAsia="Palatino Linotype" w:cs="Palatino Linotype"/>
          <w:sz w:val="24"/>
          <w:szCs w:val="24"/>
        </w:rPr>
        <w:t xml:space="preserve">following the site prioritization criteria approved in this </w:t>
      </w:r>
      <w:r w:rsidRPr="002B238F" w:rsidR="00A81289">
        <w:rPr>
          <w:rFonts w:ascii="Palatino Linotype" w:hAnsi="Palatino Linotype" w:eastAsia="Palatino Linotype" w:cs="Palatino Linotype"/>
          <w:sz w:val="24"/>
          <w:szCs w:val="24"/>
        </w:rPr>
        <w:t>R</w:t>
      </w:r>
      <w:r w:rsidRPr="002B238F" w:rsidR="06AA4D1C">
        <w:rPr>
          <w:rFonts w:ascii="Palatino Linotype" w:hAnsi="Palatino Linotype" w:eastAsia="Palatino Linotype" w:cs="Palatino Linotype"/>
          <w:sz w:val="24"/>
          <w:szCs w:val="24"/>
        </w:rPr>
        <w:t xml:space="preserve">esolution. SCE must ensure locations and the proximity to and from the charger </w:t>
      </w:r>
      <w:r w:rsidRPr="002B238F" w:rsidR="00BA053C">
        <w:rPr>
          <w:rFonts w:ascii="Palatino Linotype" w:hAnsi="Palatino Linotype" w:eastAsia="Palatino Linotype" w:cs="Palatino Linotype"/>
          <w:sz w:val="24"/>
          <w:szCs w:val="24"/>
        </w:rPr>
        <w:t>are</w:t>
      </w:r>
      <w:r w:rsidRPr="002B238F" w:rsidR="06AA4D1C">
        <w:rPr>
          <w:rFonts w:ascii="Palatino Linotype" w:hAnsi="Palatino Linotype" w:eastAsia="Palatino Linotype" w:cs="Palatino Linotype"/>
          <w:sz w:val="24"/>
          <w:szCs w:val="24"/>
        </w:rPr>
        <w:t xml:space="preserve"> convenient to users when unable to locate at short dwell locations. </w:t>
      </w:r>
    </w:p>
    <w:p w:rsidRPr="002B238F" w:rsidR="002C77FA" w:rsidP="26007131" w:rsidRDefault="06AA4D1C" w14:paraId="62B29478" w14:textId="4B7C4AC9">
      <w:pPr>
        <w:spacing w:after="0" w:line="257" w:lineRule="auto"/>
        <w:rPr>
          <w:rFonts w:ascii="Palatino Linotype" w:hAnsi="Palatino Linotype" w:cs="Times New Roman"/>
          <w:strike/>
          <w:sz w:val="24"/>
          <w:szCs w:val="24"/>
        </w:rPr>
      </w:pPr>
      <w:r w:rsidRPr="002B238F">
        <w:rPr>
          <w:rFonts w:ascii="Palatino Linotype" w:hAnsi="Palatino Linotype" w:eastAsia="Palatino Linotype" w:cs="Palatino Linotype"/>
          <w:sz w:val="24"/>
          <w:szCs w:val="24"/>
        </w:rPr>
        <w:t xml:space="preserve">We direct SCE to collect data to </w:t>
      </w:r>
      <w:r w:rsidRPr="002B238F" w:rsidR="00BA053C">
        <w:rPr>
          <w:rFonts w:ascii="Palatino Linotype" w:hAnsi="Palatino Linotype" w:eastAsia="Palatino Linotype" w:cs="Palatino Linotype"/>
          <w:sz w:val="24"/>
          <w:szCs w:val="24"/>
        </w:rPr>
        <w:t xml:space="preserve">support the </w:t>
      </w:r>
      <w:r w:rsidRPr="002B238F">
        <w:rPr>
          <w:rFonts w:ascii="Palatino Linotype" w:hAnsi="Palatino Linotype" w:eastAsia="Palatino Linotype" w:cs="Palatino Linotype"/>
          <w:sz w:val="24"/>
          <w:szCs w:val="24"/>
        </w:rPr>
        <w:t>evaluat</w:t>
      </w:r>
      <w:r w:rsidRPr="002B238F" w:rsidR="00BA053C">
        <w:rPr>
          <w:rFonts w:ascii="Palatino Linotype" w:hAnsi="Palatino Linotype" w:eastAsia="Palatino Linotype" w:cs="Palatino Linotype"/>
          <w:sz w:val="24"/>
          <w:szCs w:val="24"/>
        </w:rPr>
        <w:t>ion</w:t>
      </w:r>
      <w:r w:rsidRPr="002B238F">
        <w:rPr>
          <w:rFonts w:ascii="Palatino Linotype" w:hAnsi="Palatino Linotype" w:eastAsia="Palatino Linotype" w:cs="Palatino Linotype"/>
          <w:sz w:val="24"/>
          <w:szCs w:val="24"/>
        </w:rPr>
        <w:t xml:space="preserve"> </w:t>
      </w:r>
      <w:r w:rsidRPr="002B238F" w:rsidR="00BA053C">
        <w:rPr>
          <w:rFonts w:ascii="Palatino Linotype" w:hAnsi="Palatino Linotype" w:eastAsia="Palatino Linotype" w:cs="Palatino Linotype"/>
          <w:sz w:val="24"/>
          <w:szCs w:val="24"/>
        </w:rPr>
        <w:t xml:space="preserve">of </w:t>
      </w:r>
      <w:r w:rsidRPr="002B238F">
        <w:rPr>
          <w:rFonts w:ascii="Palatino Linotype" w:hAnsi="Palatino Linotype" w:eastAsia="Palatino Linotype" w:cs="Palatino Linotype"/>
          <w:sz w:val="24"/>
          <w:szCs w:val="24"/>
        </w:rPr>
        <w:t>the effectiveness of locating DCFCs near short-dwell locations</w:t>
      </w:r>
      <w:r w:rsidRPr="002B238F" w:rsidR="00BA053C">
        <w:rPr>
          <w:rFonts w:ascii="Palatino Linotype" w:hAnsi="Palatino Linotype" w:eastAsia="Palatino Linotype" w:cs="Palatino Linotype"/>
          <w:sz w:val="24"/>
          <w:szCs w:val="24"/>
        </w:rPr>
        <w:t xml:space="preserve"> and at short-dwell time locations, </w:t>
      </w:r>
      <w:r w:rsidRPr="002B238F" w:rsidR="00CA3B50">
        <w:rPr>
          <w:rFonts w:ascii="Palatino Linotype" w:hAnsi="Palatino Linotype" w:eastAsia="Palatino Linotype" w:cs="Palatino Linotype"/>
          <w:sz w:val="24"/>
          <w:szCs w:val="24"/>
        </w:rPr>
        <w:t>and the impact of these siting options on charger</w:t>
      </w:r>
      <w:r w:rsidRPr="002B238F">
        <w:rPr>
          <w:rFonts w:ascii="Palatino Linotype" w:hAnsi="Palatino Linotype" w:eastAsia="Palatino Linotype" w:cs="Palatino Linotype"/>
          <w:sz w:val="24"/>
          <w:szCs w:val="24"/>
        </w:rPr>
        <w:t xml:space="preserve"> utilization</w:t>
      </w:r>
      <w:r w:rsidRPr="002B238F" w:rsidR="00CE5013">
        <w:rPr>
          <w:rFonts w:ascii="Palatino Linotype" w:hAnsi="Palatino Linotype" w:cs="Times New Roman"/>
          <w:sz w:val="24"/>
          <w:szCs w:val="24"/>
        </w:rPr>
        <w:t>.</w:t>
      </w:r>
      <w:r w:rsidRPr="002B238F" w:rsidR="00CA3B50">
        <w:rPr>
          <w:rFonts w:ascii="Palatino Linotype" w:hAnsi="Palatino Linotype" w:cs="Times New Roman"/>
          <w:sz w:val="24"/>
          <w:szCs w:val="24"/>
        </w:rPr>
        <w:t xml:space="preserve"> SCE shall work directly with Energy Division staff to develop data </w:t>
      </w:r>
      <w:r w:rsidRPr="002B238F" w:rsidR="000049F3">
        <w:rPr>
          <w:rFonts w:ascii="Palatino Linotype" w:hAnsi="Palatino Linotype" w:cs="Times New Roman"/>
          <w:sz w:val="24"/>
          <w:szCs w:val="24"/>
        </w:rPr>
        <w:t xml:space="preserve">collection requirements to meet this objective. SCE shall include this data within its </w:t>
      </w:r>
      <w:r w:rsidRPr="002B238F" w:rsidR="000049F3">
        <w:rPr>
          <w:rFonts w:ascii="Palatino Linotype" w:hAnsi="Palatino Linotype"/>
          <w:sz w:val="24"/>
          <w:szCs w:val="24"/>
        </w:rPr>
        <w:t>CR2 annual program report.</w:t>
      </w:r>
    </w:p>
    <w:p w:rsidRPr="002B238F" w:rsidR="002C77FA" w:rsidP="002C77FA" w:rsidRDefault="002C77FA" w14:paraId="77F6A8DD" w14:textId="77777777">
      <w:pPr>
        <w:spacing w:after="0" w:line="240" w:lineRule="auto"/>
        <w:rPr>
          <w:rFonts w:ascii="Palatino Linotype" w:hAnsi="Palatino Linotype" w:cs="Times New Roman"/>
          <w:sz w:val="24"/>
          <w:szCs w:val="24"/>
        </w:rPr>
      </w:pPr>
    </w:p>
    <w:p w:rsidRPr="002B238F" w:rsidR="002C77FA" w:rsidP="5D73D4E8" w:rsidRDefault="00851D34" w14:paraId="77342D80" w14:textId="7A4DD709">
      <w:pPr>
        <w:pStyle w:val="ListParagraph"/>
        <w:numPr>
          <w:ilvl w:val="0"/>
          <w:numId w:val="1"/>
        </w:numPr>
        <w:spacing w:after="0" w:line="240" w:lineRule="auto"/>
        <w:rPr>
          <w:rFonts w:ascii="Palatino Linotype" w:hAnsi="Palatino Linotype" w:cs="Times New Roman"/>
          <w:b/>
          <w:bCs/>
          <w:sz w:val="24"/>
          <w:szCs w:val="24"/>
        </w:rPr>
      </w:pPr>
      <w:r w:rsidRPr="002B238F">
        <w:rPr>
          <w:rFonts w:ascii="Palatino Linotype" w:hAnsi="Palatino Linotype" w:cs="Times New Roman"/>
          <w:b/>
          <w:bCs/>
          <w:sz w:val="24"/>
          <w:szCs w:val="24"/>
        </w:rPr>
        <w:t>Co</w:t>
      </w:r>
      <w:r w:rsidRPr="002B238F" w:rsidR="00CF1067">
        <w:rPr>
          <w:rFonts w:ascii="Palatino Linotype" w:hAnsi="Palatino Linotype" w:cs="Times New Roman"/>
          <w:b/>
          <w:bCs/>
          <w:sz w:val="24"/>
          <w:szCs w:val="24"/>
        </w:rPr>
        <w:t>-</w:t>
      </w:r>
      <w:r w:rsidRPr="002B238F">
        <w:rPr>
          <w:rFonts w:ascii="Palatino Linotype" w:hAnsi="Palatino Linotype" w:cs="Times New Roman"/>
          <w:b/>
          <w:bCs/>
          <w:sz w:val="24"/>
          <w:szCs w:val="24"/>
        </w:rPr>
        <w:t>location</w:t>
      </w:r>
      <w:r w:rsidRPr="002B238F" w:rsidR="002C77FA">
        <w:rPr>
          <w:rFonts w:ascii="Palatino Linotype" w:hAnsi="Palatino Linotype" w:cs="Times New Roman"/>
          <w:b/>
          <w:bCs/>
          <w:sz w:val="24"/>
          <w:szCs w:val="24"/>
        </w:rPr>
        <w:t xml:space="preserve"> </w:t>
      </w:r>
    </w:p>
    <w:p w:rsidRPr="002B238F" w:rsidR="002C77FA" w:rsidP="00CC60E7" w:rsidRDefault="002C77FA" w14:paraId="27C27C8A" w14:textId="2F905C9F">
      <w:pPr>
        <w:spacing w:after="0"/>
        <w:rPr>
          <w:rFonts w:ascii="Palatino Linotype" w:hAnsi="Palatino Linotype" w:eastAsia="Times New Roman" w:cs="Times New Roman"/>
          <w:color w:val="0E101A"/>
          <w:sz w:val="24"/>
          <w:szCs w:val="24"/>
        </w:rPr>
      </w:pPr>
      <w:r w:rsidRPr="002B238F">
        <w:rPr>
          <w:rFonts w:ascii="Palatino Linotype" w:hAnsi="Palatino Linotype" w:cs="Times New Roman"/>
          <w:sz w:val="24"/>
          <w:szCs w:val="24"/>
        </w:rPr>
        <w:t xml:space="preserve">SCE </w:t>
      </w:r>
      <w:r w:rsidRPr="002B238F" w:rsidR="00BA7A11">
        <w:rPr>
          <w:rFonts w:ascii="Palatino Linotype" w:hAnsi="Palatino Linotype" w:cs="Times New Roman"/>
          <w:sz w:val="24"/>
          <w:szCs w:val="24"/>
        </w:rPr>
        <w:t xml:space="preserve">within </w:t>
      </w:r>
      <w:r w:rsidRPr="002B238F" w:rsidR="002B41FF">
        <w:rPr>
          <w:rFonts w:ascii="Palatino Linotype" w:hAnsi="Palatino Linotype" w:cs="Times New Roman"/>
          <w:sz w:val="24"/>
          <w:szCs w:val="24"/>
        </w:rPr>
        <w:t xml:space="preserve">AL 4433 </w:t>
      </w:r>
      <w:r w:rsidRPr="002B238F" w:rsidR="00FA647C">
        <w:rPr>
          <w:rFonts w:ascii="Palatino Linotype" w:hAnsi="Palatino Linotype" w:cs="Times New Roman"/>
          <w:sz w:val="24"/>
          <w:szCs w:val="24"/>
        </w:rPr>
        <w:t>proposes to</w:t>
      </w:r>
      <w:r w:rsidRPr="002B238F">
        <w:rPr>
          <w:rFonts w:ascii="Palatino Linotype" w:hAnsi="Palatino Linotype" w:cs="Times New Roman"/>
          <w:sz w:val="24"/>
          <w:szCs w:val="24"/>
        </w:rPr>
        <w:t xml:space="preserve"> </w:t>
      </w:r>
      <w:r w:rsidRPr="002B238F" w:rsidR="00851D34">
        <w:rPr>
          <w:rFonts w:ascii="Palatino Linotype" w:hAnsi="Palatino Linotype" w:cs="Times New Roman"/>
          <w:sz w:val="24"/>
          <w:szCs w:val="24"/>
        </w:rPr>
        <w:t>co</w:t>
      </w:r>
      <w:r w:rsidRPr="002B238F" w:rsidR="00893024">
        <w:rPr>
          <w:rFonts w:ascii="Palatino Linotype" w:hAnsi="Palatino Linotype" w:cs="Times New Roman"/>
          <w:sz w:val="24"/>
          <w:szCs w:val="24"/>
        </w:rPr>
        <w:t>-</w:t>
      </w:r>
      <w:r w:rsidRPr="002B238F" w:rsidR="00851D34">
        <w:rPr>
          <w:rFonts w:ascii="Palatino Linotype" w:hAnsi="Palatino Linotype" w:cs="Times New Roman"/>
          <w:sz w:val="24"/>
          <w:szCs w:val="24"/>
        </w:rPr>
        <w:t>locate</w:t>
      </w:r>
      <w:r w:rsidRPr="002B238F">
        <w:rPr>
          <w:rFonts w:ascii="Palatino Linotype" w:hAnsi="Palatino Linotype" w:cs="Times New Roman"/>
          <w:sz w:val="24"/>
          <w:szCs w:val="24"/>
        </w:rPr>
        <w:t xml:space="preserve"> </w:t>
      </w:r>
      <w:r w:rsidRPr="002B238F" w:rsidR="00523841">
        <w:rPr>
          <w:rFonts w:ascii="Palatino Linotype" w:hAnsi="Palatino Linotype" w:cs="Times New Roman"/>
          <w:sz w:val="24"/>
          <w:szCs w:val="24"/>
        </w:rPr>
        <w:t>L2</w:t>
      </w:r>
      <w:r w:rsidRPr="002B238F">
        <w:rPr>
          <w:rFonts w:ascii="Palatino Linotype" w:hAnsi="Palatino Linotype" w:cs="Times New Roman"/>
          <w:sz w:val="24"/>
          <w:szCs w:val="24"/>
        </w:rPr>
        <w:t xml:space="preserve"> chargers with DCFC when and where </w:t>
      </w:r>
      <w:r w:rsidRPr="002B238F" w:rsidR="00851D34">
        <w:rPr>
          <w:rFonts w:ascii="Palatino Linotype" w:hAnsi="Palatino Linotype" w:cs="Times New Roman"/>
          <w:sz w:val="24"/>
          <w:szCs w:val="24"/>
        </w:rPr>
        <w:t>colocation</w:t>
      </w:r>
      <w:r w:rsidRPr="002B238F">
        <w:rPr>
          <w:rFonts w:ascii="Palatino Linotype" w:hAnsi="Palatino Linotype" w:cs="Times New Roman"/>
          <w:sz w:val="24"/>
          <w:szCs w:val="24"/>
        </w:rPr>
        <w:t xml:space="preserve"> makes sense</w:t>
      </w:r>
      <w:r w:rsidRPr="002B238F" w:rsidR="00FA647C">
        <w:rPr>
          <w:rFonts w:ascii="Palatino Linotype" w:hAnsi="Palatino Linotype" w:cs="Times New Roman"/>
          <w:sz w:val="24"/>
          <w:szCs w:val="24"/>
        </w:rPr>
        <w:t>. SCE argues</w:t>
      </w:r>
      <w:r w:rsidRPr="002B238F" w:rsidR="002B41FF">
        <w:rPr>
          <w:rFonts w:ascii="Palatino Linotype" w:hAnsi="Palatino Linotype" w:cs="Times New Roman"/>
          <w:sz w:val="24"/>
          <w:szCs w:val="24"/>
        </w:rPr>
        <w:t xml:space="preserve"> in that filing that</w:t>
      </w:r>
      <w:r w:rsidRPr="002B238F" w:rsidR="00FA647C">
        <w:rPr>
          <w:rFonts w:ascii="Palatino Linotype" w:hAnsi="Palatino Linotype" w:cs="Times New Roman"/>
          <w:sz w:val="24"/>
          <w:szCs w:val="24"/>
        </w:rPr>
        <w:t xml:space="preserve"> this approach </w:t>
      </w:r>
      <w:r w:rsidRPr="002B238F">
        <w:rPr>
          <w:rFonts w:ascii="Palatino Linotype" w:hAnsi="Palatino Linotype" w:cs="Times New Roman"/>
          <w:sz w:val="24"/>
          <w:szCs w:val="24"/>
        </w:rPr>
        <w:t xml:space="preserve">may reduce </w:t>
      </w:r>
      <w:r w:rsidR="00CC60E7">
        <w:rPr>
          <w:rFonts w:ascii="Palatino Linotype" w:hAnsi="Palatino Linotype" w:cs="Times New Roman"/>
          <w:sz w:val="24"/>
          <w:szCs w:val="24"/>
        </w:rPr>
        <w:br/>
      </w:r>
      <w:r w:rsidRPr="002B238F">
        <w:rPr>
          <w:rFonts w:ascii="Palatino Linotype" w:hAnsi="Palatino Linotype" w:cs="Times New Roman"/>
          <w:sz w:val="24"/>
          <w:szCs w:val="24"/>
        </w:rPr>
        <w:t>utility-side and customer-side make-ready infrastructure costs.</w:t>
      </w:r>
      <w:r w:rsidRPr="002B238F">
        <w:rPr>
          <w:rStyle w:val="FootnoteReference"/>
          <w:rFonts w:ascii="Palatino Linotype" w:hAnsi="Palatino Linotype"/>
          <w:color w:val="0E101A"/>
          <w:sz w:val="24"/>
          <w:szCs w:val="24"/>
        </w:rPr>
        <w:footnoteReference w:id="16"/>
      </w:r>
      <w:r w:rsidRPr="002B238F">
        <w:rPr>
          <w:rFonts w:ascii="Palatino Linotype" w:hAnsi="Palatino Linotype" w:eastAsia="Times New Roman" w:cs="Times New Roman"/>
          <w:color w:val="0E101A"/>
          <w:sz w:val="24"/>
          <w:szCs w:val="24"/>
        </w:rPr>
        <w:t xml:space="preserve"> SCE </w:t>
      </w:r>
      <w:r w:rsidRPr="002B238F" w:rsidR="00A13556">
        <w:rPr>
          <w:rFonts w:ascii="Palatino Linotype" w:hAnsi="Palatino Linotype" w:eastAsia="Times New Roman" w:cs="Times New Roman"/>
          <w:color w:val="0E101A"/>
          <w:sz w:val="24"/>
          <w:szCs w:val="24"/>
        </w:rPr>
        <w:t xml:space="preserve">also states that it </w:t>
      </w:r>
      <w:r w:rsidRPr="002B238F">
        <w:rPr>
          <w:rFonts w:ascii="Palatino Linotype" w:hAnsi="Palatino Linotype" w:eastAsia="Times New Roman" w:cs="Times New Roman"/>
          <w:color w:val="0E101A"/>
          <w:sz w:val="24"/>
          <w:szCs w:val="24"/>
        </w:rPr>
        <w:t>will determine if DAC sites that choose to participate in CR2 for L2 installations and select MUD</w:t>
      </w:r>
      <w:r w:rsidRPr="002B238F" w:rsidR="00A13556">
        <w:rPr>
          <w:rFonts w:ascii="Palatino Linotype" w:hAnsi="Palatino Linotype" w:eastAsia="Times New Roman" w:cs="Times New Roman"/>
          <w:color w:val="0E101A"/>
          <w:sz w:val="24"/>
          <w:szCs w:val="24"/>
        </w:rPr>
        <w:t>-</w:t>
      </w:r>
      <w:r w:rsidRPr="002B238F">
        <w:rPr>
          <w:rFonts w:ascii="Palatino Linotype" w:hAnsi="Palatino Linotype" w:eastAsia="Times New Roman" w:cs="Times New Roman"/>
          <w:color w:val="0E101A"/>
          <w:sz w:val="24"/>
          <w:szCs w:val="24"/>
        </w:rPr>
        <w:t xml:space="preserve">serving sites would be potential candidates for </w:t>
      </w:r>
      <w:r w:rsidRPr="002B238F" w:rsidR="00851D34">
        <w:rPr>
          <w:rFonts w:ascii="Palatino Linotype" w:hAnsi="Palatino Linotype" w:eastAsia="Times New Roman" w:cs="Times New Roman"/>
          <w:color w:val="0E101A"/>
          <w:sz w:val="24"/>
          <w:szCs w:val="24"/>
        </w:rPr>
        <w:t>co</w:t>
      </w:r>
      <w:r w:rsidRPr="002B238F" w:rsidR="00893024">
        <w:rPr>
          <w:rFonts w:ascii="Palatino Linotype" w:hAnsi="Palatino Linotype" w:eastAsia="Times New Roman" w:cs="Times New Roman"/>
          <w:color w:val="0E101A"/>
          <w:sz w:val="24"/>
          <w:szCs w:val="24"/>
        </w:rPr>
        <w:t>-</w:t>
      </w:r>
      <w:r w:rsidRPr="002B238F" w:rsidR="00851D34">
        <w:rPr>
          <w:rFonts w:ascii="Palatino Linotype" w:hAnsi="Palatino Linotype" w:eastAsia="Times New Roman" w:cs="Times New Roman"/>
          <w:color w:val="0E101A"/>
          <w:sz w:val="24"/>
          <w:szCs w:val="24"/>
        </w:rPr>
        <w:t>locate</w:t>
      </w:r>
      <w:r w:rsidRPr="002B238F">
        <w:rPr>
          <w:rFonts w:ascii="Palatino Linotype" w:hAnsi="Palatino Linotype" w:eastAsia="Times New Roman" w:cs="Times New Roman"/>
          <w:color w:val="0E101A"/>
          <w:sz w:val="24"/>
          <w:szCs w:val="24"/>
        </w:rPr>
        <w:t xml:space="preserve">d DCFC ports in the early phase of the site assessment process. </w:t>
      </w:r>
      <w:r w:rsidRPr="002B238F" w:rsidR="0079179A">
        <w:rPr>
          <w:rFonts w:ascii="Palatino Linotype" w:hAnsi="Palatino Linotype" w:eastAsia="Times New Roman" w:cs="Times New Roman"/>
          <w:color w:val="0E101A"/>
          <w:sz w:val="24"/>
          <w:szCs w:val="24"/>
        </w:rPr>
        <w:t xml:space="preserve">However, </w:t>
      </w:r>
      <w:r w:rsidRPr="002B238F" w:rsidR="000809C7">
        <w:rPr>
          <w:rFonts w:ascii="Palatino Linotype" w:hAnsi="Palatino Linotype" w:eastAsia="Times New Roman" w:cs="Times New Roman"/>
          <w:color w:val="0E101A"/>
          <w:sz w:val="24"/>
          <w:szCs w:val="24"/>
        </w:rPr>
        <w:t xml:space="preserve">SCE </w:t>
      </w:r>
      <w:r w:rsidRPr="002B238F" w:rsidR="00893024">
        <w:rPr>
          <w:rFonts w:ascii="Palatino Linotype" w:hAnsi="Palatino Linotype" w:eastAsia="Times New Roman" w:cs="Times New Roman"/>
          <w:color w:val="0E101A"/>
          <w:sz w:val="24"/>
          <w:szCs w:val="24"/>
        </w:rPr>
        <w:t>within the supplemental AL</w:t>
      </w:r>
      <w:r w:rsidRPr="002B238F" w:rsidR="002B41FF">
        <w:rPr>
          <w:rFonts w:ascii="Palatino Linotype" w:hAnsi="Palatino Linotype" w:eastAsia="Times New Roman" w:cs="Times New Roman"/>
          <w:color w:val="0E101A"/>
          <w:sz w:val="24"/>
          <w:szCs w:val="24"/>
        </w:rPr>
        <w:t>, AL</w:t>
      </w:r>
      <w:r w:rsidRPr="002B238F" w:rsidR="00C434C5">
        <w:rPr>
          <w:rFonts w:ascii="Palatino Linotype" w:hAnsi="Palatino Linotype" w:eastAsia="Times New Roman" w:cs="Times New Roman"/>
          <w:color w:val="0E101A"/>
          <w:sz w:val="24"/>
          <w:szCs w:val="24"/>
        </w:rPr>
        <w:t xml:space="preserve"> 4433-E-A,</w:t>
      </w:r>
      <w:r w:rsidRPr="002B238F" w:rsidR="00893024">
        <w:rPr>
          <w:rFonts w:ascii="Palatino Linotype" w:hAnsi="Palatino Linotype" w:eastAsia="Times New Roman" w:cs="Times New Roman"/>
          <w:color w:val="0E101A"/>
          <w:sz w:val="24"/>
          <w:szCs w:val="24"/>
        </w:rPr>
        <w:t xml:space="preserve"> clarifies </w:t>
      </w:r>
      <w:r w:rsidRPr="002B238F" w:rsidR="0079179A">
        <w:rPr>
          <w:rFonts w:ascii="Palatino Linotype" w:hAnsi="Palatino Linotype" w:eastAsia="Times New Roman" w:cs="Times New Roman"/>
          <w:color w:val="0E101A"/>
          <w:sz w:val="24"/>
          <w:szCs w:val="24"/>
        </w:rPr>
        <w:t>that</w:t>
      </w:r>
      <w:r w:rsidRPr="002B238F" w:rsidR="000809C7">
        <w:rPr>
          <w:rFonts w:ascii="Palatino Linotype" w:hAnsi="Palatino Linotype" w:eastAsia="Times New Roman" w:cs="Times New Roman"/>
          <w:color w:val="0E101A"/>
          <w:sz w:val="24"/>
          <w:szCs w:val="24"/>
        </w:rPr>
        <w:t xml:space="preserve"> by focusing on CSMR the</w:t>
      </w:r>
      <w:r w:rsidRPr="002B238F" w:rsidR="0013159B">
        <w:rPr>
          <w:rFonts w:ascii="Palatino Linotype" w:hAnsi="Palatino Linotype" w:eastAsia="Times New Roman" w:cs="Times New Roman"/>
          <w:color w:val="0E101A"/>
          <w:sz w:val="24"/>
          <w:szCs w:val="24"/>
        </w:rPr>
        <w:t xml:space="preserve"> program</w:t>
      </w:r>
      <w:r w:rsidRPr="002B238F" w:rsidR="000809C7">
        <w:rPr>
          <w:rFonts w:ascii="Palatino Linotype" w:hAnsi="Palatino Linotype" w:eastAsia="Times New Roman" w:cs="Times New Roman"/>
          <w:color w:val="0E101A"/>
          <w:sz w:val="24"/>
          <w:szCs w:val="24"/>
        </w:rPr>
        <w:t xml:space="preserve"> may have additional budgetary flexibility to deemphasize the need to co</w:t>
      </w:r>
      <w:r w:rsidRPr="002B238F" w:rsidR="00B8668D">
        <w:rPr>
          <w:rFonts w:ascii="Palatino Linotype" w:hAnsi="Palatino Linotype" w:eastAsia="Times New Roman" w:cs="Times New Roman"/>
          <w:color w:val="0E101A"/>
          <w:sz w:val="24"/>
          <w:szCs w:val="24"/>
        </w:rPr>
        <w:t>-</w:t>
      </w:r>
      <w:r w:rsidRPr="002B238F" w:rsidR="000809C7">
        <w:rPr>
          <w:rFonts w:ascii="Palatino Linotype" w:hAnsi="Palatino Linotype" w:eastAsia="Times New Roman" w:cs="Times New Roman"/>
          <w:color w:val="0E101A"/>
          <w:sz w:val="24"/>
          <w:szCs w:val="24"/>
        </w:rPr>
        <w:t xml:space="preserve">locate DCFC with </w:t>
      </w:r>
      <w:r w:rsidRPr="002B238F" w:rsidR="0079179A">
        <w:rPr>
          <w:rFonts w:ascii="Palatino Linotype" w:hAnsi="Palatino Linotype" w:eastAsia="Times New Roman" w:cs="Times New Roman"/>
          <w:color w:val="0E101A"/>
          <w:sz w:val="24"/>
          <w:szCs w:val="24"/>
        </w:rPr>
        <w:t>L</w:t>
      </w:r>
      <w:r w:rsidRPr="002B238F" w:rsidR="000809C7">
        <w:rPr>
          <w:rFonts w:ascii="Palatino Linotype" w:hAnsi="Palatino Linotype" w:eastAsia="Times New Roman" w:cs="Times New Roman"/>
          <w:color w:val="0E101A"/>
          <w:sz w:val="24"/>
          <w:szCs w:val="24"/>
        </w:rPr>
        <w:t>2 chargers.</w:t>
      </w:r>
    </w:p>
    <w:p w:rsidRPr="002B238F" w:rsidR="005C71AD" w:rsidP="00CC60E7" w:rsidRDefault="00605418" w14:paraId="6A44BBAB" w14:textId="5F4CB1E1">
      <w:pPr>
        <w:spacing w:after="0"/>
        <w:rPr>
          <w:rFonts w:ascii="Palatino Linotype" w:hAnsi="Palatino Linotype" w:eastAsia="Times New Roman" w:cs="Times New Roman"/>
          <w:sz w:val="24"/>
          <w:szCs w:val="24"/>
        </w:rPr>
      </w:pPr>
      <w:r w:rsidRPr="002B238F">
        <w:rPr>
          <w:rFonts w:ascii="Palatino Linotype" w:hAnsi="Palatino Linotype" w:cs="Times New Roman"/>
          <w:sz w:val="24"/>
          <w:szCs w:val="24"/>
        </w:rPr>
        <w:t xml:space="preserve">D.20-08-045 </w:t>
      </w:r>
      <w:r w:rsidRPr="002B238F" w:rsidR="00D445FF">
        <w:rPr>
          <w:rFonts w:ascii="Palatino Linotype" w:hAnsi="Palatino Linotype" w:cs="Times New Roman"/>
          <w:sz w:val="24"/>
          <w:szCs w:val="24"/>
        </w:rPr>
        <w:t>found DCFC more appropriate for short-dwell locations and determined that DCFC should not necessarily be co</w:t>
      </w:r>
      <w:r w:rsidRPr="002B238F" w:rsidR="005D1DB2">
        <w:rPr>
          <w:rFonts w:ascii="Palatino Linotype" w:hAnsi="Palatino Linotype" w:cs="Times New Roman"/>
          <w:sz w:val="24"/>
          <w:szCs w:val="24"/>
        </w:rPr>
        <w:t>-</w:t>
      </w:r>
      <w:r w:rsidRPr="002B238F" w:rsidR="00D445FF">
        <w:rPr>
          <w:rFonts w:ascii="Palatino Linotype" w:hAnsi="Palatino Linotype" w:cs="Times New Roman"/>
          <w:sz w:val="24"/>
          <w:szCs w:val="24"/>
        </w:rPr>
        <w:t>located with L2 sites within the DCFC program</w:t>
      </w:r>
      <w:r w:rsidRPr="002B238F" w:rsidR="0079179A">
        <w:rPr>
          <w:rFonts w:ascii="Palatino Linotype" w:hAnsi="Palatino Linotype" w:cs="Times New Roman"/>
          <w:sz w:val="24"/>
          <w:szCs w:val="24"/>
        </w:rPr>
        <w:t>.</w:t>
      </w:r>
      <w:r w:rsidRPr="002B238F" w:rsidR="002C77FA">
        <w:rPr>
          <w:rStyle w:val="FootnoteReference"/>
          <w:rFonts w:ascii="Palatino Linotype" w:hAnsi="Palatino Linotype"/>
          <w:sz w:val="24"/>
          <w:szCs w:val="24"/>
        </w:rPr>
        <w:footnoteReference w:id="17"/>
      </w:r>
      <w:r w:rsidRPr="002B238F" w:rsidR="002C77FA">
        <w:rPr>
          <w:rFonts w:ascii="Palatino Linotype" w:hAnsi="Palatino Linotype" w:cs="Times New Roman"/>
          <w:sz w:val="24"/>
          <w:szCs w:val="24"/>
        </w:rPr>
        <w:t xml:space="preserve"> </w:t>
      </w:r>
      <w:r w:rsidRPr="002B238F" w:rsidR="00CE640C">
        <w:rPr>
          <w:rFonts w:ascii="Palatino Linotype" w:hAnsi="Palatino Linotype" w:cs="Times New Roman"/>
          <w:sz w:val="24"/>
          <w:szCs w:val="24"/>
        </w:rPr>
        <w:t>Although the Decision does not explicitly prohibit co</w:t>
      </w:r>
      <w:r w:rsidRPr="002B238F" w:rsidR="004F7E12">
        <w:rPr>
          <w:rFonts w:ascii="Palatino Linotype" w:hAnsi="Palatino Linotype" w:cs="Times New Roman"/>
          <w:sz w:val="24"/>
          <w:szCs w:val="24"/>
        </w:rPr>
        <w:t>l</w:t>
      </w:r>
      <w:r w:rsidRPr="002B238F" w:rsidR="00CE640C">
        <w:rPr>
          <w:rFonts w:ascii="Palatino Linotype" w:hAnsi="Palatino Linotype" w:cs="Times New Roman"/>
          <w:sz w:val="24"/>
          <w:szCs w:val="24"/>
        </w:rPr>
        <w:t xml:space="preserve">ocation, it does not encourage it. </w:t>
      </w:r>
      <w:r w:rsidRPr="002B238F" w:rsidR="00BF1BF8">
        <w:rPr>
          <w:rFonts w:ascii="Palatino Linotype" w:hAnsi="Palatino Linotype" w:eastAsia="Times New Roman" w:cs="Times New Roman"/>
          <w:sz w:val="24"/>
          <w:szCs w:val="24"/>
        </w:rPr>
        <w:t>We find th</w:t>
      </w:r>
      <w:r w:rsidRPr="002B238F" w:rsidR="002205D3">
        <w:rPr>
          <w:rFonts w:ascii="Palatino Linotype" w:hAnsi="Palatino Linotype" w:eastAsia="Times New Roman" w:cs="Times New Roman"/>
          <w:sz w:val="24"/>
          <w:szCs w:val="24"/>
        </w:rPr>
        <w:t>at</w:t>
      </w:r>
      <w:r w:rsidRPr="002B238F" w:rsidR="00BF1BF8">
        <w:rPr>
          <w:rFonts w:ascii="Palatino Linotype" w:hAnsi="Palatino Linotype" w:eastAsia="Times New Roman" w:cs="Times New Roman"/>
          <w:sz w:val="24"/>
          <w:szCs w:val="24"/>
        </w:rPr>
        <w:t xml:space="preserve"> </w:t>
      </w:r>
      <w:r w:rsidRPr="002B238F" w:rsidR="002205D3">
        <w:rPr>
          <w:rFonts w:ascii="Palatino Linotype" w:hAnsi="Palatino Linotype" w:eastAsia="Times New Roman" w:cs="Times New Roman"/>
          <w:sz w:val="24"/>
          <w:szCs w:val="24"/>
        </w:rPr>
        <w:t xml:space="preserve">SCE’s original </w:t>
      </w:r>
      <w:r w:rsidRPr="002B238F" w:rsidR="00BF1BF8">
        <w:rPr>
          <w:rFonts w:ascii="Palatino Linotype" w:hAnsi="Palatino Linotype" w:eastAsia="Times New Roman" w:cs="Times New Roman"/>
          <w:sz w:val="24"/>
          <w:szCs w:val="24"/>
        </w:rPr>
        <w:t>proposal</w:t>
      </w:r>
      <w:r w:rsidRPr="002B238F" w:rsidR="002205D3">
        <w:rPr>
          <w:rFonts w:ascii="Palatino Linotype" w:hAnsi="Palatino Linotype" w:eastAsia="Times New Roman" w:cs="Times New Roman"/>
          <w:sz w:val="24"/>
          <w:szCs w:val="24"/>
        </w:rPr>
        <w:t>, prior to the submittal of the supplemental AL, to</w:t>
      </w:r>
      <w:r w:rsidRPr="002B238F" w:rsidR="00BF1BF8">
        <w:rPr>
          <w:rFonts w:ascii="Palatino Linotype" w:hAnsi="Palatino Linotype" w:eastAsia="Times New Roman" w:cs="Times New Roman"/>
          <w:sz w:val="24"/>
          <w:szCs w:val="24"/>
        </w:rPr>
        <w:t xml:space="preserve"> </w:t>
      </w:r>
      <w:r w:rsidRPr="002B238F" w:rsidR="00851D34">
        <w:rPr>
          <w:rFonts w:ascii="Palatino Linotype" w:hAnsi="Palatino Linotype" w:eastAsia="Times New Roman" w:cs="Times New Roman"/>
          <w:sz w:val="24"/>
          <w:szCs w:val="24"/>
        </w:rPr>
        <w:t>co</w:t>
      </w:r>
      <w:r w:rsidRPr="002B238F" w:rsidR="005D1DB2">
        <w:rPr>
          <w:rFonts w:ascii="Palatino Linotype" w:hAnsi="Palatino Linotype" w:eastAsia="Times New Roman" w:cs="Times New Roman"/>
          <w:sz w:val="24"/>
          <w:szCs w:val="24"/>
        </w:rPr>
        <w:t>-</w:t>
      </w:r>
      <w:r w:rsidRPr="002B238F" w:rsidR="00851D34">
        <w:rPr>
          <w:rFonts w:ascii="Palatino Linotype" w:hAnsi="Palatino Linotype" w:eastAsia="Times New Roman" w:cs="Times New Roman"/>
          <w:sz w:val="24"/>
          <w:szCs w:val="24"/>
        </w:rPr>
        <w:t>locat</w:t>
      </w:r>
      <w:r w:rsidRPr="002B238F" w:rsidR="002205D3">
        <w:rPr>
          <w:rFonts w:ascii="Palatino Linotype" w:hAnsi="Palatino Linotype" w:eastAsia="Times New Roman" w:cs="Times New Roman"/>
          <w:sz w:val="24"/>
          <w:szCs w:val="24"/>
        </w:rPr>
        <w:t>e L2 and DCFC</w:t>
      </w:r>
      <w:r w:rsidRPr="002B238F" w:rsidR="002860BE">
        <w:rPr>
          <w:rFonts w:ascii="Palatino Linotype" w:hAnsi="Palatino Linotype" w:eastAsia="Times New Roman" w:cs="Times New Roman"/>
          <w:sz w:val="24"/>
          <w:szCs w:val="24"/>
        </w:rPr>
        <w:t xml:space="preserve"> </w:t>
      </w:r>
      <w:r w:rsidRPr="002B238F" w:rsidR="00C434C5">
        <w:rPr>
          <w:rFonts w:ascii="Palatino Linotype" w:hAnsi="Palatino Linotype" w:eastAsia="Times New Roman" w:cs="Times New Roman"/>
          <w:sz w:val="24"/>
          <w:szCs w:val="24"/>
        </w:rPr>
        <w:t>i</w:t>
      </w:r>
      <w:r w:rsidRPr="002B238F" w:rsidR="002860BE">
        <w:rPr>
          <w:rFonts w:ascii="Palatino Linotype" w:hAnsi="Palatino Linotype" w:eastAsia="Times New Roman" w:cs="Times New Roman"/>
          <w:sz w:val="24"/>
          <w:szCs w:val="24"/>
        </w:rPr>
        <w:t xml:space="preserve">s </w:t>
      </w:r>
      <w:r w:rsidRPr="002B238F" w:rsidR="00BF1BF8">
        <w:rPr>
          <w:rFonts w:ascii="Palatino Linotype" w:hAnsi="Palatino Linotype" w:eastAsia="Times New Roman" w:cs="Times New Roman"/>
          <w:sz w:val="24"/>
          <w:szCs w:val="24"/>
        </w:rPr>
        <w:t xml:space="preserve">problematic as elements of </w:t>
      </w:r>
      <w:r w:rsidRPr="002B238F" w:rsidR="00851D34">
        <w:rPr>
          <w:rFonts w:ascii="Palatino Linotype" w:hAnsi="Palatino Linotype" w:eastAsia="Times New Roman" w:cs="Times New Roman"/>
          <w:sz w:val="24"/>
          <w:szCs w:val="24"/>
        </w:rPr>
        <w:t>co</w:t>
      </w:r>
      <w:r w:rsidRPr="002B238F" w:rsidR="00893024">
        <w:rPr>
          <w:rFonts w:ascii="Palatino Linotype" w:hAnsi="Palatino Linotype" w:eastAsia="Times New Roman" w:cs="Times New Roman"/>
          <w:sz w:val="24"/>
          <w:szCs w:val="24"/>
        </w:rPr>
        <w:t>-</w:t>
      </w:r>
      <w:r w:rsidRPr="002B238F" w:rsidR="00851D34">
        <w:rPr>
          <w:rFonts w:ascii="Palatino Linotype" w:hAnsi="Palatino Linotype" w:eastAsia="Times New Roman" w:cs="Times New Roman"/>
          <w:sz w:val="24"/>
          <w:szCs w:val="24"/>
        </w:rPr>
        <w:t>location</w:t>
      </w:r>
      <w:r w:rsidRPr="002B238F" w:rsidR="00BF1BF8">
        <w:rPr>
          <w:rFonts w:ascii="Palatino Linotype" w:hAnsi="Palatino Linotype" w:eastAsia="Times New Roman" w:cs="Times New Roman"/>
          <w:sz w:val="24"/>
          <w:szCs w:val="24"/>
        </w:rPr>
        <w:t xml:space="preserve"> may compromise the maximization of DCFC utilization. </w:t>
      </w:r>
      <w:r w:rsidRPr="002B238F" w:rsidR="002205D3">
        <w:rPr>
          <w:rFonts w:ascii="Palatino Linotype" w:hAnsi="Palatino Linotype" w:eastAsia="Times New Roman" w:cs="Times New Roman"/>
          <w:sz w:val="24"/>
          <w:szCs w:val="24"/>
        </w:rPr>
        <w:t xml:space="preserve">Thus, </w:t>
      </w:r>
      <w:r w:rsidRPr="002B238F" w:rsidR="00C02932">
        <w:rPr>
          <w:rFonts w:ascii="Palatino Linotype" w:hAnsi="Palatino Linotype" w:eastAsia="Times New Roman" w:cs="Times New Roman"/>
          <w:sz w:val="24"/>
          <w:szCs w:val="24"/>
        </w:rPr>
        <w:t>SCE's strategy</w:t>
      </w:r>
      <w:r w:rsidRPr="002B238F" w:rsidR="002860BE">
        <w:rPr>
          <w:rFonts w:ascii="Palatino Linotype" w:hAnsi="Palatino Linotype" w:eastAsia="Times New Roman" w:cs="Times New Roman"/>
          <w:sz w:val="24"/>
          <w:szCs w:val="24"/>
        </w:rPr>
        <w:t xml:space="preserve"> within the supplemental</w:t>
      </w:r>
      <w:r w:rsidRPr="002B238F" w:rsidR="00C02932">
        <w:rPr>
          <w:rFonts w:ascii="Palatino Linotype" w:hAnsi="Palatino Linotype" w:eastAsia="Times New Roman" w:cs="Times New Roman"/>
          <w:sz w:val="24"/>
          <w:szCs w:val="24"/>
        </w:rPr>
        <w:t xml:space="preserve"> to focus on CSMR </w:t>
      </w:r>
      <w:proofErr w:type="gramStart"/>
      <w:r w:rsidRPr="002B238F" w:rsidR="00C02932">
        <w:rPr>
          <w:rFonts w:ascii="Palatino Linotype" w:hAnsi="Palatino Linotype" w:eastAsia="Times New Roman" w:cs="Times New Roman"/>
          <w:sz w:val="24"/>
          <w:szCs w:val="24"/>
        </w:rPr>
        <w:t>customers</w:t>
      </w:r>
      <w:r w:rsidRPr="002B238F" w:rsidR="0079179A">
        <w:rPr>
          <w:rFonts w:ascii="Palatino Linotype" w:hAnsi="Palatino Linotype" w:eastAsia="Times New Roman" w:cs="Times New Roman"/>
          <w:sz w:val="24"/>
          <w:szCs w:val="24"/>
        </w:rPr>
        <w:t xml:space="preserve">, </w:t>
      </w:r>
      <w:r w:rsidRPr="002B238F" w:rsidR="00C434C5">
        <w:rPr>
          <w:rFonts w:ascii="Palatino Linotype" w:hAnsi="Palatino Linotype" w:eastAsia="Times New Roman" w:cs="Times New Roman"/>
          <w:sz w:val="24"/>
          <w:szCs w:val="24"/>
        </w:rPr>
        <w:t>and</w:t>
      </w:r>
      <w:proofErr w:type="gramEnd"/>
      <w:r w:rsidRPr="002B238F" w:rsidR="0079179A">
        <w:rPr>
          <w:rFonts w:ascii="Palatino Linotype" w:hAnsi="Palatino Linotype" w:eastAsia="Times New Roman" w:cs="Times New Roman"/>
          <w:sz w:val="24"/>
          <w:szCs w:val="24"/>
        </w:rPr>
        <w:t xml:space="preserve"> deprioritiz</w:t>
      </w:r>
      <w:r w:rsidRPr="002B238F" w:rsidR="00C434C5">
        <w:rPr>
          <w:rFonts w:ascii="Palatino Linotype" w:hAnsi="Palatino Linotype" w:eastAsia="Times New Roman" w:cs="Times New Roman"/>
          <w:sz w:val="24"/>
          <w:szCs w:val="24"/>
        </w:rPr>
        <w:t>e</w:t>
      </w:r>
      <w:r w:rsidRPr="002B238F" w:rsidR="0079179A">
        <w:rPr>
          <w:rFonts w:ascii="Palatino Linotype" w:hAnsi="Palatino Linotype" w:eastAsia="Times New Roman" w:cs="Times New Roman"/>
          <w:sz w:val="24"/>
          <w:szCs w:val="24"/>
        </w:rPr>
        <w:t xml:space="preserve"> </w:t>
      </w:r>
      <w:r w:rsidRPr="002B238F" w:rsidR="00C02932">
        <w:rPr>
          <w:rFonts w:ascii="Palatino Linotype" w:hAnsi="Palatino Linotype" w:eastAsia="Times New Roman" w:cs="Times New Roman"/>
          <w:sz w:val="24"/>
          <w:szCs w:val="24"/>
        </w:rPr>
        <w:t>colocation</w:t>
      </w:r>
      <w:r w:rsidRPr="002B238F" w:rsidR="0079179A">
        <w:rPr>
          <w:rFonts w:ascii="Palatino Linotype" w:hAnsi="Palatino Linotype" w:eastAsia="Times New Roman" w:cs="Times New Roman"/>
          <w:sz w:val="24"/>
          <w:szCs w:val="24"/>
        </w:rPr>
        <w:t xml:space="preserve"> as a strategy to reduce costs</w:t>
      </w:r>
      <w:r w:rsidRPr="002B238F" w:rsidR="00C02932">
        <w:rPr>
          <w:rFonts w:ascii="Palatino Linotype" w:hAnsi="Palatino Linotype" w:eastAsia="Times New Roman" w:cs="Times New Roman"/>
          <w:sz w:val="24"/>
          <w:szCs w:val="24"/>
        </w:rPr>
        <w:t xml:space="preserve"> better meets the Decision's directives.</w:t>
      </w:r>
      <w:r w:rsidRPr="002B238F" w:rsidR="005C71AD">
        <w:rPr>
          <w:rFonts w:ascii="Palatino Linotype" w:hAnsi="Palatino Linotype" w:eastAsia="Times New Roman" w:cs="Times New Roman"/>
          <w:sz w:val="24"/>
          <w:szCs w:val="24"/>
        </w:rPr>
        <w:t xml:space="preserve"> </w:t>
      </w:r>
      <w:r w:rsidRPr="002B238F" w:rsidR="00533CA0">
        <w:rPr>
          <w:rFonts w:ascii="Palatino Linotype" w:hAnsi="Palatino Linotype" w:eastAsia="Times New Roman" w:cs="Times New Roman"/>
          <w:sz w:val="24"/>
          <w:szCs w:val="24"/>
        </w:rPr>
        <w:t xml:space="preserve">Thus, </w:t>
      </w:r>
      <w:r w:rsidRPr="002B238F" w:rsidR="00BF51EE">
        <w:rPr>
          <w:rFonts w:ascii="Palatino Linotype" w:hAnsi="Palatino Linotype" w:eastAsia="Times New Roman" w:cs="Times New Roman"/>
          <w:sz w:val="24"/>
          <w:szCs w:val="24"/>
        </w:rPr>
        <w:t>this Resolution</w:t>
      </w:r>
      <w:r w:rsidRPr="002B238F" w:rsidR="00533CA0">
        <w:rPr>
          <w:rFonts w:ascii="Palatino Linotype" w:hAnsi="Palatino Linotype" w:eastAsia="Times New Roman" w:cs="Times New Roman"/>
          <w:sz w:val="24"/>
          <w:szCs w:val="24"/>
        </w:rPr>
        <w:t xml:space="preserve"> approve</w:t>
      </w:r>
      <w:r w:rsidRPr="002B238F" w:rsidR="00BF51EE">
        <w:rPr>
          <w:rFonts w:ascii="Palatino Linotype" w:hAnsi="Palatino Linotype" w:eastAsia="Times New Roman" w:cs="Times New Roman"/>
          <w:sz w:val="24"/>
          <w:szCs w:val="24"/>
        </w:rPr>
        <w:t>s</w:t>
      </w:r>
      <w:r w:rsidRPr="002B238F" w:rsidR="00533CA0">
        <w:rPr>
          <w:rFonts w:ascii="Palatino Linotype" w:hAnsi="Palatino Linotype" w:eastAsia="Times New Roman" w:cs="Times New Roman"/>
          <w:sz w:val="24"/>
          <w:szCs w:val="24"/>
        </w:rPr>
        <w:t xml:space="preserve">, SCE’s proposed approach </w:t>
      </w:r>
      <w:r w:rsidRPr="002B238F" w:rsidR="00BF51EE">
        <w:rPr>
          <w:rFonts w:ascii="Palatino Linotype" w:hAnsi="Palatino Linotype" w:eastAsia="Times New Roman" w:cs="Times New Roman"/>
          <w:sz w:val="24"/>
          <w:szCs w:val="24"/>
        </w:rPr>
        <w:t>to siting proposed in AL 4433-E-A.</w:t>
      </w:r>
    </w:p>
    <w:p w:rsidRPr="002B238F" w:rsidR="00CE7B1C" w:rsidP="002C77FA" w:rsidRDefault="0080356B" w14:paraId="0AC83ACA" w14:textId="66D2999F">
      <w:pPr>
        <w:rPr>
          <w:rFonts w:ascii="Palatino Linotype" w:hAnsi="Palatino Linotype" w:eastAsia="Times New Roman" w:cs="Times New Roman"/>
          <w:sz w:val="24"/>
          <w:szCs w:val="24"/>
        </w:rPr>
      </w:pPr>
      <w:r w:rsidRPr="002B238F">
        <w:rPr>
          <w:rFonts w:ascii="Palatino Linotype" w:hAnsi="Palatino Linotype" w:eastAsia="Times New Roman" w:cs="Times New Roman"/>
          <w:sz w:val="24"/>
          <w:szCs w:val="24"/>
        </w:rPr>
        <w:t xml:space="preserve">As with the option to site DCFC near, rather than at, short-dwell time locations, it is important that SCE collect and report data to support the evaluation of the efficacy of </w:t>
      </w:r>
      <w:r w:rsidRPr="002B238F" w:rsidR="00EF2C96">
        <w:rPr>
          <w:rFonts w:ascii="Palatino Linotype" w:hAnsi="Palatino Linotype" w:eastAsia="Times New Roman" w:cs="Times New Roman"/>
          <w:sz w:val="24"/>
          <w:szCs w:val="24"/>
        </w:rPr>
        <w:lastRenderedPageBreak/>
        <w:t>co</w:t>
      </w:r>
      <w:r w:rsidRPr="002B238F" w:rsidR="006E6DA5">
        <w:rPr>
          <w:rFonts w:ascii="Palatino Linotype" w:hAnsi="Palatino Linotype" w:eastAsia="Times New Roman" w:cs="Times New Roman"/>
          <w:sz w:val="24"/>
          <w:szCs w:val="24"/>
        </w:rPr>
        <w:t>-</w:t>
      </w:r>
      <w:r w:rsidRPr="002B238F" w:rsidR="00EF2C96">
        <w:rPr>
          <w:rFonts w:ascii="Palatino Linotype" w:hAnsi="Palatino Linotype" w:eastAsia="Times New Roman" w:cs="Times New Roman"/>
          <w:sz w:val="24"/>
          <w:szCs w:val="24"/>
        </w:rPr>
        <w:t>locating L2 and DCFC</w:t>
      </w:r>
      <w:r w:rsidRPr="002B238F" w:rsidR="00804D05">
        <w:rPr>
          <w:rFonts w:ascii="Palatino Linotype" w:hAnsi="Palatino Linotype" w:eastAsia="Times New Roman" w:cs="Times New Roman"/>
          <w:sz w:val="24"/>
          <w:szCs w:val="24"/>
        </w:rPr>
        <w:t xml:space="preserve"> if </w:t>
      </w:r>
      <w:r w:rsidRPr="002B238F" w:rsidR="002077A8">
        <w:rPr>
          <w:rFonts w:ascii="Palatino Linotype" w:hAnsi="Palatino Linotype" w:eastAsia="Times New Roman" w:cs="Times New Roman"/>
          <w:sz w:val="24"/>
          <w:szCs w:val="24"/>
        </w:rPr>
        <w:t>SCE must do so after implementing other more favorable cost saving strategies</w:t>
      </w:r>
      <w:r w:rsidRPr="002B238F" w:rsidR="00EF2C96">
        <w:rPr>
          <w:rFonts w:ascii="Palatino Linotype" w:hAnsi="Palatino Linotype" w:eastAsia="Times New Roman" w:cs="Times New Roman"/>
          <w:sz w:val="24"/>
          <w:szCs w:val="24"/>
        </w:rPr>
        <w:t>. SCE shall work with Energy Division staff to develop data collection requirements</w:t>
      </w:r>
      <w:r w:rsidRPr="002B238F" w:rsidR="00F76DF8">
        <w:rPr>
          <w:rFonts w:ascii="Palatino Linotype" w:hAnsi="Palatino Linotype" w:eastAsia="Times New Roman" w:cs="Times New Roman"/>
          <w:sz w:val="24"/>
          <w:szCs w:val="24"/>
        </w:rPr>
        <w:t xml:space="preserve"> to evaluate cost savings, utilization, and other factors related to </w:t>
      </w:r>
      <w:r w:rsidRPr="002B238F" w:rsidR="00B52724">
        <w:rPr>
          <w:rFonts w:ascii="Palatino Linotype" w:hAnsi="Palatino Linotype" w:eastAsia="Times New Roman" w:cs="Times New Roman"/>
          <w:sz w:val="24"/>
          <w:szCs w:val="24"/>
        </w:rPr>
        <w:t>colocation</w:t>
      </w:r>
      <w:r w:rsidRPr="002B238F" w:rsidR="006E6DA5">
        <w:rPr>
          <w:rFonts w:ascii="Palatino Linotype" w:hAnsi="Palatino Linotype" w:eastAsia="Times New Roman" w:cs="Times New Roman"/>
          <w:sz w:val="24"/>
          <w:szCs w:val="24"/>
        </w:rPr>
        <w:t>. SCE shall include this data</w:t>
      </w:r>
      <w:r w:rsidRPr="002B238F" w:rsidR="002077A8">
        <w:rPr>
          <w:rFonts w:ascii="Palatino Linotype" w:hAnsi="Palatino Linotype" w:eastAsia="Times New Roman" w:cs="Times New Roman"/>
          <w:sz w:val="24"/>
          <w:szCs w:val="24"/>
        </w:rPr>
        <w:t>, if any colocation occurs,</w:t>
      </w:r>
      <w:r w:rsidRPr="002B238F" w:rsidR="006E6DA5">
        <w:rPr>
          <w:rFonts w:ascii="Palatino Linotype" w:hAnsi="Palatino Linotype" w:eastAsia="Times New Roman" w:cs="Times New Roman"/>
          <w:sz w:val="24"/>
          <w:szCs w:val="24"/>
        </w:rPr>
        <w:t xml:space="preserve"> within its </w:t>
      </w:r>
      <w:r w:rsidRPr="002B238F" w:rsidR="006E6DA5">
        <w:rPr>
          <w:rFonts w:ascii="Palatino Linotype" w:hAnsi="Palatino Linotype"/>
          <w:sz w:val="24"/>
          <w:szCs w:val="24"/>
        </w:rPr>
        <w:t>CR2 annual program report.</w:t>
      </w:r>
    </w:p>
    <w:p w:rsidRPr="002B238F" w:rsidR="00605418" w:rsidP="002C77FA" w:rsidRDefault="004B3919" w14:paraId="2EC52824" w14:textId="1D190C11">
      <w:pPr>
        <w:rPr>
          <w:rFonts w:ascii="Palatino Linotype" w:hAnsi="Palatino Linotype" w:eastAsia="Times New Roman" w:cs="Times New Roman"/>
          <w:color w:val="0E101A"/>
          <w:sz w:val="24"/>
          <w:szCs w:val="24"/>
        </w:rPr>
      </w:pPr>
      <w:r w:rsidRPr="002B238F">
        <w:rPr>
          <w:rFonts w:ascii="Palatino Linotype" w:hAnsi="Palatino Linotype" w:eastAsia="Times New Roman" w:cs="Times New Roman"/>
          <w:color w:val="0E101A"/>
          <w:sz w:val="24"/>
          <w:szCs w:val="24"/>
        </w:rPr>
        <w:t xml:space="preserve"> </w:t>
      </w:r>
    </w:p>
    <w:p w:rsidRPr="002B238F" w:rsidR="002C77FA" w:rsidP="5D73D4E8" w:rsidRDefault="002C77FA" w14:paraId="04501C6A" w14:textId="7E39BFB5">
      <w:pPr>
        <w:pStyle w:val="ListParagraph"/>
        <w:numPr>
          <w:ilvl w:val="0"/>
          <w:numId w:val="1"/>
        </w:numPr>
        <w:rPr>
          <w:rFonts w:ascii="Palatino Linotype" w:hAnsi="Palatino Linotype" w:eastAsia="Times New Roman" w:cs="Times New Roman"/>
          <w:b/>
          <w:bCs/>
          <w:color w:val="0E101A"/>
          <w:sz w:val="24"/>
          <w:szCs w:val="24"/>
        </w:rPr>
      </w:pPr>
      <w:r w:rsidRPr="002B238F">
        <w:rPr>
          <w:rFonts w:ascii="Palatino Linotype" w:hAnsi="Palatino Linotype" w:eastAsia="Times New Roman" w:cs="Times New Roman"/>
          <w:b/>
          <w:bCs/>
          <w:color w:val="0E101A"/>
          <w:sz w:val="24"/>
          <w:szCs w:val="24"/>
        </w:rPr>
        <w:t>Modifications to MUD</w:t>
      </w:r>
      <w:r w:rsidRPr="002B238F" w:rsidR="00BF51EE">
        <w:rPr>
          <w:rFonts w:ascii="Palatino Linotype" w:hAnsi="Palatino Linotype" w:eastAsia="Times New Roman" w:cs="Times New Roman"/>
          <w:b/>
          <w:bCs/>
          <w:color w:val="0E101A"/>
          <w:sz w:val="24"/>
          <w:szCs w:val="24"/>
        </w:rPr>
        <w:t>-</w:t>
      </w:r>
      <w:r w:rsidRPr="002B238F">
        <w:rPr>
          <w:rFonts w:ascii="Palatino Linotype" w:hAnsi="Palatino Linotype" w:eastAsia="Times New Roman" w:cs="Times New Roman"/>
          <w:b/>
          <w:bCs/>
          <w:color w:val="0E101A"/>
          <w:sz w:val="24"/>
          <w:szCs w:val="24"/>
        </w:rPr>
        <w:t>serving criteria</w:t>
      </w:r>
    </w:p>
    <w:p w:rsidRPr="002B238F" w:rsidR="002C77FA" w:rsidP="002C77FA" w:rsidRDefault="002C77FA" w14:paraId="105ECC24" w14:textId="503E079E">
      <w:pPr>
        <w:rPr>
          <w:rFonts w:ascii="Palatino Linotype" w:hAnsi="Palatino Linotype"/>
          <w:sz w:val="24"/>
          <w:szCs w:val="24"/>
        </w:rPr>
      </w:pPr>
      <w:r w:rsidRPr="002B238F">
        <w:rPr>
          <w:rFonts w:ascii="Palatino Linotype" w:hAnsi="Palatino Linotype" w:eastAsia="Times New Roman" w:cs="Times New Roman"/>
          <w:color w:val="0E101A"/>
          <w:sz w:val="24"/>
          <w:szCs w:val="24"/>
        </w:rPr>
        <w:t>SCE</w:t>
      </w:r>
      <w:r w:rsidRPr="002B238F" w:rsidR="00A52F7E">
        <w:rPr>
          <w:rFonts w:ascii="Palatino Linotype" w:hAnsi="Palatino Linotype" w:eastAsia="Times New Roman" w:cs="Times New Roman"/>
          <w:color w:val="0E101A"/>
          <w:sz w:val="24"/>
          <w:szCs w:val="24"/>
        </w:rPr>
        <w:t>’s AL proposes to</w:t>
      </w:r>
      <w:r w:rsidRPr="002B238F">
        <w:rPr>
          <w:rFonts w:ascii="Palatino Linotype" w:hAnsi="Palatino Linotype" w:eastAsia="Times New Roman" w:cs="Times New Roman"/>
          <w:color w:val="0E101A"/>
          <w:sz w:val="24"/>
          <w:szCs w:val="24"/>
        </w:rPr>
        <w:t xml:space="preserve"> define MUD</w:t>
      </w:r>
      <w:r w:rsidRPr="002B238F" w:rsidR="00CD4F3F">
        <w:rPr>
          <w:rFonts w:ascii="Palatino Linotype" w:hAnsi="Palatino Linotype" w:eastAsia="Times New Roman" w:cs="Times New Roman"/>
          <w:color w:val="0E101A"/>
          <w:sz w:val="24"/>
          <w:szCs w:val="24"/>
        </w:rPr>
        <w:t>-</w:t>
      </w:r>
      <w:r w:rsidRPr="002B238F">
        <w:rPr>
          <w:rFonts w:ascii="Palatino Linotype" w:hAnsi="Palatino Linotype" w:eastAsia="Times New Roman" w:cs="Times New Roman"/>
          <w:color w:val="0E101A"/>
          <w:sz w:val="24"/>
          <w:szCs w:val="24"/>
        </w:rPr>
        <w:t xml:space="preserve">serving sites as </w:t>
      </w:r>
      <w:r w:rsidRPr="002B238F" w:rsidR="00767603">
        <w:rPr>
          <w:rFonts w:ascii="Palatino Linotype" w:hAnsi="Palatino Linotype" w:eastAsia="Times New Roman" w:cs="Times New Roman"/>
          <w:color w:val="0E101A"/>
          <w:sz w:val="24"/>
          <w:szCs w:val="24"/>
        </w:rPr>
        <w:t xml:space="preserve">those </w:t>
      </w:r>
      <w:r w:rsidRPr="002B238F">
        <w:rPr>
          <w:rFonts w:ascii="Palatino Linotype" w:hAnsi="Palatino Linotype" w:eastAsia="Times New Roman" w:cs="Times New Roman"/>
          <w:color w:val="0E101A"/>
          <w:sz w:val="24"/>
          <w:szCs w:val="24"/>
        </w:rPr>
        <w:t xml:space="preserve">located within a </w:t>
      </w:r>
      <w:r w:rsidRPr="002B238F" w:rsidR="00767603">
        <w:rPr>
          <w:rFonts w:ascii="Palatino Linotype" w:hAnsi="Palatino Linotype" w:eastAsia="Times New Roman" w:cs="Times New Roman"/>
          <w:color w:val="0E101A"/>
          <w:sz w:val="24"/>
          <w:szCs w:val="24"/>
        </w:rPr>
        <w:t>two</w:t>
      </w:r>
      <w:r w:rsidRPr="002B238F">
        <w:rPr>
          <w:rFonts w:ascii="Palatino Linotype" w:hAnsi="Palatino Linotype" w:eastAsia="Times New Roman" w:cs="Times New Roman"/>
          <w:color w:val="0E101A"/>
          <w:sz w:val="24"/>
          <w:szCs w:val="24"/>
        </w:rPr>
        <w:t xml:space="preserve">-mile radius of one or more residential </w:t>
      </w:r>
      <w:r w:rsidRPr="002B238F" w:rsidR="00767603">
        <w:rPr>
          <w:rFonts w:ascii="Palatino Linotype" w:hAnsi="Palatino Linotype" w:eastAsia="Times New Roman" w:cs="Times New Roman"/>
          <w:color w:val="0E101A"/>
          <w:sz w:val="24"/>
          <w:szCs w:val="24"/>
        </w:rPr>
        <w:t>MUDs</w:t>
      </w:r>
      <w:r w:rsidRPr="002B238F">
        <w:rPr>
          <w:rFonts w:ascii="Palatino Linotype" w:hAnsi="Palatino Linotype" w:eastAsia="Times New Roman" w:cs="Times New Roman"/>
          <w:color w:val="0E101A"/>
          <w:sz w:val="24"/>
          <w:szCs w:val="24"/>
        </w:rPr>
        <w:t>. SCE adds</w:t>
      </w:r>
      <w:r w:rsidRPr="002B238F" w:rsidR="00767603">
        <w:rPr>
          <w:rFonts w:ascii="Palatino Linotype" w:hAnsi="Palatino Linotype" w:eastAsia="Times New Roman" w:cs="Times New Roman"/>
          <w:color w:val="0E101A"/>
          <w:sz w:val="24"/>
          <w:szCs w:val="24"/>
        </w:rPr>
        <w:t xml:space="preserve"> that</w:t>
      </w:r>
      <w:r w:rsidRPr="002B238F">
        <w:rPr>
          <w:rFonts w:ascii="Palatino Linotype" w:hAnsi="Palatino Linotype" w:eastAsia="Times New Roman" w:cs="Times New Roman"/>
          <w:color w:val="0E101A"/>
          <w:sz w:val="24"/>
          <w:szCs w:val="24"/>
        </w:rPr>
        <w:t xml:space="preserve"> it will attempt to target </w:t>
      </w:r>
      <w:r w:rsidRPr="002B238F" w:rsidR="001A15C8">
        <w:rPr>
          <w:rFonts w:ascii="Palatino Linotype" w:hAnsi="Palatino Linotype" w:eastAsia="Times New Roman" w:cs="Times New Roman"/>
          <w:color w:val="0E101A"/>
          <w:sz w:val="24"/>
          <w:szCs w:val="24"/>
        </w:rPr>
        <w:t xml:space="preserve">sites with a higher number of surrounding </w:t>
      </w:r>
      <w:r w:rsidRPr="002B238F">
        <w:rPr>
          <w:rFonts w:ascii="Palatino Linotype" w:hAnsi="Palatino Linotype" w:eastAsia="Times New Roman" w:cs="Times New Roman"/>
          <w:color w:val="0E101A"/>
          <w:sz w:val="24"/>
          <w:szCs w:val="24"/>
        </w:rPr>
        <w:t>MUDs to maximize the exposure and potential use of DCFC stations</w:t>
      </w:r>
      <w:r w:rsidRPr="002B238F" w:rsidR="001A15C8">
        <w:rPr>
          <w:rFonts w:ascii="Palatino Linotype" w:hAnsi="Palatino Linotype" w:eastAsia="Times New Roman" w:cs="Times New Roman"/>
          <w:color w:val="0E101A"/>
          <w:sz w:val="24"/>
          <w:szCs w:val="24"/>
        </w:rPr>
        <w:t>. It will do so</w:t>
      </w:r>
      <w:r w:rsidRPr="002B238F">
        <w:rPr>
          <w:rFonts w:ascii="Palatino Linotype" w:hAnsi="Palatino Linotype" w:eastAsia="Times New Roman" w:cs="Times New Roman"/>
          <w:color w:val="0E101A"/>
          <w:sz w:val="24"/>
          <w:szCs w:val="24"/>
        </w:rPr>
        <w:t xml:space="preserve"> using real estate data analytical/database tools. </w:t>
      </w:r>
      <w:r w:rsidR="00CC60E7">
        <w:rPr>
          <w:rFonts w:ascii="Palatino Linotype" w:hAnsi="Palatino Linotype" w:eastAsia="Times New Roman" w:cs="Times New Roman"/>
          <w:color w:val="0E101A"/>
          <w:sz w:val="24"/>
          <w:szCs w:val="24"/>
        </w:rPr>
        <w:br/>
      </w:r>
      <w:r w:rsidRPr="002B238F">
        <w:rPr>
          <w:rFonts w:ascii="Palatino Linotype" w:hAnsi="Palatino Linotype" w:eastAsia="Times New Roman" w:cs="Times New Roman"/>
          <w:color w:val="0E101A"/>
          <w:sz w:val="24"/>
          <w:szCs w:val="24"/>
        </w:rPr>
        <w:t>SCE identifies potential MUD</w:t>
      </w:r>
      <w:r w:rsidRPr="002B238F" w:rsidR="00A52F7E">
        <w:rPr>
          <w:rFonts w:ascii="Palatino Linotype" w:hAnsi="Palatino Linotype" w:eastAsia="Times New Roman" w:cs="Times New Roman"/>
          <w:color w:val="0E101A"/>
          <w:sz w:val="24"/>
          <w:szCs w:val="24"/>
        </w:rPr>
        <w:t>-</w:t>
      </w:r>
      <w:r w:rsidRPr="002B238F">
        <w:rPr>
          <w:rFonts w:ascii="Palatino Linotype" w:hAnsi="Palatino Linotype" w:eastAsia="Times New Roman" w:cs="Times New Roman"/>
          <w:color w:val="0E101A"/>
          <w:sz w:val="24"/>
          <w:szCs w:val="24"/>
        </w:rPr>
        <w:t xml:space="preserve">serving </w:t>
      </w:r>
      <w:r w:rsidRPr="002B238F" w:rsidR="001A15C8">
        <w:rPr>
          <w:rFonts w:ascii="Palatino Linotype" w:hAnsi="Palatino Linotype" w:eastAsia="Times New Roman" w:cs="Times New Roman"/>
          <w:color w:val="0E101A"/>
          <w:sz w:val="24"/>
          <w:szCs w:val="24"/>
        </w:rPr>
        <w:t xml:space="preserve">sites </w:t>
      </w:r>
      <w:r w:rsidRPr="002B238F">
        <w:rPr>
          <w:rFonts w:ascii="Palatino Linotype" w:hAnsi="Palatino Linotype" w:eastAsia="Times New Roman" w:cs="Times New Roman"/>
          <w:color w:val="0E101A"/>
          <w:sz w:val="24"/>
          <w:szCs w:val="24"/>
        </w:rPr>
        <w:t>to span over a variety of business types</w:t>
      </w:r>
      <w:r w:rsidRPr="002B238F" w:rsidR="00CA4ABC">
        <w:rPr>
          <w:rFonts w:ascii="Palatino Linotype" w:hAnsi="Palatino Linotype" w:eastAsia="Times New Roman" w:cs="Times New Roman"/>
          <w:color w:val="0E101A"/>
          <w:sz w:val="24"/>
          <w:szCs w:val="24"/>
        </w:rPr>
        <w:t>, including</w:t>
      </w:r>
      <w:r w:rsidRPr="002B238F">
        <w:rPr>
          <w:rFonts w:ascii="Palatino Linotype" w:hAnsi="Palatino Linotype" w:eastAsia="Times New Roman" w:cs="Times New Roman"/>
          <w:color w:val="0E101A"/>
          <w:sz w:val="24"/>
          <w:szCs w:val="24"/>
        </w:rPr>
        <w:t xml:space="preserve"> retail centers</w:t>
      </w:r>
      <w:r w:rsidRPr="002B238F" w:rsidR="00295D48">
        <w:rPr>
          <w:rFonts w:ascii="Palatino Linotype" w:hAnsi="Palatino Linotype" w:eastAsia="Times New Roman" w:cs="Times New Roman"/>
          <w:color w:val="0E101A"/>
          <w:sz w:val="24"/>
          <w:szCs w:val="24"/>
        </w:rPr>
        <w:t>,</w:t>
      </w:r>
      <w:r w:rsidRPr="002B238F">
        <w:rPr>
          <w:rFonts w:ascii="Palatino Linotype" w:hAnsi="Palatino Linotype" w:eastAsia="Times New Roman" w:cs="Times New Roman"/>
          <w:color w:val="0E101A"/>
          <w:sz w:val="24"/>
          <w:szCs w:val="24"/>
        </w:rPr>
        <w:t xml:space="preserve"> grocery stores</w:t>
      </w:r>
      <w:r w:rsidRPr="002B238F" w:rsidR="00295D48">
        <w:rPr>
          <w:rFonts w:ascii="Palatino Linotype" w:hAnsi="Palatino Linotype" w:eastAsia="Times New Roman" w:cs="Times New Roman"/>
          <w:color w:val="0E101A"/>
          <w:sz w:val="24"/>
          <w:szCs w:val="24"/>
        </w:rPr>
        <w:t>,</w:t>
      </w:r>
      <w:r w:rsidRPr="002B238F">
        <w:rPr>
          <w:rFonts w:ascii="Palatino Linotype" w:hAnsi="Palatino Linotype" w:eastAsia="Times New Roman" w:cs="Times New Roman"/>
          <w:color w:val="0E101A"/>
          <w:sz w:val="24"/>
          <w:szCs w:val="24"/>
        </w:rPr>
        <w:t xml:space="preserve"> and other public</w:t>
      </w:r>
      <w:r w:rsidRPr="002B238F" w:rsidR="00295D48">
        <w:rPr>
          <w:rFonts w:ascii="Palatino Linotype" w:hAnsi="Palatino Linotype" w:eastAsia="Times New Roman" w:cs="Times New Roman"/>
          <w:color w:val="0E101A"/>
          <w:sz w:val="24"/>
          <w:szCs w:val="24"/>
        </w:rPr>
        <w:t>ly</w:t>
      </w:r>
      <w:r w:rsidRPr="002B238F">
        <w:rPr>
          <w:rFonts w:ascii="Palatino Linotype" w:hAnsi="Palatino Linotype" w:eastAsia="Times New Roman" w:cs="Times New Roman"/>
          <w:color w:val="0E101A"/>
          <w:sz w:val="24"/>
          <w:szCs w:val="24"/>
        </w:rPr>
        <w:t xml:space="preserve"> access</w:t>
      </w:r>
      <w:r w:rsidRPr="002B238F" w:rsidR="00295D48">
        <w:rPr>
          <w:rFonts w:ascii="Palatino Linotype" w:hAnsi="Palatino Linotype" w:eastAsia="Times New Roman" w:cs="Times New Roman"/>
          <w:color w:val="0E101A"/>
          <w:sz w:val="24"/>
          <w:szCs w:val="24"/>
        </w:rPr>
        <w:t>ible</w:t>
      </w:r>
      <w:r w:rsidRPr="002B238F">
        <w:rPr>
          <w:rFonts w:ascii="Palatino Linotype" w:hAnsi="Palatino Linotype" w:eastAsia="Times New Roman" w:cs="Times New Roman"/>
          <w:color w:val="0E101A"/>
          <w:sz w:val="24"/>
          <w:szCs w:val="24"/>
        </w:rPr>
        <w:t xml:space="preserve"> locations.</w:t>
      </w:r>
    </w:p>
    <w:p w:rsidRPr="002B238F" w:rsidR="00430459" w:rsidP="00430459" w:rsidRDefault="004B3919" w14:paraId="16C99A63" w14:textId="0B79D232">
      <w:pPr>
        <w:rPr>
          <w:rFonts w:ascii="Palatino Linotype" w:hAnsi="Palatino Linotype"/>
          <w:sz w:val="24"/>
          <w:szCs w:val="24"/>
        </w:rPr>
      </w:pPr>
      <w:r w:rsidRPr="002B238F">
        <w:rPr>
          <w:rFonts w:ascii="Palatino Linotype" w:hAnsi="Palatino Linotype"/>
          <w:sz w:val="24"/>
          <w:szCs w:val="24"/>
        </w:rPr>
        <w:t xml:space="preserve">We find </w:t>
      </w:r>
      <w:r w:rsidRPr="002B238F" w:rsidR="002A6C7B">
        <w:rPr>
          <w:rFonts w:ascii="Palatino Linotype" w:hAnsi="Palatino Linotype"/>
          <w:sz w:val="24"/>
          <w:szCs w:val="24"/>
        </w:rPr>
        <w:t xml:space="preserve">SCE's proposal to site DCFCs within a two-mile radius of a MUD </w:t>
      </w:r>
      <w:r w:rsidRPr="002B238F" w:rsidR="00986980">
        <w:rPr>
          <w:rFonts w:ascii="Palatino Linotype" w:hAnsi="Palatino Linotype"/>
          <w:sz w:val="24"/>
          <w:szCs w:val="24"/>
        </w:rPr>
        <w:t>a</w:t>
      </w:r>
      <w:r w:rsidRPr="002B238F" w:rsidR="002A6C7B">
        <w:rPr>
          <w:rFonts w:ascii="Palatino Linotype" w:hAnsi="Palatino Linotype"/>
          <w:sz w:val="24"/>
          <w:szCs w:val="24"/>
        </w:rPr>
        <w:t>s an insufficient criterion for MUD</w:t>
      </w:r>
      <w:r w:rsidRPr="002B238F" w:rsidR="00EF0AE0">
        <w:rPr>
          <w:rFonts w:ascii="Palatino Linotype" w:hAnsi="Palatino Linotype"/>
          <w:sz w:val="24"/>
          <w:szCs w:val="24"/>
        </w:rPr>
        <w:t>-</w:t>
      </w:r>
      <w:r w:rsidRPr="002B238F" w:rsidR="002A6C7B">
        <w:rPr>
          <w:rFonts w:ascii="Palatino Linotype" w:hAnsi="Palatino Linotype"/>
          <w:sz w:val="24"/>
          <w:szCs w:val="24"/>
        </w:rPr>
        <w:t>serving</w:t>
      </w:r>
      <w:r w:rsidRPr="002B238F">
        <w:rPr>
          <w:rFonts w:ascii="Palatino Linotype" w:hAnsi="Palatino Linotype"/>
          <w:sz w:val="24"/>
          <w:szCs w:val="24"/>
        </w:rPr>
        <w:t xml:space="preserve"> </w:t>
      </w:r>
      <w:r w:rsidRPr="002B238F" w:rsidR="00986980">
        <w:rPr>
          <w:rFonts w:ascii="Palatino Linotype" w:hAnsi="Palatino Linotype"/>
          <w:sz w:val="24"/>
          <w:szCs w:val="24"/>
        </w:rPr>
        <w:t>site</w:t>
      </w:r>
      <w:r w:rsidRPr="002B238F">
        <w:rPr>
          <w:rFonts w:ascii="Palatino Linotype" w:hAnsi="Palatino Linotype"/>
          <w:sz w:val="24"/>
          <w:szCs w:val="24"/>
        </w:rPr>
        <w:t>s</w:t>
      </w:r>
      <w:r w:rsidRPr="002B238F" w:rsidR="002A6C7B">
        <w:rPr>
          <w:rFonts w:ascii="Palatino Linotype" w:hAnsi="Palatino Linotype"/>
          <w:sz w:val="24"/>
          <w:szCs w:val="24"/>
        </w:rPr>
        <w:t xml:space="preserve">. Southern California has a high presence of MUDs within its territory, with most </w:t>
      </w:r>
      <w:r w:rsidRPr="002B238F" w:rsidR="001675A0">
        <w:rPr>
          <w:rFonts w:ascii="Palatino Linotype" w:hAnsi="Palatino Linotype"/>
          <w:sz w:val="24"/>
          <w:szCs w:val="24"/>
        </w:rPr>
        <w:t>being</w:t>
      </w:r>
      <w:r w:rsidRPr="002B238F" w:rsidR="002A6C7B">
        <w:rPr>
          <w:rFonts w:ascii="Palatino Linotype" w:hAnsi="Palatino Linotype"/>
          <w:sz w:val="24"/>
          <w:szCs w:val="24"/>
        </w:rPr>
        <w:t xml:space="preserve"> duplex and triplex</w:t>
      </w:r>
      <w:r w:rsidRPr="002B238F" w:rsidR="00986980">
        <w:rPr>
          <w:rFonts w:ascii="Palatino Linotype" w:hAnsi="Palatino Linotype"/>
          <w:sz w:val="24"/>
          <w:szCs w:val="24"/>
        </w:rPr>
        <w:t>.</w:t>
      </w:r>
      <w:r w:rsidRPr="002B238F" w:rsidR="002C77FA">
        <w:rPr>
          <w:rStyle w:val="FootnoteReference"/>
          <w:rFonts w:ascii="Palatino Linotype" w:hAnsi="Palatino Linotype"/>
          <w:sz w:val="24"/>
          <w:szCs w:val="24"/>
        </w:rPr>
        <w:footnoteReference w:id="18"/>
      </w:r>
      <w:r w:rsidRPr="002B238F" w:rsidR="002C77FA">
        <w:rPr>
          <w:rFonts w:ascii="Palatino Linotype" w:hAnsi="Palatino Linotype"/>
          <w:sz w:val="24"/>
          <w:szCs w:val="24"/>
        </w:rPr>
        <w:t xml:space="preserve"> </w:t>
      </w:r>
    </w:p>
    <w:p w:rsidRPr="002B238F" w:rsidR="00A44BC9" w:rsidP="00A44BC9" w:rsidRDefault="00430459" w14:paraId="25A4893A" w14:textId="5B8186F4">
      <w:pPr>
        <w:rPr>
          <w:rFonts w:ascii="Palatino Linotype" w:hAnsi="Palatino Linotype"/>
          <w:sz w:val="24"/>
          <w:szCs w:val="24"/>
        </w:rPr>
      </w:pPr>
      <w:r w:rsidRPr="002B238F">
        <w:rPr>
          <w:rFonts w:ascii="Palatino Linotype" w:hAnsi="Palatino Linotype"/>
          <w:sz w:val="24"/>
          <w:szCs w:val="24"/>
        </w:rPr>
        <w:t>We find that locating DCFC</w:t>
      </w:r>
      <w:r w:rsidRPr="002B238F" w:rsidR="004B3919">
        <w:rPr>
          <w:rFonts w:ascii="Palatino Linotype" w:hAnsi="Palatino Linotype"/>
          <w:sz w:val="24"/>
          <w:szCs w:val="24"/>
        </w:rPr>
        <w:t>s</w:t>
      </w:r>
      <w:r w:rsidRPr="002B238F">
        <w:rPr>
          <w:rFonts w:ascii="Palatino Linotype" w:hAnsi="Palatino Linotype"/>
          <w:sz w:val="24"/>
          <w:szCs w:val="24"/>
        </w:rPr>
        <w:t xml:space="preserve"> within a two-mile radius of a MUD without a unit minimum may affect MUD resident utilization of DCFCs intended to serve MUDs, as a single MUD may consist of a duplex with only two units.</w:t>
      </w:r>
      <w:r w:rsidRPr="002B238F" w:rsidR="00A44BC9">
        <w:rPr>
          <w:rFonts w:ascii="Palatino Linotype" w:hAnsi="Palatino Linotype"/>
          <w:sz w:val="24"/>
          <w:szCs w:val="24"/>
        </w:rPr>
        <w:t xml:space="preserve"> </w:t>
      </w:r>
      <w:r w:rsidRPr="002B238F" w:rsidR="00A44BC9">
        <w:rPr>
          <w:rFonts w:ascii="Palatino Linotype" w:hAnsi="Palatino Linotype" w:eastAsia="Times New Roman" w:cs="Times New Roman"/>
          <w:color w:val="0E101A"/>
          <w:sz w:val="24"/>
          <w:szCs w:val="24"/>
        </w:rPr>
        <w:t>Further, the Decision requirement to locate DCFC at a short-dwell location may spill over to SCE's MUD serving target by the possibility of locating a DCFC within a two-mile radius of a duplex.</w:t>
      </w:r>
    </w:p>
    <w:p w:rsidRPr="002B238F" w:rsidR="005A47E6" w:rsidP="005A47E6" w:rsidRDefault="005A47E6" w14:paraId="4CF21311" w14:textId="0CD152B5">
      <w:pPr>
        <w:rPr>
          <w:rFonts w:ascii="Palatino Linotype" w:hAnsi="Palatino Linotype"/>
          <w:sz w:val="24"/>
          <w:szCs w:val="24"/>
        </w:rPr>
      </w:pPr>
      <w:r w:rsidRPr="002B238F">
        <w:rPr>
          <w:rFonts w:ascii="Palatino Linotype" w:hAnsi="Palatino Linotype"/>
          <w:sz w:val="24"/>
          <w:szCs w:val="24"/>
        </w:rPr>
        <w:t xml:space="preserve">Instead, we find it more appropriate that SCE includes a six-unit minimum for locating DCFCs within a </w:t>
      </w:r>
      <w:r w:rsidRPr="002B238F" w:rsidR="004B3919">
        <w:rPr>
          <w:rFonts w:ascii="Palatino Linotype" w:hAnsi="Palatino Linotype"/>
          <w:sz w:val="24"/>
          <w:szCs w:val="24"/>
        </w:rPr>
        <w:t>two</w:t>
      </w:r>
      <w:r w:rsidRPr="002B238F">
        <w:rPr>
          <w:rFonts w:ascii="Palatino Linotype" w:hAnsi="Palatino Linotype"/>
          <w:sz w:val="24"/>
          <w:szCs w:val="24"/>
        </w:rPr>
        <w:t xml:space="preserve">-mile radius of a MUD to maximize utilization and more efficiently build out infrastructure. SCE may reach its six-unit minimum criterion should it locate a DCFC within a two-mile radius of MUD combinations, including duplexes, triplexes, or more. </w:t>
      </w:r>
      <w:r w:rsidRPr="002B238F" w:rsidR="00703B53">
        <w:rPr>
          <w:rFonts w:ascii="Palatino Linotype" w:hAnsi="Palatino Linotype"/>
          <w:sz w:val="24"/>
          <w:szCs w:val="24"/>
        </w:rPr>
        <w:t>Further, we</w:t>
      </w:r>
      <w:r w:rsidRPr="002B238F">
        <w:rPr>
          <w:rFonts w:ascii="Palatino Linotype" w:hAnsi="Palatino Linotype"/>
          <w:sz w:val="24"/>
          <w:szCs w:val="24"/>
        </w:rPr>
        <w:t xml:space="preserve"> encourage SCE </w:t>
      </w:r>
      <w:r w:rsidRPr="002B238F" w:rsidR="00703B53">
        <w:rPr>
          <w:rFonts w:ascii="Palatino Linotype" w:hAnsi="Palatino Linotype"/>
          <w:sz w:val="24"/>
          <w:szCs w:val="24"/>
        </w:rPr>
        <w:t xml:space="preserve">to </w:t>
      </w:r>
      <w:r w:rsidRPr="002B238F">
        <w:rPr>
          <w:rFonts w:ascii="Palatino Linotype" w:hAnsi="Palatino Linotype"/>
          <w:sz w:val="24"/>
          <w:szCs w:val="24"/>
        </w:rPr>
        <w:t xml:space="preserve">target areas with higher </w:t>
      </w:r>
      <w:r w:rsidRPr="002B238F" w:rsidR="003617BC">
        <w:rPr>
          <w:rFonts w:ascii="Palatino Linotype" w:hAnsi="Palatino Linotype"/>
          <w:sz w:val="24"/>
          <w:szCs w:val="24"/>
        </w:rPr>
        <w:t>density</w:t>
      </w:r>
      <w:r w:rsidRPr="002B238F">
        <w:rPr>
          <w:rFonts w:ascii="Palatino Linotype" w:hAnsi="Palatino Linotype"/>
          <w:sz w:val="24"/>
          <w:szCs w:val="24"/>
        </w:rPr>
        <w:t xml:space="preserve"> of MUDs</w:t>
      </w:r>
      <w:r w:rsidRPr="002B238F" w:rsidR="00E60DF7">
        <w:rPr>
          <w:rFonts w:ascii="Palatino Linotype" w:hAnsi="Palatino Linotype"/>
          <w:sz w:val="24"/>
          <w:szCs w:val="24"/>
        </w:rPr>
        <w:t>, leveraging the</w:t>
      </w:r>
      <w:r w:rsidRPr="002B238F">
        <w:rPr>
          <w:rFonts w:ascii="Palatino Linotype" w:hAnsi="Palatino Linotype"/>
          <w:sz w:val="24"/>
          <w:szCs w:val="24"/>
        </w:rPr>
        <w:t xml:space="preserve"> real estate data analytical/database tools</w:t>
      </w:r>
      <w:r w:rsidRPr="002B238F" w:rsidR="00E60DF7">
        <w:rPr>
          <w:rFonts w:ascii="Palatino Linotype" w:hAnsi="Palatino Linotype"/>
          <w:sz w:val="24"/>
          <w:szCs w:val="24"/>
        </w:rPr>
        <w:t xml:space="preserve"> to which SCE cited in its AL</w:t>
      </w:r>
      <w:r w:rsidRPr="002B238F">
        <w:rPr>
          <w:rFonts w:ascii="Palatino Linotype" w:hAnsi="Palatino Linotype"/>
          <w:sz w:val="24"/>
          <w:szCs w:val="24"/>
        </w:rPr>
        <w:t xml:space="preserve">. </w:t>
      </w:r>
    </w:p>
    <w:p w:rsidRPr="002B238F" w:rsidR="00D92A64" w:rsidP="007E580F" w:rsidRDefault="007E580F" w14:paraId="18AE7945" w14:textId="16A8DF0E">
      <w:pPr>
        <w:rPr>
          <w:rFonts w:ascii="Palatino Linotype" w:hAnsi="Palatino Linotype"/>
          <w:sz w:val="24"/>
          <w:szCs w:val="24"/>
        </w:rPr>
      </w:pPr>
      <w:r w:rsidRPr="002B238F">
        <w:rPr>
          <w:rFonts w:ascii="Palatino Linotype" w:hAnsi="Palatino Linotype"/>
          <w:sz w:val="24"/>
          <w:szCs w:val="24"/>
        </w:rPr>
        <w:lastRenderedPageBreak/>
        <w:t xml:space="preserve">Therefore, we </w:t>
      </w:r>
      <w:r w:rsidRPr="002B238F" w:rsidR="004B3919">
        <w:rPr>
          <w:rFonts w:ascii="Palatino Linotype" w:hAnsi="Palatino Linotype"/>
          <w:sz w:val="24"/>
          <w:szCs w:val="24"/>
        </w:rPr>
        <w:t xml:space="preserve">modify </w:t>
      </w:r>
      <w:r w:rsidRPr="002B238F">
        <w:rPr>
          <w:rFonts w:ascii="Palatino Linotype" w:hAnsi="Palatino Linotype"/>
          <w:sz w:val="24"/>
          <w:szCs w:val="24"/>
        </w:rPr>
        <w:t>SCE's MUD</w:t>
      </w:r>
      <w:r w:rsidRPr="002B238F" w:rsidR="004D01F0">
        <w:rPr>
          <w:rFonts w:ascii="Palatino Linotype" w:hAnsi="Palatino Linotype"/>
          <w:sz w:val="24"/>
          <w:szCs w:val="24"/>
        </w:rPr>
        <w:t>-</w:t>
      </w:r>
      <w:r w:rsidRPr="002B238F">
        <w:rPr>
          <w:rFonts w:ascii="Palatino Linotype" w:hAnsi="Palatino Linotype"/>
          <w:sz w:val="24"/>
          <w:szCs w:val="24"/>
        </w:rPr>
        <w:t xml:space="preserve">serving definition </w:t>
      </w:r>
      <w:r w:rsidRPr="002B238F" w:rsidR="004B3919">
        <w:rPr>
          <w:rFonts w:ascii="Palatino Linotype" w:hAnsi="Palatino Linotype"/>
          <w:sz w:val="24"/>
          <w:szCs w:val="24"/>
        </w:rPr>
        <w:t xml:space="preserve">to </w:t>
      </w:r>
      <w:r w:rsidRPr="002B238F">
        <w:rPr>
          <w:rFonts w:ascii="Palatino Linotype" w:hAnsi="Palatino Linotype"/>
          <w:sz w:val="24"/>
          <w:szCs w:val="24"/>
        </w:rPr>
        <w:t xml:space="preserve">require SCE to site DCFCs </w:t>
      </w:r>
      <w:r w:rsidRPr="002B238F" w:rsidR="00AE1B81">
        <w:rPr>
          <w:rFonts w:ascii="Palatino Linotype" w:hAnsi="Palatino Linotype"/>
          <w:sz w:val="24"/>
          <w:szCs w:val="24"/>
        </w:rPr>
        <w:t xml:space="preserve">within two-miles of </w:t>
      </w:r>
      <w:r w:rsidRPr="002B238F">
        <w:rPr>
          <w:rFonts w:ascii="Palatino Linotype" w:hAnsi="Palatino Linotype"/>
          <w:sz w:val="24"/>
          <w:szCs w:val="24"/>
        </w:rPr>
        <w:t xml:space="preserve">at </w:t>
      </w:r>
      <w:r w:rsidRPr="002B238F" w:rsidR="00AE1B81">
        <w:rPr>
          <w:rFonts w:ascii="Palatino Linotype" w:hAnsi="Palatino Linotype"/>
          <w:sz w:val="24"/>
          <w:szCs w:val="24"/>
        </w:rPr>
        <w:t>least</w:t>
      </w:r>
      <w:r w:rsidRPr="002B238F">
        <w:rPr>
          <w:rFonts w:ascii="Palatino Linotype" w:hAnsi="Palatino Linotype"/>
          <w:sz w:val="24"/>
          <w:szCs w:val="24"/>
        </w:rPr>
        <w:t xml:space="preserve"> six-unit</w:t>
      </w:r>
      <w:r w:rsidRPr="002B238F" w:rsidR="00AE1B81">
        <w:rPr>
          <w:rFonts w:ascii="Palatino Linotype" w:hAnsi="Palatino Linotype"/>
          <w:sz w:val="24"/>
          <w:szCs w:val="24"/>
        </w:rPr>
        <w:t>s of MUD housing</w:t>
      </w:r>
      <w:r w:rsidRPr="002B238F" w:rsidR="0058647D">
        <w:rPr>
          <w:rFonts w:ascii="Palatino Linotype" w:hAnsi="Palatino Linotype"/>
          <w:sz w:val="24"/>
          <w:szCs w:val="24"/>
        </w:rPr>
        <w:t>, prioritizing</w:t>
      </w:r>
      <w:r w:rsidRPr="002B238F">
        <w:rPr>
          <w:rFonts w:ascii="Palatino Linotype" w:hAnsi="Palatino Linotype"/>
          <w:sz w:val="24"/>
          <w:szCs w:val="24"/>
        </w:rPr>
        <w:t xml:space="preserve"> higher </w:t>
      </w:r>
      <w:r w:rsidRPr="002B238F" w:rsidR="0058647D">
        <w:rPr>
          <w:rFonts w:ascii="Palatino Linotype" w:hAnsi="Palatino Linotype"/>
          <w:sz w:val="24"/>
          <w:szCs w:val="24"/>
        </w:rPr>
        <w:t>density of MUDs and MUD units</w:t>
      </w:r>
      <w:r w:rsidRPr="002B238F">
        <w:rPr>
          <w:rFonts w:ascii="Palatino Linotype" w:hAnsi="Palatino Linotype"/>
          <w:sz w:val="24"/>
          <w:szCs w:val="24"/>
        </w:rPr>
        <w:t xml:space="preserve"> when</w:t>
      </w:r>
      <w:r w:rsidRPr="002B238F" w:rsidR="003D4B6E">
        <w:rPr>
          <w:rFonts w:ascii="Palatino Linotype" w:hAnsi="Palatino Linotype"/>
          <w:sz w:val="24"/>
          <w:szCs w:val="24"/>
        </w:rPr>
        <w:t xml:space="preserve"> possible</w:t>
      </w:r>
      <w:r w:rsidRPr="002B238F">
        <w:rPr>
          <w:rFonts w:ascii="Palatino Linotype" w:hAnsi="Palatino Linotype"/>
          <w:sz w:val="24"/>
          <w:szCs w:val="24"/>
        </w:rPr>
        <w:t xml:space="preserve">. </w:t>
      </w:r>
      <w:r w:rsidRPr="002B238F" w:rsidR="003D4B6E">
        <w:rPr>
          <w:rFonts w:ascii="Palatino Linotype" w:hAnsi="Palatino Linotype"/>
          <w:sz w:val="24"/>
          <w:szCs w:val="24"/>
        </w:rPr>
        <w:t>We clarify that the</w:t>
      </w:r>
      <w:r w:rsidRPr="002B238F">
        <w:rPr>
          <w:rFonts w:ascii="Palatino Linotype" w:hAnsi="Palatino Linotype"/>
          <w:sz w:val="24"/>
          <w:szCs w:val="24"/>
        </w:rPr>
        <w:t xml:space="preserve"> MUD</w:t>
      </w:r>
      <w:r w:rsidRPr="002B238F" w:rsidR="004D01F0">
        <w:rPr>
          <w:rFonts w:ascii="Palatino Linotype" w:hAnsi="Palatino Linotype"/>
          <w:sz w:val="24"/>
          <w:szCs w:val="24"/>
        </w:rPr>
        <w:t>-</w:t>
      </w:r>
      <w:r w:rsidRPr="002B238F">
        <w:rPr>
          <w:rFonts w:ascii="Palatino Linotype" w:hAnsi="Palatino Linotype"/>
          <w:sz w:val="24"/>
          <w:szCs w:val="24"/>
        </w:rPr>
        <w:t xml:space="preserve">serving definition </w:t>
      </w:r>
      <w:r w:rsidRPr="002B238F" w:rsidR="003D4B6E">
        <w:rPr>
          <w:rFonts w:ascii="Palatino Linotype" w:hAnsi="Palatino Linotype"/>
          <w:sz w:val="24"/>
          <w:szCs w:val="24"/>
        </w:rPr>
        <w:t xml:space="preserve">adopted </w:t>
      </w:r>
      <w:r w:rsidRPr="002B238F">
        <w:rPr>
          <w:rFonts w:ascii="Palatino Linotype" w:hAnsi="Palatino Linotype"/>
          <w:sz w:val="24"/>
          <w:szCs w:val="24"/>
        </w:rPr>
        <w:t>in this Resolution</w:t>
      </w:r>
      <w:r w:rsidRPr="002B238F" w:rsidR="003D4B6E">
        <w:rPr>
          <w:rFonts w:ascii="Palatino Linotype" w:hAnsi="Palatino Linotype"/>
          <w:sz w:val="24"/>
          <w:szCs w:val="24"/>
        </w:rPr>
        <w:t xml:space="preserve"> is applicable to SCE’s CR2 program only</w:t>
      </w:r>
      <w:r w:rsidRPr="002B238F" w:rsidR="00D92A64">
        <w:rPr>
          <w:rFonts w:ascii="Palatino Linotype" w:hAnsi="Palatino Linotype"/>
          <w:sz w:val="24"/>
          <w:szCs w:val="24"/>
        </w:rPr>
        <w:t xml:space="preserve"> and may be replaced </w:t>
      </w:r>
      <w:proofErr w:type="gramStart"/>
      <w:r w:rsidRPr="002B238F" w:rsidR="00D92A64">
        <w:rPr>
          <w:rFonts w:ascii="Palatino Linotype" w:hAnsi="Palatino Linotype"/>
          <w:sz w:val="24"/>
          <w:szCs w:val="24"/>
        </w:rPr>
        <w:t>at a later date</w:t>
      </w:r>
      <w:proofErr w:type="gramEnd"/>
      <w:r w:rsidRPr="002B238F" w:rsidR="00D92A64">
        <w:rPr>
          <w:rFonts w:ascii="Palatino Linotype" w:hAnsi="Palatino Linotype"/>
          <w:sz w:val="24"/>
          <w:szCs w:val="24"/>
        </w:rPr>
        <w:t xml:space="preserve"> if </w:t>
      </w:r>
      <w:r w:rsidRPr="002B238F" w:rsidR="0058647D">
        <w:rPr>
          <w:rFonts w:ascii="Palatino Linotype" w:hAnsi="Palatino Linotype"/>
          <w:sz w:val="24"/>
          <w:szCs w:val="24"/>
        </w:rPr>
        <w:t>the Commission</w:t>
      </w:r>
      <w:r w:rsidRPr="002B238F" w:rsidR="001C5BFE">
        <w:rPr>
          <w:rFonts w:ascii="Palatino Linotype" w:hAnsi="Palatino Linotype"/>
          <w:sz w:val="24"/>
          <w:szCs w:val="24"/>
        </w:rPr>
        <w:t xml:space="preserve"> adopts another</w:t>
      </w:r>
      <w:r w:rsidRPr="002B238F" w:rsidR="00D92A64">
        <w:rPr>
          <w:rFonts w:ascii="Palatino Linotype" w:hAnsi="Palatino Linotype"/>
          <w:sz w:val="24"/>
          <w:szCs w:val="24"/>
        </w:rPr>
        <w:t xml:space="preserve"> definition </w:t>
      </w:r>
      <w:r w:rsidRPr="002B238F" w:rsidR="001C5BFE">
        <w:rPr>
          <w:rFonts w:ascii="Palatino Linotype" w:hAnsi="Palatino Linotype"/>
          <w:sz w:val="24"/>
          <w:szCs w:val="24"/>
        </w:rPr>
        <w:t>in the future</w:t>
      </w:r>
      <w:r w:rsidRPr="002B238F" w:rsidR="004D01F0">
        <w:rPr>
          <w:rFonts w:ascii="Palatino Linotype" w:hAnsi="Palatino Linotype"/>
          <w:sz w:val="24"/>
          <w:szCs w:val="24"/>
        </w:rPr>
        <w:t xml:space="preserve"> or applicable to a different program</w:t>
      </w:r>
      <w:r w:rsidRPr="002B238F" w:rsidR="003D4B6E">
        <w:rPr>
          <w:rFonts w:ascii="Palatino Linotype" w:hAnsi="Palatino Linotype"/>
          <w:sz w:val="24"/>
          <w:szCs w:val="24"/>
        </w:rPr>
        <w:t xml:space="preserve">. </w:t>
      </w:r>
    </w:p>
    <w:p w:rsidRPr="002B238F" w:rsidR="007E580F" w:rsidP="007E580F" w:rsidRDefault="00D92A64" w14:paraId="0E95AAEC" w14:textId="76B719A7">
      <w:pPr>
        <w:rPr>
          <w:rFonts w:ascii="Palatino Linotype" w:hAnsi="Palatino Linotype"/>
          <w:sz w:val="24"/>
          <w:szCs w:val="24"/>
        </w:rPr>
      </w:pPr>
      <w:r w:rsidRPr="002B238F">
        <w:rPr>
          <w:rFonts w:ascii="Palatino Linotype" w:hAnsi="Palatino Linotype"/>
          <w:sz w:val="24"/>
          <w:szCs w:val="24"/>
        </w:rPr>
        <w:t>Finally, i</w:t>
      </w:r>
      <w:r w:rsidRPr="002B238F" w:rsidR="007E580F">
        <w:rPr>
          <w:rFonts w:ascii="Palatino Linotype" w:hAnsi="Palatino Linotype"/>
          <w:sz w:val="24"/>
          <w:szCs w:val="24"/>
        </w:rPr>
        <w:t>n addition to reporting on station utilization across site types and charging station access for MUD residents</w:t>
      </w:r>
      <w:r w:rsidRPr="002B238F" w:rsidR="00400D73">
        <w:rPr>
          <w:rFonts w:ascii="Palatino Linotype" w:hAnsi="Palatino Linotype"/>
          <w:sz w:val="24"/>
          <w:szCs w:val="24"/>
        </w:rPr>
        <w:t xml:space="preserve"> as required in D.20-08-045</w:t>
      </w:r>
      <w:r w:rsidRPr="002B238F" w:rsidR="005B4FF6">
        <w:rPr>
          <w:rFonts w:ascii="Palatino Linotype" w:hAnsi="Palatino Linotype"/>
          <w:sz w:val="24"/>
          <w:szCs w:val="24"/>
        </w:rPr>
        <w:t>,</w:t>
      </w:r>
      <w:r w:rsidRPr="002B238F" w:rsidR="007E580F">
        <w:rPr>
          <w:rStyle w:val="FootnoteReference"/>
          <w:rFonts w:ascii="Palatino Linotype" w:hAnsi="Palatino Linotype"/>
          <w:sz w:val="24"/>
          <w:szCs w:val="24"/>
        </w:rPr>
        <w:footnoteReference w:id="19"/>
      </w:r>
      <w:r w:rsidRPr="002B238F" w:rsidR="007E580F">
        <w:rPr>
          <w:rFonts w:ascii="Palatino Linotype" w:hAnsi="Palatino Linotype"/>
          <w:sz w:val="24"/>
          <w:szCs w:val="24"/>
        </w:rPr>
        <w:t xml:space="preserve"> </w:t>
      </w:r>
      <w:r w:rsidRPr="002B238F" w:rsidR="004C6773">
        <w:rPr>
          <w:rFonts w:ascii="Palatino Linotype" w:hAnsi="Palatino Linotype"/>
          <w:sz w:val="24"/>
          <w:szCs w:val="24"/>
        </w:rPr>
        <w:t>SCE</w:t>
      </w:r>
      <w:r w:rsidRPr="002B238F" w:rsidR="007E580F">
        <w:rPr>
          <w:rFonts w:ascii="Palatino Linotype" w:hAnsi="Palatino Linotype"/>
          <w:sz w:val="24"/>
          <w:szCs w:val="24"/>
        </w:rPr>
        <w:t xml:space="preserve"> sh</w:t>
      </w:r>
      <w:r w:rsidRPr="002B238F" w:rsidR="00BB2B40">
        <w:rPr>
          <w:rFonts w:ascii="Palatino Linotype" w:hAnsi="Palatino Linotype"/>
          <w:sz w:val="24"/>
          <w:szCs w:val="24"/>
        </w:rPr>
        <w:t>all</w:t>
      </w:r>
      <w:r w:rsidRPr="002B238F" w:rsidR="007E580F">
        <w:rPr>
          <w:rFonts w:ascii="Palatino Linotype" w:hAnsi="Palatino Linotype"/>
          <w:sz w:val="24"/>
          <w:szCs w:val="24"/>
        </w:rPr>
        <w:t xml:space="preserve"> </w:t>
      </w:r>
      <w:r w:rsidRPr="002B238F" w:rsidR="00CB7768">
        <w:rPr>
          <w:rFonts w:ascii="Palatino Linotype" w:hAnsi="Palatino Linotype"/>
          <w:sz w:val="24"/>
          <w:szCs w:val="24"/>
        </w:rPr>
        <w:t xml:space="preserve">work with Energy Division staff to develop data collection requirements </w:t>
      </w:r>
      <w:r w:rsidRPr="002B238F" w:rsidR="00707547">
        <w:rPr>
          <w:rFonts w:ascii="Palatino Linotype" w:hAnsi="Palatino Linotype"/>
          <w:sz w:val="24"/>
          <w:szCs w:val="24"/>
        </w:rPr>
        <w:t xml:space="preserve">to support the evaluation of charger </w:t>
      </w:r>
      <w:r w:rsidRPr="002B238F" w:rsidR="007E580F">
        <w:rPr>
          <w:rFonts w:ascii="Palatino Linotype" w:hAnsi="Palatino Linotype"/>
          <w:sz w:val="24"/>
          <w:szCs w:val="24"/>
        </w:rPr>
        <w:t>utilization associated with proximity to MUD</w:t>
      </w:r>
      <w:r w:rsidRPr="002B238F" w:rsidR="003E0E3D">
        <w:rPr>
          <w:rFonts w:ascii="Palatino Linotype" w:hAnsi="Palatino Linotype"/>
          <w:sz w:val="24"/>
          <w:szCs w:val="24"/>
        </w:rPr>
        <w:t xml:space="preserve">s, the efficacy of the </w:t>
      </w:r>
      <w:r w:rsidR="00CC60E7">
        <w:rPr>
          <w:rFonts w:ascii="Palatino Linotype" w:hAnsi="Palatino Linotype"/>
          <w:sz w:val="24"/>
          <w:szCs w:val="24"/>
        </w:rPr>
        <w:br/>
      </w:r>
      <w:r w:rsidRPr="002B238F" w:rsidR="003E0E3D">
        <w:rPr>
          <w:rFonts w:ascii="Palatino Linotype" w:hAnsi="Palatino Linotype"/>
          <w:sz w:val="24"/>
          <w:szCs w:val="24"/>
        </w:rPr>
        <w:t>MUD-serving siting definition in actually serving MUD residents</w:t>
      </w:r>
      <w:r w:rsidRPr="002B238F" w:rsidR="008B3A32">
        <w:rPr>
          <w:rFonts w:ascii="Palatino Linotype" w:hAnsi="Palatino Linotype"/>
          <w:sz w:val="24"/>
          <w:szCs w:val="24"/>
        </w:rPr>
        <w:t>, and other factors that may support the evaluation process. SCE shall include this data within the CR2 annual program report.</w:t>
      </w:r>
    </w:p>
    <w:p w:rsidRPr="002B238F" w:rsidR="000764FD" w:rsidP="007B7D19" w:rsidRDefault="0040582D" w14:paraId="0E2D81F0" w14:textId="339CE8AB">
      <w:pPr>
        <w:pStyle w:val="ListParagraph"/>
        <w:ind w:left="0"/>
        <w:rPr>
          <w:rFonts w:ascii="Palatino Linotype" w:hAnsi="Palatino Linotype"/>
          <w:b/>
          <w:bCs/>
          <w:sz w:val="24"/>
          <w:szCs w:val="24"/>
        </w:rPr>
      </w:pPr>
      <w:r w:rsidRPr="002B238F">
        <w:rPr>
          <w:rFonts w:ascii="Palatino Linotype" w:hAnsi="Palatino Linotype"/>
          <w:b/>
          <w:bCs/>
          <w:sz w:val="24"/>
          <w:szCs w:val="24"/>
        </w:rPr>
        <w:t xml:space="preserve">2. </w:t>
      </w:r>
      <w:r w:rsidRPr="002B238F" w:rsidR="002C77FA">
        <w:rPr>
          <w:rFonts w:ascii="Palatino Linotype" w:hAnsi="Palatino Linotype"/>
          <w:b/>
          <w:bCs/>
          <w:sz w:val="24"/>
          <w:szCs w:val="24"/>
        </w:rPr>
        <w:t>Updated rebate model and budget based on program modification</w:t>
      </w:r>
      <w:r w:rsidRPr="002B238F" w:rsidR="002C77FA">
        <w:rPr>
          <w:rFonts w:ascii="Palatino Linotype" w:hAnsi="Palatino Linotype" w:eastAsia="Times New Roman" w:cs="Times New Roman"/>
          <w:b/>
          <w:bCs/>
          <w:color w:val="0E101A"/>
          <w:sz w:val="24"/>
          <w:szCs w:val="24"/>
        </w:rPr>
        <w:t>s</w:t>
      </w:r>
    </w:p>
    <w:p w:rsidRPr="002B238F" w:rsidR="002C77FA" w:rsidP="002C77FA" w:rsidRDefault="002C77FA" w14:paraId="7D5F0FED" w14:textId="15F80279">
      <w:pPr>
        <w:rPr>
          <w:rFonts w:ascii="Palatino Linotype" w:hAnsi="Palatino Linotype"/>
          <w:bCs/>
          <w:sz w:val="24"/>
          <w:szCs w:val="24"/>
        </w:rPr>
      </w:pPr>
      <w:r w:rsidRPr="002B238F">
        <w:rPr>
          <w:rFonts w:ascii="Palatino Linotype" w:hAnsi="Palatino Linotype"/>
          <w:bCs/>
          <w:sz w:val="24"/>
          <w:szCs w:val="24"/>
        </w:rPr>
        <w:t>SCE states it will offer a single port level rebate for DCFC EVSE during the program's first year and will evaluate rebate levels every year after and perform annual evaluations with its PAC. SCE adds, a single rebate for the first year of the program will assist SCE</w:t>
      </w:r>
      <w:r w:rsidRPr="002B238F" w:rsidR="0078541F">
        <w:rPr>
          <w:rFonts w:ascii="Palatino Linotype" w:hAnsi="Palatino Linotype"/>
          <w:bCs/>
          <w:sz w:val="24"/>
          <w:szCs w:val="24"/>
        </w:rPr>
        <w:t xml:space="preserve"> in</w:t>
      </w:r>
      <w:r w:rsidRPr="002B238F">
        <w:rPr>
          <w:rFonts w:ascii="Palatino Linotype" w:hAnsi="Palatino Linotype"/>
          <w:bCs/>
          <w:sz w:val="24"/>
          <w:szCs w:val="24"/>
        </w:rPr>
        <w:t xml:space="preserve"> gain</w:t>
      </w:r>
      <w:r w:rsidRPr="002B238F" w:rsidR="0078541F">
        <w:rPr>
          <w:rFonts w:ascii="Palatino Linotype" w:hAnsi="Palatino Linotype"/>
          <w:bCs/>
          <w:sz w:val="24"/>
          <w:szCs w:val="24"/>
        </w:rPr>
        <w:t>ing</w:t>
      </w:r>
      <w:r w:rsidRPr="002B238F">
        <w:rPr>
          <w:rFonts w:ascii="Palatino Linotype" w:hAnsi="Palatino Linotype"/>
          <w:bCs/>
          <w:sz w:val="24"/>
          <w:szCs w:val="24"/>
        </w:rPr>
        <w:t xml:space="preserve"> additional insights regarding customers’ DCFC operational and power level needs. Proposed rebate level adjustments will be based on direct customer feedback, participation rates, and remaining program funds. SCE will consider the need for incorporating a tiered rebate structure and may offer higher incentives to reduce associated costs with procuring higher power DCFC EVSE. </w:t>
      </w:r>
    </w:p>
    <w:p w:rsidRPr="002B238F" w:rsidR="002C77FA" w:rsidP="002C77FA" w:rsidRDefault="002C77FA" w14:paraId="42F30529" w14:textId="7B170502">
      <w:pPr>
        <w:rPr>
          <w:rFonts w:ascii="Palatino Linotype" w:hAnsi="Palatino Linotype"/>
          <w:bCs/>
          <w:sz w:val="24"/>
          <w:szCs w:val="24"/>
        </w:rPr>
      </w:pPr>
      <w:r w:rsidRPr="002B238F">
        <w:rPr>
          <w:rFonts w:ascii="Palatino Linotype" w:hAnsi="Palatino Linotype"/>
          <w:bCs/>
          <w:sz w:val="24"/>
          <w:szCs w:val="24"/>
        </w:rPr>
        <w:t xml:space="preserve">Additionally, </w:t>
      </w:r>
      <w:r w:rsidRPr="002B238F" w:rsidR="00227AC0">
        <w:rPr>
          <w:rFonts w:ascii="Palatino Linotype" w:hAnsi="Palatino Linotype"/>
          <w:bCs/>
          <w:sz w:val="24"/>
          <w:szCs w:val="24"/>
        </w:rPr>
        <w:t xml:space="preserve">as described in the Background section, </w:t>
      </w:r>
      <w:r w:rsidRPr="002B238F">
        <w:rPr>
          <w:rFonts w:ascii="Palatino Linotype" w:hAnsi="Palatino Linotype"/>
          <w:bCs/>
          <w:sz w:val="24"/>
          <w:szCs w:val="24"/>
        </w:rPr>
        <w:t xml:space="preserve">SCE proposes using the median price point rather than the best value approach </w:t>
      </w:r>
      <w:r w:rsidRPr="002B238F" w:rsidR="00227AC0">
        <w:rPr>
          <w:rFonts w:ascii="Palatino Linotype" w:hAnsi="Palatino Linotype"/>
          <w:bCs/>
          <w:sz w:val="24"/>
          <w:szCs w:val="24"/>
        </w:rPr>
        <w:t xml:space="preserve">it used </w:t>
      </w:r>
      <w:r w:rsidRPr="002B238F">
        <w:rPr>
          <w:rFonts w:ascii="Palatino Linotype" w:hAnsi="Palatino Linotype"/>
          <w:bCs/>
          <w:sz w:val="24"/>
          <w:szCs w:val="24"/>
        </w:rPr>
        <w:t xml:space="preserve">for the Urban Clusters Pilot program. </w:t>
      </w:r>
      <w:r w:rsidRPr="002B238F" w:rsidR="00C561F8">
        <w:rPr>
          <w:rFonts w:ascii="Palatino Linotype" w:hAnsi="Palatino Linotype"/>
          <w:bCs/>
          <w:sz w:val="24"/>
          <w:szCs w:val="24"/>
        </w:rPr>
        <w:t xml:space="preserve">The proposal includes </w:t>
      </w:r>
      <w:r w:rsidRPr="002B238F">
        <w:rPr>
          <w:rFonts w:ascii="Palatino Linotype" w:hAnsi="Palatino Linotype"/>
          <w:bCs/>
          <w:sz w:val="24"/>
          <w:szCs w:val="24"/>
        </w:rPr>
        <w:t xml:space="preserve">a </w:t>
      </w:r>
      <w:r w:rsidRPr="002B238F" w:rsidR="00C561F8">
        <w:rPr>
          <w:rFonts w:ascii="Palatino Linotype" w:hAnsi="Palatino Linotype"/>
          <w:bCs/>
          <w:sz w:val="24"/>
          <w:szCs w:val="24"/>
        </w:rPr>
        <w:t xml:space="preserve">rebate equivalent to </w:t>
      </w:r>
      <w:r w:rsidRPr="002B238F">
        <w:rPr>
          <w:rFonts w:ascii="Palatino Linotype" w:hAnsi="Palatino Linotype"/>
          <w:bCs/>
          <w:sz w:val="24"/>
          <w:szCs w:val="24"/>
        </w:rPr>
        <w:t>100 percent</w:t>
      </w:r>
      <w:r w:rsidRPr="002B238F" w:rsidR="00C561F8">
        <w:rPr>
          <w:rFonts w:ascii="Palatino Linotype" w:hAnsi="Palatino Linotype"/>
          <w:bCs/>
          <w:sz w:val="24"/>
          <w:szCs w:val="24"/>
        </w:rPr>
        <w:t xml:space="preserve"> of the base cost </w:t>
      </w:r>
      <w:r w:rsidRPr="002B238F">
        <w:rPr>
          <w:rFonts w:ascii="Palatino Linotype" w:hAnsi="Palatino Linotype"/>
          <w:bCs/>
          <w:sz w:val="24"/>
          <w:szCs w:val="24"/>
        </w:rPr>
        <w:t>for DACs</w:t>
      </w:r>
      <w:r w:rsidRPr="002B238F" w:rsidR="008F31F1">
        <w:rPr>
          <w:rFonts w:ascii="Palatino Linotype" w:hAnsi="Palatino Linotype"/>
          <w:bCs/>
          <w:sz w:val="24"/>
          <w:szCs w:val="24"/>
        </w:rPr>
        <w:t>, excluding Fortune 1000 customers;</w:t>
      </w:r>
      <w:r w:rsidRPr="002B238F">
        <w:rPr>
          <w:rFonts w:ascii="Palatino Linotype" w:hAnsi="Palatino Linotype"/>
          <w:bCs/>
          <w:sz w:val="24"/>
          <w:szCs w:val="24"/>
        </w:rPr>
        <w:t xml:space="preserve"> 50 percent for MUDs</w:t>
      </w:r>
      <w:r w:rsidRPr="002B238F" w:rsidR="008F31F1">
        <w:rPr>
          <w:rFonts w:ascii="Palatino Linotype" w:hAnsi="Palatino Linotype"/>
          <w:bCs/>
          <w:sz w:val="24"/>
          <w:szCs w:val="24"/>
        </w:rPr>
        <w:t>;</w:t>
      </w:r>
      <w:r w:rsidRPr="002B238F">
        <w:rPr>
          <w:rFonts w:ascii="Palatino Linotype" w:hAnsi="Palatino Linotype"/>
          <w:bCs/>
          <w:sz w:val="24"/>
          <w:szCs w:val="24"/>
        </w:rPr>
        <w:t xml:space="preserve"> and 25 percent for all other sectors</w:t>
      </w:r>
      <w:r w:rsidRPr="002B238F" w:rsidR="008F31F1">
        <w:rPr>
          <w:rFonts w:ascii="Palatino Linotype" w:hAnsi="Palatino Linotype"/>
          <w:bCs/>
          <w:sz w:val="24"/>
          <w:szCs w:val="24"/>
        </w:rPr>
        <w:t>, including Fortune 1000 customers.</w:t>
      </w:r>
    </w:p>
    <w:p w:rsidRPr="002B238F" w:rsidR="003F4B4D" w:rsidP="002C77FA" w:rsidRDefault="003F4B4D" w14:paraId="67380A0B" w14:textId="40651D0C">
      <w:pPr>
        <w:rPr>
          <w:rFonts w:ascii="Palatino Linotype" w:hAnsi="Palatino Linotype"/>
          <w:bCs/>
          <w:sz w:val="24"/>
          <w:szCs w:val="24"/>
        </w:rPr>
      </w:pPr>
      <w:bookmarkStart w:name="_Hlk114584891" w:id="12"/>
      <w:r w:rsidRPr="002B238F">
        <w:rPr>
          <w:rFonts w:ascii="Palatino Linotype" w:hAnsi="Palatino Linotype"/>
          <w:bCs/>
          <w:sz w:val="24"/>
          <w:szCs w:val="24"/>
        </w:rPr>
        <w:t>We approve</w:t>
      </w:r>
      <w:r w:rsidRPr="002B238F" w:rsidR="002C77FA">
        <w:rPr>
          <w:rFonts w:ascii="Palatino Linotype" w:hAnsi="Palatino Linotype"/>
          <w:bCs/>
          <w:sz w:val="24"/>
          <w:szCs w:val="24"/>
        </w:rPr>
        <w:t xml:space="preserve"> SCE's proposal to use the </w:t>
      </w:r>
      <w:r w:rsidRPr="002B238F" w:rsidR="00C561F8">
        <w:rPr>
          <w:rFonts w:ascii="Palatino Linotype" w:hAnsi="Palatino Linotype"/>
          <w:bCs/>
          <w:sz w:val="24"/>
          <w:szCs w:val="24"/>
        </w:rPr>
        <w:t>m</w:t>
      </w:r>
      <w:r w:rsidRPr="002B238F" w:rsidR="002C77FA">
        <w:rPr>
          <w:rFonts w:ascii="Palatino Linotype" w:hAnsi="Palatino Linotype"/>
          <w:bCs/>
          <w:sz w:val="24"/>
          <w:szCs w:val="24"/>
        </w:rPr>
        <w:t xml:space="preserve">edian </w:t>
      </w:r>
      <w:r w:rsidRPr="002B238F" w:rsidR="00146E92">
        <w:rPr>
          <w:rFonts w:ascii="Palatino Linotype" w:hAnsi="Palatino Linotype"/>
          <w:bCs/>
          <w:sz w:val="24"/>
          <w:szCs w:val="24"/>
        </w:rPr>
        <w:t>p</w:t>
      </w:r>
      <w:r w:rsidRPr="002B238F" w:rsidR="002C77FA">
        <w:rPr>
          <w:rFonts w:ascii="Palatino Linotype" w:hAnsi="Palatino Linotype"/>
          <w:bCs/>
          <w:sz w:val="24"/>
          <w:szCs w:val="24"/>
        </w:rPr>
        <w:t xml:space="preserve">rice </w:t>
      </w:r>
      <w:r w:rsidRPr="002B238F" w:rsidR="00146E92">
        <w:rPr>
          <w:rFonts w:ascii="Palatino Linotype" w:hAnsi="Palatino Linotype"/>
          <w:bCs/>
          <w:sz w:val="24"/>
          <w:szCs w:val="24"/>
        </w:rPr>
        <w:t>p</w:t>
      </w:r>
      <w:r w:rsidRPr="002B238F" w:rsidR="002C77FA">
        <w:rPr>
          <w:rFonts w:ascii="Palatino Linotype" w:hAnsi="Palatino Linotype"/>
          <w:bCs/>
          <w:sz w:val="24"/>
          <w:szCs w:val="24"/>
        </w:rPr>
        <w:t>oint to</w:t>
      </w:r>
      <w:r w:rsidRPr="002B238F" w:rsidR="00146E92">
        <w:rPr>
          <w:rFonts w:ascii="Palatino Linotype" w:hAnsi="Palatino Linotype"/>
          <w:bCs/>
          <w:sz w:val="24"/>
          <w:szCs w:val="24"/>
        </w:rPr>
        <w:t xml:space="preserve"> determine the base cost to</w:t>
      </w:r>
      <w:r w:rsidRPr="002B238F" w:rsidR="002C77FA">
        <w:rPr>
          <w:rFonts w:ascii="Palatino Linotype" w:hAnsi="Palatino Linotype"/>
          <w:bCs/>
          <w:sz w:val="24"/>
          <w:szCs w:val="24"/>
        </w:rPr>
        <w:t xml:space="preserve"> better allow for new enhancements and different features that enter the marketplaces</w:t>
      </w:r>
      <w:r w:rsidRPr="002B238F" w:rsidR="0047763A">
        <w:rPr>
          <w:rFonts w:ascii="Palatino Linotype" w:hAnsi="Palatino Linotype"/>
          <w:bCs/>
          <w:sz w:val="24"/>
          <w:szCs w:val="24"/>
        </w:rPr>
        <w:t xml:space="preserve"> for DCFC</w:t>
      </w:r>
      <w:r w:rsidRPr="002B238F" w:rsidR="002C77FA">
        <w:rPr>
          <w:rFonts w:ascii="Palatino Linotype" w:hAnsi="Palatino Linotype"/>
          <w:bCs/>
          <w:sz w:val="24"/>
          <w:szCs w:val="24"/>
        </w:rPr>
        <w:t xml:space="preserve">. </w:t>
      </w:r>
      <w:bookmarkEnd w:id="12"/>
      <w:r w:rsidRPr="002B238F" w:rsidR="002C77FA">
        <w:rPr>
          <w:rFonts w:ascii="Palatino Linotype" w:hAnsi="Palatino Linotype"/>
          <w:bCs/>
          <w:sz w:val="24"/>
          <w:szCs w:val="24"/>
        </w:rPr>
        <w:t xml:space="preserve">This proposed base cost methodology may </w:t>
      </w:r>
      <w:r w:rsidRPr="002B238F" w:rsidR="00146E92">
        <w:rPr>
          <w:rFonts w:ascii="Palatino Linotype" w:hAnsi="Palatino Linotype"/>
          <w:bCs/>
          <w:sz w:val="24"/>
          <w:szCs w:val="24"/>
        </w:rPr>
        <w:t xml:space="preserve">help to </w:t>
      </w:r>
      <w:proofErr w:type="gramStart"/>
      <w:r w:rsidRPr="002B238F" w:rsidR="002C77FA">
        <w:rPr>
          <w:rFonts w:ascii="Palatino Linotype" w:hAnsi="Palatino Linotype"/>
          <w:bCs/>
          <w:sz w:val="24"/>
          <w:szCs w:val="24"/>
        </w:rPr>
        <w:t>future-proof</w:t>
      </w:r>
      <w:proofErr w:type="gramEnd"/>
      <w:r w:rsidRPr="002B238F" w:rsidR="002C77FA">
        <w:rPr>
          <w:rFonts w:ascii="Palatino Linotype" w:hAnsi="Palatino Linotype"/>
          <w:bCs/>
          <w:sz w:val="24"/>
          <w:szCs w:val="24"/>
        </w:rPr>
        <w:t xml:space="preserve"> DCFCs</w:t>
      </w:r>
      <w:r w:rsidRPr="002B238F" w:rsidR="00146E92">
        <w:rPr>
          <w:rFonts w:ascii="Palatino Linotype" w:hAnsi="Palatino Linotype"/>
          <w:bCs/>
          <w:sz w:val="24"/>
          <w:szCs w:val="24"/>
        </w:rPr>
        <w:t xml:space="preserve"> </w:t>
      </w:r>
      <w:r w:rsidRPr="002B238F" w:rsidR="00146E92">
        <w:rPr>
          <w:rFonts w:ascii="Palatino Linotype" w:hAnsi="Palatino Linotype"/>
          <w:bCs/>
          <w:sz w:val="24"/>
          <w:szCs w:val="24"/>
        </w:rPr>
        <w:lastRenderedPageBreak/>
        <w:t>installed via the CR2 program</w:t>
      </w:r>
      <w:r w:rsidRPr="002B238F" w:rsidR="002C77FA">
        <w:rPr>
          <w:rFonts w:ascii="Palatino Linotype" w:hAnsi="Palatino Linotype"/>
          <w:bCs/>
          <w:sz w:val="24"/>
          <w:szCs w:val="24"/>
        </w:rPr>
        <w:t xml:space="preserve">. </w:t>
      </w:r>
      <w:r w:rsidRPr="002B238F" w:rsidR="002721D8">
        <w:rPr>
          <w:rFonts w:ascii="Palatino Linotype" w:hAnsi="Palatino Linotype"/>
          <w:bCs/>
          <w:sz w:val="24"/>
          <w:szCs w:val="24"/>
        </w:rPr>
        <w:t xml:space="preserve">Given the wide range in available models and cost, the median approach will allow for a base cost that is more reflective of the available EVSE options. </w:t>
      </w:r>
    </w:p>
    <w:p w:rsidRPr="002B238F" w:rsidR="007435B1" w:rsidP="005541B6" w:rsidRDefault="007435B1" w14:paraId="6D172C8C" w14:textId="7A6CA72B">
      <w:pPr>
        <w:pStyle w:val="ListParagraph"/>
        <w:ind w:left="0"/>
        <w:rPr>
          <w:rFonts w:ascii="Palatino Linotype" w:hAnsi="Palatino Linotype"/>
          <w:sz w:val="24"/>
          <w:szCs w:val="24"/>
        </w:rPr>
      </w:pPr>
      <w:r w:rsidRPr="002B238F">
        <w:rPr>
          <w:rFonts w:ascii="Palatino Linotype" w:hAnsi="Palatino Linotype"/>
          <w:b/>
          <w:bCs/>
          <w:sz w:val="24"/>
          <w:szCs w:val="24"/>
        </w:rPr>
        <w:t>3. DCFC power levels</w:t>
      </w:r>
    </w:p>
    <w:p w:rsidRPr="002B238F" w:rsidR="002C77FA" w:rsidP="65C8B7AF" w:rsidRDefault="007435B1" w14:paraId="7B82171A" w14:textId="2E65B6B4">
      <w:pPr>
        <w:rPr>
          <w:rFonts w:ascii="Palatino Linotype" w:hAnsi="Palatino Linotype"/>
          <w:sz w:val="24"/>
          <w:szCs w:val="24"/>
        </w:rPr>
      </w:pPr>
      <w:r w:rsidRPr="002B238F">
        <w:rPr>
          <w:rFonts w:ascii="Palatino Linotype" w:hAnsi="Palatino Linotype"/>
          <w:sz w:val="24"/>
          <w:szCs w:val="24"/>
        </w:rPr>
        <w:t>C</w:t>
      </w:r>
      <w:r w:rsidRPr="002B238F" w:rsidR="00716D93">
        <w:rPr>
          <w:rFonts w:ascii="Palatino Linotype" w:hAnsi="Palatino Linotype"/>
          <w:sz w:val="24"/>
          <w:szCs w:val="24"/>
        </w:rPr>
        <w:t xml:space="preserve">onsistent with the Commission's rationale for PG&amp;E's Fast Charge program, SCE </w:t>
      </w:r>
      <w:r w:rsidRPr="002B238F" w:rsidR="00D30744">
        <w:rPr>
          <w:rFonts w:ascii="Palatino Linotype" w:hAnsi="Palatino Linotype"/>
          <w:sz w:val="24"/>
          <w:szCs w:val="24"/>
        </w:rPr>
        <w:t xml:space="preserve">must </w:t>
      </w:r>
      <w:r w:rsidRPr="002B238F" w:rsidR="00716D93">
        <w:rPr>
          <w:rFonts w:ascii="Palatino Linotype" w:hAnsi="Palatino Linotype"/>
          <w:sz w:val="24"/>
          <w:szCs w:val="24"/>
        </w:rPr>
        <w:t>install make-ready infrastructure to support EVSE of 150kW to support higher-powered charging in the future</w:t>
      </w:r>
      <w:r w:rsidRPr="002B238F" w:rsidR="0078541F">
        <w:rPr>
          <w:rFonts w:ascii="Palatino Linotype" w:hAnsi="Palatino Linotype"/>
          <w:sz w:val="24"/>
          <w:szCs w:val="24"/>
        </w:rPr>
        <w:t>.</w:t>
      </w:r>
      <w:r w:rsidRPr="002B238F" w:rsidR="002C77FA">
        <w:rPr>
          <w:rStyle w:val="FootnoteReference"/>
          <w:rFonts w:ascii="Palatino Linotype" w:hAnsi="Palatino Linotype"/>
          <w:sz w:val="24"/>
          <w:szCs w:val="24"/>
        </w:rPr>
        <w:footnoteReference w:id="20"/>
      </w:r>
      <w:r w:rsidRPr="002B238F" w:rsidR="006F6CE4">
        <w:rPr>
          <w:rFonts w:ascii="Palatino Linotype" w:hAnsi="Palatino Linotype"/>
          <w:sz w:val="24"/>
          <w:szCs w:val="24"/>
        </w:rPr>
        <w:t xml:space="preserve"> </w:t>
      </w:r>
      <w:bookmarkStart w:name="_Hlk114584877" w:id="13"/>
      <w:r w:rsidRPr="002B238F" w:rsidR="002D7C68">
        <w:rPr>
          <w:rFonts w:ascii="Palatino Linotype" w:hAnsi="Palatino Linotype"/>
          <w:sz w:val="24"/>
          <w:szCs w:val="24"/>
        </w:rPr>
        <w:t>V</w:t>
      </w:r>
      <w:r w:rsidRPr="002B238F" w:rsidR="00CC750D">
        <w:rPr>
          <w:rFonts w:ascii="Palatino Linotype" w:hAnsi="Palatino Linotype"/>
          <w:sz w:val="24"/>
          <w:szCs w:val="24"/>
        </w:rPr>
        <w:t xml:space="preserve">ehicle ranges </w:t>
      </w:r>
      <w:r w:rsidRPr="002B238F" w:rsidR="00C86E1E">
        <w:rPr>
          <w:rFonts w:ascii="Palatino Linotype" w:hAnsi="Palatino Linotype"/>
          <w:sz w:val="24"/>
          <w:szCs w:val="24"/>
        </w:rPr>
        <w:t xml:space="preserve">and thus battery size </w:t>
      </w:r>
      <w:proofErr w:type="gramStart"/>
      <w:r w:rsidRPr="002B238F" w:rsidR="00C86E1E">
        <w:rPr>
          <w:rFonts w:ascii="Palatino Linotype" w:hAnsi="Palatino Linotype"/>
          <w:sz w:val="24"/>
          <w:szCs w:val="24"/>
        </w:rPr>
        <w:t>ha</w:t>
      </w:r>
      <w:r w:rsidRPr="002B238F" w:rsidR="0057204D">
        <w:rPr>
          <w:rFonts w:ascii="Palatino Linotype" w:hAnsi="Palatino Linotype"/>
          <w:sz w:val="24"/>
          <w:szCs w:val="24"/>
        </w:rPr>
        <w:t>ve</w:t>
      </w:r>
      <w:proofErr w:type="gramEnd"/>
      <w:r w:rsidRPr="002B238F" w:rsidR="00C86E1E">
        <w:rPr>
          <w:rFonts w:ascii="Palatino Linotype" w:hAnsi="Palatino Linotype"/>
          <w:sz w:val="24"/>
          <w:szCs w:val="24"/>
        </w:rPr>
        <w:t xml:space="preserve"> increased significantly over the last several years</w:t>
      </w:r>
      <w:r w:rsidRPr="002B238F" w:rsidR="001A55DD">
        <w:rPr>
          <w:rFonts w:ascii="Palatino Linotype" w:hAnsi="Palatino Linotype"/>
          <w:sz w:val="24"/>
          <w:szCs w:val="24"/>
        </w:rPr>
        <w:t xml:space="preserve">, reflecting a change in charging needs since SCE </w:t>
      </w:r>
      <w:r w:rsidRPr="002B238F" w:rsidR="005A0361">
        <w:rPr>
          <w:rFonts w:ascii="Palatino Linotype" w:hAnsi="Palatino Linotype"/>
          <w:sz w:val="24"/>
          <w:szCs w:val="24"/>
        </w:rPr>
        <w:t xml:space="preserve">filed its proposal for </w:t>
      </w:r>
      <w:r w:rsidRPr="002B238F">
        <w:rPr>
          <w:rFonts w:ascii="Palatino Linotype" w:hAnsi="Palatino Linotype"/>
          <w:sz w:val="24"/>
          <w:szCs w:val="24"/>
        </w:rPr>
        <w:t>CR</w:t>
      </w:r>
      <w:r w:rsidRPr="002B238F" w:rsidR="005A0361">
        <w:rPr>
          <w:rFonts w:ascii="Palatino Linotype" w:hAnsi="Palatino Linotype"/>
          <w:sz w:val="24"/>
          <w:szCs w:val="24"/>
        </w:rPr>
        <w:t xml:space="preserve">2 in 2018. </w:t>
      </w:r>
      <w:r w:rsidRPr="002B238F" w:rsidR="0057204D">
        <w:rPr>
          <w:rFonts w:ascii="Palatino Linotype" w:hAnsi="Palatino Linotype"/>
          <w:sz w:val="24"/>
          <w:szCs w:val="24"/>
        </w:rPr>
        <w:t xml:space="preserve">While </w:t>
      </w:r>
      <w:r w:rsidRPr="002B238F" w:rsidR="002D7C68">
        <w:rPr>
          <w:rFonts w:ascii="Palatino Linotype" w:hAnsi="Palatino Linotype"/>
          <w:sz w:val="24"/>
          <w:szCs w:val="24"/>
        </w:rPr>
        <w:t xml:space="preserve">D.20-08-045 </w:t>
      </w:r>
      <w:r w:rsidRPr="002B238F" w:rsidR="00816521">
        <w:rPr>
          <w:rFonts w:ascii="Palatino Linotype" w:hAnsi="Palatino Linotype"/>
          <w:sz w:val="24"/>
          <w:szCs w:val="24"/>
        </w:rPr>
        <w:t xml:space="preserve">allowed SCE to provide rebates for DCFC capable of charging at 50kW </w:t>
      </w:r>
      <w:r w:rsidRPr="002B238F" w:rsidR="00EE2B95">
        <w:rPr>
          <w:rFonts w:ascii="Palatino Linotype" w:hAnsi="Palatino Linotype"/>
          <w:sz w:val="24"/>
          <w:szCs w:val="24"/>
        </w:rPr>
        <w:t xml:space="preserve">or greater, given the </w:t>
      </w:r>
      <w:r w:rsidRPr="002B238F" w:rsidR="0023763D">
        <w:rPr>
          <w:rFonts w:ascii="Palatino Linotype" w:hAnsi="Palatino Linotype"/>
          <w:sz w:val="24"/>
          <w:szCs w:val="24"/>
        </w:rPr>
        <w:t xml:space="preserve">developments in the market since 2018 we believe that the 50kW should be interpreted as a floor rather than a ceiling </w:t>
      </w:r>
      <w:r w:rsidRPr="002B238F" w:rsidR="00733547">
        <w:rPr>
          <w:rFonts w:ascii="Palatino Linotype" w:hAnsi="Palatino Linotype"/>
          <w:sz w:val="24"/>
          <w:szCs w:val="24"/>
        </w:rPr>
        <w:t>of the allowable DCFC to be installed through this program.</w:t>
      </w:r>
      <w:r w:rsidRPr="002B238F" w:rsidR="00816521">
        <w:rPr>
          <w:rFonts w:ascii="Palatino Linotype" w:hAnsi="Palatino Linotype"/>
          <w:sz w:val="24"/>
          <w:szCs w:val="24"/>
        </w:rPr>
        <w:t xml:space="preserve"> </w:t>
      </w:r>
      <w:r w:rsidRPr="002B238F" w:rsidR="00733547">
        <w:rPr>
          <w:rFonts w:ascii="Palatino Linotype" w:hAnsi="Palatino Linotype"/>
          <w:sz w:val="24"/>
          <w:szCs w:val="24"/>
        </w:rPr>
        <w:t>T</w:t>
      </w:r>
      <w:r w:rsidRPr="002B238F" w:rsidR="0057204D">
        <w:rPr>
          <w:rFonts w:ascii="Palatino Linotype" w:hAnsi="Palatino Linotype"/>
          <w:sz w:val="24"/>
          <w:szCs w:val="24"/>
        </w:rPr>
        <w:t xml:space="preserve">his Resolution does not intend to </w:t>
      </w:r>
      <w:r w:rsidRPr="002B238F" w:rsidR="005C05E4">
        <w:rPr>
          <w:rFonts w:ascii="Palatino Linotype" w:hAnsi="Palatino Linotype"/>
          <w:sz w:val="24"/>
          <w:szCs w:val="24"/>
        </w:rPr>
        <w:t>alter the direction provided in D.20-08-045, we</w:t>
      </w:r>
      <w:r w:rsidRPr="002B238F" w:rsidR="00733547">
        <w:rPr>
          <w:rFonts w:ascii="Palatino Linotype" w:hAnsi="Palatino Linotype"/>
          <w:sz w:val="24"/>
          <w:szCs w:val="24"/>
        </w:rPr>
        <w:t xml:space="preserve"> however</w:t>
      </w:r>
      <w:r w:rsidRPr="002B238F" w:rsidR="005C05E4">
        <w:rPr>
          <w:rFonts w:ascii="Palatino Linotype" w:hAnsi="Palatino Linotype"/>
          <w:sz w:val="24"/>
          <w:szCs w:val="24"/>
        </w:rPr>
        <w:t xml:space="preserve"> </w:t>
      </w:r>
      <w:r w:rsidRPr="002B238F" w:rsidR="005637BE">
        <w:rPr>
          <w:rFonts w:ascii="Palatino Linotype" w:hAnsi="Palatino Linotype"/>
          <w:sz w:val="24"/>
          <w:szCs w:val="24"/>
        </w:rPr>
        <w:t xml:space="preserve">encourage SCE to allow those </w:t>
      </w:r>
      <w:proofErr w:type="gramStart"/>
      <w:r w:rsidRPr="002B238F" w:rsidR="006A28A4">
        <w:rPr>
          <w:rFonts w:ascii="Palatino Linotype" w:hAnsi="Palatino Linotype"/>
          <w:sz w:val="24"/>
          <w:szCs w:val="24"/>
        </w:rPr>
        <w:t>higher powered</w:t>
      </w:r>
      <w:proofErr w:type="gramEnd"/>
      <w:r w:rsidRPr="002B238F" w:rsidR="006A28A4">
        <w:rPr>
          <w:rFonts w:ascii="Palatino Linotype" w:hAnsi="Palatino Linotype"/>
          <w:sz w:val="24"/>
          <w:szCs w:val="24"/>
        </w:rPr>
        <w:t xml:space="preserve"> chargers to participate in the program</w:t>
      </w:r>
      <w:r w:rsidRPr="002B238F" w:rsidR="005637BE">
        <w:rPr>
          <w:rFonts w:ascii="Palatino Linotype" w:hAnsi="Palatino Linotype"/>
          <w:sz w:val="24"/>
          <w:szCs w:val="24"/>
        </w:rPr>
        <w:t xml:space="preserve">. </w:t>
      </w:r>
      <w:r w:rsidRPr="002B238F" w:rsidR="006F6CE4">
        <w:rPr>
          <w:rFonts w:ascii="Palatino Linotype" w:hAnsi="Palatino Linotype"/>
          <w:sz w:val="24"/>
          <w:szCs w:val="24"/>
        </w:rPr>
        <w:t xml:space="preserve"> </w:t>
      </w:r>
      <w:bookmarkEnd w:id="13"/>
    </w:p>
    <w:p w:rsidRPr="002B238F" w:rsidR="009141D0" w:rsidP="00716D93" w:rsidRDefault="009141D0" w14:paraId="58B8BC03" w14:textId="69601307">
      <w:pPr>
        <w:rPr>
          <w:rFonts w:ascii="Palatino Linotype" w:hAnsi="Palatino Linotype"/>
          <w:bCs/>
          <w:sz w:val="24"/>
          <w:szCs w:val="24"/>
        </w:rPr>
      </w:pPr>
      <w:r w:rsidRPr="002B238F">
        <w:rPr>
          <w:rFonts w:ascii="Palatino Linotype" w:hAnsi="Palatino Linotype"/>
          <w:bCs/>
          <w:sz w:val="24"/>
          <w:szCs w:val="24"/>
        </w:rPr>
        <w:t xml:space="preserve">SCE shall </w:t>
      </w:r>
      <w:r w:rsidRPr="002B238F" w:rsidR="00733547">
        <w:rPr>
          <w:rFonts w:ascii="Palatino Linotype" w:hAnsi="Palatino Linotype"/>
          <w:bCs/>
          <w:sz w:val="24"/>
          <w:szCs w:val="24"/>
        </w:rPr>
        <w:t xml:space="preserve">additionally </w:t>
      </w:r>
      <w:r w:rsidRPr="002B238F">
        <w:rPr>
          <w:rFonts w:ascii="Palatino Linotype" w:hAnsi="Palatino Linotype"/>
          <w:bCs/>
          <w:sz w:val="24"/>
          <w:szCs w:val="24"/>
        </w:rPr>
        <w:t xml:space="preserve">work with Energy Division staff </w:t>
      </w:r>
      <w:r w:rsidRPr="002B238F" w:rsidR="00CA3C9A">
        <w:rPr>
          <w:rFonts w:ascii="Palatino Linotype" w:hAnsi="Palatino Linotype"/>
          <w:bCs/>
          <w:sz w:val="24"/>
          <w:szCs w:val="24"/>
        </w:rPr>
        <w:t xml:space="preserve">to develop data reporting requirements to support the evaluation of customer’s DCFC operational and </w:t>
      </w:r>
      <w:r w:rsidR="00CC60E7">
        <w:rPr>
          <w:rFonts w:ascii="Palatino Linotype" w:hAnsi="Palatino Linotype"/>
          <w:bCs/>
          <w:sz w:val="24"/>
          <w:szCs w:val="24"/>
        </w:rPr>
        <w:br/>
      </w:r>
      <w:r w:rsidRPr="002B238F" w:rsidR="00CA3C9A">
        <w:rPr>
          <w:rFonts w:ascii="Palatino Linotype" w:hAnsi="Palatino Linotype"/>
          <w:bCs/>
          <w:sz w:val="24"/>
          <w:szCs w:val="24"/>
        </w:rPr>
        <w:t>power-le</w:t>
      </w:r>
      <w:r w:rsidRPr="002B238F" w:rsidR="0028612C">
        <w:rPr>
          <w:rFonts w:ascii="Palatino Linotype" w:hAnsi="Palatino Linotype"/>
          <w:bCs/>
          <w:sz w:val="24"/>
          <w:szCs w:val="24"/>
        </w:rPr>
        <w:t>v</w:t>
      </w:r>
      <w:r w:rsidRPr="002B238F" w:rsidR="00CA3C9A">
        <w:rPr>
          <w:rFonts w:ascii="Palatino Linotype" w:hAnsi="Palatino Linotype"/>
          <w:bCs/>
          <w:sz w:val="24"/>
          <w:szCs w:val="24"/>
        </w:rPr>
        <w:t>el needs</w:t>
      </w:r>
      <w:r w:rsidRPr="002B238F" w:rsidR="0028612C">
        <w:rPr>
          <w:rFonts w:ascii="Palatino Linotype" w:hAnsi="Palatino Linotype"/>
          <w:bCs/>
          <w:sz w:val="24"/>
          <w:szCs w:val="24"/>
        </w:rPr>
        <w:t xml:space="preserve">, impact on ratepayers, and any other factors that may support the evaluation. SCE shall report this data in its </w:t>
      </w:r>
      <w:r w:rsidRPr="002B238F" w:rsidR="0028612C">
        <w:rPr>
          <w:rFonts w:ascii="Palatino Linotype" w:hAnsi="Palatino Linotype"/>
          <w:sz w:val="24"/>
          <w:szCs w:val="24"/>
        </w:rPr>
        <w:t>CR2 annual program report.</w:t>
      </w:r>
    </w:p>
    <w:p w:rsidRPr="002B238F" w:rsidR="002C77FA" w:rsidP="002C77FA" w:rsidRDefault="002C77FA" w14:paraId="368D6205" w14:textId="77777777">
      <w:pPr>
        <w:pStyle w:val="Heading1"/>
        <w:spacing w:before="0" w:after="0"/>
        <w:jc w:val="both"/>
        <w:rPr>
          <w:rFonts w:ascii="Palatino Linotype" w:hAnsi="Palatino Linotype" w:cs="Helvetica"/>
          <w:sz w:val="24"/>
          <w:szCs w:val="24"/>
        </w:rPr>
      </w:pPr>
      <w:r w:rsidRPr="002B238F">
        <w:rPr>
          <w:rFonts w:ascii="Palatino Linotype" w:hAnsi="Palatino Linotype" w:cs="Helvetica"/>
          <w:sz w:val="24"/>
          <w:szCs w:val="24"/>
        </w:rPr>
        <w:t>Comments</w:t>
      </w:r>
    </w:p>
    <w:p w:rsidRPr="002B238F" w:rsidR="002C77FA" w:rsidP="002C77FA" w:rsidRDefault="002C77FA" w14:paraId="68F634B4" w14:textId="0BE1E907">
      <w:pPr>
        <w:rPr>
          <w:rFonts w:ascii="Palatino Linotype" w:hAnsi="Palatino Linotype"/>
          <w:sz w:val="24"/>
          <w:szCs w:val="24"/>
        </w:rPr>
      </w:pPr>
      <w:r w:rsidRPr="002B238F">
        <w:rPr>
          <w:rFonts w:ascii="Palatino Linotype" w:hAnsi="Palatino Linotype"/>
          <w:sz w:val="24"/>
          <w:szCs w:val="24"/>
        </w:rPr>
        <w:t xml:space="preserve">Public Utilities Code section 311(g)(1) provides that this Resolution must be served on all parties and subject to at least 30 days public review.  Please note that comments are due 20 days from the mailing date of this Resolution. Section 311(g)(2) provides that this 30-day review period and 20-day comment period may be reduced or waived upon the stipulation of all parties in the proceeding. </w:t>
      </w:r>
    </w:p>
    <w:p w:rsidRPr="002B238F" w:rsidR="0048754A" w:rsidP="002C77FA" w:rsidRDefault="002C77FA" w14:paraId="07D1085C" w14:textId="0DB2ED26">
      <w:pPr>
        <w:rPr>
          <w:rFonts w:ascii="Palatino Linotype" w:hAnsi="Palatino Linotype"/>
          <w:sz w:val="24"/>
          <w:szCs w:val="24"/>
        </w:rPr>
      </w:pPr>
      <w:r w:rsidRPr="002B238F">
        <w:rPr>
          <w:rFonts w:ascii="Palatino Linotype" w:hAnsi="Palatino Linotype"/>
          <w:sz w:val="24"/>
          <w:szCs w:val="24"/>
        </w:rPr>
        <w:t>The 30-day review and 20-day comment period for the draft of this Resolution was neither waived nor reduced.  Accordingly, this draft Resolution was mailed to parties for comments, and will be placed on the CPUC's agenda no earlier than 30 days from today.</w:t>
      </w:r>
    </w:p>
    <w:p w:rsidRPr="002B238F" w:rsidR="002C77FA" w:rsidP="00216F8F" w:rsidRDefault="002C77FA" w14:paraId="45E8DA05" w14:textId="7481E49B">
      <w:pPr>
        <w:pStyle w:val="Heading1"/>
        <w:spacing w:before="0" w:after="0"/>
        <w:jc w:val="both"/>
        <w:rPr>
          <w:rFonts w:ascii="Palatino Linotype" w:hAnsi="Palatino Linotype" w:cs="Helvetica"/>
          <w:sz w:val="24"/>
          <w:szCs w:val="24"/>
        </w:rPr>
      </w:pPr>
      <w:bookmarkStart w:name="_Hlk81397372" w:id="14"/>
      <w:r w:rsidRPr="002B238F">
        <w:rPr>
          <w:rFonts w:ascii="Palatino Linotype" w:hAnsi="Palatino Linotype" w:cs="Helvetica"/>
          <w:sz w:val="24"/>
          <w:szCs w:val="24"/>
        </w:rPr>
        <w:lastRenderedPageBreak/>
        <w:t xml:space="preserve">Findings </w:t>
      </w:r>
    </w:p>
    <w:p w:rsidRPr="002B238F" w:rsidR="000C4748" w:rsidP="00CC22F7" w:rsidRDefault="000C4748" w14:paraId="15D1EEE3" w14:textId="0DFFB490">
      <w:pPr>
        <w:pStyle w:val="ListParagraph"/>
        <w:numPr>
          <w:ilvl w:val="0"/>
          <w:numId w:val="32"/>
        </w:numPr>
        <w:rPr>
          <w:rFonts w:ascii="Palatino Linotype" w:hAnsi="Palatino Linotype"/>
          <w:color w:val="0E101A"/>
          <w:sz w:val="24"/>
          <w:szCs w:val="24"/>
        </w:rPr>
      </w:pPr>
      <w:r w:rsidRPr="002B238F">
        <w:rPr>
          <w:rFonts w:ascii="Palatino Linotype" w:hAnsi="Palatino Linotype"/>
          <w:sz w:val="24"/>
          <w:szCs w:val="24"/>
        </w:rPr>
        <w:t xml:space="preserve">Southern California Edison Company (SCE) filed a Supplemental Advice Letter (AL) 4433-E-A on March 31, 2023, </w:t>
      </w:r>
      <w:r w:rsidRPr="002B238F" w:rsidR="0028612C">
        <w:rPr>
          <w:rFonts w:ascii="Palatino Linotype" w:hAnsi="Palatino Linotype"/>
          <w:sz w:val="24"/>
          <w:szCs w:val="24"/>
        </w:rPr>
        <w:t xml:space="preserve">amending </w:t>
      </w:r>
      <w:r w:rsidRPr="002B238F">
        <w:rPr>
          <w:rFonts w:ascii="Palatino Linotype" w:hAnsi="Palatino Linotype"/>
          <w:sz w:val="24"/>
          <w:szCs w:val="24"/>
        </w:rPr>
        <w:t xml:space="preserve">AL 4433-E filed on March 4, 2021, requesting approval for its site prioritization plan and criteria and its updated budget and target goals, pursuant to Order Paragraph </w:t>
      </w:r>
      <w:r w:rsidRPr="002B238F" w:rsidR="005F2028">
        <w:rPr>
          <w:rFonts w:ascii="Palatino Linotype" w:hAnsi="Palatino Linotype"/>
          <w:sz w:val="24"/>
          <w:szCs w:val="24"/>
        </w:rPr>
        <w:t>(</w:t>
      </w:r>
      <w:r w:rsidRPr="002B238F" w:rsidR="007214B9">
        <w:rPr>
          <w:rFonts w:ascii="Palatino Linotype" w:hAnsi="Palatino Linotype"/>
          <w:sz w:val="24"/>
          <w:szCs w:val="24"/>
        </w:rPr>
        <w:t xml:space="preserve">OP) </w:t>
      </w:r>
      <w:r w:rsidRPr="002B238F">
        <w:rPr>
          <w:rFonts w:ascii="Palatino Linotype" w:hAnsi="Palatino Linotype"/>
          <w:sz w:val="24"/>
          <w:szCs w:val="24"/>
        </w:rPr>
        <w:t>15 and 16</w:t>
      </w:r>
      <w:r w:rsidRPr="002B238F" w:rsidR="009F07BA">
        <w:rPr>
          <w:rFonts w:ascii="Palatino Linotype" w:hAnsi="Palatino Linotype"/>
          <w:sz w:val="24"/>
          <w:szCs w:val="24"/>
        </w:rPr>
        <w:t xml:space="preserve"> </w:t>
      </w:r>
      <w:r w:rsidRPr="002B238F">
        <w:rPr>
          <w:rFonts w:ascii="Palatino Linotype" w:hAnsi="Palatino Linotype"/>
          <w:sz w:val="24"/>
          <w:szCs w:val="24"/>
        </w:rPr>
        <w:t xml:space="preserve">of Decision (D.) 20-08-045, which </w:t>
      </w:r>
      <w:r w:rsidRPr="002B238F" w:rsidR="00CA4993">
        <w:rPr>
          <w:rFonts w:ascii="Palatino Linotype" w:hAnsi="Palatino Linotype"/>
          <w:sz w:val="24"/>
          <w:szCs w:val="24"/>
        </w:rPr>
        <w:t xml:space="preserve">authorized </w:t>
      </w:r>
      <w:r w:rsidRPr="002B238F">
        <w:rPr>
          <w:rFonts w:ascii="Palatino Linotype" w:hAnsi="Palatino Linotype"/>
          <w:sz w:val="24"/>
          <w:szCs w:val="24"/>
        </w:rPr>
        <w:t>SCE’s C</w:t>
      </w:r>
      <w:r w:rsidRPr="002B238F" w:rsidR="007214B9">
        <w:rPr>
          <w:rFonts w:ascii="Palatino Linotype" w:hAnsi="Palatino Linotype"/>
          <w:sz w:val="24"/>
          <w:szCs w:val="24"/>
        </w:rPr>
        <w:t xml:space="preserve">harge </w:t>
      </w:r>
      <w:r w:rsidRPr="002B238F">
        <w:rPr>
          <w:rFonts w:ascii="Palatino Linotype" w:hAnsi="Palatino Linotype"/>
          <w:sz w:val="24"/>
          <w:szCs w:val="24"/>
        </w:rPr>
        <w:t>R</w:t>
      </w:r>
      <w:r w:rsidRPr="002B238F" w:rsidR="007214B9">
        <w:rPr>
          <w:rFonts w:ascii="Palatino Linotype" w:hAnsi="Palatino Linotype"/>
          <w:sz w:val="24"/>
          <w:szCs w:val="24"/>
        </w:rPr>
        <w:t xml:space="preserve">eady </w:t>
      </w:r>
      <w:r w:rsidRPr="002B238F">
        <w:rPr>
          <w:rFonts w:ascii="Palatino Linotype" w:hAnsi="Palatino Linotype"/>
          <w:sz w:val="24"/>
          <w:szCs w:val="24"/>
        </w:rPr>
        <w:t>2 program</w:t>
      </w:r>
      <w:r w:rsidRPr="002B238F" w:rsidR="007214B9">
        <w:rPr>
          <w:rFonts w:ascii="Palatino Linotype" w:hAnsi="Palatino Linotype"/>
          <w:sz w:val="24"/>
          <w:szCs w:val="24"/>
        </w:rPr>
        <w:t xml:space="preserve"> (CR2)</w:t>
      </w:r>
      <w:r w:rsidRPr="002B238F">
        <w:rPr>
          <w:rFonts w:ascii="Palatino Linotype" w:hAnsi="Palatino Linotype"/>
          <w:sz w:val="24"/>
          <w:szCs w:val="24"/>
        </w:rPr>
        <w:t>.</w:t>
      </w:r>
    </w:p>
    <w:p w:rsidRPr="002B238F" w:rsidR="00A85EA9" w:rsidP="00CC22F7" w:rsidRDefault="006A5C97" w14:paraId="271AD982" w14:textId="68BACDF4">
      <w:pPr>
        <w:pStyle w:val="ListParagraph"/>
        <w:numPr>
          <w:ilvl w:val="0"/>
          <w:numId w:val="32"/>
        </w:numPr>
        <w:rPr>
          <w:rFonts w:ascii="Palatino Linotype" w:hAnsi="Palatino Linotype"/>
          <w:color w:val="0E101A"/>
          <w:sz w:val="24"/>
          <w:szCs w:val="24"/>
        </w:rPr>
      </w:pPr>
      <w:r w:rsidRPr="002B238F">
        <w:rPr>
          <w:rFonts w:ascii="Palatino Linotype" w:hAnsi="Palatino Linotype"/>
          <w:sz w:val="24"/>
          <w:szCs w:val="24"/>
        </w:rPr>
        <w:t xml:space="preserve">The CR2 program will deploy approximately 38,000 new </w:t>
      </w:r>
      <w:r w:rsidRPr="002B238F" w:rsidR="006642E4">
        <w:rPr>
          <w:rFonts w:ascii="Palatino Linotype" w:hAnsi="Palatino Linotype"/>
          <w:sz w:val="24"/>
          <w:szCs w:val="24"/>
        </w:rPr>
        <w:t>e</w:t>
      </w:r>
      <w:r w:rsidRPr="002B238F">
        <w:rPr>
          <w:rFonts w:ascii="Palatino Linotype" w:hAnsi="Palatino Linotype"/>
          <w:sz w:val="24"/>
          <w:szCs w:val="24"/>
        </w:rPr>
        <w:t xml:space="preserve">lectric </w:t>
      </w:r>
      <w:r w:rsidRPr="002B238F" w:rsidR="006642E4">
        <w:rPr>
          <w:rFonts w:ascii="Palatino Linotype" w:hAnsi="Palatino Linotype"/>
          <w:sz w:val="24"/>
          <w:szCs w:val="24"/>
        </w:rPr>
        <w:t>v</w:t>
      </w:r>
      <w:r w:rsidRPr="002B238F">
        <w:rPr>
          <w:rFonts w:ascii="Palatino Linotype" w:hAnsi="Palatino Linotype"/>
          <w:sz w:val="24"/>
          <w:szCs w:val="24"/>
        </w:rPr>
        <w:t>ehicle chargers for passenger (light-duty) vehicles at workplaces, multi-unit dwellings (MUDs), and public destination centers. SCE will deploy mostly Level 2 (L2) chargers, with the option for Level 1 (L1), and a minimum of 205 direct current fast charger (DCFC) ports</w:t>
      </w:r>
      <w:r w:rsidRPr="002B238F" w:rsidR="00A85EA9">
        <w:rPr>
          <w:rFonts w:ascii="Palatino Linotype" w:hAnsi="Palatino Linotype"/>
          <w:sz w:val="24"/>
          <w:szCs w:val="24"/>
        </w:rPr>
        <w:t>.</w:t>
      </w:r>
    </w:p>
    <w:p w:rsidRPr="002B238F" w:rsidR="0092175F" w:rsidP="00CC22F7" w:rsidRDefault="0092175F" w14:paraId="205B117F" w14:textId="3A893EF9">
      <w:pPr>
        <w:pStyle w:val="ListParagraph"/>
        <w:numPr>
          <w:ilvl w:val="0"/>
          <w:numId w:val="32"/>
        </w:numPr>
        <w:rPr>
          <w:rFonts w:ascii="Palatino Linotype" w:hAnsi="Palatino Linotype"/>
          <w:color w:val="0E101A"/>
          <w:sz w:val="24"/>
          <w:szCs w:val="24"/>
        </w:rPr>
      </w:pPr>
      <w:r w:rsidRPr="002B238F">
        <w:rPr>
          <w:rFonts w:ascii="Palatino Linotype" w:hAnsi="Palatino Linotype"/>
          <w:color w:val="0E101A"/>
          <w:sz w:val="24"/>
          <w:szCs w:val="24"/>
        </w:rPr>
        <w:t xml:space="preserve">D.20-08-045 authorized a budget of </w:t>
      </w:r>
      <w:r w:rsidRPr="002B238F" w:rsidR="00BD5647">
        <w:rPr>
          <w:rFonts w:ascii="Palatino Linotype" w:hAnsi="Palatino Linotype"/>
          <w:color w:val="0E101A"/>
          <w:sz w:val="24"/>
          <w:szCs w:val="24"/>
        </w:rPr>
        <w:t>$</w:t>
      </w:r>
      <w:r w:rsidRPr="002B238F">
        <w:rPr>
          <w:rFonts w:ascii="Palatino Linotype" w:hAnsi="Palatino Linotype"/>
          <w:color w:val="0E101A"/>
          <w:sz w:val="24"/>
          <w:szCs w:val="24"/>
        </w:rPr>
        <w:t>4.3 million to conduct an evaluation on the Charge Ready 2 Infrastructure and Market Education programs.</w:t>
      </w:r>
    </w:p>
    <w:p w:rsidRPr="002B238F" w:rsidR="00856A75" w:rsidP="00856A75" w:rsidRDefault="00856A75" w14:paraId="55E66796" w14:textId="10E17D66">
      <w:pPr>
        <w:pStyle w:val="ListParagraph"/>
        <w:numPr>
          <w:ilvl w:val="0"/>
          <w:numId w:val="32"/>
        </w:numPr>
        <w:rPr>
          <w:rFonts w:ascii="Palatino Linotype" w:hAnsi="Palatino Linotype"/>
          <w:color w:val="0E101A"/>
          <w:sz w:val="24"/>
          <w:szCs w:val="24"/>
        </w:rPr>
      </w:pPr>
      <w:r w:rsidRPr="002B238F">
        <w:rPr>
          <w:rFonts w:ascii="Palatino Linotype" w:hAnsi="Palatino Linotype" w:cs="Times New Roman"/>
          <w:sz w:val="24"/>
          <w:szCs w:val="24"/>
        </w:rPr>
        <w:t>D.20-08-045 found that DCFC is more appropriate for short-dwell</w:t>
      </w:r>
      <w:r w:rsidRPr="002B238F" w:rsidR="000D3300">
        <w:rPr>
          <w:rFonts w:ascii="Palatino Linotype" w:hAnsi="Palatino Linotype" w:cs="Times New Roman"/>
          <w:sz w:val="24"/>
          <w:szCs w:val="24"/>
        </w:rPr>
        <w:t xml:space="preserve"> time </w:t>
      </w:r>
      <w:r w:rsidRPr="002B238F" w:rsidR="00BB59A4">
        <w:rPr>
          <w:rStyle w:val="FootnoteReference"/>
          <w:rFonts w:ascii="Palatino Linotype" w:hAnsi="Palatino Linotype" w:cs="Times New Roman"/>
          <w:sz w:val="24"/>
          <w:szCs w:val="24"/>
        </w:rPr>
        <w:footnoteReference w:id="21"/>
      </w:r>
      <w:r w:rsidRPr="002B238F">
        <w:rPr>
          <w:rFonts w:ascii="Palatino Linotype" w:hAnsi="Palatino Linotype" w:cs="Times New Roman"/>
          <w:sz w:val="24"/>
          <w:szCs w:val="24"/>
        </w:rPr>
        <w:t xml:space="preserve"> locations and determined that DCFC should not necessarily be co</w:t>
      </w:r>
      <w:r w:rsidRPr="002B238F" w:rsidR="006642E4">
        <w:rPr>
          <w:rFonts w:ascii="Palatino Linotype" w:hAnsi="Palatino Linotype" w:cs="Times New Roman"/>
          <w:sz w:val="24"/>
          <w:szCs w:val="24"/>
        </w:rPr>
        <w:t>-</w:t>
      </w:r>
      <w:r w:rsidRPr="002B238F">
        <w:rPr>
          <w:rFonts w:ascii="Palatino Linotype" w:hAnsi="Palatino Linotype" w:cs="Times New Roman"/>
          <w:sz w:val="24"/>
          <w:szCs w:val="24"/>
        </w:rPr>
        <w:t>located with L2 sites within the DCFC program.</w:t>
      </w:r>
    </w:p>
    <w:p w:rsidRPr="002B238F" w:rsidR="007C68FF" w:rsidP="00856A75" w:rsidRDefault="00091064" w14:paraId="7F66E1EC" w14:textId="45016B63">
      <w:pPr>
        <w:pStyle w:val="ListParagraph"/>
        <w:numPr>
          <w:ilvl w:val="0"/>
          <w:numId w:val="32"/>
        </w:numPr>
        <w:rPr>
          <w:rFonts w:ascii="Palatino Linotype" w:hAnsi="Palatino Linotype"/>
          <w:color w:val="0E101A"/>
          <w:sz w:val="24"/>
          <w:szCs w:val="24"/>
        </w:rPr>
      </w:pPr>
      <w:r w:rsidRPr="002B238F">
        <w:rPr>
          <w:rFonts w:ascii="Palatino Linotype" w:hAnsi="Palatino Linotype"/>
          <w:color w:val="0E101A"/>
          <w:sz w:val="24"/>
          <w:szCs w:val="24"/>
        </w:rPr>
        <w:t xml:space="preserve">D.20-08-045 </w:t>
      </w:r>
      <w:r w:rsidRPr="002B238F" w:rsidR="00CA4658">
        <w:rPr>
          <w:rFonts w:ascii="Palatino Linotype" w:hAnsi="Palatino Linotype"/>
          <w:color w:val="0E101A"/>
          <w:sz w:val="24"/>
          <w:szCs w:val="24"/>
        </w:rPr>
        <w:t xml:space="preserve">finds </w:t>
      </w:r>
      <w:r w:rsidRPr="002B238F" w:rsidR="00A70511">
        <w:rPr>
          <w:rFonts w:ascii="Palatino Linotype" w:hAnsi="Palatino Linotype"/>
          <w:color w:val="0E101A"/>
          <w:sz w:val="24"/>
          <w:szCs w:val="24"/>
        </w:rPr>
        <w:t>DCFC more appropriate for short-dwell</w:t>
      </w:r>
      <w:r w:rsidRPr="002B238F" w:rsidR="001D4EB9">
        <w:rPr>
          <w:rFonts w:ascii="Palatino Linotype" w:hAnsi="Palatino Linotype"/>
          <w:color w:val="0E101A"/>
          <w:sz w:val="24"/>
          <w:szCs w:val="24"/>
        </w:rPr>
        <w:t xml:space="preserve"> time</w:t>
      </w:r>
      <w:r w:rsidRPr="002B238F" w:rsidR="00A70511">
        <w:rPr>
          <w:rFonts w:ascii="Palatino Linotype" w:hAnsi="Palatino Linotype"/>
          <w:color w:val="0E101A"/>
          <w:sz w:val="24"/>
          <w:szCs w:val="24"/>
        </w:rPr>
        <w:t xml:space="preserve"> locations, and while it </w:t>
      </w:r>
      <w:r w:rsidRPr="002B238F">
        <w:rPr>
          <w:rFonts w:ascii="Palatino Linotype" w:hAnsi="Palatino Linotype"/>
          <w:color w:val="0E101A"/>
          <w:sz w:val="24"/>
          <w:szCs w:val="24"/>
        </w:rPr>
        <w:t>does not</w:t>
      </w:r>
      <w:r w:rsidRPr="002B238F" w:rsidR="00A70511">
        <w:rPr>
          <w:rFonts w:ascii="Palatino Linotype" w:hAnsi="Palatino Linotype"/>
          <w:color w:val="0E101A"/>
          <w:sz w:val="24"/>
          <w:szCs w:val="24"/>
        </w:rPr>
        <w:t xml:space="preserve"> explicitly</w:t>
      </w:r>
      <w:r w:rsidRPr="002B238F">
        <w:rPr>
          <w:rFonts w:ascii="Palatino Linotype" w:hAnsi="Palatino Linotype"/>
          <w:color w:val="0E101A"/>
          <w:sz w:val="24"/>
          <w:szCs w:val="24"/>
        </w:rPr>
        <w:t xml:space="preserve"> prohibit colocation</w:t>
      </w:r>
      <w:r w:rsidRPr="002B238F" w:rsidR="006D3E09">
        <w:rPr>
          <w:rFonts w:ascii="Palatino Linotype" w:hAnsi="Palatino Linotype"/>
          <w:color w:val="0E101A"/>
          <w:sz w:val="24"/>
          <w:szCs w:val="24"/>
        </w:rPr>
        <w:t xml:space="preserve"> of L2 and DCFC</w:t>
      </w:r>
      <w:r w:rsidRPr="002B238F">
        <w:rPr>
          <w:rFonts w:ascii="Palatino Linotype" w:hAnsi="Palatino Linotype"/>
          <w:color w:val="0E101A"/>
          <w:sz w:val="24"/>
          <w:szCs w:val="24"/>
        </w:rPr>
        <w:t>, it does not encourage it.</w:t>
      </w:r>
    </w:p>
    <w:p w:rsidRPr="002B238F" w:rsidR="00F240E9" w:rsidP="00C56EEB" w:rsidRDefault="0045516C" w14:paraId="77DC4B15" w14:textId="25C6DB05">
      <w:pPr>
        <w:pStyle w:val="ListParagraph"/>
        <w:numPr>
          <w:ilvl w:val="0"/>
          <w:numId w:val="32"/>
        </w:numPr>
        <w:rPr>
          <w:rFonts w:ascii="Palatino Linotype" w:hAnsi="Palatino Linotype"/>
          <w:color w:val="0E101A"/>
          <w:sz w:val="24"/>
          <w:szCs w:val="24"/>
        </w:rPr>
      </w:pPr>
      <w:r w:rsidRPr="002B238F">
        <w:rPr>
          <w:rFonts w:ascii="Palatino Linotype" w:hAnsi="Palatino Linotype"/>
          <w:sz w:val="24"/>
          <w:szCs w:val="24"/>
        </w:rPr>
        <w:t>SCE's proposal</w:t>
      </w:r>
      <w:r w:rsidRPr="002B238F" w:rsidR="006D3E09">
        <w:rPr>
          <w:rFonts w:ascii="Palatino Linotype" w:hAnsi="Palatino Linotype"/>
          <w:sz w:val="24"/>
          <w:szCs w:val="24"/>
        </w:rPr>
        <w:t xml:space="preserve"> for the </w:t>
      </w:r>
      <w:r w:rsidRPr="002B238F" w:rsidR="00FB4768">
        <w:rPr>
          <w:rFonts w:ascii="Palatino Linotype" w:hAnsi="Palatino Linotype"/>
          <w:sz w:val="24"/>
          <w:szCs w:val="24"/>
        </w:rPr>
        <w:t>MUD-serving definition,</w:t>
      </w:r>
      <w:r w:rsidRPr="002B238F">
        <w:rPr>
          <w:rFonts w:ascii="Palatino Linotype" w:hAnsi="Palatino Linotype"/>
          <w:sz w:val="24"/>
          <w:szCs w:val="24"/>
        </w:rPr>
        <w:t xml:space="preserve"> DCFCs</w:t>
      </w:r>
      <w:r w:rsidRPr="002B238F" w:rsidR="00FB4768">
        <w:rPr>
          <w:rFonts w:ascii="Palatino Linotype" w:hAnsi="Palatino Linotype"/>
          <w:sz w:val="24"/>
          <w:szCs w:val="24"/>
        </w:rPr>
        <w:t xml:space="preserve"> located</w:t>
      </w:r>
      <w:r w:rsidRPr="002B238F">
        <w:rPr>
          <w:rFonts w:ascii="Palatino Linotype" w:hAnsi="Palatino Linotype"/>
          <w:sz w:val="24"/>
          <w:szCs w:val="24"/>
        </w:rPr>
        <w:t xml:space="preserve"> within a </w:t>
      </w:r>
      <w:r w:rsidR="00CC60E7">
        <w:rPr>
          <w:rFonts w:ascii="Palatino Linotype" w:hAnsi="Palatino Linotype"/>
          <w:sz w:val="24"/>
          <w:szCs w:val="24"/>
        </w:rPr>
        <w:br/>
      </w:r>
      <w:r w:rsidRPr="002B238F">
        <w:rPr>
          <w:rFonts w:ascii="Palatino Linotype" w:hAnsi="Palatino Linotype"/>
          <w:sz w:val="24"/>
          <w:szCs w:val="24"/>
        </w:rPr>
        <w:t xml:space="preserve">two-mile radius of </w:t>
      </w:r>
      <w:r w:rsidRPr="002B238F" w:rsidR="00FB4768">
        <w:rPr>
          <w:rFonts w:ascii="Palatino Linotype" w:hAnsi="Palatino Linotype"/>
          <w:sz w:val="24"/>
          <w:szCs w:val="24"/>
        </w:rPr>
        <w:t>one or more</w:t>
      </w:r>
      <w:r w:rsidRPr="002B238F">
        <w:rPr>
          <w:rFonts w:ascii="Palatino Linotype" w:hAnsi="Palatino Linotype"/>
          <w:sz w:val="24"/>
          <w:szCs w:val="24"/>
        </w:rPr>
        <w:t xml:space="preserve"> MUD</w:t>
      </w:r>
      <w:r w:rsidRPr="002B238F" w:rsidR="00FB4768">
        <w:rPr>
          <w:rFonts w:ascii="Palatino Linotype" w:hAnsi="Palatino Linotype"/>
          <w:sz w:val="24"/>
          <w:szCs w:val="24"/>
        </w:rPr>
        <w:t>,</w:t>
      </w:r>
      <w:r w:rsidRPr="002B238F">
        <w:rPr>
          <w:rFonts w:ascii="Palatino Linotype" w:hAnsi="Palatino Linotype"/>
          <w:sz w:val="24"/>
          <w:szCs w:val="24"/>
        </w:rPr>
        <w:t xml:space="preserve"> is an insufficient criterion.</w:t>
      </w:r>
    </w:p>
    <w:p w:rsidRPr="002B238F" w:rsidR="0045516C" w:rsidP="00A85EA9" w:rsidRDefault="00BB76BC" w14:paraId="4330C4CB" w14:textId="12A2FA39">
      <w:pPr>
        <w:pStyle w:val="ListParagraph"/>
        <w:numPr>
          <w:ilvl w:val="0"/>
          <w:numId w:val="32"/>
        </w:numPr>
        <w:rPr>
          <w:rFonts w:ascii="Palatino Linotype" w:hAnsi="Palatino Linotype"/>
          <w:color w:val="0E101A"/>
          <w:sz w:val="24"/>
          <w:szCs w:val="24"/>
        </w:rPr>
      </w:pPr>
      <w:r w:rsidRPr="002B238F">
        <w:rPr>
          <w:rFonts w:ascii="Palatino Linotype" w:hAnsi="Palatino Linotype"/>
          <w:bCs/>
          <w:sz w:val="24"/>
          <w:szCs w:val="24"/>
        </w:rPr>
        <w:t xml:space="preserve">SCE's proposal to use the </w:t>
      </w:r>
      <w:r w:rsidRPr="002B238F" w:rsidR="00ED693F">
        <w:rPr>
          <w:rFonts w:ascii="Palatino Linotype" w:hAnsi="Palatino Linotype"/>
          <w:bCs/>
          <w:sz w:val="24"/>
          <w:szCs w:val="24"/>
        </w:rPr>
        <w:t>m</w:t>
      </w:r>
      <w:r w:rsidRPr="002B238F">
        <w:rPr>
          <w:rFonts w:ascii="Palatino Linotype" w:hAnsi="Palatino Linotype"/>
          <w:bCs/>
          <w:sz w:val="24"/>
          <w:szCs w:val="24"/>
        </w:rPr>
        <w:t xml:space="preserve">edian </w:t>
      </w:r>
      <w:r w:rsidRPr="002B238F" w:rsidR="00ED693F">
        <w:rPr>
          <w:rFonts w:ascii="Palatino Linotype" w:hAnsi="Palatino Linotype"/>
          <w:bCs/>
          <w:sz w:val="24"/>
          <w:szCs w:val="24"/>
        </w:rPr>
        <w:t>p</w:t>
      </w:r>
      <w:r w:rsidRPr="002B238F">
        <w:rPr>
          <w:rFonts w:ascii="Palatino Linotype" w:hAnsi="Palatino Linotype"/>
          <w:bCs/>
          <w:sz w:val="24"/>
          <w:szCs w:val="24"/>
        </w:rPr>
        <w:t xml:space="preserve">rice </w:t>
      </w:r>
      <w:r w:rsidRPr="002B238F" w:rsidR="00ED693F">
        <w:rPr>
          <w:rFonts w:ascii="Palatino Linotype" w:hAnsi="Palatino Linotype"/>
          <w:bCs/>
          <w:sz w:val="24"/>
          <w:szCs w:val="24"/>
        </w:rPr>
        <w:t>p</w:t>
      </w:r>
      <w:r w:rsidRPr="002B238F">
        <w:rPr>
          <w:rFonts w:ascii="Palatino Linotype" w:hAnsi="Palatino Linotype"/>
          <w:bCs/>
          <w:sz w:val="24"/>
          <w:szCs w:val="24"/>
        </w:rPr>
        <w:t xml:space="preserve">oint </w:t>
      </w:r>
      <w:r w:rsidRPr="002B238F" w:rsidR="00B62753">
        <w:rPr>
          <w:rFonts w:ascii="Palatino Linotype" w:hAnsi="Palatino Linotype"/>
          <w:bCs/>
          <w:sz w:val="24"/>
          <w:szCs w:val="24"/>
        </w:rPr>
        <w:t xml:space="preserve">to determine the base cost, and subsequently the </w:t>
      </w:r>
      <w:r w:rsidRPr="002B238F" w:rsidR="007906D9">
        <w:rPr>
          <w:rFonts w:ascii="Palatino Linotype" w:hAnsi="Palatino Linotype"/>
          <w:bCs/>
          <w:sz w:val="24"/>
          <w:szCs w:val="24"/>
        </w:rPr>
        <w:t xml:space="preserve">rebate level, would </w:t>
      </w:r>
      <w:r w:rsidRPr="002B238F">
        <w:rPr>
          <w:rFonts w:ascii="Palatino Linotype" w:hAnsi="Palatino Linotype"/>
          <w:bCs/>
          <w:sz w:val="24"/>
          <w:szCs w:val="24"/>
        </w:rPr>
        <w:t>better allow for new enhancements and different features that enter the marketplaces for DCFC</w:t>
      </w:r>
      <w:r w:rsidRPr="002B238F" w:rsidR="007906D9">
        <w:rPr>
          <w:rFonts w:ascii="Palatino Linotype" w:hAnsi="Palatino Linotype"/>
          <w:bCs/>
          <w:sz w:val="24"/>
          <w:szCs w:val="24"/>
        </w:rPr>
        <w:t>,</w:t>
      </w:r>
      <w:r w:rsidRPr="002B238F">
        <w:rPr>
          <w:rFonts w:ascii="Palatino Linotype" w:hAnsi="Palatino Linotype"/>
          <w:bCs/>
          <w:sz w:val="24"/>
          <w:szCs w:val="24"/>
        </w:rPr>
        <w:t xml:space="preserve"> </w:t>
      </w:r>
      <w:r w:rsidRPr="002B238F" w:rsidR="004A62B0">
        <w:rPr>
          <w:rFonts w:ascii="Palatino Linotype" w:hAnsi="Palatino Linotype"/>
          <w:bCs/>
          <w:sz w:val="24"/>
          <w:szCs w:val="24"/>
        </w:rPr>
        <w:t xml:space="preserve">may </w:t>
      </w:r>
      <w:r w:rsidRPr="002B238F" w:rsidR="00ED693F">
        <w:rPr>
          <w:rFonts w:ascii="Palatino Linotype" w:hAnsi="Palatino Linotype"/>
          <w:bCs/>
          <w:sz w:val="24"/>
          <w:szCs w:val="24"/>
        </w:rPr>
        <w:t xml:space="preserve">help </w:t>
      </w:r>
      <w:proofErr w:type="gramStart"/>
      <w:r w:rsidRPr="002B238F">
        <w:rPr>
          <w:rFonts w:ascii="Palatino Linotype" w:hAnsi="Palatino Linotype"/>
          <w:bCs/>
          <w:sz w:val="24"/>
          <w:szCs w:val="24"/>
        </w:rPr>
        <w:t>future-proof</w:t>
      </w:r>
      <w:proofErr w:type="gramEnd"/>
      <w:r w:rsidRPr="002B238F">
        <w:rPr>
          <w:rFonts w:ascii="Palatino Linotype" w:hAnsi="Palatino Linotype"/>
          <w:bCs/>
          <w:sz w:val="24"/>
          <w:szCs w:val="24"/>
        </w:rPr>
        <w:t xml:space="preserve"> DCFCs </w:t>
      </w:r>
      <w:r w:rsidRPr="002B238F" w:rsidR="007906D9">
        <w:rPr>
          <w:rFonts w:ascii="Palatino Linotype" w:hAnsi="Palatino Linotype"/>
          <w:bCs/>
          <w:sz w:val="24"/>
          <w:szCs w:val="24"/>
        </w:rPr>
        <w:t xml:space="preserve">deployed through the program, </w:t>
      </w:r>
      <w:r w:rsidRPr="002B238F">
        <w:rPr>
          <w:rFonts w:ascii="Palatino Linotype" w:hAnsi="Palatino Linotype"/>
          <w:bCs/>
          <w:sz w:val="24"/>
          <w:szCs w:val="24"/>
        </w:rPr>
        <w:t xml:space="preserve">and </w:t>
      </w:r>
      <w:r w:rsidRPr="002B238F" w:rsidR="00ED693F">
        <w:rPr>
          <w:rFonts w:ascii="Palatino Linotype" w:hAnsi="Palatino Linotype"/>
          <w:bCs/>
          <w:sz w:val="24"/>
          <w:szCs w:val="24"/>
        </w:rPr>
        <w:t xml:space="preserve">would better reflect the </w:t>
      </w:r>
      <w:r w:rsidRPr="002B238F" w:rsidR="00B62753">
        <w:rPr>
          <w:rFonts w:ascii="Palatino Linotype" w:hAnsi="Palatino Linotype"/>
          <w:bCs/>
          <w:sz w:val="24"/>
          <w:szCs w:val="24"/>
        </w:rPr>
        <w:t>available charger options as compared to the “best value” approach</w:t>
      </w:r>
      <w:r w:rsidRPr="002B238F">
        <w:rPr>
          <w:rFonts w:ascii="Palatino Linotype" w:hAnsi="Palatino Linotype"/>
          <w:bCs/>
          <w:sz w:val="24"/>
          <w:szCs w:val="24"/>
        </w:rPr>
        <w:t>.</w:t>
      </w:r>
    </w:p>
    <w:p w:rsidRPr="002B238F" w:rsidR="002C77FA" w:rsidP="00C937B9" w:rsidRDefault="00CC11E3" w14:paraId="5DFE3B5F" w14:textId="274A316B">
      <w:pPr>
        <w:pStyle w:val="ListParagraph"/>
        <w:numPr>
          <w:ilvl w:val="0"/>
          <w:numId w:val="32"/>
        </w:numPr>
        <w:rPr>
          <w:rFonts w:ascii="Palatino Linotype" w:hAnsi="Palatino Linotype"/>
          <w:color w:val="0E101A"/>
          <w:sz w:val="24"/>
          <w:szCs w:val="24"/>
        </w:rPr>
      </w:pPr>
      <w:r w:rsidRPr="002B238F">
        <w:rPr>
          <w:rFonts w:ascii="Palatino Linotype" w:hAnsi="Palatino Linotype"/>
          <w:bCs/>
          <w:sz w:val="24"/>
          <w:szCs w:val="24"/>
        </w:rPr>
        <w:t>D.20-08-045</w:t>
      </w:r>
      <w:r w:rsidRPr="002B238F" w:rsidR="00F52FA8">
        <w:rPr>
          <w:rFonts w:ascii="Palatino Linotype" w:hAnsi="Palatino Linotype"/>
          <w:bCs/>
          <w:sz w:val="24"/>
          <w:szCs w:val="24"/>
        </w:rPr>
        <w:t xml:space="preserve"> </w:t>
      </w:r>
      <w:r w:rsidRPr="002B238F" w:rsidR="00DD5E44">
        <w:rPr>
          <w:rFonts w:ascii="Palatino Linotype" w:hAnsi="Palatino Linotype"/>
          <w:bCs/>
          <w:sz w:val="24"/>
          <w:szCs w:val="24"/>
        </w:rPr>
        <w:t xml:space="preserve">directed SCE to install make-ready infrastructure to support EVSE of 150kW for its DCFC </w:t>
      </w:r>
      <w:r w:rsidRPr="002B238F" w:rsidR="00BA17D7">
        <w:rPr>
          <w:rFonts w:ascii="Palatino Linotype" w:hAnsi="Palatino Linotype"/>
          <w:bCs/>
          <w:sz w:val="24"/>
          <w:szCs w:val="24"/>
        </w:rPr>
        <w:t>component of the Make-Ready Expansion program. While SCE is authorized to provide rebates for DCFC capable of charging at 50kW or greater, the higher capacity requirement for the make-ready infrastructure accounts for the possibility that the site host may wish to upgrade to higher-powered</w:t>
      </w:r>
      <w:r w:rsidRPr="002B238F" w:rsidR="00F051DE">
        <w:rPr>
          <w:rFonts w:ascii="Palatino Linotype" w:hAnsi="Palatino Linotype"/>
          <w:bCs/>
          <w:sz w:val="24"/>
          <w:szCs w:val="24"/>
        </w:rPr>
        <w:t xml:space="preserve"> charging in the future.</w:t>
      </w:r>
    </w:p>
    <w:p w:rsidRPr="002B238F" w:rsidR="002C77FA" w:rsidP="002C77FA" w:rsidRDefault="002C77FA" w14:paraId="7D3893F5" w14:textId="6B596610">
      <w:pPr>
        <w:rPr>
          <w:rFonts w:ascii="Palatino Linotype" w:hAnsi="Palatino Linotype"/>
          <w:bCs/>
          <w:sz w:val="24"/>
          <w:szCs w:val="24"/>
        </w:rPr>
      </w:pPr>
      <w:proofErr w:type="gramStart"/>
      <w:r w:rsidRPr="002B238F">
        <w:rPr>
          <w:rFonts w:ascii="Palatino Linotype" w:hAnsi="Palatino Linotype" w:cs="Helvetica"/>
          <w:b/>
          <w:sz w:val="24"/>
          <w:szCs w:val="24"/>
          <w:u w:val="single"/>
        </w:rPr>
        <w:lastRenderedPageBreak/>
        <w:t>THEREFORE</w:t>
      </w:r>
      <w:proofErr w:type="gramEnd"/>
      <w:r w:rsidRPr="002B238F">
        <w:rPr>
          <w:rFonts w:ascii="Palatino Linotype" w:hAnsi="Palatino Linotype" w:cs="Helvetica"/>
          <w:b/>
          <w:sz w:val="24"/>
          <w:szCs w:val="24"/>
          <w:u w:val="single"/>
        </w:rPr>
        <w:t xml:space="preserve"> IT IS ORDERED THAT</w:t>
      </w:r>
      <w:r w:rsidRPr="002B238F" w:rsidR="0048754A">
        <w:rPr>
          <w:rFonts w:ascii="Palatino Linotype" w:hAnsi="Palatino Linotype"/>
          <w:bCs/>
          <w:sz w:val="24"/>
          <w:szCs w:val="24"/>
        </w:rPr>
        <w:t>:</w:t>
      </w:r>
    </w:p>
    <w:p w:rsidRPr="002B238F" w:rsidR="002C77FA" w:rsidP="002C77FA" w:rsidRDefault="002C77FA" w14:paraId="7E912625" w14:textId="1E66CFBC">
      <w:pPr>
        <w:pStyle w:val="ListParagraph"/>
        <w:numPr>
          <w:ilvl w:val="0"/>
          <w:numId w:val="6"/>
        </w:numPr>
        <w:rPr>
          <w:rFonts w:ascii="Palatino Linotype" w:hAnsi="Palatino Linotype"/>
          <w:bCs/>
          <w:sz w:val="24"/>
          <w:szCs w:val="24"/>
        </w:rPr>
      </w:pPr>
      <w:r w:rsidRPr="002B238F">
        <w:rPr>
          <w:rFonts w:ascii="Palatino Linotype" w:hAnsi="Palatino Linotype"/>
          <w:bCs/>
          <w:sz w:val="24"/>
          <w:szCs w:val="24"/>
        </w:rPr>
        <w:t>Southern California Edison Company’s Advice Letter 4433-E</w:t>
      </w:r>
      <w:r w:rsidRPr="002B238F" w:rsidR="002B7A38">
        <w:rPr>
          <w:rFonts w:ascii="Palatino Linotype" w:hAnsi="Palatino Linotype"/>
          <w:bCs/>
          <w:sz w:val="24"/>
          <w:szCs w:val="24"/>
        </w:rPr>
        <w:t>, as amended by Advice Letter 4433-E-A,</w:t>
      </w:r>
      <w:r w:rsidRPr="002B238F" w:rsidR="002C77C8">
        <w:rPr>
          <w:rFonts w:ascii="Palatino Linotype" w:hAnsi="Palatino Linotype"/>
          <w:bCs/>
          <w:sz w:val="24"/>
          <w:szCs w:val="24"/>
        </w:rPr>
        <w:t xml:space="preserve"> is approved with </w:t>
      </w:r>
      <w:r w:rsidRPr="002B238F" w:rsidR="002B7A38">
        <w:rPr>
          <w:rFonts w:ascii="Palatino Linotype" w:hAnsi="Palatino Linotype"/>
          <w:bCs/>
          <w:sz w:val="24"/>
          <w:szCs w:val="24"/>
        </w:rPr>
        <w:t xml:space="preserve">the </w:t>
      </w:r>
      <w:r w:rsidRPr="002B238F" w:rsidR="002C77C8">
        <w:rPr>
          <w:rFonts w:ascii="Palatino Linotype" w:hAnsi="Palatino Linotype"/>
          <w:bCs/>
          <w:sz w:val="24"/>
          <w:szCs w:val="24"/>
        </w:rPr>
        <w:t xml:space="preserve">modifications discussed in this </w:t>
      </w:r>
      <w:r w:rsidRPr="002B238F" w:rsidR="002B7A38">
        <w:rPr>
          <w:rFonts w:ascii="Palatino Linotype" w:hAnsi="Palatino Linotype"/>
          <w:bCs/>
          <w:sz w:val="24"/>
          <w:szCs w:val="24"/>
        </w:rPr>
        <w:t>R</w:t>
      </w:r>
      <w:r w:rsidRPr="002B238F" w:rsidR="00DD2928">
        <w:rPr>
          <w:rFonts w:ascii="Palatino Linotype" w:hAnsi="Palatino Linotype"/>
          <w:bCs/>
          <w:sz w:val="24"/>
          <w:szCs w:val="24"/>
        </w:rPr>
        <w:t>esolution</w:t>
      </w:r>
      <w:r w:rsidRPr="002B238F">
        <w:rPr>
          <w:rFonts w:ascii="Palatino Linotype" w:hAnsi="Palatino Linotype"/>
          <w:bCs/>
          <w:sz w:val="24"/>
          <w:szCs w:val="24"/>
        </w:rPr>
        <w:t>.</w:t>
      </w:r>
    </w:p>
    <w:p w:rsidRPr="002B238F" w:rsidR="00811219" w:rsidP="65C8B7AF" w:rsidRDefault="00811219" w14:paraId="01939714" w14:textId="5063B427">
      <w:pPr>
        <w:pStyle w:val="ListParagraph"/>
        <w:numPr>
          <w:ilvl w:val="0"/>
          <w:numId w:val="6"/>
        </w:numPr>
        <w:rPr>
          <w:rFonts w:ascii="Palatino Linotype" w:hAnsi="Palatino Linotype" w:eastAsiaTheme="minorEastAsia"/>
          <w:sz w:val="24"/>
          <w:szCs w:val="24"/>
        </w:rPr>
      </w:pPr>
      <w:r w:rsidRPr="002B238F">
        <w:rPr>
          <w:rFonts w:ascii="Palatino Linotype" w:hAnsi="Palatino Linotype" w:cs="Times New Roman"/>
          <w:sz w:val="24"/>
          <w:szCs w:val="24"/>
        </w:rPr>
        <w:t xml:space="preserve">Southern California Edison </w:t>
      </w:r>
      <w:r w:rsidRPr="002B238F" w:rsidR="002B7A38">
        <w:rPr>
          <w:rFonts w:ascii="Palatino Linotype" w:hAnsi="Palatino Linotype" w:cs="Times New Roman"/>
          <w:sz w:val="24"/>
          <w:szCs w:val="24"/>
        </w:rPr>
        <w:t xml:space="preserve">Company </w:t>
      </w:r>
      <w:r w:rsidRPr="002B238F">
        <w:rPr>
          <w:rFonts w:ascii="Palatino Linotype" w:hAnsi="Palatino Linotype" w:cs="Times New Roman"/>
          <w:sz w:val="24"/>
          <w:szCs w:val="24"/>
        </w:rPr>
        <w:t xml:space="preserve">shall locate </w:t>
      </w:r>
      <w:r w:rsidRPr="002B238F" w:rsidR="002B7A38">
        <w:rPr>
          <w:rFonts w:ascii="Palatino Linotype" w:hAnsi="Palatino Linotype" w:cs="Times New Roman"/>
          <w:sz w:val="24"/>
          <w:szCs w:val="24"/>
        </w:rPr>
        <w:t xml:space="preserve">direct current fast chargers </w:t>
      </w:r>
      <w:r w:rsidRPr="002B238F" w:rsidR="00CA31E6">
        <w:rPr>
          <w:rFonts w:ascii="Palatino Linotype" w:hAnsi="Palatino Linotype" w:cs="Times New Roman"/>
          <w:sz w:val="24"/>
          <w:szCs w:val="24"/>
        </w:rPr>
        <w:t xml:space="preserve">(DCFC) </w:t>
      </w:r>
      <w:r w:rsidRPr="002B238F" w:rsidR="002B7A38">
        <w:rPr>
          <w:rFonts w:ascii="Palatino Linotype" w:hAnsi="Palatino Linotype" w:cs="Times New Roman"/>
          <w:sz w:val="24"/>
          <w:szCs w:val="24"/>
        </w:rPr>
        <w:t>deployed through the Charge Ready 2 program</w:t>
      </w:r>
      <w:r w:rsidRPr="002B238F">
        <w:rPr>
          <w:rFonts w:ascii="Palatino Linotype" w:hAnsi="Palatino Linotype" w:cs="Times New Roman"/>
          <w:sz w:val="24"/>
          <w:szCs w:val="24"/>
        </w:rPr>
        <w:t xml:space="preserve"> in short dwell</w:t>
      </w:r>
      <w:r w:rsidRPr="002B238F" w:rsidR="006C2BAC">
        <w:rPr>
          <w:rFonts w:ascii="Palatino Linotype" w:hAnsi="Palatino Linotype" w:cs="Times New Roman"/>
          <w:sz w:val="24"/>
          <w:szCs w:val="24"/>
        </w:rPr>
        <w:t xml:space="preserve"> time</w:t>
      </w:r>
      <w:r w:rsidRPr="002B238F">
        <w:rPr>
          <w:rFonts w:ascii="Palatino Linotype" w:hAnsi="Palatino Linotype" w:cs="Times New Roman"/>
          <w:sz w:val="24"/>
          <w:szCs w:val="24"/>
        </w:rPr>
        <w:t xml:space="preserve"> locations of less than two hours and may locate DCFCs near short-dwell</w:t>
      </w:r>
      <w:r w:rsidRPr="002B238F" w:rsidR="006C2BAC">
        <w:rPr>
          <w:rFonts w:ascii="Palatino Linotype" w:hAnsi="Palatino Linotype" w:cs="Times New Roman"/>
          <w:sz w:val="24"/>
          <w:szCs w:val="24"/>
        </w:rPr>
        <w:t xml:space="preserve"> time</w:t>
      </w:r>
      <w:r w:rsidRPr="002B238F">
        <w:rPr>
          <w:rFonts w:ascii="Palatino Linotype" w:hAnsi="Palatino Linotype" w:cs="Times New Roman"/>
          <w:sz w:val="24"/>
          <w:szCs w:val="24"/>
        </w:rPr>
        <w:t xml:space="preserve"> </w:t>
      </w:r>
      <w:r w:rsidRPr="002B238F" w:rsidR="00C368F1">
        <w:rPr>
          <w:rFonts w:ascii="Palatino Linotype" w:hAnsi="Palatino Linotype" w:cs="Times New Roman"/>
          <w:sz w:val="24"/>
          <w:szCs w:val="24"/>
        </w:rPr>
        <w:t>locations</w:t>
      </w:r>
      <w:r w:rsidRPr="002B238F" w:rsidR="007B196D">
        <w:rPr>
          <w:rFonts w:ascii="Palatino Linotype" w:hAnsi="Palatino Linotype" w:cs="Times New Roman"/>
          <w:sz w:val="24"/>
          <w:szCs w:val="24"/>
        </w:rPr>
        <w:t xml:space="preserve"> </w:t>
      </w:r>
      <w:r w:rsidRPr="002B238F" w:rsidR="00D66FD4">
        <w:rPr>
          <w:rFonts w:ascii="Palatino Linotype" w:hAnsi="Palatino Linotype" w:cs="Times New Roman"/>
          <w:sz w:val="24"/>
          <w:szCs w:val="24"/>
        </w:rPr>
        <w:t>in instances where it may not be feasible to locate DCFCs at short dwell time locations</w:t>
      </w:r>
      <w:r w:rsidRPr="002B238F" w:rsidR="004D486C">
        <w:rPr>
          <w:rFonts w:ascii="Palatino Linotype" w:hAnsi="Palatino Linotype" w:cs="Times New Roman"/>
          <w:sz w:val="24"/>
          <w:szCs w:val="24"/>
        </w:rPr>
        <w:t>. Any siting at locations near</w:t>
      </w:r>
      <w:r w:rsidRPr="002B238F" w:rsidR="00971128">
        <w:rPr>
          <w:rFonts w:ascii="Palatino Linotype" w:hAnsi="Palatino Linotype" w:cs="Times New Roman"/>
          <w:sz w:val="24"/>
          <w:szCs w:val="24"/>
        </w:rPr>
        <w:t>,</w:t>
      </w:r>
      <w:r w:rsidRPr="002B238F" w:rsidR="004D486C">
        <w:rPr>
          <w:rFonts w:ascii="Palatino Linotype" w:hAnsi="Palatino Linotype" w:cs="Times New Roman"/>
          <w:sz w:val="24"/>
          <w:szCs w:val="24"/>
        </w:rPr>
        <w:t xml:space="preserve"> rather than at</w:t>
      </w:r>
      <w:r w:rsidRPr="002B238F" w:rsidR="00971128">
        <w:rPr>
          <w:rFonts w:ascii="Palatino Linotype" w:hAnsi="Palatino Linotype" w:cs="Times New Roman"/>
          <w:sz w:val="24"/>
          <w:szCs w:val="24"/>
        </w:rPr>
        <w:t>,</w:t>
      </w:r>
      <w:r w:rsidRPr="002B238F" w:rsidR="004D486C">
        <w:rPr>
          <w:rFonts w:ascii="Palatino Linotype" w:hAnsi="Palatino Linotype" w:cs="Times New Roman"/>
          <w:sz w:val="24"/>
          <w:szCs w:val="24"/>
        </w:rPr>
        <w:t xml:space="preserve"> short-dwell time locations should occur following the site prioritization criteria approved in this Resolution. </w:t>
      </w:r>
    </w:p>
    <w:p w:rsidRPr="002B238F" w:rsidR="00C434C5" w:rsidP="65C8B7AF" w:rsidRDefault="00C434C5" w14:paraId="3C938F0A" w14:textId="02B5378E">
      <w:pPr>
        <w:pStyle w:val="ListParagraph"/>
        <w:numPr>
          <w:ilvl w:val="0"/>
          <w:numId w:val="6"/>
        </w:numPr>
        <w:rPr>
          <w:rFonts w:ascii="Palatino Linotype" w:hAnsi="Palatino Linotype" w:cs="Palatino" w:eastAsiaTheme="minorEastAsia"/>
          <w:sz w:val="24"/>
          <w:szCs w:val="24"/>
        </w:rPr>
      </w:pPr>
      <w:r w:rsidRPr="002B238F">
        <w:rPr>
          <w:rFonts w:ascii="Palatino Linotype" w:hAnsi="Palatino Linotype" w:cs="Palatino" w:eastAsiaTheme="minorEastAsia"/>
          <w:sz w:val="24"/>
          <w:szCs w:val="24"/>
        </w:rPr>
        <w:t>Southern California Edison Company</w:t>
      </w:r>
      <w:r w:rsidRPr="002B238F" w:rsidR="00070DCB">
        <w:rPr>
          <w:rFonts w:ascii="Palatino Linotype" w:hAnsi="Palatino Linotype" w:cs="Palatino" w:eastAsiaTheme="minorEastAsia"/>
          <w:sz w:val="24"/>
          <w:szCs w:val="24"/>
        </w:rPr>
        <w:t xml:space="preserve"> shall prioritize the Customer-Side Make Ready Rebate option </w:t>
      </w:r>
      <w:r w:rsidRPr="002B238F" w:rsidR="007539D4">
        <w:rPr>
          <w:rFonts w:ascii="Palatino Linotype" w:hAnsi="Palatino Linotype" w:cs="Palatino" w:eastAsiaTheme="minorEastAsia"/>
          <w:sz w:val="24"/>
          <w:szCs w:val="24"/>
        </w:rPr>
        <w:t xml:space="preserve">as a means for cost </w:t>
      </w:r>
      <w:r w:rsidRPr="002B238F" w:rsidR="006E59A5">
        <w:rPr>
          <w:rFonts w:ascii="Palatino Linotype" w:hAnsi="Palatino Linotype" w:cs="Palatino" w:eastAsiaTheme="minorEastAsia"/>
          <w:sz w:val="24"/>
          <w:szCs w:val="24"/>
        </w:rPr>
        <w:t>saving and</w:t>
      </w:r>
      <w:r w:rsidRPr="002B238F" w:rsidR="007539D4">
        <w:rPr>
          <w:rFonts w:ascii="Palatino Linotype" w:hAnsi="Palatino Linotype" w:cs="Palatino" w:eastAsiaTheme="minorEastAsia"/>
          <w:sz w:val="24"/>
          <w:szCs w:val="24"/>
        </w:rPr>
        <w:t xml:space="preserve"> shall deprioritize colocation of </w:t>
      </w:r>
      <w:r w:rsidRPr="002B238F" w:rsidR="007E27E5">
        <w:rPr>
          <w:rFonts w:ascii="Palatino Linotype" w:hAnsi="Palatino Linotype" w:cs="Times New Roman"/>
          <w:sz w:val="24"/>
          <w:szCs w:val="24"/>
        </w:rPr>
        <w:t>direct current fast chargers</w:t>
      </w:r>
      <w:r w:rsidRPr="002B238F" w:rsidR="007539D4">
        <w:rPr>
          <w:rFonts w:ascii="Palatino Linotype" w:hAnsi="Palatino Linotype" w:cs="Palatino" w:eastAsiaTheme="minorEastAsia"/>
          <w:sz w:val="24"/>
          <w:szCs w:val="24"/>
        </w:rPr>
        <w:t xml:space="preserve"> and Level 2 chargers</w:t>
      </w:r>
      <w:r w:rsidRPr="002B238F" w:rsidR="00005DFD">
        <w:rPr>
          <w:rFonts w:ascii="Palatino Linotype" w:hAnsi="Palatino Linotype" w:cs="Palatino" w:eastAsiaTheme="minorEastAsia"/>
          <w:sz w:val="24"/>
          <w:szCs w:val="24"/>
        </w:rPr>
        <w:t>.</w:t>
      </w:r>
      <w:r w:rsidRPr="002B238F" w:rsidR="007539D4">
        <w:rPr>
          <w:rFonts w:ascii="Palatino Linotype" w:hAnsi="Palatino Linotype" w:cs="Palatino" w:eastAsiaTheme="minorEastAsia"/>
          <w:sz w:val="24"/>
          <w:szCs w:val="24"/>
        </w:rPr>
        <w:t xml:space="preserve"> </w:t>
      </w:r>
    </w:p>
    <w:p w:rsidRPr="002B238F" w:rsidR="23628EB6" w:rsidP="65C8B7AF" w:rsidRDefault="00A85A9C" w14:paraId="04365FA6" w14:textId="4B6D1E5B">
      <w:pPr>
        <w:pStyle w:val="ListParagraph"/>
        <w:numPr>
          <w:ilvl w:val="0"/>
          <w:numId w:val="6"/>
        </w:numPr>
        <w:rPr>
          <w:rFonts w:ascii="Palatino Linotype" w:hAnsi="Palatino Linotype" w:eastAsiaTheme="minorEastAsia"/>
          <w:sz w:val="24"/>
          <w:szCs w:val="24"/>
        </w:rPr>
      </w:pPr>
      <w:r w:rsidRPr="002B238F">
        <w:rPr>
          <w:rFonts w:ascii="Palatino Linotype" w:hAnsi="Palatino Linotype" w:cs="Times New Roman"/>
          <w:sz w:val="24"/>
          <w:szCs w:val="24"/>
        </w:rPr>
        <w:t>Southern California Edison</w:t>
      </w:r>
      <w:r w:rsidRPr="002B238F" w:rsidR="00471AA9">
        <w:rPr>
          <w:rFonts w:ascii="Palatino Linotype" w:hAnsi="Palatino Linotype" w:cs="Times New Roman"/>
          <w:sz w:val="24"/>
          <w:szCs w:val="24"/>
        </w:rPr>
        <w:t xml:space="preserve"> Company</w:t>
      </w:r>
      <w:r w:rsidRPr="002B238F">
        <w:rPr>
          <w:rFonts w:ascii="Palatino Linotype" w:hAnsi="Palatino Linotype" w:cs="Times New Roman"/>
          <w:sz w:val="24"/>
          <w:szCs w:val="24"/>
        </w:rPr>
        <w:t xml:space="preserve"> shall</w:t>
      </w:r>
      <w:r w:rsidRPr="002B238F" w:rsidR="00147044">
        <w:rPr>
          <w:rFonts w:ascii="Palatino Linotype" w:hAnsi="Palatino Linotype" w:cs="Times New Roman"/>
          <w:sz w:val="24"/>
          <w:szCs w:val="24"/>
        </w:rPr>
        <w:t>,</w:t>
      </w:r>
      <w:r w:rsidRPr="002B238F">
        <w:rPr>
          <w:rFonts w:ascii="Palatino Linotype" w:hAnsi="Palatino Linotype" w:cs="Times New Roman"/>
          <w:sz w:val="24"/>
          <w:szCs w:val="24"/>
        </w:rPr>
        <w:t xml:space="preserve"> </w:t>
      </w:r>
      <w:r w:rsidRPr="002B238F" w:rsidR="00850D65">
        <w:rPr>
          <w:rFonts w:ascii="Palatino Linotype" w:hAnsi="Palatino Linotype" w:cs="Times New Roman"/>
          <w:sz w:val="24"/>
          <w:szCs w:val="24"/>
        </w:rPr>
        <w:t>within the Charge Ready 2 program</w:t>
      </w:r>
      <w:r w:rsidRPr="002B238F" w:rsidR="00147044">
        <w:rPr>
          <w:rFonts w:ascii="Palatino Linotype" w:hAnsi="Palatino Linotype" w:cs="Times New Roman"/>
          <w:sz w:val="24"/>
          <w:szCs w:val="24"/>
        </w:rPr>
        <w:t>,</w:t>
      </w:r>
      <w:r w:rsidRPr="002B238F" w:rsidR="00850D65">
        <w:rPr>
          <w:rFonts w:ascii="Palatino Linotype" w:hAnsi="Palatino Linotype" w:cs="Times New Roman"/>
          <w:sz w:val="24"/>
          <w:szCs w:val="24"/>
        </w:rPr>
        <w:t xml:space="preserve"> </w:t>
      </w:r>
      <w:r w:rsidRPr="002B238F" w:rsidR="002A4545">
        <w:rPr>
          <w:rFonts w:ascii="Palatino Linotype" w:hAnsi="Palatino Linotype" w:cs="Times New Roman"/>
          <w:sz w:val="24"/>
          <w:szCs w:val="24"/>
        </w:rPr>
        <w:t xml:space="preserve">utilize the </w:t>
      </w:r>
      <w:r w:rsidRPr="002B238F" w:rsidR="00471AA9">
        <w:rPr>
          <w:rFonts w:ascii="Palatino Linotype" w:hAnsi="Palatino Linotype" w:cs="Times New Roman"/>
          <w:sz w:val="24"/>
          <w:szCs w:val="24"/>
        </w:rPr>
        <w:t>m</w:t>
      </w:r>
      <w:r w:rsidRPr="002B238F">
        <w:rPr>
          <w:rFonts w:ascii="Palatino Linotype" w:hAnsi="Palatino Linotype" w:cs="Times New Roman"/>
          <w:sz w:val="24"/>
          <w:szCs w:val="24"/>
        </w:rPr>
        <w:t>ulti-</w:t>
      </w:r>
      <w:r w:rsidRPr="002B238F" w:rsidR="00471AA9">
        <w:rPr>
          <w:rFonts w:ascii="Palatino Linotype" w:hAnsi="Palatino Linotype" w:cs="Times New Roman"/>
          <w:sz w:val="24"/>
          <w:szCs w:val="24"/>
        </w:rPr>
        <w:t>u</w:t>
      </w:r>
      <w:r w:rsidRPr="002B238F">
        <w:rPr>
          <w:rFonts w:ascii="Palatino Linotype" w:hAnsi="Palatino Linotype" w:cs="Times New Roman"/>
          <w:sz w:val="24"/>
          <w:szCs w:val="24"/>
        </w:rPr>
        <w:t xml:space="preserve">nit </w:t>
      </w:r>
      <w:r w:rsidRPr="002B238F" w:rsidR="00471AA9">
        <w:rPr>
          <w:rFonts w:ascii="Palatino Linotype" w:hAnsi="Palatino Linotype" w:cs="Times New Roman"/>
          <w:sz w:val="24"/>
          <w:szCs w:val="24"/>
        </w:rPr>
        <w:t>d</w:t>
      </w:r>
      <w:r w:rsidRPr="002B238F">
        <w:rPr>
          <w:rFonts w:ascii="Palatino Linotype" w:hAnsi="Palatino Linotype" w:cs="Times New Roman"/>
          <w:sz w:val="24"/>
          <w:szCs w:val="24"/>
        </w:rPr>
        <w:t>wellings</w:t>
      </w:r>
      <w:r w:rsidRPr="002B238F" w:rsidR="00471AA9">
        <w:rPr>
          <w:rFonts w:ascii="Palatino Linotype" w:hAnsi="Palatino Linotype" w:cs="Times New Roman"/>
          <w:sz w:val="24"/>
          <w:szCs w:val="24"/>
        </w:rPr>
        <w:t xml:space="preserve"> (MUD)</w:t>
      </w:r>
      <w:r w:rsidRPr="002B238F" w:rsidR="002A4545">
        <w:rPr>
          <w:rFonts w:ascii="Palatino Linotype" w:hAnsi="Palatino Linotype" w:cs="Times New Roman"/>
          <w:sz w:val="24"/>
          <w:szCs w:val="24"/>
        </w:rPr>
        <w:t xml:space="preserve"> serving definition to a site</w:t>
      </w:r>
      <w:r w:rsidRPr="002B238F" w:rsidR="00D749E9">
        <w:rPr>
          <w:rFonts w:ascii="Palatino Linotype" w:hAnsi="Palatino Linotype" w:cs="Times New Roman"/>
          <w:sz w:val="24"/>
          <w:szCs w:val="24"/>
        </w:rPr>
        <w:t xml:space="preserve"> that is located within </w:t>
      </w:r>
      <w:proofErr w:type="gramStart"/>
      <w:r w:rsidRPr="002B238F" w:rsidR="00D749E9">
        <w:rPr>
          <w:rFonts w:ascii="Palatino Linotype" w:hAnsi="Palatino Linotype" w:cs="Times New Roman"/>
          <w:sz w:val="24"/>
          <w:szCs w:val="24"/>
        </w:rPr>
        <w:t>two-miles</w:t>
      </w:r>
      <w:proofErr w:type="gramEnd"/>
      <w:r w:rsidRPr="002B238F" w:rsidR="00D749E9">
        <w:rPr>
          <w:rFonts w:ascii="Palatino Linotype" w:hAnsi="Palatino Linotype" w:cs="Times New Roman"/>
          <w:sz w:val="24"/>
          <w:szCs w:val="24"/>
        </w:rPr>
        <w:t xml:space="preserve"> of at least six units of MUD housing, and shall prioritize sites located within </w:t>
      </w:r>
      <w:r w:rsidRPr="002B238F" w:rsidR="00A2627E">
        <w:rPr>
          <w:rFonts w:ascii="Palatino Linotype" w:hAnsi="Palatino Linotype" w:cs="Times New Roman"/>
          <w:sz w:val="24"/>
          <w:szCs w:val="24"/>
        </w:rPr>
        <w:t xml:space="preserve">an area of </w:t>
      </w:r>
      <w:r w:rsidRPr="002B238F" w:rsidR="00D749E9">
        <w:rPr>
          <w:rFonts w:ascii="Palatino Linotype" w:hAnsi="Palatino Linotype" w:cs="Times New Roman"/>
          <w:sz w:val="24"/>
          <w:szCs w:val="24"/>
        </w:rPr>
        <w:t xml:space="preserve">a higher density </w:t>
      </w:r>
      <w:r w:rsidRPr="002B238F" w:rsidR="00A2627E">
        <w:rPr>
          <w:rFonts w:ascii="Palatino Linotype" w:hAnsi="Palatino Linotype" w:cs="Times New Roman"/>
          <w:sz w:val="24"/>
          <w:szCs w:val="24"/>
        </w:rPr>
        <w:t>of MUDs.</w:t>
      </w:r>
      <w:r w:rsidRPr="002B238F">
        <w:rPr>
          <w:rFonts w:ascii="Palatino Linotype" w:hAnsi="Palatino Linotype" w:cs="Times New Roman"/>
          <w:sz w:val="24"/>
          <w:szCs w:val="24"/>
        </w:rPr>
        <w:t xml:space="preserve"> </w:t>
      </w:r>
    </w:p>
    <w:p w:rsidRPr="002B238F" w:rsidR="00164472" w:rsidP="17A2A441" w:rsidRDefault="00B8733D" w14:paraId="355C5B65" w14:textId="1DD2326E">
      <w:pPr>
        <w:numPr>
          <w:ilvl w:val="0"/>
          <w:numId w:val="6"/>
        </w:numPr>
        <w:spacing w:after="0" w:line="240" w:lineRule="auto"/>
        <w:rPr>
          <w:rFonts w:ascii="Palatino Linotype" w:hAnsi="Palatino Linotype" w:eastAsiaTheme="minorEastAsia"/>
          <w:color w:val="0E101A"/>
          <w:sz w:val="24"/>
          <w:szCs w:val="24"/>
        </w:rPr>
      </w:pPr>
      <w:r w:rsidRPr="002B238F">
        <w:rPr>
          <w:rFonts w:ascii="Palatino Linotype" w:hAnsi="Palatino Linotype" w:eastAsia="Times New Roman" w:cs="Times New Roman"/>
          <w:color w:val="0E101A"/>
          <w:sz w:val="24"/>
          <w:szCs w:val="24"/>
        </w:rPr>
        <w:t xml:space="preserve">Southern California Edison </w:t>
      </w:r>
      <w:r w:rsidRPr="002B238F" w:rsidR="00471AA9">
        <w:rPr>
          <w:rFonts w:ascii="Palatino Linotype" w:hAnsi="Palatino Linotype" w:eastAsia="Times New Roman" w:cs="Times New Roman"/>
          <w:color w:val="0E101A"/>
          <w:sz w:val="24"/>
          <w:szCs w:val="24"/>
        </w:rPr>
        <w:t xml:space="preserve">Company </w:t>
      </w:r>
      <w:r w:rsidRPr="002B238F">
        <w:rPr>
          <w:rFonts w:ascii="Palatino Linotype" w:hAnsi="Palatino Linotype" w:eastAsia="Times New Roman" w:cs="Times New Roman"/>
          <w:color w:val="0E101A"/>
          <w:sz w:val="24"/>
          <w:szCs w:val="24"/>
        </w:rPr>
        <w:t>shall work with Energy Division</w:t>
      </w:r>
      <w:r w:rsidRPr="002B238F" w:rsidR="009E612A">
        <w:rPr>
          <w:rFonts w:ascii="Palatino Linotype" w:hAnsi="Palatino Linotype" w:eastAsia="Times New Roman" w:cs="Times New Roman"/>
          <w:color w:val="0E101A"/>
          <w:sz w:val="24"/>
          <w:szCs w:val="24"/>
        </w:rPr>
        <w:t xml:space="preserve"> staff</w:t>
      </w:r>
      <w:r w:rsidRPr="002B238F">
        <w:rPr>
          <w:rFonts w:ascii="Palatino Linotype" w:hAnsi="Palatino Linotype" w:eastAsia="Times New Roman" w:cs="Times New Roman"/>
          <w:color w:val="0E101A"/>
          <w:sz w:val="24"/>
          <w:szCs w:val="24"/>
        </w:rPr>
        <w:t xml:space="preserve"> </w:t>
      </w:r>
      <w:r w:rsidRPr="002B238F" w:rsidR="000C3684">
        <w:rPr>
          <w:rFonts w:ascii="Palatino Linotype" w:hAnsi="Palatino Linotype" w:eastAsia="Times New Roman" w:cs="Times New Roman"/>
          <w:color w:val="0E101A"/>
          <w:sz w:val="24"/>
          <w:szCs w:val="24"/>
        </w:rPr>
        <w:t>to determine appropriate</w:t>
      </w:r>
      <w:r w:rsidRPr="002B238F">
        <w:rPr>
          <w:rFonts w:ascii="Palatino Linotype" w:hAnsi="Palatino Linotype" w:eastAsia="Times New Roman" w:cs="Times New Roman"/>
          <w:color w:val="0E101A"/>
          <w:sz w:val="24"/>
          <w:szCs w:val="24"/>
        </w:rPr>
        <w:t xml:space="preserve"> data gathering requirements </w:t>
      </w:r>
      <w:r w:rsidRPr="002B238F" w:rsidR="000C3684">
        <w:rPr>
          <w:rFonts w:ascii="Palatino Linotype" w:hAnsi="Palatino Linotype" w:eastAsia="Times New Roman" w:cs="Times New Roman"/>
          <w:color w:val="0E101A"/>
          <w:sz w:val="24"/>
          <w:szCs w:val="24"/>
        </w:rPr>
        <w:t>as described in this Resolution related to (1) siting at or near short dwell time locations</w:t>
      </w:r>
      <w:r w:rsidRPr="002B238F" w:rsidR="00A2627E">
        <w:rPr>
          <w:rFonts w:ascii="Palatino Linotype" w:hAnsi="Palatino Linotype" w:eastAsia="Times New Roman" w:cs="Times New Roman"/>
          <w:color w:val="0E101A"/>
          <w:sz w:val="24"/>
          <w:szCs w:val="24"/>
        </w:rPr>
        <w:t xml:space="preserve"> and associated utilization and accessibility</w:t>
      </w:r>
      <w:r w:rsidRPr="002B238F" w:rsidR="00CA4658">
        <w:rPr>
          <w:rFonts w:ascii="Palatino Linotype" w:hAnsi="Palatino Linotype" w:eastAsia="Times New Roman" w:cs="Times New Roman"/>
          <w:color w:val="0E101A"/>
          <w:sz w:val="24"/>
          <w:szCs w:val="24"/>
        </w:rPr>
        <w:t>;</w:t>
      </w:r>
      <w:r w:rsidRPr="002B238F" w:rsidR="00BA7A11">
        <w:rPr>
          <w:rFonts w:ascii="Palatino Linotype" w:hAnsi="Palatino Linotype" w:eastAsia="Times New Roman" w:cs="Times New Roman"/>
          <w:color w:val="0E101A"/>
          <w:sz w:val="24"/>
          <w:szCs w:val="24"/>
        </w:rPr>
        <w:t xml:space="preserve"> (2)</w:t>
      </w:r>
      <w:r w:rsidRPr="002B238F" w:rsidR="00D00A92">
        <w:rPr>
          <w:rFonts w:ascii="Palatino Linotype" w:hAnsi="Palatino Linotype" w:eastAsia="Times New Roman" w:cs="Times New Roman"/>
          <w:color w:val="0E101A"/>
          <w:sz w:val="24"/>
          <w:szCs w:val="24"/>
        </w:rPr>
        <w:t xml:space="preserve"> efficacy of co-locating direct current fast chargers </w:t>
      </w:r>
      <w:r w:rsidRPr="002B238F" w:rsidR="00A2627E">
        <w:rPr>
          <w:rFonts w:ascii="Palatino Linotype" w:hAnsi="Palatino Linotype" w:eastAsia="Times New Roman" w:cs="Times New Roman"/>
          <w:color w:val="0E101A"/>
          <w:sz w:val="24"/>
          <w:szCs w:val="24"/>
        </w:rPr>
        <w:t xml:space="preserve">(DCFC) </w:t>
      </w:r>
      <w:r w:rsidRPr="002B238F" w:rsidR="00D00A92">
        <w:rPr>
          <w:rFonts w:ascii="Palatino Linotype" w:hAnsi="Palatino Linotype" w:eastAsia="Times New Roman" w:cs="Times New Roman"/>
          <w:color w:val="0E101A"/>
          <w:sz w:val="24"/>
          <w:szCs w:val="24"/>
        </w:rPr>
        <w:t>and Level 2 chargers</w:t>
      </w:r>
      <w:r w:rsidRPr="002B238F" w:rsidR="00CA4658">
        <w:rPr>
          <w:rFonts w:ascii="Palatino Linotype" w:hAnsi="Palatino Linotype" w:eastAsia="Times New Roman" w:cs="Times New Roman"/>
          <w:color w:val="0E101A"/>
          <w:sz w:val="24"/>
          <w:szCs w:val="24"/>
        </w:rPr>
        <w:t>, where necessary;</w:t>
      </w:r>
      <w:r w:rsidRPr="002B238F" w:rsidR="00BA7A11">
        <w:rPr>
          <w:rFonts w:ascii="Palatino Linotype" w:hAnsi="Palatino Linotype" w:eastAsia="Times New Roman" w:cs="Times New Roman"/>
          <w:color w:val="0E101A"/>
          <w:sz w:val="24"/>
          <w:szCs w:val="24"/>
        </w:rPr>
        <w:t xml:space="preserve"> </w:t>
      </w:r>
      <w:r w:rsidRPr="002B238F" w:rsidR="00A2627E">
        <w:rPr>
          <w:rFonts w:ascii="Palatino Linotype" w:hAnsi="Palatino Linotype" w:eastAsia="Times New Roman" w:cs="Times New Roman"/>
          <w:color w:val="0E101A"/>
          <w:sz w:val="24"/>
          <w:szCs w:val="24"/>
        </w:rPr>
        <w:t xml:space="preserve"> (3) </w:t>
      </w:r>
      <w:r w:rsidRPr="002B238F">
        <w:rPr>
          <w:rFonts w:ascii="Palatino Linotype" w:hAnsi="Palatino Linotype" w:eastAsia="Times New Roman" w:cs="Times New Roman"/>
          <w:color w:val="0E101A"/>
          <w:sz w:val="24"/>
          <w:szCs w:val="24"/>
        </w:rPr>
        <w:t>insights gained regarding the customer's DCFC operational and power level needs</w:t>
      </w:r>
      <w:r w:rsidRPr="002B238F" w:rsidR="00A2627E">
        <w:rPr>
          <w:rFonts w:ascii="Palatino Linotype" w:hAnsi="Palatino Linotype" w:eastAsia="Times New Roman" w:cs="Times New Roman"/>
          <w:color w:val="0E101A"/>
          <w:sz w:val="24"/>
          <w:szCs w:val="24"/>
        </w:rPr>
        <w:t>; (4)</w:t>
      </w:r>
      <w:r w:rsidRPr="002B238F">
        <w:rPr>
          <w:rFonts w:ascii="Palatino Linotype" w:hAnsi="Palatino Linotype" w:eastAsia="Times New Roman" w:cs="Times New Roman"/>
          <w:color w:val="0E101A"/>
          <w:sz w:val="24"/>
          <w:szCs w:val="24"/>
        </w:rPr>
        <w:t xml:space="preserve"> the effectiveness of the </w:t>
      </w:r>
      <w:r w:rsidRPr="002B238F" w:rsidR="00A2627E">
        <w:rPr>
          <w:rFonts w:ascii="Palatino Linotype" w:hAnsi="Palatino Linotype" w:eastAsia="Times New Roman" w:cs="Times New Roman"/>
          <w:color w:val="0E101A"/>
          <w:sz w:val="24"/>
          <w:szCs w:val="24"/>
        </w:rPr>
        <w:t>multi-unit dwelling (</w:t>
      </w:r>
      <w:r w:rsidRPr="002B238F">
        <w:rPr>
          <w:rFonts w:ascii="Palatino Linotype" w:hAnsi="Palatino Linotype" w:eastAsia="Times New Roman" w:cs="Times New Roman"/>
          <w:color w:val="0E101A"/>
          <w:sz w:val="24"/>
          <w:szCs w:val="24"/>
        </w:rPr>
        <w:t>MUD</w:t>
      </w:r>
      <w:r w:rsidRPr="002B238F" w:rsidR="00A2627E">
        <w:rPr>
          <w:rFonts w:ascii="Palatino Linotype" w:hAnsi="Palatino Linotype" w:eastAsia="Times New Roman" w:cs="Times New Roman"/>
          <w:color w:val="0E101A"/>
          <w:sz w:val="24"/>
          <w:szCs w:val="24"/>
        </w:rPr>
        <w:t>)</w:t>
      </w:r>
      <w:r w:rsidRPr="002B238F">
        <w:rPr>
          <w:rFonts w:ascii="Palatino Linotype" w:hAnsi="Palatino Linotype" w:eastAsia="Times New Roman" w:cs="Times New Roman"/>
          <w:color w:val="0E101A"/>
          <w:sz w:val="24"/>
          <w:szCs w:val="24"/>
        </w:rPr>
        <w:t xml:space="preserve"> serving definition</w:t>
      </w:r>
      <w:r w:rsidRPr="002B238F" w:rsidR="7B4B8217">
        <w:rPr>
          <w:rFonts w:ascii="Palatino Linotype" w:hAnsi="Palatino Linotype" w:eastAsia="Times New Roman" w:cs="Times New Roman"/>
          <w:color w:val="0E101A"/>
          <w:sz w:val="24"/>
          <w:szCs w:val="24"/>
        </w:rPr>
        <w:t>.</w:t>
      </w:r>
      <w:r w:rsidRPr="002B238F" w:rsidR="00A2627E">
        <w:rPr>
          <w:rFonts w:ascii="Palatino Linotype" w:hAnsi="Palatino Linotype" w:eastAsia="Times New Roman" w:cs="Times New Roman"/>
          <w:color w:val="0E101A"/>
          <w:sz w:val="24"/>
          <w:szCs w:val="24"/>
        </w:rPr>
        <w:t xml:space="preserve"> This data </w:t>
      </w:r>
      <w:r w:rsidRPr="002B238F" w:rsidR="005F7DCA">
        <w:rPr>
          <w:rFonts w:ascii="Palatino Linotype" w:hAnsi="Palatino Linotype" w:eastAsia="Times New Roman" w:cs="Times New Roman"/>
          <w:color w:val="0E101A"/>
          <w:sz w:val="24"/>
          <w:szCs w:val="24"/>
        </w:rPr>
        <w:t xml:space="preserve">shall be leveraged for use in the program evaluation, and Southern California Edison Company shall report this data within the Charge Ready 2 annual program report. </w:t>
      </w:r>
    </w:p>
    <w:p w:rsidRPr="002B238F" w:rsidR="002C77FA" w:rsidP="1E55226A" w:rsidRDefault="002C77C8" w14:paraId="6141322C" w14:textId="69987B7F">
      <w:pPr>
        <w:pStyle w:val="ListParagraph"/>
        <w:numPr>
          <w:ilvl w:val="0"/>
          <w:numId w:val="6"/>
        </w:numPr>
        <w:rPr>
          <w:rFonts w:ascii="Palatino Linotype" w:hAnsi="Palatino Linotype"/>
          <w:sz w:val="24"/>
          <w:szCs w:val="24"/>
        </w:rPr>
      </w:pPr>
      <w:r w:rsidRPr="002B238F">
        <w:rPr>
          <w:rFonts w:ascii="Palatino Linotype" w:hAnsi="Palatino Linotype"/>
          <w:sz w:val="24"/>
          <w:szCs w:val="24"/>
        </w:rPr>
        <w:t>Southern California Edison</w:t>
      </w:r>
      <w:r w:rsidRPr="002B238F" w:rsidR="00471AA9">
        <w:rPr>
          <w:rFonts w:ascii="Palatino Linotype" w:hAnsi="Palatino Linotype"/>
          <w:sz w:val="24"/>
          <w:szCs w:val="24"/>
        </w:rPr>
        <w:t xml:space="preserve"> Company</w:t>
      </w:r>
      <w:r w:rsidRPr="002B238F" w:rsidR="001352CF">
        <w:rPr>
          <w:rFonts w:ascii="Palatino Linotype" w:hAnsi="Palatino Linotype"/>
          <w:sz w:val="24"/>
          <w:szCs w:val="24"/>
        </w:rPr>
        <w:t xml:space="preserve">’s proposal to use the </w:t>
      </w:r>
      <w:r w:rsidRPr="002B238F" w:rsidR="005F7DCA">
        <w:rPr>
          <w:rFonts w:ascii="Palatino Linotype" w:hAnsi="Palatino Linotype"/>
          <w:sz w:val="24"/>
          <w:szCs w:val="24"/>
        </w:rPr>
        <w:t>m</w:t>
      </w:r>
      <w:r w:rsidRPr="002B238F" w:rsidR="001352CF">
        <w:rPr>
          <w:rFonts w:ascii="Palatino Linotype" w:hAnsi="Palatino Linotype"/>
          <w:sz w:val="24"/>
          <w:szCs w:val="24"/>
        </w:rPr>
        <w:t xml:space="preserve">edian </w:t>
      </w:r>
      <w:r w:rsidRPr="002B238F" w:rsidR="005F7DCA">
        <w:rPr>
          <w:rFonts w:ascii="Palatino Linotype" w:hAnsi="Palatino Linotype"/>
          <w:sz w:val="24"/>
          <w:szCs w:val="24"/>
        </w:rPr>
        <w:t>p</w:t>
      </w:r>
      <w:r w:rsidRPr="002B238F" w:rsidR="001352CF">
        <w:rPr>
          <w:rFonts w:ascii="Palatino Linotype" w:hAnsi="Palatino Linotype"/>
          <w:sz w:val="24"/>
          <w:szCs w:val="24"/>
        </w:rPr>
        <w:t xml:space="preserve">rice </w:t>
      </w:r>
      <w:r w:rsidRPr="002B238F" w:rsidR="005F7DCA">
        <w:rPr>
          <w:rFonts w:ascii="Palatino Linotype" w:hAnsi="Palatino Linotype"/>
          <w:sz w:val="24"/>
          <w:szCs w:val="24"/>
        </w:rPr>
        <w:t>p</w:t>
      </w:r>
      <w:r w:rsidRPr="002B238F" w:rsidR="001352CF">
        <w:rPr>
          <w:rFonts w:ascii="Palatino Linotype" w:hAnsi="Palatino Linotype"/>
          <w:sz w:val="24"/>
          <w:szCs w:val="24"/>
        </w:rPr>
        <w:t>oint for its base cost methodology</w:t>
      </w:r>
      <w:r w:rsidRPr="002B238F" w:rsidR="00D60DC7">
        <w:rPr>
          <w:rFonts w:ascii="Palatino Linotype" w:hAnsi="Palatino Linotype"/>
          <w:sz w:val="24"/>
          <w:szCs w:val="24"/>
        </w:rPr>
        <w:t xml:space="preserve"> for </w:t>
      </w:r>
      <w:r w:rsidRPr="002B238F" w:rsidR="005F7DCA">
        <w:rPr>
          <w:rFonts w:ascii="Palatino Linotype" w:hAnsi="Palatino Linotype"/>
          <w:sz w:val="24"/>
          <w:szCs w:val="24"/>
        </w:rPr>
        <w:t>direct current fast chargers</w:t>
      </w:r>
      <w:r w:rsidRPr="002B238F">
        <w:rPr>
          <w:rFonts w:ascii="Palatino Linotype" w:hAnsi="Palatino Linotype"/>
          <w:sz w:val="24"/>
          <w:szCs w:val="24"/>
        </w:rPr>
        <w:t xml:space="preserve"> is approved</w:t>
      </w:r>
      <w:r w:rsidRPr="002B238F" w:rsidR="001352CF">
        <w:rPr>
          <w:rFonts w:ascii="Palatino Linotype" w:hAnsi="Palatino Linotype"/>
          <w:sz w:val="24"/>
          <w:szCs w:val="24"/>
        </w:rPr>
        <w:t xml:space="preserve">. </w:t>
      </w:r>
    </w:p>
    <w:bookmarkEnd w:id="14"/>
    <w:p w:rsidR="001352CF" w:rsidP="002C77FA" w:rsidRDefault="001352CF" w14:paraId="02D5C8DA" w14:textId="77777777">
      <w:pPr>
        <w:rPr>
          <w:rFonts w:ascii="Palatino Linotype" w:hAnsi="Palatino Linotype"/>
          <w:sz w:val="24"/>
          <w:szCs w:val="24"/>
        </w:rPr>
      </w:pPr>
    </w:p>
    <w:p w:rsidR="005C5689" w:rsidP="002C77FA" w:rsidRDefault="005C5689" w14:paraId="53FBF81C" w14:textId="77777777">
      <w:pPr>
        <w:rPr>
          <w:rFonts w:ascii="Palatino Linotype" w:hAnsi="Palatino Linotype"/>
          <w:sz w:val="24"/>
          <w:szCs w:val="24"/>
        </w:rPr>
      </w:pPr>
    </w:p>
    <w:p w:rsidR="005C5689" w:rsidP="002C77FA" w:rsidRDefault="005C5689" w14:paraId="758A290E" w14:textId="77777777">
      <w:pPr>
        <w:rPr>
          <w:rFonts w:ascii="Palatino Linotype" w:hAnsi="Palatino Linotype"/>
          <w:sz w:val="24"/>
          <w:szCs w:val="24"/>
        </w:rPr>
      </w:pPr>
    </w:p>
    <w:p w:rsidR="005C5689" w:rsidP="002C77FA" w:rsidRDefault="005C5689" w14:paraId="0B4BCE30" w14:textId="77777777">
      <w:pPr>
        <w:rPr>
          <w:rFonts w:ascii="Palatino Linotype" w:hAnsi="Palatino Linotype"/>
          <w:sz w:val="24"/>
          <w:szCs w:val="24"/>
        </w:rPr>
      </w:pPr>
    </w:p>
    <w:p w:rsidRPr="002B238F" w:rsidR="005C5689" w:rsidP="002C77FA" w:rsidRDefault="005C5689" w14:paraId="6F0CFB75" w14:textId="77777777">
      <w:pPr>
        <w:rPr>
          <w:rFonts w:ascii="Palatino Linotype" w:hAnsi="Palatino Linotype"/>
          <w:sz w:val="24"/>
          <w:szCs w:val="24"/>
        </w:rPr>
      </w:pPr>
    </w:p>
    <w:p w:rsidRPr="002B238F" w:rsidR="002C77FA" w:rsidP="002C77FA" w:rsidRDefault="002C77FA" w14:paraId="49BC8B03" w14:textId="77777777">
      <w:pPr>
        <w:rPr>
          <w:rFonts w:ascii="Palatino Linotype" w:hAnsi="Palatino Linotype"/>
          <w:sz w:val="24"/>
          <w:szCs w:val="24"/>
        </w:rPr>
      </w:pPr>
      <w:r w:rsidRPr="002B238F">
        <w:rPr>
          <w:rFonts w:ascii="Palatino Linotype" w:hAnsi="Palatino Linotype"/>
          <w:sz w:val="24"/>
          <w:szCs w:val="24"/>
        </w:rPr>
        <w:lastRenderedPageBreak/>
        <w:t>This Resolution is effective today.</w:t>
      </w:r>
    </w:p>
    <w:p w:rsidRPr="002B238F" w:rsidR="002C77FA" w:rsidP="002C77FA" w:rsidRDefault="002C77FA" w14:paraId="612DDD63" w14:textId="2F727FFC">
      <w:pPr>
        <w:rPr>
          <w:rFonts w:ascii="Palatino Linotype" w:hAnsi="Palatino Linotype"/>
          <w:sz w:val="24"/>
          <w:szCs w:val="24"/>
        </w:rPr>
      </w:pPr>
      <w:r w:rsidRPr="002B238F">
        <w:rPr>
          <w:rFonts w:ascii="Palatino Linotype" w:hAnsi="Palatino Linotype"/>
          <w:sz w:val="24"/>
          <w:szCs w:val="24"/>
        </w:rPr>
        <w:t xml:space="preserve">I certify that the foregoing Resolution was duly introduced, passed, and adopted at a </w:t>
      </w:r>
      <w:r w:rsidRPr="00CC60E7">
        <w:rPr>
          <w:rFonts w:ascii="Palatino Linotype" w:hAnsi="Palatino Linotype"/>
          <w:sz w:val="24"/>
          <w:szCs w:val="24"/>
        </w:rPr>
        <w:t>conference of the Public Utilities Commission of the State of California held on</w:t>
      </w:r>
      <w:r w:rsidRPr="00CC60E7" w:rsidR="00800FE0">
        <w:rPr>
          <w:rFonts w:ascii="Palatino Linotype" w:hAnsi="Palatino Linotype"/>
          <w:sz w:val="24"/>
          <w:szCs w:val="24"/>
        </w:rPr>
        <w:t xml:space="preserve"> </w:t>
      </w:r>
      <w:r w:rsidRPr="00CC60E7" w:rsidR="0404CE22">
        <w:rPr>
          <w:rFonts w:ascii="Palatino Linotype" w:hAnsi="Palatino Linotype"/>
          <w:sz w:val="24"/>
          <w:szCs w:val="24"/>
        </w:rPr>
        <w:t xml:space="preserve">November </w:t>
      </w:r>
      <w:r w:rsidRPr="00CC60E7" w:rsidR="00800FE0">
        <w:rPr>
          <w:rFonts w:ascii="Palatino Linotype" w:hAnsi="Palatino Linotype"/>
          <w:sz w:val="24"/>
          <w:szCs w:val="24"/>
        </w:rPr>
        <w:t>2</w:t>
      </w:r>
      <w:r w:rsidRPr="00CC60E7">
        <w:rPr>
          <w:rFonts w:ascii="Palatino Linotype" w:hAnsi="Palatino Linotype"/>
          <w:sz w:val="24"/>
          <w:szCs w:val="24"/>
        </w:rPr>
        <w:t xml:space="preserve">, </w:t>
      </w:r>
      <w:r w:rsidRPr="00CC60E7" w:rsidR="00B21763">
        <w:rPr>
          <w:rFonts w:ascii="Palatino Linotype" w:hAnsi="Palatino Linotype"/>
          <w:sz w:val="24"/>
          <w:szCs w:val="24"/>
        </w:rPr>
        <w:t>2023,</w:t>
      </w:r>
      <w:r w:rsidRPr="002B238F">
        <w:rPr>
          <w:rFonts w:ascii="Palatino Linotype" w:hAnsi="Palatino Linotype"/>
          <w:sz w:val="24"/>
          <w:szCs w:val="24"/>
        </w:rPr>
        <w:t xml:space="preserve"> the following Commissioners voting favorably thereon:</w:t>
      </w:r>
    </w:p>
    <w:p w:rsidRPr="002B238F" w:rsidR="002C77FA" w:rsidP="002C77FA" w:rsidRDefault="002C77FA" w14:paraId="3792FD00" w14:textId="77777777">
      <w:pPr>
        <w:rPr>
          <w:rFonts w:ascii="Palatino Linotype" w:hAnsi="Palatino Linotype"/>
          <w:sz w:val="24"/>
          <w:szCs w:val="24"/>
        </w:rPr>
      </w:pPr>
    </w:p>
    <w:p w:rsidRPr="002B238F" w:rsidR="00994C1B" w:rsidP="002C77FA" w:rsidRDefault="00994C1B" w14:paraId="0E8AF670" w14:textId="77777777">
      <w:pPr>
        <w:rPr>
          <w:rFonts w:ascii="Palatino Linotype" w:hAnsi="Palatino Linotype"/>
          <w:sz w:val="24"/>
          <w:szCs w:val="24"/>
        </w:rPr>
      </w:pPr>
    </w:p>
    <w:p w:rsidRPr="002B238F" w:rsidR="002C77FA" w:rsidP="002C77FA" w:rsidRDefault="002C77FA" w14:paraId="1D00C145" w14:textId="77777777">
      <w:pPr>
        <w:rPr>
          <w:rFonts w:ascii="Palatino Linotype" w:hAnsi="Palatino Linotype"/>
          <w:sz w:val="24"/>
          <w:szCs w:val="24"/>
        </w:rPr>
      </w:pPr>
    </w:p>
    <w:p w:rsidRPr="002B238F" w:rsidR="002C77FA" w:rsidP="002C77FA" w:rsidRDefault="002C77FA" w14:paraId="4103267E" w14:textId="77777777">
      <w:pPr>
        <w:tabs>
          <w:tab w:val="left" w:pos="720"/>
          <w:tab w:val="left" w:pos="1152"/>
          <w:tab w:val="left" w:pos="1728"/>
          <w:tab w:val="left" w:pos="3168"/>
          <w:tab w:val="left" w:pos="5040"/>
        </w:tabs>
        <w:ind w:right="144"/>
        <w:rPr>
          <w:rFonts w:ascii="Palatino Linotype" w:hAnsi="Palatino Linotype" w:eastAsia="Times New Roman" w:cs="Times New Roman"/>
          <w:sz w:val="24"/>
          <w:szCs w:val="24"/>
        </w:rPr>
      </w:pPr>
      <w:r w:rsidRPr="002B238F">
        <w:rPr>
          <w:rFonts w:ascii="Palatino Linotype" w:hAnsi="Palatino Linotype"/>
          <w:sz w:val="24"/>
          <w:szCs w:val="24"/>
        </w:rPr>
        <w:tab/>
        <w:t xml:space="preserve">                                                          </w:t>
      </w:r>
      <w:r w:rsidRPr="002B238F">
        <w:rPr>
          <w:rFonts w:ascii="Palatino Linotype" w:hAnsi="Palatino Linotype"/>
          <w:sz w:val="24"/>
          <w:szCs w:val="24"/>
        </w:rPr>
        <w:tab/>
      </w:r>
      <w:r w:rsidRPr="002B238F">
        <w:rPr>
          <w:rFonts w:ascii="Palatino Linotype" w:hAnsi="Palatino Linotype"/>
          <w:sz w:val="24"/>
          <w:szCs w:val="24"/>
        </w:rPr>
        <w:tab/>
      </w:r>
      <w:r w:rsidRPr="002B238F">
        <w:rPr>
          <w:rFonts w:ascii="Palatino Linotype" w:hAnsi="Palatino Linotype" w:eastAsia="Times New Roman" w:cs="Times New Roman"/>
          <w:sz w:val="24"/>
          <w:szCs w:val="24"/>
        </w:rPr>
        <w:t>_____________________</w:t>
      </w:r>
    </w:p>
    <w:p w:rsidRPr="002B238F" w:rsidR="002C77FA" w:rsidP="002C77FA" w:rsidRDefault="002C77FA" w14:paraId="30E892FB" w14:textId="77777777">
      <w:pPr>
        <w:spacing w:after="0" w:line="240" w:lineRule="auto"/>
        <w:rPr>
          <w:rFonts w:ascii="Palatino Linotype" w:hAnsi="Palatino Linotype" w:eastAsia="Times New Roman" w:cs="Times New Roman"/>
          <w:sz w:val="24"/>
          <w:szCs w:val="24"/>
        </w:rPr>
      </w:pP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t>Rachel Peterson</w:t>
      </w:r>
    </w:p>
    <w:p w:rsidRPr="002B238F" w:rsidR="002C77FA" w:rsidP="002C77FA" w:rsidRDefault="002C77FA" w14:paraId="655B6D8A" w14:textId="77777777">
      <w:pPr>
        <w:spacing w:after="0" w:line="240" w:lineRule="auto"/>
        <w:rPr>
          <w:rFonts w:ascii="Palatino Linotype" w:hAnsi="Palatino Linotype"/>
          <w:sz w:val="24"/>
          <w:szCs w:val="24"/>
        </w:rPr>
      </w:pP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r>
      <w:r w:rsidRPr="002B238F">
        <w:rPr>
          <w:rFonts w:ascii="Palatino Linotype" w:hAnsi="Palatino Linotype" w:eastAsia="Times New Roman" w:cs="Times New Roman"/>
          <w:sz w:val="24"/>
          <w:szCs w:val="24"/>
        </w:rPr>
        <w:tab/>
        <w:t>Executive Director</w:t>
      </w:r>
    </w:p>
    <w:p w:rsidRPr="002B238F" w:rsidR="002C77FA" w:rsidP="002C77FA" w:rsidRDefault="002C77FA" w14:paraId="7F863679" w14:textId="77777777">
      <w:pPr>
        <w:rPr>
          <w:rFonts w:ascii="Palatino Linotype" w:hAnsi="Palatino Linotype"/>
          <w:sz w:val="24"/>
          <w:szCs w:val="24"/>
        </w:rPr>
      </w:pPr>
    </w:p>
    <w:p w:rsidRPr="002B238F" w:rsidR="00940632" w:rsidP="002C77FA" w:rsidRDefault="00940632" w14:paraId="4F3E7FA3" w14:textId="52743F31">
      <w:pPr>
        <w:rPr>
          <w:rFonts w:ascii="Palatino Linotype" w:hAnsi="Palatino Linotype"/>
          <w:sz w:val="24"/>
          <w:szCs w:val="24"/>
        </w:rPr>
      </w:pPr>
    </w:p>
    <w:sectPr w:rsidRPr="002B238F" w:rsidR="00940632" w:rsidSect="007A2681">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3A9A" w14:textId="77777777" w:rsidR="00E17E8A" w:rsidRDefault="00E17E8A" w:rsidP="00CA4AB6">
      <w:pPr>
        <w:spacing w:after="0" w:line="240" w:lineRule="auto"/>
      </w:pPr>
      <w:r>
        <w:separator/>
      </w:r>
    </w:p>
    <w:p w14:paraId="0076D11C" w14:textId="77777777" w:rsidR="00E17E8A" w:rsidRDefault="00E17E8A"/>
  </w:endnote>
  <w:endnote w:type="continuationSeparator" w:id="0">
    <w:p w14:paraId="7828539D" w14:textId="77777777" w:rsidR="00E17E8A" w:rsidRDefault="00E17E8A" w:rsidP="00CA4AB6">
      <w:pPr>
        <w:spacing w:after="0" w:line="240" w:lineRule="auto"/>
      </w:pPr>
      <w:r>
        <w:continuationSeparator/>
      </w:r>
    </w:p>
    <w:p w14:paraId="3E1C9BE1" w14:textId="77777777" w:rsidR="00E17E8A" w:rsidRDefault="00E17E8A"/>
  </w:endnote>
  <w:endnote w:type="continuationNotice" w:id="1">
    <w:p w14:paraId="6E21CC4B" w14:textId="77777777" w:rsidR="00E17E8A" w:rsidRDefault="00E17E8A">
      <w:pPr>
        <w:spacing w:after="0" w:line="240" w:lineRule="auto"/>
      </w:pPr>
    </w:p>
    <w:p w14:paraId="21A75CE6" w14:textId="77777777" w:rsidR="00E17E8A" w:rsidRDefault="00E17E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Palatino Linotype"/>
    <w:panose1 w:val="02020500000000000000"/>
    <w:charset w:val="00"/>
    <w:family w:val="roman"/>
    <w:pitch w:val="variable"/>
    <w:sig w:usb0="20000A87" w:usb1="08000000" w:usb2="00000008" w:usb3="00000000" w:csb0="000001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35962"/>
      <w:docPartObj>
        <w:docPartGallery w:val="Page Numbers (Bottom of Page)"/>
        <w:docPartUnique/>
      </w:docPartObj>
    </w:sdtPr>
    <w:sdtEndPr>
      <w:rPr>
        <w:rFonts w:ascii="Palatino Linotype" w:hAnsi="Palatino Linotype"/>
        <w:noProof/>
        <w:sz w:val="24"/>
        <w:szCs w:val="24"/>
      </w:rPr>
    </w:sdtEndPr>
    <w:sdtContent>
      <w:p w14:paraId="1E3F1202" w14:textId="19F8E5F0" w:rsidR="004974BC" w:rsidRPr="007A2681" w:rsidRDefault="004974BC" w:rsidP="007A2681">
        <w:pPr>
          <w:pStyle w:val="Footer"/>
          <w:jc w:val="center"/>
          <w:rPr>
            <w:rFonts w:ascii="Palatino Linotype" w:hAnsi="Palatino Linotype"/>
            <w:sz w:val="24"/>
            <w:szCs w:val="24"/>
          </w:rPr>
        </w:pPr>
        <w:r w:rsidRPr="007A2681">
          <w:rPr>
            <w:rFonts w:ascii="Palatino Linotype" w:hAnsi="Palatino Linotype"/>
            <w:sz w:val="24"/>
            <w:szCs w:val="24"/>
          </w:rPr>
          <w:fldChar w:fldCharType="begin"/>
        </w:r>
        <w:r w:rsidRPr="007A2681">
          <w:rPr>
            <w:rFonts w:ascii="Palatino Linotype" w:hAnsi="Palatino Linotype"/>
            <w:sz w:val="24"/>
            <w:szCs w:val="24"/>
          </w:rPr>
          <w:instrText xml:space="preserve"> PAGE   \* MERGEFORMAT </w:instrText>
        </w:r>
        <w:r w:rsidRPr="007A2681">
          <w:rPr>
            <w:rFonts w:ascii="Palatino Linotype" w:hAnsi="Palatino Linotype"/>
            <w:sz w:val="24"/>
            <w:szCs w:val="24"/>
          </w:rPr>
          <w:fldChar w:fldCharType="separate"/>
        </w:r>
        <w:r w:rsidRPr="007A2681">
          <w:rPr>
            <w:rFonts w:ascii="Palatino Linotype" w:hAnsi="Palatino Linotype"/>
            <w:noProof/>
            <w:sz w:val="24"/>
            <w:szCs w:val="24"/>
          </w:rPr>
          <w:t>2</w:t>
        </w:r>
        <w:r w:rsidRPr="007A2681">
          <w:rPr>
            <w:rFonts w:ascii="Palatino Linotype" w:hAnsi="Palatino Linotype"/>
            <w:noProof/>
            <w:sz w:val="24"/>
            <w:szCs w:val="24"/>
          </w:rPr>
          <w:fldChar w:fldCharType="end"/>
        </w:r>
      </w:p>
    </w:sdtContent>
  </w:sdt>
  <w:p w14:paraId="32A9DF3D" w14:textId="77777777" w:rsidR="004974BC" w:rsidRDefault="004974BC">
    <w:pPr>
      <w:pStyle w:val="Footer"/>
    </w:pPr>
  </w:p>
  <w:p w14:paraId="58199F73" w14:textId="77777777" w:rsidR="00883C69" w:rsidRDefault="00883C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4B7C" w14:textId="69B18C95" w:rsidR="007A2681" w:rsidRPr="007A2681" w:rsidRDefault="00F03F0B" w:rsidP="00FD06CC">
    <w:pPr>
      <w:pStyle w:val="Footer"/>
      <w:rPr>
        <w:rFonts w:ascii="Palatino Linotype" w:hAnsi="Palatino Linotype"/>
        <w:sz w:val="24"/>
        <w:szCs w:val="24"/>
      </w:rPr>
    </w:pPr>
    <w:r w:rsidRPr="00F03F0B">
      <w:rPr>
        <w:rFonts w:ascii="Tahoma" w:hAnsi="Tahoma" w:cs="Tahoma"/>
        <w:sz w:val="20"/>
        <w:szCs w:val="20"/>
      </w:rPr>
      <w:t>520467960</w:t>
    </w:r>
    <w:r w:rsidR="00FD06CC" w:rsidRPr="00FD06CC">
      <w:rPr>
        <w:rFonts w:ascii="Palatino Linotype" w:hAnsi="Palatino Linotype"/>
        <w:sz w:val="24"/>
        <w:szCs w:val="24"/>
      </w:rPr>
      <w:t xml:space="preserve">  </w:t>
    </w:r>
    <w:r>
      <w:rPr>
        <w:rFonts w:ascii="Palatino Linotype" w:hAnsi="Palatino Linotype"/>
        <w:sz w:val="24"/>
        <w:szCs w:val="24"/>
      </w:rPr>
      <w:t xml:space="preserve"> </w:t>
    </w:r>
    <w:r w:rsidR="00FD06CC">
      <w:rPr>
        <w:rFonts w:ascii="Palatino Linotype" w:hAnsi="Palatino Linotype"/>
        <w:sz w:val="24"/>
        <w:szCs w:val="24"/>
      </w:rPr>
      <w:tab/>
    </w:r>
    <w:r w:rsidR="007A2681" w:rsidRPr="007A2681">
      <w:rPr>
        <w:rFonts w:ascii="Palatino Linotype" w:hAnsi="Palatino Linotype"/>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E18B4" w14:textId="77777777" w:rsidR="00E17E8A" w:rsidRDefault="00E17E8A" w:rsidP="00CA4AB6">
      <w:pPr>
        <w:spacing w:after="0" w:line="240" w:lineRule="auto"/>
      </w:pPr>
      <w:r>
        <w:separator/>
      </w:r>
    </w:p>
    <w:p w14:paraId="2516969F" w14:textId="77777777" w:rsidR="00E17E8A" w:rsidRDefault="00E17E8A"/>
  </w:footnote>
  <w:footnote w:type="continuationSeparator" w:id="0">
    <w:p w14:paraId="1B264C95" w14:textId="77777777" w:rsidR="00E17E8A" w:rsidRDefault="00E17E8A" w:rsidP="00CA4AB6">
      <w:pPr>
        <w:spacing w:after="0" w:line="240" w:lineRule="auto"/>
      </w:pPr>
      <w:r>
        <w:continuationSeparator/>
      </w:r>
    </w:p>
    <w:p w14:paraId="2754AAA6" w14:textId="77777777" w:rsidR="00E17E8A" w:rsidRDefault="00E17E8A"/>
  </w:footnote>
  <w:footnote w:type="continuationNotice" w:id="1">
    <w:p w14:paraId="4992524C" w14:textId="77777777" w:rsidR="00E17E8A" w:rsidRDefault="00E17E8A">
      <w:pPr>
        <w:spacing w:after="0" w:line="240" w:lineRule="auto"/>
      </w:pPr>
    </w:p>
    <w:p w14:paraId="0D6BF8C4" w14:textId="77777777" w:rsidR="00E17E8A" w:rsidRDefault="00E17E8A"/>
  </w:footnote>
  <w:footnote w:id="2">
    <w:p w14:paraId="7CCF845B" w14:textId="77777777" w:rsidR="002C77FA" w:rsidRPr="00EA3927" w:rsidRDefault="002C77FA" w:rsidP="002C77FA">
      <w:pPr>
        <w:pStyle w:val="FootnoteText"/>
        <w:jc w:val="both"/>
        <w:rPr>
          <w:rFonts w:ascii="Palatino Linotype" w:hAnsi="Palatino Linotype"/>
        </w:rPr>
      </w:pPr>
      <w:r w:rsidRPr="00EA3927">
        <w:rPr>
          <w:rStyle w:val="FootnoteReference"/>
          <w:rFonts w:ascii="Palatino Linotype" w:hAnsi="Palatino Linotype"/>
        </w:rPr>
        <w:footnoteRef/>
      </w:r>
      <w:r w:rsidRPr="00EA3927">
        <w:rPr>
          <w:rFonts w:ascii="Palatino Linotype" w:hAnsi="Palatino Linotype"/>
        </w:rPr>
        <w:t xml:space="preserve"> D.20-08-045 OP 16 </w:t>
      </w:r>
    </w:p>
  </w:footnote>
  <w:footnote w:id="3">
    <w:p w14:paraId="401590AB" w14:textId="77777777" w:rsidR="002C77FA" w:rsidRPr="00EA3927" w:rsidRDefault="002C77FA" w:rsidP="002C77FA">
      <w:pPr>
        <w:pStyle w:val="FootnoteText"/>
        <w:rPr>
          <w:rFonts w:ascii="Palatino Linotype" w:hAnsi="Palatino Linotype"/>
        </w:rPr>
      </w:pPr>
      <w:r w:rsidRPr="00EA3927">
        <w:rPr>
          <w:rStyle w:val="FootnoteReference"/>
          <w:rFonts w:ascii="Palatino Linotype" w:hAnsi="Palatino Linotype"/>
        </w:rPr>
        <w:footnoteRef/>
      </w:r>
      <w:r w:rsidRPr="00EA3927">
        <w:rPr>
          <w:rFonts w:ascii="Palatino Linotype" w:hAnsi="Palatino Linotype"/>
        </w:rPr>
        <w:t xml:space="preserve"> Pursuant to D.20-08-045 OP 6, SCE combined the AL filing requirements for OP 15 and OP 16.</w:t>
      </w:r>
    </w:p>
  </w:footnote>
  <w:footnote w:id="4">
    <w:p w14:paraId="165BC278" w14:textId="0F98EAB3" w:rsidR="002C77FA" w:rsidRPr="00A517F5" w:rsidRDefault="002C77FA" w:rsidP="002C77FA">
      <w:pPr>
        <w:pStyle w:val="FootnoteText"/>
        <w:rPr>
          <w:rFonts w:ascii="Palatino Linotype" w:hAnsi="Palatino Linotype"/>
        </w:rPr>
      </w:pPr>
      <w:r w:rsidRPr="00A517F5">
        <w:rPr>
          <w:rStyle w:val="FootnoteReference"/>
          <w:rFonts w:ascii="Palatino Linotype" w:hAnsi="Palatino Linotype"/>
        </w:rPr>
        <w:footnoteRef/>
      </w:r>
      <w:r w:rsidRPr="00A517F5">
        <w:rPr>
          <w:rFonts w:ascii="Palatino Linotype" w:hAnsi="Palatino Linotype"/>
        </w:rPr>
        <w:t xml:space="preserve"> D.20-08-045, page 56</w:t>
      </w:r>
      <w:r w:rsidR="002703B1" w:rsidRPr="00A517F5">
        <w:rPr>
          <w:rFonts w:ascii="Palatino Linotype" w:hAnsi="Palatino Linotype"/>
        </w:rPr>
        <w:t>: “</w:t>
      </w:r>
      <w:r w:rsidRPr="00A517F5">
        <w:rPr>
          <w:rFonts w:ascii="Palatino Linotype" w:hAnsi="Palatino Linotype"/>
        </w:rPr>
        <w:t>In sum, we determine that 22,000 ports, comprised of 10,200 MUD and 12,000 workplace/destination center is a reasonable size and investment for the Make-Ready Expansion program.</w:t>
      </w:r>
    </w:p>
  </w:footnote>
  <w:footnote w:id="5">
    <w:p w14:paraId="7CE2CB1D" w14:textId="1E0EB469" w:rsidR="00106CBA" w:rsidRDefault="00106CBA">
      <w:pPr>
        <w:pStyle w:val="FootnoteText"/>
      </w:pPr>
      <w:r>
        <w:rPr>
          <w:rStyle w:val="FootnoteReference"/>
        </w:rPr>
        <w:footnoteRef/>
      </w:r>
      <w:r>
        <w:t xml:space="preserve"> </w:t>
      </w:r>
      <w:r w:rsidR="00350013" w:rsidRPr="00432B70">
        <w:rPr>
          <w:rFonts w:ascii="Palatino Linotype" w:hAnsi="Palatino Linotype"/>
        </w:rPr>
        <w:t>Charge Ready demand response (DR) pilot examine</w:t>
      </w:r>
      <w:r w:rsidR="00577904">
        <w:rPr>
          <w:rFonts w:ascii="Palatino Linotype" w:hAnsi="Palatino Linotype"/>
        </w:rPr>
        <w:t>s</w:t>
      </w:r>
      <w:r w:rsidR="00350013" w:rsidRPr="00432B70">
        <w:rPr>
          <w:rFonts w:ascii="Palatino Linotype" w:hAnsi="Palatino Linotype"/>
        </w:rPr>
        <w:t xml:space="preserve"> charging behavior targeted toward workplaces, fleets, destination centers, and MUDS, approved in D.17-12-003.</w:t>
      </w:r>
    </w:p>
  </w:footnote>
  <w:footnote w:id="6">
    <w:p w14:paraId="1D1F7B1B" w14:textId="4AC09FDA" w:rsidR="000521C0" w:rsidRPr="00EA3927" w:rsidRDefault="000521C0">
      <w:pPr>
        <w:pStyle w:val="FootnoteText"/>
        <w:rPr>
          <w:rFonts w:ascii="Palatino Linotype" w:hAnsi="Palatino Linotype"/>
        </w:rPr>
      </w:pPr>
      <w:r w:rsidRPr="00EA3927">
        <w:rPr>
          <w:rStyle w:val="FootnoteReference"/>
          <w:rFonts w:ascii="Palatino Linotype" w:hAnsi="Palatino Linotype"/>
        </w:rPr>
        <w:footnoteRef/>
      </w:r>
      <w:r w:rsidRPr="00EA3927">
        <w:rPr>
          <w:rFonts w:ascii="Palatino Linotype" w:hAnsi="Palatino Linotype"/>
        </w:rPr>
        <w:t xml:space="preserve"> </w:t>
      </w:r>
      <w:r w:rsidR="00EA3927" w:rsidRPr="00EA3927">
        <w:rPr>
          <w:rFonts w:ascii="Palatino Linotype" w:hAnsi="Palatino Linotype"/>
        </w:rPr>
        <w:t xml:space="preserve">D.20-08-045 </w:t>
      </w:r>
      <w:r w:rsidR="00176069" w:rsidRPr="00EA3927">
        <w:rPr>
          <w:rFonts w:ascii="Palatino Linotype" w:hAnsi="Palatino Linotype"/>
        </w:rPr>
        <w:t>The TE Advisory Services will serve business customers adopting light-, medium-, or heavy-duty EVs or those providing EV charging services to their constituents (tenants, employees, visitors, customers, or fleets). The TE Advisory Board is comprised of customers and industry stakeholders who provide input, guidance, and suggestions on the execution and ongoing improvement of the CR2 portfolio.</w:t>
      </w:r>
    </w:p>
  </w:footnote>
  <w:footnote w:id="7">
    <w:p w14:paraId="594040F8" w14:textId="74EEF9D8" w:rsidR="002C77FA" w:rsidRPr="00EC455B" w:rsidRDefault="002C77FA" w:rsidP="002C77FA">
      <w:pPr>
        <w:pStyle w:val="FootnoteText"/>
        <w:rPr>
          <w:rFonts w:ascii="Palatino Linotype" w:hAnsi="Palatino Linotype"/>
        </w:rPr>
      </w:pPr>
      <w:r w:rsidRPr="00EC455B">
        <w:rPr>
          <w:rStyle w:val="FootnoteReference"/>
          <w:rFonts w:ascii="Palatino Linotype" w:hAnsi="Palatino Linotype"/>
        </w:rPr>
        <w:footnoteRef/>
      </w:r>
      <w:r w:rsidRPr="00EC455B">
        <w:rPr>
          <w:rFonts w:ascii="Palatino Linotype" w:hAnsi="Palatino Linotype"/>
        </w:rPr>
        <w:t xml:space="preserve"> D.20-08-045</w:t>
      </w:r>
      <w:r w:rsidR="000376ED">
        <w:rPr>
          <w:rFonts w:ascii="Palatino Linotype" w:hAnsi="Palatino Linotype"/>
        </w:rPr>
        <w:t>, page 16</w:t>
      </w:r>
    </w:p>
  </w:footnote>
  <w:footnote w:id="8">
    <w:p w14:paraId="1FFCC71D" w14:textId="78BFFD39" w:rsidR="00E05C69" w:rsidRDefault="00E05C69">
      <w:pPr>
        <w:pStyle w:val="FootnoteText"/>
      </w:pPr>
      <w:r>
        <w:rPr>
          <w:rStyle w:val="FootnoteReference"/>
        </w:rPr>
        <w:footnoteRef/>
      </w:r>
      <w:r>
        <w:t xml:space="preserve"> D.18-05-040, page 7</w:t>
      </w:r>
    </w:p>
  </w:footnote>
  <w:footnote w:id="9">
    <w:p w14:paraId="510F34F9" w14:textId="77777777" w:rsidR="00184353" w:rsidRPr="00EC455B" w:rsidRDefault="00184353" w:rsidP="00184353">
      <w:pPr>
        <w:pStyle w:val="FootnoteText"/>
        <w:rPr>
          <w:rFonts w:ascii="Palatino Linotype" w:hAnsi="Palatino Linotype"/>
        </w:rPr>
      </w:pPr>
      <w:r w:rsidRPr="00EC455B">
        <w:rPr>
          <w:rStyle w:val="FootnoteReference"/>
          <w:rFonts w:ascii="Palatino Linotype" w:hAnsi="Palatino Linotype"/>
        </w:rPr>
        <w:footnoteRef/>
      </w:r>
      <w:r w:rsidRPr="00EC455B">
        <w:rPr>
          <w:rFonts w:ascii="Palatino Linotype" w:hAnsi="Palatino Linotype"/>
        </w:rPr>
        <w:t xml:space="preserve"> D.20-08-045 OP 5</w:t>
      </w:r>
    </w:p>
  </w:footnote>
  <w:footnote w:id="10">
    <w:p w14:paraId="4F702812" w14:textId="77777777" w:rsidR="00184353" w:rsidRPr="00EC455B" w:rsidRDefault="00184353" w:rsidP="00184353">
      <w:pPr>
        <w:pStyle w:val="FootnoteText"/>
        <w:rPr>
          <w:rFonts w:ascii="Palatino Linotype" w:hAnsi="Palatino Linotype"/>
        </w:rPr>
      </w:pPr>
      <w:r w:rsidRPr="00EC455B">
        <w:rPr>
          <w:rStyle w:val="FootnoteReference"/>
          <w:rFonts w:ascii="Palatino Linotype" w:hAnsi="Palatino Linotype"/>
        </w:rPr>
        <w:footnoteRef/>
      </w:r>
      <w:r w:rsidRPr="00EC455B">
        <w:rPr>
          <w:rFonts w:ascii="Palatino Linotype" w:hAnsi="Palatino Linotype"/>
        </w:rPr>
        <w:t xml:space="preserve"> D.20-08-045 OP 25</w:t>
      </w:r>
    </w:p>
  </w:footnote>
  <w:footnote w:id="11">
    <w:p w14:paraId="57DA4F1F" w14:textId="7B12A342" w:rsidR="003429A1" w:rsidRPr="00EC455B" w:rsidRDefault="003429A1">
      <w:pPr>
        <w:pStyle w:val="FootnoteText"/>
        <w:rPr>
          <w:rFonts w:ascii="Palatino Linotype" w:hAnsi="Palatino Linotype"/>
        </w:rPr>
      </w:pPr>
      <w:r w:rsidRPr="00EC455B">
        <w:rPr>
          <w:rStyle w:val="FootnoteReference"/>
          <w:rFonts w:ascii="Palatino Linotype" w:hAnsi="Palatino Linotype"/>
        </w:rPr>
        <w:footnoteRef/>
      </w:r>
      <w:r w:rsidR="00EC455B">
        <w:rPr>
          <w:rFonts w:ascii="Palatino Linotype" w:hAnsi="Palatino Linotype"/>
        </w:rPr>
        <w:t xml:space="preserve"> </w:t>
      </w:r>
      <w:r w:rsidR="00A17491" w:rsidRPr="00EC455B">
        <w:rPr>
          <w:rFonts w:ascii="Palatino Linotype" w:hAnsi="Palatino Linotype"/>
        </w:rPr>
        <w:t>D.20-08-045</w:t>
      </w:r>
      <w:r w:rsidR="004501CA" w:rsidRPr="00EC455B">
        <w:rPr>
          <w:rFonts w:ascii="Palatino Linotype" w:hAnsi="Palatino Linotype"/>
        </w:rPr>
        <w:t xml:space="preserve">, </w:t>
      </w:r>
      <w:proofErr w:type="spellStart"/>
      <w:r w:rsidR="004501CA" w:rsidRPr="00EC455B">
        <w:rPr>
          <w:rFonts w:ascii="Palatino Linotype" w:hAnsi="Palatino Linotype"/>
        </w:rPr>
        <w:t>CoL</w:t>
      </w:r>
      <w:proofErr w:type="spellEnd"/>
      <w:r w:rsidR="004501CA" w:rsidRPr="00EC455B">
        <w:rPr>
          <w:rFonts w:ascii="Palatino Linotype" w:hAnsi="Palatino Linotype"/>
        </w:rPr>
        <w:t xml:space="preserve"> 19</w:t>
      </w:r>
    </w:p>
  </w:footnote>
  <w:footnote w:id="12">
    <w:p w14:paraId="415C1CA9" w14:textId="13720695" w:rsidR="00007FA0" w:rsidRPr="00EA3927" w:rsidRDefault="00007FA0">
      <w:pPr>
        <w:pStyle w:val="FootnoteText"/>
        <w:rPr>
          <w:rFonts w:ascii="Palatino Linotype" w:hAnsi="Palatino Linotype"/>
        </w:rPr>
      </w:pPr>
      <w:r w:rsidRPr="00EC455B">
        <w:rPr>
          <w:rStyle w:val="FootnoteReference"/>
          <w:rFonts w:ascii="Palatino Linotype" w:hAnsi="Palatino Linotype"/>
        </w:rPr>
        <w:footnoteRef/>
      </w:r>
      <w:r w:rsidRPr="00EC455B">
        <w:rPr>
          <w:rFonts w:ascii="Palatino Linotype" w:hAnsi="Palatino Linotype"/>
        </w:rPr>
        <w:t xml:space="preserve"> </w:t>
      </w:r>
      <w:r w:rsidR="00487E5A" w:rsidRPr="00EC455B">
        <w:rPr>
          <w:rFonts w:ascii="Palatino Linotype" w:hAnsi="Palatino Linotype"/>
        </w:rPr>
        <w:t>D.</w:t>
      </w:r>
      <w:r w:rsidR="007056FA" w:rsidRPr="00EC455B">
        <w:rPr>
          <w:rFonts w:ascii="Palatino Linotype" w:hAnsi="Palatino Linotype"/>
        </w:rPr>
        <w:t>20-08-045</w:t>
      </w:r>
      <w:r w:rsidR="005A0DCE" w:rsidRPr="00EC455B">
        <w:rPr>
          <w:rFonts w:ascii="Palatino Linotype" w:hAnsi="Palatino Linotype"/>
        </w:rPr>
        <w:t xml:space="preserve"> Section 4.5.8 DCFC</w:t>
      </w:r>
    </w:p>
  </w:footnote>
  <w:footnote w:id="13">
    <w:p w14:paraId="5C722BA2" w14:textId="72F0C578" w:rsidR="0060776C" w:rsidRDefault="0060776C">
      <w:pPr>
        <w:pStyle w:val="FootnoteText"/>
      </w:pPr>
      <w:r w:rsidRPr="00EA3927">
        <w:rPr>
          <w:rStyle w:val="FootnoteReference"/>
          <w:rFonts w:ascii="Palatino Linotype" w:hAnsi="Palatino Linotype"/>
        </w:rPr>
        <w:footnoteRef/>
      </w:r>
      <w:r w:rsidRPr="00EA3927">
        <w:rPr>
          <w:rFonts w:ascii="Palatino Linotype" w:hAnsi="Palatino Linotype"/>
        </w:rPr>
        <w:t xml:space="preserve"> </w:t>
      </w:r>
      <w:r w:rsidR="0066160F" w:rsidRPr="00EA3927">
        <w:rPr>
          <w:rFonts w:ascii="Palatino Linotype" w:hAnsi="Palatino Linotype"/>
        </w:rPr>
        <w:t>D.20-08-045 Section 4.5.5 Rebate Levels</w:t>
      </w:r>
    </w:p>
  </w:footnote>
  <w:footnote w:id="14">
    <w:p w14:paraId="4AFE31BE" w14:textId="6D5EF0E1" w:rsidR="00AC29E1" w:rsidRPr="00252545" w:rsidRDefault="00AC29E1">
      <w:pPr>
        <w:pStyle w:val="FootnoteText"/>
        <w:rPr>
          <w:rFonts w:ascii="Palatino Linotype" w:hAnsi="Palatino Linotype"/>
        </w:rPr>
      </w:pPr>
      <w:r w:rsidRPr="00252545">
        <w:rPr>
          <w:rStyle w:val="FootnoteReference"/>
          <w:rFonts w:ascii="Palatino Linotype" w:hAnsi="Palatino Linotype"/>
        </w:rPr>
        <w:footnoteRef/>
      </w:r>
      <w:r w:rsidRPr="00252545">
        <w:rPr>
          <w:rFonts w:ascii="Palatino Linotype" w:hAnsi="Palatino Linotype"/>
        </w:rPr>
        <w:t xml:space="preserve"> </w:t>
      </w:r>
      <w:r w:rsidR="00252545" w:rsidRPr="00252545">
        <w:rPr>
          <w:rFonts w:ascii="Palatino Linotype" w:hAnsi="Palatino Linotype"/>
        </w:rPr>
        <w:t>Longer than two hours</w:t>
      </w:r>
    </w:p>
  </w:footnote>
  <w:footnote w:id="15">
    <w:p w14:paraId="07CCB9BB" w14:textId="77777777" w:rsidR="00875CCD" w:rsidRPr="00EA3927" w:rsidRDefault="00875CCD" w:rsidP="00875CCD">
      <w:pPr>
        <w:pStyle w:val="FootnoteText"/>
        <w:rPr>
          <w:rFonts w:ascii="Palatino Linotype" w:hAnsi="Palatino Linotype"/>
        </w:rPr>
      </w:pPr>
      <w:r w:rsidRPr="00EA3927">
        <w:rPr>
          <w:rStyle w:val="FootnoteReference"/>
          <w:rFonts w:ascii="Palatino Linotype" w:hAnsi="Palatino Linotype"/>
        </w:rPr>
        <w:footnoteRef/>
      </w:r>
      <w:r w:rsidRPr="00EA3927">
        <w:rPr>
          <w:rFonts w:ascii="Palatino Linotype" w:hAnsi="Palatino Linotype"/>
        </w:rPr>
        <w:t xml:space="preserve"> D.20-08-045 OP 25</w:t>
      </w:r>
    </w:p>
  </w:footnote>
  <w:footnote w:id="16">
    <w:p w14:paraId="11AB3348" w14:textId="49641D27" w:rsidR="002C77FA" w:rsidRPr="00EA3927" w:rsidRDefault="002C77FA" w:rsidP="002C77FA">
      <w:pPr>
        <w:pStyle w:val="FootnoteText"/>
        <w:rPr>
          <w:rFonts w:ascii="Palatino Linotype" w:hAnsi="Palatino Linotype"/>
        </w:rPr>
      </w:pPr>
      <w:r w:rsidRPr="00EA3927">
        <w:rPr>
          <w:rStyle w:val="FootnoteReference"/>
          <w:rFonts w:ascii="Palatino Linotype" w:hAnsi="Palatino Linotype"/>
        </w:rPr>
        <w:footnoteRef/>
      </w:r>
      <w:r w:rsidRPr="00EA3927">
        <w:rPr>
          <w:rFonts w:ascii="Palatino Linotype" w:hAnsi="Palatino Linotype"/>
        </w:rPr>
        <w:t xml:space="preserve"> AL 4433-E</w:t>
      </w:r>
      <w:r w:rsidR="000D2911">
        <w:rPr>
          <w:rFonts w:ascii="Palatino Linotype" w:hAnsi="Palatino Linotype"/>
        </w:rPr>
        <w:t>-A</w:t>
      </w:r>
      <w:r w:rsidRPr="00EA3927">
        <w:rPr>
          <w:rFonts w:ascii="Palatino Linotype" w:hAnsi="Palatino Linotype"/>
        </w:rPr>
        <w:t xml:space="preserve"> p.3 </w:t>
      </w:r>
    </w:p>
  </w:footnote>
  <w:footnote w:id="17">
    <w:p w14:paraId="6FDB0CA6" w14:textId="3F6F82DB" w:rsidR="002C77FA" w:rsidRPr="00EA3927" w:rsidRDefault="002C77FA" w:rsidP="002C77FA">
      <w:pPr>
        <w:pStyle w:val="FootnoteText"/>
        <w:rPr>
          <w:rFonts w:ascii="Palatino Linotype" w:hAnsi="Palatino Linotype"/>
        </w:rPr>
      </w:pPr>
      <w:r w:rsidRPr="00EA3927">
        <w:rPr>
          <w:rStyle w:val="FootnoteReference"/>
          <w:rFonts w:ascii="Palatino Linotype" w:hAnsi="Palatino Linotype"/>
        </w:rPr>
        <w:footnoteRef/>
      </w:r>
      <w:r w:rsidRPr="00EA3927">
        <w:rPr>
          <w:rFonts w:ascii="Palatino Linotype" w:hAnsi="Palatino Linotype"/>
        </w:rPr>
        <w:t xml:space="preserve"> D.20-08-045, </w:t>
      </w:r>
      <w:r w:rsidR="001C2164">
        <w:rPr>
          <w:rFonts w:ascii="Palatino Linotype" w:hAnsi="Palatino Linotype"/>
        </w:rPr>
        <w:t>p.84</w:t>
      </w:r>
      <w:r w:rsidRPr="00EA3927">
        <w:rPr>
          <w:rFonts w:ascii="Palatino Linotype" w:hAnsi="Palatino Linotype"/>
        </w:rPr>
        <w:t xml:space="preserve"> </w:t>
      </w:r>
    </w:p>
  </w:footnote>
  <w:footnote w:id="18">
    <w:p w14:paraId="11830C73" w14:textId="644E23DB" w:rsidR="002C77FA" w:rsidRPr="00EA3927" w:rsidRDefault="002C77FA" w:rsidP="002C77FA">
      <w:pPr>
        <w:pStyle w:val="FootnoteText"/>
        <w:rPr>
          <w:rFonts w:ascii="Palatino Linotype" w:hAnsi="Palatino Linotype"/>
        </w:rPr>
      </w:pPr>
      <w:r w:rsidRPr="00EA3927">
        <w:rPr>
          <w:rStyle w:val="FootnoteReference"/>
          <w:rFonts w:ascii="Palatino Linotype" w:hAnsi="Palatino Linotype"/>
        </w:rPr>
        <w:footnoteRef/>
      </w:r>
      <w:r w:rsidRPr="00EA3927">
        <w:rPr>
          <w:rFonts w:ascii="Palatino Linotype" w:hAnsi="Palatino Linotype"/>
        </w:rPr>
        <w:t xml:space="preserve"> 3.2 MUD Building Size, </w:t>
      </w:r>
      <w:hyperlink r:id="rId1" w:history="1">
        <w:r w:rsidRPr="00EA3927">
          <w:rPr>
            <w:rStyle w:val="Hyperlink"/>
            <w:rFonts w:ascii="Palatino Linotype" w:hAnsi="Palatino Linotype"/>
          </w:rPr>
          <w:t>An-Electric-Vehicle-Charging-Station-Siting-Strategy-for-the-South-Coast (ucla.edu)</w:t>
        </w:r>
      </w:hyperlink>
    </w:p>
  </w:footnote>
  <w:footnote w:id="19">
    <w:p w14:paraId="1ECACF04" w14:textId="77777777" w:rsidR="007E580F" w:rsidRDefault="007E580F" w:rsidP="007E580F">
      <w:pPr>
        <w:pStyle w:val="FootnoteText"/>
      </w:pPr>
      <w:r w:rsidRPr="00EA3927">
        <w:rPr>
          <w:rStyle w:val="FootnoteReference"/>
          <w:rFonts w:ascii="Palatino Linotype" w:hAnsi="Palatino Linotype"/>
        </w:rPr>
        <w:footnoteRef/>
      </w:r>
      <w:r w:rsidRPr="00EA3927">
        <w:rPr>
          <w:rFonts w:ascii="Palatino Linotype" w:hAnsi="Palatino Linotype"/>
        </w:rPr>
        <w:t xml:space="preserve"> Evaluation D.20-08-045 p.126</w:t>
      </w:r>
    </w:p>
  </w:footnote>
  <w:footnote w:id="20">
    <w:p w14:paraId="59C0B354" w14:textId="33FBE313" w:rsidR="002C77FA" w:rsidRDefault="002C77FA" w:rsidP="002C77FA">
      <w:pPr>
        <w:pStyle w:val="FootnoteText"/>
      </w:pPr>
      <w:r w:rsidRPr="00EA3927">
        <w:rPr>
          <w:rStyle w:val="FootnoteReference"/>
          <w:rFonts w:ascii="Palatino Linotype" w:hAnsi="Palatino Linotype"/>
        </w:rPr>
        <w:footnoteRef/>
      </w:r>
      <w:r w:rsidRPr="00EA3927">
        <w:rPr>
          <w:rFonts w:ascii="Palatino Linotype" w:hAnsi="Palatino Linotype"/>
        </w:rPr>
        <w:t xml:space="preserve"> D.20-08-045, </w:t>
      </w:r>
      <w:r w:rsidR="002730A5">
        <w:rPr>
          <w:rFonts w:ascii="Palatino Linotype" w:hAnsi="Palatino Linotype"/>
        </w:rPr>
        <w:t>p. 85-86</w:t>
      </w:r>
      <w:r w:rsidR="00004274">
        <w:rPr>
          <w:rFonts w:ascii="Palatino Linotype" w:hAnsi="Palatino Linotype"/>
        </w:rPr>
        <w:t xml:space="preserve"> and </w:t>
      </w:r>
      <w:proofErr w:type="spellStart"/>
      <w:r w:rsidR="00004274">
        <w:rPr>
          <w:rFonts w:ascii="Palatino Linotype" w:hAnsi="Palatino Linotype"/>
        </w:rPr>
        <w:t>CoL</w:t>
      </w:r>
      <w:proofErr w:type="spellEnd"/>
      <w:r w:rsidR="00004274">
        <w:rPr>
          <w:rFonts w:ascii="Palatino Linotype" w:hAnsi="Palatino Linotype"/>
        </w:rPr>
        <w:t xml:space="preserve"> 19</w:t>
      </w:r>
    </w:p>
  </w:footnote>
  <w:footnote w:id="21">
    <w:p w14:paraId="38198959" w14:textId="5DEF5D60" w:rsidR="00BB59A4" w:rsidRDefault="00BB59A4">
      <w:pPr>
        <w:pStyle w:val="FootnoteText"/>
      </w:pPr>
      <w:r>
        <w:rPr>
          <w:rStyle w:val="FootnoteReference"/>
        </w:rPr>
        <w:footnoteRef/>
      </w:r>
      <w:r>
        <w:t xml:space="preserve"> Less than two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F4342" w14:textId="33DBB53D" w:rsidR="00C93EDE" w:rsidRPr="0003738D" w:rsidRDefault="74B9B830" w:rsidP="007A2681">
    <w:pPr>
      <w:pStyle w:val="Header"/>
      <w:tabs>
        <w:tab w:val="left" w:pos="2964"/>
      </w:tabs>
      <w:rPr>
        <w:rFonts w:ascii="Palatino Linotype" w:hAnsi="Palatino Linotype"/>
        <w:sz w:val="24"/>
        <w:szCs w:val="24"/>
      </w:rPr>
    </w:pPr>
    <w:r w:rsidRPr="74B9B830">
      <w:rPr>
        <w:rFonts w:ascii="Palatino Linotype" w:hAnsi="Palatino Linotype"/>
        <w:sz w:val="24"/>
        <w:szCs w:val="24"/>
      </w:rPr>
      <w:t>Resolution E-5290</w:t>
    </w:r>
    <w:r w:rsidR="00C93EDE">
      <w:tab/>
    </w:r>
    <w:r w:rsidR="00C93EDE">
      <w:tab/>
    </w:r>
    <w:r w:rsidRPr="74B9B830">
      <w:rPr>
        <w:rFonts w:ascii="Palatino Linotype" w:hAnsi="Palatino Linotype"/>
        <w:sz w:val="24"/>
        <w:szCs w:val="24"/>
      </w:rPr>
      <w:t>DRAFT</w:t>
    </w:r>
    <w:r w:rsidR="00C93EDE">
      <w:tab/>
    </w:r>
    <w:r w:rsidRPr="74B9B830">
      <w:rPr>
        <w:rFonts w:ascii="Palatino Linotype" w:hAnsi="Palatino Linotype"/>
        <w:sz w:val="24"/>
        <w:szCs w:val="24"/>
      </w:rPr>
      <w:t>November 2, 2023</w:t>
    </w:r>
  </w:p>
  <w:p w14:paraId="5A87E55A" w14:textId="34D01697" w:rsidR="004000C5" w:rsidRDefault="00C93EDE">
    <w:pPr>
      <w:pStyle w:val="Header"/>
      <w:rPr>
        <w:rFonts w:ascii="Palatino Linotype" w:hAnsi="Palatino Linotype"/>
        <w:sz w:val="24"/>
        <w:szCs w:val="24"/>
      </w:rPr>
    </w:pPr>
    <w:r>
      <w:rPr>
        <w:rFonts w:ascii="Palatino Linotype" w:hAnsi="Palatino Linotype"/>
        <w:sz w:val="24"/>
        <w:szCs w:val="24"/>
      </w:rPr>
      <w:t>SCE AL 4</w:t>
    </w:r>
    <w:r w:rsidR="00C671BF">
      <w:rPr>
        <w:rFonts w:ascii="Palatino Linotype" w:hAnsi="Palatino Linotype"/>
        <w:sz w:val="24"/>
        <w:szCs w:val="24"/>
      </w:rPr>
      <w:t>433</w:t>
    </w:r>
    <w:r w:rsidR="004000C5">
      <w:rPr>
        <w:rFonts w:ascii="Palatino Linotype" w:hAnsi="Palatino Linotype"/>
        <w:sz w:val="24"/>
        <w:szCs w:val="24"/>
      </w:rPr>
      <w:t>-</w:t>
    </w:r>
    <w:r w:rsidR="00CC60E7">
      <w:rPr>
        <w:rFonts w:ascii="Palatino Linotype" w:hAnsi="Palatino Linotype"/>
        <w:sz w:val="24"/>
        <w:szCs w:val="24"/>
      </w:rPr>
      <w:t>E</w:t>
    </w:r>
    <w:r w:rsidR="006E59A5">
      <w:rPr>
        <w:rFonts w:ascii="Palatino Linotype" w:hAnsi="Palatino Linotype"/>
        <w:sz w:val="24"/>
        <w:szCs w:val="24"/>
      </w:rPr>
      <w:t xml:space="preserve"> </w:t>
    </w:r>
    <w:r w:rsidR="002B238F">
      <w:rPr>
        <w:rFonts w:ascii="Palatino Linotype" w:hAnsi="Palatino Linotype"/>
        <w:sz w:val="24"/>
        <w:szCs w:val="24"/>
      </w:rPr>
      <w:t>/</w:t>
    </w:r>
    <w:r w:rsidR="003B145C">
      <w:rPr>
        <w:rFonts w:ascii="Palatino Linotype" w:hAnsi="Palatino Linotype"/>
        <w:sz w:val="24"/>
        <w:szCs w:val="24"/>
      </w:rPr>
      <w:t>KPR</w:t>
    </w:r>
  </w:p>
  <w:p w14:paraId="0E0AC629" w14:textId="77777777" w:rsidR="002B238F" w:rsidRPr="004000C5" w:rsidRDefault="002B238F">
    <w:pPr>
      <w:pStyle w:val="Header"/>
      <w:rPr>
        <w:rFonts w:ascii="Palatino Linotype" w:hAnsi="Palatino Linotype"/>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E497" w14:textId="37FEBD35" w:rsidR="007A2681" w:rsidRPr="007A2681" w:rsidRDefault="007A2681" w:rsidP="007A2681">
    <w:pPr>
      <w:pStyle w:val="Header"/>
      <w:jc w:val="center"/>
      <w:rPr>
        <w:rFonts w:ascii="Palatino Linotype" w:hAnsi="Palatino Linotype"/>
        <w:sz w:val="24"/>
        <w:szCs w:val="24"/>
      </w:rPr>
    </w:pPr>
    <w:r w:rsidRPr="007A2681">
      <w:rPr>
        <w:rFonts w:ascii="Palatino Linotype" w:hAnsi="Palatino Linotype"/>
        <w:sz w:val="24"/>
        <w:szCs w:val="24"/>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33A"/>
    <w:multiLevelType w:val="hybridMultilevel"/>
    <w:tmpl w:val="D494D79A"/>
    <w:lvl w:ilvl="0" w:tplc="34D2B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D77A0"/>
    <w:multiLevelType w:val="hybridMultilevel"/>
    <w:tmpl w:val="2FD8D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C0397"/>
    <w:multiLevelType w:val="hybridMultilevel"/>
    <w:tmpl w:val="5B5EAEBA"/>
    <w:lvl w:ilvl="0" w:tplc="C7AC8CE2">
      <w:start w:val="1"/>
      <w:numFmt w:val="decimal"/>
      <w:lvlText w:val="%1."/>
      <w:lvlJc w:val="left"/>
      <w:pPr>
        <w:ind w:left="360" w:hanging="360"/>
      </w:pPr>
      <w:rPr>
        <w:rFonts w:hint="default"/>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B43379"/>
    <w:multiLevelType w:val="hybridMultilevel"/>
    <w:tmpl w:val="B0925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14515C"/>
    <w:multiLevelType w:val="hybridMultilevel"/>
    <w:tmpl w:val="EC7C187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F6818DF"/>
    <w:multiLevelType w:val="multilevel"/>
    <w:tmpl w:val="7188C9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01DDD63"/>
    <w:multiLevelType w:val="hybridMultilevel"/>
    <w:tmpl w:val="7AAA4990"/>
    <w:lvl w:ilvl="0" w:tplc="87068190">
      <w:start w:val="1"/>
      <w:numFmt w:val="decimal"/>
      <w:lvlText w:val="%1."/>
      <w:lvlJc w:val="left"/>
      <w:pPr>
        <w:ind w:left="360" w:hanging="360"/>
      </w:pPr>
    </w:lvl>
    <w:lvl w:ilvl="1" w:tplc="D34E1580">
      <w:start w:val="1"/>
      <w:numFmt w:val="lowerLetter"/>
      <w:lvlText w:val="%2."/>
      <w:lvlJc w:val="left"/>
      <w:pPr>
        <w:ind w:left="1080" w:hanging="360"/>
      </w:pPr>
    </w:lvl>
    <w:lvl w:ilvl="2" w:tplc="1B7E1B80">
      <w:start w:val="1"/>
      <w:numFmt w:val="lowerRoman"/>
      <w:lvlText w:val="%3."/>
      <w:lvlJc w:val="right"/>
      <w:pPr>
        <w:ind w:left="1800" w:hanging="180"/>
      </w:pPr>
    </w:lvl>
    <w:lvl w:ilvl="3" w:tplc="4BC66EDE">
      <w:start w:val="1"/>
      <w:numFmt w:val="decimal"/>
      <w:lvlText w:val="%4."/>
      <w:lvlJc w:val="left"/>
      <w:pPr>
        <w:ind w:left="2520" w:hanging="360"/>
      </w:pPr>
    </w:lvl>
    <w:lvl w:ilvl="4" w:tplc="97AC0924">
      <w:start w:val="1"/>
      <w:numFmt w:val="lowerLetter"/>
      <w:lvlText w:val="%5."/>
      <w:lvlJc w:val="left"/>
      <w:pPr>
        <w:ind w:left="3240" w:hanging="360"/>
      </w:pPr>
    </w:lvl>
    <w:lvl w:ilvl="5" w:tplc="F0A0AD4A">
      <w:start w:val="1"/>
      <w:numFmt w:val="lowerRoman"/>
      <w:lvlText w:val="%6."/>
      <w:lvlJc w:val="right"/>
      <w:pPr>
        <w:ind w:left="3960" w:hanging="180"/>
      </w:pPr>
    </w:lvl>
    <w:lvl w:ilvl="6" w:tplc="75500960">
      <w:start w:val="1"/>
      <w:numFmt w:val="decimal"/>
      <w:lvlText w:val="%7."/>
      <w:lvlJc w:val="left"/>
      <w:pPr>
        <w:ind w:left="4680" w:hanging="360"/>
      </w:pPr>
    </w:lvl>
    <w:lvl w:ilvl="7" w:tplc="260E2B6A">
      <w:start w:val="1"/>
      <w:numFmt w:val="lowerLetter"/>
      <w:lvlText w:val="%8."/>
      <w:lvlJc w:val="left"/>
      <w:pPr>
        <w:ind w:left="5400" w:hanging="360"/>
      </w:pPr>
    </w:lvl>
    <w:lvl w:ilvl="8" w:tplc="0518AFB8">
      <w:start w:val="1"/>
      <w:numFmt w:val="lowerRoman"/>
      <w:lvlText w:val="%9."/>
      <w:lvlJc w:val="right"/>
      <w:pPr>
        <w:ind w:left="6120" w:hanging="180"/>
      </w:pPr>
    </w:lvl>
  </w:abstractNum>
  <w:abstractNum w:abstractNumId="7" w15:restartNumberingAfterBreak="0">
    <w:nsid w:val="26F0776F"/>
    <w:multiLevelType w:val="multilevel"/>
    <w:tmpl w:val="4FAAA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DE51BA"/>
    <w:multiLevelType w:val="hybridMultilevel"/>
    <w:tmpl w:val="13A03D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175D8D"/>
    <w:multiLevelType w:val="hybridMultilevel"/>
    <w:tmpl w:val="C66CAD46"/>
    <w:lvl w:ilvl="0" w:tplc="FC226B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6263E"/>
    <w:multiLevelType w:val="hybridMultilevel"/>
    <w:tmpl w:val="83E44C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536426"/>
    <w:multiLevelType w:val="hybridMultilevel"/>
    <w:tmpl w:val="77848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93EFF"/>
    <w:multiLevelType w:val="hybridMultilevel"/>
    <w:tmpl w:val="D1868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761396"/>
    <w:multiLevelType w:val="hybridMultilevel"/>
    <w:tmpl w:val="2A88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25B4C"/>
    <w:multiLevelType w:val="hybridMultilevel"/>
    <w:tmpl w:val="975E63CE"/>
    <w:lvl w:ilvl="0" w:tplc="CC6E258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F0131C"/>
    <w:multiLevelType w:val="hybridMultilevel"/>
    <w:tmpl w:val="4D2C24E2"/>
    <w:lvl w:ilvl="0" w:tplc="D186A8AC">
      <w:start w:val="5"/>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CC04E5"/>
    <w:multiLevelType w:val="hybridMultilevel"/>
    <w:tmpl w:val="4024144A"/>
    <w:lvl w:ilvl="0" w:tplc="623E41F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BF1976"/>
    <w:multiLevelType w:val="hybridMultilevel"/>
    <w:tmpl w:val="EFD0935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C9714DE"/>
    <w:multiLevelType w:val="hybridMultilevel"/>
    <w:tmpl w:val="D0749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380A38"/>
    <w:multiLevelType w:val="hybridMultilevel"/>
    <w:tmpl w:val="D4E87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566334"/>
    <w:multiLevelType w:val="hybridMultilevel"/>
    <w:tmpl w:val="67DA7100"/>
    <w:lvl w:ilvl="0" w:tplc="04090005">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1" w15:restartNumberingAfterBreak="0">
    <w:nsid w:val="5D747D46"/>
    <w:multiLevelType w:val="hybridMultilevel"/>
    <w:tmpl w:val="B5D65D82"/>
    <w:lvl w:ilvl="0" w:tplc="D2968214">
      <w:start w:val="1"/>
      <w:numFmt w:val="upp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DA4202"/>
    <w:multiLevelType w:val="hybridMultilevel"/>
    <w:tmpl w:val="7BEC8F28"/>
    <w:lvl w:ilvl="0" w:tplc="89201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6A3C4"/>
    <w:multiLevelType w:val="hybridMultilevel"/>
    <w:tmpl w:val="FFFFFFFF"/>
    <w:lvl w:ilvl="0" w:tplc="31B43D1A">
      <w:start w:val="1"/>
      <w:numFmt w:val="upperLetter"/>
      <w:lvlText w:val="%1."/>
      <w:lvlJc w:val="left"/>
      <w:pPr>
        <w:ind w:left="720" w:hanging="360"/>
      </w:pPr>
    </w:lvl>
    <w:lvl w:ilvl="1" w:tplc="9CA85422">
      <w:start w:val="1"/>
      <w:numFmt w:val="lowerLetter"/>
      <w:lvlText w:val="%2."/>
      <w:lvlJc w:val="left"/>
      <w:pPr>
        <w:ind w:left="1440" w:hanging="360"/>
      </w:pPr>
    </w:lvl>
    <w:lvl w:ilvl="2" w:tplc="2B7A4CF4">
      <w:start w:val="1"/>
      <w:numFmt w:val="lowerRoman"/>
      <w:lvlText w:val="%3."/>
      <w:lvlJc w:val="right"/>
      <w:pPr>
        <w:ind w:left="2160" w:hanging="180"/>
      </w:pPr>
    </w:lvl>
    <w:lvl w:ilvl="3" w:tplc="856A99BC">
      <w:start w:val="1"/>
      <w:numFmt w:val="decimal"/>
      <w:lvlText w:val="%4."/>
      <w:lvlJc w:val="left"/>
      <w:pPr>
        <w:ind w:left="2880" w:hanging="360"/>
      </w:pPr>
    </w:lvl>
    <w:lvl w:ilvl="4" w:tplc="3F5CFE5A">
      <w:start w:val="1"/>
      <w:numFmt w:val="lowerLetter"/>
      <w:lvlText w:val="%5."/>
      <w:lvlJc w:val="left"/>
      <w:pPr>
        <w:ind w:left="3600" w:hanging="360"/>
      </w:pPr>
    </w:lvl>
    <w:lvl w:ilvl="5" w:tplc="8FD6AB98">
      <w:start w:val="1"/>
      <w:numFmt w:val="lowerRoman"/>
      <w:lvlText w:val="%6."/>
      <w:lvlJc w:val="right"/>
      <w:pPr>
        <w:ind w:left="4320" w:hanging="180"/>
      </w:pPr>
    </w:lvl>
    <w:lvl w:ilvl="6" w:tplc="7ED2B442">
      <w:start w:val="1"/>
      <w:numFmt w:val="decimal"/>
      <w:lvlText w:val="%7."/>
      <w:lvlJc w:val="left"/>
      <w:pPr>
        <w:ind w:left="5040" w:hanging="360"/>
      </w:pPr>
    </w:lvl>
    <w:lvl w:ilvl="7" w:tplc="ED78D840">
      <w:start w:val="1"/>
      <w:numFmt w:val="lowerLetter"/>
      <w:lvlText w:val="%8."/>
      <w:lvlJc w:val="left"/>
      <w:pPr>
        <w:ind w:left="5760" w:hanging="360"/>
      </w:pPr>
    </w:lvl>
    <w:lvl w:ilvl="8" w:tplc="BD32B244">
      <w:start w:val="1"/>
      <w:numFmt w:val="lowerRoman"/>
      <w:lvlText w:val="%9."/>
      <w:lvlJc w:val="right"/>
      <w:pPr>
        <w:ind w:left="6480" w:hanging="180"/>
      </w:pPr>
    </w:lvl>
  </w:abstractNum>
  <w:abstractNum w:abstractNumId="24" w15:restartNumberingAfterBreak="0">
    <w:nsid w:val="61AFC7B3"/>
    <w:multiLevelType w:val="hybridMultilevel"/>
    <w:tmpl w:val="B80C1960"/>
    <w:lvl w:ilvl="0" w:tplc="CE2046E8">
      <w:start w:val="1"/>
      <w:numFmt w:val="upperLetter"/>
      <w:lvlText w:val="%1."/>
      <w:lvlJc w:val="left"/>
      <w:pPr>
        <w:ind w:left="720" w:hanging="360"/>
      </w:pPr>
    </w:lvl>
    <w:lvl w:ilvl="1" w:tplc="C980DFA4">
      <w:start w:val="1"/>
      <w:numFmt w:val="lowerLetter"/>
      <w:lvlText w:val="%2."/>
      <w:lvlJc w:val="left"/>
      <w:pPr>
        <w:ind w:left="1440" w:hanging="360"/>
      </w:pPr>
    </w:lvl>
    <w:lvl w:ilvl="2" w:tplc="3E940F42">
      <w:start w:val="1"/>
      <w:numFmt w:val="lowerRoman"/>
      <w:lvlText w:val="%3."/>
      <w:lvlJc w:val="right"/>
      <w:pPr>
        <w:ind w:left="2160" w:hanging="180"/>
      </w:pPr>
    </w:lvl>
    <w:lvl w:ilvl="3" w:tplc="BBFE7DC8">
      <w:start w:val="1"/>
      <w:numFmt w:val="decimal"/>
      <w:lvlText w:val="%4."/>
      <w:lvlJc w:val="left"/>
      <w:pPr>
        <w:ind w:left="2880" w:hanging="360"/>
      </w:pPr>
    </w:lvl>
    <w:lvl w:ilvl="4" w:tplc="E50454F6">
      <w:start w:val="1"/>
      <w:numFmt w:val="lowerLetter"/>
      <w:lvlText w:val="%5."/>
      <w:lvlJc w:val="left"/>
      <w:pPr>
        <w:ind w:left="3600" w:hanging="360"/>
      </w:pPr>
    </w:lvl>
    <w:lvl w:ilvl="5" w:tplc="CECE4824">
      <w:start w:val="1"/>
      <w:numFmt w:val="lowerRoman"/>
      <w:lvlText w:val="%6."/>
      <w:lvlJc w:val="right"/>
      <w:pPr>
        <w:ind w:left="4320" w:hanging="180"/>
      </w:pPr>
    </w:lvl>
    <w:lvl w:ilvl="6" w:tplc="D9869B5E">
      <w:start w:val="1"/>
      <w:numFmt w:val="decimal"/>
      <w:lvlText w:val="%7."/>
      <w:lvlJc w:val="left"/>
      <w:pPr>
        <w:ind w:left="5040" w:hanging="360"/>
      </w:pPr>
    </w:lvl>
    <w:lvl w:ilvl="7" w:tplc="FA12210C">
      <w:start w:val="1"/>
      <w:numFmt w:val="lowerLetter"/>
      <w:lvlText w:val="%8."/>
      <w:lvlJc w:val="left"/>
      <w:pPr>
        <w:ind w:left="5760" w:hanging="360"/>
      </w:pPr>
    </w:lvl>
    <w:lvl w:ilvl="8" w:tplc="1E74B386">
      <w:start w:val="1"/>
      <w:numFmt w:val="lowerRoman"/>
      <w:lvlText w:val="%9."/>
      <w:lvlJc w:val="right"/>
      <w:pPr>
        <w:ind w:left="6480" w:hanging="180"/>
      </w:pPr>
    </w:lvl>
  </w:abstractNum>
  <w:abstractNum w:abstractNumId="25" w15:restartNumberingAfterBreak="0">
    <w:nsid w:val="65C5111A"/>
    <w:multiLevelType w:val="hybridMultilevel"/>
    <w:tmpl w:val="8EC4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CB36E6"/>
    <w:multiLevelType w:val="hybridMultilevel"/>
    <w:tmpl w:val="9EAEFBDC"/>
    <w:lvl w:ilvl="0" w:tplc="623E41F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F4F64"/>
    <w:multiLevelType w:val="hybridMultilevel"/>
    <w:tmpl w:val="EFD0935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94270B"/>
    <w:multiLevelType w:val="multilevel"/>
    <w:tmpl w:val="F61A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238683"/>
    <w:multiLevelType w:val="hybridMultilevel"/>
    <w:tmpl w:val="8CC4C742"/>
    <w:lvl w:ilvl="0" w:tplc="AC1E734E">
      <w:start w:val="1"/>
      <w:numFmt w:val="bullet"/>
      <w:lvlText w:val=""/>
      <w:lvlJc w:val="left"/>
      <w:pPr>
        <w:ind w:left="720" w:hanging="360"/>
      </w:pPr>
      <w:rPr>
        <w:rFonts w:ascii="Symbol" w:hAnsi="Symbol" w:hint="default"/>
      </w:rPr>
    </w:lvl>
    <w:lvl w:ilvl="1" w:tplc="D564EEDA">
      <w:start w:val="1"/>
      <w:numFmt w:val="bullet"/>
      <w:lvlText w:val="o"/>
      <w:lvlJc w:val="left"/>
      <w:pPr>
        <w:ind w:left="1440" w:hanging="360"/>
      </w:pPr>
      <w:rPr>
        <w:rFonts w:ascii="Courier New" w:hAnsi="Courier New" w:hint="default"/>
      </w:rPr>
    </w:lvl>
    <w:lvl w:ilvl="2" w:tplc="C5DAD462">
      <w:start w:val="1"/>
      <w:numFmt w:val="bullet"/>
      <w:lvlText w:val=""/>
      <w:lvlJc w:val="left"/>
      <w:pPr>
        <w:ind w:left="2160" w:hanging="360"/>
      </w:pPr>
      <w:rPr>
        <w:rFonts w:ascii="Wingdings" w:hAnsi="Wingdings" w:hint="default"/>
      </w:rPr>
    </w:lvl>
    <w:lvl w:ilvl="3" w:tplc="476A3A92">
      <w:start w:val="1"/>
      <w:numFmt w:val="bullet"/>
      <w:lvlText w:val=""/>
      <w:lvlJc w:val="left"/>
      <w:pPr>
        <w:ind w:left="2880" w:hanging="360"/>
      </w:pPr>
      <w:rPr>
        <w:rFonts w:ascii="Symbol" w:hAnsi="Symbol" w:hint="default"/>
      </w:rPr>
    </w:lvl>
    <w:lvl w:ilvl="4" w:tplc="4D066220">
      <w:start w:val="1"/>
      <w:numFmt w:val="bullet"/>
      <w:lvlText w:val="o"/>
      <w:lvlJc w:val="left"/>
      <w:pPr>
        <w:ind w:left="3600" w:hanging="360"/>
      </w:pPr>
      <w:rPr>
        <w:rFonts w:ascii="Courier New" w:hAnsi="Courier New" w:hint="default"/>
      </w:rPr>
    </w:lvl>
    <w:lvl w:ilvl="5" w:tplc="FC96B308">
      <w:start w:val="1"/>
      <w:numFmt w:val="bullet"/>
      <w:lvlText w:val=""/>
      <w:lvlJc w:val="left"/>
      <w:pPr>
        <w:ind w:left="4320" w:hanging="360"/>
      </w:pPr>
      <w:rPr>
        <w:rFonts w:ascii="Wingdings" w:hAnsi="Wingdings" w:hint="default"/>
      </w:rPr>
    </w:lvl>
    <w:lvl w:ilvl="6" w:tplc="F1282AA4">
      <w:start w:val="1"/>
      <w:numFmt w:val="bullet"/>
      <w:lvlText w:val=""/>
      <w:lvlJc w:val="left"/>
      <w:pPr>
        <w:ind w:left="5040" w:hanging="360"/>
      </w:pPr>
      <w:rPr>
        <w:rFonts w:ascii="Symbol" w:hAnsi="Symbol" w:hint="default"/>
      </w:rPr>
    </w:lvl>
    <w:lvl w:ilvl="7" w:tplc="5DEC85DA">
      <w:start w:val="1"/>
      <w:numFmt w:val="bullet"/>
      <w:lvlText w:val="o"/>
      <w:lvlJc w:val="left"/>
      <w:pPr>
        <w:ind w:left="5760" w:hanging="360"/>
      </w:pPr>
      <w:rPr>
        <w:rFonts w:ascii="Courier New" w:hAnsi="Courier New" w:hint="default"/>
      </w:rPr>
    </w:lvl>
    <w:lvl w:ilvl="8" w:tplc="898E8004">
      <w:start w:val="1"/>
      <w:numFmt w:val="bullet"/>
      <w:lvlText w:val=""/>
      <w:lvlJc w:val="left"/>
      <w:pPr>
        <w:ind w:left="6480" w:hanging="360"/>
      </w:pPr>
      <w:rPr>
        <w:rFonts w:ascii="Wingdings" w:hAnsi="Wingdings" w:hint="default"/>
      </w:rPr>
    </w:lvl>
  </w:abstractNum>
  <w:abstractNum w:abstractNumId="30" w15:restartNumberingAfterBreak="0">
    <w:nsid w:val="7F6A58F0"/>
    <w:multiLevelType w:val="multilevel"/>
    <w:tmpl w:val="7188C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7916278">
    <w:abstractNumId w:val="23"/>
  </w:num>
  <w:num w:numId="2" w16cid:durableId="820119919">
    <w:abstractNumId w:val="24"/>
  </w:num>
  <w:num w:numId="3" w16cid:durableId="422914818">
    <w:abstractNumId w:val="6"/>
  </w:num>
  <w:num w:numId="4" w16cid:durableId="1135224129">
    <w:abstractNumId w:val="29"/>
  </w:num>
  <w:num w:numId="5" w16cid:durableId="1490368826">
    <w:abstractNumId w:val="20"/>
  </w:num>
  <w:num w:numId="6" w16cid:durableId="2004966654">
    <w:abstractNumId w:val="8"/>
  </w:num>
  <w:num w:numId="7" w16cid:durableId="2056542867">
    <w:abstractNumId w:val="2"/>
  </w:num>
  <w:num w:numId="8" w16cid:durableId="15211297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3283613">
    <w:abstractNumId w:val="15"/>
  </w:num>
  <w:num w:numId="10" w16cid:durableId="1763574116">
    <w:abstractNumId w:val="11"/>
  </w:num>
  <w:num w:numId="11" w16cid:durableId="207838134">
    <w:abstractNumId w:val="14"/>
  </w:num>
  <w:num w:numId="12" w16cid:durableId="1206597898">
    <w:abstractNumId w:val="1"/>
  </w:num>
  <w:num w:numId="13" w16cid:durableId="1626154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24155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5410806">
    <w:abstractNumId w:val="4"/>
  </w:num>
  <w:num w:numId="16" w16cid:durableId="919632174">
    <w:abstractNumId w:val="13"/>
  </w:num>
  <w:num w:numId="17" w16cid:durableId="2129279490">
    <w:abstractNumId w:val="27"/>
  </w:num>
  <w:num w:numId="18" w16cid:durableId="114451215">
    <w:abstractNumId w:val="28"/>
  </w:num>
  <w:num w:numId="19" w16cid:durableId="1975862694">
    <w:abstractNumId w:val="9"/>
  </w:num>
  <w:num w:numId="20" w16cid:durableId="1993363106">
    <w:abstractNumId w:val="26"/>
  </w:num>
  <w:num w:numId="21" w16cid:durableId="1084032480">
    <w:abstractNumId w:val="10"/>
  </w:num>
  <w:num w:numId="22" w16cid:durableId="700283146">
    <w:abstractNumId w:val="21"/>
  </w:num>
  <w:num w:numId="23" w16cid:durableId="448548766">
    <w:abstractNumId w:val="16"/>
  </w:num>
  <w:num w:numId="24" w16cid:durableId="672415536">
    <w:abstractNumId w:val="18"/>
  </w:num>
  <w:num w:numId="25" w16cid:durableId="2001226800">
    <w:abstractNumId w:val="17"/>
  </w:num>
  <w:num w:numId="26" w16cid:durableId="284820233">
    <w:abstractNumId w:val="30"/>
  </w:num>
  <w:num w:numId="27" w16cid:durableId="1537037308">
    <w:abstractNumId w:val="22"/>
  </w:num>
  <w:num w:numId="28" w16cid:durableId="1034502802">
    <w:abstractNumId w:val="0"/>
  </w:num>
  <w:num w:numId="29" w16cid:durableId="760881473">
    <w:abstractNumId w:val="7"/>
  </w:num>
  <w:num w:numId="30" w16cid:durableId="1774746661">
    <w:abstractNumId w:val="5"/>
  </w:num>
  <w:num w:numId="31" w16cid:durableId="58486163">
    <w:abstractNumId w:val="25"/>
  </w:num>
  <w:num w:numId="32" w16cid:durableId="80007945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activeWritingStyle w:lang="en-US" w:vendorID="64" w:dllVersion="0" w:nlCheck="1" w:checkStyle="0" w:appName="MSWord"/>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7"/>
    <w:rsid w:val="0000005A"/>
    <w:rsid w:val="00000BF0"/>
    <w:rsid w:val="00000D1A"/>
    <w:rsid w:val="00000EA3"/>
    <w:rsid w:val="000012DA"/>
    <w:rsid w:val="000014EA"/>
    <w:rsid w:val="00001655"/>
    <w:rsid w:val="00001B2A"/>
    <w:rsid w:val="0000209A"/>
    <w:rsid w:val="0000292C"/>
    <w:rsid w:val="0000298B"/>
    <w:rsid w:val="00002C7E"/>
    <w:rsid w:val="00003446"/>
    <w:rsid w:val="000038DB"/>
    <w:rsid w:val="000040B4"/>
    <w:rsid w:val="00004274"/>
    <w:rsid w:val="0000474D"/>
    <w:rsid w:val="000047A4"/>
    <w:rsid w:val="00004960"/>
    <w:rsid w:val="000049F3"/>
    <w:rsid w:val="00004A37"/>
    <w:rsid w:val="00004B53"/>
    <w:rsid w:val="0000517D"/>
    <w:rsid w:val="00005806"/>
    <w:rsid w:val="00005C66"/>
    <w:rsid w:val="00005C67"/>
    <w:rsid w:val="00005DFD"/>
    <w:rsid w:val="0000637B"/>
    <w:rsid w:val="00007053"/>
    <w:rsid w:val="00007268"/>
    <w:rsid w:val="000072F9"/>
    <w:rsid w:val="000077BA"/>
    <w:rsid w:val="0000787B"/>
    <w:rsid w:val="00007A7C"/>
    <w:rsid w:val="00007F27"/>
    <w:rsid w:val="00007FA0"/>
    <w:rsid w:val="000100A8"/>
    <w:rsid w:val="0001017D"/>
    <w:rsid w:val="0001047E"/>
    <w:rsid w:val="000104A3"/>
    <w:rsid w:val="00010802"/>
    <w:rsid w:val="00010DD7"/>
    <w:rsid w:val="00010ED4"/>
    <w:rsid w:val="000110AD"/>
    <w:rsid w:val="00011359"/>
    <w:rsid w:val="000115D3"/>
    <w:rsid w:val="00012538"/>
    <w:rsid w:val="000125FD"/>
    <w:rsid w:val="000128F8"/>
    <w:rsid w:val="000133D1"/>
    <w:rsid w:val="00013756"/>
    <w:rsid w:val="00014AB4"/>
    <w:rsid w:val="00014BE4"/>
    <w:rsid w:val="00014F75"/>
    <w:rsid w:val="00014FD8"/>
    <w:rsid w:val="00014FE5"/>
    <w:rsid w:val="00014FF5"/>
    <w:rsid w:val="000150CF"/>
    <w:rsid w:val="00015B30"/>
    <w:rsid w:val="00015C04"/>
    <w:rsid w:val="00015D82"/>
    <w:rsid w:val="00016201"/>
    <w:rsid w:val="00016DBA"/>
    <w:rsid w:val="00017274"/>
    <w:rsid w:val="000174D9"/>
    <w:rsid w:val="000174F2"/>
    <w:rsid w:val="00017E8D"/>
    <w:rsid w:val="00017F58"/>
    <w:rsid w:val="00020355"/>
    <w:rsid w:val="000203C4"/>
    <w:rsid w:val="000203D5"/>
    <w:rsid w:val="000206AE"/>
    <w:rsid w:val="00020B06"/>
    <w:rsid w:val="00020DE9"/>
    <w:rsid w:val="000211C8"/>
    <w:rsid w:val="00021473"/>
    <w:rsid w:val="0002198F"/>
    <w:rsid w:val="00021D83"/>
    <w:rsid w:val="00021E7F"/>
    <w:rsid w:val="0002293B"/>
    <w:rsid w:val="00022CE7"/>
    <w:rsid w:val="00022E90"/>
    <w:rsid w:val="00022F1A"/>
    <w:rsid w:val="00023840"/>
    <w:rsid w:val="00023877"/>
    <w:rsid w:val="000241B0"/>
    <w:rsid w:val="00025370"/>
    <w:rsid w:val="00025982"/>
    <w:rsid w:val="00025BCB"/>
    <w:rsid w:val="00025BCE"/>
    <w:rsid w:val="00025C49"/>
    <w:rsid w:val="00025CAF"/>
    <w:rsid w:val="0002632A"/>
    <w:rsid w:val="00026A6A"/>
    <w:rsid w:val="000272D5"/>
    <w:rsid w:val="000273B5"/>
    <w:rsid w:val="000277BD"/>
    <w:rsid w:val="00027F30"/>
    <w:rsid w:val="0003005B"/>
    <w:rsid w:val="00030453"/>
    <w:rsid w:val="00030835"/>
    <w:rsid w:val="00031027"/>
    <w:rsid w:val="000314EC"/>
    <w:rsid w:val="00031754"/>
    <w:rsid w:val="00031800"/>
    <w:rsid w:val="000318B8"/>
    <w:rsid w:val="00031B44"/>
    <w:rsid w:val="00031F2D"/>
    <w:rsid w:val="00031FF9"/>
    <w:rsid w:val="0003206F"/>
    <w:rsid w:val="00032BCB"/>
    <w:rsid w:val="00032D71"/>
    <w:rsid w:val="00033148"/>
    <w:rsid w:val="0003399F"/>
    <w:rsid w:val="00033A4C"/>
    <w:rsid w:val="00033F5A"/>
    <w:rsid w:val="0003420B"/>
    <w:rsid w:val="00034311"/>
    <w:rsid w:val="000343B4"/>
    <w:rsid w:val="000344F6"/>
    <w:rsid w:val="00034584"/>
    <w:rsid w:val="000347D7"/>
    <w:rsid w:val="00034900"/>
    <w:rsid w:val="000351DF"/>
    <w:rsid w:val="000353F5"/>
    <w:rsid w:val="000356BD"/>
    <w:rsid w:val="00035792"/>
    <w:rsid w:val="00035875"/>
    <w:rsid w:val="00036386"/>
    <w:rsid w:val="00036B35"/>
    <w:rsid w:val="0003738D"/>
    <w:rsid w:val="000376ED"/>
    <w:rsid w:val="00037F4C"/>
    <w:rsid w:val="00040796"/>
    <w:rsid w:val="00040F85"/>
    <w:rsid w:val="0004125D"/>
    <w:rsid w:val="0004136C"/>
    <w:rsid w:val="000413AB"/>
    <w:rsid w:val="000414A8"/>
    <w:rsid w:val="000419AD"/>
    <w:rsid w:val="00041D16"/>
    <w:rsid w:val="00042221"/>
    <w:rsid w:val="000426C7"/>
    <w:rsid w:val="00042B72"/>
    <w:rsid w:val="00042C2A"/>
    <w:rsid w:val="00042C41"/>
    <w:rsid w:val="00043155"/>
    <w:rsid w:val="000434F2"/>
    <w:rsid w:val="000444FF"/>
    <w:rsid w:val="000448C8"/>
    <w:rsid w:val="00044A2B"/>
    <w:rsid w:val="00044AC5"/>
    <w:rsid w:val="00044AF1"/>
    <w:rsid w:val="00044DAE"/>
    <w:rsid w:val="00044E67"/>
    <w:rsid w:val="00044FE7"/>
    <w:rsid w:val="0004523B"/>
    <w:rsid w:val="00045C4A"/>
    <w:rsid w:val="00046CFD"/>
    <w:rsid w:val="00046D4D"/>
    <w:rsid w:val="00046D7B"/>
    <w:rsid w:val="00046FA6"/>
    <w:rsid w:val="000473D0"/>
    <w:rsid w:val="000473DF"/>
    <w:rsid w:val="000473E1"/>
    <w:rsid w:val="000475B9"/>
    <w:rsid w:val="000475FB"/>
    <w:rsid w:val="00047B6A"/>
    <w:rsid w:val="00047B91"/>
    <w:rsid w:val="00047CA8"/>
    <w:rsid w:val="00047D10"/>
    <w:rsid w:val="0005007F"/>
    <w:rsid w:val="0005048F"/>
    <w:rsid w:val="0005095F"/>
    <w:rsid w:val="00050F0A"/>
    <w:rsid w:val="00051112"/>
    <w:rsid w:val="00051772"/>
    <w:rsid w:val="00051C25"/>
    <w:rsid w:val="00051DA7"/>
    <w:rsid w:val="00051EC6"/>
    <w:rsid w:val="000521C0"/>
    <w:rsid w:val="000525DD"/>
    <w:rsid w:val="000529C2"/>
    <w:rsid w:val="00052A0B"/>
    <w:rsid w:val="00052B16"/>
    <w:rsid w:val="000533CF"/>
    <w:rsid w:val="00053849"/>
    <w:rsid w:val="00053955"/>
    <w:rsid w:val="00053BB0"/>
    <w:rsid w:val="00053BF9"/>
    <w:rsid w:val="00054066"/>
    <w:rsid w:val="000540D8"/>
    <w:rsid w:val="000541D0"/>
    <w:rsid w:val="00054449"/>
    <w:rsid w:val="00054488"/>
    <w:rsid w:val="00054912"/>
    <w:rsid w:val="00054A40"/>
    <w:rsid w:val="00054DAC"/>
    <w:rsid w:val="000551AE"/>
    <w:rsid w:val="00055879"/>
    <w:rsid w:val="00055ED9"/>
    <w:rsid w:val="000562D4"/>
    <w:rsid w:val="0005674F"/>
    <w:rsid w:val="00056803"/>
    <w:rsid w:val="000568C1"/>
    <w:rsid w:val="00056B42"/>
    <w:rsid w:val="000572CC"/>
    <w:rsid w:val="000576B6"/>
    <w:rsid w:val="00057714"/>
    <w:rsid w:val="00057815"/>
    <w:rsid w:val="000578D1"/>
    <w:rsid w:val="00057A74"/>
    <w:rsid w:val="00057C7F"/>
    <w:rsid w:val="00057CEC"/>
    <w:rsid w:val="00057FC2"/>
    <w:rsid w:val="0006010A"/>
    <w:rsid w:val="00060191"/>
    <w:rsid w:val="000604B6"/>
    <w:rsid w:val="00060620"/>
    <w:rsid w:val="00061292"/>
    <w:rsid w:val="00061564"/>
    <w:rsid w:val="00061A30"/>
    <w:rsid w:val="00061E8D"/>
    <w:rsid w:val="00062157"/>
    <w:rsid w:val="00062933"/>
    <w:rsid w:val="00062B08"/>
    <w:rsid w:val="00062C5C"/>
    <w:rsid w:val="00062DA2"/>
    <w:rsid w:val="00062F8A"/>
    <w:rsid w:val="00063E46"/>
    <w:rsid w:val="000641EE"/>
    <w:rsid w:val="00064635"/>
    <w:rsid w:val="000649FF"/>
    <w:rsid w:val="00065576"/>
    <w:rsid w:val="00065F42"/>
    <w:rsid w:val="0006616D"/>
    <w:rsid w:val="000662E3"/>
    <w:rsid w:val="00066470"/>
    <w:rsid w:val="00066A6E"/>
    <w:rsid w:val="00066E65"/>
    <w:rsid w:val="000671CB"/>
    <w:rsid w:val="000671D3"/>
    <w:rsid w:val="00067622"/>
    <w:rsid w:val="00067CEF"/>
    <w:rsid w:val="00070060"/>
    <w:rsid w:val="00070094"/>
    <w:rsid w:val="000703BF"/>
    <w:rsid w:val="00070DCB"/>
    <w:rsid w:val="00070E3B"/>
    <w:rsid w:val="00070F92"/>
    <w:rsid w:val="00071060"/>
    <w:rsid w:val="00071314"/>
    <w:rsid w:val="000727DC"/>
    <w:rsid w:val="00072809"/>
    <w:rsid w:val="00072C9A"/>
    <w:rsid w:val="00072E26"/>
    <w:rsid w:val="00073029"/>
    <w:rsid w:val="00073279"/>
    <w:rsid w:val="000733A6"/>
    <w:rsid w:val="00073478"/>
    <w:rsid w:val="000738BF"/>
    <w:rsid w:val="00073B4D"/>
    <w:rsid w:val="000741AC"/>
    <w:rsid w:val="00074309"/>
    <w:rsid w:val="000745F1"/>
    <w:rsid w:val="000749D9"/>
    <w:rsid w:val="00074B2E"/>
    <w:rsid w:val="00074D10"/>
    <w:rsid w:val="00074D96"/>
    <w:rsid w:val="0007509D"/>
    <w:rsid w:val="00075580"/>
    <w:rsid w:val="0007605F"/>
    <w:rsid w:val="0007614B"/>
    <w:rsid w:val="000764FD"/>
    <w:rsid w:val="000768C0"/>
    <w:rsid w:val="000768D6"/>
    <w:rsid w:val="00076F16"/>
    <w:rsid w:val="0007755E"/>
    <w:rsid w:val="00077A2C"/>
    <w:rsid w:val="00077D03"/>
    <w:rsid w:val="00077EAD"/>
    <w:rsid w:val="00080127"/>
    <w:rsid w:val="000805C7"/>
    <w:rsid w:val="0008076F"/>
    <w:rsid w:val="00080985"/>
    <w:rsid w:val="000809C7"/>
    <w:rsid w:val="00080BA1"/>
    <w:rsid w:val="00080BF5"/>
    <w:rsid w:val="000812AA"/>
    <w:rsid w:val="00081368"/>
    <w:rsid w:val="00081768"/>
    <w:rsid w:val="000817C3"/>
    <w:rsid w:val="00081BBC"/>
    <w:rsid w:val="00081BE9"/>
    <w:rsid w:val="00082626"/>
    <w:rsid w:val="00082DA8"/>
    <w:rsid w:val="00082FB0"/>
    <w:rsid w:val="00082FDC"/>
    <w:rsid w:val="00083112"/>
    <w:rsid w:val="000831F6"/>
    <w:rsid w:val="0008333C"/>
    <w:rsid w:val="00083713"/>
    <w:rsid w:val="0008400E"/>
    <w:rsid w:val="000840E9"/>
    <w:rsid w:val="00084E17"/>
    <w:rsid w:val="00085AE0"/>
    <w:rsid w:val="00085B3F"/>
    <w:rsid w:val="000861BF"/>
    <w:rsid w:val="00086242"/>
    <w:rsid w:val="0008641A"/>
    <w:rsid w:val="0008646F"/>
    <w:rsid w:val="000864E8"/>
    <w:rsid w:val="00086803"/>
    <w:rsid w:val="0008687D"/>
    <w:rsid w:val="00086CD2"/>
    <w:rsid w:val="00086F05"/>
    <w:rsid w:val="00086FA1"/>
    <w:rsid w:val="000875A8"/>
    <w:rsid w:val="000878E3"/>
    <w:rsid w:val="00087B09"/>
    <w:rsid w:val="00087F93"/>
    <w:rsid w:val="000902EE"/>
    <w:rsid w:val="0009045A"/>
    <w:rsid w:val="00090E06"/>
    <w:rsid w:val="00091064"/>
    <w:rsid w:val="0009173B"/>
    <w:rsid w:val="0009180C"/>
    <w:rsid w:val="000919AD"/>
    <w:rsid w:val="00092AF1"/>
    <w:rsid w:val="00092C0C"/>
    <w:rsid w:val="00092E2F"/>
    <w:rsid w:val="0009316B"/>
    <w:rsid w:val="000931CF"/>
    <w:rsid w:val="00093390"/>
    <w:rsid w:val="00093441"/>
    <w:rsid w:val="00093538"/>
    <w:rsid w:val="000939B2"/>
    <w:rsid w:val="00093C50"/>
    <w:rsid w:val="00093DA9"/>
    <w:rsid w:val="00093E66"/>
    <w:rsid w:val="00093FD0"/>
    <w:rsid w:val="00094063"/>
    <w:rsid w:val="00094412"/>
    <w:rsid w:val="00094A09"/>
    <w:rsid w:val="00094F67"/>
    <w:rsid w:val="00095536"/>
    <w:rsid w:val="000958B9"/>
    <w:rsid w:val="00095960"/>
    <w:rsid w:val="00095984"/>
    <w:rsid w:val="00096434"/>
    <w:rsid w:val="00096684"/>
    <w:rsid w:val="00096711"/>
    <w:rsid w:val="00096718"/>
    <w:rsid w:val="00096976"/>
    <w:rsid w:val="000969B5"/>
    <w:rsid w:val="000969F7"/>
    <w:rsid w:val="00096A1F"/>
    <w:rsid w:val="00096ADC"/>
    <w:rsid w:val="00096B09"/>
    <w:rsid w:val="00096ECA"/>
    <w:rsid w:val="00096FC1"/>
    <w:rsid w:val="0009700A"/>
    <w:rsid w:val="0009707F"/>
    <w:rsid w:val="0009754F"/>
    <w:rsid w:val="000978A0"/>
    <w:rsid w:val="000A0204"/>
    <w:rsid w:val="000A04E9"/>
    <w:rsid w:val="000A07D7"/>
    <w:rsid w:val="000A0C6A"/>
    <w:rsid w:val="000A0C6C"/>
    <w:rsid w:val="000A160C"/>
    <w:rsid w:val="000A16DF"/>
    <w:rsid w:val="000A18D9"/>
    <w:rsid w:val="000A1D5A"/>
    <w:rsid w:val="000A1DA2"/>
    <w:rsid w:val="000A20BD"/>
    <w:rsid w:val="000A24E4"/>
    <w:rsid w:val="000A299C"/>
    <w:rsid w:val="000A2B8A"/>
    <w:rsid w:val="000A2FB3"/>
    <w:rsid w:val="000A3612"/>
    <w:rsid w:val="000A3829"/>
    <w:rsid w:val="000A3854"/>
    <w:rsid w:val="000A399F"/>
    <w:rsid w:val="000A3B84"/>
    <w:rsid w:val="000A41E2"/>
    <w:rsid w:val="000A4D3B"/>
    <w:rsid w:val="000A557A"/>
    <w:rsid w:val="000A55E9"/>
    <w:rsid w:val="000A5695"/>
    <w:rsid w:val="000A5958"/>
    <w:rsid w:val="000A5B86"/>
    <w:rsid w:val="000A5C66"/>
    <w:rsid w:val="000A5EEF"/>
    <w:rsid w:val="000A61FA"/>
    <w:rsid w:val="000A65F6"/>
    <w:rsid w:val="000A6636"/>
    <w:rsid w:val="000A68E7"/>
    <w:rsid w:val="000A6ACD"/>
    <w:rsid w:val="000A6DB8"/>
    <w:rsid w:val="000A7121"/>
    <w:rsid w:val="000A71CA"/>
    <w:rsid w:val="000B001A"/>
    <w:rsid w:val="000B00F9"/>
    <w:rsid w:val="000B0618"/>
    <w:rsid w:val="000B079D"/>
    <w:rsid w:val="000B0BFE"/>
    <w:rsid w:val="000B0D29"/>
    <w:rsid w:val="000B11B9"/>
    <w:rsid w:val="000B1332"/>
    <w:rsid w:val="000B1406"/>
    <w:rsid w:val="000B15DC"/>
    <w:rsid w:val="000B1CAB"/>
    <w:rsid w:val="000B281E"/>
    <w:rsid w:val="000B2B1D"/>
    <w:rsid w:val="000B2F09"/>
    <w:rsid w:val="000B33F1"/>
    <w:rsid w:val="000B3458"/>
    <w:rsid w:val="000B3620"/>
    <w:rsid w:val="000B36DD"/>
    <w:rsid w:val="000B37AF"/>
    <w:rsid w:val="000B390B"/>
    <w:rsid w:val="000B44D2"/>
    <w:rsid w:val="000B453A"/>
    <w:rsid w:val="000B4C9A"/>
    <w:rsid w:val="000B5506"/>
    <w:rsid w:val="000B5665"/>
    <w:rsid w:val="000B5837"/>
    <w:rsid w:val="000B5CCB"/>
    <w:rsid w:val="000B5E04"/>
    <w:rsid w:val="000B5F89"/>
    <w:rsid w:val="000B61D6"/>
    <w:rsid w:val="000B61F3"/>
    <w:rsid w:val="000B6652"/>
    <w:rsid w:val="000B68DA"/>
    <w:rsid w:val="000B6DC0"/>
    <w:rsid w:val="000B70B9"/>
    <w:rsid w:val="000B74C3"/>
    <w:rsid w:val="000B794B"/>
    <w:rsid w:val="000B798B"/>
    <w:rsid w:val="000B79BD"/>
    <w:rsid w:val="000C02A8"/>
    <w:rsid w:val="000C0446"/>
    <w:rsid w:val="000C04BC"/>
    <w:rsid w:val="000C05EE"/>
    <w:rsid w:val="000C0A41"/>
    <w:rsid w:val="000C0F06"/>
    <w:rsid w:val="000C1179"/>
    <w:rsid w:val="000C185A"/>
    <w:rsid w:val="000C18E3"/>
    <w:rsid w:val="000C1F38"/>
    <w:rsid w:val="000C27C9"/>
    <w:rsid w:val="000C2AB3"/>
    <w:rsid w:val="000C2B50"/>
    <w:rsid w:val="000C2E64"/>
    <w:rsid w:val="000C2F25"/>
    <w:rsid w:val="000C323E"/>
    <w:rsid w:val="000C3318"/>
    <w:rsid w:val="000C3684"/>
    <w:rsid w:val="000C380A"/>
    <w:rsid w:val="000C3BA9"/>
    <w:rsid w:val="000C3C13"/>
    <w:rsid w:val="000C4748"/>
    <w:rsid w:val="000C4825"/>
    <w:rsid w:val="000C4BFF"/>
    <w:rsid w:val="000C4FDE"/>
    <w:rsid w:val="000C544F"/>
    <w:rsid w:val="000C5955"/>
    <w:rsid w:val="000C5BED"/>
    <w:rsid w:val="000C5D43"/>
    <w:rsid w:val="000C6276"/>
    <w:rsid w:val="000C65E7"/>
    <w:rsid w:val="000C6A90"/>
    <w:rsid w:val="000C7114"/>
    <w:rsid w:val="000C7243"/>
    <w:rsid w:val="000C766D"/>
    <w:rsid w:val="000C7884"/>
    <w:rsid w:val="000C794D"/>
    <w:rsid w:val="000C7B4D"/>
    <w:rsid w:val="000C7BCF"/>
    <w:rsid w:val="000D0156"/>
    <w:rsid w:val="000D023C"/>
    <w:rsid w:val="000D03D8"/>
    <w:rsid w:val="000D03F5"/>
    <w:rsid w:val="000D0827"/>
    <w:rsid w:val="000D0AFF"/>
    <w:rsid w:val="000D10A9"/>
    <w:rsid w:val="000D117C"/>
    <w:rsid w:val="000D127C"/>
    <w:rsid w:val="000D12F8"/>
    <w:rsid w:val="000D194F"/>
    <w:rsid w:val="000D20EB"/>
    <w:rsid w:val="000D26AD"/>
    <w:rsid w:val="000D276B"/>
    <w:rsid w:val="000D2911"/>
    <w:rsid w:val="000D2E7D"/>
    <w:rsid w:val="000D3300"/>
    <w:rsid w:val="000D3844"/>
    <w:rsid w:val="000D3B08"/>
    <w:rsid w:val="000D3E10"/>
    <w:rsid w:val="000D3E16"/>
    <w:rsid w:val="000D3E22"/>
    <w:rsid w:val="000D3F20"/>
    <w:rsid w:val="000D43F2"/>
    <w:rsid w:val="000D475A"/>
    <w:rsid w:val="000D49DF"/>
    <w:rsid w:val="000D4C91"/>
    <w:rsid w:val="000D4FD6"/>
    <w:rsid w:val="000D5ECA"/>
    <w:rsid w:val="000D611A"/>
    <w:rsid w:val="000D63A0"/>
    <w:rsid w:val="000D67CD"/>
    <w:rsid w:val="000D6A17"/>
    <w:rsid w:val="000D6A60"/>
    <w:rsid w:val="000D6B50"/>
    <w:rsid w:val="000D6B53"/>
    <w:rsid w:val="000D6E0C"/>
    <w:rsid w:val="000D6FEB"/>
    <w:rsid w:val="000D7112"/>
    <w:rsid w:val="000D7423"/>
    <w:rsid w:val="000D7475"/>
    <w:rsid w:val="000D7B0A"/>
    <w:rsid w:val="000D7BA9"/>
    <w:rsid w:val="000E038B"/>
    <w:rsid w:val="000E04A0"/>
    <w:rsid w:val="000E04B5"/>
    <w:rsid w:val="000E0BF0"/>
    <w:rsid w:val="000E1082"/>
    <w:rsid w:val="000E187F"/>
    <w:rsid w:val="000E1A43"/>
    <w:rsid w:val="000E1AE9"/>
    <w:rsid w:val="000E1D7F"/>
    <w:rsid w:val="000E2365"/>
    <w:rsid w:val="000E284A"/>
    <w:rsid w:val="000E293B"/>
    <w:rsid w:val="000E2DE3"/>
    <w:rsid w:val="000E3007"/>
    <w:rsid w:val="000E364D"/>
    <w:rsid w:val="000E37E7"/>
    <w:rsid w:val="000E3A48"/>
    <w:rsid w:val="000E3AD7"/>
    <w:rsid w:val="000E3F98"/>
    <w:rsid w:val="000E48D3"/>
    <w:rsid w:val="000E49B7"/>
    <w:rsid w:val="000E4E4C"/>
    <w:rsid w:val="000E4F75"/>
    <w:rsid w:val="000E500A"/>
    <w:rsid w:val="000E5355"/>
    <w:rsid w:val="000E5531"/>
    <w:rsid w:val="000E55DA"/>
    <w:rsid w:val="000E5654"/>
    <w:rsid w:val="000E594D"/>
    <w:rsid w:val="000E5CD4"/>
    <w:rsid w:val="000E5F6D"/>
    <w:rsid w:val="000E65C4"/>
    <w:rsid w:val="000E6B64"/>
    <w:rsid w:val="000E6FDA"/>
    <w:rsid w:val="000E7149"/>
    <w:rsid w:val="000E7357"/>
    <w:rsid w:val="000E7F6E"/>
    <w:rsid w:val="000F0178"/>
    <w:rsid w:val="000F0FC1"/>
    <w:rsid w:val="000F108A"/>
    <w:rsid w:val="000F169F"/>
    <w:rsid w:val="000F18BC"/>
    <w:rsid w:val="000F1935"/>
    <w:rsid w:val="000F19F7"/>
    <w:rsid w:val="000F1C53"/>
    <w:rsid w:val="000F1DAD"/>
    <w:rsid w:val="000F258E"/>
    <w:rsid w:val="000F266C"/>
    <w:rsid w:val="000F2D03"/>
    <w:rsid w:val="000F35EF"/>
    <w:rsid w:val="000F379E"/>
    <w:rsid w:val="000F3B55"/>
    <w:rsid w:val="000F4784"/>
    <w:rsid w:val="000F478E"/>
    <w:rsid w:val="000F48A8"/>
    <w:rsid w:val="000F4B4E"/>
    <w:rsid w:val="000F5596"/>
    <w:rsid w:val="000F6758"/>
    <w:rsid w:val="000F70AC"/>
    <w:rsid w:val="000F71F1"/>
    <w:rsid w:val="000F7BB6"/>
    <w:rsid w:val="001005DB"/>
    <w:rsid w:val="00100752"/>
    <w:rsid w:val="00100D41"/>
    <w:rsid w:val="001011E8"/>
    <w:rsid w:val="0010134E"/>
    <w:rsid w:val="00101BB5"/>
    <w:rsid w:val="00102296"/>
    <w:rsid w:val="00102C55"/>
    <w:rsid w:val="00102C70"/>
    <w:rsid w:val="0010314C"/>
    <w:rsid w:val="0010344B"/>
    <w:rsid w:val="001035F5"/>
    <w:rsid w:val="001038BF"/>
    <w:rsid w:val="00103948"/>
    <w:rsid w:val="00103BB5"/>
    <w:rsid w:val="00103CA7"/>
    <w:rsid w:val="00103F97"/>
    <w:rsid w:val="00104190"/>
    <w:rsid w:val="001043ED"/>
    <w:rsid w:val="00104477"/>
    <w:rsid w:val="00104514"/>
    <w:rsid w:val="001046A2"/>
    <w:rsid w:val="00104721"/>
    <w:rsid w:val="0010486A"/>
    <w:rsid w:val="00104AE0"/>
    <w:rsid w:val="00104F2F"/>
    <w:rsid w:val="0010521C"/>
    <w:rsid w:val="00105423"/>
    <w:rsid w:val="0010561F"/>
    <w:rsid w:val="00105F33"/>
    <w:rsid w:val="0010605A"/>
    <w:rsid w:val="0010629D"/>
    <w:rsid w:val="00106684"/>
    <w:rsid w:val="00106BCD"/>
    <w:rsid w:val="00106CBA"/>
    <w:rsid w:val="00107ABF"/>
    <w:rsid w:val="00107DDE"/>
    <w:rsid w:val="00107E7A"/>
    <w:rsid w:val="00107ED3"/>
    <w:rsid w:val="0011004D"/>
    <w:rsid w:val="001102B7"/>
    <w:rsid w:val="0011048B"/>
    <w:rsid w:val="00110666"/>
    <w:rsid w:val="001108E0"/>
    <w:rsid w:val="00111542"/>
    <w:rsid w:val="00111698"/>
    <w:rsid w:val="00111875"/>
    <w:rsid w:val="00111E9A"/>
    <w:rsid w:val="001123A9"/>
    <w:rsid w:val="00112802"/>
    <w:rsid w:val="001132AA"/>
    <w:rsid w:val="0011332F"/>
    <w:rsid w:val="00113742"/>
    <w:rsid w:val="00113A1E"/>
    <w:rsid w:val="00113FFF"/>
    <w:rsid w:val="00114138"/>
    <w:rsid w:val="0011424D"/>
    <w:rsid w:val="00114552"/>
    <w:rsid w:val="001145F1"/>
    <w:rsid w:val="0011503F"/>
    <w:rsid w:val="00115109"/>
    <w:rsid w:val="00115459"/>
    <w:rsid w:val="0011586B"/>
    <w:rsid w:val="0011599F"/>
    <w:rsid w:val="00115D75"/>
    <w:rsid w:val="00115F18"/>
    <w:rsid w:val="001162EB"/>
    <w:rsid w:val="00116498"/>
    <w:rsid w:val="001164EB"/>
    <w:rsid w:val="001166D8"/>
    <w:rsid w:val="001167EC"/>
    <w:rsid w:val="00116B0F"/>
    <w:rsid w:val="00116C0D"/>
    <w:rsid w:val="001177D5"/>
    <w:rsid w:val="0011785B"/>
    <w:rsid w:val="00117CD3"/>
    <w:rsid w:val="00117D97"/>
    <w:rsid w:val="00120448"/>
    <w:rsid w:val="001204AA"/>
    <w:rsid w:val="001204C7"/>
    <w:rsid w:val="001206C6"/>
    <w:rsid w:val="00120CE8"/>
    <w:rsid w:val="0012126A"/>
    <w:rsid w:val="001213DF"/>
    <w:rsid w:val="001214DD"/>
    <w:rsid w:val="00121515"/>
    <w:rsid w:val="00122285"/>
    <w:rsid w:val="001229DC"/>
    <w:rsid w:val="001230D3"/>
    <w:rsid w:val="00123885"/>
    <w:rsid w:val="00123B2D"/>
    <w:rsid w:val="001244A2"/>
    <w:rsid w:val="00124EF6"/>
    <w:rsid w:val="00125BDA"/>
    <w:rsid w:val="00125BED"/>
    <w:rsid w:val="00125CD3"/>
    <w:rsid w:val="00125E54"/>
    <w:rsid w:val="00125FAF"/>
    <w:rsid w:val="00125FEA"/>
    <w:rsid w:val="001263F4"/>
    <w:rsid w:val="001270A8"/>
    <w:rsid w:val="0012731E"/>
    <w:rsid w:val="001274C5"/>
    <w:rsid w:val="00127559"/>
    <w:rsid w:val="00127AE4"/>
    <w:rsid w:val="00130118"/>
    <w:rsid w:val="001304EB"/>
    <w:rsid w:val="001308F6"/>
    <w:rsid w:val="00130B80"/>
    <w:rsid w:val="00130DB8"/>
    <w:rsid w:val="00131239"/>
    <w:rsid w:val="00131552"/>
    <w:rsid w:val="0013159B"/>
    <w:rsid w:val="0013198D"/>
    <w:rsid w:val="00131D5C"/>
    <w:rsid w:val="00132196"/>
    <w:rsid w:val="0013224C"/>
    <w:rsid w:val="00132540"/>
    <w:rsid w:val="00132564"/>
    <w:rsid w:val="00132BA1"/>
    <w:rsid w:val="001332FC"/>
    <w:rsid w:val="0013363A"/>
    <w:rsid w:val="001338D5"/>
    <w:rsid w:val="00133E97"/>
    <w:rsid w:val="001351B6"/>
    <w:rsid w:val="00135256"/>
    <w:rsid w:val="001352CF"/>
    <w:rsid w:val="0013570D"/>
    <w:rsid w:val="00135CF0"/>
    <w:rsid w:val="00135DD6"/>
    <w:rsid w:val="00136062"/>
    <w:rsid w:val="00136261"/>
    <w:rsid w:val="001365FB"/>
    <w:rsid w:val="00136662"/>
    <w:rsid w:val="00136B5C"/>
    <w:rsid w:val="00136F71"/>
    <w:rsid w:val="00136FE4"/>
    <w:rsid w:val="0013719A"/>
    <w:rsid w:val="001371DB"/>
    <w:rsid w:val="00137474"/>
    <w:rsid w:val="00137719"/>
    <w:rsid w:val="00140019"/>
    <w:rsid w:val="00140105"/>
    <w:rsid w:val="00140657"/>
    <w:rsid w:val="0014091E"/>
    <w:rsid w:val="00141BDB"/>
    <w:rsid w:val="00141C5F"/>
    <w:rsid w:val="0014219C"/>
    <w:rsid w:val="001424D6"/>
    <w:rsid w:val="0014263F"/>
    <w:rsid w:val="00142A09"/>
    <w:rsid w:val="00142C2F"/>
    <w:rsid w:val="00143229"/>
    <w:rsid w:val="0014360F"/>
    <w:rsid w:val="00143620"/>
    <w:rsid w:val="001439D5"/>
    <w:rsid w:val="00143A2E"/>
    <w:rsid w:val="00143B31"/>
    <w:rsid w:val="00144453"/>
    <w:rsid w:val="001444C5"/>
    <w:rsid w:val="0014482B"/>
    <w:rsid w:val="00144EAE"/>
    <w:rsid w:val="00144EBA"/>
    <w:rsid w:val="00145565"/>
    <w:rsid w:val="00145B70"/>
    <w:rsid w:val="001461E4"/>
    <w:rsid w:val="00146371"/>
    <w:rsid w:val="00146751"/>
    <w:rsid w:val="00146A01"/>
    <w:rsid w:val="00146E92"/>
    <w:rsid w:val="00147044"/>
    <w:rsid w:val="001473B8"/>
    <w:rsid w:val="00147567"/>
    <w:rsid w:val="001476D4"/>
    <w:rsid w:val="00147A22"/>
    <w:rsid w:val="00147DC9"/>
    <w:rsid w:val="00147E33"/>
    <w:rsid w:val="001507CE"/>
    <w:rsid w:val="00151047"/>
    <w:rsid w:val="00151155"/>
    <w:rsid w:val="0015126E"/>
    <w:rsid w:val="001519E1"/>
    <w:rsid w:val="00151E0F"/>
    <w:rsid w:val="00152001"/>
    <w:rsid w:val="0015242A"/>
    <w:rsid w:val="001524C5"/>
    <w:rsid w:val="001526D6"/>
    <w:rsid w:val="001526DF"/>
    <w:rsid w:val="001530BF"/>
    <w:rsid w:val="001548E8"/>
    <w:rsid w:val="00154E85"/>
    <w:rsid w:val="00154E9D"/>
    <w:rsid w:val="00154F50"/>
    <w:rsid w:val="0015511F"/>
    <w:rsid w:val="00155498"/>
    <w:rsid w:val="00155567"/>
    <w:rsid w:val="00155707"/>
    <w:rsid w:val="00155969"/>
    <w:rsid w:val="00155BA9"/>
    <w:rsid w:val="00155F53"/>
    <w:rsid w:val="001564C1"/>
    <w:rsid w:val="0015664A"/>
    <w:rsid w:val="001572B3"/>
    <w:rsid w:val="001579E1"/>
    <w:rsid w:val="00157DCB"/>
    <w:rsid w:val="001609CF"/>
    <w:rsid w:val="001611B6"/>
    <w:rsid w:val="001612B3"/>
    <w:rsid w:val="0016188D"/>
    <w:rsid w:val="00161C88"/>
    <w:rsid w:val="00161D43"/>
    <w:rsid w:val="00162584"/>
    <w:rsid w:val="001625AA"/>
    <w:rsid w:val="00162A56"/>
    <w:rsid w:val="00162C70"/>
    <w:rsid w:val="001638D6"/>
    <w:rsid w:val="001639C4"/>
    <w:rsid w:val="00163D00"/>
    <w:rsid w:val="00164472"/>
    <w:rsid w:val="00164512"/>
    <w:rsid w:val="00164656"/>
    <w:rsid w:val="00165151"/>
    <w:rsid w:val="00165361"/>
    <w:rsid w:val="001654C2"/>
    <w:rsid w:val="00165581"/>
    <w:rsid w:val="00165691"/>
    <w:rsid w:val="00165C26"/>
    <w:rsid w:val="00166015"/>
    <w:rsid w:val="00166E98"/>
    <w:rsid w:val="001675A0"/>
    <w:rsid w:val="00167811"/>
    <w:rsid w:val="00167901"/>
    <w:rsid w:val="001702A4"/>
    <w:rsid w:val="001704FF"/>
    <w:rsid w:val="001705F7"/>
    <w:rsid w:val="001708F2"/>
    <w:rsid w:val="00170CC4"/>
    <w:rsid w:val="00171032"/>
    <w:rsid w:val="0017141C"/>
    <w:rsid w:val="00171745"/>
    <w:rsid w:val="00172666"/>
    <w:rsid w:val="001729A7"/>
    <w:rsid w:val="00172C4B"/>
    <w:rsid w:val="00173328"/>
    <w:rsid w:val="0017357E"/>
    <w:rsid w:val="00173C38"/>
    <w:rsid w:val="00173D95"/>
    <w:rsid w:val="00173DE5"/>
    <w:rsid w:val="00173E8B"/>
    <w:rsid w:val="0017407A"/>
    <w:rsid w:val="001741E2"/>
    <w:rsid w:val="0017420F"/>
    <w:rsid w:val="00174EE7"/>
    <w:rsid w:val="0017540D"/>
    <w:rsid w:val="0017541D"/>
    <w:rsid w:val="001756E2"/>
    <w:rsid w:val="001758FE"/>
    <w:rsid w:val="00175B27"/>
    <w:rsid w:val="00175C91"/>
    <w:rsid w:val="0017602F"/>
    <w:rsid w:val="00176069"/>
    <w:rsid w:val="00176198"/>
    <w:rsid w:val="001764D4"/>
    <w:rsid w:val="00176861"/>
    <w:rsid w:val="00176C9A"/>
    <w:rsid w:val="001773B5"/>
    <w:rsid w:val="00177489"/>
    <w:rsid w:val="0017777C"/>
    <w:rsid w:val="00177A22"/>
    <w:rsid w:val="00177A29"/>
    <w:rsid w:val="0018090E"/>
    <w:rsid w:val="0018099A"/>
    <w:rsid w:val="00180A7B"/>
    <w:rsid w:val="0018151E"/>
    <w:rsid w:val="0018176D"/>
    <w:rsid w:val="00182261"/>
    <w:rsid w:val="001824FF"/>
    <w:rsid w:val="00182933"/>
    <w:rsid w:val="00182BEA"/>
    <w:rsid w:val="00182CBD"/>
    <w:rsid w:val="00183215"/>
    <w:rsid w:val="00183240"/>
    <w:rsid w:val="00183908"/>
    <w:rsid w:val="00184335"/>
    <w:rsid w:val="00184353"/>
    <w:rsid w:val="00184388"/>
    <w:rsid w:val="00185828"/>
    <w:rsid w:val="001859D2"/>
    <w:rsid w:val="00185FD3"/>
    <w:rsid w:val="00186806"/>
    <w:rsid w:val="00186B06"/>
    <w:rsid w:val="00187228"/>
    <w:rsid w:val="001872B9"/>
    <w:rsid w:val="001875F0"/>
    <w:rsid w:val="00187855"/>
    <w:rsid w:val="0018794A"/>
    <w:rsid w:val="00187A17"/>
    <w:rsid w:val="00187F30"/>
    <w:rsid w:val="0019032B"/>
    <w:rsid w:val="001904C0"/>
    <w:rsid w:val="0019057B"/>
    <w:rsid w:val="00190752"/>
    <w:rsid w:val="00190812"/>
    <w:rsid w:val="00191561"/>
    <w:rsid w:val="00191BE4"/>
    <w:rsid w:val="00191DAE"/>
    <w:rsid w:val="0019227D"/>
    <w:rsid w:val="001928F8"/>
    <w:rsid w:val="00192DC1"/>
    <w:rsid w:val="0019308A"/>
    <w:rsid w:val="0019373F"/>
    <w:rsid w:val="00193785"/>
    <w:rsid w:val="00193B91"/>
    <w:rsid w:val="0019404C"/>
    <w:rsid w:val="001941D1"/>
    <w:rsid w:val="00194257"/>
    <w:rsid w:val="001948EA"/>
    <w:rsid w:val="00194A2D"/>
    <w:rsid w:val="00194AE2"/>
    <w:rsid w:val="00194C6D"/>
    <w:rsid w:val="00194EA0"/>
    <w:rsid w:val="001960E8"/>
    <w:rsid w:val="001960EE"/>
    <w:rsid w:val="001963C7"/>
    <w:rsid w:val="001964FA"/>
    <w:rsid w:val="0019679B"/>
    <w:rsid w:val="001969F1"/>
    <w:rsid w:val="00196A1F"/>
    <w:rsid w:val="00196A3E"/>
    <w:rsid w:val="00196C24"/>
    <w:rsid w:val="0019715A"/>
    <w:rsid w:val="00197332"/>
    <w:rsid w:val="001974A1"/>
    <w:rsid w:val="00197A04"/>
    <w:rsid w:val="001A021A"/>
    <w:rsid w:val="001A07D9"/>
    <w:rsid w:val="001A09F6"/>
    <w:rsid w:val="001A0C56"/>
    <w:rsid w:val="001A0C65"/>
    <w:rsid w:val="001A0E87"/>
    <w:rsid w:val="001A126A"/>
    <w:rsid w:val="001A1541"/>
    <w:rsid w:val="001A15C8"/>
    <w:rsid w:val="001A1906"/>
    <w:rsid w:val="001A1B45"/>
    <w:rsid w:val="001A1BB9"/>
    <w:rsid w:val="001A20F5"/>
    <w:rsid w:val="001A25EE"/>
    <w:rsid w:val="001A28F6"/>
    <w:rsid w:val="001A2C1B"/>
    <w:rsid w:val="001A315B"/>
    <w:rsid w:val="001A385E"/>
    <w:rsid w:val="001A386E"/>
    <w:rsid w:val="001A38AD"/>
    <w:rsid w:val="001A3ECB"/>
    <w:rsid w:val="001A3FED"/>
    <w:rsid w:val="001A4259"/>
    <w:rsid w:val="001A4768"/>
    <w:rsid w:val="001A50DB"/>
    <w:rsid w:val="001A51DD"/>
    <w:rsid w:val="001A55DD"/>
    <w:rsid w:val="001A5B0D"/>
    <w:rsid w:val="001A5B26"/>
    <w:rsid w:val="001A604B"/>
    <w:rsid w:val="001A631E"/>
    <w:rsid w:val="001A644E"/>
    <w:rsid w:val="001A6B1A"/>
    <w:rsid w:val="001A6D4D"/>
    <w:rsid w:val="001A7089"/>
    <w:rsid w:val="001A7A8D"/>
    <w:rsid w:val="001A7EAA"/>
    <w:rsid w:val="001B0021"/>
    <w:rsid w:val="001B06B9"/>
    <w:rsid w:val="001B08B8"/>
    <w:rsid w:val="001B0A22"/>
    <w:rsid w:val="001B0A88"/>
    <w:rsid w:val="001B1038"/>
    <w:rsid w:val="001B16DC"/>
    <w:rsid w:val="001B1809"/>
    <w:rsid w:val="001B188F"/>
    <w:rsid w:val="001B189F"/>
    <w:rsid w:val="001B18F7"/>
    <w:rsid w:val="001B1D11"/>
    <w:rsid w:val="001B1EDF"/>
    <w:rsid w:val="001B23F5"/>
    <w:rsid w:val="001B2646"/>
    <w:rsid w:val="001B2FE2"/>
    <w:rsid w:val="001B314B"/>
    <w:rsid w:val="001B334F"/>
    <w:rsid w:val="001B3380"/>
    <w:rsid w:val="001B33BE"/>
    <w:rsid w:val="001B37B1"/>
    <w:rsid w:val="001B3849"/>
    <w:rsid w:val="001B42E9"/>
    <w:rsid w:val="001B45B1"/>
    <w:rsid w:val="001B4735"/>
    <w:rsid w:val="001B475E"/>
    <w:rsid w:val="001B4775"/>
    <w:rsid w:val="001B49EA"/>
    <w:rsid w:val="001B4FE2"/>
    <w:rsid w:val="001B5116"/>
    <w:rsid w:val="001B51EA"/>
    <w:rsid w:val="001B5DE4"/>
    <w:rsid w:val="001B5DF5"/>
    <w:rsid w:val="001B5E11"/>
    <w:rsid w:val="001B5EBB"/>
    <w:rsid w:val="001B60DD"/>
    <w:rsid w:val="001B690E"/>
    <w:rsid w:val="001B6936"/>
    <w:rsid w:val="001B6CE0"/>
    <w:rsid w:val="001B70C1"/>
    <w:rsid w:val="001B7690"/>
    <w:rsid w:val="001B7E6D"/>
    <w:rsid w:val="001B7EB9"/>
    <w:rsid w:val="001B7EE0"/>
    <w:rsid w:val="001C00FD"/>
    <w:rsid w:val="001C0294"/>
    <w:rsid w:val="001C06BC"/>
    <w:rsid w:val="001C0AE5"/>
    <w:rsid w:val="001C0E31"/>
    <w:rsid w:val="001C14CA"/>
    <w:rsid w:val="001C1787"/>
    <w:rsid w:val="001C1BC6"/>
    <w:rsid w:val="001C1EAE"/>
    <w:rsid w:val="001C1EE0"/>
    <w:rsid w:val="001C1F59"/>
    <w:rsid w:val="001C1FE0"/>
    <w:rsid w:val="001C200B"/>
    <w:rsid w:val="001C2164"/>
    <w:rsid w:val="001C2300"/>
    <w:rsid w:val="001C2561"/>
    <w:rsid w:val="001C277A"/>
    <w:rsid w:val="001C2817"/>
    <w:rsid w:val="001C2944"/>
    <w:rsid w:val="001C2BE5"/>
    <w:rsid w:val="001C2E3D"/>
    <w:rsid w:val="001C3262"/>
    <w:rsid w:val="001C33A6"/>
    <w:rsid w:val="001C33C8"/>
    <w:rsid w:val="001C35D0"/>
    <w:rsid w:val="001C3E4E"/>
    <w:rsid w:val="001C4200"/>
    <w:rsid w:val="001C442B"/>
    <w:rsid w:val="001C5102"/>
    <w:rsid w:val="001C519B"/>
    <w:rsid w:val="001C58F9"/>
    <w:rsid w:val="001C5A01"/>
    <w:rsid w:val="001C5BFE"/>
    <w:rsid w:val="001C5FB2"/>
    <w:rsid w:val="001C60BD"/>
    <w:rsid w:val="001C66BE"/>
    <w:rsid w:val="001C6A35"/>
    <w:rsid w:val="001C6CEC"/>
    <w:rsid w:val="001C7256"/>
    <w:rsid w:val="001C73BD"/>
    <w:rsid w:val="001C7A10"/>
    <w:rsid w:val="001C7A32"/>
    <w:rsid w:val="001C7F2C"/>
    <w:rsid w:val="001D00A3"/>
    <w:rsid w:val="001D0684"/>
    <w:rsid w:val="001D0BE4"/>
    <w:rsid w:val="001D0C9C"/>
    <w:rsid w:val="001D118B"/>
    <w:rsid w:val="001D1842"/>
    <w:rsid w:val="001D1D38"/>
    <w:rsid w:val="001D1E2A"/>
    <w:rsid w:val="001D287C"/>
    <w:rsid w:val="001D2A4B"/>
    <w:rsid w:val="001D2CA8"/>
    <w:rsid w:val="001D3067"/>
    <w:rsid w:val="001D3294"/>
    <w:rsid w:val="001D345E"/>
    <w:rsid w:val="001D37C7"/>
    <w:rsid w:val="001D4236"/>
    <w:rsid w:val="001D4BD5"/>
    <w:rsid w:val="001D4EB9"/>
    <w:rsid w:val="001D50F2"/>
    <w:rsid w:val="001D5302"/>
    <w:rsid w:val="001D5B29"/>
    <w:rsid w:val="001D5FCF"/>
    <w:rsid w:val="001D66AD"/>
    <w:rsid w:val="001D67D6"/>
    <w:rsid w:val="001D6863"/>
    <w:rsid w:val="001D6D85"/>
    <w:rsid w:val="001D6E0C"/>
    <w:rsid w:val="001D7520"/>
    <w:rsid w:val="001D7AF7"/>
    <w:rsid w:val="001E002D"/>
    <w:rsid w:val="001E0353"/>
    <w:rsid w:val="001E0B6B"/>
    <w:rsid w:val="001E0E4E"/>
    <w:rsid w:val="001E103E"/>
    <w:rsid w:val="001E1726"/>
    <w:rsid w:val="001E245D"/>
    <w:rsid w:val="001E29F2"/>
    <w:rsid w:val="001E3452"/>
    <w:rsid w:val="001E388E"/>
    <w:rsid w:val="001E3E50"/>
    <w:rsid w:val="001E496F"/>
    <w:rsid w:val="001E4B50"/>
    <w:rsid w:val="001E4E7F"/>
    <w:rsid w:val="001E4FA9"/>
    <w:rsid w:val="001E560E"/>
    <w:rsid w:val="001E561E"/>
    <w:rsid w:val="001E6209"/>
    <w:rsid w:val="001E6263"/>
    <w:rsid w:val="001E65A8"/>
    <w:rsid w:val="001E6A07"/>
    <w:rsid w:val="001E6AFF"/>
    <w:rsid w:val="001E6EBA"/>
    <w:rsid w:val="001E7003"/>
    <w:rsid w:val="001E71C0"/>
    <w:rsid w:val="001E72FF"/>
    <w:rsid w:val="001E74BC"/>
    <w:rsid w:val="001E7F36"/>
    <w:rsid w:val="001F09F7"/>
    <w:rsid w:val="001F0CA7"/>
    <w:rsid w:val="001F0CDB"/>
    <w:rsid w:val="001F11DF"/>
    <w:rsid w:val="001F2088"/>
    <w:rsid w:val="001F20BF"/>
    <w:rsid w:val="001F23CF"/>
    <w:rsid w:val="001F2773"/>
    <w:rsid w:val="001F2805"/>
    <w:rsid w:val="001F2844"/>
    <w:rsid w:val="001F2CE3"/>
    <w:rsid w:val="001F30D7"/>
    <w:rsid w:val="001F3E80"/>
    <w:rsid w:val="001F4137"/>
    <w:rsid w:val="001F4745"/>
    <w:rsid w:val="001F4835"/>
    <w:rsid w:val="001F4A4D"/>
    <w:rsid w:val="001F5227"/>
    <w:rsid w:val="001F56BA"/>
    <w:rsid w:val="001F5B19"/>
    <w:rsid w:val="001F6072"/>
    <w:rsid w:val="001F655F"/>
    <w:rsid w:val="001F66CE"/>
    <w:rsid w:val="001F72BE"/>
    <w:rsid w:val="001F74E3"/>
    <w:rsid w:val="001F7783"/>
    <w:rsid w:val="001F782C"/>
    <w:rsid w:val="001F790F"/>
    <w:rsid w:val="001F7D57"/>
    <w:rsid w:val="001F7E56"/>
    <w:rsid w:val="001F7E62"/>
    <w:rsid w:val="001F7F4D"/>
    <w:rsid w:val="0020018D"/>
    <w:rsid w:val="0020046A"/>
    <w:rsid w:val="002005E8"/>
    <w:rsid w:val="00200676"/>
    <w:rsid w:val="002008E1"/>
    <w:rsid w:val="00200C50"/>
    <w:rsid w:val="00201940"/>
    <w:rsid w:val="00201B1F"/>
    <w:rsid w:val="00201C16"/>
    <w:rsid w:val="00201DFF"/>
    <w:rsid w:val="00202314"/>
    <w:rsid w:val="0020234E"/>
    <w:rsid w:val="00202491"/>
    <w:rsid w:val="00202ADD"/>
    <w:rsid w:val="00202ADF"/>
    <w:rsid w:val="00202B16"/>
    <w:rsid w:val="00203234"/>
    <w:rsid w:val="002032C6"/>
    <w:rsid w:val="00203587"/>
    <w:rsid w:val="002035F4"/>
    <w:rsid w:val="00203BC6"/>
    <w:rsid w:val="00203E69"/>
    <w:rsid w:val="002049F8"/>
    <w:rsid w:val="00204AB7"/>
    <w:rsid w:val="00204D2A"/>
    <w:rsid w:val="00206197"/>
    <w:rsid w:val="002063BA"/>
    <w:rsid w:val="002066E7"/>
    <w:rsid w:val="002069F6"/>
    <w:rsid w:val="00206DDE"/>
    <w:rsid w:val="00206EF7"/>
    <w:rsid w:val="00206F50"/>
    <w:rsid w:val="00207103"/>
    <w:rsid w:val="00207411"/>
    <w:rsid w:val="002077A8"/>
    <w:rsid w:val="00207994"/>
    <w:rsid w:val="002079FC"/>
    <w:rsid w:val="00207CD1"/>
    <w:rsid w:val="00207F70"/>
    <w:rsid w:val="00210380"/>
    <w:rsid w:val="0021081E"/>
    <w:rsid w:val="00210C63"/>
    <w:rsid w:val="0021171F"/>
    <w:rsid w:val="00211797"/>
    <w:rsid w:val="00211C70"/>
    <w:rsid w:val="00211CEB"/>
    <w:rsid w:val="0021207F"/>
    <w:rsid w:val="00212112"/>
    <w:rsid w:val="00212A64"/>
    <w:rsid w:val="0021377E"/>
    <w:rsid w:val="00213D73"/>
    <w:rsid w:val="00214689"/>
    <w:rsid w:val="0021497F"/>
    <w:rsid w:val="00214B79"/>
    <w:rsid w:val="00214F93"/>
    <w:rsid w:val="002151DF"/>
    <w:rsid w:val="00215943"/>
    <w:rsid w:val="00215F05"/>
    <w:rsid w:val="002160EC"/>
    <w:rsid w:val="002163E1"/>
    <w:rsid w:val="00216415"/>
    <w:rsid w:val="0021668C"/>
    <w:rsid w:val="00216721"/>
    <w:rsid w:val="002169B9"/>
    <w:rsid w:val="00216F8F"/>
    <w:rsid w:val="002170F6"/>
    <w:rsid w:val="00217284"/>
    <w:rsid w:val="00217805"/>
    <w:rsid w:val="0021788C"/>
    <w:rsid w:val="00217B68"/>
    <w:rsid w:val="00217F5D"/>
    <w:rsid w:val="0022031D"/>
    <w:rsid w:val="0022035F"/>
    <w:rsid w:val="00220368"/>
    <w:rsid w:val="00220392"/>
    <w:rsid w:val="00220424"/>
    <w:rsid w:val="002205D3"/>
    <w:rsid w:val="0022062A"/>
    <w:rsid w:val="002208FF"/>
    <w:rsid w:val="00220B28"/>
    <w:rsid w:val="00221423"/>
    <w:rsid w:val="002215CC"/>
    <w:rsid w:val="002217AC"/>
    <w:rsid w:val="002223BD"/>
    <w:rsid w:val="00222D93"/>
    <w:rsid w:val="00222ECA"/>
    <w:rsid w:val="00223487"/>
    <w:rsid w:val="00223BF9"/>
    <w:rsid w:val="00223BFD"/>
    <w:rsid w:val="00223C09"/>
    <w:rsid w:val="0022401D"/>
    <w:rsid w:val="00224341"/>
    <w:rsid w:val="0022443B"/>
    <w:rsid w:val="00224DBB"/>
    <w:rsid w:val="002256F5"/>
    <w:rsid w:val="00225A1B"/>
    <w:rsid w:val="00225B51"/>
    <w:rsid w:val="002262BD"/>
    <w:rsid w:val="00226302"/>
    <w:rsid w:val="00226666"/>
    <w:rsid w:val="00226BC0"/>
    <w:rsid w:val="00226F9F"/>
    <w:rsid w:val="002276E1"/>
    <w:rsid w:val="00227A2F"/>
    <w:rsid w:val="00227AC0"/>
    <w:rsid w:val="00227C00"/>
    <w:rsid w:val="00227CE3"/>
    <w:rsid w:val="00230096"/>
    <w:rsid w:val="002302D0"/>
    <w:rsid w:val="002304E9"/>
    <w:rsid w:val="00230A19"/>
    <w:rsid w:val="00230A4C"/>
    <w:rsid w:val="002311EE"/>
    <w:rsid w:val="00231CDE"/>
    <w:rsid w:val="00231DDB"/>
    <w:rsid w:val="00232070"/>
    <w:rsid w:val="002323B5"/>
    <w:rsid w:val="0023252C"/>
    <w:rsid w:val="002330BB"/>
    <w:rsid w:val="00233526"/>
    <w:rsid w:val="0023373B"/>
    <w:rsid w:val="00233C5B"/>
    <w:rsid w:val="00234588"/>
    <w:rsid w:val="002345D7"/>
    <w:rsid w:val="0023467E"/>
    <w:rsid w:val="002347F0"/>
    <w:rsid w:val="00235005"/>
    <w:rsid w:val="00235814"/>
    <w:rsid w:val="0023585F"/>
    <w:rsid w:val="00235931"/>
    <w:rsid w:val="00235DCA"/>
    <w:rsid w:val="00235DD5"/>
    <w:rsid w:val="0023643C"/>
    <w:rsid w:val="00236540"/>
    <w:rsid w:val="00236FCF"/>
    <w:rsid w:val="0023763D"/>
    <w:rsid w:val="00237662"/>
    <w:rsid w:val="00237F72"/>
    <w:rsid w:val="0024017A"/>
    <w:rsid w:val="00240516"/>
    <w:rsid w:val="002406FD"/>
    <w:rsid w:val="002407A6"/>
    <w:rsid w:val="002407AB"/>
    <w:rsid w:val="002408BF"/>
    <w:rsid w:val="00240C08"/>
    <w:rsid w:val="00240E3B"/>
    <w:rsid w:val="00241245"/>
    <w:rsid w:val="00241439"/>
    <w:rsid w:val="00241E80"/>
    <w:rsid w:val="00241E9F"/>
    <w:rsid w:val="002420FD"/>
    <w:rsid w:val="0024218A"/>
    <w:rsid w:val="002421C3"/>
    <w:rsid w:val="0024221E"/>
    <w:rsid w:val="0024236C"/>
    <w:rsid w:val="00242413"/>
    <w:rsid w:val="002425A8"/>
    <w:rsid w:val="002427BF"/>
    <w:rsid w:val="00242880"/>
    <w:rsid w:val="0024292F"/>
    <w:rsid w:val="00242970"/>
    <w:rsid w:val="00242F93"/>
    <w:rsid w:val="002430F5"/>
    <w:rsid w:val="00243478"/>
    <w:rsid w:val="00243752"/>
    <w:rsid w:val="00243DD0"/>
    <w:rsid w:val="00245277"/>
    <w:rsid w:val="00245463"/>
    <w:rsid w:val="002454A6"/>
    <w:rsid w:val="0024653F"/>
    <w:rsid w:val="002465EC"/>
    <w:rsid w:val="0024663C"/>
    <w:rsid w:val="002469C5"/>
    <w:rsid w:val="002478B9"/>
    <w:rsid w:val="00247E61"/>
    <w:rsid w:val="0025003C"/>
    <w:rsid w:val="0025007D"/>
    <w:rsid w:val="00250169"/>
    <w:rsid w:val="002502C9"/>
    <w:rsid w:val="00250574"/>
    <w:rsid w:val="00250BB4"/>
    <w:rsid w:val="00250BEE"/>
    <w:rsid w:val="00250D34"/>
    <w:rsid w:val="002518C7"/>
    <w:rsid w:val="00251BA3"/>
    <w:rsid w:val="00251C61"/>
    <w:rsid w:val="00251D75"/>
    <w:rsid w:val="00251FCF"/>
    <w:rsid w:val="00252178"/>
    <w:rsid w:val="00252545"/>
    <w:rsid w:val="00252AC3"/>
    <w:rsid w:val="00252B3C"/>
    <w:rsid w:val="00252EB2"/>
    <w:rsid w:val="0025301B"/>
    <w:rsid w:val="00253AC3"/>
    <w:rsid w:val="00253C03"/>
    <w:rsid w:val="002541C0"/>
    <w:rsid w:val="00255151"/>
    <w:rsid w:val="00255423"/>
    <w:rsid w:val="0025555D"/>
    <w:rsid w:val="00255892"/>
    <w:rsid w:val="002558DC"/>
    <w:rsid w:val="00255E45"/>
    <w:rsid w:val="002560E8"/>
    <w:rsid w:val="002560FF"/>
    <w:rsid w:val="00256830"/>
    <w:rsid w:val="0025692C"/>
    <w:rsid w:val="00256BA6"/>
    <w:rsid w:val="002574DB"/>
    <w:rsid w:val="0025751F"/>
    <w:rsid w:val="00257BF2"/>
    <w:rsid w:val="00257E38"/>
    <w:rsid w:val="00257F69"/>
    <w:rsid w:val="00260327"/>
    <w:rsid w:val="00260341"/>
    <w:rsid w:val="00260509"/>
    <w:rsid w:val="00260539"/>
    <w:rsid w:val="00260753"/>
    <w:rsid w:val="002608E3"/>
    <w:rsid w:val="00260900"/>
    <w:rsid w:val="00260CE1"/>
    <w:rsid w:val="002612FA"/>
    <w:rsid w:val="0026172A"/>
    <w:rsid w:val="00261742"/>
    <w:rsid w:val="00261B8B"/>
    <w:rsid w:val="00261E71"/>
    <w:rsid w:val="0026224E"/>
    <w:rsid w:val="002624A6"/>
    <w:rsid w:val="002629A8"/>
    <w:rsid w:val="00262BEA"/>
    <w:rsid w:val="002632C5"/>
    <w:rsid w:val="00263801"/>
    <w:rsid w:val="00263B5E"/>
    <w:rsid w:val="00264AEA"/>
    <w:rsid w:val="00264D5C"/>
    <w:rsid w:val="00264EB6"/>
    <w:rsid w:val="002650F1"/>
    <w:rsid w:val="00265712"/>
    <w:rsid w:val="00265928"/>
    <w:rsid w:val="00265CCB"/>
    <w:rsid w:val="00266008"/>
    <w:rsid w:val="00266C31"/>
    <w:rsid w:val="002670D3"/>
    <w:rsid w:val="002675C9"/>
    <w:rsid w:val="002675EC"/>
    <w:rsid w:val="00267C1A"/>
    <w:rsid w:val="00267C89"/>
    <w:rsid w:val="002703B1"/>
    <w:rsid w:val="00270811"/>
    <w:rsid w:val="00270DCC"/>
    <w:rsid w:val="00270F51"/>
    <w:rsid w:val="00270F95"/>
    <w:rsid w:val="002711B8"/>
    <w:rsid w:val="00271656"/>
    <w:rsid w:val="00271809"/>
    <w:rsid w:val="00271BDE"/>
    <w:rsid w:val="00271F34"/>
    <w:rsid w:val="002720F9"/>
    <w:rsid w:val="002721BE"/>
    <w:rsid w:val="002721D8"/>
    <w:rsid w:val="002727CE"/>
    <w:rsid w:val="00272C63"/>
    <w:rsid w:val="00272DDE"/>
    <w:rsid w:val="002730A5"/>
    <w:rsid w:val="0027318D"/>
    <w:rsid w:val="002731B7"/>
    <w:rsid w:val="00273368"/>
    <w:rsid w:val="00273C2A"/>
    <w:rsid w:val="00273E48"/>
    <w:rsid w:val="00274419"/>
    <w:rsid w:val="00274486"/>
    <w:rsid w:val="002744C3"/>
    <w:rsid w:val="002748B3"/>
    <w:rsid w:val="00274A73"/>
    <w:rsid w:val="00275151"/>
    <w:rsid w:val="0027526C"/>
    <w:rsid w:val="002754C1"/>
    <w:rsid w:val="002754DB"/>
    <w:rsid w:val="002761F1"/>
    <w:rsid w:val="00276503"/>
    <w:rsid w:val="00276727"/>
    <w:rsid w:val="00276FCE"/>
    <w:rsid w:val="0027724B"/>
    <w:rsid w:val="00277535"/>
    <w:rsid w:val="002776E9"/>
    <w:rsid w:val="00277A47"/>
    <w:rsid w:val="00277C2D"/>
    <w:rsid w:val="00277EA5"/>
    <w:rsid w:val="00280234"/>
    <w:rsid w:val="00281054"/>
    <w:rsid w:val="002816F1"/>
    <w:rsid w:val="00281CF0"/>
    <w:rsid w:val="0028229A"/>
    <w:rsid w:val="0028246E"/>
    <w:rsid w:val="00282861"/>
    <w:rsid w:val="002828DA"/>
    <w:rsid w:val="00282C35"/>
    <w:rsid w:val="00282FE4"/>
    <w:rsid w:val="00283270"/>
    <w:rsid w:val="002833DD"/>
    <w:rsid w:val="00283476"/>
    <w:rsid w:val="002834A8"/>
    <w:rsid w:val="0028364C"/>
    <w:rsid w:val="00283891"/>
    <w:rsid w:val="00283BC3"/>
    <w:rsid w:val="00284468"/>
    <w:rsid w:val="00284985"/>
    <w:rsid w:val="00284A44"/>
    <w:rsid w:val="00284CDB"/>
    <w:rsid w:val="00285075"/>
    <w:rsid w:val="00285163"/>
    <w:rsid w:val="002852D9"/>
    <w:rsid w:val="002858B2"/>
    <w:rsid w:val="00285A00"/>
    <w:rsid w:val="002860BE"/>
    <w:rsid w:val="0028612C"/>
    <w:rsid w:val="0028678A"/>
    <w:rsid w:val="00286E46"/>
    <w:rsid w:val="00287246"/>
    <w:rsid w:val="0028725D"/>
    <w:rsid w:val="00287267"/>
    <w:rsid w:val="00287528"/>
    <w:rsid w:val="002875A3"/>
    <w:rsid w:val="00287617"/>
    <w:rsid w:val="00287673"/>
    <w:rsid w:val="00287F78"/>
    <w:rsid w:val="002901F1"/>
    <w:rsid w:val="0029037E"/>
    <w:rsid w:val="00290670"/>
    <w:rsid w:val="002906CA"/>
    <w:rsid w:val="0029089C"/>
    <w:rsid w:val="002908DB"/>
    <w:rsid w:val="00290938"/>
    <w:rsid w:val="00290972"/>
    <w:rsid w:val="00290AD1"/>
    <w:rsid w:val="00291E16"/>
    <w:rsid w:val="002927F2"/>
    <w:rsid w:val="00292961"/>
    <w:rsid w:val="00292A0A"/>
    <w:rsid w:val="00293148"/>
    <w:rsid w:val="002931EE"/>
    <w:rsid w:val="00293580"/>
    <w:rsid w:val="00293862"/>
    <w:rsid w:val="00293903"/>
    <w:rsid w:val="00294144"/>
    <w:rsid w:val="002950E3"/>
    <w:rsid w:val="002951A5"/>
    <w:rsid w:val="00295566"/>
    <w:rsid w:val="002955E2"/>
    <w:rsid w:val="002956CC"/>
    <w:rsid w:val="0029585E"/>
    <w:rsid w:val="002958F9"/>
    <w:rsid w:val="00295BA1"/>
    <w:rsid w:val="00295D48"/>
    <w:rsid w:val="00295F59"/>
    <w:rsid w:val="0029648B"/>
    <w:rsid w:val="0029651B"/>
    <w:rsid w:val="0029659D"/>
    <w:rsid w:val="002968EA"/>
    <w:rsid w:val="00297C78"/>
    <w:rsid w:val="00297D93"/>
    <w:rsid w:val="002A03FB"/>
    <w:rsid w:val="002A0627"/>
    <w:rsid w:val="002A091A"/>
    <w:rsid w:val="002A09D6"/>
    <w:rsid w:val="002A1072"/>
    <w:rsid w:val="002A20E6"/>
    <w:rsid w:val="002A2437"/>
    <w:rsid w:val="002A2CF6"/>
    <w:rsid w:val="002A2E20"/>
    <w:rsid w:val="002A2E4E"/>
    <w:rsid w:val="002A2F36"/>
    <w:rsid w:val="002A2F79"/>
    <w:rsid w:val="002A34F2"/>
    <w:rsid w:val="002A35F3"/>
    <w:rsid w:val="002A398A"/>
    <w:rsid w:val="002A3D84"/>
    <w:rsid w:val="002A4545"/>
    <w:rsid w:val="002A4606"/>
    <w:rsid w:val="002A485A"/>
    <w:rsid w:val="002A49A2"/>
    <w:rsid w:val="002A4B8D"/>
    <w:rsid w:val="002A4DEE"/>
    <w:rsid w:val="002A4F3B"/>
    <w:rsid w:val="002A5003"/>
    <w:rsid w:val="002A686B"/>
    <w:rsid w:val="002A6C7B"/>
    <w:rsid w:val="002A740F"/>
    <w:rsid w:val="002B0128"/>
    <w:rsid w:val="002B024A"/>
    <w:rsid w:val="002B0426"/>
    <w:rsid w:val="002B06E8"/>
    <w:rsid w:val="002B08FC"/>
    <w:rsid w:val="002B107C"/>
    <w:rsid w:val="002B11DE"/>
    <w:rsid w:val="002B13E3"/>
    <w:rsid w:val="002B1E37"/>
    <w:rsid w:val="002B1EEA"/>
    <w:rsid w:val="002B2105"/>
    <w:rsid w:val="002B22E8"/>
    <w:rsid w:val="002B238F"/>
    <w:rsid w:val="002B2B89"/>
    <w:rsid w:val="002B323C"/>
    <w:rsid w:val="002B3307"/>
    <w:rsid w:val="002B33AA"/>
    <w:rsid w:val="002B3BFD"/>
    <w:rsid w:val="002B3E8B"/>
    <w:rsid w:val="002B41FF"/>
    <w:rsid w:val="002B4F8B"/>
    <w:rsid w:val="002B4FC5"/>
    <w:rsid w:val="002B51AC"/>
    <w:rsid w:val="002B55B2"/>
    <w:rsid w:val="002B5E9E"/>
    <w:rsid w:val="002B5FB5"/>
    <w:rsid w:val="002B66A6"/>
    <w:rsid w:val="002B69EE"/>
    <w:rsid w:val="002B7921"/>
    <w:rsid w:val="002B79F6"/>
    <w:rsid w:val="002B7A38"/>
    <w:rsid w:val="002C00B2"/>
    <w:rsid w:val="002C01A5"/>
    <w:rsid w:val="002C03F8"/>
    <w:rsid w:val="002C0716"/>
    <w:rsid w:val="002C07B8"/>
    <w:rsid w:val="002C092C"/>
    <w:rsid w:val="002C0AF0"/>
    <w:rsid w:val="002C0B48"/>
    <w:rsid w:val="002C0DEF"/>
    <w:rsid w:val="002C1A07"/>
    <w:rsid w:val="002C1B43"/>
    <w:rsid w:val="002C1E4D"/>
    <w:rsid w:val="002C209F"/>
    <w:rsid w:val="002C280C"/>
    <w:rsid w:val="002C2928"/>
    <w:rsid w:val="002C2939"/>
    <w:rsid w:val="002C3016"/>
    <w:rsid w:val="002C30A4"/>
    <w:rsid w:val="002C33A2"/>
    <w:rsid w:val="002C3A2E"/>
    <w:rsid w:val="002C3A95"/>
    <w:rsid w:val="002C42C3"/>
    <w:rsid w:val="002C435D"/>
    <w:rsid w:val="002C482D"/>
    <w:rsid w:val="002C490C"/>
    <w:rsid w:val="002C4AF6"/>
    <w:rsid w:val="002C4CA7"/>
    <w:rsid w:val="002C4FE7"/>
    <w:rsid w:val="002C5A32"/>
    <w:rsid w:val="002C5D1D"/>
    <w:rsid w:val="002C5ED8"/>
    <w:rsid w:val="002C6017"/>
    <w:rsid w:val="002C60E2"/>
    <w:rsid w:val="002C620C"/>
    <w:rsid w:val="002C6657"/>
    <w:rsid w:val="002C67DD"/>
    <w:rsid w:val="002C6DD8"/>
    <w:rsid w:val="002C70B9"/>
    <w:rsid w:val="002C77C8"/>
    <w:rsid w:val="002C77FA"/>
    <w:rsid w:val="002C793A"/>
    <w:rsid w:val="002C7B31"/>
    <w:rsid w:val="002C7B9F"/>
    <w:rsid w:val="002C7F06"/>
    <w:rsid w:val="002D0103"/>
    <w:rsid w:val="002D1092"/>
    <w:rsid w:val="002D1A54"/>
    <w:rsid w:val="002D1B90"/>
    <w:rsid w:val="002D1CFE"/>
    <w:rsid w:val="002D1FFD"/>
    <w:rsid w:val="002D27F7"/>
    <w:rsid w:val="002D2BAE"/>
    <w:rsid w:val="002D2C61"/>
    <w:rsid w:val="002D348B"/>
    <w:rsid w:val="002D351B"/>
    <w:rsid w:val="002D3A33"/>
    <w:rsid w:val="002D40D6"/>
    <w:rsid w:val="002D4C0B"/>
    <w:rsid w:val="002D4FAF"/>
    <w:rsid w:val="002D50E9"/>
    <w:rsid w:val="002D52A1"/>
    <w:rsid w:val="002D5684"/>
    <w:rsid w:val="002D5EDF"/>
    <w:rsid w:val="002D5EF6"/>
    <w:rsid w:val="002D5F21"/>
    <w:rsid w:val="002D6033"/>
    <w:rsid w:val="002D6570"/>
    <w:rsid w:val="002D67D4"/>
    <w:rsid w:val="002D6890"/>
    <w:rsid w:val="002D6CF9"/>
    <w:rsid w:val="002D71F7"/>
    <w:rsid w:val="002D79AF"/>
    <w:rsid w:val="002D7B44"/>
    <w:rsid w:val="002D7C68"/>
    <w:rsid w:val="002E071C"/>
    <w:rsid w:val="002E0739"/>
    <w:rsid w:val="002E08F5"/>
    <w:rsid w:val="002E09B8"/>
    <w:rsid w:val="002E0C08"/>
    <w:rsid w:val="002E0D24"/>
    <w:rsid w:val="002E0D6F"/>
    <w:rsid w:val="002E0DD2"/>
    <w:rsid w:val="002E0FDC"/>
    <w:rsid w:val="002E100E"/>
    <w:rsid w:val="002E1106"/>
    <w:rsid w:val="002E1AE0"/>
    <w:rsid w:val="002E1C74"/>
    <w:rsid w:val="002E1DC5"/>
    <w:rsid w:val="002E1E75"/>
    <w:rsid w:val="002E296D"/>
    <w:rsid w:val="002E29EF"/>
    <w:rsid w:val="002E2CA0"/>
    <w:rsid w:val="002E32C7"/>
    <w:rsid w:val="002E362D"/>
    <w:rsid w:val="002E3672"/>
    <w:rsid w:val="002E3961"/>
    <w:rsid w:val="002E3997"/>
    <w:rsid w:val="002E3A20"/>
    <w:rsid w:val="002E43C4"/>
    <w:rsid w:val="002E4617"/>
    <w:rsid w:val="002E481B"/>
    <w:rsid w:val="002E4B19"/>
    <w:rsid w:val="002E4DD9"/>
    <w:rsid w:val="002E5601"/>
    <w:rsid w:val="002E5EDB"/>
    <w:rsid w:val="002E5F2C"/>
    <w:rsid w:val="002E5F53"/>
    <w:rsid w:val="002E680D"/>
    <w:rsid w:val="002E6893"/>
    <w:rsid w:val="002E6A32"/>
    <w:rsid w:val="002E6AF6"/>
    <w:rsid w:val="002E71F2"/>
    <w:rsid w:val="002E7649"/>
    <w:rsid w:val="002E7CC9"/>
    <w:rsid w:val="002F006D"/>
    <w:rsid w:val="002F04CC"/>
    <w:rsid w:val="002F04EE"/>
    <w:rsid w:val="002F0EAE"/>
    <w:rsid w:val="002F1CD6"/>
    <w:rsid w:val="002F21D0"/>
    <w:rsid w:val="002F21D1"/>
    <w:rsid w:val="002F259C"/>
    <w:rsid w:val="002F287C"/>
    <w:rsid w:val="002F2DC6"/>
    <w:rsid w:val="002F2E91"/>
    <w:rsid w:val="002F3340"/>
    <w:rsid w:val="002F344A"/>
    <w:rsid w:val="002F34B8"/>
    <w:rsid w:val="002F40D1"/>
    <w:rsid w:val="002F415C"/>
    <w:rsid w:val="002F41DF"/>
    <w:rsid w:val="002F46CE"/>
    <w:rsid w:val="002F486C"/>
    <w:rsid w:val="002F4E50"/>
    <w:rsid w:val="002F50ED"/>
    <w:rsid w:val="002F5382"/>
    <w:rsid w:val="002F56DA"/>
    <w:rsid w:val="002F5DB2"/>
    <w:rsid w:val="002F6238"/>
    <w:rsid w:val="002F64D2"/>
    <w:rsid w:val="002F6B80"/>
    <w:rsid w:val="002F6E98"/>
    <w:rsid w:val="002F73DD"/>
    <w:rsid w:val="002F77BF"/>
    <w:rsid w:val="002F7843"/>
    <w:rsid w:val="00300265"/>
    <w:rsid w:val="00300341"/>
    <w:rsid w:val="003009E7"/>
    <w:rsid w:val="003016E2"/>
    <w:rsid w:val="00301869"/>
    <w:rsid w:val="00301B28"/>
    <w:rsid w:val="00301B96"/>
    <w:rsid w:val="00301BDF"/>
    <w:rsid w:val="003026CD"/>
    <w:rsid w:val="00302CAA"/>
    <w:rsid w:val="00302E15"/>
    <w:rsid w:val="00303177"/>
    <w:rsid w:val="0030325C"/>
    <w:rsid w:val="00303402"/>
    <w:rsid w:val="00303B9A"/>
    <w:rsid w:val="00303CFD"/>
    <w:rsid w:val="00303F35"/>
    <w:rsid w:val="00304766"/>
    <w:rsid w:val="003048BF"/>
    <w:rsid w:val="00304AD4"/>
    <w:rsid w:val="00304EDF"/>
    <w:rsid w:val="003057D6"/>
    <w:rsid w:val="003058CA"/>
    <w:rsid w:val="00306A90"/>
    <w:rsid w:val="00306B25"/>
    <w:rsid w:val="00306F59"/>
    <w:rsid w:val="003070E4"/>
    <w:rsid w:val="00307AA6"/>
    <w:rsid w:val="00307CD9"/>
    <w:rsid w:val="003100DE"/>
    <w:rsid w:val="003100FC"/>
    <w:rsid w:val="00310153"/>
    <w:rsid w:val="0031051F"/>
    <w:rsid w:val="0031063A"/>
    <w:rsid w:val="0031081C"/>
    <w:rsid w:val="0031100E"/>
    <w:rsid w:val="003111CE"/>
    <w:rsid w:val="003111FE"/>
    <w:rsid w:val="003115A2"/>
    <w:rsid w:val="00311A99"/>
    <w:rsid w:val="003120A1"/>
    <w:rsid w:val="00312256"/>
    <w:rsid w:val="00312391"/>
    <w:rsid w:val="003127DC"/>
    <w:rsid w:val="0031296F"/>
    <w:rsid w:val="00312ACF"/>
    <w:rsid w:val="00312B85"/>
    <w:rsid w:val="00312CF4"/>
    <w:rsid w:val="00312EC5"/>
    <w:rsid w:val="00313988"/>
    <w:rsid w:val="003139B3"/>
    <w:rsid w:val="00313AB7"/>
    <w:rsid w:val="00313CE1"/>
    <w:rsid w:val="00313F44"/>
    <w:rsid w:val="003141FF"/>
    <w:rsid w:val="00314907"/>
    <w:rsid w:val="00315221"/>
    <w:rsid w:val="00315585"/>
    <w:rsid w:val="003157C4"/>
    <w:rsid w:val="00315902"/>
    <w:rsid w:val="00315908"/>
    <w:rsid w:val="00315AF2"/>
    <w:rsid w:val="003161CA"/>
    <w:rsid w:val="00316551"/>
    <w:rsid w:val="00316C04"/>
    <w:rsid w:val="00316D2F"/>
    <w:rsid w:val="00316EDA"/>
    <w:rsid w:val="00316FE8"/>
    <w:rsid w:val="0031719C"/>
    <w:rsid w:val="003172CB"/>
    <w:rsid w:val="00317B93"/>
    <w:rsid w:val="00317F89"/>
    <w:rsid w:val="003200E3"/>
    <w:rsid w:val="0032033C"/>
    <w:rsid w:val="00320384"/>
    <w:rsid w:val="003205BE"/>
    <w:rsid w:val="00320E70"/>
    <w:rsid w:val="00320FE5"/>
    <w:rsid w:val="00321189"/>
    <w:rsid w:val="003211E6"/>
    <w:rsid w:val="003212D9"/>
    <w:rsid w:val="003215F2"/>
    <w:rsid w:val="00321838"/>
    <w:rsid w:val="00321ABE"/>
    <w:rsid w:val="00322876"/>
    <w:rsid w:val="00322953"/>
    <w:rsid w:val="00322A6C"/>
    <w:rsid w:val="00322AA4"/>
    <w:rsid w:val="00322C81"/>
    <w:rsid w:val="00322FCB"/>
    <w:rsid w:val="0032307B"/>
    <w:rsid w:val="003237E4"/>
    <w:rsid w:val="00323CF9"/>
    <w:rsid w:val="003244DA"/>
    <w:rsid w:val="0032479D"/>
    <w:rsid w:val="00325451"/>
    <w:rsid w:val="003254DF"/>
    <w:rsid w:val="00325626"/>
    <w:rsid w:val="003256D0"/>
    <w:rsid w:val="00325887"/>
    <w:rsid w:val="003259EA"/>
    <w:rsid w:val="00325A70"/>
    <w:rsid w:val="00325FCA"/>
    <w:rsid w:val="00326168"/>
    <w:rsid w:val="0032646E"/>
    <w:rsid w:val="00326701"/>
    <w:rsid w:val="00326783"/>
    <w:rsid w:val="00326844"/>
    <w:rsid w:val="0032692D"/>
    <w:rsid w:val="0032697B"/>
    <w:rsid w:val="00326B1B"/>
    <w:rsid w:val="00327241"/>
    <w:rsid w:val="00327268"/>
    <w:rsid w:val="0032732A"/>
    <w:rsid w:val="003273B9"/>
    <w:rsid w:val="003275A9"/>
    <w:rsid w:val="00327AC7"/>
    <w:rsid w:val="00327B1E"/>
    <w:rsid w:val="003306E4"/>
    <w:rsid w:val="00331162"/>
    <w:rsid w:val="00331184"/>
    <w:rsid w:val="003311A6"/>
    <w:rsid w:val="003314DD"/>
    <w:rsid w:val="0033171F"/>
    <w:rsid w:val="003317C0"/>
    <w:rsid w:val="00331A29"/>
    <w:rsid w:val="00332186"/>
    <w:rsid w:val="003325E8"/>
    <w:rsid w:val="00332A69"/>
    <w:rsid w:val="00332ECD"/>
    <w:rsid w:val="0033337C"/>
    <w:rsid w:val="00333C32"/>
    <w:rsid w:val="00333D62"/>
    <w:rsid w:val="0033438F"/>
    <w:rsid w:val="00334BEE"/>
    <w:rsid w:val="003354D0"/>
    <w:rsid w:val="003356D9"/>
    <w:rsid w:val="00335B96"/>
    <w:rsid w:val="00335DC5"/>
    <w:rsid w:val="003360D3"/>
    <w:rsid w:val="00336B12"/>
    <w:rsid w:val="00336B32"/>
    <w:rsid w:val="00336E22"/>
    <w:rsid w:val="00337029"/>
    <w:rsid w:val="003372CC"/>
    <w:rsid w:val="00337869"/>
    <w:rsid w:val="00337E0F"/>
    <w:rsid w:val="00340876"/>
    <w:rsid w:val="00340BFB"/>
    <w:rsid w:val="00341005"/>
    <w:rsid w:val="003415DF"/>
    <w:rsid w:val="00341619"/>
    <w:rsid w:val="00341A17"/>
    <w:rsid w:val="00341B95"/>
    <w:rsid w:val="00341F24"/>
    <w:rsid w:val="00342151"/>
    <w:rsid w:val="003423AE"/>
    <w:rsid w:val="003424D1"/>
    <w:rsid w:val="00342568"/>
    <w:rsid w:val="003426FF"/>
    <w:rsid w:val="003429A1"/>
    <w:rsid w:val="00342A5F"/>
    <w:rsid w:val="00343287"/>
    <w:rsid w:val="0034349D"/>
    <w:rsid w:val="00343593"/>
    <w:rsid w:val="00343765"/>
    <w:rsid w:val="00343930"/>
    <w:rsid w:val="003439BC"/>
    <w:rsid w:val="00343FF4"/>
    <w:rsid w:val="003441EA"/>
    <w:rsid w:val="00345725"/>
    <w:rsid w:val="00345A11"/>
    <w:rsid w:val="00345A45"/>
    <w:rsid w:val="00345A82"/>
    <w:rsid w:val="00345CA8"/>
    <w:rsid w:val="00345FCA"/>
    <w:rsid w:val="00346232"/>
    <w:rsid w:val="0034637E"/>
    <w:rsid w:val="00346601"/>
    <w:rsid w:val="003467AC"/>
    <w:rsid w:val="00346813"/>
    <w:rsid w:val="003469C1"/>
    <w:rsid w:val="00346C42"/>
    <w:rsid w:val="00346FC9"/>
    <w:rsid w:val="0034755F"/>
    <w:rsid w:val="003475D8"/>
    <w:rsid w:val="00347FDD"/>
    <w:rsid w:val="00350013"/>
    <w:rsid w:val="00350346"/>
    <w:rsid w:val="003508FF"/>
    <w:rsid w:val="00350B08"/>
    <w:rsid w:val="00350E07"/>
    <w:rsid w:val="00351000"/>
    <w:rsid w:val="003511D2"/>
    <w:rsid w:val="003513C1"/>
    <w:rsid w:val="00351589"/>
    <w:rsid w:val="00351A62"/>
    <w:rsid w:val="00351BE7"/>
    <w:rsid w:val="00351EA9"/>
    <w:rsid w:val="00351F8D"/>
    <w:rsid w:val="003526BA"/>
    <w:rsid w:val="00352A42"/>
    <w:rsid w:val="00352C2C"/>
    <w:rsid w:val="00352C5B"/>
    <w:rsid w:val="00353017"/>
    <w:rsid w:val="00353034"/>
    <w:rsid w:val="00353269"/>
    <w:rsid w:val="00353521"/>
    <w:rsid w:val="003537FD"/>
    <w:rsid w:val="00353E47"/>
    <w:rsid w:val="003541E3"/>
    <w:rsid w:val="0035422A"/>
    <w:rsid w:val="003548CD"/>
    <w:rsid w:val="00354AC2"/>
    <w:rsid w:val="003554B8"/>
    <w:rsid w:val="0035557A"/>
    <w:rsid w:val="003557D6"/>
    <w:rsid w:val="003559D1"/>
    <w:rsid w:val="0035639A"/>
    <w:rsid w:val="003572E4"/>
    <w:rsid w:val="003578D2"/>
    <w:rsid w:val="00357FB5"/>
    <w:rsid w:val="00360173"/>
    <w:rsid w:val="00360459"/>
    <w:rsid w:val="003609AA"/>
    <w:rsid w:val="00360D0E"/>
    <w:rsid w:val="00360ED0"/>
    <w:rsid w:val="00360FEE"/>
    <w:rsid w:val="003613D2"/>
    <w:rsid w:val="003614CC"/>
    <w:rsid w:val="00361652"/>
    <w:rsid w:val="003617BC"/>
    <w:rsid w:val="0036209A"/>
    <w:rsid w:val="003627FB"/>
    <w:rsid w:val="00362861"/>
    <w:rsid w:val="003629B7"/>
    <w:rsid w:val="00362C30"/>
    <w:rsid w:val="00362E61"/>
    <w:rsid w:val="00362FD8"/>
    <w:rsid w:val="003630C8"/>
    <w:rsid w:val="003633F9"/>
    <w:rsid w:val="0036351D"/>
    <w:rsid w:val="00363D75"/>
    <w:rsid w:val="00363E55"/>
    <w:rsid w:val="003644E6"/>
    <w:rsid w:val="003646C0"/>
    <w:rsid w:val="003648B9"/>
    <w:rsid w:val="00364F97"/>
    <w:rsid w:val="0036531C"/>
    <w:rsid w:val="00365657"/>
    <w:rsid w:val="003656BB"/>
    <w:rsid w:val="00365724"/>
    <w:rsid w:val="00365DDD"/>
    <w:rsid w:val="00365E51"/>
    <w:rsid w:val="00365F12"/>
    <w:rsid w:val="00365FE2"/>
    <w:rsid w:val="00366023"/>
    <w:rsid w:val="00366A92"/>
    <w:rsid w:val="00366D75"/>
    <w:rsid w:val="00367040"/>
    <w:rsid w:val="003678AB"/>
    <w:rsid w:val="00367E89"/>
    <w:rsid w:val="00367F86"/>
    <w:rsid w:val="003705B6"/>
    <w:rsid w:val="00370B5A"/>
    <w:rsid w:val="00371035"/>
    <w:rsid w:val="00371C48"/>
    <w:rsid w:val="00371CD5"/>
    <w:rsid w:val="00371E8B"/>
    <w:rsid w:val="00371EE7"/>
    <w:rsid w:val="00371F4D"/>
    <w:rsid w:val="00372189"/>
    <w:rsid w:val="003725B4"/>
    <w:rsid w:val="00372A2E"/>
    <w:rsid w:val="00372C17"/>
    <w:rsid w:val="00372C3F"/>
    <w:rsid w:val="00373036"/>
    <w:rsid w:val="003731DB"/>
    <w:rsid w:val="003734C0"/>
    <w:rsid w:val="00373737"/>
    <w:rsid w:val="00373C1C"/>
    <w:rsid w:val="0037433F"/>
    <w:rsid w:val="003743A9"/>
    <w:rsid w:val="003745BC"/>
    <w:rsid w:val="003749F3"/>
    <w:rsid w:val="00374D81"/>
    <w:rsid w:val="00374DB1"/>
    <w:rsid w:val="00374DC9"/>
    <w:rsid w:val="00374EDE"/>
    <w:rsid w:val="00375236"/>
    <w:rsid w:val="00375C36"/>
    <w:rsid w:val="003766D5"/>
    <w:rsid w:val="0037679F"/>
    <w:rsid w:val="003767BA"/>
    <w:rsid w:val="00376BB8"/>
    <w:rsid w:val="00377291"/>
    <w:rsid w:val="00377C78"/>
    <w:rsid w:val="00377D76"/>
    <w:rsid w:val="00380678"/>
    <w:rsid w:val="00380963"/>
    <w:rsid w:val="0038099A"/>
    <w:rsid w:val="00380D62"/>
    <w:rsid w:val="003812F9"/>
    <w:rsid w:val="00381446"/>
    <w:rsid w:val="00381A0B"/>
    <w:rsid w:val="0038239B"/>
    <w:rsid w:val="00382694"/>
    <w:rsid w:val="00382B7E"/>
    <w:rsid w:val="0038318F"/>
    <w:rsid w:val="0038344C"/>
    <w:rsid w:val="003839FA"/>
    <w:rsid w:val="00383CDF"/>
    <w:rsid w:val="00383D33"/>
    <w:rsid w:val="00383D6A"/>
    <w:rsid w:val="003840FB"/>
    <w:rsid w:val="00384BCF"/>
    <w:rsid w:val="00384C69"/>
    <w:rsid w:val="00384C6B"/>
    <w:rsid w:val="00384EB4"/>
    <w:rsid w:val="00385733"/>
    <w:rsid w:val="00385A95"/>
    <w:rsid w:val="00385E3E"/>
    <w:rsid w:val="00386081"/>
    <w:rsid w:val="00386196"/>
    <w:rsid w:val="003865A9"/>
    <w:rsid w:val="0038679F"/>
    <w:rsid w:val="00386907"/>
    <w:rsid w:val="0038699C"/>
    <w:rsid w:val="00386DA7"/>
    <w:rsid w:val="003875F3"/>
    <w:rsid w:val="00390544"/>
    <w:rsid w:val="00390F01"/>
    <w:rsid w:val="00391A90"/>
    <w:rsid w:val="00391D9C"/>
    <w:rsid w:val="00392606"/>
    <w:rsid w:val="00392D11"/>
    <w:rsid w:val="00392E51"/>
    <w:rsid w:val="0039327D"/>
    <w:rsid w:val="00393812"/>
    <w:rsid w:val="00393925"/>
    <w:rsid w:val="00393937"/>
    <w:rsid w:val="00393972"/>
    <w:rsid w:val="00393CCC"/>
    <w:rsid w:val="00393D15"/>
    <w:rsid w:val="00393D8C"/>
    <w:rsid w:val="00394082"/>
    <w:rsid w:val="0039453B"/>
    <w:rsid w:val="003947C6"/>
    <w:rsid w:val="00394A1D"/>
    <w:rsid w:val="00394A9C"/>
    <w:rsid w:val="00394B3B"/>
    <w:rsid w:val="00394C74"/>
    <w:rsid w:val="00395219"/>
    <w:rsid w:val="00396168"/>
    <w:rsid w:val="003961DA"/>
    <w:rsid w:val="00396585"/>
    <w:rsid w:val="003969E6"/>
    <w:rsid w:val="00396E0B"/>
    <w:rsid w:val="00396F6E"/>
    <w:rsid w:val="00397083"/>
    <w:rsid w:val="00397814"/>
    <w:rsid w:val="00397A9D"/>
    <w:rsid w:val="00397D98"/>
    <w:rsid w:val="00397F37"/>
    <w:rsid w:val="003A0764"/>
    <w:rsid w:val="003A1483"/>
    <w:rsid w:val="003A15AC"/>
    <w:rsid w:val="003A16D2"/>
    <w:rsid w:val="003A17E6"/>
    <w:rsid w:val="003A18E2"/>
    <w:rsid w:val="003A1A87"/>
    <w:rsid w:val="003A1AB7"/>
    <w:rsid w:val="003A1E3F"/>
    <w:rsid w:val="003A2013"/>
    <w:rsid w:val="003A24A5"/>
    <w:rsid w:val="003A2AE4"/>
    <w:rsid w:val="003A2B7C"/>
    <w:rsid w:val="003A31A6"/>
    <w:rsid w:val="003A350F"/>
    <w:rsid w:val="003A3610"/>
    <w:rsid w:val="003A3895"/>
    <w:rsid w:val="003A3A0C"/>
    <w:rsid w:val="003A3BB6"/>
    <w:rsid w:val="003A3E36"/>
    <w:rsid w:val="003A42A7"/>
    <w:rsid w:val="003A4612"/>
    <w:rsid w:val="003A4BB3"/>
    <w:rsid w:val="003A4BE5"/>
    <w:rsid w:val="003A536A"/>
    <w:rsid w:val="003A54B1"/>
    <w:rsid w:val="003A5825"/>
    <w:rsid w:val="003A5954"/>
    <w:rsid w:val="003A5C8B"/>
    <w:rsid w:val="003A60FF"/>
    <w:rsid w:val="003A61D2"/>
    <w:rsid w:val="003A669A"/>
    <w:rsid w:val="003A69D5"/>
    <w:rsid w:val="003A6E75"/>
    <w:rsid w:val="003A72A4"/>
    <w:rsid w:val="003A753B"/>
    <w:rsid w:val="003A77D4"/>
    <w:rsid w:val="003A78C7"/>
    <w:rsid w:val="003A7B3D"/>
    <w:rsid w:val="003A7F5E"/>
    <w:rsid w:val="003B0236"/>
    <w:rsid w:val="003B0314"/>
    <w:rsid w:val="003B0890"/>
    <w:rsid w:val="003B0DC3"/>
    <w:rsid w:val="003B0FDE"/>
    <w:rsid w:val="003B145C"/>
    <w:rsid w:val="003B15B8"/>
    <w:rsid w:val="003B196D"/>
    <w:rsid w:val="003B19DA"/>
    <w:rsid w:val="003B1A61"/>
    <w:rsid w:val="003B1B24"/>
    <w:rsid w:val="003B1DB1"/>
    <w:rsid w:val="003B1E94"/>
    <w:rsid w:val="003B251B"/>
    <w:rsid w:val="003B26DA"/>
    <w:rsid w:val="003B2B67"/>
    <w:rsid w:val="003B2FE7"/>
    <w:rsid w:val="003B354A"/>
    <w:rsid w:val="003B3BD7"/>
    <w:rsid w:val="003B40FD"/>
    <w:rsid w:val="003B4261"/>
    <w:rsid w:val="003B431A"/>
    <w:rsid w:val="003B4C2D"/>
    <w:rsid w:val="003B506F"/>
    <w:rsid w:val="003B5BB0"/>
    <w:rsid w:val="003B5C5B"/>
    <w:rsid w:val="003B5D84"/>
    <w:rsid w:val="003B6331"/>
    <w:rsid w:val="003B6882"/>
    <w:rsid w:val="003B6AAE"/>
    <w:rsid w:val="003B77A1"/>
    <w:rsid w:val="003B7AC8"/>
    <w:rsid w:val="003B7ADC"/>
    <w:rsid w:val="003B7B3B"/>
    <w:rsid w:val="003B7C58"/>
    <w:rsid w:val="003C0328"/>
    <w:rsid w:val="003C0B5F"/>
    <w:rsid w:val="003C0F9D"/>
    <w:rsid w:val="003C1970"/>
    <w:rsid w:val="003C1E27"/>
    <w:rsid w:val="003C1F54"/>
    <w:rsid w:val="003C1FB7"/>
    <w:rsid w:val="003C2768"/>
    <w:rsid w:val="003C2792"/>
    <w:rsid w:val="003C2963"/>
    <w:rsid w:val="003C34A4"/>
    <w:rsid w:val="003C35C2"/>
    <w:rsid w:val="003C35F0"/>
    <w:rsid w:val="003C3B70"/>
    <w:rsid w:val="003C44BB"/>
    <w:rsid w:val="003C47AA"/>
    <w:rsid w:val="003C4AF1"/>
    <w:rsid w:val="003C4E71"/>
    <w:rsid w:val="003C4ECE"/>
    <w:rsid w:val="003C55F0"/>
    <w:rsid w:val="003C5648"/>
    <w:rsid w:val="003C5685"/>
    <w:rsid w:val="003C5803"/>
    <w:rsid w:val="003C5A96"/>
    <w:rsid w:val="003C5AA5"/>
    <w:rsid w:val="003C5C17"/>
    <w:rsid w:val="003C5F16"/>
    <w:rsid w:val="003C620C"/>
    <w:rsid w:val="003C641B"/>
    <w:rsid w:val="003C65EE"/>
    <w:rsid w:val="003C698A"/>
    <w:rsid w:val="003C72B9"/>
    <w:rsid w:val="003C7A27"/>
    <w:rsid w:val="003D0076"/>
    <w:rsid w:val="003D0C9E"/>
    <w:rsid w:val="003D1198"/>
    <w:rsid w:val="003D1A32"/>
    <w:rsid w:val="003D1C1A"/>
    <w:rsid w:val="003D1DA5"/>
    <w:rsid w:val="003D2207"/>
    <w:rsid w:val="003D228B"/>
    <w:rsid w:val="003D24BD"/>
    <w:rsid w:val="003D296F"/>
    <w:rsid w:val="003D2B1D"/>
    <w:rsid w:val="003D2CCB"/>
    <w:rsid w:val="003D2FE5"/>
    <w:rsid w:val="003D349B"/>
    <w:rsid w:val="003D3762"/>
    <w:rsid w:val="003D37E9"/>
    <w:rsid w:val="003D3836"/>
    <w:rsid w:val="003D3C4C"/>
    <w:rsid w:val="003D3EF1"/>
    <w:rsid w:val="003D4585"/>
    <w:rsid w:val="003D4B65"/>
    <w:rsid w:val="003D4B6E"/>
    <w:rsid w:val="003D4DD2"/>
    <w:rsid w:val="003D513C"/>
    <w:rsid w:val="003D5338"/>
    <w:rsid w:val="003D620D"/>
    <w:rsid w:val="003D694B"/>
    <w:rsid w:val="003D6C78"/>
    <w:rsid w:val="003D6F6C"/>
    <w:rsid w:val="003D759F"/>
    <w:rsid w:val="003D7FC4"/>
    <w:rsid w:val="003D7FF8"/>
    <w:rsid w:val="003E011A"/>
    <w:rsid w:val="003E05DF"/>
    <w:rsid w:val="003E085A"/>
    <w:rsid w:val="003E0BCD"/>
    <w:rsid w:val="003E0CC9"/>
    <w:rsid w:val="003E0E3D"/>
    <w:rsid w:val="003E1077"/>
    <w:rsid w:val="003E1409"/>
    <w:rsid w:val="003E14D5"/>
    <w:rsid w:val="003E1967"/>
    <w:rsid w:val="003E1C40"/>
    <w:rsid w:val="003E2321"/>
    <w:rsid w:val="003E2414"/>
    <w:rsid w:val="003E248F"/>
    <w:rsid w:val="003E252F"/>
    <w:rsid w:val="003E2810"/>
    <w:rsid w:val="003E28A2"/>
    <w:rsid w:val="003E2BB2"/>
    <w:rsid w:val="003E2DF9"/>
    <w:rsid w:val="003E30AA"/>
    <w:rsid w:val="003E33F3"/>
    <w:rsid w:val="003E396C"/>
    <w:rsid w:val="003E39ED"/>
    <w:rsid w:val="003E3E6C"/>
    <w:rsid w:val="003E4147"/>
    <w:rsid w:val="003E4959"/>
    <w:rsid w:val="003E4D3B"/>
    <w:rsid w:val="003E4DD9"/>
    <w:rsid w:val="003E50FF"/>
    <w:rsid w:val="003E58FB"/>
    <w:rsid w:val="003E5FDA"/>
    <w:rsid w:val="003E632B"/>
    <w:rsid w:val="003E63F2"/>
    <w:rsid w:val="003E6A8E"/>
    <w:rsid w:val="003E6EF6"/>
    <w:rsid w:val="003E77E5"/>
    <w:rsid w:val="003F0E08"/>
    <w:rsid w:val="003F17A9"/>
    <w:rsid w:val="003F196F"/>
    <w:rsid w:val="003F1D6D"/>
    <w:rsid w:val="003F1EEA"/>
    <w:rsid w:val="003F219F"/>
    <w:rsid w:val="003F21A1"/>
    <w:rsid w:val="003F2235"/>
    <w:rsid w:val="003F2376"/>
    <w:rsid w:val="003F25EB"/>
    <w:rsid w:val="003F29FC"/>
    <w:rsid w:val="003F364C"/>
    <w:rsid w:val="003F394B"/>
    <w:rsid w:val="003F3A15"/>
    <w:rsid w:val="003F4839"/>
    <w:rsid w:val="003F48CD"/>
    <w:rsid w:val="003F4B4D"/>
    <w:rsid w:val="003F5110"/>
    <w:rsid w:val="003F5171"/>
    <w:rsid w:val="003F6421"/>
    <w:rsid w:val="003F64D5"/>
    <w:rsid w:val="003F6F97"/>
    <w:rsid w:val="003F7291"/>
    <w:rsid w:val="003F7357"/>
    <w:rsid w:val="003F737C"/>
    <w:rsid w:val="003F73A7"/>
    <w:rsid w:val="003F740B"/>
    <w:rsid w:val="003F74CF"/>
    <w:rsid w:val="003F753C"/>
    <w:rsid w:val="003F7756"/>
    <w:rsid w:val="003F799C"/>
    <w:rsid w:val="003F7F56"/>
    <w:rsid w:val="004000C5"/>
    <w:rsid w:val="00400117"/>
    <w:rsid w:val="00400367"/>
    <w:rsid w:val="00400D73"/>
    <w:rsid w:val="00400DA2"/>
    <w:rsid w:val="00401076"/>
    <w:rsid w:val="0040150B"/>
    <w:rsid w:val="00401532"/>
    <w:rsid w:val="004015D2"/>
    <w:rsid w:val="004021E6"/>
    <w:rsid w:val="00402335"/>
    <w:rsid w:val="00402598"/>
    <w:rsid w:val="0040276F"/>
    <w:rsid w:val="00402AAA"/>
    <w:rsid w:val="00402C2A"/>
    <w:rsid w:val="00402D91"/>
    <w:rsid w:val="00402FA6"/>
    <w:rsid w:val="004032AF"/>
    <w:rsid w:val="004037F1"/>
    <w:rsid w:val="00403EAC"/>
    <w:rsid w:val="00404683"/>
    <w:rsid w:val="00404823"/>
    <w:rsid w:val="00404A09"/>
    <w:rsid w:val="00404C49"/>
    <w:rsid w:val="00404EB7"/>
    <w:rsid w:val="00405011"/>
    <w:rsid w:val="00405265"/>
    <w:rsid w:val="0040532E"/>
    <w:rsid w:val="0040582D"/>
    <w:rsid w:val="00405BD7"/>
    <w:rsid w:val="00406C12"/>
    <w:rsid w:val="00407096"/>
    <w:rsid w:val="0040730A"/>
    <w:rsid w:val="00407462"/>
    <w:rsid w:val="00407CD1"/>
    <w:rsid w:val="00410725"/>
    <w:rsid w:val="00410C71"/>
    <w:rsid w:val="00412457"/>
    <w:rsid w:val="00412798"/>
    <w:rsid w:val="0041285D"/>
    <w:rsid w:val="00412D53"/>
    <w:rsid w:val="00413275"/>
    <w:rsid w:val="004133EF"/>
    <w:rsid w:val="00413638"/>
    <w:rsid w:val="00413996"/>
    <w:rsid w:val="00414299"/>
    <w:rsid w:val="00414651"/>
    <w:rsid w:val="004146E0"/>
    <w:rsid w:val="00414720"/>
    <w:rsid w:val="00414FA6"/>
    <w:rsid w:val="00415171"/>
    <w:rsid w:val="0041558C"/>
    <w:rsid w:val="00415886"/>
    <w:rsid w:val="004159D4"/>
    <w:rsid w:val="0041615B"/>
    <w:rsid w:val="004163E5"/>
    <w:rsid w:val="00416B8F"/>
    <w:rsid w:val="00416DBD"/>
    <w:rsid w:val="00416EEF"/>
    <w:rsid w:val="00417114"/>
    <w:rsid w:val="00417E89"/>
    <w:rsid w:val="004200F9"/>
    <w:rsid w:val="00420274"/>
    <w:rsid w:val="00420377"/>
    <w:rsid w:val="0042045A"/>
    <w:rsid w:val="004204EF"/>
    <w:rsid w:val="00420EEB"/>
    <w:rsid w:val="00421132"/>
    <w:rsid w:val="0042141A"/>
    <w:rsid w:val="0042171C"/>
    <w:rsid w:val="00421BC3"/>
    <w:rsid w:val="0042227A"/>
    <w:rsid w:val="004224FD"/>
    <w:rsid w:val="00422541"/>
    <w:rsid w:val="00422BE7"/>
    <w:rsid w:val="0042322E"/>
    <w:rsid w:val="004233A8"/>
    <w:rsid w:val="004233D8"/>
    <w:rsid w:val="00423F59"/>
    <w:rsid w:val="00424697"/>
    <w:rsid w:val="00424D40"/>
    <w:rsid w:val="00425060"/>
    <w:rsid w:val="0042523D"/>
    <w:rsid w:val="004253E2"/>
    <w:rsid w:val="00425579"/>
    <w:rsid w:val="00425851"/>
    <w:rsid w:val="004261CB"/>
    <w:rsid w:val="004262A9"/>
    <w:rsid w:val="0042632B"/>
    <w:rsid w:val="0042678B"/>
    <w:rsid w:val="00426907"/>
    <w:rsid w:val="00426A6B"/>
    <w:rsid w:val="00426A7B"/>
    <w:rsid w:val="00426AAC"/>
    <w:rsid w:val="00426C49"/>
    <w:rsid w:val="00426D2D"/>
    <w:rsid w:val="004271E4"/>
    <w:rsid w:val="00427499"/>
    <w:rsid w:val="004274EA"/>
    <w:rsid w:val="00427515"/>
    <w:rsid w:val="00427B4D"/>
    <w:rsid w:val="00427F33"/>
    <w:rsid w:val="00430459"/>
    <w:rsid w:val="0043085F"/>
    <w:rsid w:val="00430A26"/>
    <w:rsid w:val="00430D21"/>
    <w:rsid w:val="0043104F"/>
    <w:rsid w:val="00431262"/>
    <w:rsid w:val="00431979"/>
    <w:rsid w:val="00431F70"/>
    <w:rsid w:val="004329C4"/>
    <w:rsid w:val="00432B70"/>
    <w:rsid w:val="00432F25"/>
    <w:rsid w:val="00432FE8"/>
    <w:rsid w:val="0043376B"/>
    <w:rsid w:val="00434436"/>
    <w:rsid w:val="0043445C"/>
    <w:rsid w:val="00434ACB"/>
    <w:rsid w:val="004356B9"/>
    <w:rsid w:val="00436358"/>
    <w:rsid w:val="0043648A"/>
    <w:rsid w:val="00436527"/>
    <w:rsid w:val="00436581"/>
    <w:rsid w:val="00436D3C"/>
    <w:rsid w:val="00437744"/>
    <w:rsid w:val="004378A5"/>
    <w:rsid w:val="00437AE9"/>
    <w:rsid w:val="004403D8"/>
    <w:rsid w:val="004408B2"/>
    <w:rsid w:val="00440D4E"/>
    <w:rsid w:val="00440FDE"/>
    <w:rsid w:val="00441504"/>
    <w:rsid w:val="00441C58"/>
    <w:rsid w:val="00441D16"/>
    <w:rsid w:val="00441D93"/>
    <w:rsid w:val="00441E39"/>
    <w:rsid w:val="00441E5D"/>
    <w:rsid w:val="00442090"/>
    <w:rsid w:val="004428BE"/>
    <w:rsid w:val="00442D38"/>
    <w:rsid w:val="004430F6"/>
    <w:rsid w:val="00443A05"/>
    <w:rsid w:val="00443C55"/>
    <w:rsid w:val="0044408E"/>
    <w:rsid w:val="00444400"/>
    <w:rsid w:val="004446DD"/>
    <w:rsid w:val="004447FF"/>
    <w:rsid w:val="00444E7A"/>
    <w:rsid w:val="004453FA"/>
    <w:rsid w:val="00445663"/>
    <w:rsid w:val="00445C50"/>
    <w:rsid w:val="00445C96"/>
    <w:rsid w:val="0044632D"/>
    <w:rsid w:val="004463E3"/>
    <w:rsid w:val="00446685"/>
    <w:rsid w:val="00446792"/>
    <w:rsid w:val="00446CCB"/>
    <w:rsid w:val="00446DF7"/>
    <w:rsid w:val="00446EBA"/>
    <w:rsid w:val="00446EF5"/>
    <w:rsid w:val="00447D57"/>
    <w:rsid w:val="00450087"/>
    <w:rsid w:val="004501CA"/>
    <w:rsid w:val="00450582"/>
    <w:rsid w:val="00450622"/>
    <w:rsid w:val="00450A31"/>
    <w:rsid w:val="00450CEC"/>
    <w:rsid w:val="00450D7A"/>
    <w:rsid w:val="00450EE0"/>
    <w:rsid w:val="0045105B"/>
    <w:rsid w:val="00451285"/>
    <w:rsid w:val="004513ED"/>
    <w:rsid w:val="004519B0"/>
    <w:rsid w:val="00451E7D"/>
    <w:rsid w:val="00452300"/>
    <w:rsid w:val="004539FD"/>
    <w:rsid w:val="00453C1F"/>
    <w:rsid w:val="00454E4E"/>
    <w:rsid w:val="0045516C"/>
    <w:rsid w:val="004553A4"/>
    <w:rsid w:val="004555F4"/>
    <w:rsid w:val="00455FB7"/>
    <w:rsid w:val="0045607E"/>
    <w:rsid w:val="00456358"/>
    <w:rsid w:val="004563CC"/>
    <w:rsid w:val="004567D1"/>
    <w:rsid w:val="004567FC"/>
    <w:rsid w:val="00456848"/>
    <w:rsid w:val="0045684F"/>
    <w:rsid w:val="0045689A"/>
    <w:rsid w:val="004568A8"/>
    <w:rsid w:val="00456FB3"/>
    <w:rsid w:val="0045724F"/>
    <w:rsid w:val="004572D0"/>
    <w:rsid w:val="0045746A"/>
    <w:rsid w:val="004575E2"/>
    <w:rsid w:val="00457CED"/>
    <w:rsid w:val="0046095E"/>
    <w:rsid w:val="00460E40"/>
    <w:rsid w:val="00461433"/>
    <w:rsid w:val="0046183B"/>
    <w:rsid w:val="0046193B"/>
    <w:rsid w:val="00461BD3"/>
    <w:rsid w:val="00462612"/>
    <w:rsid w:val="00462638"/>
    <w:rsid w:val="004627F2"/>
    <w:rsid w:val="00462DE9"/>
    <w:rsid w:val="00462FF8"/>
    <w:rsid w:val="00463554"/>
    <w:rsid w:val="00463785"/>
    <w:rsid w:val="00463821"/>
    <w:rsid w:val="00463AB5"/>
    <w:rsid w:val="00464376"/>
    <w:rsid w:val="0046457A"/>
    <w:rsid w:val="004649D0"/>
    <w:rsid w:val="00464D54"/>
    <w:rsid w:val="00464D58"/>
    <w:rsid w:val="00464E9E"/>
    <w:rsid w:val="00465147"/>
    <w:rsid w:val="00465A1B"/>
    <w:rsid w:val="00465DC8"/>
    <w:rsid w:val="0046680E"/>
    <w:rsid w:val="00466889"/>
    <w:rsid w:val="00466B30"/>
    <w:rsid w:val="00467368"/>
    <w:rsid w:val="00467793"/>
    <w:rsid w:val="0046791D"/>
    <w:rsid w:val="00467976"/>
    <w:rsid w:val="00467AA2"/>
    <w:rsid w:val="00467C35"/>
    <w:rsid w:val="00467EB5"/>
    <w:rsid w:val="0047002C"/>
    <w:rsid w:val="0047005B"/>
    <w:rsid w:val="004702A3"/>
    <w:rsid w:val="00470303"/>
    <w:rsid w:val="004708A8"/>
    <w:rsid w:val="00470B0C"/>
    <w:rsid w:val="00470E9A"/>
    <w:rsid w:val="00470F3A"/>
    <w:rsid w:val="0047103B"/>
    <w:rsid w:val="0047122B"/>
    <w:rsid w:val="004712E2"/>
    <w:rsid w:val="004713FD"/>
    <w:rsid w:val="004714BF"/>
    <w:rsid w:val="00471663"/>
    <w:rsid w:val="004717C7"/>
    <w:rsid w:val="0047182E"/>
    <w:rsid w:val="00471874"/>
    <w:rsid w:val="004719EC"/>
    <w:rsid w:val="00471AA9"/>
    <w:rsid w:val="00472037"/>
    <w:rsid w:val="00472506"/>
    <w:rsid w:val="004725DA"/>
    <w:rsid w:val="004725E5"/>
    <w:rsid w:val="00472AF1"/>
    <w:rsid w:val="00473126"/>
    <w:rsid w:val="0047343E"/>
    <w:rsid w:val="00473742"/>
    <w:rsid w:val="00473B5F"/>
    <w:rsid w:val="00473F2F"/>
    <w:rsid w:val="00473FFF"/>
    <w:rsid w:val="004740EA"/>
    <w:rsid w:val="0047434E"/>
    <w:rsid w:val="0047451D"/>
    <w:rsid w:val="0047466D"/>
    <w:rsid w:val="004750C3"/>
    <w:rsid w:val="00475326"/>
    <w:rsid w:val="0047534F"/>
    <w:rsid w:val="004758D7"/>
    <w:rsid w:val="004758E4"/>
    <w:rsid w:val="00476612"/>
    <w:rsid w:val="004768F8"/>
    <w:rsid w:val="0047752B"/>
    <w:rsid w:val="0047763A"/>
    <w:rsid w:val="00477C49"/>
    <w:rsid w:val="00477EA4"/>
    <w:rsid w:val="00480122"/>
    <w:rsid w:val="004801A3"/>
    <w:rsid w:val="00480B3D"/>
    <w:rsid w:val="00481046"/>
    <w:rsid w:val="004814B9"/>
    <w:rsid w:val="004819B7"/>
    <w:rsid w:val="0048208F"/>
    <w:rsid w:val="00482188"/>
    <w:rsid w:val="00482683"/>
    <w:rsid w:val="0048294E"/>
    <w:rsid w:val="00482AE9"/>
    <w:rsid w:val="00482DC7"/>
    <w:rsid w:val="004837B4"/>
    <w:rsid w:val="00483B90"/>
    <w:rsid w:val="00483DC7"/>
    <w:rsid w:val="00483E68"/>
    <w:rsid w:val="004842DC"/>
    <w:rsid w:val="00484437"/>
    <w:rsid w:val="00484D86"/>
    <w:rsid w:val="00484E6C"/>
    <w:rsid w:val="004850BA"/>
    <w:rsid w:val="00485C6B"/>
    <w:rsid w:val="00485E7C"/>
    <w:rsid w:val="00485F75"/>
    <w:rsid w:val="004860F9"/>
    <w:rsid w:val="00486455"/>
    <w:rsid w:val="00486B93"/>
    <w:rsid w:val="00486E03"/>
    <w:rsid w:val="00486F10"/>
    <w:rsid w:val="0048754A"/>
    <w:rsid w:val="00487ACB"/>
    <w:rsid w:val="00487D1B"/>
    <w:rsid w:val="00487E5A"/>
    <w:rsid w:val="00487F8D"/>
    <w:rsid w:val="00490695"/>
    <w:rsid w:val="004907DE"/>
    <w:rsid w:val="004909C8"/>
    <w:rsid w:val="00490A13"/>
    <w:rsid w:val="00490A50"/>
    <w:rsid w:val="0049115C"/>
    <w:rsid w:val="004917AB"/>
    <w:rsid w:val="00491C30"/>
    <w:rsid w:val="004921DB"/>
    <w:rsid w:val="004925AD"/>
    <w:rsid w:val="00492A72"/>
    <w:rsid w:val="00492C98"/>
    <w:rsid w:val="0049311D"/>
    <w:rsid w:val="00493127"/>
    <w:rsid w:val="004933FE"/>
    <w:rsid w:val="004935D2"/>
    <w:rsid w:val="004936C0"/>
    <w:rsid w:val="00493A2E"/>
    <w:rsid w:val="00493A8B"/>
    <w:rsid w:val="00493C15"/>
    <w:rsid w:val="004940DA"/>
    <w:rsid w:val="0049462D"/>
    <w:rsid w:val="004948A7"/>
    <w:rsid w:val="004949F7"/>
    <w:rsid w:val="004956D1"/>
    <w:rsid w:val="00495704"/>
    <w:rsid w:val="004957BC"/>
    <w:rsid w:val="00495838"/>
    <w:rsid w:val="00495B2E"/>
    <w:rsid w:val="004960DA"/>
    <w:rsid w:val="004961A0"/>
    <w:rsid w:val="004969FD"/>
    <w:rsid w:val="00496CB3"/>
    <w:rsid w:val="00496FE5"/>
    <w:rsid w:val="004973C7"/>
    <w:rsid w:val="004974BC"/>
    <w:rsid w:val="004976F3"/>
    <w:rsid w:val="004977FC"/>
    <w:rsid w:val="00497C46"/>
    <w:rsid w:val="00497C7E"/>
    <w:rsid w:val="00497D16"/>
    <w:rsid w:val="00497D9D"/>
    <w:rsid w:val="00497F7C"/>
    <w:rsid w:val="00497FFE"/>
    <w:rsid w:val="004A00E8"/>
    <w:rsid w:val="004A0346"/>
    <w:rsid w:val="004A0707"/>
    <w:rsid w:val="004A07A7"/>
    <w:rsid w:val="004A0AD6"/>
    <w:rsid w:val="004A0B4B"/>
    <w:rsid w:val="004A0C13"/>
    <w:rsid w:val="004A11ED"/>
    <w:rsid w:val="004A1447"/>
    <w:rsid w:val="004A199D"/>
    <w:rsid w:val="004A215B"/>
    <w:rsid w:val="004A2C63"/>
    <w:rsid w:val="004A2E3D"/>
    <w:rsid w:val="004A3290"/>
    <w:rsid w:val="004A339B"/>
    <w:rsid w:val="004A339D"/>
    <w:rsid w:val="004A3641"/>
    <w:rsid w:val="004A399E"/>
    <w:rsid w:val="004A39CD"/>
    <w:rsid w:val="004A3AB8"/>
    <w:rsid w:val="004A3BF8"/>
    <w:rsid w:val="004A3E82"/>
    <w:rsid w:val="004A4176"/>
    <w:rsid w:val="004A432A"/>
    <w:rsid w:val="004A4B31"/>
    <w:rsid w:val="004A4F2D"/>
    <w:rsid w:val="004A4FF0"/>
    <w:rsid w:val="004A53CA"/>
    <w:rsid w:val="004A62B0"/>
    <w:rsid w:val="004A642B"/>
    <w:rsid w:val="004A6608"/>
    <w:rsid w:val="004A707F"/>
    <w:rsid w:val="004A759B"/>
    <w:rsid w:val="004A788E"/>
    <w:rsid w:val="004B0306"/>
    <w:rsid w:val="004B0819"/>
    <w:rsid w:val="004B0D13"/>
    <w:rsid w:val="004B0F8B"/>
    <w:rsid w:val="004B0FD7"/>
    <w:rsid w:val="004B1622"/>
    <w:rsid w:val="004B1720"/>
    <w:rsid w:val="004B1AE0"/>
    <w:rsid w:val="004B20BB"/>
    <w:rsid w:val="004B2206"/>
    <w:rsid w:val="004B2277"/>
    <w:rsid w:val="004B286C"/>
    <w:rsid w:val="004B35BA"/>
    <w:rsid w:val="004B35D2"/>
    <w:rsid w:val="004B36F5"/>
    <w:rsid w:val="004B3919"/>
    <w:rsid w:val="004B392A"/>
    <w:rsid w:val="004B3A73"/>
    <w:rsid w:val="004B42C3"/>
    <w:rsid w:val="004B4C7B"/>
    <w:rsid w:val="004B4D26"/>
    <w:rsid w:val="004B506D"/>
    <w:rsid w:val="004B5E84"/>
    <w:rsid w:val="004B65AE"/>
    <w:rsid w:val="004B67A1"/>
    <w:rsid w:val="004B6F50"/>
    <w:rsid w:val="004B76CD"/>
    <w:rsid w:val="004B79B2"/>
    <w:rsid w:val="004B7D39"/>
    <w:rsid w:val="004C017A"/>
    <w:rsid w:val="004C150B"/>
    <w:rsid w:val="004C180A"/>
    <w:rsid w:val="004C18C5"/>
    <w:rsid w:val="004C1AF7"/>
    <w:rsid w:val="004C221C"/>
    <w:rsid w:val="004C26E4"/>
    <w:rsid w:val="004C32B2"/>
    <w:rsid w:val="004C35AC"/>
    <w:rsid w:val="004C390D"/>
    <w:rsid w:val="004C3FF6"/>
    <w:rsid w:val="004C49D7"/>
    <w:rsid w:val="004C4D16"/>
    <w:rsid w:val="004C4D29"/>
    <w:rsid w:val="004C57D0"/>
    <w:rsid w:val="004C5831"/>
    <w:rsid w:val="004C58ED"/>
    <w:rsid w:val="004C5FCF"/>
    <w:rsid w:val="004C60EF"/>
    <w:rsid w:val="004C63A1"/>
    <w:rsid w:val="004C6496"/>
    <w:rsid w:val="004C664B"/>
    <w:rsid w:val="004C6773"/>
    <w:rsid w:val="004C6C6C"/>
    <w:rsid w:val="004C6CD8"/>
    <w:rsid w:val="004C6FF0"/>
    <w:rsid w:val="004C70C9"/>
    <w:rsid w:val="004C7AED"/>
    <w:rsid w:val="004C7E7C"/>
    <w:rsid w:val="004D00C5"/>
    <w:rsid w:val="004D01DB"/>
    <w:rsid w:val="004D01F0"/>
    <w:rsid w:val="004D0595"/>
    <w:rsid w:val="004D0A63"/>
    <w:rsid w:val="004D0B0F"/>
    <w:rsid w:val="004D0BC9"/>
    <w:rsid w:val="004D1055"/>
    <w:rsid w:val="004D1594"/>
    <w:rsid w:val="004D177A"/>
    <w:rsid w:val="004D1DAB"/>
    <w:rsid w:val="004D2024"/>
    <w:rsid w:val="004D206B"/>
    <w:rsid w:val="004D22F9"/>
    <w:rsid w:val="004D2340"/>
    <w:rsid w:val="004D2575"/>
    <w:rsid w:val="004D274E"/>
    <w:rsid w:val="004D2BC0"/>
    <w:rsid w:val="004D2F0A"/>
    <w:rsid w:val="004D2F57"/>
    <w:rsid w:val="004D3228"/>
    <w:rsid w:val="004D3483"/>
    <w:rsid w:val="004D373E"/>
    <w:rsid w:val="004D3C35"/>
    <w:rsid w:val="004D3C5A"/>
    <w:rsid w:val="004D486C"/>
    <w:rsid w:val="004D4F46"/>
    <w:rsid w:val="004D51C4"/>
    <w:rsid w:val="004D526D"/>
    <w:rsid w:val="004D566D"/>
    <w:rsid w:val="004D567B"/>
    <w:rsid w:val="004D5B43"/>
    <w:rsid w:val="004D6318"/>
    <w:rsid w:val="004D6F0F"/>
    <w:rsid w:val="004D706A"/>
    <w:rsid w:val="004D79BB"/>
    <w:rsid w:val="004E03E5"/>
    <w:rsid w:val="004E04DC"/>
    <w:rsid w:val="004E057C"/>
    <w:rsid w:val="004E0D05"/>
    <w:rsid w:val="004E1479"/>
    <w:rsid w:val="004E1808"/>
    <w:rsid w:val="004E1871"/>
    <w:rsid w:val="004E1B71"/>
    <w:rsid w:val="004E210A"/>
    <w:rsid w:val="004E2261"/>
    <w:rsid w:val="004E2375"/>
    <w:rsid w:val="004E25CC"/>
    <w:rsid w:val="004E25F9"/>
    <w:rsid w:val="004E38A5"/>
    <w:rsid w:val="004E43B0"/>
    <w:rsid w:val="004E456C"/>
    <w:rsid w:val="004E46BC"/>
    <w:rsid w:val="004E472A"/>
    <w:rsid w:val="004E4C98"/>
    <w:rsid w:val="004E4CE7"/>
    <w:rsid w:val="004E5427"/>
    <w:rsid w:val="004E599F"/>
    <w:rsid w:val="004E5DAB"/>
    <w:rsid w:val="004E6237"/>
    <w:rsid w:val="004E633C"/>
    <w:rsid w:val="004E6396"/>
    <w:rsid w:val="004E6438"/>
    <w:rsid w:val="004E66DF"/>
    <w:rsid w:val="004E68EC"/>
    <w:rsid w:val="004E6F33"/>
    <w:rsid w:val="004E7034"/>
    <w:rsid w:val="004E7127"/>
    <w:rsid w:val="004E7179"/>
    <w:rsid w:val="004E7762"/>
    <w:rsid w:val="004E7AF6"/>
    <w:rsid w:val="004E7CA7"/>
    <w:rsid w:val="004E7D68"/>
    <w:rsid w:val="004E7D7A"/>
    <w:rsid w:val="004F013E"/>
    <w:rsid w:val="004F048B"/>
    <w:rsid w:val="004F0D95"/>
    <w:rsid w:val="004F0F4B"/>
    <w:rsid w:val="004F0F8B"/>
    <w:rsid w:val="004F13DD"/>
    <w:rsid w:val="004F194B"/>
    <w:rsid w:val="004F195B"/>
    <w:rsid w:val="004F1DE4"/>
    <w:rsid w:val="004F22F2"/>
    <w:rsid w:val="004F26F3"/>
    <w:rsid w:val="004F2DDE"/>
    <w:rsid w:val="004F39B9"/>
    <w:rsid w:val="004F3C21"/>
    <w:rsid w:val="004F45B3"/>
    <w:rsid w:val="004F45C5"/>
    <w:rsid w:val="004F46CA"/>
    <w:rsid w:val="004F4ADE"/>
    <w:rsid w:val="004F4C7B"/>
    <w:rsid w:val="004F5365"/>
    <w:rsid w:val="004F557C"/>
    <w:rsid w:val="004F58E3"/>
    <w:rsid w:val="004F5A6B"/>
    <w:rsid w:val="004F5AE4"/>
    <w:rsid w:val="004F5B16"/>
    <w:rsid w:val="004F5F55"/>
    <w:rsid w:val="004F5F84"/>
    <w:rsid w:val="004F6034"/>
    <w:rsid w:val="004F61F2"/>
    <w:rsid w:val="004F6430"/>
    <w:rsid w:val="004F66B1"/>
    <w:rsid w:val="004F66E3"/>
    <w:rsid w:val="004F6FF0"/>
    <w:rsid w:val="004F7126"/>
    <w:rsid w:val="004F7960"/>
    <w:rsid w:val="004F79FC"/>
    <w:rsid w:val="004F7E12"/>
    <w:rsid w:val="00500361"/>
    <w:rsid w:val="005004C4"/>
    <w:rsid w:val="00500E82"/>
    <w:rsid w:val="00501055"/>
    <w:rsid w:val="0050106F"/>
    <w:rsid w:val="0050163A"/>
    <w:rsid w:val="005019A0"/>
    <w:rsid w:val="00501BA1"/>
    <w:rsid w:val="00501C8F"/>
    <w:rsid w:val="005023A4"/>
    <w:rsid w:val="00502653"/>
    <w:rsid w:val="005026BB"/>
    <w:rsid w:val="00502768"/>
    <w:rsid w:val="005028EE"/>
    <w:rsid w:val="00502C9A"/>
    <w:rsid w:val="00502DDA"/>
    <w:rsid w:val="00502EE8"/>
    <w:rsid w:val="0050349B"/>
    <w:rsid w:val="00503913"/>
    <w:rsid w:val="00503924"/>
    <w:rsid w:val="005039E2"/>
    <w:rsid w:val="0050415C"/>
    <w:rsid w:val="00504232"/>
    <w:rsid w:val="005043B5"/>
    <w:rsid w:val="0050444B"/>
    <w:rsid w:val="00504463"/>
    <w:rsid w:val="00504610"/>
    <w:rsid w:val="00504974"/>
    <w:rsid w:val="00504BC4"/>
    <w:rsid w:val="00504C92"/>
    <w:rsid w:val="00504CB0"/>
    <w:rsid w:val="00504F8C"/>
    <w:rsid w:val="005051DD"/>
    <w:rsid w:val="0050529B"/>
    <w:rsid w:val="005058AF"/>
    <w:rsid w:val="00505D6F"/>
    <w:rsid w:val="00506006"/>
    <w:rsid w:val="005069A7"/>
    <w:rsid w:val="005069E6"/>
    <w:rsid w:val="00506CE6"/>
    <w:rsid w:val="00506F0F"/>
    <w:rsid w:val="0050704D"/>
    <w:rsid w:val="00507126"/>
    <w:rsid w:val="0050735B"/>
    <w:rsid w:val="0050784F"/>
    <w:rsid w:val="0050787F"/>
    <w:rsid w:val="00507AB1"/>
    <w:rsid w:val="00507B7A"/>
    <w:rsid w:val="00507CED"/>
    <w:rsid w:val="00507F9D"/>
    <w:rsid w:val="005103A5"/>
    <w:rsid w:val="005105CC"/>
    <w:rsid w:val="00510994"/>
    <w:rsid w:val="00510ACA"/>
    <w:rsid w:val="00510EC2"/>
    <w:rsid w:val="00511580"/>
    <w:rsid w:val="0051167C"/>
    <w:rsid w:val="005118A1"/>
    <w:rsid w:val="005118F7"/>
    <w:rsid w:val="00511ED3"/>
    <w:rsid w:val="00512396"/>
    <w:rsid w:val="005123B4"/>
    <w:rsid w:val="00512958"/>
    <w:rsid w:val="005129B5"/>
    <w:rsid w:val="00512ACF"/>
    <w:rsid w:val="00512B43"/>
    <w:rsid w:val="00512EE9"/>
    <w:rsid w:val="005133E0"/>
    <w:rsid w:val="00513891"/>
    <w:rsid w:val="0051395C"/>
    <w:rsid w:val="00513B09"/>
    <w:rsid w:val="00513BE8"/>
    <w:rsid w:val="00513D54"/>
    <w:rsid w:val="00513EF6"/>
    <w:rsid w:val="00514251"/>
    <w:rsid w:val="005149D6"/>
    <w:rsid w:val="0051517D"/>
    <w:rsid w:val="00515283"/>
    <w:rsid w:val="0051535B"/>
    <w:rsid w:val="005156AA"/>
    <w:rsid w:val="005157F9"/>
    <w:rsid w:val="00515838"/>
    <w:rsid w:val="00515BAD"/>
    <w:rsid w:val="00515CB3"/>
    <w:rsid w:val="005163F1"/>
    <w:rsid w:val="00516585"/>
    <w:rsid w:val="00516E28"/>
    <w:rsid w:val="0051717E"/>
    <w:rsid w:val="0052004E"/>
    <w:rsid w:val="00520076"/>
    <w:rsid w:val="005206CE"/>
    <w:rsid w:val="005206EF"/>
    <w:rsid w:val="005208D2"/>
    <w:rsid w:val="005209F0"/>
    <w:rsid w:val="00520B26"/>
    <w:rsid w:val="00521123"/>
    <w:rsid w:val="0052147B"/>
    <w:rsid w:val="00521540"/>
    <w:rsid w:val="0052169A"/>
    <w:rsid w:val="005216CA"/>
    <w:rsid w:val="00521753"/>
    <w:rsid w:val="005218E3"/>
    <w:rsid w:val="00521B0A"/>
    <w:rsid w:val="00522635"/>
    <w:rsid w:val="005226B1"/>
    <w:rsid w:val="005230C9"/>
    <w:rsid w:val="00523538"/>
    <w:rsid w:val="0052353C"/>
    <w:rsid w:val="00523841"/>
    <w:rsid w:val="00523962"/>
    <w:rsid w:val="00523A9B"/>
    <w:rsid w:val="00523ADA"/>
    <w:rsid w:val="00524060"/>
    <w:rsid w:val="00524168"/>
    <w:rsid w:val="0052420B"/>
    <w:rsid w:val="00524D49"/>
    <w:rsid w:val="00524E38"/>
    <w:rsid w:val="00525068"/>
    <w:rsid w:val="0052528C"/>
    <w:rsid w:val="00525360"/>
    <w:rsid w:val="00526104"/>
    <w:rsid w:val="005262C2"/>
    <w:rsid w:val="005265EC"/>
    <w:rsid w:val="00526861"/>
    <w:rsid w:val="005268CB"/>
    <w:rsid w:val="00526915"/>
    <w:rsid w:val="00526BFE"/>
    <w:rsid w:val="0052757E"/>
    <w:rsid w:val="0052761F"/>
    <w:rsid w:val="00527767"/>
    <w:rsid w:val="00527A1C"/>
    <w:rsid w:val="00527D0B"/>
    <w:rsid w:val="00527F95"/>
    <w:rsid w:val="005304B9"/>
    <w:rsid w:val="005304C4"/>
    <w:rsid w:val="005304C7"/>
    <w:rsid w:val="00530510"/>
    <w:rsid w:val="00530B48"/>
    <w:rsid w:val="00530ED3"/>
    <w:rsid w:val="00531B25"/>
    <w:rsid w:val="005321F4"/>
    <w:rsid w:val="005322DA"/>
    <w:rsid w:val="00532300"/>
    <w:rsid w:val="0053234F"/>
    <w:rsid w:val="005325C7"/>
    <w:rsid w:val="00532741"/>
    <w:rsid w:val="005328DE"/>
    <w:rsid w:val="00532EEA"/>
    <w:rsid w:val="00532EFD"/>
    <w:rsid w:val="0053335F"/>
    <w:rsid w:val="005333F0"/>
    <w:rsid w:val="005337DB"/>
    <w:rsid w:val="00533BEE"/>
    <w:rsid w:val="00533CA0"/>
    <w:rsid w:val="00534081"/>
    <w:rsid w:val="005342AC"/>
    <w:rsid w:val="005344CF"/>
    <w:rsid w:val="00534920"/>
    <w:rsid w:val="00534BED"/>
    <w:rsid w:val="00534C77"/>
    <w:rsid w:val="00535389"/>
    <w:rsid w:val="00535556"/>
    <w:rsid w:val="0053577E"/>
    <w:rsid w:val="00535AA2"/>
    <w:rsid w:val="005378D2"/>
    <w:rsid w:val="00537908"/>
    <w:rsid w:val="00537A67"/>
    <w:rsid w:val="00537F1E"/>
    <w:rsid w:val="0054019D"/>
    <w:rsid w:val="005403E4"/>
    <w:rsid w:val="0054099E"/>
    <w:rsid w:val="00540EF4"/>
    <w:rsid w:val="00540F2B"/>
    <w:rsid w:val="00541018"/>
    <w:rsid w:val="00541031"/>
    <w:rsid w:val="00541A2A"/>
    <w:rsid w:val="00541E38"/>
    <w:rsid w:val="00542623"/>
    <w:rsid w:val="00542687"/>
    <w:rsid w:val="005428BC"/>
    <w:rsid w:val="00543354"/>
    <w:rsid w:val="00543A39"/>
    <w:rsid w:val="00543B23"/>
    <w:rsid w:val="00543BBF"/>
    <w:rsid w:val="00543F76"/>
    <w:rsid w:val="0054415D"/>
    <w:rsid w:val="005445EE"/>
    <w:rsid w:val="005446B0"/>
    <w:rsid w:val="0054473B"/>
    <w:rsid w:val="0054479B"/>
    <w:rsid w:val="00544C05"/>
    <w:rsid w:val="005451B1"/>
    <w:rsid w:val="0054527C"/>
    <w:rsid w:val="00545717"/>
    <w:rsid w:val="0054573D"/>
    <w:rsid w:val="0054584D"/>
    <w:rsid w:val="00545C39"/>
    <w:rsid w:val="00545F91"/>
    <w:rsid w:val="005462F1"/>
    <w:rsid w:val="005464BE"/>
    <w:rsid w:val="00546603"/>
    <w:rsid w:val="005468DA"/>
    <w:rsid w:val="005469ED"/>
    <w:rsid w:val="00546CDE"/>
    <w:rsid w:val="00547248"/>
    <w:rsid w:val="00547A64"/>
    <w:rsid w:val="00547A65"/>
    <w:rsid w:val="00550458"/>
    <w:rsid w:val="0055054D"/>
    <w:rsid w:val="005508CA"/>
    <w:rsid w:val="00550AF2"/>
    <w:rsid w:val="00550B70"/>
    <w:rsid w:val="00550E68"/>
    <w:rsid w:val="00551688"/>
    <w:rsid w:val="005519B4"/>
    <w:rsid w:val="00551A56"/>
    <w:rsid w:val="00552094"/>
    <w:rsid w:val="0055284F"/>
    <w:rsid w:val="00552877"/>
    <w:rsid w:val="00553D3F"/>
    <w:rsid w:val="00553E92"/>
    <w:rsid w:val="00554094"/>
    <w:rsid w:val="005541B6"/>
    <w:rsid w:val="00554DC7"/>
    <w:rsid w:val="00555183"/>
    <w:rsid w:val="005557D4"/>
    <w:rsid w:val="00555959"/>
    <w:rsid w:val="00555E8B"/>
    <w:rsid w:val="005560EE"/>
    <w:rsid w:val="005561DD"/>
    <w:rsid w:val="00556242"/>
    <w:rsid w:val="00556435"/>
    <w:rsid w:val="00556621"/>
    <w:rsid w:val="00556699"/>
    <w:rsid w:val="00556CE0"/>
    <w:rsid w:val="00556CF3"/>
    <w:rsid w:val="00557802"/>
    <w:rsid w:val="00557BDA"/>
    <w:rsid w:val="00560065"/>
    <w:rsid w:val="005600AA"/>
    <w:rsid w:val="0056036B"/>
    <w:rsid w:val="005603C1"/>
    <w:rsid w:val="0056069D"/>
    <w:rsid w:val="00560709"/>
    <w:rsid w:val="0056089C"/>
    <w:rsid w:val="00560DB7"/>
    <w:rsid w:val="00560E64"/>
    <w:rsid w:val="00561067"/>
    <w:rsid w:val="00561121"/>
    <w:rsid w:val="00561255"/>
    <w:rsid w:val="0056175B"/>
    <w:rsid w:val="00561867"/>
    <w:rsid w:val="00561A07"/>
    <w:rsid w:val="005624F6"/>
    <w:rsid w:val="00562899"/>
    <w:rsid w:val="00562C0B"/>
    <w:rsid w:val="005630AF"/>
    <w:rsid w:val="005636A5"/>
    <w:rsid w:val="005636DD"/>
    <w:rsid w:val="005637BE"/>
    <w:rsid w:val="00563B98"/>
    <w:rsid w:val="00563DA3"/>
    <w:rsid w:val="00563EB0"/>
    <w:rsid w:val="0056425A"/>
    <w:rsid w:val="0056442C"/>
    <w:rsid w:val="005651E0"/>
    <w:rsid w:val="00565C09"/>
    <w:rsid w:val="005668FB"/>
    <w:rsid w:val="00567211"/>
    <w:rsid w:val="005673C0"/>
    <w:rsid w:val="005679E6"/>
    <w:rsid w:val="005679FD"/>
    <w:rsid w:val="00567A10"/>
    <w:rsid w:val="00567DD9"/>
    <w:rsid w:val="00567E89"/>
    <w:rsid w:val="005700C0"/>
    <w:rsid w:val="00570823"/>
    <w:rsid w:val="00571CED"/>
    <w:rsid w:val="00571FCD"/>
    <w:rsid w:val="0057204D"/>
    <w:rsid w:val="005720FC"/>
    <w:rsid w:val="005728A1"/>
    <w:rsid w:val="005728F3"/>
    <w:rsid w:val="005729AD"/>
    <w:rsid w:val="00572AF0"/>
    <w:rsid w:val="00572BA1"/>
    <w:rsid w:val="00572E24"/>
    <w:rsid w:val="00572FAB"/>
    <w:rsid w:val="005735DC"/>
    <w:rsid w:val="00574019"/>
    <w:rsid w:val="00574125"/>
    <w:rsid w:val="0057418C"/>
    <w:rsid w:val="00574634"/>
    <w:rsid w:val="00574685"/>
    <w:rsid w:val="0057519E"/>
    <w:rsid w:val="00575524"/>
    <w:rsid w:val="005758C3"/>
    <w:rsid w:val="00575A90"/>
    <w:rsid w:val="00575AC9"/>
    <w:rsid w:val="00575C97"/>
    <w:rsid w:val="00575CFD"/>
    <w:rsid w:val="00575F44"/>
    <w:rsid w:val="0057622A"/>
    <w:rsid w:val="0057636D"/>
    <w:rsid w:val="00576B96"/>
    <w:rsid w:val="00576C3C"/>
    <w:rsid w:val="005771A2"/>
    <w:rsid w:val="0057744F"/>
    <w:rsid w:val="00577691"/>
    <w:rsid w:val="00577710"/>
    <w:rsid w:val="00577719"/>
    <w:rsid w:val="005777BA"/>
    <w:rsid w:val="00577904"/>
    <w:rsid w:val="005779F8"/>
    <w:rsid w:val="00577A3A"/>
    <w:rsid w:val="00577A5E"/>
    <w:rsid w:val="005805D3"/>
    <w:rsid w:val="0058084B"/>
    <w:rsid w:val="00581273"/>
    <w:rsid w:val="00581CA6"/>
    <w:rsid w:val="00581D83"/>
    <w:rsid w:val="00582015"/>
    <w:rsid w:val="005822D7"/>
    <w:rsid w:val="0058281A"/>
    <w:rsid w:val="00583AF0"/>
    <w:rsid w:val="0058406B"/>
    <w:rsid w:val="00584235"/>
    <w:rsid w:val="0058426E"/>
    <w:rsid w:val="00584353"/>
    <w:rsid w:val="0058472A"/>
    <w:rsid w:val="0058475B"/>
    <w:rsid w:val="00584B05"/>
    <w:rsid w:val="00584BD8"/>
    <w:rsid w:val="00584D19"/>
    <w:rsid w:val="00584D8E"/>
    <w:rsid w:val="00584EDC"/>
    <w:rsid w:val="005850F4"/>
    <w:rsid w:val="005854A2"/>
    <w:rsid w:val="005857B7"/>
    <w:rsid w:val="00585D95"/>
    <w:rsid w:val="005861B9"/>
    <w:rsid w:val="00586236"/>
    <w:rsid w:val="00586438"/>
    <w:rsid w:val="0058647D"/>
    <w:rsid w:val="005864FC"/>
    <w:rsid w:val="005865E8"/>
    <w:rsid w:val="0058666B"/>
    <w:rsid w:val="005866C4"/>
    <w:rsid w:val="00586B57"/>
    <w:rsid w:val="005879B0"/>
    <w:rsid w:val="00587AE3"/>
    <w:rsid w:val="00587BA4"/>
    <w:rsid w:val="00587C7A"/>
    <w:rsid w:val="00587D7F"/>
    <w:rsid w:val="00587F52"/>
    <w:rsid w:val="00590151"/>
    <w:rsid w:val="00590557"/>
    <w:rsid w:val="00590BF4"/>
    <w:rsid w:val="00590FB4"/>
    <w:rsid w:val="00591017"/>
    <w:rsid w:val="005910D8"/>
    <w:rsid w:val="0059176A"/>
    <w:rsid w:val="005919B0"/>
    <w:rsid w:val="005924BA"/>
    <w:rsid w:val="0059276E"/>
    <w:rsid w:val="00593B93"/>
    <w:rsid w:val="00593C85"/>
    <w:rsid w:val="00593E60"/>
    <w:rsid w:val="00593EEB"/>
    <w:rsid w:val="005944E0"/>
    <w:rsid w:val="00594783"/>
    <w:rsid w:val="00594A7F"/>
    <w:rsid w:val="00595792"/>
    <w:rsid w:val="00596060"/>
    <w:rsid w:val="005960F2"/>
    <w:rsid w:val="00596476"/>
    <w:rsid w:val="0059662B"/>
    <w:rsid w:val="00596658"/>
    <w:rsid w:val="00596663"/>
    <w:rsid w:val="005969D5"/>
    <w:rsid w:val="00596A33"/>
    <w:rsid w:val="00596E15"/>
    <w:rsid w:val="00596F11"/>
    <w:rsid w:val="00597201"/>
    <w:rsid w:val="0059797D"/>
    <w:rsid w:val="00597E0F"/>
    <w:rsid w:val="005A007C"/>
    <w:rsid w:val="005A0361"/>
    <w:rsid w:val="005A057B"/>
    <w:rsid w:val="005A05E3"/>
    <w:rsid w:val="005A0A0D"/>
    <w:rsid w:val="005A0A37"/>
    <w:rsid w:val="005A0B5E"/>
    <w:rsid w:val="005A0DCE"/>
    <w:rsid w:val="005A10FF"/>
    <w:rsid w:val="005A1112"/>
    <w:rsid w:val="005A113D"/>
    <w:rsid w:val="005A1441"/>
    <w:rsid w:val="005A149E"/>
    <w:rsid w:val="005A18CB"/>
    <w:rsid w:val="005A1CFF"/>
    <w:rsid w:val="005A1D38"/>
    <w:rsid w:val="005A1FFE"/>
    <w:rsid w:val="005A25FC"/>
    <w:rsid w:val="005A284A"/>
    <w:rsid w:val="005A29C1"/>
    <w:rsid w:val="005A2A89"/>
    <w:rsid w:val="005A2F8E"/>
    <w:rsid w:val="005A3041"/>
    <w:rsid w:val="005A31E8"/>
    <w:rsid w:val="005A326C"/>
    <w:rsid w:val="005A33B6"/>
    <w:rsid w:val="005A3FB2"/>
    <w:rsid w:val="005A3FCD"/>
    <w:rsid w:val="005A3FE5"/>
    <w:rsid w:val="005A47E6"/>
    <w:rsid w:val="005A49C1"/>
    <w:rsid w:val="005A4C47"/>
    <w:rsid w:val="005A4E7C"/>
    <w:rsid w:val="005A52CC"/>
    <w:rsid w:val="005A5B57"/>
    <w:rsid w:val="005A6474"/>
    <w:rsid w:val="005A6673"/>
    <w:rsid w:val="005A683F"/>
    <w:rsid w:val="005A6BB3"/>
    <w:rsid w:val="005A6DBD"/>
    <w:rsid w:val="005A73CB"/>
    <w:rsid w:val="005A799C"/>
    <w:rsid w:val="005A7FF4"/>
    <w:rsid w:val="005B065B"/>
    <w:rsid w:val="005B0781"/>
    <w:rsid w:val="005B0A88"/>
    <w:rsid w:val="005B0E77"/>
    <w:rsid w:val="005B145E"/>
    <w:rsid w:val="005B19DC"/>
    <w:rsid w:val="005B1B5A"/>
    <w:rsid w:val="005B2436"/>
    <w:rsid w:val="005B243D"/>
    <w:rsid w:val="005B2541"/>
    <w:rsid w:val="005B25D7"/>
    <w:rsid w:val="005B2810"/>
    <w:rsid w:val="005B2CC6"/>
    <w:rsid w:val="005B3149"/>
    <w:rsid w:val="005B3E77"/>
    <w:rsid w:val="005B3F05"/>
    <w:rsid w:val="005B4896"/>
    <w:rsid w:val="005B4C44"/>
    <w:rsid w:val="005B4C6A"/>
    <w:rsid w:val="005B4FF6"/>
    <w:rsid w:val="005B58C1"/>
    <w:rsid w:val="005B5F3E"/>
    <w:rsid w:val="005B5FCC"/>
    <w:rsid w:val="005B62DE"/>
    <w:rsid w:val="005B62F9"/>
    <w:rsid w:val="005B6F43"/>
    <w:rsid w:val="005B7530"/>
    <w:rsid w:val="005B7558"/>
    <w:rsid w:val="005B75EA"/>
    <w:rsid w:val="005B779A"/>
    <w:rsid w:val="005B78AA"/>
    <w:rsid w:val="005B7A09"/>
    <w:rsid w:val="005B7C76"/>
    <w:rsid w:val="005C01AF"/>
    <w:rsid w:val="005C02D2"/>
    <w:rsid w:val="005C05E4"/>
    <w:rsid w:val="005C0644"/>
    <w:rsid w:val="005C0BCB"/>
    <w:rsid w:val="005C1158"/>
    <w:rsid w:val="005C1259"/>
    <w:rsid w:val="005C1984"/>
    <w:rsid w:val="005C1F23"/>
    <w:rsid w:val="005C2C71"/>
    <w:rsid w:val="005C2C80"/>
    <w:rsid w:val="005C358E"/>
    <w:rsid w:val="005C3DDA"/>
    <w:rsid w:val="005C45B5"/>
    <w:rsid w:val="005C4C82"/>
    <w:rsid w:val="005C514A"/>
    <w:rsid w:val="005C5210"/>
    <w:rsid w:val="005C5221"/>
    <w:rsid w:val="005C5689"/>
    <w:rsid w:val="005C5B94"/>
    <w:rsid w:val="005C5E33"/>
    <w:rsid w:val="005C61D6"/>
    <w:rsid w:val="005C6214"/>
    <w:rsid w:val="005C62E4"/>
    <w:rsid w:val="005C65A3"/>
    <w:rsid w:val="005C6B39"/>
    <w:rsid w:val="005C6C92"/>
    <w:rsid w:val="005C6FFA"/>
    <w:rsid w:val="005C71AD"/>
    <w:rsid w:val="005C7B8A"/>
    <w:rsid w:val="005C7E73"/>
    <w:rsid w:val="005C7FA6"/>
    <w:rsid w:val="005D009B"/>
    <w:rsid w:val="005D00B6"/>
    <w:rsid w:val="005D01B7"/>
    <w:rsid w:val="005D03B7"/>
    <w:rsid w:val="005D086C"/>
    <w:rsid w:val="005D0959"/>
    <w:rsid w:val="005D0C2F"/>
    <w:rsid w:val="005D1435"/>
    <w:rsid w:val="005D17B4"/>
    <w:rsid w:val="005D1D72"/>
    <w:rsid w:val="005D1D93"/>
    <w:rsid w:val="005D1DB2"/>
    <w:rsid w:val="005D2B93"/>
    <w:rsid w:val="005D30F8"/>
    <w:rsid w:val="005D358F"/>
    <w:rsid w:val="005D3749"/>
    <w:rsid w:val="005D3BD1"/>
    <w:rsid w:val="005D3E8F"/>
    <w:rsid w:val="005D413A"/>
    <w:rsid w:val="005D49DA"/>
    <w:rsid w:val="005D49DB"/>
    <w:rsid w:val="005D4A15"/>
    <w:rsid w:val="005D4F6E"/>
    <w:rsid w:val="005D4F74"/>
    <w:rsid w:val="005D5180"/>
    <w:rsid w:val="005D63FC"/>
    <w:rsid w:val="005D672B"/>
    <w:rsid w:val="005D6BC3"/>
    <w:rsid w:val="005D70E1"/>
    <w:rsid w:val="005D730F"/>
    <w:rsid w:val="005D736A"/>
    <w:rsid w:val="005D75A8"/>
    <w:rsid w:val="005D7B80"/>
    <w:rsid w:val="005E0555"/>
    <w:rsid w:val="005E073E"/>
    <w:rsid w:val="005E08B8"/>
    <w:rsid w:val="005E0CAB"/>
    <w:rsid w:val="005E1088"/>
    <w:rsid w:val="005E10F2"/>
    <w:rsid w:val="005E1EB4"/>
    <w:rsid w:val="005E21F6"/>
    <w:rsid w:val="005E223F"/>
    <w:rsid w:val="005E22BB"/>
    <w:rsid w:val="005E265A"/>
    <w:rsid w:val="005E29D6"/>
    <w:rsid w:val="005E29EB"/>
    <w:rsid w:val="005E30D5"/>
    <w:rsid w:val="005E3164"/>
    <w:rsid w:val="005E31BE"/>
    <w:rsid w:val="005E3203"/>
    <w:rsid w:val="005E32A5"/>
    <w:rsid w:val="005E339C"/>
    <w:rsid w:val="005E370B"/>
    <w:rsid w:val="005E3845"/>
    <w:rsid w:val="005E3DA5"/>
    <w:rsid w:val="005E40E9"/>
    <w:rsid w:val="005E45D2"/>
    <w:rsid w:val="005E4A0D"/>
    <w:rsid w:val="005E4A32"/>
    <w:rsid w:val="005E4A6A"/>
    <w:rsid w:val="005E4E55"/>
    <w:rsid w:val="005E4EB6"/>
    <w:rsid w:val="005E4F84"/>
    <w:rsid w:val="005E50E1"/>
    <w:rsid w:val="005E5113"/>
    <w:rsid w:val="005E5141"/>
    <w:rsid w:val="005E5382"/>
    <w:rsid w:val="005E538E"/>
    <w:rsid w:val="005E5CF6"/>
    <w:rsid w:val="005E644A"/>
    <w:rsid w:val="005E6E3D"/>
    <w:rsid w:val="005E740E"/>
    <w:rsid w:val="005E7858"/>
    <w:rsid w:val="005E7EB6"/>
    <w:rsid w:val="005F01D0"/>
    <w:rsid w:val="005F03B6"/>
    <w:rsid w:val="005F0702"/>
    <w:rsid w:val="005F0829"/>
    <w:rsid w:val="005F0938"/>
    <w:rsid w:val="005F1125"/>
    <w:rsid w:val="005F125F"/>
    <w:rsid w:val="005F1434"/>
    <w:rsid w:val="005F1D63"/>
    <w:rsid w:val="005F2028"/>
    <w:rsid w:val="005F23DC"/>
    <w:rsid w:val="005F249B"/>
    <w:rsid w:val="005F2798"/>
    <w:rsid w:val="005F298F"/>
    <w:rsid w:val="005F2BF2"/>
    <w:rsid w:val="005F2C30"/>
    <w:rsid w:val="005F31B6"/>
    <w:rsid w:val="005F366C"/>
    <w:rsid w:val="005F3D5B"/>
    <w:rsid w:val="005F3E04"/>
    <w:rsid w:val="005F41CB"/>
    <w:rsid w:val="005F4346"/>
    <w:rsid w:val="005F47FC"/>
    <w:rsid w:val="005F4B77"/>
    <w:rsid w:val="005F4CFE"/>
    <w:rsid w:val="005F4F9E"/>
    <w:rsid w:val="005F5300"/>
    <w:rsid w:val="005F58F5"/>
    <w:rsid w:val="005F5B9D"/>
    <w:rsid w:val="005F6160"/>
    <w:rsid w:val="005F678F"/>
    <w:rsid w:val="005F6F0A"/>
    <w:rsid w:val="005F771A"/>
    <w:rsid w:val="005F7A09"/>
    <w:rsid w:val="005F7AD3"/>
    <w:rsid w:val="005F7DCA"/>
    <w:rsid w:val="00600207"/>
    <w:rsid w:val="006009C2"/>
    <w:rsid w:val="00600B45"/>
    <w:rsid w:val="00600CB4"/>
    <w:rsid w:val="00600D24"/>
    <w:rsid w:val="00600E24"/>
    <w:rsid w:val="00601450"/>
    <w:rsid w:val="006024D2"/>
    <w:rsid w:val="00602A7C"/>
    <w:rsid w:val="00602B7B"/>
    <w:rsid w:val="006043B2"/>
    <w:rsid w:val="00604760"/>
    <w:rsid w:val="00604BF1"/>
    <w:rsid w:val="006052D3"/>
    <w:rsid w:val="00605418"/>
    <w:rsid w:val="006057D7"/>
    <w:rsid w:val="00605982"/>
    <w:rsid w:val="00605C31"/>
    <w:rsid w:val="00605D3B"/>
    <w:rsid w:val="00605E63"/>
    <w:rsid w:val="00605FDF"/>
    <w:rsid w:val="006063E0"/>
    <w:rsid w:val="00606721"/>
    <w:rsid w:val="00606951"/>
    <w:rsid w:val="00606CA2"/>
    <w:rsid w:val="00606F18"/>
    <w:rsid w:val="006073C2"/>
    <w:rsid w:val="00607486"/>
    <w:rsid w:val="00607554"/>
    <w:rsid w:val="0060776C"/>
    <w:rsid w:val="0060783B"/>
    <w:rsid w:val="00607853"/>
    <w:rsid w:val="0060787E"/>
    <w:rsid w:val="00607BA5"/>
    <w:rsid w:val="0061019C"/>
    <w:rsid w:val="00610207"/>
    <w:rsid w:val="00610390"/>
    <w:rsid w:val="0061052C"/>
    <w:rsid w:val="00610965"/>
    <w:rsid w:val="00610B3B"/>
    <w:rsid w:val="00610EB3"/>
    <w:rsid w:val="00611284"/>
    <w:rsid w:val="00611565"/>
    <w:rsid w:val="00611C35"/>
    <w:rsid w:val="00611ED7"/>
    <w:rsid w:val="006120B5"/>
    <w:rsid w:val="00612F7D"/>
    <w:rsid w:val="00613088"/>
    <w:rsid w:val="00613213"/>
    <w:rsid w:val="00613404"/>
    <w:rsid w:val="0061378F"/>
    <w:rsid w:val="0061384D"/>
    <w:rsid w:val="006138F3"/>
    <w:rsid w:val="00613999"/>
    <w:rsid w:val="0061410C"/>
    <w:rsid w:val="00614111"/>
    <w:rsid w:val="006144DB"/>
    <w:rsid w:val="00614CDC"/>
    <w:rsid w:val="00614FA8"/>
    <w:rsid w:val="0061502C"/>
    <w:rsid w:val="006157FA"/>
    <w:rsid w:val="00616130"/>
    <w:rsid w:val="006165B1"/>
    <w:rsid w:val="00616715"/>
    <w:rsid w:val="006169F8"/>
    <w:rsid w:val="00616D80"/>
    <w:rsid w:val="006174FC"/>
    <w:rsid w:val="00617726"/>
    <w:rsid w:val="00617C67"/>
    <w:rsid w:val="00617F3D"/>
    <w:rsid w:val="006202C1"/>
    <w:rsid w:val="006206B2"/>
    <w:rsid w:val="00620815"/>
    <w:rsid w:val="00620EA4"/>
    <w:rsid w:val="00620EF8"/>
    <w:rsid w:val="00621088"/>
    <w:rsid w:val="006213E7"/>
    <w:rsid w:val="00621623"/>
    <w:rsid w:val="00621684"/>
    <w:rsid w:val="00621A92"/>
    <w:rsid w:val="00621AF1"/>
    <w:rsid w:val="00621C5E"/>
    <w:rsid w:val="00622352"/>
    <w:rsid w:val="00622AC2"/>
    <w:rsid w:val="00622B2B"/>
    <w:rsid w:val="00622BCF"/>
    <w:rsid w:val="00622D94"/>
    <w:rsid w:val="00622F1A"/>
    <w:rsid w:val="006235F3"/>
    <w:rsid w:val="00623ED7"/>
    <w:rsid w:val="00623F0D"/>
    <w:rsid w:val="00624D21"/>
    <w:rsid w:val="00624D7E"/>
    <w:rsid w:val="00624DB8"/>
    <w:rsid w:val="00624F58"/>
    <w:rsid w:val="00625563"/>
    <w:rsid w:val="00625659"/>
    <w:rsid w:val="00625A59"/>
    <w:rsid w:val="00626010"/>
    <w:rsid w:val="00626C62"/>
    <w:rsid w:val="00626D00"/>
    <w:rsid w:val="00627004"/>
    <w:rsid w:val="006272CC"/>
    <w:rsid w:val="0062763F"/>
    <w:rsid w:val="0063050C"/>
    <w:rsid w:val="00630979"/>
    <w:rsid w:val="00630B8D"/>
    <w:rsid w:val="006318AC"/>
    <w:rsid w:val="00631FE8"/>
    <w:rsid w:val="00632241"/>
    <w:rsid w:val="0063249F"/>
    <w:rsid w:val="0063265C"/>
    <w:rsid w:val="00632BFB"/>
    <w:rsid w:val="0063348F"/>
    <w:rsid w:val="00633532"/>
    <w:rsid w:val="00633584"/>
    <w:rsid w:val="006338E1"/>
    <w:rsid w:val="00633EDA"/>
    <w:rsid w:val="0063420A"/>
    <w:rsid w:val="00634772"/>
    <w:rsid w:val="00634F44"/>
    <w:rsid w:val="00635395"/>
    <w:rsid w:val="00635C66"/>
    <w:rsid w:val="006363F2"/>
    <w:rsid w:val="00636848"/>
    <w:rsid w:val="00636EA6"/>
    <w:rsid w:val="0063733B"/>
    <w:rsid w:val="00637B7E"/>
    <w:rsid w:val="00637C6F"/>
    <w:rsid w:val="00637D80"/>
    <w:rsid w:val="0064075E"/>
    <w:rsid w:val="00640882"/>
    <w:rsid w:val="00640A60"/>
    <w:rsid w:val="00640ACB"/>
    <w:rsid w:val="00640D9A"/>
    <w:rsid w:val="00641698"/>
    <w:rsid w:val="0064180F"/>
    <w:rsid w:val="00641877"/>
    <w:rsid w:val="006418C9"/>
    <w:rsid w:val="00641FB5"/>
    <w:rsid w:val="00642075"/>
    <w:rsid w:val="0064249B"/>
    <w:rsid w:val="00642801"/>
    <w:rsid w:val="00642A72"/>
    <w:rsid w:val="00643493"/>
    <w:rsid w:val="0064361C"/>
    <w:rsid w:val="0064363A"/>
    <w:rsid w:val="006436A3"/>
    <w:rsid w:val="00643940"/>
    <w:rsid w:val="00643B8E"/>
    <w:rsid w:val="006440A9"/>
    <w:rsid w:val="006440C1"/>
    <w:rsid w:val="00644426"/>
    <w:rsid w:val="006445EC"/>
    <w:rsid w:val="006454ED"/>
    <w:rsid w:val="006458AD"/>
    <w:rsid w:val="00645C73"/>
    <w:rsid w:val="00645E79"/>
    <w:rsid w:val="00645FB9"/>
    <w:rsid w:val="006460EC"/>
    <w:rsid w:val="0064688C"/>
    <w:rsid w:val="00647166"/>
    <w:rsid w:val="0064726B"/>
    <w:rsid w:val="00647B7C"/>
    <w:rsid w:val="00647D6D"/>
    <w:rsid w:val="00650751"/>
    <w:rsid w:val="00650773"/>
    <w:rsid w:val="00650CEE"/>
    <w:rsid w:val="006516DA"/>
    <w:rsid w:val="00651C1F"/>
    <w:rsid w:val="006524D3"/>
    <w:rsid w:val="00652755"/>
    <w:rsid w:val="00652923"/>
    <w:rsid w:val="00652A34"/>
    <w:rsid w:val="0065304C"/>
    <w:rsid w:val="00653322"/>
    <w:rsid w:val="00653771"/>
    <w:rsid w:val="0065398B"/>
    <w:rsid w:val="0065443E"/>
    <w:rsid w:val="006548E2"/>
    <w:rsid w:val="00654FCE"/>
    <w:rsid w:val="006559C7"/>
    <w:rsid w:val="00655E3F"/>
    <w:rsid w:val="00655FA7"/>
    <w:rsid w:val="0065600E"/>
    <w:rsid w:val="0065615F"/>
    <w:rsid w:val="00656409"/>
    <w:rsid w:val="00656638"/>
    <w:rsid w:val="0065683A"/>
    <w:rsid w:val="006568B4"/>
    <w:rsid w:val="006574B8"/>
    <w:rsid w:val="00657CB1"/>
    <w:rsid w:val="00657F73"/>
    <w:rsid w:val="00657FC2"/>
    <w:rsid w:val="006600DB"/>
    <w:rsid w:val="006600E2"/>
    <w:rsid w:val="00660455"/>
    <w:rsid w:val="00660696"/>
    <w:rsid w:val="00660779"/>
    <w:rsid w:val="00660CDD"/>
    <w:rsid w:val="006612E0"/>
    <w:rsid w:val="006614F5"/>
    <w:rsid w:val="0066160F"/>
    <w:rsid w:val="006617A4"/>
    <w:rsid w:val="0066204C"/>
    <w:rsid w:val="0066299A"/>
    <w:rsid w:val="00662A39"/>
    <w:rsid w:val="00662CFB"/>
    <w:rsid w:val="00662D10"/>
    <w:rsid w:val="00662EF6"/>
    <w:rsid w:val="00662F58"/>
    <w:rsid w:val="00663726"/>
    <w:rsid w:val="006638C9"/>
    <w:rsid w:val="00663B51"/>
    <w:rsid w:val="00663C71"/>
    <w:rsid w:val="00663DF2"/>
    <w:rsid w:val="006642E4"/>
    <w:rsid w:val="00664E99"/>
    <w:rsid w:val="00665275"/>
    <w:rsid w:val="006652B3"/>
    <w:rsid w:val="00665DBD"/>
    <w:rsid w:val="0066684F"/>
    <w:rsid w:val="00666E8F"/>
    <w:rsid w:val="00666F49"/>
    <w:rsid w:val="0066704B"/>
    <w:rsid w:val="006673D8"/>
    <w:rsid w:val="006676BC"/>
    <w:rsid w:val="006679E6"/>
    <w:rsid w:val="00667BE7"/>
    <w:rsid w:val="00670324"/>
    <w:rsid w:val="006705E0"/>
    <w:rsid w:val="00670B1D"/>
    <w:rsid w:val="00670D3C"/>
    <w:rsid w:val="006711FA"/>
    <w:rsid w:val="00671740"/>
    <w:rsid w:val="00671762"/>
    <w:rsid w:val="00671C99"/>
    <w:rsid w:val="00671EA9"/>
    <w:rsid w:val="00671EDD"/>
    <w:rsid w:val="006720FA"/>
    <w:rsid w:val="00672182"/>
    <w:rsid w:val="006721A2"/>
    <w:rsid w:val="0067235A"/>
    <w:rsid w:val="00672A3C"/>
    <w:rsid w:val="00672A56"/>
    <w:rsid w:val="00672F10"/>
    <w:rsid w:val="006730B4"/>
    <w:rsid w:val="006738D0"/>
    <w:rsid w:val="00673B68"/>
    <w:rsid w:val="00673B8D"/>
    <w:rsid w:val="006741C8"/>
    <w:rsid w:val="0067447E"/>
    <w:rsid w:val="0067472C"/>
    <w:rsid w:val="0067496C"/>
    <w:rsid w:val="0067519F"/>
    <w:rsid w:val="00675888"/>
    <w:rsid w:val="00675A4C"/>
    <w:rsid w:val="00675BA5"/>
    <w:rsid w:val="00675DF8"/>
    <w:rsid w:val="00675E5F"/>
    <w:rsid w:val="006760C5"/>
    <w:rsid w:val="006764B3"/>
    <w:rsid w:val="00676776"/>
    <w:rsid w:val="006768CF"/>
    <w:rsid w:val="00676A89"/>
    <w:rsid w:val="00676CA4"/>
    <w:rsid w:val="00676CF5"/>
    <w:rsid w:val="00676DD8"/>
    <w:rsid w:val="00676E2D"/>
    <w:rsid w:val="00676E6F"/>
    <w:rsid w:val="0067734A"/>
    <w:rsid w:val="00677A0C"/>
    <w:rsid w:val="00677BF6"/>
    <w:rsid w:val="00677C25"/>
    <w:rsid w:val="00677CD6"/>
    <w:rsid w:val="0068022A"/>
    <w:rsid w:val="006805BA"/>
    <w:rsid w:val="006808E8"/>
    <w:rsid w:val="0068090C"/>
    <w:rsid w:val="00680DB3"/>
    <w:rsid w:val="00680DE4"/>
    <w:rsid w:val="00680F40"/>
    <w:rsid w:val="006811F1"/>
    <w:rsid w:val="006815A3"/>
    <w:rsid w:val="006817C6"/>
    <w:rsid w:val="0068183E"/>
    <w:rsid w:val="00681A4E"/>
    <w:rsid w:val="00681A69"/>
    <w:rsid w:val="006820EC"/>
    <w:rsid w:val="00682244"/>
    <w:rsid w:val="006823A9"/>
    <w:rsid w:val="00682A48"/>
    <w:rsid w:val="00682AE3"/>
    <w:rsid w:val="00682BB9"/>
    <w:rsid w:val="00683479"/>
    <w:rsid w:val="0068367C"/>
    <w:rsid w:val="00683B26"/>
    <w:rsid w:val="00683C97"/>
    <w:rsid w:val="006840B6"/>
    <w:rsid w:val="00684BE3"/>
    <w:rsid w:val="0068521F"/>
    <w:rsid w:val="006856D5"/>
    <w:rsid w:val="00685B50"/>
    <w:rsid w:val="00685DE2"/>
    <w:rsid w:val="00686B54"/>
    <w:rsid w:val="00686E6E"/>
    <w:rsid w:val="00687272"/>
    <w:rsid w:val="006872D4"/>
    <w:rsid w:val="00687469"/>
    <w:rsid w:val="00687675"/>
    <w:rsid w:val="00687BCC"/>
    <w:rsid w:val="00690432"/>
    <w:rsid w:val="00690544"/>
    <w:rsid w:val="00690624"/>
    <w:rsid w:val="00690B3E"/>
    <w:rsid w:val="00690E3B"/>
    <w:rsid w:val="006915F4"/>
    <w:rsid w:val="00691F4E"/>
    <w:rsid w:val="006928BD"/>
    <w:rsid w:val="006929B2"/>
    <w:rsid w:val="00692B52"/>
    <w:rsid w:val="00692BE9"/>
    <w:rsid w:val="006930FA"/>
    <w:rsid w:val="006933DB"/>
    <w:rsid w:val="006936C5"/>
    <w:rsid w:val="00693AA4"/>
    <w:rsid w:val="00693DAE"/>
    <w:rsid w:val="00693E3A"/>
    <w:rsid w:val="00693E3D"/>
    <w:rsid w:val="0069404E"/>
    <w:rsid w:val="006943B3"/>
    <w:rsid w:val="006945EF"/>
    <w:rsid w:val="006948FB"/>
    <w:rsid w:val="006950AD"/>
    <w:rsid w:val="00695C63"/>
    <w:rsid w:val="00696030"/>
    <w:rsid w:val="0069617D"/>
    <w:rsid w:val="00696718"/>
    <w:rsid w:val="00696E56"/>
    <w:rsid w:val="00696FAC"/>
    <w:rsid w:val="0069724D"/>
    <w:rsid w:val="00697760"/>
    <w:rsid w:val="0069780C"/>
    <w:rsid w:val="00697BEC"/>
    <w:rsid w:val="00697D3E"/>
    <w:rsid w:val="006A007E"/>
    <w:rsid w:val="006A08F8"/>
    <w:rsid w:val="006A0971"/>
    <w:rsid w:val="006A0E6F"/>
    <w:rsid w:val="006A169D"/>
    <w:rsid w:val="006A1D12"/>
    <w:rsid w:val="006A224B"/>
    <w:rsid w:val="006A24AF"/>
    <w:rsid w:val="006A24E2"/>
    <w:rsid w:val="006A26DA"/>
    <w:rsid w:val="006A28A4"/>
    <w:rsid w:val="006A2C19"/>
    <w:rsid w:val="006A30D1"/>
    <w:rsid w:val="006A313E"/>
    <w:rsid w:val="006A3148"/>
    <w:rsid w:val="006A3582"/>
    <w:rsid w:val="006A35A8"/>
    <w:rsid w:val="006A35F5"/>
    <w:rsid w:val="006A37B7"/>
    <w:rsid w:val="006A39E9"/>
    <w:rsid w:val="006A405F"/>
    <w:rsid w:val="006A41D2"/>
    <w:rsid w:val="006A4451"/>
    <w:rsid w:val="006A56D4"/>
    <w:rsid w:val="006A57FE"/>
    <w:rsid w:val="006A5C97"/>
    <w:rsid w:val="006A5DBA"/>
    <w:rsid w:val="006A6429"/>
    <w:rsid w:val="006A66FF"/>
    <w:rsid w:val="006A6898"/>
    <w:rsid w:val="006A6BBB"/>
    <w:rsid w:val="006A6EDF"/>
    <w:rsid w:val="006A70BA"/>
    <w:rsid w:val="006A7C62"/>
    <w:rsid w:val="006B0054"/>
    <w:rsid w:val="006B0193"/>
    <w:rsid w:val="006B047B"/>
    <w:rsid w:val="006B06DC"/>
    <w:rsid w:val="006B1893"/>
    <w:rsid w:val="006B1B9F"/>
    <w:rsid w:val="006B2A2E"/>
    <w:rsid w:val="006B2A9A"/>
    <w:rsid w:val="006B30F8"/>
    <w:rsid w:val="006B34F1"/>
    <w:rsid w:val="006B3521"/>
    <w:rsid w:val="006B3558"/>
    <w:rsid w:val="006B3579"/>
    <w:rsid w:val="006B378F"/>
    <w:rsid w:val="006B3B77"/>
    <w:rsid w:val="006B3E52"/>
    <w:rsid w:val="006B4370"/>
    <w:rsid w:val="006B4AB0"/>
    <w:rsid w:val="006B57D4"/>
    <w:rsid w:val="006B5EF3"/>
    <w:rsid w:val="006B6036"/>
    <w:rsid w:val="006B6252"/>
    <w:rsid w:val="006B62CF"/>
    <w:rsid w:val="006B642C"/>
    <w:rsid w:val="006B6492"/>
    <w:rsid w:val="006B6707"/>
    <w:rsid w:val="006B6BA9"/>
    <w:rsid w:val="006B7147"/>
    <w:rsid w:val="006B7166"/>
    <w:rsid w:val="006B7AF5"/>
    <w:rsid w:val="006C0A39"/>
    <w:rsid w:val="006C0AAE"/>
    <w:rsid w:val="006C0DEA"/>
    <w:rsid w:val="006C0FDA"/>
    <w:rsid w:val="006C12CF"/>
    <w:rsid w:val="006C1BE3"/>
    <w:rsid w:val="006C2A08"/>
    <w:rsid w:val="006C2BAC"/>
    <w:rsid w:val="006C2F33"/>
    <w:rsid w:val="006C3373"/>
    <w:rsid w:val="006C3706"/>
    <w:rsid w:val="006C3B11"/>
    <w:rsid w:val="006C4179"/>
    <w:rsid w:val="006C45B2"/>
    <w:rsid w:val="006C46F1"/>
    <w:rsid w:val="006C476B"/>
    <w:rsid w:val="006C4880"/>
    <w:rsid w:val="006C4B05"/>
    <w:rsid w:val="006C4BBB"/>
    <w:rsid w:val="006C4CB1"/>
    <w:rsid w:val="006C4E18"/>
    <w:rsid w:val="006C559E"/>
    <w:rsid w:val="006C64F1"/>
    <w:rsid w:val="006C6554"/>
    <w:rsid w:val="006C6561"/>
    <w:rsid w:val="006C6761"/>
    <w:rsid w:val="006C6948"/>
    <w:rsid w:val="006C6A6E"/>
    <w:rsid w:val="006C6C59"/>
    <w:rsid w:val="006C6EE2"/>
    <w:rsid w:val="006C72C7"/>
    <w:rsid w:val="006C75A4"/>
    <w:rsid w:val="006C7636"/>
    <w:rsid w:val="006C77F4"/>
    <w:rsid w:val="006C79F3"/>
    <w:rsid w:val="006C7B19"/>
    <w:rsid w:val="006D01C5"/>
    <w:rsid w:val="006D0511"/>
    <w:rsid w:val="006D08E4"/>
    <w:rsid w:val="006D09E7"/>
    <w:rsid w:val="006D0C74"/>
    <w:rsid w:val="006D0D48"/>
    <w:rsid w:val="006D104B"/>
    <w:rsid w:val="006D145F"/>
    <w:rsid w:val="006D1633"/>
    <w:rsid w:val="006D178D"/>
    <w:rsid w:val="006D179B"/>
    <w:rsid w:val="006D1859"/>
    <w:rsid w:val="006D1916"/>
    <w:rsid w:val="006D1B95"/>
    <w:rsid w:val="006D1C1E"/>
    <w:rsid w:val="006D1FBC"/>
    <w:rsid w:val="006D22BC"/>
    <w:rsid w:val="006D24F4"/>
    <w:rsid w:val="006D2926"/>
    <w:rsid w:val="006D2FDA"/>
    <w:rsid w:val="006D3672"/>
    <w:rsid w:val="006D382B"/>
    <w:rsid w:val="006D3830"/>
    <w:rsid w:val="006D395C"/>
    <w:rsid w:val="006D3E09"/>
    <w:rsid w:val="006D3EA8"/>
    <w:rsid w:val="006D4024"/>
    <w:rsid w:val="006D4042"/>
    <w:rsid w:val="006D42D0"/>
    <w:rsid w:val="006D43A8"/>
    <w:rsid w:val="006D44F4"/>
    <w:rsid w:val="006D45AC"/>
    <w:rsid w:val="006D48A8"/>
    <w:rsid w:val="006D4930"/>
    <w:rsid w:val="006D4BEE"/>
    <w:rsid w:val="006D4F62"/>
    <w:rsid w:val="006D50D5"/>
    <w:rsid w:val="006D5980"/>
    <w:rsid w:val="006D5B38"/>
    <w:rsid w:val="006D5BE7"/>
    <w:rsid w:val="006D5C91"/>
    <w:rsid w:val="006D6188"/>
    <w:rsid w:val="006D63B6"/>
    <w:rsid w:val="006D6478"/>
    <w:rsid w:val="006D652C"/>
    <w:rsid w:val="006D69C0"/>
    <w:rsid w:val="006D6B7B"/>
    <w:rsid w:val="006D6CBB"/>
    <w:rsid w:val="006D7117"/>
    <w:rsid w:val="006D717E"/>
    <w:rsid w:val="006D762A"/>
    <w:rsid w:val="006D7876"/>
    <w:rsid w:val="006E0289"/>
    <w:rsid w:val="006E0E2C"/>
    <w:rsid w:val="006E1160"/>
    <w:rsid w:val="006E1FC3"/>
    <w:rsid w:val="006E2C0F"/>
    <w:rsid w:val="006E34B2"/>
    <w:rsid w:val="006E35E9"/>
    <w:rsid w:val="006E3FF7"/>
    <w:rsid w:val="006E49AB"/>
    <w:rsid w:val="006E4E08"/>
    <w:rsid w:val="006E4E13"/>
    <w:rsid w:val="006E514E"/>
    <w:rsid w:val="006E52C0"/>
    <w:rsid w:val="006E53D1"/>
    <w:rsid w:val="006E56C7"/>
    <w:rsid w:val="006E59A5"/>
    <w:rsid w:val="006E5F97"/>
    <w:rsid w:val="006E6187"/>
    <w:rsid w:val="006E63E0"/>
    <w:rsid w:val="006E6DA5"/>
    <w:rsid w:val="006E701A"/>
    <w:rsid w:val="006E7F83"/>
    <w:rsid w:val="006F0803"/>
    <w:rsid w:val="006F0DC9"/>
    <w:rsid w:val="006F0FD3"/>
    <w:rsid w:val="006F1676"/>
    <w:rsid w:val="006F1A43"/>
    <w:rsid w:val="006F24FB"/>
    <w:rsid w:val="006F29D4"/>
    <w:rsid w:val="006F2B18"/>
    <w:rsid w:val="006F2E6C"/>
    <w:rsid w:val="006F3190"/>
    <w:rsid w:val="006F3312"/>
    <w:rsid w:val="006F3639"/>
    <w:rsid w:val="006F3A6E"/>
    <w:rsid w:val="006F40D9"/>
    <w:rsid w:val="006F4F4B"/>
    <w:rsid w:val="006F54CB"/>
    <w:rsid w:val="006F5817"/>
    <w:rsid w:val="006F652C"/>
    <w:rsid w:val="006F6936"/>
    <w:rsid w:val="006F69D8"/>
    <w:rsid w:val="006F69E1"/>
    <w:rsid w:val="006F6CE4"/>
    <w:rsid w:val="006F705E"/>
    <w:rsid w:val="006F73C4"/>
    <w:rsid w:val="006F7500"/>
    <w:rsid w:val="006F75BC"/>
    <w:rsid w:val="006F7906"/>
    <w:rsid w:val="006F7A4F"/>
    <w:rsid w:val="006F7BB7"/>
    <w:rsid w:val="006F7CD7"/>
    <w:rsid w:val="0070033D"/>
    <w:rsid w:val="00700355"/>
    <w:rsid w:val="0070068B"/>
    <w:rsid w:val="007006C5"/>
    <w:rsid w:val="00700ACF"/>
    <w:rsid w:val="00700D1B"/>
    <w:rsid w:val="00700D8D"/>
    <w:rsid w:val="00700F2C"/>
    <w:rsid w:val="00701005"/>
    <w:rsid w:val="00701138"/>
    <w:rsid w:val="00701624"/>
    <w:rsid w:val="00701847"/>
    <w:rsid w:val="00701A23"/>
    <w:rsid w:val="00701A26"/>
    <w:rsid w:val="00701AEF"/>
    <w:rsid w:val="00701B00"/>
    <w:rsid w:val="007022CC"/>
    <w:rsid w:val="00702410"/>
    <w:rsid w:val="00702B3A"/>
    <w:rsid w:val="00702F72"/>
    <w:rsid w:val="0070353D"/>
    <w:rsid w:val="00703666"/>
    <w:rsid w:val="0070382C"/>
    <w:rsid w:val="00703B2F"/>
    <w:rsid w:val="00703B53"/>
    <w:rsid w:val="00703D60"/>
    <w:rsid w:val="00703E08"/>
    <w:rsid w:val="007041B2"/>
    <w:rsid w:val="0070422E"/>
    <w:rsid w:val="0070492A"/>
    <w:rsid w:val="007049D9"/>
    <w:rsid w:val="0070560F"/>
    <w:rsid w:val="007056FA"/>
    <w:rsid w:val="007057BB"/>
    <w:rsid w:val="00705B4F"/>
    <w:rsid w:val="00705D12"/>
    <w:rsid w:val="00705E60"/>
    <w:rsid w:val="00705F51"/>
    <w:rsid w:val="00706037"/>
    <w:rsid w:val="00706118"/>
    <w:rsid w:val="00706496"/>
    <w:rsid w:val="00706615"/>
    <w:rsid w:val="0070695A"/>
    <w:rsid w:val="00706EC4"/>
    <w:rsid w:val="00706EDD"/>
    <w:rsid w:val="00707547"/>
    <w:rsid w:val="00707647"/>
    <w:rsid w:val="00707822"/>
    <w:rsid w:val="0070786F"/>
    <w:rsid w:val="00707AA4"/>
    <w:rsid w:val="00707BB8"/>
    <w:rsid w:val="00707FD2"/>
    <w:rsid w:val="00710E70"/>
    <w:rsid w:val="00710F75"/>
    <w:rsid w:val="00711055"/>
    <w:rsid w:val="00711AE1"/>
    <w:rsid w:val="00711B00"/>
    <w:rsid w:val="00711FB0"/>
    <w:rsid w:val="007120E8"/>
    <w:rsid w:val="007121A3"/>
    <w:rsid w:val="007124A0"/>
    <w:rsid w:val="0071259E"/>
    <w:rsid w:val="007128E7"/>
    <w:rsid w:val="00712A3A"/>
    <w:rsid w:val="00712F5A"/>
    <w:rsid w:val="00713131"/>
    <w:rsid w:val="00713187"/>
    <w:rsid w:val="00713574"/>
    <w:rsid w:val="007137D6"/>
    <w:rsid w:val="00713AA7"/>
    <w:rsid w:val="00713D42"/>
    <w:rsid w:val="00713F68"/>
    <w:rsid w:val="00713F81"/>
    <w:rsid w:val="00714295"/>
    <w:rsid w:val="00714717"/>
    <w:rsid w:val="0071495A"/>
    <w:rsid w:val="00714DF2"/>
    <w:rsid w:val="00715246"/>
    <w:rsid w:val="007157C8"/>
    <w:rsid w:val="00715A0D"/>
    <w:rsid w:val="0071604E"/>
    <w:rsid w:val="007160F3"/>
    <w:rsid w:val="00716460"/>
    <w:rsid w:val="007164F7"/>
    <w:rsid w:val="00716696"/>
    <w:rsid w:val="00716D93"/>
    <w:rsid w:val="007171A1"/>
    <w:rsid w:val="0071766F"/>
    <w:rsid w:val="00717842"/>
    <w:rsid w:val="00717B39"/>
    <w:rsid w:val="00720910"/>
    <w:rsid w:val="00720B06"/>
    <w:rsid w:val="00720D08"/>
    <w:rsid w:val="00721025"/>
    <w:rsid w:val="00721150"/>
    <w:rsid w:val="007214B9"/>
    <w:rsid w:val="00721983"/>
    <w:rsid w:val="00722B43"/>
    <w:rsid w:val="00722BCA"/>
    <w:rsid w:val="00722F31"/>
    <w:rsid w:val="007230AB"/>
    <w:rsid w:val="00723286"/>
    <w:rsid w:val="00723588"/>
    <w:rsid w:val="00723762"/>
    <w:rsid w:val="00723951"/>
    <w:rsid w:val="00723ACC"/>
    <w:rsid w:val="00724A6D"/>
    <w:rsid w:val="00724BB1"/>
    <w:rsid w:val="00724D2A"/>
    <w:rsid w:val="00725042"/>
    <w:rsid w:val="00725121"/>
    <w:rsid w:val="007254B1"/>
    <w:rsid w:val="00725EEA"/>
    <w:rsid w:val="007262B2"/>
    <w:rsid w:val="007268E3"/>
    <w:rsid w:val="0072704A"/>
    <w:rsid w:val="00727283"/>
    <w:rsid w:val="00727292"/>
    <w:rsid w:val="007275A6"/>
    <w:rsid w:val="00727D10"/>
    <w:rsid w:val="00727E15"/>
    <w:rsid w:val="00727FB6"/>
    <w:rsid w:val="00730143"/>
    <w:rsid w:val="00730CDC"/>
    <w:rsid w:val="00731043"/>
    <w:rsid w:val="007310A1"/>
    <w:rsid w:val="007311EE"/>
    <w:rsid w:val="007312B4"/>
    <w:rsid w:val="00731312"/>
    <w:rsid w:val="00731491"/>
    <w:rsid w:val="007314F6"/>
    <w:rsid w:val="0073168C"/>
    <w:rsid w:val="00731E8D"/>
    <w:rsid w:val="00732206"/>
    <w:rsid w:val="00732292"/>
    <w:rsid w:val="007325F5"/>
    <w:rsid w:val="007326B5"/>
    <w:rsid w:val="00732825"/>
    <w:rsid w:val="007329C9"/>
    <w:rsid w:val="00732E87"/>
    <w:rsid w:val="0073319C"/>
    <w:rsid w:val="007332C8"/>
    <w:rsid w:val="00733540"/>
    <w:rsid w:val="00733547"/>
    <w:rsid w:val="007336DA"/>
    <w:rsid w:val="00733BB8"/>
    <w:rsid w:val="00733BDE"/>
    <w:rsid w:val="00733C04"/>
    <w:rsid w:val="00733CEB"/>
    <w:rsid w:val="00733EE8"/>
    <w:rsid w:val="00733F0F"/>
    <w:rsid w:val="00734055"/>
    <w:rsid w:val="007342E4"/>
    <w:rsid w:val="00734B90"/>
    <w:rsid w:val="00734C1C"/>
    <w:rsid w:val="00734E81"/>
    <w:rsid w:val="00734EC2"/>
    <w:rsid w:val="007350F8"/>
    <w:rsid w:val="007356DB"/>
    <w:rsid w:val="007356E6"/>
    <w:rsid w:val="0073663C"/>
    <w:rsid w:val="00736CB3"/>
    <w:rsid w:val="00736CE5"/>
    <w:rsid w:val="007375AF"/>
    <w:rsid w:val="007375C3"/>
    <w:rsid w:val="007378E1"/>
    <w:rsid w:val="00737941"/>
    <w:rsid w:val="00737B9B"/>
    <w:rsid w:val="00740703"/>
    <w:rsid w:val="007407A5"/>
    <w:rsid w:val="0074116E"/>
    <w:rsid w:val="007413E2"/>
    <w:rsid w:val="00741570"/>
    <w:rsid w:val="00741B8D"/>
    <w:rsid w:val="00741DAC"/>
    <w:rsid w:val="00742063"/>
    <w:rsid w:val="0074223A"/>
    <w:rsid w:val="00742C48"/>
    <w:rsid w:val="00743569"/>
    <w:rsid w:val="007435B1"/>
    <w:rsid w:val="007435ED"/>
    <w:rsid w:val="007441BB"/>
    <w:rsid w:val="00744445"/>
    <w:rsid w:val="0074472C"/>
    <w:rsid w:val="007449EF"/>
    <w:rsid w:val="00744BD1"/>
    <w:rsid w:val="00745900"/>
    <w:rsid w:val="00745BB7"/>
    <w:rsid w:val="00745F08"/>
    <w:rsid w:val="007463F7"/>
    <w:rsid w:val="0074641C"/>
    <w:rsid w:val="0074655B"/>
    <w:rsid w:val="00746582"/>
    <w:rsid w:val="00746C12"/>
    <w:rsid w:val="00746C8F"/>
    <w:rsid w:val="0074718B"/>
    <w:rsid w:val="0074752E"/>
    <w:rsid w:val="007477EE"/>
    <w:rsid w:val="00747897"/>
    <w:rsid w:val="00747DFA"/>
    <w:rsid w:val="00747EDA"/>
    <w:rsid w:val="00747F95"/>
    <w:rsid w:val="00750481"/>
    <w:rsid w:val="007504A6"/>
    <w:rsid w:val="0075081A"/>
    <w:rsid w:val="00750D7F"/>
    <w:rsid w:val="00750F9F"/>
    <w:rsid w:val="0075126A"/>
    <w:rsid w:val="007512EF"/>
    <w:rsid w:val="007517BE"/>
    <w:rsid w:val="00751948"/>
    <w:rsid w:val="0075201A"/>
    <w:rsid w:val="0075244C"/>
    <w:rsid w:val="00752D01"/>
    <w:rsid w:val="0075310B"/>
    <w:rsid w:val="0075322F"/>
    <w:rsid w:val="0075379D"/>
    <w:rsid w:val="007538A1"/>
    <w:rsid w:val="007539D4"/>
    <w:rsid w:val="00753E1F"/>
    <w:rsid w:val="007540AD"/>
    <w:rsid w:val="00754446"/>
    <w:rsid w:val="00754694"/>
    <w:rsid w:val="00754C6F"/>
    <w:rsid w:val="00754C9C"/>
    <w:rsid w:val="00754D7E"/>
    <w:rsid w:val="00754D87"/>
    <w:rsid w:val="00754E19"/>
    <w:rsid w:val="00754F1E"/>
    <w:rsid w:val="007552F8"/>
    <w:rsid w:val="00755308"/>
    <w:rsid w:val="007557E1"/>
    <w:rsid w:val="00755864"/>
    <w:rsid w:val="007558BD"/>
    <w:rsid w:val="00755F12"/>
    <w:rsid w:val="0075628E"/>
    <w:rsid w:val="00756500"/>
    <w:rsid w:val="00756A72"/>
    <w:rsid w:val="00756D15"/>
    <w:rsid w:val="00756DF2"/>
    <w:rsid w:val="0075708B"/>
    <w:rsid w:val="0075729B"/>
    <w:rsid w:val="00760469"/>
    <w:rsid w:val="00761034"/>
    <w:rsid w:val="007614A0"/>
    <w:rsid w:val="00761611"/>
    <w:rsid w:val="0076175A"/>
    <w:rsid w:val="00761BE7"/>
    <w:rsid w:val="00761D2A"/>
    <w:rsid w:val="00761F11"/>
    <w:rsid w:val="007622A6"/>
    <w:rsid w:val="0076337D"/>
    <w:rsid w:val="007634C8"/>
    <w:rsid w:val="007652DF"/>
    <w:rsid w:val="007654E8"/>
    <w:rsid w:val="00765530"/>
    <w:rsid w:val="00765780"/>
    <w:rsid w:val="007658E5"/>
    <w:rsid w:val="00765C10"/>
    <w:rsid w:val="00766145"/>
    <w:rsid w:val="007663A8"/>
    <w:rsid w:val="007664D8"/>
    <w:rsid w:val="0076712E"/>
    <w:rsid w:val="00767240"/>
    <w:rsid w:val="00767603"/>
    <w:rsid w:val="007679EA"/>
    <w:rsid w:val="00767BF7"/>
    <w:rsid w:val="00767C2C"/>
    <w:rsid w:val="00767C58"/>
    <w:rsid w:val="00770437"/>
    <w:rsid w:val="00770937"/>
    <w:rsid w:val="007709FE"/>
    <w:rsid w:val="007714DF"/>
    <w:rsid w:val="007714F6"/>
    <w:rsid w:val="0077171F"/>
    <w:rsid w:val="00771862"/>
    <w:rsid w:val="007719B4"/>
    <w:rsid w:val="00771D49"/>
    <w:rsid w:val="00772850"/>
    <w:rsid w:val="00772865"/>
    <w:rsid w:val="00772C92"/>
    <w:rsid w:val="00773167"/>
    <w:rsid w:val="0077360E"/>
    <w:rsid w:val="00773899"/>
    <w:rsid w:val="00773995"/>
    <w:rsid w:val="00773A3B"/>
    <w:rsid w:val="00773A60"/>
    <w:rsid w:val="00774122"/>
    <w:rsid w:val="0077438E"/>
    <w:rsid w:val="00774460"/>
    <w:rsid w:val="007745A9"/>
    <w:rsid w:val="00774DCF"/>
    <w:rsid w:val="007754F2"/>
    <w:rsid w:val="00775703"/>
    <w:rsid w:val="0077580B"/>
    <w:rsid w:val="00775BE5"/>
    <w:rsid w:val="00775E8F"/>
    <w:rsid w:val="00775F21"/>
    <w:rsid w:val="00775FDE"/>
    <w:rsid w:val="0077647F"/>
    <w:rsid w:val="00776C4F"/>
    <w:rsid w:val="00776F0C"/>
    <w:rsid w:val="00776FA1"/>
    <w:rsid w:val="00776FEB"/>
    <w:rsid w:val="0077751D"/>
    <w:rsid w:val="007775B9"/>
    <w:rsid w:val="0077773E"/>
    <w:rsid w:val="007777CF"/>
    <w:rsid w:val="007777E9"/>
    <w:rsid w:val="00777B5F"/>
    <w:rsid w:val="00777CCE"/>
    <w:rsid w:val="00777D79"/>
    <w:rsid w:val="00780575"/>
    <w:rsid w:val="00781733"/>
    <w:rsid w:val="00781E38"/>
    <w:rsid w:val="00781F78"/>
    <w:rsid w:val="00782098"/>
    <w:rsid w:val="00782102"/>
    <w:rsid w:val="0078236D"/>
    <w:rsid w:val="0078243E"/>
    <w:rsid w:val="00782CAC"/>
    <w:rsid w:val="00782CD4"/>
    <w:rsid w:val="00782D6C"/>
    <w:rsid w:val="00783220"/>
    <w:rsid w:val="00783910"/>
    <w:rsid w:val="00783BA8"/>
    <w:rsid w:val="00783D6F"/>
    <w:rsid w:val="007841D8"/>
    <w:rsid w:val="00784298"/>
    <w:rsid w:val="007843AF"/>
    <w:rsid w:val="007844B4"/>
    <w:rsid w:val="007849A1"/>
    <w:rsid w:val="007849C2"/>
    <w:rsid w:val="00784E00"/>
    <w:rsid w:val="00784E3C"/>
    <w:rsid w:val="00784EE3"/>
    <w:rsid w:val="00784F58"/>
    <w:rsid w:val="00785079"/>
    <w:rsid w:val="007852E6"/>
    <w:rsid w:val="0078540C"/>
    <w:rsid w:val="0078541F"/>
    <w:rsid w:val="007856A5"/>
    <w:rsid w:val="00785DD6"/>
    <w:rsid w:val="00786185"/>
    <w:rsid w:val="007861AB"/>
    <w:rsid w:val="00786353"/>
    <w:rsid w:val="00786C30"/>
    <w:rsid w:val="00786CE9"/>
    <w:rsid w:val="00786F7F"/>
    <w:rsid w:val="0078709B"/>
    <w:rsid w:val="00787177"/>
    <w:rsid w:val="007877E8"/>
    <w:rsid w:val="007878A4"/>
    <w:rsid w:val="00787F32"/>
    <w:rsid w:val="00790591"/>
    <w:rsid w:val="007905F9"/>
    <w:rsid w:val="007906D9"/>
    <w:rsid w:val="00790E3D"/>
    <w:rsid w:val="00791358"/>
    <w:rsid w:val="00791477"/>
    <w:rsid w:val="007914C3"/>
    <w:rsid w:val="0079179A"/>
    <w:rsid w:val="007917A1"/>
    <w:rsid w:val="007917D2"/>
    <w:rsid w:val="0079276F"/>
    <w:rsid w:val="007928D8"/>
    <w:rsid w:val="00792966"/>
    <w:rsid w:val="00792A1B"/>
    <w:rsid w:val="00792A8F"/>
    <w:rsid w:val="00792B09"/>
    <w:rsid w:val="0079329E"/>
    <w:rsid w:val="0079366D"/>
    <w:rsid w:val="0079393F"/>
    <w:rsid w:val="00793A12"/>
    <w:rsid w:val="00793D75"/>
    <w:rsid w:val="00793EF3"/>
    <w:rsid w:val="007941AE"/>
    <w:rsid w:val="007944AC"/>
    <w:rsid w:val="0079467B"/>
    <w:rsid w:val="00794742"/>
    <w:rsid w:val="00794B05"/>
    <w:rsid w:val="00794FBC"/>
    <w:rsid w:val="00795014"/>
    <w:rsid w:val="0079534F"/>
    <w:rsid w:val="0079570D"/>
    <w:rsid w:val="007957C3"/>
    <w:rsid w:val="00795CFF"/>
    <w:rsid w:val="00795EAE"/>
    <w:rsid w:val="00796AD7"/>
    <w:rsid w:val="00796BFB"/>
    <w:rsid w:val="0079701C"/>
    <w:rsid w:val="00797192"/>
    <w:rsid w:val="007976F5"/>
    <w:rsid w:val="0079778E"/>
    <w:rsid w:val="00797796"/>
    <w:rsid w:val="00797EE1"/>
    <w:rsid w:val="00797FF3"/>
    <w:rsid w:val="007A009E"/>
    <w:rsid w:val="007A02BB"/>
    <w:rsid w:val="007A0FC8"/>
    <w:rsid w:val="007A133B"/>
    <w:rsid w:val="007A1507"/>
    <w:rsid w:val="007A1CFA"/>
    <w:rsid w:val="007A1D58"/>
    <w:rsid w:val="007A23A8"/>
    <w:rsid w:val="007A2681"/>
    <w:rsid w:val="007A2AC2"/>
    <w:rsid w:val="007A2C59"/>
    <w:rsid w:val="007A2DBD"/>
    <w:rsid w:val="007A3402"/>
    <w:rsid w:val="007A421F"/>
    <w:rsid w:val="007A44F3"/>
    <w:rsid w:val="007A466B"/>
    <w:rsid w:val="007A4AE0"/>
    <w:rsid w:val="007A58A4"/>
    <w:rsid w:val="007A5D21"/>
    <w:rsid w:val="007A6123"/>
    <w:rsid w:val="007A6430"/>
    <w:rsid w:val="007A6C04"/>
    <w:rsid w:val="007A6ED4"/>
    <w:rsid w:val="007A7345"/>
    <w:rsid w:val="007A7371"/>
    <w:rsid w:val="007A7613"/>
    <w:rsid w:val="007A7CB7"/>
    <w:rsid w:val="007B0262"/>
    <w:rsid w:val="007B059B"/>
    <w:rsid w:val="007B0732"/>
    <w:rsid w:val="007B0839"/>
    <w:rsid w:val="007B0939"/>
    <w:rsid w:val="007B1025"/>
    <w:rsid w:val="007B1191"/>
    <w:rsid w:val="007B1207"/>
    <w:rsid w:val="007B1237"/>
    <w:rsid w:val="007B1332"/>
    <w:rsid w:val="007B1908"/>
    <w:rsid w:val="007B196D"/>
    <w:rsid w:val="007B19F6"/>
    <w:rsid w:val="007B24E0"/>
    <w:rsid w:val="007B27A7"/>
    <w:rsid w:val="007B2C51"/>
    <w:rsid w:val="007B42B3"/>
    <w:rsid w:val="007B43C7"/>
    <w:rsid w:val="007B4648"/>
    <w:rsid w:val="007B4845"/>
    <w:rsid w:val="007B525B"/>
    <w:rsid w:val="007B5990"/>
    <w:rsid w:val="007B6188"/>
    <w:rsid w:val="007B6294"/>
    <w:rsid w:val="007B6371"/>
    <w:rsid w:val="007B6463"/>
    <w:rsid w:val="007B6586"/>
    <w:rsid w:val="007B660B"/>
    <w:rsid w:val="007B6CE5"/>
    <w:rsid w:val="007B7A6B"/>
    <w:rsid w:val="007B7D19"/>
    <w:rsid w:val="007B7F32"/>
    <w:rsid w:val="007C05CC"/>
    <w:rsid w:val="007C1280"/>
    <w:rsid w:val="007C143A"/>
    <w:rsid w:val="007C1534"/>
    <w:rsid w:val="007C154B"/>
    <w:rsid w:val="007C158D"/>
    <w:rsid w:val="007C18E3"/>
    <w:rsid w:val="007C18FF"/>
    <w:rsid w:val="007C19F7"/>
    <w:rsid w:val="007C1A6B"/>
    <w:rsid w:val="007C1B7D"/>
    <w:rsid w:val="007C1F26"/>
    <w:rsid w:val="007C1F8D"/>
    <w:rsid w:val="007C204A"/>
    <w:rsid w:val="007C22C6"/>
    <w:rsid w:val="007C29E2"/>
    <w:rsid w:val="007C2DA1"/>
    <w:rsid w:val="007C2E23"/>
    <w:rsid w:val="007C32E3"/>
    <w:rsid w:val="007C33F4"/>
    <w:rsid w:val="007C376E"/>
    <w:rsid w:val="007C3D41"/>
    <w:rsid w:val="007C4399"/>
    <w:rsid w:val="007C4409"/>
    <w:rsid w:val="007C499C"/>
    <w:rsid w:val="007C4E6E"/>
    <w:rsid w:val="007C4E7A"/>
    <w:rsid w:val="007C4ECE"/>
    <w:rsid w:val="007C4FC7"/>
    <w:rsid w:val="007C5341"/>
    <w:rsid w:val="007C5800"/>
    <w:rsid w:val="007C5B5B"/>
    <w:rsid w:val="007C6868"/>
    <w:rsid w:val="007C68FF"/>
    <w:rsid w:val="007C6C4E"/>
    <w:rsid w:val="007C7027"/>
    <w:rsid w:val="007C7406"/>
    <w:rsid w:val="007C790D"/>
    <w:rsid w:val="007C794E"/>
    <w:rsid w:val="007C7A76"/>
    <w:rsid w:val="007C7F57"/>
    <w:rsid w:val="007D012A"/>
    <w:rsid w:val="007D03D2"/>
    <w:rsid w:val="007D059A"/>
    <w:rsid w:val="007D0997"/>
    <w:rsid w:val="007D0C91"/>
    <w:rsid w:val="007D141F"/>
    <w:rsid w:val="007D2332"/>
    <w:rsid w:val="007D25BA"/>
    <w:rsid w:val="007D2B02"/>
    <w:rsid w:val="007D2C30"/>
    <w:rsid w:val="007D2CD5"/>
    <w:rsid w:val="007D3177"/>
    <w:rsid w:val="007D3216"/>
    <w:rsid w:val="007D3553"/>
    <w:rsid w:val="007D38E7"/>
    <w:rsid w:val="007D3BF1"/>
    <w:rsid w:val="007D4975"/>
    <w:rsid w:val="007D4D93"/>
    <w:rsid w:val="007D4DA3"/>
    <w:rsid w:val="007D4EFC"/>
    <w:rsid w:val="007D5798"/>
    <w:rsid w:val="007D57BB"/>
    <w:rsid w:val="007D5AF4"/>
    <w:rsid w:val="007D5E50"/>
    <w:rsid w:val="007D6908"/>
    <w:rsid w:val="007D6BA8"/>
    <w:rsid w:val="007D6BE1"/>
    <w:rsid w:val="007D75CC"/>
    <w:rsid w:val="007D792B"/>
    <w:rsid w:val="007D7D31"/>
    <w:rsid w:val="007E0A8C"/>
    <w:rsid w:val="007E0E93"/>
    <w:rsid w:val="007E0EC3"/>
    <w:rsid w:val="007E0F65"/>
    <w:rsid w:val="007E1540"/>
    <w:rsid w:val="007E1546"/>
    <w:rsid w:val="007E1647"/>
    <w:rsid w:val="007E1774"/>
    <w:rsid w:val="007E1843"/>
    <w:rsid w:val="007E1CAC"/>
    <w:rsid w:val="007E1CD0"/>
    <w:rsid w:val="007E1F2C"/>
    <w:rsid w:val="007E219B"/>
    <w:rsid w:val="007E2484"/>
    <w:rsid w:val="007E27E5"/>
    <w:rsid w:val="007E2EF8"/>
    <w:rsid w:val="007E30AE"/>
    <w:rsid w:val="007E3571"/>
    <w:rsid w:val="007E35BA"/>
    <w:rsid w:val="007E3F48"/>
    <w:rsid w:val="007E4B66"/>
    <w:rsid w:val="007E509A"/>
    <w:rsid w:val="007E580F"/>
    <w:rsid w:val="007E6387"/>
    <w:rsid w:val="007E63A6"/>
    <w:rsid w:val="007E6A16"/>
    <w:rsid w:val="007E6DAD"/>
    <w:rsid w:val="007E704F"/>
    <w:rsid w:val="007E709D"/>
    <w:rsid w:val="007E728D"/>
    <w:rsid w:val="007E7580"/>
    <w:rsid w:val="007E770F"/>
    <w:rsid w:val="007E7E7A"/>
    <w:rsid w:val="007E7E8F"/>
    <w:rsid w:val="007F1081"/>
    <w:rsid w:val="007F1562"/>
    <w:rsid w:val="007F1AB4"/>
    <w:rsid w:val="007F2851"/>
    <w:rsid w:val="007F30AC"/>
    <w:rsid w:val="007F395C"/>
    <w:rsid w:val="007F3988"/>
    <w:rsid w:val="007F3EDC"/>
    <w:rsid w:val="007F4134"/>
    <w:rsid w:val="007F46D6"/>
    <w:rsid w:val="007F46F1"/>
    <w:rsid w:val="007F4984"/>
    <w:rsid w:val="007F50DA"/>
    <w:rsid w:val="007F5F35"/>
    <w:rsid w:val="007F6273"/>
    <w:rsid w:val="007F6673"/>
    <w:rsid w:val="007F6878"/>
    <w:rsid w:val="007F6B84"/>
    <w:rsid w:val="007F74A6"/>
    <w:rsid w:val="007F74E4"/>
    <w:rsid w:val="007F7A24"/>
    <w:rsid w:val="007F7A7D"/>
    <w:rsid w:val="008000A2"/>
    <w:rsid w:val="0080050B"/>
    <w:rsid w:val="008009B3"/>
    <w:rsid w:val="00800A5D"/>
    <w:rsid w:val="00800F26"/>
    <w:rsid w:val="00800FE0"/>
    <w:rsid w:val="008011D3"/>
    <w:rsid w:val="00801A8B"/>
    <w:rsid w:val="00801C3A"/>
    <w:rsid w:val="00801CC5"/>
    <w:rsid w:val="008020A3"/>
    <w:rsid w:val="00802607"/>
    <w:rsid w:val="008028B3"/>
    <w:rsid w:val="008029A5"/>
    <w:rsid w:val="00802B3F"/>
    <w:rsid w:val="0080356B"/>
    <w:rsid w:val="0080387E"/>
    <w:rsid w:val="00803BF5"/>
    <w:rsid w:val="00803CE8"/>
    <w:rsid w:val="00803CEF"/>
    <w:rsid w:val="008041B1"/>
    <w:rsid w:val="00804D05"/>
    <w:rsid w:val="00804DC8"/>
    <w:rsid w:val="0080514B"/>
    <w:rsid w:val="00805208"/>
    <w:rsid w:val="008056F1"/>
    <w:rsid w:val="008059D1"/>
    <w:rsid w:val="0080624E"/>
    <w:rsid w:val="00806281"/>
    <w:rsid w:val="00806420"/>
    <w:rsid w:val="008066DD"/>
    <w:rsid w:val="00806BBA"/>
    <w:rsid w:val="00806E7C"/>
    <w:rsid w:val="0080719D"/>
    <w:rsid w:val="00807230"/>
    <w:rsid w:val="00807329"/>
    <w:rsid w:val="00807841"/>
    <w:rsid w:val="008078D1"/>
    <w:rsid w:val="0081015D"/>
    <w:rsid w:val="008104B0"/>
    <w:rsid w:val="008104F4"/>
    <w:rsid w:val="00810585"/>
    <w:rsid w:val="00811202"/>
    <w:rsid w:val="00811219"/>
    <w:rsid w:val="008114A8"/>
    <w:rsid w:val="008118C8"/>
    <w:rsid w:val="00811D81"/>
    <w:rsid w:val="00811F32"/>
    <w:rsid w:val="00812462"/>
    <w:rsid w:val="00812466"/>
    <w:rsid w:val="00812FD4"/>
    <w:rsid w:val="008135BC"/>
    <w:rsid w:val="008138F9"/>
    <w:rsid w:val="00813EAA"/>
    <w:rsid w:val="0081432F"/>
    <w:rsid w:val="008145DF"/>
    <w:rsid w:val="00814949"/>
    <w:rsid w:val="00814CE4"/>
    <w:rsid w:val="00815411"/>
    <w:rsid w:val="00815AE3"/>
    <w:rsid w:val="00815E74"/>
    <w:rsid w:val="00816521"/>
    <w:rsid w:val="00816895"/>
    <w:rsid w:val="0081696D"/>
    <w:rsid w:val="00816DA6"/>
    <w:rsid w:val="008170FD"/>
    <w:rsid w:val="00817410"/>
    <w:rsid w:val="0081757E"/>
    <w:rsid w:val="00817D62"/>
    <w:rsid w:val="00820247"/>
    <w:rsid w:val="0082083E"/>
    <w:rsid w:val="0082088B"/>
    <w:rsid w:val="008211BF"/>
    <w:rsid w:val="008211CA"/>
    <w:rsid w:val="0082130E"/>
    <w:rsid w:val="0082197F"/>
    <w:rsid w:val="00821D16"/>
    <w:rsid w:val="00821E6E"/>
    <w:rsid w:val="00822165"/>
    <w:rsid w:val="008222BE"/>
    <w:rsid w:val="0082246A"/>
    <w:rsid w:val="00822600"/>
    <w:rsid w:val="0082261F"/>
    <w:rsid w:val="008229BF"/>
    <w:rsid w:val="00822E42"/>
    <w:rsid w:val="0082316B"/>
    <w:rsid w:val="0082348E"/>
    <w:rsid w:val="008237E5"/>
    <w:rsid w:val="0082385F"/>
    <w:rsid w:val="00823A76"/>
    <w:rsid w:val="00823B13"/>
    <w:rsid w:val="00823C87"/>
    <w:rsid w:val="00824033"/>
    <w:rsid w:val="00824620"/>
    <w:rsid w:val="008249CE"/>
    <w:rsid w:val="00824C3D"/>
    <w:rsid w:val="00825595"/>
    <w:rsid w:val="00825AE1"/>
    <w:rsid w:val="00825DA4"/>
    <w:rsid w:val="0082600E"/>
    <w:rsid w:val="0082616F"/>
    <w:rsid w:val="008261BD"/>
    <w:rsid w:val="00826767"/>
    <w:rsid w:val="0082704C"/>
    <w:rsid w:val="00827FD4"/>
    <w:rsid w:val="00830E46"/>
    <w:rsid w:val="00831190"/>
    <w:rsid w:val="008312C1"/>
    <w:rsid w:val="00831590"/>
    <w:rsid w:val="00831844"/>
    <w:rsid w:val="008318E6"/>
    <w:rsid w:val="00832216"/>
    <w:rsid w:val="0083234A"/>
    <w:rsid w:val="00832821"/>
    <w:rsid w:val="00832B27"/>
    <w:rsid w:val="00832E4E"/>
    <w:rsid w:val="00833EA8"/>
    <w:rsid w:val="0083453D"/>
    <w:rsid w:val="00834E1E"/>
    <w:rsid w:val="00835504"/>
    <w:rsid w:val="00835613"/>
    <w:rsid w:val="00835890"/>
    <w:rsid w:val="0083593C"/>
    <w:rsid w:val="008362D7"/>
    <w:rsid w:val="00836599"/>
    <w:rsid w:val="00836F42"/>
    <w:rsid w:val="00836F4F"/>
    <w:rsid w:val="008372EC"/>
    <w:rsid w:val="00837538"/>
    <w:rsid w:val="00837818"/>
    <w:rsid w:val="00837A30"/>
    <w:rsid w:val="00840582"/>
    <w:rsid w:val="00841374"/>
    <w:rsid w:val="008417BA"/>
    <w:rsid w:val="0084194C"/>
    <w:rsid w:val="00841CEE"/>
    <w:rsid w:val="00842875"/>
    <w:rsid w:val="00842A35"/>
    <w:rsid w:val="00842F33"/>
    <w:rsid w:val="00842F71"/>
    <w:rsid w:val="0084383D"/>
    <w:rsid w:val="0084389F"/>
    <w:rsid w:val="008442C4"/>
    <w:rsid w:val="0084432C"/>
    <w:rsid w:val="0084453B"/>
    <w:rsid w:val="00844629"/>
    <w:rsid w:val="00844688"/>
    <w:rsid w:val="00844A49"/>
    <w:rsid w:val="00844F73"/>
    <w:rsid w:val="00845791"/>
    <w:rsid w:val="00845A8E"/>
    <w:rsid w:val="00845C5F"/>
    <w:rsid w:val="0084797D"/>
    <w:rsid w:val="00847B4B"/>
    <w:rsid w:val="00847C00"/>
    <w:rsid w:val="00847C2D"/>
    <w:rsid w:val="00847C36"/>
    <w:rsid w:val="008501DF"/>
    <w:rsid w:val="0085042A"/>
    <w:rsid w:val="00850A8D"/>
    <w:rsid w:val="00850D65"/>
    <w:rsid w:val="0085127A"/>
    <w:rsid w:val="00851563"/>
    <w:rsid w:val="00851D34"/>
    <w:rsid w:val="00851EBF"/>
    <w:rsid w:val="008522A1"/>
    <w:rsid w:val="00852780"/>
    <w:rsid w:val="008532A7"/>
    <w:rsid w:val="008533A4"/>
    <w:rsid w:val="008533E0"/>
    <w:rsid w:val="00853512"/>
    <w:rsid w:val="008538BC"/>
    <w:rsid w:val="00853ACD"/>
    <w:rsid w:val="00853D0A"/>
    <w:rsid w:val="0085419C"/>
    <w:rsid w:val="008548BC"/>
    <w:rsid w:val="008549EB"/>
    <w:rsid w:val="00855824"/>
    <w:rsid w:val="008559C8"/>
    <w:rsid w:val="00855A19"/>
    <w:rsid w:val="008562FF"/>
    <w:rsid w:val="00856410"/>
    <w:rsid w:val="00856598"/>
    <w:rsid w:val="00856952"/>
    <w:rsid w:val="00856A75"/>
    <w:rsid w:val="00856A8E"/>
    <w:rsid w:val="00857372"/>
    <w:rsid w:val="008574FE"/>
    <w:rsid w:val="008579EE"/>
    <w:rsid w:val="00857A67"/>
    <w:rsid w:val="00857AC0"/>
    <w:rsid w:val="00857B26"/>
    <w:rsid w:val="00857B35"/>
    <w:rsid w:val="00857DE1"/>
    <w:rsid w:val="00860115"/>
    <w:rsid w:val="00860420"/>
    <w:rsid w:val="008606FD"/>
    <w:rsid w:val="008609C1"/>
    <w:rsid w:val="00860DAE"/>
    <w:rsid w:val="0086132C"/>
    <w:rsid w:val="008613C5"/>
    <w:rsid w:val="0086146B"/>
    <w:rsid w:val="008614D5"/>
    <w:rsid w:val="00861892"/>
    <w:rsid w:val="0086269F"/>
    <w:rsid w:val="00862E51"/>
    <w:rsid w:val="008633B7"/>
    <w:rsid w:val="0086357A"/>
    <w:rsid w:val="008635E0"/>
    <w:rsid w:val="00863A00"/>
    <w:rsid w:val="00863A16"/>
    <w:rsid w:val="00863EA8"/>
    <w:rsid w:val="00864457"/>
    <w:rsid w:val="00864C5A"/>
    <w:rsid w:val="0086543D"/>
    <w:rsid w:val="008658E8"/>
    <w:rsid w:val="0086598F"/>
    <w:rsid w:val="008659F3"/>
    <w:rsid w:val="0086632C"/>
    <w:rsid w:val="00866DF6"/>
    <w:rsid w:val="00866EB0"/>
    <w:rsid w:val="00866F33"/>
    <w:rsid w:val="00867075"/>
    <w:rsid w:val="008671E0"/>
    <w:rsid w:val="0086740A"/>
    <w:rsid w:val="00867941"/>
    <w:rsid w:val="00867A0E"/>
    <w:rsid w:val="00867DF8"/>
    <w:rsid w:val="00870000"/>
    <w:rsid w:val="008700F0"/>
    <w:rsid w:val="0087017A"/>
    <w:rsid w:val="00870618"/>
    <w:rsid w:val="0087064C"/>
    <w:rsid w:val="008709D1"/>
    <w:rsid w:val="00870D28"/>
    <w:rsid w:val="00870FD3"/>
    <w:rsid w:val="00871463"/>
    <w:rsid w:val="008714C9"/>
    <w:rsid w:val="0087169A"/>
    <w:rsid w:val="00871B19"/>
    <w:rsid w:val="00871B96"/>
    <w:rsid w:val="00871D42"/>
    <w:rsid w:val="00872314"/>
    <w:rsid w:val="008723DF"/>
    <w:rsid w:val="0087267C"/>
    <w:rsid w:val="00872A59"/>
    <w:rsid w:val="00873202"/>
    <w:rsid w:val="008732AE"/>
    <w:rsid w:val="008732F4"/>
    <w:rsid w:val="008733F1"/>
    <w:rsid w:val="00873504"/>
    <w:rsid w:val="00873686"/>
    <w:rsid w:val="00873B12"/>
    <w:rsid w:val="00873D61"/>
    <w:rsid w:val="00874020"/>
    <w:rsid w:val="008744CE"/>
    <w:rsid w:val="008751DB"/>
    <w:rsid w:val="0087526F"/>
    <w:rsid w:val="00875BDB"/>
    <w:rsid w:val="00875CCD"/>
    <w:rsid w:val="00875E4C"/>
    <w:rsid w:val="00875F40"/>
    <w:rsid w:val="0087603D"/>
    <w:rsid w:val="0087606B"/>
    <w:rsid w:val="00876233"/>
    <w:rsid w:val="00876985"/>
    <w:rsid w:val="00876AC8"/>
    <w:rsid w:val="0087791B"/>
    <w:rsid w:val="00877F76"/>
    <w:rsid w:val="008801C7"/>
    <w:rsid w:val="00880382"/>
    <w:rsid w:val="00881268"/>
    <w:rsid w:val="008812E2"/>
    <w:rsid w:val="00881456"/>
    <w:rsid w:val="00881629"/>
    <w:rsid w:val="008816F3"/>
    <w:rsid w:val="00881953"/>
    <w:rsid w:val="00881A2E"/>
    <w:rsid w:val="00881A57"/>
    <w:rsid w:val="00881B50"/>
    <w:rsid w:val="00882253"/>
    <w:rsid w:val="008828C1"/>
    <w:rsid w:val="00882AEC"/>
    <w:rsid w:val="00882C0A"/>
    <w:rsid w:val="00883339"/>
    <w:rsid w:val="00883592"/>
    <w:rsid w:val="008836EC"/>
    <w:rsid w:val="00883714"/>
    <w:rsid w:val="00883AC2"/>
    <w:rsid w:val="00883C69"/>
    <w:rsid w:val="00883F82"/>
    <w:rsid w:val="00884450"/>
    <w:rsid w:val="00884552"/>
    <w:rsid w:val="008848F2"/>
    <w:rsid w:val="00884B13"/>
    <w:rsid w:val="00884D10"/>
    <w:rsid w:val="00884E09"/>
    <w:rsid w:val="008854E8"/>
    <w:rsid w:val="008854F5"/>
    <w:rsid w:val="0088559B"/>
    <w:rsid w:val="008857F1"/>
    <w:rsid w:val="00885B6A"/>
    <w:rsid w:val="00885EB8"/>
    <w:rsid w:val="00886291"/>
    <w:rsid w:val="00886515"/>
    <w:rsid w:val="00886814"/>
    <w:rsid w:val="008869A8"/>
    <w:rsid w:val="008869B1"/>
    <w:rsid w:val="00886C38"/>
    <w:rsid w:val="00887178"/>
    <w:rsid w:val="00887C38"/>
    <w:rsid w:val="00887EC4"/>
    <w:rsid w:val="008901DC"/>
    <w:rsid w:val="00890233"/>
    <w:rsid w:val="008904CA"/>
    <w:rsid w:val="00890586"/>
    <w:rsid w:val="0089072E"/>
    <w:rsid w:val="0089086A"/>
    <w:rsid w:val="00890F85"/>
    <w:rsid w:val="00891A64"/>
    <w:rsid w:val="00891C33"/>
    <w:rsid w:val="00891ECD"/>
    <w:rsid w:val="008920C7"/>
    <w:rsid w:val="00892250"/>
    <w:rsid w:val="008924AB"/>
    <w:rsid w:val="00892762"/>
    <w:rsid w:val="00892816"/>
    <w:rsid w:val="008928D5"/>
    <w:rsid w:val="00892984"/>
    <w:rsid w:val="00892AEF"/>
    <w:rsid w:val="00892BFC"/>
    <w:rsid w:val="00892FAC"/>
    <w:rsid w:val="00893024"/>
    <w:rsid w:val="008931DA"/>
    <w:rsid w:val="00893640"/>
    <w:rsid w:val="00893948"/>
    <w:rsid w:val="00893B99"/>
    <w:rsid w:val="00894726"/>
    <w:rsid w:val="00894BB4"/>
    <w:rsid w:val="00894CE0"/>
    <w:rsid w:val="00894F19"/>
    <w:rsid w:val="008956E2"/>
    <w:rsid w:val="00895BE2"/>
    <w:rsid w:val="00895CAA"/>
    <w:rsid w:val="00895D9D"/>
    <w:rsid w:val="0089646D"/>
    <w:rsid w:val="00896799"/>
    <w:rsid w:val="00896953"/>
    <w:rsid w:val="0089699D"/>
    <w:rsid w:val="0089712B"/>
    <w:rsid w:val="00897172"/>
    <w:rsid w:val="0089721E"/>
    <w:rsid w:val="00897536"/>
    <w:rsid w:val="008975E1"/>
    <w:rsid w:val="008979D3"/>
    <w:rsid w:val="00897ACC"/>
    <w:rsid w:val="008A03CB"/>
    <w:rsid w:val="008A0477"/>
    <w:rsid w:val="008A0D6D"/>
    <w:rsid w:val="008A0E18"/>
    <w:rsid w:val="008A1025"/>
    <w:rsid w:val="008A114F"/>
    <w:rsid w:val="008A1472"/>
    <w:rsid w:val="008A1648"/>
    <w:rsid w:val="008A1656"/>
    <w:rsid w:val="008A1A4E"/>
    <w:rsid w:val="008A1B42"/>
    <w:rsid w:val="008A1BE9"/>
    <w:rsid w:val="008A1FB9"/>
    <w:rsid w:val="008A2111"/>
    <w:rsid w:val="008A2623"/>
    <w:rsid w:val="008A2ABA"/>
    <w:rsid w:val="008A2C89"/>
    <w:rsid w:val="008A30CB"/>
    <w:rsid w:val="008A31D6"/>
    <w:rsid w:val="008A3248"/>
    <w:rsid w:val="008A349B"/>
    <w:rsid w:val="008A34BB"/>
    <w:rsid w:val="008A35B5"/>
    <w:rsid w:val="008A3D3C"/>
    <w:rsid w:val="008A457D"/>
    <w:rsid w:val="008A4C48"/>
    <w:rsid w:val="008A4CA8"/>
    <w:rsid w:val="008A4D64"/>
    <w:rsid w:val="008A517A"/>
    <w:rsid w:val="008A5E5D"/>
    <w:rsid w:val="008A60B8"/>
    <w:rsid w:val="008A6B85"/>
    <w:rsid w:val="008A6E9D"/>
    <w:rsid w:val="008A7260"/>
    <w:rsid w:val="008A743A"/>
    <w:rsid w:val="008B008E"/>
    <w:rsid w:val="008B02E0"/>
    <w:rsid w:val="008B044D"/>
    <w:rsid w:val="008B0536"/>
    <w:rsid w:val="008B0D45"/>
    <w:rsid w:val="008B0E77"/>
    <w:rsid w:val="008B0F09"/>
    <w:rsid w:val="008B1114"/>
    <w:rsid w:val="008B140B"/>
    <w:rsid w:val="008B156B"/>
    <w:rsid w:val="008B15E7"/>
    <w:rsid w:val="008B16E3"/>
    <w:rsid w:val="008B1F4C"/>
    <w:rsid w:val="008B20AD"/>
    <w:rsid w:val="008B21A1"/>
    <w:rsid w:val="008B2692"/>
    <w:rsid w:val="008B322B"/>
    <w:rsid w:val="008B383A"/>
    <w:rsid w:val="008B3933"/>
    <w:rsid w:val="008B3A32"/>
    <w:rsid w:val="008B3CC0"/>
    <w:rsid w:val="008B3E4D"/>
    <w:rsid w:val="008B411D"/>
    <w:rsid w:val="008B46E9"/>
    <w:rsid w:val="008B4A8D"/>
    <w:rsid w:val="008B5024"/>
    <w:rsid w:val="008B51D2"/>
    <w:rsid w:val="008B52BD"/>
    <w:rsid w:val="008B5B04"/>
    <w:rsid w:val="008B6336"/>
    <w:rsid w:val="008B63EB"/>
    <w:rsid w:val="008B6466"/>
    <w:rsid w:val="008B657B"/>
    <w:rsid w:val="008B661C"/>
    <w:rsid w:val="008B6771"/>
    <w:rsid w:val="008B6B77"/>
    <w:rsid w:val="008B6E4C"/>
    <w:rsid w:val="008B75E3"/>
    <w:rsid w:val="008B7932"/>
    <w:rsid w:val="008B7F77"/>
    <w:rsid w:val="008B7FF1"/>
    <w:rsid w:val="008B7FF9"/>
    <w:rsid w:val="008C00E1"/>
    <w:rsid w:val="008C0412"/>
    <w:rsid w:val="008C09E9"/>
    <w:rsid w:val="008C0CEE"/>
    <w:rsid w:val="008C13DB"/>
    <w:rsid w:val="008C1914"/>
    <w:rsid w:val="008C19C3"/>
    <w:rsid w:val="008C1B95"/>
    <w:rsid w:val="008C1FF6"/>
    <w:rsid w:val="008C2686"/>
    <w:rsid w:val="008C2A5B"/>
    <w:rsid w:val="008C2BD2"/>
    <w:rsid w:val="008C2F97"/>
    <w:rsid w:val="008C3094"/>
    <w:rsid w:val="008C319C"/>
    <w:rsid w:val="008C3287"/>
    <w:rsid w:val="008C329C"/>
    <w:rsid w:val="008C32D5"/>
    <w:rsid w:val="008C39A5"/>
    <w:rsid w:val="008C3ACE"/>
    <w:rsid w:val="008C3DBC"/>
    <w:rsid w:val="008C3FC9"/>
    <w:rsid w:val="008C407F"/>
    <w:rsid w:val="008C41E5"/>
    <w:rsid w:val="008C43DE"/>
    <w:rsid w:val="008C44F9"/>
    <w:rsid w:val="008C4591"/>
    <w:rsid w:val="008C4CA6"/>
    <w:rsid w:val="008C5113"/>
    <w:rsid w:val="008C59D2"/>
    <w:rsid w:val="008C5CD6"/>
    <w:rsid w:val="008C5EF6"/>
    <w:rsid w:val="008C635D"/>
    <w:rsid w:val="008C693B"/>
    <w:rsid w:val="008C6D09"/>
    <w:rsid w:val="008C6E24"/>
    <w:rsid w:val="008C6EC6"/>
    <w:rsid w:val="008C76C9"/>
    <w:rsid w:val="008C7970"/>
    <w:rsid w:val="008C7E35"/>
    <w:rsid w:val="008D1D5E"/>
    <w:rsid w:val="008D1E25"/>
    <w:rsid w:val="008D1F3C"/>
    <w:rsid w:val="008D29F8"/>
    <w:rsid w:val="008D2F1B"/>
    <w:rsid w:val="008D30A7"/>
    <w:rsid w:val="008D3148"/>
    <w:rsid w:val="008D37A8"/>
    <w:rsid w:val="008D38AF"/>
    <w:rsid w:val="008D3940"/>
    <w:rsid w:val="008D4610"/>
    <w:rsid w:val="008D4644"/>
    <w:rsid w:val="008D4B9D"/>
    <w:rsid w:val="008D4C93"/>
    <w:rsid w:val="008D4D23"/>
    <w:rsid w:val="008D5269"/>
    <w:rsid w:val="008D5324"/>
    <w:rsid w:val="008D594C"/>
    <w:rsid w:val="008D5B86"/>
    <w:rsid w:val="008D5D29"/>
    <w:rsid w:val="008D5E9A"/>
    <w:rsid w:val="008D60D4"/>
    <w:rsid w:val="008D618C"/>
    <w:rsid w:val="008D666F"/>
    <w:rsid w:val="008D69A6"/>
    <w:rsid w:val="008D715D"/>
    <w:rsid w:val="008D71E6"/>
    <w:rsid w:val="008D795A"/>
    <w:rsid w:val="008D7C20"/>
    <w:rsid w:val="008E0016"/>
    <w:rsid w:val="008E0717"/>
    <w:rsid w:val="008E08C5"/>
    <w:rsid w:val="008E0B6D"/>
    <w:rsid w:val="008E0CD9"/>
    <w:rsid w:val="008E0FED"/>
    <w:rsid w:val="008E13ED"/>
    <w:rsid w:val="008E1442"/>
    <w:rsid w:val="008E15FB"/>
    <w:rsid w:val="008E1696"/>
    <w:rsid w:val="008E1806"/>
    <w:rsid w:val="008E187C"/>
    <w:rsid w:val="008E193A"/>
    <w:rsid w:val="008E1B1B"/>
    <w:rsid w:val="008E2129"/>
    <w:rsid w:val="008E2291"/>
    <w:rsid w:val="008E243B"/>
    <w:rsid w:val="008E2A01"/>
    <w:rsid w:val="008E2A8F"/>
    <w:rsid w:val="008E3393"/>
    <w:rsid w:val="008E3F11"/>
    <w:rsid w:val="008E3FD2"/>
    <w:rsid w:val="008E457C"/>
    <w:rsid w:val="008E4B4E"/>
    <w:rsid w:val="008E4B81"/>
    <w:rsid w:val="008E5644"/>
    <w:rsid w:val="008E57BE"/>
    <w:rsid w:val="008E5982"/>
    <w:rsid w:val="008E5AE0"/>
    <w:rsid w:val="008E5CC7"/>
    <w:rsid w:val="008E5E0C"/>
    <w:rsid w:val="008E6338"/>
    <w:rsid w:val="008E6642"/>
    <w:rsid w:val="008E66B0"/>
    <w:rsid w:val="008E6A3D"/>
    <w:rsid w:val="008E776B"/>
    <w:rsid w:val="008E7AAD"/>
    <w:rsid w:val="008E7F44"/>
    <w:rsid w:val="008E7F49"/>
    <w:rsid w:val="008F026F"/>
    <w:rsid w:val="008F0465"/>
    <w:rsid w:val="008F08FA"/>
    <w:rsid w:val="008F0A76"/>
    <w:rsid w:val="008F0D12"/>
    <w:rsid w:val="008F0E41"/>
    <w:rsid w:val="008F1112"/>
    <w:rsid w:val="008F1882"/>
    <w:rsid w:val="008F1ABE"/>
    <w:rsid w:val="008F1CA0"/>
    <w:rsid w:val="008F1ED6"/>
    <w:rsid w:val="008F1EEB"/>
    <w:rsid w:val="008F1FF5"/>
    <w:rsid w:val="008F2CF1"/>
    <w:rsid w:val="008F31F1"/>
    <w:rsid w:val="008F3746"/>
    <w:rsid w:val="008F3885"/>
    <w:rsid w:val="008F392F"/>
    <w:rsid w:val="008F3A43"/>
    <w:rsid w:val="008F3C0B"/>
    <w:rsid w:val="008F3D5F"/>
    <w:rsid w:val="008F3DF5"/>
    <w:rsid w:val="008F4490"/>
    <w:rsid w:val="008F4CE3"/>
    <w:rsid w:val="008F5283"/>
    <w:rsid w:val="008F54A7"/>
    <w:rsid w:val="008F6392"/>
    <w:rsid w:val="008F65E1"/>
    <w:rsid w:val="008F6D45"/>
    <w:rsid w:val="008F709A"/>
    <w:rsid w:val="008F71EA"/>
    <w:rsid w:val="008F72E8"/>
    <w:rsid w:val="008F75AD"/>
    <w:rsid w:val="008F77E2"/>
    <w:rsid w:val="008F77E4"/>
    <w:rsid w:val="008F784D"/>
    <w:rsid w:val="008F7B15"/>
    <w:rsid w:val="008F7E98"/>
    <w:rsid w:val="0090017B"/>
    <w:rsid w:val="009004FE"/>
    <w:rsid w:val="00900BC2"/>
    <w:rsid w:val="00900D12"/>
    <w:rsid w:val="0090131C"/>
    <w:rsid w:val="009017E0"/>
    <w:rsid w:val="00901C83"/>
    <w:rsid w:val="0090200A"/>
    <w:rsid w:val="009023E1"/>
    <w:rsid w:val="0090251D"/>
    <w:rsid w:val="009028A3"/>
    <w:rsid w:val="00902D7D"/>
    <w:rsid w:val="00903375"/>
    <w:rsid w:val="009034B7"/>
    <w:rsid w:val="009036A4"/>
    <w:rsid w:val="009037FB"/>
    <w:rsid w:val="00903A19"/>
    <w:rsid w:val="00903A60"/>
    <w:rsid w:val="009043AB"/>
    <w:rsid w:val="00904497"/>
    <w:rsid w:val="0090454A"/>
    <w:rsid w:val="0090455F"/>
    <w:rsid w:val="0090472B"/>
    <w:rsid w:val="00904B0E"/>
    <w:rsid w:val="00904D90"/>
    <w:rsid w:val="00905478"/>
    <w:rsid w:val="0090555B"/>
    <w:rsid w:val="00905D4A"/>
    <w:rsid w:val="009065CB"/>
    <w:rsid w:val="00906DB3"/>
    <w:rsid w:val="00906EB5"/>
    <w:rsid w:val="00907184"/>
    <w:rsid w:val="0090726D"/>
    <w:rsid w:val="0090737E"/>
    <w:rsid w:val="00907A83"/>
    <w:rsid w:val="00907DDA"/>
    <w:rsid w:val="00910181"/>
    <w:rsid w:val="00910B9B"/>
    <w:rsid w:val="00910ECB"/>
    <w:rsid w:val="00910FDF"/>
    <w:rsid w:val="009112B8"/>
    <w:rsid w:val="00911426"/>
    <w:rsid w:val="009115AB"/>
    <w:rsid w:val="00911D6B"/>
    <w:rsid w:val="009120A0"/>
    <w:rsid w:val="00912605"/>
    <w:rsid w:val="0091279E"/>
    <w:rsid w:val="009127C5"/>
    <w:rsid w:val="00912944"/>
    <w:rsid w:val="00912F0F"/>
    <w:rsid w:val="0091358C"/>
    <w:rsid w:val="00913756"/>
    <w:rsid w:val="00913767"/>
    <w:rsid w:val="00913868"/>
    <w:rsid w:val="00913CBE"/>
    <w:rsid w:val="00913E17"/>
    <w:rsid w:val="009141D0"/>
    <w:rsid w:val="0091437B"/>
    <w:rsid w:val="0091447C"/>
    <w:rsid w:val="0091467B"/>
    <w:rsid w:val="009146A0"/>
    <w:rsid w:val="009149D8"/>
    <w:rsid w:val="00915055"/>
    <w:rsid w:val="009155E8"/>
    <w:rsid w:val="00915A16"/>
    <w:rsid w:val="00915CD3"/>
    <w:rsid w:val="00915E89"/>
    <w:rsid w:val="00916074"/>
    <w:rsid w:val="00916193"/>
    <w:rsid w:val="00917480"/>
    <w:rsid w:val="00917FD1"/>
    <w:rsid w:val="009200A8"/>
    <w:rsid w:val="009200B0"/>
    <w:rsid w:val="00921400"/>
    <w:rsid w:val="009215E7"/>
    <w:rsid w:val="0092175F"/>
    <w:rsid w:val="00921C02"/>
    <w:rsid w:val="0092211C"/>
    <w:rsid w:val="0092222F"/>
    <w:rsid w:val="009223A6"/>
    <w:rsid w:val="0092296B"/>
    <w:rsid w:val="00923042"/>
    <w:rsid w:val="00923135"/>
    <w:rsid w:val="009231CD"/>
    <w:rsid w:val="009232F3"/>
    <w:rsid w:val="00924569"/>
    <w:rsid w:val="009246CF"/>
    <w:rsid w:val="0092483E"/>
    <w:rsid w:val="0092486F"/>
    <w:rsid w:val="00924C6B"/>
    <w:rsid w:val="00924CAB"/>
    <w:rsid w:val="009253A6"/>
    <w:rsid w:val="009253F6"/>
    <w:rsid w:val="0092542E"/>
    <w:rsid w:val="00925775"/>
    <w:rsid w:val="009257FD"/>
    <w:rsid w:val="00925805"/>
    <w:rsid w:val="00925FDC"/>
    <w:rsid w:val="009264C4"/>
    <w:rsid w:val="009268A6"/>
    <w:rsid w:val="00926D49"/>
    <w:rsid w:val="00926F09"/>
    <w:rsid w:val="009277EE"/>
    <w:rsid w:val="009278E9"/>
    <w:rsid w:val="00927EB0"/>
    <w:rsid w:val="00930716"/>
    <w:rsid w:val="0093122A"/>
    <w:rsid w:val="0093143F"/>
    <w:rsid w:val="00931A00"/>
    <w:rsid w:val="00931B51"/>
    <w:rsid w:val="00931B73"/>
    <w:rsid w:val="00931E66"/>
    <w:rsid w:val="00931EE3"/>
    <w:rsid w:val="00931F92"/>
    <w:rsid w:val="00932259"/>
    <w:rsid w:val="00932ACE"/>
    <w:rsid w:val="00932CCB"/>
    <w:rsid w:val="00932D19"/>
    <w:rsid w:val="009331F4"/>
    <w:rsid w:val="00933941"/>
    <w:rsid w:val="00934E35"/>
    <w:rsid w:val="00934F28"/>
    <w:rsid w:val="00935467"/>
    <w:rsid w:val="009356B1"/>
    <w:rsid w:val="009356C5"/>
    <w:rsid w:val="00936614"/>
    <w:rsid w:val="009369FF"/>
    <w:rsid w:val="00936A44"/>
    <w:rsid w:val="00936CB2"/>
    <w:rsid w:val="00936CE5"/>
    <w:rsid w:val="0093702C"/>
    <w:rsid w:val="009376A5"/>
    <w:rsid w:val="009376A8"/>
    <w:rsid w:val="009376CA"/>
    <w:rsid w:val="00937937"/>
    <w:rsid w:val="009379A1"/>
    <w:rsid w:val="00937BF9"/>
    <w:rsid w:val="00937C11"/>
    <w:rsid w:val="00937E55"/>
    <w:rsid w:val="00940111"/>
    <w:rsid w:val="0094023E"/>
    <w:rsid w:val="00940632"/>
    <w:rsid w:val="0094076F"/>
    <w:rsid w:val="0094078A"/>
    <w:rsid w:val="00940939"/>
    <w:rsid w:val="0094107D"/>
    <w:rsid w:val="0094134D"/>
    <w:rsid w:val="009413B3"/>
    <w:rsid w:val="00941A2D"/>
    <w:rsid w:val="00941A61"/>
    <w:rsid w:val="00941F55"/>
    <w:rsid w:val="00942015"/>
    <w:rsid w:val="009420F6"/>
    <w:rsid w:val="0094221B"/>
    <w:rsid w:val="00942293"/>
    <w:rsid w:val="009425AF"/>
    <w:rsid w:val="009429D4"/>
    <w:rsid w:val="0094320F"/>
    <w:rsid w:val="00943A53"/>
    <w:rsid w:val="00943C78"/>
    <w:rsid w:val="00943EB4"/>
    <w:rsid w:val="00944634"/>
    <w:rsid w:val="00944BBF"/>
    <w:rsid w:val="009451E7"/>
    <w:rsid w:val="009452EF"/>
    <w:rsid w:val="009456E7"/>
    <w:rsid w:val="00945ABB"/>
    <w:rsid w:val="00945F97"/>
    <w:rsid w:val="00946660"/>
    <w:rsid w:val="00946BFE"/>
    <w:rsid w:val="00946E37"/>
    <w:rsid w:val="00947168"/>
    <w:rsid w:val="0094753A"/>
    <w:rsid w:val="009476FC"/>
    <w:rsid w:val="009478C9"/>
    <w:rsid w:val="00947D2C"/>
    <w:rsid w:val="00947D50"/>
    <w:rsid w:val="0095023B"/>
    <w:rsid w:val="00951775"/>
    <w:rsid w:val="0095181B"/>
    <w:rsid w:val="00951DB5"/>
    <w:rsid w:val="00952664"/>
    <w:rsid w:val="009529FF"/>
    <w:rsid w:val="00952D3F"/>
    <w:rsid w:val="009533E4"/>
    <w:rsid w:val="00953D2B"/>
    <w:rsid w:val="00953E44"/>
    <w:rsid w:val="0095409F"/>
    <w:rsid w:val="0095453E"/>
    <w:rsid w:val="009546D3"/>
    <w:rsid w:val="00954991"/>
    <w:rsid w:val="00954BB8"/>
    <w:rsid w:val="00955715"/>
    <w:rsid w:val="00955798"/>
    <w:rsid w:val="00955A7B"/>
    <w:rsid w:val="00955E62"/>
    <w:rsid w:val="00955F12"/>
    <w:rsid w:val="00955F3B"/>
    <w:rsid w:val="00957055"/>
    <w:rsid w:val="00957B8C"/>
    <w:rsid w:val="00957E48"/>
    <w:rsid w:val="00960069"/>
    <w:rsid w:val="00960091"/>
    <w:rsid w:val="00960223"/>
    <w:rsid w:val="00960CCF"/>
    <w:rsid w:val="00960D5B"/>
    <w:rsid w:val="00960F27"/>
    <w:rsid w:val="0096114F"/>
    <w:rsid w:val="009615A6"/>
    <w:rsid w:val="00961CFA"/>
    <w:rsid w:val="00961FD8"/>
    <w:rsid w:val="00962699"/>
    <w:rsid w:val="00962C35"/>
    <w:rsid w:val="009631FD"/>
    <w:rsid w:val="0096332E"/>
    <w:rsid w:val="00963D40"/>
    <w:rsid w:val="009641D4"/>
    <w:rsid w:val="0096439F"/>
    <w:rsid w:val="009646F5"/>
    <w:rsid w:val="00964A00"/>
    <w:rsid w:val="00964A53"/>
    <w:rsid w:val="00964BA1"/>
    <w:rsid w:val="00964ED8"/>
    <w:rsid w:val="00965050"/>
    <w:rsid w:val="00965418"/>
    <w:rsid w:val="0096633D"/>
    <w:rsid w:val="0096645F"/>
    <w:rsid w:val="009665F1"/>
    <w:rsid w:val="009666A0"/>
    <w:rsid w:val="00966920"/>
    <w:rsid w:val="00966C1E"/>
    <w:rsid w:val="00966D89"/>
    <w:rsid w:val="0096704D"/>
    <w:rsid w:val="009672A8"/>
    <w:rsid w:val="00970904"/>
    <w:rsid w:val="00970CA2"/>
    <w:rsid w:val="00970DB2"/>
    <w:rsid w:val="00971128"/>
    <w:rsid w:val="00971142"/>
    <w:rsid w:val="0097159E"/>
    <w:rsid w:val="009715FF"/>
    <w:rsid w:val="00971751"/>
    <w:rsid w:val="00971BE4"/>
    <w:rsid w:val="00971E3F"/>
    <w:rsid w:val="00971F42"/>
    <w:rsid w:val="0097211D"/>
    <w:rsid w:val="00972D5F"/>
    <w:rsid w:val="00972E44"/>
    <w:rsid w:val="0097362D"/>
    <w:rsid w:val="0097387A"/>
    <w:rsid w:val="00973E50"/>
    <w:rsid w:val="00974292"/>
    <w:rsid w:val="00974577"/>
    <w:rsid w:val="00974718"/>
    <w:rsid w:val="009749B4"/>
    <w:rsid w:val="00974A71"/>
    <w:rsid w:val="00974B5E"/>
    <w:rsid w:val="0097550D"/>
    <w:rsid w:val="009759C3"/>
    <w:rsid w:val="00975EFD"/>
    <w:rsid w:val="00976249"/>
    <w:rsid w:val="0097625F"/>
    <w:rsid w:val="00976A51"/>
    <w:rsid w:val="00976C31"/>
    <w:rsid w:val="00976D32"/>
    <w:rsid w:val="00976DE1"/>
    <w:rsid w:val="00976E1D"/>
    <w:rsid w:val="00977028"/>
    <w:rsid w:val="00977336"/>
    <w:rsid w:val="009773D0"/>
    <w:rsid w:val="009773EE"/>
    <w:rsid w:val="00977886"/>
    <w:rsid w:val="00977F40"/>
    <w:rsid w:val="009804D5"/>
    <w:rsid w:val="00980A2F"/>
    <w:rsid w:val="00980B71"/>
    <w:rsid w:val="00980C95"/>
    <w:rsid w:val="00981130"/>
    <w:rsid w:val="009814F4"/>
    <w:rsid w:val="009818E2"/>
    <w:rsid w:val="00981999"/>
    <w:rsid w:val="00981A43"/>
    <w:rsid w:val="00981B7C"/>
    <w:rsid w:val="00981C93"/>
    <w:rsid w:val="00981DF9"/>
    <w:rsid w:val="009824DC"/>
    <w:rsid w:val="00982C4B"/>
    <w:rsid w:val="00983DBD"/>
    <w:rsid w:val="009841F5"/>
    <w:rsid w:val="009842DC"/>
    <w:rsid w:val="00984372"/>
    <w:rsid w:val="00984A80"/>
    <w:rsid w:val="009850B6"/>
    <w:rsid w:val="0098549E"/>
    <w:rsid w:val="00985560"/>
    <w:rsid w:val="009863B5"/>
    <w:rsid w:val="009865E2"/>
    <w:rsid w:val="00986980"/>
    <w:rsid w:val="00986FA8"/>
    <w:rsid w:val="009870B8"/>
    <w:rsid w:val="0098747A"/>
    <w:rsid w:val="0098797F"/>
    <w:rsid w:val="00987D9F"/>
    <w:rsid w:val="00987DA7"/>
    <w:rsid w:val="00987E4E"/>
    <w:rsid w:val="009902F2"/>
    <w:rsid w:val="00990A0E"/>
    <w:rsid w:val="00990E26"/>
    <w:rsid w:val="009910F8"/>
    <w:rsid w:val="009917FE"/>
    <w:rsid w:val="009919AF"/>
    <w:rsid w:val="00991BA3"/>
    <w:rsid w:val="00991F85"/>
    <w:rsid w:val="00992646"/>
    <w:rsid w:val="00992865"/>
    <w:rsid w:val="00992917"/>
    <w:rsid w:val="00992F47"/>
    <w:rsid w:val="00993135"/>
    <w:rsid w:val="00993661"/>
    <w:rsid w:val="009938B9"/>
    <w:rsid w:val="00993E66"/>
    <w:rsid w:val="00994801"/>
    <w:rsid w:val="00994883"/>
    <w:rsid w:val="00994B10"/>
    <w:rsid w:val="00994C1B"/>
    <w:rsid w:val="00994FE6"/>
    <w:rsid w:val="00995207"/>
    <w:rsid w:val="0099526C"/>
    <w:rsid w:val="009952E0"/>
    <w:rsid w:val="009956B5"/>
    <w:rsid w:val="00995AF7"/>
    <w:rsid w:val="009961E9"/>
    <w:rsid w:val="009964E1"/>
    <w:rsid w:val="00996725"/>
    <w:rsid w:val="0099692F"/>
    <w:rsid w:val="009973E1"/>
    <w:rsid w:val="00997EC3"/>
    <w:rsid w:val="00997F36"/>
    <w:rsid w:val="009A0251"/>
    <w:rsid w:val="009A02ED"/>
    <w:rsid w:val="009A050F"/>
    <w:rsid w:val="009A0791"/>
    <w:rsid w:val="009A0807"/>
    <w:rsid w:val="009A08E0"/>
    <w:rsid w:val="009A092C"/>
    <w:rsid w:val="009A0D4F"/>
    <w:rsid w:val="009A0E54"/>
    <w:rsid w:val="009A0EE7"/>
    <w:rsid w:val="009A0F02"/>
    <w:rsid w:val="009A1137"/>
    <w:rsid w:val="009A1178"/>
    <w:rsid w:val="009A178D"/>
    <w:rsid w:val="009A1A0C"/>
    <w:rsid w:val="009A1D4B"/>
    <w:rsid w:val="009A2086"/>
    <w:rsid w:val="009A21C6"/>
    <w:rsid w:val="009A278F"/>
    <w:rsid w:val="009A2A00"/>
    <w:rsid w:val="009A322D"/>
    <w:rsid w:val="009A367C"/>
    <w:rsid w:val="009A36A7"/>
    <w:rsid w:val="009A3784"/>
    <w:rsid w:val="009A3B22"/>
    <w:rsid w:val="009A4377"/>
    <w:rsid w:val="009A4A3F"/>
    <w:rsid w:val="009A4A61"/>
    <w:rsid w:val="009A5148"/>
    <w:rsid w:val="009A530D"/>
    <w:rsid w:val="009A5392"/>
    <w:rsid w:val="009A5578"/>
    <w:rsid w:val="009A5933"/>
    <w:rsid w:val="009A5D42"/>
    <w:rsid w:val="009A63C0"/>
    <w:rsid w:val="009A670B"/>
    <w:rsid w:val="009A6A52"/>
    <w:rsid w:val="009A6B46"/>
    <w:rsid w:val="009A6BDB"/>
    <w:rsid w:val="009A6D1A"/>
    <w:rsid w:val="009A6D49"/>
    <w:rsid w:val="009A6E6D"/>
    <w:rsid w:val="009A6EF3"/>
    <w:rsid w:val="009A6F63"/>
    <w:rsid w:val="009A7000"/>
    <w:rsid w:val="009A711C"/>
    <w:rsid w:val="009A7327"/>
    <w:rsid w:val="009A732D"/>
    <w:rsid w:val="009A73C0"/>
    <w:rsid w:val="009A76B3"/>
    <w:rsid w:val="009B03C6"/>
    <w:rsid w:val="009B0CCD"/>
    <w:rsid w:val="009B0E43"/>
    <w:rsid w:val="009B10B5"/>
    <w:rsid w:val="009B125C"/>
    <w:rsid w:val="009B144E"/>
    <w:rsid w:val="009B1594"/>
    <w:rsid w:val="009B1D90"/>
    <w:rsid w:val="009B23AA"/>
    <w:rsid w:val="009B2FAD"/>
    <w:rsid w:val="009B33BA"/>
    <w:rsid w:val="009B3550"/>
    <w:rsid w:val="009B3627"/>
    <w:rsid w:val="009B3996"/>
    <w:rsid w:val="009B4363"/>
    <w:rsid w:val="009B537D"/>
    <w:rsid w:val="009B56E1"/>
    <w:rsid w:val="009B591B"/>
    <w:rsid w:val="009B59C6"/>
    <w:rsid w:val="009B6448"/>
    <w:rsid w:val="009B64EB"/>
    <w:rsid w:val="009B6798"/>
    <w:rsid w:val="009B6CD2"/>
    <w:rsid w:val="009B6F90"/>
    <w:rsid w:val="009B71C0"/>
    <w:rsid w:val="009B729B"/>
    <w:rsid w:val="009B753B"/>
    <w:rsid w:val="009B776A"/>
    <w:rsid w:val="009B779C"/>
    <w:rsid w:val="009B7CB4"/>
    <w:rsid w:val="009B7EBC"/>
    <w:rsid w:val="009C0103"/>
    <w:rsid w:val="009C0C30"/>
    <w:rsid w:val="009C0E8F"/>
    <w:rsid w:val="009C1180"/>
    <w:rsid w:val="009C1191"/>
    <w:rsid w:val="009C148D"/>
    <w:rsid w:val="009C15F2"/>
    <w:rsid w:val="009C18E6"/>
    <w:rsid w:val="009C193E"/>
    <w:rsid w:val="009C1D6E"/>
    <w:rsid w:val="009C269E"/>
    <w:rsid w:val="009C309D"/>
    <w:rsid w:val="009C359B"/>
    <w:rsid w:val="009C41DD"/>
    <w:rsid w:val="009C44C0"/>
    <w:rsid w:val="009C45AD"/>
    <w:rsid w:val="009C4872"/>
    <w:rsid w:val="009C4946"/>
    <w:rsid w:val="009C4ACA"/>
    <w:rsid w:val="009C5003"/>
    <w:rsid w:val="009C5080"/>
    <w:rsid w:val="009C5099"/>
    <w:rsid w:val="009C50CC"/>
    <w:rsid w:val="009C5974"/>
    <w:rsid w:val="009C5A6E"/>
    <w:rsid w:val="009C5FB1"/>
    <w:rsid w:val="009C668A"/>
    <w:rsid w:val="009C6A04"/>
    <w:rsid w:val="009C6A82"/>
    <w:rsid w:val="009C6BEF"/>
    <w:rsid w:val="009C6C02"/>
    <w:rsid w:val="009C6EC9"/>
    <w:rsid w:val="009C73F2"/>
    <w:rsid w:val="009C7744"/>
    <w:rsid w:val="009C7769"/>
    <w:rsid w:val="009C781B"/>
    <w:rsid w:val="009C7CC6"/>
    <w:rsid w:val="009D06EC"/>
    <w:rsid w:val="009D06F4"/>
    <w:rsid w:val="009D0F38"/>
    <w:rsid w:val="009D17C8"/>
    <w:rsid w:val="009D1B6B"/>
    <w:rsid w:val="009D1CDD"/>
    <w:rsid w:val="009D2789"/>
    <w:rsid w:val="009D3733"/>
    <w:rsid w:val="009D3A55"/>
    <w:rsid w:val="009D3A69"/>
    <w:rsid w:val="009D4121"/>
    <w:rsid w:val="009D46A4"/>
    <w:rsid w:val="009D47B0"/>
    <w:rsid w:val="009D485D"/>
    <w:rsid w:val="009D487C"/>
    <w:rsid w:val="009D5294"/>
    <w:rsid w:val="009D52D6"/>
    <w:rsid w:val="009D5A0C"/>
    <w:rsid w:val="009D5DA9"/>
    <w:rsid w:val="009D61A4"/>
    <w:rsid w:val="009D61F9"/>
    <w:rsid w:val="009D63BE"/>
    <w:rsid w:val="009D63FC"/>
    <w:rsid w:val="009D64A1"/>
    <w:rsid w:val="009D7536"/>
    <w:rsid w:val="009D7E9C"/>
    <w:rsid w:val="009E00FA"/>
    <w:rsid w:val="009E03CE"/>
    <w:rsid w:val="009E05A7"/>
    <w:rsid w:val="009E070E"/>
    <w:rsid w:val="009E08AA"/>
    <w:rsid w:val="009E08DA"/>
    <w:rsid w:val="009E0A6F"/>
    <w:rsid w:val="009E1F28"/>
    <w:rsid w:val="009E1FB8"/>
    <w:rsid w:val="009E1FBA"/>
    <w:rsid w:val="009E2D1F"/>
    <w:rsid w:val="009E2E0C"/>
    <w:rsid w:val="009E2FD4"/>
    <w:rsid w:val="009E3075"/>
    <w:rsid w:val="009E3208"/>
    <w:rsid w:val="009E339F"/>
    <w:rsid w:val="009E3C7C"/>
    <w:rsid w:val="009E3D86"/>
    <w:rsid w:val="009E407A"/>
    <w:rsid w:val="009E4271"/>
    <w:rsid w:val="009E45AA"/>
    <w:rsid w:val="009E4D58"/>
    <w:rsid w:val="009E4DD2"/>
    <w:rsid w:val="009E505A"/>
    <w:rsid w:val="009E5A15"/>
    <w:rsid w:val="009E5FC4"/>
    <w:rsid w:val="009E6011"/>
    <w:rsid w:val="009E612A"/>
    <w:rsid w:val="009E6A5A"/>
    <w:rsid w:val="009E6D20"/>
    <w:rsid w:val="009E7D58"/>
    <w:rsid w:val="009E7D7A"/>
    <w:rsid w:val="009E7DBB"/>
    <w:rsid w:val="009F0347"/>
    <w:rsid w:val="009F04AA"/>
    <w:rsid w:val="009F07BA"/>
    <w:rsid w:val="009F081E"/>
    <w:rsid w:val="009F08E7"/>
    <w:rsid w:val="009F0AD9"/>
    <w:rsid w:val="009F0E2C"/>
    <w:rsid w:val="009F0FD6"/>
    <w:rsid w:val="009F0FF9"/>
    <w:rsid w:val="009F11FC"/>
    <w:rsid w:val="009F178F"/>
    <w:rsid w:val="009F1D2A"/>
    <w:rsid w:val="009F2092"/>
    <w:rsid w:val="009F2292"/>
    <w:rsid w:val="009F22FB"/>
    <w:rsid w:val="009F2BC2"/>
    <w:rsid w:val="009F2E38"/>
    <w:rsid w:val="009F349A"/>
    <w:rsid w:val="009F37E8"/>
    <w:rsid w:val="009F3DF0"/>
    <w:rsid w:val="009F40D5"/>
    <w:rsid w:val="009F49AB"/>
    <w:rsid w:val="009F4A27"/>
    <w:rsid w:val="009F4CDC"/>
    <w:rsid w:val="009F5288"/>
    <w:rsid w:val="009F5431"/>
    <w:rsid w:val="009F574F"/>
    <w:rsid w:val="009F6086"/>
    <w:rsid w:val="009F61AF"/>
    <w:rsid w:val="009F67D3"/>
    <w:rsid w:val="009F6836"/>
    <w:rsid w:val="009F71A8"/>
    <w:rsid w:val="009F7411"/>
    <w:rsid w:val="00A000DB"/>
    <w:rsid w:val="00A00281"/>
    <w:rsid w:val="00A0094C"/>
    <w:rsid w:val="00A00C11"/>
    <w:rsid w:val="00A00F96"/>
    <w:rsid w:val="00A01BBE"/>
    <w:rsid w:val="00A01F47"/>
    <w:rsid w:val="00A0209D"/>
    <w:rsid w:val="00A020E0"/>
    <w:rsid w:val="00A0223C"/>
    <w:rsid w:val="00A02375"/>
    <w:rsid w:val="00A02744"/>
    <w:rsid w:val="00A02B21"/>
    <w:rsid w:val="00A0327D"/>
    <w:rsid w:val="00A037EE"/>
    <w:rsid w:val="00A03CE6"/>
    <w:rsid w:val="00A03D2C"/>
    <w:rsid w:val="00A0477D"/>
    <w:rsid w:val="00A0497D"/>
    <w:rsid w:val="00A04B93"/>
    <w:rsid w:val="00A04C40"/>
    <w:rsid w:val="00A04EFF"/>
    <w:rsid w:val="00A052C0"/>
    <w:rsid w:val="00A058DE"/>
    <w:rsid w:val="00A05AFD"/>
    <w:rsid w:val="00A05ECF"/>
    <w:rsid w:val="00A05F0A"/>
    <w:rsid w:val="00A060C1"/>
    <w:rsid w:val="00A06235"/>
    <w:rsid w:val="00A063F8"/>
    <w:rsid w:val="00A065F5"/>
    <w:rsid w:val="00A06A5D"/>
    <w:rsid w:val="00A06DB6"/>
    <w:rsid w:val="00A06FA2"/>
    <w:rsid w:val="00A0710B"/>
    <w:rsid w:val="00A07227"/>
    <w:rsid w:val="00A0739A"/>
    <w:rsid w:val="00A073B9"/>
    <w:rsid w:val="00A073EE"/>
    <w:rsid w:val="00A073F4"/>
    <w:rsid w:val="00A0799A"/>
    <w:rsid w:val="00A07C4C"/>
    <w:rsid w:val="00A07E32"/>
    <w:rsid w:val="00A100CE"/>
    <w:rsid w:val="00A106D9"/>
    <w:rsid w:val="00A109F9"/>
    <w:rsid w:val="00A10A08"/>
    <w:rsid w:val="00A112A7"/>
    <w:rsid w:val="00A11A4B"/>
    <w:rsid w:val="00A11CE2"/>
    <w:rsid w:val="00A11F90"/>
    <w:rsid w:val="00A12010"/>
    <w:rsid w:val="00A126E6"/>
    <w:rsid w:val="00A12864"/>
    <w:rsid w:val="00A12A38"/>
    <w:rsid w:val="00A12E77"/>
    <w:rsid w:val="00A13438"/>
    <w:rsid w:val="00A13556"/>
    <w:rsid w:val="00A13BC8"/>
    <w:rsid w:val="00A141B7"/>
    <w:rsid w:val="00A1429F"/>
    <w:rsid w:val="00A14E0F"/>
    <w:rsid w:val="00A155EA"/>
    <w:rsid w:val="00A16703"/>
    <w:rsid w:val="00A17053"/>
    <w:rsid w:val="00A1713D"/>
    <w:rsid w:val="00A173ED"/>
    <w:rsid w:val="00A17491"/>
    <w:rsid w:val="00A1775F"/>
    <w:rsid w:val="00A17826"/>
    <w:rsid w:val="00A17A26"/>
    <w:rsid w:val="00A17AD5"/>
    <w:rsid w:val="00A17D65"/>
    <w:rsid w:val="00A17F98"/>
    <w:rsid w:val="00A2011A"/>
    <w:rsid w:val="00A20757"/>
    <w:rsid w:val="00A207CA"/>
    <w:rsid w:val="00A20A3A"/>
    <w:rsid w:val="00A20BF5"/>
    <w:rsid w:val="00A20C84"/>
    <w:rsid w:val="00A20CD4"/>
    <w:rsid w:val="00A212E2"/>
    <w:rsid w:val="00A213DF"/>
    <w:rsid w:val="00A215BC"/>
    <w:rsid w:val="00A215C9"/>
    <w:rsid w:val="00A21630"/>
    <w:rsid w:val="00A22023"/>
    <w:rsid w:val="00A22038"/>
    <w:rsid w:val="00A2217B"/>
    <w:rsid w:val="00A23409"/>
    <w:rsid w:val="00A23559"/>
    <w:rsid w:val="00A239BA"/>
    <w:rsid w:val="00A23BB3"/>
    <w:rsid w:val="00A23C93"/>
    <w:rsid w:val="00A242AB"/>
    <w:rsid w:val="00A24414"/>
    <w:rsid w:val="00A247C2"/>
    <w:rsid w:val="00A25494"/>
    <w:rsid w:val="00A258A0"/>
    <w:rsid w:val="00A2627E"/>
    <w:rsid w:val="00A263F7"/>
    <w:rsid w:val="00A268EE"/>
    <w:rsid w:val="00A26A93"/>
    <w:rsid w:val="00A26B85"/>
    <w:rsid w:val="00A27121"/>
    <w:rsid w:val="00A274A6"/>
    <w:rsid w:val="00A27815"/>
    <w:rsid w:val="00A27DFB"/>
    <w:rsid w:val="00A30062"/>
    <w:rsid w:val="00A30710"/>
    <w:rsid w:val="00A30852"/>
    <w:rsid w:val="00A30BBB"/>
    <w:rsid w:val="00A313F4"/>
    <w:rsid w:val="00A3148E"/>
    <w:rsid w:val="00A314B4"/>
    <w:rsid w:val="00A31DD5"/>
    <w:rsid w:val="00A31F5A"/>
    <w:rsid w:val="00A3273F"/>
    <w:rsid w:val="00A32747"/>
    <w:rsid w:val="00A32E2A"/>
    <w:rsid w:val="00A33E37"/>
    <w:rsid w:val="00A349FE"/>
    <w:rsid w:val="00A35233"/>
    <w:rsid w:val="00A3556D"/>
    <w:rsid w:val="00A35606"/>
    <w:rsid w:val="00A3574F"/>
    <w:rsid w:val="00A36354"/>
    <w:rsid w:val="00A368C9"/>
    <w:rsid w:val="00A36B18"/>
    <w:rsid w:val="00A37A03"/>
    <w:rsid w:val="00A37B96"/>
    <w:rsid w:val="00A37E18"/>
    <w:rsid w:val="00A401B1"/>
    <w:rsid w:val="00A40393"/>
    <w:rsid w:val="00A403B9"/>
    <w:rsid w:val="00A4085B"/>
    <w:rsid w:val="00A40CFE"/>
    <w:rsid w:val="00A41533"/>
    <w:rsid w:val="00A416CB"/>
    <w:rsid w:val="00A41851"/>
    <w:rsid w:val="00A4194F"/>
    <w:rsid w:val="00A419D4"/>
    <w:rsid w:val="00A419E9"/>
    <w:rsid w:val="00A41AA4"/>
    <w:rsid w:val="00A41FB0"/>
    <w:rsid w:val="00A42129"/>
    <w:rsid w:val="00A42405"/>
    <w:rsid w:val="00A42419"/>
    <w:rsid w:val="00A424E2"/>
    <w:rsid w:val="00A4279E"/>
    <w:rsid w:val="00A429B4"/>
    <w:rsid w:val="00A4326F"/>
    <w:rsid w:val="00A43633"/>
    <w:rsid w:val="00A43C46"/>
    <w:rsid w:val="00A43D25"/>
    <w:rsid w:val="00A440C8"/>
    <w:rsid w:val="00A44121"/>
    <w:rsid w:val="00A44446"/>
    <w:rsid w:val="00A44542"/>
    <w:rsid w:val="00A44BC9"/>
    <w:rsid w:val="00A4534A"/>
    <w:rsid w:val="00A4551D"/>
    <w:rsid w:val="00A45585"/>
    <w:rsid w:val="00A45940"/>
    <w:rsid w:val="00A459E5"/>
    <w:rsid w:val="00A45DBD"/>
    <w:rsid w:val="00A4668F"/>
    <w:rsid w:val="00A46934"/>
    <w:rsid w:val="00A46E2C"/>
    <w:rsid w:val="00A4775A"/>
    <w:rsid w:val="00A477EF"/>
    <w:rsid w:val="00A47B12"/>
    <w:rsid w:val="00A50108"/>
    <w:rsid w:val="00A50304"/>
    <w:rsid w:val="00A50398"/>
    <w:rsid w:val="00A503C7"/>
    <w:rsid w:val="00A50ED9"/>
    <w:rsid w:val="00A51146"/>
    <w:rsid w:val="00A516CA"/>
    <w:rsid w:val="00A517F5"/>
    <w:rsid w:val="00A51CF5"/>
    <w:rsid w:val="00A51F75"/>
    <w:rsid w:val="00A52A79"/>
    <w:rsid w:val="00A52F10"/>
    <w:rsid w:val="00A52F7E"/>
    <w:rsid w:val="00A53167"/>
    <w:rsid w:val="00A532F8"/>
    <w:rsid w:val="00A53A12"/>
    <w:rsid w:val="00A53A15"/>
    <w:rsid w:val="00A53A71"/>
    <w:rsid w:val="00A53B31"/>
    <w:rsid w:val="00A53DBE"/>
    <w:rsid w:val="00A54252"/>
    <w:rsid w:val="00A544F5"/>
    <w:rsid w:val="00A5473E"/>
    <w:rsid w:val="00A5476B"/>
    <w:rsid w:val="00A54BB5"/>
    <w:rsid w:val="00A55240"/>
    <w:rsid w:val="00A5564E"/>
    <w:rsid w:val="00A5579B"/>
    <w:rsid w:val="00A558DC"/>
    <w:rsid w:val="00A55CD0"/>
    <w:rsid w:val="00A56E68"/>
    <w:rsid w:val="00A570CC"/>
    <w:rsid w:val="00A5769C"/>
    <w:rsid w:val="00A57C6E"/>
    <w:rsid w:val="00A57CB7"/>
    <w:rsid w:val="00A57EB4"/>
    <w:rsid w:val="00A600D2"/>
    <w:rsid w:val="00A602C5"/>
    <w:rsid w:val="00A60841"/>
    <w:rsid w:val="00A60C81"/>
    <w:rsid w:val="00A60E86"/>
    <w:rsid w:val="00A60FF0"/>
    <w:rsid w:val="00A611DB"/>
    <w:rsid w:val="00A613B5"/>
    <w:rsid w:val="00A615E7"/>
    <w:rsid w:val="00A61843"/>
    <w:rsid w:val="00A619CA"/>
    <w:rsid w:val="00A61AEA"/>
    <w:rsid w:val="00A61CE4"/>
    <w:rsid w:val="00A61F4A"/>
    <w:rsid w:val="00A620CE"/>
    <w:rsid w:val="00A62187"/>
    <w:rsid w:val="00A62640"/>
    <w:rsid w:val="00A628D7"/>
    <w:rsid w:val="00A62927"/>
    <w:rsid w:val="00A62EE9"/>
    <w:rsid w:val="00A62FAD"/>
    <w:rsid w:val="00A6350D"/>
    <w:rsid w:val="00A636C6"/>
    <w:rsid w:val="00A63C68"/>
    <w:rsid w:val="00A63EA3"/>
    <w:rsid w:val="00A64053"/>
    <w:rsid w:val="00A6408E"/>
    <w:rsid w:val="00A6431A"/>
    <w:rsid w:val="00A645F4"/>
    <w:rsid w:val="00A64C43"/>
    <w:rsid w:val="00A64E7C"/>
    <w:rsid w:val="00A65488"/>
    <w:rsid w:val="00A655D1"/>
    <w:rsid w:val="00A657BD"/>
    <w:rsid w:val="00A65E0A"/>
    <w:rsid w:val="00A66193"/>
    <w:rsid w:val="00A66205"/>
    <w:rsid w:val="00A66219"/>
    <w:rsid w:val="00A66584"/>
    <w:rsid w:val="00A665EC"/>
    <w:rsid w:val="00A666A8"/>
    <w:rsid w:val="00A66E99"/>
    <w:rsid w:val="00A672A6"/>
    <w:rsid w:val="00A70038"/>
    <w:rsid w:val="00A70511"/>
    <w:rsid w:val="00A70A04"/>
    <w:rsid w:val="00A70AE9"/>
    <w:rsid w:val="00A70D4D"/>
    <w:rsid w:val="00A70E83"/>
    <w:rsid w:val="00A70FE5"/>
    <w:rsid w:val="00A71281"/>
    <w:rsid w:val="00A7180F"/>
    <w:rsid w:val="00A719EA"/>
    <w:rsid w:val="00A71D79"/>
    <w:rsid w:val="00A71EA7"/>
    <w:rsid w:val="00A72328"/>
    <w:rsid w:val="00A72380"/>
    <w:rsid w:val="00A727E0"/>
    <w:rsid w:val="00A72E4C"/>
    <w:rsid w:val="00A72EC9"/>
    <w:rsid w:val="00A72FAA"/>
    <w:rsid w:val="00A736C8"/>
    <w:rsid w:val="00A73FC7"/>
    <w:rsid w:val="00A7416B"/>
    <w:rsid w:val="00A746E2"/>
    <w:rsid w:val="00A748EF"/>
    <w:rsid w:val="00A74DC9"/>
    <w:rsid w:val="00A74E9D"/>
    <w:rsid w:val="00A756B7"/>
    <w:rsid w:val="00A75959"/>
    <w:rsid w:val="00A75AA5"/>
    <w:rsid w:val="00A75B7D"/>
    <w:rsid w:val="00A7613F"/>
    <w:rsid w:val="00A765D9"/>
    <w:rsid w:val="00A76617"/>
    <w:rsid w:val="00A766B6"/>
    <w:rsid w:val="00A766D2"/>
    <w:rsid w:val="00A76936"/>
    <w:rsid w:val="00A76B00"/>
    <w:rsid w:val="00A76DE9"/>
    <w:rsid w:val="00A770CE"/>
    <w:rsid w:val="00A7723D"/>
    <w:rsid w:val="00A77946"/>
    <w:rsid w:val="00A77D57"/>
    <w:rsid w:val="00A77FD5"/>
    <w:rsid w:val="00A80089"/>
    <w:rsid w:val="00A8008C"/>
    <w:rsid w:val="00A804C0"/>
    <w:rsid w:val="00A805E3"/>
    <w:rsid w:val="00A80B15"/>
    <w:rsid w:val="00A80B63"/>
    <w:rsid w:val="00A80D5C"/>
    <w:rsid w:val="00A80ED1"/>
    <w:rsid w:val="00A81289"/>
    <w:rsid w:val="00A8156F"/>
    <w:rsid w:val="00A818CF"/>
    <w:rsid w:val="00A821F0"/>
    <w:rsid w:val="00A824C8"/>
    <w:rsid w:val="00A82875"/>
    <w:rsid w:val="00A82B75"/>
    <w:rsid w:val="00A82DE3"/>
    <w:rsid w:val="00A82E00"/>
    <w:rsid w:val="00A82F1C"/>
    <w:rsid w:val="00A831AD"/>
    <w:rsid w:val="00A8336B"/>
    <w:rsid w:val="00A838EC"/>
    <w:rsid w:val="00A83978"/>
    <w:rsid w:val="00A83AF3"/>
    <w:rsid w:val="00A83D20"/>
    <w:rsid w:val="00A8401B"/>
    <w:rsid w:val="00A8407B"/>
    <w:rsid w:val="00A846B9"/>
    <w:rsid w:val="00A84871"/>
    <w:rsid w:val="00A8548F"/>
    <w:rsid w:val="00A85549"/>
    <w:rsid w:val="00A858E4"/>
    <w:rsid w:val="00A85A9C"/>
    <w:rsid w:val="00A85EA9"/>
    <w:rsid w:val="00A860AC"/>
    <w:rsid w:val="00A864F6"/>
    <w:rsid w:val="00A86605"/>
    <w:rsid w:val="00A86694"/>
    <w:rsid w:val="00A86A57"/>
    <w:rsid w:val="00A86C83"/>
    <w:rsid w:val="00A87B7D"/>
    <w:rsid w:val="00A87B8C"/>
    <w:rsid w:val="00A87EB6"/>
    <w:rsid w:val="00A9063D"/>
    <w:rsid w:val="00A90F26"/>
    <w:rsid w:val="00A90FA5"/>
    <w:rsid w:val="00A90FE9"/>
    <w:rsid w:val="00A910BC"/>
    <w:rsid w:val="00A91821"/>
    <w:rsid w:val="00A91D03"/>
    <w:rsid w:val="00A920A1"/>
    <w:rsid w:val="00A92F2F"/>
    <w:rsid w:val="00A93122"/>
    <w:rsid w:val="00A9313C"/>
    <w:rsid w:val="00A93244"/>
    <w:rsid w:val="00A93635"/>
    <w:rsid w:val="00A936DA"/>
    <w:rsid w:val="00A93844"/>
    <w:rsid w:val="00A93885"/>
    <w:rsid w:val="00A93932"/>
    <w:rsid w:val="00A94146"/>
    <w:rsid w:val="00A94381"/>
    <w:rsid w:val="00A94724"/>
    <w:rsid w:val="00A948CD"/>
    <w:rsid w:val="00A951F6"/>
    <w:rsid w:val="00A9587C"/>
    <w:rsid w:val="00A95A5E"/>
    <w:rsid w:val="00A95E3B"/>
    <w:rsid w:val="00A96059"/>
    <w:rsid w:val="00A96463"/>
    <w:rsid w:val="00A9678B"/>
    <w:rsid w:val="00A968D6"/>
    <w:rsid w:val="00A969F2"/>
    <w:rsid w:val="00A96D66"/>
    <w:rsid w:val="00A96EA2"/>
    <w:rsid w:val="00A9704E"/>
    <w:rsid w:val="00A97357"/>
    <w:rsid w:val="00AA0097"/>
    <w:rsid w:val="00AA019D"/>
    <w:rsid w:val="00AA0AAA"/>
    <w:rsid w:val="00AA129D"/>
    <w:rsid w:val="00AA1388"/>
    <w:rsid w:val="00AA1CEF"/>
    <w:rsid w:val="00AA1D8E"/>
    <w:rsid w:val="00AA266B"/>
    <w:rsid w:val="00AA306D"/>
    <w:rsid w:val="00AA3365"/>
    <w:rsid w:val="00AA386F"/>
    <w:rsid w:val="00AA3A28"/>
    <w:rsid w:val="00AA3A8F"/>
    <w:rsid w:val="00AA3A91"/>
    <w:rsid w:val="00AA3BB2"/>
    <w:rsid w:val="00AA5040"/>
    <w:rsid w:val="00AA56CE"/>
    <w:rsid w:val="00AA59F1"/>
    <w:rsid w:val="00AA5CBB"/>
    <w:rsid w:val="00AA6288"/>
    <w:rsid w:val="00AA6565"/>
    <w:rsid w:val="00AA6B5F"/>
    <w:rsid w:val="00AA71FC"/>
    <w:rsid w:val="00AA7316"/>
    <w:rsid w:val="00AA747E"/>
    <w:rsid w:val="00AA791F"/>
    <w:rsid w:val="00AB029D"/>
    <w:rsid w:val="00AB0380"/>
    <w:rsid w:val="00AB03A1"/>
    <w:rsid w:val="00AB05AA"/>
    <w:rsid w:val="00AB0621"/>
    <w:rsid w:val="00AB0979"/>
    <w:rsid w:val="00AB0FA7"/>
    <w:rsid w:val="00AB12C0"/>
    <w:rsid w:val="00AB20E0"/>
    <w:rsid w:val="00AB20EA"/>
    <w:rsid w:val="00AB20F5"/>
    <w:rsid w:val="00AB2B44"/>
    <w:rsid w:val="00AB2F0A"/>
    <w:rsid w:val="00AB30FD"/>
    <w:rsid w:val="00AB3309"/>
    <w:rsid w:val="00AB3707"/>
    <w:rsid w:val="00AB3A68"/>
    <w:rsid w:val="00AB4488"/>
    <w:rsid w:val="00AB4884"/>
    <w:rsid w:val="00AB4BF4"/>
    <w:rsid w:val="00AB4C3D"/>
    <w:rsid w:val="00AB4D7F"/>
    <w:rsid w:val="00AB50FF"/>
    <w:rsid w:val="00AB56A1"/>
    <w:rsid w:val="00AB58F7"/>
    <w:rsid w:val="00AB5B54"/>
    <w:rsid w:val="00AB610E"/>
    <w:rsid w:val="00AB68F7"/>
    <w:rsid w:val="00AB6D95"/>
    <w:rsid w:val="00AB6E81"/>
    <w:rsid w:val="00AB7049"/>
    <w:rsid w:val="00AB73C4"/>
    <w:rsid w:val="00AB7453"/>
    <w:rsid w:val="00AB75B5"/>
    <w:rsid w:val="00AB76F0"/>
    <w:rsid w:val="00AB7BBC"/>
    <w:rsid w:val="00AB7E7C"/>
    <w:rsid w:val="00AB7E94"/>
    <w:rsid w:val="00AC00D7"/>
    <w:rsid w:val="00AC029C"/>
    <w:rsid w:val="00AC0C61"/>
    <w:rsid w:val="00AC0D47"/>
    <w:rsid w:val="00AC1121"/>
    <w:rsid w:val="00AC16EA"/>
    <w:rsid w:val="00AC1F51"/>
    <w:rsid w:val="00AC1F83"/>
    <w:rsid w:val="00AC23A4"/>
    <w:rsid w:val="00AC266B"/>
    <w:rsid w:val="00AC271C"/>
    <w:rsid w:val="00AC29E1"/>
    <w:rsid w:val="00AC2ABB"/>
    <w:rsid w:val="00AC2D50"/>
    <w:rsid w:val="00AC2F2D"/>
    <w:rsid w:val="00AC3056"/>
    <w:rsid w:val="00AC3518"/>
    <w:rsid w:val="00AC3683"/>
    <w:rsid w:val="00AC3C4A"/>
    <w:rsid w:val="00AC4222"/>
    <w:rsid w:val="00AC43F6"/>
    <w:rsid w:val="00AC47C5"/>
    <w:rsid w:val="00AC4A5B"/>
    <w:rsid w:val="00AC567B"/>
    <w:rsid w:val="00AC572D"/>
    <w:rsid w:val="00AC5D24"/>
    <w:rsid w:val="00AC5F61"/>
    <w:rsid w:val="00AC61D8"/>
    <w:rsid w:val="00AC630D"/>
    <w:rsid w:val="00AC6522"/>
    <w:rsid w:val="00AC6525"/>
    <w:rsid w:val="00AC6943"/>
    <w:rsid w:val="00AC7517"/>
    <w:rsid w:val="00AC7BAB"/>
    <w:rsid w:val="00AD037F"/>
    <w:rsid w:val="00AD0C82"/>
    <w:rsid w:val="00AD14DB"/>
    <w:rsid w:val="00AD1610"/>
    <w:rsid w:val="00AD1AC6"/>
    <w:rsid w:val="00AD22FB"/>
    <w:rsid w:val="00AD29CC"/>
    <w:rsid w:val="00AD3116"/>
    <w:rsid w:val="00AD3AB7"/>
    <w:rsid w:val="00AD447D"/>
    <w:rsid w:val="00AD5844"/>
    <w:rsid w:val="00AD6070"/>
    <w:rsid w:val="00AD611C"/>
    <w:rsid w:val="00AD6628"/>
    <w:rsid w:val="00AD6C43"/>
    <w:rsid w:val="00AD6E82"/>
    <w:rsid w:val="00AD7441"/>
    <w:rsid w:val="00AD76EB"/>
    <w:rsid w:val="00AD7734"/>
    <w:rsid w:val="00AD776E"/>
    <w:rsid w:val="00AD7B25"/>
    <w:rsid w:val="00AD7B32"/>
    <w:rsid w:val="00AD7CAB"/>
    <w:rsid w:val="00AD7EF1"/>
    <w:rsid w:val="00AD7F14"/>
    <w:rsid w:val="00AE0E13"/>
    <w:rsid w:val="00AE0F58"/>
    <w:rsid w:val="00AE1226"/>
    <w:rsid w:val="00AE14E4"/>
    <w:rsid w:val="00AE1B0C"/>
    <w:rsid w:val="00AE1B81"/>
    <w:rsid w:val="00AE1BB2"/>
    <w:rsid w:val="00AE1D56"/>
    <w:rsid w:val="00AE2788"/>
    <w:rsid w:val="00AE2991"/>
    <w:rsid w:val="00AE2C77"/>
    <w:rsid w:val="00AE2F97"/>
    <w:rsid w:val="00AE300B"/>
    <w:rsid w:val="00AE3587"/>
    <w:rsid w:val="00AE3641"/>
    <w:rsid w:val="00AE3FB5"/>
    <w:rsid w:val="00AE4129"/>
    <w:rsid w:val="00AE45DA"/>
    <w:rsid w:val="00AE4761"/>
    <w:rsid w:val="00AE4EDF"/>
    <w:rsid w:val="00AE50D6"/>
    <w:rsid w:val="00AE5C82"/>
    <w:rsid w:val="00AE5E26"/>
    <w:rsid w:val="00AE5E60"/>
    <w:rsid w:val="00AE609C"/>
    <w:rsid w:val="00AE62CF"/>
    <w:rsid w:val="00AE6547"/>
    <w:rsid w:val="00AE69B1"/>
    <w:rsid w:val="00AE6C4C"/>
    <w:rsid w:val="00AE7747"/>
    <w:rsid w:val="00AE79DB"/>
    <w:rsid w:val="00AE7A10"/>
    <w:rsid w:val="00AE7EB8"/>
    <w:rsid w:val="00AF0384"/>
    <w:rsid w:val="00AF0468"/>
    <w:rsid w:val="00AF0BE1"/>
    <w:rsid w:val="00AF0BEC"/>
    <w:rsid w:val="00AF1F57"/>
    <w:rsid w:val="00AF232A"/>
    <w:rsid w:val="00AF2391"/>
    <w:rsid w:val="00AF2754"/>
    <w:rsid w:val="00AF2C02"/>
    <w:rsid w:val="00AF2EE1"/>
    <w:rsid w:val="00AF3043"/>
    <w:rsid w:val="00AF3493"/>
    <w:rsid w:val="00AF36CC"/>
    <w:rsid w:val="00AF3795"/>
    <w:rsid w:val="00AF3966"/>
    <w:rsid w:val="00AF3FB9"/>
    <w:rsid w:val="00AF406F"/>
    <w:rsid w:val="00AF421F"/>
    <w:rsid w:val="00AF42A6"/>
    <w:rsid w:val="00AF42BE"/>
    <w:rsid w:val="00AF45A2"/>
    <w:rsid w:val="00AF486A"/>
    <w:rsid w:val="00AF4CB4"/>
    <w:rsid w:val="00AF4D9C"/>
    <w:rsid w:val="00AF5026"/>
    <w:rsid w:val="00AF51B9"/>
    <w:rsid w:val="00AF5473"/>
    <w:rsid w:val="00AF5618"/>
    <w:rsid w:val="00AF5893"/>
    <w:rsid w:val="00AF5931"/>
    <w:rsid w:val="00AF5A1D"/>
    <w:rsid w:val="00AF5B5D"/>
    <w:rsid w:val="00AF5BCC"/>
    <w:rsid w:val="00AF5C7D"/>
    <w:rsid w:val="00AF60E8"/>
    <w:rsid w:val="00AF6185"/>
    <w:rsid w:val="00AF61C5"/>
    <w:rsid w:val="00AF6669"/>
    <w:rsid w:val="00AF6A71"/>
    <w:rsid w:val="00AF6DAC"/>
    <w:rsid w:val="00AF6E7C"/>
    <w:rsid w:val="00AF72E8"/>
    <w:rsid w:val="00AF72F4"/>
    <w:rsid w:val="00AF7434"/>
    <w:rsid w:val="00AF76C4"/>
    <w:rsid w:val="00AF781E"/>
    <w:rsid w:val="00B00169"/>
    <w:rsid w:val="00B00902"/>
    <w:rsid w:val="00B01074"/>
    <w:rsid w:val="00B01C6C"/>
    <w:rsid w:val="00B01D07"/>
    <w:rsid w:val="00B022F8"/>
    <w:rsid w:val="00B02B5A"/>
    <w:rsid w:val="00B02BB7"/>
    <w:rsid w:val="00B02CDF"/>
    <w:rsid w:val="00B031B1"/>
    <w:rsid w:val="00B0352D"/>
    <w:rsid w:val="00B03604"/>
    <w:rsid w:val="00B038AE"/>
    <w:rsid w:val="00B038B4"/>
    <w:rsid w:val="00B038D5"/>
    <w:rsid w:val="00B03B69"/>
    <w:rsid w:val="00B04722"/>
    <w:rsid w:val="00B047F8"/>
    <w:rsid w:val="00B049D0"/>
    <w:rsid w:val="00B04B30"/>
    <w:rsid w:val="00B04BAA"/>
    <w:rsid w:val="00B04D1E"/>
    <w:rsid w:val="00B05A05"/>
    <w:rsid w:val="00B05B0C"/>
    <w:rsid w:val="00B05B46"/>
    <w:rsid w:val="00B0628B"/>
    <w:rsid w:val="00B06396"/>
    <w:rsid w:val="00B063BE"/>
    <w:rsid w:val="00B06762"/>
    <w:rsid w:val="00B067A9"/>
    <w:rsid w:val="00B070E4"/>
    <w:rsid w:val="00B07393"/>
    <w:rsid w:val="00B077FA"/>
    <w:rsid w:val="00B078F8"/>
    <w:rsid w:val="00B07A36"/>
    <w:rsid w:val="00B07A9C"/>
    <w:rsid w:val="00B07B2C"/>
    <w:rsid w:val="00B103A2"/>
    <w:rsid w:val="00B103BE"/>
    <w:rsid w:val="00B10536"/>
    <w:rsid w:val="00B10DF1"/>
    <w:rsid w:val="00B10F4E"/>
    <w:rsid w:val="00B11129"/>
    <w:rsid w:val="00B111B5"/>
    <w:rsid w:val="00B116E3"/>
    <w:rsid w:val="00B117E5"/>
    <w:rsid w:val="00B118C0"/>
    <w:rsid w:val="00B11C5C"/>
    <w:rsid w:val="00B11E85"/>
    <w:rsid w:val="00B11F9D"/>
    <w:rsid w:val="00B12290"/>
    <w:rsid w:val="00B12714"/>
    <w:rsid w:val="00B128C7"/>
    <w:rsid w:val="00B12906"/>
    <w:rsid w:val="00B12B0E"/>
    <w:rsid w:val="00B13742"/>
    <w:rsid w:val="00B13B4A"/>
    <w:rsid w:val="00B14216"/>
    <w:rsid w:val="00B14493"/>
    <w:rsid w:val="00B14DE0"/>
    <w:rsid w:val="00B14EE4"/>
    <w:rsid w:val="00B14FE8"/>
    <w:rsid w:val="00B150AF"/>
    <w:rsid w:val="00B15382"/>
    <w:rsid w:val="00B15BFD"/>
    <w:rsid w:val="00B16318"/>
    <w:rsid w:val="00B16A1E"/>
    <w:rsid w:val="00B16D8E"/>
    <w:rsid w:val="00B16EE7"/>
    <w:rsid w:val="00B171CA"/>
    <w:rsid w:val="00B172E6"/>
    <w:rsid w:val="00B1738D"/>
    <w:rsid w:val="00B1769A"/>
    <w:rsid w:val="00B1787A"/>
    <w:rsid w:val="00B17890"/>
    <w:rsid w:val="00B1790B"/>
    <w:rsid w:val="00B17B7B"/>
    <w:rsid w:val="00B20091"/>
    <w:rsid w:val="00B2052B"/>
    <w:rsid w:val="00B20645"/>
    <w:rsid w:val="00B206E6"/>
    <w:rsid w:val="00B20BDF"/>
    <w:rsid w:val="00B215B4"/>
    <w:rsid w:val="00B21763"/>
    <w:rsid w:val="00B21A20"/>
    <w:rsid w:val="00B21CF0"/>
    <w:rsid w:val="00B21E44"/>
    <w:rsid w:val="00B22087"/>
    <w:rsid w:val="00B220F8"/>
    <w:rsid w:val="00B2221E"/>
    <w:rsid w:val="00B22412"/>
    <w:rsid w:val="00B22464"/>
    <w:rsid w:val="00B22D2D"/>
    <w:rsid w:val="00B23422"/>
    <w:rsid w:val="00B2342D"/>
    <w:rsid w:val="00B234EA"/>
    <w:rsid w:val="00B23B89"/>
    <w:rsid w:val="00B23EE2"/>
    <w:rsid w:val="00B24092"/>
    <w:rsid w:val="00B2415C"/>
    <w:rsid w:val="00B245C7"/>
    <w:rsid w:val="00B246D8"/>
    <w:rsid w:val="00B24EC6"/>
    <w:rsid w:val="00B25028"/>
    <w:rsid w:val="00B2576C"/>
    <w:rsid w:val="00B258BA"/>
    <w:rsid w:val="00B260AF"/>
    <w:rsid w:val="00B265B6"/>
    <w:rsid w:val="00B265F4"/>
    <w:rsid w:val="00B26E38"/>
    <w:rsid w:val="00B2713C"/>
    <w:rsid w:val="00B2789F"/>
    <w:rsid w:val="00B279DF"/>
    <w:rsid w:val="00B27FB8"/>
    <w:rsid w:val="00B30118"/>
    <w:rsid w:val="00B30EB2"/>
    <w:rsid w:val="00B30FAC"/>
    <w:rsid w:val="00B31048"/>
    <w:rsid w:val="00B3106B"/>
    <w:rsid w:val="00B31A1D"/>
    <w:rsid w:val="00B31A64"/>
    <w:rsid w:val="00B31A89"/>
    <w:rsid w:val="00B31C13"/>
    <w:rsid w:val="00B323B1"/>
    <w:rsid w:val="00B3274F"/>
    <w:rsid w:val="00B32C71"/>
    <w:rsid w:val="00B32E18"/>
    <w:rsid w:val="00B33714"/>
    <w:rsid w:val="00B33846"/>
    <w:rsid w:val="00B340F5"/>
    <w:rsid w:val="00B34479"/>
    <w:rsid w:val="00B34830"/>
    <w:rsid w:val="00B34F3C"/>
    <w:rsid w:val="00B3509A"/>
    <w:rsid w:val="00B35248"/>
    <w:rsid w:val="00B354EA"/>
    <w:rsid w:val="00B35AFC"/>
    <w:rsid w:val="00B35FF4"/>
    <w:rsid w:val="00B36097"/>
    <w:rsid w:val="00B360CB"/>
    <w:rsid w:val="00B3672E"/>
    <w:rsid w:val="00B36DE0"/>
    <w:rsid w:val="00B3718B"/>
    <w:rsid w:val="00B3747D"/>
    <w:rsid w:val="00B376F2"/>
    <w:rsid w:val="00B37981"/>
    <w:rsid w:val="00B37B33"/>
    <w:rsid w:val="00B37E1F"/>
    <w:rsid w:val="00B40439"/>
    <w:rsid w:val="00B404CF"/>
    <w:rsid w:val="00B40C35"/>
    <w:rsid w:val="00B40DF1"/>
    <w:rsid w:val="00B412E2"/>
    <w:rsid w:val="00B414FA"/>
    <w:rsid w:val="00B41A22"/>
    <w:rsid w:val="00B42425"/>
    <w:rsid w:val="00B42466"/>
    <w:rsid w:val="00B4279F"/>
    <w:rsid w:val="00B42871"/>
    <w:rsid w:val="00B43614"/>
    <w:rsid w:val="00B43844"/>
    <w:rsid w:val="00B43B63"/>
    <w:rsid w:val="00B43E23"/>
    <w:rsid w:val="00B44262"/>
    <w:rsid w:val="00B4434C"/>
    <w:rsid w:val="00B44419"/>
    <w:rsid w:val="00B44EA9"/>
    <w:rsid w:val="00B44FCB"/>
    <w:rsid w:val="00B4513D"/>
    <w:rsid w:val="00B4598A"/>
    <w:rsid w:val="00B45A6A"/>
    <w:rsid w:val="00B45AC5"/>
    <w:rsid w:val="00B46727"/>
    <w:rsid w:val="00B4674A"/>
    <w:rsid w:val="00B4676C"/>
    <w:rsid w:val="00B468FE"/>
    <w:rsid w:val="00B47329"/>
    <w:rsid w:val="00B473BB"/>
    <w:rsid w:val="00B4745A"/>
    <w:rsid w:val="00B47639"/>
    <w:rsid w:val="00B47B6D"/>
    <w:rsid w:val="00B47B7D"/>
    <w:rsid w:val="00B47B9E"/>
    <w:rsid w:val="00B47C0E"/>
    <w:rsid w:val="00B50D45"/>
    <w:rsid w:val="00B50D63"/>
    <w:rsid w:val="00B50DFB"/>
    <w:rsid w:val="00B51443"/>
    <w:rsid w:val="00B51CC5"/>
    <w:rsid w:val="00B5220F"/>
    <w:rsid w:val="00B52724"/>
    <w:rsid w:val="00B52B63"/>
    <w:rsid w:val="00B52CD1"/>
    <w:rsid w:val="00B52E01"/>
    <w:rsid w:val="00B53ABF"/>
    <w:rsid w:val="00B53F5B"/>
    <w:rsid w:val="00B53FD1"/>
    <w:rsid w:val="00B5459D"/>
    <w:rsid w:val="00B54A0C"/>
    <w:rsid w:val="00B54BA5"/>
    <w:rsid w:val="00B55644"/>
    <w:rsid w:val="00B55993"/>
    <w:rsid w:val="00B55D41"/>
    <w:rsid w:val="00B55DE8"/>
    <w:rsid w:val="00B56168"/>
    <w:rsid w:val="00B564F5"/>
    <w:rsid w:val="00B56759"/>
    <w:rsid w:val="00B5679B"/>
    <w:rsid w:val="00B5698E"/>
    <w:rsid w:val="00B57175"/>
    <w:rsid w:val="00B571BF"/>
    <w:rsid w:val="00B5727F"/>
    <w:rsid w:val="00B57812"/>
    <w:rsid w:val="00B57872"/>
    <w:rsid w:val="00B60328"/>
    <w:rsid w:val="00B605AB"/>
    <w:rsid w:val="00B60B4E"/>
    <w:rsid w:val="00B60D6F"/>
    <w:rsid w:val="00B61BAF"/>
    <w:rsid w:val="00B61ED7"/>
    <w:rsid w:val="00B62391"/>
    <w:rsid w:val="00B62753"/>
    <w:rsid w:val="00B629C8"/>
    <w:rsid w:val="00B62C70"/>
    <w:rsid w:val="00B62DC5"/>
    <w:rsid w:val="00B62EFD"/>
    <w:rsid w:val="00B6325A"/>
    <w:rsid w:val="00B63526"/>
    <w:rsid w:val="00B63989"/>
    <w:rsid w:val="00B63C2B"/>
    <w:rsid w:val="00B64044"/>
    <w:rsid w:val="00B64F79"/>
    <w:rsid w:val="00B65096"/>
    <w:rsid w:val="00B6521C"/>
    <w:rsid w:val="00B65230"/>
    <w:rsid w:val="00B65239"/>
    <w:rsid w:val="00B65533"/>
    <w:rsid w:val="00B66330"/>
    <w:rsid w:val="00B667C7"/>
    <w:rsid w:val="00B668A4"/>
    <w:rsid w:val="00B66F41"/>
    <w:rsid w:val="00B66FCD"/>
    <w:rsid w:val="00B66FCE"/>
    <w:rsid w:val="00B6754B"/>
    <w:rsid w:val="00B679B5"/>
    <w:rsid w:val="00B701BA"/>
    <w:rsid w:val="00B70326"/>
    <w:rsid w:val="00B703BD"/>
    <w:rsid w:val="00B70481"/>
    <w:rsid w:val="00B70813"/>
    <w:rsid w:val="00B70962"/>
    <w:rsid w:val="00B70C36"/>
    <w:rsid w:val="00B70D6C"/>
    <w:rsid w:val="00B71097"/>
    <w:rsid w:val="00B71521"/>
    <w:rsid w:val="00B715AC"/>
    <w:rsid w:val="00B71D3D"/>
    <w:rsid w:val="00B721D5"/>
    <w:rsid w:val="00B72569"/>
    <w:rsid w:val="00B72664"/>
    <w:rsid w:val="00B727E1"/>
    <w:rsid w:val="00B72908"/>
    <w:rsid w:val="00B729BA"/>
    <w:rsid w:val="00B72BF5"/>
    <w:rsid w:val="00B72C3B"/>
    <w:rsid w:val="00B72C41"/>
    <w:rsid w:val="00B730D7"/>
    <w:rsid w:val="00B733A4"/>
    <w:rsid w:val="00B733DC"/>
    <w:rsid w:val="00B735CB"/>
    <w:rsid w:val="00B73F94"/>
    <w:rsid w:val="00B74259"/>
    <w:rsid w:val="00B742CA"/>
    <w:rsid w:val="00B747CB"/>
    <w:rsid w:val="00B751B8"/>
    <w:rsid w:val="00B7554E"/>
    <w:rsid w:val="00B75A4A"/>
    <w:rsid w:val="00B7609C"/>
    <w:rsid w:val="00B76137"/>
    <w:rsid w:val="00B76204"/>
    <w:rsid w:val="00B7625D"/>
    <w:rsid w:val="00B763C3"/>
    <w:rsid w:val="00B77C99"/>
    <w:rsid w:val="00B77DB1"/>
    <w:rsid w:val="00B77F3C"/>
    <w:rsid w:val="00B8009A"/>
    <w:rsid w:val="00B80D03"/>
    <w:rsid w:val="00B81235"/>
    <w:rsid w:val="00B8131B"/>
    <w:rsid w:val="00B821CB"/>
    <w:rsid w:val="00B82381"/>
    <w:rsid w:val="00B82710"/>
    <w:rsid w:val="00B829EB"/>
    <w:rsid w:val="00B8324B"/>
    <w:rsid w:val="00B83315"/>
    <w:rsid w:val="00B83947"/>
    <w:rsid w:val="00B83DF3"/>
    <w:rsid w:val="00B843EE"/>
    <w:rsid w:val="00B84BB5"/>
    <w:rsid w:val="00B84F1B"/>
    <w:rsid w:val="00B851A5"/>
    <w:rsid w:val="00B853E3"/>
    <w:rsid w:val="00B854B9"/>
    <w:rsid w:val="00B85540"/>
    <w:rsid w:val="00B864E1"/>
    <w:rsid w:val="00B8668D"/>
    <w:rsid w:val="00B866EF"/>
    <w:rsid w:val="00B871F4"/>
    <w:rsid w:val="00B8733D"/>
    <w:rsid w:val="00B87829"/>
    <w:rsid w:val="00B87A26"/>
    <w:rsid w:val="00B87E2C"/>
    <w:rsid w:val="00B87FE6"/>
    <w:rsid w:val="00B9085B"/>
    <w:rsid w:val="00B90F6F"/>
    <w:rsid w:val="00B914C2"/>
    <w:rsid w:val="00B9183A"/>
    <w:rsid w:val="00B9189F"/>
    <w:rsid w:val="00B91BB1"/>
    <w:rsid w:val="00B91DF3"/>
    <w:rsid w:val="00B91E0A"/>
    <w:rsid w:val="00B91FD5"/>
    <w:rsid w:val="00B9216E"/>
    <w:rsid w:val="00B922B3"/>
    <w:rsid w:val="00B9231B"/>
    <w:rsid w:val="00B92423"/>
    <w:rsid w:val="00B928B1"/>
    <w:rsid w:val="00B92B7B"/>
    <w:rsid w:val="00B9323D"/>
    <w:rsid w:val="00B936D1"/>
    <w:rsid w:val="00B93AE7"/>
    <w:rsid w:val="00B93B33"/>
    <w:rsid w:val="00B93DDD"/>
    <w:rsid w:val="00B9459F"/>
    <w:rsid w:val="00B9499A"/>
    <w:rsid w:val="00B94B51"/>
    <w:rsid w:val="00B94EF0"/>
    <w:rsid w:val="00B94FEF"/>
    <w:rsid w:val="00B95276"/>
    <w:rsid w:val="00B95910"/>
    <w:rsid w:val="00B95DCA"/>
    <w:rsid w:val="00B96178"/>
    <w:rsid w:val="00B962D6"/>
    <w:rsid w:val="00B96589"/>
    <w:rsid w:val="00B967FB"/>
    <w:rsid w:val="00B971A4"/>
    <w:rsid w:val="00B9730B"/>
    <w:rsid w:val="00B97F7F"/>
    <w:rsid w:val="00BA053C"/>
    <w:rsid w:val="00BA0EE3"/>
    <w:rsid w:val="00BA0F4E"/>
    <w:rsid w:val="00BA15FE"/>
    <w:rsid w:val="00BA16F2"/>
    <w:rsid w:val="00BA17D7"/>
    <w:rsid w:val="00BA1D88"/>
    <w:rsid w:val="00BA23D4"/>
    <w:rsid w:val="00BA2A51"/>
    <w:rsid w:val="00BA2B9D"/>
    <w:rsid w:val="00BA2BC1"/>
    <w:rsid w:val="00BA2BF6"/>
    <w:rsid w:val="00BA2CAA"/>
    <w:rsid w:val="00BA309A"/>
    <w:rsid w:val="00BA312A"/>
    <w:rsid w:val="00BA3757"/>
    <w:rsid w:val="00BA385D"/>
    <w:rsid w:val="00BA3CD0"/>
    <w:rsid w:val="00BA3D53"/>
    <w:rsid w:val="00BA3EBC"/>
    <w:rsid w:val="00BA4392"/>
    <w:rsid w:val="00BA4441"/>
    <w:rsid w:val="00BA4A91"/>
    <w:rsid w:val="00BA6027"/>
    <w:rsid w:val="00BA6800"/>
    <w:rsid w:val="00BA6CF9"/>
    <w:rsid w:val="00BA6E1C"/>
    <w:rsid w:val="00BA6E58"/>
    <w:rsid w:val="00BA7561"/>
    <w:rsid w:val="00BA7988"/>
    <w:rsid w:val="00BA7A11"/>
    <w:rsid w:val="00BB0354"/>
    <w:rsid w:val="00BB0C1B"/>
    <w:rsid w:val="00BB1351"/>
    <w:rsid w:val="00BB16E9"/>
    <w:rsid w:val="00BB18DF"/>
    <w:rsid w:val="00BB19D7"/>
    <w:rsid w:val="00BB1BE1"/>
    <w:rsid w:val="00BB1CC2"/>
    <w:rsid w:val="00BB209B"/>
    <w:rsid w:val="00BB24A0"/>
    <w:rsid w:val="00BB2738"/>
    <w:rsid w:val="00BB276C"/>
    <w:rsid w:val="00BB2984"/>
    <w:rsid w:val="00BB2B40"/>
    <w:rsid w:val="00BB2B8E"/>
    <w:rsid w:val="00BB2DD0"/>
    <w:rsid w:val="00BB2E5D"/>
    <w:rsid w:val="00BB3180"/>
    <w:rsid w:val="00BB327F"/>
    <w:rsid w:val="00BB3707"/>
    <w:rsid w:val="00BB37C8"/>
    <w:rsid w:val="00BB37E5"/>
    <w:rsid w:val="00BB3989"/>
    <w:rsid w:val="00BB4421"/>
    <w:rsid w:val="00BB46F2"/>
    <w:rsid w:val="00BB47B5"/>
    <w:rsid w:val="00BB4A0C"/>
    <w:rsid w:val="00BB4AEB"/>
    <w:rsid w:val="00BB4EBA"/>
    <w:rsid w:val="00BB5202"/>
    <w:rsid w:val="00BB55AC"/>
    <w:rsid w:val="00BB55BA"/>
    <w:rsid w:val="00BB59A4"/>
    <w:rsid w:val="00BB5A93"/>
    <w:rsid w:val="00BB5AC2"/>
    <w:rsid w:val="00BB604B"/>
    <w:rsid w:val="00BB63D3"/>
    <w:rsid w:val="00BB683B"/>
    <w:rsid w:val="00BB69C5"/>
    <w:rsid w:val="00BB69D7"/>
    <w:rsid w:val="00BB6B5A"/>
    <w:rsid w:val="00BB76BC"/>
    <w:rsid w:val="00BB770D"/>
    <w:rsid w:val="00BB7F7F"/>
    <w:rsid w:val="00BC011F"/>
    <w:rsid w:val="00BC01C9"/>
    <w:rsid w:val="00BC08A2"/>
    <w:rsid w:val="00BC0B8F"/>
    <w:rsid w:val="00BC1522"/>
    <w:rsid w:val="00BC15FF"/>
    <w:rsid w:val="00BC1696"/>
    <w:rsid w:val="00BC1993"/>
    <w:rsid w:val="00BC1DCD"/>
    <w:rsid w:val="00BC1F9F"/>
    <w:rsid w:val="00BC2C6C"/>
    <w:rsid w:val="00BC34A9"/>
    <w:rsid w:val="00BC35CA"/>
    <w:rsid w:val="00BC39AE"/>
    <w:rsid w:val="00BC3A08"/>
    <w:rsid w:val="00BC418F"/>
    <w:rsid w:val="00BC429E"/>
    <w:rsid w:val="00BC462B"/>
    <w:rsid w:val="00BC4654"/>
    <w:rsid w:val="00BC489C"/>
    <w:rsid w:val="00BC499E"/>
    <w:rsid w:val="00BC4CAC"/>
    <w:rsid w:val="00BC5A5E"/>
    <w:rsid w:val="00BC5F27"/>
    <w:rsid w:val="00BC622A"/>
    <w:rsid w:val="00BC6AC7"/>
    <w:rsid w:val="00BC6BAC"/>
    <w:rsid w:val="00BC6FBF"/>
    <w:rsid w:val="00BC78E2"/>
    <w:rsid w:val="00BC78FF"/>
    <w:rsid w:val="00BC7F43"/>
    <w:rsid w:val="00BD00EE"/>
    <w:rsid w:val="00BD04C3"/>
    <w:rsid w:val="00BD05AB"/>
    <w:rsid w:val="00BD08D3"/>
    <w:rsid w:val="00BD0A84"/>
    <w:rsid w:val="00BD125E"/>
    <w:rsid w:val="00BD1618"/>
    <w:rsid w:val="00BD191D"/>
    <w:rsid w:val="00BD21D7"/>
    <w:rsid w:val="00BD240D"/>
    <w:rsid w:val="00BD2418"/>
    <w:rsid w:val="00BD24B6"/>
    <w:rsid w:val="00BD253B"/>
    <w:rsid w:val="00BD267F"/>
    <w:rsid w:val="00BD2844"/>
    <w:rsid w:val="00BD2866"/>
    <w:rsid w:val="00BD2ACD"/>
    <w:rsid w:val="00BD2B77"/>
    <w:rsid w:val="00BD2D57"/>
    <w:rsid w:val="00BD3050"/>
    <w:rsid w:val="00BD351F"/>
    <w:rsid w:val="00BD3786"/>
    <w:rsid w:val="00BD37A2"/>
    <w:rsid w:val="00BD38CC"/>
    <w:rsid w:val="00BD3C9E"/>
    <w:rsid w:val="00BD41DA"/>
    <w:rsid w:val="00BD4489"/>
    <w:rsid w:val="00BD459C"/>
    <w:rsid w:val="00BD45E8"/>
    <w:rsid w:val="00BD4742"/>
    <w:rsid w:val="00BD4AF6"/>
    <w:rsid w:val="00BD4B21"/>
    <w:rsid w:val="00BD50EF"/>
    <w:rsid w:val="00BD5131"/>
    <w:rsid w:val="00BD54B8"/>
    <w:rsid w:val="00BD5647"/>
    <w:rsid w:val="00BD5BCE"/>
    <w:rsid w:val="00BD6248"/>
    <w:rsid w:val="00BD6249"/>
    <w:rsid w:val="00BD6459"/>
    <w:rsid w:val="00BD6516"/>
    <w:rsid w:val="00BD6887"/>
    <w:rsid w:val="00BD68E0"/>
    <w:rsid w:val="00BD6945"/>
    <w:rsid w:val="00BD6C69"/>
    <w:rsid w:val="00BD6D91"/>
    <w:rsid w:val="00BD6E0C"/>
    <w:rsid w:val="00BD706B"/>
    <w:rsid w:val="00BD75C3"/>
    <w:rsid w:val="00BD7655"/>
    <w:rsid w:val="00BD7796"/>
    <w:rsid w:val="00BD7B8E"/>
    <w:rsid w:val="00BD7EA7"/>
    <w:rsid w:val="00BE06AA"/>
    <w:rsid w:val="00BE0964"/>
    <w:rsid w:val="00BE1699"/>
    <w:rsid w:val="00BE16FC"/>
    <w:rsid w:val="00BE17F3"/>
    <w:rsid w:val="00BE1A29"/>
    <w:rsid w:val="00BE1AF8"/>
    <w:rsid w:val="00BE1BCD"/>
    <w:rsid w:val="00BE29CE"/>
    <w:rsid w:val="00BE3036"/>
    <w:rsid w:val="00BE350C"/>
    <w:rsid w:val="00BE3B63"/>
    <w:rsid w:val="00BE3D7F"/>
    <w:rsid w:val="00BE41BF"/>
    <w:rsid w:val="00BE4340"/>
    <w:rsid w:val="00BE48EC"/>
    <w:rsid w:val="00BE4C1F"/>
    <w:rsid w:val="00BE524A"/>
    <w:rsid w:val="00BE52B0"/>
    <w:rsid w:val="00BE565A"/>
    <w:rsid w:val="00BE5AE9"/>
    <w:rsid w:val="00BE5E13"/>
    <w:rsid w:val="00BE6626"/>
    <w:rsid w:val="00BE67DF"/>
    <w:rsid w:val="00BE6A5B"/>
    <w:rsid w:val="00BE6D09"/>
    <w:rsid w:val="00BE7394"/>
    <w:rsid w:val="00BE74EB"/>
    <w:rsid w:val="00BE7C42"/>
    <w:rsid w:val="00BF04A6"/>
    <w:rsid w:val="00BF0700"/>
    <w:rsid w:val="00BF090F"/>
    <w:rsid w:val="00BF09D4"/>
    <w:rsid w:val="00BF0BC9"/>
    <w:rsid w:val="00BF0FD3"/>
    <w:rsid w:val="00BF14CE"/>
    <w:rsid w:val="00BF19D5"/>
    <w:rsid w:val="00BF1BF8"/>
    <w:rsid w:val="00BF26D3"/>
    <w:rsid w:val="00BF277B"/>
    <w:rsid w:val="00BF2A98"/>
    <w:rsid w:val="00BF2D91"/>
    <w:rsid w:val="00BF337B"/>
    <w:rsid w:val="00BF39BC"/>
    <w:rsid w:val="00BF3C3F"/>
    <w:rsid w:val="00BF3E98"/>
    <w:rsid w:val="00BF4185"/>
    <w:rsid w:val="00BF4692"/>
    <w:rsid w:val="00BF4936"/>
    <w:rsid w:val="00BF51EE"/>
    <w:rsid w:val="00BF5261"/>
    <w:rsid w:val="00BF5890"/>
    <w:rsid w:val="00BF5925"/>
    <w:rsid w:val="00BF5AAB"/>
    <w:rsid w:val="00BF6166"/>
    <w:rsid w:val="00BF622E"/>
    <w:rsid w:val="00BF650B"/>
    <w:rsid w:val="00BF6F0A"/>
    <w:rsid w:val="00BF7324"/>
    <w:rsid w:val="00BF732C"/>
    <w:rsid w:val="00BF7376"/>
    <w:rsid w:val="00BF7703"/>
    <w:rsid w:val="00BF7B72"/>
    <w:rsid w:val="00BF7C5C"/>
    <w:rsid w:val="00C0029E"/>
    <w:rsid w:val="00C00305"/>
    <w:rsid w:val="00C00C23"/>
    <w:rsid w:val="00C00D7C"/>
    <w:rsid w:val="00C00E7A"/>
    <w:rsid w:val="00C01047"/>
    <w:rsid w:val="00C011C4"/>
    <w:rsid w:val="00C0125D"/>
    <w:rsid w:val="00C01386"/>
    <w:rsid w:val="00C01EEA"/>
    <w:rsid w:val="00C01F33"/>
    <w:rsid w:val="00C023E9"/>
    <w:rsid w:val="00C028A8"/>
    <w:rsid w:val="00C02932"/>
    <w:rsid w:val="00C02A86"/>
    <w:rsid w:val="00C02B3C"/>
    <w:rsid w:val="00C02EDD"/>
    <w:rsid w:val="00C0302B"/>
    <w:rsid w:val="00C0347B"/>
    <w:rsid w:val="00C03742"/>
    <w:rsid w:val="00C0374D"/>
    <w:rsid w:val="00C0451A"/>
    <w:rsid w:val="00C045B3"/>
    <w:rsid w:val="00C045D7"/>
    <w:rsid w:val="00C047AD"/>
    <w:rsid w:val="00C048F6"/>
    <w:rsid w:val="00C04922"/>
    <w:rsid w:val="00C04DCF"/>
    <w:rsid w:val="00C0517B"/>
    <w:rsid w:val="00C054EF"/>
    <w:rsid w:val="00C05C07"/>
    <w:rsid w:val="00C06016"/>
    <w:rsid w:val="00C060DF"/>
    <w:rsid w:val="00C06210"/>
    <w:rsid w:val="00C067F7"/>
    <w:rsid w:val="00C06B7C"/>
    <w:rsid w:val="00C06BBD"/>
    <w:rsid w:val="00C06CAB"/>
    <w:rsid w:val="00C06D51"/>
    <w:rsid w:val="00C0789B"/>
    <w:rsid w:val="00C07ACD"/>
    <w:rsid w:val="00C07AFA"/>
    <w:rsid w:val="00C07BCD"/>
    <w:rsid w:val="00C07FE9"/>
    <w:rsid w:val="00C10403"/>
    <w:rsid w:val="00C107D6"/>
    <w:rsid w:val="00C10B1F"/>
    <w:rsid w:val="00C10C7D"/>
    <w:rsid w:val="00C110CB"/>
    <w:rsid w:val="00C11A1C"/>
    <w:rsid w:val="00C11BF1"/>
    <w:rsid w:val="00C11E1F"/>
    <w:rsid w:val="00C12001"/>
    <w:rsid w:val="00C126E2"/>
    <w:rsid w:val="00C127B3"/>
    <w:rsid w:val="00C1280A"/>
    <w:rsid w:val="00C1283D"/>
    <w:rsid w:val="00C12930"/>
    <w:rsid w:val="00C12CAA"/>
    <w:rsid w:val="00C12E25"/>
    <w:rsid w:val="00C13476"/>
    <w:rsid w:val="00C134BB"/>
    <w:rsid w:val="00C135B1"/>
    <w:rsid w:val="00C13655"/>
    <w:rsid w:val="00C13686"/>
    <w:rsid w:val="00C13B8E"/>
    <w:rsid w:val="00C14264"/>
    <w:rsid w:val="00C143A1"/>
    <w:rsid w:val="00C14436"/>
    <w:rsid w:val="00C14662"/>
    <w:rsid w:val="00C14842"/>
    <w:rsid w:val="00C14B75"/>
    <w:rsid w:val="00C14F1F"/>
    <w:rsid w:val="00C15277"/>
    <w:rsid w:val="00C1551A"/>
    <w:rsid w:val="00C1617A"/>
    <w:rsid w:val="00C16308"/>
    <w:rsid w:val="00C164B2"/>
    <w:rsid w:val="00C169B3"/>
    <w:rsid w:val="00C17051"/>
    <w:rsid w:val="00C170CA"/>
    <w:rsid w:val="00C173FA"/>
    <w:rsid w:val="00C17500"/>
    <w:rsid w:val="00C17E06"/>
    <w:rsid w:val="00C20026"/>
    <w:rsid w:val="00C20334"/>
    <w:rsid w:val="00C2041E"/>
    <w:rsid w:val="00C20732"/>
    <w:rsid w:val="00C21093"/>
    <w:rsid w:val="00C210AE"/>
    <w:rsid w:val="00C218D7"/>
    <w:rsid w:val="00C21A49"/>
    <w:rsid w:val="00C21F76"/>
    <w:rsid w:val="00C21FFD"/>
    <w:rsid w:val="00C22120"/>
    <w:rsid w:val="00C22721"/>
    <w:rsid w:val="00C22BD2"/>
    <w:rsid w:val="00C230C6"/>
    <w:rsid w:val="00C23645"/>
    <w:rsid w:val="00C236F2"/>
    <w:rsid w:val="00C23992"/>
    <w:rsid w:val="00C23B26"/>
    <w:rsid w:val="00C24281"/>
    <w:rsid w:val="00C24649"/>
    <w:rsid w:val="00C249C0"/>
    <w:rsid w:val="00C24CCE"/>
    <w:rsid w:val="00C24DD9"/>
    <w:rsid w:val="00C24FAE"/>
    <w:rsid w:val="00C2553D"/>
    <w:rsid w:val="00C25799"/>
    <w:rsid w:val="00C257FB"/>
    <w:rsid w:val="00C25CED"/>
    <w:rsid w:val="00C25E4B"/>
    <w:rsid w:val="00C2677D"/>
    <w:rsid w:val="00C26ED2"/>
    <w:rsid w:val="00C26F5A"/>
    <w:rsid w:val="00C27104"/>
    <w:rsid w:val="00C27318"/>
    <w:rsid w:val="00C27656"/>
    <w:rsid w:val="00C27785"/>
    <w:rsid w:val="00C2783B"/>
    <w:rsid w:val="00C278E5"/>
    <w:rsid w:val="00C27EF5"/>
    <w:rsid w:val="00C300ED"/>
    <w:rsid w:val="00C300F0"/>
    <w:rsid w:val="00C30212"/>
    <w:rsid w:val="00C306AE"/>
    <w:rsid w:val="00C30AE8"/>
    <w:rsid w:val="00C30C61"/>
    <w:rsid w:val="00C30E05"/>
    <w:rsid w:val="00C314B0"/>
    <w:rsid w:val="00C317FB"/>
    <w:rsid w:val="00C31952"/>
    <w:rsid w:val="00C31E01"/>
    <w:rsid w:val="00C3207E"/>
    <w:rsid w:val="00C320A8"/>
    <w:rsid w:val="00C32430"/>
    <w:rsid w:val="00C3255E"/>
    <w:rsid w:val="00C32DFC"/>
    <w:rsid w:val="00C33495"/>
    <w:rsid w:val="00C342CC"/>
    <w:rsid w:val="00C34763"/>
    <w:rsid w:val="00C3520F"/>
    <w:rsid w:val="00C3595E"/>
    <w:rsid w:val="00C3599B"/>
    <w:rsid w:val="00C35C2A"/>
    <w:rsid w:val="00C3634D"/>
    <w:rsid w:val="00C368F1"/>
    <w:rsid w:val="00C36D71"/>
    <w:rsid w:val="00C37075"/>
    <w:rsid w:val="00C3798B"/>
    <w:rsid w:val="00C379DE"/>
    <w:rsid w:val="00C37E87"/>
    <w:rsid w:val="00C4084D"/>
    <w:rsid w:val="00C40BF3"/>
    <w:rsid w:val="00C40DCA"/>
    <w:rsid w:val="00C41126"/>
    <w:rsid w:val="00C411EA"/>
    <w:rsid w:val="00C419F2"/>
    <w:rsid w:val="00C41DE4"/>
    <w:rsid w:val="00C41FBD"/>
    <w:rsid w:val="00C41FDA"/>
    <w:rsid w:val="00C422CD"/>
    <w:rsid w:val="00C426BB"/>
    <w:rsid w:val="00C42C35"/>
    <w:rsid w:val="00C42D9E"/>
    <w:rsid w:val="00C42F1B"/>
    <w:rsid w:val="00C42FBF"/>
    <w:rsid w:val="00C431CE"/>
    <w:rsid w:val="00C434C5"/>
    <w:rsid w:val="00C439F5"/>
    <w:rsid w:val="00C43C48"/>
    <w:rsid w:val="00C44781"/>
    <w:rsid w:val="00C449B5"/>
    <w:rsid w:val="00C44E74"/>
    <w:rsid w:val="00C45091"/>
    <w:rsid w:val="00C450F7"/>
    <w:rsid w:val="00C4563F"/>
    <w:rsid w:val="00C45D2B"/>
    <w:rsid w:val="00C45F2C"/>
    <w:rsid w:val="00C45F32"/>
    <w:rsid w:val="00C46022"/>
    <w:rsid w:val="00C46711"/>
    <w:rsid w:val="00C468F1"/>
    <w:rsid w:val="00C46BB1"/>
    <w:rsid w:val="00C46C3F"/>
    <w:rsid w:val="00C46D65"/>
    <w:rsid w:val="00C4751C"/>
    <w:rsid w:val="00C4756F"/>
    <w:rsid w:val="00C479BF"/>
    <w:rsid w:val="00C4DE88"/>
    <w:rsid w:val="00C506A3"/>
    <w:rsid w:val="00C507A0"/>
    <w:rsid w:val="00C50885"/>
    <w:rsid w:val="00C50965"/>
    <w:rsid w:val="00C50B52"/>
    <w:rsid w:val="00C50B9E"/>
    <w:rsid w:val="00C50D43"/>
    <w:rsid w:val="00C50E34"/>
    <w:rsid w:val="00C50F57"/>
    <w:rsid w:val="00C50F7E"/>
    <w:rsid w:val="00C513B9"/>
    <w:rsid w:val="00C51AAB"/>
    <w:rsid w:val="00C51B2D"/>
    <w:rsid w:val="00C51B44"/>
    <w:rsid w:val="00C51D8B"/>
    <w:rsid w:val="00C524C1"/>
    <w:rsid w:val="00C52A35"/>
    <w:rsid w:val="00C53301"/>
    <w:rsid w:val="00C5351E"/>
    <w:rsid w:val="00C537F8"/>
    <w:rsid w:val="00C53ACA"/>
    <w:rsid w:val="00C53CA9"/>
    <w:rsid w:val="00C54A05"/>
    <w:rsid w:val="00C54D71"/>
    <w:rsid w:val="00C552CA"/>
    <w:rsid w:val="00C5540F"/>
    <w:rsid w:val="00C557C1"/>
    <w:rsid w:val="00C558CD"/>
    <w:rsid w:val="00C55E4B"/>
    <w:rsid w:val="00C55E7A"/>
    <w:rsid w:val="00C55F7F"/>
    <w:rsid w:val="00C561F8"/>
    <w:rsid w:val="00C562B3"/>
    <w:rsid w:val="00C56405"/>
    <w:rsid w:val="00C5678F"/>
    <w:rsid w:val="00C567CC"/>
    <w:rsid w:val="00C567D0"/>
    <w:rsid w:val="00C568FE"/>
    <w:rsid w:val="00C569B5"/>
    <w:rsid w:val="00C56EEB"/>
    <w:rsid w:val="00C56FEB"/>
    <w:rsid w:val="00C5738F"/>
    <w:rsid w:val="00C57475"/>
    <w:rsid w:val="00C57EE4"/>
    <w:rsid w:val="00C603FB"/>
    <w:rsid w:val="00C60453"/>
    <w:rsid w:val="00C6062C"/>
    <w:rsid w:val="00C61142"/>
    <w:rsid w:val="00C6156C"/>
    <w:rsid w:val="00C617F6"/>
    <w:rsid w:val="00C61A3D"/>
    <w:rsid w:val="00C6207F"/>
    <w:rsid w:val="00C62467"/>
    <w:rsid w:val="00C62496"/>
    <w:rsid w:val="00C62551"/>
    <w:rsid w:val="00C629CA"/>
    <w:rsid w:val="00C6314A"/>
    <w:rsid w:val="00C634AF"/>
    <w:rsid w:val="00C63C3F"/>
    <w:rsid w:val="00C64409"/>
    <w:rsid w:val="00C64601"/>
    <w:rsid w:val="00C64A21"/>
    <w:rsid w:val="00C6508F"/>
    <w:rsid w:val="00C65212"/>
    <w:rsid w:val="00C6524F"/>
    <w:rsid w:val="00C65459"/>
    <w:rsid w:val="00C65A62"/>
    <w:rsid w:val="00C65BA0"/>
    <w:rsid w:val="00C664D2"/>
    <w:rsid w:val="00C6665A"/>
    <w:rsid w:val="00C66AC2"/>
    <w:rsid w:val="00C66FA9"/>
    <w:rsid w:val="00C671BF"/>
    <w:rsid w:val="00C67449"/>
    <w:rsid w:val="00C70048"/>
    <w:rsid w:val="00C704A7"/>
    <w:rsid w:val="00C707B5"/>
    <w:rsid w:val="00C728E9"/>
    <w:rsid w:val="00C72AB4"/>
    <w:rsid w:val="00C72AEB"/>
    <w:rsid w:val="00C72BA9"/>
    <w:rsid w:val="00C72EC4"/>
    <w:rsid w:val="00C733CA"/>
    <w:rsid w:val="00C73C93"/>
    <w:rsid w:val="00C73CE2"/>
    <w:rsid w:val="00C73D4D"/>
    <w:rsid w:val="00C73D6A"/>
    <w:rsid w:val="00C73E47"/>
    <w:rsid w:val="00C74113"/>
    <w:rsid w:val="00C74203"/>
    <w:rsid w:val="00C743EB"/>
    <w:rsid w:val="00C74D88"/>
    <w:rsid w:val="00C74FE5"/>
    <w:rsid w:val="00C75193"/>
    <w:rsid w:val="00C751B4"/>
    <w:rsid w:val="00C7522C"/>
    <w:rsid w:val="00C7549E"/>
    <w:rsid w:val="00C76076"/>
    <w:rsid w:val="00C760DB"/>
    <w:rsid w:val="00C766FE"/>
    <w:rsid w:val="00C76F57"/>
    <w:rsid w:val="00C76F9D"/>
    <w:rsid w:val="00C773C8"/>
    <w:rsid w:val="00C7757F"/>
    <w:rsid w:val="00C775B9"/>
    <w:rsid w:val="00C775F8"/>
    <w:rsid w:val="00C77966"/>
    <w:rsid w:val="00C77A57"/>
    <w:rsid w:val="00C800B8"/>
    <w:rsid w:val="00C8012E"/>
    <w:rsid w:val="00C80149"/>
    <w:rsid w:val="00C80201"/>
    <w:rsid w:val="00C807C1"/>
    <w:rsid w:val="00C80F44"/>
    <w:rsid w:val="00C80F8E"/>
    <w:rsid w:val="00C810E9"/>
    <w:rsid w:val="00C814AB"/>
    <w:rsid w:val="00C81F8D"/>
    <w:rsid w:val="00C827A6"/>
    <w:rsid w:val="00C82B52"/>
    <w:rsid w:val="00C82F5E"/>
    <w:rsid w:val="00C8312E"/>
    <w:rsid w:val="00C8320C"/>
    <w:rsid w:val="00C834CE"/>
    <w:rsid w:val="00C8353A"/>
    <w:rsid w:val="00C83CAF"/>
    <w:rsid w:val="00C83F82"/>
    <w:rsid w:val="00C84AE5"/>
    <w:rsid w:val="00C8502E"/>
    <w:rsid w:val="00C85043"/>
    <w:rsid w:val="00C85310"/>
    <w:rsid w:val="00C85618"/>
    <w:rsid w:val="00C8568D"/>
    <w:rsid w:val="00C85A36"/>
    <w:rsid w:val="00C86047"/>
    <w:rsid w:val="00C8619B"/>
    <w:rsid w:val="00C86383"/>
    <w:rsid w:val="00C863D0"/>
    <w:rsid w:val="00C86881"/>
    <w:rsid w:val="00C86E1E"/>
    <w:rsid w:val="00C8715E"/>
    <w:rsid w:val="00C87276"/>
    <w:rsid w:val="00C87323"/>
    <w:rsid w:val="00C87E02"/>
    <w:rsid w:val="00C90696"/>
    <w:rsid w:val="00C906A8"/>
    <w:rsid w:val="00C906F1"/>
    <w:rsid w:val="00C90988"/>
    <w:rsid w:val="00C90B6A"/>
    <w:rsid w:val="00C91583"/>
    <w:rsid w:val="00C915C2"/>
    <w:rsid w:val="00C916C4"/>
    <w:rsid w:val="00C91AC9"/>
    <w:rsid w:val="00C91BD8"/>
    <w:rsid w:val="00C91C1C"/>
    <w:rsid w:val="00C91F77"/>
    <w:rsid w:val="00C921DC"/>
    <w:rsid w:val="00C927E1"/>
    <w:rsid w:val="00C928B3"/>
    <w:rsid w:val="00C928DC"/>
    <w:rsid w:val="00C92EC0"/>
    <w:rsid w:val="00C9327B"/>
    <w:rsid w:val="00C93299"/>
    <w:rsid w:val="00C93569"/>
    <w:rsid w:val="00C936F7"/>
    <w:rsid w:val="00C937B9"/>
    <w:rsid w:val="00C93A42"/>
    <w:rsid w:val="00C93B1C"/>
    <w:rsid w:val="00C93BB2"/>
    <w:rsid w:val="00C93D17"/>
    <w:rsid w:val="00C93EDE"/>
    <w:rsid w:val="00C9402C"/>
    <w:rsid w:val="00C94315"/>
    <w:rsid w:val="00C943DF"/>
    <w:rsid w:val="00C94AA0"/>
    <w:rsid w:val="00C94CAC"/>
    <w:rsid w:val="00C95131"/>
    <w:rsid w:val="00C953F9"/>
    <w:rsid w:val="00C95830"/>
    <w:rsid w:val="00C95FD5"/>
    <w:rsid w:val="00C9612E"/>
    <w:rsid w:val="00C961DE"/>
    <w:rsid w:val="00C96854"/>
    <w:rsid w:val="00C968AB"/>
    <w:rsid w:val="00C96B83"/>
    <w:rsid w:val="00C96CEE"/>
    <w:rsid w:val="00C96F02"/>
    <w:rsid w:val="00C972DF"/>
    <w:rsid w:val="00C9783D"/>
    <w:rsid w:val="00C97CC0"/>
    <w:rsid w:val="00CA052A"/>
    <w:rsid w:val="00CA084A"/>
    <w:rsid w:val="00CA0DAB"/>
    <w:rsid w:val="00CA0FA0"/>
    <w:rsid w:val="00CA1442"/>
    <w:rsid w:val="00CA1A4A"/>
    <w:rsid w:val="00CA1CEB"/>
    <w:rsid w:val="00CA218F"/>
    <w:rsid w:val="00CA21AA"/>
    <w:rsid w:val="00CA2562"/>
    <w:rsid w:val="00CA26A2"/>
    <w:rsid w:val="00CA31E6"/>
    <w:rsid w:val="00CA3875"/>
    <w:rsid w:val="00CA3ABE"/>
    <w:rsid w:val="00CA3B50"/>
    <w:rsid w:val="00CA3C9A"/>
    <w:rsid w:val="00CA4293"/>
    <w:rsid w:val="00CA4394"/>
    <w:rsid w:val="00CA44B7"/>
    <w:rsid w:val="00CA4658"/>
    <w:rsid w:val="00CA46D1"/>
    <w:rsid w:val="00CA490E"/>
    <w:rsid w:val="00CA4993"/>
    <w:rsid w:val="00CA4A6C"/>
    <w:rsid w:val="00CA4AB6"/>
    <w:rsid w:val="00CA4ABC"/>
    <w:rsid w:val="00CA50DF"/>
    <w:rsid w:val="00CA5230"/>
    <w:rsid w:val="00CA5646"/>
    <w:rsid w:val="00CA56E1"/>
    <w:rsid w:val="00CA5988"/>
    <w:rsid w:val="00CA5B9F"/>
    <w:rsid w:val="00CA615E"/>
    <w:rsid w:val="00CA6B58"/>
    <w:rsid w:val="00CA72F9"/>
    <w:rsid w:val="00CA753E"/>
    <w:rsid w:val="00CA7548"/>
    <w:rsid w:val="00CA75FD"/>
    <w:rsid w:val="00CA7A7B"/>
    <w:rsid w:val="00CA7B40"/>
    <w:rsid w:val="00CA7CC7"/>
    <w:rsid w:val="00CA7D98"/>
    <w:rsid w:val="00CB03BA"/>
    <w:rsid w:val="00CB0523"/>
    <w:rsid w:val="00CB110C"/>
    <w:rsid w:val="00CB1398"/>
    <w:rsid w:val="00CB1565"/>
    <w:rsid w:val="00CB17C6"/>
    <w:rsid w:val="00CB17C9"/>
    <w:rsid w:val="00CB22D6"/>
    <w:rsid w:val="00CB2A20"/>
    <w:rsid w:val="00CB330B"/>
    <w:rsid w:val="00CB382D"/>
    <w:rsid w:val="00CB3E17"/>
    <w:rsid w:val="00CB547C"/>
    <w:rsid w:val="00CB561C"/>
    <w:rsid w:val="00CB59CF"/>
    <w:rsid w:val="00CB5CE0"/>
    <w:rsid w:val="00CB6573"/>
    <w:rsid w:val="00CB74C0"/>
    <w:rsid w:val="00CB75E4"/>
    <w:rsid w:val="00CB7768"/>
    <w:rsid w:val="00CB78D7"/>
    <w:rsid w:val="00CB7C7A"/>
    <w:rsid w:val="00CB7CB4"/>
    <w:rsid w:val="00CB7DE8"/>
    <w:rsid w:val="00CB7F0E"/>
    <w:rsid w:val="00CC0295"/>
    <w:rsid w:val="00CC0C1A"/>
    <w:rsid w:val="00CC11E3"/>
    <w:rsid w:val="00CC1978"/>
    <w:rsid w:val="00CC1EC0"/>
    <w:rsid w:val="00CC2468"/>
    <w:rsid w:val="00CC2594"/>
    <w:rsid w:val="00CC29BB"/>
    <w:rsid w:val="00CC2A5C"/>
    <w:rsid w:val="00CC2C3A"/>
    <w:rsid w:val="00CC3169"/>
    <w:rsid w:val="00CC3ACB"/>
    <w:rsid w:val="00CC3D70"/>
    <w:rsid w:val="00CC43A8"/>
    <w:rsid w:val="00CC4B5A"/>
    <w:rsid w:val="00CC4CE3"/>
    <w:rsid w:val="00CC50E7"/>
    <w:rsid w:val="00CC53CC"/>
    <w:rsid w:val="00CC5634"/>
    <w:rsid w:val="00CC58AE"/>
    <w:rsid w:val="00CC5C40"/>
    <w:rsid w:val="00CC5DFC"/>
    <w:rsid w:val="00CC60E7"/>
    <w:rsid w:val="00CC6614"/>
    <w:rsid w:val="00CC6ED6"/>
    <w:rsid w:val="00CC70C0"/>
    <w:rsid w:val="00CC71D8"/>
    <w:rsid w:val="00CC7476"/>
    <w:rsid w:val="00CC750D"/>
    <w:rsid w:val="00CC7C1A"/>
    <w:rsid w:val="00CC7D51"/>
    <w:rsid w:val="00CC7FEC"/>
    <w:rsid w:val="00CD0062"/>
    <w:rsid w:val="00CD00CE"/>
    <w:rsid w:val="00CD0C83"/>
    <w:rsid w:val="00CD0D3C"/>
    <w:rsid w:val="00CD0DFD"/>
    <w:rsid w:val="00CD0E74"/>
    <w:rsid w:val="00CD0FB1"/>
    <w:rsid w:val="00CD0FC6"/>
    <w:rsid w:val="00CD1150"/>
    <w:rsid w:val="00CD165F"/>
    <w:rsid w:val="00CD21BC"/>
    <w:rsid w:val="00CD2223"/>
    <w:rsid w:val="00CD2506"/>
    <w:rsid w:val="00CD30F0"/>
    <w:rsid w:val="00CD34A0"/>
    <w:rsid w:val="00CD35C6"/>
    <w:rsid w:val="00CD3B02"/>
    <w:rsid w:val="00CD3BDB"/>
    <w:rsid w:val="00CD4070"/>
    <w:rsid w:val="00CD46D0"/>
    <w:rsid w:val="00CD4948"/>
    <w:rsid w:val="00CD4D4D"/>
    <w:rsid w:val="00CD4E3C"/>
    <w:rsid w:val="00CD4F3F"/>
    <w:rsid w:val="00CD4F79"/>
    <w:rsid w:val="00CD56B0"/>
    <w:rsid w:val="00CD58D2"/>
    <w:rsid w:val="00CD595C"/>
    <w:rsid w:val="00CD6068"/>
    <w:rsid w:val="00CD610C"/>
    <w:rsid w:val="00CD62CE"/>
    <w:rsid w:val="00CD63A1"/>
    <w:rsid w:val="00CD692C"/>
    <w:rsid w:val="00CD7105"/>
    <w:rsid w:val="00CD7513"/>
    <w:rsid w:val="00CD78EA"/>
    <w:rsid w:val="00CD794B"/>
    <w:rsid w:val="00CD796A"/>
    <w:rsid w:val="00CD7BAB"/>
    <w:rsid w:val="00CE064F"/>
    <w:rsid w:val="00CE09B7"/>
    <w:rsid w:val="00CE09E3"/>
    <w:rsid w:val="00CE0D05"/>
    <w:rsid w:val="00CE0F8F"/>
    <w:rsid w:val="00CE1048"/>
    <w:rsid w:val="00CE11B4"/>
    <w:rsid w:val="00CE1FB8"/>
    <w:rsid w:val="00CE203E"/>
    <w:rsid w:val="00CE208B"/>
    <w:rsid w:val="00CE2586"/>
    <w:rsid w:val="00CE2C9C"/>
    <w:rsid w:val="00CE3384"/>
    <w:rsid w:val="00CE34D4"/>
    <w:rsid w:val="00CE34EB"/>
    <w:rsid w:val="00CE3D02"/>
    <w:rsid w:val="00CE4096"/>
    <w:rsid w:val="00CE43FC"/>
    <w:rsid w:val="00CE4CB2"/>
    <w:rsid w:val="00CE4E4B"/>
    <w:rsid w:val="00CE5013"/>
    <w:rsid w:val="00CE51D6"/>
    <w:rsid w:val="00CE538C"/>
    <w:rsid w:val="00CE54F0"/>
    <w:rsid w:val="00CE59BD"/>
    <w:rsid w:val="00CE640C"/>
    <w:rsid w:val="00CE6421"/>
    <w:rsid w:val="00CE65C0"/>
    <w:rsid w:val="00CE6641"/>
    <w:rsid w:val="00CE6707"/>
    <w:rsid w:val="00CE67E6"/>
    <w:rsid w:val="00CE6BB8"/>
    <w:rsid w:val="00CE70BC"/>
    <w:rsid w:val="00CE79C3"/>
    <w:rsid w:val="00CE7B1C"/>
    <w:rsid w:val="00CF01B9"/>
    <w:rsid w:val="00CF036E"/>
    <w:rsid w:val="00CF0618"/>
    <w:rsid w:val="00CF1019"/>
    <w:rsid w:val="00CF1067"/>
    <w:rsid w:val="00CF1077"/>
    <w:rsid w:val="00CF12F5"/>
    <w:rsid w:val="00CF194D"/>
    <w:rsid w:val="00CF2017"/>
    <w:rsid w:val="00CF2027"/>
    <w:rsid w:val="00CF2314"/>
    <w:rsid w:val="00CF2367"/>
    <w:rsid w:val="00CF2687"/>
    <w:rsid w:val="00CF271E"/>
    <w:rsid w:val="00CF2742"/>
    <w:rsid w:val="00CF2FE6"/>
    <w:rsid w:val="00CF3379"/>
    <w:rsid w:val="00CF3614"/>
    <w:rsid w:val="00CF3F9B"/>
    <w:rsid w:val="00CF3F9D"/>
    <w:rsid w:val="00CF44D0"/>
    <w:rsid w:val="00CF464E"/>
    <w:rsid w:val="00CF4C6C"/>
    <w:rsid w:val="00CF5893"/>
    <w:rsid w:val="00CF589C"/>
    <w:rsid w:val="00CF6623"/>
    <w:rsid w:val="00CF6699"/>
    <w:rsid w:val="00CF674D"/>
    <w:rsid w:val="00CF6991"/>
    <w:rsid w:val="00CF6F2D"/>
    <w:rsid w:val="00CF700B"/>
    <w:rsid w:val="00CF75F3"/>
    <w:rsid w:val="00CF7C12"/>
    <w:rsid w:val="00CF7DDE"/>
    <w:rsid w:val="00D00569"/>
    <w:rsid w:val="00D0064E"/>
    <w:rsid w:val="00D00A92"/>
    <w:rsid w:val="00D00DBA"/>
    <w:rsid w:val="00D01261"/>
    <w:rsid w:val="00D01324"/>
    <w:rsid w:val="00D01DB4"/>
    <w:rsid w:val="00D020B4"/>
    <w:rsid w:val="00D02A9D"/>
    <w:rsid w:val="00D02BAC"/>
    <w:rsid w:val="00D02D3E"/>
    <w:rsid w:val="00D02EE9"/>
    <w:rsid w:val="00D0325E"/>
    <w:rsid w:val="00D036E6"/>
    <w:rsid w:val="00D03D42"/>
    <w:rsid w:val="00D043D8"/>
    <w:rsid w:val="00D04918"/>
    <w:rsid w:val="00D049A8"/>
    <w:rsid w:val="00D0510C"/>
    <w:rsid w:val="00D055F8"/>
    <w:rsid w:val="00D05AF5"/>
    <w:rsid w:val="00D05B17"/>
    <w:rsid w:val="00D05C07"/>
    <w:rsid w:val="00D05EF9"/>
    <w:rsid w:val="00D05F27"/>
    <w:rsid w:val="00D0631D"/>
    <w:rsid w:val="00D068D9"/>
    <w:rsid w:val="00D06CE8"/>
    <w:rsid w:val="00D07363"/>
    <w:rsid w:val="00D077C4"/>
    <w:rsid w:val="00D102ED"/>
    <w:rsid w:val="00D102FF"/>
    <w:rsid w:val="00D1066F"/>
    <w:rsid w:val="00D106B1"/>
    <w:rsid w:val="00D106EE"/>
    <w:rsid w:val="00D10A86"/>
    <w:rsid w:val="00D10F86"/>
    <w:rsid w:val="00D1115D"/>
    <w:rsid w:val="00D1162F"/>
    <w:rsid w:val="00D1167B"/>
    <w:rsid w:val="00D1183A"/>
    <w:rsid w:val="00D11888"/>
    <w:rsid w:val="00D11FE7"/>
    <w:rsid w:val="00D12452"/>
    <w:rsid w:val="00D13021"/>
    <w:rsid w:val="00D13161"/>
    <w:rsid w:val="00D13358"/>
    <w:rsid w:val="00D13D10"/>
    <w:rsid w:val="00D142E9"/>
    <w:rsid w:val="00D145B8"/>
    <w:rsid w:val="00D146A0"/>
    <w:rsid w:val="00D14D32"/>
    <w:rsid w:val="00D14DFE"/>
    <w:rsid w:val="00D155C2"/>
    <w:rsid w:val="00D15628"/>
    <w:rsid w:val="00D156D3"/>
    <w:rsid w:val="00D158F9"/>
    <w:rsid w:val="00D1591F"/>
    <w:rsid w:val="00D15B69"/>
    <w:rsid w:val="00D15DB8"/>
    <w:rsid w:val="00D1640E"/>
    <w:rsid w:val="00D165A1"/>
    <w:rsid w:val="00D1677D"/>
    <w:rsid w:val="00D167B3"/>
    <w:rsid w:val="00D16831"/>
    <w:rsid w:val="00D169E2"/>
    <w:rsid w:val="00D16CE4"/>
    <w:rsid w:val="00D16D1C"/>
    <w:rsid w:val="00D16FC2"/>
    <w:rsid w:val="00D17607"/>
    <w:rsid w:val="00D17957"/>
    <w:rsid w:val="00D17CB0"/>
    <w:rsid w:val="00D17E9E"/>
    <w:rsid w:val="00D17F33"/>
    <w:rsid w:val="00D20024"/>
    <w:rsid w:val="00D201DC"/>
    <w:rsid w:val="00D201E2"/>
    <w:rsid w:val="00D20839"/>
    <w:rsid w:val="00D209F9"/>
    <w:rsid w:val="00D20BAA"/>
    <w:rsid w:val="00D20C9E"/>
    <w:rsid w:val="00D20CC7"/>
    <w:rsid w:val="00D21062"/>
    <w:rsid w:val="00D21191"/>
    <w:rsid w:val="00D212D3"/>
    <w:rsid w:val="00D21767"/>
    <w:rsid w:val="00D219E7"/>
    <w:rsid w:val="00D21FF4"/>
    <w:rsid w:val="00D21FFC"/>
    <w:rsid w:val="00D2213A"/>
    <w:rsid w:val="00D22190"/>
    <w:rsid w:val="00D221B1"/>
    <w:rsid w:val="00D22298"/>
    <w:rsid w:val="00D229A5"/>
    <w:rsid w:val="00D23502"/>
    <w:rsid w:val="00D23B3C"/>
    <w:rsid w:val="00D23B52"/>
    <w:rsid w:val="00D2450A"/>
    <w:rsid w:val="00D24605"/>
    <w:rsid w:val="00D24890"/>
    <w:rsid w:val="00D258AC"/>
    <w:rsid w:val="00D25A04"/>
    <w:rsid w:val="00D25AEF"/>
    <w:rsid w:val="00D25B53"/>
    <w:rsid w:val="00D2630D"/>
    <w:rsid w:val="00D26A79"/>
    <w:rsid w:val="00D26B2D"/>
    <w:rsid w:val="00D26BBC"/>
    <w:rsid w:val="00D26EF4"/>
    <w:rsid w:val="00D2703F"/>
    <w:rsid w:val="00D27AA5"/>
    <w:rsid w:val="00D30744"/>
    <w:rsid w:val="00D30D30"/>
    <w:rsid w:val="00D30FF1"/>
    <w:rsid w:val="00D311E5"/>
    <w:rsid w:val="00D31665"/>
    <w:rsid w:val="00D31B80"/>
    <w:rsid w:val="00D31DB2"/>
    <w:rsid w:val="00D31E69"/>
    <w:rsid w:val="00D320B8"/>
    <w:rsid w:val="00D320C3"/>
    <w:rsid w:val="00D32491"/>
    <w:rsid w:val="00D32CE3"/>
    <w:rsid w:val="00D32E65"/>
    <w:rsid w:val="00D333A2"/>
    <w:rsid w:val="00D333C0"/>
    <w:rsid w:val="00D336B6"/>
    <w:rsid w:val="00D33702"/>
    <w:rsid w:val="00D33728"/>
    <w:rsid w:val="00D3412E"/>
    <w:rsid w:val="00D3459F"/>
    <w:rsid w:val="00D349FA"/>
    <w:rsid w:val="00D34A6E"/>
    <w:rsid w:val="00D34D1A"/>
    <w:rsid w:val="00D34F2E"/>
    <w:rsid w:val="00D3531C"/>
    <w:rsid w:val="00D36049"/>
    <w:rsid w:val="00D3623C"/>
    <w:rsid w:val="00D363F7"/>
    <w:rsid w:val="00D36B1C"/>
    <w:rsid w:val="00D36CFD"/>
    <w:rsid w:val="00D36DBF"/>
    <w:rsid w:val="00D37115"/>
    <w:rsid w:val="00D37244"/>
    <w:rsid w:val="00D37829"/>
    <w:rsid w:val="00D37C2E"/>
    <w:rsid w:val="00D37D65"/>
    <w:rsid w:val="00D37DD0"/>
    <w:rsid w:val="00D37F67"/>
    <w:rsid w:val="00D4010D"/>
    <w:rsid w:val="00D403E3"/>
    <w:rsid w:val="00D40419"/>
    <w:rsid w:val="00D40518"/>
    <w:rsid w:val="00D40858"/>
    <w:rsid w:val="00D41157"/>
    <w:rsid w:val="00D414C3"/>
    <w:rsid w:val="00D41518"/>
    <w:rsid w:val="00D4163D"/>
    <w:rsid w:val="00D41956"/>
    <w:rsid w:val="00D41B02"/>
    <w:rsid w:val="00D41E88"/>
    <w:rsid w:val="00D425B2"/>
    <w:rsid w:val="00D42BD1"/>
    <w:rsid w:val="00D42CD3"/>
    <w:rsid w:val="00D43062"/>
    <w:rsid w:val="00D43241"/>
    <w:rsid w:val="00D435C2"/>
    <w:rsid w:val="00D44115"/>
    <w:rsid w:val="00D44167"/>
    <w:rsid w:val="00D445FF"/>
    <w:rsid w:val="00D44642"/>
    <w:rsid w:val="00D44702"/>
    <w:rsid w:val="00D44D1C"/>
    <w:rsid w:val="00D44D74"/>
    <w:rsid w:val="00D44E9E"/>
    <w:rsid w:val="00D450EA"/>
    <w:rsid w:val="00D45948"/>
    <w:rsid w:val="00D45BBA"/>
    <w:rsid w:val="00D45F4F"/>
    <w:rsid w:val="00D45FF9"/>
    <w:rsid w:val="00D462F9"/>
    <w:rsid w:val="00D46551"/>
    <w:rsid w:val="00D46625"/>
    <w:rsid w:val="00D4674F"/>
    <w:rsid w:val="00D46885"/>
    <w:rsid w:val="00D472C0"/>
    <w:rsid w:val="00D473DB"/>
    <w:rsid w:val="00D476E4"/>
    <w:rsid w:val="00D47C05"/>
    <w:rsid w:val="00D47D6C"/>
    <w:rsid w:val="00D504AB"/>
    <w:rsid w:val="00D50689"/>
    <w:rsid w:val="00D50BB2"/>
    <w:rsid w:val="00D510E2"/>
    <w:rsid w:val="00D5113C"/>
    <w:rsid w:val="00D511C1"/>
    <w:rsid w:val="00D51327"/>
    <w:rsid w:val="00D51675"/>
    <w:rsid w:val="00D51839"/>
    <w:rsid w:val="00D518AE"/>
    <w:rsid w:val="00D51951"/>
    <w:rsid w:val="00D519DE"/>
    <w:rsid w:val="00D51B03"/>
    <w:rsid w:val="00D5224B"/>
    <w:rsid w:val="00D5250A"/>
    <w:rsid w:val="00D527BA"/>
    <w:rsid w:val="00D52931"/>
    <w:rsid w:val="00D52A39"/>
    <w:rsid w:val="00D52D35"/>
    <w:rsid w:val="00D52D4F"/>
    <w:rsid w:val="00D535B9"/>
    <w:rsid w:val="00D53CC9"/>
    <w:rsid w:val="00D53CF9"/>
    <w:rsid w:val="00D54006"/>
    <w:rsid w:val="00D5404E"/>
    <w:rsid w:val="00D546A1"/>
    <w:rsid w:val="00D54DE9"/>
    <w:rsid w:val="00D55892"/>
    <w:rsid w:val="00D55966"/>
    <w:rsid w:val="00D55A5A"/>
    <w:rsid w:val="00D563B2"/>
    <w:rsid w:val="00D56980"/>
    <w:rsid w:val="00D56C7D"/>
    <w:rsid w:val="00D5706D"/>
    <w:rsid w:val="00D57C94"/>
    <w:rsid w:val="00D57E66"/>
    <w:rsid w:val="00D60C9C"/>
    <w:rsid w:val="00D60CFE"/>
    <w:rsid w:val="00D60D5F"/>
    <w:rsid w:val="00D60DC7"/>
    <w:rsid w:val="00D60F19"/>
    <w:rsid w:val="00D60FEB"/>
    <w:rsid w:val="00D61134"/>
    <w:rsid w:val="00D615B7"/>
    <w:rsid w:val="00D61829"/>
    <w:rsid w:val="00D61F45"/>
    <w:rsid w:val="00D62C2F"/>
    <w:rsid w:val="00D63130"/>
    <w:rsid w:val="00D631C1"/>
    <w:rsid w:val="00D63386"/>
    <w:rsid w:val="00D6357A"/>
    <w:rsid w:val="00D64CB7"/>
    <w:rsid w:val="00D64D5A"/>
    <w:rsid w:val="00D65B5C"/>
    <w:rsid w:val="00D65CD2"/>
    <w:rsid w:val="00D65D3D"/>
    <w:rsid w:val="00D65F0A"/>
    <w:rsid w:val="00D661C4"/>
    <w:rsid w:val="00D66425"/>
    <w:rsid w:val="00D66C27"/>
    <w:rsid w:val="00D66C5B"/>
    <w:rsid w:val="00D66E41"/>
    <w:rsid w:val="00D66FBA"/>
    <w:rsid w:val="00D66FD4"/>
    <w:rsid w:val="00D672F0"/>
    <w:rsid w:val="00D70839"/>
    <w:rsid w:val="00D70D22"/>
    <w:rsid w:val="00D70D8C"/>
    <w:rsid w:val="00D70EB3"/>
    <w:rsid w:val="00D7104B"/>
    <w:rsid w:val="00D71464"/>
    <w:rsid w:val="00D716CC"/>
    <w:rsid w:val="00D7181A"/>
    <w:rsid w:val="00D71A64"/>
    <w:rsid w:val="00D71AC7"/>
    <w:rsid w:val="00D72A79"/>
    <w:rsid w:val="00D7300D"/>
    <w:rsid w:val="00D73CD5"/>
    <w:rsid w:val="00D73F46"/>
    <w:rsid w:val="00D742E8"/>
    <w:rsid w:val="00D749E9"/>
    <w:rsid w:val="00D74BDC"/>
    <w:rsid w:val="00D74F03"/>
    <w:rsid w:val="00D754A4"/>
    <w:rsid w:val="00D754F0"/>
    <w:rsid w:val="00D758D3"/>
    <w:rsid w:val="00D75B00"/>
    <w:rsid w:val="00D7625D"/>
    <w:rsid w:val="00D769C6"/>
    <w:rsid w:val="00D76B71"/>
    <w:rsid w:val="00D76DA6"/>
    <w:rsid w:val="00D771A3"/>
    <w:rsid w:val="00D776FD"/>
    <w:rsid w:val="00D7777B"/>
    <w:rsid w:val="00D80153"/>
    <w:rsid w:val="00D803FC"/>
    <w:rsid w:val="00D8089D"/>
    <w:rsid w:val="00D8096B"/>
    <w:rsid w:val="00D80CDF"/>
    <w:rsid w:val="00D81011"/>
    <w:rsid w:val="00D816E6"/>
    <w:rsid w:val="00D81D3E"/>
    <w:rsid w:val="00D81E93"/>
    <w:rsid w:val="00D828BE"/>
    <w:rsid w:val="00D82926"/>
    <w:rsid w:val="00D82EA8"/>
    <w:rsid w:val="00D8318A"/>
    <w:rsid w:val="00D83422"/>
    <w:rsid w:val="00D83638"/>
    <w:rsid w:val="00D83671"/>
    <w:rsid w:val="00D836CD"/>
    <w:rsid w:val="00D8379B"/>
    <w:rsid w:val="00D83CB3"/>
    <w:rsid w:val="00D83EFB"/>
    <w:rsid w:val="00D84874"/>
    <w:rsid w:val="00D84A42"/>
    <w:rsid w:val="00D84A9B"/>
    <w:rsid w:val="00D855C7"/>
    <w:rsid w:val="00D85610"/>
    <w:rsid w:val="00D85D22"/>
    <w:rsid w:val="00D861CF"/>
    <w:rsid w:val="00D862A1"/>
    <w:rsid w:val="00D8648B"/>
    <w:rsid w:val="00D86694"/>
    <w:rsid w:val="00D87145"/>
    <w:rsid w:val="00D87CF9"/>
    <w:rsid w:val="00D90009"/>
    <w:rsid w:val="00D9023B"/>
    <w:rsid w:val="00D902FE"/>
    <w:rsid w:val="00D907E1"/>
    <w:rsid w:val="00D90EB4"/>
    <w:rsid w:val="00D90F3C"/>
    <w:rsid w:val="00D910CB"/>
    <w:rsid w:val="00D915B6"/>
    <w:rsid w:val="00D91F41"/>
    <w:rsid w:val="00D91FCE"/>
    <w:rsid w:val="00D920D3"/>
    <w:rsid w:val="00D9278D"/>
    <w:rsid w:val="00D92951"/>
    <w:rsid w:val="00D92A64"/>
    <w:rsid w:val="00D92B58"/>
    <w:rsid w:val="00D938A1"/>
    <w:rsid w:val="00D93C8E"/>
    <w:rsid w:val="00D93D40"/>
    <w:rsid w:val="00D94692"/>
    <w:rsid w:val="00D94B2D"/>
    <w:rsid w:val="00D94D03"/>
    <w:rsid w:val="00D94DCD"/>
    <w:rsid w:val="00D95019"/>
    <w:rsid w:val="00D95343"/>
    <w:rsid w:val="00D955F0"/>
    <w:rsid w:val="00D956B1"/>
    <w:rsid w:val="00D95BDD"/>
    <w:rsid w:val="00D965EF"/>
    <w:rsid w:val="00D966CA"/>
    <w:rsid w:val="00D9694A"/>
    <w:rsid w:val="00D96A6D"/>
    <w:rsid w:val="00D96A76"/>
    <w:rsid w:val="00D96D0B"/>
    <w:rsid w:val="00D96D1E"/>
    <w:rsid w:val="00D970CE"/>
    <w:rsid w:val="00D97C32"/>
    <w:rsid w:val="00D97F5C"/>
    <w:rsid w:val="00D97F5F"/>
    <w:rsid w:val="00DA0058"/>
    <w:rsid w:val="00DA0424"/>
    <w:rsid w:val="00DA0877"/>
    <w:rsid w:val="00DA0BEE"/>
    <w:rsid w:val="00DA0E31"/>
    <w:rsid w:val="00DA1186"/>
    <w:rsid w:val="00DA123F"/>
    <w:rsid w:val="00DA21CC"/>
    <w:rsid w:val="00DA261C"/>
    <w:rsid w:val="00DA2B3A"/>
    <w:rsid w:val="00DA2CD6"/>
    <w:rsid w:val="00DA2E62"/>
    <w:rsid w:val="00DA342D"/>
    <w:rsid w:val="00DA3BEA"/>
    <w:rsid w:val="00DA3F39"/>
    <w:rsid w:val="00DA3F4F"/>
    <w:rsid w:val="00DA475B"/>
    <w:rsid w:val="00DA4839"/>
    <w:rsid w:val="00DA4DFE"/>
    <w:rsid w:val="00DA51D2"/>
    <w:rsid w:val="00DA532A"/>
    <w:rsid w:val="00DA5405"/>
    <w:rsid w:val="00DA5DB7"/>
    <w:rsid w:val="00DA62E9"/>
    <w:rsid w:val="00DA6419"/>
    <w:rsid w:val="00DA65B9"/>
    <w:rsid w:val="00DA6926"/>
    <w:rsid w:val="00DA6C5B"/>
    <w:rsid w:val="00DA752F"/>
    <w:rsid w:val="00DA789A"/>
    <w:rsid w:val="00DA7DA5"/>
    <w:rsid w:val="00DA7FF0"/>
    <w:rsid w:val="00DB0C06"/>
    <w:rsid w:val="00DB114A"/>
    <w:rsid w:val="00DB1157"/>
    <w:rsid w:val="00DB1309"/>
    <w:rsid w:val="00DB1617"/>
    <w:rsid w:val="00DB17BA"/>
    <w:rsid w:val="00DB1AF0"/>
    <w:rsid w:val="00DB1D1E"/>
    <w:rsid w:val="00DB1F33"/>
    <w:rsid w:val="00DB243C"/>
    <w:rsid w:val="00DB2469"/>
    <w:rsid w:val="00DB2602"/>
    <w:rsid w:val="00DB2658"/>
    <w:rsid w:val="00DB2AE8"/>
    <w:rsid w:val="00DB2BE5"/>
    <w:rsid w:val="00DB2ED4"/>
    <w:rsid w:val="00DB3072"/>
    <w:rsid w:val="00DB3721"/>
    <w:rsid w:val="00DB391A"/>
    <w:rsid w:val="00DB3CDE"/>
    <w:rsid w:val="00DB4205"/>
    <w:rsid w:val="00DB4797"/>
    <w:rsid w:val="00DB4950"/>
    <w:rsid w:val="00DB4963"/>
    <w:rsid w:val="00DB5550"/>
    <w:rsid w:val="00DB5D63"/>
    <w:rsid w:val="00DB5D8E"/>
    <w:rsid w:val="00DB5E85"/>
    <w:rsid w:val="00DB5EE5"/>
    <w:rsid w:val="00DB600F"/>
    <w:rsid w:val="00DB62DB"/>
    <w:rsid w:val="00DB6A54"/>
    <w:rsid w:val="00DB6AC3"/>
    <w:rsid w:val="00DB7642"/>
    <w:rsid w:val="00DC027C"/>
    <w:rsid w:val="00DC03D9"/>
    <w:rsid w:val="00DC07FC"/>
    <w:rsid w:val="00DC09BA"/>
    <w:rsid w:val="00DC1368"/>
    <w:rsid w:val="00DC1466"/>
    <w:rsid w:val="00DC14C8"/>
    <w:rsid w:val="00DC1C01"/>
    <w:rsid w:val="00DC1CE2"/>
    <w:rsid w:val="00DC1E53"/>
    <w:rsid w:val="00DC21DD"/>
    <w:rsid w:val="00DC21E9"/>
    <w:rsid w:val="00DC299B"/>
    <w:rsid w:val="00DC2FF1"/>
    <w:rsid w:val="00DC3178"/>
    <w:rsid w:val="00DC3DF2"/>
    <w:rsid w:val="00DC3E69"/>
    <w:rsid w:val="00DC41A8"/>
    <w:rsid w:val="00DC508A"/>
    <w:rsid w:val="00DC5C5F"/>
    <w:rsid w:val="00DC5E45"/>
    <w:rsid w:val="00DC61D0"/>
    <w:rsid w:val="00DC64F4"/>
    <w:rsid w:val="00DC6796"/>
    <w:rsid w:val="00DC68A1"/>
    <w:rsid w:val="00DC69DC"/>
    <w:rsid w:val="00DC79FD"/>
    <w:rsid w:val="00DC7A10"/>
    <w:rsid w:val="00DC7AA5"/>
    <w:rsid w:val="00DC7F5B"/>
    <w:rsid w:val="00DD0296"/>
    <w:rsid w:val="00DD0479"/>
    <w:rsid w:val="00DD0E5D"/>
    <w:rsid w:val="00DD1039"/>
    <w:rsid w:val="00DD13FE"/>
    <w:rsid w:val="00DD190A"/>
    <w:rsid w:val="00DD19CF"/>
    <w:rsid w:val="00DD262A"/>
    <w:rsid w:val="00DD2928"/>
    <w:rsid w:val="00DD2959"/>
    <w:rsid w:val="00DD2DAE"/>
    <w:rsid w:val="00DD2E62"/>
    <w:rsid w:val="00DD3274"/>
    <w:rsid w:val="00DD3275"/>
    <w:rsid w:val="00DD3310"/>
    <w:rsid w:val="00DD3AB1"/>
    <w:rsid w:val="00DD416C"/>
    <w:rsid w:val="00DD421D"/>
    <w:rsid w:val="00DD4232"/>
    <w:rsid w:val="00DD477A"/>
    <w:rsid w:val="00DD4E91"/>
    <w:rsid w:val="00DD5899"/>
    <w:rsid w:val="00DD5C2E"/>
    <w:rsid w:val="00DD5E44"/>
    <w:rsid w:val="00DD60DB"/>
    <w:rsid w:val="00DD628E"/>
    <w:rsid w:val="00DD66F4"/>
    <w:rsid w:val="00DD671D"/>
    <w:rsid w:val="00DE0030"/>
    <w:rsid w:val="00DE0053"/>
    <w:rsid w:val="00DE01A8"/>
    <w:rsid w:val="00DE0A3A"/>
    <w:rsid w:val="00DE13E7"/>
    <w:rsid w:val="00DE1C10"/>
    <w:rsid w:val="00DE204D"/>
    <w:rsid w:val="00DE2471"/>
    <w:rsid w:val="00DE26C2"/>
    <w:rsid w:val="00DE2E67"/>
    <w:rsid w:val="00DE2ECA"/>
    <w:rsid w:val="00DE2FBF"/>
    <w:rsid w:val="00DE308C"/>
    <w:rsid w:val="00DE365D"/>
    <w:rsid w:val="00DE3708"/>
    <w:rsid w:val="00DE4083"/>
    <w:rsid w:val="00DE411A"/>
    <w:rsid w:val="00DE4534"/>
    <w:rsid w:val="00DE4A30"/>
    <w:rsid w:val="00DE4C9E"/>
    <w:rsid w:val="00DE4FC4"/>
    <w:rsid w:val="00DE4FD5"/>
    <w:rsid w:val="00DE5089"/>
    <w:rsid w:val="00DE56FE"/>
    <w:rsid w:val="00DE594A"/>
    <w:rsid w:val="00DE5A23"/>
    <w:rsid w:val="00DE5D1E"/>
    <w:rsid w:val="00DE5E1B"/>
    <w:rsid w:val="00DE67F4"/>
    <w:rsid w:val="00DE6990"/>
    <w:rsid w:val="00DE7992"/>
    <w:rsid w:val="00DE7B0F"/>
    <w:rsid w:val="00DE7EB5"/>
    <w:rsid w:val="00DF014D"/>
    <w:rsid w:val="00DF0220"/>
    <w:rsid w:val="00DF027E"/>
    <w:rsid w:val="00DF05D4"/>
    <w:rsid w:val="00DF0611"/>
    <w:rsid w:val="00DF08E6"/>
    <w:rsid w:val="00DF0C69"/>
    <w:rsid w:val="00DF125E"/>
    <w:rsid w:val="00DF15AA"/>
    <w:rsid w:val="00DF1CED"/>
    <w:rsid w:val="00DF204F"/>
    <w:rsid w:val="00DF26FF"/>
    <w:rsid w:val="00DF295E"/>
    <w:rsid w:val="00DF2A7C"/>
    <w:rsid w:val="00DF301F"/>
    <w:rsid w:val="00DF3534"/>
    <w:rsid w:val="00DF35B4"/>
    <w:rsid w:val="00DF37B5"/>
    <w:rsid w:val="00DF3881"/>
    <w:rsid w:val="00DF3AC6"/>
    <w:rsid w:val="00DF3C7F"/>
    <w:rsid w:val="00DF3D6B"/>
    <w:rsid w:val="00DF4003"/>
    <w:rsid w:val="00DF41A9"/>
    <w:rsid w:val="00DF433A"/>
    <w:rsid w:val="00DF45B1"/>
    <w:rsid w:val="00DF4630"/>
    <w:rsid w:val="00DF4A64"/>
    <w:rsid w:val="00DF4BE9"/>
    <w:rsid w:val="00DF63A7"/>
    <w:rsid w:val="00DF6416"/>
    <w:rsid w:val="00DF69A7"/>
    <w:rsid w:val="00DF69D4"/>
    <w:rsid w:val="00DF6B16"/>
    <w:rsid w:val="00DF72B3"/>
    <w:rsid w:val="00DF769B"/>
    <w:rsid w:val="00DF783A"/>
    <w:rsid w:val="00DF7FA9"/>
    <w:rsid w:val="00E003B4"/>
    <w:rsid w:val="00E00F0F"/>
    <w:rsid w:val="00E01581"/>
    <w:rsid w:val="00E01703"/>
    <w:rsid w:val="00E01A0A"/>
    <w:rsid w:val="00E0207E"/>
    <w:rsid w:val="00E025AC"/>
    <w:rsid w:val="00E027B5"/>
    <w:rsid w:val="00E0284F"/>
    <w:rsid w:val="00E02AEE"/>
    <w:rsid w:val="00E03087"/>
    <w:rsid w:val="00E03327"/>
    <w:rsid w:val="00E03E73"/>
    <w:rsid w:val="00E04471"/>
    <w:rsid w:val="00E04592"/>
    <w:rsid w:val="00E0460E"/>
    <w:rsid w:val="00E0467A"/>
    <w:rsid w:val="00E046AE"/>
    <w:rsid w:val="00E0505E"/>
    <w:rsid w:val="00E05489"/>
    <w:rsid w:val="00E05B30"/>
    <w:rsid w:val="00E05C24"/>
    <w:rsid w:val="00E05C69"/>
    <w:rsid w:val="00E05C8C"/>
    <w:rsid w:val="00E064EE"/>
    <w:rsid w:val="00E065A1"/>
    <w:rsid w:val="00E066E6"/>
    <w:rsid w:val="00E06715"/>
    <w:rsid w:val="00E067B1"/>
    <w:rsid w:val="00E06CB5"/>
    <w:rsid w:val="00E07367"/>
    <w:rsid w:val="00E07420"/>
    <w:rsid w:val="00E079D0"/>
    <w:rsid w:val="00E07C45"/>
    <w:rsid w:val="00E07CCE"/>
    <w:rsid w:val="00E10090"/>
    <w:rsid w:val="00E104C4"/>
    <w:rsid w:val="00E104D3"/>
    <w:rsid w:val="00E107A0"/>
    <w:rsid w:val="00E10CC6"/>
    <w:rsid w:val="00E10EAD"/>
    <w:rsid w:val="00E1126C"/>
    <w:rsid w:val="00E119D2"/>
    <w:rsid w:val="00E1204E"/>
    <w:rsid w:val="00E129EE"/>
    <w:rsid w:val="00E12A34"/>
    <w:rsid w:val="00E12B76"/>
    <w:rsid w:val="00E12C67"/>
    <w:rsid w:val="00E12F2B"/>
    <w:rsid w:val="00E13061"/>
    <w:rsid w:val="00E132CF"/>
    <w:rsid w:val="00E138F6"/>
    <w:rsid w:val="00E13C2D"/>
    <w:rsid w:val="00E14B15"/>
    <w:rsid w:val="00E14B35"/>
    <w:rsid w:val="00E14CA3"/>
    <w:rsid w:val="00E15273"/>
    <w:rsid w:val="00E15286"/>
    <w:rsid w:val="00E154DA"/>
    <w:rsid w:val="00E15F85"/>
    <w:rsid w:val="00E16372"/>
    <w:rsid w:val="00E16A36"/>
    <w:rsid w:val="00E16B61"/>
    <w:rsid w:val="00E17080"/>
    <w:rsid w:val="00E172E0"/>
    <w:rsid w:val="00E17544"/>
    <w:rsid w:val="00E17B10"/>
    <w:rsid w:val="00E17E8A"/>
    <w:rsid w:val="00E2004F"/>
    <w:rsid w:val="00E2026D"/>
    <w:rsid w:val="00E203A0"/>
    <w:rsid w:val="00E2096B"/>
    <w:rsid w:val="00E20A6B"/>
    <w:rsid w:val="00E212A6"/>
    <w:rsid w:val="00E2147F"/>
    <w:rsid w:val="00E214E2"/>
    <w:rsid w:val="00E21CA7"/>
    <w:rsid w:val="00E22026"/>
    <w:rsid w:val="00E222F4"/>
    <w:rsid w:val="00E2239D"/>
    <w:rsid w:val="00E239A2"/>
    <w:rsid w:val="00E23D06"/>
    <w:rsid w:val="00E242AC"/>
    <w:rsid w:val="00E24648"/>
    <w:rsid w:val="00E24739"/>
    <w:rsid w:val="00E249EA"/>
    <w:rsid w:val="00E24D7C"/>
    <w:rsid w:val="00E25045"/>
    <w:rsid w:val="00E257BC"/>
    <w:rsid w:val="00E25E07"/>
    <w:rsid w:val="00E264D2"/>
    <w:rsid w:val="00E2663F"/>
    <w:rsid w:val="00E26691"/>
    <w:rsid w:val="00E26ABF"/>
    <w:rsid w:val="00E26C20"/>
    <w:rsid w:val="00E2753C"/>
    <w:rsid w:val="00E3039E"/>
    <w:rsid w:val="00E30547"/>
    <w:rsid w:val="00E306BB"/>
    <w:rsid w:val="00E308B6"/>
    <w:rsid w:val="00E30960"/>
    <w:rsid w:val="00E31094"/>
    <w:rsid w:val="00E3114B"/>
    <w:rsid w:val="00E31B63"/>
    <w:rsid w:val="00E3226A"/>
    <w:rsid w:val="00E3277C"/>
    <w:rsid w:val="00E328D2"/>
    <w:rsid w:val="00E32949"/>
    <w:rsid w:val="00E32A55"/>
    <w:rsid w:val="00E34384"/>
    <w:rsid w:val="00E34A7B"/>
    <w:rsid w:val="00E34A88"/>
    <w:rsid w:val="00E34C5B"/>
    <w:rsid w:val="00E34DF4"/>
    <w:rsid w:val="00E35158"/>
    <w:rsid w:val="00E353CD"/>
    <w:rsid w:val="00E3548E"/>
    <w:rsid w:val="00E357D9"/>
    <w:rsid w:val="00E357F8"/>
    <w:rsid w:val="00E35A54"/>
    <w:rsid w:val="00E36148"/>
    <w:rsid w:val="00E365B0"/>
    <w:rsid w:val="00E36A08"/>
    <w:rsid w:val="00E36A37"/>
    <w:rsid w:val="00E36CFC"/>
    <w:rsid w:val="00E36F7D"/>
    <w:rsid w:val="00E36FBF"/>
    <w:rsid w:val="00E3725D"/>
    <w:rsid w:val="00E37454"/>
    <w:rsid w:val="00E37544"/>
    <w:rsid w:val="00E3767F"/>
    <w:rsid w:val="00E37A15"/>
    <w:rsid w:val="00E37C05"/>
    <w:rsid w:val="00E37C0E"/>
    <w:rsid w:val="00E40676"/>
    <w:rsid w:val="00E40849"/>
    <w:rsid w:val="00E40E39"/>
    <w:rsid w:val="00E41B07"/>
    <w:rsid w:val="00E41BE9"/>
    <w:rsid w:val="00E425BB"/>
    <w:rsid w:val="00E4299A"/>
    <w:rsid w:val="00E42B8A"/>
    <w:rsid w:val="00E42C3E"/>
    <w:rsid w:val="00E42F67"/>
    <w:rsid w:val="00E43012"/>
    <w:rsid w:val="00E436A6"/>
    <w:rsid w:val="00E43797"/>
    <w:rsid w:val="00E43CBD"/>
    <w:rsid w:val="00E4473E"/>
    <w:rsid w:val="00E45382"/>
    <w:rsid w:val="00E454AB"/>
    <w:rsid w:val="00E45598"/>
    <w:rsid w:val="00E457BA"/>
    <w:rsid w:val="00E45BA0"/>
    <w:rsid w:val="00E45E82"/>
    <w:rsid w:val="00E4615B"/>
    <w:rsid w:val="00E46968"/>
    <w:rsid w:val="00E46A0A"/>
    <w:rsid w:val="00E46B4F"/>
    <w:rsid w:val="00E46B52"/>
    <w:rsid w:val="00E46BD0"/>
    <w:rsid w:val="00E46FE3"/>
    <w:rsid w:val="00E47875"/>
    <w:rsid w:val="00E50698"/>
    <w:rsid w:val="00E512FA"/>
    <w:rsid w:val="00E51692"/>
    <w:rsid w:val="00E516E7"/>
    <w:rsid w:val="00E51BCE"/>
    <w:rsid w:val="00E5204A"/>
    <w:rsid w:val="00E521A8"/>
    <w:rsid w:val="00E5233D"/>
    <w:rsid w:val="00E523A4"/>
    <w:rsid w:val="00E52828"/>
    <w:rsid w:val="00E52A87"/>
    <w:rsid w:val="00E5320F"/>
    <w:rsid w:val="00E53325"/>
    <w:rsid w:val="00E535FC"/>
    <w:rsid w:val="00E53B47"/>
    <w:rsid w:val="00E5430D"/>
    <w:rsid w:val="00E545BC"/>
    <w:rsid w:val="00E54CA5"/>
    <w:rsid w:val="00E55067"/>
    <w:rsid w:val="00E552FC"/>
    <w:rsid w:val="00E55540"/>
    <w:rsid w:val="00E55814"/>
    <w:rsid w:val="00E55872"/>
    <w:rsid w:val="00E558ED"/>
    <w:rsid w:val="00E55C8A"/>
    <w:rsid w:val="00E5641B"/>
    <w:rsid w:val="00E5671A"/>
    <w:rsid w:val="00E56C55"/>
    <w:rsid w:val="00E56E3E"/>
    <w:rsid w:val="00E57057"/>
    <w:rsid w:val="00E57347"/>
    <w:rsid w:val="00E57BCB"/>
    <w:rsid w:val="00E57E5D"/>
    <w:rsid w:val="00E608F4"/>
    <w:rsid w:val="00E60B93"/>
    <w:rsid w:val="00E60C2F"/>
    <w:rsid w:val="00E60D26"/>
    <w:rsid w:val="00E60D7A"/>
    <w:rsid w:val="00E60DF7"/>
    <w:rsid w:val="00E60F2E"/>
    <w:rsid w:val="00E61B1A"/>
    <w:rsid w:val="00E61B3D"/>
    <w:rsid w:val="00E61CE5"/>
    <w:rsid w:val="00E61DAA"/>
    <w:rsid w:val="00E620D1"/>
    <w:rsid w:val="00E62645"/>
    <w:rsid w:val="00E62D01"/>
    <w:rsid w:val="00E63951"/>
    <w:rsid w:val="00E63A79"/>
    <w:rsid w:val="00E63C1F"/>
    <w:rsid w:val="00E63F99"/>
    <w:rsid w:val="00E6485C"/>
    <w:rsid w:val="00E649E4"/>
    <w:rsid w:val="00E64FD5"/>
    <w:rsid w:val="00E64FD7"/>
    <w:rsid w:val="00E6529D"/>
    <w:rsid w:val="00E652F6"/>
    <w:rsid w:val="00E65433"/>
    <w:rsid w:val="00E65B8F"/>
    <w:rsid w:val="00E65CE1"/>
    <w:rsid w:val="00E65E65"/>
    <w:rsid w:val="00E65E98"/>
    <w:rsid w:val="00E66280"/>
    <w:rsid w:val="00E66CE5"/>
    <w:rsid w:val="00E66F90"/>
    <w:rsid w:val="00E66FBC"/>
    <w:rsid w:val="00E6743E"/>
    <w:rsid w:val="00E676CC"/>
    <w:rsid w:val="00E6770A"/>
    <w:rsid w:val="00E67722"/>
    <w:rsid w:val="00E67AB7"/>
    <w:rsid w:val="00E70924"/>
    <w:rsid w:val="00E70C6F"/>
    <w:rsid w:val="00E713F0"/>
    <w:rsid w:val="00E714D1"/>
    <w:rsid w:val="00E7153D"/>
    <w:rsid w:val="00E71601"/>
    <w:rsid w:val="00E71921"/>
    <w:rsid w:val="00E71CAC"/>
    <w:rsid w:val="00E72353"/>
    <w:rsid w:val="00E7254F"/>
    <w:rsid w:val="00E7272F"/>
    <w:rsid w:val="00E727AF"/>
    <w:rsid w:val="00E72ACA"/>
    <w:rsid w:val="00E72C13"/>
    <w:rsid w:val="00E72F6E"/>
    <w:rsid w:val="00E730C9"/>
    <w:rsid w:val="00E73912"/>
    <w:rsid w:val="00E73BB0"/>
    <w:rsid w:val="00E74A23"/>
    <w:rsid w:val="00E757D0"/>
    <w:rsid w:val="00E75830"/>
    <w:rsid w:val="00E75A28"/>
    <w:rsid w:val="00E75C04"/>
    <w:rsid w:val="00E75FFE"/>
    <w:rsid w:val="00E7620C"/>
    <w:rsid w:val="00E763CA"/>
    <w:rsid w:val="00E76BAF"/>
    <w:rsid w:val="00E771A6"/>
    <w:rsid w:val="00E77A62"/>
    <w:rsid w:val="00E77FA9"/>
    <w:rsid w:val="00E802CA"/>
    <w:rsid w:val="00E80361"/>
    <w:rsid w:val="00E805E2"/>
    <w:rsid w:val="00E80785"/>
    <w:rsid w:val="00E80C43"/>
    <w:rsid w:val="00E81640"/>
    <w:rsid w:val="00E82397"/>
    <w:rsid w:val="00E824DC"/>
    <w:rsid w:val="00E825EE"/>
    <w:rsid w:val="00E830E5"/>
    <w:rsid w:val="00E83199"/>
    <w:rsid w:val="00E832C0"/>
    <w:rsid w:val="00E836C7"/>
    <w:rsid w:val="00E83DCC"/>
    <w:rsid w:val="00E83E8F"/>
    <w:rsid w:val="00E83F7A"/>
    <w:rsid w:val="00E840FA"/>
    <w:rsid w:val="00E84267"/>
    <w:rsid w:val="00E848BE"/>
    <w:rsid w:val="00E84AF3"/>
    <w:rsid w:val="00E84CB7"/>
    <w:rsid w:val="00E84CF1"/>
    <w:rsid w:val="00E8506B"/>
    <w:rsid w:val="00E8511A"/>
    <w:rsid w:val="00E853F8"/>
    <w:rsid w:val="00E856F4"/>
    <w:rsid w:val="00E85C49"/>
    <w:rsid w:val="00E85C83"/>
    <w:rsid w:val="00E85E4C"/>
    <w:rsid w:val="00E85FC5"/>
    <w:rsid w:val="00E86383"/>
    <w:rsid w:val="00E863C6"/>
    <w:rsid w:val="00E8679D"/>
    <w:rsid w:val="00E869BB"/>
    <w:rsid w:val="00E86A07"/>
    <w:rsid w:val="00E86B2A"/>
    <w:rsid w:val="00E8711B"/>
    <w:rsid w:val="00E87728"/>
    <w:rsid w:val="00E879A1"/>
    <w:rsid w:val="00E879C2"/>
    <w:rsid w:val="00E87D07"/>
    <w:rsid w:val="00E87E24"/>
    <w:rsid w:val="00E87F33"/>
    <w:rsid w:val="00E902CE"/>
    <w:rsid w:val="00E90345"/>
    <w:rsid w:val="00E90ABC"/>
    <w:rsid w:val="00E9132D"/>
    <w:rsid w:val="00E9147E"/>
    <w:rsid w:val="00E9214A"/>
    <w:rsid w:val="00E922B9"/>
    <w:rsid w:val="00E923C7"/>
    <w:rsid w:val="00E926A2"/>
    <w:rsid w:val="00E92C53"/>
    <w:rsid w:val="00E930DF"/>
    <w:rsid w:val="00E936CC"/>
    <w:rsid w:val="00E93A69"/>
    <w:rsid w:val="00E94067"/>
    <w:rsid w:val="00E94141"/>
    <w:rsid w:val="00E94990"/>
    <w:rsid w:val="00E94A0B"/>
    <w:rsid w:val="00E94CAD"/>
    <w:rsid w:val="00E9502D"/>
    <w:rsid w:val="00E95417"/>
    <w:rsid w:val="00E954D1"/>
    <w:rsid w:val="00E95BF6"/>
    <w:rsid w:val="00E95D8A"/>
    <w:rsid w:val="00E95E77"/>
    <w:rsid w:val="00E95EEC"/>
    <w:rsid w:val="00E964DB"/>
    <w:rsid w:val="00E96AB0"/>
    <w:rsid w:val="00E96E6C"/>
    <w:rsid w:val="00E97758"/>
    <w:rsid w:val="00E97795"/>
    <w:rsid w:val="00E97828"/>
    <w:rsid w:val="00E97C11"/>
    <w:rsid w:val="00EA003A"/>
    <w:rsid w:val="00EA019E"/>
    <w:rsid w:val="00EA0565"/>
    <w:rsid w:val="00EA08CA"/>
    <w:rsid w:val="00EA1689"/>
    <w:rsid w:val="00EA1896"/>
    <w:rsid w:val="00EA1DE7"/>
    <w:rsid w:val="00EA25E0"/>
    <w:rsid w:val="00EA26DF"/>
    <w:rsid w:val="00EA2C85"/>
    <w:rsid w:val="00EA370E"/>
    <w:rsid w:val="00EA3927"/>
    <w:rsid w:val="00EA3BF7"/>
    <w:rsid w:val="00EA3C67"/>
    <w:rsid w:val="00EA3E75"/>
    <w:rsid w:val="00EA4419"/>
    <w:rsid w:val="00EA488E"/>
    <w:rsid w:val="00EA516A"/>
    <w:rsid w:val="00EA52B9"/>
    <w:rsid w:val="00EA5777"/>
    <w:rsid w:val="00EA57F9"/>
    <w:rsid w:val="00EA61A0"/>
    <w:rsid w:val="00EA65FB"/>
    <w:rsid w:val="00EA67E3"/>
    <w:rsid w:val="00EA6B2A"/>
    <w:rsid w:val="00EA6FD9"/>
    <w:rsid w:val="00EA702E"/>
    <w:rsid w:val="00EA70EB"/>
    <w:rsid w:val="00EA76C3"/>
    <w:rsid w:val="00EA7BC5"/>
    <w:rsid w:val="00EA7E34"/>
    <w:rsid w:val="00EA7ECE"/>
    <w:rsid w:val="00EA7ED6"/>
    <w:rsid w:val="00EB02A6"/>
    <w:rsid w:val="00EB043F"/>
    <w:rsid w:val="00EB0651"/>
    <w:rsid w:val="00EB0BDD"/>
    <w:rsid w:val="00EB0E82"/>
    <w:rsid w:val="00EB108E"/>
    <w:rsid w:val="00EB1895"/>
    <w:rsid w:val="00EB1A46"/>
    <w:rsid w:val="00EB2155"/>
    <w:rsid w:val="00EB2B0C"/>
    <w:rsid w:val="00EB31CF"/>
    <w:rsid w:val="00EB34FB"/>
    <w:rsid w:val="00EB350A"/>
    <w:rsid w:val="00EB46B8"/>
    <w:rsid w:val="00EB4E0D"/>
    <w:rsid w:val="00EB4FDF"/>
    <w:rsid w:val="00EB534F"/>
    <w:rsid w:val="00EB59F9"/>
    <w:rsid w:val="00EB5B7B"/>
    <w:rsid w:val="00EB5B9C"/>
    <w:rsid w:val="00EB5D49"/>
    <w:rsid w:val="00EB5DBF"/>
    <w:rsid w:val="00EB5FB6"/>
    <w:rsid w:val="00EB6745"/>
    <w:rsid w:val="00EB6DDB"/>
    <w:rsid w:val="00EB6E05"/>
    <w:rsid w:val="00EB6ED7"/>
    <w:rsid w:val="00EC0E9D"/>
    <w:rsid w:val="00EC1B4F"/>
    <w:rsid w:val="00EC2226"/>
    <w:rsid w:val="00EC2901"/>
    <w:rsid w:val="00EC357F"/>
    <w:rsid w:val="00EC455B"/>
    <w:rsid w:val="00EC4973"/>
    <w:rsid w:val="00EC4B8E"/>
    <w:rsid w:val="00EC4F20"/>
    <w:rsid w:val="00EC536C"/>
    <w:rsid w:val="00EC57DB"/>
    <w:rsid w:val="00EC5868"/>
    <w:rsid w:val="00EC588E"/>
    <w:rsid w:val="00EC5EC1"/>
    <w:rsid w:val="00EC616D"/>
    <w:rsid w:val="00EC618C"/>
    <w:rsid w:val="00EC64D5"/>
    <w:rsid w:val="00EC793B"/>
    <w:rsid w:val="00EC7B82"/>
    <w:rsid w:val="00EC7F61"/>
    <w:rsid w:val="00ED01B0"/>
    <w:rsid w:val="00ED02D4"/>
    <w:rsid w:val="00ED0338"/>
    <w:rsid w:val="00ED0565"/>
    <w:rsid w:val="00ED0D0F"/>
    <w:rsid w:val="00ED0D15"/>
    <w:rsid w:val="00ED167D"/>
    <w:rsid w:val="00ED256A"/>
    <w:rsid w:val="00ED27F8"/>
    <w:rsid w:val="00ED283E"/>
    <w:rsid w:val="00ED2AF9"/>
    <w:rsid w:val="00ED2E6D"/>
    <w:rsid w:val="00ED3123"/>
    <w:rsid w:val="00ED3C18"/>
    <w:rsid w:val="00ED441B"/>
    <w:rsid w:val="00ED4569"/>
    <w:rsid w:val="00ED4931"/>
    <w:rsid w:val="00ED4A2C"/>
    <w:rsid w:val="00ED4F5F"/>
    <w:rsid w:val="00ED517A"/>
    <w:rsid w:val="00ED53FA"/>
    <w:rsid w:val="00ED5421"/>
    <w:rsid w:val="00ED5647"/>
    <w:rsid w:val="00ED59F3"/>
    <w:rsid w:val="00ED6581"/>
    <w:rsid w:val="00ED6898"/>
    <w:rsid w:val="00ED693F"/>
    <w:rsid w:val="00ED6E49"/>
    <w:rsid w:val="00EE027E"/>
    <w:rsid w:val="00EE04F4"/>
    <w:rsid w:val="00EE066F"/>
    <w:rsid w:val="00EE0795"/>
    <w:rsid w:val="00EE0A37"/>
    <w:rsid w:val="00EE1318"/>
    <w:rsid w:val="00EE1DFC"/>
    <w:rsid w:val="00EE1E0F"/>
    <w:rsid w:val="00EE23C1"/>
    <w:rsid w:val="00EE266A"/>
    <w:rsid w:val="00EE2A96"/>
    <w:rsid w:val="00EE2B23"/>
    <w:rsid w:val="00EE2B73"/>
    <w:rsid w:val="00EE2B95"/>
    <w:rsid w:val="00EE2BE4"/>
    <w:rsid w:val="00EE337C"/>
    <w:rsid w:val="00EE360F"/>
    <w:rsid w:val="00EE3946"/>
    <w:rsid w:val="00EE39B6"/>
    <w:rsid w:val="00EE3C10"/>
    <w:rsid w:val="00EE3F3C"/>
    <w:rsid w:val="00EE43E5"/>
    <w:rsid w:val="00EE46AA"/>
    <w:rsid w:val="00EE4726"/>
    <w:rsid w:val="00EE48B5"/>
    <w:rsid w:val="00EE4BE7"/>
    <w:rsid w:val="00EE52A5"/>
    <w:rsid w:val="00EE5695"/>
    <w:rsid w:val="00EE5730"/>
    <w:rsid w:val="00EE5D97"/>
    <w:rsid w:val="00EE610E"/>
    <w:rsid w:val="00EE656E"/>
    <w:rsid w:val="00EE67CA"/>
    <w:rsid w:val="00EE6B70"/>
    <w:rsid w:val="00EE6B7F"/>
    <w:rsid w:val="00EE6E0A"/>
    <w:rsid w:val="00EE7627"/>
    <w:rsid w:val="00EE7AC6"/>
    <w:rsid w:val="00EF0068"/>
    <w:rsid w:val="00EF0084"/>
    <w:rsid w:val="00EF0AE0"/>
    <w:rsid w:val="00EF0BD0"/>
    <w:rsid w:val="00EF0BD4"/>
    <w:rsid w:val="00EF0F04"/>
    <w:rsid w:val="00EF11EC"/>
    <w:rsid w:val="00EF13E9"/>
    <w:rsid w:val="00EF19B8"/>
    <w:rsid w:val="00EF1AB7"/>
    <w:rsid w:val="00EF1CC4"/>
    <w:rsid w:val="00EF2223"/>
    <w:rsid w:val="00EF26BB"/>
    <w:rsid w:val="00EF2A20"/>
    <w:rsid w:val="00EF2C90"/>
    <w:rsid w:val="00EF2C96"/>
    <w:rsid w:val="00EF30FD"/>
    <w:rsid w:val="00EF3494"/>
    <w:rsid w:val="00EF34E4"/>
    <w:rsid w:val="00EF3732"/>
    <w:rsid w:val="00EF392D"/>
    <w:rsid w:val="00EF39F0"/>
    <w:rsid w:val="00EF3A53"/>
    <w:rsid w:val="00EF4686"/>
    <w:rsid w:val="00EF48A1"/>
    <w:rsid w:val="00EF4F44"/>
    <w:rsid w:val="00EF59E2"/>
    <w:rsid w:val="00EF5CE8"/>
    <w:rsid w:val="00EF5CFE"/>
    <w:rsid w:val="00EF5D43"/>
    <w:rsid w:val="00EF600B"/>
    <w:rsid w:val="00EF630F"/>
    <w:rsid w:val="00EF6E3E"/>
    <w:rsid w:val="00EF7108"/>
    <w:rsid w:val="00EF725F"/>
    <w:rsid w:val="00EF7634"/>
    <w:rsid w:val="00EF76DF"/>
    <w:rsid w:val="00EF776C"/>
    <w:rsid w:val="00EF7892"/>
    <w:rsid w:val="00EF789B"/>
    <w:rsid w:val="00EF7984"/>
    <w:rsid w:val="00EF7A5A"/>
    <w:rsid w:val="00EF7C68"/>
    <w:rsid w:val="00EF7C81"/>
    <w:rsid w:val="00EF7E69"/>
    <w:rsid w:val="00EF7F87"/>
    <w:rsid w:val="00EF7FDF"/>
    <w:rsid w:val="00EF7FFB"/>
    <w:rsid w:val="00F000DB"/>
    <w:rsid w:val="00F00281"/>
    <w:rsid w:val="00F0070E"/>
    <w:rsid w:val="00F00A66"/>
    <w:rsid w:val="00F00D35"/>
    <w:rsid w:val="00F00DCD"/>
    <w:rsid w:val="00F0161A"/>
    <w:rsid w:val="00F01968"/>
    <w:rsid w:val="00F01A05"/>
    <w:rsid w:val="00F01C90"/>
    <w:rsid w:val="00F022FC"/>
    <w:rsid w:val="00F02414"/>
    <w:rsid w:val="00F02643"/>
    <w:rsid w:val="00F02E43"/>
    <w:rsid w:val="00F0301B"/>
    <w:rsid w:val="00F033D7"/>
    <w:rsid w:val="00F034F4"/>
    <w:rsid w:val="00F036A3"/>
    <w:rsid w:val="00F03791"/>
    <w:rsid w:val="00F03AC8"/>
    <w:rsid w:val="00F03F0B"/>
    <w:rsid w:val="00F04BA9"/>
    <w:rsid w:val="00F04D89"/>
    <w:rsid w:val="00F04F2D"/>
    <w:rsid w:val="00F04F45"/>
    <w:rsid w:val="00F051DE"/>
    <w:rsid w:val="00F0575D"/>
    <w:rsid w:val="00F059E5"/>
    <w:rsid w:val="00F05E66"/>
    <w:rsid w:val="00F060D8"/>
    <w:rsid w:val="00F0638E"/>
    <w:rsid w:val="00F063D6"/>
    <w:rsid w:val="00F065CD"/>
    <w:rsid w:val="00F067A2"/>
    <w:rsid w:val="00F06A6E"/>
    <w:rsid w:val="00F06A70"/>
    <w:rsid w:val="00F06C2D"/>
    <w:rsid w:val="00F06D1F"/>
    <w:rsid w:val="00F06DB3"/>
    <w:rsid w:val="00F06F6A"/>
    <w:rsid w:val="00F074D2"/>
    <w:rsid w:val="00F07F32"/>
    <w:rsid w:val="00F07F95"/>
    <w:rsid w:val="00F1010E"/>
    <w:rsid w:val="00F10162"/>
    <w:rsid w:val="00F104CD"/>
    <w:rsid w:val="00F1068B"/>
    <w:rsid w:val="00F10FA9"/>
    <w:rsid w:val="00F12105"/>
    <w:rsid w:val="00F12377"/>
    <w:rsid w:val="00F123A4"/>
    <w:rsid w:val="00F124E9"/>
    <w:rsid w:val="00F12B2C"/>
    <w:rsid w:val="00F12C55"/>
    <w:rsid w:val="00F12D89"/>
    <w:rsid w:val="00F1346C"/>
    <w:rsid w:val="00F13771"/>
    <w:rsid w:val="00F13E3D"/>
    <w:rsid w:val="00F14037"/>
    <w:rsid w:val="00F1407E"/>
    <w:rsid w:val="00F1440D"/>
    <w:rsid w:val="00F1449B"/>
    <w:rsid w:val="00F148A5"/>
    <w:rsid w:val="00F14D55"/>
    <w:rsid w:val="00F14F7D"/>
    <w:rsid w:val="00F15701"/>
    <w:rsid w:val="00F15813"/>
    <w:rsid w:val="00F16523"/>
    <w:rsid w:val="00F167F8"/>
    <w:rsid w:val="00F16896"/>
    <w:rsid w:val="00F16903"/>
    <w:rsid w:val="00F1693B"/>
    <w:rsid w:val="00F16A9B"/>
    <w:rsid w:val="00F16A9E"/>
    <w:rsid w:val="00F203F2"/>
    <w:rsid w:val="00F20562"/>
    <w:rsid w:val="00F206E1"/>
    <w:rsid w:val="00F208F1"/>
    <w:rsid w:val="00F20BCF"/>
    <w:rsid w:val="00F218C9"/>
    <w:rsid w:val="00F219D7"/>
    <w:rsid w:val="00F21D2E"/>
    <w:rsid w:val="00F21D39"/>
    <w:rsid w:val="00F221C0"/>
    <w:rsid w:val="00F22209"/>
    <w:rsid w:val="00F22E10"/>
    <w:rsid w:val="00F22FF7"/>
    <w:rsid w:val="00F2351D"/>
    <w:rsid w:val="00F235DE"/>
    <w:rsid w:val="00F240E9"/>
    <w:rsid w:val="00F24303"/>
    <w:rsid w:val="00F2458E"/>
    <w:rsid w:val="00F24764"/>
    <w:rsid w:val="00F24DF7"/>
    <w:rsid w:val="00F2500E"/>
    <w:rsid w:val="00F2526A"/>
    <w:rsid w:val="00F252AA"/>
    <w:rsid w:val="00F25540"/>
    <w:rsid w:val="00F258D8"/>
    <w:rsid w:val="00F262E3"/>
    <w:rsid w:val="00F2656A"/>
    <w:rsid w:val="00F2666A"/>
    <w:rsid w:val="00F26BD2"/>
    <w:rsid w:val="00F26BE1"/>
    <w:rsid w:val="00F26D40"/>
    <w:rsid w:val="00F2709C"/>
    <w:rsid w:val="00F273A6"/>
    <w:rsid w:val="00F27631"/>
    <w:rsid w:val="00F27718"/>
    <w:rsid w:val="00F278B7"/>
    <w:rsid w:val="00F27C82"/>
    <w:rsid w:val="00F27F63"/>
    <w:rsid w:val="00F30028"/>
    <w:rsid w:val="00F304C8"/>
    <w:rsid w:val="00F306CE"/>
    <w:rsid w:val="00F30E02"/>
    <w:rsid w:val="00F30E5E"/>
    <w:rsid w:val="00F30E73"/>
    <w:rsid w:val="00F30F0A"/>
    <w:rsid w:val="00F31018"/>
    <w:rsid w:val="00F310B9"/>
    <w:rsid w:val="00F31627"/>
    <w:rsid w:val="00F31AF7"/>
    <w:rsid w:val="00F324CE"/>
    <w:rsid w:val="00F327B9"/>
    <w:rsid w:val="00F327D2"/>
    <w:rsid w:val="00F32918"/>
    <w:rsid w:val="00F32C69"/>
    <w:rsid w:val="00F32DAA"/>
    <w:rsid w:val="00F3301B"/>
    <w:rsid w:val="00F33232"/>
    <w:rsid w:val="00F335C9"/>
    <w:rsid w:val="00F33669"/>
    <w:rsid w:val="00F33826"/>
    <w:rsid w:val="00F33C3C"/>
    <w:rsid w:val="00F33E02"/>
    <w:rsid w:val="00F33E57"/>
    <w:rsid w:val="00F34175"/>
    <w:rsid w:val="00F344A1"/>
    <w:rsid w:val="00F348B5"/>
    <w:rsid w:val="00F34AD6"/>
    <w:rsid w:val="00F353FC"/>
    <w:rsid w:val="00F35E62"/>
    <w:rsid w:val="00F3639B"/>
    <w:rsid w:val="00F36865"/>
    <w:rsid w:val="00F368E6"/>
    <w:rsid w:val="00F371EF"/>
    <w:rsid w:val="00F37677"/>
    <w:rsid w:val="00F376CF"/>
    <w:rsid w:val="00F37828"/>
    <w:rsid w:val="00F37E1B"/>
    <w:rsid w:val="00F37E6F"/>
    <w:rsid w:val="00F408DA"/>
    <w:rsid w:val="00F40958"/>
    <w:rsid w:val="00F41289"/>
    <w:rsid w:val="00F41887"/>
    <w:rsid w:val="00F4196E"/>
    <w:rsid w:val="00F41AFD"/>
    <w:rsid w:val="00F41EC1"/>
    <w:rsid w:val="00F41FE3"/>
    <w:rsid w:val="00F42768"/>
    <w:rsid w:val="00F42AFB"/>
    <w:rsid w:val="00F439F1"/>
    <w:rsid w:val="00F44073"/>
    <w:rsid w:val="00F4433F"/>
    <w:rsid w:val="00F444C4"/>
    <w:rsid w:val="00F4476C"/>
    <w:rsid w:val="00F45484"/>
    <w:rsid w:val="00F458D1"/>
    <w:rsid w:val="00F461EE"/>
    <w:rsid w:val="00F4635C"/>
    <w:rsid w:val="00F463C8"/>
    <w:rsid w:val="00F46CA1"/>
    <w:rsid w:val="00F46CF5"/>
    <w:rsid w:val="00F46FB5"/>
    <w:rsid w:val="00F47231"/>
    <w:rsid w:val="00F47322"/>
    <w:rsid w:val="00F476CE"/>
    <w:rsid w:val="00F47BE3"/>
    <w:rsid w:val="00F505AE"/>
    <w:rsid w:val="00F50743"/>
    <w:rsid w:val="00F50822"/>
    <w:rsid w:val="00F50BBB"/>
    <w:rsid w:val="00F50E1A"/>
    <w:rsid w:val="00F51379"/>
    <w:rsid w:val="00F513B3"/>
    <w:rsid w:val="00F514AC"/>
    <w:rsid w:val="00F515CB"/>
    <w:rsid w:val="00F517E0"/>
    <w:rsid w:val="00F51BBC"/>
    <w:rsid w:val="00F51DDB"/>
    <w:rsid w:val="00F51E76"/>
    <w:rsid w:val="00F520D4"/>
    <w:rsid w:val="00F52190"/>
    <w:rsid w:val="00F52552"/>
    <w:rsid w:val="00F52798"/>
    <w:rsid w:val="00F52D7E"/>
    <w:rsid w:val="00F52FA8"/>
    <w:rsid w:val="00F533B5"/>
    <w:rsid w:val="00F5365F"/>
    <w:rsid w:val="00F53A65"/>
    <w:rsid w:val="00F543B9"/>
    <w:rsid w:val="00F54C63"/>
    <w:rsid w:val="00F54E9F"/>
    <w:rsid w:val="00F558D4"/>
    <w:rsid w:val="00F56104"/>
    <w:rsid w:val="00F564DB"/>
    <w:rsid w:val="00F565BD"/>
    <w:rsid w:val="00F5692C"/>
    <w:rsid w:val="00F569B1"/>
    <w:rsid w:val="00F56EB5"/>
    <w:rsid w:val="00F56FDF"/>
    <w:rsid w:val="00F57160"/>
    <w:rsid w:val="00F57779"/>
    <w:rsid w:val="00F57FB2"/>
    <w:rsid w:val="00F60070"/>
    <w:rsid w:val="00F60792"/>
    <w:rsid w:val="00F60A02"/>
    <w:rsid w:val="00F60AD7"/>
    <w:rsid w:val="00F60D80"/>
    <w:rsid w:val="00F615D9"/>
    <w:rsid w:val="00F618A9"/>
    <w:rsid w:val="00F61B4F"/>
    <w:rsid w:val="00F61F0B"/>
    <w:rsid w:val="00F61FB8"/>
    <w:rsid w:val="00F62242"/>
    <w:rsid w:val="00F628D4"/>
    <w:rsid w:val="00F62944"/>
    <w:rsid w:val="00F62D98"/>
    <w:rsid w:val="00F6399E"/>
    <w:rsid w:val="00F63BC0"/>
    <w:rsid w:val="00F64054"/>
    <w:rsid w:val="00F643D0"/>
    <w:rsid w:val="00F64617"/>
    <w:rsid w:val="00F647F6"/>
    <w:rsid w:val="00F64E1E"/>
    <w:rsid w:val="00F65006"/>
    <w:rsid w:val="00F65546"/>
    <w:rsid w:val="00F659E6"/>
    <w:rsid w:val="00F65A2D"/>
    <w:rsid w:val="00F65CBE"/>
    <w:rsid w:val="00F6627C"/>
    <w:rsid w:val="00F66493"/>
    <w:rsid w:val="00F665FA"/>
    <w:rsid w:val="00F666C2"/>
    <w:rsid w:val="00F66977"/>
    <w:rsid w:val="00F66A91"/>
    <w:rsid w:val="00F66CB2"/>
    <w:rsid w:val="00F66EF6"/>
    <w:rsid w:val="00F672EB"/>
    <w:rsid w:val="00F67A5D"/>
    <w:rsid w:val="00F708AD"/>
    <w:rsid w:val="00F70B55"/>
    <w:rsid w:val="00F71180"/>
    <w:rsid w:val="00F71232"/>
    <w:rsid w:val="00F7139B"/>
    <w:rsid w:val="00F71716"/>
    <w:rsid w:val="00F71A00"/>
    <w:rsid w:val="00F71C75"/>
    <w:rsid w:val="00F71CF0"/>
    <w:rsid w:val="00F72355"/>
    <w:rsid w:val="00F72ACB"/>
    <w:rsid w:val="00F72CB9"/>
    <w:rsid w:val="00F73002"/>
    <w:rsid w:val="00F73081"/>
    <w:rsid w:val="00F7310F"/>
    <w:rsid w:val="00F739D8"/>
    <w:rsid w:val="00F73A1E"/>
    <w:rsid w:val="00F73C1F"/>
    <w:rsid w:val="00F73C93"/>
    <w:rsid w:val="00F7401E"/>
    <w:rsid w:val="00F741F9"/>
    <w:rsid w:val="00F74238"/>
    <w:rsid w:val="00F74454"/>
    <w:rsid w:val="00F74546"/>
    <w:rsid w:val="00F74563"/>
    <w:rsid w:val="00F745E6"/>
    <w:rsid w:val="00F747AD"/>
    <w:rsid w:val="00F74A85"/>
    <w:rsid w:val="00F75434"/>
    <w:rsid w:val="00F75653"/>
    <w:rsid w:val="00F756A0"/>
    <w:rsid w:val="00F75CA2"/>
    <w:rsid w:val="00F7611E"/>
    <w:rsid w:val="00F76525"/>
    <w:rsid w:val="00F7668B"/>
    <w:rsid w:val="00F767B4"/>
    <w:rsid w:val="00F76D2C"/>
    <w:rsid w:val="00F76DF8"/>
    <w:rsid w:val="00F77156"/>
    <w:rsid w:val="00F77607"/>
    <w:rsid w:val="00F7788C"/>
    <w:rsid w:val="00F77A95"/>
    <w:rsid w:val="00F77B0E"/>
    <w:rsid w:val="00F77EB4"/>
    <w:rsid w:val="00F808D6"/>
    <w:rsid w:val="00F8098D"/>
    <w:rsid w:val="00F8192C"/>
    <w:rsid w:val="00F82156"/>
    <w:rsid w:val="00F82857"/>
    <w:rsid w:val="00F82DC2"/>
    <w:rsid w:val="00F82EA3"/>
    <w:rsid w:val="00F832A2"/>
    <w:rsid w:val="00F843BF"/>
    <w:rsid w:val="00F84439"/>
    <w:rsid w:val="00F84461"/>
    <w:rsid w:val="00F84869"/>
    <w:rsid w:val="00F850AF"/>
    <w:rsid w:val="00F852C6"/>
    <w:rsid w:val="00F85440"/>
    <w:rsid w:val="00F8596B"/>
    <w:rsid w:val="00F85D9C"/>
    <w:rsid w:val="00F86225"/>
    <w:rsid w:val="00F86506"/>
    <w:rsid w:val="00F865A1"/>
    <w:rsid w:val="00F867E2"/>
    <w:rsid w:val="00F86985"/>
    <w:rsid w:val="00F86FE3"/>
    <w:rsid w:val="00F87339"/>
    <w:rsid w:val="00F87BD0"/>
    <w:rsid w:val="00F87CC3"/>
    <w:rsid w:val="00F907BB"/>
    <w:rsid w:val="00F90C1D"/>
    <w:rsid w:val="00F90DFC"/>
    <w:rsid w:val="00F90E0D"/>
    <w:rsid w:val="00F911CF"/>
    <w:rsid w:val="00F9197B"/>
    <w:rsid w:val="00F91A7C"/>
    <w:rsid w:val="00F91B85"/>
    <w:rsid w:val="00F91D5B"/>
    <w:rsid w:val="00F91E7B"/>
    <w:rsid w:val="00F9268D"/>
    <w:rsid w:val="00F92887"/>
    <w:rsid w:val="00F92E5C"/>
    <w:rsid w:val="00F933A6"/>
    <w:rsid w:val="00F938AF"/>
    <w:rsid w:val="00F9452D"/>
    <w:rsid w:val="00F949B2"/>
    <w:rsid w:val="00F94D7D"/>
    <w:rsid w:val="00F94EA8"/>
    <w:rsid w:val="00F95C03"/>
    <w:rsid w:val="00F95DEF"/>
    <w:rsid w:val="00F962D0"/>
    <w:rsid w:val="00F96334"/>
    <w:rsid w:val="00F963D3"/>
    <w:rsid w:val="00F96B1A"/>
    <w:rsid w:val="00F96DF0"/>
    <w:rsid w:val="00F96E25"/>
    <w:rsid w:val="00F96F20"/>
    <w:rsid w:val="00F97255"/>
    <w:rsid w:val="00F9725B"/>
    <w:rsid w:val="00F97D50"/>
    <w:rsid w:val="00F97FD2"/>
    <w:rsid w:val="00FA0418"/>
    <w:rsid w:val="00FA0845"/>
    <w:rsid w:val="00FA0A26"/>
    <w:rsid w:val="00FA0CBB"/>
    <w:rsid w:val="00FA17D8"/>
    <w:rsid w:val="00FA1890"/>
    <w:rsid w:val="00FA1EA3"/>
    <w:rsid w:val="00FA1EA4"/>
    <w:rsid w:val="00FA2B34"/>
    <w:rsid w:val="00FA2C07"/>
    <w:rsid w:val="00FA32CA"/>
    <w:rsid w:val="00FA35EA"/>
    <w:rsid w:val="00FA38F1"/>
    <w:rsid w:val="00FA39EB"/>
    <w:rsid w:val="00FA3A6F"/>
    <w:rsid w:val="00FA3EFC"/>
    <w:rsid w:val="00FA41B3"/>
    <w:rsid w:val="00FA44E8"/>
    <w:rsid w:val="00FA48BA"/>
    <w:rsid w:val="00FA4D0E"/>
    <w:rsid w:val="00FA5078"/>
    <w:rsid w:val="00FA5481"/>
    <w:rsid w:val="00FA55FD"/>
    <w:rsid w:val="00FA5BAA"/>
    <w:rsid w:val="00FA63E5"/>
    <w:rsid w:val="00FA647C"/>
    <w:rsid w:val="00FA648E"/>
    <w:rsid w:val="00FA649E"/>
    <w:rsid w:val="00FA690D"/>
    <w:rsid w:val="00FA6B0A"/>
    <w:rsid w:val="00FA6B63"/>
    <w:rsid w:val="00FA7037"/>
    <w:rsid w:val="00FA7691"/>
    <w:rsid w:val="00FB0136"/>
    <w:rsid w:val="00FB0185"/>
    <w:rsid w:val="00FB023B"/>
    <w:rsid w:val="00FB033C"/>
    <w:rsid w:val="00FB03CD"/>
    <w:rsid w:val="00FB04E9"/>
    <w:rsid w:val="00FB0563"/>
    <w:rsid w:val="00FB07D8"/>
    <w:rsid w:val="00FB08F7"/>
    <w:rsid w:val="00FB0B94"/>
    <w:rsid w:val="00FB1139"/>
    <w:rsid w:val="00FB1741"/>
    <w:rsid w:val="00FB1AEC"/>
    <w:rsid w:val="00FB1ED1"/>
    <w:rsid w:val="00FB238C"/>
    <w:rsid w:val="00FB2617"/>
    <w:rsid w:val="00FB2632"/>
    <w:rsid w:val="00FB283B"/>
    <w:rsid w:val="00FB2971"/>
    <w:rsid w:val="00FB2D23"/>
    <w:rsid w:val="00FB31BD"/>
    <w:rsid w:val="00FB32C6"/>
    <w:rsid w:val="00FB337A"/>
    <w:rsid w:val="00FB3AD1"/>
    <w:rsid w:val="00FB4768"/>
    <w:rsid w:val="00FB4A75"/>
    <w:rsid w:val="00FB5563"/>
    <w:rsid w:val="00FB604B"/>
    <w:rsid w:val="00FB6621"/>
    <w:rsid w:val="00FB6790"/>
    <w:rsid w:val="00FB6916"/>
    <w:rsid w:val="00FB7320"/>
    <w:rsid w:val="00FB741B"/>
    <w:rsid w:val="00FB7618"/>
    <w:rsid w:val="00FB776B"/>
    <w:rsid w:val="00FB7827"/>
    <w:rsid w:val="00FB7832"/>
    <w:rsid w:val="00FB7875"/>
    <w:rsid w:val="00FB7A92"/>
    <w:rsid w:val="00FB7CB4"/>
    <w:rsid w:val="00FC01B7"/>
    <w:rsid w:val="00FC0738"/>
    <w:rsid w:val="00FC0827"/>
    <w:rsid w:val="00FC08D0"/>
    <w:rsid w:val="00FC0F2A"/>
    <w:rsid w:val="00FC1160"/>
    <w:rsid w:val="00FC11AC"/>
    <w:rsid w:val="00FC18B6"/>
    <w:rsid w:val="00FC1C7A"/>
    <w:rsid w:val="00FC1D3A"/>
    <w:rsid w:val="00FC1F10"/>
    <w:rsid w:val="00FC21F3"/>
    <w:rsid w:val="00FC23EE"/>
    <w:rsid w:val="00FC247E"/>
    <w:rsid w:val="00FC2B71"/>
    <w:rsid w:val="00FC2B95"/>
    <w:rsid w:val="00FC2BDC"/>
    <w:rsid w:val="00FC2EAD"/>
    <w:rsid w:val="00FC317C"/>
    <w:rsid w:val="00FC324E"/>
    <w:rsid w:val="00FC32CA"/>
    <w:rsid w:val="00FC33B0"/>
    <w:rsid w:val="00FC38E5"/>
    <w:rsid w:val="00FC3BDB"/>
    <w:rsid w:val="00FC474C"/>
    <w:rsid w:val="00FC48E3"/>
    <w:rsid w:val="00FC4979"/>
    <w:rsid w:val="00FC4D7D"/>
    <w:rsid w:val="00FC4F5D"/>
    <w:rsid w:val="00FC52C1"/>
    <w:rsid w:val="00FC5513"/>
    <w:rsid w:val="00FC58CF"/>
    <w:rsid w:val="00FC5C8B"/>
    <w:rsid w:val="00FC5DD5"/>
    <w:rsid w:val="00FC6055"/>
    <w:rsid w:val="00FC6169"/>
    <w:rsid w:val="00FC618D"/>
    <w:rsid w:val="00FC6296"/>
    <w:rsid w:val="00FC677F"/>
    <w:rsid w:val="00FC6C9E"/>
    <w:rsid w:val="00FC6FC5"/>
    <w:rsid w:val="00FC719A"/>
    <w:rsid w:val="00FC7280"/>
    <w:rsid w:val="00FC7533"/>
    <w:rsid w:val="00FC75A6"/>
    <w:rsid w:val="00FC78B3"/>
    <w:rsid w:val="00FC791D"/>
    <w:rsid w:val="00FD005E"/>
    <w:rsid w:val="00FD01E9"/>
    <w:rsid w:val="00FD0297"/>
    <w:rsid w:val="00FD06CC"/>
    <w:rsid w:val="00FD09A3"/>
    <w:rsid w:val="00FD0CF6"/>
    <w:rsid w:val="00FD0D40"/>
    <w:rsid w:val="00FD0D57"/>
    <w:rsid w:val="00FD0F7C"/>
    <w:rsid w:val="00FD1238"/>
    <w:rsid w:val="00FD1730"/>
    <w:rsid w:val="00FD1A3E"/>
    <w:rsid w:val="00FD1AC2"/>
    <w:rsid w:val="00FD1B33"/>
    <w:rsid w:val="00FD243C"/>
    <w:rsid w:val="00FD25E7"/>
    <w:rsid w:val="00FD2B1B"/>
    <w:rsid w:val="00FD2DA7"/>
    <w:rsid w:val="00FD2EDE"/>
    <w:rsid w:val="00FD3B14"/>
    <w:rsid w:val="00FD3C15"/>
    <w:rsid w:val="00FD40EB"/>
    <w:rsid w:val="00FD437A"/>
    <w:rsid w:val="00FD4573"/>
    <w:rsid w:val="00FD4FAC"/>
    <w:rsid w:val="00FD5053"/>
    <w:rsid w:val="00FD5080"/>
    <w:rsid w:val="00FD511D"/>
    <w:rsid w:val="00FD54C4"/>
    <w:rsid w:val="00FD58BA"/>
    <w:rsid w:val="00FD5A13"/>
    <w:rsid w:val="00FD5C2C"/>
    <w:rsid w:val="00FD5FB7"/>
    <w:rsid w:val="00FD62F3"/>
    <w:rsid w:val="00FD680B"/>
    <w:rsid w:val="00FD6D8D"/>
    <w:rsid w:val="00FD6F4B"/>
    <w:rsid w:val="00FD7BE8"/>
    <w:rsid w:val="00FD7DD2"/>
    <w:rsid w:val="00FE00D5"/>
    <w:rsid w:val="00FE0428"/>
    <w:rsid w:val="00FE058B"/>
    <w:rsid w:val="00FE08E0"/>
    <w:rsid w:val="00FE09DD"/>
    <w:rsid w:val="00FE0CAD"/>
    <w:rsid w:val="00FE0F84"/>
    <w:rsid w:val="00FE12C5"/>
    <w:rsid w:val="00FE1582"/>
    <w:rsid w:val="00FE15BF"/>
    <w:rsid w:val="00FE1763"/>
    <w:rsid w:val="00FE22B6"/>
    <w:rsid w:val="00FE29AD"/>
    <w:rsid w:val="00FE2D9D"/>
    <w:rsid w:val="00FE2F1F"/>
    <w:rsid w:val="00FE329E"/>
    <w:rsid w:val="00FE341F"/>
    <w:rsid w:val="00FE347D"/>
    <w:rsid w:val="00FE3482"/>
    <w:rsid w:val="00FE3B86"/>
    <w:rsid w:val="00FE3D65"/>
    <w:rsid w:val="00FE42C7"/>
    <w:rsid w:val="00FE46AB"/>
    <w:rsid w:val="00FE47DB"/>
    <w:rsid w:val="00FE4834"/>
    <w:rsid w:val="00FE49B3"/>
    <w:rsid w:val="00FE51D7"/>
    <w:rsid w:val="00FE54A3"/>
    <w:rsid w:val="00FE6088"/>
    <w:rsid w:val="00FE60DE"/>
    <w:rsid w:val="00FE636B"/>
    <w:rsid w:val="00FE63E6"/>
    <w:rsid w:val="00FE64C9"/>
    <w:rsid w:val="00FE6544"/>
    <w:rsid w:val="00FE660E"/>
    <w:rsid w:val="00FE6744"/>
    <w:rsid w:val="00FE6A8B"/>
    <w:rsid w:val="00FE6EF2"/>
    <w:rsid w:val="00FE7D1E"/>
    <w:rsid w:val="00FF00CE"/>
    <w:rsid w:val="00FF0178"/>
    <w:rsid w:val="00FF01BB"/>
    <w:rsid w:val="00FF0BDD"/>
    <w:rsid w:val="00FF0DB2"/>
    <w:rsid w:val="00FF0F8B"/>
    <w:rsid w:val="00FF1086"/>
    <w:rsid w:val="00FF15B9"/>
    <w:rsid w:val="00FF16F6"/>
    <w:rsid w:val="00FF240B"/>
    <w:rsid w:val="00FF2B22"/>
    <w:rsid w:val="00FF2F78"/>
    <w:rsid w:val="00FF30C9"/>
    <w:rsid w:val="00FF328B"/>
    <w:rsid w:val="00FF3DEB"/>
    <w:rsid w:val="00FF4127"/>
    <w:rsid w:val="00FF4632"/>
    <w:rsid w:val="00FF4AD1"/>
    <w:rsid w:val="00FF4AD7"/>
    <w:rsid w:val="00FF4ED5"/>
    <w:rsid w:val="00FF5322"/>
    <w:rsid w:val="00FF53AE"/>
    <w:rsid w:val="00FF5E67"/>
    <w:rsid w:val="00FF603A"/>
    <w:rsid w:val="00FF6732"/>
    <w:rsid w:val="00FF69AA"/>
    <w:rsid w:val="00FF6CF2"/>
    <w:rsid w:val="00FF72FC"/>
    <w:rsid w:val="00FF7629"/>
    <w:rsid w:val="00FF767E"/>
    <w:rsid w:val="00FF774E"/>
    <w:rsid w:val="00FF7B0E"/>
    <w:rsid w:val="00FF7CB9"/>
    <w:rsid w:val="00FF7CD8"/>
    <w:rsid w:val="012E25FA"/>
    <w:rsid w:val="013CAAC9"/>
    <w:rsid w:val="015EFED4"/>
    <w:rsid w:val="01D31A0B"/>
    <w:rsid w:val="022EF145"/>
    <w:rsid w:val="0246DDF9"/>
    <w:rsid w:val="0247F276"/>
    <w:rsid w:val="02858397"/>
    <w:rsid w:val="02872A87"/>
    <w:rsid w:val="02974A25"/>
    <w:rsid w:val="02A14BA4"/>
    <w:rsid w:val="030DED9E"/>
    <w:rsid w:val="0359A928"/>
    <w:rsid w:val="035C6848"/>
    <w:rsid w:val="037759A9"/>
    <w:rsid w:val="037F10F7"/>
    <w:rsid w:val="03893B4F"/>
    <w:rsid w:val="03A15C99"/>
    <w:rsid w:val="03A8191B"/>
    <w:rsid w:val="03ACA5C1"/>
    <w:rsid w:val="03CB39C8"/>
    <w:rsid w:val="03EFE59F"/>
    <w:rsid w:val="0404CE22"/>
    <w:rsid w:val="0409EA2F"/>
    <w:rsid w:val="041E209D"/>
    <w:rsid w:val="043F5BEF"/>
    <w:rsid w:val="046D46F7"/>
    <w:rsid w:val="04A94D7C"/>
    <w:rsid w:val="052DA4F2"/>
    <w:rsid w:val="057D7FCE"/>
    <w:rsid w:val="06327C0E"/>
    <w:rsid w:val="063AEE5F"/>
    <w:rsid w:val="065145D8"/>
    <w:rsid w:val="06AA4D1C"/>
    <w:rsid w:val="06EE0D30"/>
    <w:rsid w:val="06F98801"/>
    <w:rsid w:val="07117151"/>
    <w:rsid w:val="0728578B"/>
    <w:rsid w:val="0744F609"/>
    <w:rsid w:val="0771F38B"/>
    <w:rsid w:val="077C9A5A"/>
    <w:rsid w:val="078C0D13"/>
    <w:rsid w:val="07B47144"/>
    <w:rsid w:val="07B6EA7A"/>
    <w:rsid w:val="07CF16B8"/>
    <w:rsid w:val="0841291D"/>
    <w:rsid w:val="08A9044A"/>
    <w:rsid w:val="08B089B7"/>
    <w:rsid w:val="08CE4D1C"/>
    <w:rsid w:val="08FF2A2E"/>
    <w:rsid w:val="09331C16"/>
    <w:rsid w:val="094BCA6F"/>
    <w:rsid w:val="09605233"/>
    <w:rsid w:val="099C1929"/>
    <w:rsid w:val="09B11572"/>
    <w:rsid w:val="09B3BAF7"/>
    <w:rsid w:val="09D31B85"/>
    <w:rsid w:val="09D7D868"/>
    <w:rsid w:val="09F55F97"/>
    <w:rsid w:val="0A228A15"/>
    <w:rsid w:val="0A448780"/>
    <w:rsid w:val="0A63FD10"/>
    <w:rsid w:val="0A8118C0"/>
    <w:rsid w:val="0ADA9B11"/>
    <w:rsid w:val="0AEDF3C4"/>
    <w:rsid w:val="0B054C2A"/>
    <w:rsid w:val="0B2FEB89"/>
    <w:rsid w:val="0B383665"/>
    <w:rsid w:val="0B440DB7"/>
    <w:rsid w:val="0B4CB5D2"/>
    <w:rsid w:val="0B5F8CA7"/>
    <w:rsid w:val="0B9C7648"/>
    <w:rsid w:val="0BB24493"/>
    <w:rsid w:val="0BCAC714"/>
    <w:rsid w:val="0C5250DD"/>
    <w:rsid w:val="0C7D4304"/>
    <w:rsid w:val="0C8AE0C2"/>
    <w:rsid w:val="0C8D7C51"/>
    <w:rsid w:val="0CA1EC9D"/>
    <w:rsid w:val="0CA6CCA3"/>
    <w:rsid w:val="0CE7D311"/>
    <w:rsid w:val="0CFFFB27"/>
    <w:rsid w:val="0D0EB434"/>
    <w:rsid w:val="0D34BE48"/>
    <w:rsid w:val="0DC19108"/>
    <w:rsid w:val="0DFB52C2"/>
    <w:rsid w:val="0E31E4CF"/>
    <w:rsid w:val="0E82D3D0"/>
    <w:rsid w:val="0EEF5C23"/>
    <w:rsid w:val="0F0D77A4"/>
    <w:rsid w:val="0F12D8E6"/>
    <w:rsid w:val="0F5D0153"/>
    <w:rsid w:val="0F6F6483"/>
    <w:rsid w:val="0FDE0CEF"/>
    <w:rsid w:val="0FF3968C"/>
    <w:rsid w:val="1022952A"/>
    <w:rsid w:val="103B68BE"/>
    <w:rsid w:val="104719EC"/>
    <w:rsid w:val="1053731B"/>
    <w:rsid w:val="109AEDD2"/>
    <w:rsid w:val="10B1885F"/>
    <w:rsid w:val="11395CB6"/>
    <w:rsid w:val="11994FD1"/>
    <w:rsid w:val="11C72236"/>
    <w:rsid w:val="11C8EC0D"/>
    <w:rsid w:val="124134B1"/>
    <w:rsid w:val="1249C929"/>
    <w:rsid w:val="124E9084"/>
    <w:rsid w:val="125DA650"/>
    <w:rsid w:val="1296BA3E"/>
    <w:rsid w:val="12DA0BD5"/>
    <w:rsid w:val="13146019"/>
    <w:rsid w:val="1315FEE4"/>
    <w:rsid w:val="13374157"/>
    <w:rsid w:val="13487F19"/>
    <w:rsid w:val="134F7F1C"/>
    <w:rsid w:val="139924C7"/>
    <w:rsid w:val="139AED34"/>
    <w:rsid w:val="13C00B00"/>
    <w:rsid w:val="142872DC"/>
    <w:rsid w:val="144C5223"/>
    <w:rsid w:val="14D6D2C0"/>
    <w:rsid w:val="1505B037"/>
    <w:rsid w:val="151EF420"/>
    <w:rsid w:val="15669657"/>
    <w:rsid w:val="15CD72B9"/>
    <w:rsid w:val="15EF8543"/>
    <w:rsid w:val="16093B35"/>
    <w:rsid w:val="162FAA4C"/>
    <w:rsid w:val="16458A9B"/>
    <w:rsid w:val="166FFC80"/>
    <w:rsid w:val="167CC097"/>
    <w:rsid w:val="168AB1E8"/>
    <w:rsid w:val="16D140A1"/>
    <w:rsid w:val="16F83002"/>
    <w:rsid w:val="170324B8"/>
    <w:rsid w:val="176DED40"/>
    <w:rsid w:val="17751D9E"/>
    <w:rsid w:val="179C5F3D"/>
    <w:rsid w:val="17A2A441"/>
    <w:rsid w:val="17D14BD0"/>
    <w:rsid w:val="17D504E3"/>
    <w:rsid w:val="17DB5985"/>
    <w:rsid w:val="1845F668"/>
    <w:rsid w:val="1867CFBF"/>
    <w:rsid w:val="18983ED0"/>
    <w:rsid w:val="18A3B145"/>
    <w:rsid w:val="18BFA0B6"/>
    <w:rsid w:val="193670C1"/>
    <w:rsid w:val="19A95D6E"/>
    <w:rsid w:val="19D1CC47"/>
    <w:rsid w:val="19FE04A6"/>
    <w:rsid w:val="1A050CCF"/>
    <w:rsid w:val="1A2A6765"/>
    <w:rsid w:val="1A58B4BC"/>
    <w:rsid w:val="1A6097E5"/>
    <w:rsid w:val="1A9A0FB0"/>
    <w:rsid w:val="1ACDF72C"/>
    <w:rsid w:val="1AFC04BB"/>
    <w:rsid w:val="1B240B9B"/>
    <w:rsid w:val="1B4665EA"/>
    <w:rsid w:val="1B8F720C"/>
    <w:rsid w:val="1B933002"/>
    <w:rsid w:val="1BE311D7"/>
    <w:rsid w:val="1C1DC79D"/>
    <w:rsid w:val="1C22F471"/>
    <w:rsid w:val="1C5250C9"/>
    <w:rsid w:val="1C6596D2"/>
    <w:rsid w:val="1C6AB6D4"/>
    <w:rsid w:val="1C77D3CC"/>
    <w:rsid w:val="1CB1D982"/>
    <w:rsid w:val="1CB8D287"/>
    <w:rsid w:val="1CDD64A5"/>
    <w:rsid w:val="1CE47D8B"/>
    <w:rsid w:val="1D0BF4F0"/>
    <w:rsid w:val="1D0E3954"/>
    <w:rsid w:val="1D35A36F"/>
    <w:rsid w:val="1DBD71BB"/>
    <w:rsid w:val="1DBF1359"/>
    <w:rsid w:val="1DBF42FB"/>
    <w:rsid w:val="1DF4E13D"/>
    <w:rsid w:val="1E17BD6C"/>
    <w:rsid w:val="1E394B0B"/>
    <w:rsid w:val="1E55226A"/>
    <w:rsid w:val="1E6F62BC"/>
    <w:rsid w:val="1E762E5B"/>
    <w:rsid w:val="1E770E31"/>
    <w:rsid w:val="1E7BFE5E"/>
    <w:rsid w:val="1EB913B6"/>
    <w:rsid w:val="1F21A29D"/>
    <w:rsid w:val="1F6BFCF5"/>
    <w:rsid w:val="1F73251D"/>
    <w:rsid w:val="1F95C69B"/>
    <w:rsid w:val="1FBAD35C"/>
    <w:rsid w:val="20028CD9"/>
    <w:rsid w:val="2027B5CA"/>
    <w:rsid w:val="2056E2A4"/>
    <w:rsid w:val="207363FB"/>
    <w:rsid w:val="20C64643"/>
    <w:rsid w:val="20CA109D"/>
    <w:rsid w:val="20CC1941"/>
    <w:rsid w:val="20FC4BB0"/>
    <w:rsid w:val="212B5D66"/>
    <w:rsid w:val="212CDA8F"/>
    <w:rsid w:val="215100A9"/>
    <w:rsid w:val="215C4DD0"/>
    <w:rsid w:val="21CBA355"/>
    <w:rsid w:val="220E2695"/>
    <w:rsid w:val="2232C970"/>
    <w:rsid w:val="22507946"/>
    <w:rsid w:val="225F1C39"/>
    <w:rsid w:val="225FE583"/>
    <w:rsid w:val="22D90487"/>
    <w:rsid w:val="22E3BEF5"/>
    <w:rsid w:val="23185A93"/>
    <w:rsid w:val="23239228"/>
    <w:rsid w:val="235989BD"/>
    <w:rsid w:val="23628EB6"/>
    <w:rsid w:val="23C6B9F6"/>
    <w:rsid w:val="244A6B8A"/>
    <w:rsid w:val="247F84F5"/>
    <w:rsid w:val="24D53FB1"/>
    <w:rsid w:val="25110A91"/>
    <w:rsid w:val="25379127"/>
    <w:rsid w:val="2571E142"/>
    <w:rsid w:val="26007131"/>
    <w:rsid w:val="2622BCC8"/>
    <w:rsid w:val="26309BD6"/>
    <w:rsid w:val="2662FE21"/>
    <w:rsid w:val="266B1E8E"/>
    <w:rsid w:val="26AC41AF"/>
    <w:rsid w:val="26C909E7"/>
    <w:rsid w:val="277CB23B"/>
    <w:rsid w:val="27ABD963"/>
    <w:rsid w:val="27B725B7"/>
    <w:rsid w:val="27F91F00"/>
    <w:rsid w:val="2817426D"/>
    <w:rsid w:val="2871F9F5"/>
    <w:rsid w:val="28804908"/>
    <w:rsid w:val="2894E645"/>
    <w:rsid w:val="2899D1B1"/>
    <w:rsid w:val="28A1C671"/>
    <w:rsid w:val="28C9AD0E"/>
    <w:rsid w:val="291BF1F4"/>
    <w:rsid w:val="293DEEEB"/>
    <w:rsid w:val="296C1E75"/>
    <w:rsid w:val="298EF6AE"/>
    <w:rsid w:val="29D4EDD8"/>
    <w:rsid w:val="29E4AF94"/>
    <w:rsid w:val="2A36C72C"/>
    <w:rsid w:val="2A59D32A"/>
    <w:rsid w:val="2A755BC4"/>
    <w:rsid w:val="2A7B88E6"/>
    <w:rsid w:val="2B039E98"/>
    <w:rsid w:val="2B0F32D9"/>
    <w:rsid w:val="2B142554"/>
    <w:rsid w:val="2B416E2E"/>
    <w:rsid w:val="2B761893"/>
    <w:rsid w:val="2B8F29D9"/>
    <w:rsid w:val="2B9C8838"/>
    <w:rsid w:val="2BA72F7B"/>
    <w:rsid w:val="2BAA71E0"/>
    <w:rsid w:val="2BE6DB50"/>
    <w:rsid w:val="2BECFFEA"/>
    <w:rsid w:val="2BF2AA8C"/>
    <w:rsid w:val="2C913B3E"/>
    <w:rsid w:val="2C957024"/>
    <w:rsid w:val="2C9C2D96"/>
    <w:rsid w:val="2CA93EC2"/>
    <w:rsid w:val="2CC01A0B"/>
    <w:rsid w:val="2D14EDB5"/>
    <w:rsid w:val="2D297426"/>
    <w:rsid w:val="2D649DD5"/>
    <w:rsid w:val="2D6837B1"/>
    <w:rsid w:val="2D81A432"/>
    <w:rsid w:val="2DA3D4DE"/>
    <w:rsid w:val="2DD4E1B2"/>
    <w:rsid w:val="2DDD43B6"/>
    <w:rsid w:val="2DEF49B6"/>
    <w:rsid w:val="2E057C08"/>
    <w:rsid w:val="2E182011"/>
    <w:rsid w:val="2E392E0B"/>
    <w:rsid w:val="2E77B75A"/>
    <w:rsid w:val="2EC7A866"/>
    <w:rsid w:val="2F410FD2"/>
    <w:rsid w:val="2F6CD969"/>
    <w:rsid w:val="2FA6A174"/>
    <w:rsid w:val="2FB737F0"/>
    <w:rsid w:val="2FDB5FF9"/>
    <w:rsid w:val="2FF90170"/>
    <w:rsid w:val="300B6446"/>
    <w:rsid w:val="3039E918"/>
    <w:rsid w:val="30417BDE"/>
    <w:rsid w:val="3125414F"/>
    <w:rsid w:val="3170278D"/>
    <w:rsid w:val="31BCAA95"/>
    <w:rsid w:val="31D83FF5"/>
    <w:rsid w:val="31F1492A"/>
    <w:rsid w:val="323BF726"/>
    <w:rsid w:val="32A3F546"/>
    <w:rsid w:val="32AE0D7A"/>
    <w:rsid w:val="3316C74D"/>
    <w:rsid w:val="332B21C6"/>
    <w:rsid w:val="332D2292"/>
    <w:rsid w:val="333695BF"/>
    <w:rsid w:val="337B334C"/>
    <w:rsid w:val="339824F0"/>
    <w:rsid w:val="33AFC13D"/>
    <w:rsid w:val="33E7C254"/>
    <w:rsid w:val="3431D811"/>
    <w:rsid w:val="344B7F33"/>
    <w:rsid w:val="34ED51D2"/>
    <w:rsid w:val="34F86DD8"/>
    <w:rsid w:val="35363F80"/>
    <w:rsid w:val="355330CD"/>
    <w:rsid w:val="3579E317"/>
    <w:rsid w:val="3586F8E2"/>
    <w:rsid w:val="35C09011"/>
    <w:rsid w:val="35C1EFAF"/>
    <w:rsid w:val="365FA699"/>
    <w:rsid w:val="366CA466"/>
    <w:rsid w:val="36DD8359"/>
    <w:rsid w:val="36E0C1A5"/>
    <w:rsid w:val="3713E70A"/>
    <w:rsid w:val="373F19F8"/>
    <w:rsid w:val="3775C021"/>
    <w:rsid w:val="37924DE2"/>
    <w:rsid w:val="37997508"/>
    <w:rsid w:val="37C1A4C8"/>
    <w:rsid w:val="37C98733"/>
    <w:rsid w:val="382667D6"/>
    <w:rsid w:val="384038AE"/>
    <w:rsid w:val="384FCA73"/>
    <w:rsid w:val="38593912"/>
    <w:rsid w:val="386B9613"/>
    <w:rsid w:val="38AFB76B"/>
    <w:rsid w:val="38B08ECC"/>
    <w:rsid w:val="38D6B8EA"/>
    <w:rsid w:val="38E52781"/>
    <w:rsid w:val="38E7EEB2"/>
    <w:rsid w:val="38F88B89"/>
    <w:rsid w:val="3906DE95"/>
    <w:rsid w:val="39140A60"/>
    <w:rsid w:val="3932B845"/>
    <w:rsid w:val="3938D769"/>
    <w:rsid w:val="395695E9"/>
    <w:rsid w:val="3981C053"/>
    <w:rsid w:val="39857FDC"/>
    <w:rsid w:val="399E5CC5"/>
    <w:rsid w:val="39ADD9F3"/>
    <w:rsid w:val="39C085FB"/>
    <w:rsid w:val="39D9ACC6"/>
    <w:rsid w:val="3A076674"/>
    <w:rsid w:val="3A6E7C26"/>
    <w:rsid w:val="3A82E72F"/>
    <w:rsid w:val="3A8B408A"/>
    <w:rsid w:val="3ACDC10F"/>
    <w:rsid w:val="3ACDD17A"/>
    <w:rsid w:val="3AF80EFF"/>
    <w:rsid w:val="3B4E55A3"/>
    <w:rsid w:val="3B66C469"/>
    <w:rsid w:val="3B707F96"/>
    <w:rsid w:val="3B8451AE"/>
    <w:rsid w:val="3BA1C8A7"/>
    <w:rsid w:val="3C165990"/>
    <w:rsid w:val="3C2F4E11"/>
    <w:rsid w:val="3C343C2A"/>
    <w:rsid w:val="3C4FC29A"/>
    <w:rsid w:val="3C8CB9F5"/>
    <w:rsid w:val="3C909F3E"/>
    <w:rsid w:val="3CD733D7"/>
    <w:rsid w:val="3CDB2889"/>
    <w:rsid w:val="3D13BFD4"/>
    <w:rsid w:val="3D5FE262"/>
    <w:rsid w:val="3D7CE133"/>
    <w:rsid w:val="3DEDAD5F"/>
    <w:rsid w:val="3DF9827C"/>
    <w:rsid w:val="3E0C7AE2"/>
    <w:rsid w:val="3E117116"/>
    <w:rsid w:val="3E33AD4D"/>
    <w:rsid w:val="3E994EB7"/>
    <w:rsid w:val="3E9A7CAC"/>
    <w:rsid w:val="3F0719B4"/>
    <w:rsid w:val="3F1AA5A2"/>
    <w:rsid w:val="3F7B9694"/>
    <w:rsid w:val="3F888E83"/>
    <w:rsid w:val="3F8EC363"/>
    <w:rsid w:val="3FBE26E6"/>
    <w:rsid w:val="402C45EA"/>
    <w:rsid w:val="40401085"/>
    <w:rsid w:val="4068CC70"/>
    <w:rsid w:val="4087B976"/>
    <w:rsid w:val="40E3DCC3"/>
    <w:rsid w:val="40E5FC28"/>
    <w:rsid w:val="410E9A75"/>
    <w:rsid w:val="41C8D77F"/>
    <w:rsid w:val="41D8A2D1"/>
    <w:rsid w:val="41EDE47F"/>
    <w:rsid w:val="41EE0A54"/>
    <w:rsid w:val="41F9CD5D"/>
    <w:rsid w:val="4201B033"/>
    <w:rsid w:val="420326B7"/>
    <w:rsid w:val="4214C1BC"/>
    <w:rsid w:val="421796AA"/>
    <w:rsid w:val="421FEAB2"/>
    <w:rsid w:val="42299479"/>
    <w:rsid w:val="423E79BC"/>
    <w:rsid w:val="427CF811"/>
    <w:rsid w:val="428DA061"/>
    <w:rsid w:val="42AE75EF"/>
    <w:rsid w:val="430C532B"/>
    <w:rsid w:val="43189873"/>
    <w:rsid w:val="433789A4"/>
    <w:rsid w:val="4379CBD1"/>
    <w:rsid w:val="43B38C0D"/>
    <w:rsid w:val="43C440B0"/>
    <w:rsid w:val="440A7B37"/>
    <w:rsid w:val="445604AC"/>
    <w:rsid w:val="44623486"/>
    <w:rsid w:val="44655C05"/>
    <w:rsid w:val="44747A33"/>
    <w:rsid w:val="44808206"/>
    <w:rsid w:val="44A56AFC"/>
    <w:rsid w:val="44BCFB92"/>
    <w:rsid w:val="44CA11C7"/>
    <w:rsid w:val="44F0F853"/>
    <w:rsid w:val="4501BBBD"/>
    <w:rsid w:val="452D5D52"/>
    <w:rsid w:val="457C0673"/>
    <w:rsid w:val="457F8F9F"/>
    <w:rsid w:val="45B4ECE8"/>
    <w:rsid w:val="45B80A6F"/>
    <w:rsid w:val="45DCB39C"/>
    <w:rsid w:val="45FEFBBE"/>
    <w:rsid w:val="463CB544"/>
    <w:rsid w:val="4673965F"/>
    <w:rsid w:val="4678EB1E"/>
    <w:rsid w:val="4680AB5D"/>
    <w:rsid w:val="46B03BA1"/>
    <w:rsid w:val="46B24BA2"/>
    <w:rsid w:val="46D2CC82"/>
    <w:rsid w:val="46DEE2F4"/>
    <w:rsid w:val="46F1775E"/>
    <w:rsid w:val="474BC550"/>
    <w:rsid w:val="47540BBB"/>
    <w:rsid w:val="4765EB8B"/>
    <w:rsid w:val="47B8297E"/>
    <w:rsid w:val="47C2B7D3"/>
    <w:rsid w:val="47C830E9"/>
    <w:rsid w:val="47F76B73"/>
    <w:rsid w:val="48395C7F"/>
    <w:rsid w:val="483DEA2B"/>
    <w:rsid w:val="486CB071"/>
    <w:rsid w:val="4885192C"/>
    <w:rsid w:val="4893DB17"/>
    <w:rsid w:val="489452E1"/>
    <w:rsid w:val="490A54DE"/>
    <w:rsid w:val="49289EA6"/>
    <w:rsid w:val="4935FFE2"/>
    <w:rsid w:val="494DCDFF"/>
    <w:rsid w:val="4953DEC3"/>
    <w:rsid w:val="4955924A"/>
    <w:rsid w:val="49DC04AC"/>
    <w:rsid w:val="4A0852B9"/>
    <w:rsid w:val="4A0EC59B"/>
    <w:rsid w:val="4A6AA006"/>
    <w:rsid w:val="4A6EF5F8"/>
    <w:rsid w:val="4A7B295B"/>
    <w:rsid w:val="4A89AA2F"/>
    <w:rsid w:val="4AA8B61D"/>
    <w:rsid w:val="4AB3F9C8"/>
    <w:rsid w:val="4AC2EBE8"/>
    <w:rsid w:val="4AD2FD50"/>
    <w:rsid w:val="4AD7F53A"/>
    <w:rsid w:val="4AE782EF"/>
    <w:rsid w:val="4AF824D4"/>
    <w:rsid w:val="4B00B0FD"/>
    <w:rsid w:val="4B106FE4"/>
    <w:rsid w:val="4B32EC6E"/>
    <w:rsid w:val="4B4F7306"/>
    <w:rsid w:val="4BA2B6AA"/>
    <w:rsid w:val="4BA4231A"/>
    <w:rsid w:val="4BE2F20E"/>
    <w:rsid w:val="4C056CE5"/>
    <w:rsid w:val="4CBA0220"/>
    <w:rsid w:val="4CF9E24B"/>
    <w:rsid w:val="4D7E55A8"/>
    <w:rsid w:val="4D7EF50B"/>
    <w:rsid w:val="4D927B3A"/>
    <w:rsid w:val="4D9A4CDA"/>
    <w:rsid w:val="4DB7585D"/>
    <w:rsid w:val="4DB9CADB"/>
    <w:rsid w:val="4DBCCE50"/>
    <w:rsid w:val="4DC78AFF"/>
    <w:rsid w:val="4E01A29C"/>
    <w:rsid w:val="4E27ACB5"/>
    <w:rsid w:val="4E3D4762"/>
    <w:rsid w:val="4E53F8D3"/>
    <w:rsid w:val="4E7B6A9C"/>
    <w:rsid w:val="4EA730B4"/>
    <w:rsid w:val="4EACC973"/>
    <w:rsid w:val="4ED26536"/>
    <w:rsid w:val="4EEB4683"/>
    <w:rsid w:val="4F5F70C3"/>
    <w:rsid w:val="4F8B7E3D"/>
    <w:rsid w:val="500F720F"/>
    <w:rsid w:val="50167D8A"/>
    <w:rsid w:val="501EC8EF"/>
    <w:rsid w:val="502B7CCB"/>
    <w:rsid w:val="507EF03A"/>
    <w:rsid w:val="508A8D8A"/>
    <w:rsid w:val="50F3B4F7"/>
    <w:rsid w:val="50F7DC7A"/>
    <w:rsid w:val="514BABD3"/>
    <w:rsid w:val="5163CC9C"/>
    <w:rsid w:val="51997A9B"/>
    <w:rsid w:val="51E57A05"/>
    <w:rsid w:val="51E76C57"/>
    <w:rsid w:val="51F3A900"/>
    <w:rsid w:val="520FAD0A"/>
    <w:rsid w:val="522BE93A"/>
    <w:rsid w:val="522D2A33"/>
    <w:rsid w:val="522D3F19"/>
    <w:rsid w:val="523FD301"/>
    <w:rsid w:val="5267C8F7"/>
    <w:rsid w:val="52BCA0E5"/>
    <w:rsid w:val="5308D0F9"/>
    <w:rsid w:val="531A8C3E"/>
    <w:rsid w:val="5360B07C"/>
    <w:rsid w:val="53A9BEE1"/>
    <w:rsid w:val="53A9BF74"/>
    <w:rsid w:val="53D8D065"/>
    <w:rsid w:val="53EE368F"/>
    <w:rsid w:val="543D976F"/>
    <w:rsid w:val="544D9848"/>
    <w:rsid w:val="54661C2E"/>
    <w:rsid w:val="546EA892"/>
    <w:rsid w:val="548EBD14"/>
    <w:rsid w:val="54A2275D"/>
    <w:rsid w:val="54DB8B7A"/>
    <w:rsid w:val="551DFD2D"/>
    <w:rsid w:val="55425BF1"/>
    <w:rsid w:val="555F04FA"/>
    <w:rsid w:val="558E0D2D"/>
    <w:rsid w:val="5604017E"/>
    <w:rsid w:val="5617D048"/>
    <w:rsid w:val="5617FB0B"/>
    <w:rsid w:val="5640C490"/>
    <w:rsid w:val="56555B57"/>
    <w:rsid w:val="5665D076"/>
    <w:rsid w:val="5687BA67"/>
    <w:rsid w:val="56A3C995"/>
    <w:rsid w:val="56BE9E3F"/>
    <w:rsid w:val="56DB9A6E"/>
    <w:rsid w:val="57372697"/>
    <w:rsid w:val="57837FE7"/>
    <w:rsid w:val="57AEEE76"/>
    <w:rsid w:val="5801A0D7"/>
    <w:rsid w:val="58310013"/>
    <w:rsid w:val="58395A72"/>
    <w:rsid w:val="585221E6"/>
    <w:rsid w:val="585D22C2"/>
    <w:rsid w:val="58818F85"/>
    <w:rsid w:val="588F3F9C"/>
    <w:rsid w:val="5895FE65"/>
    <w:rsid w:val="58C1A7B2"/>
    <w:rsid w:val="58D05ACF"/>
    <w:rsid w:val="58D2C427"/>
    <w:rsid w:val="58D7918D"/>
    <w:rsid w:val="58DC1931"/>
    <w:rsid w:val="590E2DC4"/>
    <w:rsid w:val="592D2B8B"/>
    <w:rsid w:val="5930DC26"/>
    <w:rsid w:val="593775B3"/>
    <w:rsid w:val="594974BB"/>
    <w:rsid w:val="594FFD47"/>
    <w:rsid w:val="597461B0"/>
    <w:rsid w:val="59796276"/>
    <w:rsid w:val="59C6B9EB"/>
    <w:rsid w:val="59D9D7AA"/>
    <w:rsid w:val="5A193EBD"/>
    <w:rsid w:val="5A210AEA"/>
    <w:rsid w:val="5A26BAEE"/>
    <w:rsid w:val="5A3192B3"/>
    <w:rsid w:val="5AAE8A6D"/>
    <w:rsid w:val="5B083536"/>
    <w:rsid w:val="5B0D407B"/>
    <w:rsid w:val="5B1CA8F0"/>
    <w:rsid w:val="5B845B0A"/>
    <w:rsid w:val="5BDFFB8B"/>
    <w:rsid w:val="5C000E0B"/>
    <w:rsid w:val="5C472031"/>
    <w:rsid w:val="5C61BBA1"/>
    <w:rsid w:val="5C8A5660"/>
    <w:rsid w:val="5C9DDAF6"/>
    <w:rsid w:val="5CA5911B"/>
    <w:rsid w:val="5CCA3539"/>
    <w:rsid w:val="5D0C0A1C"/>
    <w:rsid w:val="5D73D4E8"/>
    <w:rsid w:val="5DA6EC92"/>
    <w:rsid w:val="5DA9FFF3"/>
    <w:rsid w:val="5DE5971A"/>
    <w:rsid w:val="5E2D0BDB"/>
    <w:rsid w:val="5E2E849D"/>
    <w:rsid w:val="5E9063B2"/>
    <w:rsid w:val="5ECEFD71"/>
    <w:rsid w:val="5ED921F0"/>
    <w:rsid w:val="5F33BE51"/>
    <w:rsid w:val="5F4C2E20"/>
    <w:rsid w:val="5F6BE3F2"/>
    <w:rsid w:val="5FB8CA1A"/>
    <w:rsid w:val="5FC1F61B"/>
    <w:rsid w:val="5FF6D6F1"/>
    <w:rsid w:val="602C99AF"/>
    <w:rsid w:val="60A916C9"/>
    <w:rsid w:val="60B1F869"/>
    <w:rsid w:val="60C37876"/>
    <w:rsid w:val="60D455EA"/>
    <w:rsid w:val="60E897CA"/>
    <w:rsid w:val="610C9E96"/>
    <w:rsid w:val="6120E5A9"/>
    <w:rsid w:val="612AD792"/>
    <w:rsid w:val="6163FC9C"/>
    <w:rsid w:val="61D951D9"/>
    <w:rsid w:val="61E9C832"/>
    <w:rsid w:val="61EFCDB1"/>
    <w:rsid w:val="61FAE83E"/>
    <w:rsid w:val="62206844"/>
    <w:rsid w:val="62506C56"/>
    <w:rsid w:val="625A0264"/>
    <w:rsid w:val="625EFB9D"/>
    <w:rsid w:val="62C578F9"/>
    <w:rsid w:val="62F651A4"/>
    <w:rsid w:val="63103CED"/>
    <w:rsid w:val="63426155"/>
    <w:rsid w:val="6355498A"/>
    <w:rsid w:val="63611276"/>
    <w:rsid w:val="63A40AC4"/>
    <w:rsid w:val="63ACC737"/>
    <w:rsid w:val="63DA348B"/>
    <w:rsid w:val="63F59794"/>
    <w:rsid w:val="63FA0A1A"/>
    <w:rsid w:val="64020E5D"/>
    <w:rsid w:val="64327654"/>
    <w:rsid w:val="6465530D"/>
    <w:rsid w:val="64730F46"/>
    <w:rsid w:val="647B92D8"/>
    <w:rsid w:val="64E31937"/>
    <w:rsid w:val="64E5CBB4"/>
    <w:rsid w:val="651A5A69"/>
    <w:rsid w:val="654FEE53"/>
    <w:rsid w:val="6591574B"/>
    <w:rsid w:val="65932CB2"/>
    <w:rsid w:val="6598AEA8"/>
    <w:rsid w:val="65C07C3C"/>
    <w:rsid w:val="65C8B7AF"/>
    <w:rsid w:val="65F27664"/>
    <w:rsid w:val="6628D204"/>
    <w:rsid w:val="6666CF6B"/>
    <w:rsid w:val="6687EB3E"/>
    <w:rsid w:val="66DB140E"/>
    <w:rsid w:val="67581ED6"/>
    <w:rsid w:val="679364BB"/>
    <w:rsid w:val="67B5AF5D"/>
    <w:rsid w:val="67BF528E"/>
    <w:rsid w:val="67DB90CF"/>
    <w:rsid w:val="680A16A5"/>
    <w:rsid w:val="681AB495"/>
    <w:rsid w:val="6850448B"/>
    <w:rsid w:val="68E645C8"/>
    <w:rsid w:val="69135C7B"/>
    <w:rsid w:val="695111C5"/>
    <w:rsid w:val="695D3760"/>
    <w:rsid w:val="69670D54"/>
    <w:rsid w:val="69EA8C79"/>
    <w:rsid w:val="6A20F2B1"/>
    <w:rsid w:val="6A2304DA"/>
    <w:rsid w:val="6A2B2A02"/>
    <w:rsid w:val="6A6DBBFF"/>
    <w:rsid w:val="6A8CA5D8"/>
    <w:rsid w:val="6AAA7977"/>
    <w:rsid w:val="6AEAD45C"/>
    <w:rsid w:val="6AF66343"/>
    <w:rsid w:val="6B97CB17"/>
    <w:rsid w:val="6BB2220A"/>
    <w:rsid w:val="6BF1481F"/>
    <w:rsid w:val="6C5C8ACF"/>
    <w:rsid w:val="6C64C18D"/>
    <w:rsid w:val="6C86A4BD"/>
    <w:rsid w:val="6C8BD49C"/>
    <w:rsid w:val="6C96E266"/>
    <w:rsid w:val="6CBB0D7D"/>
    <w:rsid w:val="6D02F082"/>
    <w:rsid w:val="6D2B49B0"/>
    <w:rsid w:val="6D3383B4"/>
    <w:rsid w:val="6D4A4A74"/>
    <w:rsid w:val="6D6BA25E"/>
    <w:rsid w:val="6D73B4E1"/>
    <w:rsid w:val="6DE94322"/>
    <w:rsid w:val="6DEE5386"/>
    <w:rsid w:val="6DF1AB77"/>
    <w:rsid w:val="6E24D543"/>
    <w:rsid w:val="6E38888E"/>
    <w:rsid w:val="6E500E16"/>
    <w:rsid w:val="6E67BE5F"/>
    <w:rsid w:val="6E81A798"/>
    <w:rsid w:val="6E859DAB"/>
    <w:rsid w:val="6E8A6ABC"/>
    <w:rsid w:val="6E8EF3AB"/>
    <w:rsid w:val="6E98B9D4"/>
    <w:rsid w:val="6F0967E9"/>
    <w:rsid w:val="6F128BFD"/>
    <w:rsid w:val="6F35D229"/>
    <w:rsid w:val="6F49E21B"/>
    <w:rsid w:val="6F52F669"/>
    <w:rsid w:val="6F65301F"/>
    <w:rsid w:val="6F920011"/>
    <w:rsid w:val="6FA485E0"/>
    <w:rsid w:val="6FC1B25A"/>
    <w:rsid w:val="6FDE05B8"/>
    <w:rsid w:val="6FEB81E9"/>
    <w:rsid w:val="701B55C9"/>
    <w:rsid w:val="7032C40B"/>
    <w:rsid w:val="703C1915"/>
    <w:rsid w:val="70EC1DFE"/>
    <w:rsid w:val="7133E30B"/>
    <w:rsid w:val="7143388E"/>
    <w:rsid w:val="7153B8A3"/>
    <w:rsid w:val="7174D97D"/>
    <w:rsid w:val="71A7E460"/>
    <w:rsid w:val="71B6769A"/>
    <w:rsid w:val="71FC40ED"/>
    <w:rsid w:val="720E8A51"/>
    <w:rsid w:val="72329F3D"/>
    <w:rsid w:val="7262B286"/>
    <w:rsid w:val="72965703"/>
    <w:rsid w:val="72CF5855"/>
    <w:rsid w:val="737EF0D7"/>
    <w:rsid w:val="747B1E16"/>
    <w:rsid w:val="74B9B830"/>
    <w:rsid w:val="74FEEAA4"/>
    <w:rsid w:val="7539825E"/>
    <w:rsid w:val="757E794D"/>
    <w:rsid w:val="75965BD9"/>
    <w:rsid w:val="75DC21FA"/>
    <w:rsid w:val="75E56A56"/>
    <w:rsid w:val="7618CAEF"/>
    <w:rsid w:val="765BEDE1"/>
    <w:rsid w:val="7675AE10"/>
    <w:rsid w:val="767F9DBD"/>
    <w:rsid w:val="76822655"/>
    <w:rsid w:val="768C96AD"/>
    <w:rsid w:val="769684DC"/>
    <w:rsid w:val="7699AC37"/>
    <w:rsid w:val="769CA2AF"/>
    <w:rsid w:val="771F163F"/>
    <w:rsid w:val="77849D43"/>
    <w:rsid w:val="77893D26"/>
    <w:rsid w:val="778C9993"/>
    <w:rsid w:val="780731D3"/>
    <w:rsid w:val="7818E8B9"/>
    <w:rsid w:val="788BEB6B"/>
    <w:rsid w:val="78B8CBAD"/>
    <w:rsid w:val="78BFD472"/>
    <w:rsid w:val="78E02334"/>
    <w:rsid w:val="79239FA5"/>
    <w:rsid w:val="79278311"/>
    <w:rsid w:val="793E9BD7"/>
    <w:rsid w:val="79726FD1"/>
    <w:rsid w:val="7995E714"/>
    <w:rsid w:val="79E99FBF"/>
    <w:rsid w:val="7A13BF83"/>
    <w:rsid w:val="7A299B6D"/>
    <w:rsid w:val="7A341D75"/>
    <w:rsid w:val="7A9CE8E5"/>
    <w:rsid w:val="7AC21397"/>
    <w:rsid w:val="7AC43A55"/>
    <w:rsid w:val="7B00F826"/>
    <w:rsid w:val="7B2BD9C3"/>
    <w:rsid w:val="7B3476C2"/>
    <w:rsid w:val="7B4B8217"/>
    <w:rsid w:val="7B544B42"/>
    <w:rsid w:val="7B7A3D16"/>
    <w:rsid w:val="7B99A655"/>
    <w:rsid w:val="7BC5A7FE"/>
    <w:rsid w:val="7C037251"/>
    <w:rsid w:val="7C04DE9B"/>
    <w:rsid w:val="7C06DEE9"/>
    <w:rsid w:val="7C1D184E"/>
    <w:rsid w:val="7C25DEFF"/>
    <w:rsid w:val="7C4A8990"/>
    <w:rsid w:val="7C836857"/>
    <w:rsid w:val="7C877892"/>
    <w:rsid w:val="7D3F089D"/>
    <w:rsid w:val="7D5F3F4E"/>
    <w:rsid w:val="7DB8274F"/>
    <w:rsid w:val="7DB8FBC9"/>
    <w:rsid w:val="7DBBABFC"/>
    <w:rsid w:val="7DF56D3F"/>
    <w:rsid w:val="7E1BB3D3"/>
    <w:rsid w:val="7E46194E"/>
    <w:rsid w:val="7E46941D"/>
    <w:rsid w:val="7E78A783"/>
    <w:rsid w:val="7EB1E562"/>
    <w:rsid w:val="7F42318E"/>
    <w:rsid w:val="7F480035"/>
    <w:rsid w:val="7F925C04"/>
    <w:rsid w:val="7FA3CDE4"/>
    <w:rsid w:val="7FAC1056"/>
    <w:rsid w:val="7FBAE360"/>
    <w:rsid w:val="7FF0F5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076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4C5"/>
  </w:style>
  <w:style w:type="paragraph" w:styleId="Heading1">
    <w:name w:val="heading 1"/>
    <w:basedOn w:val="Normal"/>
    <w:next w:val="Normal"/>
    <w:link w:val="Heading1Char"/>
    <w:qFormat/>
    <w:rsid w:val="005C65A3"/>
    <w:pPr>
      <w:keepNext/>
      <w:spacing w:before="120" w:after="240" w:line="240" w:lineRule="auto"/>
      <w:outlineLvl w:val="0"/>
    </w:pPr>
    <w:rPr>
      <w:rFonts w:ascii="Helvetica" w:eastAsia="Times New Roman" w:hAnsi="Helvetica" w:cs="Times New Roman"/>
      <w:b/>
      <w:caps/>
      <w:kern w:val="28"/>
      <w:sz w:val="26"/>
      <w:szCs w:val="20"/>
      <w:u w:val="single"/>
    </w:rPr>
  </w:style>
  <w:style w:type="paragraph" w:styleId="Heading2">
    <w:name w:val="heading 2"/>
    <w:basedOn w:val="Normal"/>
    <w:next w:val="Normal"/>
    <w:link w:val="Heading2Char"/>
    <w:uiPriority w:val="9"/>
    <w:unhideWhenUsed/>
    <w:qFormat/>
    <w:rsid w:val="00336E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36E2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797"/>
    <w:rPr>
      <w:rFonts w:ascii="Segoe UI" w:hAnsi="Segoe UI" w:cs="Segoe UI"/>
      <w:sz w:val="18"/>
      <w:szCs w:val="18"/>
    </w:rPr>
  </w:style>
  <w:style w:type="paragraph" w:styleId="ListParagraph">
    <w:name w:val="List Paragraph"/>
    <w:basedOn w:val="Normal"/>
    <w:uiPriority w:val="34"/>
    <w:qFormat/>
    <w:rsid w:val="00211797"/>
    <w:pPr>
      <w:ind w:left="720"/>
      <w:contextualSpacing/>
    </w:pPr>
  </w:style>
  <w:style w:type="paragraph" w:customStyle="1" w:styleId="mainex">
    <w:name w:val="mainex"/>
    <w:basedOn w:val="Normal"/>
    <w:rsid w:val="001507CE"/>
    <w:pPr>
      <w:keepNext/>
      <w:spacing w:after="0" w:line="240" w:lineRule="auto"/>
      <w:jc w:val="center"/>
    </w:pPr>
    <w:rPr>
      <w:rFonts w:ascii="Helvetica" w:eastAsia="Times New Roman" w:hAnsi="Helvetica" w:cs="Times New Roman"/>
      <w:b/>
      <w:spacing w:val="120"/>
      <w:sz w:val="26"/>
      <w:szCs w:val="20"/>
    </w:rPr>
  </w:style>
  <w:style w:type="paragraph" w:customStyle="1" w:styleId="titlebar">
    <w:name w:val="title bar"/>
    <w:basedOn w:val="Normal"/>
    <w:rsid w:val="001507CE"/>
    <w:pPr>
      <w:keepNext/>
      <w:suppressAutoHyphens/>
      <w:spacing w:after="0" w:line="240" w:lineRule="auto"/>
      <w:jc w:val="center"/>
    </w:pPr>
    <w:rPr>
      <w:rFonts w:ascii="Helvetica" w:eastAsia="Times New Roman" w:hAnsi="Helvetica" w:cs="Times New Roman"/>
      <w:b/>
      <w:sz w:val="26"/>
      <w:szCs w:val="20"/>
    </w:rPr>
  </w:style>
  <w:style w:type="paragraph" w:customStyle="1" w:styleId="Res-Caption">
    <w:name w:val="Res-Caption"/>
    <w:basedOn w:val="Normal"/>
    <w:rsid w:val="001507CE"/>
    <w:pPr>
      <w:spacing w:after="0" w:line="240" w:lineRule="auto"/>
      <w:ind w:left="720" w:right="720"/>
    </w:pPr>
    <w:rPr>
      <w:rFonts w:ascii="Palatino" w:eastAsia="Times New Roman" w:hAnsi="Palatino" w:cs="Times New Roman"/>
      <w:sz w:val="26"/>
      <w:szCs w:val="20"/>
    </w:rPr>
  </w:style>
  <w:style w:type="character" w:customStyle="1" w:styleId="Heading1Char">
    <w:name w:val="Heading 1 Char"/>
    <w:basedOn w:val="DefaultParagraphFont"/>
    <w:link w:val="Heading1"/>
    <w:rsid w:val="005C65A3"/>
    <w:rPr>
      <w:rFonts w:ascii="Helvetica" w:eastAsia="Times New Roman" w:hAnsi="Helvetica" w:cs="Times New Roman"/>
      <w:b/>
      <w:caps/>
      <w:kern w:val="28"/>
      <w:sz w:val="26"/>
      <w:szCs w:val="20"/>
      <w:u w:val="single"/>
    </w:rPr>
  </w:style>
  <w:style w:type="paragraph" w:styleId="FootnoteText">
    <w:name w:val="footnote text"/>
    <w:basedOn w:val="Normal"/>
    <w:link w:val="FootnoteTextChar"/>
    <w:uiPriority w:val="99"/>
    <w:unhideWhenUsed/>
    <w:rsid w:val="00CA4AB6"/>
    <w:pPr>
      <w:spacing w:after="0" w:line="240" w:lineRule="auto"/>
    </w:pPr>
    <w:rPr>
      <w:sz w:val="20"/>
      <w:szCs w:val="20"/>
    </w:rPr>
  </w:style>
  <w:style w:type="character" w:customStyle="1" w:styleId="FootnoteTextChar">
    <w:name w:val="Footnote Text Char"/>
    <w:basedOn w:val="DefaultParagraphFont"/>
    <w:link w:val="FootnoteText"/>
    <w:uiPriority w:val="99"/>
    <w:rsid w:val="00CA4AB6"/>
    <w:rPr>
      <w:sz w:val="20"/>
      <w:szCs w:val="20"/>
    </w:rPr>
  </w:style>
  <w:style w:type="character" w:styleId="FootnoteReference">
    <w:name w:val="footnote reference"/>
    <w:basedOn w:val="DefaultParagraphFont"/>
    <w:uiPriority w:val="99"/>
    <w:unhideWhenUsed/>
    <w:rsid w:val="00CA4AB6"/>
    <w:rPr>
      <w:vertAlign w:val="superscript"/>
    </w:rPr>
  </w:style>
  <w:style w:type="paragraph" w:styleId="Caption">
    <w:name w:val="caption"/>
    <w:basedOn w:val="Normal"/>
    <w:next w:val="Normal"/>
    <w:uiPriority w:val="35"/>
    <w:unhideWhenUsed/>
    <w:qFormat/>
    <w:rsid w:val="0037218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37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38D"/>
  </w:style>
  <w:style w:type="paragraph" w:styleId="Footer">
    <w:name w:val="footer"/>
    <w:basedOn w:val="Normal"/>
    <w:link w:val="FooterChar"/>
    <w:uiPriority w:val="99"/>
    <w:unhideWhenUsed/>
    <w:rsid w:val="00037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38D"/>
  </w:style>
  <w:style w:type="character" w:styleId="CommentReference">
    <w:name w:val="annotation reference"/>
    <w:basedOn w:val="DefaultParagraphFont"/>
    <w:uiPriority w:val="99"/>
    <w:semiHidden/>
    <w:unhideWhenUsed/>
    <w:rsid w:val="006C0FDA"/>
    <w:rPr>
      <w:sz w:val="16"/>
      <w:szCs w:val="16"/>
    </w:rPr>
  </w:style>
  <w:style w:type="paragraph" w:styleId="CommentText">
    <w:name w:val="annotation text"/>
    <w:basedOn w:val="Normal"/>
    <w:link w:val="CommentTextChar"/>
    <w:uiPriority w:val="99"/>
    <w:unhideWhenUsed/>
    <w:rsid w:val="006C0FDA"/>
    <w:pPr>
      <w:spacing w:line="240" w:lineRule="auto"/>
    </w:pPr>
    <w:rPr>
      <w:sz w:val="20"/>
      <w:szCs w:val="20"/>
    </w:rPr>
  </w:style>
  <w:style w:type="character" w:customStyle="1" w:styleId="CommentTextChar">
    <w:name w:val="Comment Text Char"/>
    <w:basedOn w:val="DefaultParagraphFont"/>
    <w:link w:val="CommentText"/>
    <w:uiPriority w:val="99"/>
    <w:rsid w:val="006C0FDA"/>
    <w:rPr>
      <w:sz w:val="20"/>
      <w:szCs w:val="20"/>
    </w:rPr>
  </w:style>
  <w:style w:type="paragraph" w:styleId="CommentSubject">
    <w:name w:val="annotation subject"/>
    <w:basedOn w:val="CommentText"/>
    <w:next w:val="CommentText"/>
    <w:link w:val="CommentSubjectChar"/>
    <w:uiPriority w:val="99"/>
    <w:semiHidden/>
    <w:unhideWhenUsed/>
    <w:rsid w:val="006C0FDA"/>
    <w:rPr>
      <w:b/>
      <w:bCs/>
    </w:rPr>
  </w:style>
  <w:style w:type="character" w:customStyle="1" w:styleId="CommentSubjectChar">
    <w:name w:val="Comment Subject Char"/>
    <w:basedOn w:val="CommentTextChar"/>
    <w:link w:val="CommentSubject"/>
    <w:uiPriority w:val="99"/>
    <w:semiHidden/>
    <w:rsid w:val="006C0FDA"/>
    <w:rPr>
      <w:b/>
      <w:bCs/>
      <w:sz w:val="20"/>
      <w:szCs w:val="20"/>
    </w:rPr>
  </w:style>
  <w:style w:type="character" w:styleId="Hyperlink">
    <w:name w:val="Hyperlink"/>
    <w:basedOn w:val="DefaultParagraphFont"/>
    <w:uiPriority w:val="99"/>
    <w:unhideWhenUsed/>
    <w:rsid w:val="00E73912"/>
    <w:rPr>
      <w:color w:val="0563C1" w:themeColor="hyperlink"/>
      <w:u w:val="single"/>
    </w:rPr>
  </w:style>
  <w:style w:type="character" w:styleId="UnresolvedMention">
    <w:name w:val="Unresolved Mention"/>
    <w:basedOn w:val="DefaultParagraphFont"/>
    <w:uiPriority w:val="99"/>
    <w:unhideWhenUsed/>
    <w:rsid w:val="00E73912"/>
    <w:rPr>
      <w:color w:val="605E5C"/>
      <w:shd w:val="clear" w:color="auto" w:fill="E1DFDD"/>
    </w:rPr>
  </w:style>
  <w:style w:type="paragraph" w:styleId="Revision">
    <w:name w:val="Revision"/>
    <w:hidden/>
    <w:uiPriority w:val="99"/>
    <w:semiHidden/>
    <w:rsid w:val="00C72BA9"/>
    <w:pPr>
      <w:spacing w:after="0" w:line="240" w:lineRule="auto"/>
    </w:pPr>
  </w:style>
  <w:style w:type="character" w:styleId="PageNumber">
    <w:name w:val="page number"/>
    <w:basedOn w:val="DefaultParagraphFont"/>
    <w:rsid w:val="000353F5"/>
  </w:style>
  <w:style w:type="table" w:styleId="TableGrid">
    <w:name w:val="Table Grid"/>
    <w:basedOn w:val="TableNormal"/>
    <w:uiPriority w:val="39"/>
    <w:rsid w:val="009A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7C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36E2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36E22"/>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0500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5007F"/>
  </w:style>
  <w:style w:type="character" w:customStyle="1" w:styleId="eop">
    <w:name w:val="eop"/>
    <w:basedOn w:val="DefaultParagraphFont"/>
    <w:rsid w:val="0005007F"/>
  </w:style>
  <w:style w:type="character" w:styleId="Mention">
    <w:name w:val="Mention"/>
    <w:basedOn w:val="DefaultParagraphFont"/>
    <w:uiPriority w:val="99"/>
    <w:unhideWhenUsed/>
    <w:rsid w:val="001609CF"/>
    <w:rPr>
      <w:color w:val="2B579A"/>
      <w:shd w:val="clear" w:color="auto" w:fill="E1DFDD"/>
    </w:rPr>
  </w:style>
  <w:style w:type="character" w:customStyle="1" w:styleId="xmsohyperlink">
    <w:name w:val="x_msohyperlink"/>
    <w:basedOn w:val="DefaultParagraphFont"/>
    <w:rsid w:val="00C8320C"/>
  </w:style>
  <w:style w:type="character" w:styleId="FollowedHyperlink">
    <w:name w:val="FollowedHyperlink"/>
    <w:basedOn w:val="DefaultParagraphFont"/>
    <w:uiPriority w:val="99"/>
    <w:semiHidden/>
    <w:unhideWhenUsed/>
    <w:rsid w:val="00410C71"/>
    <w:rPr>
      <w:color w:val="954F72" w:themeColor="followedHyperlink"/>
      <w:u w:val="single"/>
    </w:rPr>
  </w:style>
  <w:style w:type="character" w:customStyle="1" w:styleId="markedcontent">
    <w:name w:val="markedcontent"/>
    <w:basedOn w:val="DefaultParagraphFont"/>
    <w:rsid w:val="00545717"/>
  </w:style>
  <w:style w:type="paragraph" w:customStyle="1" w:styleId="Standard">
    <w:name w:val="Standard"/>
    <w:basedOn w:val="Normal"/>
    <w:qFormat/>
    <w:rsid w:val="006A313E"/>
    <w:pPr>
      <w:spacing w:after="0" w:line="360" w:lineRule="auto"/>
      <w:ind w:firstLine="720"/>
    </w:pPr>
    <w:rPr>
      <w:rFonts w:ascii="Book Antiqua" w:hAnsi="Book Antiqua"/>
      <w:sz w:val="26"/>
    </w:rPr>
  </w:style>
  <w:style w:type="character" w:customStyle="1" w:styleId="cf01">
    <w:name w:val="cf01"/>
    <w:basedOn w:val="DefaultParagraphFont"/>
    <w:rsid w:val="00E46B52"/>
    <w:rPr>
      <w:rFonts w:ascii="Segoe UI" w:hAnsi="Segoe UI" w:cs="Segoe UI" w:hint="default"/>
      <w:sz w:val="18"/>
      <w:szCs w:val="18"/>
    </w:rPr>
  </w:style>
  <w:style w:type="character" w:styleId="Emphasis">
    <w:name w:val="Emphasis"/>
    <w:basedOn w:val="DefaultParagraphFont"/>
    <w:uiPriority w:val="20"/>
    <w:qFormat/>
    <w:rsid w:val="003725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452">
      <w:bodyDiv w:val="1"/>
      <w:marLeft w:val="0"/>
      <w:marRight w:val="0"/>
      <w:marTop w:val="0"/>
      <w:marBottom w:val="0"/>
      <w:divBdr>
        <w:top w:val="none" w:sz="0" w:space="0" w:color="auto"/>
        <w:left w:val="none" w:sz="0" w:space="0" w:color="auto"/>
        <w:bottom w:val="none" w:sz="0" w:space="0" w:color="auto"/>
        <w:right w:val="none" w:sz="0" w:space="0" w:color="auto"/>
      </w:divBdr>
    </w:div>
    <w:div w:id="14818275">
      <w:bodyDiv w:val="1"/>
      <w:marLeft w:val="0"/>
      <w:marRight w:val="0"/>
      <w:marTop w:val="0"/>
      <w:marBottom w:val="0"/>
      <w:divBdr>
        <w:top w:val="none" w:sz="0" w:space="0" w:color="auto"/>
        <w:left w:val="none" w:sz="0" w:space="0" w:color="auto"/>
        <w:bottom w:val="none" w:sz="0" w:space="0" w:color="auto"/>
        <w:right w:val="none" w:sz="0" w:space="0" w:color="auto"/>
      </w:divBdr>
    </w:div>
    <w:div w:id="108814611">
      <w:bodyDiv w:val="1"/>
      <w:marLeft w:val="0"/>
      <w:marRight w:val="0"/>
      <w:marTop w:val="0"/>
      <w:marBottom w:val="0"/>
      <w:divBdr>
        <w:top w:val="none" w:sz="0" w:space="0" w:color="auto"/>
        <w:left w:val="none" w:sz="0" w:space="0" w:color="auto"/>
        <w:bottom w:val="none" w:sz="0" w:space="0" w:color="auto"/>
        <w:right w:val="none" w:sz="0" w:space="0" w:color="auto"/>
      </w:divBdr>
    </w:div>
    <w:div w:id="169679583">
      <w:bodyDiv w:val="1"/>
      <w:marLeft w:val="0"/>
      <w:marRight w:val="0"/>
      <w:marTop w:val="0"/>
      <w:marBottom w:val="0"/>
      <w:divBdr>
        <w:top w:val="none" w:sz="0" w:space="0" w:color="auto"/>
        <w:left w:val="none" w:sz="0" w:space="0" w:color="auto"/>
        <w:bottom w:val="none" w:sz="0" w:space="0" w:color="auto"/>
        <w:right w:val="none" w:sz="0" w:space="0" w:color="auto"/>
      </w:divBdr>
    </w:div>
    <w:div w:id="174348084">
      <w:bodyDiv w:val="1"/>
      <w:marLeft w:val="0"/>
      <w:marRight w:val="0"/>
      <w:marTop w:val="0"/>
      <w:marBottom w:val="0"/>
      <w:divBdr>
        <w:top w:val="none" w:sz="0" w:space="0" w:color="auto"/>
        <w:left w:val="none" w:sz="0" w:space="0" w:color="auto"/>
        <w:bottom w:val="none" w:sz="0" w:space="0" w:color="auto"/>
        <w:right w:val="none" w:sz="0" w:space="0" w:color="auto"/>
      </w:divBdr>
    </w:div>
    <w:div w:id="174727883">
      <w:bodyDiv w:val="1"/>
      <w:marLeft w:val="0"/>
      <w:marRight w:val="0"/>
      <w:marTop w:val="0"/>
      <w:marBottom w:val="0"/>
      <w:divBdr>
        <w:top w:val="none" w:sz="0" w:space="0" w:color="auto"/>
        <w:left w:val="none" w:sz="0" w:space="0" w:color="auto"/>
        <w:bottom w:val="none" w:sz="0" w:space="0" w:color="auto"/>
        <w:right w:val="none" w:sz="0" w:space="0" w:color="auto"/>
      </w:divBdr>
    </w:div>
    <w:div w:id="189295530">
      <w:bodyDiv w:val="1"/>
      <w:marLeft w:val="0"/>
      <w:marRight w:val="0"/>
      <w:marTop w:val="0"/>
      <w:marBottom w:val="0"/>
      <w:divBdr>
        <w:top w:val="none" w:sz="0" w:space="0" w:color="auto"/>
        <w:left w:val="none" w:sz="0" w:space="0" w:color="auto"/>
        <w:bottom w:val="none" w:sz="0" w:space="0" w:color="auto"/>
        <w:right w:val="none" w:sz="0" w:space="0" w:color="auto"/>
      </w:divBdr>
    </w:div>
    <w:div w:id="241065911">
      <w:bodyDiv w:val="1"/>
      <w:marLeft w:val="0"/>
      <w:marRight w:val="0"/>
      <w:marTop w:val="0"/>
      <w:marBottom w:val="0"/>
      <w:divBdr>
        <w:top w:val="none" w:sz="0" w:space="0" w:color="auto"/>
        <w:left w:val="none" w:sz="0" w:space="0" w:color="auto"/>
        <w:bottom w:val="none" w:sz="0" w:space="0" w:color="auto"/>
        <w:right w:val="none" w:sz="0" w:space="0" w:color="auto"/>
      </w:divBdr>
    </w:div>
    <w:div w:id="281114334">
      <w:bodyDiv w:val="1"/>
      <w:marLeft w:val="0"/>
      <w:marRight w:val="0"/>
      <w:marTop w:val="0"/>
      <w:marBottom w:val="0"/>
      <w:divBdr>
        <w:top w:val="none" w:sz="0" w:space="0" w:color="auto"/>
        <w:left w:val="none" w:sz="0" w:space="0" w:color="auto"/>
        <w:bottom w:val="none" w:sz="0" w:space="0" w:color="auto"/>
        <w:right w:val="none" w:sz="0" w:space="0" w:color="auto"/>
      </w:divBdr>
    </w:div>
    <w:div w:id="360786916">
      <w:bodyDiv w:val="1"/>
      <w:marLeft w:val="0"/>
      <w:marRight w:val="0"/>
      <w:marTop w:val="0"/>
      <w:marBottom w:val="0"/>
      <w:divBdr>
        <w:top w:val="none" w:sz="0" w:space="0" w:color="auto"/>
        <w:left w:val="none" w:sz="0" w:space="0" w:color="auto"/>
        <w:bottom w:val="none" w:sz="0" w:space="0" w:color="auto"/>
        <w:right w:val="none" w:sz="0" w:space="0" w:color="auto"/>
      </w:divBdr>
    </w:div>
    <w:div w:id="401608027">
      <w:bodyDiv w:val="1"/>
      <w:marLeft w:val="0"/>
      <w:marRight w:val="0"/>
      <w:marTop w:val="0"/>
      <w:marBottom w:val="0"/>
      <w:divBdr>
        <w:top w:val="none" w:sz="0" w:space="0" w:color="auto"/>
        <w:left w:val="none" w:sz="0" w:space="0" w:color="auto"/>
        <w:bottom w:val="none" w:sz="0" w:space="0" w:color="auto"/>
        <w:right w:val="none" w:sz="0" w:space="0" w:color="auto"/>
      </w:divBdr>
    </w:div>
    <w:div w:id="429666345">
      <w:bodyDiv w:val="1"/>
      <w:marLeft w:val="0"/>
      <w:marRight w:val="0"/>
      <w:marTop w:val="0"/>
      <w:marBottom w:val="0"/>
      <w:divBdr>
        <w:top w:val="none" w:sz="0" w:space="0" w:color="auto"/>
        <w:left w:val="none" w:sz="0" w:space="0" w:color="auto"/>
        <w:bottom w:val="none" w:sz="0" w:space="0" w:color="auto"/>
        <w:right w:val="none" w:sz="0" w:space="0" w:color="auto"/>
      </w:divBdr>
    </w:div>
    <w:div w:id="440684795">
      <w:bodyDiv w:val="1"/>
      <w:marLeft w:val="0"/>
      <w:marRight w:val="0"/>
      <w:marTop w:val="0"/>
      <w:marBottom w:val="0"/>
      <w:divBdr>
        <w:top w:val="none" w:sz="0" w:space="0" w:color="auto"/>
        <w:left w:val="none" w:sz="0" w:space="0" w:color="auto"/>
        <w:bottom w:val="none" w:sz="0" w:space="0" w:color="auto"/>
        <w:right w:val="none" w:sz="0" w:space="0" w:color="auto"/>
      </w:divBdr>
    </w:div>
    <w:div w:id="441269618">
      <w:bodyDiv w:val="1"/>
      <w:marLeft w:val="0"/>
      <w:marRight w:val="0"/>
      <w:marTop w:val="0"/>
      <w:marBottom w:val="0"/>
      <w:divBdr>
        <w:top w:val="none" w:sz="0" w:space="0" w:color="auto"/>
        <w:left w:val="none" w:sz="0" w:space="0" w:color="auto"/>
        <w:bottom w:val="none" w:sz="0" w:space="0" w:color="auto"/>
        <w:right w:val="none" w:sz="0" w:space="0" w:color="auto"/>
      </w:divBdr>
      <w:divsChild>
        <w:div w:id="172695231">
          <w:marLeft w:val="0"/>
          <w:marRight w:val="0"/>
          <w:marTop w:val="0"/>
          <w:marBottom w:val="0"/>
          <w:divBdr>
            <w:top w:val="none" w:sz="0" w:space="0" w:color="auto"/>
            <w:left w:val="none" w:sz="0" w:space="0" w:color="auto"/>
            <w:bottom w:val="none" w:sz="0" w:space="0" w:color="auto"/>
            <w:right w:val="none" w:sz="0" w:space="0" w:color="auto"/>
          </w:divBdr>
        </w:div>
      </w:divsChild>
    </w:div>
    <w:div w:id="451826682">
      <w:bodyDiv w:val="1"/>
      <w:marLeft w:val="0"/>
      <w:marRight w:val="0"/>
      <w:marTop w:val="0"/>
      <w:marBottom w:val="0"/>
      <w:divBdr>
        <w:top w:val="none" w:sz="0" w:space="0" w:color="auto"/>
        <w:left w:val="none" w:sz="0" w:space="0" w:color="auto"/>
        <w:bottom w:val="none" w:sz="0" w:space="0" w:color="auto"/>
        <w:right w:val="none" w:sz="0" w:space="0" w:color="auto"/>
      </w:divBdr>
    </w:div>
    <w:div w:id="533927101">
      <w:bodyDiv w:val="1"/>
      <w:marLeft w:val="0"/>
      <w:marRight w:val="0"/>
      <w:marTop w:val="0"/>
      <w:marBottom w:val="0"/>
      <w:divBdr>
        <w:top w:val="none" w:sz="0" w:space="0" w:color="auto"/>
        <w:left w:val="none" w:sz="0" w:space="0" w:color="auto"/>
        <w:bottom w:val="none" w:sz="0" w:space="0" w:color="auto"/>
        <w:right w:val="none" w:sz="0" w:space="0" w:color="auto"/>
      </w:divBdr>
      <w:divsChild>
        <w:div w:id="1894463005">
          <w:marLeft w:val="0"/>
          <w:marRight w:val="0"/>
          <w:marTop w:val="0"/>
          <w:marBottom w:val="0"/>
          <w:divBdr>
            <w:top w:val="none" w:sz="0" w:space="0" w:color="auto"/>
            <w:left w:val="none" w:sz="0" w:space="0" w:color="auto"/>
            <w:bottom w:val="none" w:sz="0" w:space="0" w:color="auto"/>
            <w:right w:val="none" w:sz="0" w:space="0" w:color="auto"/>
          </w:divBdr>
        </w:div>
      </w:divsChild>
    </w:div>
    <w:div w:id="555170141">
      <w:bodyDiv w:val="1"/>
      <w:marLeft w:val="0"/>
      <w:marRight w:val="0"/>
      <w:marTop w:val="0"/>
      <w:marBottom w:val="0"/>
      <w:divBdr>
        <w:top w:val="none" w:sz="0" w:space="0" w:color="auto"/>
        <w:left w:val="none" w:sz="0" w:space="0" w:color="auto"/>
        <w:bottom w:val="none" w:sz="0" w:space="0" w:color="auto"/>
        <w:right w:val="none" w:sz="0" w:space="0" w:color="auto"/>
      </w:divBdr>
      <w:divsChild>
        <w:div w:id="754592044">
          <w:marLeft w:val="0"/>
          <w:marRight w:val="0"/>
          <w:marTop w:val="0"/>
          <w:marBottom w:val="0"/>
          <w:divBdr>
            <w:top w:val="none" w:sz="0" w:space="0" w:color="auto"/>
            <w:left w:val="none" w:sz="0" w:space="0" w:color="auto"/>
            <w:bottom w:val="none" w:sz="0" w:space="0" w:color="auto"/>
            <w:right w:val="none" w:sz="0" w:space="0" w:color="auto"/>
          </w:divBdr>
        </w:div>
      </w:divsChild>
    </w:div>
    <w:div w:id="612590391">
      <w:bodyDiv w:val="1"/>
      <w:marLeft w:val="0"/>
      <w:marRight w:val="0"/>
      <w:marTop w:val="0"/>
      <w:marBottom w:val="0"/>
      <w:divBdr>
        <w:top w:val="none" w:sz="0" w:space="0" w:color="auto"/>
        <w:left w:val="none" w:sz="0" w:space="0" w:color="auto"/>
        <w:bottom w:val="none" w:sz="0" w:space="0" w:color="auto"/>
        <w:right w:val="none" w:sz="0" w:space="0" w:color="auto"/>
      </w:divBdr>
    </w:div>
    <w:div w:id="622153325">
      <w:bodyDiv w:val="1"/>
      <w:marLeft w:val="0"/>
      <w:marRight w:val="0"/>
      <w:marTop w:val="0"/>
      <w:marBottom w:val="0"/>
      <w:divBdr>
        <w:top w:val="none" w:sz="0" w:space="0" w:color="auto"/>
        <w:left w:val="none" w:sz="0" w:space="0" w:color="auto"/>
        <w:bottom w:val="none" w:sz="0" w:space="0" w:color="auto"/>
        <w:right w:val="none" w:sz="0" w:space="0" w:color="auto"/>
      </w:divBdr>
    </w:div>
    <w:div w:id="638388342">
      <w:bodyDiv w:val="1"/>
      <w:marLeft w:val="0"/>
      <w:marRight w:val="0"/>
      <w:marTop w:val="0"/>
      <w:marBottom w:val="0"/>
      <w:divBdr>
        <w:top w:val="none" w:sz="0" w:space="0" w:color="auto"/>
        <w:left w:val="none" w:sz="0" w:space="0" w:color="auto"/>
        <w:bottom w:val="none" w:sz="0" w:space="0" w:color="auto"/>
        <w:right w:val="none" w:sz="0" w:space="0" w:color="auto"/>
      </w:divBdr>
    </w:div>
    <w:div w:id="691801936">
      <w:bodyDiv w:val="1"/>
      <w:marLeft w:val="0"/>
      <w:marRight w:val="0"/>
      <w:marTop w:val="0"/>
      <w:marBottom w:val="0"/>
      <w:divBdr>
        <w:top w:val="none" w:sz="0" w:space="0" w:color="auto"/>
        <w:left w:val="none" w:sz="0" w:space="0" w:color="auto"/>
        <w:bottom w:val="none" w:sz="0" w:space="0" w:color="auto"/>
        <w:right w:val="none" w:sz="0" w:space="0" w:color="auto"/>
      </w:divBdr>
    </w:div>
    <w:div w:id="699166452">
      <w:bodyDiv w:val="1"/>
      <w:marLeft w:val="0"/>
      <w:marRight w:val="0"/>
      <w:marTop w:val="0"/>
      <w:marBottom w:val="0"/>
      <w:divBdr>
        <w:top w:val="none" w:sz="0" w:space="0" w:color="auto"/>
        <w:left w:val="none" w:sz="0" w:space="0" w:color="auto"/>
        <w:bottom w:val="none" w:sz="0" w:space="0" w:color="auto"/>
        <w:right w:val="none" w:sz="0" w:space="0" w:color="auto"/>
      </w:divBdr>
    </w:div>
    <w:div w:id="737170017">
      <w:bodyDiv w:val="1"/>
      <w:marLeft w:val="0"/>
      <w:marRight w:val="0"/>
      <w:marTop w:val="0"/>
      <w:marBottom w:val="0"/>
      <w:divBdr>
        <w:top w:val="none" w:sz="0" w:space="0" w:color="auto"/>
        <w:left w:val="none" w:sz="0" w:space="0" w:color="auto"/>
        <w:bottom w:val="none" w:sz="0" w:space="0" w:color="auto"/>
        <w:right w:val="none" w:sz="0" w:space="0" w:color="auto"/>
      </w:divBdr>
    </w:div>
    <w:div w:id="755983527">
      <w:bodyDiv w:val="1"/>
      <w:marLeft w:val="0"/>
      <w:marRight w:val="0"/>
      <w:marTop w:val="0"/>
      <w:marBottom w:val="0"/>
      <w:divBdr>
        <w:top w:val="none" w:sz="0" w:space="0" w:color="auto"/>
        <w:left w:val="none" w:sz="0" w:space="0" w:color="auto"/>
        <w:bottom w:val="none" w:sz="0" w:space="0" w:color="auto"/>
        <w:right w:val="none" w:sz="0" w:space="0" w:color="auto"/>
      </w:divBdr>
    </w:div>
    <w:div w:id="810637265">
      <w:bodyDiv w:val="1"/>
      <w:marLeft w:val="0"/>
      <w:marRight w:val="0"/>
      <w:marTop w:val="0"/>
      <w:marBottom w:val="0"/>
      <w:divBdr>
        <w:top w:val="none" w:sz="0" w:space="0" w:color="auto"/>
        <w:left w:val="none" w:sz="0" w:space="0" w:color="auto"/>
        <w:bottom w:val="none" w:sz="0" w:space="0" w:color="auto"/>
        <w:right w:val="none" w:sz="0" w:space="0" w:color="auto"/>
      </w:divBdr>
    </w:div>
    <w:div w:id="924337164">
      <w:bodyDiv w:val="1"/>
      <w:marLeft w:val="0"/>
      <w:marRight w:val="0"/>
      <w:marTop w:val="0"/>
      <w:marBottom w:val="0"/>
      <w:divBdr>
        <w:top w:val="none" w:sz="0" w:space="0" w:color="auto"/>
        <w:left w:val="none" w:sz="0" w:space="0" w:color="auto"/>
        <w:bottom w:val="none" w:sz="0" w:space="0" w:color="auto"/>
        <w:right w:val="none" w:sz="0" w:space="0" w:color="auto"/>
      </w:divBdr>
    </w:div>
    <w:div w:id="972439266">
      <w:bodyDiv w:val="1"/>
      <w:marLeft w:val="0"/>
      <w:marRight w:val="0"/>
      <w:marTop w:val="0"/>
      <w:marBottom w:val="0"/>
      <w:divBdr>
        <w:top w:val="none" w:sz="0" w:space="0" w:color="auto"/>
        <w:left w:val="none" w:sz="0" w:space="0" w:color="auto"/>
        <w:bottom w:val="none" w:sz="0" w:space="0" w:color="auto"/>
        <w:right w:val="none" w:sz="0" w:space="0" w:color="auto"/>
      </w:divBdr>
    </w:div>
    <w:div w:id="999163368">
      <w:bodyDiv w:val="1"/>
      <w:marLeft w:val="0"/>
      <w:marRight w:val="0"/>
      <w:marTop w:val="0"/>
      <w:marBottom w:val="0"/>
      <w:divBdr>
        <w:top w:val="none" w:sz="0" w:space="0" w:color="auto"/>
        <w:left w:val="none" w:sz="0" w:space="0" w:color="auto"/>
        <w:bottom w:val="none" w:sz="0" w:space="0" w:color="auto"/>
        <w:right w:val="none" w:sz="0" w:space="0" w:color="auto"/>
      </w:divBdr>
    </w:div>
    <w:div w:id="999383653">
      <w:bodyDiv w:val="1"/>
      <w:marLeft w:val="0"/>
      <w:marRight w:val="0"/>
      <w:marTop w:val="0"/>
      <w:marBottom w:val="0"/>
      <w:divBdr>
        <w:top w:val="none" w:sz="0" w:space="0" w:color="auto"/>
        <w:left w:val="none" w:sz="0" w:space="0" w:color="auto"/>
        <w:bottom w:val="none" w:sz="0" w:space="0" w:color="auto"/>
        <w:right w:val="none" w:sz="0" w:space="0" w:color="auto"/>
      </w:divBdr>
      <w:divsChild>
        <w:div w:id="1426807425">
          <w:marLeft w:val="0"/>
          <w:marRight w:val="0"/>
          <w:marTop w:val="0"/>
          <w:marBottom w:val="0"/>
          <w:divBdr>
            <w:top w:val="none" w:sz="0" w:space="0" w:color="auto"/>
            <w:left w:val="none" w:sz="0" w:space="0" w:color="auto"/>
            <w:bottom w:val="none" w:sz="0" w:space="0" w:color="auto"/>
            <w:right w:val="none" w:sz="0" w:space="0" w:color="auto"/>
          </w:divBdr>
          <w:divsChild>
            <w:div w:id="13325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683">
      <w:bodyDiv w:val="1"/>
      <w:marLeft w:val="0"/>
      <w:marRight w:val="0"/>
      <w:marTop w:val="0"/>
      <w:marBottom w:val="0"/>
      <w:divBdr>
        <w:top w:val="none" w:sz="0" w:space="0" w:color="auto"/>
        <w:left w:val="none" w:sz="0" w:space="0" w:color="auto"/>
        <w:bottom w:val="none" w:sz="0" w:space="0" w:color="auto"/>
        <w:right w:val="none" w:sz="0" w:space="0" w:color="auto"/>
      </w:divBdr>
    </w:div>
    <w:div w:id="1129086245">
      <w:bodyDiv w:val="1"/>
      <w:marLeft w:val="0"/>
      <w:marRight w:val="0"/>
      <w:marTop w:val="0"/>
      <w:marBottom w:val="0"/>
      <w:divBdr>
        <w:top w:val="none" w:sz="0" w:space="0" w:color="auto"/>
        <w:left w:val="none" w:sz="0" w:space="0" w:color="auto"/>
        <w:bottom w:val="none" w:sz="0" w:space="0" w:color="auto"/>
        <w:right w:val="none" w:sz="0" w:space="0" w:color="auto"/>
      </w:divBdr>
    </w:div>
    <w:div w:id="1131436420">
      <w:bodyDiv w:val="1"/>
      <w:marLeft w:val="0"/>
      <w:marRight w:val="0"/>
      <w:marTop w:val="0"/>
      <w:marBottom w:val="0"/>
      <w:divBdr>
        <w:top w:val="none" w:sz="0" w:space="0" w:color="auto"/>
        <w:left w:val="none" w:sz="0" w:space="0" w:color="auto"/>
        <w:bottom w:val="none" w:sz="0" w:space="0" w:color="auto"/>
        <w:right w:val="none" w:sz="0" w:space="0" w:color="auto"/>
      </w:divBdr>
    </w:div>
    <w:div w:id="1142111928">
      <w:bodyDiv w:val="1"/>
      <w:marLeft w:val="0"/>
      <w:marRight w:val="0"/>
      <w:marTop w:val="0"/>
      <w:marBottom w:val="0"/>
      <w:divBdr>
        <w:top w:val="none" w:sz="0" w:space="0" w:color="auto"/>
        <w:left w:val="none" w:sz="0" w:space="0" w:color="auto"/>
        <w:bottom w:val="none" w:sz="0" w:space="0" w:color="auto"/>
        <w:right w:val="none" w:sz="0" w:space="0" w:color="auto"/>
      </w:divBdr>
    </w:div>
    <w:div w:id="1144740696">
      <w:bodyDiv w:val="1"/>
      <w:marLeft w:val="0"/>
      <w:marRight w:val="0"/>
      <w:marTop w:val="0"/>
      <w:marBottom w:val="0"/>
      <w:divBdr>
        <w:top w:val="none" w:sz="0" w:space="0" w:color="auto"/>
        <w:left w:val="none" w:sz="0" w:space="0" w:color="auto"/>
        <w:bottom w:val="none" w:sz="0" w:space="0" w:color="auto"/>
        <w:right w:val="none" w:sz="0" w:space="0" w:color="auto"/>
      </w:divBdr>
    </w:div>
    <w:div w:id="1168015231">
      <w:bodyDiv w:val="1"/>
      <w:marLeft w:val="0"/>
      <w:marRight w:val="0"/>
      <w:marTop w:val="0"/>
      <w:marBottom w:val="0"/>
      <w:divBdr>
        <w:top w:val="none" w:sz="0" w:space="0" w:color="auto"/>
        <w:left w:val="none" w:sz="0" w:space="0" w:color="auto"/>
        <w:bottom w:val="none" w:sz="0" w:space="0" w:color="auto"/>
        <w:right w:val="none" w:sz="0" w:space="0" w:color="auto"/>
      </w:divBdr>
    </w:div>
    <w:div w:id="1182165470">
      <w:bodyDiv w:val="1"/>
      <w:marLeft w:val="0"/>
      <w:marRight w:val="0"/>
      <w:marTop w:val="0"/>
      <w:marBottom w:val="0"/>
      <w:divBdr>
        <w:top w:val="none" w:sz="0" w:space="0" w:color="auto"/>
        <w:left w:val="none" w:sz="0" w:space="0" w:color="auto"/>
        <w:bottom w:val="none" w:sz="0" w:space="0" w:color="auto"/>
        <w:right w:val="none" w:sz="0" w:space="0" w:color="auto"/>
      </w:divBdr>
    </w:div>
    <w:div w:id="1279796348">
      <w:bodyDiv w:val="1"/>
      <w:marLeft w:val="0"/>
      <w:marRight w:val="0"/>
      <w:marTop w:val="0"/>
      <w:marBottom w:val="0"/>
      <w:divBdr>
        <w:top w:val="none" w:sz="0" w:space="0" w:color="auto"/>
        <w:left w:val="none" w:sz="0" w:space="0" w:color="auto"/>
        <w:bottom w:val="none" w:sz="0" w:space="0" w:color="auto"/>
        <w:right w:val="none" w:sz="0" w:space="0" w:color="auto"/>
      </w:divBdr>
    </w:div>
    <w:div w:id="1351445716">
      <w:bodyDiv w:val="1"/>
      <w:marLeft w:val="0"/>
      <w:marRight w:val="0"/>
      <w:marTop w:val="0"/>
      <w:marBottom w:val="0"/>
      <w:divBdr>
        <w:top w:val="none" w:sz="0" w:space="0" w:color="auto"/>
        <w:left w:val="none" w:sz="0" w:space="0" w:color="auto"/>
        <w:bottom w:val="none" w:sz="0" w:space="0" w:color="auto"/>
        <w:right w:val="none" w:sz="0" w:space="0" w:color="auto"/>
      </w:divBdr>
    </w:div>
    <w:div w:id="1444694760">
      <w:bodyDiv w:val="1"/>
      <w:marLeft w:val="0"/>
      <w:marRight w:val="0"/>
      <w:marTop w:val="0"/>
      <w:marBottom w:val="0"/>
      <w:divBdr>
        <w:top w:val="none" w:sz="0" w:space="0" w:color="auto"/>
        <w:left w:val="none" w:sz="0" w:space="0" w:color="auto"/>
        <w:bottom w:val="none" w:sz="0" w:space="0" w:color="auto"/>
        <w:right w:val="none" w:sz="0" w:space="0" w:color="auto"/>
      </w:divBdr>
    </w:div>
    <w:div w:id="1527981997">
      <w:bodyDiv w:val="1"/>
      <w:marLeft w:val="0"/>
      <w:marRight w:val="0"/>
      <w:marTop w:val="0"/>
      <w:marBottom w:val="0"/>
      <w:divBdr>
        <w:top w:val="none" w:sz="0" w:space="0" w:color="auto"/>
        <w:left w:val="none" w:sz="0" w:space="0" w:color="auto"/>
        <w:bottom w:val="none" w:sz="0" w:space="0" w:color="auto"/>
        <w:right w:val="none" w:sz="0" w:space="0" w:color="auto"/>
      </w:divBdr>
    </w:div>
    <w:div w:id="1674917703">
      <w:bodyDiv w:val="1"/>
      <w:marLeft w:val="0"/>
      <w:marRight w:val="0"/>
      <w:marTop w:val="0"/>
      <w:marBottom w:val="0"/>
      <w:divBdr>
        <w:top w:val="none" w:sz="0" w:space="0" w:color="auto"/>
        <w:left w:val="none" w:sz="0" w:space="0" w:color="auto"/>
        <w:bottom w:val="none" w:sz="0" w:space="0" w:color="auto"/>
        <w:right w:val="none" w:sz="0" w:space="0" w:color="auto"/>
      </w:divBdr>
      <w:divsChild>
        <w:div w:id="931202857">
          <w:marLeft w:val="0"/>
          <w:marRight w:val="0"/>
          <w:marTop w:val="0"/>
          <w:marBottom w:val="0"/>
          <w:divBdr>
            <w:top w:val="none" w:sz="0" w:space="0" w:color="auto"/>
            <w:left w:val="none" w:sz="0" w:space="0" w:color="auto"/>
            <w:bottom w:val="none" w:sz="0" w:space="0" w:color="auto"/>
            <w:right w:val="none" w:sz="0" w:space="0" w:color="auto"/>
          </w:divBdr>
          <w:divsChild>
            <w:div w:id="856116768">
              <w:marLeft w:val="0"/>
              <w:marRight w:val="0"/>
              <w:marTop w:val="0"/>
              <w:marBottom w:val="0"/>
              <w:divBdr>
                <w:top w:val="none" w:sz="0" w:space="0" w:color="auto"/>
                <w:left w:val="none" w:sz="0" w:space="0" w:color="auto"/>
                <w:bottom w:val="none" w:sz="0" w:space="0" w:color="auto"/>
                <w:right w:val="none" w:sz="0" w:space="0" w:color="auto"/>
              </w:divBdr>
            </w:div>
          </w:divsChild>
        </w:div>
        <w:div w:id="1270696627">
          <w:marLeft w:val="0"/>
          <w:marRight w:val="0"/>
          <w:marTop w:val="0"/>
          <w:marBottom w:val="0"/>
          <w:divBdr>
            <w:top w:val="none" w:sz="0" w:space="0" w:color="auto"/>
            <w:left w:val="none" w:sz="0" w:space="0" w:color="auto"/>
            <w:bottom w:val="none" w:sz="0" w:space="0" w:color="auto"/>
            <w:right w:val="none" w:sz="0" w:space="0" w:color="auto"/>
          </w:divBdr>
          <w:divsChild>
            <w:div w:id="11687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3896">
      <w:bodyDiv w:val="1"/>
      <w:marLeft w:val="0"/>
      <w:marRight w:val="0"/>
      <w:marTop w:val="0"/>
      <w:marBottom w:val="0"/>
      <w:divBdr>
        <w:top w:val="none" w:sz="0" w:space="0" w:color="auto"/>
        <w:left w:val="none" w:sz="0" w:space="0" w:color="auto"/>
        <w:bottom w:val="none" w:sz="0" w:space="0" w:color="auto"/>
        <w:right w:val="none" w:sz="0" w:space="0" w:color="auto"/>
      </w:divBdr>
      <w:divsChild>
        <w:div w:id="1035423235">
          <w:marLeft w:val="0"/>
          <w:marRight w:val="0"/>
          <w:marTop w:val="0"/>
          <w:marBottom w:val="0"/>
          <w:divBdr>
            <w:top w:val="none" w:sz="0" w:space="0" w:color="auto"/>
            <w:left w:val="none" w:sz="0" w:space="0" w:color="auto"/>
            <w:bottom w:val="none" w:sz="0" w:space="0" w:color="auto"/>
            <w:right w:val="none" w:sz="0" w:space="0" w:color="auto"/>
          </w:divBdr>
          <w:divsChild>
            <w:div w:id="1965887781">
              <w:marLeft w:val="0"/>
              <w:marRight w:val="0"/>
              <w:marTop w:val="0"/>
              <w:marBottom w:val="0"/>
              <w:divBdr>
                <w:top w:val="none" w:sz="0" w:space="0" w:color="auto"/>
                <w:left w:val="none" w:sz="0" w:space="0" w:color="auto"/>
                <w:bottom w:val="none" w:sz="0" w:space="0" w:color="auto"/>
                <w:right w:val="none" w:sz="0" w:space="0" w:color="auto"/>
              </w:divBdr>
            </w:div>
          </w:divsChild>
        </w:div>
        <w:div w:id="1594581538">
          <w:marLeft w:val="0"/>
          <w:marRight w:val="0"/>
          <w:marTop w:val="0"/>
          <w:marBottom w:val="0"/>
          <w:divBdr>
            <w:top w:val="none" w:sz="0" w:space="0" w:color="auto"/>
            <w:left w:val="none" w:sz="0" w:space="0" w:color="auto"/>
            <w:bottom w:val="none" w:sz="0" w:space="0" w:color="auto"/>
            <w:right w:val="none" w:sz="0" w:space="0" w:color="auto"/>
          </w:divBdr>
          <w:divsChild>
            <w:div w:id="1204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157">
      <w:bodyDiv w:val="1"/>
      <w:marLeft w:val="0"/>
      <w:marRight w:val="0"/>
      <w:marTop w:val="0"/>
      <w:marBottom w:val="0"/>
      <w:divBdr>
        <w:top w:val="none" w:sz="0" w:space="0" w:color="auto"/>
        <w:left w:val="none" w:sz="0" w:space="0" w:color="auto"/>
        <w:bottom w:val="none" w:sz="0" w:space="0" w:color="auto"/>
        <w:right w:val="none" w:sz="0" w:space="0" w:color="auto"/>
      </w:divBdr>
    </w:div>
    <w:div w:id="2037660433">
      <w:bodyDiv w:val="1"/>
      <w:marLeft w:val="0"/>
      <w:marRight w:val="0"/>
      <w:marTop w:val="0"/>
      <w:marBottom w:val="0"/>
      <w:divBdr>
        <w:top w:val="none" w:sz="0" w:space="0" w:color="auto"/>
        <w:left w:val="none" w:sz="0" w:space="0" w:color="auto"/>
        <w:bottom w:val="none" w:sz="0" w:space="0" w:color="auto"/>
        <w:right w:val="none" w:sz="0" w:space="0" w:color="auto"/>
      </w:divBdr>
    </w:div>
    <w:div w:id="2106339516">
      <w:bodyDiv w:val="1"/>
      <w:marLeft w:val="0"/>
      <w:marRight w:val="0"/>
      <w:marTop w:val="0"/>
      <w:marBottom w:val="0"/>
      <w:divBdr>
        <w:top w:val="none" w:sz="0" w:space="0" w:color="auto"/>
        <w:left w:val="none" w:sz="0" w:space="0" w:color="auto"/>
        <w:bottom w:val="none" w:sz="0" w:space="0" w:color="auto"/>
        <w:right w:val="none" w:sz="0" w:space="0" w:color="auto"/>
      </w:divBdr>
    </w:div>
    <w:div w:id="212823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luskin.ucla.edu/wp-content/uploads/2021/06/An-Electric-Vehicle-Charging-Station-Siting-Strategy-for-the-South-Coa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79EA1C1F202B40AA7A5BF6CB2A61E3" ma:contentTypeVersion="13" ma:contentTypeDescription="Create a new document." ma:contentTypeScope="" ma:versionID="af495a68a95cc3d79e36574ceb8507c3">
  <xsd:schema xmlns:xsd="http://www.w3.org/2001/XMLSchema" xmlns:xs="http://www.w3.org/2001/XMLSchema" xmlns:p="http://schemas.microsoft.com/office/2006/metadata/properties" xmlns:ns2="520f37f0-40c3-47f1-8332-17031bb3f433" xmlns:ns3="f045a637-3cdd-4f4b-b16c-de55dd2e1607" targetNamespace="http://schemas.microsoft.com/office/2006/metadata/properties" ma:root="true" ma:fieldsID="14e8f3123eeb1caf8e5365efb6e06b98" ns2:_="" ns3:_="">
    <xsd:import namespace="520f37f0-40c3-47f1-8332-17031bb3f433"/>
    <xsd:import namespace="f045a637-3cdd-4f4b-b16c-de55dd2e16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0f37f0-40c3-47f1-8332-17031bb3f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5a637-3cdd-4f4b-b16c-de55dd2e16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f53a49c-f3ac-4549-a5a1-e4162537ce55}" ma:internalName="TaxCatchAll" ma:showField="CatchAllData" ma:web="f045a637-3cdd-4f4b-b16c-de55dd2e16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045a637-3cdd-4f4b-b16c-de55dd2e1607" xsi:nil="true"/>
    <lcf76f155ced4ddcb4097134ff3c332f xmlns="520f37f0-40c3-47f1-8332-17031bb3f433">
      <Terms xmlns="http://schemas.microsoft.com/office/infopath/2007/PartnerControls"/>
    </lcf76f155ced4ddcb4097134ff3c332f>
    <SharedWithUsers xmlns="f045a637-3cdd-4f4b-b16c-de55dd2e1607">
      <UserInfo>
        <DisplayName>Kalafut, Jennifer</DisplayName>
        <AccountId>21</AccountId>
        <AccountType/>
      </UserInfo>
      <UserInfo>
        <DisplayName>Gruendling, Paula</DisplayName>
        <AccountId>309</AccountId>
        <AccountType/>
      </UserInfo>
      <UserInfo>
        <DisplayName>Hernandez-Minjarez, Paul</DisplayName>
        <AccountId>234</AccountId>
        <AccountType/>
      </UserInfo>
      <UserInfo>
        <DisplayName>Baker, Simon</DisplayName>
        <AccountId>434</AccountId>
        <AccountType/>
      </UserInfo>
      <UserInfo>
        <DisplayName>Tesfai, Leuwam</DisplayName>
        <AccountId>734</AccountId>
        <AccountType/>
      </UserInfo>
      <UserInfo>
        <DisplayName>Neuman, Audrey</DisplayName>
        <AccountId>18</AccountId>
        <AccountType/>
      </UserInfo>
    </SharedWithUsers>
  </documentManagement>
</p:properties>
</file>

<file path=customXml/itemProps1.xml><?xml version="1.0" encoding="utf-8"?>
<ds:datastoreItem xmlns:ds="http://schemas.openxmlformats.org/officeDocument/2006/customXml" ds:itemID="{0B3DD195-1C30-4552-A3AC-1D9FA78F3AB4}">
  <ds:schemaRefs>
    <ds:schemaRef ds:uri="http://schemas.microsoft.com/sharepoint/v3/contenttype/forms"/>
  </ds:schemaRefs>
</ds:datastoreItem>
</file>

<file path=customXml/itemProps2.xml><?xml version="1.0" encoding="utf-8"?>
<ds:datastoreItem xmlns:ds="http://schemas.openxmlformats.org/officeDocument/2006/customXml" ds:itemID="{1D562231-E9CC-4C25-9DA1-51FD30FA8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0f37f0-40c3-47f1-8332-17031bb3f433"/>
    <ds:schemaRef ds:uri="f045a637-3cdd-4f4b-b16c-de55dd2e1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9D2F6-A7D4-774A-AE4D-94B806B179CF}">
  <ds:schemaRefs>
    <ds:schemaRef ds:uri="http://schemas.openxmlformats.org/officeDocument/2006/bibliography"/>
  </ds:schemaRefs>
</ds:datastoreItem>
</file>

<file path=customXml/itemProps4.xml><?xml version="1.0" encoding="utf-8"?>
<ds:datastoreItem xmlns:ds="http://schemas.openxmlformats.org/officeDocument/2006/customXml" ds:itemID="{CD568D7D-9408-4DD6-9EC4-8C5D5782268B}">
  <ds:schemaRefs>
    <ds:schemaRef ds:uri="http://schemas.microsoft.com/office/2006/metadata/properties"/>
    <ds:schemaRef ds:uri="http://schemas.microsoft.com/office/infopath/2007/PartnerControls"/>
    <ds:schemaRef ds:uri="f045a637-3cdd-4f4b-b16c-de55dd2e1607"/>
    <ds:schemaRef ds:uri="520f37f0-40c3-47f1-8332-17031bb3f433"/>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21</ap:Pages>
  <ap:Words>5579</ap:Words>
  <ap:Characters>31803</ap:Characters>
  <ap:Application>Microsoft Office Word</ap:Application>
  <ap:DocSecurity>0</ap:DocSecurity>
  <ap:Lines>265</ap:Lines>
  <ap:Paragraphs>74</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37308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2023-09-18T14:11:47Z</dcterms:created>
  <dcterms:modified xsi:type="dcterms:W3CDTF">2023-09-18T14:11:47Z</dcterms:modified>
</cp:coreProperties>
</file>