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1377" w:rsidRDefault="009E1377" w14:paraId="2F11CC9D" w14:textId="77777777">
      <w:pPr>
        <w:pStyle w:val="BodyText"/>
        <w:rPr>
          <w:rFonts w:ascii="Times New Roman"/>
          <w:sz w:val="20"/>
        </w:rPr>
      </w:pPr>
    </w:p>
    <w:p w:rsidR="009E1377" w:rsidRDefault="009C3D0A" w14:paraId="58E37FA5" w14:textId="77777777">
      <w:pPr>
        <w:pStyle w:val="Heading1"/>
        <w:spacing w:before="170"/>
        <w:ind w:left="117" w:right="117"/>
        <w:jc w:val="center"/>
        <w:rPr>
          <w:u w:val="none"/>
        </w:rPr>
      </w:pPr>
      <w:r>
        <w:rPr>
          <w:u w:val="none"/>
        </w:rPr>
        <w:t>PUBLIC</w:t>
      </w:r>
      <w:r>
        <w:rPr>
          <w:spacing w:val="-3"/>
          <w:u w:val="none"/>
        </w:rPr>
        <w:t xml:space="preserve"> </w:t>
      </w:r>
      <w:r>
        <w:rPr>
          <w:u w:val="none"/>
        </w:rPr>
        <w:t>UTILITIES</w:t>
      </w:r>
      <w:r>
        <w:rPr>
          <w:spacing w:val="-2"/>
          <w:u w:val="none"/>
        </w:rPr>
        <w:t xml:space="preserve"> </w:t>
      </w:r>
      <w:r>
        <w:rPr>
          <w:u w:val="none"/>
        </w:rPr>
        <w:t>COMMISSION</w:t>
      </w:r>
      <w:r>
        <w:rPr>
          <w:spacing w:val="-2"/>
          <w:u w:val="none"/>
        </w:rPr>
        <w:t xml:space="preserve"> </w:t>
      </w:r>
      <w:r>
        <w:rPr>
          <w:u w:val="none"/>
        </w:rPr>
        <w:t>OF</w:t>
      </w:r>
      <w:r>
        <w:rPr>
          <w:spacing w:val="-3"/>
          <w:u w:val="none"/>
        </w:rPr>
        <w:t xml:space="preserve"> </w:t>
      </w:r>
      <w:r>
        <w:rPr>
          <w:u w:val="none"/>
        </w:rPr>
        <w:t>THE</w:t>
      </w:r>
      <w:r>
        <w:rPr>
          <w:spacing w:val="-2"/>
          <w:u w:val="none"/>
        </w:rPr>
        <w:t xml:space="preserve"> </w:t>
      </w:r>
      <w:r>
        <w:rPr>
          <w:u w:val="none"/>
        </w:rPr>
        <w:t>STATE</w:t>
      </w:r>
      <w:r>
        <w:rPr>
          <w:spacing w:val="-3"/>
          <w:u w:val="none"/>
        </w:rPr>
        <w:t xml:space="preserve"> </w:t>
      </w:r>
      <w:r>
        <w:rPr>
          <w:u w:val="none"/>
        </w:rPr>
        <w:t>OF</w:t>
      </w:r>
      <w:r>
        <w:rPr>
          <w:spacing w:val="-2"/>
          <w:u w:val="none"/>
        </w:rPr>
        <w:t xml:space="preserve"> CALIFORNIA</w:t>
      </w:r>
    </w:p>
    <w:p w:rsidR="009E1377" w:rsidRDefault="009E1377" w14:paraId="2AA4CA43" w14:textId="77777777">
      <w:pPr>
        <w:pStyle w:val="BodyText"/>
        <w:spacing w:before="13"/>
        <w:rPr>
          <w:b/>
          <w:sz w:val="23"/>
        </w:rPr>
      </w:pPr>
    </w:p>
    <w:tbl>
      <w:tblPr>
        <w:tblW w:w="0" w:type="auto"/>
        <w:tblLayout w:type="fixed"/>
        <w:tblLook w:val="0000" w:firstRow="0" w:lastRow="0" w:firstColumn="0" w:lastColumn="0" w:noHBand="0" w:noVBand="0"/>
      </w:tblPr>
      <w:tblGrid>
        <w:gridCol w:w="6408"/>
        <w:gridCol w:w="3168"/>
      </w:tblGrid>
      <w:tr w:rsidRPr="00C97938" w:rsidR="0035458D" w:rsidTr="000F5E01" w14:paraId="127189A8" w14:textId="77777777">
        <w:tc>
          <w:tcPr>
            <w:tcW w:w="6408" w:type="dxa"/>
          </w:tcPr>
          <w:p w:rsidRPr="00C97938" w:rsidR="0035458D" w:rsidP="000F5E01" w:rsidRDefault="0035458D" w14:paraId="3737B6DD" w14:textId="77777777">
            <w:pPr>
              <w:rPr>
                <w:b/>
                <w:color w:val="000000" w:themeColor="text1"/>
              </w:rPr>
            </w:pPr>
            <w:r w:rsidRPr="00C97938">
              <w:rPr>
                <w:b/>
                <w:color w:val="000000" w:themeColor="text1"/>
              </w:rPr>
              <w:t>Communications Division</w:t>
            </w:r>
          </w:p>
        </w:tc>
        <w:tc>
          <w:tcPr>
            <w:tcW w:w="3168" w:type="dxa"/>
          </w:tcPr>
          <w:p w:rsidRPr="00C97938" w:rsidR="0035458D" w:rsidP="000F5E01" w:rsidRDefault="0035458D" w14:paraId="6F6F0DCE" w14:textId="56850B14">
            <w:pPr>
              <w:pStyle w:val="xl24"/>
              <w:spacing w:before="0" w:beforeAutospacing="0" w:after="0" w:afterAutospacing="0"/>
              <w:rPr>
                <w:rFonts w:ascii="Palatino Linotype" w:hAnsi="Palatino Linotype" w:eastAsia="Times New Roman" w:cs="Times New Roman"/>
                <w:bCs w:val="0"/>
                <w:color w:val="000000" w:themeColor="text1"/>
                <w:szCs w:val="20"/>
              </w:rPr>
            </w:pPr>
            <w:r w:rsidRPr="00C97938">
              <w:rPr>
                <w:rFonts w:ascii="Palatino Linotype" w:hAnsi="Palatino Linotype" w:eastAsia="Times New Roman" w:cs="Times New Roman"/>
                <w:bCs w:val="0"/>
                <w:color w:val="000000" w:themeColor="text1"/>
                <w:szCs w:val="20"/>
              </w:rPr>
              <w:t xml:space="preserve">RESOLUTION </w:t>
            </w:r>
            <w:r w:rsidRPr="00EE2241">
              <w:rPr>
                <w:rFonts w:ascii="Palatino Linotype" w:hAnsi="Palatino Linotype" w:eastAsia="Times New Roman" w:cs="Times New Roman"/>
                <w:bCs w:val="0"/>
                <w:color w:val="000000" w:themeColor="text1"/>
                <w:szCs w:val="20"/>
              </w:rPr>
              <w:t>T-</w:t>
            </w:r>
            <w:r w:rsidR="00DB69C1">
              <w:t xml:space="preserve"> </w:t>
            </w:r>
            <w:r w:rsidRPr="005F5012" w:rsidR="005F5012">
              <w:rPr>
                <w:rFonts w:ascii="Palatino Linotype" w:hAnsi="Palatino Linotype" w:eastAsia="Times New Roman" w:cs="Times New Roman"/>
                <w:bCs w:val="0"/>
                <w:color w:val="000000" w:themeColor="text1"/>
                <w:szCs w:val="20"/>
              </w:rPr>
              <w:t>17798</w:t>
            </w:r>
            <w:r w:rsidRPr="00C97938">
              <w:rPr>
                <w:rFonts w:ascii="Palatino Linotype" w:hAnsi="Palatino Linotype" w:eastAsia="Times New Roman" w:cs="Times New Roman"/>
                <w:bCs w:val="0"/>
                <w:color w:val="000000" w:themeColor="text1"/>
                <w:szCs w:val="20"/>
              </w:rPr>
              <w:t xml:space="preserve"> </w:t>
            </w:r>
          </w:p>
        </w:tc>
      </w:tr>
      <w:tr w:rsidRPr="00725836" w:rsidR="0035458D" w:rsidTr="000F5E01" w14:paraId="2E7546C2" w14:textId="77777777">
        <w:tc>
          <w:tcPr>
            <w:tcW w:w="6408" w:type="dxa"/>
          </w:tcPr>
          <w:p w:rsidRPr="00C97938" w:rsidR="0035458D" w:rsidP="000F5E01" w:rsidRDefault="0035458D" w14:paraId="28BAA236" w14:textId="77777777">
            <w:pPr>
              <w:rPr>
                <w:b/>
                <w:color w:val="000000" w:themeColor="text1"/>
              </w:rPr>
            </w:pPr>
            <w:r w:rsidRPr="00C97938">
              <w:rPr>
                <w:b/>
                <w:color w:val="000000" w:themeColor="text1"/>
              </w:rPr>
              <w:t>Broadband, Video and Market Branch</w:t>
            </w:r>
          </w:p>
        </w:tc>
        <w:tc>
          <w:tcPr>
            <w:tcW w:w="3168" w:type="dxa"/>
          </w:tcPr>
          <w:p w:rsidRPr="00C97938" w:rsidR="0035458D" w:rsidP="000F5E01" w:rsidRDefault="0035458D" w14:paraId="1AEDC397" w14:textId="2E7254FD">
            <w:pPr>
              <w:jc w:val="right"/>
              <w:rPr>
                <w:b/>
                <w:color w:val="000000" w:themeColor="text1"/>
              </w:rPr>
            </w:pPr>
          </w:p>
        </w:tc>
      </w:tr>
    </w:tbl>
    <w:p w:rsidR="009E1377" w:rsidP="009012F6" w:rsidRDefault="009012F6" w14:paraId="3A8A823A" w14:textId="34B4ECB0">
      <w:pPr>
        <w:pStyle w:val="BodyText"/>
        <w:tabs>
          <w:tab w:val="left" w:pos="5490"/>
        </w:tabs>
        <w:rPr>
          <w:b/>
          <w:sz w:val="20"/>
        </w:rPr>
      </w:pPr>
      <w:r>
        <w:rPr>
          <w:b/>
          <w:sz w:val="20"/>
        </w:rPr>
        <w:tab/>
      </w:r>
    </w:p>
    <w:p w:rsidR="009E1377" w:rsidRDefault="008B0E26" w14:paraId="6EB2BBEA" w14:textId="4FD118C4">
      <w:pPr>
        <w:pStyle w:val="Heading1"/>
        <w:ind w:left="117" w:right="117"/>
        <w:jc w:val="center"/>
        <w:rPr>
          <w:u w:val="none"/>
        </w:rPr>
      </w:pPr>
      <w:r>
        <w:t xml:space="preserve">E X E C U T I V E  </w:t>
      </w:r>
      <w:r w:rsidR="00C32754">
        <w:t xml:space="preserve"> </w:t>
      </w:r>
      <w:r>
        <w:t>D I R E C T O R</w:t>
      </w:r>
      <w:r w:rsidR="00C32754">
        <w:t xml:space="preserve"> </w:t>
      </w:r>
      <w:r>
        <w:t xml:space="preserve">  </w:t>
      </w:r>
      <w:r w:rsidR="009C3D0A">
        <w:t xml:space="preserve">R E S O L U T I O </w:t>
      </w:r>
      <w:r w:rsidR="009C3D0A">
        <w:rPr>
          <w:spacing w:val="-10"/>
        </w:rPr>
        <w:t>N</w:t>
      </w:r>
    </w:p>
    <w:p w:rsidR="009E1377" w:rsidRDefault="009E1377" w14:paraId="59DFFFD6" w14:textId="77777777">
      <w:pPr>
        <w:pStyle w:val="BodyText"/>
        <w:spacing w:before="3"/>
        <w:rPr>
          <w:b/>
          <w:sz w:val="22"/>
        </w:rPr>
      </w:pPr>
    </w:p>
    <w:p w:rsidR="009E1377" w:rsidRDefault="009C3D0A" w14:paraId="01668A17" w14:textId="4906E42B">
      <w:pPr>
        <w:spacing w:before="24"/>
        <w:ind w:left="840"/>
        <w:rPr>
          <w:sz w:val="24"/>
        </w:rPr>
      </w:pPr>
      <w:r>
        <w:rPr>
          <w:b/>
          <w:sz w:val="24"/>
        </w:rPr>
        <w:t>Resolution T-</w:t>
      </w:r>
      <w:r w:rsidRPr="005F5012" w:rsidR="005F5012">
        <w:t xml:space="preserve"> </w:t>
      </w:r>
      <w:r w:rsidRPr="005F5012" w:rsidR="005F5012">
        <w:rPr>
          <w:b/>
          <w:sz w:val="24"/>
        </w:rPr>
        <w:t>17798</w:t>
      </w:r>
      <w:r w:rsidR="00906F24">
        <w:rPr>
          <w:b/>
          <w:sz w:val="24"/>
        </w:rPr>
        <w:t>:</w:t>
      </w:r>
      <w:r>
        <w:rPr>
          <w:b/>
          <w:sz w:val="24"/>
        </w:rPr>
        <w:t xml:space="preserve"> </w:t>
      </w:r>
      <w:r w:rsidR="008B0E26">
        <w:rPr>
          <w:b/>
          <w:sz w:val="24"/>
        </w:rPr>
        <w:t>Executive Director Resolution Correcting Typographical and Inadvertant Errors in</w:t>
      </w:r>
      <w:r w:rsidR="008501CA">
        <w:rPr>
          <w:b/>
          <w:sz w:val="24"/>
        </w:rPr>
        <w:t xml:space="preserve"> Resolution T-17791</w:t>
      </w:r>
      <w:r>
        <w:rPr>
          <w:sz w:val="24"/>
        </w:rPr>
        <w:t>.</w:t>
      </w:r>
    </w:p>
    <w:p w:rsidR="009E1377" w:rsidRDefault="008E5ACE" w14:paraId="55CC438F" w14:textId="244A6FA9">
      <w:pPr>
        <w:pStyle w:val="BodyText"/>
        <w:spacing w:before="8"/>
        <w:rPr>
          <w:sz w:val="22"/>
        </w:rPr>
      </w:pPr>
      <w:r>
        <w:rPr>
          <w:noProof/>
        </w:rPr>
        <mc:AlternateContent>
          <mc:Choice Requires="wps">
            <w:drawing>
              <wp:anchor distT="0" distB="0" distL="0" distR="0" simplePos="0" relativeHeight="251658240" behindDoc="1" locked="0" layoutInCell="1" allowOverlap="1" wp14:editId="60F7FA4E" wp14:anchorId="5F2A5D80">
                <wp:simplePos x="0" y="0"/>
                <wp:positionH relativeFrom="page">
                  <wp:posOffset>1440180</wp:posOffset>
                </wp:positionH>
                <wp:positionV relativeFrom="paragraph">
                  <wp:posOffset>208915</wp:posOffset>
                </wp:positionV>
                <wp:extent cx="5257800" cy="1270"/>
                <wp:effectExtent l="0" t="0" r="0" b="0"/>
                <wp:wrapTopAndBottom/>
                <wp:docPr id="5218733" name="Freeform: Shape 52187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
                        </a:xfrm>
                        <a:custGeom>
                          <a:avLst/>
                          <a:gdLst>
                            <a:gd name="T0" fmla="+- 0 2268 2268"/>
                            <a:gd name="T1" fmla="*/ T0 w 8280"/>
                            <a:gd name="T2" fmla="+- 0 10548 2268"/>
                            <a:gd name="T3" fmla="*/ T2 w 8280"/>
                          </a:gdLst>
                          <a:ahLst/>
                          <a:cxnLst>
                            <a:cxn ang="0">
                              <a:pos x="T1" y="0"/>
                            </a:cxn>
                            <a:cxn ang="0">
                              <a:pos x="T3" y="0"/>
                            </a:cxn>
                          </a:cxnLst>
                          <a:rect l="0" t="0" r="r" b="b"/>
                          <a:pathLst>
                            <a:path w="8280">
                              <a:moveTo>
                                <a:pt x="0" y="0"/>
                              </a:moveTo>
                              <a:lnTo>
                                <a:pt x="82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Shape 5218733" style="position:absolute;margin-left:113.4pt;margin-top:16.45pt;width:414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spid="_x0000_s1026" filled="f" strokeweight=".5pt" path="m,l82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zcmmwIAAJgFAAAOAAAAZHJzL2Uyb0RvYy54bWysVNtu2zAMfR+wfxD0uKG14yZtZtQphnYd&#10;BnQXoNkHKLIcG5NFTVLidF8/irZTL9tehvlBkEzq8PCQ4vXNodVsr5xvwBR8dp5ypoyEsjHbgn9d&#10;358tOfNBmFJoMKrgT8rzm9XLF9edzVUGNehSOYYgxuedLXgdgs2TxMtatcKfg1UGjRW4VgQ8um1S&#10;OtEhequTLE0vkw5caR1I5T3+veuNfEX4VaVk+FxVXgWmC47cAq2O1k1ck9W1yLdO2LqRAw3xDyxa&#10;0RgMeoS6E0GwnWt+g2ob6cBDFc4ltAlUVSMV5YDZzNKTbB5rYRXlguJ4e5TJ/z9Y+Wn/aL+4SN3b&#10;B5DfPCqSdNbnR0s8ePRhm+4jlFhDsQtAyR4q18abmAY7kKZPR03VITCJPxfZ4mqZovQSbbPsiiRP&#10;RD7elTsf3isgHLF/8KGvSIk70rNkRrQYdI0QVauxOK/PWMqy7HJJy1DBo9tsdHuVsHXKOrbMlmOZ&#10;j07Z6ERYs3Qx/zPYxegXwbIJGCawHSmKemQtD2agjTsm4hNISSgLPgq0RnKjQoiATjHFv/hi7FPf&#10;/s4QwmFvn3a14wy7etNrYkWIzGKIuGVdwUmL+KOFvVoDmcJJ6TDIs1WbqRddn7LqzXgjBsC+6TcU&#10;NHKdlNbAfaM11VabSOXyYtFr40E3ZTRGNt5tN7fasb2I75W+mAyC/eJmnQ93wte9H5n6nB3sTElR&#10;aiXKd8M+iEb3ewTSKDo1eOzpOCd8voHyCfvbQT8ecJzhpgb3g7MOR0PB/fedcIoz/cHg23szm8/j&#10;LKHDfHGV4cFNLZupRRiJUAUPHDsibm9DP3921jXbGiPNqEcMvMV3VTXxARC/ntVwwOdPMgyjKs6X&#10;6Zm8ngfq6icAAAD//wMAUEsDBBQABgAIAAAAIQAB3YP83wAAAAoBAAAPAAAAZHJzL2Rvd25yZXYu&#10;eG1sTI/dSsNAEIXvBd9hGcE7u2nSFo3ZlFoQQSy0sQ+wzY5JMDsbstskvr3Tq/by/HDmm2w92VYM&#10;2PvGkYL5LAKBVDrTUKXg+P3+9AzCB01Gt45QwR96WOf3d5lOjRvpgEMRKsEj5FOtoA6hS6X0ZY1W&#10;+5nrkDj7cb3VgWVfSdPrkcdtK+MoWkmrG+ILte5wW2P5W5ytgs8P97YvpmGx/dolwxHluOvKjVKP&#10;D9PmFUTAKVzLcMFndMiZ6eTOZLxoFcTxitGDgiR+AXEpRMsFOyd2kjnIPJO3L+T/AAAA//8DAFBL&#10;AQItABQABgAIAAAAIQC2gziS/gAAAOEBAAATAAAAAAAAAAAAAAAAAAAAAABbQ29udGVudF9UeXBl&#10;c10ueG1sUEsBAi0AFAAGAAgAAAAhADj9If/WAAAAlAEAAAsAAAAAAAAAAAAAAAAALwEAAF9yZWxz&#10;Ly5yZWxzUEsBAi0AFAAGAAgAAAAhAEOfNyabAgAAmAUAAA4AAAAAAAAAAAAAAAAALgIAAGRycy9l&#10;Mm9Eb2MueG1sUEsBAi0AFAAGAAgAAAAhAAHdg/zfAAAACgEAAA8AAAAAAAAAAAAAAAAA9QQAAGRy&#10;cy9kb3ducmV2LnhtbFBLBQYAAAAABAAEAPMAAAABBgAAAAA=&#10;" w14:anchorId="4254AB99">
                <v:path arrowok="t" o:connecttype="custom" o:connectlocs="0,0;5257800,0" o:connectangles="0,0"/>
                <w10:wrap type="topAndBottom" anchorx="page"/>
              </v:shape>
            </w:pict>
          </mc:Fallback>
        </mc:AlternateContent>
      </w:r>
    </w:p>
    <w:p w:rsidR="008B0E26" w:rsidRDefault="008B0E26" w14:paraId="37309F06" w14:textId="77777777">
      <w:pPr>
        <w:pStyle w:val="BodyText"/>
        <w:spacing w:before="3"/>
        <w:rPr>
          <w:sz w:val="22"/>
        </w:rPr>
      </w:pPr>
    </w:p>
    <w:p w:rsidR="00C32754" w:rsidP="00C32754" w:rsidRDefault="00A04E57" w14:paraId="1128FBE7" w14:textId="0802FECE">
      <w:pPr>
        <w:pStyle w:val="BodyText"/>
        <w:spacing w:before="3"/>
        <w:rPr>
          <w:sz w:val="22"/>
        </w:rPr>
      </w:pPr>
      <w:r w:rsidRPr="00A04E57">
        <w:rPr>
          <w:sz w:val="22"/>
        </w:rPr>
        <w:t>Final Resolution T-17791 was issued on June 8, 2023, containing obvious typographical errors.  This Executive Director Resolution corrects T-17791 due to typographical errors on page 1</w:t>
      </w:r>
      <w:r w:rsidR="00AA0692">
        <w:rPr>
          <w:sz w:val="22"/>
        </w:rPr>
        <w:t>,</w:t>
      </w:r>
      <w:r w:rsidRPr="00A04E57">
        <w:rPr>
          <w:sz w:val="22"/>
        </w:rPr>
        <w:t xml:space="preserve"> page 2, Table 1, Finding No. 1, and Ordering Paragraph Nos. 1 and 2 which mistakenly lists the total amount approved as $951,068.94 when it should have been listed as $1,025,846.70.  The individual grant amounts awarded for each of the 14 projects are correctly listed in T-17791, Table 1 and in the ordering paragraphs, </w:t>
      </w:r>
      <w:r w:rsidR="00AA0692">
        <w:rPr>
          <w:sz w:val="22"/>
        </w:rPr>
        <w:t>but</w:t>
      </w:r>
      <w:r w:rsidRPr="00A04E57">
        <w:rPr>
          <w:sz w:val="22"/>
        </w:rPr>
        <w:t xml:space="preserve"> are incorrectly totaled. </w:t>
      </w:r>
      <w:r w:rsidR="00AA0692">
        <w:rPr>
          <w:sz w:val="22"/>
        </w:rPr>
        <w:t xml:space="preserve"> </w:t>
      </w:r>
      <w:r w:rsidRPr="00A04E57">
        <w:rPr>
          <w:sz w:val="22"/>
        </w:rPr>
        <w:t>Because these inadvertent errors may cause confusion, we correct these errors today.</w:t>
      </w:r>
    </w:p>
    <w:p w:rsidRPr="00C32754" w:rsidR="00A04E57" w:rsidP="00C32754" w:rsidRDefault="00A04E57" w14:paraId="5C2960E2" w14:textId="77777777">
      <w:pPr>
        <w:pStyle w:val="BodyText"/>
        <w:spacing w:before="3"/>
        <w:rPr>
          <w:sz w:val="22"/>
        </w:rPr>
      </w:pPr>
    </w:p>
    <w:p w:rsidRPr="00C32754" w:rsidR="00276070" w:rsidP="00276070" w:rsidRDefault="00276070" w14:paraId="5C351D11" w14:textId="121EF88D">
      <w:pPr>
        <w:pStyle w:val="BodyText"/>
        <w:spacing w:before="3"/>
        <w:rPr>
          <w:sz w:val="22"/>
        </w:rPr>
      </w:pPr>
      <w:r w:rsidRPr="00C32754">
        <w:rPr>
          <w:sz w:val="22"/>
        </w:rPr>
        <w:t xml:space="preserve">The following sentence in the </w:t>
      </w:r>
      <w:r w:rsidR="00611983">
        <w:rPr>
          <w:sz w:val="22"/>
        </w:rPr>
        <w:t>title of the Resolution</w:t>
      </w:r>
      <w:r w:rsidR="00A04E57">
        <w:rPr>
          <w:sz w:val="22"/>
        </w:rPr>
        <w:t xml:space="preserve"> </w:t>
      </w:r>
      <w:r>
        <w:rPr>
          <w:sz w:val="22"/>
        </w:rPr>
        <w:t>on page 1</w:t>
      </w:r>
      <w:r w:rsidRPr="00C32754">
        <w:rPr>
          <w:sz w:val="22"/>
        </w:rPr>
        <w:t xml:space="preserve"> of Resolution T-17791 is corrected as follows:</w:t>
      </w:r>
    </w:p>
    <w:p w:rsidRPr="00276070" w:rsidR="00276070" w:rsidP="001F1D49" w:rsidRDefault="00276070" w14:paraId="4F7AE4FD" w14:textId="77777777">
      <w:pPr>
        <w:pStyle w:val="BodyText"/>
        <w:spacing w:before="3"/>
        <w:ind w:left="720"/>
        <w:rPr>
          <w:sz w:val="22"/>
        </w:rPr>
      </w:pPr>
      <w:r w:rsidRPr="00276070">
        <w:rPr>
          <w:sz w:val="22"/>
        </w:rPr>
        <w:t>RESOLUTION T-17791: Approval of fourteen (14) public housing infrastructure</w:t>
      </w:r>
    </w:p>
    <w:p w:rsidRPr="00276070" w:rsidR="00276070" w:rsidP="001F1D49" w:rsidRDefault="00276070" w14:paraId="38AF95E0" w14:textId="77777777">
      <w:pPr>
        <w:pStyle w:val="BodyText"/>
        <w:spacing w:before="3"/>
        <w:ind w:left="720"/>
        <w:rPr>
          <w:sz w:val="22"/>
        </w:rPr>
      </w:pPr>
      <w:r w:rsidRPr="00276070">
        <w:rPr>
          <w:sz w:val="22"/>
        </w:rPr>
        <w:t>projects for grant funding from the California Advanced Services Fund’s Broadband</w:t>
      </w:r>
    </w:p>
    <w:p w:rsidR="00276070" w:rsidP="001F1D49" w:rsidRDefault="00276070" w14:paraId="2A31ADA7" w14:textId="0883C5A7">
      <w:pPr>
        <w:pStyle w:val="BodyText"/>
        <w:spacing w:before="3"/>
        <w:ind w:left="720"/>
        <w:rPr>
          <w:sz w:val="22"/>
        </w:rPr>
      </w:pPr>
      <w:r w:rsidRPr="00276070">
        <w:rPr>
          <w:sz w:val="22"/>
        </w:rPr>
        <w:t xml:space="preserve">Public Housing Account totaling </w:t>
      </w:r>
      <w:r w:rsidRPr="00C32754">
        <w:rPr>
          <w:sz w:val="22"/>
        </w:rPr>
        <w:t>$1,025,846.70</w:t>
      </w:r>
      <w:r w:rsidRPr="00276070">
        <w:rPr>
          <w:sz w:val="22"/>
        </w:rPr>
        <w:t>.</w:t>
      </w:r>
      <w:r w:rsidRPr="00276070">
        <w:rPr>
          <w:sz w:val="22"/>
        </w:rPr>
        <w:cr/>
      </w:r>
    </w:p>
    <w:p w:rsidRPr="00C32754" w:rsidR="00C32754" w:rsidP="00C32754" w:rsidRDefault="00C32754" w14:paraId="6C548064" w14:textId="172965C3">
      <w:pPr>
        <w:pStyle w:val="BodyText"/>
        <w:spacing w:before="3"/>
        <w:rPr>
          <w:sz w:val="22"/>
        </w:rPr>
      </w:pPr>
      <w:r w:rsidRPr="00C32754">
        <w:rPr>
          <w:sz w:val="22"/>
        </w:rPr>
        <w:t>The following sentence in the Summary Section</w:t>
      </w:r>
      <w:r w:rsidR="0063528B">
        <w:rPr>
          <w:sz w:val="22"/>
        </w:rPr>
        <w:t xml:space="preserve"> on page 1</w:t>
      </w:r>
      <w:r w:rsidRPr="00C32754">
        <w:rPr>
          <w:sz w:val="22"/>
        </w:rPr>
        <w:t xml:space="preserve"> of Resolution T-17791 is corrected as follows:</w:t>
      </w:r>
    </w:p>
    <w:p w:rsidRPr="00C32754" w:rsidR="00C32754" w:rsidP="00C32754" w:rsidRDefault="00C32754" w14:paraId="00CE745E" w14:textId="77777777">
      <w:pPr>
        <w:pStyle w:val="BodyText"/>
        <w:spacing w:before="3"/>
        <w:ind w:left="720"/>
        <w:rPr>
          <w:sz w:val="22"/>
        </w:rPr>
      </w:pPr>
      <w:r w:rsidRPr="00C32754">
        <w:rPr>
          <w:sz w:val="22"/>
        </w:rPr>
        <w:t>This Resolution approves grant funding in the amount of $1,025,846.70 from the California Advanced Services Fund (CASF) Broadband Public Housing Account (BPHA) for 14 projects from five applicants.</w:t>
      </w:r>
    </w:p>
    <w:p w:rsidRPr="00C32754" w:rsidR="00C32754" w:rsidP="00C32754" w:rsidRDefault="00C32754" w14:paraId="0B52ED54" w14:textId="77777777">
      <w:pPr>
        <w:pStyle w:val="BodyText"/>
        <w:spacing w:before="3"/>
        <w:rPr>
          <w:sz w:val="22"/>
        </w:rPr>
      </w:pPr>
    </w:p>
    <w:p w:rsidRPr="00C32754" w:rsidR="00C32754" w:rsidP="00C32754" w:rsidRDefault="00C32754" w14:paraId="07676552" w14:textId="77777777">
      <w:pPr>
        <w:pStyle w:val="BodyText"/>
        <w:spacing w:before="3"/>
        <w:rPr>
          <w:sz w:val="22"/>
        </w:rPr>
      </w:pPr>
      <w:r w:rsidRPr="00C32754">
        <w:rPr>
          <w:sz w:val="22"/>
        </w:rPr>
        <w:t xml:space="preserve">The following typographical error on page 2, Table 1 of Resolution T-17791 is corrected as follows: </w:t>
      </w:r>
    </w:p>
    <w:p w:rsidRPr="00C32754" w:rsidR="00C32754" w:rsidP="00C32754" w:rsidRDefault="00C32754" w14:paraId="24A6A371" w14:textId="2EF00DFB">
      <w:pPr>
        <w:pStyle w:val="BodyText"/>
        <w:spacing w:before="3"/>
        <w:rPr>
          <w:sz w:val="22"/>
        </w:rPr>
      </w:pPr>
      <w:r w:rsidRPr="00C32754">
        <w:rPr>
          <w:sz w:val="22"/>
        </w:rPr>
        <w:tab/>
        <w:t>Total: $1,025,846.70</w:t>
      </w:r>
    </w:p>
    <w:p w:rsidRPr="00C32754" w:rsidR="00C32754" w:rsidP="00C32754" w:rsidRDefault="00C32754" w14:paraId="27D8DB10" w14:textId="77777777">
      <w:pPr>
        <w:pStyle w:val="BodyText"/>
        <w:spacing w:before="3"/>
        <w:rPr>
          <w:sz w:val="22"/>
        </w:rPr>
      </w:pPr>
    </w:p>
    <w:p w:rsidRPr="00C32754" w:rsidR="00C32754" w:rsidP="00C32754" w:rsidRDefault="00C32754" w14:paraId="4558CF10" w14:textId="10A66508">
      <w:pPr>
        <w:pStyle w:val="BodyText"/>
        <w:spacing w:before="3"/>
        <w:rPr>
          <w:sz w:val="22"/>
        </w:rPr>
      </w:pPr>
      <w:r w:rsidRPr="00C32754">
        <w:rPr>
          <w:sz w:val="22"/>
        </w:rPr>
        <w:t xml:space="preserve">The following sentence in Finding No. 1 </w:t>
      </w:r>
      <w:r w:rsidR="00835F91">
        <w:rPr>
          <w:sz w:val="22"/>
        </w:rPr>
        <w:t xml:space="preserve">on page 11 </w:t>
      </w:r>
      <w:r w:rsidRPr="00C32754">
        <w:rPr>
          <w:sz w:val="22"/>
        </w:rPr>
        <w:t xml:space="preserve">of Resolution T-17791 is corrected as follows:  </w:t>
      </w:r>
    </w:p>
    <w:p w:rsidRPr="00C32754" w:rsidR="00C32754" w:rsidP="00C32754" w:rsidRDefault="00C32754" w14:paraId="7B0C7DA0" w14:textId="77777777">
      <w:pPr>
        <w:pStyle w:val="BodyText"/>
        <w:spacing w:before="3"/>
        <w:ind w:left="720"/>
        <w:rPr>
          <w:sz w:val="22"/>
        </w:rPr>
      </w:pPr>
      <w:r w:rsidRPr="00C32754">
        <w:rPr>
          <w:sz w:val="22"/>
        </w:rPr>
        <w:t>On January 1, 2023, CHISPA, Eden Housing, RCD Housing, SHE, and Shelter Inc. submitted applications for 14 projects totaling $1,025,846.70 for CASF funding.</w:t>
      </w:r>
    </w:p>
    <w:p w:rsidRPr="00C32754" w:rsidR="00C32754" w:rsidP="00C32754" w:rsidRDefault="00C32754" w14:paraId="293C5F5C" w14:textId="77777777">
      <w:pPr>
        <w:pStyle w:val="BodyText"/>
        <w:spacing w:before="3"/>
        <w:rPr>
          <w:sz w:val="22"/>
        </w:rPr>
      </w:pPr>
    </w:p>
    <w:p w:rsidRPr="00C32754" w:rsidR="00C32754" w:rsidP="00C32754" w:rsidRDefault="00C32754" w14:paraId="0C230632" w14:textId="65B66B25">
      <w:pPr>
        <w:pStyle w:val="BodyText"/>
        <w:spacing w:before="3"/>
        <w:rPr>
          <w:sz w:val="22"/>
        </w:rPr>
      </w:pPr>
      <w:r w:rsidRPr="00C32754">
        <w:rPr>
          <w:sz w:val="22"/>
        </w:rPr>
        <w:t xml:space="preserve">The following sentence in Ordering Paragraph No. 1 </w:t>
      </w:r>
      <w:r w:rsidR="00835F91">
        <w:rPr>
          <w:sz w:val="22"/>
        </w:rPr>
        <w:t xml:space="preserve">on page 12 </w:t>
      </w:r>
      <w:r w:rsidRPr="00C32754">
        <w:rPr>
          <w:sz w:val="22"/>
        </w:rPr>
        <w:t>of Resolution T-17791 is corrected as follows:</w:t>
      </w:r>
    </w:p>
    <w:p w:rsidRPr="00C32754" w:rsidR="00C32754" w:rsidP="00C32754" w:rsidRDefault="00C32754" w14:paraId="36B1615D" w14:textId="77777777">
      <w:pPr>
        <w:pStyle w:val="BodyText"/>
        <w:spacing w:before="3"/>
        <w:rPr>
          <w:sz w:val="22"/>
        </w:rPr>
      </w:pPr>
      <w:r w:rsidRPr="00C32754">
        <w:rPr>
          <w:sz w:val="22"/>
        </w:rPr>
        <w:tab/>
        <w:t>The Commission shall award the following grant amounts for the projects listed in Table 1:</w:t>
      </w:r>
    </w:p>
    <w:p w:rsidRPr="00C32754" w:rsidR="00C32754" w:rsidP="00C32754" w:rsidRDefault="00C32754" w14:paraId="4DF10546" w14:textId="77777777">
      <w:pPr>
        <w:pStyle w:val="BodyText"/>
        <w:spacing w:before="3"/>
        <w:rPr>
          <w:sz w:val="22"/>
        </w:rPr>
      </w:pPr>
      <w:r w:rsidRPr="00C32754">
        <w:rPr>
          <w:sz w:val="22"/>
        </w:rPr>
        <w:t xml:space="preserve"> </w:t>
      </w:r>
      <w:r w:rsidRPr="00C32754">
        <w:rPr>
          <w:sz w:val="22"/>
        </w:rPr>
        <w:tab/>
        <w:t xml:space="preserve">• $134,777.76 to CHISPA for one project; </w:t>
      </w:r>
    </w:p>
    <w:p w:rsidRPr="00C32754" w:rsidR="00C32754" w:rsidP="00C32754" w:rsidRDefault="00C32754" w14:paraId="32643C20" w14:textId="77777777">
      <w:pPr>
        <w:pStyle w:val="BodyText"/>
        <w:spacing w:before="3"/>
        <w:ind w:firstLine="720"/>
        <w:rPr>
          <w:sz w:val="22"/>
        </w:rPr>
      </w:pPr>
      <w:r w:rsidRPr="00C32754">
        <w:rPr>
          <w:sz w:val="22"/>
        </w:rPr>
        <w:t xml:space="preserve">• $108,887.94 to Eden Housing for one project; </w:t>
      </w:r>
    </w:p>
    <w:p w:rsidRPr="00C32754" w:rsidR="00C32754" w:rsidP="00C32754" w:rsidRDefault="00C32754" w14:paraId="4A636E77" w14:textId="77777777">
      <w:pPr>
        <w:pStyle w:val="BodyText"/>
        <w:spacing w:before="3"/>
        <w:ind w:firstLine="720"/>
        <w:rPr>
          <w:sz w:val="22"/>
        </w:rPr>
      </w:pPr>
      <w:r w:rsidRPr="00C32754">
        <w:rPr>
          <w:sz w:val="22"/>
        </w:rPr>
        <w:lastRenderedPageBreak/>
        <w:t xml:space="preserve">• $482,563 to RCD Housing for six projects; </w:t>
      </w:r>
    </w:p>
    <w:p w:rsidRPr="00C32754" w:rsidR="00C32754" w:rsidP="00C32754" w:rsidRDefault="00C32754" w14:paraId="6391B913" w14:textId="77777777">
      <w:pPr>
        <w:pStyle w:val="BodyText"/>
        <w:spacing w:before="3"/>
        <w:ind w:firstLine="720"/>
        <w:rPr>
          <w:sz w:val="22"/>
        </w:rPr>
      </w:pPr>
      <w:r w:rsidRPr="00C32754">
        <w:rPr>
          <w:sz w:val="22"/>
        </w:rPr>
        <w:t xml:space="preserve">• $217,715 to SHE for five projects; </w:t>
      </w:r>
    </w:p>
    <w:p w:rsidRPr="00C32754" w:rsidR="00C32754" w:rsidP="00C32754" w:rsidRDefault="00C32754" w14:paraId="6875F2AE" w14:textId="77777777">
      <w:pPr>
        <w:pStyle w:val="BodyText"/>
        <w:spacing w:before="3"/>
        <w:ind w:firstLine="720"/>
        <w:rPr>
          <w:sz w:val="22"/>
        </w:rPr>
      </w:pPr>
      <w:r w:rsidRPr="00C32754">
        <w:rPr>
          <w:sz w:val="22"/>
        </w:rPr>
        <w:t xml:space="preserve">• $81,903 to Shelter Inc. for one project; </w:t>
      </w:r>
    </w:p>
    <w:p w:rsidRPr="00C32754" w:rsidR="00C32754" w:rsidP="00C32754" w:rsidRDefault="00C32754" w14:paraId="0FEBE2D1" w14:textId="77777777">
      <w:pPr>
        <w:pStyle w:val="BodyText"/>
        <w:spacing w:before="3"/>
        <w:rPr>
          <w:sz w:val="22"/>
        </w:rPr>
      </w:pPr>
    </w:p>
    <w:p w:rsidRPr="00C32754" w:rsidR="00C32754" w:rsidP="00C32754" w:rsidRDefault="00C32754" w14:paraId="67692B17" w14:textId="52925C0D">
      <w:pPr>
        <w:pStyle w:val="BodyText"/>
        <w:spacing w:before="3"/>
        <w:ind w:left="720"/>
        <w:rPr>
          <w:sz w:val="22"/>
        </w:rPr>
      </w:pPr>
      <w:r w:rsidRPr="00C32754">
        <w:rPr>
          <w:sz w:val="22"/>
        </w:rPr>
        <w:t xml:space="preserve">The total grant award is $1,025,846.70. </w:t>
      </w:r>
      <w:r w:rsidR="00835F91">
        <w:rPr>
          <w:sz w:val="22"/>
        </w:rPr>
        <w:t xml:space="preserve"> </w:t>
      </w:r>
      <w:r w:rsidRPr="00C32754">
        <w:rPr>
          <w:sz w:val="22"/>
        </w:rPr>
        <w:t>All awards are based on the descriptions of the projects as described herein and are predicated on commitments to install and operate broadband infrastructure as expressed in its application and compliance with the requirements in as specified in D.22-05-029 and this Resolution.</w:t>
      </w:r>
    </w:p>
    <w:p w:rsidRPr="00C32754" w:rsidR="00C32754" w:rsidP="00C32754" w:rsidRDefault="00C32754" w14:paraId="48A6EFEA" w14:textId="77777777">
      <w:pPr>
        <w:pStyle w:val="BodyText"/>
        <w:spacing w:before="3"/>
        <w:rPr>
          <w:sz w:val="22"/>
        </w:rPr>
      </w:pPr>
    </w:p>
    <w:p w:rsidRPr="00C32754" w:rsidR="00C32754" w:rsidP="00C32754" w:rsidRDefault="00C32754" w14:paraId="474EC6B0" w14:textId="4E6E24E6">
      <w:pPr>
        <w:pStyle w:val="BodyText"/>
        <w:spacing w:before="3"/>
        <w:rPr>
          <w:sz w:val="22"/>
        </w:rPr>
      </w:pPr>
      <w:r w:rsidRPr="00C32754">
        <w:rPr>
          <w:sz w:val="22"/>
        </w:rPr>
        <w:t xml:space="preserve">The following sentence in Ordering Paragraph No. 2 </w:t>
      </w:r>
      <w:r w:rsidR="00835F91">
        <w:rPr>
          <w:sz w:val="22"/>
        </w:rPr>
        <w:t xml:space="preserve">on page 12 </w:t>
      </w:r>
      <w:r w:rsidRPr="00C32754">
        <w:rPr>
          <w:sz w:val="22"/>
        </w:rPr>
        <w:t>of Resolution T-17791 is corrected as follows:</w:t>
      </w:r>
    </w:p>
    <w:p w:rsidRPr="00C32754" w:rsidR="00C32754" w:rsidP="00C32754" w:rsidRDefault="00C32754" w14:paraId="3429303F" w14:textId="77777777">
      <w:pPr>
        <w:pStyle w:val="BodyText"/>
        <w:spacing w:before="3"/>
        <w:ind w:left="720"/>
        <w:rPr>
          <w:sz w:val="22"/>
        </w:rPr>
      </w:pPr>
      <w:r w:rsidRPr="00C32754">
        <w:rPr>
          <w:sz w:val="22"/>
        </w:rPr>
        <w:t>Grant payments of up to a total of $1,025,846.70 for these public housing projects shall be paid out of the CASF Public Housing Account in accordance with the guidelines adopted in D.22-05-029, including compliance with CEQA.</w:t>
      </w:r>
    </w:p>
    <w:p w:rsidRPr="00C32754" w:rsidR="00C32754" w:rsidP="00C32754" w:rsidRDefault="00C32754" w14:paraId="2B2CA05A" w14:textId="77777777">
      <w:pPr>
        <w:pStyle w:val="BodyText"/>
        <w:spacing w:before="3"/>
        <w:rPr>
          <w:sz w:val="22"/>
        </w:rPr>
      </w:pPr>
    </w:p>
    <w:p w:rsidRPr="00C32754" w:rsidR="00C32754" w:rsidP="00C32754" w:rsidRDefault="00C32754" w14:paraId="6A1070C3" w14:textId="75F5CEF1">
      <w:pPr>
        <w:pStyle w:val="BodyText"/>
        <w:spacing w:before="3"/>
        <w:rPr>
          <w:sz w:val="22"/>
        </w:rPr>
      </w:pPr>
      <w:r w:rsidRPr="00C32754">
        <w:rPr>
          <w:sz w:val="22"/>
        </w:rPr>
        <w:t>The full corrected Resolution T-17791 is included in Attachment A.</w:t>
      </w:r>
    </w:p>
    <w:p w:rsidRPr="00C32754" w:rsidR="00C32754" w:rsidP="00C32754" w:rsidRDefault="00C32754" w14:paraId="13C2E167" w14:textId="77777777">
      <w:pPr>
        <w:pStyle w:val="BodyText"/>
        <w:spacing w:before="3"/>
        <w:rPr>
          <w:sz w:val="22"/>
        </w:rPr>
      </w:pPr>
    </w:p>
    <w:p w:rsidRPr="00C32754" w:rsidR="00C32754" w:rsidP="00C32754" w:rsidRDefault="00C32754" w14:paraId="364DE9DC" w14:textId="5FE61B8F">
      <w:pPr>
        <w:pStyle w:val="BodyText"/>
        <w:spacing w:before="3"/>
        <w:rPr>
          <w:sz w:val="22"/>
        </w:rPr>
      </w:pPr>
      <w:r w:rsidRPr="00C32754">
        <w:rPr>
          <w:b/>
          <w:bCs/>
          <w:sz w:val="22"/>
        </w:rPr>
        <w:t>THEREFORE</w:t>
      </w:r>
      <w:r w:rsidRPr="00C32754">
        <w:rPr>
          <w:sz w:val="22"/>
        </w:rPr>
        <w:t xml:space="preserve">, pursuant to Resolution </w:t>
      </w:r>
      <w:r w:rsidR="00A04E57">
        <w:rPr>
          <w:sz w:val="22"/>
        </w:rPr>
        <w:t>A-4661</w:t>
      </w:r>
      <w:r w:rsidRPr="00C32754">
        <w:rPr>
          <w:sz w:val="22"/>
        </w:rPr>
        <w:t>,</w:t>
      </w:r>
    </w:p>
    <w:p w:rsidRPr="00C32754" w:rsidR="00C32754" w:rsidP="00C32754" w:rsidRDefault="00C32754" w14:paraId="661174A9" w14:textId="77777777">
      <w:pPr>
        <w:pStyle w:val="BodyText"/>
        <w:spacing w:before="3"/>
        <w:rPr>
          <w:sz w:val="22"/>
        </w:rPr>
      </w:pPr>
    </w:p>
    <w:p w:rsidRPr="00C32754" w:rsidR="00C32754" w:rsidP="00C32754" w:rsidRDefault="00C32754" w14:paraId="46B56C22" w14:textId="77777777">
      <w:pPr>
        <w:pStyle w:val="BodyText"/>
        <w:spacing w:before="3"/>
        <w:rPr>
          <w:sz w:val="22"/>
        </w:rPr>
      </w:pPr>
      <w:r w:rsidRPr="00C32754">
        <w:rPr>
          <w:b/>
          <w:bCs/>
          <w:sz w:val="22"/>
        </w:rPr>
        <w:t>IT IS ORDERED THAT</w:t>
      </w:r>
      <w:r w:rsidRPr="00C32754">
        <w:rPr>
          <w:sz w:val="22"/>
        </w:rPr>
        <w:t>:</w:t>
      </w:r>
    </w:p>
    <w:p w:rsidRPr="00C32754" w:rsidR="00C32754" w:rsidP="00C32754" w:rsidRDefault="00C32754" w14:paraId="39022E0B" w14:textId="6446C651">
      <w:pPr>
        <w:pStyle w:val="BodyText"/>
        <w:spacing w:before="3"/>
        <w:rPr>
          <w:sz w:val="22"/>
        </w:rPr>
      </w:pPr>
      <w:r w:rsidRPr="00C32754">
        <w:rPr>
          <w:sz w:val="22"/>
        </w:rPr>
        <w:t>1.</w:t>
      </w:r>
      <w:r w:rsidR="00A04E57">
        <w:rPr>
          <w:sz w:val="22"/>
        </w:rPr>
        <w:t xml:space="preserve"> </w:t>
      </w:r>
      <w:r w:rsidRPr="00C32754">
        <w:rPr>
          <w:sz w:val="22"/>
        </w:rPr>
        <w:t>Resolution T-17791 is corrected as described in this order.</w:t>
      </w:r>
    </w:p>
    <w:p w:rsidR="00C32754" w:rsidP="00C32754" w:rsidRDefault="00C32754" w14:paraId="5FB5056F" w14:textId="624C9546">
      <w:pPr>
        <w:pStyle w:val="BodyText"/>
        <w:spacing w:before="3"/>
        <w:rPr>
          <w:sz w:val="22"/>
        </w:rPr>
      </w:pPr>
      <w:r w:rsidRPr="00C32754">
        <w:rPr>
          <w:sz w:val="22"/>
        </w:rPr>
        <w:t>2.</w:t>
      </w:r>
      <w:r w:rsidR="00A04E57">
        <w:rPr>
          <w:sz w:val="22"/>
        </w:rPr>
        <w:t xml:space="preserve"> </w:t>
      </w:r>
      <w:r w:rsidRPr="00C32754">
        <w:rPr>
          <w:sz w:val="22"/>
        </w:rPr>
        <w:t>A corrected Resolution T-17791 is included in Attachment A.</w:t>
      </w:r>
    </w:p>
    <w:p w:rsidR="008B0E26" w:rsidRDefault="008B0E26" w14:paraId="555B65A4" w14:textId="77777777">
      <w:pPr>
        <w:pStyle w:val="BodyText"/>
        <w:spacing w:before="3"/>
        <w:rPr>
          <w:sz w:val="22"/>
        </w:rPr>
      </w:pPr>
    </w:p>
    <w:p w:rsidR="00E37ED8" w:rsidP="00E37ED8" w:rsidRDefault="00E37ED8" w14:paraId="3E4050FF" w14:textId="31E9BE1F">
      <w:pPr>
        <w:pStyle w:val="BodyText"/>
        <w:spacing w:before="188"/>
      </w:pPr>
      <w:r>
        <w:t>This</w:t>
      </w:r>
      <w:r w:rsidR="00B259B8">
        <w:t xml:space="preserve"> Executive Director</w:t>
      </w:r>
      <w:r>
        <w:rPr>
          <w:spacing w:val="-1"/>
        </w:rPr>
        <w:t xml:space="preserve"> </w:t>
      </w:r>
      <w:r>
        <w:t>Resolution</w:t>
      </w:r>
      <w:r>
        <w:rPr>
          <w:spacing w:val="-1"/>
        </w:rPr>
        <w:t xml:space="preserve"> </w:t>
      </w:r>
      <w:r>
        <w:t xml:space="preserve">is effective </w:t>
      </w:r>
      <w:r>
        <w:rPr>
          <w:spacing w:val="-2"/>
        </w:rPr>
        <w:t>today.</w:t>
      </w:r>
    </w:p>
    <w:p w:rsidR="00DB69C1" w:rsidP="007D5D7D" w:rsidRDefault="00DB69C1" w14:paraId="1FE2B204" w14:textId="2262C573">
      <w:pPr>
        <w:pStyle w:val="BodyText"/>
      </w:pPr>
    </w:p>
    <w:p w:rsidR="00DB69C1" w:rsidP="007D5D7D" w:rsidRDefault="00DB69C1" w14:paraId="1D55D2E5" w14:textId="77777777">
      <w:pPr>
        <w:pStyle w:val="BodyText"/>
      </w:pPr>
    </w:p>
    <w:tbl>
      <w:tblPr>
        <w:tblW w:w="4383" w:type="dxa"/>
        <w:tblInd w:w="4320" w:type="dxa"/>
        <w:tblLayout w:type="fixed"/>
        <w:tblLook w:val="0000" w:firstRow="0" w:lastRow="0" w:firstColumn="0" w:lastColumn="0" w:noHBand="0" w:noVBand="0"/>
      </w:tblPr>
      <w:tblGrid>
        <w:gridCol w:w="4383"/>
      </w:tblGrid>
      <w:tr w:rsidRPr="001E288F" w:rsidR="00DB69C1" w:rsidTr="005564B4" w14:paraId="3F10CA40" w14:textId="77777777">
        <w:trPr>
          <w:trHeight w:val="172"/>
        </w:trPr>
        <w:tc>
          <w:tcPr>
            <w:tcW w:w="4383" w:type="dxa"/>
            <w:tcBorders>
              <w:top w:val="nil"/>
              <w:left w:val="nil"/>
              <w:bottom w:val="single" w:color="auto" w:sz="6" w:space="0"/>
              <w:right w:val="nil"/>
            </w:tcBorders>
          </w:tcPr>
          <w:p w:rsidRPr="001E288F" w:rsidR="00DB69C1" w:rsidP="005564B4" w:rsidRDefault="00DB69C1" w14:paraId="63A9C5A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Pr="001E288F" w:rsidR="00DB69C1" w:rsidP="005564B4" w:rsidRDefault="00DB69C1" w14:paraId="0311059B" w14:textId="1479E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
              </w:rPr>
            </w:pPr>
            <w:r w:rsidRPr="001E288F">
              <w:rPr>
                <w:rFonts w:cs="Courier New"/>
              </w:rPr>
              <w:t xml:space="preserve">               </w:t>
            </w:r>
            <w:r w:rsidRPr="00AD1540" w:rsidR="00AD1540">
              <w:rPr>
                <w:rFonts w:cs="Courier New"/>
              </w:rPr>
              <w:t>/s/ RACHEL PETERSON</w:t>
            </w:r>
          </w:p>
        </w:tc>
      </w:tr>
      <w:tr w:rsidRPr="001E288F" w:rsidR="00DB69C1" w:rsidTr="005564B4" w14:paraId="23F4BAB1" w14:textId="77777777">
        <w:trPr>
          <w:trHeight w:val="718"/>
        </w:trPr>
        <w:tc>
          <w:tcPr>
            <w:tcW w:w="4383" w:type="dxa"/>
            <w:tcBorders>
              <w:top w:val="nil"/>
              <w:left w:val="nil"/>
              <w:bottom w:val="nil"/>
              <w:right w:val="nil"/>
            </w:tcBorders>
          </w:tcPr>
          <w:p w:rsidRPr="001E288F" w:rsidR="00DB69C1" w:rsidP="005564B4" w:rsidRDefault="00DB69C1" w14:paraId="022BC2E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sidRPr="001E288F">
              <w:rPr>
                <w:rFonts w:cs="Courier New"/>
              </w:rPr>
              <w:t>RACHEL PETERSON</w:t>
            </w:r>
          </w:p>
          <w:p w:rsidRPr="001E288F" w:rsidR="00DB69C1" w:rsidP="005564B4" w:rsidRDefault="00DB69C1" w14:paraId="63E11DF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sidRPr="001E288F">
              <w:rPr>
                <w:rFonts w:cs="Courier New"/>
              </w:rPr>
              <w:t>Executive Director</w:t>
            </w:r>
          </w:p>
          <w:p w:rsidRPr="001E288F" w:rsidR="00DB69C1" w:rsidP="005564B4" w:rsidRDefault="00DB69C1" w14:paraId="4E4764D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p>
        </w:tc>
      </w:tr>
    </w:tbl>
    <w:p w:rsidR="00DB69C1" w:rsidP="007D5D7D" w:rsidRDefault="00DB69C1" w14:paraId="0816899B" w14:textId="77777777">
      <w:pPr>
        <w:pStyle w:val="BodyText"/>
      </w:pPr>
    </w:p>
    <w:p w:rsidR="000D7072" w:rsidP="007D5D7D" w:rsidRDefault="000D7072" w14:paraId="4F27D1BE" w14:textId="77777777">
      <w:pPr>
        <w:pStyle w:val="BodyText"/>
      </w:pPr>
    </w:p>
    <w:p w:rsidR="000D7072" w:rsidP="007D5D7D" w:rsidRDefault="000D7072" w14:paraId="43CB1C5C" w14:textId="77777777">
      <w:pPr>
        <w:pStyle w:val="BodyText"/>
      </w:pPr>
    </w:p>
    <w:p w:rsidR="000D7072" w:rsidP="007D5D7D" w:rsidRDefault="000D7072" w14:paraId="14631808" w14:textId="77777777">
      <w:pPr>
        <w:pStyle w:val="BodyText"/>
      </w:pPr>
    </w:p>
    <w:p w:rsidR="000D7072" w:rsidP="007D5D7D" w:rsidRDefault="000D7072" w14:paraId="7771AF87" w14:textId="77777777">
      <w:pPr>
        <w:pStyle w:val="BodyText"/>
      </w:pPr>
    </w:p>
    <w:p w:rsidR="000D7072" w:rsidP="007D5D7D" w:rsidRDefault="000D7072" w14:paraId="477F05C4" w14:textId="77777777">
      <w:pPr>
        <w:pStyle w:val="BodyText"/>
      </w:pPr>
    </w:p>
    <w:p w:rsidR="000D7072" w:rsidP="007D5D7D" w:rsidRDefault="000D7072" w14:paraId="1767F27E" w14:textId="77777777">
      <w:pPr>
        <w:pStyle w:val="BodyText"/>
      </w:pPr>
    </w:p>
    <w:p w:rsidR="000D7072" w:rsidP="007D5D7D" w:rsidRDefault="000D7072" w14:paraId="679312DF" w14:textId="77777777">
      <w:pPr>
        <w:pStyle w:val="BodyText"/>
      </w:pPr>
    </w:p>
    <w:p w:rsidR="000D7072" w:rsidP="007D5D7D" w:rsidRDefault="000D7072" w14:paraId="493C0D4C" w14:textId="77777777">
      <w:pPr>
        <w:pStyle w:val="BodyText"/>
      </w:pPr>
    </w:p>
    <w:p w:rsidR="00E66968" w:rsidP="007D5D7D" w:rsidRDefault="00E66968" w14:paraId="5BF8D064" w14:textId="77777777">
      <w:pPr>
        <w:pStyle w:val="BodyText"/>
        <w:sectPr w:rsidR="00E66968" w:rsidSect="00DB69C1">
          <w:headerReference w:type="even" r:id="rId11"/>
          <w:headerReference w:type="default" r:id="rId12"/>
          <w:footerReference w:type="even" r:id="rId13"/>
          <w:footerReference w:type="default" r:id="rId14"/>
          <w:headerReference w:type="first" r:id="rId15"/>
          <w:footerReference w:type="first" r:id="rId16"/>
          <w:pgSz w:w="12240" w:h="15840"/>
          <w:pgMar w:top="1260" w:right="1320" w:bottom="980" w:left="1320" w:header="730" w:footer="786" w:gutter="0"/>
          <w:cols w:space="720"/>
          <w:titlePg/>
          <w:docGrid w:linePitch="299"/>
        </w:sectPr>
      </w:pPr>
    </w:p>
    <w:p w:rsidR="000D7072" w:rsidP="007D5D7D" w:rsidRDefault="000D7072" w14:paraId="0D7E5CE1" w14:textId="77777777">
      <w:pPr>
        <w:pStyle w:val="BodyText"/>
      </w:pPr>
    </w:p>
    <w:p w:rsidR="000D7072" w:rsidP="007D5D7D" w:rsidRDefault="000D7072" w14:paraId="5D73F6BD" w14:textId="77777777">
      <w:pPr>
        <w:pStyle w:val="BodyText"/>
      </w:pPr>
    </w:p>
    <w:p w:rsidR="000D7072" w:rsidP="007D5D7D" w:rsidRDefault="000D7072" w14:paraId="63E5FAD8" w14:textId="77777777">
      <w:pPr>
        <w:pStyle w:val="BodyText"/>
      </w:pPr>
    </w:p>
    <w:p w:rsidR="000D7072" w:rsidP="007D5D7D" w:rsidRDefault="000D7072" w14:paraId="6190B018" w14:textId="77777777">
      <w:pPr>
        <w:pStyle w:val="BodyText"/>
      </w:pPr>
    </w:p>
    <w:p w:rsidR="000D7072" w:rsidP="007D5D7D" w:rsidRDefault="000D7072" w14:paraId="30213BCD" w14:textId="77777777">
      <w:pPr>
        <w:pStyle w:val="BodyText"/>
      </w:pPr>
    </w:p>
    <w:p w:rsidR="000D7072" w:rsidP="007D5D7D" w:rsidRDefault="000D7072" w14:paraId="18DA80B9" w14:textId="77777777">
      <w:pPr>
        <w:pStyle w:val="BodyText"/>
      </w:pPr>
    </w:p>
    <w:p w:rsidR="000D7072" w:rsidP="007D5D7D" w:rsidRDefault="000D7072" w14:paraId="4667B861" w14:textId="77777777">
      <w:pPr>
        <w:pStyle w:val="BodyText"/>
      </w:pPr>
    </w:p>
    <w:p w:rsidR="000D7072" w:rsidP="007D5D7D" w:rsidRDefault="000D7072" w14:paraId="0100D27C" w14:textId="77777777">
      <w:pPr>
        <w:pStyle w:val="BodyText"/>
      </w:pPr>
    </w:p>
    <w:p w:rsidR="000D7072" w:rsidP="007D5D7D" w:rsidRDefault="000D7072" w14:paraId="45001A1E" w14:textId="77777777">
      <w:pPr>
        <w:pStyle w:val="BodyText"/>
      </w:pPr>
    </w:p>
    <w:p w:rsidR="000D7072" w:rsidP="007D5D7D" w:rsidRDefault="000D7072" w14:paraId="59AD2972" w14:textId="77777777">
      <w:pPr>
        <w:pStyle w:val="BodyText"/>
      </w:pPr>
    </w:p>
    <w:p w:rsidR="000D7072" w:rsidP="007D5D7D" w:rsidRDefault="000D7072" w14:paraId="4953C489" w14:textId="77777777">
      <w:pPr>
        <w:pStyle w:val="BodyText"/>
      </w:pPr>
    </w:p>
    <w:p w:rsidR="000D7072" w:rsidP="007D5D7D" w:rsidRDefault="000D7072" w14:paraId="4DEA9A48" w14:textId="77777777">
      <w:pPr>
        <w:pStyle w:val="BodyText"/>
      </w:pPr>
    </w:p>
    <w:p w:rsidRPr="005F5012" w:rsidR="000D7072" w:rsidP="000D7072" w:rsidRDefault="005F5012" w14:paraId="63A9AEEA" w14:textId="09AC3FF3">
      <w:pPr>
        <w:pStyle w:val="BodyText"/>
        <w:jc w:val="center"/>
        <w:rPr>
          <w:sz w:val="96"/>
          <w:szCs w:val="96"/>
        </w:rPr>
      </w:pPr>
      <w:r w:rsidRPr="005F5012">
        <w:rPr>
          <w:sz w:val="96"/>
          <w:szCs w:val="96"/>
        </w:rPr>
        <w:t>Attachment A</w:t>
      </w:r>
    </w:p>
    <w:p w:rsidR="000D7072" w:rsidP="000D7072" w:rsidRDefault="000D7072" w14:paraId="5F95A6A8" w14:textId="77777777">
      <w:pPr>
        <w:pStyle w:val="BodyText"/>
        <w:jc w:val="center"/>
        <w:rPr>
          <w:sz w:val="144"/>
          <w:szCs w:val="144"/>
        </w:rPr>
      </w:pPr>
    </w:p>
    <w:p w:rsidR="000D7072" w:rsidP="000D7072" w:rsidRDefault="000D7072" w14:paraId="2B57CE2B" w14:textId="77777777">
      <w:pPr>
        <w:pStyle w:val="BodyText"/>
        <w:jc w:val="center"/>
        <w:rPr>
          <w:sz w:val="144"/>
          <w:szCs w:val="144"/>
        </w:rPr>
      </w:pPr>
    </w:p>
    <w:p w:rsidR="000D7072" w:rsidP="000D7072" w:rsidRDefault="000D7072" w14:paraId="5F6661C1" w14:textId="77777777">
      <w:pPr>
        <w:pStyle w:val="BodyText"/>
        <w:jc w:val="center"/>
      </w:pPr>
    </w:p>
    <w:p w:rsidR="000D7072" w:rsidP="000D7072" w:rsidRDefault="000D7072" w14:paraId="026C5857" w14:textId="77777777">
      <w:pPr>
        <w:pStyle w:val="BodyText"/>
        <w:jc w:val="center"/>
      </w:pPr>
    </w:p>
    <w:p w:rsidR="000D7072" w:rsidP="000D7072" w:rsidRDefault="000D7072" w14:paraId="52C5DD19" w14:textId="77777777">
      <w:pPr>
        <w:pStyle w:val="BodyText"/>
        <w:jc w:val="center"/>
      </w:pPr>
    </w:p>
    <w:p w:rsidR="000D7072" w:rsidP="000D7072" w:rsidRDefault="000D7072" w14:paraId="758146ED" w14:textId="77777777">
      <w:pPr>
        <w:pStyle w:val="BodyText"/>
        <w:jc w:val="center"/>
      </w:pPr>
    </w:p>
    <w:p w:rsidR="000D7072" w:rsidP="000D7072" w:rsidRDefault="000D7072" w14:paraId="2883C055" w14:textId="77777777">
      <w:pPr>
        <w:pStyle w:val="BodyText"/>
        <w:jc w:val="center"/>
      </w:pPr>
    </w:p>
    <w:p w:rsidR="000D7072" w:rsidP="000D7072" w:rsidRDefault="000D7072" w14:paraId="3D393424" w14:textId="77777777">
      <w:pPr>
        <w:pStyle w:val="BodyText"/>
        <w:jc w:val="center"/>
      </w:pPr>
    </w:p>
    <w:p w:rsidR="000D7072" w:rsidP="000D7072" w:rsidRDefault="000D7072" w14:paraId="4FD3B872" w14:textId="77777777">
      <w:pPr>
        <w:pStyle w:val="BodyText"/>
        <w:jc w:val="center"/>
      </w:pPr>
    </w:p>
    <w:p w:rsidR="000D7072" w:rsidP="000D7072" w:rsidRDefault="000D7072" w14:paraId="3C202988" w14:textId="77777777">
      <w:pPr>
        <w:pStyle w:val="BodyText"/>
        <w:jc w:val="center"/>
      </w:pPr>
    </w:p>
    <w:p w:rsidR="000D7072" w:rsidP="000D7072" w:rsidRDefault="000D7072" w14:paraId="02ED37E4" w14:textId="77777777">
      <w:pPr>
        <w:pStyle w:val="BodyText"/>
        <w:jc w:val="center"/>
        <w:sectPr w:rsidR="000D7072" w:rsidSect="00DB69C1">
          <w:headerReference w:type="first" r:id="rId17"/>
          <w:pgSz w:w="12240" w:h="15840"/>
          <w:pgMar w:top="1260" w:right="1320" w:bottom="980" w:left="1320" w:header="730" w:footer="786" w:gutter="0"/>
          <w:cols w:space="720"/>
          <w:titlePg/>
          <w:docGrid w:linePitch="299"/>
        </w:sectPr>
      </w:pPr>
    </w:p>
    <w:p w:rsidR="000D7072" w:rsidP="00996A8F" w:rsidRDefault="000D7072" w14:paraId="6838895F" w14:textId="77777777">
      <w:pPr>
        <w:pStyle w:val="Title"/>
        <w:tabs>
          <w:tab w:val="right" w:pos="10080"/>
        </w:tabs>
        <w:rPr>
          <w:rFonts w:ascii="Palatino Linotype" w:hAnsi="Palatino Linotype"/>
          <w:color w:val="000000" w:themeColor="text1"/>
        </w:rPr>
      </w:pPr>
    </w:p>
    <w:p w:rsidRPr="00B8240F" w:rsidR="000D7072" w:rsidP="00996A8F" w:rsidRDefault="000D7072" w14:paraId="5BFADECC" w14:textId="77777777">
      <w:pPr>
        <w:pStyle w:val="Title"/>
        <w:tabs>
          <w:tab w:val="right" w:pos="10080"/>
        </w:tabs>
        <w:rPr>
          <w:rFonts w:ascii="Palatino Linotype" w:hAnsi="Palatino Linotype"/>
          <w:color w:val="000000" w:themeColor="text1"/>
        </w:rPr>
      </w:pPr>
      <w:r>
        <w:rPr>
          <w:rFonts w:ascii="Palatino Linotype" w:hAnsi="Palatino Linotype"/>
          <w:color w:val="000000" w:themeColor="text1"/>
        </w:rPr>
        <w:t xml:space="preserve"> </w:t>
      </w:r>
    </w:p>
    <w:p w:rsidRPr="00B8240F" w:rsidR="000D7072" w:rsidP="00996A8F" w:rsidRDefault="000D7072" w14:paraId="4242176B" w14:textId="77777777">
      <w:pPr>
        <w:pStyle w:val="Title"/>
        <w:tabs>
          <w:tab w:val="right" w:pos="10080"/>
        </w:tabs>
        <w:rPr>
          <w:rFonts w:ascii="Palatino Linotype" w:hAnsi="Palatino Linotype"/>
          <w:color w:val="000000" w:themeColor="text1"/>
        </w:rPr>
      </w:pPr>
      <w:r w:rsidRPr="00B8240F">
        <w:rPr>
          <w:rFonts w:ascii="Palatino Linotype" w:hAnsi="Palatino Linotype"/>
          <w:color w:val="000000" w:themeColor="text1"/>
        </w:rPr>
        <w:t>PUBLIC UTILITIES COMMISSION OF THE STATE OF CALIFORNIA</w:t>
      </w:r>
    </w:p>
    <w:p w:rsidR="000D7072" w:rsidP="00996A8F" w:rsidRDefault="000D7072" w14:paraId="7C893F81" w14:textId="77777777">
      <w:pPr>
        <w:tabs>
          <w:tab w:val="right" w:pos="10080"/>
        </w:tabs>
        <w:rPr>
          <w:color w:val="000000" w:themeColor="text1"/>
        </w:rPr>
      </w:pPr>
    </w:p>
    <w:p w:rsidRPr="00B8240F" w:rsidR="000D7072" w:rsidP="00996A8F" w:rsidRDefault="000D7072" w14:paraId="38563DB0" w14:textId="77777777">
      <w:pPr>
        <w:tabs>
          <w:tab w:val="right" w:pos="10080"/>
        </w:tabs>
        <w:rPr>
          <w:color w:val="000000" w:themeColor="text1"/>
        </w:rPr>
      </w:pPr>
    </w:p>
    <w:tbl>
      <w:tblPr>
        <w:tblW w:w="0" w:type="auto"/>
        <w:tblLayout w:type="fixed"/>
        <w:tblLook w:val="0000" w:firstRow="0" w:lastRow="0" w:firstColumn="0" w:lastColumn="0" w:noHBand="0" w:noVBand="0"/>
      </w:tblPr>
      <w:tblGrid>
        <w:gridCol w:w="6408"/>
        <w:gridCol w:w="3168"/>
      </w:tblGrid>
      <w:tr w:rsidRPr="00C97938" w:rsidR="000D7072" w14:paraId="2194EEEC" w14:textId="77777777">
        <w:tc>
          <w:tcPr>
            <w:tcW w:w="6408" w:type="dxa"/>
          </w:tcPr>
          <w:p w:rsidRPr="00C97938" w:rsidR="000D7072" w:rsidP="008476F5" w:rsidRDefault="000D7072" w14:paraId="5F894C4C" w14:textId="77777777">
            <w:pPr>
              <w:rPr>
                <w:b/>
                <w:color w:val="000000" w:themeColor="text1"/>
              </w:rPr>
            </w:pPr>
            <w:r w:rsidRPr="00C97938">
              <w:rPr>
                <w:b/>
                <w:color w:val="000000" w:themeColor="text1"/>
              </w:rPr>
              <w:t>Communications Division</w:t>
            </w:r>
          </w:p>
        </w:tc>
        <w:tc>
          <w:tcPr>
            <w:tcW w:w="3168" w:type="dxa"/>
          </w:tcPr>
          <w:p w:rsidRPr="00C97938" w:rsidR="000D7072" w:rsidP="008476F5" w:rsidRDefault="000D7072" w14:paraId="3140E4C4" w14:textId="77777777">
            <w:pPr>
              <w:pStyle w:val="xl24"/>
              <w:spacing w:before="0" w:beforeAutospacing="0" w:after="0" w:afterAutospacing="0"/>
              <w:rPr>
                <w:rFonts w:ascii="Palatino Linotype" w:hAnsi="Palatino Linotype" w:eastAsia="Times New Roman" w:cs="Times New Roman"/>
                <w:bCs w:val="0"/>
                <w:color w:val="000000" w:themeColor="text1"/>
                <w:szCs w:val="20"/>
              </w:rPr>
            </w:pPr>
            <w:r w:rsidRPr="00C97938">
              <w:rPr>
                <w:rFonts w:ascii="Palatino Linotype" w:hAnsi="Palatino Linotype" w:eastAsia="Times New Roman" w:cs="Times New Roman"/>
                <w:bCs w:val="0"/>
                <w:color w:val="000000" w:themeColor="text1"/>
                <w:szCs w:val="20"/>
              </w:rPr>
              <w:t xml:space="preserve">RESOLUTION </w:t>
            </w:r>
            <w:r w:rsidRPr="00EE2241">
              <w:rPr>
                <w:rFonts w:ascii="Palatino Linotype" w:hAnsi="Palatino Linotype" w:eastAsia="Times New Roman" w:cs="Times New Roman"/>
                <w:bCs w:val="0"/>
                <w:color w:val="000000" w:themeColor="text1"/>
                <w:szCs w:val="20"/>
              </w:rPr>
              <w:t>T-17791</w:t>
            </w:r>
            <w:r w:rsidRPr="00C97938">
              <w:rPr>
                <w:rFonts w:ascii="Palatino Linotype" w:hAnsi="Palatino Linotype" w:eastAsia="Times New Roman" w:cs="Times New Roman"/>
                <w:bCs w:val="0"/>
                <w:color w:val="000000" w:themeColor="text1"/>
                <w:szCs w:val="20"/>
              </w:rPr>
              <w:t xml:space="preserve"> </w:t>
            </w:r>
          </w:p>
        </w:tc>
      </w:tr>
      <w:tr w:rsidRPr="00725836" w:rsidR="000D7072" w14:paraId="0682234F" w14:textId="77777777">
        <w:tc>
          <w:tcPr>
            <w:tcW w:w="6408" w:type="dxa"/>
          </w:tcPr>
          <w:p w:rsidRPr="00C97938" w:rsidR="000D7072" w:rsidP="008476F5" w:rsidRDefault="000D7072" w14:paraId="699EA4A8" w14:textId="77777777">
            <w:pPr>
              <w:rPr>
                <w:b/>
                <w:color w:val="000000" w:themeColor="text1"/>
              </w:rPr>
            </w:pPr>
            <w:r w:rsidRPr="00C97938">
              <w:rPr>
                <w:b/>
                <w:color w:val="000000" w:themeColor="text1"/>
              </w:rPr>
              <w:t>Broadband, Video and Market Branch</w:t>
            </w:r>
          </w:p>
        </w:tc>
        <w:tc>
          <w:tcPr>
            <w:tcW w:w="3168" w:type="dxa"/>
          </w:tcPr>
          <w:p w:rsidRPr="00C97938" w:rsidR="000D7072" w:rsidP="008476F5" w:rsidRDefault="000D7072" w14:paraId="061FA178" w14:textId="77777777">
            <w:pPr>
              <w:jc w:val="right"/>
              <w:rPr>
                <w:b/>
                <w:color w:val="000000" w:themeColor="text1"/>
              </w:rPr>
            </w:pPr>
            <w:r>
              <w:rPr>
                <w:b/>
                <w:color w:val="000000" w:themeColor="text1"/>
              </w:rPr>
              <w:t>June 8</w:t>
            </w:r>
            <w:r w:rsidRPr="00C97938">
              <w:rPr>
                <w:b/>
                <w:color w:val="000000" w:themeColor="text1"/>
              </w:rPr>
              <w:t>, 202</w:t>
            </w:r>
            <w:r>
              <w:rPr>
                <w:b/>
                <w:color w:val="000000" w:themeColor="text1"/>
              </w:rPr>
              <w:t>3</w:t>
            </w:r>
          </w:p>
        </w:tc>
      </w:tr>
    </w:tbl>
    <w:p w:rsidRPr="00EC2D0A" w:rsidR="000D7072" w:rsidP="00EC2D0A" w:rsidRDefault="000D7072" w14:paraId="49912F57" w14:textId="77777777">
      <w:pPr>
        <w:tabs>
          <w:tab w:val="right" w:pos="9360"/>
        </w:tabs>
        <w:rPr>
          <w:b/>
          <w:color w:val="000000" w:themeColor="text1"/>
        </w:rPr>
      </w:pPr>
      <w:r w:rsidRPr="00B8240F">
        <w:rPr>
          <w:b/>
          <w:color w:val="000000" w:themeColor="text1"/>
        </w:rPr>
        <w:tab/>
        <w:t xml:space="preserve">    </w:t>
      </w:r>
      <w:r w:rsidRPr="00B8240F">
        <w:rPr>
          <w:color w:val="000000" w:themeColor="text1"/>
        </w:rPr>
        <w:tab/>
      </w:r>
    </w:p>
    <w:p w:rsidRPr="00B8240F" w:rsidR="000D7072" w:rsidP="00996A8F" w:rsidRDefault="000D7072" w14:paraId="61D20BCC" w14:textId="77777777">
      <w:pPr>
        <w:tabs>
          <w:tab w:val="right" w:pos="10080"/>
        </w:tabs>
        <w:jc w:val="center"/>
        <w:rPr>
          <w:b/>
          <w:color w:val="000000" w:themeColor="text1"/>
          <w:u w:val="single"/>
        </w:rPr>
      </w:pPr>
      <w:r w:rsidRPr="00B8240F">
        <w:rPr>
          <w:b/>
          <w:color w:val="000000" w:themeColor="text1"/>
          <w:u w:val="single"/>
        </w:rPr>
        <w:t>R</w:t>
      </w:r>
      <w:r w:rsidRPr="00B8240F">
        <w:rPr>
          <w:b/>
          <w:color w:val="000000" w:themeColor="text1"/>
        </w:rPr>
        <w:t xml:space="preserve"> </w:t>
      </w:r>
      <w:r w:rsidRPr="00B8240F">
        <w:rPr>
          <w:b/>
          <w:color w:val="000000" w:themeColor="text1"/>
          <w:u w:val="single"/>
        </w:rPr>
        <w:t>E</w:t>
      </w:r>
      <w:r w:rsidRPr="00B8240F">
        <w:rPr>
          <w:b/>
          <w:color w:val="000000" w:themeColor="text1"/>
        </w:rPr>
        <w:t xml:space="preserve"> </w:t>
      </w:r>
      <w:r w:rsidRPr="00B8240F">
        <w:rPr>
          <w:b/>
          <w:color w:val="000000" w:themeColor="text1"/>
          <w:u w:val="single"/>
        </w:rPr>
        <w:t>S</w:t>
      </w:r>
      <w:r w:rsidRPr="00B8240F">
        <w:rPr>
          <w:b/>
          <w:color w:val="000000" w:themeColor="text1"/>
        </w:rPr>
        <w:t xml:space="preserve"> </w:t>
      </w:r>
      <w:r w:rsidRPr="00B8240F">
        <w:rPr>
          <w:b/>
          <w:color w:val="000000" w:themeColor="text1"/>
          <w:u w:val="single"/>
        </w:rPr>
        <w:t>O</w:t>
      </w:r>
      <w:r w:rsidRPr="00B8240F">
        <w:rPr>
          <w:b/>
          <w:color w:val="000000" w:themeColor="text1"/>
        </w:rPr>
        <w:t xml:space="preserve"> </w:t>
      </w:r>
      <w:r w:rsidRPr="00B8240F">
        <w:rPr>
          <w:b/>
          <w:color w:val="000000" w:themeColor="text1"/>
          <w:u w:val="single"/>
        </w:rPr>
        <w:t>L</w:t>
      </w:r>
      <w:r w:rsidRPr="00B8240F">
        <w:rPr>
          <w:b/>
          <w:color w:val="000000" w:themeColor="text1"/>
        </w:rPr>
        <w:t xml:space="preserve"> </w:t>
      </w:r>
      <w:r w:rsidRPr="00B8240F">
        <w:rPr>
          <w:b/>
          <w:color w:val="000000" w:themeColor="text1"/>
          <w:u w:val="single"/>
        </w:rPr>
        <w:t>U</w:t>
      </w:r>
      <w:r w:rsidRPr="00B8240F">
        <w:rPr>
          <w:b/>
          <w:color w:val="000000" w:themeColor="text1"/>
        </w:rPr>
        <w:t xml:space="preserve"> </w:t>
      </w:r>
      <w:r w:rsidRPr="00B8240F">
        <w:rPr>
          <w:b/>
          <w:color w:val="000000" w:themeColor="text1"/>
          <w:u w:val="single"/>
        </w:rPr>
        <w:t>T</w:t>
      </w:r>
      <w:r w:rsidRPr="00B8240F">
        <w:rPr>
          <w:b/>
          <w:color w:val="000000" w:themeColor="text1"/>
        </w:rPr>
        <w:t xml:space="preserve"> </w:t>
      </w:r>
      <w:r w:rsidRPr="00B8240F">
        <w:rPr>
          <w:b/>
          <w:color w:val="000000" w:themeColor="text1"/>
          <w:u w:val="single"/>
        </w:rPr>
        <w:t>I</w:t>
      </w:r>
      <w:r w:rsidRPr="00B8240F">
        <w:rPr>
          <w:b/>
          <w:color w:val="000000" w:themeColor="text1"/>
        </w:rPr>
        <w:t xml:space="preserve"> </w:t>
      </w:r>
      <w:r w:rsidRPr="00B8240F">
        <w:rPr>
          <w:b/>
          <w:color w:val="000000" w:themeColor="text1"/>
          <w:u w:val="single"/>
        </w:rPr>
        <w:t>O</w:t>
      </w:r>
      <w:r w:rsidRPr="00B8240F">
        <w:rPr>
          <w:b/>
          <w:color w:val="000000" w:themeColor="text1"/>
        </w:rPr>
        <w:t xml:space="preserve"> </w:t>
      </w:r>
      <w:r w:rsidRPr="00B8240F">
        <w:rPr>
          <w:b/>
          <w:color w:val="000000" w:themeColor="text1"/>
          <w:u w:val="single"/>
        </w:rPr>
        <w:t>N</w:t>
      </w:r>
    </w:p>
    <w:p w:rsidRPr="000571D5" w:rsidR="000D7072" w:rsidP="00996A8F" w:rsidRDefault="000D7072" w14:paraId="521B803A" w14:textId="77777777">
      <w:pPr>
        <w:tabs>
          <w:tab w:val="right" w:pos="10080"/>
        </w:tabs>
        <w:jc w:val="center"/>
        <w:rPr>
          <w:b/>
          <w:color w:val="000000" w:themeColor="text1"/>
        </w:rPr>
      </w:pPr>
    </w:p>
    <w:p w:rsidRPr="000571D5" w:rsidR="000D7072" w:rsidP="00996A8F" w:rsidRDefault="000D7072" w14:paraId="0413193A" w14:textId="77777777">
      <w:pPr>
        <w:tabs>
          <w:tab w:val="right" w:pos="10080"/>
        </w:tabs>
        <w:rPr>
          <w:color w:val="000000" w:themeColor="text1"/>
        </w:rPr>
      </w:pPr>
    </w:p>
    <w:p w:rsidRPr="000571D5" w:rsidR="000D7072" w:rsidP="0026105E" w:rsidRDefault="000D7072" w14:paraId="6BBB659D" w14:textId="77777777">
      <w:pPr>
        <w:tabs>
          <w:tab w:val="right" w:pos="10080"/>
        </w:tabs>
        <w:jc w:val="both"/>
        <w:rPr>
          <w:b/>
          <w:color w:val="000000" w:themeColor="text1"/>
          <w:u w:val="single"/>
        </w:rPr>
      </w:pPr>
      <w:r>
        <w:rPr>
          <w:b/>
          <w:color w:val="000000" w:themeColor="text1"/>
        </w:rPr>
        <w:t xml:space="preserve">RESOLUTION </w:t>
      </w:r>
      <w:r w:rsidRPr="00EE2241">
        <w:rPr>
          <w:b/>
          <w:color w:val="000000" w:themeColor="text1"/>
        </w:rPr>
        <w:t>T-17791</w:t>
      </w:r>
      <w:r w:rsidRPr="000571D5">
        <w:rPr>
          <w:b/>
          <w:color w:val="000000" w:themeColor="text1"/>
        </w:rPr>
        <w:t xml:space="preserve">:  </w:t>
      </w:r>
      <w:bookmarkStart w:name="_Hlk142662094" w:id="0"/>
      <w:r>
        <w:rPr>
          <w:b/>
        </w:rPr>
        <w:t xml:space="preserve">Approval of fourteen </w:t>
      </w:r>
      <w:r w:rsidRPr="00867573">
        <w:rPr>
          <w:b/>
        </w:rPr>
        <w:t>(1</w:t>
      </w:r>
      <w:r>
        <w:rPr>
          <w:b/>
        </w:rPr>
        <w:t>4</w:t>
      </w:r>
      <w:r w:rsidRPr="00867573">
        <w:rPr>
          <w:b/>
        </w:rPr>
        <w:t>) public housing</w:t>
      </w:r>
      <w:r>
        <w:rPr>
          <w:b/>
        </w:rPr>
        <w:t xml:space="preserve"> infrastructure projects for grant funding from the California Advanced Services Fund’s Broadband Public Housing </w:t>
      </w:r>
      <w:r w:rsidRPr="008737F2">
        <w:rPr>
          <w:b/>
        </w:rPr>
        <w:t>Account totaling</w:t>
      </w:r>
      <w:r w:rsidRPr="0045241A">
        <w:rPr>
          <w:b/>
        </w:rPr>
        <w:t xml:space="preserve"> $</w:t>
      </w:r>
      <w:r>
        <w:rPr>
          <w:b/>
        </w:rPr>
        <w:t>1,025,846.70</w:t>
      </w:r>
      <w:r w:rsidRPr="008737F2">
        <w:rPr>
          <w:b/>
        </w:rPr>
        <w:t>.</w:t>
      </w:r>
      <w:bookmarkEnd w:id="0"/>
    </w:p>
    <w:p w:rsidRPr="000571D5" w:rsidR="000D7072" w:rsidP="00996A8F" w:rsidRDefault="000D7072" w14:paraId="0F3623EF" w14:textId="77777777">
      <w:pPr>
        <w:tabs>
          <w:tab w:val="right" w:pos="9360"/>
        </w:tabs>
        <w:rPr>
          <w:b/>
          <w:color w:val="000000" w:themeColor="text1"/>
        </w:rPr>
      </w:pPr>
      <w:r w:rsidRPr="000571D5">
        <w:rPr>
          <w:b/>
          <w:color w:val="000000" w:themeColor="text1"/>
          <w:u w:val="single"/>
        </w:rPr>
        <w:tab/>
      </w:r>
    </w:p>
    <w:p w:rsidRPr="000571D5" w:rsidR="000D7072" w:rsidP="00996A8F" w:rsidRDefault="000D7072" w14:paraId="2B0D50E2" w14:textId="77777777">
      <w:pPr>
        <w:tabs>
          <w:tab w:val="right" w:pos="10080"/>
        </w:tabs>
        <w:rPr>
          <w:color w:val="000000" w:themeColor="text1"/>
        </w:rPr>
      </w:pPr>
    </w:p>
    <w:p w:rsidRPr="00DD2082" w:rsidR="000D7072" w:rsidP="00996A8F" w:rsidRDefault="000D7072" w14:paraId="38E4A566" w14:textId="77777777">
      <w:pPr>
        <w:tabs>
          <w:tab w:val="right" w:pos="10080"/>
        </w:tabs>
        <w:rPr>
          <w:b/>
          <w:color w:val="000000" w:themeColor="text1"/>
        </w:rPr>
      </w:pPr>
      <w:r w:rsidRPr="00DD2082">
        <w:rPr>
          <w:b/>
          <w:color w:val="000000" w:themeColor="text1"/>
        </w:rPr>
        <w:t>I.     SUMMARY</w:t>
      </w:r>
    </w:p>
    <w:p w:rsidRPr="00DD2082" w:rsidR="000D7072" w:rsidP="00996A8F" w:rsidRDefault="000D7072" w14:paraId="36AA15D8" w14:textId="77777777">
      <w:pPr>
        <w:tabs>
          <w:tab w:val="right" w:pos="10080"/>
        </w:tabs>
        <w:rPr>
          <w:color w:val="000000" w:themeColor="text1"/>
          <w:u w:val="single"/>
        </w:rPr>
      </w:pPr>
    </w:p>
    <w:p w:rsidR="000D7072" w:rsidP="00CD03D8" w:rsidRDefault="000D7072" w14:paraId="3614C680" w14:textId="77777777">
      <w:pPr>
        <w:jc w:val="both"/>
        <w:rPr>
          <w:color w:val="000000" w:themeColor="text1"/>
        </w:rPr>
      </w:pPr>
      <w:r w:rsidRPr="008737F2">
        <w:rPr>
          <w:color w:val="000000" w:themeColor="text1"/>
        </w:rPr>
        <w:t xml:space="preserve">This Resolution approves grant funding in the amount of </w:t>
      </w:r>
      <w:r w:rsidRPr="0045241A">
        <w:rPr>
          <w:color w:val="000000" w:themeColor="text1"/>
        </w:rPr>
        <w:t>$</w:t>
      </w:r>
      <w:r>
        <w:rPr>
          <w:color w:val="000000" w:themeColor="text1"/>
        </w:rPr>
        <w:t xml:space="preserve">1,025,846.70 </w:t>
      </w:r>
      <w:r w:rsidRPr="008737F2">
        <w:rPr>
          <w:color w:val="000000" w:themeColor="text1"/>
        </w:rPr>
        <w:t>from the</w:t>
      </w:r>
      <w:r w:rsidRPr="01C371E6">
        <w:rPr>
          <w:color w:val="000000" w:themeColor="text1"/>
        </w:rPr>
        <w:t xml:space="preserve"> California Advanced Services Fund (CASF) Broadband Public Housing Account (BPHA) for </w:t>
      </w:r>
      <w:r>
        <w:rPr>
          <w:color w:val="000000" w:themeColor="text1"/>
        </w:rPr>
        <w:t>14</w:t>
      </w:r>
      <w:r w:rsidRPr="01C371E6">
        <w:rPr>
          <w:color w:val="000000" w:themeColor="text1"/>
        </w:rPr>
        <w:t xml:space="preserve"> projects from </w:t>
      </w:r>
      <w:r>
        <w:rPr>
          <w:color w:val="000000" w:themeColor="text1"/>
        </w:rPr>
        <w:t>five</w:t>
      </w:r>
      <w:r w:rsidRPr="01C371E6">
        <w:rPr>
          <w:color w:val="000000" w:themeColor="text1"/>
        </w:rPr>
        <w:t xml:space="preserve"> applicants.  These </w:t>
      </w:r>
      <w:r>
        <w:rPr>
          <w:color w:val="000000" w:themeColor="text1"/>
        </w:rPr>
        <w:t>14</w:t>
      </w:r>
      <w:r w:rsidRPr="01C371E6">
        <w:rPr>
          <w:color w:val="000000" w:themeColor="text1"/>
        </w:rPr>
        <w:t xml:space="preserve"> projects will </w:t>
      </w:r>
      <w:r w:rsidRPr="00635498">
        <w:rPr>
          <w:color w:val="000000" w:themeColor="text1"/>
        </w:rPr>
        <w:t>deploy both wireless and wired broadband</w:t>
      </w:r>
      <w:r w:rsidRPr="01C371E6">
        <w:rPr>
          <w:color w:val="000000" w:themeColor="text1"/>
        </w:rPr>
        <w:t xml:space="preserve"> infrastructure utilizing wi-fi and copper technologies capable of 25 Megabits per second (Mbps) download and 3 Mbps upload for </w:t>
      </w:r>
      <w:r>
        <w:rPr>
          <w:color w:val="000000" w:themeColor="text1"/>
        </w:rPr>
        <w:t>830</w:t>
      </w:r>
      <w:r w:rsidRPr="01C371E6">
        <w:rPr>
          <w:color w:val="000000" w:themeColor="text1"/>
        </w:rPr>
        <w:t xml:space="preserve"> living units in </w:t>
      </w:r>
      <w:r>
        <w:rPr>
          <w:color w:val="000000" w:themeColor="text1"/>
        </w:rPr>
        <w:t>these</w:t>
      </w:r>
      <w:r w:rsidRPr="01C371E6">
        <w:rPr>
          <w:color w:val="000000" w:themeColor="text1"/>
        </w:rPr>
        <w:t xml:space="preserve"> publicly supported housing developments.  The deployment of broadband in public housing for the purpose of offering free internet access to those who do not already have access to a free broadband network will improve public safety by providing enhanced access to government, e-health, and online education opportunities.  </w:t>
      </w:r>
    </w:p>
    <w:p w:rsidRPr="003A50AE" w:rsidR="000D7072" w:rsidP="00CD03D8" w:rsidRDefault="000D7072" w14:paraId="560FFDD5" w14:textId="77777777">
      <w:pPr>
        <w:jc w:val="both"/>
        <w:rPr>
          <w:color w:val="000000" w:themeColor="text1"/>
        </w:rPr>
      </w:pPr>
    </w:p>
    <w:p w:rsidR="000D7072" w:rsidP="00CD03D8" w:rsidRDefault="000D7072" w14:paraId="3E89AC58" w14:textId="77777777">
      <w:pPr>
        <w:jc w:val="both"/>
        <w:rPr>
          <w:color w:val="000000" w:themeColor="text1"/>
        </w:rPr>
      </w:pPr>
      <w:r w:rsidRPr="00DD2082">
        <w:rPr>
          <w:color w:val="000000" w:themeColor="text1"/>
        </w:rPr>
        <w:t>Table 1, below, lists</w:t>
      </w:r>
      <w:r w:rsidRPr="003A50AE">
        <w:rPr>
          <w:color w:val="000000" w:themeColor="text1"/>
        </w:rPr>
        <w:t xml:space="preserve"> the </w:t>
      </w:r>
      <w:r>
        <w:rPr>
          <w:color w:val="000000" w:themeColor="text1"/>
        </w:rPr>
        <w:t>14</w:t>
      </w:r>
      <w:r w:rsidRPr="003A50AE">
        <w:rPr>
          <w:color w:val="000000" w:themeColor="text1"/>
        </w:rPr>
        <w:t xml:space="preserve"> public housing infrastructure </w:t>
      </w:r>
      <w:r>
        <w:rPr>
          <w:color w:val="000000" w:themeColor="text1"/>
        </w:rPr>
        <w:t>grant</w:t>
      </w:r>
      <w:r w:rsidRPr="003A50AE">
        <w:rPr>
          <w:color w:val="000000" w:themeColor="text1"/>
        </w:rPr>
        <w:t>s approved</w:t>
      </w:r>
      <w:r w:rsidRPr="004C3AD9">
        <w:rPr>
          <w:color w:val="000000" w:themeColor="text1"/>
        </w:rPr>
        <w:t xml:space="preserve">, and Appendix B </w:t>
      </w:r>
      <w:r>
        <w:rPr>
          <w:color w:val="000000" w:themeColor="text1"/>
        </w:rPr>
        <w:t>shows</w:t>
      </w:r>
      <w:r w:rsidRPr="004C3AD9">
        <w:rPr>
          <w:color w:val="000000" w:themeColor="text1"/>
        </w:rPr>
        <w:t xml:space="preserve"> a map of proposed project locations</w:t>
      </w:r>
      <w:r w:rsidRPr="003A50AE">
        <w:rPr>
          <w:color w:val="000000" w:themeColor="text1"/>
        </w:rPr>
        <w:t xml:space="preserve">.   </w:t>
      </w:r>
    </w:p>
    <w:p w:rsidR="00E66968" w:rsidP="00CD03D8" w:rsidRDefault="00E66968" w14:paraId="0B906E41" w14:textId="77777777">
      <w:pPr>
        <w:jc w:val="both"/>
        <w:rPr>
          <w:color w:val="000000" w:themeColor="text1"/>
        </w:rPr>
      </w:pPr>
    </w:p>
    <w:p w:rsidR="00E66968" w:rsidP="00CD03D8" w:rsidRDefault="00E66968" w14:paraId="261705EC" w14:textId="77777777">
      <w:pPr>
        <w:jc w:val="both"/>
        <w:rPr>
          <w:color w:val="000000" w:themeColor="text1"/>
        </w:rPr>
      </w:pPr>
    </w:p>
    <w:p w:rsidR="00E66968" w:rsidP="00CD03D8" w:rsidRDefault="00E66968" w14:paraId="450DA727" w14:textId="77777777">
      <w:pPr>
        <w:jc w:val="both"/>
        <w:rPr>
          <w:color w:val="000000" w:themeColor="text1"/>
        </w:rPr>
      </w:pPr>
    </w:p>
    <w:p w:rsidR="00E66968" w:rsidP="00CD03D8" w:rsidRDefault="00E66968" w14:paraId="48D9BC89" w14:textId="77777777">
      <w:pPr>
        <w:jc w:val="both"/>
        <w:rPr>
          <w:color w:val="000000" w:themeColor="text1"/>
        </w:rPr>
      </w:pPr>
    </w:p>
    <w:p w:rsidR="00E66968" w:rsidP="00CD03D8" w:rsidRDefault="00E66968" w14:paraId="231A37F2" w14:textId="77777777">
      <w:pPr>
        <w:jc w:val="both"/>
        <w:rPr>
          <w:color w:val="000000" w:themeColor="text1"/>
        </w:rPr>
      </w:pPr>
    </w:p>
    <w:p w:rsidR="00E66968" w:rsidP="00CD03D8" w:rsidRDefault="00E66968" w14:paraId="38C77E10" w14:textId="77777777">
      <w:pPr>
        <w:jc w:val="both"/>
        <w:rPr>
          <w:color w:val="000000" w:themeColor="text1"/>
        </w:rPr>
      </w:pPr>
    </w:p>
    <w:p w:rsidR="00E66968" w:rsidP="00CD03D8" w:rsidRDefault="00E66968" w14:paraId="10E87265" w14:textId="77777777">
      <w:pPr>
        <w:jc w:val="both"/>
        <w:rPr>
          <w:color w:val="000000" w:themeColor="text1"/>
        </w:rPr>
      </w:pPr>
    </w:p>
    <w:p w:rsidR="00E66968" w:rsidP="00CD03D8" w:rsidRDefault="00E66968" w14:paraId="098AE1AC" w14:textId="77777777">
      <w:pPr>
        <w:jc w:val="both"/>
        <w:rPr>
          <w:color w:val="000000" w:themeColor="text1"/>
        </w:rPr>
      </w:pPr>
    </w:p>
    <w:p w:rsidR="00E66968" w:rsidP="00CD03D8" w:rsidRDefault="00E66968" w14:paraId="139F892A" w14:textId="77777777">
      <w:pPr>
        <w:jc w:val="both"/>
        <w:rPr>
          <w:color w:val="000000" w:themeColor="text1"/>
        </w:rPr>
      </w:pPr>
    </w:p>
    <w:p w:rsidR="00E66968" w:rsidP="00CD03D8" w:rsidRDefault="00E66968" w14:paraId="41157BFD" w14:textId="77777777">
      <w:pPr>
        <w:jc w:val="both"/>
        <w:rPr>
          <w:color w:val="000000" w:themeColor="text1"/>
        </w:rPr>
      </w:pPr>
    </w:p>
    <w:p w:rsidR="00E66968" w:rsidP="00CD03D8" w:rsidRDefault="00E66968" w14:paraId="0E6EF00E" w14:textId="77777777">
      <w:pPr>
        <w:jc w:val="both"/>
        <w:rPr>
          <w:color w:val="000000" w:themeColor="text1"/>
        </w:rPr>
      </w:pPr>
    </w:p>
    <w:p w:rsidR="00E66968" w:rsidP="00CD03D8" w:rsidRDefault="00E66968" w14:paraId="13DAF259" w14:textId="77777777">
      <w:pPr>
        <w:jc w:val="both"/>
        <w:rPr>
          <w:color w:val="000000" w:themeColor="text1"/>
        </w:rPr>
      </w:pPr>
    </w:p>
    <w:p w:rsidR="00E66968" w:rsidP="00CD03D8" w:rsidRDefault="00E66968" w14:paraId="1861ED05" w14:textId="77777777">
      <w:pPr>
        <w:jc w:val="both"/>
        <w:rPr>
          <w:color w:val="000000" w:themeColor="text1"/>
        </w:rPr>
      </w:pPr>
    </w:p>
    <w:p w:rsidR="000D7072" w:rsidP="003A50AE" w:rsidRDefault="000D7072" w14:paraId="14BAAE23" w14:textId="77777777">
      <w:pPr>
        <w:rPr>
          <w:color w:val="000000" w:themeColor="text1"/>
        </w:rPr>
      </w:pPr>
    </w:p>
    <w:tbl>
      <w:tblPr>
        <w:tblStyle w:val="TableGrid"/>
        <w:tblW w:w="9521" w:type="dxa"/>
        <w:tblLook w:val="04A0" w:firstRow="1" w:lastRow="0" w:firstColumn="1" w:lastColumn="0" w:noHBand="0" w:noVBand="1"/>
      </w:tblPr>
      <w:tblGrid>
        <w:gridCol w:w="1498"/>
        <w:gridCol w:w="1785"/>
        <w:gridCol w:w="1691"/>
        <w:gridCol w:w="1409"/>
        <w:gridCol w:w="1033"/>
        <w:gridCol w:w="1409"/>
        <w:gridCol w:w="696"/>
      </w:tblGrid>
      <w:tr w:rsidRPr="009F38FC" w:rsidR="000D7072" w:rsidTr="0049358C" w14:paraId="07B87884" w14:textId="77777777">
        <w:trPr>
          <w:trHeight w:val="297"/>
        </w:trPr>
        <w:tc>
          <w:tcPr>
            <w:tcW w:w="9521" w:type="dxa"/>
            <w:gridSpan w:val="7"/>
            <w:noWrap/>
            <w:hideMark/>
          </w:tcPr>
          <w:p w:rsidRPr="009F38FC" w:rsidR="000D7072" w:rsidP="0014733A" w:rsidRDefault="000D7072" w14:paraId="58B736A7" w14:textId="77777777">
            <w:pPr>
              <w:jc w:val="center"/>
              <w:rPr>
                <w:b/>
                <w:bCs/>
                <w:color w:val="000000" w:themeColor="text1"/>
                <w:sz w:val="18"/>
                <w:szCs w:val="18"/>
              </w:rPr>
            </w:pPr>
            <w:bookmarkStart w:name="_Hlk130458692" w:id="1"/>
            <w:r w:rsidRPr="009F38FC">
              <w:rPr>
                <w:b/>
                <w:bCs/>
                <w:color w:val="000000" w:themeColor="text1"/>
                <w:sz w:val="18"/>
                <w:szCs w:val="18"/>
              </w:rPr>
              <w:lastRenderedPageBreak/>
              <w:t>Table 1</w:t>
            </w:r>
          </w:p>
        </w:tc>
      </w:tr>
      <w:tr w:rsidRPr="009F38FC" w:rsidR="000D7072" w:rsidTr="0049358C" w14:paraId="13468490" w14:textId="77777777">
        <w:trPr>
          <w:trHeight w:val="297"/>
        </w:trPr>
        <w:tc>
          <w:tcPr>
            <w:tcW w:w="1498" w:type="dxa"/>
            <w:noWrap/>
            <w:hideMark/>
          </w:tcPr>
          <w:p w:rsidRPr="009F38FC" w:rsidR="000D7072" w:rsidRDefault="000D7072" w14:paraId="4AF41D3E" w14:textId="77777777">
            <w:pPr>
              <w:rPr>
                <w:b/>
                <w:bCs/>
                <w:color w:val="000000" w:themeColor="text1"/>
                <w:sz w:val="18"/>
                <w:szCs w:val="18"/>
              </w:rPr>
            </w:pPr>
            <w:r w:rsidRPr="009F38FC">
              <w:rPr>
                <w:b/>
                <w:bCs/>
                <w:color w:val="000000" w:themeColor="text1"/>
                <w:sz w:val="18"/>
                <w:szCs w:val="18"/>
              </w:rPr>
              <w:t xml:space="preserve">Applicant </w:t>
            </w:r>
          </w:p>
        </w:tc>
        <w:tc>
          <w:tcPr>
            <w:tcW w:w="1785" w:type="dxa"/>
            <w:noWrap/>
            <w:hideMark/>
          </w:tcPr>
          <w:p w:rsidRPr="009F38FC" w:rsidR="000D7072" w:rsidRDefault="000D7072" w14:paraId="1212C3B2" w14:textId="77777777">
            <w:pPr>
              <w:rPr>
                <w:b/>
                <w:bCs/>
                <w:color w:val="000000" w:themeColor="text1"/>
                <w:sz w:val="18"/>
                <w:szCs w:val="18"/>
              </w:rPr>
            </w:pPr>
            <w:r w:rsidRPr="009F38FC">
              <w:rPr>
                <w:b/>
                <w:bCs/>
                <w:color w:val="000000" w:themeColor="text1"/>
                <w:sz w:val="18"/>
                <w:szCs w:val="18"/>
              </w:rPr>
              <w:t>Project Name</w:t>
            </w:r>
          </w:p>
        </w:tc>
        <w:tc>
          <w:tcPr>
            <w:tcW w:w="1691" w:type="dxa"/>
            <w:noWrap/>
            <w:hideMark/>
          </w:tcPr>
          <w:p w:rsidRPr="009F38FC" w:rsidR="000D7072" w:rsidRDefault="000D7072" w14:paraId="74EA33EA" w14:textId="77777777">
            <w:pPr>
              <w:rPr>
                <w:b/>
                <w:bCs/>
                <w:color w:val="000000" w:themeColor="text1"/>
                <w:sz w:val="18"/>
                <w:szCs w:val="18"/>
              </w:rPr>
            </w:pPr>
            <w:r w:rsidRPr="009F38FC">
              <w:rPr>
                <w:b/>
                <w:bCs/>
                <w:color w:val="000000" w:themeColor="text1"/>
                <w:sz w:val="18"/>
                <w:szCs w:val="18"/>
              </w:rPr>
              <w:t>Address</w:t>
            </w:r>
          </w:p>
        </w:tc>
        <w:tc>
          <w:tcPr>
            <w:tcW w:w="1409" w:type="dxa"/>
            <w:noWrap/>
            <w:hideMark/>
          </w:tcPr>
          <w:p w:rsidRPr="009F38FC" w:rsidR="000D7072" w:rsidRDefault="000D7072" w14:paraId="57D6974F" w14:textId="77777777">
            <w:pPr>
              <w:rPr>
                <w:b/>
                <w:bCs/>
                <w:color w:val="000000" w:themeColor="text1"/>
                <w:sz w:val="18"/>
                <w:szCs w:val="18"/>
              </w:rPr>
            </w:pPr>
            <w:r w:rsidRPr="009F38FC">
              <w:rPr>
                <w:b/>
                <w:bCs/>
                <w:color w:val="000000" w:themeColor="text1"/>
                <w:sz w:val="18"/>
                <w:szCs w:val="18"/>
              </w:rPr>
              <w:t>City</w:t>
            </w:r>
          </w:p>
        </w:tc>
        <w:tc>
          <w:tcPr>
            <w:tcW w:w="1033" w:type="dxa"/>
            <w:noWrap/>
            <w:hideMark/>
          </w:tcPr>
          <w:p w:rsidRPr="009F38FC" w:rsidR="000D7072" w:rsidP="009F38FC" w:rsidRDefault="000D7072" w14:paraId="5E77A2EA" w14:textId="77777777">
            <w:pPr>
              <w:rPr>
                <w:b/>
                <w:bCs/>
                <w:color w:val="000000" w:themeColor="text1"/>
                <w:sz w:val="18"/>
                <w:szCs w:val="18"/>
              </w:rPr>
            </w:pPr>
            <w:r w:rsidRPr="009F38FC">
              <w:rPr>
                <w:b/>
                <w:bCs/>
                <w:color w:val="000000" w:themeColor="text1"/>
                <w:sz w:val="18"/>
                <w:szCs w:val="18"/>
              </w:rPr>
              <w:t>Zip Code</w:t>
            </w:r>
          </w:p>
        </w:tc>
        <w:tc>
          <w:tcPr>
            <w:tcW w:w="1409" w:type="dxa"/>
            <w:noWrap/>
            <w:hideMark/>
          </w:tcPr>
          <w:p w:rsidRPr="009F38FC" w:rsidR="000D7072" w:rsidP="00584CF8" w:rsidRDefault="000D7072" w14:paraId="2EB1D675" w14:textId="77777777">
            <w:pPr>
              <w:jc w:val="right"/>
              <w:rPr>
                <w:b/>
                <w:bCs/>
                <w:color w:val="000000" w:themeColor="text1"/>
                <w:sz w:val="18"/>
                <w:szCs w:val="18"/>
              </w:rPr>
            </w:pPr>
            <w:r w:rsidRPr="009F38FC">
              <w:rPr>
                <w:b/>
                <w:bCs/>
                <w:color w:val="000000" w:themeColor="text1"/>
                <w:sz w:val="18"/>
                <w:szCs w:val="18"/>
              </w:rPr>
              <w:t>Grant</w:t>
            </w:r>
          </w:p>
        </w:tc>
        <w:tc>
          <w:tcPr>
            <w:tcW w:w="695" w:type="dxa"/>
            <w:noWrap/>
            <w:hideMark/>
          </w:tcPr>
          <w:p w:rsidRPr="009F38FC" w:rsidR="000D7072" w:rsidP="00584CF8" w:rsidRDefault="000D7072" w14:paraId="777D0C1C" w14:textId="77777777">
            <w:pPr>
              <w:rPr>
                <w:b/>
                <w:bCs/>
                <w:color w:val="000000" w:themeColor="text1"/>
                <w:sz w:val="18"/>
                <w:szCs w:val="18"/>
              </w:rPr>
            </w:pPr>
            <w:r w:rsidRPr="009F38FC">
              <w:rPr>
                <w:b/>
                <w:bCs/>
                <w:color w:val="000000" w:themeColor="text1"/>
                <w:sz w:val="18"/>
                <w:szCs w:val="18"/>
              </w:rPr>
              <w:t>Units</w:t>
            </w:r>
          </w:p>
        </w:tc>
      </w:tr>
      <w:tr w:rsidRPr="009F38FC" w:rsidR="000D7072" w:rsidTr="0049358C" w14:paraId="3D61B749" w14:textId="77777777">
        <w:trPr>
          <w:trHeight w:val="297"/>
        </w:trPr>
        <w:tc>
          <w:tcPr>
            <w:tcW w:w="1498" w:type="dxa"/>
            <w:noWrap/>
            <w:hideMark/>
          </w:tcPr>
          <w:p w:rsidRPr="009F38FC" w:rsidR="000D7072" w:rsidRDefault="000D7072" w14:paraId="13583B7E" w14:textId="77777777">
            <w:pPr>
              <w:rPr>
                <w:color w:val="000000" w:themeColor="text1"/>
                <w:sz w:val="18"/>
                <w:szCs w:val="18"/>
              </w:rPr>
            </w:pPr>
            <w:r w:rsidRPr="009F38FC">
              <w:rPr>
                <w:color w:val="000000" w:themeColor="text1"/>
                <w:sz w:val="18"/>
                <w:szCs w:val="18"/>
              </w:rPr>
              <w:t>CHISPA, Inc.</w:t>
            </w:r>
          </w:p>
        </w:tc>
        <w:tc>
          <w:tcPr>
            <w:tcW w:w="1785" w:type="dxa"/>
            <w:noWrap/>
            <w:hideMark/>
          </w:tcPr>
          <w:p w:rsidRPr="009F38FC" w:rsidR="000D7072" w:rsidRDefault="000D7072" w14:paraId="3AEF0693" w14:textId="77777777">
            <w:pPr>
              <w:rPr>
                <w:color w:val="000000" w:themeColor="text1"/>
                <w:sz w:val="18"/>
                <w:szCs w:val="18"/>
              </w:rPr>
            </w:pPr>
            <w:r w:rsidRPr="009F38FC">
              <w:rPr>
                <w:color w:val="000000" w:themeColor="text1"/>
                <w:sz w:val="18"/>
                <w:szCs w:val="18"/>
              </w:rPr>
              <w:t>East Garrison Ap</w:t>
            </w:r>
            <w:r>
              <w:rPr>
                <w:color w:val="000000" w:themeColor="text1"/>
                <w:sz w:val="18"/>
                <w:szCs w:val="18"/>
              </w:rPr>
              <w:t>ts</w:t>
            </w:r>
          </w:p>
        </w:tc>
        <w:tc>
          <w:tcPr>
            <w:tcW w:w="1691" w:type="dxa"/>
            <w:noWrap/>
            <w:hideMark/>
          </w:tcPr>
          <w:p w:rsidRPr="009F38FC" w:rsidR="000D7072" w:rsidRDefault="000D7072" w14:paraId="7EDBF8E9" w14:textId="77777777">
            <w:pPr>
              <w:rPr>
                <w:color w:val="000000" w:themeColor="text1"/>
                <w:sz w:val="18"/>
                <w:szCs w:val="18"/>
              </w:rPr>
            </w:pPr>
            <w:r w:rsidRPr="009F38FC">
              <w:rPr>
                <w:color w:val="000000" w:themeColor="text1"/>
                <w:sz w:val="18"/>
                <w:szCs w:val="18"/>
              </w:rPr>
              <w:t>21131 and 21231 Ord Avenue</w:t>
            </w:r>
          </w:p>
        </w:tc>
        <w:tc>
          <w:tcPr>
            <w:tcW w:w="1409" w:type="dxa"/>
            <w:noWrap/>
            <w:hideMark/>
          </w:tcPr>
          <w:p w:rsidRPr="009F38FC" w:rsidR="000D7072" w:rsidRDefault="000D7072" w14:paraId="57E8F5BC" w14:textId="77777777">
            <w:pPr>
              <w:rPr>
                <w:color w:val="000000" w:themeColor="text1"/>
                <w:sz w:val="18"/>
                <w:szCs w:val="18"/>
              </w:rPr>
            </w:pPr>
            <w:r w:rsidRPr="009F38FC">
              <w:rPr>
                <w:color w:val="000000" w:themeColor="text1"/>
                <w:sz w:val="18"/>
                <w:szCs w:val="18"/>
              </w:rPr>
              <w:t>Monterey</w:t>
            </w:r>
          </w:p>
        </w:tc>
        <w:tc>
          <w:tcPr>
            <w:tcW w:w="1033" w:type="dxa"/>
            <w:noWrap/>
            <w:hideMark/>
          </w:tcPr>
          <w:p w:rsidRPr="009F38FC" w:rsidR="000D7072" w:rsidP="009F38FC" w:rsidRDefault="000D7072" w14:paraId="1F280723" w14:textId="77777777">
            <w:pPr>
              <w:rPr>
                <w:color w:val="000000" w:themeColor="text1"/>
                <w:sz w:val="18"/>
                <w:szCs w:val="18"/>
              </w:rPr>
            </w:pPr>
            <w:r w:rsidRPr="009F38FC">
              <w:rPr>
                <w:color w:val="000000" w:themeColor="text1"/>
                <w:sz w:val="18"/>
                <w:szCs w:val="18"/>
              </w:rPr>
              <w:t>93933</w:t>
            </w:r>
          </w:p>
        </w:tc>
        <w:tc>
          <w:tcPr>
            <w:tcW w:w="1409" w:type="dxa"/>
            <w:noWrap/>
            <w:hideMark/>
          </w:tcPr>
          <w:p w:rsidRPr="009F38FC" w:rsidR="000D7072" w:rsidP="00584CF8" w:rsidRDefault="000D7072" w14:paraId="5DA69B63" w14:textId="77777777">
            <w:pPr>
              <w:jc w:val="right"/>
              <w:rPr>
                <w:color w:val="000000" w:themeColor="text1"/>
                <w:sz w:val="18"/>
                <w:szCs w:val="18"/>
              </w:rPr>
            </w:pPr>
            <w:r w:rsidRPr="009F38FC">
              <w:rPr>
                <w:color w:val="000000" w:themeColor="text1"/>
                <w:sz w:val="18"/>
                <w:szCs w:val="18"/>
              </w:rPr>
              <w:t xml:space="preserve"> $</w:t>
            </w:r>
            <w:r w:rsidRPr="008737F2">
              <w:rPr>
                <w:color w:val="000000" w:themeColor="text1"/>
                <w:sz w:val="18"/>
                <w:szCs w:val="18"/>
              </w:rPr>
              <w:t>134</w:t>
            </w:r>
            <w:r>
              <w:rPr>
                <w:color w:val="000000" w:themeColor="text1"/>
                <w:sz w:val="18"/>
                <w:szCs w:val="18"/>
              </w:rPr>
              <w:t>,</w:t>
            </w:r>
            <w:r w:rsidRPr="008737F2">
              <w:rPr>
                <w:color w:val="000000" w:themeColor="text1"/>
                <w:sz w:val="18"/>
                <w:szCs w:val="18"/>
              </w:rPr>
              <w:t>777.76</w:t>
            </w:r>
          </w:p>
        </w:tc>
        <w:tc>
          <w:tcPr>
            <w:tcW w:w="695" w:type="dxa"/>
            <w:noWrap/>
            <w:hideMark/>
          </w:tcPr>
          <w:p w:rsidRPr="009F38FC" w:rsidR="000D7072" w:rsidP="00584CF8" w:rsidRDefault="000D7072" w14:paraId="5BA3FE5A" w14:textId="77777777">
            <w:pPr>
              <w:jc w:val="right"/>
              <w:rPr>
                <w:color w:val="000000" w:themeColor="text1"/>
                <w:sz w:val="18"/>
                <w:szCs w:val="18"/>
              </w:rPr>
            </w:pPr>
            <w:r w:rsidRPr="009F38FC">
              <w:rPr>
                <w:color w:val="000000" w:themeColor="text1"/>
                <w:sz w:val="18"/>
                <w:szCs w:val="18"/>
              </w:rPr>
              <w:t>66</w:t>
            </w:r>
          </w:p>
        </w:tc>
      </w:tr>
      <w:tr w:rsidRPr="009F38FC" w:rsidR="000D7072" w:rsidTr="0049358C" w14:paraId="4EF5AE4D" w14:textId="77777777">
        <w:trPr>
          <w:trHeight w:val="297"/>
        </w:trPr>
        <w:tc>
          <w:tcPr>
            <w:tcW w:w="1498" w:type="dxa"/>
            <w:noWrap/>
            <w:hideMark/>
          </w:tcPr>
          <w:p w:rsidRPr="009F38FC" w:rsidR="000D7072" w:rsidRDefault="000D7072" w14:paraId="68C13745" w14:textId="77777777">
            <w:pPr>
              <w:rPr>
                <w:color w:val="000000" w:themeColor="text1"/>
                <w:sz w:val="18"/>
                <w:szCs w:val="18"/>
              </w:rPr>
            </w:pPr>
            <w:r w:rsidRPr="009F38FC">
              <w:rPr>
                <w:color w:val="000000" w:themeColor="text1"/>
                <w:sz w:val="18"/>
                <w:szCs w:val="18"/>
              </w:rPr>
              <w:t>Eden Housing</w:t>
            </w:r>
          </w:p>
        </w:tc>
        <w:tc>
          <w:tcPr>
            <w:tcW w:w="1785" w:type="dxa"/>
            <w:noWrap/>
            <w:hideMark/>
          </w:tcPr>
          <w:p w:rsidRPr="009F38FC" w:rsidR="000D7072" w:rsidRDefault="000D7072" w14:paraId="57724468" w14:textId="77777777">
            <w:pPr>
              <w:rPr>
                <w:color w:val="000000" w:themeColor="text1"/>
                <w:sz w:val="18"/>
                <w:szCs w:val="18"/>
              </w:rPr>
            </w:pPr>
            <w:r w:rsidRPr="009F38FC">
              <w:rPr>
                <w:color w:val="000000" w:themeColor="text1"/>
                <w:sz w:val="18"/>
                <w:szCs w:val="18"/>
              </w:rPr>
              <w:t>Blue Oak Landing</w:t>
            </w:r>
          </w:p>
        </w:tc>
        <w:tc>
          <w:tcPr>
            <w:tcW w:w="1691" w:type="dxa"/>
            <w:noWrap/>
            <w:hideMark/>
          </w:tcPr>
          <w:p w:rsidRPr="009F38FC" w:rsidR="000D7072" w:rsidRDefault="000D7072" w14:paraId="55B72AAA" w14:textId="77777777">
            <w:pPr>
              <w:rPr>
                <w:color w:val="000000" w:themeColor="text1"/>
                <w:sz w:val="18"/>
                <w:szCs w:val="18"/>
              </w:rPr>
            </w:pPr>
            <w:r w:rsidRPr="009F38FC">
              <w:rPr>
                <w:color w:val="000000" w:themeColor="text1"/>
                <w:sz w:val="18"/>
                <w:szCs w:val="18"/>
              </w:rPr>
              <w:t>2118 Sacramento Street</w:t>
            </w:r>
          </w:p>
        </w:tc>
        <w:tc>
          <w:tcPr>
            <w:tcW w:w="1409" w:type="dxa"/>
            <w:noWrap/>
            <w:hideMark/>
          </w:tcPr>
          <w:p w:rsidRPr="009F38FC" w:rsidR="000D7072" w:rsidRDefault="000D7072" w14:paraId="6EEC9046" w14:textId="77777777">
            <w:pPr>
              <w:rPr>
                <w:color w:val="000000" w:themeColor="text1"/>
                <w:sz w:val="18"/>
                <w:szCs w:val="18"/>
              </w:rPr>
            </w:pPr>
            <w:r w:rsidRPr="009F38FC">
              <w:rPr>
                <w:color w:val="000000" w:themeColor="text1"/>
                <w:sz w:val="18"/>
                <w:szCs w:val="18"/>
              </w:rPr>
              <w:t>Vallejo</w:t>
            </w:r>
          </w:p>
        </w:tc>
        <w:tc>
          <w:tcPr>
            <w:tcW w:w="1033" w:type="dxa"/>
            <w:noWrap/>
            <w:hideMark/>
          </w:tcPr>
          <w:p w:rsidRPr="009F38FC" w:rsidR="000D7072" w:rsidP="009F38FC" w:rsidRDefault="000D7072" w14:paraId="0467C971" w14:textId="77777777">
            <w:pPr>
              <w:rPr>
                <w:color w:val="000000" w:themeColor="text1"/>
                <w:sz w:val="18"/>
                <w:szCs w:val="18"/>
              </w:rPr>
            </w:pPr>
            <w:r w:rsidRPr="009F38FC">
              <w:rPr>
                <w:color w:val="000000" w:themeColor="text1"/>
                <w:sz w:val="18"/>
                <w:szCs w:val="18"/>
              </w:rPr>
              <w:t>94590</w:t>
            </w:r>
          </w:p>
        </w:tc>
        <w:tc>
          <w:tcPr>
            <w:tcW w:w="1409" w:type="dxa"/>
            <w:noWrap/>
            <w:hideMark/>
          </w:tcPr>
          <w:p w:rsidRPr="009F38FC" w:rsidR="000D7072" w:rsidP="00584CF8" w:rsidRDefault="000D7072" w14:paraId="1CA798D8" w14:textId="77777777">
            <w:pPr>
              <w:jc w:val="right"/>
              <w:rPr>
                <w:color w:val="000000" w:themeColor="text1"/>
                <w:sz w:val="18"/>
                <w:szCs w:val="18"/>
              </w:rPr>
            </w:pPr>
            <w:r w:rsidRPr="0045241A">
              <w:rPr>
                <w:color w:val="000000" w:themeColor="text1"/>
                <w:sz w:val="18"/>
                <w:szCs w:val="18"/>
              </w:rPr>
              <w:t>$108,887.94</w:t>
            </w:r>
          </w:p>
        </w:tc>
        <w:tc>
          <w:tcPr>
            <w:tcW w:w="695" w:type="dxa"/>
            <w:noWrap/>
            <w:hideMark/>
          </w:tcPr>
          <w:p w:rsidRPr="009F38FC" w:rsidR="000D7072" w:rsidP="00584CF8" w:rsidRDefault="000D7072" w14:paraId="649F5110" w14:textId="77777777">
            <w:pPr>
              <w:jc w:val="right"/>
              <w:rPr>
                <w:color w:val="000000" w:themeColor="text1"/>
                <w:sz w:val="18"/>
                <w:szCs w:val="18"/>
              </w:rPr>
            </w:pPr>
            <w:r w:rsidRPr="009F38FC">
              <w:rPr>
                <w:color w:val="000000" w:themeColor="text1"/>
                <w:sz w:val="18"/>
                <w:szCs w:val="18"/>
              </w:rPr>
              <w:t>75</w:t>
            </w:r>
          </w:p>
        </w:tc>
      </w:tr>
      <w:tr w:rsidRPr="009F38FC" w:rsidR="000D7072" w:rsidTr="0049358C" w14:paraId="37440101" w14:textId="77777777">
        <w:trPr>
          <w:trHeight w:val="297"/>
        </w:trPr>
        <w:tc>
          <w:tcPr>
            <w:tcW w:w="1498" w:type="dxa"/>
            <w:noWrap/>
            <w:hideMark/>
          </w:tcPr>
          <w:p w:rsidRPr="009F38FC" w:rsidR="000D7072" w:rsidRDefault="000D7072" w14:paraId="422C917F" w14:textId="77777777">
            <w:pPr>
              <w:rPr>
                <w:color w:val="000000" w:themeColor="text1"/>
                <w:sz w:val="18"/>
                <w:szCs w:val="18"/>
              </w:rPr>
            </w:pPr>
            <w:r w:rsidRPr="009F38FC">
              <w:rPr>
                <w:color w:val="000000" w:themeColor="text1"/>
                <w:sz w:val="18"/>
                <w:szCs w:val="18"/>
              </w:rPr>
              <w:t>RCD Housing</w:t>
            </w:r>
          </w:p>
        </w:tc>
        <w:tc>
          <w:tcPr>
            <w:tcW w:w="1785" w:type="dxa"/>
            <w:noWrap/>
            <w:hideMark/>
          </w:tcPr>
          <w:p w:rsidRPr="009F38FC" w:rsidR="000D7072" w:rsidRDefault="000D7072" w14:paraId="42D68097" w14:textId="77777777">
            <w:pPr>
              <w:rPr>
                <w:color w:val="000000" w:themeColor="text1"/>
                <w:sz w:val="18"/>
                <w:szCs w:val="18"/>
              </w:rPr>
            </w:pPr>
            <w:r w:rsidRPr="009F38FC">
              <w:rPr>
                <w:color w:val="000000" w:themeColor="text1"/>
                <w:sz w:val="18"/>
                <w:szCs w:val="18"/>
              </w:rPr>
              <w:t>Coliseum Place</w:t>
            </w:r>
          </w:p>
        </w:tc>
        <w:tc>
          <w:tcPr>
            <w:tcW w:w="1691" w:type="dxa"/>
            <w:noWrap/>
            <w:hideMark/>
          </w:tcPr>
          <w:p w:rsidRPr="009F38FC" w:rsidR="000D7072" w:rsidRDefault="000D7072" w14:paraId="3A0FF753" w14:textId="77777777">
            <w:pPr>
              <w:rPr>
                <w:color w:val="000000" w:themeColor="text1"/>
                <w:sz w:val="18"/>
                <w:szCs w:val="18"/>
              </w:rPr>
            </w:pPr>
            <w:r w:rsidRPr="009F38FC">
              <w:rPr>
                <w:color w:val="000000" w:themeColor="text1"/>
                <w:sz w:val="18"/>
                <w:szCs w:val="18"/>
              </w:rPr>
              <w:t>7120 Hawley Street</w:t>
            </w:r>
          </w:p>
        </w:tc>
        <w:tc>
          <w:tcPr>
            <w:tcW w:w="1409" w:type="dxa"/>
            <w:noWrap/>
            <w:hideMark/>
          </w:tcPr>
          <w:p w:rsidRPr="009F38FC" w:rsidR="000D7072" w:rsidRDefault="000D7072" w14:paraId="118FF629" w14:textId="77777777">
            <w:pPr>
              <w:rPr>
                <w:color w:val="000000" w:themeColor="text1"/>
                <w:sz w:val="18"/>
                <w:szCs w:val="18"/>
              </w:rPr>
            </w:pPr>
            <w:r w:rsidRPr="009F38FC">
              <w:rPr>
                <w:color w:val="000000" w:themeColor="text1"/>
                <w:sz w:val="18"/>
                <w:szCs w:val="18"/>
              </w:rPr>
              <w:t>Oakland</w:t>
            </w:r>
          </w:p>
        </w:tc>
        <w:tc>
          <w:tcPr>
            <w:tcW w:w="1033" w:type="dxa"/>
            <w:noWrap/>
            <w:hideMark/>
          </w:tcPr>
          <w:p w:rsidRPr="009F38FC" w:rsidR="000D7072" w:rsidP="009F38FC" w:rsidRDefault="000D7072" w14:paraId="5AE32F8D" w14:textId="77777777">
            <w:pPr>
              <w:rPr>
                <w:color w:val="000000" w:themeColor="text1"/>
                <w:sz w:val="18"/>
                <w:szCs w:val="18"/>
              </w:rPr>
            </w:pPr>
            <w:r w:rsidRPr="009F38FC">
              <w:rPr>
                <w:color w:val="000000" w:themeColor="text1"/>
                <w:sz w:val="18"/>
                <w:szCs w:val="18"/>
              </w:rPr>
              <w:t>94621</w:t>
            </w:r>
          </w:p>
        </w:tc>
        <w:tc>
          <w:tcPr>
            <w:tcW w:w="1409" w:type="dxa"/>
            <w:noWrap/>
            <w:hideMark/>
          </w:tcPr>
          <w:p w:rsidRPr="009F38FC" w:rsidR="000D7072" w:rsidP="00584CF8" w:rsidRDefault="000D7072" w14:paraId="58A417F3" w14:textId="77777777">
            <w:pPr>
              <w:jc w:val="right"/>
              <w:rPr>
                <w:color w:val="000000" w:themeColor="text1"/>
                <w:sz w:val="18"/>
                <w:szCs w:val="18"/>
              </w:rPr>
            </w:pPr>
            <w:r w:rsidRPr="009F38FC">
              <w:rPr>
                <w:color w:val="000000" w:themeColor="text1"/>
                <w:sz w:val="18"/>
                <w:szCs w:val="18"/>
              </w:rPr>
              <w:t xml:space="preserve"> $65,077.00 </w:t>
            </w:r>
          </w:p>
        </w:tc>
        <w:tc>
          <w:tcPr>
            <w:tcW w:w="695" w:type="dxa"/>
            <w:noWrap/>
            <w:hideMark/>
          </w:tcPr>
          <w:p w:rsidRPr="009F38FC" w:rsidR="000D7072" w:rsidP="00584CF8" w:rsidRDefault="000D7072" w14:paraId="2A37BC6A" w14:textId="77777777">
            <w:pPr>
              <w:jc w:val="right"/>
              <w:rPr>
                <w:color w:val="000000" w:themeColor="text1"/>
                <w:sz w:val="18"/>
                <w:szCs w:val="18"/>
              </w:rPr>
            </w:pPr>
            <w:r w:rsidRPr="009F38FC">
              <w:rPr>
                <w:color w:val="000000" w:themeColor="text1"/>
                <w:sz w:val="18"/>
                <w:szCs w:val="18"/>
              </w:rPr>
              <w:t>59</w:t>
            </w:r>
          </w:p>
        </w:tc>
      </w:tr>
      <w:tr w:rsidRPr="009F38FC" w:rsidR="000D7072" w:rsidTr="0049358C" w14:paraId="7140245B" w14:textId="77777777">
        <w:trPr>
          <w:trHeight w:val="297"/>
        </w:trPr>
        <w:tc>
          <w:tcPr>
            <w:tcW w:w="1498" w:type="dxa"/>
            <w:noWrap/>
            <w:hideMark/>
          </w:tcPr>
          <w:p w:rsidRPr="009F38FC" w:rsidR="000D7072" w:rsidRDefault="000D7072" w14:paraId="46E75CAD" w14:textId="77777777">
            <w:pPr>
              <w:rPr>
                <w:color w:val="000000" w:themeColor="text1"/>
                <w:sz w:val="18"/>
                <w:szCs w:val="18"/>
              </w:rPr>
            </w:pPr>
            <w:r w:rsidRPr="009F38FC">
              <w:rPr>
                <w:color w:val="000000" w:themeColor="text1"/>
                <w:sz w:val="18"/>
                <w:szCs w:val="18"/>
              </w:rPr>
              <w:t>RCD Housing</w:t>
            </w:r>
          </w:p>
        </w:tc>
        <w:tc>
          <w:tcPr>
            <w:tcW w:w="1785" w:type="dxa"/>
            <w:noWrap/>
            <w:hideMark/>
          </w:tcPr>
          <w:p w:rsidRPr="009F38FC" w:rsidR="000D7072" w:rsidRDefault="000D7072" w14:paraId="34DB4678" w14:textId="77777777">
            <w:pPr>
              <w:rPr>
                <w:color w:val="000000" w:themeColor="text1"/>
                <w:sz w:val="18"/>
                <w:szCs w:val="18"/>
              </w:rPr>
            </w:pPr>
            <w:r w:rsidRPr="009F38FC">
              <w:rPr>
                <w:color w:val="000000" w:themeColor="text1"/>
                <w:sz w:val="18"/>
                <w:szCs w:val="18"/>
              </w:rPr>
              <w:t>Maudelle Miller Shirek</w:t>
            </w:r>
          </w:p>
        </w:tc>
        <w:tc>
          <w:tcPr>
            <w:tcW w:w="1691" w:type="dxa"/>
            <w:noWrap/>
            <w:hideMark/>
          </w:tcPr>
          <w:p w:rsidRPr="009F38FC" w:rsidR="000D7072" w:rsidRDefault="000D7072" w14:paraId="5B2B3977" w14:textId="77777777">
            <w:pPr>
              <w:rPr>
                <w:color w:val="000000" w:themeColor="text1"/>
                <w:sz w:val="18"/>
                <w:szCs w:val="18"/>
              </w:rPr>
            </w:pPr>
            <w:r w:rsidRPr="009F38FC">
              <w:rPr>
                <w:color w:val="000000" w:themeColor="text1"/>
                <w:sz w:val="18"/>
                <w:szCs w:val="18"/>
              </w:rPr>
              <w:t>2001 Ashby Ave.</w:t>
            </w:r>
          </w:p>
        </w:tc>
        <w:tc>
          <w:tcPr>
            <w:tcW w:w="1409" w:type="dxa"/>
            <w:noWrap/>
            <w:hideMark/>
          </w:tcPr>
          <w:p w:rsidRPr="009F38FC" w:rsidR="000D7072" w:rsidRDefault="000D7072" w14:paraId="24487C33" w14:textId="77777777">
            <w:pPr>
              <w:rPr>
                <w:color w:val="000000" w:themeColor="text1"/>
                <w:sz w:val="18"/>
                <w:szCs w:val="18"/>
              </w:rPr>
            </w:pPr>
            <w:r w:rsidRPr="009F38FC">
              <w:rPr>
                <w:color w:val="000000" w:themeColor="text1"/>
                <w:sz w:val="18"/>
                <w:szCs w:val="18"/>
              </w:rPr>
              <w:t>Berkley</w:t>
            </w:r>
          </w:p>
        </w:tc>
        <w:tc>
          <w:tcPr>
            <w:tcW w:w="1033" w:type="dxa"/>
            <w:noWrap/>
            <w:hideMark/>
          </w:tcPr>
          <w:p w:rsidRPr="009F38FC" w:rsidR="000D7072" w:rsidP="009F38FC" w:rsidRDefault="000D7072" w14:paraId="0BD16E92" w14:textId="77777777">
            <w:pPr>
              <w:rPr>
                <w:color w:val="000000" w:themeColor="text1"/>
                <w:sz w:val="18"/>
                <w:szCs w:val="18"/>
              </w:rPr>
            </w:pPr>
            <w:r w:rsidRPr="009F38FC">
              <w:rPr>
                <w:color w:val="000000" w:themeColor="text1"/>
                <w:sz w:val="18"/>
                <w:szCs w:val="18"/>
              </w:rPr>
              <w:t>94703</w:t>
            </w:r>
          </w:p>
        </w:tc>
        <w:tc>
          <w:tcPr>
            <w:tcW w:w="1409" w:type="dxa"/>
            <w:noWrap/>
            <w:hideMark/>
          </w:tcPr>
          <w:p w:rsidRPr="009F38FC" w:rsidR="000D7072" w:rsidP="00584CF8" w:rsidRDefault="000D7072" w14:paraId="7C8B99CC" w14:textId="77777777">
            <w:pPr>
              <w:jc w:val="right"/>
              <w:rPr>
                <w:color w:val="000000" w:themeColor="text1"/>
                <w:sz w:val="18"/>
                <w:szCs w:val="18"/>
              </w:rPr>
            </w:pPr>
            <w:r w:rsidRPr="009F38FC">
              <w:rPr>
                <w:color w:val="000000" w:themeColor="text1"/>
                <w:sz w:val="18"/>
                <w:szCs w:val="18"/>
              </w:rPr>
              <w:t xml:space="preserve"> $78,387.00 </w:t>
            </w:r>
          </w:p>
        </w:tc>
        <w:tc>
          <w:tcPr>
            <w:tcW w:w="695" w:type="dxa"/>
            <w:noWrap/>
            <w:hideMark/>
          </w:tcPr>
          <w:p w:rsidRPr="009F38FC" w:rsidR="000D7072" w:rsidP="00584CF8" w:rsidRDefault="000D7072" w14:paraId="1298213F" w14:textId="77777777">
            <w:pPr>
              <w:jc w:val="right"/>
              <w:rPr>
                <w:color w:val="000000" w:themeColor="text1"/>
                <w:sz w:val="18"/>
                <w:szCs w:val="18"/>
              </w:rPr>
            </w:pPr>
            <w:r w:rsidRPr="009F38FC">
              <w:rPr>
                <w:color w:val="000000" w:themeColor="text1"/>
                <w:sz w:val="18"/>
                <w:szCs w:val="18"/>
              </w:rPr>
              <w:t>87</w:t>
            </w:r>
          </w:p>
        </w:tc>
      </w:tr>
      <w:tr w:rsidRPr="009F38FC" w:rsidR="000D7072" w:rsidTr="0049358C" w14:paraId="648B8001" w14:textId="77777777">
        <w:trPr>
          <w:trHeight w:val="297"/>
        </w:trPr>
        <w:tc>
          <w:tcPr>
            <w:tcW w:w="1498" w:type="dxa"/>
            <w:noWrap/>
            <w:hideMark/>
          </w:tcPr>
          <w:p w:rsidRPr="009F38FC" w:rsidR="000D7072" w:rsidRDefault="000D7072" w14:paraId="44BFB949" w14:textId="77777777">
            <w:pPr>
              <w:rPr>
                <w:color w:val="000000" w:themeColor="text1"/>
                <w:sz w:val="18"/>
                <w:szCs w:val="18"/>
              </w:rPr>
            </w:pPr>
            <w:r w:rsidRPr="009F38FC">
              <w:rPr>
                <w:color w:val="000000" w:themeColor="text1"/>
                <w:sz w:val="18"/>
                <w:szCs w:val="18"/>
              </w:rPr>
              <w:t>RCD Housing</w:t>
            </w:r>
          </w:p>
        </w:tc>
        <w:tc>
          <w:tcPr>
            <w:tcW w:w="1785" w:type="dxa"/>
            <w:noWrap/>
            <w:hideMark/>
          </w:tcPr>
          <w:p w:rsidRPr="009F38FC" w:rsidR="000D7072" w:rsidRDefault="000D7072" w14:paraId="0A33F3AC" w14:textId="77777777">
            <w:pPr>
              <w:rPr>
                <w:color w:val="000000" w:themeColor="text1"/>
                <w:sz w:val="18"/>
                <w:szCs w:val="18"/>
              </w:rPr>
            </w:pPr>
            <w:r w:rsidRPr="009F38FC">
              <w:rPr>
                <w:color w:val="000000" w:themeColor="text1"/>
                <w:sz w:val="18"/>
                <w:szCs w:val="18"/>
              </w:rPr>
              <w:t>Sango Court</w:t>
            </w:r>
          </w:p>
        </w:tc>
        <w:tc>
          <w:tcPr>
            <w:tcW w:w="1691" w:type="dxa"/>
            <w:noWrap/>
            <w:hideMark/>
          </w:tcPr>
          <w:p w:rsidRPr="009F38FC" w:rsidR="000D7072" w:rsidRDefault="000D7072" w14:paraId="0617D246" w14:textId="77777777">
            <w:pPr>
              <w:rPr>
                <w:color w:val="000000" w:themeColor="text1"/>
                <w:sz w:val="18"/>
                <w:szCs w:val="18"/>
              </w:rPr>
            </w:pPr>
            <w:r w:rsidRPr="009F38FC">
              <w:rPr>
                <w:color w:val="000000" w:themeColor="text1"/>
                <w:sz w:val="18"/>
                <w:szCs w:val="18"/>
              </w:rPr>
              <w:t>355 Sango Ct</w:t>
            </w:r>
          </w:p>
        </w:tc>
        <w:tc>
          <w:tcPr>
            <w:tcW w:w="1409" w:type="dxa"/>
            <w:noWrap/>
            <w:hideMark/>
          </w:tcPr>
          <w:p w:rsidRPr="009F38FC" w:rsidR="000D7072" w:rsidRDefault="000D7072" w14:paraId="5AEA712A" w14:textId="77777777">
            <w:pPr>
              <w:rPr>
                <w:color w:val="000000" w:themeColor="text1"/>
                <w:sz w:val="18"/>
                <w:szCs w:val="18"/>
              </w:rPr>
            </w:pPr>
            <w:r w:rsidRPr="009F38FC">
              <w:rPr>
                <w:color w:val="000000" w:themeColor="text1"/>
                <w:sz w:val="18"/>
                <w:szCs w:val="18"/>
              </w:rPr>
              <w:t>Milpitas</w:t>
            </w:r>
          </w:p>
        </w:tc>
        <w:tc>
          <w:tcPr>
            <w:tcW w:w="1033" w:type="dxa"/>
            <w:noWrap/>
            <w:hideMark/>
          </w:tcPr>
          <w:p w:rsidRPr="009F38FC" w:rsidR="000D7072" w:rsidP="009F38FC" w:rsidRDefault="000D7072" w14:paraId="6F0438C3" w14:textId="77777777">
            <w:pPr>
              <w:rPr>
                <w:color w:val="000000" w:themeColor="text1"/>
                <w:sz w:val="18"/>
                <w:szCs w:val="18"/>
              </w:rPr>
            </w:pPr>
            <w:r w:rsidRPr="009F38FC">
              <w:rPr>
                <w:color w:val="000000" w:themeColor="text1"/>
                <w:sz w:val="18"/>
                <w:szCs w:val="18"/>
              </w:rPr>
              <w:t>95035</w:t>
            </w:r>
          </w:p>
        </w:tc>
        <w:tc>
          <w:tcPr>
            <w:tcW w:w="1409" w:type="dxa"/>
            <w:noWrap/>
            <w:hideMark/>
          </w:tcPr>
          <w:p w:rsidRPr="009F38FC" w:rsidR="000D7072" w:rsidP="00584CF8" w:rsidRDefault="000D7072" w14:paraId="10028F3F" w14:textId="77777777">
            <w:pPr>
              <w:jc w:val="right"/>
              <w:rPr>
                <w:color w:val="000000" w:themeColor="text1"/>
                <w:sz w:val="18"/>
                <w:szCs w:val="18"/>
              </w:rPr>
            </w:pPr>
            <w:r w:rsidRPr="009F38FC">
              <w:rPr>
                <w:color w:val="000000" w:themeColor="text1"/>
                <w:sz w:val="18"/>
                <w:szCs w:val="18"/>
              </w:rPr>
              <w:t xml:space="preserve"> $80,580.00 </w:t>
            </w:r>
          </w:p>
        </w:tc>
        <w:tc>
          <w:tcPr>
            <w:tcW w:w="695" w:type="dxa"/>
            <w:noWrap/>
            <w:hideMark/>
          </w:tcPr>
          <w:p w:rsidRPr="009F38FC" w:rsidR="000D7072" w:rsidP="00584CF8" w:rsidRDefault="000D7072" w14:paraId="4D3E27D9" w14:textId="77777777">
            <w:pPr>
              <w:jc w:val="right"/>
              <w:rPr>
                <w:color w:val="000000" w:themeColor="text1"/>
                <w:sz w:val="18"/>
                <w:szCs w:val="18"/>
              </w:rPr>
            </w:pPr>
            <w:r w:rsidRPr="009F38FC">
              <w:rPr>
                <w:color w:val="000000" w:themeColor="text1"/>
                <w:sz w:val="18"/>
                <w:szCs w:val="18"/>
              </w:rPr>
              <w:t>102</w:t>
            </w:r>
          </w:p>
        </w:tc>
      </w:tr>
      <w:tr w:rsidRPr="009F38FC" w:rsidR="000D7072" w:rsidTr="0049358C" w14:paraId="4FF1ADC0" w14:textId="77777777">
        <w:trPr>
          <w:trHeight w:val="297"/>
        </w:trPr>
        <w:tc>
          <w:tcPr>
            <w:tcW w:w="1498" w:type="dxa"/>
            <w:noWrap/>
            <w:hideMark/>
          </w:tcPr>
          <w:p w:rsidRPr="009F38FC" w:rsidR="000D7072" w:rsidRDefault="000D7072" w14:paraId="56BA8DD7" w14:textId="77777777">
            <w:pPr>
              <w:rPr>
                <w:color w:val="000000" w:themeColor="text1"/>
                <w:sz w:val="18"/>
                <w:szCs w:val="18"/>
              </w:rPr>
            </w:pPr>
            <w:r w:rsidRPr="009F38FC">
              <w:rPr>
                <w:color w:val="000000" w:themeColor="text1"/>
                <w:sz w:val="18"/>
                <w:szCs w:val="18"/>
              </w:rPr>
              <w:t>RCD Housing</w:t>
            </w:r>
          </w:p>
        </w:tc>
        <w:tc>
          <w:tcPr>
            <w:tcW w:w="1785" w:type="dxa"/>
            <w:noWrap/>
            <w:hideMark/>
          </w:tcPr>
          <w:p w:rsidRPr="009F38FC" w:rsidR="000D7072" w:rsidRDefault="000D7072" w14:paraId="4DE04506" w14:textId="77777777">
            <w:pPr>
              <w:rPr>
                <w:color w:val="000000" w:themeColor="text1"/>
                <w:sz w:val="18"/>
                <w:szCs w:val="18"/>
              </w:rPr>
            </w:pPr>
            <w:r w:rsidRPr="009F38FC">
              <w:rPr>
                <w:color w:val="000000" w:themeColor="text1"/>
                <w:sz w:val="18"/>
                <w:szCs w:val="18"/>
              </w:rPr>
              <w:t>Madrone Terrace</w:t>
            </w:r>
          </w:p>
        </w:tc>
        <w:tc>
          <w:tcPr>
            <w:tcW w:w="1691" w:type="dxa"/>
            <w:noWrap/>
            <w:hideMark/>
          </w:tcPr>
          <w:p w:rsidRPr="009F38FC" w:rsidR="000D7072" w:rsidRDefault="000D7072" w14:paraId="2FC4E1CE" w14:textId="77777777">
            <w:pPr>
              <w:rPr>
                <w:color w:val="000000" w:themeColor="text1"/>
                <w:sz w:val="18"/>
                <w:szCs w:val="18"/>
              </w:rPr>
            </w:pPr>
            <w:r w:rsidRPr="007D226B">
              <w:rPr>
                <w:color w:val="000000" w:themeColor="text1"/>
                <w:sz w:val="18"/>
                <w:szCs w:val="18"/>
              </w:rPr>
              <w:t>16060 E. 14th St.</w:t>
            </w:r>
          </w:p>
        </w:tc>
        <w:tc>
          <w:tcPr>
            <w:tcW w:w="1409" w:type="dxa"/>
            <w:noWrap/>
            <w:hideMark/>
          </w:tcPr>
          <w:p w:rsidRPr="009F38FC" w:rsidR="000D7072" w:rsidRDefault="000D7072" w14:paraId="2F176185" w14:textId="77777777">
            <w:pPr>
              <w:rPr>
                <w:color w:val="000000" w:themeColor="text1"/>
                <w:sz w:val="18"/>
                <w:szCs w:val="18"/>
              </w:rPr>
            </w:pPr>
            <w:r w:rsidRPr="007D226B">
              <w:rPr>
                <w:color w:val="000000" w:themeColor="text1"/>
                <w:sz w:val="18"/>
                <w:szCs w:val="18"/>
              </w:rPr>
              <w:t>San Leandro</w:t>
            </w:r>
          </w:p>
        </w:tc>
        <w:tc>
          <w:tcPr>
            <w:tcW w:w="1033" w:type="dxa"/>
            <w:noWrap/>
            <w:hideMark/>
          </w:tcPr>
          <w:p w:rsidRPr="009F38FC" w:rsidR="000D7072" w:rsidP="009F38FC" w:rsidRDefault="000D7072" w14:paraId="2F05024F" w14:textId="77777777">
            <w:pPr>
              <w:rPr>
                <w:color w:val="000000" w:themeColor="text1"/>
                <w:sz w:val="18"/>
                <w:szCs w:val="18"/>
              </w:rPr>
            </w:pPr>
            <w:r w:rsidRPr="007D226B">
              <w:rPr>
                <w:color w:val="000000" w:themeColor="text1"/>
                <w:sz w:val="18"/>
                <w:szCs w:val="18"/>
              </w:rPr>
              <w:t>94578</w:t>
            </w:r>
          </w:p>
        </w:tc>
        <w:tc>
          <w:tcPr>
            <w:tcW w:w="1409" w:type="dxa"/>
            <w:noWrap/>
            <w:hideMark/>
          </w:tcPr>
          <w:p w:rsidRPr="009F38FC" w:rsidR="000D7072" w:rsidP="00584CF8" w:rsidRDefault="000D7072" w14:paraId="6E36661D" w14:textId="77777777">
            <w:pPr>
              <w:jc w:val="right"/>
              <w:rPr>
                <w:color w:val="000000" w:themeColor="text1"/>
                <w:sz w:val="18"/>
                <w:szCs w:val="18"/>
              </w:rPr>
            </w:pPr>
            <w:r w:rsidRPr="009F38FC">
              <w:rPr>
                <w:color w:val="000000" w:themeColor="text1"/>
                <w:sz w:val="18"/>
                <w:szCs w:val="18"/>
              </w:rPr>
              <w:t xml:space="preserve"> $79,553.00 </w:t>
            </w:r>
          </w:p>
        </w:tc>
        <w:tc>
          <w:tcPr>
            <w:tcW w:w="695" w:type="dxa"/>
            <w:noWrap/>
            <w:hideMark/>
          </w:tcPr>
          <w:p w:rsidRPr="009F38FC" w:rsidR="000D7072" w:rsidP="00584CF8" w:rsidRDefault="000D7072" w14:paraId="37F86970" w14:textId="77777777">
            <w:pPr>
              <w:jc w:val="right"/>
              <w:rPr>
                <w:color w:val="000000" w:themeColor="text1"/>
                <w:sz w:val="18"/>
                <w:szCs w:val="18"/>
              </w:rPr>
            </w:pPr>
            <w:r w:rsidRPr="009F38FC">
              <w:rPr>
                <w:color w:val="000000" w:themeColor="text1"/>
                <w:sz w:val="18"/>
                <w:szCs w:val="18"/>
              </w:rPr>
              <w:t>79</w:t>
            </w:r>
          </w:p>
        </w:tc>
      </w:tr>
      <w:tr w:rsidRPr="009F38FC" w:rsidR="000D7072" w:rsidTr="0049358C" w14:paraId="2F8D5DE0" w14:textId="77777777">
        <w:trPr>
          <w:trHeight w:val="297"/>
        </w:trPr>
        <w:tc>
          <w:tcPr>
            <w:tcW w:w="1498" w:type="dxa"/>
            <w:noWrap/>
            <w:hideMark/>
          </w:tcPr>
          <w:p w:rsidRPr="009F38FC" w:rsidR="000D7072" w:rsidRDefault="000D7072" w14:paraId="05A38435" w14:textId="77777777">
            <w:pPr>
              <w:rPr>
                <w:color w:val="000000" w:themeColor="text1"/>
                <w:sz w:val="18"/>
                <w:szCs w:val="18"/>
              </w:rPr>
            </w:pPr>
            <w:r w:rsidRPr="009F38FC">
              <w:rPr>
                <w:color w:val="000000" w:themeColor="text1"/>
                <w:sz w:val="18"/>
                <w:szCs w:val="18"/>
              </w:rPr>
              <w:t>RCD Housing</w:t>
            </w:r>
          </w:p>
        </w:tc>
        <w:tc>
          <w:tcPr>
            <w:tcW w:w="1785" w:type="dxa"/>
            <w:noWrap/>
            <w:hideMark/>
          </w:tcPr>
          <w:p w:rsidRPr="009F38FC" w:rsidR="000D7072" w:rsidRDefault="000D7072" w14:paraId="6D13967B" w14:textId="77777777">
            <w:pPr>
              <w:rPr>
                <w:color w:val="000000" w:themeColor="text1"/>
                <w:sz w:val="18"/>
                <w:szCs w:val="18"/>
              </w:rPr>
            </w:pPr>
            <w:r w:rsidRPr="009F38FC">
              <w:rPr>
                <w:color w:val="000000" w:themeColor="text1"/>
                <w:sz w:val="18"/>
                <w:szCs w:val="18"/>
              </w:rPr>
              <w:t>Rick Judd Commons</w:t>
            </w:r>
          </w:p>
        </w:tc>
        <w:tc>
          <w:tcPr>
            <w:tcW w:w="1691" w:type="dxa"/>
            <w:noWrap/>
            <w:hideMark/>
          </w:tcPr>
          <w:p w:rsidRPr="009F38FC" w:rsidR="000D7072" w:rsidRDefault="000D7072" w14:paraId="2380D37D" w14:textId="77777777">
            <w:pPr>
              <w:rPr>
                <w:color w:val="000000" w:themeColor="text1"/>
                <w:sz w:val="18"/>
                <w:szCs w:val="18"/>
              </w:rPr>
            </w:pPr>
            <w:r w:rsidRPr="009F38FC">
              <w:rPr>
                <w:color w:val="000000" w:themeColor="text1"/>
                <w:sz w:val="18"/>
                <w:szCs w:val="18"/>
              </w:rPr>
              <w:t>1315 Galindo St.</w:t>
            </w:r>
          </w:p>
        </w:tc>
        <w:tc>
          <w:tcPr>
            <w:tcW w:w="1409" w:type="dxa"/>
            <w:noWrap/>
            <w:hideMark/>
          </w:tcPr>
          <w:p w:rsidRPr="009F38FC" w:rsidR="000D7072" w:rsidRDefault="000D7072" w14:paraId="203E1DFB" w14:textId="77777777">
            <w:pPr>
              <w:rPr>
                <w:color w:val="000000" w:themeColor="text1"/>
                <w:sz w:val="18"/>
                <w:szCs w:val="18"/>
              </w:rPr>
            </w:pPr>
            <w:r w:rsidRPr="009F38FC">
              <w:rPr>
                <w:color w:val="000000" w:themeColor="text1"/>
                <w:sz w:val="18"/>
                <w:szCs w:val="18"/>
              </w:rPr>
              <w:t>Concord</w:t>
            </w:r>
          </w:p>
        </w:tc>
        <w:tc>
          <w:tcPr>
            <w:tcW w:w="1033" w:type="dxa"/>
            <w:noWrap/>
            <w:hideMark/>
          </w:tcPr>
          <w:p w:rsidRPr="009F38FC" w:rsidR="000D7072" w:rsidP="009F38FC" w:rsidRDefault="000D7072" w14:paraId="0A10E92C" w14:textId="77777777">
            <w:pPr>
              <w:rPr>
                <w:color w:val="000000" w:themeColor="text1"/>
                <w:sz w:val="18"/>
                <w:szCs w:val="18"/>
              </w:rPr>
            </w:pPr>
            <w:r w:rsidRPr="009F38FC">
              <w:rPr>
                <w:color w:val="000000" w:themeColor="text1"/>
                <w:sz w:val="18"/>
                <w:szCs w:val="18"/>
              </w:rPr>
              <w:t>94520</w:t>
            </w:r>
          </w:p>
        </w:tc>
        <w:tc>
          <w:tcPr>
            <w:tcW w:w="1409" w:type="dxa"/>
            <w:noWrap/>
            <w:hideMark/>
          </w:tcPr>
          <w:p w:rsidRPr="009F38FC" w:rsidR="000D7072" w:rsidP="00584CF8" w:rsidRDefault="000D7072" w14:paraId="45CDFF4C" w14:textId="77777777">
            <w:pPr>
              <w:jc w:val="right"/>
              <w:rPr>
                <w:color w:val="000000" w:themeColor="text1"/>
                <w:sz w:val="18"/>
                <w:szCs w:val="18"/>
              </w:rPr>
            </w:pPr>
            <w:r w:rsidRPr="009F38FC">
              <w:rPr>
                <w:color w:val="000000" w:themeColor="text1"/>
                <w:sz w:val="18"/>
                <w:szCs w:val="18"/>
              </w:rPr>
              <w:t xml:space="preserve"> $64,790.00 </w:t>
            </w:r>
          </w:p>
        </w:tc>
        <w:tc>
          <w:tcPr>
            <w:tcW w:w="695" w:type="dxa"/>
            <w:noWrap/>
            <w:hideMark/>
          </w:tcPr>
          <w:p w:rsidRPr="009F38FC" w:rsidR="000D7072" w:rsidP="00584CF8" w:rsidRDefault="000D7072" w14:paraId="0AC7D6F0" w14:textId="77777777">
            <w:pPr>
              <w:jc w:val="right"/>
              <w:rPr>
                <w:color w:val="000000" w:themeColor="text1"/>
                <w:sz w:val="18"/>
                <w:szCs w:val="18"/>
              </w:rPr>
            </w:pPr>
            <w:r w:rsidRPr="009F38FC">
              <w:rPr>
                <w:color w:val="000000" w:themeColor="text1"/>
                <w:sz w:val="18"/>
                <w:szCs w:val="18"/>
              </w:rPr>
              <w:t>62</w:t>
            </w:r>
          </w:p>
        </w:tc>
      </w:tr>
      <w:tr w:rsidRPr="009F38FC" w:rsidR="000D7072" w:rsidTr="0049358C" w14:paraId="47AE983B" w14:textId="77777777">
        <w:trPr>
          <w:trHeight w:val="297"/>
        </w:trPr>
        <w:tc>
          <w:tcPr>
            <w:tcW w:w="1498" w:type="dxa"/>
            <w:noWrap/>
            <w:hideMark/>
          </w:tcPr>
          <w:p w:rsidRPr="009F38FC" w:rsidR="000D7072" w:rsidRDefault="000D7072" w14:paraId="5D57260D" w14:textId="77777777">
            <w:pPr>
              <w:rPr>
                <w:color w:val="000000" w:themeColor="text1"/>
                <w:sz w:val="18"/>
                <w:szCs w:val="18"/>
              </w:rPr>
            </w:pPr>
            <w:r w:rsidRPr="009F38FC">
              <w:rPr>
                <w:color w:val="000000" w:themeColor="text1"/>
                <w:sz w:val="18"/>
                <w:szCs w:val="18"/>
              </w:rPr>
              <w:t>RCD Housing</w:t>
            </w:r>
          </w:p>
        </w:tc>
        <w:tc>
          <w:tcPr>
            <w:tcW w:w="1785" w:type="dxa"/>
            <w:noWrap/>
            <w:hideMark/>
          </w:tcPr>
          <w:p w:rsidRPr="009F38FC" w:rsidR="000D7072" w:rsidRDefault="000D7072" w14:paraId="735BAC18" w14:textId="77777777">
            <w:pPr>
              <w:rPr>
                <w:color w:val="000000" w:themeColor="text1"/>
                <w:sz w:val="18"/>
                <w:szCs w:val="18"/>
              </w:rPr>
            </w:pPr>
            <w:r w:rsidRPr="009F38FC">
              <w:rPr>
                <w:color w:val="000000" w:themeColor="text1"/>
                <w:sz w:val="18"/>
                <w:szCs w:val="18"/>
              </w:rPr>
              <w:t>Bell Gardens</w:t>
            </w:r>
          </w:p>
        </w:tc>
        <w:tc>
          <w:tcPr>
            <w:tcW w:w="1691" w:type="dxa"/>
            <w:noWrap/>
            <w:hideMark/>
          </w:tcPr>
          <w:p w:rsidRPr="009F38FC" w:rsidR="000D7072" w:rsidRDefault="000D7072" w14:paraId="1EE5F9B9" w14:textId="77777777">
            <w:pPr>
              <w:rPr>
                <w:color w:val="000000" w:themeColor="text1"/>
                <w:sz w:val="18"/>
                <w:szCs w:val="18"/>
              </w:rPr>
            </w:pPr>
            <w:r w:rsidRPr="009F38FC">
              <w:rPr>
                <w:color w:val="000000" w:themeColor="text1"/>
                <w:sz w:val="18"/>
                <w:szCs w:val="18"/>
              </w:rPr>
              <w:t>4103 Mowry Avenue</w:t>
            </w:r>
          </w:p>
        </w:tc>
        <w:tc>
          <w:tcPr>
            <w:tcW w:w="1409" w:type="dxa"/>
            <w:noWrap/>
            <w:hideMark/>
          </w:tcPr>
          <w:p w:rsidRPr="009F38FC" w:rsidR="000D7072" w:rsidRDefault="000D7072" w14:paraId="77AA0259" w14:textId="77777777">
            <w:pPr>
              <w:rPr>
                <w:color w:val="000000" w:themeColor="text1"/>
                <w:sz w:val="18"/>
                <w:szCs w:val="18"/>
              </w:rPr>
            </w:pPr>
            <w:r w:rsidRPr="009F38FC">
              <w:rPr>
                <w:color w:val="000000" w:themeColor="text1"/>
                <w:sz w:val="18"/>
                <w:szCs w:val="18"/>
              </w:rPr>
              <w:t>Fremont</w:t>
            </w:r>
          </w:p>
        </w:tc>
        <w:tc>
          <w:tcPr>
            <w:tcW w:w="1033" w:type="dxa"/>
            <w:noWrap/>
            <w:hideMark/>
          </w:tcPr>
          <w:p w:rsidRPr="009F38FC" w:rsidR="000D7072" w:rsidP="009F38FC" w:rsidRDefault="000D7072" w14:paraId="50290FDC" w14:textId="77777777">
            <w:pPr>
              <w:rPr>
                <w:color w:val="000000" w:themeColor="text1"/>
                <w:sz w:val="18"/>
                <w:szCs w:val="18"/>
              </w:rPr>
            </w:pPr>
            <w:r w:rsidRPr="009F38FC">
              <w:rPr>
                <w:color w:val="000000" w:themeColor="text1"/>
                <w:sz w:val="18"/>
                <w:szCs w:val="18"/>
              </w:rPr>
              <w:t>94547</w:t>
            </w:r>
          </w:p>
        </w:tc>
        <w:tc>
          <w:tcPr>
            <w:tcW w:w="1409" w:type="dxa"/>
            <w:noWrap/>
            <w:hideMark/>
          </w:tcPr>
          <w:p w:rsidRPr="009F38FC" w:rsidR="000D7072" w:rsidP="00584CF8" w:rsidRDefault="000D7072" w14:paraId="52524AC1" w14:textId="77777777">
            <w:pPr>
              <w:jc w:val="right"/>
              <w:rPr>
                <w:color w:val="000000" w:themeColor="text1"/>
                <w:sz w:val="18"/>
                <w:szCs w:val="18"/>
              </w:rPr>
            </w:pPr>
            <w:r w:rsidRPr="009F38FC">
              <w:rPr>
                <w:color w:val="000000" w:themeColor="text1"/>
                <w:sz w:val="18"/>
                <w:szCs w:val="18"/>
              </w:rPr>
              <w:t xml:space="preserve"> $114,176.00 </w:t>
            </w:r>
          </w:p>
        </w:tc>
        <w:tc>
          <w:tcPr>
            <w:tcW w:w="695" w:type="dxa"/>
            <w:noWrap/>
            <w:hideMark/>
          </w:tcPr>
          <w:p w:rsidRPr="009F38FC" w:rsidR="000D7072" w:rsidP="00584CF8" w:rsidRDefault="000D7072" w14:paraId="3A0AB42B" w14:textId="77777777">
            <w:pPr>
              <w:jc w:val="right"/>
              <w:rPr>
                <w:color w:val="000000" w:themeColor="text1"/>
                <w:sz w:val="18"/>
                <w:szCs w:val="18"/>
              </w:rPr>
            </w:pPr>
            <w:r w:rsidRPr="009F38FC">
              <w:rPr>
                <w:color w:val="000000" w:themeColor="text1"/>
                <w:sz w:val="18"/>
                <w:szCs w:val="18"/>
              </w:rPr>
              <w:t>128</w:t>
            </w:r>
          </w:p>
        </w:tc>
      </w:tr>
      <w:tr w:rsidRPr="009F38FC" w:rsidR="000D7072" w:rsidTr="0049358C" w14:paraId="307A684F" w14:textId="77777777">
        <w:trPr>
          <w:trHeight w:val="297"/>
        </w:trPr>
        <w:tc>
          <w:tcPr>
            <w:tcW w:w="1498" w:type="dxa"/>
            <w:noWrap/>
            <w:hideMark/>
          </w:tcPr>
          <w:p w:rsidRPr="009F38FC" w:rsidR="000D7072" w:rsidRDefault="000D7072" w14:paraId="1012FBA2" w14:textId="77777777">
            <w:pPr>
              <w:rPr>
                <w:color w:val="000000" w:themeColor="text1"/>
                <w:sz w:val="18"/>
                <w:szCs w:val="18"/>
              </w:rPr>
            </w:pPr>
            <w:bookmarkStart w:name="_Hlk131601273" w:id="2"/>
            <w:r w:rsidRPr="009F38FC">
              <w:rPr>
                <w:color w:val="000000" w:themeColor="text1"/>
                <w:sz w:val="18"/>
                <w:szCs w:val="18"/>
              </w:rPr>
              <w:t>Self Help Enterprises</w:t>
            </w:r>
            <w:bookmarkEnd w:id="2"/>
          </w:p>
        </w:tc>
        <w:tc>
          <w:tcPr>
            <w:tcW w:w="1785" w:type="dxa"/>
            <w:noWrap/>
            <w:hideMark/>
          </w:tcPr>
          <w:p w:rsidRPr="009F38FC" w:rsidR="000D7072" w:rsidRDefault="000D7072" w14:paraId="434C346B" w14:textId="77777777">
            <w:pPr>
              <w:rPr>
                <w:color w:val="000000" w:themeColor="text1"/>
                <w:sz w:val="18"/>
                <w:szCs w:val="18"/>
              </w:rPr>
            </w:pPr>
            <w:r w:rsidRPr="009F38FC">
              <w:rPr>
                <w:color w:val="000000" w:themeColor="text1"/>
                <w:sz w:val="18"/>
                <w:szCs w:val="18"/>
              </w:rPr>
              <w:t>Woodlake Townhomes</w:t>
            </w:r>
          </w:p>
        </w:tc>
        <w:tc>
          <w:tcPr>
            <w:tcW w:w="1691" w:type="dxa"/>
            <w:noWrap/>
            <w:hideMark/>
          </w:tcPr>
          <w:p w:rsidRPr="009F38FC" w:rsidR="000D7072" w:rsidRDefault="000D7072" w14:paraId="5D83BA0C" w14:textId="77777777">
            <w:pPr>
              <w:rPr>
                <w:color w:val="000000" w:themeColor="text1"/>
                <w:sz w:val="18"/>
                <w:szCs w:val="18"/>
              </w:rPr>
            </w:pPr>
            <w:r w:rsidRPr="009F38FC">
              <w:rPr>
                <w:color w:val="000000" w:themeColor="text1"/>
                <w:sz w:val="18"/>
                <w:szCs w:val="18"/>
              </w:rPr>
              <w:t>354 Danielle Way</w:t>
            </w:r>
          </w:p>
        </w:tc>
        <w:tc>
          <w:tcPr>
            <w:tcW w:w="1409" w:type="dxa"/>
            <w:noWrap/>
            <w:hideMark/>
          </w:tcPr>
          <w:p w:rsidRPr="009F38FC" w:rsidR="000D7072" w:rsidRDefault="000D7072" w14:paraId="21853BA6" w14:textId="77777777">
            <w:pPr>
              <w:rPr>
                <w:color w:val="000000" w:themeColor="text1"/>
                <w:sz w:val="18"/>
                <w:szCs w:val="18"/>
              </w:rPr>
            </w:pPr>
            <w:r w:rsidRPr="009F38FC">
              <w:rPr>
                <w:color w:val="000000" w:themeColor="text1"/>
                <w:sz w:val="18"/>
                <w:szCs w:val="18"/>
              </w:rPr>
              <w:t>Woodlake</w:t>
            </w:r>
          </w:p>
        </w:tc>
        <w:tc>
          <w:tcPr>
            <w:tcW w:w="1033" w:type="dxa"/>
            <w:noWrap/>
            <w:hideMark/>
          </w:tcPr>
          <w:p w:rsidRPr="009F38FC" w:rsidR="000D7072" w:rsidP="009F38FC" w:rsidRDefault="000D7072" w14:paraId="0F4E0841" w14:textId="77777777">
            <w:pPr>
              <w:rPr>
                <w:color w:val="000000" w:themeColor="text1"/>
                <w:sz w:val="18"/>
                <w:szCs w:val="18"/>
              </w:rPr>
            </w:pPr>
            <w:r w:rsidRPr="009F38FC">
              <w:rPr>
                <w:color w:val="000000" w:themeColor="text1"/>
                <w:sz w:val="18"/>
                <w:szCs w:val="18"/>
              </w:rPr>
              <w:t>93286</w:t>
            </w:r>
          </w:p>
        </w:tc>
        <w:tc>
          <w:tcPr>
            <w:tcW w:w="1409" w:type="dxa"/>
            <w:noWrap/>
            <w:hideMark/>
          </w:tcPr>
          <w:p w:rsidRPr="009F38FC" w:rsidR="000D7072" w:rsidP="00584CF8" w:rsidRDefault="000D7072" w14:paraId="3F9F5AE3" w14:textId="77777777">
            <w:pPr>
              <w:jc w:val="right"/>
              <w:rPr>
                <w:color w:val="000000" w:themeColor="text1"/>
                <w:sz w:val="18"/>
                <w:szCs w:val="18"/>
              </w:rPr>
            </w:pPr>
            <w:r w:rsidRPr="009F38FC">
              <w:rPr>
                <w:color w:val="000000" w:themeColor="text1"/>
                <w:sz w:val="18"/>
                <w:szCs w:val="18"/>
              </w:rPr>
              <w:t xml:space="preserve"> $37,950.00 </w:t>
            </w:r>
          </w:p>
        </w:tc>
        <w:tc>
          <w:tcPr>
            <w:tcW w:w="695" w:type="dxa"/>
            <w:noWrap/>
            <w:hideMark/>
          </w:tcPr>
          <w:p w:rsidRPr="009F38FC" w:rsidR="000D7072" w:rsidP="00584CF8" w:rsidRDefault="000D7072" w14:paraId="5F6E95EC" w14:textId="77777777">
            <w:pPr>
              <w:jc w:val="right"/>
              <w:rPr>
                <w:color w:val="000000" w:themeColor="text1"/>
                <w:sz w:val="18"/>
                <w:szCs w:val="18"/>
              </w:rPr>
            </w:pPr>
            <w:r w:rsidRPr="009F38FC">
              <w:rPr>
                <w:color w:val="000000" w:themeColor="text1"/>
                <w:sz w:val="18"/>
                <w:szCs w:val="18"/>
              </w:rPr>
              <w:t>11</w:t>
            </w:r>
          </w:p>
        </w:tc>
      </w:tr>
      <w:tr w:rsidRPr="009F38FC" w:rsidR="000D7072" w:rsidTr="0049358C" w14:paraId="40C69D10" w14:textId="77777777">
        <w:trPr>
          <w:trHeight w:val="297"/>
        </w:trPr>
        <w:tc>
          <w:tcPr>
            <w:tcW w:w="1498" w:type="dxa"/>
            <w:noWrap/>
            <w:hideMark/>
          </w:tcPr>
          <w:p w:rsidRPr="009F38FC" w:rsidR="000D7072" w:rsidRDefault="000D7072" w14:paraId="630075EA" w14:textId="77777777">
            <w:pPr>
              <w:rPr>
                <w:color w:val="000000" w:themeColor="text1"/>
                <w:sz w:val="18"/>
                <w:szCs w:val="18"/>
              </w:rPr>
            </w:pPr>
            <w:r w:rsidRPr="009F38FC">
              <w:rPr>
                <w:color w:val="000000" w:themeColor="text1"/>
                <w:sz w:val="18"/>
                <w:szCs w:val="18"/>
              </w:rPr>
              <w:t>Self Help Enterprises</w:t>
            </w:r>
          </w:p>
        </w:tc>
        <w:tc>
          <w:tcPr>
            <w:tcW w:w="1785" w:type="dxa"/>
            <w:noWrap/>
            <w:hideMark/>
          </w:tcPr>
          <w:p w:rsidRPr="009F38FC" w:rsidR="000D7072" w:rsidRDefault="000D7072" w14:paraId="23B87C55" w14:textId="77777777">
            <w:pPr>
              <w:rPr>
                <w:color w:val="000000" w:themeColor="text1"/>
                <w:sz w:val="18"/>
                <w:szCs w:val="18"/>
              </w:rPr>
            </w:pPr>
            <w:r w:rsidRPr="009F38FC">
              <w:rPr>
                <w:color w:val="000000" w:themeColor="text1"/>
                <w:sz w:val="18"/>
                <w:szCs w:val="18"/>
              </w:rPr>
              <w:t>Mt. Whitney Place</w:t>
            </w:r>
          </w:p>
        </w:tc>
        <w:tc>
          <w:tcPr>
            <w:tcW w:w="1691" w:type="dxa"/>
            <w:noWrap/>
            <w:hideMark/>
          </w:tcPr>
          <w:p w:rsidRPr="009F38FC" w:rsidR="000D7072" w:rsidRDefault="000D7072" w14:paraId="7786990D" w14:textId="77777777">
            <w:pPr>
              <w:rPr>
                <w:color w:val="000000" w:themeColor="text1"/>
                <w:sz w:val="18"/>
                <w:szCs w:val="18"/>
              </w:rPr>
            </w:pPr>
            <w:r w:rsidRPr="009F38FC">
              <w:rPr>
                <w:color w:val="000000" w:themeColor="text1"/>
                <w:sz w:val="18"/>
                <w:szCs w:val="18"/>
              </w:rPr>
              <w:t>181 E. Honolulu St.</w:t>
            </w:r>
          </w:p>
        </w:tc>
        <w:tc>
          <w:tcPr>
            <w:tcW w:w="1409" w:type="dxa"/>
            <w:noWrap/>
            <w:hideMark/>
          </w:tcPr>
          <w:p w:rsidRPr="009F38FC" w:rsidR="000D7072" w:rsidRDefault="000D7072" w14:paraId="01AA6F34" w14:textId="77777777">
            <w:pPr>
              <w:rPr>
                <w:color w:val="000000" w:themeColor="text1"/>
                <w:sz w:val="18"/>
                <w:szCs w:val="18"/>
              </w:rPr>
            </w:pPr>
            <w:r w:rsidRPr="009F38FC">
              <w:rPr>
                <w:color w:val="000000" w:themeColor="text1"/>
                <w:sz w:val="18"/>
                <w:szCs w:val="18"/>
              </w:rPr>
              <w:t>Lindsay</w:t>
            </w:r>
          </w:p>
        </w:tc>
        <w:tc>
          <w:tcPr>
            <w:tcW w:w="1033" w:type="dxa"/>
            <w:noWrap/>
            <w:hideMark/>
          </w:tcPr>
          <w:p w:rsidRPr="009F38FC" w:rsidR="000D7072" w:rsidP="009F38FC" w:rsidRDefault="000D7072" w14:paraId="0278CB87" w14:textId="77777777">
            <w:pPr>
              <w:rPr>
                <w:color w:val="000000" w:themeColor="text1"/>
                <w:sz w:val="18"/>
                <w:szCs w:val="18"/>
              </w:rPr>
            </w:pPr>
            <w:r w:rsidRPr="009F38FC">
              <w:rPr>
                <w:color w:val="000000" w:themeColor="text1"/>
                <w:sz w:val="18"/>
                <w:szCs w:val="18"/>
              </w:rPr>
              <w:t>93247</w:t>
            </w:r>
          </w:p>
        </w:tc>
        <w:tc>
          <w:tcPr>
            <w:tcW w:w="1409" w:type="dxa"/>
            <w:noWrap/>
            <w:hideMark/>
          </w:tcPr>
          <w:p w:rsidRPr="009F38FC" w:rsidR="000D7072" w:rsidP="00584CF8" w:rsidRDefault="000D7072" w14:paraId="6F249EE8" w14:textId="77777777">
            <w:pPr>
              <w:jc w:val="right"/>
              <w:rPr>
                <w:color w:val="000000" w:themeColor="text1"/>
                <w:sz w:val="18"/>
                <w:szCs w:val="18"/>
              </w:rPr>
            </w:pPr>
            <w:r w:rsidRPr="009F38FC">
              <w:rPr>
                <w:color w:val="000000" w:themeColor="text1"/>
                <w:sz w:val="18"/>
                <w:szCs w:val="18"/>
              </w:rPr>
              <w:t xml:space="preserve"> $35,525.00 </w:t>
            </w:r>
          </w:p>
        </w:tc>
        <w:tc>
          <w:tcPr>
            <w:tcW w:w="695" w:type="dxa"/>
            <w:noWrap/>
            <w:hideMark/>
          </w:tcPr>
          <w:p w:rsidRPr="009F38FC" w:rsidR="000D7072" w:rsidP="00584CF8" w:rsidRDefault="000D7072" w14:paraId="6AF12934" w14:textId="77777777">
            <w:pPr>
              <w:jc w:val="right"/>
              <w:rPr>
                <w:color w:val="000000" w:themeColor="text1"/>
                <w:sz w:val="18"/>
                <w:szCs w:val="18"/>
              </w:rPr>
            </w:pPr>
            <w:r w:rsidRPr="009F38FC">
              <w:rPr>
                <w:color w:val="000000" w:themeColor="text1"/>
                <w:sz w:val="18"/>
                <w:szCs w:val="18"/>
              </w:rPr>
              <w:t>29</w:t>
            </w:r>
          </w:p>
        </w:tc>
      </w:tr>
      <w:tr w:rsidRPr="009F38FC" w:rsidR="000D7072" w:rsidTr="0049358C" w14:paraId="0ECF6FCC" w14:textId="77777777">
        <w:trPr>
          <w:trHeight w:val="297"/>
        </w:trPr>
        <w:tc>
          <w:tcPr>
            <w:tcW w:w="1498" w:type="dxa"/>
            <w:noWrap/>
            <w:hideMark/>
          </w:tcPr>
          <w:p w:rsidRPr="009F38FC" w:rsidR="000D7072" w:rsidRDefault="000D7072" w14:paraId="1E843B51" w14:textId="77777777">
            <w:pPr>
              <w:rPr>
                <w:color w:val="000000" w:themeColor="text1"/>
                <w:sz w:val="18"/>
                <w:szCs w:val="18"/>
              </w:rPr>
            </w:pPr>
            <w:r w:rsidRPr="009F38FC">
              <w:rPr>
                <w:color w:val="000000" w:themeColor="text1"/>
                <w:sz w:val="18"/>
                <w:szCs w:val="18"/>
              </w:rPr>
              <w:t>Self Help Enterprises</w:t>
            </w:r>
          </w:p>
        </w:tc>
        <w:tc>
          <w:tcPr>
            <w:tcW w:w="1785" w:type="dxa"/>
            <w:noWrap/>
            <w:hideMark/>
          </w:tcPr>
          <w:p w:rsidRPr="009F38FC" w:rsidR="000D7072" w:rsidRDefault="000D7072" w14:paraId="51E4575C" w14:textId="77777777">
            <w:pPr>
              <w:rPr>
                <w:color w:val="000000" w:themeColor="text1"/>
                <w:sz w:val="18"/>
                <w:szCs w:val="18"/>
              </w:rPr>
            </w:pPr>
            <w:r w:rsidRPr="009F38FC">
              <w:rPr>
                <w:color w:val="000000" w:themeColor="text1"/>
                <w:sz w:val="18"/>
                <w:szCs w:val="18"/>
              </w:rPr>
              <w:t>Dinuba Manor</w:t>
            </w:r>
          </w:p>
        </w:tc>
        <w:tc>
          <w:tcPr>
            <w:tcW w:w="1691" w:type="dxa"/>
            <w:noWrap/>
            <w:hideMark/>
          </w:tcPr>
          <w:p w:rsidRPr="009F38FC" w:rsidR="000D7072" w:rsidRDefault="000D7072" w14:paraId="3FF84275" w14:textId="77777777">
            <w:pPr>
              <w:rPr>
                <w:color w:val="000000" w:themeColor="text1"/>
                <w:sz w:val="18"/>
                <w:szCs w:val="18"/>
              </w:rPr>
            </w:pPr>
            <w:r w:rsidRPr="009F38FC">
              <w:rPr>
                <w:color w:val="000000" w:themeColor="text1"/>
                <w:sz w:val="18"/>
                <w:szCs w:val="18"/>
              </w:rPr>
              <w:t>1333 S. Greene Ave.</w:t>
            </w:r>
          </w:p>
        </w:tc>
        <w:tc>
          <w:tcPr>
            <w:tcW w:w="1409" w:type="dxa"/>
            <w:noWrap/>
            <w:hideMark/>
          </w:tcPr>
          <w:p w:rsidRPr="009F38FC" w:rsidR="000D7072" w:rsidRDefault="000D7072" w14:paraId="321A5AC5" w14:textId="77777777">
            <w:pPr>
              <w:rPr>
                <w:color w:val="000000" w:themeColor="text1"/>
                <w:sz w:val="18"/>
                <w:szCs w:val="18"/>
              </w:rPr>
            </w:pPr>
            <w:r w:rsidRPr="009F38FC">
              <w:rPr>
                <w:color w:val="000000" w:themeColor="text1"/>
                <w:sz w:val="18"/>
                <w:szCs w:val="18"/>
              </w:rPr>
              <w:t>Dinuba</w:t>
            </w:r>
          </w:p>
        </w:tc>
        <w:tc>
          <w:tcPr>
            <w:tcW w:w="1033" w:type="dxa"/>
            <w:noWrap/>
            <w:hideMark/>
          </w:tcPr>
          <w:p w:rsidRPr="009F38FC" w:rsidR="000D7072" w:rsidP="009F38FC" w:rsidRDefault="000D7072" w14:paraId="3819105B" w14:textId="77777777">
            <w:pPr>
              <w:rPr>
                <w:color w:val="000000" w:themeColor="text1"/>
                <w:sz w:val="18"/>
                <w:szCs w:val="18"/>
              </w:rPr>
            </w:pPr>
            <w:r w:rsidRPr="009F38FC">
              <w:rPr>
                <w:color w:val="000000" w:themeColor="text1"/>
                <w:sz w:val="18"/>
                <w:szCs w:val="18"/>
              </w:rPr>
              <w:t>93618</w:t>
            </w:r>
          </w:p>
        </w:tc>
        <w:tc>
          <w:tcPr>
            <w:tcW w:w="1409" w:type="dxa"/>
            <w:noWrap/>
            <w:hideMark/>
          </w:tcPr>
          <w:p w:rsidRPr="009F38FC" w:rsidR="000D7072" w:rsidP="00584CF8" w:rsidRDefault="000D7072" w14:paraId="34955644" w14:textId="77777777">
            <w:pPr>
              <w:jc w:val="right"/>
              <w:rPr>
                <w:color w:val="000000" w:themeColor="text1"/>
                <w:sz w:val="18"/>
                <w:szCs w:val="18"/>
              </w:rPr>
            </w:pPr>
            <w:r w:rsidRPr="009F38FC">
              <w:rPr>
                <w:color w:val="000000" w:themeColor="text1"/>
                <w:sz w:val="18"/>
                <w:szCs w:val="18"/>
              </w:rPr>
              <w:t xml:space="preserve"> $57,240.00 </w:t>
            </w:r>
          </w:p>
        </w:tc>
        <w:tc>
          <w:tcPr>
            <w:tcW w:w="695" w:type="dxa"/>
            <w:noWrap/>
            <w:hideMark/>
          </w:tcPr>
          <w:p w:rsidRPr="009F38FC" w:rsidR="000D7072" w:rsidP="00584CF8" w:rsidRDefault="000D7072" w14:paraId="601B350F" w14:textId="77777777">
            <w:pPr>
              <w:jc w:val="right"/>
              <w:rPr>
                <w:color w:val="000000" w:themeColor="text1"/>
                <w:sz w:val="18"/>
                <w:szCs w:val="18"/>
              </w:rPr>
            </w:pPr>
            <w:r w:rsidRPr="009F38FC">
              <w:rPr>
                <w:color w:val="000000" w:themeColor="text1"/>
                <w:sz w:val="18"/>
                <w:szCs w:val="18"/>
              </w:rPr>
              <w:t>36</w:t>
            </w:r>
          </w:p>
        </w:tc>
      </w:tr>
      <w:tr w:rsidRPr="009F38FC" w:rsidR="000D7072" w:rsidTr="0049358C" w14:paraId="3FAE4817" w14:textId="77777777">
        <w:trPr>
          <w:trHeight w:val="297"/>
        </w:trPr>
        <w:tc>
          <w:tcPr>
            <w:tcW w:w="1498" w:type="dxa"/>
            <w:noWrap/>
            <w:hideMark/>
          </w:tcPr>
          <w:p w:rsidRPr="009F38FC" w:rsidR="000D7072" w:rsidRDefault="000D7072" w14:paraId="47009570" w14:textId="77777777">
            <w:pPr>
              <w:rPr>
                <w:color w:val="000000" w:themeColor="text1"/>
                <w:sz w:val="18"/>
                <w:szCs w:val="18"/>
              </w:rPr>
            </w:pPr>
            <w:r w:rsidRPr="009F38FC">
              <w:rPr>
                <w:color w:val="000000" w:themeColor="text1"/>
                <w:sz w:val="18"/>
                <w:szCs w:val="18"/>
              </w:rPr>
              <w:t>Self Help Enterprises</w:t>
            </w:r>
          </w:p>
        </w:tc>
        <w:tc>
          <w:tcPr>
            <w:tcW w:w="1785" w:type="dxa"/>
            <w:noWrap/>
            <w:hideMark/>
          </w:tcPr>
          <w:p w:rsidRPr="009F38FC" w:rsidR="000D7072" w:rsidRDefault="000D7072" w14:paraId="7C71C998" w14:textId="77777777">
            <w:pPr>
              <w:rPr>
                <w:color w:val="000000" w:themeColor="text1"/>
                <w:sz w:val="18"/>
                <w:szCs w:val="18"/>
              </w:rPr>
            </w:pPr>
            <w:r w:rsidRPr="009F38FC">
              <w:rPr>
                <w:color w:val="000000" w:themeColor="text1"/>
                <w:sz w:val="18"/>
                <w:szCs w:val="18"/>
              </w:rPr>
              <w:t>Valley Oaks</w:t>
            </w:r>
          </w:p>
        </w:tc>
        <w:tc>
          <w:tcPr>
            <w:tcW w:w="1691" w:type="dxa"/>
            <w:noWrap/>
            <w:hideMark/>
          </w:tcPr>
          <w:p w:rsidRPr="009F38FC" w:rsidR="000D7072" w:rsidRDefault="000D7072" w14:paraId="344FB93E" w14:textId="77777777">
            <w:pPr>
              <w:rPr>
                <w:color w:val="000000" w:themeColor="text1"/>
                <w:sz w:val="18"/>
                <w:szCs w:val="18"/>
              </w:rPr>
            </w:pPr>
            <w:r w:rsidRPr="009F38FC">
              <w:rPr>
                <w:color w:val="000000" w:themeColor="text1"/>
                <w:sz w:val="18"/>
                <w:szCs w:val="18"/>
              </w:rPr>
              <w:t>40410 Redbud Dr.</w:t>
            </w:r>
          </w:p>
        </w:tc>
        <w:tc>
          <w:tcPr>
            <w:tcW w:w="1409" w:type="dxa"/>
            <w:noWrap/>
            <w:hideMark/>
          </w:tcPr>
          <w:p w:rsidRPr="009F38FC" w:rsidR="000D7072" w:rsidRDefault="000D7072" w14:paraId="71823E16" w14:textId="77777777">
            <w:pPr>
              <w:rPr>
                <w:color w:val="000000" w:themeColor="text1"/>
                <w:sz w:val="18"/>
                <w:szCs w:val="18"/>
              </w:rPr>
            </w:pPr>
            <w:r w:rsidRPr="009F38FC">
              <w:rPr>
                <w:color w:val="000000" w:themeColor="text1"/>
                <w:sz w:val="18"/>
                <w:szCs w:val="18"/>
              </w:rPr>
              <w:t>Oakhurst</w:t>
            </w:r>
          </w:p>
        </w:tc>
        <w:tc>
          <w:tcPr>
            <w:tcW w:w="1033" w:type="dxa"/>
            <w:noWrap/>
            <w:hideMark/>
          </w:tcPr>
          <w:p w:rsidRPr="009F38FC" w:rsidR="000D7072" w:rsidP="009F38FC" w:rsidRDefault="000D7072" w14:paraId="2C94C588" w14:textId="77777777">
            <w:pPr>
              <w:rPr>
                <w:color w:val="000000" w:themeColor="text1"/>
                <w:sz w:val="18"/>
                <w:szCs w:val="18"/>
              </w:rPr>
            </w:pPr>
            <w:r w:rsidRPr="009F38FC">
              <w:rPr>
                <w:color w:val="000000" w:themeColor="text1"/>
                <w:sz w:val="18"/>
                <w:szCs w:val="18"/>
              </w:rPr>
              <w:t>93644</w:t>
            </w:r>
          </w:p>
        </w:tc>
        <w:tc>
          <w:tcPr>
            <w:tcW w:w="1409" w:type="dxa"/>
            <w:noWrap/>
            <w:hideMark/>
          </w:tcPr>
          <w:p w:rsidRPr="009F38FC" w:rsidR="000D7072" w:rsidP="00584CF8" w:rsidRDefault="000D7072" w14:paraId="626ACFD7" w14:textId="77777777">
            <w:pPr>
              <w:jc w:val="right"/>
              <w:rPr>
                <w:color w:val="000000" w:themeColor="text1"/>
                <w:sz w:val="18"/>
                <w:szCs w:val="18"/>
              </w:rPr>
            </w:pPr>
            <w:r w:rsidRPr="009F38FC">
              <w:rPr>
                <w:color w:val="000000" w:themeColor="text1"/>
                <w:sz w:val="18"/>
                <w:szCs w:val="18"/>
              </w:rPr>
              <w:t xml:space="preserve"> $48,600.00 </w:t>
            </w:r>
          </w:p>
        </w:tc>
        <w:tc>
          <w:tcPr>
            <w:tcW w:w="695" w:type="dxa"/>
            <w:noWrap/>
            <w:hideMark/>
          </w:tcPr>
          <w:p w:rsidRPr="009F38FC" w:rsidR="000D7072" w:rsidP="00584CF8" w:rsidRDefault="000D7072" w14:paraId="36B4585A" w14:textId="77777777">
            <w:pPr>
              <w:jc w:val="right"/>
              <w:rPr>
                <w:color w:val="000000" w:themeColor="text1"/>
                <w:sz w:val="18"/>
                <w:szCs w:val="18"/>
              </w:rPr>
            </w:pPr>
            <w:r w:rsidRPr="009F38FC">
              <w:rPr>
                <w:color w:val="000000" w:themeColor="text1"/>
                <w:sz w:val="18"/>
                <w:szCs w:val="18"/>
              </w:rPr>
              <w:t>24</w:t>
            </w:r>
          </w:p>
        </w:tc>
      </w:tr>
      <w:tr w:rsidRPr="009F38FC" w:rsidR="000D7072" w:rsidTr="0049358C" w14:paraId="42598DF9" w14:textId="77777777">
        <w:trPr>
          <w:trHeight w:val="297"/>
        </w:trPr>
        <w:tc>
          <w:tcPr>
            <w:tcW w:w="1498" w:type="dxa"/>
            <w:noWrap/>
            <w:hideMark/>
          </w:tcPr>
          <w:p w:rsidRPr="009F38FC" w:rsidR="000D7072" w:rsidRDefault="000D7072" w14:paraId="1C107A91" w14:textId="77777777">
            <w:pPr>
              <w:rPr>
                <w:color w:val="000000" w:themeColor="text1"/>
                <w:sz w:val="18"/>
                <w:szCs w:val="18"/>
              </w:rPr>
            </w:pPr>
            <w:r w:rsidRPr="009F38FC">
              <w:rPr>
                <w:color w:val="000000" w:themeColor="text1"/>
                <w:sz w:val="18"/>
                <w:szCs w:val="18"/>
              </w:rPr>
              <w:t>Self Help Enterprises</w:t>
            </w:r>
          </w:p>
        </w:tc>
        <w:tc>
          <w:tcPr>
            <w:tcW w:w="1785" w:type="dxa"/>
            <w:noWrap/>
            <w:hideMark/>
          </w:tcPr>
          <w:p w:rsidRPr="009F38FC" w:rsidR="000D7072" w:rsidRDefault="000D7072" w14:paraId="3F3AC8D8" w14:textId="77777777">
            <w:pPr>
              <w:rPr>
                <w:color w:val="000000" w:themeColor="text1"/>
                <w:sz w:val="18"/>
                <w:szCs w:val="18"/>
              </w:rPr>
            </w:pPr>
            <w:r w:rsidRPr="009F38FC">
              <w:rPr>
                <w:color w:val="000000" w:themeColor="text1"/>
                <w:sz w:val="18"/>
                <w:szCs w:val="18"/>
              </w:rPr>
              <w:t>The Haven</w:t>
            </w:r>
          </w:p>
        </w:tc>
        <w:tc>
          <w:tcPr>
            <w:tcW w:w="1691" w:type="dxa"/>
            <w:noWrap/>
            <w:hideMark/>
          </w:tcPr>
          <w:p w:rsidRPr="009F38FC" w:rsidR="000D7072" w:rsidRDefault="000D7072" w14:paraId="4D37DAD6" w14:textId="77777777">
            <w:pPr>
              <w:rPr>
                <w:color w:val="000000" w:themeColor="text1"/>
                <w:sz w:val="18"/>
                <w:szCs w:val="18"/>
              </w:rPr>
            </w:pPr>
            <w:r w:rsidRPr="009F38FC">
              <w:rPr>
                <w:color w:val="000000" w:themeColor="text1"/>
                <w:sz w:val="18"/>
                <w:szCs w:val="18"/>
              </w:rPr>
              <w:t>231 Quantico Ave.</w:t>
            </w:r>
          </w:p>
        </w:tc>
        <w:tc>
          <w:tcPr>
            <w:tcW w:w="1409" w:type="dxa"/>
            <w:noWrap/>
            <w:hideMark/>
          </w:tcPr>
          <w:p w:rsidRPr="009F38FC" w:rsidR="000D7072" w:rsidRDefault="000D7072" w14:paraId="72D331CF" w14:textId="77777777">
            <w:pPr>
              <w:rPr>
                <w:color w:val="000000" w:themeColor="text1"/>
                <w:sz w:val="18"/>
                <w:szCs w:val="18"/>
              </w:rPr>
            </w:pPr>
            <w:r w:rsidRPr="009F38FC">
              <w:rPr>
                <w:color w:val="000000" w:themeColor="text1"/>
                <w:sz w:val="18"/>
                <w:szCs w:val="18"/>
              </w:rPr>
              <w:t>Bakersfield</w:t>
            </w:r>
          </w:p>
        </w:tc>
        <w:tc>
          <w:tcPr>
            <w:tcW w:w="1033" w:type="dxa"/>
            <w:noWrap/>
            <w:hideMark/>
          </w:tcPr>
          <w:p w:rsidRPr="009F38FC" w:rsidR="000D7072" w:rsidP="009F38FC" w:rsidRDefault="000D7072" w14:paraId="2B2ACBE2" w14:textId="77777777">
            <w:pPr>
              <w:rPr>
                <w:color w:val="000000" w:themeColor="text1"/>
                <w:sz w:val="18"/>
                <w:szCs w:val="18"/>
              </w:rPr>
            </w:pPr>
            <w:r w:rsidRPr="009F38FC">
              <w:rPr>
                <w:color w:val="000000" w:themeColor="text1"/>
                <w:sz w:val="18"/>
                <w:szCs w:val="18"/>
              </w:rPr>
              <w:t>93307</w:t>
            </w:r>
          </w:p>
        </w:tc>
        <w:tc>
          <w:tcPr>
            <w:tcW w:w="1409" w:type="dxa"/>
            <w:noWrap/>
            <w:hideMark/>
          </w:tcPr>
          <w:p w:rsidRPr="009F38FC" w:rsidR="000D7072" w:rsidP="00584CF8" w:rsidRDefault="000D7072" w14:paraId="23DC7658" w14:textId="77777777">
            <w:pPr>
              <w:jc w:val="right"/>
              <w:rPr>
                <w:color w:val="000000" w:themeColor="text1"/>
                <w:sz w:val="18"/>
                <w:szCs w:val="18"/>
              </w:rPr>
            </w:pPr>
            <w:r w:rsidRPr="009F38FC">
              <w:rPr>
                <w:color w:val="000000" w:themeColor="text1"/>
                <w:sz w:val="18"/>
                <w:szCs w:val="18"/>
              </w:rPr>
              <w:t xml:space="preserve"> $38,400.00 </w:t>
            </w:r>
          </w:p>
        </w:tc>
        <w:tc>
          <w:tcPr>
            <w:tcW w:w="695" w:type="dxa"/>
            <w:noWrap/>
            <w:hideMark/>
          </w:tcPr>
          <w:p w:rsidRPr="009F38FC" w:rsidR="000D7072" w:rsidP="00584CF8" w:rsidRDefault="000D7072" w14:paraId="5BB4CE42" w14:textId="77777777">
            <w:pPr>
              <w:jc w:val="right"/>
              <w:rPr>
                <w:color w:val="000000" w:themeColor="text1"/>
                <w:sz w:val="18"/>
                <w:szCs w:val="18"/>
              </w:rPr>
            </w:pPr>
            <w:r w:rsidRPr="009F38FC">
              <w:rPr>
                <w:color w:val="000000" w:themeColor="text1"/>
                <w:sz w:val="18"/>
                <w:szCs w:val="18"/>
              </w:rPr>
              <w:t>24</w:t>
            </w:r>
          </w:p>
        </w:tc>
      </w:tr>
      <w:tr w:rsidRPr="009F38FC" w:rsidR="000D7072" w:rsidTr="0049358C" w14:paraId="7994C617" w14:textId="77777777">
        <w:trPr>
          <w:trHeight w:val="297"/>
        </w:trPr>
        <w:tc>
          <w:tcPr>
            <w:tcW w:w="1498" w:type="dxa"/>
            <w:noWrap/>
            <w:hideMark/>
          </w:tcPr>
          <w:p w:rsidRPr="009F38FC" w:rsidR="000D7072" w:rsidRDefault="000D7072" w14:paraId="00A854B0" w14:textId="77777777">
            <w:pPr>
              <w:rPr>
                <w:color w:val="000000" w:themeColor="text1"/>
                <w:sz w:val="18"/>
                <w:szCs w:val="18"/>
              </w:rPr>
            </w:pPr>
            <w:r w:rsidRPr="009F38FC">
              <w:rPr>
                <w:color w:val="000000" w:themeColor="text1"/>
                <w:sz w:val="18"/>
                <w:szCs w:val="18"/>
              </w:rPr>
              <w:t>Shelter Inc</w:t>
            </w:r>
          </w:p>
        </w:tc>
        <w:tc>
          <w:tcPr>
            <w:tcW w:w="1785" w:type="dxa"/>
            <w:noWrap/>
            <w:hideMark/>
          </w:tcPr>
          <w:p w:rsidRPr="009F38FC" w:rsidR="000D7072" w:rsidRDefault="000D7072" w14:paraId="54C5A580" w14:textId="77777777">
            <w:pPr>
              <w:rPr>
                <w:color w:val="000000" w:themeColor="text1"/>
                <w:sz w:val="18"/>
                <w:szCs w:val="18"/>
              </w:rPr>
            </w:pPr>
            <w:r w:rsidRPr="009F38FC">
              <w:rPr>
                <w:color w:val="000000" w:themeColor="text1"/>
                <w:sz w:val="18"/>
                <w:szCs w:val="18"/>
              </w:rPr>
              <w:t>Project Homekey</w:t>
            </w:r>
          </w:p>
        </w:tc>
        <w:tc>
          <w:tcPr>
            <w:tcW w:w="1691" w:type="dxa"/>
            <w:noWrap/>
            <w:hideMark/>
          </w:tcPr>
          <w:p w:rsidRPr="009F38FC" w:rsidR="000D7072" w:rsidRDefault="000D7072" w14:paraId="3D6AF6DE" w14:textId="77777777">
            <w:pPr>
              <w:rPr>
                <w:color w:val="000000" w:themeColor="text1"/>
                <w:sz w:val="18"/>
                <w:szCs w:val="18"/>
              </w:rPr>
            </w:pPr>
            <w:r w:rsidRPr="009F38FC">
              <w:rPr>
                <w:color w:val="000000" w:themeColor="text1"/>
                <w:sz w:val="18"/>
                <w:szCs w:val="18"/>
              </w:rPr>
              <w:t>2441 Broadway St</w:t>
            </w:r>
            <w:r>
              <w:rPr>
                <w:color w:val="000000" w:themeColor="text1"/>
                <w:sz w:val="18"/>
                <w:szCs w:val="18"/>
              </w:rPr>
              <w:t>.</w:t>
            </w:r>
          </w:p>
        </w:tc>
        <w:tc>
          <w:tcPr>
            <w:tcW w:w="1409" w:type="dxa"/>
            <w:noWrap/>
            <w:hideMark/>
          </w:tcPr>
          <w:p w:rsidRPr="009F38FC" w:rsidR="000D7072" w:rsidRDefault="000D7072" w14:paraId="4B8D8002" w14:textId="77777777">
            <w:pPr>
              <w:rPr>
                <w:color w:val="000000" w:themeColor="text1"/>
                <w:sz w:val="18"/>
                <w:szCs w:val="18"/>
              </w:rPr>
            </w:pPr>
            <w:r w:rsidRPr="009F38FC">
              <w:rPr>
                <w:color w:val="000000" w:themeColor="text1"/>
                <w:sz w:val="18"/>
                <w:szCs w:val="18"/>
              </w:rPr>
              <w:t>Vallejo</w:t>
            </w:r>
          </w:p>
        </w:tc>
        <w:tc>
          <w:tcPr>
            <w:tcW w:w="1033" w:type="dxa"/>
            <w:noWrap/>
            <w:hideMark/>
          </w:tcPr>
          <w:p w:rsidRPr="009F38FC" w:rsidR="000D7072" w:rsidP="009F38FC" w:rsidRDefault="000D7072" w14:paraId="0E74B302" w14:textId="77777777">
            <w:pPr>
              <w:rPr>
                <w:color w:val="000000" w:themeColor="text1"/>
                <w:sz w:val="18"/>
                <w:szCs w:val="18"/>
              </w:rPr>
            </w:pPr>
            <w:r w:rsidRPr="009F38FC">
              <w:rPr>
                <w:color w:val="000000" w:themeColor="text1"/>
                <w:sz w:val="18"/>
                <w:szCs w:val="18"/>
              </w:rPr>
              <w:t>94589</w:t>
            </w:r>
          </w:p>
        </w:tc>
        <w:tc>
          <w:tcPr>
            <w:tcW w:w="1409" w:type="dxa"/>
            <w:noWrap/>
            <w:hideMark/>
          </w:tcPr>
          <w:p w:rsidRPr="009F38FC" w:rsidR="000D7072" w:rsidP="00584CF8" w:rsidRDefault="000D7072" w14:paraId="2E0404E2" w14:textId="77777777">
            <w:pPr>
              <w:jc w:val="right"/>
              <w:rPr>
                <w:color w:val="000000" w:themeColor="text1"/>
                <w:sz w:val="18"/>
                <w:szCs w:val="18"/>
              </w:rPr>
            </w:pPr>
            <w:r w:rsidRPr="009F38FC">
              <w:rPr>
                <w:color w:val="000000" w:themeColor="text1"/>
                <w:sz w:val="18"/>
                <w:szCs w:val="18"/>
              </w:rPr>
              <w:t xml:space="preserve"> $81,903.00 </w:t>
            </w:r>
          </w:p>
        </w:tc>
        <w:tc>
          <w:tcPr>
            <w:tcW w:w="695" w:type="dxa"/>
            <w:noWrap/>
            <w:hideMark/>
          </w:tcPr>
          <w:p w:rsidRPr="009F38FC" w:rsidR="000D7072" w:rsidP="00584CF8" w:rsidRDefault="000D7072" w14:paraId="6B3C0B92" w14:textId="77777777">
            <w:pPr>
              <w:jc w:val="right"/>
              <w:rPr>
                <w:color w:val="000000" w:themeColor="text1"/>
                <w:sz w:val="18"/>
                <w:szCs w:val="18"/>
              </w:rPr>
            </w:pPr>
            <w:r w:rsidRPr="009F38FC">
              <w:rPr>
                <w:color w:val="000000" w:themeColor="text1"/>
                <w:sz w:val="18"/>
                <w:szCs w:val="18"/>
              </w:rPr>
              <w:t>48</w:t>
            </w:r>
          </w:p>
        </w:tc>
      </w:tr>
      <w:tr w:rsidRPr="009F38FC" w:rsidR="000D7072" w:rsidTr="0049358C" w14:paraId="53FCEDF9" w14:textId="77777777">
        <w:trPr>
          <w:trHeight w:val="297"/>
        </w:trPr>
        <w:tc>
          <w:tcPr>
            <w:tcW w:w="1498" w:type="dxa"/>
            <w:noWrap/>
            <w:hideMark/>
          </w:tcPr>
          <w:p w:rsidRPr="009F38FC" w:rsidR="000D7072" w:rsidP="009F38FC" w:rsidRDefault="000D7072" w14:paraId="5B80497A" w14:textId="77777777">
            <w:pPr>
              <w:rPr>
                <w:color w:val="000000" w:themeColor="text1"/>
                <w:sz w:val="18"/>
                <w:szCs w:val="18"/>
              </w:rPr>
            </w:pPr>
          </w:p>
        </w:tc>
        <w:tc>
          <w:tcPr>
            <w:tcW w:w="1785" w:type="dxa"/>
            <w:noWrap/>
            <w:hideMark/>
          </w:tcPr>
          <w:p w:rsidRPr="009F38FC" w:rsidR="000D7072" w:rsidRDefault="000D7072" w14:paraId="638FC787" w14:textId="77777777">
            <w:pPr>
              <w:rPr>
                <w:color w:val="000000" w:themeColor="text1"/>
                <w:sz w:val="18"/>
                <w:szCs w:val="18"/>
              </w:rPr>
            </w:pPr>
          </w:p>
        </w:tc>
        <w:tc>
          <w:tcPr>
            <w:tcW w:w="1691" w:type="dxa"/>
            <w:noWrap/>
            <w:hideMark/>
          </w:tcPr>
          <w:p w:rsidRPr="009F38FC" w:rsidR="000D7072" w:rsidRDefault="000D7072" w14:paraId="1DE669B3" w14:textId="77777777">
            <w:pPr>
              <w:rPr>
                <w:color w:val="000000" w:themeColor="text1"/>
                <w:sz w:val="18"/>
                <w:szCs w:val="18"/>
              </w:rPr>
            </w:pPr>
          </w:p>
        </w:tc>
        <w:tc>
          <w:tcPr>
            <w:tcW w:w="1409" w:type="dxa"/>
            <w:noWrap/>
            <w:hideMark/>
          </w:tcPr>
          <w:p w:rsidRPr="009F38FC" w:rsidR="000D7072" w:rsidP="009F38FC" w:rsidRDefault="000D7072" w14:paraId="2B71C1D5" w14:textId="77777777">
            <w:pPr>
              <w:rPr>
                <w:b/>
                <w:bCs/>
                <w:color w:val="000000" w:themeColor="text1"/>
                <w:sz w:val="18"/>
                <w:szCs w:val="18"/>
              </w:rPr>
            </w:pPr>
            <w:r w:rsidRPr="009F38FC">
              <w:rPr>
                <w:b/>
                <w:bCs/>
                <w:color w:val="000000" w:themeColor="text1"/>
                <w:sz w:val="18"/>
                <w:szCs w:val="18"/>
              </w:rPr>
              <w:t>Total:</w:t>
            </w:r>
          </w:p>
        </w:tc>
        <w:tc>
          <w:tcPr>
            <w:tcW w:w="1033" w:type="dxa"/>
            <w:noWrap/>
            <w:hideMark/>
          </w:tcPr>
          <w:p w:rsidRPr="009F38FC" w:rsidR="000D7072" w:rsidP="009F38FC" w:rsidRDefault="000D7072" w14:paraId="4625DEFF" w14:textId="77777777">
            <w:pPr>
              <w:rPr>
                <w:b/>
                <w:bCs/>
                <w:color w:val="000000" w:themeColor="text1"/>
                <w:sz w:val="18"/>
                <w:szCs w:val="18"/>
              </w:rPr>
            </w:pPr>
          </w:p>
        </w:tc>
        <w:tc>
          <w:tcPr>
            <w:tcW w:w="1409" w:type="dxa"/>
            <w:noWrap/>
            <w:hideMark/>
          </w:tcPr>
          <w:p w:rsidRPr="009F38FC" w:rsidR="000D7072" w:rsidP="00584CF8" w:rsidRDefault="000D7072" w14:paraId="35E8B594" w14:textId="77777777">
            <w:pPr>
              <w:jc w:val="right"/>
              <w:rPr>
                <w:b/>
                <w:bCs/>
                <w:color w:val="000000" w:themeColor="text1"/>
                <w:sz w:val="18"/>
                <w:szCs w:val="18"/>
              </w:rPr>
            </w:pPr>
            <w:r w:rsidRPr="009F38FC">
              <w:rPr>
                <w:b/>
                <w:bCs/>
                <w:color w:val="000000" w:themeColor="text1"/>
                <w:sz w:val="18"/>
                <w:szCs w:val="18"/>
              </w:rPr>
              <w:t xml:space="preserve"> </w:t>
            </w:r>
            <w:r w:rsidRPr="00DF5A6F">
              <w:rPr>
                <w:b/>
                <w:bCs/>
                <w:color w:val="000000" w:themeColor="text1"/>
                <w:sz w:val="18"/>
                <w:szCs w:val="18"/>
              </w:rPr>
              <w:t xml:space="preserve"> </w:t>
            </w:r>
            <w:r w:rsidRPr="0045241A">
              <w:rPr>
                <w:b/>
                <w:bCs/>
                <w:color w:val="000000" w:themeColor="text1"/>
                <w:sz w:val="18"/>
                <w:szCs w:val="18"/>
              </w:rPr>
              <w:t xml:space="preserve"> $</w:t>
            </w:r>
            <w:r>
              <w:rPr>
                <w:b/>
                <w:bCs/>
                <w:color w:val="000000" w:themeColor="text1"/>
                <w:sz w:val="18"/>
                <w:szCs w:val="18"/>
              </w:rPr>
              <w:t xml:space="preserve">1,025,846.70 </w:t>
            </w:r>
          </w:p>
        </w:tc>
        <w:tc>
          <w:tcPr>
            <w:tcW w:w="695" w:type="dxa"/>
            <w:noWrap/>
            <w:hideMark/>
          </w:tcPr>
          <w:p w:rsidRPr="009F38FC" w:rsidR="000D7072" w:rsidP="00584CF8" w:rsidRDefault="000D7072" w14:paraId="3B8AB98B" w14:textId="77777777">
            <w:pPr>
              <w:jc w:val="right"/>
              <w:rPr>
                <w:b/>
                <w:bCs/>
                <w:color w:val="000000" w:themeColor="text1"/>
                <w:sz w:val="18"/>
                <w:szCs w:val="18"/>
              </w:rPr>
            </w:pPr>
            <w:r>
              <w:rPr>
                <w:b/>
                <w:bCs/>
                <w:color w:val="000000" w:themeColor="text1"/>
                <w:sz w:val="18"/>
                <w:szCs w:val="18"/>
              </w:rPr>
              <w:t>830</w:t>
            </w:r>
          </w:p>
        </w:tc>
      </w:tr>
      <w:bookmarkEnd w:id="1"/>
    </w:tbl>
    <w:p w:rsidR="000D7072" w:rsidP="003A50AE" w:rsidRDefault="000D7072" w14:paraId="2942598D" w14:textId="77777777">
      <w:pPr>
        <w:rPr>
          <w:color w:val="000000" w:themeColor="text1"/>
        </w:rPr>
      </w:pPr>
    </w:p>
    <w:p w:rsidR="000D7072" w:rsidP="00996A8F" w:rsidRDefault="000D7072" w14:paraId="717245DE" w14:textId="77777777">
      <w:pPr>
        <w:tabs>
          <w:tab w:val="right" w:pos="10080"/>
        </w:tabs>
        <w:rPr>
          <w:b/>
          <w:color w:val="000000" w:themeColor="text1"/>
        </w:rPr>
      </w:pPr>
    </w:p>
    <w:p w:rsidRPr="000571D5" w:rsidR="000D7072" w:rsidP="00996A8F" w:rsidRDefault="000D7072" w14:paraId="47EF5913" w14:textId="77777777">
      <w:pPr>
        <w:tabs>
          <w:tab w:val="right" w:pos="10080"/>
        </w:tabs>
        <w:rPr>
          <w:b/>
          <w:color w:val="000000" w:themeColor="text1"/>
        </w:rPr>
      </w:pPr>
      <w:r w:rsidRPr="000571D5">
        <w:rPr>
          <w:b/>
          <w:color w:val="000000" w:themeColor="text1"/>
        </w:rPr>
        <w:t>II.     BACKGROUND</w:t>
      </w:r>
    </w:p>
    <w:p w:rsidRPr="000571D5" w:rsidR="000D7072" w:rsidP="00996A8F" w:rsidRDefault="000D7072" w14:paraId="4438F875" w14:textId="77777777">
      <w:pPr>
        <w:tabs>
          <w:tab w:val="right" w:pos="10080"/>
        </w:tabs>
        <w:rPr>
          <w:b/>
          <w:color w:val="000000" w:themeColor="text1"/>
          <w:u w:val="single"/>
        </w:rPr>
      </w:pPr>
    </w:p>
    <w:p w:rsidR="000D7072" w:rsidP="00CD03D8" w:rsidRDefault="000D7072" w14:paraId="58A07014" w14:textId="77777777">
      <w:pPr>
        <w:tabs>
          <w:tab w:val="right" w:pos="10080"/>
        </w:tabs>
        <w:jc w:val="both"/>
        <w:rPr>
          <w:color w:val="000000" w:themeColor="text1"/>
        </w:rPr>
      </w:pPr>
      <w:r w:rsidRPr="00DD2082">
        <w:rPr>
          <w:color w:val="000000" w:themeColor="text1"/>
        </w:rPr>
        <w:t>On May 19, 2022, the Commission issued Decision (D.) 22-05-029 which implemented changes to the BPHA enacted by S</w:t>
      </w:r>
      <w:r>
        <w:rPr>
          <w:color w:val="000000" w:themeColor="text1"/>
        </w:rPr>
        <w:t xml:space="preserve">enate </w:t>
      </w:r>
      <w:r w:rsidRPr="00DD2082">
        <w:rPr>
          <w:color w:val="000000" w:themeColor="text1"/>
        </w:rPr>
        <w:t>B</w:t>
      </w:r>
      <w:r>
        <w:rPr>
          <w:color w:val="000000" w:themeColor="text1"/>
        </w:rPr>
        <w:t>ill</w:t>
      </w:r>
      <w:r w:rsidRPr="00DD2082">
        <w:rPr>
          <w:color w:val="000000" w:themeColor="text1"/>
        </w:rPr>
        <w:t xml:space="preserve"> 156 and programmatic changes for publicly supported housing developments, including farmworker housing, and allocated $15 million funding for Fiscal Year 2022-2023.</w:t>
      </w:r>
    </w:p>
    <w:p w:rsidRPr="00DD2082" w:rsidR="000D7072" w:rsidP="00CD03D8" w:rsidRDefault="000D7072" w14:paraId="1DF8855C" w14:textId="77777777">
      <w:pPr>
        <w:tabs>
          <w:tab w:val="right" w:pos="10080"/>
        </w:tabs>
        <w:jc w:val="both"/>
        <w:rPr>
          <w:color w:val="000000" w:themeColor="text1"/>
        </w:rPr>
      </w:pPr>
    </w:p>
    <w:p w:rsidRPr="00DD2082" w:rsidR="000D7072" w:rsidP="00CD03D8" w:rsidRDefault="000D7072" w14:paraId="6220E8F2" w14:textId="77777777">
      <w:pPr>
        <w:tabs>
          <w:tab w:val="right" w:pos="10080"/>
        </w:tabs>
        <w:jc w:val="both"/>
        <w:rPr>
          <w:color w:val="000000" w:themeColor="text1"/>
        </w:rPr>
      </w:pPr>
      <w:r w:rsidRPr="00DD2082">
        <w:rPr>
          <w:color w:val="000000" w:themeColor="text1"/>
        </w:rPr>
        <w:t xml:space="preserve">Key provisions of the </w:t>
      </w:r>
      <w:r>
        <w:rPr>
          <w:color w:val="000000" w:themeColor="text1"/>
        </w:rPr>
        <w:t>D</w:t>
      </w:r>
      <w:r w:rsidRPr="00DD2082">
        <w:rPr>
          <w:color w:val="000000" w:themeColor="text1"/>
        </w:rPr>
        <w:t xml:space="preserve">ecision relevant to this Resolution include: </w:t>
      </w:r>
    </w:p>
    <w:p w:rsidRPr="00DD2082" w:rsidR="000D7072" w:rsidP="00996A8F" w:rsidRDefault="000D7072" w14:paraId="2395738B" w14:textId="77777777">
      <w:pPr>
        <w:tabs>
          <w:tab w:val="right" w:pos="10080"/>
        </w:tabs>
        <w:rPr>
          <w:color w:val="000000" w:themeColor="text1"/>
        </w:rPr>
      </w:pPr>
    </w:p>
    <w:p w:rsidRPr="00A10B52" w:rsidR="000D7072" w:rsidP="00E66968" w:rsidRDefault="000D7072" w14:paraId="377E56FD" w14:textId="77777777">
      <w:pPr>
        <w:pStyle w:val="Default"/>
        <w:numPr>
          <w:ilvl w:val="0"/>
          <w:numId w:val="12"/>
        </w:numPr>
        <w:jc w:val="both"/>
        <w:rPr>
          <w:rFonts w:ascii="Palatino Linotype" w:hAnsi="Palatino Linotype"/>
        </w:rPr>
      </w:pPr>
      <w:r w:rsidRPr="00A10B52">
        <w:rPr>
          <w:rFonts w:ascii="Palatino Linotype" w:hAnsi="Palatino Linotype" w:cs="Times New Roman"/>
          <w:color w:val="auto"/>
        </w:rPr>
        <w:t>The Commission authorized CD staff (Staff) to review and approve applications through ministerial review that meet all of the ministerial review criteria.</w:t>
      </w:r>
      <w:r w:rsidRPr="00A10B52">
        <w:rPr>
          <w:rStyle w:val="FootnoteReference"/>
          <w:rFonts w:ascii="Palatino Linotype" w:hAnsi="Palatino Linotype" w:cs="Times New Roman"/>
          <w:color w:val="auto"/>
        </w:rPr>
        <w:footnoteReference w:id="2"/>
      </w:r>
      <w:r w:rsidRPr="00A10B52">
        <w:rPr>
          <w:rFonts w:ascii="Palatino Linotype" w:hAnsi="Palatino Linotype" w:cs="Times New Roman"/>
          <w:color w:val="auto"/>
        </w:rPr>
        <w:t xml:space="preserve">  Applications not meeting the </w:t>
      </w:r>
      <w:r w:rsidRPr="00A10B52">
        <w:rPr>
          <w:rFonts w:ascii="Palatino Linotype" w:hAnsi="Palatino Linotype"/>
        </w:rPr>
        <w:t>ministerial review criteria may still be considered for a grant but may only be approved by the Commission via Resolution.</w:t>
      </w:r>
    </w:p>
    <w:p w:rsidRPr="00A10B52" w:rsidR="000D7072" w:rsidP="00E66968" w:rsidRDefault="000D7072" w14:paraId="04DC0A4C" w14:textId="77777777">
      <w:pPr>
        <w:pStyle w:val="Default"/>
        <w:numPr>
          <w:ilvl w:val="0"/>
          <w:numId w:val="12"/>
        </w:numPr>
        <w:jc w:val="both"/>
        <w:rPr>
          <w:rFonts w:ascii="Palatino Linotype" w:hAnsi="Palatino Linotype"/>
        </w:rPr>
      </w:pPr>
      <w:r w:rsidRPr="00A10B52">
        <w:rPr>
          <w:rFonts w:ascii="Palatino Linotype" w:hAnsi="Palatino Linotype"/>
        </w:rPr>
        <w:t>Grants can be awarded to finance up to 100 percent of the installation costs (inside wiring and equipment), but not maintenance or operation costs.</w:t>
      </w:r>
    </w:p>
    <w:p w:rsidRPr="00A10B52" w:rsidR="000D7072" w:rsidP="00E66968" w:rsidRDefault="000D7072" w14:paraId="0883A5AF" w14:textId="77777777">
      <w:pPr>
        <w:pStyle w:val="Default"/>
        <w:numPr>
          <w:ilvl w:val="0"/>
          <w:numId w:val="12"/>
        </w:numPr>
        <w:jc w:val="both"/>
        <w:rPr>
          <w:rFonts w:ascii="Palatino Linotype" w:hAnsi="Palatino Linotype"/>
        </w:rPr>
      </w:pPr>
      <w:r w:rsidRPr="00A10B52">
        <w:rPr>
          <w:rFonts w:ascii="Palatino Linotype" w:hAnsi="Palatino Linotype"/>
        </w:rPr>
        <w:lastRenderedPageBreak/>
        <w:t>Grantees must maintain and operate the network for five years after project completion.</w:t>
      </w:r>
    </w:p>
    <w:p w:rsidRPr="00A10B52" w:rsidR="000D7072" w:rsidP="00E66968" w:rsidRDefault="000D7072" w14:paraId="3D77D429" w14:textId="77777777">
      <w:pPr>
        <w:pStyle w:val="Default"/>
        <w:numPr>
          <w:ilvl w:val="0"/>
          <w:numId w:val="12"/>
        </w:numPr>
        <w:jc w:val="both"/>
        <w:rPr>
          <w:rFonts w:ascii="Palatino Linotype" w:hAnsi="Palatino Linotype"/>
        </w:rPr>
      </w:pPr>
      <w:r w:rsidRPr="00A10B52">
        <w:rPr>
          <w:rFonts w:ascii="Palatino Linotype" w:hAnsi="Palatino Linotype"/>
        </w:rPr>
        <w:t>The proposed network should be capable of offering residents Internet service speeds of at least 25 Mbps download and 3 Mbps upload service for an average user during peak and off-peak hours or current state standard, whichever is higher.</w:t>
      </w:r>
      <w:r w:rsidRPr="00A10B52">
        <w:rPr>
          <w:rStyle w:val="FootnoteReference"/>
          <w:rFonts w:ascii="Palatino Linotype" w:hAnsi="Palatino Linotype"/>
        </w:rPr>
        <w:footnoteReference w:id="3"/>
      </w:r>
    </w:p>
    <w:p w:rsidRPr="00A10B52" w:rsidR="000D7072" w:rsidP="00E66968" w:rsidRDefault="000D7072" w14:paraId="3912FB77" w14:textId="77777777">
      <w:pPr>
        <w:pStyle w:val="Default"/>
        <w:numPr>
          <w:ilvl w:val="0"/>
          <w:numId w:val="12"/>
        </w:numPr>
        <w:jc w:val="both"/>
        <w:rPr>
          <w:rFonts w:ascii="Palatino Linotype" w:hAnsi="Palatino Linotype"/>
        </w:rPr>
      </w:pPr>
      <w:r w:rsidRPr="00A10B52">
        <w:rPr>
          <w:rFonts w:ascii="Palatino Linotype" w:hAnsi="Palatino Linotype"/>
        </w:rPr>
        <w:t>Applicant attests that no broadband service provider offers free service that meets state standards, as defined in Section III of the BPHA Guidelines, to the subject low-income community.</w:t>
      </w:r>
    </w:p>
    <w:p w:rsidRPr="00A10B52" w:rsidR="000D7072" w:rsidP="00E66968" w:rsidRDefault="000D7072" w14:paraId="2845E484" w14:textId="77777777">
      <w:pPr>
        <w:pStyle w:val="Default"/>
        <w:numPr>
          <w:ilvl w:val="0"/>
          <w:numId w:val="12"/>
        </w:numPr>
        <w:jc w:val="both"/>
        <w:rPr>
          <w:rFonts w:ascii="Palatino Linotype" w:hAnsi="Palatino Linotype"/>
        </w:rPr>
      </w:pPr>
      <w:r w:rsidRPr="00664D27">
        <w:rPr>
          <w:rFonts w:ascii="Palatino Linotype" w:hAnsi="Palatino Linotype"/>
        </w:rPr>
        <w:t>Applicant attests that it will not charge residents for broadband internet services.</w:t>
      </w:r>
    </w:p>
    <w:p w:rsidRPr="00A10B52" w:rsidR="000D7072" w:rsidP="00E66968" w:rsidRDefault="000D7072" w14:paraId="1C5C5F17" w14:textId="77777777">
      <w:pPr>
        <w:pStyle w:val="Default"/>
        <w:numPr>
          <w:ilvl w:val="0"/>
          <w:numId w:val="12"/>
        </w:numPr>
        <w:jc w:val="both"/>
        <w:rPr>
          <w:rFonts w:ascii="Palatino Linotype" w:hAnsi="Palatino Linotype"/>
        </w:rPr>
      </w:pPr>
      <w:r w:rsidRPr="00A10B52">
        <w:rPr>
          <w:rFonts w:ascii="Palatino Linotype" w:hAnsi="Palatino Linotype"/>
        </w:rPr>
        <w:t>Applicant agrees to complete the project within 12 months from the date of Commission approval.</w:t>
      </w:r>
    </w:p>
    <w:p w:rsidRPr="00A10B52" w:rsidR="000D7072" w:rsidP="00E66968" w:rsidRDefault="000D7072" w14:paraId="1EB8C59B" w14:textId="77777777">
      <w:pPr>
        <w:pStyle w:val="Default"/>
        <w:numPr>
          <w:ilvl w:val="0"/>
          <w:numId w:val="12"/>
        </w:numPr>
        <w:jc w:val="both"/>
        <w:rPr>
          <w:rFonts w:ascii="Palatino Linotype" w:hAnsi="Palatino Linotype"/>
          <w:color w:val="000000" w:themeColor="text1"/>
        </w:rPr>
      </w:pPr>
      <w:r w:rsidRPr="00A10B52">
        <w:rPr>
          <w:rFonts w:ascii="Palatino Linotype" w:hAnsi="Palatino Linotype"/>
        </w:rPr>
        <w:t xml:space="preserve">Applicant has an identified internet service provider with the required internet bandwidth capacity at the </w:t>
      </w:r>
      <w:r>
        <w:rPr>
          <w:rFonts w:ascii="Palatino Linotype" w:hAnsi="Palatino Linotype"/>
        </w:rPr>
        <w:t>Minimum Point of Entry (</w:t>
      </w:r>
      <w:r w:rsidRPr="00A10B52">
        <w:rPr>
          <w:rFonts w:ascii="Palatino Linotype" w:hAnsi="Palatino Linotype"/>
        </w:rPr>
        <w:t>MPOE</w:t>
      </w:r>
      <w:r>
        <w:rPr>
          <w:rFonts w:ascii="Palatino Linotype" w:hAnsi="Palatino Linotype"/>
        </w:rPr>
        <w:t>)</w:t>
      </w:r>
      <w:r w:rsidRPr="00A10B52">
        <w:rPr>
          <w:rFonts w:ascii="Palatino Linotype" w:hAnsi="Palatino Linotype"/>
        </w:rPr>
        <w:t xml:space="preserve">. </w:t>
      </w:r>
    </w:p>
    <w:p w:rsidRPr="005E0F34" w:rsidR="000D7072" w:rsidP="00DA2E3D" w:rsidRDefault="000D7072" w14:paraId="31819364" w14:textId="77777777">
      <w:pPr>
        <w:pStyle w:val="Default"/>
        <w:ind w:left="720"/>
        <w:rPr>
          <w:rFonts w:ascii="Palatino Linotype" w:hAnsi="Palatino Linotype"/>
          <w:color w:val="000000" w:themeColor="text1"/>
        </w:rPr>
      </w:pPr>
    </w:p>
    <w:p w:rsidRPr="000571D5" w:rsidR="000D7072" w:rsidP="00996A8F" w:rsidRDefault="000D7072" w14:paraId="53003320" w14:textId="77777777">
      <w:pPr>
        <w:tabs>
          <w:tab w:val="right" w:pos="10080"/>
        </w:tabs>
        <w:rPr>
          <w:b/>
          <w:color w:val="000000" w:themeColor="text1"/>
        </w:rPr>
      </w:pPr>
      <w:bookmarkStart w:name="_Toc444857025" w:id="3"/>
      <w:r w:rsidRPr="000571D5">
        <w:rPr>
          <w:b/>
          <w:color w:val="000000" w:themeColor="text1"/>
        </w:rPr>
        <w:t>III.     APPLICANT</w:t>
      </w:r>
      <w:r>
        <w:rPr>
          <w:b/>
          <w:color w:val="000000" w:themeColor="text1"/>
        </w:rPr>
        <w:t>S’</w:t>
      </w:r>
      <w:bookmarkEnd w:id="3"/>
      <w:r>
        <w:rPr>
          <w:b/>
          <w:color w:val="000000" w:themeColor="text1"/>
        </w:rPr>
        <w:t xml:space="preserve"> REQUEST</w:t>
      </w:r>
    </w:p>
    <w:p w:rsidR="000D7072" w:rsidP="00996A8F" w:rsidRDefault="000D7072" w14:paraId="49B63D9F" w14:textId="77777777">
      <w:pPr>
        <w:pStyle w:val="Default"/>
        <w:rPr>
          <w:rFonts w:ascii="Palatino Linotype" w:hAnsi="Palatino Linotype"/>
          <w:color w:val="000000" w:themeColor="text1"/>
        </w:rPr>
      </w:pPr>
    </w:p>
    <w:p w:rsidR="000D7072" w:rsidP="00CD03D8" w:rsidRDefault="000D7072" w14:paraId="6F66E549" w14:textId="77777777">
      <w:pPr>
        <w:pStyle w:val="Default"/>
        <w:jc w:val="both"/>
        <w:rPr>
          <w:rFonts w:ascii="Palatino Linotype" w:hAnsi="Palatino Linotype" w:cs="Palatino Linotype"/>
        </w:rPr>
      </w:pPr>
      <w:r w:rsidRPr="00FB7D20">
        <w:rPr>
          <w:rFonts w:ascii="Palatino Linotype" w:hAnsi="Palatino Linotype" w:cs="Palatino Linotype"/>
        </w:rPr>
        <w:t xml:space="preserve">On </w:t>
      </w:r>
      <w:r>
        <w:rPr>
          <w:rFonts w:ascii="Palatino Linotype" w:hAnsi="Palatino Linotype" w:cs="Palatino Linotype"/>
        </w:rPr>
        <w:t>January</w:t>
      </w:r>
      <w:r w:rsidRPr="00FB7D20">
        <w:rPr>
          <w:rFonts w:ascii="Palatino Linotype" w:hAnsi="Palatino Linotype" w:cs="Palatino Linotype"/>
        </w:rPr>
        <w:t xml:space="preserve"> 1, 20</w:t>
      </w:r>
      <w:r>
        <w:rPr>
          <w:rFonts w:ascii="Palatino Linotype" w:hAnsi="Palatino Linotype" w:cs="Palatino Linotype"/>
        </w:rPr>
        <w:t>23</w:t>
      </w:r>
      <w:r w:rsidRPr="00FB7D20">
        <w:rPr>
          <w:rFonts w:ascii="Palatino Linotype" w:hAnsi="Palatino Linotype" w:cs="Palatino Linotype"/>
        </w:rPr>
        <w:t xml:space="preserve">, </w:t>
      </w:r>
      <w:r w:rsidRPr="0014733A">
        <w:rPr>
          <w:rFonts w:ascii="Palatino Linotype" w:hAnsi="Palatino Linotype" w:cs="Palatino Linotype"/>
        </w:rPr>
        <w:t>Community Housing Improvement Systems and Planning Association (CHISPA</w:t>
      </w:r>
      <w:r>
        <w:rPr>
          <w:rFonts w:ascii="Palatino Linotype" w:hAnsi="Palatino Linotype" w:cs="Palatino Linotype"/>
        </w:rPr>
        <w:t>) (1 project), Eden Housing (1 project), Resources for Community Development (RCD Housing) (6 projects), Self Help Enterprises (SHE) (5 projects), and Shelter Inc. (1 project) submitted applications for CASF BPHA funding.  All 14 projects exceed the cost per unit benchmark established in the ministerial review criteria in D.22-05-029 and are therefore ineligible for ministerial review. This Resolution addresses all 14 projects from these five</w:t>
      </w:r>
      <w:r w:rsidRPr="00B14A2A">
        <w:rPr>
          <w:rFonts w:ascii="Palatino Linotype" w:hAnsi="Palatino Linotype" w:cs="Palatino Linotype"/>
        </w:rPr>
        <w:t xml:space="preserve"> applicants</w:t>
      </w:r>
      <w:r>
        <w:rPr>
          <w:rFonts w:ascii="Palatino Linotype" w:hAnsi="Palatino Linotype" w:cs="Palatino Linotype"/>
        </w:rPr>
        <w:t xml:space="preserve">. </w:t>
      </w:r>
    </w:p>
    <w:p w:rsidRPr="00213F91" w:rsidR="000D7072" w:rsidP="00CD03D8" w:rsidRDefault="000D7072" w14:paraId="46D1D082" w14:textId="77777777">
      <w:pPr>
        <w:pStyle w:val="Default"/>
        <w:jc w:val="both"/>
        <w:rPr>
          <w:rFonts w:ascii="Palatino Linotype" w:hAnsi="Palatino Linotype" w:cs="Palatino Linotype"/>
        </w:rPr>
      </w:pPr>
    </w:p>
    <w:p w:rsidR="000D7072" w:rsidP="00CD03D8" w:rsidRDefault="000D7072" w14:paraId="7A38E417" w14:textId="77777777">
      <w:pPr>
        <w:pStyle w:val="Default"/>
        <w:jc w:val="both"/>
        <w:rPr>
          <w:rFonts w:ascii="Palatino Linotype" w:hAnsi="Palatino Linotype"/>
          <w:color w:val="000000" w:themeColor="text1"/>
        </w:rPr>
      </w:pPr>
      <w:r w:rsidRPr="008D4C86">
        <w:rPr>
          <w:rFonts w:ascii="Palatino Linotype" w:hAnsi="Palatino Linotype"/>
          <w:i/>
          <w:color w:val="000000" w:themeColor="text1"/>
        </w:rPr>
        <w:t>Applicants:</w:t>
      </w:r>
      <w:r>
        <w:rPr>
          <w:rFonts w:ascii="Palatino Linotype" w:hAnsi="Palatino Linotype"/>
          <w:color w:val="000000" w:themeColor="text1"/>
        </w:rPr>
        <w:t xml:space="preserve">  All five applicants are eligible applicants as defined in </w:t>
      </w:r>
      <w:r w:rsidRPr="00580C22">
        <w:rPr>
          <w:rFonts w:ascii="Palatino Linotype" w:hAnsi="Palatino Linotype"/>
          <w:color w:val="000000" w:themeColor="text1"/>
        </w:rPr>
        <w:t>D</w:t>
      </w:r>
      <w:r w:rsidRPr="00580C22">
        <w:rPr>
          <w:rFonts w:ascii="Palatino Linotype" w:hAnsi="Palatino Linotype" w:cs="Palatino Linotype"/>
          <w:color w:val="000000" w:themeColor="text1"/>
        </w:rPr>
        <w:t>.22-05-029</w:t>
      </w:r>
      <w:r w:rsidRPr="00580C22">
        <w:rPr>
          <w:rFonts w:ascii="Palatino Linotype" w:hAnsi="Palatino Linotype"/>
          <w:color w:val="000000" w:themeColor="text1"/>
        </w:rPr>
        <w:t>.</w:t>
      </w:r>
      <w:r w:rsidRPr="00580C22">
        <w:rPr>
          <w:rStyle w:val="FootnoteReference"/>
          <w:rFonts w:ascii="Palatino Linotype" w:hAnsi="Palatino Linotype"/>
          <w:color w:val="000000" w:themeColor="text1"/>
        </w:rPr>
        <w:footnoteReference w:id="4"/>
      </w:r>
      <w:r>
        <w:rPr>
          <w:rFonts w:ascii="Palatino Linotype" w:hAnsi="Palatino Linotype"/>
          <w:color w:val="000000" w:themeColor="text1"/>
        </w:rPr>
        <w:t xml:space="preserve">  </w:t>
      </w:r>
    </w:p>
    <w:p w:rsidR="000D7072" w:rsidP="00CD03D8" w:rsidRDefault="000D7072" w14:paraId="73933087" w14:textId="77777777">
      <w:pPr>
        <w:pStyle w:val="Default"/>
        <w:jc w:val="both"/>
        <w:rPr>
          <w:rFonts w:ascii="Palatino Linotype" w:hAnsi="Palatino Linotype"/>
          <w:color w:val="000000" w:themeColor="text1"/>
        </w:rPr>
      </w:pPr>
    </w:p>
    <w:p w:rsidR="000D7072" w:rsidP="00CD03D8" w:rsidRDefault="000D7072" w14:paraId="70B993B7" w14:textId="77777777">
      <w:pPr>
        <w:pStyle w:val="Default"/>
        <w:jc w:val="both"/>
        <w:rPr>
          <w:rFonts w:ascii="Palatino Linotype" w:hAnsi="Palatino Linotype"/>
          <w:color w:val="000000" w:themeColor="text1"/>
        </w:rPr>
      </w:pPr>
      <w:r>
        <w:rPr>
          <w:rFonts w:ascii="Palatino Linotype" w:hAnsi="Palatino Linotype"/>
          <w:color w:val="000000" w:themeColor="text1"/>
        </w:rPr>
        <w:t xml:space="preserve">CHISPA has been approved by the Internal Revenue Service (IRS) as a 501(c)(3) nonprofit organization for providing affordable housing since 1980.  CHISPA </w:t>
      </w:r>
      <w:r w:rsidRPr="004C2A2B">
        <w:rPr>
          <w:rFonts w:ascii="Palatino Linotype" w:hAnsi="Palatino Linotype"/>
          <w:color w:val="000000" w:themeColor="text1"/>
        </w:rPr>
        <w:t>is the largest private, nonprofit housing developer based in Monterey County.</w:t>
      </w:r>
      <w:r>
        <w:rPr>
          <w:rFonts w:ascii="Palatino Linotype" w:hAnsi="Palatino Linotype"/>
          <w:color w:val="000000" w:themeColor="text1"/>
        </w:rPr>
        <w:t xml:space="preserve">  </w:t>
      </w:r>
      <w:r w:rsidRPr="004C2A2B">
        <w:rPr>
          <w:rFonts w:ascii="Palatino Linotype" w:hAnsi="Palatino Linotype"/>
          <w:color w:val="000000" w:themeColor="text1"/>
        </w:rPr>
        <w:t>CHISPA has built and renovated 2,447 single-family homes and apartments for low and moderate-income people in Monterey, San Benito, and Santa Cruz Counties.</w:t>
      </w:r>
    </w:p>
    <w:p w:rsidRPr="004C2A2B" w:rsidR="000D7072" w:rsidP="004C2A2B" w:rsidRDefault="000D7072" w14:paraId="1A64CA3F" w14:textId="77777777">
      <w:pPr>
        <w:pStyle w:val="Default"/>
        <w:rPr>
          <w:rFonts w:ascii="Palatino Linotype" w:hAnsi="Palatino Linotype"/>
          <w:color w:val="000000" w:themeColor="text1"/>
        </w:rPr>
      </w:pPr>
    </w:p>
    <w:p w:rsidR="000D7072" w:rsidP="00CD03D8" w:rsidRDefault="000D7072" w14:paraId="1332B5ED" w14:textId="057379A4">
      <w:pPr>
        <w:pStyle w:val="Default"/>
        <w:jc w:val="both"/>
        <w:rPr>
          <w:rFonts w:ascii="Palatino Linotype" w:hAnsi="Palatino Linotype"/>
          <w:color w:val="000000" w:themeColor="text1"/>
        </w:rPr>
      </w:pPr>
      <w:r w:rsidRPr="004C2A2B">
        <w:rPr>
          <w:rFonts w:ascii="Palatino Linotype" w:hAnsi="Palatino Linotype"/>
          <w:color w:val="000000" w:themeColor="text1"/>
        </w:rPr>
        <w:t xml:space="preserve">Eden </w:t>
      </w:r>
      <w:r>
        <w:rPr>
          <w:rFonts w:ascii="Palatino Linotype" w:hAnsi="Palatino Linotype"/>
          <w:color w:val="000000" w:themeColor="text1"/>
        </w:rPr>
        <w:t xml:space="preserve">Housing </w:t>
      </w:r>
      <w:r w:rsidRPr="004C2A2B">
        <w:rPr>
          <w:rFonts w:ascii="Palatino Linotype" w:hAnsi="Palatino Linotype"/>
          <w:color w:val="000000" w:themeColor="text1"/>
        </w:rPr>
        <w:t>has been approved by the IRS as a 501(c)(3) nonprofit organization for providing</w:t>
      </w:r>
      <w:r>
        <w:rPr>
          <w:rFonts w:ascii="Palatino Linotype" w:hAnsi="Palatino Linotype"/>
          <w:color w:val="000000" w:themeColor="text1"/>
        </w:rPr>
        <w:t xml:space="preserve"> </w:t>
      </w:r>
      <w:r w:rsidRPr="004C2A2B">
        <w:rPr>
          <w:rFonts w:ascii="Palatino Linotype" w:hAnsi="Palatino Linotype"/>
          <w:color w:val="000000" w:themeColor="text1"/>
        </w:rPr>
        <w:t xml:space="preserve">affordable housing since 1968. </w:t>
      </w:r>
      <w:r>
        <w:rPr>
          <w:rFonts w:ascii="Palatino Linotype" w:hAnsi="Palatino Linotype"/>
          <w:color w:val="000000" w:themeColor="text1"/>
        </w:rPr>
        <w:t>Eden Housing currently serves</w:t>
      </w:r>
      <w:r w:rsidRPr="00D34388">
        <w:rPr>
          <w:rFonts w:ascii="Palatino Linotype" w:hAnsi="Palatino Linotype"/>
          <w:color w:val="000000" w:themeColor="text1"/>
        </w:rPr>
        <w:t xml:space="preserve"> a diverse population of 22,000 low-income residents from all cultures and backgrounds</w:t>
      </w:r>
      <w:r>
        <w:rPr>
          <w:rFonts w:ascii="Palatino Linotype" w:hAnsi="Palatino Linotype"/>
          <w:color w:val="000000" w:themeColor="text1"/>
        </w:rPr>
        <w:t xml:space="preserve"> including </w:t>
      </w:r>
      <w:r w:rsidRPr="00D34388">
        <w:rPr>
          <w:rFonts w:ascii="Palatino Linotype" w:hAnsi="Palatino Linotype"/>
          <w:color w:val="000000" w:themeColor="text1"/>
        </w:rPr>
        <w:t>very low, low and moderate-income families, seniors, veterans, people living with physical, mental, or developmental disabilities, and the formerly homeless.</w:t>
      </w:r>
    </w:p>
    <w:p w:rsidR="000D7072" w:rsidP="00CD03D8" w:rsidRDefault="000D7072" w14:paraId="1B7A065D" w14:textId="77777777">
      <w:pPr>
        <w:pStyle w:val="Default"/>
        <w:jc w:val="both"/>
        <w:rPr>
          <w:rFonts w:ascii="Palatino Linotype" w:hAnsi="Palatino Linotype"/>
          <w:color w:val="000000" w:themeColor="text1"/>
        </w:rPr>
      </w:pPr>
      <w:r>
        <w:rPr>
          <w:rFonts w:ascii="Palatino Linotype" w:hAnsi="Palatino Linotype"/>
          <w:color w:val="000000" w:themeColor="text1"/>
        </w:rPr>
        <w:lastRenderedPageBreak/>
        <w:t xml:space="preserve">RCD Housing has been approved by the IRS as a </w:t>
      </w:r>
      <w:r w:rsidRPr="00D34388">
        <w:rPr>
          <w:rFonts w:ascii="Palatino Linotype" w:hAnsi="Palatino Linotype"/>
          <w:color w:val="000000" w:themeColor="text1"/>
        </w:rPr>
        <w:t>501(c)(3) nonprofit organization for providing</w:t>
      </w:r>
      <w:r>
        <w:rPr>
          <w:rFonts w:ascii="Palatino Linotype" w:hAnsi="Palatino Linotype"/>
          <w:color w:val="000000" w:themeColor="text1"/>
        </w:rPr>
        <w:t xml:space="preserve"> </w:t>
      </w:r>
      <w:r w:rsidRPr="00D34388">
        <w:rPr>
          <w:rFonts w:ascii="Palatino Linotype" w:hAnsi="Palatino Linotype"/>
          <w:color w:val="000000" w:themeColor="text1"/>
        </w:rPr>
        <w:t xml:space="preserve">affordable housing since </w:t>
      </w:r>
      <w:r w:rsidRPr="00E27001">
        <w:rPr>
          <w:rFonts w:ascii="Palatino Linotype" w:hAnsi="Palatino Linotype"/>
          <w:color w:val="000000" w:themeColor="text1"/>
        </w:rPr>
        <w:t>1984</w:t>
      </w:r>
      <w:r>
        <w:rPr>
          <w:rFonts w:ascii="Palatino Linotype" w:hAnsi="Palatino Linotype"/>
          <w:color w:val="000000" w:themeColor="text1"/>
        </w:rPr>
        <w:t xml:space="preserve">. RCD Housing </w:t>
      </w:r>
      <w:r w:rsidRPr="00E27001">
        <w:rPr>
          <w:rFonts w:ascii="Palatino Linotype" w:hAnsi="Palatino Linotype"/>
          <w:color w:val="000000" w:themeColor="text1"/>
        </w:rPr>
        <w:t>has developed or preserved over 65 communities that provide affordable, high-quality, and service-enriched rental housing to over 2,200 low-income households throughout the Bay Area</w:t>
      </w:r>
    </w:p>
    <w:p w:rsidR="000D7072" w:rsidP="00CD03D8" w:rsidRDefault="000D7072" w14:paraId="3352D948" w14:textId="77777777">
      <w:pPr>
        <w:pStyle w:val="Default"/>
        <w:jc w:val="both"/>
        <w:rPr>
          <w:rFonts w:ascii="Palatino Linotype" w:hAnsi="Palatino Linotype"/>
          <w:color w:val="000000" w:themeColor="text1"/>
        </w:rPr>
      </w:pPr>
    </w:p>
    <w:p w:rsidR="000D7072" w:rsidP="00CD03D8" w:rsidRDefault="000D7072" w14:paraId="0C665B2D" w14:textId="77777777">
      <w:pPr>
        <w:pStyle w:val="Default"/>
        <w:jc w:val="both"/>
        <w:rPr>
          <w:rFonts w:ascii="Palatino Linotype" w:hAnsi="Palatino Linotype"/>
          <w:color w:val="000000" w:themeColor="text1"/>
        </w:rPr>
      </w:pPr>
      <w:r>
        <w:rPr>
          <w:rFonts w:ascii="Palatino Linotype" w:hAnsi="Palatino Linotype"/>
          <w:color w:val="000000" w:themeColor="text1"/>
        </w:rPr>
        <w:t xml:space="preserve">SHE </w:t>
      </w:r>
      <w:r w:rsidRPr="00E9666F">
        <w:rPr>
          <w:rFonts w:ascii="Palatino Linotype" w:hAnsi="Palatino Linotype"/>
          <w:color w:val="000000" w:themeColor="text1"/>
        </w:rPr>
        <w:t xml:space="preserve">has been approved by the IRS as a 501(c)(3) nonprofit organization for providing </w:t>
      </w:r>
      <w:r>
        <w:rPr>
          <w:rFonts w:ascii="Palatino Linotype" w:hAnsi="Palatino Linotype"/>
          <w:color w:val="000000" w:themeColor="text1"/>
        </w:rPr>
        <w:t>affordable housing since 1965.  SHE</w:t>
      </w:r>
      <w:r w:rsidRPr="0012689F">
        <w:rPr>
          <w:rFonts w:ascii="Palatino Linotype" w:hAnsi="Palatino Linotype"/>
          <w:color w:val="000000" w:themeColor="text1"/>
        </w:rPr>
        <w:t xml:space="preserve"> is a nationally recognized community development organization whose mission is to work together with low-income families to build and sustain healthy homes and communities. </w:t>
      </w:r>
      <w:r>
        <w:rPr>
          <w:rFonts w:ascii="Palatino Linotype" w:hAnsi="Palatino Linotype"/>
          <w:color w:val="000000" w:themeColor="text1"/>
        </w:rPr>
        <w:t xml:space="preserve"> </w:t>
      </w:r>
      <w:r w:rsidRPr="0012689F">
        <w:rPr>
          <w:rFonts w:ascii="Palatino Linotype" w:hAnsi="Palatino Linotype"/>
          <w:color w:val="000000" w:themeColor="text1"/>
        </w:rPr>
        <w:t xml:space="preserve">Since 1965, Self-Help Enterprises’ efforts </w:t>
      </w:r>
      <w:r>
        <w:rPr>
          <w:rFonts w:ascii="Palatino Linotype" w:hAnsi="Palatino Linotype"/>
          <w:color w:val="000000" w:themeColor="text1"/>
        </w:rPr>
        <w:t xml:space="preserve">have affected </w:t>
      </w:r>
      <w:r w:rsidRPr="0012689F">
        <w:rPr>
          <w:rFonts w:ascii="Palatino Linotype" w:hAnsi="Palatino Linotype"/>
          <w:color w:val="000000" w:themeColor="text1"/>
        </w:rPr>
        <w:t>over 55,000 families.</w:t>
      </w:r>
    </w:p>
    <w:p w:rsidR="000D7072" w:rsidP="00CD03D8" w:rsidRDefault="000D7072" w14:paraId="4DC493C8" w14:textId="77777777">
      <w:pPr>
        <w:pStyle w:val="Default"/>
        <w:jc w:val="both"/>
        <w:rPr>
          <w:rFonts w:ascii="Palatino Linotype" w:hAnsi="Palatino Linotype"/>
          <w:color w:val="000000" w:themeColor="text1"/>
        </w:rPr>
      </w:pPr>
    </w:p>
    <w:p w:rsidRPr="0002675B" w:rsidR="000D7072" w:rsidP="00CD03D8" w:rsidRDefault="000D7072" w14:paraId="09662F9C" w14:textId="77777777">
      <w:pPr>
        <w:pStyle w:val="Default"/>
        <w:jc w:val="both"/>
        <w:rPr>
          <w:rFonts w:ascii="Palatino Linotype" w:hAnsi="Palatino Linotype"/>
          <w:color w:val="000000" w:themeColor="text1"/>
        </w:rPr>
      </w:pPr>
      <w:r>
        <w:rPr>
          <w:rFonts w:ascii="Palatino Linotype" w:hAnsi="Palatino Linotype"/>
          <w:color w:val="000000" w:themeColor="text1"/>
        </w:rPr>
        <w:t xml:space="preserve">Shelter Inc. has been approved by the IRS as </w:t>
      </w:r>
      <w:r w:rsidRPr="00E27001">
        <w:rPr>
          <w:rFonts w:ascii="Palatino Linotype" w:hAnsi="Palatino Linotype"/>
          <w:color w:val="000000" w:themeColor="text1"/>
        </w:rPr>
        <w:t>501(c)(3)</w:t>
      </w:r>
      <w:r>
        <w:rPr>
          <w:rFonts w:ascii="Palatino Linotype" w:hAnsi="Palatino Linotype"/>
          <w:color w:val="000000" w:themeColor="text1"/>
        </w:rPr>
        <w:t xml:space="preserve"> nonprofit</w:t>
      </w:r>
      <w:r w:rsidRPr="00E27001">
        <w:rPr>
          <w:rFonts w:ascii="Palatino Linotype" w:hAnsi="Palatino Linotype"/>
          <w:color w:val="000000" w:themeColor="text1"/>
        </w:rPr>
        <w:t xml:space="preserve"> organization</w:t>
      </w:r>
      <w:r>
        <w:rPr>
          <w:rFonts w:ascii="Palatino Linotype" w:hAnsi="Palatino Linotype"/>
          <w:color w:val="000000" w:themeColor="text1"/>
        </w:rPr>
        <w:t xml:space="preserve"> for providing affordable housing since</w:t>
      </w:r>
      <w:r w:rsidRPr="00E27001">
        <w:rPr>
          <w:rFonts w:ascii="Palatino Linotype" w:hAnsi="Palatino Linotype"/>
          <w:color w:val="000000" w:themeColor="text1"/>
        </w:rPr>
        <w:t xml:space="preserve"> 1986</w:t>
      </w:r>
      <w:r>
        <w:rPr>
          <w:rFonts w:ascii="Palatino Linotype" w:hAnsi="Palatino Linotype"/>
          <w:color w:val="000000" w:themeColor="text1"/>
        </w:rPr>
        <w:t>.  Shelter Inc. works</w:t>
      </w:r>
      <w:r w:rsidRPr="00E27001">
        <w:rPr>
          <w:rFonts w:ascii="Palatino Linotype" w:hAnsi="Palatino Linotype"/>
          <w:color w:val="000000" w:themeColor="text1"/>
        </w:rPr>
        <w:t xml:space="preserve"> to prevent and end homelessness for low-income residents by providing resources that lead to self-sufficiency.</w:t>
      </w:r>
      <w:r w:rsidRPr="0002675B">
        <w:rPr>
          <w:rFonts w:ascii="Palatino Linotype" w:hAnsi="Palatino Linotype"/>
          <w:color w:val="000000" w:themeColor="text1"/>
        </w:rPr>
        <w:t xml:space="preserve"> </w:t>
      </w:r>
    </w:p>
    <w:p w:rsidR="000D7072" w:rsidP="00996A8F" w:rsidRDefault="000D7072" w14:paraId="303D1FE2" w14:textId="77777777">
      <w:pPr>
        <w:pStyle w:val="Default"/>
        <w:rPr>
          <w:rFonts w:ascii="Palatino Linotype" w:hAnsi="Palatino Linotype"/>
          <w:color w:val="000000" w:themeColor="text1"/>
        </w:rPr>
      </w:pPr>
    </w:p>
    <w:p w:rsidR="000D7072" w:rsidP="0000745E" w:rsidRDefault="000D7072" w14:paraId="33FCDB06" w14:textId="77777777">
      <w:pPr>
        <w:pStyle w:val="Default"/>
        <w:rPr>
          <w:rFonts w:ascii="Palatino Linotype" w:hAnsi="Palatino Linotype"/>
          <w:color w:val="000000" w:themeColor="text1"/>
        </w:rPr>
      </w:pPr>
      <w:r w:rsidRPr="0000745E">
        <w:rPr>
          <w:rFonts w:ascii="Palatino Linotype" w:hAnsi="Palatino Linotype"/>
          <w:i/>
          <w:iCs/>
          <w:color w:val="000000" w:themeColor="text1"/>
        </w:rPr>
        <w:t>Projects:</w:t>
      </w:r>
      <w:r>
        <w:rPr>
          <w:rFonts w:ascii="Palatino Linotype" w:hAnsi="Palatino Linotype"/>
          <w:color w:val="000000" w:themeColor="text1"/>
        </w:rPr>
        <w:t xml:space="preserve"> </w:t>
      </w:r>
    </w:p>
    <w:p w:rsidRPr="0000745E" w:rsidR="000D7072" w:rsidP="0000745E" w:rsidRDefault="000D7072" w14:paraId="066B3852" w14:textId="77777777">
      <w:pPr>
        <w:pStyle w:val="Default"/>
        <w:rPr>
          <w:rFonts w:ascii="Palatino Linotype" w:hAnsi="Palatino Linotype"/>
          <w:color w:val="000000" w:themeColor="text1"/>
        </w:rPr>
      </w:pPr>
      <w:r w:rsidRPr="0000745E">
        <w:rPr>
          <w:rFonts w:ascii="Palatino Linotype" w:hAnsi="Palatino Linotype"/>
          <w:color w:val="000000" w:themeColor="text1"/>
        </w:rPr>
        <w:t xml:space="preserve">  </w:t>
      </w:r>
    </w:p>
    <w:p w:rsidRPr="00770746" w:rsidR="000D7072" w:rsidP="00CD03D8" w:rsidRDefault="000D7072" w14:paraId="5A5C4BAC" w14:textId="77777777">
      <w:pPr>
        <w:pStyle w:val="Default"/>
        <w:jc w:val="both"/>
        <w:rPr>
          <w:rFonts w:ascii="Palatino Linotype" w:hAnsi="Palatino Linotype"/>
          <w:color w:val="auto"/>
        </w:rPr>
      </w:pPr>
      <w:r w:rsidRPr="00770746">
        <w:rPr>
          <w:rFonts w:ascii="Palatino Linotype" w:hAnsi="Palatino Linotype"/>
          <w:color w:val="auto"/>
        </w:rPr>
        <w:t xml:space="preserve">CHISPA, </w:t>
      </w:r>
      <w:r>
        <w:rPr>
          <w:rFonts w:ascii="Palatino Linotype" w:hAnsi="Palatino Linotype"/>
          <w:color w:val="auto"/>
        </w:rPr>
        <w:t>Eden Housing</w:t>
      </w:r>
      <w:r w:rsidRPr="00770746">
        <w:rPr>
          <w:rFonts w:ascii="Palatino Linotype" w:hAnsi="Palatino Linotype"/>
          <w:color w:val="auto"/>
        </w:rPr>
        <w:t xml:space="preserve">, RCD Housing (Sango Court project only), SHE (Woodlake Townhomes, Mt. Whitney Place, Dinuba Manor, Valley Oaks, </w:t>
      </w:r>
      <w:r>
        <w:rPr>
          <w:rFonts w:ascii="Palatino Linotype" w:hAnsi="Palatino Linotype"/>
          <w:color w:val="auto"/>
        </w:rPr>
        <w:t xml:space="preserve">and </w:t>
      </w:r>
      <w:r w:rsidRPr="00770746">
        <w:rPr>
          <w:rFonts w:ascii="Palatino Linotype" w:hAnsi="Palatino Linotype"/>
          <w:color w:val="auto"/>
        </w:rPr>
        <w:t xml:space="preserve">The Haven projects) </w:t>
      </w:r>
      <w:r>
        <w:rPr>
          <w:rFonts w:ascii="Palatino Linotype" w:hAnsi="Palatino Linotype"/>
          <w:color w:val="auto"/>
        </w:rPr>
        <w:t xml:space="preserve">and Shelter Inc. </w:t>
      </w:r>
      <w:r w:rsidRPr="00770746">
        <w:rPr>
          <w:rFonts w:ascii="Palatino Linotype" w:hAnsi="Palatino Linotype"/>
          <w:color w:val="auto"/>
        </w:rPr>
        <w:t>request funding for the installation of a wireless 2.4GHz and 5GHz WiFi 802.11ac Wave 2 and 802.11ax network architecture utilizing Cambium, Cisco and Ruckus WiFi access points, switches, and bridges to provide wireless broadband coverage to each residential unit.</w:t>
      </w:r>
    </w:p>
    <w:p w:rsidRPr="00770746" w:rsidR="000D7072" w:rsidP="00CD03D8" w:rsidRDefault="000D7072" w14:paraId="21CFF3EE" w14:textId="77777777">
      <w:pPr>
        <w:pStyle w:val="Default"/>
        <w:jc w:val="both"/>
        <w:rPr>
          <w:rFonts w:ascii="Palatino Linotype" w:hAnsi="Palatino Linotype"/>
          <w:color w:val="auto"/>
        </w:rPr>
      </w:pPr>
    </w:p>
    <w:p w:rsidRPr="00770746" w:rsidR="000D7072" w:rsidP="00CD03D8" w:rsidRDefault="000D7072" w14:paraId="41CDC143" w14:textId="77777777">
      <w:pPr>
        <w:pStyle w:val="Default"/>
        <w:jc w:val="both"/>
        <w:rPr>
          <w:rFonts w:ascii="Palatino Linotype" w:hAnsi="Palatino Linotype"/>
          <w:color w:val="auto"/>
        </w:rPr>
      </w:pPr>
      <w:r w:rsidRPr="00770746">
        <w:rPr>
          <w:rFonts w:ascii="Palatino Linotype" w:hAnsi="Palatino Linotype"/>
          <w:color w:val="auto"/>
        </w:rPr>
        <w:t xml:space="preserve">According to CHISPA, </w:t>
      </w:r>
      <w:r>
        <w:rPr>
          <w:rFonts w:ascii="Palatino Linotype" w:hAnsi="Palatino Linotype"/>
          <w:color w:val="auto"/>
        </w:rPr>
        <w:t>Eden Housing</w:t>
      </w:r>
      <w:r w:rsidRPr="00770746">
        <w:rPr>
          <w:rFonts w:ascii="Palatino Linotype" w:hAnsi="Palatino Linotype"/>
          <w:color w:val="auto"/>
        </w:rPr>
        <w:t xml:space="preserve">, RCD Housing SHE, </w:t>
      </w:r>
      <w:r>
        <w:rPr>
          <w:rFonts w:ascii="Palatino Linotype" w:hAnsi="Palatino Linotype"/>
          <w:color w:val="auto"/>
        </w:rPr>
        <w:t xml:space="preserve">and Shelter Inc., </w:t>
      </w:r>
      <w:r w:rsidRPr="00770746">
        <w:rPr>
          <w:rFonts w:ascii="Palatino Linotype" w:hAnsi="Palatino Linotype"/>
          <w:color w:val="auto"/>
        </w:rPr>
        <w:t>these installations will be able to provide a minimum download speed of 25 Mbps during peak use hours.</w:t>
      </w:r>
    </w:p>
    <w:p w:rsidRPr="00770746" w:rsidR="000D7072" w:rsidP="00CD03D8" w:rsidRDefault="000D7072" w14:paraId="0D7BEBFA" w14:textId="77777777">
      <w:pPr>
        <w:pStyle w:val="Default"/>
        <w:jc w:val="both"/>
        <w:rPr>
          <w:rFonts w:ascii="Palatino Linotype" w:hAnsi="Palatino Linotype"/>
          <w:color w:val="auto"/>
        </w:rPr>
      </w:pPr>
    </w:p>
    <w:p w:rsidRPr="00770746" w:rsidR="000D7072" w:rsidP="00CD03D8" w:rsidRDefault="000D7072" w14:paraId="661897FB" w14:textId="77777777">
      <w:pPr>
        <w:pStyle w:val="Default"/>
        <w:jc w:val="both"/>
        <w:rPr>
          <w:rFonts w:ascii="Palatino Linotype" w:hAnsi="Palatino Linotype"/>
          <w:color w:val="auto"/>
        </w:rPr>
      </w:pPr>
      <w:r w:rsidRPr="00770746">
        <w:rPr>
          <w:rFonts w:ascii="Palatino Linotype" w:hAnsi="Palatino Linotype"/>
          <w:color w:val="auto"/>
        </w:rPr>
        <w:t xml:space="preserve">RCD Housing (Coliseum Place, Maudelle Miller Shirek, Madrone Terrace, Rick Judd Commons, Bell Gardens, projects only) request funding for </w:t>
      </w:r>
      <w:r>
        <w:rPr>
          <w:rFonts w:ascii="Palatino Linotype" w:hAnsi="Palatino Linotype"/>
          <w:color w:val="auto"/>
        </w:rPr>
        <w:t xml:space="preserve">the </w:t>
      </w:r>
      <w:r w:rsidRPr="00770746">
        <w:rPr>
          <w:rFonts w:ascii="Palatino Linotype" w:hAnsi="Palatino Linotype"/>
          <w:color w:val="auto"/>
        </w:rPr>
        <w:t>installation of a combined wireless and wired network architecture utilizing 802.11ac wave 2 and 802.11ax WiFi wireless routers that are connected to distributed wired switched ethernet networks using inside copper wiring to deploy broadband service each residential unit.</w:t>
      </w:r>
    </w:p>
    <w:p w:rsidRPr="00770746" w:rsidR="000D7072" w:rsidP="0000745E" w:rsidRDefault="000D7072" w14:paraId="588B60EF" w14:textId="77777777">
      <w:pPr>
        <w:pStyle w:val="Default"/>
        <w:rPr>
          <w:rFonts w:ascii="Palatino Linotype" w:hAnsi="Palatino Linotype"/>
          <w:color w:val="auto"/>
        </w:rPr>
      </w:pPr>
    </w:p>
    <w:p w:rsidRPr="00770746" w:rsidR="000D7072" w:rsidP="00CD03D8" w:rsidRDefault="000D7072" w14:paraId="7612881D" w14:textId="77777777">
      <w:pPr>
        <w:pStyle w:val="Default"/>
        <w:jc w:val="both"/>
        <w:rPr>
          <w:rFonts w:ascii="Palatino Linotype" w:hAnsi="Palatino Linotype"/>
          <w:color w:val="auto"/>
        </w:rPr>
      </w:pPr>
      <w:r w:rsidRPr="00770746">
        <w:rPr>
          <w:rFonts w:ascii="Palatino Linotype" w:hAnsi="Palatino Linotype"/>
          <w:color w:val="auto"/>
        </w:rPr>
        <w:t>According to RCD Housing, this installation will be able to provide a minimum download speed of 25 Mbps during peak use hours.</w:t>
      </w:r>
    </w:p>
    <w:p w:rsidRPr="00770746" w:rsidR="000D7072" w:rsidP="00CD03D8" w:rsidRDefault="000D7072" w14:paraId="3FFCB1D4" w14:textId="77777777">
      <w:pPr>
        <w:pStyle w:val="Default"/>
        <w:jc w:val="both"/>
        <w:rPr>
          <w:rFonts w:ascii="Palatino Linotype" w:hAnsi="Palatino Linotype"/>
          <w:color w:val="auto"/>
        </w:rPr>
      </w:pPr>
    </w:p>
    <w:p w:rsidRPr="00770746" w:rsidR="000D7072" w:rsidP="00CD03D8" w:rsidRDefault="000D7072" w14:paraId="5C3EDE11" w14:textId="77777777">
      <w:pPr>
        <w:pStyle w:val="Default"/>
        <w:jc w:val="both"/>
        <w:rPr>
          <w:rFonts w:ascii="Palatino Linotype" w:hAnsi="Palatino Linotype"/>
          <w:color w:val="auto"/>
        </w:rPr>
      </w:pPr>
      <w:r w:rsidRPr="00770746">
        <w:rPr>
          <w:rFonts w:ascii="Palatino Linotype" w:hAnsi="Palatino Linotype"/>
          <w:color w:val="auto"/>
        </w:rPr>
        <w:t xml:space="preserve">All </w:t>
      </w:r>
      <w:r>
        <w:rPr>
          <w:rFonts w:ascii="Palatino Linotype" w:hAnsi="Palatino Linotype"/>
          <w:color w:val="auto"/>
        </w:rPr>
        <w:t>14</w:t>
      </w:r>
      <w:r w:rsidRPr="00770746">
        <w:rPr>
          <w:rFonts w:ascii="Palatino Linotype" w:hAnsi="Palatino Linotype"/>
          <w:color w:val="auto"/>
        </w:rPr>
        <w:t xml:space="preserve"> projects include equipment for broadband traffic management, deployment, security, monitoring and reporting, consisting of layer 2 or layer 3 switches and a firewall that </w:t>
      </w:r>
      <w:r w:rsidRPr="00770746">
        <w:rPr>
          <w:rFonts w:ascii="Palatino Linotype" w:hAnsi="Palatino Linotype"/>
          <w:color w:val="auto"/>
        </w:rPr>
        <w:lastRenderedPageBreak/>
        <w:t xml:space="preserve">interfaces to the Wide Area Network </w:t>
      </w:r>
      <w:r>
        <w:rPr>
          <w:rFonts w:ascii="Palatino Linotype" w:hAnsi="Palatino Linotype"/>
          <w:color w:val="auto"/>
        </w:rPr>
        <w:t>Internet Service Provider (</w:t>
      </w:r>
      <w:r w:rsidRPr="00770746">
        <w:rPr>
          <w:rFonts w:ascii="Palatino Linotype" w:hAnsi="Palatino Linotype"/>
          <w:color w:val="auto"/>
        </w:rPr>
        <w:t>ISP</w:t>
      </w:r>
      <w:r>
        <w:rPr>
          <w:rFonts w:ascii="Palatino Linotype" w:hAnsi="Palatino Linotype"/>
          <w:color w:val="auto"/>
        </w:rPr>
        <w:t>)</w:t>
      </w:r>
      <w:r w:rsidRPr="00770746">
        <w:rPr>
          <w:rFonts w:ascii="Palatino Linotype" w:hAnsi="Palatino Linotype"/>
          <w:color w:val="auto"/>
        </w:rPr>
        <w:t xml:space="preserve"> equipment providing the broadband service.</w:t>
      </w:r>
    </w:p>
    <w:p w:rsidRPr="00770746" w:rsidR="000D7072" w:rsidP="00996A8F" w:rsidRDefault="000D7072" w14:paraId="72DA1A06" w14:textId="77777777">
      <w:pPr>
        <w:pStyle w:val="Default"/>
        <w:rPr>
          <w:rFonts w:ascii="Palatino Linotype" w:hAnsi="Palatino Linotype"/>
          <w:color w:val="auto"/>
        </w:rPr>
      </w:pPr>
    </w:p>
    <w:p w:rsidRPr="00770746" w:rsidR="000D7072" w:rsidP="00996A8F" w:rsidRDefault="000D7072" w14:paraId="34254EF1" w14:textId="77777777">
      <w:pPr>
        <w:pStyle w:val="NormalWeb"/>
        <w:rPr>
          <w:rFonts w:ascii="Palatino Linotype" w:hAnsi="Palatino Linotype"/>
        </w:rPr>
      </w:pPr>
      <w:r w:rsidRPr="00770746">
        <w:rPr>
          <w:rFonts w:ascii="Palatino Linotype" w:hAnsi="Palatino Linotype" w:cs="Palatino Linotype"/>
          <w:b/>
        </w:rPr>
        <w:t xml:space="preserve">III.     NOTICES </w:t>
      </w:r>
    </w:p>
    <w:p w:rsidRPr="00770746" w:rsidR="000D7072" w:rsidP="00CD03D8" w:rsidRDefault="000D7072" w14:paraId="165249A5" w14:textId="77777777">
      <w:pPr>
        <w:pStyle w:val="Default"/>
        <w:jc w:val="both"/>
        <w:rPr>
          <w:rFonts w:ascii="Palatino Linotype" w:hAnsi="Palatino Linotype" w:cs="Palatino Linotype"/>
          <w:color w:val="auto"/>
        </w:rPr>
      </w:pPr>
      <w:r w:rsidRPr="00770746">
        <w:rPr>
          <w:rFonts w:ascii="Palatino Linotype" w:hAnsi="Palatino Linotype" w:cs="Palatino Linotype"/>
          <w:color w:val="auto"/>
        </w:rPr>
        <w:t>On January 13, 2023, Staff posted the proposed project descriptions on the Commission’s BPHA webpage.</w:t>
      </w:r>
      <w:r w:rsidRPr="00770746">
        <w:rPr>
          <w:rStyle w:val="FootnoteReference"/>
          <w:rFonts w:ascii="Palatino Linotype" w:hAnsi="Palatino Linotype" w:cs="Palatino Linotype"/>
          <w:color w:val="auto"/>
        </w:rPr>
        <w:footnoteReference w:id="5"/>
      </w:r>
    </w:p>
    <w:p w:rsidRPr="00770746" w:rsidR="000D7072" w:rsidP="00FE7D41" w:rsidRDefault="000D7072" w14:paraId="6DE00D77" w14:textId="77777777">
      <w:pPr>
        <w:pStyle w:val="Default"/>
        <w:rPr>
          <w:rFonts w:ascii="Palatino Linotype" w:hAnsi="Palatino Linotype" w:cs="Palatino Linotype"/>
          <w:color w:val="auto"/>
        </w:rPr>
      </w:pPr>
    </w:p>
    <w:p w:rsidRPr="00770746" w:rsidR="000D7072" w:rsidP="00996A8F" w:rsidRDefault="000D7072" w14:paraId="477175DB" w14:textId="77777777">
      <w:pPr>
        <w:pStyle w:val="NormalWeb"/>
        <w:rPr>
          <w:rFonts w:ascii="Palatino Linotype" w:hAnsi="Palatino Linotype" w:cs="Palatino Linotype"/>
          <w:b/>
        </w:rPr>
      </w:pPr>
      <w:r w:rsidRPr="00770746">
        <w:rPr>
          <w:rFonts w:ascii="Palatino Linotype" w:hAnsi="Palatino Linotype" w:cs="Palatino Linotype"/>
          <w:b/>
        </w:rPr>
        <w:t>IV.     PROJECT REVIEW</w:t>
      </w:r>
    </w:p>
    <w:p w:rsidRPr="00770746" w:rsidR="000D7072" w:rsidP="00CD03D8" w:rsidRDefault="000D7072" w14:paraId="66C3347D" w14:textId="77777777">
      <w:pPr>
        <w:pStyle w:val="NormalWeb"/>
        <w:jc w:val="both"/>
        <w:rPr>
          <w:rFonts w:ascii="Palatino Linotype" w:hAnsi="Palatino Linotype"/>
        </w:rPr>
      </w:pPr>
      <w:r w:rsidRPr="00770746">
        <w:rPr>
          <w:rFonts w:ascii="Palatino Linotype" w:hAnsi="Palatino Linotype"/>
        </w:rPr>
        <w:t xml:space="preserve">CHISPA’s 1 project (East Garrison Apartments) is currently under construction and is due for completion in late summer of 2023.  RCD Housing’s 2 projects (Madrone Terrace and Maudelle Miller) are either planned construction or are currently under construction.  </w:t>
      </w:r>
      <w:r>
        <w:rPr>
          <w:rFonts w:ascii="Palatino Linotype" w:hAnsi="Palatino Linotype"/>
        </w:rPr>
        <w:t xml:space="preserve">These 3 buildings are </w:t>
      </w:r>
      <w:r w:rsidRPr="00770746">
        <w:rPr>
          <w:rFonts w:ascii="Palatino Linotype" w:hAnsi="Palatino Linotype"/>
        </w:rPr>
        <w:t xml:space="preserve">due for completion at the end of 2023.  </w:t>
      </w:r>
    </w:p>
    <w:p w:rsidRPr="00770746" w:rsidR="000D7072" w:rsidP="00CD03D8" w:rsidRDefault="000D7072" w14:paraId="69C188C2" w14:textId="77777777">
      <w:pPr>
        <w:pStyle w:val="NormalWeb"/>
        <w:jc w:val="both"/>
        <w:rPr>
          <w:rFonts w:ascii="Palatino Linotype" w:hAnsi="Palatino Linotype"/>
        </w:rPr>
      </w:pPr>
      <w:r w:rsidRPr="00770746">
        <w:rPr>
          <w:rFonts w:ascii="Palatino Linotype" w:hAnsi="Palatino Linotype"/>
        </w:rPr>
        <w:t>The Wireless installations for the CHISPA (E</w:t>
      </w:r>
      <w:r>
        <w:rPr>
          <w:rFonts w:ascii="Palatino Linotype" w:hAnsi="Palatino Linotype"/>
        </w:rPr>
        <w:t>ast</w:t>
      </w:r>
      <w:r w:rsidRPr="00770746">
        <w:rPr>
          <w:rFonts w:ascii="Palatino Linotype" w:hAnsi="Palatino Linotype"/>
        </w:rPr>
        <w:t xml:space="preserve"> Garrison Apartments), Eden Housing (Blue Oak Landin</w:t>
      </w:r>
      <w:r>
        <w:rPr>
          <w:rFonts w:ascii="Palatino Linotype" w:hAnsi="Palatino Linotype"/>
        </w:rPr>
        <w:t>g</w:t>
      </w:r>
      <w:r w:rsidRPr="00770746">
        <w:rPr>
          <w:rFonts w:ascii="Palatino Linotype" w:hAnsi="Palatino Linotype"/>
        </w:rPr>
        <w:t>), and Shelter Inc. (Project Homekey) which use the latest WiFi standards, require more expertise to properly design, configure and deploy the wireless equipment to meet the coverage needs of multiple housing facilities and to properly interface together as a local area network to connect to the ISP.  In addition, the wireless mesh</w:t>
      </w:r>
      <w:r w:rsidRPr="00770746">
        <w:rPr>
          <w:rStyle w:val="FootnoteReference"/>
          <w:rFonts w:ascii="Palatino Linotype" w:hAnsi="Palatino Linotype"/>
        </w:rPr>
        <w:footnoteReference w:id="6"/>
      </w:r>
      <w:r w:rsidRPr="00770746">
        <w:rPr>
          <w:rFonts w:ascii="Palatino Linotype" w:hAnsi="Palatino Linotype"/>
        </w:rPr>
        <w:t xml:space="preserve"> equipment utilized in wireless installations for the RCD Housing (Sango Court project only), and SHE (Woodlake Townhomes, Mt. Whitney Place, Dinuba Manor, Valley Oaks, </w:t>
      </w:r>
      <w:r>
        <w:rPr>
          <w:rFonts w:ascii="Palatino Linotype" w:hAnsi="Palatino Linotype"/>
        </w:rPr>
        <w:t xml:space="preserve">and </w:t>
      </w:r>
      <w:r w:rsidRPr="00770746">
        <w:rPr>
          <w:rFonts w:ascii="Palatino Linotype" w:hAnsi="Palatino Linotype"/>
        </w:rPr>
        <w:t>The Haven) project</w:t>
      </w:r>
      <w:r>
        <w:rPr>
          <w:rFonts w:ascii="Palatino Linotype" w:hAnsi="Palatino Linotype"/>
        </w:rPr>
        <w:t>s</w:t>
      </w:r>
      <w:r w:rsidRPr="00770746">
        <w:rPr>
          <w:rFonts w:ascii="Palatino Linotype" w:hAnsi="Palatino Linotype"/>
        </w:rPr>
        <w:t xml:space="preserve"> are more resilient, as it can be self-adapting to changes in wireless conditions.  The use of the latest WiFi standard</w:t>
      </w:r>
      <w:r w:rsidRPr="00770746">
        <w:rPr>
          <w:rStyle w:val="FootnoteReference"/>
          <w:rFonts w:ascii="Palatino Linotype" w:hAnsi="Palatino Linotype"/>
        </w:rPr>
        <w:footnoteReference w:id="7"/>
      </w:r>
      <w:r w:rsidRPr="00770746">
        <w:rPr>
          <w:rFonts w:ascii="Palatino Linotype" w:hAnsi="Palatino Linotype"/>
        </w:rPr>
        <w:t xml:space="preserve"> in all these projects offers greater throughput and wireless link management capability and can carry more traffic.</w:t>
      </w:r>
    </w:p>
    <w:p w:rsidRPr="00770746" w:rsidR="000D7072" w:rsidP="00CD03D8" w:rsidRDefault="000D7072" w14:paraId="40A86327" w14:textId="77777777">
      <w:pPr>
        <w:pStyle w:val="NormalWeb"/>
        <w:jc w:val="both"/>
        <w:rPr>
          <w:rFonts w:ascii="Palatino Linotype" w:hAnsi="Palatino Linotype"/>
        </w:rPr>
      </w:pPr>
      <w:r w:rsidRPr="00770746">
        <w:rPr>
          <w:rFonts w:ascii="Palatino Linotype" w:hAnsi="Palatino Linotype"/>
        </w:rPr>
        <w:t>The projects propose multiple Intermediate Distribution Frame (IDF)</w:t>
      </w:r>
      <w:r w:rsidRPr="00770746">
        <w:rPr>
          <w:rStyle w:val="FootnoteReference"/>
          <w:rFonts w:ascii="Palatino Linotype" w:hAnsi="Palatino Linotype"/>
        </w:rPr>
        <w:footnoteReference w:id="8"/>
      </w:r>
      <w:r w:rsidRPr="00770746">
        <w:rPr>
          <w:rFonts w:ascii="Palatino Linotype" w:hAnsi="Palatino Linotype"/>
        </w:rPr>
        <w:t xml:space="preserve"> that connect to Main Distribution Frame (MDF)</w:t>
      </w:r>
      <w:r w:rsidRPr="00770746">
        <w:rPr>
          <w:rStyle w:val="FootnoteReference"/>
          <w:rFonts w:ascii="Palatino Linotype" w:hAnsi="Palatino Linotype"/>
        </w:rPr>
        <w:footnoteReference w:id="9"/>
      </w:r>
      <w:r w:rsidRPr="00770746">
        <w:rPr>
          <w:rFonts w:ascii="Palatino Linotype" w:hAnsi="Palatino Linotype"/>
        </w:rPr>
        <w:t xml:space="preserve"> in a star network topology.</w:t>
      </w:r>
      <w:r w:rsidRPr="00770746">
        <w:rPr>
          <w:rStyle w:val="FootnoteReference"/>
          <w:rFonts w:ascii="Palatino Linotype" w:hAnsi="Palatino Linotype"/>
        </w:rPr>
        <w:footnoteReference w:id="10"/>
      </w:r>
      <w:r w:rsidRPr="00770746">
        <w:rPr>
          <w:rFonts w:ascii="Palatino Linotype" w:hAnsi="Palatino Linotype"/>
        </w:rPr>
        <w:t xml:space="preserve">  Each IDF will serve as the local </w:t>
      </w:r>
      <w:r w:rsidRPr="00770746">
        <w:rPr>
          <w:rFonts w:ascii="Palatino Linotype" w:hAnsi="Palatino Linotype"/>
        </w:rPr>
        <w:lastRenderedPageBreak/>
        <w:t xml:space="preserve">collection point for the distributed access points, providing wireless coverage to the residential units in each housing facility.  Projects utilize both wired and wireless bridge connections to bring IDFs back to the MDF, depending on the physical barriers, ease of access, and existing pre-built pathways present within the property to connect to the IDFs that serve each building.  </w:t>
      </w:r>
    </w:p>
    <w:p w:rsidRPr="00770746" w:rsidR="000D7072" w:rsidP="00CD03D8" w:rsidRDefault="000D7072" w14:paraId="16F09F7E" w14:textId="77777777">
      <w:pPr>
        <w:pStyle w:val="NormalWeb"/>
        <w:jc w:val="both"/>
        <w:rPr>
          <w:rFonts w:ascii="Palatino Linotype" w:hAnsi="Palatino Linotype"/>
        </w:rPr>
      </w:pPr>
      <w:r w:rsidRPr="00770746">
        <w:rPr>
          <w:rFonts w:ascii="Palatino Linotype" w:hAnsi="Palatino Linotype"/>
        </w:rPr>
        <w:t xml:space="preserve">IDFs distribute </w:t>
      </w:r>
      <w:r w:rsidRPr="008737F2">
        <w:rPr>
          <w:rFonts w:ascii="Palatino Linotype" w:hAnsi="Palatino Linotype"/>
        </w:rPr>
        <w:t>WiFi</w:t>
      </w:r>
      <w:r w:rsidRPr="00770746">
        <w:rPr>
          <w:rFonts w:ascii="Palatino Linotype" w:hAnsi="Palatino Linotype"/>
        </w:rPr>
        <w:t xml:space="preserve"> access equipment t</w:t>
      </w:r>
      <w:r>
        <w:rPr>
          <w:rFonts w:ascii="Palatino Linotype" w:hAnsi="Palatino Linotype"/>
        </w:rPr>
        <w:t>o</w:t>
      </w:r>
      <w:r w:rsidRPr="00770746">
        <w:rPr>
          <w:rFonts w:ascii="Palatino Linotype" w:hAnsi="Palatino Linotype"/>
        </w:rPr>
        <w:t xml:space="preserve"> serve the buildings, and the Cambium and Cisco Meraki wireless equipment being proposed are WiFi access points that use 802.11ac wave2 or 802.11ax standard.  In addition, the Ruckus Wireless equipment being proposed are wireless mesh</w:t>
      </w:r>
      <w:r w:rsidRPr="00770746">
        <w:rPr>
          <w:rStyle w:val="FootnoteReference"/>
          <w:rFonts w:ascii="Palatino Linotype" w:hAnsi="Palatino Linotype"/>
        </w:rPr>
        <w:footnoteReference w:id="11"/>
      </w:r>
      <w:r w:rsidRPr="00770746">
        <w:rPr>
          <w:rFonts w:ascii="Palatino Linotype" w:hAnsi="Palatino Linotype"/>
        </w:rPr>
        <w:t xml:space="preserve"> capable WiFi access points that use either the 802.11ac wave2 or 802.11ax standards.  All of the access points include the latest technology advancements that greatly improve capacity and performance by enabling more simultaneous connections and a more thorough use of spectrum</w:t>
      </w:r>
      <w:r w:rsidRPr="00770746">
        <w:rPr>
          <w:rStyle w:val="FootnoteReference"/>
          <w:rFonts w:ascii="Palatino Linotype" w:hAnsi="Palatino Linotype"/>
        </w:rPr>
        <w:footnoteReference w:id="12"/>
      </w:r>
      <w:r w:rsidRPr="00770746">
        <w:rPr>
          <w:rFonts w:ascii="Palatino Linotype" w:hAnsi="Palatino Linotype"/>
        </w:rPr>
        <w:t xml:space="preserve">, while maintaining backwards compatibility to older WiFi standards.    </w:t>
      </w:r>
    </w:p>
    <w:p w:rsidRPr="00770746" w:rsidR="000D7072" w:rsidP="00CD03D8" w:rsidRDefault="000D7072" w14:paraId="282373D3" w14:textId="77777777">
      <w:pPr>
        <w:pStyle w:val="NormalWeb"/>
        <w:jc w:val="both"/>
        <w:rPr>
          <w:rFonts w:ascii="Palatino Linotype" w:hAnsi="Palatino Linotype"/>
        </w:rPr>
      </w:pPr>
      <w:r w:rsidRPr="00770746">
        <w:rPr>
          <w:rFonts w:ascii="Palatino Linotype" w:hAnsi="Palatino Linotype"/>
        </w:rPr>
        <w:t xml:space="preserve">The wireless mesh equipment utilized in these projects </w:t>
      </w:r>
      <w:r>
        <w:rPr>
          <w:rFonts w:ascii="Palatino Linotype" w:hAnsi="Palatino Linotype"/>
        </w:rPr>
        <w:t>is</w:t>
      </w:r>
      <w:r w:rsidRPr="00770746">
        <w:rPr>
          <w:rFonts w:ascii="Palatino Linotype" w:hAnsi="Palatino Linotype"/>
        </w:rPr>
        <w:t xml:space="preserve"> more costly but provide</w:t>
      </w:r>
      <w:r>
        <w:rPr>
          <w:rFonts w:ascii="Palatino Linotype" w:hAnsi="Palatino Linotype"/>
        </w:rPr>
        <w:t>s</w:t>
      </w:r>
      <w:r w:rsidRPr="00770746">
        <w:rPr>
          <w:rFonts w:ascii="Palatino Linotype" w:hAnsi="Palatino Linotype"/>
        </w:rPr>
        <w:t xml:space="preserve"> the flexibility and scalability for future expansion.  All proposed wireless projects are 100 Mbps download/20 Mbps upload </w:t>
      </w:r>
      <w:r>
        <w:rPr>
          <w:rFonts w:ascii="Palatino Linotype" w:hAnsi="Palatino Linotype"/>
        </w:rPr>
        <w:t xml:space="preserve">speed </w:t>
      </w:r>
      <w:r w:rsidRPr="00770746">
        <w:rPr>
          <w:rFonts w:ascii="Palatino Linotype" w:hAnsi="Palatino Linotype"/>
        </w:rPr>
        <w:t>ready.  In addition, with a minor hardware upgrade</w:t>
      </w:r>
      <w:r w:rsidRPr="00770746">
        <w:rPr>
          <w:rStyle w:val="FootnoteReference"/>
          <w:rFonts w:ascii="Palatino Linotype" w:hAnsi="Palatino Linotype"/>
        </w:rPr>
        <w:footnoteReference w:id="13"/>
      </w:r>
      <w:r w:rsidRPr="00770746">
        <w:rPr>
          <w:rFonts w:ascii="Palatino Linotype" w:hAnsi="Palatino Linotype"/>
        </w:rPr>
        <w:t>, all proposed wireless projects are capable of exceeding 100 Mbps download/20 Mbps upload speed, with better speeds for the wireless projects using the 802.11ax WiFi standard.</w:t>
      </w:r>
      <w:r w:rsidRPr="00770746">
        <w:rPr>
          <w:rStyle w:val="FootnoteReference"/>
          <w:rFonts w:ascii="Palatino Linotype" w:hAnsi="Palatino Linotype"/>
        </w:rPr>
        <w:footnoteReference w:id="14"/>
      </w:r>
      <w:r w:rsidRPr="00770746">
        <w:rPr>
          <w:rFonts w:ascii="Palatino Linotype" w:hAnsi="Palatino Linotype"/>
        </w:rPr>
        <w:t xml:space="preserve"> </w:t>
      </w:r>
    </w:p>
    <w:p w:rsidRPr="00770746" w:rsidR="000D7072" w:rsidP="00CD03D8" w:rsidRDefault="000D7072" w14:paraId="731F3154" w14:textId="77777777">
      <w:pPr>
        <w:pStyle w:val="NormalWeb"/>
        <w:jc w:val="both"/>
        <w:rPr>
          <w:rFonts w:ascii="Palatino Linotype" w:hAnsi="Palatino Linotype"/>
        </w:rPr>
      </w:pPr>
      <w:r w:rsidRPr="00770746">
        <w:rPr>
          <w:rFonts w:ascii="Palatino Linotype" w:hAnsi="Palatino Linotype"/>
        </w:rPr>
        <w:t xml:space="preserve">The RCD Housing (Coliseum Place, Maudelle Miller Shirek, Madrone Terrace, Rick Judd Commons, </w:t>
      </w:r>
      <w:r>
        <w:rPr>
          <w:rFonts w:ascii="Palatino Linotype" w:hAnsi="Palatino Linotype"/>
        </w:rPr>
        <w:t xml:space="preserve">and </w:t>
      </w:r>
      <w:r w:rsidRPr="00770746">
        <w:rPr>
          <w:rFonts w:ascii="Palatino Linotype" w:hAnsi="Palatino Linotype"/>
        </w:rPr>
        <w:t>Bell Gardens projects only) projects combine wired and wireless installations propose connecting wired residential buildings, that use inside copper wiring to connect each residential units in a building, using to the MDF in another building that interfaces with the ISP.  In addition, 802.11ax WiFi routers</w:t>
      </w:r>
      <w:r w:rsidRPr="00770746">
        <w:rPr>
          <w:rStyle w:val="FootnoteReference"/>
          <w:rFonts w:ascii="Palatino Linotype" w:hAnsi="Palatino Linotype"/>
        </w:rPr>
        <w:footnoteReference w:id="15"/>
      </w:r>
      <w:r w:rsidRPr="00770746">
        <w:rPr>
          <w:rFonts w:ascii="Palatino Linotype" w:hAnsi="Palatino Linotype"/>
        </w:rPr>
        <w:t xml:space="preserve"> are deployed at each of the residential spaces to provide wireless coverage.</w:t>
      </w:r>
    </w:p>
    <w:p w:rsidRPr="00770746" w:rsidR="000D7072" w:rsidP="00CD03D8" w:rsidRDefault="000D7072" w14:paraId="0EB44EE4" w14:textId="77777777">
      <w:pPr>
        <w:pStyle w:val="NormalWeb"/>
        <w:jc w:val="both"/>
        <w:rPr>
          <w:rFonts w:ascii="Palatino Linotype" w:hAnsi="Palatino Linotype"/>
        </w:rPr>
      </w:pPr>
      <w:r w:rsidRPr="00770746">
        <w:rPr>
          <w:rFonts w:ascii="Palatino Linotype" w:hAnsi="Palatino Linotype"/>
        </w:rPr>
        <w:lastRenderedPageBreak/>
        <w:t>All proposed combined wired and wireless projects are 100 Mbps download/20 Mbps upload</w:t>
      </w:r>
      <w:r>
        <w:rPr>
          <w:rFonts w:ascii="Palatino Linotype" w:hAnsi="Palatino Linotype"/>
        </w:rPr>
        <w:t xml:space="preserve"> speed</w:t>
      </w:r>
      <w:r w:rsidRPr="00770746">
        <w:rPr>
          <w:rFonts w:ascii="Palatino Linotype" w:hAnsi="Palatino Linotype"/>
        </w:rPr>
        <w:t xml:space="preserve"> ready.  In addition, projects are capable of exceeding 100 Mbps download/20 Mbps upload speed with a minor hardware upgrade.</w:t>
      </w:r>
      <w:r w:rsidRPr="00770746">
        <w:rPr>
          <w:rStyle w:val="FootnoteReference"/>
          <w:rFonts w:ascii="Palatino Linotype" w:hAnsi="Palatino Linotype"/>
        </w:rPr>
        <w:footnoteReference w:id="16"/>
      </w:r>
    </w:p>
    <w:p w:rsidRPr="00770746" w:rsidR="000D7072" w:rsidP="00CD03D8" w:rsidRDefault="000D7072" w14:paraId="36433F8B" w14:textId="77777777">
      <w:pPr>
        <w:pStyle w:val="NormalWeb"/>
        <w:jc w:val="both"/>
        <w:rPr>
          <w:rFonts w:ascii="Palatino Linotype" w:hAnsi="Palatino Linotype"/>
        </w:rPr>
      </w:pPr>
      <w:r w:rsidRPr="00770746">
        <w:rPr>
          <w:rFonts w:ascii="Palatino Linotype" w:hAnsi="Palatino Linotype"/>
        </w:rPr>
        <w:t>The wireless projects listed access limitations within the property as the primary reason for choosing wireless deployment.  The complexity</w:t>
      </w:r>
      <w:r w:rsidRPr="00770746">
        <w:rPr>
          <w:rStyle w:val="FootnoteReference"/>
          <w:rFonts w:ascii="Palatino Linotype" w:hAnsi="Palatino Linotype"/>
        </w:rPr>
        <w:footnoteReference w:id="17"/>
      </w:r>
      <w:r w:rsidRPr="00770746">
        <w:rPr>
          <w:rFonts w:ascii="Palatino Linotype" w:hAnsi="Palatino Linotype"/>
        </w:rPr>
        <w:t>, labor and material cost</w:t>
      </w:r>
      <w:r w:rsidRPr="00770746">
        <w:rPr>
          <w:rStyle w:val="FootnoteReference"/>
          <w:rFonts w:ascii="Palatino Linotype" w:hAnsi="Palatino Linotype"/>
        </w:rPr>
        <w:footnoteReference w:id="18"/>
      </w:r>
      <w:r w:rsidRPr="00770746">
        <w:rPr>
          <w:rFonts w:ascii="Palatino Linotype" w:hAnsi="Palatino Linotype"/>
        </w:rPr>
        <w:t xml:space="preserve"> of wireless deployment ha</w:t>
      </w:r>
      <w:r>
        <w:rPr>
          <w:rFonts w:ascii="Palatino Linotype" w:hAnsi="Palatino Linotype"/>
        </w:rPr>
        <w:t>s</w:t>
      </w:r>
      <w:r w:rsidRPr="00770746">
        <w:rPr>
          <w:rFonts w:ascii="Palatino Linotype" w:hAnsi="Palatino Linotype"/>
        </w:rPr>
        <w:t xml:space="preserve"> been rising t</w:t>
      </w:r>
      <w:r>
        <w:rPr>
          <w:rFonts w:ascii="Palatino Linotype" w:hAnsi="Palatino Linotype"/>
        </w:rPr>
        <w:t>hus</w:t>
      </w:r>
      <w:r w:rsidRPr="00770746">
        <w:rPr>
          <w:rFonts w:ascii="Palatino Linotype" w:hAnsi="Palatino Linotype"/>
        </w:rPr>
        <w:t xml:space="preserve"> increas</w:t>
      </w:r>
      <w:r>
        <w:rPr>
          <w:rFonts w:ascii="Palatino Linotype" w:hAnsi="Palatino Linotype"/>
        </w:rPr>
        <w:t>ing</w:t>
      </w:r>
      <w:r w:rsidRPr="00770746">
        <w:rPr>
          <w:rFonts w:ascii="Palatino Linotype" w:hAnsi="Palatino Linotype"/>
        </w:rPr>
        <w:t xml:space="preserve"> the project costs but remains a viable and less costly engineering option of system deployment as compared to direct connection, when heavy construction is required that involve</w:t>
      </w:r>
      <w:r>
        <w:rPr>
          <w:rFonts w:ascii="Palatino Linotype" w:hAnsi="Palatino Linotype"/>
        </w:rPr>
        <w:t xml:space="preserve"> </w:t>
      </w:r>
      <w:r w:rsidRPr="00770746">
        <w:rPr>
          <w:rFonts w:ascii="Palatino Linotype" w:hAnsi="Palatino Linotype"/>
        </w:rPr>
        <w:t>structural modification, trenching, laying conduits, feedthrough and backfill.  In addition, wireless bridge connections can be engineered and deployed relatively quickly, as compared to heavy construction, which often require review and approval</w:t>
      </w:r>
      <w:r>
        <w:rPr>
          <w:rFonts w:ascii="Palatino Linotype" w:hAnsi="Palatino Linotype"/>
        </w:rPr>
        <w:t>s</w:t>
      </w:r>
      <w:r w:rsidRPr="00770746">
        <w:rPr>
          <w:rFonts w:ascii="Palatino Linotype" w:hAnsi="Palatino Linotype"/>
        </w:rPr>
        <w:t xml:space="preserve"> in addition to lengthy project planning.  </w:t>
      </w:r>
    </w:p>
    <w:p w:rsidRPr="00770746" w:rsidR="000D7072" w:rsidP="00CD03D8" w:rsidRDefault="000D7072" w14:paraId="4CE9929C" w14:textId="77777777">
      <w:pPr>
        <w:pStyle w:val="NormalWeb"/>
        <w:jc w:val="both"/>
        <w:rPr>
          <w:rFonts w:ascii="Palatino Linotype" w:hAnsi="Palatino Linotype"/>
        </w:rPr>
      </w:pPr>
      <w:r w:rsidRPr="00770746">
        <w:rPr>
          <w:rFonts w:ascii="Palatino Linotype" w:hAnsi="Palatino Linotype"/>
        </w:rPr>
        <w:t>In addition, the unusual market conditions of the past few years</w:t>
      </w:r>
      <w:r w:rsidRPr="00770746">
        <w:rPr>
          <w:rStyle w:val="FootnoteReference"/>
          <w:rFonts w:ascii="Palatino Linotype" w:hAnsi="Palatino Linotype"/>
        </w:rPr>
        <w:footnoteReference w:id="19"/>
      </w:r>
      <w:r>
        <w:rPr>
          <w:rFonts w:ascii="Palatino Linotype" w:hAnsi="Palatino Linotype"/>
        </w:rPr>
        <w:t xml:space="preserve"> </w:t>
      </w:r>
      <w:r w:rsidRPr="00770746">
        <w:rPr>
          <w:rStyle w:val="FootnoteReference"/>
          <w:rFonts w:ascii="Palatino Linotype" w:hAnsi="Palatino Linotype"/>
        </w:rPr>
        <w:footnoteReference w:id="20"/>
      </w:r>
      <w:r>
        <w:rPr>
          <w:rFonts w:ascii="Palatino Linotype" w:hAnsi="Palatino Linotype"/>
        </w:rPr>
        <w:t xml:space="preserve"> </w:t>
      </w:r>
      <w:r w:rsidRPr="00770746">
        <w:rPr>
          <w:rStyle w:val="FootnoteReference"/>
          <w:rFonts w:ascii="Palatino Linotype" w:hAnsi="Palatino Linotype"/>
        </w:rPr>
        <w:footnoteReference w:id="21"/>
      </w:r>
      <w:r w:rsidRPr="00770746">
        <w:rPr>
          <w:rFonts w:ascii="Palatino Linotype" w:hAnsi="Palatino Linotype"/>
        </w:rPr>
        <w:t xml:space="preserve"> (supply crunch, high commodity prices, shortage of labor force, high energy cost) continue to linger, and the program savings encouraged through the use of the economy of scale via the unit caps continue to fall behind, as a result of the rapid inflationary pressures in the marketplace.</w:t>
      </w:r>
    </w:p>
    <w:p w:rsidRPr="00770746" w:rsidR="000D7072" w:rsidP="0000745E" w:rsidRDefault="000D7072" w14:paraId="37AA3FB7" w14:textId="77777777">
      <w:pPr>
        <w:pStyle w:val="NormalWeb"/>
        <w:rPr>
          <w:rFonts w:ascii="Palatino Linotype" w:hAnsi="Palatino Linotype"/>
        </w:rPr>
      </w:pPr>
      <w:r w:rsidRPr="00770746">
        <w:rPr>
          <w:rFonts w:ascii="Palatino Linotype" w:hAnsi="Palatino Linotype"/>
        </w:rPr>
        <w:t xml:space="preserve">Based on staff research discussed above, Staff finds the reasons for the extra cost per unit reasonable and recommends approval.  </w:t>
      </w:r>
    </w:p>
    <w:p w:rsidRPr="00770746" w:rsidR="000D7072" w:rsidP="00996A8F" w:rsidRDefault="000D7072" w14:paraId="195B2F8B" w14:textId="77777777"/>
    <w:p w:rsidRPr="00770746" w:rsidR="000D7072" w:rsidP="00996A8F" w:rsidRDefault="000D7072" w14:paraId="5A3B95BA" w14:textId="77777777">
      <w:pPr>
        <w:adjustRightInd w:val="0"/>
        <w:rPr>
          <w:b/>
        </w:rPr>
      </w:pPr>
      <w:r w:rsidRPr="00770746">
        <w:rPr>
          <w:b/>
        </w:rPr>
        <w:t>V.     COMPLIANCE REQUIREMENTS</w:t>
      </w:r>
    </w:p>
    <w:p w:rsidRPr="00770746" w:rsidR="000D7072" w:rsidP="00996A8F" w:rsidRDefault="000D7072" w14:paraId="3AEBDD2F" w14:textId="77777777">
      <w:pPr>
        <w:adjustRightInd w:val="0"/>
        <w:rPr>
          <w:b/>
        </w:rPr>
      </w:pPr>
    </w:p>
    <w:p w:rsidRPr="00770746" w:rsidR="000D7072" w:rsidP="00CD03D8" w:rsidRDefault="000D7072" w14:paraId="05911B09" w14:textId="77777777">
      <w:pPr>
        <w:adjustRightInd w:val="0"/>
        <w:jc w:val="both"/>
        <w:rPr>
          <w:rFonts w:cs="Garamond"/>
        </w:rPr>
      </w:pPr>
      <w:r w:rsidRPr="00770746">
        <w:t xml:space="preserve">CHISPA, </w:t>
      </w:r>
      <w:r>
        <w:t>Eden Housing</w:t>
      </w:r>
      <w:r w:rsidRPr="00770746">
        <w:t xml:space="preserve">, RCD Housing, SHE, and Shelter Inc. </w:t>
      </w:r>
      <w:r w:rsidRPr="00770746">
        <w:rPr>
          <w:rFonts w:cs="Garamond"/>
        </w:rPr>
        <w:t>are required to comply with all the guidelines, requirements, and conditions associated with the grant of CASF funds as specified in D. 22-05-029.  Such compliance includes, but is not limited to the following:</w:t>
      </w:r>
    </w:p>
    <w:p w:rsidRPr="00770746" w:rsidR="000D7072" w:rsidP="00996A8F" w:rsidRDefault="000D7072" w14:paraId="2AC6DC45" w14:textId="77777777">
      <w:pPr>
        <w:adjustRightInd w:val="0"/>
      </w:pPr>
    </w:p>
    <w:p w:rsidRPr="00770746" w:rsidR="000D7072" w:rsidP="00E66968" w:rsidRDefault="000D7072" w14:paraId="29FD1F28" w14:textId="77777777">
      <w:pPr>
        <w:widowControl/>
        <w:numPr>
          <w:ilvl w:val="0"/>
          <w:numId w:val="10"/>
        </w:numPr>
        <w:adjustRightInd w:val="0"/>
        <w:ind w:left="900"/>
        <w:rPr>
          <w:b/>
        </w:rPr>
      </w:pPr>
      <w:r w:rsidRPr="00770746">
        <w:rPr>
          <w:b/>
        </w:rPr>
        <w:t xml:space="preserve">California Environmental Quality Act (CEQA) </w:t>
      </w:r>
    </w:p>
    <w:p w:rsidRPr="00770746" w:rsidR="000D7072" w:rsidP="00996A8F" w:rsidRDefault="000D7072" w14:paraId="6EA0FE12" w14:textId="77777777">
      <w:pPr>
        <w:pStyle w:val="Default"/>
        <w:rPr>
          <w:rFonts w:ascii="Palatino Linotype" w:hAnsi="Palatino Linotype"/>
          <w:color w:val="auto"/>
        </w:rPr>
      </w:pPr>
    </w:p>
    <w:p w:rsidRPr="00770746" w:rsidR="000D7072" w:rsidP="00CD03D8" w:rsidRDefault="000D7072" w14:paraId="313FEFC0" w14:textId="77777777">
      <w:pPr>
        <w:pStyle w:val="Default"/>
        <w:jc w:val="both"/>
        <w:rPr>
          <w:rFonts w:ascii="Palatino Linotype" w:hAnsi="Palatino Linotype"/>
          <w:color w:val="auto"/>
        </w:rPr>
      </w:pPr>
      <w:r w:rsidRPr="00770746">
        <w:rPr>
          <w:rFonts w:ascii="Palatino Linotype" w:hAnsi="Palatino Linotype"/>
          <w:color w:val="auto"/>
        </w:rPr>
        <w:lastRenderedPageBreak/>
        <w:t>All CASF grants are subject to CEQA requirements unless the projects are statutorily or categorically exempt pursuant to the CEQA Guidelines.</w:t>
      </w:r>
    </w:p>
    <w:p w:rsidRPr="00770746" w:rsidR="000D7072" w:rsidP="00CD03D8" w:rsidRDefault="000D7072" w14:paraId="7CDD7249" w14:textId="77777777">
      <w:pPr>
        <w:adjustRightInd w:val="0"/>
        <w:jc w:val="both"/>
      </w:pPr>
    </w:p>
    <w:p w:rsidRPr="00770746" w:rsidR="000D7072" w:rsidP="00CD03D8" w:rsidRDefault="000D7072" w14:paraId="56765D0B" w14:textId="77777777">
      <w:pPr>
        <w:adjustRightInd w:val="0"/>
        <w:jc w:val="both"/>
      </w:pPr>
      <w:r w:rsidRPr="00770746">
        <w:t xml:space="preserve">All </w:t>
      </w:r>
      <w:r>
        <w:t>14</w:t>
      </w:r>
      <w:r w:rsidRPr="00770746">
        <w:t xml:space="preserve"> projects require limited modifications of existing structures.  </w:t>
      </w:r>
    </w:p>
    <w:p w:rsidRPr="00770746" w:rsidR="000D7072" w:rsidP="00CD03D8" w:rsidRDefault="000D7072" w14:paraId="15DC5906" w14:textId="77777777">
      <w:pPr>
        <w:adjustRightInd w:val="0"/>
        <w:jc w:val="both"/>
      </w:pPr>
    </w:p>
    <w:p w:rsidRPr="00770746" w:rsidR="000D7072" w:rsidP="00CD03D8" w:rsidRDefault="000D7072" w14:paraId="414FEF7B" w14:textId="77777777">
      <w:pPr>
        <w:adjustRightInd w:val="0"/>
        <w:jc w:val="both"/>
        <w:rPr>
          <w:rFonts w:cs="Tahoma"/>
        </w:rPr>
      </w:pPr>
      <w:r w:rsidRPr="00770746">
        <w:t xml:space="preserve">The wireless </w:t>
      </w:r>
      <w:r w:rsidRPr="00770746">
        <w:rPr>
          <w:rFonts w:cs="Tahoma"/>
        </w:rPr>
        <w:t>projects are based on 802.11ac Wave2 and 802.11ax wireless network architecture</w:t>
      </w:r>
      <w:r>
        <w:rPr>
          <w:rFonts w:cs="Tahoma"/>
        </w:rPr>
        <w:t>s</w:t>
      </w:r>
      <w:r w:rsidRPr="00770746">
        <w:rPr>
          <w:rFonts w:cs="Tahoma"/>
        </w:rPr>
        <w:t xml:space="preserve"> consisting of ISP Modem(s), network switching equipment and wireless access points.  This requires installation/mounting of equipment in existing structures such as ceilings or rooftops. </w:t>
      </w:r>
    </w:p>
    <w:p w:rsidRPr="00770746" w:rsidR="000D7072" w:rsidP="00CD03D8" w:rsidRDefault="000D7072" w14:paraId="32A31348" w14:textId="77777777">
      <w:pPr>
        <w:adjustRightInd w:val="0"/>
        <w:jc w:val="both"/>
      </w:pPr>
    </w:p>
    <w:p w:rsidRPr="00770746" w:rsidR="000D7072" w:rsidDel="00C352D3" w:rsidP="00CD03D8" w:rsidRDefault="000D7072" w14:paraId="35278394" w14:textId="77777777">
      <w:pPr>
        <w:adjustRightInd w:val="0"/>
        <w:jc w:val="both"/>
      </w:pPr>
      <w:r w:rsidRPr="00770746">
        <w:t>The hybrid projects that use both wired and wireless network architecture consists of ISP modem(s), networking switching equipment and wireless routers.  This requires installation/mounting of equipment in existing structures, such as ceilings or rooftops and installation of inside copper wiring and conduits on existing structures such as walls, hallways, or in the roof.</w:t>
      </w:r>
    </w:p>
    <w:p w:rsidRPr="00770746" w:rsidR="000D7072" w:rsidP="00CD03D8" w:rsidRDefault="000D7072" w14:paraId="47EF971D" w14:textId="77777777">
      <w:pPr>
        <w:adjustRightInd w:val="0"/>
        <w:jc w:val="both"/>
      </w:pPr>
    </w:p>
    <w:p w:rsidRPr="00770746" w:rsidR="000D7072" w:rsidP="00CD03D8" w:rsidRDefault="000D7072" w14:paraId="4D84FEEA" w14:textId="77777777">
      <w:pPr>
        <w:adjustRightInd w:val="0"/>
        <w:jc w:val="both"/>
      </w:pPr>
      <w:r w:rsidRPr="00770746">
        <w:t>Based on the above information, these projects meet the criteria of the CEQA categorical exemption for existing facilities (CEQA Guidelines § 15301) and CEQA Guidelines Section 15303 – New Construction or Conversion of Small Structures, involving construction, installation, and/or conversion of limited numbers of new and/or existing facilities/structures.</w:t>
      </w:r>
    </w:p>
    <w:p w:rsidRPr="00B8240F" w:rsidR="000D7072" w:rsidP="00996A8F" w:rsidRDefault="000D7072" w14:paraId="02342683" w14:textId="77777777">
      <w:pPr>
        <w:adjustRightInd w:val="0"/>
        <w:rPr>
          <w:color w:val="000000" w:themeColor="text1"/>
        </w:rPr>
      </w:pPr>
    </w:p>
    <w:p w:rsidRPr="00B8240F" w:rsidR="000D7072" w:rsidP="00E66968" w:rsidRDefault="000D7072" w14:paraId="25B6185A" w14:textId="77777777">
      <w:pPr>
        <w:widowControl/>
        <w:numPr>
          <w:ilvl w:val="0"/>
          <w:numId w:val="10"/>
        </w:numPr>
        <w:adjustRightInd w:val="0"/>
        <w:ind w:left="900"/>
        <w:rPr>
          <w:b/>
          <w:color w:val="000000" w:themeColor="text1"/>
        </w:rPr>
      </w:pPr>
      <w:r w:rsidRPr="00B8240F">
        <w:rPr>
          <w:b/>
          <w:color w:val="000000" w:themeColor="text1"/>
        </w:rPr>
        <w:t>Execution and Performance</w:t>
      </w:r>
    </w:p>
    <w:p w:rsidRPr="00B8240F" w:rsidR="000D7072" w:rsidP="00996A8F" w:rsidRDefault="000D7072" w14:paraId="55D10758" w14:textId="77777777">
      <w:pPr>
        <w:adjustRightInd w:val="0"/>
        <w:rPr>
          <w:color w:val="000000" w:themeColor="text1"/>
        </w:rPr>
      </w:pPr>
    </w:p>
    <w:p w:rsidRPr="00B8240F" w:rsidR="000D7072" w:rsidP="00CD03D8" w:rsidRDefault="000D7072" w14:paraId="4F1392DC" w14:textId="77777777">
      <w:pPr>
        <w:ind w:right="-18"/>
        <w:jc w:val="both"/>
        <w:rPr>
          <w:rFonts w:cs="Garamond"/>
          <w:color w:val="000000" w:themeColor="text1"/>
        </w:rPr>
      </w:pPr>
      <w:r w:rsidRPr="00105612">
        <w:rPr>
          <w:color w:val="000000" w:themeColor="text1"/>
        </w:rPr>
        <w:t>CHISPA,</w:t>
      </w:r>
      <w:r>
        <w:rPr>
          <w:color w:val="000000" w:themeColor="text1"/>
        </w:rPr>
        <w:t xml:space="preserve"> Eden Housing</w:t>
      </w:r>
      <w:r w:rsidRPr="00105612">
        <w:rPr>
          <w:color w:val="000000" w:themeColor="text1"/>
        </w:rPr>
        <w:t>,</w:t>
      </w:r>
      <w:r>
        <w:rPr>
          <w:color w:val="000000" w:themeColor="text1"/>
        </w:rPr>
        <w:t xml:space="preserve"> </w:t>
      </w:r>
      <w:r w:rsidRPr="00105612">
        <w:rPr>
          <w:color w:val="000000" w:themeColor="text1"/>
        </w:rPr>
        <w:t>RCD Housing, SHE, and Shelter Inc.</w:t>
      </w:r>
      <w:r w:rsidRPr="00501335">
        <w:rPr>
          <w:color w:val="000000" w:themeColor="text1"/>
        </w:rPr>
        <w:t xml:space="preserve"> </w:t>
      </w:r>
      <w:r w:rsidRPr="00B8240F">
        <w:rPr>
          <w:rFonts w:cs="Garamond"/>
          <w:color w:val="000000" w:themeColor="text1"/>
        </w:rPr>
        <w:t>must</w:t>
      </w:r>
      <w:r>
        <w:rPr>
          <w:rFonts w:cs="Garamond"/>
          <w:color w:val="000000" w:themeColor="text1"/>
        </w:rPr>
        <w:t xml:space="preserve"> </w:t>
      </w:r>
      <w:r w:rsidRPr="00101C7A">
        <w:rPr>
          <w:rFonts w:cs="Garamond"/>
          <w:color w:val="000000" w:themeColor="text1"/>
        </w:rPr>
        <w:t>start the project</w:t>
      </w:r>
      <w:r>
        <w:rPr>
          <w:rFonts w:cs="Garamond"/>
          <w:color w:val="000000" w:themeColor="text1"/>
        </w:rPr>
        <w:t>s</w:t>
      </w:r>
      <w:r w:rsidRPr="00101C7A">
        <w:rPr>
          <w:rFonts w:cs="Garamond"/>
          <w:color w:val="000000" w:themeColor="text1"/>
        </w:rPr>
        <w:t xml:space="preserve"> within 30 days </w:t>
      </w:r>
      <w:r>
        <w:rPr>
          <w:rFonts w:cs="Garamond"/>
          <w:color w:val="000000" w:themeColor="text1"/>
        </w:rPr>
        <w:t xml:space="preserve">from the date this Resolution is approved </w:t>
      </w:r>
      <w:r w:rsidRPr="00101C7A">
        <w:rPr>
          <w:rFonts w:cs="Garamond"/>
          <w:color w:val="000000" w:themeColor="text1"/>
        </w:rPr>
        <w:t xml:space="preserve">and complete the project within a 12-month timeframe. </w:t>
      </w:r>
      <w:r>
        <w:rPr>
          <w:rFonts w:cs="Garamond"/>
          <w:color w:val="000000" w:themeColor="text1"/>
        </w:rPr>
        <w:t xml:space="preserve"> Should the grantee or Contractor fail to begin work within </w:t>
      </w:r>
      <w:r>
        <w:rPr>
          <w:rFonts w:cs="Garamond"/>
          <w:color w:val="000000" w:themeColor="text1"/>
        </w:rPr>
        <w:br/>
        <w:t xml:space="preserve">30 days of grant approval, the Commission or Director of Communications Division, upon 5 days written notice to the grantee, reserves the right to terminate the award.  </w:t>
      </w:r>
      <w:r w:rsidRPr="00101C7A">
        <w:rPr>
          <w:rFonts w:cs="Garamond"/>
          <w:color w:val="000000" w:themeColor="text1"/>
        </w:rPr>
        <w:t>If the grantee is unable to complete the proposed project within the required 12-month timeframe, it must notify the Commission as soon as it becomes aware of this prospect.</w:t>
      </w:r>
      <w:r>
        <w:rPr>
          <w:rFonts w:cs="Garamond"/>
          <w:color w:val="000000" w:themeColor="text1"/>
        </w:rPr>
        <w:t xml:space="preserve">  </w:t>
      </w:r>
      <w:r w:rsidRPr="00B8240F">
        <w:rPr>
          <w:rFonts w:cs="Garamond"/>
          <w:color w:val="000000" w:themeColor="text1"/>
        </w:rPr>
        <w:t xml:space="preserve">If such notice is not provided, the Commission </w:t>
      </w:r>
      <w:r>
        <w:rPr>
          <w:rFonts w:cs="Garamond"/>
          <w:color w:val="000000" w:themeColor="text1"/>
        </w:rPr>
        <w:t xml:space="preserve">reserves the right to reduce or withhold </w:t>
      </w:r>
      <w:r w:rsidRPr="00B8240F">
        <w:rPr>
          <w:rFonts w:cs="Garamond"/>
          <w:color w:val="000000" w:themeColor="text1"/>
        </w:rPr>
        <w:t>payment for failure to satisfy this requirement.</w:t>
      </w:r>
    </w:p>
    <w:p w:rsidRPr="00B8240F" w:rsidR="000D7072" w:rsidP="00CD03D8" w:rsidRDefault="000D7072" w14:paraId="3CF5DE3C" w14:textId="77777777">
      <w:pPr>
        <w:ind w:right="-18"/>
        <w:jc w:val="both"/>
        <w:rPr>
          <w:rFonts w:cs="Garamond"/>
          <w:color w:val="000000" w:themeColor="text1"/>
        </w:rPr>
      </w:pPr>
    </w:p>
    <w:p w:rsidRPr="00B8240F" w:rsidR="000D7072" w:rsidP="00CD03D8" w:rsidRDefault="000D7072" w14:paraId="3F5B753F" w14:textId="77777777">
      <w:pPr>
        <w:ind w:right="-18"/>
        <w:jc w:val="both"/>
        <w:rPr>
          <w:rFonts w:cs="Garamond"/>
          <w:color w:val="000000" w:themeColor="text1"/>
        </w:rPr>
      </w:pPr>
      <w:r w:rsidRPr="00405769">
        <w:t xml:space="preserve">Grantees must operate and maintain the network for a minimum of five years after it has been installed. </w:t>
      </w:r>
      <w:r>
        <w:t xml:space="preserve"> </w:t>
      </w:r>
      <w:r w:rsidRPr="00405769">
        <w:t>The grantee must complete all the performance on the project before the termination date in accordance with the terms of approval granted by the Commission.</w:t>
      </w:r>
      <w:r>
        <w:t xml:space="preserve">  </w:t>
      </w:r>
      <w:r w:rsidRPr="00B8240F">
        <w:rPr>
          <w:rFonts w:cs="Garamond"/>
          <w:color w:val="000000" w:themeColor="text1"/>
        </w:rPr>
        <w:t xml:space="preserve">In the event that </w:t>
      </w:r>
      <w:r w:rsidRPr="00105612">
        <w:rPr>
          <w:color w:val="000000" w:themeColor="text1"/>
        </w:rPr>
        <w:t>CHISPA,</w:t>
      </w:r>
      <w:r>
        <w:rPr>
          <w:color w:val="000000" w:themeColor="text1"/>
        </w:rPr>
        <w:t xml:space="preserve"> Eden Housing</w:t>
      </w:r>
      <w:r w:rsidRPr="00105612">
        <w:rPr>
          <w:color w:val="000000" w:themeColor="text1"/>
        </w:rPr>
        <w:t>,</w:t>
      </w:r>
      <w:r>
        <w:rPr>
          <w:color w:val="000000" w:themeColor="text1"/>
        </w:rPr>
        <w:t xml:space="preserve"> </w:t>
      </w:r>
      <w:r w:rsidRPr="00105612">
        <w:rPr>
          <w:color w:val="000000" w:themeColor="text1"/>
        </w:rPr>
        <w:t>RCD Housing, SHE, and Shelter Inc.</w:t>
      </w:r>
      <w:r w:rsidRPr="00B8240F">
        <w:rPr>
          <w:color w:val="000000" w:themeColor="text1"/>
        </w:rPr>
        <w:t xml:space="preserve"> </w:t>
      </w:r>
      <w:r w:rsidRPr="00B8240F">
        <w:rPr>
          <w:rFonts w:cs="Garamond"/>
          <w:color w:val="000000" w:themeColor="text1"/>
        </w:rPr>
        <w:t xml:space="preserve">fail to complete the </w:t>
      </w:r>
      <w:r>
        <w:rPr>
          <w:rFonts w:cs="Garamond"/>
          <w:color w:val="000000" w:themeColor="text1"/>
        </w:rPr>
        <w:t xml:space="preserve">project or subsequently operate and maintain the network service in accordance with the terms of approval granted by the Commission and compliance with the CASF program guidelines, </w:t>
      </w:r>
      <w:r w:rsidRPr="00105612">
        <w:rPr>
          <w:color w:val="000000" w:themeColor="text1"/>
        </w:rPr>
        <w:t>CHISPA,</w:t>
      </w:r>
      <w:r>
        <w:rPr>
          <w:color w:val="000000" w:themeColor="text1"/>
        </w:rPr>
        <w:t xml:space="preserve"> Eden Housing</w:t>
      </w:r>
      <w:r w:rsidRPr="00105612">
        <w:rPr>
          <w:color w:val="000000" w:themeColor="text1"/>
        </w:rPr>
        <w:t>,</w:t>
      </w:r>
      <w:r>
        <w:rPr>
          <w:color w:val="000000" w:themeColor="text1"/>
        </w:rPr>
        <w:t xml:space="preserve"> </w:t>
      </w:r>
      <w:r w:rsidRPr="00105612">
        <w:rPr>
          <w:color w:val="000000" w:themeColor="text1"/>
        </w:rPr>
        <w:t>RCD Housing, SHE, and Shelter Inc.</w:t>
      </w:r>
      <w:r>
        <w:rPr>
          <w:rFonts w:cs="Garamond"/>
          <w:color w:val="000000" w:themeColor="text1"/>
        </w:rPr>
        <w:t xml:space="preserve"> must reimburse some or all of the CASF BPHA funds that it has received. </w:t>
      </w:r>
    </w:p>
    <w:p w:rsidR="000D7072" w:rsidP="00CD03D8" w:rsidRDefault="000D7072" w14:paraId="32ADB65F" w14:textId="77777777">
      <w:pPr>
        <w:ind w:right="-18"/>
        <w:jc w:val="both"/>
        <w:rPr>
          <w:rFonts w:cs="Garamond"/>
          <w:color w:val="000000" w:themeColor="text1"/>
        </w:rPr>
      </w:pPr>
    </w:p>
    <w:p w:rsidRPr="000414BA" w:rsidR="000D7072" w:rsidP="00CD03D8" w:rsidRDefault="000D7072" w14:paraId="4D3A3519" w14:textId="77777777">
      <w:pPr>
        <w:ind w:right="-18"/>
        <w:jc w:val="both"/>
        <w:rPr>
          <w:rFonts w:cs="Garamond"/>
          <w:color w:val="000000" w:themeColor="text1"/>
        </w:rPr>
      </w:pPr>
      <w:r w:rsidRPr="00105612">
        <w:rPr>
          <w:color w:val="000000" w:themeColor="text1"/>
        </w:rPr>
        <w:t>CHISPA,</w:t>
      </w:r>
      <w:r>
        <w:rPr>
          <w:color w:val="000000" w:themeColor="text1"/>
        </w:rPr>
        <w:t xml:space="preserve"> Eden Housing</w:t>
      </w:r>
      <w:r w:rsidRPr="00105612">
        <w:rPr>
          <w:color w:val="000000" w:themeColor="text1"/>
        </w:rPr>
        <w:t>,</w:t>
      </w:r>
      <w:r>
        <w:rPr>
          <w:color w:val="000000" w:themeColor="text1"/>
        </w:rPr>
        <w:t xml:space="preserve"> </w:t>
      </w:r>
      <w:r w:rsidRPr="00105612">
        <w:rPr>
          <w:color w:val="000000" w:themeColor="text1"/>
        </w:rPr>
        <w:t>RCD Housing, SHE, and Shelter Inc.</w:t>
      </w:r>
      <w:r>
        <w:rPr>
          <w:color w:val="000000" w:themeColor="text1"/>
        </w:rPr>
        <w:t xml:space="preserve"> </w:t>
      </w:r>
      <w:r w:rsidRPr="00405769">
        <w:t xml:space="preserve">must sign a consent form within 30 days from the date of the award agreeing to the terms stated in the </w:t>
      </w:r>
      <w:r>
        <w:t>R</w:t>
      </w:r>
      <w:r w:rsidRPr="00405769">
        <w:t xml:space="preserve">esolution authorizing the CASF award. </w:t>
      </w:r>
      <w:r>
        <w:t xml:space="preserve"> </w:t>
      </w:r>
      <w:r w:rsidRPr="00405769">
        <w:t xml:space="preserve">Should </w:t>
      </w:r>
      <w:r w:rsidRPr="00105612">
        <w:rPr>
          <w:color w:val="000000" w:themeColor="text1"/>
        </w:rPr>
        <w:t>CHISPA,</w:t>
      </w:r>
      <w:r>
        <w:rPr>
          <w:color w:val="000000" w:themeColor="text1"/>
        </w:rPr>
        <w:t xml:space="preserve"> Eden Housing</w:t>
      </w:r>
      <w:r w:rsidRPr="00105612">
        <w:rPr>
          <w:color w:val="000000" w:themeColor="text1"/>
        </w:rPr>
        <w:t>,</w:t>
      </w:r>
      <w:r>
        <w:rPr>
          <w:color w:val="000000" w:themeColor="text1"/>
        </w:rPr>
        <w:t xml:space="preserve"> </w:t>
      </w:r>
      <w:r w:rsidRPr="00105612">
        <w:rPr>
          <w:color w:val="000000" w:themeColor="text1"/>
        </w:rPr>
        <w:t>RCD Housing, SHE, and Shelter Inc.</w:t>
      </w:r>
      <w:r>
        <w:rPr>
          <w:color w:val="000000" w:themeColor="text1"/>
        </w:rPr>
        <w:t xml:space="preserve"> </w:t>
      </w:r>
      <w:r w:rsidRPr="00405769">
        <w:t>not accept the award through failure to submit the consent form within 30 calendar days from the date of the award, the Commission will deem the grant null and void.</w:t>
      </w:r>
    </w:p>
    <w:p w:rsidR="000D7072" w:rsidP="00CD03D8" w:rsidRDefault="000D7072" w14:paraId="4D13F113" w14:textId="77777777">
      <w:pPr>
        <w:ind w:right="-18"/>
        <w:jc w:val="both"/>
        <w:rPr>
          <w:rFonts w:cs="Garamond"/>
          <w:color w:val="000000" w:themeColor="text1"/>
        </w:rPr>
      </w:pPr>
    </w:p>
    <w:p w:rsidRPr="00853909" w:rsidR="000D7072" w:rsidP="00CD03D8" w:rsidRDefault="000D7072" w14:paraId="11143C73" w14:textId="77777777">
      <w:pPr>
        <w:ind w:right="-18"/>
        <w:jc w:val="both"/>
        <w:rPr>
          <w:rFonts w:cs="Garamond"/>
          <w:color w:val="000000" w:themeColor="text1"/>
        </w:rPr>
      </w:pPr>
      <w:r w:rsidRPr="00405769">
        <w:t>Material changes in the entries for this application, such as discontinuing operation or bankruptcy, or change of name (DBA), change of address, telephone, fax number or e-mail address must be reported immediately by a letter to the CPUC, Director of the Communications Division, 505 Van Ness Avenue, San Francisco, CA 94102.</w:t>
      </w:r>
    </w:p>
    <w:p w:rsidRPr="00B8240F" w:rsidR="000D7072" w:rsidP="00996A8F" w:rsidRDefault="000D7072" w14:paraId="505FB363" w14:textId="77777777">
      <w:pPr>
        <w:ind w:right="-18"/>
        <w:rPr>
          <w:rFonts w:cs="Garamond"/>
          <w:color w:val="000000" w:themeColor="text1"/>
        </w:rPr>
      </w:pPr>
    </w:p>
    <w:p w:rsidRPr="00B8240F" w:rsidR="000D7072" w:rsidP="00E66968" w:rsidRDefault="000D7072" w14:paraId="0271ABDE" w14:textId="77777777">
      <w:pPr>
        <w:widowControl/>
        <w:numPr>
          <w:ilvl w:val="0"/>
          <w:numId w:val="10"/>
        </w:numPr>
        <w:autoSpaceDE/>
        <w:autoSpaceDN/>
        <w:ind w:left="900" w:right="-18"/>
        <w:rPr>
          <w:rFonts w:cs="Garamond"/>
          <w:b/>
          <w:color w:val="000000" w:themeColor="text1"/>
        </w:rPr>
      </w:pPr>
      <w:r w:rsidRPr="00B8240F">
        <w:rPr>
          <w:rFonts w:cs="Garamond"/>
          <w:b/>
          <w:color w:val="000000" w:themeColor="text1"/>
        </w:rPr>
        <w:t>Project Audit</w:t>
      </w:r>
    </w:p>
    <w:p w:rsidR="000D7072" w:rsidP="00996A8F" w:rsidRDefault="000D7072" w14:paraId="5DDB2163" w14:textId="77777777">
      <w:pPr>
        <w:ind w:right="-18"/>
        <w:rPr>
          <w:rFonts w:cs="Garamond"/>
          <w:b/>
          <w:color w:val="000000" w:themeColor="text1"/>
        </w:rPr>
      </w:pPr>
    </w:p>
    <w:p w:rsidRPr="003D4557" w:rsidR="000D7072" w:rsidP="00CD03D8" w:rsidRDefault="000D7072" w14:paraId="3A9CC695" w14:textId="77777777">
      <w:pPr>
        <w:ind w:right="-18"/>
        <w:jc w:val="both"/>
        <w:rPr>
          <w:rFonts w:cs="Garamond"/>
          <w:color w:val="000000" w:themeColor="text1"/>
        </w:rPr>
      </w:pPr>
      <w:r w:rsidRPr="00B11B79">
        <w:rPr>
          <w:rFonts w:cs="Garamond"/>
          <w:color w:val="000000" w:themeColor="text1"/>
        </w:rPr>
        <w:t xml:space="preserve">The Commission has the right to conduct any necessary audit, quality check, verification, and discovery during project implementation and post-project completion to ensure that CASF funds are spent in accordance with the terms of approval granted by the Commission. </w:t>
      </w:r>
      <w:r>
        <w:rPr>
          <w:rFonts w:cs="Garamond"/>
          <w:color w:val="000000" w:themeColor="text1"/>
        </w:rPr>
        <w:t xml:space="preserve"> </w:t>
      </w:r>
      <w:r w:rsidRPr="00B11B79">
        <w:rPr>
          <w:rFonts w:cs="Garamond"/>
          <w:color w:val="000000" w:themeColor="text1"/>
        </w:rPr>
        <w:t>Invoices submitted will be subject to financial audit by the Commission at any time within 5 years of the release of the final pa</w:t>
      </w:r>
      <w:r w:rsidRPr="00CF22A4">
        <w:rPr>
          <w:rFonts w:cs="Garamond"/>
          <w:color w:val="000000" w:themeColor="text1"/>
        </w:rPr>
        <w:t>yment.</w:t>
      </w:r>
      <w:r w:rsidRPr="00CF22A4">
        <w:rPr>
          <w:rStyle w:val="FootnoteReference"/>
          <w:rFonts w:cs="Garamond"/>
          <w:color w:val="000000" w:themeColor="text1"/>
        </w:rPr>
        <w:t xml:space="preserve"> </w:t>
      </w:r>
      <w:r w:rsidRPr="00CF22A4">
        <w:rPr>
          <w:rStyle w:val="FootnoteReference"/>
          <w:rFonts w:cs="Garamond"/>
          <w:color w:val="000000" w:themeColor="text1"/>
        </w:rPr>
        <w:footnoteReference w:id="22"/>
      </w:r>
      <w:r>
        <w:rPr>
          <w:rFonts w:cs="Garamond"/>
          <w:color w:val="000000" w:themeColor="text1"/>
        </w:rPr>
        <w:t xml:space="preserve"> </w:t>
      </w:r>
    </w:p>
    <w:p w:rsidRPr="000571D5" w:rsidR="000D7072" w:rsidP="00996A8F" w:rsidRDefault="000D7072" w14:paraId="2B7B1706" w14:textId="77777777">
      <w:pPr>
        <w:ind w:right="-18"/>
        <w:rPr>
          <w:rFonts w:cs="Garamond"/>
          <w:color w:val="000000" w:themeColor="text1"/>
        </w:rPr>
      </w:pPr>
    </w:p>
    <w:p w:rsidRPr="000571D5" w:rsidR="000D7072" w:rsidP="00E66968" w:rsidRDefault="000D7072" w14:paraId="2C2F134D" w14:textId="77777777">
      <w:pPr>
        <w:widowControl/>
        <w:numPr>
          <w:ilvl w:val="0"/>
          <w:numId w:val="10"/>
        </w:numPr>
        <w:autoSpaceDE/>
        <w:autoSpaceDN/>
        <w:ind w:left="900" w:right="-18"/>
        <w:rPr>
          <w:rFonts w:cs="Garamond"/>
          <w:b/>
          <w:color w:val="000000" w:themeColor="text1"/>
        </w:rPr>
      </w:pPr>
      <w:r w:rsidRPr="000571D5">
        <w:rPr>
          <w:rFonts w:cs="Garamond"/>
          <w:b/>
          <w:color w:val="000000" w:themeColor="text1"/>
        </w:rPr>
        <w:t xml:space="preserve">Reporting </w:t>
      </w:r>
    </w:p>
    <w:p w:rsidRPr="000571D5" w:rsidR="000D7072" w:rsidP="00996A8F" w:rsidRDefault="000D7072" w14:paraId="25044DD0" w14:textId="77777777">
      <w:pPr>
        <w:ind w:right="-18"/>
        <w:rPr>
          <w:rFonts w:cs="Garamond"/>
          <w:color w:val="000000" w:themeColor="text1"/>
        </w:rPr>
      </w:pPr>
    </w:p>
    <w:p w:rsidRPr="009A712D" w:rsidR="000D7072" w:rsidP="00CD03D8" w:rsidRDefault="000D7072" w14:paraId="3129DA10" w14:textId="77777777">
      <w:pPr>
        <w:ind w:right="-18"/>
        <w:jc w:val="both"/>
        <w:rPr>
          <w:color w:val="000000" w:themeColor="text1"/>
        </w:rPr>
      </w:pPr>
      <w:r w:rsidRPr="00105612">
        <w:rPr>
          <w:color w:val="000000" w:themeColor="text1"/>
        </w:rPr>
        <w:t>CHISPA,</w:t>
      </w:r>
      <w:r>
        <w:rPr>
          <w:color w:val="000000" w:themeColor="text1"/>
        </w:rPr>
        <w:t xml:space="preserve"> Eden Housing</w:t>
      </w:r>
      <w:r w:rsidRPr="00105612">
        <w:rPr>
          <w:color w:val="000000" w:themeColor="text1"/>
        </w:rPr>
        <w:t>,</w:t>
      </w:r>
      <w:r>
        <w:rPr>
          <w:color w:val="000000" w:themeColor="text1"/>
        </w:rPr>
        <w:t xml:space="preserve"> </w:t>
      </w:r>
      <w:r w:rsidRPr="00105612">
        <w:rPr>
          <w:color w:val="000000" w:themeColor="text1"/>
        </w:rPr>
        <w:t>RCD Housing, SHE, and Shelter Inc.</w:t>
      </w:r>
      <w:r w:rsidRPr="009A712D">
        <w:rPr>
          <w:color w:val="000000" w:themeColor="text1"/>
        </w:rPr>
        <w:t xml:space="preserve"> </w:t>
      </w:r>
      <w:r w:rsidRPr="009A712D">
        <w:t>are required to submit a project status report within six months of the project award date if the project has not been completed, irrespective of whether the grantee requests reimbursement or payment.</w:t>
      </w:r>
      <w:r w:rsidRPr="009A712D">
        <w:rPr>
          <w:color w:val="000000" w:themeColor="text1"/>
        </w:rPr>
        <w:t xml:space="preserve">  </w:t>
      </w:r>
      <w:r>
        <w:rPr>
          <w:color w:val="000000" w:themeColor="text1"/>
        </w:rPr>
        <w:t>Project status reporting requirements can be found at the Commission’s website.</w:t>
      </w:r>
      <w:r>
        <w:rPr>
          <w:rStyle w:val="FootnoteReference"/>
          <w:color w:val="000000" w:themeColor="text1"/>
        </w:rPr>
        <w:footnoteReference w:id="23"/>
      </w:r>
      <w:r>
        <w:rPr>
          <w:color w:val="000000" w:themeColor="text1"/>
        </w:rPr>
        <w:t xml:space="preserve"> </w:t>
      </w:r>
      <w:r w:rsidRPr="00105612">
        <w:rPr>
          <w:color w:val="000000" w:themeColor="text1"/>
        </w:rPr>
        <w:t>CHISPA,</w:t>
      </w:r>
      <w:r>
        <w:rPr>
          <w:color w:val="000000" w:themeColor="text1"/>
        </w:rPr>
        <w:t xml:space="preserve"> Eden Housing</w:t>
      </w:r>
      <w:r w:rsidRPr="00105612">
        <w:rPr>
          <w:color w:val="000000" w:themeColor="text1"/>
        </w:rPr>
        <w:t>,</w:t>
      </w:r>
      <w:r>
        <w:rPr>
          <w:color w:val="000000" w:themeColor="text1"/>
        </w:rPr>
        <w:t xml:space="preserve"> </w:t>
      </w:r>
      <w:r w:rsidRPr="00105612">
        <w:rPr>
          <w:color w:val="000000" w:themeColor="text1"/>
        </w:rPr>
        <w:t>RCD Housing, SHE, and Shelter Inc.</w:t>
      </w:r>
      <w:r w:rsidRPr="009A712D">
        <w:rPr>
          <w:color w:val="000000" w:themeColor="text1"/>
        </w:rPr>
        <w:t xml:space="preserve"> must</w:t>
      </w:r>
      <w:r w:rsidRPr="009A712D">
        <w:rPr>
          <w:rFonts w:cs="Garamond"/>
          <w:color w:val="000000" w:themeColor="text1"/>
        </w:rPr>
        <w:t xml:space="preserve"> identify foreseeable risks that might prevent it from meeting future milestones.  Before full payment of the project, </w:t>
      </w:r>
      <w:r w:rsidRPr="00105612">
        <w:rPr>
          <w:color w:val="000000" w:themeColor="text1"/>
        </w:rPr>
        <w:t>CHISPA,</w:t>
      </w:r>
      <w:r>
        <w:rPr>
          <w:color w:val="000000" w:themeColor="text1"/>
        </w:rPr>
        <w:t xml:space="preserve"> Eden Housing</w:t>
      </w:r>
      <w:r w:rsidRPr="00105612">
        <w:rPr>
          <w:color w:val="000000" w:themeColor="text1"/>
        </w:rPr>
        <w:t>,</w:t>
      </w:r>
      <w:r>
        <w:rPr>
          <w:color w:val="000000" w:themeColor="text1"/>
        </w:rPr>
        <w:t xml:space="preserve"> </w:t>
      </w:r>
      <w:r w:rsidRPr="00105612">
        <w:rPr>
          <w:color w:val="000000" w:themeColor="text1"/>
        </w:rPr>
        <w:t>RCD Housing, SHE, and Shelter Inc.</w:t>
      </w:r>
      <w:r>
        <w:rPr>
          <w:color w:val="000000" w:themeColor="text1"/>
        </w:rPr>
        <w:t xml:space="preserve"> </w:t>
      </w:r>
      <w:r w:rsidRPr="009A712D">
        <w:rPr>
          <w:rFonts w:cs="Garamond"/>
          <w:color w:val="000000" w:themeColor="text1"/>
        </w:rPr>
        <w:t xml:space="preserve">must submit a project completion report.  </w:t>
      </w:r>
      <w:bookmarkStart w:name="_Hlk130299853" w:id="4"/>
      <w:r w:rsidRPr="00105612">
        <w:rPr>
          <w:color w:val="000000" w:themeColor="text1"/>
        </w:rPr>
        <w:t>CHISPA,</w:t>
      </w:r>
      <w:r>
        <w:rPr>
          <w:color w:val="000000" w:themeColor="text1"/>
        </w:rPr>
        <w:t xml:space="preserve"> Eden Housing</w:t>
      </w:r>
      <w:r w:rsidRPr="00105612">
        <w:rPr>
          <w:color w:val="000000" w:themeColor="text1"/>
        </w:rPr>
        <w:t>,</w:t>
      </w:r>
      <w:r>
        <w:rPr>
          <w:color w:val="000000" w:themeColor="text1"/>
        </w:rPr>
        <w:t xml:space="preserve"> </w:t>
      </w:r>
      <w:r w:rsidRPr="00105612">
        <w:rPr>
          <w:color w:val="000000" w:themeColor="text1"/>
        </w:rPr>
        <w:t>RCD Housing, SHE, and Shelter Inc.</w:t>
      </w:r>
      <w:bookmarkEnd w:id="4"/>
      <w:r w:rsidRPr="009A712D">
        <w:rPr>
          <w:color w:val="000000" w:themeColor="text1"/>
        </w:rPr>
        <w:t xml:space="preserve"> </w:t>
      </w:r>
      <w:r w:rsidRPr="009A712D">
        <w:rPr>
          <w:rFonts w:cs="Garamond"/>
          <w:color w:val="000000" w:themeColor="text1"/>
        </w:rPr>
        <w:t xml:space="preserve">shall also include speed test results in its completion report.  </w:t>
      </w:r>
      <w:r w:rsidRPr="00105612">
        <w:rPr>
          <w:color w:val="000000" w:themeColor="text1"/>
        </w:rPr>
        <w:t>CHISPA,</w:t>
      </w:r>
      <w:r>
        <w:rPr>
          <w:color w:val="000000" w:themeColor="text1"/>
        </w:rPr>
        <w:t xml:space="preserve"> Eden Housing</w:t>
      </w:r>
      <w:r w:rsidRPr="00105612">
        <w:rPr>
          <w:color w:val="000000" w:themeColor="text1"/>
        </w:rPr>
        <w:t>,</w:t>
      </w:r>
      <w:r>
        <w:rPr>
          <w:color w:val="000000" w:themeColor="text1"/>
        </w:rPr>
        <w:t xml:space="preserve"> </w:t>
      </w:r>
      <w:r w:rsidRPr="00105612">
        <w:rPr>
          <w:color w:val="000000" w:themeColor="text1"/>
        </w:rPr>
        <w:t>RCD Housing, SHE, and Shelter Inc.</w:t>
      </w:r>
      <w:r w:rsidRPr="009A712D">
        <w:rPr>
          <w:color w:val="000000" w:themeColor="text1"/>
        </w:rPr>
        <w:t xml:space="preserve"> </w:t>
      </w:r>
      <w:r w:rsidRPr="009A712D">
        <w:rPr>
          <w:rFonts w:cs="Garamond"/>
          <w:color w:val="000000" w:themeColor="text1"/>
        </w:rPr>
        <w:t>must certify that each progress and completion report is true and correct under penalty of perjury.</w:t>
      </w:r>
    </w:p>
    <w:p w:rsidRPr="000571D5" w:rsidR="000D7072" w:rsidP="00CD03D8" w:rsidRDefault="000D7072" w14:paraId="2D9F65D0" w14:textId="77777777">
      <w:pPr>
        <w:ind w:right="-18"/>
        <w:jc w:val="both"/>
        <w:rPr>
          <w:rFonts w:cs="Garamond"/>
          <w:color w:val="000000" w:themeColor="text1"/>
        </w:rPr>
      </w:pPr>
    </w:p>
    <w:p w:rsidR="000D7072" w:rsidP="00CD03D8" w:rsidRDefault="000D7072" w14:paraId="5711B9C6" w14:textId="77777777">
      <w:pPr>
        <w:ind w:right="-18"/>
        <w:jc w:val="both"/>
        <w:rPr>
          <w:rFonts w:cs="Garamond"/>
          <w:color w:val="000000" w:themeColor="text1"/>
        </w:rPr>
      </w:pPr>
      <w:r w:rsidRPr="00105612">
        <w:rPr>
          <w:color w:val="000000" w:themeColor="text1"/>
        </w:rPr>
        <w:t>CHISPA,</w:t>
      </w:r>
      <w:r>
        <w:rPr>
          <w:color w:val="000000" w:themeColor="text1"/>
        </w:rPr>
        <w:t xml:space="preserve"> Eden Housing</w:t>
      </w:r>
      <w:r w:rsidRPr="00105612">
        <w:rPr>
          <w:color w:val="000000" w:themeColor="text1"/>
        </w:rPr>
        <w:t>,</w:t>
      </w:r>
      <w:r>
        <w:rPr>
          <w:color w:val="000000" w:themeColor="text1"/>
        </w:rPr>
        <w:t xml:space="preserve"> </w:t>
      </w:r>
      <w:r w:rsidRPr="00105612">
        <w:rPr>
          <w:color w:val="000000" w:themeColor="text1"/>
        </w:rPr>
        <w:t>RCD Housing, SHE, and Shelter Inc.</w:t>
      </w:r>
      <w:r w:rsidRPr="00501335">
        <w:rPr>
          <w:color w:val="000000" w:themeColor="text1"/>
        </w:rPr>
        <w:t xml:space="preserve"> </w:t>
      </w:r>
      <w:r w:rsidRPr="000571D5">
        <w:rPr>
          <w:rFonts w:cs="Garamond"/>
          <w:color w:val="000000" w:themeColor="text1"/>
        </w:rPr>
        <w:t>are required to maintain the broadband network for five years after it has been installed.  After installation, for a five-year period, they must also submit quarterly reports showing the percentage of up time, the number of unique log-ons (either by individuals or by units) and the amount of data used.</w:t>
      </w:r>
      <w:r w:rsidRPr="000571D5">
        <w:rPr>
          <w:rStyle w:val="FootnoteReference"/>
          <w:rFonts w:cs="Garamond"/>
          <w:color w:val="000000" w:themeColor="text1"/>
        </w:rPr>
        <w:footnoteReference w:id="24"/>
      </w:r>
    </w:p>
    <w:p w:rsidRPr="000571D5" w:rsidR="000D7072" w:rsidP="00996A8F" w:rsidRDefault="000D7072" w14:paraId="5E10B945" w14:textId="77777777">
      <w:pPr>
        <w:ind w:right="-18"/>
        <w:rPr>
          <w:rFonts w:cs="Garamond"/>
          <w:color w:val="000000" w:themeColor="text1"/>
        </w:rPr>
      </w:pPr>
    </w:p>
    <w:p w:rsidRPr="000571D5" w:rsidR="000D7072" w:rsidP="00E66968" w:rsidRDefault="000D7072" w14:paraId="42A06BD3" w14:textId="77777777">
      <w:pPr>
        <w:widowControl/>
        <w:numPr>
          <w:ilvl w:val="0"/>
          <w:numId w:val="10"/>
        </w:numPr>
        <w:autoSpaceDE/>
        <w:autoSpaceDN/>
        <w:ind w:left="900" w:right="-18"/>
        <w:rPr>
          <w:rFonts w:cs="Garamond"/>
          <w:b/>
          <w:color w:val="000000" w:themeColor="text1"/>
        </w:rPr>
      </w:pPr>
      <w:r w:rsidRPr="000571D5">
        <w:rPr>
          <w:rFonts w:cs="Garamond"/>
          <w:b/>
          <w:color w:val="000000" w:themeColor="text1"/>
        </w:rPr>
        <w:t>Payments</w:t>
      </w:r>
    </w:p>
    <w:p w:rsidRPr="000571D5" w:rsidR="000D7072" w:rsidP="00996A8F" w:rsidRDefault="000D7072" w14:paraId="1F555CBD" w14:textId="77777777">
      <w:pPr>
        <w:ind w:right="-18"/>
        <w:rPr>
          <w:rFonts w:cs="Garamond"/>
          <w:color w:val="000000" w:themeColor="text1"/>
        </w:rPr>
      </w:pPr>
    </w:p>
    <w:p w:rsidR="000D7072" w:rsidP="00CD03D8" w:rsidRDefault="000D7072" w14:paraId="28D38565" w14:textId="77777777">
      <w:pPr>
        <w:ind w:right="-18"/>
        <w:jc w:val="both"/>
        <w:rPr>
          <w:rFonts w:cs="Garamond"/>
          <w:color w:val="000000" w:themeColor="text1"/>
        </w:rPr>
      </w:pPr>
      <w:r w:rsidRPr="00744FC8">
        <w:rPr>
          <w:rFonts w:cs="Garamond"/>
          <w:color w:val="000000" w:themeColor="text1"/>
        </w:rPr>
        <w:t xml:space="preserve">Submission of invoices from and payments to </w:t>
      </w:r>
      <w:r w:rsidRPr="00105612">
        <w:rPr>
          <w:color w:val="000000" w:themeColor="text1"/>
        </w:rPr>
        <w:t>CHISPA,</w:t>
      </w:r>
      <w:r>
        <w:rPr>
          <w:color w:val="000000" w:themeColor="text1"/>
        </w:rPr>
        <w:t xml:space="preserve"> Eden Housing</w:t>
      </w:r>
      <w:r w:rsidRPr="00105612">
        <w:rPr>
          <w:color w:val="000000" w:themeColor="text1"/>
        </w:rPr>
        <w:t>,</w:t>
      </w:r>
      <w:r>
        <w:rPr>
          <w:color w:val="000000" w:themeColor="text1"/>
        </w:rPr>
        <w:t xml:space="preserve"> </w:t>
      </w:r>
      <w:r w:rsidRPr="00105612">
        <w:rPr>
          <w:color w:val="000000" w:themeColor="text1"/>
        </w:rPr>
        <w:t>RCD Housing, SHE, and Shelter Inc.</w:t>
      </w:r>
      <w:r w:rsidRPr="00B8240F">
        <w:rPr>
          <w:color w:val="000000" w:themeColor="text1"/>
        </w:rPr>
        <w:t xml:space="preserve"> </w:t>
      </w:r>
      <w:r w:rsidRPr="00744FC8">
        <w:rPr>
          <w:rFonts w:cs="Garamond"/>
          <w:color w:val="000000" w:themeColor="text1"/>
        </w:rPr>
        <w:t xml:space="preserve">shall be made at completion intervals in accordance with </w:t>
      </w:r>
      <w:r>
        <w:rPr>
          <w:rFonts w:cs="Garamond"/>
          <w:color w:val="000000" w:themeColor="text1"/>
        </w:rPr>
        <w:t xml:space="preserve">D.22-05-029, </w:t>
      </w:r>
      <w:r w:rsidRPr="00744FC8">
        <w:rPr>
          <w:rFonts w:cs="Garamond"/>
          <w:color w:val="000000" w:themeColor="text1"/>
        </w:rPr>
        <w:t xml:space="preserve">Section </w:t>
      </w:r>
      <w:r w:rsidRPr="00130D6D">
        <w:rPr>
          <w:rFonts w:cs="Garamond"/>
          <w:color w:val="000000" w:themeColor="text1"/>
        </w:rPr>
        <w:t>X</w:t>
      </w:r>
      <w:r>
        <w:rPr>
          <w:rFonts w:cs="Garamond"/>
          <w:color w:val="000000" w:themeColor="text1"/>
        </w:rPr>
        <w:t>,</w:t>
      </w:r>
      <w:r w:rsidRPr="00130D6D">
        <w:rPr>
          <w:rFonts w:cs="Garamond"/>
          <w:color w:val="000000" w:themeColor="text1"/>
        </w:rPr>
        <w:t xml:space="preserve"> Appendix 1 and according to the guidelines and supporting documentation required in D</w:t>
      </w:r>
      <w:r w:rsidRPr="159985DE">
        <w:rPr>
          <w:rFonts w:cs="Garamond"/>
          <w:color w:val="000000" w:themeColor="text1"/>
        </w:rPr>
        <w:t>.</w:t>
      </w:r>
      <w:r w:rsidRPr="00130D6D">
        <w:rPr>
          <w:rFonts w:cs="Garamond"/>
          <w:color w:val="000000" w:themeColor="text1"/>
        </w:rPr>
        <w:t xml:space="preserve">22-05-029.  </w:t>
      </w:r>
      <w:r w:rsidRPr="00744FC8">
        <w:rPr>
          <w:rFonts w:cs="Garamond"/>
          <w:color w:val="000000" w:themeColor="text1"/>
        </w:rPr>
        <w:t xml:space="preserve"> </w:t>
      </w:r>
      <w:r>
        <w:t>P</w:t>
      </w:r>
      <w:r w:rsidRPr="00405769">
        <w:t xml:space="preserve">roject status and completion reports </w:t>
      </w:r>
      <w:r>
        <w:t xml:space="preserve">must be submitted </w:t>
      </w:r>
      <w:r w:rsidRPr="00405769">
        <w:t xml:space="preserve">with all required supporting documentation in order to receive payment. Payments are based on submitted receipts, invoices and </w:t>
      </w:r>
      <w:r w:rsidRPr="00405769">
        <w:lastRenderedPageBreak/>
        <w:t>other supporting documentation showing expenditures incurred and work done on the project in accordance with the approved CASF funding budget included in the application</w:t>
      </w:r>
      <w:r>
        <w:t>.</w:t>
      </w:r>
      <w:r w:rsidRPr="00744FC8">
        <w:rPr>
          <w:rFonts w:cs="Garamond"/>
          <w:color w:val="000000" w:themeColor="text1"/>
        </w:rPr>
        <w:t xml:space="preserve"> </w:t>
      </w:r>
      <w:r w:rsidRPr="00105612">
        <w:rPr>
          <w:color w:val="000000" w:themeColor="text1"/>
        </w:rPr>
        <w:t>CHISPA,</w:t>
      </w:r>
      <w:r>
        <w:rPr>
          <w:color w:val="000000" w:themeColor="text1"/>
        </w:rPr>
        <w:t xml:space="preserve"> Eden Housing</w:t>
      </w:r>
      <w:r w:rsidRPr="00105612">
        <w:rPr>
          <w:color w:val="000000" w:themeColor="text1"/>
        </w:rPr>
        <w:t>,</w:t>
      </w:r>
      <w:r>
        <w:rPr>
          <w:color w:val="000000" w:themeColor="text1"/>
        </w:rPr>
        <w:t xml:space="preserve"> </w:t>
      </w:r>
      <w:r w:rsidRPr="00105612">
        <w:rPr>
          <w:color w:val="000000" w:themeColor="text1"/>
        </w:rPr>
        <w:t>RCD Housing, SHE, and Shelter Inc.</w:t>
      </w:r>
      <w:r w:rsidRPr="00B8240F">
        <w:rPr>
          <w:color w:val="000000" w:themeColor="text1"/>
        </w:rPr>
        <w:t xml:space="preserve"> </w:t>
      </w:r>
      <w:r w:rsidRPr="00744FC8">
        <w:rPr>
          <w:rFonts w:cs="Garamond"/>
          <w:color w:val="000000" w:themeColor="text1"/>
        </w:rPr>
        <w:t>must submit a project completion report before full payment.</w:t>
      </w:r>
      <w:r>
        <w:rPr>
          <w:rFonts w:cs="Garamond"/>
          <w:color w:val="000000" w:themeColor="text1"/>
        </w:rPr>
        <w:t xml:space="preserve"> </w:t>
      </w:r>
      <w:r w:rsidRPr="00D25768">
        <w:rPr>
          <w:rFonts w:cs="Garamond"/>
          <w:color w:val="000000" w:themeColor="text1"/>
        </w:rPr>
        <w:t>F</w:t>
      </w:r>
      <w:r w:rsidRPr="00405769">
        <w:t>inal requests for payment must be submitted no later than 90 days after project completion</w:t>
      </w:r>
      <w:r w:rsidRPr="00D25768">
        <w:rPr>
          <w:rFonts w:cs="Garamond"/>
          <w:color w:val="000000" w:themeColor="text1"/>
        </w:rPr>
        <w:t>.</w:t>
      </w:r>
    </w:p>
    <w:p w:rsidRPr="000571D5" w:rsidR="000D7072" w:rsidP="00CD03D8" w:rsidRDefault="000D7072" w14:paraId="55B13926" w14:textId="77777777">
      <w:pPr>
        <w:ind w:right="-18"/>
        <w:jc w:val="both"/>
        <w:rPr>
          <w:rFonts w:cs="Garamond"/>
          <w:color w:val="000000" w:themeColor="text1"/>
        </w:rPr>
      </w:pPr>
    </w:p>
    <w:p w:rsidRPr="000571D5" w:rsidR="000D7072" w:rsidP="00CD03D8" w:rsidRDefault="000D7072" w14:paraId="0AEA4F42" w14:textId="77777777">
      <w:pPr>
        <w:jc w:val="both"/>
        <w:rPr>
          <w:rFonts w:cs="Garamond"/>
          <w:color w:val="000000" w:themeColor="text1"/>
        </w:rPr>
      </w:pPr>
      <w:r w:rsidRPr="000571D5">
        <w:rPr>
          <w:rFonts w:cs="Garamond"/>
          <w:color w:val="000000" w:themeColor="text1"/>
        </w:rPr>
        <w:t xml:space="preserve">Payment </w:t>
      </w:r>
      <w:r w:rsidRPr="00105612">
        <w:rPr>
          <w:color w:val="000000" w:themeColor="text1"/>
        </w:rPr>
        <w:t>CHISPA,</w:t>
      </w:r>
      <w:r>
        <w:rPr>
          <w:color w:val="000000" w:themeColor="text1"/>
        </w:rPr>
        <w:t xml:space="preserve"> Eden Housing</w:t>
      </w:r>
      <w:r w:rsidRPr="00105612">
        <w:rPr>
          <w:color w:val="000000" w:themeColor="text1"/>
        </w:rPr>
        <w:t>,</w:t>
      </w:r>
      <w:r>
        <w:rPr>
          <w:color w:val="000000" w:themeColor="text1"/>
        </w:rPr>
        <w:t xml:space="preserve"> </w:t>
      </w:r>
      <w:r w:rsidRPr="00105612">
        <w:rPr>
          <w:color w:val="000000" w:themeColor="text1"/>
        </w:rPr>
        <w:t>RCD Housing, SHE, and Shelter Inc.</w:t>
      </w:r>
      <w:r w:rsidRPr="00501335">
        <w:rPr>
          <w:rFonts w:cs="Garamond"/>
          <w:color w:val="000000" w:themeColor="text1"/>
        </w:rPr>
        <w:t xml:space="preserve"> </w:t>
      </w:r>
      <w:r w:rsidRPr="00325160">
        <w:rPr>
          <w:rFonts w:cs="Garamond"/>
          <w:color w:val="000000" w:themeColor="text1"/>
        </w:rPr>
        <w:t>will be made in accordance with, and within the time specified in California Government</w:t>
      </w:r>
      <w:r>
        <w:rPr>
          <w:rFonts w:cs="Garamond"/>
          <w:color w:val="000000" w:themeColor="text1"/>
        </w:rPr>
        <w:t xml:space="preserve"> </w:t>
      </w:r>
      <w:r w:rsidRPr="00325160">
        <w:rPr>
          <w:rFonts w:cs="Garamond"/>
          <w:color w:val="000000" w:themeColor="text1"/>
        </w:rPr>
        <w:t xml:space="preserve">Code </w:t>
      </w:r>
      <w:r>
        <w:rPr>
          <w:rFonts w:cs="Garamond"/>
          <w:color w:val="000000" w:themeColor="text1"/>
        </w:rPr>
        <w:br/>
      </w:r>
      <w:r w:rsidRPr="00325160">
        <w:rPr>
          <w:rFonts w:cs="Garamond"/>
          <w:color w:val="000000" w:themeColor="text1"/>
        </w:rPr>
        <w:t xml:space="preserve">§ 927 </w:t>
      </w:r>
      <w:r w:rsidRPr="00325160">
        <w:rPr>
          <w:rFonts w:cs="Garamond"/>
          <w:i/>
          <w:color w:val="000000" w:themeColor="text1"/>
        </w:rPr>
        <w:t>et seq</w:t>
      </w:r>
      <w:r w:rsidRPr="00325160">
        <w:rPr>
          <w:rFonts w:cs="Garamond"/>
          <w:color w:val="000000" w:themeColor="text1"/>
        </w:rPr>
        <w:t>.</w:t>
      </w:r>
      <w:r w:rsidRPr="000571D5">
        <w:rPr>
          <w:rFonts w:cs="Garamond"/>
          <w:color w:val="000000" w:themeColor="text1"/>
        </w:rPr>
        <w:t xml:space="preserve">  </w:t>
      </w:r>
    </w:p>
    <w:p w:rsidR="000D7072" w:rsidP="00CD03D8" w:rsidRDefault="000D7072" w14:paraId="59EF5265" w14:textId="77777777">
      <w:pPr>
        <w:jc w:val="both"/>
      </w:pPr>
    </w:p>
    <w:p w:rsidRPr="00605485" w:rsidR="000D7072" w:rsidP="00CD03D8" w:rsidRDefault="000D7072" w14:paraId="4D38C81A" w14:textId="77777777">
      <w:pPr>
        <w:jc w:val="both"/>
      </w:pPr>
      <w:r w:rsidRPr="00405769">
        <w:t xml:space="preserve">If any portion of reimbursement is found to be out of compliance, </w:t>
      </w:r>
      <w:r w:rsidRPr="00105612">
        <w:rPr>
          <w:color w:val="000000" w:themeColor="text1"/>
        </w:rPr>
        <w:t>CHISPA,</w:t>
      </w:r>
      <w:r>
        <w:rPr>
          <w:color w:val="000000" w:themeColor="text1"/>
        </w:rPr>
        <w:t xml:space="preserve"> Eden Housing</w:t>
      </w:r>
      <w:r w:rsidRPr="00105612">
        <w:rPr>
          <w:color w:val="000000" w:themeColor="text1"/>
        </w:rPr>
        <w:t>,</w:t>
      </w:r>
      <w:r>
        <w:rPr>
          <w:color w:val="000000" w:themeColor="text1"/>
        </w:rPr>
        <w:t xml:space="preserve"> </w:t>
      </w:r>
      <w:r w:rsidRPr="00105612">
        <w:rPr>
          <w:color w:val="000000" w:themeColor="text1"/>
        </w:rPr>
        <w:t>RCD Housing, SHE, and Shelter Inc.</w:t>
      </w:r>
      <w:r>
        <w:t xml:space="preserve"> </w:t>
      </w:r>
      <w:r w:rsidRPr="00405769">
        <w:t>will</w:t>
      </w:r>
      <w:r>
        <w:t xml:space="preserve"> </w:t>
      </w:r>
      <w:r w:rsidRPr="00405769">
        <w:t>be responsible for refunding any disallowed amount along with appropriate interest rates determined in accordance with applicable Commission decisions.</w:t>
      </w:r>
    </w:p>
    <w:p w:rsidRPr="000571D5" w:rsidR="000D7072" w:rsidP="00CD03D8" w:rsidRDefault="000D7072" w14:paraId="16617E5D" w14:textId="77777777">
      <w:pPr>
        <w:ind w:right="-18"/>
        <w:jc w:val="both"/>
        <w:rPr>
          <w:color w:val="000000" w:themeColor="text1"/>
        </w:rPr>
      </w:pPr>
    </w:p>
    <w:p w:rsidR="000D7072" w:rsidP="00CD03D8" w:rsidRDefault="000D7072" w14:paraId="3539855C" w14:textId="77777777">
      <w:pPr>
        <w:tabs>
          <w:tab w:val="right" w:pos="180"/>
        </w:tabs>
        <w:jc w:val="both"/>
        <w:rPr>
          <w:b/>
          <w:color w:val="000000" w:themeColor="text1"/>
        </w:rPr>
      </w:pPr>
      <w:r w:rsidRPr="000571D5">
        <w:rPr>
          <w:b/>
          <w:color w:val="000000" w:themeColor="text1"/>
        </w:rPr>
        <w:t xml:space="preserve">VI.     </w:t>
      </w:r>
      <w:r>
        <w:rPr>
          <w:b/>
          <w:color w:val="000000" w:themeColor="text1"/>
        </w:rPr>
        <w:t>SAFETY CONSIDERATIONS</w:t>
      </w:r>
    </w:p>
    <w:p w:rsidR="000D7072" w:rsidP="00CD03D8" w:rsidRDefault="000D7072" w14:paraId="7ABDF083" w14:textId="77777777">
      <w:pPr>
        <w:tabs>
          <w:tab w:val="right" w:pos="180"/>
        </w:tabs>
        <w:jc w:val="both"/>
        <w:rPr>
          <w:b/>
          <w:color w:val="000000" w:themeColor="text1"/>
        </w:rPr>
      </w:pPr>
    </w:p>
    <w:p w:rsidR="000D7072" w:rsidP="00CD03D8" w:rsidRDefault="000D7072" w14:paraId="63C0C67A" w14:textId="77777777">
      <w:pPr>
        <w:tabs>
          <w:tab w:val="right" w:pos="180"/>
        </w:tabs>
        <w:jc w:val="both"/>
        <w:rPr>
          <w:color w:val="000000" w:themeColor="text1"/>
        </w:rPr>
      </w:pPr>
      <w:r w:rsidRPr="0067541E">
        <w:rPr>
          <w:color w:val="000000" w:themeColor="text1"/>
        </w:rPr>
        <w:t>The deployment of affordable broadband in public housing will improve access to government and e</w:t>
      </w:r>
      <w:r>
        <w:rPr>
          <w:color w:val="000000" w:themeColor="text1"/>
        </w:rPr>
        <w:t>-health services, which improves safety.</w:t>
      </w:r>
    </w:p>
    <w:p w:rsidR="000D7072" w:rsidP="00CD03D8" w:rsidRDefault="000D7072" w14:paraId="758B1DF1" w14:textId="77777777">
      <w:pPr>
        <w:tabs>
          <w:tab w:val="right" w:pos="180"/>
        </w:tabs>
        <w:jc w:val="both"/>
        <w:rPr>
          <w:color w:val="000000" w:themeColor="text1"/>
        </w:rPr>
      </w:pPr>
    </w:p>
    <w:p w:rsidRPr="00C97938" w:rsidR="000D7072" w:rsidP="00CD03D8" w:rsidRDefault="000D7072" w14:paraId="7508AEC4" w14:textId="77777777">
      <w:pPr>
        <w:tabs>
          <w:tab w:val="right" w:pos="180"/>
        </w:tabs>
        <w:jc w:val="both"/>
        <w:rPr>
          <w:b/>
          <w:color w:val="000000" w:themeColor="text1"/>
        </w:rPr>
      </w:pPr>
      <w:r>
        <w:rPr>
          <w:b/>
          <w:color w:val="000000" w:themeColor="text1"/>
        </w:rPr>
        <w:t>VII.</w:t>
      </w:r>
      <w:r>
        <w:rPr>
          <w:b/>
          <w:color w:val="000000" w:themeColor="text1"/>
        </w:rPr>
        <w:tab/>
      </w:r>
      <w:r w:rsidRPr="00C97938">
        <w:rPr>
          <w:b/>
          <w:color w:val="000000" w:themeColor="text1"/>
        </w:rPr>
        <w:t xml:space="preserve">COMMENTS </w:t>
      </w:r>
    </w:p>
    <w:p w:rsidRPr="00C97938" w:rsidR="000D7072" w:rsidP="00CD03D8" w:rsidRDefault="000D7072" w14:paraId="69259E18" w14:textId="77777777">
      <w:pPr>
        <w:tabs>
          <w:tab w:val="right" w:pos="10080"/>
        </w:tabs>
        <w:jc w:val="both"/>
        <w:rPr>
          <w:strike/>
          <w:color w:val="000000" w:themeColor="text1"/>
        </w:rPr>
      </w:pPr>
    </w:p>
    <w:p w:rsidR="000D7072" w:rsidP="00CD03D8" w:rsidRDefault="000D7072" w14:paraId="632EF986" w14:textId="77777777">
      <w:pPr>
        <w:jc w:val="both"/>
        <w:rPr>
          <w:color w:val="000000" w:themeColor="text1"/>
        </w:rPr>
      </w:pPr>
      <w:r w:rsidRPr="00C97938">
        <w:rPr>
          <w:color w:val="000000" w:themeColor="text1"/>
        </w:rPr>
        <w:t xml:space="preserve">In compliance with Public Utilities Code, § 311(g)(1), a Notice of Availability was </w:t>
      </w:r>
      <w:r>
        <w:rPr>
          <w:color w:val="000000" w:themeColor="text1"/>
        </w:rPr>
        <w:br/>
      </w:r>
      <w:r w:rsidRPr="00C97938">
        <w:rPr>
          <w:color w:val="000000" w:themeColor="text1"/>
        </w:rPr>
        <w:t xml:space="preserve">e-mailed on </w:t>
      </w:r>
      <w:r w:rsidRPr="0045241A">
        <w:rPr>
          <w:color w:val="000000" w:themeColor="text1"/>
        </w:rPr>
        <w:t>May 5</w:t>
      </w:r>
      <w:r w:rsidRPr="00C97938">
        <w:rPr>
          <w:color w:val="000000" w:themeColor="text1"/>
        </w:rPr>
        <w:t>, 202</w:t>
      </w:r>
      <w:r>
        <w:rPr>
          <w:color w:val="000000" w:themeColor="text1"/>
        </w:rPr>
        <w:t>3</w:t>
      </w:r>
      <w:r w:rsidRPr="00C97938">
        <w:rPr>
          <w:color w:val="000000" w:themeColor="text1"/>
        </w:rPr>
        <w:t>, informing</w:t>
      </w:r>
      <w:r w:rsidRPr="470E1EE4">
        <w:rPr>
          <w:color w:val="000000" w:themeColor="text1"/>
        </w:rPr>
        <w:t xml:space="preserve"> all parties on the CASF Distribution List of the availability of the draft of this Resolution for public comments at the Commission’s website at </w:t>
      </w:r>
      <w:hyperlink r:id="rId18">
        <w:r w:rsidRPr="470E1EE4">
          <w:rPr>
            <w:rStyle w:val="Hyperlink"/>
          </w:rPr>
          <w:t>http://www.cpuc.ca.gov/</w:t>
        </w:r>
      </w:hyperlink>
      <w:r w:rsidRPr="470E1EE4">
        <w:rPr>
          <w:color w:val="000000" w:themeColor="text1"/>
        </w:rPr>
        <w:t>. This letter also serve</w:t>
      </w:r>
      <w:r>
        <w:rPr>
          <w:color w:val="000000" w:themeColor="text1"/>
        </w:rPr>
        <w:t>s</w:t>
      </w:r>
      <w:r w:rsidRPr="470E1EE4">
        <w:rPr>
          <w:color w:val="000000" w:themeColor="text1"/>
        </w:rPr>
        <w:t xml:space="preserve"> to inform parties that the final conformed Resolution the Commission adopts will be posted and available on this same website.</w:t>
      </w:r>
      <w:r>
        <w:rPr>
          <w:color w:val="000000" w:themeColor="text1"/>
        </w:rPr>
        <w:t xml:space="preserve">  </w:t>
      </w:r>
      <w:r w:rsidRPr="00D8150B">
        <w:rPr>
          <w:color w:val="000000" w:themeColor="text1"/>
        </w:rPr>
        <w:t>The Commission received no public comments</w:t>
      </w:r>
      <w:r>
        <w:rPr>
          <w:color w:val="000000" w:themeColor="text1"/>
        </w:rPr>
        <w:t xml:space="preserve">. </w:t>
      </w:r>
    </w:p>
    <w:p w:rsidR="000D7072" w:rsidP="3D79748F" w:rsidRDefault="000D7072" w14:paraId="1C277EB8" w14:textId="77777777">
      <w:pPr>
        <w:tabs>
          <w:tab w:val="right" w:pos="10080"/>
        </w:tabs>
        <w:rPr>
          <w:strike/>
          <w:color w:val="000000" w:themeColor="text1"/>
        </w:rPr>
      </w:pPr>
    </w:p>
    <w:p w:rsidRPr="000571D5" w:rsidR="000D7072" w:rsidP="00996A8F" w:rsidRDefault="000D7072" w14:paraId="3235280B" w14:textId="77777777">
      <w:pPr>
        <w:tabs>
          <w:tab w:val="right" w:pos="10080"/>
        </w:tabs>
        <w:jc w:val="both"/>
        <w:rPr>
          <w:color w:val="000000" w:themeColor="text1"/>
        </w:rPr>
      </w:pPr>
    </w:p>
    <w:p w:rsidRPr="000571D5" w:rsidR="000D7072" w:rsidP="00996A8F" w:rsidRDefault="000D7072" w14:paraId="3C4E079C" w14:textId="77777777">
      <w:pPr>
        <w:tabs>
          <w:tab w:val="right" w:pos="10080"/>
        </w:tabs>
        <w:jc w:val="both"/>
        <w:rPr>
          <w:b/>
          <w:color w:val="000000" w:themeColor="text1"/>
        </w:rPr>
      </w:pPr>
      <w:r w:rsidRPr="000571D5">
        <w:rPr>
          <w:b/>
          <w:color w:val="000000" w:themeColor="text1"/>
        </w:rPr>
        <w:t>VII</w:t>
      </w:r>
      <w:r>
        <w:rPr>
          <w:b/>
          <w:color w:val="000000" w:themeColor="text1"/>
        </w:rPr>
        <w:t>I</w:t>
      </w:r>
      <w:r w:rsidRPr="000571D5">
        <w:rPr>
          <w:b/>
          <w:color w:val="000000" w:themeColor="text1"/>
        </w:rPr>
        <w:t>.    FINDINGS</w:t>
      </w:r>
    </w:p>
    <w:p w:rsidRPr="000571D5" w:rsidR="000D7072" w:rsidP="00996A8F" w:rsidRDefault="000D7072" w14:paraId="1886CECE" w14:textId="77777777">
      <w:pPr>
        <w:adjustRightInd w:val="0"/>
        <w:rPr>
          <w:color w:val="000000" w:themeColor="text1"/>
        </w:rPr>
      </w:pPr>
    </w:p>
    <w:p w:rsidRPr="00601C20" w:rsidR="000D7072" w:rsidP="00E66968" w:rsidRDefault="000D7072" w14:paraId="06B8743B" w14:textId="77777777">
      <w:pPr>
        <w:widowControl/>
        <w:numPr>
          <w:ilvl w:val="0"/>
          <w:numId w:val="11"/>
        </w:numPr>
        <w:autoSpaceDE/>
        <w:autoSpaceDN/>
        <w:jc w:val="both"/>
        <w:rPr>
          <w:color w:val="000000" w:themeColor="text1"/>
        </w:rPr>
      </w:pPr>
      <w:r w:rsidRPr="00601C20">
        <w:rPr>
          <w:color w:val="000000"/>
        </w:rPr>
        <w:t>On J</w:t>
      </w:r>
      <w:r>
        <w:rPr>
          <w:color w:val="000000"/>
        </w:rPr>
        <w:t>anuary</w:t>
      </w:r>
      <w:r w:rsidRPr="00601C20">
        <w:rPr>
          <w:color w:val="000000"/>
        </w:rPr>
        <w:t xml:space="preserve"> 1, 202</w:t>
      </w:r>
      <w:r>
        <w:rPr>
          <w:color w:val="000000"/>
        </w:rPr>
        <w:t>3</w:t>
      </w:r>
      <w:r w:rsidRPr="00601C20">
        <w:rPr>
          <w:color w:val="000000"/>
        </w:rPr>
        <w:t xml:space="preserve">, </w:t>
      </w:r>
      <w:r w:rsidRPr="00105612">
        <w:rPr>
          <w:color w:val="000000" w:themeColor="text1"/>
        </w:rPr>
        <w:t>CHISPA,</w:t>
      </w:r>
      <w:r>
        <w:rPr>
          <w:color w:val="000000" w:themeColor="text1"/>
        </w:rPr>
        <w:t xml:space="preserve"> Eden Housing</w:t>
      </w:r>
      <w:r w:rsidRPr="00105612">
        <w:rPr>
          <w:color w:val="000000" w:themeColor="text1"/>
        </w:rPr>
        <w:t>,</w:t>
      </w:r>
      <w:r>
        <w:rPr>
          <w:color w:val="000000" w:themeColor="text1"/>
        </w:rPr>
        <w:t xml:space="preserve"> </w:t>
      </w:r>
      <w:r w:rsidRPr="00105612">
        <w:rPr>
          <w:color w:val="000000" w:themeColor="text1"/>
        </w:rPr>
        <w:t>RCD Housing, SHE, and Shelter Inc.</w:t>
      </w:r>
      <w:r w:rsidRPr="00601C20">
        <w:rPr>
          <w:color w:val="000000"/>
        </w:rPr>
        <w:t xml:space="preserve"> submitted </w:t>
      </w:r>
      <w:r>
        <w:rPr>
          <w:color w:val="000000"/>
        </w:rPr>
        <w:t xml:space="preserve">applications for </w:t>
      </w:r>
      <w:r>
        <w:rPr>
          <w:color w:val="000000"/>
        </w:rPr>
        <w:t>14</w:t>
      </w:r>
      <w:r w:rsidRPr="00601C20">
        <w:rPr>
          <w:color w:val="000000"/>
        </w:rPr>
        <w:t xml:space="preserve"> projects totaling</w:t>
      </w:r>
      <w:r w:rsidRPr="0045241A">
        <w:rPr>
          <w:color w:val="000000"/>
        </w:rPr>
        <w:t xml:space="preserve"> $</w:t>
      </w:r>
      <w:r>
        <w:rPr>
          <w:color w:val="000000"/>
        </w:rPr>
        <w:t xml:space="preserve">1,025,846.70 </w:t>
      </w:r>
      <w:r w:rsidRPr="00601C20">
        <w:rPr>
          <w:color w:val="000000"/>
        </w:rPr>
        <w:t xml:space="preserve">for CASF funding. </w:t>
      </w:r>
    </w:p>
    <w:p w:rsidRPr="00981623" w:rsidR="000D7072" w:rsidP="00CD03D8" w:rsidRDefault="000D7072" w14:paraId="6D4FA22B" w14:textId="77777777">
      <w:pPr>
        <w:ind w:left="720"/>
        <w:jc w:val="both"/>
        <w:rPr>
          <w:color w:val="000000" w:themeColor="text1"/>
        </w:rPr>
      </w:pPr>
      <w:r w:rsidRPr="61F1871D">
        <w:rPr>
          <w:color w:val="000000" w:themeColor="text1"/>
        </w:rPr>
        <w:t xml:space="preserve"> </w:t>
      </w:r>
    </w:p>
    <w:p w:rsidR="000D7072" w:rsidP="00E66968" w:rsidRDefault="000D7072" w14:paraId="230D484E" w14:textId="77777777">
      <w:pPr>
        <w:pStyle w:val="ListParagraph"/>
        <w:ind w:left="720" w:firstLine="0"/>
        <w:jc w:val="both"/>
        <w:rPr>
          <w:color w:val="000000" w:themeColor="text1"/>
        </w:rPr>
      </w:pPr>
      <w:r w:rsidRPr="00B21850">
        <w:rPr>
          <w:color w:val="000000"/>
        </w:rPr>
        <w:t xml:space="preserve">All </w:t>
      </w:r>
      <w:r>
        <w:rPr>
          <w:color w:val="000000"/>
        </w:rPr>
        <w:t>14</w:t>
      </w:r>
      <w:r w:rsidRPr="00B21850">
        <w:rPr>
          <w:color w:val="000000"/>
        </w:rPr>
        <w:t xml:space="preserve"> projects exceed the cost per unit benchmark established in the </w:t>
      </w:r>
      <w:r w:rsidRPr="00B21850">
        <w:rPr>
          <w:color w:val="000000" w:themeColor="text1"/>
        </w:rPr>
        <w:t xml:space="preserve">ministerial </w:t>
      </w:r>
      <w:r w:rsidRPr="00B21850">
        <w:rPr>
          <w:color w:val="000000"/>
        </w:rPr>
        <w:t xml:space="preserve">review criteria and are therefore ineligible for </w:t>
      </w:r>
      <w:r w:rsidRPr="00B21850">
        <w:rPr>
          <w:color w:val="000000" w:themeColor="text1"/>
        </w:rPr>
        <w:t xml:space="preserve">ministerial </w:t>
      </w:r>
      <w:r w:rsidRPr="00B21850">
        <w:rPr>
          <w:color w:val="000000"/>
        </w:rPr>
        <w:t>review</w:t>
      </w:r>
      <w:r>
        <w:rPr>
          <w:color w:val="000000"/>
        </w:rPr>
        <w:t>.</w:t>
      </w:r>
      <w:r w:rsidRPr="00981623">
        <w:rPr>
          <w:color w:val="000000" w:themeColor="text1"/>
        </w:rPr>
        <w:t xml:space="preserve"> </w:t>
      </w:r>
    </w:p>
    <w:p w:rsidRPr="00036713" w:rsidR="000D7072" w:rsidP="00CD03D8" w:rsidRDefault="000D7072" w14:paraId="4F9B9567" w14:textId="77777777">
      <w:pPr>
        <w:jc w:val="both"/>
        <w:rPr>
          <w:color w:val="000000" w:themeColor="text1"/>
        </w:rPr>
      </w:pPr>
    </w:p>
    <w:p w:rsidRPr="00036713" w:rsidR="000D7072" w:rsidP="00E66968" w:rsidRDefault="000D7072" w14:paraId="1EBF6BAF" w14:textId="77777777">
      <w:pPr>
        <w:widowControl/>
        <w:numPr>
          <w:ilvl w:val="0"/>
          <w:numId w:val="11"/>
        </w:numPr>
        <w:autoSpaceDE/>
        <w:autoSpaceDN/>
        <w:jc w:val="both"/>
        <w:rPr>
          <w:color w:val="000000" w:themeColor="text1"/>
        </w:rPr>
      </w:pPr>
      <w:r w:rsidRPr="00EE269F">
        <w:rPr>
          <w:color w:val="000000" w:themeColor="text1"/>
        </w:rPr>
        <w:t>Based on</w:t>
      </w:r>
      <w:r w:rsidRPr="00036713">
        <w:rPr>
          <w:color w:val="000000" w:themeColor="text1"/>
        </w:rPr>
        <w:t xml:space="preserve"> its review, Staff determined that all </w:t>
      </w:r>
      <w:r>
        <w:rPr>
          <w:color w:val="000000" w:themeColor="text1"/>
        </w:rPr>
        <w:t>14</w:t>
      </w:r>
      <w:r w:rsidRPr="00036713">
        <w:rPr>
          <w:color w:val="000000" w:themeColor="text1"/>
        </w:rPr>
        <w:t xml:space="preserve"> projects meet BPHA eligibility requirements.  Staff further determined that all </w:t>
      </w:r>
      <w:r>
        <w:rPr>
          <w:color w:val="000000" w:themeColor="text1"/>
        </w:rPr>
        <w:t>14</w:t>
      </w:r>
      <w:r w:rsidRPr="00036713">
        <w:rPr>
          <w:color w:val="000000" w:themeColor="text1"/>
        </w:rPr>
        <w:t xml:space="preserve"> projects qualify for funding under BPHA guidelines per D</w:t>
      </w:r>
      <w:r w:rsidRPr="159985DE">
        <w:rPr>
          <w:color w:val="000000" w:themeColor="text1"/>
        </w:rPr>
        <w:t>.</w:t>
      </w:r>
      <w:r w:rsidRPr="00036713">
        <w:rPr>
          <w:color w:val="000000" w:themeColor="text1"/>
        </w:rPr>
        <w:t xml:space="preserve">22-05-029 and recommends approval of all </w:t>
      </w:r>
      <w:r>
        <w:rPr>
          <w:color w:val="000000" w:themeColor="text1"/>
        </w:rPr>
        <w:t>14</w:t>
      </w:r>
      <w:r w:rsidRPr="00036713">
        <w:rPr>
          <w:color w:val="000000" w:themeColor="text1"/>
        </w:rPr>
        <w:t xml:space="preserve"> projects.</w:t>
      </w:r>
    </w:p>
    <w:p w:rsidRPr="00C4510F" w:rsidR="000D7072" w:rsidP="00CD03D8" w:rsidRDefault="000D7072" w14:paraId="3092D531" w14:textId="77777777">
      <w:pPr>
        <w:jc w:val="both"/>
        <w:rPr>
          <w:color w:val="000000" w:themeColor="text1"/>
        </w:rPr>
      </w:pPr>
    </w:p>
    <w:p w:rsidRPr="006732B5" w:rsidR="000D7072" w:rsidP="00E66968" w:rsidRDefault="000D7072" w14:paraId="0C09909F" w14:textId="77777777">
      <w:pPr>
        <w:pStyle w:val="ListParagraph"/>
        <w:widowControl/>
        <w:numPr>
          <w:ilvl w:val="0"/>
          <w:numId w:val="11"/>
        </w:numPr>
        <w:autoSpaceDE/>
        <w:autoSpaceDN/>
        <w:ind w:right="0"/>
        <w:contextualSpacing/>
        <w:jc w:val="both"/>
        <w:rPr>
          <w:rFonts w:eastAsia="Times New Roman"/>
          <w:color w:val="000000" w:themeColor="text1"/>
        </w:rPr>
      </w:pPr>
      <w:r w:rsidRPr="61F1871D">
        <w:rPr>
          <w:rFonts w:eastAsia="Times New Roman"/>
          <w:color w:val="000000" w:themeColor="text1"/>
        </w:rPr>
        <w:t>The Commission has determined that these projects are categorically exempt from CEQA review, under section 15301 regarding exemption for existing facilities and section 15303 regarding minor modifications to existing structures.</w:t>
      </w:r>
    </w:p>
    <w:p w:rsidRPr="006732B5" w:rsidR="000D7072" w:rsidP="00CD03D8" w:rsidRDefault="000D7072" w14:paraId="65FDD2BD" w14:textId="77777777">
      <w:pPr>
        <w:jc w:val="both"/>
        <w:rPr>
          <w:color w:val="000000" w:themeColor="text1"/>
        </w:rPr>
      </w:pPr>
    </w:p>
    <w:p w:rsidRPr="00C97938" w:rsidR="000D7072" w:rsidP="00E66968" w:rsidRDefault="000D7072" w14:paraId="558A9897" w14:textId="77777777">
      <w:pPr>
        <w:pStyle w:val="ListParagraph"/>
        <w:widowControl/>
        <w:numPr>
          <w:ilvl w:val="0"/>
          <w:numId w:val="11"/>
        </w:numPr>
        <w:tabs>
          <w:tab w:val="right" w:pos="180"/>
        </w:tabs>
        <w:autoSpaceDE/>
        <w:autoSpaceDN/>
        <w:ind w:right="0"/>
        <w:contextualSpacing/>
        <w:jc w:val="both"/>
        <w:rPr>
          <w:color w:val="000000" w:themeColor="text1"/>
        </w:rPr>
      </w:pPr>
      <w:r w:rsidRPr="00C97938">
        <w:rPr>
          <w:color w:val="000000" w:themeColor="text1"/>
        </w:rPr>
        <w:t xml:space="preserve">A notice letter was e-mailed on </w:t>
      </w:r>
      <w:r w:rsidRPr="00D14D92">
        <w:rPr>
          <w:color w:val="000000" w:themeColor="text1"/>
        </w:rPr>
        <w:t>May 5</w:t>
      </w:r>
      <w:r w:rsidRPr="00C97938">
        <w:rPr>
          <w:color w:val="000000" w:themeColor="text1"/>
        </w:rPr>
        <w:t>, 202</w:t>
      </w:r>
      <w:r>
        <w:rPr>
          <w:color w:val="000000" w:themeColor="text1"/>
        </w:rPr>
        <w:t>3</w:t>
      </w:r>
      <w:r w:rsidRPr="00C97938">
        <w:rPr>
          <w:color w:val="000000" w:themeColor="text1"/>
        </w:rPr>
        <w:t xml:space="preserve">, informing all applicants filing for CASF funding, parties on the CASF distribution list of the availability of the draft of this Resolution for public comments at the Commissions website found here </w:t>
      </w:r>
      <w:hyperlink r:id="rId23">
        <w:r w:rsidRPr="00C97938">
          <w:rPr>
            <w:rStyle w:val="Hyperlink"/>
          </w:rPr>
          <w:t>http://www.cpuc.ca.gov/PUC/documents/</w:t>
        </w:r>
      </w:hyperlink>
      <w:r w:rsidRPr="00C97938">
        <w:rPr>
          <w:color w:val="000000" w:themeColor="text1"/>
        </w:rPr>
        <w:t xml:space="preserve">. </w:t>
      </w:r>
      <w:r>
        <w:rPr>
          <w:color w:val="000000" w:themeColor="text1"/>
        </w:rPr>
        <w:t xml:space="preserve"> </w:t>
      </w:r>
      <w:r w:rsidRPr="00D8150B">
        <w:rPr>
          <w:color w:val="000000" w:themeColor="text1"/>
        </w:rPr>
        <w:t>The Commission received no public comments</w:t>
      </w:r>
      <w:r>
        <w:rPr>
          <w:color w:val="000000" w:themeColor="text1"/>
        </w:rPr>
        <w:t xml:space="preserve">. </w:t>
      </w:r>
    </w:p>
    <w:p w:rsidRPr="000571D5" w:rsidR="000D7072" w:rsidP="00996A8F" w:rsidRDefault="000D7072" w14:paraId="410CC354" w14:textId="77777777">
      <w:pPr>
        <w:adjustRightInd w:val="0"/>
        <w:rPr>
          <w:color w:val="000000" w:themeColor="text1"/>
        </w:rPr>
      </w:pPr>
    </w:p>
    <w:p w:rsidRPr="006732B5" w:rsidR="000D7072" w:rsidP="006732B5" w:rsidRDefault="000D7072" w14:paraId="21AE4BA1" w14:textId="77777777">
      <w:pPr>
        <w:rPr>
          <w:b/>
          <w:color w:val="000000" w:themeColor="text1"/>
        </w:rPr>
      </w:pPr>
      <w:r w:rsidRPr="000571D5">
        <w:rPr>
          <w:b/>
          <w:color w:val="000000" w:themeColor="text1"/>
        </w:rPr>
        <w:t>THERFORE, IT IS ORDERED that</w:t>
      </w:r>
      <w:r w:rsidRPr="000571D5">
        <w:rPr>
          <w:color w:val="000000" w:themeColor="text1"/>
        </w:rPr>
        <w:t>:</w:t>
      </w:r>
    </w:p>
    <w:p w:rsidR="000D7072" w:rsidP="00996A8F" w:rsidRDefault="000D7072" w14:paraId="3698185C" w14:textId="77777777">
      <w:pPr>
        <w:adjustRightInd w:val="0"/>
        <w:rPr>
          <w:color w:val="000000" w:themeColor="text1"/>
        </w:rPr>
      </w:pPr>
    </w:p>
    <w:p w:rsidR="000D7072" w:rsidP="00E66968" w:rsidRDefault="000D7072" w14:paraId="03EB5618" w14:textId="77777777">
      <w:pPr>
        <w:widowControl/>
        <w:numPr>
          <w:ilvl w:val="1"/>
          <w:numId w:val="9"/>
        </w:numPr>
        <w:adjustRightInd w:val="0"/>
        <w:spacing w:after="170"/>
        <w:ind w:left="720"/>
        <w:jc w:val="both"/>
        <w:rPr>
          <w:color w:val="000000" w:themeColor="text1"/>
        </w:rPr>
      </w:pPr>
      <w:r w:rsidRPr="00EF7BEE">
        <w:rPr>
          <w:color w:val="000000" w:themeColor="text1"/>
        </w:rPr>
        <w:t xml:space="preserve">The Commission shall award </w:t>
      </w:r>
      <w:r>
        <w:rPr>
          <w:color w:val="000000" w:themeColor="text1"/>
        </w:rPr>
        <w:t xml:space="preserve">the following </w:t>
      </w:r>
      <w:r w:rsidRPr="00EF7BEE">
        <w:rPr>
          <w:color w:val="000000" w:themeColor="text1"/>
        </w:rPr>
        <w:t xml:space="preserve">grant amounts for the projects listed in Table 1: </w:t>
      </w:r>
    </w:p>
    <w:p w:rsidR="000D7072" w:rsidP="00E66968" w:rsidRDefault="000D7072" w14:paraId="765293EF" w14:textId="77777777">
      <w:pPr>
        <w:pStyle w:val="ListParagraph"/>
        <w:widowControl/>
        <w:numPr>
          <w:ilvl w:val="0"/>
          <w:numId w:val="16"/>
        </w:numPr>
        <w:adjustRightInd w:val="0"/>
        <w:spacing w:after="170"/>
        <w:ind w:right="0"/>
        <w:contextualSpacing/>
        <w:rPr>
          <w:color w:val="000000" w:themeColor="text1"/>
        </w:rPr>
      </w:pPr>
      <w:r>
        <w:rPr>
          <w:color w:val="000000" w:themeColor="text1"/>
        </w:rPr>
        <w:t>$</w:t>
      </w:r>
      <w:r w:rsidRPr="008737F2">
        <w:rPr>
          <w:color w:val="000000" w:themeColor="text1"/>
        </w:rPr>
        <w:t>134</w:t>
      </w:r>
      <w:r>
        <w:rPr>
          <w:color w:val="000000" w:themeColor="text1"/>
        </w:rPr>
        <w:t>,</w:t>
      </w:r>
      <w:r w:rsidRPr="008737F2">
        <w:rPr>
          <w:color w:val="000000" w:themeColor="text1"/>
        </w:rPr>
        <w:t>777.76</w:t>
      </w:r>
      <w:r>
        <w:rPr>
          <w:color w:val="000000" w:themeColor="text1"/>
        </w:rPr>
        <w:t xml:space="preserve"> </w:t>
      </w:r>
      <w:r w:rsidRPr="00C4510F">
        <w:rPr>
          <w:color w:val="000000" w:themeColor="text1"/>
        </w:rPr>
        <w:t xml:space="preserve">to </w:t>
      </w:r>
      <w:r>
        <w:rPr>
          <w:color w:val="000000" w:themeColor="text1"/>
        </w:rPr>
        <w:t>CHISPA</w:t>
      </w:r>
      <w:r w:rsidRPr="00C4510F">
        <w:rPr>
          <w:color w:val="000000" w:themeColor="text1"/>
        </w:rPr>
        <w:t xml:space="preserve"> for </w:t>
      </w:r>
      <w:r>
        <w:rPr>
          <w:color w:val="000000" w:themeColor="text1"/>
        </w:rPr>
        <w:t>one</w:t>
      </w:r>
      <w:r w:rsidRPr="00C4510F">
        <w:rPr>
          <w:color w:val="000000" w:themeColor="text1"/>
        </w:rPr>
        <w:t xml:space="preserve"> project</w:t>
      </w:r>
      <w:r>
        <w:rPr>
          <w:color w:val="000000" w:themeColor="text1"/>
        </w:rPr>
        <w:t>;</w:t>
      </w:r>
    </w:p>
    <w:p w:rsidR="000D7072" w:rsidP="00E66968" w:rsidRDefault="000D7072" w14:paraId="59022106" w14:textId="77777777">
      <w:pPr>
        <w:pStyle w:val="ListParagraph"/>
        <w:widowControl/>
        <w:numPr>
          <w:ilvl w:val="0"/>
          <w:numId w:val="16"/>
        </w:numPr>
        <w:adjustRightInd w:val="0"/>
        <w:spacing w:after="170"/>
        <w:ind w:right="0"/>
        <w:contextualSpacing/>
        <w:rPr>
          <w:color w:val="000000" w:themeColor="text1"/>
        </w:rPr>
      </w:pPr>
      <w:r w:rsidRPr="0045241A">
        <w:rPr>
          <w:color w:val="000000" w:themeColor="text1"/>
        </w:rPr>
        <w:t xml:space="preserve">$108,887.94 </w:t>
      </w:r>
      <w:r w:rsidRPr="00C4510F">
        <w:rPr>
          <w:color w:val="000000" w:themeColor="text1"/>
        </w:rPr>
        <w:t xml:space="preserve">to </w:t>
      </w:r>
      <w:r>
        <w:rPr>
          <w:color w:val="000000" w:themeColor="text1"/>
        </w:rPr>
        <w:t xml:space="preserve">Eden Housing </w:t>
      </w:r>
      <w:r w:rsidRPr="00C4510F">
        <w:rPr>
          <w:color w:val="000000" w:themeColor="text1"/>
        </w:rPr>
        <w:t xml:space="preserve">for </w:t>
      </w:r>
      <w:r>
        <w:rPr>
          <w:color w:val="000000" w:themeColor="text1"/>
        </w:rPr>
        <w:t>one</w:t>
      </w:r>
      <w:r w:rsidRPr="00C4510F">
        <w:rPr>
          <w:color w:val="000000" w:themeColor="text1"/>
        </w:rPr>
        <w:t xml:space="preserve"> project</w:t>
      </w:r>
      <w:r>
        <w:rPr>
          <w:color w:val="000000" w:themeColor="text1"/>
        </w:rPr>
        <w:t>;</w:t>
      </w:r>
    </w:p>
    <w:p w:rsidR="000D7072" w:rsidP="00E66968" w:rsidRDefault="000D7072" w14:paraId="41B9BDEB" w14:textId="77777777">
      <w:pPr>
        <w:pStyle w:val="ListParagraph"/>
        <w:widowControl/>
        <w:numPr>
          <w:ilvl w:val="0"/>
          <w:numId w:val="16"/>
        </w:numPr>
        <w:adjustRightInd w:val="0"/>
        <w:spacing w:after="170"/>
        <w:ind w:right="0"/>
        <w:contextualSpacing/>
        <w:rPr>
          <w:color w:val="000000" w:themeColor="text1"/>
        </w:rPr>
      </w:pPr>
      <w:r w:rsidRPr="00C4510F">
        <w:rPr>
          <w:color w:val="000000" w:themeColor="text1"/>
        </w:rPr>
        <w:t>$</w:t>
      </w:r>
      <w:r>
        <w:rPr>
          <w:color w:val="000000" w:themeColor="text1"/>
        </w:rPr>
        <w:t xml:space="preserve">482,563 </w:t>
      </w:r>
      <w:r w:rsidRPr="00C4510F">
        <w:rPr>
          <w:color w:val="000000" w:themeColor="text1"/>
        </w:rPr>
        <w:t xml:space="preserve">to </w:t>
      </w:r>
      <w:r>
        <w:rPr>
          <w:color w:val="000000" w:themeColor="text1"/>
        </w:rPr>
        <w:t>RCD Housing for six</w:t>
      </w:r>
      <w:r w:rsidRPr="00C4510F">
        <w:rPr>
          <w:color w:val="000000" w:themeColor="text1"/>
        </w:rPr>
        <w:t xml:space="preserve"> projects</w:t>
      </w:r>
      <w:r>
        <w:rPr>
          <w:color w:val="000000" w:themeColor="text1"/>
        </w:rPr>
        <w:t>;</w:t>
      </w:r>
    </w:p>
    <w:p w:rsidR="000D7072" w:rsidP="00E66968" w:rsidRDefault="000D7072" w14:paraId="0DB7B8F1" w14:textId="77777777">
      <w:pPr>
        <w:pStyle w:val="ListParagraph"/>
        <w:widowControl/>
        <w:numPr>
          <w:ilvl w:val="0"/>
          <w:numId w:val="16"/>
        </w:numPr>
        <w:adjustRightInd w:val="0"/>
        <w:spacing w:after="170"/>
        <w:ind w:right="0"/>
        <w:contextualSpacing/>
        <w:rPr>
          <w:color w:val="000000" w:themeColor="text1"/>
        </w:rPr>
      </w:pPr>
      <w:r w:rsidRPr="003F5278">
        <w:rPr>
          <w:color w:val="000000" w:themeColor="text1"/>
        </w:rPr>
        <w:t>$</w:t>
      </w:r>
      <w:r>
        <w:rPr>
          <w:color w:val="000000" w:themeColor="text1"/>
        </w:rPr>
        <w:t>217,715 to SHE for five projects;</w:t>
      </w:r>
    </w:p>
    <w:p w:rsidR="000D7072" w:rsidP="00E66968" w:rsidRDefault="000D7072" w14:paraId="5C3E9D7C" w14:textId="77777777">
      <w:pPr>
        <w:pStyle w:val="ListParagraph"/>
        <w:widowControl/>
        <w:numPr>
          <w:ilvl w:val="0"/>
          <w:numId w:val="16"/>
        </w:numPr>
        <w:adjustRightInd w:val="0"/>
        <w:spacing w:after="170"/>
        <w:ind w:right="0"/>
        <w:contextualSpacing/>
        <w:rPr>
          <w:color w:val="000000" w:themeColor="text1"/>
        </w:rPr>
      </w:pPr>
      <w:r w:rsidRPr="003F5278">
        <w:rPr>
          <w:color w:val="000000" w:themeColor="text1"/>
        </w:rPr>
        <w:t>$81,903</w:t>
      </w:r>
      <w:r>
        <w:rPr>
          <w:color w:val="000000" w:themeColor="text1"/>
        </w:rPr>
        <w:t xml:space="preserve"> to Shelter Inc. for one project;</w:t>
      </w:r>
    </w:p>
    <w:p w:rsidR="000D7072" w:rsidP="00CD03D8" w:rsidRDefault="000D7072" w14:paraId="692C9721" w14:textId="77777777">
      <w:pPr>
        <w:adjustRightInd w:val="0"/>
        <w:spacing w:after="170"/>
        <w:ind w:left="720"/>
        <w:jc w:val="both"/>
        <w:rPr>
          <w:color w:val="000000" w:themeColor="text1"/>
        </w:rPr>
      </w:pPr>
      <w:r>
        <w:rPr>
          <w:color w:val="000000" w:themeColor="text1"/>
        </w:rPr>
        <w:t>The</w:t>
      </w:r>
      <w:r w:rsidRPr="00C4510F">
        <w:rPr>
          <w:color w:val="000000" w:themeColor="text1"/>
        </w:rPr>
        <w:t xml:space="preserve"> total </w:t>
      </w:r>
      <w:r>
        <w:rPr>
          <w:color w:val="000000" w:themeColor="text1"/>
        </w:rPr>
        <w:t xml:space="preserve">grant </w:t>
      </w:r>
      <w:r w:rsidRPr="00C4510F">
        <w:rPr>
          <w:color w:val="000000" w:themeColor="text1"/>
        </w:rPr>
        <w:t xml:space="preserve">award </w:t>
      </w:r>
      <w:r>
        <w:rPr>
          <w:color w:val="000000" w:themeColor="text1"/>
        </w:rPr>
        <w:t>is</w:t>
      </w:r>
      <w:r w:rsidRPr="00C4510F">
        <w:rPr>
          <w:color w:val="000000" w:themeColor="text1"/>
        </w:rPr>
        <w:t xml:space="preserve"> </w:t>
      </w:r>
      <w:r w:rsidRPr="0045241A">
        <w:rPr>
          <w:color w:val="000000" w:themeColor="text1"/>
        </w:rPr>
        <w:t>$</w:t>
      </w:r>
      <w:r>
        <w:rPr>
          <w:color w:val="000000" w:themeColor="text1"/>
        </w:rPr>
        <w:t>1,025,846.70</w:t>
      </w:r>
      <w:r w:rsidRPr="00C4510F">
        <w:rPr>
          <w:color w:val="000000" w:themeColor="text1"/>
        </w:rPr>
        <w:t>.  All awards are based on the descriptions of the projects as described herein and are predicated on commitments to install and operate broadband infrastructure as expressed in its application and compliance with the requirements in as specified in D</w:t>
      </w:r>
      <w:r w:rsidRPr="159985DE">
        <w:rPr>
          <w:color w:val="000000" w:themeColor="text1"/>
        </w:rPr>
        <w:t>.</w:t>
      </w:r>
      <w:r>
        <w:rPr>
          <w:color w:val="000000" w:themeColor="text1"/>
        </w:rPr>
        <w:t>22</w:t>
      </w:r>
      <w:r w:rsidRPr="00C4510F">
        <w:rPr>
          <w:color w:val="000000" w:themeColor="text1"/>
        </w:rPr>
        <w:t>-</w:t>
      </w:r>
      <w:r>
        <w:rPr>
          <w:color w:val="000000" w:themeColor="text1"/>
        </w:rPr>
        <w:t>05</w:t>
      </w:r>
      <w:r w:rsidRPr="00C4510F">
        <w:rPr>
          <w:color w:val="000000" w:themeColor="text1"/>
        </w:rPr>
        <w:t>-0</w:t>
      </w:r>
      <w:r>
        <w:rPr>
          <w:color w:val="000000" w:themeColor="text1"/>
        </w:rPr>
        <w:t>2</w:t>
      </w:r>
      <w:r w:rsidRPr="00C4510F">
        <w:rPr>
          <w:color w:val="000000" w:themeColor="text1"/>
        </w:rPr>
        <w:t>9</w:t>
      </w:r>
      <w:r>
        <w:rPr>
          <w:color w:val="000000" w:themeColor="text1"/>
        </w:rPr>
        <w:t xml:space="preserve"> and this Resolution</w:t>
      </w:r>
      <w:r w:rsidRPr="00C4510F">
        <w:rPr>
          <w:color w:val="000000" w:themeColor="text1"/>
        </w:rPr>
        <w:t xml:space="preserve">.  </w:t>
      </w:r>
    </w:p>
    <w:p w:rsidRPr="005431F2" w:rsidR="000D7072" w:rsidP="00E66968" w:rsidRDefault="000D7072" w14:paraId="6EAEBB35" w14:textId="77777777">
      <w:pPr>
        <w:widowControl/>
        <w:numPr>
          <w:ilvl w:val="1"/>
          <w:numId w:val="9"/>
        </w:numPr>
        <w:adjustRightInd w:val="0"/>
        <w:spacing w:after="170"/>
        <w:ind w:left="720"/>
        <w:jc w:val="both"/>
        <w:rPr>
          <w:color w:val="000000" w:themeColor="text1"/>
        </w:rPr>
      </w:pPr>
      <w:r w:rsidRPr="000571D5">
        <w:rPr>
          <w:color w:val="000000" w:themeColor="text1"/>
        </w:rPr>
        <w:t>Grant payments of up to a total of</w:t>
      </w:r>
      <w:r>
        <w:rPr>
          <w:color w:val="000000" w:themeColor="text1"/>
        </w:rPr>
        <w:t xml:space="preserve"> </w:t>
      </w:r>
      <w:r w:rsidRPr="0045241A">
        <w:rPr>
          <w:color w:val="000000" w:themeColor="text1"/>
        </w:rPr>
        <w:t>$</w:t>
      </w:r>
      <w:r>
        <w:rPr>
          <w:color w:val="000000" w:themeColor="text1"/>
        </w:rPr>
        <w:t>1,025,846.70</w:t>
      </w:r>
      <w:r w:rsidRPr="0045241A">
        <w:rPr>
          <w:color w:val="000000" w:themeColor="text1"/>
        </w:rPr>
        <w:t xml:space="preserve"> </w:t>
      </w:r>
      <w:r w:rsidRPr="000571D5">
        <w:rPr>
          <w:color w:val="000000" w:themeColor="text1"/>
        </w:rPr>
        <w:t xml:space="preserve">for these public housing projects </w:t>
      </w:r>
      <w:r w:rsidRPr="005431F2">
        <w:rPr>
          <w:color w:val="000000" w:themeColor="text1"/>
        </w:rPr>
        <w:t>shall be paid out of the CASF Public Housing Account in accordance with the guidelines adopted in D</w:t>
      </w:r>
      <w:r w:rsidRPr="73A4CA75">
        <w:rPr>
          <w:color w:val="000000" w:themeColor="text1"/>
        </w:rPr>
        <w:t>.</w:t>
      </w:r>
      <w:r w:rsidRPr="005431F2">
        <w:rPr>
          <w:color w:val="000000" w:themeColor="text1"/>
        </w:rPr>
        <w:t>22-05-029, including compliance with CEQA.</w:t>
      </w:r>
    </w:p>
    <w:p w:rsidRPr="00F010F4" w:rsidR="000D7072" w:rsidP="00E66968" w:rsidRDefault="000D7072" w14:paraId="4050C183" w14:textId="77777777">
      <w:pPr>
        <w:widowControl/>
        <w:numPr>
          <w:ilvl w:val="1"/>
          <w:numId w:val="9"/>
        </w:numPr>
        <w:adjustRightInd w:val="0"/>
        <w:spacing w:after="170"/>
        <w:ind w:left="720"/>
        <w:jc w:val="both"/>
        <w:rPr>
          <w:color w:val="000000" w:themeColor="text1"/>
        </w:rPr>
      </w:pPr>
      <w:r w:rsidRPr="00105612">
        <w:rPr>
          <w:color w:val="000000" w:themeColor="text1"/>
        </w:rPr>
        <w:t>CHISPA,</w:t>
      </w:r>
      <w:r>
        <w:rPr>
          <w:color w:val="000000" w:themeColor="text1"/>
        </w:rPr>
        <w:t xml:space="preserve"> Eden Housing</w:t>
      </w:r>
      <w:r w:rsidRPr="00105612">
        <w:rPr>
          <w:color w:val="000000" w:themeColor="text1"/>
        </w:rPr>
        <w:t>,</w:t>
      </w:r>
      <w:r>
        <w:rPr>
          <w:color w:val="000000" w:themeColor="text1"/>
        </w:rPr>
        <w:t xml:space="preserve"> </w:t>
      </w:r>
      <w:r w:rsidRPr="00105612">
        <w:rPr>
          <w:color w:val="000000" w:themeColor="text1"/>
        </w:rPr>
        <w:t>RCD Housing, SHE, and Shelter Inc.</w:t>
      </w:r>
      <w:r w:rsidRPr="008F322D">
        <w:t xml:space="preserve"> must complete and execute the consent form</w:t>
      </w:r>
      <w:r>
        <w:t xml:space="preserve"> </w:t>
      </w:r>
      <w:r w:rsidRPr="008F322D">
        <w:t xml:space="preserve">agreeing to the conditions set forth in this Resolution within 30 calendar days from the date of the </w:t>
      </w:r>
      <w:r>
        <w:t xml:space="preserve">award. </w:t>
      </w:r>
      <w:r w:rsidRPr="008F322D">
        <w:t xml:space="preserve"> Failure to submit the consent form within 30 calendar days from the date of the adoption of this Resolution will deem the grant null and void.</w:t>
      </w:r>
    </w:p>
    <w:p w:rsidRPr="005431F2" w:rsidR="000D7072" w:rsidP="00E66968" w:rsidRDefault="000D7072" w14:paraId="751C8FBC" w14:textId="77777777">
      <w:pPr>
        <w:widowControl/>
        <w:numPr>
          <w:ilvl w:val="1"/>
          <w:numId w:val="9"/>
        </w:numPr>
        <w:adjustRightInd w:val="0"/>
        <w:spacing w:after="170"/>
        <w:ind w:left="720"/>
        <w:jc w:val="both"/>
        <w:rPr>
          <w:color w:val="000000" w:themeColor="text1"/>
        </w:rPr>
      </w:pPr>
      <w:r w:rsidRPr="00105612">
        <w:rPr>
          <w:color w:val="000000" w:themeColor="text1"/>
        </w:rPr>
        <w:t>CHISPA,</w:t>
      </w:r>
      <w:r>
        <w:rPr>
          <w:color w:val="000000" w:themeColor="text1"/>
        </w:rPr>
        <w:t xml:space="preserve"> Eden Housing</w:t>
      </w:r>
      <w:r w:rsidRPr="00105612">
        <w:rPr>
          <w:color w:val="000000" w:themeColor="text1"/>
        </w:rPr>
        <w:t>,</w:t>
      </w:r>
      <w:r>
        <w:rPr>
          <w:color w:val="000000" w:themeColor="text1"/>
        </w:rPr>
        <w:t xml:space="preserve"> </w:t>
      </w:r>
      <w:r w:rsidRPr="00105612">
        <w:rPr>
          <w:color w:val="000000" w:themeColor="text1"/>
        </w:rPr>
        <w:t>RCD Housing, SHE, and Shelter Inc.</w:t>
      </w:r>
      <w:r w:rsidRPr="005431F2">
        <w:rPr>
          <w:color w:val="000000" w:themeColor="text1"/>
        </w:rPr>
        <w:t xml:space="preserve"> </w:t>
      </w:r>
      <w:r w:rsidRPr="005431F2">
        <w:rPr>
          <w:rFonts w:cs="Garamond"/>
          <w:color w:val="000000" w:themeColor="text1"/>
        </w:rPr>
        <w:t>must each submit quarterly progress reports on the status of the project irrespective of whether reimbursement or payment</w:t>
      </w:r>
      <w:r>
        <w:rPr>
          <w:rFonts w:cs="Garamond"/>
          <w:color w:val="000000" w:themeColor="text1"/>
        </w:rPr>
        <w:t xml:space="preserve"> is requested</w:t>
      </w:r>
      <w:r w:rsidRPr="005431F2">
        <w:rPr>
          <w:rFonts w:cs="Garamond"/>
          <w:color w:val="000000" w:themeColor="text1"/>
        </w:rPr>
        <w:t>.</w:t>
      </w:r>
    </w:p>
    <w:p w:rsidRPr="005431F2" w:rsidR="000D7072" w:rsidP="00E66968" w:rsidRDefault="000D7072" w14:paraId="63C314A2" w14:textId="77777777">
      <w:pPr>
        <w:widowControl/>
        <w:numPr>
          <w:ilvl w:val="1"/>
          <w:numId w:val="9"/>
        </w:numPr>
        <w:adjustRightInd w:val="0"/>
        <w:spacing w:after="170"/>
        <w:ind w:left="720"/>
        <w:jc w:val="both"/>
        <w:rPr>
          <w:color w:val="000000" w:themeColor="text1"/>
        </w:rPr>
      </w:pPr>
      <w:r w:rsidRPr="00105612">
        <w:rPr>
          <w:color w:val="000000" w:themeColor="text1"/>
        </w:rPr>
        <w:t>CHISPA,</w:t>
      </w:r>
      <w:r>
        <w:rPr>
          <w:color w:val="000000" w:themeColor="text1"/>
        </w:rPr>
        <w:t xml:space="preserve"> Eden Housing</w:t>
      </w:r>
      <w:r w:rsidRPr="00105612">
        <w:rPr>
          <w:color w:val="000000" w:themeColor="text1"/>
        </w:rPr>
        <w:t>,</w:t>
      </w:r>
      <w:r>
        <w:rPr>
          <w:color w:val="000000" w:themeColor="text1"/>
        </w:rPr>
        <w:t xml:space="preserve"> </w:t>
      </w:r>
      <w:r w:rsidRPr="00105612">
        <w:rPr>
          <w:color w:val="000000" w:themeColor="text1"/>
        </w:rPr>
        <w:t>RCD Housing, SHE, and Shelter Inc.</w:t>
      </w:r>
      <w:r w:rsidRPr="005431F2">
        <w:rPr>
          <w:color w:val="000000" w:themeColor="text1"/>
        </w:rPr>
        <w:t xml:space="preserve"> </w:t>
      </w:r>
      <w:r w:rsidRPr="005431F2">
        <w:rPr>
          <w:rFonts w:cs="Garamond"/>
          <w:color w:val="000000" w:themeColor="text1"/>
        </w:rPr>
        <w:t xml:space="preserve">are required to maintain the broadband network for five years after it has been installed.  </w:t>
      </w:r>
    </w:p>
    <w:p w:rsidRPr="005431F2" w:rsidR="000D7072" w:rsidP="00E66968" w:rsidRDefault="000D7072" w14:paraId="4DFB7613" w14:textId="77777777">
      <w:pPr>
        <w:widowControl/>
        <w:numPr>
          <w:ilvl w:val="1"/>
          <w:numId w:val="9"/>
        </w:numPr>
        <w:adjustRightInd w:val="0"/>
        <w:spacing w:after="170"/>
        <w:ind w:left="720"/>
        <w:jc w:val="both"/>
        <w:rPr>
          <w:color w:val="000000" w:themeColor="text1"/>
        </w:rPr>
      </w:pPr>
      <w:r w:rsidRPr="005431F2">
        <w:rPr>
          <w:color w:val="000000" w:themeColor="text1"/>
        </w:rPr>
        <w:t xml:space="preserve">Payments to </w:t>
      </w:r>
      <w:r w:rsidRPr="00105612">
        <w:rPr>
          <w:color w:val="000000" w:themeColor="text1"/>
        </w:rPr>
        <w:t>CHISPA,</w:t>
      </w:r>
      <w:r>
        <w:rPr>
          <w:color w:val="000000" w:themeColor="text1"/>
        </w:rPr>
        <w:t xml:space="preserve"> Eden Housing</w:t>
      </w:r>
      <w:r w:rsidRPr="00105612">
        <w:rPr>
          <w:color w:val="000000" w:themeColor="text1"/>
        </w:rPr>
        <w:t>,</w:t>
      </w:r>
      <w:r>
        <w:rPr>
          <w:color w:val="000000" w:themeColor="text1"/>
        </w:rPr>
        <w:t xml:space="preserve"> </w:t>
      </w:r>
      <w:r w:rsidRPr="00105612">
        <w:rPr>
          <w:color w:val="000000" w:themeColor="text1"/>
        </w:rPr>
        <w:t>RCD Housing, SHE, and Shelter Inc.</w:t>
      </w:r>
      <w:r w:rsidRPr="005431F2">
        <w:rPr>
          <w:color w:val="000000" w:themeColor="text1"/>
        </w:rPr>
        <w:t xml:space="preserve"> shall each be in accordance with </w:t>
      </w:r>
      <w:r>
        <w:rPr>
          <w:color w:val="000000" w:themeColor="text1"/>
        </w:rPr>
        <w:t xml:space="preserve">D.22-05-029, </w:t>
      </w:r>
      <w:r w:rsidRPr="005431F2">
        <w:rPr>
          <w:color w:val="000000" w:themeColor="text1"/>
        </w:rPr>
        <w:t>Section X</w:t>
      </w:r>
      <w:r>
        <w:rPr>
          <w:color w:val="000000" w:themeColor="text1"/>
        </w:rPr>
        <w:t>,</w:t>
      </w:r>
      <w:r w:rsidRPr="005431F2">
        <w:rPr>
          <w:color w:val="000000" w:themeColor="text1"/>
        </w:rPr>
        <w:t xml:space="preserve"> Appendix 1 and in accordance with the process defined in the “Payments” section of this Resolution. </w:t>
      </w:r>
    </w:p>
    <w:p w:rsidRPr="005431F2" w:rsidR="000D7072" w:rsidP="00E66968" w:rsidRDefault="000D7072" w14:paraId="42ED8DF8" w14:textId="77777777">
      <w:pPr>
        <w:widowControl/>
        <w:numPr>
          <w:ilvl w:val="1"/>
          <w:numId w:val="9"/>
        </w:numPr>
        <w:adjustRightInd w:val="0"/>
        <w:spacing w:after="170"/>
        <w:ind w:left="720"/>
        <w:jc w:val="both"/>
        <w:rPr>
          <w:color w:val="000000" w:themeColor="text1"/>
        </w:rPr>
      </w:pPr>
      <w:r w:rsidRPr="00105612">
        <w:rPr>
          <w:color w:val="000000" w:themeColor="text1"/>
        </w:rPr>
        <w:t>CHISPA,</w:t>
      </w:r>
      <w:r>
        <w:rPr>
          <w:color w:val="000000" w:themeColor="text1"/>
        </w:rPr>
        <w:t xml:space="preserve"> Eden Housing</w:t>
      </w:r>
      <w:r w:rsidRPr="00105612">
        <w:rPr>
          <w:color w:val="000000" w:themeColor="text1"/>
        </w:rPr>
        <w:t>,</w:t>
      </w:r>
      <w:r>
        <w:rPr>
          <w:color w:val="000000" w:themeColor="text1"/>
        </w:rPr>
        <w:t xml:space="preserve"> </w:t>
      </w:r>
      <w:r w:rsidRPr="00105612">
        <w:rPr>
          <w:color w:val="000000" w:themeColor="text1"/>
        </w:rPr>
        <w:t>RCD Housing, SHE, and Shelter Inc.</w:t>
      </w:r>
      <w:r w:rsidRPr="005431F2">
        <w:rPr>
          <w:color w:val="000000" w:themeColor="text1"/>
        </w:rPr>
        <w:t xml:space="preserve"> must each complete </w:t>
      </w:r>
      <w:r w:rsidRPr="005431F2">
        <w:rPr>
          <w:rFonts w:cs="Garamond"/>
          <w:color w:val="000000" w:themeColor="text1"/>
        </w:rPr>
        <w:t xml:space="preserve">all performance under the award on or before 12 months from the date this Resolution is approved. </w:t>
      </w:r>
    </w:p>
    <w:p w:rsidRPr="00760C17" w:rsidR="000D7072" w:rsidP="00E66968" w:rsidRDefault="000D7072" w14:paraId="2E6C3F7B" w14:textId="77777777">
      <w:pPr>
        <w:widowControl/>
        <w:numPr>
          <w:ilvl w:val="1"/>
          <w:numId w:val="9"/>
        </w:numPr>
        <w:adjustRightInd w:val="0"/>
        <w:spacing w:after="170"/>
        <w:ind w:left="720" w:right="187"/>
        <w:jc w:val="both"/>
        <w:rPr>
          <w:color w:val="000000" w:themeColor="text1"/>
        </w:rPr>
      </w:pPr>
      <w:r w:rsidRPr="00760C17">
        <w:t xml:space="preserve">By receiving a CASF grant, </w:t>
      </w:r>
      <w:r w:rsidRPr="00105612">
        <w:rPr>
          <w:color w:val="000000" w:themeColor="text1"/>
        </w:rPr>
        <w:t>CHISPA,</w:t>
      </w:r>
      <w:r>
        <w:rPr>
          <w:color w:val="000000" w:themeColor="text1"/>
        </w:rPr>
        <w:t xml:space="preserve"> Eden Housing</w:t>
      </w:r>
      <w:r w:rsidRPr="00105612">
        <w:rPr>
          <w:color w:val="000000" w:themeColor="text1"/>
        </w:rPr>
        <w:t>,</w:t>
      </w:r>
      <w:r>
        <w:rPr>
          <w:color w:val="000000" w:themeColor="text1"/>
        </w:rPr>
        <w:t xml:space="preserve"> </w:t>
      </w:r>
      <w:r w:rsidRPr="00105612">
        <w:rPr>
          <w:color w:val="000000" w:themeColor="text1"/>
        </w:rPr>
        <w:t>RCD Housing, SHE, and Shelter Inc.</w:t>
      </w:r>
      <w:r w:rsidRPr="00760C17">
        <w:t xml:space="preserve"> agree to comply with the terms, conditions and requirements of the grant and thus submits </w:t>
      </w:r>
      <w:r w:rsidRPr="00760C17">
        <w:lastRenderedPageBreak/>
        <w:t>to the jurisdiction of the Commission regarding disbursement and administration of the gran</w:t>
      </w:r>
      <w:r>
        <w:t>t</w:t>
      </w:r>
      <w:r w:rsidRPr="00760C17">
        <w:t>.</w:t>
      </w:r>
    </w:p>
    <w:p w:rsidR="000D7072" w:rsidP="00E66968" w:rsidRDefault="000D7072" w14:paraId="09CC2A1A" w14:textId="77777777">
      <w:pPr>
        <w:widowControl/>
        <w:numPr>
          <w:ilvl w:val="1"/>
          <w:numId w:val="9"/>
        </w:numPr>
        <w:adjustRightInd w:val="0"/>
        <w:spacing w:after="170"/>
        <w:ind w:left="720" w:right="187"/>
        <w:jc w:val="both"/>
        <w:rPr>
          <w:color w:val="000000" w:themeColor="text1"/>
        </w:rPr>
      </w:pPr>
      <w:r w:rsidRPr="00105612">
        <w:rPr>
          <w:color w:val="000000" w:themeColor="text1"/>
        </w:rPr>
        <w:t>CHISPA,</w:t>
      </w:r>
      <w:r>
        <w:rPr>
          <w:color w:val="000000" w:themeColor="text1"/>
        </w:rPr>
        <w:t xml:space="preserve"> Eden Housing</w:t>
      </w:r>
      <w:r w:rsidRPr="00105612">
        <w:rPr>
          <w:color w:val="000000" w:themeColor="text1"/>
        </w:rPr>
        <w:t>,</w:t>
      </w:r>
      <w:r>
        <w:rPr>
          <w:color w:val="000000" w:themeColor="text1"/>
        </w:rPr>
        <w:t xml:space="preserve"> </w:t>
      </w:r>
      <w:r w:rsidRPr="00105612">
        <w:rPr>
          <w:color w:val="000000" w:themeColor="text1"/>
        </w:rPr>
        <w:t>RCD Housing, SHE, and Shelter Inc.</w:t>
      </w:r>
      <w:r>
        <w:rPr>
          <w:color w:val="000000" w:themeColor="text1"/>
        </w:rPr>
        <w:t xml:space="preserve"> </w:t>
      </w:r>
      <w:r w:rsidRPr="005431F2">
        <w:rPr>
          <w:color w:val="000000" w:themeColor="text1"/>
        </w:rPr>
        <w:t>are each required to comply with all guidelines, requirements and conditions associated with the CASF funds award as specified in D</w:t>
      </w:r>
      <w:r w:rsidRPr="159985DE">
        <w:rPr>
          <w:color w:val="000000" w:themeColor="text1"/>
        </w:rPr>
        <w:t>.</w:t>
      </w:r>
      <w:r w:rsidRPr="005431F2">
        <w:rPr>
          <w:color w:val="000000" w:themeColor="text1"/>
        </w:rPr>
        <w:t>22-05-029, and in accordance with the terms of the Commission’s approval as set</w:t>
      </w:r>
      <w:r>
        <w:rPr>
          <w:color w:val="000000" w:themeColor="text1"/>
        </w:rPr>
        <w:t xml:space="preserve"> forth in this Resolution</w:t>
      </w:r>
      <w:r w:rsidRPr="000571D5">
        <w:rPr>
          <w:color w:val="000000" w:themeColor="text1"/>
        </w:rPr>
        <w:t xml:space="preserve">. </w:t>
      </w:r>
    </w:p>
    <w:p w:rsidRPr="005431F2" w:rsidR="000D7072" w:rsidP="00E66968" w:rsidRDefault="000D7072" w14:paraId="7877E7CE" w14:textId="77777777">
      <w:pPr>
        <w:widowControl/>
        <w:numPr>
          <w:ilvl w:val="1"/>
          <w:numId w:val="9"/>
        </w:numPr>
        <w:adjustRightInd w:val="0"/>
        <w:spacing w:after="170"/>
        <w:ind w:left="720" w:right="187"/>
        <w:jc w:val="both"/>
        <w:rPr>
          <w:color w:val="000000" w:themeColor="text1"/>
        </w:rPr>
      </w:pPr>
      <w:r w:rsidRPr="005431F2">
        <w:rPr>
          <w:color w:val="000000" w:themeColor="text1"/>
        </w:rPr>
        <w:t xml:space="preserve">If </w:t>
      </w:r>
      <w:r w:rsidRPr="00105612">
        <w:rPr>
          <w:color w:val="000000" w:themeColor="text1"/>
        </w:rPr>
        <w:t>CHISPA,</w:t>
      </w:r>
      <w:r>
        <w:rPr>
          <w:color w:val="000000" w:themeColor="text1"/>
        </w:rPr>
        <w:t xml:space="preserve"> Eden Housing</w:t>
      </w:r>
      <w:r w:rsidRPr="00105612">
        <w:rPr>
          <w:color w:val="000000" w:themeColor="text1"/>
        </w:rPr>
        <w:t>,</w:t>
      </w:r>
      <w:r>
        <w:rPr>
          <w:color w:val="000000" w:themeColor="text1"/>
        </w:rPr>
        <w:t xml:space="preserve"> </w:t>
      </w:r>
      <w:r w:rsidRPr="00105612">
        <w:rPr>
          <w:color w:val="000000" w:themeColor="text1"/>
        </w:rPr>
        <w:t>RCD Housing, SHE, and Shelter Inc.</w:t>
      </w:r>
      <w:r w:rsidRPr="005431F2">
        <w:rPr>
          <w:color w:val="000000" w:themeColor="text1"/>
        </w:rPr>
        <w:t xml:space="preserve"> fail to complete the project in accordance with the terms outlined in D</w:t>
      </w:r>
      <w:r w:rsidRPr="159985DE">
        <w:rPr>
          <w:color w:val="000000" w:themeColor="text1"/>
        </w:rPr>
        <w:t>.</w:t>
      </w:r>
      <w:r w:rsidRPr="005431F2">
        <w:rPr>
          <w:color w:val="000000" w:themeColor="text1"/>
        </w:rPr>
        <w:t xml:space="preserve">22-05-029 and this Resolution, </w:t>
      </w:r>
      <w:r w:rsidRPr="00105612">
        <w:rPr>
          <w:color w:val="000000" w:themeColor="text1"/>
        </w:rPr>
        <w:t>CHISPA,</w:t>
      </w:r>
      <w:r>
        <w:rPr>
          <w:color w:val="000000" w:themeColor="text1"/>
        </w:rPr>
        <w:t xml:space="preserve"> Eden Housing</w:t>
      </w:r>
      <w:r w:rsidRPr="00105612">
        <w:rPr>
          <w:color w:val="000000" w:themeColor="text1"/>
        </w:rPr>
        <w:t>,</w:t>
      </w:r>
      <w:r>
        <w:rPr>
          <w:color w:val="000000" w:themeColor="text1"/>
        </w:rPr>
        <w:t xml:space="preserve"> </w:t>
      </w:r>
      <w:r w:rsidRPr="00105612">
        <w:rPr>
          <w:color w:val="000000" w:themeColor="text1"/>
        </w:rPr>
        <w:t>RCD Housing, SHE, and Shelter Inc.</w:t>
      </w:r>
      <w:r>
        <w:rPr>
          <w:color w:val="000000" w:themeColor="text1"/>
        </w:rPr>
        <w:t xml:space="preserve"> </w:t>
      </w:r>
      <w:r w:rsidRPr="005431F2">
        <w:rPr>
          <w:color w:val="000000" w:themeColor="text1"/>
        </w:rPr>
        <w:t xml:space="preserve">must reimburse some or all CASF funds it has received. </w:t>
      </w:r>
    </w:p>
    <w:p w:rsidRPr="00E062BA" w:rsidR="000D7072" w:rsidP="00E062BA" w:rsidRDefault="000D7072" w14:paraId="2B04CB2A" w14:textId="77777777">
      <w:pPr>
        <w:tabs>
          <w:tab w:val="left" w:pos="240"/>
          <w:tab w:val="left" w:pos="720"/>
          <w:tab w:val="right" w:pos="10080"/>
        </w:tabs>
        <w:spacing w:after="120"/>
        <w:jc w:val="both"/>
        <w:rPr>
          <w:color w:val="000000" w:themeColor="text1"/>
        </w:rPr>
      </w:pPr>
      <w:r w:rsidRPr="00E062BA">
        <w:rPr>
          <w:color w:val="000000" w:themeColor="text1"/>
        </w:rPr>
        <w:t>This resolution is effective today.</w:t>
      </w:r>
    </w:p>
    <w:p w:rsidRPr="00E062BA" w:rsidR="000D7072" w:rsidP="00E062BA" w:rsidRDefault="000D7072" w14:paraId="71F2D183" w14:textId="77777777">
      <w:pPr>
        <w:tabs>
          <w:tab w:val="left" w:pos="240"/>
          <w:tab w:val="left" w:pos="720"/>
          <w:tab w:val="right" w:pos="10080"/>
        </w:tabs>
        <w:spacing w:after="120"/>
        <w:jc w:val="both"/>
        <w:rPr>
          <w:color w:val="000000" w:themeColor="text1"/>
        </w:rPr>
      </w:pPr>
      <w:r w:rsidRPr="00E062BA">
        <w:rPr>
          <w:color w:val="000000" w:themeColor="text1"/>
        </w:rPr>
        <w:t xml:space="preserve"> </w:t>
      </w:r>
    </w:p>
    <w:p w:rsidR="000D7072" w:rsidP="00CD03D8" w:rsidRDefault="000D7072" w14:paraId="0B5C84D5" w14:textId="77777777">
      <w:pPr>
        <w:tabs>
          <w:tab w:val="left" w:pos="240"/>
          <w:tab w:val="left" w:pos="720"/>
          <w:tab w:val="right" w:pos="10080"/>
        </w:tabs>
        <w:spacing w:after="120"/>
        <w:jc w:val="both"/>
        <w:rPr>
          <w:color w:val="000000" w:themeColor="text1"/>
        </w:rPr>
      </w:pPr>
      <w:r w:rsidRPr="00E062BA">
        <w:rPr>
          <w:color w:val="000000" w:themeColor="text1"/>
        </w:rPr>
        <w:t xml:space="preserve">I </w:t>
      </w:r>
      <w:r w:rsidRPr="00C97938">
        <w:rPr>
          <w:color w:val="000000" w:themeColor="text1"/>
        </w:rPr>
        <w:t xml:space="preserve">certify that the foregoing resolution was duly introduced, passed, and adopted at a meeting of the Public Utilities Commission of the State of California held on </w:t>
      </w:r>
      <w:r>
        <w:rPr>
          <w:color w:val="000000" w:themeColor="text1"/>
        </w:rPr>
        <w:t>June 08, 2023</w:t>
      </w:r>
      <w:r w:rsidRPr="0055317E">
        <w:rPr>
          <w:color w:val="000000" w:themeColor="text1"/>
        </w:rPr>
        <w:t>,</w:t>
      </w:r>
      <w:r>
        <w:rPr>
          <w:color w:val="000000" w:themeColor="text1"/>
        </w:rPr>
        <w:t xml:space="preserve"> </w:t>
      </w:r>
      <w:r w:rsidRPr="001E288F">
        <w:rPr>
          <w:color w:val="000000" w:themeColor="text1"/>
        </w:rPr>
        <w:t>the</w:t>
      </w:r>
      <w:r w:rsidRPr="00C97938">
        <w:rPr>
          <w:color w:val="000000" w:themeColor="text1"/>
        </w:rPr>
        <w:t xml:space="preserve"> following Commissioners voting favorable thereon:</w:t>
      </w:r>
    </w:p>
    <w:p w:rsidRPr="00E062BA" w:rsidR="000D7072" w:rsidP="00CD03D8" w:rsidRDefault="000D7072" w14:paraId="776084C4" w14:textId="77777777">
      <w:pPr>
        <w:tabs>
          <w:tab w:val="left" w:pos="240"/>
          <w:tab w:val="left" w:pos="720"/>
          <w:tab w:val="right" w:pos="10080"/>
        </w:tabs>
        <w:spacing w:after="120"/>
        <w:jc w:val="both"/>
        <w:rPr>
          <w:color w:val="000000" w:themeColor="text1"/>
        </w:rPr>
      </w:pPr>
    </w:p>
    <w:p w:rsidRPr="00B8240F" w:rsidR="000D7072" w:rsidP="001E288F" w:rsidRDefault="000D7072" w14:paraId="4CD2458B" w14:textId="77777777">
      <w:pPr>
        <w:tabs>
          <w:tab w:val="left" w:pos="240"/>
          <w:tab w:val="left" w:pos="720"/>
          <w:tab w:val="right" w:pos="10080"/>
        </w:tabs>
        <w:spacing w:after="120"/>
        <w:rPr>
          <w:color w:val="000000" w:themeColor="text1"/>
        </w:rPr>
      </w:pPr>
      <w:r w:rsidRPr="00E062BA">
        <w:rPr>
          <w:color w:val="000000" w:themeColor="text1"/>
        </w:rPr>
        <w:tab/>
      </w:r>
    </w:p>
    <w:tbl>
      <w:tblPr>
        <w:tblW w:w="4383" w:type="dxa"/>
        <w:tblInd w:w="4988" w:type="dxa"/>
        <w:tblLayout w:type="fixed"/>
        <w:tblLook w:val="0000" w:firstRow="0" w:lastRow="0" w:firstColumn="0" w:lastColumn="0" w:noHBand="0" w:noVBand="0"/>
      </w:tblPr>
      <w:tblGrid>
        <w:gridCol w:w="4383"/>
      </w:tblGrid>
      <w:tr w:rsidRPr="001E288F" w:rsidR="000D7072" w:rsidTr="00E9746E" w14:paraId="00470B81" w14:textId="77777777">
        <w:trPr>
          <w:trHeight w:val="172"/>
        </w:trPr>
        <w:tc>
          <w:tcPr>
            <w:tcW w:w="4383" w:type="dxa"/>
            <w:tcBorders>
              <w:top w:val="nil"/>
              <w:left w:val="nil"/>
              <w:bottom w:val="single" w:color="auto" w:sz="6" w:space="0"/>
              <w:right w:val="nil"/>
            </w:tcBorders>
          </w:tcPr>
          <w:p w:rsidRPr="001E288F" w:rsidR="000D7072" w:rsidP="00195549" w:rsidRDefault="000D7072" w14:paraId="39C2C68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
              </w:rPr>
            </w:pPr>
            <w:r>
              <w:rPr>
                <w:color w:val="000000"/>
                <w:sz w:val="27"/>
                <w:szCs w:val="27"/>
              </w:rPr>
              <w:t xml:space="preserve">          </w:t>
            </w:r>
            <w:r w:rsidRPr="00C53E87">
              <w:rPr>
                <w:color w:val="000000"/>
                <w:sz w:val="27"/>
                <w:szCs w:val="27"/>
              </w:rPr>
              <w:t>/s/ RACHEL PETERSON</w:t>
            </w:r>
          </w:p>
        </w:tc>
      </w:tr>
      <w:tr w:rsidRPr="001E288F" w:rsidR="000D7072" w:rsidTr="00E9746E" w14:paraId="1137995B" w14:textId="77777777">
        <w:trPr>
          <w:trHeight w:val="718"/>
        </w:trPr>
        <w:tc>
          <w:tcPr>
            <w:tcW w:w="4383" w:type="dxa"/>
            <w:tcBorders>
              <w:top w:val="nil"/>
              <w:left w:val="nil"/>
              <w:bottom w:val="nil"/>
              <w:right w:val="nil"/>
            </w:tcBorders>
          </w:tcPr>
          <w:p w:rsidR="000D7072" w:rsidP="00195549" w:rsidRDefault="000D7072" w14:paraId="4090FAE7"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7"/>
                <w:szCs w:val="27"/>
              </w:rPr>
            </w:pPr>
            <w:r w:rsidRPr="00C53E87">
              <w:rPr>
                <w:color w:val="000000"/>
                <w:sz w:val="27"/>
                <w:szCs w:val="27"/>
              </w:rPr>
              <w:t>Rachel Peterson</w:t>
            </w:r>
          </w:p>
          <w:p w:rsidR="000D7072" w:rsidP="00195549" w:rsidRDefault="000D7072" w14:paraId="14F63BC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7"/>
                <w:szCs w:val="27"/>
              </w:rPr>
            </w:pPr>
            <w:r>
              <w:rPr>
                <w:color w:val="000000"/>
                <w:sz w:val="27"/>
                <w:szCs w:val="27"/>
              </w:rPr>
              <w:t>Executive Director</w:t>
            </w:r>
          </w:p>
          <w:p w:rsidR="000D7072" w:rsidP="00195549" w:rsidRDefault="000D7072" w14:paraId="455EEFB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7"/>
                <w:szCs w:val="27"/>
              </w:rPr>
            </w:pPr>
          </w:p>
          <w:p w:rsidR="000D7072" w:rsidP="00195549" w:rsidRDefault="000D7072" w14:paraId="661F3DC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7"/>
                <w:szCs w:val="27"/>
              </w:rPr>
            </w:pPr>
          </w:p>
          <w:p w:rsidRPr="00391DE9" w:rsidR="000D7072" w:rsidP="00391DE9" w:rsidRDefault="000D7072" w14:paraId="5793117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7"/>
                <w:szCs w:val="27"/>
              </w:rPr>
            </w:pPr>
            <w:r w:rsidRPr="00391DE9">
              <w:rPr>
                <w:color w:val="000000"/>
                <w:sz w:val="27"/>
                <w:szCs w:val="27"/>
              </w:rPr>
              <w:t>ALICE REYNOLDS</w:t>
            </w:r>
          </w:p>
          <w:p w:rsidRPr="00391DE9" w:rsidR="000D7072" w:rsidP="00391DE9" w:rsidRDefault="000D7072" w14:paraId="4012690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7"/>
                <w:szCs w:val="27"/>
              </w:rPr>
            </w:pPr>
            <w:r w:rsidRPr="00391DE9">
              <w:rPr>
                <w:color w:val="000000"/>
                <w:sz w:val="27"/>
                <w:szCs w:val="27"/>
              </w:rPr>
              <w:t>President</w:t>
            </w:r>
          </w:p>
          <w:p w:rsidRPr="00391DE9" w:rsidR="000D7072" w:rsidP="00E9746E" w:rsidRDefault="000D7072" w14:paraId="1D535CF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7"/>
                <w:szCs w:val="27"/>
              </w:rPr>
            </w:pPr>
            <w:r w:rsidRPr="00391DE9">
              <w:rPr>
                <w:color w:val="000000"/>
                <w:sz w:val="27"/>
                <w:szCs w:val="27"/>
              </w:rPr>
              <w:t>GENEVIEVE SHIROMA</w:t>
            </w:r>
          </w:p>
          <w:p w:rsidRPr="00391DE9" w:rsidR="000D7072" w:rsidP="00E9746E" w:rsidRDefault="000D7072" w14:paraId="2221AD5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7"/>
                <w:szCs w:val="27"/>
              </w:rPr>
            </w:pPr>
            <w:r w:rsidRPr="00391DE9">
              <w:rPr>
                <w:color w:val="000000"/>
                <w:sz w:val="27"/>
                <w:szCs w:val="27"/>
              </w:rPr>
              <w:t>DARCIE L. HOUCK</w:t>
            </w:r>
          </w:p>
          <w:p w:rsidRPr="00391DE9" w:rsidR="000D7072" w:rsidP="00E9746E" w:rsidRDefault="000D7072" w14:paraId="0103E55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7"/>
                <w:szCs w:val="27"/>
              </w:rPr>
            </w:pPr>
            <w:r w:rsidRPr="00391DE9">
              <w:rPr>
                <w:color w:val="000000"/>
                <w:sz w:val="27"/>
                <w:szCs w:val="27"/>
              </w:rPr>
              <w:t>JOHN REYNOLDS</w:t>
            </w:r>
          </w:p>
          <w:p w:rsidRPr="00391DE9" w:rsidR="000D7072" w:rsidP="00E9746E" w:rsidRDefault="000D7072" w14:paraId="0D82AC7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7"/>
                <w:szCs w:val="27"/>
              </w:rPr>
            </w:pPr>
            <w:r w:rsidRPr="00391DE9">
              <w:rPr>
                <w:color w:val="000000"/>
                <w:sz w:val="27"/>
                <w:szCs w:val="27"/>
              </w:rPr>
              <w:t>KAREN DOUGLAS</w:t>
            </w:r>
          </w:p>
          <w:p w:rsidRPr="00391DE9" w:rsidR="000D7072" w:rsidP="00391DE9" w:rsidRDefault="000D7072" w14:paraId="691F84A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7"/>
                <w:szCs w:val="27"/>
              </w:rPr>
            </w:pPr>
            <w:r w:rsidRPr="00391DE9">
              <w:rPr>
                <w:color w:val="000000"/>
                <w:sz w:val="27"/>
                <w:szCs w:val="27"/>
              </w:rPr>
              <w:t>Commissioners</w:t>
            </w:r>
          </w:p>
          <w:p w:rsidRPr="001E288F" w:rsidR="000D7072" w:rsidP="00195549" w:rsidRDefault="000D7072" w14:paraId="7932140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p>
        </w:tc>
      </w:tr>
    </w:tbl>
    <w:p w:rsidRPr="006732B5" w:rsidR="000D7072" w:rsidP="006732B5" w:rsidRDefault="000D7072" w14:paraId="1D02E3BF" w14:textId="77777777"/>
    <w:p w:rsidRPr="006732B5" w:rsidR="000D7072" w:rsidP="006732B5" w:rsidRDefault="000D7072" w14:paraId="12E7C5E5" w14:textId="77777777"/>
    <w:p w:rsidRPr="006732B5" w:rsidR="000D7072" w:rsidP="006732B5" w:rsidRDefault="000D7072" w14:paraId="609F9BCF" w14:textId="77777777"/>
    <w:p w:rsidRPr="006732B5" w:rsidR="000D7072" w:rsidP="006732B5" w:rsidRDefault="000D7072" w14:paraId="66294830" w14:textId="77777777">
      <w:pPr>
        <w:tabs>
          <w:tab w:val="left" w:pos="3646"/>
        </w:tabs>
      </w:pPr>
    </w:p>
    <w:p w:rsidRPr="006732B5" w:rsidR="000D7072" w:rsidP="006732B5" w:rsidRDefault="000D7072" w14:paraId="58C33A2B" w14:textId="77777777">
      <w:pPr>
        <w:tabs>
          <w:tab w:val="left" w:pos="3646"/>
        </w:tabs>
        <w:sectPr w:rsidRPr="006732B5" w:rsidR="000D7072" w:rsidSect="00F26216">
          <w:headerReference w:type="default" r:id="rId24"/>
          <w:footerReference w:type="default" r:id="rId25"/>
          <w:headerReference w:type="first" r:id="rId26"/>
          <w:footerReference w:type="first" r:id="rId27"/>
          <w:pgSz w:w="12240" w:h="15840"/>
          <w:pgMar w:top="1260" w:right="1320" w:bottom="980" w:left="1320" w:header="730" w:footer="786" w:gutter="0"/>
          <w:cols w:space="720"/>
          <w:titlePg/>
          <w:docGrid w:linePitch="299"/>
        </w:sectPr>
      </w:pPr>
      <w:r>
        <w:tab/>
      </w:r>
    </w:p>
    <w:p w:rsidRPr="00B8240F" w:rsidR="000D7072" w:rsidP="00996A8F" w:rsidRDefault="000D7072" w14:paraId="549B7091" w14:textId="77777777">
      <w:pPr>
        <w:jc w:val="center"/>
        <w:rPr>
          <w:b/>
          <w:bCs/>
          <w:color w:val="000000" w:themeColor="text1"/>
          <w:sz w:val="28"/>
          <w:szCs w:val="28"/>
        </w:rPr>
      </w:pPr>
      <w:r>
        <w:rPr>
          <w:b/>
          <w:bCs/>
          <w:color w:val="000000" w:themeColor="text1"/>
          <w:sz w:val="28"/>
          <w:szCs w:val="28"/>
        </w:rPr>
        <w:lastRenderedPageBreak/>
        <w:t>APPENDIX A</w:t>
      </w:r>
    </w:p>
    <w:p w:rsidRPr="00B8240F" w:rsidR="000D7072" w:rsidP="00996A8F" w:rsidRDefault="000D7072" w14:paraId="6A3A488F" w14:textId="77777777">
      <w:pPr>
        <w:ind w:left="7200" w:hanging="7200"/>
        <w:jc w:val="center"/>
        <w:rPr>
          <w:b/>
          <w:bCs/>
          <w:color w:val="000000" w:themeColor="text1"/>
        </w:rPr>
      </w:pPr>
      <w:r w:rsidRPr="00B8240F">
        <w:rPr>
          <w:b/>
          <w:bCs/>
          <w:color w:val="000000" w:themeColor="text1"/>
        </w:rPr>
        <w:t>Resolution T-</w:t>
      </w:r>
      <w:r>
        <w:rPr>
          <w:b/>
          <w:bCs/>
          <w:color w:val="000000" w:themeColor="text1"/>
        </w:rPr>
        <w:t>17791</w:t>
      </w:r>
    </w:p>
    <w:p w:rsidRPr="00B8240F" w:rsidR="000D7072" w:rsidP="00996A8F" w:rsidRDefault="000D7072" w14:paraId="58FE86A4" w14:textId="77777777">
      <w:pPr>
        <w:jc w:val="center"/>
        <w:rPr>
          <w:b/>
          <w:bCs/>
          <w:color w:val="000000" w:themeColor="text1"/>
        </w:rPr>
      </w:pPr>
      <w:r w:rsidRPr="00B8240F">
        <w:rPr>
          <w:b/>
          <w:bCs/>
          <w:color w:val="000000" w:themeColor="text1"/>
        </w:rPr>
        <w:t>Public Housing Projects Locations</w:t>
      </w:r>
    </w:p>
    <w:p w:rsidRPr="00996A8F" w:rsidR="000D7072" w:rsidP="00996A8F" w:rsidRDefault="000D7072" w14:paraId="3780229C" w14:textId="77777777">
      <w:pPr>
        <w:tabs>
          <w:tab w:val="right" w:pos="7920"/>
        </w:tabs>
        <w:jc w:val="center"/>
        <w:rPr>
          <w:color w:val="000000" w:themeColor="text1"/>
        </w:rPr>
      </w:pPr>
      <w:r>
        <w:rPr>
          <w:noProof/>
        </w:rPr>
        <w:drawing>
          <wp:inline distT="0" distB="0" distL="0" distR="0" wp14:anchorId="49BC9D21" wp14:editId="6621E8E4">
            <wp:extent cx="5600700" cy="7248000"/>
            <wp:effectExtent l="0" t="0" r="0" b="0"/>
            <wp:docPr id="48006771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067711" name="Picture 1" descr="Map&#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00700" cy="7248000"/>
                    </a:xfrm>
                    <a:prstGeom prst="rect">
                      <a:avLst/>
                    </a:prstGeom>
                    <a:noFill/>
                    <a:ln>
                      <a:noFill/>
                    </a:ln>
                  </pic:spPr>
                </pic:pic>
              </a:graphicData>
            </a:graphic>
          </wp:inline>
        </w:drawing>
      </w:r>
    </w:p>
    <w:p w:rsidRPr="000D7072" w:rsidR="000D7072" w:rsidP="00E66968" w:rsidRDefault="000D7072" w14:paraId="06F4A5E8" w14:textId="77777777">
      <w:pPr>
        <w:pStyle w:val="BodyText"/>
        <w:jc w:val="center"/>
      </w:pPr>
    </w:p>
    <w:sectPr w:rsidRPr="000D7072" w:rsidR="000D7072" w:rsidSect="00283F7A">
      <w:headerReference w:type="first" r:id="rId29"/>
      <w:footerReference w:type="first" r:id="rId30"/>
      <w:pgSz w:w="12240" w:h="15840"/>
      <w:pgMar w:top="1440" w:right="1440" w:bottom="1440" w:left="1440" w:header="720" w:footer="720" w:gutter="0"/>
      <w:pgNumType w:start="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49906" w16cex:dateUtc="2023-08-14T1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1038BE" w16cid:durableId="288499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04692" w14:textId="77777777" w:rsidR="00BF30FE" w:rsidRDefault="00BF30FE">
      <w:r>
        <w:separator/>
      </w:r>
    </w:p>
  </w:endnote>
  <w:endnote w:type="continuationSeparator" w:id="0">
    <w:p w14:paraId="201C3FEA" w14:textId="77777777" w:rsidR="00BF30FE" w:rsidRDefault="00BF30FE">
      <w:r>
        <w:continuationSeparator/>
      </w:r>
    </w:p>
  </w:endnote>
  <w:endnote w:type="continuationNotice" w:id="1">
    <w:p w14:paraId="255EA4EB" w14:textId="77777777" w:rsidR="00BF30FE" w:rsidRDefault="00BF30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9D904" w14:textId="77777777" w:rsidR="00AF7F2E" w:rsidRDefault="00AF7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1AEE" w14:textId="2BE7F5AE" w:rsidR="009E1377" w:rsidRDefault="008E5ACE">
    <w:pPr>
      <w:pStyle w:val="BodyText"/>
      <w:spacing w:line="14" w:lineRule="auto"/>
      <w:rPr>
        <w:sz w:val="20"/>
      </w:rPr>
    </w:pPr>
    <w:r>
      <w:rPr>
        <w:noProof/>
      </w:rPr>
      <mc:AlternateContent>
        <mc:Choice Requires="wps">
          <w:drawing>
            <wp:anchor distT="0" distB="0" distL="114300" distR="114300" simplePos="0" relativeHeight="251658247" behindDoc="1" locked="0" layoutInCell="1" allowOverlap="1" wp14:anchorId="4D823D4B" wp14:editId="35557EA3">
              <wp:simplePos x="0" y="0"/>
              <wp:positionH relativeFrom="page">
                <wp:posOffset>3215005</wp:posOffset>
              </wp:positionH>
              <wp:positionV relativeFrom="page">
                <wp:posOffset>9419590</wp:posOffset>
              </wp:positionV>
              <wp:extent cx="1341755" cy="194310"/>
              <wp:effectExtent l="0" t="0" r="0" b="0"/>
              <wp:wrapNone/>
              <wp:docPr id="1622431600" name="Text Box 1622431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71A54" w14:textId="1487418B" w:rsidR="009E1377" w:rsidRDefault="009E1377">
                          <w:pPr>
                            <w:pStyle w:val="BodyText"/>
                            <w:spacing w:before="10"/>
                            <w:ind w:left="2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23D4B" id="_x0000_t202" coordsize="21600,21600" o:spt="202" path="m,l,21600r21600,l21600,xe">
              <v:stroke joinstyle="miter"/>
              <v:path gradientshapeok="t" o:connecttype="rect"/>
            </v:shapetype>
            <v:shape id="Text Box 1622431600" o:spid="_x0000_s1026" type="#_x0000_t202" style="position:absolute;margin-left:253.15pt;margin-top:741.7pt;width:105.65pt;height:15.3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nN1wEAAJEDAAAOAAAAZHJzL2Uyb0RvYy54bWysU9tu2zAMfR+wfxD0vjjuZRcjTtG16DCg&#10;uwBdP0CWJduYLWqkEjv7+lFynG7r27AXgZKow3MOqc3VNPRib5A6cKXMV2spjNNQd64p5eO3u1dv&#10;paCgXK16cKaUB0PyavvyxWb0hTmDFvraoGAQR8XoS9mG4IssI92aQdEKvHF8aQEHFXiLTVajGhl9&#10;6LOz9fp1NgLWHkEbIj69nS/lNuFba3T4Yi2ZIPpSMreQVkxrFddsu1FFg8q3nT7SUP/AYlCd46In&#10;qFsVlNhh9wxq6DQCgQ0rDUMG1nbaJA2sJl//peahVd4kLWwO+ZNN9P9g9ef9g/+KIkzvYeIGJhHk&#10;70F/J+HgplWuMdeIMLZG1Vw4j5Zlo6fi+DRaTQVFkGr8BDU3We0CJKDJ4hBdYZ2C0bkBh5PpZgpC&#10;x5LnF/mby0spNN/l7y7O89SVTBXLa48UPhgYRAxKidzUhK729xQiG1UsKbGYg7uu71Nje/fHASfG&#10;k8Q+Ep6ph6maODuqqKA+sA6EeU54rjloAX9KMfKMlJJ+7BQaKfqPjr2IA7UEuATVEiin+WkpgxRz&#10;eBPmwdt57JqWkWe3HVyzX7ZLUp5YHHly35PC44zGwfp9n7KeftL2FwAAAP//AwBQSwMEFAAGAAgA&#10;AAAhACyPHs3iAAAADQEAAA8AAABkcnMvZG93bnJldi54bWxMj8FOwzAMhu9IvENkJG4sKeu6UZpO&#10;E4ITEqIrB45pk7XRGqc02VbeHnOCo/1/+v252M5uYGczBetRQrIQwAy2XlvsJHzUL3cbYCEq1Grw&#10;aCR8mwDb8vqqULn2F6zMeR87RiUYciWhj3HMOQ9tb5wKCz8apOzgJ6cijVPH9aQuVO4Gfi9Exp2y&#10;SBd6NZqn3rTH/clJ2H1i9Wy/3pr36lDZun4Q+Jodpby9mXePwKKZ4x8Mv/qkDiU5Nf6EOrBBwkpk&#10;S0IpSDfLFBgh62SdAWtotUpSAbws+P8vyh8AAAD//wMAUEsBAi0AFAAGAAgAAAAhALaDOJL+AAAA&#10;4QEAABMAAAAAAAAAAAAAAAAAAAAAAFtDb250ZW50X1R5cGVzXS54bWxQSwECLQAUAAYACAAAACEA&#10;OP0h/9YAAACUAQAACwAAAAAAAAAAAAAAAAAvAQAAX3JlbHMvLnJlbHNQSwECLQAUAAYACAAAACEA&#10;xf7pzdcBAACRAwAADgAAAAAAAAAAAAAAAAAuAgAAZHJzL2Uyb0RvYy54bWxQSwECLQAUAAYACAAA&#10;ACEALI8ezeIAAAANAQAADwAAAAAAAAAAAAAAAAAxBAAAZHJzL2Rvd25yZXYueG1sUEsFBgAAAAAE&#10;AAQA8wAAAEAFAAAAAA==&#10;" filled="f" stroked="f">
              <v:textbox inset="0,0,0,0">
                <w:txbxContent>
                  <w:p w14:paraId="7B671A54" w14:textId="1487418B" w:rsidR="009E1377" w:rsidRDefault="009E1377">
                    <w:pPr>
                      <w:pStyle w:val="BodyText"/>
                      <w:spacing w:before="10"/>
                      <w:ind w:left="20"/>
                      <w:rPr>
                        <w:rFonts w:ascii="Times New Roman"/>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DEFD" w14:textId="342956C4" w:rsidR="005D5484" w:rsidRPr="009012F6" w:rsidRDefault="005D5484">
    <w:pPr>
      <w:pStyle w:val="Footer"/>
      <w:rPr>
        <w:sz w:val="18"/>
        <w:szCs w:val="18"/>
      </w:rPr>
    </w:pPr>
    <w:r w:rsidRPr="009012F6">
      <w:rPr>
        <w:sz w:val="18"/>
        <w:szCs w:val="18"/>
      </w:rPr>
      <w:t xml:space="preserve">  520478576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87120" w14:textId="77777777" w:rsidR="000D7072" w:rsidRDefault="00000000" w:rsidP="0029214B">
    <w:pPr>
      <w:pStyle w:val="Footer"/>
      <w:jc w:val="center"/>
    </w:pPr>
    <w:sdt>
      <w:sdtPr>
        <w:id w:val="-2094083426"/>
        <w:docPartObj>
          <w:docPartGallery w:val="Page Numbers (Bottom of Page)"/>
          <w:docPartUnique/>
        </w:docPartObj>
      </w:sdtPr>
      <w:sdtEndPr>
        <w:rPr>
          <w:noProof/>
        </w:rPr>
      </w:sdtEndPr>
      <w:sdtContent>
        <w:r w:rsidR="000D7072">
          <w:fldChar w:fldCharType="begin"/>
        </w:r>
        <w:r w:rsidR="000D7072">
          <w:instrText xml:space="preserve"> PAGE   \* MERGEFORMAT </w:instrText>
        </w:r>
        <w:r w:rsidR="000D7072">
          <w:fldChar w:fldCharType="separate"/>
        </w:r>
        <w:r w:rsidR="000D7072">
          <w:rPr>
            <w:noProof/>
          </w:rPr>
          <w:t>2</w:t>
        </w:r>
        <w:r w:rsidR="000D7072">
          <w:rPr>
            <w:noProof/>
          </w:rPr>
          <w:fldChar w:fldCharType="end"/>
        </w:r>
      </w:sdtContent>
    </w:sdt>
  </w:p>
  <w:p w14:paraId="694A4004" w14:textId="77777777" w:rsidR="000D7072" w:rsidRDefault="000D707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3C0FE" w14:textId="77777777" w:rsidR="000D7072" w:rsidRPr="00156772" w:rsidRDefault="000D7072" w:rsidP="00156772">
    <w:pPr>
      <w:pStyle w:val="Footer"/>
    </w:pPr>
    <w:r>
      <w:rPr>
        <w:rFonts w:ascii="Arial" w:hAnsi="Arial" w:cs="Arial"/>
        <w:color w:val="000000"/>
        <w:sz w:val="18"/>
        <w:szCs w:val="18"/>
        <w:shd w:val="clear" w:color="auto" w:fill="FFFFFF"/>
      </w:rPr>
      <w:t>511370761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C815E" w14:textId="77777777" w:rsidR="00532480" w:rsidRDefault="00FC030B" w:rsidP="006732B5">
    <w:pPr>
      <w:pStyle w:val="Footer"/>
      <w:jc w:val="center"/>
    </w:pPr>
    <w:r>
      <w:t>End of Appendix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8F210" w14:textId="77777777" w:rsidR="00BF30FE" w:rsidRDefault="00BF30FE">
      <w:r>
        <w:separator/>
      </w:r>
    </w:p>
  </w:footnote>
  <w:footnote w:type="continuationSeparator" w:id="0">
    <w:p w14:paraId="69D123E0" w14:textId="77777777" w:rsidR="00BF30FE" w:rsidRDefault="00BF30FE">
      <w:r>
        <w:continuationSeparator/>
      </w:r>
    </w:p>
  </w:footnote>
  <w:footnote w:type="continuationNotice" w:id="1">
    <w:p w14:paraId="7D9F276F" w14:textId="77777777" w:rsidR="00BF30FE" w:rsidRDefault="00BF30FE"/>
  </w:footnote>
  <w:footnote w:id="2">
    <w:p w14:paraId="5AE87027" w14:textId="77777777" w:rsidR="000D7072" w:rsidRPr="00A10B52" w:rsidRDefault="000D7072" w:rsidP="00996A8F">
      <w:pPr>
        <w:pStyle w:val="FootnoteText"/>
      </w:pPr>
      <w:r w:rsidRPr="00A10B52">
        <w:rPr>
          <w:rStyle w:val="FootnoteReference"/>
        </w:rPr>
        <w:footnoteRef/>
      </w:r>
      <w:r>
        <w:t xml:space="preserve"> </w:t>
      </w:r>
      <w:r w:rsidRPr="00A10B52">
        <w:t>D. 22-05-029, Appendix 1, p.</w:t>
      </w:r>
      <w:r>
        <w:t xml:space="preserve"> </w:t>
      </w:r>
      <w:r w:rsidRPr="00A10B52">
        <w:t xml:space="preserve">11 </w:t>
      </w:r>
    </w:p>
  </w:footnote>
  <w:footnote w:id="3">
    <w:p w14:paraId="2223817B" w14:textId="77777777" w:rsidR="000D7072" w:rsidRDefault="000D7072" w:rsidP="00184261">
      <w:pPr>
        <w:pStyle w:val="FootnoteText"/>
        <w:ind w:left="90" w:hanging="90"/>
      </w:pPr>
      <w:r w:rsidRPr="00A10B52">
        <w:rPr>
          <w:rStyle w:val="FootnoteReference"/>
        </w:rPr>
        <w:footnoteRef/>
      </w:r>
      <w:r w:rsidRPr="00A10B52">
        <w:t xml:space="preserve"> Peak hours mean 7 p.m. to 11 p.m. local time.; https://www.fcc.gov/reports-research/reports/measuring-broadband-america/measuring-fixed-broadband-eleventh-report</w:t>
      </w:r>
    </w:p>
  </w:footnote>
  <w:footnote w:id="4">
    <w:p w14:paraId="472B0215" w14:textId="77777777" w:rsidR="000D7072" w:rsidRPr="00A10B52" w:rsidRDefault="000D7072" w:rsidP="00996A8F">
      <w:pPr>
        <w:pStyle w:val="FootnoteText"/>
      </w:pPr>
      <w:r w:rsidRPr="00A10B52">
        <w:rPr>
          <w:rStyle w:val="FootnoteReference"/>
        </w:rPr>
        <w:footnoteRef/>
      </w:r>
      <w:r w:rsidRPr="00A10B52">
        <w:t xml:space="preserve"> D.22-05-029, Appendix 1, p</w:t>
      </w:r>
      <w:r>
        <w:t>.</w:t>
      </w:r>
      <w:r w:rsidRPr="00A10B52">
        <w:t xml:space="preserve"> 5.</w:t>
      </w:r>
    </w:p>
  </w:footnote>
  <w:footnote w:id="5">
    <w:p w14:paraId="57FBB486" w14:textId="77777777" w:rsidR="000D7072" w:rsidRPr="00A27CF1" w:rsidRDefault="000D7072" w:rsidP="00184261">
      <w:pPr>
        <w:pStyle w:val="FootnoteText"/>
        <w:ind w:left="90" w:hanging="90"/>
      </w:pPr>
      <w:r w:rsidRPr="00A27CF1">
        <w:rPr>
          <w:rStyle w:val="FootnoteReference"/>
        </w:rPr>
        <w:footnoteRef/>
      </w:r>
      <w:r w:rsidRPr="00A27CF1">
        <w:t xml:space="preserve"> </w:t>
      </w:r>
      <w:r w:rsidRPr="003667A0">
        <w:t>https://www.cpuc.ca.gov/-/media/cpuc-website/divisions/communications-division/documents/casf-adoption-and-access/bpha/january-2023-broadband-public-housing-account-grant-request.pdf</w:t>
      </w:r>
    </w:p>
  </w:footnote>
  <w:footnote w:id="6">
    <w:p w14:paraId="6E494ACC" w14:textId="77777777" w:rsidR="000D7072" w:rsidRDefault="000D7072" w:rsidP="00C16241">
      <w:pPr>
        <w:pStyle w:val="FootnoteText"/>
        <w:ind w:left="180" w:hanging="180"/>
      </w:pPr>
      <w:r>
        <w:rPr>
          <w:rStyle w:val="FootnoteReference"/>
        </w:rPr>
        <w:footnoteRef/>
      </w:r>
      <w:r>
        <w:t xml:space="preserve"> </w:t>
      </w:r>
      <w:r w:rsidRPr="006732B5">
        <w:t>A mesh network is a network composed of multiple nodes that work together as one large system.  In WiFi networks, mesh is a feature of an automated path selection among the distributed wireless access points to their destination for the most optimal path</w:t>
      </w:r>
    </w:p>
  </w:footnote>
  <w:footnote w:id="7">
    <w:p w14:paraId="0CC77750" w14:textId="77777777" w:rsidR="000D7072" w:rsidRDefault="000D7072">
      <w:pPr>
        <w:pStyle w:val="FootnoteText"/>
      </w:pPr>
      <w:r>
        <w:rPr>
          <w:rStyle w:val="FootnoteReference"/>
        </w:rPr>
        <w:footnoteRef/>
      </w:r>
      <w:r>
        <w:t xml:space="preserve"> </w:t>
      </w:r>
      <w:r w:rsidRPr="008C28ED">
        <w:t xml:space="preserve">802.11AC Wave2 (WiFi-5 wave2) or 802.11ax </w:t>
      </w:r>
      <w:r>
        <w:t xml:space="preserve">WiFi </w:t>
      </w:r>
      <w:r w:rsidRPr="008C28ED">
        <w:t>standard</w:t>
      </w:r>
      <w:r>
        <w:t xml:space="preserve"> per BPHA guidelines, p.2.</w:t>
      </w:r>
    </w:p>
  </w:footnote>
  <w:footnote w:id="8">
    <w:p w14:paraId="5B38EDA3" w14:textId="77777777" w:rsidR="000D7072" w:rsidRPr="005C0004" w:rsidRDefault="000D7072" w:rsidP="000E7025">
      <w:pPr>
        <w:pStyle w:val="FootnoteText"/>
        <w:ind w:left="180" w:hanging="180"/>
      </w:pPr>
      <w:r w:rsidRPr="00185C49">
        <w:rPr>
          <w:rStyle w:val="FootnoteReference"/>
        </w:rPr>
        <w:footnoteRef/>
      </w:r>
      <w:r w:rsidRPr="00185C49">
        <w:t xml:space="preserve"> </w:t>
      </w:r>
      <w:r w:rsidRPr="005C0004">
        <w:t>Intermediate Distribution Frame (IDF) is a localized hub and a cable distribution point, typically a rack or a cabinet, which brings internal lines to all locally distributed computing devices to the Main Distribution Frame.</w:t>
      </w:r>
    </w:p>
  </w:footnote>
  <w:footnote w:id="9">
    <w:p w14:paraId="32015B2F" w14:textId="77777777" w:rsidR="000D7072" w:rsidRPr="005C0004" w:rsidRDefault="000D7072" w:rsidP="001310E2">
      <w:pPr>
        <w:pStyle w:val="FootnoteText"/>
        <w:ind w:left="180" w:hanging="180"/>
      </w:pPr>
      <w:r w:rsidRPr="005C0004">
        <w:rPr>
          <w:rStyle w:val="FootnoteReference"/>
        </w:rPr>
        <w:footnoteRef/>
      </w:r>
      <w:r w:rsidRPr="005C0004">
        <w:t xml:space="preserve"> The Main Distribution Frame (MDF) is the centralized distribution point for all IDFs and is the terminating point for all of the computing devices within the local network.  The MDF connects and manages telecommunications between the local facility and the outside world.</w:t>
      </w:r>
    </w:p>
  </w:footnote>
  <w:footnote w:id="10">
    <w:p w14:paraId="7913F329" w14:textId="77777777" w:rsidR="000D7072" w:rsidRPr="005C0004" w:rsidRDefault="000D7072" w:rsidP="009B7BB4">
      <w:pPr>
        <w:pStyle w:val="FootnoteText"/>
        <w:ind w:left="180" w:hanging="180"/>
      </w:pPr>
      <w:r w:rsidRPr="005C0004">
        <w:rPr>
          <w:rStyle w:val="FootnoteReference"/>
        </w:rPr>
        <w:footnoteRef/>
      </w:r>
      <w:r w:rsidRPr="005C0004">
        <w:t xml:space="preserve"> A star network is a network topology in which all nodes of computing devices are directly connected to a common central location.  A star network is often referred to as a hub-and-spoke.  </w:t>
      </w:r>
      <w:hyperlink r:id="rId1" w:anchor="/media/File:Star_Topology.png" w:history="1">
        <w:r w:rsidRPr="005C0004">
          <w:rPr>
            <w:rStyle w:val="Hyperlink"/>
          </w:rPr>
          <w:t>https://en.wikipedia.org/wiki/Star_network#/media/File:Star_Topology.png</w:t>
        </w:r>
      </w:hyperlink>
    </w:p>
  </w:footnote>
  <w:footnote w:id="11">
    <w:p w14:paraId="0D646AFA" w14:textId="77777777" w:rsidR="000D7072" w:rsidRPr="005C0004" w:rsidRDefault="000D7072" w:rsidP="005C0004">
      <w:pPr>
        <w:pStyle w:val="FootnoteText"/>
        <w:ind w:left="180" w:hanging="180"/>
      </w:pPr>
      <w:r w:rsidRPr="005C0004">
        <w:rPr>
          <w:rStyle w:val="FootnoteReference"/>
        </w:rPr>
        <w:footnoteRef/>
      </w:r>
      <w:r w:rsidRPr="005C0004">
        <w:t xml:space="preserve"> A mesh network is a network composed of multiple nodes that work together as one large system. </w:t>
      </w:r>
      <w:r>
        <w:t xml:space="preserve"> </w:t>
      </w:r>
      <w:r w:rsidRPr="005C0004">
        <w:t xml:space="preserve">In </w:t>
      </w:r>
      <w:r w:rsidRPr="00350B96">
        <w:t>WiFi</w:t>
      </w:r>
      <w:r w:rsidRPr="005C0004">
        <w:t xml:space="preserve"> networks, mesh is a feature of an automated path selection among the distributed wireless access points to their </w:t>
      </w:r>
      <w:r w:rsidRPr="00350B96">
        <w:t>destination</w:t>
      </w:r>
      <w:r w:rsidRPr="005C0004">
        <w:t xml:space="preserve"> for the most optimal path.  </w:t>
      </w:r>
    </w:p>
  </w:footnote>
  <w:footnote w:id="12">
    <w:p w14:paraId="6068AEB1" w14:textId="77777777" w:rsidR="000D7072" w:rsidRPr="005C0004" w:rsidRDefault="000D7072">
      <w:pPr>
        <w:pStyle w:val="FootnoteText"/>
      </w:pPr>
      <w:r w:rsidRPr="005C0004">
        <w:rPr>
          <w:rStyle w:val="FootnoteReference"/>
        </w:rPr>
        <w:footnoteRef/>
      </w:r>
      <w:r w:rsidRPr="005C0004">
        <w:t xml:space="preserve"> </w:t>
      </w:r>
      <w:hyperlink r:id="rId2" w:history="1">
        <w:r w:rsidRPr="005C0004">
          <w:rPr>
            <w:rStyle w:val="Hyperlink"/>
          </w:rPr>
          <w:t>https://www.wi-fi.org/discover-wi-fi/wi-fi-certified-6</w:t>
        </w:r>
      </w:hyperlink>
      <w:r w:rsidRPr="005C0004">
        <w:t xml:space="preserve"> </w:t>
      </w:r>
    </w:p>
  </w:footnote>
  <w:footnote w:id="13">
    <w:p w14:paraId="2B02AD25" w14:textId="77777777" w:rsidR="000D7072" w:rsidRPr="005C0004" w:rsidRDefault="000D7072" w:rsidP="005C0004">
      <w:pPr>
        <w:pStyle w:val="FootnoteText"/>
        <w:ind w:left="180" w:hanging="180"/>
      </w:pPr>
      <w:r w:rsidRPr="005C0004">
        <w:rPr>
          <w:rStyle w:val="FootnoteReference"/>
        </w:rPr>
        <w:footnoteRef/>
      </w:r>
      <w:r w:rsidRPr="005C0004">
        <w:t xml:space="preserve"> Based on the proposed engineering designs submitted, for the wired projects using switched ethernet technology and wireless projects using 802.11ax WiFi technology, upgrading the layer 2/layer 3 switching equipment and the firewall equipment would enable speeds greater than 100 Mbps download/20 Mbps upload toward gigabit capability.</w:t>
      </w:r>
    </w:p>
  </w:footnote>
  <w:footnote w:id="14">
    <w:p w14:paraId="20B92D0D" w14:textId="77777777" w:rsidR="000D7072" w:rsidRPr="00601C20" w:rsidRDefault="000D7072" w:rsidP="005C0004">
      <w:pPr>
        <w:pStyle w:val="FootnoteText"/>
        <w:ind w:left="180" w:hanging="180"/>
      </w:pPr>
      <w:r w:rsidRPr="005C0004">
        <w:rPr>
          <w:rStyle w:val="FootnoteReference"/>
        </w:rPr>
        <w:footnoteRef/>
      </w:r>
      <w:r w:rsidRPr="005C0004">
        <w:t xml:space="preserve"> </w:t>
      </w:r>
      <w:r>
        <w:t xml:space="preserve">All </w:t>
      </w:r>
      <w:r w:rsidRPr="005C0004">
        <w:t xml:space="preserve">WiFi access point hardware </w:t>
      </w:r>
      <w:r>
        <w:t xml:space="preserve">and router hardware </w:t>
      </w:r>
      <w:r w:rsidRPr="005C0004">
        <w:t xml:space="preserve">proposed in the projects </w:t>
      </w:r>
      <w:r>
        <w:t xml:space="preserve">from Eden Housing, RCD Housing, SHE and Shelter Inc. </w:t>
      </w:r>
      <w:r w:rsidRPr="005C0004">
        <w:t>are 802.11ax (WiFi-6) based.</w:t>
      </w:r>
    </w:p>
  </w:footnote>
  <w:footnote w:id="15">
    <w:p w14:paraId="7B01FF92" w14:textId="77777777" w:rsidR="000D7072" w:rsidRDefault="000D7072">
      <w:pPr>
        <w:pStyle w:val="FootnoteText"/>
      </w:pPr>
      <w:r>
        <w:rPr>
          <w:rStyle w:val="FootnoteReference"/>
        </w:rPr>
        <w:footnoteRef/>
      </w:r>
      <w:r>
        <w:t xml:space="preserve"> Per RCD design documentation, each residential space will be provisioned with Netgear Rax10 WiFi6 router.</w:t>
      </w:r>
    </w:p>
  </w:footnote>
  <w:footnote w:id="16">
    <w:p w14:paraId="16B6788E" w14:textId="77777777" w:rsidR="000D7072" w:rsidRPr="00184261" w:rsidRDefault="000D7072" w:rsidP="00184261">
      <w:pPr>
        <w:pStyle w:val="FootnoteText"/>
        <w:ind w:left="180" w:hanging="180"/>
      </w:pPr>
      <w:r w:rsidRPr="00184261">
        <w:rPr>
          <w:rStyle w:val="FootnoteReference"/>
        </w:rPr>
        <w:footnoteRef/>
      </w:r>
      <w:r w:rsidRPr="00184261">
        <w:t xml:space="preserve"> Based on the proposed engineering designs submitted, for the wired projects using switched ethernet technology and wireless projects using 802.11ax WiFi technology, upgrading the layer 2 or layer 3 switching equipment and the firewall equipment would enable speeds greater than 100 Mbps download/20 Mbps upload toward gigabit capability.</w:t>
      </w:r>
    </w:p>
  </w:footnote>
  <w:footnote w:id="17">
    <w:p w14:paraId="713BA471" w14:textId="77777777" w:rsidR="000D7072" w:rsidRDefault="000D7072" w:rsidP="00BD6AD0">
      <w:pPr>
        <w:pStyle w:val="FootnoteText"/>
        <w:ind w:left="180" w:hanging="180"/>
      </w:pPr>
      <w:r>
        <w:rPr>
          <w:rStyle w:val="FootnoteReference"/>
        </w:rPr>
        <w:footnoteRef/>
      </w:r>
      <w:r>
        <w:t xml:space="preserve">: </w:t>
      </w:r>
      <w:hyperlink r:id="rId3" w:history="1">
        <w:r w:rsidRPr="005F55B0">
          <w:rPr>
            <w:rStyle w:val="Hyperlink"/>
          </w:rPr>
          <w:t>https://wballiance.com/industry-report-reveals-33-plan-to-deploy-wi-fi-7-by-2024/</w:t>
        </w:r>
      </w:hyperlink>
      <w:r>
        <w:rPr>
          <w:rStyle w:val="Hyperlink"/>
        </w:rPr>
        <w:t xml:space="preserve"> </w:t>
      </w:r>
    </w:p>
  </w:footnote>
  <w:footnote w:id="18">
    <w:p w14:paraId="1820807C" w14:textId="77777777" w:rsidR="000D7072" w:rsidRDefault="000D7072">
      <w:pPr>
        <w:pStyle w:val="FootnoteText"/>
      </w:pPr>
      <w:r>
        <w:rPr>
          <w:rStyle w:val="FootnoteReference"/>
        </w:rPr>
        <w:footnoteRef/>
      </w:r>
      <w:r>
        <w:t xml:space="preserve"> Applicants in Table 1 have indicated that projects are experiencing high material costs and supply chain delays.   </w:t>
      </w:r>
    </w:p>
  </w:footnote>
  <w:footnote w:id="19">
    <w:p w14:paraId="31EDCB39" w14:textId="77777777" w:rsidR="000D7072" w:rsidRPr="00184261" w:rsidRDefault="000D7072" w:rsidP="00246D0F">
      <w:pPr>
        <w:pStyle w:val="FootnoteText"/>
        <w:ind w:left="180" w:hanging="180"/>
      </w:pPr>
      <w:r w:rsidRPr="00184261">
        <w:rPr>
          <w:rStyle w:val="FootnoteReference"/>
        </w:rPr>
        <w:footnoteRef/>
      </w:r>
      <w:r w:rsidRPr="00184261">
        <w:t xml:space="preserve"> </w:t>
      </w:r>
      <w:hyperlink r:id="rId4" w:history="1">
        <w:r w:rsidRPr="00184261">
          <w:rPr>
            <w:rStyle w:val="Hyperlink"/>
          </w:rPr>
          <w:t>https://research.stlouisfed.org/publications/review/2022/02/07/global-supply-chain-disruptions-and-inflation-during-the-covid-19-pandemic</w:t>
        </w:r>
      </w:hyperlink>
    </w:p>
  </w:footnote>
  <w:footnote w:id="20">
    <w:p w14:paraId="0A9A09B3" w14:textId="77777777" w:rsidR="000D7072" w:rsidRPr="00184261" w:rsidRDefault="000D7072" w:rsidP="00246D0F">
      <w:pPr>
        <w:pStyle w:val="FootnoteText"/>
        <w:ind w:left="180" w:hanging="180"/>
      </w:pPr>
      <w:r w:rsidRPr="00184261">
        <w:rPr>
          <w:rStyle w:val="FootnoteReference"/>
        </w:rPr>
        <w:footnoteRef/>
      </w:r>
      <w:r w:rsidRPr="00184261">
        <w:t xml:space="preserve"> </w:t>
      </w:r>
      <w:hyperlink r:id="rId5" w:history="1">
        <w:r w:rsidRPr="00184261">
          <w:rPr>
            <w:rStyle w:val="Hyperlink"/>
          </w:rPr>
          <w:t>https://www.reuters.com/business/global-inflation-stay-stubbornly-high-wrecked-supply-chains-persist-2022-04-28/</w:t>
        </w:r>
      </w:hyperlink>
    </w:p>
  </w:footnote>
  <w:footnote w:id="21">
    <w:p w14:paraId="5272D026" w14:textId="77777777" w:rsidR="000D7072" w:rsidRPr="009A712D" w:rsidRDefault="000D7072" w:rsidP="00246D0F">
      <w:pPr>
        <w:pStyle w:val="FootnoteText"/>
        <w:ind w:left="180" w:hanging="180"/>
      </w:pPr>
      <w:r w:rsidRPr="00184261">
        <w:rPr>
          <w:rStyle w:val="FootnoteReference"/>
        </w:rPr>
        <w:footnoteRef/>
      </w:r>
      <w:r w:rsidRPr="00184261">
        <w:t xml:space="preserve"> </w:t>
      </w:r>
      <w:hyperlink r:id="rId6" w:history="1">
        <w:r w:rsidRPr="00184261">
          <w:rPr>
            <w:rStyle w:val="Hyperlink"/>
          </w:rPr>
          <w:t>https://www.whitehouse.gov/cea/written-materials/2021/07/06/historical-parallels-to-todays-inflationary-episode/</w:t>
        </w:r>
      </w:hyperlink>
    </w:p>
  </w:footnote>
  <w:footnote w:id="22">
    <w:p w14:paraId="19A81D85" w14:textId="77777777" w:rsidR="000D7072" w:rsidRPr="00184261" w:rsidRDefault="000D7072" w:rsidP="00B11B79">
      <w:pPr>
        <w:pStyle w:val="FootnoteText"/>
      </w:pPr>
      <w:r w:rsidRPr="00184261">
        <w:rPr>
          <w:rStyle w:val="FootnoteReference"/>
        </w:rPr>
        <w:footnoteRef/>
      </w:r>
      <w:r w:rsidRPr="00184261">
        <w:t xml:space="preserve"> D. 22-05-029, Appendix 1</w:t>
      </w:r>
      <w:r>
        <w:t>,</w:t>
      </w:r>
      <w:r w:rsidRPr="00184261">
        <w:t xml:space="preserve"> p. 16.</w:t>
      </w:r>
    </w:p>
  </w:footnote>
  <w:footnote w:id="23">
    <w:p w14:paraId="61813761" w14:textId="77777777" w:rsidR="000D7072" w:rsidRPr="00184261" w:rsidRDefault="000D7072" w:rsidP="00184261">
      <w:pPr>
        <w:pStyle w:val="FootnoteText"/>
        <w:ind w:left="180" w:hanging="180"/>
      </w:pPr>
      <w:r w:rsidRPr="00184261">
        <w:rPr>
          <w:rStyle w:val="FootnoteReference"/>
        </w:rPr>
        <w:footnoteRef/>
      </w:r>
      <w:r w:rsidRPr="00184261">
        <w:t xml:space="preserve"> </w:t>
      </w:r>
      <w:hyperlink r:id="rId7" w:history="1">
        <w:r w:rsidRPr="00184261">
          <w:rPr>
            <w:rStyle w:val="Hyperlink"/>
          </w:rPr>
          <w:t>https://www.cpuc.ca.gov/industries-and-topics/internet-and-phone/california-advanced-services-fund/casf-public-housing-account</w:t>
        </w:r>
      </w:hyperlink>
      <w:r w:rsidRPr="00184261">
        <w:t xml:space="preserve"> </w:t>
      </w:r>
    </w:p>
  </w:footnote>
  <w:footnote w:id="24">
    <w:p w14:paraId="353669B1" w14:textId="77777777" w:rsidR="000D7072" w:rsidRPr="00904782" w:rsidRDefault="000D7072" w:rsidP="00996A8F">
      <w:pPr>
        <w:pStyle w:val="FootnoteText"/>
      </w:pPr>
      <w:r w:rsidRPr="00184261">
        <w:rPr>
          <w:rStyle w:val="FootnoteReference"/>
        </w:rPr>
        <w:footnoteRef/>
      </w:r>
      <w:r w:rsidRPr="00184261">
        <w:t xml:space="preserve"> D.22-05-029 Appendix 1, p.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A98B" w14:textId="77777777" w:rsidR="00AF7F2E" w:rsidRDefault="00AF7F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8D81E" w14:textId="49613D8E" w:rsidR="009E1377" w:rsidRDefault="009E1377">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60171" w14:textId="4A9235AC" w:rsidR="005D5484" w:rsidRDefault="005D5484">
    <w:pPr>
      <w:pStyle w:val="Header"/>
    </w:pPr>
    <w:r>
      <w:tab/>
    </w:r>
    <w:r>
      <w:tab/>
      <w:t>Date of Issuance: September 2</w:t>
    </w:r>
    <w:r w:rsidR="00AF7F2E">
      <w:t>2</w:t>
    </w:r>
    <w:r>
      <w:t>,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9B024" w14:textId="77777777" w:rsidR="00E66968" w:rsidRDefault="00E6696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B0300" w14:textId="77777777" w:rsidR="000D7072" w:rsidRPr="00B60960" w:rsidRDefault="000D7072" w:rsidP="00EC2D0A">
    <w:pPr>
      <w:pStyle w:val="Header"/>
    </w:pPr>
    <w:r w:rsidRPr="00B60960">
      <w:t xml:space="preserve">Resolution </w:t>
    </w:r>
    <w:r w:rsidRPr="00EE2241">
      <w:t>T-17791</w:t>
    </w:r>
    <w:r w:rsidRPr="00B60960">
      <w:tab/>
    </w:r>
    <w:r w:rsidRPr="00B60960">
      <w:tab/>
      <w:t xml:space="preserve">    </w:t>
    </w:r>
  </w:p>
  <w:p w14:paraId="31CEC1EF" w14:textId="77777777" w:rsidR="000D7072" w:rsidRPr="00B60960" w:rsidRDefault="000D7072" w:rsidP="00EC2D0A">
    <w:pPr>
      <w:pStyle w:val="Header"/>
    </w:pPr>
    <w:r w:rsidRPr="00B60960">
      <w:t>CD/SOH/TGC</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BC421" w14:textId="77777777" w:rsidR="000D7072" w:rsidRDefault="000D7072" w:rsidP="00300286">
    <w:pPr>
      <w:pStyle w:val="Header"/>
      <w:rPr>
        <w:color w:val="000000"/>
        <w:sz w:val="27"/>
        <w:szCs w:val="27"/>
      </w:rPr>
    </w:pPr>
    <w:r w:rsidRPr="00B60960">
      <w:t>Resolution T</w:t>
    </w:r>
    <w:r>
      <w:t>-17791</w:t>
    </w:r>
    <w:r w:rsidRPr="00B60960">
      <w:tab/>
    </w:r>
    <w:r>
      <w:t xml:space="preserve">                                                                  </w:t>
    </w:r>
    <w:r>
      <w:rPr>
        <w:color w:val="000000"/>
        <w:sz w:val="27"/>
        <w:szCs w:val="27"/>
      </w:rPr>
      <w:t>Date of Issuance: June 12, 2023</w:t>
    </w:r>
  </w:p>
  <w:p w14:paraId="25CFF1AB" w14:textId="77777777" w:rsidR="000D7072" w:rsidRPr="00B60960" w:rsidRDefault="000D7072" w:rsidP="00300286">
    <w:pPr>
      <w:pStyle w:val="Header"/>
    </w:pPr>
    <w:r w:rsidRPr="00B60960">
      <w:t>CD/SOH/TGC</w:t>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171A" w14:textId="77777777" w:rsidR="00532480" w:rsidRPr="00B60960" w:rsidRDefault="00FC030B" w:rsidP="003C58E4">
    <w:pPr>
      <w:pStyle w:val="Header"/>
    </w:pPr>
    <w:r w:rsidRPr="00B60960">
      <w:t>Resolution T</w:t>
    </w:r>
    <w:r>
      <w:t>-17791</w:t>
    </w:r>
    <w:r w:rsidRPr="00B60960">
      <w:tab/>
      <w:t xml:space="preserve"> </w:t>
    </w:r>
  </w:p>
  <w:p w14:paraId="57D7267F" w14:textId="77777777" w:rsidR="00532480" w:rsidRPr="00B60960" w:rsidRDefault="00FC030B" w:rsidP="003C58E4">
    <w:pPr>
      <w:pStyle w:val="Header"/>
    </w:pPr>
    <w:r w:rsidRPr="00B60960">
      <w:t>CD/SOH/TGC</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0127F6A"/>
    <w:lvl w:ilvl="0">
      <w:start w:val="1"/>
      <w:numFmt w:val="decimal"/>
      <w:lvlText w:val="%1."/>
      <w:legacy w:legacy="1" w:legacySpace="0" w:legacyIndent="720"/>
      <w:lvlJc w:val="left"/>
      <w:pPr>
        <w:ind w:left="72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egacy w:legacy="1" w:legacySpace="0" w:legacyIndent="720"/>
      <w:lvlJc w:val="left"/>
      <w:pPr>
        <w:ind w:left="3240" w:hanging="720"/>
      </w:pPr>
    </w:lvl>
    <w:lvl w:ilvl="4">
      <w:start w:val="1"/>
      <w:numFmt w:val="decimal"/>
      <w:lvlText w:val="%1.%2.%3.%4.%5."/>
      <w:legacy w:legacy="1" w:legacySpace="0" w:legacyIndent="720"/>
      <w:lvlJc w:val="left"/>
      <w:pPr>
        <w:ind w:left="4140" w:hanging="720"/>
      </w:pPr>
      <w:rPr>
        <w:rFonts w:ascii="Helvetica" w:hAnsi="Helvetica" w:cs="Times New Roman" w:hint="default"/>
        <w:sz w:val="26"/>
        <w:szCs w:val="26"/>
      </w:rPr>
    </w:lvl>
    <w:lvl w:ilvl="5">
      <w:start w:val="1"/>
      <w:numFmt w:val="decimal"/>
      <w:lvlText w:val="%1.%2.%3.%4.%5.%6."/>
      <w:legacy w:legacy="1" w:legacySpace="0" w:legacyIndent="720"/>
      <w:lvlJc w:val="left"/>
      <w:pPr>
        <w:ind w:left="4320" w:hanging="720"/>
      </w:pPr>
      <w:rPr>
        <w:b/>
        <w:i w:val="0"/>
        <w:sz w:val="26"/>
        <w:szCs w:val="26"/>
      </w:r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 w15:restartNumberingAfterBreak="0">
    <w:nsid w:val="0D580D76"/>
    <w:multiLevelType w:val="hybridMultilevel"/>
    <w:tmpl w:val="8466B49A"/>
    <w:lvl w:ilvl="0" w:tplc="FFFFFFFF">
      <w:start w:val="1"/>
      <w:numFmt w:val="decimal"/>
      <w:lvlText w:val="%1."/>
      <w:lvlJc w:val="left"/>
      <w:pPr>
        <w:ind w:left="570" w:hanging="360"/>
      </w:pPr>
      <w:rPr>
        <w:rFonts w:ascii="Palatino Linotype" w:eastAsia="Palatino Linotype" w:hAnsi="Palatino Linotype" w:cs="Palatino Linotype" w:hint="default"/>
        <w:b w:val="0"/>
        <w:bCs w:val="0"/>
        <w:i w:val="0"/>
        <w:iCs w:val="0"/>
        <w:w w:val="100"/>
        <w:sz w:val="24"/>
        <w:szCs w:val="24"/>
        <w:lang w:val="en-US" w:eastAsia="en-US" w:bidi="ar-SA"/>
      </w:rPr>
    </w:lvl>
    <w:lvl w:ilvl="1" w:tplc="FFFFFFFF">
      <w:numFmt w:val="bullet"/>
      <w:lvlText w:val="•"/>
      <w:lvlJc w:val="left"/>
      <w:pPr>
        <w:ind w:left="1482" w:hanging="360"/>
      </w:pPr>
      <w:rPr>
        <w:rFonts w:hint="default"/>
        <w:lang w:val="en-US" w:eastAsia="en-US" w:bidi="ar-SA"/>
      </w:rPr>
    </w:lvl>
    <w:lvl w:ilvl="2" w:tplc="FFFFFFFF">
      <w:numFmt w:val="bullet"/>
      <w:lvlText w:val="•"/>
      <w:lvlJc w:val="left"/>
      <w:pPr>
        <w:ind w:left="2384" w:hanging="360"/>
      </w:pPr>
      <w:rPr>
        <w:rFonts w:hint="default"/>
        <w:lang w:val="en-US" w:eastAsia="en-US" w:bidi="ar-SA"/>
      </w:rPr>
    </w:lvl>
    <w:lvl w:ilvl="3" w:tplc="FFFFFFFF">
      <w:numFmt w:val="bullet"/>
      <w:lvlText w:val="•"/>
      <w:lvlJc w:val="left"/>
      <w:pPr>
        <w:ind w:left="3286" w:hanging="360"/>
      </w:pPr>
      <w:rPr>
        <w:rFonts w:hint="default"/>
        <w:lang w:val="en-US" w:eastAsia="en-US" w:bidi="ar-SA"/>
      </w:rPr>
    </w:lvl>
    <w:lvl w:ilvl="4" w:tplc="FFFFFFFF">
      <w:numFmt w:val="bullet"/>
      <w:lvlText w:val="•"/>
      <w:lvlJc w:val="left"/>
      <w:pPr>
        <w:ind w:left="4188" w:hanging="360"/>
      </w:pPr>
      <w:rPr>
        <w:rFonts w:hint="default"/>
        <w:lang w:val="en-US" w:eastAsia="en-US" w:bidi="ar-SA"/>
      </w:rPr>
    </w:lvl>
    <w:lvl w:ilvl="5" w:tplc="FFFFFFFF">
      <w:numFmt w:val="bullet"/>
      <w:lvlText w:val="•"/>
      <w:lvlJc w:val="left"/>
      <w:pPr>
        <w:ind w:left="5090" w:hanging="360"/>
      </w:pPr>
      <w:rPr>
        <w:rFonts w:hint="default"/>
        <w:lang w:val="en-US" w:eastAsia="en-US" w:bidi="ar-SA"/>
      </w:rPr>
    </w:lvl>
    <w:lvl w:ilvl="6" w:tplc="FFFFFFFF">
      <w:numFmt w:val="bullet"/>
      <w:lvlText w:val="•"/>
      <w:lvlJc w:val="left"/>
      <w:pPr>
        <w:ind w:left="5992" w:hanging="360"/>
      </w:pPr>
      <w:rPr>
        <w:rFonts w:hint="default"/>
        <w:lang w:val="en-US" w:eastAsia="en-US" w:bidi="ar-SA"/>
      </w:rPr>
    </w:lvl>
    <w:lvl w:ilvl="7" w:tplc="FFFFFFFF">
      <w:numFmt w:val="bullet"/>
      <w:lvlText w:val="•"/>
      <w:lvlJc w:val="left"/>
      <w:pPr>
        <w:ind w:left="6894" w:hanging="360"/>
      </w:pPr>
      <w:rPr>
        <w:rFonts w:hint="default"/>
        <w:lang w:val="en-US" w:eastAsia="en-US" w:bidi="ar-SA"/>
      </w:rPr>
    </w:lvl>
    <w:lvl w:ilvl="8" w:tplc="FFFFFFFF">
      <w:numFmt w:val="bullet"/>
      <w:lvlText w:val="•"/>
      <w:lvlJc w:val="left"/>
      <w:pPr>
        <w:ind w:left="7796" w:hanging="360"/>
      </w:pPr>
      <w:rPr>
        <w:rFonts w:hint="default"/>
        <w:lang w:val="en-US" w:eastAsia="en-US" w:bidi="ar-SA"/>
      </w:rPr>
    </w:lvl>
  </w:abstractNum>
  <w:abstractNum w:abstractNumId="2" w15:restartNumberingAfterBreak="0">
    <w:nsid w:val="10FA7971"/>
    <w:multiLevelType w:val="hybridMultilevel"/>
    <w:tmpl w:val="71E029E8"/>
    <w:lvl w:ilvl="0" w:tplc="7F2654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000B2"/>
    <w:multiLevelType w:val="hybridMultilevel"/>
    <w:tmpl w:val="07246672"/>
    <w:lvl w:ilvl="0" w:tplc="78222496">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F5B5E"/>
    <w:multiLevelType w:val="hybridMultilevel"/>
    <w:tmpl w:val="E6A4A7A2"/>
    <w:lvl w:ilvl="0" w:tplc="ED88028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 w15:restartNumberingAfterBreak="0">
    <w:nsid w:val="28BE473A"/>
    <w:multiLevelType w:val="hybridMultilevel"/>
    <w:tmpl w:val="64489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280A4E"/>
    <w:multiLevelType w:val="hybridMultilevel"/>
    <w:tmpl w:val="EC8A2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4235C"/>
    <w:multiLevelType w:val="hybridMultilevel"/>
    <w:tmpl w:val="8466B49A"/>
    <w:lvl w:ilvl="0" w:tplc="2A8EFB12">
      <w:start w:val="1"/>
      <w:numFmt w:val="decimal"/>
      <w:lvlText w:val="%1."/>
      <w:lvlJc w:val="left"/>
      <w:pPr>
        <w:ind w:left="570" w:hanging="360"/>
      </w:pPr>
      <w:rPr>
        <w:rFonts w:ascii="Palatino Linotype" w:eastAsia="Palatino Linotype" w:hAnsi="Palatino Linotype" w:cs="Palatino Linotype" w:hint="default"/>
        <w:b w:val="0"/>
        <w:bCs w:val="0"/>
        <w:i w:val="0"/>
        <w:iCs w:val="0"/>
        <w:w w:val="100"/>
        <w:sz w:val="24"/>
        <w:szCs w:val="24"/>
        <w:lang w:val="en-US" w:eastAsia="en-US" w:bidi="ar-SA"/>
      </w:rPr>
    </w:lvl>
    <w:lvl w:ilvl="1" w:tplc="A4C25168">
      <w:numFmt w:val="bullet"/>
      <w:lvlText w:val="•"/>
      <w:lvlJc w:val="left"/>
      <w:pPr>
        <w:ind w:left="1482" w:hanging="360"/>
      </w:pPr>
      <w:rPr>
        <w:rFonts w:hint="default"/>
        <w:lang w:val="en-US" w:eastAsia="en-US" w:bidi="ar-SA"/>
      </w:rPr>
    </w:lvl>
    <w:lvl w:ilvl="2" w:tplc="78AE12B2">
      <w:numFmt w:val="bullet"/>
      <w:lvlText w:val="•"/>
      <w:lvlJc w:val="left"/>
      <w:pPr>
        <w:ind w:left="2384" w:hanging="360"/>
      </w:pPr>
      <w:rPr>
        <w:rFonts w:hint="default"/>
        <w:lang w:val="en-US" w:eastAsia="en-US" w:bidi="ar-SA"/>
      </w:rPr>
    </w:lvl>
    <w:lvl w:ilvl="3" w:tplc="9E908E7A">
      <w:numFmt w:val="bullet"/>
      <w:lvlText w:val="•"/>
      <w:lvlJc w:val="left"/>
      <w:pPr>
        <w:ind w:left="3286" w:hanging="360"/>
      </w:pPr>
      <w:rPr>
        <w:rFonts w:hint="default"/>
        <w:lang w:val="en-US" w:eastAsia="en-US" w:bidi="ar-SA"/>
      </w:rPr>
    </w:lvl>
    <w:lvl w:ilvl="4" w:tplc="7E1C67F0">
      <w:numFmt w:val="bullet"/>
      <w:lvlText w:val="•"/>
      <w:lvlJc w:val="left"/>
      <w:pPr>
        <w:ind w:left="4188" w:hanging="360"/>
      </w:pPr>
      <w:rPr>
        <w:rFonts w:hint="default"/>
        <w:lang w:val="en-US" w:eastAsia="en-US" w:bidi="ar-SA"/>
      </w:rPr>
    </w:lvl>
    <w:lvl w:ilvl="5" w:tplc="F280AF6A">
      <w:numFmt w:val="bullet"/>
      <w:lvlText w:val="•"/>
      <w:lvlJc w:val="left"/>
      <w:pPr>
        <w:ind w:left="5090" w:hanging="360"/>
      </w:pPr>
      <w:rPr>
        <w:rFonts w:hint="default"/>
        <w:lang w:val="en-US" w:eastAsia="en-US" w:bidi="ar-SA"/>
      </w:rPr>
    </w:lvl>
    <w:lvl w:ilvl="6" w:tplc="0AE44AB6">
      <w:numFmt w:val="bullet"/>
      <w:lvlText w:val="•"/>
      <w:lvlJc w:val="left"/>
      <w:pPr>
        <w:ind w:left="5992" w:hanging="360"/>
      </w:pPr>
      <w:rPr>
        <w:rFonts w:hint="default"/>
        <w:lang w:val="en-US" w:eastAsia="en-US" w:bidi="ar-SA"/>
      </w:rPr>
    </w:lvl>
    <w:lvl w:ilvl="7" w:tplc="BED0BD92">
      <w:numFmt w:val="bullet"/>
      <w:lvlText w:val="•"/>
      <w:lvlJc w:val="left"/>
      <w:pPr>
        <w:ind w:left="6894" w:hanging="360"/>
      </w:pPr>
      <w:rPr>
        <w:rFonts w:hint="default"/>
        <w:lang w:val="en-US" w:eastAsia="en-US" w:bidi="ar-SA"/>
      </w:rPr>
    </w:lvl>
    <w:lvl w:ilvl="8" w:tplc="446AF07E">
      <w:numFmt w:val="bullet"/>
      <w:lvlText w:val="•"/>
      <w:lvlJc w:val="left"/>
      <w:pPr>
        <w:ind w:left="7796" w:hanging="360"/>
      </w:pPr>
      <w:rPr>
        <w:rFonts w:hint="default"/>
        <w:lang w:val="en-US" w:eastAsia="en-US" w:bidi="ar-SA"/>
      </w:rPr>
    </w:lvl>
  </w:abstractNum>
  <w:abstractNum w:abstractNumId="8" w15:restartNumberingAfterBreak="0">
    <w:nsid w:val="2EEB23E9"/>
    <w:multiLevelType w:val="hybridMultilevel"/>
    <w:tmpl w:val="2028F722"/>
    <w:lvl w:ilvl="0" w:tplc="73E8EF3C">
      <w:start w:val="1"/>
      <w:numFmt w:val="upperLetter"/>
      <w:lvlText w:val="%1."/>
      <w:lvlJc w:val="left"/>
      <w:pPr>
        <w:ind w:left="1530" w:hanging="540"/>
      </w:pPr>
      <w:rPr>
        <w:rFonts w:ascii="Palatino Linotype" w:eastAsia="Times New Roman" w:hAnsi="Palatino Linotype" w:cs="Times New Roman"/>
        <w:b/>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3E1B43B7"/>
    <w:multiLevelType w:val="hybridMultilevel"/>
    <w:tmpl w:val="20E2C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DB0F39"/>
    <w:multiLevelType w:val="hybridMultilevel"/>
    <w:tmpl w:val="802ECE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DA1FB6"/>
    <w:multiLevelType w:val="hybridMultilevel"/>
    <w:tmpl w:val="6D2C8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491C8D"/>
    <w:multiLevelType w:val="hybridMultilevel"/>
    <w:tmpl w:val="044AFDA4"/>
    <w:lvl w:ilvl="0" w:tplc="2DE89D44">
      <w:start w:val="1"/>
      <w:numFmt w:val="decimal"/>
      <w:lvlText w:val="%1."/>
      <w:lvlJc w:val="left"/>
      <w:pPr>
        <w:ind w:left="480" w:hanging="360"/>
      </w:pPr>
      <w:rPr>
        <w:rFonts w:ascii="Palatino Linotype" w:eastAsia="Palatino Linotype" w:hAnsi="Palatino Linotype" w:cs="Palatino Linotype" w:hint="default"/>
        <w:b w:val="0"/>
        <w:bCs w:val="0"/>
        <w:i w:val="0"/>
        <w:iCs w:val="0"/>
        <w:w w:val="100"/>
        <w:sz w:val="24"/>
        <w:szCs w:val="24"/>
        <w:lang w:val="en-US" w:eastAsia="en-US" w:bidi="ar-SA"/>
      </w:rPr>
    </w:lvl>
    <w:lvl w:ilvl="1" w:tplc="D2E675EC">
      <w:numFmt w:val="bullet"/>
      <w:lvlText w:val="•"/>
      <w:lvlJc w:val="left"/>
      <w:pPr>
        <w:ind w:left="1392" w:hanging="360"/>
      </w:pPr>
      <w:rPr>
        <w:rFonts w:hint="default"/>
        <w:lang w:val="en-US" w:eastAsia="en-US" w:bidi="ar-SA"/>
      </w:rPr>
    </w:lvl>
    <w:lvl w:ilvl="2" w:tplc="57CA7BC6">
      <w:numFmt w:val="bullet"/>
      <w:lvlText w:val="•"/>
      <w:lvlJc w:val="left"/>
      <w:pPr>
        <w:ind w:left="2304" w:hanging="360"/>
      </w:pPr>
      <w:rPr>
        <w:rFonts w:hint="default"/>
        <w:lang w:val="en-US" w:eastAsia="en-US" w:bidi="ar-SA"/>
      </w:rPr>
    </w:lvl>
    <w:lvl w:ilvl="3" w:tplc="D8548FC6">
      <w:numFmt w:val="bullet"/>
      <w:lvlText w:val="•"/>
      <w:lvlJc w:val="left"/>
      <w:pPr>
        <w:ind w:left="3216" w:hanging="360"/>
      </w:pPr>
      <w:rPr>
        <w:rFonts w:hint="default"/>
        <w:lang w:val="en-US" w:eastAsia="en-US" w:bidi="ar-SA"/>
      </w:rPr>
    </w:lvl>
    <w:lvl w:ilvl="4" w:tplc="0420ADA2">
      <w:numFmt w:val="bullet"/>
      <w:lvlText w:val="•"/>
      <w:lvlJc w:val="left"/>
      <w:pPr>
        <w:ind w:left="4128" w:hanging="360"/>
      </w:pPr>
      <w:rPr>
        <w:rFonts w:hint="default"/>
        <w:lang w:val="en-US" w:eastAsia="en-US" w:bidi="ar-SA"/>
      </w:rPr>
    </w:lvl>
    <w:lvl w:ilvl="5" w:tplc="93BC32EC">
      <w:numFmt w:val="bullet"/>
      <w:lvlText w:val="•"/>
      <w:lvlJc w:val="left"/>
      <w:pPr>
        <w:ind w:left="5040" w:hanging="360"/>
      </w:pPr>
      <w:rPr>
        <w:rFonts w:hint="default"/>
        <w:lang w:val="en-US" w:eastAsia="en-US" w:bidi="ar-SA"/>
      </w:rPr>
    </w:lvl>
    <w:lvl w:ilvl="6" w:tplc="F04E732A">
      <w:numFmt w:val="bullet"/>
      <w:lvlText w:val="•"/>
      <w:lvlJc w:val="left"/>
      <w:pPr>
        <w:ind w:left="5952" w:hanging="360"/>
      </w:pPr>
      <w:rPr>
        <w:rFonts w:hint="default"/>
        <w:lang w:val="en-US" w:eastAsia="en-US" w:bidi="ar-SA"/>
      </w:rPr>
    </w:lvl>
    <w:lvl w:ilvl="7" w:tplc="92F06516">
      <w:numFmt w:val="bullet"/>
      <w:lvlText w:val="•"/>
      <w:lvlJc w:val="left"/>
      <w:pPr>
        <w:ind w:left="6864" w:hanging="360"/>
      </w:pPr>
      <w:rPr>
        <w:rFonts w:hint="default"/>
        <w:lang w:val="en-US" w:eastAsia="en-US" w:bidi="ar-SA"/>
      </w:rPr>
    </w:lvl>
    <w:lvl w:ilvl="8" w:tplc="918C43E0">
      <w:numFmt w:val="bullet"/>
      <w:lvlText w:val="•"/>
      <w:lvlJc w:val="left"/>
      <w:pPr>
        <w:ind w:left="7776" w:hanging="360"/>
      </w:pPr>
      <w:rPr>
        <w:rFonts w:hint="default"/>
        <w:lang w:val="en-US" w:eastAsia="en-US" w:bidi="ar-SA"/>
      </w:rPr>
    </w:lvl>
  </w:abstractNum>
  <w:abstractNum w:abstractNumId="13" w15:restartNumberingAfterBreak="0">
    <w:nsid w:val="68612116"/>
    <w:multiLevelType w:val="hybridMultilevel"/>
    <w:tmpl w:val="4A2AABD8"/>
    <w:lvl w:ilvl="0" w:tplc="71D216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C15ECE"/>
    <w:multiLevelType w:val="hybridMultilevel"/>
    <w:tmpl w:val="097E9382"/>
    <w:lvl w:ilvl="0" w:tplc="228A8AF8">
      <w:start w:val="1"/>
      <w:numFmt w:val="upperRoman"/>
      <w:lvlText w:val="%1."/>
      <w:lvlJc w:val="left"/>
      <w:pPr>
        <w:ind w:left="1080" w:hanging="720"/>
      </w:pPr>
      <w:rPr>
        <w:rFonts w:hint="default"/>
      </w:rPr>
    </w:lvl>
    <w:lvl w:ilvl="1" w:tplc="654A54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E62018"/>
    <w:multiLevelType w:val="hybridMultilevel"/>
    <w:tmpl w:val="D21E5AA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15:restartNumberingAfterBreak="0">
    <w:nsid w:val="7BE71607"/>
    <w:multiLevelType w:val="hybridMultilevel"/>
    <w:tmpl w:val="8FB8FD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E1119F3"/>
    <w:multiLevelType w:val="hybridMultilevel"/>
    <w:tmpl w:val="6D7E0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8118997">
    <w:abstractNumId w:val="12"/>
  </w:num>
  <w:num w:numId="2" w16cid:durableId="1638683689">
    <w:abstractNumId w:val="7"/>
  </w:num>
  <w:num w:numId="3" w16cid:durableId="2078743836">
    <w:abstractNumId w:val="15"/>
  </w:num>
  <w:num w:numId="4" w16cid:durableId="1035155148">
    <w:abstractNumId w:val="4"/>
  </w:num>
  <w:num w:numId="5" w16cid:durableId="619648757">
    <w:abstractNumId w:val="1"/>
  </w:num>
  <w:num w:numId="6" w16cid:durableId="1196192557">
    <w:abstractNumId w:val="11"/>
  </w:num>
  <w:num w:numId="7" w16cid:durableId="1734810913">
    <w:abstractNumId w:val="10"/>
  </w:num>
  <w:num w:numId="8" w16cid:durableId="1615482098">
    <w:abstractNumId w:val="6"/>
  </w:num>
  <w:num w:numId="9" w16cid:durableId="294872759">
    <w:abstractNumId w:val="14"/>
  </w:num>
  <w:num w:numId="10" w16cid:durableId="1416785212">
    <w:abstractNumId w:val="8"/>
  </w:num>
  <w:num w:numId="11" w16cid:durableId="1996642046">
    <w:abstractNumId w:val="17"/>
  </w:num>
  <w:num w:numId="12" w16cid:durableId="193345078">
    <w:abstractNumId w:val="5"/>
  </w:num>
  <w:num w:numId="13" w16cid:durableId="2117367073">
    <w:abstractNumId w:val="3"/>
  </w:num>
  <w:num w:numId="14" w16cid:durableId="970863141">
    <w:abstractNumId w:val="0"/>
  </w:num>
  <w:num w:numId="15" w16cid:durableId="2071726664">
    <w:abstractNumId w:val="9"/>
  </w:num>
  <w:num w:numId="16" w16cid:durableId="758330964">
    <w:abstractNumId w:val="16"/>
  </w:num>
  <w:num w:numId="17" w16cid:durableId="1652713496">
    <w:abstractNumId w:val="2"/>
  </w:num>
  <w:num w:numId="18" w16cid:durableId="10553567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377"/>
    <w:rsid w:val="00015302"/>
    <w:rsid w:val="000154FE"/>
    <w:rsid w:val="000200AC"/>
    <w:rsid w:val="00026C96"/>
    <w:rsid w:val="00052FAF"/>
    <w:rsid w:val="000555B5"/>
    <w:rsid w:val="00061DFA"/>
    <w:rsid w:val="0007376F"/>
    <w:rsid w:val="00085936"/>
    <w:rsid w:val="0008738A"/>
    <w:rsid w:val="000B3F95"/>
    <w:rsid w:val="000C0BE8"/>
    <w:rsid w:val="000C16FA"/>
    <w:rsid w:val="000D5AF3"/>
    <w:rsid w:val="000D7072"/>
    <w:rsid w:val="000D761B"/>
    <w:rsid w:val="000E3297"/>
    <w:rsid w:val="000E343C"/>
    <w:rsid w:val="000E79FC"/>
    <w:rsid w:val="000F2386"/>
    <w:rsid w:val="000F2A66"/>
    <w:rsid w:val="000F4ACB"/>
    <w:rsid w:val="00101290"/>
    <w:rsid w:val="00102881"/>
    <w:rsid w:val="00102ACA"/>
    <w:rsid w:val="00104C95"/>
    <w:rsid w:val="001075BE"/>
    <w:rsid w:val="00112D2D"/>
    <w:rsid w:val="0012270D"/>
    <w:rsid w:val="0012395D"/>
    <w:rsid w:val="001274DD"/>
    <w:rsid w:val="00136376"/>
    <w:rsid w:val="00144B8E"/>
    <w:rsid w:val="00171B99"/>
    <w:rsid w:val="0017615C"/>
    <w:rsid w:val="00180112"/>
    <w:rsid w:val="001809FB"/>
    <w:rsid w:val="00184268"/>
    <w:rsid w:val="001926CF"/>
    <w:rsid w:val="001A59C5"/>
    <w:rsid w:val="001B0726"/>
    <w:rsid w:val="001B1481"/>
    <w:rsid w:val="001E2AA2"/>
    <w:rsid w:val="001E46DB"/>
    <w:rsid w:val="001F1D49"/>
    <w:rsid w:val="00202AB7"/>
    <w:rsid w:val="0020310D"/>
    <w:rsid w:val="0020401F"/>
    <w:rsid w:val="002102CE"/>
    <w:rsid w:val="00214A19"/>
    <w:rsid w:val="002227CC"/>
    <w:rsid w:val="00222F14"/>
    <w:rsid w:val="00225C6E"/>
    <w:rsid w:val="00225F1B"/>
    <w:rsid w:val="00226A32"/>
    <w:rsid w:val="0027012D"/>
    <w:rsid w:val="00276070"/>
    <w:rsid w:val="00283B67"/>
    <w:rsid w:val="00286051"/>
    <w:rsid w:val="0029047B"/>
    <w:rsid w:val="002B12C6"/>
    <w:rsid w:val="002B79A0"/>
    <w:rsid w:val="002C034A"/>
    <w:rsid w:val="002C4A1D"/>
    <w:rsid w:val="002D5453"/>
    <w:rsid w:val="002D64ED"/>
    <w:rsid w:val="002E5C4E"/>
    <w:rsid w:val="002E7E06"/>
    <w:rsid w:val="002F0824"/>
    <w:rsid w:val="002F7927"/>
    <w:rsid w:val="00315B1D"/>
    <w:rsid w:val="00326939"/>
    <w:rsid w:val="003420F5"/>
    <w:rsid w:val="0035458D"/>
    <w:rsid w:val="003725C5"/>
    <w:rsid w:val="00396350"/>
    <w:rsid w:val="003C0C52"/>
    <w:rsid w:val="003D048B"/>
    <w:rsid w:val="003D2C27"/>
    <w:rsid w:val="003D400D"/>
    <w:rsid w:val="003E1147"/>
    <w:rsid w:val="003E242D"/>
    <w:rsid w:val="0041007E"/>
    <w:rsid w:val="004103A3"/>
    <w:rsid w:val="004226B5"/>
    <w:rsid w:val="004278DE"/>
    <w:rsid w:val="00445A0F"/>
    <w:rsid w:val="00485C14"/>
    <w:rsid w:val="00485C1E"/>
    <w:rsid w:val="004953B5"/>
    <w:rsid w:val="004A68D5"/>
    <w:rsid w:val="004CC190"/>
    <w:rsid w:val="004D2BAF"/>
    <w:rsid w:val="004D6D5E"/>
    <w:rsid w:val="004D7AD7"/>
    <w:rsid w:val="004F6CC5"/>
    <w:rsid w:val="005004C5"/>
    <w:rsid w:val="00520EFE"/>
    <w:rsid w:val="00532480"/>
    <w:rsid w:val="005803B5"/>
    <w:rsid w:val="005960A1"/>
    <w:rsid w:val="005A795C"/>
    <w:rsid w:val="005B18F0"/>
    <w:rsid w:val="005B242E"/>
    <w:rsid w:val="005B7ED8"/>
    <w:rsid w:val="005C318F"/>
    <w:rsid w:val="005D5484"/>
    <w:rsid w:val="005F483C"/>
    <w:rsid w:val="005F5012"/>
    <w:rsid w:val="005F7667"/>
    <w:rsid w:val="00606EE3"/>
    <w:rsid w:val="00611983"/>
    <w:rsid w:val="00634E5D"/>
    <w:rsid w:val="0063528B"/>
    <w:rsid w:val="00641413"/>
    <w:rsid w:val="006519F3"/>
    <w:rsid w:val="006716F8"/>
    <w:rsid w:val="0067AE6F"/>
    <w:rsid w:val="00684793"/>
    <w:rsid w:val="00690D4A"/>
    <w:rsid w:val="006961C6"/>
    <w:rsid w:val="006A1F4D"/>
    <w:rsid w:val="006B2CAE"/>
    <w:rsid w:val="006B4EA1"/>
    <w:rsid w:val="006B761D"/>
    <w:rsid w:val="006C3265"/>
    <w:rsid w:val="006C3B3A"/>
    <w:rsid w:val="006E3DD3"/>
    <w:rsid w:val="006F3CA6"/>
    <w:rsid w:val="00712E06"/>
    <w:rsid w:val="00720132"/>
    <w:rsid w:val="00723CFF"/>
    <w:rsid w:val="007265A9"/>
    <w:rsid w:val="00736AA9"/>
    <w:rsid w:val="007370CE"/>
    <w:rsid w:val="0073EF2A"/>
    <w:rsid w:val="0075035C"/>
    <w:rsid w:val="00751CBF"/>
    <w:rsid w:val="00752D29"/>
    <w:rsid w:val="007614C0"/>
    <w:rsid w:val="00765760"/>
    <w:rsid w:val="00765C73"/>
    <w:rsid w:val="007752B4"/>
    <w:rsid w:val="00781199"/>
    <w:rsid w:val="00781BCB"/>
    <w:rsid w:val="00782EF7"/>
    <w:rsid w:val="00796359"/>
    <w:rsid w:val="007A56CA"/>
    <w:rsid w:val="007B6B85"/>
    <w:rsid w:val="007D0C1B"/>
    <w:rsid w:val="007D455C"/>
    <w:rsid w:val="007D5D7D"/>
    <w:rsid w:val="007D625C"/>
    <w:rsid w:val="007E4A8B"/>
    <w:rsid w:val="007E528A"/>
    <w:rsid w:val="007E5E58"/>
    <w:rsid w:val="007F555C"/>
    <w:rsid w:val="007F6AC5"/>
    <w:rsid w:val="008136A3"/>
    <w:rsid w:val="00827FF0"/>
    <w:rsid w:val="00835F91"/>
    <w:rsid w:val="0084059B"/>
    <w:rsid w:val="00843136"/>
    <w:rsid w:val="008501CA"/>
    <w:rsid w:val="008644D1"/>
    <w:rsid w:val="00881F3A"/>
    <w:rsid w:val="0088573A"/>
    <w:rsid w:val="008941AB"/>
    <w:rsid w:val="0089719F"/>
    <w:rsid w:val="008A24C7"/>
    <w:rsid w:val="008B0E26"/>
    <w:rsid w:val="008B5FD5"/>
    <w:rsid w:val="008B64B3"/>
    <w:rsid w:val="008C2CB6"/>
    <w:rsid w:val="008C3C4F"/>
    <w:rsid w:val="008D0BF1"/>
    <w:rsid w:val="008D53C3"/>
    <w:rsid w:val="008E15E4"/>
    <w:rsid w:val="008E5ACE"/>
    <w:rsid w:val="008F417F"/>
    <w:rsid w:val="0090119E"/>
    <w:rsid w:val="009012F6"/>
    <w:rsid w:val="00906F24"/>
    <w:rsid w:val="0091431B"/>
    <w:rsid w:val="0091491C"/>
    <w:rsid w:val="00965C7A"/>
    <w:rsid w:val="009709EB"/>
    <w:rsid w:val="009842C8"/>
    <w:rsid w:val="009858A0"/>
    <w:rsid w:val="009860F6"/>
    <w:rsid w:val="009B229E"/>
    <w:rsid w:val="009C0B9D"/>
    <w:rsid w:val="009C3D0A"/>
    <w:rsid w:val="009C42D6"/>
    <w:rsid w:val="009D6778"/>
    <w:rsid w:val="009E1377"/>
    <w:rsid w:val="009E794A"/>
    <w:rsid w:val="00A02C54"/>
    <w:rsid w:val="00A045E0"/>
    <w:rsid w:val="00A04E57"/>
    <w:rsid w:val="00A2645A"/>
    <w:rsid w:val="00A31237"/>
    <w:rsid w:val="00A806F2"/>
    <w:rsid w:val="00A903FF"/>
    <w:rsid w:val="00AA0065"/>
    <w:rsid w:val="00AA0692"/>
    <w:rsid w:val="00AA76E2"/>
    <w:rsid w:val="00AB2B00"/>
    <w:rsid w:val="00AD028B"/>
    <w:rsid w:val="00AD1540"/>
    <w:rsid w:val="00AD29FB"/>
    <w:rsid w:val="00AE3C52"/>
    <w:rsid w:val="00AE6E57"/>
    <w:rsid w:val="00AF411C"/>
    <w:rsid w:val="00AF5D25"/>
    <w:rsid w:val="00AF7F2E"/>
    <w:rsid w:val="00B03760"/>
    <w:rsid w:val="00B20E0C"/>
    <w:rsid w:val="00B230C4"/>
    <w:rsid w:val="00B259B8"/>
    <w:rsid w:val="00B309BF"/>
    <w:rsid w:val="00B428A0"/>
    <w:rsid w:val="00B5761B"/>
    <w:rsid w:val="00B661A5"/>
    <w:rsid w:val="00B7041A"/>
    <w:rsid w:val="00B85DD4"/>
    <w:rsid w:val="00B96589"/>
    <w:rsid w:val="00BA4BFE"/>
    <w:rsid w:val="00BA53D2"/>
    <w:rsid w:val="00BB41BE"/>
    <w:rsid w:val="00BB62E1"/>
    <w:rsid w:val="00BC3C8F"/>
    <w:rsid w:val="00BE4C5D"/>
    <w:rsid w:val="00BE7490"/>
    <w:rsid w:val="00BF04E0"/>
    <w:rsid w:val="00BF12AB"/>
    <w:rsid w:val="00BF30FE"/>
    <w:rsid w:val="00BF3D5E"/>
    <w:rsid w:val="00BF5B0D"/>
    <w:rsid w:val="00C01250"/>
    <w:rsid w:val="00C2605D"/>
    <w:rsid w:val="00C32754"/>
    <w:rsid w:val="00C33B41"/>
    <w:rsid w:val="00C34C6F"/>
    <w:rsid w:val="00C35C69"/>
    <w:rsid w:val="00C50250"/>
    <w:rsid w:val="00C61142"/>
    <w:rsid w:val="00C63BD4"/>
    <w:rsid w:val="00C6699D"/>
    <w:rsid w:val="00C73413"/>
    <w:rsid w:val="00C85F2D"/>
    <w:rsid w:val="00CB6693"/>
    <w:rsid w:val="00CD1CDE"/>
    <w:rsid w:val="00CD7264"/>
    <w:rsid w:val="00CF7ECF"/>
    <w:rsid w:val="00D24536"/>
    <w:rsid w:val="00D27312"/>
    <w:rsid w:val="00D3352E"/>
    <w:rsid w:val="00D37125"/>
    <w:rsid w:val="00D41566"/>
    <w:rsid w:val="00D44DDF"/>
    <w:rsid w:val="00D512CD"/>
    <w:rsid w:val="00D73B8E"/>
    <w:rsid w:val="00D75AF5"/>
    <w:rsid w:val="00D80618"/>
    <w:rsid w:val="00D81118"/>
    <w:rsid w:val="00DA0BB5"/>
    <w:rsid w:val="00DA5A47"/>
    <w:rsid w:val="00DB1E18"/>
    <w:rsid w:val="00DB4675"/>
    <w:rsid w:val="00DB69C1"/>
    <w:rsid w:val="00DB77AE"/>
    <w:rsid w:val="00DB79E3"/>
    <w:rsid w:val="00DC7A1D"/>
    <w:rsid w:val="00DE0AEF"/>
    <w:rsid w:val="00DE567B"/>
    <w:rsid w:val="00DE798C"/>
    <w:rsid w:val="00E15A72"/>
    <w:rsid w:val="00E21008"/>
    <w:rsid w:val="00E3283B"/>
    <w:rsid w:val="00E34857"/>
    <w:rsid w:val="00E37ED8"/>
    <w:rsid w:val="00E40311"/>
    <w:rsid w:val="00E40F4B"/>
    <w:rsid w:val="00E414F9"/>
    <w:rsid w:val="00E63F59"/>
    <w:rsid w:val="00E65BD8"/>
    <w:rsid w:val="00E66968"/>
    <w:rsid w:val="00E71226"/>
    <w:rsid w:val="00E72715"/>
    <w:rsid w:val="00EA53E9"/>
    <w:rsid w:val="00EB09C8"/>
    <w:rsid w:val="00EB4257"/>
    <w:rsid w:val="00EB4D01"/>
    <w:rsid w:val="00EC7C91"/>
    <w:rsid w:val="00ED3130"/>
    <w:rsid w:val="00F21BCF"/>
    <w:rsid w:val="00F25882"/>
    <w:rsid w:val="00F26506"/>
    <w:rsid w:val="00F65E38"/>
    <w:rsid w:val="00F806A7"/>
    <w:rsid w:val="00F82C60"/>
    <w:rsid w:val="00F83AA2"/>
    <w:rsid w:val="00F93FBC"/>
    <w:rsid w:val="00FB7670"/>
    <w:rsid w:val="00FC030B"/>
    <w:rsid w:val="00FD4CB8"/>
    <w:rsid w:val="00FE2E79"/>
    <w:rsid w:val="00FE4584"/>
    <w:rsid w:val="00FE4938"/>
    <w:rsid w:val="00FF19F9"/>
    <w:rsid w:val="00FFF587"/>
    <w:rsid w:val="01064839"/>
    <w:rsid w:val="01231715"/>
    <w:rsid w:val="01395119"/>
    <w:rsid w:val="013B8F41"/>
    <w:rsid w:val="014073A4"/>
    <w:rsid w:val="01436C31"/>
    <w:rsid w:val="01737178"/>
    <w:rsid w:val="0179A808"/>
    <w:rsid w:val="0180FEFB"/>
    <w:rsid w:val="01994743"/>
    <w:rsid w:val="0199FF56"/>
    <w:rsid w:val="01B3D1C3"/>
    <w:rsid w:val="01D22C1B"/>
    <w:rsid w:val="02367D3A"/>
    <w:rsid w:val="0271FBFB"/>
    <w:rsid w:val="029B4F6C"/>
    <w:rsid w:val="02BE71C2"/>
    <w:rsid w:val="02C6295F"/>
    <w:rsid w:val="02DC44C4"/>
    <w:rsid w:val="032520CE"/>
    <w:rsid w:val="033ACFE5"/>
    <w:rsid w:val="033AD0C7"/>
    <w:rsid w:val="034C9723"/>
    <w:rsid w:val="034EEE5E"/>
    <w:rsid w:val="036D290A"/>
    <w:rsid w:val="03846252"/>
    <w:rsid w:val="03879513"/>
    <w:rsid w:val="0394ACC7"/>
    <w:rsid w:val="03D31F5E"/>
    <w:rsid w:val="03F5A236"/>
    <w:rsid w:val="040859E3"/>
    <w:rsid w:val="041B124F"/>
    <w:rsid w:val="0426A552"/>
    <w:rsid w:val="042E1C42"/>
    <w:rsid w:val="044E6104"/>
    <w:rsid w:val="045703ED"/>
    <w:rsid w:val="047FBAA9"/>
    <w:rsid w:val="04899306"/>
    <w:rsid w:val="04B53F83"/>
    <w:rsid w:val="04C28336"/>
    <w:rsid w:val="04C7858A"/>
    <w:rsid w:val="04D195AD"/>
    <w:rsid w:val="04EF5630"/>
    <w:rsid w:val="04FE57E4"/>
    <w:rsid w:val="050F09B1"/>
    <w:rsid w:val="0545FC0F"/>
    <w:rsid w:val="056F526F"/>
    <w:rsid w:val="05726DAC"/>
    <w:rsid w:val="058C8F87"/>
    <w:rsid w:val="05B5E1ED"/>
    <w:rsid w:val="05B8B262"/>
    <w:rsid w:val="05FBA0CA"/>
    <w:rsid w:val="0614BB04"/>
    <w:rsid w:val="062B08A0"/>
    <w:rsid w:val="0630999A"/>
    <w:rsid w:val="065183DA"/>
    <w:rsid w:val="0681F98C"/>
    <w:rsid w:val="068A9A44"/>
    <w:rsid w:val="06AF92DC"/>
    <w:rsid w:val="06BC0314"/>
    <w:rsid w:val="06BC72E5"/>
    <w:rsid w:val="06C87832"/>
    <w:rsid w:val="06CFDE4D"/>
    <w:rsid w:val="0751B24E"/>
    <w:rsid w:val="07841D97"/>
    <w:rsid w:val="079EEE16"/>
    <w:rsid w:val="07AD2B26"/>
    <w:rsid w:val="07D2B198"/>
    <w:rsid w:val="07F9478B"/>
    <w:rsid w:val="08232038"/>
    <w:rsid w:val="0828A7AF"/>
    <w:rsid w:val="0837ED6C"/>
    <w:rsid w:val="083FC436"/>
    <w:rsid w:val="08BB4945"/>
    <w:rsid w:val="08E6AC83"/>
    <w:rsid w:val="08F427F0"/>
    <w:rsid w:val="08F87BDC"/>
    <w:rsid w:val="0948DB31"/>
    <w:rsid w:val="095D6AB5"/>
    <w:rsid w:val="09688984"/>
    <w:rsid w:val="09726C62"/>
    <w:rsid w:val="097CCD8C"/>
    <w:rsid w:val="099328CE"/>
    <w:rsid w:val="09A5746B"/>
    <w:rsid w:val="09BFAA59"/>
    <w:rsid w:val="09EF279F"/>
    <w:rsid w:val="0A348948"/>
    <w:rsid w:val="0A426BA9"/>
    <w:rsid w:val="0A7F5611"/>
    <w:rsid w:val="0A80745C"/>
    <w:rsid w:val="0A940222"/>
    <w:rsid w:val="0AA1B9BF"/>
    <w:rsid w:val="0AAF0641"/>
    <w:rsid w:val="0AB1CA9F"/>
    <w:rsid w:val="0ABD73CF"/>
    <w:rsid w:val="0AF35396"/>
    <w:rsid w:val="0B749BB3"/>
    <w:rsid w:val="0B83D8E0"/>
    <w:rsid w:val="0BBAEB22"/>
    <w:rsid w:val="0BC2124D"/>
    <w:rsid w:val="0BC80879"/>
    <w:rsid w:val="0C043D78"/>
    <w:rsid w:val="0C08B865"/>
    <w:rsid w:val="0C27FCAF"/>
    <w:rsid w:val="0C303126"/>
    <w:rsid w:val="0C38459D"/>
    <w:rsid w:val="0C3E654A"/>
    <w:rsid w:val="0C4A1B4F"/>
    <w:rsid w:val="0CE137F0"/>
    <w:rsid w:val="0D1FA941"/>
    <w:rsid w:val="0D2A6996"/>
    <w:rsid w:val="0D3783A3"/>
    <w:rsid w:val="0D3B4DCC"/>
    <w:rsid w:val="0D507777"/>
    <w:rsid w:val="0D52E2E5"/>
    <w:rsid w:val="0D59C6B8"/>
    <w:rsid w:val="0D76B8E8"/>
    <w:rsid w:val="0DA488C6"/>
    <w:rsid w:val="0DB7DB96"/>
    <w:rsid w:val="0DB9371B"/>
    <w:rsid w:val="0DD1FDC6"/>
    <w:rsid w:val="0DD415FE"/>
    <w:rsid w:val="0DD67DBD"/>
    <w:rsid w:val="0E10F329"/>
    <w:rsid w:val="0E3056D1"/>
    <w:rsid w:val="0E521595"/>
    <w:rsid w:val="0EA5E2D0"/>
    <w:rsid w:val="0ECEE559"/>
    <w:rsid w:val="0ECF027F"/>
    <w:rsid w:val="0F20B196"/>
    <w:rsid w:val="0F5DAD84"/>
    <w:rsid w:val="0F85353B"/>
    <w:rsid w:val="0F85C614"/>
    <w:rsid w:val="0FA42973"/>
    <w:rsid w:val="0FE44ACE"/>
    <w:rsid w:val="0FF9FB9D"/>
    <w:rsid w:val="10198DB5"/>
    <w:rsid w:val="103C38D5"/>
    <w:rsid w:val="106C1B02"/>
    <w:rsid w:val="1089192E"/>
    <w:rsid w:val="109754A0"/>
    <w:rsid w:val="10A72260"/>
    <w:rsid w:val="10E48CC8"/>
    <w:rsid w:val="10F088EC"/>
    <w:rsid w:val="10F91020"/>
    <w:rsid w:val="11A3A2A1"/>
    <w:rsid w:val="11ADDC26"/>
    <w:rsid w:val="11AE9F09"/>
    <w:rsid w:val="11ECE70D"/>
    <w:rsid w:val="1205D90A"/>
    <w:rsid w:val="1221C680"/>
    <w:rsid w:val="123A2A8C"/>
    <w:rsid w:val="123F6A10"/>
    <w:rsid w:val="12407B4D"/>
    <w:rsid w:val="12595D19"/>
    <w:rsid w:val="12647A4E"/>
    <w:rsid w:val="126FEB1B"/>
    <w:rsid w:val="1293B770"/>
    <w:rsid w:val="1297E91F"/>
    <w:rsid w:val="129E84F8"/>
    <w:rsid w:val="12B51449"/>
    <w:rsid w:val="12D94AFB"/>
    <w:rsid w:val="1323AFD2"/>
    <w:rsid w:val="13540CD3"/>
    <w:rsid w:val="1367DA9C"/>
    <w:rsid w:val="13A42E77"/>
    <w:rsid w:val="13EDBA93"/>
    <w:rsid w:val="140F0284"/>
    <w:rsid w:val="14365624"/>
    <w:rsid w:val="14585C92"/>
    <w:rsid w:val="1459810B"/>
    <w:rsid w:val="145F2FFC"/>
    <w:rsid w:val="145FA57D"/>
    <w:rsid w:val="14851118"/>
    <w:rsid w:val="148F1B0E"/>
    <w:rsid w:val="14D0A534"/>
    <w:rsid w:val="150657E0"/>
    <w:rsid w:val="150C946E"/>
    <w:rsid w:val="1527DE2D"/>
    <w:rsid w:val="1560993C"/>
    <w:rsid w:val="156E0576"/>
    <w:rsid w:val="15C4415A"/>
    <w:rsid w:val="15CD30FE"/>
    <w:rsid w:val="15E4A81F"/>
    <w:rsid w:val="15EE2F11"/>
    <w:rsid w:val="1610F113"/>
    <w:rsid w:val="162DDE25"/>
    <w:rsid w:val="165AD465"/>
    <w:rsid w:val="16742632"/>
    <w:rsid w:val="16973CF1"/>
    <w:rsid w:val="16E3468C"/>
    <w:rsid w:val="1722507B"/>
    <w:rsid w:val="1726D780"/>
    <w:rsid w:val="17482FB9"/>
    <w:rsid w:val="1748BE93"/>
    <w:rsid w:val="177A9FCE"/>
    <w:rsid w:val="17A00692"/>
    <w:rsid w:val="17A5637C"/>
    <w:rsid w:val="17BAEB07"/>
    <w:rsid w:val="17E7DFDF"/>
    <w:rsid w:val="17EBB32D"/>
    <w:rsid w:val="18007685"/>
    <w:rsid w:val="18103744"/>
    <w:rsid w:val="181210A3"/>
    <w:rsid w:val="183FCD6E"/>
    <w:rsid w:val="185F7EEF"/>
    <w:rsid w:val="1868F1D5"/>
    <w:rsid w:val="18C1182C"/>
    <w:rsid w:val="18D38C76"/>
    <w:rsid w:val="18D95A95"/>
    <w:rsid w:val="19140343"/>
    <w:rsid w:val="191A8CC9"/>
    <w:rsid w:val="191BAAAD"/>
    <w:rsid w:val="1921E025"/>
    <w:rsid w:val="192A79A6"/>
    <w:rsid w:val="192B89FF"/>
    <w:rsid w:val="19690E2F"/>
    <w:rsid w:val="19729FDC"/>
    <w:rsid w:val="199B8B84"/>
    <w:rsid w:val="19C2E14A"/>
    <w:rsid w:val="19FCACB2"/>
    <w:rsid w:val="1A0D2440"/>
    <w:rsid w:val="1A419A90"/>
    <w:rsid w:val="1A61B24C"/>
    <w:rsid w:val="1A7FDAA9"/>
    <w:rsid w:val="1A852C45"/>
    <w:rsid w:val="1AD7F1FE"/>
    <w:rsid w:val="1AE0072A"/>
    <w:rsid w:val="1AE9A866"/>
    <w:rsid w:val="1B02F8D4"/>
    <w:rsid w:val="1B1D34AB"/>
    <w:rsid w:val="1B2104A3"/>
    <w:rsid w:val="1B263B12"/>
    <w:rsid w:val="1B375BE5"/>
    <w:rsid w:val="1B47D806"/>
    <w:rsid w:val="1B61F49A"/>
    <w:rsid w:val="1B6ED881"/>
    <w:rsid w:val="1B744586"/>
    <w:rsid w:val="1BA4A357"/>
    <w:rsid w:val="1BD17768"/>
    <w:rsid w:val="1BD34EE3"/>
    <w:rsid w:val="1C0BC4BD"/>
    <w:rsid w:val="1C1A033F"/>
    <w:rsid w:val="1C294994"/>
    <w:rsid w:val="1C523FAA"/>
    <w:rsid w:val="1CAA3BF1"/>
    <w:rsid w:val="1CE614A1"/>
    <w:rsid w:val="1CED1171"/>
    <w:rsid w:val="1CF810BD"/>
    <w:rsid w:val="1D45E3E9"/>
    <w:rsid w:val="1D532225"/>
    <w:rsid w:val="1D5BA9E1"/>
    <w:rsid w:val="1D6B6885"/>
    <w:rsid w:val="1D9372A9"/>
    <w:rsid w:val="1DAE953F"/>
    <w:rsid w:val="1DAE9776"/>
    <w:rsid w:val="1DAF54F7"/>
    <w:rsid w:val="1DAF9AEB"/>
    <w:rsid w:val="1DD2708B"/>
    <w:rsid w:val="1DEB98E8"/>
    <w:rsid w:val="1E1C02F8"/>
    <w:rsid w:val="1E2C4D6D"/>
    <w:rsid w:val="1E469637"/>
    <w:rsid w:val="1E789E2C"/>
    <w:rsid w:val="1E7A6F19"/>
    <w:rsid w:val="1EB07813"/>
    <w:rsid w:val="1EB426C0"/>
    <w:rsid w:val="1EBD7A09"/>
    <w:rsid w:val="1EC11B17"/>
    <w:rsid w:val="1EE6EDB2"/>
    <w:rsid w:val="1F02308E"/>
    <w:rsid w:val="1F22206E"/>
    <w:rsid w:val="1F486CA3"/>
    <w:rsid w:val="1F4BDBEF"/>
    <w:rsid w:val="1F5AE820"/>
    <w:rsid w:val="1F6E40EC"/>
    <w:rsid w:val="1FDA512D"/>
    <w:rsid w:val="1FE38C49"/>
    <w:rsid w:val="1FEE4AF1"/>
    <w:rsid w:val="200ACD08"/>
    <w:rsid w:val="2035AD80"/>
    <w:rsid w:val="20460F8A"/>
    <w:rsid w:val="2068DB0F"/>
    <w:rsid w:val="206B641D"/>
    <w:rsid w:val="207464F4"/>
    <w:rsid w:val="207E5AE4"/>
    <w:rsid w:val="20B40F3F"/>
    <w:rsid w:val="20CE0FB8"/>
    <w:rsid w:val="210A114D"/>
    <w:rsid w:val="217B3A36"/>
    <w:rsid w:val="217F637B"/>
    <w:rsid w:val="2195D8EC"/>
    <w:rsid w:val="21B7E132"/>
    <w:rsid w:val="21EDEA72"/>
    <w:rsid w:val="226ECCD1"/>
    <w:rsid w:val="22941D93"/>
    <w:rsid w:val="22980F12"/>
    <w:rsid w:val="22AF6D63"/>
    <w:rsid w:val="22B7744C"/>
    <w:rsid w:val="22E118A7"/>
    <w:rsid w:val="22ED7F4D"/>
    <w:rsid w:val="22F8CD6A"/>
    <w:rsid w:val="23040747"/>
    <w:rsid w:val="23129F6E"/>
    <w:rsid w:val="231488D4"/>
    <w:rsid w:val="231869D6"/>
    <w:rsid w:val="231CD09E"/>
    <w:rsid w:val="23210509"/>
    <w:rsid w:val="235E341F"/>
    <w:rsid w:val="235EBF7E"/>
    <w:rsid w:val="237149E4"/>
    <w:rsid w:val="238004CF"/>
    <w:rsid w:val="23A62DA5"/>
    <w:rsid w:val="23E5E3C3"/>
    <w:rsid w:val="2414DCC1"/>
    <w:rsid w:val="241F9AEF"/>
    <w:rsid w:val="242E8D36"/>
    <w:rsid w:val="244504E2"/>
    <w:rsid w:val="244B3DC4"/>
    <w:rsid w:val="24505A8F"/>
    <w:rsid w:val="2458A2B5"/>
    <w:rsid w:val="245E8E5E"/>
    <w:rsid w:val="245F5A69"/>
    <w:rsid w:val="246303A6"/>
    <w:rsid w:val="24754EE0"/>
    <w:rsid w:val="249BD29E"/>
    <w:rsid w:val="24BA0B3A"/>
    <w:rsid w:val="24C6C4C8"/>
    <w:rsid w:val="252CBB8D"/>
    <w:rsid w:val="252D4810"/>
    <w:rsid w:val="25EC2AF0"/>
    <w:rsid w:val="26111F41"/>
    <w:rsid w:val="265E4F3B"/>
    <w:rsid w:val="267883E7"/>
    <w:rsid w:val="267A0E8C"/>
    <w:rsid w:val="268BC721"/>
    <w:rsid w:val="268C4EB3"/>
    <w:rsid w:val="26CF880C"/>
    <w:rsid w:val="26DE044D"/>
    <w:rsid w:val="26E4F148"/>
    <w:rsid w:val="270907D4"/>
    <w:rsid w:val="2734E3C3"/>
    <w:rsid w:val="275EE312"/>
    <w:rsid w:val="2797CA28"/>
    <w:rsid w:val="279BEBC1"/>
    <w:rsid w:val="27A33FA2"/>
    <w:rsid w:val="27A567C4"/>
    <w:rsid w:val="28170BDC"/>
    <w:rsid w:val="2838CDC7"/>
    <w:rsid w:val="2868BFA6"/>
    <w:rsid w:val="2872E032"/>
    <w:rsid w:val="2899DBAB"/>
    <w:rsid w:val="28C0923A"/>
    <w:rsid w:val="28C9123C"/>
    <w:rsid w:val="291D10B8"/>
    <w:rsid w:val="2948C003"/>
    <w:rsid w:val="297F26F9"/>
    <w:rsid w:val="299A2A96"/>
    <w:rsid w:val="299BFD58"/>
    <w:rsid w:val="29BA5836"/>
    <w:rsid w:val="29DE814B"/>
    <w:rsid w:val="2A225869"/>
    <w:rsid w:val="2A487A08"/>
    <w:rsid w:val="2A80A2DD"/>
    <w:rsid w:val="2AAE9C27"/>
    <w:rsid w:val="2AB8E119"/>
    <w:rsid w:val="2ABF9C13"/>
    <w:rsid w:val="2ACD37E0"/>
    <w:rsid w:val="2AD581CD"/>
    <w:rsid w:val="2B29E6DC"/>
    <w:rsid w:val="2B4BF50A"/>
    <w:rsid w:val="2B600EF9"/>
    <w:rsid w:val="2B86E33C"/>
    <w:rsid w:val="2B98CCEF"/>
    <w:rsid w:val="2BCC8763"/>
    <w:rsid w:val="2C505B5C"/>
    <w:rsid w:val="2C54B17A"/>
    <w:rsid w:val="2C59FC3B"/>
    <w:rsid w:val="2C5B6C74"/>
    <w:rsid w:val="2C7B8B7F"/>
    <w:rsid w:val="2C9A1F49"/>
    <w:rsid w:val="2CC0688F"/>
    <w:rsid w:val="2CC440F1"/>
    <w:rsid w:val="2CCA7CAD"/>
    <w:rsid w:val="2CE7C56B"/>
    <w:rsid w:val="2CFD17F6"/>
    <w:rsid w:val="2D1EB1CD"/>
    <w:rsid w:val="2D513710"/>
    <w:rsid w:val="2D651233"/>
    <w:rsid w:val="2D6E5068"/>
    <w:rsid w:val="2DB0953C"/>
    <w:rsid w:val="2DE77AB3"/>
    <w:rsid w:val="2DF081DB"/>
    <w:rsid w:val="2DF8FA36"/>
    <w:rsid w:val="2E11AB1F"/>
    <w:rsid w:val="2E1D254E"/>
    <w:rsid w:val="2E1DB45D"/>
    <w:rsid w:val="2E2F83EE"/>
    <w:rsid w:val="2E3057E3"/>
    <w:rsid w:val="2E341A79"/>
    <w:rsid w:val="2E4149C7"/>
    <w:rsid w:val="2E69C368"/>
    <w:rsid w:val="2E7B75CB"/>
    <w:rsid w:val="2E8DC959"/>
    <w:rsid w:val="2E9EDB5D"/>
    <w:rsid w:val="2EEDA15B"/>
    <w:rsid w:val="2EFA001C"/>
    <w:rsid w:val="2EFC373C"/>
    <w:rsid w:val="2F23288C"/>
    <w:rsid w:val="2F456A0E"/>
    <w:rsid w:val="2F5DB21B"/>
    <w:rsid w:val="2F7D8B27"/>
    <w:rsid w:val="2F994739"/>
    <w:rsid w:val="2FBA588D"/>
    <w:rsid w:val="2FE62F1E"/>
    <w:rsid w:val="300ED5D1"/>
    <w:rsid w:val="3046E8B8"/>
    <w:rsid w:val="30499E72"/>
    <w:rsid w:val="3080C290"/>
    <w:rsid w:val="3091DB5C"/>
    <w:rsid w:val="30C2A1F8"/>
    <w:rsid w:val="30C4C360"/>
    <w:rsid w:val="31124F13"/>
    <w:rsid w:val="314419BF"/>
    <w:rsid w:val="31452A19"/>
    <w:rsid w:val="3152E4C7"/>
    <w:rsid w:val="31711E12"/>
    <w:rsid w:val="31C4AEB9"/>
    <w:rsid w:val="31CAEDC5"/>
    <w:rsid w:val="320E0985"/>
    <w:rsid w:val="32117108"/>
    <w:rsid w:val="322B229F"/>
    <w:rsid w:val="322DADEE"/>
    <w:rsid w:val="327D7069"/>
    <w:rsid w:val="3282A484"/>
    <w:rsid w:val="328E5B3D"/>
    <w:rsid w:val="328F0FF0"/>
    <w:rsid w:val="32BC4040"/>
    <w:rsid w:val="32BD281C"/>
    <w:rsid w:val="32E7B7F3"/>
    <w:rsid w:val="331882C3"/>
    <w:rsid w:val="3322B5C0"/>
    <w:rsid w:val="333018B2"/>
    <w:rsid w:val="33607F1A"/>
    <w:rsid w:val="3363E7C8"/>
    <w:rsid w:val="33905D9D"/>
    <w:rsid w:val="33ACE4A0"/>
    <w:rsid w:val="33B87164"/>
    <w:rsid w:val="33EE524E"/>
    <w:rsid w:val="33F24DCE"/>
    <w:rsid w:val="33FACA94"/>
    <w:rsid w:val="3403CB72"/>
    <w:rsid w:val="340DDED6"/>
    <w:rsid w:val="34733E75"/>
    <w:rsid w:val="3476A5AD"/>
    <w:rsid w:val="34902D6F"/>
    <w:rsid w:val="3494C770"/>
    <w:rsid w:val="34B9A041"/>
    <w:rsid w:val="350FBCDE"/>
    <w:rsid w:val="352B1CFA"/>
    <w:rsid w:val="352EAFCD"/>
    <w:rsid w:val="3533A606"/>
    <w:rsid w:val="3537CE3F"/>
    <w:rsid w:val="3540165D"/>
    <w:rsid w:val="3545AA47"/>
    <w:rsid w:val="35791287"/>
    <w:rsid w:val="357D7440"/>
    <w:rsid w:val="3589008D"/>
    <w:rsid w:val="358CAD26"/>
    <w:rsid w:val="35A3CDE8"/>
    <w:rsid w:val="35A752B3"/>
    <w:rsid w:val="35A7E8BE"/>
    <w:rsid w:val="35E4C24D"/>
    <w:rsid w:val="3605BB24"/>
    <w:rsid w:val="363B1955"/>
    <w:rsid w:val="366326D2"/>
    <w:rsid w:val="36774EDA"/>
    <w:rsid w:val="369816EC"/>
    <w:rsid w:val="36B7D8DC"/>
    <w:rsid w:val="36DAD567"/>
    <w:rsid w:val="36E69D3E"/>
    <w:rsid w:val="371C1389"/>
    <w:rsid w:val="3722D06A"/>
    <w:rsid w:val="375EC1AF"/>
    <w:rsid w:val="376BEFD6"/>
    <w:rsid w:val="3785AC53"/>
    <w:rsid w:val="37A14D73"/>
    <w:rsid w:val="37CA90B8"/>
    <w:rsid w:val="380ED61C"/>
    <w:rsid w:val="38101230"/>
    <w:rsid w:val="383ED220"/>
    <w:rsid w:val="3840DE2E"/>
    <w:rsid w:val="385C395E"/>
    <w:rsid w:val="386165EC"/>
    <w:rsid w:val="387FA7B9"/>
    <w:rsid w:val="3890F921"/>
    <w:rsid w:val="38B7CA87"/>
    <w:rsid w:val="38D8F1FE"/>
    <w:rsid w:val="38E111F8"/>
    <w:rsid w:val="38E911E0"/>
    <w:rsid w:val="38EF8731"/>
    <w:rsid w:val="39133830"/>
    <w:rsid w:val="3948C431"/>
    <w:rsid w:val="3999B3AB"/>
    <w:rsid w:val="399DAA37"/>
    <w:rsid w:val="39AF75CB"/>
    <w:rsid w:val="39BAE2C4"/>
    <w:rsid w:val="39C5EBC3"/>
    <w:rsid w:val="39CFC09E"/>
    <w:rsid w:val="39DB5DB6"/>
    <w:rsid w:val="39F638B4"/>
    <w:rsid w:val="3A017658"/>
    <w:rsid w:val="3A056A35"/>
    <w:rsid w:val="3A127629"/>
    <w:rsid w:val="3A3F3AA3"/>
    <w:rsid w:val="3A3F705A"/>
    <w:rsid w:val="3A43C2AD"/>
    <w:rsid w:val="3A4E82F8"/>
    <w:rsid w:val="3A924A1B"/>
    <w:rsid w:val="3AA1C106"/>
    <w:rsid w:val="3B0DC0F2"/>
    <w:rsid w:val="3B374E58"/>
    <w:rsid w:val="3B441AD7"/>
    <w:rsid w:val="3B514B96"/>
    <w:rsid w:val="3B569492"/>
    <w:rsid w:val="3B6D69F6"/>
    <w:rsid w:val="3B774D19"/>
    <w:rsid w:val="3B97FF81"/>
    <w:rsid w:val="3B9826D5"/>
    <w:rsid w:val="3BAE2C88"/>
    <w:rsid w:val="3BB8F59C"/>
    <w:rsid w:val="3BBF43E5"/>
    <w:rsid w:val="3BDD345B"/>
    <w:rsid w:val="3BE57AAF"/>
    <w:rsid w:val="3BEC21C2"/>
    <w:rsid w:val="3C2B1E9D"/>
    <w:rsid w:val="3C3D9167"/>
    <w:rsid w:val="3C5B78A6"/>
    <w:rsid w:val="3CC2E485"/>
    <w:rsid w:val="3CCA9465"/>
    <w:rsid w:val="3CD92EF7"/>
    <w:rsid w:val="3D093A57"/>
    <w:rsid w:val="3D57F454"/>
    <w:rsid w:val="3D5D4725"/>
    <w:rsid w:val="3D90037D"/>
    <w:rsid w:val="3DD5454B"/>
    <w:rsid w:val="3DE45F33"/>
    <w:rsid w:val="3E09EAF5"/>
    <w:rsid w:val="3E273996"/>
    <w:rsid w:val="3E3E3BE4"/>
    <w:rsid w:val="3E758439"/>
    <w:rsid w:val="3E837121"/>
    <w:rsid w:val="3E87AF98"/>
    <w:rsid w:val="3E88EC58"/>
    <w:rsid w:val="3E9A05CA"/>
    <w:rsid w:val="3EACA0D0"/>
    <w:rsid w:val="3EF961BF"/>
    <w:rsid w:val="3F0ABB04"/>
    <w:rsid w:val="3F4957DA"/>
    <w:rsid w:val="3F746F45"/>
    <w:rsid w:val="3F76956A"/>
    <w:rsid w:val="3FA30F41"/>
    <w:rsid w:val="3FA5BB56"/>
    <w:rsid w:val="3FB53507"/>
    <w:rsid w:val="3FCE63DF"/>
    <w:rsid w:val="3FDD2429"/>
    <w:rsid w:val="3FE3DA9A"/>
    <w:rsid w:val="3FE79ED8"/>
    <w:rsid w:val="401EB056"/>
    <w:rsid w:val="406A33BE"/>
    <w:rsid w:val="4079AC05"/>
    <w:rsid w:val="409CF3F3"/>
    <w:rsid w:val="40CF6CDE"/>
    <w:rsid w:val="40F769C9"/>
    <w:rsid w:val="4102C6DA"/>
    <w:rsid w:val="410CA1D4"/>
    <w:rsid w:val="41288754"/>
    <w:rsid w:val="412C608E"/>
    <w:rsid w:val="415BE8DD"/>
    <w:rsid w:val="416121A6"/>
    <w:rsid w:val="416A3440"/>
    <w:rsid w:val="418390C1"/>
    <w:rsid w:val="418FD66F"/>
    <w:rsid w:val="41F53B4C"/>
    <w:rsid w:val="42251223"/>
    <w:rsid w:val="424E007C"/>
    <w:rsid w:val="4265814F"/>
    <w:rsid w:val="427A88DB"/>
    <w:rsid w:val="4280F89C"/>
    <w:rsid w:val="42A2E6C4"/>
    <w:rsid w:val="42AD3F14"/>
    <w:rsid w:val="42B7C1A2"/>
    <w:rsid w:val="42C8D458"/>
    <w:rsid w:val="42F8E69C"/>
    <w:rsid w:val="43298E55"/>
    <w:rsid w:val="43783503"/>
    <w:rsid w:val="43ABF7E9"/>
    <w:rsid w:val="43AE283A"/>
    <w:rsid w:val="43B05B40"/>
    <w:rsid w:val="43E2C4FF"/>
    <w:rsid w:val="44058F60"/>
    <w:rsid w:val="440934AF"/>
    <w:rsid w:val="440983F6"/>
    <w:rsid w:val="440C4CE5"/>
    <w:rsid w:val="440C5700"/>
    <w:rsid w:val="4451F8DC"/>
    <w:rsid w:val="445B7190"/>
    <w:rsid w:val="4461B99B"/>
    <w:rsid w:val="44662195"/>
    <w:rsid w:val="4484A1C2"/>
    <w:rsid w:val="449E98B0"/>
    <w:rsid w:val="44A65139"/>
    <w:rsid w:val="44E2EF66"/>
    <w:rsid w:val="44E9FA63"/>
    <w:rsid w:val="44FED89B"/>
    <w:rsid w:val="450687F6"/>
    <w:rsid w:val="450C1BC5"/>
    <w:rsid w:val="452F55F9"/>
    <w:rsid w:val="45355C54"/>
    <w:rsid w:val="454E5C39"/>
    <w:rsid w:val="4579B7D4"/>
    <w:rsid w:val="458E2B92"/>
    <w:rsid w:val="45C394A3"/>
    <w:rsid w:val="45D1C20A"/>
    <w:rsid w:val="45D95B7A"/>
    <w:rsid w:val="45E98577"/>
    <w:rsid w:val="46035CF9"/>
    <w:rsid w:val="463CE394"/>
    <w:rsid w:val="465C332B"/>
    <w:rsid w:val="465DD108"/>
    <w:rsid w:val="4685CAC4"/>
    <w:rsid w:val="469249D9"/>
    <w:rsid w:val="46985F56"/>
    <w:rsid w:val="469A9A01"/>
    <w:rsid w:val="46D7C63C"/>
    <w:rsid w:val="46F2466D"/>
    <w:rsid w:val="46FF1E88"/>
    <w:rsid w:val="472473A5"/>
    <w:rsid w:val="47297455"/>
    <w:rsid w:val="47473EAC"/>
    <w:rsid w:val="477F6611"/>
    <w:rsid w:val="479B1E24"/>
    <w:rsid w:val="47A3CC17"/>
    <w:rsid w:val="47B6E96B"/>
    <w:rsid w:val="47CC57BF"/>
    <w:rsid w:val="4876295B"/>
    <w:rsid w:val="488B2FAA"/>
    <w:rsid w:val="489D93CF"/>
    <w:rsid w:val="489FBB14"/>
    <w:rsid w:val="48A80879"/>
    <w:rsid w:val="48B22C3D"/>
    <w:rsid w:val="48B81E5C"/>
    <w:rsid w:val="48C1D76F"/>
    <w:rsid w:val="48CB54F0"/>
    <w:rsid w:val="48E00E5E"/>
    <w:rsid w:val="48EF9B2C"/>
    <w:rsid w:val="4901640E"/>
    <w:rsid w:val="497A0407"/>
    <w:rsid w:val="49836AB7"/>
    <w:rsid w:val="49901797"/>
    <w:rsid w:val="499838C7"/>
    <w:rsid w:val="49B57755"/>
    <w:rsid w:val="49BD6B86"/>
    <w:rsid w:val="49F92ABE"/>
    <w:rsid w:val="4A1F9CC4"/>
    <w:rsid w:val="4A245C9C"/>
    <w:rsid w:val="4A2B66C0"/>
    <w:rsid w:val="4A55D216"/>
    <w:rsid w:val="4A7ABD31"/>
    <w:rsid w:val="4A963236"/>
    <w:rsid w:val="4A9A5BBD"/>
    <w:rsid w:val="4A9D346F"/>
    <w:rsid w:val="4AA58AFB"/>
    <w:rsid w:val="4ACC3B18"/>
    <w:rsid w:val="4ACD8730"/>
    <w:rsid w:val="4B03F881"/>
    <w:rsid w:val="4B30C597"/>
    <w:rsid w:val="4B3156CA"/>
    <w:rsid w:val="4B58E2DD"/>
    <w:rsid w:val="4B5A161F"/>
    <w:rsid w:val="4B8B7B46"/>
    <w:rsid w:val="4B8E0596"/>
    <w:rsid w:val="4BDD0C3F"/>
    <w:rsid w:val="4BFCE578"/>
    <w:rsid w:val="4C0CE899"/>
    <w:rsid w:val="4C18AA37"/>
    <w:rsid w:val="4C39D994"/>
    <w:rsid w:val="4C505B32"/>
    <w:rsid w:val="4C867C96"/>
    <w:rsid w:val="4C86A085"/>
    <w:rsid w:val="4CA2EACE"/>
    <w:rsid w:val="4CA4DDB6"/>
    <w:rsid w:val="4CC326D2"/>
    <w:rsid w:val="4D045529"/>
    <w:rsid w:val="4D3BE223"/>
    <w:rsid w:val="4D75D8D7"/>
    <w:rsid w:val="4DE5B09E"/>
    <w:rsid w:val="4DEC2B93"/>
    <w:rsid w:val="4E0DDF38"/>
    <w:rsid w:val="4E2445DB"/>
    <w:rsid w:val="4E4823ED"/>
    <w:rsid w:val="4E8B16DD"/>
    <w:rsid w:val="4EB4E186"/>
    <w:rsid w:val="4EDC78DC"/>
    <w:rsid w:val="4F1BE57B"/>
    <w:rsid w:val="4F1D170C"/>
    <w:rsid w:val="4F392976"/>
    <w:rsid w:val="4F3AD263"/>
    <w:rsid w:val="4F56E181"/>
    <w:rsid w:val="4F930F83"/>
    <w:rsid w:val="4F99B1C2"/>
    <w:rsid w:val="4FAA510E"/>
    <w:rsid w:val="4FB1C9FD"/>
    <w:rsid w:val="4FBE4147"/>
    <w:rsid w:val="4FE7C261"/>
    <w:rsid w:val="4FE9CA9F"/>
    <w:rsid w:val="50253B00"/>
    <w:rsid w:val="502FE5B2"/>
    <w:rsid w:val="507541E4"/>
    <w:rsid w:val="50933466"/>
    <w:rsid w:val="50D2F1E4"/>
    <w:rsid w:val="50E9E766"/>
    <w:rsid w:val="50F05C5F"/>
    <w:rsid w:val="50FC6DD5"/>
    <w:rsid w:val="51029270"/>
    <w:rsid w:val="510A3165"/>
    <w:rsid w:val="51169B5D"/>
    <w:rsid w:val="512FC082"/>
    <w:rsid w:val="514B84C8"/>
    <w:rsid w:val="5172760D"/>
    <w:rsid w:val="51825465"/>
    <w:rsid w:val="519B0CDB"/>
    <w:rsid w:val="51BF27C3"/>
    <w:rsid w:val="51FDA068"/>
    <w:rsid w:val="5216D4E5"/>
    <w:rsid w:val="5223AB77"/>
    <w:rsid w:val="52706D55"/>
    <w:rsid w:val="52B14B7A"/>
    <w:rsid w:val="52C0ECD7"/>
    <w:rsid w:val="52FFBDDB"/>
    <w:rsid w:val="530ABECD"/>
    <w:rsid w:val="531B14FC"/>
    <w:rsid w:val="5326DEA3"/>
    <w:rsid w:val="5335DE87"/>
    <w:rsid w:val="53403F3C"/>
    <w:rsid w:val="5343CD35"/>
    <w:rsid w:val="534E9EE6"/>
    <w:rsid w:val="535A3632"/>
    <w:rsid w:val="5371B0AB"/>
    <w:rsid w:val="53960AD2"/>
    <w:rsid w:val="53C5CF53"/>
    <w:rsid w:val="53CAD528"/>
    <w:rsid w:val="53D43B51"/>
    <w:rsid w:val="53EE3F77"/>
    <w:rsid w:val="543B23DD"/>
    <w:rsid w:val="544623D2"/>
    <w:rsid w:val="54755D60"/>
    <w:rsid w:val="54B0B4AA"/>
    <w:rsid w:val="54B30759"/>
    <w:rsid w:val="54DAD839"/>
    <w:rsid w:val="54DF9D96"/>
    <w:rsid w:val="54F39A34"/>
    <w:rsid w:val="5524CC69"/>
    <w:rsid w:val="556205F1"/>
    <w:rsid w:val="5566A589"/>
    <w:rsid w:val="556C83CC"/>
    <w:rsid w:val="55795FFB"/>
    <w:rsid w:val="558B2045"/>
    <w:rsid w:val="559BC508"/>
    <w:rsid w:val="55DA8C2B"/>
    <w:rsid w:val="560331A5"/>
    <w:rsid w:val="5606D9ED"/>
    <w:rsid w:val="5626D3AE"/>
    <w:rsid w:val="5649CD14"/>
    <w:rsid w:val="5652B5BE"/>
    <w:rsid w:val="565EBE4D"/>
    <w:rsid w:val="567A081C"/>
    <w:rsid w:val="569B2C94"/>
    <w:rsid w:val="56A245ED"/>
    <w:rsid w:val="56AF33C9"/>
    <w:rsid w:val="56BEC523"/>
    <w:rsid w:val="56C173FF"/>
    <w:rsid w:val="56D3685D"/>
    <w:rsid w:val="56DA9D0C"/>
    <w:rsid w:val="57616B91"/>
    <w:rsid w:val="57DED154"/>
    <w:rsid w:val="57E26B93"/>
    <w:rsid w:val="580239FE"/>
    <w:rsid w:val="5821D64A"/>
    <w:rsid w:val="58335B12"/>
    <w:rsid w:val="58563803"/>
    <w:rsid w:val="585B0657"/>
    <w:rsid w:val="5871026E"/>
    <w:rsid w:val="58784CE9"/>
    <w:rsid w:val="587BD7EA"/>
    <w:rsid w:val="587D6B49"/>
    <w:rsid w:val="5886D0CC"/>
    <w:rsid w:val="5897B8B2"/>
    <w:rsid w:val="58991681"/>
    <w:rsid w:val="589E464B"/>
    <w:rsid w:val="58C5F8E9"/>
    <w:rsid w:val="590D6212"/>
    <w:rsid w:val="590EF353"/>
    <w:rsid w:val="595DBD60"/>
    <w:rsid w:val="5970AE86"/>
    <w:rsid w:val="59A58454"/>
    <w:rsid w:val="59B6F09C"/>
    <w:rsid w:val="59DBBADE"/>
    <w:rsid w:val="59EBA176"/>
    <w:rsid w:val="59F0678D"/>
    <w:rsid w:val="5A11B6D6"/>
    <w:rsid w:val="5A16285F"/>
    <w:rsid w:val="5A215E89"/>
    <w:rsid w:val="5A9EFA11"/>
    <w:rsid w:val="5AB0A9EE"/>
    <w:rsid w:val="5AB61F5A"/>
    <w:rsid w:val="5AC1B7F7"/>
    <w:rsid w:val="5AD55070"/>
    <w:rsid w:val="5ADA8A25"/>
    <w:rsid w:val="5AFA505C"/>
    <w:rsid w:val="5AFDAE38"/>
    <w:rsid w:val="5B04F3D9"/>
    <w:rsid w:val="5B105B24"/>
    <w:rsid w:val="5B24067F"/>
    <w:rsid w:val="5B298381"/>
    <w:rsid w:val="5B321FA1"/>
    <w:rsid w:val="5B63E1E1"/>
    <w:rsid w:val="5B667ABD"/>
    <w:rsid w:val="5B6FFA7D"/>
    <w:rsid w:val="5B9944C6"/>
    <w:rsid w:val="5BEA3F60"/>
    <w:rsid w:val="5C3BA1F1"/>
    <w:rsid w:val="5C763457"/>
    <w:rsid w:val="5C965378"/>
    <w:rsid w:val="5CA2A598"/>
    <w:rsid w:val="5CB59386"/>
    <w:rsid w:val="5CD7E895"/>
    <w:rsid w:val="5CFD394C"/>
    <w:rsid w:val="5D864F97"/>
    <w:rsid w:val="5D8D200A"/>
    <w:rsid w:val="5D959C16"/>
    <w:rsid w:val="5DEB2A59"/>
    <w:rsid w:val="5DFC2AD2"/>
    <w:rsid w:val="5E04CF8B"/>
    <w:rsid w:val="5E0581BB"/>
    <w:rsid w:val="5E0CB8E5"/>
    <w:rsid w:val="5E243ECE"/>
    <w:rsid w:val="5E361636"/>
    <w:rsid w:val="5E79927F"/>
    <w:rsid w:val="5E7A81AB"/>
    <w:rsid w:val="5E90590B"/>
    <w:rsid w:val="5E9FF43C"/>
    <w:rsid w:val="5EB2F18E"/>
    <w:rsid w:val="5EB42E98"/>
    <w:rsid w:val="5EE8DE20"/>
    <w:rsid w:val="5EF8077A"/>
    <w:rsid w:val="5EFD3C75"/>
    <w:rsid w:val="5F1A3248"/>
    <w:rsid w:val="5F1C304F"/>
    <w:rsid w:val="5F50F1D5"/>
    <w:rsid w:val="5F667DC0"/>
    <w:rsid w:val="60067AEF"/>
    <w:rsid w:val="6020AE89"/>
    <w:rsid w:val="606B1FAC"/>
    <w:rsid w:val="60A05837"/>
    <w:rsid w:val="60ACEF98"/>
    <w:rsid w:val="60CBB0A6"/>
    <w:rsid w:val="60E583E2"/>
    <w:rsid w:val="610A4161"/>
    <w:rsid w:val="611F8712"/>
    <w:rsid w:val="612198A2"/>
    <w:rsid w:val="612B0596"/>
    <w:rsid w:val="614900E2"/>
    <w:rsid w:val="614CF134"/>
    <w:rsid w:val="617A208C"/>
    <w:rsid w:val="618A7CEB"/>
    <w:rsid w:val="61942898"/>
    <w:rsid w:val="61AF8E48"/>
    <w:rsid w:val="61C77954"/>
    <w:rsid w:val="61D2D446"/>
    <w:rsid w:val="61EC8778"/>
    <w:rsid w:val="61F96B15"/>
    <w:rsid w:val="6209CFF6"/>
    <w:rsid w:val="624E4AAC"/>
    <w:rsid w:val="6252C638"/>
    <w:rsid w:val="625CAD55"/>
    <w:rsid w:val="626AE2EF"/>
    <w:rsid w:val="626F622C"/>
    <w:rsid w:val="629C7686"/>
    <w:rsid w:val="62A831C4"/>
    <w:rsid w:val="62BB2325"/>
    <w:rsid w:val="62C6048A"/>
    <w:rsid w:val="62CB91C0"/>
    <w:rsid w:val="62E0F89E"/>
    <w:rsid w:val="62E8C195"/>
    <w:rsid w:val="62FBEA12"/>
    <w:rsid w:val="6310BE0B"/>
    <w:rsid w:val="63426DB4"/>
    <w:rsid w:val="636D62D4"/>
    <w:rsid w:val="638AED24"/>
    <w:rsid w:val="6392B521"/>
    <w:rsid w:val="639FEDA5"/>
    <w:rsid w:val="63B2EAA2"/>
    <w:rsid w:val="63DC059E"/>
    <w:rsid w:val="63E7E5FD"/>
    <w:rsid w:val="641D7DB7"/>
    <w:rsid w:val="64235F7D"/>
    <w:rsid w:val="64584241"/>
    <w:rsid w:val="64EAA6FC"/>
    <w:rsid w:val="64FE5E9C"/>
    <w:rsid w:val="650575E2"/>
    <w:rsid w:val="65139799"/>
    <w:rsid w:val="65142DC6"/>
    <w:rsid w:val="6534D515"/>
    <w:rsid w:val="65724DC6"/>
    <w:rsid w:val="6576FEE5"/>
    <w:rsid w:val="658C836A"/>
    <w:rsid w:val="658F7596"/>
    <w:rsid w:val="65C75E42"/>
    <w:rsid w:val="65ED3E95"/>
    <w:rsid w:val="661FC7E4"/>
    <w:rsid w:val="6622B11E"/>
    <w:rsid w:val="662CFF0F"/>
    <w:rsid w:val="663A15D0"/>
    <w:rsid w:val="664601E4"/>
    <w:rsid w:val="6653DE36"/>
    <w:rsid w:val="667F12D0"/>
    <w:rsid w:val="66ACA647"/>
    <w:rsid w:val="66D85802"/>
    <w:rsid w:val="66E08141"/>
    <w:rsid w:val="66E3C57F"/>
    <w:rsid w:val="67046C26"/>
    <w:rsid w:val="6712CF46"/>
    <w:rsid w:val="673974C1"/>
    <w:rsid w:val="674508B0"/>
    <w:rsid w:val="678CEEFA"/>
    <w:rsid w:val="679F1A09"/>
    <w:rsid w:val="67AFA713"/>
    <w:rsid w:val="68131FED"/>
    <w:rsid w:val="683B771B"/>
    <w:rsid w:val="685FDBF9"/>
    <w:rsid w:val="68C6FE58"/>
    <w:rsid w:val="68E0D911"/>
    <w:rsid w:val="68ECC1AB"/>
    <w:rsid w:val="6930B887"/>
    <w:rsid w:val="693AEA6A"/>
    <w:rsid w:val="694D487B"/>
    <w:rsid w:val="69A9A35F"/>
    <w:rsid w:val="69B69BE4"/>
    <w:rsid w:val="69EAB0B9"/>
    <w:rsid w:val="69F404F6"/>
    <w:rsid w:val="69F9B0EF"/>
    <w:rsid w:val="6A12F86D"/>
    <w:rsid w:val="6A322F8C"/>
    <w:rsid w:val="6A55E1ED"/>
    <w:rsid w:val="6ACEFC90"/>
    <w:rsid w:val="6AD8A577"/>
    <w:rsid w:val="6B1275A4"/>
    <w:rsid w:val="6B1D992B"/>
    <w:rsid w:val="6B267EEE"/>
    <w:rsid w:val="6B2755D9"/>
    <w:rsid w:val="6B3A523B"/>
    <w:rsid w:val="6B4EC95C"/>
    <w:rsid w:val="6BB88430"/>
    <w:rsid w:val="6BC17DDA"/>
    <w:rsid w:val="6BC89238"/>
    <w:rsid w:val="6BD4932E"/>
    <w:rsid w:val="6BEB226C"/>
    <w:rsid w:val="6C309C9B"/>
    <w:rsid w:val="6C33AA88"/>
    <w:rsid w:val="6C50F76D"/>
    <w:rsid w:val="6C78F604"/>
    <w:rsid w:val="6CA0995B"/>
    <w:rsid w:val="6CD03122"/>
    <w:rsid w:val="6D0DB036"/>
    <w:rsid w:val="6D482741"/>
    <w:rsid w:val="6D5E085A"/>
    <w:rsid w:val="6D60DF3D"/>
    <w:rsid w:val="6DF94889"/>
    <w:rsid w:val="6E02FD28"/>
    <w:rsid w:val="6E0B90D2"/>
    <w:rsid w:val="6E150574"/>
    <w:rsid w:val="6E227058"/>
    <w:rsid w:val="6E4C9F55"/>
    <w:rsid w:val="6E61A9DF"/>
    <w:rsid w:val="6E6A6354"/>
    <w:rsid w:val="6E6EAC2B"/>
    <w:rsid w:val="6E711E4E"/>
    <w:rsid w:val="6E8D40E7"/>
    <w:rsid w:val="6E8D5CE7"/>
    <w:rsid w:val="6E9CEB40"/>
    <w:rsid w:val="6EFDFB33"/>
    <w:rsid w:val="6F16E7B6"/>
    <w:rsid w:val="6F2EDE6F"/>
    <w:rsid w:val="6F626EED"/>
    <w:rsid w:val="6F89692B"/>
    <w:rsid w:val="6F900610"/>
    <w:rsid w:val="6FDCC80D"/>
    <w:rsid w:val="7011845D"/>
    <w:rsid w:val="703CE966"/>
    <w:rsid w:val="707594D0"/>
    <w:rsid w:val="709947A6"/>
    <w:rsid w:val="7099CB94"/>
    <w:rsid w:val="709CE2DE"/>
    <w:rsid w:val="70A44884"/>
    <w:rsid w:val="70C05AB3"/>
    <w:rsid w:val="70C52371"/>
    <w:rsid w:val="70CD0FC3"/>
    <w:rsid w:val="70CE9AA1"/>
    <w:rsid w:val="70D2C867"/>
    <w:rsid w:val="70EA0C39"/>
    <w:rsid w:val="70F363A7"/>
    <w:rsid w:val="70F7D390"/>
    <w:rsid w:val="714CA636"/>
    <w:rsid w:val="71547772"/>
    <w:rsid w:val="716CC014"/>
    <w:rsid w:val="71704591"/>
    <w:rsid w:val="7173D0F6"/>
    <w:rsid w:val="71CBE424"/>
    <w:rsid w:val="71CDB361"/>
    <w:rsid w:val="71DBDD5E"/>
    <w:rsid w:val="71F4E86D"/>
    <w:rsid w:val="7201944D"/>
    <w:rsid w:val="72067B21"/>
    <w:rsid w:val="721CCDA7"/>
    <w:rsid w:val="722C9E69"/>
    <w:rsid w:val="72359BF5"/>
    <w:rsid w:val="726C0469"/>
    <w:rsid w:val="726CB52A"/>
    <w:rsid w:val="7279BE03"/>
    <w:rsid w:val="72DF4A94"/>
    <w:rsid w:val="72DFF85C"/>
    <w:rsid w:val="72E87697"/>
    <w:rsid w:val="72EEC3BA"/>
    <w:rsid w:val="7300B22F"/>
    <w:rsid w:val="7312CFB4"/>
    <w:rsid w:val="7335E6F1"/>
    <w:rsid w:val="736983C2"/>
    <w:rsid w:val="73719B27"/>
    <w:rsid w:val="73834560"/>
    <w:rsid w:val="73B70A71"/>
    <w:rsid w:val="7468008F"/>
    <w:rsid w:val="7488D847"/>
    <w:rsid w:val="749E5FDC"/>
    <w:rsid w:val="74B6A2B0"/>
    <w:rsid w:val="74D54EBA"/>
    <w:rsid w:val="74E05FD2"/>
    <w:rsid w:val="74E423BA"/>
    <w:rsid w:val="74F98AD0"/>
    <w:rsid w:val="74FED14F"/>
    <w:rsid w:val="750DE703"/>
    <w:rsid w:val="7511F0E7"/>
    <w:rsid w:val="7515032B"/>
    <w:rsid w:val="7522EAC7"/>
    <w:rsid w:val="752EF2B0"/>
    <w:rsid w:val="7544D32F"/>
    <w:rsid w:val="7545CA8C"/>
    <w:rsid w:val="7587C543"/>
    <w:rsid w:val="75AAA930"/>
    <w:rsid w:val="75AFE99C"/>
    <w:rsid w:val="75BB8B71"/>
    <w:rsid w:val="76572D6C"/>
    <w:rsid w:val="76757539"/>
    <w:rsid w:val="77064B1D"/>
    <w:rsid w:val="7721DF9F"/>
    <w:rsid w:val="77488C72"/>
    <w:rsid w:val="7750767A"/>
    <w:rsid w:val="77646267"/>
    <w:rsid w:val="77706B3D"/>
    <w:rsid w:val="77B53561"/>
    <w:rsid w:val="77BAAAA2"/>
    <w:rsid w:val="77F81D3D"/>
    <w:rsid w:val="77F863B6"/>
    <w:rsid w:val="782A33AA"/>
    <w:rsid w:val="78312B92"/>
    <w:rsid w:val="7838A205"/>
    <w:rsid w:val="784B58B8"/>
    <w:rsid w:val="7860271A"/>
    <w:rsid w:val="78A900C6"/>
    <w:rsid w:val="78B0ED51"/>
    <w:rsid w:val="78C32B32"/>
    <w:rsid w:val="78D1EFD9"/>
    <w:rsid w:val="78D6FEE2"/>
    <w:rsid w:val="78F978BC"/>
    <w:rsid w:val="790BE4E3"/>
    <w:rsid w:val="7939DE5A"/>
    <w:rsid w:val="794171CD"/>
    <w:rsid w:val="797A37E0"/>
    <w:rsid w:val="79C7ABB1"/>
    <w:rsid w:val="79C90D1D"/>
    <w:rsid w:val="79E04292"/>
    <w:rsid w:val="79F37CB3"/>
    <w:rsid w:val="79FAC9A9"/>
    <w:rsid w:val="7A1BBA38"/>
    <w:rsid w:val="7A2B745E"/>
    <w:rsid w:val="7A5A1E38"/>
    <w:rsid w:val="7A6CAF93"/>
    <w:rsid w:val="7A7FE452"/>
    <w:rsid w:val="7A92FCE3"/>
    <w:rsid w:val="7AA2B383"/>
    <w:rsid w:val="7AAD9BDE"/>
    <w:rsid w:val="7AC1DFFB"/>
    <w:rsid w:val="7ADCA4E0"/>
    <w:rsid w:val="7B3470CD"/>
    <w:rsid w:val="7B3E8513"/>
    <w:rsid w:val="7B606F3F"/>
    <w:rsid w:val="7B674024"/>
    <w:rsid w:val="7B6B685D"/>
    <w:rsid w:val="7B9582D7"/>
    <w:rsid w:val="7B9A67E3"/>
    <w:rsid w:val="7BABE4BF"/>
    <w:rsid w:val="7C30F656"/>
    <w:rsid w:val="7C359D2A"/>
    <w:rsid w:val="7C65467C"/>
    <w:rsid w:val="7CB068F5"/>
    <w:rsid w:val="7CD161E0"/>
    <w:rsid w:val="7CDC70FC"/>
    <w:rsid w:val="7CE0609F"/>
    <w:rsid w:val="7D16DBA2"/>
    <w:rsid w:val="7D17F16A"/>
    <w:rsid w:val="7D31D1F9"/>
    <w:rsid w:val="7D3A2D91"/>
    <w:rsid w:val="7D701905"/>
    <w:rsid w:val="7D8142D9"/>
    <w:rsid w:val="7DCCD9D3"/>
    <w:rsid w:val="7DCDDB3D"/>
    <w:rsid w:val="7E420270"/>
    <w:rsid w:val="7E8F475E"/>
    <w:rsid w:val="7E940234"/>
    <w:rsid w:val="7EB0F12E"/>
    <w:rsid w:val="7EBBDA4C"/>
    <w:rsid w:val="7EBE7E34"/>
    <w:rsid w:val="7EE9E24B"/>
    <w:rsid w:val="7F1DD1EF"/>
    <w:rsid w:val="7F24BA97"/>
    <w:rsid w:val="7F2D8F5B"/>
    <w:rsid w:val="7F4071B0"/>
    <w:rsid w:val="7F4BE3C0"/>
    <w:rsid w:val="7F827A30"/>
    <w:rsid w:val="7F850371"/>
    <w:rsid w:val="7FEAB3F4"/>
    <w:rsid w:val="7FEE15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EC343"/>
  <w15:docId w15:val="{898582D4-5A28-48EF-84CF-23FDCC96C90D}"/>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rPr>
  </w:style>
  <w:style w:type="paragraph" w:styleId="Heading1">
    <w:name w:val="heading 1"/>
    <w:basedOn w:val="Normal"/>
    <w:link w:val="Heading1Char"/>
    <w:uiPriority w:val="9"/>
    <w:qFormat/>
    <w:pPr>
      <w:ind w:left="120"/>
      <w:outlineLvl w:val="0"/>
    </w:pPr>
    <w:rPr>
      <w:b/>
      <w:bCs/>
      <w:sz w:val="24"/>
      <w:szCs w:val="24"/>
      <w:u w:val="single" w:color="000000"/>
    </w:rPr>
  </w:style>
  <w:style w:type="paragraph" w:styleId="Heading2">
    <w:name w:val="heading 2"/>
    <w:basedOn w:val="Normal"/>
    <w:link w:val="Heading2Char"/>
    <w:unhideWhenUsed/>
    <w:qFormat/>
    <w:pPr>
      <w:ind w:left="7" w:right="65"/>
      <w:jc w:val="center"/>
      <w:outlineLvl w:val="1"/>
    </w:pPr>
    <w:rPr>
      <w:b/>
      <w:bCs/>
      <w:sz w:val="24"/>
      <w:szCs w:val="24"/>
    </w:rPr>
  </w:style>
  <w:style w:type="paragraph" w:styleId="Heading3">
    <w:name w:val="heading 3"/>
    <w:basedOn w:val="Normal"/>
    <w:next w:val="Normal"/>
    <w:link w:val="Heading3Char"/>
    <w:qFormat/>
    <w:rsid w:val="000D7072"/>
    <w:pPr>
      <w:keepNext/>
      <w:widowControl/>
      <w:tabs>
        <w:tab w:val="left" w:pos="1620"/>
      </w:tabs>
      <w:autoSpaceDE/>
      <w:autoSpaceDN/>
      <w:spacing w:before="120" w:after="120"/>
      <w:ind w:left="2160" w:hanging="720"/>
      <w:outlineLvl w:val="2"/>
    </w:pPr>
    <w:rPr>
      <w:rFonts w:ascii="Helvetica" w:eastAsia="Times New Roman" w:hAnsi="Helvetica" w:cs="Times New Roman"/>
      <w:b/>
      <w:sz w:val="26"/>
      <w:szCs w:val="26"/>
    </w:rPr>
  </w:style>
  <w:style w:type="paragraph" w:styleId="Heading4">
    <w:name w:val="heading 4"/>
    <w:basedOn w:val="Normal"/>
    <w:next w:val="Normal"/>
    <w:link w:val="Heading4Char"/>
    <w:qFormat/>
    <w:rsid w:val="000D7072"/>
    <w:pPr>
      <w:keepNext/>
      <w:widowControl/>
      <w:tabs>
        <w:tab w:val="left" w:pos="1800"/>
      </w:tabs>
      <w:autoSpaceDE/>
      <w:autoSpaceDN/>
      <w:spacing w:before="120" w:after="120"/>
      <w:ind w:left="3240" w:hanging="720"/>
      <w:outlineLvl w:val="3"/>
    </w:pPr>
    <w:rPr>
      <w:rFonts w:ascii="Helvetica" w:eastAsia="Times New Roman" w:hAnsi="Helvetica" w:cs="Times New Roman"/>
      <w:b/>
      <w:sz w:val="26"/>
      <w:szCs w:val="26"/>
    </w:rPr>
  </w:style>
  <w:style w:type="paragraph" w:styleId="Heading5">
    <w:name w:val="heading 5"/>
    <w:basedOn w:val="Normal"/>
    <w:next w:val="Normal"/>
    <w:link w:val="Heading5Char"/>
    <w:qFormat/>
    <w:rsid w:val="000D7072"/>
    <w:pPr>
      <w:widowControl/>
      <w:tabs>
        <w:tab w:val="left" w:pos="1980"/>
      </w:tabs>
      <w:autoSpaceDE/>
      <w:autoSpaceDN/>
      <w:spacing w:before="120" w:after="120"/>
      <w:ind w:left="4140" w:hanging="720"/>
      <w:outlineLvl w:val="4"/>
    </w:pPr>
    <w:rPr>
      <w:rFonts w:ascii="Helvetica" w:eastAsia="Times New Roman" w:hAnsi="Helvetica" w:cs="Times New Roman"/>
      <w:b/>
      <w:sz w:val="26"/>
      <w:szCs w:val="26"/>
    </w:rPr>
  </w:style>
  <w:style w:type="paragraph" w:styleId="Heading6">
    <w:name w:val="heading 6"/>
    <w:basedOn w:val="Normal"/>
    <w:next w:val="Normal"/>
    <w:link w:val="Heading6Char"/>
    <w:qFormat/>
    <w:rsid w:val="000D7072"/>
    <w:pPr>
      <w:widowControl/>
      <w:tabs>
        <w:tab w:val="left" w:pos="2250"/>
      </w:tabs>
      <w:autoSpaceDE/>
      <w:autoSpaceDN/>
      <w:spacing w:before="120" w:after="120"/>
      <w:ind w:left="4320" w:hanging="720"/>
      <w:outlineLvl w:val="5"/>
    </w:pPr>
    <w:rPr>
      <w:rFonts w:ascii="Helvetica" w:eastAsia="Times New Roman" w:hAnsi="Helvetica" w:cs="Arial"/>
      <w:b/>
      <w:bCs/>
      <w:sz w:val="26"/>
      <w:szCs w:val="26"/>
    </w:rPr>
  </w:style>
  <w:style w:type="paragraph" w:styleId="Heading7">
    <w:name w:val="heading 7"/>
    <w:basedOn w:val="Normal"/>
    <w:next w:val="Normal"/>
    <w:link w:val="Heading7Char"/>
    <w:qFormat/>
    <w:rsid w:val="000D7072"/>
    <w:pPr>
      <w:widowControl/>
      <w:tabs>
        <w:tab w:val="left" w:pos="2520"/>
      </w:tabs>
      <w:autoSpaceDE/>
      <w:autoSpaceDN/>
      <w:spacing w:before="120" w:after="120"/>
      <w:ind w:left="5040" w:hanging="720"/>
      <w:outlineLvl w:val="6"/>
    </w:pPr>
    <w:rPr>
      <w:rFonts w:ascii="Helvetica" w:eastAsia="Times New Roman" w:hAnsi="Helvetica" w:cs="Times New Roman"/>
      <w:b/>
      <w:sz w:val="26"/>
      <w:szCs w:val="20"/>
    </w:rPr>
  </w:style>
  <w:style w:type="paragraph" w:styleId="Heading9">
    <w:name w:val="heading 9"/>
    <w:basedOn w:val="Normal"/>
    <w:next w:val="Normal"/>
    <w:link w:val="Heading9Char"/>
    <w:autoRedefine/>
    <w:qFormat/>
    <w:rsid w:val="000D7072"/>
    <w:pPr>
      <w:widowControl/>
      <w:tabs>
        <w:tab w:val="left" w:pos="2880"/>
      </w:tabs>
      <w:autoSpaceDE/>
      <w:autoSpaceDN/>
      <w:spacing w:before="120" w:after="120"/>
      <w:ind w:left="6480" w:hanging="720"/>
      <w:outlineLvl w:val="8"/>
    </w:pPr>
    <w:rPr>
      <w:rFonts w:ascii="Helvetica" w:eastAsia="Times New Roman" w:hAnsi="Helvetica" w:cs="Times New Roman"/>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570" w:right="208" w:hanging="360"/>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nhideWhenUsed/>
    <w:rsid w:val="00DB1E18"/>
    <w:pPr>
      <w:tabs>
        <w:tab w:val="center" w:pos="4680"/>
        <w:tab w:val="right" w:pos="9360"/>
      </w:tabs>
    </w:pPr>
  </w:style>
  <w:style w:type="character" w:customStyle="1" w:styleId="HeaderChar">
    <w:name w:val="Header Char"/>
    <w:basedOn w:val="DefaultParagraphFont"/>
    <w:link w:val="Header"/>
    <w:rsid w:val="00DB1E18"/>
    <w:rPr>
      <w:rFonts w:ascii="Palatino Linotype" w:eastAsia="Palatino Linotype" w:hAnsi="Palatino Linotype" w:cs="Palatino Linotype"/>
    </w:rPr>
  </w:style>
  <w:style w:type="paragraph" w:styleId="Footer">
    <w:name w:val="footer"/>
    <w:basedOn w:val="Normal"/>
    <w:link w:val="FooterChar"/>
    <w:uiPriority w:val="99"/>
    <w:unhideWhenUsed/>
    <w:rsid w:val="00DB1E18"/>
    <w:pPr>
      <w:tabs>
        <w:tab w:val="center" w:pos="4680"/>
        <w:tab w:val="right" w:pos="9360"/>
      </w:tabs>
    </w:pPr>
  </w:style>
  <w:style w:type="character" w:customStyle="1" w:styleId="FooterChar">
    <w:name w:val="Footer Char"/>
    <w:basedOn w:val="DefaultParagraphFont"/>
    <w:link w:val="Footer"/>
    <w:uiPriority w:val="99"/>
    <w:rsid w:val="00DB1E18"/>
    <w:rPr>
      <w:rFonts w:ascii="Palatino Linotype" w:eastAsia="Palatino Linotype" w:hAnsi="Palatino Linotype" w:cs="Palatino Linotype"/>
    </w:r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
    <w:basedOn w:val="Normal"/>
    <w:link w:val="FootnoteTextChar"/>
    <w:unhideWhenUsed/>
    <w:rsid w:val="0091431B"/>
    <w:rPr>
      <w:sz w:val="20"/>
      <w:szCs w:val="20"/>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rsid w:val="0091431B"/>
    <w:rPr>
      <w:rFonts w:ascii="Palatino Linotype" w:eastAsia="Palatino Linotype" w:hAnsi="Palatino Linotype" w:cs="Palatino Linotype"/>
      <w:sz w:val="20"/>
      <w:szCs w:val="20"/>
    </w:rPr>
  </w:style>
  <w:style w:type="character" w:styleId="FootnoteReference">
    <w:name w:val="footnote reference"/>
    <w:aliases w:val="o"/>
    <w:basedOn w:val="DefaultParagraphFont"/>
    <w:unhideWhenUsed/>
    <w:rsid w:val="0091431B"/>
    <w:rPr>
      <w:vertAlign w:val="superscript"/>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Palatino Linotype" w:eastAsia="Palatino Linotype" w:hAnsi="Palatino Linotype" w:cs="Palatino Linotype"/>
      <w:sz w:val="20"/>
      <w:szCs w:val="20"/>
    </w:rPr>
  </w:style>
  <w:style w:type="character" w:styleId="CommentReference">
    <w:name w:val="annotation reference"/>
    <w:basedOn w:val="DefaultParagraphFont"/>
    <w:unhideWhenUsed/>
    <w:rPr>
      <w:sz w:val="16"/>
      <w:szCs w:val="16"/>
    </w:rPr>
  </w:style>
  <w:style w:type="paragraph" w:styleId="Revision">
    <w:name w:val="Revision"/>
    <w:hidden/>
    <w:uiPriority w:val="99"/>
    <w:semiHidden/>
    <w:rsid w:val="005960A1"/>
    <w:pPr>
      <w:widowControl/>
      <w:autoSpaceDE/>
      <w:autoSpaceDN/>
    </w:pPr>
    <w:rPr>
      <w:rFonts w:ascii="Palatino Linotype" w:eastAsia="Palatino Linotype" w:hAnsi="Palatino Linotype" w:cs="Palatino Linotype"/>
    </w:rPr>
  </w:style>
  <w:style w:type="paragraph" w:styleId="CommentSubject">
    <w:name w:val="annotation subject"/>
    <w:basedOn w:val="CommentText"/>
    <w:next w:val="CommentText"/>
    <w:link w:val="CommentSubjectChar"/>
    <w:unhideWhenUsed/>
    <w:rsid w:val="00B428A0"/>
    <w:rPr>
      <w:b/>
      <w:bCs/>
    </w:rPr>
  </w:style>
  <w:style w:type="character" w:customStyle="1" w:styleId="CommentSubjectChar">
    <w:name w:val="Comment Subject Char"/>
    <w:basedOn w:val="CommentTextChar"/>
    <w:link w:val="CommentSubject"/>
    <w:rsid w:val="00B428A0"/>
    <w:rPr>
      <w:rFonts w:ascii="Palatino Linotype" w:eastAsia="Palatino Linotype" w:hAnsi="Palatino Linotype" w:cs="Palatino Linotype"/>
      <w:b/>
      <w:bCs/>
      <w:sz w:val="20"/>
      <w:szCs w:val="20"/>
    </w:rPr>
  </w:style>
  <w:style w:type="character" w:styleId="Hyperlink">
    <w:name w:val="Hyperlink"/>
    <w:basedOn w:val="DefaultParagraphFont"/>
    <w:uiPriority w:val="99"/>
    <w:unhideWhenUsed/>
    <w:rsid w:val="00EC7C91"/>
    <w:rPr>
      <w:color w:val="0000FF"/>
      <w:u w:val="single"/>
    </w:rPr>
  </w:style>
  <w:style w:type="character" w:customStyle="1" w:styleId="sssh">
    <w:name w:val="ss_sh"/>
    <w:basedOn w:val="DefaultParagraphFont"/>
    <w:rsid w:val="00EC7C91"/>
  </w:style>
  <w:style w:type="paragraph" w:customStyle="1" w:styleId="xl24">
    <w:name w:val="xl24"/>
    <w:basedOn w:val="Normal"/>
    <w:rsid w:val="0035458D"/>
    <w:pPr>
      <w:widowControl/>
      <w:autoSpaceDE/>
      <w:autoSpaceDN/>
      <w:spacing w:before="100" w:beforeAutospacing="1" w:after="100" w:afterAutospacing="1"/>
      <w:jc w:val="right"/>
    </w:pPr>
    <w:rPr>
      <w:rFonts w:ascii="Arial Unicode MS" w:eastAsia="Arial Unicode MS" w:hAnsi="Arial Unicode MS" w:cs="Arial Unicode MS"/>
      <w:b/>
      <w:bCs/>
      <w:sz w:val="24"/>
      <w:szCs w:val="24"/>
    </w:rPr>
  </w:style>
  <w:style w:type="paragraph" w:styleId="NormalWeb">
    <w:name w:val="Normal (Web)"/>
    <w:basedOn w:val="Normal"/>
    <w:uiPriority w:val="99"/>
    <w:unhideWhenUsed/>
    <w:rsid w:val="00B5761B"/>
    <w:pPr>
      <w:widowControl/>
      <w:autoSpaceDE/>
      <w:autoSpaceDN/>
      <w:spacing w:before="168" w:after="216"/>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B12C6"/>
    <w:rPr>
      <w:rFonts w:ascii="Palatino Linotype" w:eastAsia="Palatino Linotype" w:hAnsi="Palatino Linotype" w:cs="Palatino Linotype"/>
      <w:sz w:val="24"/>
      <w:szCs w:val="24"/>
    </w:rPr>
  </w:style>
  <w:style w:type="character" w:customStyle="1" w:styleId="Heading3Char">
    <w:name w:val="Heading 3 Char"/>
    <w:basedOn w:val="DefaultParagraphFont"/>
    <w:link w:val="Heading3"/>
    <w:rsid w:val="000D7072"/>
    <w:rPr>
      <w:rFonts w:ascii="Helvetica" w:eastAsia="Times New Roman" w:hAnsi="Helvetica" w:cs="Times New Roman"/>
      <w:b/>
      <w:sz w:val="26"/>
      <w:szCs w:val="26"/>
    </w:rPr>
  </w:style>
  <w:style w:type="character" w:customStyle="1" w:styleId="Heading4Char">
    <w:name w:val="Heading 4 Char"/>
    <w:basedOn w:val="DefaultParagraphFont"/>
    <w:link w:val="Heading4"/>
    <w:rsid w:val="000D7072"/>
    <w:rPr>
      <w:rFonts w:ascii="Helvetica" w:eastAsia="Times New Roman" w:hAnsi="Helvetica" w:cs="Times New Roman"/>
      <w:b/>
      <w:sz w:val="26"/>
      <w:szCs w:val="26"/>
    </w:rPr>
  </w:style>
  <w:style w:type="character" w:customStyle="1" w:styleId="Heading5Char">
    <w:name w:val="Heading 5 Char"/>
    <w:basedOn w:val="DefaultParagraphFont"/>
    <w:link w:val="Heading5"/>
    <w:rsid w:val="000D7072"/>
    <w:rPr>
      <w:rFonts w:ascii="Helvetica" w:eastAsia="Times New Roman" w:hAnsi="Helvetica" w:cs="Times New Roman"/>
      <w:b/>
      <w:sz w:val="26"/>
      <w:szCs w:val="26"/>
    </w:rPr>
  </w:style>
  <w:style w:type="character" w:customStyle="1" w:styleId="Heading6Char">
    <w:name w:val="Heading 6 Char"/>
    <w:basedOn w:val="DefaultParagraphFont"/>
    <w:link w:val="Heading6"/>
    <w:rsid w:val="000D7072"/>
    <w:rPr>
      <w:rFonts w:ascii="Helvetica" w:eastAsia="Times New Roman" w:hAnsi="Helvetica" w:cs="Arial"/>
      <w:b/>
      <w:bCs/>
      <w:sz w:val="26"/>
      <w:szCs w:val="26"/>
    </w:rPr>
  </w:style>
  <w:style w:type="character" w:customStyle="1" w:styleId="Heading7Char">
    <w:name w:val="Heading 7 Char"/>
    <w:basedOn w:val="DefaultParagraphFont"/>
    <w:link w:val="Heading7"/>
    <w:rsid w:val="000D7072"/>
    <w:rPr>
      <w:rFonts w:ascii="Helvetica" w:eastAsia="Times New Roman" w:hAnsi="Helvetica" w:cs="Times New Roman"/>
      <w:b/>
      <w:sz w:val="26"/>
      <w:szCs w:val="20"/>
    </w:rPr>
  </w:style>
  <w:style w:type="character" w:customStyle="1" w:styleId="Heading9Char">
    <w:name w:val="Heading 9 Char"/>
    <w:basedOn w:val="DefaultParagraphFont"/>
    <w:link w:val="Heading9"/>
    <w:rsid w:val="000D7072"/>
    <w:rPr>
      <w:rFonts w:ascii="Helvetica" w:eastAsia="Times New Roman" w:hAnsi="Helvetica" w:cs="Times New Roman"/>
      <w:b/>
      <w:sz w:val="26"/>
      <w:szCs w:val="24"/>
    </w:rPr>
  </w:style>
  <w:style w:type="paragraph" w:styleId="Title">
    <w:name w:val="Title"/>
    <w:basedOn w:val="Normal"/>
    <w:link w:val="TitleChar"/>
    <w:qFormat/>
    <w:rsid w:val="000D7072"/>
    <w:pPr>
      <w:widowControl/>
      <w:autoSpaceDE/>
      <w:autoSpaceDN/>
      <w:jc w:val="center"/>
    </w:pPr>
    <w:rPr>
      <w:rFonts w:ascii="Helvetica" w:eastAsia="Times New Roman" w:hAnsi="Helvetica" w:cs="Times New Roman"/>
      <w:b/>
      <w:sz w:val="24"/>
      <w:szCs w:val="20"/>
    </w:rPr>
  </w:style>
  <w:style w:type="character" w:customStyle="1" w:styleId="TitleChar">
    <w:name w:val="Title Char"/>
    <w:basedOn w:val="DefaultParagraphFont"/>
    <w:link w:val="Title"/>
    <w:rsid w:val="000D7072"/>
    <w:rPr>
      <w:rFonts w:ascii="Helvetica" w:eastAsia="Times New Roman" w:hAnsi="Helvetica" w:cs="Times New Roman"/>
      <w:b/>
      <w:sz w:val="24"/>
      <w:szCs w:val="20"/>
    </w:rPr>
  </w:style>
  <w:style w:type="character" w:styleId="PageNumber">
    <w:name w:val="page number"/>
    <w:basedOn w:val="DefaultParagraphFont"/>
    <w:rsid w:val="000D7072"/>
  </w:style>
  <w:style w:type="paragraph" w:styleId="BalloonText">
    <w:name w:val="Balloon Text"/>
    <w:basedOn w:val="Normal"/>
    <w:link w:val="BalloonTextChar"/>
    <w:rsid w:val="000D7072"/>
    <w:pPr>
      <w:widowControl/>
      <w:autoSpaceDE/>
      <w:autoSpaceDN/>
    </w:pPr>
    <w:rPr>
      <w:rFonts w:ascii="Tahoma" w:eastAsia="Times New Roman" w:hAnsi="Tahoma" w:cs="Tahoma"/>
      <w:sz w:val="16"/>
      <w:szCs w:val="16"/>
    </w:rPr>
  </w:style>
  <w:style w:type="character" w:customStyle="1" w:styleId="BalloonTextChar">
    <w:name w:val="Balloon Text Char"/>
    <w:basedOn w:val="DefaultParagraphFont"/>
    <w:link w:val="BalloonText"/>
    <w:rsid w:val="000D7072"/>
    <w:rPr>
      <w:rFonts w:ascii="Tahoma" w:eastAsia="Times New Roman" w:hAnsi="Tahoma" w:cs="Tahoma"/>
      <w:sz w:val="16"/>
      <w:szCs w:val="16"/>
    </w:rPr>
  </w:style>
  <w:style w:type="paragraph" w:customStyle="1" w:styleId="ColorfulShading-Accent11">
    <w:name w:val="Colorful Shading - Accent 11"/>
    <w:hidden/>
    <w:uiPriority w:val="71"/>
    <w:rsid w:val="000D7072"/>
    <w:pPr>
      <w:widowControl/>
      <w:autoSpaceDE/>
      <w:autoSpaceDN/>
    </w:pPr>
    <w:rPr>
      <w:rFonts w:ascii="Times New Roman" w:eastAsia="Times New Roman" w:hAnsi="Times New Roman" w:cs="Times New Roman"/>
      <w:sz w:val="24"/>
      <w:szCs w:val="24"/>
    </w:rPr>
  </w:style>
  <w:style w:type="paragraph" w:customStyle="1" w:styleId="Default">
    <w:name w:val="Default"/>
    <w:rsid w:val="000D7072"/>
    <w:pPr>
      <w:widowControl/>
      <w:adjustRightInd w:val="0"/>
    </w:pPr>
    <w:rPr>
      <w:rFonts w:ascii="Garamond" w:eastAsia="Times New Roman" w:hAnsi="Garamond" w:cs="Garamond"/>
      <w:color w:val="000000"/>
      <w:sz w:val="24"/>
      <w:szCs w:val="24"/>
    </w:rPr>
  </w:style>
  <w:style w:type="paragraph" w:styleId="EndnoteText">
    <w:name w:val="endnote text"/>
    <w:basedOn w:val="Normal"/>
    <w:link w:val="EndnoteTextChar"/>
    <w:rsid w:val="000D7072"/>
    <w:pPr>
      <w:widowControl/>
      <w:autoSpaceDE/>
      <w:autoSpaceDN/>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0D7072"/>
    <w:rPr>
      <w:rFonts w:ascii="Times New Roman" w:eastAsia="Times New Roman" w:hAnsi="Times New Roman" w:cs="Times New Roman"/>
      <w:sz w:val="20"/>
      <w:szCs w:val="20"/>
    </w:rPr>
  </w:style>
  <w:style w:type="character" w:styleId="EndnoteReference">
    <w:name w:val="endnote reference"/>
    <w:rsid w:val="000D7072"/>
    <w:rPr>
      <w:vertAlign w:val="superscript"/>
    </w:rPr>
  </w:style>
  <w:style w:type="table" w:customStyle="1" w:styleId="Calendar3">
    <w:name w:val="Calendar 3"/>
    <w:basedOn w:val="TableNormal"/>
    <w:uiPriority w:val="99"/>
    <w:qFormat/>
    <w:rsid w:val="000D7072"/>
    <w:pPr>
      <w:widowControl/>
      <w:autoSpaceDE/>
      <w:autoSpaceDN/>
      <w:jc w:val="right"/>
    </w:pPr>
    <w:rPr>
      <w:rFonts w:ascii="Cambria" w:eastAsia="MS Mincho" w:hAnsi="Cambria" w:cs="Arial"/>
      <w:color w:val="000000"/>
      <w:lang w:eastAsia="ja-JP"/>
    </w:rPr>
    <w:tblPr/>
    <w:tblStylePr w:type="firstRow">
      <w:pPr>
        <w:wordWrap/>
        <w:jc w:val="right"/>
      </w:pPr>
      <w:rPr>
        <w:color w:val="4F81BD"/>
        <w:sz w:val="44"/>
      </w:rPr>
    </w:tblStylePr>
    <w:tblStylePr w:type="firstCol">
      <w:rPr>
        <w:color w:val="4F81BD"/>
      </w:rPr>
    </w:tblStylePr>
    <w:tblStylePr w:type="lastCol">
      <w:rPr>
        <w:color w:val="4F81BD"/>
      </w:rPr>
    </w:tblStylePr>
  </w:style>
  <w:style w:type="table" w:styleId="TableGrid">
    <w:name w:val="Table Grid"/>
    <w:basedOn w:val="TableNormal"/>
    <w:rsid w:val="000D7072"/>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D7072"/>
    <w:rPr>
      <w:rFonts w:ascii="Palatino Linotype" w:eastAsia="Palatino Linotype" w:hAnsi="Palatino Linotype" w:cs="Palatino Linotype"/>
      <w:b/>
      <w:bCs/>
      <w:sz w:val="24"/>
      <w:szCs w:val="24"/>
      <w:u w:val="single" w:color="000000"/>
    </w:rPr>
  </w:style>
  <w:style w:type="character" w:customStyle="1" w:styleId="Heading2Char">
    <w:name w:val="Heading 2 Char"/>
    <w:basedOn w:val="DefaultParagraphFont"/>
    <w:link w:val="Heading2"/>
    <w:rsid w:val="000D7072"/>
    <w:rPr>
      <w:rFonts w:ascii="Palatino Linotype" w:eastAsia="Palatino Linotype" w:hAnsi="Palatino Linotype" w:cs="Palatino Linotype"/>
      <w:b/>
      <w:bCs/>
      <w:sz w:val="24"/>
      <w:szCs w:val="24"/>
    </w:rPr>
  </w:style>
  <w:style w:type="character" w:styleId="FollowedHyperlink">
    <w:name w:val="FollowedHyperlink"/>
    <w:basedOn w:val="DefaultParagraphFont"/>
    <w:rsid w:val="000D7072"/>
    <w:rPr>
      <w:color w:val="800080" w:themeColor="followedHyperlink"/>
      <w:u w:val="single"/>
    </w:rPr>
  </w:style>
  <w:style w:type="character" w:styleId="UnresolvedMention">
    <w:name w:val="Unresolved Mention"/>
    <w:basedOn w:val="DefaultParagraphFont"/>
    <w:uiPriority w:val="99"/>
    <w:semiHidden/>
    <w:unhideWhenUsed/>
    <w:rsid w:val="000D7072"/>
    <w:rPr>
      <w:color w:val="605E5C"/>
      <w:shd w:val="clear" w:color="auto" w:fill="E1DFDD"/>
    </w:rPr>
  </w:style>
  <w:style w:type="character" w:styleId="Mention">
    <w:name w:val="Mention"/>
    <w:basedOn w:val="DefaultParagraphFont"/>
    <w:uiPriority w:val="99"/>
    <w:unhideWhenUsed/>
    <w:rsid w:val="000D707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59037">
      <w:bodyDiv w:val="1"/>
      <w:marLeft w:val="0"/>
      <w:marRight w:val="0"/>
      <w:marTop w:val="0"/>
      <w:marBottom w:val="0"/>
      <w:divBdr>
        <w:top w:val="none" w:sz="0" w:space="0" w:color="auto"/>
        <w:left w:val="none" w:sz="0" w:space="0" w:color="auto"/>
        <w:bottom w:val="none" w:sz="0" w:space="0" w:color="auto"/>
        <w:right w:val="none" w:sz="0" w:space="0" w:color="auto"/>
      </w:divBdr>
      <w:divsChild>
        <w:div w:id="115491284">
          <w:marLeft w:val="0"/>
          <w:marRight w:val="0"/>
          <w:marTop w:val="0"/>
          <w:marBottom w:val="0"/>
          <w:divBdr>
            <w:top w:val="none" w:sz="0" w:space="0" w:color="3D3D3D"/>
            <w:left w:val="none" w:sz="0" w:space="0" w:color="3D3D3D"/>
            <w:bottom w:val="none" w:sz="0" w:space="0" w:color="3D3D3D"/>
            <w:right w:val="none" w:sz="0" w:space="0" w:color="3D3D3D"/>
          </w:divBdr>
          <w:divsChild>
            <w:div w:id="179918402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hyperlink" Target="http://www.cpuc.ca.gov/" TargetMode="External" Id="rId18" /><Relationship Type="http://schemas.openxmlformats.org/officeDocument/2006/relationships/header" Target="header6.xml" Id="rId26" /><Relationship Type="http://schemas.openxmlformats.org/officeDocument/2006/relationships/customXml" Target="../customXml/item3.xml" Id="rId3" /><Relationship Type="http://schemas.microsoft.com/office/2016/09/relationships/commentsIds" Target="commentsIds.xml" Id="rId21" /><Relationship Type="http://schemas.microsoft.com/office/2020/10/relationships/intelligence" Target="intelligence2.xml" Id="rId34"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footer" Target="footer4.xm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eader" Target="header7.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5.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hyperlink" Target="http://www.cpuc.ca.gov/PUC/documents/" TargetMode="External" Id="rId23" /><Relationship Type="http://schemas.openxmlformats.org/officeDocument/2006/relationships/image" Target="media/image1.jpeg" Id="rId28" /><Relationship Type="http://schemas.openxmlformats.org/officeDocument/2006/relationships/endnotes" Target="endnotes.xml" Id="rId10"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microsoft.com/office/2018/08/relationships/commentsExtensible" Target="commentsExtensible.xml" Id="rId22" /><Relationship Type="http://schemas.openxmlformats.org/officeDocument/2006/relationships/footer" Target="footer5.xml" Id="rId27" /><Relationship Type="http://schemas.openxmlformats.org/officeDocument/2006/relationships/footer" Target="footer6.xml" Id="rId30" /><Relationship Type="http://schemas.openxmlformats.org/officeDocument/2006/relationships/webSettings" Target="webSettings.xml" Id="rId8" /></Relationships>
</file>

<file path=word/_rels/footnotes.xml.rels><?xml version="1.0" encoding="UTF-8" standalone="yes"?>
<Relationships xmlns="http://schemas.openxmlformats.org/package/2006/relationships"><Relationship Id="rId3" Type="http://schemas.openxmlformats.org/officeDocument/2006/relationships/hyperlink" Target="https://wballiance.com/industry-report-reveals-33-plan-to-deploy-wi-fi-7-by-2024/" TargetMode="External"/><Relationship Id="rId7" Type="http://schemas.openxmlformats.org/officeDocument/2006/relationships/hyperlink" Target="https://www.cpuc.ca.gov/industries-and-topics/internet-and-phone/california-advanced-services-fund/casf-public-housing-account" TargetMode="External"/><Relationship Id="rId2" Type="http://schemas.openxmlformats.org/officeDocument/2006/relationships/hyperlink" Target="https://www.wi-fi.org/discover-wi-fi/wi-fi-certified-6" TargetMode="External"/><Relationship Id="rId1" Type="http://schemas.openxmlformats.org/officeDocument/2006/relationships/hyperlink" Target="https://en.wikipedia.org/wiki/Star_network" TargetMode="External"/><Relationship Id="rId6" Type="http://schemas.openxmlformats.org/officeDocument/2006/relationships/hyperlink" Target="https://www.whitehouse.gov/cea/written-materials/2021/07/06/historical-parallels-to-todays-inflationary-episode/" TargetMode="External"/><Relationship Id="rId5" Type="http://schemas.openxmlformats.org/officeDocument/2006/relationships/hyperlink" Target="https://www.reuters.com/business/global-inflation-stay-stubbornly-high-wrecked-supply-chains-persist-2022-04-28/" TargetMode="External"/><Relationship Id="rId4" Type="http://schemas.openxmlformats.org/officeDocument/2006/relationships/hyperlink" Target="https://research.stlouisfed.org/publications/review/2022/02/07/global-supply-chain-disruptions-and-inflation-during-the-covid-19-pandem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702EFE806E8844CA82F152E15806D4C" ma:contentTypeVersion="4" ma:contentTypeDescription="Create a new document." ma:contentTypeScope="" ma:versionID="3eeac93f8a8a088e5d0d609fa7fbf541">
  <xsd:schema xmlns:xsd="http://www.w3.org/2001/XMLSchema" xmlns:xs="http://www.w3.org/2001/XMLSchema" xmlns:p="http://schemas.microsoft.com/office/2006/metadata/properties" xmlns:ns2="800e16e8-2109-40d9-9dc6-5aa32e4de434" xmlns:ns3="0c4a6f31-d38c-4f21-8422-a05a02115431" targetNamespace="http://schemas.microsoft.com/office/2006/metadata/properties" ma:root="true" ma:fieldsID="faca7db1f84f62630f615cf320bc04fd" ns2:_="" ns3:_="">
    <xsd:import namespace="800e16e8-2109-40d9-9dc6-5aa32e4de434"/>
    <xsd:import namespace="0c4a6f31-d38c-4f21-8422-a05a021154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e16e8-2109-40d9-9dc6-5aa32e4de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4a6f31-d38c-4f21-8422-a05a021154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508597-53CD-41B6-90D0-5F8D0EB77A65}">
  <ds:schemaRefs>
    <ds:schemaRef ds:uri="http://schemas.microsoft.com/sharepoint/v3/contenttype/forms"/>
  </ds:schemaRefs>
</ds:datastoreItem>
</file>

<file path=customXml/itemProps2.xml><?xml version="1.0" encoding="utf-8"?>
<ds:datastoreItem xmlns:ds="http://schemas.openxmlformats.org/officeDocument/2006/customXml" ds:itemID="{790872A9-EECA-401E-9CF2-ED28C5755D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520036-1CFB-4D7D-B2CE-62C082E2D9F2}">
  <ds:schemaRefs>
    <ds:schemaRef ds:uri="http://schemas.openxmlformats.org/officeDocument/2006/bibliography"/>
  </ds:schemaRefs>
</ds:datastoreItem>
</file>

<file path=customXml/itemProps4.xml><?xml version="1.0" encoding="utf-8"?>
<ds:datastoreItem xmlns:ds="http://schemas.openxmlformats.org/officeDocument/2006/customXml" ds:itemID="{1E266051-B6C4-45A5-A7E9-EAF5FFBA4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e16e8-2109-40d9-9dc6-5aa32e4de434"/>
    <ds:schemaRef ds:uri="0c4a6f31-d38c-4f21-8422-a05a02115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16</ap:Pages>
  <ap:Words>4245</ap:Words>
  <ap:Characters>24197</ap:Characters>
  <ap:Application>Microsoft Office Word</ap:Application>
  <ap:DocSecurity>0</ap:DocSecurity>
  <ap:Lines>201</ap:Lines>
  <ap:Paragraphs>56</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28386</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2023-09-21T20:37:21Z</dcterms:created>
  <dcterms:modified xsi:type="dcterms:W3CDTF">2023-09-21T20:37:21Z</dcterms:modified>
</cp:coreProperties>
</file>