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D6D7D" w:rsidR="00CF17DE" w:rsidP="007963D3" w:rsidRDefault="00CF17DE" w14:paraId="591F1A0C" w14:textId="77777777">
      <w:pPr>
        <w:pStyle w:val="titlebar"/>
        <w:rPr>
          <w:szCs w:val="26"/>
        </w:rPr>
      </w:pPr>
      <w:r w:rsidRPr="00AD6D7D">
        <w:rPr>
          <w:szCs w:val="26"/>
        </w:rPr>
        <w:t>PUBLIC UTILITIES COMMISSION OF THE STATE OF CALIFORNIA</w:t>
      </w:r>
    </w:p>
    <w:p w:rsidR="00CF17DE" w:rsidRDefault="00CF17DE" w14:paraId="193721A4" w14:textId="77777777">
      <w:pPr>
        <w:suppressAutoHyphens/>
      </w:pPr>
    </w:p>
    <w:p w:rsidR="00B913F1" w:rsidP="006043F5" w:rsidRDefault="00F05BF6" w14:paraId="22A95224" w14:textId="5C7FDED1">
      <w:pPr>
        <w:tabs>
          <w:tab w:val="right" w:pos="8820"/>
        </w:tabs>
        <w:rPr>
          <w:rFonts w:ascii="Palatino Linotype" w:hAnsi="Palatino Linotype"/>
          <w:b/>
          <w:bCs/>
          <w:sz w:val="24"/>
          <w:szCs w:val="24"/>
        </w:rPr>
      </w:pPr>
      <w:r>
        <w:rPr>
          <w:rFonts w:ascii="Palatino Linotype" w:hAnsi="Palatino Linotype"/>
          <w:b/>
          <w:bCs/>
          <w:sz w:val="24"/>
          <w:szCs w:val="24"/>
        </w:rPr>
        <w:tab/>
      </w:r>
      <w:r w:rsidRPr="12228140" w:rsidR="246D29ED">
        <w:rPr>
          <w:rFonts w:ascii="Palatino Linotype" w:hAnsi="Palatino Linotype"/>
          <w:b/>
          <w:bCs/>
          <w:sz w:val="24"/>
          <w:szCs w:val="24"/>
        </w:rPr>
        <w:t xml:space="preserve"> </w:t>
      </w:r>
    </w:p>
    <w:p w:rsidR="00CF17DE" w:rsidP="00AD6D7D" w:rsidRDefault="3D0BC5E1" w14:paraId="54C10638" w14:textId="77777777">
      <w:pPr>
        <w:tabs>
          <w:tab w:val="right" w:pos="8820"/>
        </w:tabs>
        <w:rPr>
          <w:rFonts w:ascii="Palatino Linotype" w:hAnsi="Palatino Linotype" w:eastAsia="Palatino Linotype"/>
          <w:b/>
          <w:bCs/>
          <w:sz w:val="24"/>
          <w:szCs w:val="24"/>
        </w:rPr>
      </w:pPr>
      <w:r w:rsidRPr="42CF5036">
        <w:rPr>
          <w:rFonts w:ascii="Palatino Linotype" w:hAnsi="Palatino Linotype" w:eastAsia="Palatino Linotype"/>
          <w:b/>
          <w:bCs/>
          <w:sz w:val="24"/>
          <w:szCs w:val="24"/>
        </w:rPr>
        <w:t>ENERGY DIVISION</w:t>
      </w:r>
      <w:r>
        <w:tab/>
      </w:r>
      <w:r w:rsidRPr="42CF5036" w:rsidR="4284FEAB">
        <w:rPr>
          <w:rFonts w:ascii="Palatino Linotype" w:hAnsi="Palatino Linotype" w:eastAsia="Palatino Linotype"/>
          <w:b/>
          <w:bCs/>
          <w:sz w:val="24"/>
          <w:szCs w:val="24"/>
        </w:rPr>
        <w:t>RESOLUTION E-</w:t>
      </w:r>
      <w:r w:rsidRPr="42CF5036" w:rsidR="4154659F">
        <w:rPr>
          <w:rFonts w:ascii="Palatino Linotype" w:hAnsi="Palatino Linotype" w:eastAsia="Palatino Linotype"/>
          <w:b/>
          <w:bCs/>
          <w:sz w:val="24"/>
          <w:szCs w:val="24"/>
        </w:rPr>
        <w:t>5287</w:t>
      </w:r>
    </w:p>
    <w:p w:rsidR="2FB11BD5" w:rsidP="00AD6D7D" w:rsidRDefault="0057678A" w14:paraId="0C1875B4" w14:textId="77777777">
      <w:pPr>
        <w:tabs>
          <w:tab w:val="right" w:pos="8820"/>
        </w:tabs>
        <w:rPr>
          <w:rFonts w:ascii="Palatino Linotype" w:hAnsi="Palatino Linotype"/>
          <w:b/>
          <w:bCs/>
          <w:sz w:val="24"/>
          <w:szCs w:val="24"/>
        </w:rPr>
      </w:pPr>
      <w:r>
        <w:rPr>
          <w:rFonts w:ascii="Palatino Linotype" w:hAnsi="Palatino Linotype"/>
          <w:b/>
          <w:bCs/>
          <w:sz w:val="24"/>
          <w:szCs w:val="24"/>
        </w:rPr>
        <w:tab/>
      </w:r>
      <w:r w:rsidRPr="12228140" w:rsidR="2FB11BD5">
        <w:rPr>
          <w:rFonts w:ascii="Palatino Linotype" w:hAnsi="Palatino Linotype"/>
          <w:b/>
          <w:bCs/>
          <w:sz w:val="24"/>
          <w:szCs w:val="24"/>
        </w:rPr>
        <w:t>September 21, 2023</w:t>
      </w:r>
    </w:p>
    <w:p w:rsidRPr="00D865A9" w:rsidR="00CF17DE" w:rsidRDefault="00CF17DE" w14:paraId="21682853" w14:textId="77777777">
      <w:pPr>
        <w:tabs>
          <w:tab w:val="right" w:pos="8910"/>
        </w:tabs>
        <w:ind w:left="1440" w:firstLine="720"/>
        <w:rPr>
          <w:rFonts w:ascii="Palatino Linotype" w:hAnsi="Palatino Linotype"/>
          <w:b/>
          <w:sz w:val="24"/>
          <w:szCs w:val="24"/>
        </w:rPr>
      </w:pPr>
      <w:r w:rsidRPr="00D865A9">
        <w:rPr>
          <w:rFonts w:ascii="Palatino Linotype" w:hAnsi="Palatino Linotype"/>
          <w:b/>
          <w:sz w:val="24"/>
          <w:szCs w:val="24"/>
        </w:rPr>
        <w:tab/>
      </w:r>
    </w:p>
    <w:p w:rsidR="00CF17DE" w:rsidRDefault="00CF17DE" w14:paraId="33DFB8E4" w14:textId="77777777">
      <w:pPr>
        <w:tabs>
          <w:tab w:val="right" w:pos="8910"/>
        </w:tabs>
        <w:ind w:left="1440" w:firstLine="720"/>
        <w:rPr>
          <w:b/>
          <w:sz w:val="24"/>
        </w:rPr>
      </w:pPr>
    </w:p>
    <w:p w:rsidR="00CF17DE" w:rsidRDefault="00CF17DE" w14:paraId="28C4DA45" w14:textId="77777777">
      <w:pPr>
        <w:pStyle w:val="mainex"/>
        <w:rPr>
          <w:u w:val="single"/>
        </w:rPr>
      </w:pPr>
      <w:bookmarkStart w:name="_Ref404993683" w:id="0"/>
      <w:r w:rsidRPr="4BA7214B">
        <w:rPr>
          <w:u w:val="single"/>
        </w:rPr>
        <w:t>RESOLUTION</w:t>
      </w:r>
    </w:p>
    <w:p w:rsidR="00CF17DE" w:rsidP="4BA7214B" w:rsidRDefault="00CF17DE" w14:paraId="22F661EF" w14:textId="77777777">
      <w:pPr>
        <w:rPr>
          <w:rFonts w:eastAsia="Palatino Linotype"/>
        </w:rPr>
      </w:pPr>
    </w:p>
    <w:p w:rsidR="000C50E3" w:rsidP="00B927B5" w:rsidRDefault="0EB1000C" w14:paraId="6117D1A2" w14:textId="77777777">
      <w:pPr>
        <w:pStyle w:val="Res-Caption"/>
        <w:rPr>
          <w:rFonts w:ascii="Palatino Linotype" w:hAnsi="Palatino Linotype"/>
          <w:sz w:val="24"/>
          <w:szCs w:val="24"/>
        </w:rPr>
      </w:pPr>
      <w:r w:rsidRPr="12228140">
        <w:rPr>
          <w:rFonts w:ascii="Palatino Linotype" w:hAnsi="Palatino Linotype"/>
          <w:sz w:val="24"/>
          <w:szCs w:val="24"/>
        </w:rPr>
        <w:t>Resolution E-</w:t>
      </w:r>
      <w:r w:rsidRPr="12228140" w:rsidR="264A41D2">
        <w:rPr>
          <w:rFonts w:ascii="Palatino Linotype" w:hAnsi="Palatino Linotype"/>
          <w:sz w:val="24"/>
          <w:szCs w:val="24"/>
        </w:rPr>
        <w:t>5287</w:t>
      </w:r>
      <w:r w:rsidRPr="12228140">
        <w:rPr>
          <w:rFonts w:ascii="Palatino Linotype" w:hAnsi="Palatino Linotype"/>
          <w:sz w:val="24"/>
          <w:szCs w:val="24"/>
        </w:rPr>
        <w:t xml:space="preserve">.  </w:t>
      </w:r>
      <w:r w:rsidRPr="12228140" w:rsidR="0B52FDC1">
        <w:rPr>
          <w:rFonts w:ascii="Palatino Linotype" w:hAnsi="Palatino Linotype"/>
          <w:sz w:val="24"/>
          <w:szCs w:val="24"/>
        </w:rPr>
        <w:t xml:space="preserve">Southern California Edison requests Z-factor recovery of </w:t>
      </w:r>
      <w:r w:rsidRPr="12228140" w:rsidR="142E47D7">
        <w:rPr>
          <w:rFonts w:ascii="Palatino Linotype" w:hAnsi="Palatino Linotype"/>
          <w:sz w:val="24"/>
          <w:szCs w:val="24"/>
        </w:rPr>
        <w:t>incremental 2020 vegetation management costs</w:t>
      </w:r>
      <w:r w:rsidRPr="12228140" w:rsidR="731CDA08">
        <w:rPr>
          <w:rFonts w:ascii="Palatino Linotype" w:hAnsi="Palatino Linotype"/>
          <w:sz w:val="24"/>
          <w:szCs w:val="24"/>
        </w:rPr>
        <w:t>.</w:t>
      </w:r>
    </w:p>
    <w:p w:rsidRPr="00D865A9" w:rsidR="00801D70" w:rsidP="4BA7214B" w:rsidRDefault="00801D70" w14:paraId="69D21C73" w14:textId="77777777">
      <w:pPr>
        <w:pStyle w:val="Res-Caption"/>
        <w:rPr>
          <w:rFonts w:ascii="Palatino Linotype" w:hAnsi="Palatino Linotype" w:eastAsia="Palatino Linotype"/>
          <w:sz w:val="24"/>
          <w:szCs w:val="24"/>
        </w:rPr>
      </w:pPr>
    </w:p>
    <w:p w:rsidRPr="00D865A9" w:rsidR="00DF35CC" w:rsidP="4BA7214B" w:rsidRDefault="00801D70" w14:paraId="3C9A577F" w14:textId="77777777">
      <w:pPr>
        <w:pStyle w:val="Res-Caption"/>
        <w:rPr>
          <w:rFonts w:ascii="Palatino Linotype" w:hAnsi="Palatino Linotype" w:eastAsia="Palatino Linotype"/>
          <w:sz w:val="24"/>
          <w:szCs w:val="24"/>
        </w:rPr>
      </w:pPr>
      <w:r w:rsidRPr="00D865A9">
        <w:rPr>
          <w:rFonts w:ascii="Palatino Linotype" w:hAnsi="Palatino Linotype" w:eastAsia="Palatino Linotype"/>
          <w:sz w:val="24"/>
          <w:szCs w:val="24"/>
        </w:rPr>
        <w:t>PROPOSED OUTCOME:</w:t>
      </w:r>
      <w:r w:rsidRPr="00D865A9" w:rsidR="00142FB8">
        <w:rPr>
          <w:rFonts w:ascii="Palatino Linotype" w:hAnsi="Palatino Linotype" w:eastAsia="Palatino Linotype"/>
          <w:sz w:val="24"/>
          <w:szCs w:val="24"/>
        </w:rPr>
        <w:t xml:space="preserve"> </w:t>
      </w:r>
    </w:p>
    <w:p w:rsidRPr="00D865A9" w:rsidR="00F51F8B" w:rsidP="00646405" w:rsidRDefault="419EEDB3" w14:paraId="081B7650" w14:textId="77777777">
      <w:pPr>
        <w:pStyle w:val="Res-Caption"/>
        <w:numPr>
          <w:ilvl w:val="0"/>
          <w:numId w:val="8"/>
        </w:numPr>
        <w:rPr>
          <w:rFonts w:ascii="Palatino Linotype" w:hAnsi="Palatino Linotype"/>
          <w:sz w:val="24"/>
          <w:szCs w:val="24"/>
        </w:rPr>
      </w:pPr>
      <w:r w:rsidRPr="5FDFFF45">
        <w:rPr>
          <w:rFonts w:ascii="Palatino Linotype" w:hAnsi="Palatino Linotype"/>
          <w:sz w:val="24"/>
          <w:szCs w:val="24"/>
        </w:rPr>
        <w:t xml:space="preserve">This resolution approves Southern California Edison’s (SCE) request in Advice Letter 4881-E and allows </w:t>
      </w:r>
      <w:r w:rsidRPr="5FDFFF45" w:rsidR="23A913C9">
        <w:rPr>
          <w:rFonts w:ascii="Palatino Linotype" w:hAnsi="Palatino Linotype"/>
          <w:sz w:val="24"/>
          <w:szCs w:val="24"/>
        </w:rPr>
        <w:t xml:space="preserve">SCE to recover </w:t>
      </w:r>
      <w:r w:rsidR="0057678A">
        <w:rPr>
          <w:rFonts w:ascii="Palatino Linotype" w:hAnsi="Palatino Linotype"/>
          <w:sz w:val="24"/>
          <w:szCs w:val="24"/>
        </w:rPr>
        <w:br/>
      </w:r>
      <w:r w:rsidRPr="5FDFFF45" w:rsidR="074A86D3">
        <w:rPr>
          <w:rFonts w:ascii="Palatino Linotype" w:hAnsi="Palatino Linotype"/>
          <w:sz w:val="24"/>
          <w:szCs w:val="24"/>
        </w:rPr>
        <w:t>$3</w:t>
      </w:r>
      <w:r w:rsidRPr="5FDFFF45" w:rsidR="38D3B8C6">
        <w:rPr>
          <w:rFonts w:ascii="Palatino Linotype" w:hAnsi="Palatino Linotype"/>
          <w:sz w:val="24"/>
          <w:szCs w:val="24"/>
        </w:rPr>
        <w:t>5</w:t>
      </w:r>
      <w:r w:rsidRPr="5FDFFF45" w:rsidR="074A86D3">
        <w:rPr>
          <w:rFonts w:ascii="Palatino Linotype" w:hAnsi="Palatino Linotype"/>
          <w:sz w:val="24"/>
          <w:szCs w:val="24"/>
        </w:rPr>
        <w:t>.</w:t>
      </w:r>
      <w:r w:rsidRPr="5FDFFF45" w:rsidR="7BC83DA6">
        <w:rPr>
          <w:rFonts w:ascii="Palatino Linotype" w:hAnsi="Palatino Linotype"/>
          <w:sz w:val="24"/>
          <w:szCs w:val="24"/>
        </w:rPr>
        <w:t>4</w:t>
      </w:r>
      <w:r w:rsidRPr="5FDFFF45" w:rsidR="074A86D3">
        <w:rPr>
          <w:rFonts w:ascii="Palatino Linotype" w:hAnsi="Palatino Linotype"/>
          <w:sz w:val="24"/>
          <w:szCs w:val="24"/>
        </w:rPr>
        <w:t xml:space="preserve"> million </w:t>
      </w:r>
      <w:r w:rsidRPr="5FDFFF45" w:rsidR="23A913C9">
        <w:rPr>
          <w:rFonts w:ascii="Palatino Linotype" w:hAnsi="Palatino Linotype"/>
          <w:sz w:val="24"/>
          <w:szCs w:val="24"/>
        </w:rPr>
        <w:t>in incremental vegetation management expenses.</w:t>
      </w:r>
    </w:p>
    <w:p w:rsidR="12228140" w:rsidP="12228140" w:rsidRDefault="12228140" w14:paraId="20968001" w14:textId="77777777">
      <w:pPr>
        <w:pStyle w:val="Res-Caption"/>
        <w:ind w:left="360"/>
        <w:rPr>
          <w:szCs w:val="26"/>
        </w:rPr>
      </w:pPr>
    </w:p>
    <w:p w:rsidR="00A55BCE" w:rsidP="00F116CA" w:rsidRDefault="00F51F8B" w14:paraId="48B96EE5" w14:textId="77777777">
      <w:pPr>
        <w:pStyle w:val="Res-Caption"/>
        <w:rPr>
          <w:rFonts w:ascii="Palatino Linotype" w:hAnsi="Palatino Linotype" w:eastAsia="Palatino Linotype"/>
          <w:sz w:val="24"/>
          <w:szCs w:val="24"/>
        </w:rPr>
      </w:pPr>
      <w:r w:rsidRPr="00A55BCE">
        <w:rPr>
          <w:rFonts w:ascii="Palatino Linotype" w:hAnsi="Palatino Linotype" w:eastAsia="Palatino Linotype"/>
          <w:sz w:val="24"/>
          <w:szCs w:val="24"/>
        </w:rPr>
        <w:t>SAFETY CONSIDERATIONS:</w:t>
      </w:r>
    </w:p>
    <w:p w:rsidRPr="00F116CA" w:rsidR="00F116CA" w:rsidP="00F116CA" w:rsidRDefault="00F116CA" w14:paraId="0CE01A71" w14:textId="77777777">
      <w:pPr>
        <w:pStyle w:val="ListParagraph"/>
        <w:numPr>
          <w:ilvl w:val="0"/>
          <w:numId w:val="8"/>
        </w:numPr>
        <w:rPr>
          <w:rFonts w:ascii="Palatino Linotype" w:hAnsi="Palatino Linotype" w:eastAsia="Palatino Linotype"/>
          <w:sz w:val="24"/>
          <w:szCs w:val="24"/>
        </w:rPr>
      </w:pPr>
      <w:r w:rsidRPr="00F116CA">
        <w:rPr>
          <w:rFonts w:ascii="Palatino Linotype" w:hAnsi="Palatino Linotype" w:eastAsia="Palatino Linotype"/>
          <w:sz w:val="24"/>
          <w:szCs w:val="24"/>
        </w:rPr>
        <w:t>There are no safety considerations associated with this resolution.</w:t>
      </w:r>
    </w:p>
    <w:p w:rsidRPr="00A55BCE" w:rsidR="00A55BCE" w:rsidP="00F116CA" w:rsidRDefault="00A55BCE" w14:paraId="0C630CF6" w14:textId="77777777">
      <w:pPr>
        <w:pStyle w:val="Res-Caption"/>
        <w:ind w:left="1440"/>
        <w:rPr>
          <w:rFonts w:ascii="Palatino Linotype" w:hAnsi="Palatino Linotype" w:eastAsia="Palatino Linotype"/>
          <w:sz w:val="24"/>
          <w:szCs w:val="24"/>
        </w:rPr>
      </w:pPr>
    </w:p>
    <w:p w:rsidRPr="00D865A9" w:rsidR="00801D70" w:rsidP="4BA7214B" w:rsidRDefault="24C0E305" w14:paraId="4EF4FDC7" w14:textId="77777777">
      <w:pPr>
        <w:pStyle w:val="Res-Caption"/>
        <w:rPr>
          <w:rFonts w:ascii="Palatino Linotype" w:hAnsi="Palatino Linotype" w:eastAsia="Palatino Linotype"/>
          <w:sz w:val="24"/>
          <w:szCs w:val="24"/>
        </w:rPr>
      </w:pPr>
      <w:r w:rsidRPr="00A55BCE">
        <w:rPr>
          <w:rFonts w:ascii="Palatino Linotype" w:hAnsi="Palatino Linotype" w:eastAsia="Palatino Linotype"/>
          <w:sz w:val="24"/>
          <w:szCs w:val="24"/>
        </w:rPr>
        <w:t>ESTIMATED COST:</w:t>
      </w:r>
      <w:r w:rsidRPr="5FDFFF45">
        <w:rPr>
          <w:rFonts w:ascii="Palatino Linotype" w:hAnsi="Palatino Linotype" w:eastAsia="Palatino Linotype"/>
          <w:sz w:val="24"/>
          <w:szCs w:val="24"/>
        </w:rPr>
        <w:t xml:space="preserve">  </w:t>
      </w:r>
    </w:p>
    <w:p w:rsidRPr="00D865A9" w:rsidR="000C50E3" w:rsidP="00646405" w:rsidRDefault="223B6A41" w14:paraId="27B88EEA" w14:textId="77777777">
      <w:pPr>
        <w:pStyle w:val="Res-Caption"/>
        <w:numPr>
          <w:ilvl w:val="0"/>
          <w:numId w:val="7"/>
        </w:numPr>
        <w:spacing w:line="259" w:lineRule="auto"/>
        <w:rPr>
          <w:szCs w:val="26"/>
        </w:rPr>
      </w:pPr>
      <w:r w:rsidRPr="5FDFFF45">
        <w:rPr>
          <w:rFonts w:ascii="Palatino Linotype" w:hAnsi="Palatino Linotype"/>
          <w:sz w:val="24"/>
          <w:szCs w:val="24"/>
        </w:rPr>
        <w:t>This resolution approves recovery of approximately $3</w:t>
      </w:r>
      <w:r w:rsidRPr="5FDFFF45" w:rsidR="7D7FCDF8">
        <w:rPr>
          <w:rFonts w:ascii="Palatino Linotype" w:hAnsi="Palatino Linotype"/>
          <w:sz w:val="24"/>
          <w:szCs w:val="24"/>
        </w:rPr>
        <w:t>5</w:t>
      </w:r>
      <w:r w:rsidRPr="5FDFFF45">
        <w:rPr>
          <w:rFonts w:ascii="Palatino Linotype" w:hAnsi="Palatino Linotype"/>
          <w:sz w:val="24"/>
          <w:szCs w:val="24"/>
        </w:rPr>
        <w:t>.</w:t>
      </w:r>
      <w:r w:rsidRPr="5FDFFF45" w:rsidR="44D1CB10">
        <w:rPr>
          <w:rFonts w:ascii="Palatino Linotype" w:hAnsi="Palatino Linotype"/>
          <w:sz w:val="24"/>
          <w:szCs w:val="24"/>
        </w:rPr>
        <w:t>4</w:t>
      </w:r>
      <w:r w:rsidRPr="5FDFFF45">
        <w:rPr>
          <w:rFonts w:ascii="Palatino Linotype" w:hAnsi="Palatino Linotype"/>
          <w:sz w:val="24"/>
          <w:szCs w:val="24"/>
        </w:rPr>
        <w:t xml:space="preserve"> million.</w:t>
      </w:r>
    </w:p>
    <w:p w:rsidRPr="00D865A9" w:rsidR="000C50E3" w:rsidP="000C50E3" w:rsidRDefault="000C50E3" w14:paraId="6E4F75C1" w14:textId="77777777">
      <w:pPr>
        <w:pStyle w:val="Res-Caption"/>
        <w:ind w:left="1440"/>
        <w:rPr>
          <w:rFonts w:ascii="Palatino Linotype" w:hAnsi="Palatino Linotype"/>
          <w:sz w:val="24"/>
          <w:szCs w:val="24"/>
        </w:rPr>
      </w:pPr>
    </w:p>
    <w:p w:rsidRPr="00D865A9" w:rsidR="00CF17DE" w:rsidP="4BA7214B" w:rsidRDefault="00CF17DE" w14:paraId="796569A4" w14:textId="77777777">
      <w:pPr>
        <w:pStyle w:val="Res-Caption"/>
        <w:rPr>
          <w:rFonts w:ascii="Palatino Linotype" w:hAnsi="Palatino Linotype" w:eastAsia="Palatino Linotype"/>
          <w:sz w:val="24"/>
          <w:szCs w:val="24"/>
        </w:rPr>
      </w:pPr>
    </w:p>
    <w:p w:rsidRPr="00D865A9" w:rsidR="00CF17DE" w:rsidP="4BA7214B" w:rsidRDefault="4284FEAB" w14:paraId="4292B496" w14:textId="77777777">
      <w:pPr>
        <w:pStyle w:val="Res-Caption"/>
        <w:rPr>
          <w:rFonts w:ascii="Palatino Linotype" w:hAnsi="Palatino Linotype" w:eastAsia="Palatino Linotype"/>
          <w:sz w:val="24"/>
          <w:szCs w:val="24"/>
        </w:rPr>
      </w:pPr>
      <w:r w:rsidRPr="635534BE">
        <w:rPr>
          <w:rFonts w:ascii="Palatino Linotype" w:hAnsi="Palatino Linotype" w:eastAsia="Palatino Linotype"/>
          <w:sz w:val="24"/>
          <w:szCs w:val="24"/>
        </w:rPr>
        <w:t xml:space="preserve">By Advice Letter </w:t>
      </w:r>
      <w:r w:rsidRPr="635534BE" w:rsidR="4651C711">
        <w:rPr>
          <w:rFonts w:ascii="Palatino Linotype" w:hAnsi="Palatino Linotype" w:eastAsia="Palatino Linotype"/>
          <w:sz w:val="24"/>
          <w:szCs w:val="24"/>
        </w:rPr>
        <w:t>4881</w:t>
      </w:r>
      <w:r w:rsidRPr="635534BE" w:rsidR="4D71CB00">
        <w:rPr>
          <w:rFonts w:ascii="Palatino Linotype" w:hAnsi="Palatino Linotype" w:eastAsia="Palatino Linotype"/>
          <w:sz w:val="24"/>
          <w:szCs w:val="24"/>
        </w:rPr>
        <w:t xml:space="preserve">-E, Filed on </w:t>
      </w:r>
      <w:r w:rsidRPr="635534BE" w:rsidR="388D1085">
        <w:rPr>
          <w:rFonts w:ascii="Palatino Linotype" w:hAnsi="Palatino Linotype" w:eastAsia="Palatino Linotype"/>
          <w:sz w:val="24"/>
          <w:szCs w:val="24"/>
        </w:rPr>
        <w:t>October 6, 2022</w:t>
      </w:r>
      <w:r w:rsidRPr="635534BE" w:rsidR="4D71CB00">
        <w:rPr>
          <w:rFonts w:ascii="Palatino Linotype" w:hAnsi="Palatino Linotype" w:eastAsia="Palatino Linotype"/>
          <w:sz w:val="24"/>
          <w:szCs w:val="24"/>
        </w:rPr>
        <w:t>.</w:t>
      </w:r>
    </w:p>
    <w:p w:rsidRPr="00D865A9" w:rsidR="00CF17DE" w:rsidP="4BA7214B" w:rsidRDefault="00CF17DE" w14:paraId="1126A9A6" w14:textId="77777777">
      <w:pPr>
        <w:jc w:val="center"/>
        <w:rPr>
          <w:rFonts w:ascii="Palatino Linotype" w:hAnsi="Palatino Linotype" w:eastAsia="Palatino Linotype"/>
          <w:sz w:val="24"/>
          <w:szCs w:val="24"/>
        </w:rPr>
      </w:pPr>
      <w:r w:rsidRPr="00D865A9">
        <w:rPr>
          <w:rFonts w:ascii="Palatino Linotype" w:hAnsi="Palatino Linotype" w:eastAsia="Palatino Linotype"/>
          <w:sz w:val="24"/>
          <w:szCs w:val="24"/>
        </w:rPr>
        <w:t>__________________________________________________________</w:t>
      </w:r>
    </w:p>
    <w:p w:rsidRPr="00D865A9" w:rsidR="00CF17DE" w:rsidP="4BA7214B" w:rsidRDefault="00CF17DE" w14:paraId="1346FFE7" w14:textId="77777777">
      <w:pPr>
        <w:rPr>
          <w:rFonts w:ascii="Palatino Linotype" w:hAnsi="Palatino Linotype" w:eastAsia="Palatino Linotype"/>
          <w:b/>
          <w:sz w:val="24"/>
          <w:szCs w:val="24"/>
        </w:rPr>
      </w:pPr>
    </w:p>
    <w:p w:rsidRPr="00D865A9" w:rsidR="00CF17DE" w:rsidP="4BA7214B" w:rsidRDefault="00CF17DE" w14:paraId="25D3F60B" w14:textId="77777777">
      <w:pPr>
        <w:pStyle w:val="Heading1"/>
        <w:rPr>
          <w:rFonts w:ascii="Palatino Linotype" w:hAnsi="Palatino Linotype" w:eastAsia="Palatino Linotype"/>
          <w:sz w:val="24"/>
          <w:szCs w:val="24"/>
        </w:rPr>
      </w:pPr>
      <w:r w:rsidRPr="00D865A9">
        <w:rPr>
          <w:rFonts w:ascii="Palatino Linotype" w:hAnsi="Palatino Linotype" w:eastAsia="Palatino Linotype"/>
          <w:sz w:val="24"/>
          <w:szCs w:val="24"/>
        </w:rPr>
        <w:t>Summary</w:t>
      </w:r>
      <w:bookmarkEnd w:id="0"/>
    </w:p>
    <w:p w:rsidR="4284FEAB" w:rsidP="12228140" w:rsidRDefault="4284FEAB" w14:paraId="4F92D584" w14:textId="77777777">
      <w:pPr>
        <w:rPr>
          <w:rFonts w:ascii="Palatino Linotype" w:hAnsi="Palatino Linotype"/>
          <w:sz w:val="24"/>
          <w:szCs w:val="24"/>
        </w:rPr>
      </w:pPr>
      <w:r w:rsidRPr="65CDA542">
        <w:rPr>
          <w:rFonts w:ascii="Palatino Linotype" w:hAnsi="Palatino Linotype"/>
          <w:sz w:val="24"/>
          <w:szCs w:val="24"/>
        </w:rPr>
        <w:t xml:space="preserve">This Resolution </w:t>
      </w:r>
      <w:r w:rsidRPr="65CDA542" w:rsidR="01E00F72">
        <w:rPr>
          <w:rFonts w:ascii="Palatino Linotype" w:hAnsi="Palatino Linotype"/>
          <w:sz w:val="24"/>
          <w:szCs w:val="24"/>
        </w:rPr>
        <w:t>approves</w:t>
      </w:r>
      <w:r w:rsidRPr="65CDA542" w:rsidR="4E5A7014">
        <w:rPr>
          <w:rFonts w:ascii="Palatino Linotype" w:hAnsi="Palatino Linotype"/>
          <w:sz w:val="24"/>
          <w:szCs w:val="24"/>
        </w:rPr>
        <w:t xml:space="preserve"> Southern California Edison (SCE)’s Advice Letter 4881-E requesting Z-factor treatment for </w:t>
      </w:r>
      <w:r w:rsidRPr="65CDA542" w:rsidR="59717471">
        <w:rPr>
          <w:rFonts w:ascii="Palatino Linotype" w:hAnsi="Palatino Linotype"/>
          <w:sz w:val="24"/>
          <w:szCs w:val="24"/>
        </w:rPr>
        <w:t xml:space="preserve">incremental </w:t>
      </w:r>
      <w:r w:rsidRPr="65CDA542" w:rsidR="707DCBCF">
        <w:rPr>
          <w:rFonts w:ascii="Palatino Linotype" w:hAnsi="Palatino Linotype"/>
          <w:sz w:val="24"/>
          <w:szCs w:val="24"/>
        </w:rPr>
        <w:t xml:space="preserve">2020 </w:t>
      </w:r>
      <w:r w:rsidRPr="65CDA542" w:rsidR="59717471">
        <w:rPr>
          <w:rFonts w:ascii="Palatino Linotype" w:hAnsi="Palatino Linotype"/>
          <w:sz w:val="24"/>
          <w:szCs w:val="24"/>
        </w:rPr>
        <w:t xml:space="preserve">labor costs for </w:t>
      </w:r>
      <w:r w:rsidRPr="65CDA542" w:rsidR="4E5A7014">
        <w:rPr>
          <w:rFonts w:ascii="Palatino Linotype" w:hAnsi="Palatino Linotype"/>
          <w:sz w:val="24"/>
          <w:szCs w:val="24"/>
        </w:rPr>
        <w:t xml:space="preserve">vegetation management </w:t>
      </w:r>
      <w:r w:rsidRPr="65CDA542" w:rsidR="12E8D245">
        <w:rPr>
          <w:rFonts w:ascii="Palatino Linotype" w:hAnsi="Palatino Linotype"/>
          <w:sz w:val="24"/>
          <w:szCs w:val="24"/>
        </w:rPr>
        <w:t xml:space="preserve">activities </w:t>
      </w:r>
      <w:r w:rsidRPr="65CDA542" w:rsidR="2C4804D3">
        <w:rPr>
          <w:rFonts w:ascii="Palatino Linotype" w:hAnsi="Palatino Linotype"/>
          <w:sz w:val="24"/>
          <w:szCs w:val="24"/>
        </w:rPr>
        <w:t>in the amount of $3</w:t>
      </w:r>
      <w:r w:rsidRPr="65CDA542" w:rsidR="0BDD30B9">
        <w:rPr>
          <w:rFonts w:ascii="Palatino Linotype" w:hAnsi="Palatino Linotype"/>
          <w:sz w:val="24"/>
          <w:szCs w:val="24"/>
        </w:rPr>
        <w:t>5</w:t>
      </w:r>
      <w:r w:rsidRPr="65CDA542" w:rsidR="2C4804D3">
        <w:rPr>
          <w:rFonts w:ascii="Palatino Linotype" w:hAnsi="Palatino Linotype"/>
          <w:sz w:val="24"/>
          <w:szCs w:val="24"/>
        </w:rPr>
        <w:t>.</w:t>
      </w:r>
      <w:r w:rsidRPr="65CDA542" w:rsidR="68B586ED">
        <w:rPr>
          <w:rFonts w:ascii="Palatino Linotype" w:hAnsi="Palatino Linotype"/>
          <w:sz w:val="24"/>
          <w:szCs w:val="24"/>
        </w:rPr>
        <w:t>4</w:t>
      </w:r>
      <w:r w:rsidRPr="65CDA542" w:rsidR="2C4804D3">
        <w:rPr>
          <w:rFonts w:ascii="Palatino Linotype" w:hAnsi="Palatino Linotype"/>
          <w:sz w:val="24"/>
          <w:szCs w:val="24"/>
        </w:rPr>
        <w:t xml:space="preserve"> million.</w:t>
      </w:r>
    </w:p>
    <w:p w:rsidRPr="00D865A9" w:rsidR="00CF17DE" w:rsidP="4BA7214B" w:rsidRDefault="00CF17DE" w14:paraId="4F161AC5" w14:textId="77777777">
      <w:pPr>
        <w:rPr>
          <w:rFonts w:ascii="Palatino Linotype" w:hAnsi="Palatino Linotype" w:eastAsia="Palatino Linotype"/>
          <w:sz w:val="24"/>
          <w:szCs w:val="24"/>
        </w:rPr>
      </w:pPr>
    </w:p>
    <w:p w:rsidRPr="00D865A9" w:rsidR="00CF17DE" w:rsidP="0057678A" w:rsidRDefault="4284FEAB" w14:paraId="1E0DCE09" w14:textId="77777777">
      <w:pPr>
        <w:pStyle w:val="Heading1"/>
        <w:keepLines/>
        <w:rPr>
          <w:rFonts w:ascii="Palatino Linotype" w:hAnsi="Palatino Linotype" w:eastAsia="Palatino Linotype"/>
          <w:sz w:val="24"/>
          <w:szCs w:val="24"/>
        </w:rPr>
      </w:pPr>
      <w:r w:rsidRPr="12228140">
        <w:rPr>
          <w:rFonts w:ascii="Palatino Linotype" w:hAnsi="Palatino Linotype" w:eastAsia="Palatino Linotype"/>
          <w:sz w:val="24"/>
          <w:szCs w:val="24"/>
        </w:rPr>
        <w:lastRenderedPageBreak/>
        <w:t>Background</w:t>
      </w:r>
    </w:p>
    <w:p w:rsidR="331B42B1" w:rsidP="0057678A" w:rsidRDefault="331B42B1" w14:paraId="12A5FA47" w14:textId="77777777">
      <w:pPr>
        <w:keepNext/>
        <w:keepLines/>
        <w:rPr>
          <w:rFonts w:ascii="Palatino Linotype" w:hAnsi="Palatino Linotype"/>
          <w:sz w:val="24"/>
          <w:szCs w:val="24"/>
          <w:u w:val="single"/>
        </w:rPr>
      </w:pPr>
      <w:r w:rsidRPr="12228140">
        <w:rPr>
          <w:rFonts w:ascii="Palatino Linotype" w:hAnsi="Palatino Linotype"/>
          <w:sz w:val="24"/>
          <w:szCs w:val="24"/>
          <w:u w:val="single"/>
        </w:rPr>
        <w:t>Z-Factor History</w:t>
      </w:r>
    </w:p>
    <w:p w:rsidR="12228140" w:rsidP="0057678A" w:rsidRDefault="12228140" w14:paraId="047F2274" w14:textId="77777777">
      <w:pPr>
        <w:keepNext/>
        <w:keepLines/>
        <w:rPr>
          <w:rFonts w:ascii="Palatino Linotype" w:hAnsi="Palatino Linotype"/>
          <w:sz w:val="24"/>
          <w:szCs w:val="24"/>
        </w:rPr>
      </w:pPr>
    </w:p>
    <w:p w:rsidR="0D066E03" w:rsidP="0057678A" w:rsidRDefault="0D066E03" w14:paraId="1C597982" w14:textId="77777777">
      <w:pPr>
        <w:keepNext/>
        <w:keepLines/>
        <w:rPr>
          <w:rFonts w:ascii="Palatino Linotype" w:hAnsi="Palatino Linotype"/>
          <w:sz w:val="24"/>
          <w:szCs w:val="24"/>
        </w:rPr>
      </w:pPr>
      <w:r w:rsidRPr="12228140">
        <w:rPr>
          <w:rFonts w:ascii="Palatino Linotype" w:hAnsi="Palatino Linotype"/>
          <w:sz w:val="24"/>
          <w:szCs w:val="24"/>
        </w:rPr>
        <w:t xml:space="preserve">The Commission has established a process for rate adjustments for unexpected and uncontrollable events in post-test year ratemaking.  The adopted mechanism, called a “Z-factor,” is designed to protect both the utility and customers by allowing for rate increases and decreases in the period between General Rate Cases (GRC).  The Commission has addressed the Z-factor in multiple proceedings beginning with Decision (D.) 89-10-031.  In that decision, the Commission adopted the Z-factor to allow rate adjustments for exogenous factors outside of the inflation index adopted for the utility.  Subsequent decisions provided a comprehensive framework for Z-factor analysis establishing whether an alleged Z-factor event meets specific criteria.  If it meets all the criteria, </w:t>
      </w:r>
      <w:r w:rsidR="00F76229">
        <w:rPr>
          <w:rFonts w:ascii="Palatino Linotype" w:hAnsi="Palatino Linotype"/>
          <w:sz w:val="24"/>
          <w:szCs w:val="24"/>
        </w:rPr>
        <w:t xml:space="preserve">as detailed below, </w:t>
      </w:r>
      <w:r w:rsidRPr="12228140">
        <w:rPr>
          <w:rFonts w:ascii="Palatino Linotype" w:hAnsi="Palatino Linotype"/>
          <w:sz w:val="24"/>
          <w:szCs w:val="24"/>
        </w:rPr>
        <w:t>the cost in question is eligible for Z-factor cost recovery.</w:t>
      </w:r>
    </w:p>
    <w:p w:rsidR="12228140" w:rsidP="12228140" w:rsidRDefault="12228140" w14:paraId="2F974100" w14:textId="77777777">
      <w:pPr>
        <w:rPr>
          <w:rFonts w:ascii="Palatino Linotype" w:hAnsi="Palatino Linotype"/>
          <w:sz w:val="24"/>
          <w:szCs w:val="24"/>
        </w:rPr>
      </w:pPr>
    </w:p>
    <w:p w:rsidR="0D066E03" w:rsidP="12228140" w:rsidRDefault="0D066E03" w14:paraId="58A56F7F" w14:textId="77777777">
      <w:pPr>
        <w:rPr>
          <w:rFonts w:ascii="Palatino Linotype" w:hAnsi="Palatino Linotype"/>
          <w:sz w:val="24"/>
          <w:szCs w:val="24"/>
        </w:rPr>
      </w:pPr>
      <w:r w:rsidRPr="12228140">
        <w:rPr>
          <w:rFonts w:ascii="Palatino Linotype" w:hAnsi="Palatino Linotype"/>
          <w:sz w:val="24"/>
          <w:szCs w:val="24"/>
        </w:rPr>
        <w:t xml:space="preserve">In the early 1990s, telecommunication companies on </w:t>
      </w:r>
      <w:proofErr w:type="gramStart"/>
      <w:r w:rsidRPr="12228140">
        <w:rPr>
          <w:rFonts w:ascii="Palatino Linotype" w:hAnsi="Palatino Linotype"/>
          <w:sz w:val="24"/>
          <w:szCs w:val="24"/>
        </w:rPr>
        <w:t>a number of</w:t>
      </w:r>
      <w:proofErr w:type="gramEnd"/>
      <w:r w:rsidRPr="12228140">
        <w:rPr>
          <w:rFonts w:ascii="Palatino Linotype" w:hAnsi="Palatino Linotype"/>
          <w:sz w:val="24"/>
          <w:szCs w:val="24"/>
        </w:rPr>
        <w:t xml:space="preserve"> occasions sought recovery for costs they considered to meet the definition of a Z-factor event.  In considering these cases, the Commission established nine specific criteria for evaluating Z-factor events. These criteria were summarized in D.94-06-011.  In D.04-07-022, the Commission established a Z-factor mechanism for SCE based on the nine criteria first identified in D.94-06-011. This mechanism included a $10 million deductible for each </w:t>
      </w:r>
      <w:r w:rsidR="0057678A">
        <w:rPr>
          <w:rFonts w:ascii="Palatino Linotype" w:hAnsi="Palatino Linotype"/>
          <w:sz w:val="24"/>
          <w:szCs w:val="24"/>
        </w:rPr>
        <w:br/>
      </w:r>
      <w:r w:rsidRPr="12228140">
        <w:rPr>
          <w:rFonts w:ascii="Palatino Linotype" w:hAnsi="Palatino Linotype"/>
          <w:sz w:val="24"/>
          <w:szCs w:val="24"/>
        </w:rPr>
        <w:t>Z-factor event.</w:t>
      </w:r>
    </w:p>
    <w:p w:rsidR="12228140" w:rsidP="12228140" w:rsidRDefault="12228140" w14:paraId="5DB33473" w14:textId="77777777">
      <w:pPr>
        <w:rPr>
          <w:rFonts w:ascii="Palatino Linotype" w:hAnsi="Palatino Linotype"/>
          <w:sz w:val="24"/>
          <w:szCs w:val="24"/>
        </w:rPr>
      </w:pPr>
    </w:p>
    <w:p w:rsidR="0D066E03" w:rsidP="12228140" w:rsidRDefault="0D066E03" w14:paraId="3EF00D66" w14:textId="77777777">
      <w:pPr>
        <w:rPr>
          <w:rFonts w:ascii="Palatino Linotype" w:hAnsi="Palatino Linotype"/>
          <w:sz w:val="24"/>
          <w:szCs w:val="24"/>
        </w:rPr>
      </w:pPr>
      <w:r w:rsidRPr="12228140">
        <w:rPr>
          <w:rFonts w:ascii="Palatino Linotype" w:hAnsi="Palatino Linotype"/>
          <w:sz w:val="24"/>
          <w:szCs w:val="24"/>
        </w:rPr>
        <w:t>In Decision D.</w:t>
      </w:r>
      <w:r w:rsidRPr="12228140" w:rsidR="60A10DDD">
        <w:rPr>
          <w:rFonts w:ascii="Palatino Linotype" w:hAnsi="Palatino Linotype"/>
          <w:sz w:val="24"/>
          <w:szCs w:val="24"/>
        </w:rPr>
        <w:t>21</w:t>
      </w:r>
      <w:r w:rsidRPr="12228140">
        <w:rPr>
          <w:rFonts w:ascii="Palatino Linotype" w:hAnsi="Palatino Linotype"/>
          <w:sz w:val="24"/>
          <w:szCs w:val="24"/>
        </w:rPr>
        <w:t>-</w:t>
      </w:r>
      <w:r w:rsidRPr="12228140" w:rsidR="10FE4CAB">
        <w:rPr>
          <w:rFonts w:ascii="Palatino Linotype" w:hAnsi="Palatino Linotype"/>
          <w:sz w:val="24"/>
          <w:szCs w:val="24"/>
        </w:rPr>
        <w:t>08</w:t>
      </w:r>
      <w:r w:rsidRPr="12228140">
        <w:rPr>
          <w:rFonts w:ascii="Palatino Linotype" w:hAnsi="Palatino Linotype"/>
          <w:sz w:val="24"/>
          <w:szCs w:val="24"/>
        </w:rPr>
        <w:t>-0</w:t>
      </w:r>
      <w:r w:rsidRPr="12228140" w:rsidR="116F376D">
        <w:rPr>
          <w:rFonts w:ascii="Palatino Linotype" w:hAnsi="Palatino Linotype"/>
          <w:sz w:val="24"/>
          <w:szCs w:val="24"/>
        </w:rPr>
        <w:t>36</w:t>
      </w:r>
      <w:r w:rsidRPr="12228140">
        <w:rPr>
          <w:rFonts w:ascii="Palatino Linotype" w:hAnsi="Palatino Linotype"/>
          <w:sz w:val="24"/>
          <w:szCs w:val="24"/>
        </w:rPr>
        <w:t>, the Commission addressed the Test Year 20</w:t>
      </w:r>
      <w:r w:rsidRPr="12228140" w:rsidR="1B368FDE">
        <w:rPr>
          <w:rFonts w:ascii="Palatino Linotype" w:hAnsi="Palatino Linotype"/>
          <w:sz w:val="24"/>
          <w:szCs w:val="24"/>
        </w:rPr>
        <w:t>21</w:t>
      </w:r>
      <w:r w:rsidRPr="12228140">
        <w:rPr>
          <w:rFonts w:ascii="Palatino Linotype" w:hAnsi="Palatino Linotype"/>
          <w:sz w:val="24"/>
          <w:szCs w:val="24"/>
        </w:rPr>
        <w:t xml:space="preserve"> GRC application of SCE.  This decision authorized SCE’s existing Z-factor mechanism to continue through at least 20</w:t>
      </w:r>
      <w:r w:rsidRPr="12228140" w:rsidR="6ECCE8F6">
        <w:rPr>
          <w:rFonts w:ascii="Palatino Linotype" w:hAnsi="Palatino Linotype"/>
          <w:sz w:val="24"/>
          <w:szCs w:val="24"/>
        </w:rPr>
        <w:t>2</w:t>
      </w:r>
      <w:r w:rsidRPr="12228140" w:rsidR="1519F5AB">
        <w:rPr>
          <w:rFonts w:ascii="Palatino Linotype" w:hAnsi="Palatino Linotype"/>
          <w:sz w:val="24"/>
          <w:szCs w:val="24"/>
        </w:rPr>
        <w:t>4</w:t>
      </w:r>
      <w:r w:rsidRPr="12228140">
        <w:rPr>
          <w:rFonts w:ascii="Palatino Linotype" w:hAnsi="Palatino Linotype"/>
          <w:sz w:val="24"/>
          <w:szCs w:val="24"/>
        </w:rPr>
        <w:t>.</w:t>
      </w:r>
    </w:p>
    <w:p w:rsidR="12228140" w:rsidP="12228140" w:rsidRDefault="12228140" w14:paraId="1A3ED1EE" w14:textId="77777777">
      <w:pPr>
        <w:rPr>
          <w:rFonts w:ascii="Palatino Linotype" w:hAnsi="Palatino Linotype"/>
          <w:sz w:val="24"/>
          <w:szCs w:val="24"/>
        </w:rPr>
      </w:pPr>
    </w:p>
    <w:p w:rsidR="0D066E03" w:rsidP="12228140" w:rsidRDefault="0D066E03" w14:paraId="77086310" w14:textId="77777777">
      <w:pPr>
        <w:rPr>
          <w:rFonts w:ascii="Palatino Linotype" w:hAnsi="Palatino Linotype"/>
          <w:sz w:val="24"/>
          <w:szCs w:val="24"/>
        </w:rPr>
      </w:pPr>
      <w:r w:rsidRPr="12228140">
        <w:rPr>
          <w:rFonts w:ascii="Palatino Linotype" w:hAnsi="Palatino Linotype"/>
          <w:sz w:val="24"/>
          <w:szCs w:val="24"/>
        </w:rPr>
        <w:t>In accordance with the decisions just described, nine criteria must be satisfied for an event affecting SCE to qualify for Z-factor treatment:</w:t>
      </w:r>
    </w:p>
    <w:p w:rsidR="12228140" w:rsidP="12228140" w:rsidRDefault="12228140" w14:paraId="17CD4138" w14:textId="77777777">
      <w:pPr>
        <w:rPr>
          <w:rFonts w:ascii="Palatino Linotype" w:hAnsi="Palatino Linotype"/>
          <w:sz w:val="24"/>
          <w:szCs w:val="24"/>
        </w:rPr>
      </w:pPr>
    </w:p>
    <w:p w:rsidR="0D066E03" w:rsidP="12228140" w:rsidRDefault="0D066E03" w14:paraId="384BC41B" w14:textId="77777777">
      <w:pPr>
        <w:rPr>
          <w:rFonts w:ascii="Palatino Linotype" w:hAnsi="Palatino Linotype"/>
          <w:sz w:val="24"/>
          <w:szCs w:val="24"/>
        </w:rPr>
      </w:pPr>
      <w:r w:rsidRPr="12228140">
        <w:rPr>
          <w:rFonts w:ascii="Palatino Linotype" w:hAnsi="Palatino Linotype"/>
          <w:sz w:val="24"/>
          <w:szCs w:val="24"/>
        </w:rPr>
        <w:t>1. The event must be exogenous to the utility;</w:t>
      </w:r>
    </w:p>
    <w:p w:rsidR="0D066E03" w:rsidP="12228140" w:rsidRDefault="0D066E03" w14:paraId="4DAF1394" w14:textId="77777777">
      <w:pPr>
        <w:rPr>
          <w:rFonts w:ascii="Palatino Linotype" w:hAnsi="Palatino Linotype"/>
          <w:sz w:val="24"/>
          <w:szCs w:val="24"/>
        </w:rPr>
      </w:pPr>
      <w:r w:rsidRPr="12228140">
        <w:rPr>
          <w:rFonts w:ascii="Palatino Linotype" w:hAnsi="Palatino Linotype"/>
          <w:sz w:val="24"/>
          <w:szCs w:val="24"/>
        </w:rPr>
        <w:t>2. The event occurred after late 1989;</w:t>
      </w:r>
    </w:p>
    <w:p w:rsidR="0D066E03" w:rsidP="12228140" w:rsidRDefault="0D066E03" w14:paraId="508EF174" w14:textId="77777777">
      <w:pPr>
        <w:rPr>
          <w:rFonts w:ascii="Palatino Linotype" w:hAnsi="Palatino Linotype"/>
          <w:sz w:val="24"/>
          <w:szCs w:val="24"/>
        </w:rPr>
      </w:pPr>
      <w:r w:rsidRPr="12228140">
        <w:rPr>
          <w:rFonts w:ascii="Palatino Linotype" w:hAnsi="Palatino Linotype"/>
          <w:sz w:val="24"/>
          <w:szCs w:val="24"/>
        </w:rPr>
        <w:t>3. The costs are beyond the control of the utility management;</w:t>
      </w:r>
    </w:p>
    <w:p w:rsidR="0D066E03" w:rsidP="12228140" w:rsidRDefault="0D066E03" w14:paraId="16D1BD12" w14:textId="77777777">
      <w:pPr>
        <w:rPr>
          <w:rFonts w:ascii="Palatino Linotype" w:hAnsi="Palatino Linotype"/>
          <w:sz w:val="24"/>
          <w:szCs w:val="24"/>
        </w:rPr>
      </w:pPr>
      <w:r w:rsidRPr="12228140">
        <w:rPr>
          <w:rFonts w:ascii="Palatino Linotype" w:hAnsi="Palatino Linotype"/>
          <w:sz w:val="24"/>
          <w:szCs w:val="24"/>
        </w:rPr>
        <w:t>4. The costs are not a normal part of doing business;</w:t>
      </w:r>
    </w:p>
    <w:p w:rsidR="0D066E03" w:rsidP="12228140" w:rsidRDefault="0D066E03" w14:paraId="074F0B6C" w14:textId="77777777">
      <w:pPr>
        <w:rPr>
          <w:rFonts w:ascii="Palatino Linotype" w:hAnsi="Palatino Linotype"/>
          <w:sz w:val="24"/>
          <w:szCs w:val="24"/>
        </w:rPr>
      </w:pPr>
      <w:r w:rsidRPr="12228140">
        <w:rPr>
          <w:rFonts w:ascii="Palatino Linotype" w:hAnsi="Palatino Linotype"/>
          <w:sz w:val="24"/>
          <w:szCs w:val="24"/>
        </w:rPr>
        <w:t>5. The costs must have a disproportionate impact on the utility;</w:t>
      </w:r>
    </w:p>
    <w:p w:rsidR="0D066E03" w:rsidP="12228140" w:rsidRDefault="0D066E03" w14:paraId="7E75E454" w14:textId="77777777">
      <w:pPr>
        <w:rPr>
          <w:rFonts w:ascii="Palatino Linotype" w:hAnsi="Palatino Linotype"/>
          <w:sz w:val="24"/>
          <w:szCs w:val="24"/>
        </w:rPr>
      </w:pPr>
      <w:r w:rsidRPr="12228140">
        <w:rPr>
          <w:rFonts w:ascii="Palatino Linotype" w:hAnsi="Palatino Linotype"/>
          <w:sz w:val="24"/>
          <w:szCs w:val="24"/>
        </w:rPr>
        <w:t>6. The costs must not be reflected in the escalation factors used in the GRC;</w:t>
      </w:r>
    </w:p>
    <w:p w:rsidR="0D066E03" w:rsidP="12228140" w:rsidRDefault="0D066E03" w14:paraId="0BC57044" w14:textId="77777777">
      <w:pPr>
        <w:rPr>
          <w:rFonts w:ascii="Palatino Linotype" w:hAnsi="Palatino Linotype"/>
          <w:sz w:val="24"/>
          <w:szCs w:val="24"/>
        </w:rPr>
      </w:pPr>
      <w:r w:rsidRPr="12228140">
        <w:rPr>
          <w:rFonts w:ascii="Palatino Linotype" w:hAnsi="Palatino Linotype"/>
          <w:sz w:val="24"/>
          <w:szCs w:val="24"/>
        </w:rPr>
        <w:t>7. The costs must have a major impact on overall costs;</w:t>
      </w:r>
    </w:p>
    <w:p w:rsidR="0D066E03" w:rsidP="12228140" w:rsidRDefault="0D066E03" w14:paraId="30709D06" w14:textId="77777777">
      <w:pPr>
        <w:rPr>
          <w:rFonts w:ascii="Palatino Linotype" w:hAnsi="Palatino Linotype"/>
          <w:sz w:val="24"/>
          <w:szCs w:val="24"/>
        </w:rPr>
      </w:pPr>
      <w:r w:rsidRPr="12228140">
        <w:rPr>
          <w:rFonts w:ascii="Palatino Linotype" w:hAnsi="Palatino Linotype"/>
          <w:sz w:val="24"/>
          <w:szCs w:val="24"/>
        </w:rPr>
        <w:t>8. The cost impact must be measurable; and</w:t>
      </w:r>
    </w:p>
    <w:p w:rsidR="0D066E03" w:rsidP="12228140" w:rsidRDefault="0D066E03" w14:paraId="6B44AB1F" w14:textId="77777777">
      <w:pPr>
        <w:rPr>
          <w:rFonts w:ascii="Palatino Linotype" w:hAnsi="Palatino Linotype"/>
          <w:sz w:val="24"/>
          <w:szCs w:val="24"/>
        </w:rPr>
      </w:pPr>
      <w:r w:rsidRPr="12228140">
        <w:rPr>
          <w:rFonts w:ascii="Palatino Linotype" w:hAnsi="Palatino Linotype"/>
          <w:sz w:val="24"/>
          <w:szCs w:val="24"/>
        </w:rPr>
        <w:lastRenderedPageBreak/>
        <w:t>9. The utility must incur the cost reasonably.</w:t>
      </w:r>
    </w:p>
    <w:p w:rsidR="12228140" w:rsidP="12228140" w:rsidRDefault="12228140" w14:paraId="4465AA17" w14:textId="77777777">
      <w:pPr>
        <w:rPr>
          <w:rFonts w:ascii="Palatino Linotype" w:hAnsi="Palatino Linotype"/>
          <w:sz w:val="24"/>
          <w:szCs w:val="24"/>
        </w:rPr>
      </w:pPr>
    </w:p>
    <w:p w:rsidR="5D22D818" w:rsidP="12228140" w:rsidRDefault="5D22D818" w14:paraId="0B3B0881" w14:textId="77777777">
      <w:pPr>
        <w:rPr>
          <w:rFonts w:ascii="Palatino Linotype" w:hAnsi="Palatino Linotype"/>
          <w:sz w:val="24"/>
          <w:szCs w:val="24"/>
          <w:u w:val="single"/>
        </w:rPr>
      </w:pPr>
      <w:r w:rsidRPr="12228140">
        <w:rPr>
          <w:rFonts w:ascii="Palatino Linotype" w:hAnsi="Palatino Linotype"/>
          <w:sz w:val="24"/>
          <w:szCs w:val="24"/>
          <w:u w:val="single"/>
        </w:rPr>
        <w:t>Senate Bill (</w:t>
      </w:r>
      <w:r w:rsidRPr="12228140" w:rsidR="7C4C0ED2">
        <w:rPr>
          <w:rFonts w:ascii="Palatino Linotype" w:hAnsi="Palatino Linotype"/>
          <w:sz w:val="24"/>
          <w:szCs w:val="24"/>
          <w:u w:val="single"/>
        </w:rPr>
        <w:t>SB</w:t>
      </w:r>
      <w:r w:rsidRPr="12228140" w:rsidR="6299ECAE">
        <w:rPr>
          <w:rFonts w:ascii="Palatino Linotype" w:hAnsi="Palatino Linotype"/>
          <w:sz w:val="24"/>
          <w:szCs w:val="24"/>
          <w:u w:val="single"/>
        </w:rPr>
        <w:t>)</w:t>
      </w:r>
      <w:r w:rsidRPr="12228140" w:rsidR="7C4C0ED2">
        <w:rPr>
          <w:rFonts w:ascii="Palatino Linotype" w:hAnsi="Palatino Linotype"/>
          <w:sz w:val="24"/>
          <w:szCs w:val="24"/>
          <w:u w:val="single"/>
        </w:rPr>
        <w:t xml:space="preserve"> 247</w:t>
      </w:r>
    </w:p>
    <w:p w:rsidR="12228140" w:rsidP="12228140" w:rsidRDefault="12228140" w14:paraId="72C1EFA9" w14:textId="77777777">
      <w:pPr>
        <w:rPr>
          <w:rFonts w:ascii="Palatino Linotype" w:hAnsi="Palatino Linotype"/>
          <w:sz w:val="24"/>
          <w:szCs w:val="24"/>
          <w:u w:val="single"/>
        </w:rPr>
      </w:pPr>
    </w:p>
    <w:p w:rsidR="5ADDF6FA" w:rsidP="12228140" w:rsidRDefault="5ADDF6FA" w14:paraId="15142C72" w14:textId="77777777">
      <w:pPr>
        <w:rPr>
          <w:rFonts w:ascii="Palatino Linotype" w:hAnsi="Palatino Linotype"/>
          <w:sz w:val="24"/>
          <w:szCs w:val="24"/>
        </w:rPr>
      </w:pPr>
      <w:r w:rsidRPr="12228140">
        <w:rPr>
          <w:rFonts w:ascii="Palatino Linotype" w:hAnsi="Palatino Linotype"/>
          <w:sz w:val="24"/>
          <w:szCs w:val="24"/>
        </w:rPr>
        <w:t xml:space="preserve">On </w:t>
      </w:r>
      <w:r w:rsidRPr="12228140" w:rsidR="35E9E101">
        <w:rPr>
          <w:rFonts w:ascii="Palatino Linotype" w:hAnsi="Palatino Linotype"/>
          <w:sz w:val="24"/>
          <w:szCs w:val="24"/>
        </w:rPr>
        <w:t>September 11, 2019, the California Legislature passed SB 247</w:t>
      </w:r>
      <w:r w:rsidRPr="12228140" w:rsidR="4D9D5D2E">
        <w:rPr>
          <w:rFonts w:ascii="Palatino Linotype" w:hAnsi="Palatino Linotype"/>
          <w:sz w:val="24"/>
          <w:szCs w:val="24"/>
        </w:rPr>
        <w:t xml:space="preserve"> </w:t>
      </w:r>
      <w:r w:rsidRPr="12228140" w:rsidR="35E9E101">
        <w:rPr>
          <w:rFonts w:ascii="Palatino Linotype" w:hAnsi="Palatino Linotype"/>
          <w:sz w:val="24"/>
          <w:szCs w:val="24"/>
        </w:rPr>
        <w:t xml:space="preserve">and on </w:t>
      </w:r>
      <w:r w:rsidRPr="12228140">
        <w:rPr>
          <w:rFonts w:ascii="Palatino Linotype" w:hAnsi="Palatino Linotype"/>
          <w:sz w:val="24"/>
          <w:szCs w:val="24"/>
        </w:rPr>
        <w:t xml:space="preserve">October 2, 2019, </w:t>
      </w:r>
      <w:r w:rsidRPr="12228140" w:rsidR="069F5ADB">
        <w:rPr>
          <w:rFonts w:ascii="Palatino Linotype" w:hAnsi="Palatino Linotype"/>
          <w:sz w:val="24"/>
          <w:szCs w:val="24"/>
        </w:rPr>
        <w:t>Governor Gavin Newsom sign</w:t>
      </w:r>
      <w:r w:rsidRPr="12228140" w:rsidR="7473FBF2">
        <w:rPr>
          <w:rFonts w:ascii="Palatino Linotype" w:hAnsi="Palatino Linotype"/>
          <w:sz w:val="24"/>
          <w:szCs w:val="24"/>
        </w:rPr>
        <w:t xml:space="preserve">ed </w:t>
      </w:r>
      <w:r w:rsidRPr="12228140" w:rsidR="54E26CB1">
        <w:rPr>
          <w:rFonts w:ascii="Palatino Linotype" w:hAnsi="Palatino Linotype"/>
          <w:sz w:val="24"/>
          <w:szCs w:val="24"/>
        </w:rPr>
        <w:t xml:space="preserve">it </w:t>
      </w:r>
      <w:r w:rsidRPr="12228140" w:rsidR="7473FBF2">
        <w:rPr>
          <w:rFonts w:ascii="Palatino Linotype" w:hAnsi="Palatino Linotype"/>
          <w:sz w:val="24"/>
          <w:szCs w:val="24"/>
        </w:rPr>
        <w:t>into law</w:t>
      </w:r>
      <w:r w:rsidRPr="12228140" w:rsidR="4BAAD670">
        <w:rPr>
          <w:rFonts w:ascii="Palatino Linotype" w:hAnsi="Palatino Linotype"/>
          <w:sz w:val="24"/>
          <w:szCs w:val="24"/>
        </w:rPr>
        <w:t xml:space="preserve">.  </w:t>
      </w:r>
      <w:r w:rsidRPr="12228140" w:rsidR="302A3786">
        <w:rPr>
          <w:rFonts w:ascii="Palatino Linotype" w:hAnsi="Palatino Linotype"/>
          <w:sz w:val="24"/>
          <w:szCs w:val="24"/>
        </w:rPr>
        <w:t xml:space="preserve">Among other requirements, </w:t>
      </w:r>
      <w:r w:rsidRPr="12228140" w:rsidR="4226EFDC">
        <w:rPr>
          <w:rFonts w:ascii="Palatino Linotype" w:hAnsi="Palatino Linotype"/>
          <w:sz w:val="24"/>
          <w:szCs w:val="24"/>
        </w:rPr>
        <w:t>SB 247 specifies qualifications</w:t>
      </w:r>
      <w:r w:rsidRPr="12228140" w:rsidR="039526D4">
        <w:rPr>
          <w:rFonts w:ascii="Palatino Linotype" w:hAnsi="Palatino Linotype"/>
          <w:sz w:val="24"/>
          <w:szCs w:val="24"/>
        </w:rPr>
        <w:t xml:space="preserve"> for electrical line clearance tree trimmers performing work to comply with the vegetation management requirements in an electrical corporation’s wildfire mitigation </w:t>
      </w:r>
      <w:r w:rsidRPr="12228140" w:rsidR="2618466D">
        <w:rPr>
          <w:rFonts w:ascii="Palatino Linotype" w:hAnsi="Palatino Linotype"/>
          <w:sz w:val="24"/>
          <w:szCs w:val="24"/>
        </w:rPr>
        <w:t>plan and</w:t>
      </w:r>
      <w:r w:rsidRPr="12228140" w:rsidR="039526D4">
        <w:rPr>
          <w:rFonts w:ascii="Palatino Linotype" w:hAnsi="Palatino Linotype"/>
          <w:sz w:val="24"/>
          <w:szCs w:val="24"/>
        </w:rPr>
        <w:t xml:space="preserve"> require</w:t>
      </w:r>
      <w:r w:rsidRPr="12228140" w:rsidR="05B0E7C4">
        <w:rPr>
          <w:rFonts w:ascii="Palatino Linotype" w:hAnsi="Palatino Linotype"/>
          <w:sz w:val="24"/>
          <w:szCs w:val="24"/>
        </w:rPr>
        <w:t>s</w:t>
      </w:r>
      <w:r w:rsidRPr="12228140" w:rsidR="039526D4">
        <w:rPr>
          <w:rFonts w:ascii="Palatino Linotype" w:hAnsi="Palatino Linotype"/>
          <w:sz w:val="24"/>
          <w:szCs w:val="24"/>
        </w:rPr>
        <w:t xml:space="preserve"> that qualified line clearance tree trimmers be paid no less than a specified prevailing wage rate.</w:t>
      </w:r>
    </w:p>
    <w:p w:rsidR="12228140" w:rsidP="12228140" w:rsidRDefault="12228140" w14:paraId="41F9C33E" w14:textId="77777777">
      <w:pPr>
        <w:rPr>
          <w:rFonts w:ascii="Palatino Linotype" w:hAnsi="Palatino Linotype"/>
          <w:sz w:val="24"/>
          <w:szCs w:val="24"/>
        </w:rPr>
      </w:pPr>
      <w:r>
        <w:br/>
      </w:r>
      <w:r w:rsidRPr="12228140" w:rsidR="7CF0231F">
        <w:rPr>
          <w:rFonts w:ascii="Palatino Linotype" w:hAnsi="Palatino Linotype"/>
          <w:sz w:val="24"/>
          <w:szCs w:val="24"/>
        </w:rPr>
        <w:t>SB 247 added Public Utilities Code Section 8386.6, which provides:</w:t>
      </w:r>
    </w:p>
    <w:p w:rsidR="12228140" w:rsidP="12228140" w:rsidRDefault="12228140" w14:paraId="25C3F359" w14:textId="77777777">
      <w:pPr>
        <w:rPr>
          <w:rFonts w:ascii="Palatino Linotype" w:hAnsi="Palatino Linotype"/>
          <w:sz w:val="24"/>
          <w:szCs w:val="24"/>
        </w:rPr>
      </w:pPr>
    </w:p>
    <w:p w:rsidR="7CF0231F" w:rsidP="12228140" w:rsidRDefault="7CF0231F" w14:paraId="695B5E4B" w14:textId="77777777">
      <w:pPr>
        <w:ind w:left="720"/>
        <w:rPr>
          <w:rFonts w:ascii="Palatino Linotype" w:hAnsi="Palatino Linotype"/>
          <w:sz w:val="24"/>
          <w:szCs w:val="24"/>
        </w:rPr>
      </w:pPr>
      <w:r w:rsidRPr="12228140">
        <w:rPr>
          <w:rFonts w:ascii="Palatino Linotype" w:hAnsi="Palatino Linotype"/>
          <w:sz w:val="24"/>
          <w:szCs w:val="24"/>
        </w:rPr>
        <w:t>(a) All electrical line clearance tree trimmers performing work to comply with the vegetation management requirements in an electrical corporation’s wildfire mitigation plan shall be qualified line clearance tree trimmers, or trainees under the direct supervision and instruction of qualified line clearance tree trimmers, as provided in the High-Voltage Electrical Safety Orders (Group 2 (commencing with Section 2700) of Subchapter 5 of Chapter 4 of Division 1 of Title 8 of the California Code of Regulations) of the Department of Industrial Relations.</w:t>
      </w:r>
    </w:p>
    <w:p w:rsidR="12228140" w:rsidP="12228140" w:rsidRDefault="12228140" w14:paraId="713D4F97" w14:textId="77777777">
      <w:pPr>
        <w:ind w:left="720"/>
        <w:jc w:val="both"/>
        <w:rPr>
          <w:rFonts w:ascii="Palatino Linotype" w:hAnsi="Palatino Linotype"/>
          <w:sz w:val="24"/>
          <w:szCs w:val="24"/>
        </w:rPr>
      </w:pPr>
    </w:p>
    <w:p w:rsidR="7CF0231F" w:rsidP="12228140" w:rsidRDefault="7CF0231F" w14:paraId="582346B8" w14:textId="77777777">
      <w:pPr>
        <w:ind w:left="720"/>
        <w:rPr>
          <w:rFonts w:ascii="Palatino Linotype" w:hAnsi="Palatino Linotype"/>
          <w:sz w:val="24"/>
          <w:szCs w:val="24"/>
        </w:rPr>
      </w:pPr>
      <w:r w:rsidRPr="12228140">
        <w:rPr>
          <w:rFonts w:ascii="Palatino Linotype" w:hAnsi="Palatino Linotype"/>
          <w:sz w:val="24"/>
          <w:szCs w:val="24"/>
        </w:rPr>
        <w:t>(b) All qualified line clearance tree trimmers shall be paid no less than the prevailing wage rate for a first period apprentice electrical utility lineman as determined by the Director of Industrial Relations.</w:t>
      </w:r>
    </w:p>
    <w:p w:rsidR="12228140" w:rsidP="12228140" w:rsidRDefault="12228140" w14:paraId="5C5CEC37" w14:textId="77777777">
      <w:pPr>
        <w:rPr>
          <w:rFonts w:ascii="Palatino Linotype" w:hAnsi="Palatino Linotype"/>
          <w:sz w:val="24"/>
          <w:szCs w:val="24"/>
        </w:rPr>
      </w:pPr>
    </w:p>
    <w:p w:rsidR="7CF0231F" w:rsidP="12228140" w:rsidRDefault="7CF0231F" w14:paraId="73DEDEFB" w14:textId="77777777">
      <w:pPr>
        <w:rPr>
          <w:rFonts w:ascii="Palatino Linotype" w:hAnsi="Palatino Linotype"/>
          <w:sz w:val="24"/>
          <w:szCs w:val="24"/>
        </w:rPr>
      </w:pPr>
      <w:r w:rsidRPr="12228140">
        <w:rPr>
          <w:rFonts w:ascii="Palatino Linotype" w:hAnsi="Palatino Linotype"/>
          <w:sz w:val="24"/>
          <w:szCs w:val="24"/>
        </w:rPr>
        <w:t xml:space="preserve">SB 247 mandates the payment of at least the prevailing wage rate for all qualified line clearance tree trimmers, not just ones performing work in high-fire risk areas.  </w:t>
      </w:r>
      <w:r w:rsidRPr="12228140" w:rsidR="4564320C">
        <w:rPr>
          <w:rFonts w:ascii="Palatino Linotype" w:hAnsi="Palatino Linotype"/>
          <w:sz w:val="24"/>
          <w:szCs w:val="24"/>
        </w:rPr>
        <w:t>SCE asserts that due to SB 247, SCE’s vegetation management vendors had to set higher rates for qualified tree trimmers</w:t>
      </w:r>
      <w:r w:rsidRPr="12228140">
        <w:rPr>
          <w:rStyle w:val="FootnoteReference"/>
          <w:rFonts w:ascii="Palatino Linotype" w:hAnsi="Palatino Linotype"/>
          <w:sz w:val="24"/>
          <w:szCs w:val="24"/>
        </w:rPr>
        <w:footnoteReference w:id="2"/>
      </w:r>
      <w:r w:rsidRPr="12228140" w:rsidR="4564320C">
        <w:rPr>
          <w:rFonts w:ascii="Palatino Linotype" w:hAnsi="Palatino Linotype"/>
          <w:sz w:val="24"/>
          <w:szCs w:val="24"/>
        </w:rPr>
        <w:t xml:space="preserve"> working on</w:t>
      </w:r>
      <w:r w:rsidRPr="12228140" w:rsidR="5CF4F372">
        <w:rPr>
          <w:rFonts w:ascii="Palatino Linotype" w:hAnsi="Palatino Linotype"/>
          <w:sz w:val="24"/>
          <w:szCs w:val="24"/>
        </w:rPr>
        <w:t xml:space="preserve"> vegetation management</w:t>
      </w:r>
      <w:r w:rsidRPr="12228140" w:rsidR="4564320C">
        <w:rPr>
          <w:rFonts w:ascii="Palatino Linotype" w:hAnsi="Palatino Linotype"/>
          <w:sz w:val="24"/>
          <w:szCs w:val="24"/>
        </w:rPr>
        <w:t xml:space="preserve"> line clearance work.</w:t>
      </w:r>
      <w:r w:rsidRPr="12228140">
        <w:rPr>
          <w:rStyle w:val="FootnoteReference"/>
          <w:rFonts w:ascii="Palatino Linotype" w:hAnsi="Palatino Linotype"/>
          <w:sz w:val="24"/>
          <w:szCs w:val="24"/>
        </w:rPr>
        <w:footnoteReference w:id="3"/>
      </w:r>
      <w:r w:rsidRPr="12228140" w:rsidR="4564320C">
        <w:rPr>
          <w:rFonts w:ascii="Palatino Linotype" w:hAnsi="Palatino Linotype"/>
          <w:sz w:val="24"/>
          <w:szCs w:val="24"/>
        </w:rPr>
        <w:t xml:space="preserve">  </w:t>
      </w:r>
      <w:r w:rsidRPr="12228140" w:rsidR="179D69FA">
        <w:rPr>
          <w:rFonts w:ascii="Palatino Linotype" w:hAnsi="Palatino Linotype"/>
          <w:sz w:val="24"/>
          <w:szCs w:val="24"/>
        </w:rPr>
        <w:t>T</w:t>
      </w:r>
      <w:r w:rsidRPr="12228140" w:rsidR="04BAD948">
        <w:rPr>
          <w:rFonts w:ascii="Palatino Linotype" w:hAnsi="Palatino Linotype"/>
          <w:sz w:val="24"/>
          <w:szCs w:val="24"/>
        </w:rPr>
        <w:t xml:space="preserve">he passage of </w:t>
      </w:r>
      <w:r w:rsidRPr="12228140">
        <w:rPr>
          <w:rFonts w:ascii="Palatino Linotype" w:hAnsi="Palatino Linotype"/>
          <w:sz w:val="24"/>
          <w:szCs w:val="24"/>
        </w:rPr>
        <w:t>SB 247</w:t>
      </w:r>
      <w:r w:rsidRPr="12228140" w:rsidR="5B4FCAE0">
        <w:rPr>
          <w:rFonts w:ascii="Palatino Linotype" w:hAnsi="Palatino Linotype"/>
          <w:sz w:val="24"/>
          <w:szCs w:val="24"/>
        </w:rPr>
        <w:t xml:space="preserve"> triggered</w:t>
      </w:r>
      <w:r w:rsidRPr="12228140" w:rsidR="04FC031A">
        <w:rPr>
          <w:rFonts w:ascii="Palatino Linotype" w:hAnsi="Palatino Linotype"/>
          <w:sz w:val="24"/>
          <w:szCs w:val="24"/>
        </w:rPr>
        <w:t xml:space="preserve"> a renegotiation between SCE tree trimming contractors and the local </w:t>
      </w:r>
      <w:r w:rsidRPr="12228140" w:rsidR="72399741">
        <w:rPr>
          <w:rFonts w:ascii="Palatino Linotype" w:hAnsi="Palatino Linotype"/>
          <w:sz w:val="24"/>
          <w:szCs w:val="24"/>
        </w:rPr>
        <w:t>electrical</w:t>
      </w:r>
      <w:r w:rsidRPr="12228140" w:rsidR="04FC031A">
        <w:rPr>
          <w:rFonts w:ascii="Palatino Linotype" w:hAnsi="Palatino Linotype"/>
          <w:sz w:val="24"/>
          <w:szCs w:val="24"/>
        </w:rPr>
        <w:t xml:space="preserve"> workers unions across SCE’s service area.  </w:t>
      </w:r>
      <w:r w:rsidRPr="12228140" w:rsidR="76EFDC92">
        <w:rPr>
          <w:rFonts w:ascii="Palatino Linotype" w:hAnsi="Palatino Linotype"/>
          <w:sz w:val="24"/>
          <w:szCs w:val="24"/>
        </w:rPr>
        <w:t>T</w:t>
      </w:r>
      <w:r w:rsidRPr="12228140" w:rsidR="04FC031A">
        <w:rPr>
          <w:rFonts w:ascii="Palatino Linotype" w:hAnsi="Palatino Linotype"/>
          <w:sz w:val="24"/>
          <w:szCs w:val="24"/>
        </w:rPr>
        <w:t xml:space="preserve">he </w:t>
      </w:r>
      <w:r w:rsidRPr="12228140" w:rsidR="34BC7833">
        <w:rPr>
          <w:rFonts w:ascii="Palatino Linotype" w:hAnsi="Palatino Linotype"/>
          <w:sz w:val="24"/>
          <w:szCs w:val="24"/>
        </w:rPr>
        <w:t xml:space="preserve">wage negotiations were completed in January 2020 and incorporated in the 2020-2021 contracts.  </w:t>
      </w:r>
      <w:r w:rsidRPr="12228140" w:rsidR="22E530BA">
        <w:rPr>
          <w:rFonts w:ascii="Palatino Linotype" w:hAnsi="Palatino Linotype"/>
          <w:sz w:val="24"/>
          <w:szCs w:val="24"/>
        </w:rPr>
        <w:t>SCE states there was an overall increase of 175 percent for vegetation management contract rates due to SB 247.</w:t>
      </w:r>
      <w:r w:rsidRPr="12228140">
        <w:rPr>
          <w:rStyle w:val="FootnoteReference"/>
          <w:rFonts w:ascii="Palatino Linotype" w:hAnsi="Palatino Linotype"/>
          <w:sz w:val="24"/>
          <w:szCs w:val="24"/>
        </w:rPr>
        <w:footnoteReference w:id="4"/>
      </w:r>
    </w:p>
    <w:p w:rsidR="12228140" w:rsidP="12228140" w:rsidRDefault="12228140" w14:paraId="481D3DB1" w14:textId="77777777">
      <w:pPr>
        <w:rPr>
          <w:rFonts w:ascii="Palatino Linotype" w:hAnsi="Palatino Linotype"/>
          <w:sz w:val="24"/>
          <w:szCs w:val="24"/>
        </w:rPr>
      </w:pPr>
    </w:p>
    <w:p w:rsidR="51509866" w:rsidP="12228140" w:rsidRDefault="51509866" w14:paraId="24D4888B" w14:textId="77777777">
      <w:pPr>
        <w:rPr>
          <w:rFonts w:ascii="Palatino Linotype" w:hAnsi="Palatino Linotype"/>
          <w:sz w:val="24"/>
          <w:szCs w:val="24"/>
          <w:u w:val="single"/>
        </w:rPr>
      </w:pPr>
      <w:r w:rsidRPr="12228140">
        <w:rPr>
          <w:rFonts w:ascii="Palatino Linotype" w:hAnsi="Palatino Linotype"/>
          <w:sz w:val="24"/>
          <w:szCs w:val="24"/>
          <w:u w:val="single"/>
        </w:rPr>
        <w:lastRenderedPageBreak/>
        <w:t>February 28, 2020 Z-F</w:t>
      </w:r>
      <w:r w:rsidRPr="12228140" w:rsidR="6C8A8A35">
        <w:rPr>
          <w:rFonts w:ascii="Palatino Linotype" w:hAnsi="Palatino Linotype"/>
          <w:sz w:val="24"/>
          <w:szCs w:val="24"/>
          <w:u w:val="single"/>
        </w:rPr>
        <w:t>a</w:t>
      </w:r>
      <w:r w:rsidRPr="12228140">
        <w:rPr>
          <w:rFonts w:ascii="Palatino Linotype" w:hAnsi="Palatino Linotype"/>
          <w:sz w:val="24"/>
          <w:szCs w:val="24"/>
          <w:u w:val="single"/>
        </w:rPr>
        <w:t>ctor Notification</w:t>
      </w:r>
      <w:r w:rsidRPr="12228140" w:rsidR="3BB78BC8">
        <w:rPr>
          <w:rFonts w:ascii="Palatino Linotype" w:hAnsi="Palatino Linotype"/>
          <w:sz w:val="24"/>
          <w:szCs w:val="24"/>
          <w:u w:val="single"/>
        </w:rPr>
        <w:t xml:space="preserve"> Letter</w:t>
      </w:r>
    </w:p>
    <w:p w:rsidR="12228140" w:rsidP="12228140" w:rsidRDefault="12228140" w14:paraId="0886FCCA" w14:textId="77777777">
      <w:pPr>
        <w:rPr>
          <w:rFonts w:ascii="Palatino Linotype" w:hAnsi="Palatino Linotype"/>
          <w:sz w:val="24"/>
          <w:szCs w:val="24"/>
        </w:rPr>
      </w:pPr>
    </w:p>
    <w:p w:rsidR="3359409C" w:rsidP="12228140" w:rsidRDefault="3359409C" w14:paraId="3D9C7F04" w14:textId="77777777">
      <w:pPr>
        <w:rPr>
          <w:rFonts w:ascii="Palatino Linotype" w:hAnsi="Palatino Linotype"/>
          <w:sz w:val="24"/>
          <w:szCs w:val="24"/>
        </w:rPr>
      </w:pPr>
      <w:r w:rsidRPr="12228140">
        <w:rPr>
          <w:rFonts w:ascii="Palatino Linotype" w:hAnsi="Palatino Linotype"/>
          <w:sz w:val="24"/>
          <w:szCs w:val="24"/>
        </w:rPr>
        <w:t xml:space="preserve">On February 28, 2020, SCE submitted a letter to the Executive Director notifying the Commission of its intention to </w:t>
      </w:r>
      <w:r w:rsidRPr="12228140" w:rsidR="5D3652EE">
        <w:rPr>
          <w:rFonts w:ascii="Palatino Linotype" w:hAnsi="Palatino Linotype"/>
          <w:sz w:val="24"/>
          <w:szCs w:val="24"/>
        </w:rPr>
        <w:t xml:space="preserve">track “the incremental costs of implementing SB 247 service territory-wide in the Fire Hazard </w:t>
      </w:r>
      <w:r w:rsidRPr="12228140" w:rsidR="4ECB70AE">
        <w:rPr>
          <w:rFonts w:ascii="Palatino Linotype" w:hAnsi="Palatino Linotype"/>
          <w:sz w:val="24"/>
          <w:szCs w:val="24"/>
        </w:rPr>
        <w:t>P</w:t>
      </w:r>
      <w:r w:rsidRPr="12228140" w:rsidR="5D3652EE">
        <w:rPr>
          <w:rFonts w:ascii="Palatino Linotype" w:hAnsi="Palatino Linotype"/>
          <w:sz w:val="24"/>
          <w:szCs w:val="24"/>
        </w:rPr>
        <w:t>revention Memorandum Account [</w:t>
      </w:r>
      <w:r w:rsidRPr="12228140" w:rsidR="303FCAE1">
        <w:rPr>
          <w:rFonts w:ascii="Palatino Linotype" w:hAnsi="Palatino Linotype"/>
          <w:sz w:val="24"/>
          <w:szCs w:val="24"/>
        </w:rPr>
        <w:t>FHPMA]</w:t>
      </w:r>
      <w:r w:rsidRPr="12228140" w:rsidR="5D3652EE">
        <w:rPr>
          <w:rFonts w:ascii="Palatino Linotype" w:hAnsi="Palatino Linotype"/>
          <w:sz w:val="24"/>
          <w:szCs w:val="24"/>
        </w:rPr>
        <w:t xml:space="preserve"> together with the additional </w:t>
      </w:r>
      <w:r w:rsidRPr="12228140" w:rsidR="51DF1EF9">
        <w:rPr>
          <w:rFonts w:ascii="Palatino Linotype" w:hAnsi="Palatino Linotype"/>
          <w:sz w:val="24"/>
          <w:szCs w:val="24"/>
        </w:rPr>
        <w:t>incremental</w:t>
      </w:r>
      <w:r w:rsidRPr="12228140" w:rsidR="5D3652EE">
        <w:rPr>
          <w:rFonts w:ascii="Palatino Linotype" w:hAnsi="Palatino Linotype"/>
          <w:sz w:val="24"/>
          <w:szCs w:val="24"/>
        </w:rPr>
        <w:t xml:space="preserve"> vegetation management costs</w:t>
      </w:r>
      <w:r w:rsidRPr="12228140" w:rsidR="4283C44B">
        <w:rPr>
          <w:rFonts w:ascii="Palatino Linotype" w:hAnsi="Palatino Linotype"/>
          <w:sz w:val="24"/>
          <w:szCs w:val="24"/>
        </w:rPr>
        <w:t>”</w:t>
      </w:r>
      <w:r w:rsidRPr="12228140" w:rsidR="5D3652EE">
        <w:rPr>
          <w:rFonts w:ascii="Palatino Linotype" w:hAnsi="Palatino Linotype"/>
          <w:sz w:val="24"/>
          <w:szCs w:val="24"/>
        </w:rPr>
        <w:t xml:space="preserve"> </w:t>
      </w:r>
      <w:r w:rsidRPr="12228140" w:rsidR="24B9F3BB">
        <w:rPr>
          <w:rFonts w:ascii="Palatino Linotype" w:hAnsi="Palatino Linotype"/>
          <w:sz w:val="24"/>
          <w:szCs w:val="24"/>
        </w:rPr>
        <w:t>and to pursue recovery of the incremental 2020 costs in Track 3 of its 2021 GRC.</w:t>
      </w:r>
      <w:r w:rsidRPr="12228140">
        <w:rPr>
          <w:rStyle w:val="FootnoteReference"/>
          <w:rFonts w:ascii="Palatino Linotype" w:hAnsi="Palatino Linotype"/>
          <w:sz w:val="24"/>
          <w:szCs w:val="24"/>
        </w:rPr>
        <w:footnoteReference w:id="5"/>
      </w:r>
      <w:r w:rsidRPr="12228140" w:rsidR="24B9F3BB">
        <w:rPr>
          <w:rFonts w:ascii="Palatino Linotype" w:hAnsi="Palatino Linotype"/>
          <w:sz w:val="24"/>
          <w:szCs w:val="24"/>
        </w:rPr>
        <w:t xml:space="preserve">  SCE stated that </w:t>
      </w:r>
      <w:r w:rsidRPr="12228140" w:rsidR="5D7C74AA">
        <w:rPr>
          <w:rFonts w:ascii="Palatino Linotype" w:hAnsi="Palatino Linotype"/>
          <w:sz w:val="24"/>
          <w:szCs w:val="24"/>
        </w:rPr>
        <w:t>“[i]</w:t>
      </w:r>
      <w:r w:rsidRPr="12228140" w:rsidR="77C36BAD">
        <w:rPr>
          <w:rFonts w:ascii="Palatino Linotype" w:hAnsi="Palatino Linotype"/>
          <w:sz w:val="24"/>
          <w:szCs w:val="24"/>
        </w:rPr>
        <w:t xml:space="preserve">n the event some or all of the SB 247-related incremental costs are deemed ineligible for recovery under the </w:t>
      </w:r>
      <w:r w:rsidRPr="12228140" w:rsidR="15BAC378">
        <w:rPr>
          <w:rFonts w:ascii="Palatino Linotype" w:hAnsi="Palatino Linotype"/>
          <w:sz w:val="24"/>
          <w:szCs w:val="24"/>
        </w:rPr>
        <w:t>existing</w:t>
      </w:r>
      <w:r w:rsidRPr="12228140" w:rsidR="77C36BAD">
        <w:rPr>
          <w:rFonts w:ascii="Palatino Linotype" w:hAnsi="Palatino Linotype"/>
          <w:sz w:val="24"/>
          <w:szCs w:val="24"/>
        </w:rPr>
        <w:t xml:space="preserve"> memorandum accounts, this Letter of </w:t>
      </w:r>
      <w:r w:rsidRPr="12228140" w:rsidR="044AA2C2">
        <w:rPr>
          <w:rFonts w:ascii="Palatino Linotype" w:hAnsi="Palatino Linotype"/>
          <w:sz w:val="24"/>
          <w:szCs w:val="24"/>
        </w:rPr>
        <w:t>Notification</w:t>
      </w:r>
      <w:r w:rsidRPr="12228140" w:rsidR="77C36BAD">
        <w:rPr>
          <w:rFonts w:ascii="Palatino Linotype" w:hAnsi="Palatino Linotype"/>
          <w:sz w:val="24"/>
          <w:szCs w:val="24"/>
        </w:rPr>
        <w:t xml:space="preserve"> is intended to enable SCE to utilize the Z-</w:t>
      </w:r>
      <w:r w:rsidRPr="12228140" w:rsidR="2EC0B7E0">
        <w:rPr>
          <w:rFonts w:ascii="Palatino Linotype" w:hAnsi="Palatino Linotype"/>
          <w:sz w:val="24"/>
          <w:szCs w:val="24"/>
        </w:rPr>
        <w:t>factor</w:t>
      </w:r>
      <w:r w:rsidRPr="12228140" w:rsidR="77C36BAD">
        <w:rPr>
          <w:rFonts w:ascii="Palatino Linotype" w:hAnsi="Palatino Linotype"/>
          <w:sz w:val="24"/>
          <w:szCs w:val="24"/>
        </w:rPr>
        <w:t xml:space="preserve"> </w:t>
      </w:r>
      <w:r w:rsidRPr="12228140" w:rsidR="41C05964">
        <w:rPr>
          <w:rFonts w:ascii="Palatino Linotype" w:hAnsi="Palatino Linotype"/>
          <w:sz w:val="24"/>
          <w:szCs w:val="24"/>
        </w:rPr>
        <w:t>mechanism</w:t>
      </w:r>
      <w:r w:rsidRPr="12228140" w:rsidR="77C36BAD">
        <w:rPr>
          <w:rFonts w:ascii="Palatino Linotype" w:hAnsi="Palatino Linotype"/>
          <w:sz w:val="24"/>
          <w:szCs w:val="24"/>
        </w:rPr>
        <w:t xml:space="preserve"> in the </w:t>
      </w:r>
      <w:r w:rsidRPr="12228140" w:rsidR="4D5EEA8C">
        <w:rPr>
          <w:rFonts w:ascii="Palatino Linotype" w:hAnsi="Palatino Linotype"/>
          <w:sz w:val="24"/>
          <w:szCs w:val="24"/>
        </w:rPr>
        <w:t>alternative</w:t>
      </w:r>
      <w:r w:rsidRPr="12228140" w:rsidR="77C36BAD">
        <w:rPr>
          <w:rFonts w:ascii="Palatino Linotype" w:hAnsi="Palatino Linotype"/>
          <w:sz w:val="24"/>
          <w:szCs w:val="24"/>
        </w:rPr>
        <w:t>.”</w:t>
      </w:r>
      <w:r w:rsidRPr="12228140">
        <w:rPr>
          <w:rStyle w:val="FootnoteReference"/>
          <w:rFonts w:ascii="Palatino Linotype" w:hAnsi="Palatino Linotype"/>
          <w:sz w:val="24"/>
          <w:szCs w:val="24"/>
        </w:rPr>
        <w:footnoteReference w:id="6"/>
      </w:r>
    </w:p>
    <w:p w:rsidR="12228140" w:rsidP="12228140" w:rsidRDefault="12228140" w14:paraId="37C187AF" w14:textId="77777777">
      <w:pPr>
        <w:rPr>
          <w:rFonts w:ascii="Palatino Linotype" w:hAnsi="Palatino Linotype"/>
          <w:sz w:val="24"/>
          <w:szCs w:val="24"/>
        </w:rPr>
      </w:pPr>
    </w:p>
    <w:p w:rsidR="3359409C" w:rsidP="12228140" w:rsidRDefault="3359409C" w14:paraId="167F0624" w14:textId="5CD8800F">
      <w:pPr>
        <w:rPr>
          <w:rFonts w:ascii="Palatino Linotype" w:hAnsi="Palatino Linotype"/>
          <w:sz w:val="24"/>
          <w:szCs w:val="24"/>
        </w:rPr>
      </w:pPr>
      <w:r w:rsidRPr="12228140">
        <w:rPr>
          <w:rFonts w:ascii="Palatino Linotype" w:hAnsi="Palatino Linotype"/>
          <w:sz w:val="24"/>
          <w:szCs w:val="24"/>
        </w:rPr>
        <w:t xml:space="preserve">The Notification Letter </w:t>
      </w:r>
      <w:r w:rsidRPr="12228140" w:rsidR="65B52B27">
        <w:rPr>
          <w:rFonts w:ascii="Palatino Linotype" w:hAnsi="Palatino Linotype"/>
          <w:sz w:val="24"/>
          <w:szCs w:val="24"/>
        </w:rPr>
        <w:t xml:space="preserve">complies with </w:t>
      </w:r>
      <w:r w:rsidRPr="12228140" w:rsidR="50AF1D1C">
        <w:rPr>
          <w:rFonts w:ascii="Palatino Linotype" w:hAnsi="Palatino Linotype"/>
          <w:sz w:val="24"/>
          <w:szCs w:val="24"/>
        </w:rPr>
        <w:t xml:space="preserve">SCE’s Preliminary Statement AAA, Section 5 </w:t>
      </w:r>
      <w:r w:rsidRPr="12228140" w:rsidR="239F1314">
        <w:rPr>
          <w:rFonts w:ascii="Palatino Linotype" w:hAnsi="Palatino Linotype"/>
          <w:sz w:val="24"/>
          <w:szCs w:val="24"/>
        </w:rPr>
        <w:t xml:space="preserve">which </w:t>
      </w:r>
      <w:r w:rsidRPr="12228140" w:rsidR="50AF1D1C">
        <w:rPr>
          <w:rFonts w:ascii="Palatino Linotype" w:hAnsi="Palatino Linotype"/>
          <w:sz w:val="24"/>
          <w:szCs w:val="24"/>
        </w:rPr>
        <w:t xml:space="preserve">requires the utility to provide a notification letter addressed to the </w:t>
      </w:r>
      <w:r w:rsidR="006043F5">
        <w:rPr>
          <w:rFonts w:ascii="Palatino Linotype" w:hAnsi="Palatino Linotype"/>
          <w:sz w:val="24"/>
          <w:szCs w:val="24"/>
        </w:rPr>
        <w:br/>
      </w:r>
      <w:r w:rsidRPr="12228140" w:rsidR="50AF1D1C">
        <w:rPr>
          <w:rFonts w:ascii="Palatino Linotype" w:hAnsi="Palatino Linotype"/>
          <w:sz w:val="24"/>
          <w:szCs w:val="24"/>
        </w:rPr>
        <w:t xml:space="preserve">Commission’s Executive Director in response to a potential Z-factor.  </w:t>
      </w:r>
    </w:p>
    <w:p w:rsidR="12228140" w:rsidP="12228140" w:rsidRDefault="12228140" w14:paraId="221B4415" w14:textId="77777777">
      <w:pPr>
        <w:rPr>
          <w:rFonts w:ascii="Palatino Linotype" w:hAnsi="Palatino Linotype"/>
          <w:sz w:val="24"/>
          <w:szCs w:val="24"/>
          <w:u w:val="single"/>
        </w:rPr>
      </w:pPr>
    </w:p>
    <w:p w:rsidR="7C4C0ED2" w:rsidP="12228140" w:rsidRDefault="7C4C0ED2" w14:paraId="0B0FAB87" w14:textId="77777777">
      <w:pPr>
        <w:rPr>
          <w:rFonts w:ascii="Palatino Linotype" w:hAnsi="Palatino Linotype"/>
          <w:sz w:val="24"/>
          <w:szCs w:val="24"/>
          <w:u w:val="single"/>
        </w:rPr>
      </w:pPr>
      <w:r w:rsidRPr="365BEDDC">
        <w:rPr>
          <w:rFonts w:ascii="Palatino Linotype" w:hAnsi="Palatino Linotype"/>
          <w:sz w:val="24"/>
          <w:szCs w:val="24"/>
          <w:u w:val="single"/>
        </w:rPr>
        <w:t xml:space="preserve">SCE </w:t>
      </w:r>
      <w:r w:rsidRPr="365BEDDC" w:rsidR="726F8605">
        <w:rPr>
          <w:rFonts w:ascii="Palatino Linotype" w:hAnsi="Palatino Linotype"/>
          <w:sz w:val="24"/>
          <w:szCs w:val="24"/>
          <w:u w:val="single"/>
        </w:rPr>
        <w:t>Test Year</w:t>
      </w:r>
      <w:r w:rsidRPr="365BEDDC" w:rsidR="348B795B">
        <w:rPr>
          <w:rFonts w:ascii="Palatino Linotype" w:hAnsi="Palatino Linotype"/>
          <w:sz w:val="24"/>
          <w:szCs w:val="24"/>
          <w:u w:val="single"/>
        </w:rPr>
        <w:t>s</w:t>
      </w:r>
      <w:r w:rsidRPr="365BEDDC" w:rsidR="726F8605">
        <w:rPr>
          <w:rFonts w:ascii="Palatino Linotype" w:hAnsi="Palatino Linotype"/>
          <w:sz w:val="24"/>
          <w:szCs w:val="24"/>
          <w:u w:val="single"/>
        </w:rPr>
        <w:t xml:space="preserve"> (T</w:t>
      </w:r>
      <w:r w:rsidRPr="365BEDDC">
        <w:rPr>
          <w:rFonts w:ascii="Palatino Linotype" w:hAnsi="Palatino Linotype"/>
          <w:sz w:val="24"/>
          <w:szCs w:val="24"/>
          <w:u w:val="single"/>
        </w:rPr>
        <w:t>Y</w:t>
      </w:r>
      <w:r w:rsidRPr="365BEDDC" w:rsidR="5E0AF344">
        <w:rPr>
          <w:rFonts w:ascii="Palatino Linotype" w:hAnsi="Palatino Linotype"/>
          <w:sz w:val="24"/>
          <w:szCs w:val="24"/>
          <w:u w:val="single"/>
        </w:rPr>
        <w:t>)</w:t>
      </w:r>
      <w:r w:rsidRPr="365BEDDC">
        <w:rPr>
          <w:rFonts w:ascii="Palatino Linotype" w:hAnsi="Palatino Linotype"/>
          <w:sz w:val="24"/>
          <w:szCs w:val="24"/>
          <w:u w:val="single"/>
        </w:rPr>
        <w:t xml:space="preserve"> </w:t>
      </w:r>
      <w:r w:rsidRPr="365BEDDC" w:rsidR="29563E1D">
        <w:rPr>
          <w:rFonts w:ascii="Palatino Linotype" w:hAnsi="Palatino Linotype"/>
          <w:sz w:val="24"/>
          <w:szCs w:val="24"/>
          <w:u w:val="single"/>
        </w:rPr>
        <w:t xml:space="preserve">2018 GRC and </w:t>
      </w:r>
      <w:r w:rsidRPr="365BEDDC">
        <w:rPr>
          <w:rFonts w:ascii="Palatino Linotype" w:hAnsi="Palatino Linotype"/>
          <w:sz w:val="24"/>
          <w:szCs w:val="24"/>
          <w:u w:val="single"/>
        </w:rPr>
        <w:t>2021 GRC Track 3</w:t>
      </w:r>
    </w:p>
    <w:p w:rsidR="12228140" w:rsidP="12228140" w:rsidRDefault="12228140" w14:paraId="733421F9" w14:textId="77777777">
      <w:pPr>
        <w:rPr>
          <w:rFonts w:ascii="Palatino Linotype" w:hAnsi="Palatino Linotype"/>
          <w:sz w:val="24"/>
          <w:szCs w:val="24"/>
          <w:u w:val="single"/>
        </w:rPr>
      </w:pPr>
    </w:p>
    <w:p w:rsidR="5EDD1A98" w:rsidP="365BEDDC" w:rsidRDefault="49AD3F6C" w14:paraId="320835AF" w14:textId="77777777">
      <w:pPr>
        <w:rPr>
          <w:rFonts w:ascii="Palatino Linotype" w:hAnsi="Palatino Linotype"/>
          <w:sz w:val="24"/>
          <w:szCs w:val="24"/>
        </w:rPr>
      </w:pPr>
      <w:r w:rsidRPr="365BEDDC">
        <w:rPr>
          <w:rFonts w:ascii="Palatino Linotype" w:hAnsi="Palatino Linotype"/>
          <w:sz w:val="24"/>
          <w:szCs w:val="24"/>
        </w:rPr>
        <w:t xml:space="preserve">In SCE’s TY 2018 GRC D.19-05-020 the Commission authorized $80.16 million for </w:t>
      </w:r>
      <w:r w:rsidRPr="365BEDDC" w:rsidR="09D7B07A">
        <w:rPr>
          <w:rFonts w:ascii="Palatino Linotype" w:hAnsi="Palatino Linotype"/>
          <w:sz w:val="24"/>
          <w:szCs w:val="24"/>
        </w:rPr>
        <w:t>v</w:t>
      </w:r>
      <w:r w:rsidRPr="365BEDDC">
        <w:rPr>
          <w:rFonts w:ascii="Palatino Linotype" w:hAnsi="Palatino Linotype"/>
          <w:sz w:val="24"/>
          <w:szCs w:val="24"/>
        </w:rPr>
        <w:t xml:space="preserve">egetation </w:t>
      </w:r>
      <w:r w:rsidRPr="365BEDDC" w:rsidR="273D00DF">
        <w:rPr>
          <w:rFonts w:ascii="Palatino Linotype" w:hAnsi="Palatino Linotype"/>
          <w:sz w:val="24"/>
          <w:szCs w:val="24"/>
        </w:rPr>
        <w:t>m</w:t>
      </w:r>
      <w:r w:rsidRPr="365BEDDC">
        <w:rPr>
          <w:rFonts w:ascii="Palatino Linotype" w:hAnsi="Palatino Linotype"/>
          <w:sz w:val="24"/>
          <w:szCs w:val="24"/>
        </w:rPr>
        <w:t>anagement activities in 2020.</w:t>
      </w:r>
      <w:r w:rsidRPr="365BEDDC" w:rsidR="5EDD1A98">
        <w:rPr>
          <w:rStyle w:val="FootnoteReference"/>
          <w:rFonts w:ascii="Palatino Linotype" w:hAnsi="Palatino Linotype"/>
          <w:sz w:val="24"/>
          <w:szCs w:val="24"/>
        </w:rPr>
        <w:footnoteReference w:id="7"/>
      </w:r>
      <w:r w:rsidRPr="365BEDDC" w:rsidR="2BC87D71">
        <w:rPr>
          <w:rFonts w:ascii="Palatino Linotype" w:hAnsi="Palatino Linotype"/>
          <w:sz w:val="24"/>
          <w:szCs w:val="24"/>
        </w:rPr>
        <w:t xml:space="preserve"> </w:t>
      </w:r>
      <w:r w:rsidRPr="365BEDDC" w:rsidR="73027823">
        <w:rPr>
          <w:rFonts w:ascii="Palatino Linotype" w:hAnsi="Palatino Linotype"/>
          <w:sz w:val="24"/>
          <w:szCs w:val="24"/>
        </w:rPr>
        <w:t xml:space="preserve"> </w:t>
      </w:r>
      <w:r w:rsidRPr="365BEDDC" w:rsidR="2BC87D71">
        <w:rPr>
          <w:rFonts w:ascii="Palatino Linotype" w:hAnsi="Palatino Linotype"/>
          <w:sz w:val="24"/>
          <w:szCs w:val="24"/>
        </w:rPr>
        <w:t xml:space="preserve">SCE’s TY 2018 GRC forecast was </w:t>
      </w:r>
      <w:r w:rsidRPr="365BEDDC" w:rsidR="3E00889E">
        <w:rPr>
          <w:rFonts w:ascii="Palatino Linotype" w:hAnsi="Palatino Linotype"/>
          <w:sz w:val="24"/>
          <w:szCs w:val="24"/>
        </w:rPr>
        <w:t xml:space="preserve">developed in 2016 </w:t>
      </w:r>
      <w:r w:rsidRPr="365BEDDC" w:rsidR="2BC87D71">
        <w:rPr>
          <w:rFonts w:ascii="Palatino Linotype" w:hAnsi="Palatino Linotype"/>
          <w:sz w:val="24"/>
          <w:szCs w:val="24"/>
        </w:rPr>
        <w:t>based on its last year of recorded costs</w:t>
      </w:r>
      <w:r w:rsidRPr="365BEDDC" w:rsidR="3BCEBF04">
        <w:rPr>
          <w:rFonts w:ascii="Palatino Linotype" w:hAnsi="Palatino Linotype"/>
          <w:sz w:val="24"/>
          <w:szCs w:val="24"/>
        </w:rPr>
        <w:t xml:space="preserve"> – </w:t>
      </w:r>
      <w:r w:rsidRPr="365BEDDC" w:rsidR="6500F768">
        <w:rPr>
          <w:rFonts w:ascii="Palatino Linotype" w:hAnsi="Palatino Linotype"/>
          <w:sz w:val="24"/>
          <w:szCs w:val="24"/>
        </w:rPr>
        <w:t xml:space="preserve">i.e., </w:t>
      </w:r>
      <w:r w:rsidRPr="365BEDDC" w:rsidR="3BCEBF04">
        <w:rPr>
          <w:rFonts w:ascii="Palatino Linotype" w:hAnsi="Palatino Linotype"/>
          <w:sz w:val="24"/>
          <w:szCs w:val="24"/>
        </w:rPr>
        <w:t>2015.</w:t>
      </w:r>
      <w:r w:rsidRPr="365BEDDC" w:rsidR="019FA928">
        <w:rPr>
          <w:rFonts w:ascii="Palatino Linotype" w:hAnsi="Palatino Linotype"/>
          <w:sz w:val="24"/>
          <w:szCs w:val="24"/>
        </w:rPr>
        <w:t xml:space="preserve">  The Commission authorized the entirety of SCE’s forecast costs.</w:t>
      </w:r>
      <w:r w:rsidRPr="365BEDDC" w:rsidR="5EDD1A98">
        <w:rPr>
          <w:rStyle w:val="FootnoteReference"/>
          <w:rFonts w:ascii="Palatino Linotype" w:hAnsi="Palatino Linotype"/>
          <w:sz w:val="24"/>
          <w:szCs w:val="24"/>
        </w:rPr>
        <w:footnoteReference w:id="8"/>
      </w:r>
    </w:p>
    <w:p w:rsidR="5EDD1A98" w:rsidP="365BEDDC" w:rsidRDefault="5EDD1A98" w14:paraId="00004788" w14:textId="77777777">
      <w:pPr>
        <w:rPr>
          <w:rFonts w:ascii="Palatino Linotype" w:hAnsi="Palatino Linotype"/>
          <w:sz w:val="24"/>
          <w:szCs w:val="24"/>
        </w:rPr>
      </w:pPr>
    </w:p>
    <w:p w:rsidR="5EDD1A98" w:rsidP="365BEDDC" w:rsidRDefault="026CECB3" w14:paraId="25C4CE6D" w14:textId="77777777">
      <w:pPr>
        <w:rPr>
          <w:rFonts w:ascii="Palatino Linotype" w:hAnsi="Palatino Linotype"/>
          <w:sz w:val="24"/>
          <w:szCs w:val="24"/>
        </w:rPr>
      </w:pPr>
      <w:r w:rsidRPr="365BEDDC">
        <w:rPr>
          <w:rFonts w:ascii="Palatino Linotype" w:hAnsi="Palatino Linotype"/>
          <w:sz w:val="24"/>
          <w:szCs w:val="24"/>
        </w:rPr>
        <w:t>Subsequently, the Commission issue</w:t>
      </w:r>
      <w:r w:rsidRPr="365BEDDC" w:rsidR="571D5243">
        <w:rPr>
          <w:rFonts w:ascii="Palatino Linotype" w:hAnsi="Palatino Linotype"/>
          <w:sz w:val="24"/>
          <w:szCs w:val="24"/>
        </w:rPr>
        <w:t xml:space="preserve">d </w:t>
      </w:r>
      <w:r w:rsidRPr="365BEDDC">
        <w:rPr>
          <w:rFonts w:ascii="Palatino Linotype" w:hAnsi="Palatino Linotype"/>
          <w:sz w:val="24"/>
          <w:szCs w:val="24"/>
        </w:rPr>
        <w:t>D.17-12-024 which</w:t>
      </w:r>
      <w:r w:rsidRPr="365BEDDC" w:rsidR="3D06EBB5">
        <w:rPr>
          <w:rFonts w:ascii="Palatino Linotype" w:hAnsi="Palatino Linotype"/>
          <w:sz w:val="24"/>
          <w:szCs w:val="24"/>
        </w:rPr>
        <w:t>, among other things,</w:t>
      </w:r>
      <w:r w:rsidRPr="365BEDDC" w:rsidR="4355BA79">
        <w:rPr>
          <w:rFonts w:ascii="Palatino Linotype" w:hAnsi="Palatino Linotype"/>
          <w:sz w:val="24"/>
          <w:szCs w:val="24"/>
        </w:rPr>
        <w:t xml:space="preserve"> established a new High Fire Threat </w:t>
      </w:r>
      <w:r w:rsidRPr="365BEDDC" w:rsidR="3B68BEB3">
        <w:rPr>
          <w:rFonts w:ascii="Palatino Linotype" w:hAnsi="Palatino Linotype"/>
          <w:sz w:val="24"/>
          <w:szCs w:val="24"/>
        </w:rPr>
        <w:t>Map and</w:t>
      </w:r>
      <w:r w:rsidRPr="365BEDDC" w:rsidR="4355BA79">
        <w:rPr>
          <w:rFonts w:ascii="Palatino Linotype" w:hAnsi="Palatino Linotype"/>
          <w:sz w:val="24"/>
          <w:szCs w:val="24"/>
        </w:rPr>
        <w:t xml:space="preserve"> recommended increased clearance distances</w:t>
      </w:r>
      <w:r w:rsidRPr="365BEDDC" w:rsidR="534F15E6">
        <w:rPr>
          <w:rFonts w:ascii="Palatino Linotype" w:hAnsi="Palatino Linotype"/>
          <w:sz w:val="24"/>
          <w:szCs w:val="24"/>
        </w:rPr>
        <w:t xml:space="preserve"> to mitigate the risk of ignitions from </w:t>
      </w:r>
      <w:r w:rsidRPr="365BEDDC" w:rsidR="7374ECCD">
        <w:rPr>
          <w:rFonts w:ascii="Palatino Linotype" w:hAnsi="Palatino Linotype"/>
          <w:sz w:val="24"/>
          <w:szCs w:val="24"/>
        </w:rPr>
        <w:t>vegetation</w:t>
      </w:r>
      <w:r w:rsidRPr="365BEDDC" w:rsidR="534F15E6">
        <w:rPr>
          <w:rFonts w:ascii="Palatino Linotype" w:hAnsi="Palatino Linotype"/>
          <w:sz w:val="24"/>
          <w:szCs w:val="24"/>
        </w:rPr>
        <w:t xml:space="preserve"> contacting energized </w:t>
      </w:r>
      <w:r w:rsidRPr="365BEDDC" w:rsidR="52B9BF0F">
        <w:rPr>
          <w:rFonts w:ascii="Palatino Linotype" w:hAnsi="Palatino Linotype"/>
          <w:sz w:val="24"/>
          <w:szCs w:val="24"/>
        </w:rPr>
        <w:t>equipment</w:t>
      </w:r>
      <w:r w:rsidRPr="365BEDDC" w:rsidR="534F15E6">
        <w:rPr>
          <w:rFonts w:ascii="Palatino Linotype" w:hAnsi="Palatino Linotype"/>
          <w:sz w:val="24"/>
          <w:szCs w:val="24"/>
        </w:rPr>
        <w:t>.</w:t>
      </w:r>
      <w:r w:rsidRPr="365BEDDC" w:rsidR="5EDD1A98">
        <w:rPr>
          <w:rStyle w:val="FootnoteReference"/>
          <w:rFonts w:ascii="Palatino Linotype" w:hAnsi="Palatino Linotype"/>
          <w:sz w:val="24"/>
          <w:szCs w:val="24"/>
        </w:rPr>
        <w:footnoteReference w:id="9"/>
      </w:r>
    </w:p>
    <w:p w:rsidR="5EDD1A98" w:rsidP="365BEDDC" w:rsidRDefault="5EDD1A98" w14:paraId="0A2FF0E9" w14:textId="77777777">
      <w:pPr>
        <w:rPr>
          <w:rFonts w:ascii="Palatino Linotype" w:hAnsi="Palatino Linotype"/>
          <w:sz w:val="24"/>
          <w:szCs w:val="24"/>
        </w:rPr>
      </w:pPr>
    </w:p>
    <w:p w:rsidR="5EDD1A98" w:rsidP="365BEDDC" w:rsidRDefault="3144FE2F" w14:paraId="6C39DC94" w14:textId="77777777">
      <w:pPr>
        <w:rPr>
          <w:rFonts w:ascii="Palatino Linotype" w:hAnsi="Palatino Linotype"/>
          <w:sz w:val="24"/>
          <w:szCs w:val="24"/>
        </w:rPr>
      </w:pPr>
      <w:r w:rsidRPr="365BEDDC">
        <w:rPr>
          <w:rFonts w:ascii="Palatino Linotype" w:hAnsi="Palatino Linotype"/>
          <w:sz w:val="24"/>
          <w:szCs w:val="24"/>
        </w:rPr>
        <w:t xml:space="preserve">SCE’s expanded clearance practices, </w:t>
      </w:r>
      <w:r w:rsidRPr="365BEDDC" w:rsidR="628B32A9">
        <w:rPr>
          <w:rFonts w:ascii="Palatino Linotype" w:hAnsi="Palatino Linotype"/>
          <w:sz w:val="24"/>
          <w:szCs w:val="24"/>
        </w:rPr>
        <w:t xml:space="preserve">D.17-12-024, </w:t>
      </w:r>
      <w:r w:rsidRPr="365BEDDC">
        <w:rPr>
          <w:rFonts w:ascii="Palatino Linotype" w:hAnsi="Palatino Linotype"/>
          <w:sz w:val="24"/>
          <w:szCs w:val="24"/>
        </w:rPr>
        <w:t xml:space="preserve">and the passage of SB 247 collectively increased the costs of vegetation management work beyond </w:t>
      </w:r>
      <w:r w:rsidRPr="365BEDDC" w:rsidR="7C2F59A8">
        <w:rPr>
          <w:rFonts w:ascii="Palatino Linotype" w:hAnsi="Palatino Linotype"/>
          <w:sz w:val="24"/>
          <w:szCs w:val="24"/>
        </w:rPr>
        <w:t xml:space="preserve">what </w:t>
      </w:r>
      <w:r w:rsidRPr="365BEDDC">
        <w:rPr>
          <w:rFonts w:ascii="Palatino Linotype" w:hAnsi="Palatino Linotype"/>
          <w:sz w:val="24"/>
          <w:szCs w:val="24"/>
        </w:rPr>
        <w:t xml:space="preserve">was authorized in the TY 2018 GRC.  </w:t>
      </w:r>
      <w:r w:rsidRPr="365BEDDC" w:rsidR="1B8991FC">
        <w:rPr>
          <w:rFonts w:ascii="Palatino Linotype" w:hAnsi="Palatino Linotype"/>
          <w:sz w:val="24"/>
          <w:szCs w:val="24"/>
        </w:rPr>
        <w:t>In 2020, SCE incurred $332</w:t>
      </w:r>
      <w:r w:rsidRPr="365BEDDC" w:rsidR="3BA2F88C">
        <w:rPr>
          <w:rFonts w:ascii="Palatino Linotype" w:hAnsi="Palatino Linotype"/>
          <w:sz w:val="24"/>
          <w:szCs w:val="24"/>
        </w:rPr>
        <w:t>.48</w:t>
      </w:r>
      <w:r w:rsidRPr="365BEDDC" w:rsidR="1B8991FC">
        <w:rPr>
          <w:rFonts w:ascii="Palatino Linotype" w:hAnsi="Palatino Linotype"/>
          <w:sz w:val="24"/>
          <w:szCs w:val="24"/>
        </w:rPr>
        <w:t xml:space="preserve"> million</w:t>
      </w:r>
      <w:r w:rsidRPr="00E823D8" w:rsidR="5EDD1A98">
        <w:rPr>
          <w:rStyle w:val="FootnoteReference"/>
          <w:rFonts w:ascii="Palatino Linotype" w:hAnsi="Palatino Linotype"/>
          <w:sz w:val="24"/>
          <w:szCs w:val="24"/>
        </w:rPr>
        <w:footnoteReference w:id="10"/>
      </w:r>
      <w:r w:rsidRPr="00E823D8" w:rsidR="5D224BCD">
        <w:rPr>
          <w:rStyle w:val="FootnoteReference"/>
          <w:sz w:val="24"/>
          <w:szCs w:val="24"/>
        </w:rPr>
        <w:t xml:space="preserve"> </w:t>
      </w:r>
      <w:r w:rsidRPr="365BEDDC" w:rsidR="1B8991FC">
        <w:rPr>
          <w:rFonts w:ascii="Palatino Linotype" w:hAnsi="Palatino Linotype"/>
          <w:sz w:val="24"/>
          <w:szCs w:val="24"/>
        </w:rPr>
        <w:t xml:space="preserve">in </w:t>
      </w:r>
      <w:r w:rsidRPr="365BEDDC" w:rsidR="467AE9EC">
        <w:rPr>
          <w:rFonts w:ascii="Palatino Linotype" w:hAnsi="Palatino Linotype"/>
          <w:sz w:val="24"/>
          <w:szCs w:val="24"/>
        </w:rPr>
        <w:t xml:space="preserve">line </w:t>
      </w:r>
      <w:r w:rsidRPr="365BEDDC" w:rsidR="6057168A">
        <w:rPr>
          <w:rFonts w:ascii="Palatino Linotype" w:hAnsi="Palatino Linotype"/>
          <w:sz w:val="24"/>
          <w:szCs w:val="24"/>
        </w:rPr>
        <w:t>clearance</w:t>
      </w:r>
      <w:r w:rsidRPr="365BEDDC" w:rsidR="467AE9EC">
        <w:rPr>
          <w:rFonts w:ascii="Palatino Linotype" w:hAnsi="Palatino Linotype"/>
          <w:sz w:val="24"/>
          <w:szCs w:val="24"/>
        </w:rPr>
        <w:t xml:space="preserve"> veg</w:t>
      </w:r>
      <w:r w:rsidRPr="365BEDDC" w:rsidR="45AD25E1">
        <w:rPr>
          <w:rFonts w:ascii="Palatino Linotype" w:hAnsi="Palatino Linotype"/>
          <w:sz w:val="24"/>
          <w:szCs w:val="24"/>
        </w:rPr>
        <w:t>etation management activities</w:t>
      </w:r>
      <w:r w:rsidRPr="365BEDDC" w:rsidR="1B8991FC">
        <w:rPr>
          <w:rFonts w:ascii="Palatino Linotype" w:hAnsi="Palatino Linotype"/>
          <w:sz w:val="24"/>
          <w:szCs w:val="24"/>
        </w:rPr>
        <w:t>, an increase of $252</w:t>
      </w:r>
      <w:r w:rsidRPr="365BEDDC" w:rsidR="31657593">
        <w:rPr>
          <w:rFonts w:ascii="Palatino Linotype" w:hAnsi="Palatino Linotype"/>
          <w:sz w:val="24"/>
          <w:szCs w:val="24"/>
        </w:rPr>
        <w:t xml:space="preserve">.32 </w:t>
      </w:r>
      <w:r w:rsidRPr="365BEDDC" w:rsidR="0F440929">
        <w:rPr>
          <w:rFonts w:ascii="Palatino Linotype" w:hAnsi="Palatino Linotype"/>
          <w:sz w:val="24"/>
          <w:szCs w:val="24"/>
        </w:rPr>
        <w:t>million</w:t>
      </w:r>
      <w:r w:rsidRPr="365BEDDC" w:rsidR="1B8991FC">
        <w:rPr>
          <w:rFonts w:ascii="Palatino Linotype" w:hAnsi="Palatino Linotype"/>
          <w:sz w:val="24"/>
          <w:szCs w:val="24"/>
        </w:rPr>
        <w:t xml:space="preserve"> </w:t>
      </w:r>
      <w:r w:rsidRPr="365BEDDC" w:rsidR="2C8F061D">
        <w:rPr>
          <w:rFonts w:ascii="Palatino Linotype" w:hAnsi="Palatino Linotype"/>
          <w:sz w:val="24"/>
          <w:szCs w:val="24"/>
        </w:rPr>
        <w:t xml:space="preserve">over </w:t>
      </w:r>
      <w:r w:rsidRPr="365BEDDC" w:rsidR="1B8991FC">
        <w:rPr>
          <w:rFonts w:ascii="Palatino Linotype" w:hAnsi="Palatino Linotype"/>
          <w:sz w:val="24"/>
          <w:szCs w:val="24"/>
        </w:rPr>
        <w:t xml:space="preserve">what was authorized </w:t>
      </w:r>
      <w:r w:rsidRPr="365BEDDC" w:rsidR="38EB041B">
        <w:rPr>
          <w:rFonts w:ascii="Palatino Linotype" w:hAnsi="Palatino Linotype"/>
          <w:sz w:val="24"/>
          <w:szCs w:val="24"/>
        </w:rPr>
        <w:t xml:space="preserve">for </w:t>
      </w:r>
      <w:r w:rsidRPr="365BEDDC" w:rsidR="38EB041B">
        <w:rPr>
          <w:rFonts w:ascii="Palatino Linotype" w:hAnsi="Palatino Linotype"/>
          <w:sz w:val="24"/>
          <w:szCs w:val="24"/>
        </w:rPr>
        <w:lastRenderedPageBreak/>
        <w:t>2020.</w:t>
      </w:r>
      <w:r w:rsidRPr="365BEDDC" w:rsidR="5EDD1A98">
        <w:rPr>
          <w:rStyle w:val="FootnoteReference"/>
          <w:rFonts w:ascii="Palatino Linotype" w:hAnsi="Palatino Linotype"/>
          <w:sz w:val="24"/>
          <w:szCs w:val="24"/>
        </w:rPr>
        <w:footnoteReference w:id="11"/>
      </w:r>
      <w:r w:rsidRPr="365BEDDC" w:rsidR="2FEB52E2">
        <w:rPr>
          <w:rFonts w:ascii="Palatino Linotype" w:hAnsi="Palatino Linotype"/>
          <w:sz w:val="24"/>
          <w:szCs w:val="24"/>
        </w:rPr>
        <w:t xml:space="preserve">  </w:t>
      </w:r>
      <w:r w:rsidRPr="365BEDDC" w:rsidR="5E685D38">
        <w:rPr>
          <w:rFonts w:ascii="Palatino Linotype" w:hAnsi="Palatino Linotype"/>
          <w:sz w:val="24"/>
          <w:szCs w:val="24"/>
        </w:rPr>
        <w:t>Of the $332.48 million, SCE attributes $207.53 million to work in high fire risk areas and the remaining $124.94 million to work in non-high fire risk are</w:t>
      </w:r>
      <w:r w:rsidRPr="365BEDDC" w:rsidR="0ADEAE27">
        <w:rPr>
          <w:rFonts w:ascii="Palatino Linotype" w:hAnsi="Palatino Linotype"/>
          <w:sz w:val="24"/>
          <w:szCs w:val="24"/>
        </w:rPr>
        <w:t>as.</w:t>
      </w:r>
    </w:p>
    <w:p w:rsidR="5EDD1A98" w:rsidP="365BEDDC" w:rsidRDefault="5EDD1A98" w14:paraId="02D013FA" w14:textId="77777777">
      <w:pPr>
        <w:rPr>
          <w:rFonts w:ascii="Palatino Linotype" w:hAnsi="Palatino Linotype"/>
          <w:sz w:val="24"/>
          <w:szCs w:val="24"/>
        </w:rPr>
      </w:pPr>
    </w:p>
    <w:p w:rsidR="5EDD1A98" w:rsidP="365BEDDC" w:rsidRDefault="2BDC1753" w14:paraId="039B1B31" w14:textId="77777777">
      <w:pPr>
        <w:spacing w:line="259" w:lineRule="auto"/>
        <w:rPr>
          <w:rFonts w:ascii="Palatino Linotype" w:hAnsi="Palatino Linotype"/>
          <w:sz w:val="24"/>
          <w:szCs w:val="24"/>
        </w:rPr>
      </w:pPr>
      <w:r w:rsidRPr="365BEDDC">
        <w:rPr>
          <w:rFonts w:ascii="Palatino Linotype" w:hAnsi="Palatino Linotype"/>
          <w:sz w:val="24"/>
          <w:szCs w:val="24"/>
        </w:rPr>
        <w:t xml:space="preserve">In SCE’s 2021 GRC </w:t>
      </w:r>
      <w:r w:rsidRPr="365BEDDC" w:rsidR="4603F83E">
        <w:rPr>
          <w:rFonts w:ascii="Palatino Linotype" w:hAnsi="Palatino Linotype"/>
          <w:sz w:val="24"/>
          <w:szCs w:val="24"/>
        </w:rPr>
        <w:t>A.</w:t>
      </w:r>
      <w:r w:rsidRPr="365BEDDC" w:rsidR="1AAC4B52">
        <w:rPr>
          <w:rFonts w:ascii="Palatino Linotype" w:hAnsi="Palatino Linotype"/>
          <w:sz w:val="24"/>
          <w:szCs w:val="24"/>
        </w:rPr>
        <w:t>1</w:t>
      </w:r>
      <w:r w:rsidRPr="365BEDDC" w:rsidR="4603F83E">
        <w:rPr>
          <w:rFonts w:ascii="Palatino Linotype" w:hAnsi="Palatino Linotype"/>
          <w:sz w:val="24"/>
          <w:szCs w:val="24"/>
        </w:rPr>
        <w:t xml:space="preserve">9-08-013 </w:t>
      </w:r>
      <w:r w:rsidRPr="365BEDDC">
        <w:rPr>
          <w:rFonts w:ascii="Palatino Linotype" w:hAnsi="Palatino Linotype"/>
          <w:sz w:val="24"/>
          <w:szCs w:val="24"/>
        </w:rPr>
        <w:t xml:space="preserve">Track 3, SCE </w:t>
      </w:r>
      <w:r w:rsidRPr="365BEDDC">
        <w:rPr>
          <w:rFonts w:ascii="Palatino Linotype" w:hAnsi="Palatino Linotype" w:eastAsia="Palatino Linotype" w:cs="Palatino Linotype"/>
          <w:sz w:val="24"/>
          <w:szCs w:val="24"/>
        </w:rPr>
        <w:t>sought reasonableness review and recovery of the $252.3</w:t>
      </w:r>
      <w:r w:rsidRPr="365BEDDC" w:rsidR="4E5C7756">
        <w:rPr>
          <w:rFonts w:ascii="Palatino Linotype" w:hAnsi="Palatino Linotype" w:eastAsia="Palatino Linotype" w:cs="Palatino Linotype"/>
          <w:sz w:val="24"/>
          <w:szCs w:val="24"/>
        </w:rPr>
        <w:t>2</w:t>
      </w:r>
      <w:r w:rsidRPr="365BEDDC">
        <w:rPr>
          <w:rFonts w:ascii="Palatino Linotype" w:hAnsi="Palatino Linotype" w:eastAsia="Palatino Linotype" w:cs="Palatino Linotype"/>
          <w:sz w:val="24"/>
          <w:szCs w:val="24"/>
        </w:rPr>
        <w:t xml:space="preserve"> million of incremental 2020 line clearance costs</w:t>
      </w:r>
      <w:r w:rsidRPr="365BEDDC" w:rsidR="7D26BDB8">
        <w:rPr>
          <w:rFonts w:ascii="Palatino Linotype" w:hAnsi="Palatino Linotype" w:eastAsia="Palatino Linotype" w:cs="Palatino Linotype"/>
          <w:sz w:val="24"/>
          <w:szCs w:val="24"/>
        </w:rPr>
        <w:t>, which SCE</w:t>
      </w:r>
      <w:r w:rsidRPr="365BEDDC" w:rsidR="686BD03E">
        <w:rPr>
          <w:rFonts w:ascii="Palatino Linotype" w:hAnsi="Palatino Linotype" w:eastAsia="Palatino Linotype" w:cs="Palatino Linotype"/>
          <w:sz w:val="24"/>
          <w:szCs w:val="24"/>
        </w:rPr>
        <w:t xml:space="preserve"> </w:t>
      </w:r>
      <w:r w:rsidRPr="365BEDDC">
        <w:rPr>
          <w:rFonts w:ascii="Palatino Linotype" w:hAnsi="Palatino Linotype"/>
          <w:sz w:val="24"/>
          <w:szCs w:val="24"/>
        </w:rPr>
        <w:t>recorded in the Fire Hazard Prevention Memorandum Account (FHPMA).</w:t>
      </w:r>
      <w:r w:rsidRPr="365BEDDC" w:rsidR="5EDD1A98">
        <w:rPr>
          <w:rStyle w:val="FootnoteReference"/>
          <w:rFonts w:ascii="Palatino Linotype" w:hAnsi="Palatino Linotype"/>
          <w:sz w:val="24"/>
          <w:szCs w:val="24"/>
        </w:rPr>
        <w:footnoteReference w:id="12"/>
      </w:r>
      <w:r w:rsidRPr="365BEDDC">
        <w:rPr>
          <w:rFonts w:ascii="Palatino Linotype" w:hAnsi="Palatino Linotype"/>
          <w:sz w:val="24"/>
          <w:szCs w:val="24"/>
        </w:rPr>
        <w:t xml:space="preserve">  SCE attributes $123.34 million of its incremental line clearance costs as being related to </w:t>
      </w:r>
      <w:r w:rsidR="0057678A">
        <w:rPr>
          <w:rFonts w:ascii="Palatino Linotype" w:hAnsi="Palatino Linotype"/>
          <w:sz w:val="24"/>
          <w:szCs w:val="24"/>
        </w:rPr>
        <w:br/>
      </w:r>
      <w:r w:rsidRPr="365BEDDC">
        <w:rPr>
          <w:rFonts w:ascii="Palatino Linotype" w:hAnsi="Palatino Linotype"/>
          <w:sz w:val="24"/>
          <w:szCs w:val="24"/>
        </w:rPr>
        <w:t>SB 247 and the remaining $128.97 million as non-SB 247 costs.</w:t>
      </w:r>
      <w:r w:rsidRPr="365BEDDC" w:rsidR="5EDD1A98">
        <w:rPr>
          <w:rStyle w:val="FootnoteReference"/>
          <w:rFonts w:ascii="Palatino Linotype" w:hAnsi="Palatino Linotype"/>
          <w:sz w:val="24"/>
          <w:szCs w:val="24"/>
        </w:rPr>
        <w:footnoteReference w:id="13"/>
      </w:r>
    </w:p>
    <w:p w:rsidR="5EDD1A98" w:rsidP="365BEDDC" w:rsidRDefault="5EDD1A98" w14:paraId="706ED136" w14:textId="77777777">
      <w:pPr>
        <w:spacing w:line="259" w:lineRule="auto"/>
        <w:rPr>
          <w:rFonts w:ascii="Palatino Linotype" w:hAnsi="Palatino Linotype"/>
          <w:sz w:val="24"/>
          <w:szCs w:val="24"/>
        </w:rPr>
      </w:pPr>
    </w:p>
    <w:p w:rsidR="5EDD1A98" w:rsidP="365BEDDC" w:rsidRDefault="4D875442" w14:paraId="665CEE1B" w14:textId="77777777">
      <w:pPr>
        <w:rPr>
          <w:rFonts w:ascii="Palatino Linotype" w:hAnsi="Palatino Linotype"/>
          <w:sz w:val="24"/>
          <w:szCs w:val="24"/>
        </w:rPr>
      </w:pPr>
      <w:r w:rsidRPr="365BEDDC">
        <w:rPr>
          <w:rFonts w:ascii="Palatino Linotype" w:hAnsi="Palatino Linotype"/>
          <w:sz w:val="24"/>
          <w:szCs w:val="24"/>
        </w:rPr>
        <w:t xml:space="preserve">The </w:t>
      </w:r>
      <w:r w:rsidRPr="365BEDDC" w:rsidR="6A7D7826">
        <w:rPr>
          <w:rFonts w:ascii="Palatino Linotype" w:hAnsi="Palatino Linotype"/>
          <w:sz w:val="24"/>
          <w:szCs w:val="24"/>
        </w:rPr>
        <w:t>decision in SCE’s 2021 GRC Track 3, D.22-06-032,</w:t>
      </w:r>
      <w:r w:rsidRPr="365BEDDC">
        <w:rPr>
          <w:rFonts w:ascii="Palatino Linotype" w:hAnsi="Palatino Linotype"/>
          <w:sz w:val="24"/>
          <w:szCs w:val="24"/>
        </w:rPr>
        <w:t xml:space="preserve"> determined that </w:t>
      </w:r>
      <w:r w:rsidRPr="365BEDDC" w:rsidR="3B049A34">
        <w:rPr>
          <w:rFonts w:ascii="Palatino Linotype" w:hAnsi="Palatino Linotype"/>
          <w:sz w:val="24"/>
          <w:szCs w:val="24"/>
        </w:rPr>
        <w:t>while costs incurred for work in the high fire risk areas (HFRA) were eligible for</w:t>
      </w:r>
      <w:r w:rsidRPr="365BEDDC" w:rsidR="777B0048">
        <w:rPr>
          <w:rFonts w:ascii="Palatino Linotype" w:hAnsi="Palatino Linotype"/>
          <w:sz w:val="24"/>
          <w:szCs w:val="24"/>
        </w:rPr>
        <w:t xml:space="preserve"> </w:t>
      </w:r>
      <w:r w:rsidRPr="365BEDDC" w:rsidR="3B049A34">
        <w:rPr>
          <w:rFonts w:ascii="Palatino Linotype" w:hAnsi="Palatino Linotype"/>
          <w:sz w:val="24"/>
          <w:szCs w:val="24"/>
        </w:rPr>
        <w:t xml:space="preserve">inclusion in the FHPMA, </w:t>
      </w:r>
      <w:r w:rsidRPr="365BEDDC" w:rsidR="1F293712">
        <w:rPr>
          <w:rFonts w:ascii="Palatino Linotype" w:hAnsi="Palatino Linotype"/>
          <w:sz w:val="24"/>
          <w:szCs w:val="24"/>
        </w:rPr>
        <w:t>any costs incurred for work in the non-</w:t>
      </w:r>
      <w:r w:rsidRPr="365BEDDC" w:rsidR="3E905CF7">
        <w:rPr>
          <w:rFonts w:ascii="Palatino Linotype" w:hAnsi="Palatino Linotype"/>
          <w:sz w:val="24"/>
          <w:szCs w:val="24"/>
        </w:rPr>
        <w:t>HFRA</w:t>
      </w:r>
      <w:r w:rsidRPr="365BEDDC" w:rsidR="1F293712">
        <w:rPr>
          <w:rFonts w:ascii="Palatino Linotype" w:hAnsi="Palatino Linotype"/>
          <w:sz w:val="24"/>
          <w:szCs w:val="24"/>
        </w:rPr>
        <w:t xml:space="preserve">, including </w:t>
      </w:r>
      <w:r w:rsidRPr="365BEDDC">
        <w:rPr>
          <w:rFonts w:ascii="Palatino Linotype" w:hAnsi="Palatino Linotype"/>
          <w:sz w:val="24"/>
          <w:szCs w:val="24"/>
        </w:rPr>
        <w:t>SB 247</w:t>
      </w:r>
      <w:r w:rsidRPr="365BEDDC" w:rsidR="5A960FAD">
        <w:rPr>
          <w:rFonts w:ascii="Palatino Linotype" w:hAnsi="Palatino Linotype"/>
          <w:sz w:val="24"/>
          <w:szCs w:val="24"/>
        </w:rPr>
        <w:t>-related</w:t>
      </w:r>
      <w:r w:rsidRPr="365BEDDC">
        <w:rPr>
          <w:rFonts w:ascii="Palatino Linotype" w:hAnsi="Palatino Linotype"/>
          <w:sz w:val="24"/>
          <w:szCs w:val="24"/>
        </w:rPr>
        <w:t xml:space="preserve"> costs</w:t>
      </w:r>
      <w:r w:rsidRPr="365BEDDC" w:rsidR="35C51D3D">
        <w:rPr>
          <w:rFonts w:ascii="Palatino Linotype" w:hAnsi="Palatino Linotype"/>
          <w:sz w:val="24"/>
          <w:szCs w:val="24"/>
        </w:rPr>
        <w:t>,</w:t>
      </w:r>
      <w:r w:rsidRPr="365BEDDC">
        <w:rPr>
          <w:rFonts w:ascii="Palatino Linotype" w:hAnsi="Palatino Linotype"/>
          <w:sz w:val="24"/>
          <w:szCs w:val="24"/>
        </w:rPr>
        <w:t xml:space="preserve"> were ineligible for inclusion in the </w:t>
      </w:r>
      <w:r w:rsidRPr="365BEDDC" w:rsidR="5F649D5D">
        <w:rPr>
          <w:rFonts w:ascii="Palatino Linotype" w:hAnsi="Palatino Linotype"/>
          <w:sz w:val="24"/>
          <w:szCs w:val="24"/>
        </w:rPr>
        <w:t>FHPMA</w:t>
      </w:r>
      <w:r w:rsidRPr="365BEDDC">
        <w:rPr>
          <w:rFonts w:ascii="Palatino Linotype" w:hAnsi="Palatino Linotype"/>
          <w:sz w:val="24"/>
          <w:szCs w:val="24"/>
        </w:rPr>
        <w:t>.</w:t>
      </w:r>
      <w:r w:rsidRPr="365BEDDC" w:rsidR="5EDD1A98">
        <w:rPr>
          <w:rStyle w:val="FootnoteReference"/>
          <w:rFonts w:ascii="Palatino Linotype" w:hAnsi="Palatino Linotype"/>
          <w:sz w:val="24"/>
          <w:szCs w:val="24"/>
        </w:rPr>
        <w:footnoteReference w:id="14"/>
      </w:r>
      <w:r w:rsidRPr="365BEDDC">
        <w:rPr>
          <w:rFonts w:ascii="Palatino Linotype" w:hAnsi="Palatino Linotype"/>
          <w:sz w:val="24"/>
          <w:szCs w:val="24"/>
        </w:rPr>
        <w:t xml:space="preserve"> </w:t>
      </w:r>
      <w:r w:rsidRPr="365BEDDC" w:rsidR="27620B52">
        <w:rPr>
          <w:rFonts w:ascii="Palatino Linotype" w:hAnsi="Palatino Linotype"/>
          <w:sz w:val="24"/>
          <w:szCs w:val="24"/>
        </w:rPr>
        <w:t xml:space="preserve"> </w:t>
      </w:r>
      <w:r w:rsidRPr="365BEDDC">
        <w:rPr>
          <w:rFonts w:ascii="Palatino Linotype" w:hAnsi="Palatino Linotype"/>
          <w:sz w:val="24"/>
          <w:szCs w:val="24"/>
        </w:rPr>
        <w:t xml:space="preserve">The Track 3 Decision found that </w:t>
      </w:r>
      <w:r w:rsidR="0057678A">
        <w:rPr>
          <w:rFonts w:ascii="Palatino Linotype" w:hAnsi="Palatino Linotype"/>
          <w:sz w:val="24"/>
          <w:szCs w:val="24"/>
        </w:rPr>
        <w:br/>
      </w:r>
      <w:r w:rsidRPr="365BEDDC">
        <w:rPr>
          <w:rFonts w:ascii="Palatino Linotype" w:hAnsi="Palatino Linotype"/>
          <w:sz w:val="24"/>
          <w:szCs w:val="24"/>
        </w:rPr>
        <w:t>D.17-12-024 authorized SCE to track costs to implement new fire regulations</w:t>
      </w:r>
      <w:r w:rsidRPr="365BEDDC" w:rsidR="2F22927F">
        <w:rPr>
          <w:rFonts w:ascii="Palatino Linotype" w:hAnsi="Palatino Linotype"/>
          <w:sz w:val="24"/>
          <w:szCs w:val="24"/>
        </w:rPr>
        <w:t xml:space="preserve"> </w:t>
      </w:r>
      <w:r w:rsidRPr="365BEDDC" w:rsidR="383BDA22">
        <w:rPr>
          <w:rFonts w:ascii="Palatino Linotype" w:hAnsi="Palatino Linotype"/>
          <w:sz w:val="24"/>
          <w:szCs w:val="24"/>
        </w:rPr>
        <w:t xml:space="preserve">in </w:t>
      </w:r>
      <w:r w:rsidRPr="365BEDDC">
        <w:rPr>
          <w:rFonts w:ascii="Palatino Linotype" w:hAnsi="Palatino Linotype"/>
          <w:sz w:val="24"/>
          <w:szCs w:val="24"/>
        </w:rPr>
        <w:t>the FHPMA.</w:t>
      </w:r>
      <w:r w:rsidRPr="365BEDDC" w:rsidR="5EDD1A98">
        <w:rPr>
          <w:rStyle w:val="FootnoteReference"/>
          <w:rFonts w:ascii="Palatino Linotype" w:hAnsi="Palatino Linotype"/>
          <w:sz w:val="24"/>
          <w:szCs w:val="24"/>
        </w:rPr>
        <w:footnoteReference w:id="15"/>
      </w:r>
      <w:r w:rsidRPr="365BEDDC">
        <w:rPr>
          <w:rFonts w:ascii="Palatino Linotype" w:hAnsi="Palatino Linotype"/>
          <w:sz w:val="24"/>
          <w:szCs w:val="24"/>
        </w:rPr>
        <w:t xml:space="preserve">  However, because D.17-12-024 only authorized SCE to track costs related to activities in high fire threat districts, that decision does not provide authorization for SCE to record costs for non-high fire threat districts in the FHPMA.</w:t>
      </w:r>
      <w:r w:rsidRPr="365BEDDC" w:rsidR="5EDD1A98">
        <w:rPr>
          <w:rStyle w:val="FootnoteReference"/>
          <w:rFonts w:ascii="Palatino Linotype" w:hAnsi="Palatino Linotype"/>
          <w:sz w:val="24"/>
          <w:szCs w:val="24"/>
        </w:rPr>
        <w:footnoteReference w:id="16"/>
      </w:r>
    </w:p>
    <w:p w:rsidR="5EDD1A98" w:rsidP="365BEDDC" w:rsidRDefault="5EDD1A98" w14:paraId="1627694A" w14:textId="77777777">
      <w:pPr>
        <w:rPr>
          <w:rFonts w:ascii="Palatino Linotype" w:hAnsi="Palatino Linotype"/>
          <w:sz w:val="24"/>
          <w:szCs w:val="24"/>
        </w:rPr>
      </w:pPr>
    </w:p>
    <w:p w:rsidR="5EDD1A98" w:rsidP="365BEDDC" w:rsidRDefault="6E537F8B" w14:paraId="00FEE972" w14:textId="6C3C013B">
      <w:pPr>
        <w:rPr>
          <w:rFonts w:ascii="Palatino Linotype" w:hAnsi="Palatino Linotype"/>
          <w:sz w:val="24"/>
          <w:szCs w:val="24"/>
        </w:rPr>
      </w:pPr>
      <w:r w:rsidRPr="365BEDDC">
        <w:rPr>
          <w:rFonts w:ascii="Palatino Linotype" w:hAnsi="Palatino Linotype"/>
          <w:sz w:val="24"/>
          <w:szCs w:val="24"/>
        </w:rPr>
        <w:t xml:space="preserve">The </w:t>
      </w:r>
      <w:r w:rsidRPr="365BEDDC" w:rsidR="54173D44">
        <w:rPr>
          <w:rFonts w:ascii="Palatino Linotype" w:hAnsi="Palatino Linotype"/>
          <w:sz w:val="24"/>
          <w:szCs w:val="24"/>
        </w:rPr>
        <w:t xml:space="preserve">2018 GRC </w:t>
      </w:r>
      <w:r w:rsidRPr="365BEDDC">
        <w:rPr>
          <w:rFonts w:ascii="Palatino Linotype" w:hAnsi="Palatino Linotype"/>
          <w:sz w:val="24"/>
          <w:szCs w:val="24"/>
        </w:rPr>
        <w:t xml:space="preserve">decision authorizing SCE’s </w:t>
      </w:r>
      <w:r w:rsidRPr="365BEDDC" w:rsidR="5B34A246">
        <w:rPr>
          <w:rFonts w:ascii="Palatino Linotype" w:hAnsi="Palatino Linotype"/>
          <w:sz w:val="24"/>
          <w:szCs w:val="24"/>
        </w:rPr>
        <w:t xml:space="preserve">2020 </w:t>
      </w:r>
      <w:r w:rsidRPr="365BEDDC">
        <w:rPr>
          <w:rFonts w:ascii="Palatino Linotype" w:hAnsi="Palatino Linotype"/>
          <w:sz w:val="24"/>
          <w:szCs w:val="24"/>
        </w:rPr>
        <w:t xml:space="preserve">vegetation </w:t>
      </w:r>
      <w:r w:rsidRPr="365BEDDC" w:rsidR="1841CB17">
        <w:rPr>
          <w:rFonts w:ascii="Palatino Linotype" w:hAnsi="Palatino Linotype"/>
          <w:sz w:val="24"/>
          <w:szCs w:val="24"/>
        </w:rPr>
        <w:t xml:space="preserve">management-related costs </w:t>
      </w:r>
      <w:r w:rsidRPr="365BEDDC">
        <w:rPr>
          <w:rFonts w:ascii="Palatino Linotype" w:hAnsi="Palatino Linotype"/>
          <w:sz w:val="24"/>
          <w:szCs w:val="24"/>
        </w:rPr>
        <w:t>of $80.16 million did not</w:t>
      </w:r>
      <w:r w:rsidRPr="365BEDDC" w:rsidR="53CA46E6">
        <w:rPr>
          <w:rFonts w:ascii="Palatino Linotype" w:hAnsi="Palatino Linotype"/>
          <w:sz w:val="24"/>
          <w:szCs w:val="24"/>
        </w:rPr>
        <w:t xml:space="preserve"> segregate the </w:t>
      </w:r>
      <w:r w:rsidRPr="365BEDDC" w:rsidR="57CF133F">
        <w:rPr>
          <w:rFonts w:ascii="Palatino Linotype" w:hAnsi="Palatino Linotype"/>
          <w:sz w:val="24"/>
          <w:szCs w:val="24"/>
        </w:rPr>
        <w:t>costs by geography/HFRA designation.</w:t>
      </w:r>
      <w:r w:rsidRPr="365BEDDC" w:rsidR="5EDD1A98">
        <w:rPr>
          <w:rStyle w:val="FootnoteReference"/>
          <w:rFonts w:ascii="Palatino Linotype" w:hAnsi="Palatino Linotype"/>
          <w:sz w:val="24"/>
          <w:szCs w:val="24"/>
        </w:rPr>
        <w:footnoteReference w:id="17"/>
      </w:r>
      <w:r w:rsidRPr="365BEDDC" w:rsidR="57CF133F">
        <w:rPr>
          <w:rFonts w:ascii="Palatino Linotype" w:hAnsi="Palatino Linotype"/>
          <w:sz w:val="24"/>
          <w:szCs w:val="24"/>
        </w:rPr>
        <w:t xml:space="preserve">  </w:t>
      </w:r>
      <w:r w:rsidRPr="365BEDDC" w:rsidR="6E0D86B9">
        <w:rPr>
          <w:rFonts w:ascii="Palatino Linotype" w:hAnsi="Palatino Linotype"/>
          <w:sz w:val="24"/>
          <w:szCs w:val="24"/>
        </w:rPr>
        <w:t xml:space="preserve">In </w:t>
      </w:r>
      <w:r w:rsidR="006043F5">
        <w:rPr>
          <w:rFonts w:ascii="Palatino Linotype" w:hAnsi="Palatino Linotype"/>
          <w:sz w:val="24"/>
          <w:szCs w:val="24"/>
        </w:rPr>
        <w:br/>
      </w:r>
      <w:r w:rsidRPr="365BEDDC" w:rsidR="6E0D86B9">
        <w:rPr>
          <w:rFonts w:ascii="Palatino Linotype" w:hAnsi="Palatino Linotype"/>
          <w:sz w:val="24"/>
          <w:szCs w:val="24"/>
        </w:rPr>
        <w:t>SCE’s Track 3 Decision the Commission split the $80.16 million 2018 GRC-approved vegetation management revenues evenly between HFRA and non-HFRA.  The Commission found this results in incremental recorded costs of $167.46 million in HFRA</w:t>
      </w:r>
      <w:r w:rsidRPr="365BEDDC" w:rsidR="5EDD1A98">
        <w:rPr>
          <w:rStyle w:val="FootnoteReference"/>
          <w:rFonts w:ascii="Palatino Linotype" w:hAnsi="Palatino Linotype"/>
          <w:sz w:val="24"/>
          <w:szCs w:val="24"/>
        </w:rPr>
        <w:footnoteReference w:id="18"/>
      </w:r>
      <w:r w:rsidRPr="365BEDDC" w:rsidR="2CDE7B75">
        <w:rPr>
          <w:rFonts w:ascii="Palatino Linotype" w:hAnsi="Palatino Linotype"/>
          <w:sz w:val="24"/>
          <w:szCs w:val="24"/>
        </w:rPr>
        <w:t xml:space="preserve"> </w:t>
      </w:r>
      <w:r w:rsidRPr="365BEDDC" w:rsidR="6E0D86B9">
        <w:rPr>
          <w:rFonts w:ascii="Palatino Linotype" w:hAnsi="Palatino Linotype"/>
          <w:sz w:val="24"/>
          <w:szCs w:val="24"/>
        </w:rPr>
        <w:t xml:space="preserve">and authorized this amount (and none of the </w:t>
      </w:r>
      <w:r w:rsidRPr="365BEDDC" w:rsidR="663B9370">
        <w:rPr>
          <w:rFonts w:ascii="Palatino Linotype" w:hAnsi="Palatino Linotype"/>
          <w:sz w:val="24"/>
          <w:szCs w:val="24"/>
        </w:rPr>
        <w:t>non-</w:t>
      </w:r>
      <w:r w:rsidRPr="365BEDDC" w:rsidR="6E0D86B9">
        <w:rPr>
          <w:rFonts w:ascii="Palatino Linotype" w:hAnsi="Palatino Linotype"/>
          <w:sz w:val="24"/>
          <w:szCs w:val="24"/>
        </w:rPr>
        <w:t xml:space="preserve">HFRA costs), instead of </w:t>
      </w:r>
      <w:r w:rsidR="006043F5">
        <w:rPr>
          <w:rFonts w:ascii="Palatino Linotype" w:hAnsi="Palatino Linotype"/>
          <w:sz w:val="24"/>
          <w:szCs w:val="24"/>
        </w:rPr>
        <w:br/>
      </w:r>
      <w:r w:rsidRPr="365BEDDC" w:rsidR="6E0D86B9">
        <w:rPr>
          <w:rFonts w:ascii="Palatino Linotype" w:hAnsi="Palatino Linotype"/>
          <w:sz w:val="24"/>
          <w:szCs w:val="24"/>
        </w:rPr>
        <w:t>SCE’s $252.32 million request.</w:t>
      </w:r>
      <w:r w:rsidRPr="365BEDDC" w:rsidR="5EDD1A98">
        <w:rPr>
          <w:rStyle w:val="FootnoteReference"/>
          <w:rFonts w:ascii="Palatino Linotype" w:hAnsi="Palatino Linotype"/>
          <w:sz w:val="24"/>
          <w:szCs w:val="24"/>
        </w:rPr>
        <w:footnoteReference w:id="19"/>
      </w:r>
    </w:p>
    <w:p w:rsidR="12228140" w:rsidP="12228140" w:rsidRDefault="12228140" w14:paraId="4E4E584F" w14:textId="77777777">
      <w:pPr>
        <w:rPr>
          <w:rFonts w:ascii="Palatino Linotype" w:hAnsi="Palatino Linotype"/>
          <w:sz w:val="24"/>
          <w:szCs w:val="24"/>
        </w:rPr>
      </w:pPr>
    </w:p>
    <w:p w:rsidR="0D066E03" w:rsidP="0057678A" w:rsidRDefault="0D066E03" w14:paraId="2E9EBAC0" w14:textId="77777777">
      <w:pPr>
        <w:keepNext/>
        <w:keepLines/>
        <w:rPr>
          <w:rFonts w:ascii="Palatino Linotype" w:hAnsi="Palatino Linotype"/>
          <w:sz w:val="24"/>
          <w:szCs w:val="24"/>
          <w:u w:val="single"/>
        </w:rPr>
      </w:pPr>
      <w:r w:rsidRPr="365BEDDC">
        <w:rPr>
          <w:rFonts w:ascii="Palatino Linotype" w:hAnsi="Palatino Linotype"/>
          <w:sz w:val="24"/>
          <w:szCs w:val="24"/>
          <w:u w:val="single"/>
        </w:rPr>
        <w:lastRenderedPageBreak/>
        <w:t xml:space="preserve">Advice Letter </w:t>
      </w:r>
      <w:r w:rsidRPr="365BEDDC" w:rsidR="4BAB5334">
        <w:rPr>
          <w:rFonts w:ascii="Palatino Linotype" w:hAnsi="Palatino Linotype"/>
          <w:sz w:val="24"/>
          <w:szCs w:val="24"/>
          <w:u w:val="single"/>
        </w:rPr>
        <w:t>4</w:t>
      </w:r>
      <w:r w:rsidRPr="365BEDDC">
        <w:rPr>
          <w:rFonts w:ascii="Palatino Linotype" w:hAnsi="Palatino Linotype"/>
          <w:sz w:val="24"/>
          <w:szCs w:val="24"/>
          <w:u w:val="single"/>
        </w:rPr>
        <w:t>8</w:t>
      </w:r>
      <w:r w:rsidRPr="365BEDDC" w:rsidR="4BAB5334">
        <w:rPr>
          <w:rFonts w:ascii="Palatino Linotype" w:hAnsi="Palatino Linotype"/>
          <w:sz w:val="24"/>
          <w:szCs w:val="24"/>
          <w:u w:val="single"/>
        </w:rPr>
        <w:t>81</w:t>
      </w:r>
      <w:r w:rsidRPr="365BEDDC">
        <w:rPr>
          <w:rFonts w:ascii="Palatino Linotype" w:hAnsi="Palatino Linotype"/>
          <w:sz w:val="24"/>
          <w:szCs w:val="24"/>
          <w:u w:val="single"/>
        </w:rPr>
        <w:t>-E</w:t>
      </w:r>
    </w:p>
    <w:p w:rsidR="12228140" w:rsidP="0057678A" w:rsidRDefault="12228140" w14:paraId="1A6F13D8" w14:textId="77777777">
      <w:pPr>
        <w:keepNext/>
        <w:keepLines/>
        <w:rPr>
          <w:rFonts w:ascii="Palatino Linotype" w:hAnsi="Palatino Linotype"/>
          <w:sz w:val="24"/>
          <w:szCs w:val="24"/>
        </w:rPr>
      </w:pPr>
    </w:p>
    <w:p w:rsidR="04165FF7" w:rsidP="0057678A" w:rsidRDefault="04165FF7" w14:paraId="325912DF" w14:textId="77777777">
      <w:pPr>
        <w:keepNext/>
        <w:keepLines/>
        <w:rPr>
          <w:rFonts w:ascii="Palatino Linotype" w:hAnsi="Palatino Linotype"/>
          <w:sz w:val="24"/>
          <w:szCs w:val="24"/>
          <w:highlight w:val="green"/>
        </w:rPr>
      </w:pPr>
      <w:r w:rsidRPr="635534BE">
        <w:rPr>
          <w:rFonts w:ascii="Palatino Linotype" w:hAnsi="Palatino Linotype"/>
          <w:sz w:val="24"/>
          <w:szCs w:val="24"/>
        </w:rPr>
        <w:t>On October 6, 2022 SCE filed Advice Letter 4881-E seeking Commission approval to recover approximately $3</w:t>
      </w:r>
      <w:r w:rsidRPr="635534BE" w:rsidR="2DBC419C">
        <w:rPr>
          <w:rFonts w:ascii="Palatino Linotype" w:hAnsi="Palatino Linotype"/>
          <w:sz w:val="24"/>
          <w:szCs w:val="24"/>
        </w:rPr>
        <w:t>5</w:t>
      </w:r>
      <w:r w:rsidRPr="635534BE">
        <w:rPr>
          <w:rFonts w:ascii="Palatino Linotype" w:hAnsi="Palatino Linotype"/>
          <w:sz w:val="24"/>
          <w:szCs w:val="24"/>
        </w:rPr>
        <w:t>.</w:t>
      </w:r>
      <w:r w:rsidRPr="635534BE" w:rsidR="2DBC419C">
        <w:rPr>
          <w:rFonts w:ascii="Palatino Linotype" w:hAnsi="Palatino Linotype"/>
          <w:sz w:val="24"/>
          <w:szCs w:val="24"/>
        </w:rPr>
        <w:t>4</w:t>
      </w:r>
      <w:r w:rsidRPr="635534BE">
        <w:rPr>
          <w:rFonts w:ascii="Palatino Linotype" w:hAnsi="Palatino Linotype"/>
          <w:sz w:val="24"/>
          <w:szCs w:val="24"/>
        </w:rPr>
        <w:t xml:space="preserve"> million incurred</w:t>
      </w:r>
      <w:r w:rsidRPr="635534BE" w:rsidR="1A7D5262">
        <w:rPr>
          <w:rFonts w:ascii="Palatino Linotype" w:hAnsi="Palatino Linotype"/>
          <w:sz w:val="24"/>
          <w:szCs w:val="24"/>
        </w:rPr>
        <w:t xml:space="preserve"> in 2020</w:t>
      </w:r>
      <w:r w:rsidRPr="635534BE">
        <w:rPr>
          <w:rFonts w:ascii="Palatino Linotype" w:hAnsi="Palatino Linotype"/>
          <w:sz w:val="24"/>
          <w:szCs w:val="24"/>
        </w:rPr>
        <w:t xml:space="preserve"> </w:t>
      </w:r>
      <w:r w:rsidRPr="635534BE" w:rsidR="44469CC9">
        <w:rPr>
          <w:rFonts w:ascii="Palatino Linotype" w:hAnsi="Palatino Linotype"/>
          <w:sz w:val="24"/>
          <w:szCs w:val="24"/>
        </w:rPr>
        <w:t xml:space="preserve">for </w:t>
      </w:r>
      <w:r w:rsidRPr="635534BE" w:rsidR="3294BB47">
        <w:rPr>
          <w:rFonts w:ascii="Palatino Linotype" w:hAnsi="Palatino Linotype"/>
          <w:sz w:val="24"/>
          <w:szCs w:val="24"/>
        </w:rPr>
        <w:t>vegetation</w:t>
      </w:r>
      <w:r w:rsidRPr="635534BE" w:rsidR="44469CC9">
        <w:rPr>
          <w:rFonts w:ascii="Palatino Linotype" w:hAnsi="Palatino Linotype"/>
          <w:sz w:val="24"/>
          <w:szCs w:val="24"/>
        </w:rPr>
        <w:t xml:space="preserve"> management </w:t>
      </w:r>
      <w:r w:rsidRPr="635534BE" w:rsidR="41A705C7">
        <w:rPr>
          <w:rFonts w:ascii="Palatino Linotype" w:hAnsi="Palatino Linotype"/>
          <w:sz w:val="24"/>
          <w:szCs w:val="24"/>
        </w:rPr>
        <w:t>activities</w:t>
      </w:r>
      <w:r w:rsidRPr="635534BE" w:rsidR="44469CC9">
        <w:rPr>
          <w:rFonts w:ascii="Palatino Linotype" w:hAnsi="Palatino Linotype"/>
          <w:sz w:val="24"/>
          <w:szCs w:val="24"/>
        </w:rPr>
        <w:t xml:space="preserve"> </w:t>
      </w:r>
      <w:r w:rsidRPr="635534BE" w:rsidR="67088E86">
        <w:rPr>
          <w:rFonts w:ascii="Palatino Linotype" w:hAnsi="Palatino Linotype"/>
          <w:sz w:val="24"/>
          <w:szCs w:val="24"/>
        </w:rPr>
        <w:t xml:space="preserve">in the non-high fire risk areas (HFRA) </w:t>
      </w:r>
      <w:r w:rsidRPr="635534BE" w:rsidR="44469CC9">
        <w:rPr>
          <w:rFonts w:ascii="Palatino Linotype" w:hAnsi="Palatino Linotype"/>
          <w:sz w:val="24"/>
          <w:szCs w:val="24"/>
        </w:rPr>
        <w:t>due to the passage of SB 247</w:t>
      </w:r>
      <w:r w:rsidRPr="635534BE" w:rsidR="69CF68F3">
        <w:rPr>
          <w:rFonts w:ascii="Palatino Linotype" w:hAnsi="Palatino Linotype"/>
          <w:sz w:val="24"/>
          <w:szCs w:val="24"/>
        </w:rPr>
        <w:t xml:space="preserve">.  </w:t>
      </w:r>
      <w:r w:rsidR="0057678A">
        <w:rPr>
          <w:rFonts w:ascii="Palatino Linotype" w:hAnsi="Palatino Linotype"/>
          <w:sz w:val="24"/>
          <w:szCs w:val="24"/>
        </w:rPr>
        <w:br/>
      </w:r>
      <w:r w:rsidRPr="635534BE" w:rsidR="239BE810">
        <w:rPr>
          <w:rFonts w:ascii="Palatino Linotype" w:hAnsi="Palatino Linotype"/>
          <w:sz w:val="24"/>
          <w:szCs w:val="24"/>
        </w:rPr>
        <w:t>SCE’s calculation of t</w:t>
      </w:r>
      <w:r w:rsidRPr="635534BE" w:rsidR="6D85BB53">
        <w:rPr>
          <w:rFonts w:ascii="Palatino Linotype" w:hAnsi="Palatino Linotype"/>
          <w:sz w:val="24"/>
          <w:szCs w:val="24"/>
        </w:rPr>
        <w:t>he total incremental cost</w:t>
      </w:r>
      <w:r w:rsidRPr="635534BE" w:rsidR="078AE25C">
        <w:rPr>
          <w:rFonts w:ascii="Palatino Linotype" w:hAnsi="Palatino Linotype"/>
          <w:sz w:val="24"/>
          <w:szCs w:val="24"/>
        </w:rPr>
        <w:t xml:space="preserve">s from SB 247 in the non-HFRA was </w:t>
      </w:r>
      <w:r w:rsidR="0057678A">
        <w:rPr>
          <w:rFonts w:ascii="Palatino Linotype" w:hAnsi="Palatino Linotype"/>
          <w:sz w:val="24"/>
          <w:szCs w:val="24"/>
        </w:rPr>
        <w:br/>
      </w:r>
      <w:r w:rsidRPr="635534BE" w:rsidR="078AE25C">
        <w:rPr>
          <w:rFonts w:ascii="Palatino Linotype" w:hAnsi="Palatino Linotype"/>
          <w:sz w:val="24"/>
          <w:szCs w:val="24"/>
        </w:rPr>
        <w:t xml:space="preserve">$45.4 million.  </w:t>
      </w:r>
      <w:r w:rsidRPr="635534BE" w:rsidR="74B1F10D">
        <w:rPr>
          <w:rFonts w:ascii="Palatino Linotype" w:hAnsi="Palatino Linotype"/>
          <w:sz w:val="24"/>
          <w:szCs w:val="24"/>
        </w:rPr>
        <w:t xml:space="preserve">SCE proposes to recover this cost in its CPUC-jurisdictional revenue requirement through its Z-factor mechanism, subject to a one-time deductible of </w:t>
      </w:r>
      <w:r w:rsidR="0057678A">
        <w:rPr>
          <w:rFonts w:ascii="Palatino Linotype" w:hAnsi="Palatino Linotype"/>
          <w:sz w:val="24"/>
          <w:szCs w:val="24"/>
        </w:rPr>
        <w:br/>
      </w:r>
      <w:r w:rsidRPr="635534BE" w:rsidR="74B1F10D">
        <w:rPr>
          <w:rFonts w:ascii="Palatino Linotype" w:hAnsi="Palatino Linotype"/>
          <w:sz w:val="24"/>
          <w:szCs w:val="24"/>
        </w:rPr>
        <w:t xml:space="preserve">$10 million.  SCE’s Preliminary Statement specifies “SCE will bear the risk of all potential Z-Factors which do not have a financial impact on SCE of more than </w:t>
      </w:r>
      <w:r w:rsidR="0057678A">
        <w:rPr>
          <w:rFonts w:ascii="Palatino Linotype" w:hAnsi="Palatino Linotype"/>
          <w:sz w:val="24"/>
          <w:szCs w:val="24"/>
        </w:rPr>
        <w:br/>
      </w:r>
      <w:r w:rsidRPr="635534BE" w:rsidR="74B1F10D">
        <w:rPr>
          <w:rFonts w:ascii="Palatino Linotype" w:hAnsi="Palatino Linotype"/>
          <w:sz w:val="24"/>
          <w:szCs w:val="24"/>
        </w:rPr>
        <w:t>$10 million.”  The total amount SCE seeks to recover through this advice letter is therefore $3</w:t>
      </w:r>
      <w:r w:rsidRPr="635534BE" w:rsidR="26F0E1FD">
        <w:rPr>
          <w:rFonts w:ascii="Palatino Linotype" w:hAnsi="Palatino Linotype"/>
          <w:sz w:val="24"/>
          <w:szCs w:val="24"/>
        </w:rPr>
        <w:t>5</w:t>
      </w:r>
      <w:r w:rsidRPr="635534BE" w:rsidR="74B1F10D">
        <w:rPr>
          <w:rFonts w:ascii="Palatino Linotype" w:hAnsi="Palatino Linotype"/>
          <w:sz w:val="24"/>
          <w:szCs w:val="24"/>
        </w:rPr>
        <w:t>.</w:t>
      </w:r>
      <w:r w:rsidRPr="635534BE" w:rsidR="23DED606">
        <w:rPr>
          <w:rFonts w:ascii="Palatino Linotype" w:hAnsi="Palatino Linotype"/>
          <w:sz w:val="24"/>
          <w:szCs w:val="24"/>
        </w:rPr>
        <w:t>4</w:t>
      </w:r>
      <w:r w:rsidRPr="635534BE" w:rsidR="74B1F10D">
        <w:rPr>
          <w:rFonts w:ascii="Palatino Linotype" w:hAnsi="Palatino Linotype"/>
          <w:sz w:val="24"/>
          <w:szCs w:val="24"/>
        </w:rPr>
        <w:t xml:space="preserve"> million.</w:t>
      </w:r>
    </w:p>
    <w:p w:rsidR="12228140" w:rsidP="12228140" w:rsidRDefault="12228140" w14:paraId="1E35C0D7" w14:textId="77777777">
      <w:pPr>
        <w:rPr>
          <w:rFonts w:ascii="Palatino Linotype" w:hAnsi="Palatino Linotype"/>
          <w:sz w:val="24"/>
          <w:szCs w:val="24"/>
        </w:rPr>
      </w:pPr>
    </w:p>
    <w:p w:rsidR="69CF68F3" w:rsidP="12228140" w:rsidRDefault="69CF68F3" w14:paraId="0F33CB0E" w14:textId="77777777">
      <w:pPr>
        <w:spacing w:line="259" w:lineRule="auto"/>
        <w:rPr>
          <w:rFonts w:ascii="Palatino Linotype" w:hAnsi="Palatino Linotype"/>
          <w:sz w:val="24"/>
          <w:szCs w:val="24"/>
        </w:rPr>
      </w:pPr>
      <w:r w:rsidRPr="365BEDDC">
        <w:rPr>
          <w:rFonts w:ascii="Palatino Linotype" w:hAnsi="Palatino Linotype"/>
          <w:sz w:val="24"/>
          <w:szCs w:val="24"/>
        </w:rPr>
        <w:t>In</w:t>
      </w:r>
      <w:r w:rsidRPr="365BEDDC" w:rsidR="7B7DC617">
        <w:rPr>
          <w:rFonts w:ascii="Palatino Linotype" w:hAnsi="Palatino Linotype"/>
          <w:sz w:val="24"/>
          <w:szCs w:val="24"/>
        </w:rPr>
        <w:t xml:space="preserve"> </w:t>
      </w:r>
      <w:r w:rsidRPr="365BEDDC">
        <w:rPr>
          <w:rFonts w:ascii="Palatino Linotype" w:hAnsi="Palatino Linotype"/>
          <w:sz w:val="24"/>
          <w:szCs w:val="24"/>
        </w:rPr>
        <w:t xml:space="preserve">support of its </w:t>
      </w:r>
      <w:r w:rsidRPr="365BEDDC" w:rsidR="0852B065">
        <w:rPr>
          <w:rFonts w:ascii="Palatino Linotype" w:hAnsi="Palatino Linotype"/>
          <w:sz w:val="24"/>
          <w:szCs w:val="24"/>
        </w:rPr>
        <w:t>request</w:t>
      </w:r>
      <w:r w:rsidRPr="365BEDDC" w:rsidR="5B663A87">
        <w:rPr>
          <w:rFonts w:ascii="Palatino Linotype" w:hAnsi="Palatino Linotype"/>
          <w:sz w:val="24"/>
          <w:szCs w:val="24"/>
        </w:rPr>
        <w:t>,</w:t>
      </w:r>
      <w:r w:rsidRPr="365BEDDC">
        <w:rPr>
          <w:rFonts w:ascii="Palatino Linotype" w:hAnsi="Palatino Linotype"/>
          <w:sz w:val="24"/>
          <w:szCs w:val="24"/>
        </w:rPr>
        <w:t xml:space="preserve"> SCE presented a declaration from </w:t>
      </w:r>
      <w:r w:rsidRPr="365BEDDC" w:rsidR="0833ABAF">
        <w:rPr>
          <w:rFonts w:ascii="Palatino Linotype" w:hAnsi="Palatino Linotype"/>
          <w:sz w:val="24"/>
          <w:szCs w:val="24"/>
        </w:rPr>
        <w:t>its Principal Manager of Operational Finance, Jael Gurrola</w:t>
      </w:r>
      <w:r w:rsidRPr="365BEDDC">
        <w:rPr>
          <w:rFonts w:ascii="Palatino Linotype" w:hAnsi="Palatino Linotype"/>
          <w:sz w:val="24"/>
          <w:szCs w:val="24"/>
        </w:rPr>
        <w:t>.</w:t>
      </w:r>
      <w:r w:rsidRPr="365BEDDC" w:rsidR="0F227DA6">
        <w:rPr>
          <w:rFonts w:ascii="Palatino Linotype" w:hAnsi="Palatino Linotype"/>
          <w:sz w:val="24"/>
          <w:szCs w:val="24"/>
        </w:rPr>
        <w:t xml:space="preserve">  M</w:t>
      </w:r>
      <w:r w:rsidRPr="365BEDDC" w:rsidR="17C370C5">
        <w:rPr>
          <w:rFonts w:ascii="Palatino Linotype" w:hAnsi="Palatino Linotype"/>
          <w:sz w:val="24"/>
          <w:szCs w:val="24"/>
        </w:rPr>
        <w:t>r</w:t>
      </w:r>
      <w:r w:rsidRPr="365BEDDC" w:rsidR="0F227DA6">
        <w:rPr>
          <w:rFonts w:ascii="Palatino Linotype" w:hAnsi="Palatino Linotype"/>
          <w:sz w:val="24"/>
          <w:szCs w:val="24"/>
        </w:rPr>
        <w:t>. Gurrola describes</w:t>
      </w:r>
      <w:r w:rsidRPr="365BEDDC">
        <w:rPr>
          <w:rFonts w:ascii="Palatino Linotype" w:hAnsi="Palatino Linotype"/>
          <w:sz w:val="24"/>
          <w:szCs w:val="24"/>
        </w:rPr>
        <w:t xml:space="preserve"> </w:t>
      </w:r>
      <w:r w:rsidRPr="365BEDDC" w:rsidR="26B3F9C9">
        <w:rPr>
          <w:rFonts w:ascii="Palatino Linotype" w:hAnsi="Palatino Linotype"/>
          <w:sz w:val="24"/>
          <w:szCs w:val="24"/>
        </w:rPr>
        <w:t xml:space="preserve">the incremental vegetation management costs and how </w:t>
      </w:r>
      <w:r w:rsidRPr="365BEDDC" w:rsidR="3DE11566">
        <w:rPr>
          <w:rFonts w:ascii="Palatino Linotype" w:hAnsi="Palatino Linotype"/>
          <w:sz w:val="24"/>
          <w:szCs w:val="24"/>
        </w:rPr>
        <w:t xml:space="preserve">SCE </w:t>
      </w:r>
      <w:r w:rsidRPr="365BEDDC" w:rsidR="1A7A29B1">
        <w:rPr>
          <w:rFonts w:ascii="Palatino Linotype" w:hAnsi="Palatino Linotype"/>
          <w:sz w:val="24"/>
          <w:szCs w:val="24"/>
        </w:rPr>
        <w:t>calculated</w:t>
      </w:r>
      <w:r w:rsidRPr="365BEDDC" w:rsidR="3DE11566">
        <w:rPr>
          <w:rFonts w:ascii="Palatino Linotype" w:hAnsi="Palatino Linotype"/>
          <w:sz w:val="24"/>
          <w:szCs w:val="24"/>
        </w:rPr>
        <w:t xml:space="preserve"> </w:t>
      </w:r>
      <w:r w:rsidRPr="365BEDDC" w:rsidR="26B3F9C9">
        <w:rPr>
          <w:rFonts w:ascii="Palatino Linotype" w:hAnsi="Palatino Linotype"/>
          <w:sz w:val="24"/>
          <w:szCs w:val="24"/>
        </w:rPr>
        <w:t xml:space="preserve">the cost treatment sought in the GRC </w:t>
      </w:r>
      <w:r w:rsidR="0057678A">
        <w:rPr>
          <w:rFonts w:ascii="Palatino Linotype" w:hAnsi="Palatino Linotype"/>
          <w:sz w:val="24"/>
          <w:szCs w:val="24"/>
        </w:rPr>
        <w:br/>
      </w:r>
      <w:r w:rsidRPr="365BEDDC" w:rsidR="26B3F9C9">
        <w:rPr>
          <w:rFonts w:ascii="Palatino Linotype" w:hAnsi="Palatino Linotype"/>
          <w:sz w:val="24"/>
          <w:szCs w:val="24"/>
        </w:rPr>
        <w:t xml:space="preserve">Track 3 and </w:t>
      </w:r>
      <w:r w:rsidRPr="365BEDDC" w:rsidR="1488900E">
        <w:rPr>
          <w:rFonts w:ascii="Palatino Linotype" w:hAnsi="Palatino Linotype"/>
          <w:sz w:val="24"/>
          <w:szCs w:val="24"/>
        </w:rPr>
        <w:t>AL 4881-E.</w:t>
      </w:r>
    </w:p>
    <w:p w:rsidR="12228140" w:rsidP="12228140" w:rsidRDefault="12228140" w14:paraId="51018E7C" w14:textId="77777777">
      <w:pPr>
        <w:spacing w:line="259" w:lineRule="auto"/>
        <w:rPr>
          <w:rFonts w:ascii="Palatino Linotype" w:hAnsi="Palatino Linotype"/>
          <w:sz w:val="24"/>
          <w:szCs w:val="24"/>
        </w:rPr>
      </w:pPr>
    </w:p>
    <w:p w:rsidR="1DAD0565" w:rsidP="12228140" w:rsidRDefault="1DAD0565" w14:paraId="43C3FFF1" w14:textId="77777777">
      <w:pPr>
        <w:spacing w:line="259" w:lineRule="auto"/>
        <w:rPr>
          <w:rFonts w:ascii="Palatino Linotype" w:hAnsi="Palatino Linotype"/>
          <w:sz w:val="24"/>
          <w:szCs w:val="24"/>
        </w:rPr>
      </w:pPr>
      <w:r w:rsidRPr="365BEDDC">
        <w:rPr>
          <w:rFonts w:ascii="Palatino Linotype" w:hAnsi="Palatino Linotype"/>
          <w:sz w:val="24"/>
          <w:szCs w:val="24"/>
        </w:rPr>
        <w:t xml:space="preserve">SCE also presented a declaration from its Principal Manager of Vegetation Management, Melanie Jocelyn.  Ms. Jocelyn </w:t>
      </w:r>
      <w:r w:rsidRPr="365BEDDC" w:rsidR="40139B7A">
        <w:rPr>
          <w:rFonts w:ascii="Palatino Linotype" w:hAnsi="Palatino Linotype"/>
          <w:sz w:val="24"/>
          <w:szCs w:val="24"/>
        </w:rPr>
        <w:t xml:space="preserve">describes </w:t>
      </w:r>
      <w:r w:rsidRPr="365BEDDC" w:rsidR="653A76B2">
        <w:rPr>
          <w:rFonts w:ascii="Palatino Linotype" w:hAnsi="Palatino Linotype"/>
          <w:sz w:val="24"/>
          <w:szCs w:val="24"/>
        </w:rPr>
        <w:t xml:space="preserve">the impact of the passage of </w:t>
      </w:r>
      <w:r w:rsidR="0057678A">
        <w:rPr>
          <w:rFonts w:ascii="Palatino Linotype" w:hAnsi="Palatino Linotype"/>
          <w:sz w:val="24"/>
          <w:szCs w:val="24"/>
        </w:rPr>
        <w:br/>
      </w:r>
      <w:r w:rsidRPr="365BEDDC" w:rsidR="653A76B2">
        <w:rPr>
          <w:rFonts w:ascii="Palatino Linotype" w:hAnsi="Palatino Linotype"/>
          <w:sz w:val="24"/>
          <w:szCs w:val="24"/>
        </w:rPr>
        <w:t>SB 247 on SCE’s vegetation management costs.</w:t>
      </w:r>
    </w:p>
    <w:p w:rsidR="365BEDDC" w:rsidP="365BEDDC" w:rsidRDefault="365BEDDC" w14:paraId="513E92AC" w14:textId="77777777">
      <w:pPr>
        <w:spacing w:line="259" w:lineRule="auto"/>
        <w:rPr>
          <w:rFonts w:ascii="Palatino Linotype" w:hAnsi="Palatino Linotype"/>
          <w:sz w:val="24"/>
          <w:szCs w:val="24"/>
        </w:rPr>
      </w:pPr>
    </w:p>
    <w:p w:rsidR="7EC9FD8B" w:rsidP="365BEDDC" w:rsidRDefault="7EC9FD8B" w14:paraId="688DAD52" w14:textId="5508201B">
      <w:pPr>
        <w:spacing w:line="259" w:lineRule="auto"/>
        <w:rPr>
          <w:rFonts w:ascii="Palatino Linotype" w:hAnsi="Palatino Linotype" w:eastAsia="Palatino Linotype" w:cs="Palatino Linotype"/>
          <w:sz w:val="24"/>
          <w:szCs w:val="24"/>
        </w:rPr>
      </w:pPr>
      <w:r w:rsidRPr="635534BE">
        <w:rPr>
          <w:rFonts w:ascii="Palatino Linotype" w:hAnsi="Palatino Linotype"/>
          <w:sz w:val="24"/>
          <w:szCs w:val="24"/>
        </w:rPr>
        <w:t>SCE’s request in AL 4881-E is based on costs requested</w:t>
      </w:r>
      <w:r w:rsidRPr="635534BE" w:rsidR="229DB658">
        <w:rPr>
          <w:rFonts w:ascii="Palatino Linotype" w:hAnsi="Palatino Linotype"/>
          <w:sz w:val="24"/>
          <w:szCs w:val="24"/>
        </w:rPr>
        <w:t xml:space="preserve"> in its </w:t>
      </w:r>
      <w:r w:rsidRPr="635534BE" w:rsidR="206BECB8">
        <w:rPr>
          <w:rFonts w:ascii="Palatino Linotype" w:hAnsi="Palatino Linotype"/>
          <w:sz w:val="24"/>
          <w:szCs w:val="24"/>
        </w:rPr>
        <w:t xml:space="preserve">2021 </w:t>
      </w:r>
      <w:r w:rsidRPr="635534BE" w:rsidR="229DB658">
        <w:rPr>
          <w:rFonts w:ascii="Palatino Linotype" w:hAnsi="Palatino Linotype"/>
          <w:sz w:val="24"/>
          <w:szCs w:val="24"/>
        </w:rPr>
        <w:t>GRC Track 3</w:t>
      </w:r>
      <w:r w:rsidRPr="635534BE">
        <w:rPr>
          <w:rFonts w:ascii="Palatino Linotype" w:hAnsi="Palatino Linotype"/>
          <w:sz w:val="24"/>
          <w:szCs w:val="24"/>
        </w:rPr>
        <w:t xml:space="preserve">.  SCE argues the </w:t>
      </w:r>
      <w:r w:rsidRPr="635534BE">
        <w:rPr>
          <w:rFonts w:ascii="Palatino Linotype" w:hAnsi="Palatino Linotype" w:eastAsia="Palatino Linotype" w:cs="Palatino Linotype"/>
          <w:sz w:val="24"/>
          <w:szCs w:val="24"/>
        </w:rPr>
        <w:t xml:space="preserve">Track 3 Decision </w:t>
      </w:r>
      <w:r w:rsidRPr="635534BE" w:rsidR="2CAD4AD2">
        <w:rPr>
          <w:rFonts w:ascii="Palatino Linotype" w:hAnsi="Palatino Linotype" w:eastAsia="Palatino Linotype" w:cs="Palatino Linotype"/>
          <w:sz w:val="24"/>
          <w:szCs w:val="24"/>
        </w:rPr>
        <w:t xml:space="preserve">concluded the Z-factor proposal was not properly before the Commission </w:t>
      </w:r>
      <w:r w:rsidRPr="635534BE" w:rsidR="21B9F150">
        <w:rPr>
          <w:rFonts w:ascii="Palatino Linotype" w:hAnsi="Palatino Linotype" w:eastAsia="Palatino Linotype" w:cs="Palatino Linotype"/>
          <w:sz w:val="24"/>
          <w:szCs w:val="24"/>
        </w:rPr>
        <w:t xml:space="preserve">in that </w:t>
      </w:r>
      <w:r w:rsidRPr="635534BE" w:rsidR="6F2C1B2D">
        <w:rPr>
          <w:rFonts w:ascii="Palatino Linotype" w:hAnsi="Palatino Linotype" w:eastAsia="Palatino Linotype" w:cs="Palatino Linotype"/>
          <w:sz w:val="24"/>
          <w:szCs w:val="24"/>
        </w:rPr>
        <w:t>proceeding but</w:t>
      </w:r>
      <w:r w:rsidRPr="635534BE" w:rsidR="21B9F150">
        <w:rPr>
          <w:rFonts w:ascii="Palatino Linotype" w:hAnsi="Palatino Linotype" w:eastAsia="Palatino Linotype" w:cs="Palatino Linotype"/>
          <w:sz w:val="24"/>
          <w:szCs w:val="24"/>
        </w:rPr>
        <w:t xml:space="preserve"> </w:t>
      </w:r>
      <w:r w:rsidRPr="635534BE">
        <w:rPr>
          <w:rFonts w:ascii="Palatino Linotype" w:hAnsi="Palatino Linotype" w:eastAsia="Palatino Linotype" w:cs="Palatino Linotype"/>
          <w:sz w:val="24"/>
          <w:szCs w:val="24"/>
        </w:rPr>
        <w:t xml:space="preserve">did not preclude SCE from making a future </w:t>
      </w:r>
      <w:r w:rsidR="006043F5">
        <w:rPr>
          <w:rFonts w:ascii="Palatino Linotype" w:hAnsi="Palatino Linotype" w:eastAsia="Palatino Linotype" w:cs="Palatino Linotype"/>
          <w:sz w:val="24"/>
          <w:szCs w:val="24"/>
        </w:rPr>
        <w:br/>
      </w:r>
      <w:r w:rsidRPr="635534BE">
        <w:rPr>
          <w:rFonts w:ascii="Palatino Linotype" w:hAnsi="Palatino Linotype" w:eastAsia="Palatino Linotype" w:cs="Palatino Linotype"/>
          <w:sz w:val="24"/>
          <w:szCs w:val="24"/>
        </w:rPr>
        <w:t xml:space="preserve">Z-Factor request via Advice Letter, pursuant to SCE’s Preliminary Statement Part AAA. SCE </w:t>
      </w:r>
      <w:r w:rsidRPr="635534BE" w:rsidR="5D6647DC">
        <w:rPr>
          <w:rFonts w:ascii="Palatino Linotype" w:hAnsi="Palatino Linotype" w:eastAsia="Palatino Linotype" w:cs="Palatino Linotype"/>
          <w:sz w:val="24"/>
          <w:szCs w:val="24"/>
        </w:rPr>
        <w:t xml:space="preserve">emphasizes </w:t>
      </w:r>
      <w:r w:rsidRPr="635534BE" w:rsidR="1D0EAADF">
        <w:rPr>
          <w:rFonts w:ascii="Palatino Linotype" w:hAnsi="Palatino Linotype" w:eastAsia="Palatino Linotype" w:cs="Palatino Linotype"/>
          <w:sz w:val="24"/>
          <w:szCs w:val="24"/>
        </w:rPr>
        <w:t xml:space="preserve">that it </w:t>
      </w:r>
      <w:r w:rsidRPr="635534BE">
        <w:rPr>
          <w:rFonts w:ascii="Palatino Linotype" w:hAnsi="Palatino Linotype" w:eastAsia="Palatino Linotype" w:cs="Palatino Linotype"/>
          <w:sz w:val="24"/>
          <w:szCs w:val="24"/>
        </w:rPr>
        <w:t xml:space="preserve">has excluded non-SB 247, non-HFRA costs from </w:t>
      </w:r>
      <w:r w:rsidRPr="635534BE" w:rsidR="4E8D7355">
        <w:rPr>
          <w:rFonts w:ascii="Palatino Linotype" w:hAnsi="Palatino Linotype" w:eastAsia="Palatino Linotype" w:cs="Palatino Linotype"/>
          <w:sz w:val="24"/>
          <w:szCs w:val="24"/>
        </w:rPr>
        <w:t xml:space="preserve">its </w:t>
      </w:r>
      <w:r w:rsidRPr="635534BE">
        <w:rPr>
          <w:rFonts w:ascii="Palatino Linotype" w:hAnsi="Palatino Linotype" w:eastAsia="Palatino Linotype" w:cs="Palatino Linotype"/>
          <w:sz w:val="24"/>
          <w:szCs w:val="24"/>
        </w:rPr>
        <w:t>request</w:t>
      </w:r>
      <w:r w:rsidRPr="635534BE" w:rsidR="35180D0D">
        <w:rPr>
          <w:rFonts w:ascii="Palatino Linotype" w:hAnsi="Palatino Linotype" w:eastAsia="Palatino Linotype" w:cs="Palatino Linotype"/>
          <w:sz w:val="24"/>
          <w:szCs w:val="24"/>
        </w:rPr>
        <w:t>.</w:t>
      </w:r>
    </w:p>
    <w:p w:rsidR="365BEDDC" w:rsidP="365BEDDC" w:rsidRDefault="365BEDDC" w14:paraId="1E3EFEA7" w14:textId="77777777">
      <w:pPr>
        <w:spacing w:line="259" w:lineRule="auto"/>
        <w:rPr>
          <w:rFonts w:ascii="Palatino Linotype" w:hAnsi="Palatino Linotype"/>
          <w:sz w:val="24"/>
          <w:szCs w:val="24"/>
        </w:rPr>
      </w:pPr>
    </w:p>
    <w:p w:rsidR="12357490" w:rsidP="365BEDDC" w:rsidRDefault="12357490" w14:paraId="71BC1AAA" w14:textId="77777777">
      <w:pPr>
        <w:spacing w:line="259" w:lineRule="auto"/>
        <w:rPr>
          <w:rFonts w:ascii="Palatino Linotype" w:hAnsi="Palatino Linotype" w:eastAsia="Palatino Linotype" w:cs="Palatino Linotype"/>
          <w:sz w:val="24"/>
          <w:szCs w:val="24"/>
        </w:rPr>
      </w:pPr>
      <w:r w:rsidRPr="365BEDDC">
        <w:rPr>
          <w:rFonts w:ascii="Palatino Linotype" w:hAnsi="Palatino Linotype" w:eastAsia="Palatino Linotype" w:cs="Palatino Linotype"/>
          <w:sz w:val="24"/>
          <w:szCs w:val="24"/>
        </w:rPr>
        <w:t>See Table 1 below for detail on SCE’s 2020 line clearance cost request, which is based on its request in its GRC Track 3, as described above.</w:t>
      </w:r>
    </w:p>
    <w:p w:rsidR="0057678A" w:rsidRDefault="0057678A" w14:paraId="5857EF55" w14:textId="77777777">
      <w:pPr>
        <w:rPr>
          <w:rFonts w:ascii="Palatino Linotype" w:hAnsi="Palatino Linotype" w:eastAsia="Palatino Linotype" w:cs="Palatino Linotype"/>
          <w:sz w:val="24"/>
          <w:szCs w:val="24"/>
        </w:rPr>
      </w:pPr>
      <w:r>
        <w:rPr>
          <w:rFonts w:ascii="Palatino Linotype" w:hAnsi="Palatino Linotype" w:eastAsia="Palatino Linotype" w:cs="Palatino Linotype"/>
          <w:sz w:val="24"/>
          <w:szCs w:val="24"/>
        </w:rPr>
        <w:br w:type="page"/>
      </w:r>
    </w:p>
    <w:p w:rsidR="12357490" w:rsidP="365BEDDC" w:rsidRDefault="12357490" w14:paraId="40856838" w14:textId="77777777">
      <w:pPr>
        <w:jc w:val="center"/>
        <w:rPr>
          <w:rFonts w:ascii="Palatino Linotype" w:hAnsi="Palatino Linotype"/>
          <w:sz w:val="24"/>
          <w:szCs w:val="24"/>
        </w:rPr>
      </w:pPr>
      <w:r w:rsidRPr="365BEDDC">
        <w:rPr>
          <w:rFonts w:ascii="Palatino Linotype" w:hAnsi="Palatino Linotype"/>
          <w:sz w:val="24"/>
          <w:szCs w:val="24"/>
        </w:rPr>
        <w:lastRenderedPageBreak/>
        <w:t>Table 1: 2020 Line Clearance Cost Breakdown</w:t>
      </w:r>
      <w:r w:rsidRPr="365BEDDC" w:rsidR="4EE93F2D">
        <w:rPr>
          <w:rFonts w:ascii="Palatino Linotype" w:hAnsi="Palatino Linotype"/>
          <w:sz w:val="24"/>
          <w:szCs w:val="24"/>
        </w:rPr>
        <w:t xml:space="preserve"> ($Millions)</w:t>
      </w:r>
    </w:p>
    <w:tbl>
      <w:tblPr>
        <w:tblStyle w:val="TableGrid"/>
        <w:tblW w:w="0" w:type="auto"/>
        <w:jc w:val="center"/>
        <w:tblLook w:val="06A0" w:firstRow="1" w:lastRow="0" w:firstColumn="1" w:lastColumn="0" w:noHBand="1" w:noVBand="1"/>
      </w:tblPr>
      <w:tblGrid>
        <w:gridCol w:w="840"/>
        <w:gridCol w:w="3879"/>
        <w:gridCol w:w="1469"/>
        <w:gridCol w:w="1774"/>
        <w:gridCol w:w="1388"/>
      </w:tblGrid>
      <w:tr w:rsidR="365BEDDC" w:rsidTr="6C4B7FD9" w14:paraId="4DB8D820" w14:textId="77777777">
        <w:trPr>
          <w:trHeight w:val="300"/>
          <w:jc w:val="center"/>
        </w:trPr>
        <w:tc>
          <w:tcPr>
            <w:tcW w:w="840" w:type="dxa"/>
          </w:tcPr>
          <w:p w:rsidR="365BEDDC" w:rsidP="365BEDDC" w:rsidRDefault="365BEDDC" w14:paraId="58FC0C1A" w14:textId="77777777">
            <w:pPr>
              <w:rPr>
                <w:rFonts w:ascii="Palatino Linotype" w:hAnsi="Palatino Linotype"/>
                <w:sz w:val="24"/>
                <w:szCs w:val="24"/>
              </w:rPr>
            </w:pPr>
            <w:r w:rsidRPr="365BEDDC">
              <w:rPr>
                <w:rFonts w:ascii="Palatino Linotype" w:hAnsi="Palatino Linotype"/>
                <w:sz w:val="24"/>
                <w:szCs w:val="24"/>
              </w:rPr>
              <w:t>Line</w:t>
            </w:r>
          </w:p>
        </w:tc>
        <w:tc>
          <w:tcPr>
            <w:tcW w:w="3885" w:type="dxa"/>
          </w:tcPr>
          <w:p w:rsidR="365BEDDC" w:rsidP="365BEDDC" w:rsidRDefault="365BEDDC" w14:paraId="58692087" w14:textId="77777777">
            <w:pPr>
              <w:rPr>
                <w:rFonts w:ascii="Palatino Linotype" w:hAnsi="Palatino Linotype"/>
                <w:sz w:val="24"/>
                <w:szCs w:val="24"/>
              </w:rPr>
            </w:pPr>
            <w:r w:rsidRPr="365BEDDC">
              <w:rPr>
                <w:rFonts w:ascii="Palatino Linotype" w:hAnsi="Palatino Linotype"/>
                <w:sz w:val="24"/>
                <w:szCs w:val="24"/>
              </w:rPr>
              <w:t>2020 Line Clearance Costs</w:t>
            </w:r>
          </w:p>
        </w:tc>
        <w:tc>
          <w:tcPr>
            <w:tcW w:w="1470" w:type="dxa"/>
          </w:tcPr>
          <w:p w:rsidR="365BEDDC" w:rsidP="365BEDDC" w:rsidRDefault="365BEDDC" w14:paraId="5411C823" w14:textId="77777777">
            <w:pPr>
              <w:rPr>
                <w:rFonts w:ascii="Palatino Linotype" w:hAnsi="Palatino Linotype"/>
                <w:sz w:val="24"/>
                <w:szCs w:val="24"/>
              </w:rPr>
            </w:pPr>
            <w:r w:rsidRPr="365BEDDC">
              <w:rPr>
                <w:rFonts w:ascii="Palatino Linotype" w:hAnsi="Palatino Linotype"/>
                <w:sz w:val="24"/>
                <w:szCs w:val="24"/>
              </w:rPr>
              <w:t>HFRA</w:t>
            </w:r>
          </w:p>
        </w:tc>
        <w:tc>
          <w:tcPr>
            <w:tcW w:w="1776" w:type="dxa"/>
          </w:tcPr>
          <w:p w:rsidR="365BEDDC" w:rsidP="365BEDDC" w:rsidRDefault="365BEDDC" w14:paraId="4937D289" w14:textId="77777777">
            <w:pPr>
              <w:rPr>
                <w:rFonts w:ascii="Palatino Linotype" w:hAnsi="Palatino Linotype"/>
                <w:sz w:val="24"/>
                <w:szCs w:val="24"/>
              </w:rPr>
            </w:pPr>
            <w:r w:rsidRPr="365BEDDC">
              <w:rPr>
                <w:rFonts w:ascii="Palatino Linotype" w:hAnsi="Palatino Linotype"/>
                <w:sz w:val="24"/>
                <w:szCs w:val="24"/>
              </w:rPr>
              <w:t>Non-HFRA</w:t>
            </w:r>
          </w:p>
        </w:tc>
        <w:tc>
          <w:tcPr>
            <w:tcW w:w="1389" w:type="dxa"/>
          </w:tcPr>
          <w:p w:rsidR="365BEDDC" w:rsidP="365BEDDC" w:rsidRDefault="365BEDDC" w14:paraId="7D94BA37" w14:textId="77777777">
            <w:pPr>
              <w:rPr>
                <w:rFonts w:ascii="Palatino Linotype" w:hAnsi="Palatino Linotype"/>
                <w:sz w:val="24"/>
                <w:szCs w:val="24"/>
              </w:rPr>
            </w:pPr>
            <w:r w:rsidRPr="365BEDDC">
              <w:rPr>
                <w:rFonts w:ascii="Palatino Linotype" w:hAnsi="Palatino Linotype"/>
                <w:sz w:val="24"/>
                <w:szCs w:val="24"/>
              </w:rPr>
              <w:t>Total</w:t>
            </w:r>
          </w:p>
        </w:tc>
      </w:tr>
      <w:tr w:rsidR="365BEDDC" w:rsidTr="6C4B7FD9" w14:paraId="476E601D" w14:textId="77777777">
        <w:trPr>
          <w:trHeight w:val="300"/>
          <w:jc w:val="center"/>
        </w:trPr>
        <w:tc>
          <w:tcPr>
            <w:tcW w:w="840" w:type="dxa"/>
          </w:tcPr>
          <w:p w:rsidR="365BEDDC" w:rsidP="365BEDDC" w:rsidRDefault="365BEDDC" w14:paraId="47481F1D" w14:textId="77777777">
            <w:pPr>
              <w:rPr>
                <w:rFonts w:ascii="Palatino Linotype" w:hAnsi="Palatino Linotype"/>
                <w:sz w:val="24"/>
                <w:szCs w:val="24"/>
              </w:rPr>
            </w:pPr>
            <w:r w:rsidRPr="365BEDDC">
              <w:rPr>
                <w:rFonts w:ascii="Palatino Linotype" w:hAnsi="Palatino Linotype"/>
                <w:sz w:val="24"/>
                <w:szCs w:val="24"/>
              </w:rPr>
              <w:t>a</w:t>
            </w:r>
          </w:p>
        </w:tc>
        <w:tc>
          <w:tcPr>
            <w:tcW w:w="3885" w:type="dxa"/>
          </w:tcPr>
          <w:p w:rsidR="365BEDDC" w:rsidP="365BEDDC" w:rsidRDefault="365BEDDC" w14:paraId="34DE6D0F" w14:textId="77777777">
            <w:pPr>
              <w:rPr>
                <w:rFonts w:ascii="Palatino Linotype" w:hAnsi="Palatino Linotype"/>
                <w:sz w:val="24"/>
                <w:szCs w:val="24"/>
              </w:rPr>
            </w:pPr>
            <w:r w:rsidRPr="365BEDDC">
              <w:rPr>
                <w:rFonts w:ascii="Palatino Linotype" w:hAnsi="Palatino Linotype"/>
                <w:sz w:val="24"/>
                <w:szCs w:val="24"/>
              </w:rPr>
              <w:t>2020 Total Recorded CPUC-jurisdictional expenses</w:t>
            </w:r>
          </w:p>
        </w:tc>
        <w:tc>
          <w:tcPr>
            <w:tcW w:w="1470" w:type="dxa"/>
          </w:tcPr>
          <w:p w:rsidR="365BEDDC" w:rsidP="365BEDDC" w:rsidRDefault="039182F4" w14:paraId="540AA3E7" w14:textId="77777777">
            <w:pPr>
              <w:rPr>
                <w:rFonts w:ascii="Palatino Linotype" w:hAnsi="Palatino Linotype"/>
                <w:sz w:val="24"/>
                <w:szCs w:val="24"/>
              </w:rPr>
            </w:pPr>
            <w:r w:rsidRPr="5FDFFF45">
              <w:rPr>
                <w:rFonts w:ascii="Palatino Linotype" w:hAnsi="Palatino Linotype"/>
                <w:sz w:val="24"/>
                <w:szCs w:val="24"/>
              </w:rPr>
              <w:t>$</w:t>
            </w:r>
            <w:r w:rsidRPr="5FDFFF45" w:rsidR="5372509F">
              <w:rPr>
                <w:rFonts w:ascii="Palatino Linotype" w:hAnsi="Palatino Linotype"/>
                <w:sz w:val="24"/>
                <w:szCs w:val="24"/>
              </w:rPr>
              <w:t>207.53</w:t>
            </w:r>
          </w:p>
        </w:tc>
        <w:tc>
          <w:tcPr>
            <w:tcW w:w="1776" w:type="dxa"/>
          </w:tcPr>
          <w:p w:rsidR="365BEDDC" w:rsidP="365BEDDC" w:rsidRDefault="019DA166" w14:paraId="373EAB63" w14:textId="77777777">
            <w:pPr>
              <w:rPr>
                <w:rFonts w:ascii="Palatino Linotype" w:hAnsi="Palatino Linotype"/>
                <w:sz w:val="24"/>
                <w:szCs w:val="24"/>
              </w:rPr>
            </w:pPr>
            <w:r w:rsidRPr="5FDFFF45">
              <w:rPr>
                <w:rFonts w:ascii="Palatino Linotype" w:hAnsi="Palatino Linotype"/>
                <w:sz w:val="24"/>
                <w:szCs w:val="24"/>
              </w:rPr>
              <w:t>$</w:t>
            </w:r>
            <w:r w:rsidRPr="5FDFFF45" w:rsidR="5372509F">
              <w:rPr>
                <w:rFonts w:ascii="Palatino Linotype" w:hAnsi="Palatino Linotype"/>
                <w:sz w:val="24"/>
                <w:szCs w:val="24"/>
              </w:rPr>
              <w:t>124.94</w:t>
            </w:r>
          </w:p>
        </w:tc>
        <w:tc>
          <w:tcPr>
            <w:tcW w:w="1389" w:type="dxa"/>
          </w:tcPr>
          <w:p w:rsidR="365BEDDC" w:rsidP="365BEDDC" w:rsidRDefault="3EC792A1" w14:paraId="7A41BFF7" w14:textId="77777777">
            <w:pPr>
              <w:rPr>
                <w:rFonts w:ascii="Palatino Linotype" w:hAnsi="Palatino Linotype"/>
                <w:sz w:val="24"/>
                <w:szCs w:val="24"/>
              </w:rPr>
            </w:pPr>
            <w:r w:rsidRPr="365BEDDC">
              <w:rPr>
                <w:rFonts w:ascii="Palatino Linotype" w:hAnsi="Palatino Linotype"/>
                <w:sz w:val="24"/>
                <w:szCs w:val="24"/>
              </w:rPr>
              <w:t>$</w:t>
            </w:r>
            <w:r w:rsidRPr="365BEDDC" w:rsidR="5372509F">
              <w:rPr>
                <w:rFonts w:ascii="Palatino Linotype" w:hAnsi="Palatino Linotype"/>
                <w:sz w:val="24"/>
                <w:szCs w:val="24"/>
              </w:rPr>
              <w:t>332.48</w:t>
            </w:r>
            <w:r w:rsidRPr="365BEDDC" w:rsidR="365BEDDC">
              <w:rPr>
                <w:rStyle w:val="FootnoteReference"/>
                <w:rFonts w:ascii="Palatino Linotype" w:hAnsi="Palatino Linotype"/>
                <w:sz w:val="24"/>
                <w:szCs w:val="24"/>
              </w:rPr>
              <w:footnoteReference w:id="20"/>
            </w:r>
          </w:p>
        </w:tc>
      </w:tr>
      <w:tr w:rsidR="365BEDDC" w:rsidTr="6C4B7FD9" w14:paraId="0DA097F0" w14:textId="77777777">
        <w:trPr>
          <w:trHeight w:val="300"/>
          <w:jc w:val="center"/>
        </w:trPr>
        <w:tc>
          <w:tcPr>
            <w:tcW w:w="840" w:type="dxa"/>
          </w:tcPr>
          <w:p w:rsidR="365BEDDC" w:rsidP="365BEDDC" w:rsidRDefault="365BEDDC" w14:paraId="706A1C43" w14:textId="77777777">
            <w:pPr>
              <w:rPr>
                <w:rFonts w:ascii="Palatino Linotype" w:hAnsi="Palatino Linotype"/>
                <w:sz w:val="24"/>
                <w:szCs w:val="24"/>
              </w:rPr>
            </w:pPr>
            <w:r w:rsidRPr="365BEDDC">
              <w:rPr>
                <w:rFonts w:ascii="Palatino Linotype" w:hAnsi="Palatino Linotype"/>
                <w:sz w:val="24"/>
                <w:szCs w:val="24"/>
              </w:rPr>
              <w:t>b</w:t>
            </w:r>
          </w:p>
        </w:tc>
        <w:tc>
          <w:tcPr>
            <w:tcW w:w="3885" w:type="dxa"/>
          </w:tcPr>
          <w:p w:rsidR="365BEDDC" w:rsidP="365BEDDC" w:rsidRDefault="5372509F" w14:paraId="31CB2D7A" w14:textId="77777777">
            <w:pPr>
              <w:rPr>
                <w:rFonts w:ascii="Palatino Linotype" w:hAnsi="Palatino Linotype"/>
                <w:sz w:val="24"/>
                <w:szCs w:val="24"/>
              </w:rPr>
            </w:pPr>
            <w:r w:rsidRPr="365BEDDC">
              <w:rPr>
                <w:rFonts w:ascii="Palatino Linotype" w:hAnsi="Palatino Linotype"/>
                <w:sz w:val="24"/>
                <w:szCs w:val="24"/>
              </w:rPr>
              <w:t xml:space="preserve">TY 2018 GRC D.19-05-020 Authorized – </w:t>
            </w:r>
            <w:r w:rsidRPr="5FDFFF45" w:rsidR="61AB6E6D">
              <w:rPr>
                <w:rFonts w:ascii="Palatino Linotype" w:hAnsi="Palatino Linotype"/>
                <w:i/>
                <w:iCs/>
                <w:sz w:val="24"/>
                <w:szCs w:val="24"/>
              </w:rPr>
              <w:t xml:space="preserve">GRC </w:t>
            </w:r>
            <w:r w:rsidRPr="5FDFFF45" w:rsidR="7FFB34AC">
              <w:rPr>
                <w:rFonts w:ascii="Palatino Linotype" w:hAnsi="Palatino Linotype"/>
                <w:i/>
                <w:iCs/>
                <w:sz w:val="24"/>
                <w:szCs w:val="24"/>
              </w:rPr>
              <w:t xml:space="preserve">Track 3 </w:t>
            </w:r>
            <w:r w:rsidRPr="5FDFFF45" w:rsidR="61AB6E6D">
              <w:rPr>
                <w:rFonts w:ascii="Palatino Linotype" w:hAnsi="Palatino Linotype"/>
                <w:i/>
                <w:iCs/>
                <w:sz w:val="24"/>
                <w:szCs w:val="24"/>
              </w:rPr>
              <w:t>A</w:t>
            </w:r>
            <w:r w:rsidRPr="5FDFFF45">
              <w:rPr>
                <w:rFonts w:ascii="Palatino Linotype" w:hAnsi="Palatino Linotype"/>
                <w:i/>
                <w:iCs/>
                <w:sz w:val="24"/>
                <w:szCs w:val="24"/>
              </w:rPr>
              <w:t>uthorized Allocation between HFRA and non-HFRA</w:t>
            </w:r>
            <w:r w:rsidRPr="365BEDDC" w:rsidR="365BEDDC">
              <w:rPr>
                <w:rStyle w:val="FootnoteReference"/>
                <w:rFonts w:ascii="Palatino Linotype" w:hAnsi="Palatino Linotype"/>
                <w:sz w:val="24"/>
                <w:szCs w:val="24"/>
              </w:rPr>
              <w:footnoteReference w:id="21"/>
            </w:r>
          </w:p>
        </w:tc>
        <w:tc>
          <w:tcPr>
            <w:tcW w:w="1470" w:type="dxa"/>
          </w:tcPr>
          <w:p w:rsidR="365BEDDC" w:rsidP="365BEDDC" w:rsidRDefault="301627CE" w14:paraId="5A9C73F7" w14:textId="77777777">
            <w:pPr>
              <w:rPr>
                <w:rFonts w:ascii="Palatino Linotype" w:hAnsi="Palatino Linotype"/>
                <w:sz w:val="24"/>
                <w:szCs w:val="24"/>
              </w:rPr>
            </w:pPr>
            <w:r w:rsidRPr="5FDFFF45">
              <w:rPr>
                <w:rFonts w:ascii="Palatino Linotype" w:hAnsi="Palatino Linotype"/>
                <w:sz w:val="24"/>
                <w:szCs w:val="24"/>
              </w:rPr>
              <w:t>$</w:t>
            </w:r>
            <w:r w:rsidRPr="5FDFFF45" w:rsidR="5372509F">
              <w:rPr>
                <w:rFonts w:ascii="Palatino Linotype" w:hAnsi="Palatino Linotype"/>
                <w:sz w:val="24"/>
                <w:szCs w:val="24"/>
              </w:rPr>
              <w:t>40.08</w:t>
            </w:r>
          </w:p>
        </w:tc>
        <w:tc>
          <w:tcPr>
            <w:tcW w:w="1776" w:type="dxa"/>
          </w:tcPr>
          <w:p w:rsidR="365BEDDC" w:rsidP="365BEDDC" w:rsidRDefault="019DA166" w14:paraId="3F19B1FB" w14:textId="77777777">
            <w:pPr>
              <w:rPr>
                <w:rFonts w:ascii="Palatino Linotype" w:hAnsi="Palatino Linotype"/>
                <w:sz w:val="24"/>
                <w:szCs w:val="24"/>
              </w:rPr>
            </w:pPr>
            <w:r w:rsidRPr="5FDFFF45">
              <w:rPr>
                <w:rFonts w:ascii="Palatino Linotype" w:hAnsi="Palatino Linotype"/>
                <w:sz w:val="24"/>
                <w:szCs w:val="24"/>
              </w:rPr>
              <w:t>$</w:t>
            </w:r>
            <w:r w:rsidRPr="5FDFFF45" w:rsidR="5372509F">
              <w:rPr>
                <w:rFonts w:ascii="Palatino Linotype" w:hAnsi="Palatino Linotype"/>
                <w:sz w:val="24"/>
                <w:szCs w:val="24"/>
              </w:rPr>
              <w:t>40.08</w:t>
            </w:r>
          </w:p>
        </w:tc>
        <w:tc>
          <w:tcPr>
            <w:tcW w:w="1389" w:type="dxa"/>
          </w:tcPr>
          <w:p w:rsidR="365BEDDC" w:rsidP="365BEDDC" w:rsidRDefault="3EC792A1" w14:paraId="57CDCF8F" w14:textId="77777777">
            <w:pPr>
              <w:rPr>
                <w:rFonts w:ascii="Palatino Linotype" w:hAnsi="Palatino Linotype"/>
                <w:sz w:val="24"/>
                <w:szCs w:val="24"/>
              </w:rPr>
            </w:pPr>
            <w:r w:rsidRPr="5FDFFF45">
              <w:rPr>
                <w:rFonts w:ascii="Palatino Linotype" w:hAnsi="Palatino Linotype"/>
                <w:sz w:val="24"/>
                <w:szCs w:val="24"/>
              </w:rPr>
              <w:t>$</w:t>
            </w:r>
            <w:r w:rsidRPr="5FDFFF45" w:rsidR="5372509F">
              <w:rPr>
                <w:rFonts w:ascii="Palatino Linotype" w:hAnsi="Palatino Linotype"/>
                <w:sz w:val="24"/>
                <w:szCs w:val="24"/>
              </w:rPr>
              <w:t>80.16</w:t>
            </w:r>
          </w:p>
        </w:tc>
      </w:tr>
      <w:tr w:rsidR="365BEDDC" w:rsidTr="6C4B7FD9" w14:paraId="2DBD220F" w14:textId="77777777">
        <w:trPr>
          <w:trHeight w:val="300"/>
          <w:jc w:val="center"/>
        </w:trPr>
        <w:tc>
          <w:tcPr>
            <w:tcW w:w="840" w:type="dxa"/>
          </w:tcPr>
          <w:p w:rsidR="365BEDDC" w:rsidP="365BEDDC" w:rsidRDefault="365BEDDC" w14:paraId="64F196BF" w14:textId="77777777">
            <w:pPr>
              <w:rPr>
                <w:rFonts w:ascii="Palatino Linotype" w:hAnsi="Palatino Linotype"/>
                <w:sz w:val="24"/>
                <w:szCs w:val="24"/>
              </w:rPr>
            </w:pPr>
            <w:r w:rsidRPr="365BEDDC">
              <w:rPr>
                <w:rFonts w:ascii="Palatino Linotype" w:hAnsi="Palatino Linotype"/>
                <w:sz w:val="24"/>
                <w:szCs w:val="24"/>
              </w:rPr>
              <w:t>c</w:t>
            </w:r>
          </w:p>
        </w:tc>
        <w:tc>
          <w:tcPr>
            <w:tcW w:w="3885" w:type="dxa"/>
          </w:tcPr>
          <w:p w:rsidR="365BEDDC" w:rsidP="365BEDDC" w:rsidRDefault="5372509F" w14:paraId="2330FEF2" w14:textId="77777777">
            <w:pPr>
              <w:rPr>
                <w:rFonts w:ascii="Palatino Linotype" w:hAnsi="Palatino Linotype"/>
                <w:sz w:val="24"/>
                <w:szCs w:val="24"/>
              </w:rPr>
            </w:pPr>
            <w:r w:rsidRPr="365BEDDC">
              <w:rPr>
                <w:rFonts w:ascii="Palatino Linotype" w:hAnsi="Palatino Linotype"/>
                <w:sz w:val="24"/>
                <w:szCs w:val="24"/>
              </w:rPr>
              <w:t xml:space="preserve">TY 2018 GRC D.19-05-020 Authorized – </w:t>
            </w:r>
            <w:r w:rsidRPr="5FDFFF45">
              <w:rPr>
                <w:rFonts w:ascii="Palatino Linotype" w:hAnsi="Palatino Linotype"/>
                <w:i/>
                <w:iCs/>
                <w:sz w:val="24"/>
                <w:szCs w:val="24"/>
              </w:rPr>
              <w:t>SCE Proposed Allocation between HFRA and non-HFRA</w:t>
            </w:r>
            <w:r w:rsidRPr="365BEDDC" w:rsidR="365BEDDC">
              <w:rPr>
                <w:rStyle w:val="FootnoteReference"/>
                <w:rFonts w:ascii="Palatino Linotype" w:hAnsi="Palatino Linotype"/>
                <w:sz w:val="24"/>
                <w:szCs w:val="24"/>
              </w:rPr>
              <w:footnoteReference w:id="22"/>
            </w:r>
          </w:p>
        </w:tc>
        <w:tc>
          <w:tcPr>
            <w:tcW w:w="1470" w:type="dxa"/>
          </w:tcPr>
          <w:p w:rsidR="365BEDDC" w:rsidP="365BEDDC" w:rsidRDefault="12E488B1" w14:paraId="29B1506C" w14:textId="77777777">
            <w:pPr>
              <w:rPr>
                <w:rFonts w:ascii="Palatino Linotype" w:hAnsi="Palatino Linotype"/>
                <w:sz w:val="24"/>
                <w:szCs w:val="24"/>
              </w:rPr>
            </w:pPr>
            <w:r w:rsidRPr="5FDFFF45">
              <w:rPr>
                <w:rFonts w:ascii="Palatino Linotype" w:hAnsi="Palatino Linotype"/>
                <w:sz w:val="24"/>
                <w:szCs w:val="24"/>
              </w:rPr>
              <w:t>$</w:t>
            </w:r>
            <w:r w:rsidRPr="5FDFFF45" w:rsidR="5372509F">
              <w:rPr>
                <w:rFonts w:ascii="Palatino Linotype" w:hAnsi="Palatino Linotype"/>
                <w:sz w:val="24"/>
                <w:szCs w:val="24"/>
              </w:rPr>
              <w:t>0.60</w:t>
            </w:r>
          </w:p>
        </w:tc>
        <w:tc>
          <w:tcPr>
            <w:tcW w:w="1776" w:type="dxa"/>
          </w:tcPr>
          <w:p w:rsidR="365BEDDC" w:rsidP="365BEDDC" w:rsidRDefault="3BD17FD1" w14:paraId="12671628" w14:textId="77777777">
            <w:pPr>
              <w:rPr>
                <w:rFonts w:ascii="Palatino Linotype" w:hAnsi="Palatino Linotype"/>
                <w:sz w:val="24"/>
                <w:szCs w:val="24"/>
              </w:rPr>
            </w:pPr>
            <w:r w:rsidRPr="5FDFFF45">
              <w:rPr>
                <w:rFonts w:ascii="Palatino Linotype" w:hAnsi="Palatino Linotype"/>
                <w:sz w:val="24"/>
                <w:szCs w:val="24"/>
              </w:rPr>
              <w:t>$</w:t>
            </w:r>
            <w:r w:rsidRPr="5FDFFF45" w:rsidR="5372509F">
              <w:rPr>
                <w:rFonts w:ascii="Palatino Linotype" w:hAnsi="Palatino Linotype"/>
                <w:sz w:val="24"/>
                <w:szCs w:val="24"/>
              </w:rPr>
              <w:t>79.56</w:t>
            </w:r>
          </w:p>
        </w:tc>
        <w:tc>
          <w:tcPr>
            <w:tcW w:w="1389" w:type="dxa"/>
          </w:tcPr>
          <w:p w:rsidR="365BEDDC" w:rsidP="365BEDDC" w:rsidRDefault="7C4C9FC5" w14:paraId="17C9A49F" w14:textId="77777777">
            <w:pPr>
              <w:rPr>
                <w:rFonts w:ascii="Palatino Linotype" w:hAnsi="Palatino Linotype"/>
                <w:sz w:val="24"/>
                <w:szCs w:val="24"/>
              </w:rPr>
            </w:pPr>
            <w:r w:rsidRPr="5FDFFF45">
              <w:rPr>
                <w:rFonts w:ascii="Palatino Linotype" w:hAnsi="Palatino Linotype"/>
                <w:sz w:val="24"/>
                <w:szCs w:val="24"/>
              </w:rPr>
              <w:t>$</w:t>
            </w:r>
            <w:r w:rsidRPr="5FDFFF45" w:rsidR="5372509F">
              <w:rPr>
                <w:rFonts w:ascii="Palatino Linotype" w:hAnsi="Palatino Linotype"/>
                <w:sz w:val="24"/>
                <w:szCs w:val="24"/>
              </w:rPr>
              <w:t>80.16</w:t>
            </w:r>
          </w:p>
        </w:tc>
      </w:tr>
      <w:tr w:rsidR="365BEDDC" w:rsidTr="6C4B7FD9" w14:paraId="647A8831" w14:textId="77777777">
        <w:trPr>
          <w:trHeight w:val="300"/>
          <w:jc w:val="center"/>
        </w:trPr>
        <w:tc>
          <w:tcPr>
            <w:tcW w:w="840" w:type="dxa"/>
          </w:tcPr>
          <w:p w:rsidR="365BEDDC" w:rsidP="365BEDDC" w:rsidRDefault="365BEDDC" w14:paraId="4BD05910" w14:textId="77777777">
            <w:pPr>
              <w:rPr>
                <w:rFonts w:ascii="Palatino Linotype" w:hAnsi="Palatino Linotype"/>
                <w:sz w:val="24"/>
                <w:szCs w:val="24"/>
              </w:rPr>
            </w:pPr>
            <w:r w:rsidRPr="365BEDDC">
              <w:rPr>
                <w:rFonts w:ascii="Palatino Linotype" w:hAnsi="Palatino Linotype"/>
                <w:sz w:val="24"/>
                <w:szCs w:val="24"/>
              </w:rPr>
              <w:t xml:space="preserve">d </w:t>
            </w:r>
          </w:p>
          <w:p w:rsidR="365BEDDC" w:rsidP="365BEDDC" w:rsidRDefault="365BEDDC" w14:paraId="12F59CD2" w14:textId="77777777">
            <w:pPr>
              <w:rPr>
                <w:rFonts w:ascii="Palatino Linotype" w:hAnsi="Palatino Linotype"/>
                <w:sz w:val="24"/>
                <w:szCs w:val="24"/>
              </w:rPr>
            </w:pPr>
            <w:r w:rsidRPr="365BEDDC">
              <w:rPr>
                <w:rFonts w:ascii="Palatino Linotype" w:hAnsi="Palatino Linotype"/>
                <w:sz w:val="24"/>
                <w:szCs w:val="24"/>
              </w:rPr>
              <w:t>(a-c)</w:t>
            </w:r>
          </w:p>
        </w:tc>
        <w:tc>
          <w:tcPr>
            <w:tcW w:w="3885" w:type="dxa"/>
          </w:tcPr>
          <w:p w:rsidR="365BEDDC" w:rsidP="365BEDDC" w:rsidRDefault="5E9919EF" w14:paraId="738DEE3E" w14:textId="77777777">
            <w:pPr>
              <w:rPr>
                <w:rFonts w:ascii="Palatino Linotype" w:hAnsi="Palatino Linotype"/>
                <w:sz w:val="24"/>
                <w:szCs w:val="24"/>
              </w:rPr>
            </w:pPr>
            <w:r w:rsidRPr="365BEDDC">
              <w:rPr>
                <w:rFonts w:ascii="Palatino Linotype" w:hAnsi="Palatino Linotype"/>
                <w:sz w:val="24"/>
                <w:szCs w:val="24"/>
              </w:rPr>
              <w:t>Incremental Spend Requested in Track 3 GRC Decision</w:t>
            </w:r>
            <w:r w:rsidRPr="365BEDDC" w:rsidR="365BEDDC">
              <w:rPr>
                <w:rStyle w:val="FootnoteReference"/>
                <w:rFonts w:ascii="Palatino Linotype" w:hAnsi="Palatino Linotype"/>
                <w:sz w:val="24"/>
                <w:szCs w:val="24"/>
              </w:rPr>
              <w:footnoteReference w:id="23"/>
            </w:r>
          </w:p>
        </w:tc>
        <w:tc>
          <w:tcPr>
            <w:tcW w:w="1470" w:type="dxa"/>
          </w:tcPr>
          <w:p w:rsidR="365BEDDC" w:rsidP="365BEDDC" w:rsidRDefault="730A7F37" w14:paraId="26F9A514" w14:textId="77777777">
            <w:pPr>
              <w:rPr>
                <w:rFonts w:ascii="Palatino Linotype" w:hAnsi="Palatino Linotype"/>
                <w:sz w:val="24"/>
                <w:szCs w:val="24"/>
              </w:rPr>
            </w:pPr>
            <w:r w:rsidRPr="5FDFFF45">
              <w:rPr>
                <w:rFonts w:ascii="Palatino Linotype" w:hAnsi="Palatino Linotype"/>
                <w:sz w:val="24"/>
                <w:szCs w:val="24"/>
              </w:rPr>
              <w:t>$</w:t>
            </w:r>
            <w:r w:rsidRPr="5FDFFF45" w:rsidR="5372509F">
              <w:rPr>
                <w:rFonts w:ascii="Palatino Linotype" w:hAnsi="Palatino Linotype"/>
                <w:sz w:val="24"/>
                <w:szCs w:val="24"/>
              </w:rPr>
              <w:t>206.94</w:t>
            </w:r>
          </w:p>
        </w:tc>
        <w:tc>
          <w:tcPr>
            <w:tcW w:w="1776" w:type="dxa"/>
          </w:tcPr>
          <w:p w:rsidR="365BEDDC" w:rsidP="365BEDDC" w:rsidRDefault="3BD17FD1" w14:paraId="523EC11D" w14:textId="77777777">
            <w:pPr>
              <w:rPr>
                <w:rFonts w:ascii="Palatino Linotype" w:hAnsi="Palatino Linotype"/>
                <w:sz w:val="24"/>
                <w:szCs w:val="24"/>
              </w:rPr>
            </w:pPr>
            <w:r w:rsidRPr="5FDFFF45">
              <w:rPr>
                <w:rFonts w:ascii="Palatino Linotype" w:hAnsi="Palatino Linotype"/>
                <w:sz w:val="24"/>
                <w:szCs w:val="24"/>
              </w:rPr>
              <w:t>$</w:t>
            </w:r>
            <w:r w:rsidRPr="5FDFFF45" w:rsidR="5372509F">
              <w:rPr>
                <w:rFonts w:ascii="Palatino Linotype" w:hAnsi="Palatino Linotype"/>
                <w:sz w:val="24"/>
                <w:szCs w:val="24"/>
              </w:rPr>
              <w:t>45.38</w:t>
            </w:r>
          </w:p>
        </w:tc>
        <w:tc>
          <w:tcPr>
            <w:tcW w:w="1389" w:type="dxa"/>
          </w:tcPr>
          <w:p w:rsidR="365BEDDC" w:rsidP="365BEDDC" w:rsidRDefault="7C4C9FC5" w14:paraId="4C834F00" w14:textId="77777777">
            <w:pPr>
              <w:rPr>
                <w:rFonts w:ascii="Palatino Linotype" w:hAnsi="Palatino Linotype"/>
                <w:sz w:val="24"/>
                <w:szCs w:val="24"/>
              </w:rPr>
            </w:pPr>
            <w:r w:rsidRPr="5FDFFF45">
              <w:rPr>
                <w:rFonts w:ascii="Palatino Linotype" w:hAnsi="Palatino Linotype"/>
                <w:sz w:val="24"/>
                <w:szCs w:val="24"/>
              </w:rPr>
              <w:t>$</w:t>
            </w:r>
            <w:r w:rsidRPr="5FDFFF45" w:rsidR="5372509F">
              <w:rPr>
                <w:rFonts w:ascii="Palatino Linotype" w:hAnsi="Palatino Linotype"/>
                <w:sz w:val="24"/>
                <w:szCs w:val="24"/>
              </w:rPr>
              <w:t>252.32</w:t>
            </w:r>
          </w:p>
        </w:tc>
      </w:tr>
      <w:tr w:rsidR="365BEDDC" w:rsidTr="6C4B7FD9" w14:paraId="3EE5EFAA" w14:textId="77777777">
        <w:trPr>
          <w:trHeight w:val="300"/>
          <w:jc w:val="center"/>
        </w:trPr>
        <w:tc>
          <w:tcPr>
            <w:tcW w:w="840" w:type="dxa"/>
          </w:tcPr>
          <w:p w:rsidR="365BEDDC" w:rsidP="365BEDDC" w:rsidRDefault="365BEDDC" w14:paraId="4BC7ADCC" w14:textId="77777777">
            <w:pPr>
              <w:rPr>
                <w:rFonts w:ascii="Palatino Linotype" w:hAnsi="Palatino Linotype"/>
                <w:sz w:val="24"/>
                <w:szCs w:val="24"/>
              </w:rPr>
            </w:pPr>
            <w:r w:rsidRPr="635534BE">
              <w:rPr>
                <w:rFonts w:ascii="Palatino Linotype" w:hAnsi="Palatino Linotype"/>
                <w:sz w:val="24"/>
                <w:szCs w:val="24"/>
              </w:rPr>
              <w:t>e</w:t>
            </w:r>
          </w:p>
        </w:tc>
        <w:tc>
          <w:tcPr>
            <w:tcW w:w="3885" w:type="dxa"/>
          </w:tcPr>
          <w:p w:rsidR="365BEDDC" w:rsidP="365BEDDC" w:rsidRDefault="5E9919EF" w14:paraId="46633776" w14:textId="77777777">
            <w:pPr>
              <w:rPr>
                <w:rFonts w:ascii="Palatino Linotype" w:hAnsi="Palatino Linotype"/>
                <w:sz w:val="24"/>
                <w:szCs w:val="24"/>
              </w:rPr>
            </w:pPr>
            <w:r w:rsidRPr="365BEDDC">
              <w:rPr>
                <w:rFonts w:ascii="Palatino Linotype" w:hAnsi="Palatino Linotype"/>
                <w:sz w:val="24"/>
                <w:szCs w:val="24"/>
              </w:rPr>
              <w:t>Incremental Spend Authorized in Track 3 GRC D</w:t>
            </w:r>
            <w:r w:rsidRPr="365BEDDC" w:rsidR="4453F7A1">
              <w:rPr>
                <w:rFonts w:ascii="Palatino Linotype" w:hAnsi="Palatino Linotype"/>
                <w:sz w:val="24"/>
                <w:szCs w:val="24"/>
              </w:rPr>
              <w:t>.22-06-32</w:t>
            </w:r>
            <w:r w:rsidRPr="365BEDDC" w:rsidR="365BEDDC">
              <w:rPr>
                <w:rStyle w:val="FootnoteReference"/>
                <w:rFonts w:ascii="Palatino Linotype" w:hAnsi="Palatino Linotype"/>
                <w:sz w:val="24"/>
                <w:szCs w:val="24"/>
              </w:rPr>
              <w:footnoteReference w:id="24"/>
            </w:r>
          </w:p>
        </w:tc>
        <w:tc>
          <w:tcPr>
            <w:tcW w:w="1470" w:type="dxa"/>
          </w:tcPr>
          <w:p w:rsidR="365BEDDC" w:rsidP="365BEDDC" w:rsidRDefault="730A7F37" w14:paraId="6753873A" w14:textId="77777777">
            <w:pPr>
              <w:rPr>
                <w:rFonts w:ascii="Palatino Linotype" w:hAnsi="Palatino Linotype"/>
                <w:sz w:val="24"/>
                <w:szCs w:val="24"/>
              </w:rPr>
            </w:pPr>
            <w:r w:rsidRPr="635534BE">
              <w:rPr>
                <w:rFonts w:ascii="Palatino Linotype" w:hAnsi="Palatino Linotype"/>
                <w:sz w:val="24"/>
                <w:szCs w:val="24"/>
              </w:rPr>
              <w:t>$</w:t>
            </w:r>
            <w:r w:rsidRPr="635534BE" w:rsidR="5372509F">
              <w:rPr>
                <w:rFonts w:ascii="Palatino Linotype" w:hAnsi="Palatino Linotype"/>
                <w:sz w:val="24"/>
                <w:szCs w:val="24"/>
              </w:rPr>
              <w:t>167.46</w:t>
            </w:r>
            <w:r w:rsidRPr="635534BE" w:rsidR="365BEDDC">
              <w:rPr>
                <w:rStyle w:val="FootnoteReference"/>
                <w:rFonts w:ascii="Palatino Linotype" w:hAnsi="Palatino Linotype"/>
                <w:sz w:val="24"/>
                <w:szCs w:val="24"/>
              </w:rPr>
              <w:footnoteReference w:id="25"/>
            </w:r>
          </w:p>
        </w:tc>
        <w:tc>
          <w:tcPr>
            <w:tcW w:w="1776" w:type="dxa"/>
          </w:tcPr>
          <w:p w:rsidR="365BEDDC" w:rsidP="365BEDDC" w:rsidRDefault="40EEC8B1" w14:paraId="0A77A25A" w14:textId="77777777">
            <w:pPr>
              <w:rPr>
                <w:rFonts w:ascii="Palatino Linotype" w:hAnsi="Palatino Linotype"/>
                <w:sz w:val="24"/>
                <w:szCs w:val="24"/>
              </w:rPr>
            </w:pPr>
            <w:r w:rsidRPr="5FDFFF45">
              <w:rPr>
                <w:rFonts w:ascii="Palatino Linotype" w:hAnsi="Palatino Linotype"/>
                <w:sz w:val="24"/>
                <w:szCs w:val="24"/>
              </w:rPr>
              <w:t>$</w:t>
            </w:r>
            <w:r w:rsidRPr="5FDFFF45" w:rsidR="5372509F">
              <w:rPr>
                <w:rFonts w:ascii="Palatino Linotype" w:hAnsi="Palatino Linotype"/>
                <w:sz w:val="24"/>
                <w:szCs w:val="24"/>
              </w:rPr>
              <w:t>0</w:t>
            </w:r>
          </w:p>
        </w:tc>
        <w:tc>
          <w:tcPr>
            <w:tcW w:w="1389" w:type="dxa"/>
          </w:tcPr>
          <w:p w:rsidR="365BEDDC" w:rsidP="365BEDDC" w:rsidRDefault="3CDF3C7E" w14:paraId="2A9C07DA" w14:textId="77777777">
            <w:pPr>
              <w:rPr>
                <w:rFonts w:ascii="Palatino Linotype" w:hAnsi="Palatino Linotype"/>
                <w:sz w:val="24"/>
                <w:szCs w:val="24"/>
              </w:rPr>
            </w:pPr>
            <w:r w:rsidRPr="5FDFFF45">
              <w:rPr>
                <w:rFonts w:ascii="Palatino Linotype" w:hAnsi="Palatino Linotype"/>
                <w:sz w:val="24"/>
                <w:szCs w:val="24"/>
              </w:rPr>
              <w:t>$</w:t>
            </w:r>
            <w:r w:rsidRPr="5FDFFF45" w:rsidR="5372509F">
              <w:rPr>
                <w:rFonts w:ascii="Palatino Linotype" w:hAnsi="Palatino Linotype"/>
                <w:sz w:val="24"/>
                <w:szCs w:val="24"/>
              </w:rPr>
              <w:t>167.46</w:t>
            </w:r>
          </w:p>
        </w:tc>
      </w:tr>
      <w:tr w:rsidR="365BEDDC" w:rsidTr="6C4B7FD9" w14:paraId="0AFAA667" w14:textId="77777777">
        <w:trPr>
          <w:trHeight w:val="300"/>
          <w:jc w:val="center"/>
        </w:trPr>
        <w:tc>
          <w:tcPr>
            <w:tcW w:w="840" w:type="dxa"/>
          </w:tcPr>
          <w:p w:rsidR="365BEDDC" w:rsidP="365BEDDC" w:rsidRDefault="365BEDDC" w14:paraId="162832D0" w14:textId="77777777">
            <w:pPr>
              <w:rPr>
                <w:rFonts w:ascii="Palatino Linotype" w:hAnsi="Palatino Linotype"/>
                <w:sz w:val="24"/>
                <w:szCs w:val="24"/>
              </w:rPr>
            </w:pPr>
            <w:r w:rsidRPr="365BEDDC">
              <w:rPr>
                <w:rFonts w:ascii="Palatino Linotype" w:hAnsi="Palatino Linotype"/>
                <w:sz w:val="24"/>
                <w:szCs w:val="24"/>
              </w:rPr>
              <w:t xml:space="preserve">f </w:t>
            </w:r>
          </w:p>
        </w:tc>
        <w:tc>
          <w:tcPr>
            <w:tcW w:w="3885" w:type="dxa"/>
          </w:tcPr>
          <w:p w:rsidR="365BEDDC" w:rsidP="365BEDDC" w:rsidRDefault="5372509F" w14:paraId="1F32182D" w14:textId="77777777">
            <w:pPr>
              <w:rPr>
                <w:rFonts w:ascii="Palatino Linotype" w:hAnsi="Palatino Linotype"/>
                <w:sz w:val="24"/>
                <w:szCs w:val="24"/>
              </w:rPr>
            </w:pPr>
            <w:r w:rsidRPr="365BEDDC">
              <w:rPr>
                <w:rFonts w:ascii="Palatino Linotype" w:hAnsi="Palatino Linotype"/>
                <w:sz w:val="24"/>
                <w:szCs w:val="24"/>
              </w:rPr>
              <w:t xml:space="preserve">SCE’s </w:t>
            </w:r>
            <w:r w:rsidRPr="365BEDDC" w:rsidR="076FA235">
              <w:rPr>
                <w:rFonts w:ascii="Palatino Linotype" w:hAnsi="Palatino Linotype"/>
                <w:sz w:val="24"/>
                <w:szCs w:val="24"/>
              </w:rPr>
              <w:t>R</w:t>
            </w:r>
            <w:r w:rsidRPr="365BEDDC">
              <w:rPr>
                <w:rFonts w:ascii="Palatino Linotype" w:hAnsi="Palatino Linotype"/>
                <w:sz w:val="24"/>
                <w:szCs w:val="24"/>
              </w:rPr>
              <w:t>equest in AL 4881</w:t>
            </w:r>
            <w:r w:rsidRPr="365BEDDC" w:rsidR="365BEDDC">
              <w:rPr>
                <w:rStyle w:val="FootnoteReference"/>
                <w:rFonts w:ascii="Palatino Linotype" w:hAnsi="Palatino Linotype"/>
                <w:sz w:val="24"/>
                <w:szCs w:val="24"/>
              </w:rPr>
              <w:footnoteReference w:id="26"/>
            </w:r>
          </w:p>
        </w:tc>
        <w:tc>
          <w:tcPr>
            <w:tcW w:w="1470" w:type="dxa"/>
          </w:tcPr>
          <w:p w:rsidR="365BEDDC" w:rsidP="365BEDDC" w:rsidRDefault="5A91702E" w14:paraId="5FD63C2E" w14:textId="77777777">
            <w:pPr>
              <w:rPr>
                <w:rFonts w:ascii="Palatino Linotype" w:hAnsi="Palatino Linotype"/>
                <w:sz w:val="24"/>
                <w:szCs w:val="24"/>
              </w:rPr>
            </w:pPr>
            <w:r w:rsidRPr="5FDFFF45">
              <w:rPr>
                <w:rFonts w:ascii="Palatino Linotype" w:hAnsi="Palatino Linotype"/>
                <w:sz w:val="24"/>
                <w:szCs w:val="24"/>
              </w:rPr>
              <w:t>$</w:t>
            </w:r>
            <w:r w:rsidRPr="5FDFFF45" w:rsidR="5372509F">
              <w:rPr>
                <w:rFonts w:ascii="Palatino Linotype" w:hAnsi="Palatino Linotype"/>
                <w:sz w:val="24"/>
                <w:szCs w:val="24"/>
              </w:rPr>
              <w:t>0</w:t>
            </w:r>
          </w:p>
        </w:tc>
        <w:tc>
          <w:tcPr>
            <w:tcW w:w="1776" w:type="dxa"/>
          </w:tcPr>
          <w:p w:rsidR="365BEDDC" w:rsidP="365BEDDC" w:rsidRDefault="23255CD9" w14:paraId="38CF95A4" w14:textId="77777777">
            <w:pPr>
              <w:rPr>
                <w:rStyle w:val="FootnoteReference"/>
                <w:rFonts w:ascii="Palatino Linotype" w:hAnsi="Palatino Linotype"/>
                <w:sz w:val="24"/>
                <w:szCs w:val="24"/>
              </w:rPr>
            </w:pPr>
            <w:r w:rsidRPr="365BEDDC">
              <w:rPr>
                <w:rFonts w:ascii="Palatino Linotype" w:hAnsi="Palatino Linotype"/>
                <w:sz w:val="24"/>
                <w:szCs w:val="24"/>
              </w:rPr>
              <w:t>$</w:t>
            </w:r>
            <w:r w:rsidRPr="365BEDDC" w:rsidR="5372509F">
              <w:rPr>
                <w:rFonts w:ascii="Palatino Linotype" w:hAnsi="Palatino Linotype"/>
                <w:sz w:val="24"/>
                <w:szCs w:val="24"/>
              </w:rPr>
              <w:t>35.38</w:t>
            </w:r>
            <w:r w:rsidRPr="365BEDDC" w:rsidR="365BEDDC">
              <w:rPr>
                <w:rStyle w:val="FootnoteReference"/>
                <w:rFonts w:ascii="Palatino Linotype" w:hAnsi="Palatino Linotype"/>
                <w:sz w:val="24"/>
                <w:szCs w:val="24"/>
              </w:rPr>
              <w:footnoteReference w:id="27"/>
            </w:r>
          </w:p>
        </w:tc>
        <w:tc>
          <w:tcPr>
            <w:tcW w:w="1389" w:type="dxa"/>
          </w:tcPr>
          <w:p w:rsidR="365BEDDC" w:rsidP="365BEDDC" w:rsidRDefault="3CDF3C7E" w14:paraId="0EAC81C2" w14:textId="77777777">
            <w:pPr>
              <w:rPr>
                <w:rFonts w:ascii="Palatino Linotype" w:hAnsi="Palatino Linotype"/>
                <w:sz w:val="24"/>
                <w:szCs w:val="24"/>
              </w:rPr>
            </w:pPr>
            <w:r w:rsidRPr="5FDFFF45">
              <w:rPr>
                <w:rFonts w:ascii="Palatino Linotype" w:hAnsi="Palatino Linotype"/>
                <w:sz w:val="24"/>
                <w:szCs w:val="24"/>
              </w:rPr>
              <w:t>$</w:t>
            </w:r>
            <w:r w:rsidRPr="5FDFFF45" w:rsidR="5372509F">
              <w:rPr>
                <w:rFonts w:ascii="Palatino Linotype" w:hAnsi="Palatino Linotype"/>
                <w:sz w:val="24"/>
                <w:szCs w:val="24"/>
              </w:rPr>
              <w:t>35.38</w:t>
            </w:r>
          </w:p>
        </w:tc>
      </w:tr>
    </w:tbl>
    <w:p w:rsidR="12228140" w:rsidP="635534BE" w:rsidRDefault="12228140" w14:paraId="4CCE765D" w14:textId="77777777">
      <w:pPr>
        <w:jc w:val="center"/>
        <w:rPr>
          <w:rFonts w:ascii="Palatino Linotype" w:hAnsi="Palatino Linotype"/>
          <w:sz w:val="24"/>
          <w:szCs w:val="24"/>
        </w:rPr>
      </w:pPr>
    </w:p>
    <w:p w:rsidRPr="00D865A9" w:rsidR="00CF17DE" w:rsidP="4BA7214B" w:rsidRDefault="00394B3A" w14:paraId="279FA96D" w14:textId="77777777">
      <w:pPr>
        <w:pStyle w:val="Heading1"/>
        <w:rPr>
          <w:rFonts w:ascii="Palatino Linotype" w:hAnsi="Palatino Linotype" w:eastAsia="Palatino Linotype"/>
          <w:sz w:val="24"/>
          <w:szCs w:val="24"/>
        </w:rPr>
      </w:pPr>
      <w:r w:rsidRPr="00D865A9">
        <w:rPr>
          <w:rFonts w:ascii="Palatino Linotype" w:hAnsi="Palatino Linotype" w:eastAsia="Palatino Linotype"/>
          <w:sz w:val="24"/>
          <w:szCs w:val="24"/>
        </w:rPr>
        <w:t>Notice</w:t>
      </w:r>
    </w:p>
    <w:p w:rsidRPr="00D865A9" w:rsidR="00CF17DE" w:rsidP="4BA7214B" w:rsidRDefault="4284FEAB" w14:paraId="333373B2" w14:textId="77777777">
      <w:pPr>
        <w:rPr>
          <w:rFonts w:ascii="Palatino Linotype" w:hAnsi="Palatino Linotype" w:eastAsia="Palatino Linotype"/>
          <w:sz w:val="24"/>
          <w:szCs w:val="24"/>
        </w:rPr>
      </w:pPr>
      <w:r w:rsidRPr="635534BE">
        <w:rPr>
          <w:rFonts w:ascii="Palatino Linotype" w:hAnsi="Palatino Linotype" w:eastAsia="Palatino Linotype"/>
          <w:sz w:val="24"/>
          <w:szCs w:val="24"/>
        </w:rPr>
        <w:t xml:space="preserve">Notice of AL </w:t>
      </w:r>
      <w:r w:rsidRPr="635534BE" w:rsidR="1B9AA621">
        <w:rPr>
          <w:rFonts w:ascii="Palatino Linotype" w:hAnsi="Palatino Linotype" w:eastAsia="Palatino Linotype"/>
          <w:sz w:val="24"/>
          <w:szCs w:val="24"/>
        </w:rPr>
        <w:t>4881</w:t>
      </w:r>
      <w:r w:rsidRPr="635534BE">
        <w:rPr>
          <w:rFonts w:ascii="Palatino Linotype" w:hAnsi="Palatino Linotype" w:eastAsia="Palatino Linotype"/>
          <w:sz w:val="24"/>
          <w:szCs w:val="24"/>
        </w:rPr>
        <w:t>-</w:t>
      </w:r>
      <w:r w:rsidRPr="635534BE" w:rsidR="27E326D7">
        <w:rPr>
          <w:rFonts w:ascii="Palatino Linotype" w:hAnsi="Palatino Linotype" w:eastAsia="Palatino Linotype"/>
          <w:sz w:val="24"/>
          <w:szCs w:val="24"/>
        </w:rPr>
        <w:t>E</w:t>
      </w:r>
      <w:r w:rsidRPr="635534BE">
        <w:rPr>
          <w:rFonts w:ascii="Palatino Linotype" w:hAnsi="Palatino Linotype" w:eastAsia="Palatino Linotype"/>
          <w:sz w:val="24"/>
          <w:szCs w:val="24"/>
        </w:rPr>
        <w:t xml:space="preserve"> was made by publication in the Commission’s Daily Calendar.  </w:t>
      </w:r>
      <w:r w:rsidRPr="635534BE" w:rsidR="5F11BDD0">
        <w:rPr>
          <w:rFonts w:ascii="Palatino Linotype" w:hAnsi="Palatino Linotype" w:eastAsia="Palatino Linotype"/>
          <w:sz w:val="24"/>
          <w:szCs w:val="24"/>
        </w:rPr>
        <w:t>Southern California Edison</w:t>
      </w:r>
      <w:r w:rsidRPr="635534BE">
        <w:rPr>
          <w:rFonts w:ascii="Palatino Linotype" w:hAnsi="Palatino Linotype" w:eastAsia="Palatino Linotype"/>
          <w:sz w:val="24"/>
          <w:szCs w:val="24"/>
        </w:rPr>
        <w:t xml:space="preserve"> states that a copy of the Advice Letter was mailed and distributed in accordance with Sec</w:t>
      </w:r>
      <w:r w:rsidRPr="635534BE" w:rsidR="4521FD7D">
        <w:rPr>
          <w:rFonts w:ascii="Palatino Linotype" w:hAnsi="Palatino Linotype" w:eastAsia="Palatino Linotype"/>
          <w:sz w:val="24"/>
          <w:szCs w:val="24"/>
        </w:rPr>
        <w:t xml:space="preserve">tion </w:t>
      </w:r>
      <w:r w:rsidRPr="635534BE" w:rsidR="1D49C039">
        <w:rPr>
          <w:rFonts w:ascii="Palatino Linotype" w:hAnsi="Palatino Linotype" w:eastAsia="Palatino Linotype"/>
          <w:sz w:val="24"/>
          <w:szCs w:val="24"/>
        </w:rPr>
        <w:t>4</w:t>
      </w:r>
      <w:r w:rsidRPr="635534BE" w:rsidR="6120802D">
        <w:rPr>
          <w:rFonts w:ascii="Palatino Linotype" w:hAnsi="Palatino Linotype" w:eastAsia="Palatino Linotype"/>
          <w:sz w:val="24"/>
          <w:szCs w:val="24"/>
        </w:rPr>
        <w:t xml:space="preserve"> of General Order 96-B</w:t>
      </w:r>
      <w:r w:rsidRPr="635534BE">
        <w:rPr>
          <w:rFonts w:ascii="Palatino Linotype" w:hAnsi="Palatino Linotype" w:eastAsia="Palatino Linotype"/>
          <w:sz w:val="24"/>
          <w:szCs w:val="24"/>
        </w:rPr>
        <w:t xml:space="preserve">. </w:t>
      </w:r>
    </w:p>
    <w:p w:rsidRPr="00D865A9" w:rsidR="00CF17DE" w:rsidP="4BA7214B" w:rsidRDefault="00CF17DE" w14:paraId="57EA36E0" w14:textId="77777777">
      <w:pPr>
        <w:rPr>
          <w:rFonts w:ascii="Palatino Linotype" w:hAnsi="Palatino Linotype" w:eastAsia="Palatino Linotype"/>
          <w:sz w:val="24"/>
          <w:szCs w:val="24"/>
        </w:rPr>
      </w:pPr>
    </w:p>
    <w:p w:rsidRPr="00D865A9" w:rsidR="00CF17DE" w:rsidP="4BA7214B" w:rsidRDefault="00CF17DE" w14:paraId="4F480697" w14:textId="77777777">
      <w:pPr>
        <w:pStyle w:val="Heading1"/>
        <w:rPr>
          <w:rFonts w:ascii="Palatino Linotype" w:hAnsi="Palatino Linotype" w:eastAsia="Palatino Linotype"/>
          <w:sz w:val="24"/>
          <w:szCs w:val="24"/>
        </w:rPr>
      </w:pPr>
      <w:r w:rsidRPr="00D865A9">
        <w:rPr>
          <w:rFonts w:ascii="Palatino Linotype" w:hAnsi="Palatino Linotype" w:eastAsia="Palatino Linotype"/>
          <w:sz w:val="24"/>
          <w:szCs w:val="24"/>
        </w:rPr>
        <w:t>Protests</w:t>
      </w:r>
    </w:p>
    <w:p w:rsidRPr="00D865A9" w:rsidR="00CF17DE" w:rsidP="12228140" w:rsidRDefault="00083AA8" w14:paraId="1931B92E" w14:textId="77777777">
      <w:pPr>
        <w:rPr>
          <w:rFonts w:ascii="Palatino Linotype" w:hAnsi="Palatino Linotype" w:eastAsia="Palatino Linotype"/>
          <w:sz w:val="24"/>
          <w:szCs w:val="24"/>
        </w:rPr>
      </w:pPr>
      <w:r w:rsidRPr="12228140">
        <w:rPr>
          <w:rFonts w:ascii="Palatino Linotype" w:hAnsi="Palatino Linotype" w:eastAsia="Palatino Linotype"/>
          <w:sz w:val="24"/>
          <w:szCs w:val="24"/>
        </w:rPr>
        <w:t xml:space="preserve">SCE’s </w:t>
      </w:r>
      <w:r w:rsidRPr="12228140" w:rsidR="4284FEAB">
        <w:rPr>
          <w:rFonts w:ascii="Palatino Linotype" w:hAnsi="Palatino Linotype" w:eastAsia="Palatino Linotype"/>
          <w:sz w:val="24"/>
          <w:szCs w:val="24"/>
        </w:rPr>
        <w:t xml:space="preserve">Advice Letter </w:t>
      </w:r>
      <w:r w:rsidRPr="12228140" w:rsidR="34E33E32">
        <w:rPr>
          <w:rFonts w:ascii="Palatino Linotype" w:hAnsi="Palatino Linotype" w:eastAsia="Palatino Linotype"/>
          <w:sz w:val="24"/>
          <w:szCs w:val="24"/>
        </w:rPr>
        <w:t>4881</w:t>
      </w:r>
      <w:r w:rsidRPr="12228140" w:rsidR="4284FEAB">
        <w:rPr>
          <w:rFonts w:ascii="Palatino Linotype" w:hAnsi="Palatino Linotype" w:eastAsia="Palatino Linotype"/>
          <w:sz w:val="24"/>
          <w:szCs w:val="24"/>
        </w:rPr>
        <w:t>-E was protested</w:t>
      </w:r>
      <w:r w:rsidRPr="12228140" w:rsidR="1B4A4462">
        <w:rPr>
          <w:rFonts w:ascii="Palatino Linotype" w:hAnsi="Palatino Linotype" w:eastAsia="Palatino Linotype"/>
          <w:sz w:val="24"/>
          <w:szCs w:val="24"/>
        </w:rPr>
        <w:t xml:space="preserve"> by the </w:t>
      </w:r>
      <w:r w:rsidRPr="12228140" w:rsidR="5EAD1783">
        <w:rPr>
          <w:rFonts w:ascii="Palatino Linotype" w:hAnsi="Palatino Linotype" w:eastAsia="Palatino Linotype"/>
          <w:sz w:val="24"/>
          <w:szCs w:val="24"/>
        </w:rPr>
        <w:t xml:space="preserve">Public Advocates Office of the </w:t>
      </w:r>
      <w:r w:rsidRPr="12228140" w:rsidR="36171AC5">
        <w:rPr>
          <w:rFonts w:ascii="Palatino Linotype" w:hAnsi="Palatino Linotype" w:eastAsia="Palatino Linotype"/>
          <w:sz w:val="24"/>
          <w:szCs w:val="24"/>
        </w:rPr>
        <w:t>Public Utilities Commission (Cal Advocates) on November 14, 2022 and The Utility Reform Network (TURN) on November 15, 2022.</w:t>
      </w:r>
    </w:p>
    <w:p w:rsidRPr="00D865A9" w:rsidR="00CF17DE" w:rsidP="12228140" w:rsidRDefault="00CF17DE" w14:paraId="2399E9E3" w14:textId="77777777">
      <w:pPr>
        <w:rPr>
          <w:rFonts w:ascii="Times New Roman" w:hAnsi="Times New Roman"/>
          <w:color w:val="000000" w:themeColor="text1"/>
          <w:szCs w:val="26"/>
        </w:rPr>
      </w:pPr>
    </w:p>
    <w:p w:rsidRPr="00D865A9" w:rsidR="00CF17DE" w:rsidP="4BA7214B" w:rsidRDefault="131C0DE9" w14:paraId="62AE6A93" w14:textId="77777777">
      <w:pPr>
        <w:rPr>
          <w:rFonts w:ascii="Palatino Linotype" w:hAnsi="Palatino Linotype" w:eastAsia="Palatino Linotype"/>
          <w:sz w:val="24"/>
          <w:szCs w:val="24"/>
        </w:rPr>
      </w:pPr>
      <w:r w:rsidRPr="12228140">
        <w:rPr>
          <w:rFonts w:ascii="Palatino Linotype" w:hAnsi="Palatino Linotype" w:eastAsia="Palatino Linotype"/>
          <w:sz w:val="24"/>
          <w:szCs w:val="24"/>
        </w:rPr>
        <w:lastRenderedPageBreak/>
        <w:t>SCE</w:t>
      </w:r>
      <w:r w:rsidRPr="12228140" w:rsidR="4284FEAB">
        <w:rPr>
          <w:rFonts w:ascii="Palatino Linotype" w:hAnsi="Palatino Linotype" w:eastAsia="Palatino Linotype"/>
          <w:sz w:val="24"/>
          <w:szCs w:val="24"/>
        </w:rPr>
        <w:t xml:space="preserve"> responded to the protests of </w:t>
      </w:r>
      <w:r w:rsidRPr="12228140" w:rsidR="664E1F3D">
        <w:rPr>
          <w:rFonts w:ascii="Palatino Linotype" w:hAnsi="Palatino Linotype" w:eastAsia="Palatino Linotype"/>
          <w:sz w:val="24"/>
          <w:szCs w:val="24"/>
        </w:rPr>
        <w:t xml:space="preserve">Cal Advocates and TURN </w:t>
      </w:r>
      <w:r w:rsidRPr="12228140" w:rsidR="4284FEAB">
        <w:rPr>
          <w:rFonts w:ascii="Palatino Linotype" w:hAnsi="Palatino Linotype" w:eastAsia="Palatino Linotype"/>
          <w:sz w:val="24"/>
          <w:szCs w:val="24"/>
        </w:rPr>
        <w:t xml:space="preserve">on </w:t>
      </w:r>
      <w:r w:rsidRPr="12228140" w:rsidR="10508FBD">
        <w:rPr>
          <w:rFonts w:ascii="Palatino Linotype" w:hAnsi="Palatino Linotype" w:eastAsia="Palatino Linotype"/>
          <w:sz w:val="24"/>
          <w:szCs w:val="24"/>
        </w:rPr>
        <w:t>November 22, 2022.</w:t>
      </w:r>
    </w:p>
    <w:p w:rsidRPr="00D865A9" w:rsidR="00CF17DE" w:rsidP="4BA7214B" w:rsidRDefault="00CF17DE" w14:paraId="583B83AF" w14:textId="77777777">
      <w:pPr>
        <w:rPr>
          <w:rFonts w:ascii="Palatino Linotype" w:hAnsi="Palatino Linotype" w:eastAsia="Palatino Linotype"/>
          <w:sz w:val="24"/>
          <w:szCs w:val="24"/>
        </w:rPr>
      </w:pPr>
    </w:p>
    <w:p w:rsidR="002F4C3C" w:rsidP="65CDA542" w:rsidRDefault="002F4C3C" w14:paraId="7E37BB32" w14:textId="77777777">
      <w:pPr>
        <w:rPr>
          <w:rFonts w:ascii="Palatino Linotype" w:hAnsi="Palatino Linotype" w:eastAsia="Palatino Linotype"/>
          <w:sz w:val="24"/>
          <w:szCs w:val="24"/>
        </w:rPr>
      </w:pPr>
      <w:r w:rsidRPr="65CDA542">
        <w:rPr>
          <w:rFonts w:ascii="Palatino Linotype" w:hAnsi="Palatino Linotype" w:eastAsia="Palatino Linotype"/>
          <w:sz w:val="24"/>
          <w:szCs w:val="24"/>
        </w:rPr>
        <w:t>Cal Advocates</w:t>
      </w:r>
      <w:r w:rsidRPr="65CDA542" w:rsidR="1FE49ECA">
        <w:rPr>
          <w:rFonts w:ascii="Palatino Linotype" w:hAnsi="Palatino Linotype" w:eastAsia="Palatino Linotype"/>
          <w:sz w:val="24"/>
          <w:szCs w:val="24"/>
        </w:rPr>
        <w:t>’</w:t>
      </w:r>
      <w:r w:rsidRPr="65CDA542">
        <w:rPr>
          <w:rFonts w:ascii="Palatino Linotype" w:hAnsi="Palatino Linotype" w:eastAsia="Palatino Linotype"/>
          <w:sz w:val="24"/>
          <w:szCs w:val="24"/>
        </w:rPr>
        <w:t xml:space="preserve"> protest </w:t>
      </w:r>
      <w:r w:rsidRPr="65CDA542" w:rsidR="5C188B7E">
        <w:rPr>
          <w:rFonts w:ascii="Palatino Linotype" w:hAnsi="Palatino Linotype" w:eastAsia="Palatino Linotype"/>
          <w:sz w:val="24"/>
          <w:szCs w:val="24"/>
        </w:rPr>
        <w:t>argues</w:t>
      </w:r>
      <w:r w:rsidRPr="65CDA542">
        <w:rPr>
          <w:rFonts w:ascii="Palatino Linotype" w:hAnsi="Palatino Linotype" w:eastAsia="Palatino Linotype"/>
          <w:sz w:val="24"/>
          <w:szCs w:val="24"/>
        </w:rPr>
        <w:t xml:space="preserve"> </w:t>
      </w:r>
      <w:r w:rsidRPr="65CDA542" w:rsidR="6B9DB684">
        <w:rPr>
          <w:rFonts w:ascii="Palatino Linotype" w:hAnsi="Palatino Linotype" w:eastAsia="Palatino Linotype"/>
          <w:sz w:val="24"/>
          <w:szCs w:val="24"/>
        </w:rPr>
        <w:t xml:space="preserve">that 30% of </w:t>
      </w:r>
      <w:r w:rsidRPr="65CDA542" w:rsidR="506DD968">
        <w:rPr>
          <w:rFonts w:ascii="Palatino Linotype" w:hAnsi="Palatino Linotype" w:eastAsia="Palatino Linotype" w:cs="Palatino Linotype"/>
          <w:sz w:val="24"/>
          <w:szCs w:val="24"/>
        </w:rPr>
        <w:t>SCE’s request</w:t>
      </w:r>
      <w:r w:rsidRPr="65CDA542" w:rsidR="422E3445">
        <w:rPr>
          <w:rFonts w:ascii="Palatino Linotype" w:hAnsi="Palatino Linotype" w:eastAsia="Palatino Linotype" w:cs="Palatino Linotype"/>
          <w:sz w:val="24"/>
          <w:szCs w:val="24"/>
        </w:rPr>
        <w:t>ed costs</w:t>
      </w:r>
      <w:r w:rsidRPr="65CDA542" w:rsidR="0808A351">
        <w:rPr>
          <w:rFonts w:ascii="Palatino Linotype" w:hAnsi="Palatino Linotype" w:eastAsia="Palatino Linotype" w:cs="Palatino Linotype"/>
          <w:sz w:val="24"/>
          <w:szCs w:val="24"/>
        </w:rPr>
        <w:t xml:space="preserve"> </w:t>
      </w:r>
      <w:r w:rsidRPr="65CDA542" w:rsidR="506DD968">
        <w:rPr>
          <w:rFonts w:ascii="Palatino Linotype" w:hAnsi="Palatino Linotype" w:eastAsia="Palatino Linotype" w:cs="Palatino Linotype"/>
          <w:sz w:val="24"/>
          <w:szCs w:val="24"/>
        </w:rPr>
        <w:t xml:space="preserve">in AL 4881-E fail to meet two of the nine </w:t>
      </w:r>
      <w:r w:rsidRPr="65CDA542" w:rsidR="604210E3">
        <w:rPr>
          <w:rFonts w:ascii="Palatino Linotype" w:hAnsi="Palatino Linotype" w:eastAsia="Palatino Linotype" w:cs="Palatino Linotype"/>
          <w:sz w:val="24"/>
          <w:szCs w:val="24"/>
        </w:rPr>
        <w:t>Z</w:t>
      </w:r>
      <w:r w:rsidRPr="65CDA542" w:rsidR="5B1C43DD">
        <w:rPr>
          <w:rFonts w:ascii="Palatino Linotype" w:hAnsi="Palatino Linotype" w:eastAsia="Palatino Linotype" w:cs="Palatino Linotype"/>
          <w:sz w:val="24"/>
          <w:szCs w:val="24"/>
        </w:rPr>
        <w:t xml:space="preserve">-factor </w:t>
      </w:r>
      <w:r w:rsidRPr="65CDA542" w:rsidR="506DD968">
        <w:rPr>
          <w:rFonts w:ascii="Palatino Linotype" w:hAnsi="Palatino Linotype" w:eastAsia="Palatino Linotype" w:cs="Palatino Linotype"/>
          <w:sz w:val="24"/>
          <w:szCs w:val="24"/>
        </w:rPr>
        <w:t>criteria</w:t>
      </w:r>
      <w:r w:rsidRPr="65CDA542" w:rsidR="099066AB">
        <w:rPr>
          <w:rFonts w:ascii="Palatino Linotype" w:hAnsi="Palatino Linotype" w:eastAsia="Palatino Linotype" w:cs="Palatino Linotype"/>
          <w:sz w:val="24"/>
          <w:szCs w:val="24"/>
        </w:rPr>
        <w:t>: 1) that t</w:t>
      </w:r>
      <w:r w:rsidRPr="65CDA542" w:rsidR="6135B773">
        <w:rPr>
          <w:rFonts w:ascii="Palatino Linotype" w:hAnsi="Palatino Linotype" w:eastAsia="Palatino Linotype"/>
          <w:sz w:val="24"/>
          <w:szCs w:val="24"/>
        </w:rPr>
        <w:t>he cost</w:t>
      </w:r>
      <w:r w:rsidRPr="65CDA542" w:rsidR="673B18A8">
        <w:rPr>
          <w:rFonts w:ascii="Palatino Linotype" w:hAnsi="Palatino Linotype" w:eastAsia="Palatino Linotype"/>
          <w:sz w:val="24"/>
          <w:szCs w:val="24"/>
        </w:rPr>
        <w:t xml:space="preserve"> is</w:t>
      </w:r>
      <w:r w:rsidRPr="65CDA542" w:rsidR="6135B773">
        <w:rPr>
          <w:rFonts w:ascii="Palatino Linotype" w:hAnsi="Palatino Linotype" w:eastAsia="Palatino Linotype"/>
          <w:sz w:val="24"/>
          <w:szCs w:val="24"/>
        </w:rPr>
        <w:t xml:space="preserve"> beyond management’s control</w:t>
      </w:r>
      <w:r w:rsidRPr="65CDA542" w:rsidR="33266F7A">
        <w:rPr>
          <w:rFonts w:ascii="Palatino Linotype" w:hAnsi="Palatino Linotype" w:eastAsia="Palatino Linotype"/>
          <w:sz w:val="24"/>
          <w:szCs w:val="24"/>
        </w:rPr>
        <w:t>; and 2) that the cost is not a normal part of doing business.</w:t>
      </w:r>
    </w:p>
    <w:p w:rsidR="365BEDDC" w:rsidP="365BEDDC" w:rsidRDefault="365BEDDC" w14:paraId="3B155936" w14:textId="77777777">
      <w:pPr>
        <w:rPr>
          <w:rFonts w:ascii="Palatino Linotype" w:hAnsi="Palatino Linotype" w:eastAsia="Palatino Linotype"/>
          <w:sz w:val="24"/>
          <w:szCs w:val="24"/>
        </w:rPr>
      </w:pPr>
    </w:p>
    <w:p w:rsidR="0C96956C" w:rsidP="65CDA542" w:rsidRDefault="0C96956C" w14:paraId="3D0C43C2" w14:textId="77777777">
      <w:pPr>
        <w:rPr>
          <w:rFonts w:ascii="Palatino Linotype" w:hAnsi="Palatino Linotype" w:eastAsia="Palatino Linotype"/>
          <w:sz w:val="24"/>
          <w:szCs w:val="24"/>
        </w:rPr>
      </w:pPr>
      <w:r w:rsidRPr="65CDA542">
        <w:rPr>
          <w:rFonts w:ascii="Palatino Linotype" w:hAnsi="Palatino Linotype" w:eastAsia="Palatino Linotype"/>
          <w:sz w:val="24"/>
          <w:szCs w:val="24"/>
        </w:rPr>
        <w:t xml:space="preserve">Cal Advocates </w:t>
      </w:r>
      <w:r w:rsidRPr="65CDA542" w:rsidR="5D637CC9">
        <w:rPr>
          <w:rFonts w:ascii="Palatino Linotype" w:hAnsi="Palatino Linotype" w:eastAsia="Palatino Linotype"/>
          <w:sz w:val="24"/>
          <w:szCs w:val="24"/>
        </w:rPr>
        <w:t xml:space="preserve">asserts </w:t>
      </w:r>
      <w:r w:rsidRPr="65CDA542">
        <w:rPr>
          <w:rFonts w:ascii="Palatino Linotype" w:hAnsi="Palatino Linotype" w:eastAsia="Palatino Linotype"/>
          <w:sz w:val="24"/>
          <w:szCs w:val="24"/>
        </w:rPr>
        <w:t>that</w:t>
      </w:r>
      <w:r w:rsidRPr="65CDA542" w:rsidR="47C37E69">
        <w:rPr>
          <w:rFonts w:ascii="Palatino Linotype" w:hAnsi="Palatino Linotype" w:eastAsia="Palatino Linotype"/>
          <w:sz w:val="24"/>
          <w:szCs w:val="24"/>
        </w:rPr>
        <w:t xml:space="preserve"> SCE fails to demonstrate that </w:t>
      </w:r>
      <w:r w:rsidRPr="65CDA542" w:rsidR="63CA132D">
        <w:rPr>
          <w:rFonts w:ascii="Palatino Linotype" w:hAnsi="Palatino Linotype" w:eastAsia="Palatino Linotype"/>
          <w:sz w:val="24"/>
          <w:szCs w:val="24"/>
        </w:rPr>
        <w:t xml:space="preserve">30% of the work performed outside of the HFRA was beyond SCE’s control.  The protest </w:t>
      </w:r>
      <w:r w:rsidRPr="65CDA542" w:rsidR="39257E5A">
        <w:rPr>
          <w:rFonts w:ascii="Palatino Linotype" w:hAnsi="Palatino Linotype" w:eastAsia="Palatino Linotype"/>
          <w:sz w:val="24"/>
          <w:szCs w:val="24"/>
        </w:rPr>
        <w:t>states that</w:t>
      </w:r>
      <w:r w:rsidRPr="65CDA542" w:rsidR="63CA132D">
        <w:rPr>
          <w:rFonts w:ascii="Palatino Linotype" w:hAnsi="Palatino Linotype" w:eastAsia="Palatino Linotype"/>
          <w:sz w:val="24"/>
          <w:szCs w:val="24"/>
        </w:rPr>
        <w:t xml:space="preserve"> </w:t>
      </w:r>
      <w:r w:rsidRPr="65CDA542" w:rsidR="39257E5A">
        <w:rPr>
          <w:rFonts w:ascii="Palatino Linotype" w:hAnsi="Palatino Linotype" w:eastAsia="Palatino Linotype"/>
          <w:sz w:val="24"/>
          <w:szCs w:val="24"/>
        </w:rPr>
        <w:t xml:space="preserve">SCE </w:t>
      </w:r>
      <w:r w:rsidRPr="65CDA542" w:rsidR="7067E662">
        <w:rPr>
          <w:rFonts w:ascii="Palatino Linotype" w:hAnsi="Palatino Linotype" w:eastAsia="Palatino Linotype"/>
          <w:sz w:val="24"/>
          <w:szCs w:val="24"/>
        </w:rPr>
        <w:t>acknowledges that 30% of the work done outside of the HFRA was not required in this time period, because the trees were slow growing and would not encroach upon the revised line clearances.</w:t>
      </w:r>
      <w:r w:rsidRPr="65CDA542">
        <w:rPr>
          <w:rStyle w:val="FootnoteReference"/>
          <w:rFonts w:ascii="Palatino Linotype" w:hAnsi="Palatino Linotype" w:eastAsia="Palatino Linotype"/>
          <w:sz w:val="24"/>
          <w:szCs w:val="24"/>
        </w:rPr>
        <w:footnoteReference w:id="28"/>
      </w:r>
    </w:p>
    <w:p w:rsidR="65CDA542" w:rsidP="65CDA542" w:rsidRDefault="65CDA542" w14:paraId="1A904CD6" w14:textId="77777777">
      <w:pPr>
        <w:rPr>
          <w:rFonts w:ascii="Palatino Linotype" w:hAnsi="Palatino Linotype" w:eastAsia="Palatino Linotype"/>
          <w:sz w:val="24"/>
          <w:szCs w:val="24"/>
        </w:rPr>
      </w:pPr>
    </w:p>
    <w:p w:rsidR="1F89692F" w:rsidP="65CDA542" w:rsidRDefault="1F89692F" w14:paraId="2CE05BAD" w14:textId="77777777">
      <w:pPr>
        <w:rPr>
          <w:rFonts w:ascii="Palatino Linotype" w:hAnsi="Palatino Linotype" w:eastAsia="Palatino Linotype" w:cs="Palatino Linotype"/>
          <w:sz w:val="24"/>
          <w:szCs w:val="24"/>
        </w:rPr>
      </w:pPr>
      <w:r w:rsidRPr="365BEDDC">
        <w:rPr>
          <w:rFonts w:ascii="Palatino Linotype" w:hAnsi="Palatino Linotype" w:eastAsia="Palatino Linotype"/>
          <w:i/>
          <w:iCs/>
          <w:sz w:val="24"/>
          <w:szCs w:val="24"/>
        </w:rPr>
        <w:t>SCE Response</w:t>
      </w:r>
      <w:r w:rsidRPr="365BEDDC">
        <w:rPr>
          <w:rFonts w:ascii="Palatino Linotype" w:hAnsi="Palatino Linotype" w:eastAsia="Palatino Linotype"/>
          <w:sz w:val="24"/>
          <w:szCs w:val="24"/>
        </w:rPr>
        <w:t xml:space="preserve">: SCE </w:t>
      </w:r>
      <w:r w:rsidRPr="365BEDDC" w:rsidR="7C87FE7D">
        <w:rPr>
          <w:rFonts w:ascii="Palatino Linotype" w:hAnsi="Palatino Linotype" w:eastAsia="Palatino Linotype"/>
          <w:sz w:val="24"/>
          <w:szCs w:val="24"/>
        </w:rPr>
        <w:t>reiterates the argument in its advice letter filing</w:t>
      </w:r>
      <w:r w:rsidRPr="365BEDDC" w:rsidR="2A6BB67D">
        <w:rPr>
          <w:rFonts w:ascii="Palatino Linotype" w:hAnsi="Palatino Linotype" w:eastAsia="Palatino Linotype"/>
          <w:sz w:val="24"/>
          <w:szCs w:val="24"/>
        </w:rPr>
        <w:t xml:space="preserve"> that </w:t>
      </w:r>
      <w:r w:rsidRPr="365BEDDC" w:rsidR="5A8E6D2F">
        <w:rPr>
          <w:rFonts w:ascii="Palatino Linotype" w:hAnsi="Palatino Linotype" w:eastAsia="Palatino Linotype"/>
          <w:sz w:val="24"/>
          <w:szCs w:val="24"/>
        </w:rPr>
        <w:t xml:space="preserve">the </w:t>
      </w:r>
      <w:r w:rsidRPr="365BEDDC" w:rsidR="2A6BB67D">
        <w:rPr>
          <w:rFonts w:ascii="Palatino Linotype" w:hAnsi="Palatino Linotype" w:eastAsia="Palatino Linotype"/>
          <w:sz w:val="24"/>
          <w:szCs w:val="24"/>
        </w:rPr>
        <w:t xml:space="preserve">minimum </w:t>
      </w:r>
      <w:r w:rsidRPr="365BEDDC" w:rsidR="5FC8A6C7">
        <w:rPr>
          <w:rFonts w:ascii="Palatino Linotype" w:hAnsi="Palatino Linotype" w:eastAsia="Palatino Linotype"/>
          <w:sz w:val="24"/>
          <w:szCs w:val="24"/>
        </w:rPr>
        <w:t>four-foot</w:t>
      </w:r>
      <w:r w:rsidRPr="365BEDDC" w:rsidR="2A6BB67D">
        <w:rPr>
          <w:rFonts w:ascii="Palatino Linotype" w:hAnsi="Palatino Linotype" w:eastAsia="Palatino Linotype"/>
          <w:sz w:val="24"/>
          <w:szCs w:val="24"/>
        </w:rPr>
        <w:t xml:space="preserve"> clearance at the time of tr</w:t>
      </w:r>
      <w:r w:rsidRPr="365BEDDC" w:rsidR="2991EA71">
        <w:rPr>
          <w:rFonts w:ascii="Palatino Linotype" w:hAnsi="Palatino Linotype" w:eastAsia="Palatino Linotype"/>
          <w:sz w:val="24"/>
          <w:szCs w:val="24"/>
        </w:rPr>
        <w:t>i</w:t>
      </w:r>
      <w:r w:rsidRPr="365BEDDC" w:rsidR="2A6BB67D">
        <w:rPr>
          <w:rFonts w:ascii="Palatino Linotype" w:hAnsi="Palatino Linotype" w:eastAsia="Palatino Linotype"/>
          <w:sz w:val="24"/>
          <w:szCs w:val="24"/>
        </w:rPr>
        <w:t xml:space="preserve">m is frequently </w:t>
      </w:r>
      <w:r w:rsidRPr="365BEDDC" w:rsidR="2058166E">
        <w:rPr>
          <w:rFonts w:ascii="Palatino Linotype" w:hAnsi="Palatino Linotype" w:eastAsia="Palatino Linotype"/>
          <w:sz w:val="24"/>
          <w:szCs w:val="24"/>
        </w:rPr>
        <w:t>insufficient</w:t>
      </w:r>
      <w:r w:rsidRPr="365BEDDC" w:rsidR="2A6BB67D">
        <w:rPr>
          <w:rFonts w:ascii="Palatino Linotype" w:hAnsi="Palatino Linotype" w:eastAsia="Palatino Linotype"/>
          <w:sz w:val="24"/>
          <w:szCs w:val="24"/>
        </w:rPr>
        <w:t xml:space="preserve"> </w:t>
      </w:r>
      <w:r w:rsidRPr="365BEDDC" w:rsidR="365595F1">
        <w:rPr>
          <w:rFonts w:ascii="Palatino Linotype" w:hAnsi="Palatino Linotype" w:eastAsia="Palatino Linotype"/>
          <w:sz w:val="24"/>
          <w:szCs w:val="24"/>
        </w:rPr>
        <w:t>to</w:t>
      </w:r>
      <w:r w:rsidRPr="365BEDDC" w:rsidR="2A6BB67D">
        <w:rPr>
          <w:rFonts w:ascii="Palatino Linotype" w:hAnsi="Palatino Linotype" w:eastAsia="Palatino Linotype"/>
          <w:sz w:val="24"/>
          <w:szCs w:val="24"/>
        </w:rPr>
        <w:t xml:space="preserve"> maintain the required 18 inches of clearance </w:t>
      </w:r>
      <w:r w:rsidRPr="365BEDDC" w:rsidR="02AC6D35">
        <w:rPr>
          <w:rFonts w:ascii="Palatino Linotype" w:hAnsi="Palatino Linotype" w:eastAsia="Palatino Linotype"/>
          <w:sz w:val="24"/>
          <w:szCs w:val="24"/>
        </w:rPr>
        <w:t>throughout</w:t>
      </w:r>
      <w:r w:rsidRPr="365BEDDC" w:rsidR="2A6BB67D">
        <w:rPr>
          <w:rFonts w:ascii="Palatino Linotype" w:hAnsi="Palatino Linotype" w:eastAsia="Palatino Linotype"/>
          <w:sz w:val="24"/>
          <w:szCs w:val="24"/>
        </w:rPr>
        <w:t xml:space="preserve"> the ensuing year.  </w:t>
      </w:r>
      <w:r w:rsidRPr="365BEDDC" w:rsidR="1E5BE25B">
        <w:rPr>
          <w:rFonts w:ascii="Palatino Linotype" w:hAnsi="Palatino Linotype" w:eastAsia="Palatino Linotype"/>
          <w:sz w:val="24"/>
          <w:szCs w:val="24"/>
        </w:rPr>
        <w:t>SCE</w:t>
      </w:r>
      <w:r w:rsidRPr="365BEDDC" w:rsidR="6EF2FFF0">
        <w:rPr>
          <w:rFonts w:ascii="Palatino Linotype" w:hAnsi="Palatino Linotype" w:eastAsia="Palatino Linotype"/>
          <w:sz w:val="24"/>
          <w:szCs w:val="24"/>
        </w:rPr>
        <w:t>’s reply</w:t>
      </w:r>
      <w:r w:rsidRPr="365BEDDC" w:rsidR="1E5BE25B">
        <w:rPr>
          <w:rFonts w:ascii="Palatino Linotype" w:hAnsi="Palatino Linotype" w:eastAsia="Palatino Linotype"/>
          <w:sz w:val="24"/>
          <w:szCs w:val="24"/>
        </w:rPr>
        <w:t xml:space="preserve"> asserts that </w:t>
      </w:r>
      <w:r w:rsidRPr="365BEDDC" w:rsidR="1E5BE25B">
        <w:rPr>
          <w:rFonts w:ascii="Palatino Linotype" w:hAnsi="Palatino Linotype" w:eastAsia="Palatino Linotype" w:cs="Palatino Linotype"/>
          <w:sz w:val="24"/>
          <w:szCs w:val="24"/>
        </w:rPr>
        <w:t xml:space="preserve">SCE trimmers would be required to deviate from the standard practice a large majority of the time in order to maintain the 18-inch buffer. </w:t>
      </w:r>
      <w:r w:rsidRPr="365BEDDC" w:rsidR="214EEA7C">
        <w:rPr>
          <w:rFonts w:ascii="Palatino Linotype" w:hAnsi="Palatino Linotype" w:eastAsia="Palatino Linotype" w:cs="Palatino Linotype"/>
          <w:sz w:val="24"/>
          <w:szCs w:val="24"/>
        </w:rPr>
        <w:t xml:space="preserve"> </w:t>
      </w:r>
      <w:r w:rsidRPr="365BEDDC" w:rsidR="47B02E19">
        <w:rPr>
          <w:rFonts w:ascii="Palatino Linotype" w:hAnsi="Palatino Linotype" w:eastAsia="Palatino Linotype" w:cs="Palatino Linotype"/>
          <w:sz w:val="24"/>
          <w:szCs w:val="24"/>
        </w:rPr>
        <w:t>SCE argues s</w:t>
      </w:r>
      <w:r w:rsidRPr="365BEDDC" w:rsidR="1E5BE25B">
        <w:rPr>
          <w:rFonts w:ascii="Palatino Linotype" w:hAnsi="Palatino Linotype" w:eastAsia="Palatino Linotype" w:cs="Palatino Linotype"/>
          <w:sz w:val="24"/>
          <w:szCs w:val="24"/>
        </w:rPr>
        <w:t>uch deviations would create operational inefficiencies, including additional tree trimming trips after mid-year inspections, more trims handled on an expensive, emergency basis, and increased disruptions to customers.</w:t>
      </w:r>
    </w:p>
    <w:p w:rsidR="65CDA542" w:rsidP="365BEDDC" w:rsidRDefault="65CDA542" w14:paraId="3629BC96" w14:textId="77777777">
      <w:pPr>
        <w:rPr>
          <w:rFonts w:ascii="Palatino Linotype" w:hAnsi="Palatino Linotype" w:eastAsia="Palatino Linotype" w:cs="Palatino Linotype"/>
          <w:sz w:val="24"/>
          <w:szCs w:val="24"/>
        </w:rPr>
      </w:pPr>
    </w:p>
    <w:p w:rsidR="175A5AB9" w:rsidP="65CDA542" w:rsidRDefault="69559DA9" w14:paraId="7A349DEE" w14:textId="77777777">
      <w:pPr>
        <w:rPr>
          <w:rFonts w:ascii="Palatino Linotype" w:hAnsi="Palatino Linotype" w:eastAsia="Palatino Linotype"/>
          <w:sz w:val="24"/>
          <w:szCs w:val="24"/>
        </w:rPr>
      </w:pPr>
      <w:r w:rsidRPr="365BEDDC">
        <w:rPr>
          <w:rFonts w:ascii="Palatino Linotype" w:hAnsi="Palatino Linotype" w:eastAsia="Palatino Linotype"/>
          <w:sz w:val="24"/>
          <w:szCs w:val="24"/>
        </w:rPr>
        <w:t>Second</w:t>
      </w:r>
      <w:r w:rsidRPr="365BEDDC" w:rsidR="5CDDF018">
        <w:rPr>
          <w:rFonts w:ascii="Palatino Linotype" w:hAnsi="Palatino Linotype" w:eastAsia="Palatino Linotype"/>
          <w:sz w:val="24"/>
          <w:szCs w:val="24"/>
        </w:rPr>
        <w:t xml:space="preserve">, </w:t>
      </w:r>
      <w:r w:rsidRPr="365BEDDC" w:rsidR="21E82CD9">
        <w:rPr>
          <w:rFonts w:ascii="Palatino Linotype" w:hAnsi="Palatino Linotype" w:eastAsia="Palatino Linotype"/>
          <w:sz w:val="24"/>
          <w:szCs w:val="24"/>
        </w:rPr>
        <w:t xml:space="preserve">Cal </w:t>
      </w:r>
      <w:r w:rsidRPr="365BEDDC" w:rsidR="1C3FF7B5">
        <w:rPr>
          <w:rFonts w:ascii="Palatino Linotype" w:hAnsi="Palatino Linotype" w:eastAsia="Palatino Linotype"/>
          <w:sz w:val="24"/>
          <w:szCs w:val="24"/>
        </w:rPr>
        <w:t>A</w:t>
      </w:r>
      <w:r w:rsidRPr="365BEDDC" w:rsidR="21E82CD9">
        <w:rPr>
          <w:rFonts w:ascii="Palatino Linotype" w:hAnsi="Palatino Linotype" w:eastAsia="Palatino Linotype"/>
          <w:sz w:val="24"/>
          <w:szCs w:val="24"/>
        </w:rPr>
        <w:t>dvocates a</w:t>
      </w:r>
      <w:r w:rsidRPr="365BEDDC" w:rsidR="5F069FBB">
        <w:rPr>
          <w:rFonts w:ascii="Palatino Linotype" w:hAnsi="Palatino Linotype" w:eastAsia="Palatino Linotype"/>
          <w:sz w:val="24"/>
          <w:szCs w:val="24"/>
        </w:rPr>
        <w:t xml:space="preserve">sserts </w:t>
      </w:r>
      <w:r w:rsidRPr="365BEDDC" w:rsidR="21E82CD9">
        <w:rPr>
          <w:rFonts w:ascii="Palatino Linotype" w:hAnsi="Palatino Linotype" w:eastAsia="Palatino Linotype"/>
          <w:sz w:val="24"/>
          <w:szCs w:val="24"/>
        </w:rPr>
        <w:t>that vegetation management is a normal cost of doing business</w:t>
      </w:r>
      <w:r w:rsidRPr="365BEDDC" w:rsidR="5111A927">
        <w:rPr>
          <w:rFonts w:ascii="Palatino Linotype" w:hAnsi="Palatino Linotype" w:eastAsia="Palatino Linotype"/>
          <w:sz w:val="24"/>
          <w:szCs w:val="24"/>
        </w:rPr>
        <w:t xml:space="preserve"> and therefore not eligible for recovery under the Z-factor mechanism.  </w:t>
      </w:r>
      <w:r w:rsidRPr="365BEDDC" w:rsidR="410F47F1">
        <w:rPr>
          <w:rFonts w:ascii="Palatino Linotype" w:hAnsi="Palatino Linotype" w:eastAsia="Palatino Linotype"/>
          <w:sz w:val="24"/>
          <w:szCs w:val="24"/>
        </w:rPr>
        <w:t>The protest argues SCE already requested and received funding through the GRC for tree trimming activities, demonstrating vegetation management is a normal cost of doing business for the utility.</w:t>
      </w:r>
    </w:p>
    <w:p w:rsidR="65CDA542" w:rsidP="65CDA542" w:rsidRDefault="65CDA542" w14:paraId="4F9BB2B0" w14:textId="77777777">
      <w:pPr>
        <w:rPr>
          <w:rFonts w:ascii="Palatino Linotype" w:hAnsi="Palatino Linotype" w:eastAsia="Palatino Linotype"/>
          <w:sz w:val="24"/>
          <w:szCs w:val="24"/>
        </w:rPr>
      </w:pPr>
    </w:p>
    <w:p w:rsidR="0C4377FA" w:rsidP="65CDA542" w:rsidRDefault="0C4377FA" w14:paraId="2322F443" w14:textId="77777777">
      <w:pPr>
        <w:rPr>
          <w:rFonts w:ascii="Palatino Linotype" w:hAnsi="Palatino Linotype" w:eastAsia="Palatino Linotype"/>
          <w:sz w:val="24"/>
          <w:szCs w:val="24"/>
        </w:rPr>
      </w:pPr>
      <w:r w:rsidRPr="6C4B7FD9">
        <w:rPr>
          <w:rFonts w:ascii="Palatino Linotype" w:hAnsi="Palatino Linotype" w:eastAsia="Palatino Linotype"/>
          <w:i/>
          <w:iCs/>
          <w:sz w:val="24"/>
          <w:szCs w:val="24"/>
        </w:rPr>
        <w:t>SCE Response</w:t>
      </w:r>
      <w:r w:rsidRPr="65CDA542">
        <w:rPr>
          <w:rFonts w:ascii="Palatino Linotype" w:hAnsi="Palatino Linotype" w:eastAsia="Palatino Linotype"/>
          <w:sz w:val="24"/>
          <w:szCs w:val="24"/>
        </w:rPr>
        <w:t>:</w:t>
      </w:r>
      <w:r w:rsidRPr="65CDA542" w:rsidR="265696DB">
        <w:rPr>
          <w:rFonts w:ascii="Palatino Linotype" w:hAnsi="Palatino Linotype" w:eastAsia="Palatino Linotype"/>
          <w:sz w:val="24"/>
          <w:szCs w:val="24"/>
        </w:rPr>
        <w:t xml:space="preserve"> SCE</w:t>
      </w:r>
      <w:r w:rsidRPr="65CDA542" w:rsidR="4839C8B7">
        <w:rPr>
          <w:rFonts w:ascii="Palatino Linotype" w:hAnsi="Palatino Linotype" w:eastAsia="Palatino Linotype"/>
          <w:sz w:val="24"/>
          <w:szCs w:val="24"/>
        </w:rPr>
        <w:t xml:space="preserve">’s </w:t>
      </w:r>
      <w:r w:rsidRPr="65CDA542" w:rsidR="19A119C9">
        <w:rPr>
          <w:rFonts w:ascii="Palatino Linotype" w:hAnsi="Palatino Linotype" w:eastAsia="Palatino Linotype"/>
          <w:sz w:val="24"/>
          <w:szCs w:val="24"/>
        </w:rPr>
        <w:t>response</w:t>
      </w:r>
      <w:r w:rsidRPr="65CDA542" w:rsidR="4839C8B7">
        <w:rPr>
          <w:rFonts w:ascii="Palatino Linotype" w:hAnsi="Palatino Linotype" w:eastAsia="Palatino Linotype"/>
          <w:sz w:val="24"/>
          <w:szCs w:val="24"/>
        </w:rPr>
        <w:t xml:space="preserve"> argues that </w:t>
      </w:r>
      <w:r w:rsidRPr="65CDA542" w:rsidR="238DE92F">
        <w:rPr>
          <w:rFonts w:ascii="Palatino Linotype" w:hAnsi="Palatino Linotype" w:eastAsia="Palatino Linotype"/>
          <w:sz w:val="24"/>
          <w:szCs w:val="24"/>
        </w:rPr>
        <w:t xml:space="preserve">unforeseen costs due to the passage of SB 247 were not normal expense increases that could have been incorporated into SCE’s Test Year 2018 GRC forecast.  </w:t>
      </w:r>
      <w:r w:rsidRPr="65CDA542" w:rsidR="120EDECB">
        <w:rPr>
          <w:rFonts w:ascii="Palatino Linotype" w:hAnsi="Palatino Linotype" w:eastAsia="Palatino Linotype"/>
          <w:sz w:val="24"/>
          <w:szCs w:val="24"/>
        </w:rPr>
        <w:t xml:space="preserve">SCE further asserts that Commission </w:t>
      </w:r>
      <w:r w:rsidRPr="65CDA542" w:rsidR="48982BE1">
        <w:rPr>
          <w:rFonts w:ascii="Palatino Linotype" w:hAnsi="Palatino Linotype" w:eastAsia="Palatino Linotype"/>
          <w:sz w:val="24"/>
          <w:szCs w:val="24"/>
        </w:rPr>
        <w:t>precedent</w:t>
      </w:r>
      <w:r w:rsidRPr="65CDA542" w:rsidR="120EDECB">
        <w:rPr>
          <w:rFonts w:ascii="Palatino Linotype" w:hAnsi="Palatino Linotype" w:eastAsia="Palatino Linotype"/>
          <w:sz w:val="24"/>
          <w:szCs w:val="24"/>
        </w:rPr>
        <w:t xml:space="preserve"> provides that </w:t>
      </w:r>
      <w:r w:rsidRPr="65CDA542" w:rsidR="27EA9E7A">
        <w:rPr>
          <w:rFonts w:ascii="Palatino Linotype" w:hAnsi="Palatino Linotype" w:eastAsia="Palatino Linotype"/>
          <w:sz w:val="24"/>
          <w:szCs w:val="24"/>
        </w:rPr>
        <w:t xml:space="preserve">cost increases due </w:t>
      </w:r>
      <w:r w:rsidRPr="65CDA542" w:rsidR="120EDECB">
        <w:rPr>
          <w:rFonts w:ascii="Palatino Linotype" w:hAnsi="Palatino Linotype" w:eastAsia="Palatino Linotype"/>
          <w:sz w:val="24"/>
          <w:szCs w:val="24"/>
        </w:rPr>
        <w:t>a change in law</w:t>
      </w:r>
      <w:r w:rsidRPr="65CDA542" w:rsidR="736F77F9">
        <w:rPr>
          <w:rFonts w:ascii="Palatino Linotype" w:hAnsi="Palatino Linotype" w:eastAsia="Palatino Linotype"/>
          <w:sz w:val="24"/>
          <w:szCs w:val="24"/>
        </w:rPr>
        <w:t xml:space="preserve"> </w:t>
      </w:r>
      <w:proofErr w:type="gramStart"/>
      <w:r w:rsidRPr="65CDA542" w:rsidR="073D1113">
        <w:rPr>
          <w:rFonts w:ascii="Palatino Linotype" w:hAnsi="Palatino Linotype" w:eastAsia="Palatino Linotype"/>
          <w:sz w:val="24"/>
          <w:szCs w:val="24"/>
        </w:rPr>
        <w:t>are</w:t>
      </w:r>
      <w:proofErr w:type="gramEnd"/>
      <w:r w:rsidRPr="65CDA542" w:rsidR="736F77F9">
        <w:rPr>
          <w:rFonts w:ascii="Palatino Linotype" w:hAnsi="Palatino Linotype" w:eastAsia="Palatino Linotype"/>
          <w:sz w:val="24"/>
          <w:szCs w:val="24"/>
        </w:rPr>
        <w:t xml:space="preserve"> precisely the type of</w:t>
      </w:r>
      <w:r w:rsidRPr="65CDA542" w:rsidR="1B1D71B2">
        <w:rPr>
          <w:rFonts w:ascii="Palatino Linotype" w:hAnsi="Palatino Linotype" w:eastAsia="Palatino Linotype"/>
          <w:sz w:val="24"/>
          <w:szCs w:val="24"/>
        </w:rPr>
        <w:t xml:space="preserve"> exogenous factors that may be recoverable through the Z-factor mechanism.</w:t>
      </w:r>
      <w:r w:rsidRPr="65CDA542">
        <w:rPr>
          <w:rStyle w:val="FootnoteReference"/>
          <w:rFonts w:ascii="Palatino Linotype" w:hAnsi="Palatino Linotype" w:eastAsia="Palatino Linotype"/>
          <w:sz w:val="24"/>
          <w:szCs w:val="24"/>
        </w:rPr>
        <w:footnoteReference w:id="29"/>
      </w:r>
    </w:p>
    <w:p w:rsidR="65CDA542" w:rsidP="65CDA542" w:rsidRDefault="65CDA542" w14:paraId="0F017E84" w14:textId="77777777">
      <w:pPr>
        <w:rPr>
          <w:rFonts w:ascii="Palatino Linotype" w:hAnsi="Palatino Linotype" w:eastAsia="Palatino Linotype"/>
          <w:sz w:val="24"/>
          <w:szCs w:val="24"/>
        </w:rPr>
      </w:pPr>
    </w:p>
    <w:p w:rsidR="65CDA542" w:rsidP="65CDA542" w:rsidRDefault="0C4377FA" w14:paraId="475F4F11" w14:textId="77777777">
      <w:pPr>
        <w:rPr>
          <w:rFonts w:ascii="Palatino Linotype" w:hAnsi="Palatino Linotype" w:eastAsia="Palatino Linotype"/>
          <w:sz w:val="24"/>
          <w:szCs w:val="24"/>
        </w:rPr>
      </w:pPr>
      <w:r w:rsidRPr="365BEDDC">
        <w:rPr>
          <w:rFonts w:ascii="Palatino Linotype" w:hAnsi="Palatino Linotype" w:eastAsia="Palatino Linotype"/>
          <w:sz w:val="24"/>
          <w:szCs w:val="24"/>
        </w:rPr>
        <w:t xml:space="preserve">TURN’s protest </w:t>
      </w:r>
      <w:r w:rsidRPr="365BEDDC" w:rsidR="676BDDF0">
        <w:rPr>
          <w:rFonts w:ascii="Palatino Linotype" w:hAnsi="Palatino Linotype" w:eastAsia="Palatino Linotype"/>
          <w:sz w:val="24"/>
          <w:szCs w:val="24"/>
        </w:rPr>
        <w:t xml:space="preserve">recommends the Commission reject </w:t>
      </w:r>
      <w:r w:rsidRPr="365BEDDC" w:rsidR="6DD27454">
        <w:rPr>
          <w:rFonts w:ascii="Palatino Linotype" w:hAnsi="Palatino Linotype" w:eastAsia="Palatino Linotype"/>
          <w:sz w:val="24"/>
          <w:szCs w:val="24"/>
        </w:rPr>
        <w:t xml:space="preserve">the entirety of SCE’s $35.4 million, arguing the costs are the result of voluntary decisions made by SCE management and </w:t>
      </w:r>
      <w:r w:rsidRPr="365BEDDC" w:rsidR="055D533C">
        <w:rPr>
          <w:rFonts w:ascii="Palatino Linotype" w:hAnsi="Palatino Linotype" w:eastAsia="Palatino Linotype"/>
          <w:sz w:val="24"/>
          <w:szCs w:val="24"/>
        </w:rPr>
        <w:t>does not meet the Z-factor criteria that the utility must reasonably incur the costs.</w:t>
      </w:r>
    </w:p>
    <w:p w:rsidR="365BEDDC" w:rsidP="365BEDDC" w:rsidRDefault="365BEDDC" w14:paraId="2E691319" w14:textId="77777777">
      <w:pPr>
        <w:rPr>
          <w:rFonts w:ascii="Palatino Linotype" w:hAnsi="Palatino Linotype" w:eastAsia="Palatino Linotype"/>
          <w:sz w:val="24"/>
          <w:szCs w:val="24"/>
        </w:rPr>
      </w:pPr>
    </w:p>
    <w:p w:rsidR="41ABCF62" w:rsidP="65CDA542" w:rsidRDefault="41ABCF62" w14:paraId="100E6A58" w14:textId="77777777">
      <w:pPr>
        <w:rPr>
          <w:rFonts w:ascii="Palatino Linotype" w:hAnsi="Palatino Linotype" w:eastAsia="Palatino Linotype"/>
          <w:sz w:val="24"/>
          <w:szCs w:val="24"/>
        </w:rPr>
      </w:pPr>
      <w:r w:rsidRPr="65CDA542">
        <w:rPr>
          <w:rFonts w:ascii="Palatino Linotype" w:hAnsi="Palatino Linotype" w:eastAsia="Palatino Linotype"/>
          <w:sz w:val="24"/>
          <w:szCs w:val="24"/>
        </w:rPr>
        <w:t xml:space="preserve">TURN argues that in the GRC Track 3 Decision, the Commission reviewed the costs </w:t>
      </w:r>
      <w:r w:rsidRPr="65CDA542" w:rsidR="20FE41FB">
        <w:rPr>
          <w:rFonts w:ascii="Palatino Linotype" w:hAnsi="Palatino Linotype" w:eastAsia="Palatino Linotype"/>
          <w:sz w:val="24"/>
          <w:szCs w:val="24"/>
        </w:rPr>
        <w:t>for line clearance work in non-HFRA</w:t>
      </w:r>
      <w:r w:rsidRPr="65CDA542">
        <w:rPr>
          <w:rFonts w:ascii="Palatino Linotype" w:hAnsi="Palatino Linotype" w:eastAsia="Palatino Linotype"/>
          <w:sz w:val="24"/>
          <w:szCs w:val="24"/>
        </w:rPr>
        <w:t xml:space="preserve"> and concluded that SCE had not established that the costs were prudently incurred.</w:t>
      </w:r>
      <w:r w:rsidRPr="65CDA542">
        <w:rPr>
          <w:rStyle w:val="FootnoteReference"/>
          <w:rFonts w:ascii="Palatino Linotype" w:hAnsi="Palatino Linotype" w:eastAsia="Palatino Linotype"/>
          <w:sz w:val="24"/>
          <w:szCs w:val="24"/>
        </w:rPr>
        <w:footnoteReference w:id="30"/>
      </w:r>
      <w:r w:rsidRPr="65CDA542" w:rsidR="242A70A0">
        <w:rPr>
          <w:rFonts w:ascii="Palatino Linotype" w:hAnsi="Palatino Linotype" w:eastAsia="Palatino Linotype"/>
          <w:sz w:val="24"/>
          <w:szCs w:val="24"/>
        </w:rPr>
        <w:t xml:space="preserve">  TURN further </w:t>
      </w:r>
      <w:r w:rsidRPr="65CDA542" w:rsidR="7D586C79">
        <w:rPr>
          <w:rFonts w:ascii="Palatino Linotype" w:hAnsi="Palatino Linotype" w:eastAsia="Palatino Linotype"/>
          <w:sz w:val="24"/>
          <w:szCs w:val="24"/>
        </w:rPr>
        <w:t>argues that the increase in non-HFRA</w:t>
      </w:r>
      <w:r w:rsidRPr="65CDA542" w:rsidR="68C12A3C">
        <w:rPr>
          <w:rFonts w:ascii="Palatino Linotype" w:hAnsi="Palatino Linotype" w:eastAsia="Palatino Linotype"/>
          <w:sz w:val="24"/>
          <w:szCs w:val="24"/>
        </w:rPr>
        <w:t xml:space="preserve"> </w:t>
      </w:r>
      <w:r w:rsidRPr="65CDA542" w:rsidR="7D586C79">
        <w:rPr>
          <w:rFonts w:ascii="Palatino Linotype" w:hAnsi="Palatino Linotype" w:eastAsia="Palatino Linotype"/>
          <w:sz w:val="24"/>
          <w:szCs w:val="24"/>
        </w:rPr>
        <w:t>costs w</w:t>
      </w:r>
      <w:r w:rsidRPr="65CDA542" w:rsidR="4F929A22">
        <w:rPr>
          <w:rFonts w:ascii="Palatino Linotype" w:hAnsi="Palatino Linotype" w:eastAsia="Palatino Linotype"/>
          <w:sz w:val="24"/>
          <w:szCs w:val="24"/>
        </w:rPr>
        <w:t xml:space="preserve">as </w:t>
      </w:r>
      <w:r w:rsidRPr="65CDA542" w:rsidR="7D586C79">
        <w:rPr>
          <w:rFonts w:ascii="Palatino Linotype" w:hAnsi="Palatino Linotype" w:eastAsia="Palatino Linotype"/>
          <w:sz w:val="24"/>
          <w:szCs w:val="24"/>
        </w:rPr>
        <w:t>driven by SCE’s voluntary choice to conduct more tr</w:t>
      </w:r>
      <w:r w:rsidRPr="65CDA542" w:rsidR="276AA80C">
        <w:rPr>
          <w:rFonts w:ascii="Palatino Linotype" w:hAnsi="Palatino Linotype" w:eastAsia="Palatino Linotype"/>
          <w:sz w:val="24"/>
          <w:szCs w:val="24"/>
        </w:rPr>
        <w:t>ee trimming work in 2020</w:t>
      </w:r>
      <w:r w:rsidRPr="65CDA542" w:rsidR="7D586C79">
        <w:rPr>
          <w:rFonts w:ascii="Palatino Linotype" w:hAnsi="Palatino Linotype" w:eastAsia="Palatino Linotype"/>
          <w:sz w:val="24"/>
          <w:szCs w:val="24"/>
        </w:rPr>
        <w:t>.</w:t>
      </w:r>
    </w:p>
    <w:p w:rsidR="65CDA542" w:rsidP="65CDA542" w:rsidRDefault="65CDA542" w14:paraId="141277A8" w14:textId="77777777">
      <w:pPr>
        <w:rPr>
          <w:rFonts w:ascii="Palatino Linotype" w:hAnsi="Palatino Linotype" w:eastAsia="Palatino Linotype"/>
          <w:sz w:val="24"/>
          <w:szCs w:val="24"/>
        </w:rPr>
      </w:pPr>
    </w:p>
    <w:p w:rsidR="727FD5CD" w:rsidP="65CDA542" w:rsidRDefault="727FD5CD" w14:paraId="238518A9" w14:textId="77777777">
      <w:pPr>
        <w:rPr>
          <w:rFonts w:ascii="Palatino Linotype" w:hAnsi="Palatino Linotype" w:eastAsia="Palatino Linotype"/>
          <w:sz w:val="24"/>
          <w:szCs w:val="24"/>
        </w:rPr>
      </w:pPr>
      <w:r w:rsidRPr="365BEDDC">
        <w:rPr>
          <w:rFonts w:ascii="Palatino Linotype" w:hAnsi="Palatino Linotype" w:eastAsia="Palatino Linotype"/>
          <w:i/>
          <w:iCs/>
          <w:sz w:val="24"/>
          <w:szCs w:val="24"/>
        </w:rPr>
        <w:t>SCE Response</w:t>
      </w:r>
      <w:r w:rsidRPr="365BEDDC">
        <w:rPr>
          <w:rFonts w:ascii="Palatino Linotype" w:hAnsi="Palatino Linotype" w:eastAsia="Palatino Linotype"/>
          <w:sz w:val="24"/>
          <w:szCs w:val="24"/>
        </w:rPr>
        <w:t xml:space="preserve">: </w:t>
      </w:r>
      <w:r w:rsidRPr="365BEDDC" w:rsidR="32753723">
        <w:rPr>
          <w:rFonts w:ascii="Palatino Linotype" w:hAnsi="Palatino Linotype" w:eastAsia="Palatino Linotype"/>
          <w:sz w:val="24"/>
          <w:szCs w:val="24"/>
        </w:rPr>
        <w:t xml:space="preserve">In its response, </w:t>
      </w:r>
      <w:r w:rsidRPr="365BEDDC" w:rsidR="08DCD749">
        <w:rPr>
          <w:rFonts w:ascii="Palatino Linotype" w:hAnsi="Palatino Linotype" w:eastAsia="Palatino Linotype"/>
          <w:sz w:val="24"/>
          <w:szCs w:val="24"/>
        </w:rPr>
        <w:t xml:space="preserve">SCE states it did provide the $45.4 million </w:t>
      </w:r>
      <w:r w:rsidRPr="365BEDDC" w:rsidR="1B8C6853">
        <w:rPr>
          <w:rFonts w:ascii="Palatino Linotype" w:hAnsi="Palatino Linotype" w:eastAsia="Palatino Linotype"/>
          <w:sz w:val="24"/>
          <w:szCs w:val="24"/>
        </w:rPr>
        <w:t xml:space="preserve">figure requested in this AL first </w:t>
      </w:r>
      <w:r w:rsidRPr="365BEDDC" w:rsidR="08DCD749">
        <w:rPr>
          <w:rFonts w:ascii="Palatino Linotype" w:hAnsi="Palatino Linotype" w:eastAsia="Palatino Linotype"/>
          <w:sz w:val="24"/>
          <w:szCs w:val="24"/>
        </w:rPr>
        <w:t>in the Track 3 proceeding and that no party contested the br</w:t>
      </w:r>
      <w:r w:rsidRPr="365BEDDC" w:rsidR="31CEABB7">
        <w:rPr>
          <w:rFonts w:ascii="Palatino Linotype" w:hAnsi="Palatino Linotype" w:eastAsia="Palatino Linotype"/>
          <w:sz w:val="24"/>
          <w:szCs w:val="24"/>
        </w:rPr>
        <w:t>eakdown of costs.</w:t>
      </w:r>
      <w:r w:rsidRPr="365BEDDC" w:rsidR="7ADEDAEB">
        <w:rPr>
          <w:rFonts w:ascii="Palatino Linotype" w:hAnsi="Palatino Linotype" w:eastAsia="Palatino Linotype"/>
          <w:sz w:val="24"/>
          <w:szCs w:val="24"/>
        </w:rPr>
        <w:t xml:space="preserve">  SCE argues the basis for the disallowance in GRC Track 3 Decision was that SCE improperly tracked non-HFRA </w:t>
      </w:r>
      <w:r w:rsidRPr="365BEDDC" w:rsidR="4DE852DE">
        <w:rPr>
          <w:rFonts w:ascii="Palatino Linotype" w:hAnsi="Palatino Linotype" w:eastAsia="Palatino Linotype"/>
          <w:sz w:val="24"/>
          <w:szCs w:val="24"/>
        </w:rPr>
        <w:t>costs</w:t>
      </w:r>
      <w:r w:rsidRPr="365BEDDC" w:rsidR="7ADEDAEB">
        <w:rPr>
          <w:rFonts w:ascii="Palatino Linotype" w:hAnsi="Palatino Linotype" w:eastAsia="Palatino Linotype"/>
          <w:sz w:val="24"/>
          <w:szCs w:val="24"/>
        </w:rPr>
        <w:t xml:space="preserve"> in a wildfire mitigation-specific memorandum account, but </w:t>
      </w:r>
      <w:r w:rsidRPr="365BEDDC" w:rsidR="126F9C52">
        <w:rPr>
          <w:rFonts w:ascii="Palatino Linotype" w:hAnsi="Palatino Linotype" w:eastAsia="Palatino Linotype"/>
          <w:sz w:val="24"/>
          <w:szCs w:val="24"/>
        </w:rPr>
        <w:t xml:space="preserve">the decision </w:t>
      </w:r>
      <w:r w:rsidRPr="365BEDDC" w:rsidR="7ADEDAEB">
        <w:rPr>
          <w:rFonts w:ascii="Palatino Linotype" w:hAnsi="Palatino Linotype" w:eastAsia="Palatino Linotype"/>
          <w:sz w:val="24"/>
          <w:szCs w:val="24"/>
        </w:rPr>
        <w:t xml:space="preserve">did not preclude </w:t>
      </w:r>
      <w:r w:rsidRPr="365BEDDC" w:rsidR="10DE529F">
        <w:rPr>
          <w:rFonts w:ascii="Palatino Linotype" w:hAnsi="Palatino Linotype" w:eastAsia="Palatino Linotype"/>
          <w:sz w:val="24"/>
          <w:szCs w:val="24"/>
        </w:rPr>
        <w:t xml:space="preserve">SCE from making a Z-factor request in an Advice Letter.  SCE’s response </w:t>
      </w:r>
      <w:r w:rsidRPr="365BEDDC" w:rsidR="7828A54E">
        <w:rPr>
          <w:rFonts w:ascii="Palatino Linotype" w:hAnsi="Palatino Linotype" w:eastAsia="Palatino Linotype"/>
          <w:sz w:val="24"/>
          <w:szCs w:val="24"/>
        </w:rPr>
        <w:t>refers to the declarations attached to its advice letter, a</w:t>
      </w:r>
      <w:r w:rsidRPr="365BEDDC" w:rsidR="24994933">
        <w:rPr>
          <w:rFonts w:ascii="Palatino Linotype" w:hAnsi="Palatino Linotype" w:eastAsia="Palatino Linotype"/>
          <w:sz w:val="24"/>
          <w:szCs w:val="24"/>
        </w:rPr>
        <w:t xml:space="preserve">rguing </w:t>
      </w:r>
      <w:r w:rsidRPr="365BEDDC" w:rsidR="7828A54E">
        <w:rPr>
          <w:rFonts w:ascii="Palatino Linotype" w:hAnsi="Palatino Linotype" w:eastAsia="Palatino Linotype"/>
          <w:sz w:val="24"/>
          <w:szCs w:val="24"/>
        </w:rPr>
        <w:t>that its line clearance work was not voluntary but rather</w:t>
      </w:r>
      <w:r w:rsidRPr="365BEDDC" w:rsidR="274A281B">
        <w:rPr>
          <w:rFonts w:ascii="Palatino Linotype" w:hAnsi="Palatino Linotype" w:eastAsia="Palatino Linotype"/>
          <w:sz w:val="24"/>
          <w:szCs w:val="24"/>
        </w:rPr>
        <w:t xml:space="preserve"> reasonable and</w:t>
      </w:r>
      <w:r w:rsidRPr="365BEDDC" w:rsidR="7828A54E">
        <w:rPr>
          <w:rFonts w:ascii="Palatino Linotype" w:hAnsi="Palatino Linotype" w:eastAsia="Palatino Linotype"/>
          <w:sz w:val="24"/>
          <w:szCs w:val="24"/>
        </w:rPr>
        <w:t xml:space="preserve"> necessary to ensure adequate clearances to reduce ignition ris</w:t>
      </w:r>
      <w:r w:rsidRPr="365BEDDC" w:rsidR="68A542E9">
        <w:rPr>
          <w:rFonts w:ascii="Palatino Linotype" w:hAnsi="Palatino Linotype" w:eastAsia="Palatino Linotype"/>
          <w:sz w:val="24"/>
          <w:szCs w:val="24"/>
        </w:rPr>
        <w:t>k</w:t>
      </w:r>
      <w:r w:rsidRPr="365BEDDC" w:rsidR="7828A54E">
        <w:rPr>
          <w:rFonts w:ascii="Palatino Linotype" w:hAnsi="Palatino Linotype" w:eastAsia="Palatino Linotype"/>
          <w:sz w:val="24"/>
          <w:szCs w:val="24"/>
        </w:rPr>
        <w:t>.</w:t>
      </w:r>
      <w:r w:rsidRPr="365BEDDC" w:rsidR="6011FFBF">
        <w:rPr>
          <w:rFonts w:ascii="Palatino Linotype" w:hAnsi="Palatino Linotype" w:eastAsia="Palatino Linotype"/>
          <w:sz w:val="24"/>
          <w:szCs w:val="24"/>
        </w:rPr>
        <w:t xml:space="preserve">  SCE </w:t>
      </w:r>
      <w:r w:rsidRPr="365BEDDC" w:rsidR="2D0B9DDD">
        <w:rPr>
          <w:rFonts w:ascii="Palatino Linotype" w:hAnsi="Palatino Linotype" w:eastAsia="Palatino Linotype"/>
          <w:sz w:val="24"/>
          <w:szCs w:val="24"/>
        </w:rPr>
        <w:t xml:space="preserve">also </w:t>
      </w:r>
      <w:r w:rsidRPr="365BEDDC" w:rsidR="6011FFBF">
        <w:rPr>
          <w:rFonts w:ascii="Palatino Linotype" w:hAnsi="Palatino Linotype" w:eastAsia="Palatino Linotype"/>
          <w:sz w:val="24"/>
          <w:szCs w:val="24"/>
        </w:rPr>
        <w:t>asserts that it is not seeking recovery of the $39.5 million of non-SB</w:t>
      </w:r>
      <w:r w:rsidRPr="365BEDDC" w:rsidR="7EB7DFF2">
        <w:rPr>
          <w:rFonts w:ascii="Palatino Linotype" w:hAnsi="Palatino Linotype" w:eastAsia="Palatino Linotype"/>
          <w:sz w:val="24"/>
          <w:szCs w:val="24"/>
        </w:rPr>
        <w:t xml:space="preserve"> </w:t>
      </w:r>
      <w:r w:rsidRPr="365BEDDC" w:rsidR="6011FFBF">
        <w:rPr>
          <w:rFonts w:ascii="Palatino Linotype" w:hAnsi="Palatino Linotype" w:eastAsia="Palatino Linotype"/>
          <w:sz w:val="24"/>
          <w:szCs w:val="24"/>
        </w:rPr>
        <w:t xml:space="preserve">247 costs that were driven by expanded clearance practices in the non-HFRA and other factors.  </w:t>
      </w:r>
    </w:p>
    <w:p w:rsidRPr="00D865A9" w:rsidR="00CF17DE" w:rsidP="4BA7214B" w:rsidRDefault="00CF17DE" w14:paraId="440FE0D0" w14:textId="77777777">
      <w:pPr>
        <w:rPr>
          <w:rFonts w:ascii="Palatino Linotype" w:hAnsi="Palatino Linotype" w:eastAsia="Palatino Linotype"/>
          <w:sz w:val="24"/>
          <w:szCs w:val="24"/>
        </w:rPr>
      </w:pPr>
    </w:p>
    <w:p w:rsidRPr="00D865A9" w:rsidR="00CF17DE" w:rsidP="4BA7214B" w:rsidRDefault="00CF17DE" w14:paraId="3030681A" w14:textId="77777777">
      <w:pPr>
        <w:pStyle w:val="Heading1"/>
        <w:rPr>
          <w:rFonts w:ascii="Palatino Linotype" w:hAnsi="Palatino Linotype" w:eastAsia="Palatino Linotype"/>
          <w:sz w:val="24"/>
          <w:szCs w:val="24"/>
        </w:rPr>
      </w:pPr>
      <w:r w:rsidRPr="65CDA542">
        <w:rPr>
          <w:rFonts w:ascii="Palatino Linotype" w:hAnsi="Palatino Linotype" w:eastAsia="Palatino Linotype"/>
          <w:sz w:val="24"/>
          <w:szCs w:val="24"/>
        </w:rPr>
        <w:t>Discussion</w:t>
      </w:r>
    </w:p>
    <w:p w:rsidR="3D820662" w:rsidP="12228140" w:rsidRDefault="3D820662" w14:paraId="4C166D6F" w14:textId="77777777">
      <w:pPr>
        <w:rPr>
          <w:rFonts w:ascii="Palatino Linotype" w:hAnsi="Palatino Linotype" w:eastAsia="Palatino Linotype"/>
          <w:sz w:val="24"/>
          <w:szCs w:val="24"/>
        </w:rPr>
      </w:pPr>
      <w:r w:rsidRPr="12228140">
        <w:rPr>
          <w:rFonts w:ascii="Palatino Linotype" w:hAnsi="Palatino Linotype" w:eastAsia="Palatino Linotype"/>
          <w:sz w:val="24"/>
          <w:szCs w:val="24"/>
        </w:rPr>
        <w:t xml:space="preserve">For the Commission to approve this advice letter, SCE must demonstrate that its incremental labor costs for vegetation management due to the </w:t>
      </w:r>
      <w:r w:rsidRPr="12228140" w:rsidR="7D2D1330">
        <w:rPr>
          <w:rFonts w:ascii="Palatino Linotype" w:hAnsi="Palatino Linotype" w:eastAsia="Palatino Linotype"/>
          <w:sz w:val="24"/>
          <w:szCs w:val="24"/>
        </w:rPr>
        <w:t>passage</w:t>
      </w:r>
      <w:r w:rsidRPr="12228140">
        <w:rPr>
          <w:rFonts w:ascii="Palatino Linotype" w:hAnsi="Palatino Linotype" w:eastAsia="Palatino Linotype"/>
          <w:sz w:val="24"/>
          <w:szCs w:val="24"/>
        </w:rPr>
        <w:t xml:space="preserve"> of SB 247 meet all nine Z-factor criteria:</w:t>
      </w:r>
    </w:p>
    <w:p w:rsidR="12228140" w:rsidP="12228140" w:rsidRDefault="12228140" w14:paraId="137119D0" w14:textId="77777777">
      <w:pPr>
        <w:rPr>
          <w:rFonts w:ascii="Palatino Linotype" w:hAnsi="Palatino Linotype" w:eastAsia="Palatino Linotype"/>
          <w:sz w:val="24"/>
          <w:szCs w:val="24"/>
        </w:rPr>
      </w:pPr>
    </w:p>
    <w:p w:rsidR="3D820662" w:rsidP="12228140" w:rsidRDefault="3D820662" w14:paraId="74F7F5E9" w14:textId="77777777">
      <w:pPr>
        <w:rPr>
          <w:rFonts w:ascii="Palatino Linotype" w:hAnsi="Palatino Linotype" w:eastAsia="Palatino Linotype"/>
          <w:sz w:val="24"/>
          <w:szCs w:val="24"/>
        </w:rPr>
      </w:pPr>
      <w:r w:rsidRPr="12228140">
        <w:rPr>
          <w:rFonts w:ascii="Palatino Linotype" w:hAnsi="Palatino Linotype" w:eastAsia="Palatino Linotype"/>
          <w:sz w:val="24"/>
          <w:szCs w:val="24"/>
        </w:rPr>
        <w:t>1. The event must be exogenous to the utility;</w:t>
      </w:r>
    </w:p>
    <w:p w:rsidR="3D820662" w:rsidP="12228140" w:rsidRDefault="3D820662" w14:paraId="67A1D212" w14:textId="77777777">
      <w:pPr>
        <w:rPr>
          <w:rFonts w:ascii="Palatino Linotype" w:hAnsi="Palatino Linotype" w:eastAsia="Palatino Linotype"/>
          <w:sz w:val="24"/>
          <w:szCs w:val="24"/>
        </w:rPr>
      </w:pPr>
      <w:r w:rsidRPr="12228140">
        <w:rPr>
          <w:rFonts w:ascii="Palatino Linotype" w:hAnsi="Palatino Linotype" w:eastAsia="Palatino Linotype"/>
          <w:sz w:val="24"/>
          <w:szCs w:val="24"/>
        </w:rPr>
        <w:t>2. The event occurred after late 1989;</w:t>
      </w:r>
    </w:p>
    <w:p w:rsidR="3D820662" w:rsidP="12228140" w:rsidRDefault="3D820662" w14:paraId="4604E211" w14:textId="77777777">
      <w:pPr>
        <w:rPr>
          <w:rFonts w:ascii="Palatino Linotype" w:hAnsi="Palatino Linotype" w:eastAsia="Palatino Linotype"/>
          <w:sz w:val="24"/>
          <w:szCs w:val="24"/>
        </w:rPr>
      </w:pPr>
      <w:r w:rsidRPr="12228140">
        <w:rPr>
          <w:rFonts w:ascii="Palatino Linotype" w:hAnsi="Palatino Linotype" w:eastAsia="Palatino Linotype"/>
          <w:sz w:val="24"/>
          <w:szCs w:val="24"/>
        </w:rPr>
        <w:t>3. The costs are beyond the control of the utility management;</w:t>
      </w:r>
    </w:p>
    <w:p w:rsidR="3D820662" w:rsidP="12228140" w:rsidRDefault="3D820662" w14:paraId="446184BC" w14:textId="77777777">
      <w:pPr>
        <w:rPr>
          <w:rFonts w:ascii="Palatino Linotype" w:hAnsi="Palatino Linotype" w:eastAsia="Palatino Linotype"/>
          <w:sz w:val="24"/>
          <w:szCs w:val="24"/>
        </w:rPr>
      </w:pPr>
      <w:r w:rsidRPr="12228140">
        <w:rPr>
          <w:rFonts w:ascii="Palatino Linotype" w:hAnsi="Palatino Linotype" w:eastAsia="Palatino Linotype"/>
          <w:sz w:val="24"/>
          <w:szCs w:val="24"/>
        </w:rPr>
        <w:t>4. The costs are not a normal part of doing business;</w:t>
      </w:r>
    </w:p>
    <w:p w:rsidR="3D820662" w:rsidP="12228140" w:rsidRDefault="3D820662" w14:paraId="6C2E02FA" w14:textId="77777777">
      <w:pPr>
        <w:rPr>
          <w:rFonts w:ascii="Palatino Linotype" w:hAnsi="Palatino Linotype" w:eastAsia="Palatino Linotype"/>
          <w:sz w:val="24"/>
          <w:szCs w:val="24"/>
        </w:rPr>
      </w:pPr>
      <w:r w:rsidRPr="12228140">
        <w:rPr>
          <w:rFonts w:ascii="Palatino Linotype" w:hAnsi="Palatino Linotype" w:eastAsia="Palatino Linotype"/>
          <w:sz w:val="24"/>
          <w:szCs w:val="24"/>
        </w:rPr>
        <w:t>5. The costs must have a disproportionate impact on the utility;</w:t>
      </w:r>
    </w:p>
    <w:p w:rsidR="3D820662" w:rsidP="12228140" w:rsidRDefault="3D820662" w14:paraId="3C351320" w14:textId="77777777">
      <w:pPr>
        <w:rPr>
          <w:rFonts w:ascii="Palatino Linotype" w:hAnsi="Palatino Linotype" w:eastAsia="Palatino Linotype"/>
          <w:sz w:val="24"/>
          <w:szCs w:val="24"/>
        </w:rPr>
      </w:pPr>
      <w:r w:rsidRPr="12228140">
        <w:rPr>
          <w:rFonts w:ascii="Palatino Linotype" w:hAnsi="Palatino Linotype" w:eastAsia="Palatino Linotype"/>
          <w:sz w:val="24"/>
          <w:szCs w:val="24"/>
        </w:rPr>
        <w:t>6. The costs must not be reflected in the escalation factors used in the GRC;</w:t>
      </w:r>
    </w:p>
    <w:p w:rsidR="3D820662" w:rsidP="12228140" w:rsidRDefault="3D820662" w14:paraId="5B2B9874" w14:textId="77777777">
      <w:pPr>
        <w:rPr>
          <w:rFonts w:ascii="Palatino Linotype" w:hAnsi="Palatino Linotype" w:eastAsia="Palatino Linotype"/>
          <w:sz w:val="24"/>
          <w:szCs w:val="24"/>
        </w:rPr>
      </w:pPr>
      <w:r w:rsidRPr="12228140">
        <w:rPr>
          <w:rFonts w:ascii="Palatino Linotype" w:hAnsi="Palatino Linotype" w:eastAsia="Palatino Linotype"/>
          <w:sz w:val="24"/>
          <w:szCs w:val="24"/>
        </w:rPr>
        <w:t>7. The costs must have a major impact on overall costs;</w:t>
      </w:r>
    </w:p>
    <w:p w:rsidR="3D820662" w:rsidP="12228140" w:rsidRDefault="3D820662" w14:paraId="32846E36" w14:textId="77777777">
      <w:pPr>
        <w:rPr>
          <w:rFonts w:ascii="Palatino Linotype" w:hAnsi="Palatino Linotype" w:eastAsia="Palatino Linotype"/>
          <w:sz w:val="24"/>
          <w:szCs w:val="24"/>
        </w:rPr>
      </w:pPr>
      <w:r w:rsidRPr="12228140">
        <w:rPr>
          <w:rFonts w:ascii="Palatino Linotype" w:hAnsi="Palatino Linotype" w:eastAsia="Palatino Linotype"/>
          <w:sz w:val="24"/>
          <w:szCs w:val="24"/>
        </w:rPr>
        <w:t>8. The cost impact must be measurable; and</w:t>
      </w:r>
    </w:p>
    <w:p w:rsidR="3D820662" w:rsidP="12228140" w:rsidRDefault="3D820662" w14:paraId="1D84DFD1" w14:textId="77777777">
      <w:pPr>
        <w:rPr>
          <w:rFonts w:ascii="Palatino Linotype" w:hAnsi="Palatino Linotype" w:eastAsia="Palatino Linotype"/>
          <w:sz w:val="24"/>
          <w:szCs w:val="24"/>
        </w:rPr>
      </w:pPr>
      <w:r w:rsidRPr="12228140">
        <w:rPr>
          <w:rFonts w:ascii="Palatino Linotype" w:hAnsi="Palatino Linotype" w:eastAsia="Palatino Linotype"/>
          <w:sz w:val="24"/>
          <w:szCs w:val="24"/>
        </w:rPr>
        <w:t>9. The utility must incur the cost reasonably.</w:t>
      </w:r>
    </w:p>
    <w:p w:rsidR="12228140" w:rsidP="12228140" w:rsidRDefault="12228140" w14:paraId="0D8B125F" w14:textId="77777777">
      <w:pPr>
        <w:rPr>
          <w:rFonts w:ascii="Palatino Linotype" w:hAnsi="Palatino Linotype" w:eastAsia="Palatino Linotype"/>
          <w:sz w:val="24"/>
          <w:szCs w:val="24"/>
        </w:rPr>
      </w:pPr>
    </w:p>
    <w:p w:rsidR="3D820662" w:rsidP="12228140" w:rsidRDefault="3D820662" w14:paraId="2B4C77E4" w14:textId="77777777">
      <w:pPr>
        <w:rPr>
          <w:rFonts w:ascii="Palatino Linotype" w:hAnsi="Palatino Linotype" w:eastAsia="Palatino Linotype"/>
          <w:sz w:val="24"/>
          <w:szCs w:val="24"/>
          <w:u w:val="single"/>
        </w:rPr>
      </w:pPr>
      <w:r w:rsidRPr="12228140">
        <w:rPr>
          <w:rFonts w:ascii="Palatino Linotype" w:hAnsi="Palatino Linotype" w:eastAsia="Palatino Linotype"/>
          <w:sz w:val="24"/>
          <w:szCs w:val="24"/>
          <w:u w:val="single"/>
        </w:rPr>
        <w:t>Application of Z-factor Criteria</w:t>
      </w:r>
    </w:p>
    <w:p w:rsidR="12228140" w:rsidP="12228140" w:rsidRDefault="12228140" w14:paraId="2FA03434" w14:textId="77777777">
      <w:pPr>
        <w:rPr>
          <w:rFonts w:ascii="Palatino Linotype" w:hAnsi="Palatino Linotype" w:eastAsia="Palatino Linotype"/>
          <w:sz w:val="24"/>
          <w:szCs w:val="24"/>
        </w:rPr>
      </w:pPr>
    </w:p>
    <w:p w:rsidR="3D820662" w:rsidP="00646405" w:rsidRDefault="3D820662" w14:paraId="2FFF8895" w14:textId="77777777">
      <w:pPr>
        <w:pStyle w:val="ListParagraph"/>
        <w:numPr>
          <w:ilvl w:val="0"/>
          <w:numId w:val="1"/>
        </w:numPr>
        <w:ind w:left="360"/>
        <w:rPr>
          <w:rFonts w:ascii="Palatino Linotype" w:hAnsi="Palatino Linotype" w:eastAsia="Palatino Linotype"/>
          <w:sz w:val="24"/>
          <w:szCs w:val="24"/>
        </w:rPr>
      </w:pPr>
      <w:r w:rsidRPr="12228140">
        <w:rPr>
          <w:rFonts w:ascii="Palatino Linotype" w:hAnsi="Palatino Linotype" w:eastAsia="Palatino Linotype"/>
          <w:sz w:val="24"/>
          <w:szCs w:val="24"/>
        </w:rPr>
        <w:t>The event must be exogenous to the utility and beyond the control of management</w:t>
      </w:r>
    </w:p>
    <w:p w:rsidR="12228140" w:rsidP="12228140" w:rsidRDefault="12228140" w14:paraId="79277FDC" w14:textId="77777777">
      <w:pPr>
        <w:rPr>
          <w:rFonts w:ascii="Palatino Linotype" w:hAnsi="Palatino Linotype" w:eastAsia="Palatino Linotype"/>
          <w:sz w:val="24"/>
          <w:szCs w:val="24"/>
        </w:rPr>
      </w:pPr>
    </w:p>
    <w:p w:rsidR="3D820662" w:rsidP="65CDA542" w:rsidRDefault="3D820662" w14:paraId="7B6122EA" w14:textId="77777777">
      <w:pPr>
        <w:rPr>
          <w:rFonts w:ascii="Palatino Linotype" w:hAnsi="Palatino Linotype" w:eastAsia="Palatino Linotype"/>
          <w:sz w:val="24"/>
          <w:szCs w:val="24"/>
          <w:highlight w:val="green"/>
        </w:rPr>
      </w:pPr>
      <w:r w:rsidRPr="365BEDDC">
        <w:rPr>
          <w:rFonts w:ascii="Palatino Linotype" w:hAnsi="Palatino Linotype" w:eastAsia="Palatino Linotype"/>
          <w:sz w:val="24"/>
          <w:szCs w:val="24"/>
        </w:rPr>
        <w:t>Similar arguments apply to the analysis of these two criteria and they will therefore be discussed together.  We agree with SCE that</w:t>
      </w:r>
      <w:r w:rsidRPr="365BEDDC" w:rsidR="2DD3FC05">
        <w:rPr>
          <w:rFonts w:ascii="Palatino Linotype" w:hAnsi="Palatino Linotype" w:eastAsia="Palatino Linotype"/>
          <w:sz w:val="24"/>
          <w:szCs w:val="24"/>
        </w:rPr>
        <w:t xml:space="preserve"> the </w:t>
      </w:r>
      <w:r w:rsidRPr="365BEDDC" w:rsidR="7289673C">
        <w:rPr>
          <w:rFonts w:ascii="Palatino Linotype" w:hAnsi="Palatino Linotype" w:eastAsia="Palatino Linotype"/>
          <w:sz w:val="24"/>
          <w:szCs w:val="24"/>
        </w:rPr>
        <w:t>in</w:t>
      </w:r>
      <w:r w:rsidRPr="365BEDDC">
        <w:rPr>
          <w:rFonts w:ascii="Palatino Linotype" w:hAnsi="Palatino Linotype" w:eastAsia="Palatino Linotype"/>
          <w:sz w:val="24"/>
          <w:szCs w:val="24"/>
        </w:rPr>
        <w:t>crease in l</w:t>
      </w:r>
      <w:r w:rsidRPr="365BEDDC" w:rsidR="71F7F289">
        <w:rPr>
          <w:rFonts w:ascii="Palatino Linotype" w:hAnsi="Palatino Linotype" w:eastAsia="Palatino Linotype"/>
          <w:sz w:val="24"/>
          <w:szCs w:val="24"/>
        </w:rPr>
        <w:t>abor</w:t>
      </w:r>
      <w:r w:rsidRPr="365BEDDC">
        <w:rPr>
          <w:rFonts w:ascii="Palatino Linotype" w:hAnsi="Palatino Linotype" w:eastAsia="Palatino Linotype"/>
          <w:sz w:val="24"/>
          <w:szCs w:val="24"/>
        </w:rPr>
        <w:t xml:space="preserve"> costs </w:t>
      </w:r>
      <w:r w:rsidRPr="365BEDDC" w:rsidR="372CC6E8">
        <w:rPr>
          <w:rFonts w:ascii="Palatino Linotype" w:hAnsi="Palatino Linotype" w:eastAsia="Palatino Linotype"/>
          <w:sz w:val="24"/>
          <w:szCs w:val="24"/>
        </w:rPr>
        <w:t xml:space="preserve">for vegetation management activities in 2020 </w:t>
      </w:r>
      <w:r w:rsidRPr="365BEDDC">
        <w:rPr>
          <w:rFonts w:ascii="Palatino Linotype" w:hAnsi="Palatino Linotype" w:eastAsia="Palatino Linotype"/>
          <w:sz w:val="24"/>
          <w:szCs w:val="24"/>
        </w:rPr>
        <w:t xml:space="preserve">are </w:t>
      </w:r>
      <w:r w:rsidRPr="365BEDDC" w:rsidR="2CCA3922">
        <w:rPr>
          <w:rFonts w:ascii="Palatino Linotype" w:hAnsi="Palatino Linotype" w:eastAsia="Palatino Linotype"/>
          <w:sz w:val="24"/>
          <w:szCs w:val="24"/>
        </w:rPr>
        <w:t xml:space="preserve">in part </w:t>
      </w:r>
      <w:r w:rsidRPr="365BEDDC">
        <w:rPr>
          <w:rFonts w:ascii="Palatino Linotype" w:hAnsi="Palatino Linotype" w:eastAsia="Palatino Linotype"/>
          <w:sz w:val="24"/>
          <w:szCs w:val="24"/>
        </w:rPr>
        <w:t xml:space="preserve">the result of an exogenous event, namely the </w:t>
      </w:r>
      <w:r w:rsidRPr="365BEDDC" w:rsidR="6F2F16D3">
        <w:rPr>
          <w:rFonts w:ascii="Palatino Linotype" w:hAnsi="Palatino Linotype" w:eastAsia="Palatino Linotype"/>
          <w:sz w:val="24"/>
          <w:szCs w:val="24"/>
        </w:rPr>
        <w:t>Legislature’s passage of SB 247</w:t>
      </w:r>
      <w:r w:rsidRPr="365BEDDC">
        <w:rPr>
          <w:rFonts w:ascii="Palatino Linotype" w:hAnsi="Palatino Linotype" w:eastAsia="Palatino Linotype"/>
          <w:sz w:val="24"/>
          <w:szCs w:val="24"/>
        </w:rPr>
        <w:t>.</w:t>
      </w:r>
      <w:r w:rsidRPr="365BEDDC" w:rsidR="3F6C1BEA">
        <w:rPr>
          <w:rFonts w:ascii="Palatino Linotype" w:hAnsi="Palatino Linotype" w:eastAsia="Palatino Linotype"/>
          <w:sz w:val="24"/>
          <w:szCs w:val="24"/>
        </w:rPr>
        <w:t xml:space="preserve"> </w:t>
      </w:r>
      <w:r w:rsidRPr="365BEDDC">
        <w:rPr>
          <w:rFonts w:ascii="Palatino Linotype" w:hAnsi="Palatino Linotype" w:eastAsia="Palatino Linotype"/>
          <w:sz w:val="24"/>
          <w:szCs w:val="24"/>
        </w:rPr>
        <w:t xml:space="preserve"> We also agree with SCE that it had no control over </w:t>
      </w:r>
      <w:r w:rsidRPr="365BEDDC" w:rsidR="476E0C49">
        <w:rPr>
          <w:rFonts w:ascii="Palatino Linotype" w:hAnsi="Palatino Linotype" w:eastAsia="Palatino Linotype"/>
          <w:sz w:val="24"/>
          <w:szCs w:val="24"/>
        </w:rPr>
        <w:t xml:space="preserve">the passage of SB 247 and its requirements that caused </w:t>
      </w:r>
      <w:r w:rsidRPr="365BEDDC" w:rsidR="3090059A">
        <w:rPr>
          <w:rFonts w:ascii="Palatino Linotype" w:hAnsi="Palatino Linotype" w:eastAsia="Palatino Linotype"/>
          <w:sz w:val="24"/>
          <w:szCs w:val="24"/>
        </w:rPr>
        <w:t xml:space="preserve">labor costs for </w:t>
      </w:r>
      <w:r w:rsidRPr="365BEDDC" w:rsidR="219BAA64">
        <w:rPr>
          <w:rFonts w:ascii="Palatino Linotype" w:hAnsi="Palatino Linotype" w:eastAsia="Palatino Linotype"/>
          <w:sz w:val="24"/>
          <w:szCs w:val="24"/>
        </w:rPr>
        <w:t>vegetation</w:t>
      </w:r>
      <w:r w:rsidRPr="365BEDDC" w:rsidR="3090059A">
        <w:rPr>
          <w:rFonts w:ascii="Palatino Linotype" w:hAnsi="Palatino Linotype" w:eastAsia="Palatino Linotype"/>
          <w:sz w:val="24"/>
          <w:szCs w:val="24"/>
        </w:rPr>
        <w:t xml:space="preserve"> management activities</w:t>
      </w:r>
      <w:r w:rsidRPr="365BEDDC">
        <w:rPr>
          <w:rFonts w:ascii="Palatino Linotype" w:hAnsi="Palatino Linotype" w:eastAsia="Palatino Linotype"/>
          <w:sz w:val="24"/>
          <w:szCs w:val="24"/>
        </w:rPr>
        <w:t xml:space="preserve"> to increase. The </w:t>
      </w:r>
      <w:r w:rsidRPr="365BEDDC" w:rsidR="2047383D">
        <w:rPr>
          <w:rFonts w:ascii="Palatino Linotype" w:hAnsi="Palatino Linotype" w:eastAsia="Palatino Linotype"/>
          <w:sz w:val="24"/>
          <w:szCs w:val="24"/>
        </w:rPr>
        <w:t>cost increases for qualified tree trimmer</w:t>
      </w:r>
      <w:r w:rsidRPr="365BEDDC">
        <w:rPr>
          <w:rFonts w:ascii="Palatino Linotype" w:hAnsi="Palatino Linotype" w:eastAsia="Palatino Linotype"/>
          <w:sz w:val="24"/>
          <w:szCs w:val="24"/>
        </w:rPr>
        <w:t xml:space="preserve"> </w:t>
      </w:r>
      <w:r w:rsidRPr="365BEDDC" w:rsidR="0F3B83E5">
        <w:rPr>
          <w:rFonts w:ascii="Palatino Linotype" w:hAnsi="Palatino Linotype" w:eastAsia="Palatino Linotype"/>
          <w:sz w:val="24"/>
          <w:szCs w:val="24"/>
        </w:rPr>
        <w:t>are</w:t>
      </w:r>
      <w:r w:rsidRPr="365BEDDC">
        <w:rPr>
          <w:rFonts w:ascii="Palatino Linotype" w:hAnsi="Palatino Linotype" w:eastAsia="Palatino Linotype"/>
          <w:sz w:val="24"/>
          <w:szCs w:val="24"/>
        </w:rPr>
        <w:t xml:space="preserve"> beyond SCE’s control, because SCE cannot dictate the price of </w:t>
      </w:r>
      <w:r w:rsidRPr="365BEDDC" w:rsidR="10C3D5D8">
        <w:rPr>
          <w:rFonts w:ascii="Palatino Linotype" w:hAnsi="Palatino Linotype" w:eastAsia="Palatino Linotype"/>
          <w:sz w:val="24"/>
          <w:szCs w:val="24"/>
        </w:rPr>
        <w:t>contracted labor</w:t>
      </w:r>
      <w:r w:rsidRPr="365BEDDC">
        <w:rPr>
          <w:rFonts w:ascii="Palatino Linotype" w:hAnsi="Palatino Linotype" w:eastAsia="Palatino Linotype"/>
          <w:sz w:val="24"/>
          <w:szCs w:val="24"/>
        </w:rPr>
        <w:t xml:space="preserve">. To the extent that SCE can negotiate these costs, it cannot control the negotiation positions of others. The </w:t>
      </w:r>
      <w:r w:rsidRPr="365BEDDC" w:rsidR="1D9102A0">
        <w:rPr>
          <w:rFonts w:ascii="Palatino Linotype" w:hAnsi="Palatino Linotype" w:eastAsia="Palatino Linotype"/>
          <w:sz w:val="24"/>
          <w:szCs w:val="24"/>
        </w:rPr>
        <w:t>wage n</w:t>
      </w:r>
      <w:r w:rsidRPr="365BEDDC" w:rsidR="6BDCBD43">
        <w:rPr>
          <w:rFonts w:ascii="Palatino Linotype" w:hAnsi="Palatino Linotype" w:eastAsia="Palatino Linotype"/>
          <w:sz w:val="24"/>
          <w:szCs w:val="24"/>
        </w:rPr>
        <w:t xml:space="preserve">egotiation </w:t>
      </w:r>
      <w:r w:rsidRPr="365BEDDC">
        <w:rPr>
          <w:rFonts w:ascii="Palatino Linotype" w:hAnsi="Palatino Linotype" w:eastAsia="Palatino Linotype"/>
          <w:sz w:val="24"/>
          <w:szCs w:val="24"/>
        </w:rPr>
        <w:t>effort</w:t>
      </w:r>
      <w:r w:rsidRPr="365BEDDC" w:rsidR="41D4773C">
        <w:rPr>
          <w:rFonts w:ascii="Palatino Linotype" w:hAnsi="Palatino Linotype" w:eastAsia="Palatino Linotype"/>
          <w:sz w:val="24"/>
          <w:szCs w:val="24"/>
        </w:rPr>
        <w:t>s</w:t>
      </w:r>
      <w:r w:rsidRPr="365BEDDC" w:rsidR="0AE17196">
        <w:rPr>
          <w:rFonts w:ascii="Palatino Linotype" w:hAnsi="Palatino Linotype" w:eastAsia="Palatino Linotype"/>
          <w:sz w:val="24"/>
          <w:szCs w:val="24"/>
        </w:rPr>
        <w:t xml:space="preserve"> </w:t>
      </w:r>
      <w:r w:rsidRPr="365BEDDC" w:rsidR="0AE17196">
        <w:rPr>
          <w:rFonts w:ascii="Palatino Linotype" w:hAnsi="Palatino Linotype"/>
          <w:sz w:val="24"/>
          <w:szCs w:val="24"/>
        </w:rPr>
        <w:t>between SCE tree trimming contractors and the local electrical workers unions across SCE’s service area</w:t>
      </w:r>
      <w:r w:rsidRPr="365BEDDC">
        <w:rPr>
          <w:rFonts w:ascii="Palatino Linotype" w:hAnsi="Palatino Linotype" w:eastAsia="Palatino Linotype"/>
          <w:sz w:val="24"/>
          <w:szCs w:val="24"/>
        </w:rPr>
        <w:t xml:space="preserve"> does not equate to a high degree of control over the costs.  We conclude SCE has met the criteria demonstrating that costs were exogenous and beyond utility management control. </w:t>
      </w:r>
    </w:p>
    <w:p w:rsidR="12228140" w:rsidP="12228140" w:rsidRDefault="12228140" w14:paraId="58855EEC" w14:textId="77777777">
      <w:pPr>
        <w:rPr>
          <w:rFonts w:ascii="Palatino Linotype" w:hAnsi="Palatino Linotype" w:eastAsia="Palatino Linotype"/>
          <w:sz w:val="24"/>
          <w:szCs w:val="24"/>
          <w:highlight w:val="green"/>
        </w:rPr>
      </w:pPr>
    </w:p>
    <w:p w:rsidR="3D820662" w:rsidP="00646405" w:rsidRDefault="3D820662" w14:paraId="0F975D94" w14:textId="77777777">
      <w:pPr>
        <w:pStyle w:val="ListParagraph"/>
        <w:numPr>
          <w:ilvl w:val="0"/>
          <w:numId w:val="1"/>
        </w:numPr>
        <w:ind w:left="360"/>
        <w:rPr>
          <w:rFonts w:ascii="Palatino Linotype" w:hAnsi="Palatino Linotype" w:eastAsia="Palatino Linotype"/>
          <w:sz w:val="24"/>
          <w:szCs w:val="24"/>
        </w:rPr>
      </w:pPr>
      <w:r w:rsidRPr="12228140">
        <w:rPr>
          <w:rFonts w:ascii="Palatino Linotype" w:hAnsi="Palatino Linotype" w:eastAsia="Palatino Linotype"/>
          <w:sz w:val="24"/>
          <w:szCs w:val="24"/>
        </w:rPr>
        <w:t>The event occurred after late 1989</w:t>
      </w:r>
    </w:p>
    <w:p w:rsidR="12228140" w:rsidP="12228140" w:rsidRDefault="12228140" w14:paraId="3CEDA213" w14:textId="77777777">
      <w:pPr>
        <w:rPr>
          <w:rFonts w:ascii="Palatino Linotype" w:hAnsi="Palatino Linotype" w:eastAsia="Palatino Linotype"/>
          <w:sz w:val="24"/>
          <w:szCs w:val="24"/>
          <w:highlight w:val="green"/>
        </w:rPr>
      </w:pPr>
    </w:p>
    <w:p w:rsidR="3D820662" w:rsidP="12228140" w:rsidRDefault="3D820662" w14:paraId="036F8C4C" w14:textId="77777777">
      <w:pPr>
        <w:rPr>
          <w:rFonts w:ascii="Palatino Linotype" w:hAnsi="Palatino Linotype" w:eastAsia="Palatino Linotype"/>
          <w:sz w:val="24"/>
          <w:szCs w:val="24"/>
        </w:rPr>
      </w:pPr>
      <w:r w:rsidRPr="12228140">
        <w:rPr>
          <w:rFonts w:ascii="Palatino Linotype" w:hAnsi="Palatino Linotype" w:eastAsia="Palatino Linotype"/>
          <w:sz w:val="24"/>
          <w:szCs w:val="24"/>
        </w:rPr>
        <w:t>Considered in the context of D.94-06-011 and subsequent Commission interpretation,</w:t>
      </w:r>
      <w:r w:rsidRPr="12228140">
        <w:rPr>
          <w:rStyle w:val="FootnoteReference"/>
          <w:rFonts w:ascii="Palatino Linotype" w:hAnsi="Palatino Linotype" w:eastAsia="Palatino Linotype"/>
          <w:sz w:val="24"/>
          <w:szCs w:val="24"/>
        </w:rPr>
        <w:footnoteReference w:id="31"/>
      </w:r>
      <w:r w:rsidRPr="12228140">
        <w:rPr>
          <w:rFonts w:ascii="Palatino Linotype" w:hAnsi="Palatino Linotype" w:eastAsia="Palatino Linotype"/>
          <w:sz w:val="24"/>
          <w:szCs w:val="24"/>
        </w:rPr>
        <w:t xml:space="preserve"> this criterion refers to the requirement the Z-factor event occurred after the revenue requirement was last updated.</w:t>
      </w:r>
      <w:r w:rsidRPr="12228140">
        <w:rPr>
          <w:rStyle w:val="FootnoteReference"/>
          <w:rFonts w:ascii="Palatino Linotype" w:hAnsi="Palatino Linotype" w:eastAsia="Palatino Linotype"/>
          <w:sz w:val="24"/>
          <w:szCs w:val="24"/>
        </w:rPr>
        <w:footnoteReference w:id="32"/>
      </w:r>
      <w:r w:rsidRPr="12228140">
        <w:rPr>
          <w:rFonts w:ascii="Palatino Linotype" w:hAnsi="Palatino Linotype" w:eastAsia="Palatino Linotype"/>
          <w:sz w:val="24"/>
          <w:szCs w:val="24"/>
        </w:rPr>
        <w:t xml:space="preserve">  In this instance, the events giving rise to this </w:t>
      </w:r>
      <w:r w:rsidRPr="12228140" w:rsidR="66967CF4">
        <w:rPr>
          <w:rFonts w:ascii="Palatino Linotype" w:hAnsi="Palatino Linotype" w:eastAsia="Palatino Linotype"/>
          <w:sz w:val="24"/>
          <w:szCs w:val="24"/>
        </w:rPr>
        <w:t>vegetation management</w:t>
      </w:r>
      <w:r w:rsidRPr="12228140">
        <w:rPr>
          <w:rFonts w:ascii="Palatino Linotype" w:hAnsi="Palatino Linotype" w:eastAsia="Palatino Linotype"/>
          <w:sz w:val="24"/>
          <w:szCs w:val="24"/>
        </w:rPr>
        <w:t xml:space="preserve"> expense took place in the post-test year of SCE’s </w:t>
      </w:r>
      <w:r w:rsidRPr="12228140" w:rsidR="6C78E136">
        <w:rPr>
          <w:rFonts w:ascii="Palatino Linotype" w:hAnsi="Palatino Linotype" w:eastAsia="Palatino Linotype"/>
          <w:sz w:val="24"/>
          <w:szCs w:val="24"/>
        </w:rPr>
        <w:t xml:space="preserve">TY </w:t>
      </w:r>
      <w:r w:rsidRPr="12228140">
        <w:rPr>
          <w:rFonts w:ascii="Palatino Linotype" w:hAnsi="Palatino Linotype" w:eastAsia="Palatino Linotype"/>
          <w:sz w:val="24"/>
          <w:szCs w:val="24"/>
        </w:rPr>
        <w:t>201</w:t>
      </w:r>
      <w:r w:rsidRPr="12228140" w:rsidR="778F292B">
        <w:rPr>
          <w:rFonts w:ascii="Palatino Linotype" w:hAnsi="Palatino Linotype" w:eastAsia="Palatino Linotype"/>
          <w:sz w:val="24"/>
          <w:szCs w:val="24"/>
        </w:rPr>
        <w:t>8</w:t>
      </w:r>
      <w:r w:rsidRPr="12228140" w:rsidR="4CF56E71">
        <w:rPr>
          <w:rFonts w:ascii="Palatino Linotype" w:hAnsi="Palatino Linotype" w:eastAsia="Palatino Linotype"/>
          <w:sz w:val="24"/>
          <w:szCs w:val="24"/>
        </w:rPr>
        <w:t xml:space="preserve"> </w:t>
      </w:r>
      <w:r w:rsidRPr="12228140">
        <w:rPr>
          <w:rFonts w:ascii="Palatino Linotype" w:hAnsi="Palatino Linotype" w:eastAsia="Palatino Linotype"/>
          <w:sz w:val="24"/>
          <w:szCs w:val="24"/>
        </w:rPr>
        <w:t xml:space="preserve">GRC and were unknown at the time rates were last implemented.  </w:t>
      </w:r>
    </w:p>
    <w:p w:rsidR="12228140" w:rsidP="12228140" w:rsidRDefault="12228140" w14:paraId="6965E778" w14:textId="77777777">
      <w:pPr>
        <w:rPr>
          <w:rFonts w:ascii="Palatino Linotype" w:hAnsi="Palatino Linotype" w:eastAsia="Palatino Linotype"/>
          <w:sz w:val="24"/>
          <w:szCs w:val="24"/>
        </w:rPr>
      </w:pPr>
    </w:p>
    <w:p w:rsidR="3D820662" w:rsidP="00646405" w:rsidRDefault="3D820662" w14:paraId="056DD8B7" w14:textId="77777777">
      <w:pPr>
        <w:pStyle w:val="ListParagraph"/>
        <w:numPr>
          <w:ilvl w:val="0"/>
          <w:numId w:val="1"/>
        </w:numPr>
        <w:ind w:left="450" w:hanging="450"/>
        <w:rPr>
          <w:rFonts w:ascii="Palatino Linotype" w:hAnsi="Palatino Linotype" w:eastAsia="Palatino Linotype"/>
          <w:sz w:val="24"/>
          <w:szCs w:val="24"/>
        </w:rPr>
      </w:pPr>
      <w:r w:rsidRPr="65CDA542">
        <w:rPr>
          <w:rFonts w:ascii="Palatino Linotype" w:hAnsi="Palatino Linotype" w:eastAsia="Palatino Linotype"/>
          <w:sz w:val="24"/>
          <w:szCs w:val="24"/>
        </w:rPr>
        <w:t>The costs are not a normal part of doing business</w:t>
      </w:r>
    </w:p>
    <w:p w:rsidR="12228140" w:rsidP="12228140" w:rsidRDefault="12228140" w14:paraId="621F8A18" w14:textId="77777777">
      <w:pPr>
        <w:rPr>
          <w:rFonts w:ascii="Palatino Linotype" w:hAnsi="Palatino Linotype" w:eastAsia="Palatino Linotype"/>
          <w:sz w:val="24"/>
          <w:szCs w:val="24"/>
          <w:highlight w:val="green"/>
        </w:rPr>
      </w:pPr>
    </w:p>
    <w:p w:rsidR="3D820662" w:rsidP="65CDA542" w:rsidRDefault="3D820662" w14:paraId="6F019B99" w14:textId="77777777">
      <w:pPr>
        <w:rPr>
          <w:rFonts w:ascii="Palatino Linotype" w:hAnsi="Palatino Linotype" w:eastAsia="Palatino Linotype"/>
          <w:sz w:val="24"/>
          <w:szCs w:val="24"/>
        </w:rPr>
      </w:pPr>
      <w:r w:rsidRPr="365BEDDC">
        <w:rPr>
          <w:rFonts w:ascii="Palatino Linotype" w:hAnsi="Palatino Linotype" w:eastAsia="Palatino Linotype"/>
          <w:sz w:val="24"/>
          <w:szCs w:val="24"/>
        </w:rPr>
        <w:t xml:space="preserve">Although SCE has forecasted </w:t>
      </w:r>
      <w:r w:rsidRPr="365BEDDC" w:rsidR="5C35E7D1">
        <w:rPr>
          <w:rFonts w:ascii="Palatino Linotype" w:hAnsi="Palatino Linotype" w:eastAsia="Palatino Linotype"/>
          <w:sz w:val="24"/>
          <w:szCs w:val="24"/>
        </w:rPr>
        <w:t>costs for vegetation management activities in its</w:t>
      </w:r>
      <w:r w:rsidRPr="365BEDDC">
        <w:rPr>
          <w:rFonts w:ascii="Palatino Linotype" w:hAnsi="Palatino Linotype" w:eastAsia="Palatino Linotype"/>
          <w:sz w:val="24"/>
          <w:szCs w:val="24"/>
        </w:rPr>
        <w:t xml:space="preserve"> GRCs, it could not have predicted </w:t>
      </w:r>
      <w:r w:rsidRPr="365BEDDC" w:rsidR="3B885A6A">
        <w:rPr>
          <w:rFonts w:ascii="Palatino Linotype" w:hAnsi="Palatino Linotype" w:eastAsia="Palatino Linotype"/>
          <w:sz w:val="24"/>
          <w:szCs w:val="24"/>
        </w:rPr>
        <w:t>an increase of 175 percent for vegetation management contract rates due to SB 247</w:t>
      </w:r>
      <w:r w:rsidRPr="365BEDDC">
        <w:rPr>
          <w:rFonts w:ascii="Palatino Linotype" w:hAnsi="Palatino Linotype" w:eastAsia="Palatino Linotype"/>
          <w:sz w:val="24"/>
          <w:szCs w:val="24"/>
        </w:rPr>
        <w:t xml:space="preserve">.  While the </w:t>
      </w:r>
      <w:r w:rsidRPr="365BEDDC" w:rsidR="73C6A937">
        <w:rPr>
          <w:rFonts w:ascii="Palatino Linotype" w:hAnsi="Palatino Linotype" w:eastAsia="Palatino Linotype"/>
          <w:sz w:val="24"/>
          <w:szCs w:val="24"/>
        </w:rPr>
        <w:t>need for line clearance work is</w:t>
      </w:r>
      <w:r w:rsidRPr="365BEDDC">
        <w:rPr>
          <w:rFonts w:ascii="Palatino Linotype" w:hAnsi="Palatino Linotype" w:eastAsia="Palatino Linotype"/>
          <w:sz w:val="24"/>
          <w:szCs w:val="24"/>
        </w:rPr>
        <w:t xml:space="preserve"> a foreseeable expense, the magnitude of the </w:t>
      </w:r>
      <w:r w:rsidRPr="365BEDDC" w:rsidR="5F621676">
        <w:rPr>
          <w:rFonts w:ascii="Palatino Linotype" w:hAnsi="Palatino Linotype" w:eastAsia="Palatino Linotype"/>
          <w:sz w:val="24"/>
          <w:szCs w:val="24"/>
        </w:rPr>
        <w:t>cost increases</w:t>
      </w:r>
      <w:r w:rsidRPr="365BEDDC">
        <w:rPr>
          <w:rFonts w:ascii="Palatino Linotype" w:hAnsi="Palatino Linotype" w:eastAsia="Palatino Linotype"/>
          <w:sz w:val="24"/>
          <w:szCs w:val="24"/>
        </w:rPr>
        <w:t xml:space="preserve"> </w:t>
      </w:r>
      <w:r w:rsidRPr="365BEDDC" w:rsidR="7B7F77C3">
        <w:rPr>
          <w:rFonts w:ascii="Palatino Linotype" w:hAnsi="Palatino Linotype" w:eastAsia="Palatino Linotype"/>
          <w:sz w:val="24"/>
          <w:szCs w:val="24"/>
        </w:rPr>
        <w:t xml:space="preserve">due to SB 247 </w:t>
      </w:r>
      <w:r w:rsidRPr="365BEDDC">
        <w:rPr>
          <w:rFonts w:ascii="Palatino Linotype" w:hAnsi="Palatino Linotype" w:eastAsia="Palatino Linotype"/>
          <w:sz w:val="24"/>
          <w:szCs w:val="24"/>
        </w:rPr>
        <w:t>could not have been anticipated at the time SCE</w:t>
      </w:r>
      <w:r w:rsidRPr="365BEDDC" w:rsidR="213164FE">
        <w:rPr>
          <w:rFonts w:ascii="Palatino Linotype" w:hAnsi="Palatino Linotype" w:eastAsia="Palatino Linotype"/>
          <w:sz w:val="24"/>
          <w:szCs w:val="24"/>
        </w:rPr>
        <w:t xml:space="preserve"> developed its</w:t>
      </w:r>
      <w:r w:rsidRPr="365BEDDC">
        <w:rPr>
          <w:rFonts w:ascii="Palatino Linotype" w:hAnsi="Palatino Linotype" w:eastAsia="Palatino Linotype"/>
          <w:sz w:val="24"/>
          <w:szCs w:val="24"/>
        </w:rPr>
        <w:t xml:space="preserve"> </w:t>
      </w:r>
      <w:r w:rsidRPr="365BEDDC" w:rsidR="795D085B">
        <w:rPr>
          <w:rFonts w:ascii="Palatino Linotype" w:hAnsi="Palatino Linotype" w:eastAsia="Palatino Linotype"/>
          <w:sz w:val="24"/>
          <w:szCs w:val="24"/>
        </w:rPr>
        <w:t xml:space="preserve">Test Year </w:t>
      </w:r>
      <w:r w:rsidRPr="365BEDDC">
        <w:rPr>
          <w:rFonts w:ascii="Palatino Linotype" w:hAnsi="Palatino Linotype" w:eastAsia="Palatino Linotype"/>
          <w:sz w:val="24"/>
          <w:szCs w:val="24"/>
        </w:rPr>
        <w:t>201</w:t>
      </w:r>
      <w:r w:rsidRPr="365BEDDC" w:rsidR="547CEF7E">
        <w:rPr>
          <w:rFonts w:ascii="Palatino Linotype" w:hAnsi="Palatino Linotype" w:eastAsia="Palatino Linotype"/>
          <w:sz w:val="24"/>
          <w:szCs w:val="24"/>
        </w:rPr>
        <w:t>8</w:t>
      </w:r>
      <w:r w:rsidRPr="365BEDDC">
        <w:rPr>
          <w:rFonts w:ascii="Palatino Linotype" w:hAnsi="Palatino Linotype" w:eastAsia="Palatino Linotype"/>
          <w:sz w:val="24"/>
          <w:szCs w:val="24"/>
        </w:rPr>
        <w:t xml:space="preserve"> GRC</w:t>
      </w:r>
      <w:r w:rsidRPr="365BEDDC" w:rsidR="7C138F65">
        <w:rPr>
          <w:rFonts w:ascii="Palatino Linotype" w:hAnsi="Palatino Linotype" w:eastAsia="Palatino Linotype"/>
          <w:sz w:val="24"/>
          <w:szCs w:val="24"/>
        </w:rPr>
        <w:t xml:space="preserve"> forecast</w:t>
      </w:r>
      <w:r w:rsidR="00234A63">
        <w:rPr>
          <w:rFonts w:ascii="Palatino Linotype" w:hAnsi="Palatino Linotype" w:eastAsia="Palatino Linotype"/>
          <w:sz w:val="24"/>
          <w:szCs w:val="24"/>
        </w:rPr>
        <w:t xml:space="preserve">, and </w:t>
      </w:r>
      <w:r w:rsidR="00EC79E8">
        <w:rPr>
          <w:rFonts w:ascii="Palatino Linotype" w:hAnsi="Palatino Linotype" w:eastAsia="Palatino Linotype"/>
          <w:sz w:val="24"/>
          <w:szCs w:val="24"/>
        </w:rPr>
        <w:t>thus the additional costs were not a normal part of doing business</w:t>
      </w:r>
      <w:r w:rsidRPr="365BEDDC">
        <w:rPr>
          <w:rFonts w:ascii="Palatino Linotype" w:hAnsi="Palatino Linotype" w:eastAsia="Palatino Linotype"/>
          <w:sz w:val="24"/>
          <w:szCs w:val="24"/>
        </w:rPr>
        <w:t>.</w:t>
      </w:r>
    </w:p>
    <w:p w:rsidR="12228140" w:rsidP="65CDA542" w:rsidRDefault="12228140" w14:paraId="2BBB3777" w14:textId="77777777">
      <w:pPr>
        <w:rPr>
          <w:rFonts w:ascii="Palatino Linotype" w:hAnsi="Palatino Linotype" w:eastAsia="Palatino Linotype"/>
          <w:sz w:val="24"/>
          <w:szCs w:val="24"/>
        </w:rPr>
      </w:pPr>
    </w:p>
    <w:p w:rsidR="3D820662" w:rsidP="00646405" w:rsidRDefault="3D820662" w14:paraId="484BA5E0" w14:textId="77777777">
      <w:pPr>
        <w:pStyle w:val="ListParagraph"/>
        <w:numPr>
          <w:ilvl w:val="0"/>
          <w:numId w:val="1"/>
        </w:numPr>
        <w:ind w:left="360"/>
        <w:rPr>
          <w:rFonts w:ascii="Palatino Linotype" w:hAnsi="Palatino Linotype" w:eastAsia="Palatino Linotype"/>
          <w:sz w:val="24"/>
          <w:szCs w:val="24"/>
        </w:rPr>
      </w:pPr>
      <w:r w:rsidRPr="65CDA542">
        <w:rPr>
          <w:rFonts w:ascii="Palatino Linotype" w:hAnsi="Palatino Linotype" w:eastAsia="Palatino Linotype"/>
          <w:sz w:val="24"/>
          <w:szCs w:val="24"/>
        </w:rPr>
        <w:t>The costs must have a disproportionate impact on the utility and a major impact on overall costs</w:t>
      </w:r>
    </w:p>
    <w:p w:rsidR="12228140" w:rsidP="12228140" w:rsidRDefault="12228140" w14:paraId="19274D75" w14:textId="77777777">
      <w:pPr>
        <w:rPr>
          <w:rFonts w:ascii="Palatino Linotype" w:hAnsi="Palatino Linotype" w:eastAsia="Palatino Linotype"/>
          <w:sz w:val="24"/>
          <w:szCs w:val="24"/>
          <w:highlight w:val="green"/>
        </w:rPr>
      </w:pPr>
    </w:p>
    <w:p w:rsidR="3D820662" w:rsidP="65CDA542" w:rsidRDefault="3D820662" w14:paraId="13D33522" w14:textId="33C48666">
      <w:pPr>
        <w:rPr>
          <w:rFonts w:ascii="Palatino Linotype" w:hAnsi="Palatino Linotype" w:eastAsia="Palatino Linotype"/>
          <w:sz w:val="24"/>
          <w:szCs w:val="24"/>
        </w:rPr>
      </w:pPr>
      <w:r w:rsidRPr="365BEDDC">
        <w:rPr>
          <w:rFonts w:ascii="Palatino Linotype" w:hAnsi="Palatino Linotype" w:eastAsia="Palatino Linotype"/>
          <w:sz w:val="24"/>
          <w:szCs w:val="24"/>
        </w:rPr>
        <w:t>We combine the discussion of these criteria given the criteria involve similar arguments.  The $</w:t>
      </w:r>
      <w:r w:rsidRPr="365BEDDC" w:rsidR="7AB1EF76">
        <w:rPr>
          <w:rFonts w:ascii="Palatino Linotype" w:hAnsi="Palatino Linotype" w:eastAsia="Palatino Linotype"/>
          <w:sz w:val="24"/>
          <w:szCs w:val="24"/>
        </w:rPr>
        <w:t>252.3</w:t>
      </w:r>
      <w:r w:rsidRPr="365BEDDC" w:rsidR="47461A32">
        <w:rPr>
          <w:rFonts w:ascii="Palatino Linotype" w:hAnsi="Palatino Linotype" w:eastAsia="Palatino Linotype"/>
          <w:sz w:val="24"/>
          <w:szCs w:val="24"/>
        </w:rPr>
        <w:t xml:space="preserve"> million </w:t>
      </w:r>
      <w:r w:rsidRPr="365BEDDC" w:rsidR="39481DD5">
        <w:rPr>
          <w:rFonts w:ascii="Palatino Linotype" w:hAnsi="Palatino Linotype" w:eastAsia="Palatino Linotype"/>
          <w:sz w:val="24"/>
          <w:szCs w:val="24"/>
        </w:rPr>
        <w:t>in</w:t>
      </w:r>
      <w:r w:rsidRPr="365BEDDC">
        <w:rPr>
          <w:rFonts w:ascii="Palatino Linotype" w:hAnsi="Palatino Linotype" w:eastAsia="Palatino Linotype"/>
          <w:sz w:val="24"/>
          <w:szCs w:val="24"/>
        </w:rPr>
        <w:t xml:space="preserve"> </w:t>
      </w:r>
      <w:r w:rsidRPr="365BEDDC" w:rsidR="5219607D">
        <w:rPr>
          <w:rFonts w:ascii="Palatino Linotype" w:hAnsi="Palatino Linotype" w:eastAsia="Palatino Linotype"/>
          <w:sz w:val="24"/>
          <w:szCs w:val="24"/>
        </w:rPr>
        <w:t>incremental vegetation management costs</w:t>
      </w:r>
      <w:r w:rsidRPr="365BEDDC" w:rsidR="344AFD23">
        <w:rPr>
          <w:rFonts w:ascii="Palatino Linotype" w:hAnsi="Palatino Linotype" w:eastAsia="Palatino Linotype"/>
          <w:sz w:val="24"/>
          <w:szCs w:val="24"/>
        </w:rPr>
        <w:t xml:space="preserve"> in 2020</w:t>
      </w:r>
      <w:r w:rsidRPr="365BEDDC" w:rsidR="4256B0BC">
        <w:rPr>
          <w:rFonts w:ascii="Palatino Linotype" w:hAnsi="Palatino Linotype" w:eastAsia="Palatino Linotype"/>
          <w:sz w:val="24"/>
          <w:szCs w:val="24"/>
        </w:rPr>
        <w:t>, $</w:t>
      </w:r>
      <w:r w:rsidRPr="365BEDDC" w:rsidR="63342793">
        <w:rPr>
          <w:rFonts w:ascii="Palatino Linotype" w:hAnsi="Palatino Linotype" w:eastAsia="Palatino Linotype"/>
          <w:sz w:val="24"/>
          <w:szCs w:val="24"/>
        </w:rPr>
        <w:t xml:space="preserve">84.9 million of </w:t>
      </w:r>
      <w:r w:rsidRPr="365BEDDC" w:rsidR="63342793">
        <w:rPr>
          <w:rFonts w:ascii="Palatino Linotype" w:hAnsi="Palatino Linotype" w:eastAsia="Palatino Linotype"/>
          <w:sz w:val="24"/>
          <w:szCs w:val="24"/>
        </w:rPr>
        <w:lastRenderedPageBreak/>
        <w:t>which has not at this time been authorized,</w:t>
      </w:r>
      <w:r w:rsidRPr="365BEDDC" w:rsidR="5219607D">
        <w:rPr>
          <w:rFonts w:ascii="Palatino Linotype" w:hAnsi="Palatino Linotype" w:eastAsia="Palatino Linotype"/>
          <w:sz w:val="24"/>
          <w:szCs w:val="24"/>
        </w:rPr>
        <w:t xml:space="preserve"> </w:t>
      </w:r>
      <w:r w:rsidRPr="365BEDDC">
        <w:rPr>
          <w:rFonts w:ascii="Palatino Linotype" w:hAnsi="Palatino Linotype" w:eastAsia="Palatino Linotype"/>
          <w:sz w:val="24"/>
          <w:szCs w:val="24"/>
        </w:rPr>
        <w:t>is significantly more than SCE has had to pay in the past for</w:t>
      </w:r>
      <w:r w:rsidRPr="365BEDDC" w:rsidR="56BB437D">
        <w:rPr>
          <w:rFonts w:ascii="Palatino Linotype" w:hAnsi="Palatino Linotype" w:eastAsia="Palatino Linotype"/>
          <w:sz w:val="24"/>
          <w:szCs w:val="24"/>
        </w:rPr>
        <w:t xml:space="preserve"> tree clearance </w:t>
      </w:r>
      <w:r w:rsidRPr="365BEDDC" w:rsidR="0319B304">
        <w:rPr>
          <w:rFonts w:ascii="Palatino Linotype" w:hAnsi="Palatino Linotype" w:eastAsia="Palatino Linotype"/>
          <w:sz w:val="24"/>
          <w:szCs w:val="24"/>
        </w:rPr>
        <w:t>work</w:t>
      </w:r>
      <w:r w:rsidRPr="365BEDDC">
        <w:rPr>
          <w:rFonts w:ascii="Palatino Linotype" w:hAnsi="Palatino Linotype" w:eastAsia="Palatino Linotype"/>
          <w:sz w:val="24"/>
          <w:szCs w:val="24"/>
        </w:rPr>
        <w:t xml:space="preserve">.  SCE asserts </w:t>
      </w:r>
      <w:r w:rsidRPr="365BEDDC" w:rsidR="7110739A">
        <w:rPr>
          <w:rFonts w:ascii="Palatino Linotype" w:hAnsi="Palatino Linotype" w:eastAsia="Palatino Linotype"/>
          <w:sz w:val="24"/>
          <w:szCs w:val="24"/>
        </w:rPr>
        <w:t>absorbing</w:t>
      </w:r>
      <w:r w:rsidRPr="365BEDDC">
        <w:rPr>
          <w:rFonts w:ascii="Palatino Linotype" w:hAnsi="Palatino Linotype" w:eastAsia="Palatino Linotype"/>
          <w:sz w:val="24"/>
          <w:szCs w:val="24"/>
        </w:rPr>
        <w:t xml:space="preserve"> these </w:t>
      </w:r>
      <w:r w:rsidRPr="365BEDDC" w:rsidR="52713688">
        <w:rPr>
          <w:rFonts w:ascii="Palatino Linotype" w:hAnsi="Palatino Linotype" w:eastAsia="Palatino Linotype"/>
          <w:sz w:val="24"/>
          <w:szCs w:val="24"/>
        </w:rPr>
        <w:t xml:space="preserve">types </w:t>
      </w:r>
      <w:r w:rsidRPr="365BEDDC">
        <w:rPr>
          <w:rFonts w:ascii="Palatino Linotype" w:hAnsi="Palatino Linotype" w:eastAsia="Palatino Linotype"/>
          <w:sz w:val="24"/>
          <w:szCs w:val="24"/>
        </w:rPr>
        <w:t xml:space="preserve">of </w:t>
      </w:r>
      <w:r w:rsidR="006043F5">
        <w:rPr>
          <w:rFonts w:ascii="Palatino Linotype" w:hAnsi="Palatino Linotype" w:eastAsia="Palatino Linotype"/>
          <w:sz w:val="24"/>
          <w:szCs w:val="24"/>
        </w:rPr>
        <w:br/>
      </w:r>
      <w:r w:rsidRPr="365BEDDC" w:rsidR="6AA9DD36">
        <w:rPr>
          <w:rFonts w:ascii="Palatino Linotype" w:hAnsi="Palatino Linotype" w:eastAsia="Palatino Linotype"/>
          <w:sz w:val="24"/>
          <w:szCs w:val="24"/>
        </w:rPr>
        <w:t>pas</w:t>
      </w:r>
      <w:r w:rsidRPr="365BEDDC" w:rsidR="6D7282F3">
        <w:rPr>
          <w:rFonts w:ascii="Palatino Linotype" w:hAnsi="Palatino Linotype" w:eastAsia="Palatino Linotype"/>
          <w:sz w:val="24"/>
          <w:szCs w:val="24"/>
        </w:rPr>
        <w:t>s-</w:t>
      </w:r>
      <w:r w:rsidRPr="365BEDDC" w:rsidR="6AA9DD36">
        <w:rPr>
          <w:rFonts w:ascii="Palatino Linotype" w:hAnsi="Palatino Linotype" w:eastAsia="Palatino Linotype"/>
          <w:sz w:val="24"/>
          <w:szCs w:val="24"/>
        </w:rPr>
        <w:t>through</w:t>
      </w:r>
      <w:r w:rsidRPr="365BEDDC">
        <w:rPr>
          <w:rFonts w:ascii="Palatino Linotype" w:hAnsi="Palatino Linotype" w:eastAsia="Palatino Linotype"/>
          <w:sz w:val="24"/>
          <w:szCs w:val="24"/>
        </w:rPr>
        <w:t xml:space="preserve"> expenses </w:t>
      </w:r>
      <w:r w:rsidRPr="365BEDDC" w:rsidR="5CABE0D9">
        <w:rPr>
          <w:rFonts w:ascii="Palatino Linotype" w:hAnsi="Palatino Linotype" w:eastAsia="Palatino Linotype"/>
          <w:sz w:val="24"/>
          <w:szCs w:val="24"/>
        </w:rPr>
        <w:t xml:space="preserve">would </w:t>
      </w:r>
      <w:r w:rsidRPr="365BEDDC">
        <w:rPr>
          <w:rFonts w:ascii="Palatino Linotype" w:hAnsi="Palatino Linotype" w:eastAsia="Palatino Linotype"/>
          <w:sz w:val="24"/>
          <w:szCs w:val="24"/>
        </w:rPr>
        <w:t>drive up financing costs for company operations</w:t>
      </w:r>
      <w:r w:rsidRPr="365BEDDC" w:rsidR="058AFBA2">
        <w:rPr>
          <w:rFonts w:ascii="Palatino Linotype" w:hAnsi="Palatino Linotype" w:eastAsia="Palatino Linotype"/>
          <w:sz w:val="24"/>
          <w:szCs w:val="24"/>
        </w:rPr>
        <w:t xml:space="preserve"> and impact credit rating agencies perceptions.</w:t>
      </w:r>
      <w:r w:rsidRPr="365BEDDC">
        <w:rPr>
          <w:rFonts w:ascii="Palatino Linotype" w:hAnsi="Palatino Linotype" w:eastAsia="Palatino Linotype"/>
          <w:sz w:val="24"/>
          <w:szCs w:val="24"/>
        </w:rPr>
        <w:t xml:space="preserve">  Accordingly, we find these criteria have been met.</w:t>
      </w:r>
    </w:p>
    <w:p w:rsidR="12228140" w:rsidP="12228140" w:rsidRDefault="12228140" w14:paraId="28AA1299" w14:textId="77777777">
      <w:pPr>
        <w:rPr>
          <w:rFonts w:ascii="Palatino Linotype" w:hAnsi="Palatino Linotype" w:eastAsia="Palatino Linotype"/>
          <w:sz w:val="24"/>
          <w:szCs w:val="24"/>
          <w:highlight w:val="green"/>
        </w:rPr>
      </w:pPr>
    </w:p>
    <w:p w:rsidR="3D820662" w:rsidP="00646405" w:rsidRDefault="3D820662" w14:paraId="1F9848BB" w14:textId="77777777">
      <w:pPr>
        <w:pStyle w:val="ListParagraph"/>
        <w:numPr>
          <w:ilvl w:val="0"/>
          <w:numId w:val="1"/>
        </w:numPr>
        <w:ind w:left="360"/>
        <w:rPr>
          <w:rFonts w:ascii="Palatino Linotype" w:hAnsi="Palatino Linotype" w:eastAsia="Palatino Linotype"/>
          <w:sz w:val="24"/>
          <w:szCs w:val="24"/>
        </w:rPr>
      </w:pPr>
      <w:r w:rsidRPr="65CDA542">
        <w:rPr>
          <w:rFonts w:ascii="Palatino Linotype" w:hAnsi="Palatino Linotype" w:eastAsia="Palatino Linotype"/>
          <w:sz w:val="24"/>
          <w:szCs w:val="24"/>
        </w:rPr>
        <w:t>The costs must not be reflected in the escalation factors used in the GRC</w:t>
      </w:r>
    </w:p>
    <w:p w:rsidR="12228140" w:rsidP="12228140" w:rsidRDefault="12228140" w14:paraId="302AFCE9" w14:textId="77777777">
      <w:pPr>
        <w:rPr>
          <w:rFonts w:ascii="Palatino Linotype" w:hAnsi="Palatino Linotype" w:eastAsia="Palatino Linotype"/>
          <w:sz w:val="24"/>
          <w:szCs w:val="24"/>
          <w:highlight w:val="green"/>
        </w:rPr>
      </w:pPr>
    </w:p>
    <w:p w:rsidR="3D820662" w:rsidP="65CDA542" w:rsidRDefault="3D820662" w14:paraId="7C353B5A" w14:textId="77777777">
      <w:pPr>
        <w:rPr>
          <w:rFonts w:ascii="Palatino Linotype" w:hAnsi="Palatino Linotype" w:eastAsia="Palatino Linotype"/>
          <w:sz w:val="24"/>
          <w:szCs w:val="24"/>
          <w:highlight w:val="green"/>
        </w:rPr>
      </w:pPr>
      <w:r w:rsidRPr="5FDFFF45">
        <w:rPr>
          <w:rFonts w:ascii="Palatino Linotype" w:hAnsi="Palatino Linotype" w:eastAsia="Palatino Linotype"/>
          <w:sz w:val="24"/>
          <w:szCs w:val="24"/>
        </w:rPr>
        <w:t xml:space="preserve">The costs are not within the escalation factors adopted by the Commission in </w:t>
      </w:r>
      <w:r w:rsidR="00A220DC">
        <w:rPr>
          <w:rFonts w:ascii="Palatino Linotype" w:hAnsi="Palatino Linotype" w:eastAsia="Palatino Linotype"/>
          <w:sz w:val="24"/>
          <w:szCs w:val="24"/>
        </w:rPr>
        <w:br/>
      </w:r>
      <w:r w:rsidRPr="5FDFFF45">
        <w:rPr>
          <w:rFonts w:ascii="Palatino Linotype" w:hAnsi="Palatino Linotype" w:eastAsia="Palatino Linotype"/>
          <w:sz w:val="24"/>
          <w:szCs w:val="24"/>
        </w:rPr>
        <w:t>D.</w:t>
      </w:r>
      <w:r w:rsidRPr="5FDFFF45" w:rsidR="26E12378">
        <w:rPr>
          <w:rFonts w:ascii="Palatino Linotype" w:hAnsi="Palatino Linotype" w:eastAsia="Palatino Linotype"/>
          <w:sz w:val="24"/>
          <w:szCs w:val="24"/>
        </w:rPr>
        <w:t>19</w:t>
      </w:r>
      <w:r w:rsidRPr="5FDFFF45">
        <w:rPr>
          <w:rFonts w:ascii="Palatino Linotype" w:hAnsi="Palatino Linotype" w:eastAsia="Palatino Linotype"/>
          <w:sz w:val="24"/>
          <w:szCs w:val="24"/>
        </w:rPr>
        <w:t>-</w:t>
      </w:r>
      <w:r w:rsidRPr="5FDFFF45" w:rsidR="01093857">
        <w:rPr>
          <w:rFonts w:ascii="Palatino Linotype" w:hAnsi="Palatino Linotype" w:eastAsia="Palatino Linotype"/>
          <w:sz w:val="24"/>
          <w:szCs w:val="24"/>
        </w:rPr>
        <w:t>0</w:t>
      </w:r>
      <w:r w:rsidRPr="5FDFFF45" w:rsidR="174C467D">
        <w:rPr>
          <w:rFonts w:ascii="Palatino Linotype" w:hAnsi="Palatino Linotype" w:eastAsia="Palatino Linotype"/>
          <w:sz w:val="24"/>
          <w:szCs w:val="24"/>
        </w:rPr>
        <w:t>5</w:t>
      </w:r>
      <w:r w:rsidRPr="5FDFFF45">
        <w:rPr>
          <w:rFonts w:ascii="Palatino Linotype" w:hAnsi="Palatino Linotype" w:eastAsia="Palatino Linotype"/>
          <w:sz w:val="24"/>
          <w:szCs w:val="24"/>
        </w:rPr>
        <w:t>-0</w:t>
      </w:r>
      <w:r w:rsidRPr="5FDFFF45" w:rsidR="7D030BF8">
        <w:rPr>
          <w:rFonts w:ascii="Palatino Linotype" w:hAnsi="Palatino Linotype" w:eastAsia="Palatino Linotype"/>
          <w:sz w:val="24"/>
          <w:szCs w:val="24"/>
        </w:rPr>
        <w:t>20</w:t>
      </w:r>
      <w:r w:rsidRPr="5FDFFF45">
        <w:rPr>
          <w:rFonts w:ascii="Palatino Linotype" w:hAnsi="Palatino Linotype" w:eastAsia="Palatino Linotype"/>
          <w:sz w:val="24"/>
          <w:szCs w:val="24"/>
        </w:rPr>
        <w:t xml:space="preserve">, SCE’s </w:t>
      </w:r>
      <w:r w:rsidRPr="5FDFFF45" w:rsidR="7AF8E914">
        <w:rPr>
          <w:rFonts w:ascii="Palatino Linotype" w:hAnsi="Palatino Linotype" w:eastAsia="Palatino Linotype"/>
          <w:sz w:val="24"/>
          <w:szCs w:val="24"/>
        </w:rPr>
        <w:t xml:space="preserve">TY </w:t>
      </w:r>
      <w:r w:rsidRPr="5FDFFF45">
        <w:rPr>
          <w:rFonts w:ascii="Palatino Linotype" w:hAnsi="Palatino Linotype" w:eastAsia="Palatino Linotype"/>
          <w:sz w:val="24"/>
          <w:szCs w:val="24"/>
        </w:rPr>
        <w:t>201</w:t>
      </w:r>
      <w:r w:rsidRPr="5FDFFF45" w:rsidR="0409A29D">
        <w:rPr>
          <w:rFonts w:ascii="Palatino Linotype" w:hAnsi="Palatino Linotype" w:eastAsia="Palatino Linotype"/>
          <w:sz w:val="24"/>
          <w:szCs w:val="24"/>
        </w:rPr>
        <w:t>8</w:t>
      </w:r>
      <w:r w:rsidRPr="5FDFFF45">
        <w:rPr>
          <w:rFonts w:ascii="Palatino Linotype" w:hAnsi="Palatino Linotype" w:eastAsia="Palatino Linotype"/>
          <w:sz w:val="24"/>
          <w:szCs w:val="24"/>
        </w:rPr>
        <w:t xml:space="preserve"> GRC.</w:t>
      </w:r>
    </w:p>
    <w:p w:rsidR="12228140" w:rsidP="12228140" w:rsidRDefault="12228140" w14:paraId="2132DB31" w14:textId="77777777">
      <w:pPr>
        <w:rPr>
          <w:rFonts w:ascii="Palatino Linotype" w:hAnsi="Palatino Linotype" w:eastAsia="Palatino Linotype"/>
          <w:sz w:val="24"/>
          <w:szCs w:val="24"/>
          <w:highlight w:val="green"/>
        </w:rPr>
      </w:pPr>
    </w:p>
    <w:p w:rsidR="3D820662" w:rsidP="00646405" w:rsidRDefault="3D820662" w14:paraId="370FA511" w14:textId="77777777">
      <w:pPr>
        <w:pStyle w:val="ListParagraph"/>
        <w:numPr>
          <w:ilvl w:val="0"/>
          <w:numId w:val="1"/>
        </w:numPr>
        <w:ind w:left="360"/>
        <w:rPr>
          <w:rFonts w:ascii="Palatino Linotype" w:hAnsi="Palatino Linotype" w:eastAsia="Palatino Linotype"/>
          <w:sz w:val="24"/>
          <w:szCs w:val="24"/>
        </w:rPr>
      </w:pPr>
      <w:r w:rsidRPr="12228140">
        <w:rPr>
          <w:rFonts w:ascii="Palatino Linotype" w:hAnsi="Palatino Linotype" w:eastAsia="Palatino Linotype"/>
          <w:sz w:val="24"/>
          <w:szCs w:val="24"/>
        </w:rPr>
        <w:t>The cost impact must be measurable</w:t>
      </w:r>
    </w:p>
    <w:p w:rsidR="12228140" w:rsidP="12228140" w:rsidRDefault="12228140" w14:paraId="6E3C54D7" w14:textId="77777777">
      <w:pPr>
        <w:rPr>
          <w:rFonts w:ascii="Palatino Linotype" w:hAnsi="Palatino Linotype" w:eastAsia="Palatino Linotype"/>
          <w:sz w:val="24"/>
          <w:szCs w:val="24"/>
        </w:rPr>
      </w:pPr>
    </w:p>
    <w:p w:rsidR="3D820662" w:rsidP="12228140" w:rsidRDefault="3D820662" w14:paraId="1B8FA9E1" w14:textId="77777777">
      <w:pPr>
        <w:rPr>
          <w:rFonts w:ascii="Palatino Linotype" w:hAnsi="Palatino Linotype" w:eastAsia="Palatino Linotype"/>
          <w:sz w:val="24"/>
          <w:szCs w:val="24"/>
        </w:rPr>
      </w:pPr>
      <w:r w:rsidRPr="12228140">
        <w:rPr>
          <w:rFonts w:ascii="Palatino Linotype" w:hAnsi="Palatino Linotype" w:eastAsia="Palatino Linotype"/>
          <w:sz w:val="24"/>
          <w:szCs w:val="24"/>
        </w:rPr>
        <w:t xml:space="preserve">We agree the documentation of the amount of </w:t>
      </w:r>
      <w:r w:rsidRPr="12228140" w:rsidR="072DCD1D">
        <w:rPr>
          <w:rFonts w:ascii="Palatino Linotype" w:hAnsi="Palatino Linotype" w:eastAsia="Palatino Linotype"/>
          <w:sz w:val="24"/>
          <w:szCs w:val="24"/>
        </w:rPr>
        <w:t xml:space="preserve">increased vegetation management costs </w:t>
      </w:r>
      <w:r w:rsidRPr="12228140">
        <w:rPr>
          <w:rFonts w:ascii="Palatino Linotype" w:hAnsi="Palatino Linotype" w:eastAsia="Palatino Linotype"/>
          <w:sz w:val="24"/>
          <w:szCs w:val="24"/>
        </w:rPr>
        <w:t>were measurable and sufficient to meet this criterion.</w:t>
      </w:r>
    </w:p>
    <w:p w:rsidR="12228140" w:rsidP="12228140" w:rsidRDefault="12228140" w14:paraId="7174D442" w14:textId="77777777">
      <w:pPr>
        <w:rPr>
          <w:rFonts w:ascii="Palatino Linotype" w:hAnsi="Palatino Linotype" w:eastAsia="Palatino Linotype"/>
          <w:sz w:val="24"/>
          <w:szCs w:val="24"/>
          <w:highlight w:val="green"/>
        </w:rPr>
      </w:pPr>
    </w:p>
    <w:p w:rsidR="3D820662" w:rsidP="00646405" w:rsidRDefault="3D820662" w14:paraId="29FFD8AC" w14:textId="77777777">
      <w:pPr>
        <w:pStyle w:val="ListParagraph"/>
        <w:numPr>
          <w:ilvl w:val="0"/>
          <w:numId w:val="1"/>
        </w:numPr>
        <w:ind w:left="540" w:hanging="540"/>
        <w:rPr>
          <w:rFonts w:ascii="Palatino Linotype" w:hAnsi="Palatino Linotype" w:eastAsia="Palatino Linotype"/>
          <w:sz w:val="24"/>
          <w:szCs w:val="24"/>
        </w:rPr>
      </w:pPr>
      <w:r w:rsidRPr="65CDA542">
        <w:rPr>
          <w:rFonts w:ascii="Palatino Linotype" w:hAnsi="Palatino Linotype" w:eastAsia="Palatino Linotype"/>
          <w:sz w:val="24"/>
          <w:szCs w:val="24"/>
        </w:rPr>
        <w:t>The utility must incur the cost reasonably</w:t>
      </w:r>
    </w:p>
    <w:p w:rsidR="65CDA542" w:rsidP="65CDA542" w:rsidRDefault="65CDA542" w14:paraId="5727F927" w14:textId="77777777">
      <w:pPr>
        <w:rPr>
          <w:rFonts w:ascii="Palatino Linotype" w:hAnsi="Palatino Linotype" w:eastAsia="Palatino Linotype"/>
          <w:sz w:val="24"/>
          <w:szCs w:val="24"/>
          <w:highlight w:val="green"/>
        </w:rPr>
      </w:pPr>
    </w:p>
    <w:p w:rsidR="129D1569" w:rsidP="365BEDDC" w:rsidRDefault="129D1569" w14:paraId="338E2FA0" w14:textId="77777777">
      <w:pPr>
        <w:spacing w:line="259" w:lineRule="auto"/>
        <w:rPr>
          <w:rFonts w:ascii="Palatino Linotype" w:hAnsi="Palatino Linotype" w:eastAsia="Palatino Linotype" w:cs="Palatino Linotype"/>
          <w:sz w:val="24"/>
          <w:szCs w:val="24"/>
        </w:rPr>
      </w:pPr>
      <w:r w:rsidRPr="365BEDDC">
        <w:rPr>
          <w:rFonts w:ascii="Palatino Linotype" w:hAnsi="Palatino Linotype" w:eastAsia="Palatino Linotype" w:cs="Palatino Linotype"/>
          <w:sz w:val="24"/>
          <w:szCs w:val="24"/>
        </w:rPr>
        <w:t xml:space="preserve">SB 247 mandated </w:t>
      </w:r>
      <w:r w:rsidRPr="365BEDDC" w:rsidR="76DD2177">
        <w:rPr>
          <w:rFonts w:ascii="Palatino Linotype" w:hAnsi="Palatino Linotype" w:eastAsia="Palatino Linotype" w:cs="Palatino Linotype"/>
          <w:sz w:val="24"/>
          <w:szCs w:val="24"/>
        </w:rPr>
        <w:t xml:space="preserve">increased </w:t>
      </w:r>
      <w:r w:rsidRPr="365BEDDC">
        <w:rPr>
          <w:rFonts w:ascii="Palatino Linotype" w:hAnsi="Palatino Linotype" w:eastAsia="Palatino Linotype" w:cs="Palatino Linotype"/>
          <w:sz w:val="24"/>
          <w:szCs w:val="24"/>
        </w:rPr>
        <w:t xml:space="preserve">pay </w:t>
      </w:r>
      <w:r w:rsidRPr="365BEDDC" w:rsidR="0C3F63C1">
        <w:rPr>
          <w:rFonts w:ascii="Palatino Linotype" w:hAnsi="Palatino Linotype" w:eastAsia="Palatino Linotype" w:cs="Palatino Linotype"/>
          <w:sz w:val="24"/>
          <w:szCs w:val="24"/>
        </w:rPr>
        <w:t>requirement</w:t>
      </w:r>
      <w:r w:rsidRPr="365BEDDC">
        <w:rPr>
          <w:rFonts w:ascii="Palatino Linotype" w:hAnsi="Palatino Linotype" w:eastAsia="Palatino Linotype" w:cs="Palatino Linotype"/>
          <w:sz w:val="24"/>
          <w:szCs w:val="24"/>
        </w:rPr>
        <w:t>s for qualified tree trimmers</w:t>
      </w:r>
      <w:r w:rsidRPr="365BEDDC" w:rsidR="39B20C11">
        <w:rPr>
          <w:rFonts w:ascii="Palatino Linotype" w:hAnsi="Palatino Linotype" w:eastAsia="Palatino Linotype" w:cs="Palatino Linotype"/>
          <w:sz w:val="24"/>
          <w:szCs w:val="24"/>
        </w:rPr>
        <w:t xml:space="preserve">, </w:t>
      </w:r>
      <w:r w:rsidRPr="365BEDDC">
        <w:rPr>
          <w:rFonts w:ascii="Palatino Linotype" w:hAnsi="Palatino Linotype" w:eastAsia="Palatino Linotype" w:cs="Palatino Linotype"/>
          <w:sz w:val="24"/>
          <w:szCs w:val="24"/>
        </w:rPr>
        <w:t>result</w:t>
      </w:r>
      <w:r w:rsidRPr="365BEDDC" w:rsidR="6D84FE7D">
        <w:rPr>
          <w:rFonts w:ascii="Palatino Linotype" w:hAnsi="Palatino Linotype" w:eastAsia="Palatino Linotype" w:cs="Palatino Linotype"/>
          <w:sz w:val="24"/>
          <w:szCs w:val="24"/>
        </w:rPr>
        <w:t>ing</w:t>
      </w:r>
      <w:r w:rsidRPr="365BEDDC">
        <w:rPr>
          <w:rFonts w:ascii="Palatino Linotype" w:hAnsi="Palatino Linotype" w:eastAsia="Palatino Linotype" w:cs="Palatino Linotype"/>
          <w:sz w:val="24"/>
          <w:szCs w:val="24"/>
        </w:rPr>
        <w:t xml:space="preserve"> in increases to the cost to perform line clearance tree trimming </w:t>
      </w:r>
      <w:r w:rsidRPr="365BEDDC" w:rsidR="21A1A60A">
        <w:rPr>
          <w:rFonts w:ascii="Palatino Linotype" w:hAnsi="Palatino Linotype" w:eastAsia="Palatino Linotype" w:cs="Palatino Linotype"/>
          <w:sz w:val="24"/>
          <w:szCs w:val="24"/>
        </w:rPr>
        <w:t xml:space="preserve">work </w:t>
      </w:r>
      <w:r w:rsidRPr="365BEDDC" w:rsidR="626C259C">
        <w:rPr>
          <w:rFonts w:ascii="Palatino Linotype" w:hAnsi="Palatino Linotype" w:eastAsia="Palatino Linotype" w:cs="Palatino Linotype"/>
          <w:sz w:val="24"/>
          <w:szCs w:val="24"/>
        </w:rPr>
        <w:t>across SCE’s service area</w:t>
      </w:r>
      <w:r w:rsidRPr="365BEDDC" w:rsidR="06A2DD61">
        <w:rPr>
          <w:rFonts w:ascii="Palatino Linotype" w:hAnsi="Palatino Linotype" w:eastAsia="Palatino Linotype" w:cs="Palatino Linotype"/>
          <w:sz w:val="24"/>
          <w:szCs w:val="24"/>
        </w:rPr>
        <w:t xml:space="preserve"> in 2020</w:t>
      </w:r>
      <w:r w:rsidRPr="365BEDDC">
        <w:rPr>
          <w:rFonts w:ascii="Palatino Linotype" w:hAnsi="Palatino Linotype" w:eastAsia="Palatino Linotype" w:cs="Palatino Linotype"/>
          <w:sz w:val="24"/>
          <w:szCs w:val="24"/>
        </w:rPr>
        <w:t xml:space="preserve">.  </w:t>
      </w:r>
      <w:r w:rsidRPr="365BEDDC" w:rsidR="573268F6">
        <w:rPr>
          <w:rFonts w:ascii="Palatino Linotype" w:hAnsi="Palatino Linotype" w:eastAsia="Palatino Linotype" w:cs="Palatino Linotype"/>
          <w:sz w:val="24"/>
          <w:szCs w:val="24"/>
        </w:rPr>
        <w:t xml:space="preserve">Accordingly, </w:t>
      </w:r>
      <w:r w:rsidRPr="365BEDDC" w:rsidR="08723A81">
        <w:rPr>
          <w:rFonts w:ascii="Palatino Linotype" w:hAnsi="Palatino Linotype" w:eastAsia="Palatino Linotype" w:cs="Palatino Linotype"/>
          <w:sz w:val="24"/>
          <w:szCs w:val="24"/>
        </w:rPr>
        <w:t>SCE negotiated new contracts with its vendors to reflect these higher wage rates.</w:t>
      </w:r>
      <w:r w:rsidRPr="365BEDDC" w:rsidR="4E47BE97">
        <w:rPr>
          <w:rFonts w:ascii="Palatino Linotype" w:hAnsi="Palatino Linotype" w:eastAsia="Palatino Linotype" w:cs="Palatino Linotype"/>
          <w:sz w:val="24"/>
          <w:szCs w:val="24"/>
        </w:rPr>
        <w:t xml:space="preserve">  </w:t>
      </w:r>
      <w:r w:rsidRPr="365BEDDC" w:rsidR="4577DDB8">
        <w:rPr>
          <w:rFonts w:ascii="Palatino Linotype" w:hAnsi="Palatino Linotype" w:eastAsia="Palatino Linotype" w:cs="Palatino Linotype"/>
          <w:sz w:val="24"/>
          <w:szCs w:val="24"/>
        </w:rPr>
        <w:t xml:space="preserve">We agree this is a reasonably incurred cost under the circumstances.  </w:t>
      </w:r>
    </w:p>
    <w:p w:rsidR="365BEDDC" w:rsidP="365BEDDC" w:rsidRDefault="365BEDDC" w14:paraId="70C5DA86" w14:textId="77777777">
      <w:pPr>
        <w:spacing w:line="259" w:lineRule="auto"/>
        <w:rPr>
          <w:rFonts w:ascii="Palatino Linotype" w:hAnsi="Palatino Linotype" w:eastAsia="Palatino Linotype" w:cs="Palatino Linotype"/>
          <w:sz w:val="24"/>
          <w:szCs w:val="24"/>
        </w:rPr>
      </w:pPr>
    </w:p>
    <w:p w:rsidR="4AE0C494" w:rsidP="365BEDDC" w:rsidRDefault="4AE0C494" w14:paraId="715D38DE" w14:textId="77777777">
      <w:pPr>
        <w:spacing w:line="259" w:lineRule="auto"/>
        <w:rPr>
          <w:rFonts w:ascii="Palatino Linotype" w:hAnsi="Palatino Linotype" w:eastAsia="Palatino Linotype" w:cs="Palatino Linotype"/>
          <w:sz w:val="24"/>
          <w:szCs w:val="24"/>
        </w:rPr>
      </w:pPr>
      <w:r w:rsidRPr="365BEDDC">
        <w:rPr>
          <w:rFonts w:ascii="Palatino Linotype" w:hAnsi="Palatino Linotype" w:eastAsia="Palatino Linotype" w:cs="Palatino Linotype"/>
          <w:sz w:val="24"/>
          <w:szCs w:val="24"/>
        </w:rPr>
        <w:t xml:space="preserve">SCE also incurred </w:t>
      </w:r>
      <w:r w:rsidRPr="365BEDDC" w:rsidR="218F0432">
        <w:rPr>
          <w:rFonts w:ascii="Palatino Linotype" w:hAnsi="Palatino Linotype" w:eastAsia="Palatino Linotype" w:cs="Palatino Linotype"/>
          <w:sz w:val="24"/>
          <w:szCs w:val="24"/>
        </w:rPr>
        <w:t xml:space="preserve">$39.5 million in </w:t>
      </w:r>
      <w:r w:rsidRPr="365BEDDC" w:rsidR="73F2238B">
        <w:rPr>
          <w:rFonts w:ascii="Palatino Linotype" w:hAnsi="Palatino Linotype" w:eastAsia="Palatino Linotype" w:cs="Palatino Linotype"/>
          <w:sz w:val="24"/>
          <w:szCs w:val="24"/>
        </w:rPr>
        <w:t>incremental</w:t>
      </w:r>
      <w:r w:rsidRPr="365BEDDC">
        <w:rPr>
          <w:rFonts w:ascii="Palatino Linotype" w:hAnsi="Palatino Linotype" w:eastAsia="Palatino Linotype" w:cs="Palatino Linotype"/>
          <w:sz w:val="24"/>
          <w:szCs w:val="24"/>
        </w:rPr>
        <w:t xml:space="preserve"> </w:t>
      </w:r>
      <w:r w:rsidRPr="365BEDDC" w:rsidR="5956A058">
        <w:rPr>
          <w:rFonts w:ascii="Palatino Linotype" w:hAnsi="Palatino Linotype" w:eastAsia="Palatino Linotype" w:cs="Palatino Linotype"/>
          <w:sz w:val="24"/>
          <w:szCs w:val="24"/>
        </w:rPr>
        <w:t xml:space="preserve">non-SB 247 costs </w:t>
      </w:r>
      <w:r w:rsidRPr="365BEDDC">
        <w:rPr>
          <w:rFonts w:ascii="Palatino Linotype" w:hAnsi="Palatino Linotype" w:eastAsia="Palatino Linotype" w:cs="Palatino Linotype"/>
          <w:sz w:val="24"/>
          <w:szCs w:val="24"/>
        </w:rPr>
        <w:t xml:space="preserve">in its non-HFRA </w:t>
      </w:r>
      <w:r w:rsidRPr="365BEDDC" w:rsidR="3A69431B">
        <w:rPr>
          <w:rFonts w:ascii="Palatino Linotype" w:hAnsi="Palatino Linotype" w:eastAsia="Palatino Linotype" w:cs="Palatino Linotype"/>
          <w:sz w:val="24"/>
          <w:szCs w:val="24"/>
        </w:rPr>
        <w:t>attributable to expanded clearance practices</w:t>
      </w:r>
      <w:r w:rsidRPr="365BEDDC" w:rsidR="489957A1">
        <w:rPr>
          <w:rFonts w:ascii="Palatino Linotype" w:hAnsi="Palatino Linotype" w:eastAsia="Palatino Linotype" w:cs="Palatino Linotype"/>
          <w:sz w:val="24"/>
          <w:szCs w:val="24"/>
        </w:rPr>
        <w:t xml:space="preserve"> and other factors.  These costs are excluded from SCE’</w:t>
      </w:r>
      <w:r w:rsidRPr="365BEDDC" w:rsidR="3C48A564">
        <w:rPr>
          <w:rFonts w:ascii="Palatino Linotype" w:hAnsi="Palatino Linotype" w:eastAsia="Palatino Linotype" w:cs="Palatino Linotype"/>
          <w:sz w:val="24"/>
          <w:szCs w:val="24"/>
        </w:rPr>
        <w:t>s request in Advice Letter 4881-E.</w:t>
      </w:r>
      <w:r w:rsidRPr="365BEDDC" w:rsidR="489957A1">
        <w:rPr>
          <w:rFonts w:ascii="Palatino Linotype" w:hAnsi="Palatino Linotype" w:eastAsia="Palatino Linotype" w:cs="Palatino Linotype"/>
          <w:sz w:val="24"/>
          <w:szCs w:val="24"/>
        </w:rPr>
        <w:t xml:space="preserve"> </w:t>
      </w:r>
    </w:p>
    <w:p w:rsidR="65CDA542" w:rsidP="65CDA542" w:rsidRDefault="65CDA542" w14:paraId="205B95F6" w14:textId="77777777">
      <w:pPr>
        <w:rPr>
          <w:rFonts w:ascii="Palatino Linotype" w:hAnsi="Palatino Linotype" w:eastAsia="Palatino Linotype" w:cs="Palatino Linotype"/>
          <w:sz w:val="24"/>
          <w:szCs w:val="24"/>
        </w:rPr>
      </w:pPr>
    </w:p>
    <w:p w:rsidRPr="00D865A9" w:rsidR="00CF17DE" w:rsidP="635534BE" w:rsidRDefault="3D820662" w14:paraId="7494B4D6" w14:textId="77777777">
      <w:pPr>
        <w:rPr>
          <w:rFonts w:ascii="Palatino Linotype" w:hAnsi="Palatino Linotype" w:eastAsia="Palatino Linotype"/>
          <w:sz w:val="24"/>
          <w:szCs w:val="24"/>
        </w:rPr>
      </w:pPr>
      <w:r w:rsidRPr="635534BE">
        <w:rPr>
          <w:rFonts w:ascii="Palatino Linotype" w:hAnsi="Palatino Linotype" w:eastAsia="Palatino Linotype"/>
          <w:sz w:val="24"/>
          <w:szCs w:val="24"/>
        </w:rPr>
        <w:t xml:space="preserve">We approve Z-factor treatment for </w:t>
      </w:r>
      <w:r w:rsidRPr="635534BE" w:rsidR="572FF99E">
        <w:rPr>
          <w:rFonts w:ascii="Palatino Linotype" w:hAnsi="Palatino Linotype" w:eastAsia="Palatino Linotype"/>
          <w:sz w:val="24"/>
          <w:szCs w:val="24"/>
        </w:rPr>
        <w:t xml:space="preserve">labor </w:t>
      </w:r>
      <w:r w:rsidRPr="635534BE">
        <w:rPr>
          <w:rFonts w:ascii="Palatino Linotype" w:hAnsi="Palatino Linotype" w:eastAsia="Palatino Linotype"/>
          <w:sz w:val="24"/>
          <w:szCs w:val="24"/>
        </w:rPr>
        <w:t xml:space="preserve">costs incurred </w:t>
      </w:r>
      <w:r w:rsidRPr="635534BE" w:rsidR="655AB862">
        <w:rPr>
          <w:rFonts w:ascii="Palatino Linotype" w:hAnsi="Palatino Linotype" w:eastAsia="Palatino Linotype"/>
          <w:sz w:val="24"/>
          <w:szCs w:val="24"/>
        </w:rPr>
        <w:t>for</w:t>
      </w:r>
      <w:r w:rsidRPr="635534BE" w:rsidR="29BF7EE8">
        <w:rPr>
          <w:rFonts w:ascii="Palatino Linotype" w:hAnsi="Palatino Linotype" w:eastAsia="Palatino Linotype"/>
          <w:sz w:val="24"/>
          <w:szCs w:val="24"/>
        </w:rPr>
        <w:t xml:space="preserve"> </w:t>
      </w:r>
      <w:r w:rsidRPr="635534BE" w:rsidR="655AB862">
        <w:rPr>
          <w:rFonts w:ascii="Palatino Linotype" w:hAnsi="Palatino Linotype" w:eastAsia="Palatino Linotype"/>
          <w:sz w:val="24"/>
          <w:szCs w:val="24"/>
        </w:rPr>
        <w:t xml:space="preserve">incremental </w:t>
      </w:r>
      <w:r w:rsidRPr="635534BE" w:rsidR="135C379E">
        <w:rPr>
          <w:rFonts w:ascii="Palatino Linotype" w:hAnsi="Palatino Linotype" w:eastAsia="Palatino Linotype"/>
          <w:sz w:val="24"/>
          <w:szCs w:val="24"/>
        </w:rPr>
        <w:t xml:space="preserve">SB-247 </w:t>
      </w:r>
      <w:r w:rsidRPr="635534BE" w:rsidR="32F0CB5E">
        <w:rPr>
          <w:rFonts w:ascii="Palatino Linotype" w:hAnsi="Palatino Linotype" w:eastAsia="Palatino Linotype"/>
          <w:sz w:val="24"/>
          <w:szCs w:val="24"/>
        </w:rPr>
        <w:t>vegetation</w:t>
      </w:r>
      <w:r w:rsidRPr="635534BE" w:rsidR="655AB862">
        <w:rPr>
          <w:rFonts w:ascii="Palatino Linotype" w:hAnsi="Palatino Linotype" w:eastAsia="Palatino Linotype"/>
          <w:sz w:val="24"/>
          <w:szCs w:val="24"/>
        </w:rPr>
        <w:t xml:space="preserve"> management activities</w:t>
      </w:r>
      <w:r w:rsidRPr="635534BE">
        <w:rPr>
          <w:rFonts w:ascii="Palatino Linotype" w:hAnsi="Palatino Linotype" w:eastAsia="Palatino Linotype"/>
          <w:sz w:val="24"/>
          <w:szCs w:val="24"/>
        </w:rPr>
        <w:t xml:space="preserve"> in the amount of $</w:t>
      </w:r>
      <w:r w:rsidRPr="635534BE" w:rsidR="3E6A3892">
        <w:rPr>
          <w:rFonts w:ascii="Palatino Linotype" w:hAnsi="Palatino Linotype" w:eastAsia="Palatino Linotype"/>
          <w:sz w:val="24"/>
          <w:szCs w:val="24"/>
        </w:rPr>
        <w:t>3</w:t>
      </w:r>
      <w:r w:rsidRPr="635534BE" w:rsidR="5971791A">
        <w:rPr>
          <w:rFonts w:ascii="Palatino Linotype" w:hAnsi="Palatino Linotype" w:eastAsia="Palatino Linotype"/>
          <w:sz w:val="24"/>
          <w:szCs w:val="24"/>
        </w:rPr>
        <w:t>5</w:t>
      </w:r>
      <w:r w:rsidRPr="635534BE" w:rsidR="3E6A3892">
        <w:rPr>
          <w:rFonts w:ascii="Palatino Linotype" w:hAnsi="Palatino Linotype" w:eastAsia="Palatino Linotype"/>
          <w:sz w:val="24"/>
          <w:szCs w:val="24"/>
        </w:rPr>
        <w:t>.</w:t>
      </w:r>
      <w:r w:rsidRPr="635534BE" w:rsidR="5971791A">
        <w:rPr>
          <w:rFonts w:ascii="Palatino Linotype" w:hAnsi="Palatino Linotype" w:eastAsia="Palatino Linotype"/>
          <w:sz w:val="24"/>
          <w:szCs w:val="24"/>
        </w:rPr>
        <w:t>4</w:t>
      </w:r>
      <w:r w:rsidRPr="635534BE">
        <w:rPr>
          <w:rFonts w:ascii="Palatino Linotype" w:hAnsi="Palatino Linotype" w:eastAsia="Palatino Linotype"/>
          <w:sz w:val="24"/>
          <w:szCs w:val="24"/>
        </w:rPr>
        <w:t xml:space="preserve"> million. </w:t>
      </w:r>
      <w:r w:rsidRPr="635534BE" w:rsidR="2B3AA577">
        <w:rPr>
          <w:rFonts w:ascii="Palatino Linotype" w:hAnsi="Palatino Linotype" w:eastAsia="Palatino Linotype"/>
          <w:sz w:val="24"/>
          <w:szCs w:val="24"/>
        </w:rPr>
        <w:t xml:space="preserve"> </w:t>
      </w:r>
    </w:p>
    <w:p w:rsidR="12228140" w:rsidP="12228140" w:rsidRDefault="12228140" w14:paraId="07EA77F9" w14:textId="77777777">
      <w:pPr>
        <w:rPr>
          <w:rFonts w:ascii="Palatino Linotype" w:hAnsi="Palatino Linotype" w:eastAsia="Palatino Linotype" w:cs="Palatino Linotype"/>
          <w:sz w:val="24"/>
          <w:szCs w:val="24"/>
        </w:rPr>
      </w:pPr>
    </w:p>
    <w:p w:rsidRPr="00D865A9" w:rsidR="0024459D" w:rsidP="12228140" w:rsidRDefault="4284FEAB" w14:paraId="4909333E" w14:textId="77777777">
      <w:pPr>
        <w:pStyle w:val="Heading1"/>
        <w:rPr>
          <w:rFonts w:ascii="Palatino Linotype" w:hAnsi="Palatino Linotype" w:eastAsia="Palatino Linotype"/>
          <w:sz w:val="24"/>
          <w:szCs w:val="24"/>
        </w:rPr>
      </w:pPr>
      <w:r w:rsidRPr="12228140">
        <w:rPr>
          <w:rFonts w:ascii="Palatino Linotype" w:hAnsi="Palatino Linotype" w:eastAsia="Palatino Linotype"/>
          <w:sz w:val="24"/>
          <w:szCs w:val="24"/>
        </w:rPr>
        <w:t>Comments</w:t>
      </w:r>
    </w:p>
    <w:p w:rsidRPr="00D865A9" w:rsidR="00090457" w:rsidP="4BA7214B" w:rsidRDefault="108E8ECF" w14:paraId="00FFBCAD" w14:textId="77777777">
      <w:pPr>
        <w:rPr>
          <w:rFonts w:ascii="Palatino Linotype" w:hAnsi="Palatino Linotype" w:eastAsia="Palatino Linotype"/>
          <w:sz w:val="24"/>
          <w:szCs w:val="24"/>
        </w:rPr>
      </w:pPr>
      <w:r w:rsidRPr="12228140">
        <w:rPr>
          <w:rFonts w:ascii="Palatino Linotype" w:hAnsi="Palatino Linotype" w:eastAsia="Palatino Linotype"/>
          <w:sz w:val="24"/>
          <w:szCs w:val="24"/>
        </w:rPr>
        <w:t xml:space="preserve">Public Utilities Code section 311(g)(1) provides that this Resolution must be served on all parties and subject to at least 30 days public review.  Any comments are due within 20 days of the date of its mailing and publication on the Commission’s website and in accordance with any instructions accompanying the notice. Section 311(g)(2) provides </w:t>
      </w:r>
      <w:r w:rsidRPr="12228140">
        <w:rPr>
          <w:rFonts w:ascii="Palatino Linotype" w:hAnsi="Palatino Linotype" w:eastAsia="Palatino Linotype"/>
          <w:sz w:val="24"/>
          <w:szCs w:val="24"/>
        </w:rPr>
        <w:lastRenderedPageBreak/>
        <w:t xml:space="preserve">that this 30-day review period and 20-day comment period may be reduced or waived upon the stipulation of all parties in the proceeding. </w:t>
      </w:r>
    </w:p>
    <w:p w:rsidRPr="00D865A9" w:rsidR="0024459D" w:rsidP="4BA7214B" w:rsidRDefault="0024459D" w14:paraId="6DF5E295" w14:textId="77777777">
      <w:pPr>
        <w:rPr>
          <w:rFonts w:ascii="Palatino Linotype" w:hAnsi="Palatino Linotype" w:eastAsia="Palatino Linotype"/>
          <w:sz w:val="24"/>
          <w:szCs w:val="24"/>
        </w:rPr>
      </w:pPr>
    </w:p>
    <w:p w:rsidR="0024459D" w:rsidP="4BA7214B" w:rsidRDefault="5624215F" w14:paraId="0D024EA4" w14:textId="77777777">
      <w:pPr>
        <w:rPr>
          <w:rFonts w:ascii="Palatino Linotype" w:hAnsi="Palatino Linotype" w:eastAsia="Palatino Linotype"/>
          <w:sz w:val="24"/>
          <w:szCs w:val="24"/>
        </w:rPr>
      </w:pPr>
      <w:r w:rsidRPr="12228140">
        <w:rPr>
          <w:rFonts w:ascii="Palatino Linotype" w:hAnsi="Palatino Linotype" w:eastAsia="Palatino Linotype"/>
          <w:sz w:val="24"/>
          <w:szCs w:val="24"/>
        </w:rPr>
        <w:t>The 30-day review and 20-day comment period for the draft of this resolution was neither waived nor reduced.  Accordingly, this draft resolution was mailed to parties for comment</w:t>
      </w:r>
      <w:r w:rsidR="00E72FC8">
        <w:rPr>
          <w:rFonts w:ascii="Palatino Linotype" w:hAnsi="Palatino Linotype" w:eastAsia="Palatino Linotype"/>
          <w:sz w:val="24"/>
          <w:szCs w:val="24"/>
        </w:rPr>
        <w:t xml:space="preserve"> on August 16, 2023</w:t>
      </w:r>
      <w:r w:rsidRPr="12228140">
        <w:rPr>
          <w:rFonts w:ascii="Palatino Linotype" w:hAnsi="Palatino Linotype" w:eastAsia="Palatino Linotype"/>
          <w:sz w:val="24"/>
          <w:szCs w:val="24"/>
        </w:rPr>
        <w:t>.</w:t>
      </w:r>
    </w:p>
    <w:p w:rsidR="00E72FC8" w:rsidP="4BA7214B" w:rsidRDefault="00E72FC8" w14:paraId="2C8FA6CC" w14:textId="77777777">
      <w:pPr>
        <w:rPr>
          <w:rFonts w:ascii="Palatino Linotype" w:hAnsi="Palatino Linotype" w:eastAsia="Palatino Linotype"/>
          <w:sz w:val="24"/>
          <w:szCs w:val="24"/>
        </w:rPr>
      </w:pPr>
    </w:p>
    <w:p w:rsidR="0024459D" w:rsidP="4BA7214B" w:rsidRDefault="00E72FC8" w14:paraId="1DFEA2F3" w14:textId="77777777">
      <w:pPr>
        <w:rPr>
          <w:rFonts w:ascii="Palatino Linotype" w:hAnsi="Palatino Linotype" w:eastAsia="Palatino Linotype"/>
          <w:sz w:val="24"/>
          <w:szCs w:val="24"/>
        </w:rPr>
      </w:pPr>
      <w:r w:rsidRPr="00E72FC8">
        <w:rPr>
          <w:rFonts w:ascii="Palatino Linotype" w:hAnsi="Palatino Linotype" w:eastAsia="Palatino Linotype"/>
          <w:sz w:val="24"/>
          <w:szCs w:val="24"/>
        </w:rPr>
        <w:t>One comment was timely received</w:t>
      </w:r>
      <w:r>
        <w:rPr>
          <w:rFonts w:ascii="Palatino Linotype" w:hAnsi="Palatino Linotype" w:eastAsia="Palatino Linotype"/>
          <w:sz w:val="24"/>
          <w:szCs w:val="24"/>
        </w:rPr>
        <w:t xml:space="preserve">: </w:t>
      </w:r>
      <w:r w:rsidRPr="00E72FC8">
        <w:rPr>
          <w:rFonts w:ascii="Palatino Linotype" w:hAnsi="Palatino Linotype" w:eastAsia="Palatino Linotype"/>
          <w:sz w:val="24"/>
          <w:szCs w:val="24"/>
        </w:rPr>
        <w:t xml:space="preserve">the Coalition of Utility Employees on </w:t>
      </w:r>
      <w:r w:rsidR="00F05BF6">
        <w:rPr>
          <w:rFonts w:ascii="Palatino Linotype" w:hAnsi="Palatino Linotype" w:eastAsia="Palatino Linotype"/>
          <w:sz w:val="24"/>
          <w:szCs w:val="24"/>
        </w:rPr>
        <w:br/>
      </w:r>
      <w:r w:rsidRPr="00E72FC8">
        <w:rPr>
          <w:rFonts w:ascii="Palatino Linotype" w:hAnsi="Palatino Linotype" w:eastAsia="Palatino Linotype"/>
          <w:sz w:val="24"/>
          <w:szCs w:val="24"/>
        </w:rPr>
        <w:t>September 5, 2023,</w:t>
      </w:r>
      <w:r>
        <w:rPr>
          <w:rFonts w:ascii="Palatino Linotype" w:hAnsi="Palatino Linotype" w:eastAsia="Palatino Linotype"/>
          <w:sz w:val="24"/>
          <w:szCs w:val="24"/>
        </w:rPr>
        <w:t xml:space="preserve"> wrote</w:t>
      </w:r>
      <w:r w:rsidRPr="00E72FC8">
        <w:rPr>
          <w:rFonts w:ascii="Palatino Linotype" w:hAnsi="Palatino Linotype" w:eastAsia="Palatino Linotype"/>
          <w:sz w:val="24"/>
          <w:szCs w:val="24"/>
        </w:rPr>
        <w:t xml:space="preserve"> in support of the draft resolution as written.</w:t>
      </w:r>
    </w:p>
    <w:p w:rsidRPr="00D865A9" w:rsidR="00E72FC8" w:rsidP="4BA7214B" w:rsidRDefault="00E72FC8" w14:paraId="4CBDF8A7" w14:textId="77777777">
      <w:pPr>
        <w:rPr>
          <w:rFonts w:ascii="Palatino Linotype" w:hAnsi="Palatino Linotype" w:eastAsia="Palatino Linotype"/>
          <w:sz w:val="24"/>
          <w:szCs w:val="24"/>
        </w:rPr>
      </w:pPr>
    </w:p>
    <w:p w:rsidRPr="00D865A9" w:rsidR="00CF17DE" w:rsidP="4BA7214B" w:rsidRDefault="4284FEAB" w14:paraId="2EF8F73C" w14:textId="77777777">
      <w:pPr>
        <w:pStyle w:val="Heading1"/>
        <w:rPr>
          <w:rFonts w:ascii="Palatino Linotype" w:hAnsi="Palatino Linotype" w:eastAsia="Palatino Linotype"/>
          <w:sz w:val="24"/>
          <w:szCs w:val="24"/>
        </w:rPr>
      </w:pPr>
      <w:bookmarkStart w:name="_Hlk943272" w:id="1"/>
      <w:bookmarkEnd w:id="1"/>
      <w:r w:rsidRPr="12228140">
        <w:rPr>
          <w:rFonts w:ascii="Palatino Linotype" w:hAnsi="Palatino Linotype" w:eastAsia="Palatino Linotype"/>
          <w:sz w:val="24"/>
          <w:szCs w:val="24"/>
        </w:rPr>
        <w:t>Findings</w:t>
      </w:r>
    </w:p>
    <w:p w:rsidR="04C7984D" w:rsidP="00646405" w:rsidRDefault="04C7984D" w14:paraId="20318719" w14:textId="77777777">
      <w:pPr>
        <w:numPr>
          <w:ilvl w:val="0"/>
          <w:numId w:val="2"/>
        </w:numPr>
        <w:spacing w:line="259" w:lineRule="auto"/>
        <w:ind w:left="420" w:hanging="420"/>
        <w:rPr>
          <w:rFonts w:ascii="Palatino Linotype" w:hAnsi="Palatino Linotype" w:eastAsia="Palatino Linotype"/>
          <w:sz w:val="24"/>
          <w:szCs w:val="24"/>
        </w:rPr>
      </w:pPr>
      <w:r w:rsidRPr="5FDFFF45">
        <w:rPr>
          <w:rFonts w:ascii="Palatino Linotype" w:hAnsi="Palatino Linotype" w:eastAsia="Palatino Linotype"/>
          <w:sz w:val="24"/>
          <w:szCs w:val="24"/>
        </w:rPr>
        <w:t>SCE’s Z-factor mechanism was most recently authorized by the Commission as part of a SCE’s last general rate case</w:t>
      </w:r>
      <w:r w:rsidRPr="5FDFFF45" w:rsidR="529058A8">
        <w:rPr>
          <w:rFonts w:ascii="Palatino Linotype" w:hAnsi="Palatino Linotype" w:eastAsia="Palatino Linotype"/>
          <w:sz w:val="24"/>
          <w:szCs w:val="24"/>
        </w:rPr>
        <w:t xml:space="preserve"> in D.21-08-</w:t>
      </w:r>
      <w:r w:rsidRPr="5FDFFF45" w:rsidR="610F6A83">
        <w:rPr>
          <w:rFonts w:ascii="Palatino Linotype" w:hAnsi="Palatino Linotype" w:eastAsia="Palatino Linotype"/>
          <w:sz w:val="24"/>
          <w:szCs w:val="24"/>
        </w:rPr>
        <w:t>0</w:t>
      </w:r>
      <w:r w:rsidRPr="5FDFFF45" w:rsidR="529058A8">
        <w:rPr>
          <w:rFonts w:ascii="Palatino Linotype" w:hAnsi="Palatino Linotype" w:eastAsia="Palatino Linotype"/>
          <w:sz w:val="24"/>
          <w:szCs w:val="24"/>
        </w:rPr>
        <w:t>36.</w:t>
      </w:r>
    </w:p>
    <w:p w:rsidR="04C7984D" w:rsidP="00646405" w:rsidRDefault="04C7984D" w14:paraId="27189CCE" w14:textId="77777777">
      <w:pPr>
        <w:numPr>
          <w:ilvl w:val="0"/>
          <w:numId w:val="2"/>
        </w:numPr>
        <w:spacing w:line="259" w:lineRule="auto"/>
        <w:ind w:left="420" w:hanging="420"/>
        <w:rPr>
          <w:rFonts w:ascii="Palatino Linotype" w:hAnsi="Palatino Linotype" w:eastAsia="Palatino Linotype"/>
          <w:sz w:val="24"/>
          <w:szCs w:val="24"/>
        </w:rPr>
      </w:pPr>
      <w:r w:rsidRPr="12228140">
        <w:rPr>
          <w:rFonts w:ascii="Palatino Linotype" w:hAnsi="Palatino Linotype" w:eastAsia="Palatino Linotype"/>
          <w:sz w:val="24"/>
          <w:szCs w:val="24"/>
        </w:rPr>
        <w:t xml:space="preserve">The Commission has previously adopted the following criteria for Z-factor recovery for SCE: </w:t>
      </w:r>
    </w:p>
    <w:p w:rsidR="04C7984D" w:rsidP="00646405" w:rsidRDefault="04C7984D" w14:paraId="764452B0" w14:textId="77777777">
      <w:pPr>
        <w:pStyle w:val="ListParagraph"/>
        <w:numPr>
          <w:ilvl w:val="1"/>
          <w:numId w:val="2"/>
        </w:numPr>
        <w:spacing w:line="259" w:lineRule="auto"/>
        <w:rPr>
          <w:rFonts w:ascii="Palatino Linotype" w:hAnsi="Palatino Linotype" w:eastAsia="Palatino Linotype"/>
          <w:sz w:val="24"/>
          <w:szCs w:val="24"/>
        </w:rPr>
      </w:pPr>
      <w:r w:rsidRPr="12228140">
        <w:rPr>
          <w:rFonts w:ascii="Palatino Linotype" w:hAnsi="Palatino Linotype" w:eastAsia="Palatino Linotype"/>
          <w:sz w:val="24"/>
          <w:szCs w:val="24"/>
        </w:rPr>
        <w:t>The event must be exogenous to the utility;</w:t>
      </w:r>
    </w:p>
    <w:p w:rsidR="04C7984D" w:rsidP="00646405" w:rsidRDefault="04C7984D" w14:paraId="3625318F" w14:textId="77777777">
      <w:pPr>
        <w:pStyle w:val="ListParagraph"/>
        <w:numPr>
          <w:ilvl w:val="1"/>
          <w:numId w:val="2"/>
        </w:numPr>
        <w:spacing w:line="259" w:lineRule="auto"/>
        <w:rPr>
          <w:rFonts w:ascii="Palatino Linotype" w:hAnsi="Palatino Linotype" w:eastAsia="Palatino Linotype"/>
          <w:sz w:val="24"/>
          <w:szCs w:val="24"/>
        </w:rPr>
      </w:pPr>
      <w:r w:rsidRPr="12228140">
        <w:rPr>
          <w:rFonts w:ascii="Palatino Linotype" w:hAnsi="Palatino Linotype" w:eastAsia="Palatino Linotype"/>
          <w:sz w:val="24"/>
          <w:szCs w:val="24"/>
        </w:rPr>
        <w:t>The event occurred after late 1989;</w:t>
      </w:r>
    </w:p>
    <w:p w:rsidR="04C7984D" w:rsidP="00646405" w:rsidRDefault="04C7984D" w14:paraId="4BEB0C19" w14:textId="77777777">
      <w:pPr>
        <w:pStyle w:val="ListParagraph"/>
        <w:numPr>
          <w:ilvl w:val="1"/>
          <w:numId w:val="2"/>
        </w:numPr>
        <w:spacing w:line="259" w:lineRule="auto"/>
        <w:rPr>
          <w:rFonts w:ascii="Palatino Linotype" w:hAnsi="Palatino Linotype" w:eastAsia="Palatino Linotype"/>
          <w:sz w:val="24"/>
          <w:szCs w:val="24"/>
        </w:rPr>
      </w:pPr>
      <w:r w:rsidRPr="12228140">
        <w:rPr>
          <w:rFonts w:ascii="Palatino Linotype" w:hAnsi="Palatino Linotype" w:eastAsia="Palatino Linotype"/>
          <w:sz w:val="24"/>
          <w:szCs w:val="24"/>
        </w:rPr>
        <w:t>The costs are beyond the control of the utility management;</w:t>
      </w:r>
    </w:p>
    <w:p w:rsidR="04C7984D" w:rsidP="00646405" w:rsidRDefault="04C7984D" w14:paraId="133BEA0F" w14:textId="77777777">
      <w:pPr>
        <w:pStyle w:val="ListParagraph"/>
        <w:numPr>
          <w:ilvl w:val="1"/>
          <w:numId w:val="2"/>
        </w:numPr>
        <w:spacing w:line="259" w:lineRule="auto"/>
        <w:rPr>
          <w:rFonts w:ascii="Palatino Linotype" w:hAnsi="Palatino Linotype" w:eastAsia="Palatino Linotype"/>
          <w:sz w:val="24"/>
          <w:szCs w:val="24"/>
        </w:rPr>
      </w:pPr>
      <w:r w:rsidRPr="12228140">
        <w:rPr>
          <w:rFonts w:ascii="Palatino Linotype" w:hAnsi="Palatino Linotype" w:eastAsia="Palatino Linotype"/>
          <w:sz w:val="24"/>
          <w:szCs w:val="24"/>
        </w:rPr>
        <w:t>The costs are not a normal part of doing business;</w:t>
      </w:r>
    </w:p>
    <w:p w:rsidR="04C7984D" w:rsidP="00646405" w:rsidRDefault="04C7984D" w14:paraId="7C8F0628" w14:textId="77777777">
      <w:pPr>
        <w:pStyle w:val="ListParagraph"/>
        <w:numPr>
          <w:ilvl w:val="1"/>
          <w:numId w:val="2"/>
        </w:numPr>
        <w:spacing w:line="259" w:lineRule="auto"/>
        <w:rPr>
          <w:rFonts w:ascii="Palatino Linotype" w:hAnsi="Palatino Linotype" w:eastAsia="Palatino Linotype"/>
          <w:sz w:val="24"/>
          <w:szCs w:val="24"/>
        </w:rPr>
      </w:pPr>
      <w:r w:rsidRPr="12228140">
        <w:rPr>
          <w:rFonts w:ascii="Palatino Linotype" w:hAnsi="Palatino Linotype" w:eastAsia="Palatino Linotype"/>
          <w:sz w:val="24"/>
          <w:szCs w:val="24"/>
        </w:rPr>
        <w:t>The costs must have a disproportionate impact on the utility;</w:t>
      </w:r>
    </w:p>
    <w:p w:rsidR="04C7984D" w:rsidP="00646405" w:rsidRDefault="04C7984D" w14:paraId="15EC1C07" w14:textId="77777777">
      <w:pPr>
        <w:pStyle w:val="ListParagraph"/>
        <w:numPr>
          <w:ilvl w:val="1"/>
          <w:numId w:val="2"/>
        </w:numPr>
        <w:spacing w:line="259" w:lineRule="auto"/>
        <w:rPr>
          <w:rFonts w:ascii="Palatino Linotype" w:hAnsi="Palatino Linotype" w:eastAsia="Palatino Linotype"/>
          <w:sz w:val="24"/>
          <w:szCs w:val="24"/>
        </w:rPr>
      </w:pPr>
      <w:r w:rsidRPr="12228140">
        <w:rPr>
          <w:rFonts w:ascii="Palatino Linotype" w:hAnsi="Palatino Linotype" w:eastAsia="Palatino Linotype"/>
          <w:sz w:val="24"/>
          <w:szCs w:val="24"/>
        </w:rPr>
        <w:t>The costs must not be reflected in the escalation factors used in the GRC;</w:t>
      </w:r>
    </w:p>
    <w:p w:rsidR="04C7984D" w:rsidP="00646405" w:rsidRDefault="04C7984D" w14:paraId="1DFBF6D0" w14:textId="77777777">
      <w:pPr>
        <w:pStyle w:val="ListParagraph"/>
        <w:numPr>
          <w:ilvl w:val="1"/>
          <w:numId w:val="2"/>
        </w:numPr>
        <w:spacing w:line="259" w:lineRule="auto"/>
        <w:rPr>
          <w:rFonts w:ascii="Palatino Linotype" w:hAnsi="Palatino Linotype" w:eastAsia="Palatino Linotype"/>
          <w:sz w:val="24"/>
          <w:szCs w:val="24"/>
        </w:rPr>
      </w:pPr>
      <w:r w:rsidRPr="12228140">
        <w:rPr>
          <w:rFonts w:ascii="Palatino Linotype" w:hAnsi="Palatino Linotype" w:eastAsia="Palatino Linotype"/>
          <w:sz w:val="24"/>
          <w:szCs w:val="24"/>
        </w:rPr>
        <w:t>The costs must have a major impact on overall costs;</w:t>
      </w:r>
    </w:p>
    <w:p w:rsidR="04C7984D" w:rsidP="00646405" w:rsidRDefault="04C7984D" w14:paraId="66383ADD" w14:textId="77777777">
      <w:pPr>
        <w:pStyle w:val="ListParagraph"/>
        <w:numPr>
          <w:ilvl w:val="1"/>
          <w:numId w:val="2"/>
        </w:numPr>
        <w:spacing w:line="259" w:lineRule="auto"/>
        <w:rPr>
          <w:rFonts w:ascii="Palatino Linotype" w:hAnsi="Palatino Linotype" w:eastAsia="Palatino Linotype"/>
          <w:sz w:val="24"/>
          <w:szCs w:val="24"/>
        </w:rPr>
      </w:pPr>
      <w:r w:rsidRPr="12228140">
        <w:rPr>
          <w:rFonts w:ascii="Palatino Linotype" w:hAnsi="Palatino Linotype" w:eastAsia="Palatino Linotype"/>
          <w:sz w:val="24"/>
          <w:szCs w:val="24"/>
        </w:rPr>
        <w:t>The cost impact must be measurable; and</w:t>
      </w:r>
    </w:p>
    <w:p w:rsidR="04C7984D" w:rsidP="00646405" w:rsidRDefault="04C7984D" w14:paraId="16371E0F" w14:textId="77777777">
      <w:pPr>
        <w:pStyle w:val="ListParagraph"/>
        <w:numPr>
          <w:ilvl w:val="1"/>
          <w:numId w:val="2"/>
        </w:numPr>
        <w:spacing w:line="259" w:lineRule="auto"/>
        <w:rPr>
          <w:rFonts w:ascii="Palatino Linotype" w:hAnsi="Palatino Linotype" w:eastAsia="Palatino Linotype"/>
          <w:sz w:val="24"/>
          <w:szCs w:val="24"/>
        </w:rPr>
      </w:pPr>
      <w:r w:rsidRPr="12228140">
        <w:rPr>
          <w:rFonts w:ascii="Palatino Linotype" w:hAnsi="Palatino Linotype" w:eastAsia="Palatino Linotype"/>
          <w:sz w:val="24"/>
          <w:szCs w:val="24"/>
        </w:rPr>
        <w:t>The utility must incur the cost reasonably.</w:t>
      </w:r>
    </w:p>
    <w:p w:rsidR="04C7984D" w:rsidP="00646405" w:rsidRDefault="04C7984D" w14:paraId="5B88DCE5" w14:textId="77777777">
      <w:pPr>
        <w:numPr>
          <w:ilvl w:val="0"/>
          <w:numId w:val="2"/>
        </w:numPr>
        <w:spacing w:line="259" w:lineRule="auto"/>
        <w:ind w:left="420" w:hanging="420"/>
        <w:rPr>
          <w:rFonts w:ascii="Palatino Linotype" w:hAnsi="Palatino Linotype" w:eastAsia="Palatino Linotype"/>
          <w:sz w:val="24"/>
          <w:szCs w:val="24"/>
        </w:rPr>
      </w:pPr>
      <w:r w:rsidRPr="12228140">
        <w:rPr>
          <w:rFonts w:ascii="Palatino Linotype" w:hAnsi="Palatino Linotype" w:eastAsia="Palatino Linotype"/>
          <w:sz w:val="24"/>
          <w:szCs w:val="24"/>
        </w:rPr>
        <w:t xml:space="preserve">In response to </w:t>
      </w:r>
      <w:r w:rsidRPr="12228140" w:rsidR="287C47C0">
        <w:rPr>
          <w:rFonts w:ascii="Palatino Linotype" w:hAnsi="Palatino Linotype" w:eastAsia="Palatino Linotype"/>
          <w:sz w:val="24"/>
          <w:szCs w:val="24"/>
        </w:rPr>
        <w:t>SB 247, SCE incurred higher 2020 costs for vegetation management</w:t>
      </w:r>
      <w:r w:rsidRPr="12228140" w:rsidR="76195478">
        <w:rPr>
          <w:rFonts w:ascii="Palatino Linotype" w:hAnsi="Palatino Linotype" w:eastAsia="Palatino Linotype"/>
          <w:sz w:val="24"/>
          <w:szCs w:val="24"/>
        </w:rPr>
        <w:t xml:space="preserve"> activities</w:t>
      </w:r>
      <w:r w:rsidRPr="12228140" w:rsidR="287C47C0">
        <w:rPr>
          <w:rFonts w:ascii="Palatino Linotype" w:hAnsi="Palatino Linotype" w:eastAsia="Palatino Linotype"/>
          <w:sz w:val="24"/>
          <w:szCs w:val="24"/>
        </w:rPr>
        <w:t xml:space="preserve"> than forecast in its TY 2018 GRC.</w:t>
      </w:r>
    </w:p>
    <w:p w:rsidR="04C7984D" w:rsidP="00646405" w:rsidRDefault="04C7984D" w14:paraId="2C8F26EB" w14:textId="77777777">
      <w:pPr>
        <w:numPr>
          <w:ilvl w:val="0"/>
          <w:numId w:val="2"/>
        </w:numPr>
        <w:spacing w:line="259" w:lineRule="auto"/>
        <w:ind w:left="420" w:hanging="420"/>
        <w:rPr>
          <w:rFonts w:ascii="Palatino Linotype" w:hAnsi="Palatino Linotype" w:eastAsia="Palatino Linotype"/>
          <w:sz w:val="24"/>
          <w:szCs w:val="24"/>
        </w:rPr>
      </w:pPr>
      <w:r w:rsidRPr="365BEDDC">
        <w:rPr>
          <w:rFonts w:ascii="Palatino Linotype" w:hAnsi="Palatino Linotype" w:eastAsia="Palatino Linotype"/>
          <w:sz w:val="24"/>
          <w:szCs w:val="24"/>
        </w:rPr>
        <w:t xml:space="preserve">The </w:t>
      </w:r>
      <w:r w:rsidRPr="365BEDDC" w:rsidR="556BC711">
        <w:rPr>
          <w:rFonts w:ascii="Palatino Linotype" w:hAnsi="Palatino Linotype" w:eastAsia="Palatino Linotype"/>
          <w:sz w:val="24"/>
          <w:szCs w:val="24"/>
        </w:rPr>
        <w:t xml:space="preserve">Legislature’s passage of SB 247 </w:t>
      </w:r>
      <w:r w:rsidRPr="365BEDDC">
        <w:rPr>
          <w:rFonts w:ascii="Palatino Linotype" w:hAnsi="Palatino Linotype" w:eastAsia="Palatino Linotype"/>
          <w:sz w:val="24"/>
          <w:szCs w:val="24"/>
        </w:rPr>
        <w:t>is exogenous to SCE and beyond the control of SCE.</w:t>
      </w:r>
    </w:p>
    <w:p w:rsidR="04C7984D" w:rsidP="00646405" w:rsidRDefault="557EB216" w14:paraId="0AD4C42A" w14:textId="77777777">
      <w:pPr>
        <w:numPr>
          <w:ilvl w:val="0"/>
          <w:numId w:val="2"/>
        </w:numPr>
        <w:spacing w:line="259" w:lineRule="auto"/>
        <w:ind w:left="420" w:hanging="420"/>
        <w:rPr>
          <w:rFonts w:ascii="Palatino Linotype" w:hAnsi="Palatino Linotype" w:eastAsia="Palatino Linotype"/>
          <w:sz w:val="24"/>
          <w:szCs w:val="24"/>
        </w:rPr>
      </w:pPr>
      <w:r w:rsidRPr="365BEDDC">
        <w:rPr>
          <w:rFonts w:ascii="Palatino Linotype" w:hAnsi="Palatino Linotype" w:eastAsia="Palatino Linotype"/>
          <w:sz w:val="24"/>
          <w:szCs w:val="24"/>
        </w:rPr>
        <w:t>The passage of SB 247</w:t>
      </w:r>
      <w:r w:rsidRPr="365BEDDC" w:rsidR="04C7984D">
        <w:rPr>
          <w:rFonts w:ascii="Palatino Linotype" w:hAnsi="Palatino Linotype" w:eastAsia="Palatino Linotype"/>
          <w:sz w:val="24"/>
          <w:szCs w:val="24"/>
        </w:rPr>
        <w:t xml:space="preserve"> occurred after late 1989</w:t>
      </w:r>
      <w:r w:rsidRPr="365BEDDC" w:rsidR="0BC1B92C">
        <w:rPr>
          <w:rFonts w:ascii="Palatino Linotype" w:hAnsi="Palatino Linotype" w:eastAsia="Palatino Linotype"/>
          <w:sz w:val="24"/>
          <w:szCs w:val="24"/>
        </w:rPr>
        <w:t>, took place in the post-test year of SCE’s TY 2018 GRC and were unknown at the time rates were last implemented.</w:t>
      </w:r>
    </w:p>
    <w:p w:rsidR="04C7984D" w:rsidP="00646405" w:rsidRDefault="04C7984D" w14:paraId="1F763AFA" w14:textId="77777777">
      <w:pPr>
        <w:numPr>
          <w:ilvl w:val="0"/>
          <w:numId w:val="2"/>
        </w:numPr>
        <w:spacing w:line="259" w:lineRule="auto"/>
        <w:ind w:left="420" w:hanging="420"/>
        <w:rPr>
          <w:rFonts w:ascii="Palatino Linotype" w:hAnsi="Palatino Linotype" w:eastAsia="Palatino Linotype"/>
          <w:sz w:val="24"/>
          <w:szCs w:val="24"/>
        </w:rPr>
      </w:pPr>
      <w:r w:rsidRPr="365BEDDC">
        <w:rPr>
          <w:rFonts w:ascii="Palatino Linotype" w:hAnsi="Palatino Linotype" w:eastAsia="Palatino Linotype"/>
          <w:sz w:val="24"/>
          <w:szCs w:val="24"/>
        </w:rPr>
        <w:t xml:space="preserve">The impact of the </w:t>
      </w:r>
      <w:r w:rsidRPr="365BEDDC" w:rsidR="19F31085">
        <w:rPr>
          <w:rFonts w:ascii="Palatino Linotype" w:hAnsi="Palatino Linotype" w:eastAsia="Palatino Linotype"/>
          <w:sz w:val="24"/>
          <w:szCs w:val="24"/>
        </w:rPr>
        <w:t xml:space="preserve">SB 247 </w:t>
      </w:r>
      <w:r w:rsidRPr="365BEDDC">
        <w:rPr>
          <w:rFonts w:ascii="Palatino Linotype" w:hAnsi="Palatino Linotype" w:eastAsia="Palatino Linotype"/>
          <w:sz w:val="24"/>
          <w:szCs w:val="24"/>
        </w:rPr>
        <w:t xml:space="preserve">on SCE’s </w:t>
      </w:r>
      <w:r w:rsidRPr="365BEDDC" w:rsidR="24C30240">
        <w:rPr>
          <w:rFonts w:ascii="Palatino Linotype" w:hAnsi="Palatino Linotype" w:eastAsia="Palatino Linotype"/>
          <w:sz w:val="24"/>
          <w:szCs w:val="24"/>
        </w:rPr>
        <w:t xml:space="preserve">vegetation management costs </w:t>
      </w:r>
      <w:r w:rsidRPr="365BEDDC">
        <w:rPr>
          <w:rFonts w:ascii="Palatino Linotype" w:hAnsi="Palatino Linotype" w:eastAsia="Palatino Linotype"/>
          <w:sz w:val="24"/>
          <w:szCs w:val="24"/>
        </w:rPr>
        <w:t xml:space="preserve">was not known at the time SCE filed its </w:t>
      </w:r>
      <w:r w:rsidRPr="365BEDDC" w:rsidR="2838C130">
        <w:rPr>
          <w:rFonts w:ascii="Palatino Linotype" w:hAnsi="Palatino Linotype" w:eastAsia="Palatino Linotype"/>
          <w:sz w:val="24"/>
          <w:szCs w:val="24"/>
        </w:rPr>
        <w:t xml:space="preserve">TY 2018 </w:t>
      </w:r>
      <w:r w:rsidRPr="365BEDDC">
        <w:rPr>
          <w:rFonts w:ascii="Palatino Linotype" w:hAnsi="Palatino Linotype" w:eastAsia="Palatino Linotype"/>
          <w:sz w:val="24"/>
          <w:szCs w:val="24"/>
        </w:rPr>
        <w:t>GRC.</w:t>
      </w:r>
    </w:p>
    <w:p w:rsidR="04C7984D" w:rsidP="00646405" w:rsidRDefault="04C7984D" w14:paraId="15C159BF" w14:textId="77777777">
      <w:pPr>
        <w:numPr>
          <w:ilvl w:val="0"/>
          <w:numId w:val="2"/>
        </w:numPr>
        <w:spacing w:line="259" w:lineRule="auto"/>
        <w:ind w:left="420" w:hanging="420"/>
        <w:rPr>
          <w:rFonts w:ascii="Palatino Linotype" w:hAnsi="Palatino Linotype" w:eastAsia="Palatino Linotype"/>
          <w:sz w:val="24"/>
          <w:szCs w:val="24"/>
        </w:rPr>
      </w:pPr>
      <w:r w:rsidRPr="365BEDDC">
        <w:rPr>
          <w:rFonts w:ascii="Palatino Linotype" w:hAnsi="Palatino Linotype" w:eastAsia="Palatino Linotype"/>
          <w:sz w:val="24"/>
          <w:szCs w:val="24"/>
        </w:rPr>
        <w:t xml:space="preserve">The </w:t>
      </w:r>
      <w:r w:rsidRPr="365BEDDC" w:rsidR="0A861D83">
        <w:rPr>
          <w:rFonts w:ascii="Palatino Linotype" w:hAnsi="Palatino Linotype" w:eastAsia="Palatino Linotype"/>
          <w:sz w:val="24"/>
          <w:szCs w:val="24"/>
        </w:rPr>
        <w:t xml:space="preserve">increase of 175 percent for contractor vegetation management work </w:t>
      </w:r>
      <w:r w:rsidRPr="365BEDDC">
        <w:rPr>
          <w:rFonts w:ascii="Palatino Linotype" w:hAnsi="Palatino Linotype" w:eastAsia="Palatino Linotype"/>
          <w:sz w:val="24"/>
          <w:szCs w:val="24"/>
        </w:rPr>
        <w:t>was not a normal part of doing business.</w:t>
      </w:r>
    </w:p>
    <w:p w:rsidR="04C7984D" w:rsidP="00646405" w:rsidRDefault="04C7984D" w14:paraId="359CAE75" w14:textId="77777777">
      <w:pPr>
        <w:numPr>
          <w:ilvl w:val="0"/>
          <w:numId w:val="2"/>
        </w:numPr>
        <w:spacing w:line="259" w:lineRule="auto"/>
        <w:ind w:left="420" w:hanging="420"/>
        <w:rPr>
          <w:rFonts w:ascii="Palatino Linotype" w:hAnsi="Palatino Linotype" w:eastAsia="Palatino Linotype"/>
          <w:sz w:val="24"/>
          <w:szCs w:val="24"/>
        </w:rPr>
      </w:pPr>
      <w:r w:rsidRPr="365BEDDC">
        <w:rPr>
          <w:rFonts w:ascii="Palatino Linotype" w:hAnsi="Palatino Linotype" w:eastAsia="Palatino Linotype"/>
          <w:sz w:val="24"/>
          <w:szCs w:val="24"/>
        </w:rPr>
        <w:lastRenderedPageBreak/>
        <w:t xml:space="preserve">The costs at issue will have a disproportionate impact on SCE </w:t>
      </w:r>
      <w:r w:rsidRPr="365BEDDC" w:rsidR="0D666CBA">
        <w:rPr>
          <w:rFonts w:ascii="Palatino Linotype" w:hAnsi="Palatino Linotype" w:eastAsia="Palatino Linotype"/>
          <w:sz w:val="24"/>
          <w:szCs w:val="24"/>
        </w:rPr>
        <w:t xml:space="preserve">such that </w:t>
      </w:r>
      <w:r w:rsidRPr="365BEDDC">
        <w:rPr>
          <w:rFonts w:ascii="Palatino Linotype" w:hAnsi="Palatino Linotype" w:eastAsia="Palatino Linotype"/>
          <w:sz w:val="24"/>
          <w:szCs w:val="24"/>
        </w:rPr>
        <w:t xml:space="preserve">if </w:t>
      </w:r>
      <w:r w:rsidRPr="365BEDDC" w:rsidR="7F62371A">
        <w:rPr>
          <w:rFonts w:ascii="Palatino Linotype" w:hAnsi="Palatino Linotype" w:eastAsia="Palatino Linotype"/>
          <w:sz w:val="24"/>
          <w:szCs w:val="24"/>
        </w:rPr>
        <w:t xml:space="preserve">they are </w:t>
      </w:r>
      <w:r w:rsidRPr="365BEDDC" w:rsidR="6C997A74">
        <w:rPr>
          <w:rFonts w:ascii="Palatino Linotype" w:hAnsi="Palatino Linotype" w:eastAsia="Palatino Linotype"/>
          <w:sz w:val="24"/>
          <w:szCs w:val="24"/>
        </w:rPr>
        <w:t>cover</w:t>
      </w:r>
      <w:r w:rsidRPr="365BEDDC" w:rsidR="7F62371A">
        <w:rPr>
          <w:rFonts w:ascii="Palatino Linotype" w:hAnsi="Palatino Linotype" w:eastAsia="Palatino Linotype"/>
          <w:sz w:val="24"/>
          <w:szCs w:val="24"/>
        </w:rPr>
        <w:t>ed</w:t>
      </w:r>
      <w:r w:rsidRPr="365BEDDC">
        <w:rPr>
          <w:rFonts w:ascii="Palatino Linotype" w:hAnsi="Palatino Linotype" w:eastAsia="Palatino Linotype"/>
          <w:sz w:val="24"/>
          <w:szCs w:val="24"/>
        </w:rPr>
        <w:t xml:space="preserve"> by previously authorized </w:t>
      </w:r>
      <w:r w:rsidRPr="365BEDDC" w:rsidR="106FB223">
        <w:rPr>
          <w:rFonts w:ascii="Palatino Linotype" w:hAnsi="Palatino Linotype" w:eastAsia="Palatino Linotype"/>
          <w:sz w:val="24"/>
          <w:szCs w:val="24"/>
        </w:rPr>
        <w:t>revenues,</w:t>
      </w:r>
      <w:r w:rsidRPr="365BEDDC">
        <w:rPr>
          <w:rFonts w:ascii="Palatino Linotype" w:hAnsi="Palatino Linotype" w:eastAsia="Palatino Linotype"/>
          <w:sz w:val="24"/>
          <w:szCs w:val="24"/>
        </w:rPr>
        <w:t xml:space="preserve"> it may </w:t>
      </w:r>
      <w:r w:rsidRPr="365BEDDC" w:rsidR="1940CA7E">
        <w:rPr>
          <w:rFonts w:ascii="Palatino Linotype" w:hAnsi="Palatino Linotype" w:eastAsia="Palatino Linotype"/>
          <w:sz w:val="24"/>
          <w:szCs w:val="24"/>
        </w:rPr>
        <w:t xml:space="preserve">increase </w:t>
      </w:r>
      <w:r w:rsidRPr="365BEDDC">
        <w:rPr>
          <w:rFonts w:ascii="Palatino Linotype" w:hAnsi="Palatino Linotype" w:eastAsia="Palatino Linotype"/>
          <w:sz w:val="24"/>
          <w:szCs w:val="24"/>
        </w:rPr>
        <w:t>financing costs</w:t>
      </w:r>
      <w:r w:rsidRPr="365BEDDC" w:rsidR="0A94569D">
        <w:rPr>
          <w:rFonts w:ascii="Palatino Linotype" w:hAnsi="Palatino Linotype" w:eastAsia="Palatino Linotype"/>
          <w:sz w:val="24"/>
          <w:szCs w:val="24"/>
        </w:rPr>
        <w:t xml:space="preserve"> and impact credit ratings agencies perception of SCE</w:t>
      </w:r>
      <w:r w:rsidRPr="365BEDDC">
        <w:rPr>
          <w:rFonts w:ascii="Palatino Linotype" w:hAnsi="Palatino Linotype" w:eastAsia="Palatino Linotype"/>
          <w:sz w:val="24"/>
          <w:szCs w:val="24"/>
        </w:rPr>
        <w:t>.</w:t>
      </w:r>
    </w:p>
    <w:p w:rsidR="04C7984D" w:rsidP="00646405" w:rsidRDefault="04C7984D" w14:paraId="56DD8F93" w14:textId="77777777">
      <w:pPr>
        <w:numPr>
          <w:ilvl w:val="0"/>
          <w:numId w:val="2"/>
        </w:numPr>
        <w:spacing w:line="259" w:lineRule="auto"/>
        <w:ind w:left="420" w:hanging="420"/>
        <w:rPr>
          <w:rFonts w:ascii="Palatino Linotype" w:hAnsi="Palatino Linotype" w:eastAsia="Palatino Linotype"/>
          <w:sz w:val="24"/>
          <w:szCs w:val="24"/>
        </w:rPr>
      </w:pPr>
      <w:r w:rsidRPr="365BEDDC">
        <w:rPr>
          <w:rFonts w:ascii="Palatino Linotype" w:hAnsi="Palatino Linotype" w:eastAsia="Palatino Linotype"/>
          <w:sz w:val="24"/>
          <w:szCs w:val="24"/>
        </w:rPr>
        <w:t>The costs are not within the escalation factors adopted in SCE’s last GRC.</w:t>
      </w:r>
    </w:p>
    <w:p w:rsidR="04C7984D" w:rsidP="00646405" w:rsidRDefault="04C7984D" w14:paraId="0CD9E8C6" w14:textId="77777777">
      <w:pPr>
        <w:numPr>
          <w:ilvl w:val="0"/>
          <w:numId w:val="2"/>
        </w:numPr>
        <w:spacing w:line="259" w:lineRule="auto"/>
        <w:ind w:left="420" w:hanging="420"/>
        <w:rPr>
          <w:rFonts w:ascii="Palatino Linotype" w:hAnsi="Palatino Linotype" w:eastAsia="Palatino Linotype"/>
          <w:sz w:val="24"/>
          <w:szCs w:val="24"/>
        </w:rPr>
      </w:pPr>
      <w:r w:rsidRPr="365BEDDC">
        <w:rPr>
          <w:rFonts w:ascii="Palatino Linotype" w:hAnsi="Palatino Linotype" w:eastAsia="Palatino Linotype"/>
          <w:sz w:val="24"/>
          <w:szCs w:val="24"/>
        </w:rPr>
        <w:t>The costs will have a major impact on overall costs due to their large amount and non-inclusion in previously authorized revenues.</w:t>
      </w:r>
    </w:p>
    <w:p w:rsidR="04C7984D" w:rsidP="00646405" w:rsidRDefault="04C7984D" w14:paraId="1EC3BCC3" w14:textId="1564C1B0">
      <w:pPr>
        <w:numPr>
          <w:ilvl w:val="0"/>
          <w:numId w:val="2"/>
        </w:numPr>
        <w:spacing w:line="259" w:lineRule="auto"/>
        <w:ind w:left="420" w:hanging="420"/>
        <w:rPr>
          <w:rFonts w:ascii="Palatino Linotype" w:hAnsi="Palatino Linotype" w:eastAsia="Palatino Linotype"/>
          <w:sz w:val="24"/>
          <w:szCs w:val="24"/>
        </w:rPr>
      </w:pPr>
      <w:r w:rsidRPr="365BEDDC">
        <w:rPr>
          <w:rFonts w:ascii="Palatino Linotype" w:hAnsi="Palatino Linotype" w:eastAsia="Palatino Linotype"/>
          <w:sz w:val="24"/>
          <w:szCs w:val="24"/>
        </w:rPr>
        <w:t xml:space="preserve">The </w:t>
      </w:r>
      <w:r w:rsidRPr="365BEDDC" w:rsidR="1DA3714C">
        <w:rPr>
          <w:rFonts w:ascii="Palatino Linotype" w:hAnsi="Palatino Linotype" w:eastAsia="Palatino Linotype"/>
          <w:sz w:val="24"/>
          <w:szCs w:val="24"/>
        </w:rPr>
        <w:t xml:space="preserve">incremental recorded costs for vegetation management activities in the </w:t>
      </w:r>
      <w:r w:rsidR="006043F5">
        <w:rPr>
          <w:rFonts w:ascii="Palatino Linotype" w:hAnsi="Palatino Linotype" w:eastAsia="Palatino Linotype"/>
          <w:sz w:val="24"/>
          <w:szCs w:val="24"/>
        </w:rPr>
        <w:br/>
      </w:r>
      <w:r w:rsidRPr="365BEDDC" w:rsidR="1DA3714C">
        <w:rPr>
          <w:rFonts w:ascii="Palatino Linotype" w:hAnsi="Palatino Linotype" w:eastAsia="Palatino Linotype"/>
          <w:sz w:val="24"/>
          <w:szCs w:val="24"/>
        </w:rPr>
        <w:t>non-high fire risk areas due to SB 247 was $45.4 million</w:t>
      </w:r>
      <w:r w:rsidRPr="365BEDDC">
        <w:rPr>
          <w:rFonts w:ascii="Palatino Linotype" w:hAnsi="Palatino Linotype" w:eastAsia="Palatino Linotype"/>
          <w:sz w:val="24"/>
          <w:szCs w:val="24"/>
        </w:rPr>
        <w:t>.</w:t>
      </w:r>
    </w:p>
    <w:p w:rsidR="04C7984D" w:rsidP="00646405" w:rsidRDefault="04C7984D" w14:paraId="562D4D98" w14:textId="77777777">
      <w:pPr>
        <w:numPr>
          <w:ilvl w:val="0"/>
          <w:numId w:val="2"/>
        </w:numPr>
        <w:spacing w:line="259" w:lineRule="auto"/>
        <w:ind w:left="420" w:hanging="420"/>
        <w:rPr>
          <w:rFonts w:ascii="Palatino Linotype" w:hAnsi="Palatino Linotype" w:eastAsia="Palatino Linotype"/>
          <w:sz w:val="24"/>
          <w:szCs w:val="24"/>
        </w:rPr>
      </w:pPr>
      <w:r w:rsidRPr="365BEDDC">
        <w:rPr>
          <w:rFonts w:ascii="Palatino Linotype" w:hAnsi="Palatino Linotype" w:eastAsia="Palatino Linotype"/>
          <w:sz w:val="24"/>
          <w:szCs w:val="24"/>
        </w:rPr>
        <w:t>SCE shareholders are responsible for a $10 million deductible applied to Z-factor costs per the terms of Preliminary Statement AAA, Section 5.</w:t>
      </w:r>
    </w:p>
    <w:p w:rsidR="04C7984D" w:rsidP="00646405" w:rsidRDefault="04C7984D" w14:paraId="2306A85F" w14:textId="77777777">
      <w:pPr>
        <w:numPr>
          <w:ilvl w:val="0"/>
          <w:numId w:val="2"/>
        </w:numPr>
        <w:spacing w:line="259" w:lineRule="auto"/>
        <w:ind w:left="420" w:hanging="420"/>
        <w:rPr>
          <w:rFonts w:ascii="Palatino Linotype" w:hAnsi="Palatino Linotype" w:eastAsia="Palatino Linotype"/>
          <w:sz w:val="24"/>
          <w:szCs w:val="24"/>
        </w:rPr>
      </w:pPr>
      <w:r w:rsidRPr="365BEDDC">
        <w:rPr>
          <w:rFonts w:ascii="Palatino Linotype" w:hAnsi="Palatino Linotype" w:eastAsia="Palatino Linotype"/>
          <w:sz w:val="24"/>
          <w:szCs w:val="24"/>
        </w:rPr>
        <w:t>SCE seeks to recover $</w:t>
      </w:r>
      <w:r w:rsidRPr="365BEDDC" w:rsidR="4A15C737">
        <w:rPr>
          <w:rFonts w:ascii="Palatino Linotype" w:hAnsi="Palatino Linotype" w:eastAsia="Palatino Linotype"/>
          <w:sz w:val="24"/>
          <w:szCs w:val="24"/>
        </w:rPr>
        <w:t>3</w:t>
      </w:r>
      <w:r w:rsidRPr="365BEDDC" w:rsidR="0935C56D">
        <w:rPr>
          <w:rFonts w:ascii="Palatino Linotype" w:hAnsi="Palatino Linotype" w:eastAsia="Palatino Linotype"/>
          <w:sz w:val="24"/>
          <w:szCs w:val="24"/>
        </w:rPr>
        <w:t>5</w:t>
      </w:r>
      <w:r w:rsidRPr="365BEDDC" w:rsidR="4A15C737">
        <w:rPr>
          <w:rFonts w:ascii="Palatino Linotype" w:hAnsi="Palatino Linotype" w:eastAsia="Palatino Linotype"/>
          <w:sz w:val="24"/>
          <w:szCs w:val="24"/>
        </w:rPr>
        <w:t>.</w:t>
      </w:r>
      <w:r w:rsidRPr="365BEDDC" w:rsidR="15EC7653">
        <w:rPr>
          <w:rFonts w:ascii="Palatino Linotype" w:hAnsi="Palatino Linotype" w:eastAsia="Palatino Linotype"/>
          <w:sz w:val="24"/>
          <w:szCs w:val="24"/>
        </w:rPr>
        <w:t>4</w:t>
      </w:r>
      <w:r w:rsidRPr="365BEDDC">
        <w:rPr>
          <w:rFonts w:ascii="Palatino Linotype" w:hAnsi="Palatino Linotype" w:eastAsia="Palatino Linotype"/>
          <w:sz w:val="24"/>
          <w:szCs w:val="24"/>
        </w:rPr>
        <w:t xml:space="preserve"> million for its </w:t>
      </w:r>
      <w:r w:rsidRPr="365BEDDC" w:rsidR="5EFE8C1A">
        <w:rPr>
          <w:rFonts w:ascii="Palatino Linotype" w:hAnsi="Palatino Linotype" w:eastAsia="Palatino Linotype"/>
          <w:sz w:val="24"/>
          <w:szCs w:val="24"/>
        </w:rPr>
        <w:t xml:space="preserve">incremental labor costs for </w:t>
      </w:r>
      <w:r w:rsidRPr="365BEDDC" w:rsidR="3208040D">
        <w:rPr>
          <w:rFonts w:ascii="Palatino Linotype" w:hAnsi="Palatino Linotype" w:eastAsia="Palatino Linotype"/>
          <w:sz w:val="24"/>
          <w:szCs w:val="24"/>
        </w:rPr>
        <w:t>vegetation</w:t>
      </w:r>
      <w:r w:rsidRPr="365BEDDC" w:rsidR="5EFE8C1A">
        <w:rPr>
          <w:rFonts w:ascii="Palatino Linotype" w:hAnsi="Palatino Linotype" w:eastAsia="Palatino Linotype"/>
          <w:sz w:val="24"/>
          <w:szCs w:val="24"/>
        </w:rPr>
        <w:t xml:space="preserve"> management activities in 2020.</w:t>
      </w:r>
    </w:p>
    <w:p w:rsidR="04C7984D" w:rsidP="00646405" w:rsidRDefault="04C7984D" w14:paraId="51760A6B" w14:textId="77777777">
      <w:pPr>
        <w:numPr>
          <w:ilvl w:val="0"/>
          <w:numId w:val="2"/>
        </w:numPr>
        <w:spacing w:line="259" w:lineRule="auto"/>
        <w:ind w:left="420" w:hanging="420"/>
        <w:rPr>
          <w:rFonts w:ascii="Palatino Linotype" w:hAnsi="Palatino Linotype" w:eastAsia="Palatino Linotype"/>
          <w:sz w:val="24"/>
          <w:szCs w:val="24"/>
        </w:rPr>
      </w:pPr>
      <w:r w:rsidRPr="365BEDDC">
        <w:rPr>
          <w:rFonts w:ascii="Palatino Linotype" w:hAnsi="Palatino Linotype" w:eastAsia="Palatino Linotype"/>
          <w:sz w:val="24"/>
          <w:szCs w:val="24"/>
        </w:rPr>
        <w:t xml:space="preserve">Given the </w:t>
      </w:r>
      <w:r w:rsidRPr="365BEDDC" w:rsidR="41B1EA6C">
        <w:rPr>
          <w:rFonts w:ascii="Palatino Linotype" w:hAnsi="Palatino Linotype" w:eastAsia="Palatino Linotype"/>
          <w:sz w:val="24"/>
          <w:szCs w:val="24"/>
        </w:rPr>
        <w:t>statutory requirements to p</w:t>
      </w:r>
      <w:r w:rsidRPr="365BEDDC" w:rsidR="0A13A8D9">
        <w:rPr>
          <w:rFonts w:ascii="Palatino Linotype" w:hAnsi="Palatino Linotype" w:eastAsia="Palatino Linotype"/>
          <w:sz w:val="24"/>
          <w:szCs w:val="24"/>
        </w:rPr>
        <w:t>ay the</w:t>
      </w:r>
      <w:r w:rsidRPr="365BEDDC" w:rsidR="41B1EA6C">
        <w:rPr>
          <w:rFonts w:ascii="Palatino Linotype" w:hAnsi="Palatino Linotype" w:eastAsia="Palatino Linotype"/>
          <w:sz w:val="24"/>
          <w:szCs w:val="24"/>
        </w:rPr>
        <w:t xml:space="preserve"> </w:t>
      </w:r>
      <w:r w:rsidRPr="365BEDDC" w:rsidR="0A13A8D9">
        <w:rPr>
          <w:rFonts w:ascii="Palatino Linotype" w:hAnsi="Palatino Linotype" w:eastAsia="Palatino Linotype"/>
          <w:sz w:val="24"/>
          <w:szCs w:val="24"/>
        </w:rPr>
        <w:t xml:space="preserve">prevailing wage for </w:t>
      </w:r>
      <w:r w:rsidRPr="365BEDDC" w:rsidR="41B1EA6C">
        <w:rPr>
          <w:rFonts w:ascii="Palatino Linotype" w:hAnsi="Palatino Linotype" w:eastAsia="Palatino Linotype"/>
          <w:sz w:val="24"/>
          <w:szCs w:val="24"/>
        </w:rPr>
        <w:t>vegetation management</w:t>
      </w:r>
      <w:r w:rsidRPr="365BEDDC" w:rsidR="004FC20F">
        <w:rPr>
          <w:rFonts w:ascii="Palatino Linotype" w:hAnsi="Palatino Linotype" w:eastAsia="Palatino Linotype"/>
          <w:sz w:val="24"/>
          <w:szCs w:val="24"/>
        </w:rPr>
        <w:t xml:space="preserve"> work</w:t>
      </w:r>
      <w:r w:rsidRPr="365BEDDC">
        <w:rPr>
          <w:rFonts w:ascii="Palatino Linotype" w:hAnsi="Palatino Linotype" w:eastAsia="Palatino Linotype"/>
          <w:sz w:val="24"/>
          <w:szCs w:val="24"/>
        </w:rPr>
        <w:t>, SCE’s costs were reasonably incurred.</w:t>
      </w:r>
    </w:p>
    <w:p w:rsidR="04C7984D" w:rsidP="00646405" w:rsidRDefault="04C7984D" w14:paraId="387A96C5" w14:textId="77777777">
      <w:pPr>
        <w:numPr>
          <w:ilvl w:val="0"/>
          <w:numId w:val="2"/>
        </w:numPr>
        <w:spacing w:line="259" w:lineRule="auto"/>
        <w:ind w:left="420" w:hanging="420"/>
        <w:rPr>
          <w:rFonts w:ascii="Palatino Linotype" w:hAnsi="Palatino Linotype" w:eastAsia="Palatino Linotype"/>
          <w:sz w:val="24"/>
          <w:szCs w:val="24"/>
        </w:rPr>
      </w:pPr>
      <w:r w:rsidRPr="5FDFFF45">
        <w:rPr>
          <w:rFonts w:ascii="Palatino Linotype" w:hAnsi="Palatino Linotype" w:eastAsia="Palatino Linotype"/>
          <w:sz w:val="24"/>
          <w:szCs w:val="24"/>
        </w:rPr>
        <w:t xml:space="preserve">The </w:t>
      </w:r>
      <w:r w:rsidRPr="5FDFFF45" w:rsidR="1CA94622">
        <w:rPr>
          <w:rFonts w:ascii="Palatino Linotype" w:hAnsi="Palatino Linotype" w:eastAsia="Palatino Linotype"/>
          <w:sz w:val="24"/>
          <w:szCs w:val="24"/>
        </w:rPr>
        <w:t xml:space="preserve">incremental 2020 </w:t>
      </w:r>
      <w:r w:rsidRPr="5FDFFF45" w:rsidR="198C6BE4">
        <w:rPr>
          <w:rFonts w:ascii="Palatino Linotype" w:hAnsi="Palatino Linotype" w:eastAsia="Palatino Linotype"/>
          <w:sz w:val="24"/>
          <w:szCs w:val="24"/>
        </w:rPr>
        <w:t xml:space="preserve">SB 247-related </w:t>
      </w:r>
      <w:r w:rsidRPr="5FDFFF45" w:rsidR="1CA94622">
        <w:rPr>
          <w:rFonts w:ascii="Palatino Linotype" w:hAnsi="Palatino Linotype" w:eastAsia="Palatino Linotype"/>
          <w:sz w:val="24"/>
          <w:szCs w:val="24"/>
        </w:rPr>
        <w:t>vegetation management</w:t>
      </w:r>
      <w:r w:rsidRPr="5FDFFF45">
        <w:rPr>
          <w:rFonts w:ascii="Palatino Linotype" w:hAnsi="Palatino Linotype" w:eastAsia="Palatino Linotype"/>
          <w:sz w:val="24"/>
          <w:szCs w:val="24"/>
        </w:rPr>
        <w:t xml:space="preserve"> cost</w:t>
      </w:r>
      <w:r w:rsidRPr="5FDFFF45" w:rsidR="1AB77E62">
        <w:rPr>
          <w:rFonts w:ascii="Palatino Linotype" w:hAnsi="Palatino Linotype" w:eastAsia="Palatino Linotype"/>
          <w:sz w:val="24"/>
          <w:szCs w:val="24"/>
        </w:rPr>
        <w:t>s</w:t>
      </w:r>
      <w:r w:rsidRPr="5FDFFF45">
        <w:rPr>
          <w:rFonts w:ascii="Palatino Linotype" w:hAnsi="Palatino Linotype" w:eastAsia="Palatino Linotype"/>
          <w:sz w:val="24"/>
          <w:szCs w:val="24"/>
        </w:rPr>
        <w:t xml:space="preserve"> </w:t>
      </w:r>
      <w:r w:rsidRPr="5FDFFF45" w:rsidR="3900D8C9">
        <w:rPr>
          <w:rFonts w:ascii="Palatino Linotype" w:hAnsi="Palatino Linotype" w:eastAsia="Palatino Linotype"/>
          <w:sz w:val="24"/>
          <w:szCs w:val="24"/>
        </w:rPr>
        <w:t>meet</w:t>
      </w:r>
      <w:r w:rsidRPr="5FDFFF45">
        <w:rPr>
          <w:rFonts w:ascii="Palatino Linotype" w:hAnsi="Palatino Linotype" w:eastAsia="Palatino Linotype"/>
          <w:sz w:val="24"/>
          <w:szCs w:val="24"/>
        </w:rPr>
        <w:t xml:space="preserve"> the Z-factor criteria for inclusion in regulated revenue requirement and recovery from ratepayers.</w:t>
      </w:r>
    </w:p>
    <w:p w:rsidR="12228140" w:rsidP="12228140" w:rsidRDefault="12228140" w14:paraId="51F6CC9F" w14:textId="77777777">
      <w:pPr>
        <w:rPr>
          <w:rFonts w:ascii="Palatino Linotype" w:hAnsi="Palatino Linotype" w:eastAsia="Palatino Linotype"/>
          <w:sz w:val="24"/>
          <w:szCs w:val="24"/>
        </w:rPr>
      </w:pPr>
    </w:p>
    <w:p w:rsidRPr="00D865A9" w:rsidR="00CF17DE" w:rsidP="4BA7214B" w:rsidRDefault="00CF17DE" w14:paraId="0414CD6D" w14:textId="77777777">
      <w:pPr>
        <w:rPr>
          <w:rFonts w:ascii="Palatino Linotype" w:hAnsi="Palatino Linotype" w:eastAsia="Palatino Linotype"/>
          <w:b/>
          <w:sz w:val="24"/>
          <w:szCs w:val="24"/>
        </w:rPr>
      </w:pPr>
    </w:p>
    <w:p w:rsidRPr="00D865A9" w:rsidR="00CF17DE" w:rsidP="4BA7214B" w:rsidRDefault="00CF17DE" w14:paraId="2D198406" w14:textId="77777777">
      <w:pPr>
        <w:pStyle w:val="Heading1"/>
        <w:rPr>
          <w:rFonts w:ascii="Palatino Linotype" w:hAnsi="Palatino Linotype" w:eastAsia="Palatino Linotype"/>
          <w:sz w:val="24"/>
          <w:szCs w:val="24"/>
        </w:rPr>
      </w:pPr>
      <w:proofErr w:type="gramStart"/>
      <w:r w:rsidRPr="00D865A9">
        <w:rPr>
          <w:rFonts w:ascii="Palatino Linotype" w:hAnsi="Palatino Linotype" w:eastAsia="Palatino Linotype"/>
          <w:sz w:val="24"/>
          <w:szCs w:val="24"/>
        </w:rPr>
        <w:t>Therefore</w:t>
      </w:r>
      <w:proofErr w:type="gramEnd"/>
      <w:r w:rsidRPr="00D865A9">
        <w:rPr>
          <w:rFonts w:ascii="Palatino Linotype" w:hAnsi="Palatino Linotype" w:eastAsia="Palatino Linotype"/>
          <w:sz w:val="24"/>
          <w:szCs w:val="24"/>
        </w:rPr>
        <w:t xml:space="preserve"> it is ordered that:</w:t>
      </w:r>
    </w:p>
    <w:p w:rsidRPr="00D865A9" w:rsidR="00CF17DE" w:rsidP="00646405" w:rsidRDefault="11169B66" w14:paraId="46EAA136" w14:textId="77777777">
      <w:pPr>
        <w:numPr>
          <w:ilvl w:val="0"/>
          <w:numId w:val="6"/>
        </w:numPr>
        <w:rPr>
          <w:rFonts w:ascii="Palatino Linotype" w:hAnsi="Palatino Linotype" w:eastAsia="Palatino Linotype"/>
          <w:snapToGrid w:val="0"/>
          <w:sz w:val="24"/>
          <w:szCs w:val="24"/>
        </w:rPr>
      </w:pPr>
      <w:r w:rsidRPr="00D865A9">
        <w:rPr>
          <w:rFonts w:ascii="Palatino Linotype" w:hAnsi="Palatino Linotype" w:eastAsia="Palatino Linotype"/>
          <w:snapToGrid w:val="0"/>
          <w:sz w:val="24"/>
          <w:szCs w:val="24"/>
        </w:rPr>
        <w:t xml:space="preserve">Southern California Edison’s </w:t>
      </w:r>
      <w:r w:rsidRPr="00D865A9" w:rsidR="08FB034B">
        <w:rPr>
          <w:rFonts w:ascii="Palatino Linotype" w:hAnsi="Palatino Linotype" w:eastAsia="Palatino Linotype"/>
          <w:snapToGrid w:val="0"/>
          <w:sz w:val="24"/>
          <w:szCs w:val="24"/>
        </w:rPr>
        <w:t>request for Z-factor recovery of $3</w:t>
      </w:r>
      <w:r w:rsidRPr="00D865A9" w:rsidR="1594AF53">
        <w:rPr>
          <w:rFonts w:ascii="Palatino Linotype" w:hAnsi="Palatino Linotype" w:eastAsia="Palatino Linotype"/>
          <w:snapToGrid w:val="0"/>
          <w:sz w:val="24"/>
          <w:szCs w:val="24"/>
        </w:rPr>
        <w:t>5</w:t>
      </w:r>
      <w:r w:rsidRPr="00D865A9" w:rsidR="08FB034B">
        <w:rPr>
          <w:rFonts w:ascii="Palatino Linotype" w:hAnsi="Palatino Linotype" w:eastAsia="Palatino Linotype"/>
          <w:snapToGrid w:val="0"/>
          <w:sz w:val="24"/>
          <w:szCs w:val="24"/>
        </w:rPr>
        <w:t>.</w:t>
      </w:r>
      <w:r w:rsidRPr="00D865A9" w:rsidR="783B1AFC">
        <w:rPr>
          <w:rFonts w:ascii="Palatino Linotype" w:hAnsi="Palatino Linotype" w:eastAsia="Palatino Linotype"/>
          <w:snapToGrid w:val="0"/>
          <w:sz w:val="24"/>
          <w:szCs w:val="24"/>
        </w:rPr>
        <w:t>4</w:t>
      </w:r>
      <w:r w:rsidRPr="00D865A9" w:rsidR="08FB034B">
        <w:rPr>
          <w:rFonts w:ascii="Palatino Linotype" w:hAnsi="Palatino Linotype" w:eastAsia="Palatino Linotype"/>
          <w:snapToGrid w:val="0"/>
          <w:sz w:val="24"/>
          <w:szCs w:val="24"/>
        </w:rPr>
        <w:t xml:space="preserve"> million for incremental labor costs for vegetation management activities in Advice Letter 4881-E is approved.</w:t>
      </w:r>
    </w:p>
    <w:p w:rsidRPr="00D865A9" w:rsidR="00CF17DE" w:rsidP="00646405" w:rsidRDefault="08FB034B" w14:paraId="323775F3" w14:textId="77777777">
      <w:pPr>
        <w:numPr>
          <w:ilvl w:val="0"/>
          <w:numId w:val="6"/>
        </w:numPr>
        <w:rPr>
          <w:rFonts w:ascii="Palatino Linotype" w:hAnsi="Palatino Linotype" w:eastAsia="Palatino Linotype"/>
          <w:sz w:val="24"/>
          <w:szCs w:val="24"/>
        </w:rPr>
      </w:pPr>
      <w:r w:rsidRPr="65CDA542">
        <w:rPr>
          <w:rFonts w:ascii="Palatino Linotype" w:hAnsi="Palatino Linotype" w:eastAsia="Palatino Linotype"/>
          <w:sz w:val="24"/>
          <w:szCs w:val="24"/>
        </w:rPr>
        <w:t>Southern California Edison shall file a Tier 1 Advice Lett</w:t>
      </w:r>
      <w:r w:rsidRPr="65CDA542" w:rsidR="7FDE3749">
        <w:rPr>
          <w:rFonts w:ascii="Palatino Linotype" w:hAnsi="Palatino Linotype" w:eastAsia="Palatino Linotype"/>
          <w:sz w:val="24"/>
          <w:szCs w:val="24"/>
        </w:rPr>
        <w:t>er to recover from ratepayers $3</w:t>
      </w:r>
      <w:r w:rsidRPr="65CDA542" w:rsidR="211A7512">
        <w:rPr>
          <w:rFonts w:ascii="Palatino Linotype" w:hAnsi="Palatino Linotype" w:eastAsia="Palatino Linotype"/>
          <w:sz w:val="24"/>
          <w:szCs w:val="24"/>
        </w:rPr>
        <w:t>5</w:t>
      </w:r>
      <w:r w:rsidRPr="65CDA542" w:rsidR="7FDE3749">
        <w:rPr>
          <w:rFonts w:ascii="Palatino Linotype" w:hAnsi="Palatino Linotype" w:eastAsia="Palatino Linotype"/>
          <w:sz w:val="24"/>
          <w:szCs w:val="24"/>
        </w:rPr>
        <w:t>.</w:t>
      </w:r>
      <w:r w:rsidRPr="65CDA542" w:rsidR="42A11D3C">
        <w:rPr>
          <w:rFonts w:ascii="Palatino Linotype" w:hAnsi="Palatino Linotype" w:eastAsia="Palatino Linotype"/>
          <w:sz w:val="24"/>
          <w:szCs w:val="24"/>
        </w:rPr>
        <w:t>4</w:t>
      </w:r>
      <w:r w:rsidRPr="65CDA542" w:rsidR="7FDE3749">
        <w:rPr>
          <w:rFonts w:ascii="Palatino Linotype" w:hAnsi="Palatino Linotype" w:eastAsia="Palatino Linotype"/>
          <w:sz w:val="24"/>
          <w:szCs w:val="24"/>
        </w:rPr>
        <w:t xml:space="preserve"> million amortized in rates over a 12-month period.  This filing may be consolidated with other revenue requirement changes and shall be filed no later than 90 days from the date of this resolution.</w:t>
      </w:r>
    </w:p>
    <w:p w:rsidRPr="00D865A9" w:rsidR="00CF17DE" w:rsidP="12228140" w:rsidRDefault="00CF17DE" w14:paraId="14B4C33F" w14:textId="77777777">
      <w:pPr>
        <w:tabs>
          <w:tab w:val="left" w:pos="720"/>
          <w:tab w:val="left" w:pos="1296"/>
          <w:tab w:val="left" w:pos="2016"/>
          <w:tab w:val="left" w:pos="2736"/>
          <w:tab w:val="left" w:pos="3456"/>
          <w:tab w:val="left" w:pos="4176"/>
          <w:tab w:val="left" w:pos="5760"/>
        </w:tabs>
        <w:rPr>
          <w:rFonts w:ascii="Palatino Linotype" w:hAnsi="Palatino Linotype" w:eastAsia="Palatino Linotype"/>
          <w:sz w:val="24"/>
          <w:szCs w:val="24"/>
        </w:rPr>
      </w:pPr>
    </w:p>
    <w:p w:rsidR="00A220DC" w:rsidRDefault="00A220DC" w14:paraId="75B304CD" w14:textId="77777777">
      <w:pPr>
        <w:rPr>
          <w:rFonts w:ascii="Palatino Linotype" w:hAnsi="Palatino Linotype" w:eastAsia="Palatino Linotype"/>
          <w:sz w:val="24"/>
          <w:szCs w:val="24"/>
        </w:rPr>
      </w:pPr>
      <w:r>
        <w:rPr>
          <w:rFonts w:ascii="Palatino Linotype" w:hAnsi="Palatino Linotype" w:eastAsia="Palatino Linotype"/>
          <w:sz w:val="24"/>
          <w:szCs w:val="24"/>
        </w:rPr>
        <w:br w:type="page"/>
      </w:r>
    </w:p>
    <w:p w:rsidRPr="00D865A9" w:rsidR="00CF17DE" w:rsidP="007963D3" w:rsidRDefault="00CF17DE" w14:paraId="6FCC2029" w14:textId="77777777">
      <w:pPr>
        <w:keepNext/>
        <w:tabs>
          <w:tab w:val="left" w:pos="720"/>
          <w:tab w:val="left" w:pos="1296"/>
          <w:tab w:val="left" w:pos="2016"/>
          <w:tab w:val="left" w:pos="2736"/>
          <w:tab w:val="left" w:pos="3456"/>
          <w:tab w:val="left" w:pos="4176"/>
          <w:tab w:val="left" w:pos="5760"/>
        </w:tabs>
        <w:rPr>
          <w:rFonts w:ascii="Palatino Linotype" w:hAnsi="Palatino Linotype" w:eastAsia="Palatino Linotype"/>
          <w:sz w:val="24"/>
          <w:szCs w:val="24"/>
        </w:rPr>
      </w:pPr>
      <w:r w:rsidRPr="00D865A9">
        <w:rPr>
          <w:rFonts w:ascii="Palatino Linotype" w:hAnsi="Palatino Linotype" w:eastAsia="Palatino Linotype"/>
          <w:sz w:val="24"/>
          <w:szCs w:val="24"/>
        </w:rPr>
        <w:lastRenderedPageBreak/>
        <w:t>This Resolution is effective today.</w:t>
      </w:r>
    </w:p>
    <w:p w:rsidRPr="00D865A9" w:rsidR="00CB42C3" w:rsidP="007963D3" w:rsidRDefault="00CB42C3" w14:paraId="04FAB01F" w14:textId="77777777">
      <w:pPr>
        <w:keepNext/>
        <w:tabs>
          <w:tab w:val="left" w:pos="720"/>
          <w:tab w:val="left" w:pos="1296"/>
          <w:tab w:val="left" w:pos="2016"/>
          <w:tab w:val="left" w:pos="2736"/>
          <w:tab w:val="left" w:pos="3456"/>
          <w:tab w:val="left" w:pos="4176"/>
          <w:tab w:val="left" w:pos="5760"/>
        </w:tabs>
        <w:rPr>
          <w:rFonts w:ascii="Palatino Linotype" w:hAnsi="Palatino Linotype" w:eastAsia="Palatino Linotype"/>
          <w:sz w:val="24"/>
          <w:szCs w:val="24"/>
        </w:rPr>
      </w:pPr>
    </w:p>
    <w:p w:rsidRPr="00D865A9" w:rsidR="00CF17DE" w:rsidP="007963D3" w:rsidRDefault="4284FEAB" w14:paraId="2043460B" w14:textId="77777777">
      <w:pPr>
        <w:keepNext/>
        <w:rPr>
          <w:rFonts w:ascii="Palatino Linotype" w:hAnsi="Palatino Linotype" w:eastAsia="Palatino Linotype"/>
          <w:snapToGrid w:val="0"/>
          <w:sz w:val="24"/>
          <w:szCs w:val="24"/>
        </w:rPr>
      </w:pPr>
      <w:r w:rsidRPr="00D865A9">
        <w:rPr>
          <w:rFonts w:ascii="Palatino Linotype" w:hAnsi="Palatino Linotype" w:eastAsia="Palatino Linotype"/>
          <w:snapToGrid w:val="0"/>
          <w:sz w:val="24"/>
          <w:szCs w:val="24"/>
        </w:rPr>
        <w:t>I certify that the foregoing resolution was duly introduced, passed</w:t>
      </w:r>
      <w:r w:rsidR="7C29FC0D">
        <w:rPr>
          <w:rFonts w:ascii="Palatino Linotype" w:hAnsi="Palatino Linotype" w:eastAsia="Palatino Linotype"/>
          <w:snapToGrid w:val="0"/>
          <w:sz w:val="24"/>
          <w:szCs w:val="24"/>
        </w:rPr>
        <w:t>,</w:t>
      </w:r>
      <w:r w:rsidRPr="00D865A9">
        <w:rPr>
          <w:rFonts w:ascii="Palatino Linotype" w:hAnsi="Palatino Linotype" w:eastAsia="Palatino Linotype"/>
          <w:snapToGrid w:val="0"/>
          <w:sz w:val="24"/>
          <w:szCs w:val="24"/>
        </w:rPr>
        <w:t xml:space="preserve"> and adopted at a conference of the Public Utilities Commission of the State of California held on </w:t>
      </w:r>
      <w:r w:rsidRPr="00D865A9" w:rsidR="6E3C9A13">
        <w:rPr>
          <w:rFonts w:ascii="Palatino Linotype" w:hAnsi="Palatino Linotype" w:eastAsia="Palatino Linotype"/>
          <w:snapToGrid w:val="0"/>
          <w:sz w:val="24"/>
          <w:szCs w:val="24"/>
        </w:rPr>
        <w:t>September 21, 2023</w:t>
      </w:r>
      <w:r w:rsidRPr="00D865A9">
        <w:rPr>
          <w:rFonts w:ascii="Palatino Linotype" w:hAnsi="Palatino Linotype" w:eastAsia="Palatino Linotype"/>
          <w:snapToGrid w:val="0"/>
          <w:sz w:val="24"/>
          <w:szCs w:val="24"/>
        </w:rPr>
        <w:t>; the following Commissioners voting favorably thereon:</w:t>
      </w:r>
    </w:p>
    <w:p w:rsidRPr="00D865A9" w:rsidR="00CF17DE" w:rsidP="4BA7214B" w:rsidRDefault="00CF17DE" w14:paraId="4FE2D0FD" w14:textId="77777777">
      <w:pPr>
        <w:tabs>
          <w:tab w:val="left" w:pos="720"/>
          <w:tab w:val="left" w:pos="1152"/>
          <w:tab w:val="left" w:pos="1728"/>
          <w:tab w:val="left" w:pos="3168"/>
          <w:tab w:val="left" w:pos="5040"/>
        </w:tabs>
        <w:ind w:right="144"/>
        <w:rPr>
          <w:rFonts w:ascii="Palatino Linotype" w:hAnsi="Palatino Linotype" w:eastAsia="Palatino Linotype"/>
          <w:sz w:val="24"/>
          <w:szCs w:val="24"/>
        </w:rPr>
      </w:pPr>
    </w:p>
    <w:p w:rsidRPr="00D865A9" w:rsidR="00CF17DE" w:rsidP="4BA7214B" w:rsidRDefault="00CF17DE" w14:paraId="4B784E34" w14:textId="77777777">
      <w:pPr>
        <w:tabs>
          <w:tab w:val="left" w:pos="720"/>
          <w:tab w:val="left" w:pos="1152"/>
          <w:tab w:val="left" w:pos="1728"/>
          <w:tab w:val="left" w:pos="3168"/>
          <w:tab w:val="left" w:pos="5040"/>
        </w:tabs>
        <w:ind w:right="144"/>
        <w:rPr>
          <w:rFonts w:ascii="Palatino Linotype" w:hAnsi="Palatino Linotype" w:eastAsia="Palatino Linotype"/>
          <w:sz w:val="24"/>
          <w:szCs w:val="24"/>
        </w:rPr>
      </w:pPr>
    </w:p>
    <w:p w:rsidRPr="00D865A9" w:rsidR="00CF17DE" w:rsidP="4BA7214B" w:rsidRDefault="00CF17DE" w14:paraId="615D07FE" w14:textId="77777777">
      <w:pPr>
        <w:tabs>
          <w:tab w:val="left" w:pos="720"/>
          <w:tab w:val="left" w:pos="1152"/>
          <w:tab w:val="left" w:pos="1728"/>
          <w:tab w:val="left" w:pos="3168"/>
          <w:tab w:val="left" w:pos="5040"/>
        </w:tabs>
        <w:ind w:right="144"/>
        <w:rPr>
          <w:rFonts w:ascii="Palatino Linotype" w:hAnsi="Palatino Linotype" w:eastAsia="Palatino Linotype"/>
          <w:sz w:val="24"/>
          <w:szCs w:val="24"/>
        </w:rPr>
      </w:pPr>
    </w:p>
    <w:p w:rsidRPr="00D865A9" w:rsidR="00CF17DE" w:rsidP="4BA7214B" w:rsidRDefault="00CF17DE" w14:paraId="490872B7" w14:textId="77777777">
      <w:pPr>
        <w:tabs>
          <w:tab w:val="left" w:pos="720"/>
          <w:tab w:val="left" w:pos="1152"/>
          <w:tab w:val="left" w:pos="1728"/>
          <w:tab w:val="left" w:pos="3168"/>
          <w:tab w:val="left" w:pos="5040"/>
        </w:tabs>
        <w:ind w:right="144"/>
        <w:rPr>
          <w:rFonts w:ascii="Palatino Linotype" w:hAnsi="Palatino Linotype" w:eastAsia="Palatino Linotype"/>
          <w:sz w:val="24"/>
          <w:szCs w:val="24"/>
        </w:rPr>
      </w:pPr>
    </w:p>
    <w:p w:rsidRPr="006043F5" w:rsidR="006043F5" w:rsidP="006043F5" w:rsidRDefault="00CF17DE" w14:paraId="1D122BB5" w14:textId="77777777">
      <w:pPr>
        <w:tabs>
          <w:tab w:val="left" w:pos="720"/>
          <w:tab w:val="left" w:pos="1152"/>
          <w:tab w:val="left" w:pos="1728"/>
          <w:tab w:val="left" w:pos="3168"/>
          <w:tab w:val="left" w:pos="5040"/>
        </w:tabs>
        <w:ind w:right="144"/>
        <w:rPr>
          <w:rFonts w:ascii="Palatino Linotype" w:hAnsi="Palatino Linotype"/>
          <w:sz w:val="24"/>
          <w:szCs w:val="24"/>
          <w:u w:val="single"/>
        </w:rPr>
      </w:pPr>
      <w:r w:rsidRPr="007963D3">
        <w:rPr>
          <w:rFonts w:ascii="Palatino Linotype" w:hAnsi="Palatino Linotype"/>
          <w:sz w:val="24"/>
          <w:szCs w:val="24"/>
        </w:rPr>
        <w:tab/>
      </w:r>
      <w:r w:rsidRPr="007963D3">
        <w:rPr>
          <w:rFonts w:ascii="Palatino Linotype" w:hAnsi="Palatino Linotype"/>
          <w:sz w:val="24"/>
          <w:szCs w:val="24"/>
        </w:rPr>
        <w:tab/>
      </w:r>
      <w:r w:rsidRPr="007963D3">
        <w:rPr>
          <w:rFonts w:ascii="Palatino Linotype" w:hAnsi="Palatino Linotype"/>
          <w:sz w:val="24"/>
          <w:szCs w:val="24"/>
        </w:rPr>
        <w:tab/>
      </w:r>
      <w:r w:rsidRPr="007963D3">
        <w:rPr>
          <w:rFonts w:ascii="Palatino Linotype" w:hAnsi="Palatino Linotype"/>
          <w:sz w:val="24"/>
          <w:szCs w:val="24"/>
        </w:rPr>
        <w:tab/>
      </w:r>
      <w:r w:rsidRPr="007963D3">
        <w:rPr>
          <w:rFonts w:ascii="Palatino Linotype" w:hAnsi="Palatino Linotype"/>
          <w:sz w:val="24"/>
          <w:szCs w:val="24"/>
        </w:rPr>
        <w:tab/>
      </w:r>
      <w:r w:rsidRPr="007963D3">
        <w:rPr>
          <w:rFonts w:ascii="Palatino Linotype" w:hAnsi="Palatino Linotype"/>
          <w:sz w:val="24"/>
          <w:szCs w:val="24"/>
        </w:rPr>
        <w:tab/>
      </w:r>
      <w:r w:rsidRPr="006043F5" w:rsidR="006043F5">
        <w:rPr>
          <w:rFonts w:ascii="Palatino Linotype" w:hAnsi="Palatino Linotype"/>
          <w:sz w:val="24"/>
          <w:szCs w:val="24"/>
          <w:u w:val="single"/>
        </w:rPr>
        <w:t>_/s/ RACHEL PETERSON_</w:t>
      </w:r>
    </w:p>
    <w:p w:rsidRPr="006043F5" w:rsidR="006043F5" w:rsidP="006043F5" w:rsidRDefault="006043F5" w14:paraId="5D238A35" w14:textId="77777777">
      <w:pPr>
        <w:tabs>
          <w:tab w:val="left" w:pos="720"/>
          <w:tab w:val="left" w:pos="1152"/>
          <w:tab w:val="left" w:pos="1728"/>
          <w:tab w:val="left" w:pos="3168"/>
          <w:tab w:val="left" w:pos="5040"/>
        </w:tabs>
        <w:ind w:left="5760" w:right="144"/>
        <w:rPr>
          <w:rFonts w:ascii="Palatino Linotype" w:hAnsi="Palatino Linotype"/>
          <w:sz w:val="24"/>
          <w:szCs w:val="24"/>
        </w:rPr>
      </w:pPr>
      <w:r w:rsidRPr="006043F5">
        <w:rPr>
          <w:rFonts w:ascii="Palatino Linotype" w:hAnsi="Palatino Linotype"/>
          <w:sz w:val="24"/>
          <w:szCs w:val="24"/>
        </w:rPr>
        <w:t xml:space="preserve">          Rachel Peterson</w:t>
      </w:r>
    </w:p>
    <w:p w:rsidRPr="006043F5" w:rsidR="006043F5" w:rsidP="006043F5" w:rsidRDefault="006043F5" w14:paraId="3779E9B9" w14:textId="77777777">
      <w:pPr>
        <w:tabs>
          <w:tab w:val="left" w:pos="720"/>
          <w:tab w:val="left" w:pos="1152"/>
          <w:tab w:val="left" w:pos="1728"/>
          <w:tab w:val="left" w:pos="3168"/>
          <w:tab w:val="left" w:pos="5040"/>
        </w:tabs>
        <w:ind w:left="5760" w:right="144"/>
        <w:rPr>
          <w:rFonts w:ascii="Palatino Linotype" w:hAnsi="Palatino Linotype"/>
          <w:sz w:val="24"/>
          <w:szCs w:val="24"/>
        </w:rPr>
      </w:pPr>
      <w:r w:rsidRPr="006043F5">
        <w:rPr>
          <w:rFonts w:ascii="Palatino Linotype" w:hAnsi="Palatino Linotype"/>
          <w:sz w:val="24"/>
          <w:szCs w:val="24"/>
        </w:rPr>
        <w:t xml:space="preserve">        Executive Director</w:t>
      </w:r>
    </w:p>
    <w:p w:rsidRPr="006043F5" w:rsidR="006043F5" w:rsidP="006043F5" w:rsidRDefault="006043F5" w14:paraId="5B082935" w14:textId="77777777">
      <w:pPr>
        <w:tabs>
          <w:tab w:val="left" w:pos="720"/>
          <w:tab w:val="left" w:pos="1152"/>
          <w:tab w:val="left" w:pos="1728"/>
          <w:tab w:val="left" w:pos="3168"/>
          <w:tab w:val="left" w:pos="5040"/>
        </w:tabs>
        <w:ind w:right="144"/>
        <w:rPr>
          <w:rFonts w:ascii="Palatino Linotype" w:hAnsi="Palatino Linotype"/>
          <w:sz w:val="24"/>
          <w:szCs w:val="24"/>
        </w:rPr>
      </w:pPr>
    </w:p>
    <w:p w:rsidRPr="006043F5" w:rsidR="006043F5" w:rsidP="006043F5" w:rsidRDefault="006043F5" w14:paraId="6321CFA3" w14:textId="77777777">
      <w:pPr>
        <w:tabs>
          <w:tab w:val="left" w:pos="720"/>
          <w:tab w:val="left" w:pos="1152"/>
          <w:tab w:val="left" w:pos="1728"/>
          <w:tab w:val="left" w:pos="3168"/>
          <w:tab w:val="left" w:pos="5040"/>
        </w:tabs>
        <w:ind w:right="144"/>
        <w:rPr>
          <w:rFonts w:ascii="Palatino Linotype" w:hAnsi="Palatino Linotype"/>
          <w:sz w:val="24"/>
          <w:szCs w:val="24"/>
        </w:rPr>
      </w:pPr>
    </w:p>
    <w:p w:rsidRPr="006043F5" w:rsidR="006043F5" w:rsidP="0044313A" w:rsidRDefault="006043F5" w14:paraId="232783F2" w14:textId="62EF0630">
      <w:pPr>
        <w:tabs>
          <w:tab w:val="left" w:pos="720"/>
          <w:tab w:val="left" w:pos="1152"/>
          <w:tab w:val="left" w:pos="1728"/>
          <w:tab w:val="left" w:pos="3168"/>
          <w:tab w:val="left" w:pos="5040"/>
        </w:tabs>
        <w:ind w:left="5760" w:right="144"/>
        <w:rPr>
          <w:rFonts w:ascii="Palatino Linotype" w:hAnsi="Palatino Linotype"/>
          <w:sz w:val="24"/>
          <w:szCs w:val="24"/>
        </w:rPr>
      </w:pPr>
      <w:r w:rsidRPr="006043F5">
        <w:rPr>
          <w:rFonts w:ascii="Palatino Linotype" w:hAnsi="Palatino Linotype"/>
          <w:sz w:val="24"/>
          <w:szCs w:val="24"/>
        </w:rPr>
        <w:t xml:space="preserve">      </w:t>
      </w:r>
      <w:r w:rsidR="0044313A">
        <w:rPr>
          <w:rFonts w:ascii="Palatino Linotype" w:hAnsi="Palatino Linotype"/>
          <w:sz w:val="24"/>
          <w:szCs w:val="24"/>
        </w:rPr>
        <w:t xml:space="preserve"> </w:t>
      </w:r>
      <w:r w:rsidRPr="006043F5">
        <w:rPr>
          <w:rFonts w:ascii="Palatino Linotype" w:hAnsi="Palatino Linotype"/>
          <w:sz w:val="24"/>
          <w:szCs w:val="24"/>
        </w:rPr>
        <w:t>ALICE REYNOLDS</w:t>
      </w:r>
    </w:p>
    <w:p w:rsidRPr="006043F5" w:rsidR="006043F5" w:rsidP="0044313A" w:rsidRDefault="006043F5" w14:paraId="3DFDABB0" w14:textId="06CD524E">
      <w:pPr>
        <w:tabs>
          <w:tab w:val="left" w:pos="720"/>
          <w:tab w:val="left" w:pos="1152"/>
          <w:tab w:val="left" w:pos="1728"/>
          <w:tab w:val="left" w:pos="3168"/>
          <w:tab w:val="left" w:pos="5040"/>
        </w:tabs>
        <w:ind w:left="5760" w:right="144"/>
        <w:rPr>
          <w:rFonts w:ascii="Palatino Linotype" w:hAnsi="Palatino Linotype"/>
          <w:sz w:val="24"/>
          <w:szCs w:val="24"/>
        </w:rPr>
      </w:pPr>
      <w:r w:rsidRPr="006043F5">
        <w:rPr>
          <w:rFonts w:ascii="Palatino Linotype" w:hAnsi="Palatino Linotype"/>
          <w:sz w:val="24"/>
          <w:szCs w:val="24"/>
        </w:rPr>
        <w:t xml:space="preserve">       </w:t>
      </w:r>
      <w:r w:rsidR="0044313A">
        <w:rPr>
          <w:rFonts w:ascii="Palatino Linotype" w:hAnsi="Palatino Linotype"/>
          <w:sz w:val="24"/>
          <w:szCs w:val="24"/>
        </w:rPr>
        <w:t xml:space="preserve"> </w:t>
      </w:r>
      <w:r w:rsidRPr="006043F5">
        <w:rPr>
          <w:rFonts w:ascii="Palatino Linotype" w:hAnsi="Palatino Linotype"/>
          <w:sz w:val="24"/>
          <w:szCs w:val="24"/>
        </w:rPr>
        <w:t xml:space="preserve">        President</w:t>
      </w:r>
    </w:p>
    <w:p w:rsidRPr="006043F5" w:rsidR="006043F5" w:rsidP="0044313A" w:rsidRDefault="006043F5" w14:paraId="47B0516F" w14:textId="240475B6">
      <w:pPr>
        <w:tabs>
          <w:tab w:val="left" w:pos="720"/>
          <w:tab w:val="left" w:pos="1152"/>
          <w:tab w:val="left" w:pos="1728"/>
          <w:tab w:val="left" w:pos="3168"/>
          <w:tab w:val="left" w:pos="5040"/>
        </w:tabs>
        <w:ind w:left="5760" w:right="144"/>
        <w:rPr>
          <w:rFonts w:ascii="Palatino Linotype" w:hAnsi="Palatino Linotype"/>
          <w:sz w:val="24"/>
          <w:szCs w:val="24"/>
        </w:rPr>
      </w:pPr>
      <w:r w:rsidRPr="006043F5">
        <w:rPr>
          <w:rFonts w:ascii="Palatino Linotype" w:hAnsi="Palatino Linotype"/>
          <w:sz w:val="24"/>
          <w:szCs w:val="24"/>
        </w:rPr>
        <w:t xml:space="preserve">   </w:t>
      </w:r>
      <w:r w:rsidR="0044313A">
        <w:rPr>
          <w:rFonts w:ascii="Palatino Linotype" w:hAnsi="Palatino Linotype"/>
          <w:sz w:val="24"/>
          <w:szCs w:val="24"/>
        </w:rPr>
        <w:t xml:space="preserve"> </w:t>
      </w:r>
      <w:r w:rsidRPr="006043F5">
        <w:rPr>
          <w:rFonts w:ascii="Palatino Linotype" w:hAnsi="Palatino Linotype"/>
          <w:sz w:val="24"/>
          <w:szCs w:val="24"/>
        </w:rPr>
        <w:t xml:space="preserve">   GENEVIEVE SHIROMA</w:t>
      </w:r>
    </w:p>
    <w:p w:rsidRPr="006043F5" w:rsidR="006043F5" w:rsidP="0044313A" w:rsidRDefault="006043F5" w14:paraId="5230E8A3" w14:textId="5A249FE8">
      <w:pPr>
        <w:tabs>
          <w:tab w:val="left" w:pos="720"/>
          <w:tab w:val="left" w:pos="1152"/>
          <w:tab w:val="left" w:pos="1728"/>
          <w:tab w:val="left" w:pos="3168"/>
          <w:tab w:val="left" w:pos="5040"/>
        </w:tabs>
        <w:ind w:left="5760" w:right="144"/>
        <w:rPr>
          <w:rFonts w:ascii="Palatino Linotype" w:hAnsi="Palatino Linotype"/>
          <w:sz w:val="24"/>
          <w:szCs w:val="24"/>
        </w:rPr>
      </w:pPr>
      <w:r w:rsidRPr="006043F5">
        <w:rPr>
          <w:rFonts w:ascii="Palatino Linotype" w:hAnsi="Palatino Linotype"/>
          <w:sz w:val="24"/>
          <w:szCs w:val="24"/>
        </w:rPr>
        <w:t xml:space="preserve">  </w:t>
      </w:r>
      <w:r w:rsidR="0044313A">
        <w:rPr>
          <w:rFonts w:ascii="Palatino Linotype" w:hAnsi="Palatino Linotype"/>
          <w:sz w:val="24"/>
          <w:szCs w:val="24"/>
        </w:rPr>
        <w:t xml:space="preserve"> </w:t>
      </w:r>
      <w:r w:rsidRPr="006043F5">
        <w:rPr>
          <w:rFonts w:ascii="Palatino Linotype" w:hAnsi="Palatino Linotype"/>
          <w:sz w:val="24"/>
          <w:szCs w:val="24"/>
        </w:rPr>
        <w:t xml:space="preserve">    DARCIE HOUCK</w:t>
      </w:r>
    </w:p>
    <w:p w:rsidRPr="006043F5" w:rsidR="006043F5" w:rsidP="0044313A" w:rsidRDefault="006043F5" w14:paraId="3959A2D6" w14:textId="4A176A7C">
      <w:pPr>
        <w:tabs>
          <w:tab w:val="left" w:pos="720"/>
          <w:tab w:val="left" w:pos="1152"/>
          <w:tab w:val="left" w:pos="1728"/>
          <w:tab w:val="left" w:pos="3168"/>
          <w:tab w:val="left" w:pos="5040"/>
        </w:tabs>
        <w:ind w:left="5760" w:right="144"/>
        <w:rPr>
          <w:rFonts w:ascii="Palatino Linotype" w:hAnsi="Palatino Linotype"/>
          <w:sz w:val="24"/>
          <w:szCs w:val="24"/>
        </w:rPr>
      </w:pPr>
      <w:r w:rsidRPr="006043F5">
        <w:rPr>
          <w:rFonts w:ascii="Palatino Linotype" w:hAnsi="Palatino Linotype"/>
          <w:sz w:val="24"/>
          <w:szCs w:val="24"/>
        </w:rPr>
        <w:t xml:space="preserve"> </w:t>
      </w:r>
      <w:r w:rsidR="0044313A">
        <w:rPr>
          <w:rFonts w:ascii="Palatino Linotype" w:hAnsi="Palatino Linotype"/>
          <w:sz w:val="24"/>
          <w:szCs w:val="24"/>
        </w:rPr>
        <w:t xml:space="preserve"> </w:t>
      </w:r>
      <w:r w:rsidRPr="006043F5">
        <w:rPr>
          <w:rFonts w:ascii="Palatino Linotype" w:hAnsi="Palatino Linotype"/>
          <w:sz w:val="24"/>
          <w:szCs w:val="24"/>
        </w:rPr>
        <w:t xml:space="preserve">     JOHN REYNOLDS</w:t>
      </w:r>
    </w:p>
    <w:p w:rsidRPr="006043F5" w:rsidR="006043F5" w:rsidP="0044313A" w:rsidRDefault="006043F5" w14:paraId="3EC8BB9E" w14:textId="7F5D03C4">
      <w:pPr>
        <w:tabs>
          <w:tab w:val="left" w:pos="720"/>
          <w:tab w:val="left" w:pos="1152"/>
          <w:tab w:val="left" w:pos="1728"/>
          <w:tab w:val="left" w:pos="3168"/>
          <w:tab w:val="left" w:pos="5040"/>
        </w:tabs>
        <w:ind w:left="5760" w:right="144"/>
        <w:rPr>
          <w:rFonts w:ascii="Palatino Linotype" w:hAnsi="Palatino Linotype"/>
          <w:sz w:val="24"/>
          <w:szCs w:val="24"/>
        </w:rPr>
      </w:pPr>
      <w:r w:rsidRPr="006043F5">
        <w:rPr>
          <w:rFonts w:ascii="Palatino Linotype" w:hAnsi="Palatino Linotype"/>
          <w:sz w:val="24"/>
          <w:szCs w:val="24"/>
        </w:rPr>
        <w:t xml:space="preserve">  </w:t>
      </w:r>
      <w:r w:rsidR="0044313A">
        <w:rPr>
          <w:rFonts w:ascii="Palatino Linotype" w:hAnsi="Palatino Linotype"/>
          <w:sz w:val="24"/>
          <w:szCs w:val="24"/>
        </w:rPr>
        <w:t xml:space="preserve"> </w:t>
      </w:r>
      <w:r w:rsidRPr="006043F5">
        <w:rPr>
          <w:rFonts w:ascii="Palatino Linotype" w:hAnsi="Palatino Linotype"/>
          <w:sz w:val="24"/>
          <w:szCs w:val="24"/>
        </w:rPr>
        <w:t xml:space="preserve">    KAREN DOUGLAS</w:t>
      </w:r>
    </w:p>
    <w:p w:rsidR="003228E4" w:rsidP="0044313A" w:rsidRDefault="006043F5" w14:paraId="3E470323" w14:textId="3DA7595F">
      <w:pPr>
        <w:tabs>
          <w:tab w:val="left" w:pos="720"/>
          <w:tab w:val="left" w:pos="1152"/>
          <w:tab w:val="left" w:pos="1728"/>
          <w:tab w:val="left" w:pos="3168"/>
          <w:tab w:val="left" w:pos="5040"/>
        </w:tabs>
        <w:ind w:left="5760" w:right="144"/>
      </w:pPr>
      <w:r w:rsidRPr="006043F5">
        <w:rPr>
          <w:rFonts w:ascii="Palatino Linotype" w:hAnsi="Palatino Linotype"/>
          <w:sz w:val="24"/>
          <w:szCs w:val="24"/>
        </w:rPr>
        <w:t xml:space="preserve">  </w:t>
      </w:r>
      <w:r w:rsidR="0044313A">
        <w:rPr>
          <w:rFonts w:ascii="Palatino Linotype" w:hAnsi="Palatino Linotype"/>
          <w:sz w:val="24"/>
          <w:szCs w:val="24"/>
        </w:rPr>
        <w:t xml:space="preserve"> </w:t>
      </w:r>
      <w:r w:rsidRPr="006043F5">
        <w:rPr>
          <w:rFonts w:ascii="Palatino Linotype" w:hAnsi="Palatino Linotype"/>
          <w:sz w:val="24"/>
          <w:szCs w:val="24"/>
        </w:rPr>
        <w:t xml:space="preserve">       Commissioners</w:t>
      </w:r>
    </w:p>
    <w:sectPr w:rsidR="003228E4">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6CDA8" w14:textId="77777777" w:rsidR="00400583" w:rsidRDefault="00400583">
      <w:r>
        <w:separator/>
      </w:r>
    </w:p>
  </w:endnote>
  <w:endnote w:type="continuationSeparator" w:id="0">
    <w:p w14:paraId="78BD8A0B" w14:textId="77777777" w:rsidR="00400583" w:rsidRDefault="00400583">
      <w:r>
        <w:continuationSeparator/>
      </w:r>
    </w:p>
  </w:endnote>
  <w:endnote w:type="continuationNotice" w:id="1">
    <w:p w14:paraId="4C56CE84" w14:textId="77777777" w:rsidR="00400583" w:rsidRDefault="004005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Palatino Linotype"/>
    <w:panose1 w:val="02020500000000000000"/>
    <w:charset w:val="00"/>
    <w:family w:val="roman"/>
    <w:pitch w:val="variable"/>
    <w:sig w:usb0="20000A87" w:usb1="08000000" w:usb2="00000008" w:usb3="00000000" w:csb0="0000011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F49D0" w14:textId="77777777" w:rsidR="00B332BB" w:rsidRDefault="00B332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sz w:val="24"/>
        <w:szCs w:val="18"/>
      </w:rPr>
      <w:id w:val="-573816544"/>
      <w:docPartObj>
        <w:docPartGallery w:val="Page Numbers (Bottom of Page)"/>
        <w:docPartUnique/>
      </w:docPartObj>
    </w:sdtPr>
    <w:sdtContent>
      <w:p w14:paraId="741957AA" w14:textId="77777777" w:rsidR="00B913F1" w:rsidRPr="00D865A9" w:rsidRDefault="00B913F1">
        <w:pPr>
          <w:pStyle w:val="Footer"/>
          <w:rPr>
            <w:rFonts w:ascii="Palatino Linotype" w:hAnsi="Palatino Linotype"/>
            <w:sz w:val="24"/>
            <w:szCs w:val="18"/>
          </w:rPr>
        </w:pPr>
        <w:r w:rsidRPr="00D865A9">
          <w:rPr>
            <w:rFonts w:ascii="Palatino Linotype" w:hAnsi="Palatino Linotype"/>
            <w:sz w:val="24"/>
            <w:szCs w:val="18"/>
          </w:rPr>
          <w:fldChar w:fldCharType="begin"/>
        </w:r>
        <w:r w:rsidRPr="00D865A9">
          <w:rPr>
            <w:rFonts w:ascii="Palatino Linotype" w:hAnsi="Palatino Linotype"/>
            <w:sz w:val="24"/>
            <w:szCs w:val="18"/>
          </w:rPr>
          <w:instrText xml:space="preserve"> PAGE   \* MERGEFORMAT </w:instrText>
        </w:r>
        <w:r w:rsidRPr="00D865A9">
          <w:rPr>
            <w:rFonts w:ascii="Palatino Linotype" w:hAnsi="Palatino Linotype"/>
            <w:sz w:val="24"/>
            <w:szCs w:val="18"/>
          </w:rPr>
          <w:fldChar w:fldCharType="separate"/>
        </w:r>
        <w:r w:rsidRPr="00D865A9">
          <w:rPr>
            <w:rFonts w:ascii="Palatino Linotype" w:hAnsi="Palatino Linotype"/>
            <w:sz w:val="24"/>
            <w:szCs w:val="18"/>
          </w:rPr>
          <w:t>2</w:t>
        </w:r>
        <w:r w:rsidRPr="00D865A9">
          <w:rPr>
            <w:rFonts w:ascii="Palatino Linotype" w:hAnsi="Palatino Linotype"/>
            <w:sz w:val="24"/>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76F09" w14:textId="370FBDBB" w:rsidR="00CF17DE" w:rsidRPr="001A1DB2" w:rsidRDefault="00B332BB" w:rsidP="00EF7EC1">
    <w:pPr>
      <w:pStyle w:val="Footer"/>
      <w:tabs>
        <w:tab w:val="clear" w:pos="4320"/>
        <w:tab w:val="center" w:pos="4680"/>
      </w:tabs>
      <w:jc w:val="left"/>
      <w:rPr>
        <w:rFonts w:ascii="Palatino Linotype" w:hAnsi="Palatino Linotype"/>
        <w:sz w:val="24"/>
        <w:szCs w:val="18"/>
      </w:rPr>
    </w:pPr>
    <w:r w:rsidRPr="00B332BB">
      <w:rPr>
        <w:rFonts w:ascii="Tahoma" w:hAnsi="Tahoma" w:cs="Tahoma"/>
        <w:sz w:val="20"/>
      </w:rPr>
      <w:t xml:space="preserve">520483389  </w:t>
    </w:r>
    <w:r>
      <w:rPr>
        <w:rFonts w:ascii="Tahoma" w:hAnsi="Tahoma" w:cs="Tahoma"/>
        <w:sz w:val="20"/>
      </w:rPr>
      <w:t xml:space="preserve"> </w:t>
    </w:r>
    <w:r w:rsidR="00EF7EC1" w:rsidRPr="00EF7EC1">
      <w:rPr>
        <w:rStyle w:val="PageNumber"/>
      </w:rPr>
      <w:tab/>
    </w:r>
    <w:r w:rsidR="00CF17DE" w:rsidRPr="001A1DB2">
      <w:rPr>
        <w:rStyle w:val="PageNumber"/>
        <w:rFonts w:ascii="Palatino Linotype" w:hAnsi="Palatino Linotype"/>
        <w:sz w:val="24"/>
        <w:szCs w:val="18"/>
      </w:rPr>
      <w:fldChar w:fldCharType="begin"/>
    </w:r>
    <w:r w:rsidR="00CF17DE" w:rsidRPr="001A1DB2">
      <w:rPr>
        <w:rStyle w:val="PageNumber"/>
        <w:rFonts w:ascii="Palatino Linotype" w:hAnsi="Palatino Linotype"/>
        <w:sz w:val="24"/>
        <w:szCs w:val="18"/>
      </w:rPr>
      <w:instrText xml:space="preserve"> PAGE </w:instrText>
    </w:r>
    <w:r w:rsidR="00CF17DE" w:rsidRPr="001A1DB2">
      <w:rPr>
        <w:rStyle w:val="PageNumber"/>
        <w:rFonts w:ascii="Palatino Linotype" w:hAnsi="Palatino Linotype"/>
        <w:sz w:val="24"/>
        <w:szCs w:val="18"/>
      </w:rPr>
      <w:fldChar w:fldCharType="separate"/>
    </w:r>
    <w:r w:rsidR="00946E2C" w:rsidRPr="001A1DB2">
      <w:rPr>
        <w:rStyle w:val="PageNumber"/>
        <w:rFonts w:ascii="Palatino Linotype" w:hAnsi="Palatino Linotype"/>
        <w:sz w:val="24"/>
        <w:szCs w:val="18"/>
      </w:rPr>
      <w:t>1</w:t>
    </w:r>
    <w:r w:rsidR="00CF17DE" w:rsidRPr="001A1DB2">
      <w:rPr>
        <w:rStyle w:val="PageNumber"/>
        <w:rFonts w:ascii="Palatino Linotype" w:hAnsi="Palatino Linotype"/>
        <w:sz w:val="24"/>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03E27" w14:textId="77777777" w:rsidR="00400583" w:rsidRDefault="00400583">
      <w:r>
        <w:separator/>
      </w:r>
    </w:p>
  </w:footnote>
  <w:footnote w:type="continuationSeparator" w:id="0">
    <w:p w14:paraId="5755BBB7" w14:textId="77777777" w:rsidR="00400583" w:rsidRDefault="00400583">
      <w:r>
        <w:continuationSeparator/>
      </w:r>
    </w:p>
  </w:footnote>
  <w:footnote w:type="continuationNotice" w:id="1">
    <w:p w14:paraId="58BEF6F5" w14:textId="77777777" w:rsidR="00400583" w:rsidRDefault="00400583">
      <w:pPr>
        <w:rPr>
          <w:sz w:val="22"/>
        </w:rPr>
      </w:pPr>
    </w:p>
    <w:p w14:paraId="3114E88D" w14:textId="77777777" w:rsidR="00400583" w:rsidRDefault="00400583">
      <w:pPr>
        <w:jc w:val="right"/>
        <w:rPr>
          <w:sz w:val="22"/>
        </w:rPr>
      </w:pPr>
      <w:r>
        <w:rPr>
          <w:i/>
          <w:sz w:val="22"/>
        </w:rPr>
        <w:t xml:space="preserve">Footnote continued on next </w:t>
      </w:r>
      <w:proofErr w:type="gramStart"/>
      <w:r>
        <w:rPr>
          <w:i/>
          <w:sz w:val="22"/>
        </w:rPr>
        <w:t>page</w:t>
      </w:r>
      <w:proofErr w:type="gramEnd"/>
    </w:p>
  </w:footnote>
  <w:footnote w:id="2">
    <w:p w14:paraId="173DCBD8" w14:textId="77777777" w:rsidR="12228140" w:rsidRPr="0057678A" w:rsidRDefault="12228140" w:rsidP="0057678A">
      <w:pPr>
        <w:pStyle w:val="FootnoteText"/>
        <w:numPr>
          <w:ilvl w:val="0"/>
          <w:numId w:val="0"/>
        </w:numPr>
        <w:spacing w:after="40"/>
        <w:rPr>
          <w:sz w:val="20"/>
          <w:szCs w:val="16"/>
        </w:rPr>
      </w:pPr>
      <w:r w:rsidRPr="0057678A">
        <w:rPr>
          <w:rStyle w:val="FootnoteReference"/>
          <w:sz w:val="20"/>
          <w:szCs w:val="16"/>
        </w:rPr>
        <w:footnoteRef/>
      </w:r>
      <w:r w:rsidRPr="0057678A">
        <w:rPr>
          <w:sz w:val="20"/>
          <w:szCs w:val="16"/>
        </w:rPr>
        <w:t xml:space="preserve"> SB 247 raised the rates for tree trimmers to match the first period apprentice linemen (Qualified Electrical Workers). </w:t>
      </w:r>
      <w:r w:rsidRPr="0057678A">
        <w:rPr>
          <w:i/>
          <w:iCs/>
          <w:sz w:val="20"/>
          <w:szCs w:val="16"/>
        </w:rPr>
        <w:t xml:space="preserve">See </w:t>
      </w:r>
      <w:r w:rsidRPr="0057678A">
        <w:rPr>
          <w:sz w:val="20"/>
          <w:szCs w:val="16"/>
        </w:rPr>
        <w:t>SCE AL 4881-E, Appendix B, Declaration of Melanie Jocelyn at Footnote 3.</w:t>
      </w:r>
    </w:p>
  </w:footnote>
  <w:footnote w:id="3">
    <w:p w14:paraId="38C1E853" w14:textId="77777777" w:rsidR="12228140" w:rsidRPr="0057678A" w:rsidRDefault="12228140" w:rsidP="0057678A">
      <w:pPr>
        <w:pStyle w:val="FootnoteText"/>
        <w:numPr>
          <w:ilvl w:val="0"/>
          <w:numId w:val="0"/>
        </w:numPr>
        <w:spacing w:after="40"/>
        <w:rPr>
          <w:sz w:val="20"/>
          <w:szCs w:val="16"/>
        </w:rPr>
      </w:pPr>
      <w:r w:rsidRPr="0057678A">
        <w:rPr>
          <w:rStyle w:val="FootnoteReference"/>
          <w:sz w:val="20"/>
          <w:szCs w:val="16"/>
        </w:rPr>
        <w:footnoteRef/>
      </w:r>
      <w:r w:rsidR="6C4B7FD9" w:rsidRPr="0057678A">
        <w:rPr>
          <w:sz w:val="20"/>
          <w:szCs w:val="16"/>
        </w:rPr>
        <w:t xml:space="preserve"> SCE AL 4881-E, Appendix B, Declaration of Melanie Jocelyn, p. 1.</w:t>
      </w:r>
    </w:p>
  </w:footnote>
  <w:footnote w:id="4">
    <w:p w14:paraId="01FA7D3E" w14:textId="77777777" w:rsidR="12228140" w:rsidRPr="0057678A" w:rsidRDefault="12228140" w:rsidP="0057678A">
      <w:pPr>
        <w:pStyle w:val="FootnoteText"/>
        <w:numPr>
          <w:ilvl w:val="0"/>
          <w:numId w:val="0"/>
        </w:numPr>
        <w:spacing w:after="40"/>
        <w:rPr>
          <w:sz w:val="20"/>
          <w:szCs w:val="16"/>
        </w:rPr>
      </w:pPr>
      <w:r w:rsidRPr="0057678A">
        <w:rPr>
          <w:rStyle w:val="FootnoteReference"/>
          <w:sz w:val="20"/>
          <w:szCs w:val="16"/>
        </w:rPr>
        <w:footnoteRef/>
      </w:r>
      <w:r w:rsidR="6C4B7FD9" w:rsidRPr="0057678A">
        <w:rPr>
          <w:sz w:val="20"/>
          <w:szCs w:val="16"/>
        </w:rPr>
        <w:t xml:space="preserve"> SCE AL 4881-E, Appendix B, Declaration of Melanie Jocelyn, p. 2.</w:t>
      </w:r>
    </w:p>
  </w:footnote>
  <w:footnote w:id="5">
    <w:p w14:paraId="01A352C6" w14:textId="77777777" w:rsidR="12228140" w:rsidRPr="0057678A" w:rsidRDefault="12228140" w:rsidP="0057678A">
      <w:pPr>
        <w:pStyle w:val="FootnoteText"/>
        <w:numPr>
          <w:ilvl w:val="0"/>
          <w:numId w:val="0"/>
        </w:numPr>
        <w:spacing w:after="40"/>
        <w:rPr>
          <w:sz w:val="20"/>
          <w:szCs w:val="16"/>
        </w:rPr>
      </w:pPr>
      <w:r w:rsidRPr="0057678A">
        <w:rPr>
          <w:rStyle w:val="FootnoteReference"/>
          <w:sz w:val="20"/>
          <w:szCs w:val="16"/>
        </w:rPr>
        <w:footnoteRef/>
      </w:r>
      <w:r w:rsidR="6C4B7FD9" w:rsidRPr="0057678A">
        <w:rPr>
          <w:sz w:val="20"/>
          <w:szCs w:val="16"/>
        </w:rPr>
        <w:t xml:space="preserve"> SCE AL 4881-E, p. 3.</w:t>
      </w:r>
    </w:p>
  </w:footnote>
  <w:footnote w:id="6">
    <w:p w14:paraId="71AB1F97" w14:textId="77777777" w:rsidR="12228140" w:rsidRPr="0057678A" w:rsidRDefault="12228140" w:rsidP="0057678A">
      <w:pPr>
        <w:pStyle w:val="FootnoteText"/>
        <w:numPr>
          <w:ilvl w:val="0"/>
          <w:numId w:val="0"/>
        </w:numPr>
        <w:spacing w:after="40"/>
        <w:rPr>
          <w:sz w:val="20"/>
          <w:szCs w:val="16"/>
        </w:rPr>
      </w:pPr>
      <w:r w:rsidRPr="0057678A">
        <w:rPr>
          <w:rStyle w:val="FootnoteReference"/>
          <w:sz w:val="20"/>
          <w:szCs w:val="16"/>
        </w:rPr>
        <w:footnoteRef/>
      </w:r>
      <w:r w:rsidR="6C4B7FD9" w:rsidRPr="0057678A">
        <w:rPr>
          <w:sz w:val="20"/>
          <w:szCs w:val="16"/>
        </w:rPr>
        <w:t xml:space="preserve"> SCE AL 4881-E, p. 3.</w:t>
      </w:r>
    </w:p>
  </w:footnote>
  <w:footnote w:id="7">
    <w:p w14:paraId="4CE7D464" w14:textId="77777777" w:rsidR="365BEDDC" w:rsidRPr="0057678A" w:rsidRDefault="365BEDDC" w:rsidP="0057678A">
      <w:pPr>
        <w:pStyle w:val="FootnoteText"/>
        <w:numPr>
          <w:ilvl w:val="0"/>
          <w:numId w:val="0"/>
        </w:numPr>
        <w:spacing w:after="40"/>
        <w:rPr>
          <w:sz w:val="20"/>
          <w:szCs w:val="16"/>
        </w:rPr>
      </w:pPr>
      <w:r w:rsidRPr="0057678A">
        <w:rPr>
          <w:rStyle w:val="FootnoteReference"/>
          <w:sz w:val="20"/>
          <w:szCs w:val="16"/>
        </w:rPr>
        <w:footnoteRef/>
      </w:r>
      <w:r w:rsidR="6C4B7FD9" w:rsidRPr="0057678A">
        <w:rPr>
          <w:sz w:val="20"/>
          <w:szCs w:val="16"/>
        </w:rPr>
        <w:t xml:space="preserve"> D.19-050-020, pp. 64, 71-72 and D.22-06-032, pp. 53-54.</w:t>
      </w:r>
    </w:p>
  </w:footnote>
  <w:footnote w:id="8">
    <w:p w14:paraId="74CBE6C1" w14:textId="77777777" w:rsidR="365BEDDC" w:rsidRPr="0057678A" w:rsidRDefault="365BEDDC" w:rsidP="0057678A">
      <w:pPr>
        <w:pStyle w:val="FootnoteText"/>
        <w:numPr>
          <w:ilvl w:val="0"/>
          <w:numId w:val="0"/>
        </w:numPr>
        <w:spacing w:after="40"/>
        <w:rPr>
          <w:sz w:val="20"/>
          <w:szCs w:val="16"/>
        </w:rPr>
      </w:pPr>
      <w:r w:rsidRPr="0057678A">
        <w:rPr>
          <w:rStyle w:val="FootnoteReference"/>
          <w:sz w:val="20"/>
          <w:szCs w:val="16"/>
        </w:rPr>
        <w:footnoteRef/>
      </w:r>
      <w:r w:rsidR="6C4B7FD9" w:rsidRPr="0057678A">
        <w:rPr>
          <w:sz w:val="20"/>
          <w:szCs w:val="16"/>
        </w:rPr>
        <w:t xml:space="preserve"> A.19-08-013, Ex. SCE Tr.3-01, Vol. 01, p. 97.</w:t>
      </w:r>
    </w:p>
  </w:footnote>
  <w:footnote w:id="9">
    <w:p w14:paraId="4D605F91" w14:textId="77777777" w:rsidR="365BEDDC" w:rsidRPr="0057678A" w:rsidRDefault="365BEDDC" w:rsidP="0057678A">
      <w:pPr>
        <w:pStyle w:val="FootnoteText"/>
        <w:numPr>
          <w:ilvl w:val="0"/>
          <w:numId w:val="0"/>
        </w:numPr>
        <w:spacing w:after="40"/>
        <w:rPr>
          <w:sz w:val="20"/>
          <w:szCs w:val="16"/>
        </w:rPr>
      </w:pPr>
      <w:r w:rsidRPr="0057678A">
        <w:rPr>
          <w:rStyle w:val="FootnoteReference"/>
          <w:sz w:val="20"/>
          <w:szCs w:val="16"/>
        </w:rPr>
        <w:footnoteRef/>
      </w:r>
      <w:r w:rsidRPr="0057678A">
        <w:rPr>
          <w:sz w:val="20"/>
          <w:szCs w:val="16"/>
        </w:rPr>
        <w:t xml:space="preserve"> A.19-08-013, Ex. SCE Tr.3-01, Vol. 01, p.97.</w:t>
      </w:r>
    </w:p>
  </w:footnote>
  <w:footnote w:id="10">
    <w:p w14:paraId="053F156C" w14:textId="77777777" w:rsidR="5FDFFF45" w:rsidRPr="0057678A" w:rsidRDefault="5FDFFF45" w:rsidP="0057678A">
      <w:pPr>
        <w:pStyle w:val="FootnoteText"/>
        <w:numPr>
          <w:ilvl w:val="0"/>
          <w:numId w:val="0"/>
        </w:numPr>
        <w:spacing w:after="40"/>
        <w:rPr>
          <w:sz w:val="20"/>
          <w:szCs w:val="16"/>
        </w:rPr>
      </w:pPr>
      <w:r w:rsidRPr="0057678A">
        <w:rPr>
          <w:rStyle w:val="FootnoteReference"/>
          <w:sz w:val="20"/>
          <w:szCs w:val="16"/>
        </w:rPr>
        <w:footnoteRef/>
      </w:r>
      <w:r w:rsidRPr="0057678A">
        <w:rPr>
          <w:sz w:val="20"/>
          <w:szCs w:val="16"/>
        </w:rPr>
        <w:t xml:space="preserve"> A.19</w:t>
      </w:r>
      <w:r w:rsidR="005D2FB9" w:rsidRPr="0057678A">
        <w:rPr>
          <w:sz w:val="20"/>
          <w:szCs w:val="16"/>
        </w:rPr>
        <w:t>-</w:t>
      </w:r>
      <w:r w:rsidRPr="0057678A">
        <w:rPr>
          <w:sz w:val="20"/>
          <w:szCs w:val="16"/>
        </w:rPr>
        <w:t>08</w:t>
      </w:r>
      <w:r w:rsidR="005D2FB9" w:rsidRPr="0057678A">
        <w:rPr>
          <w:sz w:val="20"/>
          <w:szCs w:val="16"/>
        </w:rPr>
        <w:t>-</w:t>
      </w:r>
      <w:r w:rsidRPr="0057678A">
        <w:rPr>
          <w:sz w:val="20"/>
          <w:szCs w:val="16"/>
        </w:rPr>
        <w:t>013, Ex. SCE T3-01, Vol. 03C, P.48, Table IV11</w:t>
      </w:r>
    </w:p>
  </w:footnote>
  <w:footnote w:id="11">
    <w:p w14:paraId="6025783F" w14:textId="77777777" w:rsidR="365BEDDC" w:rsidRPr="0057678A" w:rsidRDefault="365BEDDC" w:rsidP="0057678A">
      <w:pPr>
        <w:pStyle w:val="FootnoteText"/>
        <w:numPr>
          <w:ilvl w:val="0"/>
          <w:numId w:val="0"/>
        </w:numPr>
        <w:spacing w:after="40"/>
        <w:rPr>
          <w:sz w:val="20"/>
          <w:szCs w:val="16"/>
        </w:rPr>
      </w:pPr>
      <w:r w:rsidRPr="0057678A">
        <w:rPr>
          <w:rStyle w:val="FootnoteReference"/>
          <w:sz w:val="20"/>
          <w:szCs w:val="16"/>
        </w:rPr>
        <w:footnoteRef/>
      </w:r>
      <w:r w:rsidRPr="0057678A">
        <w:rPr>
          <w:sz w:val="20"/>
          <w:szCs w:val="16"/>
        </w:rPr>
        <w:t xml:space="preserve"> $332.48 million recorded - $80.16 authorized = $252.32 incremental</w:t>
      </w:r>
    </w:p>
  </w:footnote>
  <w:footnote w:id="12">
    <w:p w14:paraId="1882E294" w14:textId="77777777" w:rsidR="365BEDDC" w:rsidRPr="0057678A" w:rsidRDefault="365BEDDC" w:rsidP="0057678A">
      <w:pPr>
        <w:pStyle w:val="FootnoteText"/>
        <w:numPr>
          <w:ilvl w:val="0"/>
          <w:numId w:val="0"/>
        </w:numPr>
        <w:spacing w:after="40"/>
        <w:rPr>
          <w:sz w:val="20"/>
          <w:szCs w:val="16"/>
        </w:rPr>
      </w:pPr>
      <w:r w:rsidRPr="0057678A">
        <w:rPr>
          <w:rStyle w:val="FootnoteReference"/>
          <w:sz w:val="20"/>
          <w:szCs w:val="16"/>
        </w:rPr>
        <w:footnoteRef/>
      </w:r>
      <w:r w:rsidR="6C4B7FD9" w:rsidRPr="0057678A">
        <w:rPr>
          <w:sz w:val="20"/>
          <w:szCs w:val="16"/>
        </w:rPr>
        <w:t xml:space="preserve"> D.22-06-032, p. 50.</w:t>
      </w:r>
    </w:p>
  </w:footnote>
  <w:footnote w:id="13">
    <w:p w14:paraId="703B0B80" w14:textId="77777777" w:rsidR="365BEDDC" w:rsidRPr="0057678A" w:rsidRDefault="365BEDDC" w:rsidP="0057678A">
      <w:pPr>
        <w:pStyle w:val="FootnoteText"/>
        <w:numPr>
          <w:ilvl w:val="0"/>
          <w:numId w:val="0"/>
        </w:numPr>
        <w:spacing w:after="40"/>
        <w:rPr>
          <w:sz w:val="20"/>
          <w:szCs w:val="16"/>
        </w:rPr>
      </w:pPr>
      <w:r w:rsidRPr="0057678A">
        <w:rPr>
          <w:rStyle w:val="FootnoteReference"/>
          <w:sz w:val="20"/>
          <w:szCs w:val="16"/>
        </w:rPr>
        <w:footnoteRef/>
      </w:r>
      <w:r w:rsidR="6C4B7FD9" w:rsidRPr="0057678A">
        <w:rPr>
          <w:sz w:val="20"/>
          <w:szCs w:val="16"/>
        </w:rPr>
        <w:t xml:space="preserve"> D.22-06-032, p. 50.</w:t>
      </w:r>
    </w:p>
  </w:footnote>
  <w:footnote w:id="14">
    <w:p w14:paraId="24350F22" w14:textId="77777777" w:rsidR="365BEDDC" w:rsidRPr="0057678A" w:rsidRDefault="365BEDDC" w:rsidP="0057678A">
      <w:pPr>
        <w:pStyle w:val="FootnoteText"/>
        <w:numPr>
          <w:ilvl w:val="0"/>
          <w:numId w:val="0"/>
        </w:numPr>
        <w:spacing w:after="40"/>
        <w:rPr>
          <w:sz w:val="20"/>
          <w:szCs w:val="16"/>
        </w:rPr>
      </w:pPr>
      <w:r w:rsidRPr="0057678A">
        <w:rPr>
          <w:rStyle w:val="FootnoteReference"/>
          <w:sz w:val="20"/>
          <w:szCs w:val="16"/>
        </w:rPr>
        <w:footnoteRef/>
      </w:r>
      <w:r w:rsidRPr="0057678A">
        <w:rPr>
          <w:sz w:val="20"/>
          <w:szCs w:val="16"/>
        </w:rPr>
        <w:t xml:space="preserve"> D.22-06-032, p. 52.</w:t>
      </w:r>
    </w:p>
  </w:footnote>
  <w:footnote w:id="15">
    <w:p w14:paraId="229258E8" w14:textId="77777777" w:rsidR="365BEDDC" w:rsidRPr="0057678A" w:rsidRDefault="365BEDDC" w:rsidP="0057678A">
      <w:pPr>
        <w:pStyle w:val="FootnoteText"/>
        <w:numPr>
          <w:ilvl w:val="0"/>
          <w:numId w:val="0"/>
        </w:numPr>
        <w:spacing w:after="40"/>
        <w:rPr>
          <w:sz w:val="20"/>
        </w:rPr>
      </w:pPr>
      <w:r w:rsidRPr="0057678A">
        <w:rPr>
          <w:rStyle w:val="FootnoteReference"/>
          <w:sz w:val="20"/>
          <w:szCs w:val="16"/>
        </w:rPr>
        <w:footnoteRef/>
      </w:r>
      <w:r w:rsidRPr="0057678A">
        <w:rPr>
          <w:sz w:val="20"/>
          <w:szCs w:val="16"/>
        </w:rPr>
        <w:t xml:space="preserve"> </w:t>
      </w:r>
      <w:r w:rsidRPr="0057678A">
        <w:rPr>
          <w:rFonts w:ascii="Palatino Linotype" w:hAnsi="Palatino Linotype"/>
          <w:sz w:val="20"/>
        </w:rPr>
        <w:t xml:space="preserve">SCE uses HFRA and high fire threat districts (HFTD) synonymously.  In D.20-12-030, the Commission approved </w:t>
      </w:r>
      <w:r w:rsidR="005D2FB9" w:rsidRPr="0057678A">
        <w:rPr>
          <w:rFonts w:ascii="Palatino Linotype" w:hAnsi="Palatino Linotype"/>
          <w:sz w:val="20"/>
        </w:rPr>
        <w:t>most</w:t>
      </w:r>
      <w:r w:rsidRPr="0057678A">
        <w:rPr>
          <w:rFonts w:ascii="Palatino Linotype" w:hAnsi="Palatino Linotype"/>
          <w:sz w:val="20"/>
        </w:rPr>
        <w:t xml:space="preserve"> SCE’s proposed changes to the Commission’s official Fire-Threat Map to further synchronize SCE’s HFRA and the Commission’s HFTD, thereby effectively making the two regions essentially synonymou</w:t>
      </w:r>
      <w:r w:rsidR="005D2FB9" w:rsidRPr="0057678A">
        <w:rPr>
          <w:rFonts w:ascii="Palatino Linotype" w:hAnsi="Palatino Linotype"/>
          <w:sz w:val="20"/>
        </w:rPr>
        <w:t>s</w:t>
      </w:r>
      <w:r w:rsidRPr="0057678A">
        <w:rPr>
          <w:rFonts w:ascii="Palatino Linotype" w:hAnsi="Palatino Linotype"/>
          <w:sz w:val="20"/>
        </w:rPr>
        <w:t xml:space="preserve">.  </w:t>
      </w:r>
      <w:r w:rsidRPr="0057678A">
        <w:rPr>
          <w:rFonts w:ascii="Palatino Linotype" w:hAnsi="Palatino Linotype"/>
          <w:i/>
          <w:iCs/>
          <w:sz w:val="20"/>
        </w:rPr>
        <w:t xml:space="preserve">See </w:t>
      </w:r>
      <w:r w:rsidRPr="0057678A">
        <w:rPr>
          <w:rFonts w:ascii="Palatino Linotype" w:hAnsi="Palatino Linotype"/>
          <w:sz w:val="20"/>
        </w:rPr>
        <w:t>AL 4881-E, Declaration of Jael Gurrola, Footnote 4.</w:t>
      </w:r>
    </w:p>
  </w:footnote>
  <w:footnote w:id="16">
    <w:p w14:paraId="63696FAE" w14:textId="77777777" w:rsidR="365BEDDC" w:rsidRPr="0057678A" w:rsidRDefault="365BEDDC" w:rsidP="0057678A">
      <w:pPr>
        <w:pStyle w:val="FootnoteText"/>
        <w:numPr>
          <w:ilvl w:val="0"/>
          <w:numId w:val="0"/>
        </w:numPr>
        <w:spacing w:after="40"/>
        <w:rPr>
          <w:sz w:val="20"/>
          <w:szCs w:val="16"/>
        </w:rPr>
      </w:pPr>
      <w:r w:rsidRPr="0057678A">
        <w:rPr>
          <w:rStyle w:val="FootnoteReference"/>
          <w:sz w:val="20"/>
          <w:szCs w:val="16"/>
        </w:rPr>
        <w:footnoteRef/>
      </w:r>
      <w:r w:rsidRPr="0057678A">
        <w:rPr>
          <w:sz w:val="20"/>
          <w:szCs w:val="16"/>
        </w:rPr>
        <w:t xml:space="preserve"> D.22-06-032, p. 52.</w:t>
      </w:r>
    </w:p>
  </w:footnote>
  <w:footnote w:id="17">
    <w:p w14:paraId="5EEE5747" w14:textId="77777777" w:rsidR="365BEDDC" w:rsidRPr="0057678A" w:rsidRDefault="365BEDDC" w:rsidP="0057678A">
      <w:pPr>
        <w:pStyle w:val="FootnoteText"/>
        <w:numPr>
          <w:ilvl w:val="0"/>
          <w:numId w:val="0"/>
        </w:numPr>
        <w:spacing w:after="40"/>
        <w:rPr>
          <w:sz w:val="20"/>
          <w:szCs w:val="16"/>
        </w:rPr>
      </w:pPr>
      <w:r w:rsidRPr="0057678A">
        <w:rPr>
          <w:rStyle w:val="FootnoteReference"/>
          <w:sz w:val="20"/>
          <w:szCs w:val="16"/>
        </w:rPr>
        <w:footnoteRef/>
      </w:r>
      <w:r w:rsidRPr="0057678A">
        <w:rPr>
          <w:sz w:val="20"/>
          <w:szCs w:val="16"/>
        </w:rPr>
        <w:t xml:space="preserve"> D.22-06-032, p. 52.</w:t>
      </w:r>
    </w:p>
  </w:footnote>
  <w:footnote w:id="18">
    <w:p w14:paraId="78971C4D" w14:textId="77777777" w:rsidR="365BEDDC" w:rsidRPr="0057678A" w:rsidRDefault="365BEDDC" w:rsidP="0057678A">
      <w:pPr>
        <w:pStyle w:val="FootnoteText"/>
        <w:numPr>
          <w:ilvl w:val="0"/>
          <w:numId w:val="0"/>
        </w:numPr>
        <w:spacing w:after="40"/>
        <w:rPr>
          <w:rFonts w:ascii="Palatino Linotype" w:hAnsi="Palatino Linotype"/>
          <w:sz w:val="20"/>
        </w:rPr>
      </w:pPr>
      <w:r w:rsidRPr="0057678A">
        <w:rPr>
          <w:rStyle w:val="FootnoteReference"/>
          <w:sz w:val="20"/>
          <w:szCs w:val="16"/>
        </w:rPr>
        <w:footnoteRef/>
      </w:r>
      <w:r w:rsidRPr="0057678A">
        <w:rPr>
          <w:sz w:val="20"/>
          <w:szCs w:val="16"/>
        </w:rPr>
        <w:t xml:space="preserve"> $</w:t>
      </w:r>
      <w:r w:rsidRPr="0057678A">
        <w:rPr>
          <w:rFonts w:ascii="Palatino Linotype" w:hAnsi="Palatino Linotype"/>
          <w:sz w:val="20"/>
        </w:rPr>
        <w:t>207.53 million recorded in HFRA in 2020 - $40.08 million previously authorized in TY 2018 GRC = $167.46 million incremental costs.</w:t>
      </w:r>
    </w:p>
  </w:footnote>
  <w:footnote w:id="19">
    <w:p w14:paraId="5825AA2F" w14:textId="77777777" w:rsidR="365BEDDC" w:rsidRPr="0057678A" w:rsidRDefault="365BEDDC" w:rsidP="0057678A">
      <w:pPr>
        <w:pStyle w:val="FootnoteText"/>
        <w:numPr>
          <w:ilvl w:val="0"/>
          <w:numId w:val="0"/>
        </w:numPr>
        <w:spacing w:after="40"/>
        <w:rPr>
          <w:sz w:val="20"/>
          <w:szCs w:val="16"/>
        </w:rPr>
      </w:pPr>
      <w:r w:rsidRPr="0057678A">
        <w:rPr>
          <w:rStyle w:val="FootnoteReference"/>
          <w:sz w:val="20"/>
          <w:szCs w:val="16"/>
        </w:rPr>
        <w:footnoteRef/>
      </w:r>
      <w:r w:rsidR="6C4B7FD9" w:rsidRPr="0057678A">
        <w:rPr>
          <w:sz w:val="20"/>
          <w:szCs w:val="16"/>
        </w:rPr>
        <w:t xml:space="preserve"> D.22-06-032, p. 56.</w:t>
      </w:r>
    </w:p>
  </w:footnote>
  <w:footnote w:id="20">
    <w:p w14:paraId="37FEC2CA" w14:textId="77777777" w:rsidR="365BEDDC" w:rsidRPr="0057678A" w:rsidRDefault="365BEDDC" w:rsidP="0057678A">
      <w:pPr>
        <w:pStyle w:val="FootnoteText"/>
        <w:numPr>
          <w:ilvl w:val="0"/>
          <w:numId w:val="0"/>
        </w:numPr>
        <w:spacing w:after="40"/>
        <w:rPr>
          <w:sz w:val="20"/>
          <w:szCs w:val="16"/>
        </w:rPr>
      </w:pPr>
      <w:r w:rsidRPr="0057678A">
        <w:rPr>
          <w:rStyle w:val="FootnoteReference"/>
          <w:sz w:val="20"/>
          <w:szCs w:val="16"/>
        </w:rPr>
        <w:footnoteRef/>
      </w:r>
      <w:r w:rsidRPr="0057678A">
        <w:rPr>
          <w:sz w:val="20"/>
          <w:szCs w:val="16"/>
        </w:rPr>
        <w:t xml:space="preserve"> This amount excludes FERC-jurisdictional costs of $22.46 million.  See A.19-08-013 SCE Opening Comments on PD, p. 8.</w:t>
      </w:r>
    </w:p>
  </w:footnote>
  <w:footnote w:id="21">
    <w:p w14:paraId="43838092" w14:textId="77777777" w:rsidR="365BEDDC" w:rsidRPr="0057678A" w:rsidRDefault="365BEDDC" w:rsidP="0057678A">
      <w:pPr>
        <w:pStyle w:val="FootnoteText"/>
        <w:numPr>
          <w:ilvl w:val="0"/>
          <w:numId w:val="0"/>
        </w:numPr>
        <w:spacing w:after="40"/>
        <w:rPr>
          <w:sz w:val="20"/>
          <w:szCs w:val="16"/>
        </w:rPr>
      </w:pPr>
      <w:r w:rsidRPr="0057678A">
        <w:rPr>
          <w:rStyle w:val="FootnoteReference"/>
          <w:sz w:val="20"/>
          <w:szCs w:val="16"/>
        </w:rPr>
        <w:footnoteRef/>
      </w:r>
      <w:r w:rsidRPr="0057678A">
        <w:rPr>
          <w:sz w:val="20"/>
          <w:szCs w:val="16"/>
        </w:rPr>
        <w:t xml:space="preserve"> D.19-05-020 authorized a total amount of $80.16 million for routine vegetation management activities and was not segregated by HFRA designation.  The allocation of the $80.16 million between HFRA and non-HFRA was determined in Track 3 D.22-06-032, p. 55-56.</w:t>
      </w:r>
    </w:p>
  </w:footnote>
  <w:footnote w:id="22">
    <w:p w14:paraId="26E83BEE" w14:textId="77777777" w:rsidR="365BEDDC" w:rsidRPr="0057678A" w:rsidRDefault="365BEDDC" w:rsidP="0057678A">
      <w:pPr>
        <w:pStyle w:val="FootnoteText"/>
        <w:numPr>
          <w:ilvl w:val="0"/>
          <w:numId w:val="0"/>
        </w:numPr>
        <w:spacing w:after="40"/>
        <w:rPr>
          <w:sz w:val="20"/>
          <w:szCs w:val="16"/>
        </w:rPr>
      </w:pPr>
      <w:r w:rsidRPr="0057678A">
        <w:rPr>
          <w:rStyle w:val="FootnoteReference"/>
          <w:sz w:val="20"/>
          <w:szCs w:val="16"/>
        </w:rPr>
        <w:footnoteRef/>
      </w:r>
      <w:r w:rsidRPr="0057678A">
        <w:rPr>
          <w:sz w:val="20"/>
          <w:szCs w:val="16"/>
        </w:rPr>
        <w:t xml:space="preserve"> D.22-06-032, p. 53-54.</w:t>
      </w:r>
    </w:p>
  </w:footnote>
  <w:footnote w:id="23">
    <w:p w14:paraId="364FD99A" w14:textId="77777777" w:rsidR="365BEDDC" w:rsidRPr="0057678A" w:rsidRDefault="365BEDDC" w:rsidP="0057678A">
      <w:pPr>
        <w:pStyle w:val="FootnoteText"/>
        <w:numPr>
          <w:ilvl w:val="0"/>
          <w:numId w:val="0"/>
        </w:numPr>
        <w:spacing w:after="40"/>
        <w:rPr>
          <w:sz w:val="20"/>
          <w:szCs w:val="16"/>
        </w:rPr>
      </w:pPr>
      <w:r w:rsidRPr="0057678A">
        <w:rPr>
          <w:rStyle w:val="FootnoteReference"/>
          <w:sz w:val="20"/>
          <w:szCs w:val="16"/>
        </w:rPr>
        <w:footnoteRef/>
      </w:r>
      <w:r w:rsidR="6C4B7FD9" w:rsidRPr="0057678A">
        <w:rPr>
          <w:sz w:val="20"/>
          <w:szCs w:val="16"/>
        </w:rPr>
        <w:t xml:space="preserve"> D.22-06-032, p. 54.</w:t>
      </w:r>
    </w:p>
  </w:footnote>
  <w:footnote w:id="24">
    <w:p w14:paraId="305BAF01" w14:textId="77777777" w:rsidR="365BEDDC" w:rsidRPr="0057678A" w:rsidRDefault="365BEDDC" w:rsidP="0057678A">
      <w:pPr>
        <w:pStyle w:val="FootnoteText"/>
        <w:numPr>
          <w:ilvl w:val="0"/>
          <w:numId w:val="0"/>
        </w:numPr>
        <w:spacing w:after="40"/>
        <w:rPr>
          <w:sz w:val="20"/>
          <w:szCs w:val="16"/>
        </w:rPr>
      </w:pPr>
      <w:r w:rsidRPr="0057678A">
        <w:rPr>
          <w:rStyle w:val="FootnoteReference"/>
          <w:sz w:val="20"/>
          <w:szCs w:val="16"/>
        </w:rPr>
        <w:footnoteRef/>
      </w:r>
      <w:r w:rsidR="6C4B7FD9" w:rsidRPr="0057678A">
        <w:rPr>
          <w:sz w:val="20"/>
          <w:szCs w:val="16"/>
        </w:rPr>
        <w:t xml:space="preserve"> D.22-06-032, p. 56.</w:t>
      </w:r>
    </w:p>
  </w:footnote>
  <w:footnote w:id="25">
    <w:p w14:paraId="48558CD5" w14:textId="77777777" w:rsidR="635534BE" w:rsidRPr="0057678A" w:rsidRDefault="635534BE" w:rsidP="0057678A">
      <w:pPr>
        <w:pStyle w:val="FootnoteText"/>
        <w:numPr>
          <w:ilvl w:val="0"/>
          <w:numId w:val="0"/>
        </w:numPr>
        <w:spacing w:after="40"/>
        <w:rPr>
          <w:sz w:val="20"/>
          <w:szCs w:val="16"/>
        </w:rPr>
      </w:pPr>
      <w:r w:rsidRPr="0057678A">
        <w:rPr>
          <w:rStyle w:val="FootnoteReference"/>
          <w:sz w:val="20"/>
          <w:szCs w:val="16"/>
        </w:rPr>
        <w:footnoteRef/>
      </w:r>
      <w:r w:rsidRPr="0057678A">
        <w:rPr>
          <w:sz w:val="20"/>
          <w:szCs w:val="16"/>
        </w:rPr>
        <w:t xml:space="preserve"> $207.53 (line a) - $40.08 (line b) = $167.46</w:t>
      </w:r>
    </w:p>
  </w:footnote>
  <w:footnote w:id="26">
    <w:p w14:paraId="1508AE8F" w14:textId="77777777" w:rsidR="365BEDDC" w:rsidRPr="0057678A" w:rsidRDefault="365BEDDC" w:rsidP="0057678A">
      <w:pPr>
        <w:pStyle w:val="FootnoteText"/>
        <w:numPr>
          <w:ilvl w:val="0"/>
          <w:numId w:val="0"/>
        </w:numPr>
        <w:spacing w:after="40"/>
        <w:rPr>
          <w:sz w:val="20"/>
          <w:szCs w:val="16"/>
        </w:rPr>
      </w:pPr>
      <w:r w:rsidRPr="0057678A">
        <w:rPr>
          <w:rStyle w:val="FootnoteReference"/>
          <w:sz w:val="20"/>
          <w:szCs w:val="16"/>
        </w:rPr>
        <w:footnoteRef/>
      </w:r>
      <w:r w:rsidRPr="0057678A">
        <w:rPr>
          <w:sz w:val="20"/>
          <w:szCs w:val="16"/>
        </w:rPr>
        <w:t xml:space="preserve"> $45.38 million (see line c) - $10 million deductible = $35.4 million</w:t>
      </w:r>
    </w:p>
  </w:footnote>
  <w:footnote w:id="27">
    <w:p w14:paraId="091D5C00" w14:textId="77777777" w:rsidR="365BEDDC" w:rsidRPr="0057678A" w:rsidRDefault="365BEDDC" w:rsidP="0057678A">
      <w:pPr>
        <w:pStyle w:val="FootnoteText"/>
        <w:numPr>
          <w:ilvl w:val="0"/>
          <w:numId w:val="0"/>
        </w:numPr>
        <w:spacing w:after="40"/>
        <w:rPr>
          <w:sz w:val="20"/>
          <w:szCs w:val="16"/>
        </w:rPr>
      </w:pPr>
      <w:r w:rsidRPr="0057678A">
        <w:rPr>
          <w:rStyle w:val="FootnoteReference"/>
          <w:sz w:val="20"/>
          <w:szCs w:val="16"/>
        </w:rPr>
        <w:footnoteRef/>
      </w:r>
      <w:r w:rsidRPr="0057678A">
        <w:rPr>
          <w:sz w:val="20"/>
          <w:szCs w:val="16"/>
        </w:rPr>
        <w:t xml:space="preserve"> $45.38 (line d) - $10 million Z-factor deductible = $35.38</w:t>
      </w:r>
    </w:p>
  </w:footnote>
  <w:footnote w:id="28">
    <w:p w14:paraId="465F1A61" w14:textId="77777777" w:rsidR="65CDA542" w:rsidRPr="0057678A" w:rsidRDefault="65CDA542" w:rsidP="0057678A">
      <w:pPr>
        <w:pStyle w:val="FootnoteText"/>
        <w:numPr>
          <w:ilvl w:val="0"/>
          <w:numId w:val="0"/>
        </w:numPr>
        <w:spacing w:after="40"/>
        <w:rPr>
          <w:sz w:val="20"/>
          <w:szCs w:val="16"/>
        </w:rPr>
      </w:pPr>
      <w:r w:rsidRPr="0057678A">
        <w:rPr>
          <w:rStyle w:val="FootnoteReference"/>
          <w:sz w:val="20"/>
          <w:szCs w:val="16"/>
        </w:rPr>
        <w:footnoteRef/>
      </w:r>
      <w:r w:rsidR="6C4B7FD9" w:rsidRPr="0057678A">
        <w:rPr>
          <w:sz w:val="20"/>
          <w:szCs w:val="16"/>
        </w:rPr>
        <w:t xml:space="preserve"> Cal Advocates Protest, p. 2.</w:t>
      </w:r>
    </w:p>
  </w:footnote>
  <w:footnote w:id="29">
    <w:p w14:paraId="4983E5C9" w14:textId="77777777" w:rsidR="65CDA542" w:rsidRPr="0057678A" w:rsidRDefault="65CDA542" w:rsidP="0057678A">
      <w:pPr>
        <w:pStyle w:val="FootnoteText"/>
        <w:numPr>
          <w:ilvl w:val="0"/>
          <w:numId w:val="0"/>
        </w:numPr>
        <w:spacing w:after="40"/>
        <w:rPr>
          <w:sz w:val="20"/>
          <w:szCs w:val="16"/>
        </w:rPr>
      </w:pPr>
      <w:r w:rsidRPr="0057678A">
        <w:rPr>
          <w:rStyle w:val="FootnoteReference"/>
          <w:sz w:val="20"/>
          <w:szCs w:val="16"/>
        </w:rPr>
        <w:footnoteRef/>
      </w:r>
      <w:r w:rsidR="6C4B7FD9" w:rsidRPr="0057678A">
        <w:rPr>
          <w:sz w:val="20"/>
          <w:szCs w:val="16"/>
        </w:rPr>
        <w:t xml:space="preserve"> Reply of SCE to Protests to AL 4881-E, p. 6.</w:t>
      </w:r>
    </w:p>
  </w:footnote>
  <w:footnote w:id="30">
    <w:p w14:paraId="64133519" w14:textId="77777777" w:rsidR="65CDA542" w:rsidRPr="0057678A" w:rsidRDefault="65CDA542" w:rsidP="0057678A">
      <w:pPr>
        <w:pStyle w:val="FootnoteText"/>
        <w:numPr>
          <w:ilvl w:val="0"/>
          <w:numId w:val="0"/>
        </w:numPr>
        <w:spacing w:after="40"/>
        <w:rPr>
          <w:sz w:val="20"/>
          <w:szCs w:val="16"/>
        </w:rPr>
      </w:pPr>
      <w:r w:rsidRPr="0057678A">
        <w:rPr>
          <w:rStyle w:val="FootnoteReference"/>
          <w:sz w:val="20"/>
          <w:szCs w:val="16"/>
        </w:rPr>
        <w:footnoteRef/>
      </w:r>
      <w:r w:rsidR="6C4B7FD9" w:rsidRPr="0057678A">
        <w:rPr>
          <w:sz w:val="20"/>
          <w:szCs w:val="16"/>
        </w:rPr>
        <w:t xml:space="preserve"> TURN Protest, p. 2-3.</w:t>
      </w:r>
    </w:p>
  </w:footnote>
  <w:footnote w:id="31">
    <w:p w14:paraId="4FE8DB32" w14:textId="77777777" w:rsidR="12228140" w:rsidRPr="0057678A" w:rsidRDefault="12228140" w:rsidP="0057678A">
      <w:pPr>
        <w:pStyle w:val="FootnoteText"/>
        <w:numPr>
          <w:ilvl w:val="0"/>
          <w:numId w:val="0"/>
        </w:numPr>
        <w:spacing w:after="40"/>
        <w:rPr>
          <w:rFonts w:ascii="Times New Roman" w:hAnsi="Times New Roman"/>
          <w:color w:val="000000" w:themeColor="text1"/>
          <w:sz w:val="20"/>
        </w:rPr>
      </w:pPr>
      <w:r w:rsidRPr="0057678A">
        <w:rPr>
          <w:rStyle w:val="FootnoteReference"/>
          <w:sz w:val="20"/>
          <w:szCs w:val="16"/>
        </w:rPr>
        <w:footnoteRef/>
      </w:r>
      <w:r w:rsidR="6C4B7FD9" w:rsidRPr="0057678A">
        <w:rPr>
          <w:sz w:val="20"/>
          <w:szCs w:val="16"/>
        </w:rPr>
        <w:t xml:space="preserve"> </w:t>
      </w:r>
      <w:r w:rsidR="6C4B7FD9" w:rsidRPr="0057678A">
        <w:rPr>
          <w:rFonts w:ascii="Times New Roman" w:hAnsi="Times New Roman"/>
          <w:color w:val="000000" w:themeColor="text1"/>
          <w:sz w:val="20"/>
        </w:rPr>
        <w:t>D.10-12-053, p. 32.</w:t>
      </w:r>
    </w:p>
  </w:footnote>
  <w:footnote w:id="32">
    <w:p w14:paraId="332DE235" w14:textId="77777777" w:rsidR="12228140" w:rsidRPr="0057678A" w:rsidRDefault="12228140" w:rsidP="0057678A">
      <w:pPr>
        <w:pStyle w:val="FootnoteText"/>
        <w:numPr>
          <w:ilvl w:val="0"/>
          <w:numId w:val="0"/>
        </w:numPr>
        <w:spacing w:after="40"/>
        <w:rPr>
          <w:rFonts w:ascii="Times New Roman" w:hAnsi="Times New Roman"/>
          <w:color w:val="000000" w:themeColor="text1"/>
          <w:sz w:val="20"/>
        </w:rPr>
      </w:pPr>
      <w:r w:rsidRPr="0057678A">
        <w:rPr>
          <w:rStyle w:val="FootnoteReference"/>
          <w:sz w:val="20"/>
          <w:szCs w:val="16"/>
        </w:rPr>
        <w:footnoteRef/>
      </w:r>
      <w:r w:rsidRPr="0057678A">
        <w:rPr>
          <w:sz w:val="20"/>
          <w:szCs w:val="16"/>
        </w:rPr>
        <w:t xml:space="preserve"> </w:t>
      </w:r>
      <w:r w:rsidRPr="0057678A">
        <w:rPr>
          <w:rFonts w:ascii="Times New Roman" w:hAnsi="Times New Roman"/>
          <w:color w:val="000000" w:themeColor="text1"/>
          <w:sz w:val="20"/>
        </w:rPr>
        <w:t>D.94-06-011.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8B967" w14:textId="77777777" w:rsidR="00B332BB" w:rsidRDefault="00B332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8D6CB" w14:textId="09CF689C" w:rsidR="00CF17DE" w:rsidRPr="00D865A9" w:rsidRDefault="61C943AB">
    <w:pPr>
      <w:pStyle w:val="Header"/>
      <w:tabs>
        <w:tab w:val="clear" w:pos="4320"/>
        <w:tab w:val="clear" w:pos="8640"/>
        <w:tab w:val="center" w:pos="4680"/>
        <w:tab w:val="right" w:pos="9180"/>
      </w:tabs>
      <w:rPr>
        <w:rFonts w:ascii="Palatino Linotype" w:hAnsi="Palatino Linotype"/>
        <w:sz w:val="24"/>
        <w:szCs w:val="18"/>
      </w:rPr>
    </w:pPr>
    <w:r w:rsidRPr="00D865A9">
      <w:rPr>
        <w:rFonts w:ascii="Palatino Linotype" w:hAnsi="Palatino Linotype"/>
        <w:sz w:val="24"/>
        <w:szCs w:val="18"/>
      </w:rPr>
      <w:t xml:space="preserve">Resolution </w:t>
    </w:r>
    <w:r w:rsidR="00843309">
      <w:rPr>
        <w:rFonts w:ascii="Palatino Linotype" w:hAnsi="Palatino Linotype"/>
        <w:sz w:val="24"/>
        <w:szCs w:val="18"/>
      </w:rPr>
      <w:t>E-</w:t>
    </w:r>
    <w:r w:rsidR="00F116CA">
      <w:rPr>
        <w:rFonts w:ascii="Palatino Linotype" w:hAnsi="Palatino Linotype"/>
        <w:sz w:val="24"/>
        <w:szCs w:val="18"/>
      </w:rPr>
      <w:t>5287</w:t>
    </w:r>
    <w:r w:rsidR="00CF17DE" w:rsidRPr="00D865A9">
      <w:rPr>
        <w:rFonts w:ascii="Palatino Linotype" w:hAnsi="Palatino Linotype"/>
        <w:sz w:val="24"/>
        <w:szCs w:val="18"/>
      </w:rPr>
      <w:tab/>
    </w:r>
    <w:r w:rsidR="00CF17DE" w:rsidRPr="00D865A9">
      <w:rPr>
        <w:rFonts w:ascii="Palatino Linotype" w:hAnsi="Palatino Linotype"/>
        <w:sz w:val="24"/>
        <w:szCs w:val="18"/>
      </w:rPr>
      <w:tab/>
    </w:r>
    <w:r w:rsidR="00843309">
      <w:rPr>
        <w:rFonts w:ascii="Palatino Linotype" w:hAnsi="Palatino Linotype"/>
        <w:sz w:val="24"/>
        <w:szCs w:val="18"/>
      </w:rPr>
      <w:t>September 21, 2023</w:t>
    </w:r>
  </w:p>
  <w:p w14:paraId="6CE4EFBA" w14:textId="77777777" w:rsidR="61C943AB" w:rsidRPr="00D865A9" w:rsidRDefault="00843309">
    <w:pPr>
      <w:pStyle w:val="Header"/>
      <w:tabs>
        <w:tab w:val="clear" w:pos="4320"/>
        <w:tab w:val="clear" w:pos="8640"/>
        <w:tab w:val="center" w:pos="4680"/>
        <w:tab w:val="right" w:pos="9180"/>
      </w:tabs>
      <w:rPr>
        <w:rFonts w:ascii="Palatino Linotype" w:hAnsi="Palatino Linotype"/>
        <w:sz w:val="24"/>
        <w:szCs w:val="18"/>
      </w:rPr>
    </w:pPr>
    <w:r>
      <w:rPr>
        <w:rFonts w:ascii="Palatino Linotype" w:hAnsi="Palatino Linotype"/>
        <w:sz w:val="24"/>
        <w:szCs w:val="18"/>
      </w:rPr>
      <w:t>SCE AL</w:t>
    </w:r>
    <w:r w:rsidR="00601934">
      <w:rPr>
        <w:rFonts w:ascii="Palatino Linotype" w:hAnsi="Palatino Linotype"/>
        <w:sz w:val="24"/>
        <w:szCs w:val="18"/>
      </w:rPr>
      <w:t xml:space="preserve"> 4881-E</w:t>
    </w:r>
    <w:r w:rsidR="61C943AB" w:rsidRPr="00D865A9">
      <w:rPr>
        <w:rFonts w:ascii="Palatino Linotype" w:hAnsi="Palatino Linotype"/>
        <w:sz w:val="24"/>
        <w:szCs w:val="18"/>
      </w:rPr>
      <w:t>/</w:t>
    </w:r>
    <w:r w:rsidR="00601934">
      <w:rPr>
        <w:rFonts w:ascii="Palatino Linotype" w:hAnsi="Palatino Linotype"/>
        <w:sz w:val="24"/>
        <w:szCs w:val="18"/>
      </w:rPr>
      <w:t>JE</w:t>
    </w:r>
    <w:r w:rsidR="00727B91">
      <w:rPr>
        <w:rFonts w:ascii="Palatino Linotype" w:hAnsi="Palatino Linotype"/>
        <w:sz w:val="24"/>
        <w:szCs w:val="18"/>
      </w:rPr>
      <w:t>6</w:t>
    </w:r>
  </w:p>
  <w:p w14:paraId="25CDA570" w14:textId="77777777" w:rsidR="00CF17DE" w:rsidRPr="00D865A9" w:rsidRDefault="00CF17DE">
    <w:pPr>
      <w:pStyle w:val="Header"/>
      <w:rPr>
        <w:rFonts w:ascii="Palatino Linotype" w:hAnsi="Palatino Linotype"/>
        <w:sz w:val="24"/>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497B" w14:textId="13591DCA" w:rsidR="006043F5" w:rsidRPr="006043F5" w:rsidRDefault="006043F5" w:rsidP="006043F5">
    <w:pPr>
      <w:pStyle w:val="Header"/>
      <w:ind w:left="720" w:firstLine="4320"/>
      <w:rPr>
        <w:rFonts w:ascii="Palatino Linotype" w:hAnsi="Palatino Linotype"/>
        <w:sz w:val="24"/>
        <w:szCs w:val="24"/>
      </w:rPr>
    </w:pPr>
    <w:r w:rsidRPr="006043F5">
      <w:rPr>
        <w:rFonts w:ascii="Palatino Linotype" w:hAnsi="Palatino Linotype"/>
        <w:color w:val="000000"/>
        <w:sz w:val="24"/>
        <w:szCs w:val="24"/>
      </w:rPr>
      <w:t>Date of Issuance: September 22, 202</w:t>
    </w:r>
    <w:r>
      <w:rPr>
        <w:rFonts w:ascii="Palatino Linotype" w:hAnsi="Palatino Linotype"/>
        <w:color w:val="000000"/>
        <w:sz w:val="24"/>
        <w:szCs w:val="24"/>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737C"/>
    <w:multiLevelType w:val="hybridMultilevel"/>
    <w:tmpl w:val="3D6CC20E"/>
    <w:lvl w:ilvl="0" w:tplc="4880B5A2">
      <w:start w:val="1"/>
      <w:numFmt w:val="upperLetter"/>
      <w:lvlText w:val="%1."/>
      <w:lvlJc w:val="left"/>
      <w:pPr>
        <w:ind w:left="720" w:hanging="360"/>
      </w:pPr>
    </w:lvl>
    <w:lvl w:ilvl="1" w:tplc="80B4ED8A">
      <w:start w:val="1"/>
      <w:numFmt w:val="lowerLetter"/>
      <w:lvlText w:val="%2."/>
      <w:lvlJc w:val="left"/>
      <w:pPr>
        <w:ind w:left="1440" w:hanging="360"/>
      </w:pPr>
    </w:lvl>
    <w:lvl w:ilvl="2" w:tplc="4EC8E860">
      <w:start w:val="1"/>
      <w:numFmt w:val="lowerRoman"/>
      <w:lvlText w:val="%3."/>
      <w:lvlJc w:val="right"/>
      <w:pPr>
        <w:ind w:left="2160" w:hanging="180"/>
      </w:pPr>
    </w:lvl>
    <w:lvl w:ilvl="3" w:tplc="288E45D8">
      <w:start w:val="1"/>
      <w:numFmt w:val="decimal"/>
      <w:lvlText w:val="%4."/>
      <w:lvlJc w:val="left"/>
      <w:pPr>
        <w:ind w:left="2880" w:hanging="360"/>
      </w:pPr>
    </w:lvl>
    <w:lvl w:ilvl="4" w:tplc="03A29D68">
      <w:start w:val="1"/>
      <w:numFmt w:val="lowerLetter"/>
      <w:lvlText w:val="%5."/>
      <w:lvlJc w:val="left"/>
      <w:pPr>
        <w:ind w:left="3600" w:hanging="360"/>
      </w:pPr>
    </w:lvl>
    <w:lvl w:ilvl="5" w:tplc="4B241394">
      <w:start w:val="1"/>
      <w:numFmt w:val="lowerRoman"/>
      <w:lvlText w:val="%6."/>
      <w:lvlJc w:val="right"/>
      <w:pPr>
        <w:ind w:left="4320" w:hanging="180"/>
      </w:pPr>
    </w:lvl>
    <w:lvl w:ilvl="6" w:tplc="8F8EAE72">
      <w:start w:val="1"/>
      <w:numFmt w:val="decimal"/>
      <w:lvlText w:val="%7."/>
      <w:lvlJc w:val="left"/>
      <w:pPr>
        <w:ind w:left="5040" w:hanging="360"/>
      </w:pPr>
    </w:lvl>
    <w:lvl w:ilvl="7" w:tplc="CFF8F18C">
      <w:start w:val="1"/>
      <w:numFmt w:val="lowerLetter"/>
      <w:lvlText w:val="%8."/>
      <w:lvlJc w:val="left"/>
      <w:pPr>
        <w:ind w:left="5760" w:hanging="360"/>
      </w:pPr>
    </w:lvl>
    <w:lvl w:ilvl="8" w:tplc="3484F358">
      <w:start w:val="1"/>
      <w:numFmt w:val="lowerRoman"/>
      <w:lvlText w:val="%9."/>
      <w:lvlJc w:val="right"/>
      <w:pPr>
        <w:ind w:left="6480" w:hanging="180"/>
      </w:pPr>
    </w:lvl>
  </w:abstractNum>
  <w:abstractNum w:abstractNumId="1" w15:restartNumberingAfterBreak="0">
    <w:nsid w:val="0AAE5E0A"/>
    <w:multiLevelType w:val="singleLevel"/>
    <w:tmpl w:val="81622C8A"/>
    <w:lvl w:ilvl="0">
      <w:start w:val="1"/>
      <w:numFmt w:val="upperLetter"/>
      <w:pStyle w:val="AListIndent"/>
      <w:lvlText w:val="%1. "/>
      <w:lvlJc w:val="left"/>
      <w:pPr>
        <w:tabs>
          <w:tab w:val="num" w:pos="1152"/>
        </w:tabs>
        <w:ind w:left="1152" w:hanging="432"/>
      </w:pPr>
      <w:rPr>
        <w:rFonts w:ascii="Courier" w:hAnsi="Courier" w:hint="default"/>
        <w:b w:val="0"/>
        <w:i w:val="0"/>
        <w:sz w:val="24"/>
      </w:rPr>
    </w:lvl>
  </w:abstractNum>
  <w:abstractNum w:abstractNumId="2" w15:restartNumberingAfterBreak="0">
    <w:nsid w:val="0BDB7819"/>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1480B1D"/>
    <w:multiLevelType w:val="multilevel"/>
    <w:tmpl w:val="88443944"/>
    <w:lvl w:ilvl="0">
      <w:start w:val="1"/>
      <w:numFmt w:val="decimal"/>
      <w:pStyle w:val="FootnoteText"/>
      <w:lvlText w:val="%1."/>
      <w:lvlJc w:val="left"/>
      <w:pPr>
        <w:tabs>
          <w:tab w:val="num" w:pos="360"/>
        </w:tabs>
        <w:ind w:left="360" w:hanging="360"/>
      </w:pPr>
    </w:lvl>
    <w:lvl w:ilvl="1">
      <w:start w:val="1"/>
      <w:numFmt w:val="decimal"/>
      <w:pStyle w:val="Heading2"/>
      <w:lvlText w:val="%1.%2"/>
      <w:lvlJc w:val="left"/>
      <w:pPr>
        <w:tabs>
          <w:tab w:val="num" w:pos="1215"/>
        </w:tabs>
        <w:ind w:left="1215" w:hanging="495"/>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4" w15:restartNumberingAfterBreak="0">
    <w:nsid w:val="26F8414F"/>
    <w:multiLevelType w:val="hybridMultilevel"/>
    <w:tmpl w:val="250802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3D34417"/>
    <w:multiLevelType w:val="multilevel"/>
    <w:tmpl w:val="C28E5C40"/>
    <w:lvl w:ilvl="0">
      <w:start w:val="1"/>
      <w:numFmt w:val="decimal"/>
      <w:pStyle w:val="1ListInden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6A6EC3AB"/>
    <w:multiLevelType w:val="hybridMultilevel"/>
    <w:tmpl w:val="7A4C1530"/>
    <w:lvl w:ilvl="0" w:tplc="3B80F2D8">
      <w:start w:val="1"/>
      <w:numFmt w:val="decimal"/>
      <w:lvlText w:val="%1."/>
      <w:lvlJc w:val="left"/>
      <w:pPr>
        <w:ind w:left="360" w:hanging="360"/>
      </w:pPr>
    </w:lvl>
    <w:lvl w:ilvl="1" w:tplc="D44C0B58">
      <w:start w:val="1"/>
      <w:numFmt w:val="lowerLetter"/>
      <w:lvlText w:val="%2."/>
      <w:lvlJc w:val="left"/>
      <w:pPr>
        <w:ind w:left="1440" w:hanging="360"/>
      </w:pPr>
    </w:lvl>
    <w:lvl w:ilvl="2" w:tplc="85B63F3C">
      <w:start w:val="1"/>
      <w:numFmt w:val="lowerRoman"/>
      <w:lvlText w:val="%3."/>
      <w:lvlJc w:val="right"/>
      <w:pPr>
        <w:ind w:left="2160" w:hanging="180"/>
      </w:pPr>
    </w:lvl>
    <w:lvl w:ilvl="3" w:tplc="60E48F62">
      <w:start w:val="1"/>
      <w:numFmt w:val="decimal"/>
      <w:lvlText w:val="%4."/>
      <w:lvlJc w:val="left"/>
      <w:pPr>
        <w:ind w:left="2880" w:hanging="360"/>
      </w:pPr>
    </w:lvl>
    <w:lvl w:ilvl="4" w:tplc="17B610CA">
      <w:start w:val="1"/>
      <w:numFmt w:val="lowerLetter"/>
      <w:lvlText w:val="%5."/>
      <w:lvlJc w:val="left"/>
      <w:pPr>
        <w:ind w:left="3600" w:hanging="360"/>
      </w:pPr>
    </w:lvl>
    <w:lvl w:ilvl="5" w:tplc="8820C11E">
      <w:start w:val="1"/>
      <w:numFmt w:val="lowerRoman"/>
      <w:lvlText w:val="%6."/>
      <w:lvlJc w:val="right"/>
      <w:pPr>
        <w:ind w:left="4320" w:hanging="180"/>
      </w:pPr>
    </w:lvl>
    <w:lvl w:ilvl="6" w:tplc="12EC5124">
      <w:start w:val="1"/>
      <w:numFmt w:val="decimal"/>
      <w:lvlText w:val="%7."/>
      <w:lvlJc w:val="left"/>
      <w:pPr>
        <w:ind w:left="5040" w:hanging="360"/>
      </w:pPr>
    </w:lvl>
    <w:lvl w:ilvl="7" w:tplc="33580298">
      <w:start w:val="1"/>
      <w:numFmt w:val="lowerLetter"/>
      <w:lvlText w:val="%8."/>
      <w:lvlJc w:val="left"/>
      <w:pPr>
        <w:ind w:left="5760" w:hanging="360"/>
      </w:pPr>
    </w:lvl>
    <w:lvl w:ilvl="8" w:tplc="FAC89882">
      <w:start w:val="1"/>
      <w:numFmt w:val="lowerRoman"/>
      <w:lvlText w:val="%9."/>
      <w:lvlJc w:val="right"/>
      <w:pPr>
        <w:ind w:left="6480" w:hanging="180"/>
      </w:pPr>
    </w:lvl>
  </w:abstractNum>
  <w:abstractNum w:abstractNumId="7" w15:restartNumberingAfterBreak="0">
    <w:nsid w:val="6BB84711"/>
    <w:multiLevelType w:val="hybridMultilevel"/>
    <w:tmpl w:val="3CA61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52267330">
    <w:abstractNumId w:val="0"/>
  </w:num>
  <w:num w:numId="2" w16cid:durableId="1267496935">
    <w:abstractNumId w:val="6"/>
  </w:num>
  <w:num w:numId="3" w16cid:durableId="963921878">
    <w:abstractNumId w:val="1"/>
  </w:num>
  <w:num w:numId="4" w16cid:durableId="1883705939">
    <w:abstractNumId w:val="5"/>
  </w:num>
  <w:num w:numId="5" w16cid:durableId="180945800">
    <w:abstractNumId w:val="3"/>
  </w:num>
  <w:num w:numId="6" w16cid:durableId="1991593136">
    <w:abstractNumId w:val="2"/>
  </w:num>
  <w:num w:numId="7" w16cid:durableId="1754620235">
    <w:abstractNumId w:val="4"/>
  </w:num>
  <w:num w:numId="8" w16cid:durableId="96936553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activeWritingStyle w:lang="en-US" w:vendorID="8" w:dllVersion="513" w:checkStyle="1" w:appName="MSWord"/>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D70"/>
    <w:rsid w:val="00012D45"/>
    <w:rsid w:val="00024C89"/>
    <w:rsid w:val="00025975"/>
    <w:rsid w:val="00034A6F"/>
    <w:rsid w:val="00055467"/>
    <w:rsid w:val="00081F4D"/>
    <w:rsid w:val="00083AA8"/>
    <w:rsid w:val="000870B1"/>
    <w:rsid w:val="00090457"/>
    <w:rsid w:val="000A12AA"/>
    <w:rsid w:val="000B5D11"/>
    <w:rsid w:val="000C50E3"/>
    <w:rsid w:val="000C6051"/>
    <w:rsid w:val="000D3A75"/>
    <w:rsid w:val="000E1C4C"/>
    <w:rsid w:val="00136B2B"/>
    <w:rsid w:val="00142FB8"/>
    <w:rsid w:val="00155A9F"/>
    <w:rsid w:val="00165280"/>
    <w:rsid w:val="00195394"/>
    <w:rsid w:val="001A1DB2"/>
    <w:rsid w:val="001A4B00"/>
    <w:rsid w:val="001C2EC5"/>
    <w:rsid w:val="001C74D3"/>
    <w:rsid w:val="001E58A0"/>
    <w:rsid w:val="001F5325"/>
    <w:rsid w:val="002001C1"/>
    <w:rsid w:val="0020108F"/>
    <w:rsid w:val="002174D9"/>
    <w:rsid w:val="00234A63"/>
    <w:rsid w:val="002403CE"/>
    <w:rsid w:val="00242FF8"/>
    <w:rsid w:val="0024459D"/>
    <w:rsid w:val="00266ACF"/>
    <w:rsid w:val="002810B2"/>
    <w:rsid w:val="00282D87"/>
    <w:rsid w:val="00286B5A"/>
    <w:rsid w:val="002B26DC"/>
    <w:rsid w:val="002F4C3C"/>
    <w:rsid w:val="003228E4"/>
    <w:rsid w:val="003774F8"/>
    <w:rsid w:val="00394B3A"/>
    <w:rsid w:val="003B1839"/>
    <w:rsid w:val="003B28DC"/>
    <w:rsid w:val="003C1687"/>
    <w:rsid w:val="003C17E4"/>
    <w:rsid w:val="003F6E5A"/>
    <w:rsid w:val="00400583"/>
    <w:rsid w:val="00400F6B"/>
    <w:rsid w:val="00411D6C"/>
    <w:rsid w:val="00414270"/>
    <w:rsid w:val="0041587E"/>
    <w:rsid w:val="00431BF6"/>
    <w:rsid w:val="0043742B"/>
    <w:rsid w:val="00440AB7"/>
    <w:rsid w:val="0044313A"/>
    <w:rsid w:val="00453D64"/>
    <w:rsid w:val="00467956"/>
    <w:rsid w:val="00470B9B"/>
    <w:rsid w:val="004905D3"/>
    <w:rsid w:val="004D1508"/>
    <w:rsid w:val="004D3212"/>
    <w:rsid w:val="004E3FA0"/>
    <w:rsid w:val="004E7CE5"/>
    <w:rsid w:val="004FC20F"/>
    <w:rsid w:val="005249DF"/>
    <w:rsid w:val="00540A96"/>
    <w:rsid w:val="0057398B"/>
    <w:rsid w:val="0057678A"/>
    <w:rsid w:val="005805BF"/>
    <w:rsid w:val="00593807"/>
    <w:rsid w:val="005C3BA0"/>
    <w:rsid w:val="005C6433"/>
    <w:rsid w:val="005D02D9"/>
    <w:rsid w:val="005D2FB9"/>
    <w:rsid w:val="005F1942"/>
    <w:rsid w:val="005F5C3A"/>
    <w:rsid w:val="00601934"/>
    <w:rsid w:val="006043F5"/>
    <w:rsid w:val="00611F2C"/>
    <w:rsid w:val="00613C9A"/>
    <w:rsid w:val="0061D552"/>
    <w:rsid w:val="006207DC"/>
    <w:rsid w:val="006325B4"/>
    <w:rsid w:val="00646405"/>
    <w:rsid w:val="006631F6"/>
    <w:rsid w:val="00663232"/>
    <w:rsid w:val="0069631C"/>
    <w:rsid w:val="006B05EE"/>
    <w:rsid w:val="006B1608"/>
    <w:rsid w:val="006C0457"/>
    <w:rsid w:val="006C7C15"/>
    <w:rsid w:val="006D0218"/>
    <w:rsid w:val="00707A86"/>
    <w:rsid w:val="00727B91"/>
    <w:rsid w:val="007374F3"/>
    <w:rsid w:val="00766D11"/>
    <w:rsid w:val="00774D65"/>
    <w:rsid w:val="007963D3"/>
    <w:rsid w:val="007A281A"/>
    <w:rsid w:val="007B239E"/>
    <w:rsid w:val="007D578F"/>
    <w:rsid w:val="007D67CA"/>
    <w:rsid w:val="007F5778"/>
    <w:rsid w:val="00801D70"/>
    <w:rsid w:val="00822061"/>
    <w:rsid w:val="00843309"/>
    <w:rsid w:val="0089620E"/>
    <w:rsid w:val="008A5823"/>
    <w:rsid w:val="008E6797"/>
    <w:rsid w:val="00915E92"/>
    <w:rsid w:val="00925586"/>
    <w:rsid w:val="00946E2C"/>
    <w:rsid w:val="00965782"/>
    <w:rsid w:val="00966821"/>
    <w:rsid w:val="00972834"/>
    <w:rsid w:val="009809B1"/>
    <w:rsid w:val="009A24A8"/>
    <w:rsid w:val="009A50E0"/>
    <w:rsid w:val="009B5CA7"/>
    <w:rsid w:val="009D4388"/>
    <w:rsid w:val="009D63EA"/>
    <w:rsid w:val="009D7160"/>
    <w:rsid w:val="00A106AD"/>
    <w:rsid w:val="00A1526C"/>
    <w:rsid w:val="00A218B6"/>
    <w:rsid w:val="00A220DC"/>
    <w:rsid w:val="00A32525"/>
    <w:rsid w:val="00A45B85"/>
    <w:rsid w:val="00A517F7"/>
    <w:rsid w:val="00A55BCE"/>
    <w:rsid w:val="00A60201"/>
    <w:rsid w:val="00AB5F74"/>
    <w:rsid w:val="00AD6D7D"/>
    <w:rsid w:val="00AE664C"/>
    <w:rsid w:val="00AF1DF6"/>
    <w:rsid w:val="00B061C7"/>
    <w:rsid w:val="00B07697"/>
    <w:rsid w:val="00B15637"/>
    <w:rsid w:val="00B20AB3"/>
    <w:rsid w:val="00B24372"/>
    <w:rsid w:val="00B2F353"/>
    <w:rsid w:val="00B332BB"/>
    <w:rsid w:val="00B37483"/>
    <w:rsid w:val="00B41C18"/>
    <w:rsid w:val="00B53268"/>
    <w:rsid w:val="00B61034"/>
    <w:rsid w:val="00B6206A"/>
    <w:rsid w:val="00B62A12"/>
    <w:rsid w:val="00B71BCD"/>
    <w:rsid w:val="00B841C9"/>
    <w:rsid w:val="00B888EB"/>
    <w:rsid w:val="00B913F1"/>
    <w:rsid w:val="00B927B5"/>
    <w:rsid w:val="00BB0893"/>
    <w:rsid w:val="00BD6FF5"/>
    <w:rsid w:val="00BE5EE5"/>
    <w:rsid w:val="00BF7A75"/>
    <w:rsid w:val="00C034B7"/>
    <w:rsid w:val="00C253EA"/>
    <w:rsid w:val="00C410A1"/>
    <w:rsid w:val="00C649E5"/>
    <w:rsid w:val="00C737A6"/>
    <w:rsid w:val="00C77D76"/>
    <w:rsid w:val="00CA25DC"/>
    <w:rsid w:val="00CA28A1"/>
    <w:rsid w:val="00CB3170"/>
    <w:rsid w:val="00CB42C3"/>
    <w:rsid w:val="00CF17DE"/>
    <w:rsid w:val="00CF421D"/>
    <w:rsid w:val="00CF57A8"/>
    <w:rsid w:val="00D0484A"/>
    <w:rsid w:val="00D137B9"/>
    <w:rsid w:val="00D20F6C"/>
    <w:rsid w:val="00D340E3"/>
    <w:rsid w:val="00D3C87D"/>
    <w:rsid w:val="00D515F8"/>
    <w:rsid w:val="00D52269"/>
    <w:rsid w:val="00D52F2C"/>
    <w:rsid w:val="00D74F11"/>
    <w:rsid w:val="00D822FD"/>
    <w:rsid w:val="00D865A9"/>
    <w:rsid w:val="00D90DA0"/>
    <w:rsid w:val="00D9189E"/>
    <w:rsid w:val="00DA6B3E"/>
    <w:rsid w:val="00DB08CE"/>
    <w:rsid w:val="00DB3AD3"/>
    <w:rsid w:val="00DB5D30"/>
    <w:rsid w:val="00DB619F"/>
    <w:rsid w:val="00DB6F2C"/>
    <w:rsid w:val="00DD1A92"/>
    <w:rsid w:val="00DE42EB"/>
    <w:rsid w:val="00DF35CC"/>
    <w:rsid w:val="00DF62F4"/>
    <w:rsid w:val="00E02127"/>
    <w:rsid w:val="00E070FA"/>
    <w:rsid w:val="00E106E5"/>
    <w:rsid w:val="00E12330"/>
    <w:rsid w:val="00E351A3"/>
    <w:rsid w:val="00E423DB"/>
    <w:rsid w:val="00E46169"/>
    <w:rsid w:val="00E56EE2"/>
    <w:rsid w:val="00E65426"/>
    <w:rsid w:val="00E72FC8"/>
    <w:rsid w:val="00E77CB0"/>
    <w:rsid w:val="00E823D8"/>
    <w:rsid w:val="00E928CF"/>
    <w:rsid w:val="00EC79E8"/>
    <w:rsid w:val="00EE690F"/>
    <w:rsid w:val="00EF4A31"/>
    <w:rsid w:val="00EF7EC1"/>
    <w:rsid w:val="00F05BF6"/>
    <w:rsid w:val="00F116CA"/>
    <w:rsid w:val="00F1B82B"/>
    <w:rsid w:val="00F24996"/>
    <w:rsid w:val="00F51F8B"/>
    <w:rsid w:val="00F572F1"/>
    <w:rsid w:val="00F67A6A"/>
    <w:rsid w:val="00F705C8"/>
    <w:rsid w:val="00F76229"/>
    <w:rsid w:val="00FC2DE4"/>
    <w:rsid w:val="00FD2473"/>
    <w:rsid w:val="00FD436F"/>
    <w:rsid w:val="00FE6C44"/>
    <w:rsid w:val="00FE6CAC"/>
    <w:rsid w:val="00FF4AFC"/>
    <w:rsid w:val="00FF7881"/>
    <w:rsid w:val="01093857"/>
    <w:rsid w:val="016F7071"/>
    <w:rsid w:val="017DB02D"/>
    <w:rsid w:val="019DA166"/>
    <w:rsid w:val="019E10F7"/>
    <w:rsid w:val="019FA928"/>
    <w:rsid w:val="01E00F72"/>
    <w:rsid w:val="02030638"/>
    <w:rsid w:val="02048B87"/>
    <w:rsid w:val="026CECB3"/>
    <w:rsid w:val="028EBE9B"/>
    <w:rsid w:val="02960000"/>
    <w:rsid w:val="02AC6D35"/>
    <w:rsid w:val="02F572FD"/>
    <w:rsid w:val="03058036"/>
    <w:rsid w:val="0319B304"/>
    <w:rsid w:val="032381C5"/>
    <w:rsid w:val="03589D62"/>
    <w:rsid w:val="03624035"/>
    <w:rsid w:val="037F0046"/>
    <w:rsid w:val="0388C212"/>
    <w:rsid w:val="039182F4"/>
    <w:rsid w:val="039526D4"/>
    <w:rsid w:val="03F029AD"/>
    <w:rsid w:val="0409A29D"/>
    <w:rsid w:val="04165FF7"/>
    <w:rsid w:val="044AA2C2"/>
    <w:rsid w:val="04BAD948"/>
    <w:rsid w:val="04C65B31"/>
    <w:rsid w:val="04C7984D"/>
    <w:rsid w:val="04CC0A6D"/>
    <w:rsid w:val="04DEE58D"/>
    <w:rsid w:val="04FC031A"/>
    <w:rsid w:val="050C018B"/>
    <w:rsid w:val="0521FFAC"/>
    <w:rsid w:val="0538F80F"/>
    <w:rsid w:val="055D533C"/>
    <w:rsid w:val="056F72E5"/>
    <w:rsid w:val="058AFBA2"/>
    <w:rsid w:val="058BFA0E"/>
    <w:rsid w:val="05B0E7C4"/>
    <w:rsid w:val="05B21CC9"/>
    <w:rsid w:val="05CBCDCB"/>
    <w:rsid w:val="05E64138"/>
    <w:rsid w:val="06645263"/>
    <w:rsid w:val="0676CD99"/>
    <w:rsid w:val="0699E0F7"/>
    <w:rsid w:val="069F5ADB"/>
    <w:rsid w:val="069F9B02"/>
    <w:rsid w:val="06A2DD61"/>
    <w:rsid w:val="06BB9875"/>
    <w:rsid w:val="06BDD00D"/>
    <w:rsid w:val="06D7FCAA"/>
    <w:rsid w:val="06E940A0"/>
    <w:rsid w:val="072DCD1D"/>
    <w:rsid w:val="0730BCAD"/>
    <w:rsid w:val="073B7951"/>
    <w:rsid w:val="073D1113"/>
    <w:rsid w:val="074A86D3"/>
    <w:rsid w:val="076FA235"/>
    <w:rsid w:val="078AE25C"/>
    <w:rsid w:val="07C6544F"/>
    <w:rsid w:val="07C71393"/>
    <w:rsid w:val="07D85901"/>
    <w:rsid w:val="08040671"/>
    <w:rsid w:val="0808A351"/>
    <w:rsid w:val="0833ABAF"/>
    <w:rsid w:val="0844B361"/>
    <w:rsid w:val="084E7873"/>
    <w:rsid w:val="0852B065"/>
    <w:rsid w:val="0859A06E"/>
    <w:rsid w:val="08723A81"/>
    <w:rsid w:val="0873CD0B"/>
    <w:rsid w:val="088CF568"/>
    <w:rsid w:val="08A13501"/>
    <w:rsid w:val="08DCD749"/>
    <w:rsid w:val="08FB034B"/>
    <w:rsid w:val="092CE37A"/>
    <w:rsid w:val="0935C56D"/>
    <w:rsid w:val="0978A8C3"/>
    <w:rsid w:val="099066AB"/>
    <w:rsid w:val="09D181B9"/>
    <w:rsid w:val="09D7B07A"/>
    <w:rsid w:val="0A0E181D"/>
    <w:rsid w:val="0A0F57E8"/>
    <w:rsid w:val="0A13A8D9"/>
    <w:rsid w:val="0A5CBEBF"/>
    <w:rsid w:val="0A861D83"/>
    <w:rsid w:val="0A93E1CC"/>
    <w:rsid w:val="0A94569D"/>
    <w:rsid w:val="0ADEAE27"/>
    <w:rsid w:val="0AE17196"/>
    <w:rsid w:val="0AE5874F"/>
    <w:rsid w:val="0B0DA1AE"/>
    <w:rsid w:val="0B51C984"/>
    <w:rsid w:val="0B52FDC1"/>
    <w:rsid w:val="0BAB6DCD"/>
    <w:rsid w:val="0BC00BED"/>
    <w:rsid w:val="0BC1B92C"/>
    <w:rsid w:val="0BDD30B9"/>
    <w:rsid w:val="0BFB3B92"/>
    <w:rsid w:val="0C3F63C1"/>
    <w:rsid w:val="0C4377FA"/>
    <w:rsid w:val="0C96956C"/>
    <w:rsid w:val="0CED99E5"/>
    <w:rsid w:val="0D066E03"/>
    <w:rsid w:val="0D09227B"/>
    <w:rsid w:val="0D3EC0C9"/>
    <w:rsid w:val="0D639246"/>
    <w:rsid w:val="0D666CBA"/>
    <w:rsid w:val="0D86CCB5"/>
    <w:rsid w:val="0D970BF3"/>
    <w:rsid w:val="0DAE5142"/>
    <w:rsid w:val="0DB1372D"/>
    <w:rsid w:val="0DEDA953"/>
    <w:rsid w:val="0E31BFA1"/>
    <w:rsid w:val="0E5F3E2D"/>
    <w:rsid w:val="0E604474"/>
    <w:rsid w:val="0E896A46"/>
    <w:rsid w:val="0E8A383A"/>
    <w:rsid w:val="0EA63D6B"/>
    <w:rsid w:val="0EAB25A0"/>
    <w:rsid w:val="0EB1000C"/>
    <w:rsid w:val="0EDC8F61"/>
    <w:rsid w:val="0EE976C6"/>
    <w:rsid w:val="0F069B70"/>
    <w:rsid w:val="0F0F5EA9"/>
    <w:rsid w:val="0F227DA6"/>
    <w:rsid w:val="0F3B83E5"/>
    <w:rsid w:val="0F440929"/>
    <w:rsid w:val="0F5CDAB1"/>
    <w:rsid w:val="101DF80D"/>
    <w:rsid w:val="1027A3FF"/>
    <w:rsid w:val="10430594"/>
    <w:rsid w:val="10508FBD"/>
    <w:rsid w:val="106FB223"/>
    <w:rsid w:val="10772D98"/>
    <w:rsid w:val="107D1C38"/>
    <w:rsid w:val="107EDEF0"/>
    <w:rsid w:val="107F8727"/>
    <w:rsid w:val="108E8ECF"/>
    <w:rsid w:val="109BE2F0"/>
    <w:rsid w:val="10C3D5D8"/>
    <w:rsid w:val="10C7B548"/>
    <w:rsid w:val="10DE529F"/>
    <w:rsid w:val="10FE4CAB"/>
    <w:rsid w:val="11169B66"/>
    <w:rsid w:val="1144ED55"/>
    <w:rsid w:val="11597986"/>
    <w:rsid w:val="11696063"/>
    <w:rsid w:val="116F376D"/>
    <w:rsid w:val="11BBC270"/>
    <w:rsid w:val="12081EBC"/>
    <w:rsid w:val="120EDECB"/>
    <w:rsid w:val="12228140"/>
    <w:rsid w:val="12238D63"/>
    <w:rsid w:val="122F2940"/>
    <w:rsid w:val="12357490"/>
    <w:rsid w:val="124ADF94"/>
    <w:rsid w:val="12514EF6"/>
    <w:rsid w:val="1252DA80"/>
    <w:rsid w:val="126F9C52"/>
    <w:rsid w:val="129D1569"/>
    <w:rsid w:val="12A7F7B4"/>
    <w:rsid w:val="12E488B1"/>
    <w:rsid w:val="12E824FA"/>
    <w:rsid w:val="12E8D245"/>
    <w:rsid w:val="12EE3726"/>
    <w:rsid w:val="12F549E7"/>
    <w:rsid w:val="131C0DE9"/>
    <w:rsid w:val="131E0A9D"/>
    <w:rsid w:val="135C379E"/>
    <w:rsid w:val="13A3EF1D"/>
    <w:rsid w:val="13C007BA"/>
    <w:rsid w:val="13C12EC4"/>
    <w:rsid w:val="14065C34"/>
    <w:rsid w:val="140743A4"/>
    <w:rsid w:val="140E3AFD"/>
    <w:rsid w:val="141FB409"/>
    <w:rsid w:val="142E47D7"/>
    <w:rsid w:val="14315761"/>
    <w:rsid w:val="14431E09"/>
    <w:rsid w:val="1452FE95"/>
    <w:rsid w:val="145C14CB"/>
    <w:rsid w:val="1488900E"/>
    <w:rsid w:val="149BDE36"/>
    <w:rsid w:val="14D4DB5F"/>
    <w:rsid w:val="1500C60E"/>
    <w:rsid w:val="1519F5AB"/>
    <w:rsid w:val="157FC915"/>
    <w:rsid w:val="1594AF53"/>
    <w:rsid w:val="15A723B9"/>
    <w:rsid w:val="15AF0D9E"/>
    <w:rsid w:val="15BAC378"/>
    <w:rsid w:val="15EC7653"/>
    <w:rsid w:val="15EECEF6"/>
    <w:rsid w:val="165A9074"/>
    <w:rsid w:val="16DB8FDF"/>
    <w:rsid w:val="16E9018E"/>
    <w:rsid w:val="170A6FC5"/>
    <w:rsid w:val="17142378"/>
    <w:rsid w:val="1729F405"/>
    <w:rsid w:val="1745DBBF"/>
    <w:rsid w:val="174C467D"/>
    <w:rsid w:val="175A5AB9"/>
    <w:rsid w:val="175FA9CE"/>
    <w:rsid w:val="179D69FA"/>
    <w:rsid w:val="17B12134"/>
    <w:rsid w:val="17C370C5"/>
    <w:rsid w:val="17DF464E"/>
    <w:rsid w:val="180F9CD4"/>
    <w:rsid w:val="180FDDB9"/>
    <w:rsid w:val="18267C9A"/>
    <w:rsid w:val="1841CB17"/>
    <w:rsid w:val="18801A54"/>
    <w:rsid w:val="1884D1EF"/>
    <w:rsid w:val="18882E1D"/>
    <w:rsid w:val="18C093E7"/>
    <w:rsid w:val="18DDBA23"/>
    <w:rsid w:val="18F50920"/>
    <w:rsid w:val="19173938"/>
    <w:rsid w:val="1940CA7E"/>
    <w:rsid w:val="1961EC48"/>
    <w:rsid w:val="19849725"/>
    <w:rsid w:val="198C6BE4"/>
    <w:rsid w:val="19A119C9"/>
    <w:rsid w:val="19ABB96C"/>
    <w:rsid w:val="19AD6573"/>
    <w:rsid w:val="19F31085"/>
    <w:rsid w:val="1A0D8E10"/>
    <w:rsid w:val="1A20A250"/>
    <w:rsid w:val="1A7A29B1"/>
    <w:rsid w:val="1A7D5262"/>
    <w:rsid w:val="1AAC4B52"/>
    <w:rsid w:val="1AB77E62"/>
    <w:rsid w:val="1AE502C0"/>
    <w:rsid w:val="1B03830D"/>
    <w:rsid w:val="1B1D71B2"/>
    <w:rsid w:val="1B246AFB"/>
    <w:rsid w:val="1B368FDE"/>
    <w:rsid w:val="1B4789CD"/>
    <w:rsid w:val="1B4A4462"/>
    <w:rsid w:val="1B5AFF4A"/>
    <w:rsid w:val="1B744ECC"/>
    <w:rsid w:val="1B8991FC"/>
    <w:rsid w:val="1B8C6853"/>
    <w:rsid w:val="1B915FD8"/>
    <w:rsid w:val="1B9AA621"/>
    <w:rsid w:val="1BB664E8"/>
    <w:rsid w:val="1BCF1AA8"/>
    <w:rsid w:val="1C3FF7B5"/>
    <w:rsid w:val="1C53FC90"/>
    <w:rsid w:val="1C79E345"/>
    <w:rsid w:val="1C864628"/>
    <w:rsid w:val="1CA94622"/>
    <w:rsid w:val="1CC7E386"/>
    <w:rsid w:val="1D0D8AA7"/>
    <w:rsid w:val="1D0EAADF"/>
    <w:rsid w:val="1D1EA120"/>
    <w:rsid w:val="1D29F5DD"/>
    <w:rsid w:val="1D49C039"/>
    <w:rsid w:val="1D7A7E50"/>
    <w:rsid w:val="1D9102A0"/>
    <w:rsid w:val="1DA3714C"/>
    <w:rsid w:val="1DAD0565"/>
    <w:rsid w:val="1DB12134"/>
    <w:rsid w:val="1DEFB887"/>
    <w:rsid w:val="1DF885FF"/>
    <w:rsid w:val="1E05F9E1"/>
    <w:rsid w:val="1E58C909"/>
    <w:rsid w:val="1E5BE25B"/>
    <w:rsid w:val="1E6EF5FF"/>
    <w:rsid w:val="1E9D4DCF"/>
    <w:rsid w:val="1EA95B08"/>
    <w:rsid w:val="1EDC5FC2"/>
    <w:rsid w:val="1EF112FD"/>
    <w:rsid w:val="1F072E5B"/>
    <w:rsid w:val="1F293712"/>
    <w:rsid w:val="1F50EDA4"/>
    <w:rsid w:val="1F84F137"/>
    <w:rsid w:val="1F89692F"/>
    <w:rsid w:val="1F93C91E"/>
    <w:rsid w:val="1FB92309"/>
    <w:rsid w:val="1FCDBC4D"/>
    <w:rsid w:val="1FDA3526"/>
    <w:rsid w:val="1FDC1B6F"/>
    <w:rsid w:val="1FE49ECA"/>
    <w:rsid w:val="1FF843AD"/>
    <w:rsid w:val="200AC660"/>
    <w:rsid w:val="202EFB1D"/>
    <w:rsid w:val="20411DD5"/>
    <w:rsid w:val="20452B69"/>
    <w:rsid w:val="2047383D"/>
    <w:rsid w:val="2058166E"/>
    <w:rsid w:val="206339D0"/>
    <w:rsid w:val="206B02EF"/>
    <w:rsid w:val="206BECB8"/>
    <w:rsid w:val="206C69E9"/>
    <w:rsid w:val="20A2EC5A"/>
    <w:rsid w:val="20ABBF04"/>
    <w:rsid w:val="20B36BB6"/>
    <w:rsid w:val="20C2B647"/>
    <w:rsid w:val="20D8A8A7"/>
    <w:rsid w:val="20FE41FB"/>
    <w:rsid w:val="211A7512"/>
    <w:rsid w:val="213164FE"/>
    <w:rsid w:val="214EEA7C"/>
    <w:rsid w:val="21665BD0"/>
    <w:rsid w:val="218F0432"/>
    <w:rsid w:val="219BAA64"/>
    <w:rsid w:val="21A1A60A"/>
    <w:rsid w:val="21B9F150"/>
    <w:rsid w:val="21C32EBC"/>
    <w:rsid w:val="21CA3DE1"/>
    <w:rsid w:val="21D319F7"/>
    <w:rsid w:val="21E3349B"/>
    <w:rsid w:val="21E82CD9"/>
    <w:rsid w:val="220DB7C1"/>
    <w:rsid w:val="223B6A41"/>
    <w:rsid w:val="22423B57"/>
    <w:rsid w:val="2257DC50"/>
    <w:rsid w:val="22849257"/>
    <w:rsid w:val="229DB658"/>
    <w:rsid w:val="22BBC244"/>
    <w:rsid w:val="22BC91F9"/>
    <w:rsid w:val="22C8AAF0"/>
    <w:rsid w:val="22CECB59"/>
    <w:rsid w:val="22D8AEB3"/>
    <w:rsid w:val="22E1FFB4"/>
    <w:rsid w:val="22E530BA"/>
    <w:rsid w:val="23255CD9"/>
    <w:rsid w:val="23600391"/>
    <w:rsid w:val="2372DBCF"/>
    <w:rsid w:val="2382F04F"/>
    <w:rsid w:val="238DE92F"/>
    <w:rsid w:val="239BE810"/>
    <w:rsid w:val="239F1314"/>
    <w:rsid w:val="23A913C9"/>
    <w:rsid w:val="23C7406B"/>
    <w:rsid w:val="23DED606"/>
    <w:rsid w:val="23ECC56D"/>
    <w:rsid w:val="23FC5527"/>
    <w:rsid w:val="24141F89"/>
    <w:rsid w:val="242A70A0"/>
    <w:rsid w:val="24564EEB"/>
    <w:rsid w:val="2458625A"/>
    <w:rsid w:val="246D29ED"/>
    <w:rsid w:val="2497BD77"/>
    <w:rsid w:val="24994933"/>
    <w:rsid w:val="24A1ECD0"/>
    <w:rsid w:val="24B9F3BB"/>
    <w:rsid w:val="24C0E305"/>
    <w:rsid w:val="24C30240"/>
    <w:rsid w:val="250EAC30"/>
    <w:rsid w:val="252C6BBF"/>
    <w:rsid w:val="258A506D"/>
    <w:rsid w:val="258F7D12"/>
    <w:rsid w:val="259EE2A9"/>
    <w:rsid w:val="25BEC0FF"/>
    <w:rsid w:val="26001143"/>
    <w:rsid w:val="2618466D"/>
    <w:rsid w:val="263836AA"/>
    <w:rsid w:val="264A41D2"/>
    <w:rsid w:val="265696DB"/>
    <w:rsid w:val="268FB605"/>
    <w:rsid w:val="2690F45D"/>
    <w:rsid w:val="26B3F9C9"/>
    <w:rsid w:val="26BFD669"/>
    <w:rsid w:val="26E12378"/>
    <w:rsid w:val="26F0E1FD"/>
    <w:rsid w:val="273D00DF"/>
    <w:rsid w:val="274A281B"/>
    <w:rsid w:val="274BC04B"/>
    <w:rsid w:val="27620B52"/>
    <w:rsid w:val="2768EF4F"/>
    <w:rsid w:val="276AA80C"/>
    <w:rsid w:val="27963B4D"/>
    <w:rsid w:val="27DEDED4"/>
    <w:rsid w:val="27E326D7"/>
    <w:rsid w:val="27EA9E7A"/>
    <w:rsid w:val="2811ED21"/>
    <w:rsid w:val="281592F9"/>
    <w:rsid w:val="2815D845"/>
    <w:rsid w:val="2838C130"/>
    <w:rsid w:val="286B10BA"/>
    <w:rsid w:val="287C47C0"/>
    <w:rsid w:val="28842E66"/>
    <w:rsid w:val="28C71DD4"/>
    <w:rsid w:val="28E4E800"/>
    <w:rsid w:val="28EA3713"/>
    <w:rsid w:val="28F3D3DB"/>
    <w:rsid w:val="29005B34"/>
    <w:rsid w:val="29210AEC"/>
    <w:rsid w:val="294BC71E"/>
    <w:rsid w:val="29563E1D"/>
    <w:rsid w:val="29829CBB"/>
    <w:rsid w:val="2991EA71"/>
    <w:rsid w:val="29AE832E"/>
    <w:rsid w:val="29BF7EE8"/>
    <w:rsid w:val="29C756C7"/>
    <w:rsid w:val="29D83DF4"/>
    <w:rsid w:val="29F0C6E4"/>
    <w:rsid w:val="2A181141"/>
    <w:rsid w:val="2A238772"/>
    <w:rsid w:val="2A239B3E"/>
    <w:rsid w:val="2A6120E5"/>
    <w:rsid w:val="2A6BB67D"/>
    <w:rsid w:val="2A97AD78"/>
    <w:rsid w:val="2AFE53DB"/>
    <w:rsid w:val="2B167F96"/>
    <w:rsid w:val="2B1E6D1C"/>
    <w:rsid w:val="2B3AA577"/>
    <w:rsid w:val="2B40542E"/>
    <w:rsid w:val="2BBF57D3"/>
    <w:rsid w:val="2BC87D71"/>
    <w:rsid w:val="2BDC1753"/>
    <w:rsid w:val="2C32EA3D"/>
    <w:rsid w:val="2C4804D3"/>
    <w:rsid w:val="2C5695F7"/>
    <w:rsid w:val="2C743444"/>
    <w:rsid w:val="2C8F061D"/>
    <w:rsid w:val="2CAD4AD2"/>
    <w:rsid w:val="2CBA3D7D"/>
    <w:rsid w:val="2CC43C79"/>
    <w:rsid w:val="2CCA3922"/>
    <w:rsid w:val="2CDE7B75"/>
    <w:rsid w:val="2CFBAB4C"/>
    <w:rsid w:val="2D0B9DDD"/>
    <w:rsid w:val="2D13D556"/>
    <w:rsid w:val="2D5CD021"/>
    <w:rsid w:val="2D68E2B3"/>
    <w:rsid w:val="2D81945B"/>
    <w:rsid w:val="2D987748"/>
    <w:rsid w:val="2DBC419C"/>
    <w:rsid w:val="2DC0F2C8"/>
    <w:rsid w:val="2DD3FC05"/>
    <w:rsid w:val="2DD72ACA"/>
    <w:rsid w:val="2DDB53B2"/>
    <w:rsid w:val="2DE7597B"/>
    <w:rsid w:val="2E0800F9"/>
    <w:rsid w:val="2E18B39B"/>
    <w:rsid w:val="2E39B147"/>
    <w:rsid w:val="2E6E08C7"/>
    <w:rsid w:val="2EC0B7E0"/>
    <w:rsid w:val="2F22927F"/>
    <w:rsid w:val="2F4D736B"/>
    <w:rsid w:val="2F6929E9"/>
    <w:rsid w:val="2FB11BD5"/>
    <w:rsid w:val="2FEB52E2"/>
    <w:rsid w:val="2FF4CEB6"/>
    <w:rsid w:val="301627CE"/>
    <w:rsid w:val="3020A4DE"/>
    <w:rsid w:val="302A3786"/>
    <w:rsid w:val="303FCAE1"/>
    <w:rsid w:val="3044B87D"/>
    <w:rsid w:val="3046B46B"/>
    <w:rsid w:val="304A7D35"/>
    <w:rsid w:val="3063321C"/>
    <w:rsid w:val="3064B4C8"/>
    <w:rsid w:val="3075909A"/>
    <w:rsid w:val="3090059A"/>
    <w:rsid w:val="30CF5888"/>
    <w:rsid w:val="30D5ECE6"/>
    <w:rsid w:val="3124BAFF"/>
    <w:rsid w:val="3144FE2F"/>
    <w:rsid w:val="31657593"/>
    <w:rsid w:val="31A01B1C"/>
    <w:rsid w:val="31CEABB7"/>
    <w:rsid w:val="31D7E6CD"/>
    <w:rsid w:val="31E460FD"/>
    <w:rsid w:val="31E49911"/>
    <w:rsid w:val="3208040D"/>
    <w:rsid w:val="326C32CA"/>
    <w:rsid w:val="32753723"/>
    <w:rsid w:val="3294BB47"/>
    <w:rsid w:val="32B3CC5A"/>
    <w:rsid w:val="32EF9DA4"/>
    <w:rsid w:val="32F0CB5E"/>
    <w:rsid w:val="3311E52B"/>
    <w:rsid w:val="331B42B1"/>
    <w:rsid w:val="33266F7A"/>
    <w:rsid w:val="3327B28E"/>
    <w:rsid w:val="332BF87E"/>
    <w:rsid w:val="332E86C9"/>
    <w:rsid w:val="3359409C"/>
    <w:rsid w:val="339E879C"/>
    <w:rsid w:val="33A51329"/>
    <w:rsid w:val="33E0B17F"/>
    <w:rsid w:val="3411BE01"/>
    <w:rsid w:val="34149D9E"/>
    <w:rsid w:val="3415546E"/>
    <w:rsid w:val="341C05F5"/>
    <w:rsid w:val="342568A7"/>
    <w:rsid w:val="344AFD23"/>
    <w:rsid w:val="3473AEAF"/>
    <w:rsid w:val="348B795B"/>
    <w:rsid w:val="34BC7833"/>
    <w:rsid w:val="34BE6DAE"/>
    <w:rsid w:val="34C382EF"/>
    <w:rsid w:val="34E33E32"/>
    <w:rsid w:val="34FA47B7"/>
    <w:rsid w:val="35180D0D"/>
    <w:rsid w:val="355A85F6"/>
    <w:rsid w:val="359D9A79"/>
    <w:rsid w:val="35AD8E62"/>
    <w:rsid w:val="35AE39B8"/>
    <w:rsid w:val="35C51D3D"/>
    <w:rsid w:val="35D6DCC3"/>
    <w:rsid w:val="35E9E101"/>
    <w:rsid w:val="35F80699"/>
    <w:rsid w:val="36171AC5"/>
    <w:rsid w:val="363299C8"/>
    <w:rsid w:val="365595F1"/>
    <w:rsid w:val="365BEDDC"/>
    <w:rsid w:val="36B0ED88"/>
    <w:rsid w:val="36E4D825"/>
    <w:rsid w:val="372CC6E8"/>
    <w:rsid w:val="372FFE29"/>
    <w:rsid w:val="37DF9D92"/>
    <w:rsid w:val="37EC1647"/>
    <w:rsid w:val="380A303E"/>
    <w:rsid w:val="383BDA22"/>
    <w:rsid w:val="386922A4"/>
    <w:rsid w:val="388CAA16"/>
    <w:rsid w:val="388D1085"/>
    <w:rsid w:val="38979A3A"/>
    <w:rsid w:val="38D3B8C6"/>
    <w:rsid w:val="38E52F24"/>
    <w:rsid w:val="38EB041B"/>
    <w:rsid w:val="38FB0BCA"/>
    <w:rsid w:val="3900D8C9"/>
    <w:rsid w:val="39167EFE"/>
    <w:rsid w:val="39257E5A"/>
    <w:rsid w:val="392B2A96"/>
    <w:rsid w:val="39481DD5"/>
    <w:rsid w:val="397D211A"/>
    <w:rsid w:val="3988B3A3"/>
    <w:rsid w:val="39B20C11"/>
    <w:rsid w:val="39C834C7"/>
    <w:rsid w:val="39E196DD"/>
    <w:rsid w:val="39E21BDA"/>
    <w:rsid w:val="3A04F305"/>
    <w:rsid w:val="3A2D51E2"/>
    <w:rsid w:val="3A329519"/>
    <w:rsid w:val="3A69431B"/>
    <w:rsid w:val="3A6D50A3"/>
    <w:rsid w:val="3A92B908"/>
    <w:rsid w:val="3AD3AA03"/>
    <w:rsid w:val="3AD44ECD"/>
    <w:rsid w:val="3AFF16E8"/>
    <w:rsid w:val="3B049A34"/>
    <w:rsid w:val="3B0F50CE"/>
    <w:rsid w:val="3B3998AE"/>
    <w:rsid w:val="3B68BEB3"/>
    <w:rsid w:val="3B885A6A"/>
    <w:rsid w:val="3B929027"/>
    <w:rsid w:val="3B998AF9"/>
    <w:rsid w:val="3BA0C366"/>
    <w:rsid w:val="3BA2F88C"/>
    <w:rsid w:val="3BB78BC8"/>
    <w:rsid w:val="3BBE9A6F"/>
    <w:rsid w:val="3BCEBF04"/>
    <w:rsid w:val="3BD17FD1"/>
    <w:rsid w:val="3BDD6923"/>
    <w:rsid w:val="3C1CCFE6"/>
    <w:rsid w:val="3C27A6BC"/>
    <w:rsid w:val="3C3E3767"/>
    <w:rsid w:val="3C48A564"/>
    <w:rsid w:val="3C99A7B6"/>
    <w:rsid w:val="3CACD41D"/>
    <w:rsid w:val="3CDF3C7E"/>
    <w:rsid w:val="3CF9F922"/>
    <w:rsid w:val="3D06EBB5"/>
    <w:rsid w:val="3D0BC5E1"/>
    <w:rsid w:val="3D1C32FD"/>
    <w:rsid w:val="3D23453B"/>
    <w:rsid w:val="3D5D0F57"/>
    <w:rsid w:val="3D820662"/>
    <w:rsid w:val="3D9B57D3"/>
    <w:rsid w:val="3DA2784A"/>
    <w:rsid w:val="3DE11566"/>
    <w:rsid w:val="3DEC6767"/>
    <w:rsid w:val="3DFD7D45"/>
    <w:rsid w:val="3E00889E"/>
    <w:rsid w:val="3E473D97"/>
    <w:rsid w:val="3E5C24C6"/>
    <w:rsid w:val="3E6A3892"/>
    <w:rsid w:val="3E76D3AE"/>
    <w:rsid w:val="3E77FF07"/>
    <w:rsid w:val="3E905CF7"/>
    <w:rsid w:val="3EA11299"/>
    <w:rsid w:val="3EB685F2"/>
    <w:rsid w:val="3EC792A1"/>
    <w:rsid w:val="3ED86428"/>
    <w:rsid w:val="3EE098B0"/>
    <w:rsid w:val="3EE52D36"/>
    <w:rsid w:val="3EFC513C"/>
    <w:rsid w:val="3F18916E"/>
    <w:rsid w:val="3F2AA9CF"/>
    <w:rsid w:val="3F398D76"/>
    <w:rsid w:val="3F6C1BEA"/>
    <w:rsid w:val="3F9492E1"/>
    <w:rsid w:val="3FB8569C"/>
    <w:rsid w:val="3FEAAF77"/>
    <w:rsid w:val="40139B7A"/>
    <w:rsid w:val="4037B004"/>
    <w:rsid w:val="4088424A"/>
    <w:rsid w:val="40AC6D21"/>
    <w:rsid w:val="40C30258"/>
    <w:rsid w:val="40EEC8B1"/>
    <w:rsid w:val="40F5502C"/>
    <w:rsid w:val="410F47F1"/>
    <w:rsid w:val="413AE531"/>
    <w:rsid w:val="41430289"/>
    <w:rsid w:val="41524865"/>
    <w:rsid w:val="4154659F"/>
    <w:rsid w:val="415A4E45"/>
    <w:rsid w:val="41641FA9"/>
    <w:rsid w:val="419EEDB3"/>
    <w:rsid w:val="41A705C7"/>
    <w:rsid w:val="41ABCF62"/>
    <w:rsid w:val="41B123B0"/>
    <w:rsid w:val="41B1EA6C"/>
    <w:rsid w:val="41C05964"/>
    <w:rsid w:val="41D4773C"/>
    <w:rsid w:val="41E360F1"/>
    <w:rsid w:val="41F37D97"/>
    <w:rsid w:val="41F88D3F"/>
    <w:rsid w:val="42008FF5"/>
    <w:rsid w:val="4208CC7D"/>
    <w:rsid w:val="4219233B"/>
    <w:rsid w:val="4221C1F3"/>
    <w:rsid w:val="4226EFDC"/>
    <w:rsid w:val="422E3445"/>
    <w:rsid w:val="4237F850"/>
    <w:rsid w:val="4256B0BC"/>
    <w:rsid w:val="4266D32A"/>
    <w:rsid w:val="4283C44B"/>
    <w:rsid w:val="42840B07"/>
    <w:rsid w:val="4284FEAB"/>
    <w:rsid w:val="428C116A"/>
    <w:rsid w:val="42A11D3C"/>
    <w:rsid w:val="42CF5036"/>
    <w:rsid w:val="4308E93A"/>
    <w:rsid w:val="430E4748"/>
    <w:rsid w:val="432D7349"/>
    <w:rsid w:val="433A83E5"/>
    <w:rsid w:val="4355BA79"/>
    <w:rsid w:val="438B7481"/>
    <w:rsid w:val="43CA08B9"/>
    <w:rsid w:val="4402A38B"/>
    <w:rsid w:val="441F9095"/>
    <w:rsid w:val="44469CC9"/>
    <w:rsid w:val="4453F7A1"/>
    <w:rsid w:val="4457FAE8"/>
    <w:rsid w:val="44783017"/>
    <w:rsid w:val="44D1CB10"/>
    <w:rsid w:val="44DCB52D"/>
    <w:rsid w:val="44FAC8C1"/>
    <w:rsid w:val="45130485"/>
    <w:rsid w:val="4521FD7D"/>
    <w:rsid w:val="4564320C"/>
    <w:rsid w:val="4577DDB8"/>
    <w:rsid w:val="45ABCFCE"/>
    <w:rsid w:val="45AD25E1"/>
    <w:rsid w:val="45F31564"/>
    <w:rsid w:val="45FC65FD"/>
    <w:rsid w:val="4603F83E"/>
    <w:rsid w:val="4611A189"/>
    <w:rsid w:val="4651C711"/>
    <w:rsid w:val="467AE9EC"/>
    <w:rsid w:val="46819717"/>
    <w:rsid w:val="46A3C63D"/>
    <w:rsid w:val="46CB02C9"/>
    <w:rsid w:val="46D55701"/>
    <w:rsid w:val="472B1D75"/>
    <w:rsid w:val="473A444D"/>
    <w:rsid w:val="47461A32"/>
    <w:rsid w:val="476E0C49"/>
    <w:rsid w:val="47B02E19"/>
    <w:rsid w:val="47C37E69"/>
    <w:rsid w:val="47E9A5F1"/>
    <w:rsid w:val="48105BE5"/>
    <w:rsid w:val="4839C8B7"/>
    <w:rsid w:val="4842C1E9"/>
    <w:rsid w:val="48982BE1"/>
    <w:rsid w:val="489957A1"/>
    <w:rsid w:val="48A5832E"/>
    <w:rsid w:val="48D614AE"/>
    <w:rsid w:val="48D788D1"/>
    <w:rsid w:val="48E46D04"/>
    <w:rsid w:val="48E732C3"/>
    <w:rsid w:val="49077544"/>
    <w:rsid w:val="4957A03F"/>
    <w:rsid w:val="495FD64C"/>
    <w:rsid w:val="4970675A"/>
    <w:rsid w:val="49AD3F6C"/>
    <w:rsid w:val="49FAB605"/>
    <w:rsid w:val="4A15C737"/>
    <w:rsid w:val="4A230455"/>
    <w:rsid w:val="4A234D09"/>
    <w:rsid w:val="4A2C2459"/>
    <w:rsid w:val="4A37F217"/>
    <w:rsid w:val="4A62BE37"/>
    <w:rsid w:val="4A833ED1"/>
    <w:rsid w:val="4A897EE5"/>
    <w:rsid w:val="4A8B61F3"/>
    <w:rsid w:val="4AD764CF"/>
    <w:rsid w:val="4AE0C494"/>
    <w:rsid w:val="4AF370A0"/>
    <w:rsid w:val="4AFD71E5"/>
    <w:rsid w:val="4B403208"/>
    <w:rsid w:val="4B59C35F"/>
    <w:rsid w:val="4B71BDE5"/>
    <w:rsid w:val="4B968666"/>
    <w:rsid w:val="4B990FA1"/>
    <w:rsid w:val="4BA7214B"/>
    <w:rsid w:val="4BA98CA7"/>
    <w:rsid w:val="4BAAD670"/>
    <w:rsid w:val="4BAB5334"/>
    <w:rsid w:val="4BB14DBE"/>
    <w:rsid w:val="4BCFBC67"/>
    <w:rsid w:val="4BE6E587"/>
    <w:rsid w:val="4C1C0DC6"/>
    <w:rsid w:val="4C2BE70E"/>
    <w:rsid w:val="4C35ED61"/>
    <w:rsid w:val="4C733530"/>
    <w:rsid w:val="4C8EC130"/>
    <w:rsid w:val="4C994246"/>
    <w:rsid w:val="4CF56E71"/>
    <w:rsid w:val="4D215E5B"/>
    <w:rsid w:val="4D34E002"/>
    <w:rsid w:val="4D5EEA8C"/>
    <w:rsid w:val="4D71CB00"/>
    <w:rsid w:val="4D875442"/>
    <w:rsid w:val="4D9D5D2E"/>
    <w:rsid w:val="4DE852DE"/>
    <w:rsid w:val="4E0F0591"/>
    <w:rsid w:val="4E226678"/>
    <w:rsid w:val="4E47BE97"/>
    <w:rsid w:val="4E5A7014"/>
    <w:rsid w:val="4E5C7756"/>
    <w:rsid w:val="4E8D7355"/>
    <w:rsid w:val="4EA21D4B"/>
    <w:rsid w:val="4EC3FF2E"/>
    <w:rsid w:val="4ECB70AE"/>
    <w:rsid w:val="4EE93F2D"/>
    <w:rsid w:val="4F0BC301"/>
    <w:rsid w:val="4F134204"/>
    <w:rsid w:val="4F144C81"/>
    <w:rsid w:val="4F424622"/>
    <w:rsid w:val="4F612A06"/>
    <w:rsid w:val="4F63EC87"/>
    <w:rsid w:val="4F8D2300"/>
    <w:rsid w:val="4F929A22"/>
    <w:rsid w:val="4FB5EF73"/>
    <w:rsid w:val="4FC65569"/>
    <w:rsid w:val="4FED75D8"/>
    <w:rsid w:val="4FEDDC9A"/>
    <w:rsid w:val="4FFA5214"/>
    <w:rsid w:val="50070D47"/>
    <w:rsid w:val="50318026"/>
    <w:rsid w:val="503DEDAC"/>
    <w:rsid w:val="50423E79"/>
    <w:rsid w:val="5054A0D7"/>
    <w:rsid w:val="5058C6C4"/>
    <w:rsid w:val="505E9B6E"/>
    <w:rsid w:val="506DD968"/>
    <w:rsid w:val="50843010"/>
    <w:rsid w:val="50A54B9B"/>
    <w:rsid w:val="50AF1D1C"/>
    <w:rsid w:val="50C184A9"/>
    <w:rsid w:val="50C2CC09"/>
    <w:rsid w:val="50F8C069"/>
    <w:rsid w:val="5111A927"/>
    <w:rsid w:val="5138580F"/>
    <w:rsid w:val="51405E72"/>
    <w:rsid w:val="51509866"/>
    <w:rsid w:val="5151BFD4"/>
    <w:rsid w:val="516225CA"/>
    <w:rsid w:val="519B11B1"/>
    <w:rsid w:val="51DF1EF9"/>
    <w:rsid w:val="51E29F1E"/>
    <w:rsid w:val="5219607D"/>
    <w:rsid w:val="522C3E4D"/>
    <w:rsid w:val="52567517"/>
    <w:rsid w:val="52713688"/>
    <w:rsid w:val="5288D8FA"/>
    <w:rsid w:val="529058A8"/>
    <w:rsid w:val="5291EE64"/>
    <w:rsid w:val="5298CAC8"/>
    <w:rsid w:val="52B9BF0F"/>
    <w:rsid w:val="52E276B4"/>
    <w:rsid w:val="52FDF62B"/>
    <w:rsid w:val="530A0F71"/>
    <w:rsid w:val="5327BE96"/>
    <w:rsid w:val="534F15E6"/>
    <w:rsid w:val="5362AFC8"/>
    <w:rsid w:val="5372509F"/>
    <w:rsid w:val="5374C967"/>
    <w:rsid w:val="53998317"/>
    <w:rsid w:val="53A985D1"/>
    <w:rsid w:val="53CA46E6"/>
    <w:rsid w:val="53E7BDA4"/>
    <w:rsid w:val="53FB3EE1"/>
    <w:rsid w:val="54009E57"/>
    <w:rsid w:val="54173D44"/>
    <w:rsid w:val="542751DD"/>
    <w:rsid w:val="543BFD04"/>
    <w:rsid w:val="544000B9"/>
    <w:rsid w:val="547CEF7E"/>
    <w:rsid w:val="5482A52A"/>
    <w:rsid w:val="54E26CB1"/>
    <w:rsid w:val="5504F149"/>
    <w:rsid w:val="55063253"/>
    <w:rsid w:val="55455632"/>
    <w:rsid w:val="556BC711"/>
    <w:rsid w:val="557EB216"/>
    <w:rsid w:val="55B72F99"/>
    <w:rsid w:val="55B813F1"/>
    <w:rsid w:val="55D039D2"/>
    <w:rsid w:val="55EF5A51"/>
    <w:rsid w:val="55F4BD3C"/>
    <w:rsid w:val="55F6CA46"/>
    <w:rsid w:val="55F87E4B"/>
    <w:rsid w:val="55FA3730"/>
    <w:rsid w:val="55FBDF87"/>
    <w:rsid w:val="5605E36D"/>
    <w:rsid w:val="561A1776"/>
    <w:rsid w:val="5624215F"/>
    <w:rsid w:val="5628F9AF"/>
    <w:rsid w:val="562DBC5A"/>
    <w:rsid w:val="56362A8B"/>
    <w:rsid w:val="566C1F9E"/>
    <w:rsid w:val="567509C9"/>
    <w:rsid w:val="56B9BE7A"/>
    <w:rsid w:val="56BB437D"/>
    <w:rsid w:val="56C661F2"/>
    <w:rsid w:val="56F32320"/>
    <w:rsid w:val="56F766D1"/>
    <w:rsid w:val="5710BDDD"/>
    <w:rsid w:val="57131A8F"/>
    <w:rsid w:val="571902FE"/>
    <w:rsid w:val="571D5243"/>
    <w:rsid w:val="571E7DC8"/>
    <w:rsid w:val="572FF99E"/>
    <w:rsid w:val="573268F6"/>
    <w:rsid w:val="576BB007"/>
    <w:rsid w:val="57A1B3CE"/>
    <w:rsid w:val="57AD9390"/>
    <w:rsid w:val="57B7CFB2"/>
    <w:rsid w:val="57CF133F"/>
    <w:rsid w:val="57EBBA4F"/>
    <w:rsid w:val="5850AD61"/>
    <w:rsid w:val="5852CB4C"/>
    <w:rsid w:val="586F203C"/>
    <w:rsid w:val="5871A86E"/>
    <w:rsid w:val="58A2EB6B"/>
    <w:rsid w:val="58EFFE00"/>
    <w:rsid w:val="5956A058"/>
    <w:rsid w:val="59588D23"/>
    <w:rsid w:val="59609A71"/>
    <w:rsid w:val="59717471"/>
    <w:rsid w:val="5971791A"/>
    <w:rsid w:val="59BD554A"/>
    <w:rsid w:val="59CDB8C4"/>
    <w:rsid w:val="59D24C97"/>
    <w:rsid w:val="59EA9E9C"/>
    <w:rsid w:val="59EC114E"/>
    <w:rsid w:val="5A01EDF4"/>
    <w:rsid w:val="5A18C755"/>
    <w:rsid w:val="5A562561"/>
    <w:rsid w:val="5A5BF8F3"/>
    <w:rsid w:val="5A8E6D2F"/>
    <w:rsid w:val="5A91702E"/>
    <w:rsid w:val="5A960FAD"/>
    <w:rsid w:val="5AA0E0F5"/>
    <w:rsid w:val="5ACF50AA"/>
    <w:rsid w:val="5ADDF6FA"/>
    <w:rsid w:val="5B1C43DD"/>
    <w:rsid w:val="5B2F528F"/>
    <w:rsid w:val="5B34A246"/>
    <w:rsid w:val="5B4FCAE0"/>
    <w:rsid w:val="5B5FD362"/>
    <w:rsid w:val="5B663A87"/>
    <w:rsid w:val="5B847E94"/>
    <w:rsid w:val="5BBC54EB"/>
    <w:rsid w:val="5BF1EEEB"/>
    <w:rsid w:val="5BF53887"/>
    <w:rsid w:val="5C1525C6"/>
    <w:rsid w:val="5C188B7E"/>
    <w:rsid w:val="5C2EFE0E"/>
    <w:rsid w:val="5C35E7D1"/>
    <w:rsid w:val="5C3A58D4"/>
    <w:rsid w:val="5C419423"/>
    <w:rsid w:val="5C462222"/>
    <w:rsid w:val="5C6EF245"/>
    <w:rsid w:val="5CA06D23"/>
    <w:rsid w:val="5CABE0D9"/>
    <w:rsid w:val="5CCB22F0"/>
    <w:rsid w:val="5CDB6122"/>
    <w:rsid w:val="5CDDF018"/>
    <w:rsid w:val="5CE23CE4"/>
    <w:rsid w:val="5CE78321"/>
    <w:rsid w:val="5CF4F372"/>
    <w:rsid w:val="5D224BCD"/>
    <w:rsid w:val="5D22D818"/>
    <w:rsid w:val="5D3652EE"/>
    <w:rsid w:val="5D506817"/>
    <w:rsid w:val="5D637CC9"/>
    <w:rsid w:val="5D6647DC"/>
    <w:rsid w:val="5D76A8DB"/>
    <w:rsid w:val="5D7C74AA"/>
    <w:rsid w:val="5DB87049"/>
    <w:rsid w:val="5DF2C939"/>
    <w:rsid w:val="5E00A382"/>
    <w:rsid w:val="5E0AC2A6"/>
    <w:rsid w:val="5E0AF344"/>
    <w:rsid w:val="5E296924"/>
    <w:rsid w:val="5E361B68"/>
    <w:rsid w:val="5E685D38"/>
    <w:rsid w:val="5E69B2B1"/>
    <w:rsid w:val="5E72C9C5"/>
    <w:rsid w:val="5E8C3C79"/>
    <w:rsid w:val="5E9919EF"/>
    <w:rsid w:val="5EAD1783"/>
    <w:rsid w:val="5EB63951"/>
    <w:rsid w:val="5ED80E86"/>
    <w:rsid w:val="5EDD1A98"/>
    <w:rsid w:val="5EFE8C1A"/>
    <w:rsid w:val="5F069FBB"/>
    <w:rsid w:val="5F11BDD0"/>
    <w:rsid w:val="5F298FAD"/>
    <w:rsid w:val="5F2B35EC"/>
    <w:rsid w:val="5F2B8189"/>
    <w:rsid w:val="5F621676"/>
    <w:rsid w:val="5F649D5D"/>
    <w:rsid w:val="5FC8A6C7"/>
    <w:rsid w:val="5FDFFF45"/>
    <w:rsid w:val="5FE733D8"/>
    <w:rsid w:val="60058312"/>
    <w:rsid w:val="6011FFBF"/>
    <w:rsid w:val="604210E3"/>
    <w:rsid w:val="6057168A"/>
    <w:rsid w:val="606D884C"/>
    <w:rsid w:val="609C60F9"/>
    <w:rsid w:val="60A10DDD"/>
    <w:rsid w:val="60B7A023"/>
    <w:rsid w:val="610F6A83"/>
    <w:rsid w:val="611DB516"/>
    <w:rsid w:val="6120802D"/>
    <w:rsid w:val="6135B773"/>
    <w:rsid w:val="614E7BD9"/>
    <w:rsid w:val="616109E6"/>
    <w:rsid w:val="61AB6E6D"/>
    <w:rsid w:val="61C16083"/>
    <w:rsid w:val="61C943AB"/>
    <w:rsid w:val="61C9CAA9"/>
    <w:rsid w:val="621C77AE"/>
    <w:rsid w:val="621CD28D"/>
    <w:rsid w:val="62329F56"/>
    <w:rsid w:val="62354184"/>
    <w:rsid w:val="626C259C"/>
    <w:rsid w:val="628B32A9"/>
    <w:rsid w:val="6299ECAE"/>
    <w:rsid w:val="62D368C4"/>
    <w:rsid w:val="62EE75AB"/>
    <w:rsid w:val="62F03414"/>
    <w:rsid w:val="6333E551"/>
    <w:rsid w:val="63342793"/>
    <w:rsid w:val="635534BE"/>
    <w:rsid w:val="6365140C"/>
    <w:rsid w:val="6379CB37"/>
    <w:rsid w:val="63CA132D"/>
    <w:rsid w:val="63F6A307"/>
    <w:rsid w:val="6431ADA6"/>
    <w:rsid w:val="6433F460"/>
    <w:rsid w:val="643AE0AF"/>
    <w:rsid w:val="643BC09F"/>
    <w:rsid w:val="645555D8"/>
    <w:rsid w:val="64A4DF36"/>
    <w:rsid w:val="64B64490"/>
    <w:rsid w:val="6500F768"/>
    <w:rsid w:val="65211F8B"/>
    <w:rsid w:val="653A76B2"/>
    <w:rsid w:val="655AB862"/>
    <w:rsid w:val="658ACE9B"/>
    <w:rsid w:val="65927368"/>
    <w:rsid w:val="65B169B9"/>
    <w:rsid w:val="65B52B27"/>
    <w:rsid w:val="65CDA542"/>
    <w:rsid w:val="65E8A438"/>
    <w:rsid w:val="65F12639"/>
    <w:rsid w:val="663B9370"/>
    <w:rsid w:val="664E1F3D"/>
    <w:rsid w:val="6663AE11"/>
    <w:rsid w:val="666FF6CD"/>
    <w:rsid w:val="66744C65"/>
    <w:rsid w:val="66967CF4"/>
    <w:rsid w:val="669CB4CE"/>
    <w:rsid w:val="66B60198"/>
    <w:rsid w:val="66C14B36"/>
    <w:rsid w:val="66F3A411"/>
    <w:rsid w:val="67088E86"/>
    <w:rsid w:val="6715EF57"/>
    <w:rsid w:val="673B18A8"/>
    <w:rsid w:val="67479648"/>
    <w:rsid w:val="676BDDF0"/>
    <w:rsid w:val="6781439F"/>
    <w:rsid w:val="678C88D7"/>
    <w:rsid w:val="678E0DEA"/>
    <w:rsid w:val="67908F74"/>
    <w:rsid w:val="67B2EC23"/>
    <w:rsid w:val="67B8BC96"/>
    <w:rsid w:val="685BB64E"/>
    <w:rsid w:val="6866A557"/>
    <w:rsid w:val="686A3BE9"/>
    <w:rsid w:val="686BD03E"/>
    <w:rsid w:val="68A0A1DA"/>
    <w:rsid w:val="68A542E9"/>
    <w:rsid w:val="68A6A637"/>
    <w:rsid w:val="68B586ED"/>
    <w:rsid w:val="68C12A3C"/>
    <w:rsid w:val="68F0881B"/>
    <w:rsid w:val="692A9F67"/>
    <w:rsid w:val="6931F4B1"/>
    <w:rsid w:val="693B95E7"/>
    <w:rsid w:val="69559DA9"/>
    <w:rsid w:val="6974C792"/>
    <w:rsid w:val="69CF68F3"/>
    <w:rsid w:val="69E0FA8B"/>
    <w:rsid w:val="6A3D6706"/>
    <w:rsid w:val="6A7D7826"/>
    <w:rsid w:val="6AA9DD36"/>
    <w:rsid w:val="6AF98790"/>
    <w:rsid w:val="6B0D81C4"/>
    <w:rsid w:val="6B391CFF"/>
    <w:rsid w:val="6B47BD88"/>
    <w:rsid w:val="6B5A6CAF"/>
    <w:rsid w:val="6B9DB684"/>
    <w:rsid w:val="6BDCBD43"/>
    <w:rsid w:val="6BE9607A"/>
    <w:rsid w:val="6C07BC90"/>
    <w:rsid w:val="6C4B7FD9"/>
    <w:rsid w:val="6C78E136"/>
    <w:rsid w:val="6C89325B"/>
    <w:rsid w:val="6C8A8A35"/>
    <w:rsid w:val="6C997A74"/>
    <w:rsid w:val="6CD4ED60"/>
    <w:rsid w:val="6CD74FAB"/>
    <w:rsid w:val="6CF14CAF"/>
    <w:rsid w:val="6D28A60B"/>
    <w:rsid w:val="6D306B6E"/>
    <w:rsid w:val="6D6C0A88"/>
    <w:rsid w:val="6D7282F3"/>
    <w:rsid w:val="6D84FE7D"/>
    <w:rsid w:val="6D85BB53"/>
    <w:rsid w:val="6DD27454"/>
    <w:rsid w:val="6E0D86B9"/>
    <w:rsid w:val="6E241B60"/>
    <w:rsid w:val="6E27FE1A"/>
    <w:rsid w:val="6E2BFA29"/>
    <w:rsid w:val="6E3C9A13"/>
    <w:rsid w:val="6E452286"/>
    <w:rsid w:val="6E537F8B"/>
    <w:rsid w:val="6E685E4A"/>
    <w:rsid w:val="6E8504A1"/>
    <w:rsid w:val="6EAF6144"/>
    <w:rsid w:val="6EC24CB2"/>
    <w:rsid w:val="6EC3D79C"/>
    <w:rsid w:val="6ECC3BCF"/>
    <w:rsid w:val="6ECCE8F6"/>
    <w:rsid w:val="6EF2FFF0"/>
    <w:rsid w:val="6F182377"/>
    <w:rsid w:val="6F21013C"/>
    <w:rsid w:val="6F2AD1CE"/>
    <w:rsid w:val="6F2C1B2D"/>
    <w:rsid w:val="6F2F16D3"/>
    <w:rsid w:val="6F740D13"/>
    <w:rsid w:val="6F791EE5"/>
    <w:rsid w:val="6F8C5584"/>
    <w:rsid w:val="6F9C8162"/>
    <w:rsid w:val="70650BF0"/>
    <w:rsid w:val="7067E662"/>
    <w:rsid w:val="70766302"/>
    <w:rsid w:val="707DCBCF"/>
    <w:rsid w:val="7088E022"/>
    <w:rsid w:val="70BCD19D"/>
    <w:rsid w:val="70C814EF"/>
    <w:rsid w:val="710643E6"/>
    <w:rsid w:val="7107B56B"/>
    <w:rsid w:val="710D7E7F"/>
    <w:rsid w:val="7110739A"/>
    <w:rsid w:val="711A64EE"/>
    <w:rsid w:val="71254DED"/>
    <w:rsid w:val="715F9EDC"/>
    <w:rsid w:val="71625913"/>
    <w:rsid w:val="717749CD"/>
    <w:rsid w:val="71790666"/>
    <w:rsid w:val="71817DCF"/>
    <w:rsid w:val="719FCF91"/>
    <w:rsid w:val="71DEB21E"/>
    <w:rsid w:val="71F7F289"/>
    <w:rsid w:val="72399741"/>
    <w:rsid w:val="724DE854"/>
    <w:rsid w:val="726F8605"/>
    <w:rsid w:val="727FD5CD"/>
    <w:rsid w:val="7289673C"/>
    <w:rsid w:val="72B2038B"/>
    <w:rsid w:val="72EF2C0E"/>
    <w:rsid w:val="72FB6F3D"/>
    <w:rsid w:val="73027823"/>
    <w:rsid w:val="730A7F37"/>
    <w:rsid w:val="730EA050"/>
    <w:rsid w:val="731B418D"/>
    <w:rsid w:val="731CDA08"/>
    <w:rsid w:val="73336EDF"/>
    <w:rsid w:val="7355386B"/>
    <w:rsid w:val="735875C4"/>
    <w:rsid w:val="736F77F9"/>
    <w:rsid w:val="7374ECCD"/>
    <w:rsid w:val="7381AB55"/>
    <w:rsid w:val="73A65FF5"/>
    <w:rsid w:val="73B94408"/>
    <w:rsid w:val="73C6A937"/>
    <w:rsid w:val="73EE206C"/>
    <w:rsid w:val="73F2238B"/>
    <w:rsid w:val="74044BEA"/>
    <w:rsid w:val="74148234"/>
    <w:rsid w:val="7414B457"/>
    <w:rsid w:val="741B9D3C"/>
    <w:rsid w:val="7436FED7"/>
    <w:rsid w:val="74557F77"/>
    <w:rsid w:val="7466F7BE"/>
    <w:rsid w:val="7473FBF2"/>
    <w:rsid w:val="7482A6EE"/>
    <w:rsid w:val="74B1F10D"/>
    <w:rsid w:val="74E25F6A"/>
    <w:rsid w:val="74F582D7"/>
    <w:rsid w:val="7502ACF0"/>
    <w:rsid w:val="7518A0F1"/>
    <w:rsid w:val="75269304"/>
    <w:rsid w:val="753F30DB"/>
    <w:rsid w:val="7554BA9D"/>
    <w:rsid w:val="7574D20B"/>
    <w:rsid w:val="75DC0759"/>
    <w:rsid w:val="75EDD611"/>
    <w:rsid w:val="76195478"/>
    <w:rsid w:val="764292E5"/>
    <w:rsid w:val="76898F91"/>
    <w:rsid w:val="769CC7AB"/>
    <w:rsid w:val="76A359D4"/>
    <w:rsid w:val="76A4FC30"/>
    <w:rsid w:val="76A56002"/>
    <w:rsid w:val="76DD2177"/>
    <w:rsid w:val="76EFDC92"/>
    <w:rsid w:val="76F0E4CA"/>
    <w:rsid w:val="76FDAC70"/>
    <w:rsid w:val="77400025"/>
    <w:rsid w:val="777B0048"/>
    <w:rsid w:val="777FF9E1"/>
    <w:rsid w:val="7789A672"/>
    <w:rsid w:val="778F292B"/>
    <w:rsid w:val="77972074"/>
    <w:rsid w:val="77C29D31"/>
    <w:rsid w:val="77C36BAD"/>
    <w:rsid w:val="77E479EE"/>
    <w:rsid w:val="7828A54E"/>
    <w:rsid w:val="782EA647"/>
    <w:rsid w:val="783B1AFC"/>
    <w:rsid w:val="78B86A51"/>
    <w:rsid w:val="78BCCEBF"/>
    <w:rsid w:val="78DC1C4A"/>
    <w:rsid w:val="78E816EF"/>
    <w:rsid w:val="7906ABE5"/>
    <w:rsid w:val="795D085B"/>
    <w:rsid w:val="7964CDA5"/>
    <w:rsid w:val="79B9917B"/>
    <w:rsid w:val="79E46A25"/>
    <w:rsid w:val="7A3368A8"/>
    <w:rsid w:val="7A3E33AD"/>
    <w:rsid w:val="7A698C6F"/>
    <w:rsid w:val="7AB1EF76"/>
    <w:rsid w:val="7ADEDAEB"/>
    <w:rsid w:val="7AF8E914"/>
    <w:rsid w:val="7B218D40"/>
    <w:rsid w:val="7B7DC617"/>
    <w:rsid w:val="7B7F77C3"/>
    <w:rsid w:val="7B8F09EE"/>
    <w:rsid w:val="7BA530DF"/>
    <w:rsid w:val="7BB2AC5D"/>
    <w:rsid w:val="7BB555BC"/>
    <w:rsid w:val="7BC83DA6"/>
    <w:rsid w:val="7C138F65"/>
    <w:rsid w:val="7C153A75"/>
    <w:rsid w:val="7C29FC0D"/>
    <w:rsid w:val="7C2F59A8"/>
    <w:rsid w:val="7C430240"/>
    <w:rsid w:val="7C4C0ED2"/>
    <w:rsid w:val="7C4C9FC5"/>
    <w:rsid w:val="7C87FE7D"/>
    <w:rsid w:val="7CF0231F"/>
    <w:rsid w:val="7CF3608C"/>
    <w:rsid w:val="7D030BF8"/>
    <w:rsid w:val="7D26BDB8"/>
    <w:rsid w:val="7D2D1330"/>
    <w:rsid w:val="7D2DA526"/>
    <w:rsid w:val="7D2DE629"/>
    <w:rsid w:val="7D541246"/>
    <w:rsid w:val="7D586C79"/>
    <w:rsid w:val="7D73BC3C"/>
    <w:rsid w:val="7D7FCDF8"/>
    <w:rsid w:val="7D9979D9"/>
    <w:rsid w:val="7DA95725"/>
    <w:rsid w:val="7DD44C49"/>
    <w:rsid w:val="7DED74A6"/>
    <w:rsid w:val="7DF87141"/>
    <w:rsid w:val="7E37CFAE"/>
    <w:rsid w:val="7E460F6A"/>
    <w:rsid w:val="7E7E8214"/>
    <w:rsid w:val="7E8ECF11"/>
    <w:rsid w:val="7EB7DFF2"/>
    <w:rsid w:val="7EC94E4C"/>
    <w:rsid w:val="7EC9FD8B"/>
    <w:rsid w:val="7EEA4D1F"/>
    <w:rsid w:val="7F08BE55"/>
    <w:rsid w:val="7F33F90B"/>
    <w:rsid w:val="7F3CFD92"/>
    <w:rsid w:val="7F5C39CD"/>
    <w:rsid w:val="7F62371A"/>
    <w:rsid w:val="7F7C4D66"/>
    <w:rsid w:val="7F837BA4"/>
    <w:rsid w:val="7FDE3749"/>
    <w:rsid w:val="7FDFBA6F"/>
    <w:rsid w:val="7FE86E55"/>
    <w:rsid w:val="7FFB34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4A7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6"/>
    </w:rPr>
  </w:style>
  <w:style w:type="paragraph" w:styleId="Heading1">
    <w:name w:val="heading 1"/>
    <w:basedOn w:val="Normal"/>
    <w:next w:val="standard"/>
    <w:qFormat/>
    <w:pPr>
      <w:keepNext/>
      <w:spacing w:before="120" w:after="240"/>
      <w:outlineLvl w:val="0"/>
    </w:pPr>
    <w:rPr>
      <w:rFonts w:ascii="Helvetica" w:hAnsi="Helvetica"/>
      <w:b/>
      <w:caps/>
      <w:kern w:val="28"/>
      <w:u w:val="single"/>
    </w:rPr>
  </w:style>
  <w:style w:type="paragraph" w:styleId="Heading2">
    <w:name w:val="heading 2"/>
    <w:basedOn w:val="Normal"/>
    <w:next w:val="sub1"/>
    <w:qFormat/>
    <w:pPr>
      <w:keepNext/>
      <w:numPr>
        <w:ilvl w:val="1"/>
        <w:numId w:val="5"/>
      </w:numPr>
      <w:spacing w:before="120" w:after="120"/>
      <w:outlineLvl w:val="1"/>
    </w:pPr>
    <w:rPr>
      <w:rFonts w:ascii="Helvetica" w:hAnsi="Helvetica"/>
      <w:b/>
      <w:i/>
    </w:rPr>
  </w:style>
  <w:style w:type="paragraph" w:styleId="Heading3">
    <w:name w:val="heading 3"/>
    <w:basedOn w:val="Normal"/>
    <w:next w:val="sub2"/>
    <w:qFormat/>
    <w:pPr>
      <w:keepNext/>
      <w:spacing w:before="120" w:after="120"/>
      <w:ind w:firstLine="2160"/>
      <w:outlineLvl w:val="2"/>
    </w:pPr>
    <w:rPr>
      <w:rFonts w:ascii="Helvetica" w:hAnsi="Helvetica"/>
      <w:b/>
    </w:rPr>
  </w:style>
  <w:style w:type="paragraph" w:styleId="Heading4">
    <w:name w:val="heading 4"/>
    <w:basedOn w:val="Normal"/>
    <w:next w:val="sub3"/>
    <w:qFormat/>
    <w:pPr>
      <w:keepNext/>
      <w:spacing w:before="120" w:after="120"/>
      <w:ind w:firstLine="2880"/>
      <w:outlineLvl w:val="3"/>
    </w:pPr>
    <w:rPr>
      <w:rFonts w:ascii="Helvetica" w:hAnsi="Helvetica"/>
      <w:b/>
      <w:i/>
    </w:rPr>
  </w:style>
  <w:style w:type="paragraph" w:styleId="Heading5">
    <w:name w:val="heading 5"/>
    <w:basedOn w:val="Normal"/>
    <w:next w:val="sub4"/>
    <w:qFormat/>
    <w:pPr>
      <w:spacing w:before="120" w:after="120"/>
      <w:ind w:firstLine="3600"/>
      <w:outlineLvl w:val="4"/>
    </w:pPr>
    <w:rPr>
      <w:rFonts w:ascii="Helvetica" w:hAnsi="Helvetica"/>
      <w:b/>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numPr>
        <w:numId w:val="5"/>
      </w:numPr>
      <w:spacing w:after="240"/>
    </w:pPr>
    <w:rPr>
      <w:sz w:val="24"/>
    </w:rPr>
  </w:style>
  <w:style w:type="paragraph" w:styleId="EndnoteText">
    <w:name w:val="endnote text"/>
    <w:basedOn w:val="Normal"/>
    <w:semiHidden/>
    <w:rPr>
      <w:sz w:val="20"/>
    </w:rPr>
  </w:style>
  <w:style w:type="paragraph" w:customStyle="1" w:styleId="standard">
    <w:name w:val="standard"/>
    <w:basedOn w:val="Normal"/>
    <w:pPr>
      <w:spacing w:line="360" w:lineRule="auto"/>
      <w:ind w:firstLine="720"/>
    </w:p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Style1">
    <w:name w:val="Style1"/>
    <w:basedOn w:val="1ListIndent"/>
    <w:pPr>
      <w:numPr>
        <w:numId w:val="0"/>
      </w:numPr>
    </w:pPr>
  </w:style>
  <w:style w:type="paragraph" w:styleId="TOC4">
    <w:name w:val="toc 4"/>
    <w:basedOn w:val="Normal"/>
    <w:next w:val="Normal"/>
    <w:semiHidden/>
    <w:pPr>
      <w:tabs>
        <w:tab w:val="right" w:leader="dot" w:pos="9360"/>
      </w:tabs>
      <w:ind w:left="720"/>
    </w:pPr>
  </w:style>
  <w:style w:type="paragraph" w:customStyle="1" w:styleId="main">
    <w:name w:val="main"/>
    <w:basedOn w:val="Normal"/>
    <w:pPr>
      <w:jc w:val="center"/>
    </w:pPr>
    <w:rPr>
      <w:rFonts w:ascii="Helvetica" w:hAnsi="Helvetica"/>
      <w:b/>
    </w:rPr>
  </w:style>
  <w:style w:type="paragraph" w:customStyle="1" w:styleId="mainex">
    <w:name w:val="mainex"/>
    <w:basedOn w:val="main"/>
    <w:pPr>
      <w:keepNext/>
    </w:pPr>
    <w:rPr>
      <w:spacing w:val="120"/>
    </w:rPr>
  </w:style>
  <w:style w:type="paragraph" w:customStyle="1" w:styleId="num1">
    <w:name w:val="num1"/>
    <w:basedOn w:val="Normal"/>
    <w:pPr>
      <w:tabs>
        <w:tab w:val="left" w:pos="-720"/>
      </w:tabs>
      <w:suppressAutoHyphens/>
      <w:spacing w:after="240"/>
    </w:pPr>
  </w:style>
  <w:style w:type="paragraph" w:styleId="Header">
    <w:name w:val="header"/>
    <w:basedOn w:val="Normal"/>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link w:val="FooterChar"/>
    <w:uiPriority w:val="99"/>
    <w:pPr>
      <w:tabs>
        <w:tab w:val="center" w:pos="4320"/>
        <w:tab w:val="right" w:pos="8640"/>
      </w:tabs>
      <w:jc w:val="center"/>
    </w:pPr>
  </w:style>
  <w:style w:type="paragraph" w:customStyle="1" w:styleId="sub1">
    <w:name w:val="sub1"/>
    <w:basedOn w:val="Normal"/>
    <w:pPr>
      <w:spacing w:line="360" w:lineRule="auto"/>
      <w:ind w:firstLine="1440"/>
    </w:pPr>
  </w:style>
  <w:style w:type="paragraph" w:customStyle="1" w:styleId="titlebar">
    <w:name w:val="title bar"/>
    <w:basedOn w:val="main"/>
    <w:pPr>
      <w:keepNext/>
      <w:suppressAutoHyphens/>
    </w:pPr>
  </w:style>
  <w:style w:type="character" w:styleId="PageNumber">
    <w:name w:val="page number"/>
    <w:basedOn w:val="DefaultParagraphFont"/>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ind w:firstLine="3600"/>
    </w:pPr>
  </w:style>
  <w:style w:type="paragraph" w:customStyle="1" w:styleId="dummy">
    <w:name w:val="dummy"/>
    <w:basedOn w:val="Heading1"/>
    <w:pPr>
      <w:outlineLvl w:val="9"/>
    </w:pPr>
  </w:style>
  <w:style w:type="paragraph" w:customStyle="1" w:styleId="AListIndent">
    <w:name w:val="A. List Indent"/>
    <w:basedOn w:val="1ListIndent"/>
    <w:pPr>
      <w:numPr>
        <w:numId w:val="3"/>
      </w:numPr>
      <w:ind w:left="1440" w:hanging="720"/>
    </w:pPr>
  </w:style>
  <w:style w:type="character" w:styleId="EndnoteReference">
    <w:name w:val="endnote reference"/>
    <w:semiHidden/>
    <w:rPr>
      <w:vertAlign w:val="superscript"/>
    </w:rPr>
  </w:style>
  <w:style w:type="paragraph" w:customStyle="1" w:styleId="1ListIndent">
    <w:name w:val="1. List Indent"/>
    <w:basedOn w:val="num2"/>
    <w:pPr>
      <w:numPr>
        <w:numId w:val="4"/>
      </w:numPr>
      <w:ind w:left="1080"/>
    </w:pPr>
  </w:style>
  <w:style w:type="character" w:styleId="FootnoteReference">
    <w:name w:val="footnote reference"/>
    <w:semiHidden/>
    <w:rPr>
      <w:vertAlign w:val="superscript"/>
    </w:rPr>
  </w:style>
  <w:style w:type="paragraph" w:styleId="List">
    <w:name w:val="List"/>
    <w:basedOn w:val="Normal"/>
    <w:pPr>
      <w:ind w:left="360" w:hanging="360"/>
    </w:pPr>
    <w:rPr>
      <w:rFonts w:ascii="Times New Roman" w:hAnsi="Times New Roman"/>
      <w:sz w:val="24"/>
    </w:rPr>
  </w:style>
  <w:style w:type="paragraph" w:customStyle="1" w:styleId="Res-Caption">
    <w:name w:val="Res-Caption"/>
    <w:basedOn w:val="Normal"/>
    <w:pPr>
      <w:ind w:left="720" w:right="720"/>
    </w:pPr>
  </w:style>
  <w:style w:type="paragraph" w:customStyle="1" w:styleId="Res-TitleResolution">
    <w:name w:val="Res-Title (Resolution)"/>
    <w:basedOn w:val="main"/>
  </w:style>
  <w:style w:type="paragraph" w:customStyle="1" w:styleId="ALs">
    <w:name w:val="ALs"/>
    <w:basedOn w:val="Normal"/>
    <w:rPr>
      <w:rFonts w:ascii="Times New Roman" w:hAnsi="Times New Roman"/>
      <w:sz w:val="24"/>
    </w:rPr>
  </w:style>
  <w:style w:type="paragraph" w:styleId="ListParagraph">
    <w:name w:val="List Paragraph"/>
    <w:basedOn w:val="Normal"/>
    <w:uiPriority w:val="34"/>
    <w:qFormat/>
    <w:rsid w:val="003F6E5A"/>
    <w:pPr>
      <w:ind w:left="720"/>
      <w:contextualSpacing/>
    </w:pPr>
  </w:style>
  <w:style w:type="paragraph" w:styleId="BalloonText">
    <w:name w:val="Balloon Text"/>
    <w:basedOn w:val="Normal"/>
    <w:link w:val="BalloonTextChar"/>
    <w:rsid w:val="00D822FD"/>
    <w:rPr>
      <w:rFonts w:ascii="Segoe UI" w:hAnsi="Segoe UI" w:cs="Segoe UI"/>
      <w:sz w:val="18"/>
      <w:szCs w:val="18"/>
    </w:rPr>
  </w:style>
  <w:style w:type="character" w:customStyle="1" w:styleId="BalloonTextChar">
    <w:name w:val="Balloon Text Char"/>
    <w:basedOn w:val="DefaultParagraphFont"/>
    <w:link w:val="BalloonText"/>
    <w:rsid w:val="00D822FD"/>
    <w:rPr>
      <w:rFonts w:ascii="Segoe UI" w:hAnsi="Segoe UI" w:cs="Segoe UI"/>
      <w:sz w:val="18"/>
      <w:szCs w:val="18"/>
    </w:rPr>
  </w:style>
  <w:style w:type="character" w:styleId="Hyperlink">
    <w:name w:val="Hyperlink"/>
    <w:basedOn w:val="DefaultParagraphFont"/>
    <w:unhideWhenUsed/>
    <w:rsid w:val="009D63EA"/>
    <w:rPr>
      <w:color w:val="0000FF" w:themeColor="hyperlink"/>
      <w:u w:val="single"/>
    </w:rPr>
  </w:style>
  <w:style w:type="character" w:styleId="UnresolvedMention">
    <w:name w:val="Unresolved Mention"/>
    <w:basedOn w:val="DefaultParagraphFont"/>
    <w:uiPriority w:val="99"/>
    <w:semiHidden/>
    <w:unhideWhenUsed/>
    <w:rsid w:val="009D63EA"/>
    <w:rPr>
      <w:color w:val="605E5C"/>
      <w:shd w:val="clear" w:color="auto" w:fill="E1DFDD"/>
    </w:rPr>
  </w:style>
  <w:style w:type="character" w:styleId="FollowedHyperlink">
    <w:name w:val="FollowedHyperlink"/>
    <w:basedOn w:val="DefaultParagraphFont"/>
    <w:semiHidden/>
    <w:unhideWhenUsed/>
    <w:rsid w:val="00D515F8"/>
    <w:rPr>
      <w:color w:val="800080" w:themeColor="followedHyperlink"/>
      <w:u w:val="single"/>
    </w:rPr>
  </w:style>
  <w:style w:type="paragraph" w:customStyle="1" w:styleId="xres-caption">
    <w:name w:val="x_res-caption"/>
    <w:basedOn w:val="Normal"/>
    <w:rsid w:val="003B28DC"/>
    <w:pPr>
      <w:spacing w:before="100" w:beforeAutospacing="1" w:after="100" w:afterAutospacing="1"/>
    </w:pPr>
    <w:rPr>
      <w:rFonts w:ascii="Times New Roman" w:hAnsi="Times New Roman"/>
      <w:sz w:val="24"/>
      <w:szCs w:val="24"/>
    </w:rPr>
  </w:style>
  <w:style w:type="character" w:customStyle="1" w:styleId="FooterChar">
    <w:name w:val="Footer Char"/>
    <w:basedOn w:val="DefaultParagraphFont"/>
    <w:link w:val="Footer"/>
    <w:uiPriority w:val="99"/>
    <w:rsid w:val="00B913F1"/>
    <w:rPr>
      <w:rFonts w:ascii="Palatino" w:hAnsi="Palatino"/>
      <w:sz w:val="2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646405"/>
    <w:rPr>
      <w:rFonts w:ascii="Palatino" w:hAnsi="Palatino"/>
      <w:sz w:val="26"/>
    </w:rPr>
  </w:style>
  <w:style w:type="character" w:styleId="CommentReference">
    <w:name w:val="annotation reference"/>
    <w:basedOn w:val="DefaultParagraphFont"/>
    <w:semiHidden/>
    <w:unhideWhenUsed/>
    <w:rsid w:val="00843309"/>
    <w:rPr>
      <w:sz w:val="16"/>
      <w:szCs w:val="16"/>
    </w:rPr>
  </w:style>
  <w:style w:type="paragraph" w:styleId="CommentText">
    <w:name w:val="annotation text"/>
    <w:basedOn w:val="Normal"/>
    <w:link w:val="CommentTextChar"/>
    <w:unhideWhenUsed/>
    <w:rsid w:val="00843309"/>
    <w:rPr>
      <w:sz w:val="20"/>
    </w:rPr>
  </w:style>
  <w:style w:type="character" w:customStyle="1" w:styleId="CommentTextChar">
    <w:name w:val="Comment Text Char"/>
    <w:basedOn w:val="DefaultParagraphFont"/>
    <w:link w:val="CommentText"/>
    <w:rsid w:val="00843309"/>
    <w:rPr>
      <w:rFonts w:ascii="Palatino" w:hAnsi="Palatino"/>
    </w:rPr>
  </w:style>
  <w:style w:type="paragraph" w:styleId="CommentSubject">
    <w:name w:val="annotation subject"/>
    <w:basedOn w:val="CommentText"/>
    <w:next w:val="CommentText"/>
    <w:link w:val="CommentSubjectChar"/>
    <w:semiHidden/>
    <w:unhideWhenUsed/>
    <w:rsid w:val="00843309"/>
    <w:rPr>
      <w:b/>
      <w:bCs/>
    </w:rPr>
  </w:style>
  <w:style w:type="character" w:customStyle="1" w:styleId="CommentSubjectChar">
    <w:name w:val="Comment Subject Char"/>
    <w:basedOn w:val="CommentTextChar"/>
    <w:link w:val="CommentSubject"/>
    <w:semiHidden/>
    <w:rsid w:val="00843309"/>
    <w:rPr>
      <w:rFonts w:ascii="Palatino" w:hAnsi="Palatino"/>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27587">
      <w:bodyDiv w:val="1"/>
      <w:marLeft w:val="0"/>
      <w:marRight w:val="0"/>
      <w:marTop w:val="0"/>
      <w:marBottom w:val="0"/>
      <w:divBdr>
        <w:top w:val="none" w:sz="0" w:space="0" w:color="auto"/>
        <w:left w:val="none" w:sz="0" w:space="0" w:color="auto"/>
        <w:bottom w:val="none" w:sz="0" w:space="0" w:color="auto"/>
        <w:right w:val="none" w:sz="0" w:space="0" w:color="auto"/>
      </w:divBdr>
    </w:div>
    <w:div w:id="346491164">
      <w:bodyDiv w:val="1"/>
      <w:marLeft w:val="0"/>
      <w:marRight w:val="0"/>
      <w:marTop w:val="0"/>
      <w:marBottom w:val="0"/>
      <w:divBdr>
        <w:top w:val="none" w:sz="0" w:space="0" w:color="auto"/>
        <w:left w:val="none" w:sz="0" w:space="0" w:color="auto"/>
        <w:bottom w:val="none" w:sz="0" w:space="0" w:color="auto"/>
        <w:right w:val="none" w:sz="0" w:space="0" w:color="auto"/>
      </w:divBdr>
    </w:div>
    <w:div w:id="99217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0FFBBE0AC460F4AA4CC26C1F6896B31" ma:contentTypeVersion="7" ma:contentTypeDescription="Create a new document." ma:contentTypeScope="" ma:versionID="4fbd9dced847ec742eeb451a2371ec71">
  <xsd:schema xmlns:xsd="http://www.w3.org/2001/XMLSchema" xmlns:xs="http://www.w3.org/2001/XMLSchema" xmlns:p="http://schemas.microsoft.com/office/2006/metadata/properties" xmlns:ns3="cfa8c6a1-a26a-4531-bba0-41196200a045" xmlns:ns4="d029ddf9-aa33-495e-b1b4-6d6821277222" targetNamespace="http://schemas.microsoft.com/office/2006/metadata/properties" ma:root="true" ma:fieldsID="a37bf1794836eb068082dc73c7d8b5d3" ns3:_="" ns4:_="">
    <xsd:import namespace="cfa8c6a1-a26a-4531-bba0-41196200a045"/>
    <xsd:import namespace="d029ddf9-aa33-495e-b1b4-6d682127722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a8c6a1-a26a-4531-bba0-41196200a04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29ddf9-aa33-495e-b1b4-6d682127722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d029ddf9-aa33-495e-b1b4-6d6821277222" xsi:nil="true"/>
  </documentManagement>
</p:properties>
</file>

<file path=customXml/itemProps1.xml><?xml version="1.0" encoding="utf-8"?>
<ds:datastoreItem xmlns:ds="http://schemas.openxmlformats.org/officeDocument/2006/customXml" ds:itemID="{86995425-280A-47AE-88D0-D9B292CD73F0}">
  <ds:schemaRefs>
    <ds:schemaRef ds:uri="http://schemas.openxmlformats.org/officeDocument/2006/bibliography"/>
  </ds:schemaRefs>
</ds:datastoreItem>
</file>

<file path=customXml/itemProps2.xml><?xml version="1.0" encoding="utf-8"?>
<ds:datastoreItem xmlns:ds="http://schemas.openxmlformats.org/officeDocument/2006/customXml" ds:itemID="{490ED233-21CC-44B6-BA92-6797D313C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a8c6a1-a26a-4531-bba0-41196200a045"/>
    <ds:schemaRef ds:uri="d029ddf9-aa33-495e-b1b4-6d6821277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26743D-17D4-448F-A3A0-B2FCFCA611FF}">
  <ds:schemaRefs>
    <ds:schemaRef ds:uri="http://schemas.microsoft.com/sharepoint/v3/contenttype/forms"/>
  </ds:schemaRefs>
</ds:datastoreItem>
</file>

<file path=customXml/itemProps4.xml><?xml version="1.0" encoding="utf-8"?>
<ds:datastoreItem xmlns:ds="http://schemas.openxmlformats.org/officeDocument/2006/customXml" ds:itemID="{F0F54526-F973-479E-9E6C-9A17D746A63C}">
  <ds:schemaRefs>
    <ds:schemaRef ds:uri="http://schemas.microsoft.com/office/2006/metadata/properties"/>
    <ds:schemaRef ds:uri="http://schemas.microsoft.com/office/infopath/2007/PartnerControls"/>
    <ds:schemaRef ds:uri="d029ddf9-aa33-495e-b1b4-6d6821277222"/>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14</ap:Pages>
  <ap:Words>3584</ap:Words>
  <ap:Characters>20433</ap:Characters>
  <ap:Application>Microsoft Office Word</ap:Application>
  <ap:DocSecurity>0</ap:DocSecurity>
  <ap:Lines>170</ap:Lines>
  <ap:Paragraphs>47</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23970</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2019-02-28T22:11:00Z</cp:lastPrinted>
  <dcterms:created xsi:type="dcterms:W3CDTF">2023-09-22T15:05:02Z</dcterms:created>
  <dcterms:modified xsi:type="dcterms:W3CDTF">2023-09-22T15:05:02Z</dcterms:modified>
</cp:coreProperties>
</file>