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2BCE" w:rsidP="00612BCE" w:rsidRDefault="00612BCE" w14:paraId="2217ABA0" w14:textId="77777777">
      <w:pPr>
        <w:pStyle w:val="titlebar"/>
        <w:jc w:val="left"/>
        <w:rPr>
          <w:rFonts w:cs="Helvetica"/>
          <w:szCs w:val="26"/>
        </w:rPr>
      </w:pPr>
      <w:r w:rsidRPr="0031664B">
        <w:rPr>
          <w:rFonts w:cs="Helvetica"/>
          <w:szCs w:val="26"/>
        </w:rPr>
        <w:t xml:space="preserve">   PUBLIC UTILITIES COMMISSION OF THE STATE OF CALIFORNIA</w:t>
      </w:r>
    </w:p>
    <w:p w:rsidRPr="003E275A" w:rsidR="003E275A" w:rsidP="00612BCE" w:rsidRDefault="003E275A" w14:paraId="0C90147F" w14:textId="77777777">
      <w:pPr>
        <w:pStyle w:val="titlebar"/>
        <w:jc w:val="left"/>
        <w:rPr>
          <w:rFonts w:cs="Helvetica"/>
          <w:sz w:val="16"/>
          <w:szCs w:val="16"/>
        </w:rPr>
      </w:pPr>
    </w:p>
    <w:p w:rsidRPr="0031664B" w:rsidR="00612BCE" w:rsidP="00612BCE" w:rsidRDefault="00612BCE" w14:paraId="011FEB1A" w14:textId="697F0A40">
      <w:pPr>
        <w:suppressAutoHyphens/>
        <w:rPr>
          <w:rFonts w:ascii="Palatino Linotype" w:hAnsi="Palatino Linotype"/>
          <w:b/>
          <w:sz w:val="24"/>
          <w:szCs w:val="24"/>
        </w:rPr>
      </w:pPr>
      <w:r w:rsidRPr="0031664B">
        <w:rPr>
          <w:rFonts w:ascii="Palatino Linotype" w:hAnsi="Palatino Linotype"/>
          <w:sz w:val="24"/>
          <w:szCs w:val="24"/>
        </w:rPr>
        <w:tab/>
      </w:r>
      <w:r w:rsidRPr="0031664B">
        <w:rPr>
          <w:rFonts w:ascii="Palatino Linotype" w:hAnsi="Palatino Linotype"/>
          <w:sz w:val="24"/>
          <w:szCs w:val="24"/>
        </w:rPr>
        <w:tab/>
      </w:r>
      <w:r w:rsidRPr="0031664B">
        <w:rPr>
          <w:rFonts w:ascii="Palatino Linotype" w:hAnsi="Palatino Linotype"/>
          <w:sz w:val="24"/>
          <w:szCs w:val="24"/>
        </w:rPr>
        <w:tab/>
      </w:r>
      <w:r w:rsidRPr="0031664B">
        <w:rPr>
          <w:rFonts w:ascii="Palatino Linotype" w:hAnsi="Palatino Linotype"/>
          <w:sz w:val="24"/>
          <w:szCs w:val="24"/>
        </w:rPr>
        <w:tab/>
      </w:r>
      <w:r w:rsidRPr="0031664B">
        <w:rPr>
          <w:rFonts w:ascii="Palatino Linotype" w:hAnsi="Palatino Linotype"/>
          <w:sz w:val="24"/>
          <w:szCs w:val="24"/>
        </w:rPr>
        <w:tab/>
      </w:r>
      <w:r w:rsidRPr="0031664B">
        <w:rPr>
          <w:rFonts w:ascii="Palatino Linotype" w:hAnsi="Palatino Linotype"/>
          <w:sz w:val="24"/>
          <w:szCs w:val="24"/>
        </w:rPr>
        <w:tab/>
      </w:r>
      <w:r w:rsidRPr="0031664B">
        <w:rPr>
          <w:rFonts w:ascii="Palatino Linotype" w:hAnsi="Palatino Linotype"/>
          <w:sz w:val="24"/>
          <w:szCs w:val="24"/>
        </w:rPr>
        <w:tab/>
      </w:r>
      <w:r w:rsidRPr="0031664B">
        <w:rPr>
          <w:rFonts w:ascii="Palatino Linotype" w:hAnsi="Palatino Linotype"/>
          <w:sz w:val="24"/>
          <w:szCs w:val="24"/>
        </w:rPr>
        <w:tab/>
      </w:r>
      <w:r w:rsidR="0031664B">
        <w:rPr>
          <w:rFonts w:ascii="Palatino Linotype" w:hAnsi="Palatino Linotype"/>
          <w:sz w:val="24"/>
          <w:szCs w:val="24"/>
        </w:rPr>
        <w:t xml:space="preserve">   </w:t>
      </w:r>
      <w:r w:rsidR="002C43FE">
        <w:rPr>
          <w:rFonts w:ascii="Palatino Linotype" w:hAnsi="Palatino Linotype"/>
          <w:sz w:val="24"/>
          <w:szCs w:val="24"/>
        </w:rPr>
        <w:t xml:space="preserve"> </w:t>
      </w:r>
      <w:r w:rsidR="0031664B">
        <w:rPr>
          <w:rFonts w:ascii="Palatino Linotype" w:hAnsi="Palatino Linotype"/>
          <w:sz w:val="24"/>
          <w:szCs w:val="24"/>
        </w:rPr>
        <w:t xml:space="preserve"> </w:t>
      </w:r>
      <w:r w:rsidRPr="0031664B">
        <w:rPr>
          <w:rFonts w:ascii="Palatino Linotype" w:hAnsi="Palatino Linotype"/>
          <w:b/>
          <w:sz w:val="24"/>
          <w:szCs w:val="24"/>
        </w:rPr>
        <w:t>A</w:t>
      </w:r>
      <w:r w:rsidR="0031664B">
        <w:rPr>
          <w:rFonts w:ascii="Palatino Linotype" w:hAnsi="Palatino Linotype"/>
          <w:b/>
          <w:sz w:val="24"/>
          <w:szCs w:val="24"/>
        </w:rPr>
        <w:t>genda</w:t>
      </w:r>
      <w:r w:rsidRPr="0031664B">
        <w:rPr>
          <w:rFonts w:ascii="Palatino Linotype" w:hAnsi="Palatino Linotype"/>
          <w:b/>
          <w:sz w:val="24"/>
          <w:szCs w:val="24"/>
        </w:rPr>
        <w:t xml:space="preserve"> ID</w:t>
      </w:r>
      <w:r w:rsidR="0031664B">
        <w:rPr>
          <w:rFonts w:ascii="Palatino Linotype" w:hAnsi="Palatino Linotype"/>
          <w:b/>
          <w:sz w:val="24"/>
          <w:szCs w:val="24"/>
        </w:rPr>
        <w:t>#</w:t>
      </w:r>
      <w:r w:rsidRPr="0031664B">
        <w:rPr>
          <w:rFonts w:ascii="Palatino Linotype" w:hAnsi="Palatino Linotype"/>
          <w:b/>
          <w:sz w:val="24"/>
          <w:szCs w:val="24"/>
        </w:rPr>
        <w:t xml:space="preserve"> </w:t>
      </w:r>
      <w:r w:rsidRPr="002C43FE" w:rsidR="002C43FE">
        <w:rPr>
          <w:rFonts w:ascii="Palatino Linotype" w:hAnsi="Palatino Linotype"/>
          <w:b/>
          <w:sz w:val="24"/>
          <w:szCs w:val="24"/>
        </w:rPr>
        <w:t>21908</w:t>
      </w:r>
    </w:p>
    <w:p w:rsidRPr="0031664B" w:rsidR="00612BCE" w:rsidP="00C55D6F" w:rsidRDefault="00612BCE" w14:paraId="408AECFB" w14:textId="4239AE35">
      <w:pPr>
        <w:ind w:firstLine="180"/>
        <w:rPr>
          <w:rFonts w:ascii="Palatino Linotype" w:hAnsi="Palatino Linotype"/>
          <w:b/>
          <w:sz w:val="24"/>
          <w:szCs w:val="24"/>
          <w:highlight w:val="yellow"/>
        </w:rPr>
      </w:pPr>
      <w:r w:rsidRPr="0031664B">
        <w:rPr>
          <w:rFonts w:ascii="Palatino Linotype" w:hAnsi="Palatino Linotype"/>
          <w:b/>
          <w:sz w:val="24"/>
          <w:szCs w:val="24"/>
        </w:rPr>
        <w:t>ENERGY DIVISION</w:t>
      </w:r>
      <w:r w:rsidRPr="0031664B">
        <w:rPr>
          <w:rFonts w:ascii="Palatino Linotype" w:hAnsi="Palatino Linotype"/>
          <w:b/>
          <w:sz w:val="24"/>
          <w:szCs w:val="24"/>
        </w:rPr>
        <w:tab/>
      </w:r>
      <w:r w:rsidRPr="0031664B">
        <w:rPr>
          <w:rFonts w:ascii="Palatino Linotype" w:hAnsi="Palatino Linotype"/>
          <w:b/>
          <w:sz w:val="24"/>
          <w:szCs w:val="24"/>
        </w:rPr>
        <w:tab/>
      </w:r>
      <w:r w:rsidRPr="0031664B">
        <w:rPr>
          <w:rFonts w:ascii="Palatino Linotype" w:hAnsi="Palatino Linotype"/>
          <w:b/>
          <w:sz w:val="24"/>
          <w:szCs w:val="24"/>
        </w:rPr>
        <w:tab/>
      </w:r>
      <w:r w:rsidRPr="0031664B">
        <w:rPr>
          <w:rFonts w:ascii="Palatino Linotype" w:hAnsi="Palatino Linotype"/>
          <w:b/>
          <w:sz w:val="24"/>
          <w:szCs w:val="24"/>
        </w:rPr>
        <w:tab/>
      </w:r>
      <w:r w:rsidR="0031664B">
        <w:rPr>
          <w:rFonts w:ascii="Palatino Linotype" w:hAnsi="Palatino Linotype"/>
          <w:b/>
          <w:sz w:val="24"/>
          <w:szCs w:val="24"/>
        </w:rPr>
        <w:t xml:space="preserve">          </w:t>
      </w:r>
      <w:r w:rsidRPr="0031664B">
        <w:rPr>
          <w:rFonts w:ascii="Palatino Linotype" w:hAnsi="Palatino Linotype"/>
          <w:b/>
          <w:sz w:val="24"/>
          <w:szCs w:val="24"/>
        </w:rPr>
        <w:t>RESOLUTION E-</w:t>
      </w:r>
      <w:r w:rsidRPr="0031664B" w:rsidR="00DE2A07">
        <w:rPr>
          <w:rFonts w:ascii="Palatino Linotype" w:hAnsi="Palatino Linotype"/>
          <w:b/>
          <w:sz w:val="24"/>
          <w:szCs w:val="24"/>
        </w:rPr>
        <w:t>5295</w:t>
      </w:r>
    </w:p>
    <w:p w:rsidRPr="0031664B" w:rsidR="00612BCE" w:rsidP="00612BCE" w:rsidRDefault="00612BCE" w14:paraId="2CB23D4A" w14:textId="45891C4C">
      <w:pPr>
        <w:tabs>
          <w:tab w:val="right" w:pos="8910"/>
        </w:tabs>
        <w:ind w:left="1440" w:firstLine="720"/>
        <w:rPr>
          <w:rFonts w:ascii="Palatino Linotype" w:hAnsi="Palatino Linotype"/>
          <w:b/>
          <w:sz w:val="24"/>
          <w:szCs w:val="24"/>
        </w:rPr>
      </w:pPr>
      <w:r w:rsidRPr="0031664B">
        <w:rPr>
          <w:rFonts w:ascii="Palatino Linotype" w:hAnsi="Palatino Linotype"/>
          <w:b/>
          <w:sz w:val="24"/>
          <w:szCs w:val="24"/>
        </w:rPr>
        <w:t xml:space="preserve">                                                       </w:t>
      </w:r>
      <w:r w:rsidR="0031664B">
        <w:rPr>
          <w:rFonts w:ascii="Palatino Linotype" w:hAnsi="Palatino Linotype"/>
          <w:b/>
          <w:sz w:val="24"/>
          <w:szCs w:val="24"/>
        </w:rPr>
        <w:t xml:space="preserve"> </w:t>
      </w:r>
      <w:r w:rsidRPr="0031664B">
        <w:rPr>
          <w:rFonts w:ascii="Palatino Linotype" w:hAnsi="Palatino Linotype"/>
          <w:b/>
          <w:sz w:val="24"/>
          <w:szCs w:val="24"/>
        </w:rPr>
        <w:t xml:space="preserve">          </w:t>
      </w:r>
      <w:r w:rsidRPr="0031664B" w:rsidR="00AF18E4">
        <w:rPr>
          <w:rFonts w:ascii="Palatino Linotype" w:hAnsi="Palatino Linotype"/>
          <w:b/>
          <w:sz w:val="24"/>
          <w:szCs w:val="24"/>
        </w:rPr>
        <w:t xml:space="preserve">November </w:t>
      </w:r>
      <w:r w:rsidRPr="0031664B" w:rsidR="00852635">
        <w:rPr>
          <w:rFonts w:ascii="Palatino Linotype" w:hAnsi="Palatino Linotype"/>
          <w:b/>
          <w:sz w:val="24"/>
          <w:szCs w:val="24"/>
        </w:rPr>
        <w:t>2</w:t>
      </w:r>
      <w:r w:rsidRPr="0031664B">
        <w:rPr>
          <w:rFonts w:ascii="Palatino Linotype" w:hAnsi="Palatino Linotype"/>
          <w:b/>
          <w:sz w:val="24"/>
          <w:szCs w:val="24"/>
        </w:rPr>
        <w:t>, 20</w:t>
      </w:r>
      <w:r w:rsidRPr="0031664B" w:rsidR="00F37CFD">
        <w:rPr>
          <w:rFonts w:ascii="Palatino Linotype" w:hAnsi="Palatino Linotype"/>
          <w:b/>
          <w:sz w:val="24"/>
          <w:szCs w:val="24"/>
        </w:rPr>
        <w:t>23</w:t>
      </w:r>
      <w:r w:rsidRPr="0031664B">
        <w:rPr>
          <w:rFonts w:ascii="Palatino Linotype" w:hAnsi="Palatino Linotype"/>
          <w:b/>
          <w:sz w:val="24"/>
          <w:szCs w:val="24"/>
        </w:rPr>
        <w:t xml:space="preserve"> </w:t>
      </w:r>
    </w:p>
    <w:p w:rsidR="00612BCE" w:rsidP="00612BCE" w:rsidRDefault="00612BCE" w14:paraId="4CE61899" w14:textId="77777777">
      <w:pPr>
        <w:pStyle w:val="mainex"/>
        <w:jc w:val="left"/>
        <w:rPr>
          <w:rFonts w:ascii="Palatino Linotype" w:hAnsi="Palatino Linotype"/>
          <w:sz w:val="24"/>
          <w:szCs w:val="24"/>
          <w:u w:val="single"/>
        </w:rPr>
      </w:pPr>
      <w:bookmarkStart w:name="_Ref404993683" w:id="0"/>
    </w:p>
    <w:p w:rsidRPr="003E275A" w:rsidR="0031664B" w:rsidP="00612BCE" w:rsidRDefault="0031664B" w14:paraId="55D3129D" w14:textId="77777777">
      <w:pPr>
        <w:pStyle w:val="mainex"/>
        <w:jc w:val="left"/>
        <w:rPr>
          <w:rFonts w:ascii="Palatino Linotype" w:hAnsi="Palatino Linotype"/>
          <w:sz w:val="16"/>
          <w:szCs w:val="16"/>
          <w:u w:val="single"/>
        </w:rPr>
      </w:pPr>
    </w:p>
    <w:p w:rsidRPr="0031664B" w:rsidR="00892AA7" w:rsidP="00892AA7" w:rsidRDefault="00892AA7" w14:paraId="7D4738EB" w14:textId="07F625A5">
      <w:pPr>
        <w:pStyle w:val="mainex"/>
        <w:spacing w:after="240"/>
        <w:rPr>
          <w:rFonts w:cs="Helvetica"/>
          <w:szCs w:val="26"/>
          <w:u w:val="single"/>
        </w:rPr>
      </w:pPr>
      <w:r w:rsidRPr="0031664B">
        <w:rPr>
          <w:rFonts w:cs="Helvetica"/>
          <w:szCs w:val="26"/>
          <w:u w:val="single"/>
        </w:rPr>
        <w:t>REDACTED</w:t>
      </w:r>
    </w:p>
    <w:p w:rsidRPr="0031664B" w:rsidR="00612BCE" w:rsidP="00413587" w:rsidRDefault="00612BCE" w14:paraId="6F631FC4" w14:textId="57373DB5">
      <w:pPr>
        <w:pStyle w:val="mainex"/>
        <w:rPr>
          <w:rFonts w:ascii="Palatino Linotype" w:hAnsi="Palatino Linotype"/>
          <w:sz w:val="24"/>
          <w:szCs w:val="24"/>
          <w:u w:val="single"/>
        </w:rPr>
      </w:pPr>
      <w:r w:rsidRPr="0031664B">
        <w:rPr>
          <w:rFonts w:cs="Helvetica"/>
          <w:szCs w:val="26"/>
          <w:u w:val="single"/>
        </w:rPr>
        <w:t>RESOLUTION</w:t>
      </w:r>
    </w:p>
    <w:p w:rsidRPr="0031664B" w:rsidR="00612BCE" w:rsidP="00612BCE" w:rsidRDefault="00612BCE" w14:paraId="48C6912C" w14:textId="77777777">
      <w:pPr>
        <w:rPr>
          <w:rFonts w:ascii="Palatino Linotype" w:hAnsi="Palatino Linotype"/>
          <w:sz w:val="16"/>
          <w:szCs w:val="16"/>
        </w:rPr>
      </w:pPr>
    </w:p>
    <w:p w:rsidRPr="0031664B" w:rsidR="00612BCE" w:rsidP="00612BCE" w:rsidRDefault="00612BCE" w14:paraId="04BC1F47" w14:textId="390CB19A">
      <w:pPr>
        <w:pStyle w:val="Res-Caption"/>
        <w:rPr>
          <w:rFonts w:ascii="Palatino Linotype" w:hAnsi="Palatino Linotype"/>
          <w:sz w:val="24"/>
          <w:szCs w:val="24"/>
        </w:rPr>
      </w:pPr>
      <w:r w:rsidRPr="0031664B">
        <w:rPr>
          <w:rFonts w:ascii="Palatino Linotype" w:hAnsi="Palatino Linotype"/>
          <w:sz w:val="24"/>
          <w:szCs w:val="24"/>
        </w:rPr>
        <w:t>Resolution E-</w:t>
      </w:r>
      <w:r w:rsidRPr="0031664B" w:rsidR="00DE2A07">
        <w:rPr>
          <w:rFonts w:ascii="Palatino Linotype" w:hAnsi="Palatino Linotype"/>
          <w:sz w:val="24"/>
          <w:szCs w:val="24"/>
        </w:rPr>
        <w:t>5295</w:t>
      </w:r>
      <w:r w:rsidRPr="0031664B">
        <w:rPr>
          <w:rFonts w:ascii="Palatino Linotype" w:hAnsi="Palatino Linotype"/>
          <w:sz w:val="24"/>
          <w:szCs w:val="24"/>
        </w:rPr>
        <w:t xml:space="preserve">. </w:t>
      </w:r>
      <w:r w:rsidRPr="0031664B" w:rsidR="00D76394">
        <w:rPr>
          <w:rFonts w:ascii="Palatino Linotype" w:hAnsi="Palatino Linotype"/>
          <w:sz w:val="24"/>
          <w:szCs w:val="24"/>
        </w:rPr>
        <w:t xml:space="preserve">Pacific Gas and Electric </w:t>
      </w:r>
      <w:r w:rsidRPr="0031664B">
        <w:rPr>
          <w:rFonts w:ascii="Palatino Linotype" w:hAnsi="Palatino Linotype"/>
          <w:sz w:val="24"/>
          <w:szCs w:val="24"/>
        </w:rPr>
        <w:t xml:space="preserve">Company requests approval of </w:t>
      </w:r>
      <w:r w:rsidRPr="0031664B" w:rsidR="009809C2">
        <w:rPr>
          <w:rFonts w:ascii="Palatino Linotype" w:hAnsi="Palatino Linotype"/>
          <w:sz w:val="24"/>
          <w:szCs w:val="24"/>
        </w:rPr>
        <w:t xml:space="preserve">six (6) long-term power purchase and sale agreements (PPSAs or </w:t>
      </w:r>
      <w:r w:rsidRPr="0031664B" w:rsidR="00432C03">
        <w:rPr>
          <w:rFonts w:ascii="Palatino Linotype" w:hAnsi="Palatino Linotype"/>
          <w:sz w:val="24"/>
          <w:szCs w:val="24"/>
        </w:rPr>
        <w:t>Transactions</w:t>
      </w:r>
      <w:r w:rsidRPr="0031664B" w:rsidR="009809C2">
        <w:rPr>
          <w:rFonts w:ascii="Palatino Linotype" w:hAnsi="Palatino Linotype"/>
          <w:sz w:val="24"/>
          <w:szCs w:val="24"/>
        </w:rPr>
        <w:t xml:space="preserve">) </w:t>
      </w:r>
      <w:r w:rsidRPr="0031664B" w:rsidR="00E552A8">
        <w:rPr>
          <w:rFonts w:ascii="Palatino Linotype" w:hAnsi="Palatino Linotype"/>
          <w:sz w:val="24"/>
          <w:szCs w:val="24"/>
        </w:rPr>
        <w:t xml:space="preserve">with multiple counterparties </w:t>
      </w:r>
      <w:r w:rsidRPr="0031664B">
        <w:rPr>
          <w:rFonts w:ascii="Palatino Linotype" w:hAnsi="Palatino Linotype"/>
          <w:sz w:val="24"/>
          <w:szCs w:val="24"/>
        </w:rPr>
        <w:t>to sell renewable generation and the associated renewable energy credits.</w:t>
      </w:r>
      <w:r w:rsidRPr="0031664B" w:rsidR="00083E03">
        <w:rPr>
          <w:rFonts w:ascii="Palatino Linotype" w:hAnsi="Palatino Linotype"/>
          <w:sz w:val="24"/>
          <w:szCs w:val="24"/>
        </w:rPr>
        <w:t xml:space="preserve"> These </w:t>
      </w:r>
      <w:r w:rsidRPr="0031664B" w:rsidR="00432C03">
        <w:rPr>
          <w:rFonts w:ascii="Palatino Linotype" w:hAnsi="Palatino Linotype"/>
          <w:sz w:val="24"/>
          <w:szCs w:val="24"/>
        </w:rPr>
        <w:t>Transactions</w:t>
      </w:r>
      <w:r w:rsidRPr="0031664B" w:rsidR="00083E03">
        <w:rPr>
          <w:rFonts w:ascii="Palatino Linotype" w:hAnsi="Palatino Linotype"/>
          <w:sz w:val="24"/>
          <w:szCs w:val="24"/>
        </w:rPr>
        <w:t xml:space="preserve"> result from the implementation of the Voluntary Allocation and Market Offer mechanism.</w:t>
      </w:r>
    </w:p>
    <w:p w:rsidRPr="0031664B" w:rsidR="00612BCE" w:rsidP="00612BCE" w:rsidRDefault="00612BCE" w14:paraId="4008958C" w14:textId="77777777">
      <w:pPr>
        <w:pStyle w:val="Res-Caption"/>
        <w:rPr>
          <w:rFonts w:ascii="Palatino Linotype" w:hAnsi="Palatino Linotype"/>
          <w:sz w:val="16"/>
          <w:szCs w:val="16"/>
        </w:rPr>
      </w:pPr>
    </w:p>
    <w:p w:rsidRPr="0031664B" w:rsidR="00612BCE" w:rsidP="00612BCE" w:rsidRDefault="00612BCE" w14:paraId="245E02E3" w14:textId="5921FB8E">
      <w:pPr>
        <w:pStyle w:val="Res-Caption"/>
        <w:rPr>
          <w:rFonts w:ascii="Palatino Linotype" w:hAnsi="Palatino Linotype"/>
          <w:sz w:val="24"/>
          <w:szCs w:val="24"/>
        </w:rPr>
      </w:pPr>
      <w:r w:rsidRPr="0031664B">
        <w:rPr>
          <w:rFonts w:ascii="Palatino Linotype" w:hAnsi="Palatino Linotype"/>
          <w:sz w:val="24"/>
          <w:szCs w:val="24"/>
        </w:rPr>
        <w:t xml:space="preserve">PROPOSED OUTCOME: </w:t>
      </w:r>
    </w:p>
    <w:p w:rsidRPr="0031664B" w:rsidR="00612BCE" w:rsidP="00612BCE" w:rsidRDefault="00612BCE" w14:paraId="45A18EF0" w14:textId="4D9D83B3">
      <w:pPr>
        <w:pStyle w:val="Res-Caption"/>
        <w:numPr>
          <w:ilvl w:val="0"/>
          <w:numId w:val="3"/>
        </w:numPr>
        <w:rPr>
          <w:rFonts w:ascii="Palatino Linotype" w:hAnsi="Palatino Linotype"/>
          <w:sz w:val="24"/>
          <w:szCs w:val="24"/>
        </w:rPr>
      </w:pPr>
      <w:r w:rsidRPr="0031664B">
        <w:rPr>
          <w:rFonts w:ascii="Palatino Linotype" w:hAnsi="Palatino Linotype"/>
          <w:sz w:val="24"/>
          <w:szCs w:val="24"/>
        </w:rPr>
        <w:t xml:space="preserve">This Resolution approves </w:t>
      </w:r>
      <w:r w:rsidRPr="0031664B" w:rsidR="00D24198">
        <w:rPr>
          <w:rFonts w:ascii="Palatino Linotype" w:hAnsi="Palatino Linotype"/>
          <w:sz w:val="24"/>
          <w:szCs w:val="24"/>
        </w:rPr>
        <w:t xml:space="preserve">the six (6) long-term PPSAs under the rules and requirements laid out in D.21-05-030 and D.22-11-021 regarding the implementation of the Voluntary Allocation and Market Offer (VAMO) mechanism to address portfolio optimization activities associated with RPS resources subject to </w:t>
      </w:r>
      <w:r w:rsidRPr="0031664B" w:rsidR="006A196E">
        <w:rPr>
          <w:rFonts w:ascii="Palatino Linotype" w:hAnsi="Palatino Linotype"/>
          <w:sz w:val="24"/>
          <w:szCs w:val="24"/>
        </w:rPr>
        <w:t>Power Charge Indifference Adjustment (PCIA)</w:t>
      </w:r>
      <w:r w:rsidRPr="0031664B" w:rsidR="00D24198">
        <w:rPr>
          <w:rFonts w:ascii="Palatino Linotype" w:hAnsi="Palatino Linotype"/>
          <w:sz w:val="24"/>
          <w:szCs w:val="24"/>
        </w:rPr>
        <w:t xml:space="preserve"> cost recovery.</w:t>
      </w:r>
      <w:r w:rsidRPr="0031664B">
        <w:rPr>
          <w:rFonts w:ascii="Palatino Linotype" w:hAnsi="Palatino Linotype"/>
          <w:sz w:val="24"/>
          <w:szCs w:val="24"/>
        </w:rPr>
        <w:t xml:space="preserve"> The</w:t>
      </w:r>
      <w:r w:rsidRPr="0031664B" w:rsidR="00D24198">
        <w:rPr>
          <w:rFonts w:ascii="Palatino Linotype" w:hAnsi="Palatino Linotype"/>
          <w:sz w:val="24"/>
          <w:szCs w:val="24"/>
        </w:rPr>
        <w:t>se</w:t>
      </w:r>
      <w:r w:rsidRPr="0031664B">
        <w:rPr>
          <w:rFonts w:ascii="Palatino Linotype" w:hAnsi="Palatino Linotype"/>
          <w:sz w:val="24"/>
          <w:szCs w:val="24"/>
        </w:rPr>
        <w:t xml:space="preserve"> agreement</w:t>
      </w:r>
      <w:r w:rsidRPr="0031664B" w:rsidR="00D24198">
        <w:rPr>
          <w:rFonts w:ascii="Palatino Linotype" w:hAnsi="Palatino Linotype"/>
          <w:sz w:val="24"/>
          <w:szCs w:val="24"/>
        </w:rPr>
        <w:t>s are</w:t>
      </w:r>
      <w:r w:rsidRPr="0031664B">
        <w:rPr>
          <w:rFonts w:ascii="Palatino Linotype" w:hAnsi="Palatino Linotype"/>
          <w:sz w:val="24"/>
          <w:szCs w:val="24"/>
        </w:rPr>
        <w:t xml:space="preserve"> for </w:t>
      </w:r>
      <w:r w:rsidRPr="0031664B" w:rsidR="00506414">
        <w:rPr>
          <w:rFonts w:ascii="Palatino Linotype" w:hAnsi="Palatino Linotype"/>
          <w:sz w:val="24"/>
          <w:szCs w:val="24"/>
        </w:rPr>
        <w:t>long</w:t>
      </w:r>
      <w:r w:rsidRPr="0031664B">
        <w:rPr>
          <w:rFonts w:ascii="Palatino Linotype" w:hAnsi="Palatino Linotype"/>
          <w:sz w:val="24"/>
          <w:szCs w:val="24"/>
        </w:rPr>
        <w:t>-term bundled</w:t>
      </w:r>
      <w:r w:rsidRPr="0031664B" w:rsidR="00D24198">
        <w:rPr>
          <w:rFonts w:ascii="Palatino Linotype" w:hAnsi="Palatino Linotype"/>
          <w:sz w:val="24"/>
          <w:szCs w:val="24"/>
        </w:rPr>
        <w:t xml:space="preserve"> RPS-eligible energy and </w:t>
      </w:r>
      <w:r w:rsidRPr="0031664B" w:rsidR="004F2B68">
        <w:rPr>
          <w:rFonts w:ascii="Palatino Linotype" w:hAnsi="Palatino Linotype"/>
          <w:sz w:val="24"/>
          <w:szCs w:val="24"/>
        </w:rPr>
        <w:t>associated Renewable</w:t>
      </w:r>
      <w:r w:rsidRPr="0031664B">
        <w:rPr>
          <w:rFonts w:ascii="Palatino Linotype" w:hAnsi="Palatino Linotype"/>
          <w:sz w:val="24"/>
          <w:szCs w:val="24"/>
        </w:rPr>
        <w:t xml:space="preserve"> Energy Credits (RECs) </w:t>
      </w:r>
      <w:r w:rsidRPr="0031664B" w:rsidR="00D24198">
        <w:rPr>
          <w:rFonts w:ascii="Palatino Linotype" w:hAnsi="Palatino Linotype"/>
          <w:sz w:val="24"/>
          <w:szCs w:val="24"/>
        </w:rPr>
        <w:t xml:space="preserve">from facilities with power purchase agreements </w:t>
      </w:r>
      <w:r w:rsidRPr="0031664B" w:rsidR="00F16E8A">
        <w:rPr>
          <w:rFonts w:ascii="Palatino Linotype" w:hAnsi="Palatino Linotype"/>
          <w:sz w:val="24"/>
          <w:szCs w:val="24"/>
        </w:rPr>
        <w:t xml:space="preserve">with remaining terms of more than </w:t>
      </w:r>
      <w:r w:rsidR="0031664B">
        <w:rPr>
          <w:rFonts w:ascii="Palatino Linotype" w:hAnsi="Palatino Linotype"/>
          <w:sz w:val="24"/>
          <w:szCs w:val="24"/>
        </w:rPr>
        <w:br/>
      </w:r>
      <w:r w:rsidRPr="0031664B" w:rsidR="00F16E8A">
        <w:rPr>
          <w:rFonts w:ascii="Palatino Linotype" w:hAnsi="Palatino Linotype"/>
          <w:sz w:val="24"/>
          <w:szCs w:val="24"/>
        </w:rPr>
        <w:t xml:space="preserve">10 years from the start date of market offer deliveries in </w:t>
      </w:r>
      <w:r w:rsidR="0031664B">
        <w:rPr>
          <w:rFonts w:ascii="Palatino Linotype" w:hAnsi="Palatino Linotype"/>
          <w:sz w:val="24"/>
          <w:szCs w:val="24"/>
        </w:rPr>
        <w:br/>
      </w:r>
      <w:r w:rsidRPr="0031664B" w:rsidR="00F16E8A">
        <w:rPr>
          <w:rFonts w:ascii="Palatino Linotype" w:hAnsi="Palatino Linotype"/>
          <w:sz w:val="24"/>
          <w:szCs w:val="24"/>
        </w:rPr>
        <w:t>PG&amp;E’s PCIA-eligible RPS portfolio.</w:t>
      </w:r>
      <w:r w:rsidRPr="0031664B">
        <w:rPr>
          <w:rFonts w:ascii="Palatino Linotype" w:hAnsi="Palatino Linotype"/>
          <w:sz w:val="24"/>
          <w:szCs w:val="24"/>
        </w:rPr>
        <w:t xml:space="preserve"> The</w:t>
      </w:r>
      <w:r w:rsidRPr="0031664B" w:rsidR="00935C34">
        <w:rPr>
          <w:rFonts w:ascii="Palatino Linotype" w:hAnsi="Palatino Linotype"/>
          <w:sz w:val="24"/>
          <w:szCs w:val="24"/>
        </w:rPr>
        <w:t>se</w:t>
      </w:r>
      <w:r w:rsidRPr="0031664B">
        <w:rPr>
          <w:rFonts w:ascii="Palatino Linotype" w:hAnsi="Palatino Linotype"/>
          <w:sz w:val="24"/>
          <w:szCs w:val="24"/>
        </w:rPr>
        <w:t xml:space="preserve"> agreement</w:t>
      </w:r>
      <w:r w:rsidRPr="0031664B" w:rsidR="00935C34">
        <w:rPr>
          <w:rFonts w:ascii="Palatino Linotype" w:hAnsi="Palatino Linotype"/>
          <w:sz w:val="24"/>
          <w:szCs w:val="24"/>
        </w:rPr>
        <w:t>s</w:t>
      </w:r>
      <w:r w:rsidRPr="0031664B">
        <w:rPr>
          <w:rFonts w:ascii="Palatino Linotype" w:hAnsi="Palatino Linotype"/>
          <w:sz w:val="24"/>
          <w:szCs w:val="24"/>
        </w:rPr>
        <w:t xml:space="preserve"> </w:t>
      </w:r>
      <w:r w:rsidRPr="0031664B" w:rsidR="00935C34">
        <w:rPr>
          <w:rFonts w:ascii="Palatino Linotype" w:hAnsi="Palatino Linotype"/>
          <w:sz w:val="24"/>
          <w:szCs w:val="24"/>
        </w:rPr>
        <w:t>are</w:t>
      </w:r>
      <w:r w:rsidRPr="0031664B">
        <w:rPr>
          <w:rFonts w:ascii="Palatino Linotype" w:hAnsi="Palatino Linotype"/>
          <w:sz w:val="24"/>
          <w:szCs w:val="24"/>
        </w:rPr>
        <w:t xml:space="preserve"> approved without modification.  </w:t>
      </w:r>
    </w:p>
    <w:p w:rsidRPr="0031664B" w:rsidR="00612BCE" w:rsidP="00612BCE" w:rsidRDefault="00612BCE" w14:paraId="61F56A2C" w14:textId="77777777">
      <w:pPr>
        <w:pStyle w:val="Res-Caption"/>
        <w:ind w:left="1440"/>
        <w:rPr>
          <w:rFonts w:ascii="Palatino Linotype" w:hAnsi="Palatino Linotype"/>
          <w:sz w:val="16"/>
          <w:szCs w:val="16"/>
        </w:rPr>
      </w:pPr>
    </w:p>
    <w:p w:rsidRPr="0031664B" w:rsidR="00612BCE" w:rsidP="00612BCE" w:rsidRDefault="00612BCE" w14:paraId="1EF703C9" w14:textId="77777777">
      <w:pPr>
        <w:pStyle w:val="Res-Caption"/>
        <w:rPr>
          <w:rFonts w:ascii="Palatino Linotype" w:hAnsi="Palatino Linotype"/>
          <w:sz w:val="24"/>
          <w:szCs w:val="24"/>
        </w:rPr>
      </w:pPr>
      <w:r w:rsidRPr="0031664B">
        <w:rPr>
          <w:rFonts w:ascii="Palatino Linotype" w:hAnsi="Palatino Linotype"/>
          <w:sz w:val="24"/>
          <w:szCs w:val="24"/>
        </w:rPr>
        <w:t>SAFETY CONSIDERATIONS:</w:t>
      </w:r>
    </w:p>
    <w:p w:rsidRPr="0031664B" w:rsidR="00612BCE" w:rsidP="00612BCE" w:rsidRDefault="00612BCE" w14:paraId="0558FBC8" w14:textId="6026F89E">
      <w:pPr>
        <w:pStyle w:val="Res-Caption"/>
        <w:numPr>
          <w:ilvl w:val="0"/>
          <w:numId w:val="2"/>
        </w:numPr>
        <w:rPr>
          <w:rFonts w:ascii="Palatino Linotype" w:hAnsi="Palatino Linotype"/>
          <w:sz w:val="24"/>
          <w:szCs w:val="24"/>
        </w:rPr>
      </w:pPr>
      <w:r w:rsidRPr="0031664B">
        <w:rPr>
          <w:rFonts w:ascii="Palatino Linotype" w:hAnsi="Palatino Linotype"/>
          <w:sz w:val="24"/>
          <w:szCs w:val="24"/>
        </w:rPr>
        <w:t xml:space="preserve">The </w:t>
      </w:r>
      <w:r w:rsidRPr="0031664B" w:rsidR="00432C03">
        <w:rPr>
          <w:rFonts w:ascii="Palatino Linotype" w:hAnsi="Palatino Linotype"/>
          <w:sz w:val="24"/>
          <w:szCs w:val="24"/>
        </w:rPr>
        <w:t>Transactions</w:t>
      </w:r>
      <w:r w:rsidRPr="0031664B">
        <w:rPr>
          <w:rFonts w:ascii="Palatino Linotype" w:hAnsi="Palatino Linotype"/>
          <w:sz w:val="24"/>
          <w:szCs w:val="24"/>
        </w:rPr>
        <w:t xml:space="preserve"> will not alter existing agreements or any facility operations. Because th</w:t>
      </w:r>
      <w:r w:rsidRPr="0031664B" w:rsidR="007A3A1D">
        <w:rPr>
          <w:rFonts w:ascii="Palatino Linotype" w:hAnsi="Palatino Linotype"/>
          <w:sz w:val="24"/>
          <w:szCs w:val="24"/>
        </w:rPr>
        <w:t>ese</w:t>
      </w:r>
      <w:r w:rsidRPr="0031664B">
        <w:rPr>
          <w:rFonts w:ascii="Palatino Linotype" w:hAnsi="Palatino Linotype"/>
          <w:sz w:val="24"/>
          <w:szCs w:val="24"/>
        </w:rPr>
        <w:t xml:space="preserve"> agreement</w:t>
      </w:r>
      <w:r w:rsidRPr="0031664B" w:rsidR="00B5031A">
        <w:rPr>
          <w:rFonts w:ascii="Palatino Linotype" w:hAnsi="Palatino Linotype"/>
          <w:sz w:val="24"/>
          <w:szCs w:val="24"/>
        </w:rPr>
        <w:t>s</w:t>
      </w:r>
      <w:r w:rsidRPr="0031664B">
        <w:rPr>
          <w:rFonts w:ascii="Palatino Linotype" w:hAnsi="Palatino Linotype"/>
          <w:sz w:val="24"/>
          <w:szCs w:val="24"/>
        </w:rPr>
        <w:t xml:space="preserve"> do not require a change in facility operations, there are no incremental safety implications associated with approval of this agreement. </w:t>
      </w:r>
    </w:p>
    <w:p w:rsidRPr="0031664B" w:rsidR="0031664B" w:rsidP="00612BCE" w:rsidRDefault="0031664B" w14:paraId="6BE61FD3" w14:textId="77777777">
      <w:pPr>
        <w:pStyle w:val="Res-Caption"/>
        <w:rPr>
          <w:rFonts w:ascii="Palatino Linotype" w:hAnsi="Palatino Linotype"/>
          <w:sz w:val="16"/>
          <w:szCs w:val="16"/>
        </w:rPr>
      </w:pPr>
    </w:p>
    <w:p w:rsidRPr="0031664B" w:rsidR="00612BCE" w:rsidP="00612BCE" w:rsidRDefault="00612BCE" w14:paraId="78E491E8" w14:textId="308E4CBE">
      <w:pPr>
        <w:pStyle w:val="Res-Caption"/>
        <w:rPr>
          <w:rFonts w:ascii="Palatino Linotype" w:hAnsi="Palatino Linotype"/>
          <w:sz w:val="24"/>
          <w:szCs w:val="24"/>
        </w:rPr>
      </w:pPr>
      <w:r w:rsidRPr="0031664B">
        <w:rPr>
          <w:rFonts w:ascii="Palatino Linotype" w:hAnsi="Palatino Linotype"/>
          <w:sz w:val="24"/>
          <w:szCs w:val="24"/>
        </w:rPr>
        <w:t xml:space="preserve">ESTIMATED COST:  </w:t>
      </w:r>
    </w:p>
    <w:p w:rsidRPr="0031664B" w:rsidR="00612BCE" w:rsidP="00612BCE" w:rsidRDefault="00612BCE" w14:paraId="73BE748E" w14:textId="5B708D13">
      <w:pPr>
        <w:pStyle w:val="Res-Caption"/>
        <w:numPr>
          <w:ilvl w:val="0"/>
          <w:numId w:val="2"/>
        </w:numPr>
        <w:rPr>
          <w:rFonts w:ascii="Palatino Linotype" w:hAnsi="Palatino Linotype"/>
          <w:sz w:val="24"/>
          <w:szCs w:val="24"/>
        </w:rPr>
      </w:pPr>
      <w:r w:rsidRPr="0031664B">
        <w:rPr>
          <w:rFonts w:ascii="Palatino Linotype" w:hAnsi="Palatino Linotype"/>
          <w:sz w:val="24"/>
          <w:szCs w:val="24"/>
        </w:rPr>
        <w:t xml:space="preserve">Actual costs of the </w:t>
      </w:r>
      <w:r w:rsidRPr="0031664B" w:rsidR="00432C03">
        <w:rPr>
          <w:rFonts w:ascii="Palatino Linotype" w:hAnsi="Palatino Linotype"/>
          <w:sz w:val="24"/>
          <w:szCs w:val="24"/>
        </w:rPr>
        <w:t>Transactions</w:t>
      </w:r>
      <w:r w:rsidRPr="0031664B">
        <w:rPr>
          <w:rFonts w:ascii="Palatino Linotype" w:hAnsi="Palatino Linotype"/>
          <w:sz w:val="24"/>
          <w:szCs w:val="24"/>
        </w:rPr>
        <w:t xml:space="preserve"> are confidential at this time.</w:t>
      </w:r>
    </w:p>
    <w:p w:rsidRPr="0031664B" w:rsidR="00612BCE" w:rsidP="0031664B" w:rsidRDefault="00612BCE" w14:paraId="41FE0B48" w14:textId="568E5A2F">
      <w:pPr>
        <w:pStyle w:val="Res-Caption"/>
        <w:rPr>
          <w:rFonts w:ascii="Palatino Linotype" w:hAnsi="Palatino Linotype"/>
          <w:sz w:val="24"/>
          <w:szCs w:val="24"/>
        </w:rPr>
      </w:pPr>
      <w:r w:rsidRPr="0031664B">
        <w:rPr>
          <w:rFonts w:ascii="Palatino Linotype" w:hAnsi="Palatino Linotype"/>
          <w:sz w:val="24"/>
          <w:szCs w:val="24"/>
        </w:rPr>
        <w:t xml:space="preserve">By Advice Letter </w:t>
      </w:r>
      <w:r w:rsidRPr="0031664B" w:rsidR="00F16E8A">
        <w:rPr>
          <w:rFonts w:ascii="Palatino Linotype" w:hAnsi="Palatino Linotype"/>
          <w:sz w:val="24"/>
          <w:szCs w:val="24"/>
        </w:rPr>
        <w:t>6977</w:t>
      </w:r>
      <w:r w:rsidRPr="0031664B">
        <w:rPr>
          <w:rFonts w:ascii="Palatino Linotype" w:hAnsi="Palatino Linotype"/>
          <w:sz w:val="24"/>
          <w:szCs w:val="24"/>
        </w:rPr>
        <w:t xml:space="preserve">-E, filed on </w:t>
      </w:r>
      <w:r w:rsidRPr="0031664B" w:rsidR="00A65068">
        <w:rPr>
          <w:rFonts w:ascii="Palatino Linotype" w:hAnsi="Palatino Linotype"/>
          <w:sz w:val="24"/>
          <w:szCs w:val="24"/>
        </w:rPr>
        <w:t xml:space="preserve">June </w:t>
      </w:r>
      <w:r w:rsidRPr="0031664B" w:rsidR="00F16E8A">
        <w:rPr>
          <w:rFonts w:ascii="Palatino Linotype" w:hAnsi="Palatino Linotype"/>
          <w:sz w:val="24"/>
          <w:szCs w:val="24"/>
        </w:rPr>
        <w:t>30</w:t>
      </w:r>
      <w:r w:rsidRPr="0031664B">
        <w:rPr>
          <w:rFonts w:ascii="Palatino Linotype" w:hAnsi="Palatino Linotype"/>
          <w:sz w:val="24"/>
          <w:szCs w:val="24"/>
        </w:rPr>
        <w:t>, 20</w:t>
      </w:r>
      <w:r w:rsidRPr="0031664B" w:rsidR="00A65068">
        <w:rPr>
          <w:rFonts w:ascii="Palatino Linotype" w:hAnsi="Palatino Linotype"/>
          <w:sz w:val="24"/>
          <w:szCs w:val="24"/>
        </w:rPr>
        <w:t>23</w:t>
      </w:r>
      <w:r w:rsidRPr="0031664B">
        <w:rPr>
          <w:rFonts w:ascii="Palatino Linotype" w:hAnsi="Palatino Linotype"/>
          <w:sz w:val="24"/>
          <w:szCs w:val="24"/>
        </w:rPr>
        <w:t xml:space="preserve">.  </w:t>
      </w:r>
    </w:p>
    <w:p w:rsidRPr="0031664B" w:rsidR="00612BCE" w:rsidP="00612BCE" w:rsidRDefault="00612BCE" w14:paraId="4A03A0D2" w14:textId="77777777">
      <w:pPr>
        <w:rPr>
          <w:rFonts w:ascii="Palatino Linotype" w:hAnsi="Palatino Linotype"/>
          <w:sz w:val="24"/>
          <w:szCs w:val="24"/>
        </w:rPr>
      </w:pPr>
      <w:r w:rsidRPr="0031664B">
        <w:rPr>
          <w:rFonts w:ascii="Palatino Linotype" w:hAnsi="Palatino Linotype"/>
          <w:sz w:val="24"/>
          <w:szCs w:val="24"/>
        </w:rPr>
        <w:t>__________________________________________________________</w:t>
      </w:r>
    </w:p>
    <w:p w:rsidRPr="0031664B" w:rsidR="00612BCE" w:rsidP="00612BCE" w:rsidRDefault="00612BCE" w14:paraId="3B4CCB43" w14:textId="77777777">
      <w:pPr>
        <w:pStyle w:val="Heading1"/>
        <w:rPr>
          <w:rFonts w:ascii="Palatino Linotype" w:hAnsi="Palatino Linotype"/>
          <w:sz w:val="24"/>
          <w:szCs w:val="24"/>
        </w:rPr>
      </w:pPr>
      <w:r w:rsidRPr="0031664B">
        <w:rPr>
          <w:rFonts w:ascii="Palatino Linotype" w:hAnsi="Palatino Linotype"/>
          <w:sz w:val="24"/>
          <w:szCs w:val="24"/>
        </w:rPr>
        <w:lastRenderedPageBreak/>
        <w:t>Summary</w:t>
      </w:r>
      <w:bookmarkEnd w:id="0"/>
    </w:p>
    <w:p w:rsidRPr="0031664B" w:rsidR="00413587" w:rsidP="00612BCE" w:rsidRDefault="00B87259" w14:paraId="2379BD28" w14:textId="2522FCC5">
      <w:pPr>
        <w:rPr>
          <w:rFonts w:ascii="Palatino Linotype" w:hAnsi="Palatino Linotype"/>
          <w:b/>
          <w:sz w:val="24"/>
          <w:szCs w:val="24"/>
        </w:rPr>
      </w:pPr>
      <w:r w:rsidRPr="0031664B">
        <w:rPr>
          <w:rFonts w:ascii="Palatino Linotype" w:hAnsi="Palatino Linotype"/>
          <w:bCs/>
          <w:sz w:val="24"/>
          <w:szCs w:val="24"/>
        </w:rPr>
        <w:t>Pacific Gas and Electric</w:t>
      </w:r>
      <w:r w:rsidRPr="0031664B" w:rsidR="00612BCE">
        <w:rPr>
          <w:rFonts w:ascii="Palatino Linotype" w:hAnsi="Palatino Linotype"/>
          <w:bCs/>
          <w:sz w:val="24"/>
          <w:szCs w:val="24"/>
        </w:rPr>
        <w:t xml:space="preserve"> Company’</w:t>
      </w:r>
      <w:r w:rsidRPr="0031664B" w:rsidR="004F2B68">
        <w:rPr>
          <w:rFonts w:ascii="Palatino Linotype" w:hAnsi="Palatino Linotype"/>
          <w:bCs/>
          <w:sz w:val="24"/>
          <w:szCs w:val="24"/>
        </w:rPr>
        <w:t xml:space="preserve">s </w:t>
      </w:r>
      <w:r w:rsidRPr="0031664B" w:rsidR="00432C03">
        <w:rPr>
          <w:rFonts w:ascii="Palatino Linotype" w:hAnsi="Palatino Linotype"/>
          <w:bCs/>
          <w:sz w:val="24"/>
          <w:szCs w:val="24"/>
        </w:rPr>
        <w:t>Transactions</w:t>
      </w:r>
      <w:r w:rsidRPr="0031664B" w:rsidR="00612BCE">
        <w:rPr>
          <w:rFonts w:ascii="Palatino Linotype" w:hAnsi="Palatino Linotype"/>
          <w:bCs/>
          <w:sz w:val="24"/>
          <w:szCs w:val="24"/>
        </w:rPr>
        <w:t xml:space="preserve"> with </w:t>
      </w:r>
      <w:r w:rsidRPr="0031664B" w:rsidR="00F16E8A">
        <w:rPr>
          <w:rFonts w:ascii="Palatino Linotype" w:hAnsi="Palatino Linotype"/>
          <w:bCs/>
          <w:sz w:val="24"/>
          <w:szCs w:val="24"/>
        </w:rPr>
        <w:t>the various counterparties</w:t>
      </w:r>
      <w:r w:rsidRPr="0031664B" w:rsidR="004F2B68">
        <w:rPr>
          <w:rFonts w:ascii="Palatino Linotype" w:hAnsi="Palatino Linotype"/>
          <w:bCs/>
          <w:sz w:val="24"/>
          <w:szCs w:val="24"/>
        </w:rPr>
        <w:t xml:space="preserve"> (</w:t>
      </w:r>
      <w:r w:rsidRPr="0031664B" w:rsidR="00C32920">
        <w:rPr>
          <w:rFonts w:ascii="Palatino Linotype" w:hAnsi="Palatino Linotype"/>
          <w:bCs/>
          <w:sz w:val="24"/>
          <w:szCs w:val="24"/>
        </w:rPr>
        <w:t>“</w:t>
      </w:r>
      <w:r w:rsidRPr="0031664B" w:rsidR="004F2B68">
        <w:rPr>
          <w:rFonts w:ascii="Palatino Linotype" w:hAnsi="Palatino Linotype"/>
          <w:bCs/>
          <w:sz w:val="24"/>
          <w:szCs w:val="24"/>
        </w:rPr>
        <w:t>Counterparties”) as noted in the following</w:t>
      </w:r>
      <w:r w:rsidRPr="0031664B" w:rsidR="00612BCE">
        <w:rPr>
          <w:rFonts w:ascii="Palatino Linotype" w:hAnsi="Palatino Linotype"/>
          <w:bCs/>
          <w:sz w:val="24"/>
          <w:szCs w:val="24"/>
        </w:rPr>
        <w:t>, compl</w:t>
      </w:r>
      <w:r w:rsidRPr="0031664B" w:rsidR="007A3A1D">
        <w:rPr>
          <w:rFonts w:ascii="Palatino Linotype" w:hAnsi="Palatino Linotype"/>
          <w:bCs/>
          <w:sz w:val="24"/>
          <w:szCs w:val="24"/>
        </w:rPr>
        <w:t>y</w:t>
      </w:r>
      <w:r w:rsidRPr="0031664B" w:rsidR="00612BCE">
        <w:rPr>
          <w:rFonts w:ascii="Palatino Linotype" w:hAnsi="Palatino Linotype"/>
          <w:bCs/>
          <w:sz w:val="24"/>
          <w:szCs w:val="24"/>
        </w:rPr>
        <w:t xml:space="preserve"> with </w:t>
      </w:r>
      <w:r w:rsidRPr="0031664B" w:rsidR="001667A8">
        <w:rPr>
          <w:rFonts w:ascii="Palatino Linotype" w:hAnsi="Palatino Linotype"/>
          <w:bCs/>
          <w:sz w:val="24"/>
          <w:szCs w:val="24"/>
        </w:rPr>
        <w:t xml:space="preserve">D.22-11-021 and </w:t>
      </w:r>
      <w:r w:rsidRPr="0031664B" w:rsidR="00612BCE">
        <w:rPr>
          <w:rFonts w:ascii="Palatino Linotype" w:hAnsi="Palatino Linotype"/>
          <w:bCs/>
          <w:sz w:val="24"/>
          <w:szCs w:val="24"/>
        </w:rPr>
        <w:t xml:space="preserve">the Renewables Portfolio Standard (RPS) procurement guidelines and </w:t>
      </w:r>
      <w:r w:rsidRPr="0031664B" w:rsidR="007A3A1D">
        <w:rPr>
          <w:rFonts w:ascii="Palatino Linotype" w:hAnsi="Palatino Linotype"/>
          <w:bCs/>
          <w:sz w:val="24"/>
          <w:szCs w:val="24"/>
        </w:rPr>
        <w:t>are</w:t>
      </w:r>
      <w:r w:rsidRPr="0031664B" w:rsidR="00612BCE">
        <w:rPr>
          <w:rFonts w:ascii="Palatino Linotype" w:hAnsi="Palatino Linotype"/>
          <w:bCs/>
          <w:sz w:val="24"/>
          <w:szCs w:val="24"/>
        </w:rPr>
        <w:t xml:space="preserve"> approved without modification</w:t>
      </w:r>
      <w:r w:rsidRPr="0031664B" w:rsidR="00612BCE">
        <w:rPr>
          <w:rFonts w:ascii="Palatino Linotype" w:hAnsi="Palatino Linotype"/>
          <w:b/>
          <w:sz w:val="24"/>
          <w:szCs w:val="24"/>
        </w:rPr>
        <w:t>.</w:t>
      </w:r>
      <w:r w:rsidRPr="0031664B" w:rsidR="00083E03">
        <w:rPr>
          <w:rFonts w:ascii="Palatino Linotype" w:hAnsi="Palatino Linotype"/>
          <w:b/>
          <w:sz w:val="24"/>
          <w:szCs w:val="24"/>
        </w:rPr>
        <w:t xml:space="preserve"> </w:t>
      </w:r>
    </w:p>
    <w:p w:rsidRPr="0031664B" w:rsidR="00413587" w:rsidP="00612BCE" w:rsidRDefault="00413587" w14:paraId="59D2718D" w14:textId="77777777">
      <w:pPr>
        <w:rPr>
          <w:rFonts w:ascii="Palatino Linotype" w:hAnsi="Palatino Linotype"/>
          <w:b/>
          <w:sz w:val="24"/>
          <w:szCs w:val="24"/>
        </w:rPr>
      </w:pPr>
    </w:p>
    <w:p w:rsidRPr="0031664B" w:rsidR="00612BCE" w:rsidP="00612BCE" w:rsidRDefault="00083E03" w14:paraId="0C1E8CB4" w14:textId="1AA3A97E">
      <w:pPr>
        <w:rPr>
          <w:rFonts w:ascii="Palatino Linotype" w:hAnsi="Palatino Linotype"/>
          <w:bCs/>
          <w:sz w:val="24"/>
          <w:szCs w:val="24"/>
        </w:rPr>
      </w:pPr>
      <w:r w:rsidRPr="0031664B">
        <w:rPr>
          <w:rFonts w:ascii="Palatino Linotype" w:hAnsi="Palatino Linotype"/>
          <w:bCs/>
          <w:sz w:val="24"/>
          <w:szCs w:val="24"/>
        </w:rPr>
        <w:t xml:space="preserve">The Counterparties associated with the </w:t>
      </w:r>
      <w:r w:rsidRPr="0031664B" w:rsidR="00432C03">
        <w:rPr>
          <w:rFonts w:ascii="Palatino Linotype" w:hAnsi="Palatino Linotype"/>
          <w:bCs/>
          <w:sz w:val="24"/>
          <w:szCs w:val="24"/>
        </w:rPr>
        <w:t>Transactions</w:t>
      </w:r>
      <w:r w:rsidRPr="0031664B">
        <w:rPr>
          <w:rFonts w:ascii="Palatino Linotype" w:hAnsi="Palatino Linotype"/>
          <w:bCs/>
          <w:sz w:val="24"/>
          <w:szCs w:val="24"/>
        </w:rPr>
        <w:t xml:space="preserve"> are:</w:t>
      </w:r>
    </w:p>
    <w:p w:rsidRPr="0031664B" w:rsidR="00083E03" w:rsidP="00612BCE" w:rsidRDefault="00083E03" w14:paraId="6D72DF61" w14:textId="77777777">
      <w:pPr>
        <w:rPr>
          <w:rFonts w:ascii="Palatino Linotype" w:hAnsi="Palatino Linotype"/>
          <w:bCs/>
          <w:sz w:val="24"/>
          <w:szCs w:val="24"/>
        </w:rPr>
      </w:pPr>
    </w:p>
    <w:p w:rsidRPr="0031664B" w:rsidR="00083E03" w:rsidP="004F2B68" w:rsidRDefault="00083E03" w14:paraId="555207DD" w14:textId="3F4D9DEF">
      <w:pPr>
        <w:pStyle w:val="ListParagraph"/>
        <w:numPr>
          <w:ilvl w:val="0"/>
          <w:numId w:val="2"/>
        </w:numPr>
        <w:ind w:left="360"/>
        <w:rPr>
          <w:rFonts w:ascii="Palatino Linotype" w:hAnsi="Palatino Linotype"/>
          <w:bCs/>
          <w:sz w:val="24"/>
          <w:szCs w:val="24"/>
        </w:rPr>
      </w:pPr>
      <w:r w:rsidRPr="0031664B">
        <w:rPr>
          <w:rFonts w:ascii="Palatino Linotype" w:hAnsi="Palatino Linotype"/>
          <w:bCs/>
          <w:sz w:val="24"/>
          <w:szCs w:val="24"/>
        </w:rPr>
        <w:t>City of San Jose (SJCE)</w:t>
      </w:r>
    </w:p>
    <w:p w:rsidRPr="0031664B" w:rsidR="00083E03" w:rsidP="004F2B68" w:rsidRDefault="00083E03" w14:paraId="47048825" w14:textId="5BDB3005">
      <w:pPr>
        <w:ind w:firstLine="360"/>
        <w:rPr>
          <w:rFonts w:ascii="Palatino Linotype" w:hAnsi="Palatino Linotype"/>
          <w:bCs/>
          <w:sz w:val="24"/>
          <w:szCs w:val="24"/>
        </w:rPr>
      </w:pPr>
      <w:r w:rsidRPr="0031664B">
        <w:rPr>
          <w:rFonts w:ascii="Palatino Linotype" w:hAnsi="Palatino Linotype"/>
          <w:bCs/>
          <w:sz w:val="24"/>
          <w:szCs w:val="24"/>
        </w:rPr>
        <w:t>The City of San Jose operates San Jose Clean Energy, a not for profit locally</w:t>
      </w:r>
    </w:p>
    <w:p w:rsidRPr="0031664B" w:rsidR="00083E03" w:rsidP="004F2B68" w:rsidRDefault="00083E03" w14:paraId="13E7CBA3" w14:textId="77777777">
      <w:pPr>
        <w:ind w:firstLine="360"/>
        <w:rPr>
          <w:rFonts w:ascii="Palatino Linotype" w:hAnsi="Palatino Linotype"/>
          <w:bCs/>
          <w:sz w:val="24"/>
          <w:szCs w:val="24"/>
        </w:rPr>
      </w:pPr>
      <w:r w:rsidRPr="0031664B">
        <w:rPr>
          <w:rFonts w:ascii="Palatino Linotype" w:hAnsi="Palatino Linotype"/>
          <w:bCs/>
          <w:sz w:val="24"/>
          <w:szCs w:val="24"/>
        </w:rPr>
        <w:t>controlled electricity generation service provider for San Jose residents and</w:t>
      </w:r>
    </w:p>
    <w:p w:rsidRPr="0031664B" w:rsidR="00083E03" w:rsidP="004F2B68" w:rsidRDefault="004F2B68" w14:paraId="5B385675" w14:textId="7AA061CD">
      <w:pPr>
        <w:spacing w:after="120"/>
        <w:ind w:firstLine="360"/>
        <w:rPr>
          <w:rFonts w:ascii="Palatino Linotype" w:hAnsi="Palatino Linotype"/>
          <w:bCs/>
          <w:sz w:val="24"/>
          <w:szCs w:val="24"/>
        </w:rPr>
      </w:pPr>
      <w:r w:rsidRPr="0031664B">
        <w:rPr>
          <w:rFonts w:ascii="Palatino Linotype" w:hAnsi="Palatino Linotype"/>
          <w:bCs/>
          <w:sz w:val="24"/>
          <w:szCs w:val="24"/>
        </w:rPr>
        <w:t>business;</w:t>
      </w:r>
    </w:p>
    <w:p w:rsidRPr="0031664B" w:rsidR="00083E03" w:rsidP="004F2B68" w:rsidRDefault="00083E03" w14:paraId="21DA2DF3" w14:textId="5953ADA5">
      <w:pPr>
        <w:pStyle w:val="ListParagraph"/>
        <w:numPr>
          <w:ilvl w:val="0"/>
          <w:numId w:val="2"/>
        </w:numPr>
        <w:ind w:left="360"/>
        <w:rPr>
          <w:rFonts w:ascii="Palatino Linotype" w:hAnsi="Palatino Linotype"/>
          <w:bCs/>
          <w:sz w:val="24"/>
          <w:szCs w:val="24"/>
        </w:rPr>
      </w:pPr>
      <w:r w:rsidRPr="0031664B">
        <w:rPr>
          <w:rFonts w:ascii="Palatino Linotype" w:hAnsi="Palatino Linotype"/>
          <w:bCs/>
          <w:sz w:val="24"/>
          <w:szCs w:val="24"/>
        </w:rPr>
        <w:t>San Diego Community Power (SDCP)</w:t>
      </w:r>
    </w:p>
    <w:p w:rsidRPr="0031664B" w:rsidR="00083E03" w:rsidP="004F2B68" w:rsidRDefault="00083E03" w14:paraId="4A219446" w14:textId="0823256D">
      <w:pPr>
        <w:pStyle w:val="ListParagraph"/>
        <w:ind w:left="360"/>
        <w:rPr>
          <w:rFonts w:ascii="Palatino Linotype" w:hAnsi="Palatino Linotype"/>
          <w:bCs/>
          <w:sz w:val="24"/>
          <w:szCs w:val="24"/>
        </w:rPr>
      </w:pPr>
      <w:r w:rsidRPr="0031664B">
        <w:rPr>
          <w:rFonts w:ascii="Palatino Linotype" w:hAnsi="Palatino Linotype"/>
          <w:bCs/>
          <w:sz w:val="24"/>
          <w:szCs w:val="24"/>
        </w:rPr>
        <w:t>SDCP is a Community Choice Aggregator (CCA) that provides electricity to</w:t>
      </w:r>
    </w:p>
    <w:p w:rsidRPr="0031664B" w:rsidR="00083E03" w:rsidP="00BC0325" w:rsidRDefault="00083E03" w14:paraId="054228D6" w14:textId="77777777">
      <w:pPr>
        <w:pStyle w:val="ListParagraph"/>
        <w:ind w:left="360"/>
        <w:rPr>
          <w:rFonts w:ascii="Palatino Linotype" w:hAnsi="Palatino Linotype"/>
          <w:bCs/>
          <w:sz w:val="24"/>
          <w:szCs w:val="24"/>
        </w:rPr>
      </w:pPr>
      <w:r w:rsidRPr="0031664B">
        <w:rPr>
          <w:rFonts w:ascii="Palatino Linotype" w:hAnsi="Palatino Linotype"/>
          <w:bCs/>
          <w:sz w:val="24"/>
          <w:szCs w:val="24"/>
        </w:rPr>
        <w:t>customers across San Diego County;</w:t>
      </w:r>
    </w:p>
    <w:p w:rsidRPr="0031664B" w:rsidR="00BC0325" w:rsidP="004F2B68" w:rsidRDefault="00BC0325" w14:paraId="786DCEED" w14:textId="77777777">
      <w:pPr>
        <w:pStyle w:val="ListParagraph"/>
        <w:ind w:left="360"/>
        <w:rPr>
          <w:rFonts w:ascii="Palatino Linotype" w:hAnsi="Palatino Linotype"/>
          <w:bCs/>
          <w:sz w:val="24"/>
          <w:szCs w:val="24"/>
        </w:rPr>
      </w:pPr>
    </w:p>
    <w:p w:rsidRPr="0031664B" w:rsidR="00083E03" w:rsidP="004F2B68" w:rsidRDefault="00083E03" w14:paraId="56254054" w14:textId="3639ACCC">
      <w:pPr>
        <w:pStyle w:val="ListParagraph"/>
        <w:numPr>
          <w:ilvl w:val="0"/>
          <w:numId w:val="2"/>
        </w:numPr>
        <w:spacing w:before="120"/>
        <w:ind w:left="360"/>
        <w:rPr>
          <w:rFonts w:ascii="Palatino Linotype" w:hAnsi="Palatino Linotype"/>
          <w:bCs/>
          <w:sz w:val="24"/>
          <w:szCs w:val="24"/>
        </w:rPr>
      </w:pPr>
      <w:r w:rsidRPr="0031664B">
        <w:rPr>
          <w:rFonts w:ascii="Palatino Linotype" w:hAnsi="Palatino Linotype"/>
          <w:bCs/>
          <w:sz w:val="24"/>
          <w:szCs w:val="24"/>
        </w:rPr>
        <w:t>East Bay Community Energy (EBCE)</w:t>
      </w:r>
    </w:p>
    <w:p w:rsidRPr="0031664B" w:rsidR="00083E03" w:rsidP="004F2B68" w:rsidRDefault="00083E03" w14:paraId="209960A7" w14:textId="08370E10">
      <w:pPr>
        <w:pStyle w:val="ListParagraph"/>
        <w:spacing w:before="120"/>
        <w:ind w:left="360"/>
        <w:rPr>
          <w:rFonts w:ascii="Palatino Linotype" w:hAnsi="Palatino Linotype"/>
          <w:bCs/>
          <w:sz w:val="24"/>
          <w:szCs w:val="24"/>
        </w:rPr>
      </w:pPr>
      <w:r w:rsidRPr="0031664B">
        <w:rPr>
          <w:rFonts w:ascii="Palatino Linotype" w:hAnsi="Palatino Linotype"/>
          <w:bCs/>
          <w:sz w:val="24"/>
          <w:szCs w:val="24"/>
        </w:rPr>
        <w:t xml:space="preserve">EBCE is a CCA that provides electricity to customers across Alameda and </w:t>
      </w:r>
      <w:r w:rsidR="00DC743D">
        <w:rPr>
          <w:rFonts w:ascii="Palatino Linotype" w:hAnsi="Palatino Linotype"/>
          <w:bCs/>
          <w:sz w:val="24"/>
          <w:szCs w:val="24"/>
        </w:rPr>
        <w:br/>
      </w:r>
      <w:r w:rsidRPr="0031664B">
        <w:rPr>
          <w:rFonts w:ascii="Palatino Linotype" w:hAnsi="Palatino Linotype"/>
          <w:bCs/>
          <w:sz w:val="24"/>
          <w:szCs w:val="24"/>
        </w:rPr>
        <w:t>Sa</w:t>
      </w:r>
      <w:r w:rsidRPr="0031664B" w:rsidR="00C32920">
        <w:rPr>
          <w:rFonts w:ascii="Palatino Linotype" w:hAnsi="Palatino Linotype"/>
          <w:bCs/>
          <w:sz w:val="24"/>
          <w:szCs w:val="24"/>
        </w:rPr>
        <w:t>n J</w:t>
      </w:r>
      <w:r w:rsidRPr="0031664B">
        <w:rPr>
          <w:rFonts w:ascii="Palatino Linotype" w:hAnsi="Palatino Linotype"/>
          <w:bCs/>
          <w:sz w:val="24"/>
          <w:szCs w:val="24"/>
        </w:rPr>
        <w:t>oaquin counties;</w:t>
      </w:r>
    </w:p>
    <w:p w:rsidRPr="0031664B" w:rsidR="00BC0325" w:rsidP="004F2B68" w:rsidRDefault="00BC0325" w14:paraId="4504AE13" w14:textId="77777777">
      <w:pPr>
        <w:pStyle w:val="ListParagraph"/>
        <w:ind w:left="360"/>
        <w:rPr>
          <w:rFonts w:ascii="Palatino Linotype" w:hAnsi="Palatino Linotype"/>
          <w:bCs/>
          <w:sz w:val="24"/>
          <w:szCs w:val="24"/>
        </w:rPr>
      </w:pPr>
    </w:p>
    <w:p w:rsidRPr="0031664B" w:rsidR="00083E03" w:rsidP="004F2B68" w:rsidRDefault="00083E03" w14:paraId="371D9AE5" w14:textId="6670AEB5">
      <w:pPr>
        <w:pStyle w:val="ListParagraph"/>
        <w:ind w:left="360" w:hanging="360"/>
        <w:rPr>
          <w:rFonts w:ascii="Palatino Linotype" w:hAnsi="Palatino Linotype"/>
          <w:bCs/>
          <w:sz w:val="24"/>
          <w:szCs w:val="24"/>
        </w:rPr>
      </w:pPr>
      <w:r w:rsidRPr="0031664B">
        <w:rPr>
          <w:rFonts w:ascii="Palatino Linotype" w:hAnsi="Palatino Linotype"/>
          <w:bCs/>
          <w:sz w:val="24"/>
          <w:szCs w:val="24"/>
        </w:rPr>
        <w:t>• Calpine Energy Services (CES)</w:t>
      </w:r>
    </w:p>
    <w:p w:rsidRPr="0031664B" w:rsidR="00083E03" w:rsidP="004F2B68" w:rsidRDefault="00083E03" w14:paraId="05CC0DD3" w14:textId="5B0BCF2E">
      <w:pPr>
        <w:pStyle w:val="ListParagraph"/>
        <w:spacing w:after="120"/>
        <w:ind w:left="360" w:hanging="90"/>
        <w:rPr>
          <w:rFonts w:ascii="Palatino Linotype" w:hAnsi="Palatino Linotype"/>
          <w:bCs/>
          <w:sz w:val="24"/>
          <w:szCs w:val="24"/>
        </w:rPr>
      </w:pPr>
      <w:r w:rsidRPr="0031664B">
        <w:rPr>
          <w:rFonts w:ascii="Palatino Linotype" w:hAnsi="Palatino Linotype"/>
          <w:bCs/>
          <w:sz w:val="24"/>
          <w:szCs w:val="24"/>
        </w:rPr>
        <w:t>CES is an Energy Services Provider (ESP) that provides retail direct access</w:t>
      </w:r>
    </w:p>
    <w:p w:rsidRPr="0031664B" w:rsidR="00083E03" w:rsidP="004F2B68" w:rsidRDefault="00083E03" w14:paraId="003B07D6" w14:textId="77777777">
      <w:pPr>
        <w:pStyle w:val="ListParagraph"/>
        <w:spacing w:after="120"/>
        <w:ind w:left="360" w:hanging="90"/>
        <w:rPr>
          <w:rFonts w:ascii="Palatino Linotype" w:hAnsi="Palatino Linotype"/>
          <w:bCs/>
          <w:sz w:val="24"/>
          <w:szCs w:val="24"/>
        </w:rPr>
      </w:pPr>
      <w:r w:rsidRPr="0031664B">
        <w:rPr>
          <w:rFonts w:ascii="Palatino Linotype" w:hAnsi="Palatino Linotype"/>
          <w:bCs/>
          <w:sz w:val="24"/>
          <w:szCs w:val="24"/>
        </w:rPr>
        <w:t>electricity in California and serves as a gas and power wholesale marketing</w:t>
      </w:r>
    </w:p>
    <w:p w:rsidR="0031664B" w:rsidP="0031664B" w:rsidRDefault="00083E03" w14:paraId="1AE65FE1" w14:textId="77777777">
      <w:pPr>
        <w:pStyle w:val="ListParagraph"/>
        <w:keepNext/>
        <w:spacing w:after="120"/>
        <w:ind w:left="274"/>
        <w:rPr>
          <w:rFonts w:ascii="Palatino Linotype" w:hAnsi="Palatino Linotype"/>
          <w:bCs/>
          <w:sz w:val="24"/>
          <w:szCs w:val="24"/>
        </w:rPr>
      </w:pPr>
      <w:r w:rsidRPr="0031664B">
        <w:rPr>
          <w:rFonts w:ascii="Palatino Linotype" w:hAnsi="Palatino Linotype"/>
          <w:bCs/>
          <w:sz w:val="24"/>
          <w:szCs w:val="24"/>
        </w:rPr>
        <w:t>entity for its parent company Calpine Corporation, the largest generator of</w:t>
      </w:r>
      <w:r w:rsidRPr="0031664B" w:rsidR="00BC0325">
        <w:rPr>
          <w:rFonts w:ascii="Palatino Linotype" w:hAnsi="Palatino Linotype"/>
          <w:bCs/>
          <w:sz w:val="24"/>
          <w:szCs w:val="24"/>
        </w:rPr>
        <w:t xml:space="preserve"> gas-fired</w:t>
      </w:r>
      <w:r w:rsidRPr="0031664B">
        <w:rPr>
          <w:rFonts w:ascii="Palatino Linotype" w:hAnsi="Palatino Linotype"/>
          <w:bCs/>
          <w:sz w:val="24"/>
          <w:szCs w:val="24"/>
        </w:rPr>
        <w:t xml:space="preserve"> and geothermal electricity in the U.S.;</w:t>
      </w:r>
    </w:p>
    <w:p w:rsidR="0031664B" w:rsidP="0031664B" w:rsidRDefault="0031664B" w14:paraId="729E083C" w14:textId="77777777">
      <w:pPr>
        <w:pStyle w:val="ListParagraph"/>
        <w:keepNext/>
        <w:spacing w:after="120"/>
        <w:ind w:left="274"/>
        <w:rPr>
          <w:rFonts w:ascii="Palatino Linotype" w:hAnsi="Palatino Linotype"/>
          <w:bCs/>
          <w:sz w:val="24"/>
          <w:szCs w:val="24"/>
        </w:rPr>
      </w:pPr>
    </w:p>
    <w:p w:rsidRPr="0031664B" w:rsidR="00083E03" w:rsidP="0031664B" w:rsidRDefault="00083E03" w14:paraId="1F1B80C9" w14:textId="12F8ECB8">
      <w:pPr>
        <w:pStyle w:val="ListParagraph"/>
        <w:keepNext/>
        <w:spacing w:after="120"/>
        <w:ind w:left="274" w:hanging="274"/>
        <w:rPr>
          <w:rFonts w:ascii="Palatino Linotype" w:hAnsi="Palatino Linotype"/>
          <w:bCs/>
          <w:sz w:val="24"/>
          <w:szCs w:val="24"/>
        </w:rPr>
      </w:pPr>
      <w:r w:rsidRPr="0031664B">
        <w:rPr>
          <w:rFonts w:ascii="Palatino Linotype" w:hAnsi="Palatino Linotype"/>
          <w:bCs/>
          <w:sz w:val="24"/>
          <w:szCs w:val="24"/>
        </w:rPr>
        <w:t>• Pilot Power Group (PPG)</w:t>
      </w:r>
    </w:p>
    <w:p w:rsidRPr="0031664B" w:rsidR="00083E03" w:rsidP="00BC0325" w:rsidRDefault="00083E03" w14:paraId="1321D393" w14:textId="24CFDC98">
      <w:pPr>
        <w:pStyle w:val="ListParagraph"/>
        <w:ind w:left="270"/>
        <w:rPr>
          <w:rFonts w:ascii="Palatino Linotype" w:hAnsi="Palatino Linotype"/>
          <w:bCs/>
          <w:sz w:val="24"/>
          <w:szCs w:val="24"/>
        </w:rPr>
      </w:pPr>
      <w:r w:rsidRPr="0031664B">
        <w:rPr>
          <w:rFonts w:ascii="Palatino Linotype" w:hAnsi="Palatino Linotype"/>
          <w:bCs/>
          <w:sz w:val="24"/>
          <w:szCs w:val="24"/>
        </w:rPr>
        <w:t>PPG is consulting group that provides energy supply and energy management services to its clients;</w:t>
      </w:r>
    </w:p>
    <w:p w:rsidRPr="0031664B" w:rsidR="00BC0325" w:rsidP="004F2B68" w:rsidRDefault="00BC0325" w14:paraId="3B0FE16B" w14:textId="77777777">
      <w:pPr>
        <w:pStyle w:val="ListParagraph"/>
        <w:ind w:left="270"/>
        <w:rPr>
          <w:rFonts w:ascii="Palatino Linotype" w:hAnsi="Palatino Linotype"/>
          <w:bCs/>
          <w:sz w:val="24"/>
          <w:szCs w:val="24"/>
        </w:rPr>
      </w:pPr>
    </w:p>
    <w:p w:rsidRPr="0031664B" w:rsidR="00083E03" w:rsidP="004F2B68" w:rsidRDefault="00083E03" w14:paraId="13BE5EE2" w14:textId="570E69B2">
      <w:pPr>
        <w:pStyle w:val="ListParagraph"/>
        <w:numPr>
          <w:ilvl w:val="0"/>
          <w:numId w:val="2"/>
        </w:numPr>
        <w:tabs>
          <w:tab w:val="left" w:pos="180"/>
        </w:tabs>
        <w:ind w:left="450" w:hanging="450"/>
        <w:rPr>
          <w:rFonts w:ascii="Palatino Linotype" w:hAnsi="Palatino Linotype"/>
          <w:bCs/>
          <w:sz w:val="24"/>
          <w:szCs w:val="24"/>
        </w:rPr>
      </w:pPr>
      <w:r w:rsidRPr="0031664B">
        <w:rPr>
          <w:rFonts w:ascii="Palatino Linotype" w:hAnsi="Palatino Linotype"/>
          <w:bCs/>
          <w:sz w:val="24"/>
          <w:szCs w:val="24"/>
        </w:rPr>
        <w:t>Central Coast Community Energy (3CE)</w:t>
      </w:r>
    </w:p>
    <w:p w:rsidRPr="0031664B" w:rsidR="00083E03" w:rsidP="004F2B68" w:rsidRDefault="00083E03" w14:paraId="094ACB96" w14:textId="5B808F2B">
      <w:pPr>
        <w:pStyle w:val="ListParagraph"/>
        <w:ind w:left="180"/>
        <w:rPr>
          <w:rFonts w:ascii="Palatino Linotype" w:hAnsi="Palatino Linotype"/>
          <w:bCs/>
          <w:sz w:val="24"/>
          <w:szCs w:val="24"/>
        </w:rPr>
      </w:pPr>
      <w:r w:rsidRPr="0031664B">
        <w:rPr>
          <w:rFonts w:ascii="Palatino Linotype" w:hAnsi="Palatino Linotype"/>
          <w:bCs/>
          <w:sz w:val="24"/>
          <w:szCs w:val="24"/>
        </w:rPr>
        <w:t>3CE is a CCA that provides electricity to customers in Monterey, San Benito,</w:t>
      </w:r>
    </w:p>
    <w:p w:rsidRPr="0031664B" w:rsidR="00083E03" w:rsidP="004F2B68" w:rsidRDefault="00083E03" w14:paraId="67E6674F" w14:textId="1570F7E9">
      <w:pPr>
        <w:pStyle w:val="ListParagraph"/>
        <w:ind w:left="180"/>
        <w:rPr>
          <w:rFonts w:ascii="Palatino Linotype" w:hAnsi="Palatino Linotype"/>
          <w:bCs/>
          <w:sz w:val="24"/>
          <w:szCs w:val="24"/>
        </w:rPr>
      </w:pPr>
      <w:r w:rsidRPr="0031664B">
        <w:rPr>
          <w:rFonts w:ascii="Palatino Linotype" w:hAnsi="Palatino Linotype"/>
          <w:bCs/>
          <w:sz w:val="24"/>
          <w:szCs w:val="24"/>
        </w:rPr>
        <w:t>San Luis Obispo, Santa Cruz, and Santa Barbara counties.</w:t>
      </w:r>
    </w:p>
    <w:p w:rsidRPr="0031664B" w:rsidR="00083E03" w:rsidP="004F2B68" w:rsidRDefault="00083E03" w14:paraId="38862D4A" w14:textId="77777777">
      <w:pPr>
        <w:pStyle w:val="ListParagraph"/>
        <w:ind w:left="360"/>
        <w:rPr>
          <w:rFonts w:ascii="Palatino Linotype" w:hAnsi="Palatino Linotype"/>
          <w:bCs/>
          <w:sz w:val="24"/>
          <w:szCs w:val="24"/>
        </w:rPr>
      </w:pPr>
    </w:p>
    <w:p w:rsidRPr="0031664B" w:rsidR="00612BCE" w:rsidP="00612BCE" w:rsidRDefault="00B87259" w14:paraId="63298ACA" w14:textId="43232A31">
      <w:pPr>
        <w:rPr>
          <w:rFonts w:ascii="Palatino Linotype" w:hAnsi="Palatino Linotype"/>
          <w:sz w:val="24"/>
          <w:szCs w:val="24"/>
        </w:rPr>
      </w:pPr>
      <w:r w:rsidRPr="0031664B">
        <w:rPr>
          <w:rFonts w:ascii="Palatino Linotype" w:hAnsi="Palatino Linotype"/>
          <w:sz w:val="24"/>
          <w:szCs w:val="24"/>
        </w:rPr>
        <w:t>Pacific Gas and Electric</w:t>
      </w:r>
      <w:r w:rsidRPr="0031664B" w:rsidR="00612BCE">
        <w:rPr>
          <w:rFonts w:ascii="Palatino Linotype" w:hAnsi="Palatino Linotype"/>
          <w:sz w:val="24"/>
          <w:szCs w:val="24"/>
        </w:rPr>
        <w:t xml:space="preserve"> Company (</w:t>
      </w:r>
      <w:r w:rsidRPr="0031664B">
        <w:rPr>
          <w:rFonts w:ascii="Palatino Linotype" w:hAnsi="Palatino Linotype"/>
          <w:sz w:val="24"/>
          <w:szCs w:val="24"/>
        </w:rPr>
        <w:t>PG&amp;E</w:t>
      </w:r>
      <w:r w:rsidRPr="0031664B" w:rsidR="00612BCE">
        <w:rPr>
          <w:rFonts w:ascii="Palatino Linotype" w:hAnsi="Palatino Linotype"/>
          <w:sz w:val="24"/>
          <w:szCs w:val="24"/>
        </w:rPr>
        <w:t xml:space="preserve">) filed Advice Letter (AL) </w:t>
      </w:r>
      <w:r w:rsidRPr="0031664B" w:rsidR="00C648D6">
        <w:rPr>
          <w:rFonts w:ascii="Palatino Linotype" w:hAnsi="Palatino Linotype"/>
          <w:sz w:val="24"/>
          <w:szCs w:val="24"/>
        </w:rPr>
        <w:t>6977</w:t>
      </w:r>
      <w:r w:rsidRPr="0031664B" w:rsidR="00612BCE">
        <w:rPr>
          <w:rFonts w:ascii="Palatino Linotype" w:hAnsi="Palatino Linotype"/>
          <w:sz w:val="24"/>
          <w:szCs w:val="24"/>
        </w:rPr>
        <w:t xml:space="preserve">-E on </w:t>
      </w:r>
      <w:r w:rsidR="00DC743D">
        <w:rPr>
          <w:rFonts w:ascii="Palatino Linotype" w:hAnsi="Palatino Linotype"/>
          <w:sz w:val="24"/>
          <w:szCs w:val="24"/>
        </w:rPr>
        <w:br/>
      </w:r>
      <w:r w:rsidRPr="0031664B" w:rsidR="00CB2114">
        <w:rPr>
          <w:rFonts w:ascii="Palatino Linotype" w:hAnsi="Palatino Linotype"/>
          <w:sz w:val="24"/>
          <w:szCs w:val="24"/>
        </w:rPr>
        <w:t xml:space="preserve">June </w:t>
      </w:r>
      <w:r w:rsidRPr="0031664B" w:rsidR="00C648D6">
        <w:rPr>
          <w:rFonts w:ascii="Palatino Linotype" w:hAnsi="Palatino Linotype"/>
          <w:sz w:val="24"/>
          <w:szCs w:val="24"/>
        </w:rPr>
        <w:t>30</w:t>
      </w:r>
      <w:r w:rsidRPr="0031664B" w:rsidR="00612BCE">
        <w:rPr>
          <w:rFonts w:ascii="Palatino Linotype" w:hAnsi="Palatino Linotype"/>
          <w:sz w:val="24"/>
          <w:szCs w:val="24"/>
        </w:rPr>
        <w:t>, 20</w:t>
      </w:r>
      <w:r w:rsidRPr="0031664B" w:rsidR="00CB2114">
        <w:rPr>
          <w:rFonts w:ascii="Palatino Linotype" w:hAnsi="Palatino Linotype"/>
          <w:sz w:val="24"/>
          <w:szCs w:val="24"/>
        </w:rPr>
        <w:t>23</w:t>
      </w:r>
      <w:r w:rsidRPr="0031664B" w:rsidR="00612BCE">
        <w:rPr>
          <w:rFonts w:ascii="Palatino Linotype" w:hAnsi="Palatino Linotype"/>
          <w:sz w:val="24"/>
          <w:szCs w:val="24"/>
        </w:rPr>
        <w:t>, requesting California Public Utilities Commission (</w:t>
      </w:r>
      <w:r w:rsidRPr="0031664B" w:rsidR="001855D2">
        <w:rPr>
          <w:rFonts w:ascii="Palatino Linotype" w:hAnsi="Palatino Linotype"/>
          <w:sz w:val="24"/>
          <w:szCs w:val="24"/>
        </w:rPr>
        <w:t xml:space="preserve">CPUC or </w:t>
      </w:r>
      <w:r w:rsidRPr="0031664B" w:rsidR="00612BCE">
        <w:rPr>
          <w:rFonts w:ascii="Palatino Linotype" w:hAnsi="Palatino Linotype"/>
          <w:sz w:val="24"/>
          <w:szCs w:val="24"/>
        </w:rPr>
        <w:t xml:space="preserve">Commission) review and approval of </w:t>
      </w:r>
      <w:r w:rsidRPr="0031664B" w:rsidR="00F16E8A">
        <w:rPr>
          <w:rFonts w:ascii="Palatino Linotype" w:hAnsi="Palatino Linotype"/>
          <w:sz w:val="24"/>
          <w:szCs w:val="24"/>
        </w:rPr>
        <w:t xml:space="preserve">the </w:t>
      </w:r>
      <w:r w:rsidRPr="0031664B" w:rsidR="00432C03">
        <w:rPr>
          <w:rFonts w:ascii="Palatino Linotype" w:hAnsi="Palatino Linotype"/>
          <w:sz w:val="24"/>
          <w:szCs w:val="24"/>
        </w:rPr>
        <w:t>Transactions</w:t>
      </w:r>
      <w:r w:rsidRPr="0031664B" w:rsidR="00612BCE">
        <w:rPr>
          <w:rFonts w:ascii="Palatino Linotype" w:hAnsi="Palatino Linotype"/>
          <w:sz w:val="24"/>
          <w:szCs w:val="24"/>
        </w:rPr>
        <w:t xml:space="preserve"> with </w:t>
      </w:r>
      <w:r w:rsidRPr="0031664B" w:rsidR="00E552A8">
        <w:rPr>
          <w:rFonts w:ascii="Palatino Linotype" w:hAnsi="Palatino Linotype"/>
          <w:sz w:val="24"/>
          <w:szCs w:val="24"/>
        </w:rPr>
        <w:t xml:space="preserve">the various </w:t>
      </w:r>
      <w:r w:rsidRPr="0031664B" w:rsidR="004F2B68">
        <w:rPr>
          <w:rFonts w:ascii="Palatino Linotype" w:hAnsi="Palatino Linotype"/>
          <w:sz w:val="24"/>
          <w:szCs w:val="24"/>
        </w:rPr>
        <w:t>C</w:t>
      </w:r>
      <w:r w:rsidRPr="0031664B" w:rsidR="00E552A8">
        <w:rPr>
          <w:rFonts w:ascii="Palatino Linotype" w:hAnsi="Palatino Linotype"/>
          <w:sz w:val="24"/>
          <w:szCs w:val="24"/>
        </w:rPr>
        <w:t>ounterparties</w:t>
      </w:r>
      <w:r w:rsidRPr="0031664B" w:rsidR="00612BCE">
        <w:rPr>
          <w:rFonts w:ascii="Palatino Linotype" w:hAnsi="Palatino Linotype"/>
          <w:sz w:val="24"/>
          <w:szCs w:val="24"/>
        </w:rPr>
        <w:t xml:space="preserve">. The </w:t>
      </w:r>
      <w:r w:rsidRPr="0031664B" w:rsidR="00432C03">
        <w:rPr>
          <w:rFonts w:ascii="Palatino Linotype" w:hAnsi="Palatino Linotype"/>
          <w:sz w:val="24"/>
          <w:szCs w:val="24"/>
        </w:rPr>
        <w:lastRenderedPageBreak/>
        <w:t>Transactions</w:t>
      </w:r>
      <w:r w:rsidRPr="0031664B" w:rsidR="00E552A8">
        <w:rPr>
          <w:rFonts w:ascii="Palatino Linotype" w:hAnsi="Palatino Linotype"/>
          <w:sz w:val="24"/>
          <w:szCs w:val="24"/>
        </w:rPr>
        <w:t xml:space="preserve"> are for </w:t>
      </w:r>
      <w:r w:rsidRPr="0031664B" w:rsidR="00CB2114">
        <w:rPr>
          <w:rFonts w:ascii="Palatino Linotype" w:hAnsi="Palatino Linotype"/>
          <w:sz w:val="24"/>
          <w:szCs w:val="24"/>
        </w:rPr>
        <w:t>long</w:t>
      </w:r>
      <w:r w:rsidRPr="0031664B" w:rsidR="00612BCE">
        <w:rPr>
          <w:rFonts w:ascii="Palatino Linotype" w:hAnsi="Palatino Linotype"/>
          <w:sz w:val="24"/>
          <w:szCs w:val="24"/>
        </w:rPr>
        <w:t>-term contract</w:t>
      </w:r>
      <w:r w:rsidRPr="0031664B" w:rsidR="00E552A8">
        <w:rPr>
          <w:rFonts w:ascii="Palatino Linotype" w:hAnsi="Palatino Linotype"/>
          <w:sz w:val="24"/>
          <w:szCs w:val="24"/>
        </w:rPr>
        <w:t>s</w:t>
      </w:r>
      <w:r w:rsidRPr="0031664B" w:rsidR="00612BCE">
        <w:rPr>
          <w:rFonts w:ascii="Palatino Linotype" w:hAnsi="Palatino Linotype"/>
          <w:sz w:val="24"/>
          <w:szCs w:val="24"/>
        </w:rPr>
        <w:t xml:space="preserve"> for </w:t>
      </w:r>
      <w:r w:rsidRPr="0031664B" w:rsidR="00CB2114">
        <w:rPr>
          <w:rFonts w:ascii="Palatino Linotype" w:hAnsi="Palatino Linotype"/>
          <w:sz w:val="24"/>
          <w:szCs w:val="24"/>
        </w:rPr>
        <w:t>35</w:t>
      </w:r>
      <w:r w:rsidRPr="0031664B" w:rsidR="00413587">
        <w:rPr>
          <w:rFonts w:ascii="Palatino Linotype" w:hAnsi="Palatino Linotype"/>
          <w:sz w:val="24"/>
          <w:szCs w:val="24"/>
        </w:rPr>
        <w:t xml:space="preserve"> percent </w:t>
      </w:r>
      <w:r w:rsidRPr="0031664B" w:rsidR="00CB2114">
        <w:rPr>
          <w:rFonts w:ascii="Palatino Linotype" w:hAnsi="Palatino Linotype"/>
          <w:sz w:val="24"/>
          <w:szCs w:val="24"/>
        </w:rPr>
        <w:t xml:space="preserve">of the remaining portion of </w:t>
      </w:r>
      <w:r w:rsidRPr="0031664B">
        <w:rPr>
          <w:rFonts w:ascii="Palatino Linotype" w:hAnsi="Palatino Linotype"/>
          <w:sz w:val="24"/>
          <w:szCs w:val="24"/>
        </w:rPr>
        <w:t>PG&amp;E</w:t>
      </w:r>
      <w:r w:rsidRPr="0031664B" w:rsidR="00CB2114">
        <w:rPr>
          <w:rFonts w:ascii="Palatino Linotype" w:hAnsi="Palatino Linotype"/>
          <w:sz w:val="24"/>
          <w:szCs w:val="24"/>
        </w:rPr>
        <w:t xml:space="preserve">’s long-term PCIA-eligible RPS energy portfolio </w:t>
      </w:r>
      <w:r w:rsidRPr="0031664B" w:rsidR="00C6149F">
        <w:rPr>
          <w:rFonts w:ascii="Palatino Linotype" w:hAnsi="Palatino Linotype"/>
          <w:sz w:val="24"/>
          <w:szCs w:val="24"/>
        </w:rPr>
        <w:t>remaining</w:t>
      </w:r>
      <w:r w:rsidRPr="0031664B" w:rsidR="00447BAB">
        <w:rPr>
          <w:rFonts w:ascii="Palatino Linotype" w:hAnsi="Palatino Linotype"/>
          <w:sz w:val="24"/>
          <w:szCs w:val="24"/>
        </w:rPr>
        <w:t xml:space="preserve"> </w:t>
      </w:r>
      <w:r w:rsidRPr="0031664B" w:rsidR="00CB2114">
        <w:rPr>
          <w:rFonts w:ascii="Palatino Linotype" w:hAnsi="Palatino Linotype"/>
          <w:sz w:val="24"/>
          <w:szCs w:val="24"/>
        </w:rPr>
        <w:t>after the Voluntary Allocation process</w:t>
      </w:r>
      <w:r w:rsidRPr="0031664B" w:rsidR="00612BCE">
        <w:rPr>
          <w:rFonts w:ascii="Palatino Linotype" w:hAnsi="Palatino Linotype"/>
          <w:sz w:val="24"/>
          <w:szCs w:val="24"/>
        </w:rPr>
        <w:t xml:space="preserve">.  </w:t>
      </w:r>
    </w:p>
    <w:p w:rsidRPr="0031664B" w:rsidR="00612BCE" w:rsidP="00612BCE" w:rsidRDefault="00612BCE" w14:paraId="4BBE5EAB" w14:textId="77777777">
      <w:pPr>
        <w:pStyle w:val="NoSpacing"/>
        <w:rPr>
          <w:rFonts w:ascii="Palatino Linotype" w:hAnsi="Palatino Linotype"/>
          <w:sz w:val="24"/>
          <w:szCs w:val="24"/>
        </w:rPr>
      </w:pPr>
    </w:p>
    <w:p w:rsidRPr="0031664B" w:rsidR="00612BCE" w:rsidP="00612BCE" w:rsidRDefault="00612BCE" w14:paraId="6142A68D" w14:textId="3716845A">
      <w:pPr>
        <w:rPr>
          <w:rFonts w:ascii="Palatino Linotype" w:hAnsi="Palatino Linotype"/>
          <w:sz w:val="24"/>
          <w:szCs w:val="24"/>
        </w:rPr>
      </w:pPr>
      <w:r w:rsidRPr="0031664B">
        <w:rPr>
          <w:rFonts w:ascii="Palatino Linotype" w:hAnsi="Palatino Linotype"/>
          <w:sz w:val="24"/>
          <w:szCs w:val="24"/>
        </w:rPr>
        <w:t xml:space="preserve">This resolution approves the </w:t>
      </w:r>
      <w:r w:rsidRPr="0031664B" w:rsidR="00432C03">
        <w:rPr>
          <w:rFonts w:ascii="Palatino Linotype" w:hAnsi="Palatino Linotype"/>
          <w:sz w:val="24"/>
          <w:szCs w:val="24"/>
        </w:rPr>
        <w:t>Transactions</w:t>
      </w:r>
      <w:r w:rsidRPr="0031664B">
        <w:rPr>
          <w:rFonts w:ascii="Palatino Linotype" w:hAnsi="Palatino Linotype"/>
          <w:sz w:val="24"/>
          <w:szCs w:val="24"/>
        </w:rPr>
        <w:t xml:space="preserve"> between </w:t>
      </w:r>
      <w:r w:rsidRPr="0031664B" w:rsidR="00B87259">
        <w:rPr>
          <w:rFonts w:ascii="Palatino Linotype" w:hAnsi="Palatino Linotype"/>
          <w:sz w:val="24"/>
          <w:szCs w:val="24"/>
        </w:rPr>
        <w:t>PG&amp;E</w:t>
      </w:r>
      <w:r w:rsidRPr="0031664B">
        <w:rPr>
          <w:rFonts w:ascii="Palatino Linotype" w:hAnsi="Palatino Linotype"/>
          <w:sz w:val="24"/>
          <w:szCs w:val="24"/>
        </w:rPr>
        <w:t xml:space="preserve"> and</w:t>
      </w:r>
      <w:r w:rsidRPr="0031664B" w:rsidR="00C32920">
        <w:rPr>
          <w:rFonts w:ascii="Palatino Linotype" w:hAnsi="Palatino Linotype"/>
          <w:sz w:val="24"/>
          <w:szCs w:val="24"/>
        </w:rPr>
        <w:t xml:space="preserve"> </w:t>
      </w:r>
      <w:r w:rsidRPr="0031664B" w:rsidR="00E552A8">
        <w:rPr>
          <w:rFonts w:ascii="Palatino Linotype" w:hAnsi="Palatino Linotype"/>
          <w:sz w:val="24"/>
          <w:szCs w:val="24"/>
        </w:rPr>
        <w:t xml:space="preserve">the </w:t>
      </w:r>
      <w:r w:rsidRPr="0031664B" w:rsidR="004F2B68">
        <w:rPr>
          <w:rFonts w:ascii="Palatino Linotype" w:hAnsi="Palatino Linotype"/>
          <w:sz w:val="24"/>
          <w:szCs w:val="24"/>
        </w:rPr>
        <w:t>C</w:t>
      </w:r>
      <w:r w:rsidRPr="0031664B" w:rsidR="00E552A8">
        <w:rPr>
          <w:rFonts w:ascii="Palatino Linotype" w:hAnsi="Palatino Linotype"/>
          <w:sz w:val="24"/>
          <w:szCs w:val="24"/>
        </w:rPr>
        <w:t>ounterparties</w:t>
      </w:r>
      <w:r w:rsidRPr="0031664B" w:rsidR="00CB2114">
        <w:rPr>
          <w:rFonts w:ascii="Palatino Linotype" w:hAnsi="Palatino Linotype"/>
          <w:sz w:val="24"/>
          <w:szCs w:val="24"/>
        </w:rPr>
        <w:t xml:space="preserve"> </w:t>
      </w:r>
      <w:r w:rsidRPr="0031664B">
        <w:rPr>
          <w:rFonts w:ascii="Palatino Linotype" w:hAnsi="Palatino Linotype"/>
          <w:sz w:val="24"/>
          <w:szCs w:val="24"/>
        </w:rPr>
        <w:t xml:space="preserve">without modification. </w:t>
      </w:r>
      <w:r w:rsidRPr="0031664B" w:rsidR="00B87259">
        <w:rPr>
          <w:rFonts w:ascii="Palatino Linotype" w:hAnsi="Palatino Linotype"/>
          <w:sz w:val="24"/>
          <w:szCs w:val="24"/>
        </w:rPr>
        <w:t>PG&amp;E</w:t>
      </w:r>
      <w:r w:rsidRPr="0031664B">
        <w:rPr>
          <w:rFonts w:ascii="Palatino Linotype" w:hAnsi="Palatino Linotype"/>
          <w:sz w:val="24"/>
          <w:szCs w:val="24"/>
        </w:rPr>
        <w:t xml:space="preserve">’s execution of the </w:t>
      </w:r>
      <w:r w:rsidRPr="0031664B" w:rsidR="00432C03">
        <w:rPr>
          <w:rFonts w:ascii="Palatino Linotype" w:hAnsi="Palatino Linotype"/>
          <w:sz w:val="24"/>
          <w:szCs w:val="24"/>
        </w:rPr>
        <w:t>Transactions</w:t>
      </w:r>
      <w:r w:rsidRPr="0031664B" w:rsidR="00E552A8">
        <w:rPr>
          <w:rFonts w:ascii="Palatino Linotype" w:hAnsi="Palatino Linotype"/>
          <w:sz w:val="24"/>
          <w:szCs w:val="24"/>
        </w:rPr>
        <w:t xml:space="preserve"> </w:t>
      </w:r>
      <w:r w:rsidRPr="0031664B" w:rsidR="00413587">
        <w:rPr>
          <w:rFonts w:ascii="Palatino Linotype" w:hAnsi="Palatino Linotype"/>
          <w:sz w:val="24"/>
          <w:szCs w:val="24"/>
        </w:rPr>
        <w:t xml:space="preserve">is </w:t>
      </w:r>
      <w:r w:rsidRPr="0031664B">
        <w:rPr>
          <w:rFonts w:ascii="Palatino Linotype" w:hAnsi="Palatino Linotype"/>
          <w:sz w:val="24"/>
          <w:szCs w:val="24"/>
        </w:rPr>
        <w:t xml:space="preserve">consistent with Decision </w:t>
      </w:r>
      <w:r w:rsidRPr="0031664B" w:rsidR="00CB2114">
        <w:rPr>
          <w:rFonts w:ascii="Palatino Linotype" w:hAnsi="Palatino Linotype"/>
          <w:sz w:val="24"/>
          <w:szCs w:val="24"/>
        </w:rPr>
        <w:t>22</w:t>
      </w:r>
      <w:r w:rsidRPr="0031664B">
        <w:rPr>
          <w:rFonts w:ascii="Palatino Linotype" w:hAnsi="Palatino Linotype"/>
          <w:sz w:val="24"/>
          <w:szCs w:val="24"/>
        </w:rPr>
        <w:t>-</w:t>
      </w:r>
      <w:r w:rsidRPr="0031664B" w:rsidR="00CB2114">
        <w:rPr>
          <w:rFonts w:ascii="Palatino Linotype" w:hAnsi="Palatino Linotype"/>
          <w:sz w:val="24"/>
          <w:szCs w:val="24"/>
        </w:rPr>
        <w:t>11</w:t>
      </w:r>
      <w:r w:rsidRPr="0031664B">
        <w:rPr>
          <w:rFonts w:ascii="Palatino Linotype" w:hAnsi="Palatino Linotype"/>
          <w:sz w:val="24"/>
          <w:szCs w:val="24"/>
        </w:rPr>
        <w:t>-</w:t>
      </w:r>
      <w:r w:rsidRPr="0031664B" w:rsidR="00CB2114">
        <w:rPr>
          <w:rFonts w:ascii="Palatino Linotype" w:hAnsi="Palatino Linotype"/>
          <w:sz w:val="24"/>
          <w:szCs w:val="24"/>
        </w:rPr>
        <w:t xml:space="preserve">021 which directed </w:t>
      </w:r>
      <w:r w:rsidRPr="0031664B" w:rsidR="00B87259">
        <w:rPr>
          <w:rFonts w:ascii="Palatino Linotype" w:hAnsi="Palatino Linotype"/>
          <w:sz w:val="24"/>
          <w:szCs w:val="24"/>
        </w:rPr>
        <w:t>PG&amp;E</w:t>
      </w:r>
      <w:r w:rsidRPr="0031664B" w:rsidR="00CB2114">
        <w:rPr>
          <w:rFonts w:ascii="Palatino Linotype" w:hAnsi="Palatino Linotype"/>
          <w:sz w:val="24"/>
          <w:szCs w:val="24"/>
        </w:rPr>
        <w:t xml:space="preserve"> and the other IOUs to offer 35 percent of remaining PCIA eligible long-term contracts as long-term contracts in a market offer </w:t>
      </w:r>
      <w:r w:rsidRPr="0031664B" w:rsidR="00C23995">
        <w:rPr>
          <w:rFonts w:ascii="Palatino Linotype" w:hAnsi="Palatino Linotype"/>
          <w:sz w:val="24"/>
          <w:szCs w:val="24"/>
        </w:rPr>
        <w:t>solicitation</w:t>
      </w:r>
      <w:r w:rsidRPr="0031664B">
        <w:rPr>
          <w:rFonts w:ascii="Palatino Linotype" w:hAnsi="Palatino Linotype"/>
          <w:sz w:val="24"/>
          <w:szCs w:val="24"/>
        </w:rPr>
        <w:t xml:space="preserve">. Sales from </w:t>
      </w:r>
      <w:r w:rsidRPr="0031664B" w:rsidR="00B87259">
        <w:rPr>
          <w:rFonts w:ascii="Palatino Linotype" w:hAnsi="Palatino Linotype"/>
          <w:sz w:val="24"/>
          <w:szCs w:val="24"/>
        </w:rPr>
        <w:t>PG&amp;E</w:t>
      </w:r>
      <w:r w:rsidRPr="0031664B">
        <w:rPr>
          <w:rFonts w:ascii="Palatino Linotype" w:hAnsi="Palatino Linotype"/>
          <w:sz w:val="24"/>
          <w:szCs w:val="24"/>
        </w:rPr>
        <w:t xml:space="preserve"> to </w:t>
      </w:r>
      <w:r w:rsidRPr="0031664B" w:rsidR="00B0734C">
        <w:rPr>
          <w:rFonts w:ascii="Palatino Linotype" w:hAnsi="Palatino Linotype"/>
          <w:sz w:val="24"/>
          <w:szCs w:val="24"/>
        </w:rPr>
        <w:t>t</w:t>
      </w:r>
      <w:r w:rsidRPr="0031664B" w:rsidR="00E552A8">
        <w:rPr>
          <w:rFonts w:ascii="Palatino Linotype" w:hAnsi="Palatino Linotype"/>
          <w:sz w:val="24"/>
          <w:szCs w:val="24"/>
        </w:rPr>
        <w:t>he Counterparties</w:t>
      </w:r>
      <w:r w:rsidRPr="0031664B">
        <w:rPr>
          <w:rFonts w:ascii="Palatino Linotype" w:hAnsi="Palatino Linotype"/>
          <w:sz w:val="24"/>
          <w:szCs w:val="24"/>
        </w:rPr>
        <w:t xml:space="preserve"> are reasonably priced and payments received by </w:t>
      </w:r>
      <w:r w:rsidRPr="0031664B" w:rsidR="00B87259">
        <w:rPr>
          <w:rFonts w:ascii="Palatino Linotype" w:hAnsi="Palatino Linotype"/>
          <w:sz w:val="24"/>
          <w:szCs w:val="24"/>
        </w:rPr>
        <w:t>PG&amp;E</w:t>
      </w:r>
      <w:r w:rsidRPr="0031664B">
        <w:rPr>
          <w:rFonts w:ascii="Palatino Linotype" w:hAnsi="Palatino Linotype"/>
          <w:sz w:val="24"/>
          <w:szCs w:val="24"/>
        </w:rPr>
        <w:t xml:space="preserve"> pursuant to the </w:t>
      </w:r>
      <w:r w:rsidRPr="0031664B" w:rsidR="00432C03">
        <w:rPr>
          <w:rFonts w:ascii="Palatino Linotype" w:hAnsi="Palatino Linotype"/>
          <w:sz w:val="24"/>
          <w:szCs w:val="24"/>
        </w:rPr>
        <w:t>Transactions</w:t>
      </w:r>
      <w:r w:rsidRPr="0031664B">
        <w:rPr>
          <w:rFonts w:ascii="Palatino Linotype" w:hAnsi="Palatino Linotype"/>
          <w:sz w:val="24"/>
          <w:szCs w:val="24"/>
        </w:rPr>
        <w:t xml:space="preserve"> shall be credited to </w:t>
      </w:r>
      <w:r w:rsidRPr="0031664B" w:rsidR="00B87259">
        <w:rPr>
          <w:rFonts w:ascii="Palatino Linotype" w:hAnsi="Palatino Linotype"/>
          <w:sz w:val="24"/>
          <w:szCs w:val="24"/>
        </w:rPr>
        <w:t>PG&amp;E</w:t>
      </w:r>
      <w:r w:rsidRPr="0031664B">
        <w:rPr>
          <w:rFonts w:ascii="Palatino Linotype" w:hAnsi="Palatino Linotype"/>
          <w:sz w:val="24"/>
          <w:szCs w:val="24"/>
        </w:rPr>
        <w:t xml:space="preserve">’s ratepayers via </w:t>
      </w:r>
      <w:r w:rsidR="00DC743D">
        <w:rPr>
          <w:rFonts w:ascii="Palatino Linotype" w:hAnsi="Palatino Linotype"/>
          <w:sz w:val="24"/>
          <w:szCs w:val="24"/>
        </w:rPr>
        <w:br/>
      </w:r>
      <w:r w:rsidRPr="0031664B" w:rsidR="00B87259">
        <w:rPr>
          <w:rFonts w:ascii="Palatino Linotype" w:hAnsi="Palatino Linotype"/>
          <w:sz w:val="24"/>
          <w:szCs w:val="24"/>
        </w:rPr>
        <w:t>PG&amp;E</w:t>
      </w:r>
      <w:r w:rsidRPr="0031664B">
        <w:rPr>
          <w:rFonts w:ascii="Palatino Linotype" w:hAnsi="Palatino Linotype"/>
          <w:sz w:val="24"/>
          <w:szCs w:val="24"/>
        </w:rPr>
        <w:t xml:space="preserve">’s </w:t>
      </w:r>
      <w:r w:rsidRPr="0031664B" w:rsidR="00413587">
        <w:rPr>
          <w:rFonts w:ascii="Palatino Linotype" w:hAnsi="Palatino Linotype"/>
          <w:sz w:val="24"/>
          <w:szCs w:val="24"/>
        </w:rPr>
        <w:t>Portfolio Allocation Balancing Account</w:t>
      </w:r>
      <w:r w:rsidRPr="0031664B" w:rsidR="005F6A08">
        <w:rPr>
          <w:rFonts w:ascii="Palatino Linotype" w:hAnsi="Palatino Linotype"/>
          <w:sz w:val="24"/>
          <w:szCs w:val="24"/>
        </w:rPr>
        <w:t xml:space="preserve"> </w:t>
      </w:r>
      <w:r w:rsidRPr="0031664B" w:rsidR="00413587">
        <w:rPr>
          <w:rFonts w:ascii="Palatino Linotype" w:hAnsi="Palatino Linotype"/>
          <w:sz w:val="24"/>
          <w:szCs w:val="24"/>
        </w:rPr>
        <w:t>(PABA</w:t>
      </w:r>
      <w:r w:rsidRPr="0031664B">
        <w:rPr>
          <w:rFonts w:ascii="Palatino Linotype" w:hAnsi="Palatino Linotype"/>
          <w:sz w:val="24"/>
          <w:szCs w:val="24"/>
        </w:rPr>
        <w:t>).</w:t>
      </w:r>
      <w:r w:rsidRPr="0031664B" w:rsidR="00C6149F">
        <w:rPr>
          <w:rFonts w:ascii="Palatino Linotype" w:hAnsi="Palatino Linotype"/>
          <w:sz w:val="24"/>
          <w:szCs w:val="24"/>
        </w:rPr>
        <w:t xml:space="preserve"> Moreover, this</w:t>
      </w:r>
      <w:r w:rsidRPr="0031664B" w:rsidR="00562D3C">
        <w:rPr>
          <w:rFonts w:ascii="Palatino Linotype" w:hAnsi="Palatino Linotype"/>
          <w:sz w:val="24"/>
          <w:szCs w:val="24"/>
        </w:rPr>
        <w:t xml:space="preserve"> </w:t>
      </w:r>
      <w:r w:rsidRPr="0031664B" w:rsidR="00F3157B">
        <w:rPr>
          <w:rFonts w:ascii="Palatino Linotype" w:hAnsi="Palatino Linotype"/>
          <w:sz w:val="24"/>
          <w:szCs w:val="24"/>
        </w:rPr>
        <w:t xml:space="preserve">transaction is consistent with </w:t>
      </w:r>
      <w:r w:rsidRPr="0031664B" w:rsidR="00B87259">
        <w:rPr>
          <w:rFonts w:ascii="Palatino Linotype" w:hAnsi="Palatino Linotype"/>
          <w:sz w:val="24"/>
          <w:szCs w:val="24"/>
        </w:rPr>
        <w:t>PG&amp;E</w:t>
      </w:r>
      <w:r w:rsidRPr="0031664B" w:rsidR="00F3157B">
        <w:rPr>
          <w:rFonts w:ascii="Palatino Linotype" w:hAnsi="Palatino Linotype"/>
          <w:sz w:val="24"/>
          <w:szCs w:val="24"/>
        </w:rPr>
        <w:t xml:space="preserve">’s </w:t>
      </w:r>
      <w:r w:rsidRPr="0031664B" w:rsidR="002A4B59">
        <w:rPr>
          <w:rFonts w:ascii="Palatino Linotype" w:hAnsi="Palatino Linotype"/>
          <w:sz w:val="24"/>
          <w:szCs w:val="24"/>
        </w:rPr>
        <w:t xml:space="preserve">2022 </w:t>
      </w:r>
      <w:r w:rsidRPr="0031664B" w:rsidR="00F3157B">
        <w:rPr>
          <w:rFonts w:ascii="Palatino Linotype" w:hAnsi="Palatino Linotype"/>
          <w:sz w:val="24"/>
          <w:szCs w:val="24"/>
        </w:rPr>
        <w:t xml:space="preserve">RPS </w:t>
      </w:r>
      <w:r w:rsidRPr="0031664B" w:rsidR="002A4B59">
        <w:rPr>
          <w:rFonts w:ascii="Palatino Linotype" w:hAnsi="Palatino Linotype"/>
          <w:sz w:val="24"/>
          <w:szCs w:val="24"/>
        </w:rPr>
        <w:t xml:space="preserve">procurement </w:t>
      </w:r>
      <w:r w:rsidRPr="0031664B" w:rsidR="00F3157B">
        <w:rPr>
          <w:rFonts w:ascii="Palatino Linotype" w:hAnsi="Palatino Linotype"/>
          <w:sz w:val="24"/>
          <w:szCs w:val="24"/>
        </w:rPr>
        <w:t>plan approved by D.22</w:t>
      </w:r>
      <w:r w:rsidRPr="0031664B" w:rsidR="0005351F">
        <w:rPr>
          <w:rFonts w:ascii="Palatino Linotype" w:hAnsi="Palatino Linotype"/>
          <w:sz w:val="24"/>
          <w:szCs w:val="24"/>
        </w:rPr>
        <w:t>-12-</w:t>
      </w:r>
      <w:r w:rsidRPr="0031664B" w:rsidR="002A4B59">
        <w:rPr>
          <w:rFonts w:ascii="Palatino Linotype" w:hAnsi="Palatino Linotype"/>
          <w:sz w:val="24"/>
          <w:szCs w:val="24"/>
        </w:rPr>
        <w:t>030.</w:t>
      </w:r>
    </w:p>
    <w:p w:rsidRPr="0031664B" w:rsidR="00612BCE" w:rsidP="00612BCE" w:rsidRDefault="00612BCE" w14:paraId="54FC66A8" w14:textId="77777777">
      <w:pPr>
        <w:rPr>
          <w:rFonts w:ascii="Palatino Linotype" w:hAnsi="Palatino Linotype"/>
          <w:sz w:val="24"/>
          <w:szCs w:val="24"/>
        </w:rPr>
      </w:pPr>
      <w:r w:rsidRPr="0031664B">
        <w:rPr>
          <w:rFonts w:ascii="Palatino Linotype" w:hAnsi="Palatino Linotype"/>
          <w:sz w:val="24"/>
          <w:szCs w:val="24"/>
        </w:rPr>
        <w:t xml:space="preserve"> </w:t>
      </w:r>
    </w:p>
    <w:p w:rsidRPr="0031664B" w:rsidR="00612BCE" w:rsidP="00612BCE" w:rsidRDefault="00612BCE" w14:paraId="71FB2966" w14:textId="4122F820">
      <w:pPr>
        <w:rPr>
          <w:rFonts w:ascii="Palatino Linotype" w:hAnsi="Palatino Linotype"/>
          <w:sz w:val="24"/>
          <w:szCs w:val="24"/>
        </w:rPr>
      </w:pPr>
      <w:r w:rsidRPr="0031664B">
        <w:rPr>
          <w:rFonts w:ascii="Palatino Linotype" w:hAnsi="Palatino Linotype"/>
          <w:sz w:val="24"/>
          <w:szCs w:val="24"/>
        </w:rPr>
        <w:t xml:space="preserve">Table 1 below provides a summary of the </w:t>
      </w:r>
      <w:r w:rsidRPr="0031664B" w:rsidR="00432C03">
        <w:rPr>
          <w:rFonts w:ascii="Palatino Linotype" w:hAnsi="Palatino Linotype"/>
          <w:sz w:val="24"/>
          <w:szCs w:val="24"/>
        </w:rPr>
        <w:t>Transactions</w:t>
      </w:r>
      <w:r w:rsidRPr="0031664B">
        <w:rPr>
          <w:rFonts w:ascii="Palatino Linotype" w:hAnsi="Palatino Linotype"/>
          <w:sz w:val="24"/>
          <w:szCs w:val="24"/>
        </w:rPr>
        <w:t xml:space="preserve"> between </w:t>
      </w:r>
      <w:r w:rsidRPr="0031664B" w:rsidR="00B87259">
        <w:rPr>
          <w:rFonts w:ascii="Palatino Linotype" w:hAnsi="Palatino Linotype"/>
          <w:sz w:val="24"/>
          <w:szCs w:val="24"/>
        </w:rPr>
        <w:t>PG&amp;E</w:t>
      </w:r>
      <w:r w:rsidRPr="0031664B">
        <w:rPr>
          <w:rFonts w:ascii="Palatino Linotype" w:hAnsi="Palatino Linotype"/>
          <w:sz w:val="24"/>
          <w:szCs w:val="24"/>
        </w:rPr>
        <w:t xml:space="preserve"> and </w:t>
      </w:r>
      <w:r w:rsidRPr="0031664B" w:rsidR="00E552A8">
        <w:rPr>
          <w:rFonts w:ascii="Palatino Linotype" w:hAnsi="Palatino Linotype"/>
          <w:sz w:val="24"/>
          <w:szCs w:val="24"/>
        </w:rPr>
        <w:t xml:space="preserve">the </w:t>
      </w:r>
      <w:r w:rsidRPr="0031664B" w:rsidR="00C32920">
        <w:rPr>
          <w:rFonts w:ascii="Palatino Linotype" w:hAnsi="Palatino Linotype"/>
          <w:sz w:val="24"/>
          <w:szCs w:val="24"/>
        </w:rPr>
        <w:t>C</w:t>
      </w:r>
      <w:r w:rsidRPr="0031664B" w:rsidR="00E552A8">
        <w:rPr>
          <w:rFonts w:ascii="Palatino Linotype" w:hAnsi="Palatino Linotype"/>
          <w:sz w:val="24"/>
          <w:szCs w:val="24"/>
        </w:rPr>
        <w:t>ounterparties</w:t>
      </w:r>
      <w:r w:rsidRPr="0031664B">
        <w:rPr>
          <w:rFonts w:ascii="Palatino Linotype" w:hAnsi="Palatino Linotype"/>
          <w:sz w:val="24"/>
          <w:szCs w:val="24"/>
        </w:rPr>
        <w:t xml:space="preserve">. </w:t>
      </w:r>
    </w:p>
    <w:p w:rsidRPr="0031664B" w:rsidR="00612BCE" w:rsidP="00612BCE" w:rsidRDefault="00612BCE" w14:paraId="67DDB383" w14:textId="77777777">
      <w:pPr>
        <w:rPr>
          <w:rFonts w:ascii="Palatino Linotype" w:hAnsi="Palatino Linotype"/>
          <w:b/>
          <w:sz w:val="24"/>
          <w:szCs w:val="24"/>
        </w:rPr>
      </w:pPr>
    </w:p>
    <w:p w:rsidR="00612BCE" w:rsidP="00612BCE" w:rsidRDefault="00F94C3A" w14:paraId="6490E143" w14:textId="30DFC9EC">
      <w:pPr>
        <w:rPr>
          <w:rFonts w:ascii="Palatino Linotype" w:hAnsi="Palatino Linotype"/>
          <w:b/>
          <w:sz w:val="24"/>
          <w:szCs w:val="24"/>
        </w:rPr>
      </w:pPr>
      <w:r w:rsidRPr="0031664B">
        <w:rPr>
          <w:rFonts w:ascii="Palatino Linotype" w:hAnsi="Palatino Linotype"/>
          <w:b/>
          <w:sz w:val="24"/>
          <w:szCs w:val="24"/>
        </w:rPr>
        <w:t xml:space="preserve">TABLE 1: Counterparties and Portfolio </w:t>
      </w:r>
      <w:r w:rsidRPr="0031664B" w:rsidR="00270086">
        <w:rPr>
          <w:rFonts w:ascii="Palatino Linotype" w:hAnsi="Palatino Linotype"/>
          <w:b/>
          <w:sz w:val="24"/>
          <w:szCs w:val="24"/>
        </w:rPr>
        <w:t>Volume Percentage</w:t>
      </w:r>
    </w:p>
    <w:p w:rsidRPr="0031664B" w:rsidR="00DC743D" w:rsidP="00612BCE" w:rsidRDefault="00DC743D" w14:paraId="3487AA42" w14:textId="77777777">
      <w:pPr>
        <w:rPr>
          <w:rFonts w:ascii="Palatino Linotype" w:hAnsi="Palatino Linotype"/>
          <w:b/>
          <w:sz w:val="24"/>
          <w:szCs w:val="24"/>
        </w:rPr>
      </w:pPr>
    </w:p>
    <w:p w:rsidRPr="0031664B" w:rsidR="00B0734C" w:rsidP="00612BCE" w:rsidRDefault="008742EE" w14:paraId="05F05E54" w14:textId="53C364BF">
      <w:pPr>
        <w:rPr>
          <w:rFonts w:ascii="Palatino Linotype" w:hAnsi="Palatino Linotype"/>
          <w:b/>
          <w:sz w:val="24"/>
          <w:szCs w:val="24"/>
        </w:rPr>
      </w:pPr>
      <w:r w:rsidRPr="0031664B">
        <w:rPr>
          <w:rFonts w:ascii="Palatino Linotype" w:hAnsi="Palatino Linotype"/>
          <w:b/>
          <w:sz w:val="24"/>
          <w:szCs w:val="24"/>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62.75pt;height:117pt" o:ole="" type="#_x0000_t75">
            <v:imagedata o:title="" r:id="rId8"/>
          </v:shape>
        </w:pict>
      </w:r>
    </w:p>
    <w:p w:rsidRPr="0031664B" w:rsidR="00612BCE" w:rsidP="00612BCE" w:rsidRDefault="00612BCE" w14:paraId="251EAEBE" w14:textId="77777777">
      <w:pPr>
        <w:pStyle w:val="Heading1"/>
        <w:rPr>
          <w:rFonts w:ascii="Palatino Linotype" w:hAnsi="Palatino Linotype"/>
          <w:sz w:val="24"/>
          <w:szCs w:val="24"/>
        </w:rPr>
      </w:pPr>
      <w:r w:rsidRPr="0031664B">
        <w:rPr>
          <w:rFonts w:ascii="Palatino Linotype" w:hAnsi="Palatino Linotype"/>
          <w:sz w:val="24"/>
          <w:szCs w:val="24"/>
        </w:rPr>
        <w:t>Background</w:t>
      </w:r>
    </w:p>
    <w:p w:rsidRPr="0031664B" w:rsidR="00D04F04" w:rsidP="00D04F04" w:rsidRDefault="00D04F04" w14:paraId="5AB7FE57" w14:textId="722DDC7C">
      <w:pPr>
        <w:rPr>
          <w:rFonts w:ascii="Palatino Linotype" w:hAnsi="Palatino Linotype"/>
          <w:sz w:val="24"/>
          <w:szCs w:val="24"/>
        </w:rPr>
      </w:pPr>
      <w:r w:rsidRPr="0031664B">
        <w:rPr>
          <w:rFonts w:ascii="Palatino Linotype" w:hAnsi="Palatino Linotype"/>
          <w:sz w:val="24"/>
          <w:szCs w:val="24"/>
        </w:rPr>
        <w:t xml:space="preserve">D.21-05-030 in Rulemaking (R.) 17-06-026 implemented the Voluntary Allocation and Market Offer (VAMO) framework for Power Charge Indifference Adjustment (PCIA) eligible Renewables Portfolio Standard contracts. D.21-05-030 directed the implementation of the VAMO process through the RPS proceeding, R.18-07-003. </w:t>
      </w:r>
      <w:r w:rsidRPr="0031664B" w:rsidR="00B87259">
        <w:rPr>
          <w:rFonts w:ascii="Palatino Linotype" w:hAnsi="Palatino Linotype"/>
          <w:sz w:val="24"/>
          <w:szCs w:val="24"/>
        </w:rPr>
        <w:t>PG&amp;E</w:t>
      </w:r>
      <w:r w:rsidRPr="0031664B">
        <w:rPr>
          <w:rFonts w:ascii="Palatino Linotype" w:hAnsi="Palatino Linotype"/>
          <w:sz w:val="24"/>
          <w:szCs w:val="24"/>
        </w:rPr>
        <w:t>, together with</w:t>
      </w:r>
      <w:r w:rsidRPr="0031664B" w:rsidR="008742EE">
        <w:rPr>
          <w:rFonts w:ascii="Palatino Linotype" w:hAnsi="Palatino Linotype"/>
          <w:sz w:val="24"/>
          <w:szCs w:val="24"/>
        </w:rPr>
        <w:t xml:space="preserve"> Southern California Edison Company (SCE) </w:t>
      </w:r>
      <w:r w:rsidRPr="0031664B">
        <w:rPr>
          <w:rFonts w:ascii="Palatino Linotype" w:hAnsi="Palatino Linotype"/>
          <w:sz w:val="24"/>
          <w:szCs w:val="24"/>
        </w:rPr>
        <w:t xml:space="preserve">and San Diego Gas and Electric Company (SDG&amp;E) offered proposals for Market Offer </w:t>
      </w:r>
      <w:r w:rsidRPr="0031664B" w:rsidR="005301B6">
        <w:rPr>
          <w:rFonts w:ascii="Palatino Linotype" w:hAnsi="Palatino Linotype"/>
          <w:sz w:val="24"/>
          <w:szCs w:val="24"/>
        </w:rPr>
        <w:t xml:space="preserve">solicitations </w:t>
      </w:r>
      <w:r w:rsidRPr="0031664B">
        <w:rPr>
          <w:rFonts w:ascii="Palatino Linotype" w:hAnsi="Palatino Linotype"/>
          <w:sz w:val="24"/>
          <w:szCs w:val="24"/>
        </w:rPr>
        <w:t>as part of Track 1 of 2022 RPS Plans</w:t>
      </w:r>
      <w:r w:rsidRPr="0031664B" w:rsidR="005301B6">
        <w:rPr>
          <w:rFonts w:ascii="Palatino Linotype" w:hAnsi="Palatino Linotype"/>
          <w:sz w:val="24"/>
          <w:szCs w:val="24"/>
        </w:rPr>
        <w:t>.</w:t>
      </w:r>
    </w:p>
    <w:p w:rsidRPr="0031664B" w:rsidR="00D04F04" w:rsidP="00D04F04" w:rsidRDefault="00D04F04" w14:paraId="5FA52A7E" w14:textId="77777777">
      <w:pPr>
        <w:rPr>
          <w:rFonts w:ascii="Palatino Linotype" w:hAnsi="Palatino Linotype"/>
          <w:sz w:val="24"/>
          <w:szCs w:val="24"/>
        </w:rPr>
      </w:pPr>
    </w:p>
    <w:p w:rsidRPr="0031664B" w:rsidR="0065128C" w:rsidP="0065128C" w:rsidRDefault="00D04F04" w14:paraId="5AFAB85F" w14:textId="539B7B05">
      <w:pPr>
        <w:rPr>
          <w:rFonts w:ascii="Palatino Linotype" w:hAnsi="Palatino Linotype"/>
          <w:sz w:val="24"/>
          <w:szCs w:val="24"/>
        </w:rPr>
      </w:pPr>
      <w:r w:rsidRPr="0031664B">
        <w:rPr>
          <w:rFonts w:ascii="Palatino Linotype" w:hAnsi="Palatino Linotype"/>
          <w:sz w:val="24"/>
          <w:szCs w:val="24"/>
        </w:rPr>
        <w:t xml:space="preserve">The Commission considered the IOUs Market Offer proposals as part of R.18-07-003 and issued D.22-11-021 directing certain modifications to the IOUs’ proposals. Ordering Paragraph 1 of D.22-11-021 approved the Voluntary Allocations of </w:t>
      </w:r>
      <w:r w:rsidRPr="0031664B" w:rsidR="003946D2">
        <w:rPr>
          <w:rFonts w:ascii="Palatino Linotype" w:hAnsi="Palatino Linotype"/>
          <w:sz w:val="24"/>
          <w:szCs w:val="24"/>
        </w:rPr>
        <w:t>L</w:t>
      </w:r>
      <w:r w:rsidRPr="0031664B">
        <w:rPr>
          <w:rFonts w:ascii="Palatino Linotype" w:hAnsi="Palatino Linotype"/>
          <w:sz w:val="24"/>
          <w:szCs w:val="24"/>
        </w:rPr>
        <w:t xml:space="preserve">oad </w:t>
      </w:r>
      <w:r w:rsidRPr="0031664B" w:rsidR="003946D2">
        <w:rPr>
          <w:rFonts w:ascii="Palatino Linotype" w:hAnsi="Palatino Linotype"/>
          <w:sz w:val="24"/>
          <w:szCs w:val="24"/>
        </w:rPr>
        <w:t>S</w:t>
      </w:r>
      <w:r w:rsidRPr="0031664B">
        <w:rPr>
          <w:rFonts w:ascii="Palatino Linotype" w:hAnsi="Palatino Linotype"/>
          <w:sz w:val="24"/>
          <w:szCs w:val="24"/>
        </w:rPr>
        <w:t xml:space="preserve">erving </w:t>
      </w:r>
      <w:r w:rsidRPr="0031664B" w:rsidR="003946D2">
        <w:rPr>
          <w:rFonts w:ascii="Palatino Linotype" w:hAnsi="Palatino Linotype"/>
          <w:sz w:val="24"/>
          <w:szCs w:val="24"/>
        </w:rPr>
        <w:lastRenderedPageBreak/>
        <w:t>E</w:t>
      </w:r>
      <w:r w:rsidRPr="0031664B">
        <w:rPr>
          <w:rFonts w:ascii="Palatino Linotype" w:hAnsi="Palatino Linotype"/>
          <w:sz w:val="24"/>
          <w:szCs w:val="24"/>
        </w:rPr>
        <w:t xml:space="preserve">ntities (LSEs). </w:t>
      </w:r>
      <w:r w:rsidRPr="0031664B" w:rsidR="0065128C">
        <w:rPr>
          <w:rFonts w:ascii="Palatino Linotype" w:hAnsi="Palatino Linotype"/>
          <w:sz w:val="24"/>
          <w:szCs w:val="24"/>
        </w:rPr>
        <w:t xml:space="preserve">Ordering Paragraph 2 of D.22-11-021 directed the IOUs to offer 100 percent of remaining PCIA eligible short-term contracts. Ordering Paragraph 3 directed the IOUs to offer 35 percent of remaining PCIA eligible long-term contracts as </w:t>
      </w:r>
      <w:r w:rsidR="00DC743D">
        <w:rPr>
          <w:rFonts w:ascii="Palatino Linotype" w:hAnsi="Palatino Linotype"/>
          <w:sz w:val="24"/>
          <w:szCs w:val="24"/>
        </w:rPr>
        <w:br/>
      </w:r>
      <w:r w:rsidRPr="0031664B" w:rsidR="0065128C">
        <w:rPr>
          <w:rFonts w:ascii="Palatino Linotype" w:hAnsi="Palatino Linotype"/>
          <w:sz w:val="24"/>
          <w:szCs w:val="24"/>
        </w:rPr>
        <w:t>long-term contracts. Ordering Paragraph 4 directed the IOUs to offer 65 percent of remaining PCIA eligible long-term contracts as either short-term or long-term contracts subject to a methodology to optimize value for ratepayers.</w:t>
      </w:r>
    </w:p>
    <w:p w:rsidRPr="0031664B" w:rsidR="0065128C" w:rsidP="00D04F04" w:rsidRDefault="0065128C" w14:paraId="4A1CBA0F" w14:textId="77777777">
      <w:pPr>
        <w:rPr>
          <w:rFonts w:ascii="Palatino Linotype" w:hAnsi="Palatino Linotype"/>
          <w:sz w:val="24"/>
          <w:szCs w:val="24"/>
        </w:rPr>
      </w:pPr>
    </w:p>
    <w:p w:rsidRPr="0031664B" w:rsidR="00D04F04" w:rsidP="00D04F04" w:rsidRDefault="00D04F04" w14:paraId="5E5C0A46" w14:textId="5DB49244">
      <w:pPr>
        <w:rPr>
          <w:rFonts w:ascii="Palatino Linotype" w:hAnsi="Palatino Linotype"/>
          <w:sz w:val="24"/>
          <w:szCs w:val="24"/>
        </w:rPr>
      </w:pPr>
      <w:r w:rsidRPr="0031664B">
        <w:rPr>
          <w:rFonts w:ascii="Palatino Linotype" w:hAnsi="Palatino Linotype"/>
          <w:sz w:val="24"/>
          <w:szCs w:val="24"/>
        </w:rPr>
        <w:t xml:space="preserve">Ordering Paragraph 12 directed </w:t>
      </w:r>
      <w:r w:rsidRPr="0031664B" w:rsidR="00B87259">
        <w:rPr>
          <w:rFonts w:ascii="Palatino Linotype" w:hAnsi="Palatino Linotype"/>
          <w:sz w:val="24"/>
          <w:szCs w:val="24"/>
        </w:rPr>
        <w:t>PG&amp;E</w:t>
      </w:r>
      <w:r w:rsidRPr="0031664B">
        <w:rPr>
          <w:rFonts w:ascii="Palatino Linotype" w:hAnsi="Palatino Linotype"/>
          <w:sz w:val="24"/>
          <w:szCs w:val="24"/>
        </w:rPr>
        <w:t>,</w:t>
      </w:r>
      <w:r w:rsidRPr="0031664B" w:rsidR="008742EE">
        <w:rPr>
          <w:rFonts w:ascii="Palatino Linotype" w:hAnsi="Palatino Linotype"/>
          <w:sz w:val="24"/>
          <w:szCs w:val="24"/>
        </w:rPr>
        <w:t xml:space="preserve"> SCE</w:t>
      </w:r>
      <w:r w:rsidRPr="0031664B" w:rsidR="004F2B68">
        <w:rPr>
          <w:rFonts w:ascii="Palatino Linotype" w:hAnsi="Palatino Linotype"/>
          <w:sz w:val="24"/>
          <w:szCs w:val="24"/>
        </w:rPr>
        <w:t>,</w:t>
      </w:r>
      <w:r w:rsidRPr="0031664B">
        <w:rPr>
          <w:rFonts w:ascii="Palatino Linotype" w:hAnsi="Palatino Linotype"/>
          <w:sz w:val="24"/>
          <w:szCs w:val="24"/>
        </w:rPr>
        <w:t xml:space="preserve"> and SDG&amp;E to each file a Tier 1 Advice Letter, to among other things make </w:t>
      </w:r>
      <w:r w:rsidRPr="0031664B" w:rsidR="003946D2">
        <w:rPr>
          <w:rFonts w:ascii="Palatino Linotype" w:hAnsi="Palatino Linotype"/>
          <w:sz w:val="24"/>
          <w:szCs w:val="24"/>
        </w:rPr>
        <w:t xml:space="preserve">certain </w:t>
      </w:r>
      <w:r w:rsidRPr="0031664B">
        <w:rPr>
          <w:rFonts w:ascii="Palatino Linotype" w:hAnsi="Palatino Linotype"/>
          <w:sz w:val="24"/>
          <w:szCs w:val="24"/>
        </w:rPr>
        <w:t>changes to their Market Offer processes and protocols. Those advice letters were timely filed and approved by Energy Division staff.</w:t>
      </w:r>
      <w:r w:rsidRPr="0031664B">
        <w:rPr>
          <w:rFonts w:ascii="Palatino Linotype" w:hAnsi="Palatino Linotype"/>
          <w:sz w:val="24"/>
          <w:szCs w:val="24"/>
          <w:vertAlign w:val="superscript"/>
        </w:rPr>
        <w:footnoteReference w:id="1"/>
      </w:r>
      <w:r w:rsidRPr="0031664B">
        <w:rPr>
          <w:rFonts w:ascii="Palatino Linotype" w:hAnsi="Palatino Linotype"/>
          <w:sz w:val="24"/>
          <w:szCs w:val="24"/>
        </w:rPr>
        <w:t xml:space="preserve"> Ordering Paragraph 13 directed the IOUs to each file a Tier 2 Advice Letter, to implement a solicitation for long-term PCIA-eligible contracts remaining after the Voluntary Allocation solicitation. Those advice letters were timely filed and approved by Energy Division staff.</w:t>
      </w:r>
      <w:r w:rsidRPr="0031664B">
        <w:rPr>
          <w:rFonts w:ascii="Palatino Linotype" w:hAnsi="Palatino Linotype"/>
          <w:sz w:val="24"/>
          <w:szCs w:val="24"/>
          <w:vertAlign w:val="superscript"/>
        </w:rPr>
        <w:footnoteReference w:id="2"/>
      </w:r>
    </w:p>
    <w:p w:rsidRPr="0031664B" w:rsidR="00D04F04" w:rsidP="00D04F04" w:rsidRDefault="00D04F04" w14:paraId="1DE3C9F0" w14:textId="77777777">
      <w:pPr>
        <w:rPr>
          <w:rFonts w:ascii="Palatino Linotype" w:hAnsi="Palatino Linotype"/>
          <w:sz w:val="24"/>
          <w:szCs w:val="24"/>
        </w:rPr>
      </w:pPr>
    </w:p>
    <w:p w:rsidRPr="0031664B" w:rsidR="00D04F04" w:rsidP="00DC743D" w:rsidRDefault="00D04F04" w14:paraId="50001669" w14:textId="0ECB4EE1">
      <w:pPr>
        <w:rPr>
          <w:rFonts w:ascii="Palatino Linotype" w:hAnsi="Palatino Linotype"/>
          <w:sz w:val="24"/>
          <w:szCs w:val="24"/>
        </w:rPr>
      </w:pPr>
      <w:r w:rsidRPr="0031664B">
        <w:rPr>
          <w:rFonts w:ascii="Palatino Linotype" w:hAnsi="Palatino Linotype"/>
          <w:sz w:val="24"/>
          <w:szCs w:val="24"/>
        </w:rPr>
        <w:t>Ordering Paragraph 6 of D.22-11-021 directed PG&amp;E</w:t>
      </w:r>
      <w:r w:rsidRPr="0031664B" w:rsidR="008742EE">
        <w:rPr>
          <w:rFonts w:ascii="Palatino Linotype" w:hAnsi="Palatino Linotype"/>
          <w:sz w:val="24"/>
          <w:szCs w:val="24"/>
        </w:rPr>
        <w:t xml:space="preserve"> </w:t>
      </w:r>
      <w:r w:rsidRPr="0031664B">
        <w:rPr>
          <w:rFonts w:ascii="Palatino Linotype" w:hAnsi="Palatino Linotype"/>
          <w:sz w:val="24"/>
          <w:szCs w:val="24"/>
        </w:rPr>
        <w:t xml:space="preserve">to seek Commission approval of executed short-term Market Offer contracts via Tier 1 Advice Letter and long-term Market Offer contracts via Tier 3 Advice Letter. </w:t>
      </w:r>
      <w:r w:rsidRPr="0031664B" w:rsidR="001C6B25">
        <w:rPr>
          <w:rFonts w:ascii="Palatino Linotype" w:hAnsi="Palatino Linotype"/>
          <w:sz w:val="24"/>
          <w:szCs w:val="24"/>
        </w:rPr>
        <w:t>PG&amp;E</w:t>
      </w:r>
      <w:r w:rsidRPr="0031664B">
        <w:rPr>
          <w:rFonts w:ascii="Palatino Linotype" w:hAnsi="Palatino Linotype"/>
          <w:sz w:val="24"/>
          <w:szCs w:val="24"/>
        </w:rPr>
        <w:t xml:space="preserve"> sought </w:t>
      </w:r>
      <w:r w:rsidRPr="0031664B" w:rsidR="001C6B25">
        <w:rPr>
          <w:rFonts w:ascii="Palatino Linotype" w:hAnsi="Palatino Linotype"/>
          <w:sz w:val="24"/>
          <w:szCs w:val="24"/>
        </w:rPr>
        <w:t xml:space="preserve">Commission </w:t>
      </w:r>
      <w:r w:rsidRPr="0031664B">
        <w:rPr>
          <w:rFonts w:ascii="Palatino Linotype" w:hAnsi="Palatino Linotype"/>
          <w:sz w:val="24"/>
          <w:szCs w:val="24"/>
        </w:rPr>
        <w:t xml:space="preserve">approval of their short-term market offer solicitation via </w:t>
      </w:r>
      <w:r w:rsidRPr="0031664B" w:rsidR="001C6B25">
        <w:rPr>
          <w:rFonts w:ascii="Palatino Linotype" w:hAnsi="Palatino Linotype"/>
          <w:sz w:val="24"/>
          <w:szCs w:val="24"/>
        </w:rPr>
        <w:t xml:space="preserve">a </w:t>
      </w:r>
      <w:r w:rsidRPr="0031664B">
        <w:rPr>
          <w:rFonts w:ascii="Palatino Linotype" w:hAnsi="Palatino Linotype"/>
          <w:sz w:val="24"/>
          <w:szCs w:val="24"/>
        </w:rPr>
        <w:t xml:space="preserve">tier 1 advice letter which </w:t>
      </w:r>
      <w:r w:rsidRPr="0031664B" w:rsidR="001C6B25">
        <w:rPr>
          <w:rFonts w:ascii="Palatino Linotype" w:hAnsi="Palatino Linotype"/>
          <w:sz w:val="24"/>
          <w:szCs w:val="24"/>
        </w:rPr>
        <w:t xml:space="preserve">was </w:t>
      </w:r>
      <w:r w:rsidRPr="0031664B">
        <w:rPr>
          <w:rFonts w:ascii="Palatino Linotype" w:hAnsi="Palatino Linotype"/>
          <w:sz w:val="24"/>
          <w:szCs w:val="24"/>
        </w:rPr>
        <w:t>approved by Energy Division staff.</w:t>
      </w:r>
      <w:r w:rsidRPr="0031664B">
        <w:rPr>
          <w:rFonts w:ascii="Palatino Linotype" w:hAnsi="Palatino Linotype"/>
          <w:sz w:val="24"/>
          <w:szCs w:val="24"/>
          <w:vertAlign w:val="superscript"/>
        </w:rPr>
        <w:footnoteReference w:id="3"/>
      </w:r>
      <w:r w:rsidRPr="0031664B">
        <w:rPr>
          <w:rFonts w:ascii="Palatino Linotype" w:hAnsi="Palatino Linotype"/>
          <w:sz w:val="24"/>
          <w:szCs w:val="24"/>
          <w:vertAlign w:val="superscript"/>
        </w:rPr>
        <w:t xml:space="preserve"> </w:t>
      </w:r>
      <w:r w:rsidRPr="0031664B" w:rsidR="00B87259">
        <w:rPr>
          <w:rFonts w:ascii="Palatino Linotype" w:hAnsi="Palatino Linotype"/>
          <w:sz w:val="24"/>
          <w:szCs w:val="24"/>
        </w:rPr>
        <w:t>PG&amp;E</w:t>
      </w:r>
      <w:r w:rsidRPr="0031664B">
        <w:rPr>
          <w:rFonts w:ascii="Palatino Linotype" w:hAnsi="Palatino Linotype"/>
          <w:sz w:val="24"/>
          <w:szCs w:val="24"/>
        </w:rPr>
        <w:t xml:space="preserve">’s short-term Market Offer included </w:t>
      </w:r>
      <w:r w:rsidRPr="0031664B" w:rsidR="001C6B25">
        <w:rPr>
          <w:rFonts w:ascii="Palatino Linotype" w:hAnsi="Palatino Linotype"/>
          <w:sz w:val="24"/>
          <w:szCs w:val="24"/>
        </w:rPr>
        <w:t>only remaining</w:t>
      </w:r>
      <w:r w:rsidRPr="0031664B">
        <w:rPr>
          <w:rFonts w:ascii="Palatino Linotype" w:hAnsi="Palatino Linotype"/>
          <w:sz w:val="24"/>
          <w:szCs w:val="24"/>
        </w:rPr>
        <w:t xml:space="preserve"> short-term contracts</w:t>
      </w:r>
      <w:r w:rsidRPr="0031664B" w:rsidR="001C6B25">
        <w:rPr>
          <w:rFonts w:ascii="Palatino Linotype" w:hAnsi="Palatino Linotype"/>
          <w:sz w:val="24"/>
          <w:szCs w:val="24"/>
        </w:rPr>
        <w:t>.</w:t>
      </w:r>
      <w:r w:rsidRPr="0031664B">
        <w:rPr>
          <w:rFonts w:ascii="Palatino Linotype" w:hAnsi="Palatino Linotype"/>
          <w:sz w:val="24"/>
          <w:szCs w:val="24"/>
        </w:rPr>
        <w:t xml:space="preserve"> </w:t>
      </w:r>
      <w:r w:rsidRPr="0031664B" w:rsidR="001C6B25">
        <w:rPr>
          <w:rFonts w:ascii="Palatino Linotype" w:hAnsi="Palatino Linotype"/>
          <w:sz w:val="24"/>
          <w:szCs w:val="24"/>
        </w:rPr>
        <w:t xml:space="preserve">PG&amp;E’s long-term Market Offer included both </w:t>
      </w:r>
      <w:r w:rsidRPr="0031664B">
        <w:rPr>
          <w:rFonts w:ascii="Palatino Linotype" w:hAnsi="Palatino Linotype"/>
          <w:sz w:val="24"/>
          <w:szCs w:val="24"/>
        </w:rPr>
        <w:t>short-term portions of long-term contracts</w:t>
      </w:r>
      <w:r w:rsidRPr="0031664B" w:rsidR="001C6B25">
        <w:rPr>
          <w:rFonts w:ascii="Palatino Linotype" w:hAnsi="Palatino Linotype"/>
          <w:sz w:val="24"/>
          <w:szCs w:val="24"/>
        </w:rPr>
        <w:t xml:space="preserve"> and long-term portions of its long-term contracts</w:t>
      </w:r>
      <w:r w:rsidRPr="0031664B">
        <w:rPr>
          <w:rFonts w:ascii="Palatino Linotype" w:hAnsi="Palatino Linotype"/>
          <w:sz w:val="24"/>
          <w:szCs w:val="24"/>
        </w:rPr>
        <w:t xml:space="preserve">. PG&amp;E sought approval for the short-term portion of its long-term contracts via </w:t>
      </w:r>
      <w:r w:rsidRPr="0031664B" w:rsidR="00432C03">
        <w:rPr>
          <w:rFonts w:ascii="Palatino Linotype" w:hAnsi="Palatino Linotype"/>
          <w:sz w:val="24"/>
          <w:szCs w:val="24"/>
        </w:rPr>
        <w:t>advice letter 6961-E.</w:t>
      </w:r>
    </w:p>
    <w:p w:rsidRPr="0031664B" w:rsidR="00D04F04" w:rsidP="00D04F04" w:rsidRDefault="00D04F04" w14:paraId="2E68A093" w14:textId="77777777">
      <w:pPr>
        <w:rPr>
          <w:rFonts w:ascii="Palatino Linotype" w:hAnsi="Palatino Linotype"/>
          <w:sz w:val="24"/>
          <w:szCs w:val="24"/>
        </w:rPr>
      </w:pPr>
    </w:p>
    <w:p w:rsidRPr="0031664B" w:rsidR="00A61EB2" w:rsidP="00D04F04" w:rsidRDefault="00A61EB2" w14:paraId="2C9FC826" w14:textId="7DAA70F7">
      <w:pPr>
        <w:rPr>
          <w:rFonts w:ascii="Palatino Linotype" w:hAnsi="Palatino Linotype"/>
          <w:sz w:val="24"/>
          <w:szCs w:val="24"/>
        </w:rPr>
      </w:pPr>
      <w:r w:rsidRPr="0031664B">
        <w:rPr>
          <w:rFonts w:ascii="Palatino Linotype" w:hAnsi="Palatino Linotype"/>
          <w:sz w:val="24"/>
          <w:szCs w:val="24"/>
        </w:rPr>
        <w:t>PG&amp;E filed advice letter 6977-E on June 30, 2023</w:t>
      </w:r>
      <w:r w:rsidRPr="0031664B" w:rsidR="00FB5DDB">
        <w:rPr>
          <w:rFonts w:ascii="Palatino Linotype" w:hAnsi="Palatino Linotype"/>
          <w:sz w:val="24"/>
          <w:szCs w:val="24"/>
        </w:rPr>
        <w:t>, requesting approval of long-term Market Offer agreements with the Counterparties, which we address here</w:t>
      </w:r>
      <w:r w:rsidRPr="0031664B">
        <w:rPr>
          <w:rFonts w:ascii="Palatino Linotype" w:hAnsi="Palatino Linotype"/>
          <w:sz w:val="24"/>
          <w:szCs w:val="24"/>
        </w:rPr>
        <w:t>.</w:t>
      </w:r>
    </w:p>
    <w:p w:rsidRPr="0031664B" w:rsidR="00612BCE" w:rsidP="00612BCE" w:rsidRDefault="00612BCE" w14:paraId="68F43A63" w14:textId="1FAEA7FC">
      <w:pPr>
        <w:pStyle w:val="Heading1"/>
        <w:rPr>
          <w:rFonts w:ascii="Palatino Linotype" w:hAnsi="Palatino Linotype"/>
          <w:sz w:val="24"/>
          <w:szCs w:val="24"/>
        </w:rPr>
      </w:pPr>
      <w:r w:rsidRPr="0031664B">
        <w:rPr>
          <w:rFonts w:ascii="Palatino Linotype" w:hAnsi="Palatino Linotype"/>
          <w:sz w:val="24"/>
          <w:szCs w:val="24"/>
        </w:rPr>
        <w:t>Notice</w:t>
      </w:r>
    </w:p>
    <w:p w:rsidRPr="0031664B" w:rsidR="00612BCE" w:rsidP="00612BCE" w:rsidRDefault="00B87259" w14:paraId="7C70D62E" w14:textId="33987843">
      <w:pPr>
        <w:rPr>
          <w:rFonts w:ascii="Palatino Linotype" w:hAnsi="Palatino Linotype"/>
          <w:sz w:val="24"/>
          <w:szCs w:val="24"/>
        </w:rPr>
      </w:pPr>
      <w:r w:rsidRPr="0031664B">
        <w:rPr>
          <w:rFonts w:ascii="Palatino Linotype" w:hAnsi="Palatino Linotype"/>
          <w:sz w:val="24"/>
          <w:szCs w:val="24"/>
        </w:rPr>
        <w:t>Pacific Gas and Electric</w:t>
      </w:r>
      <w:r w:rsidRPr="0031664B" w:rsidR="00612BCE">
        <w:rPr>
          <w:rFonts w:ascii="Palatino Linotype" w:hAnsi="Palatino Linotype"/>
          <w:sz w:val="24"/>
          <w:szCs w:val="24"/>
        </w:rPr>
        <w:t xml:space="preserve"> Company states that a copy of Advice Letter </w:t>
      </w:r>
      <w:r w:rsidRPr="0031664B" w:rsidR="00C648D6">
        <w:rPr>
          <w:rFonts w:ascii="Palatino Linotype" w:hAnsi="Palatino Linotype"/>
          <w:sz w:val="24"/>
          <w:szCs w:val="24"/>
        </w:rPr>
        <w:t>6977</w:t>
      </w:r>
      <w:r w:rsidRPr="0031664B" w:rsidR="00612BCE">
        <w:rPr>
          <w:rFonts w:ascii="Palatino Linotype" w:hAnsi="Palatino Linotype"/>
          <w:sz w:val="24"/>
          <w:szCs w:val="24"/>
        </w:rPr>
        <w:t xml:space="preserve">-E was mailed and distributed to the R.18-07-003 service list in accordance with Section 4 of General Order 96-B. </w:t>
      </w:r>
    </w:p>
    <w:p w:rsidRPr="0031664B" w:rsidR="00612BCE" w:rsidP="00612BCE" w:rsidRDefault="00612BCE" w14:paraId="12F45008" w14:textId="77777777">
      <w:pPr>
        <w:pStyle w:val="Heading1"/>
        <w:rPr>
          <w:rFonts w:ascii="Palatino Linotype" w:hAnsi="Palatino Linotype"/>
          <w:sz w:val="24"/>
          <w:szCs w:val="24"/>
        </w:rPr>
      </w:pPr>
      <w:r w:rsidRPr="0031664B">
        <w:rPr>
          <w:rFonts w:ascii="Palatino Linotype" w:hAnsi="Palatino Linotype"/>
          <w:sz w:val="24"/>
          <w:szCs w:val="24"/>
        </w:rPr>
        <w:t>Protests</w:t>
      </w:r>
    </w:p>
    <w:p w:rsidRPr="0031664B" w:rsidR="00612BCE" w:rsidP="00612BCE" w:rsidRDefault="00B87259" w14:paraId="41AEEB85" w14:textId="7498F639">
      <w:pPr>
        <w:rPr>
          <w:rFonts w:ascii="Palatino Linotype" w:hAnsi="Palatino Linotype"/>
          <w:sz w:val="24"/>
          <w:szCs w:val="24"/>
        </w:rPr>
      </w:pPr>
      <w:r w:rsidRPr="0031664B">
        <w:rPr>
          <w:rFonts w:ascii="Palatino Linotype" w:hAnsi="Palatino Linotype"/>
          <w:sz w:val="24"/>
          <w:szCs w:val="24"/>
        </w:rPr>
        <w:t>PG&amp;E</w:t>
      </w:r>
      <w:r w:rsidRPr="0031664B" w:rsidR="00612BCE">
        <w:rPr>
          <w:rFonts w:ascii="Palatino Linotype" w:hAnsi="Palatino Linotype"/>
          <w:sz w:val="24"/>
          <w:szCs w:val="24"/>
        </w:rPr>
        <w:t xml:space="preserve"> Advice Letter </w:t>
      </w:r>
      <w:r w:rsidRPr="0031664B" w:rsidR="00C648D6">
        <w:rPr>
          <w:rFonts w:ascii="Palatino Linotype" w:hAnsi="Palatino Linotype"/>
          <w:sz w:val="24"/>
          <w:szCs w:val="24"/>
        </w:rPr>
        <w:t>6977</w:t>
      </w:r>
      <w:r w:rsidRPr="0031664B" w:rsidR="00612BCE">
        <w:rPr>
          <w:rFonts w:ascii="Palatino Linotype" w:hAnsi="Palatino Linotype"/>
          <w:sz w:val="24"/>
          <w:szCs w:val="24"/>
        </w:rPr>
        <w:t xml:space="preserve">-E was not protested.  </w:t>
      </w:r>
    </w:p>
    <w:p w:rsidRPr="0031664B" w:rsidR="00612BCE" w:rsidP="00612BCE" w:rsidRDefault="00612BCE" w14:paraId="5B565FAC" w14:textId="77777777">
      <w:pPr>
        <w:pStyle w:val="Heading1"/>
        <w:rPr>
          <w:rFonts w:ascii="Palatino Linotype" w:hAnsi="Palatino Linotype"/>
          <w:sz w:val="24"/>
          <w:szCs w:val="24"/>
        </w:rPr>
      </w:pPr>
      <w:r w:rsidRPr="0031664B">
        <w:rPr>
          <w:rFonts w:ascii="Palatino Linotype" w:hAnsi="Palatino Linotype"/>
          <w:sz w:val="24"/>
          <w:szCs w:val="24"/>
        </w:rPr>
        <w:lastRenderedPageBreak/>
        <w:t>Discussion</w:t>
      </w:r>
    </w:p>
    <w:p w:rsidRPr="0031664B" w:rsidR="00612BCE" w:rsidP="00612BCE" w:rsidRDefault="00B87259" w14:paraId="1BA12E1E" w14:textId="42ED56FC">
      <w:pPr>
        <w:rPr>
          <w:rFonts w:ascii="Palatino Linotype" w:hAnsi="Palatino Linotype"/>
          <w:b/>
          <w:sz w:val="24"/>
          <w:szCs w:val="24"/>
        </w:rPr>
      </w:pPr>
      <w:r w:rsidRPr="0031664B">
        <w:rPr>
          <w:rFonts w:ascii="Palatino Linotype" w:hAnsi="Palatino Linotype"/>
          <w:b/>
          <w:sz w:val="24"/>
          <w:szCs w:val="24"/>
        </w:rPr>
        <w:t>Pacific Gas and Electric</w:t>
      </w:r>
      <w:r w:rsidRPr="0031664B" w:rsidR="00612BCE">
        <w:rPr>
          <w:rFonts w:ascii="Palatino Linotype" w:hAnsi="Palatino Linotype"/>
          <w:b/>
          <w:sz w:val="24"/>
          <w:szCs w:val="24"/>
        </w:rPr>
        <w:t xml:space="preserve"> Company (</w:t>
      </w:r>
      <w:r w:rsidRPr="0031664B">
        <w:rPr>
          <w:rFonts w:ascii="Palatino Linotype" w:hAnsi="Palatino Linotype"/>
          <w:b/>
          <w:sz w:val="24"/>
          <w:szCs w:val="24"/>
        </w:rPr>
        <w:t>PG&amp;E</w:t>
      </w:r>
      <w:r w:rsidRPr="0031664B" w:rsidR="00612BCE">
        <w:rPr>
          <w:rFonts w:ascii="Palatino Linotype" w:hAnsi="Palatino Linotype"/>
          <w:b/>
          <w:sz w:val="24"/>
          <w:szCs w:val="24"/>
        </w:rPr>
        <w:t xml:space="preserve">) requests approval of </w:t>
      </w:r>
      <w:r w:rsidRPr="0031664B" w:rsidR="00C23995">
        <w:rPr>
          <w:rFonts w:ascii="Palatino Linotype" w:hAnsi="Palatino Linotype"/>
          <w:b/>
          <w:sz w:val="24"/>
          <w:szCs w:val="24"/>
        </w:rPr>
        <w:t>Market Offer A</w:t>
      </w:r>
      <w:r w:rsidRPr="0031664B" w:rsidR="00612BCE">
        <w:rPr>
          <w:rFonts w:ascii="Palatino Linotype" w:hAnsi="Palatino Linotype"/>
          <w:b/>
          <w:sz w:val="24"/>
          <w:szCs w:val="24"/>
        </w:rPr>
        <w:t>greement</w:t>
      </w:r>
      <w:r w:rsidRPr="0031664B" w:rsidR="00D820C8">
        <w:rPr>
          <w:rFonts w:ascii="Palatino Linotype" w:hAnsi="Palatino Linotype"/>
          <w:b/>
          <w:sz w:val="24"/>
          <w:szCs w:val="24"/>
        </w:rPr>
        <w:t>s</w:t>
      </w:r>
      <w:r w:rsidRPr="0031664B" w:rsidR="00612BCE">
        <w:rPr>
          <w:rFonts w:ascii="Palatino Linotype" w:hAnsi="Palatino Linotype"/>
          <w:b/>
          <w:sz w:val="24"/>
          <w:szCs w:val="24"/>
        </w:rPr>
        <w:t xml:space="preserve"> with </w:t>
      </w:r>
      <w:r w:rsidRPr="0031664B" w:rsidR="00C32920">
        <w:rPr>
          <w:rFonts w:ascii="Palatino Linotype" w:hAnsi="Palatino Linotype"/>
          <w:b/>
          <w:sz w:val="24"/>
          <w:szCs w:val="24"/>
        </w:rPr>
        <w:t>t</w:t>
      </w:r>
      <w:r w:rsidRPr="0031664B" w:rsidR="00E552A8">
        <w:rPr>
          <w:rFonts w:ascii="Palatino Linotype" w:hAnsi="Palatino Linotype"/>
          <w:b/>
          <w:sz w:val="24"/>
          <w:szCs w:val="24"/>
        </w:rPr>
        <w:t>he Counterparties</w:t>
      </w:r>
      <w:r w:rsidRPr="0031664B" w:rsidR="00612BCE">
        <w:rPr>
          <w:rFonts w:ascii="Palatino Linotype" w:hAnsi="Palatino Linotype"/>
          <w:b/>
          <w:sz w:val="24"/>
          <w:szCs w:val="24"/>
        </w:rPr>
        <w:t xml:space="preserve">.  </w:t>
      </w:r>
    </w:p>
    <w:p w:rsidRPr="0031664B" w:rsidR="00612BCE" w:rsidP="00612BCE" w:rsidRDefault="00612BCE" w14:paraId="1172E634" w14:textId="77777777">
      <w:pPr>
        <w:rPr>
          <w:rFonts w:ascii="Palatino Linotype" w:hAnsi="Palatino Linotype"/>
          <w:sz w:val="24"/>
          <w:szCs w:val="24"/>
        </w:rPr>
      </w:pPr>
    </w:p>
    <w:p w:rsidRPr="0031664B" w:rsidR="00612BCE" w:rsidP="00612BCE" w:rsidRDefault="00612BCE" w14:paraId="7FF6204B" w14:textId="4640F5B4">
      <w:pPr>
        <w:rPr>
          <w:rFonts w:ascii="Palatino Linotype" w:hAnsi="Palatino Linotype"/>
          <w:sz w:val="24"/>
          <w:szCs w:val="24"/>
        </w:rPr>
      </w:pPr>
      <w:r w:rsidRPr="0031664B">
        <w:rPr>
          <w:rFonts w:ascii="Palatino Linotype" w:hAnsi="Palatino Linotype"/>
          <w:sz w:val="24"/>
          <w:szCs w:val="24"/>
        </w:rPr>
        <w:t xml:space="preserve">In </w:t>
      </w:r>
      <w:r w:rsidRPr="0031664B" w:rsidR="009B1E0E">
        <w:rPr>
          <w:rFonts w:ascii="Palatino Linotype" w:hAnsi="Palatino Linotype"/>
          <w:sz w:val="24"/>
          <w:szCs w:val="24"/>
        </w:rPr>
        <w:t xml:space="preserve">March </w:t>
      </w:r>
      <w:r w:rsidRPr="0031664B">
        <w:rPr>
          <w:rFonts w:ascii="Palatino Linotype" w:hAnsi="Palatino Linotype"/>
          <w:sz w:val="24"/>
          <w:szCs w:val="24"/>
        </w:rPr>
        <w:t>20</w:t>
      </w:r>
      <w:r w:rsidRPr="0031664B" w:rsidR="009B1E0E">
        <w:rPr>
          <w:rFonts w:ascii="Palatino Linotype" w:hAnsi="Palatino Linotype"/>
          <w:sz w:val="24"/>
          <w:szCs w:val="24"/>
        </w:rPr>
        <w:t>23</w:t>
      </w:r>
      <w:r w:rsidRPr="0031664B">
        <w:rPr>
          <w:rFonts w:ascii="Palatino Linotype" w:hAnsi="Palatino Linotype"/>
          <w:sz w:val="24"/>
          <w:szCs w:val="24"/>
        </w:rPr>
        <w:t xml:space="preserve">, </w:t>
      </w:r>
      <w:r w:rsidRPr="0031664B" w:rsidR="00B87259">
        <w:rPr>
          <w:rFonts w:ascii="Palatino Linotype" w:hAnsi="Palatino Linotype"/>
          <w:sz w:val="24"/>
          <w:szCs w:val="24"/>
        </w:rPr>
        <w:t>PG&amp;E</w:t>
      </w:r>
      <w:r w:rsidRPr="0031664B">
        <w:rPr>
          <w:rFonts w:ascii="Palatino Linotype" w:hAnsi="Palatino Linotype"/>
          <w:sz w:val="24"/>
          <w:szCs w:val="24"/>
        </w:rPr>
        <w:t xml:space="preserve"> launched its RPS </w:t>
      </w:r>
      <w:r w:rsidRPr="0031664B" w:rsidR="009B1E0E">
        <w:rPr>
          <w:rFonts w:ascii="Palatino Linotype" w:hAnsi="Palatino Linotype"/>
          <w:sz w:val="24"/>
          <w:szCs w:val="24"/>
        </w:rPr>
        <w:t xml:space="preserve">Long-Term Market Offer solicitation for </w:t>
      </w:r>
      <w:r w:rsidR="00DC743D">
        <w:rPr>
          <w:rFonts w:ascii="Palatino Linotype" w:hAnsi="Palatino Linotype"/>
          <w:sz w:val="24"/>
          <w:szCs w:val="24"/>
        </w:rPr>
        <w:br/>
      </w:r>
      <w:r w:rsidRPr="0031664B" w:rsidR="00D820C8">
        <w:rPr>
          <w:rFonts w:ascii="Palatino Linotype" w:hAnsi="Palatino Linotype"/>
          <w:sz w:val="24"/>
          <w:szCs w:val="24"/>
        </w:rPr>
        <w:t xml:space="preserve">RPS-eligible energy and associated </w:t>
      </w:r>
      <w:r w:rsidRPr="0031664B">
        <w:rPr>
          <w:rFonts w:ascii="Palatino Linotype" w:hAnsi="Palatino Linotype"/>
          <w:sz w:val="24"/>
          <w:szCs w:val="24"/>
        </w:rPr>
        <w:t>Renewable Energy Credit</w:t>
      </w:r>
      <w:r w:rsidRPr="0031664B" w:rsidR="009B1E0E">
        <w:rPr>
          <w:rFonts w:ascii="Palatino Linotype" w:hAnsi="Palatino Linotype"/>
          <w:sz w:val="24"/>
          <w:szCs w:val="24"/>
        </w:rPr>
        <w:t>s</w:t>
      </w:r>
      <w:r w:rsidRPr="0031664B">
        <w:rPr>
          <w:rFonts w:ascii="Palatino Linotype" w:hAnsi="Palatino Linotype"/>
          <w:sz w:val="24"/>
          <w:szCs w:val="24"/>
        </w:rPr>
        <w:t xml:space="preserve"> (REC).  On </w:t>
      </w:r>
      <w:r w:rsidRPr="0031664B" w:rsidR="001B40FA">
        <w:rPr>
          <w:rFonts w:ascii="Palatino Linotype" w:hAnsi="Palatino Linotype"/>
          <w:sz w:val="24"/>
          <w:szCs w:val="24"/>
        </w:rPr>
        <w:t xml:space="preserve">June </w:t>
      </w:r>
      <w:r w:rsidRPr="0031664B" w:rsidR="00C648D6">
        <w:rPr>
          <w:rFonts w:ascii="Palatino Linotype" w:hAnsi="Palatino Linotype"/>
          <w:sz w:val="24"/>
          <w:szCs w:val="24"/>
        </w:rPr>
        <w:t>30</w:t>
      </w:r>
      <w:r w:rsidRPr="0031664B">
        <w:rPr>
          <w:rFonts w:ascii="Palatino Linotype" w:hAnsi="Palatino Linotype"/>
          <w:sz w:val="24"/>
          <w:szCs w:val="24"/>
        </w:rPr>
        <w:t>, 20</w:t>
      </w:r>
      <w:r w:rsidRPr="0031664B" w:rsidR="001B40FA">
        <w:rPr>
          <w:rFonts w:ascii="Palatino Linotype" w:hAnsi="Palatino Linotype"/>
          <w:sz w:val="24"/>
          <w:szCs w:val="24"/>
        </w:rPr>
        <w:t>23</w:t>
      </w:r>
      <w:r w:rsidRPr="0031664B" w:rsidR="002D7766">
        <w:rPr>
          <w:rFonts w:ascii="Palatino Linotype" w:hAnsi="Palatino Linotype"/>
          <w:sz w:val="24"/>
          <w:szCs w:val="24"/>
        </w:rPr>
        <w:t>,</w:t>
      </w:r>
      <w:r w:rsidRPr="0031664B">
        <w:rPr>
          <w:rFonts w:ascii="Palatino Linotype" w:hAnsi="Palatino Linotype"/>
          <w:sz w:val="24"/>
          <w:szCs w:val="24"/>
        </w:rPr>
        <w:t xml:space="preserve"> </w:t>
      </w:r>
      <w:r w:rsidRPr="0031664B" w:rsidR="00B87259">
        <w:rPr>
          <w:rFonts w:ascii="Palatino Linotype" w:hAnsi="Palatino Linotype"/>
          <w:sz w:val="24"/>
          <w:szCs w:val="24"/>
        </w:rPr>
        <w:t>PG&amp;E</w:t>
      </w:r>
      <w:r w:rsidRPr="0031664B">
        <w:rPr>
          <w:rFonts w:ascii="Palatino Linotype" w:hAnsi="Palatino Linotype"/>
          <w:sz w:val="24"/>
          <w:szCs w:val="24"/>
        </w:rPr>
        <w:t xml:space="preserve"> filed AL </w:t>
      </w:r>
      <w:r w:rsidRPr="0031664B" w:rsidR="00C648D6">
        <w:rPr>
          <w:rFonts w:ascii="Palatino Linotype" w:hAnsi="Palatino Linotype"/>
          <w:sz w:val="24"/>
          <w:szCs w:val="24"/>
        </w:rPr>
        <w:t>6977</w:t>
      </w:r>
      <w:r w:rsidRPr="0031664B">
        <w:rPr>
          <w:rFonts w:ascii="Palatino Linotype" w:hAnsi="Palatino Linotype"/>
          <w:sz w:val="24"/>
          <w:szCs w:val="24"/>
        </w:rPr>
        <w:t xml:space="preserve">-E requesting approval of </w:t>
      </w:r>
      <w:r w:rsidRPr="0031664B" w:rsidR="0005368D">
        <w:rPr>
          <w:rFonts w:ascii="Palatino Linotype" w:hAnsi="Palatino Linotype"/>
          <w:sz w:val="24"/>
          <w:szCs w:val="24"/>
        </w:rPr>
        <w:t>long-</w:t>
      </w:r>
      <w:r w:rsidRPr="0031664B">
        <w:rPr>
          <w:rFonts w:ascii="Palatino Linotype" w:hAnsi="Palatino Linotype"/>
          <w:sz w:val="24"/>
          <w:szCs w:val="24"/>
        </w:rPr>
        <w:t xml:space="preserve">term </w:t>
      </w:r>
      <w:r w:rsidRPr="0031664B" w:rsidR="0005368D">
        <w:rPr>
          <w:rFonts w:ascii="Palatino Linotype" w:hAnsi="Palatino Linotype"/>
          <w:sz w:val="24"/>
          <w:szCs w:val="24"/>
        </w:rPr>
        <w:t>Market Offer</w:t>
      </w:r>
      <w:r w:rsidRPr="0031664B">
        <w:rPr>
          <w:rFonts w:ascii="Palatino Linotype" w:hAnsi="Palatino Linotype"/>
          <w:sz w:val="24"/>
          <w:szCs w:val="24"/>
        </w:rPr>
        <w:t xml:space="preserve"> agreement</w:t>
      </w:r>
      <w:r w:rsidRPr="0031664B" w:rsidR="00D820C8">
        <w:rPr>
          <w:rFonts w:ascii="Palatino Linotype" w:hAnsi="Palatino Linotype"/>
          <w:sz w:val="24"/>
          <w:szCs w:val="24"/>
        </w:rPr>
        <w:t>s</w:t>
      </w:r>
      <w:r w:rsidRPr="0031664B">
        <w:rPr>
          <w:rFonts w:ascii="Palatino Linotype" w:hAnsi="Palatino Linotype"/>
          <w:sz w:val="24"/>
          <w:szCs w:val="24"/>
        </w:rPr>
        <w:t xml:space="preserve"> with </w:t>
      </w:r>
      <w:r w:rsidRPr="0031664B" w:rsidR="00A61EB2">
        <w:rPr>
          <w:rFonts w:ascii="Palatino Linotype" w:hAnsi="Palatino Linotype"/>
          <w:sz w:val="24"/>
          <w:szCs w:val="24"/>
        </w:rPr>
        <w:t>t</w:t>
      </w:r>
      <w:r w:rsidRPr="0031664B" w:rsidR="00E552A8">
        <w:rPr>
          <w:rFonts w:ascii="Palatino Linotype" w:hAnsi="Palatino Linotype"/>
          <w:sz w:val="24"/>
          <w:szCs w:val="24"/>
        </w:rPr>
        <w:t>he Counterparties</w:t>
      </w:r>
      <w:r w:rsidRPr="0031664B">
        <w:rPr>
          <w:rFonts w:ascii="Palatino Linotype" w:hAnsi="Palatino Linotype"/>
          <w:sz w:val="24"/>
          <w:szCs w:val="24"/>
        </w:rPr>
        <w:t xml:space="preserve">. In AL </w:t>
      </w:r>
      <w:r w:rsidRPr="0031664B" w:rsidR="00C648D6">
        <w:rPr>
          <w:rFonts w:ascii="Palatino Linotype" w:hAnsi="Palatino Linotype"/>
          <w:sz w:val="24"/>
          <w:szCs w:val="24"/>
        </w:rPr>
        <w:t>6977</w:t>
      </w:r>
      <w:r w:rsidRPr="0031664B">
        <w:rPr>
          <w:rFonts w:ascii="Palatino Linotype" w:hAnsi="Palatino Linotype"/>
          <w:sz w:val="24"/>
          <w:szCs w:val="24"/>
        </w:rPr>
        <w:t xml:space="preserve">-E, </w:t>
      </w:r>
      <w:r w:rsidRPr="0031664B" w:rsidR="00B87259">
        <w:rPr>
          <w:rFonts w:ascii="Palatino Linotype" w:hAnsi="Palatino Linotype"/>
          <w:sz w:val="24"/>
          <w:szCs w:val="24"/>
        </w:rPr>
        <w:t>PG&amp;E</w:t>
      </w:r>
      <w:r w:rsidRPr="0031664B">
        <w:rPr>
          <w:rFonts w:ascii="Palatino Linotype" w:hAnsi="Palatino Linotype"/>
          <w:sz w:val="24"/>
          <w:szCs w:val="24"/>
        </w:rPr>
        <w:t xml:space="preserve"> asserts that the </w:t>
      </w:r>
      <w:r w:rsidRPr="0031664B" w:rsidR="00DA0FDE">
        <w:rPr>
          <w:rFonts w:ascii="Palatino Linotype" w:hAnsi="Palatino Linotype"/>
          <w:sz w:val="24"/>
          <w:szCs w:val="24"/>
        </w:rPr>
        <w:t>Market Offer Agreement</w:t>
      </w:r>
      <w:r w:rsidRPr="0031664B" w:rsidR="00D820C8">
        <w:rPr>
          <w:rFonts w:ascii="Palatino Linotype" w:hAnsi="Palatino Linotype"/>
          <w:sz w:val="24"/>
          <w:szCs w:val="24"/>
        </w:rPr>
        <w:t>s</w:t>
      </w:r>
      <w:r w:rsidRPr="0031664B">
        <w:rPr>
          <w:rFonts w:ascii="Palatino Linotype" w:hAnsi="Palatino Linotype"/>
          <w:sz w:val="24"/>
          <w:szCs w:val="24"/>
        </w:rPr>
        <w:t xml:space="preserve"> (</w:t>
      </w:r>
      <w:r w:rsidRPr="0031664B" w:rsidR="00432C03">
        <w:rPr>
          <w:rFonts w:ascii="Palatino Linotype" w:hAnsi="Palatino Linotype"/>
          <w:sz w:val="24"/>
          <w:szCs w:val="24"/>
        </w:rPr>
        <w:t>Transactions</w:t>
      </w:r>
      <w:r w:rsidRPr="0031664B">
        <w:rPr>
          <w:rFonts w:ascii="Palatino Linotype" w:hAnsi="Palatino Linotype"/>
          <w:sz w:val="24"/>
          <w:szCs w:val="24"/>
        </w:rPr>
        <w:t xml:space="preserve">) </w:t>
      </w:r>
      <w:r w:rsidRPr="0031664B" w:rsidR="0005368D">
        <w:rPr>
          <w:rFonts w:ascii="Palatino Linotype" w:hAnsi="Palatino Linotype"/>
          <w:sz w:val="24"/>
          <w:szCs w:val="24"/>
        </w:rPr>
        <w:t>compl</w:t>
      </w:r>
      <w:r w:rsidRPr="0031664B" w:rsidR="00FB5DDB">
        <w:rPr>
          <w:rFonts w:ascii="Palatino Linotype" w:hAnsi="Palatino Linotype"/>
          <w:sz w:val="24"/>
          <w:szCs w:val="24"/>
        </w:rPr>
        <w:t>y</w:t>
      </w:r>
      <w:r w:rsidRPr="0031664B" w:rsidR="0005368D">
        <w:rPr>
          <w:rFonts w:ascii="Palatino Linotype" w:hAnsi="Palatino Linotype"/>
          <w:sz w:val="24"/>
          <w:szCs w:val="24"/>
        </w:rPr>
        <w:t xml:space="preserve"> with the guidance to hold a </w:t>
      </w:r>
      <w:r w:rsidRPr="0031664B" w:rsidR="002A7EEC">
        <w:rPr>
          <w:rFonts w:ascii="Palatino Linotype" w:hAnsi="Palatino Linotype"/>
          <w:sz w:val="24"/>
          <w:szCs w:val="24"/>
        </w:rPr>
        <w:t xml:space="preserve">long-term Market Offer solicitation </w:t>
      </w:r>
      <w:r w:rsidRPr="0031664B" w:rsidR="003946D2">
        <w:rPr>
          <w:rFonts w:ascii="Palatino Linotype" w:hAnsi="Palatino Linotype"/>
          <w:sz w:val="24"/>
          <w:szCs w:val="24"/>
        </w:rPr>
        <w:t xml:space="preserve">directed </w:t>
      </w:r>
      <w:r w:rsidRPr="0031664B" w:rsidR="002A7EEC">
        <w:rPr>
          <w:rFonts w:ascii="Palatino Linotype" w:hAnsi="Palatino Linotype"/>
          <w:sz w:val="24"/>
          <w:szCs w:val="24"/>
        </w:rPr>
        <w:t>in D.22-11-021</w:t>
      </w:r>
      <w:r w:rsidRPr="0031664B">
        <w:rPr>
          <w:rFonts w:ascii="Palatino Linotype" w:hAnsi="Palatino Linotype"/>
          <w:sz w:val="24"/>
          <w:szCs w:val="24"/>
        </w:rPr>
        <w:t xml:space="preserve">. The revenues from this transaction will be credited to </w:t>
      </w:r>
      <w:r w:rsidR="00DC743D">
        <w:rPr>
          <w:rFonts w:ascii="Palatino Linotype" w:hAnsi="Palatino Linotype"/>
          <w:sz w:val="24"/>
          <w:szCs w:val="24"/>
        </w:rPr>
        <w:br/>
      </w:r>
      <w:r w:rsidRPr="0031664B" w:rsidR="00B87259">
        <w:rPr>
          <w:rFonts w:ascii="Palatino Linotype" w:hAnsi="Palatino Linotype"/>
          <w:sz w:val="24"/>
          <w:szCs w:val="24"/>
        </w:rPr>
        <w:t>PG&amp;E</w:t>
      </w:r>
      <w:r w:rsidRPr="0031664B">
        <w:rPr>
          <w:rFonts w:ascii="Palatino Linotype" w:hAnsi="Palatino Linotype"/>
          <w:sz w:val="24"/>
          <w:szCs w:val="24"/>
        </w:rPr>
        <w:t xml:space="preserve">’s ratepayers through </w:t>
      </w:r>
      <w:r w:rsidRPr="0031664B" w:rsidR="00B87259">
        <w:rPr>
          <w:rFonts w:ascii="Palatino Linotype" w:hAnsi="Palatino Linotype"/>
          <w:sz w:val="24"/>
          <w:szCs w:val="24"/>
        </w:rPr>
        <w:t>PG&amp;E</w:t>
      </w:r>
      <w:r w:rsidRPr="0031664B">
        <w:rPr>
          <w:rFonts w:ascii="Palatino Linotype" w:hAnsi="Palatino Linotype"/>
          <w:sz w:val="24"/>
          <w:szCs w:val="24"/>
        </w:rPr>
        <w:t xml:space="preserve">’s </w:t>
      </w:r>
      <w:r w:rsidRPr="0031664B" w:rsidR="00D820C8">
        <w:rPr>
          <w:rFonts w:ascii="Palatino Linotype" w:hAnsi="Palatino Linotype"/>
          <w:sz w:val="24"/>
          <w:szCs w:val="24"/>
        </w:rPr>
        <w:t>Portfolio Allocation Balancing</w:t>
      </w:r>
      <w:r w:rsidRPr="0031664B">
        <w:rPr>
          <w:rFonts w:ascii="Palatino Linotype" w:hAnsi="Palatino Linotype"/>
          <w:sz w:val="24"/>
          <w:szCs w:val="24"/>
        </w:rPr>
        <w:t xml:space="preserve"> Account. </w:t>
      </w:r>
    </w:p>
    <w:p w:rsidRPr="0031664B" w:rsidR="00612BCE" w:rsidP="00612BCE" w:rsidRDefault="00612BCE" w14:paraId="2041E16C" w14:textId="77777777">
      <w:pPr>
        <w:rPr>
          <w:rFonts w:ascii="Palatino Linotype" w:hAnsi="Palatino Linotype"/>
          <w:sz w:val="24"/>
          <w:szCs w:val="24"/>
        </w:rPr>
      </w:pPr>
    </w:p>
    <w:p w:rsidRPr="0031664B" w:rsidR="00963BFC" w:rsidP="009D53C9" w:rsidRDefault="00612BCE" w14:paraId="15998E26" w14:textId="20511A94">
      <w:pPr>
        <w:rPr>
          <w:rFonts w:ascii="Palatino Linotype" w:hAnsi="Palatino Linotype"/>
          <w:sz w:val="24"/>
          <w:szCs w:val="24"/>
        </w:rPr>
      </w:pPr>
      <w:r w:rsidRPr="0031664B" w:rsidDel="009A54AA">
        <w:rPr>
          <w:rFonts w:ascii="Palatino Linotype" w:hAnsi="Palatino Linotype"/>
          <w:sz w:val="24"/>
          <w:szCs w:val="24"/>
        </w:rPr>
        <w:t xml:space="preserve">Pursuant to the </w:t>
      </w:r>
      <w:r w:rsidRPr="0031664B" w:rsidR="00432C03">
        <w:rPr>
          <w:rFonts w:ascii="Palatino Linotype" w:hAnsi="Palatino Linotype"/>
          <w:sz w:val="24"/>
          <w:szCs w:val="24"/>
        </w:rPr>
        <w:t>Transactions</w:t>
      </w:r>
      <w:r w:rsidRPr="0031664B" w:rsidDel="009A54AA">
        <w:rPr>
          <w:rFonts w:ascii="Palatino Linotype" w:hAnsi="Palatino Linotype"/>
          <w:sz w:val="24"/>
          <w:szCs w:val="24"/>
        </w:rPr>
        <w:t xml:space="preserve">, </w:t>
      </w:r>
      <w:r w:rsidRPr="0031664B" w:rsidR="00B87259">
        <w:rPr>
          <w:rFonts w:ascii="Palatino Linotype" w:hAnsi="Palatino Linotype"/>
          <w:sz w:val="24"/>
          <w:szCs w:val="24"/>
        </w:rPr>
        <w:t>PG&amp;E</w:t>
      </w:r>
      <w:r w:rsidRPr="0031664B" w:rsidDel="009A54AA">
        <w:rPr>
          <w:rFonts w:ascii="Palatino Linotype" w:hAnsi="Palatino Linotype"/>
          <w:sz w:val="24"/>
          <w:szCs w:val="24"/>
        </w:rPr>
        <w:t xml:space="preserve"> </w:t>
      </w:r>
      <w:r w:rsidRPr="0031664B" w:rsidR="006E444F">
        <w:rPr>
          <w:rFonts w:ascii="Palatino Linotype" w:hAnsi="Palatino Linotype"/>
          <w:sz w:val="24"/>
          <w:szCs w:val="24"/>
        </w:rPr>
        <w:t>forecasts selling</w:t>
      </w:r>
      <w:r w:rsidRPr="0031664B" w:rsidDel="009A54AA" w:rsidR="006E444F">
        <w:rPr>
          <w:rFonts w:ascii="Palatino Linotype" w:hAnsi="Palatino Linotype"/>
          <w:sz w:val="24"/>
          <w:szCs w:val="24"/>
        </w:rPr>
        <w:t xml:space="preserve"> </w:t>
      </w:r>
      <w:r w:rsidRPr="0031664B" w:rsidR="001C2176">
        <w:rPr>
          <w:rFonts w:ascii="Palatino Linotype" w:hAnsi="Palatino Linotype"/>
          <w:sz w:val="24"/>
          <w:szCs w:val="24"/>
        </w:rPr>
        <w:t>23,403,961</w:t>
      </w:r>
      <w:r w:rsidRPr="0031664B" w:rsidDel="001413FC" w:rsidR="001413FC">
        <w:rPr>
          <w:rFonts w:ascii="Palatino Linotype" w:hAnsi="Palatino Linotype"/>
          <w:sz w:val="24"/>
          <w:szCs w:val="24"/>
        </w:rPr>
        <w:t xml:space="preserve"> </w:t>
      </w:r>
      <w:r w:rsidRPr="0031664B" w:rsidDel="009A54AA">
        <w:rPr>
          <w:rFonts w:ascii="Palatino Linotype" w:hAnsi="Palatino Linotype"/>
          <w:sz w:val="24"/>
          <w:szCs w:val="24"/>
        </w:rPr>
        <w:t xml:space="preserve">megawatt-hours (MWh) of RPS-eligible energy and associated RECs to </w:t>
      </w:r>
      <w:r w:rsidRPr="0031664B" w:rsidR="00C32920">
        <w:rPr>
          <w:rFonts w:ascii="Palatino Linotype" w:hAnsi="Palatino Linotype"/>
          <w:sz w:val="24"/>
          <w:szCs w:val="24"/>
        </w:rPr>
        <w:t>t</w:t>
      </w:r>
      <w:r w:rsidRPr="0031664B" w:rsidR="00E552A8">
        <w:rPr>
          <w:rFonts w:ascii="Palatino Linotype" w:hAnsi="Palatino Linotype"/>
          <w:sz w:val="24"/>
          <w:szCs w:val="24"/>
        </w:rPr>
        <w:t>he Counterparties</w:t>
      </w:r>
      <w:r w:rsidRPr="0031664B" w:rsidR="006E444F">
        <w:rPr>
          <w:rFonts w:ascii="Palatino Linotype" w:hAnsi="Palatino Linotype"/>
          <w:sz w:val="24"/>
          <w:szCs w:val="24"/>
        </w:rPr>
        <w:t xml:space="preserve"> between 2023 and 204</w:t>
      </w:r>
      <w:r w:rsidRPr="0031664B" w:rsidR="001C2176">
        <w:rPr>
          <w:rFonts w:ascii="Palatino Linotype" w:hAnsi="Palatino Linotype"/>
          <w:sz w:val="24"/>
          <w:szCs w:val="24"/>
        </w:rPr>
        <w:t>3</w:t>
      </w:r>
      <w:r w:rsidRPr="0031664B" w:rsidDel="009A54AA">
        <w:rPr>
          <w:rFonts w:ascii="Palatino Linotype" w:hAnsi="Palatino Linotype"/>
          <w:sz w:val="24"/>
          <w:szCs w:val="24"/>
        </w:rPr>
        <w:t xml:space="preserve">.  </w:t>
      </w:r>
      <w:r w:rsidRPr="0031664B">
        <w:rPr>
          <w:rFonts w:ascii="Palatino Linotype" w:hAnsi="Palatino Linotype"/>
          <w:sz w:val="24"/>
          <w:szCs w:val="24"/>
        </w:rPr>
        <w:t xml:space="preserve">The RPS-eligible generation and associated RECs will come from facilities that are currently operating and providing deliveries to </w:t>
      </w:r>
      <w:r w:rsidRPr="0031664B" w:rsidR="00B87259">
        <w:rPr>
          <w:rFonts w:ascii="Palatino Linotype" w:hAnsi="Palatino Linotype"/>
          <w:sz w:val="24"/>
          <w:szCs w:val="24"/>
        </w:rPr>
        <w:t>PG&amp;E</w:t>
      </w:r>
      <w:r w:rsidRPr="0031664B">
        <w:rPr>
          <w:rFonts w:ascii="Palatino Linotype" w:hAnsi="Palatino Linotype"/>
          <w:sz w:val="24"/>
          <w:szCs w:val="24"/>
        </w:rPr>
        <w:t xml:space="preserve"> pursuant to CPUC-approved contracts.  The facilities from which </w:t>
      </w:r>
      <w:r w:rsidRPr="0031664B" w:rsidR="00B87259">
        <w:rPr>
          <w:rFonts w:ascii="Palatino Linotype" w:hAnsi="Palatino Linotype"/>
          <w:sz w:val="24"/>
          <w:szCs w:val="24"/>
        </w:rPr>
        <w:t>PG&amp;E</w:t>
      </w:r>
      <w:r w:rsidRPr="0031664B">
        <w:rPr>
          <w:rFonts w:ascii="Palatino Linotype" w:hAnsi="Palatino Linotype"/>
          <w:sz w:val="24"/>
          <w:szCs w:val="24"/>
        </w:rPr>
        <w:t xml:space="preserve"> </w:t>
      </w:r>
      <w:r w:rsidRPr="0031664B" w:rsidR="0058793B">
        <w:rPr>
          <w:rFonts w:ascii="Palatino Linotype" w:hAnsi="Palatino Linotype"/>
          <w:sz w:val="24"/>
          <w:szCs w:val="24"/>
        </w:rPr>
        <w:t>will transfer PCIA</w:t>
      </w:r>
      <w:r w:rsidRPr="0031664B">
        <w:rPr>
          <w:rFonts w:ascii="Palatino Linotype" w:hAnsi="Palatino Linotype"/>
          <w:sz w:val="24"/>
          <w:szCs w:val="24"/>
        </w:rPr>
        <w:t xml:space="preserve">-eligible energy and associated RECs to </w:t>
      </w:r>
      <w:r w:rsidRPr="0031664B" w:rsidR="00FB5DDB">
        <w:rPr>
          <w:rFonts w:ascii="Palatino Linotype" w:hAnsi="Palatino Linotype"/>
          <w:sz w:val="24"/>
          <w:szCs w:val="24"/>
        </w:rPr>
        <w:t>t</w:t>
      </w:r>
      <w:r w:rsidRPr="0031664B" w:rsidR="00E552A8">
        <w:rPr>
          <w:rFonts w:ascii="Palatino Linotype" w:hAnsi="Palatino Linotype"/>
          <w:sz w:val="24"/>
          <w:szCs w:val="24"/>
        </w:rPr>
        <w:t>he Counterparties</w:t>
      </w:r>
      <w:r w:rsidRPr="0031664B" w:rsidR="0058793B">
        <w:rPr>
          <w:rFonts w:ascii="Palatino Linotype" w:hAnsi="Palatino Linotype"/>
          <w:sz w:val="24"/>
          <w:szCs w:val="24"/>
        </w:rPr>
        <w:t xml:space="preserve"> </w:t>
      </w:r>
      <w:r w:rsidRPr="0031664B">
        <w:rPr>
          <w:rFonts w:ascii="Palatino Linotype" w:hAnsi="Palatino Linotype"/>
          <w:sz w:val="24"/>
          <w:szCs w:val="24"/>
        </w:rPr>
        <w:t>are listed in Table 2 below</w:t>
      </w:r>
      <w:r w:rsidRPr="0031664B" w:rsidR="0058793B">
        <w:rPr>
          <w:rFonts w:ascii="Palatino Linotype" w:hAnsi="Palatino Linotype"/>
          <w:sz w:val="24"/>
          <w:szCs w:val="24"/>
        </w:rPr>
        <w:t xml:space="preserve">, but subject to change as </w:t>
      </w:r>
      <w:r w:rsidRPr="0031664B" w:rsidR="00D820C8">
        <w:rPr>
          <w:rFonts w:ascii="Palatino Linotype" w:hAnsi="Palatino Linotype"/>
          <w:sz w:val="24"/>
          <w:szCs w:val="24"/>
        </w:rPr>
        <w:t xml:space="preserve">its </w:t>
      </w:r>
      <w:r w:rsidRPr="0031664B" w:rsidR="0058793B">
        <w:rPr>
          <w:rFonts w:ascii="Palatino Linotype" w:hAnsi="Palatino Linotype"/>
          <w:sz w:val="24"/>
          <w:szCs w:val="24"/>
        </w:rPr>
        <w:t>PCIA portfolio changes</w:t>
      </w:r>
      <w:r w:rsidRPr="0031664B">
        <w:rPr>
          <w:rFonts w:ascii="Palatino Linotype" w:hAnsi="Palatino Linotype"/>
          <w:sz w:val="24"/>
          <w:szCs w:val="24"/>
        </w:rPr>
        <w:t xml:space="preserve">.  All </w:t>
      </w:r>
      <w:r w:rsidRPr="0031664B" w:rsidR="00B5031A">
        <w:rPr>
          <w:rFonts w:ascii="Palatino Linotype" w:hAnsi="Palatino Linotype"/>
          <w:sz w:val="24"/>
          <w:szCs w:val="24"/>
        </w:rPr>
        <w:t xml:space="preserve">the </w:t>
      </w:r>
      <w:r w:rsidRPr="0031664B">
        <w:rPr>
          <w:rFonts w:ascii="Palatino Linotype" w:hAnsi="Palatino Linotype"/>
          <w:sz w:val="24"/>
          <w:szCs w:val="24"/>
        </w:rPr>
        <w:t>facilities are located in California and interconnected to the California Independent System Operator (CAISO) balancing authority.</w:t>
      </w:r>
    </w:p>
    <w:p w:rsidRPr="0031664B" w:rsidR="009D53C9" w:rsidP="009D53C9" w:rsidRDefault="009D53C9" w14:paraId="0DB46BB5" w14:textId="77777777">
      <w:pPr>
        <w:rPr>
          <w:rFonts w:ascii="Palatino Linotype" w:hAnsi="Palatino Linotype"/>
          <w:sz w:val="24"/>
          <w:szCs w:val="24"/>
        </w:rPr>
      </w:pPr>
    </w:p>
    <w:p w:rsidRPr="0031664B" w:rsidR="00612BCE" w:rsidP="009D53C9" w:rsidRDefault="00612BCE" w14:paraId="166A3F60" w14:textId="7CFA90BE">
      <w:pPr>
        <w:keepLines/>
        <w:rPr>
          <w:rFonts w:ascii="Palatino Linotype" w:hAnsi="Palatino Linotype"/>
          <w:sz w:val="24"/>
          <w:szCs w:val="24"/>
        </w:rPr>
      </w:pPr>
    </w:p>
    <w:p w:rsidRPr="0031664B" w:rsidR="002C6931" w:rsidP="009D53C9" w:rsidRDefault="009D53C9" w14:paraId="32804C7B" w14:textId="209F3E4E">
      <w:pPr>
        <w:jc w:val="center"/>
        <w:rPr>
          <w:rFonts w:ascii="Palatino Linotype" w:hAnsi="Palatino Linotype"/>
          <w:sz w:val="24"/>
          <w:szCs w:val="24"/>
        </w:rPr>
      </w:pPr>
      <w:r w:rsidRPr="0031664B">
        <w:rPr>
          <w:rFonts w:ascii="Palatino Linotype" w:hAnsi="Palatino Linotype"/>
          <w:b/>
          <w:bCs/>
          <w:sz w:val="24"/>
          <w:szCs w:val="24"/>
        </w:rPr>
        <w:lastRenderedPageBreak/>
        <w:t xml:space="preserve">TABLE 2 – List of </w:t>
      </w:r>
      <w:r w:rsidRPr="0031664B" w:rsidR="005C76BA">
        <w:rPr>
          <w:rFonts w:ascii="Palatino Linotype" w:hAnsi="Palatino Linotype"/>
          <w:b/>
          <w:bCs/>
          <w:sz w:val="24"/>
          <w:szCs w:val="24"/>
        </w:rPr>
        <w:t>Long-Term</w:t>
      </w:r>
      <w:r w:rsidRPr="0031664B">
        <w:rPr>
          <w:rFonts w:ascii="Palatino Linotype" w:hAnsi="Palatino Linotype"/>
          <w:b/>
          <w:bCs/>
          <w:sz w:val="24"/>
          <w:szCs w:val="24"/>
        </w:rPr>
        <w:t xml:space="preserve"> Resource Pool (Products C and E)</w:t>
      </w:r>
      <w:r w:rsidRPr="0031664B" w:rsidR="00F90F15">
        <w:rPr>
          <w:rFonts w:ascii="Palatino Linotype" w:hAnsi="Palatino Linotype"/>
          <w:b/>
          <w:bCs/>
          <w:sz w:val="24"/>
          <w:szCs w:val="24"/>
        </w:rPr>
        <w:br/>
      </w:r>
      <w:r w:rsidRPr="0031664B">
        <w:rPr>
          <w:rFonts w:ascii="Palatino Linotype" w:hAnsi="Palatino Linotype"/>
          <w:noProof/>
          <w:sz w:val="24"/>
          <w:szCs w:val="24"/>
        </w:rPr>
        <w:drawing>
          <wp:inline distT="0" distB="0" distL="0" distR="0" wp14:anchorId="4FD45B10" wp14:editId="1D3B8E03">
            <wp:extent cx="5581366" cy="7429500"/>
            <wp:effectExtent l="0" t="0" r="635" b="0"/>
            <wp:docPr id="1057702989"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702989" name="Picture 1" descr="Table&#10;&#10;Description automatically generated"/>
                    <pic:cNvPicPr/>
                  </pic:nvPicPr>
                  <pic:blipFill>
                    <a:blip r:embed="rId10"/>
                    <a:stretch>
                      <a:fillRect/>
                    </a:stretch>
                  </pic:blipFill>
                  <pic:spPr>
                    <a:xfrm>
                      <a:off x="0" y="0"/>
                      <a:ext cx="5593657" cy="7445861"/>
                    </a:xfrm>
                    <a:prstGeom prst="rect">
                      <a:avLst/>
                    </a:prstGeom>
                  </pic:spPr>
                </pic:pic>
              </a:graphicData>
            </a:graphic>
          </wp:inline>
        </w:drawing>
      </w:r>
      <w:r w:rsidRPr="0031664B" w:rsidR="00F90F15">
        <w:rPr>
          <w:rFonts w:ascii="Palatino Linotype" w:hAnsi="Palatino Linotype"/>
          <w:sz w:val="24"/>
          <w:szCs w:val="24"/>
        </w:rPr>
        <w:br/>
      </w:r>
      <w:r w:rsidRPr="0031664B" w:rsidR="00F90F15">
        <w:rPr>
          <w:rFonts w:ascii="Palatino Linotype" w:hAnsi="Palatino Linotype"/>
          <w:sz w:val="24"/>
          <w:szCs w:val="24"/>
        </w:rPr>
        <w:br/>
      </w:r>
      <w:r w:rsidRPr="0031664B">
        <w:rPr>
          <w:rFonts w:ascii="Palatino Linotype" w:hAnsi="Palatino Linotype"/>
          <w:noProof/>
          <w:sz w:val="24"/>
          <w:szCs w:val="24"/>
        </w:rPr>
        <w:lastRenderedPageBreak/>
        <w:drawing>
          <wp:inline distT="0" distB="0" distL="0" distR="0" wp14:anchorId="7BAC4CE5" wp14:editId="36E7DD37">
            <wp:extent cx="5706271" cy="8183117"/>
            <wp:effectExtent l="0" t="0" r="8890" b="8890"/>
            <wp:docPr id="1397274270"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274270" name="Picture 1" descr="Tab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706271" cy="8183117"/>
                    </a:xfrm>
                    <a:prstGeom prst="rect">
                      <a:avLst/>
                    </a:prstGeom>
                  </pic:spPr>
                </pic:pic>
              </a:graphicData>
            </a:graphic>
          </wp:inline>
        </w:drawing>
      </w:r>
      <w:r w:rsidRPr="0031664B" w:rsidR="00F90F15">
        <w:rPr>
          <w:rFonts w:ascii="Palatino Linotype" w:hAnsi="Palatino Linotype"/>
          <w:sz w:val="24"/>
          <w:szCs w:val="24"/>
        </w:rPr>
        <w:br/>
      </w:r>
      <w:r w:rsidRPr="0031664B">
        <w:rPr>
          <w:rFonts w:ascii="Palatino Linotype" w:hAnsi="Palatino Linotype"/>
          <w:noProof/>
          <w:sz w:val="24"/>
          <w:szCs w:val="24"/>
        </w:rPr>
        <w:lastRenderedPageBreak/>
        <w:drawing>
          <wp:inline distT="0" distB="0" distL="0" distR="0" wp14:anchorId="130A31EA" wp14:editId="0929A040">
            <wp:extent cx="5772956" cy="6887536"/>
            <wp:effectExtent l="0" t="0" r="0" b="8890"/>
            <wp:docPr id="1905039137"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039137" name="Picture 1" descr="Table&#10;&#10;Description automatically generated"/>
                    <pic:cNvPicPr/>
                  </pic:nvPicPr>
                  <pic:blipFill>
                    <a:blip r:embed="rId12"/>
                    <a:stretch>
                      <a:fillRect/>
                    </a:stretch>
                  </pic:blipFill>
                  <pic:spPr>
                    <a:xfrm>
                      <a:off x="0" y="0"/>
                      <a:ext cx="5772956" cy="6887536"/>
                    </a:xfrm>
                    <a:prstGeom prst="rect">
                      <a:avLst/>
                    </a:prstGeom>
                  </pic:spPr>
                </pic:pic>
              </a:graphicData>
            </a:graphic>
          </wp:inline>
        </w:drawing>
      </w:r>
    </w:p>
    <w:p w:rsidRPr="0031664B" w:rsidR="00612BCE" w:rsidP="00DB545E" w:rsidRDefault="00F90F15" w14:paraId="50EBAD43" w14:textId="338FB30C">
      <w:pPr>
        <w:rPr>
          <w:rFonts w:ascii="Palatino Linotype" w:hAnsi="Palatino Linotype"/>
          <w:b/>
          <w:sz w:val="24"/>
          <w:szCs w:val="24"/>
        </w:rPr>
      </w:pPr>
      <w:r w:rsidRPr="0031664B">
        <w:rPr>
          <w:rFonts w:ascii="Palatino Linotype" w:hAnsi="Palatino Linotype"/>
          <w:sz w:val="24"/>
          <w:szCs w:val="24"/>
        </w:rPr>
        <w:br/>
      </w:r>
      <w:r w:rsidRPr="0031664B">
        <w:rPr>
          <w:rFonts w:ascii="Palatino Linotype" w:hAnsi="Palatino Linotype"/>
          <w:sz w:val="24"/>
          <w:szCs w:val="24"/>
        </w:rPr>
        <w:br/>
      </w:r>
      <w:r w:rsidRPr="0031664B">
        <w:rPr>
          <w:rFonts w:ascii="Palatino Linotype" w:hAnsi="Palatino Linotype"/>
          <w:sz w:val="24"/>
          <w:szCs w:val="24"/>
        </w:rPr>
        <w:br/>
      </w:r>
      <w:r w:rsidRPr="0031664B">
        <w:rPr>
          <w:rFonts w:ascii="Palatino Linotype" w:hAnsi="Palatino Linotype"/>
          <w:sz w:val="24"/>
          <w:szCs w:val="24"/>
        </w:rPr>
        <w:br/>
      </w:r>
      <w:r w:rsidRPr="0031664B">
        <w:rPr>
          <w:rFonts w:ascii="Palatino Linotype" w:hAnsi="Palatino Linotype"/>
          <w:sz w:val="24"/>
          <w:szCs w:val="24"/>
        </w:rPr>
        <w:lastRenderedPageBreak/>
        <w:br/>
      </w:r>
      <w:r w:rsidRPr="0031664B" w:rsidR="00B87259">
        <w:rPr>
          <w:rFonts w:ascii="Palatino Linotype" w:hAnsi="Palatino Linotype"/>
          <w:b/>
          <w:sz w:val="24"/>
          <w:szCs w:val="24"/>
        </w:rPr>
        <w:t>PG&amp;E</w:t>
      </w:r>
      <w:r w:rsidRPr="0031664B" w:rsidR="00612BCE">
        <w:rPr>
          <w:rFonts w:ascii="Palatino Linotype" w:hAnsi="Palatino Linotype"/>
          <w:b/>
          <w:sz w:val="24"/>
          <w:szCs w:val="24"/>
        </w:rPr>
        <w:t xml:space="preserve"> requests that the Commission issue a resolution that:</w:t>
      </w:r>
    </w:p>
    <w:p w:rsidRPr="0031664B" w:rsidR="00612BCE" w:rsidP="006B29FE" w:rsidRDefault="00F90F15" w14:paraId="76927641" w14:textId="6503D536">
      <w:pPr>
        <w:pStyle w:val="ListParagraph"/>
        <w:numPr>
          <w:ilvl w:val="0"/>
          <w:numId w:val="9"/>
        </w:numPr>
        <w:tabs>
          <w:tab w:val="left" w:pos="1530"/>
        </w:tabs>
        <w:ind w:left="810" w:hanging="450"/>
        <w:rPr>
          <w:rFonts w:ascii="Palatino Linotype" w:hAnsi="Palatino Linotype"/>
          <w:sz w:val="24"/>
          <w:szCs w:val="24"/>
        </w:rPr>
      </w:pPr>
      <w:r w:rsidRPr="0031664B">
        <w:rPr>
          <w:rFonts w:ascii="Palatino Linotype" w:hAnsi="Palatino Linotype"/>
          <w:sz w:val="24"/>
          <w:szCs w:val="24"/>
        </w:rPr>
        <w:t>a</w:t>
      </w:r>
      <w:r w:rsidRPr="0031664B" w:rsidR="00612BCE">
        <w:rPr>
          <w:rFonts w:ascii="Palatino Linotype" w:hAnsi="Palatino Linotype"/>
          <w:sz w:val="24"/>
          <w:szCs w:val="24"/>
        </w:rPr>
        <w:t xml:space="preserve">pproves the </w:t>
      </w:r>
      <w:r w:rsidRPr="0031664B" w:rsidR="00432C03">
        <w:rPr>
          <w:rFonts w:ascii="Palatino Linotype" w:hAnsi="Palatino Linotype"/>
          <w:sz w:val="24"/>
          <w:szCs w:val="24"/>
        </w:rPr>
        <w:t>Transactions</w:t>
      </w:r>
      <w:r w:rsidRPr="0031664B" w:rsidR="00612BCE">
        <w:rPr>
          <w:rFonts w:ascii="Palatino Linotype" w:hAnsi="Palatino Linotype"/>
          <w:sz w:val="24"/>
          <w:szCs w:val="24"/>
        </w:rPr>
        <w:t xml:space="preserve"> between </w:t>
      </w:r>
      <w:r w:rsidRPr="0031664B" w:rsidR="00B87259">
        <w:rPr>
          <w:rFonts w:ascii="Palatino Linotype" w:hAnsi="Palatino Linotype"/>
          <w:sz w:val="24"/>
          <w:szCs w:val="24"/>
        </w:rPr>
        <w:t>PG&amp;E</w:t>
      </w:r>
      <w:r w:rsidRPr="0031664B" w:rsidR="00612BCE">
        <w:rPr>
          <w:rFonts w:ascii="Palatino Linotype" w:hAnsi="Palatino Linotype"/>
          <w:sz w:val="24"/>
          <w:szCs w:val="24"/>
        </w:rPr>
        <w:t xml:space="preserve"> and </w:t>
      </w:r>
      <w:r w:rsidRPr="0031664B" w:rsidR="00BF65F0">
        <w:rPr>
          <w:rFonts w:ascii="Palatino Linotype" w:hAnsi="Palatino Linotype"/>
          <w:sz w:val="24"/>
          <w:szCs w:val="24"/>
        </w:rPr>
        <w:t>t</w:t>
      </w:r>
      <w:r w:rsidRPr="0031664B" w:rsidR="00E552A8">
        <w:rPr>
          <w:rFonts w:ascii="Palatino Linotype" w:hAnsi="Palatino Linotype"/>
          <w:sz w:val="24"/>
          <w:szCs w:val="24"/>
        </w:rPr>
        <w:t>he Counterparties</w:t>
      </w:r>
      <w:r w:rsidRPr="0031664B" w:rsidR="00612BCE">
        <w:rPr>
          <w:rFonts w:ascii="Palatino Linotype" w:hAnsi="Palatino Linotype"/>
          <w:sz w:val="24"/>
          <w:szCs w:val="24"/>
        </w:rPr>
        <w:t xml:space="preserve">, dated </w:t>
      </w:r>
      <w:r w:rsidR="00DC743D">
        <w:rPr>
          <w:rFonts w:ascii="Palatino Linotype" w:hAnsi="Palatino Linotype"/>
          <w:sz w:val="24"/>
          <w:szCs w:val="24"/>
        </w:rPr>
        <w:br/>
      </w:r>
      <w:r w:rsidRPr="0031664B" w:rsidR="002B59A5">
        <w:rPr>
          <w:rFonts w:ascii="Palatino Linotype" w:hAnsi="Palatino Linotype"/>
          <w:sz w:val="24"/>
          <w:szCs w:val="24"/>
        </w:rPr>
        <w:t>June 30</w:t>
      </w:r>
      <w:r w:rsidRPr="0031664B" w:rsidR="00612BCE">
        <w:rPr>
          <w:rFonts w:ascii="Palatino Linotype" w:hAnsi="Palatino Linotype"/>
          <w:sz w:val="24"/>
          <w:szCs w:val="24"/>
        </w:rPr>
        <w:t>, 20</w:t>
      </w:r>
      <w:r w:rsidRPr="0031664B" w:rsidR="003C2ABF">
        <w:rPr>
          <w:rFonts w:ascii="Palatino Linotype" w:hAnsi="Palatino Linotype"/>
          <w:sz w:val="24"/>
          <w:szCs w:val="24"/>
        </w:rPr>
        <w:t>23</w:t>
      </w:r>
      <w:r w:rsidRPr="0031664B" w:rsidR="00612BCE">
        <w:rPr>
          <w:rFonts w:ascii="Palatino Linotype" w:hAnsi="Palatino Linotype"/>
          <w:sz w:val="24"/>
          <w:szCs w:val="24"/>
        </w:rPr>
        <w:t xml:space="preserve">, </w:t>
      </w:r>
      <w:r w:rsidRPr="0031664B" w:rsidR="00E87E6A">
        <w:rPr>
          <w:rFonts w:ascii="Palatino Linotype" w:hAnsi="Palatino Linotype"/>
          <w:sz w:val="24"/>
          <w:szCs w:val="24"/>
        </w:rPr>
        <w:t>based on the guidance from</w:t>
      </w:r>
      <w:r w:rsidRPr="0031664B" w:rsidR="00612BCE">
        <w:rPr>
          <w:rFonts w:ascii="Palatino Linotype" w:hAnsi="Palatino Linotype"/>
          <w:sz w:val="24"/>
          <w:szCs w:val="24"/>
        </w:rPr>
        <w:t xml:space="preserve"> </w:t>
      </w:r>
      <w:r w:rsidRPr="0031664B" w:rsidR="00E87E6A">
        <w:rPr>
          <w:rFonts w:ascii="Palatino Linotype" w:hAnsi="Palatino Linotype"/>
          <w:sz w:val="24"/>
          <w:szCs w:val="24"/>
        </w:rPr>
        <w:t>D.22-11-021</w:t>
      </w:r>
      <w:r w:rsidRPr="0031664B" w:rsidR="00612BCE">
        <w:rPr>
          <w:rFonts w:ascii="Palatino Linotype" w:hAnsi="Palatino Linotype"/>
          <w:sz w:val="24"/>
          <w:szCs w:val="24"/>
        </w:rPr>
        <w:t>.</w:t>
      </w:r>
    </w:p>
    <w:p w:rsidRPr="0031664B" w:rsidR="00612BCE" w:rsidP="00612BCE" w:rsidRDefault="00612BCE" w14:paraId="6BCF9538" w14:textId="77777777">
      <w:pPr>
        <w:rPr>
          <w:rFonts w:ascii="Palatino Linotype" w:hAnsi="Palatino Linotype"/>
          <w:b/>
          <w:bCs/>
          <w:sz w:val="24"/>
          <w:szCs w:val="24"/>
        </w:rPr>
      </w:pPr>
      <w:r w:rsidRPr="0031664B">
        <w:rPr>
          <w:rFonts w:ascii="Palatino Linotype" w:hAnsi="Palatino Linotype"/>
          <w:b/>
          <w:bCs/>
          <w:sz w:val="24"/>
          <w:szCs w:val="24"/>
        </w:rPr>
        <w:t xml:space="preserve"> </w:t>
      </w:r>
    </w:p>
    <w:p w:rsidRPr="0031664B" w:rsidR="00612BCE" w:rsidP="00612BCE" w:rsidRDefault="00612BCE" w14:paraId="159C7E0E" w14:textId="2F71FDDE">
      <w:pPr>
        <w:rPr>
          <w:rFonts w:ascii="Palatino Linotype" w:hAnsi="Palatino Linotype"/>
          <w:b/>
          <w:bCs/>
          <w:sz w:val="24"/>
          <w:szCs w:val="24"/>
        </w:rPr>
      </w:pPr>
      <w:r w:rsidRPr="0031664B">
        <w:rPr>
          <w:rFonts w:ascii="Palatino Linotype" w:hAnsi="Palatino Linotype"/>
          <w:b/>
          <w:bCs/>
          <w:sz w:val="24"/>
          <w:szCs w:val="24"/>
        </w:rPr>
        <w:t xml:space="preserve">Energy Division evaluated the </w:t>
      </w:r>
      <w:r w:rsidRPr="0031664B" w:rsidR="00432C03">
        <w:rPr>
          <w:rFonts w:ascii="Palatino Linotype" w:hAnsi="Palatino Linotype"/>
          <w:b/>
          <w:sz w:val="24"/>
          <w:szCs w:val="24"/>
        </w:rPr>
        <w:t>Transactions</w:t>
      </w:r>
      <w:r w:rsidRPr="0031664B">
        <w:rPr>
          <w:rFonts w:ascii="Palatino Linotype" w:hAnsi="Palatino Linotype"/>
          <w:b/>
          <w:sz w:val="24"/>
          <w:szCs w:val="24"/>
        </w:rPr>
        <w:t xml:space="preserve"> with </w:t>
      </w:r>
      <w:r w:rsidRPr="0031664B" w:rsidR="007F56A0">
        <w:rPr>
          <w:rFonts w:ascii="Palatino Linotype" w:hAnsi="Palatino Linotype"/>
          <w:b/>
          <w:sz w:val="24"/>
          <w:szCs w:val="24"/>
        </w:rPr>
        <w:t>t</w:t>
      </w:r>
      <w:r w:rsidRPr="0031664B" w:rsidR="00E552A8">
        <w:rPr>
          <w:rFonts w:ascii="Palatino Linotype" w:hAnsi="Palatino Linotype"/>
          <w:b/>
          <w:sz w:val="24"/>
          <w:szCs w:val="24"/>
        </w:rPr>
        <w:t>he Counterparties</w:t>
      </w:r>
      <w:r w:rsidRPr="0031664B">
        <w:rPr>
          <w:rFonts w:ascii="Palatino Linotype" w:hAnsi="Palatino Linotype"/>
          <w:b/>
          <w:sz w:val="24"/>
          <w:szCs w:val="24"/>
        </w:rPr>
        <w:t xml:space="preserve"> </w:t>
      </w:r>
      <w:r w:rsidRPr="0031664B">
        <w:rPr>
          <w:rFonts w:ascii="Palatino Linotype" w:hAnsi="Palatino Linotype"/>
          <w:b/>
          <w:bCs/>
          <w:sz w:val="24"/>
          <w:szCs w:val="24"/>
        </w:rPr>
        <w:t>based on the following criteria:</w:t>
      </w:r>
    </w:p>
    <w:p w:rsidRPr="0031664B" w:rsidR="00612BCE" w:rsidP="00612BCE" w:rsidRDefault="00612BCE" w14:paraId="2F9CAA8A" w14:textId="77777777">
      <w:pPr>
        <w:rPr>
          <w:rFonts w:ascii="Palatino Linotype" w:hAnsi="Palatino Linotype"/>
          <w:b/>
          <w:bCs/>
          <w:sz w:val="24"/>
          <w:szCs w:val="24"/>
        </w:rPr>
      </w:pPr>
    </w:p>
    <w:p w:rsidRPr="0031664B" w:rsidR="00A57986" w:rsidP="00A57986" w:rsidRDefault="00A57986" w14:paraId="502ACD0F" w14:textId="77777777">
      <w:pPr>
        <w:pStyle w:val="ListParagraph"/>
        <w:numPr>
          <w:ilvl w:val="0"/>
          <w:numId w:val="5"/>
        </w:numPr>
        <w:rPr>
          <w:rFonts w:ascii="Palatino Linotype" w:hAnsi="Palatino Linotype"/>
          <w:sz w:val="24"/>
          <w:szCs w:val="24"/>
        </w:rPr>
      </w:pPr>
      <w:bookmarkStart w:name="_Hlk5701985" w:id="1"/>
      <w:r w:rsidRPr="0031664B">
        <w:rPr>
          <w:rFonts w:ascii="Palatino Linotype" w:hAnsi="Palatino Linotype"/>
          <w:sz w:val="24"/>
          <w:szCs w:val="24"/>
        </w:rPr>
        <w:t>Consistency with D.22-11-021;</w:t>
      </w:r>
    </w:p>
    <w:p w:rsidRPr="0031664B" w:rsidR="00A57986" w:rsidP="00612BCE" w:rsidRDefault="00612BCE" w14:paraId="23BEC7A2" w14:textId="4FA58093">
      <w:pPr>
        <w:pStyle w:val="ListParagraph"/>
        <w:numPr>
          <w:ilvl w:val="0"/>
          <w:numId w:val="5"/>
        </w:numPr>
        <w:rPr>
          <w:rFonts w:ascii="Palatino Linotype" w:hAnsi="Palatino Linotype"/>
          <w:sz w:val="24"/>
          <w:szCs w:val="24"/>
        </w:rPr>
      </w:pPr>
      <w:r w:rsidRPr="0031664B">
        <w:rPr>
          <w:rFonts w:ascii="Palatino Linotype" w:hAnsi="Palatino Linotype"/>
          <w:sz w:val="24"/>
          <w:szCs w:val="24"/>
        </w:rPr>
        <w:t xml:space="preserve">Consistency with </w:t>
      </w:r>
      <w:r w:rsidRPr="0031664B" w:rsidR="00B87259">
        <w:rPr>
          <w:rFonts w:ascii="Palatino Linotype" w:hAnsi="Palatino Linotype"/>
          <w:sz w:val="24"/>
          <w:szCs w:val="24"/>
        </w:rPr>
        <w:t>PG&amp;E</w:t>
      </w:r>
      <w:r w:rsidRPr="0031664B">
        <w:rPr>
          <w:rFonts w:ascii="Palatino Linotype" w:hAnsi="Palatino Linotype"/>
          <w:sz w:val="24"/>
          <w:szCs w:val="24"/>
        </w:rPr>
        <w:t xml:space="preserve">’s </w:t>
      </w:r>
      <w:r w:rsidRPr="0031664B" w:rsidR="00FD7690">
        <w:rPr>
          <w:rFonts w:ascii="Palatino Linotype" w:hAnsi="Palatino Linotype"/>
          <w:sz w:val="24"/>
          <w:szCs w:val="24"/>
        </w:rPr>
        <w:t xml:space="preserve">2022 </w:t>
      </w:r>
      <w:r w:rsidRPr="0031664B">
        <w:rPr>
          <w:rFonts w:ascii="Palatino Linotype" w:hAnsi="Palatino Linotype"/>
          <w:sz w:val="24"/>
          <w:szCs w:val="24"/>
        </w:rPr>
        <w:t>RPS Procurement Plan and RPS Portfolio Need;</w:t>
      </w:r>
    </w:p>
    <w:p w:rsidRPr="0031664B" w:rsidR="00612BCE" w:rsidP="00612BCE" w:rsidRDefault="00612BCE" w14:paraId="516C4CF3" w14:textId="77777777">
      <w:pPr>
        <w:pStyle w:val="ListParagraph"/>
        <w:numPr>
          <w:ilvl w:val="0"/>
          <w:numId w:val="5"/>
        </w:numPr>
        <w:rPr>
          <w:rFonts w:ascii="Palatino Linotype" w:hAnsi="Palatino Linotype"/>
          <w:sz w:val="24"/>
          <w:szCs w:val="24"/>
        </w:rPr>
      </w:pPr>
      <w:r w:rsidRPr="0031664B">
        <w:rPr>
          <w:rFonts w:ascii="Palatino Linotype" w:hAnsi="Palatino Linotype"/>
          <w:sz w:val="24"/>
          <w:szCs w:val="24"/>
        </w:rPr>
        <w:t>Cost Reasonableness and Valuation;</w:t>
      </w:r>
    </w:p>
    <w:p w:rsidRPr="0031664B" w:rsidR="00612BCE" w:rsidP="00612BCE" w:rsidRDefault="00612BCE" w14:paraId="42D0D94C" w14:textId="77777777">
      <w:pPr>
        <w:pStyle w:val="ListParagraph"/>
        <w:numPr>
          <w:ilvl w:val="0"/>
          <w:numId w:val="5"/>
        </w:numPr>
        <w:rPr>
          <w:rFonts w:ascii="Palatino Linotype" w:hAnsi="Palatino Linotype"/>
          <w:sz w:val="24"/>
          <w:szCs w:val="24"/>
        </w:rPr>
      </w:pPr>
      <w:r w:rsidRPr="0031664B">
        <w:rPr>
          <w:rFonts w:ascii="Palatino Linotype" w:hAnsi="Palatino Linotype"/>
          <w:sz w:val="24"/>
          <w:szCs w:val="24"/>
        </w:rPr>
        <w:t>Project Viability Assessment and Development Status;</w:t>
      </w:r>
    </w:p>
    <w:p w:rsidRPr="0031664B" w:rsidR="00612BCE" w:rsidP="00612BCE" w:rsidRDefault="00612BCE" w14:paraId="612D1C56" w14:textId="77777777">
      <w:pPr>
        <w:pStyle w:val="ListParagraph"/>
        <w:numPr>
          <w:ilvl w:val="0"/>
          <w:numId w:val="5"/>
        </w:numPr>
        <w:rPr>
          <w:rFonts w:ascii="Palatino Linotype" w:hAnsi="Palatino Linotype"/>
          <w:sz w:val="24"/>
          <w:szCs w:val="24"/>
        </w:rPr>
      </w:pPr>
      <w:r w:rsidRPr="0031664B">
        <w:rPr>
          <w:rFonts w:ascii="Palatino Linotype" w:hAnsi="Palatino Linotype"/>
          <w:sz w:val="24"/>
          <w:szCs w:val="24"/>
        </w:rPr>
        <w:t>Independent Evaluator Review;</w:t>
      </w:r>
    </w:p>
    <w:p w:rsidRPr="0031664B" w:rsidR="00612BCE" w:rsidP="00612BCE" w:rsidRDefault="00612BCE" w14:paraId="1AA50661" w14:textId="54853B6F">
      <w:pPr>
        <w:pStyle w:val="ListParagraph"/>
        <w:numPr>
          <w:ilvl w:val="0"/>
          <w:numId w:val="5"/>
        </w:numPr>
        <w:rPr>
          <w:rFonts w:ascii="Palatino Linotype" w:hAnsi="Palatino Linotype"/>
          <w:sz w:val="24"/>
          <w:szCs w:val="24"/>
        </w:rPr>
      </w:pPr>
      <w:r w:rsidRPr="0031664B">
        <w:rPr>
          <w:rFonts w:ascii="Palatino Linotype" w:hAnsi="Palatino Linotype"/>
          <w:sz w:val="24"/>
          <w:szCs w:val="24"/>
        </w:rPr>
        <w:t xml:space="preserve">Procurement Review Group Participation; </w:t>
      </w:r>
      <w:r w:rsidRPr="0031664B" w:rsidR="005D462A">
        <w:rPr>
          <w:rFonts w:ascii="Palatino Linotype" w:hAnsi="Palatino Linotype"/>
          <w:sz w:val="24"/>
          <w:szCs w:val="24"/>
        </w:rPr>
        <w:t>and</w:t>
      </w:r>
    </w:p>
    <w:p w:rsidRPr="0031664B" w:rsidR="00612BCE" w:rsidP="00612BCE" w:rsidRDefault="00612BCE" w14:paraId="47F289BC" w14:textId="77777777">
      <w:pPr>
        <w:pStyle w:val="ListParagraph"/>
        <w:numPr>
          <w:ilvl w:val="0"/>
          <w:numId w:val="5"/>
        </w:numPr>
        <w:rPr>
          <w:rFonts w:ascii="Palatino Linotype" w:hAnsi="Palatino Linotype"/>
          <w:sz w:val="24"/>
          <w:szCs w:val="24"/>
        </w:rPr>
      </w:pPr>
      <w:r w:rsidRPr="0031664B">
        <w:rPr>
          <w:rFonts w:ascii="Palatino Linotype" w:hAnsi="Palatino Linotype"/>
          <w:sz w:val="24"/>
          <w:szCs w:val="24"/>
        </w:rPr>
        <w:t>Safety Considerations.</w:t>
      </w:r>
    </w:p>
    <w:bookmarkEnd w:id="1"/>
    <w:p w:rsidRPr="0031664B" w:rsidR="00612BCE" w:rsidP="00612BCE" w:rsidRDefault="00612BCE" w14:paraId="3E9ACA9D" w14:textId="77777777">
      <w:pPr>
        <w:rPr>
          <w:rFonts w:ascii="Palatino Linotype" w:hAnsi="Palatino Linotype"/>
          <w:sz w:val="24"/>
          <w:szCs w:val="24"/>
        </w:rPr>
      </w:pPr>
    </w:p>
    <w:p w:rsidRPr="0031664B" w:rsidR="00A57986" w:rsidP="00A57986" w:rsidRDefault="00A57986" w14:paraId="6EAB8EFF" w14:textId="77777777">
      <w:pPr>
        <w:rPr>
          <w:rFonts w:ascii="Palatino Linotype" w:hAnsi="Palatino Linotype"/>
          <w:b/>
          <w:sz w:val="24"/>
          <w:szCs w:val="24"/>
        </w:rPr>
      </w:pPr>
      <w:r w:rsidRPr="0031664B">
        <w:rPr>
          <w:rFonts w:ascii="Palatino Linotype" w:hAnsi="Palatino Linotype"/>
          <w:b/>
          <w:sz w:val="24"/>
          <w:szCs w:val="24"/>
        </w:rPr>
        <w:t>Consistency with D.22-11-021</w:t>
      </w:r>
    </w:p>
    <w:p w:rsidRPr="0031664B" w:rsidR="00A57986" w:rsidP="00612BCE" w:rsidRDefault="00A57986" w14:paraId="0E32D2A2" w14:textId="77777777">
      <w:pPr>
        <w:rPr>
          <w:rFonts w:ascii="Palatino Linotype" w:hAnsi="Palatino Linotype"/>
          <w:b/>
          <w:sz w:val="24"/>
          <w:szCs w:val="24"/>
        </w:rPr>
      </w:pPr>
    </w:p>
    <w:p w:rsidRPr="0031664B" w:rsidR="00C7472C" w:rsidP="00011E04" w:rsidRDefault="00C54FA0" w14:paraId="084FF1A2" w14:textId="5F17639D">
      <w:pPr>
        <w:rPr>
          <w:rFonts w:ascii="Palatino Linotype" w:hAnsi="Palatino Linotype"/>
          <w:bCs/>
          <w:sz w:val="24"/>
          <w:szCs w:val="24"/>
        </w:rPr>
      </w:pPr>
      <w:r w:rsidRPr="0031664B">
        <w:rPr>
          <w:rFonts w:ascii="Palatino Linotype" w:hAnsi="Palatino Linotype"/>
          <w:bCs/>
          <w:sz w:val="24"/>
          <w:szCs w:val="24"/>
        </w:rPr>
        <w:t>D.22-11-021</w:t>
      </w:r>
      <w:r w:rsidRPr="0031664B" w:rsidR="00F9107F">
        <w:rPr>
          <w:rFonts w:ascii="Palatino Linotype" w:hAnsi="Palatino Linotype"/>
          <w:bCs/>
          <w:sz w:val="24"/>
          <w:szCs w:val="24"/>
        </w:rPr>
        <w:t xml:space="preserve"> </w:t>
      </w:r>
      <w:r w:rsidRPr="0031664B" w:rsidR="005D462A">
        <w:rPr>
          <w:rFonts w:ascii="Palatino Linotype" w:hAnsi="Palatino Linotype"/>
          <w:bCs/>
          <w:sz w:val="24"/>
          <w:szCs w:val="24"/>
        </w:rPr>
        <w:t>established</w:t>
      </w:r>
      <w:r w:rsidRPr="0031664B" w:rsidR="00F9107F">
        <w:rPr>
          <w:rFonts w:ascii="Palatino Linotype" w:hAnsi="Palatino Linotype"/>
          <w:bCs/>
          <w:sz w:val="24"/>
          <w:szCs w:val="24"/>
        </w:rPr>
        <w:t xml:space="preserve"> several require</w:t>
      </w:r>
      <w:r w:rsidRPr="0031664B" w:rsidR="006709D0">
        <w:rPr>
          <w:rFonts w:ascii="Palatino Linotype" w:hAnsi="Palatino Linotype"/>
          <w:bCs/>
          <w:sz w:val="24"/>
          <w:szCs w:val="24"/>
        </w:rPr>
        <w:t>ments for the</w:t>
      </w:r>
      <w:r w:rsidRPr="0031664B" w:rsidR="005D462A">
        <w:rPr>
          <w:rFonts w:ascii="Palatino Linotype" w:hAnsi="Palatino Linotype"/>
          <w:bCs/>
          <w:sz w:val="24"/>
          <w:szCs w:val="24"/>
        </w:rPr>
        <w:t xml:space="preserve"> IOUs’</w:t>
      </w:r>
      <w:r w:rsidRPr="0031664B" w:rsidR="006709D0">
        <w:rPr>
          <w:rFonts w:ascii="Palatino Linotype" w:hAnsi="Palatino Linotype"/>
          <w:bCs/>
          <w:sz w:val="24"/>
          <w:szCs w:val="24"/>
        </w:rPr>
        <w:t xml:space="preserve"> </w:t>
      </w:r>
      <w:r w:rsidRPr="0031664B" w:rsidR="00A608B1">
        <w:rPr>
          <w:rFonts w:ascii="Palatino Linotype" w:hAnsi="Palatino Linotype"/>
          <w:bCs/>
          <w:sz w:val="24"/>
          <w:szCs w:val="24"/>
        </w:rPr>
        <w:t>implementation</w:t>
      </w:r>
      <w:r w:rsidRPr="0031664B" w:rsidR="006709D0">
        <w:rPr>
          <w:rFonts w:ascii="Palatino Linotype" w:hAnsi="Palatino Linotype"/>
          <w:bCs/>
          <w:sz w:val="24"/>
          <w:szCs w:val="24"/>
        </w:rPr>
        <w:t xml:space="preserve"> of the </w:t>
      </w:r>
      <w:r w:rsidR="00DC743D">
        <w:rPr>
          <w:rFonts w:ascii="Palatino Linotype" w:hAnsi="Palatino Linotype"/>
          <w:bCs/>
          <w:sz w:val="24"/>
          <w:szCs w:val="24"/>
        </w:rPr>
        <w:br/>
      </w:r>
      <w:r w:rsidRPr="0031664B" w:rsidR="006709D0">
        <w:rPr>
          <w:rFonts w:ascii="Palatino Linotype" w:hAnsi="Palatino Linotype"/>
          <w:bCs/>
          <w:sz w:val="24"/>
          <w:szCs w:val="24"/>
        </w:rPr>
        <w:t>Long-Term Market Offer process</w:t>
      </w:r>
      <w:r w:rsidRPr="0031664B" w:rsidR="00C7472C">
        <w:rPr>
          <w:rFonts w:ascii="Palatino Linotype" w:hAnsi="Palatino Linotype"/>
          <w:bCs/>
          <w:sz w:val="24"/>
          <w:szCs w:val="24"/>
        </w:rPr>
        <w:t>:</w:t>
      </w:r>
    </w:p>
    <w:p w:rsidRPr="0031664B" w:rsidR="00C7472C" w:rsidP="00C7472C" w:rsidRDefault="00BF65F0" w14:paraId="5411BC12" w14:textId="1F556690">
      <w:pPr>
        <w:pStyle w:val="ListParagraph"/>
        <w:numPr>
          <w:ilvl w:val="0"/>
          <w:numId w:val="8"/>
        </w:numPr>
        <w:rPr>
          <w:rFonts w:ascii="Palatino Linotype" w:hAnsi="Palatino Linotype"/>
          <w:sz w:val="24"/>
          <w:szCs w:val="24"/>
        </w:rPr>
      </w:pPr>
      <w:r w:rsidRPr="0031664B">
        <w:rPr>
          <w:rFonts w:ascii="Palatino Linotype" w:hAnsi="Palatino Linotype"/>
          <w:sz w:val="24"/>
          <w:szCs w:val="24"/>
        </w:rPr>
        <w:t>must o</w:t>
      </w:r>
      <w:r w:rsidRPr="0031664B" w:rsidR="00011E04">
        <w:rPr>
          <w:rFonts w:ascii="Palatino Linotype" w:hAnsi="Palatino Linotype"/>
          <w:sz w:val="24"/>
          <w:szCs w:val="24"/>
        </w:rPr>
        <w:t xml:space="preserve">ffer 35 percent of remaining PCIA eligible long-term contracts as </w:t>
      </w:r>
      <w:r w:rsidR="00DC743D">
        <w:rPr>
          <w:rFonts w:ascii="Palatino Linotype" w:hAnsi="Palatino Linotype"/>
          <w:sz w:val="24"/>
          <w:szCs w:val="24"/>
        </w:rPr>
        <w:br/>
      </w:r>
      <w:r w:rsidRPr="0031664B" w:rsidR="00011E04">
        <w:rPr>
          <w:rFonts w:ascii="Palatino Linotype" w:hAnsi="Palatino Linotype"/>
          <w:sz w:val="24"/>
          <w:szCs w:val="24"/>
        </w:rPr>
        <w:t>long-term contracts</w:t>
      </w:r>
      <w:r w:rsidRPr="0031664B" w:rsidR="000658CD">
        <w:rPr>
          <w:rFonts w:ascii="Palatino Linotype" w:hAnsi="Palatino Linotype"/>
          <w:sz w:val="24"/>
          <w:szCs w:val="24"/>
        </w:rPr>
        <w:t>;</w:t>
      </w:r>
      <w:r w:rsidRPr="0031664B" w:rsidR="00C7472C">
        <w:rPr>
          <w:rStyle w:val="FootnoteReference"/>
          <w:rFonts w:ascii="Palatino Linotype" w:hAnsi="Palatino Linotype"/>
          <w:sz w:val="24"/>
          <w:szCs w:val="24"/>
        </w:rPr>
        <w:footnoteReference w:id="4"/>
      </w:r>
    </w:p>
    <w:p w:rsidRPr="0031664B" w:rsidR="00322012" w:rsidP="00C7472C" w:rsidRDefault="00BF65F0" w14:paraId="0F314C44" w14:textId="4B8B51BC">
      <w:pPr>
        <w:pStyle w:val="ListParagraph"/>
        <w:numPr>
          <w:ilvl w:val="0"/>
          <w:numId w:val="8"/>
        </w:numPr>
        <w:rPr>
          <w:rFonts w:ascii="Palatino Linotype" w:hAnsi="Palatino Linotype"/>
          <w:sz w:val="24"/>
          <w:szCs w:val="24"/>
        </w:rPr>
      </w:pPr>
      <w:r w:rsidRPr="0031664B">
        <w:rPr>
          <w:rFonts w:ascii="Palatino Linotype" w:hAnsi="Palatino Linotype"/>
          <w:sz w:val="24"/>
          <w:szCs w:val="24"/>
        </w:rPr>
        <w:t>m</w:t>
      </w:r>
      <w:r w:rsidRPr="0031664B" w:rsidR="00040CF0">
        <w:rPr>
          <w:rFonts w:ascii="Palatino Linotype" w:hAnsi="Palatino Linotype"/>
          <w:sz w:val="24"/>
          <w:szCs w:val="24"/>
        </w:rPr>
        <w:t>ust</w:t>
      </w:r>
      <w:r w:rsidRPr="0031664B" w:rsidR="00BC65CC">
        <w:rPr>
          <w:rFonts w:ascii="Palatino Linotype" w:hAnsi="Palatino Linotype"/>
          <w:sz w:val="24"/>
          <w:szCs w:val="24"/>
        </w:rPr>
        <w:t xml:space="preserve"> offer the remaining 65</w:t>
      </w:r>
      <w:r w:rsidRPr="0031664B" w:rsidR="00D820C8">
        <w:rPr>
          <w:rFonts w:ascii="Palatino Linotype" w:hAnsi="Palatino Linotype"/>
          <w:sz w:val="24"/>
          <w:szCs w:val="24"/>
        </w:rPr>
        <w:t xml:space="preserve"> percent </w:t>
      </w:r>
      <w:r w:rsidRPr="0031664B" w:rsidR="00C05B41">
        <w:rPr>
          <w:rFonts w:ascii="Palatino Linotype" w:hAnsi="Palatino Linotype"/>
          <w:sz w:val="24"/>
          <w:szCs w:val="24"/>
        </w:rPr>
        <w:t>long-term PCIA-eligible contracts, but must u</w:t>
      </w:r>
      <w:r w:rsidRPr="0031664B" w:rsidR="00322012">
        <w:rPr>
          <w:rFonts w:ascii="Palatino Linotype" w:hAnsi="Palatino Linotype"/>
          <w:sz w:val="24"/>
          <w:szCs w:val="24"/>
        </w:rPr>
        <w:t>se a</w:t>
      </w:r>
      <w:r w:rsidRPr="0031664B" w:rsidR="00B20996">
        <w:rPr>
          <w:rFonts w:ascii="Palatino Linotype" w:hAnsi="Palatino Linotype"/>
          <w:sz w:val="24"/>
          <w:szCs w:val="24"/>
        </w:rPr>
        <w:t xml:space="preserve"> </w:t>
      </w:r>
      <w:r w:rsidRPr="0031664B" w:rsidR="00322012">
        <w:rPr>
          <w:rFonts w:ascii="Palatino Linotype" w:hAnsi="Palatino Linotype"/>
          <w:sz w:val="24"/>
          <w:szCs w:val="24"/>
        </w:rPr>
        <w:t>methodology</w:t>
      </w:r>
      <w:r w:rsidRPr="0031664B" w:rsidR="00B20996">
        <w:rPr>
          <w:rFonts w:ascii="Palatino Linotype" w:hAnsi="Palatino Linotype"/>
          <w:sz w:val="24"/>
          <w:szCs w:val="24"/>
        </w:rPr>
        <w:t xml:space="preserve"> to </w:t>
      </w:r>
      <w:r w:rsidRPr="0031664B" w:rsidR="00342DF7">
        <w:rPr>
          <w:rFonts w:ascii="Palatino Linotype" w:hAnsi="Palatino Linotype"/>
          <w:sz w:val="24"/>
          <w:szCs w:val="24"/>
        </w:rPr>
        <w:t>optimize value for ratepayers between shor</w:t>
      </w:r>
      <w:r w:rsidRPr="0031664B" w:rsidR="00534286">
        <w:rPr>
          <w:rFonts w:ascii="Palatino Linotype" w:hAnsi="Palatino Linotype"/>
          <w:sz w:val="24"/>
          <w:szCs w:val="24"/>
        </w:rPr>
        <w:t>t-term and long-term bids</w:t>
      </w:r>
      <w:r w:rsidRPr="0031664B" w:rsidR="0001446F">
        <w:rPr>
          <w:rFonts w:ascii="Palatino Linotype" w:hAnsi="Palatino Linotype"/>
          <w:sz w:val="24"/>
          <w:szCs w:val="24"/>
        </w:rPr>
        <w:t>;</w:t>
      </w:r>
      <w:r w:rsidRPr="0031664B" w:rsidR="0001446F">
        <w:rPr>
          <w:rStyle w:val="FootnoteReference"/>
          <w:rFonts w:ascii="Palatino Linotype" w:hAnsi="Palatino Linotype"/>
          <w:sz w:val="24"/>
          <w:szCs w:val="24"/>
        </w:rPr>
        <w:footnoteReference w:id="5"/>
      </w:r>
    </w:p>
    <w:p w:rsidRPr="0031664B" w:rsidR="002327CC" w:rsidP="00011E04" w:rsidRDefault="00BF65F0" w14:paraId="60654908" w14:textId="56A292FC">
      <w:pPr>
        <w:pStyle w:val="ListParagraph"/>
        <w:numPr>
          <w:ilvl w:val="0"/>
          <w:numId w:val="8"/>
        </w:numPr>
        <w:rPr>
          <w:rFonts w:ascii="Palatino Linotype" w:hAnsi="Palatino Linotype"/>
          <w:sz w:val="24"/>
          <w:szCs w:val="24"/>
        </w:rPr>
      </w:pPr>
      <w:r w:rsidRPr="0031664B">
        <w:rPr>
          <w:rFonts w:ascii="Palatino Linotype" w:hAnsi="Palatino Linotype"/>
          <w:sz w:val="24"/>
          <w:szCs w:val="24"/>
        </w:rPr>
        <w:t>must o</w:t>
      </w:r>
      <w:r w:rsidRPr="0031664B" w:rsidR="0001446F">
        <w:rPr>
          <w:rFonts w:ascii="Palatino Linotype" w:hAnsi="Palatino Linotype"/>
          <w:sz w:val="24"/>
          <w:szCs w:val="24"/>
        </w:rPr>
        <w:t xml:space="preserve">ffer </w:t>
      </w:r>
      <w:r w:rsidRPr="0031664B" w:rsidR="009D248C">
        <w:rPr>
          <w:rFonts w:ascii="Palatino Linotype" w:hAnsi="Palatino Linotype"/>
          <w:sz w:val="24"/>
          <w:szCs w:val="24"/>
        </w:rPr>
        <w:t xml:space="preserve">a </w:t>
      </w:r>
      <w:r w:rsidRPr="0031664B" w:rsidR="008730BE">
        <w:rPr>
          <w:rFonts w:ascii="Palatino Linotype" w:hAnsi="Palatino Linotype"/>
          <w:sz w:val="24"/>
          <w:szCs w:val="24"/>
        </w:rPr>
        <w:t xml:space="preserve">contract </w:t>
      </w:r>
      <w:r w:rsidRPr="0031664B" w:rsidR="009D248C">
        <w:rPr>
          <w:rFonts w:ascii="Palatino Linotype" w:hAnsi="Palatino Linotype"/>
          <w:sz w:val="24"/>
          <w:szCs w:val="24"/>
        </w:rPr>
        <w:t xml:space="preserve">term </w:t>
      </w:r>
      <w:r w:rsidRPr="0031664B" w:rsidR="004456C1">
        <w:rPr>
          <w:rFonts w:ascii="Palatino Linotype" w:hAnsi="Palatino Linotype"/>
          <w:sz w:val="24"/>
          <w:szCs w:val="24"/>
        </w:rPr>
        <w:t>through the</w:t>
      </w:r>
      <w:r w:rsidRPr="0031664B" w:rsidR="008730BE">
        <w:rPr>
          <w:rFonts w:ascii="Palatino Linotype" w:hAnsi="Palatino Linotype"/>
          <w:sz w:val="24"/>
          <w:szCs w:val="24"/>
        </w:rPr>
        <w:t xml:space="preserve"> end of the term of the longest contract in the </w:t>
      </w:r>
      <w:r w:rsidRPr="0031664B" w:rsidR="00056B2B">
        <w:rPr>
          <w:rFonts w:ascii="Palatino Linotype" w:hAnsi="Palatino Linotype"/>
          <w:sz w:val="24"/>
          <w:szCs w:val="24"/>
        </w:rPr>
        <w:t>IOU’s</w:t>
      </w:r>
      <w:r w:rsidRPr="0031664B" w:rsidR="004456C1">
        <w:rPr>
          <w:rFonts w:ascii="Palatino Linotype" w:hAnsi="Palatino Linotype"/>
          <w:sz w:val="24"/>
          <w:szCs w:val="24"/>
        </w:rPr>
        <w:t xml:space="preserve"> PCIA</w:t>
      </w:r>
      <w:r w:rsidRPr="0031664B" w:rsidR="008730BE">
        <w:rPr>
          <w:rFonts w:ascii="Palatino Linotype" w:hAnsi="Palatino Linotype"/>
          <w:sz w:val="24"/>
          <w:szCs w:val="24"/>
        </w:rPr>
        <w:t>-eligible RPS portfolio</w:t>
      </w:r>
      <w:r w:rsidRPr="0031664B">
        <w:rPr>
          <w:rFonts w:ascii="Palatino Linotype" w:hAnsi="Palatino Linotype"/>
          <w:sz w:val="24"/>
          <w:szCs w:val="24"/>
        </w:rPr>
        <w:t>;</w:t>
      </w:r>
      <w:r w:rsidRPr="0031664B" w:rsidR="0001446F">
        <w:rPr>
          <w:rStyle w:val="FootnoteReference"/>
          <w:rFonts w:ascii="Palatino Linotype" w:hAnsi="Palatino Linotype"/>
          <w:sz w:val="24"/>
          <w:szCs w:val="24"/>
        </w:rPr>
        <w:footnoteReference w:id="6"/>
      </w:r>
    </w:p>
    <w:p w:rsidRPr="0031664B" w:rsidR="00011E04" w:rsidP="00011E04" w:rsidRDefault="00BF65F0" w14:paraId="36A9BD05" w14:textId="2A4C64B3">
      <w:pPr>
        <w:pStyle w:val="ListParagraph"/>
        <w:numPr>
          <w:ilvl w:val="0"/>
          <w:numId w:val="8"/>
        </w:numPr>
        <w:rPr>
          <w:rFonts w:ascii="Palatino Linotype" w:hAnsi="Palatino Linotype"/>
          <w:sz w:val="24"/>
          <w:szCs w:val="24"/>
        </w:rPr>
      </w:pPr>
      <w:r w:rsidRPr="0031664B">
        <w:rPr>
          <w:rFonts w:ascii="Palatino Linotype" w:hAnsi="Palatino Linotype"/>
          <w:sz w:val="24"/>
          <w:szCs w:val="24"/>
        </w:rPr>
        <w:t>must s</w:t>
      </w:r>
      <w:r w:rsidRPr="0031664B" w:rsidR="00011E04">
        <w:rPr>
          <w:rFonts w:ascii="Palatino Linotype" w:hAnsi="Palatino Linotype"/>
          <w:sz w:val="24"/>
          <w:szCs w:val="24"/>
        </w:rPr>
        <w:t>eek</w:t>
      </w:r>
      <w:r w:rsidRPr="0031664B" w:rsidR="000658CD">
        <w:rPr>
          <w:rFonts w:ascii="Palatino Linotype" w:hAnsi="Palatino Linotype"/>
          <w:sz w:val="24"/>
          <w:szCs w:val="24"/>
        </w:rPr>
        <w:t xml:space="preserve"> </w:t>
      </w:r>
      <w:r w:rsidRPr="0031664B" w:rsidR="00011E04">
        <w:rPr>
          <w:rFonts w:ascii="Palatino Linotype" w:hAnsi="Palatino Linotype"/>
          <w:sz w:val="24"/>
          <w:szCs w:val="24"/>
        </w:rPr>
        <w:t xml:space="preserve">CPUC approval of executed long-term Market Offer contracts via </w:t>
      </w:r>
      <w:r w:rsidR="00DC743D">
        <w:rPr>
          <w:rFonts w:ascii="Palatino Linotype" w:hAnsi="Palatino Linotype"/>
          <w:sz w:val="24"/>
          <w:szCs w:val="24"/>
        </w:rPr>
        <w:br/>
      </w:r>
      <w:r w:rsidRPr="0031664B" w:rsidR="00011E04">
        <w:rPr>
          <w:rFonts w:ascii="Palatino Linotype" w:hAnsi="Palatino Linotype"/>
          <w:sz w:val="24"/>
          <w:szCs w:val="24"/>
        </w:rPr>
        <w:t>Tier 3 Advice Letters</w:t>
      </w:r>
      <w:r w:rsidRPr="0031664B" w:rsidR="000658CD">
        <w:rPr>
          <w:rFonts w:ascii="Palatino Linotype" w:hAnsi="Palatino Linotype"/>
          <w:sz w:val="24"/>
          <w:szCs w:val="24"/>
        </w:rPr>
        <w:t>;</w:t>
      </w:r>
      <w:r w:rsidRPr="0031664B" w:rsidR="002327CC">
        <w:rPr>
          <w:rStyle w:val="FootnoteReference"/>
          <w:rFonts w:ascii="Palatino Linotype" w:hAnsi="Palatino Linotype"/>
          <w:sz w:val="24"/>
          <w:szCs w:val="24"/>
        </w:rPr>
        <w:footnoteReference w:id="7"/>
      </w:r>
    </w:p>
    <w:p w:rsidRPr="0031664B" w:rsidR="002327CC" w:rsidP="00011E04" w:rsidRDefault="00040CF0" w14:paraId="79355B7D" w14:textId="609C6658">
      <w:pPr>
        <w:pStyle w:val="ListParagraph"/>
        <w:numPr>
          <w:ilvl w:val="0"/>
          <w:numId w:val="8"/>
        </w:numPr>
        <w:rPr>
          <w:rFonts w:ascii="Palatino Linotype" w:hAnsi="Palatino Linotype"/>
          <w:sz w:val="24"/>
          <w:szCs w:val="24"/>
        </w:rPr>
      </w:pPr>
      <w:bookmarkStart w:name="_Hlk145411487" w:id="2"/>
      <w:r w:rsidRPr="0031664B">
        <w:rPr>
          <w:rFonts w:ascii="Palatino Linotype" w:hAnsi="Palatino Linotype"/>
          <w:sz w:val="24"/>
          <w:szCs w:val="24"/>
        </w:rPr>
        <w:t>bids in the Market Offer must specify the quantity of RPS resources in percentage increments, which must be represented in w</w:t>
      </w:r>
      <w:r w:rsidRPr="0031664B" w:rsidR="008851DA">
        <w:rPr>
          <w:rFonts w:ascii="Palatino Linotype" w:hAnsi="Palatino Linotype"/>
          <w:sz w:val="24"/>
          <w:szCs w:val="24"/>
        </w:rPr>
        <w:t>hole number</w:t>
      </w:r>
      <w:r w:rsidRPr="0031664B">
        <w:rPr>
          <w:rFonts w:ascii="Palatino Linotype" w:hAnsi="Palatino Linotype"/>
          <w:sz w:val="24"/>
          <w:szCs w:val="24"/>
        </w:rPr>
        <w:t>s</w:t>
      </w:r>
      <w:bookmarkEnd w:id="2"/>
      <w:r w:rsidRPr="0031664B" w:rsidR="00BF65F0">
        <w:rPr>
          <w:rFonts w:ascii="Palatino Linotype" w:hAnsi="Palatino Linotype"/>
          <w:sz w:val="24"/>
          <w:szCs w:val="24"/>
        </w:rPr>
        <w:t>;</w:t>
      </w:r>
      <w:r w:rsidRPr="0031664B" w:rsidR="0001446F">
        <w:rPr>
          <w:rStyle w:val="FootnoteReference"/>
          <w:rFonts w:ascii="Palatino Linotype" w:hAnsi="Palatino Linotype"/>
          <w:sz w:val="24"/>
          <w:szCs w:val="24"/>
        </w:rPr>
        <w:footnoteReference w:id="8"/>
      </w:r>
    </w:p>
    <w:p w:rsidRPr="0031664B" w:rsidR="008851DA" w:rsidP="00011E04" w:rsidRDefault="00BF65F0" w14:paraId="3D20301B" w14:textId="3E6A225A">
      <w:pPr>
        <w:pStyle w:val="ListParagraph"/>
        <w:numPr>
          <w:ilvl w:val="0"/>
          <w:numId w:val="8"/>
        </w:numPr>
        <w:rPr>
          <w:rFonts w:ascii="Palatino Linotype" w:hAnsi="Palatino Linotype"/>
          <w:sz w:val="24"/>
          <w:szCs w:val="24"/>
        </w:rPr>
      </w:pPr>
      <w:r w:rsidRPr="0031664B">
        <w:rPr>
          <w:rFonts w:ascii="Palatino Linotype" w:hAnsi="Palatino Linotype"/>
          <w:sz w:val="24"/>
          <w:szCs w:val="24"/>
        </w:rPr>
        <w:t>f</w:t>
      </w:r>
      <w:r w:rsidRPr="0031664B" w:rsidR="00FA3870">
        <w:rPr>
          <w:rFonts w:ascii="Palatino Linotype" w:hAnsi="Palatino Linotype"/>
          <w:sz w:val="24"/>
          <w:szCs w:val="24"/>
        </w:rPr>
        <w:t xml:space="preserve">or </w:t>
      </w:r>
      <w:r w:rsidRPr="0031664B" w:rsidR="00B87259">
        <w:rPr>
          <w:rFonts w:ascii="Palatino Linotype" w:hAnsi="Palatino Linotype"/>
          <w:sz w:val="24"/>
          <w:szCs w:val="24"/>
        </w:rPr>
        <w:t>PG&amp;E</w:t>
      </w:r>
      <w:r w:rsidRPr="0031664B" w:rsidR="00885427">
        <w:rPr>
          <w:rFonts w:ascii="Palatino Linotype" w:hAnsi="Palatino Linotype"/>
          <w:sz w:val="24"/>
          <w:szCs w:val="24"/>
        </w:rPr>
        <w:t xml:space="preserve">, </w:t>
      </w:r>
      <w:r w:rsidRPr="0031664B" w:rsidR="00BB2EFD">
        <w:rPr>
          <w:rFonts w:ascii="Palatino Linotype" w:hAnsi="Palatino Linotype"/>
          <w:sz w:val="24"/>
          <w:szCs w:val="24"/>
        </w:rPr>
        <w:t>if it uses a bid floor</w:t>
      </w:r>
      <w:r w:rsidRPr="0031664B" w:rsidR="00FA3870">
        <w:rPr>
          <w:rFonts w:ascii="Palatino Linotype" w:hAnsi="Palatino Linotype"/>
          <w:sz w:val="24"/>
          <w:szCs w:val="24"/>
        </w:rPr>
        <w:t xml:space="preserve">, </w:t>
      </w:r>
      <w:r w:rsidRPr="0031664B">
        <w:rPr>
          <w:rFonts w:ascii="Palatino Linotype" w:hAnsi="Palatino Linotype"/>
          <w:sz w:val="24"/>
          <w:szCs w:val="24"/>
        </w:rPr>
        <w:t xml:space="preserve">must </w:t>
      </w:r>
      <w:r w:rsidRPr="0031664B" w:rsidR="00FA3870">
        <w:rPr>
          <w:rFonts w:ascii="Palatino Linotype" w:hAnsi="Palatino Linotype"/>
          <w:sz w:val="24"/>
          <w:szCs w:val="24"/>
        </w:rPr>
        <w:t>use a b</w:t>
      </w:r>
      <w:r w:rsidRPr="0031664B" w:rsidR="008851DA">
        <w:rPr>
          <w:rFonts w:ascii="Palatino Linotype" w:hAnsi="Palatino Linotype"/>
          <w:sz w:val="24"/>
          <w:szCs w:val="24"/>
        </w:rPr>
        <w:t>id floor</w:t>
      </w:r>
      <w:r w:rsidRPr="0031664B" w:rsidR="00BB2EFD">
        <w:rPr>
          <w:rFonts w:ascii="Palatino Linotype" w:hAnsi="Palatino Linotype"/>
          <w:sz w:val="24"/>
          <w:szCs w:val="24"/>
        </w:rPr>
        <w:t xml:space="preserve"> consistent with the methodology adopted in D.21-01-005</w:t>
      </w:r>
      <w:r w:rsidRPr="0031664B">
        <w:rPr>
          <w:rFonts w:ascii="Palatino Linotype" w:hAnsi="Palatino Linotype"/>
          <w:sz w:val="24"/>
          <w:szCs w:val="24"/>
        </w:rPr>
        <w:t>;</w:t>
      </w:r>
      <w:r w:rsidRPr="0031664B" w:rsidR="00FD70D5">
        <w:rPr>
          <w:rStyle w:val="FootnoteReference"/>
          <w:rFonts w:ascii="Palatino Linotype" w:hAnsi="Palatino Linotype"/>
          <w:sz w:val="24"/>
          <w:szCs w:val="24"/>
        </w:rPr>
        <w:footnoteReference w:id="9"/>
      </w:r>
    </w:p>
    <w:p w:rsidRPr="0031664B" w:rsidR="00FD70D5" w:rsidP="00011E04" w:rsidRDefault="00BF65F0" w14:paraId="2FF25B5D" w14:textId="08B4B46F">
      <w:pPr>
        <w:pStyle w:val="ListParagraph"/>
        <w:numPr>
          <w:ilvl w:val="0"/>
          <w:numId w:val="8"/>
        </w:numPr>
        <w:rPr>
          <w:rFonts w:ascii="Palatino Linotype" w:hAnsi="Palatino Linotype"/>
          <w:sz w:val="24"/>
          <w:szCs w:val="24"/>
        </w:rPr>
      </w:pPr>
      <w:r w:rsidRPr="0031664B">
        <w:rPr>
          <w:rFonts w:ascii="Palatino Linotype" w:hAnsi="Palatino Linotype"/>
          <w:sz w:val="24"/>
          <w:szCs w:val="24"/>
        </w:rPr>
        <w:lastRenderedPageBreak/>
        <w:t>must u</w:t>
      </w:r>
      <w:r w:rsidRPr="0031664B" w:rsidR="00FD70D5">
        <w:rPr>
          <w:rFonts w:ascii="Palatino Linotype" w:hAnsi="Palatino Linotype"/>
          <w:sz w:val="24"/>
          <w:szCs w:val="24"/>
        </w:rPr>
        <w:t>se a Code of Conduct</w:t>
      </w:r>
      <w:r w:rsidRPr="0031664B" w:rsidR="00E061D6">
        <w:rPr>
          <w:rFonts w:ascii="Palatino Linotype" w:hAnsi="Palatino Linotype"/>
          <w:sz w:val="24"/>
          <w:szCs w:val="24"/>
        </w:rPr>
        <w:t xml:space="preserve"> if the IOUs choose to participate in their solicitations;</w:t>
      </w:r>
      <w:r w:rsidRPr="0031664B" w:rsidR="00AA0B15">
        <w:rPr>
          <w:rStyle w:val="FootnoteReference"/>
          <w:rFonts w:ascii="Palatino Linotype" w:hAnsi="Palatino Linotype"/>
          <w:sz w:val="24"/>
          <w:szCs w:val="24"/>
        </w:rPr>
        <w:footnoteReference w:id="10"/>
      </w:r>
    </w:p>
    <w:p w:rsidRPr="0031664B" w:rsidR="00155D48" w:rsidP="00011E04" w:rsidRDefault="00BF65F0" w14:paraId="733BAFC4" w14:textId="0E75FB58">
      <w:pPr>
        <w:pStyle w:val="ListParagraph"/>
        <w:numPr>
          <w:ilvl w:val="0"/>
          <w:numId w:val="8"/>
        </w:numPr>
        <w:rPr>
          <w:rFonts w:ascii="Palatino Linotype" w:hAnsi="Palatino Linotype"/>
          <w:sz w:val="24"/>
          <w:szCs w:val="24"/>
        </w:rPr>
      </w:pPr>
      <w:r w:rsidRPr="0031664B">
        <w:rPr>
          <w:rFonts w:ascii="Palatino Linotype" w:hAnsi="Palatino Linotype"/>
          <w:sz w:val="24"/>
          <w:szCs w:val="24"/>
        </w:rPr>
        <w:t xml:space="preserve">may </w:t>
      </w:r>
      <w:r w:rsidRPr="0031664B" w:rsidR="00AA0B15">
        <w:rPr>
          <w:rFonts w:ascii="Palatino Linotype" w:hAnsi="Palatino Linotype"/>
          <w:sz w:val="24"/>
          <w:szCs w:val="24"/>
        </w:rPr>
        <w:t>not hold concurrent RPS sales solicitations</w:t>
      </w:r>
      <w:r w:rsidRPr="0031664B" w:rsidR="00E061D6">
        <w:rPr>
          <w:rFonts w:ascii="Palatino Linotype" w:hAnsi="Palatino Linotype"/>
          <w:sz w:val="24"/>
          <w:szCs w:val="24"/>
        </w:rPr>
        <w:t>; and</w:t>
      </w:r>
      <w:r w:rsidRPr="0031664B" w:rsidR="00AA0B15">
        <w:rPr>
          <w:rStyle w:val="FootnoteReference"/>
          <w:rFonts w:ascii="Palatino Linotype" w:hAnsi="Palatino Linotype"/>
          <w:sz w:val="24"/>
          <w:szCs w:val="24"/>
        </w:rPr>
        <w:footnoteReference w:id="11"/>
      </w:r>
    </w:p>
    <w:p w:rsidRPr="0031664B" w:rsidR="00464C26" w:rsidP="00B87259" w:rsidRDefault="00BF65F0" w14:paraId="54FEA180" w14:textId="5B8CCFC1">
      <w:pPr>
        <w:pStyle w:val="ListParagraph"/>
        <w:numPr>
          <w:ilvl w:val="0"/>
          <w:numId w:val="8"/>
        </w:numPr>
        <w:rPr>
          <w:rFonts w:ascii="Palatino Linotype" w:hAnsi="Palatino Linotype"/>
          <w:sz w:val="24"/>
          <w:szCs w:val="24"/>
        </w:rPr>
      </w:pPr>
      <w:r w:rsidRPr="0031664B">
        <w:rPr>
          <w:rFonts w:ascii="Palatino Linotype" w:hAnsi="Palatino Linotype"/>
          <w:sz w:val="24"/>
          <w:szCs w:val="24"/>
        </w:rPr>
        <w:t>must u</w:t>
      </w:r>
      <w:r w:rsidRPr="0031664B" w:rsidR="00464C26">
        <w:rPr>
          <w:rFonts w:ascii="Palatino Linotype" w:hAnsi="Palatino Linotype"/>
          <w:sz w:val="24"/>
          <w:szCs w:val="24"/>
        </w:rPr>
        <w:t>se an Independent Evaluator</w:t>
      </w:r>
      <w:r w:rsidRPr="0031664B" w:rsidR="006C106D">
        <w:rPr>
          <w:rFonts w:ascii="Palatino Linotype" w:hAnsi="Palatino Linotype"/>
          <w:sz w:val="24"/>
          <w:szCs w:val="24"/>
        </w:rPr>
        <w:t xml:space="preserve"> (IE) and consult the Procurement Review Group (PRG)</w:t>
      </w:r>
      <w:r w:rsidRPr="0031664B" w:rsidR="00464C26">
        <w:rPr>
          <w:rFonts w:ascii="Palatino Linotype" w:hAnsi="Palatino Linotype"/>
          <w:sz w:val="24"/>
          <w:szCs w:val="24"/>
        </w:rPr>
        <w:t>.</w:t>
      </w:r>
      <w:r w:rsidRPr="0031664B" w:rsidR="00464C26">
        <w:rPr>
          <w:rStyle w:val="FootnoteReference"/>
          <w:rFonts w:ascii="Palatino Linotype" w:hAnsi="Palatino Linotype"/>
          <w:sz w:val="24"/>
          <w:szCs w:val="24"/>
        </w:rPr>
        <w:footnoteReference w:id="12"/>
      </w:r>
    </w:p>
    <w:p w:rsidRPr="0031664B" w:rsidR="00AE24B0" w:rsidP="00612BCE" w:rsidRDefault="00AE24B0" w14:paraId="03F56D0B" w14:textId="77777777">
      <w:pPr>
        <w:rPr>
          <w:rFonts w:ascii="Palatino Linotype" w:hAnsi="Palatino Linotype"/>
          <w:bCs/>
          <w:sz w:val="24"/>
          <w:szCs w:val="24"/>
        </w:rPr>
      </w:pPr>
    </w:p>
    <w:p w:rsidRPr="0031664B" w:rsidR="00905D0E" w:rsidP="00905D0E" w:rsidRDefault="00B87259" w14:paraId="4FAE7F73" w14:textId="75D1BB64">
      <w:pPr>
        <w:rPr>
          <w:rFonts w:ascii="Palatino Linotype" w:hAnsi="Palatino Linotype"/>
          <w:sz w:val="24"/>
          <w:szCs w:val="24"/>
        </w:rPr>
      </w:pPr>
      <w:r w:rsidRPr="0031664B">
        <w:rPr>
          <w:rFonts w:ascii="Palatino Linotype" w:hAnsi="Palatino Linotype"/>
          <w:bCs/>
          <w:sz w:val="24"/>
          <w:szCs w:val="24"/>
        </w:rPr>
        <w:t>PG&amp;E</w:t>
      </w:r>
      <w:r w:rsidRPr="0031664B" w:rsidR="00E12B93">
        <w:rPr>
          <w:rFonts w:ascii="Palatino Linotype" w:hAnsi="Palatino Linotype"/>
          <w:bCs/>
          <w:sz w:val="24"/>
          <w:szCs w:val="24"/>
        </w:rPr>
        <w:t xml:space="preserve"> complied with </w:t>
      </w:r>
      <w:r w:rsidRPr="0031664B" w:rsidR="00F74577">
        <w:rPr>
          <w:rFonts w:ascii="Palatino Linotype" w:hAnsi="Palatino Linotype"/>
          <w:bCs/>
          <w:sz w:val="24"/>
          <w:szCs w:val="24"/>
        </w:rPr>
        <w:t xml:space="preserve">requirements established by D.22-11-021. </w:t>
      </w:r>
      <w:r w:rsidRPr="0031664B" w:rsidR="00645DA0">
        <w:rPr>
          <w:rFonts w:ascii="Palatino Linotype" w:hAnsi="Palatino Linotype"/>
          <w:bCs/>
          <w:sz w:val="24"/>
          <w:szCs w:val="24"/>
        </w:rPr>
        <w:t xml:space="preserve">First, </w:t>
      </w:r>
      <w:r w:rsidRPr="0031664B">
        <w:rPr>
          <w:rFonts w:ascii="Palatino Linotype" w:hAnsi="Palatino Linotype"/>
          <w:bCs/>
          <w:sz w:val="24"/>
          <w:szCs w:val="24"/>
        </w:rPr>
        <w:t>PG&amp;E</w:t>
      </w:r>
      <w:r w:rsidRPr="0031664B" w:rsidR="00425E2D">
        <w:rPr>
          <w:rFonts w:ascii="Palatino Linotype" w:hAnsi="Palatino Linotype"/>
          <w:bCs/>
          <w:sz w:val="24"/>
          <w:szCs w:val="24"/>
        </w:rPr>
        <w:t xml:space="preserve"> </w:t>
      </w:r>
      <w:r w:rsidRPr="0031664B" w:rsidR="000257DC">
        <w:rPr>
          <w:rFonts w:ascii="Palatino Linotype" w:hAnsi="Palatino Linotype"/>
          <w:bCs/>
          <w:sz w:val="24"/>
          <w:szCs w:val="24"/>
        </w:rPr>
        <w:t xml:space="preserve">offered </w:t>
      </w:r>
      <w:r w:rsidR="00DC743D">
        <w:rPr>
          <w:rFonts w:ascii="Palatino Linotype" w:hAnsi="Palatino Linotype"/>
          <w:bCs/>
          <w:sz w:val="24"/>
          <w:szCs w:val="24"/>
        </w:rPr>
        <w:br/>
      </w:r>
      <w:r w:rsidRPr="0031664B" w:rsidR="000257DC">
        <w:rPr>
          <w:rFonts w:ascii="Palatino Linotype" w:hAnsi="Palatino Linotype"/>
          <w:bCs/>
          <w:sz w:val="24"/>
          <w:szCs w:val="24"/>
        </w:rPr>
        <w:t>35</w:t>
      </w:r>
      <w:r w:rsidRPr="0031664B" w:rsidR="00D820C8">
        <w:rPr>
          <w:rFonts w:ascii="Palatino Linotype" w:hAnsi="Palatino Linotype"/>
          <w:bCs/>
          <w:sz w:val="24"/>
          <w:szCs w:val="24"/>
        </w:rPr>
        <w:t xml:space="preserve"> percent </w:t>
      </w:r>
      <w:r w:rsidRPr="0031664B" w:rsidR="000257DC">
        <w:rPr>
          <w:rFonts w:ascii="Palatino Linotype" w:hAnsi="Palatino Linotype"/>
          <w:bCs/>
          <w:sz w:val="24"/>
          <w:szCs w:val="24"/>
        </w:rPr>
        <w:t xml:space="preserve">of </w:t>
      </w:r>
      <w:r w:rsidRPr="0031664B" w:rsidR="00BE7FB6">
        <w:rPr>
          <w:rFonts w:ascii="Palatino Linotype" w:hAnsi="Palatino Linotype"/>
          <w:bCs/>
          <w:sz w:val="24"/>
          <w:szCs w:val="24"/>
        </w:rPr>
        <w:t>remaining</w:t>
      </w:r>
      <w:r w:rsidRPr="0031664B" w:rsidR="000257DC">
        <w:rPr>
          <w:rFonts w:ascii="Palatino Linotype" w:hAnsi="Palatino Linotype"/>
          <w:bCs/>
          <w:sz w:val="24"/>
          <w:szCs w:val="24"/>
        </w:rPr>
        <w:t xml:space="preserve"> long-term </w:t>
      </w:r>
      <w:r w:rsidRPr="0031664B" w:rsidR="00BE7FB6">
        <w:rPr>
          <w:rFonts w:ascii="Palatino Linotype" w:hAnsi="Palatino Linotype"/>
          <w:bCs/>
          <w:sz w:val="24"/>
          <w:szCs w:val="24"/>
        </w:rPr>
        <w:t>PCIA</w:t>
      </w:r>
      <w:r w:rsidRPr="0031664B" w:rsidR="00160668">
        <w:rPr>
          <w:rFonts w:ascii="Palatino Linotype" w:hAnsi="Palatino Linotype"/>
          <w:bCs/>
          <w:sz w:val="24"/>
          <w:szCs w:val="24"/>
        </w:rPr>
        <w:t xml:space="preserve">-eligible </w:t>
      </w:r>
      <w:r w:rsidRPr="0031664B" w:rsidR="00FB6CFD">
        <w:rPr>
          <w:rFonts w:ascii="Palatino Linotype" w:hAnsi="Palatino Linotype"/>
          <w:bCs/>
          <w:sz w:val="24"/>
          <w:szCs w:val="24"/>
        </w:rPr>
        <w:t>as long-term contracts</w:t>
      </w:r>
      <w:r w:rsidRPr="0031664B" w:rsidR="006A723D">
        <w:rPr>
          <w:rFonts w:ascii="Palatino Linotype" w:hAnsi="Palatino Linotype"/>
          <w:bCs/>
          <w:sz w:val="24"/>
          <w:szCs w:val="24"/>
        </w:rPr>
        <w:t xml:space="preserve"> to all market participants</w:t>
      </w:r>
      <w:r w:rsidRPr="0031664B" w:rsidR="00FB6CFD">
        <w:rPr>
          <w:rFonts w:ascii="Palatino Linotype" w:hAnsi="Palatino Linotype"/>
          <w:bCs/>
          <w:sz w:val="24"/>
          <w:szCs w:val="24"/>
        </w:rPr>
        <w:t>.</w:t>
      </w:r>
      <w:r w:rsidRPr="0031664B" w:rsidR="00FB6CFD">
        <w:rPr>
          <w:rStyle w:val="FootnoteReference"/>
          <w:rFonts w:ascii="Palatino Linotype" w:hAnsi="Palatino Linotype"/>
          <w:bCs/>
          <w:sz w:val="24"/>
          <w:szCs w:val="24"/>
        </w:rPr>
        <w:footnoteReference w:id="13"/>
      </w:r>
      <w:r w:rsidRPr="0031664B" w:rsidR="005D650E">
        <w:rPr>
          <w:rFonts w:ascii="Palatino Linotype" w:hAnsi="Palatino Linotype"/>
          <w:bCs/>
          <w:sz w:val="24"/>
          <w:szCs w:val="24"/>
        </w:rPr>
        <w:t xml:space="preserve"> Second, </w:t>
      </w:r>
      <w:r w:rsidRPr="0031664B">
        <w:rPr>
          <w:rFonts w:ascii="Palatino Linotype" w:hAnsi="Palatino Linotype"/>
          <w:bCs/>
          <w:sz w:val="24"/>
          <w:szCs w:val="24"/>
        </w:rPr>
        <w:t>PG&amp;E</w:t>
      </w:r>
      <w:r w:rsidRPr="0031664B" w:rsidR="005D650E">
        <w:rPr>
          <w:rFonts w:ascii="Palatino Linotype" w:hAnsi="Palatino Linotype"/>
          <w:bCs/>
          <w:sz w:val="24"/>
          <w:szCs w:val="24"/>
        </w:rPr>
        <w:t xml:space="preserve"> offered </w:t>
      </w:r>
      <w:r w:rsidRPr="0031664B" w:rsidR="002E031C">
        <w:rPr>
          <w:rFonts w:ascii="Palatino Linotype" w:hAnsi="Palatino Linotype"/>
          <w:bCs/>
          <w:sz w:val="24"/>
          <w:szCs w:val="24"/>
        </w:rPr>
        <w:t>the remaining 65% of long-term PCIA eligible contracts as</w:t>
      </w:r>
      <w:r w:rsidRPr="0031664B" w:rsidR="004361ED">
        <w:rPr>
          <w:rFonts w:ascii="Palatino Linotype" w:hAnsi="Palatino Linotype"/>
          <w:bCs/>
          <w:sz w:val="24"/>
          <w:szCs w:val="24"/>
        </w:rPr>
        <w:t xml:space="preserve"> long-term or</w:t>
      </w:r>
      <w:r w:rsidRPr="0031664B" w:rsidR="002E031C">
        <w:rPr>
          <w:rFonts w:ascii="Palatino Linotype" w:hAnsi="Palatino Linotype"/>
          <w:bCs/>
          <w:sz w:val="24"/>
          <w:szCs w:val="24"/>
        </w:rPr>
        <w:t xml:space="preserve"> short-term contracts</w:t>
      </w:r>
      <w:r w:rsidRPr="0031664B" w:rsidR="00BF57CF">
        <w:rPr>
          <w:rFonts w:ascii="Palatino Linotype" w:hAnsi="Palatino Linotype"/>
          <w:bCs/>
          <w:sz w:val="24"/>
          <w:szCs w:val="24"/>
        </w:rPr>
        <w:t xml:space="preserve">, </w:t>
      </w:r>
      <w:r w:rsidRPr="0031664B" w:rsidR="002E031C">
        <w:rPr>
          <w:rFonts w:ascii="Palatino Linotype" w:hAnsi="Palatino Linotype"/>
          <w:bCs/>
          <w:sz w:val="24"/>
          <w:szCs w:val="24"/>
        </w:rPr>
        <w:t xml:space="preserve">consistent with </w:t>
      </w:r>
      <w:r w:rsidRPr="0031664B" w:rsidR="00F357B7">
        <w:rPr>
          <w:rFonts w:ascii="Palatino Linotype" w:hAnsi="Palatino Linotype"/>
          <w:bCs/>
          <w:sz w:val="24"/>
          <w:szCs w:val="24"/>
        </w:rPr>
        <w:t>CPUC approved</w:t>
      </w:r>
      <w:r w:rsidRPr="0031664B" w:rsidR="002E031C">
        <w:rPr>
          <w:rFonts w:ascii="Palatino Linotype" w:hAnsi="Palatino Linotype"/>
          <w:bCs/>
          <w:sz w:val="24"/>
          <w:szCs w:val="24"/>
        </w:rPr>
        <w:t xml:space="preserve"> </w:t>
      </w:r>
      <w:r w:rsidR="00DC743D">
        <w:rPr>
          <w:rFonts w:ascii="Palatino Linotype" w:hAnsi="Palatino Linotype"/>
          <w:bCs/>
          <w:sz w:val="24"/>
          <w:szCs w:val="24"/>
        </w:rPr>
        <w:br/>
      </w:r>
      <w:r w:rsidRPr="0031664B" w:rsidR="004E18AE">
        <w:rPr>
          <w:rFonts w:ascii="Palatino Linotype" w:hAnsi="Palatino Linotype"/>
          <w:bCs/>
          <w:sz w:val="24"/>
          <w:szCs w:val="24"/>
        </w:rPr>
        <w:t>AL</w:t>
      </w:r>
      <w:r w:rsidRPr="0031664B" w:rsidR="004361ED">
        <w:rPr>
          <w:rFonts w:ascii="Palatino Linotype" w:hAnsi="Palatino Linotype"/>
          <w:bCs/>
          <w:sz w:val="24"/>
          <w:szCs w:val="24"/>
        </w:rPr>
        <w:t xml:space="preserve"> 6961-E</w:t>
      </w:r>
      <w:r w:rsidRPr="0031664B" w:rsidR="002E031C">
        <w:rPr>
          <w:rFonts w:ascii="Palatino Linotype" w:hAnsi="Palatino Linotype"/>
          <w:bCs/>
          <w:sz w:val="24"/>
          <w:szCs w:val="24"/>
        </w:rPr>
        <w:t>.</w:t>
      </w:r>
      <w:r w:rsidRPr="0031664B" w:rsidR="00DD3049">
        <w:rPr>
          <w:rStyle w:val="FootnoteReference"/>
          <w:rFonts w:ascii="Palatino Linotype" w:hAnsi="Palatino Linotype"/>
          <w:bCs/>
          <w:sz w:val="24"/>
          <w:szCs w:val="24"/>
        </w:rPr>
        <w:footnoteReference w:id="14"/>
      </w:r>
      <w:r w:rsidRPr="0031664B" w:rsidR="002E031C">
        <w:rPr>
          <w:rFonts w:ascii="Palatino Linotype" w:hAnsi="Palatino Linotype"/>
          <w:bCs/>
          <w:sz w:val="24"/>
          <w:szCs w:val="24"/>
        </w:rPr>
        <w:t xml:space="preserve"> </w:t>
      </w:r>
      <w:r w:rsidRPr="0031664B" w:rsidR="001357FB">
        <w:rPr>
          <w:rFonts w:ascii="Palatino Linotype" w:hAnsi="Palatino Linotype"/>
          <w:bCs/>
          <w:sz w:val="24"/>
          <w:szCs w:val="24"/>
        </w:rPr>
        <w:t xml:space="preserve">Third, </w:t>
      </w:r>
      <w:r w:rsidRPr="0031664B">
        <w:rPr>
          <w:rFonts w:ascii="Palatino Linotype" w:hAnsi="Palatino Linotype"/>
          <w:bCs/>
          <w:sz w:val="24"/>
          <w:szCs w:val="24"/>
        </w:rPr>
        <w:t>PG&amp;E</w:t>
      </w:r>
      <w:r w:rsidRPr="0031664B" w:rsidR="00332885">
        <w:rPr>
          <w:rFonts w:ascii="Palatino Linotype" w:hAnsi="Palatino Linotype"/>
          <w:bCs/>
          <w:sz w:val="24"/>
          <w:szCs w:val="24"/>
        </w:rPr>
        <w:t xml:space="preserve"> offered a contract term running through</w:t>
      </w:r>
      <w:r w:rsidRPr="0031664B" w:rsidR="00DD3049">
        <w:rPr>
          <w:rFonts w:ascii="Palatino Linotype" w:hAnsi="Palatino Linotype"/>
          <w:bCs/>
          <w:sz w:val="24"/>
          <w:szCs w:val="24"/>
        </w:rPr>
        <w:t xml:space="preserve"> May</w:t>
      </w:r>
      <w:r w:rsidRPr="0031664B" w:rsidR="00DC13A1">
        <w:rPr>
          <w:rFonts w:ascii="Palatino Linotype" w:hAnsi="Palatino Linotype"/>
          <w:bCs/>
          <w:sz w:val="24"/>
          <w:szCs w:val="24"/>
        </w:rPr>
        <w:t xml:space="preserve"> </w:t>
      </w:r>
      <w:r w:rsidRPr="0031664B" w:rsidR="00DD3049">
        <w:rPr>
          <w:rFonts w:ascii="Palatino Linotype" w:hAnsi="Palatino Linotype"/>
          <w:bCs/>
          <w:sz w:val="24"/>
          <w:szCs w:val="24"/>
        </w:rPr>
        <w:t>31</w:t>
      </w:r>
      <w:r w:rsidRPr="0031664B" w:rsidR="008408AA">
        <w:rPr>
          <w:rFonts w:ascii="Palatino Linotype" w:hAnsi="Palatino Linotype"/>
          <w:bCs/>
          <w:sz w:val="24"/>
          <w:szCs w:val="24"/>
        </w:rPr>
        <w:t>,</w:t>
      </w:r>
      <w:r w:rsidRPr="0031664B" w:rsidR="00F76EB6">
        <w:rPr>
          <w:rFonts w:ascii="Palatino Linotype" w:hAnsi="Palatino Linotype"/>
          <w:bCs/>
          <w:sz w:val="24"/>
          <w:szCs w:val="24"/>
        </w:rPr>
        <w:t xml:space="preserve"> 204</w:t>
      </w:r>
      <w:r w:rsidRPr="0031664B" w:rsidR="004E3333">
        <w:rPr>
          <w:rFonts w:ascii="Palatino Linotype" w:hAnsi="Palatino Linotype"/>
          <w:bCs/>
          <w:sz w:val="24"/>
          <w:szCs w:val="24"/>
        </w:rPr>
        <w:t>3</w:t>
      </w:r>
      <w:r w:rsidRPr="0031664B" w:rsidR="003520EC">
        <w:rPr>
          <w:rFonts w:ascii="Palatino Linotype" w:hAnsi="Palatino Linotype"/>
          <w:bCs/>
          <w:sz w:val="24"/>
          <w:szCs w:val="24"/>
        </w:rPr>
        <w:t>,</w:t>
      </w:r>
      <w:r w:rsidRPr="0031664B" w:rsidR="00F76EB6">
        <w:rPr>
          <w:rFonts w:ascii="Palatino Linotype" w:hAnsi="Palatino Linotype"/>
          <w:bCs/>
          <w:sz w:val="24"/>
          <w:szCs w:val="24"/>
        </w:rPr>
        <w:t xml:space="preserve"> </w:t>
      </w:r>
      <w:r w:rsidRPr="0031664B" w:rsidR="00332885">
        <w:rPr>
          <w:rFonts w:ascii="Palatino Linotype" w:hAnsi="Palatino Linotype"/>
          <w:bCs/>
          <w:sz w:val="24"/>
          <w:szCs w:val="24"/>
        </w:rPr>
        <w:t xml:space="preserve">the end </w:t>
      </w:r>
      <w:r w:rsidRPr="0031664B" w:rsidR="00F76EB6">
        <w:rPr>
          <w:rFonts w:ascii="Palatino Linotype" w:hAnsi="Palatino Linotype"/>
          <w:bCs/>
          <w:sz w:val="24"/>
          <w:szCs w:val="24"/>
        </w:rPr>
        <w:t xml:space="preserve">date </w:t>
      </w:r>
      <w:r w:rsidRPr="0031664B" w:rsidR="00332885">
        <w:rPr>
          <w:rFonts w:ascii="Palatino Linotype" w:hAnsi="Palatino Linotype"/>
          <w:bCs/>
          <w:sz w:val="24"/>
          <w:szCs w:val="24"/>
        </w:rPr>
        <w:t>of the longest contract</w:t>
      </w:r>
      <w:r w:rsidRPr="0031664B" w:rsidR="003520EC">
        <w:rPr>
          <w:rFonts w:ascii="Palatino Linotype" w:hAnsi="Palatino Linotype"/>
          <w:bCs/>
          <w:sz w:val="24"/>
          <w:szCs w:val="24"/>
        </w:rPr>
        <w:t xml:space="preserve"> term in its PCIA-</w:t>
      </w:r>
      <w:r w:rsidRPr="0031664B" w:rsidR="00F76EB6">
        <w:rPr>
          <w:rFonts w:ascii="Palatino Linotype" w:hAnsi="Palatino Linotype"/>
          <w:bCs/>
          <w:sz w:val="24"/>
          <w:szCs w:val="24"/>
        </w:rPr>
        <w:t>eligible RPS portfolio.</w:t>
      </w:r>
      <w:r w:rsidRPr="0031664B" w:rsidR="00DC5C2A">
        <w:rPr>
          <w:rFonts w:ascii="Palatino Linotype" w:hAnsi="Palatino Linotype"/>
          <w:bCs/>
          <w:sz w:val="24"/>
          <w:szCs w:val="24"/>
        </w:rPr>
        <w:t xml:space="preserve"> </w:t>
      </w:r>
      <w:r w:rsidRPr="0031664B" w:rsidR="001357FB">
        <w:rPr>
          <w:rFonts w:ascii="Palatino Linotype" w:hAnsi="Palatino Linotype"/>
          <w:bCs/>
          <w:sz w:val="24"/>
          <w:szCs w:val="24"/>
        </w:rPr>
        <w:t>Fourth</w:t>
      </w:r>
      <w:r w:rsidRPr="0031664B" w:rsidR="002331BC">
        <w:rPr>
          <w:rFonts w:ascii="Palatino Linotype" w:hAnsi="Palatino Linotype"/>
          <w:bCs/>
          <w:sz w:val="24"/>
          <w:szCs w:val="24"/>
        </w:rPr>
        <w:t xml:space="preserve">, </w:t>
      </w:r>
      <w:r w:rsidRPr="0031664B">
        <w:rPr>
          <w:rFonts w:ascii="Palatino Linotype" w:hAnsi="Palatino Linotype"/>
          <w:bCs/>
          <w:sz w:val="24"/>
          <w:szCs w:val="24"/>
        </w:rPr>
        <w:t>PG&amp;E</w:t>
      </w:r>
      <w:r w:rsidRPr="0031664B" w:rsidR="002331BC">
        <w:rPr>
          <w:rFonts w:ascii="Palatino Linotype" w:hAnsi="Palatino Linotype"/>
          <w:bCs/>
          <w:sz w:val="24"/>
          <w:szCs w:val="24"/>
        </w:rPr>
        <w:t xml:space="preserve"> </w:t>
      </w:r>
      <w:r w:rsidRPr="0031664B" w:rsidR="001357FB">
        <w:rPr>
          <w:rFonts w:ascii="Palatino Linotype" w:hAnsi="Palatino Linotype"/>
          <w:bCs/>
          <w:sz w:val="24"/>
          <w:szCs w:val="24"/>
        </w:rPr>
        <w:t>filed</w:t>
      </w:r>
      <w:r w:rsidRPr="0031664B" w:rsidR="002331BC">
        <w:rPr>
          <w:rFonts w:ascii="Palatino Linotype" w:hAnsi="Palatino Linotype"/>
          <w:bCs/>
          <w:sz w:val="24"/>
          <w:szCs w:val="24"/>
        </w:rPr>
        <w:t xml:space="preserve"> </w:t>
      </w:r>
      <w:r w:rsidRPr="0031664B" w:rsidR="000276CA">
        <w:rPr>
          <w:rFonts w:ascii="Palatino Linotype" w:hAnsi="Palatino Linotype"/>
          <w:bCs/>
          <w:sz w:val="24"/>
          <w:szCs w:val="24"/>
        </w:rPr>
        <w:t>AL</w:t>
      </w:r>
      <w:r w:rsidRPr="0031664B" w:rsidR="00DC13A1">
        <w:rPr>
          <w:rFonts w:ascii="Palatino Linotype" w:hAnsi="Palatino Linotype"/>
          <w:bCs/>
          <w:sz w:val="24"/>
          <w:szCs w:val="24"/>
        </w:rPr>
        <w:t xml:space="preserve"> </w:t>
      </w:r>
      <w:r w:rsidRPr="0031664B" w:rsidR="004361ED">
        <w:rPr>
          <w:rFonts w:ascii="Palatino Linotype" w:hAnsi="Palatino Linotype"/>
          <w:bCs/>
          <w:sz w:val="24"/>
          <w:szCs w:val="24"/>
        </w:rPr>
        <w:t>6977</w:t>
      </w:r>
      <w:r w:rsidRPr="0031664B" w:rsidR="00DC13A1">
        <w:rPr>
          <w:rFonts w:ascii="Palatino Linotype" w:hAnsi="Palatino Linotype"/>
          <w:bCs/>
          <w:sz w:val="24"/>
          <w:szCs w:val="24"/>
        </w:rPr>
        <w:t>-E</w:t>
      </w:r>
      <w:r w:rsidRPr="0031664B" w:rsidR="000276CA">
        <w:rPr>
          <w:rFonts w:ascii="Palatino Linotype" w:hAnsi="Palatino Linotype"/>
          <w:bCs/>
          <w:sz w:val="24"/>
          <w:szCs w:val="24"/>
        </w:rPr>
        <w:t xml:space="preserve">, a </w:t>
      </w:r>
      <w:r w:rsidRPr="0031664B" w:rsidR="00F723C6">
        <w:rPr>
          <w:rFonts w:ascii="Palatino Linotype" w:hAnsi="Palatino Linotype"/>
          <w:bCs/>
          <w:sz w:val="24"/>
          <w:szCs w:val="24"/>
        </w:rPr>
        <w:t>T</w:t>
      </w:r>
      <w:r w:rsidRPr="0031664B" w:rsidR="000276CA">
        <w:rPr>
          <w:rFonts w:ascii="Palatino Linotype" w:hAnsi="Palatino Linotype"/>
          <w:bCs/>
          <w:sz w:val="24"/>
          <w:szCs w:val="24"/>
        </w:rPr>
        <w:t xml:space="preserve">ier </w:t>
      </w:r>
      <w:r w:rsidRPr="0031664B" w:rsidR="00F723C6">
        <w:rPr>
          <w:rFonts w:ascii="Palatino Linotype" w:hAnsi="Palatino Linotype"/>
          <w:bCs/>
          <w:sz w:val="24"/>
          <w:szCs w:val="24"/>
        </w:rPr>
        <w:t>T</w:t>
      </w:r>
      <w:r w:rsidRPr="0031664B" w:rsidR="000276CA">
        <w:rPr>
          <w:rFonts w:ascii="Palatino Linotype" w:hAnsi="Palatino Linotype"/>
          <w:bCs/>
          <w:sz w:val="24"/>
          <w:szCs w:val="24"/>
        </w:rPr>
        <w:t>hree advice</w:t>
      </w:r>
      <w:r w:rsidRPr="0031664B" w:rsidR="00DC5C2A">
        <w:rPr>
          <w:rFonts w:ascii="Palatino Linotype" w:hAnsi="Palatino Linotype"/>
          <w:bCs/>
          <w:sz w:val="24"/>
          <w:szCs w:val="24"/>
        </w:rPr>
        <w:t xml:space="preserve"> </w:t>
      </w:r>
      <w:r w:rsidRPr="0031664B" w:rsidR="00D820C8">
        <w:rPr>
          <w:rFonts w:ascii="Palatino Linotype" w:hAnsi="Palatino Linotype"/>
          <w:bCs/>
          <w:sz w:val="24"/>
          <w:szCs w:val="24"/>
        </w:rPr>
        <w:t xml:space="preserve">letter </w:t>
      </w:r>
      <w:r w:rsidRPr="0031664B" w:rsidR="00DC5C2A">
        <w:rPr>
          <w:rFonts w:ascii="Palatino Linotype" w:hAnsi="Palatino Linotype"/>
          <w:bCs/>
          <w:sz w:val="24"/>
          <w:szCs w:val="24"/>
        </w:rPr>
        <w:t>seeking CPUC approval</w:t>
      </w:r>
      <w:r w:rsidRPr="0031664B" w:rsidR="00BF65F0">
        <w:rPr>
          <w:rFonts w:ascii="Palatino Linotype" w:hAnsi="Palatino Linotype"/>
          <w:bCs/>
          <w:sz w:val="24"/>
          <w:szCs w:val="24"/>
        </w:rPr>
        <w:t xml:space="preserve"> of the resulting </w:t>
      </w:r>
      <w:r w:rsidRPr="0031664B" w:rsidR="003946D2">
        <w:rPr>
          <w:rFonts w:ascii="Palatino Linotype" w:hAnsi="Palatino Linotype"/>
          <w:bCs/>
          <w:sz w:val="24"/>
          <w:szCs w:val="24"/>
        </w:rPr>
        <w:t>T</w:t>
      </w:r>
      <w:r w:rsidRPr="0031664B" w:rsidR="00BF65F0">
        <w:rPr>
          <w:rFonts w:ascii="Palatino Linotype" w:hAnsi="Palatino Linotype"/>
          <w:bCs/>
          <w:sz w:val="24"/>
          <w:szCs w:val="24"/>
        </w:rPr>
        <w:t>ransactions</w:t>
      </w:r>
      <w:r w:rsidRPr="0031664B" w:rsidR="000276CA">
        <w:rPr>
          <w:rFonts w:ascii="Palatino Linotype" w:hAnsi="Palatino Linotype"/>
          <w:bCs/>
          <w:sz w:val="24"/>
          <w:szCs w:val="24"/>
        </w:rPr>
        <w:t>.</w:t>
      </w:r>
      <w:r w:rsidRPr="0031664B" w:rsidR="00AD739D">
        <w:rPr>
          <w:rFonts w:ascii="Palatino Linotype" w:hAnsi="Palatino Linotype"/>
          <w:bCs/>
          <w:sz w:val="24"/>
          <w:szCs w:val="24"/>
        </w:rPr>
        <w:t xml:space="preserve"> </w:t>
      </w:r>
      <w:r w:rsidRPr="0031664B" w:rsidR="003A00EB">
        <w:rPr>
          <w:rFonts w:ascii="Palatino Linotype" w:hAnsi="Palatino Linotype"/>
          <w:bCs/>
          <w:sz w:val="24"/>
          <w:szCs w:val="24"/>
        </w:rPr>
        <w:t>Fifth</w:t>
      </w:r>
      <w:r w:rsidRPr="0031664B" w:rsidR="00B20C3A">
        <w:rPr>
          <w:rFonts w:ascii="Palatino Linotype" w:hAnsi="Palatino Linotype"/>
          <w:bCs/>
          <w:sz w:val="24"/>
          <w:szCs w:val="24"/>
        </w:rPr>
        <w:t>,</w:t>
      </w:r>
      <w:r w:rsidRPr="0031664B" w:rsidR="003A00EB">
        <w:rPr>
          <w:rFonts w:ascii="Palatino Linotype" w:hAnsi="Palatino Linotype"/>
          <w:bCs/>
          <w:sz w:val="24"/>
          <w:szCs w:val="24"/>
        </w:rPr>
        <w:t xml:space="preserve"> </w:t>
      </w:r>
      <w:r w:rsidRPr="0031664B">
        <w:rPr>
          <w:rFonts w:ascii="Palatino Linotype" w:hAnsi="Palatino Linotype"/>
          <w:bCs/>
          <w:sz w:val="24"/>
          <w:szCs w:val="24"/>
        </w:rPr>
        <w:t>PG&amp;E</w:t>
      </w:r>
      <w:r w:rsidRPr="0031664B" w:rsidR="003A00EB">
        <w:rPr>
          <w:rFonts w:ascii="Palatino Linotype" w:hAnsi="Palatino Linotype"/>
          <w:bCs/>
          <w:sz w:val="24"/>
          <w:szCs w:val="24"/>
        </w:rPr>
        <w:t xml:space="preserve"> accepted </w:t>
      </w:r>
      <w:r w:rsidRPr="0031664B" w:rsidR="007F56A0">
        <w:rPr>
          <w:rFonts w:ascii="Palatino Linotype" w:hAnsi="Palatino Linotype"/>
          <w:bCs/>
          <w:sz w:val="24"/>
          <w:szCs w:val="24"/>
        </w:rPr>
        <w:t>t</w:t>
      </w:r>
      <w:r w:rsidRPr="0031664B" w:rsidR="00E552A8">
        <w:rPr>
          <w:rFonts w:ascii="Palatino Linotype" w:hAnsi="Palatino Linotype"/>
          <w:bCs/>
          <w:sz w:val="24"/>
          <w:szCs w:val="24"/>
        </w:rPr>
        <w:t xml:space="preserve">he </w:t>
      </w:r>
      <w:r w:rsidRPr="0031664B" w:rsidR="00C32920">
        <w:rPr>
          <w:rFonts w:ascii="Palatino Linotype" w:hAnsi="Palatino Linotype"/>
          <w:bCs/>
          <w:sz w:val="24"/>
          <w:szCs w:val="24"/>
        </w:rPr>
        <w:t>Counterparties’</w:t>
      </w:r>
      <w:r w:rsidRPr="0031664B" w:rsidR="003A00EB">
        <w:rPr>
          <w:rFonts w:ascii="Palatino Linotype" w:hAnsi="Palatino Linotype"/>
          <w:bCs/>
          <w:sz w:val="24"/>
          <w:szCs w:val="24"/>
        </w:rPr>
        <w:t xml:space="preserve"> </w:t>
      </w:r>
      <w:r w:rsidRPr="0031664B" w:rsidR="00CE1433">
        <w:rPr>
          <w:rFonts w:ascii="Palatino Linotype" w:hAnsi="Palatino Linotype"/>
          <w:bCs/>
          <w:sz w:val="24"/>
          <w:szCs w:val="24"/>
        </w:rPr>
        <w:t xml:space="preserve">whole number </w:t>
      </w:r>
      <w:r w:rsidRPr="0031664B" w:rsidR="003A00EB">
        <w:rPr>
          <w:rFonts w:ascii="Palatino Linotype" w:hAnsi="Palatino Linotype"/>
          <w:bCs/>
          <w:sz w:val="24"/>
          <w:szCs w:val="24"/>
        </w:rPr>
        <w:t>bid</w:t>
      </w:r>
      <w:r w:rsidRPr="0031664B" w:rsidR="00D820C8">
        <w:rPr>
          <w:rFonts w:ascii="Palatino Linotype" w:hAnsi="Palatino Linotype"/>
          <w:bCs/>
          <w:sz w:val="24"/>
          <w:szCs w:val="24"/>
        </w:rPr>
        <w:t>s</w:t>
      </w:r>
      <w:r w:rsidRPr="0031664B" w:rsidR="00E066A1">
        <w:rPr>
          <w:rFonts w:ascii="Palatino Linotype" w:hAnsi="Palatino Linotype"/>
          <w:bCs/>
          <w:sz w:val="24"/>
          <w:szCs w:val="24"/>
        </w:rPr>
        <w:t xml:space="preserve"> for </w:t>
      </w:r>
      <w:r w:rsidR="00DC743D">
        <w:rPr>
          <w:rFonts w:ascii="Palatino Linotype" w:hAnsi="Palatino Linotype"/>
          <w:bCs/>
          <w:sz w:val="24"/>
          <w:szCs w:val="24"/>
        </w:rPr>
        <w:br/>
      </w:r>
      <w:r w:rsidRPr="0031664B" w:rsidR="001043F5">
        <w:rPr>
          <w:rFonts w:ascii="Palatino Linotype" w:hAnsi="Palatino Linotype"/>
          <w:bCs/>
          <w:sz w:val="24"/>
          <w:szCs w:val="24"/>
        </w:rPr>
        <w:t>100</w:t>
      </w:r>
      <w:r w:rsidRPr="0031664B" w:rsidR="00D820C8">
        <w:rPr>
          <w:rFonts w:ascii="Palatino Linotype" w:hAnsi="Palatino Linotype"/>
          <w:bCs/>
          <w:sz w:val="24"/>
          <w:szCs w:val="24"/>
        </w:rPr>
        <w:t xml:space="preserve"> percent </w:t>
      </w:r>
      <w:r w:rsidRPr="0031664B" w:rsidR="00E066A1">
        <w:rPr>
          <w:rFonts w:ascii="Palatino Linotype" w:hAnsi="Palatino Linotype"/>
          <w:bCs/>
          <w:sz w:val="24"/>
          <w:szCs w:val="24"/>
        </w:rPr>
        <w:t xml:space="preserve">of </w:t>
      </w:r>
      <w:r w:rsidRPr="0031664B">
        <w:rPr>
          <w:rFonts w:ascii="Palatino Linotype" w:hAnsi="Palatino Linotype"/>
          <w:bCs/>
          <w:sz w:val="24"/>
          <w:szCs w:val="24"/>
        </w:rPr>
        <w:t>PG&amp;E</w:t>
      </w:r>
      <w:r w:rsidRPr="0031664B" w:rsidR="00E066A1">
        <w:rPr>
          <w:rFonts w:ascii="Palatino Linotype" w:hAnsi="Palatino Linotype"/>
          <w:bCs/>
          <w:sz w:val="24"/>
          <w:szCs w:val="24"/>
        </w:rPr>
        <w:t xml:space="preserve">’s remaining </w:t>
      </w:r>
      <w:r w:rsidRPr="0031664B" w:rsidR="001043F5">
        <w:rPr>
          <w:rFonts w:ascii="Palatino Linotype" w:hAnsi="Palatino Linotype"/>
          <w:bCs/>
          <w:sz w:val="24"/>
          <w:szCs w:val="24"/>
        </w:rPr>
        <w:t>bundled long-term</w:t>
      </w:r>
      <w:r w:rsidRPr="0031664B" w:rsidR="003A00EB">
        <w:rPr>
          <w:rFonts w:ascii="Palatino Linotype" w:hAnsi="Palatino Linotype"/>
          <w:bCs/>
          <w:sz w:val="24"/>
          <w:szCs w:val="24"/>
        </w:rPr>
        <w:t xml:space="preserve"> </w:t>
      </w:r>
      <w:r w:rsidRPr="0031664B" w:rsidR="001043F5">
        <w:rPr>
          <w:rFonts w:ascii="Palatino Linotype" w:hAnsi="Palatino Linotype"/>
          <w:bCs/>
          <w:sz w:val="24"/>
          <w:szCs w:val="24"/>
        </w:rPr>
        <w:t>PCIA-eligible RPS product</w:t>
      </w:r>
      <w:r w:rsidRPr="0031664B" w:rsidR="00B20C3A">
        <w:rPr>
          <w:rFonts w:ascii="Palatino Linotype" w:hAnsi="Palatino Linotype"/>
          <w:bCs/>
          <w:sz w:val="24"/>
          <w:szCs w:val="24"/>
        </w:rPr>
        <w:t xml:space="preserve">. </w:t>
      </w:r>
      <w:r w:rsidR="00DC743D">
        <w:rPr>
          <w:rFonts w:ascii="Palatino Linotype" w:hAnsi="Palatino Linotype"/>
          <w:bCs/>
          <w:sz w:val="24"/>
          <w:szCs w:val="24"/>
        </w:rPr>
        <w:br/>
      </w:r>
      <w:r w:rsidRPr="0031664B" w:rsidR="00B20C3A">
        <w:rPr>
          <w:rFonts w:ascii="Palatino Linotype" w:hAnsi="Palatino Linotype"/>
          <w:bCs/>
          <w:sz w:val="24"/>
          <w:szCs w:val="24"/>
        </w:rPr>
        <w:t xml:space="preserve">Sixth, </w:t>
      </w:r>
      <w:r w:rsidRPr="0031664B">
        <w:rPr>
          <w:rFonts w:ascii="Palatino Linotype" w:hAnsi="Palatino Linotype"/>
          <w:bCs/>
          <w:sz w:val="24"/>
          <w:szCs w:val="24"/>
        </w:rPr>
        <w:t>PG&amp;E</w:t>
      </w:r>
      <w:r w:rsidRPr="0031664B" w:rsidR="00B20C3A">
        <w:rPr>
          <w:rFonts w:ascii="Palatino Linotype" w:hAnsi="Palatino Linotype"/>
          <w:bCs/>
          <w:sz w:val="24"/>
          <w:szCs w:val="24"/>
        </w:rPr>
        <w:t xml:space="preserve"> </w:t>
      </w:r>
      <w:r w:rsidRPr="0031664B" w:rsidR="00F616F0">
        <w:rPr>
          <w:rFonts w:ascii="Palatino Linotype" w:hAnsi="Palatino Linotype"/>
          <w:bCs/>
          <w:sz w:val="24"/>
          <w:szCs w:val="24"/>
        </w:rPr>
        <w:t>was</w:t>
      </w:r>
      <w:r w:rsidRPr="0031664B" w:rsidR="00B20C3A">
        <w:rPr>
          <w:rFonts w:ascii="Palatino Linotype" w:hAnsi="Palatino Linotype"/>
          <w:bCs/>
          <w:sz w:val="24"/>
          <w:szCs w:val="24"/>
        </w:rPr>
        <w:t xml:space="preserve"> consistent with </w:t>
      </w:r>
      <w:r w:rsidRPr="0031664B" w:rsidR="00CB2708">
        <w:rPr>
          <w:rFonts w:ascii="Palatino Linotype" w:hAnsi="Palatino Linotype"/>
          <w:bCs/>
          <w:sz w:val="24"/>
          <w:szCs w:val="24"/>
        </w:rPr>
        <w:t xml:space="preserve">the </w:t>
      </w:r>
      <w:r w:rsidRPr="0031664B" w:rsidR="00F616F0">
        <w:rPr>
          <w:rFonts w:ascii="Palatino Linotype" w:hAnsi="Palatino Linotype"/>
          <w:bCs/>
          <w:sz w:val="24"/>
          <w:szCs w:val="24"/>
        </w:rPr>
        <w:t xml:space="preserve">sales framework </w:t>
      </w:r>
      <w:r w:rsidRPr="0031664B" w:rsidR="00CB2708">
        <w:rPr>
          <w:rFonts w:ascii="Palatino Linotype" w:hAnsi="Palatino Linotype"/>
          <w:bCs/>
          <w:sz w:val="24"/>
          <w:szCs w:val="24"/>
        </w:rPr>
        <w:t xml:space="preserve">methodology adopted in </w:t>
      </w:r>
      <w:r w:rsidR="00DC743D">
        <w:rPr>
          <w:rFonts w:ascii="Palatino Linotype" w:hAnsi="Palatino Linotype"/>
          <w:bCs/>
          <w:sz w:val="24"/>
          <w:szCs w:val="24"/>
        </w:rPr>
        <w:br/>
      </w:r>
      <w:r w:rsidRPr="0031664B" w:rsidR="00CB2708">
        <w:rPr>
          <w:rFonts w:ascii="Palatino Linotype" w:hAnsi="Palatino Linotype"/>
          <w:bCs/>
          <w:sz w:val="24"/>
          <w:szCs w:val="24"/>
        </w:rPr>
        <w:t xml:space="preserve">D.21-01-005, </w:t>
      </w:r>
      <w:r w:rsidRPr="0031664B" w:rsidR="007A3A1D">
        <w:rPr>
          <w:rFonts w:ascii="Palatino Linotype" w:hAnsi="Palatino Linotype"/>
          <w:bCs/>
          <w:sz w:val="24"/>
          <w:szCs w:val="24"/>
        </w:rPr>
        <w:t>and</w:t>
      </w:r>
      <w:r w:rsidRPr="0031664B" w:rsidR="00CB2708">
        <w:rPr>
          <w:rFonts w:ascii="Palatino Linotype" w:hAnsi="Palatino Linotype"/>
          <w:bCs/>
          <w:sz w:val="24"/>
          <w:szCs w:val="24"/>
        </w:rPr>
        <w:t xml:space="preserve"> </w:t>
      </w:r>
      <w:r w:rsidRPr="0031664B" w:rsidR="0084235A">
        <w:rPr>
          <w:rFonts w:ascii="Palatino Linotype" w:hAnsi="Palatino Linotype"/>
          <w:sz w:val="24"/>
          <w:szCs w:val="24"/>
        </w:rPr>
        <w:t xml:space="preserve">AL </w:t>
      </w:r>
      <w:r w:rsidRPr="0031664B" w:rsidR="00CB2708">
        <w:rPr>
          <w:rFonts w:ascii="Palatino Linotype" w:hAnsi="Palatino Linotype"/>
          <w:sz w:val="24"/>
          <w:szCs w:val="24"/>
        </w:rPr>
        <w:t>4922-E</w:t>
      </w:r>
      <w:r w:rsidRPr="0031664B" w:rsidR="0084235A">
        <w:rPr>
          <w:rFonts w:ascii="Palatino Linotype" w:hAnsi="Palatino Linotype"/>
          <w:sz w:val="24"/>
          <w:szCs w:val="24"/>
        </w:rPr>
        <w:t>.</w:t>
      </w:r>
      <w:r w:rsidRPr="0031664B" w:rsidR="00B0758E">
        <w:rPr>
          <w:rStyle w:val="FootnoteReference"/>
          <w:rFonts w:ascii="Palatino Linotype" w:hAnsi="Palatino Linotype"/>
          <w:sz w:val="24"/>
          <w:szCs w:val="24"/>
        </w:rPr>
        <w:footnoteReference w:id="15"/>
      </w:r>
      <w:r w:rsidRPr="0031664B" w:rsidR="00505A91">
        <w:rPr>
          <w:rFonts w:ascii="Palatino Linotype" w:hAnsi="Palatino Linotype"/>
          <w:sz w:val="24"/>
          <w:szCs w:val="24"/>
        </w:rPr>
        <w:t xml:space="preserve"> Seventh, </w:t>
      </w:r>
      <w:r w:rsidRPr="0031664B">
        <w:rPr>
          <w:rFonts w:ascii="Palatino Linotype" w:hAnsi="Palatino Linotype"/>
          <w:sz w:val="24"/>
          <w:szCs w:val="24"/>
        </w:rPr>
        <w:t>PG&amp;E</w:t>
      </w:r>
      <w:r w:rsidRPr="0031664B" w:rsidR="00505A91">
        <w:rPr>
          <w:rFonts w:ascii="Palatino Linotype" w:hAnsi="Palatino Linotype"/>
          <w:sz w:val="24"/>
          <w:szCs w:val="24"/>
        </w:rPr>
        <w:t xml:space="preserve"> did not participate in its own solicitation and therefore was not required to follow the Code of Conduct approved in AL </w:t>
      </w:r>
      <w:r w:rsidRPr="0031664B" w:rsidR="00314C97">
        <w:rPr>
          <w:rFonts w:ascii="Palatino Linotype" w:hAnsi="Palatino Linotype"/>
          <w:sz w:val="24"/>
          <w:szCs w:val="24"/>
        </w:rPr>
        <w:t>6779-E</w:t>
      </w:r>
      <w:r w:rsidRPr="0031664B" w:rsidR="00505A91">
        <w:rPr>
          <w:rFonts w:ascii="Palatino Linotype" w:hAnsi="Palatino Linotype"/>
          <w:sz w:val="24"/>
          <w:szCs w:val="24"/>
        </w:rPr>
        <w:t>.</w:t>
      </w:r>
      <w:r w:rsidRPr="0031664B" w:rsidR="00B0758E">
        <w:rPr>
          <w:rStyle w:val="FootnoteReference"/>
          <w:rFonts w:ascii="Palatino Linotype" w:hAnsi="Palatino Linotype"/>
          <w:sz w:val="24"/>
          <w:szCs w:val="24"/>
        </w:rPr>
        <w:footnoteReference w:id="16"/>
      </w:r>
      <w:r w:rsidRPr="0031664B" w:rsidR="00505A91">
        <w:rPr>
          <w:rFonts w:ascii="Palatino Linotype" w:hAnsi="Palatino Linotype"/>
          <w:sz w:val="24"/>
          <w:szCs w:val="24"/>
        </w:rPr>
        <w:t xml:space="preserve"> E</w:t>
      </w:r>
      <w:r w:rsidRPr="0031664B" w:rsidR="00D469B0">
        <w:rPr>
          <w:rFonts w:ascii="Palatino Linotype" w:hAnsi="Palatino Linotype"/>
          <w:sz w:val="24"/>
          <w:szCs w:val="24"/>
        </w:rPr>
        <w:t>ight</w:t>
      </w:r>
      <w:r w:rsidRPr="0031664B" w:rsidR="00D820C8">
        <w:rPr>
          <w:rFonts w:ascii="Palatino Linotype" w:hAnsi="Palatino Linotype"/>
          <w:sz w:val="24"/>
          <w:szCs w:val="24"/>
        </w:rPr>
        <w:t>h</w:t>
      </w:r>
      <w:r w:rsidRPr="0031664B" w:rsidR="00505A91">
        <w:rPr>
          <w:rFonts w:ascii="Palatino Linotype" w:hAnsi="Palatino Linotype"/>
          <w:sz w:val="24"/>
          <w:szCs w:val="24"/>
        </w:rPr>
        <w:t xml:space="preserve">, </w:t>
      </w:r>
      <w:r w:rsidRPr="0031664B">
        <w:rPr>
          <w:rFonts w:ascii="Palatino Linotype" w:hAnsi="Palatino Linotype"/>
          <w:sz w:val="24"/>
          <w:szCs w:val="24"/>
        </w:rPr>
        <w:t>PG&amp;E</w:t>
      </w:r>
      <w:r w:rsidRPr="0031664B" w:rsidR="006F6F1D">
        <w:rPr>
          <w:rFonts w:ascii="Palatino Linotype" w:hAnsi="Palatino Linotype"/>
          <w:sz w:val="24"/>
          <w:szCs w:val="24"/>
        </w:rPr>
        <w:t xml:space="preserve"> did not hold a concurrent RPS solicitation outside of the Market Offer process.</w:t>
      </w:r>
      <w:r w:rsidRPr="0031664B" w:rsidR="00905D0E">
        <w:rPr>
          <w:rStyle w:val="FootnoteReference"/>
          <w:rFonts w:ascii="Palatino Linotype" w:hAnsi="Palatino Linotype"/>
          <w:sz w:val="24"/>
          <w:szCs w:val="24"/>
        </w:rPr>
        <w:footnoteReference w:id="17"/>
      </w:r>
      <w:r w:rsidRPr="0031664B" w:rsidR="00D469B0">
        <w:rPr>
          <w:rFonts w:ascii="Palatino Linotype" w:hAnsi="Palatino Linotype"/>
          <w:sz w:val="24"/>
          <w:szCs w:val="24"/>
        </w:rPr>
        <w:t xml:space="preserve"> Lastly, </w:t>
      </w:r>
      <w:r w:rsidRPr="0031664B">
        <w:rPr>
          <w:rFonts w:ascii="Palatino Linotype" w:hAnsi="Palatino Linotype"/>
          <w:sz w:val="24"/>
          <w:szCs w:val="24"/>
        </w:rPr>
        <w:t>PG&amp;E</w:t>
      </w:r>
      <w:r w:rsidRPr="0031664B" w:rsidR="00D469B0">
        <w:rPr>
          <w:rFonts w:ascii="Palatino Linotype" w:hAnsi="Palatino Linotype"/>
          <w:sz w:val="24"/>
          <w:szCs w:val="24"/>
        </w:rPr>
        <w:t xml:space="preserve"> </w:t>
      </w:r>
      <w:r w:rsidRPr="0031664B" w:rsidR="001345D3">
        <w:rPr>
          <w:rFonts w:ascii="Palatino Linotype" w:hAnsi="Palatino Linotype"/>
          <w:sz w:val="24"/>
          <w:szCs w:val="24"/>
        </w:rPr>
        <w:t xml:space="preserve">engaged </w:t>
      </w:r>
      <w:r w:rsidRPr="0031664B" w:rsidR="008A3ECB">
        <w:rPr>
          <w:rFonts w:ascii="Palatino Linotype" w:hAnsi="Palatino Linotype"/>
          <w:sz w:val="24"/>
          <w:szCs w:val="24"/>
        </w:rPr>
        <w:t>Arroyo Seco</w:t>
      </w:r>
      <w:r w:rsidRPr="0031664B" w:rsidR="001345D3">
        <w:rPr>
          <w:rFonts w:ascii="Palatino Linotype" w:hAnsi="Palatino Linotype"/>
          <w:sz w:val="24"/>
          <w:szCs w:val="24"/>
        </w:rPr>
        <w:t xml:space="preserve">, </w:t>
      </w:r>
      <w:r w:rsidRPr="0031664B" w:rsidR="00AE24B0">
        <w:rPr>
          <w:rFonts w:ascii="Palatino Linotype" w:hAnsi="Palatino Linotype"/>
          <w:sz w:val="24"/>
          <w:szCs w:val="24"/>
        </w:rPr>
        <w:t>as IE</w:t>
      </w:r>
      <w:r w:rsidRPr="0031664B" w:rsidR="001345D3">
        <w:rPr>
          <w:rFonts w:ascii="Palatino Linotype" w:hAnsi="Palatino Linotype"/>
          <w:sz w:val="24"/>
          <w:szCs w:val="24"/>
        </w:rPr>
        <w:t xml:space="preserve"> for this </w:t>
      </w:r>
      <w:r w:rsidRPr="0031664B" w:rsidR="00AE24B0">
        <w:rPr>
          <w:rFonts w:ascii="Palatino Linotype" w:hAnsi="Palatino Linotype"/>
          <w:sz w:val="24"/>
          <w:szCs w:val="24"/>
        </w:rPr>
        <w:t>s</w:t>
      </w:r>
      <w:r w:rsidRPr="0031664B" w:rsidR="001345D3">
        <w:rPr>
          <w:rFonts w:ascii="Palatino Linotype" w:hAnsi="Palatino Linotype"/>
          <w:sz w:val="24"/>
          <w:szCs w:val="24"/>
        </w:rPr>
        <w:t>olicitation</w:t>
      </w:r>
      <w:r w:rsidRPr="0031664B" w:rsidR="00825599">
        <w:rPr>
          <w:rFonts w:ascii="Palatino Linotype" w:hAnsi="Palatino Linotype"/>
          <w:sz w:val="24"/>
          <w:szCs w:val="24"/>
        </w:rPr>
        <w:t xml:space="preserve"> and consulted the PRG</w:t>
      </w:r>
      <w:r w:rsidRPr="0031664B" w:rsidR="00AE24B0">
        <w:rPr>
          <w:rFonts w:ascii="Palatino Linotype" w:hAnsi="Palatino Linotype"/>
          <w:sz w:val="24"/>
          <w:szCs w:val="24"/>
        </w:rPr>
        <w:t>.</w:t>
      </w:r>
      <w:r w:rsidRPr="0031664B" w:rsidR="00905D0E">
        <w:rPr>
          <w:rStyle w:val="FootnoteReference"/>
          <w:rFonts w:ascii="Palatino Linotype" w:hAnsi="Palatino Linotype"/>
          <w:sz w:val="24"/>
          <w:szCs w:val="24"/>
        </w:rPr>
        <w:footnoteReference w:id="18"/>
      </w:r>
      <w:r w:rsidRPr="0031664B" w:rsidR="00905D0E">
        <w:rPr>
          <w:rFonts w:ascii="Palatino Linotype" w:hAnsi="Palatino Linotype"/>
          <w:sz w:val="24"/>
          <w:szCs w:val="24"/>
        </w:rPr>
        <w:t xml:space="preserve"> Therefore, </w:t>
      </w:r>
      <w:r w:rsidRPr="0031664B" w:rsidR="00905D0E">
        <w:rPr>
          <w:rFonts w:ascii="Palatino Linotype" w:hAnsi="Palatino Linotype"/>
          <w:sz w:val="24"/>
          <w:szCs w:val="24"/>
          <w:u w:val="single"/>
        </w:rPr>
        <w:t xml:space="preserve">the </w:t>
      </w:r>
      <w:r w:rsidRPr="0031664B" w:rsidR="006337C8">
        <w:rPr>
          <w:rFonts w:ascii="Palatino Linotype" w:hAnsi="Palatino Linotype"/>
          <w:sz w:val="24"/>
          <w:szCs w:val="24"/>
          <w:u w:val="single"/>
        </w:rPr>
        <w:t>Transactions</w:t>
      </w:r>
      <w:r w:rsidRPr="0031664B" w:rsidR="00905D0E">
        <w:rPr>
          <w:rFonts w:ascii="Palatino Linotype" w:hAnsi="Palatino Linotype"/>
          <w:sz w:val="24"/>
          <w:szCs w:val="24"/>
          <w:u w:val="single"/>
        </w:rPr>
        <w:t xml:space="preserve"> </w:t>
      </w:r>
      <w:r w:rsidRPr="0031664B" w:rsidR="006337C8">
        <w:rPr>
          <w:rFonts w:ascii="Palatino Linotype" w:hAnsi="Palatino Linotype"/>
          <w:sz w:val="24"/>
          <w:szCs w:val="24"/>
          <w:u w:val="single"/>
        </w:rPr>
        <w:t>are</w:t>
      </w:r>
      <w:r w:rsidRPr="0031664B" w:rsidR="00905D0E">
        <w:rPr>
          <w:rFonts w:ascii="Palatino Linotype" w:hAnsi="Palatino Linotype"/>
          <w:sz w:val="24"/>
          <w:szCs w:val="24"/>
          <w:u w:val="single"/>
        </w:rPr>
        <w:t xml:space="preserve"> consistent with </w:t>
      </w:r>
      <w:r w:rsidRPr="0031664B" w:rsidR="00B0758E">
        <w:rPr>
          <w:rFonts w:ascii="Palatino Linotype" w:hAnsi="Palatino Linotype"/>
          <w:sz w:val="24"/>
          <w:szCs w:val="24"/>
          <w:u w:val="single"/>
        </w:rPr>
        <w:t>the requirements established by D.22-11-021</w:t>
      </w:r>
      <w:r w:rsidRPr="0031664B" w:rsidR="00905D0E">
        <w:rPr>
          <w:rFonts w:ascii="Palatino Linotype" w:hAnsi="Palatino Linotype"/>
          <w:sz w:val="24"/>
          <w:szCs w:val="24"/>
          <w:u w:val="single"/>
        </w:rPr>
        <w:t>.</w:t>
      </w:r>
    </w:p>
    <w:p w:rsidRPr="0031664B" w:rsidR="00B40851" w:rsidP="00612BCE" w:rsidRDefault="00B40851" w14:paraId="17EE21A4" w14:textId="29701C78">
      <w:pPr>
        <w:rPr>
          <w:rFonts w:ascii="Palatino Linotype" w:hAnsi="Palatino Linotype"/>
          <w:b/>
          <w:sz w:val="24"/>
          <w:szCs w:val="24"/>
        </w:rPr>
      </w:pPr>
    </w:p>
    <w:p w:rsidRPr="0031664B" w:rsidR="00A57986" w:rsidP="00A57986" w:rsidRDefault="00A57986" w14:paraId="4954DC83" w14:textId="525E168F">
      <w:pPr>
        <w:rPr>
          <w:rFonts w:ascii="Palatino Linotype" w:hAnsi="Palatino Linotype"/>
          <w:b/>
          <w:sz w:val="24"/>
          <w:szCs w:val="24"/>
        </w:rPr>
      </w:pPr>
      <w:r w:rsidRPr="0031664B">
        <w:rPr>
          <w:rFonts w:ascii="Palatino Linotype" w:hAnsi="Palatino Linotype"/>
          <w:b/>
          <w:sz w:val="24"/>
          <w:szCs w:val="24"/>
        </w:rPr>
        <w:t xml:space="preserve">Consistency with </w:t>
      </w:r>
      <w:r w:rsidRPr="0031664B" w:rsidR="00B87259">
        <w:rPr>
          <w:rFonts w:ascii="Palatino Linotype" w:hAnsi="Palatino Linotype"/>
          <w:b/>
          <w:sz w:val="24"/>
          <w:szCs w:val="24"/>
        </w:rPr>
        <w:t>PG&amp;E</w:t>
      </w:r>
      <w:r w:rsidRPr="0031664B">
        <w:rPr>
          <w:rFonts w:ascii="Palatino Linotype" w:hAnsi="Palatino Linotype"/>
          <w:b/>
          <w:sz w:val="24"/>
          <w:szCs w:val="24"/>
        </w:rPr>
        <w:t xml:space="preserve">’s </w:t>
      </w:r>
      <w:r w:rsidRPr="0031664B" w:rsidR="001E641C">
        <w:rPr>
          <w:rFonts w:ascii="Palatino Linotype" w:hAnsi="Palatino Linotype"/>
          <w:b/>
          <w:sz w:val="24"/>
          <w:szCs w:val="24"/>
        </w:rPr>
        <w:t>2022</w:t>
      </w:r>
      <w:r w:rsidRPr="0031664B">
        <w:rPr>
          <w:rFonts w:ascii="Palatino Linotype" w:hAnsi="Palatino Linotype"/>
          <w:b/>
          <w:sz w:val="24"/>
          <w:szCs w:val="24"/>
        </w:rPr>
        <w:t xml:space="preserve"> RPS Procurement Plan and RPS Portfolio Need</w:t>
      </w:r>
    </w:p>
    <w:p w:rsidRPr="0031664B" w:rsidR="00612BCE" w:rsidP="00612BCE" w:rsidRDefault="00612BCE" w14:paraId="78A959DC" w14:textId="063ECF3F">
      <w:pPr>
        <w:rPr>
          <w:rFonts w:ascii="Palatino Linotype" w:hAnsi="Palatino Linotype"/>
          <w:sz w:val="24"/>
          <w:szCs w:val="24"/>
        </w:rPr>
      </w:pPr>
      <w:r w:rsidRPr="0031664B">
        <w:rPr>
          <w:rFonts w:ascii="Palatino Linotype" w:hAnsi="Palatino Linotype"/>
          <w:sz w:val="24"/>
          <w:szCs w:val="24"/>
        </w:rPr>
        <w:t>Pursuant to statute</w:t>
      </w:r>
      <w:r w:rsidRPr="0031664B" w:rsidR="00B5031A">
        <w:rPr>
          <w:rFonts w:ascii="Palatino Linotype" w:hAnsi="Palatino Linotype"/>
          <w:sz w:val="24"/>
          <w:szCs w:val="24"/>
        </w:rPr>
        <w:t xml:space="preserve"> PU</w:t>
      </w:r>
      <w:r w:rsidRPr="0031664B" w:rsidR="00F723C6">
        <w:rPr>
          <w:rFonts w:ascii="Palatino Linotype" w:hAnsi="Palatino Linotype"/>
          <w:sz w:val="24"/>
          <w:szCs w:val="24"/>
        </w:rPr>
        <w:t xml:space="preserve"> </w:t>
      </w:r>
      <w:r w:rsidRPr="0031664B" w:rsidR="00B5031A">
        <w:rPr>
          <w:rFonts w:ascii="Palatino Linotype" w:hAnsi="Palatino Linotype"/>
          <w:sz w:val="24"/>
          <w:szCs w:val="24"/>
        </w:rPr>
        <w:t>C</w:t>
      </w:r>
      <w:r w:rsidRPr="0031664B" w:rsidR="00F723C6">
        <w:rPr>
          <w:rFonts w:ascii="Palatino Linotype" w:hAnsi="Palatino Linotype"/>
          <w:sz w:val="24"/>
          <w:szCs w:val="24"/>
        </w:rPr>
        <w:t>ode</w:t>
      </w:r>
      <w:r w:rsidRPr="0031664B" w:rsidR="00B5031A">
        <w:rPr>
          <w:rFonts w:ascii="Palatino Linotype" w:hAnsi="Palatino Linotype"/>
          <w:sz w:val="24"/>
          <w:szCs w:val="24"/>
        </w:rPr>
        <w:t xml:space="preserve"> 399.13</w:t>
      </w:r>
      <w:r w:rsidRPr="0031664B">
        <w:rPr>
          <w:rFonts w:ascii="Palatino Linotype" w:hAnsi="Palatino Linotype"/>
          <w:sz w:val="24"/>
          <w:szCs w:val="24"/>
        </w:rPr>
        <w:t xml:space="preserve">, </w:t>
      </w:r>
      <w:r w:rsidRPr="0031664B" w:rsidR="00B87259">
        <w:rPr>
          <w:rFonts w:ascii="Palatino Linotype" w:hAnsi="Palatino Linotype"/>
          <w:sz w:val="24"/>
          <w:szCs w:val="24"/>
        </w:rPr>
        <w:t>PG&amp;E</w:t>
      </w:r>
      <w:r w:rsidRPr="0031664B">
        <w:rPr>
          <w:rFonts w:ascii="Palatino Linotype" w:hAnsi="Palatino Linotype"/>
          <w:sz w:val="24"/>
          <w:szCs w:val="24"/>
        </w:rPr>
        <w:t xml:space="preserve">’s RPS Procurement Plan (Plan) includes an assessment of RPS supply and demand to determine the optimal mix of renewable generation resources; description of existing RPS portfolio; description of potential RPS compliance delays; status update of projects within its RPS portfolio; an assessment of the project failure and delay risk within its RPS portfolio; and bid solicitation protocol </w:t>
      </w:r>
      <w:r w:rsidRPr="0031664B">
        <w:rPr>
          <w:rFonts w:ascii="Palatino Linotype" w:hAnsi="Palatino Linotype"/>
          <w:sz w:val="24"/>
          <w:szCs w:val="24"/>
        </w:rPr>
        <w:lastRenderedPageBreak/>
        <w:t>setting forth the need for renewable generation of various operational characteristics.</w:t>
      </w:r>
      <w:r w:rsidRPr="0031664B">
        <w:rPr>
          <w:rStyle w:val="FootnoteReference"/>
          <w:rFonts w:ascii="Palatino Linotype" w:hAnsi="Palatino Linotype"/>
          <w:sz w:val="24"/>
          <w:szCs w:val="24"/>
        </w:rPr>
        <w:footnoteReference w:id="19"/>
      </w:r>
      <w:r w:rsidRPr="0031664B">
        <w:rPr>
          <w:rFonts w:ascii="Palatino Linotype" w:hAnsi="Palatino Linotype"/>
          <w:sz w:val="24"/>
          <w:szCs w:val="24"/>
        </w:rPr>
        <w:t xml:space="preserve"> California’s RPS statute also requires that the Commission review the results of a renewable energy resource solicitation submitted for approval by a utility.</w:t>
      </w:r>
      <w:r w:rsidRPr="0031664B">
        <w:rPr>
          <w:rStyle w:val="FootnoteReference"/>
          <w:rFonts w:ascii="Palatino Linotype" w:hAnsi="Palatino Linotype"/>
          <w:sz w:val="24"/>
          <w:szCs w:val="24"/>
        </w:rPr>
        <w:footnoteReference w:id="20"/>
      </w:r>
      <w:r w:rsidRPr="0031664B">
        <w:rPr>
          <w:rFonts w:ascii="Palatino Linotype" w:hAnsi="Palatino Linotype"/>
          <w:sz w:val="24"/>
          <w:szCs w:val="24"/>
        </w:rPr>
        <w:t xml:space="preserve"> The Commission reviews the results to verify that the utility conducted its solicitation according to its Commission-approved procurement plan. </w:t>
      </w:r>
    </w:p>
    <w:p w:rsidRPr="0031664B" w:rsidR="00612BCE" w:rsidP="00612BCE" w:rsidRDefault="00612BCE" w14:paraId="13E957C4" w14:textId="77777777">
      <w:pPr>
        <w:rPr>
          <w:rFonts w:ascii="Palatino Linotype" w:hAnsi="Palatino Linotype"/>
          <w:sz w:val="24"/>
          <w:szCs w:val="24"/>
        </w:rPr>
      </w:pPr>
    </w:p>
    <w:p w:rsidRPr="0031664B" w:rsidR="00612BCE" w:rsidP="00612BCE" w:rsidRDefault="00612BCE" w14:paraId="0BE45759" w14:textId="384B9DCF">
      <w:pPr>
        <w:rPr>
          <w:rFonts w:ascii="Palatino Linotype" w:hAnsi="Palatino Linotype"/>
          <w:sz w:val="24"/>
          <w:szCs w:val="24"/>
        </w:rPr>
      </w:pPr>
      <w:r w:rsidRPr="0031664B">
        <w:rPr>
          <w:rFonts w:ascii="Palatino Linotype" w:hAnsi="Palatino Linotype"/>
          <w:sz w:val="24"/>
          <w:szCs w:val="24"/>
        </w:rPr>
        <w:t xml:space="preserve">In </w:t>
      </w:r>
      <w:r w:rsidRPr="0031664B" w:rsidR="00B87259">
        <w:rPr>
          <w:rFonts w:ascii="Palatino Linotype" w:hAnsi="Palatino Linotype"/>
          <w:sz w:val="24"/>
          <w:szCs w:val="24"/>
        </w:rPr>
        <w:t>PG&amp;E</w:t>
      </w:r>
      <w:r w:rsidRPr="0031664B">
        <w:rPr>
          <w:rFonts w:ascii="Palatino Linotype" w:hAnsi="Palatino Linotype"/>
          <w:sz w:val="24"/>
          <w:szCs w:val="24"/>
        </w:rPr>
        <w:t>’s 20</w:t>
      </w:r>
      <w:r w:rsidRPr="0031664B" w:rsidR="001F3031">
        <w:rPr>
          <w:rFonts w:ascii="Palatino Linotype" w:hAnsi="Palatino Linotype"/>
          <w:sz w:val="24"/>
          <w:szCs w:val="24"/>
        </w:rPr>
        <w:t>2</w:t>
      </w:r>
      <w:r w:rsidRPr="0031664B" w:rsidR="007F231C">
        <w:rPr>
          <w:rFonts w:ascii="Palatino Linotype" w:hAnsi="Palatino Linotype"/>
          <w:sz w:val="24"/>
          <w:szCs w:val="24"/>
        </w:rPr>
        <w:t xml:space="preserve">2 </w:t>
      </w:r>
      <w:r w:rsidRPr="0031664B">
        <w:rPr>
          <w:rFonts w:ascii="Palatino Linotype" w:hAnsi="Palatino Linotype"/>
          <w:sz w:val="24"/>
          <w:szCs w:val="24"/>
        </w:rPr>
        <w:t>RPS Plan</w:t>
      </w:r>
      <w:r w:rsidRPr="0031664B" w:rsidR="00EF2CBB">
        <w:rPr>
          <w:rFonts w:ascii="Palatino Linotype" w:hAnsi="Palatino Linotype"/>
          <w:sz w:val="24"/>
          <w:szCs w:val="24"/>
        </w:rPr>
        <w:t xml:space="preserve">, </w:t>
      </w:r>
      <w:r w:rsidRPr="0031664B" w:rsidR="00B87259">
        <w:rPr>
          <w:rFonts w:ascii="Palatino Linotype" w:hAnsi="Palatino Linotype"/>
          <w:sz w:val="24"/>
          <w:szCs w:val="24"/>
        </w:rPr>
        <w:t>PG&amp;E</w:t>
      </w:r>
      <w:r w:rsidRPr="0031664B" w:rsidR="00EF2CBB">
        <w:rPr>
          <w:rFonts w:ascii="Palatino Linotype" w:hAnsi="Palatino Linotype"/>
          <w:sz w:val="24"/>
          <w:szCs w:val="24"/>
        </w:rPr>
        <w:t xml:space="preserve"> forecast</w:t>
      </w:r>
      <w:r w:rsidRPr="0031664B" w:rsidR="007F231C">
        <w:rPr>
          <w:rFonts w:ascii="Palatino Linotype" w:hAnsi="Palatino Linotype"/>
          <w:sz w:val="24"/>
          <w:szCs w:val="24"/>
        </w:rPr>
        <w:t>ed having</w:t>
      </w:r>
      <w:r w:rsidRPr="0031664B" w:rsidR="00EF2CBB">
        <w:rPr>
          <w:rFonts w:ascii="Palatino Linotype" w:hAnsi="Palatino Linotype"/>
          <w:sz w:val="24"/>
          <w:szCs w:val="24"/>
        </w:rPr>
        <w:t xml:space="preserve"> a net long </w:t>
      </w:r>
      <w:r w:rsidRPr="0031664B" w:rsidR="0041038D">
        <w:rPr>
          <w:rFonts w:ascii="Palatino Linotype" w:hAnsi="Palatino Linotype"/>
          <w:sz w:val="24"/>
          <w:szCs w:val="24"/>
        </w:rPr>
        <w:t xml:space="preserve">RPS </w:t>
      </w:r>
      <w:r w:rsidRPr="0031664B" w:rsidR="00EF2CBB">
        <w:rPr>
          <w:rFonts w:ascii="Palatino Linotype" w:hAnsi="Palatino Linotype"/>
          <w:sz w:val="24"/>
          <w:szCs w:val="24"/>
        </w:rPr>
        <w:t xml:space="preserve">position through the end of </w:t>
      </w:r>
      <w:r w:rsidRPr="0031664B" w:rsidR="0018365F">
        <w:rPr>
          <w:rFonts w:ascii="Palatino Linotype" w:hAnsi="Palatino Linotype"/>
          <w:sz w:val="24"/>
          <w:szCs w:val="24"/>
        </w:rPr>
        <w:t xml:space="preserve">Compliance Period </w:t>
      </w:r>
      <w:r w:rsidRPr="0031664B" w:rsidR="00EF2CBB">
        <w:rPr>
          <w:rFonts w:ascii="Palatino Linotype" w:hAnsi="Palatino Linotype"/>
          <w:sz w:val="24"/>
          <w:szCs w:val="24"/>
        </w:rPr>
        <w:t xml:space="preserve">5 (2025-2027) with the use of </w:t>
      </w:r>
      <w:r w:rsidRPr="0031664B" w:rsidR="0018365F">
        <w:rPr>
          <w:rFonts w:ascii="Palatino Linotype" w:hAnsi="Palatino Linotype"/>
          <w:sz w:val="24"/>
          <w:szCs w:val="24"/>
        </w:rPr>
        <w:t xml:space="preserve">its </w:t>
      </w:r>
      <w:r w:rsidRPr="0031664B" w:rsidR="00EF2CBB">
        <w:rPr>
          <w:rFonts w:ascii="Palatino Linotype" w:hAnsi="Palatino Linotype"/>
          <w:sz w:val="24"/>
          <w:szCs w:val="24"/>
        </w:rPr>
        <w:t>RPS bank.</w:t>
      </w:r>
      <w:r w:rsidRPr="0031664B" w:rsidR="00515CEE">
        <w:rPr>
          <w:rStyle w:val="FootnoteReference"/>
          <w:rFonts w:ascii="Palatino Linotype" w:hAnsi="Palatino Linotype"/>
          <w:sz w:val="24"/>
          <w:szCs w:val="24"/>
        </w:rPr>
        <w:footnoteReference w:id="21"/>
      </w:r>
      <w:r w:rsidRPr="0031664B" w:rsidR="00B53C7B">
        <w:rPr>
          <w:rFonts w:ascii="Palatino Linotype" w:hAnsi="Palatino Linotype"/>
          <w:sz w:val="24"/>
          <w:szCs w:val="24"/>
        </w:rPr>
        <w:t xml:space="preserve"> </w:t>
      </w:r>
      <w:r w:rsidRPr="0031664B" w:rsidR="00B87259">
        <w:rPr>
          <w:rFonts w:ascii="Palatino Linotype" w:hAnsi="Palatino Linotype"/>
          <w:sz w:val="24"/>
          <w:szCs w:val="24"/>
        </w:rPr>
        <w:t>PG&amp;E</w:t>
      </w:r>
      <w:r w:rsidRPr="0031664B" w:rsidR="00B53C7B">
        <w:rPr>
          <w:rFonts w:ascii="Palatino Linotype" w:hAnsi="Palatino Linotype"/>
          <w:sz w:val="24"/>
          <w:szCs w:val="24"/>
        </w:rPr>
        <w:t>’s forecast include</w:t>
      </w:r>
      <w:r w:rsidRPr="0031664B" w:rsidR="00343CEC">
        <w:rPr>
          <w:rFonts w:ascii="Palatino Linotype" w:hAnsi="Palatino Linotype"/>
          <w:sz w:val="24"/>
          <w:szCs w:val="24"/>
        </w:rPr>
        <w:t>d</w:t>
      </w:r>
      <w:r w:rsidRPr="0031664B" w:rsidR="001E641C">
        <w:rPr>
          <w:rFonts w:ascii="Palatino Linotype" w:hAnsi="Palatino Linotype"/>
          <w:sz w:val="24"/>
          <w:szCs w:val="24"/>
        </w:rPr>
        <w:t xml:space="preserve"> consideration of the</w:t>
      </w:r>
      <w:r w:rsidRPr="0031664B" w:rsidR="003E2B8B">
        <w:rPr>
          <w:rFonts w:ascii="Palatino Linotype" w:hAnsi="Palatino Linotype"/>
          <w:sz w:val="24"/>
          <w:szCs w:val="24"/>
        </w:rPr>
        <w:t xml:space="preserve"> VAMO </w:t>
      </w:r>
      <w:r w:rsidRPr="0031664B" w:rsidR="00F57A7D">
        <w:rPr>
          <w:rFonts w:ascii="Palatino Linotype" w:hAnsi="Palatino Linotype"/>
          <w:sz w:val="24"/>
          <w:szCs w:val="24"/>
        </w:rPr>
        <w:t>implementation</w:t>
      </w:r>
      <w:r w:rsidRPr="0031664B" w:rsidR="004C1AC8">
        <w:rPr>
          <w:rFonts w:ascii="Palatino Linotype" w:hAnsi="Palatino Linotype"/>
          <w:sz w:val="24"/>
          <w:szCs w:val="24"/>
        </w:rPr>
        <w:t xml:space="preserve"> and assumes that PG&amp;E only retains its own bundled share of the available VAMO volumes and that all remaining Market Offer volumes are successfully sold. Therefore, its R</w:t>
      </w:r>
      <w:r w:rsidRPr="0031664B" w:rsidR="006337C8">
        <w:rPr>
          <w:rFonts w:ascii="Palatino Linotype" w:hAnsi="Palatino Linotype"/>
          <w:sz w:val="24"/>
          <w:szCs w:val="24"/>
        </w:rPr>
        <w:t>P</w:t>
      </w:r>
      <w:r w:rsidRPr="0031664B" w:rsidR="004C1AC8">
        <w:rPr>
          <w:rFonts w:ascii="Palatino Linotype" w:hAnsi="Palatino Linotype"/>
          <w:sz w:val="24"/>
          <w:szCs w:val="24"/>
        </w:rPr>
        <w:t xml:space="preserve">S position already accounts for the impact of these Transactions. </w:t>
      </w:r>
      <w:r w:rsidRPr="0031664B" w:rsidR="00B87259">
        <w:rPr>
          <w:rFonts w:ascii="Palatino Linotype" w:hAnsi="Palatino Linotype"/>
          <w:sz w:val="24"/>
          <w:szCs w:val="24"/>
        </w:rPr>
        <w:t>PG&amp;E</w:t>
      </w:r>
      <w:r w:rsidRPr="0031664B" w:rsidR="00B97FB4">
        <w:rPr>
          <w:rFonts w:ascii="Palatino Linotype" w:hAnsi="Palatino Linotype"/>
          <w:sz w:val="24"/>
          <w:szCs w:val="24"/>
        </w:rPr>
        <w:t xml:space="preserve">’s 2022 Draft RPS Procurement Plan was approved by D.22-12-030 on December 15, 2022.  </w:t>
      </w:r>
    </w:p>
    <w:p w:rsidRPr="0031664B" w:rsidR="00C23995" w:rsidP="00612BCE" w:rsidRDefault="00C23995" w14:paraId="49D7FBC5" w14:textId="77777777">
      <w:pPr>
        <w:rPr>
          <w:rFonts w:ascii="Palatino Linotype" w:hAnsi="Palatino Linotype"/>
          <w:sz w:val="24"/>
          <w:szCs w:val="24"/>
        </w:rPr>
      </w:pPr>
    </w:p>
    <w:p w:rsidRPr="0031664B" w:rsidR="00612BCE" w:rsidP="00612BCE" w:rsidRDefault="00612BCE" w14:paraId="48A70C44" w14:textId="22ADE3DB">
      <w:pPr>
        <w:rPr>
          <w:rFonts w:ascii="Palatino Linotype" w:hAnsi="Palatino Linotype"/>
          <w:sz w:val="24"/>
          <w:szCs w:val="24"/>
        </w:rPr>
      </w:pPr>
      <w:r w:rsidRPr="0031664B">
        <w:rPr>
          <w:rFonts w:ascii="Palatino Linotype" w:hAnsi="Palatino Linotype"/>
          <w:sz w:val="24"/>
          <w:szCs w:val="24"/>
        </w:rPr>
        <w:t xml:space="preserve">The </w:t>
      </w:r>
      <w:r w:rsidRPr="0031664B" w:rsidR="00E552A8">
        <w:rPr>
          <w:rFonts w:ascii="Palatino Linotype" w:hAnsi="Palatino Linotype"/>
          <w:sz w:val="24"/>
          <w:szCs w:val="24"/>
        </w:rPr>
        <w:t>Counterparties</w:t>
      </w:r>
      <w:r w:rsidRPr="0031664B" w:rsidR="00D7666A">
        <w:rPr>
          <w:rFonts w:ascii="Palatino Linotype" w:hAnsi="Palatino Linotype"/>
          <w:sz w:val="24"/>
          <w:szCs w:val="24"/>
        </w:rPr>
        <w:t xml:space="preserve"> </w:t>
      </w:r>
      <w:r w:rsidRPr="0031664B">
        <w:rPr>
          <w:rFonts w:ascii="Palatino Linotype" w:hAnsi="Palatino Linotype"/>
          <w:sz w:val="24"/>
          <w:szCs w:val="24"/>
        </w:rPr>
        <w:t xml:space="preserve">agreement is for the sale of renewable generation and associated RECs and is consistent with </w:t>
      </w:r>
      <w:r w:rsidRPr="0031664B" w:rsidR="00B87259">
        <w:rPr>
          <w:rFonts w:ascii="Palatino Linotype" w:hAnsi="Palatino Linotype"/>
          <w:sz w:val="24"/>
          <w:szCs w:val="24"/>
        </w:rPr>
        <w:t>PG&amp;E</w:t>
      </w:r>
      <w:r w:rsidRPr="0031664B">
        <w:rPr>
          <w:rFonts w:ascii="Palatino Linotype" w:hAnsi="Palatino Linotype"/>
          <w:sz w:val="24"/>
          <w:szCs w:val="24"/>
        </w:rPr>
        <w:t>’s renewable resource needs as identified in its 20</w:t>
      </w:r>
      <w:r w:rsidRPr="0031664B" w:rsidR="00D7666A">
        <w:rPr>
          <w:rFonts w:ascii="Palatino Linotype" w:hAnsi="Palatino Linotype"/>
          <w:sz w:val="24"/>
          <w:szCs w:val="24"/>
        </w:rPr>
        <w:t>22</w:t>
      </w:r>
      <w:r w:rsidRPr="0031664B">
        <w:rPr>
          <w:rFonts w:ascii="Palatino Linotype" w:hAnsi="Palatino Linotype"/>
          <w:sz w:val="24"/>
          <w:szCs w:val="24"/>
        </w:rPr>
        <w:t xml:space="preserve"> RPS Plan. Therefore, </w:t>
      </w:r>
      <w:r w:rsidRPr="0031664B">
        <w:rPr>
          <w:rFonts w:ascii="Palatino Linotype" w:hAnsi="Palatino Linotype"/>
          <w:sz w:val="24"/>
          <w:szCs w:val="24"/>
          <w:u w:val="single"/>
        </w:rPr>
        <w:t xml:space="preserve">the </w:t>
      </w:r>
      <w:r w:rsidRPr="0031664B" w:rsidR="006337C8">
        <w:rPr>
          <w:rFonts w:ascii="Palatino Linotype" w:hAnsi="Palatino Linotype"/>
          <w:sz w:val="24"/>
          <w:szCs w:val="24"/>
          <w:u w:val="single"/>
        </w:rPr>
        <w:t>Transactions</w:t>
      </w:r>
      <w:r w:rsidRPr="0031664B">
        <w:rPr>
          <w:rFonts w:ascii="Palatino Linotype" w:hAnsi="Palatino Linotype"/>
          <w:sz w:val="24"/>
          <w:szCs w:val="24"/>
          <w:u w:val="single"/>
        </w:rPr>
        <w:t xml:space="preserve"> </w:t>
      </w:r>
      <w:r w:rsidRPr="0031664B" w:rsidR="0018365F">
        <w:rPr>
          <w:rFonts w:ascii="Palatino Linotype" w:hAnsi="Palatino Linotype"/>
          <w:sz w:val="24"/>
          <w:szCs w:val="24"/>
          <w:u w:val="single"/>
        </w:rPr>
        <w:t>are</w:t>
      </w:r>
      <w:r w:rsidRPr="0031664B">
        <w:rPr>
          <w:rFonts w:ascii="Palatino Linotype" w:hAnsi="Palatino Linotype"/>
          <w:sz w:val="24"/>
          <w:szCs w:val="24"/>
          <w:u w:val="single"/>
        </w:rPr>
        <w:t xml:space="preserve"> consistent with </w:t>
      </w:r>
      <w:r w:rsidRPr="0031664B" w:rsidR="00B87259">
        <w:rPr>
          <w:rFonts w:ascii="Palatino Linotype" w:hAnsi="Palatino Linotype"/>
          <w:sz w:val="24"/>
          <w:szCs w:val="24"/>
          <w:u w:val="single"/>
        </w:rPr>
        <w:t>PG&amp;E</w:t>
      </w:r>
      <w:r w:rsidRPr="0031664B">
        <w:rPr>
          <w:rFonts w:ascii="Palatino Linotype" w:hAnsi="Palatino Linotype"/>
          <w:sz w:val="24"/>
          <w:szCs w:val="24"/>
          <w:u w:val="single"/>
        </w:rPr>
        <w:t>’s RPS portfolio needs in its 20</w:t>
      </w:r>
      <w:r w:rsidRPr="0031664B" w:rsidR="00D7666A">
        <w:rPr>
          <w:rFonts w:ascii="Palatino Linotype" w:hAnsi="Palatino Linotype"/>
          <w:sz w:val="24"/>
          <w:szCs w:val="24"/>
          <w:u w:val="single"/>
        </w:rPr>
        <w:t>22</w:t>
      </w:r>
      <w:r w:rsidRPr="0031664B">
        <w:rPr>
          <w:rFonts w:ascii="Palatino Linotype" w:hAnsi="Palatino Linotype"/>
          <w:sz w:val="24"/>
          <w:szCs w:val="24"/>
          <w:u w:val="single"/>
        </w:rPr>
        <w:t xml:space="preserve"> RPS Procurement Plan, as approved by D.</w:t>
      </w:r>
      <w:r w:rsidRPr="0031664B" w:rsidR="00D7666A">
        <w:rPr>
          <w:rFonts w:ascii="Palatino Linotype" w:hAnsi="Palatino Linotype"/>
          <w:sz w:val="24"/>
          <w:szCs w:val="24"/>
          <w:u w:val="single"/>
        </w:rPr>
        <w:t>22</w:t>
      </w:r>
      <w:r w:rsidRPr="0031664B" w:rsidR="00F57A7D">
        <w:rPr>
          <w:rFonts w:ascii="Palatino Linotype" w:hAnsi="Palatino Linotype"/>
          <w:sz w:val="24"/>
          <w:szCs w:val="24"/>
          <w:u w:val="single"/>
        </w:rPr>
        <w:t>-12-030</w:t>
      </w:r>
      <w:r w:rsidRPr="0031664B">
        <w:rPr>
          <w:rFonts w:ascii="Palatino Linotype" w:hAnsi="Palatino Linotype"/>
          <w:sz w:val="24"/>
          <w:szCs w:val="24"/>
          <w:u w:val="single"/>
        </w:rPr>
        <w:t>.</w:t>
      </w:r>
    </w:p>
    <w:p w:rsidRPr="0031664B" w:rsidR="00612BCE" w:rsidP="00612BCE" w:rsidRDefault="00612BCE" w14:paraId="4B8E69C4" w14:textId="77777777">
      <w:pPr>
        <w:rPr>
          <w:rFonts w:ascii="Palatino Linotype" w:hAnsi="Palatino Linotype"/>
          <w:b/>
          <w:sz w:val="24"/>
          <w:szCs w:val="24"/>
        </w:rPr>
      </w:pPr>
    </w:p>
    <w:p w:rsidRPr="0031664B" w:rsidR="00612BCE" w:rsidP="00612BCE" w:rsidRDefault="00612BCE" w14:paraId="317C4E9C" w14:textId="77777777">
      <w:pPr>
        <w:rPr>
          <w:rFonts w:ascii="Palatino Linotype" w:hAnsi="Palatino Linotype"/>
          <w:b/>
          <w:sz w:val="24"/>
          <w:szCs w:val="24"/>
        </w:rPr>
      </w:pPr>
      <w:r w:rsidRPr="0031664B">
        <w:rPr>
          <w:rFonts w:ascii="Palatino Linotype" w:hAnsi="Palatino Linotype"/>
          <w:b/>
          <w:sz w:val="24"/>
          <w:szCs w:val="24"/>
        </w:rPr>
        <w:t>Cost Reasonableness and Valuation</w:t>
      </w:r>
    </w:p>
    <w:p w:rsidRPr="0031664B" w:rsidR="00612BCE" w:rsidP="00612BCE" w:rsidRDefault="00612BCE" w14:paraId="08E07850" w14:textId="77777777">
      <w:pPr>
        <w:rPr>
          <w:rFonts w:ascii="Palatino Linotype" w:hAnsi="Palatino Linotype"/>
          <w:b/>
          <w:sz w:val="24"/>
          <w:szCs w:val="24"/>
          <w:highlight w:val="yellow"/>
        </w:rPr>
      </w:pPr>
    </w:p>
    <w:p w:rsidRPr="0031664B" w:rsidR="00612BCE" w:rsidP="00612BCE" w:rsidRDefault="00612BCE" w14:paraId="26744D09" w14:textId="2A888347">
      <w:pPr>
        <w:rPr>
          <w:rFonts w:ascii="Palatino Linotype" w:hAnsi="Palatino Linotype"/>
          <w:sz w:val="24"/>
          <w:szCs w:val="24"/>
        </w:rPr>
      </w:pPr>
      <w:r w:rsidRPr="0031664B">
        <w:rPr>
          <w:rFonts w:ascii="Palatino Linotype" w:hAnsi="Palatino Linotype"/>
          <w:sz w:val="24"/>
          <w:szCs w:val="24"/>
        </w:rPr>
        <w:t xml:space="preserve">In AL </w:t>
      </w:r>
      <w:r w:rsidRPr="0031664B" w:rsidR="007F56A0">
        <w:rPr>
          <w:rFonts w:ascii="Palatino Linotype" w:hAnsi="Palatino Linotype"/>
          <w:sz w:val="24"/>
          <w:szCs w:val="24"/>
        </w:rPr>
        <w:t>6977</w:t>
      </w:r>
      <w:r w:rsidRPr="0031664B">
        <w:rPr>
          <w:rFonts w:ascii="Palatino Linotype" w:hAnsi="Palatino Linotype"/>
          <w:sz w:val="24"/>
          <w:szCs w:val="24"/>
        </w:rPr>
        <w:t xml:space="preserve">-E, </w:t>
      </w:r>
      <w:r w:rsidRPr="0031664B" w:rsidR="00B87259">
        <w:rPr>
          <w:rFonts w:ascii="Palatino Linotype" w:hAnsi="Palatino Linotype"/>
          <w:sz w:val="24"/>
          <w:szCs w:val="24"/>
        </w:rPr>
        <w:t>PG&amp;E</w:t>
      </w:r>
      <w:r w:rsidRPr="0031664B">
        <w:rPr>
          <w:rFonts w:ascii="Palatino Linotype" w:hAnsi="Palatino Linotype"/>
          <w:sz w:val="24"/>
          <w:szCs w:val="24"/>
        </w:rPr>
        <w:t xml:space="preserve"> asserted that the </w:t>
      </w:r>
      <w:r w:rsidRPr="0031664B" w:rsidR="00E552A8">
        <w:rPr>
          <w:rFonts w:ascii="Palatino Linotype" w:hAnsi="Palatino Linotype"/>
          <w:sz w:val="24"/>
          <w:szCs w:val="24"/>
        </w:rPr>
        <w:t>Counterparties</w:t>
      </w:r>
      <w:r w:rsidRPr="0031664B" w:rsidR="003662C9">
        <w:rPr>
          <w:rFonts w:ascii="Palatino Linotype" w:hAnsi="Palatino Linotype"/>
          <w:sz w:val="24"/>
          <w:szCs w:val="24"/>
        </w:rPr>
        <w:t xml:space="preserve"> </w:t>
      </w:r>
      <w:r w:rsidRPr="0031664B" w:rsidR="00432C03">
        <w:rPr>
          <w:rFonts w:ascii="Palatino Linotype" w:hAnsi="Palatino Linotype"/>
          <w:sz w:val="24"/>
          <w:szCs w:val="24"/>
        </w:rPr>
        <w:t>T</w:t>
      </w:r>
      <w:r w:rsidRPr="0031664B" w:rsidR="004C5BEA">
        <w:rPr>
          <w:rFonts w:ascii="Palatino Linotype" w:hAnsi="Palatino Linotype"/>
          <w:sz w:val="24"/>
          <w:szCs w:val="24"/>
        </w:rPr>
        <w:t>ransactions</w:t>
      </w:r>
      <w:r w:rsidRPr="0031664B">
        <w:rPr>
          <w:rFonts w:ascii="Palatino Linotype" w:hAnsi="Palatino Linotype"/>
          <w:sz w:val="24"/>
          <w:szCs w:val="24"/>
        </w:rPr>
        <w:t xml:space="preserve"> </w:t>
      </w:r>
      <w:r w:rsidRPr="0031664B" w:rsidR="004C5BEA">
        <w:rPr>
          <w:rFonts w:ascii="Palatino Linotype" w:hAnsi="Palatino Linotype"/>
          <w:sz w:val="24"/>
          <w:szCs w:val="24"/>
        </w:rPr>
        <w:t>are</w:t>
      </w:r>
      <w:r w:rsidRPr="0031664B">
        <w:rPr>
          <w:rFonts w:ascii="Palatino Linotype" w:hAnsi="Palatino Linotype"/>
          <w:sz w:val="24"/>
          <w:szCs w:val="24"/>
        </w:rPr>
        <w:t xml:space="preserve"> intended to “optimize” </w:t>
      </w:r>
      <w:r w:rsidRPr="0031664B" w:rsidR="00B87259">
        <w:rPr>
          <w:rFonts w:ascii="Palatino Linotype" w:hAnsi="Palatino Linotype"/>
          <w:sz w:val="24"/>
          <w:szCs w:val="24"/>
        </w:rPr>
        <w:t>PG&amp;E</w:t>
      </w:r>
      <w:r w:rsidRPr="0031664B">
        <w:rPr>
          <w:rFonts w:ascii="Palatino Linotype" w:hAnsi="Palatino Linotype"/>
          <w:sz w:val="24"/>
          <w:szCs w:val="24"/>
        </w:rPr>
        <w:t xml:space="preserve">’s RPS portfolio and provide benefits for ratepayers </w:t>
      </w:r>
      <w:r w:rsidRPr="0031664B" w:rsidR="0018365F">
        <w:rPr>
          <w:rFonts w:ascii="Palatino Linotype" w:hAnsi="Palatino Linotype"/>
          <w:sz w:val="24"/>
          <w:szCs w:val="24"/>
        </w:rPr>
        <w:t>consistent with D.22-11-021 and Advice Letter 6794-E</w:t>
      </w:r>
      <w:r w:rsidRPr="0031664B">
        <w:rPr>
          <w:rFonts w:ascii="Palatino Linotype" w:hAnsi="Palatino Linotype"/>
          <w:sz w:val="24"/>
          <w:szCs w:val="24"/>
        </w:rPr>
        <w:t>.</w:t>
      </w:r>
    </w:p>
    <w:p w:rsidRPr="0031664B" w:rsidR="00612BCE" w:rsidP="00612BCE" w:rsidRDefault="00612BCE" w14:paraId="56BC200B" w14:textId="77777777">
      <w:pPr>
        <w:rPr>
          <w:rFonts w:ascii="Palatino Linotype" w:hAnsi="Palatino Linotype"/>
          <w:sz w:val="24"/>
          <w:szCs w:val="24"/>
        </w:rPr>
      </w:pPr>
    </w:p>
    <w:p w:rsidRPr="0031664B" w:rsidR="00612BCE" w:rsidP="00612BCE" w:rsidRDefault="00612BCE" w14:paraId="0A2634AB" w14:textId="5417220B">
      <w:pPr>
        <w:rPr>
          <w:rFonts w:ascii="Palatino Linotype" w:hAnsi="Palatino Linotype"/>
          <w:sz w:val="24"/>
          <w:szCs w:val="24"/>
        </w:rPr>
      </w:pPr>
      <w:r w:rsidRPr="0031664B">
        <w:rPr>
          <w:rFonts w:ascii="Palatino Linotype" w:hAnsi="Palatino Linotype"/>
          <w:sz w:val="24"/>
          <w:szCs w:val="24"/>
        </w:rPr>
        <w:t>In reviewing requests for contract approval, the Commission compares contract prices to the most recent solicitation</w:t>
      </w:r>
      <w:r w:rsidRPr="0031664B" w:rsidR="006337C8">
        <w:rPr>
          <w:rFonts w:ascii="Palatino Linotype" w:hAnsi="Palatino Linotype"/>
          <w:sz w:val="24"/>
          <w:szCs w:val="24"/>
        </w:rPr>
        <w:t>s</w:t>
      </w:r>
      <w:r w:rsidRPr="0031664B">
        <w:rPr>
          <w:rFonts w:ascii="Palatino Linotype" w:hAnsi="Palatino Linotype"/>
          <w:sz w:val="24"/>
          <w:szCs w:val="24"/>
        </w:rPr>
        <w:t xml:space="preserve"> and recently executed contracts. This was </w:t>
      </w:r>
      <w:r w:rsidRPr="0031664B" w:rsidR="00B87259">
        <w:rPr>
          <w:rFonts w:ascii="Palatino Linotype" w:hAnsi="Palatino Linotype"/>
          <w:sz w:val="24"/>
          <w:szCs w:val="24"/>
        </w:rPr>
        <w:t>PG&amp;E</w:t>
      </w:r>
      <w:r w:rsidRPr="0031664B">
        <w:rPr>
          <w:rFonts w:ascii="Palatino Linotype" w:hAnsi="Palatino Linotype"/>
          <w:sz w:val="24"/>
          <w:szCs w:val="24"/>
        </w:rPr>
        <w:t>’s first</w:t>
      </w:r>
      <w:r w:rsidRPr="0031664B" w:rsidR="007A3A1D">
        <w:rPr>
          <w:rFonts w:ascii="Palatino Linotype" w:hAnsi="Palatino Linotype"/>
          <w:sz w:val="24"/>
          <w:szCs w:val="24"/>
        </w:rPr>
        <w:t xml:space="preserve"> long-term</w:t>
      </w:r>
      <w:r w:rsidRPr="0031664B">
        <w:rPr>
          <w:rFonts w:ascii="Palatino Linotype" w:hAnsi="Palatino Linotype"/>
          <w:sz w:val="24"/>
          <w:szCs w:val="24"/>
        </w:rPr>
        <w:t xml:space="preserve"> RPS sales solicitation. Thus, the Commission compared the bids received in the solicitation and the other </w:t>
      </w:r>
      <w:r w:rsidRPr="0031664B" w:rsidR="00432C03">
        <w:rPr>
          <w:rFonts w:ascii="Palatino Linotype" w:hAnsi="Palatino Linotype"/>
          <w:sz w:val="24"/>
          <w:szCs w:val="24"/>
        </w:rPr>
        <w:t>T</w:t>
      </w:r>
      <w:r w:rsidRPr="0031664B" w:rsidR="004C5BEA">
        <w:rPr>
          <w:rFonts w:ascii="Palatino Linotype" w:hAnsi="Palatino Linotype"/>
          <w:sz w:val="24"/>
          <w:szCs w:val="24"/>
        </w:rPr>
        <w:t>ransactions</w:t>
      </w:r>
      <w:r w:rsidRPr="0031664B">
        <w:rPr>
          <w:rFonts w:ascii="Palatino Linotype" w:hAnsi="Palatino Linotype"/>
          <w:sz w:val="24"/>
          <w:szCs w:val="24"/>
        </w:rPr>
        <w:t xml:space="preserve"> prices to the</w:t>
      </w:r>
      <w:r w:rsidRPr="0031664B" w:rsidR="00E552A8">
        <w:rPr>
          <w:rFonts w:ascii="Palatino Linotype" w:hAnsi="Palatino Linotype"/>
          <w:sz w:val="24"/>
          <w:szCs w:val="24"/>
        </w:rPr>
        <w:t xml:space="preserve"> Counterparties</w:t>
      </w:r>
      <w:r w:rsidRPr="0031664B">
        <w:rPr>
          <w:rFonts w:ascii="Palatino Linotype" w:hAnsi="Palatino Linotype"/>
          <w:sz w:val="24"/>
          <w:szCs w:val="24"/>
        </w:rPr>
        <w:t xml:space="preserve"> </w:t>
      </w:r>
      <w:r w:rsidRPr="0031664B" w:rsidR="00432C03">
        <w:rPr>
          <w:rFonts w:ascii="Palatino Linotype" w:hAnsi="Palatino Linotype"/>
          <w:sz w:val="24"/>
          <w:szCs w:val="24"/>
        </w:rPr>
        <w:t>T</w:t>
      </w:r>
      <w:r w:rsidRPr="0031664B" w:rsidR="004C5BEA">
        <w:rPr>
          <w:rFonts w:ascii="Palatino Linotype" w:hAnsi="Palatino Linotype"/>
          <w:sz w:val="24"/>
          <w:szCs w:val="24"/>
        </w:rPr>
        <w:t>ransactions</w:t>
      </w:r>
      <w:r w:rsidRPr="0031664B" w:rsidR="007E6E5F">
        <w:rPr>
          <w:rFonts w:ascii="Palatino Linotype" w:hAnsi="Palatino Linotype"/>
          <w:sz w:val="24"/>
          <w:szCs w:val="24"/>
        </w:rPr>
        <w:t xml:space="preserve"> we review here</w:t>
      </w:r>
      <w:r w:rsidRPr="0031664B">
        <w:rPr>
          <w:rFonts w:ascii="Palatino Linotype" w:hAnsi="Palatino Linotype"/>
          <w:sz w:val="24"/>
          <w:szCs w:val="24"/>
        </w:rPr>
        <w:t xml:space="preserve">. Based on this analysis and the confidential analysis provided by </w:t>
      </w:r>
      <w:r w:rsidRPr="0031664B" w:rsidR="00B87259">
        <w:rPr>
          <w:rFonts w:ascii="Palatino Linotype" w:hAnsi="Palatino Linotype"/>
          <w:sz w:val="24"/>
          <w:szCs w:val="24"/>
        </w:rPr>
        <w:t>PG&amp;E</w:t>
      </w:r>
      <w:r w:rsidRPr="0031664B">
        <w:rPr>
          <w:rFonts w:ascii="Palatino Linotype" w:hAnsi="Palatino Linotype"/>
          <w:sz w:val="24"/>
          <w:szCs w:val="24"/>
        </w:rPr>
        <w:t xml:space="preserve"> in AL </w:t>
      </w:r>
      <w:r w:rsidRPr="0031664B" w:rsidR="007F56A0">
        <w:rPr>
          <w:rFonts w:ascii="Palatino Linotype" w:hAnsi="Palatino Linotype"/>
          <w:sz w:val="24"/>
          <w:szCs w:val="24"/>
        </w:rPr>
        <w:t>6977</w:t>
      </w:r>
      <w:r w:rsidRPr="0031664B">
        <w:rPr>
          <w:rFonts w:ascii="Palatino Linotype" w:hAnsi="Palatino Linotype"/>
          <w:sz w:val="24"/>
          <w:szCs w:val="24"/>
        </w:rPr>
        <w:t xml:space="preserve">-E, we determine that the </w:t>
      </w:r>
      <w:r w:rsidRPr="0031664B" w:rsidR="00432C03">
        <w:rPr>
          <w:rFonts w:ascii="Palatino Linotype" w:hAnsi="Palatino Linotype"/>
          <w:sz w:val="24"/>
          <w:szCs w:val="24"/>
        </w:rPr>
        <w:t>T</w:t>
      </w:r>
      <w:r w:rsidRPr="0031664B" w:rsidR="004C5BEA">
        <w:rPr>
          <w:rFonts w:ascii="Palatino Linotype" w:hAnsi="Palatino Linotype"/>
          <w:sz w:val="24"/>
          <w:szCs w:val="24"/>
        </w:rPr>
        <w:t>ransactions</w:t>
      </w:r>
      <w:r w:rsidRPr="0031664B">
        <w:rPr>
          <w:rFonts w:ascii="Palatino Linotype" w:hAnsi="Palatino Linotype"/>
          <w:sz w:val="24"/>
          <w:szCs w:val="24"/>
        </w:rPr>
        <w:t xml:space="preserve"> price</w:t>
      </w:r>
      <w:r w:rsidRPr="0031664B" w:rsidR="0018365F">
        <w:rPr>
          <w:rFonts w:ascii="Palatino Linotype" w:hAnsi="Palatino Linotype"/>
          <w:sz w:val="24"/>
          <w:szCs w:val="24"/>
        </w:rPr>
        <w:t>s</w:t>
      </w:r>
      <w:r w:rsidRPr="0031664B">
        <w:rPr>
          <w:rFonts w:ascii="Palatino Linotype" w:hAnsi="Palatino Linotype"/>
          <w:sz w:val="24"/>
          <w:szCs w:val="24"/>
        </w:rPr>
        <w:t xml:space="preserve"> </w:t>
      </w:r>
      <w:r w:rsidRPr="0031664B" w:rsidR="0018365F">
        <w:rPr>
          <w:rFonts w:ascii="Palatino Linotype" w:hAnsi="Palatino Linotype"/>
          <w:sz w:val="24"/>
          <w:szCs w:val="24"/>
        </w:rPr>
        <w:t xml:space="preserve">are </w:t>
      </w:r>
      <w:r w:rsidRPr="0031664B">
        <w:rPr>
          <w:rFonts w:ascii="Palatino Linotype" w:hAnsi="Palatino Linotype"/>
          <w:sz w:val="24"/>
          <w:szCs w:val="24"/>
        </w:rPr>
        <w:t xml:space="preserve">reasonable. Confidential Appendix A includes a discussion of the contractual pricing terms and the analysis of the reasonableness of the </w:t>
      </w:r>
      <w:r w:rsidRPr="0031664B" w:rsidR="00432C03">
        <w:rPr>
          <w:rFonts w:ascii="Palatino Linotype" w:hAnsi="Palatino Linotype"/>
          <w:sz w:val="24"/>
          <w:szCs w:val="24"/>
        </w:rPr>
        <w:t>T</w:t>
      </w:r>
      <w:r w:rsidRPr="0031664B" w:rsidR="004C5BEA">
        <w:rPr>
          <w:rFonts w:ascii="Palatino Linotype" w:hAnsi="Palatino Linotype"/>
          <w:sz w:val="24"/>
          <w:szCs w:val="24"/>
        </w:rPr>
        <w:t>ransaction</w:t>
      </w:r>
      <w:r w:rsidRPr="0031664B" w:rsidR="000C746D">
        <w:rPr>
          <w:rFonts w:ascii="Palatino Linotype" w:hAnsi="Palatino Linotype"/>
          <w:sz w:val="24"/>
          <w:szCs w:val="24"/>
        </w:rPr>
        <w:t>’</w:t>
      </w:r>
      <w:r w:rsidRPr="0031664B">
        <w:rPr>
          <w:rFonts w:ascii="Palatino Linotype" w:hAnsi="Palatino Linotype"/>
          <w:sz w:val="24"/>
          <w:szCs w:val="24"/>
        </w:rPr>
        <w:t xml:space="preserve"> price</w:t>
      </w:r>
      <w:r w:rsidRPr="0031664B" w:rsidR="0018365F">
        <w:rPr>
          <w:rFonts w:ascii="Palatino Linotype" w:hAnsi="Palatino Linotype"/>
          <w:sz w:val="24"/>
          <w:szCs w:val="24"/>
        </w:rPr>
        <w:t>s</w:t>
      </w:r>
      <w:r w:rsidRPr="0031664B">
        <w:rPr>
          <w:rFonts w:ascii="Palatino Linotype" w:hAnsi="Palatino Linotype"/>
          <w:sz w:val="24"/>
          <w:szCs w:val="24"/>
        </w:rPr>
        <w:t xml:space="preserve">. </w:t>
      </w:r>
    </w:p>
    <w:p w:rsidRPr="0031664B" w:rsidR="00612BCE" w:rsidP="00612BCE" w:rsidRDefault="00612BCE" w14:paraId="76BF4275" w14:textId="77777777">
      <w:pPr>
        <w:rPr>
          <w:rFonts w:ascii="Palatino Linotype" w:hAnsi="Palatino Linotype"/>
          <w:sz w:val="24"/>
          <w:szCs w:val="24"/>
        </w:rPr>
      </w:pPr>
    </w:p>
    <w:p w:rsidRPr="0031664B" w:rsidR="00612BCE" w:rsidP="00612BCE" w:rsidRDefault="00612BCE" w14:paraId="22658781" w14:textId="67BE78B1">
      <w:pPr>
        <w:rPr>
          <w:rFonts w:ascii="Palatino Linotype" w:hAnsi="Palatino Linotype"/>
          <w:sz w:val="24"/>
          <w:szCs w:val="24"/>
          <w:u w:val="single"/>
        </w:rPr>
      </w:pPr>
      <w:r w:rsidRPr="0031664B">
        <w:rPr>
          <w:rFonts w:ascii="Palatino Linotype" w:hAnsi="Palatino Linotype"/>
          <w:sz w:val="24"/>
          <w:szCs w:val="24"/>
          <w:u w:val="single"/>
        </w:rPr>
        <w:t>The total expected revenues of the sales agreement</w:t>
      </w:r>
      <w:r w:rsidRPr="0031664B" w:rsidR="0018365F">
        <w:rPr>
          <w:rFonts w:ascii="Palatino Linotype" w:hAnsi="Palatino Linotype"/>
          <w:sz w:val="24"/>
          <w:szCs w:val="24"/>
          <w:u w:val="single"/>
        </w:rPr>
        <w:t>s</w:t>
      </w:r>
      <w:r w:rsidRPr="0031664B">
        <w:rPr>
          <w:rFonts w:ascii="Palatino Linotype" w:hAnsi="Palatino Linotype"/>
          <w:sz w:val="24"/>
          <w:szCs w:val="24"/>
          <w:u w:val="single"/>
        </w:rPr>
        <w:t xml:space="preserve"> are reasonable based on the estimated costs to </w:t>
      </w:r>
      <w:r w:rsidRPr="0031664B" w:rsidR="00B87259">
        <w:rPr>
          <w:rFonts w:ascii="Palatino Linotype" w:hAnsi="Palatino Linotype"/>
          <w:sz w:val="24"/>
          <w:szCs w:val="24"/>
          <w:u w:val="single"/>
        </w:rPr>
        <w:t>PG&amp;E</w:t>
      </w:r>
      <w:r w:rsidRPr="0031664B">
        <w:rPr>
          <w:rFonts w:ascii="Palatino Linotype" w:hAnsi="Palatino Linotype"/>
          <w:sz w:val="24"/>
          <w:szCs w:val="24"/>
          <w:u w:val="single"/>
        </w:rPr>
        <w:t xml:space="preserve"> ratepayers and the sales agreements</w:t>
      </w:r>
      <w:r w:rsidRPr="0031664B" w:rsidR="0018365F">
        <w:rPr>
          <w:rFonts w:ascii="Palatino Linotype" w:hAnsi="Palatino Linotype"/>
          <w:sz w:val="24"/>
          <w:szCs w:val="24"/>
          <w:u w:val="single"/>
        </w:rPr>
        <w:t>’</w:t>
      </w:r>
      <w:r w:rsidRPr="0031664B">
        <w:rPr>
          <w:rFonts w:ascii="Palatino Linotype" w:hAnsi="Palatino Linotype"/>
          <w:sz w:val="24"/>
          <w:szCs w:val="24"/>
          <w:u w:val="single"/>
        </w:rPr>
        <w:t xml:space="preserve"> price</w:t>
      </w:r>
      <w:r w:rsidRPr="0031664B" w:rsidR="0018365F">
        <w:rPr>
          <w:rFonts w:ascii="Palatino Linotype" w:hAnsi="Palatino Linotype"/>
          <w:sz w:val="24"/>
          <w:szCs w:val="24"/>
          <w:u w:val="single"/>
        </w:rPr>
        <w:t>s</w:t>
      </w:r>
      <w:r w:rsidRPr="0031664B">
        <w:rPr>
          <w:rFonts w:ascii="Palatino Linotype" w:hAnsi="Palatino Linotype"/>
          <w:sz w:val="24"/>
          <w:szCs w:val="24"/>
          <w:u w:val="single"/>
        </w:rPr>
        <w:t xml:space="preserve"> relative to the solicitation and recently executed contracts.   </w:t>
      </w:r>
    </w:p>
    <w:p w:rsidRPr="0031664B" w:rsidR="00612BCE" w:rsidP="00612BCE" w:rsidRDefault="00612BCE" w14:paraId="2C0C233A" w14:textId="77777777">
      <w:pPr>
        <w:rPr>
          <w:rFonts w:ascii="Palatino Linotype" w:hAnsi="Palatino Linotype"/>
          <w:sz w:val="24"/>
          <w:szCs w:val="24"/>
        </w:rPr>
      </w:pPr>
    </w:p>
    <w:p w:rsidRPr="0031664B" w:rsidR="00612BCE" w:rsidP="00612BCE" w:rsidRDefault="00612BCE" w14:paraId="68B026DC" w14:textId="23DDE64C">
      <w:pPr>
        <w:rPr>
          <w:rFonts w:ascii="Palatino Linotype" w:hAnsi="Palatino Linotype"/>
          <w:sz w:val="24"/>
          <w:szCs w:val="24"/>
          <w:u w:val="single"/>
        </w:rPr>
      </w:pPr>
      <w:r w:rsidRPr="0031664B">
        <w:rPr>
          <w:rFonts w:ascii="Palatino Linotype" w:hAnsi="Palatino Linotype"/>
          <w:sz w:val="24"/>
          <w:szCs w:val="24"/>
          <w:u w:val="single"/>
        </w:rPr>
        <w:t xml:space="preserve">Payments received by </w:t>
      </w:r>
      <w:r w:rsidRPr="0031664B" w:rsidR="00B87259">
        <w:rPr>
          <w:rFonts w:ascii="Palatino Linotype" w:hAnsi="Palatino Linotype"/>
          <w:sz w:val="24"/>
          <w:szCs w:val="24"/>
          <w:u w:val="single"/>
        </w:rPr>
        <w:t>PG&amp;E</w:t>
      </w:r>
      <w:r w:rsidRPr="0031664B">
        <w:rPr>
          <w:rFonts w:ascii="Palatino Linotype" w:hAnsi="Palatino Linotype"/>
          <w:sz w:val="24"/>
          <w:szCs w:val="24"/>
          <w:u w:val="single"/>
        </w:rPr>
        <w:t xml:space="preserve"> under the sales agreement shall be credited to </w:t>
      </w:r>
      <w:r w:rsidR="003E275A">
        <w:rPr>
          <w:rFonts w:ascii="Palatino Linotype" w:hAnsi="Palatino Linotype"/>
          <w:sz w:val="24"/>
          <w:szCs w:val="24"/>
          <w:u w:val="single"/>
        </w:rPr>
        <w:br/>
      </w:r>
      <w:r w:rsidRPr="0031664B" w:rsidR="00B87259">
        <w:rPr>
          <w:rFonts w:ascii="Palatino Linotype" w:hAnsi="Palatino Linotype"/>
          <w:sz w:val="24"/>
          <w:szCs w:val="24"/>
          <w:u w:val="single"/>
        </w:rPr>
        <w:t>PG&amp;E</w:t>
      </w:r>
      <w:r w:rsidRPr="0031664B">
        <w:rPr>
          <w:rFonts w:ascii="Palatino Linotype" w:hAnsi="Palatino Linotype"/>
          <w:sz w:val="24"/>
          <w:szCs w:val="24"/>
          <w:u w:val="single"/>
        </w:rPr>
        <w:t xml:space="preserve">’s ratepayers through </w:t>
      </w:r>
      <w:r w:rsidRPr="0031664B" w:rsidR="00B87259">
        <w:rPr>
          <w:rFonts w:ascii="Palatino Linotype" w:hAnsi="Palatino Linotype"/>
          <w:sz w:val="24"/>
          <w:szCs w:val="24"/>
          <w:u w:val="single"/>
        </w:rPr>
        <w:t>PG&amp;E</w:t>
      </w:r>
      <w:r w:rsidRPr="0031664B">
        <w:rPr>
          <w:rFonts w:ascii="Palatino Linotype" w:hAnsi="Palatino Linotype"/>
          <w:sz w:val="24"/>
          <w:szCs w:val="24"/>
          <w:u w:val="single"/>
        </w:rPr>
        <w:t xml:space="preserve">’s </w:t>
      </w:r>
      <w:r w:rsidRPr="0031664B" w:rsidR="007A3A1D">
        <w:rPr>
          <w:rFonts w:ascii="Palatino Linotype" w:hAnsi="Palatino Linotype"/>
          <w:sz w:val="24"/>
          <w:szCs w:val="24"/>
          <w:u w:val="single"/>
        </w:rPr>
        <w:t>PABA</w:t>
      </w:r>
      <w:r w:rsidRPr="0031664B">
        <w:rPr>
          <w:rFonts w:ascii="Palatino Linotype" w:hAnsi="Palatino Linotype"/>
          <w:sz w:val="24"/>
          <w:szCs w:val="24"/>
          <w:u w:val="single"/>
        </w:rPr>
        <w:t xml:space="preserve"> over the life of the sales agreement, subject to Commission review of </w:t>
      </w:r>
      <w:r w:rsidRPr="0031664B" w:rsidR="00B87259">
        <w:rPr>
          <w:rFonts w:ascii="Palatino Linotype" w:hAnsi="Palatino Linotype"/>
          <w:sz w:val="24"/>
          <w:szCs w:val="24"/>
          <w:u w:val="single"/>
        </w:rPr>
        <w:t>PG&amp;E</w:t>
      </w:r>
      <w:r w:rsidRPr="0031664B">
        <w:rPr>
          <w:rFonts w:ascii="Palatino Linotype" w:hAnsi="Palatino Linotype"/>
          <w:sz w:val="24"/>
          <w:szCs w:val="24"/>
          <w:u w:val="single"/>
        </w:rPr>
        <w:t>’s administration of the sales agreement.</w:t>
      </w:r>
    </w:p>
    <w:p w:rsidRPr="0031664B" w:rsidR="00612BCE" w:rsidP="00612BCE" w:rsidRDefault="00612BCE" w14:paraId="48CFA801" w14:textId="77777777">
      <w:pPr>
        <w:rPr>
          <w:rFonts w:ascii="Palatino Linotype" w:hAnsi="Palatino Linotype"/>
          <w:b/>
          <w:sz w:val="24"/>
          <w:szCs w:val="24"/>
        </w:rPr>
      </w:pPr>
    </w:p>
    <w:p w:rsidRPr="0031664B" w:rsidR="00612BCE" w:rsidP="00612BCE" w:rsidRDefault="00612BCE" w14:paraId="616CFF49" w14:textId="7703C0C9">
      <w:pPr>
        <w:rPr>
          <w:rFonts w:ascii="Palatino Linotype" w:hAnsi="Palatino Linotype"/>
          <w:b/>
          <w:sz w:val="24"/>
          <w:szCs w:val="24"/>
        </w:rPr>
      </w:pPr>
      <w:r w:rsidRPr="0031664B">
        <w:rPr>
          <w:rFonts w:ascii="Palatino Linotype" w:hAnsi="Palatino Linotype"/>
          <w:b/>
          <w:sz w:val="24"/>
          <w:szCs w:val="24"/>
        </w:rPr>
        <w:t>Project Viability Assessment and Development Status</w:t>
      </w:r>
    </w:p>
    <w:p w:rsidRPr="0031664B" w:rsidR="00612BCE" w:rsidP="00612BCE" w:rsidRDefault="00612BCE" w14:paraId="2D8A73F4" w14:textId="77777777">
      <w:pPr>
        <w:rPr>
          <w:rFonts w:ascii="Palatino Linotype" w:hAnsi="Palatino Linotype"/>
          <w:b/>
          <w:sz w:val="24"/>
          <w:szCs w:val="24"/>
        </w:rPr>
      </w:pPr>
    </w:p>
    <w:p w:rsidRPr="0031664B" w:rsidR="00612BCE" w:rsidP="00612BCE" w:rsidRDefault="00612BCE" w14:paraId="338F28B7" w14:textId="7F94AAC7">
      <w:pPr>
        <w:rPr>
          <w:rFonts w:ascii="Palatino Linotype" w:hAnsi="Palatino Linotype"/>
          <w:sz w:val="24"/>
          <w:szCs w:val="24"/>
        </w:rPr>
      </w:pPr>
      <w:r w:rsidRPr="0031664B">
        <w:rPr>
          <w:rFonts w:ascii="Palatino Linotype" w:hAnsi="Palatino Linotype"/>
          <w:sz w:val="24"/>
          <w:szCs w:val="24"/>
        </w:rPr>
        <w:t xml:space="preserve">The generation to be delivered pursuant to the </w:t>
      </w:r>
      <w:r w:rsidRPr="0031664B" w:rsidR="00E552A8">
        <w:rPr>
          <w:rFonts w:ascii="Palatino Linotype" w:hAnsi="Palatino Linotype"/>
          <w:sz w:val="24"/>
          <w:szCs w:val="24"/>
        </w:rPr>
        <w:t>Counterparties</w:t>
      </w:r>
      <w:r w:rsidRPr="0031664B">
        <w:rPr>
          <w:rFonts w:ascii="Palatino Linotype" w:hAnsi="Palatino Linotype"/>
          <w:sz w:val="24"/>
          <w:szCs w:val="24"/>
        </w:rPr>
        <w:t xml:space="preserve"> </w:t>
      </w:r>
      <w:r w:rsidRPr="0031664B" w:rsidR="00432C03">
        <w:rPr>
          <w:rFonts w:ascii="Palatino Linotype" w:hAnsi="Palatino Linotype"/>
          <w:sz w:val="24"/>
          <w:szCs w:val="24"/>
        </w:rPr>
        <w:t>T</w:t>
      </w:r>
      <w:r w:rsidRPr="0031664B" w:rsidR="004C5BEA">
        <w:rPr>
          <w:rFonts w:ascii="Palatino Linotype" w:hAnsi="Palatino Linotype"/>
          <w:sz w:val="24"/>
          <w:szCs w:val="24"/>
        </w:rPr>
        <w:t>ransactions</w:t>
      </w:r>
      <w:r w:rsidRPr="0031664B">
        <w:rPr>
          <w:rFonts w:ascii="Palatino Linotype" w:hAnsi="Palatino Linotype"/>
          <w:sz w:val="24"/>
          <w:szCs w:val="24"/>
        </w:rPr>
        <w:t xml:space="preserve"> </w:t>
      </w:r>
      <w:r w:rsidRPr="0031664B" w:rsidR="004C5BEA">
        <w:rPr>
          <w:rFonts w:ascii="Palatino Linotype" w:hAnsi="Palatino Linotype"/>
          <w:sz w:val="24"/>
          <w:szCs w:val="24"/>
        </w:rPr>
        <w:t>are</w:t>
      </w:r>
      <w:r w:rsidRPr="0031664B">
        <w:rPr>
          <w:rFonts w:ascii="Palatino Linotype" w:hAnsi="Palatino Linotype"/>
          <w:sz w:val="24"/>
          <w:szCs w:val="24"/>
        </w:rPr>
        <w:t xml:space="preserve"> from a large portfolio of facilities already under contract with </w:t>
      </w:r>
      <w:r w:rsidRPr="0031664B" w:rsidR="00B87259">
        <w:rPr>
          <w:rFonts w:ascii="Palatino Linotype" w:hAnsi="Palatino Linotype"/>
          <w:sz w:val="24"/>
          <w:szCs w:val="24"/>
        </w:rPr>
        <w:t>PG&amp;E</w:t>
      </w:r>
      <w:r w:rsidRPr="0031664B">
        <w:rPr>
          <w:rFonts w:ascii="Palatino Linotype" w:hAnsi="Palatino Linotype"/>
          <w:sz w:val="24"/>
          <w:szCs w:val="24"/>
        </w:rPr>
        <w:t xml:space="preserve">, all of which have already been certified by the California Energy Commission (CEC) as RPS-eligible and are generating RPS-eligible energy.  The facilities are listed in Table 2 above. The </w:t>
      </w:r>
      <w:r w:rsidRPr="0031664B" w:rsidR="00432C03">
        <w:rPr>
          <w:rFonts w:ascii="Palatino Linotype" w:hAnsi="Palatino Linotype"/>
          <w:sz w:val="24"/>
          <w:szCs w:val="24"/>
        </w:rPr>
        <w:t>T</w:t>
      </w:r>
      <w:r w:rsidRPr="0031664B" w:rsidR="004C5BEA">
        <w:rPr>
          <w:rFonts w:ascii="Palatino Linotype" w:hAnsi="Palatino Linotype"/>
          <w:sz w:val="24"/>
          <w:szCs w:val="24"/>
        </w:rPr>
        <w:t>ransactions</w:t>
      </w:r>
      <w:r w:rsidRPr="0031664B">
        <w:rPr>
          <w:rFonts w:ascii="Palatino Linotype" w:hAnsi="Palatino Linotype"/>
          <w:sz w:val="24"/>
          <w:szCs w:val="24"/>
        </w:rPr>
        <w:t xml:space="preserve"> with </w:t>
      </w:r>
      <w:r w:rsidRPr="0031664B" w:rsidR="007F56A0">
        <w:rPr>
          <w:rFonts w:ascii="Palatino Linotype" w:hAnsi="Palatino Linotype"/>
          <w:sz w:val="24"/>
          <w:szCs w:val="24"/>
        </w:rPr>
        <w:t>t</w:t>
      </w:r>
      <w:r w:rsidRPr="0031664B" w:rsidR="00E552A8">
        <w:rPr>
          <w:rFonts w:ascii="Palatino Linotype" w:hAnsi="Palatino Linotype"/>
          <w:sz w:val="24"/>
          <w:szCs w:val="24"/>
        </w:rPr>
        <w:t>he Counterparties</w:t>
      </w:r>
      <w:r w:rsidRPr="0031664B" w:rsidR="00A901CD">
        <w:rPr>
          <w:rFonts w:ascii="Palatino Linotype" w:hAnsi="Palatino Linotype"/>
          <w:sz w:val="24"/>
          <w:szCs w:val="24"/>
        </w:rPr>
        <w:t xml:space="preserve"> </w:t>
      </w:r>
      <w:r w:rsidRPr="0031664B">
        <w:rPr>
          <w:rFonts w:ascii="Palatino Linotype" w:hAnsi="Palatino Linotype"/>
          <w:sz w:val="24"/>
          <w:szCs w:val="24"/>
        </w:rPr>
        <w:t xml:space="preserve">do not change the development status of these existing projects. </w:t>
      </w:r>
    </w:p>
    <w:p w:rsidRPr="0031664B" w:rsidR="00612BCE" w:rsidP="00612BCE" w:rsidRDefault="00612BCE" w14:paraId="1619BC7D" w14:textId="77777777">
      <w:pPr>
        <w:rPr>
          <w:rFonts w:ascii="Palatino Linotype" w:hAnsi="Palatino Linotype"/>
          <w:sz w:val="24"/>
          <w:szCs w:val="24"/>
        </w:rPr>
      </w:pPr>
    </w:p>
    <w:p w:rsidRPr="0031664B" w:rsidR="00EC1449" w:rsidP="00EC1449" w:rsidRDefault="00612BCE" w14:paraId="6A6329F9" w14:textId="77777777">
      <w:pPr>
        <w:rPr>
          <w:rFonts w:ascii="Palatino Linotype" w:hAnsi="Palatino Linotype"/>
          <w:sz w:val="24"/>
          <w:szCs w:val="24"/>
        </w:rPr>
      </w:pPr>
      <w:r w:rsidRPr="0031664B">
        <w:rPr>
          <w:rFonts w:ascii="Palatino Linotype" w:hAnsi="Palatino Linotype"/>
          <w:sz w:val="24"/>
          <w:szCs w:val="24"/>
          <w:u w:val="single"/>
        </w:rPr>
        <w:t xml:space="preserve">It is reasonable that the pool of generating facilities under this contract will continue to be viable and will continue to operate under their existing contracts such that </w:t>
      </w:r>
      <w:r w:rsidRPr="0031664B" w:rsidR="00B87259">
        <w:rPr>
          <w:rFonts w:ascii="Palatino Linotype" w:hAnsi="Palatino Linotype"/>
          <w:sz w:val="24"/>
          <w:szCs w:val="24"/>
          <w:u w:val="single"/>
        </w:rPr>
        <w:t>PG&amp;E</w:t>
      </w:r>
      <w:r w:rsidRPr="0031664B">
        <w:rPr>
          <w:rFonts w:ascii="Palatino Linotype" w:hAnsi="Palatino Linotype"/>
          <w:sz w:val="24"/>
          <w:szCs w:val="24"/>
          <w:u w:val="single"/>
        </w:rPr>
        <w:t xml:space="preserve"> can meet the terms of the</w:t>
      </w:r>
      <w:r w:rsidRPr="0031664B" w:rsidR="005F138B">
        <w:rPr>
          <w:rFonts w:ascii="Palatino Linotype" w:hAnsi="Palatino Linotype"/>
          <w:sz w:val="24"/>
          <w:szCs w:val="24"/>
          <w:u w:val="single"/>
        </w:rPr>
        <w:t>se</w:t>
      </w:r>
      <w:r w:rsidRPr="0031664B">
        <w:rPr>
          <w:rFonts w:ascii="Palatino Linotype" w:hAnsi="Palatino Linotype"/>
          <w:sz w:val="24"/>
          <w:szCs w:val="24"/>
          <w:u w:val="single"/>
        </w:rPr>
        <w:t xml:space="preserve"> </w:t>
      </w:r>
      <w:r w:rsidRPr="0031664B" w:rsidR="00432C03">
        <w:rPr>
          <w:rFonts w:ascii="Palatino Linotype" w:hAnsi="Palatino Linotype"/>
          <w:sz w:val="24"/>
          <w:szCs w:val="24"/>
          <w:u w:val="single"/>
        </w:rPr>
        <w:t>T</w:t>
      </w:r>
      <w:r w:rsidRPr="0031664B" w:rsidR="004C5BEA">
        <w:rPr>
          <w:rFonts w:ascii="Palatino Linotype" w:hAnsi="Palatino Linotype"/>
          <w:sz w:val="24"/>
          <w:szCs w:val="24"/>
          <w:u w:val="single"/>
        </w:rPr>
        <w:t>ransactions</w:t>
      </w:r>
      <w:r w:rsidRPr="0031664B">
        <w:rPr>
          <w:rFonts w:ascii="Palatino Linotype" w:hAnsi="Palatino Linotype"/>
          <w:sz w:val="24"/>
          <w:szCs w:val="24"/>
          <w:u w:val="single"/>
        </w:rPr>
        <w:t>.</w:t>
      </w:r>
      <w:r w:rsidRPr="0031664B">
        <w:rPr>
          <w:rFonts w:ascii="Palatino Linotype" w:hAnsi="Palatino Linotype"/>
          <w:sz w:val="24"/>
          <w:szCs w:val="24"/>
        </w:rPr>
        <w:t xml:space="preserve"> </w:t>
      </w:r>
    </w:p>
    <w:p w:rsidRPr="0031664B" w:rsidR="00EC1449" w:rsidP="00EC1449" w:rsidRDefault="00EC1449" w14:paraId="47735151" w14:textId="77777777">
      <w:pPr>
        <w:rPr>
          <w:rFonts w:ascii="Palatino Linotype" w:hAnsi="Palatino Linotype"/>
          <w:sz w:val="24"/>
          <w:szCs w:val="24"/>
        </w:rPr>
      </w:pPr>
    </w:p>
    <w:p w:rsidRPr="0031664B" w:rsidR="00612BCE" w:rsidP="00EC1449" w:rsidRDefault="00612BCE" w14:paraId="4281C305" w14:textId="794E2F23">
      <w:pPr>
        <w:rPr>
          <w:rFonts w:ascii="Palatino Linotype" w:hAnsi="Palatino Linotype"/>
          <w:b/>
          <w:sz w:val="24"/>
          <w:szCs w:val="24"/>
        </w:rPr>
      </w:pPr>
      <w:r w:rsidRPr="0031664B">
        <w:rPr>
          <w:rFonts w:ascii="Palatino Linotype" w:hAnsi="Palatino Linotype"/>
          <w:b/>
          <w:sz w:val="24"/>
          <w:szCs w:val="24"/>
        </w:rPr>
        <w:t>Independent Evaluator Review</w:t>
      </w:r>
    </w:p>
    <w:p w:rsidRPr="0031664B" w:rsidR="00612BCE" w:rsidP="00612BCE" w:rsidRDefault="00612BCE" w14:paraId="072363B2" w14:textId="77777777">
      <w:pPr>
        <w:pStyle w:val="NoSpacing"/>
        <w:rPr>
          <w:rFonts w:ascii="Palatino Linotype" w:hAnsi="Palatino Linotype"/>
          <w:sz w:val="24"/>
          <w:szCs w:val="24"/>
        </w:rPr>
      </w:pPr>
    </w:p>
    <w:p w:rsidRPr="0031664B" w:rsidR="00612BCE" w:rsidP="00612BCE" w:rsidRDefault="00B87259" w14:paraId="73B46513" w14:textId="0A50824C">
      <w:pPr>
        <w:pStyle w:val="NoSpacing"/>
        <w:rPr>
          <w:rFonts w:ascii="Palatino Linotype" w:hAnsi="Palatino Linotype"/>
          <w:sz w:val="24"/>
          <w:szCs w:val="24"/>
        </w:rPr>
      </w:pPr>
      <w:r w:rsidRPr="0031664B">
        <w:rPr>
          <w:rFonts w:ascii="Palatino Linotype" w:hAnsi="Palatino Linotype"/>
          <w:sz w:val="24"/>
          <w:szCs w:val="24"/>
        </w:rPr>
        <w:t>PG&amp;E</w:t>
      </w:r>
      <w:r w:rsidRPr="0031664B" w:rsidR="00612BCE">
        <w:rPr>
          <w:rFonts w:ascii="Palatino Linotype" w:hAnsi="Palatino Linotype"/>
          <w:sz w:val="24"/>
          <w:szCs w:val="24"/>
        </w:rPr>
        <w:t xml:space="preserve"> retained </w:t>
      </w:r>
      <w:r w:rsidRPr="0031664B" w:rsidR="00CB5B18">
        <w:rPr>
          <w:rFonts w:ascii="Palatino Linotype" w:hAnsi="Palatino Linotype"/>
          <w:sz w:val="24"/>
          <w:szCs w:val="24"/>
        </w:rPr>
        <w:t>Arroyo Seco</w:t>
      </w:r>
      <w:r w:rsidRPr="0031664B" w:rsidDel="00F443EC" w:rsidR="00F443EC">
        <w:rPr>
          <w:rFonts w:ascii="Palatino Linotype" w:hAnsi="Palatino Linotype"/>
          <w:sz w:val="24"/>
          <w:szCs w:val="24"/>
        </w:rPr>
        <w:t xml:space="preserve"> </w:t>
      </w:r>
      <w:r w:rsidRPr="0031664B" w:rsidR="00612BCE">
        <w:rPr>
          <w:rFonts w:ascii="Palatino Linotype" w:hAnsi="Palatino Linotype"/>
          <w:sz w:val="24"/>
          <w:szCs w:val="24"/>
        </w:rPr>
        <w:t xml:space="preserve">as the independent evaluator (IE) to oversee </w:t>
      </w:r>
      <w:r w:rsidR="003E275A">
        <w:rPr>
          <w:rFonts w:ascii="Palatino Linotype" w:hAnsi="Palatino Linotype"/>
          <w:sz w:val="24"/>
          <w:szCs w:val="24"/>
        </w:rPr>
        <w:br/>
      </w:r>
      <w:r w:rsidRPr="0031664B">
        <w:rPr>
          <w:rFonts w:ascii="Palatino Linotype" w:hAnsi="Palatino Linotype"/>
          <w:sz w:val="24"/>
          <w:szCs w:val="24"/>
        </w:rPr>
        <w:t>PG&amp;E</w:t>
      </w:r>
      <w:r w:rsidRPr="0031664B" w:rsidR="00612BCE">
        <w:rPr>
          <w:rFonts w:ascii="Palatino Linotype" w:hAnsi="Palatino Linotype"/>
          <w:sz w:val="24"/>
          <w:szCs w:val="24"/>
        </w:rPr>
        <w:t xml:space="preserve">’s </w:t>
      </w:r>
      <w:r w:rsidRPr="0031664B" w:rsidR="009854E9">
        <w:rPr>
          <w:rFonts w:ascii="Palatino Linotype" w:hAnsi="Palatino Linotype"/>
          <w:sz w:val="24"/>
          <w:szCs w:val="24"/>
        </w:rPr>
        <w:t>Long-Term Market Offer</w:t>
      </w:r>
      <w:r w:rsidRPr="0031664B" w:rsidR="00612BCE">
        <w:rPr>
          <w:rFonts w:ascii="Palatino Linotype" w:hAnsi="Palatino Linotype"/>
          <w:sz w:val="24"/>
          <w:szCs w:val="24"/>
        </w:rPr>
        <w:t xml:space="preserve"> </w:t>
      </w:r>
      <w:r w:rsidRPr="0031664B" w:rsidR="00CB5B18">
        <w:rPr>
          <w:rFonts w:ascii="Palatino Linotype" w:hAnsi="Palatino Linotype"/>
          <w:sz w:val="24"/>
          <w:szCs w:val="24"/>
        </w:rPr>
        <w:t xml:space="preserve">solicitation </w:t>
      </w:r>
      <w:r w:rsidRPr="0031664B" w:rsidR="00612BCE">
        <w:rPr>
          <w:rFonts w:ascii="Palatino Linotype" w:hAnsi="Palatino Linotype"/>
          <w:sz w:val="24"/>
          <w:szCs w:val="24"/>
        </w:rPr>
        <w:t xml:space="preserve">and to evaluate the overall merits of the executed contracts that resulted from the </w:t>
      </w:r>
      <w:r w:rsidRPr="0031664B" w:rsidR="008F18E0">
        <w:rPr>
          <w:rFonts w:ascii="Palatino Linotype" w:hAnsi="Palatino Linotype"/>
          <w:sz w:val="24"/>
          <w:szCs w:val="24"/>
        </w:rPr>
        <w:t>solicitation</w:t>
      </w:r>
      <w:r w:rsidRPr="0031664B" w:rsidR="00612BCE">
        <w:rPr>
          <w:rFonts w:ascii="Palatino Linotype" w:hAnsi="Palatino Linotype"/>
          <w:sz w:val="24"/>
          <w:szCs w:val="24"/>
        </w:rPr>
        <w:t xml:space="preserve">.  AL </w:t>
      </w:r>
      <w:r w:rsidRPr="0031664B" w:rsidR="007F56A0">
        <w:rPr>
          <w:rFonts w:ascii="Palatino Linotype" w:hAnsi="Palatino Linotype"/>
          <w:sz w:val="24"/>
          <w:szCs w:val="24"/>
        </w:rPr>
        <w:t>6977</w:t>
      </w:r>
      <w:r w:rsidRPr="0031664B" w:rsidR="00612BCE">
        <w:rPr>
          <w:rFonts w:ascii="Palatino Linotype" w:hAnsi="Palatino Linotype"/>
          <w:sz w:val="24"/>
          <w:szCs w:val="24"/>
        </w:rPr>
        <w:t xml:space="preserve">-E included a public and confidential IE report on </w:t>
      </w:r>
      <w:r w:rsidRPr="0031664B">
        <w:rPr>
          <w:rFonts w:ascii="Palatino Linotype" w:hAnsi="Palatino Linotype"/>
          <w:sz w:val="24"/>
          <w:szCs w:val="24"/>
        </w:rPr>
        <w:t>PG&amp;E</w:t>
      </w:r>
      <w:r w:rsidRPr="0031664B" w:rsidR="00612BCE">
        <w:rPr>
          <w:rFonts w:ascii="Palatino Linotype" w:hAnsi="Palatino Linotype"/>
          <w:sz w:val="24"/>
          <w:szCs w:val="24"/>
        </w:rPr>
        <w:t xml:space="preserve">’s </w:t>
      </w:r>
      <w:r w:rsidRPr="0031664B" w:rsidR="009854E9">
        <w:rPr>
          <w:rFonts w:ascii="Palatino Linotype" w:hAnsi="Palatino Linotype"/>
          <w:sz w:val="24"/>
          <w:szCs w:val="24"/>
        </w:rPr>
        <w:t>Long-term Market Offer</w:t>
      </w:r>
      <w:r w:rsidRPr="0031664B" w:rsidR="00CB5B18">
        <w:rPr>
          <w:rFonts w:ascii="Palatino Linotype" w:hAnsi="Palatino Linotype"/>
          <w:sz w:val="24"/>
          <w:szCs w:val="24"/>
        </w:rPr>
        <w:t xml:space="preserve"> solicitation</w:t>
      </w:r>
      <w:r w:rsidRPr="0031664B" w:rsidR="00612BCE">
        <w:rPr>
          <w:rFonts w:ascii="Palatino Linotype" w:hAnsi="Palatino Linotype"/>
          <w:sz w:val="24"/>
          <w:szCs w:val="24"/>
        </w:rPr>
        <w:t xml:space="preserve">.  </w:t>
      </w:r>
    </w:p>
    <w:p w:rsidRPr="0031664B" w:rsidR="00612BCE" w:rsidP="00612BCE" w:rsidRDefault="00612BCE" w14:paraId="6A9679B1" w14:textId="77777777">
      <w:pPr>
        <w:pStyle w:val="NoSpacing"/>
        <w:rPr>
          <w:rFonts w:ascii="Palatino Linotype" w:hAnsi="Palatino Linotype"/>
          <w:sz w:val="24"/>
          <w:szCs w:val="24"/>
        </w:rPr>
      </w:pPr>
    </w:p>
    <w:p w:rsidRPr="0031664B" w:rsidR="00612BCE" w:rsidP="00612BCE" w:rsidRDefault="00612BCE" w14:paraId="29C77BCE" w14:textId="0F3E1087">
      <w:pPr>
        <w:pStyle w:val="NoSpacing"/>
        <w:rPr>
          <w:rFonts w:ascii="Palatino Linotype" w:hAnsi="Palatino Linotype"/>
          <w:sz w:val="24"/>
          <w:szCs w:val="24"/>
        </w:rPr>
      </w:pPr>
      <w:r w:rsidRPr="0031664B">
        <w:rPr>
          <w:rFonts w:ascii="Palatino Linotype" w:hAnsi="Palatino Linotype"/>
          <w:sz w:val="24"/>
          <w:szCs w:val="24"/>
        </w:rPr>
        <w:t xml:space="preserve">In </w:t>
      </w:r>
      <w:r w:rsidRPr="0031664B" w:rsidR="007E6E5F">
        <w:rPr>
          <w:rFonts w:ascii="Palatino Linotype" w:hAnsi="Palatino Linotype"/>
          <w:sz w:val="24"/>
          <w:szCs w:val="24"/>
        </w:rPr>
        <w:t>its</w:t>
      </w:r>
      <w:r w:rsidRPr="0031664B">
        <w:rPr>
          <w:rFonts w:ascii="Palatino Linotype" w:hAnsi="Palatino Linotype"/>
          <w:sz w:val="24"/>
          <w:szCs w:val="24"/>
        </w:rPr>
        <w:t xml:space="preserve"> report, the IE states that it believes that all </w:t>
      </w:r>
      <w:r w:rsidRPr="0031664B" w:rsidR="00FD3AA8">
        <w:rPr>
          <w:rFonts w:ascii="Palatino Linotype" w:hAnsi="Palatino Linotype"/>
          <w:sz w:val="24"/>
          <w:szCs w:val="24"/>
        </w:rPr>
        <w:t xml:space="preserve">the </w:t>
      </w:r>
      <w:r w:rsidRPr="0031664B">
        <w:rPr>
          <w:rFonts w:ascii="Palatino Linotype" w:hAnsi="Palatino Linotype"/>
          <w:sz w:val="24"/>
          <w:szCs w:val="24"/>
        </w:rPr>
        <w:t xml:space="preserve">sales agreements resulting from the solicitation merit Commission approval. Specifically, the IE notes that </w:t>
      </w:r>
      <w:r w:rsidRPr="0031664B" w:rsidR="00B87259">
        <w:rPr>
          <w:rFonts w:ascii="Palatino Linotype" w:hAnsi="Palatino Linotype"/>
          <w:sz w:val="24"/>
          <w:szCs w:val="24"/>
        </w:rPr>
        <w:t>PG&amp;E</w:t>
      </w:r>
      <w:r w:rsidRPr="0031664B">
        <w:rPr>
          <w:rFonts w:ascii="Palatino Linotype" w:hAnsi="Palatino Linotype"/>
          <w:sz w:val="24"/>
          <w:szCs w:val="24"/>
        </w:rPr>
        <w:t xml:space="preserve"> evaluated each conforming </w:t>
      </w:r>
      <w:r w:rsidRPr="0031664B" w:rsidR="005F6A08">
        <w:rPr>
          <w:rFonts w:ascii="Palatino Linotype" w:hAnsi="Palatino Linotype"/>
          <w:sz w:val="24"/>
          <w:szCs w:val="24"/>
        </w:rPr>
        <w:t>response,</w:t>
      </w:r>
      <w:r w:rsidRPr="0031664B">
        <w:rPr>
          <w:rFonts w:ascii="Palatino Linotype" w:hAnsi="Palatino Linotype"/>
          <w:sz w:val="24"/>
          <w:szCs w:val="24"/>
        </w:rPr>
        <w:t xml:space="preserve"> and the evaluation process was fair for all conforming responses. Additionally, the IE states that the </w:t>
      </w:r>
      <w:r w:rsidRPr="0031664B" w:rsidR="00CB5B18">
        <w:rPr>
          <w:rFonts w:ascii="Palatino Linotype" w:hAnsi="Palatino Linotype"/>
          <w:sz w:val="24"/>
          <w:szCs w:val="24"/>
        </w:rPr>
        <w:t>negotiations were conducted fairly and consistent with Codes of Conduct</w:t>
      </w:r>
      <w:r w:rsidRPr="0031664B">
        <w:rPr>
          <w:rFonts w:ascii="Palatino Linotype" w:hAnsi="Palatino Linotype"/>
          <w:sz w:val="24"/>
          <w:szCs w:val="24"/>
        </w:rPr>
        <w:t xml:space="preserve">.  </w:t>
      </w:r>
    </w:p>
    <w:p w:rsidRPr="0031664B" w:rsidR="00612BCE" w:rsidP="00612BCE" w:rsidRDefault="00612BCE" w14:paraId="64E55504" w14:textId="77777777">
      <w:pPr>
        <w:pStyle w:val="NoSpacing"/>
        <w:rPr>
          <w:rFonts w:ascii="Palatino Linotype" w:hAnsi="Palatino Linotype"/>
          <w:sz w:val="24"/>
          <w:szCs w:val="24"/>
        </w:rPr>
      </w:pPr>
      <w:r w:rsidRPr="0031664B">
        <w:rPr>
          <w:rFonts w:ascii="Palatino Linotype" w:hAnsi="Palatino Linotype"/>
          <w:sz w:val="24"/>
          <w:szCs w:val="24"/>
        </w:rPr>
        <w:t xml:space="preserve">  </w:t>
      </w:r>
    </w:p>
    <w:p w:rsidRPr="0031664B" w:rsidR="00612BCE" w:rsidP="00612BCE" w:rsidRDefault="00612BCE" w14:paraId="4CFB69B9" w14:textId="5B0CCF3A">
      <w:pPr>
        <w:pStyle w:val="NoSpacing"/>
        <w:rPr>
          <w:rFonts w:ascii="Palatino Linotype" w:hAnsi="Palatino Linotype"/>
          <w:sz w:val="24"/>
          <w:szCs w:val="24"/>
          <w:u w:val="single"/>
        </w:rPr>
      </w:pPr>
      <w:r w:rsidRPr="0031664B">
        <w:rPr>
          <w:rFonts w:ascii="Palatino Linotype" w:hAnsi="Palatino Linotype"/>
          <w:sz w:val="24"/>
          <w:szCs w:val="24"/>
          <w:u w:val="single"/>
        </w:rPr>
        <w:t>Consistent with D.06-05-039</w:t>
      </w:r>
      <w:r w:rsidRPr="0031664B" w:rsidR="0099007E">
        <w:rPr>
          <w:rFonts w:ascii="Palatino Linotype" w:hAnsi="Palatino Linotype"/>
          <w:sz w:val="24"/>
          <w:szCs w:val="24"/>
          <w:u w:val="single"/>
        </w:rPr>
        <w:t xml:space="preserve">, </w:t>
      </w:r>
      <w:r w:rsidRPr="0031664B">
        <w:rPr>
          <w:rFonts w:ascii="Palatino Linotype" w:hAnsi="Palatino Linotype"/>
          <w:sz w:val="24"/>
          <w:szCs w:val="24"/>
          <w:u w:val="single"/>
        </w:rPr>
        <w:t>D.09-06-050,</w:t>
      </w:r>
      <w:r w:rsidRPr="0031664B" w:rsidR="0099007E">
        <w:rPr>
          <w:rFonts w:ascii="Palatino Linotype" w:hAnsi="Palatino Linotype"/>
          <w:sz w:val="24"/>
          <w:szCs w:val="24"/>
          <w:u w:val="single"/>
        </w:rPr>
        <w:t xml:space="preserve"> and D.22-11-</w:t>
      </w:r>
      <w:r w:rsidRPr="0031664B" w:rsidR="005F6A08">
        <w:rPr>
          <w:rFonts w:ascii="Palatino Linotype" w:hAnsi="Palatino Linotype"/>
          <w:sz w:val="24"/>
          <w:szCs w:val="24"/>
          <w:u w:val="single"/>
        </w:rPr>
        <w:t>021,</w:t>
      </w:r>
      <w:r w:rsidRPr="0031664B">
        <w:rPr>
          <w:rFonts w:ascii="Palatino Linotype" w:hAnsi="Palatino Linotype"/>
          <w:sz w:val="24"/>
          <w:szCs w:val="24"/>
          <w:u w:val="single"/>
        </w:rPr>
        <w:t xml:space="preserve"> an independent evaluator oversaw </w:t>
      </w:r>
      <w:r w:rsidRPr="0031664B" w:rsidR="00B87259">
        <w:rPr>
          <w:rFonts w:ascii="Palatino Linotype" w:hAnsi="Palatino Linotype"/>
          <w:sz w:val="24"/>
          <w:szCs w:val="24"/>
          <w:u w:val="single"/>
        </w:rPr>
        <w:t>PG&amp;E</w:t>
      </w:r>
      <w:r w:rsidRPr="0031664B">
        <w:rPr>
          <w:rFonts w:ascii="Palatino Linotype" w:hAnsi="Palatino Linotype"/>
          <w:sz w:val="24"/>
          <w:szCs w:val="24"/>
          <w:u w:val="single"/>
        </w:rPr>
        <w:t xml:space="preserve">’s </w:t>
      </w:r>
      <w:r w:rsidRPr="0031664B" w:rsidR="00A05C67">
        <w:rPr>
          <w:rFonts w:ascii="Palatino Linotype" w:hAnsi="Palatino Linotype"/>
          <w:sz w:val="24"/>
          <w:szCs w:val="24"/>
          <w:u w:val="single"/>
        </w:rPr>
        <w:t>Long-Term Market Offer</w:t>
      </w:r>
      <w:r w:rsidRPr="0031664B">
        <w:rPr>
          <w:rFonts w:ascii="Palatino Linotype" w:hAnsi="Palatino Linotype"/>
          <w:sz w:val="24"/>
          <w:szCs w:val="24"/>
          <w:u w:val="single"/>
        </w:rPr>
        <w:t xml:space="preserve"> </w:t>
      </w:r>
      <w:r w:rsidRPr="0031664B" w:rsidR="00A05C67">
        <w:rPr>
          <w:rFonts w:ascii="Palatino Linotype" w:hAnsi="Palatino Linotype"/>
          <w:sz w:val="24"/>
          <w:szCs w:val="24"/>
          <w:u w:val="single"/>
        </w:rPr>
        <w:t>s</w:t>
      </w:r>
      <w:r w:rsidRPr="0031664B">
        <w:rPr>
          <w:rFonts w:ascii="Palatino Linotype" w:hAnsi="Palatino Linotype"/>
          <w:sz w:val="24"/>
          <w:szCs w:val="24"/>
          <w:u w:val="single"/>
        </w:rPr>
        <w:t xml:space="preserve">olicitation and </w:t>
      </w:r>
      <w:r w:rsidRPr="0031664B" w:rsidR="007E6E5F">
        <w:rPr>
          <w:rFonts w:ascii="Palatino Linotype" w:hAnsi="Palatino Linotype"/>
          <w:sz w:val="24"/>
          <w:szCs w:val="24"/>
          <w:u w:val="single"/>
        </w:rPr>
        <w:t xml:space="preserve">asserts </w:t>
      </w:r>
      <w:r w:rsidRPr="0031664B">
        <w:rPr>
          <w:rFonts w:ascii="Palatino Linotype" w:hAnsi="Palatino Linotype"/>
          <w:sz w:val="24"/>
          <w:szCs w:val="24"/>
          <w:u w:val="single"/>
        </w:rPr>
        <w:t>that the executed contract</w:t>
      </w:r>
      <w:r w:rsidRPr="0031664B" w:rsidR="00CB5B18">
        <w:rPr>
          <w:rFonts w:ascii="Palatino Linotype" w:hAnsi="Palatino Linotype"/>
          <w:sz w:val="24"/>
          <w:szCs w:val="24"/>
          <w:u w:val="single"/>
        </w:rPr>
        <w:t>s</w:t>
      </w:r>
      <w:r w:rsidRPr="0031664B">
        <w:rPr>
          <w:rFonts w:ascii="Palatino Linotype" w:hAnsi="Palatino Linotype"/>
          <w:sz w:val="24"/>
          <w:szCs w:val="24"/>
          <w:u w:val="single"/>
        </w:rPr>
        <w:t xml:space="preserve"> merit Commission approval.</w:t>
      </w:r>
    </w:p>
    <w:p w:rsidRPr="0031664B" w:rsidR="00612BCE" w:rsidP="00612BCE" w:rsidRDefault="00612BCE" w14:paraId="6204677D" w14:textId="77777777">
      <w:pPr>
        <w:rPr>
          <w:rFonts w:ascii="Palatino Linotype" w:hAnsi="Palatino Linotype"/>
          <w:b/>
          <w:sz w:val="24"/>
          <w:szCs w:val="24"/>
        </w:rPr>
      </w:pPr>
      <w:r w:rsidRPr="0031664B">
        <w:rPr>
          <w:rFonts w:ascii="Palatino Linotype" w:hAnsi="Palatino Linotype"/>
          <w:b/>
          <w:sz w:val="24"/>
          <w:szCs w:val="24"/>
        </w:rPr>
        <w:lastRenderedPageBreak/>
        <w:t>Procurement Review Group Participation</w:t>
      </w:r>
    </w:p>
    <w:p w:rsidRPr="0031664B" w:rsidR="00612BCE" w:rsidP="00612BCE" w:rsidRDefault="00612BCE" w14:paraId="5E03130E" w14:textId="77777777">
      <w:pPr>
        <w:rPr>
          <w:rFonts w:ascii="Palatino Linotype" w:hAnsi="Palatino Linotype"/>
          <w:b/>
          <w:sz w:val="24"/>
          <w:szCs w:val="24"/>
        </w:rPr>
      </w:pPr>
    </w:p>
    <w:p w:rsidRPr="0031664B" w:rsidR="00612BCE" w:rsidP="00612BCE" w:rsidRDefault="00612BCE" w14:paraId="36FEE876" w14:textId="69C8D4C4">
      <w:pPr>
        <w:rPr>
          <w:rFonts w:ascii="Palatino Linotype" w:hAnsi="Palatino Linotype"/>
          <w:b/>
          <w:sz w:val="24"/>
          <w:szCs w:val="24"/>
        </w:rPr>
      </w:pPr>
      <w:r w:rsidRPr="0031664B">
        <w:rPr>
          <w:rFonts w:ascii="Palatino Linotype" w:hAnsi="Palatino Linotype"/>
          <w:sz w:val="24"/>
          <w:szCs w:val="24"/>
        </w:rPr>
        <w:t>The Procurement Review Group (PRG) was initially established in D.02-08-071 as an advisory group to review and assess the details of the IOUs’ overall procurement strategy, solicitations, specific proposed procurement contracts and other procurement processes prior to submitting filings to the Commission.</w:t>
      </w:r>
      <w:r w:rsidRPr="0031664B">
        <w:rPr>
          <w:rStyle w:val="FootnoteReference"/>
          <w:rFonts w:ascii="Palatino Linotype" w:hAnsi="Palatino Linotype"/>
          <w:sz w:val="24"/>
          <w:szCs w:val="24"/>
        </w:rPr>
        <w:footnoteReference w:id="22"/>
      </w:r>
      <w:r w:rsidRPr="0031664B">
        <w:rPr>
          <w:rFonts w:ascii="Palatino Linotype" w:hAnsi="Palatino Linotype"/>
          <w:sz w:val="24"/>
          <w:szCs w:val="24"/>
        </w:rPr>
        <w:t xml:space="preserve">  </w:t>
      </w:r>
      <w:r w:rsidRPr="0031664B" w:rsidR="00B87259">
        <w:rPr>
          <w:rFonts w:ascii="Palatino Linotype" w:hAnsi="Palatino Linotype"/>
          <w:sz w:val="24"/>
          <w:szCs w:val="24"/>
        </w:rPr>
        <w:t>PG&amp;E</w:t>
      </w:r>
      <w:r w:rsidRPr="0031664B">
        <w:rPr>
          <w:rFonts w:ascii="Palatino Linotype" w:hAnsi="Palatino Linotype"/>
          <w:sz w:val="24"/>
          <w:szCs w:val="24"/>
        </w:rPr>
        <w:t xml:space="preserve"> asserts that details regarding evaluation process, solicitation results and shortlisted bids were discussed during the following PRG meetings: </w:t>
      </w:r>
      <w:r w:rsidRPr="0031664B" w:rsidR="00CB5B18">
        <w:rPr>
          <w:rFonts w:ascii="Palatino Linotype" w:hAnsi="Palatino Linotype"/>
          <w:sz w:val="24"/>
          <w:szCs w:val="24"/>
        </w:rPr>
        <w:t xml:space="preserve">February 7, 2023, April 13, 2023, </w:t>
      </w:r>
      <w:r w:rsidRPr="0031664B">
        <w:rPr>
          <w:rFonts w:ascii="Palatino Linotype" w:hAnsi="Palatino Linotype"/>
          <w:sz w:val="24"/>
          <w:szCs w:val="24"/>
        </w:rPr>
        <w:t xml:space="preserve">and </w:t>
      </w:r>
      <w:r w:rsidRPr="0031664B" w:rsidR="002975B8">
        <w:rPr>
          <w:rFonts w:ascii="Palatino Linotype" w:hAnsi="Palatino Linotype"/>
          <w:sz w:val="24"/>
          <w:szCs w:val="24"/>
        </w:rPr>
        <w:t>April 2</w:t>
      </w:r>
      <w:r w:rsidRPr="0031664B" w:rsidR="00CB5B18">
        <w:rPr>
          <w:rFonts w:ascii="Palatino Linotype" w:hAnsi="Palatino Linotype"/>
          <w:sz w:val="24"/>
          <w:szCs w:val="24"/>
        </w:rPr>
        <w:t>7</w:t>
      </w:r>
      <w:r w:rsidRPr="0031664B">
        <w:rPr>
          <w:rFonts w:ascii="Palatino Linotype" w:hAnsi="Palatino Linotype"/>
          <w:sz w:val="24"/>
          <w:szCs w:val="24"/>
        </w:rPr>
        <w:t>, 20</w:t>
      </w:r>
      <w:r w:rsidRPr="0031664B" w:rsidR="002975B8">
        <w:rPr>
          <w:rFonts w:ascii="Palatino Linotype" w:hAnsi="Palatino Linotype"/>
          <w:sz w:val="24"/>
          <w:szCs w:val="24"/>
        </w:rPr>
        <w:t>23</w:t>
      </w:r>
      <w:r w:rsidRPr="0031664B">
        <w:rPr>
          <w:rFonts w:ascii="Palatino Linotype" w:hAnsi="Palatino Linotype"/>
          <w:sz w:val="24"/>
          <w:szCs w:val="24"/>
        </w:rPr>
        <w:t xml:space="preserve">. </w:t>
      </w:r>
      <w:r w:rsidRPr="0031664B" w:rsidR="00B87259">
        <w:rPr>
          <w:rFonts w:ascii="Palatino Linotype" w:hAnsi="Palatino Linotype"/>
          <w:sz w:val="24"/>
          <w:szCs w:val="24"/>
        </w:rPr>
        <w:t>PG&amp;E</w:t>
      </w:r>
      <w:r w:rsidRPr="0031664B">
        <w:rPr>
          <w:rFonts w:ascii="Palatino Linotype" w:hAnsi="Palatino Linotype"/>
          <w:sz w:val="24"/>
          <w:szCs w:val="24"/>
        </w:rPr>
        <w:t xml:space="preserve"> consulted with the PRG and provided their rationale for selecting the shortlisted bids. </w:t>
      </w:r>
      <w:r w:rsidRPr="0031664B" w:rsidR="00B87259">
        <w:rPr>
          <w:rFonts w:ascii="Palatino Linotype" w:hAnsi="Palatino Linotype"/>
          <w:sz w:val="24"/>
          <w:szCs w:val="24"/>
        </w:rPr>
        <w:t>PG&amp;E</w:t>
      </w:r>
      <w:r w:rsidRPr="0031664B">
        <w:rPr>
          <w:rFonts w:ascii="Palatino Linotype" w:hAnsi="Palatino Linotype"/>
          <w:sz w:val="24"/>
          <w:szCs w:val="24"/>
        </w:rPr>
        <w:t xml:space="preserve"> received input from PRG participants on the shortlist prior to notifying the shortlisted bidders and executing contracts.  </w:t>
      </w:r>
    </w:p>
    <w:p w:rsidRPr="0031664B" w:rsidR="00612BCE" w:rsidP="00612BCE" w:rsidRDefault="00612BCE" w14:paraId="6C28D1AE" w14:textId="77777777">
      <w:pPr>
        <w:rPr>
          <w:rFonts w:ascii="Palatino Linotype" w:hAnsi="Palatino Linotype"/>
          <w:sz w:val="24"/>
          <w:szCs w:val="24"/>
        </w:rPr>
      </w:pPr>
    </w:p>
    <w:p w:rsidRPr="0031664B" w:rsidR="00612BCE" w:rsidP="00612BCE" w:rsidRDefault="00612BCE" w14:paraId="7500DFBE" w14:textId="1576C927">
      <w:pPr>
        <w:rPr>
          <w:rFonts w:ascii="Palatino Linotype" w:hAnsi="Palatino Linotype"/>
          <w:sz w:val="24"/>
          <w:szCs w:val="24"/>
          <w:u w:val="single"/>
        </w:rPr>
      </w:pPr>
      <w:r w:rsidRPr="0031664B">
        <w:rPr>
          <w:rFonts w:ascii="Palatino Linotype" w:hAnsi="Palatino Linotype"/>
          <w:sz w:val="24"/>
          <w:szCs w:val="24"/>
          <w:u w:val="single"/>
        </w:rPr>
        <w:t>Pursuant to D.02-08-071</w:t>
      </w:r>
      <w:r w:rsidRPr="0031664B" w:rsidR="00AF3738">
        <w:rPr>
          <w:rFonts w:ascii="Palatino Linotype" w:hAnsi="Palatino Linotype"/>
          <w:sz w:val="24"/>
          <w:szCs w:val="24"/>
          <w:u w:val="single"/>
        </w:rPr>
        <w:t xml:space="preserve"> and D.22-11-021</w:t>
      </w:r>
      <w:r w:rsidRPr="0031664B">
        <w:rPr>
          <w:rFonts w:ascii="Palatino Linotype" w:hAnsi="Palatino Linotype"/>
          <w:sz w:val="24"/>
          <w:szCs w:val="24"/>
          <w:u w:val="single"/>
        </w:rPr>
        <w:t xml:space="preserve">, </w:t>
      </w:r>
      <w:r w:rsidRPr="0031664B" w:rsidR="00B87259">
        <w:rPr>
          <w:rFonts w:ascii="Palatino Linotype" w:hAnsi="Palatino Linotype"/>
          <w:sz w:val="24"/>
          <w:szCs w:val="24"/>
          <w:u w:val="single"/>
        </w:rPr>
        <w:t>PG&amp;E</w:t>
      </w:r>
      <w:r w:rsidRPr="0031664B">
        <w:rPr>
          <w:rFonts w:ascii="Palatino Linotype" w:hAnsi="Palatino Linotype"/>
          <w:sz w:val="24"/>
          <w:szCs w:val="24"/>
          <w:u w:val="single"/>
        </w:rPr>
        <w:t xml:space="preserve">’s Procurement Review Group participated in the review of </w:t>
      </w:r>
      <w:r w:rsidRPr="0031664B" w:rsidR="00B87259">
        <w:rPr>
          <w:rFonts w:ascii="Palatino Linotype" w:hAnsi="Palatino Linotype"/>
          <w:sz w:val="24"/>
          <w:szCs w:val="24"/>
          <w:u w:val="single"/>
        </w:rPr>
        <w:t>PG&amp;E</w:t>
      </w:r>
      <w:r w:rsidRPr="0031664B">
        <w:rPr>
          <w:rFonts w:ascii="Palatino Linotype" w:hAnsi="Palatino Linotype"/>
          <w:sz w:val="24"/>
          <w:szCs w:val="24"/>
          <w:u w:val="single"/>
        </w:rPr>
        <w:t xml:space="preserve">’s </w:t>
      </w:r>
      <w:r w:rsidRPr="0031664B" w:rsidR="00AF3738">
        <w:rPr>
          <w:rFonts w:ascii="Palatino Linotype" w:hAnsi="Palatino Linotype"/>
          <w:sz w:val="24"/>
          <w:szCs w:val="24"/>
          <w:u w:val="single"/>
        </w:rPr>
        <w:t>Long-Term Market Offer</w:t>
      </w:r>
      <w:r w:rsidRPr="0031664B">
        <w:rPr>
          <w:rFonts w:ascii="Palatino Linotype" w:hAnsi="Palatino Linotype"/>
          <w:sz w:val="24"/>
          <w:szCs w:val="24"/>
          <w:u w:val="single"/>
        </w:rPr>
        <w:t xml:space="preserve"> from which the </w:t>
      </w:r>
      <w:r w:rsidRPr="0031664B" w:rsidR="00432C03">
        <w:rPr>
          <w:rFonts w:ascii="Palatino Linotype" w:hAnsi="Palatino Linotype"/>
          <w:sz w:val="24"/>
          <w:szCs w:val="24"/>
          <w:u w:val="single"/>
        </w:rPr>
        <w:t>T</w:t>
      </w:r>
      <w:r w:rsidRPr="0031664B" w:rsidR="004C5BEA">
        <w:rPr>
          <w:rFonts w:ascii="Palatino Linotype" w:hAnsi="Palatino Linotype"/>
          <w:sz w:val="24"/>
          <w:szCs w:val="24"/>
          <w:u w:val="single"/>
        </w:rPr>
        <w:t>ransactions</w:t>
      </w:r>
      <w:r w:rsidRPr="0031664B">
        <w:rPr>
          <w:rFonts w:ascii="Palatino Linotype" w:hAnsi="Palatino Linotype"/>
          <w:sz w:val="24"/>
          <w:szCs w:val="24"/>
          <w:u w:val="single"/>
        </w:rPr>
        <w:t xml:space="preserve"> with </w:t>
      </w:r>
      <w:r w:rsidRPr="0031664B" w:rsidR="009B265C">
        <w:rPr>
          <w:rFonts w:ascii="Palatino Linotype" w:hAnsi="Palatino Linotype"/>
          <w:sz w:val="24"/>
          <w:szCs w:val="24"/>
          <w:u w:val="single"/>
        </w:rPr>
        <w:t>t</w:t>
      </w:r>
      <w:r w:rsidRPr="0031664B" w:rsidR="00E552A8">
        <w:rPr>
          <w:rFonts w:ascii="Palatino Linotype" w:hAnsi="Palatino Linotype"/>
          <w:sz w:val="24"/>
          <w:szCs w:val="24"/>
          <w:u w:val="single"/>
        </w:rPr>
        <w:t>he Counterparties</w:t>
      </w:r>
      <w:r w:rsidRPr="0031664B" w:rsidR="00AF3738">
        <w:rPr>
          <w:rFonts w:ascii="Palatino Linotype" w:hAnsi="Palatino Linotype"/>
          <w:sz w:val="24"/>
          <w:szCs w:val="24"/>
          <w:u w:val="single"/>
        </w:rPr>
        <w:t xml:space="preserve"> </w:t>
      </w:r>
      <w:r w:rsidRPr="0031664B" w:rsidR="00DD1F27">
        <w:rPr>
          <w:rFonts w:ascii="Palatino Linotype" w:hAnsi="Palatino Linotype"/>
          <w:sz w:val="24"/>
          <w:szCs w:val="24"/>
          <w:u w:val="single"/>
        </w:rPr>
        <w:t>arose</w:t>
      </w:r>
      <w:r w:rsidRPr="0031664B">
        <w:rPr>
          <w:rFonts w:ascii="Palatino Linotype" w:hAnsi="Palatino Linotype"/>
          <w:sz w:val="24"/>
          <w:szCs w:val="24"/>
          <w:u w:val="single"/>
        </w:rPr>
        <w:t xml:space="preserve">. </w:t>
      </w:r>
    </w:p>
    <w:p w:rsidRPr="0031664B" w:rsidR="00612BCE" w:rsidP="00612BCE" w:rsidRDefault="00612BCE" w14:paraId="3D946CA4" w14:textId="77777777">
      <w:pPr>
        <w:pStyle w:val="NoSpacing"/>
        <w:rPr>
          <w:rFonts w:ascii="Palatino Linotype" w:hAnsi="Palatino Linotype"/>
          <w:b/>
          <w:sz w:val="24"/>
          <w:szCs w:val="24"/>
        </w:rPr>
      </w:pPr>
    </w:p>
    <w:p w:rsidRPr="0031664B" w:rsidR="00612BCE" w:rsidP="00612BCE" w:rsidRDefault="00612BCE" w14:paraId="0218A9B9" w14:textId="77777777">
      <w:pPr>
        <w:pStyle w:val="NoSpacing"/>
        <w:keepNext/>
        <w:spacing w:after="120"/>
        <w:rPr>
          <w:rFonts w:ascii="Palatino Linotype" w:hAnsi="Palatino Linotype"/>
          <w:b/>
          <w:sz w:val="24"/>
          <w:szCs w:val="24"/>
        </w:rPr>
      </w:pPr>
      <w:r w:rsidRPr="0031664B">
        <w:rPr>
          <w:rFonts w:ascii="Palatino Linotype" w:hAnsi="Palatino Linotype"/>
          <w:b/>
          <w:sz w:val="24"/>
          <w:szCs w:val="24"/>
        </w:rPr>
        <w:t xml:space="preserve">Safety Considerations </w:t>
      </w:r>
    </w:p>
    <w:p w:rsidRPr="0031664B" w:rsidR="00612BCE" w:rsidP="00612BCE" w:rsidRDefault="00612BCE" w14:paraId="0733BF08" w14:textId="77777777">
      <w:pPr>
        <w:pStyle w:val="BodyText"/>
        <w:rPr>
          <w:rFonts w:ascii="Palatino Linotype" w:hAnsi="Palatino Linotype"/>
          <w:b w:val="0"/>
          <w:sz w:val="24"/>
          <w:szCs w:val="24"/>
        </w:rPr>
      </w:pPr>
      <w:r w:rsidRPr="0031664B">
        <w:rPr>
          <w:rFonts w:ascii="Palatino Linotype" w:hAnsi="Palatino Linotype"/>
          <w:b w:val="0"/>
          <w:sz w:val="24"/>
          <w:szCs w:val="24"/>
        </w:rPr>
        <w:t xml:space="preserve">California Public Utilities Code Section 451 requires that every public utility maintain adequate, efficient, just, and reasonable service, instrumentalities, equipment and facilities to ensure the safety, health, and comfort of the public. </w:t>
      </w:r>
    </w:p>
    <w:p w:rsidRPr="0031664B" w:rsidR="00612BCE" w:rsidP="00612BCE" w:rsidRDefault="00612BCE" w14:paraId="67343873" w14:textId="77777777">
      <w:pPr>
        <w:pStyle w:val="BodyText"/>
        <w:rPr>
          <w:rFonts w:ascii="Palatino Linotype" w:hAnsi="Palatino Linotype"/>
          <w:b w:val="0"/>
          <w:sz w:val="24"/>
          <w:szCs w:val="24"/>
        </w:rPr>
      </w:pPr>
    </w:p>
    <w:p w:rsidRPr="0031664B" w:rsidR="00612BCE" w:rsidP="00612BCE" w:rsidRDefault="00612BCE" w14:paraId="59667A7E" w14:textId="3EBCD604">
      <w:pPr>
        <w:pStyle w:val="BodyText"/>
        <w:rPr>
          <w:rFonts w:ascii="Palatino Linotype" w:hAnsi="Palatino Linotype"/>
          <w:b w:val="0"/>
          <w:sz w:val="24"/>
          <w:szCs w:val="24"/>
        </w:rPr>
      </w:pPr>
      <w:r w:rsidRPr="0031664B">
        <w:rPr>
          <w:rFonts w:ascii="Palatino Linotype" w:hAnsi="Palatino Linotype"/>
          <w:b w:val="0"/>
          <w:sz w:val="24"/>
          <w:szCs w:val="24"/>
        </w:rPr>
        <w:t xml:space="preserve">The </w:t>
      </w:r>
      <w:r w:rsidRPr="0031664B" w:rsidR="00E552A8">
        <w:rPr>
          <w:rFonts w:ascii="Palatino Linotype" w:hAnsi="Palatino Linotype"/>
          <w:b w:val="0"/>
          <w:sz w:val="24"/>
          <w:szCs w:val="24"/>
        </w:rPr>
        <w:t>Counterparties</w:t>
      </w:r>
      <w:r w:rsidRPr="0031664B" w:rsidR="000C746D">
        <w:rPr>
          <w:rFonts w:ascii="Palatino Linotype" w:hAnsi="Palatino Linotype"/>
          <w:b w:val="0"/>
          <w:sz w:val="24"/>
          <w:szCs w:val="24"/>
        </w:rPr>
        <w:t>’</w:t>
      </w:r>
      <w:r w:rsidRPr="0031664B" w:rsidR="00C23995">
        <w:rPr>
          <w:rFonts w:ascii="Palatino Linotype" w:hAnsi="Palatino Linotype"/>
          <w:b w:val="0"/>
          <w:sz w:val="24"/>
          <w:szCs w:val="24"/>
        </w:rPr>
        <w:t xml:space="preserve"> </w:t>
      </w:r>
      <w:r w:rsidRPr="0031664B" w:rsidR="00432C03">
        <w:rPr>
          <w:rFonts w:ascii="Palatino Linotype" w:hAnsi="Palatino Linotype"/>
          <w:b w:val="0"/>
          <w:sz w:val="24"/>
          <w:szCs w:val="24"/>
        </w:rPr>
        <w:t>T</w:t>
      </w:r>
      <w:r w:rsidRPr="0031664B" w:rsidR="004C5BEA">
        <w:rPr>
          <w:rFonts w:ascii="Palatino Linotype" w:hAnsi="Palatino Linotype"/>
          <w:b w:val="0"/>
          <w:sz w:val="24"/>
          <w:szCs w:val="24"/>
        </w:rPr>
        <w:t>ransactions</w:t>
      </w:r>
      <w:r w:rsidRPr="0031664B" w:rsidR="009B265C">
        <w:rPr>
          <w:rFonts w:ascii="Palatino Linotype" w:hAnsi="Palatino Linotype"/>
          <w:b w:val="0"/>
          <w:sz w:val="24"/>
          <w:szCs w:val="24"/>
        </w:rPr>
        <w:t xml:space="preserve"> are</w:t>
      </w:r>
      <w:r w:rsidRPr="0031664B">
        <w:rPr>
          <w:rFonts w:ascii="Palatino Linotype" w:hAnsi="Palatino Linotype"/>
          <w:b w:val="0"/>
          <w:sz w:val="24"/>
          <w:szCs w:val="24"/>
        </w:rPr>
        <w:t xml:space="preserve"> for the sale of renewable generation and associated RECs from RPS-eligible facilities.  The proposed sales agreement</w:t>
      </w:r>
      <w:r w:rsidRPr="0031664B" w:rsidR="00CB5B18">
        <w:rPr>
          <w:rFonts w:ascii="Palatino Linotype" w:hAnsi="Palatino Linotype"/>
          <w:b w:val="0"/>
          <w:sz w:val="24"/>
          <w:szCs w:val="24"/>
        </w:rPr>
        <w:t>s</w:t>
      </w:r>
      <w:r w:rsidRPr="0031664B">
        <w:rPr>
          <w:rFonts w:ascii="Palatino Linotype" w:hAnsi="Palatino Linotype"/>
          <w:b w:val="0"/>
          <w:sz w:val="24"/>
          <w:szCs w:val="24"/>
        </w:rPr>
        <w:t xml:space="preserve"> do not alter existing power purchase agreements or any facility operations. As th</w:t>
      </w:r>
      <w:r w:rsidRPr="0031664B" w:rsidR="003A7922">
        <w:rPr>
          <w:rFonts w:ascii="Palatino Linotype" w:hAnsi="Palatino Linotype"/>
          <w:b w:val="0"/>
          <w:sz w:val="24"/>
          <w:szCs w:val="24"/>
        </w:rPr>
        <w:t>e</w:t>
      </w:r>
      <w:r w:rsidRPr="0031664B">
        <w:rPr>
          <w:rFonts w:ascii="Palatino Linotype" w:hAnsi="Palatino Linotype"/>
          <w:b w:val="0"/>
          <w:sz w:val="24"/>
          <w:szCs w:val="24"/>
        </w:rPr>
        <w:t>s</w:t>
      </w:r>
      <w:r w:rsidRPr="0031664B" w:rsidR="003A7922">
        <w:rPr>
          <w:rFonts w:ascii="Palatino Linotype" w:hAnsi="Palatino Linotype"/>
          <w:b w:val="0"/>
          <w:sz w:val="24"/>
          <w:szCs w:val="24"/>
        </w:rPr>
        <w:t>e</w:t>
      </w:r>
      <w:r w:rsidRPr="0031664B">
        <w:rPr>
          <w:rFonts w:ascii="Palatino Linotype" w:hAnsi="Palatino Linotype"/>
          <w:b w:val="0"/>
          <w:sz w:val="24"/>
          <w:szCs w:val="24"/>
        </w:rPr>
        <w:t xml:space="preserve"> agreement</w:t>
      </w:r>
      <w:r w:rsidRPr="0031664B" w:rsidR="003A7922">
        <w:rPr>
          <w:rFonts w:ascii="Palatino Linotype" w:hAnsi="Palatino Linotype"/>
          <w:b w:val="0"/>
          <w:sz w:val="24"/>
          <w:szCs w:val="24"/>
        </w:rPr>
        <w:t>s</w:t>
      </w:r>
      <w:r w:rsidRPr="0031664B">
        <w:rPr>
          <w:rFonts w:ascii="Palatino Linotype" w:hAnsi="Palatino Linotype"/>
          <w:b w:val="0"/>
          <w:sz w:val="24"/>
          <w:szCs w:val="24"/>
        </w:rPr>
        <w:t xml:space="preserve"> do not require a change in facility operations, there are no incremental safety implications associated with approval of this contract beyond the status quo.</w:t>
      </w:r>
      <w:r w:rsidRPr="0031664B">
        <w:rPr>
          <w:rFonts w:ascii="Palatino Linotype" w:hAnsi="Palatino Linotype"/>
          <w:b w:val="0"/>
          <w:color w:val="1F497D"/>
          <w:sz w:val="24"/>
          <w:szCs w:val="24"/>
        </w:rPr>
        <w:t xml:space="preserve"> </w:t>
      </w:r>
      <w:r w:rsidRPr="0031664B">
        <w:rPr>
          <w:rFonts w:ascii="Palatino Linotype" w:hAnsi="Palatino Linotype"/>
          <w:b w:val="0"/>
          <w:sz w:val="24"/>
          <w:szCs w:val="24"/>
        </w:rPr>
        <w:t xml:space="preserve"> Based on the information provided, </w:t>
      </w:r>
      <w:r w:rsidRPr="0031664B" w:rsidR="003A7922">
        <w:rPr>
          <w:rFonts w:ascii="Palatino Linotype" w:hAnsi="Palatino Linotype"/>
          <w:b w:val="0"/>
          <w:sz w:val="24"/>
          <w:szCs w:val="24"/>
        </w:rPr>
        <w:t xml:space="preserve">these </w:t>
      </w:r>
      <w:r w:rsidRPr="0031664B">
        <w:rPr>
          <w:rFonts w:ascii="Palatino Linotype" w:hAnsi="Palatino Linotype"/>
          <w:b w:val="0"/>
          <w:sz w:val="24"/>
          <w:szCs w:val="24"/>
        </w:rPr>
        <w:t>agreement</w:t>
      </w:r>
      <w:r w:rsidRPr="0031664B" w:rsidR="003A7922">
        <w:rPr>
          <w:rFonts w:ascii="Palatino Linotype" w:hAnsi="Palatino Linotype"/>
          <w:b w:val="0"/>
          <w:sz w:val="24"/>
          <w:szCs w:val="24"/>
        </w:rPr>
        <w:t>s</w:t>
      </w:r>
      <w:r w:rsidRPr="0031664B">
        <w:rPr>
          <w:rFonts w:ascii="Palatino Linotype" w:hAnsi="Palatino Linotype"/>
          <w:b w:val="0"/>
          <w:sz w:val="24"/>
          <w:szCs w:val="24"/>
        </w:rPr>
        <w:t xml:space="preserve"> do not appear to result in any adverse safety impacts on the facilities or operations of </w:t>
      </w:r>
      <w:r w:rsidRPr="0031664B" w:rsidR="00B87259">
        <w:rPr>
          <w:rFonts w:ascii="Palatino Linotype" w:hAnsi="Palatino Linotype"/>
          <w:b w:val="0"/>
          <w:sz w:val="24"/>
          <w:szCs w:val="24"/>
        </w:rPr>
        <w:t>PG&amp;E</w:t>
      </w:r>
      <w:r w:rsidRPr="0031664B">
        <w:rPr>
          <w:rFonts w:ascii="Palatino Linotype" w:hAnsi="Palatino Linotype"/>
          <w:b w:val="0"/>
          <w:sz w:val="24"/>
          <w:szCs w:val="24"/>
        </w:rPr>
        <w:t xml:space="preserve">. </w:t>
      </w:r>
    </w:p>
    <w:p w:rsidRPr="0031664B" w:rsidR="00612BCE" w:rsidP="00612BCE" w:rsidRDefault="00612BCE" w14:paraId="4B7625D0" w14:textId="77777777">
      <w:pPr>
        <w:pStyle w:val="BodyText"/>
        <w:rPr>
          <w:rFonts w:ascii="Palatino Linotype" w:hAnsi="Palatino Linotype"/>
          <w:b w:val="0"/>
          <w:sz w:val="24"/>
          <w:szCs w:val="24"/>
        </w:rPr>
      </w:pPr>
    </w:p>
    <w:p w:rsidRPr="0031664B" w:rsidR="00612BCE" w:rsidP="00612BCE" w:rsidRDefault="00612BCE" w14:paraId="0E9587F0" w14:textId="77777777">
      <w:pPr>
        <w:pStyle w:val="Heading1"/>
        <w:spacing w:before="0" w:after="120"/>
        <w:rPr>
          <w:rFonts w:ascii="Palatino Linotype" w:hAnsi="Palatino Linotype"/>
          <w:caps w:val="0"/>
          <w:sz w:val="24"/>
          <w:szCs w:val="24"/>
          <w:u w:val="none"/>
        </w:rPr>
      </w:pPr>
      <w:r w:rsidRPr="0031664B">
        <w:rPr>
          <w:rFonts w:ascii="Palatino Linotype" w:hAnsi="Palatino Linotype"/>
          <w:caps w:val="0"/>
          <w:sz w:val="24"/>
          <w:szCs w:val="24"/>
          <w:u w:val="none"/>
        </w:rPr>
        <w:t>Confidential Information</w:t>
      </w:r>
    </w:p>
    <w:p w:rsidRPr="0031664B" w:rsidR="00612BCE" w:rsidP="00612BCE" w:rsidRDefault="00612BCE" w14:paraId="198CC0D5" w14:textId="6D6B2D8B">
      <w:pPr>
        <w:rPr>
          <w:rFonts w:ascii="Palatino Linotype" w:hAnsi="Palatino Linotype"/>
          <w:sz w:val="24"/>
          <w:szCs w:val="24"/>
        </w:rPr>
      </w:pPr>
      <w:r w:rsidRPr="0031664B">
        <w:rPr>
          <w:rFonts w:ascii="Palatino Linotype" w:hAnsi="Palatino Linotype"/>
          <w:sz w:val="24"/>
          <w:szCs w:val="24"/>
        </w:rPr>
        <w:t>The Commission, through the implementation of Pub. Util. Code § 454.5(g), has determined in D.06-06-066, as modified by D.07-05-032</w:t>
      </w:r>
      <w:r w:rsidRPr="0031664B" w:rsidR="00434AF0">
        <w:rPr>
          <w:rFonts w:ascii="Palatino Linotype" w:hAnsi="Palatino Linotype"/>
          <w:sz w:val="24"/>
          <w:szCs w:val="24"/>
        </w:rPr>
        <w:t xml:space="preserve"> and D.21-11-029</w:t>
      </w:r>
      <w:r w:rsidRPr="0031664B">
        <w:rPr>
          <w:rFonts w:ascii="Palatino Linotype" w:hAnsi="Palatino Linotype"/>
          <w:sz w:val="24"/>
          <w:szCs w:val="24"/>
        </w:rPr>
        <w:t xml:space="preserve">, that certain material submitted to the Commission as confidential should be kept confidential to ensure that market sensitive data does not influence the behavior of bidders in future </w:t>
      </w:r>
      <w:r w:rsidRPr="0031664B">
        <w:rPr>
          <w:rFonts w:ascii="Palatino Linotype" w:hAnsi="Palatino Linotype"/>
          <w:sz w:val="24"/>
          <w:szCs w:val="24"/>
        </w:rPr>
        <w:lastRenderedPageBreak/>
        <w:t>RPS solicitations.  D.06-06-066</w:t>
      </w:r>
      <w:r w:rsidRPr="0031664B" w:rsidR="00434AF0">
        <w:rPr>
          <w:rFonts w:ascii="Palatino Linotype" w:hAnsi="Palatino Linotype"/>
          <w:sz w:val="24"/>
          <w:szCs w:val="24"/>
        </w:rPr>
        <w:t>, as modified</w:t>
      </w:r>
      <w:r w:rsidRPr="0031664B">
        <w:rPr>
          <w:rFonts w:ascii="Palatino Linotype" w:hAnsi="Palatino Linotype"/>
          <w:sz w:val="24"/>
          <w:szCs w:val="24"/>
        </w:rPr>
        <w:t xml:space="preserve"> adopted a time limit on the confidentiality of specific terms in RPS contracts.  Such information, such as price, is confidential </w:t>
      </w:r>
      <w:r w:rsidRPr="0031664B" w:rsidR="00434AF0">
        <w:rPr>
          <w:rFonts w:ascii="Palatino Linotype" w:hAnsi="Palatino Linotype"/>
          <w:sz w:val="24"/>
          <w:szCs w:val="24"/>
        </w:rPr>
        <w:t xml:space="preserve">until 30 days after the commercial operation date/energy delivery start date or 18 months from the date of Commission approval, whichever comes first </w:t>
      </w:r>
      <w:r w:rsidRPr="0031664B">
        <w:rPr>
          <w:rFonts w:ascii="Palatino Linotype" w:hAnsi="Palatino Linotype"/>
          <w:sz w:val="24"/>
          <w:szCs w:val="24"/>
        </w:rPr>
        <w:t>or one year after contract termination, except contracts between IOUs and their affiliates, which are public.</w:t>
      </w:r>
    </w:p>
    <w:p w:rsidRPr="0031664B" w:rsidR="00612BCE" w:rsidP="00612BCE" w:rsidRDefault="00612BCE" w14:paraId="47CE5929" w14:textId="77777777">
      <w:pPr>
        <w:rPr>
          <w:rFonts w:ascii="Palatino Linotype" w:hAnsi="Palatino Linotype"/>
          <w:sz w:val="24"/>
          <w:szCs w:val="24"/>
        </w:rPr>
      </w:pPr>
    </w:p>
    <w:p w:rsidRPr="0031664B" w:rsidR="00612BCE" w:rsidP="00612BCE" w:rsidRDefault="00612BCE" w14:paraId="523F530F" w14:textId="77777777">
      <w:pPr>
        <w:rPr>
          <w:rFonts w:ascii="Palatino Linotype" w:hAnsi="Palatino Linotype"/>
          <w:sz w:val="24"/>
          <w:szCs w:val="24"/>
          <w:u w:val="single"/>
        </w:rPr>
      </w:pPr>
      <w:r w:rsidRPr="0031664B">
        <w:rPr>
          <w:rFonts w:ascii="Palatino Linotype" w:hAnsi="Palatino Linotype"/>
          <w:sz w:val="24"/>
          <w:szCs w:val="24"/>
          <w:u w:val="single"/>
        </w:rPr>
        <w:t>The confidential appendices marked "[REDACTED]" in the public copy of this resolution, as well as the confidential portions of the advice letter, should remain confidential at this time.</w:t>
      </w:r>
    </w:p>
    <w:p w:rsidRPr="0031664B" w:rsidR="00612BCE" w:rsidP="00612BCE" w:rsidRDefault="00612BCE" w14:paraId="62624622" w14:textId="77777777">
      <w:pPr>
        <w:rPr>
          <w:rFonts w:ascii="Palatino Linotype" w:hAnsi="Palatino Linotype"/>
          <w:sz w:val="24"/>
          <w:szCs w:val="24"/>
          <w:u w:val="single"/>
        </w:rPr>
      </w:pPr>
    </w:p>
    <w:p w:rsidRPr="0031664B" w:rsidR="00612BCE" w:rsidP="00612BCE" w:rsidRDefault="00612BCE" w14:paraId="6F295E77" w14:textId="77777777">
      <w:pPr>
        <w:pStyle w:val="Heading1"/>
        <w:rPr>
          <w:rFonts w:ascii="Palatino Linotype" w:hAnsi="Palatino Linotype"/>
          <w:sz w:val="24"/>
          <w:szCs w:val="24"/>
        </w:rPr>
      </w:pPr>
      <w:r w:rsidRPr="0031664B">
        <w:rPr>
          <w:rFonts w:ascii="Palatino Linotype" w:hAnsi="Palatino Linotype"/>
          <w:sz w:val="24"/>
          <w:szCs w:val="24"/>
        </w:rPr>
        <w:t>Comments</w:t>
      </w:r>
    </w:p>
    <w:p w:rsidRPr="0031664B" w:rsidR="00612BCE" w:rsidP="00612BCE" w:rsidRDefault="00612BCE" w14:paraId="2119EC73" w14:textId="78DBF8AC">
      <w:pPr>
        <w:spacing w:after="120"/>
        <w:rPr>
          <w:rFonts w:ascii="Palatino Linotype" w:hAnsi="Palatino Linotype"/>
          <w:sz w:val="24"/>
          <w:szCs w:val="24"/>
        </w:rPr>
      </w:pPr>
      <w:r w:rsidRPr="0031664B">
        <w:rPr>
          <w:rFonts w:ascii="Palatino Linotype" w:hAnsi="Palatino Linotype"/>
          <w:sz w:val="24"/>
          <w:szCs w:val="24"/>
        </w:rPr>
        <w:t xml:space="preserve">This is an uncontested matter in which the resolution grants the relief requested.  Accordingly, pursuant to Public Utilities Code § 311(g)(2), the otherwise applicable </w:t>
      </w:r>
      <w:r w:rsidR="00DC743D">
        <w:rPr>
          <w:rFonts w:ascii="Palatino Linotype" w:hAnsi="Palatino Linotype"/>
          <w:sz w:val="24"/>
          <w:szCs w:val="24"/>
        </w:rPr>
        <w:br/>
      </w:r>
      <w:r w:rsidRPr="0031664B">
        <w:rPr>
          <w:rFonts w:ascii="Palatino Linotype" w:hAnsi="Palatino Linotype"/>
          <w:sz w:val="24"/>
          <w:szCs w:val="24"/>
        </w:rPr>
        <w:t xml:space="preserve">30-day period for public review and comment is being waived. </w:t>
      </w:r>
    </w:p>
    <w:p w:rsidRPr="0031664B" w:rsidR="00612BCE" w:rsidP="00612BCE" w:rsidRDefault="00612BCE" w14:paraId="7A90BCEF" w14:textId="77777777">
      <w:pPr>
        <w:spacing w:after="120"/>
        <w:rPr>
          <w:rFonts w:ascii="Palatino Linotype" w:hAnsi="Palatino Linotype"/>
          <w:sz w:val="24"/>
          <w:szCs w:val="24"/>
          <w:highlight w:val="yellow"/>
        </w:rPr>
      </w:pPr>
    </w:p>
    <w:p w:rsidRPr="0031664B" w:rsidR="00612BCE" w:rsidP="00612BCE" w:rsidRDefault="00612BCE" w14:paraId="1DAD0FC4" w14:textId="77777777">
      <w:pPr>
        <w:pStyle w:val="Heading1"/>
        <w:rPr>
          <w:rFonts w:ascii="Palatino Linotype" w:hAnsi="Palatino Linotype"/>
          <w:sz w:val="24"/>
          <w:szCs w:val="24"/>
        </w:rPr>
      </w:pPr>
      <w:r w:rsidRPr="0031664B">
        <w:rPr>
          <w:rFonts w:ascii="Palatino Linotype" w:hAnsi="Palatino Linotype"/>
          <w:sz w:val="24"/>
          <w:szCs w:val="24"/>
        </w:rPr>
        <w:t>Findings</w:t>
      </w:r>
    </w:p>
    <w:p w:rsidRPr="0031664B" w:rsidR="00C23995" w:rsidP="00612BCE" w:rsidRDefault="00B87259" w14:paraId="43667B40" w14:textId="6672FD35">
      <w:pPr>
        <w:pStyle w:val="ListParagraph"/>
        <w:numPr>
          <w:ilvl w:val="0"/>
          <w:numId w:val="6"/>
        </w:numPr>
        <w:spacing w:line="276" w:lineRule="auto"/>
        <w:rPr>
          <w:rFonts w:ascii="Palatino Linotype" w:hAnsi="Palatino Linotype"/>
          <w:sz w:val="24"/>
          <w:szCs w:val="24"/>
        </w:rPr>
      </w:pPr>
      <w:r w:rsidRPr="0031664B">
        <w:rPr>
          <w:rFonts w:ascii="Palatino Linotype" w:hAnsi="Palatino Linotype"/>
          <w:sz w:val="24"/>
          <w:szCs w:val="24"/>
        </w:rPr>
        <w:t>PG&amp;E</w:t>
      </w:r>
      <w:r w:rsidRPr="0031664B" w:rsidR="00C23995">
        <w:rPr>
          <w:rFonts w:ascii="Palatino Linotype" w:hAnsi="Palatino Linotype"/>
          <w:sz w:val="24"/>
          <w:szCs w:val="24"/>
        </w:rPr>
        <w:t>’s Long-Term Market Offer solicitation was implemented consistent with D.22-11-021.</w:t>
      </w:r>
    </w:p>
    <w:p w:rsidRPr="0031664B" w:rsidR="00612BCE" w:rsidP="00612BCE" w:rsidRDefault="00612BCE" w14:paraId="13429E42" w14:textId="105C67B2">
      <w:pPr>
        <w:pStyle w:val="ListParagraph"/>
        <w:numPr>
          <w:ilvl w:val="0"/>
          <w:numId w:val="6"/>
        </w:numPr>
        <w:spacing w:line="276" w:lineRule="auto"/>
        <w:rPr>
          <w:rFonts w:ascii="Palatino Linotype" w:hAnsi="Palatino Linotype"/>
          <w:sz w:val="24"/>
          <w:szCs w:val="24"/>
        </w:rPr>
      </w:pPr>
      <w:r w:rsidRPr="0031664B">
        <w:rPr>
          <w:rFonts w:ascii="Palatino Linotype" w:hAnsi="Palatino Linotype"/>
          <w:sz w:val="24"/>
          <w:szCs w:val="24"/>
        </w:rPr>
        <w:t>Th</w:t>
      </w:r>
      <w:r w:rsidRPr="0031664B" w:rsidR="009B265C">
        <w:rPr>
          <w:rFonts w:ascii="Palatino Linotype" w:hAnsi="Palatino Linotype"/>
          <w:sz w:val="24"/>
          <w:szCs w:val="24"/>
        </w:rPr>
        <w:t xml:space="preserve">e </w:t>
      </w:r>
      <w:r w:rsidRPr="0031664B" w:rsidR="00432C03">
        <w:rPr>
          <w:rFonts w:ascii="Palatino Linotype" w:hAnsi="Palatino Linotype"/>
          <w:sz w:val="24"/>
          <w:szCs w:val="24"/>
        </w:rPr>
        <w:t>T</w:t>
      </w:r>
      <w:r w:rsidRPr="0031664B" w:rsidR="004C5BEA">
        <w:rPr>
          <w:rFonts w:ascii="Palatino Linotype" w:hAnsi="Palatino Linotype"/>
          <w:sz w:val="24"/>
          <w:szCs w:val="24"/>
        </w:rPr>
        <w:t>ransactions</w:t>
      </w:r>
      <w:r w:rsidRPr="0031664B" w:rsidR="00BD5C54">
        <w:rPr>
          <w:rFonts w:ascii="Palatino Linotype" w:hAnsi="Palatino Linotype"/>
          <w:sz w:val="24"/>
          <w:szCs w:val="24"/>
        </w:rPr>
        <w:t xml:space="preserve"> </w:t>
      </w:r>
      <w:r w:rsidRPr="0031664B" w:rsidR="009B265C">
        <w:rPr>
          <w:rFonts w:ascii="Palatino Linotype" w:hAnsi="Palatino Linotype"/>
          <w:sz w:val="24"/>
          <w:szCs w:val="24"/>
        </w:rPr>
        <w:t>are</w:t>
      </w:r>
      <w:r w:rsidRPr="0031664B">
        <w:rPr>
          <w:rFonts w:ascii="Palatino Linotype" w:hAnsi="Palatino Linotype"/>
          <w:sz w:val="24"/>
          <w:szCs w:val="24"/>
        </w:rPr>
        <w:t xml:space="preserve"> consistent with </w:t>
      </w:r>
      <w:r w:rsidRPr="0031664B" w:rsidR="00B87259">
        <w:rPr>
          <w:rFonts w:ascii="Palatino Linotype" w:hAnsi="Palatino Linotype"/>
          <w:sz w:val="24"/>
          <w:szCs w:val="24"/>
        </w:rPr>
        <w:t>PG&amp;E</w:t>
      </w:r>
      <w:r w:rsidRPr="0031664B">
        <w:rPr>
          <w:rFonts w:ascii="Palatino Linotype" w:hAnsi="Palatino Linotype"/>
          <w:sz w:val="24"/>
          <w:szCs w:val="24"/>
        </w:rPr>
        <w:t xml:space="preserve">’s RPS portfolio needs in its </w:t>
      </w:r>
      <w:r w:rsidRPr="0031664B" w:rsidR="00C23995">
        <w:rPr>
          <w:rFonts w:ascii="Palatino Linotype" w:hAnsi="Palatino Linotype"/>
          <w:sz w:val="24"/>
          <w:szCs w:val="24"/>
        </w:rPr>
        <w:t xml:space="preserve">2022 </w:t>
      </w:r>
      <w:r w:rsidRPr="0031664B">
        <w:rPr>
          <w:rFonts w:ascii="Palatino Linotype" w:hAnsi="Palatino Linotype"/>
          <w:sz w:val="24"/>
          <w:szCs w:val="24"/>
        </w:rPr>
        <w:t>RPS Procurement Plan, as approved by D.</w:t>
      </w:r>
      <w:r w:rsidRPr="0031664B" w:rsidR="00C23995">
        <w:rPr>
          <w:rFonts w:ascii="Palatino Linotype" w:hAnsi="Palatino Linotype"/>
          <w:sz w:val="24"/>
          <w:szCs w:val="24"/>
        </w:rPr>
        <w:t>22-12-030</w:t>
      </w:r>
      <w:r w:rsidRPr="0031664B">
        <w:rPr>
          <w:rFonts w:ascii="Palatino Linotype" w:hAnsi="Palatino Linotype"/>
          <w:sz w:val="24"/>
          <w:szCs w:val="24"/>
        </w:rPr>
        <w:t>.</w:t>
      </w:r>
    </w:p>
    <w:p w:rsidRPr="0031664B" w:rsidR="00612BCE" w:rsidP="00612BCE" w:rsidRDefault="00612BCE" w14:paraId="7DBE0B76" w14:textId="49CC9A1E">
      <w:pPr>
        <w:pStyle w:val="ListParagraph"/>
        <w:numPr>
          <w:ilvl w:val="0"/>
          <w:numId w:val="6"/>
        </w:numPr>
        <w:spacing w:line="276" w:lineRule="auto"/>
        <w:rPr>
          <w:rFonts w:ascii="Palatino Linotype" w:hAnsi="Palatino Linotype"/>
          <w:sz w:val="24"/>
          <w:szCs w:val="24"/>
        </w:rPr>
      </w:pPr>
      <w:r w:rsidRPr="0031664B">
        <w:rPr>
          <w:rFonts w:ascii="Palatino Linotype" w:hAnsi="Palatino Linotype"/>
          <w:sz w:val="24"/>
          <w:szCs w:val="24"/>
        </w:rPr>
        <w:t>The total expected revenues of the sales agreement</w:t>
      </w:r>
      <w:r w:rsidRPr="0031664B" w:rsidR="003A7922">
        <w:rPr>
          <w:rFonts w:ascii="Palatino Linotype" w:hAnsi="Palatino Linotype"/>
          <w:sz w:val="24"/>
          <w:szCs w:val="24"/>
        </w:rPr>
        <w:t>s</w:t>
      </w:r>
      <w:r w:rsidRPr="0031664B">
        <w:rPr>
          <w:rFonts w:ascii="Palatino Linotype" w:hAnsi="Palatino Linotype"/>
          <w:sz w:val="24"/>
          <w:szCs w:val="24"/>
        </w:rPr>
        <w:t xml:space="preserve"> are reasonable based on the estimated costs to </w:t>
      </w:r>
      <w:r w:rsidRPr="0031664B" w:rsidR="00B87259">
        <w:rPr>
          <w:rFonts w:ascii="Palatino Linotype" w:hAnsi="Palatino Linotype"/>
          <w:sz w:val="24"/>
          <w:szCs w:val="24"/>
        </w:rPr>
        <w:t>PG&amp;E</w:t>
      </w:r>
      <w:r w:rsidRPr="0031664B">
        <w:rPr>
          <w:rFonts w:ascii="Palatino Linotype" w:hAnsi="Palatino Linotype"/>
          <w:sz w:val="24"/>
          <w:szCs w:val="24"/>
        </w:rPr>
        <w:t xml:space="preserve"> ratepayers and the sales agreements</w:t>
      </w:r>
      <w:r w:rsidRPr="0031664B" w:rsidR="003A7922">
        <w:rPr>
          <w:rFonts w:ascii="Palatino Linotype" w:hAnsi="Palatino Linotype"/>
          <w:sz w:val="24"/>
          <w:szCs w:val="24"/>
        </w:rPr>
        <w:t>’</w:t>
      </w:r>
      <w:r w:rsidRPr="0031664B">
        <w:rPr>
          <w:rFonts w:ascii="Palatino Linotype" w:hAnsi="Palatino Linotype"/>
          <w:sz w:val="24"/>
          <w:szCs w:val="24"/>
        </w:rPr>
        <w:t xml:space="preserve"> price</w:t>
      </w:r>
      <w:r w:rsidRPr="0031664B" w:rsidR="003A7922">
        <w:rPr>
          <w:rFonts w:ascii="Palatino Linotype" w:hAnsi="Palatino Linotype"/>
          <w:sz w:val="24"/>
          <w:szCs w:val="24"/>
        </w:rPr>
        <w:t>s</w:t>
      </w:r>
      <w:r w:rsidRPr="0031664B">
        <w:rPr>
          <w:rFonts w:ascii="Palatino Linotype" w:hAnsi="Palatino Linotype"/>
          <w:sz w:val="24"/>
          <w:szCs w:val="24"/>
        </w:rPr>
        <w:t xml:space="preserve"> relative to </w:t>
      </w:r>
      <w:r w:rsidRPr="0031664B" w:rsidR="00B87259">
        <w:rPr>
          <w:rFonts w:ascii="Palatino Linotype" w:hAnsi="Palatino Linotype"/>
          <w:sz w:val="24"/>
          <w:szCs w:val="24"/>
        </w:rPr>
        <w:t>PG&amp;E</w:t>
      </w:r>
      <w:r w:rsidRPr="0031664B">
        <w:rPr>
          <w:rFonts w:ascii="Palatino Linotype" w:hAnsi="Palatino Linotype"/>
          <w:sz w:val="24"/>
          <w:szCs w:val="24"/>
        </w:rPr>
        <w:t xml:space="preserve">’s </w:t>
      </w:r>
      <w:r w:rsidRPr="0031664B" w:rsidR="003A7922">
        <w:rPr>
          <w:rFonts w:ascii="Palatino Linotype" w:hAnsi="Palatino Linotype"/>
          <w:sz w:val="24"/>
          <w:szCs w:val="24"/>
        </w:rPr>
        <w:t>Market Offer</w:t>
      </w:r>
      <w:r w:rsidRPr="0031664B">
        <w:rPr>
          <w:rFonts w:ascii="Palatino Linotype" w:hAnsi="Palatino Linotype"/>
          <w:sz w:val="24"/>
          <w:szCs w:val="24"/>
        </w:rPr>
        <w:t xml:space="preserve"> solicitation and other </w:t>
      </w:r>
      <w:r w:rsidRPr="0031664B" w:rsidR="003A7922">
        <w:rPr>
          <w:rFonts w:ascii="Palatino Linotype" w:hAnsi="Palatino Linotype"/>
          <w:sz w:val="24"/>
          <w:szCs w:val="24"/>
        </w:rPr>
        <w:t xml:space="preserve">recently </w:t>
      </w:r>
      <w:r w:rsidRPr="0031664B">
        <w:rPr>
          <w:rFonts w:ascii="Palatino Linotype" w:hAnsi="Palatino Linotype"/>
          <w:sz w:val="24"/>
          <w:szCs w:val="24"/>
        </w:rPr>
        <w:t xml:space="preserve">approved contracts. </w:t>
      </w:r>
    </w:p>
    <w:p w:rsidRPr="0031664B" w:rsidR="00612BCE" w:rsidP="00612BCE" w:rsidRDefault="00612BCE" w14:paraId="7ECAA4A0" w14:textId="29DFCA3C">
      <w:pPr>
        <w:pStyle w:val="ListParagraph"/>
        <w:numPr>
          <w:ilvl w:val="0"/>
          <w:numId w:val="6"/>
        </w:numPr>
        <w:spacing w:line="276" w:lineRule="auto"/>
        <w:rPr>
          <w:rFonts w:ascii="Palatino Linotype" w:hAnsi="Palatino Linotype"/>
          <w:sz w:val="24"/>
          <w:szCs w:val="24"/>
        </w:rPr>
      </w:pPr>
      <w:r w:rsidRPr="0031664B">
        <w:rPr>
          <w:rFonts w:ascii="Palatino Linotype" w:hAnsi="Palatino Linotype"/>
          <w:sz w:val="24"/>
          <w:szCs w:val="24"/>
        </w:rPr>
        <w:t xml:space="preserve">Payments received by </w:t>
      </w:r>
      <w:r w:rsidRPr="0031664B" w:rsidR="00B87259">
        <w:rPr>
          <w:rFonts w:ascii="Palatino Linotype" w:hAnsi="Palatino Linotype"/>
          <w:sz w:val="24"/>
          <w:szCs w:val="24"/>
        </w:rPr>
        <w:t>PG&amp;E</w:t>
      </w:r>
      <w:r w:rsidRPr="0031664B">
        <w:rPr>
          <w:rFonts w:ascii="Palatino Linotype" w:hAnsi="Palatino Linotype"/>
          <w:sz w:val="24"/>
          <w:szCs w:val="24"/>
        </w:rPr>
        <w:t xml:space="preserve"> under the sales agreement shall be credited to </w:t>
      </w:r>
      <w:r w:rsidR="00DC743D">
        <w:rPr>
          <w:rFonts w:ascii="Palatino Linotype" w:hAnsi="Palatino Linotype"/>
          <w:sz w:val="24"/>
          <w:szCs w:val="24"/>
        </w:rPr>
        <w:br/>
      </w:r>
      <w:r w:rsidRPr="0031664B" w:rsidR="00B87259">
        <w:rPr>
          <w:rFonts w:ascii="Palatino Linotype" w:hAnsi="Palatino Linotype"/>
          <w:sz w:val="24"/>
          <w:szCs w:val="24"/>
        </w:rPr>
        <w:t>PG&amp;E</w:t>
      </w:r>
      <w:r w:rsidRPr="0031664B">
        <w:rPr>
          <w:rFonts w:ascii="Palatino Linotype" w:hAnsi="Palatino Linotype"/>
          <w:sz w:val="24"/>
          <w:szCs w:val="24"/>
        </w:rPr>
        <w:t xml:space="preserve">’s ratepayers through </w:t>
      </w:r>
      <w:r w:rsidRPr="0031664B" w:rsidR="00B87259">
        <w:rPr>
          <w:rFonts w:ascii="Palatino Linotype" w:hAnsi="Palatino Linotype"/>
          <w:sz w:val="24"/>
          <w:szCs w:val="24"/>
        </w:rPr>
        <w:t>PG&amp;E</w:t>
      </w:r>
      <w:r w:rsidRPr="0031664B">
        <w:rPr>
          <w:rFonts w:ascii="Palatino Linotype" w:hAnsi="Palatino Linotype"/>
          <w:sz w:val="24"/>
          <w:szCs w:val="24"/>
        </w:rPr>
        <w:t xml:space="preserve">’s </w:t>
      </w:r>
      <w:r w:rsidRPr="0031664B" w:rsidR="00434AF0">
        <w:rPr>
          <w:rFonts w:ascii="Palatino Linotype" w:hAnsi="Palatino Linotype"/>
          <w:sz w:val="24"/>
          <w:szCs w:val="24"/>
        </w:rPr>
        <w:t xml:space="preserve">Portfolio Allocation Balancing Account </w:t>
      </w:r>
      <w:r w:rsidRPr="0031664B">
        <w:rPr>
          <w:rFonts w:ascii="Palatino Linotype" w:hAnsi="Palatino Linotype"/>
          <w:sz w:val="24"/>
          <w:szCs w:val="24"/>
        </w:rPr>
        <w:t>over the life of the sales agreement</w:t>
      </w:r>
      <w:r w:rsidRPr="0031664B" w:rsidR="003A7922">
        <w:rPr>
          <w:rFonts w:ascii="Palatino Linotype" w:hAnsi="Palatino Linotype"/>
          <w:sz w:val="24"/>
          <w:szCs w:val="24"/>
        </w:rPr>
        <w:t>s</w:t>
      </w:r>
      <w:r w:rsidRPr="0031664B">
        <w:rPr>
          <w:rFonts w:ascii="Palatino Linotype" w:hAnsi="Palatino Linotype"/>
          <w:sz w:val="24"/>
          <w:szCs w:val="24"/>
        </w:rPr>
        <w:t xml:space="preserve">, subject to Commission review of </w:t>
      </w:r>
      <w:r w:rsidRPr="0031664B" w:rsidR="00B87259">
        <w:rPr>
          <w:rFonts w:ascii="Palatino Linotype" w:hAnsi="Palatino Linotype"/>
          <w:sz w:val="24"/>
          <w:szCs w:val="24"/>
        </w:rPr>
        <w:t>PG&amp;E</w:t>
      </w:r>
      <w:r w:rsidRPr="0031664B">
        <w:rPr>
          <w:rFonts w:ascii="Palatino Linotype" w:hAnsi="Palatino Linotype"/>
          <w:sz w:val="24"/>
          <w:szCs w:val="24"/>
        </w:rPr>
        <w:t>’s administration of the sales agreement</w:t>
      </w:r>
      <w:r w:rsidRPr="0031664B" w:rsidR="00434AF0">
        <w:rPr>
          <w:rFonts w:ascii="Palatino Linotype" w:hAnsi="Palatino Linotype"/>
          <w:sz w:val="24"/>
          <w:szCs w:val="24"/>
        </w:rPr>
        <w:t>s</w:t>
      </w:r>
      <w:r w:rsidRPr="0031664B">
        <w:rPr>
          <w:rFonts w:ascii="Palatino Linotype" w:hAnsi="Palatino Linotype"/>
          <w:sz w:val="24"/>
          <w:szCs w:val="24"/>
        </w:rPr>
        <w:t>.</w:t>
      </w:r>
    </w:p>
    <w:p w:rsidRPr="0031664B" w:rsidR="00612BCE" w:rsidP="00612BCE" w:rsidRDefault="00612BCE" w14:paraId="3F1A8A95" w14:textId="67619767">
      <w:pPr>
        <w:pStyle w:val="ListParagraph"/>
        <w:numPr>
          <w:ilvl w:val="0"/>
          <w:numId w:val="6"/>
        </w:numPr>
        <w:spacing w:line="276" w:lineRule="auto"/>
        <w:rPr>
          <w:rFonts w:ascii="Palatino Linotype" w:hAnsi="Palatino Linotype"/>
          <w:sz w:val="24"/>
          <w:szCs w:val="24"/>
        </w:rPr>
      </w:pPr>
      <w:r w:rsidRPr="0031664B">
        <w:rPr>
          <w:rFonts w:ascii="Palatino Linotype" w:hAnsi="Palatino Linotype"/>
          <w:sz w:val="24"/>
          <w:szCs w:val="24"/>
        </w:rPr>
        <w:t xml:space="preserve">It is reasonable that </w:t>
      </w:r>
      <w:r w:rsidRPr="0031664B" w:rsidR="00B87259">
        <w:rPr>
          <w:rFonts w:ascii="Palatino Linotype" w:hAnsi="Palatino Linotype"/>
          <w:sz w:val="24"/>
          <w:szCs w:val="24"/>
        </w:rPr>
        <w:t>PG&amp;E</w:t>
      </w:r>
      <w:r w:rsidRPr="0031664B" w:rsidR="00C23995">
        <w:rPr>
          <w:rFonts w:ascii="Palatino Linotype" w:hAnsi="Palatino Linotype"/>
          <w:sz w:val="24"/>
          <w:szCs w:val="24"/>
        </w:rPr>
        <w:t xml:space="preserve">’s </w:t>
      </w:r>
      <w:r w:rsidRPr="0031664B">
        <w:rPr>
          <w:rFonts w:ascii="Palatino Linotype" w:hAnsi="Palatino Linotype"/>
          <w:sz w:val="24"/>
          <w:szCs w:val="24"/>
        </w:rPr>
        <w:t>pool of</w:t>
      </w:r>
      <w:r w:rsidRPr="0031664B" w:rsidR="00C23995">
        <w:rPr>
          <w:rFonts w:ascii="Palatino Linotype" w:hAnsi="Palatino Linotype"/>
          <w:sz w:val="24"/>
          <w:szCs w:val="24"/>
        </w:rPr>
        <w:t xml:space="preserve"> PCIA-eligible RPS</w:t>
      </w:r>
      <w:r w:rsidRPr="0031664B">
        <w:rPr>
          <w:rFonts w:ascii="Palatino Linotype" w:hAnsi="Palatino Linotype"/>
          <w:sz w:val="24"/>
          <w:szCs w:val="24"/>
        </w:rPr>
        <w:t xml:space="preserve"> generating facilities under this contract will continue to operate under their existing contracts such that </w:t>
      </w:r>
      <w:r w:rsidRPr="0031664B" w:rsidR="00B87259">
        <w:rPr>
          <w:rFonts w:ascii="Palatino Linotype" w:hAnsi="Palatino Linotype"/>
          <w:sz w:val="24"/>
          <w:szCs w:val="24"/>
        </w:rPr>
        <w:t>PG&amp;E</w:t>
      </w:r>
      <w:r w:rsidRPr="0031664B">
        <w:rPr>
          <w:rFonts w:ascii="Palatino Linotype" w:hAnsi="Palatino Linotype"/>
          <w:sz w:val="24"/>
          <w:szCs w:val="24"/>
        </w:rPr>
        <w:t xml:space="preserve"> should be able to meet the terms of the</w:t>
      </w:r>
      <w:r w:rsidRPr="0031664B" w:rsidR="00E552A8">
        <w:rPr>
          <w:rFonts w:ascii="Palatino Linotype" w:hAnsi="Palatino Linotype"/>
          <w:sz w:val="24"/>
          <w:szCs w:val="24"/>
        </w:rPr>
        <w:t xml:space="preserve"> Counterparties</w:t>
      </w:r>
      <w:r w:rsidRPr="0031664B" w:rsidR="000C746D">
        <w:rPr>
          <w:rFonts w:ascii="Palatino Linotype" w:hAnsi="Palatino Linotype"/>
          <w:sz w:val="24"/>
          <w:szCs w:val="24"/>
        </w:rPr>
        <w:t>’</w:t>
      </w:r>
      <w:r w:rsidRPr="0031664B">
        <w:rPr>
          <w:rFonts w:ascii="Palatino Linotype" w:hAnsi="Palatino Linotype"/>
          <w:sz w:val="24"/>
          <w:szCs w:val="24"/>
        </w:rPr>
        <w:t xml:space="preserve"> </w:t>
      </w:r>
      <w:r w:rsidRPr="0031664B" w:rsidR="00432C03">
        <w:rPr>
          <w:rFonts w:ascii="Palatino Linotype" w:hAnsi="Palatino Linotype"/>
          <w:sz w:val="24"/>
          <w:szCs w:val="24"/>
        </w:rPr>
        <w:t>T</w:t>
      </w:r>
      <w:r w:rsidRPr="0031664B" w:rsidR="004C5BEA">
        <w:rPr>
          <w:rFonts w:ascii="Palatino Linotype" w:hAnsi="Palatino Linotype"/>
          <w:sz w:val="24"/>
          <w:szCs w:val="24"/>
        </w:rPr>
        <w:t>ransactions</w:t>
      </w:r>
      <w:r w:rsidRPr="0031664B">
        <w:rPr>
          <w:rFonts w:ascii="Palatino Linotype" w:hAnsi="Palatino Linotype"/>
          <w:sz w:val="24"/>
          <w:szCs w:val="24"/>
        </w:rPr>
        <w:t>.</w:t>
      </w:r>
    </w:p>
    <w:p w:rsidRPr="0031664B" w:rsidR="00612BCE" w:rsidP="00612BCE" w:rsidRDefault="00612BCE" w14:paraId="784344BA" w14:textId="7D99787B">
      <w:pPr>
        <w:pStyle w:val="ListParagraph"/>
        <w:numPr>
          <w:ilvl w:val="0"/>
          <w:numId w:val="6"/>
        </w:numPr>
        <w:spacing w:line="276" w:lineRule="auto"/>
        <w:rPr>
          <w:rFonts w:ascii="Palatino Linotype" w:hAnsi="Palatino Linotype"/>
          <w:sz w:val="24"/>
          <w:szCs w:val="24"/>
        </w:rPr>
      </w:pPr>
      <w:r w:rsidRPr="0031664B">
        <w:rPr>
          <w:rFonts w:ascii="Palatino Linotype" w:hAnsi="Palatino Linotype"/>
          <w:sz w:val="24"/>
          <w:szCs w:val="24"/>
        </w:rPr>
        <w:t>Consistent with D.06-05-039</w:t>
      </w:r>
      <w:r w:rsidRPr="0031664B" w:rsidR="00C23995">
        <w:rPr>
          <w:rFonts w:ascii="Palatino Linotype" w:hAnsi="Palatino Linotype"/>
          <w:sz w:val="24"/>
          <w:szCs w:val="24"/>
        </w:rPr>
        <w:t xml:space="preserve">, </w:t>
      </w:r>
      <w:r w:rsidRPr="0031664B">
        <w:rPr>
          <w:rFonts w:ascii="Palatino Linotype" w:hAnsi="Palatino Linotype"/>
          <w:sz w:val="24"/>
          <w:szCs w:val="24"/>
        </w:rPr>
        <w:t>D.09-06-050,</w:t>
      </w:r>
      <w:r w:rsidRPr="0031664B" w:rsidR="00C23995">
        <w:rPr>
          <w:rFonts w:ascii="Palatino Linotype" w:hAnsi="Palatino Linotype"/>
          <w:sz w:val="24"/>
          <w:szCs w:val="24"/>
        </w:rPr>
        <w:t xml:space="preserve"> and D.22-11-021</w:t>
      </w:r>
      <w:r w:rsidRPr="0031664B">
        <w:rPr>
          <w:rFonts w:ascii="Palatino Linotype" w:hAnsi="Palatino Linotype"/>
          <w:sz w:val="24"/>
          <w:szCs w:val="24"/>
        </w:rPr>
        <w:t xml:space="preserve"> an independent evaluator oversaw </w:t>
      </w:r>
      <w:r w:rsidRPr="0031664B" w:rsidR="00B87259">
        <w:rPr>
          <w:rFonts w:ascii="Palatino Linotype" w:hAnsi="Palatino Linotype"/>
          <w:sz w:val="24"/>
          <w:szCs w:val="24"/>
        </w:rPr>
        <w:t>PG&amp;E</w:t>
      </w:r>
      <w:r w:rsidRPr="0031664B">
        <w:rPr>
          <w:rFonts w:ascii="Palatino Linotype" w:hAnsi="Palatino Linotype"/>
          <w:sz w:val="24"/>
          <w:szCs w:val="24"/>
        </w:rPr>
        <w:t xml:space="preserve">’s </w:t>
      </w:r>
      <w:r w:rsidRPr="0031664B" w:rsidR="00C23995">
        <w:rPr>
          <w:rFonts w:ascii="Palatino Linotype" w:hAnsi="Palatino Linotype"/>
          <w:sz w:val="24"/>
          <w:szCs w:val="24"/>
        </w:rPr>
        <w:t>Long-Term Market Offer</w:t>
      </w:r>
      <w:r w:rsidRPr="0031664B">
        <w:rPr>
          <w:rFonts w:ascii="Palatino Linotype" w:hAnsi="Palatino Linotype"/>
          <w:sz w:val="24"/>
          <w:szCs w:val="24"/>
        </w:rPr>
        <w:t xml:space="preserve"> solicitation.</w:t>
      </w:r>
    </w:p>
    <w:p w:rsidRPr="0031664B" w:rsidR="00612BCE" w:rsidP="00612BCE" w:rsidRDefault="00612BCE" w14:paraId="47B0822A" w14:textId="090F91EC">
      <w:pPr>
        <w:pStyle w:val="ListParagraph"/>
        <w:numPr>
          <w:ilvl w:val="0"/>
          <w:numId w:val="6"/>
        </w:numPr>
        <w:spacing w:line="276" w:lineRule="auto"/>
        <w:rPr>
          <w:rFonts w:ascii="Palatino Linotype" w:hAnsi="Palatino Linotype"/>
          <w:sz w:val="24"/>
          <w:szCs w:val="24"/>
        </w:rPr>
      </w:pPr>
      <w:r w:rsidRPr="0031664B">
        <w:rPr>
          <w:rFonts w:ascii="Palatino Linotype" w:hAnsi="Palatino Linotype"/>
          <w:sz w:val="24"/>
          <w:szCs w:val="24"/>
        </w:rPr>
        <w:lastRenderedPageBreak/>
        <w:t>Pursuant to D.02-08-071</w:t>
      </w:r>
      <w:r w:rsidRPr="0031664B" w:rsidR="00C23995">
        <w:rPr>
          <w:rFonts w:ascii="Palatino Linotype" w:hAnsi="Palatino Linotype"/>
          <w:sz w:val="24"/>
          <w:szCs w:val="24"/>
        </w:rPr>
        <w:t xml:space="preserve"> and D.22-11-021</w:t>
      </w:r>
      <w:r w:rsidRPr="0031664B">
        <w:rPr>
          <w:rFonts w:ascii="Palatino Linotype" w:hAnsi="Palatino Linotype"/>
          <w:sz w:val="24"/>
          <w:szCs w:val="24"/>
        </w:rPr>
        <w:t xml:space="preserve">, </w:t>
      </w:r>
      <w:r w:rsidRPr="0031664B" w:rsidR="00B87259">
        <w:rPr>
          <w:rFonts w:ascii="Palatino Linotype" w:hAnsi="Palatino Linotype"/>
          <w:sz w:val="24"/>
          <w:szCs w:val="24"/>
        </w:rPr>
        <w:t>PG&amp;E</w:t>
      </w:r>
      <w:r w:rsidRPr="0031664B">
        <w:rPr>
          <w:rFonts w:ascii="Palatino Linotype" w:hAnsi="Palatino Linotype"/>
          <w:sz w:val="24"/>
          <w:szCs w:val="24"/>
        </w:rPr>
        <w:t xml:space="preserve">’s Procurement Review Group participated in the review of </w:t>
      </w:r>
      <w:r w:rsidRPr="0031664B" w:rsidR="00B87259">
        <w:rPr>
          <w:rFonts w:ascii="Palatino Linotype" w:hAnsi="Palatino Linotype"/>
          <w:sz w:val="24"/>
          <w:szCs w:val="24"/>
        </w:rPr>
        <w:t>PG&amp;E</w:t>
      </w:r>
      <w:r w:rsidRPr="0031664B">
        <w:rPr>
          <w:rFonts w:ascii="Palatino Linotype" w:hAnsi="Palatino Linotype"/>
          <w:sz w:val="24"/>
          <w:szCs w:val="24"/>
        </w:rPr>
        <w:t xml:space="preserve">’s </w:t>
      </w:r>
      <w:r w:rsidRPr="0031664B" w:rsidR="00C23995">
        <w:rPr>
          <w:rFonts w:ascii="Palatino Linotype" w:hAnsi="Palatino Linotype"/>
          <w:sz w:val="24"/>
          <w:szCs w:val="24"/>
        </w:rPr>
        <w:t>Long-Term Market Offer</w:t>
      </w:r>
      <w:r w:rsidRPr="0031664B">
        <w:rPr>
          <w:rFonts w:ascii="Palatino Linotype" w:hAnsi="Palatino Linotype"/>
          <w:sz w:val="24"/>
          <w:szCs w:val="24"/>
        </w:rPr>
        <w:t xml:space="preserve"> solicitation from which the </w:t>
      </w:r>
      <w:r w:rsidRPr="0031664B" w:rsidR="00E552A8">
        <w:rPr>
          <w:rFonts w:ascii="Palatino Linotype" w:hAnsi="Palatino Linotype"/>
          <w:sz w:val="24"/>
          <w:szCs w:val="24"/>
        </w:rPr>
        <w:t>Counterparties</w:t>
      </w:r>
      <w:r w:rsidRPr="0031664B" w:rsidR="00C32920">
        <w:rPr>
          <w:rFonts w:ascii="Palatino Linotype" w:hAnsi="Palatino Linotype"/>
          <w:sz w:val="24"/>
          <w:szCs w:val="24"/>
        </w:rPr>
        <w:t>’</w:t>
      </w:r>
      <w:r w:rsidRPr="0031664B">
        <w:rPr>
          <w:rFonts w:ascii="Palatino Linotype" w:hAnsi="Palatino Linotype"/>
          <w:sz w:val="24"/>
          <w:szCs w:val="24"/>
        </w:rPr>
        <w:t xml:space="preserve"> </w:t>
      </w:r>
      <w:r w:rsidRPr="0031664B" w:rsidR="00432C03">
        <w:rPr>
          <w:rFonts w:ascii="Palatino Linotype" w:hAnsi="Palatino Linotype"/>
          <w:sz w:val="24"/>
          <w:szCs w:val="24"/>
        </w:rPr>
        <w:t>T</w:t>
      </w:r>
      <w:r w:rsidRPr="0031664B" w:rsidR="004C5BEA">
        <w:rPr>
          <w:rFonts w:ascii="Palatino Linotype" w:hAnsi="Palatino Linotype"/>
          <w:sz w:val="24"/>
          <w:szCs w:val="24"/>
        </w:rPr>
        <w:t>ransactions</w:t>
      </w:r>
      <w:r w:rsidRPr="0031664B">
        <w:rPr>
          <w:rFonts w:ascii="Palatino Linotype" w:hAnsi="Palatino Linotype"/>
          <w:sz w:val="24"/>
          <w:szCs w:val="24"/>
        </w:rPr>
        <w:t xml:space="preserve"> </w:t>
      </w:r>
      <w:r w:rsidRPr="0031664B" w:rsidR="006649AE">
        <w:rPr>
          <w:rFonts w:ascii="Palatino Linotype" w:hAnsi="Palatino Linotype"/>
          <w:sz w:val="24"/>
          <w:szCs w:val="24"/>
        </w:rPr>
        <w:t>arose</w:t>
      </w:r>
      <w:r w:rsidRPr="0031664B">
        <w:rPr>
          <w:rFonts w:ascii="Palatino Linotype" w:hAnsi="Palatino Linotype"/>
          <w:sz w:val="24"/>
          <w:szCs w:val="24"/>
        </w:rPr>
        <w:t xml:space="preserve">. </w:t>
      </w:r>
    </w:p>
    <w:p w:rsidRPr="0031664B" w:rsidR="00612BCE" w:rsidP="00612BCE" w:rsidRDefault="00612BCE" w14:paraId="597E62FE" w14:textId="77777777">
      <w:pPr>
        <w:pStyle w:val="ListParagraph"/>
        <w:numPr>
          <w:ilvl w:val="0"/>
          <w:numId w:val="6"/>
        </w:numPr>
        <w:spacing w:line="276" w:lineRule="auto"/>
        <w:rPr>
          <w:rFonts w:ascii="Palatino Linotype" w:hAnsi="Palatino Linotype" w:cs="Courier New"/>
          <w:sz w:val="24"/>
          <w:szCs w:val="24"/>
        </w:rPr>
      </w:pPr>
      <w:r w:rsidRPr="0031664B">
        <w:rPr>
          <w:rFonts w:ascii="Palatino Linotype" w:hAnsi="Palatino Linotype" w:cs="Courier New"/>
          <w:sz w:val="24"/>
          <w:szCs w:val="24"/>
        </w:rPr>
        <w:t>The confidential appendices marked "[REDACTED]" in the public copy of this resolution, as well as the confidential portions of the advice letter, should remain confidential at this time.</w:t>
      </w:r>
    </w:p>
    <w:p w:rsidRPr="0031664B" w:rsidR="00612BCE" w:rsidP="00612BCE" w:rsidRDefault="00612BCE" w14:paraId="60A88D07" w14:textId="092D4961">
      <w:pPr>
        <w:pStyle w:val="ListParagraph"/>
        <w:numPr>
          <w:ilvl w:val="0"/>
          <w:numId w:val="6"/>
        </w:numPr>
        <w:spacing w:line="276" w:lineRule="auto"/>
        <w:rPr>
          <w:rFonts w:ascii="Palatino Linotype" w:hAnsi="Palatino Linotype" w:cs="Courier New"/>
          <w:sz w:val="24"/>
          <w:szCs w:val="24"/>
        </w:rPr>
      </w:pPr>
      <w:r w:rsidRPr="0031664B">
        <w:rPr>
          <w:rFonts w:ascii="Palatino Linotype" w:hAnsi="Palatino Linotype" w:cs="Courier New"/>
          <w:sz w:val="24"/>
          <w:szCs w:val="24"/>
        </w:rPr>
        <w:t xml:space="preserve">AL </w:t>
      </w:r>
      <w:r w:rsidRPr="0031664B" w:rsidR="00432897">
        <w:rPr>
          <w:rFonts w:ascii="Palatino Linotype" w:hAnsi="Palatino Linotype" w:cs="Courier New"/>
          <w:sz w:val="24"/>
          <w:szCs w:val="24"/>
        </w:rPr>
        <w:t>6977</w:t>
      </w:r>
      <w:r w:rsidRPr="0031664B">
        <w:rPr>
          <w:rFonts w:ascii="Palatino Linotype" w:hAnsi="Palatino Linotype" w:cs="Courier New"/>
          <w:sz w:val="24"/>
          <w:szCs w:val="24"/>
        </w:rPr>
        <w:t>-E should be approved effective today without modification.</w:t>
      </w:r>
    </w:p>
    <w:p w:rsidRPr="0031664B" w:rsidR="00612BCE" w:rsidP="00612BCE" w:rsidRDefault="00612BCE" w14:paraId="3D372ED1" w14:textId="77777777">
      <w:pPr>
        <w:spacing w:line="276" w:lineRule="auto"/>
        <w:rPr>
          <w:rFonts w:ascii="Palatino Linotype" w:hAnsi="Palatino Linotype"/>
          <w:b/>
          <w:sz w:val="24"/>
          <w:szCs w:val="24"/>
        </w:rPr>
      </w:pPr>
    </w:p>
    <w:p w:rsidRPr="0031664B" w:rsidR="00612BCE" w:rsidP="00612BCE" w:rsidRDefault="00612BCE" w14:paraId="090BE9A3" w14:textId="77777777">
      <w:pPr>
        <w:pStyle w:val="Heading1"/>
        <w:rPr>
          <w:rFonts w:ascii="Palatino Linotype" w:hAnsi="Palatino Linotype"/>
          <w:sz w:val="24"/>
          <w:szCs w:val="24"/>
        </w:rPr>
      </w:pPr>
      <w:r w:rsidRPr="0031664B">
        <w:rPr>
          <w:rFonts w:ascii="Palatino Linotype" w:hAnsi="Palatino Linotype"/>
          <w:sz w:val="24"/>
          <w:szCs w:val="24"/>
        </w:rPr>
        <w:t>Therefore it is ordered that:</w:t>
      </w:r>
    </w:p>
    <w:p w:rsidRPr="0031664B" w:rsidR="005103E3" w:rsidP="005F138B" w:rsidRDefault="00B87259" w14:paraId="2FD0F474" w14:textId="355DB96A">
      <w:pPr>
        <w:rPr>
          <w:rFonts w:ascii="Palatino Linotype" w:hAnsi="Palatino Linotype"/>
          <w:snapToGrid w:val="0"/>
          <w:sz w:val="24"/>
          <w:szCs w:val="24"/>
        </w:rPr>
      </w:pPr>
      <w:r w:rsidRPr="0031664B">
        <w:rPr>
          <w:rFonts w:ascii="Palatino Linotype" w:hAnsi="Palatino Linotype"/>
          <w:snapToGrid w:val="0"/>
          <w:sz w:val="24"/>
          <w:szCs w:val="24"/>
        </w:rPr>
        <w:t>Pacific Gas and Electric</w:t>
      </w:r>
      <w:r w:rsidRPr="0031664B" w:rsidR="00612BCE">
        <w:rPr>
          <w:rFonts w:ascii="Palatino Linotype" w:hAnsi="Palatino Linotype"/>
          <w:snapToGrid w:val="0"/>
          <w:sz w:val="24"/>
          <w:szCs w:val="24"/>
        </w:rPr>
        <w:t xml:space="preserve"> Company’s Advice Letter </w:t>
      </w:r>
      <w:r w:rsidRPr="0031664B" w:rsidR="00432897">
        <w:rPr>
          <w:rFonts w:ascii="Palatino Linotype" w:hAnsi="Palatino Linotype"/>
          <w:snapToGrid w:val="0"/>
          <w:sz w:val="24"/>
          <w:szCs w:val="24"/>
        </w:rPr>
        <w:t>6977</w:t>
      </w:r>
      <w:r w:rsidRPr="0031664B" w:rsidR="00612BCE">
        <w:rPr>
          <w:rFonts w:ascii="Palatino Linotype" w:hAnsi="Palatino Linotype"/>
          <w:snapToGrid w:val="0"/>
          <w:sz w:val="24"/>
          <w:szCs w:val="24"/>
        </w:rPr>
        <w:t xml:space="preserve">-E requesting Commission review and approval of </w:t>
      </w:r>
      <w:r w:rsidRPr="0031664B" w:rsidR="009B265C">
        <w:rPr>
          <w:rFonts w:ascii="Palatino Linotype" w:hAnsi="Palatino Linotype"/>
          <w:snapToGrid w:val="0"/>
          <w:sz w:val="24"/>
          <w:szCs w:val="24"/>
        </w:rPr>
        <w:t>the</w:t>
      </w:r>
      <w:r w:rsidRPr="0031664B" w:rsidR="00612BCE">
        <w:rPr>
          <w:rFonts w:ascii="Palatino Linotype" w:hAnsi="Palatino Linotype"/>
          <w:snapToGrid w:val="0"/>
          <w:sz w:val="24"/>
          <w:szCs w:val="24"/>
        </w:rPr>
        <w:t xml:space="preserve"> </w:t>
      </w:r>
      <w:r w:rsidRPr="0031664B" w:rsidR="00DA0FDE">
        <w:rPr>
          <w:rFonts w:ascii="Palatino Linotype" w:hAnsi="Palatino Linotype"/>
          <w:snapToGrid w:val="0"/>
          <w:sz w:val="24"/>
          <w:szCs w:val="24"/>
        </w:rPr>
        <w:t>Market Offer Agreement</w:t>
      </w:r>
      <w:r w:rsidRPr="0031664B" w:rsidR="009B265C">
        <w:rPr>
          <w:rFonts w:ascii="Palatino Linotype" w:hAnsi="Palatino Linotype"/>
          <w:snapToGrid w:val="0"/>
          <w:sz w:val="24"/>
          <w:szCs w:val="24"/>
        </w:rPr>
        <w:t xml:space="preserve">s </w:t>
      </w:r>
      <w:r w:rsidRPr="0031664B" w:rsidR="00612BCE">
        <w:rPr>
          <w:rFonts w:ascii="Palatino Linotype" w:hAnsi="Palatino Linotype"/>
          <w:snapToGrid w:val="0"/>
          <w:sz w:val="24"/>
          <w:szCs w:val="24"/>
        </w:rPr>
        <w:t xml:space="preserve">with </w:t>
      </w:r>
      <w:r w:rsidRPr="0031664B" w:rsidR="009B265C">
        <w:rPr>
          <w:rFonts w:ascii="Palatino Linotype" w:hAnsi="Palatino Linotype"/>
          <w:snapToGrid w:val="0"/>
          <w:sz w:val="24"/>
          <w:szCs w:val="24"/>
        </w:rPr>
        <w:t>t</w:t>
      </w:r>
      <w:r w:rsidRPr="0031664B" w:rsidR="00E552A8">
        <w:rPr>
          <w:rFonts w:ascii="Palatino Linotype" w:hAnsi="Palatino Linotype"/>
          <w:snapToGrid w:val="0"/>
          <w:sz w:val="24"/>
          <w:szCs w:val="24"/>
        </w:rPr>
        <w:t>he Counterparties</w:t>
      </w:r>
    </w:p>
    <w:p w:rsidRPr="0031664B" w:rsidR="00612BCE" w:rsidP="00612BCE" w:rsidRDefault="00FD3534" w14:paraId="6AA2A9B7" w14:textId="35143869">
      <w:pPr>
        <w:tabs>
          <w:tab w:val="left" w:pos="720"/>
          <w:tab w:val="left" w:pos="1296"/>
          <w:tab w:val="left" w:pos="2016"/>
          <w:tab w:val="left" w:pos="2736"/>
          <w:tab w:val="left" w:pos="3456"/>
          <w:tab w:val="left" w:pos="4176"/>
          <w:tab w:val="left" w:pos="5760"/>
        </w:tabs>
        <w:rPr>
          <w:rFonts w:ascii="Palatino Linotype" w:hAnsi="Palatino Linotype"/>
          <w:sz w:val="24"/>
          <w:szCs w:val="24"/>
        </w:rPr>
      </w:pPr>
      <w:r w:rsidRPr="0031664B">
        <w:rPr>
          <w:rFonts w:ascii="Palatino Linotype" w:hAnsi="Palatino Linotype"/>
          <w:bCs/>
          <w:sz w:val="24"/>
          <w:szCs w:val="24"/>
        </w:rPr>
        <w:t>(</w:t>
      </w:r>
      <w:r w:rsidRPr="0031664B" w:rsidR="005103E3">
        <w:rPr>
          <w:rFonts w:ascii="Palatino Linotype" w:hAnsi="Palatino Linotype"/>
          <w:bCs/>
          <w:sz w:val="24"/>
          <w:szCs w:val="24"/>
        </w:rPr>
        <w:t>City of San Jose (“SJCE”), San Diego Community Power (“SDCP”), East Bay Community Energy (“EBCE”), Calpine Energy Services (“CES”)</w:t>
      </w:r>
      <w:r w:rsidRPr="0031664B" w:rsidR="00F66C3E">
        <w:rPr>
          <w:rFonts w:ascii="Palatino Linotype" w:hAnsi="Palatino Linotype"/>
          <w:bCs/>
          <w:sz w:val="24"/>
          <w:szCs w:val="24"/>
        </w:rPr>
        <w:t>,</w:t>
      </w:r>
      <w:r w:rsidRPr="0031664B" w:rsidR="005103E3">
        <w:rPr>
          <w:rFonts w:ascii="Palatino Linotype" w:hAnsi="Palatino Linotype"/>
          <w:bCs/>
          <w:sz w:val="24"/>
          <w:szCs w:val="24"/>
        </w:rPr>
        <w:t xml:space="preserve"> Pilot Power Group (“PPG”), Central Coast Community Energy (“3CE”)</w:t>
      </w:r>
      <w:r w:rsidRPr="0031664B">
        <w:rPr>
          <w:rFonts w:ascii="Palatino Linotype" w:hAnsi="Palatino Linotype"/>
          <w:bCs/>
          <w:sz w:val="24"/>
          <w:szCs w:val="24"/>
        </w:rPr>
        <w:t>)</w:t>
      </w:r>
      <w:r w:rsidRPr="0031664B" w:rsidR="00955819">
        <w:rPr>
          <w:rFonts w:ascii="Palatino Linotype" w:hAnsi="Palatino Linotype"/>
          <w:bCs/>
          <w:sz w:val="24"/>
          <w:szCs w:val="24"/>
        </w:rPr>
        <w:t>, Central Coast Community Energy (“3CE”))</w:t>
      </w:r>
      <w:r w:rsidRPr="0031664B" w:rsidDel="00FD3534" w:rsidR="00955819">
        <w:rPr>
          <w:rFonts w:ascii="Palatino Linotype" w:hAnsi="Palatino Linotype"/>
          <w:snapToGrid w:val="0"/>
          <w:sz w:val="24"/>
          <w:szCs w:val="24"/>
        </w:rPr>
        <w:t xml:space="preserve"> </w:t>
      </w:r>
      <w:r w:rsidRPr="0031664B" w:rsidR="00955819">
        <w:rPr>
          <w:rFonts w:ascii="Palatino Linotype" w:hAnsi="Palatino Linotype"/>
          <w:snapToGrid w:val="0"/>
          <w:sz w:val="24"/>
          <w:szCs w:val="24"/>
        </w:rPr>
        <w:t>is approved without modification</w:t>
      </w:r>
      <w:r w:rsidRPr="0031664B" w:rsidDel="00955819" w:rsidR="00955819">
        <w:rPr>
          <w:rFonts w:ascii="Palatino Linotype" w:hAnsi="Palatino Linotype"/>
          <w:bCs/>
          <w:sz w:val="24"/>
          <w:szCs w:val="24"/>
        </w:rPr>
        <w:t xml:space="preserve"> </w:t>
      </w:r>
      <w:r w:rsidRPr="0031664B" w:rsidR="00612BCE">
        <w:rPr>
          <w:rFonts w:ascii="Palatino Linotype" w:hAnsi="Palatino Linotype"/>
          <w:sz w:val="24"/>
          <w:szCs w:val="24"/>
        </w:rPr>
        <w:t>This Resolution is effective today.</w:t>
      </w:r>
    </w:p>
    <w:p w:rsidRPr="0031664B" w:rsidR="00612BCE" w:rsidP="00612BCE" w:rsidRDefault="00612BCE" w14:paraId="7D55D174" w14:textId="77777777">
      <w:pPr>
        <w:tabs>
          <w:tab w:val="left" w:pos="720"/>
          <w:tab w:val="left" w:pos="1296"/>
          <w:tab w:val="left" w:pos="2016"/>
          <w:tab w:val="left" w:pos="2736"/>
          <w:tab w:val="left" w:pos="3456"/>
          <w:tab w:val="left" w:pos="4176"/>
          <w:tab w:val="left" w:pos="5760"/>
        </w:tabs>
        <w:rPr>
          <w:rFonts w:ascii="Palatino Linotype" w:hAnsi="Palatino Linotype"/>
          <w:sz w:val="24"/>
          <w:szCs w:val="24"/>
        </w:rPr>
      </w:pPr>
    </w:p>
    <w:p w:rsidRPr="0031664B" w:rsidR="00612BCE" w:rsidP="00612BCE" w:rsidRDefault="00612BCE" w14:paraId="605158A2" w14:textId="345AD5AC">
      <w:pPr>
        <w:rPr>
          <w:rFonts w:ascii="Palatino Linotype" w:hAnsi="Palatino Linotype"/>
          <w:snapToGrid w:val="0"/>
          <w:sz w:val="24"/>
          <w:szCs w:val="24"/>
        </w:rPr>
      </w:pPr>
      <w:r w:rsidRPr="0031664B">
        <w:rPr>
          <w:rFonts w:ascii="Palatino Linotype" w:hAnsi="Palatino Linotype"/>
          <w:snapToGrid w:val="0"/>
          <w:sz w:val="24"/>
          <w:szCs w:val="24"/>
        </w:rPr>
        <w:t xml:space="preserve">I certify that the foregoing resolution was duly introduced, passed and adopted at a conference of the Public Utilities Commission of the State of California held on </w:t>
      </w:r>
      <w:r w:rsidRPr="0031664B" w:rsidR="00CA4E50">
        <w:rPr>
          <w:rFonts w:ascii="Palatino Linotype" w:hAnsi="Palatino Linotype"/>
          <w:snapToGrid w:val="0"/>
          <w:sz w:val="24"/>
          <w:szCs w:val="24"/>
        </w:rPr>
        <w:t>November</w:t>
      </w:r>
      <w:r w:rsidRPr="0031664B" w:rsidR="00434AF0">
        <w:rPr>
          <w:rFonts w:ascii="Palatino Linotype" w:hAnsi="Palatino Linotype"/>
          <w:snapToGrid w:val="0"/>
          <w:sz w:val="24"/>
          <w:szCs w:val="24"/>
        </w:rPr>
        <w:t xml:space="preserve"> 2, 2023</w:t>
      </w:r>
      <w:r w:rsidRPr="0031664B">
        <w:rPr>
          <w:rFonts w:ascii="Palatino Linotype" w:hAnsi="Palatino Linotype"/>
          <w:snapToGrid w:val="0"/>
          <w:sz w:val="24"/>
          <w:szCs w:val="24"/>
        </w:rPr>
        <w:t>; the following Commissioners voting favorably thereon:</w:t>
      </w:r>
    </w:p>
    <w:p w:rsidRPr="0031664B" w:rsidR="00612BCE" w:rsidP="00612BCE" w:rsidRDefault="00612BCE" w14:paraId="2BC224AE" w14:textId="77777777">
      <w:pPr>
        <w:tabs>
          <w:tab w:val="left" w:pos="720"/>
          <w:tab w:val="left" w:pos="1152"/>
          <w:tab w:val="left" w:pos="1728"/>
          <w:tab w:val="left" w:pos="3168"/>
          <w:tab w:val="left" w:pos="5040"/>
        </w:tabs>
        <w:ind w:right="144"/>
        <w:rPr>
          <w:rFonts w:ascii="Palatino Linotype" w:hAnsi="Palatino Linotype"/>
          <w:sz w:val="24"/>
          <w:szCs w:val="24"/>
        </w:rPr>
      </w:pPr>
    </w:p>
    <w:p w:rsidRPr="0031664B" w:rsidR="00612BCE" w:rsidP="00612BCE" w:rsidRDefault="00612BCE" w14:paraId="5205FB48" w14:textId="77777777">
      <w:pPr>
        <w:tabs>
          <w:tab w:val="left" w:pos="720"/>
          <w:tab w:val="left" w:pos="1152"/>
          <w:tab w:val="left" w:pos="1728"/>
          <w:tab w:val="left" w:pos="3168"/>
          <w:tab w:val="left" w:pos="5040"/>
        </w:tabs>
        <w:ind w:right="144"/>
        <w:rPr>
          <w:rFonts w:ascii="Palatino Linotype" w:hAnsi="Palatino Linotype"/>
          <w:sz w:val="24"/>
          <w:szCs w:val="24"/>
        </w:rPr>
      </w:pPr>
    </w:p>
    <w:p w:rsidRPr="0031664B" w:rsidR="00612BCE" w:rsidP="00612BCE" w:rsidRDefault="00612BCE" w14:paraId="4A85CB5A" w14:textId="77777777">
      <w:pPr>
        <w:tabs>
          <w:tab w:val="left" w:pos="720"/>
          <w:tab w:val="left" w:pos="1152"/>
          <w:tab w:val="left" w:pos="1728"/>
          <w:tab w:val="left" w:pos="3168"/>
          <w:tab w:val="left" w:pos="5040"/>
        </w:tabs>
        <w:ind w:right="144"/>
        <w:rPr>
          <w:rFonts w:ascii="Palatino Linotype" w:hAnsi="Palatino Linotype"/>
          <w:sz w:val="24"/>
          <w:szCs w:val="24"/>
        </w:rPr>
      </w:pPr>
    </w:p>
    <w:p w:rsidRPr="0031664B" w:rsidR="00612BCE" w:rsidP="00612BCE" w:rsidRDefault="00612BCE" w14:paraId="09D71F81" w14:textId="77777777">
      <w:pPr>
        <w:tabs>
          <w:tab w:val="left" w:pos="720"/>
          <w:tab w:val="left" w:pos="1152"/>
          <w:tab w:val="left" w:pos="1728"/>
          <w:tab w:val="left" w:pos="3168"/>
          <w:tab w:val="left" w:pos="5040"/>
        </w:tabs>
        <w:ind w:right="144"/>
        <w:rPr>
          <w:rFonts w:ascii="Palatino Linotype" w:hAnsi="Palatino Linotype"/>
          <w:sz w:val="24"/>
          <w:szCs w:val="24"/>
        </w:rPr>
      </w:pPr>
    </w:p>
    <w:p w:rsidRPr="0031664B" w:rsidR="00612BCE" w:rsidP="00612BCE" w:rsidRDefault="00612BCE" w14:paraId="1CE0493E" w14:textId="77777777">
      <w:pPr>
        <w:tabs>
          <w:tab w:val="left" w:pos="720"/>
          <w:tab w:val="left" w:pos="1152"/>
          <w:tab w:val="left" w:pos="1728"/>
          <w:tab w:val="left" w:pos="3168"/>
          <w:tab w:val="left" w:pos="5040"/>
        </w:tabs>
        <w:ind w:right="144"/>
        <w:rPr>
          <w:rFonts w:ascii="Palatino Linotype" w:hAnsi="Palatino Linotype"/>
          <w:sz w:val="24"/>
          <w:szCs w:val="24"/>
        </w:rPr>
      </w:pPr>
      <w:r w:rsidRPr="0031664B">
        <w:rPr>
          <w:rFonts w:ascii="Palatino Linotype" w:hAnsi="Palatino Linotype"/>
          <w:sz w:val="24"/>
          <w:szCs w:val="24"/>
        </w:rPr>
        <w:tab/>
      </w:r>
      <w:r w:rsidRPr="0031664B">
        <w:rPr>
          <w:rFonts w:ascii="Palatino Linotype" w:hAnsi="Palatino Linotype"/>
          <w:sz w:val="24"/>
          <w:szCs w:val="24"/>
        </w:rPr>
        <w:tab/>
      </w:r>
      <w:r w:rsidRPr="0031664B">
        <w:rPr>
          <w:rFonts w:ascii="Palatino Linotype" w:hAnsi="Palatino Linotype"/>
          <w:sz w:val="24"/>
          <w:szCs w:val="24"/>
        </w:rPr>
        <w:tab/>
      </w:r>
      <w:r w:rsidRPr="0031664B">
        <w:rPr>
          <w:rFonts w:ascii="Palatino Linotype" w:hAnsi="Palatino Linotype"/>
          <w:sz w:val="24"/>
          <w:szCs w:val="24"/>
        </w:rPr>
        <w:tab/>
      </w:r>
      <w:r w:rsidRPr="0031664B">
        <w:rPr>
          <w:rFonts w:ascii="Palatino Linotype" w:hAnsi="Palatino Linotype"/>
          <w:sz w:val="24"/>
          <w:szCs w:val="24"/>
        </w:rPr>
        <w:tab/>
      </w:r>
      <w:r w:rsidRPr="0031664B">
        <w:rPr>
          <w:rFonts w:ascii="Palatino Linotype" w:hAnsi="Palatino Linotype"/>
          <w:sz w:val="24"/>
          <w:szCs w:val="24"/>
        </w:rPr>
        <w:tab/>
        <w:t>_____________________</w:t>
      </w:r>
    </w:p>
    <w:p w:rsidRPr="0031664B" w:rsidR="00612BCE" w:rsidP="00612BCE" w:rsidRDefault="00612BCE" w14:paraId="63669DE6" w14:textId="12E99C49">
      <w:pPr>
        <w:rPr>
          <w:rFonts w:ascii="Palatino Linotype" w:hAnsi="Palatino Linotype"/>
          <w:sz w:val="24"/>
          <w:szCs w:val="24"/>
        </w:rPr>
      </w:pPr>
      <w:r w:rsidRPr="0031664B">
        <w:rPr>
          <w:rFonts w:ascii="Palatino Linotype" w:hAnsi="Palatino Linotype"/>
          <w:sz w:val="24"/>
          <w:szCs w:val="24"/>
        </w:rPr>
        <w:tab/>
      </w:r>
      <w:r w:rsidRPr="0031664B">
        <w:rPr>
          <w:rFonts w:ascii="Palatino Linotype" w:hAnsi="Palatino Linotype"/>
          <w:sz w:val="24"/>
          <w:szCs w:val="24"/>
        </w:rPr>
        <w:tab/>
      </w:r>
      <w:r w:rsidRPr="0031664B">
        <w:rPr>
          <w:rFonts w:ascii="Palatino Linotype" w:hAnsi="Palatino Linotype"/>
          <w:sz w:val="24"/>
          <w:szCs w:val="24"/>
        </w:rPr>
        <w:tab/>
      </w:r>
      <w:r w:rsidRPr="0031664B">
        <w:rPr>
          <w:rFonts w:ascii="Palatino Linotype" w:hAnsi="Palatino Linotype"/>
          <w:sz w:val="24"/>
          <w:szCs w:val="24"/>
        </w:rPr>
        <w:tab/>
      </w:r>
      <w:r w:rsidRPr="0031664B">
        <w:rPr>
          <w:rFonts w:ascii="Palatino Linotype" w:hAnsi="Palatino Linotype"/>
          <w:sz w:val="24"/>
          <w:szCs w:val="24"/>
        </w:rPr>
        <w:tab/>
      </w:r>
      <w:r w:rsidRPr="0031664B">
        <w:rPr>
          <w:rFonts w:ascii="Palatino Linotype" w:hAnsi="Palatino Linotype"/>
          <w:sz w:val="24"/>
          <w:szCs w:val="24"/>
        </w:rPr>
        <w:tab/>
      </w:r>
      <w:r w:rsidRPr="0031664B">
        <w:rPr>
          <w:rFonts w:ascii="Palatino Linotype" w:hAnsi="Palatino Linotype"/>
          <w:sz w:val="24"/>
          <w:szCs w:val="24"/>
        </w:rPr>
        <w:tab/>
      </w:r>
      <w:r w:rsidRPr="0031664B">
        <w:rPr>
          <w:rFonts w:ascii="Palatino Linotype" w:hAnsi="Palatino Linotype"/>
          <w:sz w:val="24"/>
          <w:szCs w:val="24"/>
        </w:rPr>
        <w:tab/>
      </w:r>
      <w:r w:rsidRPr="0031664B" w:rsidR="00434AF0">
        <w:rPr>
          <w:rFonts w:ascii="Palatino Linotype" w:hAnsi="Palatino Linotype"/>
          <w:sz w:val="24"/>
          <w:szCs w:val="24"/>
        </w:rPr>
        <w:t>Rachel A. Peterson</w:t>
      </w:r>
    </w:p>
    <w:p w:rsidRPr="0031664B" w:rsidR="00612BCE" w:rsidP="00612BCE" w:rsidRDefault="00612BCE" w14:paraId="72C45A3E" w14:textId="77777777">
      <w:pPr>
        <w:rPr>
          <w:rFonts w:ascii="Palatino Linotype" w:hAnsi="Palatino Linotype"/>
          <w:sz w:val="24"/>
          <w:szCs w:val="24"/>
        </w:rPr>
      </w:pPr>
      <w:r w:rsidRPr="0031664B">
        <w:rPr>
          <w:rFonts w:ascii="Palatino Linotype" w:hAnsi="Palatino Linotype"/>
          <w:sz w:val="24"/>
          <w:szCs w:val="24"/>
        </w:rPr>
        <w:tab/>
      </w:r>
      <w:r w:rsidRPr="0031664B">
        <w:rPr>
          <w:rFonts w:ascii="Palatino Linotype" w:hAnsi="Palatino Linotype"/>
          <w:sz w:val="24"/>
          <w:szCs w:val="24"/>
        </w:rPr>
        <w:tab/>
      </w:r>
      <w:r w:rsidRPr="0031664B">
        <w:rPr>
          <w:rFonts w:ascii="Palatino Linotype" w:hAnsi="Palatino Linotype"/>
          <w:sz w:val="24"/>
          <w:szCs w:val="24"/>
        </w:rPr>
        <w:tab/>
      </w:r>
      <w:r w:rsidRPr="0031664B">
        <w:rPr>
          <w:rFonts w:ascii="Palatino Linotype" w:hAnsi="Palatino Linotype"/>
          <w:sz w:val="24"/>
          <w:szCs w:val="24"/>
        </w:rPr>
        <w:tab/>
      </w:r>
      <w:r w:rsidRPr="0031664B">
        <w:rPr>
          <w:rFonts w:ascii="Palatino Linotype" w:hAnsi="Palatino Linotype"/>
          <w:sz w:val="24"/>
          <w:szCs w:val="24"/>
        </w:rPr>
        <w:tab/>
      </w:r>
      <w:r w:rsidRPr="0031664B">
        <w:rPr>
          <w:rFonts w:ascii="Palatino Linotype" w:hAnsi="Palatino Linotype"/>
          <w:sz w:val="24"/>
          <w:szCs w:val="24"/>
        </w:rPr>
        <w:tab/>
      </w:r>
      <w:r w:rsidRPr="0031664B">
        <w:rPr>
          <w:rFonts w:ascii="Palatino Linotype" w:hAnsi="Palatino Linotype"/>
          <w:sz w:val="24"/>
          <w:szCs w:val="24"/>
        </w:rPr>
        <w:tab/>
      </w:r>
      <w:r w:rsidRPr="0031664B">
        <w:rPr>
          <w:rFonts w:ascii="Palatino Linotype" w:hAnsi="Palatino Linotype"/>
          <w:sz w:val="24"/>
          <w:szCs w:val="24"/>
        </w:rPr>
        <w:tab/>
        <w:t>Executive Director</w:t>
      </w:r>
    </w:p>
    <w:p w:rsidRPr="0031664B" w:rsidR="00612BCE" w:rsidP="00612BCE" w:rsidRDefault="00612BCE" w14:paraId="71C6E69F" w14:textId="77777777">
      <w:pPr>
        <w:rPr>
          <w:rFonts w:ascii="Palatino Linotype" w:hAnsi="Palatino Linotype"/>
          <w:b/>
          <w:sz w:val="24"/>
          <w:szCs w:val="24"/>
          <w:u w:val="single"/>
        </w:rPr>
      </w:pPr>
    </w:p>
    <w:p w:rsidRPr="0031664B" w:rsidR="00612BCE" w:rsidP="00612BCE" w:rsidRDefault="00612BCE" w14:paraId="42A89475" w14:textId="77777777">
      <w:pPr>
        <w:rPr>
          <w:rFonts w:ascii="Palatino Linotype" w:hAnsi="Palatino Linotype"/>
          <w:b/>
          <w:sz w:val="24"/>
          <w:szCs w:val="24"/>
          <w:u w:val="single"/>
        </w:rPr>
      </w:pPr>
    </w:p>
    <w:p w:rsidR="00612BCE" w:rsidP="00612BCE" w:rsidRDefault="00612BCE" w14:paraId="585425E4" w14:textId="77777777">
      <w:pPr>
        <w:rPr>
          <w:rFonts w:ascii="Palatino Linotype" w:hAnsi="Palatino Linotype"/>
          <w:b/>
          <w:sz w:val="24"/>
          <w:szCs w:val="24"/>
          <w:u w:val="single"/>
        </w:rPr>
      </w:pPr>
    </w:p>
    <w:p w:rsidR="003E275A" w:rsidP="00612BCE" w:rsidRDefault="003E275A" w14:paraId="762254E5" w14:textId="77777777">
      <w:pPr>
        <w:rPr>
          <w:rFonts w:ascii="Palatino Linotype" w:hAnsi="Palatino Linotype"/>
          <w:b/>
          <w:sz w:val="24"/>
          <w:szCs w:val="24"/>
          <w:u w:val="single"/>
        </w:rPr>
      </w:pPr>
    </w:p>
    <w:p w:rsidR="003E275A" w:rsidP="00612BCE" w:rsidRDefault="003E275A" w14:paraId="441145F9" w14:textId="77777777">
      <w:pPr>
        <w:rPr>
          <w:rFonts w:ascii="Palatino Linotype" w:hAnsi="Palatino Linotype"/>
          <w:b/>
          <w:sz w:val="24"/>
          <w:szCs w:val="24"/>
          <w:u w:val="single"/>
        </w:rPr>
      </w:pPr>
    </w:p>
    <w:p w:rsidR="003E275A" w:rsidP="00612BCE" w:rsidRDefault="003E275A" w14:paraId="1B2D42DC" w14:textId="77777777">
      <w:pPr>
        <w:rPr>
          <w:rFonts w:ascii="Palatino Linotype" w:hAnsi="Palatino Linotype"/>
          <w:b/>
          <w:sz w:val="24"/>
          <w:szCs w:val="24"/>
          <w:u w:val="single"/>
        </w:rPr>
      </w:pPr>
    </w:p>
    <w:p w:rsidR="003E275A" w:rsidP="00612BCE" w:rsidRDefault="003E275A" w14:paraId="44FB3651" w14:textId="77777777">
      <w:pPr>
        <w:rPr>
          <w:rFonts w:ascii="Palatino Linotype" w:hAnsi="Palatino Linotype"/>
          <w:b/>
          <w:sz w:val="24"/>
          <w:szCs w:val="24"/>
          <w:u w:val="single"/>
        </w:rPr>
      </w:pPr>
    </w:p>
    <w:p w:rsidR="003E275A" w:rsidP="00612BCE" w:rsidRDefault="003E275A" w14:paraId="10A98A57" w14:textId="77777777">
      <w:pPr>
        <w:rPr>
          <w:rFonts w:ascii="Palatino Linotype" w:hAnsi="Palatino Linotype"/>
          <w:b/>
          <w:sz w:val="24"/>
          <w:szCs w:val="24"/>
          <w:u w:val="single"/>
        </w:rPr>
      </w:pPr>
    </w:p>
    <w:p w:rsidRPr="0031664B" w:rsidR="003E275A" w:rsidP="00612BCE" w:rsidRDefault="003E275A" w14:paraId="79DECCA9" w14:textId="77777777">
      <w:pPr>
        <w:rPr>
          <w:rFonts w:ascii="Palatino Linotype" w:hAnsi="Palatino Linotype"/>
          <w:b/>
          <w:sz w:val="24"/>
          <w:szCs w:val="24"/>
          <w:u w:val="single"/>
        </w:rPr>
      </w:pPr>
    </w:p>
    <w:p w:rsidRPr="0031664B" w:rsidR="007D1BE6" w:rsidP="00612BCE" w:rsidRDefault="007D1BE6" w14:paraId="0A6F989E" w14:textId="77777777">
      <w:pPr>
        <w:jc w:val="center"/>
        <w:rPr>
          <w:rFonts w:ascii="Palatino Linotype" w:hAnsi="Palatino Linotype"/>
          <w:b/>
          <w:sz w:val="24"/>
          <w:szCs w:val="24"/>
          <w:u w:val="single"/>
        </w:rPr>
      </w:pPr>
    </w:p>
    <w:p w:rsidRPr="0031664B" w:rsidR="007D1BE6" w:rsidP="00612BCE" w:rsidRDefault="007D1BE6" w14:paraId="5B25336A" w14:textId="77777777">
      <w:pPr>
        <w:jc w:val="center"/>
        <w:rPr>
          <w:rFonts w:ascii="Palatino Linotype" w:hAnsi="Palatino Linotype"/>
          <w:b/>
          <w:sz w:val="24"/>
          <w:szCs w:val="24"/>
          <w:u w:val="single"/>
        </w:rPr>
      </w:pPr>
    </w:p>
    <w:p w:rsidRPr="0031664B" w:rsidR="00612BCE" w:rsidP="00612BCE" w:rsidRDefault="00612BCE" w14:paraId="00FEC545" w14:textId="763E9D4B">
      <w:pPr>
        <w:jc w:val="center"/>
        <w:rPr>
          <w:rFonts w:ascii="Palatino Linotype" w:hAnsi="Palatino Linotype"/>
          <w:b/>
          <w:sz w:val="24"/>
          <w:szCs w:val="24"/>
          <w:u w:val="single"/>
        </w:rPr>
      </w:pPr>
      <w:r w:rsidRPr="0031664B">
        <w:rPr>
          <w:rFonts w:ascii="Palatino Linotype" w:hAnsi="Palatino Linotype"/>
          <w:b/>
          <w:sz w:val="24"/>
          <w:szCs w:val="24"/>
          <w:u w:val="single"/>
        </w:rPr>
        <w:t>Confidential Appendix A</w:t>
      </w:r>
    </w:p>
    <w:p w:rsidRPr="0031664B" w:rsidR="00612BCE" w:rsidP="00612BCE" w:rsidRDefault="00612BCE" w14:paraId="48E28A9C" w14:textId="77777777">
      <w:pPr>
        <w:jc w:val="center"/>
        <w:rPr>
          <w:rFonts w:ascii="Palatino Linotype" w:hAnsi="Palatino Linotype"/>
          <w:b/>
          <w:sz w:val="24"/>
          <w:szCs w:val="24"/>
          <w:u w:val="single"/>
        </w:rPr>
      </w:pPr>
    </w:p>
    <w:p w:rsidRPr="0031664B" w:rsidR="00612BCE" w:rsidP="00612BCE" w:rsidRDefault="00612BCE" w14:paraId="35EC5266" w14:textId="7EAF4C8E">
      <w:pPr>
        <w:jc w:val="center"/>
        <w:rPr>
          <w:rFonts w:ascii="Palatino Linotype" w:hAnsi="Palatino Linotype"/>
          <w:sz w:val="24"/>
          <w:szCs w:val="24"/>
        </w:rPr>
      </w:pPr>
      <w:r w:rsidRPr="0031664B">
        <w:rPr>
          <w:rFonts w:ascii="Palatino Linotype" w:hAnsi="Palatino Linotype"/>
          <w:sz w:val="24"/>
          <w:szCs w:val="24"/>
        </w:rPr>
        <w:t xml:space="preserve">Evaluation Summary of the </w:t>
      </w:r>
      <w:r w:rsidRPr="0031664B" w:rsidR="00E552A8">
        <w:rPr>
          <w:rFonts w:ascii="Palatino Linotype" w:hAnsi="Palatino Linotype"/>
          <w:sz w:val="24"/>
          <w:szCs w:val="24"/>
        </w:rPr>
        <w:t>Counterparties</w:t>
      </w:r>
      <w:r w:rsidRPr="0031664B">
        <w:rPr>
          <w:rFonts w:ascii="Palatino Linotype" w:hAnsi="Palatino Linotype"/>
          <w:sz w:val="24"/>
          <w:szCs w:val="24"/>
        </w:rPr>
        <w:t xml:space="preserve"> Portfolio Sale Agreement</w:t>
      </w:r>
    </w:p>
    <w:p w:rsidRPr="0031664B" w:rsidR="00612BCE" w:rsidP="00612BCE" w:rsidRDefault="00612BCE" w14:paraId="4621DC2F" w14:textId="426ED131">
      <w:pPr>
        <w:jc w:val="center"/>
        <w:rPr>
          <w:rFonts w:ascii="Palatino Linotype" w:hAnsi="Palatino Linotype"/>
          <w:sz w:val="24"/>
          <w:szCs w:val="24"/>
        </w:rPr>
      </w:pPr>
    </w:p>
    <w:p w:rsidRPr="0031664B" w:rsidR="00612BCE" w:rsidP="007D1BE6" w:rsidRDefault="007D1BE6" w14:paraId="1C08DBB5" w14:textId="415F2E71">
      <w:pPr>
        <w:jc w:val="center"/>
        <w:rPr>
          <w:rFonts w:ascii="Palatino Linotype" w:hAnsi="Palatino Linotype"/>
          <w:b/>
          <w:bCs/>
          <w:sz w:val="24"/>
          <w:szCs w:val="24"/>
        </w:rPr>
      </w:pPr>
      <w:r w:rsidRPr="0031664B">
        <w:rPr>
          <w:rFonts w:ascii="Palatino Linotype" w:hAnsi="Palatino Linotype"/>
          <w:b/>
          <w:bCs/>
          <w:sz w:val="24"/>
          <w:szCs w:val="24"/>
        </w:rPr>
        <w:t>[Redacted]</w:t>
      </w:r>
    </w:p>
    <w:p w:rsidRPr="0031664B" w:rsidR="00612BCE" w:rsidP="009B41E6" w:rsidRDefault="009B41E6" w14:paraId="1AE1600F" w14:textId="34A8401B">
      <w:pPr>
        <w:tabs>
          <w:tab w:val="left" w:pos="6330"/>
        </w:tabs>
        <w:rPr>
          <w:rFonts w:ascii="Palatino Linotype" w:hAnsi="Palatino Linotype"/>
          <w:sz w:val="24"/>
          <w:szCs w:val="24"/>
        </w:rPr>
      </w:pPr>
      <w:r>
        <w:rPr>
          <w:rFonts w:ascii="Palatino Linotype" w:hAnsi="Palatino Linotype"/>
          <w:sz w:val="24"/>
          <w:szCs w:val="24"/>
        </w:rPr>
        <w:tab/>
      </w:r>
    </w:p>
    <w:p w:rsidRPr="0031664B" w:rsidR="00612BCE" w:rsidP="00612BCE" w:rsidRDefault="00612BCE" w14:paraId="532EE6DB" w14:textId="77777777">
      <w:pPr>
        <w:rPr>
          <w:rFonts w:ascii="Palatino Linotype" w:hAnsi="Palatino Linotype"/>
          <w:sz w:val="24"/>
          <w:szCs w:val="24"/>
        </w:rPr>
      </w:pPr>
    </w:p>
    <w:p w:rsidRPr="0031664B" w:rsidR="00612BCE" w:rsidP="00612BCE" w:rsidRDefault="00612BCE" w14:paraId="495B3D5E" w14:textId="77777777">
      <w:pPr>
        <w:rPr>
          <w:rFonts w:ascii="Palatino Linotype" w:hAnsi="Palatino Linotype"/>
          <w:sz w:val="24"/>
          <w:szCs w:val="24"/>
        </w:rPr>
      </w:pPr>
    </w:p>
    <w:p w:rsidRPr="0031664B" w:rsidR="00612BCE" w:rsidP="00612BCE" w:rsidRDefault="00612BCE" w14:paraId="4C4E28DF" w14:textId="77777777">
      <w:pPr>
        <w:rPr>
          <w:rFonts w:ascii="Palatino Linotype" w:hAnsi="Palatino Linotype"/>
          <w:sz w:val="24"/>
          <w:szCs w:val="24"/>
        </w:rPr>
      </w:pPr>
    </w:p>
    <w:p w:rsidRPr="0031664B" w:rsidR="00612BCE" w:rsidP="00612BCE" w:rsidRDefault="00612BCE" w14:paraId="6D82D82A" w14:textId="77777777">
      <w:pPr>
        <w:rPr>
          <w:rFonts w:ascii="Palatino Linotype" w:hAnsi="Palatino Linotype"/>
          <w:sz w:val="24"/>
          <w:szCs w:val="24"/>
        </w:rPr>
      </w:pPr>
    </w:p>
    <w:p w:rsidRPr="0031664B" w:rsidR="00612BCE" w:rsidP="00612BCE" w:rsidRDefault="00612BCE" w14:paraId="77EEB548" w14:textId="77777777">
      <w:pPr>
        <w:rPr>
          <w:rFonts w:ascii="Palatino Linotype" w:hAnsi="Palatino Linotype"/>
          <w:sz w:val="24"/>
          <w:szCs w:val="24"/>
        </w:rPr>
      </w:pPr>
    </w:p>
    <w:p w:rsidRPr="0031664B" w:rsidR="00612BCE" w:rsidP="00612BCE" w:rsidRDefault="00612BCE" w14:paraId="1BAD79E7" w14:textId="77777777">
      <w:pPr>
        <w:rPr>
          <w:rFonts w:ascii="Palatino Linotype" w:hAnsi="Palatino Linotype"/>
          <w:sz w:val="24"/>
          <w:szCs w:val="24"/>
        </w:rPr>
      </w:pPr>
    </w:p>
    <w:sectPr w:rsidRPr="0031664B" w:rsidR="00612BCE" w:rsidSect="00667DE8">
      <w:headerReference w:type="default" r:id="rId13"/>
      <w:footerReference w:type="default" r:id="rId14"/>
      <w:headerReference w:type="first" r:id="rId15"/>
      <w:footerReference w:type="first" r:id="rId16"/>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26A98" w14:textId="77777777" w:rsidR="00FA1EBE" w:rsidRDefault="00FA1EBE" w:rsidP="00612BCE">
      <w:r>
        <w:separator/>
      </w:r>
    </w:p>
  </w:endnote>
  <w:endnote w:type="continuationSeparator" w:id="0">
    <w:p w14:paraId="5039D489" w14:textId="77777777" w:rsidR="00FA1EBE" w:rsidRDefault="00FA1EBE" w:rsidP="00612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panose1 w:val="02020500000000000000"/>
    <w:charset w:val="00"/>
    <w:family w:val="auto"/>
    <w:pitch w:val="variable"/>
    <w:sig w:usb0="20000A87" w:usb1="08000000" w:usb2="00000008" w:usb3="00000000" w:csb0="00000105"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520171"/>
      <w:docPartObj>
        <w:docPartGallery w:val="Page Numbers (Bottom of Page)"/>
        <w:docPartUnique/>
      </w:docPartObj>
    </w:sdtPr>
    <w:sdtEndPr>
      <w:rPr>
        <w:noProof/>
      </w:rPr>
    </w:sdtEndPr>
    <w:sdtContent>
      <w:p w14:paraId="5515ADFA" w14:textId="00997584" w:rsidR="009B41E6" w:rsidRDefault="009B41E6">
        <w:pPr>
          <w:pStyle w:val="Footer"/>
        </w:pPr>
        <w:r>
          <w:fldChar w:fldCharType="begin"/>
        </w:r>
        <w:r>
          <w:instrText xml:space="preserve"> PAGE   \* MERGEFORMAT </w:instrText>
        </w:r>
        <w:r>
          <w:fldChar w:fldCharType="separate"/>
        </w:r>
        <w:r>
          <w:rPr>
            <w:noProof/>
          </w:rPr>
          <w:t>2</w:t>
        </w:r>
        <w:r>
          <w:rPr>
            <w:noProof/>
          </w:rPr>
          <w:fldChar w:fldCharType="end"/>
        </w:r>
      </w:p>
    </w:sdtContent>
  </w:sdt>
  <w:p w14:paraId="7CDBB425" w14:textId="42B92D8F" w:rsidR="009B41E6" w:rsidRPr="009B41E6" w:rsidRDefault="009B41E6">
    <w:pPr>
      <w:pStyle w:val="Footer"/>
      <w:rPr>
        <w:lang w:val="en-Z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027585"/>
      <w:docPartObj>
        <w:docPartGallery w:val="Page Numbers (Bottom of Page)"/>
        <w:docPartUnique/>
      </w:docPartObj>
    </w:sdtPr>
    <w:sdtEndPr>
      <w:rPr>
        <w:noProof/>
      </w:rPr>
    </w:sdtEndPr>
    <w:sdtContent>
      <w:p w14:paraId="55B2CFC1" w14:textId="45432703" w:rsidR="009B41E6" w:rsidRDefault="00D058C7" w:rsidP="00D058C7">
        <w:pPr>
          <w:pStyle w:val="Footer"/>
          <w:tabs>
            <w:tab w:val="left" w:pos="495"/>
            <w:tab w:val="center" w:pos="4680"/>
          </w:tabs>
          <w:jc w:val="left"/>
        </w:pPr>
        <w:r>
          <w:tab/>
        </w:r>
        <w:r w:rsidRPr="00D058C7">
          <w:rPr>
            <w:rFonts w:ascii="Tahoma" w:hAnsi="Tahoma" w:cs="Tahoma"/>
            <w:sz w:val="20"/>
          </w:rPr>
          <w:t>520498712</w:t>
        </w:r>
        <w:r>
          <w:tab/>
        </w:r>
        <w:r>
          <w:tab/>
        </w:r>
        <w:r w:rsidR="009B41E6">
          <w:fldChar w:fldCharType="begin"/>
        </w:r>
        <w:r w:rsidR="009B41E6">
          <w:instrText xml:space="preserve"> PAGE   \* MERGEFORMAT </w:instrText>
        </w:r>
        <w:r w:rsidR="009B41E6">
          <w:fldChar w:fldCharType="separate"/>
        </w:r>
        <w:r w:rsidR="009B41E6">
          <w:rPr>
            <w:noProof/>
          </w:rPr>
          <w:t>2</w:t>
        </w:r>
        <w:r w:rsidR="009B41E6">
          <w:rPr>
            <w:noProof/>
          </w:rPr>
          <w:fldChar w:fldCharType="end"/>
        </w:r>
      </w:p>
    </w:sdtContent>
  </w:sdt>
  <w:p w14:paraId="6F41A12D" w14:textId="6CFD9317" w:rsidR="00442C7C" w:rsidRPr="0031664B" w:rsidRDefault="00442C7C" w:rsidP="0031664B">
    <w:pPr>
      <w:pStyle w:val="Footer"/>
      <w:tabs>
        <w:tab w:val="clear" w:pos="4320"/>
        <w:tab w:val="center" w:pos="4680"/>
      </w:tabs>
      <w:rPr>
        <w:rFonts w:ascii="Palatino Linotype" w:hAnsi="Palatino Linotype"/>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2DF73" w14:textId="77777777" w:rsidR="00FA1EBE" w:rsidRDefault="00FA1EBE" w:rsidP="00612BCE">
      <w:r>
        <w:separator/>
      </w:r>
    </w:p>
  </w:footnote>
  <w:footnote w:type="continuationSeparator" w:id="0">
    <w:p w14:paraId="5FF50637" w14:textId="77777777" w:rsidR="00FA1EBE" w:rsidRDefault="00FA1EBE" w:rsidP="00612BCE">
      <w:r>
        <w:continuationSeparator/>
      </w:r>
    </w:p>
  </w:footnote>
  <w:footnote w:id="1">
    <w:p w14:paraId="2E6B475E" w14:textId="057D494B" w:rsidR="00D04F04" w:rsidRPr="00FC7566" w:rsidRDefault="00D04F04" w:rsidP="00D04F04">
      <w:pPr>
        <w:pStyle w:val="FootnoteText"/>
        <w:rPr>
          <w:rFonts w:ascii="Palatino Linotype" w:hAnsi="Palatino Linotype"/>
        </w:rPr>
      </w:pPr>
      <w:r w:rsidRPr="00FC7566">
        <w:rPr>
          <w:rStyle w:val="FootnoteReference"/>
          <w:rFonts w:ascii="Palatino Linotype" w:hAnsi="Palatino Linotype"/>
        </w:rPr>
        <w:footnoteRef/>
      </w:r>
      <w:r w:rsidRPr="00FC7566">
        <w:rPr>
          <w:rFonts w:ascii="Palatino Linotype" w:hAnsi="Palatino Linotype"/>
        </w:rPr>
        <w:t xml:space="preserve"> </w:t>
      </w:r>
      <w:r w:rsidR="008742EE" w:rsidRPr="00FC7566">
        <w:rPr>
          <w:rFonts w:ascii="Palatino Linotype" w:hAnsi="Palatino Linotype"/>
        </w:rPr>
        <w:t>SCE</w:t>
      </w:r>
      <w:r w:rsidRPr="00FC7566">
        <w:rPr>
          <w:rFonts w:ascii="Palatino Linotype" w:hAnsi="Palatino Linotype"/>
        </w:rPr>
        <w:t xml:space="preserve"> AL 4914-E, SDG&amp;E AL 4117-E, and PG&amp;E 6779-E</w:t>
      </w:r>
      <w:r w:rsidR="00FB5DDB" w:rsidRPr="00FC7566">
        <w:rPr>
          <w:rFonts w:ascii="Palatino Linotype" w:hAnsi="Palatino Linotype"/>
        </w:rPr>
        <w:t>.</w:t>
      </w:r>
    </w:p>
  </w:footnote>
  <w:footnote w:id="2">
    <w:p w14:paraId="649DA1A9" w14:textId="3F824025" w:rsidR="00D04F04" w:rsidRPr="00FC7566" w:rsidRDefault="00D04F04" w:rsidP="00D04F04">
      <w:pPr>
        <w:pStyle w:val="FootnoteText"/>
        <w:rPr>
          <w:rFonts w:ascii="Palatino Linotype" w:hAnsi="Palatino Linotype"/>
        </w:rPr>
      </w:pPr>
      <w:r w:rsidRPr="00FC7566">
        <w:rPr>
          <w:rStyle w:val="FootnoteReference"/>
          <w:rFonts w:ascii="Palatino Linotype" w:hAnsi="Palatino Linotype"/>
        </w:rPr>
        <w:footnoteRef/>
      </w:r>
      <w:r w:rsidRPr="00FC7566">
        <w:rPr>
          <w:rFonts w:ascii="Palatino Linotype" w:hAnsi="Palatino Linotype"/>
        </w:rPr>
        <w:t xml:space="preserve"> </w:t>
      </w:r>
      <w:r w:rsidR="008742EE" w:rsidRPr="00FC7566">
        <w:rPr>
          <w:rFonts w:ascii="Palatino Linotype" w:hAnsi="Palatino Linotype"/>
        </w:rPr>
        <w:t>SCE</w:t>
      </w:r>
      <w:r w:rsidRPr="00FC7566">
        <w:rPr>
          <w:rFonts w:ascii="Palatino Linotype" w:hAnsi="Palatino Linotype"/>
        </w:rPr>
        <w:t xml:space="preserve"> AL 4922-E, SDG&amp;E AL 4126-E, and PG&amp;E 6794-E</w:t>
      </w:r>
      <w:r w:rsidR="00FB5DDB" w:rsidRPr="00FC7566">
        <w:rPr>
          <w:rFonts w:ascii="Palatino Linotype" w:hAnsi="Palatino Linotype"/>
        </w:rPr>
        <w:t>.</w:t>
      </w:r>
    </w:p>
  </w:footnote>
  <w:footnote w:id="3">
    <w:p w14:paraId="0E4FB94C" w14:textId="1FB8A9DB" w:rsidR="00D04F04" w:rsidRPr="00FC7566" w:rsidRDefault="00D04F04" w:rsidP="00D04F04">
      <w:pPr>
        <w:pStyle w:val="FootnoteText"/>
        <w:rPr>
          <w:rFonts w:ascii="Palatino Linotype" w:hAnsi="Palatino Linotype"/>
        </w:rPr>
      </w:pPr>
      <w:r w:rsidRPr="00446372">
        <w:rPr>
          <w:rStyle w:val="FootnoteReference"/>
        </w:rPr>
        <w:footnoteRef/>
      </w:r>
      <w:r w:rsidRPr="00446372">
        <w:t xml:space="preserve"> </w:t>
      </w:r>
      <w:r w:rsidRPr="00FC7566">
        <w:rPr>
          <w:rFonts w:ascii="Palatino Linotype" w:hAnsi="Palatino Linotype"/>
        </w:rPr>
        <w:t>PG&amp;E 6894-E</w:t>
      </w:r>
      <w:r w:rsidR="00FB5DDB" w:rsidRPr="00FC7566">
        <w:rPr>
          <w:rFonts w:ascii="Palatino Linotype" w:hAnsi="Palatino Linotype"/>
        </w:rPr>
        <w:t>.</w:t>
      </w:r>
    </w:p>
  </w:footnote>
  <w:footnote w:id="4">
    <w:p w14:paraId="2F7B452A" w14:textId="6F398F0E" w:rsidR="00C7472C" w:rsidRPr="00FC7566" w:rsidRDefault="00C7472C">
      <w:pPr>
        <w:pStyle w:val="FootnoteText"/>
        <w:rPr>
          <w:rFonts w:ascii="Palatino Linotype" w:hAnsi="Palatino Linotype"/>
        </w:rPr>
      </w:pPr>
      <w:r w:rsidRPr="00FC7566">
        <w:rPr>
          <w:rStyle w:val="FootnoteReference"/>
          <w:rFonts w:ascii="Palatino Linotype" w:hAnsi="Palatino Linotype"/>
        </w:rPr>
        <w:footnoteRef/>
      </w:r>
      <w:r w:rsidRPr="00FC7566">
        <w:rPr>
          <w:rFonts w:ascii="Palatino Linotype" w:hAnsi="Palatino Linotype"/>
        </w:rPr>
        <w:t xml:space="preserve"> D.22-11-021</w:t>
      </w:r>
      <w:r w:rsidR="000658CD" w:rsidRPr="00FC7566">
        <w:rPr>
          <w:rFonts w:ascii="Palatino Linotype" w:hAnsi="Palatino Linotype"/>
        </w:rPr>
        <w:t xml:space="preserve"> at OP 3</w:t>
      </w:r>
      <w:r w:rsidR="002327CC" w:rsidRPr="00FC7566">
        <w:rPr>
          <w:rFonts w:ascii="Palatino Linotype" w:hAnsi="Palatino Linotype"/>
        </w:rPr>
        <w:t>.</w:t>
      </w:r>
    </w:p>
  </w:footnote>
  <w:footnote w:id="5">
    <w:p w14:paraId="41B0DCC7" w14:textId="0DD3F683" w:rsidR="0001446F" w:rsidRPr="00FC7566" w:rsidRDefault="0001446F">
      <w:pPr>
        <w:pStyle w:val="FootnoteText"/>
        <w:rPr>
          <w:rFonts w:ascii="Palatino Linotype" w:hAnsi="Palatino Linotype"/>
        </w:rPr>
      </w:pPr>
      <w:r w:rsidRPr="00FC7566">
        <w:rPr>
          <w:rStyle w:val="FootnoteReference"/>
          <w:rFonts w:ascii="Palatino Linotype" w:hAnsi="Palatino Linotype"/>
        </w:rPr>
        <w:footnoteRef/>
      </w:r>
      <w:r w:rsidRPr="00FC7566">
        <w:rPr>
          <w:rFonts w:ascii="Palatino Linotype" w:hAnsi="Palatino Linotype"/>
        </w:rPr>
        <w:t xml:space="preserve"> D.22-11-021 at OP 4.</w:t>
      </w:r>
    </w:p>
  </w:footnote>
  <w:footnote w:id="6">
    <w:p w14:paraId="748D111E" w14:textId="406DEC87" w:rsidR="0001446F" w:rsidRPr="00FC7566" w:rsidRDefault="0001446F">
      <w:pPr>
        <w:pStyle w:val="FootnoteText"/>
        <w:rPr>
          <w:rFonts w:ascii="Palatino Linotype" w:hAnsi="Palatino Linotype"/>
        </w:rPr>
      </w:pPr>
      <w:r w:rsidRPr="00FC7566">
        <w:rPr>
          <w:rStyle w:val="FootnoteReference"/>
          <w:rFonts w:ascii="Palatino Linotype" w:hAnsi="Palatino Linotype"/>
        </w:rPr>
        <w:footnoteRef/>
      </w:r>
      <w:r w:rsidRPr="00FC7566">
        <w:rPr>
          <w:rFonts w:ascii="Palatino Linotype" w:hAnsi="Palatino Linotype"/>
        </w:rPr>
        <w:t xml:space="preserve"> D.22-11-021 at OP 5.</w:t>
      </w:r>
    </w:p>
  </w:footnote>
  <w:footnote w:id="7">
    <w:p w14:paraId="13702605" w14:textId="641A2738" w:rsidR="002327CC" w:rsidRPr="00FC7566" w:rsidRDefault="002327CC">
      <w:pPr>
        <w:pStyle w:val="FootnoteText"/>
        <w:rPr>
          <w:rFonts w:ascii="Palatino Linotype" w:hAnsi="Palatino Linotype"/>
        </w:rPr>
      </w:pPr>
      <w:r w:rsidRPr="00FC7566">
        <w:rPr>
          <w:rStyle w:val="FootnoteReference"/>
          <w:rFonts w:ascii="Palatino Linotype" w:hAnsi="Palatino Linotype"/>
        </w:rPr>
        <w:footnoteRef/>
      </w:r>
      <w:r w:rsidRPr="00FC7566">
        <w:rPr>
          <w:rFonts w:ascii="Palatino Linotype" w:hAnsi="Palatino Linotype"/>
        </w:rPr>
        <w:t xml:space="preserve"> D.22-11-021 at OP 6.</w:t>
      </w:r>
    </w:p>
  </w:footnote>
  <w:footnote w:id="8">
    <w:p w14:paraId="0FA1072C" w14:textId="5271ED35" w:rsidR="0001446F" w:rsidRPr="00FC7566" w:rsidRDefault="0001446F">
      <w:pPr>
        <w:pStyle w:val="FootnoteText"/>
        <w:rPr>
          <w:rFonts w:ascii="Palatino Linotype" w:hAnsi="Palatino Linotype"/>
        </w:rPr>
      </w:pPr>
      <w:r w:rsidRPr="00FC7566">
        <w:rPr>
          <w:rStyle w:val="FootnoteReference"/>
          <w:rFonts w:ascii="Palatino Linotype" w:hAnsi="Palatino Linotype"/>
        </w:rPr>
        <w:footnoteRef/>
      </w:r>
      <w:r w:rsidRPr="00FC7566">
        <w:rPr>
          <w:rFonts w:ascii="Palatino Linotype" w:hAnsi="Palatino Linotype"/>
        </w:rPr>
        <w:t xml:space="preserve"> D.22-11-021 at OP </w:t>
      </w:r>
      <w:r w:rsidR="00040CF0" w:rsidRPr="00FC7566">
        <w:rPr>
          <w:rFonts w:ascii="Palatino Linotype" w:hAnsi="Palatino Linotype"/>
        </w:rPr>
        <w:t>7.</w:t>
      </w:r>
    </w:p>
  </w:footnote>
  <w:footnote w:id="9">
    <w:p w14:paraId="13F5CB87" w14:textId="0DC20FCF" w:rsidR="00FD70D5" w:rsidRPr="00FC7566" w:rsidRDefault="00FD70D5">
      <w:pPr>
        <w:pStyle w:val="FootnoteText"/>
        <w:rPr>
          <w:rFonts w:ascii="Palatino Linotype" w:hAnsi="Palatino Linotype"/>
        </w:rPr>
      </w:pPr>
      <w:r w:rsidRPr="00FC7566">
        <w:rPr>
          <w:rStyle w:val="FootnoteReference"/>
          <w:rFonts w:ascii="Palatino Linotype" w:hAnsi="Palatino Linotype"/>
        </w:rPr>
        <w:footnoteRef/>
      </w:r>
      <w:r w:rsidRPr="00FC7566">
        <w:rPr>
          <w:rFonts w:ascii="Palatino Linotype" w:hAnsi="Palatino Linotype"/>
        </w:rPr>
        <w:t xml:space="preserve"> D.22-11-021 at OP 8.</w:t>
      </w:r>
    </w:p>
  </w:footnote>
  <w:footnote w:id="10">
    <w:p w14:paraId="02A1BEF5" w14:textId="3C0FE98F" w:rsidR="00AA0B15" w:rsidRPr="00FC7566" w:rsidRDefault="00AA0B15">
      <w:pPr>
        <w:pStyle w:val="FootnoteText"/>
        <w:rPr>
          <w:rFonts w:ascii="Palatino Linotype" w:hAnsi="Palatino Linotype"/>
        </w:rPr>
      </w:pPr>
      <w:r w:rsidRPr="00FC7566">
        <w:rPr>
          <w:rStyle w:val="FootnoteReference"/>
          <w:rFonts w:ascii="Palatino Linotype" w:hAnsi="Palatino Linotype"/>
        </w:rPr>
        <w:footnoteRef/>
      </w:r>
      <w:r w:rsidRPr="00FC7566">
        <w:rPr>
          <w:rFonts w:ascii="Palatino Linotype" w:hAnsi="Palatino Linotype"/>
        </w:rPr>
        <w:t xml:space="preserve"> </w:t>
      </w:r>
      <w:r w:rsidR="00172FB7" w:rsidRPr="00FC7566">
        <w:rPr>
          <w:rFonts w:ascii="Palatino Linotype" w:hAnsi="Palatino Linotype"/>
        </w:rPr>
        <w:t xml:space="preserve">D.22-11-021 at OP </w:t>
      </w:r>
      <w:r w:rsidR="00451D2B" w:rsidRPr="00FC7566">
        <w:rPr>
          <w:rFonts w:ascii="Palatino Linotype" w:hAnsi="Palatino Linotype"/>
        </w:rPr>
        <w:t>9</w:t>
      </w:r>
      <w:r w:rsidR="00172FB7" w:rsidRPr="00FC7566">
        <w:rPr>
          <w:rFonts w:ascii="Palatino Linotype" w:hAnsi="Palatino Linotype"/>
        </w:rPr>
        <w:t>.</w:t>
      </w:r>
    </w:p>
  </w:footnote>
  <w:footnote w:id="11">
    <w:p w14:paraId="5A4F1541" w14:textId="1F5D1876" w:rsidR="00AA0B15" w:rsidRPr="00FC7566" w:rsidRDefault="00AA0B15">
      <w:pPr>
        <w:pStyle w:val="FootnoteText"/>
        <w:rPr>
          <w:rFonts w:ascii="Palatino Linotype" w:hAnsi="Palatino Linotype"/>
        </w:rPr>
      </w:pPr>
      <w:r w:rsidRPr="00FC7566">
        <w:rPr>
          <w:rStyle w:val="FootnoteReference"/>
          <w:rFonts w:ascii="Palatino Linotype" w:hAnsi="Palatino Linotype"/>
        </w:rPr>
        <w:footnoteRef/>
      </w:r>
      <w:r w:rsidRPr="00FC7566">
        <w:rPr>
          <w:rFonts w:ascii="Palatino Linotype" w:hAnsi="Palatino Linotype"/>
        </w:rPr>
        <w:t xml:space="preserve"> </w:t>
      </w:r>
      <w:r w:rsidR="00172FB7" w:rsidRPr="00FC7566">
        <w:rPr>
          <w:rFonts w:ascii="Palatino Linotype" w:hAnsi="Palatino Linotype"/>
        </w:rPr>
        <w:t xml:space="preserve">D.22-11-021 at OP </w:t>
      </w:r>
      <w:r w:rsidR="00936BC9" w:rsidRPr="00FC7566">
        <w:rPr>
          <w:rFonts w:ascii="Palatino Linotype" w:hAnsi="Palatino Linotype"/>
        </w:rPr>
        <w:t>10</w:t>
      </w:r>
      <w:r w:rsidR="00172FB7" w:rsidRPr="00FC7566">
        <w:rPr>
          <w:rFonts w:ascii="Palatino Linotype" w:hAnsi="Palatino Linotype"/>
        </w:rPr>
        <w:t>.</w:t>
      </w:r>
    </w:p>
  </w:footnote>
  <w:footnote w:id="12">
    <w:p w14:paraId="700802F2" w14:textId="1425D578" w:rsidR="00464C26" w:rsidRPr="00FC7566" w:rsidRDefault="00464C26">
      <w:pPr>
        <w:pStyle w:val="FootnoteText"/>
        <w:rPr>
          <w:rFonts w:ascii="Palatino Linotype" w:hAnsi="Palatino Linotype"/>
        </w:rPr>
      </w:pPr>
      <w:r w:rsidRPr="00FC7566">
        <w:rPr>
          <w:rStyle w:val="FootnoteReference"/>
          <w:rFonts w:ascii="Palatino Linotype" w:hAnsi="Palatino Linotype"/>
        </w:rPr>
        <w:footnoteRef/>
      </w:r>
      <w:r w:rsidRPr="00FC7566">
        <w:rPr>
          <w:rFonts w:ascii="Palatino Linotype" w:hAnsi="Palatino Linotype"/>
        </w:rPr>
        <w:t xml:space="preserve"> </w:t>
      </w:r>
      <w:r w:rsidR="002C037C" w:rsidRPr="00FC7566">
        <w:rPr>
          <w:rFonts w:ascii="Palatino Linotype" w:hAnsi="Palatino Linotype"/>
        </w:rPr>
        <w:t xml:space="preserve">D.22-11-021 at </w:t>
      </w:r>
      <w:r w:rsidR="006337C8" w:rsidRPr="00FC7566">
        <w:rPr>
          <w:rFonts w:ascii="Palatino Linotype" w:hAnsi="Palatino Linotype"/>
        </w:rPr>
        <w:t xml:space="preserve">p. </w:t>
      </w:r>
      <w:r w:rsidR="002C037C" w:rsidRPr="00FC7566">
        <w:rPr>
          <w:rFonts w:ascii="Palatino Linotype" w:hAnsi="Palatino Linotype"/>
        </w:rPr>
        <w:t>15.</w:t>
      </w:r>
    </w:p>
  </w:footnote>
  <w:footnote w:id="13">
    <w:p w14:paraId="72EA7998" w14:textId="4D4AD579" w:rsidR="00FB6CFD" w:rsidRPr="00FC7566" w:rsidRDefault="00FB6CFD">
      <w:pPr>
        <w:pStyle w:val="FootnoteText"/>
        <w:rPr>
          <w:rFonts w:ascii="Palatino Linotype" w:hAnsi="Palatino Linotype"/>
        </w:rPr>
      </w:pPr>
      <w:r w:rsidRPr="00FC7566">
        <w:rPr>
          <w:rStyle w:val="FootnoteReference"/>
          <w:rFonts w:ascii="Palatino Linotype" w:hAnsi="Palatino Linotype"/>
        </w:rPr>
        <w:footnoteRef/>
      </w:r>
      <w:r w:rsidRPr="00FC7566">
        <w:rPr>
          <w:rFonts w:ascii="Palatino Linotype" w:hAnsi="Palatino Linotype"/>
        </w:rPr>
        <w:t xml:space="preserve"> </w:t>
      </w:r>
      <w:r w:rsidR="00314C97" w:rsidRPr="00FC7566">
        <w:rPr>
          <w:rFonts w:ascii="Palatino Linotype" w:hAnsi="Palatino Linotype"/>
        </w:rPr>
        <w:t>AL 6977-E</w:t>
      </w:r>
      <w:r w:rsidR="006337C8" w:rsidRPr="00FC7566">
        <w:rPr>
          <w:rFonts w:ascii="Palatino Linotype" w:hAnsi="Palatino Linotype"/>
        </w:rPr>
        <w:t>.</w:t>
      </w:r>
    </w:p>
  </w:footnote>
  <w:footnote w:id="14">
    <w:p w14:paraId="3E9A50AA" w14:textId="64E403A6" w:rsidR="00DD3049" w:rsidRPr="00FC7566" w:rsidRDefault="00DD3049">
      <w:pPr>
        <w:pStyle w:val="FootnoteText"/>
        <w:rPr>
          <w:rFonts w:ascii="Palatino Linotype" w:hAnsi="Palatino Linotype"/>
        </w:rPr>
      </w:pPr>
      <w:r w:rsidRPr="00FC7566">
        <w:rPr>
          <w:rStyle w:val="FootnoteReference"/>
          <w:rFonts w:ascii="Palatino Linotype" w:hAnsi="Palatino Linotype"/>
        </w:rPr>
        <w:footnoteRef/>
      </w:r>
      <w:r w:rsidRPr="00FC7566">
        <w:rPr>
          <w:rFonts w:ascii="Palatino Linotype" w:hAnsi="Palatino Linotype"/>
        </w:rPr>
        <w:t xml:space="preserve"> </w:t>
      </w:r>
      <w:r w:rsidR="00314C97" w:rsidRPr="00FC7566">
        <w:rPr>
          <w:rFonts w:ascii="Palatino Linotype" w:hAnsi="Palatino Linotype"/>
        </w:rPr>
        <w:t>Ibid.</w:t>
      </w:r>
    </w:p>
  </w:footnote>
  <w:footnote w:id="15">
    <w:p w14:paraId="7AB0F3C3" w14:textId="4856B493" w:rsidR="00B0758E" w:rsidRPr="00FC7566" w:rsidRDefault="00B0758E">
      <w:pPr>
        <w:pStyle w:val="FootnoteText"/>
        <w:rPr>
          <w:rFonts w:ascii="Palatino Linotype" w:hAnsi="Palatino Linotype"/>
        </w:rPr>
      </w:pPr>
      <w:r w:rsidRPr="00FC7566">
        <w:rPr>
          <w:rStyle w:val="FootnoteReference"/>
          <w:rFonts w:ascii="Palatino Linotype" w:hAnsi="Palatino Linotype"/>
        </w:rPr>
        <w:footnoteRef/>
      </w:r>
      <w:r w:rsidRPr="00FC7566">
        <w:rPr>
          <w:rFonts w:ascii="Palatino Linotype" w:hAnsi="Palatino Linotype"/>
        </w:rPr>
        <w:t xml:space="preserve"> </w:t>
      </w:r>
      <w:r w:rsidR="00314C97" w:rsidRPr="00FC7566">
        <w:rPr>
          <w:rFonts w:ascii="Palatino Linotype" w:hAnsi="Palatino Linotype"/>
        </w:rPr>
        <w:t>Ibid.</w:t>
      </w:r>
    </w:p>
  </w:footnote>
  <w:footnote w:id="16">
    <w:p w14:paraId="20B8034E" w14:textId="7098E681" w:rsidR="00B0758E" w:rsidRPr="00FC7566" w:rsidRDefault="00B0758E">
      <w:pPr>
        <w:pStyle w:val="FootnoteText"/>
        <w:rPr>
          <w:rFonts w:ascii="Palatino Linotype" w:hAnsi="Palatino Linotype"/>
        </w:rPr>
      </w:pPr>
      <w:r w:rsidRPr="00FC7566">
        <w:rPr>
          <w:rStyle w:val="FootnoteReference"/>
          <w:rFonts w:ascii="Palatino Linotype" w:hAnsi="Palatino Linotype"/>
        </w:rPr>
        <w:footnoteRef/>
      </w:r>
      <w:r w:rsidRPr="00FC7566">
        <w:rPr>
          <w:rFonts w:ascii="Palatino Linotype" w:hAnsi="Palatino Linotype"/>
        </w:rPr>
        <w:t xml:space="preserve"> </w:t>
      </w:r>
      <w:r w:rsidR="00DC50F2" w:rsidRPr="00FC7566">
        <w:rPr>
          <w:rFonts w:ascii="Palatino Linotype" w:hAnsi="Palatino Linotype"/>
        </w:rPr>
        <w:t>Independent Evaluator Report, p.</w:t>
      </w:r>
      <w:r w:rsidR="006337C8" w:rsidRPr="00FC7566">
        <w:rPr>
          <w:rFonts w:ascii="Palatino Linotype" w:hAnsi="Palatino Linotype"/>
        </w:rPr>
        <w:t xml:space="preserve"> </w:t>
      </w:r>
      <w:r w:rsidR="00DC50F2" w:rsidRPr="00FC7566">
        <w:rPr>
          <w:rFonts w:ascii="Palatino Linotype" w:hAnsi="Palatino Linotype"/>
        </w:rPr>
        <w:t>33</w:t>
      </w:r>
      <w:r w:rsidR="00BF65F0" w:rsidRPr="00FC7566">
        <w:rPr>
          <w:rFonts w:ascii="Palatino Linotype" w:hAnsi="Palatino Linotype"/>
        </w:rPr>
        <w:t>.</w:t>
      </w:r>
    </w:p>
  </w:footnote>
  <w:footnote w:id="17">
    <w:p w14:paraId="5CE4B764" w14:textId="06F66FE6" w:rsidR="00905D0E" w:rsidRPr="00FC7566" w:rsidRDefault="00905D0E">
      <w:pPr>
        <w:pStyle w:val="FootnoteText"/>
        <w:rPr>
          <w:rFonts w:ascii="Palatino Linotype" w:hAnsi="Palatino Linotype"/>
        </w:rPr>
      </w:pPr>
      <w:r w:rsidRPr="00FC7566">
        <w:rPr>
          <w:rStyle w:val="FootnoteReference"/>
          <w:rFonts w:ascii="Palatino Linotype" w:hAnsi="Palatino Linotype"/>
        </w:rPr>
        <w:footnoteRef/>
      </w:r>
      <w:r w:rsidRPr="00FC7566">
        <w:rPr>
          <w:rFonts w:ascii="Palatino Linotype" w:hAnsi="Palatino Linotype"/>
        </w:rPr>
        <w:t xml:space="preserve"> </w:t>
      </w:r>
      <w:r w:rsidR="00DC50F2" w:rsidRPr="00FC7566">
        <w:rPr>
          <w:rFonts w:ascii="Palatino Linotype" w:hAnsi="Palatino Linotype"/>
        </w:rPr>
        <w:t>AL 6977-E</w:t>
      </w:r>
      <w:r w:rsidR="00BF65F0" w:rsidRPr="00FC7566">
        <w:rPr>
          <w:rFonts w:ascii="Palatino Linotype" w:hAnsi="Palatino Linotype"/>
        </w:rPr>
        <w:t>.</w:t>
      </w:r>
    </w:p>
  </w:footnote>
  <w:footnote w:id="18">
    <w:p w14:paraId="35EC9FEA" w14:textId="06760980" w:rsidR="00905D0E" w:rsidRPr="00FC7566" w:rsidRDefault="00905D0E">
      <w:pPr>
        <w:pStyle w:val="FootnoteText"/>
        <w:rPr>
          <w:rFonts w:ascii="Palatino Linotype" w:hAnsi="Palatino Linotype"/>
        </w:rPr>
      </w:pPr>
      <w:r w:rsidRPr="00FC7566">
        <w:rPr>
          <w:rStyle w:val="FootnoteReference"/>
          <w:rFonts w:ascii="Palatino Linotype" w:hAnsi="Palatino Linotype"/>
        </w:rPr>
        <w:footnoteRef/>
      </w:r>
      <w:r w:rsidRPr="00FC7566">
        <w:rPr>
          <w:rFonts w:ascii="Palatino Linotype" w:hAnsi="Palatino Linotype"/>
        </w:rPr>
        <w:t xml:space="preserve"> </w:t>
      </w:r>
      <w:r w:rsidR="00DC50F2" w:rsidRPr="00FC7566">
        <w:rPr>
          <w:rFonts w:ascii="Palatino Linotype" w:hAnsi="Palatino Linotype"/>
        </w:rPr>
        <w:t>Ibid.</w:t>
      </w:r>
    </w:p>
  </w:footnote>
  <w:footnote w:id="19">
    <w:p w14:paraId="750B21AA" w14:textId="77777777" w:rsidR="00612BCE" w:rsidRPr="00BD5C54" w:rsidRDefault="00612BCE" w:rsidP="00612BCE">
      <w:pPr>
        <w:pStyle w:val="NoSpacing"/>
        <w:rPr>
          <w:rFonts w:ascii="Palatino Linotype" w:hAnsi="Palatino Linotype"/>
          <w:sz w:val="20"/>
        </w:rPr>
      </w:pPr>
      <w:r w:rsidRPr="00BD5C54">
        <w:rPr>
          <w:rStyle w:val="FootnoteReference"/>
          <w:rFonts w:ascii="Palatino Linotype" w:hAnsi="Palatino Linotype"/>
          <w:sz w:val="20"/>
        </w:rPr>
        <w:footnoteRef/>
      </w:r>
      <w:r w:rsidRPr="00BD5C54">
        <w:rPr>
          <w:rFonts w:ascii="Palatino Linotype" w:hAnsi="Palatino Linotype"/>
          <w:sz w:val="20"/>
        </w:rPr>
        <w:t xml:space="preserve"> </w:t>
      </w:r>
      <w:r w:rsidRPr="00BD5C54">
        <w:rPr>
          <w:rFonts w:ascii="Palatino Linotype" w:hAnsi="Palatino Linotype"/>
          <w:sz w:val="20"/>
          <w:lang w:val="fr-FR"/>
        </w:rPr>
        <w:t>Pub. Util. Code § 399.13(a)(5).</w:t>
      </w:r>
    </w:p>
  </w:footnote>
  <w:footnote w:id="20">
    <w:p w14:paraId="4717602F" w14:textId="77777777" w:rsidR="00612BCE" w:rsidRPr="00BD5C54" w:rsidRDefault="00612BCE" w:rsidP="00612BCE">
      <w:pPr>
        <w:pStyle w:val="NoSpacing"/>
        <w:rPr>
          <w:rFonts w:ascii="Palatino Linotype" w:hAnsi="Palatino Linotype"/>
          <w:sz w:val="20"/>
        </w:rPr>
      </w:pPr>
      <w:r w:rsidRPr="00BD5C54">
        <w:rPr>
          <w:rStyle w:val="FootnoteReference"/>
          <w:rFonts w:ascii="Palatino Linotype" w:hAnsi="Palatino Linotype"/>
          <w:sz w:val="20"/>
        </w:rPr>
        <w:footnoteRef/>
      </w:r>
      <w:r w:rsidRPr="00BD5C54">
        <w:rPr>
          <w:rFonts w:ascii="Palatino Linotype" w:hAnsi="Palatino Linotype"/>
          <w:sz w:val="20"/>
        </w:rPr>
        <w:t xml:space="preserve"> Pub. Util. Code § 399.13(d).</w:t>
      </w:r>
    </w:p>
  </w:footnote>
  <w:footnote w:id="21">
    <w:p w14:paraId="08E15D99" w14:textId="5B0C4FF9" w:rsidR="00515CEE" w:rsidRDefault="00515CEE" w:rsidP="00BD5C54">
      <w:pPr>
        <w:pStyle w:val="NoSpacing"/>
        <w:rPr>
          <w:rFonts w:ascii="Palatino Linotype" w:hAnsi="Palatino Linotype"/>
          <w:sz w:val="20"/>
        </w:rPr>
      </w:pPr>
      <w:r w:rsidRPr="00BD5C54">
        <w:rPr>
          <w:rStyle w:val="FootnoteReference"/>
          <w:rFonts w:ascii="Palatino Linotype" w:hAnsi="Palatino Linotype"/>
          <w:sz w:val="20"/>
        </w:rPr>
        <w:footnoteRef/>
      </w:r>
      <w:r w:rsidRPr="00BD5C54">
        <w:rPr>
          <w:rStyle w:val="FootnoteReference"/>
          <w:rFonts w:ascii="Palatino Linotype" w:hAnsi="Palatino Linotype"/>
          <w:sz w:val="20"/>
        </w:rPr>
        <w:t xml:space="preserve"> </w:t>
      </w:r>
      <w:r w:rsidR="00B87259" w:rsidRPr="00B5031A">
        <w:rPr>
          <w:rStyle w:val="FootnoteReference"/>
          <w:rFonts w:ascii="Palatino Linotype" w:hAnsi="Palatino Linotype"/>
          <w:sz w:val="20"/>
          <w:vertAlign w:val="baseline"/>
        </w:rPr>
        <w:t>PG&amp;E</w:t>
      </w:r>
      <w:r w:rsidRPr="00B5031A">
        <w:rPr>
          <w:rStyle w:val="FootnoteReference"/>
          <w:rFonts w:ascii="Palatino Linotype" w:hAnsi="Palatino Linotype"/>
          <w:sz w:val="20"/>
          <w:vertAlign w:val="baseline"/>
        </w:rPr>
        <w:t xml:space="preserve"> </w:t>
      </w:r>
      <w:r w:rsidR="00DC5A60" w:rsidRPr="00B5031A">
        <w:rPr>
          <w:rStyle w:val="FootnoteReference"/>
          <w:rFonts w:ascii="Palatino Linotype" w:hAnsi="Palatino Linotype"/>
          <w:sz w:val="20"/>
          <w:vertAlign w:val="baseline"/>
        </w:rPr>
        <w:t>Final 2022 RPS Procurement Plan</w:t>
      </w:r>
      <w:r w:rsidR="008F7C2E" w:rsidRPr="00B5031A">
        <w:rPr>
          <w:rStyle w:val="FootnoteReference"/>
          <w:rFonts w:ascii="Palatino Linotype" w:hAnsi="Palatino Linotype"/>
          <w:sz w:val="20"/>
          <w:vertAlign w:val="baseline"/>
        </w:rPr>
        <w:t xml:space="preserve"> at </w:t>
      </w:r>
      <w:r w:rsidR="00BF65F0">
        <w:rPr>
          <w:rFonts w:ascii="Palatino Linotype" w:hAnsi="Palatino Linotype"/>
          <w:sz w:val="20"/>
        </w:rPr>
        <w:t xml:space="preserve">p. </w:t>
      </w:r>
      <w:r w:rsidR="008F7C2E" w:rsidRPr="00B5031A">
        <w:rPr>
          <w:rStyle w:val="FootnoteReference"/>
          <w:rFonts w:ascii="Palatino Linotype" w:hAnsi="Palatino Linotype"/>
          <w:sz w:val="20"/>
          <w:vertAlign w:val="baseline"/>
        </w:rPr>
        <w:t>23.</w:t>
      </w:r>
      <w:r w:rsidR="0041038D" w:rsidRPr="00B5031A">
        <w:rPr>
          <w:rStyle w:val="FootnoteReference"/>
          <w:rFonts w:ascii="Palatino Linotype" w:hAnsi="Palatino Linotype"/>
          <w:sz w:val="20"/>
          <w:vertAlign w:val="baseline"/>
        </w:rPr>
        <w:t xml:space="preserve"> </w:t>
      </w:r>
      <w:r w:rsidR="00B87259" w:rsidRPr="00B5031A">
        <w:rPr>
          <w:rStyle w:val="FootnoteReference"/>
          <w:rFonts w:ascii="Palatino Linotype" w:hAnsi="Palatino Linotype"/>
          <w:sz w:val="20"/>
          <w:vertAlign w:val="baseline"/>
        </w:rPr>
        <w:t>PG&amp;E</w:t>
      </w:r>
      <w:r w:rsidR="0041038D" w:rsidRPr="00B5031A">
        <w:rPr>
          <w:rStyle w:val="FootnoteReference"/>
          <w:rFonts w:ascii="Palatino Linotype" w:hAnsi="Palatino Linotype"/>
          <w:sz w:val="20"/>
          <w:vertAlign w:val="baseline"/>
        </w:rPr>
        <w:t xml:space="preserve"> forecasted having a net short</w:t>
      </w:r>
      <w:r w:rsidR="005B685B" w:rsidRPr="00B5031A">
        <w:rPr>
          <w:rStyle w:val="FootnoteReference"/>
          <w:rFonts w:ascii="Palatino Linotype" w:hAnsi="Palatino Linotype"/>
          <w:sz w:val="20"/>
          <w:vertAlign w:val="baseline"/>
        </w:rPr>
        <w:t xml:space="preserve"> </w:t>
      </w:r>
      <w:r w:rsidR="0041038D" w:rsidRPr="00B5031A">
        <w:rPr>
          <w:rStyle w:val="FootnoteReference"/>
          <w:rFonts w:ascii="Palatino Linotype" w:hAnsi="Palatino Linotype"/>
          <w:sz w:val="20"/>
          <w:vertAlign w:val="baseline"/>
        </w:rPr>
        <w:t>position</w:t>
      </w:r>
      <w:r w:rsidR="00A51577" w:rsidRPr="00B5031A">
        <w:rPr>
          <w:rStyle w:val="FootnoteReference"/>
          <w:rFonts w:ascii="Palatino Linotype" w:hAnsi="Palatino Linotype"/>
          <w:sz w:val="20"/>
          <w:vertAlign w:val="baseline"/>
        </w:rPr>
        <w:t xml:space="preserve"> by </w:t>
      </w:r>
      <w:r w:rsidR="003E275A">
        <w:rPr>
          <w:rFonts w:ascii="Palatino Linotype" w:hAnsi="Palatino Linotype"/>
          <w:sz w:val="20"/>
        </w:rPr>
        <w:br/>
      </w:r>
      <w:r w:rsidR="00A51577" w:rsidRPr="00B5031A">
        <w:rPr>
          <w:rStyle w:val="FootnoteReference"/>
          <w:rFonts w:ascii="Palatino Linotype" w:hAnsi="Palatino Linotype"/>
          <w:sz w:val="20"/>
          <w:vertAlign w:val="baseline"/>
        </w:rPr>
        <w:t xml:space="preserve">2023 – the net short </w:t>
      </w:r>
      <w:r w:rsidR="005B685B" w:rsidRPr="00B5031A">
        <w:rPr>
          <w:rStyle w:val="FootnoteReference"/>
          <w:rFonts w:ascii="Palatino Linotype" w:hAnsi="Palatino Linotype"/>
          <w:sz w:val="20"/>
          <w:vertAlign w:val="baseline"/>
        </w:rPr>
        <w:t xml:space="preserve">position </w:t>
      </w:r>
      <w:r w:rsidR="00A51577" w:rsidRPr="00B5031A">
        <w:rPr>
          <w:rStyle w:val="FootnoteReference"/>
          <w:rFonts w:ascii="Palatino Linotype" w:hAnsi="Palatino Linotype"/>
          <w:sz w:val="20"/>
          <w:vertAlign w:val="baseline"/>
        </w:rPr>
        <w:t xml:space="preserve">does not account </w:t>
      </w:r>
      <w:r w:rsidR="00007D9D" w:rsidRPr="00B5031A">
        <w:rPr>
          <w:rStyle w:val="FootnoteReference"/>
          <w:rFonts w:ascii="Palatino Linotype" w:hAnsi="Palatino Linotype"/>
          <w:sz w:val="20"/>
          <w:vertAlign w:val="baseline"/>
        </w:rPr>
        <w:t xml:space="preserve">for </w:t>
      </w:r>
      <w:r w:rsidR="00A51577" w:rsidRPr="00B5031A">
        <w:rPr>
          <w:rStyle w:val="FootnoteReference"/>
          <w:rFonts w:ascii="Palatino Linotype" w:hAnsi="Palatino Linotype"/>
          <w:sz w:val="20"/>
          <w:vertAlign w:val="baseline"/>
        </w:rPr>
        <w:t xml:space="preserve">an </w:t>
      </w:r>
      <w:r w:rsidR="00007D9D" w:rsidRPr="00B5031A">
        <w:rPr>
          <w:rStyle w:val="FootnoteReference"/>
          <w:rFonts w:ascii="Palatino Linotype" w:hAnsi="Palatino Linotype"/>
          <w:sz w:val="20"/>
          <w:vertAlign w:val="baseline"/>
        </w:rPr>
        <w:t xml:space="preserve">entities </w:t>
      </w:r>
      <w:r w:rsidR="00A51577" w:rsidRPr="00B5031A">
        <w:rPr>
          <w:rStyle w:val="FootnoteReference"/>
          <w:rFonts w:ascii="Palatino Linotype" w:hAnsi="Palatino Linotype"/>
          <w:sz w:val="20"/>
          <w:vertAlign w:val="baseline"/>
        </w:rPr>
        <w:t>RPS bank</w:t>
      </w:r>
      <w:r w:rsidR="005B685B" w:rsidRPr="00B5031A">
        <w:rPr>
          <w:rStyle w:val="FootnoteReference"/>
          <w:rFonts w:ascii="Palatino Linotype" w:hAnsi="Palatino Linotype"/>
          <w:sz w:val="20"/>
          <w:vertAlign w:val="baseline"/>
        </w:rPr>
        <w:t>. Id.</w:t>
      </w:r>
    </w:p>
    <w:p w14:paraId="3C53598E" w14:textId="77777777" w:rsidR="009B41E6" w:rsidRPr="00BD5C54" w:rsidRDefault="009B41E6" w:rsidP="00BD5C54">
      <w:pPr>
        <w:pStyle w:val="NoSpacing"/>
        <w:rPr>
          <w:rStyle w:val="FootnoteReference"/>
          <w:rFonts w:ascii="Palatino Linotype" w:hAnsi="Palatino Linotype"/>
          <w:sz w:val="20"/>
        </w:rPr>
      </w:pPr>
    </w:p>
  </w:footnote>
  <w:footnote w:id="22">
    <w:p w14:paraId="260A411E" w14:textId="2DBAE49F" w:rsidR="00612BCE" w:rsidRPr="001348ED" w:rsidRDefault="00612BCE" w:rsidP="00612BCE">
      <w:pPr>
        <w:pStyle w:val="NoSpacing"/>
        <w:rPr>
          <w:rFonts w:ascii="Palatino Linotype" w:hAnsi="Palatino Linotype"/>
          <w:sz w:val="20"/>
          <w:lang w:bidi="x-none"/>
        </w:rPr>
      </w:pPr>
      <w:r w:rsidRPr="001348ED">
        <w:rPr>
          <w:rStyle w:val="FootnoteReference"/>
          <w:rFonts w:ascii="Palatino Linotype" w:hAnsi="Palatino Linotype"/>
          <w:sz w:val="20"/>
        </w:rPr>
        <w:footnoteRef/>
      </w:r>
      <w:r w:rsidRPr="001348ED">
        <w:rPr>
          <w:rFonts w:ascii="Palatino Linotype" w:hAnsi="Palatino Linotype"/>
          <w:sz w:val="20"/>
        </w:rPr>
        <w:t xml:space="preserve"> </w:t>
      </w:r>
      <w:r w:rsidR="00603721" w:rsidRPr="001348ED">
        <w:rPr>
          <w:rFonts w:ascii="Palatino Linotype" w:hAnsi="Palatino Linotype"/>
          <w:sz w:val="20"/>
        </w:rPr>
        <w:t>PG&amp;E</w:t>
      </w:r>
      <w:r w:rsidRPr="001348ED">
        <w:rPr>
          <w:rFonts w:ascii="Palatino Linotype" w:hAnsi="Palatino Linotype"/>
          <w:sz w:val="20"/>
        </w:rPr>
        <w:t>’s PRG includ</w:t>
      </w:r>
      <w:r w:rsidR="004C7241" w:rsidRPr="001348ED">
        <w:rPr>
          <w:rFonts w:ascii="Palatino Linotype" w:hAnsi="Palatino Linotype"/>
          <w:sz w:val="20"/>
        </w:rPr>
        <w:t>ed</w:t>
      </w:r>
      <w:r w:rsidRPr="001348ED">
        <w:rPr>
          <w:rFonts w:ascii="Palatino Linotype" w:hAnsi="Palatino Linotype"/>
          <w:sz w:val="20"/>
        </w:rPr>
        <w:t xml:space="preserve"> representatives from the Commission’s Energy Division and Public Advocates Office, </w:t>
      </w:r>
      <w:r w:rsidR="003D680A" w:rsidRPr="001348ED">
        <w:rPr>
          <w:rFonts w:ascii="Palatino Linotype" w:hAnsi="Palatino Linotype"/>
          <w:sz w:val="20"/>
        </w:rPr>
        <w:t xml:space="preserve">Earth Justice, </w:t>
      </w:r>
      <w:r w:rsidRPr="001348ED">
        <w:rPr>
          <w:rFonts w:ascii="Palatino Linotype" w:hAnsi="Palatino Linotype"/>
          <w:sz w:val="20"/>
        </w:rPr>
        <w:t>The Utility Reform Network, Coalition of California Utility Employees,</w:t>
      </w:r>
      <w:r w:rsidR="004C7241" w:rsidRPr="001348ED">
        <w:rPr>
          <w:rFonts w:ascii="Palatino Linotype" w:hAnsi="Palatino Linotype"/>
          <w:sz w:val="20"/>
        </w:rPr>
        <w:t xml:space="preserve"> and Coast Economic Consulting</w:t>
      </w:r>
      <w:r w:rsidRPr="001348ED">
        <w:rPr>
          <w:rFonts w:ascii="Palatino Linotype" w:hAnsi="Palatino Linotype"/>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4FACC" w14:textId="7F366319" w:rsidR="00442C7C" w:rsidRPr="00507FD3" w:rsidRDefault="009E1321">
    <w:pPr>
      <w:pStyle w:val="Header"/>
      <w:tabs>
        <w:tab w:val="clear" w:pos="4320"/>
        <w:tab w:val="clear" w:pos="8640"/>
        <w:tab w:val="center" w:pos="4680"/>
        <w:tab w:val="right" w:pos="9180"/>
      </w:tabs>
      <w:rPr>
        <w:rFonts w:ascii="Palatino Linotype" w:hAnsi="Palatino Linotype"/>
      </w:rPr>
    </w:pPr>
    <w:r w:rsidRPr="00507FD3">
      <w:rPr>
        <w:rFonts w:ascii="Palatino Linotype" w:hAnsi="Palatino Linotype"/>
      </w:rPr>
      <w:t xml:space="preserve">Resolution </w:t>
    </w:r>
    <w:r w:rsidRPr="002D7766">
      <w:rPr>
        <w:rFonts w:ascii="Palatino Linotype" w:hAnsi="Palatino Linotype"/>
      </w:rPr>
      <w:t>E-</w:t>
    </w:r>
    <w:r w:rsidR="00A76A0C">
      <w:rPr>
        <w:rFonts w:ascii="Palatino Linotype" w:hAnsi="Palatino Linotype"/>
      </w:rPr>
      <w:t>5295</w:t>
    </w:r>
    <w:r w:rsidRPr="00507FD3">
      <w:rPr>
        <w:rFonts w:ascii="Palatino Linotype" w:hAnsi="Palatino Linotype"/>
      </w:rPr>
      <w:tab/>
    </w:r>
    <w:r w:rsidR="0031664B" w:rsidRPr="0031664B">
      <w:rPr>
        <w:rFonts w:ascii="Palatino Linotype" w:hAnsi="Palatino Linotype"/>
        <w:sz w:val="24"/>
        <w:szCs w:val="24"/>
      </w:rPr>
      <w:t>DRAFT</w:t>
    </w:r>
    <w:r w:rsidRPr="00507FD3">
      <w:rPr>
        <w:rFonts w:ascii="Palatino Linotype" w:hAnsi="Palatino Linotype"/>
      </w:rPr>
      <w:tab/>
    </w:r>
    <w:r w:rsidR="00AF18E4">
      <w:rPr>
        <w:rFonts w:ascii="Palatino Linotype" w:hAnsi="Palatino Linotype"/>
      </w:rPr>
      <w:t xml:space="preserve">November </w:t>
    </w:r>
    <w:r w:rsidR="00852635">
      <w:rPr>
        <w:rFonts w:ascii="Palatino Linotype" w:hAnsi="Palatino Linotype"/>
      </w:rPr>
      <w:t>2,</w:t>
    </w:r>
    <w:r w:rsidRPr="002D7766">
      <w:rPr>
        <w:rFonts w:ascii="Palatino Linotype" w:hAnsi="Palatino Linotype"/>
      </w:rPr>
      <w:t xml:space="preserve"> 20</w:t>
    </w:r>
    <w:r w:rsidR="00C23995" w:rsidRPr="002D7766">
      <w:rPr>
        <w:rFonts w:ascii="Palatino Linotype" w:hAnsi="Palatino Linotype"/>
      </w:rPr>
      <w:t>23</w:t>
    </w:r>
  </w:p>
  <w:p w14:paraId="0EE627B3" w14:textId="5DCEC605" w:rsidR="00442C7C" w:rsidRPr="00507FD3" w:rsidRDefault="00B87259">
    <w:pPr>
      <w:pStyle w:val="Header"/>
      <w:tabs>
        <w:tab w:val="clear" w:pos="4320"/>
        <w:tab w:val="clear" w:pos="8640"/>
        <w:tab w:val="center" w:pos="4680"/>
        <w:tab w:val="right" w:pos="9180"/>
      </w:tabs>
      <w:rPr>
        <w:rFonts w:ascii="Palatino Linotype" w:hAnsi="Palatino Linotype"/>
      </w:rPr>
    </w:pPr>
    <w:r>
      <w:rPr>
        <w:rFonts w:ascii="Palatino Linotype" w:hAnsi="Palatino Linotype"/>
      </w:rPr>
      <w:t>PG&amp;E</w:t>
    </w:r>
    <w:r w:rsidR="009E1321" w:rsidRPr="00507FD3">
      <w:rPr>
        <w:rFonts w:ascii="Palatino Linotype" w:hAnsi="Palatino Linotype"/>
      </w:rPr>
      <w:t xml:space="preserve"> </w:t>
    </w:r>
    <w:r w:rsidR="009E1321" w:rsidRPr="002D7766">
      <w:rPr>
        <w:rFonts w:ascii="Palatino Linotype" w:hAnsi="Palatino Linotype"/>
      </w:rPr>
      <w:t xml:space="preserve">AL </w:t>
    </w:r>
    <w:r w:rsidR="00C648D6" w:rsidRPr="002D7766">
      <w:rPr>
        <w:rFonts w:ascii="Palatino Linotype" w:hAnsi="Palatino Linotype"/>
      </w:rPr>
      <w:t>6977</w:t>
    </w:r>
    <w:r w:rsidR="009E1321" w:rsidRPr="002D7766">
      <w:rPr>
        <w:rFonts w:ascii="Palatino Linotype" w:hAnsi="Palatino Linotype"/>
      </w:rPr>
      <w:t>-E</w:t>
    </w:r>
    <w:r w:rsidR="0031664B">
      <w:rPr>
        <w:rFonts w:ascii="Palatino Linotype" w:hAnsi="Palatino Linotype"/>
      </w:rPr>
      <w:t>/WWY</w:t>
    </w:r>
  </w:p>
  <w:p w14:paraId="2E8DAB5C" w14:textId="77777777" w:rsidR="00442C7C" w:rsidRPr="00507FD3" w:rsidRDefault="00442C7C">
    <w:pPr>
      <w:pStyle w:val="Header"/>
      <w:rPr>
        <w:rFonts w:ascii="Palatino Linotype" w:hAnsi="Palatino Linotyp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823C3" w14:textId="033A172E" w:rsidR="00442C7C" w:rsidRPr="0031664B" w:rsidRDefault="0031664B" w:rsidP="00667DE8">
    <w:pPr>
      <w:pStyle w:val="Header"/>
      <w:jc w:val="center"/>
      <w:rPr>
        <w:rFonts w:ascii="Palatino Linotype" w:hAnsi="Palatino Linotype"/>
        <w:b/>
        <w:bCs/>
        <w:sz w:val="24"/>
        <w:szCs w:val="24"/>
        <w:lang w:val="en-ZW"/>
      </w:rPr>
    </w:pPr>
    <w:r w:rsidRPr="0031664B">
      <w:rPr>
        <w:rFonts w:ascii="Palatino Linotype" w:hAnsi="Palatino Linotype"/>
        <w:b/>
        <w:bCs/>
        <w:sz w:val="24"/>
        <w:szCs w:val="24"/>
        <w:lang w:val="en-ZW"/>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2641"/>
    <w:multiLevelType w:val="hybridMultilevel"/>
    <w:tmpl w:val="47FE6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92D33"/>
    <w:multiLevelType w:val="hybridMultilevel"/>
    <w:tmpl w:val="557043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B7819"/>
    <w:multiLevelType w:val="singleLevel"/>
    <w:tmpl w:val="0409000F"/>
    <w:lvl w:ilvl="0">
      <w:start w:val="1"/>
      <w:numFmt w:val="decimal"/>
      <w:lvlText w:val="%1."/>
      <w:lvlJc w:val="left"/>
      <w:pPr>
        <w:ind w:left="720" w:hanging="360"/>
      </w:pPr>
    </w:lvl>
  </w:abstractNum>
  <w:abstractNum w:abstractNumId="3" w15:restartNumberingAfterBreak="0">
    <w:nsid w:val="29933615"/>
    <w:multiLevelType w:val="hybridMultilevel"/>
    <w:tmpl w:val="EC786834"/>
    <w:lvl w:ilvl="0" w:tplc="71C86C2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A7447D"/>
    <w:multiLevelType w:val="hybridMultilevel"/>
    <w:tmpl w:val="46FE1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0FD0A96"/>
    <w:multiLevelType w:val="hybridMultilevel"/>
    <w:tmpl w:val="A6802F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5861578"/>
    <w:multiLevelType w:val="hybridMultilevel"/>
    <w:tmpl w:val="9982A0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BB84711"/>
    <w:multiLevelType w:val="hybridMultilevel"/>
    <w:tmpl w:val="02968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329378A"/>
    <w:multiLevelType w:val="hybridMultilevel"/>
    <w:tmpl w:val="B8EA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9224336">
    <w:abstractNumId w:val="2"/>
  </w:num>
  <w:num w:numId="2" w16cid:durableId="2062553655">
    <w:abstractNumId w:val="7"/>
  </w:num>
  <w:num w:numId="3" w16cid:durableId="250118069">
    <w:abstractNumId w:val="4"/>
  </w:num>
  <w:num w:numId="4" w16cid:durableId="44060980">
    <w:abstractNumId w:val="0"/>
  </w:num>
  <w:num w:numId="5" w16cid:durableId="1210535857">
    <w:abstractNumId w:val="1"/>
  </w:num>
  <w:num w:numId="6" w16cid:durableId="1162820321">
    <w:abstractNumId w:val="6"/>
  </w:num>
  <w:num w:numId="7" w16cid:durableId="2024237974">
    <w:abstractNumId w:val="3"/>
  </w:num>
  <w:num w:numId="8" w16cid:durableId="1067653140">
    <w:abstractNumId w:val="8"/>
  </w:num>
  <w:num w:numId="9" w16cid:durableId="10926221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CE"/>
    <w:rsid w:val="00007D9D"/>
    <w:rsid w:val="00010A9E"/>
    <w:rsid w:val="00011E04"/>
    <w:rsid w:val="0001446F"/>
    <w:rsid w:val="000257DC"/>
    <w:rsid w:val="000276CA"/>
    <w:rsid w:val="000378D0"/>
    <w:rsid w:val="00040792"/>
    <w:rsid w:val="00040CF0"/>
    <w:rsid w:val="000508CC"/>
    <w:rsid w:val="0005351F"/>
    <w:rsid w:val="000535CD"/>
    <w:rsid w:val="0005368D"/>
    <w:rsid w:val="0005445D"/>
    <w:rsid w:val="00056B2B"/>
    <w:rsid w:val="000658CD"/>
    <w:rsid w:val="00074382"/>
    <w:rsid w:val="000777FC"/>
    <w:rsid w:val="00083E03"/>
    <w:rsid w:val="00091603"/>
    <w:rsid w:val="000B5465"/>
    <w:rsid w:val="000C6943"/>
    <w:rsid w:val="000C746D"/>
    <w:rsid w:val="000D4C27"/>
    <w:rsid w:val="001043F5"/>
    <w:rsid w:val="00130A91"/>
    <w:rsid w:val="001345D3"/>
    <w:rsid w:val="001348ED"/>
    <w:rsid w:val="001357FB"/>
    <w:rsid w:val="00136462"/>
    <w:rsid w:val="001413FC"/>
    <w:rsid w:val="00147C8D"/>
    <w:rsid w:val="001540DE"/>
    <w:rsid w:val="00155D48"/>
    <w:rsid w:val="00160668"/>
    <w:rsid w:val="00161300"/>
    <w:rsid w:val="001667A8"/>
    <w:rsid w:val="00172FB7"/>
    <w:rsid w:val="00175A40"/>
    <w:rsid w:val="0018365F"/>
    <w:rsid w:val="001855D2"/>
    <w:rsid w:val="001B40FA"/>
    <w:rsid w:val="001C2176"/>
    <w:rsid w:val="001C6B25"/>
    <w:rsid w:val="001E641C"/>
    <w:rsid w:val="001F3031"/>
    <w:rsid w:val="00204FBC"/>
    <w:rsid w:val="00205C35"/>
    <w:rsid w:val="002327CC"/>
    <w:rsid w:val="002331BC"/>
    <w:rsid w:val="00240A28"/>
    <w:rsid w:val="00252025"/>
    <w:rsid w:val="0026509E"/>
    <w:rsid w:val="00270086"/>
    <w:rsid w:val="002975B8"/>
    <w:rsid w:val="002A4B59"/>
    <w:rsid w:val="002A7EEC"/>
    <w:rsid w:val="002B595E"/>
    <w:rsid w:val="002B59A5"/>
    <w:rsid w:val="002C037C"/>
    <w:rsid w:val="002C43FE"/>
    <w:rsid w:val="002C60D2"/>
    <w:rsid w:val="002C6931"/>
    <w:rsid w:val="002D7766"/>
    <w:rsid w:val="002E031C"/>
    <w:rsid w:val="002E6A60"/>
    <w:rsid w:val="00314C97"/>
    <w:rsid w:val="0031664B"/>
    <w:rsid w:val="0031749C"/>
    <w:rsid w:val="00317A0B"/>
    <w:rsid w:val="003210B9"/>
    <w:rsid w:val="00322012"/>
    <w:rsid w:val="00332885"/>
    <w:rsid w:val="00342DF7"/>
    <w:rsid w:val="00343CEC"/>
    <w:rsid w:val="003520EC"/>
    <w:rsid w:val="00355158"/>
    <w:rsid w:val="003662C9"/>
    <w:rsid w:val="00366EEF"/>
    <w:rsid w:val="003946D2"/>
    <w:rsid w:val="003A00EB"/>
    <w:rsid w:val="003A7922"/>
    <w:rsid w:val="003B06A5"/>
    <w:rsid w:val="003C2ABF"/>
    <w:rsid w:val="003C2F58"/>
    <w:rsid w:val="003D680A"/>
    <w:rsid w:val="003E275A"/>
    <w:rsid w:val="003E2B8B"/>
    <w:rsid w:val="003E41EF"/>
    <w:rsid w:val="0041038D"/>
    <w:rsid w:val="00413587"/>
    <w:rsid w:val="00425E2D"/>
    <w:rsid w:val="00432897"/>
    <w:rsid w:val="00432C03"/>
    <w:rsid w:val="00433645"/>
    <w:rsid w:val="00434AF0"/>
    <w:rsid w:val="004361ED"/>
    <w:rsid w:val="00442C7C"/>
    <w:rsid w:val="004456C1"/>
    <w:rsid w:val="00445C94"/>
    <w:rsid w:val="00445CF1"/>
    <w:rsid w:val="00447BAB"/>
    <w:rsid w:val="00451D2B"/>
    <w:rsid w:val="00464C26"/>
    <w:rsid w:val="00485E6C"/>
    <w:rsid w:val="004931D7"/>
    <w:rsid w:val="004B1FA0"/>
    <w:rsid w:val="004B42BF"/>
    <w:rsid w:val="004C1AC8"/>
    <w:rsid w:val="004C427A"/>
    <w:rsid w:val="004C5BEA"/>
    <w:rsid w:val="004C7241"/>
    <w:rsid w:val="004E18AE"/>
    <w:rsid w:val="004E3333"/>
    <w:rsid w:val="004E36DC"/>
    <w:rsid w:val="004F2B68"/>
    <w:rsid w:val="00505A91"/>
    <w:rsid w:val="00506414"/>
    <w:rsid w:val="005103E3"/>
    <w:rsid w:val="00515CEE"/>
    <w:rsid w:val="00520549"/>
    <w:rsid w:val="005301B6"/>
    <w:rsid w:val="00534286"/>
    <w:rsid w:val="00541A31"/>
    <w:rsid w:val="00556C76"/>
    <w:rsid w:val="00562D3C"/>
    <w:rsid w:val="00564821"/>
    <w:rsid w:val="005706BE"/>
    <w:rsid w:val="005748AB"/>
    <w:rsid w:val="005837F3"/>
    <w:rsid w:val="0058793B"/>
    <w:rsid w:val="005A4140"/>
    <w:rsid w:val="005B685B"/>
    <w:rsid w:val="005C011A"/>
    <w:rsid w:val="005C76BA"/>
    <w:rsid w:val="005D462A"/>
    <w:rsid w:val="005D650E"/>
    <w:rsid w:val="005F138B"/>
    <w:rsid w:val="005F6A08"/>
    <w:rsid w:val="00603721"/>
    <w:rsid w:val="00612BCE"/>
    <w:rsid w:val="00612CDC"/>
    <w:rsid w:val="006303AA"/>
    <w:rsid w:val="006337C8"/>
    <w:rsid w:val="00645DA0"/>
    <w:rsid w:val="0065128C"/>
    <w:rsid w:val="006522C3"/>
    <w:rsid w:val="00662F6F"/>
    <w:rsid w:val="006649AE"/>
    <w:rsid w:val="006709D0"/>
    <w:rsid w:val="006779E5"/>
    <w:rsid w:val="00682DC5"/>
    <w:rsid w:val="006A196E"/>
    <w:rsid w:val="006A723D"/>
    <w:rsid w:val="006A7887"/>
    <w:rsid w:val="006B29FE"/>
    <w:rsid w:val="006B3502"/>
    <w:rsid w:val="006C106D"/>
    <w:rsid w:val="006E20EF"/>
    <w:rsid w:val="006E3992"/>
    <w:rsid w:val="006E444F"/>
    <w:rsid w:val="006F6F1D"/>
    <w:rsid w:val="00711CC9"/>
    <w:rsid w:val="0071621E"/>
    <w:rsid w:val="007224AE"/>
    <w:rsid w:val="0074586B"/>
    <w:rsid w:val="00772221"/>
    <w:rsid w:val="007A3A1D"/>
    <w:rsid w:val="007B3CD5"/>
    <w:rsid w:val="007B73CF"/>
    <w:rsid w:val="007C006E"/>
    <w:rsid w:val="007C66D8"/>
    <w:rsid w:val="007D1BE6"/>
    <w:rsid w:val="007E6E5F"/>
    <w:rsid w:val="007F026E"/>
    <w:rsid w:val="007F231C"/>
    <w:rsid w:val="007F500C"/>
    <w:rsid w:val="007F56A0"/>
    <w:rsid w:val="00807129"/>
    <w:rsid w:val="00825599"/>
    <w:rsid w:val="008408AA"/>
    <w:rsid w:val="0084235A"/>
    <w:rsid w:val="00852635"/>
    <w:rsid w:val="0085778C"/>
    <w:rsid w:val="008730BE"/>
    <w:rsid w:val="008742EE"/>
    <w:rsid w:val="008750A2"/>
    <w:rsid w:val="008851DA"/>
    <w:rsid w:val="00885427"/>
    <w:rsid w:val="008879B2"/>
    <w:rsid w:val="00892AA7"/>
    <w:rsid w:val="00893351"/>
    <w:rsid w:val="00894D18"/>
    <w:rsid w:val="00897F9F"/>
    <w:rsid w:val="008A3ECB"/>
    <w:rsid w:val="008A555C"/>
    <w:rsid w:val="008B3855"/>
    <w:rsid w:val="008F18E0"/>
    <w:rsid w:val="008F7C2E"/>
    <w:rsid w:val="00905D0E"/>
    <w:rsid w:val="00915DF9"/>
    <w:rsid w:val="00935C34"/>
    <w:rsid w:val="00936BC9"/>
    <w:rsid w:val="00955819"/>
    <w:rsid w:val="0096333A"/>
    <w:rsid w:val="00963BFC"/>
    <w:rsid w:val="00975162"/>
    <w:rsid w:val="009809C2"/>
    <w:rsid w:val="009854E9"/>
    <w:rsid w:val="0099007E"/>
    <w:rsid w:val="009B1E0E"/>
    <w:rsid w:val="009B265C"/>
    <w:rsid w:val="009B41E6"/>
    <w:rsid w:val="009D248C"/>
    <w:rsid w:val="009D53C9"/>
    <w:rsid w:val="009E1321"/>
    <w:rsid w:val="009F6105"/>
    <w:rsid w:val="00A05C67"/>
    <w:rsid w:val="00A44DEA"/>
    <w:rsid w:val="00A51577"/>
    <w:rsid w:val="00A57986"/>
    <w:rsid w:val="00A608B1"/>
    <w:rsid w:val="00A61EB2"/>
    <w:rsid w:val="00A65068"/>
    <w:rsid w:val="00A76A0C"/>
    <w:rsid w:val="00A838B5"/>
    <w:rsid w:val="00A87126"/>
    <w:rsid w:val="00A901CD"/>
    <w:rsid w:val="00AA0B15"/>
    <w:rsid w:val="00AB5190"/>
    <w:rsid w:val="00AC4DCB"/>
    <w:rsid w:val="00AC777E"/>
    <w:rsid w:val="00AD4663"/>
    <w:rsid w:val="00AD739D"/>
    <w:rsid w:val="00AE24B0"/>
    <w:rsid w:val="00AF18E4"/>
    <w:rsid w:val="00AF3738"/>
    <w:rsid w:val="00B007AC"/>
    <w:rsid w:val="00B0734C"/>
    <w:rsid w:val="00B0758E"/>
    <w:rsid w:val="00B20996"/>
    <w:rsid w:val="00B20C3A"/>
    <w:rsid w:val="00B2269F"/>
    <w:rsid w:val="00B40851"/>
    <w:rsid w:val="00B5031A"/>
    <w:rsid w:val="00B53C7B"/>
    <w:rsid w:val="00B87259"/>
    <w:rsid w:val="00B8746E"/>
    <w:rsid w:val="00B97FB4"/>
    <w:rsid w:val="00BA5ED5"/>
    <w:rsid w:val="00BB0243"/>
    <w:rsid w:val="00BB2EFD"/>
    <w:rsid w:val="00BC0325"/>
    <w:rsid w:val="00BC65CC"/>
    <w:rsid w:val="00BD5C54"/>
    <w:rsid w:val="00BE7FB6"/>
    <w:rsid w:val="00BF57CF"/>
    <w:rsid w:val="00BF65F0"/>
    <w:rsid w:val="00C0538E"/>
    <w:rsid w:val="00C05B41"/>
    <w:rsid w:val="00C23995"/>
    <w:rsid w:val="00C32920"/>
    <w:rsid w:val="00C32997"/>
    <w:rsid w:val="00C40B02"/>
    <w:rsid w:val="00C54FA0"/>
    <w:rsid w:val="00C55D6F"/>
    <w:rsid w:val="00C6149F"/>
    <w:rsid w:val="00C64847"/>
    <w:rsid w:val="00C648D6"/>
    <w:rsid w:val="00C70203"/>
    <w:rsid w:val="00C7472C"/>
    <w:rsid w:val="00CA4E50"/>
    <w:rsid w:val="00CB2114"/>
    <w:rsid w:val="00CB2708"/>
    <w:rsid w:val="00CB5B18"/>
    <w:rsid w:val="00CC02D0"/>
    <w:rsid w:val="00CC1376"/>
    <w:rsid w:val="00CE1433"/>
    <w:rsid w:val="00CE7A27"/>
    <w:rsid w:val="00CF0A33"/>
    <w:rsid w:val="00CF5A26"/>
    <w:rsid w:val="00D04F04"/>
    <w:rsid w:val="00D058C7"/>
    <w:rsid w:val="00D116E3"/>
    <w:rsid w:val="00D24198"/>
    <w:rsid w:val="00D40150"/>
    <w:rsid w:val="00D469B0"/>
    <w:rsid w:val="00D51814"/>
    <w:rsid w:val="00D52E40"/>
    <w:rsid w:val="00D76394"/>
    <w:rsid w:val="00D7666A"/>
    <w:rsid w:val="00D820C8"/>
    <w:rsid w:val="00DA0FDE"/>
    <w:rsid w:val="00DB35B9"/>
    <w:rsid w:val="00DB545E"/>
    <w:rsid w:val="00DC13A1"/>
    <w:rsid w:val="00DC367A"/>
    <w:rsid w:val="00DC50F2"/>
    <w:rsid w:val="00DC5A60"/>
    <w:rsid w:val="00DC5C2A"/>
    <w:rsid w:val="00DC743D"/>
    <w:rsid w:val="00DD1F27"/>
    <w:rsid w:val="00DD3049"/>
    <w:rsid w:val="00DD4811"/>
    <w:rsid w:val="00DD5049"/>
    <w:rsid w:val="00DD533B"/>
    <w:rsid w:val="00DD5585"/>
    <w:rsid w:val="00DE01B2"/>
    <w:rsid w:val="00DE2A07"/>
    <w:rsid w:val="00E061D6"/>
    <w:rsid w:val="00E066A1"/>
    <w:rsid w:val="00E12B93"/>
    <w:rsid w:val="00E37811"/>
    <w:rsid w:val="00E42D94"/>
    <w:rsid w:val="00E552A8"/>
    <w:rsid w:val="00E816C4"/>
    <w:rsid w:val="00E87E6A"/>
    <w:rsid w:val="00EC1449"/>
    <w:rsid w:val="00EF2CBB"/>
    <w:rsid w:val="00EF77D6"/>
    <w:rsid w:val="00F16E8A"/>
    <w:rsid w:val="00F20E8B"/>
    <w:rsid w:val="00F3157B"/>
    <w:rsid w:val="00F357B7"/>
    <w:rsid w:val="00F37CFD"/>
    <w:rsid w:val="00F443EC"/>
    <w:rsid w:val="00F57A7D"/>
    <w:rsid w:val="00F616F0"/>
    <w:rsid w:val="00F66C3E"/>
    <w:rsid w:val="00F723C6"/>
    <w:rsid w:val="00F74577"/>
    <w:rsid w:val="00F76EB6"/>
    <w:rsid w:val="00F85577"/>
    <w:rsid w:val="00F90F15"/>
    <w:rsid w:val="00F9107F"/>
    <w:rsid w:val="00F94C3A"/>
    <w:rsid w:val="00F94C90"/>
    <w:rsid w:val="00FA0000"/>
    <w:rsid w:val="00FA1EBE"/>
    <w:rsid w:val="00FA3870"/>
    <w:rsid w:val="00FA42B4"/>
    <w:rsid w:val="00FA4F39"/>
    <w:rsid w:val="00FA6DF2"/>
    <w:rsid w:val="00FB4CD5"/>
    <w:rsid w:val="00FB5DDB"/>
    <w:rsid w:val="00FB6CFD"/>
    <w:rsid w:val="00FC7566"/>
    <w:rsid w:val="00FD2B4E"/>
    <w:rsid w:val="00FD3534"/>
    <w:rsid w:val="00FD3AA8"/>
    <w:rsid w:val="00FD70D5"/>
    <w:rsid w:val="00FD7690"/>
    <w:rsid w:val="00FE768A"/>
    <w:rsid w:val="00FF5C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BB292"/>
  <w15:chartTrackingRefBased/>
  <w15:docId w15:val="{6933B88F-20BA-4B18-9A58-818C073FB232}"/>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BCE"/>
    <w:rPr>
      <w:rFonts w:ascii="Palatino" w:eastAsia="Times New Roman" w:hAnsi="Palatino" w:cs="Times New Roman"/>
      <w:sz w:val="26"/>
      <w:szCs w:val="20"/>
    </w:rPr>
  </w:style>
  <w:style w:type="paragraph" w:styleId="Heading1">
    <w:name w:val="heading 1"/>
    <w:basedOn w:val="Normal"/>
    <w:next w:val="Normal"/>
    <w:link w:val="Heading1Char"/>
    <w:qFormat/>
    <w:rsid w:val="00612BCE"/>
    <w:pPr>
      <w:keepNext/>
      <w:spacing w:before="120" w:after="240"/>
      <w:outlineLvl w:val="0"/>
    </w:pPr>
    <w:rPr>
      <w:rFonts w:ascii="Helvetica" w:hAnsi="Helvetica"/>
      <w:b/>
      <w:caps/>
      <w:kern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2BCE"/>
    <w:rPr>
      <w:rFonts w:ascii="Helvetica" w:eastAsia="Times New Roman" w:hAnsi="Helvetica" w:cs="Times New Roman"/>
      <w:b/>
      <w:caps/>
      <w:kern w:val="28"/>
      <w:sz w:val="26"/>
      <w:szCs w:val="20"/>
      <w:u w:val="single"/>
    </w:rPr>
  </w:style>
  <w:style w:type="paragraph" w:customStyle="1" w:styleId="mainex">
    <w:name w:val="mainex"/>
    <w:basedOn w:val="Normal"/>
    <w:rsid w:val="00612BCE"/>
    <w:pPr>
      <w:keepNext/>
      <w:jc w:val="center"/>
    </w:pPr>
    <w:rPr>
      <w:rFonts w:ascii="Helvetica" w:hAnsi="Helvetica"/>
      <w:b/>
      <w:spacing w:val="120"/>
    </w:rPr>
  </w:style>
  <w:style w:type="paragraph" w:styleId="Header">
    <w:name w:val="header"/>
    <w:basedOn w:val="Normal"/>
    <w:link w:val="HeaderChar"/>
    <w:rsid w:val="00612BCE"/>
    <w:pPr>
      <w:widowControl w:val="0"/>
      <w:tabs>
        <w:tab w:val="center" w:pos="4320"/>
        <w:tab w:val="right" w:pos="8640"/>
      </w:tabs>
    </w:pPr>
  </w:style>
  <w:style w:type="character" w:customStyle="1" w:styleId="HeaderChar">
    <w:name w:val="Header Char"/>
    <w:basedOn w:val="DefaultParagraphFont"/>
    <w:link w:val="Header"/>
    <w:rsid w:val="00612BCE"/>
    <w:rPr>
      <w:rFonts w:ascii="Palatino" w:eastAsia="Times New Roman" w:hAnsi="Palatino" w:cs="Times New Roman"/>
      <w:sz w:val="26"/>
      <w:szCs w:val="20"/>
    </w:rPr>
  </w:style>
  <w:style w:type="paragraph" w:styleId="Footer">
    <w:name w:val="footer"/>
    <w:basedOn w:val="Normal"/>
    <w:link w:val="FooterChar"/>
    <w:uiPriority w:val="99"/>
    <w:rsid w:val="00612BCE"/>
    <w:pPr>
      <w:tabs>
        <w:tab w:val="center" w:pos="4320"/>
        <w:tab w:val="right" w:pos="8640"/>
      </w:tabs>
      <w:jc w:val="center"/>
    </w:pPr>
  </w:style>
  <w:style w:type="character" w:customStyle="1" w:styleId="FooterChar">
    <w:name w:val="Footer Char"/>
    <w:basedOn w:val="DefaultParagraphFont"/>
    <w:link w:val="Footer"/>
    <w:uiPriority w:val="99"/>
    <w:rsid w:val="00612BCE"/>
    <w:rPr>
      <w:rFonts w:ascii="Palatino" w:eastAsia="Times New Roman" w:hAnsi="Palatino" w:cs="Times New Roman"/>
      <w:sz w:val="26"/>
      <w:szCs w:val="20"/>
    </w:rPr>
  </w:style>
  <w:style w:type="paragraph" w:customStyle="1" w:styleId="titlebar">
    <w:name w:val="title bar"/>
    <w:basedOn w:val="Normal"/>
    <w:rsid w:val="00612BCE"/>
    <w:pPr>
      <w:keepNext/>
      <w:suppressAutoHyphens/>
      <w:jc w:val="center"/>
    </w:pPr>
    <w:rPr>
      <w:rFonts w:ascii="Helvetica" w:hAnsi="Helvetica"/>
      <w:b/>
    </w:rPr>
  </w:style>
  <w:style w:type="character" w:styleId="PageNumber">
    <w:name w:val="page number"/>
    <w:basedOn w:val="DefaultParagraphFont"/>
    <w:rsid w:val="00612BCE"/>
  </w:style>
  <w:style w:type="character" w:styleId="FootnoteReference">
    <w:name w:val="footnote reference"/>
    <w:aliases w:val="o,fr,Style 3,o1,o2,o3,o4,o5,o6,o11,o21,o7,Footnote Reference1"/>
    <w:rsid w:val="00612BCE"/>
    <w:rPr>
      <w:vertAlign w:val="superscript"/>
    </w:rPr>
  </w:style>
  <w:style w:type="paragraph" w:customStyle="1" w:styleId="Res-Caption">
    <w:name w:val="Res-Caption"/>
    <w:basedOn w:val="Normal"/>
    <w:rsid w:val="00612BCE"/>
    <w:pPr>
      <w:ind w:left="720" w:right="720"/>
    </w:pPr>
  </w:style>
  <w:style w:type="character" w:styleId="Hyperlink">
    <w:name w:val="Hyperlink"/>
    <w:basedOn w:val="DefaultParagraphFont"/>
    <w:uiPriority w:val="99"/>
    <w:unhideWhenUsed/>
    <w:rsid w:val="00612BCE"/>
    <w:rPr>
      <w:color w:val="0563C1" w:themeColor="hyperlink"/>
      <w:u w:val="single"/>
    </w:rPr>
  </w:style>
  <w:style w:type="paragraph" w:styleId="ListParagraph">
    <w:name w:val="List Paragraph"/>
    <w:basedOn w:val="Normal"/>
    <w:uiPriority w:val="34"/>
    <w:qFormat/>
    <w:rsid w:val="00612BCE"/>
    <w:pPr>
      <w:ind w:left="720"/>
      <w:contextualSpacing/>
    </w:pPr>
  </w:style>
  <w:style w:type="paragraph" w:styleId="NoSpacing">
    <w:name w:val="No Spacing"/>
    <w:uiPriority w:val="1"/>
    <w:qFormat/>
    <w:rsid w:val="00612BCE"/>
    <w:rPr>
      <w:rFonts w:ascii="Palatino" w:eastAsia="Times New Roman" w:hAnsi="Palatino" w:cs="Times New Roman"/>
      <w:sz w:val="26"/>
      <w:szCs w:val="20"/>
    </w:rPr>
  </w:style>
  <w:style w:type="paragraph" w:styleId="BodyText">
    <w:name w:val="Body Text"/>
    <w:basedOn w:val="Normal"/>
    <w:link w:val="BodyTextChar"/>
    <w:rsid w:val="00612BCE"/>
    <w:rPr>
      <w:b/>
    </w:rPr>
  </w:style>
  <w:style w:type="character" w:customStyle="1" w:styleId="BodyTextChar">
    <w:name w:val="Body Text Char"/>
    <w:basedOn w:val="DefaultParagraphFont"/>
    <w:link w:val="BodyText"/>
    <w:rsid w:val="00612BCE"/>
    <w:rPr>
      <w:rFonts w:ascii="Palatino" w:eastAsia="Times New Roman" w:hAnsi="Palatino" w:cs="Times New Roman"/>
      <w:b/>
      <w:sz w:val="26"/>
      <w:szCs w:val="20"/>
    </w:rPr>
  </w:style>
  <w:style w:type="table" w:styleId="TableGrid">
    <w:name w:val="Table Grid"/>
    <w:basedOn w:val="TableNormal"/>
    <w:uiPriority w:val="59"/>
    <w:rsid w:val="00612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1,Footnote Text Char Char,Footnote Text Char1 Char,Footnote Text Char Char Char,Char Char,Footnote Text Char2 Char,Footnote Text Char2 Char Char Char Char,Footnote Text Char1 Char1 Char1 Char Char Char"/>
    <w:basedOn w:val="Normal"/>
    <w:link w:val="FootnoteTextChar"/>
    <w:uiPriority w:val="99"/>
    <w:unhideWhenUsed/>
    <w:rsid w:val="00612BCE"/>
    <w:pPr>
      <w:keepLines/>
    </w:pPr>
    <w:rPr>
      <w:sz w:val="20"/>
    </w:rPr>
  </w:style>
  <w:style w:type="character" w:customStyle="1" w:styleId="FootnoteTextChar">
    <w:name w:val="Footnote Text Char"/>
    <w:aliases w:val="Footnote Text Char1 Char1,Footnote Text Char Char Char1,Footnote Text Char1 Char Char,Footnote Text Char Char Char Char,Char Char Char,Footnote Text Char2 Char Char,Footnote Text Char2 Char Char Char Char Char"/>
    <w:basedOn w:val="DefaultParagraphFont"/>
    <w:link w:val="FootnoteText"/>
    <w:uiPriority w:val="99"/>
    <w:rsid w:val="00612BCE"/>
    <w:rPr>
      <w:rFonts w:ascii="Palatino" w:eastAsia="Times New Roman" w:hAnsi="Palatino" w:cs="Times New Roman"/>
      <w:sz w:val="20"/>
      <w:szCs w:val="20"/>
    </w:rPr>
  </w:style>
  <w:style w:type="paragraph" w:styleId="BalloonText">
    <w:name w:val="Balloon Text"/>
    <w:basedOn w:val="Normal"/>
    <w:link w:val="BalloonTextChar"/>
    <w:uiPriority w:val="99"/>
    <w:semiHidden/>
    <w:unhideWhenUsed/>
    <w:rsid w:val="00612B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BCE"/>
    <w:rPr>
      <w:rFonts w:ascii="Segoe UI" w:eastAsia="Times New Roman" w:hAnsi="Segoe UI" w:cs="Segoe UI"/>
      <w:sz w:val="18"/>
      <w:szCs w:val="18"/>
    </w:rPr>
  </w:style>
  <w:style w:type="paragraph" w:styleId="Caption">
    <w:name w:val="caption"/>
    <w:basedOn w:val="Normal"/>
    <w:next w:val="Normal"/>
    <w:qFormat/>
    <w:rsid w:val="009E1321"/>
    <w:rPr>
      <w:b/>
      <w:bCs/>
      <w:sz w:val="20"/>
    </w:rPr>
  </w:style>
  <w:style w:type="paragraph" w:styleId="Revision">
    <w:name w:val="Revision"/>
    <w:hidden/>
    <w:uiPriority w:val="99"/>
    <w:semiHidden/>
    <w:rsid w:val="00D04F04"/>
    <w:rPr>
      <w:rFonts w:ascii="Palatino" w:eastAsia="Times New Roman" w:hAnsi="Palatino" w:cs="Times New Roman"/>
      <w:sz w:val="26"/>
      <w:szCs w:val="20"/>
    </w:rPr>
  </w:style>
  <w:style w:type="paragraph" w:customStyle="1" w:styleId="Default">
    <w:name w:val="Default"/>
    <w:rsid w:val="00B40851"/>
    <w:pPr>
      <w:autoSpaceDE w:val="0"/>
      <w:autoSpaceDN w:val="0"/>
      <w:adjustRightInd w:val="0"/>
    </w:pPr>
    <w:rPr>
      <w:rFonts w:ascii="Book Antiqua" w:eastAsia="Times New Roman" w:hAnsi="Book Antiqua" w:cs="Book Antiqua"/>
      <w:color w:val="000000"/>
      <w:sz w:val="24"/>
      <w:szCs w:val="24"/>
    </w:rPr>
  </w:style>
  <w:style w:type="character" w:styleId="CommentReference">
    <w:name w:val="annotation reference"/>
    <w:basedOn w:val="DefaultParagraphFont"/>
    <w:semiHidden/>
    <w:unhideWhenUsed/>
    <w:rsid w:val="006E20EF"/>
    <w:rPr>
      <w:sz w:val="16"/>
      <w:szCs w:val="16"/>
    </w:rPr>
  </w:style>
  <w:style w:type="paragraph" w:styleId="CommentText">
    <w:name w:val="annotation text"/>
    <w:basedOn w:val="Normal"/>
    <w:link w:val="CommentTextChar"/>
    <w:unhideWhenUsed/>
    <w:rsid w:val="006E20EF"/>
    <w:rPr>
      <w:sz w:val="20"/>
    </w:rPr>
  </w:style>
  <w:style w:type="character" w:customStyle="1" w:styleId="CommentTextChar">
    <w:name w:val="Comment Text Char"/>
    <w:basedOn w:val="DefaultParagraphFont"/>
    <w:link w:val="CommentText"/>
    <w:rsid w:val="006E20EF"/>
    <w:rPr>
      <w:rFonts w:ascii="Palatino" w:eastAsia="Times New Roman" w:hAnsi="Palatino" w:cs="Times New Roman"/>
      <w:sz w:val="20"/>
      <w:szCs w:val="20"/>
    </w:rPr>
  </w:style>
  <w:style w:type="paragraph" w:styleId="CommentSubject">
    <w:name w:val="annotation subject"/>
    <w:basedOn w:val="CommentText"/>
    <w:next w:val="CommentText"/>
    <w:link w:val="CommentSubjectChar"/>
    <w:uiPriority w:val="99"/>
    <w:semiHidden/>
    <w:unhideWhenUsed/>
    <w:rsid w:val="00E816C4"/>
    <w:rPr>
      <w:b/>
      <w:bCs/>
    </w:rPr>
  </w:style>
  <w:style w:type="character" w:customStyle="1" w:styleId="CommentSubjectChar">
    <w:name w:val="Comment Subject Char"/>
    <w:basedOn w:val="CommentTextChar"/>
    <w:link w:val="CommentSubject"/>
    <w:uiPriority w:val="99"/>
    <w:semiHidden/>
    <w:rsid w:val="00E816C4"/>
    <w:rPr>
      <w:rFonts w:ascii="Palatino" w:eastAsia="Times New Roman" w:hAnsi="Palatino"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9429">
      <w:bodyDiv w:val="1"/>
      <w:marLeft w:val="0"/>
      <w:marRight w:val="0"/>
      <w:marTop w:val="0"/>
      <w:marBottom w:val="0"/>
      <w:divBdr>
        <w:top w:val="none" w:sz="0" w:space="0" w:color="auto"/>
        <w:left w:val="none" w:sz="0" w:space="0" w:color="auto"/>
        <w:bottom w:val="none" w:sz="0" w:space="0" w:color="auto"/>
        <w:right w:val="none" w:sz="0" w:space="0" w:color="auto"/>
      </w:divBdr>
    </w:div>
    <w:div w:id="115837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4.png"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png" Id="rId11" /><Relationship Type="http://schemas.openxmlformats.org/officeDocument/2006/relationships/webSettings" Target="webSettings.xml" Id="rId5" /><Relationship Type="http://schemas.openxmlformats.org/officeDocument/2006/relationships/header" Target="header2.xml" Id="rId15" /><Relationship Type="http://schemas.openxmlformats.org/officeDocument/2006/relationships/image" Target="media/image2.png" Id="rId10" /><Relationship Type="http://schemas.openxmlformats.org/officeDocument/2006/relationships/settings" Target="settings.xml" Id="rId4"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94F0E-3AFC-41EC-8A53-46BF677BCFF9}">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16</ap:Pages>
  <ap:Words>3277</ap:Words>
  <ap:Characters>18681</ap:Characters>
  <ap:Application>Microsoft Office Word</ap:Application>
  <ap:DocSecurity>0</ap:DocSecurity>
  <ap:Lines>155</ap:Lines>
  <ap:Paragraphs>43</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21915</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2023-09-28T11:56:03Z</dcterms:created>
  <dcterms:modified xsi:type="dcterms:W3CDTF">2023-09-28T11:56:03Z</dcterms:modified>
</cp:coreProperties>
</file>