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56AC" w:rsidR="00BC5FC3" w:rsidP="001827AA" w:rsidRDefault="008356AC" w14:paraId="3BA31982" w14:textId="65092350">
      <w:pPr>
        <w:tabs>
          <w:tab w:val="right" w:pos="9360"/>
        </w:tabs>
        <w:spacing w:line="240" w:lineRule="auto"/>
        <w:ind w:firstLine="0"/>
        <w:rPr>
          <w:bCs/>
        </w:rPr>
      </w:pPr>
      <w:r w:rsidRPr="008356AC">
        <w:rPr>
          <w:bCs/>
        </w:rPr>
        <w:t>ALJ/DBB/nd3</w:t>
      </w:r>
      <w:r w:rsidR="001827AA">
        <w:rPr>
          <w:bCs/>
        </w:rPr>
        <w:tab/>
      </w:r>
      <w:r w:rsidRPr="001827AA" w:rsidR="001827AA">
        <w:rPr>
          <w:b/>
        </w:rPr>
        <w:t>Date of Issuance 10/</w:t>
      </w:r>
      <w:r w:rsidR="007A5B9A">
        <w:rPr>
          <w:b/>
        </w:rPr>
        <w:t>19</w:t>
      </w:r>
      <w:r w:rsidRPr="001827AA" w:rsidR="001827AA">
        <w:rPr>
          <w:b/>
        </w:rPr>
        <w:t>/2023</w:t>
      </w:r>
    </w:p>
    <w:p w:rsidR="00580084" w:rsidP="008356AC" w:rsidRDefault="00580084" w14:paraId="63E2A782" w14:textId="77777777">
      <w:pPr>
        <w:spacing w:line="240" w:lineRule="auto"/>
        <w:ind w:firstLine="0"/>
      </w:pPr>
    </w:p>
    <w:p w:rsidR="00D73DE9" w:rsidP="008356AC" w:rsidRDefault="00D73DE9" w14:paraId="1AE4941C" w14:textId="77777777">
      <w:pPr>
        <w:spacing w:line="240" w:lineRule="auto"/>
        <w:ind w:firstLine="0"/>
      </w:pPr>
    </w:p>
    <w:p w:rsidR="00580084" w:rsidP="00471F88" w:rsidRDefault="00580084" w14:paraId="09411CC4" w14:textId="77777777">
      <w:pPr>
        <w:spacing w:line="240" w:lineRule="auto"/>
        <w:ind w:firstLine="0"/>
        <w:jc w:val="center"/>
        <w:rPr>
          <w:rFonts w:ascii="Arial" w:hAnsi="Arial" w:cs="Arial"/>
          <w:sz w:val="24"/>
          <w:szCs w:val="24"/>
        </w:rPr>
      </w:pPr>
      <w:r>
        <w:rPr>
          <w:rFonts w:ascii="Arial" w:hAnsi="Arial" w:cs="Arial"/>
          <w:b/>
          <w:sz w:val="24"/>
          <w:szCs w:val="24"/>
        </w:rPr>
        <w:t>BEFORE THE PUBLIC UTILITIES COMMISSION OF THE STATE OF CALIFORNIA</w:t>
      </w:r>
    </w:p>
    <w:p w:rsidR="00580084" w:rsidP="00471F88" w:rsidRDefault="00580084" w14:paraId="21F94C51" w14:textId="77777777">
      <w:pPr>
        <w:spacing w:line="240" w:lineRule="auto"/>
        <w:ind w:firstLine="0"/>
        <w:rPr>
          <w:rFonts w:ascii="Arial" w:hAnsi="Arial" w:cs="Arial"/>
          <w:sz w:val="24"/>
          <w:szCs w:val="24"/>
        </w:rPr>
      </w:pPr>
    </w:p>
    <w:tbl>
      <w:tblPr>
        <w:tblStyle w:val="TableGrid"/>
        <w:tblW w:w="9360" w:type="dxa"/>
        <w:tblInd w:w="0" w:type="dxa"/>
        <w:tblLayout w:type="fixed"/>
        <w:tblLook w:val="04A0" w:firstRow="1" w:lastRow="0" w:firstColumn="1" w:lastColumn="0" w:noHBand="0" w:noVBand="1"/>
      </w:tblPr>
      <w:tblGrid>
        <w:gridCol w:w="4680"/>
        <w:gridCol w:w="4680"/>
      </w:tblGrid>
      <w:tr w:rsidR="00580084" w:rsidTr="00AF4212" w14:paraId="0F9DA1F8" w14:textId="77777777">
        <w:tc>
          <w:tcPr>
            <w:tcW w:w="5040" w:type="dxa"/>
            <w:tcBorders>
              <w:top w:val="nil"/>
              <w:left w:val="nil"/>
              <w:bottom w:val="single" w:color="auto" w:sz="4" w:space="0"/>
              <w:right w:val="single" w:color="auto" w:sz="4" w:space="0"/>
            </w:tcBorders>
          </w:tcPr>
          <w:p w:rsidR="00580084" w:rsidP="00471F88" w:rsidRDefault="00580084" w14:paraId="73F19358" w14:textId="77777777">
            <w:pPr>
              <w:spacing w:line="240" w:lineRule="auto"/>
              <w:ind w:firstLine="0"/>
              <w:rPr>
                <w:rFonts w:cs="Arial"/>
                <w:szCs w:val="26"/>
              </w:rPr>
            </w:pPr>
            <w:r>
              <w:rPr>
                <w:rFonts w:cs="Arial"/>
                <w:szCs w:val="26"/>
              </w:rPr>
              <w:t>Order Instituting Rulemaking to Oversee the Resource Adequacy Program, Consider Program Reforms and Refinements, and Establish Forward Resource Adequacy Procurement Obligations.</w:t>
            </w:r>
          </w:p>
          <w:p w:rsidR="00580084" w:rsidP="00471F88" w:rsidRDefault="00580084" w14:paraId="15AE8198" w14:textId="77777777">
            <w:pPr>
              <w:spacing w:line="240" w:lineRule="auto"/>
              <w:ind w:firstLine="0"/>
              <w:rPr>
                <w:rFonts w:cs="Arial"/>
                <w:szCs w:val="26"/>
              </w:rPr>
            </w:pPr>
          </w:p>
        </w:tc>
        <w:tc>
          <w:tcPr>
            <w:tcW w:w="5040" w:type="dxa"/>
            <w:tcBorders>
              <w:top w:val="nil"/>
              <w:left w:val="single" w:color="auto" w:sz="4" w:space="0"/>
              <w:bottom w:val="nil"/>
              <w:right w:val="nil"/>
            </w:tcBorders>
            <w:vAlign w:val="center"/>
            <w:hideMark/>
          </w:tcPr>
          <w:p w:rsidRPr="004D06B6" w:rsidR="004D06B6" w:rsidP="004D06B6" w:rsidRDefault="004D06B6" w14:paraId="7E4338D5" w14:textId="77777777">
            <w:pPr>
              <w:spacing w:line="240" w:lineRule="auto"/>
              <w:ind w:firstLine="0"/>
              <w:jc w:val="center"/>
              <w:rPr>
                <w:rFonts w:cs="Arial"/>
                <w:szCs w:val="26"/>
              </w:rPr>
            </w:pPr>
            <w:r w:rsidRPr="004D06B6">
              <w:rPr>
                <w:rFonts w:cs="Arial"/>
                <w:szCs w:val="26"/>
              </w:rPr>
              <w:t>FILED</w:t>
            </w:r>
          </w:p>
          <w:p w:rsidRPr="004D06B6" w:rsidR="004D06B6" w:rsidP="004D06B6" w:rsidRDefault="004D06B6" w14:paraId="73E83ABD" w14:textId="77777777">
            <w:pPr>
              <w:spacing w:line="240" w:lineRule="auto"/>
              <w:ind w:firstLine="0"/>
              <w:jc w:val="center"/>
              <w:rPr>
                <w:rFonts w:cs="Arial"/>
                <w:szCs w:val="26"/>
              </w:rPr>
            </w:pPr>
            <w:r w:rsidRPr="004D06B6">
              <w:rPr>
                <w:rFonts w:cs="Arial"/>
                <w:szCs w:val="26"/>
              </w:rPr>
              <w:t>PUBLIC UTILITIES COMMISSION</w:t>
            </w:r>
          </w:p>
          <w:p w:rsidRPr="004D06B6" w:rsidR="004D06B6" w:rsidP="004D06B6" w:rsidRDefault="004D06B6" w14:paraId="2F224C23" w14:textId="11717C28">
            <w:pPr>
              <w:spacing w:line="240" w:lineRule="auto"/>
              <w:ind w:firstLine="0"/>
              <w:jc w:val="center"/>
              <w:rPr>
                <w:rFonts w:cs="Arial"/>
                <w:szCs w:val="26"/>
              </w:rPr>
            </w:pPr>
            <w:r w:rsidRPr="004D06B6">
              <w:rPr>
                <w:rFonts w:cs="Arial"/>
                <w:szCs w:val="26"/>
              </w:rPr>
              <w:t>OCTOBER 12, 2023</w:t>
            </w:r>
          </w:p>
          <w:p w:rsidRPr="004D06B6" w:rsidR="004D06B6" w:rsidP="004D06B6" w:rsidRDefault="004D06B6" w14:paraId="51CFAEB5" w14:textId="0108D022">
            <w:pPr>
              <w:spacing w:line="240" w:lineRule="auto"/>
              <w:ind w:firstLine="0"/>
              <w:jc w:val="center"/>
              <w:rPr>
                <w:rFonts w:cs="Arial"/>
                <w:szCs w:val="26"/>
              </w:rPr>
            </w:pPr>
            <w:r w:rsidRPr="004D06B6">
              <w:rPr>
                <w:rFonts w:cs="Arial"/>
                <w:szCs w:val="26"/>
              </w:rPr>
              <w:t>STOCKTON, CALIFORNIA</w:t>
            </w:r>
          </w:p>
          <w:p w:rsidR="00580084" w:rsidP="004D06B6" w:rsidRDefault="004D06B6" w14:paraId="267FCB0E" w14:textId="456F9036">
            <w:pPr>
              <w:spacing w:line="240" w:lineRule="auto"/>
              <w:ind w:firstLine="0"/>
              <w:jc w:val="center"/>
              <w:rPr>
                <w:rFonts w:cs="Arial"/>
                <w:szCs w:val="26"/>
              </w:rPr>
            </w:pPr>
            <w:r w:rsidRPr="004D06B6">
              <w:rPr>
                <w:rFonts w:cs="Arial"/>
                <w:szCs w:val="26"/>
              </w:rPr>
              <w:t>RULEMAKING 23-10-011</w:t>
            </w:r>
          </w:p>
        </w:tc>
      </w:tr>
    </w:tbl>
    <w:p w:rsidR="00580084" w:rsidP="00471F88" w:rsidRDefault="00580084" w14:paraId="2D5B5E51" w14:textId="77777777">
      <w:pPr>
        <w:spacing w:line="240" w:lineRule="auto"/>
        <w:ind w:firstLine="0"/>
        <w:rPr>
          <w:rFonts w:ascii="Arial" w:hAnsi="Arial" w:cs="Arial"/>
          <w:sz w:val="24"/>
          <w:szCs w:val="24"/>
        </w:rPr>
      </w:pPr>
    </w:p>
    <w:p w:rsidR="00580084" w:rsidP="00471F88" w:rsidRDefault="00580084" w14:paraId="253E1E3F" w14:textId="77777777">
      <w:pPr>
        <w:spacing w:line="240" w:lineRule="auto"/>
        <w:ind w:firstLine="0"/>
        <w:rPr>
          <w:rFonts w:ascii="Arial" w:hAnsi="Arial" w:cs="Arial"/>
          <w:sz w:val="24"/>
          <w:szCs w:val="24"/>
        </w:rPr>
      </w:pPr>
    </w:p>
    <w:p w:rsidR="00580084" w:rsidP="00B02F0F" w:rsidRDefault="00580084" w14:paraId="5B1B220A" w14:textId="1F6DA2B8">
      <w:pPr>
        <w:pStyle w:val="Dummy"/>
        <w:spacing w:after="0"/>
        <w:jc w:val="center"/>
      </w:pPr>
      <w:r>
        <w:t>ORDER INSTITUTING RULEMAKING</w:t>
      </w:r>
    </w:p>
    <w:p w:rsidRPr="00B02F0F" w:rsidR="00B02F0F" w:rsidP="00B02F0F" w:rsidRDefault="00B02F0F" w14:paraId="6E4B6147" w14:textId="77777777">
      <w:pPr>
        <w:spacing w:line="240" w:lineRule="auto"/>
        <w:ind w:firstLine="0"/>
      </w:pPr>
    </w:p>
    <w:p w:rsidR="00580084" w:rsidP="00B02F0F" w:rsidRDefault="00580084" w14:paraId="3AF5BA97" w14:textId="77777777">
      <w:pPr>
        <w:pStyle w:val="Dummy"/>
      </w:pPr>
      <w:bookmarkStart w:name="_Toc8123714" w:id="0"/>
      <w:bookmarkStart w:name="_Toc12866683" w:id="1"/>
      <w:r>
        <w:t>Summary</w:t>
      </w:r>
      <w:bookmarkEnd w:id="0"/>
      <w:bookmarkEnd w:id="1"/>
    </w:p>
    <w:p w:rsidR="00580084" w:rsidP="00471F88" w:rsidRDefault="00580084" w14:paraId="00040E59" w14:textId="03701CC8">
      <w:pPr>
        <w:pStyle w:val="Standard"/>
      </w:pPr>
      <w:r>
        <w:t xml:space="preserve">This rulemaking continues the </w:t>
      </w:r>
      <w:r w:rsidR="00B02F0F">
        <w:t xml:space="preserve">California Public Utilities </w:t>
      </w:r>
      <w:r>
        <w:t xml:space="preserve">Commission’s oversight of the </w:t>
      </w:r>
      <w:r w:rsidRPr="00E80B04">
        <w:t>Resource Adequacy</w:t>
      </w:r>
      <w:r>
        <w:t xml:space="preserve"> </w:t>
      </w:r>
      <w:r w:rsidR="009536B5">
        <w:t>(</w:t>
      </w:r>
      <w:r w:rsidRPr="00E80B04" w:rsidR="009536B5">
        <w:t>RA</w:t>
      </w:r>
      <w:r w:rsidR="009536B5">
        <w:t xml:space="preserve">) </w:t>
      </w:r>
      <w:r>
        <w:t xml:space="preserve">program, establishes forward </w:t>
      </w:r>
      <w:r w:rsidR="009536B5">
        <w:t xml:space="preserve">RA </w:t>
      </w:r>
      <w:r>
        <w:t>procurement obligations applicable to load</w:t>
      </w:r>
      <w:r w:rsidR="005934C9">
        <w:noBreakHyphen/>
      </w:r>
      <w:r>
        <w:t>serving entities beginning with the 2025 compliance year, and considers structural reforms to the program.  This proceeding is the successor to Rulemaking</w:t>
      </w:r>
      <w:r w:rsidR="00E26FCA">
        <w:t> </w:t>
      </w:r>
      <w:r>
        <w:t>21</w:t>
      </w:r>
      <w:r w:rsidR="005934C9">
        <w:noBreakHyphen/>
      </w:r>
      <w:r>
        <w:t>10</w:t>
      </w:r>
      <w:r w:rsidR="005934C9">
        <w:noBreakHyphen/>
      </w:r>
      <w:r>
        <w:t>002, which addressed these topics over the past two years.</w:t>
      </w:r>
    </w:p>
    <w:p w:rsidR="00865BB2" w:rsidP="00471F88" w:rsidRDefault="00580084" w14:paraId="1D768492" w14:textId="77777777">
      <w:pPr>
        <w:pStyle w:val="Standard"/>
      </w:pPr>
      <w:r>
        <w:t>Comments on preliminary matters pertaining to the scope, schedule, and administration of the proceeding are due no later than 20 days after the issuance of this Order Instituting Rulemaking.  Reply comments may be filed no later than 30 days after the issuance of this Order.</w:t>
      </w:r>
    </w:p>
    <w:p w:rsidR="00580084" w:rsidP="00B02F0F" w:rsidRDefault="00580084" w14:paraId="17717D67" w14:textId="0CD689F0">
      <w:pPr>
        <w:pStyle w:val="Heading1"/>
      </w:pPr>
      <w:r>
        <w:t>Background</w:t>
      </w:r>
    </w:p>
    <w:p w:rsidR="00580084" w:rsidP="00471F88" w:rsidRDefault="00580084" w14:paraId="77E49435" w14:textId="20FF2C23">
      <w:pPr>
        <w:pStyle w:val="Standard"/>
      </w:pPr>
      <w:r>
        <w:t xml:space="preserve">The </w:t>
      </w:r>
      <w:r w:rsidRPr="00E80B04" w:rsidR="00B02F0F">
        <w:t xml:space="preserve">California Public Utilities Commission </w:t>
      </w:r>
      <w:r w:rsidR="00B02F0F">
        <w:t>(</w:t>
      </w:r>
      <w:r w:rsidRPr="00E80B04">
        <w:t>Commission</w:t>
      </w:r>
      <w:r w:rsidR="00B02F0F">
        <w:t>)</w:t>
      </w:r>
      <w:r>
        <w:t xml:space="preserve"> first undertook the </w:t>
      </w:r>
      <w:r w:rsidRPr="00E80B04">
        <w:t xml:space="preserve">Resource Adequacy </w:t>
      </w:r>
      <w:r>
        <w:t>(</w:t>
      </w:r>
      <w:r w:rsidRPr="00E80B04">
        <w:t>RA</w:t>
      </w:r>
      <w:r>
        <w:t xml:space="preserve">) program in </w:t>
      </w:r>
      <w:r w:rsidRPr="00E80B04">
        <w:t>Rulemaking</w:t>
      </w:r>
      <w:r>
        <w:t xml:space="preserve"> (</w:t>
      </w:r>
      <w:r w:rsidRPr="00E80B04">
        <w:t>R.</w:t>
      </w:r>
      <w:r>
        <w:t>)</w:t>
      </w:r>
      <w:r w:rsidR="00AA05D6">
        <w:t> </w:t>
      </w:r>
      <w:r>
        <w:t>05</w:t>
      </w:r>
      <w:r w:rsidR="005934C9">
        <w:noBreakHyphen/>
      </w:r>
      <w:r>
        <w:t>12</w:t>
      </w:r>
      <w:r w:rsidR="005934C9">
        <w:noBreakHyphen/>
      </w:r>
      <w:r>
        <w:t xml:space="preserve">013 where we implemented “system” RA requirements for the 2006 compliance year and “local” RA procurement obligations for the 2007 compliance year.  In that </w:t>
      </w:r>
      <w:r>
        <w:lastRenderedPageBreak/>
        <w:t xml:space="preserve">proceeding, we recognized the near and intermediate term need for annual proceedings to approve </w:t>
      </w:r>
      <w:r w:rsidRPr="00E80B04" w:rsidR="000D308D">
        <w:t xml:space="preserve">Local Capacity Requirements </w:t>
      </w:r>
      <w:r w:rsidR="000D308D">
        <w:t>(</w:t>
      </w:r>
      <w:r w:rsidRPr="00E80B04" w:rsidR="000D308D">
        <w:t>LCR</w:t>
      </w:r>
      <w:r w:rsidR="000D308D">
        <w:t>)</w:t>
      </w:r>
      <w:r>
        <w:t xml:space="preserve"> and to consider modifications and improvements to the RA</w:t>
      </w:r>
      <w:r w:rsidR="00E26FCA">
        <w:t xml:space="preserve"> </w:t>
      </w:r>
      <w:r>
        <w:t>program:</w:t>
      </w:r>
    </w:p>
    <w:p w:rsidR="00865BB2" w:rsidP="00471F88" w:rsidRDefault="00580084" w14:paraId="0CAFAAF7" w14:textId="41D2C1AC">
      <w:pPr>
        <w:pStyle w:val="BlockQuote"/>
      </w:pPr>
      <w:r>
        <w:t xml:space="preserve">While the nature of the future RA program and the associated procedural requirements cannot be fixed at this time, it is clear that there is an ongoing need for a procedural vehicle to address both modifications and improvements to the RA program as well as routine administrative (but not ministerial) matters that are not delegable to staff.  Among other things, the Local RA program component requires annual approval of </w:t>
      </w:r>
      <w:r w:rsidR="00794613">
        <w:t>LCRs</w:t>
      </w:r>
      <w:r>
        <w:t xml:space="preserve"> based on the [California Independent System Operator’s</w:t>
      </w:r>
      <w:r w:rsidR="00794613">
        <w:t xml:space="preserve"> (CAISO’s)</w:t>
      </w:r>
      <w:r>
        <w:t>] LCR studies.  For the near and intermediate term, we see a need for annual proceedings for these purposes.</w:t>
      </w:r>
      <w:r>
        <w:rPr>
          <w:vertAlign w:val="superscript"/>
        </w:rPr>
        <w:footnoteReference w:id="2"/>
      </w:r>
    </w:p>
    <w:p w:rsidR="00865BB2" w:rsidP="00471F88" w:rsidRDefault="00580084" w14:paraId="38D622D9" w14:textId="240823DE">
      <w:pPr>
        <w:pStyle w:val="Standard"/>
      </w:pPr>
      <w:r w:rsidRPr="00E80B04">
        <w:t>Decision</w:t>
      </w:r>
      <w:r>
        <w:t xml:space="preserve"> (</w:t>
      </w:r>
      <w:r w:rsidRPr="00E80B04">
        <w:t>D.</w:t>
      </w:r>
      <w:r>
        <w:t>)</w:t>
      </w:r>
      <w:r w:rsidR="00426284">
        <w:t> </w:t>
      </w:r>
      <w:r>
        <w:t>13</w:t>
      </w:r>
      <w:r w:rsidR="005934C9">
        <w:noBreakHyphen/>
      </w:r>
      <w:r>
        <w:t>06</w:t>
      </w:r>
      <w:r w:rsidR="005934C9">
        <w:noBreakHyphen/>
      </w:r>
      <w:r>
        <w:t>024 and D.14</w:t>
      </w:r>
      <w:r w:rsidR="005934C9">
        <w:noBreakHyphen/>
      </w:r>
      <w:r>
        <w:t>06</w:t>
      </w:r>
      <w:r w:rsidR="005934C9">
        <w:noBreakHyphen/>
      </w:r>
      <w:r>
        <w:t xml:space="preserve">050 adopted interim </w:t>
      </w:r>
      <w:r w:rsidRPr="00E80B04" w:rsidR="00F30F3D">
        <w:t>Flexible Capacity Requirement</w:t>
      </w:r>
      <w:r w:rsidR="005F7CC4">
        <w:t>s</w:t>
      </w:r>
      <w:r w:rsidRPr="00E80B04" w:rsidR="00F30F3D">
        <w:t xml:space="preserve"> </w:t>
      </w:r>
      <w:r w:rsidR="00F30F3D">
        <w:t>(</w:t>
      </w:r>
      <w:r w:rsidRPr="00E80B04" w:rsidR="00F30F3D">
        <w:t>FCR</w:t>
      </w:r>
      <w:r w:rsidR="00F30F3D">
        <w:t>)</w:t>
      </w:r>
      <w:r>
        <w:t xml:space="preserve"> as an additional component of </w:t>
      </w:r>
      <w:r w:rsidR="005F7CC4">
        <w:t xml:space="preserve">the </w:t>
      </w:r>
      <w:r>
        <w:t>RA requirements.</w:t>
      </w:r>
    </w:p>
    <w:p w:rsidR="00580084" w:rsidP="005F7CC4" w:rsidRDefault="00580084" w14:paraId="54F6F6D3" w14:textId="251C9A45">
      <w:pPr>
        <w:pStyle w:val="Standard"/>
      </w:pPr>
      <w:r>
        <w:t>R.11</w:t>
      </w:r>
      <w:r w:rsidR="005934C9">
        <w:noBreakHyphen/>
      </w:r>
      <w:r>
        <w:t>10</w:t>
      </w:r>
      <w:r w:rsidR="005934C9">
        <w:noBreakHyphen/>
      </w:r>
      <w:r>
        <w:t>023 served as the forum for RA decisions for the 2013, 2014 and 2015</w:t>
      </w:r>
      <w:r w:rsidR="00E26FCA">
        <w:t xml:space="preserve"> </w:t>
      </w:r>
      <w:r>
        <w:t>RA</w:t>
      </w:r>
      <w:r w:rsidR="00E26FCA">
        <w:t xml:space="preserve"> </w:t>
      </w:r>
      <w:r>
        <w:t>compliance years.  R.14</w:t>
      </w:r>
      <w:r w:rsidR="005934C9">
        <w:noBreakHyphen/>
      </w:r>
      <w:r>
        <w:t>10</w:t>
      </w:r>
      <w:r w:rsidR="005934C9">
        <w:noBreakHyphen/>
      </w:r>
      <w:r>
        <w:t>010 served as the forum for RA decisions for the 2016,</w:t>
      </w:r>
      <w:r w:rsidR="00E26FCA">
        <w:t xml:space="preserve"> </w:t>
      </w:r>
      <w:r>
        <w:t>2017 and 2018 RA compliance years.</w:t>
      </w:r>
      <w:r w:rsidR="005F7CC4">
        <w:t xml:space="preserve">  </w:t>
      </w:r>
      <w:r>
        <w:t>R.17</w:t>
      </w:r>
      <w:r w:rsidR="005934C9">
        <w:noBreakHyphen/>
      </w:r>
      <w:r>
        <w:t>09</w:t>
      </w:r>
      <w:r w:rsidR="005934C9">
        <w:noBreakHyphen/>
      </w:r>
      <w:r>
        <w:t>020 served as the forum for RA decisions for the 2019 and 2020 RA compliance years.  R.19</w:t>
      </w:r>
      <w:r w:rsidR="005934C9">
        <w:noBreakHyphen/>
      </w:r>
      <w:r>
        <w:t>11</w:t>
      </w:r>
      <w:r w:rsidR="005934C9">
        <w:noBreakHyphen/>
      </w:r>
      <w:r>
        <w:t>009 served as the forum for RA decisions for the 2021 and 2022 RA compliance years, and for local RA procurement obligations for the 2021</w:t>
      </w:r>
      <w:r w:rsidR="005934C9">
        <w:noBreakHyphen/>
      </w:r>
      <w:r>
        <w:t>202</w:t>
      </w:r>
      <w:r w:rsidR="004715DC">
        <w:t>4</w:t>
      </w:r>
      <w:r>
        <w:t xml:space="preserve"> compliance years.  R.21</w:t>
      </w:r>
      <w:r w:rsidR="005934C9">
        <w:noBreakHyphen/>
      </w:r>
      <w:r>
        <w:t>10</w:t>
      </w:r>
      <w:r w:rsidR="005934C9">
        <w:noBreakHyphen/>
      </w:r>
      <w:r>
        <w:t>002 served as the forum for RA decisions for the 2023 and 2024 RA compliance years, for local RA procurement obligations for the 2023</w:t>
      </w:r>
      <w:r w:rsidR="005934C9">
        <w:noBreakHyphen/>
      </w:r>
      <w:r>
        <w:t>202</w:t>
      </w:r>
      <w:r w:rsidR="004715DC">
        <w:t>6</w:t>
      </w:r>
      <w:r>
        <w:t xml:space="preserve"> compliance years, and for development of the </w:t>
      </w:r>
      <w:r w:rsidR="00D61FCF">
        <w:t>24</w:t>
      </w:r>
      <w:r w:rsidR="005934C9">
        <w:noBreakHyphen/>
      </w:r>
      <w:r w:rsidR="00D61FCF">
        <w:t xml:space="preserve">hour </w:t>
      </w:r>
      <w:r w:rsidRPr="00E80B04" w:rsidR="00CC666A">
        <w:t>Slice</w:t>
      </w:r>
      <w:r w:rsidRPr="00E80B04" w:rsidR="00CC666A">
        <w:noBreakHyphen/>
        <w:t>of</w:t>
      </w:r>
      <w:r w:rsidRPr="00E80B04" w:rsidR="00CC666A">
        <w:noBreakHyphen/>
        <w:t xml:space="preserve">Day </w:t>
      </w:r>
      <w:r w:rsidR="00CC666A">
        <w:t>(</w:t>
      </w:r>
      <w:r w:rsidRPr="00E80B04" w:rsidR="00CC666A">
        <w:t>SOD</w:t>
      </w:r>
      <w:r w:rsidR="00CC666A">
        <w:t xml:space="preserve">) </w:t>
      </w:r>
      <w:r w:rsidR="00D61FCF">
        <w:t>RA reform framework.</w:t>
      </w:r>
    </w:p>
    <w:p w:rsidR="00865BB2" w:rsidP="00471F88" w:rsidRDefault="00580084" w14:paraId="660D7AF0" w14:textId="1AFB1B1B">
      <w:pPr>
        <w:pStyle w:val="Standard"/>
      </w:pPr>
      <w:r>
        <w:lastRenderedPageBreak/>
        <w:t>This rulemaking will address the 202</w:t>
      </w:r>
      <w:r w:rsidR="00794613">
        <w:t>5</w:t>
      </w:r>
      <w:r>
        <w:t xml:space="preserve"> and 2026 RA compliance years,</w:t>
      </w:r>
      <w:r w:rsidR="00173754">
        <w:t xml:space="preserve"> </w:t>
      </w:r>
      <w:r>
        <w:t>local RA procurement obligations for the 2025</w:t>
      </w:r>
      <w:r w:rsidR="005934C9">
        <w:noBreakHyphen/>
      </w:r>
      <w:r>
        <w:t>202</w:t>
      </w:r>
      <w:r w:rsidR="004715DC">
        <w:t>8</w:t>
      </w:r>
      <w:r>
        <w:t xml:space="preserve"> compliance years</w:t>
      </w:r>
      <w:r w:rsidR="00173754">
        <w:t>, and further development of the 24</w:t>
      </w:r>
      <w:r w:rsidR="005934C9">
        <w:noBreakHyphen/>
      </w:r>
      <w:r w:rsidR="00173754">
        <w:t xml:space="preserve">hour </w:t>
      </w:r>
      <w:r w:rsidR="00CC666A">
        <w:t xml:space="preserve">SOD </w:t>
      </w:r>
      <w:r w:rsidR="00173754">
        <w:t>framework</w:t>
      </w:r>
      <w:r>
        <w:t>.</w:t>
      </w:r>
    </w:p>
    <w:p w:rsidR="00580084" w:rsidP="00471F88" w:rsidRDefault="00580084" w14:paraId="2A8D8F90" w14:textId="1501184A">
      <w:pPr>
        <w:pStyle w:val="Heading1"/>
        <w:keepLines w:val="0"/>
      </w:pPr>
      <w:r>
        <w:t>Preliminary Scoping Memo</w:t>
      </w:r>
    </w:p>
    <w:p w:rsidR="00865BB2" w:rsidP="00471F88" w:rsidRDefault="00580084" w14:paraId="5C96D713" w14:textId="77777777">
      <w:pPr>
        <w:pStyle w:val="Standard"/>
      </w:pPr>
      <w:r>
        <w:t xml:space="preserve">As required by </w:t>
      </w:r>
      <w:r w:rsidR="00E74658">
        <w:t>Rule </w:t>
      </w:r>
      <w:r>
        <w:t xml:space="preserve">7.1(d) of the Commission’s </w:t>
      </w:r>
      <w:r w:rsidRPr="00E80B04">
        <w:t xml:space="preserve">Rules of Practice and Procedure </w:t>
      </w:r>
      <w:r>
        <w:t>(</w:t>
      </w:r>
      <w:r w:rsidRPr="00E80B04">
        <w:t>Rules</w:t>
      </w:r>
      <w:r>
        <w:t xml:space="preserve">), this </w:t>
      </w:r>
      <w:r w:rsidRPr="00E80B04">
        <w:t xml:space="preserve">Order Instituting Rulemaking </w:t>
      </w:r>
      <w:r>
        <w:t>(</w:t>
      </w:r>
      <w:r w:rsidRPr="00E80B04">
        <w:t>OIR</w:t>
      </w:r>
      <w:r>
        <w:t xml:space="preserve">) includes a preliminary Scoping Memo.  In this preliminary Scoping Memo, we describe the issues to be considered in this proceeding.  In response to this OIR, parties will have an opportunity to provide comments on the issues raised.  After a </w:t>
      </w:r>
      <w:r w:rsidRPr="00E80B04">
        <w:t xml:space="preserve">prehearing conference </w:t>
      </w:r>
      <w:r>
        <w:t>(</w:t>
      </w:r>
      <w:r w:rsidRPr="00E80B04">
        <w:t>PHC</w:t>
      </w:r>
      <w:r>
        <w:t>), an Assigned Commissioner’s Scoping Memo and Ruling will be issued laying out the issues and procedural process in greater detail.</w:t>
      </w:r>
    </w:p>
    <w:p w:rsidRPr="00F52004" w:rsidR="00F52004" w:rsidP="00471F88" w:rsidRDefault="00580084" w14:paraId="222C423C" w14:textId="78386B34">
      <w:pPr>
        <w:pStyle w:val="Standard"/>
      </w:pPr>
      <w:r>
        <w:t>In R.</w:t>
      </w:r>
      <w:r w:rsidR="00173754">
        <w:t>21</w:t>
      </w:r>
      <w:r w:rsidR="005934C9">
        <w:noBreakHyphen/>
      </w:r>
      <w:r w:rsidR="00173754">
        <w:t>10</w:t>
      </w:r>
      <w:r w:rsidR="005934C9">
        <w:noBreakHyphen/>
      </w:r>
      <w:r w:rsidR="00173754">
        <w:t>002</w:t>
      </w:r>
      <w:r>
        <w:t xml:space="preserve">, the Assigned Commissioner’s Scoping Memo and Ruling established </w:t>
      </w:r>
      <w:r w:rsidR="00173754">
        <w:t xml:space="preserve">a “Reform Track” that addressed issues related to the </w:t>
      </w:r>
      <w:r w:rsidR="00A82265">
        <w:t>24</w:t>
      </w:r>
      <w:r w:rsidR="005934C9">
        <w:noBreakHyphen/>
      </w:r>
      <w:r w:rsidR="00A82265">
        <w:t xml:space="preserve">hour </w:t>
      </w:r>
      <w:r w:rsidRPr="00CC666A" w:rsidR="00173754">
        <w:t>SOD</w:t>
      </w:r>
      <w:r w:rsidR="00173754">
        <w:t xml:space="preserve"> framework and an “Implementation Track” that addressed all other RA issues related to RA procurement obligations and program implementation details.  </w:t>
      </w:r>
      <w:r>
        <w:t xml:space="preserve">For this successor proceeding, we </w:t>
      </w:r>
      <w:r w:rsidR="00A82265">
        <w:t>anticipate</w:t>
      </w:r>
      <w:r w:rsidR="004715DC">
        <w:t xml:space="preserve"> </w:t>
      </w:r>
      <w:r w:rsidR="00A82265">
        <w:t>combining</w:t>
      </w:r>
      <w:r w:rsidR="004715DC">
        <w:t xml:space="preserve"> the two tracks into one</w:t>
      </w:r>
      <w:r w:rsidR="00A82265">
        <w:t>, as many of the RA refinement issues relate to the 24</w:t>
      </w:r>
      <w:r w:rsidR="005934C9">
        <w:noBreakHyphen/>
      </w:r>
      <w:r w:rsidR="00A82265">
        <w:t>hour SOD framework</w:t>
      </w:r>
      <w:r w:rsidR="00173754">
        <w:t>.</w:t>
      </w:r>
      <w:r>
        <w:t xml:space="preserve">  </w:t>
      </w:r>
      <w:r w:rsidRPr="0006715B" w:rsidR="00F52004">
        <w:rPr>
          <w:rFonts w:cs="Arial"/>
          <w:bCs/>
          <w:szCs w:val="26"/>
        </w:rPr>
        <w:t>Similar to R.</w:t>
      </w:r>
      <w:r w:rsidR="00F52004">
        <w:rPr>
          <w:rFonts w:cs="Arial"/>
          <w:bCs/>
          <w:szCs w:val="26"/>
        </w:rPr>
        <w:t>21</w:t>
      </w:r>
      <w:r w:rsidR="005934C9">
        <w:rPr>
          <w:rFonts w:cs="Arial"/>
          <w:bCs/>
          <w:szCs w:val="26"/>
        </w:rPr>
        <w:noBreakHyphen/>
      </w:r>
      <w:r w:rsidR="00F52004">
        <w:rPr>
          <w:rFonts w:cs="Arial"/>
          <w:bCs/>
          <w:szCs w:val="26"/>
        </w:rPr>
        <w:t>10</w:t>
      </w:r>
      <w:r w:rsidR="005934C9">
        <w:rPr>
          <w:rFonts w:cs="Arial"/>
          <w:bCs/>
          <w:szCs w:val="26"/>
        </w:rPr>
        <w:noBreakHyphen/>
      </w:r>
      <w:r w:rsidR="00F52004">
        <w:rPr>
          <w:rFonts w:cs="Arial"/>
          <w:bCs/>
          <w:szCs w:val="26"/>
        </w:rPr>
        <w:t>002</w:t>
      </w:r>
      <w:r w:rsidRPr="0006715B" w:rsidR="00F52004">
        <w:rPr>
          <w:rFonts w:cs="Arial"/>
          <w:bCs/>
          <w:szCs w:val="26"/>
        </w:rPr>
        <w:t xml:space="preserve">, and prior rulemakings, the Commission will consider </w:t>
      </w:r>
      <w:r w:rsidR="00F52004">
        <w:rPr>
          <w:rFonts w:cs="Arial"/>
          <w:bCs/>
          <w:szCs w:val="26"/>
        </w:rPr>
        <w:t xml:space="preserve">the </w:t>
      </w:r>
      <w:r w:rsidRPr="000D308D" w:rsidR="009D6195">
        <w:t>LCR</w:t>
      </w:r>
      <w:r w:rsidR="009D6195">
        <w:t xml:space="preserve"> </w:t>
      </w:r>
      <w:r w:rsidRPr="0006715B" w:rsidR="00F52004">
        <w:rPr>
          <w:rFonts w:cs="Arial"/>
          <w:bCs/>
          <w:szCs w:val="26"/>
        </w:rPr>
        <w:t xml:space="preserve">and </w:t>
      </w:r>
      <w:r w:rsidRPr="00F30F3D" w:rsidR="009D6195">
        <w:t>FCR</w:t>
      </w:r>
      <w:r w:rsidRPr="0006715B" w:rsidR="00F52004">
        <w:rPr>
          <w:rFonts w:cs="Arial"/>
          <w:bCs/>
          <w:szCs w:val="26"/>
        </w:rPr>
        <w:t>.</w:t>
      </w:r>
    </w:p>
    <w:p w:rsidR="000079AC" w:rsidP="00471F88" w:rsidRDefault="000079AC" w14:paraId="09F838FC" w14:textId="5557054F">
      <w:pPr>
        <w:pStyle w:val="Standard"/>
      </w:pPr>
      <w:r>
        <w:t>In D.22</w:t>
      </w:r>
      <w:r w:rsidR="005934C9">
        <w:noBreakHyphen/>
      </w:r>
      <w:r>
        <w:t>06</w:t>
      </w:r>
      <w:r w:rsidR="005934C9">
        <w:noBreakHyphen/>
      </w:r>
      <w:r>
        <w:t xml:space="preserve">050, the Commission considered proposals on the structural reform framework and determined that </w:t>
      </w:r>
      <w:r w:rsidRPr="00F805F5">
        <w:t>Southern California Edison</w:t>
      </w:r>
      <w:r w:rsidR="00080238">
        <w:t xml:space="preserve"> Company</w:t>
      </w:r>
      <w:r w:rsidRPr="00F805F5">
        <w:t>’s</w:t>
      </w:r>
      <w:r>
        <w:t xml:space="preserve"> 24</w:t>
      </w:r>
      <w:r w:rsidR="005934C9">
        <w:noBreakHyphen/>
      </w:r>
      <w:r>
        <w:t>hour SOD proposal</w:t>
      </w:r>
      <w:r w:rsidR="00F52004">
        <w:t>, if developed,</w:t>
      </w:r>
      <w:r>
        <w:t xml:space="preserve"> best satisfied the principles and objectives identified in D.21</w:t>
      </w:r>
      <w:r w:rsidR="005934C9">
        <w:noBreakHyphen/>
      </w:r>
      <w:r>
        <w:t>07</w:t>
      </w:r>
      <w:r w:rsidR="005934C9">
        <w:noBreakHyphen/>
      </w:r>
      <w:r>
        <w:t xml:space="preserve">014.  The Commission provided guidance on </w:t>
      </w:r>
      <w:r w:rsidR="00F52004">
        <w:t xml:space="preserve">the </w:t>
      </w:r>
      <w:r>
        <w:t>elements of a</w:t>
      </w:r>
      <w:r w:rsidR="000D308D">
        <w:t>n</w:t>
      </w:r>
      <w:r>
        <w:t xml:space="preserve"> SOD framework and determined that a 2024 test year would provide time for implementation and adjustments, with full implementation in the 2025 RA</w:t>
      </w:r>
      <w:r w:rsidR="00E26FCA">
        <w:t xml:space="preserve"> </w:t>
      </w:r>
      <w:r>
        <w:lastRenderedPageBreak/>
        <w:t>year.  In D.23</w:t>
      </w:r>
      <w:r w:rsidR="005934C9">
        <w:noBreakHyphen/>
      </w:r>
      <w:r>
        <w:t>04</w:t>
      </w:r>
      <w:r w:rsidR="005934C9">
        <w:noBreakHyphen/>
      </w:r>
      <w:r>
        <w:t>010, the Commission adopted further implementation details for the SOD framework, including compliance tools</w:t>
      </w:r>
      <w:r w:rsidR="00F52004">
        <w:t xml:space="preserve"> and </w:t>
      </w:r>
      <w:r>
        <w:t>resource counting rules.</w:t>
      </w:r>
      <w:r w:rsidR="00F52004">
        <w:t xml:space="preserve">  This proceeding will continue to address modifications and implementation details of the 24</w:t>
      </w:r>
      <w:r w:rsidR="005934C9">
        <w:noBreakHyphen/>
      </w:r>
      <w:r w:rsidR="00F52004">
        <w:t>hour SOD framework.</w:t>
      </w:r>
    </w:p>
    <w:p w:rsidRPr="004715DC" w:rsidR="000079AC" w:rsidP="00471F88" w:rsidRDefault="00F52004" w14:paraId="137BA867" w14:textId="56370E29">
      <w:pPr>
        <w:pStyle w:val="Standard"/>
        <w:rPr>
          <w:rFonts w:cs="Arial"/>
          <w:bCs/>
          <w:szCs w:val="26"/>
        </w:rPr>
      </w:pPr>
      <w:r>
        <w:rPr>
          <w:rFonts w:cs="Arial"/>
          <w:bCs/>
          <w:szCs w:val="26"/>
        </w:rPr>
        <w:t>The preliminary scope of issues is as follows:</w:t>
      </w:r>
    </w:p>
    <w:p w:rsidR="00865BB2" w:rsidP="003B2227" w:rsidRDefault="00580084" w14:paraId="407D9523" w14:textId="093D0977">
      <w:pPr>
        <w:pStyle w:val="BlockQuoteH025"/>
        <w:numPr>
          <w:ilvl w:val="0"/>
          <w:numId w:val="3"/>
        </w:numPr>
        <w:ind w:left="1080"/>
      </w:pPr>
      <w:r w:rsidRPr="003B2227">
        <w:rPr>
          <w:b/>
          <w:bCs/>
        </w:rPr>
        <w:t>Adoption of Local Capacity Requirements</w:t>
      </w:r>
      <w:r w:rsidRPr="003B2227" w:rsidR="003B2227">
        <w:rPr>
          <w:b/>
          <w:bCs/>
        </w:rPr>
        <w:t xml:space="preserve">.  </w:t>
      </w:r>
      <w:r>
        <w:t xml:space="preserve">Establish the </w:t>
      </w:r>
      <w:r w:rsidRPr="009D6195">
        <w:t>LCR</w:t>
      </w:r>
      <w:r>
        <w:t xml:space="preserve"> for respective </w:t>
      </w:r>
      <w:r w:rsidRPr="00E80B04">
        <w:t>load</w:t>
      </w:r>
      <w:r w:rsidRPr="00E80B04" w:rsidR="005934C9">
        <w:noBreakHyphen/>
      </w:r>
      <w:r w:rsidRPr="00E80B04">
        <w:t xml:space="preserve">serving entities </w:t>
      </w:r>
      <w:r>
        <w:t>(</w:t>
      </w:r>
      <w:r w:rsidRPr="00E80B04">
        <w:t>LSE</w:t>
      </w:r>
      <w:r>
        <w:t>) for the 202</w:t>
      </w:r>
      <w:r w:rsidR="009E7359">
        <w:t>5</w:t>
      </w:r>
      <w:r w:rsidR="005934C9">
        <w:noBreakHyphen/>
      </w:r>
      <w:r>
        <w:t>202</w:t>
      </w:r>
      <w:r w:rsidR="009E7359">
        <w:t>7</w:t>
      </w:r>
      <w:r>
        <w:t xml:space="preserve"> and the 202</w:t>
      </w:r>
      <w:r w:rsidR="009E7359">
        <w:t>6</w:t>
      </w:r>
      <w:r w:rsidR="005934C9">
        <w:noBreakHyphen/>
      </w:r>
      <w:r>
        <w:t>202</w:t>
      </w:r>
      <w:r w:rsidR="009E7359">
        <w:t>8</w:t>
      </w:r>
      <w:r>
        <w:t xml:space="preserve"> RA compliance years.  The starting point for this determination </w:t>
      </w:r>
      <w:r w:rsidR="009E7359">
        <w:t>will</w:t>
      </w:r>
      <w:r>
        <w:t xml:space="preserve"> be the </w:t>
      </w:r>
      <w:r w:rsidRPr="00E80B04" w:rsidR="00E54556">
        <w:t xml:space="preserve">California Independent System Operator’s </w:t>
      </w:r>
      <w:r w:rsidR="00E54556">
        <w:t>(</w:t>
      </w:r>
      <w:r w:rsidRPr="00E80B04">
        <w:t>CAISO</w:t>
      </w:r>
      <w:r w:rsidR="00E54556">
        <w:t>)</w:t>
      </w:r>
      <w:r>
        <w:t xml:space="preserve"> annual </w:t>
      </w:r>
      <w:r w:rsidR="009E7359">
        <w:t>l</w:t>
      </w:r>
      <w:r>
        <w:t>ocal capacity area technical study.</w:t>
      </w:r>
    </w:p>
    <w:p w:rsidR="00865BB2" w:rsidP="003B2227" w:rsidRDefault="00580084" w14:paraId="6A1B7646" w14:textId="6B8AFC5F">
      <w:pPr>
        <w:pStyle w:val="BlockQuoteH025"/>
        <w:numPr>
          <w:ilvl w:val="0"/>
          <w:numId w:val="3"/>
        </w:numPr>
        <w:ind w:left="1080"/>
      </w:pPr>
      <w:r w:rsidRPr="003B2227">
        <w:rPr>
          <w:b/>
          <w:bCs/>
        </w:rPr>
        <w:t>Adoption of Flexible Capacity Requirements</w:t>
      </w:r>
      <w:r w:rsidRPr="003B2227" w:rsidR="003B2227">
        <w:rPr>
          <w:b/>
          <w:bCs/>
        </w:rPr>
        <w:t xml:space="preserve">. </w:t>
      </w:r>
      <w:r w:rsidR="003B2227">
        <w:rPr>
          <w:b/>
          <w:bCs/>
        </w:rPr>
        <w:t xml:space="preserve"> </w:t>
      </w:r>
      <w:r>
        <w:t xml:space="preserve">Establish the </w:t>
      </w:r>
      <w:r w:rsidRPr="009D6195">
        <w:t>FCR</w:t>
      </w:r>
      <w:r>
        <w:t xml:space="preserve"> for the respective LSEs for the 202</w:t>
      </w:r>
      <w:r w:rsidR="009E7359">
        <w:t>5</w:t>
      </w:r>
      <w:r>
        <w:t xml:space="preserve"> and 202</w:t>
      </w:r>
      <w:r w:rsidR="009E7359">
        <w:t>6</w:t>
      </w:r>
      <w:r>
        <w:t xml:space="preserve"> RA compliance years.  Similar to the LCR process, the starting point for this determination shall be the CAISO’s annual flexible capacity needs assessment study.</w:t>
      </w:r>
    </w:p>
    <w:p w:rsidR="000079AC" w:rsidP="00571BBA" w:rsidRDefault="00FA48A0" w14:paraId="20012F2F" w14:textId="175F22B6">
      <w:pPr>
        <w:pStyle w:val="BlockQuoteH025"/>
        <w:numPr>
          <w:ilvl w:val="0"/>
          <w:numId w:val="3"/>
        </w:numPr>
        <w:ind w:left="1080"/>
        <w:rPr>
          <w:szCs w:val="26"/>
        </w:rPr>
      </w:pPr>
      <w:r w:rsidRPr="00FA48A0">
        <w:rPr>
          <w:b/>
          <w:bCs/>
          <w:szCs w:val="26"/>
        </w:rPr>
        <w:t xml:space="preserve">Loss of Load Expectation </w:t>
      </w:r>
      <w:r w:rsidRPr="00FA48A0" w:rsidR="00180844">
        <w:rPr>
          <w:b/>
          <w:bCs/>
          <w:szCs w:val="26"/>
        </w:rPr>
        <w:t xml:space="preserve">Study </w:t>
      </w:r>
      <w:r w:rsidRPr="00FA48A0">
        <w:rPr>
          <w:b/>
          <w:bCs/>
          <w:szCs w:val="26"/>
        </w:rPr>
        <w:t>and Planning Reserve Margin.</w:t>
      </w:r>
      <w:r w:rsidRPr="00FA48A0">
        <w:rPr>
          <w:szCs w:val="26"/>
        </w:rPr>
        <w:t xml:space="preserve"> </w:t>
      </w:r>
      <w:r>
        <w:rPr>
          <w:szCs w:val="26"/>
        </w:rPr>
        <w:t xml:space="preserve"> </w:t>
      </w:r>
      <w:r w:rsidRPr="00FA48A0">
        <w:rPr>
          <w:szCs w:val="26"/>
        </w:rPr>
        <w:t xml:space="preserve">Consider modifications to the </w:t>
      </w:r>
      <w:r w:rsidRPr="00C276B4" w:rsidR="00C276B4">
        <w:rPr>
          <w:szCs w:val="26"/>
        </w:rPr>
        <w:t>Planning Reserve Margin</w:t>
      </w:r>
      <w:r w:rsidRPr="00FA48A0">
        <w:rPr>
          <w:szCs w:val="26"/>
        </w:rPr>
        <w:t xml:space="preserve"> for compliance years 2026 and 2027, including </w:t>
      </w:r>
      <w:r w:rsidR="00A82265">
        <w:rPr>
          <w:szCs w:val="26"/>
        </w:rPr>
        <w:t xml:space="preserve">the </w:t>
      </w:r>
      <w:r w:rsidRPr="00FA48A0">
        <w:rPr>
          <w:szCs w:val="26"/>
        </w:rPr>
        <w:t xml:space="preserve">results of </w:t>
      </w:r>
      <w:r w:rsidR="002C5C94">
        <w:rPr>
          <w:szCs w:val="26"/>
        </w:rPr>
        <w:t>Energy Div</w:t>
      </w:r>
      <w:r w:rsidRPr="00FA48A0">
        <w:rPr>
          <w:szCs w:val="26"/>
        </w:rPr>
        <w:t xml:space="preserve">ision’s annual </w:t>
      </w:r>
      <w:r w:rsidRPr="00591679" w:rsidR="00591679">
        <w:rPr>
          <w:szCs w:val="26"/>
        </w:rPr>
        <w:t>Loss of Load Expectation</w:t>
      </w:r>
      <w:r w:rsidRPr="00FA48A0">
        <w:rPr>
          <w:szCs w:val="26"/>
        </w:rPr>
        <w:t xml:space="preserve"> study to be published </w:t>
      </w:r>
      <w:r w:rsidR="000079AC">
        <w:rPr>
          <w:szCs w:val="26"/>
        </w:rPr>
        <w:t>in</w:t>
      </w:r>
      <w:r w:rsidRPr="00FA48A0">
        <w:rPr>
          <w:szCs w:val="26"/>
        </w:rPr>
        <w:t xml:space="preserve"> February</w:t>
      </w:r>
      <w:r>
        <w:rPr>
          <w:szCs w:val="26"/>
        </w:rPr>
        <w:t>,</w:t>
      </w:r>
      <w:r w:rsidRPr="00FA48A0">
        <w:rPr>
          <w:szCs w:val="26"/>
        </w:rPr>
        <w:t xml:space="preserve"> as authorized in D.23</w:t>
      </w:r>
      <w:r w:rsidR="005934C9">
        <w:rPr>
          <w:szCs w:val="26"/>
        </w:rPr>
        <w:noBreakHyphen/>
      </w:r>
      <w:r w:rsidRPr="00FA48A0">
        <w:rPr>
          <w:szCs w:val="26"/>
        </w:rPr>
        <w:t>06</w:t>
      </w:r>
      <w:r w:rsidR="005934C9">
        <w:rPr>
          <w:szCs w:val="26"/>
        </w:rPr>
        <w:noBreakHyphen/>
      </w:r>
      <w:r w:rsidRPr="00FA48A0">
        <w:rPr>
          <w:szCs w:val="26"/>
        </w:rPr>
        <w:t>029</w:t>
      </w:r>
      <w:r w:rsidR="00A82265">
        <w:rPr>
          <w:szCs w:val="26"/>
        </w:rPr>
        <w:t>,</w:t>
      </w:r>
      <w:r w:rsidRPr="00FA48A0">
        <w:rPr>
          <w:szCs w:val="26"/>
        </w:rPr>
        <w:t xml:space="preserve"> and </w:t>
      </w:r>
      <w:r w:rsidR="00A82265">
        <w:rPr>
          <w:szCs w:val="26"/>
        </w:rPr>
        <w:t xml:space="preserve">other </w:t>
      </w:r>
      <w:r w:rsidRPr="00FA48A0">
        <w:rPr>
          <w:szCs w:val="26"/>
        </w:rPr>
        <w:t>proposals submitted into this proceeding.</w:t>
      </w:r>
    </w:p>
    <w:p w:rsidRPr="000079AC" w:rsidR="000079AC" w:rsidP="00571BBA" w:rsidRDefault="000079AC" w14:paraId="647DDE25" w14:textId="3164760E">
      <w:pPr>
        <w:pStyle w:val="BlockQuoteH025"/>
        <w:numPr>
          <w:ilvl w:val="0"/>
          <w:numId w:val="3"/>
        </w:numPr>
        <w:ind w:left="1080"/>
        <w:rPr>
          <w:szCs w:val="26"/>
        </w:rPr>
      </w:pPr>
      <w:r>
        <w:rPr>
          <w:b/>
          <w:bCs/>
          <w:szCs w:val="26"/>
        </w:rPr>
        <w:t>24</w:t>
      </w:r>
      <w:r w:rsidR="005934C9">
        <w:rPr>
          <w:b/>
          <w:bCs/>
          <w:szCs w:val="26"/>
        </w:rPr>
        <w:noBreakHyphen/>
      </w:r>
      <w:r>
        <w:rPr>
          <w:b/>
          <w:bCs/>
          <w:szCs w:val="26"/>
        </w:rPr>
        <w:t xml:space="preserve">Hour </w:t>
      </w:r>
      <w:r w:rsidRPr="000079AC">
        <w:rPr>
          <w:b/>
          <w:bCs/>
          <w:szCs w:val="26"/>
        </w:rPr>
        <w:t>Slice</w:t>
      </w:r>
      <w:r w:rsidR="005934C9">
        <w:rPr>
          <w:b/>
          <w:bCs/>
          <w:szCs w:val="26"/>
        </w:rPr>
        <w:noBreakHyphen/>
      </w:r>
      <w:r w:rsidRPr="000079AC">
        <w:rPr>
          <w:b/>
          <w:bCs/>
          <w:szCs w:val="26"/>
        </w:rPr>
        <w:t>of</w:t>
      </w:r>
      <w:r w:rsidR="005934C9">
        <w:rPr>
          <w:b/>
          <w:bCs/>
          <w:szCs w:val="26"/>
        </w:rPr>
        <w:noBreakHyphen/>
      </w:r>
      <w:r>
        <w:rPr>
          <w:b/>
          <w:bCs/>
          <w:szCs w:val="26"/>
        </w:rPr>
        <w:t>D</w:t>
      </w:r>
      <w:r w:rsidRPr="000079AC">
        <w:rPr>
          <w:b/>
          <w:bCs/>
          <w:szCs w:val="26"/>
        </w:rPr>
        <w:t>ay Framework.</w:t>
      </w:r>
      <w:r w:rsidRPr="000079AC">
        <w:rPr>
          <w:szCs w:val="26"/>
        </w:rPr>
        <w:t xml:space="preserve">  Consid</w:t>
      </w:r>
      <w:r>
        <w:rPr>
          <w:szCs w:val="26"/>
        </w:rPr>
        <w:t>er</w:t>
      </w:r>
      <w:r w:rsidRPr="000079AC">
        <w:rPr>
          <w:szCs w:val="26"/>
        </w:rPr>
        <w:t xml:space="preserve"> modifications to the </w:t>
      </w:r>
      <w:r w:rsidRPr="00553FA7">
        <w:rPr>
          <w:szCs w:val="26"/>
        </w:rPr>
        <w:t>SOD</w:t>
      </w:r>
      <w:r w:rsidRPr="000079AC">
        <w:rPr>
          <w:szCs w:val="26"/>
        </w:rPr>
        <w:t xml:space="preserve"> framework, including issues identified in the </w:t>
      </w:r>
      <w:r w:rsidR="002C5C94">
        <w:rPr>
          <w:szCs w:val="26"/>
        </w:rPr>
        <w:t>Energy Div</w:t>
      </w:r>
      <w:r w:rsidRPr="000079AC">
        <w:rPr>
          <w:szCs w:val="26"/>
        </w:rPr>
        <w:t>ision report summarizing part</w:t>
      </w:r>
      <w:r>
        <w:rPr>
          <w:szCs w:val="26"/>
        </w:rPr>
        <w:t>y comments</w:t>
      </w:r>
      <w:r w:rsidRPr="000079AC">
        <w:rPr>
          <w:szCs w:val="26"/>
        </w:rPr>
        <w:t xml:space="preserve"> after the year</w:t>
      </w:r>
      <w:r w:rsidR="005934C9">
        <w:rPr>
          <w:szCs w:val="26"/>
        </w:rPr>
        <w:noBreakHyphen/>
      </w:r>
      <w:r w:rsidRPr="000079AC">
        <w:rPr>
          <w:szCs w:val="26"/>
        </w:rPr>
        <w:t xml:space="preserve">ahead test showings to be submitted by </w:t>
      </w:r>
      <w:r w:rsidR="00056C95">
        <w:rPr>
          <w:szCs w:val="26"/>
        </w:rPr>
        <w:t>February </w:t>
      </w:r>
      <w:r w:rsidRPr="000079AC">
        <w:rPr>
          <w:szCs w:val="26"/>
        </w:rPr>
        <w:t>1, 2024</w:t>
      </w:r>
      <w:r>
        <w:rPr>
          <w:szCs w:val="26"/>
        </w:rPr>
        <w:t>,</w:t>
      </w:r>
      <w:r w:rsidRPr="000079AC">
        <w:rPr>
          <w:szCs w:val="26"/>
        </w:rPr>
        <w:t xml:space="preserve"> and other proposals submitted into this proceeding.</w:t>
      </w:r>
    </w:p>
    <w:p w:rsidR="00865BB2" w:rsidP="00571BBA" w:rsidRDefault="000A623D" w14:paraId="0DD533F1" w14:textId="4E08C396">
      <w:pPr>
        <w:pStyle w:val="BlockQuoteH025"/>
        <w:numPr>
          <w:ilvl w:val="0"/>
          <w:numId w:val="3"/>
        </w:numPr>
        <w:ind w:left="1080"/>
        <w:rPr>
          <w:szCs w:val="26"/>
        </w:rPr>
      </w:pPr>
      <w:r w:rsidRPr="000A623D">
        <w:rPr>
          <w:b/>
          <w:bCs/>
          <w:szCs w:val="26"/>
        </w:rPr>
        <w:t>Unforced Capacity Methodology</w:t>
      </w:r>
      <w:r w:rsidR="00794613">
        <w:rPr>
          <w:b/>
          <w:bCs/>
          <w:szCs w:val="26"/>
        </w:rPr>
        <w:t xml:space="preserve"> (UCAP)</w:t>
      </w:r>
      <w:r w:rsidRPr="000A623D">
        <w:rPr>
          <w:b/>
          <w:bCs/>
          <w:szCs w:val="26"/>
        </w:rPr>
        <w:t xml:space="preserve">.  </w:t>
      </w:r>
      <w:r w:rsidRPr="000A623D">
        <w:rPr>
          <w:szCs w:val="26"/>
        </w:rPr>
        <w:t>In D.23</w:t>
      </w:r>
      <w:r w:rsidR="005934C9">
        <w:rPr>
          <w:szCs w:val="26"/>
        </w:rPr>
        <w:noBreakHyphen/>
      </w:r>
      <w:r w:rsidRPr="000A623D">
        <w:rPr>
          <w:szCs w:val="26"/>
        </w:rPr>
        <w:t>04</w:t>
      </w:r>
      <w:r w:rsidR="005934C9">
        <w:rPr>
          <w:szCs w:val="26"/>
        </w:rPr>
        <w:noBreakHyphen/>
      </w:r>
      <w:r w:rsidRPr="000A623D">
        <w:rPr>
          <w:szCs w:val="26"/>
        </w:rPr>
        <w:t>010, the Commission expressed interest in exploring comprehensive application of a</w:t>
      </w:r>
      <w:r w:rsidR="008B3372">
        <w:rPr>
          <w:szCs w:val="26"/>
        </w:rPr>
        <w:t xml:space="preserve"> </w:t>
      </w:r>
      <w:r w:rsidR="00794613">
        <w:rPr>
          <w:szCs w:val="26"/>
        </w:rPr>
        <w:t>UCAP</w:t>
      </w:r>
      <w:r w:rsidRPr="000A623D">
        <w:rPr>
          <w:szCs w:val="26"/>
        </w:rPr>
        <w:t xml:space="preserve"> for resource counting that would account for ambient derates and forced outages.</w:t>
      </w:r>
      <w:r w:rsidR="00EF7BC3">
        <w:rPr>
          <w:szCs w:val="26"/>
        </w:rPr>
        <w:t xml:space="preserve">  </w:t>
      </w:r>
      <w:r w:rsidR="00EF7BC3">
        <w:t xml:space="preserve">In addition to consideration of UCAP, parties should consider modifications to the RA product </w:t>
      </w:r>
      <w:r w:rsidR="00EF7BC3">
        <w:lastRenderedPageBreak/>
        <w:t>that would penalize LSEs if their contracted RA capacity underperforms or is not available for CAISO dispatch due to forced outage.</w:t>
      </w:r>
    </w:p>
    <w:p w:rsidRPr="000A623D" w:rsidR="000A623D" w:rsidP="00571BBA" w:rsidRDefault="00580084" w14:paraId="7D709330" w14:textId="2487572F">
      <w:pPr>
        <w:pStyle w:val="BlockQuoteH025"/>
        <w:numPr>
          <w:ilvl w:val="0"/>
          <w:numId w:val="3"/>
        </w:numPr>
        <w:ind w:left="1080"/>
        <w:rPr>
          <w:b/>
          <w:bCs/>
          <w:szCs w:val="26"/>
        </w:rPr>
      </w:pPr>
      <w:r w:rsidRPr="000A623D">
        <w:rPr>
          <w:b/>
          <w:bCs/>
          <w:szCs w:val="26"/>
        </w:rPr>
        <w:t xml:space="preserve">Qualifying Capacity </w:t>
      </w:r>
      <w:r w:rsidR="00794613">
        <w:rPr>
          <w:b/>
          <w:bCs/>
          <w:szCs w:val="26"/>
        </w:rPr>
        <w:t xml:space="preserve">(QC) </w:t>
      </w:r>
      <w:r w:rsidRPr="000A623D">
        <w:rPr>
          <w:b/>
          <w:bCs/>
          <w:szCs w:val="26"/>
        </w:rPr>
        <w:t>Counting Conventions</w:t>
      </w:r>
      <w:r w:rsidRPr="000A623D" w:rsidR="000A623D">
        <w:rPr>
          <w:b/>
          <w:bCs/>
          <w:szCs w:val="26"/>
        </w:rPr>
        <w:t xml:space="preserve">.  </w:t>
      </w:r>
      <w:r w:rsidRPr="000A623D" w:rsidR="000A623D">
        <w:rPr>
          <w:szCs w:val="26"/>
        </w:rPr>
        <w:t xml:space="preserve">Consider potential modifications to </w:t>
      </w:r>
      <w:r w:rsidR="000A623D">
        <w:rPr>
          <w:szCs w:val="26"/>
        </w:rPr>
        <w:t xml:space="preserve">the </w:t>
      </w:r>
      <w:r w:rsidRPr="00E80B04" w:rsidR="000A623D">
        <w:rPr>
          <w:szCs w:val="26"/>
        </w:rPr>
        <w:t>QC</w:t>
      </w:r>
      <w:r w:rsidRPr="000A623D" w:rsidR="000A623D">
        <w:rPr>
          <w:szCs w:val="26"/>
        </w:rPr>
        <w:t xml:space="preserve"> counting conventions and requirements for</w:t>
      </w:r>
      <w:r w:rsidR="00B07152">
        <w:rPr>
          <w:szCs w:val="26"/>
        </w:rPr>
        <w:t xml:space="preserve"> </w:t>
      </w:r>
      <w:r w:rsidRPr="00E80B04" w:rsidR="000A623D">
        <w:t xml:space="preserve">demand response </w:t>
      </w:r>
      <w:r w:rsidR="000079AC">
        <w:rPr>
          <w:szCs w:val="26"/>
        </w:rPr>
        <w:t>(</w:t>
      </w:r>
      <w:r w:rsidRPr="00E80B04" w:rsidR="000079AC">
        <w:rPr>
          <w:szCs w:val="26"/>
        </w:rPr>
        <w:t>DR</w:t>
      </w:r>
      <w:r w:rsidR="000079AC">
        <w:rPr>
          <w:szCs w:val="26"/>
        </w:rPr>
        <w:t xml:space="preserve">) </w:t>
      </w:r>
      <w:r w:rsidRPr="000A623D" w:rsidR="000A623D">
        <w:rPr>
          <w:szCs w:val="26"/>
        </w:rPr>
        <w:t>and other resources.  This issue encompasses proposals from (a)</w:t>
      </w:r>
      <w:r w:rsidR="00613989">
        <w:rPr>
          <w:szCs w:val="26"/>
        </w:rPr>
        <w:t> </w:t>
      </w:r>
      <w:r w:rsidR="002C5C94">
        <w:rPr>
          <w:szCs w:val="26"/>
        </w:rPr>
        <w:t>Energy Div</w:t>
      </w:r>
      <w:r w:rsidRPr="000A623D" w:rsidR="000A623D">
        <w:rPr>
          <w:szCs w:val="26"/>
        </w:rPr>
        <w:t>ision’s load impact protocol simplification process, as discussed in D.23</w:t>
      </w:r>
      <w:r w:rsidR="005934C9">
        <w:rPr>
          <w:szCs w:val="26"/>
        </w:rPr>
        <w:noBreakHyphen/>
      </w:r>
      <w:r w:rsidRPr="000A623D" w:rsidR="000A623D">
        <w:rPr>
          <w:szCs w:val="26"/>
        </w:rPr>
        <w:t>06</w:t>
      </w:r>
      <w:r w:rsidR="005934C9">
        <w:rPr>
          <w:szCs w:val="26"/>
        </w:rPr>
        <w:noBreakHyphen/>
      </w:r>
      <w:r w:rsidRPr="000A623D" w:rsidR="000A623D">
        <w:rPr>
          <w:szCs w:val="26"/>
        </w:rPr>
        <w:t>029</w:t>
      </w:r>
      <w:r w:rsidR="00613989">
        <w:rPr>
          <w:szCs w:val="26"/>
        </w:rPr>
        <w:t>,</w:t>
      </w:r>
      <w:r w:rsidRPr="000A623D" w:rsidR="000A623D">
        <w:rPr>
          <w:szCs w:val="26"/>
        </w:rPr>
        <w:t xml:space="preserve"> and (b)</w:t>
      </w:r>
      <w:r w:rsidR="00613989">
        <w:rPr>
          <w:szCs w:val="26"/>
        </w:rPr>
        <w:t> </w:t>
      </w:r>
      <w:r w:rsidR="002C5C94">
        <w:rPr>
          <w:szCs w:val="26"/>
        </w:rPr>
        <w:t>Energy Div</w:t>
      </w:r>
      <w:r w:rsidRPr="000A623D" w:rsidR="000A623D">
        <w:rPr>
          <w:szCs w:val="26"/>
        </w:rPr>
        <w:t>ision’s Working Group to refine elements of the California Energy Commission’s incentive</w:t>
      </w:r>
      <w:r w:rsidR="005934C9">
        <w:rPr>
          <w:szCs w:val="26"/>
        </w:rPr>
        <w:noBreakHyphen/>
      </w:r>
      <w:r w:rsidRPr="000A623D" w:rsidR="000A623D">
        <w:rPr>
          <w:szCs w:val="26"/>
        </w:rPr>
        <w:t>based supply</w:t>
      </w:r>
      <w:r w:rsidR="005934C9">
        <w:rPr>
          <w:szCs w:val="26"/>
        </w:rPr>
        <w:noBreakHyphen/>
      </w:r>
      <w:r w:rsidRPr="000A623D" w:rsidR="000A623D">
        <w:rPr>
          <w:szCs w:val="26"/>
        </w:rPr>
        <w:t xml:space="preserve">side </w:t>
      </w:r>
      <w:r w:rsidR="000079AC">
        <w:rPr>
          <w:szCs w:val="26"/>
        </w:rPr>
        <w:t>DR</w:t>
      </w:r>
      <w:r w:rsidRPr="000A623D" w:rsidR="000A623D">
        <w:rPr>
          <w:szCs w:val="26"/>
        </w:rPr>
        <w:t xml:space="preserve"> </w:t>
      </w:r>
      <w:r w:rsidR="000079AC">
        <w:rPr>
          <w:szCs w:val="26"/>
        </w:rPr>
        <w:t>QC</w:t>
      </w:r>
      <w:r w:rsidRPr="000A623D" w:rsidR="000A623D">
        <w:rPr>
          <w:szCs w:val="26"/>
        </w:rPr>
        <w:t xml:space="preserve"> proposal </w:t>
      </w:r>
      <w:r w:rsidR="000079AC">
        <w:rPr>
          <w:szCs w:val="26"/>
        </w:rPr>
        <w:t xml:space="preserve">to </w:t>
      </w:r>
      <w:r w:rsidRPr="000A623D" w:rsidR="000A623D">
        <w:rPr>
          <w:szCs w:val="26"/>
        </w:rPr>
        <w:t>be submitted in December 2024, as authorized in D.23</w:t>
      </w:r>
      <w:r w:rsidR="005934C9">
        <w:rPr>
          <w:szCs w:val="26"/>
        </w:rPr>
        <w:noBreakHyphen/>
      </w:r>
      <w:r w:rsidRPr="000A623D" w:rsidR="000A623D">
        <w:rPr>
          <w:szCs w:val="26"/>
        </w:rPr>
        <w:t>06</w:t>
      </w:r>
      <w:r w:rsidR="005934C9">
        <w:rPr>
          <w:szCs w:val="26"/>
        </w:rPr>
        <w:noBreakHyphen/>
      </w:r>
      <w:r w:rsidRPr="000A623D" w:rsidR="000A623D">
        <w:rPr>
          <w:szCs w:val="26"/>
        </w:rPr>
        <w:t xml:space="preserve">029. </w:t>
      </w:r>
      <w:r w:rsidR="000A623D">
        <w:rPr>
          <w:szCs w:val="26"/>
        </w:rPr>
        <w:t xml:space="preserve"> </w:t>
      </w:r>
      <w:r w:rsidRPr="000A623D" w:rsidR="000A623D">
        <w:rPr>
          <w:szCs w:val="26"/>
        </w:rPr>
        <w:t xml:space="preserve">Elements to be considered include testing requirements and requirements to market integrate </w:t>
      </w:r>
      <w:r w:rsidR="000A623D">
        <w:rPr>
          <w:szCs w:val="26"/>
        </w:rPr>
        <w:t>investor</w:t>
      </w:r>
      <w:r w:rsidR="005934C9">
        <w:rPr>
          <w:szCs w:val="26"/>
        </w:rPr>
        <w:noBreakHyphen/>
      </w:r>
      <w:r w:rsidR="000A623D">
        <w:rPr>
          <w:szCs w:val="26"/>
        </w:rPr>
        <w:t xml:space="preserve">owned utility </w:t>
      </w:r>
      <w:r w:rsidRPr="000A623D" w:rsidR="000A623D">
        <w:rPr>
          <w:szCs w:val="26"/>
        </w:rPr>
        <w:t>DR programs.</w:t>
      </w:r>
    </w:p>
    <w:p w:rsidR="000A623D" w:rsidP="00571BBA" w:rsidRDefault="00437E8B" w14:paraId="5727F607" w14:textId="0673830A">
      <w:pPr>
        <w:pStyle w:val="BlockQuoteH025"/>
        <w:numPr>
          <w:ilvl w:val="0"/>
          <w:numId w:val="3"/>
        </w:numPr>
        <w:ind w:left="1080"/>
        <w:rPr>
          <w:b/>
          <w:bCs/>
          <w:szCs w:val="26"/>
        </w:rPr>
      </w:pPr>
      <w:r w:rsidRPr="00437E8B">
        <w:rPr>
          <w:b/>
          <w:bCs/>
          <w:szCs w:val="26"/>
        </w:rPr>
        <w:t>Resource Adequacy</w:t>
      </w:r>
      <w:r w:rsidRPr="000A623D" w:rsidR="000A623D">
        <w:rPr>
          <w:b/>
          <w:bCs/>
          <w:szCs w:val="26"/>
        </w:rPr>
        <w:t xml:space="preserve"> Compliance and Penalties. </w:t>
      </w:r>
      <w:r w:rsidR="000A623D">
        <w:rPr>
          <w:b/>
          <w:bCs/>
          <w:szCs w:val="26"/>
        </w:rPr>
        <w:t xml:space="preserve"> </w:t>
      </w:r>
      <w:r w:rsidRPr="000A623D" w:rsidR="000A623D">
        <w:rPr>
          <w:szCs w:val="26"/>
        </w:rPr>
        <w:t>Consider modifications to the RA penalty structure and other ways to incent compliance with RA requirements.</w:t>
      </w:r>
      <w:r w:rsidR="00427E84">
        <w:rPr>
          <w:szCs w:val="26"/>
        </w:rPr>
        <w:t xml:space="preserve">  Identify potential opportunities to increase the availability of RA resources.</w:t>
      </w:r>
    </w:p>
    <w:p w:rsidRPr="00EB72C1" w:rsidR="000A623D" w:rsidP="00571BBA" w:rsidRDefault="000A623D" w14:paraId="67283706" w14:textId="1876DA39">
      <w:pPr>
        <w:pStyle w:val="BlockQuoteH025"/>
        <w:numPr>
          <w:ilvl w:val="0"/>
          <w:numId w:val="3"/>
        </w:numPr>
        <w:ind w:left="1080"/>
        <w:rPr>
          <w:b/>
          <w:bCs/>
          <w:szCs w:val="26"/>
        </w:rPr>
      </w:pPr>
      <w:r w:rsidRPr="000A623D">
        <w:rPr>
          <w:b/>
          <w:bCs/>
          <w:szCs w:val="26"/>
        </w:rPr>
        <w:t>Coordination with the Integrated Resource Planning</w:t>
      </w:r>
      <w:r w:rsidR="006E54F8">
        <w:rPr>
          <w:b/>
          <w:bCs/>
          <w:szCs w:val="26"/>
        </w:rPr>
        <w:t xml:space="preserve"> (IRP)</w:t>
      </w:r>
      <w:r w:rsidRPr="000A623D">
        <w:rPr>
          <w:b/>
          <w:bCs/>
          <w:szCs w:val="26"/>
        </w:rPr>
        <w:t xml:space="preserve"> </w:t>
      </w:r>
      <w:r w:rsidRPr="000A623D" w:rsidR="00437E8B">
        <w:rPr>
          <w:b/>
          <w:bCs/>
          <w:szCs w:val="26"/>
        </w:rPr>
        <w:t>Proceeding</w:t>
      </w:r>
      <w:r w:rsidRPr="0088419F">
        <w:rPr>
          <w:b/>
          <w:bCs/>
          <w:szCs w:val="26"/>
        </w:rPr>
        <w:t>.</w:t>
      </w:r>
      <w:r w:rsidRPr="000A623D">
        <w:rPr>
          <w:szCs w:val="26"/>
        </w:rPr>
        <w:t xml:space="preserve">  </w:t>
      </w:r>
      <w:r w:rsidR="003F296A">
        <w:rPr>
          <w:rStyle w:val="cf01"/>
          <w:rFonts w:ascii="Book Antiqua" w:hAnsi="Book Antiqua"/>
          <w:sz w:val="26"/>
          <w:szCs w:val="26"/>
        </w:rPr>
        <w:t>C</w:t>
      </w:r>
      <w:r w:rsidRPr="006E54F8" w:rsidR="00EB72C1">
        <w:rPr>
          <w:rStyle w:val="cf01"/>
          <w:rFonts w:ascii="Book Antiqua" w:hAnsi="Book Antiqua"/>
          <w:sz w:val="26"/>
          <w:szCs w:val="26"/>
        </w:rPr>
        <w:t xml:space="preserve">oordination with </w:t>
      </w:r>
      <w:r w:rsidR="003F296A">
        <w:rPr>
          <w:rStyle w:val="cf01"/>
          <w:rFonts w:ascii="Book Antiqua" w:hAnsi="Book Antiqua"/>
          <w:sz w:val="26"/>
          <w:szCs w:val="26"/>
        </w:rPr>
        <w:t>IRP planning</w:t>
      </w:r>
      <w:r w:rsidRPr="006E54F8" w:rsidR="00EB72C1">
        <w:rPr>
          <w:rStyle w:val="cf01"/>
          <w:rFonts w:ascii="Book Antiqua" w:hAnsi="Book Antiqua"/>
          <w:sz w:val="26"/>
          <w:szCs w:val="26"/>
        </w:rPr>
        <w:t xml:space="preserve">, including the appropriate planning reserve margin requirements for </w:t>
      </w:r>
      <w:r w:rsidR="00847D40">
        <w:rPr>
          <w:rStyle w:val="cf01"/>
          <w:rFonts w:ascii="Book Antiqua" w:hAnsi="Book Antiqua"/>
          <w:sz w:val="26"/>
          <w:szCs w:val="26"/>
        </w:rPr>
        <w:t>short</w:t>
      </w:r>
      <w:r w:rsidRPr="006E54F8" w:rsidR="00EB72C1">
        <w:rPr>
          <w:rStyle w:val="cf01"/>
          <w:rFonts w:ascii="Book Antiqua" w:hAnsi="Book Antiqua"/>
          <w:sz w:val="26"/>
          <w:szCs w:val="26"/>
        </w:rPr>
        <w:t xml:space="preserve">-term planning compared with the </w:t>
      </w:r>
      <w:r w:rsidR="00847D40">
        <w:rPr>
          <w:rStyle w:val="cf01"/>
          <w:rFonts w:ascii="Book Antiqua" w:hAnsi="Book Antiqua"/>
          <w:sz w:val="26"/>
          <w:szCs w:val="26"/>
        </w:rPr>
        <w:t>longer</w:t>
      </w:r>
      <w:r w:rsidRPr="006E54F8" w:rsidR="00EB72C1">
        <w:rPr>
          <w:rStyle w:val="cf01"/>
          <w:rFonts w:ascii="Book Antiqua" w:hAnsi="Book Antiqua"/>
          <w:sz w:val="26"/>
          <w:szCs w:val="26"/>
        </w:rPr>
        <w:t xml:space="preserve"> timeframe for the </w:t>
      </w:r>
      <w:r w:rsidR="00847D40">
        <w:rPr>
          <w:rStyle w:val="cf01"/>
          <w:rFonts w:ascii="Book Antiqua" w:hAnsi="Book Antiqua"/>
          <w:sz w:val="26"/>
          <w:szCs w:val="26"/>
        </w:rPr>
        <w:t>IRP proceeding.</w:t>
      </w:r>
    </w:p>
    <w:p w:rsidR="00580084" w:rsidP="00571BBA" w:rsidRDefault="00580084" w14:paraId="0998EA4D" w14:textId="2CEE3310">
      <w:pPr>
        <w:pStyle w:val="BlockQuoteH025"/>
        <w:numPr>
          <w:ilvl w:val="0"/>
          <w:numId w:val="3"/>
        </w:numPr>
        <w:ind w:left="1080"/>
        <w:rPr>
          <w:b/>
          <w:bCs/>
        </w:rPr>
      </w:pPr>
      <w:r>
        <w:rPr>
          <w:b/>
          <w:bCs/>
        </w:rPr>
        <w:t xml:space="preserve">Refinements to the </w:t>
      </w:r>
      <w:r w:rsidRPr="00437E8B" w:rsidR="00437E8B">
        <w:rPr>
          <w:b/>
          <w:bCs/>
          <w:szCs w:val="26"/>
        </w:rPr>
        <w:t>Resource Adequacy</w:t>
      </w:r>
      <w:r w:rsidRPr="000A623D" w:rsidR="00437E8B">
        <w:rPr>
          <w:b/>
          <w:bCs/>
          <w:szCs w:val="26"/>
        </w:rPr>
        <w:t xml:space="preserve"> </w:t>
      </w:r>
      <w:r w:rsidR="00891B01">
        <w:rPr>
          <w:b/>
          <w:bCs/>
        </w:rPr>
        <w:t>P</w:t>
      </w:r>
      <w:r>
        <w:rPr>
          <w:b/>
          <w:bCs/>
        </w:rPr>
        <w:t xml:space="preserve">rogram.  </w:t>
      </w:r>
      <w:r>
        <w:t>As part of the ongoing implementation of the RA program, refinements to the RA</w:t>
      </w:r>
      <w:r w:rsidR="00E26FCA">
        <w:t xml:space="preserve"> </w:t>
      </w:r>
      <w:r>
        <w:t>program will be considered.  To focus on the highest priority refinements, it is necessary to limit the number of refinements to be considered in this proceeding.  In comments on this OIR, a party should identify no more than five</w:t>
      </w:r>
      <w:r w:rsidR="00186B00">
        <w:t xml:space="preserve"> </w:t>
      </w:r>
      <w:r w:rsidR="00794613">
        <w:t xml:space="preserve">(5) </w:t>
      </w:r>
      <w:r>
        <w:t xml:space="preserve">issues relating to refinements of </w:t>
      </w:r>
      <w:r w:rsidR="0021192F">
        <w:t xml:space="preserve">the </w:t>
      </w:r>
      <w:r>
        <w:t>RA program that it believes should be addressed in this proceeding.  Based on comments and discussion at the PHC, the Scoping Memo will identify a limited number of issues to be addressed in this proceeding.</w:t>
      </w:r>
    </w:p>
    <w:p w:rsidR="00580084" w:rsidP="00471F88" w:rsidRDefault="00580084" w14:paraId="6FAD1B56" w14:textId="036A46E8">
      <w:pPr>
        <w:pStyle w:val="Heading1"/>
        <w:keepLines w:val="0"/>
      </w:pPr>
      <w:r>
        <w:lastRenderedPageBreak/>
        <w:t xml:space="preserve">Status of Prior </w:t>
      </w:r>
      <w:r w:rsidR="003B1E87">
        <w:t>Resource Adequacy</w:t>
      </w:r>
      <w:r>
        <w:t xml:space="preserve"> Rulemaking</w:t>
      </w:r>
    </w:p>
    <w:p w:rsidR="00580084" w:rsidP="00471F88" w:rsidRDefault="00580084" w14:paraId="5EFEAC60" w14:textId="6F7DCA56">
      <w:pPr>
        <w:pStyle w:val="Standard"/>
      </w:pPr>
      <w:r>
        <w:t>This is the successor proceeding to R</w:t>
      </w:r>
      <w:r w:rsidR="009E7359">
        <w:t>.21</w:t>
      </w:r>
      <w:r w:rsidR="005934C9">
        <w:noBreakHyphen/>
      </w:r>
      <w:r w:rsidR="009E7359">
        <w:t>10</w:t>
      </w:r>
      <w:r w:rsidR="005934C9">
        <w:noBreakHyphen/>
      </w:r>
      <w:r w:rsidR="009E7359">
        <w:t>002</w:t>
      </w:r>
      <w:r>
        <w:t xml:space="preserve"> and the record developed in that proceeding is fully available for consideration in this proceeding.</w:t>
      </w:r>
    </w:p>
    <w:p w:rsidR="00580084" w:rsidP="00471F88" w:rsidRDefault="00580084" w14:paraId="6B27BBB5" w14:textId="77777777">
      <w:pPr>
        <w:pStyle w:val="Heading1"/>
        <w:keepLines w:val="0"/>
      </w:pPr>
      <w:r>
        <w:t>Initial Schedule</w:t>
      </w:r>
    </w:p>
    <w:p w:rsidR="00865BB2" w:rsidP="00471F88" w:rsidRDefault="00580084" w14:paraId="0C96824D" w14:textId="77777777">
      <w:pPr>
        <w:pStyle w:val="Standard"/>
      </w:pPr>
      <w:r>
        <w:t>Since the local component of the RA program was first implemented, the Commission has determined that the annual compliance cycle should begin with issuance of a decision each June that establishes procurement obligations for the following calendar year.  As a starting point, the schedule set forth below generally follows the previously used schedule.</w:t>
      </w:r>
    </w:p>
    <w:p w:rsidR="00580084" w:rsidP="00471F88" w:rsidRDefault="00580084" w14:paraId="69ED3B55" w14:textId="47366391">
      <w:pPr>
        <w:pStyle w:val="Standard"/>
      </w:pPr>
      <w:r>
        <w:t>Based on comments, reply comments and discussion at the PHC, the Scoping Memo may add to or otherwise change the schedule.  Accordingly, the preliminary schedule for the proceeding is as follows:</w:t>
      </w:r>
    </w:p>
    <w:tbl>
      <w:tblPr>
        <w:tblW w:w="936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58" w:type="dxa"/>
          <w:bottom w:w="58" w:type="dxa"/>
        </w:tblCellMar>
        <w:tblLook w:val="04A0" w:firstRow="1" w:lastRow="0" w:firstColumn="1" w:lastColumn="0" w:noHBand="0" w:noVBand="1"/>
      </w:tblPr>
      <w:tblGrid>
        <w:gridCol w:w="6385"/>
        <w:gridCol w:w="2975"/>
      </w:tblGrid>
      <w:tr w:rsidR="00580084" w:rsidTr="009003E9" w14:paraId="62932F86" w14:textId="77777777">
        <w:trPr>
          <w:cantSplit/>
          <w:tblHeader/>
        </w:trPr>
        <w:tc>
          <w:tcPr>
            <w:tcW w:w="6385" w:type="dxa"/>
            <w:tcBorders>
              <w:top w:val="single" w:color="auto" w:sz="6" w:space="0"/>
              <w:left w:val="single" w:color="auto" w:sz="4" w:space="0"/>
              <w:bottom w:val="single" w:color="auto" w:sz="6" w:space="0"/>
              <w:right w:val="single" w:color="auto" w:sz="6" w:space="0"/>
            </w:tcBorders>
            <w:noWrap/>
            <w:vAlign w:val="bottom"/>
            <w:hideMark/>
          </w:tcPr>
          <w:p w:rsidR="00580084" w:rsidP="009003E9" w:rsidRDefault="00580084" w14:paraId="0503D8FB" w14:textId="77777777">
            <w:pPr>
              <w:keepNext/>
              <w:spacing w:line="240" w:lineRule="auto"/>
              <w:ind w:firstLine="0"/>
              <w:jc w:val="center"/>
              <w:rPr>
                <w:b/>
              </w:rPr>
            </w:pPr>
            <w:r>
              <w:rPr>
                <w:b/>
              </w:rPr>
              <w:t>EVENT</w:t>
            </w:r>
          </w:p>
        </w:tc>
        <w:tc>
          <w:tcPr>
            <w:tcW w:w="2975" w:type="dxa"/>
            <w:tcBorders>
              <w:top w:val="single" w:color="auto" w:sz="6" w:space="0"/>
              <w:left w:val="single" w:color="auto" w:sz="6" w:space="0"/>
              <w:bottom w:val="single" w:color="auto" w:sz="6" w:space="0"/>
              <w:right w:val="single" w:color="auto" w:sz="4" w:space="0"/>
            </w:tcBorders>
            <w:vAlign w:val="bottom"/>
            <w:hideMark/>
          </w:tcPr>
          <w:p w:rsidR="00580084" w:rsidP="009003E9" w:rsidRDefault="00580084" w14:paraId="7FA7C73B" w14:textId="77777777">
            <w:pPr>
              <w:keepNext/>
              <w:spacing w:line="240" w:lineRule="auto"/>
              <w:ind w:firstLine="0"/>
              <w:jc w:val="center"/>
              <w:rPr>
                <w:b/>
              </w:rPr>
            </w:pPr>
            <w:r>
              <w:rPr>
                <w:b/>
              </w:rPr>
              <w:t>DATE</w:t>
            </w:r>
          </w:p>
        </w:tc>
      </w:tr>
      <w:tr w:rsidR="00580084" w:rsidTr="009003E9" w14:paraId="0C018D8E" w14:textId="77777777">
        <w:trPr>
          <w:cantSplit/>
        </w:trPr>
        <w:tc>
          <w:tcPr>
            <w:tcW w:w="6385" w:type="dxa"/>
            <w:tcBorders>
              <w:top w:val="single" w:color="auto" w:sz="6" w:space="0"/>
              <w:left w:val="single" w:color="auto" w:sz="4" w:space="0"/>
              <w:bottom w:val="single" w:color="auto" w:sz="6" w:space="0"/>
              <w:right w:val="single" w:color="auto" w:sz="6" w:space="0"/>
            </w:tcBorders>
            <w:noWrap/>
            <w:hideMark/>
          </w:tcPr>
          <w:p w:rsidR="00580084" w:rsidP="003B1E87" w:rsidRDefault="00580084" w14:paraId="439302B8" w14:textId="77777777">
            <w:pPr>
              <w:spacing w:line="240" w:lineRule="auto"/>
              <w:ind w:firstLine="0"/>
            </w:pPr>
            <w:r>
              <w:t xml:space="preserve">Comments on OIR filed </w:t>
            </w:r>
          </w:p>
        </w:tc>
        <w:tc>
          <w:tcPr>
            <w:tcW w:w="2975" w:type="dxa"/>
            <w:tcBorders>
              <w:top w:val="single" w:color="auto" w:sz="6" w:space="0"/>
              <w:left w:val="single" w:color="auto" w:sz="6" w:space="0"/>
              <w:bottom w:val="single" w:color="auto" w:sz="6" w:space="0"/>
              <w:right w:val="single" w:color="auto" w:sz="4" w:space="0"/>
            </w:tcBorders>
            <w:hideMark/>
          </w:tcPr>
          <w:p w:rsidR="00865BB2" w:rsidP="003B1E87" w:rsidRDefault="00580084" w14:paraId="26B1794F" w14:textId="77777777">
            <w:pPr>
              <w:spacing w:line="240" w:lineRule="auto"/>
              <w:ind w:hanging="29"/>
              <w:jc w:val="center"/>
            </w:pPr>
            <w:r>
              <w:t>20 days from the</w:t>
            </w:r>
          </w:p>
          <w:p w:rsidR="00580084" w:rsidP="003B1E87" w:rsidRDefault="00580084" w14:paraId="79DC1AEA" w14:textId="2CCF45B2">
            <w:pPr>
              <w:spacing w:line="240" w:lineRule="auto"/>
              <w:ind w:hanging="29"/>
              <w:jc w:val="center"/>
            </w:pPr>
            <w:r>
              <w:t>issuance of OIR</w:t>
            </w:r>
          </w:p>
        </w:tc>
      </w:tr>
      <w:tr w:rsidR="00580084" w:rsidTr="009003E9" w14:paraId="23A2A188" w14:textId="77777777">
        <w:trPr>
          <w:cantSplit/>
        </w:trPr>
        <w:tc>
          <w:tcPr>
            <w:tcW w:w="6385" w:type="dxa"/>
            <w:tcBorders>
              <w:top w:val="single" w:color="auto" w:sz="6" w:space="0"/>
              <w:left w:val="single" w:color="auto" w:sz="4" w:space="0"/>
              <w:bottom w:val="single" w:color="auto" w:sz="6" w:space="0"/>
              <w:right w:val="single" w:color="auto" w:sz="6" w:space="0"/>
            </w:tcBorders>
            <w:noWrap/>
            <w:hideMark/>
          </w:tcPr>
          <w:p w:rsidR="00580084" w:rsidP="003B1E87" w:rsidRDefault="00580084" w14:paraId="32A02E85" w14:textId="77777777">
            <w:pPr>
              <w:spacing w:line="240" w:lineRule="auto"/>
              <w:ind w:hanging="30"/>
            </w:pPr>
            <w:r>
              <w:t>Reply comments on OIR filed</w:t>
            </w:r>
          </w:p>
        </w:tc>
        <w:tc>
          <w:tcPr>
            <w:tcW w:w="2975" w:type="dxa"/>
            <w:tcBorders>
              <w:top w:val="single" w:color="auto" w:sz="6" w:space="0"/>
              <w:left w:val="single" w:color="auto" w:sz="6" w:space="0"/>
              <w:bottom w:val="single" w:color="auto" w:sz="6" w:space="0"/>
              <w:right w:val="single" w:color="auto" w:sz="4" w:space="0"/>
            </w:tcBorders>
            <w:hideMark/>
          </w:tcPr>
          <w:p w:rsidR="00865BB2" w:rsidP="003B1E87" w:rsidRDefault="00580084" w14:paraId="49850C39" w14:textId="77777777">
            <w:pPr>
              <w:spacing w:line="240" w:lineRule="auto"/>
              <w:ind w:hanging="29"/>
              <w:jc w:val="center"/>
            </w:pPr>
            <w:r>
              <w:t>30 days from the</w:t>
            </w:r>
          </w:p>
          <w:p w:rsidR="00580084" w:rsidP="003B1E87" w:rsidRDefault="00580084" w14:paraId="4625650E" w14:textId="018795A8">
            <w:pPr>
              <w:spacing w:line="240" w:lineRule="auto"/>
              <w:ind w:hanging="29"/>
              <w:jc w:val="center"/>
            </w:pPr>
            <w:r>
              <w:t>issuance of OIR</w:t>
            </w:r>
          </w:p>
        </w:tc>
      </w:tr>
      <w:tr w:rsidR="00580084" w:rsidTr="009003E9" w14:paraId="569D6668" w14:textId="77777777">
        <w:trPr>
          <w:cantSplit/>
        </w:trPr>
        <w:tc>
          <w:tcPr>
            <w:tcW w:w="6385" w:type="dxa"/>
            <w:tcBorders>
              <w:top w:val="single" w:color="auto" w:sz="6" w:space="0"/>
              <w:left w:val="single" w:color="auto" w:sz="4" w:space="0"/>
              <w:bottom w:val="single" w:color="auto" w:sz="6" w:space="0"/>
              <w:right w:val="single" w:color="auto" w:sz="6" w:space="0"/>
            </w:tcBorders>
            <w:noWrap/>
            <w:hideMark/>
          </w:tcPr>
          <w:p w:rsidR="00580084" w:rsidP="003B1E87" w:rsidRDefault="00AA05D6" w14:paraId="311B90E9" w14:textId="429B1229">
            <w:pPr>
              <w:spacing w:line="240" w:lineRule="auto"/>
              <w:ind w:hanging="30"/>
            </w:pPr>
            <w:r>
              <w:t>P</w:t>
            </w:r>
            <w:r w:rsidR="00794613">
              <w:t>rehearing Conference</w:t>
            </w:r>
          </w:p>
        </w:tc>
        <w:tc>
          <w:tcPr>
            <w:tcW w:w="2975" w:type="dxa"/>
            <w:tcBorders>
              <w:top w:val="single" w:color="auto" w:sz="6" w:space="0"/>
              <w:left w:val="single" w:color="auto" w:sz="6" w:space="0"/>
              <w:bottom w:val="single" w:color="auto" w:sz="6" w:space="0"/>
              <w:right w:val="single" w:color="auto" w:sz="4" w:space="0"/>
            </w:tcBorders>
            <w:hideMark/>
          </w:tcPr>
          <w:p w:rsidR="00580084" w:rsidP="003B1E87" w:rsidRDefault="00056C95" w14:paraId="0992FE75" w14:textId="011ADFE6">
            <w:pPr>
              <w:spacing w:line="240" w:lineRule="auto"/>
              <w:ind w:hanging="29"/>
              <w:jc w:val="center"/>
            </w:pPr>
            <w:r>
              <w:t>November </w:t>
            </w:r>
            <w:r w:rsidRPr="000A623D" w:rsidR="00580084">
              <w:t>1</w:t>
            </w:r>
            <w:r w:rsidRPr="000A623D" w:rsidR="000A623D">
              <w:t>7</w:t>
            </w:r>
            <w:r w:rsidRPr="000A623D" w:rsidR="00580084">
              <w:t xml:space="preserve">, </w:t>
            </w:r>
            <w:r w:rsidRPr="000A623D" w:rsidR="00F51FF4">
              <w:t>2023</w:t>
            </w:r>
          </w:p>
          <w:p w:rsidR="00580084" w:rsidP="003B1E87" w:rsidRDefault="00580084" w14:paraId="00159262" w14:textId="566553ED">
            <w:pPr>
              <w:spacing w:line="240" w:lineRule="auto"/>
              <w:ind w:hanging="29"/>
              <w:jc w:val="center"/>
            </w:pPr>
            <w:r>
              <w:t>10:00 a.m.</w:t>
            </w:r>
            <w:r w:rsidR="003B1E87">
              <w:t xml:space="preserve"> v</w:t>
            </w:r>
            <w:r>
              <w:t xml:space="preserve">ia </w:t>
            </w:r>
            <w:r w:rsidR="00DF0746">
              <w:t>Webex</w:t>
            </w:r>
          </w:p>
        </w:tc>
      </w:tr>
      <w:tr w:rsidR="00580084" w:rsidTr="009003E9" w14:paraId="3877438F" w14:textId="77777777">
        <w:trPr>
          <w:cantSplit/>
        </w:trPr>
        <w:tc>
          <w:tcPr>
            <w:tcW w:w="6385" w:type="dxa"/>
            <w:tcBorders>
              <w:top w:val="single" w:color="auto" w:sz="6" w:space="0"/>
              <w:left w:val="single" w:color="auto" w:sz="4" w:space="0"/>
              <w:bottom w:val="single" w:color="auto" w:sz="6" w:space="0"/>
              <w:right w:val="single" w:color="auto" w:sz="6" w:space="0"/>
            </w:tcBorders>
            <w:noWrap/>
            <w:hideMark/>
          </w:tcPr>
          <w:p w:rsidR="00580084" w:rsidP="003B1E87" w:rsidRDefault="00580084" w14:paraId="6F6E9572" w14:textId="77777777">
            <w:pPr>
              <w:spacing w:line="240" w:lineRule="auto"/>
              <w:ind w:hanging="30"/>
            </w:pPr>
            <w:r>
              <w:t>Scoping Memo issued</w:t>
            </w:r>
          </w:p>
        </w:tc>
        <w:tc>
          <w:tcPr>
            <w:tcW w:w="2975" w:type="dxa"/>
            <w:tcBorders>
              <w:top w:val="single" w:color="auto" w:sz="6" w:space="0"/>
              <w:left w:val="single" w:color="auto" w:sz="6" w:space="0"/>
              <w:bottom w:val="single" w:color="auto" w:sz="6" w:space="0"/>
              <w:right w:val="single" w:color="auto" w:sz="4" w:space="0"/>
            </w:tcBorders>
            <w:hideMark/>
          </w:tcPr>
          <w:p w:rsidR="00580084" w:rsidP="003B1E87" w:rsidRDefault="00580084" w14:paraId="006832F3" w14:textId="027084F9">
            <w:pPr>
              <w:spacing w:line="240" w:lineRule="auto"/>
              <w:ind w:hanging="29"/>
              <w:jc w:val="center"/>
            </w:pPr>
            <w:r>
              <w:t>December 202</w:t>
            </w:r>
            <w:r w:rsidR="00F51FF4">
              <w:t>3</w:t>
            </w:r>
          </w:p>
        </w:tc>
      </w:tr>
      <w:tr w:rsidR="0064381A" w:rsidTr="009003E9" w14:paraId="3CACA1D7" w14:textId="77777777">
        <w:trPr>
          <w:cantSplit/>
        </w:trPr>
        <w:tc>
          <w:tcPr>
            <w:tcW w:w="6385" w:type="dxa"/>
            <w:tcBorders>
              <w:top w:val="single" w:color="auto" w:sz="6" w:space="0"/>
              <w:left w:val="single" w:color="auto" w:sz="4" w:space="0"/>
              <w:bottom w:val="single" w:color="auto" w:sz="4" w:space="0"/>
              <w:right w:val="single" w:color="auto" w:sz="6" w:space="0"/>
            </w:tcBorders>
            <w:noWrap/>
          </w:tcPr>
          <w:p w:rsidR="0064381A" w:rsidP="003B1E87" w:rsidRDefault="002C5C94" w14:paraId="52C49D32" w14:textId="377E09F8">
            <w:pPr>
              <w:spacing w:line="240" w:lineRule="auto"/>
              <w:ind w:hanging="30"/>
            </w:pPr>
            <w:r>
              <w:t>Energy Div</w:t>
            </w:r>
            <w:r w:rsidR="0064381A">
              <w:t>ision Report on SOD Framework</w:t>
            </w:r>
          </w:p>
        </w:tc>
        <w:tc>
          <w:tcPr>
            <w:tcW w:w="2975" w:type="dxa"/>
            <w:tcBorders>
              <w:top w:val="single" w:color="auto" w:sz="6" w:space="0"/>
              <w:left w:val="single" w:color="auto" w:sz="6" w:space="0"/>
              <w:bottom w:val="single" w:color="auto" w:sz="4" w:space="0"/>
              <w:right w:val="single" w:color="auto" w:sz="4" w:space="0"/>
            </w:tcBorders>
          </w:tcPr>
          <w:p w:rsidR="0064381A" w:rsidP="003B1E87" w:rsidRDefault="0064381A" w14:paraId="5BCF5995" w14:textId="25EF678E">
            <w:pPr>
              <w:spacing w:line="240" w:lineRule="auto"/>
              <w:ind w:hanging="29"/>
              <w:jc w:val="center"/>
            </w:pPr>
            <w:r>
              <w:t xml:space="preserve">By </w:t>
            </w:r>
            <w:r w:rsidR="00056C95">
              <w:t>February </w:t>
            </w:r>
            <w:r>
              <w:t>1, 2024</w:t>
            </w:r>
          </w:p>
        </w:tc>
      </w:tr>
      <w:tr w:rsidR="0064381A" w:rsidTr="009003E9" w14:paraId="0352921B" w14:textId="77777777">
        <w:trPr>
          <w:cantSplit/>
        </w:trPr>
        <w:tc>
          <w:tcPr>
            <w:tcW w:w="6385" w:type="dxa"/>
            <w:tcBorders>
              <w:top w:val="single" w:color="auto" w:sz="6" w:space="0"/>
              <w:left w:val="single" w:color="auto" w:sz="4" w:space="0"/>
              <w:bottom w:val="single" w:color="auto" w:sz="4" w:space="0"/>
              <w:right w:val="single" w:color="auto" w:sz="6" w:space="0"/>
            </w:tcBorders>
            <w:noWrap/>
          </w:tcPr>
          <w:p w:rsidR="0064381A" w:rsidP="003B1E87" w:rsidRDefault="0064381A" w14:paraId="57B79F31" w14:textId="2287FADC">
            <w:pPr>
              <w:spacing w:line="240" w:lineRule="auto"/>
              <w:ind w:hanging="30"/>
            </w:pPr>
            <w:r>
              <w:t>Party proposals filed</w:t>
            </w:r>
            <w:r>
              <w:rPr>
                <w:vertAlign w:val="superscript"/>
              </w:rPr>
              <w:footnoteReference w:id="3"/>
            </w:r>
          </w:p>
        </w:tc>
        <w:tc>
          <w:tcPr>
            <w:tcW w:w="2975" w:type="dxa"/>
            <w:tcBorders>
              <w:top w:val="single" w:color="auto" w:sz="6" w:space="0"/>
              <w:left w:val="single" w:color="auto" w:sz="6" w:space="0"/>
              <w:bottom w:val="single" w:color="auto" w:sz="4" w:space="0"/>
              <w:right w:val="single" w:color="auto" w:sz="4" w:space="0"/>
            </w:tcBorders>
          </w:tcPr>
          <w:p w:rsidR="0064381A" w:rsidP="003B1E87" w:rsidRDefault="00056C95" w14:paraId="3A63020D" w14:textId="2B312853">
            <w:pPr>
              <w:spacing w:line="240" w:lineRule="auto"/>
              <w:ind w:hanging="29"/>
              <w:jc w:val="center"/>
            </w:pPr>
            <w:r>
              <w:t>January </w:t>
            </w:r>
            <w:r w:rsidR="0064381A">
              <w:t>19, 2024</w:t>
            </w:r>
          </w:p>
        </w:tc>
      </w:tr>
      <w:tr w:rsidR="0064381A" w:rsidTr="009003E9" w14:paraId="0482B2A5" w14:textId="77777777">
        <w:trPr>
          <w:cantSplit/>
        </w:trPr>
        <w:tc>
          <w:tcPr>
            <w:tcW w:w="6385" w:type="dxa"/>
            <w:tcBorders>
              <w:top w:val="single" w:color="auto" w:sz="6" w:space="0"/>
              <w:left w:val="single" w:color="auto" w:sz="4" w:space="0"/>
              <w:bottom w:val="single" w:color="auto" w:sz="4" w:space="0"/>
              <w:right w:val="single" w:color="auto" w:sz="6" w:space="0"/>
            </w:tcBorders>
            <w:noWrap/>
          </w:tcPr>
          <w:p w:rsidR="0064381A" w:rsidP="003B1E87" w:rsidRDefault="0064381A" w14:paraId="11BBC012" w14:textId="3DB87263">
            <w:pPr>
              <w:spacing w:line="240" w:lineRule="auto"/>
              <w:ind w:hanging="30"/>
            </w:pPr>
            <w:r>
              <w:t xml:space="preserve">Workshop(s) conducted by </w:t>
            </w:r>
            <w:r w:rsidR="002C5C94">
              <w:t>Energy Div</w:t>
            </w:r>
            <w:r>
              <w:t>ision</w:t>
            </w:r>
          </w:p>
        </w:tc>
        <w:tc>
          <w:tcPr>
            <w:tcW w:w="2975" w:type="dxa"/>
            <w:tcBorders>
              <w:top w:val="single" w:color="auto" w:sz="6" w:space="0"/>
              <w:left w:val="single" w:color="auto" w:sz="6" w:space="0"/>
              <w:bottom w:val="single" w:color="auto" w:sz="4" w:space="0"/>
              <w:right w:val="single" w:color="auto" w:sz="4" w:space="0"/>
            </w:tcBorders>
          </w:tcPr>
          <w:p w:rsidR="0064381A" w:rsidP="003B1E87" w:rsidRDefault="0064381A" w14:paraId="6AC43719" w14:textId="6D1026B9">
            <w:pPr>
              <w:spacing w:line="240" w:lineRule="auto"/>
              <w:ind w:hanging="29"/>
              <w:jc w:val="center"/>
            </w:pPr>
            <w:r>
              <w:t>Early February 2024</w:t>
            </w:r>
          </w:p>
        </w:tc>
      </w:tr>
      <w:tr w:rsidR="0064381A" w:rsidTr="009003E9" w14:paraId="224D5C3D" w14:textId="77777777">
        <w:trPr>
          <w:cantSplit/>
        </w:trPr>
        <w:tc>
          <w:tcPr>
            <w:tcW w:w="6385" w:type="dxa"/>
            <w:tcBorders>
              <w:top w:val="single" w:color="auto" w:sz="6" w:space="0"/>
              <w:left w:val="single" w:color="auto" w:sz="4" w:space="0"/>
              <w:bottom w:val="single" w:color="auto" w:sz="4" w:space="0"/>
              <w:right w:val="single" w:color="auto" w:sz="6" w:space="0"/>
            </w:tcBorders>
            <w:noWrap/>
          </w:tcPr>
          <w:p w:rsidR="0064381A" w:rsidP="003B1E87" w:rsidRDefault="0064381A" w14:paraId="250C2176" w14:textId="3E951372">
            <w:pPr>
              <w:spacing w:line="240" w:lineRule="auto"/>
              <w:ind w:hanging="30"/>
            </w:pPr>
            <w:r>
              <w:t>Comments on proposals filed</w:t>
            </w:r>
          </w:p>
        </w:tc>
        <w:tc>
          <w:tcPr>
            <w:tcW w:w="2975" w:type="dxa"/>
            <w:tcBorders>
              <w:top w:val="single" w:color="auto" w:sz="6" w:space="0"/>
              <w:left w:val="single" w:color="auto" w:sz="6" w:space="0"/>
              <w:bottom w:val="single" w:color="auto" w:sz="4" w:space="0"/>
              <w:right w:val="single" w:color="auto" w:sz="4" w:space="0"/>
            </w:tcBorders>
          </w:tcPr>
          <w:p w:rsidR="0064381A" w:rsidP="003B1E87" w:rsidRDefault="00056C95" w14:paraId="5D6C6436" w14:textId="0133BFD9">
            <w:pPr>
              <w:spacing w:line="240" w:lineRule="auto"/>
              <w:ind w:hanging="29"/>
              <w:jc w:val="center"/>
            </w:pPr>
            <w:r>
              <w:t>February </w:t>
            </w:r>
            <w:r w:rsidR="0064381A">
              <w:t>23, 2024</w:t>
            </w:r>
          </w:p>
        </w:tc>
      </w:tr>
      <w:tr w:rsidR="0064381A" w:rsidTr="009003E9" w14:paraId="06013C88" w14:textId="77777777">
        <w:trPr>
          <w:cantSplit/>
        </w:trPr>
        <w:tc>
          <w:tcPr>
            <w:tcW w:w="6385" w:type="dxa"/>
            <w:tcBorders>
              <w:top w:val="single" w:color="auto" w:sz="6" w:space="0"/>
              <w:left w:val="single" w:color="auto" w:sz="4" w:space="0"/>
              <w:bottom w:val="single" w:color="auto" w:sz="4" w:space="0"/>
              <w:right w:val="single" w:color="auto" w:sz="6" w:space="0"/>
            </w:tcBorders>
            <w:noWrap/>
          </w:tcPr>
          <w:p w:rsidR="0064381A" w:rsidP="003B1E87" w:rsidRDefault="0064381A" w14:paraId="0CD843DD" w14:textId="452191AF">
            <w:pPr>
              <w:spacing w:line="240" w:lineRule="auto"/>
              <w:ind w:hanging="30"/>
            </w:pPr>
            <w:r>
              <w:t>Reply comments filed</w:t>
            </w:r>
          </w:p>
        </w:tc>
        <w:tc>
          <w:tcPr>
            <w:tcW w:w="2975" w:type="dxa"/>
            <w:tcBorders>
              <w:top w:val="single" w:color="auto" w:sz="6" w:space="0"/>
              <w:left w:val="single" w:color="auto" w:sz="6" w:space="0"/>
              <w:bottom w:val="single" w:color="auto" w:sz="4" w:space="0"/>
              <w:right w:val="single" w:color="auto" w:sz="4" w:space="0"/>
            </w:tcBorders>
          </w:tcPr>
          <w:p w:rsidR="0064381A" w:rsidP="003B1E87" w:rsidRDefault="00056C95" w14:paraId="5FB0357F" w14:textId="59AA7E27">
            <w:pPr>
              <w:spacing w:line="240" w:lineRule="auto"/>
              <w:ind w:hanging="29"/>
              <w:jc w:val="center"/>
            </w:pPr>
            <w:r>
              <w:t>March </w:t>
            </w:r>
            <w:r w:rsidR="0064381A">
              <w:t>8, 2024</w:t>
            </w:r>
          </w:p>
        </w:tc>
      </w:tr>
      <w:tr w:rsidR="0064381A" w:rsidTr="009003E9" w14:paraId="483B0FC7" w14:textId="77777777">
        <w:trPr>
          <w:cantSplit/>
        </w:trPr>
        <w:tc>
          <w:tcPr>
            <w:tcW w:w="6385" w:type="dxa"/>
            <w:tcBorders>
              <w:top w:val="single" w:color="auto" w:sz="6" w:space="0"/>
              <w:left w:val="single" w:color="auto" w:sz="4" w:space="0"/>
              <w:bottom w:val="single" w:color="auto" w:sz="4" w:space="0"/>
              <w:right w:val="single" w:color="auto" w:sz="6" w:space="0"/>
            </w:tcBorders>
            <w:noWrap/>
          </w:tcPr>
          <w:p w:rsidR="0064381A" w:rsidP="003B1E87" w:rsidRDefault="0064381A" w14:paraId="787BD664" w14:textId="01778BFB">
            <w:pPr>
              <w:spacing w:line="240" w:lineRule="auto"/>
              <w:ind w:hanging="30"/>
            </w:pPr>
            <w:r>
              <w:t>CAISO publishes draft LCR and FCR Report</w:t>
            </w:r>
          </w:p>
        </w:tc>
        <w:tc>
          <w:tcPr>
            <w:tcW w:w="2975" w:type="dxa"/>
            <w:tcBorders>
              <w:top w:val="single" w:color="auto" w:sz="6" w:space="0"/>
              <w:left w:val="single" w:color="auto" w:sz="6" w:space="0"/>
              <w:bottom w:val="single" w:color="auto" w:sz="4" w:space="0"/>
              <w:right w:val="single" w:color="auto" w:sz="4" w:space="0"/>
            </w:tcBorders>
          </w:tcPr>
          <w:p w:rsidR="0064381A" w:rsidP="003B1E87" w:rsidRDefault="0064381A" w14:paraId="41DCA1E1" w14:textId="75BA9ECA">
            <w:pPr>
              <w:spacing w:line="240" w:lineRule="auto"/>
              <w:ind w:hanging="29"/>
              <w:jc w:val="center"/>
            </w:pPr>
            <w:r>
              <w:t>April 2024</w:t>
            </w:r>
          </w:p>
        </w:tc>
      </w:tr>
      <w:tr w:rsidR="0064381A" w:rsidTr="009003E9" w14:paraId="0CEE5147" w14:textId="77777777">
        <w:trPr>
          <w:cantSplit/>
        </w:trPr>
        <w:tc>
          <w:tcPr>
            <w:tcW w:w="6385" w:type="dxa"/>
            <w:tcBorders>
              <w:top w:val="single" w:color="auto" w:sz="6" w:space="0"/>
              <w:left w:val="single" w:color="auto" w:sz="4" w:space="0"/>
              <w:bottom w:val="single" w:color="auto" w:sz="4" w:space="0"/>
              <w:right w:val="single" w:color="auto" w:sz="6" w:space="0"/>
            </w:tcBorders>
            <w:noWrap/>
          </w:tcPr>
          <w:p w:rsidR="0064381A" w:rsidP="003B1E87" w:rsidRDefault="0064381A" w14:paraId="2225A491" w14:textId="2DB0C3BF">
            <w:pPr>
              <w:spacing w:line="240" w:lineRule="auto"/>
              <w:ind w:hanging="30"/>
            </w:pPr>
            <w:r>
              <w:lastRenderedPageBreak/>
              <w:t>CAISO publishes final LCR and FCR Report</w:t>
            </w:r>
          </w:p>
        </w:tc>
        <w:tc>
          <w:tcPr>
            <w:tcW w:w="2975" w:type="dxa"/>
            <w:tcBorders>
              <w:top w:val="single" w:color="auto" w:sz="6" w:space="0"/>
              <w:left w:val="single" w:color="auto" w:sz="6" w:space="0"/>
              <w:bottom w:val="single" w:color="auto" w:sz="4" w:space="0"/>
              <w:right w:val="single" w:color="auto" w:sz="4" w:space="0"/>
            </w:tcBorders>
          </w:tcPr>
          <w:p w:rsidR="0064381A" w:rsidP="003B1E87" w:rsidRDefault="0064381A" w14:paraId="19271F74" w14:textId="71523DA4">
            <w:pPr>
              <w:spacing w:line="240" w:lineRule="auto"/>
              <w:ind w:hanging="29"/>
              <w:jc w:val="center"/>
            </w:pPr>
            <w:r>
              <w:t>May 2024</w:t>
            </w:r>
          </w:p>
        </w:tc>
      </w:tr>
      <w:tr w:rsidR="0064381A" w:rsidTr="009003E9" w14:paraId="4CB50C33" w14:textId="77777777">
        <w:trPr>
          <w:cantSplit/>
        </w:trPr>
        <w:tc>
          <w:tcPr>
            <w:tcW w:w="6385" w:type="dxa"/>
            <w:tcBorders>
              <w:top w:val="single" w:color="auto" w:sz="6" w:space="0"/>
              <w:left w:val="single" w:color="auto" w:sz="4" w:space="0"/>
              <w:bottom w:val="single" w:color="auto" w:sz="4" w:space="0"/>
              <w:right w:val="single" w:color="auto" w:sz="6" w:space="0"/>
            </w:tcBorders>
            <w:noWrap/>
          </w:tcPr>
          <w:p w:rsidR="0064381A" w:rsidP="003B1E87" w:rsidRDefault="0064381A" w14:paraId="015C2A44" w14:textId="5ABACCF7">
            <w:pPr>
              <w:spacing w:line="240" w:lineRule="auto"/>
              <w:ind w:hanging="30"/>
            </w:pPr>
            <w:r>
              <w:t>Comments on LCR and FCR Reports filed</w:t>
            </w:r>
          </w:p>
        </w:tc>
        <w:tc>
          <w:tcPr>
            <w:tcW w:w="2975" w:type="dxa"/>
            <w:tcBorders>
              <w:top w:val="single" w:color="auto" w:sz="6" w:space="0"/>
              <w:left w:val="single" w:color="auto" w:sz="6" w:space="0"/>
              <w:bottom w:val="single" w:color="auto" w:sz="4" w:space="0"/>
              <w:right w:val="single" w:color="auto" w:sz="4" w:space="0"/>
            </w:tcBorders>
          </w:tcPr>
          <w:p w:rsidR="0064381A" w:rsidP="003B1E87" w:rsidRDefault="0064381A" w14:paraId="47CE3431" w14:textId="55684CA1">
            <w:pPr>
              <w:spacing w:line="240" w:lineRule="auto"/>
              <w:ind w:hanging="29"/>
              <w:jc w:val="center"/>
            </w:pPr>
            <w:r>
              <w:t>May 2024</w:t>
            </w:r>
          </w:p>
        </w:tc>
      </w:tr>
      <w:tr w:rsidR="0064381A" w:rsidTr="009003E9" w14:paraId="3A284B2E" w14:textId="77777777">
        <w:trPr>
          <w:cantSplit/>
        </w:trPr>
        <w:tc>
          <w:tcPr>
            <w:tcW w:w="6385" w:type="dxa"/>
            <w:tcBorders>
              <w:top w:val="single" w:color="auto" w:sz="6" w:space="0"/>
              <w:left w:val="single" w:color="auto" w:sz="4" w:space="0"/>
              <w:bottom w:val="single" w:color="auto" w:sz="4" w:space="0"/>
              <w:right w:val="single" w:color="auto" w:sz="6" w:space="0"/>
            </w:tcBorders>
            <w:noWrap/>
          </w:tcPr>
          <w:p w:rsidR="0064381A" w:rsidP="003B1E87" w:rsidRDefault="0064381A" w14:paraId="0A293715" w14:textId="36D8FF46">
            <w:pPr>
              <w:spacing w:line="240" w:lineRule="auto"/>
              <w:ind w:hanging="30"/>
            </w:pPr>
            <w:r>
              <w:t xml:space="preserve">Proposed Decision </w:t>
            </w:r>
          </w:p>
        </w:tc>
        <w:tc>
          <w:tcPr>
            <w:tcW w:w="2975" w:type="dxa"/>
            <w:tcBorders>
              <w:top w:val="single" w:color="auto" w:sz="6" w:space="0"/>
              <w:left w:val="single" w:color="auto" w:sz="6" w:space="0"/>
              <w:bottom w:val="single" w:color="auto" w:sz="4" w:space="0"/>
              <w:right w:val="single" w:color="auto" w:sz="4" w:space="0"/>
            </w:tcBorders>
          </w:tcPr>
          <w:p w:rsidR="0064381A" w:rsidP="003B1E87" w:rsidRDefault="0064381A" w14:paraId="6A32CE7C" w14:textId="3DC5F8EC">
            <w:pPr>
              <w:spacing w:line="240" w:lineRule="auto"/>
              <w:ind w:hanging="29"/>
              <w:jc w:val="center"/>
            </w:pPr>
            <w:r>
              <w:t>May 2024</w:t>
            </w:r>
          </w:p>
        </w:tc>
      </w:tr>
      <w:tr w:rsidR="0064381A" w:rsidTr="009003E9" w14:paraId="686B089B" w14:textId="77777777">
        <w:trPr>
          <w:cantSplit/>
        </w:trPr>
        <w:tc>
          <w:tcPr>
            <w:tcW w:w="6385" w:type="dxa"/>
            <w:tcBorders>
              <w:top w:val="single" w:color="auto" w:sz="6" w:space="0"/>
              <w:left w:val="single" w:color="auto" w:sz="4" w:space="0"/>
              <w:bottom w:val="single" w:color="auto" w:sz="4" w:space="0"/>
              <w:right w:val="single" w:color="auto" w:sz="6" w:space="0"/>
            </w:tcBorders>
            <w:noWrap/>
          </w:tcPr>
          <w:p w:rsidR="0064381A" w:rsidP="002C5C94" w:rsidRDefault="0064381A" w14:paraId="7E12635F" w14:textId="6D361625">
            <w:pPr>
              <w:keepNext/>
              <w:spacing w:line="240" w:lineRule="auto"/>
              <w:ind w:hanging="30"/>
            </w:pPr>
            <w:r>
              <w:t xml:space="preserve">Final Commission Decision </w:t>
            </w:r>
          </w:p>
        </w:tc>
        <w:tc>
          <w:tcPr>
            <w:tcW w:w="2975" w:type="dxa"/>
            <w:tcBorders>
              <w:top w:val="single" w:color="auto" w:sz="6" w:space="0"/>
              <w:left w:val="single" w:color="auto" w:sz="6" w:space="0"/>
              <w:bottom w:val="single" w:color="auto" w:sz="4" w:space="0"/>
              <w:right w:val="single" w:color="auto" w:sz="4" w:space="0"/>
            </w:tcBorders>
          </w:tcPr>
          <w:p w:rsidR="0064381A" w:rsidP="002C5C94" w:rsidRDefault="0064381A" w14:paraId="227B1F43" w14:textId="4EFC829A">
            <w:pPr>
              <w:keepNext/>
              <w:spacing w:line="240" w:lineRule="auto"/>
              <w:ind w:hanging="29"/>
              <w:jc w:val="center"/>
            </w:pPr>
            <w:r>
              <w:t>June 2024</w:t>
            </w:r>
          </w:p>
        </w:tc>
      </w:tr>
    </w:tbl>
    <w:p w:rsidR="0064381A" w:rsidP="002B23EC" w:rsidRDefault="0064381A" w14:paraId="6FE90D94" w14:textId="229E6A0A">
      <w:pPr>
        <w:keepNext/>
        <w:spacing w:before="60" w:after="180" w:line="240" w:lineRule="auto"/>
        <w:ind w:firstLine="0"/>
        <w:rPr>
          <w:sz w:val="22"/>
        </w:rPr>
      </w:pPr>
      <w:r>
        <w:rPr>
          <w:sz w:val="22"/>
        </w:rPr>
        <w:t xml:space="preserve">*Dates for those components of the LCR and FCR studies and review process that are administered by the CAISO will be determined by the CAISO in consultation with </w:t>
      </w:r>
      <w:r w:rsidR="002C5C94">
        <w:rPr>
          <w:sz w:val="22"/>
        </w:rPr>
        <w:t>Energy Div</w:t>
      </w:r>
      <w:r>
        <w:rPr>
          <w:sz w:val="22"/>
        </w:rPr>
        <w:t>ision.</w:t>
      </w:r>
    </w:p>
    <w:p w:rsidR="00580084" w:rsidP="00471F88" w:rsidRDefault="00580084" w14:paraId="0DF5A7D9" w14:textId="0AA6AE7B">
      <w:pPr>
        <w:pStyle w:val="Standard"/>
      </w:pPr>
      <w:r>
        <w:t xml:space="preserve">The PHC will be held remotely on </w:t>
      </w:r>
      <w:r w:rsidR="00056C95">
        <w:t>November </w:t>
      </w:r>
      <w:r w:rsidR="00F51FF4">
        <w:t>1</w:t>
      </w:r>
      <w:r w:rsidR="000A623D">
        <w:t>7</w:t>
      </w:r>
      <w:r w:rsidR="00F51FF4">
        <w:t>, 2023</w:t>
      </w:r>
      <w:r w:rsidR="00056C95">
        <w:t>,</w:t>
      </w:r>
      <w:r>
        <w:t xml:space="preserve"> at 10:00</w:t>
      </w:r>
      <w:r w:rsidR="00DF0746">
        <w:t> </w:t>
      </w:r>
      <w:r>
        <w:t>a.m.</w:t>
      </w:r>
      <w:r w:rsidR="0064381A">
        <w:t xml:space="preserve"> via </w:t>
      </w:r>
      <w:r w:rsidR="00DF0746">
        <w:t>Webex</w:t>
      </w:r>
      <w:r w:rsidR="0064381A">
        <w:t>.</w:t>
      </w:r>
    </w:p>
    <w:p w:rsidR="00580084" w:rsidP="00471F88" w:rsidRDefault="00580084" w14:paraId="2434E02A" w14:textId="48D05CAD">
      <w:pPr>
        <w:pStyle w:val="Standard"/>
      </w:pPr>
      <w:r>
        <w:t xml:space="preserve">This is a preliminary schedule, and is subject to change.  The assigned Commissioner and the assigned </w:t>
      </w:r>
      <w:r w:rsidRPr="00E80B04">
        <w:t xml:space="preserve">Administrative Law Judge </w:t>
      </w:r>
      <w:r>
        <w:t>(</w:t>
      </w:r>
      <w:r w:rsidRPr="00E80B04">
        <w:rPr>
          <w:szCs w:val="26"/>
        </w:rPr>
        <w:t>ALJ</w:t>
      </w:r>
      <w:r>
        <w:t>) have the authority to make any and all necessary changes to the schedule during the course of the proceeding to promote the efficient and fair resolution of the rulemaking.  We authorize the assigned Commissioner and/or ALJ to organize issues within the proceeding, including creating additional tracks for organization.  Because this proceeding is intended to address procurement for 202</w:t>
      </w:r>
      <w:r w:rsidR="009E7359">
        <w:t>5</w:t>
      </w:r>
      <w:r>
        <w:t xml:space="preserve"> and 202</w:t>
      </w:r>
      <w:r w:rsidR="009E7359">
        <w:t>6</w:t>
      </w:r>
      <w:r>
        <w:t xml:space="preserve"> (as well as local procurement for 202</w:t>
      </w:r>
      <w:r w:rsidR="009E7359">
        <w:t>5</w:t>
      </w:r>
      <w:r w:rsidR="005934C9">
        <w:noBreakHyphen/>
      </w:r>
      <w:r>
        <w:t>202</w:t>
      </w:r>
      <w:r w:rsidR="009E7359">
        <w:t>8</w:t>
      </w:r>
      <w:r>
        <w:t>), we anticipate this proceeding will be resolved within 24 months from the issuance of this OIR.</w:t>
      </w:r>
    </w:p>
    <w:p w:rsidR="00580084" w:rsidP="00471F88" w:rsidRDefault="00580084" w14:paraId="1B8864CE" w14:textId="77777777">
      <w:pPr>
        <w:pStyle w:val="Standard"/>
      </w:pPr>
      <w:r>
        <w:t>There will likely be multiple workshops in this proceeding.  Notice of such workshops or webinars will be noticed to the service list of this proceeding and posted on the Commission’s Daily Calendar to inform the public that a decisionmaker or an advisor may be present at those meetings or workshops.  Parties should check the Daily Calendar regularly for such notices.</w:t>
      </w:r>
    </w:p>
    <w:p w:rsidR="00580084" w:rsidP="00471F88" w:rsidRDefault="00580084" w14:paraId="5A8FF97E" w14:textId="77777777">
      <w:pPr>
        <w:pStyle w:val="Heading1"/>
        <w:keepLines w:val="0"/>
      </w:pPr>
      <w:r>
        <w:t>Comments on Preliminary Determinations</w:t>
      </w:r>
      <w:r>
        <w:br/>
        <w:t>and Scoping Memo</w:t>
      </w:r>
    </w:p>
    <w:p w:rsidR="00580084" w:rsidP="00471F88" w:rsidRDefault="00580084" w14:paraId="60633BA0" w14:textId="0C14C50B">
      <w:pPr>
        <w:pStyle w:val="Standard"/>
      </w:pPr>
      <w:r>
        <w:t xml:space="preserve">This OIR serves as a solicitation for parties to comment on the preliminary determinations and Scoping Memo identified in this order.  Parties should focus </w:t>
      </w:r>
      <w:r>
        <w:lastRenderedPageBreak/>
        <w:t>comments on the preliminary Scoping Memo and schedule, and any objections to the preliminary determinations.</w:t>
      </w:r>
      <w:r>
        <w:rPr>
          <w:vertAlign w:val="superscript"/>
        </w:rPr>
        <w:footnoteReference w:id="4"/>
      </w:r>
      <w:r>
        <w:t xml:space="preserve">  Parties should identify and prioritize no more than five</w:t>
      </w:r>
      <w:r w:rsidR="003E2417">
        <w:t xml:space="preserve"> </w:t>
      </w:r>
      <w:r w:rsidR="00794613">
        <w:t xml:space="preserve">(5) </w:t>
      </w:r>
      <w:r>
        <w:t>issues relating to refinements of RA program elements that they believe should be addressed in this proceeding.  The Commission will utilize parties’ comments and a PHC as a basis to identify areas that need clarification, and may consider the addition of specific issues or questions related to the scope of this proceeding.</w:t>
      </w:r>
    </w:p>
    <w:p w:rsidR="00580084" w:rsidP="00471F88" w:rsidRDefault="00580084" w14:paraId="59F355B2" w14:textId="69138390">
      <w:pPr>
        <w:pStyle w:val="Standard"/>
      </w:pPr>
      <w:r>
        <w:t>Comments are due to be filed and served no later than 20 days after the issuance of this OIR.  Reply comments may be filed and served not later than 30</w:t>
      </w:r>
      <w:r w:rsidR="00E26FCA">
        <w:t xml:space="preserve"> </w:t>
      </w:r>
      <w:r>
        <w:t>days after the issuance of this OIR.  Comments are limited to no more than 25</w:t>
      </w:r>
      <w:r w:rsidR="00E26FCA">
        <w:t xml:space="preserve"> </w:t>
      </w:r>
      <w:r>
        <w:t>pages per party, with replies limited to 15 pages per party.</w:t>
      </w:r>
    </w:p>
    <w:p w:rsidR="00580084" w:rsidP="00471F88" w:rsidRDefault="00580084" w14:paraId="672B6F12" w14:textId="28DABF51">
      <w:pPr>
        <w:pStyle w:val="Heading1"/>
        <w:keepLines w:val="0"/>
      </w:pPr>
      <w:r>
        <w:t xml:space="preserve">Category of Proceeding; </w:t>
      </w:r>
      <w:r>
        <w:rPr>
          <w:i/>
          <w:iCs/>
        </w:rPr>
        <w:t>Ex</w:t>
      </w:r>
      <w:r w:rsidR="00EC5D54">
        <w:rPr>
          <w:i/>
          <w:iCs/>
        </w:rPr>
        <w:t> </w:t>
      </w:r>
      <w:r>
        <w:rPr>
          <w:i/>
          <w:iCs/>
        </w:rPr>
        <w:t>Parte</w:t>
      </w:r>
      <w:r>
        <w:br/>
        <w:t>Communications; Need for Hearing</w:t>
      </w:r>
    </w:p>
    <w:p w:rsidR="00865BB2" w:rsidP="00471F88" w:rsidRDefault="00580084" w14:paraId="04B2E7C7" w14:textId="4D010ACB">
      <w:pPr>
        <w:pStyle w:val="Standard"/>
      </w:pPr>
      <w:r>
        <w:t xml:space="preserve">The </w:t>
      </w:r>
      <w:r w:rsidR="006C450D">
        <w:t xml:space="preserve">Commission’s </w:t>
      </w:r>
      <w:r>
        <w:t>Rules of Practice and Procedure require that an OIR preliminarily determine the category of the proceeding and the need for hearing.</w:t>
      </w:r>
      <w:r>
        <w:rPr>
          <w:vertAlign w:val="superscript"/>
        </w:rPr>
        <w:footnoteReference w:id="5"/>
      </w:r>
      <w:r>
        <w:t xml:space="preserve">  The category of the proceeding is preliminarily determined to be ratesetting.  Accordingly, </w:t>
      </w:r>
      <w:r>
        <w:rPr>
          <w:i/>
        </w:rPr>
        <w:t>ex</w:t>
      </w:r>
      <w:r w:rsidR="00995F78">
        <w:rPr>
          <w:i/>
        </w:rPr>
        <w:t> </w:t>
      </w:r>
      <w:r>
        <w:rPr>
          <w:i/>
        </w:rPr>
        <w:t>parte</w:t>
      </w:r>
      <w:r>
        <w:t xml:space="preserve"> communications are restricted and must be reported pursuant to </w:t>
      </w:r>
      <w:r w:rsidR="00E74658">
        <w:t>Rule </w:t>
      </w:r>
      <w:r>
        <w:t>8.3(c) until and unless the assigned Commissioner’s Scoping Memo changes the category of the proceeding.</w:t>
      </w:r>
      <w:r>
        <w:rPr>
          <w:vertAlign w:val="superscript"/>
        </w:rPr>
        <w:footnoteReference w:id="6"/>
      </w:r>
    </w:p>
    <w:p w:rsidR="00580084" w:rsidP="00471F88" w:rsidRDefault="00580084" w14:paraId="2259D51E" w14:textId="1032B769">
      <w:pPr>
        <w:pStyle w:val="Standard"/>
      </w:pPr>
      <w:r>
        <w:t>In the previous RA proceedings, R.11</w:t>
      </w:r>
      <w:r w:rsidR="005934C9">
        <w:noBreakHyphen/>
      </w:r>
      <w:r>
        <w:t>10</w:t>
      </w:r>
      <w:r w:rsidR="005934C9">
        <w:noBreakHyphen/>
      </w:r>
      <w:r>
        <w:t>023, R.14</w:t>
      </w:r>
      <w:r w:rsidR="005934C9">
        <w:noBreakHyphen/>
      </w:r>
      <w:r>
        <w:t>10</w:t>
      </w:r>
      <w:r w:rsidR="005934C9">
        <w:noBreakHyphen/>
      </w:r>
      <w:r>
        <w:t>010, R.17</w:t>
      </w:r>
      <w:r w:rsidR="005934C9">
        <w:noBreakHyphen/>
      </w:r>
      <w:r>
        <w:t>09</w:t>
      </w:r>
      <w:r w:rsidR="005934C9">
        <w:noBreakHyphen/>
      </w:r>
      <w:r>
        <w:t>020, R.19</w:t>
      </w:r>
      <w:r w:rsidR="005934C9">
        <w:noBreakHyphen/>
      </w:r>
      <w:r>
        <w:t>11</w:t>
      </w:r>
      <w:r w:rsidR="005934C9">
        <w:noBreakHyphen/>
      </w:r>
      <w:r>
        <w:t>009,</w:t>
      </w:r>
      <w:r w:rsidR="009E7359">
        <w:t xml:space="preserve"> and R.21</w:t>
      </w:r>
      <w:r w:rsidR="005934C9">
        <w:noBreakHyphen/>
      </w:r>
      <w:r w:rsidR="009E7359">
        <w:t>10</w:t>
      </w:r>
      <w:r w:rsidR="005934C9">
        <w:noBreakHyphen/>
      </w:r>
      <w:r w:rsidR="009E7359">
        <w:t>002,</w:t>
      </w:r>
      <w:r>
        <w:t xml:space="preserve"> issues were addressed through a combination of formal comments and workshops, without evidentiary hearings.  We anticipate that issues in this proceeding may be resolved without evidentiary hearings but </w:t>
      </w:r>
      <w:r>
        <w:lastRenderedPageBreak/>
        <w:t>it is possible that hearings may be needed for some of the issues in this proceeding.  We preliminarily determine that evidentiary hearings are not necessary.  The assigned Commissioner will determine the need for hearing in the Scoping Memo.</w:t>
      </w:r>
    </w:p>
    <w:p w:rsidR="00580084" w:rsidP="00471F88" w:rsidRDefault="00580084" w14:paraId="6B51AD99" w14:textId="77777777">
      <w:pPr>
        <w:pStyle w:val="Heading1"/>
        <w:keepLines w:val="0"/>
      </w:pPr>
      <w:bookmarkStart w:name="_Toc386104451" w:id="2"/>
      <w:r>
        <w:t>Service of Order Instituting Rulemaking</w:t>
      </w:r>
      <w:bookmarkEnd w:id="2"/>
    </w:p>
    <w:p w:rsidR="00865BB2" w:rsidP="00471F88" w:rsidRDefault="00580084" w14:paraId="66B36EDE" w14:textId="77777777">
      <w:pPr>
        <w:pStyle w:val="Standard"/>
      </w:pPr>
      <w:r>
        <w:t>This OIR shall be served on the Official Service List for the previous proceeding, R.</w:t>
      </w:r>
      <w:r w:rsidR="009E7359">
        <w:t>21</w:t>
      </w:r>
      <w:r w:rsidR="005934C9">
        <w:noBreakHyphen/>
      </w:r>
      <w:r w:rsidR="009E7359">
        <w:t>10</w:t>
      </w:r>
      <w:r w:rsidR="005934C9">
        <w:noBreakHyphen/>
      </w:r>
      <w:r w:rsidR="009E7359">
        <w:t>002</w:t>
      </w:r>
      <w:r>
        <w:t xml:space="preserve">.  </w:t>
      </w:r>
      <w:r>
        <w:rPr>
          <w:iCs/>
        </w:rPr>
        <w:t xml:space="preserve">Service of the OIR does not confer party status or place a person who has received such service on the Official Service List for this proceeding.  </w:t>
      </w:r>
      <w:r>
        <w:t xml:space="preserve">Addition to the official service list is governed by </w:t>
      </w:r>
      <w:r w:rsidR="00E74658">
        <w:t>Rule </w:t>
      </w:r>
      <w:r>
        <w:t>1.9(f) of the Commission’s Rules of Practice and Procedure.</w:t>
      </w:r>
    </w:p>
    <w:p w:rsidR="00580084" w:rsidP="00471F88" w:rsidRDefault="00580084" w14:paraId="6B93E8FB" w14:textId="275B1576">
      <w:pPr>
        <w:pStyle w:val="Standard"/>
      </w:pPr>
      <w:r>
        <w:t>Any person will be added to the “Information Only” category of the official service list upon request, for electronic service of all documents in the proceeding, and should do so promptly in order to ensure timely service of comments and other documents and correspondence in the proceeding.</w:t>
      </w:r>
      <w:r>
        <w:rPr>
          <w:vertAlign w:val="superscript"/>
        </w:rPr>
        <w:footnoteReference w:id="7"/>
      </w:r>
      <w:r>
        <w:t xml:space="preserve">  The request must be sent to the Process Office by </w:t>
      </w:r>
      <w:r w:rsidR="00B02F0F">
        <w:t>email</w:t>
      </w:r>
      <w:r>
        <w:t xml:space="preserve"> (</w:t>
      </w:r>
      <w:hyperlink w:history="1" r:id="rId8">
        <w:r>
          <w:rPr>
            <w:rStyle w:val="Hyperlink"/>
            <w:color w:val="0000FF"/>
          </w:rPr>
          <w:t>process_office@cpuc.ca.gov</w:t>
        </w:r>
      </w:hyperlink>
      <w:r>
        <w:t>) or letter (Process Office, California Public Utilities Commission, 505</w:t>
      </w:r>
      <w:r w:rsidR="00061027">
        <w:t> </w:t>
      </w:r>
      <w:r>
        <w:t>Van</w:t>
      </w:r>
      <w:r w:rsidR="00061027">
        <w:t> </w:t>
      </w:r>
      <w:r>
        <w:t xml:space="preserve">Ness Avenue, </w:t>
      </w:r>
      <w:r w:rsidR="000E51F3">
        <w:t>San </w:t>
      </w:r>
      <w:r>
        <w:t xml:space="preserve">Francisco, California </w:t>
      </w:r>
      <w:r w:rsidR="00061027">
        <w:t xml:space="preserve"> </w:t>
      </w:r>
      <w:r>
        <w:t>94102).  Please include the Docket Number of this rulemaking in the request.</w:t>
      </w:r>
    </w:p>
    <w:p w:rsidR="00580084" w:rsidP="00471F88" w:rsidRDefault="00580084" w14:paraId="245DC372" w14:textId="22E0AB59">
      <w:pPr>
        <w:pStyle w:val="Standard"/>
      </w:pPr>
      <w:r>
        <w:t>Persons who file responsive comments become parties to the proceeding (</w:t>
      </w:r>
      <w:r>
        <w:rPr>
          <w:i/>
        </w:rPr>
        <w:t>see</w:t>
      </w:r>
      <w:r>
        <w:t xml:space="preserve"> </w:t>
      </w:r>
      <w:r w:rsidR="00E74658">
        <w:t>Rule </w:t>
      </w:r>
      <w:r>
        <w:t xml:space="preserve">1.4(a)(2)) and will be added to the “Parties” category of the official service list upon such filing.  </w:t>
      </w:r>
      <w:r>
        <w:rPr>
          <w:iCs/>
        </w:rPr>
        <w:t xml:space="preserve">In order to assure service of comments and other documents and correspondence in advance of obtaining party status, persons should promptly request addition to the “Information Only” category as </w:t>
      </w:r>
      <w:r>
        <w:rPr>
          <w:iCs/>
        </w:rPr>
        <w:lastRenderedPageBreak/>
        <w:t>described above;</w:t>
      </w:r>
      <w:r>
        <w:t xml:space="preserve"> they will be removed from that category upon obtaining party status.</w:t>
      </w:r>
    </w:p>
    <w:p w:rsidR="00580084" w:rsidP="00471F88" w:rsidRDefault="00580084" w14:paraId="3C1FB35F" w14:textId="77777777">
      <w:pPr>
        <w:pStyle w:val="Heading1"/>
        <w:keepLines w:val="0"/>
      </w:pPr>
      <w:r>
        <w:t>Subscription Service</w:t>
      </w:r>
    </w:p>
    <w:p w:rsidR="00580084" w:rsidP="00471F88" w:rsidRDefault="00580084" w14:paraId="27311DE1" w14:textId="77777777">
      <w:pPr>
        <w:pStyle w:val="Standard"/>
      </w:pPr>
      <w:r>
        <w:t xml:space="preserve">Persons may monitor the proceeding by subscribing to receive electronic copies of documents in this proceeding that are published on the Commission’s website.  There is no need to be on the official service list in order to use the subscription service.  Instructions for enrolling in the subscription service are available on the Commission’s website at </w:t>
      </w:r>
      <w:hyperlink w:history="1" r:id="rId9">
        <w:r>
          <w:rPr>
            <w:rStyle w:val="Hyperlink"/>
            <w:color w:val="0000FF"/>
          </w:rPr>
          <w:t>http://subscribecpuc.cpuc.ca.gov</w:t>
        </w:r>
      </w:hyperlink>
      <w:r>
        <w:t>.</w:t>
      </w:r>
    </w:p>
    <w:p w:rsidR="00580084" w:rsidP="00471F88" w:rsidRDefault="00580084" w14:paraId="2253F677" w14:textId="77777777">
      <w:pPr>
        <w:pStyle w:val="Heading1"/>
        <w:keepLines w:val="0"/>
      </w:pPr>
      <w:r>
        <w:t>Intervenor Compensation</w:t>
      </w:r>
    </w:p>
    <w:p w:rsidR="00580084" w:rsidP="00471F88" w:rsidRDefault="00580084" w14:paraId="0A22EFC7" w14:textId="2F428DA7">
      <w:pPr>
        <w:pStyle w:val="Standard"/>
      </w:pPr>
      <w:r>
        <w:t xml:space="preserve">Intervenor Compensation is permitted in this proceeding.  Any party that expects to claim intervenor compensation for its participation in this rulemaking shall file its </w:t>
      </w:r>
      <w:r w:rsidRPr="00E80B04">
        <w:t xml:space="preserve">notice of intent </w:t>
      </w:r>
      <w:r>
        <w:t>(</w:t>
      </w:r>
      <w:r w:rsidRPr="00E80B04">
        <w:rPr>
          <w:szCs w:val="26"/>
        </w:rPr>
        <w:t>NOI</w:t>
      </w:r>
      <w:r>
        <w:t>) to claim intervenor compensation within 30</w:t>
      </w:r>
      <w:r w:rsidR="00E26FCA">
        <w:t xml:space="preserve"> </w:t>
      </w:r>
      <w:r>
        <w:t>days after the filing of reply comments, except that notice may be filed within 30 days of a PHC as well.</w:t>
      </w:r>
      <w:r w:rsidR="00B35BD4">
        <w:rPr>
          <w:rStyle w:val="FootnoteReference"/>
        </w:rPr>
        <w:footnoteReference w:id="8"/>
      </w:r>
      <w:r>
        <w:t xml:space="preserve">  Intervenor compensation rules are governed by </w:t>
      </w:r>
      <w:r w:rsidR="00AA05D6">
        <w:t>Section </w:t>
      </w:r>
      <w:r>
        <w:t>1801</w:t>
      </w:r>
      <w:r w:rsidR="00AA05D6">
        <w:t>,</w:t>
      </w:r>
      <w:r>
        <w:t xml:space="preserve"> </w:t>
      </w:r>
      <w:r w:rsidRPr="00AA05D6">
        <w:rPr>
          <w:i/>
          <w:iCs/>
        </w:rPr>
        <w:t>et seq.</w:t>
      </w:r>
      <w:r>
        <w:t xml:space="preserve"> of the Public Utilities Code.</w:t>
      </w:r>
    </w:p>
    <w:p w:rsidR="009E7359" w:rsidP="00471F88" w:rsidRDefault="009E7359" w14:paraId="25564DB9" w14:textId="007FF3FA">
      <w:pPr>
        <w:pStyle w:val="Standard"/>
      </w:pPr>
      <w:r>
        <w:rPr>
          <w:szCs w:val="26"/>
        </w:rPr>
        <w:t>Parties who were previously found eligible to request compensation in R.21</w:t>
      </w:r>
      <w:r w:rsidR="005934C9">
        <w:rPr>
          <w:szCs w:val="26"/>
        </w:rPr>
        <w:noBreakHyphen/>
      </w:r>
      <w:r>
        <w:rPr>
          <w:szCs w:val="26"/>
        </w:rPr>
        <w:t>10</w:t>
      </w:r>
      <w:r w:rsidR="005934C9">
        <w:rPr>
          <w:szCs w:val="26"/>
        </w:rPr>
        <w:noBreakHyphen/>
      </w:r>
      <w:r>
        <w:rPr>
          <w:szCs w:val="26"/>
        </w:rPr>
        <w:t>002 shall remain eligible in this proceeding and do not need to file an NOI within 30 days, provided there are no material changes in their by</w:t>
      </w:r>
      <w:r w:rsidR="005934C9">
        <w:rPr>
          <w:szCs w:val="26"/>
        </w:rPr>
        <w:noBreakHyphen/>
      </w:r>
      <w:r>
        <w:rPr>
          <w:szCs w:val="26"/>
        </w:rPr>
        <w:t>laws or financial status.  Contributions made during the pendency of R.21</w:t>
      </w:r>
      <w:r w:rsidR="005934C9">
        <w:rPr>
          <w:szCs w:val="26"/>
        </w:rPr>
        <w:noBreakHyphen/>
      </w:r>
      <w:r>
        <w:rPr>
          <w:szCs w:val="26"/>
        </w:rPr>
        <w:t>10</w:t>
      </w:r>
      <w:r w:rsidR="005934C9">
        <w:rPr>
          <w:szCs w:val="26"/>
        </w:rPr>
        <w:noBreakHyphen/>
      </w:r>
      <w:r>
        <w:rPr>
          <w:szCs w:val="26"/>
        </w:rPr>
        <w:t>002 to issues within the scope of this proceeding may be considered for compensation in this proceeding, if not already compensated in R.21</w:t>
      </w:r>
      <w:r w:rsidR="005934C9">
        <w:rPr>
          <w:szCs w:val="26"/>
        </w:rPr>
        <w:noBreakHyphen/>
      </w:r>
      <w:r>
        <w:rPr>
          <w:szCs w:val="26"/>
        </w:rPr>
        <w:t>10</w:t>
      </w:r>
      <w:r w:rsidR="005934C9">
        <w:rPr>
          <w:szCs w:val="26"/>
        </w:rPr>
        <w:noBreakHyphen/>
      </w:r>
      <w:r>
        <w:rPr>
          <w:szCs w:val="26"/>
        </w:rPr>
        <w:t>002.</w:t>
      </w:r>
    </w:p>
    <w:p w:rsidR="00580084" w:rsidP="00471F88" w:rsidRDefault="00580084" w14:paraId="58E25EC2" w14:textId="77777777">
      <w:pPr>
        <w:pStyle w:val="Heading1"/>
        <w:keepLines w:val="0"/>
      </w:pPr>
      <w:r>
        <w:t>Public Advisor</w:t>
      </w:r>
    </w:p>
    <w:p w:rsidR="00580084" w:rsidP="00471F88" w:rsidRDefault="00580084" w14:paraId="7F5A0DD1" w14:textId="0400451C">
      <w:pPr>
        <w:pStyle w:val="Standard"/>
      </w:pPr>
      <w:r>
        <w:t xml:space="preserve">Any person or entity interested in participating in this rulemaking who is unfamiliar with the Commission’s procedures should contact the Commission’s </w:t>
      </w:r>
      <w:r>
        <w:lastRenderedPageBreak/>
        <w:t xml:space="preserve">Public Advisor in </w:t>
      </w:r>
      <w:r w:rsidR="000E51F3">
        <w:t>San </w:t>
      </w:r>
      <w:r>
        <w:t>Francisco at (415)</w:t>
      </w:r>
      <w:r w:rsidR="00BB7F1D">
        <w:t> </w:t>
      </w:r>
      <w:r>
        <w:t>703</w:t>
      </w:r>
      <w:r w:rsidR="005934C9">
        <w:noBreakHyphen/>
      </w:r>
      <w:r>
        <w:t>2074 or 1</w:t>
      </w:r>
      <w:r w:rsidR="005934C9">
        <w:noBreakHyphen/>
      </w:r>
      <w:r>
        <w:t>(866)</w:t>
      </w:r>
      <w:r w:rsidR="00D514C6">
        <w:t> </w:t>
      </w:r>
      <w:r>
        <w:t>849</w:t>
      </w:r>
      <w:r w:rsidR="005934C9">
        <w:noBreakHyphen/>
      </w:r>
      <w:r>
        <w:t xml:space="preserve">8390 or </w:t>
      </w:r>
      <w:r w:rsidR="00B02F0F">
        <w:t>email</w:t>
      </w:r>
      <w:r>
        <w:t xml:space="preserve"> </w:t>
      </w:r>
      <w:hyperlink w:history="1" r:id="rId10">
        <w:r>
          <w:rPr>
            <w:rStyle w:val="Hyperlink"/>
          </w:rPr>
          <w:t>public.advisor@cpuc.ca.gov</w:t>
        </w:r>
      </w:hyperlink>
      <w:r>
        <w:t>.  The TTY number is 1</w:t>
      </w:r>
      <w:r w:rsidR="005934C9">
        <w:noBreakHyphen/>
      </w:r>
      <w:r>
        <w:t>(866)</w:t>
      </w:r>
      <w:r w:rsidR="00D514C6">
        <w:t> </w:t>
      </w:r>
      <w:r>
        <w:t>836</w:t>
      </w:r>
      <w:r w:rsidR="005934C9">
        <w:noBreakHyphen/>
      </w:r>
      <w:r>
        <w:t>7825.</w:t>
      </w:r>
    </w:p>
    <w:p w:rsidR="00580084" w:rsidP="00471F88" w:rsidRDefault="00580084" w14:paraId="3CD106DC" w14:textId="77777777">
      <w:pPr>
        <w:pStyle w:val="Standard"/>
        <w:keepNext/>
      </w:pPr>
      <w:r>
        <w:rPr>
          <w:b/>
        </w:rPr>
        <w:t>IT IS ORDERED</w:t>
      </w:r>
      <w:r>
        <w:t xml:space="preserve"> that:</w:t>
      </w:r>
    </w:p>
    <w:p w:rsidR="00580084" w:rsidP="00471F88" w:rsidRDefault="00580084" w14:paraId="3A00EA2F" w14:textId="3256D75A">
      <w:pPr>
        <w:pStyle w:val="OP"/>
        <w:ind w:firstLine="547"/>
      </w:pPr>
      <w:r>
        <w:rPr>
          <w:rFonts w:cs="Times New Roman"/>
          <w:szCs w:val="20"/>
        </w:rPr>
        <w:t xml:space="preserve">In accordance with </w:t>
      </w:r>
      <w:r w:rsidR="00E74658">
        <w:rPr>
          <w:rFonts w:cs="Times New Roman"/>
          <w:szCs w:val="20"/>
        </w:rPr>
        <w:t>Rule </w:t>
      </w:r>
      <w:r>
        <w:rPr>
          <w:rFonts w:cs="Times New Roman"/>
          <w:szCs w:val="20"/>
        </w:rPr>
        <w:t xml:space="preserve">6.1 of the </w:t>
      </w:r>
      <w:r w:rsidR="002E7472">
        <w:rPr>
          <w:rFonts w:cs="Times New Roman"/>
          <w:szCs w:val="20"/>
        </w:rPr>
        <w:t xml:space="preserve">Commission’s </w:t>
      </w:r>
      <w:r w:rsidRPr="00E80B04">
        <w:t>Rules of Practice and Procedure</w:t>
      </w:r>
      <w:r w:rsidRPr="00E80B04" w:rsidR="00714349">
        <w:t xml:space="preserve"> </w:t>
      </w:r>
      <w:r w:rsidR="00714349">
        <w:rPr>
          <w:rFonts w:cs="Times New Roman"/>
          <w:szCs w:val="20"/>
        </w:rPr>
        <w:t>(</w:t>
      </w:r>
      <w:r w:rsidRPr="00E80B04" w:rsidR="00714349">
        <w:rPr>
          <w:szCs w:val="26"/>
        </w:rPr>
        <w:t>Rules</w:t>
      </w:r>
      <w:r w:rsidR="00714349">
        <w:rPr>
          <w:rFonts w:cs="Times New Roman"/>
          <w:szCs w:val="20"/>
        </w:rPr>
        <w:t>)</w:t>
      </w:r>
      <w:r>
        <w:rPr>
          <w:rFonts w:cs="Times New Roman"/>
          <w:szCs w:val="20"/>
        </w:rPr>
        <w:t>, the Commission institutes this rulemaking to continue its efforts to ensure the availability of reliable and cost</w:t>
      </w:r>
      <w:r w:rsidR="005934C9">
        <w:rPr>
          <w:rFonts w:cs="Times New Roman"/>
          <w:szCs w:val="20"/>
        </w:rPr>
        <w:noBreakHyphen/>
      </w:r>
      <w:r>
        <w:rPr>
          <w:rFonts w:cs="Times New Roman"/>
          <w:szCs w:val="20"/>
        </w:rPr>
        <w:t xml:space="preserve">effective electricity supply in California through implementation and administration of its </w:t>
      </w:r>
      <w:r w:rsidRPr="00E80B04">
        <w:t>Resource Adequacy</w:t>
      </w:r>
      <w:r w:rsidRPr="00E80B04" w:rsidR="00010973">
        <w:t xml:space="preserve"> </w:t>
      </w:r>
      <w:r w:rsidR="00010973">
        <w:rPr>
          <w:rFonts w:cs="Times New Roman"/>
          <w:szCs w:val="20"/>
        </w:rPr>
        <w:t>(</w:t>
      </w:r>
      <w:r w:rsidRPr="00E80B04" w:rsidR="00010973">
        <w:rPr>
          <w:szCs w:val="26"/>
        </w:rPr>
        <w:t>RA</w:t>
      </w:r>
      <w:r w:rsidR="00010973">
        <w:rPr>
          <w:rFonts w:cs="Times New Roman"/>
          <w:szCs w:val="20"/>
        </w:rPr>
        <w:t>)</w:t>
      </w:r>
      <w:r>
        <w:rPr>
          <w:rFonts w:cs="Times New Roman"/>
          <w:szCs w:val="20"/>
        </w:rPr>
        <w:t xml:space="preserve"> program.  As indicated in </w:t>
      </w:r>
      <w:r w:rsidR="00E74658">
        <w:rPr>
          <w:rFonts w:cs="Times New Roman"/>
          <w:szCs w:val="20"/>
        </w:rPr>
        <w:t>Rule </w:t>
      </w:r>
      <w:r>
        <w:rPr>
          <w:rFonts w:cs="Times New Roman"/>
          <w:szCs w:val="20"/>
        </w:rPr>
        <w:t xml:space="preserve">6.1, this proceeding may result in the adoption, repeal, or amendment of rules, regulations, and guidelines that constitute the </w:t>
      </w:r>
      <w:r w:rsidR="00010973">
        <w:rPr>
          <w:rFonts w:cs="Times New Roman"/>
          <w:szCs w:val="20"/>
        </w:rPr>
        <w:t xml:space="preserve">RA </w:t>
      </w:r>
      <w:r>
        <w:rPr>
          <w:rFonts w:cs="Times New Roman"/>
          <w:szCs w:val="20"/>
        </w:rPr>
        <w:t>program, and may modify prior Commission decisions pertaining to the R</w:t>
      </w:r>
      <w:r w:rsidR="0021192F">
        <w:rPr>
          <w:rFonts w:cs="Times New Roman"/>
          <w:szCs w:val="20"/>
        </w:rPr>
        <w:t>A</w:t>
      </w:r>
      <w:r>
        <w:rPr>
          <w:rFonts w:cs="Times New Roman"/>
          <w:szCs w:val="20"/>
        </w:rPr>
        <w:t xml:space="preserve"> program that were adopted by rulemaking</w:t>
      </w:r>
      <w:r>
        <w:t>.</w:t>
      </w:r>
    </w:p>
    <w:p w:rsidR="00580084" w:rsidP="00471F88" w:rsidRDefault="00580084" w14:paraId="5024D2C2" w14:textId="321858B0">
      <w:pPr>
        <w:pStyle w:val="OP"/>
      </w:pPr>
      <w:r>
        <w:rPr>
          <w:rFonts w:cs="Times New Roman"/>
          <w:szCs w:val="20"/>
        </w:rPr>
        <w:t>This is a successor proceeding to Rulemaking</w:t>
      </w:r>
      <w:r w:rsidR="0024128E">
        <w:rPr>
          <w:rFonts w:cs="Times New Roman"/>
          <w:szCs w:val="20"/>
        </w:rPr>
        <w:t> </w:t>
      </w:r>
      <w:r w:rsidR="009E7359">
        <w:rPr>
          <w:rFonts w:cs="Times New Roman"/>
          <w:szCs w:val="20"/>
        </w:rPr>
        <w:t>21</w:t>
      </w:r>
      <w:r w:rsidR="005934C9">
        <w:rPr>
          <w:rFonts w:cs="Times New Roman"/>
          <w:szCs w:val="20"/>
        </w:rPr>
        <w:noBreakHyphen/>
      </w:r>
      <w:r w:rsidR="009E7359">
        <w:rPr>
          <w:rFonts w:cs="Times New Roman"/>
          <w:szCs w:val="20"/>
        </w:rPr>
        <w:t>10</w:t>
      </w:r>
      <w:r w:rsidR="005934C9">
        <w:rPr>
          <w:rFonts w:cs="Times New Roman"/>
          <w:szCs w:val="20"/>
        </w:rPr>
        <w:noBreakHyphen/>
      </w:r>
      <w:r w:rsidR="009E7359">
        <w:rPr>
          <w:rFonts w:cs="Times New Roman"/>
          <w:szCs w:val="20"/>
        </w:rPr>
        <w:t>002</w:t>
      </w:r>
      <w:r>
        <w:rPr>
          <w:rFonts w:cs="Times New Roman"/>
          <w:szCs w:val="20"/>
        </w:rPr>
        <w:t xml:space="preserve"> and the record developed in that proceeding is fully available for consideration in this proceeding</w:t>
      </w:r>
      <w:r>
        <w:t>.</w:t>
      </w:r>
    </w:p>
    <w:p w:rsidR="00580084" w:rsidP="00471F88" w:rsidRDefault="00580084" w14:paraId="2FB63378" w14:textId="40EFB139">
      <w:pPr>
        <w:pStyle w:val="OP"/>
      </w:pPr>
      <w:r>
        <w:t>The Executive Director shall cause this Order Instituting Rulemaking to be served on the service list for Rulemaking</w:t>
      </w:r>
      <w:r w:rsidR="0024128E">
        <w:t> </w:t>
      </w:r>
      <w:r w:rsidR="009E7359">
        <w:t>21</w:t>
      </w:r>
      <w:r w:rsidR="005934C9">
        <w:noBreakHyphen/>
      </w:r>
      <w:r w:rsidR="009E7359">
        <w:t>10</w:t>
      </w:r>
      <w:r w:rsidR="005934C9">
        <w:noBreakHyphen/>
      </w:r>
      <w:r w:rsidR="009E7359">
        <w:t>002.</w:t>
      </w:r>
    </w:p>
    <w:p w:rsidR="00580084" w:rsidP="00471F88" w:rsidRDefault="00580084" w14:paraId="7BE15802" w14:textId="333910B4">
      <w:pPr>
        <w:pStyle w:val="OP"/>
      </w:pPr>
      <w:r>
        <w:t xml:space="preserve">Comments on the preliminary determinations of category, need for hearing, scope of issues and schedule must be filed and served as stated in </w:t>
      </w:r>
      <w:r w:rsidR="00AA05D6">
        <w:t>Section </w:t>
      </w:r>
      <w:r>
        <w:t>5 of this Order Instituting Rulemaking.</w:t>
      </w:r>
    </w:p>
    <w:p w:rsidR="00580084" w:rsidP="00471F88" w:rsidRDefault="00580084" w14:paraId="0EFA47A1" w14:textId="1D02ACAA">
      <w:pPr>
        <w:pStyle w:val="OP"/>
      </w:pPr>
      <w:r>
        <w:t xml:space="preserve">A </w:t>
      </w:r>
      <w:r w:rsidR="002C219F">
        <w:t xml:space="preserve">prehearing conference </w:t>
      </w:r>
      <w:r>
        <w:t xml:space="preserve">will be held remotely via </w:t>
      </w:r>
      <w:r w:rsidR="00DF0746">
        <w:t>Webex</w:t>
      </w:r>
      <w:r>
        <w:t xml:space="preserve"> on </w:t>
      </w:r>
      <w:r w:rsidR="00056C95">
        <w:t>November </w:t>
      </w:r>
      <w:r w:rsidR="000A623D">
        <w:t>17, 2023</w:t>
      </w:r>
      <w:r>
        <w:t>.</w:t>
      </w:r>
    </w:p>
    <w:p w:rsidR="00580084" w:rsidP="00471F88" w:rsidRDefault="00580084" w14:paraId="329AAB8E" w14:textId="162D8488">
      <w:pPr>
        <w:pStyle w:val="OP"/>
      </w:pPr>
      <w:r>
        <w:t xml:space="preserve">The category of this rulemaking is preliminarily determined to be ratesetting and the rulemaking is subject to the </w:t>
      </w:r>
      <w:r>
        <w:rPr>
          <w:i/>
          <w:iCs/>
        </w:rPr>
        <w:t>ex</w:t>
      </w:r>
      <w:r w:rsidR="00995F78">
        <w:rPr>
          <w:i/>
          <w:iCs/>
        </w:rPr>
        <w:t> </w:t>
      </w:r>
      <w:r>
        <w:rPr>
          <w:i/>
          <w:iCs/>
        </w:rPr>
        <w:t>parte</w:t>
      </w:r>
      <w:r>
        <w:t xml:space="preserve"> communication rules stated in Article</w:t>
      </w:r>
      <w:r w:rsidR="00B13CEC">
        <w:t> </w:t>
      </w:r>
      <w:r>
        <w:t>8 of the Commission’s Rules of Practice and Procedure.</w:t>
      </w:r>
    </w:p>
    <w:p w:rsidR="00580084" w:rsidP="00471F88" w:rsidRDefault="00580084" w14:paraId="72B425AC" w14:textId="77777777">
      <w:pPr>
        <w:pStyle w:val="OP"/>
      </w:pPr>
      <w:r>
        <w:t>Evidentiary hearings are preliminarily determined to be not needed.</w:t>
      </w:r>
    </w:p>
    <w:p w:rsidR="00580084" w:rsidP="00471F88" w:rsidRDefault="00580084" w14:paraId="0275AD37" w14:textId="77777777">
      <w:pPr>
        <w:pStyle w:val="OP"/>
        <w:keepNext/>
      </w:pPr>
      <w:r>
        <w:lastRenderedPageBreak/>
        <w:t>The assigned Commissioner or Administrative Law Judge may make any revisions to the scheduling and filing determinations made herein as necessary to facilitate the efficient management of the proceeding.</w:t>
      </w:r>
    </w:p>
    <w:p w:rsidR="00580084" w:rsidP="00F85DDD" w:rsidRDefault="00580084" w14:paraId="7782D5D8" w14:textId="77777777">
      <w:pPr>
        <w:pStyle w:val="Standard"/>
        <w:keepNext/>
      </w:pPr>
      <w:r>
        <w:t>This order is effective today.</w:t>
      </w:r>
    </w:p>
    <w:p w:rsidR="00580084" w:rsidP="00F85DDD" w:rsidRDefault="00580084" w14:paraId="7152A885" w14:textId="03937E73">
      <w:pPr>
        <w:pStyle w:val="Standard"/>
        <w:keepNext/>
      </w:pPr>
      <w:r>
        <w:t xml:space="preserve">Dated </w:t>
      </w:r>
      <w:r w:rsidR="004D06B6">
        <w:t>October 12, 2023</w:t>
      </w:r>
      <w:r>
        <w:t xml:space="preserve">, at </w:t>
      </w:r>
      <w:r w:rsidR="00D3125B">
        <w:t>Stockton</w:t>
      </w:r>
      <w:r>
        <w:t>, California.</w:t>
      </w:r>
    </w:p>
    <w:p w:rsidRPr="008F5B2D" w:rsidR="004D06B6" w:rsidP="004D06B6" w:rsidRDefault="004D06B6" w14:paraId="087606E0" w14:textId="77777777">
      <w:pPr>
        <w:pStyle w:val="SigSpaceBA"/>
      </w:pPr>
    </w:p>
    <w:p w:rsidRPr="008F5B2D" w:rsidR="004D06B6" w:rsidP="004D06B6" w:rsidRDefault="004D06B6" w14:paraId="32F26A9C" w14:textId="77777777">
      <w:pPr>
        <w:pStyle w:val="SigBlockBA-Cmr"/>
      </w:pPr>
      <w:r w:rsidRPr="008F5B2D">
        <w:t>ALICE REYNOLDS</w:t>
      </w:r>
    </w:p>
    <w:p w:rsidRPr="008F5B2D" w:rsidR="004D06B6" w:rsidP="004D06B6" w:rsidRDefault="004D06B6" w14:paraId="18F0B519" w14:textId="77777777">
      <w:pPr>
        <w:pStyle w:val="SigBlockBA-Title"/>
      </w:pPr>
      <w:r w:rsidRPr="008F5B2D">
        <w:t>President</w:t>
      </w:r>
    </w:p>
    <w:p w:rsidRPr="008F5B2D" w:rsidR="004D06B6" w:rsidP="004D06B6" w:rsidRDefault="004D06B6" w14:paraId="65602C10" w14:textId="77777777">
      <w:pPr>
        <w:pStyle w:val="SigBlockBA-Cmr"/>
      </w:pPr>
      <w:r w:rsidRPr="008F5B2D">
        <w:t>GENEVIEVE SHIROMA</w:t>
      </w:r>
    </w:p>
    <w:p w:rsidRPr="008F5B2D" w:rsidR="004D06B6" w:rsidP="004D06B6" w:rsidRDefault="004D06B6" w14:paraId="3587538E" w14:textId="77777777">
      <w:pPr>
        <w:pStyle w:val="SigBlockBA-Cmr"/>
      </w:pPr>
      <w:r w:rsidRPr="008F5B2D">
        <w:t>JOHN REYNOLDS</w:t>
      </w:r>
    </w:p>
    <w:p w:rsidRPr="008F5B2D" w:rsidR="004D06B6" w:rsidP="004D06B6" w:rsidRDefault="004D06B6" w14:paraId="239D3E16" w14:textId="77777777">
      <w:pPr>
        <w:pStyle w:val="SigBlockBA-Cmr"/>
      </w:pPr>
      <w:r w:rsidRPr="008F5B2D">
        <w:t>KAREN DOUGLAS</w:t>
      </w:r>
    </w:p>
    <w:p w:rsidRPr="008F5B2D" w:rsidR="004D06B6" w:rsidP="004D06B6" w:rsidRDefault="004D06B6" w14:paraId="6263A11D" w14:textId="77777777">
      <w:pPr>
        <w:pStyle w:val="SigBlockBA-Title"/>
      </w:pPr>
      <w:r w:rsidRPr="008F5B2D">
        <w:t>Commissioners</w:t>
      </w:r>
    </w:p>
    <w:p w:rsidRPr="008F5B2D" w:rsidR="004D06B6" w:rsidP="004D06B6" w:rsidRDefault="004D06B6" w14:paraId="2328CE8C" w14:textId="77777777">
      <w:pPr>
        <w:pStyle w:val="SigBlockBA-Cmr"/>
      </w:pPr>
    </w:p>
    <w:p w:rsidRPr="007248BC" w:rsidR="004D06B6" w:rsidP="004D06B6" w:rsidRDefault="004D06B6" w14:paraId="6F8891BF" w14:textId="77777777">
      <w:pPr>
        <w:pStyle w:val="SigBlockBA-Cmr"/>
      </w:pPr>
      <w:r w:rsidRPr="007248BC">
        <w:t xml:space="preserve">Commissioner </w:t>
      </w:r>
      <w:r>
        <w:t>Darcie L. Houck</w:t>
      </w:r>
      <w:r w:rsidRPr="007248BC">
        <w:t>, being necessarily absent, did not participate.</w:t>
      </w:r>
    </w:p>
    <w:sectPr w:rsidRPr="007248BC" w:rsidR="004D06B6" w:rsidSect="00BC5FC3">
      <w:headerReference w:type="default" r:id="rId11"/>
      <w:footerReference w:type="default" r:id="rId12"/>
      <w:headerReference w:type="first" r:id="rId13"/>
      <w:footerReference w:type="first" r:id="rId14"/>
      <w:pgSz w:w="12240" w:h="15840"/>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53382" w14:textId="77777777" w:rsidR="00C63394" w:rsidRDefault="00C63394" w:rsidP="00580084">
      <w:pPr>
        <w:spacing w:line="240" w:lineRule="auto"/>
      </w:pPr>
      <w:r>
        <w:separator/>
      </w:r>
    </w:p>
  </w:endnote>
  <w:endnote w:type="continuationSeparator" w:id="0">
    <w:p w14:paraId="2316DF1E" w14:textId="77777777" w:rsidR="00C63394" w:rsidRDefault="00C63394" w:rsidP="00580084">
      <w:pPr>
        <w:spacing w:line="240" w:lineRule="auto"/>
      </w:pPr>
      <w:r>
        <w:continuationSeparator/>
      </w:r>
    </w:p>
  </w:endnote>
  <w:endnote w:type="continuationNotice" w:id="1">
    <w:p w14:paraId="4EC8D0C3" w14:textId="77777777" w:rsidR="00C63394" w:rsidRDefault="00C633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13415" w14:textId="4105A974" w:rsidR="008356AC" w:rsidRPr="008356AC" w:rsidRDefault="005934C9" w:rsidP="008356AC">
    <w:pPr>
      <w:pStyle w:val="Footer"/>
      <w:ind w:firstLine="0"/>
      <w:jc w:val="center"/>
    </w:pPr>
    <w:r>
      <w:noBreakHyphen/>
    </w:r>
    <w:r w:rsidR="008356AC">
      <w:t xml:space="preserve"> </w:t>
    </w:r>
    <w:r w:rsidR="008356AC">
      <w:fldChar w:fldCharType="begin"/>
    </w:r>
    <w:r w:rsidR="008356AC">
      <w:instrText xml:space="preserve"> PAGE   \* MERGEFORMAT </w:instrText>
    </w:r>
    <w:r w:rsidR="008356AC">
      <w:fldChar w:fldCharType="separate"/>
    </w:r>
    <w:r w:rsidR="008356AC">
      <w:t>2</w:t>
    </w:r>
    <w:r w:rsidR="008356AC">
      <w:rPr>
        <w:noProof/>
      </w:rPr>
      <w:fldChar w:fldCharType="end"/>
    </w:r>
    <w:r w:rsidR="008356AC">
      <w:t xml:space="preserve"> </w:t>
    </w:r>
    <w:r>
      <w:noBreakHyphe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E596" w14:textId="2D6655E6" w:rsidR="008356AC" w:rsidRDefault="005E4650" w:rsidP="008356AC">
    <w:pPr>
      <w:pStyle w:val="Footer"/>
      <w:ind w:firstLine="0"/>
    </w:pPr>
    <w:r w:rsidRPr="005E4650">
      <w:rPr>
        <w:sz w:val="16"/>
      </w:rPr>
      <w:t>520576484</w:t>
    </w:r>
    <w:r w:rsidR="008356AC">
      <w:tab/>
    </w:r>
    <w:r w:rsidR="005934C9">
      <w:noBreakHyphen/>
    </w:r>
    <w:r w:rsidR="008356AC">
      <w:t xml:space="preserve"> </w:t>
    </w:r>
    <w:r w:rsidR="008356AC">
      <w:fldChar w:fldCharType="begin"/>
    </w:r>
    <w:r w:rsidR="008356AC">
      <w:instrText xml:space="preserve"> PAGE   \* MERGEFORMAT </w:instrText>
    </w:r>
    <w:r w:rsidR="008356AC">
      <w:fldChar w:fldCharType="separate"/>
    </w:r>
    <w:r w:rsidR="008356AC">
      <w:t>2</w:t>
    </w:r>
    <w:r w:rsidR="008356AC">
      <w:rPr>
        <w:noProof/>
      </w:rPr>
      <w:fldChar w:fldCharType="end"/>
    </w:r>
    <w:r w:rsidR="008356AC">
      <w:t xml:space="preserve"> </w:t>
    </w:r>
    <w:r w:rsidR="005934C9">
      <w:noBreak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1F570" w14:textId="77777777" w:rsidR="00C63394" w:rsidRDefault="00C63394" w:rsidP="005A2BF5">
      <w:pPr>
        <w:spacing w:line="240" w:lineRule="auto"/>
        <w:ind w:firstLine="0"/>
      </w:pPr>
      <w:r>
        <w:separator/>
      </w:r>
    </w:p>
  </w:footnote>
  <w:footnote w:type="continuationSeparator" w:id="0">
    <w:p w14:paraId="335E4918" w14:textId="77777777" w:rsidR="00C63394" w:rsidRDefault="00C63394" w:rsidP="00580084">
      <w:pPr>
        <w:spacing w:line="240" w:lineRule="auto"/>
      </w:pPr>
      <w:r>
        <w:continuationSeparator/>
      </w:r>
    </w:p>
  </w:footnote>
  <w:footnote w:type="continuationNotice" w:id="1">
    <w:p w14:paraId="499D9E7E" w14:textId="77777777" w:rsidR="00C63394" w:rsidRDefault="00C63394">
      <w:pPr>
        <w:spacing w:line="240" w:lineRule="auto"/>
      </w:pPr>
    </w:p>
  </w:footnote>
  <w:footnote w:id="2">
    <w:p w14:paraId="47DF3AC8" w14:textId="2BDF44D2" w:rsidR="00580084" w:rsidRDefault="00580084" w:rsidP="00580084">
      <w:pPr>
        <w:pStyle w:val="FootnoteText"/>
        <w:rPr>
          <w:szCs w:val="22"/>
        </w:rPr>
      </w:pPr>
      <w:r>
        <w:rPr>
          <w:rStyle w:val="FootnoteReference"/>
          <w:szCs w:val="22"/>
        </w:rPr>
        <w:footnoteRef/>
      </w:r>
      <w:r>
        <w:rPr>
          <w:szCs w:val="22"/>
        </w:rPr>
        <w:t xml:space="preserve">  D.07</w:t>
      </w:r>
      <w:r w:rsidR="005934C9">
        <w:rPr>
          <w:szCs w:val="22"/>
        </w:rPr>
        <w:noBreakHyphen/>
      </w:r>
      <w:r>
        <w:rPr>
          <w:szCs w:val="22"/>
        </w:rPr>
        <w:t>06</w:t>
      </w:r>
      <w:r w:rsidR="005934C9">
        <w:rPr>
          <w:szCs w:val="22"/>
        </w:rPr>
        <w:noBreakHyphen/>
      </w:r>
      <w:r>
        <w:rPr>
          <w:szCs w:val="22"/>
        </w:rPr>
        <w:t>029 at 52.</w:t>
      </w:r>
    </w:p>
  </w:footnote>
  <w:footnote w:id="3">
    <w:p w14:paraId="55AF9200" w14:textId="7C730BD2" w:rsidR="0064381A" w:rsidRDefault="0064381A" w:rsidP="00580084">
      <w:pPr>
        <w:pStyle w:val="FootnoteText"/>
      </w:pPr>
      <w:r>
        <w:rPr>
          <w:rStyle w:val="FootnoteReference"/>
        </w:rPr>
        <w:footnoteRef/>
      </w:r>
      <w:r>
        <w:t xml:space="preserve"> </w:t>
      </w:r>
      <w:r w:rsidR="004F6CDA">
        <w:t xml:space="preserve"> </w:t>
      </w:r>
      <w:r w:rsidR="002C5C94">
        <w:t>Energy Div</w:t>
      </w:r>
      <w:r>
        <w:t>ision may also serve a proposal, either prior to or concurrently with parties.</w:t>
      </w:r>
    </w:p>
  </w:footnote>
  <w:footnote w:id="4">
    <w:p w14:paraId="578EC6B2" w14:textId="6499680E" w:rsidR="00580084" w:rsidRDefault="00580084" w:rsidP="00580084">
      <w:pPr>
        <w:pStyle w:val="FootnoteText"/>
        <w:rPr>
          <w:szCs w:val="22"/>
        </w:rPr>
      </w:pPr>
      <w:r>
        <w:rPr>
          <w:rStyle w:val="FootnoteReference"/>
          <w:szCs w:val="22"/>
        </w:rPr>
        <w:footnoteRef/>
      </w:r>
      <w:r w:rsidR="004F6CDA">
        <w:rPr>
          <w:szCs w:val="22"/>
        </w:rPr>
        <w:t xml:space="preserve"> </w:t>
      </w:r>
      <w:r>
        <w:rPr>
          <w:szCs w:val="22"/>
        </w:rPr>
        <w:t xml:space="preserve"> </w:t>
      </w:r>
      <w:r>
        <w:rPr>
          <w:i/>
          <w:szCs w:val="22"/>
        </w:rPr>
        <w:t xml:space="preserve">See </w:t>
      </w:r>
      <w:r w:rsidR="00E74658">
        <w:rPr>
          <w:szCs w:val="22"/>
        </w:rPr>
        <w:t>Rule </w:t>
      </w:r>
      <w:r>
        <w:rPr>
          <w:szCs w:val="22"/>
        </w:rPr>
        <w:t>6.2.</w:t>
      </w:r>
    </w:p>
  </w:footnote>
  <w:footnote w:id="5">
    <w:p w14:paraId="1B697794" w14:textId="05FC3324" w:rsidR="00580084" w:rsidRDefault="00580084" w:rsidP="00580084">
      <w:pPr>
        <w:pStyle w:val="FootnoteText"/>
      </w:pPr>
      <w:r>
        <w:rPr>
          <w:rStyle w:val="FootnoteReference"/>
        </w:rPr>
        <w:footnoteRef/>
      </w:r>
      <w:r>
        <w:t xml:space="preserve">  </w:t>
      </w:r>
      <w:r w:rsidR="00B07152">
        <w:rPr>
          <w:i/>
          <w:iCs/>
        </w:rPr>
        <w:t>See</w:t>
      </w:r>
      <w:r w:rsidR="00B07152">
        <w:t xml:space="preserve"> </w:t>
      </w:r>
      <w:r w:rsidR="00E74658">
        <w:t>Rule </w:t>
      </w:r>
      <w:r>
        <w:t>7.1(a).</w:t>
      </w:r>
    </w:p>
  </w:footnote>
  <w:footnote w:id="6">
    <w:p w14:paraId="381D253C" w14:textId="4FE2158C" w:rsidR="00580084" w:rsidRDefault="00580084" w:rsidP="00580084">
      <w:pPr>
        <w:pStyle w:val="FootnoteText"/>
        <w:rPr>
          <w:szCs w:val="22"/>
        </w:rPr>
      </w:pPr>
      <w:r>
        <w:rPr>
          <w:rStyle w:val="FootnoteReference"/>
          <w:szCs w:val="22"/>
        </w:rPr>
        <w:footnoteRef/>
      </w:r>
      <w:r>
        <w:rPr>
          <w:szCs w:val="22"/>
        </w:rPr>
        <w:t xml:space="preserve">  </w:t>
      </w:r>
      <w:r>
        <w:rPr>
          <w:i/>
          <w:szCs w:val="22"/>
        </w:rPr>
        <w:t>See</w:t>
      </w:r>
      <w:r>
        <w:rPr>
          <w:szCs w:val="22"/>
        </w:rPr>
        <w:t xml:space="preserve"> </w:t>
      </w:r>
      <w:r w:rsidR="00E74658">
        <w:rPr>
          <w:szCs w:val="22"/>
        </w:rPr>
        <w:t>Rule </w:t>
      </w:r>
      <w:r>
        <w:rPr>
          <w:szCs w:val="22"/>
        </w:rPr>
        <w:t xml:space="preserve">7.3, </w:t>
      </w:r>
      <w:r w:rsidR="00E74658">
        <w:rPr>
          <w:szCs w:val="22"/>
        </w:rPr>
        <w:t>Rule </w:t>
      </w:r>
      <w:r>
        <w:rPr>
          <w:szCs w:val="22"/>
        </w:rPr>
        <w:t>8.3</w:t>
      </w:r>
      <w:r w:rsidR="00146137">
        <w:rPr>
          <w:szCs w:val="22"/>
        </w:rPr>
        <w:t>,</w:t>
      </w:r>
      <w:r>
        <w:rPr>
          <w:szCs w:val="22"/>
        </w:rPr>
        <w:t xml:space="preserve"> and </w:t>
      </w:r>
      <w:r w:rsidR="00E74658">
        <w:rPr>
          <w:szCs w:val="22"/>
        </w:rPr>
        <w:t>Rule </w:t>
      </w:r>
      <w:r>
        <w:rPr>
          <w:szCs w:val="22"/>
        </w:rPr>
        <w:t>8.5.</w:t>
      </w:r>
    </w:p>
  </w:footnote>
  <w:footnote w:id="7">
    <w:p w14:paraId="512A38AD" w14:textId="515295FC" w:rsidR="00580084" w:rsidRDefault="00580084" w:rsidP="00580084">
      <w:pPr>
        <w:pStyle w:val="FootnoteText"/>
        <w:rPr>
          <w:szCs w:val="22"/>
        </w:rPr>
      </w:pPr>
      <w:r>
        <w:rPr>
          <w:rStyle w:val="FootnoteReference"/>
          <w:szCs w:val="22"/>
        </w:rPr>
        <w:footnoteRef/>
      </w:r>
      <w:r>
        <w:rPr>
          <w:szCs w:val="22"/>
        </w:rPr>
        <w:t xml:space="preserve">  </w:t>
      </w:r>
      <w:r>
        <w:rPr>
          <w:i/>
          <w:szCs w:val="22"/>
        </w:rPr>
        <w:t>See</w:t>
      </w:r>
      <w:r>
        <w:rPr>
          <w:szCs w:val="22"/>
        </w:rPr>
        <w:t xml:space="preserve"> </w:t>
      </w:r>
      <w:r w:rsidR="00E74658">
        <w:rPr>
          <w:szCs w:val="22"/>
        </w:rPr>
        <w:t>Rule </w:t>
      </w:r>
      <w:r>
        <w:rPr>
          <w:szCs w:val="22"/>
        </w:rPr>
        <w:t>1.9(f).</w:t>
      </w:r>
    </w:p>
  </w:footnote>
  <w:footnote w:id="8">
    <w:p w14:paraId="3671DD41" w14:textId="6C39C929" w:rsidR="00B35BD4" w:rsidRPr="00B35BD4" w:rsidRDefault="00B35BD4">
      <w:pPr>
        <w:pStyle w:val="FootnoteText"/>
        <w:rPr>
          <w:lang w:val="en-ZW"/>
        </w:rPr>
      </w:pPr>
      <w:r>
        <w:rPr>
          <w:rStyle w:val="FootnoteReference"/>
        </w:rPr>
        <w:footnoteRef/>
      </w:r>
      <w:r>
        <w:t xml:space="preserve"> </w:t>
      </w:r>
      <w:r w:rsidR="004F6CDA">
        <w:t xml:space="preserve"> </w:t>
      </w:r>
      <w:r>
        <w:rPr>
          <w:i/>
          <w:iCs/>
        </w:rPr>
        <w:t>See</w:t>
      </w:r>
      <w:r>
        <w:t xml:space="preserve"> </w:t>
      </w:r>
      <w:r w:rsidR="00E74658">
        <w:t>Rule </w:t>
      </w:r>
      <w:r>
        <w:t>17.1(a)(2).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F587" w14:textId="08CC78B5" w:rsidR="00B02F0F" w:rsidRDefault="001827AA" w:rsidP="00B02F0F">
    <w:pPr>
      <w:tabs>
        <w:tab w:val="right" w:pos="9360"/>
      </w:tabs>
      <w:spacing w:line="240" w:lineRule="auto"/>
      <w:ind w:firstLine="0"/>
    </w:pPr>
    <w:r w:rsidRPr="00DA2E3E">
      <w:t>R.23-10-011</w:t>
    </w:r>
    <w:r w:rsidR="00392880">
      <w:t xml:space="preserve">  ALJ/DBB/nd3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5C06E" w14:textId="77777777" w:rsidR="001827AA" w:rsidRDefault="001827AA" w:rsidP="001827AA">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C1C14"/>
    <w:multiLevelType w:val="multilevel"/>
    <w:tmpl w:val="18F4A5AC"/>
    <w:styleLink w:val="FoFCoLOP"/>
    <w:lvl w:ilvl="0">
      <w:start w:val="1"/>
      <w:numFmt w:val="decimal"/>
      <w:pStyle w:val="OP"/>
      <w:lvlText w:val="%1."/>
      <w:lvlJc w:val="right"/>
      <w:pPr>
        <w:ind w:left="0" w:firstLine="540"/>
      </w:pPr>
    </w:lvl>
    <w:lvl w:ilvl="1">
      <w:start w:val="1"/>
      <w:numFmt w:val="lowerLetter"/>
      <w:lvlText w:val="(%2)"/>
      <w:lvlJc w:val="right"/>
      <w:pPr>
        <w:ind w:left="1152" w:hanging="72"/>
      </w:pPr>
    </w:lvl>
    <w:lvl w:ilvl="2">
      <w:start w:val="1"/>
      <w:numFmt w:val="none"/>
      <w:lvlText w:val=""/>
      <w:lvlJc w:val="left"/>
      <w:pPr>
        <w:ind w:left="720" w:firstLine="0"/>
      </w:pPr>
    </w:lvl>
    <w:lvl w:ilvl="3">
      <w:start w:val="1"/>
      <w:numFmt w:val="none"/>
      <w:lvlText w:val=""/>
      <w:lvlJc w:val="left"/>
      <w:pPr>
        <w:ind w:left="720" w:firstLine="0"/>
      </w:pPr>
    </w:lvl>
    <w:lvl w:ilvl="4">
      <w:start w:val="1"/>
      <w:numFmt w:val="none"/>
      <w:lvlText w:val=""/>
      <w:lvlJc w:val="left"/>
      <w:pPr>
        <w:ind w:left="720" w:firstLine="0"/>
      </w:pPr>
    </w:lvl>
    <w:lvl w:ilvl="5">
      <w:start w:val="1"/>
      <w:numFmt w:val="none"/>
      <w:lvlText w:val=""/>
      <w:lvlJc w:val="left"/>
      <w:pPr>
        <w:ind w:left="720" w:firstLine="0"/>
      </w:pPr>
    </w:lvl>
    <w:lvl w:ilvl="6">
      <w:start w:val="1"/>
      <w:numFmt w:val="none"/>
      <w:lvlText w:val=""/>
      <w:lvlJc w:val="left"/>
      <w:pPr>
        <w:ind w:left="720" w:firstLine="0"/>
      </w:pPr>
    </w:lvl>
    <w:lvl w:ilvl="7">
      <w:start w:val="1"/>
      <w:numFmt w:val="none"/>
      <w:lvlText w:val=""/>
      <w:lvlJc w:val="left"/>
      <w:pPr>
        <w:ind w:left="720" w:firstLine="0"/>
      </w:pPr>
    </w:lvl>
    <w:lvl w:ilvl="8">
      <w:start w:val="1"/>
      <w:numFmt w:val="none"/>
      <w:lvlText w:val=""/>
      <w:lvlJc w:val="left"/>
      <w:pPr>
        <w:ind w:left="720" w:firstLine="0"/>
      </w:pPr>
    </w:lvl>
  </w:abstractNum>
  <w:abstractNum w:abstractNumId="1"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cs="Times New Roman" w:hint="default"/>
        <w:b/>
        <w:i w:val="0"/>
        <w:caps w:val="0"/>
        <w:strike w:val="0"/>
        <w:dstrike w:val="0"/>
        <w:vanish w:val="0"/>
        <w:webHidden w:val="0"/>
        <w:color w:val="auto"/>
        <w:kern w:val="0"/>
        <w:position w:val="0"/>
        <w:sz w:val="26"/>
        <w:u w:val="none"/>
        <w:effect w:val="none"/>
        <w:vertAlign w:val="baseline"/>
        <w:specVanish w:val="0"/>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cs="Times New Roman" w:hint="default"/>
        <w:b/>
        <w:i w:val="0"/>
        <w:caps w:val="0"/>
        <w:strike w:val="0"/>
        <w:dstrike w:val="0"/>
        <w:vanish w:val="0"/>
        <w:webHidden w:val="0"/>
        <w:color w:val="auto"/>
        <w:kern w:val="0"/>
        <w:sz w:val="26"/>
        <w:u w:val="none"/>
        <w:effect w:val="none"/>
        <w:vertAlign w:val="baseline"/>
        <w:specVanish w:val="0"/>
        <w14:cntxtAlts w14:val="0"/>
      </w:rPr>
    </w:lvl>
    <w:lvl w:ilvl="2">
      <w:start w:val="1"/>
      <w:numFmt w:val="decimal"/>
      <w:pStyle w:val="Heading3"/>
      <w:lvlText w:val="%1.%2.%3."/>
      <w:lvlJc w:val="left"/>
      <w:pPr>
        <w:tabs>
          <w:tab w:val="num" w:pos="1656"/>
        </w:tabs>
        <w:ind w:left="1656" w:hanging="936"/>
      </w:pPr>
      <w:rPr>
        <w:rFonts w:ascii="Arial" w:hAnsi="Arial" w:cs="Times New Roman" w:hint="default"/>
        <w:b/>
        <w:i w:val="0"/>
        <w:caps w:val="0"/>
        <w:strike w:val="0"/>
        <w:dstrike w:val="0"/>
        <w:vanish w:val="0"/>
        <w:webHidden w:val="0"/>
        <w:color w:val="auto"/>
        <w:kern w:val="0"/>
        <w:sz w:val="26"/>
        <w:u w:val="none"/>
        <w:effect w:val="none"/>
        <w:vertAlign w:val="baseline"/>
        <w:specVanish w:val="0"/>
        <w14:cntxtAlts w14:val="0"/>
      </w:rPr>
    </w:lvl>
    <w:lvl w:ilvl="3">
      <w:start w:val="1"/>
      <w:numFmt w:val="decimal"/>
      <w:pStyle w:val="Heading4"/>
      <w:lvlText w:val="%1.%2.%3.%4."/>
      <w:lvlJc w:val="left"/>
      <w:pPr>
        <w:tabs>
          <w:tab w:val="num" w:pos="2232"/>
        </w:tabs>
        <w:ind w:left="2232" w:hanging="1152"/>
      </w:pPr>
      <w:rPr>
        <w:rFonts w:ascii="Arial" w:hAnsi="Arial" w:cs="Times New Roman" w:hint="default"/>
        <w:b/>
        <w:i w:val="0"/>
        <w:caps w:val="0"/>
        <w:strike w:val="0"/>
        <w:dstrike w:val="0"/>
        <w:vanish w:val="0"/>
        <w:webHidden w:val="0"/>
        <w:kern w:val="0"/>
        <w:sz w:val="26"/>
        <w:u w:val="none"/>
        <w:effect w:val="none"/>
        <w:vertAlign w:val="baseline"/>
        <w:specVanish w:val="0"/>
        <w14:cntxtAlts w14:val="0"/>
      </w:rPr>
    </w:lvl>
    <w:lvl w:ilvl="4">
      <w:start w:val="1"/>
      <w:numFmt w:val="decimal"/>
      <w:pStyle w:val="Heading5"/>
      <w:lvlText w:val="%1.%2.%3.%4.%5."/>
      <w:lvlJc w:val="left"/>
      <w:pPr>
        <w:tabs>
          <w:tab w:val="num" w:pos="2880"/>
        </w:tabs>
        <w:ind w:left="2880" w:hanging="1440"/>
      </w:pPr>
      <w:rPr>
        <w:rFonts w:ascii="Arial" w:hAnsi="Arial" w:cs="Times New Roman" w:hint="default"/>
        <w:b/>
        <w:i w:val="0"/>
        <w:sz w:val="26"/>
      </w:rPr>
    </w:lvl>
    <w:lvl w:ilvl="5">
      <w:start w:val="1"/>
      <w:numFmt w:val="decimal"/>
      <w:pStyle w:val="Heading6"/>
      <w:lvlText w:val="%1.%2.%3.%4.%5.%6."/>
      <w:lvlJc w:val="left"/>
      <w:pPr>
        <w:tabs>
          <w:tab w:val="num" w:pos="3528"/>
        </w:tabs>
        <w:ind w:left="3528" w:hanging="1728"/>
      </w:pPr>
      <w:rPr>
        <w:rFonts w:ascii="Arial" w:hAnsi="Arial" w:cs="Times New Roman"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lvl>
  </w:abstractNum>
  <w:abstractNum w:abstractNumId="2" w15:restartNumberingAfterBreak="0">
    <w:nsid w:val="3AA33F78"/>
    <w:multiLevelType w:val="hybridMultilevel"/>
    <w:tmpl w:val="6C5EDC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947537"/>
    <w:multiLevelType w:val="hybridMultilevel"/>
    <w:tmpl w:val="6E9492DC"/>
    <w:lvl w:ilvl="0" w:tplc="FFFFFFFF">
      <w:start w:val="1"/>
      <w:numFmt w:val="decimal"/>
      <w:lvlText w:val="%1."/>
      <w:lvlJc w:val="left"/>
      <w:pPr>
        <w:ind w:left="1440" w:hanging="360"/>
      </w:pPr>
      <w:rPr>
        <w:b w:val="0"/>
        <w:bCs w:val="0"/>
      </w:rPr>
    </w:lvl>
    <w:lvl w:ilvl="1" w:tplc="FFFFFFFF">
      <w:start w:val="1"/>
      <w:numFmt w:val="lowerLetter"/>
      <w:lvlText w:val="%2."/>
      <w:lvlJc w:val="left"/>
      <w:pPr>
        <w:ind w:left="2160" w:hanging="360"/>
      </w:pPr>
      <w:rPr>
        <w:b w:val="0"/>
        <w:bCs w:val="0"/>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61A25780"/>
    <w:multiLevelType w:val="multilevel"/>
    <w:tmpl w:val="3C526EDE"/>
    <w:numStyleLink w:val="Headings"/>
  </w:abstractNum>
  <w:abstractNum w:abstractNumId="5" w15:restartNumberingAfterBreak="0">
    <w:nsid w:val="789A0AFE"/>
    <w:multiLevelType w:val="multilevel"/>
    <w:tmpl w:val="18F4A5AC"/>
    <w:numStyleLink w:val="FoFCoLOP"/>
  </w:abstractNum>
  <w:abstractNum w:abstractNumId="6" w15:restartNumberingAfterBreak="0">
    <w:nsid w:val="798A0226"/>
    <w:multiLevelType w:val="hybridMultilevel"/>
    <w:tmpl w:val="5A40D926"/>
    <w:lvl w:ilvl="0" w:tplc="0310E82E">
      <w:start w:val="1"/>
      <w:numFmt w:val="decimal"/>
      <w:lvlText w:val="%1."/>
      <w:lvlJc w:val="left"/>
      <w:pPr>
        <w:ind w:left="1440" w:hanging="360"/>
      </w:pPr>
      <w:rPr>
        <w:b/>
        <w:bCs/>
        <w:sz w:val="26"/>
        <w:szCs w:val="26"/>
      </w:rPr>
    </w:lvl>
    <w:lvl w:ilvl="1" w:tplc="803282C2">
      <w:start w:val="1"/>
      <w:numFmt w:val="lowerLetter"/>
      <w:lvlText w:val="%2."/>
      <w:lvlJc w:val="left"/>
      <w:pPr>
        <w:ind w:left="2160" w:hanging="360"/>
      </w:pPr>
      <w:rPr>
        <w:b w:val="0"/>
        <w:bCs w:val="0"/>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2081705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862946">
    <w:abstractNumId w:val="5"/>
    <w:lvlOverride w:ilvl="0">
      <w:startOverride w:val="1"/>
      <w:lvl w:ilvl="0">
        <w:start w:val="1"/>
        <w:numFmt w:val="decimal"/>
        <w:pStyle w:val="OP"/>
        <w:lvlText w:val="%1."/>
        <w:lvlJc w:val="right"/>
        <w:pPr>
          <w:ind w:left="0" w:firstLine="54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 w16cid:durableId="2141529183">
    <w:abstractNumId w:val="6"/>
  </w:num>
  <w:num w:numId="4" w16cid:durableId="1601718571">
    <w:abstractNumId w:val="0"/>
  </w:num>
  <w:num w:numId="5" w16cid:durableId="1135099135">
    <w:abstractNumId w:val="1"/>
  </w:num>
  <w:num w:numId="6" w16cid:durableId="1954558863">
    <w:abstractNumId w:val="2"/>
  </w:num>
  <w:num w:numId="7" w16cid:durableId="220556251">
    <w:abstractNumId w:val="6"/>
  </w:num>
  <w:num w:numId="8" w16cid:durableId="67075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084"/>
    <w:rsid w:val="000079AC"/>
    <w:rsid w:val="00010973"/>
    <w:rsid w:val="00056C95"/>
    <w:rsid w:val="00061027"/>
    <w:rsid w:val="00080238"/>
    <w:rsid w:val="000A2AA5"/>
    <w:rsid w:val="000A623D"/>
    <w:rsid w:val="000D308D"/>
    <w:rsid w:val="000E51F3"/>
    <w:rsid w:val="00116766"/>
    <w:rsid w:val="00141CBE"/>
    <w:rsid w:val="00146137"/>
    <w:rsid w:val="00173754"/>
    <w:rsid w:val="00180844"/>
    <w:rsid w:val="001827AA"/>
    <w:rsid w:val="00186B00"/>
    <w:rsid w:val="0019110D"/>
    <w:rsid w:val="001A14FF"/>
    <w:rsid w:val="001D658B"/>
    <w:rsid w:val="0021192F"/>
    <w:rsid w:val="002139FC"/>
    <w:rsid w:val="0024128E"/>
    <w:rsid w:val="002773A7"/>
    <w:rsid w:val="002A1B27"/>
    <w:rsid w:val="002A201F"/>
    <w:rsid w:val="002B23EC"/>
    <w:rsid w:val="002B541E"/>
    <w:rsid w:val="002C219F"/>
    <w:rsid w:val="002C527C"/>
    <w:rsid w:val="002C5C94"/>
    <w:rsid w:val="002D12BD"/>
    <w:rsid w:val="002D7EA4"/>
    <w:rsid w:val="002E1DA9"/>
    <w:rsid w:val="002E7472"/>
    <w:rsid w:val="002E7C00"/>
    <w:rsid w:val="002F6B2F"/>
    <w:rsid w:val="00350A5B"/>
    <w:rsid w:val="003707E1"/>
    <w:rsid w:val="00392880"/>
    <w:rsid w:val="003A2BA6"/>
    <w:rsid w:val="003B1E87"/>
    <w:rsid w:val="003B2227"/>
    <w:rsid w:val="003E2417"/>
    <w:rsid w:val="003E5C20"/>
    <w:rsid w:val="003F296A"/>
    <w:rsid w:val="004129D8"/>
    <w:rsid w:val="00423048"/>
    <w:rsid w:val="00424306"/>
    <w:rsid w:val="0042604D"/>
    <w:rsid w:val="00426284"/>
    <w:rsid w:val="00427E84"/>
    <w:rsid w:val="004378BA"/>
    <w:rsid w:val="00437E8B"/>
    <w:rsid w:val="00446316"/>
    <w:rsid w:val="004672DA"/>
    <w:rsid w:val="004715DC"/>
    <w:rsid w:val="00471F88"/>
    <w:rsid w:val="00490E64"/>
    <w:rsid w:val="004965BB"/>
    <w:rsid w:val="004A139D"/>
    <w:rsid w:val="004A5E2E"/>
    <w:rsid w:val="004A7E22"/>
    <w:rsid w:val="004C18B1"/>
    <w:rsid w:val="004C5F25"/>
    <w:rsid w:val="004D06B6"/>
    <w:rsid w:val="004F6CDA"/>
    <w:rsid w:val="00501CFA"/>
    <w:rsid w:val="00515C6B"/>
    <w:rsid w:val="00553FA7"/>
    <w:rsid w:val="00557C5F"/>
    <w:rsid w:val="00571BBA"/>
    <w:rsid w:val="00580084"/>
    <w:rsid w:val="0058613A"/>
    <w:rsid w:val="00591679"/>
    <w:rsid w:val="005934C9"/>
    <w:rsid w:val="005A2BF5"/>
    <w:rsid w:val="005E4650"/>
    <w:rsid w:val="005F7CC4"/>
    <w:rsid w:val="005F7F5B"/>
    <w:rsid w:val="00613989"/>
    <w:rsid w:val="0064381A"/>
    <w:rsid w:val="00673CD3"/>
    <w:rsid w:val="00674F3F"/>
    <w:rsid w:val="00697594"/>
    <w:rsid w:val="006C450D"/>
    <w:rsid w:val="006D3513"/>
    <w:rsid w:val="006D7499"/>
    <w:rsid w:val="006E4A28"/>
    <w:rsid w:val="006E54F8"/>
    <w:rsid w:val="0071414D"/>
    <w:rsid w:val="00714349"/>
    <w:rsid w:val="00794613"/>
    <w:rsid w:val="007A38E3"/>
    <w:rsid w:val="007A5B9A"/>
    <w:rsid w:val="007E6BDC"/>
    <w:rsid w:val="008063B1"/>
    <w:rsid w:val="00831EBA"/>
    <w:rsid w:val="008356AC"/>
    <w:rsid w:val="00843D77"/>
    <w:rsid w:val="00845FFE"/>
    <w:rsid w:val="00847D40"/>
    <w:rsid w:val="00865BB2"/>
    <w:rsid w:val="0086625D"/>
    <w:rsid w:val="0088419F"/>
    <w:rsid w:val="00886EB9"/>
    <w:rsid w:val="00891B01"/>
    <w:rsid w:val="008B3372"/>
    <w:rsid w:val="009003E9"/>
    <w:rsid w:val="009014FC"/>
    <w:rsid w:val="00915A48"/>
    <w:rsid w:val="0092648C"/>
    <w:rsid w:val="009536B5"/>
    <w:rsid w:val="00963F61"/>
    <w:rsid w:val="00965786"/>
    <w:rsid w:val="00995F78"/>
    <w:rsid w:val="009A2FB6"/>
    <w:rsid w:val="009D4BE0"/>
    <w:rsid w:val="009D6195"/>
    <w:rsid w:val="009E7359"/>
    <w:rsid w:val="00A17ACB"/>
    <w:rsid w:val="00A23AF6"/>
    <w:rsid w:val="00A50B21"/>
    <w:rsid w:val="00A82265"/>
    <w:rsid w:val="00A877E1"/>
    <w:rsid w:val="00AA05D6"/>
    <w:rsid w:val="00AA78FF"/>
    <w:rsid w:val="00AA795F"/>
    <w:rsid w:val="00AB429C"/>
    <w:rsid w:val="00AF4212"/>
    <w:rsid w:val="00B02F0F"/>
    <w:rsid w:val="00B07152"/>
    <w:rsid w:val="00B13CEC"/>
    <w:rsid w:val="00B35BD4"/>
    <w:rsid w:val="00B35D65"/>
    <w:rsid w:val="00B4652F"/>
    <w:rsid w:val="00B87940"/>
    <w:rsid w:val="00BB7F1D"/>
    <w:rsid w:val="00BB7FB1"/>
    <w:rsid w:val="00BC5FC3"/>
    <w:rsid w:val="00BF6DEA"/>
    <w:rsid w:val="00C235CF"/>
    <w:rsid w:val="00C276B4"/>
    <w:rsid w:val="00C42ABD"/>
    <w:rsid w:val="00C61E63"/>
    <w:rsid w:val="00C63394"/>
    <w:rsid w:val="00CB115F"/>
    <w:rsid w:val="00CB7545"/>
    <w:rsid w:val="00CC666A"/>
    <w:rsid w:val="00CD68D8"/>
    <w:rsid w:val="00D3125B"/>
    <w:rsid w:val="00D514C6"/>
    <w:rsid w:val="00D53750"/>
    <w:rsid w:val="00D61FCF"/>
    <w:rsid w:val="00D73DE9"/>
    <w:rsid w:val="00DF0746"/>
    <w:rsid w:val="00E26FCA"/>
    <w:rsid w:val="00E453E5"/>
    <w:rsid w:val="00E54556"/>
    <w:rsid w:val="00E60D26"/>
    <w:rsid w:val="00E7293F"/>
    <w:rsid w:val="00E74658"/>
    <w:rsid w:val="00E80229"/>
    <w:rsid w:val="00E80B04"/>
    <w:rsid w:val="00E91507"/>
    <w:rsid w:val="00E97239"/>
    <w:rsid w:val="00EB72C1"/>
    <w:rsid w:val="00EC5D54"/>
    <w:rsid w:val="00EF7BC3"/>
    <w:rsid w:val="00F11FC7"/>
    <w:rsid w:val="00F30F3D"/>
    <w:rsid w:val="00F51FF4"/>
    <w:rsid w:val="00F52004"/>
    <w:rsid w:val="00F60AB9"/>
    <w:rsid w:val="00F805F5"/>
    <w:rsid w:val="00F85DDD"/>
    <w:rsid w:val="00FA4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7C9C2"/>
  <w15:chartTrackingRefBased/>
  <w15:docId w15:val="{5580E7CA-67DE-4D4B-A3E8-EE983C7D73D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084"/>
    <w:pPr>
      <w:spacing w:after="0" w:line="360" w:lineRule="auto"/>
      <w:ind w:firstLine="720"/>
    </w:pPr>
    <w:rPr>
      <w:rFonts w:ascii="Book Antiqua" w:hAnsi="Book Antiqua"/>
      <w:kern w:val="0"/>
      <w:sz w:val="26"/>
      <w14:ligatures w14:val="none"/>
    </w:rPr>
  </w:style>
  <w:style w:type="paragraph" w:styleId="Heading1">
    <w:name w:val="heading 1"/>
    <w:basedOn w:val="Normal"/>
    <w:next w:val="Normal"/>
    <w:link w:val="Heading1Char"/>
    <w:uiPriority w:val="4"/>
    <w:qFormat/>
    <w:rsid w:val="00580084"/>
    <w:pPr>
      <w:keepNext/>
      <w:keepLines/>
      <w:numPr>
        <w:numId w:val="1"/>
      </w:numPr>
      <w:spacing w:after="120" w:line="240" w:lineRule="auto"/>
      <w:ind w:right="2160"/>
      <w:outlineLvl w:val="0"/>
    </w:pPr>
    <w:rPr>
      <w:rFonts w:ascii="Arial" w:eastAsiaTheme="majorEastAsia" w:hAnsi="Arial" w:cstheme="majorBidi"/>
      <w:b/>
      <w:szCs w:val="32"/>
    </w:rPr>
  </w:style>
  <w:style w:type="paragraph" w:styleId="Heading2">
    <w:name w:val="heading 2"/>
    <w:basedOn w:val="Normal"/>
    <w:next w:val="Normal"/>
    <w:link w:val="Heading2Char"/>
    <w:uiPriority w:val="4"/>
    <w:unhideWhenUsed/>
    <w:qFormat/>
    <w:rsid w:val="00580084"/>
    <w:pPr>
      <w:keepNext/>
      <w:keepLines/>
      <w:numPr>
        <w:ilvl w:val="1"/>
        <w:numId w:val="1"/>
      </w:numPr>
      <w:spacing w:after="120" w:line="240" w:lineRule="auto"/>
      <w:ind w:left="1440" w:right="2160"/>
      <w:outlineLvl w:val="1"/>
    </w:pPr>
    <w:rPr>
      <w:rFonts w:ascii="Arial" w:eastAsia="Times New Roman" w:hAnsi="Arial" w:cs="Arial"/>
      <w:b/>
      <w:szCs w:val="26"/>
    </w:rPr>
  </w:style>
  <w:style w:type="paragraph" w:styleId="Heading3">
    <w:name w:val="heading 3"/>
    <w:basedOn w:val="Normal"/>
    <w:next w:val="Normal"/>
    <w:link w:val="Heading3Char"/>
    <w:uiPriority w:val="4"/>
    <w:semiHidden/>
    <w:unhideWhenUsed/>
    <w:qFormat/>
    <w:rsid w:val="00580084"/>
    <w:pPr>
      <w:keepNext/>
      <w:keepLines/>
      <w:numPr>
        <w:ilvl w:val="2"/>
        <w:numId w:val="1"/>
      </w:numPr>
      <w:spacing w:after="120" w:line="240" w:lineRule="auto"/>
      <w:ind w:right="2160"/>
      <w:outlineLvl w:val="2"/>
    </w:pPr>
    <w:rPr>
      <w:rFonts w:ascii="Arial" w:eastAsiaTheme="majorEastAsia" w:hAnsi="Arial" w:cstheme="majorBidi"/>
      <w:b/>
      <w:szCs w:val="24"/>
    </w:rPr>
  </w:style>
  <w:style w:type="paragraph" w:styleId="Heading4">
    <w:name w:val="heading 4"/>
    <w:basedOn w:val="Normal"/>
    <w:next w:val="Normal"/>
    <w:link w:val="Heading4Char"/>
    <w:uiPriority w:val="4"/>
    <w:semiHidden/>
    <w:unhideWhenUsed/>
    <w:qFormat/>
    <w:rsid w:val="00580084"/>
    <w:pPr>
      <w:keepNext/>
      <w:keepLines/>
      <w:numPr>
        <w:ilvl w:val="3"/>
        <w:numId w:val="1"/>
      </w:numPr>
      <w:spacing w:after="120" w:line="240" w:lineRule="auto"/>
      <w:ind w:right="2160"/>
      <w:outlineLvl w:val="3"/>
    </w:pPr>
    <w:rPr>
      <w:rFonts w:ascii="Arial" w:eastAsiaTheme="majorEastAsia" w:hAnsi="Arial" w:cstheme="majorBidi"/>
      <w:b/>
      <w:iCs/>
      <w:szCs w:val="26"/>
    </w:rPr>
  </w:style>
  <w:style w:type="paragraph" w:styleId="Heading5">
    <w:name w:val="heading 5"/>
    <w:basedOn w:val="Normal"/>
    <w:next w:val="Normal"/>
    <w:link w:val="Heading5Char"/>
    <w:uiPriority w:val="4"/>
    <w:semiHidden/>
    <w:unhideWhenUsed/>
    <w:qFormat/>
    <w:rsid w:val="00580084"/>
    <w:pPr>
      <w:keepNext/>
      <w:keepLines/>
      <w:numPr>
        <w:ilvl w:val="4"/>
        <w:numId w:val="1"/>
      </w:numPr>
      <w:spacing w:after="120" w:line="240" w:lineRule="auto"/>
      <w:ind w:right="2160"/>
      <w:outlineLvl w:val="4"/>
    </w:pPr>
    <w:rPr>
      <w:rFonts w:ascii="Arial" w:eastAsiaTheme="majorEastAsia" w:hAnsi="Arial" w:cstheme="majorBidi"/>
      <w:b/>
      <w:szCs w:val="26"/>
    </w:rPr>
  </w:style>
  <w:style w:type="paragraph" w:styleId="Heading6">
    <w:name w:val="heading 6"/>
    <w:basedOn w:val="Normal"/>
    <w:next w:val="Normal"/>
    <w:link w:val="Heading6Char"/>
    <w:uiPriority w:val="4"/>
    <w:semiHidden/>
    <w:unhideWhenUsed/>
    <w:qFormat/>
    <w:rsid w:val="00580084"/>
    <w:pPr>
      <w:keepNext/>
      <w:keepLines/>
      <w:numPr>
        <w:ilvl w:val="5"/>
        <w:numId w:val="1"/>
      </w:numPr>
      <w:spacing w:before="40" w:after="120" w:line="240" w:lineRule="auto"/>
      <w:ind w:right="2160"/>
      <w:outlineLvl w:val="5"/>
    </w:pPr>
    <w:rPr>
      <w:rFonts w:ascii="Arial" w:eastAsiaTheme="majorEastAsia" w:hAnsi="Arial"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580084"/>
    <w:rPr>
      <w:rFonts w:ascii="Arial" w:eastAsiaTheme="majorEastAsia" w:hAnsi="Arial" w:cstheme="majorBidi"/>
      <w:b/>
      <w:kern w:val="0"/>
      <w:sz w:val="26"/>
      <w:szCs w:val="32"/>
      <w14:ligatures w14:val="none"/>
    </w:rPr>
  </w:style>
  <w:style w:type="character" w:customStyle="1" w:styleId="Heading2Char">
    <w:name w:val="Heading 2 Char"/>
    <w:basedOn w:val="DefaultParagraphFont"/>
    <w:link w:val="Heading2"/>
    <w:uiPriority w:val="4"/>
    <w:rsid w:val="00580084"/>
    <w:rPr>
      <w:rFonts w:ascii="Arial" w:eastAsia="Times New Roman" w:hAnsi="Arial" w:cs="Arial"/>
      <w:b/>
      <w:kern w:val="0"/>
      <w:sz w:val="26"/>
      <w:szCs w:val="26"/>
      <w14:ligatures w14:val="none"/>
    </w:rPr>
  </w:style>
  <w:style w:type="character" w:customStyle="1" w:styleId="Heading3Char">
    <w:name w:val="Heading 3 Char"/>
    <w:basedOn w:val="DefaultParagraphFont"/>
    <w:link w:val="Heading3"/>
    <w:uiPriority w:val="4"/>
    <w:semiHidden/>
    <w:rsid w:val="00580084"/>
    <w:rPr>
      <w:rFonts w:ascii="Arial" w:eastAsiaTheme="majorEastAsia" w:hAnsi="Arial" w:cstheme="majorBidi"/>
      <w:b/>
      <w:kern w:val="0"/>
      <w:sz w:val="26"/>
      <w:szCs w:val="24"/>
      <w14:ligatures w14:val="none"/>
    </w:rPr>
  </w:style>
  <w:style w:type="character" w:customStyle="1" w:styleId="Heading4Char">
    <w:name w:val="Heading 4 Char"/>
    <w:basedOn w:val="DefaultParagraphFont"/>
    <w:link w:val="Heading4"/>
    <w:uiPriority w:val="4"/>
    <w:semiHidden/>
    <w:rsid w:val="00580084"/>
    <w:rPr>
      <w:rFonts w:ascii="Arial" w:eastAsiaTheme="majorEastAsia" w:hAnsi="Arial" w:cstheme="majorBidi"/>
      <w:b/>
      <w:iCs/>
      <w:kern w:val="0"/>
      <w:sz w:val="26"/>
      <w:szCs w:val="26"/>
      <w14:ligatures w14:val="none"/>
    </w:rPr>
  </w:style>
  <w:style w:type="character" w:customStyle="1" w:styleId="Heading5Char">
    <w:name w:val="Heading 5 Char"/>
    <w:basedOn w:val="DefaultParagraphFont"/>
    <w:link w:val="Heading5"/>
    <w:uiPriority w:val="4"/>
    <w:semiHidden/>
    <w:rsid w:val="00580084"/>
    <w:rPr>
      <w:rFonts w:ascii="Arial" w:eastAsiaTheme="majorEastAsia" w:hAnsi="Arial" w:cstheme="majorBidi"/>
      <w:b/>
      <w:kern w:val="0"/>
      <w:sz w:val="26"/>
      <w:szCs w:val="26"/>
      <w14:ligatures w14:val="none"/>
    </w:rPr>
  </w:style>
  <w:style w:type="character" w:customStyle="1" w:styleId="Heading6Char">
    <w:name w:val="Heading 6 Char"/>
    <w:basedOn w:val="DefaultParagraphFont"/>
    <w:link w:val="Heading6"/>
    <w:uiPriority w:val="4"/>
    <w:semiHidden/>
    <w:rsid w:val="00580084"/>
    <w:rPr>
      <w:rFonts w:ascii="Arial" w:eastAsiaTheme="majorEastAsia" w:hAnsi="Arial" w:cstheme="majorBidi"/>
      <w:b/>
      <w:kern w:val="0"/>
      <w:sz w:val="26"/>
      <w:szCs w:val="26"/>
      <w14:ligatures w14:val="none"/>
    </w:rPr>
  </w:style>
  <w:style w:type="character" w:styleId="Hyperlink">
    <w:name w:val="Hyperlink"/>
    <w:basedOn w:val="DefaultParagraphFont"/>
    <w:uiPriority w:val="99"/>
    <w:semiHidden/>
    <w:unhideWhenUsed/>
    <w:rsid w:val="00580084"/>
    <w:rPr>
      <w:color w:val="0563C1" w:themeColor="hyperlink"/>
      <w:u w:val="single"/>
    </w:rPr>
  </w:style>
  <w:style w:type="character" w:customStyle="1" w:styleId="FootnoteTextChar">
    <w:name w:val="Footnote Text Char"/>
    <w:aliases w:val="Footnote Text Char Char Char1,Footnote Text Char2 Char Char,Footnote Text Char Char Char Char,Footnote Text Char2 Char Char Char Char,Footnote Text Char Char Char Char Char Char,Footnote Text Char2 Char Char Char Char1 Char Char"/>
    <w:basedOn w:val="DefaultParagraphFont"/>
    <w:link w:val="FootnoteText"/>
    <w:uiPriority w:val="99"/>
    <w:locked/>
    <w:rsid w:val="00580084"/>
    <w:rPr>
      <w:rFonts w:ascii="Book Antiqua" w:hAnsi="Book Antiqua"/>
      <w:szCs w:val="20"/>
    </w:rPr>
  </w:style>
  <w:style w:type="paragraph" w:styleId="FootnoteText">
    <w:name w:val="footnote text"/>
    <w:aliases w:val="Footnote Text Char Char,Footnote Text Char2 Char,Footnote Text Char Char Char,Footnote Text Char2 Char Char Char,Footnote Text Char Char Char Char Char,Footnote Text Char2 Char Char Char Char1 Char,fn,Footnote Text Char2,ALTS FOOTNOTE"/>
    <w:basedOn w:val="Normal"/>
    <w:link w:val="FootnoteTextChar"/>
    <w:uiPriority w:val="99"/>
    <w:unhideWhenUsed/>
    <w:qFormat/>
    <w:rsid w:val="00580084"/>
    <w:pPr>
      <w:spacing w:after="120" w:line="240" w:lineRule="auto"/>
      <w:ind w:firstLine="0"/>
    </w:pPr>
    <w:rPr>
      <w:kern w:val="2"/>
      <w:sz w:val="22"/>
      <w:szCs w:val="20"/>
      <w14:ligatures w14:val="standardContextual"/>
    </w:rPr>
  </w:style>
  <w:style w:type="character" w:customStyle="1" w:styleId="FootnoteTextChar1">
    <w:name w:val="Footnote Text Char1"/>
    <w:basedOn w:val="DefaultParagraphFont"/>
    <w:uiPriority w:val="99"/>
    <w:semiHidden/>
    <w:rsid w:val="00580084"/>
    <w:rPr>
      <w:rFonts w:ascii="Book Antiqua" w:hAnsi="Book Antiqua"/>
      <w:kern w:val="0"/>
      <w:sz w:val="20"/>
      <w:szCs w:val="20"/>
      <w14:ligatures w14:val="none"/>
    </w:rPr>
  </w:style>
  <w:style w:type="paragraph" w:customStyle="1" w:styleId="Main">
    <w:name w:val="Main"/>
    <w:next w:val="Normal"/>
    <w:uiPriority w:val="19"/>
    <w:rsid w:val="00580084"/>
    <w:pPr>
      <w:spacing w:after="0" w:line="240" w:lineRule="auto"/>
      <w:jc w:val="center"/>
    </w:pPr>
    <w:rPr>
      <w:rFonts w:ascii="Arial" w:eastAsiaTheme="majorEastAsia" w:hAnsi="Arial" w:cstheme="majorBidi"/>
      <w:b/>
      <w:caps/>
      <w:kern w:val="0"/>
      <w:sz w:val="26"/>
      <w:szCs w:val="56"/>
      <w14:ligatures w14:val="none"/>
    </w:rPr>
  </w:style>
  <w:style w:type="paragraph" w:customStyle="1" w:styleId="OP">
    <w:name w:val="OP"/>
    <w:basedOn w:val="Normal"/>
    <w:uiPriority w:val="8"/>
    <w:qFormat/>
    <w:rsid w:val="00580084"/>
    <w:pPr>
      <w:numPr>
        <w:numId w:val="2"/>
      </w:numPr>
    </w:pPr>
  </w:style>
  <w:style w:type="paragraph" w:customStyle="1" w:styleId="ListAlpha">
    <w:name w:val="List Alpha"/>
    <w:basedOn w:val="Normal"/>
    <w:uiPriority w:val="4"/>
    <w:qFormat/>
    <w:rsid w:val="00580084"/>
    <w:pPr>
      <w:numPr>
        <w:ilvl w:val="7"/>
        <w:numId w:val="1"/>
      </w:numPr>
      <w:spacing w:after="120" w:line="240" w:lineRule="auto"/>
    </w:pPr>
  </w:style>
  <w:style w:type="paragraph" w:customStyle="1" w:styleId="ListNum">
    <w:name w:val="List Num"/>
    <w:basedOn w:val="Normal"/>
    <w:uiPriority w:val="4"/>
    <w:rsid w:val="00580084"/>
    <w:pPr>
      <w:numPr>
        <w:ilvl w:val="6"/>
        <w:numId w:val="1"/>
      </w:numPr>
      <w:spacing w:after="120" w:line="240" w:lineRule="auto"/>
    </w:pPr>
  </w:style>
  <w:style w:type="character" w:styleId="FootnoteReference">
    <w:name w:val="footnote reference"/>
    <w:aliases w:val="o,fr,o1,o2,o3,o4,o5,o6,o11,o21,o7,Style 12,(NECG) Footnote Reference,Appel note de bas de p,Style 124,o + Times New Roman,Style 3,Style 17,Style 20,Style 13,fr1,fr2,fr3,Style 58,Style 15,Style 9,Style 18,Style 7,Style 8,Style 19,Styl"/>
    <w:basedOn w:val="DefaultParagraphFont"/>
    <w:uiPriority w:val="99"/>
    <w:unhideWhenUsed/>
    <w:qFormat/>
    <w:rsid w:val="00580084"/>
    <w:rPr>
      <w:vertAlign w:val="superscript"/>
    </w:rPr>
  </w:style>
  <w:style w:type="table" w:styleId="TableGrid">
    <w:name w:val="Table Grid"/>
    <w:basedOn w:val="TableNormal"/>
    <w:uiPriority w:val="39"/>
    <w:rsid w:val="00580084"/>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FCoLOP">
    <w:name w:val="FoF/CoL/OP"/>
    <w:uiPriority w:val="99"/>
    <w:rsid w:val="00580084"/>
    <w:pPr>
      <w:numPr>
        <w:numId w:val="4"/>
      </w:numPr>
    </w:pPr>
  </w:style>
  <w:style w:type="numbering" w:customStyle="1" w:styleId="Headings">
    <w:name w:val="Headings"/>
    <w:uiPriority w:val="99"/>
    <w:rsid w:val="00580084"/>
    <w:pPr>
      <w:numPr>
        <w:numId w:val="5"/>
      </w:numPr>
    </w:pPr>
  </w:style>
  <w:style w:type="paragraph" w:styleId="ListParagraph">
    <w:name w:val="List Paragraph"/>
    <w:basedOn w:val="Normal"/>
    <w:uiPriority w:val="34"/>
    <w:qFormat/>
    <w:rsid w:val="008063B1"/>
    <w:pPr>
      <w:spacing w:after="160" w:line="259" w:lineRule="auto"/>
      <w:ind w:left="720" w:firstLine="0"/>
      <w:contextualSpacing/>
    </w:pPr>
    <w:rPr>
      <w:rFonts w:asciiTheme="minorHAnsi" w:hAnsiTheme="minorHAnsi"/>
      <w:kern w:val="2"/>
      <w:sz w:val="22"/>
      <w14:ligatures w14:val="standardContextual"/>
    </w:rPr>
  </w:style>
  <w:style w:type="paragraph" w:customStyle="1" w:styleId="BlockQuote">
    <w:name w:val="BlockQuote"/>
    <w:basedOn w:val="Normal"/>
    <w:qFormat/>
    <w:rsid w:val="00AF4212"/>
    <w:pPr>
      <w:spacing w:after="120" w:line="240" w:lineRule="auto"/>
      <w:ind w:left="720" w:right="1440" w:firstLine="0"/>
    </w:pPr>
  </w:style>
  <w:style w:type="paragraph" w:customStyle="1" w:styleId="Standard">
    <w:name w:val="Standard"/>
    <w:basedOn w:val="Normal"/>
    <w:qFormat/>
    <w:rsid w:val="00471F88"/>
  </w:style>
  <w:style w:type="paragraph" w:styleId="Header">
    <w:name w:val="header"/>
    <w:basedOn w:val="Normal"/>
    <w:link w:val="HeaderChar"/>
    <w:uiPriority w:val="99"/>
    <w:unhideWhenUsed/>
    <w:rsid w:val="008356AC"/>
    <w:pPr>
      <w:tabs>
        <w:tab w:val="center" w:pos="4680"/>
        <w:tab w:val="right" w:pos="9360"/>
      </w:tabs>
      <w:spacing w:line="240" w:lineRule="auto"/>
    </w:pPr>
  </w:style>
  <w:style w:type="character" w:customStyle="1" w:styleId="HeaderChar">
    <w:name w:val="Header Char"/>
    <w:basedOn w:val="DefaultParagraphFont"/>
    <w:link w:val="Header"/>
    <w:uiPriority w:val="99"/>
    <w:rsid w:val="008356AC"/>
    <w:rPr>
      <w:rFonts w:ascii="Book Antiqua" w:hAnsi="Book Antiqua"/>
      <w:kern w:val="0"/>
      <w:sz w:val="26"/>
      <w14:ligatures w14:val="none"/>
    </w:rPr>
  </w:style>
  <w:style w:type="paragraph" w:styleId="Footer">
    <w:name w:val="footer"/>
    <w:basedOn w:val="Normal"/>
    <w:link w:val="FooterChar"/>
    <w:uiPriority w:val="99"/>
    <w:unhideWhenUsed/>
    <w:rsid w:val="008356AC"/>
    <w:pPr>
      <w:tabs>
        <w:tab w:val="center" w:pos="4680"/>
        <w:tab w:val="right" w:pos="9360"/>
      </w:tabs>
      <w:spacing w:line="240" w:lineRule="auto"/>
    </w:pPr>
  </w:style>
  <w:style w:type="character" w:customStyle="1" w:styleId="FooterChar">
    <w:name w:val="Footer Char"/>
    <w:basedOn w:val="DefaultParagraphFont"/>
    <w:link w:val="Footer"/>
    <w:uiPriority w:val="99"/>
    <w:rsid w:val="008356AC"/>
    <w:rPr>
      <w:rFonts w:ascii="Book Antiqua" w:hAnsi="Book Antiqua"/>
      <w:kern w:val="0"/>
      <w:sz w:val="26"/>
      <w14:ligatures w14:val="none"/>
    </w:rPr>
  </w:style>
  <w:style w:type="paragraph" w:customStyle="1" w:styleId="BlockQuoteH025">
    <w:name w:val="BlockQuoteH025"/>
    <w:basedOn w:val="Normal"/>
    <w:qFormat/>
    <w:rsid w:val="00571BBA"/>
    <w:pPr>
      <w:spacing w:after="120" w:line="240" w:lineRule="auto"/>
      <w:ind w:left="1080" w:right="1440" w:hanging="360"/>
    </w:pPr>
  </w:style>
  <w:style w:type="paragraph" w:customStyle="1" w:styleId="BlockQuoteH025subH025">
    <w:name w:val="BlockQuoteH025subH025"/>
    <w:basedOn w:val="Normal"/>
    <w:qFormat/>
    <w:rsid w:val="00571BBA"/>
    <w:pPr>
      <w:spacing w:after="120" w:line="240" w:lineRule="auto"/>
      <w:ind w:left="1404" w:right="1440" w:hanging="360"/>
    </w:pPr>
  </w:style>
  <w:style w:type="paragraph" w:customStyle="1" w:styleId="Dummy">
    <w:name w:val="Dummy"/>
    <w:next w:val="Normal"/>
    <w:uiPriority w:val="19"/>
    <w:rsid w:val="00B02F0F"/>
    <w:pPr>
      <w:keepNext/>
      <w:keepLines/>
      <w:spacing w:after="120" w:line="240" w:lineRule="auto"/>
      <w:outlineLvl w:val="0"/>
    </w:pPr>
    <w:rPr>
      <w:rFonts w:ascii="Arial" w:hAnsi="Arial" w:cs="Arial"/>
      <w:b/>
      <w:kern w:val="0"/>
      <w:sz w:val="26"/>
      <w:szCs w:val="26"/>
      <w14:ligatures w14:val="none"/>
    </w:rPr>
  </w:style>
  <w:style w:type="paragraph" w:customStyle="1" w:styleId="BoxCheck1">
    <w:name w:val="Box&amp;Check1"/>
    <w:basedOn w:val="Normal"/>
    <w:qFormat/>
    <w:rsid w:val="00B02F0F"/>
    <w:pPr>
      <w:spacing w:line="240" w:lineRule="exact"/>
      <w:ind w:left="288" w:hanging="288"/>
    </w:pPr>
    <w:rPr>
      <w:rFonts w:ascii="Times New Roman" w:hAnsi="Times New Roman"/>
      <w:sz w:val="24"/>
    </w:rPr>
  </w:style>
  <w:style w:type="paragraph" w:styleId="Revision">
    <w:name w:val="Revision"/>
    <w:hidden/>
    <w:uiPriority w:val="99"/>
    <w:semiHidden/>
    <w:rsid w:val="00794613"/>
    <w:pPr>
      <w:spacing w:after="0" w:line="240" w:lineRule="auto"/>
    </w:pPr>
    <w:rPr>
      <w:rFonts w:ascii="Book Antiqua" w:hAnsi="Book Antiqua"/>
      <w:kern w:val="0"/>
      <w:sz w:val="26"/>
      <w14:ligatures w14:val="none"/>
    </w:rPr>
  </w:style>
  <w:style w:type="character" w:customStyle="1" w:styleId="cf01">
    <w:name w:val="cf01"/>
    <w:basedOn w:val="DefaultParagraphFont"/>
    <w:rsid w:val="00EB72C1"/>
    <w:rPr>
      <w:rFonts w:ascii="Segoe UI" w:hAnsi="Segoe UI" w:cs="Segoe UI" w:hint="default"/>
      <w:sz w:val="18"/>
      <w:szCs w:val="18"/>
    </w:rPr>
  </w:style>
  <w:style w:type="paragraph" w:customStyle="1" w:styleId="SigBlockBA-Cmr">
    <w:name w:val="SigBlockBA-Cmr"/>
    <w:basedOn w:val="Normal"/>
    <w:qFormat/>
    <w:rsid w:val="004D06B6"/>
    <w:pPr>
      <w:keepNext/>
      <w:autoSpaceDE w:val="0"/>
      <w:autoSpaceDN w:val="0"/>
      <w:adjustRightInd w:val="0"/>
      <w:spacing w:line="240" w:lineRule="auto"/>
      <w:ind w:left="4320" w:firstLine="0"/>
    </w:pPr>
    <w:rPr>
      <w:rFonts w:eastAsia="Times New Roman" w:cs="Times New Roman"/>
      <w:szCs w:val="20"/>
    </w:rPr>
  </w:style>
  <w:style w:type="paragraph" w:customStyle="1" w:styleId="SigBlockBA-Title">
    <w:name w:val="SigBlockBA-Title"/>
    <w:basedOn w:val="Normal"/>
    <w:qFormat/>
    <w:rsid w:val="004D06B6"/>
    <w:pPr>
      <w:keepNext/>
      <w:autoSpaceDE w:val="0"/>
      <w:autoSpaceDN w:val="0"/>
      <w:adjustRightInd w:val="0"/>
      <w:spacing w:line="240" w:lineRule="auto"/>
      <w:ind w:left="5400" w:firstLine="0"/>
      <w:jc w:val="both"/>
    </w:pPr>
    <w:rPr>
      <w:rFonts w:eastAsia="Times New Roman" w:cs="Times New Roman"/>
      <w:szCs w:val="20"/>
    </w:rPr>
  </w:style>
  <w:style w:type="paragraph" w:customStyle="1" w:styleId="SigSpaceBA">
    <w:name w:val="SigSpaceBA"/>
    <w:basedOn w:val="Normal"/>
    <w:qFormat/>
    <w:rsid w:val="004D06B6"/>
    <w:pPr>
      <w:keepNext/>
      <w:autoSpaceDE w:val="0"/>
      <w:autoSpaceDN w:val="0"/>
      <w:adjustRightInd w:val="0"/>
      <w:ind w:left="4320" w:firstLine="0"/>
      <w:jc w:val="both"/>
    </w:pPr>
    <w:rPr>
      <w:rFonts w:eastAsia="Times New Roman" w:cs="Times New Roman"/>
      <w:szCs w:val="20"/>
    </w:rPr>
  </w:style>
  <w:style w:type="paragraph" w:customStyle="1" w:styleId="BulletCheck2">
    <w:name w:val="Bullet&amp;Check2"/>
    <w:basedOn w:val="Normal"/>
    <w:qFormat/>
    <w:rsid w:val="004D06B6"/>
    <w:pPr>
      <w:spacing w:line="240" w:lineRule="exact"/>
      <w:ind w:left="490" w:hanging="202"/>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19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ess_office@cpuc.ca.go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ublic.advisor@cpuc.ca.gov" TargetMode="External"/><Relationship Id="rId4" Type="http://schemas.openxmlformats.org/officeDocument/2006/relationships/settings" Target="settings.xml"/><Relationship Id="rId9" Type="http://schemas.openxmlformats.org/officeDocument/2006/relationships/hyperlink" Target="http://subscribecpuc.cpuc.c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E9018-4E2E-438E-AF81-872382BC1C60}">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12</ap:Pages>
  <ap:Words>2746</ap:Words>
  <ap:Characters>15656</ap:Characters>
  <ap:Application>Microsoft Office Word</ap:Application>
  <ap:DocSecurity>0</ap:DocSecurity>
  <ap:Lines>130</ap:Lines>
  <ap:Paragraphs>36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18366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2023-09-12T22:58:00Z</cp:lastPrinted>
  <dcterms:created xsi:type="dcterms:W3CDTF">2023-10-19T10:59:59Z</dcterms:created>
  <dcterms:modified xsi:type="dcterms:W3CDTF">2023-10-19T10:59:59Z</dcterms:modified>
</cp:coreProperties>
</file>