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1288" w:rsidR="4E9247FC" w:rsidP="4E9247FC" w:rsidRDefault="4E9247FC" w14:paraId="2C92CF17" w14:textId="75D44051">
      <w:pPr>
        <w:rPr>
          <w:rFonts w:ascii="Palatino Linotype" w:hAnsi="Palatino Linotype"/>
          <w:highlight w:val="yellow"/>
        </w:rPr>
      </w:pPr>
    </w:p>
    <w:p w:rsidRPr="00824FD3" w:rsidR="002C312C" w:rsidP="001946A9" w:rsidRDefault="002C312C" w14:paraId="441A8CB9" w14:textId="4FBC00B4">
      <w:pPr>
        <w:jc w:val="center"/>
        <w:rPr>
          <w:rFonts w:ascii="Helvetica" w:hAnsi="Helvetica" w:cs="Helvetica"/>
          <w:b/>
          <w:bCs/>
          <w:sz w:val="26"/>
          <w:szCs w:val="26"/>
        </w:rPr>
      </w:pPr>
      <w:r w:rsidRPr="00824FD3">
        <w:rPr>
          <w:rFonts w:ascii="Helvetica" w:hAnsi="Helvetica" w:cs="Helvetica"/>
          <w:b/>
          <w:bCs/>
          <w:sz w:val="26"/>
          <w:szCs w:val="26"/>
        </w:rPr>
        <w:t>PUBLIC UTILITIES COMMISSION OF THE STATE OF CALIFORNIA</w:t>
      </w:r>
    </w:p>
    <w:p w:rsidRPr="00221288" w:rsidR="002C312C" w:rsidP="002C312C" w:rsidRDefault="002C312C" w14:paraId="499571E5" w14:textId="05792D1D">
      <w:pPr>
        <w:rPr>
          <w:rFonts w:ascii="Palatino Linotype" w:hAnsi="Palatino Linotype"/>
        </w:rPr>
      </w:pPr>
    </w:p>
    <w:p w:rsidRPr="00221288" w:rsidR="002C312C" w:rsidP="00221288" w:rsidRDefault="00221288" w14:paraId="053F2C1F" w14:textId="677880EF">
      <w:pPr>
        <w:ind w:left="6480" w:firstLine="450"/>
        <w:rPr>
          <w:rFonts w:ascii="Palatino Linotype" w:hAnsi="Palatino Linotype"/>
        </w:rPr>
      </w:pPr>
      <w:r w:rsidRPr="00221288">
        <w:rPr>
          <w:rFonts w:ascii="Palatino Linotype" w:hAnsi="Palatino Linotype"/>
          <w:b/>
          <w:bCs/>
        </w:rPr>
        <w:t xml:space="preserve"> </w:t>
      </w:r>
      <w:r w:rsidR="00FA320F">
        <w:rPr>
          <w:rFonts w:ascii="Palatino Linotype" w:hAnsi="Palatino Linotype"/>
          <w:b/>
          <w:bCs/>
        </w:rPr>
        <w:t xml:space="preserve">  </w:t>
      </w:r>
      <w:r w:rsidRPr="00221288">
        <w:rPr>
          <w:rFonts w:ascii="Palatino Linotype" w:hAnsi="Palatino Linotype"/>
          <w:b/>
          <w:bCs/>
        </w:rPr>
        <w:t xml:space="preserve">    </w:t>
      </w:r>
      <w:r w:rsidRPr="00221288" w:rsidR="002C312C">
        <w:rPr>
          <w:rFonts w:ascii="Palatino Linotype" w:hAnsi="Palatino Linotype"/>
          <w:b/>
          <w:bCs/>
        </w:rPr>
        <w:t xml:space="preserve">Agenda ID# </w:t>
      </w:r>
      <w:r w:rsidRPr="00FA320F" w:rsidR="00FA320F">
        <w:rPr>
          <w:rFonts w:ascii="Palatino Linotype" w:hAnsi="Palatino Linotype"/>
          <w:b/>
          <w:bCs/>
        </w:rPr>
        <w:t>22015</w:t>
      </w:r>
    </w:p>
    <w:p w:rsidRPr="00221288" w:rsidR="002C312C" w:rsidP="000112BD" w:rsidRDefault="002C312C" w14:paraId="638C5124" w14:textId="4DB19245">
      <w:pPr>
        <w:tabs>
          <w:tab w:val="right" w:pos="9360"/>
        </w:tabs>
        <w:rPr>
          <w:rFonts w:ascii="Palatino Linotype" w:hAnsi="Palatino Linotype"/>
        </w:rPr>
      </w:pPr>
      <w:r w:rsidRPr="00221288">
        <w:rPr>
          <w:rFonts w:ascii="Palatino Linotype" w:hAnsi="Palatino Linotype"/>
          <w:b/>
          <w:bCs/>
        </w:rPr>
        <w:t>ENERGY DIVISION</w:t>
      </w:r>
      <w:r w:rsidRPr="00221288">
        <w:rPr>
          <w:rFonts w:ascii="Palatino Linotype" w:hAnsi="Palatino Linotype"/>
        </w:rPr>
        <w:tab/>
      </w:r>
      <w:r w:rsidRPr="00221288">
        <w:rPr>
          <w:rFonts w:ascii="Palatino Linotype" w:hAnsi="Palatino Linotype"/>
          <w:b/>
          <w:bCs/>
        </w:rPr>
        <w:t>RESOLUTION E-5301</w:t>
      </w:r>
    </w:p>
    <w:p w:rsidRPr="00221288" w:rsidR="002C312C" w:rsidP="000112BD" w:rsidRDefault="002C312C" w14:paraId="3F7E24A5" w14:textId="77777777">
      <w:pPr>
        <w:jc w:val="right"/>
        <w:rPr>
          <w:rFonts w:ascii="Palatino Linotype" w:hAnsi="Palatino Linotype"/>
          <w:b/>
          <w:bCs/>
        </w:rPr>
      </w:pPr>
      <w:r w:rsidRPr="00221288">
        <w:rPr>
          <w:rFonts w:ascii="Palatino Linotype" w:hAnsi="Palatino Linotype"/>
          <w:b/>
          <w:bCs/>
        </w:rPr>
        <w:t>November 30, 2023</w:t>
      </w:r>
    </w:p>
    <w:p w:rsidRPr="00221288" w:rsidR="002C312C" w:rsidP="002C312C" w:rsidRDefault="002C312C" w14:paraId="7F96818E" w14:textId="09659E6C">
      <w:pPr>
        <w:rPr>
          <w:rFonts w:ascii="Palatino Linotype" w:hAnsi="Palatino Linotype"/>
        </w:rPr>
      </w:pPr>
    </w:p>
    <w:p w:rsidRPr="00221288" w:rsidR="002C312C" w:rsidP="00EE1DAE" w:rsidRDefault="002C312C" w14:paraId="4BF52649" w14:textId="7EEE57AE">
      <w:pPr>
        <w:pStyle w:val="mainex"/>
        <w:rPr>
          <w:rFonts w:ascii="Palatino Linotype" w:hAnsi="Palatino Linotype"/>
          <w:b w:val="0"/>
          <w:bCs/>
          <w:sz w:val="24"/>
          <w:szCs w:val="24"/>
        </w:rPr>
      </w:pPr>
      <w:r w:rsidRPr="00EE1DAE">
        <w:rPr>
          <w:rFonts w:ascii="Palatino Linotype" w:hAnsi="Palatino Linotype"/>
          <w:sz w:val="24"/>
          <w:szCs w:val="24"/>
          <w:u w:val="single"/>
        </w:rPr>
        <w:t>RESOLUTION</w:t>
      </w:r>
    </w:p>
    <w:p w:rsidRPr="00221288" w:rsidR="002C312C" w:rsidP="002C312C" w:rsidRDefault="002C312C" w14:paraId="16CAA88C" w14:textId="1A7B40FF">
      <w:pPr>
        <w:rPr>
          <w:rFonts w:ascii="Palatino Linotype" w:hAnsi="Palatino Linotype"/>
        </w:rPr>
      </w:pPr>
    </w:p>
    <w:p w:rsidRPr="00221288" w:rsidR="00DE071C" w:rsidP="000112BD" w:rsidRDefault="002C312C" w14:paraId="3F5D743D" w14:textId="3503A61A">
      <w:pPr>
        <w:ind w:left="720" w:right="720"/>
        <w:rPr>
          <w:rFonts w:ascii="Palatino Linotype" w:hAnsi="Palatino Linotype"/>
        </w:rPr>
      </w:pPr>
      <w:r w:rsidRPr="00221288">
        <w:rPr>
          <w:rFonts w:ascii="Palatino Linotype" w:hAnsi="Palatino Linotype"/>
        </w:rPr>
        <w:t xml:space="preserve">Resolution E-5301. </w:t>
      </w:r>
      <w:r w:rsidRPr="00221288" w:rsidR="00DE071C">
        <w:rPr>
          <w:rFonts w:ascii="Palatino Linotype" w:hAnsi="Palatino Linotype"/>
        </w:rPr>
        <w:t>Establishment of Pacific Gas and Electric Company, Southern California Edison Company, and San Diego Gas &amp; Electric Company Net Billing Tariffs as Directed by Decision 22-12-056.</w:t>
      </w:r>
    </w:p>
    <w:p w:rsidRPr="00221288" w:rsidR="005C5708" w:rsidP="000112BD" w:rsidRDefault="00221288" w14:paraId="7DD8BACE" w14:textId="44F67C4B">
      <w:pPr>
        <w:ind w:left="720" w:right="720"/>
        <w:rPr>
          <w:rFonts w:ascii="Palatino Linotype" w:hAnsi="Palatino Linotype"/>
        </w:rPr>
      </w:pPr>
      <w:r w:rsidRPr="00221288">
        <w:rPr>
          <w:rFonts w:ascii="Palatino Linotype" w:hAnsi="Palatino Linotype"/>
        </w:rPr>
        <w:t xml:space="preserve"> </w:t>
      </w:r>
    </w:p>
    <w:p w:rsidRPr="00221288" w:rsidR="005C5708" w:rsidP="000112BD" w:rsidRDefault="005C5708" w14:paraId="133582BA" w14:textId="139778A8">
      <w:pPr>
        <w:ind w:left="720" w:right="720"/>
        <w:rPr>
          <w:rFonts w:ascii="Palatino Linotype" w:hAnsi="Palatino Linotype"/>
        </w:rPr>
      </w:pPr>
      <w:r w:rsidRPr="00221288">
        <w:rPr>
          <w:rFonts w:ascii="Palatino Linotype" w:hAnsi="Palatino Linotype"/>
        </w:rPr>
        <w:t>PROPOSED OUTCOME:</w:t>
      </w:r>
    </w:p>
    <w:p w:rsidRPr="00221288" w:rsidR="00675B0F" w:rsidP="000112BD" w:rsidRDefault="00131156" w14:paraId="1811B13F" w14:textId="29EABC13">
      <w:pPr>
        <w:pStyle w:val="ListParagraph"/>
        <w:numPr>
          <w:ilvl w:val="0"/>
          <w:numId w:val="25"/>
        </w:numPr>
        <w:spacing w:after="0" w:line="240" w:lineRule="auto"/>
        <w:ind w:right="720"/>
        <w:rPr>
          <w:rFonts w:ascii="Palatino Linotype" w:hAnsi="Palatino Linotype"/>
          <w:sz w:val="24"/>
          <w:szCs w:val="24"/>
        </w:rPr>
      </w:pPr>
      <w:r w:rsidRPr="00221288">
        <w:rPr>
          <w:rFonts w:ascii="Palatino Linotype" w:hAnsi="Palatino Linotype"/>
          <w:sz w:val="24"/>
          <w:szCs w:val="24"/>
        </w:rPr>
        <w:t xml:space="preserve">Approves Pacific Gas and Electric Company (PG&amp;E), Southern California Edison Company (SCE), and San Diego Gas &amp; Electric Company (SDG&amp;E) </w:t>
      </w:r>
      <w:r w:rsidRPr="00221288" w:rsidR="008D209E">
        <w:rPr>
          <w:rFonts w:ascii="Palatino Linotype" w:hAnsi="Palatino Linotype"/>
          <w:sz w:val="24"/>
          <w:szCs w:val="24"/>
        </w:rPr>
        <w:t>net billing tariffs</w:t>
      </w:r>
      <w:r w:rsidRPr="00221288" w:rsidR="00BB19E5">
        <w:rPr>
          <w:rFonts w:ascii="Palatino Linotype" w:hAnsi="Palatino Linotype"/>
          <w:sz w:val="24"/>
          <w:szCs w:val="24"/>
        </w:rPr>
        <w:t>, with modifications</w:t>
      </w:r>
      <w:r w:rsidRPr="00221288" w:rsidR="00675B0F">
        <w:rPr>
          <w:rFonts w:ascii="Palatino Linotype" w:hAnsi="Palatino Linotype"/>
          <w:sz w:val="24"/>
          <w:szCs w:val="24"/>
        </w:rPr>
        <w:t>.</w:t>
      </w:r>
    </w:p>
    <w:p w:rsidRPr="00221288" w:rsidR="005C5708" w:rsidP="000112BD" w:rsidRDefault="00BB19E5" w14:paraId="58B2B657" w14:textId="2EA2F031">
      <w:pPr>
        <w:pStyle w:val="ListParagraph"/>
        <w:numPr>
          <w:ilvl w:val="0"/>
          <w:numId w:val="25"/>
        </w:numPr>
        <w:spacing w:after="0" w:line="240" w:lineRule="auto"/>
        <w:ind w:right="720"/>
        <w:rPr>
          <w:rFonts w:ascii="Palatino Linotype" w:hAnsi="Palatino Linotype"/>
          <w:sz w:val="24"/>
          <w:szCs w:val="24"/>
        </w:rPr>
      </w:pPr>
      <w:r w:rsidRPr="00221288">
        <w:rPr>
          <w:rFonts w:ascii="Palatino Linotype" w:hAnsi="Palatino Linotype"/>
          <w:sz w:val="24"/>
          <w:szCs w:val="24"/>
        </w:rPr>
        <w:t xml:space="preserve">Directs PG&amp;E, SCE, and SDG&amp;E to submit </w:t>
      </w:r>
      <w:r w:rsidRPr="00221288" w:rsidR="00AC0D6A">
        <w:rPr>
          <w:rFonts w:ascii="Palatino Linotype" w:hAnsi="Palatino Linotype"/>
          <w:sz w:val="24"/>
          <w:szCs w:val="24"/>
        </w:rPr>
        <w:t xml:space="preserve">Tier </w:t>
      </w:r>
      <w:r w:rsidRPr="00221288" w:rsidR="00BF7B92">
        <w:rPr>
          <w:rFonts w:ascii="Palatino Linotype" w:hAnsi="Palatino Linotype"/>
          <w:sz w:val="24"/>
          <w:szCs w:val="24"/>
        </w:rPr>
        <w:t xml:space="preserve">2 </w:t>
      </w:r>
      <w:r w:rsidRPr="00221288" w:rsidR="00AC0D6A">
        <w:rPr>
          <w:rFonts w:ascii="Palatino Linotype" w:hAnsi="Palatino Linotype"/>
          <w:sz w:val="24"/>
          <w:szCs w:val="24"/>
        </w:rPr>
        <w:t xml:space="preserve">advice letters </w:t>
      </w:r>
      <w:r w:rsidRPr="00221288" w:rsidR="0002512B">
        <w:rPr>
          <w:rFonts w:ascii="Palatino Linotype" w:hAnsi="Palatino Linotype"/>
          <w:sz w:val="24"/>
          <w:szCs w:val="24"/>
        </w:rPr>
        <w:t>w</w:t>
      </w:r>
      <w:r w:rsidRPr="00221288" w:rsidR="00A010C6">
        <w:rPr>
          <w:rFonts w:ascii="Palatino Linotype" w:hAnsi="Palatino Linotype"/>
          <w:sz w:val="24"/>
          <w:szCs w:val="24"/>
        </w:rPr>
        <w:t xml:space="preserve">ithin </w:t>
      </w:r>
      <w:r w:rsidR="00666674">
        <w:rPr>
          <w:rFonts w:ascii="Palatino Linotype" w:hAnsi="Palatino Linotype"/>
          <w:sz w:val="24"/>
          <w:szCs w:val="24"/>
        </w:rPr>
        <w:br/>
      </w:r>
      <w:r w:rsidRPr="00221288" w:rsidR="00A010C6">
        <w:rPr>
          <w:rFonts w:ascii="Palatino Linotype" w:hAnsi="Palatino Linotype"/>
          <w:sz w:val="24"/>
          <w:szCs w:val="24"/>
        </w:rPr>
        <w:t>60</w:t>
      </w:r>
      <w:r w:rsidRPr="00221288" w:rsidR="00675B0F">
        <w:rPr>
          <w:rFonts w:ascii="Palatino Linotype" w:hAnsi="Palatino Linotype"/>
          <w:sz w:val="24"/>
          <w:szCs w:val="24"/>
        </w:rPr>
        <w:t xml:space="preserve"> days of the </w:t>
      </w:r>
      <w:r w:rsidRPr="00221288" w:rsidR="00DA6B05">
        <w:rPr>
          <w:rFonts w:ascii="Palatino Linotype" w:hAnsi="Palatino Linotype"/>
          <w:sz w:val="24"/>
          <w:szCs w:val="24"/>
        </w:rPr>
        <w:t>effective date</w:t>
      </w:r>
      <w:r w:rsidRPr="00221288" w:rsidR="00675B0F">
        <w:rPr>
          <w:rFonts w:ascii="Palatino Linotype" w:hAnsi="Palatino Linotype"/>
          <w:sz w:val="24"/>
          <w:szCs w:val="24"/>
        </w:rPr>
        <w:t xml:space="preserve"> of this Resolution, </w:t>
      </w:r>
      <w:r w:rsidRPr="00221288" w:rsidR="00AC0D6A">
        <w:rPr>
          <w:rFonts w:ascii="Palatino Linotype" w:hAnsi="Palatino Linotype"/>
          <w:sz w:val="24"/>
          <w:szCs w:val="24"/>
        </w:rPr>
        <w:t xml:space="preserve">revising their net billing tariffs to reflect the changes </w:t>
      </w:r>
      <w:r w:rsidRPr="00221288" w:rsidR="00766C32">
        <w:rPr>
          <w:rFonts w:ascii="Palatino Linotype" w:hAnsi="Palatino Linotype"/>
          <w:sz w:val="24"/>
          <w:szCs w:val="24"/>
        </w:rPr>
        <w:t>directed</w:t>
      </w:r>
      <w:r w:rsidRPr="00221288" w:rsidR="00AC0D6A">
        <w:rPr>
          <w:rFonts w:ascii="Palatino Linotype" w:hAnsi="Palatino Linotype"/>
          <w:sz w:val="24"/>
          <w:szCs w:val="24"/>
        </w:rPr>
        <w:t xml:space="preserve"> in this Resolution</w:t>
      </w:r>
      <w:r w:rsidRPr="00221288" w:rsidR="00035AC0">
        <w:rPr>
          <w:rFonts w:ascii="Palatino Linotype" w:hAnsi="Palatino Linotype"/>
          <w:sz w:val="24"/>
          <w:szCs w:val="24"/>
        </w:rPr>
        <w:t xml:space="preserve">, </w:t>
      </w:r>
      <w:r w:rsidRPr="00221288" w:rsidR="006A31F3">
        <w:rPr>
          <w:rFonts w:ascii="Palatino Linotype" w:hAnsi="Palatino Linotype"/>
          <w:sz w:val="24"/>
          <w:szCs w:val="24"/>
        </w:rPr>
        <w:t xml:space="preserve">with these revisions </w:t>
      </w:r>
      <w:r w:rsidRPr="00221288" w:rsidR="00035AC0">
        <w:rPr>
          <w:rFonts w:ascii="Palatino Linotype" w:hAnsi="Palatino Linotype"/>
          <w:sz w:val="24"/>
          <w:szCs w:val="24"/>
        </w:rPr>
        <w:t>effective July 1, 2024</w:t>
      </w:r>
      <w:r w:rsidRPr="00221288" w:rsidR="00AC0D6A">
        <w:rPr>
          <w:rFonts w:ascii="Palatino Linotype" w:hAnsi="Palatino Linotype"/>
          <w:sz w:val="24"/>
          <w:szCs w:val="24"/>
        </w:rPr>
        <w:t>.</w:t>
      </w:r>
    </w:p>
    <w:p w:rsidRPr="00221288" w:rsidR="005C5708" w:rsidP="000112BD" w:rsidRDefault="005C5708" w14:paraId="2BB7EF23" w14:textId="77777777">
      <w:pPr>
        <w:ind w:left="720" w:right="720"/>
        <w:rPr>
          <w:rFonts w:ascii="Palatino Linotype" w:hAnsi="Palatino Linotype"/>
        </w:rPr>
      </w:pPr>
    </w:p>
    <w:p w:rsidRPr="00221288" w:rsidR="005C5708" w:rsidP="000112BD" w:rsidRDefault="005C5708" w14:paraId="0DC113AE" w14:textId="3BDCB48D">
      <w:pPr>
        <w:ind w:left="720" w:right="720"/>
        <w:rPr>
          <w:rFonts w:ascii="Palatino Linotype" w:hAnsi="Palatino Linotype"/>
        </w:rPr>
      </w:pPr>
      <w:r w:rsidRPr="00221288">
        <w:rPr>
          <w:rFonts w:ascii="Palatino Linotype" w:hAnsi="Palatino Linotype"/>
        </w:rPr>
        <w:t>SAFETY CONSIDERATIONS:</w:t>
      </w:r>
    </w:p>
    <w:p w:rsidRPr="00221288" w:rsidR="005C5708" w:rsidP="000112BD" w:rsidRDefault="0050784C" w14:paraId="4088C6F5" w14:textId="3555A7A4">
      <w:pPr>
        <w:pStyle w:val="ListParagraph"/>
        <w:numPr>
          <w:ilvl w:val="0"/>
          <w:numId w:val="25"/>
        </w:numPr>
        <w:spacing w:after="0" w:line="240" w:lineRule="auto"/>
        <w:ind w:right="720"/>
        <w:rPr>
          <w:rFonts w:ascii="Palatino Linotype" w:hAnsi="Palatino Linotype"/>
          <w:sz w:val="24"/>
          <w:szCs w:val="24"/>
        </w:rPr>
      </w:pPr>
      <w:r w:rsidRPr="00221288">
        <w:rPr>
          <w:rFonts w:ascii="Palatino Linotype" w:hAnsi="Palatino Linotype"/>
          <w:sz w:val="24"/>
          <w:szCs w:val="24"/>
        </w:rPr>
        <w:t>There are no safety considerations associated with this resolution.</w:t>
      </w:r>
    </w:p>
    <w:p w:rsidRPr="00221288" w:rsidR="005C5708" w:rsidP="000112BD" w:rsidRDefault="005C5708" w14:paraId="35C9E588" w14:textId="77777777">
      <w:pPr>
        <w:ind w:left="720" w:right="720"/>
        <w:rPr>
          <w:rFonts w:ascii="Palatino Linotype" w:hAnsi="Palatino Linotype"/>
        </w:rPr>
      </w:pPr>
    </w:p>
    <w:p w:rsidRPr="00221288" w:rsidR="005C5708" w:rsidP="000112BD" w:rsidRDefault="005C5708" w14:paraId="08302DB2" w14:textId="6E887081">
      <w:pPr>
        <w:ind w:left="720" w:right="720"/>
        <w:rPr>
          <w:rFonts w:ascii="Palatino Linotype" w:hAnsi="Palatino Linotype"/>
        </w:rPr>
      </w:pPr>
      <w:r w:rsidRPr="00221288">
        <w:rPr>
          <w:rFonts w:ascii="Palatino Linotype" w:hAnsi="Palatino Linotype"/>
        </w:rPr>
        <w:t>ESTIMATED COST:</w:t>
      </w:r>
    </w:p>
    <w:p w:rsidRPr="00221288" w:rsidR="005C5708" w:rsidP="000112BD" w:rsidRDefault="001B4045" w14:paraId="56AC49F4" w14:textId="3D27C01A">
      <w:pPr>
        <w:pStyle w:val="ListParagraph"/>
        <w:numPr>
          <w:ilvl w:val="0"/>
          <w:numId w:val="25"/>
        </w:numPr>
        <w:spacing w:after="0" w:line="240" w:lineRule="auto"/>
        <w:ind w:right="720"/>
        <w:rPr>
          <w:rFonts w:ascii="Palatino Linotype" w:hAnsi="Palatino Linotype"/>
          <w:sz w:val="24"/>
          <w:szCs w:val="24"/>
        </w:rPr>
      </w:pPr>
      <w:r w:rsidRPr="00221288">
        <w:rPr>
          <w:rFonts w:ascii="Palatino Linotype" w:hAnsi="Palatino Linotype"/>
          <w:sz w:val="24"/>
          <w:szCs w:val="24"/>
        </w:rPr>
        <w:t xml:space="preserve">There are no costs associated with this resolution. </w:t>
      </w:r>
      <w:r w:rsidRPr="00221288" w:rsidR="00F30BB1">
        <w:rPr>
          <w:rFonts w:ascii="Palatino Linotype" w:hAnsi="Palatino Linotype"/>
          <w:sz w:val="24"/>
          <w:szCs w:val="24"/>
        </w:rPr>
        <w:t>Memorandum accounts</w:t>
      </w:r>
      <w:r w:rsidRPr="00221288" w:rsidR="00752914">
        <w:rPr>
          <w:rFonts w:ascii="Palatino Linotype" w:hAnsi="Palatino Linotype"/>
          <w:sz w:val="24"/>
          <w:szCs w:val="24"/>
        </w:rPr>
        <w:t xml:space="preserve"> necessary for implementation of the net billing tariff were authorized </w:t>
      </w:r>
      <w:r w:rsidRPr="00221288" w:rsidR="00F30BB1">
        <w:rPr>
          <w:rFonts w:ascii="Palatino Linotype" w:hAnsi="Palatino Linotype"/>
          <w:sz w:val="24"/>
          <w:szCs w:val="24"/>
        </w:rPr>
        <w:t>in D.22-12-056.</w:t>
      </w:r>
    </w:p>
    <w:p w:rsidRPr="00221288" w:rsidR="005C5708" w:rsidP="000112BD" w:rsidRDefault="005C5708" w14:paraId="08E7BFA1" w14:textId="77777777">
      <w:pPr>
        <w:ind w:left="720" w:right="720"/>
        <w:rPr>
          <w:rFonts w:ascii="Palatino Linotype" w:hAnsi="Palatino Linotype"/>
        </w:rPr>
      </w:pPr>
    </w:p>
    <w:p w:rsidRPr="00221288" w:rsidR="006255E3" w:rsidP="000112BD" w:rsidRDefault="006255E3" w14:paraId="0514AD01" w14:textId="69E3A7B4">
      <w:pPr>
        <w:pBdr>
          <w:bottom w:val="single" w:color="auto" w:sz="6" w:space="1"/>
        </w:pBdr>
        <w:ind w:left="720" w:right="720"/>
        <w:rPr>
          <w:rFonts w:ascii="Palatino Linotype" w:hAnsi="Palatino Linotype"/>
        </w:rPr>
      </w:pPr>
      <w:r w:rsidRPr="00221288">
        <w:rPr>
          <w:rFonts w:ascii="Palatino Linotype" w:hAnsi="Palatino Linotype"/>
        </w:rPr>
        <w:t xml:space="preserve">By Pacific Gas and Electric Company Advice Letter 6848-E/6848-E-A, </w:t>
      </w:r>
      <w:r w:rsidRPr="00221288" w:rsidR="00654145">
        <w:rPr>
          <w:rFonts w:ascii="Palatino Linotype" w:hAnsi="Palatino Linotype"/>
        </w:rPr>
        <w:t>filed on March</w:t>
      </w:r>
      <w:r w:rsidRPr="00221288" w:rsidR="00654145">
        <w:rPr>
          <w:rFonts w:ascii="Palatino Linotype" w:hAnsi="Palatino Linotype"/>
          <w:b/>
          <w:bCs/>
        </w:rPr>
        <w:t xml:space="preserve"> </w:t>
      </w:r>
      <w:r w:rsidRPr="00221288" w:rsidR="00654145">
        <w:rPr>
          <w:rFonts w:ascii="Palatino Linotype" w:hAnsi="Palatino Linotype"/>
        </w:rPr>
        <w:t xml:space="preserve">24, 2023; </w:t>
      </w:r>
      <w:r w:rsidRPr="00221288">
        <w:rPr>
          <w:rFonts w:ascii="Palatino Linotype" w:hAnsi="Palatino Linotype"/>
        </w:rPr>
        <w:t xml:space="preserve">Southern California Edison Company Advice Letter 4961-E/4961-E-A, </w:t>
      </w:r>
      <w:r w:rsidRPr="00221288" w:rsidR="00654145">
        <w:rPr>
          <w:rFonts w:ascii="Palatino Linotype" w:hAnsi="Palatino Linotype"/>
        </w:rPr>
        <w:t>filed on March 27, 2023;</w:t>
      </w:r>
      <w:r w:rsidRPr="00221288">
        <w:rPr>
          <w:rFonts w:ascii="Palatino Linotype" w:hAnsi="Palatino Linotype"/>
        </w:rPr>
        <w:t xml:space="preserve"> and San Diego Gas &amp; Electric Company Advice Letter 4155-E/4155-E-A, </w:t>
      </w:r>
      <w:r w:rsidRPr="00221288" w:rsidR="00654145">
        <w:rPr>
          <w:rFonts w:ascii="Palatino Linotype" w:hAnsi="Palatino Linotype"/>
        </w:rPr>
        <w:t>filed on March 31, 2023</w:t>
      </w:r>
      <w:r w:rsidRPr="00221288" w:rsidR="006549AF">
        <w:rPr>
          <w:rFonts w:ascii="Palatino Linotype" w:hAnsi="Palatino Linotype"/>
        </w:rPr>
        <w:t>.</w:t>
      </w:r>
    </w:p>
    <w:p w:rsidRPr="00221288" w:rsidR="000112BD" w:rsidP="000112BD" w:rsidRDefault="000112BD" w14:paraId="192C14E6" w14:textId="77777777">
      <w:pPr>
        <w:pBdr>
          <w:bottom w:val="single" w:color="auto" w:sz="6" w:space="1"/>
        </w:pBdr>
        <w:ind w:left="720" w:right="720"/>
        <w:rPr>
          <w:rFonts w:ascii="Palatino Linotype" w:hAnsi="Palatino Linotype"/>
        </w:rPr>
      </w:pPr>
    </w:p>
    <w:p w:rsidRPr="00221288" w:rsidR="00D7216C" w:rsidP="00384D2B" w:rsidRDefault="00D7216C" w14:paraId="5BB8AE1B" w14:textId="77777777">
      <w:pPr>
        <w:rPr>
          <w:rFonts w:ascii="Palatino Linotype" w:hAnsi="Palatino Linotype"/>
        </w:rPr>
      </w:pPr>
    </w:p>
    <w:p w:rsidRPr="00221288" w:rsidR="00384D2B" w:rsidP="00A45D39" w:rsidRDefault="006255E3" w14:paraId="5E7EDF1B" w14:textId="4819F2C4">
      <w:pPr>
        <w:pStyle w:val="Heading2"/>
        <w:rPr>
          <w:rFonts w:ascii="Palatino Linotype" w:hAnsi="Palatino Linotype"/>
          <w:u w:val="single"/>
        </w:rPr>
      </w:pPr>
      <w:r w:rsidRPr="00221288">
        <w:rPr>
          <w:rFonts w:ascii="Palatino Linotype" w:hAnsi="Palatino Linotype"/>
          <w:u w:val="single"/>
        </w:rPr>
        <w:t>SUMMARY</w:t>
      </w:r>
    </w:p>
    <w:p w:rsidRPr="00221288" w:rsidR="006255E3" w:rsidP="00B40CD8" w:rsidRDefault="006255E3" w14:paraId="16FE5E67" w14:textId="77777777">
      <w:pPr>
        <w:autoSpaceDE w:val="0"/>
        <w:autoSpaceDN w:val="0"/>
        <w:adjustRightInd w:val="0"/>
        <w:rPr>
          <w:rFonts w:ascii="Palatino Linotype" w:hAnsi="Palatino Linotype"/>
        </w:rPr>
      </w:pPr>
    </w:p>
    <w:p w:rsidRPr="00221288" w:rsidR="00384D2B" w:rsidP="00B40CD8" w:rsidRDefault="3F30A822" w14:paraId="444203C6" w14:textId="486D2643">
      <w:pPr>
        <w:autoSpaceDE w:val="0"/>
        <w:autoSpaceDN w:val="0"/>
        <w:adjustRightInd w:val="0"/>
        <w:rPr>
          <w:rFonts w:ascii="Palatino Linotype" w:hAnsi="Palatino Linotype"/>
        </w:rPr>
      </w:pPr>
      <w:r w:rsidRPr="00221288">
        <w:rPr>
          <w:rFonts w:ascii="Palatino Linotype" w:hAnsi="Palatino Linotype"/>
        </w:rPr>
        <w:t xml:space="preserve">This </w:t>
      </w:r>
      <w:r w:rsidRPr="00221288" w:rsidR="006255E3">
        <w:rPr>
          <w:rFonts w:ascii="Palatino Linotype" w:hAnsi="Palatino Linotype"/>
        </w:rPr>
        <w:t>Resolution</w:t>
      </w:r>
      <w:r w:rsidRPr="00221288">
        <w:rPr>
          <w:rFonts w:ascii="Palatino Linotype" w:hAnsi="Palatino Linotype"/>
        </w:rPr>
        <w:t xml:space="preserve"> approves </w:t>
      </w:r>
      <w:r w:rsidRPr="00221288" w:rsidR="23C496A4">
        <w:rPr>
          <w:rFonts w:ascii="Palatino Linotype" w:hAnsi="Palatino Linotype"/>
        </w:rPr>
        <w:t>Pacific Gas and Electric</w:t>
      </w:r>
      <w:r w:rsidRPr="00221288" w:rsidR="45678FD3">
        <w:rPr>
          <w:rFonts w:ascii="Palatino Linotype" w:hAnsi="Palatino Linotype"/>
        </w:rPr>
        <w:t xml:space="preserve"> </w:t>
      </w:r>
      <w:r w:rsidRPr="00221288" w:rsidR="26922668">
        <w:rPr>
          <w:rFonts w:ascii="Palatino Linotype" w:hAnsi="Palatino Linotype"/>
        </w:rPr>
        <w:t xml:space="preserve">Company </w:t>
      </w:r>
      <w:r w:rsidRPr="00221288" w:rsidR="45678FD3">
        <w:rPr>
          <w:rFonts w:ascii="Palatino Linotype" w:hAnsi="Palatino Linotype"/>
        </w:rPr>
        <w:t>(PG&amp;E)</w:t>
      </w:r>
      <w:r w:rsidRPr="00221288" w:rsidR="23C496A4">
        <w:rPr>
          <w:rFonts w:ascii="Palatino Linotype" w:hAnsi="Palatino Linotype"/>
        </w:rPr>
        <w:t xml:space="preserve"> Advice Letter </w:t>
      </w:r>
      <w:r w:rsidRPr="00221288" w:rsidR="52B03720">
        <w:rPr>
          <w:rFonts w:ascii="Palatino Linotype" w:hAnsi="Palatino Linotype"/>
        </w:rPr>
        <w:t xml:space="preserve">(AL) </w:t>
      </w:r>
      <w:r w:rsidRPr="00221288" w:rsidR="23C496A4">
        <w:rPr>
          <w:rFonts w:ascii="Palatino Linotype" w:hAnsi="Palatino Linotype"/>
        </w:rPr>
        <w:t>684</w:t>
      </w:r>
      <w:r w:rsidRPr="00221288" w:rsidR="5C427ECF">
        <w:rPr>
          <w:rFonts w:ascii="Palatino Linotype" w:hAnsi="Palatino Linotype"/>
        </w:rPr>
        <w:t>8</w:t>
      </w:r>
      <w:r w:rsidRPr="00221288" w:rsidR="23C496A4">
        <w:rPr>
          <w:rFonts w:ascii="Palatino Linotype" w:hAnsi="Palatino Linotype"/>
        </w:rPr>
        <w:t>-E</w:t>
      </w:r>
      <w:r w:rsidRPr="00221288" w:rsidR="52B03720">
        <w:rPr>
          <w:rFonts w:ascii="Palatino Linotype" w:hAnsi="Palatino Linotype"/>
        </w:rPr>
        <w:t xml:space="preserve"> (with modifications made by PG&amp;E AL 684</w:t>
      </w:r>
      <w:r w:rsidRPr="00221288" w:rsidR="5C427ECF">
        <w:rPr>
          <w:rFonts w:ascii="Palatino Linotype" w:hAnsi="Palatino Linotype"/>
        </w:rPr>
        <w:t>8</w:t>
      </w:r>
      <w:r w:rsidRPr="00221288" w:rsidR="52B03720">
        <w:rPr>
          <w:rFonts w:ascii="Palatino Linotype" w:hAnsi="Palatino Linotype"/>
        </w:rPr>
        <w:t xml:space="preserve"> E-A), </w:t>
      </w:r>
      <w:r w:rsidRPr="00221288" w:rsidR="23C496A4">
        <w:rPr>
          <w:rFonts w:ascii="Palatino Linotype" w:hAnsi="Palatino Linotype"/>
        </w:rPr>
        <w:t>Southern California Edison</w:t>
      </w:r>
      <w:r w:rsidRPr="00221288" w:rsidR="2DEF3401">
        <w:rPr>
          <w:rFonts w:ascii="Palatino Linotype" w:hAnsi="Palatino Linotype"/>
        </w:rPr>
        <w:t xml:space="preserve"> Company</w:t>
      </w:r>
      <w:r w:rsidRPr="00221288" w:rsidR="45678FD3">
        <w:rPr>
          <w:rFonts w:ascii="Palatino Linotype" w:hAnsi="Palatino Linotype"/>
        </w:rPr>
        <w:t xml:space="preserve"> (SCE)</w:t>
      </w:r>
      <w:r w:rsidRPr="00221288" w:rsidR="23C496A4">
        <w:rPr>
          <w:rFonts w:ascii="Palatino Linotype" w:hAnsi="Palatino Linotype"/>
        </w:rPr>
        <w:t xml:space="preserve"> A</w:t>
      </w:r>
      <w:r w:rsidRPr="00221288" w:rsidR="52B03720">
        <w:rPr>
          <w:rFonts w:ascii="Palatino Linotype" w:hAnsi="Palatino Linotype"/>
        </w:rPr>
        <w:t xml:space="preserve">L </w:t>
      </w:r>
      <w:r w:rsidRPr="00221288" w:rsidR="510D1634">
        <w:rPr>
          <w:rFonts w:ascii="Palatino Linotype" w:hAnsi="Palatino Linotype"/>
        </w:rPr>
        <w:t>4961</w:t>
      </w:r>
      <w:r w:rsidRPr="00221288" w:rsidR="23C496A4">
        <w:rPr>
          <w:rFonts w:ascii="Palatino Linotype" w:hAnsi="Palatino Linotype"/>
        </w:rPr>
        <w:t>-E</w:t>
      </w:r>
      <w:r w:rsidRPr="00221288" w:rsidR="52B03720">
        <w:rPr>
          <w:rFonts w:ascii="Palatino Linotype" w:hAnsi="Palatino Linotype"/>
        </w:rPr>
        <w:t xml:space="preserve"> (with modifications made by SCE AL </w:t>
      </w:r>
      <w:r w:rsidRPr="00221288" w:rsidR="510D1634">
        <w:rPr>
          <w:rFonts w:ascii="Palatino Linotype" w:hAnsi="Palatino Linotype"/>
        </w:rPr>
        <w:t>4961</w:t>
      </w:r>
      <w:r w:rsidRPr="00221288" w:rsidR="52B03720">
        <w:rPr>
          <w:rFonts w:ascii="Palatino Linotype" w:hAnsi="Palatino Linotype"/>
        </w:rPr>
        <w:t>-E-A)</w:t>
      </w:r>
      <w:r w:rsidRPr="00221288" w:rsidR="23C496A4">
        <w:rPr>
          <w:rFonts w:ascii="Palatino Linotype" w:hAnsi="Palatino Linotype"/>
        </w:rPr>
        <w:t xml:space="preserve">, and San </w:t>
      </w:r>
      <w:r w:rsidRPr="00221288" w:rsidR="23C496A4">
        <w:rPr>
          <w:rFonts w:ascii="Palatino Linotype" w:hAnsi="Palatino Linotype"/>
        </w:rPr>
        <w:lastRenderedPageBreak/>
        <w:t>Diego Gas &amp; Electric</w:t>
      </w:r>
      <w:r w:rsidRPr="00221288" w:rsidR="7C0B8C83">
        <w:rPr>
          <w:rFonts w:ascii="Palatino Linotype" w:hAnsi="Palatino Linotype"/>
        </w:rPr>
        <w:t xml:space="preserve"> Company</w:t>
      </w:r>
      <w:r w:rsidRPr="00221288" w:rsidR="45678FD3">
        <w:rPr>
          <w:rFonts w:ascii="Palatino Linotype" w:hAnsi="Palatino Linotype"/>
        </w:rPr>
        <w:t xml:space="preserve"> (</w:t>
      </w:r>
      <w:r w:rsidRPr="00221288" w:rsidR="67039401">
        <w:rPr>
          <w:rFonts w:ascii="Palatino Linotype" w:hAnsi="Palatino Linotype"/>
        </w:rPr>
        <w:t>SDG&amp;E</w:t>
      </w:r>
      <w:r w:rsidRPr="00221288" w:rsidR="45678FD3">
        <w:rPr>
          <w:rFonts w:ascii="Palatino Linotype" w:hAnsi="Palatino Linotype"/>
        </w:rPr>
        <w:t>)</w:t>
      </w:r>
      <w:r w:rsidRPr="00221288" w:rsidR="23C496A4">
        <w:rPr>
          <w:rFonts w:ascii="Palatino Linotype" w:hAnsi="Palatino Linotype"/>
        </w:rPr>
        <w:t xml:space="preserve"> </w:t>
      </w:r>
      <w:r w:rsidRPr="00221288" w:rsidR="52B03720">
        <w:rPr>
          <w:rFonts w:ascii="Palatino Linotype" w:hAnsi="Palatino Linotype"/>
        </w:rPr>
        <w:t xml:space="preserve">AL </w:t>
      </w:r>
      <w:r w:rsidRPr="00221288" w:rsidR="510D1634">
        <w:rPr>
          <w:rFonts w:ascii="Palatino Linotype" w:hAnsi="Palatino Linotype"/>
        </w:rPr>
        <w:t>4155</w:t>
      </w:r>
      <w:r w:rsidRPr="00221288" w:rsidR="23C496A4">
        <w:rPr>
          <w:rFonts w:ascii="Palatino Linotype" w:hAnsi="Palatino Linotype"/>
        </w:rPr>
        <w:t>-E</w:t>
      </w:r>
      <w:r w:rsidRPr="00221288" w:rsidR="52B03720">
        <w:rPr>
          <w:rFonts w:ascii="Palatino Linotype" w:hAnsi="Palatino Linotype"/>
        </w:rPr>
        <w:t xml:space="preserve"> (with modifications made by SDG&amp;E AL </w:t>
      </w:r>
      <w:r w:rsidRPr="00221288" w:rsidR="510D1634">
        <w:rPr>
          <w:rFonts w:ascii="Palatino Linotype" w:hAnsi="Palatino Linotype"/>
        </w:rPr>
        <w:t>4155</w:t>
      </w:r>
      <w:r w:rsidRPr="00221288" w:rsidR="52B03720">
        <w:rPr>
          <w:rFonts w:ascii="Palatino Linotype" w:hAnsi="Palatino Linotype"/>
        </w:rPr>
        <w:t>-E-A)</w:t>
      </w:r>
      <w:r w:rsidRPr="00221288" w:rsidR="23C496A4">
        <w:rPr>
          <w:rFonts w:ascii="Palatino Linotype" w:hAnsi="Palatino Linotype"/>
        </w:rPr>
        <w:t>,</w:t>
      </w:r>
      <w:r w:rsidRPr="00221288">
        <w:rPr>
          <w:rFonts w:ascii="Palatino Linotype" w:hAnsi="Palatino Linotype"/>
        </w:rPr>
        <w:t xml:space="preserve"> effective </w:t>
      </w:r>
      <w:r w:rsidRPr="00221288" w:rsidR="00981FE3">
        <w:rPr>
          <w:rFonts w:ascii="Palatino Linotype" w:hAnsi="Palatino Linotype"/>
        </w:rPr>
        <w:t xml:space="preserve">upon this resolution’s </w:t>
      </w:r>
      <w:r w:rsidRPr="00221288" w:rsidR="00D267E3">
        <w:rPr>
          <w:rFonts w:ascii="Palatino Linotype" w:hAnsi="Palatino Linotype"/>
        </w:rPr>
        <w:t xml:space="preserve">effective </w:t>
      </w:r>
      <w:r w:rsidRPr="00221288" w:rsidR="00981FE3">
        <w:rPr>
          <w:rFonts w:ascii="Palatino Linotype" w:hAnsi="Palatino Linotype"/>
        </w:rPr>
        <w:t>date</w:t>
      </w:r>
      <w:r w:rsidRPr="00221288">
        <w:rPr>
          <w:rFonts w:ascii="Palatino Linotype" w:hAnsi="Palatino Linotype"/>
        </w:rPr>
        <w:t xml:space="preserve">. </w:t>
      </w:r>
    </w:p>
    <w:p w:rsidRPr="00221288" w:rsidR="00B80B11" w:rsidP="00B40CD8" w:rsidRDefault="00B80B11" w14:paraId="724C5F16" w14:textId="77777777">
      <w:pPr>
        <w:autoSpaceDE w:val="0"/>
        <w:autoSpaceDN w:val="0"/>
        <w:adjustRightInd w:val="0"/>
        <w:rPr>
          <w:rFonts w:ascii="Palatino Linotype" w:hAnsi="Palatino Linotype"/>
        </w:rPr>
      </w:pPr>
    </w:p>
    <w:p w:rsidRPr="00221288" w:rsidR="00203888" w:rsidP="003E3EED" w:rsidRDefault="58DA1064" w14:paraId="21B14EB3" w14:textId="68C7F039">
      <w:pPr>
        <w:autoSpaceDE w:val="0"/>
        <w:autoSpaceDN w:val="0"/>
        <w:adjustRightInd w:val="0"/>
        <w:rPr>
          <w:rFonts w:ascii="Palatino Linotype" w:hAnsi="Palatino Linotype"/>
        </w:rPr>
      </w:pPr>
      <w:r w:rsidRPr="00221288">
        <w:rPr>
          <w:rFonts w:ascii="Palatino Linotype" w:hAnsi="Palatino Linotype"/>
        </w:rPr>
        <w:t>Decision (D.)</w:t>
      </w:r>
      <w:r w:rsidRPr="00221288" w:rsidR="27E3FC8E">
        <w:rPr>
          <w:rFonts w:ascii="Palatino Linotype" w:hAnsi="Palatino Linotype"/>
        </w:rPr>
        <w:t xml:space="preserve"> </w:t>
      </w:r>
      <w:r w:rsidRPr="00221288">
        <w:rPr>
          <w:rFonts w:ascii="Palatino Linotype" w:hAnsi="Palatino Linotype"/>
        </w:rPr>
        <w:t>22-12-056</w:t>
      </w:r>
      <w:r w:rsidRPr="00221288" w:rsidR="2733F550">
        <w:rPr>
          <w:rFonts w:ascii="Palatino Linotype" w:hAnsi="Palatino Linotype"/>
        </w:rPr>
        <w:t xml:space="preserve"> established the framework for the </w:t>
      </w:r>
      <w:r w:rsidRPr="00221288" w:rsidR="627EFC11">
        <w:rPr>
          <w:rFonts w:ascii="Palatino Linotype" w:hAnsi="Palatino Linotype"/>
        </w:rPr>
        <w:t>net billing tariff</w:t>
      </w:r>
      <w:r w:rsidRPr="00221288" w:rsidR="45678FD3">
        <w:rPr>
          <w:rFonts w:ascii="Palatino Linotype" w:hAnsi="Palatino Linotype"/>
        </w:rPr>
        <w:t xml:space="preserve">. Ordering Paragraph 12 of </w:t>
      </w:r>
      <w:r w:rsidRPr="00221288" w:rsidR="62DEFE32">
        <w:rPr>
          <w:rFonts w:ascii="Palatino Linotype" w:hAnsi="Palatino Linotype"/>
        </w:rPr>
        <w:t>D.22-12-056</w:t>
      </w:r>
      <w:r w:rsidRPr="00221288" w:rsidR="45678FD3">
        <w:rPr>
          <w:rFonts w:ascii="Palatino Linotype" w:hAnsi="Palatino Linotype"/>
        </w:rPr>
        <w:t xml:space="preserve"> directs PG&amp;E, </w:t>
      </w:r>
      <w:r w:rsidRPr="00221288" w:rsidR="74C385D5">
        <w:rPr>
          <w:rFonts w:ascii="Palatino Linotype" w:hAnsi="Palatino Linotype"/>
        </w:rPr>
        <w:t xml:space="preserve">SCE, and </w:t>
      </w:r>
      <w:r w:rsidRPr="00221288" w:rsidR="67039401">
        <w:rPr>
          <w:rFonts w:ascii="Palatino Linotype" w:hAnsi="Palatino Linotype"/>
        </w:rPr>
        <w:t>SDG&amp;E</w:t>
      </w:r>
      <w:r w:rsidRPr="00221288" w:rsidR="74C385D5">
        <w:rPr>
          <w:rFonts w:ascii="Palatino Linotype" w:hAnsi="Palatino Linotype"/>
        </w:rPr>
        <w:t xml:space="preserve"> (</w:t>
      </w:r>
      <w:r w:rsidRPr="00221288" w:rsidR="3631D923">
        <w:rPr>
          <w:rFonts w:ascii="Palatino Linotype" w:hAnsi="Palatino Linotype"/>
        </w:rPr>
        <w:t xml:space="preserve">collectively </w:t>
      </w:r>
      <w:r w:rsidRPr="00221288" w:rsidR="74C385D5">
        <w:rPr>
          <w:rFonts w:ascii="Palatino Linotype" w:hAnsi="Palatino Linotype"/>
        </w:rPr>
        <w:t xml:space="preserve">“the utilities”) to file </w:t>
      </w:r>
      <w:r w:rsidRPr="00221288" w:rsidR="00ED3F9A">
        <w:rPr>
          <w:rFonts w:ascii="Palatino Linotype" w:hAnsi="Palatino Linotype"/>
        </w:rPr>
        <w:t xml:space="preserve">their proposed net billing tariffs in </w:t>
      </w:r>
      <w:r w:rsidRPr="00221288" w:rsidR="00CD2490">
        <w:rPr>
          <w:rFonts w:ascii="Palatino Linotype" w:hAnsi="Palatino Linotype"/>
        </w:rPr>
        <w:t>T</w:t>
      </w:r>
      <w:r w:rsidRPr="00221288" w:rsidR="74C385D5">
        <w:rPr>
          <w:rFonts w:ascii="Palatino Linotype" w:hAnsi="Palatino Linotype"/>
        </w:rPr>
        <w:t xml:space="preserve">ier 2 </w:t>
      </w:r>
      <w:r w:rsidRPr="00221288" w:rsidR="00FB1ED2">
        <w:rPr>
          <w:rFonts w:ascii="Palatino Linotype" w:hAnsi="Palatino Linotype"/>
        </w:rPr>
        <w:t>ALs</w:t>
      </w:r>
      <w:r w:rsidRPr="00221288" w:rsidR="74C385D5">
        <w:rPr>
          <w:rFonts w:ascii="Palatino Linotype" w:hAnsi="Palatino Linotype"/>
        </w:rPr>
        <w:t xml:space="preserve"> no later than 45 days after </w:t>
      </w:r>
      <w:r w:rsidRPr="00221288" w:rsidR="3098CAAB">
        <w:rPr>
          <w:rFonts w:ascii="Palatino Linotype" w:hAnsi="Palatino Linotype"/>
        </w:rPr>
        <w:t xml:space="preserve">the </w:t>
      </w:r>
      <w:r w:rsidRPr="00221288" w:rsidR="4E8930D8">
        <w:rPr>
          <w:rFonts w:ascii="Palatino Linotype" w:hAnsi="Palatino Linotype"/>
        </w:rPr>
        <w:t xml:space="preserve">adoption </w:t>
      </w:r>
      <w:r w:rsidRPr="00221288" w:rsidR="3098CAAB">
        <w:rPr>
          <w:rFonts w:ascii="Palatino Linotype" w:hAnsi="Palatino Linotype"/>
        </w:rPr>
        <w:t xml:space="preserve">date of </w:t>
      </w:r>
      <w:r w:rsidRPr="00221288" w:rsidR="3CE046DE">
        <w:rPr>
          <w:rFonts w:ascii="Palatino Linotype" w:hAnsi="Palatino Linotype"/>
        </w:rPr>
        <w:t>the decision</w:t>
      </w:r>
      <w:r w:rsidRPr="00221288" w:rsidR="3098CAAB">
        <w:rPr>
          <w:rFonts w:ascii="Palatino Linotype" w:hAnsi="Palatino Linotype"/>
        </w:rPr>
        <w:t>.</w:t>
      </w:r>
      <w:r w:rsidRPr="00221288" w:rsidR="4CC223BF">
        <w:rPr>
          <w:rFonts w:ascii="Palatino Linotype" w:hAnsi="Palatino Linotype"/>
        </w:rPr>
        <w:t xml:space="preserve"> The utilities </w:t>
      </w:r>
      <w:r w:rsidRPr="00221288" w:rsidR="7FAAD0CD">
        <w:rPr>
          <w:rFonts w:ascii="Palatino Linotype" w:hAnsi="Palatino Linotype"/>
        </w:rPr>
        <w:t xml:space="preserve">timely </w:t>
      </w:r>
      <w:r w:rsidRPr="00221288" w:rsidR="5392D8CA">
        <w:rPr>
          <w:rFonts w:ascii="Palatino Linotype" w:hAnsi="Palatino Linotype"/>
        </w:rPr>
        <w:t>submitted</w:t>
      </w:r>
      <w:r w:rsidRPr="00221288" w:rsidR="4CC223BF">
        <w:rPr>
          <w:rFonts w:ascii="Palatino Linotype" w:hAnsi="Palatino Linotype"/>
        </w:rPr>
        <w:t xml:space="preserve"> their </w:t>
      </w:r>
      <w:r w:rsidRPr="00221288" w:rsidR="00CA34E2">
        <w:rPr>
          <w:rFonts w:ascii="Palatino Linotype" w:hAnsi="Palatino Linotype"/>
        </w:rPr>
        <w:t xml:space="preserve">initial </w:t>
      </w:r>
      <w:r w:rsidRPr="00221288" w:rsidR="00FB1ED2">
        <w:rPr>
          <w:rFonts w:ascii="Palatino Linotype" w:hAnsi="Palatino Linotype"/>
        </w:rPr>
        <w:t>ALs</w:t>
      </w:r>
      <w:r w:rsidRPr="00221288" w:rsidR="4CC223BF">
        <w:rPr>
          <w:rFonts w:ascii="Palatino Linotype" w:hAnsi="Palatino Linotype"/>
        </w:rPr>
        <w:t xml:space="preserve"> on January 30, 2023.</w:t>
      </w:r>
    </w:p>
    <w:p w:rsidRPr="00221288" w:rsidR="00203888" w:rsidP="003E3EED" w:rsidRDefault="00203888" w14:paraId="3615840F" w14:textId="77777777">
      <w:pPr>
        <w:autoSpaceDE w:val="0"/>
        <w:autoSpaceDN w:val="0"/>
        <w:adjustRightInd w:val="0"/>
        <w:rPr>
          <w:rFonts w:ascii="Palatino Linotype" w:hAnsi="Palatino Linotype"/>
        </w:rPr>
      </w:pPr>
    </w:p>
    <w:p w:rsidRPr="00221288" w:rsidR="00384D2B" w:rsidP="003E3EED" w:rsidRDefault="00203888" w14:paraId="2F8C85F4" w14:textId="333BB6F7">
      <w:pPr>
        <w:autoSpaceDE w:val="0"/>
        <w:autoSpaceDN w:val="0"/>
        <w:adjustRightInd w:val="0"/>
        <w:rPr>
          <w:rFonts w:ascii="Palatino Linotype" w:hAnsi="Palatino Linotype"/>
        </w:rPr>
      </w:pPr>
      <w:r w:rsidRPr="00221288">
        <w:rPr>
          <w:rFonts w:ascii="Palatino Linotype" w:hAnsi="Palatino Linotype"/>
        </w:rPr>
        <w:t xml:space="preserve">The </w:t>
      </w:r>
      <w:r w:rsidRPr="00221288" w:rsidR="004962EE">
        <w:rPr>
          <w:rFonts w:ascii="Palatino Linotype" w:hAnsi="Palatino Linotype"/>
        </w:rPr>
        <w:t>original and supplement</w:t>
      </w:r>
      <w:r w:rsidRPr="00221288" w:rsidR="002E376E">
        <w:rPr>
          <w:rFonts w:ascii="Palatino Linotype" w:hAnsi="Palatino Linotype"/>
        </w:rPr>
        <w:t>al</w:t>
      </w:r>
      <w:r w:rsidRPr="00221288">
        <w:rPr>
          <w:rFonts w:ascii="Palatino Linotype" w:hAnsi="Palatino Linotype"/>
        </w:rPr>
        <w:t xml:space="preserve"> </w:t>
      </w:r>
      <w:r w:rsidRPr="00221288" w:rsidR="00CE3647">
        <w:rPr>
          <w:rFonts w:ascii="Palatino Linotype" w:hAnsi="Palatino Linotype"/>
        </w:rPr>
        <w:t>AL</w:t>
      </w:r>
      <w:r w:rsidRPr="00221288" w:rsidR="0091287F">
        <w:rPr>
          <w:rFonts w:ascii="Palatino Linotype" w:hAnsi="Palatino Linotype"/>
        </w:rPr>
        <w:t>s are approved</w:t>
      </w:r>
      <w:r w:rsidRPr="00221288" w:rsidR="00D36ADE">
        <w:rPr>
          <w:rFonts w:ascii="Palatino Linotype" w:hAnsi="Palatino Linotype"/>
        </w:rPr>
        <w:t>.</w:t>
      </w:r>
      <w:r w:rsidRPr="00221288" w:rsidDel="008F6235" w:rsidR="001C62E8">
        <w:rPr>
          <w:rFonts w:ascii="Palatino Linotype" w:hAnsi="Palatino Linotype"/>
        </w:rPr>
        <w:t xml:space="preserve"> </w:t>
      </w:r>
      <w:r w:rsidRPr="00221288" w:rsidR="008F6235">
        <w:rPr>
          <w:rFonts w:ascii="Palatino Linotype" w:hAnsi="Palatino Linotype"/>
        </w:rPr>
        <w:t>As detailed below, within</w:t>
      </w:r>
      <w:r w:rsidRPr="00221288" w:rsidR="001C62E8">
        <w:rPr>
          <w:rFonts w:ascii="Palatino Linotype" w:hAnsi="Palatino Linotype"/>
        </w:rPr>
        <w:t xml:space="preserve"> five business days of the </w:t>
      </w:r>
      <w:r w:rsidRPr="00221288" w:rsidR="00D267E3">
        <w:rPr>
          <w:rFonts w:ascii="Palatino Linotype" w:hAnsi="Palatino Linotype"/>
        </w:rPr>
        <w:t xml:space="preserve">effective date </w:t>
      </w:r>
      <w:r w:rsidRPr="00221288" w:rsidR="001C62E8">
        <w:rPr>
          <w:rFonts w:ascii="Palatino Linotype" w:hAnsi="Palatino Linotype"/>
        </w:rPr>
        <w:t xml:space="preserve">of this Resolution, </w:t>
      </w:r>
      <w:r w:rsidRPr="00221288" w:rsidR="00D94609">
        <w:rPr>
          <w:rFonts w:ascii="Palatino Linotype" w:hAnsi="Palatino Linotype"/>
        </w:rPr>
        <w:t xml:space="preserve">the utilities </w:t>
      </w:r>
      <w:r w:rsidRPr="00221288" w:rsidR="001C62E8">
        <w:rPr>
          <w:rFonts w:ascii="Palatino Linotype" w:hAnsi="Palatino Linotype"/>
        </w:rPr>
        <w:t>shall publish uniform machine-readable spreadsheets containing the retail export compensation rates on their respective websites</w:t>
      </w:r>
      <w:r w:rsidRPr="00221288" w:rsidR="00D94609">
        <w:rPr>
          <w:rFonts w:ascii="Palatino Linotype" w:hAnsi="Palatino Linotype"/>
        </w:rPr>
        <w:t>.</w:t>
      </w:r>
      <w:r w:rsidRPr="00221288" w:rsidR="001C62E8">
        <w:rPr>
          <w:rFonts w:ascii="Palatino Linotype" w:hAnsi="Palatino Linotype"/>
        </w:rPr>
        <w:t xml:space="preserve"> </w:t>
      </w:r>
      <w:r w:rsidRPr="00221288" w:rsidR="00D36ADE">
        <w:rPr>
          <w:rFonts w:ascii="Palatino Linotype" w:hAnsi="Palatino Linotype"/>
        </w:rPr>
        <w:t xml:space="preserve">Within 60 days of the </w:t>
      </w:r>
      <w:r w:rsidRPr="00221288" w:rsidR="000B40B3">
        <w:rPr>
          <w:rFonts w:ascii="Palatino Linotype" w:hAnsi="Palatino Linotype"/>
        </w:rPr>
        <w:t xml:space="preserve">effective date </w:t>
      </w:r>
      <w:r w:rsidRPr="00221288" w:rsidR="00D36ADE">
        <w:rPr>
          <w:rFonts w:ascii="Palatino Linotype" w:hAnsi="Palatino Linotype"/>
        </w:rPr>
        <w:t xml:space="preserve">of this resolution, the utilities shall </w:t>
      </w:r>
      <w:r w:rsidRPr="00221288" w:rsidR="0042211E">
        <w:rPr>
          <w:rFonts w:ascii="Palatino Linotype" w:hAnsi="Palatino Linotype"/>
        </w:rPr>
        <w:t>sub</w:t>
      </w:r>
      <w:r w:rsidRPr="00221288" w:rsidR="00EA40C7">
        <w:rPr>
          <w:rFonts w:ascii="Palatino Linotype" w:hAnsi="Palatino Linotype"/>
        </w:rPr>
        <w:t xml:space="preserve">mit Tier 2 advice letters </w:t>
      </w:r>
      <w:r w:rsidRPr="00221288" w:rsidR="00D36ADE">
        <w:rPr>
          <w:rFonts w:ascii="Palatino Linotype" w:hAnsi="Palatino Linotype"/>
        </w:rPr>
        <w:t>propos</w:t>
      </w:r>
      <w:r w:rsidRPr="00221288" w:rsidR="00BA1513">
        <w:rPr>
          <w:rFonts w:ascii="Palatino Linotype" w:hAnsi="Palatino Linotype"/>
        </w:rPr>
        <w:t>ing</w:t>
      </w:r>
      <w:r w:rsidRPr="00221288" w:rsidR="00D36ADE">
        <w:rPr>
          <w:rFonts w:ascii="Palatino Linotype" w:hAnsi="Palatino Linotype"/>
        </w:rPr>
        <w:t xml:space="preserve"> several </w:t>
      </w:r>
      <w:r w:rsidRPr="00221288" w:rsidR="008F6235">
        <w:rPr>
          <w:rFonts w:ascii="Palatino Linotype" w:hAnsi="Palatino Linotype"/>
        </w:rPr>
        <w:t>tariff</w:t>
      </w:r>
      <w:r w:rsidRPr="00221288" w:rsidR="00D36ADE">
        <w:rPr>
          <w:rFonts w:ascii="Palatino Linotype" w:hAnsi="Palatino Linotype"/>
        </w:rPr>
        <w:t xml:space="preserve"> changes articulated below</w:t>
      </w:r>
      <w:r w:rsidRPr="00221288" w:rsidR="001C7902">
        <w:rPr>
          <w:rFonts w:ascii="Palatino Linotype" w:hAnsi="Palatino Linotype"/>
        </w:rPr>
        <w:t>.</w:t>
      </w:r>
      <w:r w:rsidRPr="00221288" w:rsidR="000D70FB">
        <w:rPr>
          <w:rFonts w:ascii="Palatino Linotype" w:hAnsi="Palatino Linotype"/>
        </w:rPr>
        <w:t xml:space="preserve"> This Resolution also directs</w:t>
      </w:r>
      <w:r w:rsidRPr="00221288" w:rsidR="001C7902">
        <w:rPr>
          <w:rFonts w:ascii="Palatino Linotype" w:hAnsi="Palatino Linotype"/>
        </w:rPr>
        <w:t xml:space="preserve"> </w:t>
      </w:r>
      <w:r w:rsidRPr="00221288" w:rsidR="00BC3931">
        <w:rPr>
          <w:rFonts w:ascii="Palatino Linotype" w:hAnsi="Palatino Linotype"/>
        </w:rPr>
        <w:t xml:space="preserve">a minor change in </w:t>
      </w:r>
      <w:r w:rsidRPr="00221288" w:rsidR="00C83E2C">
        <w:rPr>
          <w:rFonts w:ascii="Palatino Linotype" w:hAnsi="Palatino Linotype"/>
        </w:rPr>
        <w:t xml:space="preserve">the </w:t>
      </w:r>
      <w:r w:rsidRPr="00221288" w:rsidR="00BC3931">
        <w:rPr>
          <w:rFonts w:ascii="Palatino Linotype" w:hAnsi="Palatino Linotype"/>
        </w:rPr>
        <w:t>calculation of retail export compensation rates,</w:t>
      </w:r>
      <w:r w:rsidRPr="00221288" w:rsidR="00C83E2C">
        <w:rPr>
          <w:rFonts w:ascii="Palatino Linotype" w:hAnsi="Palatino Linotype"/>
        </w:rPr>
        <w:t xml:space="preserve"> to </w:t>
      </w:r>
      <w:r w:rsidRPr="00221288" w:rsidR="00BC3931">
        <w:rPr>
          <w:rFonts w:ascii="Palatino Linotype" w:hAnsi="Palatino Linotype"/>
        </w:rPr>
        <w:t xml:space="preserve">be </w:t>
      </w:r>
      <w:r w:rsidRPr="00221288" w:rsidR="00B620F2">
        <w:rPr>
          <w:rFonts w:ascii="Palatino Linotype" w:hAnsi="Palatino Linotype"/>
        </w:rPr>
        <w:t>submitted</w:t>
      </w:r>
      <w:r w:rsidRPr="00221288" w:rsidR="004641B9">
        <w:rPr>
          <w:rFonts w:ascii="Palatino Linotype" w:hAnsi="Palatino Linotype"/>
        </w:rPr>
        <w:t xml:space="preserve"> </w:t>
      </w:r>
      <w:r w:rsidRPr="00221288" w:rsidR="00BC3931">
        <w:rPr>
          <w:rFonts w:ascii="Palatino Linotype" w:hAnsi="Palatino Linotype"/>
        </w:rPr>
        <w:t>in a Tier 1 AL after the next Avoided Cost Calculator update.</w:t>
      </w:r>
      <w:r w:rsidRPr="00221288" w:rsidR="001C7902">
        <w:rPr>
          <w:rFonts w:ascii="Palatino Linotype" w:hAnsi="Palatino Linotype"/>
        </w:rPr>
        <w:t xml:space="preserve"> </w:t>
      </w:r>
      <w:r w:rsidRPr="00221288" w:rsidR="00D570BE">
        <w:rPr>
          <w:rFonts w:ascii="Palatino Linotype" w:hAnsi="Palatino Linotype"/>
        </w:rPr>
        <w:t xml:space="preserve">Finally, this Resolution grants the Director </w:t>
      </w:r>
      <w:r w:rsidRPr="00221288" w:rsidR="00C151BA">
        <w:rPr>
          <w:rFonts w:ascii="Palatino Linotype" w:hAnsi="Palatino Linotype"/>
        </w:rPr>
        <w:t>of the</w:t>
      </w:r>
      <w:r w:rsidRPr="00221288" w:rsidR="00D570BE">
        <w:rPr>
          <w:rFonts w:ascii="Palatino Linotype" w:hAnsi="Palatino Linotype"/>
        </w:rPr>
        <w:t xml:space="preserve"> Energy </w:t>
      </w:r>
      <w:r w:rsidRPr="00221288" w:rsidR="00C151BA">
        <w:rPr>
          <w:rFonts w:ascii="Palatino Linotype" w:hAnsi="Palatino Linotype"/>
        </w:rPr>
        <w:t>Division</w:t>
      </w:r>
      <w:r w:rsidRPr="00221288" w:rsidR="008049C7">
        <w:rPr>
          <w:rFonts w:ascii="Palatino Linotype" w:hAnsi="Palatino Linotype"/>
        </w:rPr>
        <w:t>, or their designee,</w:t>
      </w:r>
      <w:r w:rsidRPr="00221288" w:rsidR="00D570BE">
        <w:rPr>
          <w:rFonts w:ascii="Palatino Linotype" w:hAnsi="Palatino Linotype"/>
        </w:rPr>
        <w:t xml:space="preserve"> </w:t>
      </w:r>
      <w:r w:rsidRPr="00221288" w:rsidR="008D2DFE">
        <w:rPr>
          <w:rFonts w:ascii="Palatino Linotype" w:hAnsi="Palatino Linotype"/>
        </w:rPr>
        <w:t>authori</w:t>
      </w:r>
      <w:r w:rsidRPr="00221288" w:rsidR="00C105C0">
        <w:rPr>
          <w:rFonts w:ascii="Palatino Linotype" w:hAnsi="Palatino Linotype"/>
        </w:rPr>
        <w:t>ty</w:t>
      </w:r>
      <w:r w:rsidRPr="00221288" w:rsidR="00D570BE">
        <w:rPr>
          <w:rFonts w:ascii="Palatino Linotype" w:hAnsi="Palatino Linotype"/>
        </w:rPr>
        <w:t xml:space="preserve"> to make technical changes to </w:t>
      </w:r>
      <w:r w:rsidRPr="00221288" w:rsidR="008D2DFE">
        <w:rPr>
          <w:rFonts w:ascii="Palatino Linotype" w:hAnsi="Palatino Linotype"/>
        </w:rPr>
        <w:t xml:space="preserve">the </w:t>
      </w:r>
      <w:r w:rsidRPr="00221288" w:rsidR="007902D1">
        <w:rPr>
          <w:rFonts w:ascii="Palatino Linotype" w:hAnsi="Palatino Linotype"/>
        </w:rPr>
        <w:t>utilities</w:t>
      </w:r>
      <w:r w:rsidRPr="00221288" w:rsidR="00305B5B">
        <w:rPr>
          <w:rFonts w:ascii="Palatino Linotype" w:hAnsi="Palatino Linotype"/>
        </w:rPr>
        <w:t>’</w:t>
      </w:r>
      <w:r w:rsidRPr="00221288" w:rsidR="008D2DFE">
        <w:rPr>
          <w:rFonts w:ascii="Palatino Linotype" w:hAnsi="Palatino Linotype"/>
        </w:rPr>
        <w:t xml:space="preserve"> </w:t>
      </w:r>
      <w:r w:rsidRPr="00221288" w:rsidR="00D570BE">
        <w:rPr>
          <w:rFonts w:ascii="Palatino Linotype" w:hAnsi="Palatino Linotype"/>
        </w:rPr>
        <w:t>respective interconnection portals</w:t>
      </w:r>
      <w:r w:rsidRPr="00221288" w:rsidR="00CC3297">
        <w:rPr>
          <w:rFonts w:ascii="Palatino Linotype" w:hAnsi="Palatino Linotype"/>
        </w:rPr>
        <w:t>.</w:t>
      </w:r>
      <w:r w:rsidRPr="00221288" w:rsidR="00D570BE">
        <w:rPr>
          <w:rFonts w:ascii="Palatino Linotype" w:hAnsi="Palatino Linotype"/>
        </w:rPr>
        <w:t xml:space="preserve"> </w:t>
      </w:r>
    </w:p>
    <w:p w:rsidRPr="00221288" w:rsidR="004C1D71" w:rsidP="003543C4" w:rsidRDefault="004C1D71" w14:paraId="7A032801" w14:textId="77777777">
      <w:pPr>
        <w:autoSpaceDE w:val="0"/>
        <w:autoSpaceDN w:val="0"/>
        <w:adjustRightInd w:val="0"/>
        <w:rPr>
          <w:rFonts w:ascii="Palatino Linotype" w:hAnsi="Palatino Linotype"/>
        </w:rPr>
      </w:pPr>
    </w:p>
    <w:p w:rsidRPr="00221288" w:rsidR="00384D2B" w:rsidP="00A60C0B" w:rsidRDefault="00F27A44" w14:paraId="3CFBA1A1" w14:textId="0BC449C6">
      <w:pPr>
        <w:pStyle w:val="Heading2"/>
        <w:rPr>
          <w:rFonts w:ascii="Palatino Linotype" w:hAnsi="Palatino Linotype"/>
          <w:b w:val="0"/>
          <w:bCs w:val="0"/>
          <w:u w:val="single"/>
        </w:rPr>
      </w:pPr>
      <w:r w:rsidRPr="00221288">
        <w:rPr>
          <w:rFonts w:ascii="Palatino Linotype" w:hAnsi="Palatino Linotype"/>
          <w:u w:val="single"/>
        </w:rPr>
        <w:t>BACKGROUND</w:t>
      </w:r>
    </w:p>
    <w:p w:rsidRPr="00221288" w:rsidR="00384D2B" w:rsidP="00384D2B" w:rsidRDefault="00384D2B" w14:paraId="1C747BFA" w14:textId="77777777">
      <w:pPr>
        <w:rPr>
          <w:rFonts w:ascii="Palatino Linotype" w:hAnsi="Palatino Linotype"/>
        </w:rPr>
      </w:pPr>
    </w:p>
    <w:p w:rsidR="00D10B26" w:rsidP="3B56DFDF" w:rsidRDefault="628891A0" w14:paraId="0B1351B8" w14:textId="3BE5598C">
      <w:pPr>
        <w:rPr>
          <w:rFonts w:ascii="Palatino Linotype" w:hAnsi="Palatino Linotype"/>
        </w:rPr>
      </w:pPr>
      <w:r w:rsidRPr="00221288">
        <w:rPr>
          <w:rFonts w:ascii="Palatino Linotype" w:hAnsi="Palatino Linotype"/>
        </w:rPr>
        <w:t>Pursuant to California Public Utilities Code Section 2827.1, D</w:t>
      </w:r>
      <w:r w:rsidRPr="00221288" w:rsidR="31CEA092">
        <w:rPr>
          <w:rFonts w:ascii="Palatino Linotype" w:hAnsi="Palatino Linotype"/>
        </w:rPr>
        <w:t>ecision (D.)</w:t>
      </w:r>
      <w:r w:rsidRPr="00221288" w:rsidR="1C7E5DFD">
        <w:rPr>
          <w:rFonts w:ascii="Palatino Linotype" w:hAnsi="Palatino Linotype"/>
        </w:rPr>
        <w:t xml:space="preserve"> </w:t>
      </w:r>
      <w:r w:rsidRPr="00221288">
        <w:rPr>
          <w:rFonts w:ascii="Palatino Linotype" w:hAnsi="Palatino Linotype"/>
        </w:rPr>
        <w:t>22-12-056 was adopted on December 15, 202</w:t>
      </w:r>
      <w:r w:rsidRPr="00221288" w:rsidR="00A23C33">
        <w:rPr>
          <w:rFonts w:ascii="Palatino Linotype" w:hAnsi="Palatino Linotype"/>
        </w:rPr>
        <w:t>2</w:t>
      </w:r>
      <w:r w:rsidRPr="00221288">
        <w:rPr>
          <w:rFonts w:ascii="Palatino Linotype" w:hAnsi="Palatino Linotype"/>
        </w:rPr>
        <w:t xml:space="preserve">. The decision adopted </w:t>
      </w:r>
      <w:r w:rsidRPr="00221288" w:rsidR="31B83871">
        <w:rPr>
          <w:rFonts w:ascii="Palatino Linotype" w:hAnsi="Palatino Linotype"/>
        </w:rPr>
        <w:t xml:space="preserve">the </w:t>
      </w:r>
      <w:r w:rsidRPr="00221288" w:rsidR="7D566955">
        <w:rPr>
          <w:rFonts w:ascii="Palatino Linotype" w:hAnsi="Palatino Linotype"/>
        </w:rPr>
        <w:t>n</w:t>
      </w:r>
      <w:r w:rsidRPr="00221288" w:rsidR="31B83871">
        <w:rPr>
          <w:rFonts w:ascii="Palatino Linotype" w:hAnsi="Palatino Linotype"/>
        </w:rPr>
        <w:t xml:space="preserve">et </w:t>
      </w:r>
      <w:r w:rsidRPr="00221288" w:rsidR="7D566955">
        <w:rPr>
          <w:rFonts w:ascii="Palatino Linotype" w:hAnsi="Palatino Linotype"/>
        </w:rPr>
        <w:t>b</w:t>
      </w:r>
      <w:r w:rsidRPr="00221288" w:rsidR="31B83871">
        <w:rPr>
          <w:rFonts w:ascii="Palatino Linotype" w:hAnsi="Palatino Linotype"/>
        </w:rPr>
        <w:t xml:space="preserve">illing tariff </w:t>
      </w:r>
      <w:r w:rsidR="00666674">
        <w:rPr>
          <w:rFonts w:ascii="Palatino Linotype" w:hAnsi="Palatino Linotype"/>
        </w:rPr>
        <w:br/>
      </w:r>
      <w:r w:rsidRPr="00221288" w:rsidR="31B83871">
        <w:rPr>
          <w:rFonts w:ascii="Palatino Linotype" w:hAnsi="Palatino Linotype"/>
        </w:rPr>
        <w:t xml:space="preserve">(NBT) – </w:t>
      </w:r>
      <w:r w:rsidRPr="00221288">
        <w:rPr>
          <w:rFonts w:ascii="Palatino Linotype" w:hAnsi="Palatino Linotype"/>
        </w:rPr>
        <w:t>a successor to the net energy metering successor tariff (</w:t>
      </w:r>
      <w:r w:rsidRPr="00221288" w:rsidR="048111C0">
        <w:rPr>
          <w:rFonts w:ascii="Palatino Linotype" w:hAnsi="Palatino Linotype"/>
        </w:rPr>
        <w:t>NEM 2.0</w:t>
      </w:r>
      <w:r w:rsidRPr="00221288">
        <w:rPr>
          <w:rFonts w:ascii="Palatino Linotype" w:hAnsi="Palatino Linotype"/>
        </w:rPr>
        <w:t>)</w:t>
      </w:r>
      <w:r w:rsidRPr="00221288" w:rsidR="31B83871">
        <w:rPr>
          <w:rFonts w:ascii="Palatino Linotype" w:hAnsi="Palatino Linotype"/>
        </w:rPr>
        <w:t xml:space="preserve">. </w:t>
      </w:r>
      <w:r w:rsidRPr="00221288" w:rsidR="2A234D23">
        <w:rPr>
          <w:rFonts w:ascii="Palatino Linotype" w:hAnsi="Palatino Linotype"/>
        </w:rPr>
        <w:t>Ordering Paragraph 12</w:t>
      </w:r>
      <w:r w:rsidRPr="00221288" w:rsidR="005C11B9">
        <w:rPr>
          <w:rFonts w:ascii="Palatino Linotype" w:hAnsi="Palatino Linotype"/>
        </w:rPr>
        <w:t xml:space="preserve"> </w:t>
      </w:r>
      <w:r w:rsidRPr="00221288" w:rsidR="12BBF8AF">
        <w:rPr>
          <w:rFonts w:ascii="Palatino Linotype" w:hAnsi="Palatino Linotype"/>
        </w:rPr>
        <w:t>(f)</w:t>
      </w:r>
      <w:r w:rsidRPr="00221288" w:rsidR="2A234D23">
        <w:rPr>
          <w:rFonts w:ascii="Palatino Linotype" w:hAnsi="Palatino Linotype"/>
        </w:rPr>
        <w:t xml:space="preserve"> </w:t>
      </w:r>
      <w:r w:rsidRPr="00221288" w:rsidR="592F3F96">
        <w:rPr>
          <w:rFonts w:ascii="Palatino Linotype" w:hAnsi="Palatino Linotype"/>
        </w:rPr>
        <w:t xml:space="preserve">of D.22-12-056 </w:t>
      </w:r>
      <w:r w:rsidRPr="00221288" w:rsidR="2A234D23">
        <w:rPr>
          <w:rFonts w:ascii="Palatino Linotype" w:hAnsi="Palatino Linotype"/>
        </w:rPr>
        <w:t xml:space="preserve">directed a series of implementation procedures, including </w:t>
      </w:r>
      <w:r w:rsidRPr="00221288" w:rsidR="545123C3">
        <w:rPr>
          <w:rFonts w:ascii="Palatino Linotype" w:hAnsi="Palatino Linotype"/>
        </w:rPr>
        <w:t xml:space="preserve">directing </w:t>
      </w:r>
      <w:r w:rsidRPr="00221288" w:rsidR="004C0CD5">
        <w:rPr>
          <w:rFonts w:ascii="Palatino Linotype" w:hAnsi="Palatino Linotype"/>
        </w:rPr>
        <w:t xml:space="preserve">Pacific Gas and Electric Company (PG&amp;E), Southern California Edison Company (SCE), and San Diego Gas &amp; Electric Company (SDG&amp;E), </w:t>
      </w:r>
      <w:r w:rsidRPr="00221288" w:rsidR="545123C3">
        <w:rPr>
          <w:rFonts w:ascii="Palatino Linotype" w:hAnsi="Palatino Linotype"/>
        </w:rPr>
        <w:t>collectively “the utilities</w:t>
      </w:r>
      <w:r w:rsidRPr="00221288" w:rsidR="004C0CD5">
        <w:rPr>
          <w:rFonts w:ascii="Palatino Linotype" w:hAnsi="Palatino Linotype"/>
        </w:rPr>
        <w:t>,</w:t>
      </w:r>
      <w:r w:rsidRPr="00221288" w:rsidR="545123C3">
        <w:rPr>
          <w:rFonts w:ascii="Palatino Linotype" w:hAnsi="Palatino Linotype"/>
        </w:rPr>
        <w:t xml:space="preserve">” to file </w:t>
      </w:r>
      <w:r w:rsidRPr="00221288" w:rsidR="2A234D23">
        <w:rPr>
          <w:rFonts w:ascii="Palatino Linotype" w:hAnsi="Palatino Linotype"/>
        </w:rPr>
        <w:t xml:space="preserve">advice letters </w:t>
      </w:r>
      <w:r w:rsidRPr="00221288" w:rsidR="004C0CD5">
        <w:rPr>
          <w:rFonts w:ascii="Palatino Linotype" w:hAnsi="Palatino Linotype"/>
        </w:rPr>
        <w:t xml:space="preserve">(AL) </w:t>
      </w:r>
      <w:r w:rsidRPr="00221288" w:rsidR="545123C3">
        <w:rPr>
          <w:rFonts w:ascii="Palatino Linotype" w:hAnsi="Palatino Linotype"/>
        </w:rPr>
        <w:t>45</w:t>
      </w:r>
      <w:r w:rsidRPr="00221288" w:rsidR="4B39CF50">
        <w:rPr>
          <w:rFonts w:ascii="Palatino Linotype" w:hAnsi="Palatino Linotype"/>
        </w:rPr>
        <w:t xml:space="preserve"> days after the decision was adopted to update </w:t>
      </w:r>
      <w:r w:rsidRPr="00221288" w:rsidR="545123C3">
        <w:rPr>
          <w:rFonts w:ascii="Palatino Linotype" w:hAnsi="Palatino Linotype"/>
        </w:rPr>
        <w:t xml:space="preserve">current </w:t>
      </w:r>
      <w:r w:rsidRPr="00221288" w:rsidR="592F3F96">
        <w:rPr>
          <w:rFonts w:ascii="Palatino Linotype" w:hAnsi="Palatino Linotype"/>
        </w:rPr>
        <w:t>NEM</w:t>
      </w:r>
      <w:r w:rsidRPr="00221288" w:rsidR="545123C3">
        <w:rPr>
          <w:rFonts w:ascii="Palatino Linotype" w:hAnsi="Palatino Linotype"/>
        </w:rPr>
        <w:t xml:space="preserve"> tariffs and establish </w:t>
      </w:r>
      <w:r w:rsidRPr="00221288" w:rsidR="592F3F96">
        <w:rPr>
          <w:rFonts w:ascii="Palatino Linotype" w:hAnsi="Palatino Linotype"/>
        </w:rPr>
        <w:t xml:space="preserve">the </w:t>
      </w:r>
      <w:r w:rsidRPr="00221288" w:rsidR="545123C3">
        <w:rPr>
          <w:rFonts w:ascii="Palatino Linotype" w:hAnsi="Palatino Linotype"/>
        </w:rPr>
        <w:t xml:space="preserve">future </w:t>
      </w:r>
      <w:r w:rsidRPr="00221288" w:rsidR="592F3F96">
        <w:rPr>
          <w:rFonts w:ascii="Palatino Linotype" w:hAnsi="Palatino Linotype"/>
        </w:rPr>
        <w:t>NBT</w:t>
      </w:r>
      <w:r w:rsidRPr="00221288" w:rsidR="4B39CF50">
        <w:rPr>
          <w:rFonts w:ascii="Palatino Linotype" w:hAnsi="Palatino Linotype"/>
        </w:rPr>
        <w:t>.</w:t>
      </w:r>
      <w:r w:rsidRPr="00221288" w:rsidR="17DB8825">
        <w:rPr>
          <w:rFonts w:ascii="Palatino Linotype" w:hAnsi="Palatino Linotype"/>
        </w:rPr>
        <w:t xml:space="preserve"> On </w:t>
      </w:r>
      <w:r w:rsidRPr="00221288" w:rsidR="545123C3">
        <w:rPr>
          <w:rFonts w:ascii="Palatino Linotype" w:hAnsi="Palatino Linotype"/>
        </w:rPr>
        <w:t xml:space="preserve">January 30, 2023, the utilities each </w:t>
      </w:r>
      <w:r w:rsidRPr="00221288" w:rsidR="42FCFD6D">
        <w:rPr>
          <w:rFonts w:ascii="Palatino Linotype" w:hAnsi="Palatino Linotype"/>
        </w:rPr>
        <w:t>submitted</w:t>
      </w:r>
      <w:r w:rsidRPr="00221288" w:rsidR="545123C3">
        <w:rPr>
          <w:rFonts w:ascii="Palatino Linotype" w:hAnsi="Palatino Linotype"/>
        </w:rPr>
        <w:t xml:space="preserve"> three </w:t>
      </w:r>
      <w:r w:rsidRPr="00221288" w:rsidR="465DA135">
        <w:rPr>
          <w:rFonts w:ascii="Palatino Linotype" w:hAnsi="Palatino Linotype"/>
        </w:rPr>
        <w:t xml:space="preserve">separate </w:t>
      </w:r>
      <w:r w:rsidRPr="00221288" w:rsidR="004C0CD5">
        <w:rPr>
          <w:rFonts w:ascii="Palatino Linotype" w:hAnsi="Palatino Linotype"/>
        </w:rPr>
        <w:t>ALs</w:t>
      </w:r>
      <w:r w:rsidRPr="00221288" w:rsidR="545123C3">
        <w:rPr>
          <w:rFonts w:ascii="Palatino Linotype" w:hAnsi="Palatino Linotype"/>
        </w:rPr>
        <w:t xml:space="preserve">. </w:t>
      </w:r>
      <w:r w:rsidRPr="00221288" w:rsidR="3B6D5B54">
        <w:rPr>
          <w:rFonts w:ascii="Palatino Linotype" w:hAnsi="Palatino Linotype"/>
        </w:rPr>
        <w:t>PG&amp;E AL 684</w:t>
      </w:r>
      <w:r w:rsidRPr="00221288" w:rsidR="5BE52188">
        <w:rPr>
          <w:rFonts w:ascii="Palatino Linotype" w:hAnsi="Palatino Linotype"/>
        </w:rPr>
        <w:t>8</w:t>
      </w:r>
      <w:r w:rsidRPr="00221288" w:rsidR="3B6D5B54">
        <w:rPr>
          <w:rFonts w:ascii="Palatino Linotype" w:hAnsi="Palatino Linotype"/>
        </w:rPr>
        <w:t>-E, SCE AL 496</w:t>
      </w:r>
      <w:r w:rsidRPr="00221288" w:rsidR="2DD94FA5">
        <w:rPr>
          <w:rFonts w:ascii="Palatino Linotype" w:hAnsi="Palatino Linotype"/>
        </w:rPr>
        <w:t>1</w:t>
      </w:r>
      <w:r w:rsidRPr="00221288" w:rsidR="3B6D5B54">
        <w:rPr>
          <w:rFonts w:ascii="Palatino Linotype" w:hAnsi="Palatino Linotype"/>
        </w:rPr>
        <w:t>-E, and SDG&amp;E AL 415</w:t>
      </w:r>
      <w:r w:rsidRPr="00221288" w:rsidR="7FE0A0E0">
        <w:rPr>
          <w:rFonts w:ascii="Palatino Linotype" w:hAnsi="Palatino Linotype"/>
        </w:rPr>
        <w:t>5</w:t>
      </w:r>
      <w:r w:rsidRPr="00221288" w:rsidR="3B6D5B54">
        <w:rPr>
          <w:rFonts w:ascii="Palatino Linotype" w:hAnsi="Palatino Linotype"/>
        </w:rPr>
        <w:t xml:space="preserve">-E </w:t>
      </w:r>
      <w:r w:rsidRPr="00221288" w:rsidR="62B816BE">
        <w:rPr>
          <w:rFonts w:ascii="Palatino Linotype" w:hAnsi="Palatino Linotype"/>
        </w:rPr>
        <w:t>(</w:t>
      </w:r>
      <w:r w:rsidRPr="00221288" w:rsidR="5E28E39A">
        <w:rPr>
          <w:rFonts w:ascii="Palatino Linotype" w:hAnsi="Palatino Linotype"/>
        </w:rPr>
        <w:t>the ALs subject to this disposition</w:t>
      </w:r>
      <w:r w:rsidRPr="00221288" w:rsidR="62B816BE">
        <w:rPr>
          <w:rFonts w:ascii="Palatino Linotype" w:hAnsi="Palatino Linotype"/>
        </w:rPr>
        <w:t xml:space="preserve">) </w:t>
      </w:r>
      <w:r w:rsidRPr="00221288" w:rsidR="3B6D5B54">
        <w:rPr>
          <w:rFonts w:ascii="Palatino Linotype" w:hAnsi="Palatino Linotype"/>
        </w:rPr>
        <w:t xml:space="preserve">were </w:t>
      </w:r>
      <w:r w:rsidRPr="00221288" w:rsidR="29D90014">
        <w:rPr>
          <w:rFonts w:ascii="Palatino Linotype" w:hAnsi="Palatino Linotype"/>
        </w:rPr>
        <w:t>submitted</w:t>
      </w:r>
      <w:r w:rsidRPr="00221288" w:rsidR="3B6D5B54">
        <w:rPr>
          <w:rFonts w:ascii="Palatino Linotype" w:hAnsi="Palatino Linotype"/>
        </w:rPr>
        <w:t xml:space="preserve"> to </w:t>
      </w:r>
      <w:r w:rsidRPr="00221288" w:rsidR="2F872C52">
        <w:rPr>
          <w:rFonts w:ascii="Palatino Linotype" w:hAnsi="Palatino Linotype"/>
        </w:rPr>
        <w:t>create</w:t>
      </w:r>
      <w:r w:rsidRPr="00221288" w:rsidR="3B6D5B54">
        <w:rPr>
          <w:rFonts w:ascii="Palatino Linotype" w:hAnsi="Palatino Linotype"/>
        </w:rPr>
        <w:t xml:space="preserve"> </w:t>
      </w:r>
      <w:r w:rsidRPr="00221288" w:rsidR="592F3F96">
        <w:rPr>
          <w:rFonts w:ascii="Palatino Linotype" w:hAnsi="Palatino Linotype"/>
        </w:rPr>
        <w:t xml:space="preserve">the </w:t>
      </w:r>
      <w:r w:rsidRPr="00221288" w:rsidR="3875A609">
        <w:rPr>
          <w:rFonts w:ascii="Palatino Linotype" w:hAnsi="Palatino Linotype"/>
        </w:rPr>
        <w:t xml:space="preserve">utilities’ </w:t>
      </w:r>
      <w:r w:rsidRPr="00221288" w:rsidR="64C3704E">
        <w:rPr>
          <w:rFonts w:ascii="Palatino Linotype" w:hAnsi="Palatino Linotype"/>
        </w:rPr>
        <w:t>new</w:t>
      </w:r>
      <w:r w:rsidRPr="00221288" w:rsidR="02FE1A71">
        <w:rPr>
          <w:rFonts w:ascii="Palatino Linotype" w:hAnsi="Palatino Linotype"/>
        </w:rPr>
        <w:t xml:space="preserve"> net billing</w:t>
      </w:r>
      <w:r w:rsidRPr="00221288" w:rsidR="3B6D5B54">
        <w:rPr>
          <w:rFonts w:ascii="Palatino Linotype" w:hAnsi="Palatino Linotype"/>
        </w:rPr>
        <w:t xml:space="preserve"> tariffs.</w:t>
      </w:r>
      <w:r w:rsidRPr="00221288" w:rsidR="62B816BE">
        <w:rPr>
          <w:rFonts w:ascii="Palatino Linotype" w:hAnsi="Palatino Linotype"/>
        </w:rPr>
        <w:t xml:space="preserve"> </w:t>
      </w:r>
      <w:r w:rsidRPr="00221288" w:rsidR="003D3438">
        <w:rPr>
          <w:rFonts w:ascii="Palatino Linotype" w:hAnsi="Palatino Linotype"/>
        </w:rPr>
        <w:t xml:space="preserve">PG&amp;E submitted </w:t>
      </w:r>
      <w:r w:rsidRPr="00221288" w:rsidR="002A573A">
        <w:rPr>
          <w:rFonts w:ascii="Palatino Linotype" w:hAnsi="Palatino Linotype"/>
        </w:rPr>
        <w:t xml:space="preserve">partial </w:t>
      </w:r>
      <w:r w:rsidRPr="00221288" w:rsidR="003D3438">
        <w:rPr>
          <w:rFonts w:ascii="Palatino Linotype" w:hAnsi="Palatino Linotype"/>
        </w:rPr>
        <w:t>supplemental AL 6848-E-A on March</w:t>
      </w:r>
      <w:r w:rsidRPr="00221288" w:rsidR="003D3438">
        <w:rPr>
          <w:rFonts w:ascii="Palatino Linotype" w:hAnsi="Palatino Linotype"/>
          <w:b/>
          <w:bCs/>
        </w:rPr>
        <w:t xml:space="preserve"> </w:t>
      </w:r>
      <w:r w:rsidRPr="00221288" w:rsidR="003D3438">
        <w:rPr>
          <w:rFonts w:ascii="Palatino Linotype" w:hAnsi="Palatino Linotype"/>
        </w:rPr>
        <w:t xml:space="preserve">24, 2023; SCE submitted </w:t>
      </w:r>
      <w:r w:rsidRPr="00221288" w:rsidR="002A573A">
        <w:rPr>
          <w:rFonts w:ascii="Palatino Linotype" w:hAnsi="Palatino Linotype"/>
        </w:rPr>
        <w:t xml:space="preserve">partial </w:t>
      </w:r>
      <w:r w:rsidRPr="00221288" w:rsidR="003D3438">
        <w:rPr>
          <w:rFonts w:ascii="Palatino Linotype" w:hAnsi="Palatino Linotype"/>
        </w:rPr>
        <w:t>supplemental AL 4961-E-A on March 27, 2023</w:t>
      </w:r>
      <w:r w:rsidRPr="00221288" w:rsidR="002A573A">
        <w:rPr>
          <w:rFonts w:ascii="Palatino Linotype" w:hAnsi="Palatino Linotype"/>
        </w:rPr>
        <w:t>; and</w:t>
      </w:r>
      <w:r w:rsidRPr="00221288" w:rsidR="003D3438">
        <w:rPr>
          <w:rFonts w:ascii="Palatino Linotype" w:hAnsi="Palatino Linotype"/>
        </w:rPr>
        <w:t xml:space="preserve"> SDG&amp;E submitted </w:t>
      </w:r>
      <w:r w:rsidRPr="00221288" w:rsidR="002A573A">
        <w:rPr>
          <w:rFonts w:ascii="Palatino Linotype" w:hAnsi="Palatino Linotype"/>
        </w:rPr>
        <w:t xml:space="preserve">partial </w:t>
      </w:r>
      <w:r w:rsidRPr="00221288" w:rsidR="003D3438">
        <w:rPr>
          <w:rFonts w:ascii="Palatino Linotype" w:hAnsi="Palatino Linotype"/>
        </w:rPr>
        <w:t>supplemental AL 4155-E-A on March 31, 2023.</w:t>
      </w:r>
    </w:p>
    <w:p w:rsidR="00666674" w:rsidP="3B56DFDF" w:rsidRDefault="00666674" w14:paraId="70E09FD2" w14:textId="77777777">
      <w:pPr>
        <w:rPr>
          <w:rFonts w:ascii="Palatino Linotype" w:hAnsi="Palatino Linotype"/>
        </w:rPr>
      </w:pPr>
    </w:p>
    <w:p w:rsidR="00666674" w:rsidP="3B56DFDF" w:rsidRDefault="00666674" w14:paraId="2BA05978" w14:textId="77777777">
      <w:pPr>
        <w:rPr>
          <w:rFonts w:ascii="Palatino Linotype" w:hAnsi="Palatino Linotype"/>
        </w:rPr>
      </w:pPr>
    </w:p>
    <w:p w:rsidRPr="00221288" w:rsidR="00666674" w:rsidP="3B56DFDF" w:rsidRDefault="00666674" w14:paraId="7FDF2532" w14:textId="77777777">
      <w:pPr>
        <w:rPr>
          <w:rFonts w:ascii="Palatino Linotype" w:hAnsi="Palatino Linotype"/>
        </w:rPr>
      </w:pPr>
    </w:p>
    <w:p w:rsidRPr="00221288" w:rsidR="00734728" w:rsidP="00384D2B" w:rsidRDefault="00734728" w14:paraId="0106961D" w14:textId="77777777">
      <w:pPr>
        <w:rPr>
          <w:rFonts w:ascii="Palatino Linotype" w:hAnsi="Palatino Linotype"/>
          <w:highlight w:val="cyan"/>
        </w:rPr>
      </w:pPr>
    </w:p>
    <w:p w:rsidRPr="00221288" w:rsidR="002D0FD8" w:rsidP="00384D2B" w:rsidRDefault="002D0FD8" w14:paraId="3CD52997" w14:textId="100F80C8">
      <w:pPr>
        <w:rPr>
          <w:rFonts w:ascii="Palatino Linotype" w:hAnsi="Palatino Linotype"/>
        </w:rPr>
      </w:pPr>
      <w:r w:rsidRPr="00221288">
        <w:rPr>
          <w:rFonts w:ascii="Palatino Linotype" w:hAnsi="Palatino Linotype"/>
          <w:b/>
          <w:bCs/>
          <w:u w:val="single"/>
        </w:rPr>
        <w:lastRenderedPageBreak/>
        <w:t>NOTICE</w:t>
      </w:r>
    </w:p>
    <w:p w:rsidRPr="00221288" w:rsidR="002D0FD8" w:rsidP="00384D2B" w:rsidRDefault="00A51EEA" w14:paraId="445E25E2" w14:textId="4CCCD647">
      <w:pPr>
        <w:rPr>
          <w:rFonts w:ascii="Palatino Linotype" w:hAnsi="Palatino Linotype"/>
        </w:rPr>
      </w:pPr>
      <w:r w:rsidRPr="00221288">
        <w:rPr>
          <w:rFonts w:ascii="Palatino Linotype" w:hAnsi="Palatino Linotype"/>
        </w:rPr>
        <w:t xml:space="preserve">Notices of </w:t>
      </w:r>
      <w:r w:rsidRPr="00221288" w:rsidR="004C0CD5">
        <w:rPr>
          <w:rFonts w:ascii="Palatino Linotype" w:hAnsi="Palatino Linotype"/>
        </w:rPr>
        <w:t>PG&amp;E AL 6848-E, SCE AL 4961-E, and SDG&amp;E AL 4155-E</w:t>
      </w:r>
      <w:r w:rsidRPr="00221288">
        <w:rPr>
          <w:rFonts w:ascii="Palatino Linotype" w:hAnsi="Palatino Linotype"/>
        </w:rPr>
        <w:t xml:space="preserve"> were made by publication in the </w:t>
      </w:r>
      <w:r w:rsidRPr="00221288" w:rsidR="00C656BC">
        <w:rPr>
          <w:rFonts w:ascii="Palatino Linotype" w:hAnsi="Palatino Linotype"/>
        </w:rPr>
        <w:t xml:space="preserve">California Public Utilities </w:t>
      </w:r>
      <w:r w:rsidRPr="00221288">
        <w:rPr>
          <w:rFonts w:ascii="Palatino Linotype" w:hAnsi="Palatino Linotype"/>
        </w:rPr>
        <w:t xml:space="preserve">Commission’s </w:t>
      </w:r>
      <w:r w:rsidRPr="00221288" w:rsidR="00C656BC">
        <w:rPr>
          <w:rFonts w:ascii="Palatino Linotype" w:hAnsi="Palatino Linotype"/>
        </w:rPr>
        <w:t>(Commission, or CPUC)</w:t>
      </w:r>
      <w:r w:rsidRPr="00221288">
        <w:rPr>
          <w:rFonts w:ascii="Palatino Linotype" w:hAnsi="Palatino Linotype"/>
        </w:rPr>
        <w:t xml:space="preserve"> Daily Calendar. </w:t>
      </w:r>
      <w:r w:rsidRPr="00221288" w:rsidR="005665DF">
        <w:rPr>
          <w:rFonts w:ascii="Palatino Linotype" w:hAnsi="Palatino Linotype"/>
        </w:rPr>
        <w:t>PG&amp;E, SCE, and SDG&amp;E state that copies of the ALs were mailed and distributed in accordance with Section 4 of General Order 96-B.</w:t>
      </w:r>
    </w:p>
    <w:p w:rsidRPr="00221288" w:rsidR="002D0FD8" w:rsidP="00384D2B" w:rsidRDefault="002D0FD8" w14:paraId="72F1968B" w14:textId="77777777">
      <w:pPr>
        <w:rPr>
          <w:rFonts w:ascii="Palatino Linotype" w:hAnsi="Palatino Linotype"/>
          <w:highlight w:val="cyan"/>
        </w:rPr>
      </w:pPr>
    </w:p>
    <w:p w:rsidRPr="00221288" w:rsidR="00734728" w:rsidP="3B56DFDF" w:rsidRDefault="00D3309D" w14:paraId="09DCCA34" w14:textId="4292686F">
      <w:pPr>
        <w:pStyle w:val="Heading2"/>
        <w:rPr>
          <w:rFonts w:ascii="Palatino Linotype" w:hAnsi="Palatino Linotype"/>
        </w:rPr>
      </w:pPr>
      <w:r w:rsidRPr="00221288">
        <w:rPr>
          <w:rFonts w:ascii="Palatino Linotype" w:hAnsi="Palatino Linotype"/>
          <w:u w:val="single"/>
        </w:rPr>
        <w:t>PROTESTS</w:t>
      </w:r>
      <w:r w:rsidRPr="00221288">
        <w:rPr>
          <w:rFonts w:ascii="Palatino Linotype" w:hAnsi="Palatino Linotype"/>
        </w:rPr>
        <w:t xml:space="preserve"> </w:t>
      </w:r>
    </w:p>
    <w:p w:rsidRPr="00221288" w:rsidR="00734728" w:rsidP="3B56DFDF" w:rsidRDefault="00734728" w14:paraId="2015A53A" w14:textId="77777777">
      <w:pPr>
        <w:rPr>
          <w:rFonts w:ascii="Palatino Linotype" w:hAnsi="Palatino Linotype"/>
        </w:rPr>
      </w:pPr>
    </w:p>
    <w:p w:rsidRPr="00221288" w:rsidR="008726D4" w:rsidP="00C81DE9" w:rsidRDefault="005F42EF" w14:paraId="7BA50593" w14:textId="3ABF9003">
      <w:pPr>
        <w:rPr>
          <w:rFonts w:ascii="Palatino Linotype" w:hAnsi="Palatino Linotype"/>
        </w:rPr>
      </w:pPr>
      <w:r w:rsidRPr="00221288">
        <w:rPr>
          <w:rFonts w:ascii="Palatino Linotype" w:hAnsi="Palatino Linotype"/>
        </w:rPr>
        <w:t>T</w:t>
      </w:r>
      <w:r w:rsidRPr="00221288" w:rsidR="2014027C">
        <w:rPr>
          <w:rFonts w:ascii="Palatino Linotype" w:hAnsi="Palatino Linotype"/>
        </w:rPr>
        <w:t>he California Solar and Storage Association</w:t>
      </w:r>
      <w:r w:rsidRPr="00221288" w:rsidR="31083541">
        <w:rPr>
          <w:rFonts w:ascii="Palatino Linotype" w:hAnsi="Palatino Linotype"/>
        </w:rPr>
        <w:t xml:space="preserve"> (CALSSA)</w:t>
      </w:r>
      <w:r w:rsidRPr="00221288" w:rsidR="3F390DE9">
        <w:rPr>
          <w:rFonts w:ascii="Palatino Linotype" w:hAnsi="Palatino Linotype"/>
        </w:rPr>
        <w:t xml:space="preserve"> and</w:t>
      </w:r>
      <w:r w:rsidRPr="00221288" w:rsidR="2014027C">
        <w:rPr>
          <w:rFonts w:ascii="Palatino Linotype" w:hAnsi="Palatino Linotype"/>
        </w:rPr>
        <w:t xml:space="preserve"> the Solar Energy Industries Association</w:t>
      </w:r>
      <w:r w:rsidRPr="00221288" w:rsidR="6C929145">
        <w:rPr>
          <w:rFonts w:ascii="Palatino Linotype" w:hAnsi="Palatino Linotype"/>
        </w:rPr>
        <w:t xml:space="preserve"> (SEIA)</w:t>
      </w:r>
      <w:r w:rsidRPr="00221288" w:rsidR="004C0CD5">
        <w:rPr>
          <w:rFonts w:ascii="Palatino Linotype" w:hAnsi="Palatino Linotype"/>
        </w:rPr>
        <w:t xml:space="preserve"> </w:t>
      </w:r>
      <w:r w:rsidRPr="00221288">
        <w:rPr>
          <w:rFonts w:ascii="Palatino Linotype" w:hAnsi="Palatino Linotype"/>
        </w:rPr>
        <w:t xml:space="preserve">timely protested PG&amp;E AL 6848-E, SCE AL 4961-E, and SDG&amp;E </w:t>
      </w:r>
      <w:r w:rsidR="00666674">
        <w:rPr>
          <w:rFonts w:ascii="Palatino Linotype" w:hAnsi="Palatino Linotype"/>
        </w:rPr>
        <w:br/>
      </w:r>
      <w:r w:rsidRPr="00221288">
        <w:rPr>
          <w:rFonts w:ascii="Palatino Linotype" w:hAnsi="Palatino Linotype"/>
        </w:rPr>
        <w:t xml:space="preserve">AL 4155-E </w:t>
      </w:r>
      <w:r w:rsidRPr="00221288" w:rsidR="004C0CD5">
        <w:rPr>
          <w:rFonts w:ascii="Palatino Linotype" w:hAnsi="Palatino Linotype"/>
        </w:rPr>
        <w:t>o</w:t>
      </w:r>
      <w:r w:rsidRPr="00221288" w:rsidR="4BB1EA9E">
        <w:rPr>
          <w:rFonts w:ascii="Palatino Linotype" w:hAnsi="Palatino Linotype"/>
        </w:rPr>
        <w:t>n February 21, 2023.</w:t>
      </w:r>
      <w:r w:rsidRPr="00221288" w:rsidR="004C0CD5">
        <w:rPr>
          <w:rFonts w:ascii="Palatino Linotype" w:hAnsi="Palatino Linotype"/>
        </w:rPr>
        <w:t xml:space="preserve"> </w:t>
      </w:r>
    </w:p>
    <w:p w:rsidRPr="00221288" w:rsidR="008726D4" w:rsidP="00C81DE9" w:rsidRDefault="008726D4" w14:paraId="563E7C83" w14:textId="77777777">
      <w:pPr>
        <w:rPr>
          <w:rFonts w:ascii="Palatino Linotype" w:hAnsi="Palatino Linotype"/>
        </w:rPr>
      </w:pPr>
    </w:p>
    <w:p w:rsidRPr="00221288" w:rsidR="00180DFB" w:rsidP="008C15C7" w:rsidRDefault="0067190B" w14:paraId="0E558F01" w14:textId="4F5F5272">
      <w:pPr>
        <w:rPr>
          <w:rFonts w:ascii="Palatino Linotype" w:hAnsi="Palatino Linotype"/>
        </w:rPr>
      </w:pPr>
      <w:r w:rsidRPr="00221288">
        <w:rPr>
          <w:rFonts w:ascii="Palatino Linotype" w:hAnsi="Palatino Linotype"/>
        </w:rPr>
        <w:t xml:space="preserve">PG&amp;E and SDG&amp;E responded to the protests of CALSSA and SEIA on February 28, 2023. SCE responded to the protests of CALSSA and SEIA on March 1, 2023. </w:t>
      </w:r>
      <w:r w:rsidRPr="00221288" w:rsidR="00180DFB">
        <w:rPr>
          <w:rFonts w:ascii="Palatino Linotype" w:hAnsi="Palatino Linotype"/>
        </w:rPr>
        <w:t>In</w:t>
      </w:r>
      <w:r w:rsidRPr="00221288" w:rsidDel="00FB0C22" w:rsidR="00180DFB">
        <w:rPr>
          <w:rFonts w:ascii="Palatino Linotype" w:hAnsi="Palatino Linotype"/>
        </w:rPr>
        <w:t xml:space="preserve"> </w:t>
      </w:r>
      <w:r w:rsidRPr="00221288" w:rsidR="00FB0C22">
        <w:rPr>
          <w:rFonts w:ascii="Palatino Linotype" w:hAnsi="Palatino Linotype"/>
        </w:rPr>
        <w:t>their</w:t>
      </w:r>
      <w:r w:rsidRPr="00221288" w:rsidR="00180DFB">
        <w:rPr>
          <w:rFonts w:ascii="Palatino Linotype" w:hAnsi="Palatino Linotype"/>
        </w:rPr>
        <w:t xml:space="preserve"> </w:t>
      </w:r>
      <w:r w:rsidRPr="00221288" w:rsidR="00F754F0">
        <w:rPr>
          <w:rFonts w:ascii="Palatino Linotype" w:hAnsi="Palatino Linotype"/>
        </w:rPr>
        <w:t>responses</w:t>
      </w:r>
      <w:r w:rsidRPr="00221288" w:rsidR="00180DFB">
        <w:rPr>
          <w:rFonts w:ascii="Palatino Linotype" w:hAnsi="Palatino Linotype"/>
        </w:rPr>
        <w:t xml:space="preserve">, the utilities indicated their intention to file supplemental ALs at a later date to address </w:t>
      </w:r>
      <w:r w:rsidRPr="00221288" w:rsidR="002A7B9D">
        <w:rPr>
          <w:rFonts w:ascii="Palatino Linotype" w:hAnsi="Palatino Linotype"/>
        </w:rPr>
        <w:t xml:space="preserve">certain issues in the </w:t>
      </w:r>
      <w:r w:rsidRPr="00221288" w:rsidR="00180DFB">
        <w:rPr>
          <w:rFonts w:ascii="Palatino Linotype" w:hAnsi="Palatino Linotype"/>
        </w:rPr>
        <w:t xml:space="preserve">protests. </w:t>
      </w:r>
    </w:p>
    <w:p w:rsidRPr="00221288" w:rsidR="00180DFB" w:rsidP="00180DFB" w:rsidRDefault="00180DFB" w14:paraId="035BDD8D" w14:textId="77777777">
      <w:pPr>
        <w:rPr>
          <w:rFonts w:ascii="Palatino Linotype" w:hAnsi="Palatino Linotype"/>
        </w:rPr>
      </w:pPr>
    </w:p>
    <w:p w:rsidRPr="00221288" w:rsidR="006E74E5" w:rsidP="00C81DE9" w:rsidRDefault="00180DFB" w14:paraId="01F9FEF5" w14:textId="3EC519E6">
      <w:pPr>
        <w:rPr>
          <w:rFonts w:ascii="Palatino Linotype" w:hAnsi="Palatino Linotype"/>
        </w:rPr>
      </w:pPr>
      <w:r w:rsidRPr="00221288">
        <w:rPr>
          <w:rFonts w:ascii="Palatino Linotype" w:hAnsi="Palatino Linotype"/>
        </w:rPr>
        <w:t xml:space="preserve">PG&amp;E submitted </w:t>
      </w:r>
      <w:r w:rsidRPr="00221288" w:rsidR="002A573A">
        <w:rPr>
          <w:rFonts w:ascii="Palatino Linotype" w:hAnsi="Palatino Linotype"/>
        </w:rPr>
        <w:t xml:space="preserve">partial </w:t>
      </w:r>
      <w:r w:rsidRPr="00221288">
        <w:rPr>
          <w:rFonts w:ascii="Palatino Linotype" w:hAnsi="Palatino Linotype"/>
        </w:rPr>
        <w:t>supplemental AL 6848-E-A</w:t>
      </w:r>
      <w:r w:rsidRPr="00221288" w:rsidR="0067190B">
        <w:rPr>
          <w:rFonts w:ascii="Palatino Linotype" w:hAnsi="Palatino Linotype"/>
        </w:rPr>
        <w:t xml:space="preserve"> on March</w:t>
      </w:r>
      <w:r w:rsidRPr="00221288" w:rsidR="0067190B">
        <w:rPr>
          <w:rFonts w:ascii="Palatino Linotype" w:hAnsi="Palatino Linotype"/>
          <w:b/>
          <w:bCs/>
        </w:rPr>
        <w:t xml:space="preserve"> </w:t>
      </w:r>
      <w:r w:rsidRPr="00221288" w:rsidR="0067190B">
        <w:rPr>
          <w:rFonts w:ascii="Palatino Linotype" w:hAnsi="Palatino Linotype"/>
        </w:rPr>
        <w:t>24, 202</w:t>
      </w:r>
      <w:r w:rsidRPr="00221288" w:rsidR="00654145">
        <w:rPr>
          <w:rFonts w:ascii="Palatino Linotype" w:hAnsi="Palatino Linotype"/>
        </w:rPr>
        <w:t>3</w:t>
      </w:r>
      <w:r w:rsidRPr="00221288">
        <w:rPr>
          <w:rFonts w:ascii="Palatino Linotype" w:hAnsi="Palatino Linotype"/>
        </w:rPr>
        <w:t xml:space="preserve">. SCE submitted </w:t>
      </w:r>
      <w:r w:rsidRPr="00221288" w:rsidR="002A573A">
        <w:rPr>
          <w:rFonts w:ascii="Palatino Linotype" w:hAnsi="Palatino Linotype"/>
        </w:rPr>
        <w:t xml:space="preserve">partial </w:t>
      </w:r>
      <w:r w:rsidRPr="00221288">
        <w:rPr>
          <w:rFonts w:ascii="Palatino Linotype" w:hAnsi="Palatino Linotype"/>
        </w:rPr>
        <w:t>supplemental AL 4961-E-A</w:t>
      </w:r>
      <w:r w:rsidRPr="00221288" w:rsidR="0067190B">
        <w:rPr>
          <w:rFonts w:ascii="Palatino Linotype" w:hAnsi="Palatino Linotype"/>
        </w:rPr>
        <w:t xml:space="preserve"> on March 27, 2023</w:t>
      </w:r>
      <w:r w:rsidRPr="00221288">
        <w:rPr>
          <w:rFonts w:ascii="Palatino Linotype" w:hAnsi="Palatino Linotype"/>
        </w:rPr>
        <w:t xml:space="preserve">. SDG&amp;E submitted </w:t>
      </w:r>
      <w:r w:rsidRPr="00221288" w:rsidR="002A573A">
        <w:rPr>
          <w:rFonts w:ascii="Palatino Linotype" w:hAnsi="Palatino Linotype"/>
        </w:rPr>
        <w:t xml:space="preserve">partial </w:t>
      </w:r>
      <w:r w:rsidRPr="00221288">
        <w:rPr>
          <w:rFonts w:ascii="Palatino Linotype" w:hAnsi="Palatino Linotype"/>
        </w:rPr>
        <w:t>supplemental AL 4155-E-A</w:t>
      </w:r>
      <w:r w:rsidRPr="00221288" w:rsidR="0067190B">
        <w:rPr>
          <w:rFonts w:ascii="Palatino Linotype" w:hAnsi="Palatino Linotype"/>
        </w:rPr>
        <w:t xml:space="preserve"> on March 31, 2023</w:t>
      </w:r>
      <w:r w:rsidRPr="00221288">
        <w:rPr>
          <w:rFonts w:ascii="Palatino Linotype" w:hAnsi="Palatino Linotype"/>
        </w:rPr>
        <w:t>.</w:t>
      </w:r>
      <w:r w:rsidRPr="00221288" w:rsidR="006E74E5">
        <w:rPr>
          <w:rFonts w:ascii="Palatino Linotype" w:hAnsi="Palatino Linotype"/>
        </w:rPr>
        <w:t xml:space="preserve"> </w:t>
      </w:r>
      <w:r w:rsidRPr="00221288">
        <w:rPr>
          <w:rFonts w:ascii="Palatino Linotype" w:hAnsi="Palatino Linotype"/>
        </w:rPr>
        <w:t xml:space="preserve">On April 28, 2023, Energy Division reopened the protest period with regards to the supplemental ALs until May 18, 2023. </w:t>
      </w:r>
    </w:p>
    <w:p w:rsidRPr="00221288" w:rsidR="006E74E5" w:rsidP="00C81DE9" w:rsidRDefault="006E74E5" w14:paraId="09C970E6" w14:textId="77777777">
      <w:pPr>
        <w:rPr>
          <w:rFonts w:ascii="Palatino Linotype" w:hAnsi="Palatino Linotype"/>
        </w:rPr>
      </w:pPr>
    </w:p>
    <w:p w:rsidRPr="00221288" w:rsidR="00180DFB" w:rsidP="00C81DE9" w:rsidRDefault="006E74E5" w14:paraId="5E607E46" w14:textId="6204A086">
      <w:pPr>
        <w:rPr>
          <w:rFonts w:ascii="Palatino Linotype" w:hAnsi="Palatino Linotype"/>
        </w:rPr>
      </w:pPr>
      <w:r w:rsidRPr="00221288">
        <w:rPr>
          <w:rFonts w:ascii="Palatino Linotype" w:hAnsi="Palatino Linotype"/>
        </w:rPr>
        <w:t xml:space="preserve">CALSSA and SEIA </w:t>
      </w:r>
      <w:r w:rsidRPr="00221288" w:rsidR="0075763C">
        <w:rPr>
          <w:rFonts w:ascii="Palatino Linotype" w:hAnsi="Palatino Linotype"/>
        </w:rPr>
        <w:t xml:space="preserve">timely protested PG&amp;E AL 6848-E-A, SCE AL 4961-A, and </w:t>
      </w:r>
      <w:r w:rsidR="00666674">
        <w:rPr>
          <w:rFonts w:ascii="Palatino Linotype" w:hAnsi="Palatino Linotype"/>
        </w:rPr>
        <w:br/>
      </w:r>
      <w:r w:rsidRPr="00221288" w:rsidR="0075763C">
        <w:rPr>
          <w:rFonts w:ascii="Palatino Linotype" w:hAnsi="Palatino Linotype"/>
        </w:rPr>
        <w:t xml:space="preserve">SDG&amp;E AL 4155-E-A </w:t>
      </w:r>
      <w:r w:rsidRPr="00221288">
        <w:rPr>
          <w:rFonts w:ascii="Palatino Linotype" w:hAnsi="Palatino Linotype"/>
        </w:rPr>
        <w:t>on May 18, 2023</w:t>
      </w:r>
      <w:r w:rsidRPr="00221288" w:rsidR="00180DFB">
        <w:rPr>
          <w:rFonts w:ascii="Palatino Linotype" w:hAnsi="Palatino Linotype"/>
        </w:rPr>
        <w:t xml:space="preserve">. PG&amp;E, SCE, and SDG&amp;E </w:t>
      </w:r>
      <w:r w:rsidRPr="00221288">
        <w:rPr>
          <w:rFonts w:ascii="Palatino Linotype" w:hAnsi="Palatino Linotype"/>
        </w:rPr>
        <w:t>responded</w:t>
      </w:r>
      <w:r w:rsidRPr="00221288" w:rsidR="00180DFB">
        <w:rPr>
          <w:rFonts w:ascii="Palatino Linotype" w:hAnsi="Palatino Linotype"/>
        </w:rPr>
        <w:t xml:space="preserve"> to th</w:t>
      </w:r>
      <w:r w:rsidRPr="00221288" w:rsidR="00B970BF">
        <w:rPr>
          <w:rFonts w:ascii="Palatino Linotype" w:hAnsi="Palatino Linotype"/>
        </w:rPr>
        <w:t>os</w:t>
      </w:r>
      <w:r w:rsidRPr="00221288" w:rsidR="00180DFB">
        <w:rPr>
          <w:rFonts w:ascii="Palatino Linotype" w:hAnsi="Palatino Linotype"/>
        </w:rPr>
        <w:t>e additional protests</w:t>
      </w:r>
      <w:r w:rsidRPr="00221288">
        <w:rPr>
          <w:rFonts w:ascii="Palatino Linotype" w:hAnsi="Palatino Linotype"/>
        </w:rPr>
        <w:t xml:space="preserve"> on May 25, 2023</w:t>
      </w:r>
      <w:r w:rsidRPr="00221288" w:rsidR="00180DFB">
        <w:rPr>
          <w:rFonts w:ascii="Palatino Linotype" w:hAnsi="Palatino Linotype"/>
        </w:rPr>
        <w:t xml:space="preserve">. </w:t>
      </w:r>
    </w:p>
    <w:p w:rsidRPr="00221288" w:rsidR="00D44F70" w:rsidP="00C81DE9" w:rsidRDefault="00D44F70" w14:paraId="4B97A236" w14:textId="77777777">
      <w:pPr>
        <w:rPr>
          <w:rFonts w:ascii="Palatino Linotype" w:hAnsi="Palatino Linotype"/>
        </w:rPr>
      </w:pPr>
    </w:p>
    <w:p w:rsidRPr="00221288" w:rsidR="00D44F70" w:rsidP="00C81DE9" w:rsidRDefault="00D44F70" w14:paraId="3CC82AE8" w14:textId="4A49EEAF">
      <w:pPr>
        <w:rPr>
          <w:rFonts w:ascii="Palatino Linotype" w:hAnsi="Palatino Linotype"/>
        </w:rPr>
      </w:pPr>
      <w:r w:rsidRPr="00221288">
        <w:rPr>
          <w:rFonts w:ascii="Palatino Linotype" w:hAnsi="Palatino Linotype"/>
        </w:rPr>
        <w:t>The major issues raised by the protests are described below.</w:t>
      </w:r>
    </w:p>
    <w:p w:rsidRPr="00221288" w:rsidR="3B56DFDF" w:rsidP="3B56DFDF" w:rsidRDefault="3B56DFDF" w14:paraId="60A7C7C4" w14:textId="547166D5">
      <w:pPr>
        <w:rPr>
          <w:rFonts w:ascii="Palatino Linotype" w:hAnsi="Palatino Linotype"/>
          <w:highlight w:val="cyan"/>
        </w:rPr>
      </w:pPr>
    </w:p>
    <w:p w:rsidRPr="00221288" w:rsidR="77A75E76" w:rsidP="00D76049" w:rsidRDefault="003150E0" w14:paraId="0D451E00" w14:textId="0B158021">
      <w:pPr>
        <w:pStyle w:val="Heading3"/>
        <w:rPr>
          <w:rFonts w:ascii="Palatino Linotype" w:hAnsi="Palatino Linotype"/>
        </w:rPr>
      </w:pPr>
      <w:r w:rsidRPr="00221288">
        <w:rPr>
          <w:rFonts w:ascii="Palatino Linotype" w:hAnsi="Palatino Linotype"/>
        </w:rPr>
        <w:t>Climate Zone Averag</w:t>
      </w:r>
      <w:r w:rsidRPr="00221288" w:rsidR="00C4604D">
        <w:rPr>
          <w:rFonts w:ascii="Palatino Linotype" w:hAnsi="Palatino Linotype"/>
        </w:rPr>
        <w:t xml:space="preserve">es in </w:t>
      </w:r>
      <w:r w:rsidRPr="00221288" w:rsidR="77A75E76">
        <w:rPr>
          <w:rFonts w:ascii="Palatino Linotype" w:hAnsi="Palatino Linotype"/>
        </w:rPr>
        <w:t>Retail Export Compensation Rate Values</w:t>
      </w:r>
    </w:p>
    <w:p w:rsidRPr="00221288" w:rsidR="3B56DFDF" w:rsidP="3B56DFDF" w:rsidRDefault="3B56DFDF" w14:paraId="159EFA31" w14:textId="4FDC9CFB">
      <w:pPr>
        <w:rPr>
          <w:rFonts w:ascii="Palatino Linotype" w:hAnsi="Palatino Linotype"/>
          <w:i/>
        </w:rPr>
      </w:pPr>
    </w:p>
    <w:p w:rsidRPr="00221288" w:rsidR="77A75E76" w:rsidP="005E2B86" w:rsidRDefault="77A75E76" w14:paraId="42C300B6" w14:textId="15374106">
      <w:pPr>
        <w:rPr>
          <w:rFonts w:ascii="Palatino Linotype" w:hAnsi="Palatino Linotype"/>
        </w:rPr>
      </w:pPr>
      <w:r w:rsidRPr="00221288">
        <w:rPr>
          <w:rFonts w:ascii="Palatino Linotype" w:hAnsi="Palatino Linotype"/>
        </w:rPr>
        <w:t xml:space="preserve">In </w:t>
      </w:r>
      <w:r w:rsidRPr="00221288" w:rsidR="002F4ACE">
        <w:rPr>
          <w:rFonts w:ascii="Palatino Linotype" w:hAnsi="Palatino Linotype"/>
        </w:rPr>
        <w:t>their</w:t>
      </w:r>
      <w:r w:rsidRPr="00221288">
        <w:rPr>
          <w:rFonts w:ascii="Palatino Linotype" w:hAnsi="Palatino Linotype"/>
        </w:rPr>
        <w:t xml:space="preserve"> </w:t>
      </w:r>
      <w:r w:rsidRPr="00221288" w:rsidR="004C0CD5">
        <w:rPr>
          <w:rFonts w:ascii="Palatino Linotype" w:hAnsi="Palatino Linotype"/>
        </w:rPr>
        <w:t xml:space="preserve">initial </w:t>
      </w:r>
      <w:r w:rsidRPr="00221288">
        <w:rPr>
          <w:rFonts w:ascii="Palatino Linotype" w:hAnsi="Palatino Linotype"/>
        </w:rPr>
        <w:t>protest</w:t>
      </w:r>
      <w:r w:rsidRPr="00221288" w:rsidR="002F4ACE">
        <w:rPr>
          <w:rFonts w:ascii="Palatino Linotype" w:hAnsi="Palatino Linotype"/>
        </w:rPr>
        <w:t>s</w:t>
      </w:r>
      <w:r w:rsidRPr="00221288">
        <w:rPr>
          <w:rFonts w:ascii="Palatino Linotype" w:hAnsi="Palatino Linotype"/>
        </w:rPr>
        <w:t xml:space="preserve">, CALSSA </w:t>
      </w:r>
      <w:r w:rsidRPr="00221288" w:rsidR="002F4ACE">
        <w:rPr>
          <w:rFonts w:ascii="Palatino Linotype" w:hAnsi="Palatino Linotype"/>
        </w:rPr>
        <w:t xml:space="preserve">and SEIA </w:t>
      </w:r>
      <w:r w:rsidRPr="00221288" w:rsidR="004C0CD5">
        <w:rPr>
          <w:rFonts w:ascii="Palatino Linotype" w:hAnsi="Palatino Linotype"/>
        </w:rPr>
        <w:t>propose that the Commission direct</w:t>
      </w:r>
      <w:r w:rsidRPr="00221288">
        <w:rPr>
          <w:rFonts w:ascii="Palatino Linotype" w:hAnsi="Palatino Linotype"/>
        </w:rPr>
        <w:t xml:space="preserve"> </w:t>
      </w:r>
      <w:r w:rsidRPr="00221288" w:rsidR="008D4886">
        <w:rPr>
          <w:rFonts w:ascii="Palatino Linotype" w:hAnsi="Palatino Linotype"/>
        </w:rPr>
        <w:t xml:space="preserve">the utilities </w:t>
      </w:r>
      <w:r w:rsidRPr="00221288" w:rsidR="004C0CD5">
        <w:rPr>
          <w:rFonts w:ascii="Palatino Linotype" w:hAnsi="Palatino Linotype"/>
        </w:rPr>
        <w:t xml:space="preserve">to </w:t>
      </w:r>
      <w:r w:rsidRPr="00221288" w:rsidR="008D4886">
        <w:rPr>
          <w:rFonts w:ascii="Palatino Linotype" w:hAnsi="Palatino Linotype"/>
        </w:rPr>
        <w:t>use</w:t>
      </w:r>
      <w:r w:rsidRPr="00221288" w:rsidR="00FD2876">
        <w:rPr>
          <w:rFonts w:ascii="Palatino Linotype" w:hAnsi="Palatino Linotype"/>
        </w:rPr>
        <w:t xml:space="preserve"> </w:t>
      </w:r>
      <w:r w:rsidRPr="00221288" w:rsidR="008D4886">
        <w:rPr>
          <w:rFonts w:ascii="Palatino Linotype" w:hAnsi="Palatino Linotype"/>
        </w:rPr>
        <w:t>simple average</w:t>
      </w:r>
      <w:r w:rsidRPr="00221288" w:rsidR="002F4ACE">
        <w:rPr>
          <w:rFonts w:ascii="Palatino Linotype" w:hAnsi="Palatino Linotype"/>
        </w:rPr>
        <w:t>s</w:t>
      </w:r>
      <w:r w:rsidRPr="00221288" w:rsidR="008D4886">
        <w:rPr>
          <w:rFonts w:ascii="Palatino Linotype" w:hAnsi="Palatino Linotype"/>
        </w:rPr>
        <w:t xml:space="preserve"> of Avoided Cost Calculator (ACC) values across climate zones </w:t>
      </w:r>
      <w:r w:rsidRPr="00221288" w:rsidR="00FD2876">
        <w:rPr>
          <w:rFonts w:ascii="Palatino Linotype" w:hAnsi="Palatino Linotype"/>
        </w:rPr>
        <w:t xml:space="preserve">in their calculations of retail export compensation rates. </w:t>
      </w:r>
      <w:r w:rsidRPr="00221288" w:rsidR="005E2B86">
        <w:rPr>
          <w:rFonts w:ascii="Palatino Linotype" w:hAnsi="Palatino Linotype"/>
        </w:rPr>
        <w:t xml:space="preserve">CALSSA </w:t>
      </w:r>
      <w:r w:rsidRPr="00221288" w:rsidR="00264EA0">
        <w:rPr>
          <w:rFonts w:ascii="Palatino Linotype" w:hAnsi="Palatino Linotype"/>
        </w:rPr>
        <w:t xml:space="preserve">and SEIA </w:t>
      </w:r>
      <w:r w:rsidRPr="00221288" w:rsidR="005E2B86">
        <w:rPr>
          <w:rFonts w:ascii="Palatino Linotype" w:hAnsi="Palatino Linotype"/>
        </w:rPr>
        <w:t>argue that the utilities’ propos</w:t>
      </w:r>
      <w:r w:rsidRPr="00221288" w:rsidR="004C0CD5">
        <w:rPr>
          <w:rFonts w:ascii="Palatino Linotype" w:hAnsi="Palatino Linotype"/>
        </w:rPr>
        <w:t>al to use</w:t>
      </w:r>
      <w:r w:rsidRPr="00221288" w:rsidR="009E715E">
        <w:rPr>
          <w:rFonts w:ascii="Palatino Linotype" w:hAnsi="Palatino Linotype"/>
        </w:rPr>
        <w:t xml:space="preserve"> weighted </w:t>
      </w:r>
      <w:r w:rsidRPr="00221288" w:rsidR="0049763A">
        <w:rPr>
          <w:rFonts w:ascii="Palatino Linotype" w:hAnsi="Palatino Linotype"/>
        </w:rPr>
        <w:t xml:space="preserve">values </w:t>
      </w:r>
      <w:r w:rsidRPr="00221288" w:rsidR="004C0CD5">
        <w:rPr>
          <w:rFonts w:ascii="Palatino Linotype" w:hAnsi="Palatino Linotype"/>
        </w:rPr>
        <w:t>i</w:t>
      </w:r>
      <w:r w:rsidRPr="00221288" w:rsidR="005E2B86">
        <w:rPr>
          <w:rFonts w:ascii="Palatino Linotype" w:hAnsi="Palatino Linotype"/>
        </w:rPr>
        <w:t xml:space="preserve">s not ordered by </w:t>
      </w:r>
      <w:r w:rsidRPr="00221288" w:rsidR="004C0CD5">
        <w:rPr>
          <w:rFonts w:ascii="Palatino Linotype" w:hAnsi="Palatino Linotype"/>
        </w:rPr>
        <w:t>D.22-12-056</w:t>
      </w:r>
      <w:r w:rsidRPr="00221288" w:rsidR="005E2B86">
        <w:rPr>
          <w:rFonts w:ascii="Palatino Linotype" w:hAnsi="Palatino Linotype"/>
        </w:rPr>
        <w:t xml:space="preserve">, adds unnecessary complexity, and </w:t>
      </w:r>
      <w:r w:rsidRPr="00221288" w:rsidR="004C0CD5">
        <w:rPr>
          <w:rFonts w:ascii="Palatino Linotype" w:hAnsi="Palatino Linotype"/>
        </w:rPr>
        <w:t>causes</w:t>
      </w:r>
      <w:r w:rsidRPr="00221288" w:rsidR="005E2B86">
        <w:rPr>
          <w:rFonts w:ascii="Palatino Linotype" w:hAnsi="Palatino Linotype"/>
        </w:rPr>
        <w:t xml:space="preserve"> transparency issues.</w:t>
      </w:r>
    </w:p>
    <w:p w:rsidRPr="00221288" w:rsidR="002868DC" w:rsidP="005E2B86" w:rsidRDefault="002868DC" w14:paraId="09E13497" w14:textId="77777777">
      <w:pPr>
        <w:rPr>
          <w:rFonts w:ascii="Palatino Linotype" w:hAnsi="Palatino Linotype"/>
        </w:rPr>
      </w:pPr>
    </w:p>
    <w:p w:rsidRPr="00221288" w:rsidR="00483F26" w:rsidP="00126C8D" w:rsidRDefault="002868DC" w14:paraId="157F7643" w14:textId="3B555CF6">
      <w:pPr>
        <w:rPr>
          <w:rFonts w:ascii="Palatino Linotype" w:hAnsi="Palatino Linotype"/>
        </w:rPr>
      </w:pPr>
      <w:r w:rsidRPr="00221288">
        <w:rPr>
          <w:rFonts w:ascii="Palatino Linotype" w:hAnsi="Palatino Linotype"/>
        </w:rPr>
        <w:t xml:space="preserve">In </w:t>
      </w:r>
      <w:r w:rsidRPr="00221288" w:rsidR="00C21DF0">
        <w:rPr>
          <w:rFonts w:ascii="Palatino Linotype" w:hAnsi="Palatino Linotype"/>
        </w:rPr>
        <w:t>its</w:t>
      </w:r>
      <w:r w:rsidRPr="00221288">
        <w:rPr>
          <w:rFonts w:ascii="Palatino Linotype" w:hAnsi="Palatino Linotype"/>
        </w:rPr>
        <w:t xml:space="preserve"> repl</w:t>
      </w:r>
      <w:r w:rsidRPr="00221288" w:rsidR="00C21DF0">
        <w:rPr>
          <w:rFonts w:ascii="Palatino Linotype" w:hAnsi="Palatino Linotype"/>
        </w:rPr>
        <w:t>y</w:t>
      </w:r>
      <w:r w:rsidRPr="00221288">
        <w:rPr>
          <w:rFonts w:ascii="Palatino Linotype" w:hAnsi="Palatino Linotype"/>
        </w:rPr>
        <w:t>,</w:t>
      </w:r>
      <w:r w:rsidRPr="00221288" w:rsidR="00C21DF0">
        <w:rPr>
          <w:rFonts w:ascii="Palatino Linotype" w:hAnsi="Palatino Linotype"/>
        </w:rPr>
        <w:t xml:space="preserve"> PG&amp;E </w:t>
      </w:r>
      <w:r w:rsidRPr="00221288" w:rsidR="00F653FE">
        <w:rPr>
          <w:rFonts w:ascii="Palatino Linotype" w:hAnsi="Palatino Linotype"/>
        </w:rPr>
        <w:t>assert</w:t>
      </w:r>
      <w:r w:rsidRPr="00221288" w:rsidR="0070716D">
        <w:rPr>
          <w:rFonts w:ascii="Palatino Linotype" w:hAnsi="Palatino Linotype"/>
        </w:rPr>
        <w:t>s</w:t>
      </w:r>
      <w:r w:rsidRPr="00221288" w:rsidR="003E0C7D">
        <w:rPr>
          <w:rFonts w:ascii="Palatino Linotype" w:hAnsi="Palatino Linotype"/>
        </w:rPr>
        <w:t xml:space="preserve"> that </w:t>
      </w:r>
      <w:r w:rsidRPr="00221288" w:rsidR="00F86F29">
        <w:rPr>
          <w:rFonts w:ascii="Palatino Linotype" w:hAnsi="Palatino Linotype"/>
        </w:rPr>
        <w:t>since</w:t>
      </w:r>
      <w:r w:rsidRPr="00221288" w:rsidR="003E0C7D">
        <w:rPr>
          <w:rFonts w:ascii="Palatino Linotype" w:hAnsi="Palatino Linotype"/>
        </w:rPr>
        <w:t xml:space="preserve"> </w:t>
      </w:r>
      <w:r w:rsidRPr="00221288" w:rsidR="00FD087B">
        <w:rPr>
          <w:rFonts w:ascii="Palatino Linotype" w:hAnsi="Palatino Linotype"/>
        </w:rPr>
        <w:t xml:space="preserve">in </w:t>
      </w:r>
      <w:r w:rsidRPr="00221288" w:rsidR="00F86F29">
        <w:rPr>
          <w:rFonts w:ascii="Palatino Linotype" w:hAnsi="Palatino Linotype"/>
        </w:rPr>
        <w:t>D.22-12-056</w:t>
      </w:r>
      <w:r w:rsidRPr="00221288" w:rsidR="003E0C7D">
        <w:rPr>
          <w:rFonts w:ascii="Palatino Linotype" w:hAnsi="Palatino Linotype"/>
        </w:rPr>
        <w:t xml:space="preserve"> </w:t>
      </w:r>
      <w:r w:rsidRPr="00221288" w:rsidR="00FD087B">
        <w:rPr>
          <w:rFonts w:ascii="Palatino Linotype" w:hAnsi="Palatino Linotype"/>
        </w:rPr>
        <w:t xml:space="preserve">the Commission </w:t>
      </w:r>
      <w:r w:rsidRPr="00221288" w:rsidR="003E0C7D">
        <w:rPr>
          <w:rFonts w:ascii="Palatino Linotype" w:hAnsi="Palatino Linotype"/>
        </w:rPr>
        <w:t xml:space="preserve">considered having separate export values by climate zone, the </w:t>
      </w:r>
      <w:r w:rsidRPr="00221288" w:rsidR="00FD087B">
        <w:rPr>
          <w:rFonts w:ascii="Palatino Linotype" w:hAnsi="Palatino Linotype"/>
        </w:rPr>
        <w:t>Commission</w:t>
      </w:r>
      <w:r w:rsidRPr="00221288" w:rsidR="003E0C7D">
        <w:rPr>
          <w:rFonts w:ascii="Palatino Linotype" w:hAnsi="Palatino Linotype"/>
        </w:rPr>
        <w:t xml:space="preserve"> is interested in ensuring the geographic differentiation of export values is passed through to customers.</w:t>
      </w:r>
      <w:r w:rsidRPr="00221288" w:rsidR="00F86F29">
        <w:rPr>
          <w:rFonts w:ascii="Palatino Linotype" w:hAnsi="Palatino Linotype"/>
        </w:rPr>
        <w:t xml:space="preserve"> </w:t>
      </w:r>
      <w:r w:rsidRPr="00221288" w:rsidR="00A54AE4">
        <w:rPr>
          <w:rFonts w:ascii="Palatino Linotype" w:hAnsi="Palatino Linotype"/>
        </w:rPr>
        <w:t xml:space="preserve">PG&amp;E </w:t>
      </w:r>
      <w:r w:rsidRPr="00221288" w:rsidR="00A54AE4">
        <w:rPr>
          <w:rFonts w:ascii="Palatino Linotype" w:hAnsi="Palatino Linotype"/>
        </w:rPr>
        <w:lastRenderedPageBreak/>
        <w:t>provide</w:t>
      </w:r>
      <w:r w:rsidRPr="00221288" w:rsidR="004C0CD5">
        <w:rPr>
          <w:rFonts w:ascii="Palatino Linotype" w:hAnsi="Palatino Linotype"/>
        </w:rPr>
        <w:t>s</w:t>
      </w:r>
      <w:r w:rsidRPr="00221288" w:rsidR="00A54AE4">
        <w:rPr>
          <w:rFonts w:ascii="Palatino Linotype" w:hAnsi="Palatino Linotype"/>
        </w:rPr>
        <w:t xml:space="preserve"> a table showing </w:t>
      </w:r>
      <w:r w:rsidRPr="00221288" w:rsidR="001427FF">
        <w:rPr>
          <w:rFonts w:ascii="Palatino Linotype" w:hAnsi="Palatino Linotype"/>
        </w:rPr>
        <w:t xml:space="preserve">the differences between simple and weighted average </w:t>
      </w:r>
      <w:r w:rsidRPr="00221288" w:rsidR="00B65CC5">
        <w:rPr>
          <w:rFonts w:ascii="Palatino Linotype" w:hAnsi="Palatino Linotype"/>
        </w:rPr>
        <w:t xml:space="preserve">ACC values in which the maximum difference </w:t>
      </w:r>
      <w:r w:rsidRPr="00221288" w:rsidR="004C0CD5">
        <w:rPr>
          <w:rFonts w:ascii="Palatino Linotype" w:hAnsi="Palatino Linotype"/>
        </w:rPr>
        <w:t>i</w:t>
      </w:r>
      <w:r w:rsidRPr="00221288" w:rsidR="00B65CC5">
        <w:rPr>
          <w:rFonts w:ascii="Palatino Linotype" w:hAnsi="Palatino Linotype"/>
        </w:rPr>
        <w:t>s 0.08 percent.</w:t>
      </w:r>
      <w:r w:rsidRPr="00221288" w:rsidR="00E82131">
        <w:rPr>
          <w:rFonts w:ascii="Palatino Linotype" w:hAnsi="Palatino Linotype"/>
        </w:rPr>
        <w:t xml:space="preserve"> To </w:t>
      </w:r>
      <w:r w:rsidRPr="00221288" w:rsidR="00B77746">
        <w:rPr>
          <w:rFonts w:ascii="Palatino Linotype" w:hAnsi="Palatino Linotype"/>
        </w:rPr>
        <w:t>satisfy</w:t>
      </w:r>
      <w:r w:rsidRPr="00221288" w:rsidR="001D2228">
        <w:rPr>
          <w:rFonts w:ascii="Palatino Linotype" w:hAnsi="Palatino Linotype"/>
        </w:rPr>
        <w:t xml:space="preserve"> CALSSA’s </w:t>
      </w:r>
      <w:r w:rsidRPr="00221288" w:rsidR="00B77746">
        <w:rPr>
          <w:rFonts w:ascii="Palatino Linotype" w:hAnsi="Palatino Linotype"/>
        </w:rPr>
        <w:t xml:space="preserve">wish for </w:t>
      </w:r>
      <w:r w:rsidRPr="00221288" w:rsidR="00E82131">
        <w:rPr>
          <w:rFonts w:ascii="Palatino Linotype" w:hAnsi="Palatino Linotype"/>
        </w:rPr>
        <w:t>transparency, PG&amp;E provide</w:t>
      </w:r>
      <w:r w:rsidRPr="00221288" w:rsidR="004C0CD5">
        <w:rPr>
          <w:rFonts w:ascii="Palatino Linotype" w:hAnsi="Palatino Linotype"/>
        </w:rPr>
        <w:t>s</w:t>
      </w:r>
      <w:r w:rsidRPr="00221288" w:rsidR="00E82131">
        <w:rPr>
          <w:rFonts w:ascii="Palatino Linotype" w:hAnsi="Palatino Linotype"/>
        </w:rPr>
        <w:t xml:space="preserve"> the weighting factors used.</w:t>
      </w:r>
      <w:r w:rsidRPr="00221288" w:rsidR="00A54AE4">
        <w:rPr>
          <w:rFonts w:ascii="Palatino Linotype" w:hAnsi="Palatino Linotype"/>
        </w:rPr>
        <w:t xml:space="preserve"> </w:t>
      </w:r>
      <w:r w:rsidRPr="00221288" w:rsidR="00483F26">
        <w:rPr>
          <w:rFonts w:ascii="Palatino Linotype" w:hAnsi="Palatino Linotype"/>
        </w:rPr>
        <w:t xml:space="preserve">In </w:t>
      </w:r>
      <w:r w:rsidRPr="00221288" w:rsidR="00B125A1">
        <w:rPr>
          <w:rFonts w:ascii="Palatino Linotype" w:hAnsi="Palatino Linotype"/>
        </w:rPr>
        <w:t>their</w:t>
      </w:r>
      <w:r w:rsidRPr="00221288" w:rsidR="00483F26">
        <w:rPr>
          <w:rFonts w:ascii="Palatino Linotype" w:hAnsi="Palatino Linotype"/>
        </w:rPr>
        <w:t xml:space="preserve"> repl</w:t>
      </w:r>
      <w:r w:rsidRPr="00221288" w:rsidR="00B125A1">
        <w:rPr>
          <w:rFonts w:ascii="Palatino Linotype" w:hAnsi="Palatino Linotype"/>
        </w:rPr>
        <w:t>ies</w:t>
      </w:r>
      <w:r w:rsidRPr="00221288" w:rsidR="00483F26">
        <w:rPr>
          <w:rFonts w:ascii="Palatino Linotype" w:hAnsi="Palatino Linotype"/>
        </w:rPr>
        <w:t xml:space="preserve">, SCE </w:t>
      </w:r>
      <w:r w:rsidRPr="00221288" w:rsidR="00B125A1">
        <w:rPr>
          <w:rFonts w:ascii="Palatino Linotype" w:hAnsi="Palatino Linotype"/>
        </w:rPr>
        <w:t xml:space="preserve">and SDG&amp;E </w:t>
      </w:r>
      <w:r w:rsidRPr="00221288" w:rsidR="00483F26">
        <w:rPr>
          <w:rFonts w:ascii="Palatino Linotype" w:hAnsi="Palatino Linotype"/>
        </w:rPr>
        <w:t>assert</w:t>
      </w:r>
      <w:r w:rsidRPr="00221288" w:rsidR="004C0CD5">
        <w:rPr>
          <w:rFonts w:ascii="Palatino Linotype" w:hAnsi="Palatino Linotype"/>
        </w:rPr>
        <w:t xml:space="preserve"> </w:t>
      </w:r>
      <w:r w:rsidRPr="00221288" w:rsidR="00483F26">
        <w:rPr>
          <w:rFonts w:ascii="Palatino Linotype" w:hAnsi="Palatino Linotype"/>
        </w:rPr>
        <w:t xml:space="preserve">that </w:t>
      </w:r>
      <w:r w:rsidRPr="00221288" w:rsidR="008B3241">
        <w:rPr>
          <w:rFonts w:ascii="Palatino Linotype" w:hAnsi="Palatino Linotype"/>
        </w:rPr>
        <w:t>a weighted average of the climate zones’ values</w:t>
      </w:r>
      <w:r w:rsidRPr="00221288" w:rsidR="00483F26">
        <w:rPr>
          <w:rFonts w:ascii="Palatino Linotype" w:hAnsi="Palatino Linotype"/>
        </w:rPr>
        <w:t xml:space="preserve"> is still an average and more closely represents avoided cost</w:t>
      </w:r>
      <w:r w:rsidRPr="00221288" w:rsidR="00AA778B">
        <w:rPr>
          <w:rFonts w:ascii="Palatino Linotype" w:hAnsi="Palatino Linotype"/>
        </w:rPr>
        <w:t>s</w:t>
      </w:r>
      <w:r w:rsidRPr="00221288" w:rsidR="00483F26">
        <w:rPr>
          <w:rFonts w:ascii="Palatino Linotype" w:hAnsi="Palatino Linotype"/>
        </w:rPr>
        <w:t xml:space="preserve"> of the current mix of distributed energy resource penetration.</w:t>
      </w:r>
      <w:r w:rsidRPr="00221288" w:rsidR="00163CA0">
        <w:rPr>
          <w:rFonts w:ascii="Palatino Linotype" w:hAnsi="Palatino Linotype"/>
        </w:rPr>
        <w:t xml:space="preserve"> </w:t>
      </w:r>
    </w:p>
    <w:p w:rsidRPr="00221288" w:rsidR="007442F9" w:rsidP="00126C8D" w:rsidRDefault="007442F9" w14:paraId="38AAB7A9" w14:textId="77777777">
      <w:pPr>
        <w:rPr>
          <w:rFonts w:ascii="Palatino Linotype" w:hAnsi="Palatino Linotype"/>
        </w:rPr>
      </w:pPr>
    </w:p>
    <w:p w:rsidRPr="00221288" w:rsidR="007442F9" w:rsidP="003B400E" w:rsidRDefault="007442F9" w14:paraId="3261EDB7" w14:textId="3401C268">
      <w:pPr>
        <w:rPr>
          <w:rFonts w:ascii="Palatino Linotype" w:hAnsi="Palatino Linotype"/>
        </w:rPr>
      </w:pPr>
      <w:r w:rsidRPr="00221288">
        <w:rPr>
          <w:rFonts w:ascii="Palatino Linotype" w:hAnsi="Palatino Linotype"/>
        </w:rPr>
        <w:t xml:space="preserve">In its </w:t>
      </w:r>
      <w:r w:rsidRPr="00221288" w:rsidR="005820BD">
        <w:rPr>
          <w:rFonts w:ascii="Palatino Linotype" w:hAnsi="Palatino Linotype"/>
        </w:rPr>
        <w:t>protest</w:t>
      </w:r>
      <w:r w:rsidRPr="00221288">
        <w:rPr>
          <w:rFonts w:ascii="Palatino Linotype" w:hAnsi="Palatino Linotype"/>
        </w:rPr>
        <w:t xml:space="preserve"> to PG&amp;E’s supplemental AL, CALSSA propose</w:t>
      </w:r>
      <w:r w:rsidRPr="00221288" w:rsidR="004C0CD5">
        <w:rPr>
          <w:rFonts w:ascii="Palatino Linotype" w:hAnsi="Palatino Linotype"/>
        </w:rPr>
        <w:t>s</w:t>
      </w:r>
      <w:r w:rsidRPr="00221288">
        <w:rPr>
          <w:rFonts w:ascii="Palatino Linotype" w:hAnsi="Palatino Linotype"/>
        </w:rPr>
        <w:t xml:space="preserve"> that </w:t>
      </w:r>
      <w:r w:rsidRPr="00221288" w:rsidR="00D250D9">
        <w:rPr>
          <w:rFonts w:ascii="Palatino Linotype" w:hAnsi="Palatino Linotype"/>
        </w:rPr>
        <w:t>should</w:t>
      </w:r>
      <w:r w:rsidRPr="00221288">
        <w:rPr>
          <w:rFonts w:ascii="Palatino Linotype" w:hAnsi="Palatino Linotype"/>
        </w:rPr>
        <w:t xml:space="preserve"> the Commission </w:t>
      </w:r>
      <w:r w:rsidRPr="00221288" w:rsidR="003B400E">
        <w:rPr>
          <w:rFonts w:ascii="Palatino Linotype" w:hAnsi="Palatino Linotype"/>
        </w:rPr>
        <w:t xml:space="preserve">approve weighted averaging, it should </w:t>
      </w:r>
      <w:r w:rsidRPr="00221288" w:rsidR="004C0CD5">
        <w:rPr>
          <w:rFonts w:ascii="Palatino Linotype" w:hAnsi="Palatino Linotype"/>
        </w:rPr>
        <w:t>require</w:t>
      </w:r>
      <w:r w:rsidRPr="00221288" w:rsidR="003B400E">
        <w:rPr>
          <w:rFonts w:ascii="Palatino Linotype" w:hAnsi="Palatino Linotype"/>
        </w:rPr>
        <w:t xml:space="preserve"> the </w:t>
      </w:r>
      <w:r w:rsidRPr="00221288" w:rsidR="004C0CD5">
        <w:rPr>
          <w:rFonts w:ascii="Palatino Linotype" w:hAnsi="Palatino Linotype"/>
        </w:rPr>
        <w:t>utilities</w:t>
      </w:r>
      <w:r w:rsidRPr="00221288" w:rsidR="003B400E">
        <w:rPr>
          <w:rFonts w:ascii="Palatino Linotype" w:hAnsi="Palatino Linotype"/>
        </w:rPr>
        <w:t xml:space="preserve"> to publish rates via </w:t>
      </w:r>
      <w:r w:rsidRPr="00221288" w:rsidR="004C0CD5">
        <w:rPr>
          <w:rFonts w:ascii="Palatino Linotype" w:hAnsi="Palatino Linotype"/>
        </w:rPr>
        <w:t>AL</w:t>
      </w:r>
      <w:r w:rsidRPr="00221288" w:rsidR="003B400E">
        <w:rPr>
          <w:rFonts w:ascii="Palatino Linotype" w:hAnsi="Palatino Linotype"/>
        </w:rPr>
        <w:t xml:space="preserve"> within 45 days of the ACC update, for parties to conduct discovery and resolve disputes before the January effective date.</w:t>
      </w:r>
    </w:p>
    <w:p w:rsidRPr="00221288" w:rsidR="00483F26" w:rsidP="00126C8D" w:rsidRDefault="00483F26" w14:paraId="7A9F9543" w14:textId="77777777">
      <w:pPr>
        <w:rPr>
          <w:rFonts w:ascii="Palatino Linotype" w:hAnsi="Palatino Linotype"/>
        </w:rPr>
      </w:pPr>
    </w:p>
    <w:p w:rsidRPr="00221288" w:rsidR="002868DC" w:rsidP="00AC0054" w:rsidRDefault="00AC0054" w14:paraId="0E6C5B14" w14:textId="677DE7A6">
      <w:pPr>
        <w:rPr>
          <w:rFonts w:ascii="Palatino Linotype" w:hAnsi="Palatino Linotype"/>
        </w:rPr>
      </w:pPr>
      <w:r w:rsidRPr="00221288">
        <w:rPr>
          <w:rFonts w:ascii="Palatino Linotype" w:hAnsi="Palatino Linotype"/>
        </w:rPr>
        <w:t>PG&amp;E</w:t>
      </w:r>
      <w:r w:rsidRPr="00221288" w:rsidR="00C3107A">
        <w:rPr>
          <w:rFonts w:ascii="Palatino Linotype" w:hAnsi="Palatino Linotype"/>
        </w:rPr>
        <w:t xml:space="preserve"> </w:t>
      </w:r>
      <w:r w:rsidRPr="00221288" w:rsidR="004C0CD5">
        <w:rPr>
          <w:rFonts w:ascii="Palatino Linotype" w:hAnsi="Palatino Linotype"/>
        </w:rPr>
        <w:t>asserts</w:t>
      </w:r>
      <w:r w:rsidRPr="00221288" w:rsidR="00C927E5">
        <w:rPr>
          <w:rFonts w:ascii="Palatino Linotype" w:hAnsi="Palatino Linotype"/>
        </w:rPr>
        <w:t xml:space="preserve"> </w:t>
      </w:r>
      <w:r w:rsidRPr="00221288" w:rsidR="00687047">
        <w:rPr>
          <w:rFonts w:ascii="Palatino Linotype" w:hAnsi="Palatino Linotype"/>
        </w:rPr>
        <w:t>in</w:t>
      </w:r>
      <w:r w:rsidRPr="00221288" w:rsidR="004F52DB">
        <w:rPr>
          <w:rFonts w:ascii="Palatino Linotype" w:hAnsi="Palatino Linotype"/>
        </w:rPr>
        <w:t xml:space="preserve"> </w:t>
      </w:r>
      <w:r w:rsidRPr="00221288" w:rsidR="00FC3B60">
        <w:rPr>
          <w:rFonts w:ascii="Palatino Linotype" w:hAnsi="Palatino Linotype"/>
        </w:rPr>
        <w:t xml:space="preserve">its </w:t>
      </w:r>
      <w:r w:rsidRPr="00221288" w:rsidR="004F52DB">
        <w:rPr>
          <w:rFonts w:ascii="Palatino Linotype" w:hAnsi="Palatino Linotype"/>
        </w:rPr>
        <w:t>repl</w:t>
      </w:r>
      <w:r w:rsidRPr="00221288" w:rsidR="00FC3B60">
        <w:rPr>
          <w:rFonts w:ascii="Palatino Linotype" w:hAnsi="Palatino Linotype"/>
        </w:rPr>
        <w:t>y</w:t>
      </w:r>
      <w:r w:rsidRPr="00221288" w:rsidR="004F52DB">
        <w:rPr>
          <w:rFonts w:ascii="Palatino Linotype" w:hAnsi="Palatino Linotype"/>
        </w:rPr>
        <w:t xml:space="preserve"> to CALSSA’s </w:t>
      </w:r>
      <w:r w:rsidRPr="00221288" w:rsidR="004C0CD5">
        <w:rPr>
          <w:rFonts w:ascii="Palatino Linotype" w:hAnsi="Palatino Linotype"/>
        </w:rPr>
        <w:t>supplemental protest</w:t>
      </w:r>
      <w:r w:rsidRPr="00221288" w:rsidR="00687047">
        <w:rPr>
          <w:rFonts w:ascii="Palatino Linotype" w:hAnsi="Palatino Linotype"/>
        </w:rPr>
        <w:t xml:space="preserve"> </w:t>
      </w:r>
      <w:r w:rsidRPr="00221288" w:rsidR="00C927E5">
        <w:rPr>
          <w:rFonts w:ascii="Palatino Linotype" w:hAnsi="Palatino Linotype"/>
        </w:rPr>
        <w:t>that</w:t>
      </w:r>
      <w:r w:rsidRPr="00221288" w:rsidR="00574B50">
        <w:rPr>
          <w:rFonts w:ascii="Palatino Linotype" w:hAnsi="Palatino Linotype"/>
        </w:rPr>
        <w:t xml:space="preserve"> CALSSA</w:t>
      </w:r>
      <w:r w:rsidRPr="00221288" w:rsidR="00C927E5">
        <w:rPr>
          <w:rFonts w:ascii="Palatino Linotype" w:hAnsi="Palatino Linotype"/>
        </w:rPr>
        <w:t>’s</w:t>
      </w:r>
      <w:r w:rsidRPr="00221288" w:rsidR="00D7535A">
        <w:rPr>
          <w:rFonts w:ascii="Palatino Linotype" w:hAnsi="Palatino Linotype"/>
        </w:rPr>
        <w:t xml:space="preserve"> </w:t>
      </w:r>
      <w:r w:rsidRPr="00221288" w:rsidR="004C0CD5">
        <w:rPr>
          <w:rFonts w:ascii="Palatino Linotype" w:hAnsi="Palatino Linotype"/>
        </w:rPr>
        <w:t>proposal</w:t>
      </w:r>
      <w:r w:rsidRPr="00221288" w:rsidR="00D7535A">
        <w:rPr>
          <w:rFonts w:ascii="Palatino Linotype" w:hAnsi="Palatino Linotype"/>
        </w:rPr>
        <w:t xml:space="preserve"> </w:t>
      </w:r>
      <w:r w:rsidRPr="00221288" w:rsidR="00DB2BAC">
        <w:rPr>
          <w:rFonts w:ascii="Palatino Linotype" w:hAnsi="Palatino Linotype"/>
        </w:rPr>
        <w:t xml:space="preserve">would more appropriately be made </w:t>
      </w:r>
      <w:r w:rsidRPr="00221288" w:rsidR="0070720A">
        <w:rPr>
          <w:rFonts w:ascii="Palatino Linotype" w:hAnsi="Palatino Linotype"/>
        </w:rPr>
        <w:t xml:space="preserve">in </w:t>
      </w:r>
      <w:r w:rsidRPr="00221288" w:rsidR="004C0CD5">
        <w:rPr>
          <w:rFonts w:ascii="Palatino Linotype" w:hAnsi="Palatino Linotype"/>
        </w:rPr>
        <w:t>Rulemaking (</w:t>
      </w:r>
      <w:r w:rsidRPr="00221288" w:rsidR="0070720A">
        <w:rPr>
          <w:rFonts w:ascii="Palatino Linotype" w:hAnsi="Palatino Linotype"/>
        </w:rPr>
        <w:t>R.</w:t>
      </w:r>
      <w:r w:rsidRPr="00221288" w:rsidR="004C0CD5">
        <w:rPr>
          <w:rFonts w:ascii="Palatino Linotype" w:hAnsi="Palatino Linotype"/>
        </w:rPr>
        <w:t xml:space="preserve">) 22-11-013 as </w:t>
      </w:r>
      <w:r w:rsidRPr="00221288" w:rsidR="0070720A">
        <w:rPr>
          <w:rFonts w:ascii="Palatino Linotype" w:hAnsi="Palatino Linotype"/>
        </w:rPr>
        <w:t>part of the ACC update process</w:t>
      </w:r>
      <w:r w:rsidRPr="00221288" w:rsidR="00D7535A">
        <w:rPr>
          <w:rFonts w:ascii="Palatino Linotype" w:hAnsi="Palatino Linotype"/>
        </w:rPr>
        <w:t>.</w:t>
      </w:r>
      <w:r w:rsidRPr="00221288" w:rsidR="004C0CD5">
        <w:rPr>
          <w:rStyle w:val="FootnoteReference"/>
          <w:rFonts w:ascii="Palatino Linotype" w:hAnsi="Palatino Linotype"/>
        </w:rPr>
        <w:footnoteReference w:id="2"/>
      </w:r>
      <w:r w:rsidRPr="00221288" w:rsidR="00D7535A">
        <w:rPr>
          <w:rFonts w:ascii="Palatino Linotype" w:hAnsi="Palatino Linotype"/>
        </w:rPr>
        <w:t xml:space="preserve"> </w:t>
      </w:r>
      <w:r w:rsidRPr="00221288" w:rsidR="00FC3B60">
        <w:rPr>
          <w:rFonts w:ascii="Palatino Linotype" w:hAnsi="Palatino Linotype"/>
        </w:rPr>
        <w:t>In</w:t>
      </w:r>
      <w:r w:rsidRPr="00221288" w:rsidR="00F24457">
        <w:rPr>
          <w:rFonts w:ascii="Palatino Linotype" w:hAnsi="Palatino Linotype"/>
        </w:rPr>
        <w:t xml:space="preserve"> its reply, </w:t>
      </w:r>
      <w:r w:rsidRPr="00221288" w:rsidR="00B85D65">
        <w:rPr>
          <w:rFonts w:ascii="Palatino Linotype" w:hAnsi="Palatino Linotype"/>
        </w:rPr>
        <w:t>SCE agree</w:t>
      </w:r>
      <w:r w:rsidRPr="00221288" w:rsidR="004C0CD5">
        <w:rPr>
          <w:rFonts w:ascii="Palatino Linotype" w:hAnsi="Palatino Linotype"/>
        </w:rPr>
        <w:t>s</w:t>
      </w:r>
      <w:r w:rsidRPr="00221288" w:rsidR="00B85D65">
        <w:rPr>
          <w:rFonts w:ascii="Palatino Linotype" w:hAnsi="Palatino Linotype"/>
        </w:rPr>
        <w:t xml:space="preserve"> to </w:t>
      </w:r>
      <w:r w:rsidRPr="00221288" w:rsidR="00A20BD2">
        <w:rPr>
          <w:rFonts w:ascii="Palatino Linotype" w:hAnsi="Palatino Linotype"/>
        </w:rPr>
        <w:t>CALSSA’</w:t>
      </w:r>
      <w:r w:rsidRPr="00221288" w:rsidR="00F24457">
        <w:rPr>
          <w:rFonts w:ascii="Palatino Linotype" w:hAnsi="Palatino Linotype"/>
        </w:rPr>
        <w:t>s</w:t>
      </w:r>
      <w:r w:rsidRPr="00221288" w:rsidR="007A459F">
        <w:rPr>
          <w:rFonts w:ascii="Palatino Linotype" w:hAnsi="Palatino Linotype"/>
        </w:rPr>
        <w:t xml:space="preserve"> </w:t>
      </w:r>
      <w:r w:rsidRPr="00221288" w:rsidR="004C0CD5">
        <w:rPr>
          <w:rFonts w:ascii="Palatino Linotype" w:hAnsi="Palatino Linotype"/>
        </w:rPr>
        <w:t>proposal</w:t>
      </w:r>
      <w:r w:rsidRPr="00221288" w:rsidR="00B85D65">
        <w:rPr>
          <w:rFonts w:ascii="Palatino Linotype" w:hAnsi="Palatino Linotype"/>
        </w:rPr>
        <w:t xml:space="preserve">, while </w:t>
      </w:r>
      <w:r w:rsidRPr="00221288" w:rsidR="00952FC2">
        <w:rPr>
          <w:rFonts w:ascii="Palatino Linotype" w:hAnsi="Palatino Linotype"/>
        </w:rPr>
        <w:t xml:space="preserve">in its reply </w:t>
      </w:r>
      <w:r w:rsidRPr="00221288" w:rsidR="00B85D65">
        <w:rPr>
          <w:rFonts w:ascii="Palatino Linotype" w:hAnsi="Palatino Linotype"/>
        </w:rPr>
        <w:t xml:space="preserve">SDG&amp;E </w:t>
      </w:r>
      <w:r w:rsidRPr="00221288" w:rsidR="00020FCA">
        <w:rPr>
          <w:rFonts w:ascii="Palatino Linotype" w:hAnsi="Palatino Linotype"/>
        </w:rPr>
        <w:t>disagree</w:t>
      </w:r>
      <w:r w:rsidRPr="00221288" w:rsidR="004C0CD5">
        <w:rPr>
          <w:rFonts w:ascii="Palatino Linotype" w:hAnsi="Palatino Linotype"/>
        </w:rPr>
        <w:t>s</w:t>
      </w:r>
      <w:r w:rsidRPr="00221288" w:rsidR="00020FCA">
        <w:rPr>
          <w:rFonts w:ascii="Palatino Linotype" w:hAnsi="Palatino Linotype"/>
        </w:rPr>
        <w:t xml:space="preserve"> that it </w:t>
      </w:r>
      <w:r w:rsidRPr="00221288" w:rsidR="004C0CD5">
        <w:rPr>
          <w:rFonts w:ascii="Palatino Linotype" w:hAnsi="Palatino Linotype"/>
        </w:rPr>
        <w:t>i</w:t>
      </w:r>
      <w:r w:rsidRPr="00221288" w:rsidR="00020FCA">
        <w:rPr>
          <w:rFonts w:ascii="Palatino Linotype" w:hAnsi="Palatino Linotype"/>
        </w:rPr>
        <w:t>s necessary or a good use of resources</w:t>
      </w:r>
      <w:r w:rsidRPr="00221288" w:rsidR="009F0CE4">
        <w:rPr>
          <w:rFonts w:ascii="Palatino Linotype" w:hAnsi="Palatino Linotype"/>
        </w:rPr>
        <w:t xml:space="preserve">, and </w:t>
      </w:r>
      <w:r w:rsidRPr="00221288" w:rsidR="00FD3944">
        <w:rPr>
          <w:rFonts w:ascii="Palatino Linotype" w:hAnsi="Palatino Linotype"/>
        </w:rPr>
        <w:t>posi</w:t>
      </w:r>
      <w:r w:rsidRPr="00221288" w:rsidR="004C0CD5">
        <w:rPr>
          <w:rFonts w:ascii="Palatino Linotype" w:hAnsi="Palatino Linotype"/>
        </w:rPr>
        <w:t>ts</w:t>
      </w:r>
      <w:r w:rsidRPr="00221288" w:rsidR="00FD3944">
        <w:rPr>
          <w:rFonts w:ascii="Palatino Linotype" w:hAnsi="Palatino Linotype"/>
        </w:rPr>
        <w:t xml:space="preserve"> that it </w:t>
      </w:r>
      <w:r w:rsidRPr="00221288" w:rsidR="00126C8D">
        <w:rPr>
          <w:rFonts w:ascii="Palatino Linotype" w:hAnsi="Palatino Linotype"/>
        </w:rPr>
        <w:t>could delay</w:t>
      </w:r>
      <w:r w:rsidRPr="00221288" w:rsidR="00954FF4">
        <w:rPr>
          <w:rFonts w:ascii="Palatino Linotype" w:hAnsi="Palatino Linotype"/>
        </w:rPr>
        <w:t xml:space="preserve"> </w:t>
      </w:r>
      <w:r w:rsidRPr="00221288" w:rsidR="00126C8D">
        <w:rPr>
          <w:rFonts w:ascii="Palatino Linotype" w:hAnsi="Palatino Linotype"/>
        </w:rPr>
        <w:t xml:space="preserve">implementation of new </w:t>
      </w:r>
      <w:r w:rsidRPr="00221288" w:rsidR="00296A5F">
        <w:rPr>
          <w:rFonts w:ascii="Palatino Linotype" w:hAnsi="Palatino Linotype"/>
        </w:rPr>
        <w:t xml:space="preserve">retail </w:t>
      </w:r>
      <w:r w:rsidRPr="00221288" w:rsidR="00126C8D">
        <w:rPr>
          <w:rFonts w:ascii="Palatino Linotype" w:hAnsi="Palatino Linotype"/>
        </w:rPr>
        <w:t>export compensation rates</w:t>
      </w:r>
      <w:r w:rsidRPr="00221288" w:rsidR="00147751">
        <w:rPr>
          <w:rFonts w:ascii="Palatino Linotype" w:hAnsi="Palatino Linotype"/>
        </w:rPr>
        <w:t>. SDG&amp;E</w:t>
      </w:r>
      <w:r w:rsidRPr="00221288" w:rsidR="00126C8D">
        <w:rPr>
          <w:rFonts w:ascii="Palatino Linotype" w:hAnsi="Palatino Linotype"/>
        </w:rPr>
        <w:t xml:space="preserve"> </w:t>
      </w:r>
      <w:r w:rsidRPr="00221288" w:rsidR="004C0CD5">
        <w:rPr>
          <w:rFonts w:ascii="Palatino Linotype" w:hAnsi="Palatino Linotype"/>
        </w:rPr>
        <w:t>proposes</w:t>
      </w:r>
      <w:r w:rsidRPr="00221288" w:rsidR="009F0CE4">
        <w:rPr>
          <w:rFonts w:ascii="Palatino Linotype" w:hAnsi="Palatino Linotype"/>
        </w:rPr>
        <w:t xml:space="preserve"> that </w:t>
      </w:r>
      <w:r w:rsidRPr="00221288" w:rsidR="00453BBB">
        <w:rPr>
          <w:rFonts w:ascii="Palatino Linotype" w:hAnsi="Palatino Linotype"/>
        </w:rPr>
        <w:t xml:space="preserve">should </w:t>
      </w:r>
      <w:r w:rsidRPr="00221288" w:rsidR="009F0CE4">
        <w:rPr>
          <w:rFonts w:ascii="Palatino Linotype" w:hAnsi="Palatino Linotype"/>
        </w:rPr>
        <w:t xml:space="preserve">the Commission </w:t>
      </w:r>
      <w:r w:rsidRPr="00221288" w:rsidR="00954FF4">
        <w:rPr>
          <w:rFonts w:ascii="Palatino Linotype" w:hAnsi="Palatino Linotype"/>
        </w:rPr>
        <w:t xml:space="preserve">desire </w:t>
      </w:r>
      <w:r w:rsidRPr="00221288" w:rsidR="00126C8D">
        <w:rPr>
          <w:rFonts w:ascii="Palatino Linotype" w:hAnsi="Palatino Linotype"/>
        </w:rPr>
        <w:t xml:space="preserve">the </w:t>
      </w:r>
      <w:r w:rsidRPr="00221288" w:rsidR="004C0CD5">
        <w:rPr>
          <w:rFonts w:ascii="Palatino Linotype" w:hAnsi="Palatino Linotype"/>
        </w:rPr>
        <w:t>utilities</w:t>
      </w:r>
      <w:r w:rsidRPr="00221288" w:rsidR="00126C8D">
        <w:rPr>
          <w:rFonts w:ascii="Palatino Linotype" w:hAnsi="Palatino Linotype"/>
        </w:rPr>
        <w:t xml:space="preserve"> to publish</w:t>
      </w:r>
      <w:r w:rsidRPr="00221288" w:rsidR="00B332D5">
        <w:rPr>
          <w:rFonts w:ascii="Palatino Linotype" w:hAnsi="Palatino Linotype"/>
        </w:rPr>
        <w:t xml:space="preserve"> geographical</w:t>
      </w:r>
      <w:r w:rsidRPr="00221288" w:rsidR="00126C8D">
        <w:rPr>
          <w:rFonts w:ascii="Palatino Linotype" w:hAnsi="Palatino Linotype"/>
        </w:rPr>
        <w:t xml:space="preserve"> </w:t>
      </w:r>
      <w:r w:rsidRPr="00221288" w:rsidR="00B332D5">
        <w:rPr>
          <w:rFonts w:ascii="Palatino Linotype" w:hAnsi="Palatino Linotype"/>
        </w:rPr>
        <w:t>weighting factors</w:t>
      </w:r>
      <w:r w:rsidRPr="00221288" w:rsidR="00954FF4">
        <w:rPr>
          <w:rFonts w:ascii="Palatino Linotype" w:hAnsi="Palatino Linotype"/>
        </w:rPr>
        <w:t xml:space="preserve">, </w:t>
      </w:r>
      <w:r w:rsidRPr="00221288" w:rsidR="000031A1">
        <w:rPr>
          <w:rFonts w:ascii="Palatino Linotype" w:hAnsi="Palatino Linotype"/>
        </w:rPr>
        <w:t>the IOUs should</w:t>
      </w:r>
      <w:r w:rsidRPr="00221288" w:rsidR="00954FF4">
        <w:rPr>
          <w:rFonts w:ascii="Palatino Linotype" w:hAnsi="Palatino Linotype"/>
        </w:rPr>
        <w:t xml:space="preserve"> do so</w:t>
      </w:r>
      <w:r w:rsidRPr="00221288" w:rsidR="00B332D5">
        <w:rPr>
          <w:rFonts w:ascii="Palatino Linotype" w:hAnsi="Palatino Linotype"/>
        </w:rPr>
        <w:t xml:space="preserve"> on their NBT</w:t>
      </w:r>
      <w:r w:rsidRPr="00221288" w:rsidR="00126C8D">
        <w:rPr>
          <w:rFonts w:ascii="Palatino Linotype" w:hAnsi="Palatino Linotype"/>
        </w:rPr>
        <w:t xml:space="preserve"> </w:t>
      </w:r>
      <w:r w:rsidRPr="00221288" w:rsidR="00B332D5">
        <w:rPr>
          <w:rFonts w:ascii="Palatino Linotype" w:hAnsi="Palatino Linotype"/>
        </w:rPr>
        <w:t>websites</w:t>
      </w:r>
      <w:r w:rsidRPr="00221288" w:rsidR="00020FCA">
        <w:rPr>
          <w:rFonts w:ascii="Palatino Linotype" w:hAnsi="Palatino Linotype"/>
        </w:rPr>
        <w:t>.</w:t>
      </w:r>
    </w:p>
    <w:p w:rsidRPr="00221288" w:rsidR="00D07A2F" w:rsidP="007C01A4" w:rsidRDefault="00D07A2F" w14:paraId="069F78C7" w14:textId="77777777">
      <w:pPr>
        <w:rPr>
          <w:rFonts w:ascii="Palatino Linotype" w:hAnsi="Palatino Linotype"/>
        </w:rPr>
      </w:pPr>
    </w:p>
    <w:p w:rsidRPr="00221288" w:rsidR="00D07A2F" w:rsidP="000318F9" w:rsidRDefault="000318F9" w14:paraId="11D25074" w14:textId="652E67E1">
      <w:pPr>
        <w:pStyle w:val="Heading3"/>
        <w:rPr>
          <w:rFonts w:ascii="Palatino Linotype" w:hAnsi="Palatino Linotype"/>
        </w:rPr>
      </w:pPr>
      <w:r w:rsidRPr="00221288">
        <w:rPr>
          <w:rFonts w:ascii="Palatino Linotype" w:hAnsi="Palatino Linotype"/>
        </w:rPr>
        <w:t>Format and Content of Published Retail Export Compensation Rates</w:t>
      </w:r>
    </w:p>
    <w:p w:rsidRPr="00221288" w:rsidR="00094AF0" w:rsidP="00483950" w:rsidRDefault="00094AF0" w14:paraId="55C64900" w14:textId="77777777">
      <w:pPr>
        <w:rPr>
          <w:rFonts w:ascii="Palatino Linotype" w:hAnsi="Palatino Linotype"/>
        </w:rPr>
      </w:pPr>
    </w:p>
    <w:p w:rsidRPr="00221288" w:rsidR="000318F9" w:rsidP="002E111F" w:rsidRDefault="000318F9" w14:paraId="4B028D36" w14:textId="3B0DA6DB">
      <w:pPr>
        <w:rPr>
          <w:rFonts w:ascii="Palatino Linotype" w:hAnsi="Palatino Linotype"/>
        </w:rPr>
      </w:pPr>
      <w:r w:rsidRPr="00221288">
        <w:rPr>
          <w:rFonts w:ascii="Palatino Linotype" w:hAnsi="Palatino Linotype"/>
        </w:rPr>
        <w:t>CALSSA note</w:t>
      </w:r>
      <w:r w:rsidRPr="00221288" w:rsidR="004C0CD5">
        <w:rPr>
          <w:rFonts w:ascii="Palatino Linotype" w:hAnsi="Palatino Linotype"/>
        </w:rPr>
        <w:t>s</w:t>
      </w:r>
      <w:r w:rsidRPr="00221288">
        <w:rPr>
          <w:rFonts w:ascii="Palatino Linotype" w:hAnsi="Palatino Linotype"/>
        </w:rPr>
        <w:t xml:space="preserve"> </w:t>
      </w:r>
      <w:r w:rsidRPr="00221288" w:rsidR="0061613B">
        <w:rPr>
          <w:rFonts w:ascii="Palatino Linotype" w:hAnsi="Palatino Linotype"/>
        </w:rPr>
        <w:t xml:space="preserve">in </w:t>
      </w:r>
      <w:r w:rsidRPr="00221288">
        <w:rPr>
          <w:rFonts w:ascii="Palatino Linotype" w:hAnsi="Palatino Linotype"/>
        </w:rPr>
        <w:t xml:space="preserve">its </w:t>
      </w:r>
      <w:r w:rsidRPr="00221288" w:rsidR="00453BBB">
        <w:rPr>
          <w:rFonts w:ascii="Palatino Linotype" w:hAnsi="Palatino Linotype"/>
        </w:rPr>
        <w:t xml:space="preserve">initial </w:t>
      </w:r>
      <w:r w:rsidRPr="00221288">
        <w:rPr>
          <w:rFonts w:ascii="Palatino Linotype" w:hAnsi="Palatino Linotype"/>
        </w:rPr>
        <w:t xml:space="preserve">protest that the </w:t>
      </w:r>
      <w:r w:rsidRPr="00221288" w:rsidR="00453BBB">
        <w:rPr>
          <w:rFonts w:ascii="Palatino Linotype" w:hAnsi="Palatino Linotype"/>
        </w:rPr>
        <w:t>ALs</w:t>
      </w:r>
      <w:r w:rsidRPr="00221288" w:rsidR="00F7303C">
        <w:rPr>
          <w:rFonts w:ascii="Palatino Linotype" w:hAnsi="Palatino Linotype"/>
        </w:rPr>
        <w:t xml:space="preserve"> </w:t>
      </w:r>
      <w:r w:rsidRPr="00221288">
        <w:rPr>
          <w:rFonts w:ascii="Palatino Linotype" w:hAnsi="Palatino Linotype"/>
        </w:rPr>
        <w:t xml:space="preserve">provide different amounts of </w:t>
      </w:r>
      <w:r w:rsidRPr="00221288" w:rsidR="00410AC8">
        <w:rPr>
          <w:rFonts w:ascii="Palatino Linotype" w:hAnsi="Palatino Linotype"/>
        </w:rPr>
        <w:t xml:space="preserve">retail </w:t>
      </w:r>
      <w:r w:rsidRPr="00221288">
        <w:rPr>
          <w:rFonts w:ascii="Palatino Linotype" w:hAnsi="Palatino Linotype"/>
        </w:rPr>
        <w:t>export compensation rate data</w:t>
      </w:r>
      <w:r w:rsidRPr="00221288" w:rsidR="00D62012">
        <w:rPr>
          <w:rFonts w:ascii="Palatino Linotype" w:hAnsi="Palatino Linotype"/>
        </w:rPr>
        <w:t xml:space="preserve"> in different formats. CALSSA </w:t>
      </w:r>
      <w:r w:rsidRPr="00221288" w:rsidR="004C0CD5">
        <w:rPr>
          <w:rFonts w:ascii="Palatino Linotype" w:hAnsi="Palatino Linotype"/>
        </w:rPr>
        <w:t>proposes</w:t>
      </w:r>
      <w:r w:rsidRPr="00221288" w:rsidR="00B26DAF">
        <w:rPr>
          <w:rFonts w:ascii="Palatino Linotype" w:hAnsi="Palatino Linotype"/>
        </w:rPr>
        <w:t xml:space="preserve"> that to ensure transparency and consistency across utilities, each utility should post </w:t>
      </w:r>
      <w:r w:rsidRPr="00221288" w:rsidR="00410AC8">
        <w:rPr>
          <w:rFonts w:ascii="Palatino Linotype" w:hAnsi="Palatino Linotype"/>
        </w:rPr>
        <w:t xml:space="preserve">retail </w:t>
      </w:r>
      <w:r w:rsidRPr="00221288" w:rsidR="00B26DAF">
        <w:rPr>
          <w:rFonts w:ascii="Palatino Linotype" w:hAnsi="Palatino Linotype"/>
        </w:rPr>
        <w:t xml:space="preserve">export </w:t>
      </w:r>
      <w:r w:rsidRPr="00221288" w:rsidR="00410AC8">
        <w:rPr>
          <w:rFonts w:ascii="Palatino Linotype" w:hAnsi="Palatino Linotype"/>
        </w:rPr>
        <w:t>compensation</w:t>
      </w:r>
      <w:r w:rsidRPr="00221288" w:rsidR="00B26DAF">
        <w:rPr>
          <w:rFonts w:ascii="Palatino Linotype" w:hAnsi="Palatino Linotype"/>
        </w:rPr>
        <w:t xml:space="preserve"> rates for every year through 2050 on its website in downloadable</w:t>
      </w:r>
      <w:r w:rsidRPr="00221288" w:rsidR="00010194">
        <w:rPr>
          <w:rFonts w:ascii="Palatino Linotype" w:hAnsi="Palatino Linotype"/>
        </w:rPr>
        <w:t xml:space="preserve"> </w:t>
      </w:r>
      <w:r w:rsidRPr="00221288" w:rsidR="00B26DAF">
        <w:rPr>
          <w:rFonts w:ascii="Palatino Linotype" w:hAnsi="Palatino Linotype"/>
        </w:rPr>
        <w:t xml:space="preserve">.csv and .xml files. </w:t>
      </w:r>
      <w:r w:rsidRPr="00221288" w:rsidR="00A536F2">
        <w:rPr>
          <w:rFonts w:ascii="Palatino Linotype" w:hAnsi="Palatino Linotype"/>
        </w:rPr>
        <w:t xml:space="preserve">CALSSA </w:t>
      </w:r>
      <w:r w:rsidRPr="00221288" w:rsidR="004C0CD5">
        <w:rPr>
          <w:rFonts w:ascii="Palatino Linotype" w:hAnsi="Palatino Linotype"/>
        </w:rPr>
        <w:t>proposes</w:t>
      </w:r>
      <w:r w:rsidRPr="00221288" w:rsidR="00A536F2">
        <w:rPr>
          <w:rFonts w:ascii="Palatino Linotype" w:hAnsi="Palatino Linotype"/>
        </w:rPr>
        <w:t xml:space="preserve"> that t</w:t>
      </w:r>
      <w:r w:rsidRPr="00221288" w:rsidR="00B26DAF">
        <w:rPr>
          <w:rFonts w:ascii="Palatino Linotype" w:hAnsi="Palatino Linotype"/>
        </w:rPr>
        <w:t>he file</w:t>
      </w:r>
      <w:r w:rsidRPr="00221288" w:rsidR="003611CC">
        <w:rPr>
          <w:rFonts w:ascii="Palatino Linotype" w:hAnsi="Palatino Linotype"/>
        </w:rPr>
        <w:t>s</w:t>
      </w:r>
      <w:r w:rsidRPr="00221288" w:rsidR="00B26DAF">
        <w:rPr>
          <w:rFonts w:ascii="Palatino Linotype" w:hAnsi="Palatino Linotype"/>
        </w:rPr>
        <w:t xml:space="preserve"> should </w:t>
      </w:r>
      <w:r w:rsidRPr="00221288" w:rsidR="003611CC">
        <w:rPr>
          <w:rFonts w:ascii="Palatino Linotype" w:hAnsi="Palatino Linotype"/>
        </w:rPr>
        <w:t xml:space="preserve">all </w:t>
      </w:r>
      <w:r w:rsidRPr="00221288" w:rsidR="00B26DAF">
        <w:rPr>
          <w:rFonts w:ascii="Palatino Linotype" w:hAnsi="Palatino Linotype"/>
        </w:rPr>
        <w:t>be in single column structure,</w:t>
      </w:r>
      <w:r w:rsidRPr="00221288" w:rsidR="003611CC">
        <w:rPr>
          <w:rFonts w:ascii="Palatino Linotype" w:hAnsi="Palatino Linotype"/>
        </w:rPr>
        <w:t xml:space="preserve"> with</w:t>
      </w:r>
      <w:r w:rsidRPr="00221288" w:rsidR="00B26DAF">
        <w:rPr>
          <w:rFonts w:ascii="Palatino Linotype" w:hAnsi="Palatino Linotype"/>
        </w:rPr>
        <w:t xml:space="preserve"> the same column headings and number format</w:t>
      </w:r>
      <w:r w:rsidRPr="00221288" w:rsidR="003611CC">
        <w:rPr>
          <w:rFonts w:ascii="Palatino Linotype" w:hAnsi="Palatino Linotype"/>
        </w:rPr>
        <w:t>s, and in alignment</w:t>
      </w:r>
      <w:r w:rsidRPr="00221288" w:rsidR="00B26DAF">
        <w:rPr>
          <w:rFonts w:ascii="Palatino Linotype" w:hAnsi="Palatino Linotype"/>
        </w:rPr>
        <w:t xml:space="preserve"> with the format used</w:t>
      </w:r>
      <w:r w:rsidRPr="00221288" w:rsidR="003611CC">
        <w:rPr>
          <w:rFonts w:ascii="Palatino Linotype" w:hAnsi="Palatino Linotype"/>
        </w:rPr>
        <w:t xml:space="preserve"> </w:t>
      </w:r>
      <w:r w:rsidRPr="00221288" w:rsidR="00B26DAF">
        <w:rPr>
          <w:rFonts w:ascii="Palatino Linotype" w:hAnsi="Palatino Linotype"/>
        </w:rPr>
        <w:t>by the CEC Market Informed Demand Automation Server</w:t>
      </w:r>
      <w:r w:rsidRPr="00221288" w:rsidR="00D71374">
        <w:rPr>
          <w:rFonts w:ascii="Palatino Linotype" w:hAnsi="Palatino Linotype"/>
        </w:rPr>
        <w:t xml:space="preserve"> (MIDAS)</w:t>
      </w:r>
      <w:r w:rsidRPr="00221288" w:rsidR="009F29BB">
        <w:rPr>
          <w:rFonts w:ascii="Palatino Linotype" w:hAnsi="Palatino Linotype"/>
        </w:rPr>
        <w:t xml:space="preserve">; and that the format should stay up to date with </w:t>
      </w:r>
      <w:r w:rsidRPr="00221288" w:rsidR="00AD207A">
        <w:rPr>
          <w:rFonts w:ascii="Palatino Linotype" w:hAnsi="Palatino Linotype"/>
        </w:rPr>
        <w:t>MIDAS</w:t>
      </w:r>
      <w:r w:rsidRPr="00221288" w:rsidR="009F29BB">
        <w:rPr>
          <w:rFonts w:ascii="Palatino Linotype" w:hAnsi="Palatino Linotype"/>
        </w:rPr>
        <w:t xml:space="preserve"> as it evolves</w:t>
      </w:r>
      <w:r w:rsidRPr="00221288" w:rsidR="00B26DAF">
        <w:rPr>
          <w:rFonts w:ascii="Palatino Linotype" w:hAnsi="Palatino Linotype"/>
        </w:rPr>
        <w:t>.</w:t>
      </w:r>
    </w:p>
    <w:p w:rsidRPr="00221288" w:rsidR="00734035" w:rsidP="002E111F" w:rsidRDefault="00734035" w14:paraId="5BD5DBD5" w14:textId="77777777">
      <w:pPr>
        <w:rPr>
          <w:rFonts w:ascii="Palatino Linotype" w:hAnsi="Palatino Linotype"/>
        </w:rPr>
      </w:pPr>
    </w:p>
    <w:p w:rsidRPr="00221288" w:rsidR="00734035" w:rsidP="00995B7C" w:rsidRDefault="00CD26FF" w14:paraId="0583E090" w14:textId="007AD2D5">
      <w:pPr>
        <w:rPr>
          <w:rFonts w:ascii="Palatino Linotype" w:hAnsi="Palatino Linotype"/>
        </w:rPr>
      </w:pPr>
      <w:r w:rsidRPr="00221288">
        <w:rPr>
          <w:rFonts w:ascii="Palatino Linotype" w:hAnsi="Palatino Linotype"/>
        </w:rPr>
        <w:t>PG&amp;E</w:t>
      </w:r>
      <w:r w:rsidRPr="00221288" w:rsidR="009A71A3">
        <w:rPr>
          <w:rFonts w:ascii="Palatino Linotype" w:hAnsi="Palatino Linotype"/>
        </w:rPr>
        <w:t>’s reply</w:t>
      </w:r>
      <w:r w:rsidRPr="00221288">
        <w:rPr>
          <w:rFonts w:ascii="Palatino Linotype" w:hAnsi="Palatino Linotype"/>
        </w:rPr>
        <w:t xml:space="preserve"> d</w:t>
      </w:r>
      <w:r w:rsidRPr="00221288" w:rsidR="004C0CD5">
        <w:rPr>
          <w:rFonts w:ascii="Palatino Linotype" w:hAnsi="Palatino Linotype"/>
        </w:rPr>
        <w:t>oes</w:t>
      </w:r>
      <w:r w:rsidRPr="00221288">
        <w:rPr>
          <w:rFonts w:ascii="Palatino Linotype" w:hAnsi="Palatino Linotype"/>
        </w:rPr>
        <w:t xml:space="preserve"> not </w:t>
      </w:r>
      <w:r w:rsidRPr="00221288" w:rsidR="009A71A3">
        <w:rPr>
          <w:rFonts w:ascii="Palatino Linotype" w:hAnsi="Palatino Linotype"/>
        </w:rPr>
        <w:t>address</w:t>
      </w:r>
      <w:r w:rsidRPr="00221288" w:rsidR="00DD1140">
        <w:rPr>
          <w:rFonts w:ascii="Palatino Linotype" w:hAnsi="Palatino Linotype"/>
        </w:rPr>
        <w:t xml:space="preserve"> this topic.</w:t>
      </w:r>
      <w:r w:rsidRPr="00221288">
        <w:rPr>
          <w:rFonts w:ascii="Palatino Linotype" w:hAnsi="Palatino Linotype"/>
        </w:rPr>
        <w:t xml:space="preserve"> In its reply, SCE </w:t>
      </w:r>
      <w:r w:rsidRPr="00221288" w:rsidR="004C0CD5">
        <w:rPr>
          <w:rFonts w:ascii="Palatino Linotype" w:hAnsi="Palatino Linotype"/>
        </w:rPr>
        <w:t>agrees</w:t>
      </w:r>
      <w:r w:rsidRPr="00221288">
        <w:rPr>
          <w:rFonts w:ascii="Palatino Linotype" w:hAnsi="Palatino Linotype"/>
        </w:rPr>
        <w:t xml:space="preserve"> that the posting and presentation of </w:t>
      </w:r>
      <w:r w:rsidRPr="00221288" w:rsidR="00EB0426">
        <w:rPr>
          <w:rFonts w:ascii="Palatino Linotype" w:hAnsi="Palatino Linotype"/>
        </w:rPr>
        <w:t xml:space="preserve">retail </w:t>
      </w:r>
      <w:r w:rsidRPr="00221288" w:rsidR="00AB42E3">
        <w:rPr>
          <w:rFonts w:ascii="Palatino Linotype" w:hAnsi="Palatino Linotype"/>
        </w:rPr>
        <w:t>export compensation rates</w:t>
      </w:r>
      <w:r w:rsidRPr="00221288">
        <w:rPr>
          <w:rFonts w:ascii="Palatino Linotype" w:hAnsi="Palatino Linotype"/>
        </w:rPr>
        <w:t xml:space="preserve"> should be consistent across the utilities to provide easy access and transparency. SCE </w:t>
      </w:r>
      <w:r w:rsidRPr="00221288" w:rsidR="004C0CD5">
        <w:rPr>
          <w:rFonts w:ascii="Palatino Linotype" w:hAnsi="Palatino Linotype"/>
        </w:rPr>
        <w:t>states</w:t>
      </w:r>
      <w:r w:rsidRPr="00221288">
        <w:rPr>
          <w:rFonts w:ascii="Palatino Linotype" w:hAnsi="Palatino Linotype"/>
        </w:rPr>
        <w:t xml:space="preserve"> that it w</w:t>
      </w:r>
      <w:r w:rsidRPr="00221288" w:rsidR="004C0CD5">
        <w:rPr>
          <w:rFonts w:ascii="Palatino Linotype" w:hAnsi="Palatino Linotype"/>
        </w:rPr>
        <w:t>ill</w:t>
      </w:r>
      <w:r w:rsidRPr="00221288">
        <w:rPr>
          <w:rFonts w:ascii="Palatino Linotype" w:hAnsi="Palatino Linotype"/>
        </w:rPr>
        <w:t xml:space="preserve"> coordinate with PG&amp;E and SDG&amp;E to provide updated indicative </w:t>
      </w:r>
      <w:r w:rsidRPr="00221288" w:rsidR="00A371DA">
        <w:rPr>
          <w:rFonts w:ascii="Palatino Linotype" w:hAnsi="Palatino Linotype"/>
        </w:rPr>
        <w:t>rates</w:t>
      </w:r>
      <w:r w:rsidRPr="00221288">
        <w:rPr>
          <w:rFonts w:ascii="Palatino Linotype" w:hAnsi="Palatino Linotype"/>
        </w:rPr>
        <w:t xml:space="preserve"> in a consistent form.</w:t>
      </w:r>
      <w:r w:rsidRPr="00221288" w:rsidR="0081365B">
        <w:rPr>
          <w:rFonts w:ascii="Palatino Linotype" w:hAnsi="Palatino Linotype"/>
        </w:rPr>
        <w:t xml:space="preserve"> In its reply, SDG&amp;E </w:t>
      </w:r>
      <w:r w:rsidRPr="00221288" w:rsidR="004C0CD5">
        <w:rPr>
          <w:rFonts w:ascii="Palatino Linotype" w:hAnsi="Palatino Linotype"/>
        </w:rPr>
        <w:t xml:space="preserve">asserts </w:t>
      </w:r>
      <w:r w:rsidRPr="00221288" w:rsidR="00995B7C">
        <w:rPr>
          <w:rFonts w:ascii="Palatino Linotype" w:hAnsi="Palatino Linotype"/>
        </w:rPr>
        <w:t xml:space="preserve">that </w:t>
      </w:r>
      <w:r w:rsidRPr="00221288" w:rsidR="00583387">
        <w:rPr>
          <w:rFonts w:ascii="Palatino Linotype" w:hAnsi="Palatino Linotype"/>
        </w:rPr>
        <w:t xml:space="preserve">the utilities </w:t>
      </w:r>
      <w:r w:rsidRPr="00221288" w:rsidR="004C0CD5">
        <w:rPr>
          <w:rFonts w:ascii="Palatino Linotype" w:hAnsi="Palatino Linotype"/>
        </w:rPr>
        <w:t xml:space="preserve">need not </w:t>
      </w:r>
      <w:r w:rsidRPr="00221288" w:rsidR="00995B7C">
        <w:rPr>
          <w:rFonts w:ascii="Palatino Linotype" w:hAnsi="Palatino Linotype"/>
        </w:rPr>
        <w:t>present this data in a</w:t>
      </w:r>
      <w:r w:rsidRPr="00221288" w:rsidR="00583387">
        <w:rPr>
          <w:rFonts w:ascii="Palatino Linotype" w:hAnsi="Palatino Linotype"/>
        </w:rPr>
        <w:t>n identical</w:t>
      </w:r>
      <w:r w:rsidRPr="00221288" w:rsidR="00995B7C">
        <w:rPr>
          <w:rFonts w:ascii="Palatino Linotype" w:hAnsi="Palatino Linotype"/>
        </w:rPr>
        <w:t xml:space="preserve"> format</w:t>
      </w:r>
      <w:r w:rsidRPr="00221288" w:rsidR="00583387">
        <w:rPr>
          <w:rFonts w:ascii="Palatino Linotype" w:hAnsi="Palatino Linotype"/>
        </w:rPr>
        <w:t xml:space="preserve"> </w:t>
      </w:r>
      <w:r w:rsidRPr="00221288" w:rsidR="00583387">
        <w:rPr>
          <w:rFonts w:ascii="Palatino Linotype" w:hAnsi="Palatino Linotype"/>
        </w:rPr>
        <w:lastRenderedPageBreak/>
        <w:t>because e</w:t>
      </w:r>
      <w:r w:rsidRPr="00221288" w:rsidR="00995B7C">
        <w:rPr>
          <w:rFonts w:ascii="Palatino Linotype" w:hAnsi="Palatino Linotype"/>
        </w:rPr>
        <w:t xml:space="preserve">ach </w:t>
      </w:r>
      <w:r w:rsidRPr="00221288" w:rsidR="00583387">
        <w:rPr>
          <w:rFonts w:ascii="Palatino Linotype" w:hAnsi="Palatino Linotype"/>
        </w:rPr>
        <w:t xml:space="preserve">utility </w:t>
      </w:r>
      <w:r w:rsidRPr="00221288" w:rsidR="00995B7C">
        <w:rPr>
          <w:rFonts w:ascii="Palatino Linotype" w:hAnsi="Palatino Linotype"/>
        </w:rPr>
        <w:t>has different capabilities and customer operations and marketing</w:t>
      </w:r>
      <w:r w:rsidRPr="00221288" w:rsidR="00AD2311">
        <w:rPr>
          <w:rFonts w:ascii="Palatino Linotype" w:hAnsi="Palatino Linotype"/>
        </w:rPr>
        <w:t xml:space="preserve"> practices</w:t>
      </w:r>
      <w:r w:rsidRPr="00221288" w:rsidR="00995B7C">
        <w:rPr>
          <w:rFonts w:ascii="Palatino Linotype" w:hAnsi="Palatino Linotype"/>
        </w:rPr>
        <w:t>.</w:t>
      </w:r>
    </w:p>
    <w:p w:rsidRPr="00221288" w:rsidR="005820BD" w:rsidP="00995B7C" w:rsidRDefault="005820BD" w14:paraId="10D4AA87" w14:textId="77777777">
      <w:pPr>
        <w:rPr>
          <w:rFonts w:ascii="Palatino Linotype" w:hAnsi="Palatino Linotype"/>
        </w:rPr>
      </w:pPr>
    </w:p>
    <w:p w:rsidRPr="00221288" w:rsidR="005820BD" w:rsidP="00995B7C" w:rsidRDefault="005820BD" w14:paraId="6AB54FA8" w14:textId="7BCBD455">
      <w:pPr>
        <w:rPr>
          <w:rFonts w:ascii="Palatino Linotype" w:hAnsi="Palatino Linotype"/>
        </w:rPr>
      </w:pPr>
      <w:r w:rsidRPr="00221288">
        <w:rPr>
          <w:rFonts w:ascii="Palatino Linotype" w:hAnsi="Palatino Linotype"/>
        </w:rPr>
        <w:t>In its protest to the supplemental ALs, CALSSA note</w:t>
      </w:r>
      <w:r w:rsidRPr="00221288" w:rsidR="004C0CD5">
        <w:rPr>
          <w:rFonts w:ascii="Palatino Linotype" w:hAnsi="Palatino Linotype"/>
        </w:rPr>
        <w:t>s</w:t>
      </w:r>
      <w:r w:rsidRPr="00221288">
        <w:rPr>
          <w:rFonts w:ascii="Palatino Linotype" w:hAnsi="Palatino Linotype"/>
        </w:rPr>
        <w:t xml:space="preserve"> that </w:t>
      </w:r>
      <w:r w:rsidRPr="00221288" w:rsidR="004C0CD5">
        <w:rPr>
          <w:rFonts w:ascii="Palatino Linotype" w:hAnsi="Palatino Linotype"/>
        </w:rPr>
        <w:t>only</w:t>
      </w:r>
      <w:r w:rsidRPr="00221288" w:rsidR="0002285D">
        <w:rPr>
          <w:rFonts w:ascii="Palatino Linotype" w:hAnsi="Palatino Linotype"/>
        </w:rPr>
        <w:t xml:space="preserve"> SCE</w:t>
      </w:r>
      <w:r w:rsidRPr="00221288" w:rsidR="004C0CD5">
        <w:rPr>
          <w:rFonts w:ascii="Palatino Linotype" w:hAnsi="Palatino Linotype"/>
        </w:rPr>
        <w:t>’s</w:t>
      </w:r>
      <w:r w:rsidRPr="00221288" w:rsidR="0002285D">
        <w:rPr>
          <w:rFonts w:ascii="Palatino Linotype" w:hAnsi="Palatino Linotype"/>
        </w:rPr>
        <w:t xml:space="preserve"> supplemental AL</w:t>
      </w:r>
      <w:r w:rsidRPr="00221288" w:rsidR="004C0CD5">
        <w:rPr>
          <w:rFonts w:ascii="Palatino Linotype" w:hAnsi="Palatino Linotype"/>
        </w:rPr>
        <w:t xml:space="preserve"> states </w:t>
      </w:r>
      <w:r w:rsidRPr="00221288" w:rsidR="003F0F80">
        <w:rPr>
          <w:rFonts w:ascii="Palatino Linotype" w:hAnsi="Palatino Linotype"/>
        </w:rPr>
        <w:t xml:space="preserve">that the </w:t>
      </w:r>
      <w:r w:rsidRPr="00221288" w:rsidR="004C0CD5">
        <w:rPr>
          <w:rFonts w:ascii="Palatino Linotype" w:hAnsi="Palatino Linotype"/>
        </w:rPr>
        <w:t>utilities</w:t>
      </w:r>
      <w:r w:rsidRPr="00221288" w:rsidR="003F0F80">
        <w:rPr>
          <w:rFonts w:ascii="Palatino Linotype" w:hAnsi="Palatino Linotype"/>
        </w:rPr>
        <w:t xml:space="preserve"> will provide and post </w:t>
      </w:r>
      <w:r w:rsidRPr="00221288" w:rsidR="00DC2759">
        <w:rPr>
          <w:rFonts w:ascii="Palatino Linotype" w:hAnsi="Palatino Linotype"/>
        </w:rPr>
        <w:t xml:space="preserve">updated indicative </w:t>
      </w:r>
      <w:r w:rsidRPr="00221288" w:rsidR="00A443D6">
        <w:rPr>
          <w:rFonts w:ascii="Palatino Linotype" w:hAnsi="Palatino Linotype"/>
        </w:rPr>
        <w:t xml:space="preserve">retail </w:t>
      </w:r>
      <w:r w:rsidRPr="00221288" w:rsidR="00DC2759">
        <w:rPr>
          <w:rFonts w:ascii="Palatino Linotype" w:hAnsi="Palatino Linotype"/>
        </w:rPr>
        <w:t xml:space="preserve">export </w:t>
      </w:r>
      <w:r w:rsidRPr="00221288" w:rsidR="00A443D6">
        <w:rPr>
          <w:rFonts w:ascii="Palatino Linotype" w:hAnsi="Palatino Linotype"/>
        </w:rPr>
        <w:t>compensation rates</w:t>
      </w:r>
      <w:r w:rsidRPr="00221288" w:rsidR="00DC2759">
        <w:rPr>
          <w:rFonts w:ascii="Palatino Linotype" w:hAnsi="Palatino Linotype"/>
        </w:rPr>
        <w:t xml:space="preserve"> in a consistent form</w:t>
      </w:r>
      <w:r w:rsidRPr="00221288" w:rsidR="000C18AC">
        <w:rPr>
          <w:rFonts w:ascii="Palatino Linotype" w:hAnsi="Palatino Linotype"/>
        </w:rPr>
        <w:t xml:space="preserve">. </w:t>
      </w:r>
      <w:r w:rsidRPr="00221288" w:rsidR="00CA74CC">
        <w:rPr>
          <w:rFonts w:ascii="Palatino Linotype" w:hAnsi="Palatino Linotype"/>
        </w:rPr>
        <w:t xml:space="preserve">CALSSA </w:t>
      </w:r>
      <w:r w:rsidRPr="00221288" w:rsidR="004C0CD5">
        <w:rPr>
          <w:rFonts w:ascii="Palatino Linotype" w:hAnsi="Palatino Linotype"/>
        </w:rPr>
        <w:t>argues</w:t>
      </w:r>
      <w:r w:rsidRPr="00221288" w:rsidR="00051912">
        <w:rPr>
          <w:rFonts w:ascii="Palatino Linotype" w:hAnsi="Palatino Linotype"/>
        </w:rPr>
        <w:t xml:space="preserve"> that inconsistent data formats would cause complications for </w:t>
      </w:r>
      <w:r w:rsidRPr="00221288" w:rsidR="00E769D2">
        <w:rPr>
          <w:rFonts w:ascii="Palatino Linotype" w:hAnsi="Palatino Linotype"/>
        </w:rPr>
        <w:t xml:space="preserve">solar and storage contractors and other </w:t>
      </w:r>
      <w:r w:rsidRPr="00221288" w:rsidR="00CD2D0E">
        <w:rPr>
          <w:rFonts w:ascii="Palatino Linotype" w:hAnsi="Palatino Linotype"/>
        </w:rPr>
        <w:t>service providers</w:t>
      </w:r>
      <w:r w:rsidRPr="00221288" w:rsidR="004F6337">
        <w:rPr>
          <w:rFonts w:ascii="Palatino Linotype" w:hAnsi="Palatino Linotype"/>
        </w:rPr>
        <w:t xml:space="preserve">, and </w:t>
      </w:r>
      <w:r w:rsidRPr="00221288" w:rsidR="004C0CD5">
        <w:rPr>
          <w:rFonts w:ascii="Palatino Linotype" w:hAnsi="Palatino Linotype"/>
        </w:rPr>
        <w:t>proposes</w:t>
      </w:r>
      <w:r w:rsidRPr="00221288" w:rsidR="004F6337">
        <w:rPr>
          <w:rFonts w:ascii="Palatino Linotype" w:hAnsi="Palatino Linotype"/>
        </w:rPr>
        <w:t xml:space="preserve"> that the Commission </w:t>
      </w:r>
      <w:r w:rsidRPr="00221288" w:rsidR="00D8273B">
        <w:rPr>
          <w:rFonts w:ascii="Palatino Linotype" w:hAnsi="Palatino Linotype"/>
        </w:rPr>
        <w:t xml:space="preserve">schedule a workshop to </w:t>
      </w:r>
      <w:r w:rsidRPr="00221288" w:rsidR="00AD2311">
        <w:rPr>
          <w:rFonts w:ascii="Palatino Linotype" w:hAnsi="Palatino Linotype"/>
        </w:rPr>
        <w:t>find</w:t>
      </w:r>
      <w:r w:rsidRPr="00221288" w:rsidR="00D8273B">
        <w:rPr>
          <w:rFonts w:ascii="Palatino Linotype" w:hAnsi="Palatino Linotype"/>
        </w:rPr>
        <w:t xml:space="preserve"> agreement on a common data format </w:t>
      </w:r>
      <w:r w:rsidRPr="00221288" w:rsidR="003247CA">
        <w:rPr>
          <w:rFonts w:ascii="Palatino Linotype" w:hAnsi="Palatino Linotype"/>
        </w:rPr>
        <w:t xml:space="preserve">in advance of the 2024 decision on the </w:t>
      </w:r>
      <w:r w:rsidRPr="00221288" w:rsidR="00B14463">
        <w:rPr>
          <w:rFonts w:ascii="Palatino Linotype" w:hAnsi="Palatino Linotype"/>
        </w:rPr>
        <w:t>ACC</w:t>
      </w:r>
      <w:r w:rsidRPr="00221288" w:rsidR="003247CA">
        <w:rPr>
          <w:rFonts w:ascii="Palatino Linotype" w:hAnsi="Palatino Linotype"/>
        </w:rPr>
        <w:t>.</w:t>
      </w:r>
    </w:p>
    <w:p w:rsidRPr="00221288" w:rsidR="001A0A07" w:rsidP="00995B7C" w:rsidRDefault="001A0A07" w14:paraId="75E6E2A8" w14:textId="77777777">
      <w:pPr>
        <w:rPr>
          <w:rFonts w:ascii="Palatino Linotype" w:hAnsi="Palatino Linotype"/>
        </w:rPr>
      </w:pPr>
    </w:p>
    <w:p w:rsidRPr="00221288" w:rsidR="001A0A07" w:rsidP="00995B7C" w:rsidRDefault="001A0A07" w14:paraId="326481DF" w14:textId="46A22D08">
      <w:pPr>
        <w:rPr>
          <w:rFonts w:ascii="Palatino Linotype" w:hAnsi="Palatino Linotype"/>
        </w:rPr>
      </w:pPr>
      <w:r w:rsidRPr="00221288">
        <w:rPr>
          <w:rFonts w:ascii="Palatino Linotype" w:hAnsi="Palatino Linotype"/>
        </w:rPr>
        <w:t xml:space="preserve">In its reply to CALSSA’s </w:t>
      </w:r>
      <w:r w:rsidRPr="00221288" w:rsidR="004C0CD5">
        <w:rPr>
          <w:rFonts w:ascii="Palatino Linotype" w:hAnsi="Palatino Linotype"/>
        </w:rPr>
        <w:t>supplemental protest</w:t>
      </w:r>
      <w:r w:rsidRPr="00221288">
        <w:rPr>
          <w:rFonts w:ascii="Palatino Linotype" w:hAnsi="Palatino Linotype"/>
        </w:rPr>
        <w:t xml:space="preserve">, PG&amp;E </w:t>
      </w:r>
      <w:r w:rsidRPr="00221288" w:rsidR="004C0CD5">
        <w:rPr>
          <w:rFonts w:ascii="Palatino Linotype" w:hAnsi="Palatino Linotype"/>
        </w:rPr>
        <w:t>asserts</w:t>
      </w:r>
      <w:r w:rsidRPr="00221288">
        <w:rPr>
          <w:rFonts w:ascii="Palatino Linotype" w:hAnsi="Palatino Linotype"/>
        </w:rPr>
        <w:t xml:space="preserve"> that CALSSA’s request for a </w:t>
      </w:r>
      <w:r w:rsidRPr="00221288" w:rsidR="007116EB">
        <w:rPr>
          <w:rFonts w:ascii="Palatino Linotype" w:hAnsi="Palatino Linotype"/>
        </w:rPr>
        <w:t>workshop</w:t>
      </w:r>
      <w:r w:rsidRPr="00221288">
        <w:rPr>
          <w:rFonts w:ascii="Palatino Linotype" w:hAnsi="Palatino Linotype"/>
        </w:rPr>
        <w:t xml:space="preserve"> would more appropriately be made in R.22-11-013 as part of the ACC update process.</w:t>
      </w:r>
    </w:p>
    <w:p w:rsidRPr="00221288" w:rsidR="00DD1140" w:rsidP="002E111F" w:rsidRDefault="00DD1140" w14:paraId="6F8A3B3C" w14:textId="77777777">
      <w:pPr>
        <w:rPr>
          <w:rFonts w:ascii="Palatino Linotype" w:hAnsi="Palatino Linotype"/>
        </w:rPr>
      </w:pPr>
    </w:p>
    <w:p w:rsidRPr="00221288" w:rsidR="00AE119B" w:rsidP="00AE119B" w:rsidRDefault="00726A9F" w14:paraId="6C231F8E" w14:textId="1365B4A9">
      <w:pPr>
        <w:pStyle w:val="Heading3"/>
        <w:rPr>
          <w:rFonts w:ascii="Palatino Linotype" w:hAnsi="Palatino Linotype"/>
        </w:rPr>
      </w:pPr>
      <w:r w:rsidRPr="00221288">
        <w:rPr>
          <w:rFonts w:ascii="Palatino Linotype" w:hAnsi="Palatino Linotype"/>
        </w:rPr>
        <w:t>Separate</w:t>
      </w:r>
      <w:r w:rsidRPr="00221288" w:rsidR="00641B8D">
        <w:rPr>
          <w:rFonts w:ascii="Palatino Linotype" w:hAnsi="Palatino Linotype"/>
        </w:rPr>
        <w:t xml:space="preserve"> </w:t>
      </w:r>
      <w:r w:rsidRPr="00221288" w:rsidR="0098390C">
        <w:rPr>
          <w:rFonts w:ascii="Palatino Linotype" w:hAnsi="Palatino Linotype"/>
        </w:rPr>
        <w:t>A</w:t>
      </w:r>
      <w:r w:rsidRPr="00221288" w:rsidR="00641B8D">
        <w:rPr>
          <w:rFonts w:ascii="Palatino Linotype" w:hAnsi="Palatino Linotype"/>
        </w:rPr>
        <w:t xml:space="preserve">pplication of </w:t>
      </w:r>
      <w:r w:rsidRPr="00221288" w:rsidR="0098390C">
        <w:rPr>
          <w:rFonts w:ascii="Palatino Linotype" w:hAnsi="Palatino Linotype"/>
        </w:rPr>
        <w:t>G</w:t>
      </w:r>
      <w:r w:rsidRPr="00221288" w:rsidR="00641B8D">
        <w:rPr>
          <w:rFonts w:ascii="Palatino Linotype" w:hAnsi="Palatino Linotype"/>
        </w:rPr>
        <w:t>eneration</w:t>
      </w:r>
      <w:r w:rsidRPr="00221288" w:rsidR="00392130">
        <w:rPr>
          <w:rFonts w:ascii="Palatino Linotype" w:hAnsi="Palatino Linotype"/>
        </w:rPr>
        <w:t xml:space="preserve">- and </w:t>
      </w:r>
      <w:r w:rsidRPr="00221288" w:rsidR="0098390C">
        <w:rPr>
          <w:rFonts w:ascii="Palatino Linotype" w:hAnsi="Palatino Linotype"/>
        </w:rPr>
        <w:t>D</w:t>
      </w:r>
      <w:r w:rsidRPr="00221288" w:rsidR="00392130">
        <w:rPr>
          <w:rFonts w:ascii="Palatino Linotype" w:hAnsi="Palatino Linotype"/>
        </w:rPr>
        <w:t>elivery-</w:t>
      </w:r>
      <w:r w:rsidRPr="00221288" w:rsidR="0098390C">
        <w:rPr>
          <w:rFonts w:ascii="Palatino Linotype" w:hAnsi="Palatino Linotype"/>
        </w:rPr>
        <w:t>R</w:t>
      </w:r>
      <w:r w:rsidRPr="00221288" w:rsidR="00392130">
        <w:rPr>
          <w:rFonts w:ascii="Palatino Linotype" w:hAnsi="Palatino Linotype"/>
        </w:rPr>
        <w:t xml:space="preserve">elated </w:t>
      </w:r>
      <w:r w:rsidRPr="00221288" w:rsidR="0098390C">
        <w:rPr>
          <w:rFonts w:ascii="Palatino Linotype" w:hAnsi="Palatino Linotype"/>
        </w:rPr>
        <w:t>B</w:t>
      </w:r>
      <w:r w:rsidRPr="00221288" w:rsidR="00392130">
        <w:rPr>
          <w:rFonts w:ascii="Palatino Linotype" w:hAnsi="Palatino Linotype"/>
        </w:rPr>
        <w:t xml:space="preserve">ill </w:t>
      </w:r>
      <w:r w:rsidRPr="00221288" w:rsidR="0098390C">
        <w:rPr>
          <w:rFonts w:ascii="Palatino Linotype" w:hAnsi="Palatino Linotype"/>
        </w:rPr>
        <w:t>C</w:t>
      </w:r>
      <w:r w:rsidRPr="00221288" w:rsidR="00392130">
        <w:rPr>
          <w:rFonts w:ascii="Palatino Linotype" w:hAnsi="Palatino Linotype"/>
        </w:rPr>
        <w:t>redits</w:t>
      </w:r>
    </w:p>
    <w:p w:rsidRPr="00221288" w:rsidR="00067476" w:rsidP="00067476" w:rsidRDefault="00067476" w14:paraId="27E8C86A" w14:textId="77777777">
      <w:pPr>
        <w:rPr>
          <w:rFonts w:ascii="Palatino Linotype" w:hAnsi="Palatino Linotype"/>
        </w:rPr>
      </w:pPr>
    </w:p>
    <w:p w:rsidRPr="00221288" w:rsidR="00726A9F" w:rsidP="0011601C" w:rsidRDefault="00726A9F" w14:paraId="2FA798D5" w14:textId="795745FA">
      <w:pPr>
        <w:rPr>
          <w:rFonts w:ascii="Palatino Linotype" w:hAnsi="Palatino Linotype"/>
        </w:rPr>
      </w:pPr>
      <w:r w:rsidRPr="00221288">
        <w:rPr>
          <w:rFonts w:ascii="Palatino Linotype" w:hAnsi="Palatino Linotype"/>
        </w:rPr>
        <w:t xml:space="preserve">In its </w:t>
      </w:r>
      <w:r w:rsidRPr="00221288" w:rsidR="00196419">
        <w:rPr>
          <w:rFonts w:ascii="Palatino Linotype" w:hAnsi="Palatino Linotype"/>
        </w:rPr>
        <w:t>initial</w:t>
      </w:r>
      <w:r w:rsidRPr="00221288">
        <w:rPr>
          <w:rFonts w:ascii="Palatino Linotype" w:hAnsi="Palatino Linotype"/>
        </w:rPr>
        <w:t xml:space="preserve"> protest, CALSSA </w:t>
      </w:r>
      <w:r w:rsidRPr="00221288" w:rsidR="00E11482">
        <w:rPr>
          <w:rFonts w:ascii="Palatino Linotype" w:hAnsi="Palatino Linotype"/>
        </w:rPr>
        <w:t>states</w:t>
      </w:r>
      <w:r w:rsidRPr="00221288">
        <w:rPr>
          <w:rFonts w:ascii="Palatino Linotype" w:hAnsi="Palatino Linotype"/>
        </w:rPr>
        <w:t xml:space="preserve"> that PG&amp;E and SDG&amp;E propose to limit </w:t>
      </w:r>
      <w:r w:rsidR="00666674">
        <w:rPr>
          <w:rFonts w:ascii="Palatino Linotype" w:hAnsi="Palatino Linotype"/>
        </w:rPr>
        <w:br/>
      </w:r>
      <w:r w:rsidRPr="00221288">
        <w:rPr>
          <w:rFonts w:ascii="Palatino Linotype" w:hAnsi="Palatino Linotype"/>
        </w:rPr>
        <w:t xml:space="preserve">delivery-related </w:t>
      </w:r>
      <w:r w:rsidRPr="00221288" w:rsidR="00392130">
        <w:rPr>
          <w:rFonts w:ascii="Palatino Linotype" w:hAnsi="Palatino Linotype"/>
        </w:rPr>
        <w:t xml:space="preserve">retail </w:t>
      </w:r>
      <w:r w:rsidRPr="00221288">
        <w:rPr>
          <w:rFonts w:ascii="Palatino Linotype" w:hAnsi="Palatino Linotype"/>
        </w:rPr>
        <w:t xml:space="preserve">export </w:t>
      </w:r>
      <w:r w:rsidRPr="00221288" w:rsidR="00392130">
        <w:rPr>
          <w:rFonts w:ascii="Palatino Linotype" w:hAnsi="Palatino Linotype"/>
        </w:rPr>
        <w:t xml:space="preserve">compensation </w:t>
      </w:r>
      <w:r w:rsidRPr="00221288">
        <w:rPr>
          <w:rFonts w:ascii="Palatino Linotype" w:hAnsi="Palatino Linotype"/>
        </w:rPr>
        <w:t xml:space="preserve">credits to offsetting delivery-related charges and to limit generation-related credits to offsetting generation-related charges. </w:t>
      </w:r>
      <w:r w:rsidRPr="00221288" w:rsidR="00BD0AAA">
        <w:rPr>
          <w:rFonts w:ascii="Palatino Linotype" w:hAnsi="Palatino Linotype"/>
        </w:rPr>
        <w:t xml:space="preserve">For example, </w:t>
      </w:r>
      <w:r w:rsidRPr="00221288" w:rsidR="00EC4DDA">
        <w:rPr>
          <w:rFonts w:ascii="Palatino Linotype" w:hAnsi="Palatino Linotype"/>
        </w:rPr>
        <w:t>the value</w:t>
      </w:r>
      <w:r w:rsidRPr="00221288" w:rsidR="00B373B9">
        <w:rPr>
          <w:rFonts w:ascii="Palatino Linotype" w:hAnsi="Palatino Linotype"/>
        </w:rPr>
        <w:t xml:space="preserve"> of avoided </w:t>
      </w:r>
      <w:r w:rsidRPr="00221288" w:rsidR="00903C90">
        <w:rPr>
          <w:rFonts w:ascii="Palatino Linotype" w:hAnsi="Palatino Linotype"/>
        </w:rPr>
        <w:t>procurement costs</w:t>
      </w:r>
      <w:r w:rsidRPr="00221288" w:rsidR="00B373B9">
        <w:rPr>
          <w:rFonts w:ascii="Palatino Linotype" w:hAnsi="Palatino Linotype"/>
        </w:rPr>
        <w:t xml:space="preserve"> in the </w:t>
      </w:r>
      <w:r w:rsidRPr="00221288" w:rsidR="00BD0AAA">
        <w:rPr>
          <w:rFonts w:ascii="Palatino Linotype" w:hAnsi="Palatino Linotype"/>
        </w:rPr>
        <w:t>ACC</w:t>
      </w:r>
      <w:r w:rsidRPr="00221288" w:rsidR="00B373B9">
        <w:rPr>
          <w:rFonts w:ascii="Palatino Linotype" w:hAnsi="Palatino Linotype"/>
        </w:rPr>
        <w:t>, and thus</w:t>
      </w:r>
      <w:r w:rsidRPr="00221288" w:rsidR="000236C7">
        <w:rPr>
          <w:rFonts w:ascii="Palatino Linotype" w:hAnsi="Palatino Linotype"/>
        </w:rPr>
        <w:t xml:space="preserve"> in the </w:t>
      </w:r>
      <w:r w:rsidRPr="00221288" w:rsidR="008564CE">
        <w:rPr>
          <w:rFonts w:ascii="Palatino Linotype" w:hAnsi="Palatino Linotype"/>
        </w:rPr>
        <w:t>retail export compensation rate,</w:t>
      </w:r>
      <w:r w:rsidRPr="00221288" w:rsidDel="00B373B9" w:rsidR="00BD0AAA">
        <w:rPr>
          <w:rFonts w:ascii="Palatino Linotype" w:hAnsi="Palatino Linotype"/>
        </w:rPr>
        <w:t xml:space="preserve"> </w:t>
      </w:r>
      <w:r w:rsidRPr="00221288" w:rsidR="00BD0AAA">
        <w:rPr>
          <w:rFonts w:ascii="Palatino Linotype" w:hAnsi="Palatino Linotype"/>
        </w:rPr>
        <w:t xml:space="preserve">would only be able to offset the customer’s </w:t>
      </w:r>
      <w:r w:rsidRPr="00221288" w:rsidR="00903C90">
        <w:rPr>
          <w:rFonts w:ascii="Palatino Linotype" w:hAnsi="Palatino Linotype"/>
        </w:rPr>
        <w:t>generation</w:t>
      </w:r>
      <w:r w:rsidRPr="00221288" w:rsidR="00BD0AAA">
        <w:rPr>
          <w:rFonts w:ascii="Palatino Linotype" w:hAnsi="Palatino Linotype"/>
        </w:rPr>
        <w:t xml:space="preserve"> charges. </w:t>
      </w:r>
      <w:r w:rsidRPr="00221288" w:rsidR="00A27BA1">
        <w:rPr>
          <w:rFonts w:ascii="Palatino Linotype" w:hAnsi="Palatino Linotype"/>
        </w:rPr>
        <w:t xml:space="preserve">CALSSA </w:t>
      </w:r>
      <w:r w:rsidRPr="00221288" w:rsidR="00901F6B">
        <w:rPr>
          <w:rFonts w:ascii="Palatino Linotype" w:hAnsi="Palatino Linotype"/>
        </w:rPr>
        <w:t>asserts</w:t>
      </w:r>
      <w:r w:rsidRPr="00221288" w:rsidR="00F7480F">
        <w:rPr>
          <w:rFonts w:ascii="Palatino Linotype" w:hAnsi="Palatino Linotype"/>
        </w:rPr>
        <w:t xml:space="preserve"> that D.22-12-056 </w:t>
      </w:r>
      <w:r w:rsidRPr="00221288" w:rsidR="00FF012F">
        <w:rPr>
          <w:rFonts w:ascii="Palatino Linotype" w:hAnsi="Palatino Linotype"/>
        </w:rPr>
        <w:t>require</w:t>
      </w:r>
      <w:r w:rsidRPr="00221288" w:rsidR="006E4F44">
        <w:rPr>
          <w:rFonts w:ascii="Palatino Linotype" w:hAnsi="Palatino Linotype"/>
        </w:rPr>
        <w:t>s</w:t>
      </w:r>
      <w:r w:rsidRPr="00221288" w:rsidR="00F7480F">
        <w:rPr>
          <w:rFonts w:ascii="Palatino Linotype" w:hAnsi="Palatino Linotype"/>
        </w:rPr>
        <w:t xml:space="preserve"> separate</w:t>
      </w:r>
      <w:r w:rsidRPr="00221288" w:rsidR="00423F78">
        <w:rPr>
          <w:rFonts w:ascii="Palatino Linotype" w:hAnsi="Palatino Linotype"/>
        </w:rPr>
        <w:t xml:space="preserve"> data</w:t>
      </w:r>
      <w:r w:rsidRPr="00221288" w:rsidR="00F7480F">
        <w:rPr>
          <w:rFonts w:ascii="Palatino Linotype" w:hAnsi="Palatino Linotype"/>
        </w:rPr>
        <w:t xml:space="preserve"> </w:t>
      </w:r>
      <w:r w:rsidRPr="00221288" w:rsidR="00FF012F">
        <w:rPr>
          <w:rFonts w:ascii="Palatino Linotype" w:hAnsi="Palatino Linotype"/>
        </w:rPr>
        <w:t xml:space="preserve">columns for </w:t>
      </w:r>
      <w:r w:rsidR="00666674">
        <w:rPr>
          <w:rFonts w:ascii="Palatino Linotype" w:hAnsi="Palatino Linotype"/>
        </w:rPr>
        <w:br/>
      </w:r>
      <w:r w:rsidRPr="00221288" w:rsidR="00FF012F">
        <w:rPr>
          <w:rFonts w:ascii="Palatino Linotype" w:hAnsi="Palatino Linotype"/>
        </w:rPr>
        <w:t>delivery-related and energy-related portions of the retail export</w:t>
      </w:r>
      <w:r w:rsidRPr="00221288" w:rsidR="00392130">
        <w:rPr>
          <w:rFonts w:ascii="Palatino Linotype" w:hAnsi="Palatino Linotype"/>
        </w:rPr>
        <w:t xml:space="preserve"> </w:t>
      </w:r>
      <w:r w:rsidRPr="00221288" w:rsidR="00FF012F">
        <w:rPr>
          <w:rFonts w:ascii="Palatino Linotype" w:hAnsi="Palatino Linotype"/>
        </w:rPr>
        <w:t xml:space="preserve">compensation rate </w:t>
      </w:r>
      <w:r w:rsidRPr="00221288" w:rsidR="00423F78">
        <w:rPr>
          <w:rFonts w:ascii="Palatino Linotype" w:hAnsi="Palatino Linotype"/>
        </w:rPr>
        <w:t>only</w:t>
      </w:r>
      <w:r w:rsidRPr="00221288" w:rsidR="00F7480F">
        <w:rPr>
          <w:rFonts w:ascii="Palatino Linotype" w:hAnsi="Palatino Linotype"/>
        </w:rPr>
        <w:t xml:space="preserve"> to accommodate unbundled customers. </w:t>
      </w:r>
      <w:r w:rsidRPr="00221288" w:rsidR="00423F78">
        <w:rPr>
          <w:rFonts w:ascii="Palatino Linotype" w:hAnsi="Palatino Linotype"/>
        </w:rPr>
        <w:t xml:space="preserve">CALSSA </w:t>
      </w:r>
      <w:r w:rsidRPr="00221288" w:rsidR="00AE4E31">
        <w:rPr>
          <w:rFonts w:ascii="Palatino Linotype" w:hAnsi="Palatino Linotype"/>
        </w:rPr>
        <w:t>concludes</w:t>
      </w:r>
      <w:r w:rsidRPr="00221288" w:rsidR="006F22AE">
        <w:rPr>
          <w:rFonts w:ascii="Palatino Linotype" w:hAnsi="Palatino Linotype"/>
        </w:rPr>
        <w:t xml:space="preserve"> that since b</w:t>
      </w:r>
      <w:r w:rsidRPr="00221288" w:rsidR="00F7480F">
        <w:rPr>
          <w:rFonts w:ascii="Palatino Linotype" w:hAnsi="Palatino Linotype"/>
        </w:rPr>
        <w:t>undled customers receive</w:t>
      </w:r>
      <w:r w:rsidRPr="00221288" w:rsidR="006F22AE">
        <w:rPr>
          <w:rFonts w:ascii="Palatino Linotype" w:hAnsi="Palatino Linotype"/>
        </w:rPr>
        <w:t xml:space="preserve"> </w:t>
      </w:r>
      <w:r w:rsidRPr="00221288" w:rsidR="00F7480F">
        <w:rPr>
          <w:rFonts w:ascii="Palatino Linotype" w:hAnsi="Palatino Linotype"/>
        </w:rPr>
        <w:t xml:space="preserve">both types of credits from the </w:t>
      </w:r>
      <w:r w:rsidRPr="00221288" w:rsidR="006F22AE">
        <w:rPr>
          <w:rFonts w:ascii="Palatino Linotype" w:hAnsi="Palatino Linotype"/>
        </w:rPr>
        <w:t>utility</w:t>
      </w:r>
      <w:r w:rsidRPr="00221288" w:rsidR="00F7480F">
        <w:rPr>
          <w:rFonts w:ascii="Palatino Linotype" w:hAnsi="Palatino Linotype"/>
        </w:rPr>
        <w:t>, there is no need to apply them independently.</w:t>
      </w:r>
      <w:r w:rsidRPr="00221288" w:rsidR="006F22AE">
        <w:rPr>
          <w:rFonts w:ascii="Palatino Linotype" w:hAnsi="Palatino Linotype"/>
        </w:rPr>
        <w:t xml:space="preserve"> CALSSA </w:t>
      </w:r>
      <w:r w:rsidRPr="00221288" w:rsidR="001C0412">
        <w:rPr>
          <w:rFonts w:ascii="Palatino Linotype" w:hAnsi="Palatino Linotype"/>
        </w:rPr>
        <w:t>argues</w:t>
      </w:r>
      <w:r w:rsidRPr="00221288" w:rsidR="0015438C">
        <w:rPr>
          <w:rFonts w:ascii="Palatino Linotype" w:hAnsi="Palatino Linotype"/>
        </w:rPr>
        <w:t xml:space="preserve"> that </w:t>
      </w:r>
      <w:r w:rsidRPr="00221288" w:rsidR="0011601C">
        <w:rPr>
          <w:rFonts w:ascii="Palatino Linotype" w:hAnsi="Palatino Linotype"/>
        </w:rPr>
        <w:t>if bill credit value exists</w:t>
      </w:r>
      <w:r w:rsidRPr="00221288" w:rsidR="00F7480F">
        <w:rPr>
          <w:rFonts w:ascii="Palatino Linotype" w:hAnsi="Palatino Linotype"/>
        </w:rPr>
        <w:t xml:space="preserve"> disproportionately in either the energy or delivery side, customers responding to the</w:t>
      </w:r>
      <w:r w:rsidRPr="00221288" w:rsidR="00392130">
        <w:rPr>
          <w:rFonts w:ascii="Palatino Linotype" w:hAnsi="Palatino Linotype"/>
        </w:rPr>
        <w:t xml:space="preserve"> </w:t>
      </w:r>
      <w:r w:rsidRPr="00221288" w:rsidR="00F7480F">
        <w:rPr>
          <w:rFonts w:ascii="Palatino Linotype" w:hAnsi="Palatino Linotype"/>
        </w:rPr>
        <w:t>price signal may not be able to use all of the credits if they exceed charges only on the energy or</w:t>
      </w:r>
      <w:r w:rsidRPr="00221288" w:rsidR="00392130">
        <w:rPr>
          <w:rFonts w:ascii="Palatino Linotype" w:hAnsi="Palatino Linotype"/>
        </w:rPr>
        <w:t xml:space="preserve"> </w:t>
      </w:r>
      <w:r w:rsidRPr="00221288" w:rsidR="00F7480F">
        <w:rPr>
          <w:rFonts w:ascii="Palatino Linotype" w:hAnsi="Palatino Linotype"/>
        </w:rPr>
        <w:t>delivery side.</w:t>
      </w:r>
      <w:r w:rsidRPr="00221288" w:rsidR="00383C0E">
        <w:rPr>
          <w:rFonts w:ascii="Palatino Linotype" w:hAnsi="Palatino Linotype"/>
        </w:rPr>
        <w:t xml:space="preserve"> In its protest</w:t>
      </w:r>
      <w:r w:rsidRPr="00221288" w:rsidR="00864937">
        <w:rPr>
          <w:rFonts w:ascii="Palatino Linotype" w:hAnsi="Palatino Linotype"/>
        </w:rPr>
        <w:t>s of PG&amp;E’s and SDG&amp;E’s ALs</w:t>
      </w:r>
      <w:r w:rsidRPr="00221288" w:rsidR="00383C0E">
        <w:rPr>
          <w:rFonts w:ascii="Palatino Linotype" w:hAnsi="Palatino Linotype"/>
        </w:rPr>
        <w:t xml:space="preserve">, SEIA </w:t>
      </w:r>
      <w:r w:rsidRPr="00221288" w:rsidR="00AE2E5D">
        <w:rPr>
          <w:rFonts w:ascii="Palatino Linotype" w:hAnsi="Palatino Linotype"/>
        </w:rPr>
        <w:t xml:space="preserve">does </w:t>
      </w:r>
      <w:r w:rsidRPr="00221288" w:rsidR="00532054">
        <w:rPr>
          <w:rFonts w:ascii="Palatino Linotype" w:hAnsi="Palatino Linotype"/>
        </w:rPr>
        <w:t xml:space="preserve">not object to applying </w:t>
      </w:r>
      <w:r w:rsidR="00666674">
        <w:rPr>
          <w:rFonts w:ascii="Palatino Linotype" w:hAnsi="Palatino Linotype"/>
        </w:rPr>
        <w:br/>
      </w:r>
      <w:r w:rsidRPr="00221288" w:rsidR="00532054">
        <w:rPr>
          <w:rFonts w:ascii="Palatino Linotype" w:hAnsi="Palatino Linotype"/>
        </w:rPr>
        <w:t xml:space="preserve">delivery- and energy-related portions of </w:t>
      </w:r>
      <w:r w:rsidRPr="00221288" w:rsidR="00724755">
        <w:rPr>
          <w:rFonts w:ascii="Palatino Linotype" w:hAnsi="Palatino Linotype"/>
        </w:rPr>
        <w:t xml:space="preserve">the </w:t>
      </w:r>
      <w:r w:rsidRPr="00221288" w:rsidR="00532054">
        <w:rPr>
          <w:rFonts w:ascii="Palatino Linotype" w:hAnsi="Palatino Linotype"/>
        </w:rPr>
        <w:t xml:space="preserve">retail export compensation </w:t>
      </w:r>
      <w:r w:rsidRPr="00221288" w:rsidR="00E0594A">
        <w:rPr>
          <w:rFonts w:ascii="Palatino Linotype" w:hAnsi="Palatino Linotype"/>
        </w:rPr>
        <w:t xml:space="preserve">rate </w:t>
      </w:r>
      <w:r w:rsidRPr="00221288" w:rsidR="00532054">
        <w:rPr>
          <w:rFonts w:ascii="Palatino Linotype" w:hAnsi="Palatino Linotype"/>
        </w:rPr>
        <w:t xml:space="preserve">separately, </w:t>
      </w:r>
      <w:r w:rsidRPr="00221288" w:rsidR="00B93A9F">
        <w:rPr>
          <w:rFonts w:ascii="Palatino Linotype" w:hAnsi="Palatino Linotype"/>
        </w:rPr>
        <w:t xml:space="preserve">other than </w:t>
      </w:r>
      <w:r w:rsidRPr="00221288" w:rsidR="00172E76">
        <w:rPr>
          <w:rFonts w:ascii="Palatino Linotype" w:hAnsi="Palatino Linotype"/>
        </w:rPr>
        <w:t xml:space="preserve">at the annual true-up. SEIA </w:t>
      </w:r>
      <w:r w:rsidRPr="00221288" w:rsidR="00AE2E5D">
        <w:rPr>
          <w:rFonts w:ascii="Palatino Linotype" w:hAnsi="Palatino Linotype"/>
        </w:rPr>
        <w:t>proposes</w:t>
      </w:r>
      <w:r w:rsidRPr="00221288" w:rsidR="00172E76">
        <w:rPr>
          <w:rFonts w:ascii="Palatino Linotype" w:hAnsi="Palatino Linotype"/>
        </w:rPr>
        <w:t xml:space="preserve"> that, to fully compensate a customer for all the costs </w:t>
      </w:r>
      <w:r w:rsidRPr="00221288" w:rsidR="00FB0501">
        <w:rPr>
          <w:rFonts w:ascii="Palatino Linotype" w:hAnsi="Palatino Linotype"/>
        </w:rPr>
        <w:t xml:space="preserve">it helped PG&amp;E </w:t>
      </w:r>
      <w:r w:rsidRPr="00221288" w:rsidR="00BC74E2">
        <w:rPr>
          <w:rFonts w:ascii="Palatino Linotype" w:hAnsi="Palatino Linotype"/>
        </w:rPr>
        <w:t xml:space="preserve">and SDG&amp;E </w:t>
      </w:r>
      <w:r w:rsidRPr="00221288" w:rsidR="00FB0501">
        <w:rPr>
          <w:rFonts w:ascii="Palatino Linotype" w:hAnsi="Palatino Linotype"/>
        </w:rPr>
        <w:t>avoid</w:t>
      </w:r>
      <w:r w:rsidRPr="00221288" w:rsidR="00180C30">
        <w:rPr>
          <w:rFonts w:ascii="Palatino Linotype" w:hAnsi="Palatino Linotype"/>
        </w:rPr>
        <w:t xml:space="preserve">, </w:t>
      </w:r>
      <w:r w:rsidRPr="00221288" w:rsidR="00BC74E2">
        <w:rPr>
          <w:rFonts w:ascii="Palatino Linotype" w:hAnsi="Palatino Linotype"/>
        </w:rPr>
        <w:t>the utilities</w:t>
      </w:r>
      <w:r w:rsidRPr="00221288" w:rsidR="00F7534C">
        <w:rPr>
          <w:rFonts w:ascii="Palatino Linotype" w:hAnsi="Palatino Linotype"/>
        </w:rPr>
        <w:t xml:space="preserve"> should</w:t>
      </w:r>
      <w:r w:rsidRPr="00221288" w:rsidR="00180C30">
        <w:rPr>
          <w:rFonts w:ascii="Palatino Linotype" w:hAnsi="Palatino Linotype"/>
        </w:rPr>
        <w:t xml:space="preserve"> calculate whether a customer is a </w:t>
      </w:r>
      <w:r w:rsidRPr="00221288" w:rsidR="00BD6FFA">
        <w:rPr>
          <w:rFonts w:ascii="Palatino Linotype" w:hAnsi="Palatino Linotype"/>
        </w:rPr>
        <w:t>“</w:t>
      </w:r>
      <w:r w:rsidRPr="00221288" w:rsidR="00180C30">
        <w:rPr>
          <w:rFonts w:ascii="Palatino Linotype" w:hAnsi="Palatino Linotype"/>
        </w:rPr>
        <w:t>net producer</w:t>
      </w:r>
      <w:r w:rsidRPr="00221288" w:rsidR="00BD6FFA">
        <w:rPr>
          <w:rFonts w:ascii="Palatino Linotype" w:hAnsi="Palatino Linotype"/>
        </w:rPr>
        <w:t>”</w:t>
      </w:r>
      <w:r w:rsidRPr="00221288" w:rsidR="00180C30">
        <w:rPr>
          <w:rFonts w:ascii="Palatino Linotype" w:hAnsi="Palatino Linotype"/>
        </w:rPr>
        <w:t xml:space="preserve"> based on whether the combined </w:t>
      </w:r>
      <w:r w:rsidRPr="00221288" w:rsidR="00724755">
        <w:rPr>
          <w:rFonts w:ascii="Palatino Linotype" w:hAnsi="Palatino Linotype"/>
        </w:rPr>
        <w:t xml:space="preserve">retail </w:t>
      </w:r>
      <w:r w:rsidRPr="00221288" w:rsidR="00180C30">
        <w:rPr>
          <w:rFonts w:ascii="Palatino Linotype" w:hAnsi="Palatino Linotype"/>
        </w:rPr>
        <w:t xml:space="preserve">export </w:t>
      </w:r>
      <w:r w:rsidRPr="00221288" w:rsidR="00724755">
        <w:rPr>
          <w:rFonts w:ascii="Palatino Linotype" w:hAnsi="Palatino Linotype"/>
        </w:rPr>
        <w:t>compensation rate</w:t>
      </w:r>
      <w:r w:rsidRPr="00221288" w:rsidR="00180C30">
        <w:rPr>
          <w:rFonts w:ascii="Palatino Linotype" w:hAnsi="Palatino Linotype"/>
        </w:rPr>
        <w:t xml:space="preserve"> credit</w:t>
      </w:r>
      <w:r w:rsidRPr="00221288" w:rsidR="00A7414E">
        <w:rPr>
          <w:rFonts w:ascii="Palatino Linotype" w:hAnsi="Palatino Linotype"/>
        </w:rPr>
        <w:t>s for generation avoided costs and delivery avoided costs (excluding the ACC Plus credit) are larger than the combined generation and delivery charges during the relevant period.</w:t>
      </w:r>
    </w:p>
    <w:p w:rsidRPr="00221288" w:rsidR="00180763" w:rsidP="0011601C" w:rsidRDefault="00180763" w14:paraId="03F32563" w14:textId="77777777">
      <w:pPr>
        <w:rPr>
          <w:rFonts w:ascii="Palatino Linotype" w:hAnsi="Palatino Linotype"/>
        </w:rPr>
      </w:pPr>
    </w:p>
    <w:p w:rsidRPr="00221288" w:rsidR="002172EC" w:rsidP="005B38AE" w:rsidRDefault="00392130" w14:paraId="164D2514" w14:textId="5CD86E97">
      <w:pPr>
        <w:rPr>
          <w:rFonts w:ascii="Palatino Linotype" w:hAnsi="Palatino Linotype"/>
        </w:rPr>
      </w:pPr>
      <w:r w:rsidRPr="00221288">
        <w:rPr>
          <w:rFonts w:ascii="Palatino Linotype" w:hAnsi="Palatino Linotype"/>
        </w:rPr>
        <w:t xml:space="preserve">In </w:t>
      </w:r>
      <w:r w:rsidRPr="00221288" w:rsidR="00CA2FD2">
        <w:rPr>
          <w:rFonts w:ascii="Palatino Linotype" w:hAnsi="Palatino Linotype"/>
        </w:rPr>
        <w:t xml:space="preserve">their replies, PG&amp;E and SDG&amp;E explained that the applicability of </w:t>
      </w:r>
      <w:r w:rsidRPr="00221288" w:rsidR="003C2688">
        <w:rPr>
          <w:rFonts w:ascii="Palatino Linotype" w:hAnsi="Palatino Linotype"/>
        </w:rPr>
        <w:t>bill credits</w:t>
      </w:r>
      <w:r w:rsidRPr="00221288" w:rsidR="00CA2FD2">
        <w:rPr>
          <w:rFonts w:ascii="Palatino Linotype" w:hAnsi="Palatino Linotype"/>
        </w:rPr>
        <w:t xml:space="preserve"> </w:t>
      </w:r>
      <w:r w:rsidRPr="00221288" w:rsidR="003C2688">
        <w:rPr>
          <w:rFonts w:ascii="Palatino Linotype" w:hAnsi="Palatino Linotype"/>
        </w:rPr>
        <w:t xml:space="preserve">only </w:t>
      </w:r>
      <w:r w:rsidRPr="00221288" w:rsidR="00CA2FD2">
        <w:rPr>
          <w:rFonts w:ascii="Palatino Linotype" w:hAnsi="Palatino Linotype"/>
        </w:rPr>
        <w:t xml:space="preserve">to </w:t>
      </w:r>
      <w:r w:rsidRPr="00221288" w:rsidR="003C2688">
        <w:rPr>
          <w:rFonts w:ascii="Palatino Linotype" w:hAnsi="Palatino Linotype"/>
        </w:rPr>
        <w:t xml:space="preserve">their respective bill components </w:t>
      </w:r>
      <w:r w:rsidRPr="00221288" w:rsidR="00CA2FD2">
        <w:rPr>
          <w:rFonts w:ascii="Palatino Linotype" w:hAnsi="Palatino Linotype"/>
        </w:rPr>
        <w:t xml:space="preserve">is a carryover from NEM 1.0 and NEM 2.0 practices, </w:t>
      </w:r>
      <w:r w:rsidRPr="00221288" w:rsidR="00CA2FD2">
        <w:rPr>
          <w:rFonts w:ascii="Palatino Linotype" w:hAnsi="Palatino Linotype"/>
        </w:rPr>
        <w:lastRenderedPageBreak/>
        <w:t xml:space="preserve">and that this is appropriate because D.22-12-056 did not </w:t>
      </w:r>
      <w:r w:rsidRPr="00221288" w:rsidR="00DB5860">
        <w:rPr>
          <w:rFonts w:ascii="Palatino Linotype" w:hAnsi="Palatino Linotype"/>
        </w:rPr>
        <w:t xml:space="preserve">direct a </w:t>
      </w:r>
      <w:r w:rsidRPr="00221288" w:rsidR="00CA2FD2">
        <w:rPr>
          <w:rFonts w:ascii="Palatino Linotype" w:hAnsi="Palatino Linotype"/>
        </w:rPr>
        <w:t xml:space="preserve">change </w:t>
      </w:r>
      <w:r w:rsidRPr="00221288" w:rsidR="00DB5860">
        <w:rPr>
          <w:rFonts w:ascii="Palatino Linotype" w:hAnsi="Palatino Linotype"/>
        </w:rPr>
        <w:t xml:space="preserve">to </w:t>
      </w:r>
      <w:r w:rsidRPr="00221288" w:rsidR="00CA2FD2">
        <w:rPr>
          <w:rFonts w:ascii="Palatino Linotype" w:hAnsi="Palatino Linotype"/>
        </w:rPr>
        <w:t>the practice</w:t>
      </w:r>
      <w:r w:rsidRPr="00221288" w:rsidR="003C2688">
        <w:rPr>
          <w:rFonts w:ascii="Palatino Linotype" w:hAnsi="Palatino Linotype"/>
        </w:rPr>
        <w:t xml:space="preserve">. Further, PG&amp;E </w:t>
      </w:r>
      <w:r w:rsidRPr="00221288" w:rsidR="00D614E2">
        <w:rPr>
          <w:rFonts w:ascii="Palatino Linotype" w:hAnsi="Palatino Linotype"/>
        </w:rPr>
        <w:t>asserts</w:t>
      </w:r>
      <w:r w:rsidRPr="00221288" w:rsidR="003C2688">
        <w:rPr>
          <w:rFonts w:ascii="Palatino Linotype" w:hAnsi="Palatino Linotype"/>
        </w:rPr>
        <w:t xml:space="preserve"> that </w:t>
      </w:r>
      <w:r w:rsidRPr="00221288" w:rsidR="00126A83">
        <w:rPr>
          <w:rFonts w:ascii="Palatino Linotype" w:hAnsi="Palatino Linotype"/>
        </w:rPr>
        <w:t>this</w:t>
      </w:r>
      <w:r w:rsidRPr="00221288" w:rsidR="00D614E2">
        <w:rPr>
          <w:rFonts w:ascii="Palatino Linotype" w:hAnsi="Palatino Linotype"/>
        </w:rPr>
        <w:t xml:space="preserve"> </w:t>
      </w:r>
      <w:r w:rsidRPr="00221288" w:rsidR="002172EC">
        <w:rPr>
          <w:rFonts w:ascii="Palatino Linotype" w:hAnsi="Palatino Linotype"/>
        </w:rPr>
        <w:t>is necessary to maintain competitive neutrality amongst Load Serving Entities</w:t>
      </w:r>
      <w:r w:rsidRPr="00221288" w:rsidR="00126A83">
        <w:rPr>
          <w:rFonts w:ascii="Palatino Linotype" w:hAnsi="Palatino Linotype"/>
        </w:rPr>
        <w:t xml:space="preserve"> (LSE)</w:t>
      </w:r>
      <w:r w:rsidRPr="00221288" w:rsidR="00EA0E1E">
        <w:rPr>
          <w:rFonts w:ascii="Palatino Linotype" w:hAnsi="Palatino Linotype"/>
        </w:rPr>
        <w:t>, because unbundled NBT customers would face an incentive to opt back to bundled</w:t>
      </w:r>
      <w:r w:rsidRPr="00221288" w:rsidR="00126A83">
        <w:rPr>
          <w:rFonts w:ascii="Palatino Linotype" w:hAnsi="Palatino Linotype"/>
        </w:rPr>
        <w:t xml:space="preserve"> </w:t>
      </w:r>
      <w:r w:rsidRPr="00221288" w:rsidR="00EA0E1E">
        <w:rPr>
          <w:rFonts w:ascii="Palatino Linotype" w:hAnsi="Palatino Linotype"/>
        </w:rPr>
        <w:t>service, as non-utility LSEs could not reduce delivery charge obligations. F</w:t>
      </w:r>
      <w:r w:rsidRPr="00221288" w:rsidR="00126A83">
        <w:rPr>
          <w:rFonts w:ascii="Palatino Linotype" w:hAnsi="Palatino Linotype"/>
        </w:rPr>
        <w:t xml:space="preserve">inally, PG&amp;E </w:t>
      </w:r>
      <w:r w:rsidRPr="00221288" w:rsidR="00D614E2">
        <w:rPr>
          <w:rFonts w:ascii="Palatino Linotype" w:hAnsi="Palatino Linotype"/>
        </w:rPr>
        <w:t>asserts</w:t>
      </w:r>
      <w:r w:rsidRPr="00221288" w:rsidR="00EA0E1E">
        <w:rPr>
          <w:rFonts w:ascii="Palatino Linotype" w:hAnsi="Palatino Linotype"/>
        </w:rPr>
        <w:t>,</w:t>
      </w:r>
      <w:r w:rsidRPr="00221288" w:rsidR="00126A83">
        <w:rPr>
          <w:rFonts w:ascii="Palatino Linotype" w:hAnsi="Palatino Linotype"/>
        </w:rPr>
        <w:t xml:space="preserve"> </w:t>
      </w:r>
      <w:r w:rsidRPr="00221288" w:rsidR="00EA0E1E">
        <w:rPr>
          <w:rFonts w:ascii="Palatino Linotype" w:hAnsi="Palatino Linotype"/>
        </w:rPr>
        <w:t xml:space="preserve">this would represent an asymmetric procurement obligation on the </w:t>
      </w:r>
      <w:r w:rsidRPr="00221288" w:rsidR="004C0CD5">
        <w:rPr>
          <w:rFonts w:ascii="Palatino Linotype" w:hAnsi="Palatino Linotype"/>
        </w:rPr>
        <w:t>utilities</w:t>
      </w:r>
      <w:r w:rsidRPr="00221288" w:rsidR="00EA0E1E">
        <w:rPr>
          <w:rFonts w:ascii="Palatino Linotype" w:hAnsi="Palatino Linotype"/>
        </w:rPr>
        <w:t xml:space="preserve"> by</w:t>
      </w:r>
      <w:r w:rsidRPr="00221288" w:rsidR="00126A83">
        <w:rPr>
          <w:rFonts w:ascii="Palatino Linotype" w:hAnsi="Palatino Linotype"/>
        </w:rPr>
        <w:t xml:space="preserve"> </w:t>
      </w:r>
      <w:r w:rsidRPr="00221288" w:rsidR="00EA0E1E">
        <w:rPr>
          <w:rFonts w:ascii="Palatino Linotype" w:hAnsi="Palatino Linotype"/>
        </w:rPr>
        <w:t>effectively requiring the utility to credit energy from oversized systems well</w:t>
      </w:r>
      <w:r w:rsidRPr="00221288" w:rsidR="00126A83">
        <w:rPr>
          <w:rFonts w:ascii="Palatino Linotype" w:hAnsi="Palatino Linotype"/>
        </w:rPr>
        <w:t xml:space="preserve"> </w:t>
      </w:r>
      <w:r w:rsidRPr="00221288" w:rsidR="00EA0E1E">
        <w:rPr>
          <w:rFonts w:ascii="Palatino Linotype" w:hAnsi="Palatino Linotype"/>
        </w:rPr>
        <w:t>beyond the actual consumption of the customer.</w:t>
      </w:r>
      <w:r w:rsidRPr="00221288" w:rsidR="00507072">
        <w:rPr>
          <w:rFonts w:ascii="Palatino Linotype" w:hAnsi="Palatino Linotype"/>
        </w:rPr>
        <w:t xml:space="preserve"> </w:t>
      </w:r>
      <w:r w:rsidRPr="00221288" w:rsidR="00441623">
        <w:rPr>
          <w:rFonts w:ascii="Palatino Linotype" w:hAnsi="Palatino Linotype"/>
        </w:rPr>
        <w:t xml:space="preserve">SDG&amp;E </w:t>
      </w:r>
      <w:r w:rsidRPr="00221288" w:rsidR="00662833">
        <w:rPr>
          <w:rFonts w:ascii="Palatino Linotype" w:hAnsi="Palatino Linotype"/>
        </w:rPr>
        <w:t xml:space="preserve">also </w:t>
      </w:r>
      <w:r w:rsidRPr="00221288" w:rsidR="00D614E2">
        <w:rPr>
          <w:rFonts w:ascii="Palatino Linotype" w:hAnsi="Palatino Linotype"/>
        </w:rPr>
        <w:t xml:space="preserve">raises </w:t>
      </w:r>
      <w:r w:rsidRPr="00221288" w:rsidR="00662833">
        <w:rPr>
          <w:rFonts w:ascii="Palatino Linotype" w:hAnsi="Palatino Linotype"/>
        </w:rPr>
        <w:t>competitive neutrality and asymmetric obligation issues</w:t>
      </w:r>
      <w:r w:rsidRPr="00221288" w:rsidR="00ED1915">
        <w:rPr>
          <w:rFonts w:ascii="Palatino Linotype" w:hAnsi="Palatino Linotype"/>
        </w:rPr>
        <w:t>.</w:t>
      </w:r>
    </w:p>
    <w:p w:rsidRPr="00221288" w:rsidR="00831B99" w:rsidP="005B38AE" w:rsidRDefault="00831B99" w14:paraId="2D7E2D8C" w14:textId="77777777">
      <w:pPr>
        <w:rPr>
          <w:rFonts w:ascii="Palatino Linotype" w:hAnsi="Palatino Linotype"/>
        </w:rPr>
      </w:pPr>
    </w:p>
    <w:p w:rsidRPr="00221288" w:rsidR="00831B99" w:rsidP="005B38AE" w:rsidRDefault="00831B99" w14:paraId="6937B71E" w14:textId="715289DB">
      <w:pPr>
        <w:rPr>
          <w:rFonts w:ascii="Palatino Linotype" w:hAnsi="Palatino Linotype"/>
        </w:rPr>
      </w:pPr>
      <w:r w:rsidRPr="00221288">
        <w:rPr>
          <w:rFonts w:ascii="Palatino Linotype" w:hAnsi="Palatino Linotype"/>
        </w:rPr>
        <w:t xml:space="preserve">In its protest to the supplemental ALs, </w:t>
      </w:r>
      <w:r w:rsidRPr="00221288" w:rsidR="0056726A">
        <w:rPr>
          <w:rFonts w:ascii="Palatino Linotype" w:hAnsi="Palatino Linotype"/>
        </w:rPr>
        <w:t xml:space="preserve">CALSSA </w:t>
      </w:r>
      <w:r w:rsidRPr="00221288" w:rsidR="00AE2E5D">
        <w:rPr>
          <w:rFonts w:ascii="Palatino Linotype" w:hAnsi="Palatino Linotype"/>
        </w:rPr>
        <w:t xml:space="preserve">continues </w:t>
      </w:r>
      <w:r w:rsidRPr="00221288" w:rsidR="00660D06">
        <w:rPr>
          <w:rFonts w:ascii="Palatino Linotype" w:hAnsi="Palatino Linotype"/>
        </w:rPr>
        <w:t xml:space="preserve">to advocate </w:t>
      </w:r>
      <w:r w:rsidRPr="00221288" w:rsidR="00C41C9C">
        <w:rPr>
          <w:rFonts w:ascii="Palatino Linotype" w:hAnsi="Palatino Linotype"/>
        </w:rPr>
        <w:t>against limiting the applicability of bill credits only to their respective bill component</w:t>
      </w:r>
      <w:r w:rsidRPr="00221288" w:rsidR="00F571FE">
        <w:rPr>
          <w:rFonts w:ascii="Palatino Linotype" w:hAnsi="Palatino Linotype"/>
        </w:rPr>
        <w:t>s</w:t>
      </w:r>
      <w:r w:rsidRPr="00221288" w:rsidR="00DB1BE7">
        <w:rPr>
          <w:rFonts w:ascii="Palatino Linotype" w:hAnsi="Palatino Linotype"/>
        </w:rPr>
        <w:t xml:space="preserve">. </w:t>
      </w:r>
      <w:r w:rsidRPr="00221288" w:rsidR="007D6A64">
        <w:rPr>
          <w:rFonts w:ascii="Palatino Linotype" w:hAnsi="Palatino Linotype"/>
        </w:rPr>
        <w:t>CALSSA</w:t>
      </w:r>
      <w:r w:rsidRPr="00221288" w:rsidR="00953021">
        <w:rPr>
          <w:rFonts w:ascii="Palatino Linotype" w:hAnsi="Palatino Linotype"/>
        </w:rPr>
        <w:t xml:space="preserve"> </w:t>
      </w:r>
      <w:r w:rsidRPr="00221288" w:rsidR="001A6457">
        <w:rPr>
          <w:rFonts w:ascii="Palatino Linotype" w:hAnsi="Palatino Linotype"/>
        </w:rPr>
        <w:t xml:space="preserve">asserts </w:t>
      </w:r>
      <w:r w:rsidRPr="00221288" w:rsidR="00041C10">
        <w:rPr>
          <w:rFonts w:ascii="Palatino Linotype" w:hAnsi="Palatino Linotype"/>
        </w:rPr>
        <w:t xml:space="preserve">that </w:t>
      </w:r>
      <w:r w:rsidRPr="00221288" w:rsidR="00E021AF">
        <w:rPr>
          <w:rFonts w:ascii="Palatino Linotype" w:hAnsi="Palatino Linotype"/>
        </w:rPr>
        <w:t xml:space="preserve">treating </w:t>
      </w:r>
      <w:r w:rsidRPr="00221288" w:rsidR="00AE3A32">
        <w:rPr>
          <w:rFonts w:ascii="Palatino Linotype" w:hAnsi="Palatino Linotype"/>
        </w:rPr>
        <w:t xml:space="preserve">retail </w:t>
      </w:r>
      <w:r w:rsidRPr="00221288" w:rsidR="00E021AF">
        <w:rPr>
          <w:rFonts w:ascii="Palatino Linotype" w:hAnsi="Palatino Linotype"/>
        </w:rPr>
        <w:t xml:space="preserve">export </w:t>
      </w:r>
      <w:r w:rsidRPr="00221288" w:rsidR="00AE3A32">
        <w:rPr>
          <w:rFonts w:ascii="Palatino Linotype" w:hAnsi="Palatino Linotype"/>
        </w:rPr>
        <w:t xml:space="preserve">compensation </w:t>
      </w:r>
      <w:r w:rsidRPr="00221288" w:rsidR="00E021AF">
        <w:rPr>
          <w:rFonts w:ascii="Palatino Linotype" w:hAnsi="Palatino Linotype"/>
        </w:rPr>
        <w:t xml:space="preserve">rate components separately for bundled customers would be inconsistent with NEM because NEM </w:t>
      </w:r>
      <w:r w:rsidRPr="00221288" w:rsidR="00B3253A">
        <w:rPr>
          <w:rFonts w:ascii="Palatino Linotype" w:hAnsi="Palatino Linotype"/>
        </w:rPr>
        <w:t xml:space="preserve">retail </w:t>
      </w:r>
      <w:r w:rsidRPr="00221288" w:rsidR="00C66C20">
        <w:rPr>
          <w:rFonts w:ascii="Palatino Linotype" w:hAnsi="Palatino Linotype"/>
        </w:rPr>
        <w:t>export compensation is based on rates.</w:t>
      </w:r>
      <w:r w:rsidRPr="00221288" w:rsidR="007D6A64">
        <w:rPr>
          <w:rFonts w:ascii="Palatino Linotype" w:hAnsi="Palatino Linotype"/>
        </w:rPr>
        <w:t xml:space="preserve"> CALSSA also asserts that community choice aggregators (CCA) could take </w:t>
      </w:r>
      <w:r w:rsidRPr="00221288" w:rsidR="00FE1827">
        <w:rPr>
          <w:rFonts w:ascii="Palatino Linotype" w:hAnsi="Palatino Linotype"/>
        </w:rPr>
        <w:t xml:space="preserve">steps </w:t>
      </w:r>
      <w:r w:rsidRPr="00221288" w:rsidR="007D6A64">
        <w:rPr>
          <w:rFonts w:ascii="Palatino Linotype" w:hAnsi="Palatino Linotype"/>
        </w:rPr>
        <w:t xml:space="preserve">to maintain competitive neutrality, proposing that </w:t>
      </w:r>
      <w:r w:rsidRPr="00221288" w:rsidR="00FE1827">
        <w:rPr>
          <w:rFonts w:ascii="Palatino Linotype" w:hAnsi="Palatino Linotype"/>
        </w:rPr>
        <w:t>CCAs</w:t>
      </w:r>
      <w:r w:rsidRPr="00221288" w:rsidR="007D6A64">
        <w:rPr>
          <w:rFonts w:ascii="Palatino Linotype" w:hAnsi="Palatino Linotype"/>
        </w:rPr>
        <w:t xml:space="preserve"> could </w:t>
      </w:r>
      <w:r w:rsidRPr="00221288" w:rsidR="00485982">
        <w:rPr>
          <w:rFonts w:ascii="Palatino Linotype" w:hAnsi="Palatino Linotype"/>
        </w:rPr>
        <w:t xml:space="preserve">allow </w:t>
      </w:r>
      <w:r w:rsidRPr="00221288" w:rsidR="00136A5F">
        <w:rPr>
          <w:rFonts w:ascii="Palatino Linotype" w:hAnsi="Palatino Linotype"/>
        </w:rPr>
        <w:t>credits in excess</w:t>
      </w:r>
      <w:r w:rsidRPr="00221288" w:rsidR="00485982">
        <w:rPr>
          <w:rFonts w:ascii="Palatino Linotype" w:hAnsi="Palatino Linotype"/>
        </w:rPr>
        <w:t xml:space="preserve"> </w:t>
      </w:r>
      <w:r w:rsidRPr="00221288" w:rsidR="00136A5F">
        <w:rPr>
          <w:rFonts w:ascii="Palatino Linotype" w:hAnsi="Palatino Linotype"/>
        </w:rPr>
        <w:t>of charges to result in payments to the customer</w:t>
      </w:r>
      <w:r w:rsidRPr="00221288" w:rsidR="00044814">
        <w:rPr>
          <w:rFonts w:ascii="Palatino Linotype" w:hAnsi="Palatino Linotype"/>
        </w:rPr>
        <w:t>.</w:t>
      </w:r>
    </w:p>
    <w:p w:rsidRPr="00221288" w:rsidR="0010174C" w:rsidP="005B38AE" w:rsidRDefault="0010174C" w14:paraId="1B455126" w14:textId="77777777">
      <w:pPr>
        <w:rPr>
          <w:rFonts w:ascii="Palatino Linotype" w:hAnsi="Palatino Linotype"/>
        </w:rPr>
      </w:pPr>
    </w:p>
    <w:p w:rsidRPr="00221288" w:rsidR="0010174C" w:rsidP="005B38AE" w:rsidRDefault="0010174C" w14:paraId="30B40EF5" w14:textId="242490B7">
      <w:pPr>
        <w:rPr>
          <w:rFonts w:ascii="Palatino Linotype" w:hAnsi="Palatino Linotype"/>
        </w:rPr>
      </w:pPr>
      <w:r w:rsidRPr="00221288">
        <w:rPr>
          <w:rFonts w:ascii="Palatino Linotype" w:hAnsi="Palatino Linotype"/>
        </w:rPr>
        <w:t xml:space="preserve">PG&amp;E </w:t>
      </w:r>
      <w:r w:rsidRPr="00221288" w:rsidR="006B3E49">
        <w:rPr>
          <w:rFonts w:ascii="Palatino Linotype" w:hAnsi="Palatino Linotype"/>
        </w:rPr>
        <w:t xml:space="preserve">asserts </w:t>
      </w:r>
      <w:r w:rsidRPr="00221288" w:rsidR="00E566A8">
        <w:rPr>
          <w:rFonts w:ascii="Palatino Linotype" w:hAnsi="Palatino Linotype"/>
        </w:rPr>
        <w:t xml:space="preserve">in </w:t>
      </w:r>
      <w:r w:rsidRPr="00221288" w:rsidR="00687047">
        <w:rPr>
          <w:rFonts w:ascii="Palatino Linotype" w:hAnsi="Palatino Linotype"/>
        </w:rPr>
        <w:t>its reply to CALSSA’s supplemental protest</w:t>
      </w:r>
      <w:r w:rsidRPr="00221288" w:rsidR="003865D2">
        <w:rPr>
          <w:rFonts w:ascii="Palatino Linotype" w:hAnsi="Palatino Linotype"/>
        </w:rPr>
        <w:t xml:space="preserve"> </w:t>
      </w:r>
      <w:r w:rsidRPr="00221288">
        <w:rPr>
          <w:rFonts w:ascii="Palatino Linotype" w:hAnsi="Palatino Linotype"/>
        </w:rPr>
        <w:t>that</w:t>
      </w:r>
      <w:r w:rsidRPr="00221288" w:rsidR="00752F0C">
        <w:rPr>
          <w:rFonts w:ascii="Palatino Linotype" w:hAnsi="Palatino Linotype"/>
        </w:rPr>
        <w:t xml:space="preserve"> </w:t>
      </w:r>
      <w:r w:rsidRPr="00221288" w:rsidR="00F7096D">
        <w:rPr>
          <w:rFonts w:ascii="Palatino Linotype" w:hAnsi="Palatino Linotype"/>
        </w:rPr>
        <w:t>the C</w:t>
      </w:r>
      <w:r w:rsidRPr="00221288" w:rsidR="00C656BC">
        <w:rPr>
          <w:rFonts w:ascii="Palatino Linotype" w:hAnsi="Palatino Linotype"/>
        </w:rPr>
        <w:t>ommission</w:t>
      </w:r>
      <w:r w:rsidRPr="00221288" w:rsidR="00F7096D">
        <w:rPr>
          <w:rFonts w:ascii="Palatino Linotype" w:hAnsi="Palatino Linotype"/>
        </w:rPr>
        <w:t xml:space="preserve"> </w:t>
      </w:r>
      <w:r w:rsidRPr="00221288" w:rsidR="00153BF8">
        <w:rPr>
          <w:rFonts w:ascii="Palatino Linotype" w:hAnsi="Palatino Linotype"/>
        </w:rPr>
        <w:t>has no authority to require CCAs to provide such a structure</w:t>
      </w:r>
      <w:r w:rsidRPr="00221288" w:rsidR="00F62175">
        <w:rPr>
          <w:rFonts w:ascii="Palatino Linotype" w:hAnsi="Palatino Linotype"/>
        </w:rPr>
        <w:t xml:space="preserve">, that </w:t>
      </w:r>
      <w:r w:rsidRPr="00221288" w:rsidR="00153BF8">
        <w:rPr>
          <w:rFonts w:ascii="Palatino Linotype" w:hAnsi="Palatino Linotype"/>
        </w:rPr>
        <w:t>CALSSA’s suggested approach would lead to asymmetric procurement obligations and undermine competitive neutrality</w:t>
      </w:r>
      <w:r w:rsidRPr="00221288" w:rsidR="00F62175">
        <w:rPr>
          <w:rFonts w:ascii="Palatino Linotype" w:hAnsi="Palatino Linotype"/>
        </w:rPr>
        <w:t xml:space="preserve">, and that </w:t>
      </w:r>
      <w:r w:rsidRPr="00221288" w:rsidR="00B02881">
        <w:rPr>
          <w:rFonts w:ascii="Palatino Linotype" w:hAnsi="Palatino Linotype"/>
        </w:rPr>
        <w:t>the suggested</w:t>
      </w:r>
      <w:r w:rsidRPr="00221288" w:rsidR="00153BF8">
        <w:rPr>
          <w:rFonts w:ascii="Palatino Linotype" w:hAnsi="Palatino Linotype"/>
        </w:rPr>
        <w:t xml:space="preserve"> payments would not be equivalent to the non-bifurcated credits requested by CALSSA. PG&amp;E also </w:t>
      </w:r>
      <w:r w:rsidRPr="00221288" w:rsidR="002B5218">
        <w:rPr>
          <w:rFonts w:ascii="Palatino Linotype" w:hAnsi="Palatino Linotype"/>
        </w:rPr>
        <w:t>asserts</w:t>
      </w:r>
      <w:r w:rsidRPr="00221288" w:rsidR="00153BF8">
        <w:rPr>
          <w:rFonts w:ascii="Palatino Linotype" w:hAnsi="Palatino Linotype"/>
        </w:rPr>
        <w:t xml:space="preserve"> that </w:t>
      </w:r>
      <w:r w:rsidRPr="00221288" w:rsidR="00752F0C">
        <w:rPr>
          <w:rFonts w:ascii="Palatino Linotype" w:hAnsi="Palatino Linotype"/>
        </w:rPr>
        <w:t>its</w:t>
      </w:r>
      <w:r w:rsidRPr="00221288">
        <w:rPr>
          <w:rFonts w:ascii="Palatino Linotype" w:hAnsi="Palatino Linotype"/>
        </w:rPr>
        <w:t xml:space="preserve"> </w:t>
      </w:r>
      <w:r w:rsidRPr="00221288" w:rsidR="00752F0C">
        <w:rPr>
          <w:rFonts w:ascii="Palatino Linotype" w:hAnsi="Palatino Linotype"/>
        </w:rPr>
        <w:t>proposed approach correctly implements the intent of the decision</w:t>
      </w:r>
      <w:r w:rsidRPr="00221288" w:rsidR="00423000">
        <w:rPr>
          <w:rFonts w:ascii="Palatino Linotype" w:hAnsi="Palatino Linotype"/>
        </w:rPr>
        <w:t>, and that</w:t>
      </w:r>
      <w:r w:rsidRPr="00221288" w:rsidR="00752F0C">
        <w:rPr>
          <w:rFonts w:ascii="Palatino Linotype" w:hAnsi="Palatino Linotype"/>
        </w:rPr>
        <w:t xml:space="preserve"> </w:t>
      </w:r>
      <w:r w:rsidRPr="00221288" w:rsidR="00913739">
        <w:rPr>
          <w:rFonts w:ascii="Palatino Linotype" w:hAnsi="Palatino Linotype"/>
        </w:rPr>
        <w:t>NBT credits are not so different from NEM credits that this treatment should not carry over</w:t>
      </w:r>
      <w:r w:rsidRPr="00221288">
        <w:rPr>
          <w:rFonts w:ascii="Palatino Linotype" w:hAnsi="Palatino Linotype"/>
        </w:rPr>
        <w:t>.</w:t>
      </w:r>
      <w:r w:rsidRPr="00221288" w:rsidR="00E87EC7">
        <w:rPr>
          <w:rFonts w:ascii="Palatino Linotype" w:hAnsi="Palatino Linotype"/>
        </w:rPr>
        <w:t xml:space="preserve"> SCE d</w:t>
      </w:r>
      <w:r w:rsidRPr="00221288" w:rsidR="00251FE6">
        <w:rPr>
          <w:rFonts w:ascii="Palatino Linotype" w:hAnsi="Palatino Linotype"/>
        </w:rPr>
        <w:t>oes</w:t>
      </w:r>
      <w:r w:rsidRPr="00221288" w:rsidR="00E87EC7">
        <w:rPr>
          <w:rFonts w:ascii="Palatino Linotype" w:hAnsi="Palatino Linotype"/>
        </w:rPr>
        <w:t xml:space="preserve"> not </w:t>
      </w:r>
      <w:r w:rsidRPr="00221288" w:rsidR="00251FE6">
        <w:rPr>
          <w:rFonts w:ascii="Palatino Linotype" w:hAnsi="Palatino Linotype"/>
        </w:rPr>
        <w:t xml:space="preserve">address this topic in its reply. </w:t>
      </w:r>
      <w:r w:rsidRPr="00221288" w:rsidR="00AA33D0">
        <w:rPr>
          <w:rFonts w:ascii="Palatino Linotype" w:hAnsi="Palatino Linotype"/>
        </w:rPr>
        <w:t xml:space="preserve">In its reply to CALSSA’s supplemental protest, SDG&amp;E </w:t>
      </w:r>
      <w:r w:rsidRPr="00221288" w:rsidR="004F3127">
        <w:rPr>
          <w:rFonts w:ascii="Palatino Linotype" w:hAnsi="Palatino Linotype"/>
        </w:rPr>
        <w:t xml:space="preserve">asserts that </w:t>
      </w:r>
      <w:r w:rsidRPr="00221288" w:rsidR="00A304E9">
        <w:rPr>
          <w:rFonts w:ascii="Palatino Linotype" w:hAnsi="Palatino Linotype"/>
        </w:rPr>
        <w:t xml:space="preserve">CALSSA’s proposed treatment would </w:t>
      </w:r>
      <w:r w:rsidRPr="00221288" w:rsidR="00987474">
        <w:rPr>
          <w:rFonts w:ascii="Palatino Linotype" w:hAnsi="Palatino Linotype"/>
        </w:rPr>
        <w:t>not maintain</w:t>
      </w:r>
      <w:r w:rsidRPr="00221288" w:rsidR="00A304E9">
        <w:rPr>
          <w:rFonts w:ascii="Palatino Linotype" w:hAnsi="Palatino Linotype"/>
        </w:rPr>
        <w:t xml:space="preserve"> </w:t>
      </w:r>
      <w:r w:rsidRPr="00221288" w:rsidR="004F3127">
        <w:rPr>
          <w:rFonts w:ascii="Palatino Linotype" w:hAnsi="Palatino Linotype"/>
        </w:rPr>
        <w:t>competitive neutrality with other LSE</w:t>
      </w:r>
      <w:r w:rsidRPr="00221288" w:rsidR="00CE23A0">
        <w:rPr>
          <w:rFonts w:ascii="Palatino Linotype" w:hAnsi="Palatino Linotype"/>
        </w:rPr>
        <w:t>s</w:t>
      </w:r>
      <w:r w:rsidRPr="00221288" w:rsidR="00A304E9">
        <w:rPr>
          <w:rFonts w:ascii="Palatino Linotype" w:hAnsi="Palatino Linotype"/>
        </w:rPr>
        <w:t xml:space="preserve"> </w:t>
      </w:r>
      <w:r w:rsidRPr="00221288" w:rsidR="00796889">
        <w:rPr>
          <w:rFonts w:ascii="Palatino Linotype" w:hAnsi="Palatino Linotype"/>
        </w:rPr>
        <w:t>and</w:t>
      </w:r>
      <w:r w:rsidRPr="00221288" w:rsidR="00A57502">
        <w:rPr>
          <w:rFonts w:ascii="Palatino Linotype" w:hAnsi="Palatino Linotype"/>
        </w:rPr>
        <w:t xml:space="preserve"> would</w:t>
      </w:r>
      <w:r w:rsidRPr="00221288" w:rsidR="00A304E9">
        <w:rPr>
          <w:rFonts w:ascii="Palatino Linotype" w:hAnsi="Palatino Linotype"/>
        </w:rPr>
        <w:t xml:space="preserve"> </w:t>
      </w:r>
      <w:r w:rsidRPr="00221288" w:rsidR="00007C60">
        <w:rPr>
          <w:rFonts w:ascii="Palatino Linotype" w:hAnsi="Palatino Linotype"/>
        </w:rPr>
        <w:t xml:space="preserve">likely </w:t>
      </w:r>
      <w:r w:rsidRPr="00221288" w:rsidR="00A57502">
        <w:rPr>
          <w:rFonts w:ascii="Palatino Linotype" w:hAnsi="Palatino Linotype"/>
        </w:rPr>
        <w:t>result in</w:t>
      </w:r>
      <w:r w:rsidRPr="00221288" w:rsidR="004F3127">
        <w:rPr>
          <w:rFonts w:ascii="Palatino Linotype" w:hAnsi="Palatino Linotype"/>
        </w:rPr>
        <w:t xml:space="preserve"> NBT customers choos</w:t>
      </w:r>
      <w:r w:rsidRPr="00221288" w:rsidR="00A57502">
        <w:rPr>
          <w:rFonts w:ascii="Palatino Linotype" w:hAnsi="Palatino Linotype"/>
        </w:rPr>
        <w:t>ing</w:t>
      </w:r>
      <w:r w:rsidRPr="00221288" w:rsidR="004F3127">
        <w:rPr>
          <w:rFonts w:ascii="Palatino Linotype" w:hAnsi="Palatino Linotype"/>
        </w:rPr>
        <w:t xml:space="preserve"> the </w:t>
      </w:r>
      <w:r w:rsidRPr="00221288" w:rsidR="009955FC">
        <w:rPr>
          <w:rFonts w:ascii="Palatino Linotype" w:hAnsi="Palatino Linotype"/>
        </w:rPr>
        <w:t xml:space="preserve">utility </w:t>
      </w:r>
      <w:r w:rsidRPr="00221288" w:rsidR="004F3127">
        <w:rPr>
          <w:rFonts w:ascii="Palatino Linotype" w:hAnsi="Palatino Linotype"/>
        </w:rPr>
        <w:t xml:space="preserve">as their commodity provider. </w:t>
      </w:r>
      <w:r w:rsidRPr="00221288" w:rsidR="008D1545">
        <w:rPr>
          <w:rFonts w:ascii="Palatino Linotype" w:hAnsi="Palatino Linotype"/>
        </w:rPr>
        <w:t xml:space="preserve">SDG&amp;E </w:t>
      </w:r>
      <w:r w:rsidRPr="00221288" w:rsidR="00071939">
        <w:rPr>
          <w:rFonts w:ascii="Palatino Linotype" w:hAnsi="Palatino Linotype"/>
        </w:rPr>
        <w:t>a</w:t>
      </w:r>
      <w:r w:rsidRPr="00221288" w:rsidR="009264A0">
        <w:rPr>
          <w:rFonts w:ascii="Palatino Linotype" w:hAnsi="Palatino Linotype"/>
        </w:rPr>
        <w:t>rgues</w:t>
      </w:r>
      <w:r w:rsidRPr="00221288" w:rsidR="00071939">
        <w:rPr>
          <w:rFonts w:ascii="Palatino Linotype" w:hAnsi="Palatino Linotype"/>
        </w:rPr>
        <w:t xml:space="preserve"> that </w:t>
      </w:r>
      <w:r w:rsidRPr="00221288" w:rsidR="001D541B">
        <w:rPr>
          <w:rFonts w:ascii="Palatino Linotype" w:hAnsi="Palatino Linotype"/>
        </w:rPr>
        <w:t>a</w:t>
      </w:r>
      <w:r w:rsidRPr="00221288" w:rsidR="004F3127">
        <w:rPr>
          <w:rFonts w:ascii="Palatino Linotype" w:hAnsi="Palatino Linotype"/>
        </w:rPr>
        <w:t xml:space="preserve">ny credits for NBT </w:t>
      </w:r>
      <w:r w:rsidRPr="00221288" w:rsidR="002669D7">
        <w:rPr>
          <w:rFonts w:ascii="Palatino Linotype" w:hAnsi="Palatino Linotype"/>
        </w:rPr>
        <w:t>provided by</w:t>
      </w:r>
      <w:r w:rsidRPr="00221288" w:rsidR="004F3127">
        <w:rPr>
          <w:rFonts w:ascii="Palatino Linotype" w:hAnsi="Palatino Linotype"/>
        </w:rPr>
        <w:t xml:space="preserve"> a</w:t>
      </w:r>
      <w:r w:rsidRPr="00221288" w:rsidR="00E2276C">
        <w:rPr>
          <w:rFonts w:ascii="Palatino Linotype" w:hAnsi="Palatino Linotype"/>
        </w:rPr>
        <w:t xml:space="preserve">nother </w:t>
      </w:r>
      <w:r w:rsidRPr="00221288" w:rsidR="004F3127">
        <w:rPr>
          <w:rFonts w:ascii="Palatino Linotype" w:hAnsi="Palatino Linotype"/>
        </w:rPr>
        <w:t>LSE</w:t>
      </w:r>
      <w:r w:rsidRPr="00221288" w:rsidR="00E2276C">
        <w:rPr>
          <w:rFonts w:ascii="Palatino Linotype" w:hAnsi="Palatino Linotype"/>
        </w:rPr>
        <w:t xml:space="preserve"> </w:t>
      </w:r>
      <w:r w:rsidRPr="00221288" w:rsidR="004F3127">
        <w:rPr>
          <w:rFonts w:ascii="Palatino Linotype" w:hAnsi="Palatino Linotype"/>
        </w:rPr>
        <w:t xml:space="preserve">would </w:t>
      </w:r>
      <w:r w:rsidRPr="00221288" w:rsidR="00C73BB4">
        <w:rPr>
          <w:rFonts w:ascii="Palatino Linotype" w:hAnsi="Palatino Linotype"/>
        </w:rPr>
        <w:t xml:space="preserve">only offset the commodity charges from that LSE, </w:t>
      </w:r>
      <w:r w:rsidRPr="00221288" w:rsidR="004F3127">
        <w:rPr>
          <w:rFonts w:ascii="Palatino Linotype" w:hAnsi="Palatino Linotype"/>
        </w:rPr>
        <w:t>not the delivery portion of the unbundled customer’s bill</w:t>
      </w:r>
      <w:r w:rsidRPr="00221288" w:rsidR="00DF0EDE">
        <w:rPr>
          <w:rFonts w:ascii="Palatino Linotype" w:hAnsi="Palatino Linotype"/>
        </w:rPr>
        <w:t xml:space="preserve">, while </w:t>
      </w:r>
      <w:r w:rsidRPr="00221288" w:rsidR="00987474">
        <w:rPr>
          <w:rFonts w:ascii="Palatino Linotype" w:hAnsi="Palatino Linotype"/>
        </w:rPr>
        <w:t>for a bundled customer,</w:t>
      </w:r>
      <w:r w:rsidRPr="00221288" w:rsidR="004F3127">
        <w:rPr>
          <w:rFonts w:ascii="Palatino Linotype" w:hAnsi="Palatino Linotype"/>
        </w:rPr>
        <w:t xml:space="preserve"> the generation credits would offset the delivery side of the bill as well. </w:t>
      </w:r>
      <w:r w:rsidRPr="00221288" w:rsidR="00A03761">
        <w:rPr>
          <w:rFonts w:ascii="Palatino Linotype" w:hAnsi="Palatino Linotype"/>
        </w:rPr>
        <w:t xml:space="preserve">SDG&amp;E also </w:t>
      </w:r>
      <w:r w:rsidRPr="00221288" w:rsidR="00B21F89">
        <w:rPr>
          <w:rFonts w:ascii="Palatino Linotype" w:hAnsi="Palatino Linotype"/>
        </w:rPr>
        <w:t>cites</w:t>
      </w:r>
      <w:r w:rsidRPr="00221288" w:rsidR="00523DD6">
        <w:rPr>
          <w:rFonts w:ascii="Palatino Linotype" w:hAnsi="Palatino Linotype"/>
        </w:rPr>
        <w:t xml:space="preserve"> the</w:t>
      </w:r>
      <w:r w:rsidRPr="00221288" w:rsidR="00A03761">
        <w:rPr>
          <w:rFonts w:ascii="Palatino Linotype" w:hAnsi="Palatino Linotype"/>
        </w:rPr>
        <w:t xml:space="preserve"> </w:t>
      </w:r>
      <w:r w:rsidRPr="00221288" w:rsidR="004F3127">
        <w:rPr>
          <w:rFonts w:ascii="Palatino Linotype" w:hAnsi="Palatino Linotype"/>
        </w:rPr>
        <w:t>D.22-12-056 state</w:t>
      </w:r>
      <w:r w:rsidRPr="00221288" w:rsidR="00523DD6">
        <w:rPr>
          <w:rFonts w:ascii="Palatino Linotype" w:hAnsi="Palatino Linotype"/>
        </w:rPr>
        <w:t>ment</w:t>
      </w:r>
      <w:r w:rsidRPr="00221288" w:rsidR="004F3127">
        <w:rPr>
          <w:rFonts w:ascii="Palatino Linotype" w:hAnsi="Palatino Linotype"/>
        </w:rPr>
        <w:t xml:space="preserve"> that the division of the </w:t>
      </w:r>
      <w:r w:rsidRPr="00221288" w:rsidR="00557B77">
        <w:rPr>
          <w:rFonts w:ascii="Palatino Linotype" w:hAnsi="Palatino Linotype"/>
        </w:rPr>
        <w:t xml:space="preserve">retail export </w:t>
      </w:r>
      <w:r w:rsidRPr="00221288" w:rsidR="004F3127">
        <w:rPr>
          <w:rFonts w:ascii="Palatino Linotype" w:hAnsi="Palatino Linotype"/>
        </w:rPr>
        <w:t>credit between delivery and</w:t>
      </w:r>
      <w:r w:rsidRPr="00221288" w:rsidR="00557B77">
        <w:rPr>
          <w:rFonts w:ascii="Palatino Linotype" w:hAnsi="Palatino Linotype"/>
        </w:rPr>
        <w:t xml:space="preserve"> </w:t>
      </w:r>
      <w:r w:rsidRPr="00221288" w:rsidR="004F3127">
        <w:rPr>
          <w:rFonts w:ascii="Palatino Linotype" w:hAnsi="Palatino Linotype"/>
        </w:rPr>
        <w:t xml:space="preserve">commodity is reasonable and considers competitive neutrality amongst </w:t>
      </w:r>
      <w:r w:rsidRPr="00221288" w:rsidR="008C0131">
        <w:rPr>
          <w:rFonts w:ascii="Palatino Linotype" w:hAnsi="Palatino Linotype"/>
        </w:rPr>
        <w:t>LSEs</w:t>
      </w:r>
      <w:r w:rsidRPr="00221288" w:rsidR="00523DD6">
        <w:rPr>
          <w:rFonts w:ascii="Palatino Linotype" w:hAnsi="Palatino Linotype"/>
        </w:rPr>
        <w:t xml:space="preserve"> as support for </w:t>
      </w:r>
      <w:r w:rsidR="00666674">
        <w:rPr>
          <w:rFonts w:ascii="Palatino Linotype" w:hAnsi="Palatino Linotype"/>
        </w:rPr>
        <w:br/>
      </w:r>
      <w:r w:rsidRPr="00221288" w:rsidR="00F47687">
        <w:rPr>
          <w:rFonts w:ascii="Palatino Linotype" w:hAnsi="Palatino Linotype"/>
        </w:rPr>
        <w:t>SDG&amp;E’s interpretation that t</w:t>
      </w:r>
      <w:r w:rsidRPr="00221288" w:rsidR="004F3127">
        <w:rPr>
          <w:rFonts w:ascii="Palatino Linotype" w:hAnsi="Palatino Linotype"/>
        </w:rPr>
        <w:t xml:space="preserve">he Commission intended for the </w:t>
      </w:r>
      <w:r w:rsidRPr="00221288" w:rsidR="00F47687">
        <w:rPr>
          <w:rFonts w:ascii="Palatino Linotype" w:hAnsi="Palatino Linotype"/>
        </w:rPr>
        <w:t>retail</w:t>
      </w:r>
      <w:r w:rsidRPr="00221288" w:rsidR="004F3127">
        <w:rPr>
          <w:rFonts w:ascii="Palatino Linotype" w:hAnsi="Palatino Linotype"/>
        </w:rPr>
        <w:t xml:space="preserve"> export credits to maintain</w:t>
      </w:r>
      <w:r w:rsidRPr="00221288" w:rsidR="00F47687">
        <w:rPr>
          <w:rFonts w:ascii="Palatino Linotype" w:hAnsi="Palatino Linotype"/>
        </w:rPr>
        <w:t xml:space="preserve"> </w:t>
      </w:r>
      <w:r w:rsidRPr="00221288" w:rsidR="004F3127">
        <w:rPr>
          <w:rFonts w:ascii="Palatino Linotype" w:hAnsi="Palatino Linotype"/>
        </w:rPr>
        <w:t>competitive neutrality.</w:t>
      </w:r>
    </w:p>
    <w:p w:rsidRPr="00221288" w:rsidR="00CE6E1F" w:rsidP="005B38AE" w:rsidRDefault="00CE6E1F" w14:paraId="405F6390" w14:textId="77777777">
      <w:pPr>
        <w:rPr>
          <w:rFonts w:ascii="Palatino Linotype" w:hAnsi="Palatino Linotype"/>
        </w:rPr>
      </w:pPr>
    </w:p>
    <w:p w:rsidRPr="00221288" w:rsidR="0083114E" w:rsidP="0083114E" w:rsidRDefault="0083114E" w14:paraId="679E9680" w14:textId="77777777">
      <w:pPr>
        <w:pStyle w:val="Heading3"/>
        <w:rPr>
          <w:rFonts w:ascii="Palatino Linotype" w:hAnsi="Palatino Linotype"/>
        </w:rPr>
      </w:pPr>
      <w:r w:rsidRPr="00221288">
        <w:rPr>
          <w:rFonts w:ascii="Palatino Linotype" w:hAnsi="Palatino Linotype"/>
        </w:rPr>
        <w:t>Eligibility of Retail Exports for Demand Response Program Compensation</w:t>
      </w:r>
    </w:p>
    <w:p w:rsidRPr="00221288" w:rsidR="0083114E" w:rsidP="0083114E" w:rsidRDefault="0083114E" w14:paraId="4A009194" w14:textId="77777777">
      <w:pPr>
        <w:rPr>
          <w:rFonts w:ascii="Palatino Linotype" w:hAnsi="Palatino Linotype"/>
        </w:rPr>
      </w:pPr>
    </w:p>
    <w:p w:rsidRPr="00221288" w:rsidR="0083114E" w:rsidP="0083114E" w:rsidRDefault="0083114E" w14:paraId="12DDB5E2" w14:textId="77777777">
      <w:pPr>
        <w:rPr>
          <w:rFonts w:ascii="Palatino Linotype" w:hAnsi="Palatino Linotype"/>
        </w:rPr>
      </w:pPr>
      <w:r w:rsidRPr="00221288">
        <w:rPr>
          <w:rFonts w:ascii="Palatino Linotype" w:hAnsi="Palatino Linotype"/>
        </w:rPr>
        <w:lastRenderedPageBreak/>
        <w:t>In its protest, CALSSA asserts that eligibility for demand response programs should be determined by those programs. Therefore, it proposes that the Commission direct PG&amp;E and SDG&amp;E to delete the language in their ALs proposing to prohibit customers that receive retail export compensation credits from also being compensated for exports in demand response programs. Similarly, SEIA asserts that these utilities’ proposed prohibition is not discussed in D.22-12-056, meaning that they lack authorization to include it as part of the NBT.</w:t>
      </w:r>
    </w:p>
    <w:p w:rsidRPr="00221288" w:rsidR="0083114E" w:rsidP="0083114E" w:rsidRDefault="0083114E" w14:paraId="5E974DC8" w14:textId="77777777">
      <w:pPr>
        <w:rPr>
          <w:rFonts w:ascii="Palatino Linotype" w:hAnsi="Palatino Linotype"/>
        </w:rPr>
      </w:pPr>
    </w:p>
    <w:p w:rsidRPr="00221288" w:rsidR="0083114E" w:rsidP="0083114E" w:rsidRDefault="0083114E" w14:paraId="6D8FD1B6" w14:textId="1532706A">
      <w:pPr>
        <w:rPr>
          <w:rFonts w:ascii="Palatino Linotype" w:hAnsi="Palatino Linotype"/>
        </w:rPr>
      </w:pPr>
      <w:r w:rsidRPr="00221288">
        <w:rPr>
          <w:rFonts w:ascii="Palatino Linotype" w:hAnsi="Palatino Linotype"/>
        </w:rPr>
        <w:t>In its reply, PG&amp;E states that the language in question is in the NEM 1.0 and NEM 2.0 tariffs, and that D.22-12-056 did not authorize changing this in the NBT. In its reply, SDG&amp;E agrees with CALSSA that eligibility for demand response programs should be determined in demand response proceedings, but conclude</w:t>
      </w:r>
      <w:r w:rsidRPr="00221288" w:rsidR="00470D0E">
        <w:rPr>
          <w:rFonts w:ascii="Palatino Linotype" w:hAnsi="Palatino Linotype"/>
        </w:rPr>
        <w:t>s</w:t>
      </w:r>
      <w:r w:rsidRPr="00221288">
        <w:rPr>
          <w:rFonts w:ascii="Palatino Linotype" w:hAnsi="Palatino Linotype"/>
        </w:rPr>
        <w:t xml:space="preserve"> that NBT customers should not be made eligible to participate in such programs in the R.20-08-020 proceeding. SCE does not address this topic in its reply.</w:t>
      </w:r>
    </w:p>
    <w:p w:rsidRPr="00221288" w:rsidR="0083114E" w:rsidP="0083114E" w:rsidRDefault="0083114E" w14:paraId="416D2E13" w14:textId="77777777">
      <w:pPr>
        <w:rPr>
          <w:rFonts w:ascii="Palatino Linotype" w:hAnsi="Palatino Linotype"/>
        </w:rPr>
      </w:pPr>
    </w:p>
    <w:p w:rsidRPr="00221288" w:rsidR="00713320" w:rsidP="005B0AB0" w:rsidRDefault="00C35BD6" w14:paraId="7D5EC355" w14:textId="4F67C7A0">
      <w:pPr>
        <w:pStyle w:val="Heading3"/>
        <w:rPr>
          <w:rFonts w:ascii="Palatino Linotype" w:hAnsi="Palatino Linotype"/>
        </w:rPr>
      </w:pPr>
      <w:r w:rsidRPr="00221288">
        <w:rPr>
          <w:rFonts w:ascii="Palatino Linotype" w:hAnsi="Palatino Linotype"/>
        </w:rPr>
        <w:t>Establish</w:t>
      </w:r>
      <w:r w:rsidRPr="00221288" w:rsidR="00244162">
        <w:rPr>
          <w:rFonts w:ascii="Palatino Linotype" w:hAnsi="Palatino Linotype"/>
        </w:rPr>
        <w:t>ing</w:t>
      </w:r>
      <w:r w:rsidRPr="00221288">
        <w:rPr>
          <w:rFonts w:ascii="Palatino Linotype" w:hAnsi="Palatino Linotype"/>
        </w:rPr>
        <w:t xml:space="preserve"> </w:t>
      </w:r>
      <w:r w:rsidRPr="00221288" w:rsidR="001D72E7">
        <w:rPr>
          <w:rFonts w:ascii="Palatino Linotype" w:hAnsi="Palatino Linotype"/>
        </w:rPr>
        <w:t xml:space="preserve">Disadvantaged Community </w:t>
      </w:r>
      <w:r w:rsidRPr="00221288" w:rsidR="00244162">
        <w:rPr>
          <w:rFonts w:ascii="Palatino Linotype" w:hAnsi="Palatino Linotype"/>
        </w:rPr>
        <w:t>Treatment Eligibility</w:t>
      </w:r>
    </w:p>
    <w:p w:rsidRPr="00221288" w:rsidR="003E0B0D" w:rsidP="003E0B0D" w:rsidRDefault="003E0B0D" w14:paraId="7F742686" w14:textId="77777777">
      <w:pPr>
        <w:rPr>
          <w:rFonts w:ascii="Palatino Linotype" w:hAnsi="Palatino Linotype"/>
        </w:rPr>
      </w:pPr>
    </w:p>
    <w:p w:rsidRPr="00221288" w:rsidR="00CE6E1F" w:rsidP="00B52BC3" w:rsidRDefault="00C35BD6" w14:paraId="1B5AC2EE" w14:textId="2B925C2D">
      <w:pPr>
        <w:rPr>
          <w:rFonts w:ascii="Palatino Linotype" w:hAnsi="Palatino Linotype"/>
        </w:rPr>
      </w:pPr>
      <w:r w:rsidRPr="00221288">
        <w:rPr>
          <w:rFonts w:ascii="Palatino Linotype" w:hAnsi="Palatino Linotype"/>
        </w:rPr>
        <w:t xml:space="preserve">CALSSA </w:t>
      </w:r>
      <w:r w:rsidRPr="00221288" w:rsidR="004947AD">
        <w:rPr>
          <w:rFonts w:ascii="Palatino Linotype" w:hAnsi="Palatino Linotype"/>
        </w:rPr>
        <w:t>asserts</w:t>
      </w:r>
      <w:r w:rsidRPr="00221288" w:rsidR="0061613B">
        <w:rPr>
          <w:rFonts w:ascii="Palatino Linotype" w:hAnsi="Palatino Linotype"/>
        </w:rPr>
        <w:t xml:space="preserve"> in </w:t>
      </w:r>
      <w:r w:rsidRPr="00221288">
        <w:rPr>
          <w:rFonts w:ascii="Palatino Linotype" w:hAnsi="Palatino Linotype"/>
        </w:rPr>
        <w:t xml:space="preserve">its </w:t>
      </w:r>
      <w:r w:rsidRPr="00221288" w:rsidR="0061613B">
        <w:rPr>
          <w:rFonts w:ascii="Palatino Linotype" w:hAnsi="Palatino Linotype"/>
        </w:rPr>
        <w:t xml:space="preserve">initial </w:t>
      </w:r>
      <w:r w:rsidRPr="00221288">
        <w:rPr>
          <w:rFonts w:ascii="Palatino Linotype" w:hAnsi="Palatino Linotype"/>
        </w:rPr>
        <w:t>protest</w:t>
      </w:r>
      <w:r w:rsidRPr="00221288" w:rsidR="00563632">
        <w:rPr>
          <w:rFonts w:ascii="Palatino Linotype" w:hAnsi="Palatino Linotype"/>
        </w:rPr>
        <w:t xml:space="preserve"> that it</w:t>
      </w:r>
      <w:r w:rsidRPr="00221288">
        <w:rPr>
          <w:rFonts w:ascii="Palatino Linotype" w:hAnsi="Palatino Linotype"/>
        </w:rPr>
        <w:t xml:space="preserve"> will be important for utilities and</w:t>
      </w:r>
      <w:r w:rsidRPr="00221288" w:rsidR="00563632">
        <w:rPr>
          <w:rFonts w:ascii="Palatino Linotype" w:hAnsi="Palatino Linotype"/>
        </w:rPr>
        <w:t xml:space="preserve"> </w:t>
      </w:r>
      <w:r w:rsidRPr="00221288">
        <w:rPr>
          <w:rFonts w:ascii="Palatino Linotype" w:hAnsi="Palatino Linotype"/>
        </w:rPr>
        <w:t xml:space="preserve">customers to use the same tool to </w:t>
      </w:r>
      <w:r w:rsidRPr="00221288" w:rsidR="00FB28F6">
        <w:rPr>
          <w:rFonts w:ascii="Palatino Linotype" w:hAnsi="Palatino Linotype"/>
        </w:rPr>
        <w:t xml:space="preserve">establish disadvantaged community (DAC) residence, to </w:t>
      </w:r>
      <w:r w:rsidRPr="00221288">
        <w:rPr>
          <w:rFonts w:ascii="Palatino Linotype" w:hAnsi="Palatino Linotype"/>
        </w:rPr>
        <w:t>make sure customer expectations are consistent with utility</w:t>
      </w:r>
      <w:r w:rsidRPr="00221288" w:rsidR="00563632">
        <w:rPr>
          <w:rFonts w:ascii="Palatino Linotype" w:hAnsi="Palatino Linotype"/>
        </w:rPr>
        <w:t xml:space="preserve"> </w:t>
      </w:r>
      <w:r w:rsidRPr="00221288">
        <w:rPr>
          <w:rFonts w:ascii="Palatino Linotype" w:hAnsi="Palatino Linotype"/>
        </w:rPr>
        <w:t>determinations.</w:t>
      </w:r>
      <w:r w:rsidRPr="00221288" w:rsidR="00FB28F6">
        <w:rPr>
          <w:rFonts w:ascii="Palatino Linotype" w:hAnsi="Palatino Linotype"/>
        </w:rPr>
        <w:t xml:space="preserve"> </w:t>
      </w:r>
      <w:r w:rsidRPr="00221288">
        <w:rPr>
          <w:rFonts w:ascii="Palatino Linotype" w:hAnsi="Palatino Linotype"/>
        </w:rPr>
        <w:t>CALSSA recommend</w:t>
      </w:r>
      <w:r w:rsidRPr="00221288" w:rsidR="004C0CD5">
        <w:rPr>
          <w:rFonts w:ascii="Palatino Linotype" w:hAnsi="Palatino Linotype"/>
        </w:rPr>
        <w:t>s</w:t>
      </w:r>
      <w:r w:rsidRPr="00221288">
        <w:rPr>
          <w:rFonts w:ascii="Palatino Linotype" w:hAnsi="Palatino Linotype"/>
        </w:rPr>
        <w:t xml:space="preserve"> using the </w:t>
      </w:r>
      <w:proofErr w:type="spellStart"/>
      <w:r w:rsidRPr="00221288">
        <w:rPr>
          <w:rFonts w:ascii="Palatino Linotype" w:hAnsi="Palatino Linotype"/>
        </w:rPr>
        <w:t>CalEnviroScreen</w:t>
      </w:r>
      <w:proofErr w:type="spellEnd"/>
      <w:r w:rsidRPr="00221288">
        <w:rPr>
          <w:rFonts w:ascii="Palatino Linotype" w:hAnsi="Palatino Linotype"/>
        </w:rPr>
        <w:t xml:space="preserve"> 4.0 Data Dashboard, with a property deemed</w:t>
      </w:r>
      <w:r w:rsidRPr="00221288" w:rsidR="00FB28F6">
        <w:rPr>
          <w:rFonts w:ascii="Palatino Linotype" w:hAnsi="Palatino Linotype"/>
        </w:rPr>
        <w:t xml:space="preserve"> </w:t>
      </w:r>
      <w:r w:rsidRPr="00221288">
        <w:rPr>
          <w:rFonts w:ascii="Palatino Linotype" w:hAnsi="Palatino Linotype"/>
        </w:rPr>
        <w:t>eligible for the higher ACC Plus adders if the “</w:t>
      </w:r>
      <w:proofErr w:type="spellStart"/>
      <w:r w:rsidRPr="00221288">
        <w:rPr>
          <w:rFonts w:ascii="Palatino Linotype" w:hAnsi="Palatino Linotype"/>
        </w:rPr>
        <w:t>CalEnviroScreen</w:t>
      </w:r>
      <w:proofErr w:type="spellEnd"/>
      <w:r w:rsidRPr="00221288">
        <w:rPr>
          <w:rFonts w:ascii="Palatino Linotype" w:hAnsi="Palatino Linotype"/>
        </w:rPr>
        <w:t xml:space="preserve"> Percentile” is listed as 75 or</w:t>
      </w:r>
      <w:r w:rsidRPr="00221288" w:rsidR="00FB28F6">
        <w:rPr>
          <w:rFonts w:ascii="Palatino Linotype" w:hAnsi="Palatino Linotype"/>
        </w:rPr>
        <w:t xml:space="preserve"> </w:t>
      </w:r>
      <w:r w:rsidRPr="00221288">
        <w:rPr>
          <w:rFonts w:ascii="Palatino Linotype" w:hAnsi="Palatino Linotype"/>
        </w:rPr>
        <w:t>greater or is blank.</w:t>
      </w:r>
      <w:r w:rsidRPr="00221288" w:rsidR="00B52BC3">
        <w:rPr>
          <w:rFonts w:ascii="Palatino Linotype" w:hAnsi="Palatino Linotype"/>
        </w:rPr>
        <w:t xml:space="preserve"> CALSSA further recommend</w:t>
      </w:r>
      <w:r w:rsidRPr="00221288" w:rsidR="004C0CD5">
        <w:rPr>
          <w:rFonts w:ascii="Palatino Linotype" w:hAnsi="Palatino Linotype"/>
        </w:rPr>
        <w:t>s</w:t>
      </w:r>
      <w:r w:rsidRPr="00221288" w:rsidR="00B52BC3">
        <w:rPr>
          <w:rFonts w:ascii="Palatino Linotype" w:hAnsi="Palatino Linotype"/>
        </w:rPr>
        <w:t xml:space="preserve"> that the utilities a</w:t>
      </w:r>
      <w:r w:rsidRPr="00221288">
        <w:rPr>
          <w:rFonts w:ascii="Palatino Linotype" w:hAnsi="Palatino Linotype"/>
        </w:rPr>
        <w:t>sk the interconnection applicant if the property is in a DAC</w:t>
      </w:r>
      <w:r w:rsidRPr="00221288" w:rsidR="00B52BC3">
        <w:rPr>
          <w:rFonts w:ascii="Palatino Linotype" w:hAnsi="Palatino Linotype"/>
        </w:rPr>
        <w:t xml:space="preserve"> and then notify the applicant during application review if </w:t>
      </w:r>
      <w:r w:rsidRPr="00221288">
        <w:rPr>
          <w:rFonts w:ascii="Palatino Linotype" w:hAnsi="Palatino Linotype"/>
        </w:rPr>
        <w:t>the utility disagrees with the customer.</w:t>
      </w:r>
    </w:p>
    <w:p w:rsidRPr="00221288" w:rsidR="00245385" w:rsidP="00B52BC3" w:rsidRDefault="00245385" w14:paraId="21FEFE6F" w14:textId="77777777">
      <w:pPr>
        <w:rPr>
          <w:rFonts w:ascii="Palatino Linotype" w:hAnsi="Palatino Linotype"/>
        </w:rPr>
      </w:pPr>
    </w:p>
    <w:p w:rsidRPr="00221288" w:rsidR="00245385" w:rsidP="00500EE2" w:rsidRDefault="00245385" w14:paraId="782B6A29" w14:textId="0D5A4A3A">
      <w:pPr>
        <w:rPr>
          <w:rFonts w:ascii="Palatino Linotype" w:hAnsi="Palatino Linotype"/>
        </w:rPr>
      </w:pPr>
      <w:r w:rsidRPr="00221288">
        <w:rPr>
          <w:rFonts w:ascii="Palatino Linotype" w:hAnsi="Palatino Linotype"/>
        </w:rPr>
        <w:t xml:space="preserve">In </w:t>
      </w:r>
      <w:r w:rsidRPr="00221288" w:rsidR="001F6D5B">
        <w:rPr>
          <w:rFonts w:ascii="Palatino Linotype" w:hAnsi="Palatino Linotype"/>
        </w:rPr>
        <w:t xml:space="preserve">its reply, PG&amp;E </w:t>
      </w:r>
      <w:r w:rsidRPr="00221288" w:rsidR="00D807A0">
        <w:rPr>
          <w:rFonts w:ascii="Palatino Linotype" w:hAnsi="Palatino Linotype"/>
        </w:rPr>
        <w:t xml:space="preserve">states </w:t>
      </w:r>
      <w:r w:rsidRPr="00221288" w:rsidR="001F6D5B">
        <w:rPr>
          <w:rFonts w:ascii="Palatino Linotype" w:hAnsi="Palatino Linotype"/>
        </w:rPr>
        <w:t xml:space="preserve">that it </w:t>
      </w:r>
      <w:r w:rsidRPr="00221288" w:rsidR="00500EE2">
        <w:rPr>
          <w:rFonts w:ascii="Palatino Linotype" w:hAnsi="Palatino Linotype"/>
        </w:rPr>
        <w:t>already verifies DAC status as defined in D.18-06-027</w:t>
      </w:r>
      <w:r w:rsidRPr="00221288" w:rsidR="00987CAA">
        <w:rPr>
          <w:rStyle w:val="FootnoteReference"/>
          <w:rFonts w:ascii="Palatino Linotype" w:hAnsi="Palatino Linotype"/>
        </w:rPr>
        <w:footnoteReference w:id="3"/>
      </w:r>
      <w:r w:rsidRPr="00221288" w:rsidR="00500EE2">
        <w:rPr>
          <w:rFonts w:ascii="Palatino Linotype" w:hAnsi="Palatino Linotype"/>
        </w:rPr>
        <w:t xml:space="preserve"> using </w:t>
      </w:r>
      <w:proofErr w:type="spellStart"/>
      <w:r w:rsidRPr="00221288" w:rsidR="00500EE2">
        <w:rPr>
          <w:rFonts w:ascii="Palatino Linotype" w:hAnsi="Palatino Linotype"/>
        </w:rPr>
        <w:t>CalEnviroScreen</w:t>
      </w:r>
      <w:proofErr w:type="spellEnd"/>
      <w:r w:rsidRPr="00221288" w:rsidR="00500EE2">
        <w:rPr>
          <w:rFonts w:ascii="Palatino Linotype" w:hAnsi="Palatino Linotype"/>
        </w:rPr>
        <w:t xml:space="preserve">. PG&amp;E </w:t>
      </w:r>
      <w:r w:rsidRPr="00221288" w:rsidR="00D807A0">
        <w:rPr>
          <w:rFonts w:ascii="Palatino Linotype" w:hAnsi="Palatino Linotype"/>
        </w:rPr>
        <w:t xml:space="preserve">proposes </w:t>
      </w:r>
      <w:r w:rsidRPr="00221288" w:rsidR="00500EE2">
        <w:rPr>
          <w:rFonts w:ascii="Palatino Linotype" w:hAnsi="Palatino Linotype"/>
        </w:rPr>
        <w:t>t</w:t>
      </w:r>
      <w:r w:rsidRPr="00221288" w:rsidR="0037180F">
        <w:rPr>
          <w:rFonts w:ascii="Palatino Linotype" w:hAnsi="Palatino Linotype"/>
        </w:rPr>
        <w:t>o</w:t>
      </w:r>
      <w:r w:rsidRPr="00221288" w:rsidR="001F6D5B">
        <w:rPr>
          <w:rFonts w:ascii="Palatino Linotype" w:hAnsi="Palatino Linotype"/>
        </w:rPr>
        <w:t xml:space="preserve"> make a link available to the DAC look-up tool to allow customers to confirm their DAC status when interconnecting</w:t>
      </w:r>
      <w:r w:rsidRPr="00221288" w:rsidR="007537AA">
        <w:rPr>
          <w:rFonts w:ascii="Palatino Linotype" w:hAnsi="Palatino Linotype"/>
        </w:rPr>
        <w:t xml:space="preserve"> </w:t>
      </w:r>
      <w:r w:rsidRPr="00221288" w:rsidR="001F6D5B">
        <w:rPr>
          <w:rFonts w:ascii="Palatino Linotype" w:hAnsi="Palatino Linotype"/>
        </w:rPr>
        <w:t>under the NBT</w:t>
      </w:r>
      <w:r w:rsidRPr="00221288" w:rsidR="007537AA">
        <w:rPr>
          <w:rFonts w:ascii="Palatino Linotype" w:hAnsi="Palatino Linotype"/>
        </w:rPr>
        <w:t>,</w:t>
      </w:r>
      <w:r w:rsidRPr="00221288" w:rsidR="001F6D5B">
        <w:rPr>
          <w:rFonts w:ascii="Palatino Linotype" w:hAnsi="Palatino Linotype"/>
        </w:rPr>
        <w:t xml:space="preserve"> but</w:t>
      </w:r>
      <w:r w:rsidRPr="00221288" w:rsidR="007537AA">
        <w:rPr>
          <w:rFonts w:ascii="Palatino Linotype" w:hAnsi="Palatino Linotype"/>
        </w:rPr>
        <w:t xml:space="preserve"> </w:t>
      </w:r>
      <w:r w:rsidRPr="00221288" w:rsidR="0037180F">
        <w:rPr>
          <w:rFonts w:ascii="Palatino Linotype" w:hAnsi="Palatino Linotype"/>
        </w:rPr>
        <w:t xml:space="preserve">asserts </w:t>
      </w:r>
      <w:r w:rsidRPr="00221288" w:rsidR="007537AA">
        <w:rPr>
          <w:rFonts w:ascii="Palatino Linotype" w:hAnsi="Palatino Linotype"/>
        </w:rPr>
        <w:t>that</w:t>
      </w:r>
      <w:r w:rsidRPr="00221288" w:rsidR="001F6D5B">
        <w:rPr>
          <w:rFonts w:ascii="Palatino Linotype" w:hAnsi="Palatino Linotype"/>
        </w:rPr>
        <w:t xml:space="preserve"> </w:t>
      </w:r>
      <w:r w:rsidRPr="00221288" w:rsidR="007537AA">
        <w:rPr>
          <w:rFonts w:ascii="Palatino Linotype" w:hAnsi="Palatino Linotype"/>
        </w:rPr>
        <w:t xml:space="preserve">it </w:t>
      </w:r>
      <w:r w:rsidRPr="00221288" w:rsidR="0037180F">
        <w:rPr>
          <w:rFonts w:ascii="Palatino Linotype" w:hAnsi="Palatino Linotype"/>
        </w:rPr>
        <w:t>i</w:t>
      </w:r>
      <w:r w:rsidRPr="00221288" w:rsidR="007537AA">
        <w:rPr>
          <w:rFonts w:ascii="Palatino Linotype" w:hAnsi="Palatino Linotype"/>
        </w:rPr>
        <w:t xml:space="preserve">s not necessary </w:t>
      </w:r>
      <w:r w:rsidRPr="00221288" w:rsidR="001F6D5B">
        <w:rPr>
          <w:rFonts w:ascii="Palatino Linotype" w:hAnsi="Palatino Linotype"/>
        </w:rPr>
        <w:t xml:space="preserve">to </w:t>
      </w:r>
      <w:r w:rsidRPr="00221288" w:rsidR="00470D0E">
        <w:rPr>
          <w:rFonts w:ascii="Palatino Linotype" w:hAnsi="Palatino Linotype"/>
        </w:rPr>
        <w:t>ask</w:t>
      </w:r>
      <w:r w:rsidRPr="00221288" w:rsidR="001F6D5B">
        <w:rPr>
          <w:rFonts w:ascii="Palatino Linotype" w:hAnsi="Palatino Linotype"/>
        </w:rPr>
        <w:t xml:space="preserve"> customers to</w:t>
      </w:r>
      <w:r w:rsidRPr="00221288" w:rsidR="007537AA">
        <w:rPr>
          <w:rFonts w:ascii="Palatino Linotype" w:hAnsi="Palatino Linotype"/>
        </w:rPr>
        <w:t xml:space="preserve"> </w:t>
      </w:r>
      <w:r w:rsidRPr="00221288" w:rsidR="001F6D5B">
        <w:rPr>
          <w:rFonts w:ascii="Palatino Linotype" w:hAnsi="Palatino Linotype"/>
        </w:rPr>
        <w:t>self-select DAC eligibility during interconnection.</w:t>
      </w:r>
      <w:r w:rsidRPr="00221288" w:rsidR="00F4656D">
        <w:rPr>
          <w:rFonts w:ascii="Palatino Linotype" w:hAnsi="Palatino Linotype"/>
        </w:rPr>
        <w:t xml:space="preserve"> In its reply, SCE </w:t>
      </w:r>
      <w:r w:rsidRPr="00221288" w:rsidR="00D06641">
        <w:rPr>
          <w:rFonts w:ascii="Palatino Linotype" w:hAnsi="Palatino Linotype"/>
        </w:rPr>
        <w:t xml:space="preserve">suggests </w:t>
      </w:r>
      <w:r w:rsidRPr="00221288" w:rsidR="00F4656D">
        <w:rPr>
          <w:rFonts w:ascii="Palatino Linotype" w:hAnsi="Palatino Linotype"/>
        </w:rPr>
        <w:t xml:space="preserve">that </w:t>
      </w:r>
      <w:r w:rsidRPr="00221288" w:rsidR="00D95240">
        <w:rPr>
          <w:rFonts w:ascii="Palatino Linotype" w:hAnsi="Palatino Linotype"/>
        </w:rPr>
        <w:t xml:space="preserve">a mapping tool be selected as the preferred data source </w:t>
      </w:r>
      <w:r w:rsidRPr="00221288" w:rsidR="00F4656D">
        <w:rPr>
          <w:rFonts w:ascii="Palatino Linotype" w:hAnsi="Palatino Linotype"/>
        </w:rPr>
        <w:t>in coordination with the Energy Division</w:t>
      </w:r>
      <w:r w:rsidRPr="00221288" w:rsidR="00302DE8">
        <w:rPr>
          <w:rFonts w:ascii="Palatino Linotype" w:hAnsi="Palatino Linotype"/>
        </w:rPr>
        <w:t xml:space="preserve">, and that DAC status eligibility be determined through </w:t>
      </w:r>
      <w:r w:rsidRPr="00221288" w:rsidR="00F4656D">
        <w:rPr>
          <w:rFonts w:ascii="Palatino Linotype" w:hAnsi="Palatino Linotype"/>
        </w:rPr>
        <w:t>a</w:t>
      </w:r>
      <w:r w:rsidRPr="00221288" w:rsidR="00302DE8">
        <w:rPr>
          <w:rFonts w:ascii="Palatino Linotype" w:hAnsi="Palatino Linotype"/>
        </w:rPr>
        <w:t>n</w:t>
      </w:r>
      <w:r w:rsidRPr="00221288" w:rsidR="00F4656D">
        <w:rPr>
          <w:rFonts w:ascii="Palatino Linotype" w:hAnsi="Palatino Linotype"/>
        </w:rPr>
        <w:t xml:space="preserve"> attestation from the customer/applicant, </w:t>
      </w:r>
      <w:r w:rsidRPr="00221288" w:rsidR="00302DE8">
        <w:rPr>
          <w:rFonts w:ascii="Palatino Linotype" w:hAnsi="Palatino Linotype"/>
        </w:rPr>
        <w:t xml:space="preserve">rather than </w:t>
      </w:r>
      <w:r w:rsidRPr="00221288" w:rsidR="00F4656D">
        <w:rPr>
          <w:rFonts w:ascii="Palatino Linotype" w:hAnsi="Palatino Linotype"/>
        </w:rPr>
        <w:t>SCE validat</w:t>
      </w:r>
      <w:r w:rsidRPr="00221288" w:rsidR="00302DE8">
        <w:rPr>
          <w:rFonts w:ascii="Palatino Linotype" w:hAnsi="Palatino Linotype"/>
        </w:rPr>
        <w:t>ing</w:t>
      </w:r>
      <w:r w:rsidRPr="00221288" w:rsidR="00F4656D">
        <w:rPr>
          <w:rFonts w:ascii="Palatino Linotype" w:hAnsi="Palatino Linotype"/>
        </w:rPr>
        <w:t xml:space="preserve"> DAC qualification or single</w:t>
      </w:r>
      <w:r w:rsidRPr="00221288" w:rsidR="00470D0E">
        <w:rPr>
          <w:rFonts w:ascii="Palatino Linotype" w:hAnsi="Palatino Linotype"/>
        </w:rPr>
        <w:t>-</w:t>
      </w:r>
      <w:r w:rsidRPr="00221288" w:rsidR="00F4656D">
        <w:rPr>
          <w:rFonts w:ascii="Palatino Linotype" w:hAnsi="Palatino Linotype"/>
        </w:rPr>
        <w:t>family home ownership at the time of application</w:t>
      </w:r>
      <w:r w:rsidRPr="00221288" w:rsidR="00302DE8">
        <w:rPr>
          <w:rFonts w:ascii="Palatino Linotype" w:hAnsi="Palatino Linotype"/>
        </w:rPr>
        <w:t xml:space="preserve"> so</w:t>
      </w:r>
      <w:r w:rsidRPr="00221288" w:rsidR="00F4656D">
        <w:rPr>
          <w:rFonts w:ascii="Palatino Linotype" w:hAnsi="Palatino Linotype"/>
        </w:rPr>
        <w:t xml:space="preserve"> as to prevent adding additional time to the application review process. However, SCE </w:t>
      </w:r>
      <w:r w:rsidRPr="00221288" w:rsidR="00D25575">
        <w:rPr>
          <w:rFonts w:ascii="Palatino Linotype" w:hAnsi="Palatino Linotype"/>
        </w:rPr>
        <w:t>proposes</w:t>
      </w:r>
      <w:r w:rsidRPr="00221288" w:rsidR="00302DE8">
        <w:rPr>
          <w:rFonts w:ascii="Palatino Linotype" w:hAnsi="Palatino Linotype"/>
        </w:rPr>
        <w:t xml:space="preserve"> to </w:t>
      </w:r>
      <w:r w:rsidRPr="00221288" w:rsidR="00F4656D">
        <w:rPr>
          <w:rFonts w:ascii="Palatino Linotype" w:hAnsi="Palatino Linotype"/>
        </w:rPr>
        <w:t>reserve the right to audit or validate this information at a later time.</w:t>
      </w:r>
      <w:r w:rsidRPr="00221288" w:rsidR="000F5F6E">
        <w:rPr>
          <w:rFonts w:ascii="Palatino Linotype" w:hAnsi="Palatino Linotype"/>
        </w:rPr>
        <w:t xml:space="preserve"> </w:t>
      </w:r>
      <w:r w:rsidRPr="00221288" w:rsidR="003B611D">
        <w:rPr>
          <w:rFonts w:ascii="Palatino Linotype" w:hAnsi="Palatino Linotype"/>
        </w:rPr>
        <w:t xml:space="preserve">In its reply, SDG&amp;E </w:t>
      </w:r>
      <w:r w:rsidRPr="00221288" w:rsidR="00D25575">
        <w:rPr>
          <w:rFonts w:ascii="Palatino Linotype" w:hAnsi="Palatino Linotype"/>
        </w:rPr>
        <w:t xml:space="preserve">states </w:t>
      </w:r>
      <w:r w:rsidRPr="00221288" w:rsidR="003B611D">
        <w:rPr>
          <w:rFonts w:ascii="Palatino Linotype" w:hAnsi="Palatino Linotype"/>
        </w:rPr>
        <w:t xml:space="preserve">that this </w:t>
      </w:r>
      <w:r w:rsidRPr="00221288" w:rsidR="009A7A61">
        <w:rPr>
          <w:rFonts w:ascii="Palatino Linotype" w:hAnsi="Palatino Linotype"/>
        </w:rPr>
        <w:t xml:space="preserve">topic does not apply to it </w:t>
      </w:r>
      <w:r w:rsidRPr="00221288" w:rsidR="003B611D">
        <w:rPr>
          <w:rFonts w:ascii="Palatino Linotype" w:hAnsi="Palatino Linotype"/>
        </w:rPr>
        <w:t xml:space="preserve">as it has no </w:t>
      </w:r>
      <w:r w:rsidRPr="00221288" w:rsidR="009A7A61">
        <w:rPr>
          <w:rFonts w:ascii="Palatino Linotype" w:hAnsi="Palatino Linotype"/>
        </w:rPr>
        <w:t xml:space="preserve">ACC Plus </w:t>
      </w:r>
      <w:r w:rsidRPr="00221288" w:rsidR="003B611D">
        <w:rPr>
          <w:rFonts w:ascii="Palatino Linotype" w:hAnsi="Palatino Linotype"/>
        </w:rPr>
        <w:t>adder.</w:t>
      </w:r>
    </w:p>
    <w:p w:rsidRPr="00221288" w:rsidR="002952A3" w:rsidP="00500EE2" w:rsidRDefault="002952A3" w14:paraId="28172FED" w14:textId="77777777">
      <w:pPr>
        <w:rPr>
          <w:rFonts w:ascii="Palatino Linotype" w:hAnsi="Palatino Linotype"/>
        </w:rPr>
      </w:pPr>
    </w:p>
    <w:p w:rsidRPr="00221288" w:rsidR="004035F2" w:rsidP="004035F2" w:rsidRDefault="004035F2" w14:paraId="65B05606" w14:textId="77777777">
      <w:pPr>
        <w:pStyle w:val="Heading3"/>
        <w:rPr>
          <w:rFonts w:ascii="Palatino Linotype" w:hAnsi="Palatino Linotype"/>
        </w:rPr>
      </w:pPr>
      <w:r w:rsidRPr="00221288">
        <w:rPr>
          <w:rFonts w:ascii="Palatino Linotype" w:hAnsi="Palatino Linotype"/>
        </w:rPr>
        <w:t>Lock-In Period Eligibility and Glide Path Step Determining Dates</w:t>
      </w:r>
    </w:p>
    <w:p w:rsidRPr="00221288" w:rsidR="004035F2" w:rsidP="004035F2" w:rsidRDefault="004035F2" w14:paraId="38E11A31" w14:textId="77777777">
      <w:pPr>
        <w:rPr>
          <w:rFonts w:ascii="Palatino Linotype" w:hAnsi="Palatino Linotype"/>
        </w:rPr>
      </w:pPr>
    </w:p>
    <w:p w:rsidRPr="00221288" w:rsidR="004035F2" w:rsidP="004035F2" w:rsidRDefault="004035F2" w14:paraId="2EB6A6DD" w14:textId="2FD0E646">
      <w:pPr>
        <w:rPr>
          <w:rFonts w:ascii="Palatino Linotype" w:hAnsi="Palatino Linotype"/>
        </w:rPr>
      </w:pPr>
      <w:r w:rsidRPr="00221288">
        <w:rPr>
          <w:rFonts w:ascii="Palatino Linotype" w:hAnsi="Palatino Linotype"/>
        </w:rPr>
        <w:t xml:space="preserve">In their initial protests, CALSSA and SEIA propose that customer eligibility for a retail export compensation rate lock-in period should be based on interconnection application submittal date rather than </w:t>
      </w:r>
      <w:r w:rsidRPr="00221288" w:rsidR="009E1008">
        <w:rPr>
          <w:rFonts w:ascii="Palatino Linotype" w:hAnsi="Palatino Linotype"/>
        </w:rPr>
        <w:t>Permission to Operate</w:t>
      </w:r>
      <w:r w:rsidRPr="00221288">
        <w:rPr>
          <w:rFonts w:ascii="Palatino Linotype" w:hAnsi="Palatino Linotype"/>
        </w:rPr>
        <w:t xml:space="preserve"> date</w:t>
      </w:r>
      <w:r w:rsidRPr="00221288" w:rsidR="009E1008">
        <w:rPr>
          <w:rFonts w:ascii="Palatino Linotype" w:hAnsi="Palatino Linotype"/>
        </w:rPr>
        <w:t xml:space="preserve"> (“PTO” or “</w:t>
      </w:r>
      <w:r w:rsidRPr="00221288">
        <w:rPr>
          <w:rFonts w:ascii="Palatino Linotype" w:hAnsi="Palatino Linotype"/>
        </w:rPr>
        <w:t>interconnection date</w:t>
      </w:r>
      <w:r w:rsidRPr="00221288" w:rsidR="009E1008">
        <w:rPr>
          <w:rFonts w:ascii="Palatino Linotype" w:hAnsi="Palatino Linotype"/>
        </w:rPr>
        <w:t>”)</w:t>
      </w:r>
      <w:r w:rsidRPr="00221288">
        <w:rPr>
          <w:rFonts w:ascii="Palatino Linotype" w:hAnsi="Palatino Linotype"/>
        </w:rPr>
        <w:t xml:space="preserve">. CALSSA argues that D.22-12-056 created a lock-in period to provide customers with certainty about the terms of their investment, but that a lock-in period based on interconnection date would not provide certainty. Similarly, CALSSA proposes that a customer’s ACC Plus adder level should be based on the customer’s interconnection application submittal date. CALSSA argues that, as with the lock-in period, </w:t>
      </w:r>
      <w:r w:rsidRPr="00221288" w:rsidR="000317E1">
        <w:rPr>
          <w:rFonts w:ascii="Palatino Linotype" w:hAnsi="Palatino Linotype"/>
        </w:rPr>
        <w:t xml:space="preserve">in </w:t>
      </w:r>
      <w:r w:rsidR="00693E5B">
        <w:rPr>
          <w:rFonts w:ascii="Palatino Linotype" w:hAnsi="Palatino Linotype"/>
        </w:rPr>
        <w:br/>
      </w:r>
      <w:r w:rsidRPr="00221288">
        <w:rPr>
          <w:rFonts w:ascii="Palatino Linotype" w:hAnsi="Palatino Linotype"/>
        </w:rPr>
        <w:t xml:space="preserve">D.22-12-056 </w:t>
      </w:r>
      <w:r w:rsidRPr="00221288" w:rsidR="000317E1">
        <w:rPr>
          <w:rFonts w:ascii="Palatino Linotype" w:hAnsi="Palatino Linotype"/>
        </w:rPr>
        <w:t xml:space="preserve">the Commission </w:t>
      </w:r>
      <w:r w:rsidRPr="00221288">
        <w:rPr>
          <w:rFonts w:ascii="Palatino Linotype" w:hAnsi="Palatino Linotype"/>
        </w:rPr>
        <w:t>intended the adders to provide certainty to customers, and therefore that customers’ ACC Plus adder levels must depend on their interconnection application dates.</w:t>
      </w:r>
    </w:p>
    <w:p w:rsidRPr="00221288" w:rsidR="004035F2" w:rsidP="004035F2" w:rsidRDefault="004035F2" w14:paraId="302C36B1" w14:textId="77777777">
      <w:pPr>
        <w:rPr>
          <w:rFonts w:ascii="Palatino Linotype" w:hAnsi="Palatino Linotype"/>
        </w:rPr>
      </w:pPr>
    </w:p>
    <w:p w:rsidRPr="00221288" w:rsidR="004035F2" w:rsidP="004035F2" w:rsidRDefault="004035F2" w14:paraId="2B3AE5F1" w14:textId="02612364">
      <w:pPr>
        <w:rPr>
          <w:rFonts w:ascii="Palatino Linotype" w:hAnsi="Palatino Linotype"/>
        </w:rPr>
      </w:pPr>
      <w:r w:rsidRPr="00221288">
        <w:rPr>
          <w:rFonts w:ascii="Palatino Linotype" w:hAnsi="Palatino Linotype"/>
        </w:rPr>
        <w:t xml:space="preserve">In their replies regarding establishing lock-in period eligibility, the utilities refer to language in D.22-12-056 linking the lock-in period with a customer’s interconnection date. SCE adds that it believes that when submitting an application, the customer should have an informed expectation on when the system will be in operation, enabling the customer to manage </w:t>
      </w:r>
      <w:r w:rsidRPr="00221288" w:rsidR="001E3CA3">
        <w:rPr>
          <w:rFonts w:ascii="Palatino Linotype" w:hAnsi="Palatino Linotype"/>
        </w:rPr>
        <w:t>un</w:t>
      </w:r>
      <w:r w:rsidRPr="00221288">
        <w:rPr>
          <w:rFonts w:ascii="Palatino Linotype" w:hAnsi="Palatino Linotype"/>
        </w:rPr>
        <w:t>certainty. SCE asserts that in its service area, most residential applications are submitted after the system is installed, and permission to operate (PTO) the system is granted as soon as full documentation is provided to SCE, so the difference between application date and PTO date is, as a practical matter, likely inconsequential. In its reply, SDG&amp;E adds that this position is consistent with both NEM 1.0 and NEM 2.0 tariffs. Regarding establishing a customer’s ACC Plus adder level, PG&amp;E and SCE state in their replies that eligibility is based on enrollment date, and that submission of an interconnection application does not result in enrollment in the NBT. Only upon receiving PTO, PG&amp;E states, is a customer enrolled. SDG&amp;E does not address this topic in its reply as it has no ACC Plus adders.</w:t>
      </w:r>
    </w:p>
    <w:p w:rsidRPr="00221288" w:rsidR="004035F2" w:rsidP="004035F2" w:rsidRDefault="004035F2" w14:paraId="0D940687" w14:textId="77777777">
      <w:pPr>
        <w:rPr>
          <w:rFonts w:ascii="Palatino Linotype" w:hAnsi="Palatino Linotype"/>
        </w:rPr>
      </w:pPr>
    </w:p>
    <w:p w:rsidRPr="00221288" w:rsidR="004035F2" w:rsidP="004035F2" w:rsidRDefault="004035F2" w14:paraId="02CB1076" w14:textId="77777777">
      <w:pPr>
        <w:tabs>
          <w:tab w:val="left" w:pos="6660"/>
        </w:tabs>
        <w:rPr>
          <w:rFonts w:ascii="Palatino Linotype" w:hAnsi="Palatino Linotype"/>
        </w:rPr>
      </w:pPr>
      <w:r w:rsidRPr="00221288">
        <w:rPr>
          <w:rFonts w:ascii="Palatino Linotype" w:hAnsi="Palatino Linotype"/>
        </w:rPr>
        <w:t>In its protest to the supplemental ALs, CALSSA notes that PG&amp;E’s supplemental AL bases eligibility for a lock-in period on the interconnection application date as CALSSA requested. Also in its protest, CALSSA objects to the language in SDG&amp;E’s supplemental AL basing eligibility on the submittal of all documentation necessary to receive service, which CALSSA asserts would include the final building permit and would not be consistent with other eligibility triggers that are based on the submittal date of interconnection applications that include all information except the final building permit.</w:t>
      </w:r>
    </w:p>
    <w:p w:rsidRPr="00221288" w:rsidR="004035F2" w:rsidP="004035F2" w:rsidRDefault="004035F2" w14:paraId="434320CF" w14:textId="77777777">
      <w:pPr>
        <w:rPr>
          <w:rFonts w:ascii="Palatino Linotype" w:hAnsi="Palatino Linotype"/>
        </w:rPr>
      </w:pPr>
    </w:p>
    <w:p w:rsidRPr="00221288" w:rsidR="004035F2" w:rsidP="004035F2" w:rsidRDefault="004035F2" w14:paraId="014E89E9" w14:textId="77777777">
      <w:pPr>
        <w:rPr>
          <w:rFonts w:ascii="Palatino Linotype" w:hAnsi="Palatino Linotype"/>
        </w:rPr>
      </w:pPr>
      <w:r w:rsidRPr="00221288">
        <w:rPr>
          <w:rFonts w:ascii="Palatino Linotype" w:hAnsi="Palatino Linotype"/>
        </w:rPr>
        <w:lastRenderedPageBreak/>
        <w:t>In its reply to CALSSA’s supplemental protest, PG&amp;E does not discuss lock-in period eligibility, but restates the arguments in the utilities’ previous replies regarding glide path eligibility. PG&amp;E adds that D.22-12-056 states that “customers who take service on the successor tariff after the NEM 2.0 tariff sunset date, but who are temporarily billed on the NEM 2.0 tariff, will not receive the ACC Plus until the successor tariff is operationalized,” and asserts that this further clarifies that customers will not receive the benefits of the NBT until they are billed on the tariff.</w:t>
      </w:r>
    </w:p>
    <w:p w:rsidRPr="00221288" w:rsidR="00700FE0" w:rsidP="004035F2" w:rsidRDefault="00700FE0" w14:paraId="78ACBBEB" w14:textId="77777777">
      <w:pPr>
        <w:rPr>
          <w:rFonts w:ascii="Palatino Linotype" w:hAnsi="Palatino Linotype"/>
        </w:rPr>
      </w:pPr>
    </w:p>
    <w:p w:rsidRPr="00221288" w:rsidR="00700FE0" w:rsidP="00F4039F" w:rsidRDefault="00700FE0" w14:paraId="7566FA69" w14:textId="77777777">
      <w:pPr>
        <w:pStyle w:val="Heading3"/>
        <w:rPr>
          <w:rFonts w:ascii="Palatino Linotype" w:hAnsi="Palatino Linotype"/>
        </w:rPr>
      </w:pPr>
      <w:r w:rsidRPr="00221288">
        <w:rPr>
          <w:rFonts w:ascii="Palatino Linotype" w:hAnsi="Palatino Linotype"/>
        </w:rPr>
        <w:t>Nine-Year Retail Export Compensation Rate Lock-In Period</w:t>
      </w:r>
    </w:p>
    <w:p w:rsidRPr="00221288" w:rsidR="00700FE0" w:rsidP="00700FE0" w:rsidRDefault="00700FE0" w14:paraId="0AA17D31" w14:textId="77777777">
      <w:pPr>
        <w:rPr>
          <w:rFonts w:ascii="Palatino Linotype" w:hAnsi="Palatino Linotype"/>
        </w:rPr>
      </w:pPr>
    </w:p>
    <w:p w:rsidRPr="00221288" w:rsidR="00700FE0" w:rsidP="00700FE0" w:rsidRDefault="00700FE0" w14:paraId="704C7BC4" w14:textId="7C1EC951">
      <w:pPr>
        <w:rPr>
          <w:rFonts w:ascii="Palatino Linotype" w:hAnsi="Palatino Linotype"/>
        </w:rPr>
      </w:pPr>
      <w:r w:rsidRPr="00221288">
        <w:rPr>
          <w:rFonts w:ascii="Palatino Linotype" w:hAnsi="Palatino Linotype"/>
        </w:rPr>
        <w:t xml:space="preserve">CALSSA and SEIA in their initial protests assert that PG&amp;E’s and SDG&amp;E’s ALs contain language that would start a customer’s lock-in period on January 1 of the calendar year in which the customer interconnected. CALSSA and SEIA assert that under such a structure, a customer interconnecting in December would get a lock-in period of about eight years, in contrast to the D.22-12-056 language, “retail export compensation rates for residential and nonresidential net billing tariff customers will be based on a </w:t>
      </w:r>
      <w:r w:rsidR="00693E5B">
        <w:rPr>
          <w:rFonts w:ascii="Palatino Linotype" w:hAnsi="Palatino Linotype"/>
        </w:rPr>
        <w:br/>
      </w:r>
      <w:r w:rsidRPr="00221288">
        <w:rPr>
          <w:rFonts w:ascii="Palatino Linotype" w:hAnsi="Palatino Linotype"/>
        </w:rPr>
        <w:t xml:space="preserve">nine-year schedule of values […].”CALSSA and SEIA propose that this should be corrected to state that each customer’s lock-in period is nine years from their PTO date. </w:t>
      </w:r>
    </w:p>
    <w:p w:rsidRPr="00221288" w:rsidR="00700FE0" w:rsidP="00700FE0" w:rsidRDefault="00700FE0" w14:paraId="41350C88" w14:textId="77777777">
      <w:pPr>
        <w:rPr>
          <w:rFonts w:ascii="Palatino Linotype" w:hAnsi="Palatino Linotype"/>
        </w:rPr>
      </w:pPr>
    </w:p>
    <w:p w:rsidRPr="00221288" w:rsidR="00700FE0" w:rsidP="004035F2" w:rsidRDefault="00700FE0" w14:paraId="0EDE507E" w14:textId="59ABE398">
      <w:pPr>
        <w:rPr>
          <w:rFonts w:ascii="Palatino Linotype" w:hAnsi="Palatino Linotype"/>
          <w:i/>
        </w:rPr>
      </w:pPr>
      <w:r w:rsidRPr="00221288">
        <w:rPr>
          <w:rFonts w:ascii="Palatino Linotype" w:hAnsi="Palatino Linotype"/>
        </w:rPr>
        <w:t>In its reply, PG&amp;E agrees that the 9-year legacy period should run from issuance of PTO and asserts that its tariff is clear that customers will receive a 9-year legacy period. PG&amp;E further clarifies that the nine years should run from PTO whether the customer is initially billed on NEM 2.0 on a temporary basis or takes service on the NBT from the start. PG&amp;E argues that it would not be appropriate to give a customer temporarily billed on NEM 2.0 (which has a more generous compensation structure) a new 9-year period upon commencement of billing on NBT, as such a customer would then receive a longer legacy period than the Decision allows. In its reply, SDG&amp;E states that it addressed this concern in its response to CALSSA’s item 10</w:t>
      </w:r>
      <w:r w:rsidRPr="00221288" w:rsidR="00C10110">
        <w:rPr>
          <w:rFonts w:ascii="Palatino Linotype" w:hAnsi="Palatino Linotype"/>
        </w:rPr>
        <w:t>.</w:t>
      </w:r>
      <w:r w:rsidRPr="00221288" w:rsidR="00C10110">
        <w:rPr>
          <w:rStyle w:val="FootnoteReference"/>
          <w:rFonts w:ascii="Palatino Linotype" w:hAnsi="Palatino Linotype"/>
        </w:rPr>
        <w:footnoteReference w:id="4"/>
      </w:r>
    </w:p>
    <w:p w:rsidRPr="00221288" w:rsidR="007B6936" w:rsidP="005B0AB0" w:rsidRDefault="007B6936" w14:paraId="3D0D588E" w14:textId="77777777">
      <w:pPr>
        <w:rPr>
          <w:rFonts w:ascii="Palatino Linotype" w:hAnsi="Palatino Linotype"/>
        </w:rPr>
      </w:pPr>
    </w:p>
    <w:p w:rsidRPr="00221288" w:rsidR="002952A3" w:rsidP="00C330EB" w:rsidRDefault="00EF46E1" w14:paraId="057552B4" w14:textId="440BF6D9">
      <w:pPr>
        <w:pStyle w:val="Heading3"/>
        <w:rPr>
          <w:rFonts w:ascii="Palatino Linotype" w:hAnsi="Palatino Linotype"/>
        </w:rPr>
      </w:pPr>
      <w:r w:rsidRPr="00221288">
        <w:rPr>
          <w:rFonts w:ascii="Palatino Linotype" w:hAnsi="Palatino Linotype"/>
        </w:rPr>
        <w:t xml:space="preserve">Legacy </w:t>
      </w:r>
      <w:r w:rsidRPr="00221288" w:rsidR="00B07EA7">
        <w:rPr>
          <w:rFonts w:ascii="Palatino Linotype" w:hAnsi="Palatino Linotype"/>
        </w:rPr>
        <w:t>Period Eligibility Timeframe</w:t>
      </w:r>
    </w:p>
    <w:p w:rsidRPr="00221288" w:rsidR="006E3971" w:rsidP="006E3971" w:rsidRDefault="006E3971" w14:paraId="1C65EA1A" w14:textId="77777777">
      <w:pPr>
        <w:rPr>
          <w:rFonts w:ascii="Palatino Linotype" w:hAnsi="Palatino Linotype"/>
        </w:rPr>
      </w:pPr>
    </w:p>
    <w:p w:rsidRPr="00221288" w:rsidR="00C330EB" w:rsidP="003A4DE3" w:rsidRDefault="00D864CE" w14:paraId="42A62048" w14:textId="2C894046">
      <w:pPr>
        <w:rPr>
          <w:rFonts w:ascii="Palatino Linotype" w:hAnsi="Palatino Linotype"/>
        </w:rPr>
      </w:pPr>
      <w:r w:rsidRPr="00221288">
        <w:rPr>
          <w:rFonts w:ascii="Palatino Linotype" w:hAnsi="Palatino Linotype"/>
        </w:rPr>
        <w:t>CALSSA</w:t>
      </w:r>
      <w:r w:rsidRPr="00221288" w:rsidR="00232D5F">
        <w:rPr>
          <w:rFonts w:ascii="Palatino Linotype" w:hAnsi="Palatino Linotype"/>
        </w:rPr>
        <w:t xml:space="preserve"> and SEIA</w:t>
      </w:r>
      <w:r w:rsidRPr="00221288">
        <w:rPr>
          <w:rFonts w:ascii="Palatino Linotype" w:hAnsi="Palatino Linotype"/>
        </w:rPr>
        <w:t xml:space="preserve"> </w:t>
      </w:r>
      <w:r w:rsidRPr="00221288" w:rsidR="0022467D">
        <w:rPr>
          <w:rFonts w:ascii="Palatino Linotype" w:hAnsi="Palatino Linotype"/>
        </w:rPr>
        <w:t xml:space="preserve">note </w:t>
      </w:r>
      <w:r w:rsidRPr="00221288" w:rsidR="0061613B">
        <w:rPr>
          <w:rFonts w:ascii="Palatino Linotype" w:hAnsi="Palatino Linotype"/>
        </w:rPr>
        <w:t>in their in</w:t>
      </w:r>
      <w:r w:rsidRPr="00221288" w:rsidR="00624C13">
        <w:rPr>
          <w:rFonts w:ascii="Palatino Linotype" w:hAnsi="Palatino Linotype"/>
        </w:rPr>
        <w:t>i</w:t>
      </w:r>
      <w:r w:rsidRPr="00221288" w:rsidR="0061613B">
        <w:rPr>
          <w:rFonts w:ascii="Palatino Linotype" w:hAnsi="Palatino Linotype"/>
        </w:rPr>
        <w:t>tial protests</w:t>
      </w:r>
      <w:r w:rsidRPr="00221288" w:rsidR="0022467D">
        <w:rPr>
          <w:rFonts w:ascii="Palatino Linotype" w:hAnsi="Palatino Linotype"/>
        </w:rPr>
        <w:t xml:space="preserve"> </w:t>
      </w:r>
      <w:r w:rsidRPr="00221288" w:rsidR="000F2B5C">
        <w:rPr>
          <w:rFonts w:ascii="Palatino Linotype" w:hAnsi="Palatino Linotype"/>
        </w:rPr>
        <w:t>that SCE</w:t>
      </w:r>
      <w:r w:rsidRPr="00221288" w:rsidR="00D24CA7">
        <w:rPr>
          <w:rFonts w:ascii="Palatino Linotype" w:hAnsi="Palatino Linotype"/>
        </w:rPr>
        <w:t>’s AL</w:t>
      </w:r>
      <w:r w:rsidRPr="00221288" w:rsidR="000F2B5C">
        <w:rPr>
          <w:rFonts w:ascii="Palatino Linotype" w:hAnsi="Palatino Linotype"/>
        </w:rPr>
        <w:t xml:space="preserve"> limits customer eligibility for a legacy period to customers that interconnect between April 15, 2023 and December 31, 2027, but </w:t>
      </w:r>
      <w:r w:rsidRPr="00221288" w:rsidR="003B11FF">
        <w:rPr>
          <w:rFonts w:ascii="Palatino Linotype" w:hAnsi="Palatino Linotype"/>
        </w:rPr>
        <w:t xml:space="preserve">they assert </w:t>
      </w:r>
      <w:r w:rsidRPr="00221288" w:rsidR="000F2B5C">
        <w:rPr>
          <w:rFonts w:ascii="Palatino Linotype" w:hAnsi="Palatino Linotype"/>
        </w:rPr>
        <w:t>that this should be extended to April 14, 2028 to incorporate a full five years</w:t>
      </w:r>
      <w:r w:rsidRPr="00221288" w:rsidR="00384980">
        <w:rPr>
          <w:rFonts w:ascii="Palatino Linotype" w:hAnsi="Palatino Linotype"/>
        </w:rPr>
        <w:t>.</w:t>
      </w:r>
      <w:r w:rsidRPr="00221288" w:rsidR="00057520">
        <w:rPr>
          <w:rFonts w:ascii="Palatino Linotype" w:hAnsi="Palatino Linotype"/>
        </w:rPr>
        <w:t xml:space="preserve"> </w:t>
      </w:r>
      <w:r w:rsidRPr="00221288" w:rsidR="00C73F81">
        <w:rPr>
          <w:rFonts w:ascii="Palatino Linotype" w:hAnsi="Palatino Linotype"/>
        </w:rPr>
        <w:t xml:space="preserve">CALSSA </w:t>
      </w:r>
      <w:r w:rsidRPr="00221288" w:rsidR="003A4DE3">
        <w:rPr>
          <w:rFonts w:ascii="Palatino Linotype" w:hAnsi="Palatino Linotype"/>
        </w:rPr>
        <w:t>and SEIA</w:t>
      </w:r>
      <w:r w:rsidRPr="00221288" w:rsidR="00C73F81">
        <w:rPr>
          <w:rFonts w:ascii="Palatino Linotype" w:hAnsi="Palatino Linotype"/>
        </w:rPr>
        <w:t xml:space="preserve"> </w:t>
      </w:r>
      <w:r w:rsidRPr="00221288" w:rsidR="00BB79F4">
        <w:rPr>
          <w:rFonts w:ascii="Palatino Linotype" w:hAnsi="Palatino Linotype"/>
        </w:rPr>
        <w:t>a</w:t>
      </w:r>
      <w:r w:rsidRPr="00221288" w:rsidR="00C46384">
        <w:rPr>
          <w:rFonts w:ascii="Palatino Linotype" w:hAnsi="Palatino Linotype"/>
        </w:rPr>
        <w:t>rgue</w:t>
      </w:r>
      <w:r w:rsidRPr="00221288" w:rsidR="00BB79F4">
        <w:rPr>
          <w:rFonts w:ascii="Palatino Linotype" w:hAnsi="Palatino Linotype"/>
        </w:rPr>
        <w:t xml:space="preserve"> that</w:t>
      </w:r>
      <w:r w:rsidRPr="00221288" w:rsidR="006C6099">
        <w:rPr>
          <w:rFonts w:ascii="Palatino Linotype" w:hAnsi="Palatino Linotype"/>
        </w:rPr>
        <w:t xml:space="preserve"> </w:t>
      </w:r>
      <w:r w:rsidRPr="00221288" w:rsidR="003A735F">
        <w:rPr>
          <w:rFonts w:ascii="Palatino Linotype" w:hAnsi="Palatino Linotype"/>
        </w:rPr>
        <w:t>D.22-12-056</w:t>
      </w:r>
      <w:r w:rsidRPr="00221288" w:rsidR="00BB79F4">
        <w:rPr>
          <w:rFonts w:ascii="Palatino Linotype" w:hAnsi="Palatino Linotype"/>
        </w:rPr>
        <w:t xml:space="preserve"> </w:t>
      </w:r>
      <w:r w:rsidRPr="00221288" w:rsidR="00A0722A">
        <w:rPr>
          <w:rFonts w:ascii="Palatino Linotype" w:hAnsi="Palatino Linotype"/>
        </w:rPr>
        <w:t>direct</w:t>
      </w:r>
      <w:r w:rsidRPr="00221288" w:rsidR="00C46384">
        <w:rPr>
          <w:rFonts w:ascii="Palatino Linotype" w:hAnsi="Palatino Linotype"/>
        </w:rPr>
        <w:t>ed</w:t>
      </w:r>
      <w:r w:rsidRPr="00221288" w:rsidR="00A0722A">
        <w:rPr>
          <w:rFonts w:ascii="Palatino Linotype" w:hAnsi="Palatino Linotype"/>
        </w:rPr>
        <w:t xml:space="preserve"> that the legacy period be five </w:t>
      </w:r>
      <w:r w:rsidRPr="00221288" w:rsidR="002A3E2D">
        <w:rPr>
          <w:rFonts w:ascii="Palatino Linotype" w:hAnsi="Palatino Linotype"/>
        </w:rPr>
        <w:t>full years,</w:t>
      </w:r>
      <w:r w:rsidRPr="00221288" w:rsidR="00DB64E1">
        <w:rPr>
          <w:rFonts w:ascii="Palatino Linotype" w:hAnsi="Palatino Linotype"/>
        </w:rPr>
        <w:t xml:space="preserve"> and</w:t>
      </w:r>
      <w:r w:rsidRPr="00221288" w:rsidR="00C73F81">
        <w:rPr>
          <w:rFonts w:ascii="Palatino Linotype" w:hAnsi="Palatino Linotype"/>
        </w:rPr>
        <w:t xml:space="preserve"> </w:t>
      </w:r>
      <w:r w:rsidRPr="00221288" w:rsidR="00122CB7">
        <w:rPr>
          <w:rFonts w:ascii="Palatino Linotype" w:hAnsi="Palatino Linotype"/>
        </w:rPr>
        <w:t xml:space="preserve">they </w:t>
      </w:r>
      <w:r w:rsidRPr="00221288" w:rsidR="00C73F81">
        <w:rPr>
          <w:rFonts w:ascii="Palatino Linotype" w:hAnsi="Palatino Linotype"/>
        </w:rPr>
        <w:t>cite</w:t>
      </w:r>
      <w:r w:rsidRPr="00221288" w:rsidR="00003779">
        <w:rPr>
          <w:rFonts w:ascii="Palatino Linotype" w:hAnsi="Palatino Linotype"/>
        </w:rPr>
        <w:t xml:space="preserve"> decision </w:t>
      </w:r>
      <w:r w:rsidRPr="00221288" w:rsidR="00CB6901">
        <w:rPr>
          <w:rFonts w:ascii="Palatino Linotype" w:hAnsi="Palatino Linotype"/>
        </w:rPr>
        <w:t>text</w:t>
      </w:r>
      <w:r w:rsidRPr="00221288" w:rsidR="00003779">
        <w:rPr>
          <w:rFonts w:ascii="Palatino Linotype" w:hAnsi="Palatino Linotype"/>
        </w:rPr>
        <w:t xml:space="preserve"> </w:t>
      </w:r>
      <w:r w:rsidRPr="00221288" w:rsidR="000A3A0D">
        <w:rPr>
          <w:rFonts w:ascii="Palatino Linotype" w:hAnsi="Palatino Linotype"/>
        </w:rPr>
        <w:t>referring to</w:t>
      </w:r>
      <w:r w:rsidRPr="00221288" w:rsidR="00C73F81">
        <w:rPr>
          <w:rFonts w:ascii="Palatino Linotype" w:hAnsi="Palatino Linotype"/>
        </w:rPr>
        <w:t xml:space="preserve"> the first five years of the successor tariff,</w:t>
      </w:r>
      <w:r w:rsidRPr="00221288" w:rsidR="00C73F81">
        <w:rPr>
          <w:rFonts w:ascii="Palatino Linotype" w:hAnsi="Palatino Linotype"/>
          <w:i/>
        </w:rPr>
        <w:t xml:space="preserve"> i.e.</w:t>
      </w:r>
      <w:r w:rsidRPr="00221288" w:rsidR="00C73F81">
        <w:rPr>
          <w:rFonts w:ascii="Palatino Linotype" w:hAnsi="Palatino Linotype"/>
        </w:rPr>
        <w:t>, the glide path transition time</w:t>
      </w:r>
      <w:r w:rsidRPr="00221288" w:rsidR="00FB2201">
        <w:rPr>
          <w:rFonts w:ascii="Palatino Linotype" w:hAnsi="Palatino Linotype"/>
        </w:rPr>
        <w:t>,</w:t>
      </w:r>
      <w:r w:rsidRPr="00221288" w:rsidR="006C6099">
        <w:rPr>
          <w:rFonts w:ascii="Palatino Linotype" w:hAnsi="Palatino Linotype"/>
        </w:rPr>
        <w:t xml:space="preserve"> as support for their position.</w:t>
      </w:r>
    </w:p>
    <w:p w:rsidRPr="00221288" w:rsidR="00144BBA" w:rsidP="00EF46E1" w:rsidRDefault="00144BBA" w14:paraId="06311137" w14:textId="77777777">
      <w:pPr>
        <w:rPr>
          <w:rFonts w:ascii="Palatino Linotype" w:hAnsi="Palatino Linotype"/>
        </w:rPr>
      </w:pPr>
    </w:p>
    <w:p w:rsidRPr="00221288" w:rsidR="00144BBA" w:rsidP="00C34ECA" w:rsidRDefault="00C34ECA" w14:paraId="3F1ACD82" w14:textId="76F6C315">
      <w:pPr>
        <w:rPr>
          <w:rFonts w:ascii="Palatino Linotype" w:hAnsi="Palatino Linotype"/>
        </w:rPr>
      </w:pPr>
      <w:r w:rsidRPr="00221288">
        <w:rPr>
          <w:rFonts w:ascii="Palatino Linotype" w:hAnsi="Palatino Linotype"/>
        </w:rPr>
        <w:lastRenderedPageBreak/>
        <w:t xml:space="preserve">In </w:t>
      </w:r>
      <w:r w:rsidRPr="00221288" w:rsidR="00EF4254">
        <w:rPr>
          <w:rFonts w:ascii="Palatino Linotype" w:hAnsi="Palatino Linotype"/>
        </w:rPr>
        <w:t>their</w:t>
      </w:r>
      <w:r w:rsidRPr="00221288">
        <w:rPr>
          <w:rFonts w:ascii="Palatino Linotype" w:hAnsi="Palatino Linotype"/>
        </w:rPr>
        <w:t xml:space="preserve"> repl</w:t>
      </w:r>
      <w:r w:rsidRPr="00221288" w:rsidR="00EF4254">
        <w:rPr>
          <w:rFonts w:ascii="Palatino Linotype" w:hAnsi="Palatino Linotype"/>
        </w:rPr>
        <w:t>ies</w:t>
      </w:r>
      <w:r w:rsidRPr="00221288">
        <w:rPr>
          <w:rFonts w:ascii="Palatino Linotype" w:hAnsi="Palatino Linotype"/>
        </w:rPr>
        <w:t xml:space="preserve">, PG&amp;E </w:t>
      </w:r>
      <w:r w:rsidRPr="00221288" w:rsidR="00EF4254">
        <w:rPr>
          <w:rFonts w:ascii="Palatino Linotype" w:hAnsi="Palatino Linotype"/>
        </w:rPr>
        <w:t xml:space="preserve">and SCE </w:t>
      </w:r>
      <w:r w:rsidRPr="00221288" w:rsidR="00470C59">
        <w:rPr>
          <w:rFonts w:ascii="Palatino Linotype" w:hAnsi="Palatino Linotype"/>
        </w:rPr>
        <w:t>state</w:t>
      </w:r>
      <w:r w:rsidRPr="00221288">
        <w:rPr>
          <w:rFonts w:ascii="Palatino Linotype" w:hAnsi="Palatino Linotype"/>
        </w:rPr>
        <w:t xml:space="preserve"> that </w:t>
      </w:r>
      <w:r w:rsidRPr="00221288" w:rsidR="00470C59">
        <w:rPr>
          <w:rFonts w:ascii="Palatino Linotype" w:hAnsi="Palatino Linotype"/>
        </w:rPr>
        <w:t>CALSSA’s</w:t>
      </w:r>
      <w:r w:rsidRPr="00221288" w:rsidR="002D36F5">
        <w:rPr>
          <w:rFonts w:ascii="Palatino Linotype" w:hAnsi="Palatino Linotype"/>
        </w:rPr>
        <w:t xml:space="preserve"> and SEIA’s</w:t>
      </w:r>
      <w:r w:rsidRPr="00221288" w:rsidR="00470C59">
        <w:rPr>
          <w:rFonts w:ascii="Palatino Linotype" w:hAnsi="Palatino Linotype"/>
        </w:rPr>
        <w:t xml:space="preserve"> assertion </w:t>
      </w:r>
      <w:r w:rsidRPr="00221288">
        <w:rPr>
          <w:rFonts w:ascii="Palatino Linotype" w:hAnsi="Palatino Linotype"/>
        </w:rPr>
        <w:t>conflicts with D.22-12-056</w:t>
      </w:r>
      <w:r w:rsidRPr="00221288" w:rsidR="00470C59">
        <w:rPr>
          <w:rFonts w:ascii="Palatino Linotype" w:hAnsi="Palatino Linotype"/>
        </w:rPr>
        <w:t xml:space="preserve"> </w:t>
      </w:r>
      <w:r w:rsidRPr="00221288">
        <w:rPr>
          <w:rFonts w:ascii="Palatino Linotype" w:hAnsi="Palatino Linotype"/>
        </w:rPr>
        <w:t>Appendix A, Customer Explanation of Net Billing Tariff, which states “After nine</w:t>
      </w:r>
      <w:r w:rsidRPr="00221288" w:rsidR="00470C59">
        <w:rPr>
          <w:rFonts w:ascii="Palatino Linotype" w:hAnsi="Palatino Linotype"/>
        </w:rPr>
        <w:t xml:space="preserve"> </w:t>
      </w:r>
      <w:r w:rsidRPr="00221288">
        <w:rPr>
          <w:rFonts w:ascii="Palatino Linotype" w:hAnsi="Palatino Linotype"/>
        </w:rPr>
        <w:t>years, or if you either opt out or apply to connect your system after 2027, the</w:t>
      </w:r>
      <w:r w:rsidRPr="00221288" w:rsidR="00470C59">
        <w:rPr>
          <w:rFonts w:ascii="Palatino Linotype" w:hAnsi="Palatino Linotype"/>
        </w:rPr>
        <w:t xml:space="preserve"> </w:t>
      </w:r>
      <w:r w:rsidRPr="00221288">
        <w:rPr>
          <w:rFonts w:ascii="Palatino Linotype" w:hAnsi="Palatino Linotype"/>
        </w:rPr>
        <w:t>prices you receive will be set every two years…”</w:t>
      </w:r>
      <w:r w:rsidRPr="00221288" w:rsidR="00EF4254">
        <w:rPr>
          <w:rFonts w:ascii="Palatino Linotype" w:hAnsi="Palatino Linotype"/>
        </w:rPr>
        <w:t xml:space="preserve"> Conversely, in its reply SDG&amp;E agree</w:t>
      </w:r>
      <w:r w:rsidRPr="00221288" w:rsidR="004C0CD5">
        <w:rPr>
          <w:rFonts w:ascii="Palatino Linotype" w:hAnsi="Palatino Linotype"/>
        </w:rPr>
        <w:t>s</w:t>
      </w:r>
      <w:r w:rsidRPr="00221288" w:rsidR="00EF4254">
        <w:rPr>
          <w:rFonts w:ascii="Palatino Linotype" w:hAnsi="Palatino Linotype"/>
        </w:rPr>
        <w:t xml:space="preserve"> with CALSSA</w:t>
      </w:r>
      <w:r w:rsidRPr="00221288" w:rsidR="002C4771">
        <w:rPr>
          <w:rFonts w:ascii="Palatino Linotype" w:hAnsi="Palatino Linotype"/>
        </w:rPr>
        <w:t xml:space="preserve"> and SEIA</w:t>
      </w:r>
      <w:r w:rsidRPr="00221288" w:rsidR="00EF4254">
        <w:rPr>
          <w:rFonts w:ascii="Palatino Linotype" w:hAnsi="Palatino Linotype"/>
        </w:rPr>
        <w:t xml:space="preserve"> that</w:t>
      </w:r>
      <w:r w:rsidRPr="00221288" w:rsidR="000C48B1">
        <w:rPr>
          <w:rFonts w:ascii="Palatino Linotype" w:hAnsi="Palatino Linotype"/>
        </w:rPr>
        <w:t xml:space="preserve"> eligibility for a</w:t>
      </w:r>
      <w:r w:rsidRPr="00221288" w:rsidR="00EF4254">
        <w:rPr>
          <w:rFonts w:ascii="Palatino Linotype" w:hAnsi="Palatino Linotype"/>
        </w:rPr>
        <w:t xml:space="preserve"> legacy period should extend for a full five years</w:t>
      </w:r>
      <w:r w:rsidRPr="00221288" w:rsidR="007443CB">
        <w:rPr>
          <w:rFonts w:ascii="Palatino Linotype" w:hAnsi="Palatino Linotype"/>
        </w:rPr>
        <w:t>.</w:t>
      </w:r>
    </w:p>
    <w:p w:rsidRPr="00221288" w:rsidR="003702B4" w:rsidP="00C34ECA" w:rsidRDefault="003702B4" w14:paraId="0722B4E1" w14:textId="77777777">
      <w:pPr>
        <w:rPr>
          <w:rFonts w:ascii="Palatino Linotype" w:hAnsi="Palatino Linotype"/>
        </w:rPr>
      </w:pPr>
    </w:p>
    <w:p w:rsidRPr="00221288" w:rsidR="003702B4" w:rsidP="00C34ECA" w:rsidRDefault="003702B4" w14:paraId="64F9F703" w14:textId="60E1F21A">
      <w:pPr>
        <w:rPr>
          <w:rFonts w:ascii="Palatino Linotype" w:hAnsi="Palatino Linotype"/>
        </w:rPr>
      </w:pPr>
      <w:r w:rsidRPr="00221288">
        <w:rPr>
          <w:rFonts w:ascii="Palatino Linotype" w:hAnsi="Palatino Linotype"/>
        </w:rPr>
        <w:t>In its protest to the supplemental ALs, CALSSA</w:t>
      </w:r>
      <w:r w:rsidRPr="00221288" w:rsidR="006B33AC">
        <w:rPr>
          <w:rFonts w:ascii="Palatino Linotype" w:hAnsi="Palatino Linotype"/>
        </w:rPr>
        <w:t xml:space="preserve"> argue</w:t>
      </w:r>
      <w:r w:rsidRPr="00221288" w:rsidR="004C0CD5">
        <w:rPr>
          <w:rFonts w:ascii="Palatino Linotype" w:hAnsi="Palatino Linotype"/>
        </w:rPr>
        <w:t>s</w:t>
      </w:r>
      <w:r w:rsidRPr="00221288" w:rsidR="006B33AC">
        <w:rPr>
          <w:rFonts w:ascii="Palatino Linotype" w:hAnsi="Palatino Linotype"/>
        </w:rPr>
        <w:t xml:space="preserve"> that </w:t>
      </w:r>
      <w:r w:rsidRPr="00221288" w:rsidR="007D6924">
        <w:rPr>
          <w:rFonts w:ascii="Palatino Linotype" w:hAnsi="Palatino Linotype"/>
        </w:rPr>
        <w:t>D</w:t>
      </w:r>
      <w:r w:rsidRPr="00221288" w:rsidR="00D30591">
        <w:rPr>
          <w:rFonts w:ascii="Palatino Linotype" w:hAnsi="Palatino Linotype"/>
        </w:rPr>
        <w:t xml:space="preserve">.22-12-056 </w:t>
      </w:r>
      <w:r w:rsidRPr="00221288" w:rsidR="009C40C7">
        <w:rPr>
          <w:rFonts w:ascii="Palatino Linotype" w:hAnsi="Palatino Linotype"/>
        </w:rPr>
        <w:t xml:space="preserve">called its Appendix A </w:t>
      </w:r>
      <w:r w:rsidRPr="00221288" w:rsidR="00325A99">
        <w:rPr>
          <w:rFonts w:ascii="Palatino Linotype" w:hAnsi="Palatino Linotype"/>
        </w:rPr>
        <w:t>“</w:t>
      </w:r>
      <w:r w:rsidRPr="00221288" w:rsidR="009C40C7">
        <w:rPr>
          <w:rFonts w:ascii="Palatino Linotype" w:hAnsi="Palatino Linotype"/>
        </w:rPr>
        <w:t>illustrative</w:t>
      </w:r>
      <w:r w:rsidRPr="00221288" w:rsidR="00325A99">
        <w:rPr>
          <w:rFonts w:ascii="Palatino Linotype" w:hAnsi="Palatino Linotype"/>
        </w:rPr>
        <w:t>”</w:t>
      </w:r>
      <w:r w:rsidRPr="00221288" w:rsidR="009C40C7">
        <w:rPr>
          <w:rFonts w:ascii="Palatino Linotype" w:hAnsi="Palatino Linotype"/>
        </w:rPr>
        <w:t xml:space="preserve"> and assert</w:t>
      </w:r>
      <w:r w:rsidRPr="00221288" w:rsidR="004C0CD5">
        <w:rPr>
          <w:rFonts w:ascii="Palatino Linotype" w:hAnsi="Palatino Linotype"/>
        </w:rPr>
        <w:t>s</w:t>
      </w:r>
      <w:r w:rsidRPr="00221288" w:rsidR="009C40C7">
        <w:rPr>
          <w:rFonts w:ascii="Palatino Linotype" w:hAnsi="Palatino Linotype"/>
        </w:rPr>
        <w:t xml:space="preserve"> that language in the Appendix should not overrule</w:t>
      </w:r>
      <w:r w:rsidRPr="00221288" w:rsidR="002945FB">
        <w:rPr>
          <w:rFonts w:ascii="Palatino Linotype" w:hAnsi="Palatino Linotype"/>
        </w:rPr>
        <w:t xml:space="preserve"> the decision itself. CALSSA also</w:t>
      </w:r>
      <w:r w:rsidRPr="00221288">
        <w:rPr>
          <w:rFonts w:ascii="Palatino Linotype" w:hAnsi="Palatino Linotype"/>
        </w:rPr>
        <w:t xml:space="preserve"> </w:t>
      </w:r>
      <w:r w:rsidRPr="00221288" w:rsidR="0094771D">
        <w:rPr>
          <w:rFonts w:ascii="Palatino Linotype" w:hAnsi="Palatino Linotype"/>
        </w:rPr>
        <w:t xml:space="preserve">repeats </w:t>
      </w:r>
      <w:r w:rsidRPr="00221288" w:rsidR="00231127">
        <w:rPr>
          <w:rFonts w:ascii="Palatino Linotype" w:hAnsi="Palatino Linotype"/>
        </w:rPr>
        <w:t xml:space="preserve">its </w:t>
      </w:r>
      <w:r w:rsidRPr="00221288" w:rsidR="006C44D7">
        <w:rPr>
          <w:rFonts w:ascii="Palatino Linotype" w:hAnsi="Palatino Linotype"/>
        </w:rPr>
        <w:t>interpretation of D.22-</w:t>
      </w:r>
      <w:r w:rsidRPr="00221288" w:rsidR="0094771D">
        <w:rPr>
          <w:rFonts w:ascii="Palatino Linotype" w:hAnsi="Palatino Linotype"/>
        </w:rPr>
        <w:t>1</w:t>
      </w:r>
      <w:r w:rsidRPr="00221288" w:rsidR="006C44D7">
        <w:rPr>
          <w:rFonts w:ascii="Palatino Linotype" w:hAnsi="Palatino Linotype"/>
        </w:rPr>
        <w:t>2-056, ordering paragraph 1 (a).</w:t>
      </w:r>
      <w:r w:rsidRPr="00221288" w:rsidR="002945FB">
        <w:rPr>
          <w:rFonts w:ascii="Palatino Linotype" w:hAnsi="Palatino Linotype"/>
        </w:rPr>
        <w:t xml:space="preserve"> </w:t>
      </w:r>
    </w:p>
    <w:p w:rsidRPr="00221288" w:rsidR="00BF4BB0" w:rsidP="00C34ECA" w:rsidRDefault="00BF4BB0" w14:paraId="269D9F62" w14:textId="77777777">
      <w:pPr>
        <w:rPr>
          <w:rFonts w:ascii="Palatino Linotype" w:hAnsi="Palatino Linotype"/>
        </w:rPr>
      </w:pPr>
    </w:p>
    <w:p w:rsidRPr="00221288" w:rsidR="006B2912" w:rsidP="00C34ECA" w:rsidRDefault="00BF4BB0" w14:paraId="742D4E49" w14:textId="170F2909">
      <w:pPr>
        <w:rPr>
          <w:rFonts w:ascii="Palatino Linotype" w:hAnsi="Palatino Linotype"/>
        </w:rPr>
      </w:pPr>
      <w:r w:rsidRPr="00221288">
        <w:rPr>
          <w:rFonts w:ascii="Palatino Linotype" w:hAnsi="Palatino Linotype"/>
        </w:rPr>
        <w:t xml:space="preserve">In its </w:t>
      </w:r>
      <w:r w:rsidRPr="00221288" w:rsidR="00C83222">
        <w:rPr>
          <w:rFonts w:ascii="Palatino Linotype" w:hAnsi="Palatino Linotype"/>
        </w:rPr>
        <w:t xml:space="preserve">reply to CALSSA’s </w:t>
      </w:r>
      <w:r w:rsidRPr="00221288" w:rsidR="004C0CD5">
        <w:rPr>
          <w:rFonts w:ascii="Palatino Linotype" w:hAnsi="Palatino Linotype"/>
        </w:rPr>
        <w:t>supplemental protest</w:t>
      </w:r>
      <w:r w:rsidRPr="00221288" w:rsidR="00C83222">
        <w:rPr>
          <w:rFonts w:ascii="Palatino Linotype" w:hAnsi="Palatino Linotype"/>
        </w:rPr>
        <w:t xml:space="preserve">, PG&amp;E </w:t>
      </w:r>
      <w:r w:rsidRPr="00221288" w:rsidR="0094771D">
        <w:rPr>
          <w:rFonts w:ascii="Palatino Linotype" w:hAnsi="Palatino Linotype"/>
        </w:rPr>
        <w:t xml:space="preserve">asserts </w:t>
      </w:r>
      <w:r w:rsidRPr="00221288" w:rsidR="00904C03">
        <w:rPr>
          <w:rFonts w:ascii="Palatino Linotype" w:hAnsi="Palatino Linotype"/>
        </w:rPr>
        <w:t xml:space="preserve">that Appendix A is not merely an illustrative example, </w:t>
      </w:r>
      <w:r w:rsidRPr="00221288" w:rsidR="001970B8">
        <w:rPr>
          <w:rFonts w:ascii="Palatino Linotype" w:hAnsi="Palatino Linotype"/>
        </w:rPr>
        <w:t>quoting D.22-12-056</w:t>
      </w:r>
      <w:r w:rsidRPr="00221288" w:rsidR="004D1D50">
        <w:rPr>
          <w:rFonts w:ascii="Palatino Linotype" w:hAnsi="Palatino Linotype"/>
        </w:rPr>
        <w:t xml:space="preserve"> text </w:t>
      </w:r>
      <w:r w:rsidRPr="00221288" w:rsidR="00992C1B">
        <w:rPr>
          <w:rFonts w:ascii="Palatino Linotype" w:hAnsi="Palatino Linotype"/>
        </w:rPr>
        <w:t xml:space="preserve">stating that </w:t>
      </w:r>
      <w:r w:rsidRPr="00221288" w:rsidR="0027101A">
        <w:rPr>
          <w:rFonts w:ascii="Palatino Linotype" w:hAnsi="Palatino Linotype"/>
        </w:rPr>
        <w:t xml:space="preserve">Appendix A includes a </w:t>
      </w:r>
      <w:r w:rsidRPr="00221288" w:rsidR="00CD69CA">
        <w:rPr>
          <w:rFonts w:ascii="Palatino Linotype" w:hAnsi="Palatino Linotype"/>
        </w:rPr>
        <w:t>“</w:t>
      </w:r>
      <w:r w:rsidRPr="00221288" w:rsidR="0027101A">
        <w:rPr>
          <w:rFonts w:ascii="Palatino Linotype" w:hAnsi="Palatino Linotype"/>
        </w:rPr>
        <w:t xml:space="preserve">description of the </w:t>
      </w:r>
      <w:r w:rsidRPr="00221288" w:rsidR="00992C1B">
        <w:rPr>
          <w:rFonts w:ascii="Palatino Linotype" w:hAnsi="Palatino Linotype"/>
        </w:rPr>
        <w:t>NBT</w:t>
      </w:r>
      <w:r w:rsidRPr="00221288" w:rsidR="0027101A">
        <w:rPr>
          <w:rFonts w:ascii="Palatino Linotype" w:hAnsi="Palatino Linotype"/>
        </w:rPr>
        <w:t xml:space="preserve"> developed for customers</w:t>
      </w:r>
      <w:r w:rsidRPr="00221288" w:rsidR="004C080B">
        <w:rPr>
          <w:rFonts w:ascii="Palatino Linotype" w:hAnsi="Palatino Linotype"/>
        </w:rPr>
        <w:t>”</w:t>
      </w:r>
      <w:r w:rsidRPr="00221288" w:rsidR="0027101A">
        <w:rPr>
          <w:rFonts w:ascii="Palatino Linotype" w:hAnsi="Palatino Linotype"/>
        </w:rPr>
        <w:t xml:space="preserve"> and that the “description can be used in customer education materials such as the California Solar Consumer Protection Guide” </w:t>
      </w:r>
      <w:r w:rsidRPr="00221288" w:rsidR="000D1813">
        <w:rPr>
          <w:rFonts w:ascii="Palatino Linotype" w:hAnsi="Palatino Linotype"/>
        </w:rPr>
        <w:t>to</w:t>
      </w:r>
      <w:r w:rsidRPr="00221288" w:rsidR="009A196C">
        <w:rPr>
          <w:rFonts w:ascii="Palatino Linotype" w:hAnsi="Palatino Linotype"/>
        </w:rPr>
        <w:t xml:space="preserve"> support this position.</w:t>
      </w:r>
      <w:r w:rsidRPr="00221288" w:rsidR="007D3192">
        <w:rPr>
          <w:rStyle w:val="FootnoteReference"/>
          <w:rFonts w:ascii="Palatino Linotype" w:hAnsi="Palatino Linotype"/>
        </w:rPr>
        <w:footnoteReference w:id="5"/>
      </w:r>
    </w:p>
    <w:p w:rsidRPr="00221288" w:rsidR="00A716DA" w:rsidP="00A716DA" w:rsidRDefault="00A716DA" w14:paraId="18837467" w14:textId="77777777">
      <w:pPr>
        <w:rPr>
          <w:rFonts w:ascii="Palatino Linotype" w:hAnsi="Palatino Linotype"/>
        </w:rPr>
      </w:pPr>
    </w:p>
    <w:p w:rsidRPr="00221288" w:rsidR="00A716DA" w:rsidP="00A716DA" w:rsidRDefault="00A716DA" w14:paraId="06155DFA" w14:textId="77777777">
      <w:pPr>
        <w:pStyle w:val="Heading3"/>
        <w:rPr>
          <w:rFonts w:ascii="Palatino Linotype" w:hAnsi="Palatino Linotype"/>
        </w:rPr>
      </w:pPr>
      <w:r w:rsidRPr="00221288">
        <w:rPr>
          <w:rFonts w:ascii="Palatino Linotype" w:hAnsi="Palatino Linotype"/>
        </w:rPr>
        <w:t>Transferring NBT Systems from Builder to Buyer or Tenant</w:t>
      </w:r>
    </w:p>
    <w:p w:rsidRPr="00221288" w:rsidR="00A716DA" w:rsidP="00A716DA" w:rsidRDefault="00A716DA" w14:paraId="7CC2E907" w14:textId="77777777">
      <w:pPr>
        <w:rPr>
          <w:rFonts w:ascii="Palatino Linotype" w:hAnsi="Palatino Linotype"/>
        </w:rPr>
      </w:pPr>
    </w:p>
    <w:p w:rsidRPr="00221288" w:rsidR="00A716DA" w:rsidP="00A716DA" w:rsidRDefault="00A716DA" w14:paraId="5C72ADFF" w14:textId="23D37CB6">
      <w:pPr>
        <w:rPr>
          <w:rFonts w:ascii="Palatino Linotype" w:hAnsi="Palatino Linotype"/>
        </w:rPr>
      </w:pPr>
      <w:r w:rsidRPr="00221288">
        <w:rPr>
          <w:rFonts w:ascii="Palatino Linotype" w:hAnsi="Palatino Linotype"/>
        </w:rPr>
        <w:t xml:space="preserve">CALSSA states in its protest that PG&amp;E’s and SCE’s </w:t>
      </w:r>
      <w:r w:rsidRPr="00221288" w:rsidR="00371632">
        <w:rPr>
          <w:rFonts w:ascii="Palatino Linotype" w:hAnsi="Palatino Linotype"/>
        </w:rPr>
        <w:t xml:space="preserve">proposed tariff </w:t>
      </w:r>
      <w:r w:rsidRPr="00221288">
        <w:rPr>
          <w:rFonts w:ascii="Palatino Linotype" w:hAnsi="Palatino Linotype"/>
        </w:rPr>
        <w:t>language allows transferring a new construction system’s legacy period from the builder to the buyer or tenant if the PTO date occurred before the property sale date, but that the PTO date sometimes occurs after the property sale date. CALSSA asserts that the date of transferring a system on new construction should not be tied to the sale of the property. In addition, CALSSA asserts that PG&amp;E’s AL could be interpreted to only allow transferring a system on new construction from the builder to the buyer or tenant for subdivisions, and argues that it should be allowed for all types of construction, not just residential construction.</w:t>
      </w:r>
    </w:p>
    <w:p w:rsidRPr="00221288" w:rsidR="00A716DA" w:rsidP="00A716DA" w:rsidRDefault="00A716DA" w14:paraId="368A049A" w14:textId="77777777">
      <w:pPr>
        <w:rPr>
          <w:rFonts w:ascii="Palatino Linotype" w:hAnsi="Palatino Linotype"/>
        </w:rPr>
      </w:pPr>
    </w:p>
    <w:p w:rsidRPr="00221288" w:rsidR="00A716DA" w:rsidP="00A716DA" w:rsidRDefault="00A716DA" w14:paraId="67DF502D" w14:textId="77777777">
      <w:pPr>
        <w:rPr>
          <w:rFonts w:ascii="Palatino Linotype" w:hAnsi="Palatino Linotype"/>
        </w:rPr>
      </w:pPr>
      <w:r w:rsidRPr="00221288">
        <w:rPr>
          <w:rFonts w:ascii="Palatino Linotype" w:hAnsi="Palatino Linotype"/>
        </w:rPr>
        <w:t>In its reply, PG&amp;E states that it will adopt CALSSA’s proposed language on the nonresidential issue but that it does not need to for the transfer date issue, because its AL proposed to start the legacy period on the PTO date. PG&amp;E argues that if the builder sells the unit before PTO is issued, the new owner will receive PTO in their name and this provision is then inapplicable. SCE does not address this topic in its reply.</w:t>
      </w:r>
    </w:p>
    <w:p w:rsidRPr="00221288" w:rsidR="001F6A00" w:rsidP="00C34ECA" w:rsidRDefault="001F6A00" w14:paraId="60264CE4" w14:textId="77777777">
      <w:pPr>
        <w:rPr>
          <w:rFonts w:ascii="Palatino Linotype" w:hAnsi="Palatino Linotype"/>
        </w:rPr>
      </w:pPr>
    </w:p>
    <w:p w:rsidRPr="00221288" w:rsidR="006B2912" w:rsidP="005E5946" w:rsidRDefault="005E5946" w14:paraId="5519AC34" w14:textId="5C123D11">
      <w:pPr>
        <w:pStyle w:val="Heading3"/>
        <w:rPr>
          <w:rFonts w:ascii="Palatino Linotype" w:hAnsi="Palatino Linotype"/>
        </w:rPr>
      </w:pPr>
      <w:r w:rsidRPr="00221288">
        <w:rPr>
          <w:rFonts w:ascii="Palatino Linotype" w:hAnsi="Palatino Linotype"/>
        </w:rPr>
        <w:lastRenderedPageBreak/>
        <w:t>Maintaining Legacy Status If Increasing System Size</w:t>
      </w:r>
    </w:p>
    <w:p w:rsidRPr="00221288" w:rsidR="00D54A07" w:rsidP="00D54A07" w:rsidRDefault="00D54A07" w14:paraId="5C2B1657" w14:textId="77777777">
      <w:pPr>
        <w:rPr>
          <w:rFonts w:ascii="Palatino Linotype" w:hAnsi="Palatino Linotype"/>
        </w:rPr>
      </w:pPr>
    </w:p>
    <w:p w:rsidRPr="00221288" w:rsidR="005E5946" w:rsidP="002C649D" w:rsidRDefault="002B259C" w14:paraId="18B86D7E" w14:textId="21CF5BDD">
      <w:pPr>
        <w:rPr>
          <w:rFonts w:ascii="Palatino Linotype" w:hAnsi="Palatino Linotype"/>
        </w:rPr>
      </w:pPr>
      <w:r w:rsidRPr="00221288">
        <w:rPr>
          <w:rFonts w:ascii="Palatino Linotype" w:hAnsi="Palatino Linotype"/>
        </w:rPr>
        <w:t>Pursuant to Ordering Paragraph 3 of D.14-03-041, net energy metering</w:t>
      </w:r>
      <w:r w:rsidRPr="00221288" w:rsidR="004C2F50">
        <w:rPr>
          <w:rFonts w:ascii="Palatino Linotype" w:hAnsi="Palatino Linotype"/>
        </w:rPr>
        <w:t xml:space="preserve"> </w:t>
      </w:r>
      <w:r w:rsidRPr="00221288" w:rsidR="001C0A41">
        <w:rPr>
          <w:rFonts w:ascii="Palatino Linotype" w:hAnsi="Palatino Linotype"/>
        </w:rPr>
        <w:t xml:space="preserve">customers </w:t>
      </w:r>
      <w:r w:rsidRPr="00221288" w:rsidR="00FA248F">
        <w:rPr>
          <w:rFonts w:ascii="Palatino Linotype" w:hAnsi="Palatino Linotype"/>
        </w:rPr>
        <w:t xml:space="preserve">lose eligibility to remain on </w:t>
      </w:r>
      <w:r w:rsidRPr="00221288" w:rsidR="00F21FD6">
        <w:rPr>
          <w:rFonts w:ascii="Palatino Linotype" w:hAnsi="Palatino Linotype"/>
        </w:rPr>
        <w:t>legacy tariffs f</w:t>
      </w:r>
      <w:r w:rsidRPr="00221288" w:rsidR="004C2794">
        <w:rPr>
          <w:rFonts w:ascii="Palatino Linotype" w:hAnsi="Palatino Linotype"/>
        </w:rPr>
        <w:t xml:space="preserve">or </w:t>
      </w:r>
      <w:r w:rsidRPr="00221288" w:rsidR="00FA248F">
        <w:rPr>
          <w:rFonts w:ascii="Palatino Linotype" w:hAnsi="Palatino Linotype"/>
        </w:rPr>
        <w:t>their</w:t>
      </w:r>
      <w:r w:rsidRPr="00221288" w:rsidR="004C2794">
        <w:rPr>
          <w:rFonts w:ascii="Palatino Linotype" w:hAnsi="Palatino Linotype"/>
        </w:rPr>
        <w:t xml:space="preserve"> remaining</w:t>
      </w:r>
      <w:r w:rsidRPr="00221288" w:rsidR="00FA248F">
        <w:rPr>
          <w:rFonts w:ascii="Palatino Linotype" w:hAnsi="Palatino Linotype"/>
        </w:rPr>
        <w:t xml:space="preserve"> legacy period if they</w:t>
      </w:r>
      <w:r w:rsidRPr="00221288" w:rsidR="001C0A41">
        <w:rPr>
          <w:rFonts w:ascii="Palatino Linotype" w:hAnsi="Palatino Linotype"/>
        </w:rPr>
        <w:t xml:space="preserve"> </w:t>
      </w:r>
      <w:r w:rsidRPr="00221288" w:rsidR="00B1290A">
        <w:rPr>
          <w:rFonts w:ascii="Palatino Linotype" w:hAnsi="Palatino Linotype"/>
        </w:rPr>
        <w:t xml:space="preserve">increase their </w:t>
      </w:r>
      <w:r w:rsidRPr="00221288" w:rsidR="00984642">
        <w:rPr>
          <w:rFonts w:ascii="Palatino Linotype" w:hAnsi="Palatino Linotype"/>
        </w:rPr>
        <w:t>system generation by more than 10 percent of original capacity or 1 kilowatt.</w:t>
      </w:r>
      <w:r w:rsidRPr="00221288" w:rsidR="00176A0E">
        <w:rPr>
          <w:rFonts w:ascii="Palatino Linotype" w:hAnsi="Palatino Linotype"/>
          <w:vertAlign w:val="superscript"/>
        </w:rPr>
        <w:footnoteReference w:id="6"/>
      </w:r>
      <w:r w:rsidRPr="00221288" w:rsidR="00984642">
        <w:rPr>
          <w:rFonts w:ascii="Palatino Linotype" w:hAnsi="Palatino Linotype"/>
        </w:rPr>
        <w:t xml:space="preserve"> </w:t>
      </w:r>
      <w:r w:rsidRPr="00221288" w:rsidR="005E5946">
        <w:rPr>
          <w:rFonts w:ascii="Palatino Linotype" w:hAnsi="Palatino Linotype"/>
        </w:rPr>
        <w:t xml:space="preserve">In its </w:t>
      </w:r>
      <w:r w:rsidRPr="00221288" w:rsidR="00C90C02">
        <w:rPr>
          <w:rFonts w:ascii="Palatino Linotype" w:hAnsi="Palatino Linotype"/>
        </w:rPr>
        <w:t>initial</w:t>
      </w:r>
      <w:r w:rsidRPr="00221288" w:rsidR="005E5946">
        <w:rPr>
          <w:rFonts w:ascii="Palatino Linotype" w:hAnsi="Palatino Linotype"/>
        </w:rPr>
        <w:t xml:space="preserve"> protest, CALSSA </w:t>
      </w:r>
      <w:r w:rsidRPr="00221288" w:rsidR="00F40ECB">
        <w:rPr>
          <w:rFonts w:ascii="Palatino Linotype" w:hAnsi="Palatino Linotype"/>
        </w:rPr>
        <w:t xml:space="preserve">asserts </w:t>
      </w:r>
      <w:r w:rsidRPr="00221288" w:rsidR="00404F5C">
        <w:rPr>
          <w:rFonts w:ascii="Palatino Linotype" w:hAnsi="Palatino Linotype"/>
        </w:rPr>
        <w:t>that</w:t>
      </w:r>
      <w:r w:rsidRPr="00221288" w:rsidR="00C13B09">
        <w:rPr>
          <w:rFonts w:ascii="Palatino Linotype" w:hAnsi="Palatino Linotype"/>
        </w:rPr>
        <w:t xml:space="preserve"> the utility </w:t>
      </w:r>
      <w:r w:rsidRPr="00221288" w:rsidR="004C0CD5">
        <w:rPr>
          <w:rFonts w:ascii="Palatino Linotype" w:hAnsi="Palatino Linotype"/>
        </w:rPr>
        <w:t>AL</w:t>
      </w:r>
      <w:r w:rsidRPr="00221288" w:rsidR="00C13B09">
        <w:rPr>
          <w:rFonts w:ascii="Palatino Linotype" w:hAnsi="Palatino Linotype"/>
        </w:rPr>
        <w:t>s inappropriately remove eligibility for the</w:t>
      </w:r>
      <w:r w:rsidRPr="00221288" w:rsidR="00404F5C">
        <w:rPr>
          <w:rFonts w:ascii="Palatino Linotype" w:hAnsi="Palatino Linotype"/>
        </w:rPr>
        <w:t xml:space="preserve"> </w:t>
      </w:r>
      <w:r w:rsidRPr="00221288" w:rsidR="00C13B09">
        <w:rPr>
          <w:rFonts w:ascii="Palatino Linotype" w:hAnsi="Palatino Linotype"/>
        </w:rPr>
        <w:t>remainder of a customer’s legacy period upon an increase in system generation by more than 10</w:t>
      </w:r>
      <w:r w:rsidRPr="00221288" w:rsidR="00F429B7">
        <w:rPr>
          <w:rFonts w:ascii="Palatino Linotype" w:hAnsi="Palatino Linotype"/>
        </w:rPr>
        <w:t xml:space="preserve"> </w:t>
      </w:r>
      <w:r w:rsidRPr="00221288" w:rsidR="00C13B09">
        <w:rPr>
          <w:rFonts w:ascii="Palatino Linotype" w:hAnsi="Palatino Linotype"/>
        </w:rPr>
        <w:t xml:space="preserve">percent of </w:t>
      </w:r>
      <w:r w:rsidRPr="00221288" w:rsidR="00F429B7">
        <w:rPr>
          <w:rFonts w:ascii="Palatino Linotype" w:hAnsi="Palatino Linotype"/>
        </w:rPr>
        <w:t xml:space="preserve">original </w:t>
      </w:r>
      <w:r w:rsidRPr="00221288" w:rsidR="00C13B09">
        <w:rPr>
          <w:rFonts w:ascii="Palatino Linotype" w:hAnsi="Palatino Linotype"/>
        </w:rPr>
        <w:t xml:space="preserve">capacity or 1 kilowatt, </w:t>
      </w:r>
      <w:r w:rsidRPr="00221288" w:rsidR="00FB479F">
        <w:rPr>
          <w:rFonts w:ascii="Palatino Linotype" w:hAnsi="Palatino Linotype"/>
        </w:rPr>
        <w:t>because t</w:t>
      </w:r>
      <w:r w:rsidRPr="00221288" w:rsidR="00C13B09">
        <w:rPr>
          <w:rFonts w:ascii="Palatino Linotype" w:hAnsi="Palatino Linotype"/>
        </w:rPr>
        <w:t xml:space="preserve">here is no successor to the NBT to which customers can be transferred. </w:t>
      </w:r>
      <w:r w:rsidRPr="00221288" w:rsidR="00FB479F">
        <w:rPr>
          <w:rFonts w:ascii="Palatino Linotype" w:hAnsi="Palatino Linotype"/>
        </w:rPr>
        <w:t xml:space="preserve">CALSSA </w:t>
      </w:r>
      <w:r w:rsidRPr="00221288" w:rsidR="004C0CD5">
        <w:rPr>
          <w:rFonts w:ascii="Palatino Linotype" w:hAnsi="Palatino Linotype"/>
        </w:rPr>
        <w:t>argues</w:t>
      </w:r>
      <w:r w:rsidRPr="00221288" w:rsidR="00FB479F">
        <w:rPr>
          <w:rFonts w:ascii="Palatino Linotype" w:hAnsi="Palatino Linotype"/>
        </w:rPr>
        <w:t xml:space="preserve"> that t</w:t>
      </w:r>
      <w:r w:rsidRPr="00221288" w:rsidR="00C13B09">
        <w:rPr>
          <w:rFonts w:ascii="Palatino Linotype" w:hAnsi="Palatino Linotype"/>
        </w:rPr>
        <w:t>he NBT without a</w:t>
      </w:r>
      <w:r w:rsidRPr="00221288" w:rsidR="00FB479F">
        <w:rPr>
          <w:rFonts w:ascii="Palatino Linotype" w:hAnsi="Palatino Linotype"/>
        </w:rPr>
        <w:t xml:space="preserve"> </w:t>
      </w:r>
      <w:r w:rsidRPr="00221288" w:rsidR="00C13B09">
        <w:rPr>
          <w:rFonts w:ascii="Palatino Linotype" w:hAnsi="Palatino Linotype"/>
        </w:rPr>
        <w:t>legacy period is not a successor tariff to the NBT with a legacy period.</w:t>
      </w:r>
    </w:p>
    <w:p w:rsidRPr="00221288" w:rsidR="002C649D" w:rsidP="002C649D" w:rsidRDefault="002C649D" w14:paraId="2DFCFF01" w14:textId="77777777">
      <w:pPr>
        <w:rPr>
          <w:rFonts w:ascii="Palatino Linotype" w:hAnsi="Palatino Linotype"/>
        </w:rPr>
      </w:pPr>
    </w:p>
    <w:p w:rsidRPr="00221288" w:rsidR="002C649D" w:rsidP="00E8447D" w:rsidRDefault="002C649D" w14:paraId="2855327D" w14:textId="441E29FA">
      <w:pPr>
        <w:rPr>
          <w:rFonts w:ascii="Palatino Linotype" w:hAnsi="Palatino Linotype"/>
        </w:rPr>
      </w:pPr>
      <w:r w:rsidRPr="00221288">
        <w:rPr>
          <w:rFonts w:ascii="Palatino Linotype" w:hAnsi="Palatino Linotype"/>
        </w:rPr>
        <w:t xml:space="preserve">In their replies, the utilities </w:t>
      </w:r>
      <w:r w:rsidRPr="00221288" w:rsidR="0043400A">
        <w:rPr>
          <w:rFonts w:ascii="Palatino Linotype" w:hAnsi="Palatino Linotype"/>
        </w:rPr>
        <w:t xml:space="preserve">agree </w:t>
      </w:r>
      <w:r w:rsidRPr="00221288" w:rsidR="00D773FB">
        <w:rPr>
          <w:rFonts w:ascii="Palatino Linotype" w:hAnsi="Palatino Linotype"/>
        </w:rPr>
        <w:t>that the NBT without a legacy period is not a successor tariff to the NBT with a legacy period</w:t>
      </w:r>
      <w:r w:rsidRPr="00221288" w:rsidR="0043400A">
        <w:rPr>
          <w:rFonts w:ascii="Palatino Linotype" w:hAnsi="Palatino Linotype"/>
        </w:rPr>
        <w:t xml:space="preserve">. PG&amp;E </w:t>
      </w:r>
      <w:r w:rsidRPr="00221288" w:rsidR="0000274B">
        <w:rPr>
          <w:rFonts w:ascii="Palatino Linotype" w:hAnsi="Palatino Linotype"/>
        </w:rPr>
        <w:t xml:space="preserve">points </w:t>
      </w:r>
      <w:r w:rsidRPr="00221288" w:rsidR="0043400A">
        <w:rPr>
          <w:rFonts w:ascii="Palatino Linotype" w:hAnsi="Palatino Linotype"/>
        </w:rPr>
        <w:t xml:space="preserve">to a footnote </w:t>
      </w:r>
      <w:r w:rsidRPr="00221288" w:rsidR="00404F5C">
        <w:rPr>
          <w:rFonts w:ascii="Palatino Linotype" w:hAnsi="Palatino Linotype"/>
        </w:rPr>
        <w:t xml:space="preserve">in its </w:t>
      </w:r>
      <w:r w:rsidRPr="00221288" w:rsidR="004C0CD5">
        <w:rPr>
          <w:rFonts w:ascii="Palatino Linotype" w:hAnsi="Palatino Linotype"/>
        </w:rPr>
        <w:t>AL</w:t>
      </w:r>
      <w:r w:rsidRPr="00221288" w:rsidR="008225F7">
        <w:rPr>
          <w:rFonts w:ascii="Palatino Linotype" w:hAnsi="Palatino Linotype"/>
        </w:rPr>
        <w:t xml:space="preserve"> implementing this principle</w:t>
      </w:r>
      <w:r w:rsidRPr="00221288" w:rsidR="00404F5C">
        <w:rPr>
          <w:rFonts w:ascii="Palatino Linotype" w:hAnsi="Palatino Linotype"/>
        </w:rPr>
        <w:t>, “Customers</w:t>
      </w:r>
      <w:r w:rsidRPr="00221288" w:rsidR="008C3C91">
        <w:rPr>
          <w:rFonts w:ascii="Palatino Linotype" w:hAnsi="Palatino Linotype"/>
        </w:rPr>
        <w:t xml:space="preserve"> </w:t>
      </w:r>
      <w:r w:rsidRPr="00221288" w:rsidR="00404F5C">
        <w:rPr>
          <w:rFonts w:ascii="Palatino Linotype" w:hAnsi="Palatino Linotype"/>
        </w:rPr>
        <w:t xml:space="preserve">making modifications and/or additions to their </w:t>
      </w:r>
      <w:r w:rsidRPr="00221288" w:rsidR="006D031D">
        <w:rPr>
          <w:rFonts w:ascii="Palatino Linotype" w:hAnsi="Palatino Linotype"/>
        </w:rPr>
        <w:t>[</w:t>
      </w:r>
      <w:r w:rsidRPr="00221288" w:rsidR="00AF04B2">
        <w:rPr>
          <w:rFonts w:ascii="Palatino Linotype" w:hAnsi="Palatino Linotype"/>
        </w:rPr>
        <w:t>Renewable Electrical Generating Facility</w:t>
      </w:r>
      <w:r w:rsidRPr="00221288" w:rsidR="00404F5C">
        <w:rPr>
          <w:rFonts w:ascii="Palatino Linotype" w:hAnsi="Palatino Linotype"/>
        </w:rPr>
        <w:t xml:space="preserve"> </w:t>
      </w:r>
      <w:r w:rsidRPr="00221288" w:rsidR="00AF04B2">
        <w:rPr>
          <w:rFonts w:ascii="Palatino Linotype" w:hAnsi="Palatino Linotype"/>
        </w:rPr>
        <w:t>(</w:t>
      </w:r>
      <w:r w:rsidRPr="00221288" w:rsidR="00404F5C">
        <w:rPr>
          <w:rFonts w:ascii="Palatino Linotype" w:hAnsi="Palatino Linotype"/>
        </w:rPr>
        <w:t>REGF</w:t>
      </w:r>
      <w:r w:rsidRPr="00221288" w:rsidR="00AF04B2">
        <w:rPr>
          <w:rFonts w:ascii="Palatino Linotype" w:hAnsi="Palatino Linotype"/>
        </w:rPr>
        <w:t>)</w:t>
      </w:r>
      <w:r w:rsidRPr="00221288" w:rsidR="00B24C0C">
        <w:rPr>
          <w:rFonts w:ascii="Palatino Linotype" w:hAnsi="Palatino Linotype"/>
        </w:rPr>
        <w:t>]</w:t>
      </w:r>
      <w:r w:rsidRPr="00221288" w:rsidR="00404F5C">
        <w:rPr>
          <w:rFonts w:ascii="Palatino Linotype" w:hAnsi="Palatino Linotype"/>
        </w:rPr>
        <w:t xml:space="preserve"> that exceed the 10 percent,</w:t>
      </w:r>
      <w:r w:rsidRPr="00221288" w:rsidR="008C3C91">
        <w:rPr>
          <w:rFonts w:ascii="Palatino Linotype" w:hAnsi="Palatino Linotype"/>
        </w:rPr>
        <w:t xml:space="preserve"> </w:t>
      </w:r>
      <w:r w:rsidRPr="00221288" w:rsidR="00404F5C">
        <w:rPr>
          <w:rFonts w:ascii="Palatino Linotype" w:hAnsi="Palatino Linotype"/>
        </w:rPr>
        <w:t xml:space="preserve">or </w:t>
      </w:r>
      <w:r w:rsidR="00693E5B">
        <w:rPr>
          <w:rFonts w:ascii="Palatino Linotype" w:hAnsi="Palatino Linotype"/>
        </w:rPr>
        <w:br/>
      </w:r>
      <w:r w:rsidRPr="00221288" w:rsidR="00404F5C">
        <w:rPr>
          <w:rFonts w:ascii="Palatino Linotype" w:hAnsi="Palatino Linotype"/>
        </w:rPr>
        <w:t>1 kW limit referenced above shall remain on this tariff until the Commission</w:t>
      </w:r>
      <w:r w:rsidRPr="00221288" w:rsidR="008C3C91">
        <w:rPr>
          <w:rFonts w:ascii="Palatino Linotype" w:hAnsi="Palatino Linotype"/>
        </w:rPr>
        <w:t xml:space="preserve"> </w:t>
      </w:r>
      <w:r w:rsidRPr="00221288" w:rsidR="00404F5C">
        <w:rPr>
          <w:rFonts w:ascii="Palatino Linotype" w:hAnsi="Palatino Linotype"/>
        </w:rPr>
        <w:t>develops a successor tariff to this or directs these customers to another tariff.</w:t>
      </w:r>
      <w:r w:rsidRPr="00221288" w:rsidR="008C3C91">
        <w:rPr>
          <w:rFonts w:ascii="Palatino Linotype" w:hAnsi="Palatino Linotype"/>
        </w:rPr>
        <w:t xml:space="preserve"> </w:t>
      </w:r>
      <w:r w:rsidRPr="00221288" w:rsidR="00404F5C">
        <w:rPr>
          <w:rFonts w:ascii="Palatino Linotype" w:hAnsi="Palatino Linotype"/>
        </w:rPr>
        <w:t>This requirement will only be enforced upon the development of a new NBT</w:t>
      </w:r>
      <w:r w:rsidRPr="00221288" w:rsidR="008C3C91">
        <w:rPr>
          <w:rFonts w:ascii="Palatino Linotype" w:hAnsi="Palatino Linotype"/>
        </w:rPr>
        <w:t xml:space="preserve"> </w:t>
      </w:r>
      <w:r w:rsidRPr="00221288" w:rsidR="00404F5C">
        <w:rPr>
          <w:rFonts w:ascii="Palatino Linotype" w:hAnsi="Palatino Linotype"/>
        </w:rPr>
        <w:t>Successor Tariff, or by the direction of the CPUC.”</w:t>
      </w:r>
      <w:r w:rsidRPr="00221288" w:rsidR="008C3C91">
        <w:rPr>
          <w:rStyle w:val="FootnoteReference"/>
          <w:rFonts w:ascii="Palatino Linotype" w:hAnsi="Palatino Linotype"/>
        </w:rPr>
        <w:footnoteReference w:id="7"/>
      </w:r>
      <w:r w:rsidRPr="00221288" w:rsidR="008C3C91">
        <w:rPr>
          <w:rFonts w:ascii="Palatino Linotype" w:hAnsi="Palatino Linotype"/>
        </w:rPr>
        <w:t xml:space="preserve"> </w:t>
      </w:r>
      <w:r w:rsidRPr="00221288" w:rsidR="00DD6BF2">
        <w:rPr>
          <w:rFonts w:ascii="Palatino Linotype" w:hAnsi="Palatino Linotype"/>
        </w:rPr>
        <w:t xml:space="preserve">In its reply, </w:t>
      </w:r>
      <w:r w:rsidRPr="00221288" w:rsidR="00AE21CC">
        <w:rPr>
          <w:rFonts w:ascii="Palatino Linotype" w:hAnsi="Palatino Linotype"/>
        </w:rPr>
        <w:t xml:space="preserve">SDG&amp;E </w:t>
      </w:r>
      <w:r w:rsidRPr="00221288" w:rsidR="00AA1B75">
        <w:rPr>
          <w:rFonts w:ascii="Palatino Linotype" w:hAnsi="Palatino Linotype"/>
        </w:rPr>
        <w:t>states</w:t>
      </w:r>
      <w:r w:rsidRPr="00221288" w:rsidR="00AE21CC">
        <w:rPr>
          <w:rFonts w:ascii="Palatino Linotype" w:hAnsi="Palatino Linotype"/>
        </w:rPr>
        <w:t xml:space="preserve"> that it believes this is clarified in Special Condition 7.a of its proposed tariff, but </w:t>
      </w:r>
      <w:r w:rsidRPr="00221288" w:rsidR="00AA1B75">
        <w:rPr>
          <w:rFonts w:ascii="Palatino Linotype" w:hAnsi="Palatino Linotype"/>
        </w:rPr>
        <w:t xml:space="preserve">states </w:t>
      </w:r>
      <w:r w:rsidRPr="00221288" w:rsidR="00CF51D9">
        <w:rPr>
          <w:rFonts w:ascii="Palatino Linotype" w:hAnsi="Palatino Linotype"/>
        </w:rPr>
        <w:t>that it w</w:t>
      </w:r>
      <w:r w:rsidRPr="00221288" w:rsidR="00DA5E45">
        <w:rPr>
          <w:rFonts w:ascii="Palatino Linotype" w:hAnsi="Palatino Linotype"/>
        </w:rPr>
        <w:t>ill</w:t>
      </w:r>
      <w:r w:rsidRPr="00221288" w:rsidR="00CF51D9">
        <w:rPr>
          <w:rFonts w:ascii="Palatino Linotype" w:hAnsi="Palatino Linotype"/>
        </w:rPr>
        <w:t xml:space="preserve"> add the last sentence of PG&amp;E’s quoted text above.</w:t>
      </w:r>
      <w:r w:rsidRPr="00221288" w:rsidR="00795878">
        <w:rPr>
          <w:rFonts w:ascii="Palatino Linotype" w:hAnsi="Palatino Linotype"/>
        </w:rPr>
        <w:t xml:space="preserve"> </w:t>
      </w:r>
      <w:r w:rsidRPr="00221288" w:rsidR="00DD6BF2">
        <w:rPr>
          <w:rFonts w:ascii="Palatino Linotype" w:hAnsi="Palatino Linotype"/>
        </w:rPr>
        <w:t xml:space="preserve">In its reply, SCE </w:t>
      </w:r>
      <w:r w:rsidRPr="00221288" w:rsidR="004B399D">
        <w:rPr>
          <w:rFonts w:ascii="Palatino Linotype" w:hAnsi="Palatino Linotype"/>
        </w:rPr>
        <w:t xml:space="preserve">proposes </w:t>
      </w:r>
      <w:r w:rsidRPr="00221288" w:rsidR="00DD22B1">
        <w:rPr>
          <w:rFonts w:ascii="Palatino Linotype" w:hAnsi="Palatino Linotype"/>
        </w:rPr>
        <w:t>a similar addition, “This provision is only applicable if, at the time of the customer request for an expansion above the threshold described above, an eligible successor tariff is available and applicable to the Generating Facility. Otherwise, the legacy period for the Generating Facility will not be affected by the proposed modification.</w:t>
      </w:r>
      <w:r w:rsidRPr="00221288" w:rsidR="00C821D6">
        <w:rPr>
          <w:rFonts w:ascii="Palatino Linotype" w:hAnsi="Palatino Linotype"/>
        </w:rPr>
        <w:t>”</w:t>
      </w:r>
      <w:r w:rsidRPr="00221288" w:rsidR="00991D60">
        <w:rPr>
          <w:rStyle w:val="FootnoteReference"/>
          <w:rFonts w:ascii="Palatino Linotype" w:hAnsi="Palatino Linotype"/>
        </w:rPr>
        <w:footnoteReference w:id="8"/>
      </w:r>
      <w:r w:rsidRPr="00221288" w:rsidR="00C821D6">
        <w:rPr>
          <w:rFonts w:ascii="Palatino Linotype" w:hAnsi="Palatino Linotype"/>
        </w:rPr>
        <w:t xml:space="preserve"> </w:t>
      </w:r>
    </w:p>
    <w:p w:rsidRPr="00221288" w:rsidR="00DD4C37" w:rsidP="0080055F" w:rsidRDefault="00DD4C37" w14:paraId="23D5556F" w14:textId="77777777">
      <w:pPr>
        <w:rPr>
          <w:rFonts w:ascii="Palatino Linotype" w:hAnsi="Palatino Linotype"/>
        </w:rPr>
      </w:pPr>
    </w:p>
    <w:p w:rsidRPr="00221288" w:rsidR="00DD4C37" w:rsidP="006F143F" w:rsidRDefault="0054618E" w14:paraId="18E20708" w14:textId="3FA57A7F">
      <w:pPr>
        <w:pStyle w:val="Heading3"/>
        <w:rPr>
          <w:rFonts w:ascii="Palatino Linotype" w:hAnsi="Palatino Linotype"/>
        </w:rPr>
      </w:pPr>
      <w:r w:rsidRPr="00221288">
        <w:rPr>
          <w:rFonts w:ascii="Palatino Linotype" w:hAnsi="Palatino Linotype"/>
        </w:rPr>
        <w:t>Treatment</w:t>
      </w:r>
      <w:r w:rsidRPr="00221288" w:rsidR="00E62FF9">
        <w:rPr>
          <w:rFonts w:ascii="Palatino Linotype" w:hAnsi="Palatino Linotype"/>
        </w:rPr>
        <w:t xml:space="preserve"> of </w:t>
      </w:r>
      <w:r w:rsidRPr="00221288">
        <w:rPr>
          <w:rFonts w:ascii="Palatino Linotype" w:hAnsi="Palatino Linotype"/>
        </w:rPr>
        <w:t>Additions to</w:t>
      </w:r>
      <w:r w:rsidRPr="00221288" w:rsidR="00E62FF9">
        <w:rPr>
          <w:rFonts w:ascii="Palatino Linotype" w:hAnsi="Palatino Linotype"/>
        </w:rPr>
        <w:t xml:space="preserve"> NEM 2.0 Systems</w:t>
      </w:r>
    </w:p>
    <w:p w:rsidRPr="00221288" w:rsidR="00D935F2" w:rsidP="00D935F2" w:rsidRDefault="00D935F2" w14:paraId="2B659A67" w14:textId="77777777">
      <w:pPr>
        <w:rPr>
          <w:rFonts w:ascii="Palatino Linotype" w:hAnsi="Palatino Linotype"/>
        </w:rPr>
      </w:pPr>
    </w:p>
    <w:p w:rsidRPr="00221288" w:rsidR="00E62FF9" w:rsidP="00B00C92" w:rsidRDefault="00E62FF9" w14:paraId="6CA88BD3" w14:textId="070B7850">
      <w:pPr>
        <w:rPr>
          <w:rFonts w:ascii="Palatino Linotype" w:hAnsi="Palatino Linotype"/>
        </w:rPr>
      </w:pPr>
      <w:r w:rsidRPr="00221288">
        <w:rPr>
          <w:rFonts w:ascii="Palatino Linotype" w:hAnsi="Palatino Linotype"/>
        </w:rPr>
        <w:t xml:space="preserve">In its </w:t>
      </w:r>
      <w:r w:rsidRPr="00221288" w:rsidR="000A7C02">
        <w:rPr>
          <w:rFonts w:ascii="Palatino Linotype" w:hAnsi="Palatino Linotype"/>
        </w:rPr>
        <w:t xml:space="preserve">initial </w:t>
      </w:r>
      <w:r w:rsidRPr="00221288">
        <w:rPr>
          <w:rFonts w:ascii="Palatino Linotype" w:hAnsi="Palatino Linotype"/>
        </w:rPr>
        <w:t xml:space="preserve">protest, CALSSA </w:t>
      </w:r>
      <w:r w:rsidRPr="00221288" w:rsidR="00B96163">
        <w:rPr>
          <w:rFonts w:ascii="Palatino Linotype" w:hAnsi="Palatino Linotype"/>
        </w:rPr>
        <w:t>addresse</w:t>
      </w:r>
      <w:r w:rsidRPr="00221288" w:rsidR="090DD114">
        <w:rPr>
          <w:rFonts w:ascii="Palatino Linotype" w:hAnsi="Palatino Linotype"/>
        </w:rPr>
        <w:t>s</w:t>
      </w:r>
      <w:r w:rsidRPr="00221288" w:rsidR="00A33716">
        <w:rPr>
          <w:rFonts w:ascii="Palatino Linotype" w:hAnsi="Palatino Linotype"/>
        </w:rPr>
        <w:t xml:space="preserve"> Ordering Paragraph 4 of D.14-03-041, which </w:t>
      </w:r>
      <w:r w:rsidRPr="00221288" w:rsidR="005C1422">
        <w:rPr>
          <w:rFonts w:ascii="Palatino Linotype" w:hAnsi="Palatino Linotype"/>
        </w:rPr>
        <w:t>provides</w:t>
      </w:r>
      <w:r w:rsidRPr="00221288" w:rsidR="00A33716">
        <w:rPr>
          <w:rFonts w:ascii="Palatino Linotype" w:hAnsi="Palatino Linotype"/>
        </w:rPr>
        <w:t xml:space="preserve"> that </w:t>
      </w:r>
      <w:r w:rsidRPr="00221288" w:rsidR="008776B6">
        <w:rPr>
          <w:rFonts w:ascii="Palatino Linotype" w:hAnsi="Palatino Linotype"/>
        </w:rPr>
        <w:t>NEM customers adding more than the</w:t>
      </w:r>
      <w:r w:rsidRPr="00221288" w:rsidR="00EB0D1C">
        <w:rPr>
          <w:rFonts w:ascii="Palatino Linotype" w:hAnsi="Palatino Linotype"/>
        </w:rPr>
        <w:t xml:space="preserve"> </w:t>
      </w:r>
      <w:r w:rsidRPr="00221288" w:rsidR="007616CA">
        <w:rPr>
          <w:rFonts w:ascii="Palatino Linotype" w:hAnsi="Palatino Linotype"/>
        </w:rPr>
        <w:t xml:space="preserve">greater </w:t>
      </w:r>
      <w:r w:rsidRPr="00221288" w:rsidR="008776B6">
        <w:rPr>
          <w:rFonts w:ascii="Palatino Linotype" w:hAnsi="Palatino Linotype"/>
        </w:rPr>
        <w:t xml:space="preserve">of </w:t>
      </w:r>
      <w:r w:rsidRPr="00221288" w:rsidR="007616CA">
        <w:rPr>
          <w:rFonts w:ascii="Palatino Linotype" w:hAnsi="Palatino Linotype"/>
        </w:rPr>
        <w:t>10 percent of</w:t>
      </w:r>
      <w:r w:rsidRPr="00221288" w:rsidR="00EB0D1C">
        <w:rPr>
          <w:rFonts w:ascii="Palatino Linotype" w:hAnsi="Palatino Linotype"/>
        </w:rPr>
        <w:t xml:space="preserve"> a </w:t>
      </w:r>
      <w:r w:rsidRPr="00221288" w:rsidR="001072CB">
        <w:rPr>
          <w:rFonts w:ascii="Palatino Linotype" w:hAnsi="Palatino Linotype"/>
        </w:rPr>
        <w:t xml:space="preserve">generating </w:t>
      </w:r>
      <w:r w:rsidRPr="00221288" w:rsidR="00EB0D1C">
        <w:rPr>
          <w:rFonts w:ascii="Palatino Linotype" w:hAnsi="Palatino Linotype"/>
        </w:rPr>
        <w:t>facility’s</w:t>
      </w:r>
      <w:r w:rsidRPr="00221288" w:rsidR="007616CA">
        <w:rPr>
          <w:rFonts w:ascii="Palatino Linotype" w:hAnsi="Palatino Linotype"/>
        </w:rPr>
        <w:t xml:space="preserve"> </w:t>
      </w:r>
      <w:r w:rsidRPr="00221288" w:rsidR="008805F0">
        <w:rPr>
          <w:rFonts w:ascii="Palatino Linotype" w:hAnsi="Palatino Linotype"/>
        </w:rPr>
        <w:t>existing capacit</w:t>
      </w:r>
      <w:r w:rsidRPr="00221288" w:rsidR="00EB0D1C">
        <w:rPr>
          <w:rFonts w:ascii="Palatino Linotype" w:hAnsi="Palatino Linotype"/>
        </w:rPr>
        <w:t>y or 1 kW in capacity</w:t>
      </w:r>
      <w:r w:rsidRPr="00221288" w:rsidR="001072CB">
        <w:rPr>
          <w:rFonts w:ascii="Palatino Linotype" w:hAnsi="Palatino Linotype"/>
        </w:rPr>
        <w:t xml:space="preserve"> to a generating facility may either choose to meter the additions separately under the successor tariff or elect for the whole system to take service under the successor tariff</w:t>
      </w:r>
      <w:r w:rsidRPr="00221288" w:rsidR="00EB0D1C">
        <w:rPr>
          <w:rFonts w:ascii="Palatino Linotype" w:hAnsi="Palatino Linotype"/>
        </w:rPr>
        <w:t xml:space="preserve">. </w:t>
      </w:r>
      <w:r w:rsidRPr="00221288" w:rsidR="00232AA3">
        <w:rPr>
          <w:rFonts w:ascii="Palatino Linotype" w:hAnsi="Palatino Linotype"/>
        </w:rPr>
        <w:t xml:space="preserve">CALSSA </w:t>
      </w:r>
      <w:r w:rsidRPr="00221288" w:rsidR="004C0CD5">
        <w:rPr>
          <w:rFonts w:ascii="Palatino Linotype" w:hAnsi="Palatino Linotype"/>
        </w:rPr>
        <w:t>states</w:t>
      </w:r>
      <w:r w:rsidRPr="00221288" w:rsidR="00232AA3">
        <w:rPr>
          <w:rFonts w:ascii="Palatino Linotype" w:hAnsi="Palatino Linotype"/>
        </w:rPr>
        <w:t xml:space="preserve"> that </w:t>
      </w:r>
      <w:r w:rsidRPr="00221288" w:rsidR="000E0AF5">
        <w:rPr>
          <w:rFonts w:ascii="Palatino Linotype" w:hAnsi="Palatino Linotype"/>
        </w:rPr>
        <w:t xml:space="preserve">PG&amp;E’s and SDG&amp;E’s ALs retain the D.14-03-041 provision, but </w:t>
      </w:r>
      <w:r w:rsidRPr="00221288" w:rsidR="00232AA3">
        <w:rPr>
          <w:rFonts w:ascii="Palatino Linotype" w:hAnsi="Palatino Linotype"/>
        </w:rPr>
        <w:t>that SCE</w:t>
      </w:r>
      <w:r w:rsidRPr="00221288" w:rsidR="009C4DF8">
        <w:rPr>
          <w:rFonts w:ascii="Palatino Linotype" w:hAnsi="Palatino Linotype"/>
        </w:rPr>
        <w:t>’s proposed tariff</w:t>
      </w:r>
      <w:r w:rsidRPr="00221288" w:rsidR="00232AA3">
        <w:rPr>
          <w:rFonts w:ascii="Palatino Linotype" w:hAnsi="Palatino Linotype"/>
        </w:rPr>
        <w:t xml:space="preserve"> </w:t>
      </w:r>
      <w:r w:rsidRPr="00221288" w:rsidR="00414ADD">
        <w:rPr>
          <w:rFonts w:ascii="Palatino Linotype" w:hAnsi="Palatino Linotype"/>
        </w:rPr>
        <w:t xml:space="preserve">instead </w:t>
      </w:r>
      <w:r w:rsidRPr="00221288" w:rsidR="00414ADD">
        <w:rPr>
          <w:rFonts w:ascii="Palatino Linotype" w:hAnsi="Palatino Linotype"/>
        </w:rPr>
        <w:lastRenderedPageBreak/>
        <w:t>transition</w:t>
      </w:r>
      <w:r w:rsidRPr="00221288" w:rsidR="009C4DF8">
        <w:rPr>
          <w:rFonts w:ascii="Palatino Linotype" w:hAnsi="Palatino Linotype"/>
        </w:rPr>
        <w:t>s</w:t>
      </w:r>
      <w:r w:rsidRPr="00221288" w:rsidR="00414ADD">
        <w:rPr>
          <w:rFonts w:ascii="Palatino Linotype" w:hAnsi="Palatino Linotype"/>
        </w:rPr>
        <w:t xml:space="preserve"> such customers’ whole systems to the NBT.</w:t>
      </w:r>
      <w:r w:rsidRPr="00221288" w:rsidR="00027449">
        <w:rPr>
          <w:rFonts w:ascii="Palatino Linotype" w:hAnsi="Palatino Linotype"/>
        </w:rPr>
        <w:t xml:space="preserve"> </w:t>
      </w:r>
      <w:r w:rsidRPr="00221288" w:rsidR="003152A1">
        <w:rPr>
          <w:rFonts w:ascii="Palatino Linotype" w:hAnsi="Palatino Linotype"/>
        </w:rPr>
        <w:t xml:space="preserve">Arguing against </w:t>
      </w:r>
      <w:r w:rsidRPr="00221288" w:rsidR="00894EB9">
        <w:rPr>
          <w:rFonts w:ascii="Palatino Linotype" w:hAnsi="Palatino Linotype"/>
        </w:rPr>
        <w:t>SCE’s proposal</w:t>
      </w:r>
      <w:r w:rsidRPr="00221288" w:rsidR="003152A1">
        <w:rPr>
          <w:rFonts w:ascii="Palatino Linotype" w:hAnsi="Palatino Linotype"/>
        </w:rPr>
        <w:t xml:space="preserve">, </w:t>
      </w:r>
      <w:r w:rsidRPr="00221288" w:rsidR="00027449">
        <w:rPr>
          <w:rFonts w:ascii="Palatino Linotype" w:hAnsi="Palatino Linotype"/>
        </w:rPr>
        <w:t xml:space="preserve">CALSSA </w:t>
      </w:r>
      <w:r w:rsidRPr="00221288" w:rsidR="004C0CD5">
        <w:rPr>
          <w:rFonts w:ascii="Palatino Linotype" w:hAnsi="Palatino Linotype"/>
        </w:rPr>
        <w:t>asserts</w:t>
      </w:r>
      <w:r w:rsidRPr="00221288" w:rsidR="003152A1">
        <w:rPr>
          <w:rFonts w:ascii="Palatino Linotype" w:hAnsi="Palatino Linotype"/>
        </w:rPr>
        <w:t xml:space="preserve"> that </w:t>
      </w:r>
      <w:r w:rsidRPr="00221288" w:rsidR="008D5BDB">
        <w:rPr>
          <w:rFonts w:ascii="Palatino Linotype" w:hAnsi="Palatino Linotype"/>
        </w:rPr>
        <w:t xml:space="preserve">D.22-12-056 did not explicitly order this, </w:t>
      </w:r>
      <w:r w:rsidRPr="00221288" w:rsidR="00715C94">
        <w:rPr>
          <w:rFonts w:ascii="Palatino Linotype" w:hAnsi="Palatino Linotype"/>
        </w:rPr>
        <w:t xml:space="preserve">that </w:t>
      </w:r>
      <w:r w:rsidRPr="00221288" w:rsidR="003152A1">
        <w:rPr>
          <w:rFonts w:ascii="Palatino Linotype" w:hAnsi="Palatino Linotype"/>
        </w:rPr>
        <w:t xml:space="preserve">implementing the </w:t>
      </w:r>
      <w:r w:rsidRPr="00221288" w:rsidR="00715C94">
        <w:rPr>
          <w:rFonts w:ascii="Palatino Linotype" w:hAnsi="Palatino Linotype"/>
        </w:rPr>
        <w:t xml:space="preserve">D.14-03-041 </w:t>
      </w:r>
      <w:r w:rsidRPr="00221288" w:rsidR="00012810">
        <w:rPr>
          <w:rFonts w:ascii="Palatino Linotype" w:hAnsi="Palatino Linotype"/>
        </w:rPr>
        <w:t xml:space="preserve">provision for hybrid billing would be simpler under the NBT than under NEM 1.0 and NEM 2.0, and </w:t>
      </w:r>
      <w:r w:rsidRPr="00221288" w:rsidR="00715C94">
        <w:rPr>
          <w:rFonts w:ascii="Palatino Linotype" w:hAnsi="Palatino Linotype"/>
        </w:rPr>
        <w:t>that SCE’s proposal</w:t>
      </w:r>
      <w:r w:rsidRPr="00221288" w:rsidR="006978A6">
        <w:rPr>
          <w:rFonts w:ascii="Palatino Linotype" w:hAnsi="Palatino Linotype"/>
        </w:rPr>
        <w:t xml:space="preserve"> would discourage electrification. CALSSA </w:t>
      </w:r>
      <w:r w:rsidRPr="00221288" w:rsidR="004C0CD5">
        <w:rPr>
          <w:rFonts w:ascii="Palatino Linotype" w:hAnsi="Palatino Linotype"/>
        </w:rPr>
        <w:t>proposes</w:t>
      </w:r>
      <w:r w:rsidRPr="00221288" w:rsidR="006978A6">
        <w:rPr>
          <w:rFonts w:ascii="Palatino Linotype" w:hAnsi="Palatino Linotype"/>
        </w:rPr>
        <w:t xml:space="preserve"> that the </w:t>
      </w:r>
      <w:r w:rsidRPr="00221288" w:rsidR="004C0CD5">
        <w:rPr>
          <w:rFonts w:ascii="Palatino Linotype" w:hAnsi="Palatino Linotype"/>
        </w:rPr>
        <w:t>utilities</w:t>
      </w:r>
      <w:r w:rsidRPr="00221288" w:rsidR="006978A6">
        <w:rPr>
          <w:rFonts w:ascii="Palatino Linotype" w:hAnsi="Palatino Linotype"/>
        </w:rPr>
        <w:t xml:space="preserve"> should clarify the billing methodology for hybrid systems</w:t>
      </w:r>
      <w:r w:rsidRPr="00221288" w:rsidR="00B00C92">
        <w:rPr>
          <w:rFonts w:ascii="Palatino Linotype" w:hAnsi="Palatino Linotype"/>
        </w:rPr>
        <w:t xml:space="preserve"> that choose to meter the original system and the addition </w:t>
      </w:r>
      <w:r w:rsidRPr="00221288" w:rsidR="005E5EC6">
        <w:rPr>
          <w:rFonts w:ascii="Palatino Linotype" w:hAnsi="Palatino Linotype"/>
        </w:rPr>
        <w:t xml:space="preserve">under </w:t>
      </w:r>
      <w:r w:rsidRPr="00221288" w:rsidR="00B00C92">
        <w:rPr>
          <w:rFonts w:ascii="Palatino Linotype" w:hAnsi="Palatino Linotype"/>
        </w:rPr>
        <w:t>separate</w:t>
      </w:r>
      <w:r w:rsidRPr="00221288" w:rsidR="005E5EC6">
        <w:rPr>
          <w:rFonts w:ascii="Palatino Linotype" w:hAnsi="Palatino Linotype"/>
        </w:rPr>
        <w:t xml:space="preserve"> tariffs</w:t>
      </w:r>
      <w:r w:rsidRPr="00221288" w:rsidR="00B00C92">
        <w:rPr>
          <w:rFonts w:ascii="Palatino Linotype" w:hAnsi="Palatino Linotype"/>
        </w:rPr>
        <w:t>. For the methodology, CALSSA recommend</w:t>
      </w:r>
      <w:r w:rsidRPr="00221288" w:rsidR="72F43918">
        <w:rPr>
          <w:rFonts w:ascii="Palatino Linotype" w:hAnsi="Palatino Linotype"/>
        </w:rPr>
        <w:t>s</w:t>
      </w:r>
      <w:r w:rsidRPr="00221288" w:rsidR="00B00C92">
        <w:rPr>
          <w:rFonts w:ascii="Palatino Linotype" w:hAnsi="Palatino Linotype"/>
        </w:rPr>
        <w:t xml:space="preserve"> that credits for exports in each hour should be applied proportionally as NEM and NBT credits based on the proportional output of the separate systems.</w:t>
      </w:r>
    </w:p>
    <w:p w:rsidRPr="00221288" w:rsidR="00BA1011" w:rsidP="00B00C92" w:rsidRDefault="00BA1011" w14:paraId="04C9F5F4" w14:textId="77777777">
      <w:pPr>
        <w:rPr>
          <w:rFonts w:ascii="Palatino Linotype" w:hAnsi="Palatino Linotype"/>
        </w:rPr>
      </w:pPr>
    </w:p>
    <w:p w:rsidRPr="00221288" w:rsidR="00BA1011" w:rsidP="00B00C92" w:rsidRDefault="0075132F" w14:paraId="7C3CC7FB" w14:textId="03EF7B0A">
      <w:pPr>
        <w:rPr>
          <w:rFonts w:ascii="Palatino Linotype" w:hAnsi="Palatino Linotype"/>
        </w:rPr>
      </w:pPr>
      <w:r w:rsidRPr="00221288">
        <w:rPr>
          <w:rFonts w:ascii="Palatino Linotype" w:hAnsi="Palatino Linotype"/>
        </w:rPr>
        <w:t xml:space="preserve">In its reply, PG&amp;E </w:t>
      </w:r>
      <w:r w:rsidRPr="00221288" w:rsidR="004C0CD5">
        <w:rPr>
          <w:rFonts w:ascii="Palatino Linotype" w:hAnsi="Palatino Linotype"/>
        </w:rPr>
        <w:t>states</w:t>
      </w:r>
      <w:r w:rsidRPr="00221288" w:rsidR="00504DA8">
        <w:rPr>
          <w:rFonts w:ascii="Palatino Linotype" w:hAnsi="Palatino Linotype"/>
        </w:rPr>
        <w:t xml:space="preserve"> that both its NEM 2.0 tariff and NBT</w:t>
      </w:r>
      <w:r w:rsidRPr="00221288" w:rsidR="00D41F70">
        <w:rPr>
          <w:rFonts w:ascii="Palatino Linotype" w:hAnsi="Palatino Linotype"/>
        </w:rPr>
        <w:t xml:space="preserve">, as proposed in its </w:t>
      </w:r>
      <w:r w:rsidRPr="00221288" w:rsidR="004C0CD5">
        <w:rPr>
          <w:rFonts w:ascii="Palatino Linotype" w:hAnsi="Palatino Linotype"/>
        </w:rPr>
        <w:t>AL</w:t>
      </w:r>
      <w:r w:rsidRPr="00221288" w:rsidR="00D41F70">
        <w:rPr>
          <w:rFonts w:ascii="Palatino Linotype" w:hAnsi="Palatino Linotype"/>
        </w:rPr>
        <w:t xml:space="preserve">, allow customers to meter additions separately </w:t>
      </w:r>
      <w:r w:rsidRPr="00221288" w:rsidR="00AC4117">
        <w:rPr>
          <w:rFonts w:ascii="Palatino Linotype" w:hAnsi="Palatino Linotype"/>
        </w:rPr>
        <w:t>under Rule 21 non-export provisions</w:t>
      </w:r>
      <w:r w:rsidRPr="00221288" w:rsidR="00CB385C">
        <w:rPr>
          <w:rFonts w:ascii="Palatino Linotype" w:hAnsi="Palatino Linotype"/>
        </w:rPr>
        <w:t>. However, PG&amp;E state</w:t>
      </w:r>
      <w:r w:rsidRPr="00221288" w:rsidR="004C0CD5">
        <w:rPr>
          <w:rFonts w:ascii="Palatino Linotype" w:hAnsi="Palatino Linotype"/>
        </w:rPr>
        <w:t>s</w:t>
      </w:r>
      <w:r w:rsidRPr="00221288" w:rsidR="00CB385C">
        <w:rPr>
          <w:rFonts w:ascii="Palatino Linotype" w:hAnsi="Palatino Linotype"/>
        </w:rPr>
        <w:t xml:space="preserve"> that it w</w:t>
      </w:r>
      <w:r w:rsidRPr="00221288" w:rsidR="006E1B7A">
        <w:rPr>
          <w:rFonts w:ascii="Palatino Linotype" w:hAnsi="Palatino Linotype"/>
        </w:rPr>
        <w:t>ill</w:t>
      </w:r>
      <w:r w:rsidRPr="00221288" w:rsidR="00CB385C">
        <w:rPr>
          <w:rFonts w:ascii="Palatino Linotype" w:hAnsi="Palatino Linotype"/>
        </w:rPr>
        <w:t xml:space="preserve"> add clarification to its NEM 2.0 tariff.</w:t>
      </w:r>
      <w:r w:rsidRPr="00221288" w:rsidR="002A623B">
        <w:rPr>
          <w:rFonts w:ascii="Palatino Linotype" w:hAnsi="Palatino Linotype"/>
        </w:rPr>
        <w:t xml:space="preserve"> In its reply, SCE </w:t>
      </w:r>
      <w:r w:rsidRPr="00221288" w:rsidR="004C0CD5">
        <w:rPr>
          <w:rFonts w:ascii="Palatino Linotype" w:hAnsi="Palatino Linotype"/>
        </w:rPr>
        <w:t>states</w:t>
      </w:r>
      <w:r w:rsidRPr="00221288" w:rsidR="002A2A51">
        <w:rPr>
          <w:rFonts w:ascii="Palatino Linotype" w:hAnsi="Palatino Linotype"/>
        </w:rPr>
        <w:t xml:space="preserve"> that it w</w:t>
      </w:r>
      <w:r w:rsidRPr="00221288" w:rsidR="006E1B7A">
        <w:rPr>
          <w:rFonts w:ascii="Palatino Linotype" w:hAnsi="Palatino Linotype"/>
        </w:rPr>
        <w:t>ill</w:t>
      </w:r>
      <w:r w:rsidRPr="00221288" w:rsidR="002A2A51">
        <w:rPr>
          <w:rFonts w:ascii="Palatino Linotype" w:hAnsi="Palatino Linotype"/>
        </w:rPr>
        <w:t xml:space="preserve"> propose </w:t>
      </w:r>
      <w:r w:rsidRPr="00221288" w:rsidR="00423EA6">
        <w:rPr>
          <w:rFonts w:ascii="Palatino Linotype" w:hAnsi="Palatino Linotype"/>
        </w:rPr>
        <w:t>to allow customers to meter additions in another eligible tariff</w:t>
      </w:r>
      <w:r w:rsidRPr="00221288" w:rsidR="0063645E">
        <w:rPr>
          <w:rFonts w:ascii="Palatino Linotype" w:hAnsi="Palatino Linotype"/>
        </w:rPr>
        <w:t xml:space="preserve"> in a supplemental </w:t>
      </w:r>
      <w:r w:rsidRPr="00221288" w:rsidR="004C0CD5">
        <w:rPr>
          <w:rFonts w:ascii="Palatino Linotype" w:hAnsi="Palatino Linotype"/>
        </w:rPr>
        <w:t>AL</w:t>
      </w:r>
      <w:r w:rsidRPr="00221288" w:rsidR="00420CE2">
        <w:rPr>
          <w:rFonts w:ascii="Palatino Linotype" w:hAnsi="Palatino Linotype"/>
        </w:rPr>
        <w:t xml:space="preserve">, but that </w:t>
      </w:r>
      <w:r w:rsidRPr="00221288" w:rsidR="00141316">
        <w:rPr>
          <w:rFonts w:ascii="Palatino Linotype" w:hAnsi="Palatino Linotype"/>
        </w:rPr>
        <w:t>it propose</w:t>
      </w:r>
      <w:r w:rsidRPr="00221288" w:rsidR="004C0CD5">
        <w:rPr>
          <w:rFonts w:ascii="Palatino Linotype" w:hAnsi="Palatino Linotype"/>
        </w:rPr>
        <w:t>s</w:t>
      </w:r>
      <w:r w:rsidRPr="00221288" w:rsidR="00141316">
        <w:rPr>
          <w:rFonts w:ascii="Palatino Linotype" w:hAnsi="Palatino Linotype"/>
        </w:rPr>
        <w:t xml:space="preserve"> that </w:t>
      </w:r>
      <w:r w:rsidRPr="00221288" w:rsidR="00420CE2">
        <w:rPr>
          <w:rFonts w:ascii="Palatino Linotype" w:hAnsi="Palatino Linotype"/>
        </w:rPr>
        <w:t>the NBT not be such an eligible tariff</w:t>
      </w:r>
      <w:r w:rsidRPr="00221288" w:rsidR="00141316">
        <w:rPr>
          <w:rFonts w:ascii="Palatino Linotype" w:hAnsi="Palatino Linotype"/>
        </w:rPr>
        <w:t xml:space="preserve">. Thus, SCE </w:t>
      </w:r>
      <w:r w:rsidRPr="00221288" w:rsidR="004C0CD5">
        <w:rPr>
          <w:rFonts w:ascii="Palatino Linotype" w:hAnsi="Palatino Linotype"/>
        </w:rPr>
        <w:t>proposes</w:t>
      </w:r>
      <w:r w:rsidRPr="00221288" w:rsidR="00BB728F">
        <w:rPr>
          <w:rFonts w:ascii="Palatino Linotype" w:hAnsi="Palatino Linotype"/>
        </w:rPr>
        <w:t xml:space="preserve"> that</w:t>
      </w:r>
      <w:r w:rsidRPr="00221288" w:rsidR="00141316">
        <w:rPr>
          <w:rFonts w:ascii="Palatino Linotype" w:hAnsi="Palatino Linotype"/>
        </w:rPr>
        <w:t xml:space="preserve"> additions above the threshold</w:t>
      </w:r>
      <w:r w:rsidRPr="00221288" w:rsidR="0049200D">
        <w:rPr>
          <w:rFonts w:ascii="Palatino Linotype" w:hAnsi="Palatino Linotype"/>
        </w:rPr>
        <w:t xml:space="preserve"> that customers want to meter separately</w:t>
      </w:r>
      <w:r w:rsidRPr="00221288" w:rsidR="00141316">
        <w:rPr>
          <w:rFonts w:ascii="Palatino Linotype" w:hAnsi="Palatino Linotype"/>
        </w:rPr>
        <w:t xml:space="preserve"> w</w:t>
      </w:r>
      <w:r w:rsidRPr="00221288" w:rsidR="005A0A54">
        <w:rPr>
          <w:rFonts w:ascii="Palatino Linotype" w:hAnsi="Palatino Linotype"/>
        </w:rPr>
        <w:t>ill</w:t>
      </w:r>
      <w:r w:rsidRPr="00221288" w:rsidR="00141316">
        <w:rPr>
          <w:rFonts w:ascii="Palatino Linotype" w:hAnsi="Palatino Linotype"/>
        </w:rPr>
        <w:t xml:space="preserve"> need to</w:t>
      </w:r>
      <w:r w:rsidRPr="00221288" w:rsidR="0049200D">
        <w:rPr>
          <w:rFonts w:ascii="Palatino Linotype" w:hAnsi="Palatino Linotype"/>
        </w:rPr>
        <w:t xml:space="preserve"> use Rule 21 non-export agreements.</w:t>
      </w:r>
      <w:r w:rsidRPr="00221288" w:rsidR="0000248F">
        <w:rPr>
          <w:rFonts w:ascii="Palatino Linotype" w:hAnsi="Palatino Linotype"/>
        </w:rPr>
        <w:t xml:space="preserve"> SCE </w:t>
      </w:r>
      <w:r w:rsidRPr="00221288" w:rsidR="004C0CD5">
        <w:rPr>
          <w:rFonts w:ascii="Palatino Linotype" w:hAnsi="Palatino Linotype"/>
        </w:rPr>
        <w:t>states</w:t>
      </w:r>
      <w:r w:rsidRPr="00221288" w:rsidR="0000248F">
        <w:rPr>
          <w:rFonts w:ascii="Palatino Linotype" w:hAnsi="Palatino Linotype"/>
        </w:rPr>
        <w:t xml:space="preserve"> that it w</w:t>
      </w:r>
      <w:r w:rsidRPr="00221288" w:rsidR="004C0CD5">
        <w:rPr>
          <w:rFonts w:ascii="Palatino Linotype" w:hAnsi="Palatino Linotype"/>
        </w:rPr>
        <w:t>ill</w:t>
      </w:r>
      <w:r w:rsidRPr="00221288" w:rsidR="0000248F">
        <w:rPr>
          <w:rFonts w:ascii="Palatino Linotype" w:hAnsi="Palatino Linotype"/>
        </w:rPr>
        <w:t xml:space="preserve"> clarify this in a supplemental </w:t>
      </w:r>
      <w:r w:rsidRPr="00221288" w:rsidR="004C0CD5">
        <w:rPr>
          <w:rFonts w:ascii="Palatino Linotype" w:hAnsi="Palatino Linotype"/>
        </w:rPr>
        <w:t>AL</w:t>
      </w:r>
      <w:r w:rsidRPr="00221288" w:rsidR="0000248F">
        <w:rPr>
          <w:rFonts w:ascii="Palatino Linotype" w:hAnsi="Palatino Linotype"/>
        </w:rPr>
        <w:t xml:space="preserve">. </w:t>
      </w:r>
      <w:r w:rsidRPr="00221288" w:rsidR="00895AD1">
        <w:rPr>
          <w:rFonts w:ascii="Palatino Linotype" w:hAnsi="Palatino Linotype"/>
        </w:rPr>
        <w:t xml:space="preserve">In its reply, SDG&amp;E </w:t>
      </w:r>
      <w:r w:rsidRPr="00221288" w:rsidR="004C0CD5">
        <w:rPr>
          <w:rFonts w:ascii="Palatino Linotype" w:hAnsi="Palatino Linotype"/>
        </w:rPr>
        <w:t>asserts</w:t>
      </w:r>
      <w:r w:rsidRPr="00221288" w:rsidR="00895AD1">
        <w:rPr>
          <w:rFonts w:ascii="Palatino Linotype" w:hAnsi="Palatino Linotype"/>
        </w:rPr>
        <w:t xml:space="preserve"> that </w:t>
      </w:r>
      <w:r w:rsidRPr="00221288" w:rsidR="00637C6C">
        <w:rPr>
          <w:rFonts w:ascii="Palatino Linotype" w:hAnsi="Palatino Linotype"/>
        </w:rPr>
        <w:t xml:space="preserve">for NEM 2.0 systems, metering additions separately under the NBT </w:t>
      </w:r>
      <w:r w:rsidRPr="00221288" w:rsidR="003D6BE6">
        <w:rPr>
          <w:rFonts w:ascii="Palatino Linotype" w:hAnsi="Palatino Linotype"/>
        </w:rPr>
        <w:t xml:space="preserve">would be infeasible because it </w:t>
      </w:r>
      <w:r w:rsidRPr="00221288" w:rsidR="00637C6C">
        <w:rPr>
          <w:rFonts w:ascii="Palatino Linotype" w:hAnsi="Palatino Linotype"/>
        </w:rPr>
        <w:t>would entail extreme complexity in billing operations</w:t>
      </w:r>
      <w:r w:rsidRPr="00221288" w:rsidR="003D6BE6">
        <w:rPr>
          <w:rFonts w:ascii="Palatino Linotype" w:hAnsi="Palatino Linotype"/>
        </w:rPr>
        <w:t xml:space="preserve">. Therefore, SDG&amp;E </w:t>
      </w:r>
      <w:r w:rsidRPr="00221288" w:rsidR="004C0CD5">
        <w:rPr>
          <w:rFonts w:ascii="Palatino Linotype" w:hAnsi="Palatino Linotype"/>
        </w:rPr>
        <w:t>states</w:t>
      </w:r>
      <w:r w:rsidRPr="00221288" w:rsidR="00E76F39">
        <w:rPr>
          <w:rFonts w:ascii="Palatino Linotype" w:hAnsi="Palatino Linotype"/>
        </w:rPr>
        <w:t>, customers c</w:t>
      </w:r>
      <w:r w:rsidRPr="00221288" w:rsidR="005A0A54">
        <w:rPr>
          <w:rFonts w:ascii="Palatino Linotype" w:hAnsi="Palatino Linotype"/>
        </w:rPr>
        <w:t>an</w:t>
      </w:r>
      <w:r w:rsidRPr="00221288" w:rsidR="00E76F39">
        <w:rPr>
          <w:rFonts w:ascii="Palatino Linotype" w:hAnsi="Palatino Linotype"/>
        </w:rPr>
        <w:t xml:space="preserve"> meter additions under another eligible tariff</w:t>
      </w:r>
      <w:r w:rsidRPr="00221288" w:rsidR="00117B85">
        <w:rPr>
          <w:rFonts w:ascii="Palatino Linotype" w:hAnsi="Palatino Linotype"/>
        </w:rPr>
        <w:t xml:space="preserve"> – with</w:t>
      </w:r>
      <w:r w:rsidRPr="00221288" w:rsidR="00E76F39">
        <w:rPr>
          <w:rFonts w:ascii="Palatino Linotype" w:hAnsi="Palatino Linotype"/>
        </w:rPr>
        <w:t xml:space="preserve"> that tariff being a Rule 21 Non-Export Agreement.</w:t>
      </w:r>
    </w:p>
    <w:p w:rsidRPr="00221288" w:rsidR="008A2D2C" w:rsidP="00B00C92" w:rsidRDefault="008A2D2C" w14:paraId="0C16C4DE" w14:textId="77777777">
      <w:pPr>
        <w:rPr>
          <w:rFonts w:ascii="Palatino Linotype" w:hAnsi="Palatino Linotype"/>
        </w:rPr>
      </w:pPr>
    </w:p>
    <w:p w:rsidRPr="00221288" w:rsidR="009A6908" w:rsidP="003B29FC" w:rsidRDefault="003B29FC" w14:paraId="67A739AE" w14:textId="035BF798">
      <w:pPr>
        <w:pStyle w:val="Heading3"/>
        <w:rPr>
          <w:rFonts w:ascii="Palatino Linotype" w:hAnsi="Palatino Linotype"/>
        </w:rPr>
      </w:pPr>
      <w:r w:rsidRPr="00221288">
        <w:rPr>
          <w:rFonts w:ascii="Palatino Linotype" w:hAnsi="Palatino Linotype"/>
        </w:rPr>
        <w:t>Availability of 15-Minute Interval Data</w:t>
      </w:r>
    </w:p>
    <w:p w:rsidRPr="00221288" w:rsidR="003E0594" w:rsidP="003E0594" w:rsidRDefault="003E0594" w14:paraId="7033456A" w14:textId="77777777">
      <w:pPr>
        <w:rPr>
          <w:rFonts w:ascii="Palatino Linotype" w:hAnsi="Palatino Linotype"/>
        </w:rPr>
      </w:pPr>
    </w:p>
    <w:p w:rsidRPr="00221288" w:rsidR="003B29FC" w:rsidP="0098690C" w:rsidRDefault="00AC2D27" w14:paraId="24EA52E5" w14:textId="34CB4B20">
      <w:pPr>
        <w:rPr>
          <w:rFonts w:ascii="Palatino Linotype" w:hAnsi="Palatino Linotype"/>
        </w:rPr>
      </w:pPr>
      <w:r w:rsidRPr="00221288">
        <w:rPr>
          <w:rFonts w:ascii="Palatino Linotype" w:hAnsi="Palatino Linotype"/>
        </w:rPr>
        <w:t>CALSSA</w:t>
      </w:r>
      <w:r w:rsidRPr="00221288" w:rsidR="00210246">
        <w:rPr>
          <w:rFonts w:ascii="Palatino Linotype" w:hAnsi="Palatino Linotype"/>
        </w:rPr>
        <w:t xml:space="preserve"> and SEIA</w:t>
      </w:r>
      <w:r w:rsidRPr="00221288">
        <w:rPr>
          <w:rFonts w:ascii="Palatino Linotype" w:hAnsi="Palatino Linotype"/>
        </w:rPr>
        <w:t xml:space="preserve"> </w:t>
      </w:r>
      <w:r w:rsidRPr="00221288" w:rsidR="00625C80">
        <w:rPr>
          <w:rFonts w:ascii="Palatino Linotype" w:hAnsi="Palatino Linotype"/>
        </w:rPr>
        <w:t xml:space="preserve">assert </w:t>
      </w:r>
      <w:r w:rsidRPr="00221288" w:rsidR="0061613B">
        <w:rPr>
          <w:rFonts w:ascii="Palatino Linotype" w:hAnsi="Palatino Linotype"/>
        </w:rPr>
        <w:t xml:space="preserve">in </w:t>
      </w:r>
      <w:r w:rsidRPr="00221288" w:rsidR="00B176DD">
        <w:rPr>
          <w:rFonts w:ascii="Palatino Linotype" w:hAnsi="Palatino Linotype"/>
        </w:rPr>
        <w:t xml:space="preserve">their </w:t>
      </w:r>
      <w:r w:rsidRPr="00221288" w:rsidR="0061613B">
        <w:rPr>
          <w:rFonts w:ascii="Palatino Linotype" w:hAnsi="Palatino Linotype"/>
        </w:rPr>
        <w:t xml:space="preserve">initial </w:t>
      </w:r>
      <w:r w:rsidRPr="00221288" w:rsidR="00B176DD">
        <w:rPr>
          <w:rFonts w:ascii="Palatino Linotype" w:hAnsi="Palatino Linotype"/>
        </w:rPr>
        <w:t>protests</w:t>
      </w:r>
      <w:r w:rsidRPr="00221288" w:rsidR="00625C80">
        <w:rPr>
          <w:rFonts w:ascii="Palatino Linotype" w:hAnsi="Palatino Linotype"/>
        </w:rPr>
        <w:t xml:space="preserve"> that </w:t>
      </w:r>
      <w:r w:rsidRPr="00221288" w:rsidR="00194DA2">
        <w:rPr>
          <w:rFonts w:ascii="Palatino Linotype" w:hAnsi="Palatino Linotype"/>
        </w:rPr>
        <w:t xml:space="preserve">D.22-12-056 requires the utilities to provide </w:t>
      </w:r>
      <w:r w:rsidRPr="00221288" w:rsidR="00625C80">
        <w:rPr>
          <w:rFonts w:ascii="Palatino Linotype" w:hAnsi="Palatino Linotype"/>
        </w:rPr>
        <w:t xml:space="preserve">15-minute interval data </w:t>
      </w:r>
      <w:r w:rsidRPr="00221288" w:rsidR="00194DA2">
        <w:rPr>
          <w:rFonts w:ascii="Palatino Linotype" w:hAnsi="Palatino Linotype"/>
        </w:rPr>
        <w:t xml:space="preserve">to NBT customers, </w:t>
      </w:r>
      <w:r w:rsidRPr="00221288" w:rsidR="00BE1412">
        <w:rPr>
          <w:rFonts w:ascii="Palatino Linotype" w:hAnsi="Palatino Linotype"/>
        </w:rPr>
        <w:t xml:space="preserve">and therefore, the data </w:t>
      </w:r>
      <w:r w:rsidRPr="00221288" w:rsidR="00625C80">
        <w:rPr>
          <w:rFonts w:ascii="Palatino Linotype" w:hAnsi="Palatino Linotype"/>
        </w:rPr>
        <w:t xml:space="preserve">should be available </w:t>
      </w:r>
      <w:r w:rsidRPr="00221288" w:rsidR="00D250B0">
        <w:rPr>
          <w:rFonts w:ascii="Palatino Linotype" w:hAnsi="Palatino Linotype"/>
        </w:rPr>
        <w:t>for</w:t>
      </w:r>
      <w:r w:rsidRPr="00221288" w:rsidR="00625C80">
        <w:rPr>
          <w:rFonts w:ascii="Palatino Linotype" w:hAnsi="Palatino Linotype"/>
        </w:rPr>
        <w:t xml:space="preserve"> residential customers</w:t>
      </w:r>
      <w:r w:rsidRPr="00221288" w:rsidR="00D250B0">
        <w:rPr>
          <w:rFonts w:ascii="Palatino Linotype" w:hAnsi="Palatino Linotype"/>
        </w:rPr>
        <w:t xml:space="preserve"> to download</w:t>
      </w:r>
      <w:r w:rsidRPr="00221288" w:rsidR="00625C80">
        <w:rPr>
          <w:rFonts w:ascii="Palatino Linotype" w:hAnsi="Palatino Linotype"/>
        </w:rPr>
        <w:t xml:space="preserve"> without their having to request it and await a response</w:t>
      </w:r>
      <w:r w:rsidRPr="00221288" w:rsidR="00194DA2">
        <w:rPr>
          <w:rFonts w:ascii="Palatino Linotype" w:hAnsi="Palatino Linotype"/>
        </w:rPr>
        <w:t>.</w:t>
      </w:r>
      <w:r w:rsidRPr="00221288" w:rsidR="00D250B0">
        <w:rPr>
          <w:rFonts w:ascii="Palatino Linotype" w:hAnsi="Palatino Linotype"/>
        </w:rPr>
        <w:t xml:space="preserve"> CALSSA</w:t>
      </w:r>
      <w:r w:rsidRPr="00221288" w:rsidR="002B3480">
        <w:rPr>
          <w:rFonts w:ascii="Palatino Linotype" w:hAnsi="Palatino Linotype"/>
        </w:rPr>
        <w:t xml:space="preserve"> and SEIA</w:t>
      </w:r>
      <w:r w:rsidRPr="00221288" w:rsidR="00D250B0">
        <w:rPr>
          <w:rFonts w:ascii="Palatino Linotype" w:hAnsi="Palatino Linotype"/>
        </w:rPr>
        <w:t xml:space="preserve"> state that PG&amp;E had proposed to make the data available upon request</w:t>
      </w:r>
      <w:r w:rsidRPr="00221288" w:rsidR="002B3480">
        <w:rPr>
          <w:rFonts w:ascii="Palatino Linotype" w:hAnsi="Palatino Linotype"/>
        </w:rPr>
        <w:t>.</w:t>
      </w:r>
      <w:r w:rsidRPr="00221288" w:rsidR="00D250B0">
        <w:rPr>
          <w:rFonts w:ascii="Palatino Linotype" w:hAnsi="Palatino Linotype"/>
        </w:rPr>
        <w:t xml:space="preserve"> </w:t>
      </w:r>
      <w:r w:rsidRPr="00221288" w:rsidR="00F12834">
        <w:rPr>
          <w:rFonts w:ascii="Palatino Linotype" w:hAnsi="Palatino Linotype"/>
        </w:rPr>
        <w:t>CALSSA added that</w:t>
      </w:r>
      <w:r w:rsidRPr="00221288" w:rsidR="00D250B0">
        <w:rPr>
          <w:rFonts w:ascii="Palatino Linotype" w:hAnsi="Palatino Linotype"/>
        </w:rPr>
        <w:t xml:space="preserve"> SCE had proposed to make </w:t>
      </w:r>
      <w:r w:rsidRPr="00221288" w:rsidR="00F12834">
        <w:rPr>
          <w:rFonts w:ascii="Palatino Linotype" w:hAnsi="Palatino Linotype"/>
        </w:rPr>
        <w:t>the data</w:t>
      </w:r>
      <w:r w:rsidRPr="00221288" w:rsidR="00D250B0">
        <w:rPr>
          <w:rFonts w:ascii="Palatino Linotype" w:hAnsi="Palatino Linotype"/>
        </w:rPr>
        <w:t xml:space="preserve"> available in customer-authorized energy usage data portals</w:t>
      </w:r>
      <w:r w:rsidRPr="00221288" w:rsidR="0055799C">
        <w:rPr>
          <w:rFonts w:ascii="Palatino Linotype" w:hAnsi="Palatino Linotype"/>
        </w:rPr>
        <w:t xml:space="preserve">, and SDG&amp;E had not proposed to make the data available. CALSSA </w:t>
      </w:r>
      <w:r w:rsidRPr="00221288" w:rsidR="00B362AA">
        <w:rPr>
          <w:rFonts w:ascii="Palatino Linotype" w:hAnsi="Palatino Linotype"/>
        </w:rPr>
        <w:t xml:space="preserve">and SEIA </w:t>
      </w:r>
      <w:r w:rsidRPr="00221288" w:rsidR="0055799C">
        <w:rPr>
          <w:rFonts w:ascii="Palatino Linotype" w:hAnsi="Palatino Linotype"/>
        </w:rPr>
        <w:t xml:space="preserve">propose that PG&amp;E and SDG&amp;E should </w:t>
      </w:r>
      <w:r w:rsidRPr="00221288" w:rsidR="00B362AA">
        <w:rPr>
          <w:rFonts w:ascii="Palatino Linotype" w:hAnsi="Palatino Linotype"/>
        </w:rPr>
        <w:t>make 15-minute data available</w:t>
      </w:r>
      <w:r w:rsidRPr="00221288" w:rsidR="0055799C">
        <w:rPr>
          <w:rFonts w:ascii="Palatino Linotype" w:hAnsi="Palatino Linotype"/>
        </w:rPr>
        <w:t>.</w:t>
      </w:r>
    </w:p>
    <w:p w:rsidRPr="00221288" w:rsidR="004E02D6" w:rsidP="0098690C" w:rsidRDefault="004E02D6" w14:paraId="050AF693" w14:textId="77777777">
      <w:pPr>
        <w:rPr>
          <w:rFonts w:ascii="Palatino Linotype" w:hAnsi="Palatino Linotype"/>
        </w:rPr>
      </w:pPr>
    </w:p>
    <w:p w:rsidRPr="00221288" w:rsidR="004E02D6" w:rsidP="00F52363" w:rsidRDefault="004E02D6" w14:paraId="43437E77" w14:textId="0387A0A3">
      <w:pPr>
        <w:rPr>
          <w:rFonts w:ascii="Palatino Linotype" w:hAnsi="Palatino Linotype"/>
        </w:rPr>
      </w:pPr>
      <w:r w:rsidRPr="00221288">
        <w:rPr>
          <w:rFonts w:ascii="Palatino Linotype" w:hAnsi="Palatino Linotype"/>
        </w:rPr>
        <w:t>In its reply, PG&amp;E</w:t>
      </w:r>
      <w:r w:rsidRPr="00221288" w:rsidR="007F69E6">
        <w:rPr>
          <w:rFonts w:ascii="Palatino Linotype" w:hAnsi="Palatino Linotype"/>
        </w:rPr>
        <w:t xml:space="preserve"> </w:t>
      </w:r>
      <w:r w:rsidRPr="00221288" w:rsidR="004C0CD5">
        <w:rPr>
          <w:rFonts w:ascii="Palatino Linotype" w:hAnsi="Palatino Linotype"/>
        </w:rPr>
        <w:t>states</w:t>
      </w:r>
      <w:r w:rsidRPr="00221288" w:rsidR="007F69E6">
        <w:rPr>
          <w:rFonts w:ascii="Palatino Linotype" w:hAnsi="Palatino Linotype"/>
        </w:rPr>
        <w:t xml:space="preserve"> that it interpreted the D.22-12-056 order to be to </w:t>
      </w:r>
      <w:r w:rsidRPr="00221288" w:rsidR="00791759">
        <w:rPr>
          <w:rFonts w:ascii="Palatino Linotype" w:hAnsi="Palatino Linotype"/>
        </w:rPr>
        <w:t>allow customers to share information with vendors for the purpose of preparing</w:t>
      </w:r>
      <w:r w:rsidRPr="00221288" w:rsidR="00690732">
        <w:rPr>
          <w:rFonts w:ascii="Palatino Linotype" w:hAnsi="Palatino Linotype"/>
        </w:rPr>
        <w:t xml:space="preserve"> </w:t>
      </w:r>
      <w:r w:rsidRPr="00221288" w:rsidR="00791759">
        <w:rPr>
          <w:rFonts w:ascii="Palatino Linotype" w:hAnsi="Palatino Linotype"/>
        </w:rPr>
        <w:t>more accurate bill savings estimates.</w:t>
      </w:r>
      <w:r w:rsidRPr="00221288" w:rsidR="00690732">
        <w:rPr>
          <w:rFonts w:ascii="Palatino Linotype" w:hAnsi="Palatino Linotype"/>
        </w:rPr>
        <w:t xml:space="preserve"> It </w:t>
      </w:r>
      <w:r w:rsidRPr="00221288" w:rsidR="004C0CD5">
        <w:rPr>
          <w:rFonts w:ascii="Palatino Linotype" w:hAnsi="Palatino Linotype"/>
        </w:rPr>
        <w:t>asserts</w:t>
      </w:r>
      <w:r w:rsidRPr="00221288" w:rsidR="00690732">
        <w:rPr>
          <w:rFonts w:ascii="Palatino Linotype" w:hAnsi="Palatino Linotype"/>
        </w:rPr>
        <w:t xml:space="preserve"> that </w:t>
      </w:r>
      <w:r w:rsidRPr="00221288" w:rsidR="006C7CE3">
        <w:rPr>
          <w:rFonts w:ascii="Palatino Linotype" w:hAnsi="Palatino Linotype"/>
        </w:rPr>
        <w:t xml:space="preserve">requiring customers to request the data was reasonable for reasons of </w:t>
      </w:r>
      <w:r w:rsidRPr="00221288" w:rsidR="00A174D6">
        <w:rPr>
          <w:rFonts w:ascii="Palatino Linotype" w:hAnsi="Palatino Linotype"/>
        </w:rPr>
        <w:t xml:space="preserve">both </w:t>
      </w:r>
      <w:r w:rsidRPr="00221288" w:rsidR="00791759">
        <w:rPr>
          <w:rFonts w:ascii="Palatino Linotype" w:hAnsi="Palatino Linotype"/>
        </w:rPr>
        <w:t>protect</w:t>
      </w:r>
      <w:r w:rsidRPr="00221288" w:rsidR="00A174D6">
        <w:rPr>
          <w:rFonts w:ascii="Palatino Linotype" w:hAnsi="Palatino Linotype"/>
        </w:rPr>
        <w:t>ing</w:t>
      </w:r>
      <w:r w:rsidRPr="00221288" w:rsidR="00791759">
        <w:rPr>
          <w:rFonts w:ascii="Palatino Linotype" w:hAnsi="Palatino Linotype"/>
        </w:rPr>
        <w:t xml:space="preserve"> consumer privacy</w:t>
      </w:r>
      <w:r w:rsidRPr="00221288" w:rsidR="000553DC">
        <w:rPr>
          <w:rFonts w:ascii="Palatino Linotype" w:hAnsi="Palatino Linotype"/>
        </w:rPr>
        <w:t xml:space="preserve"> and cost savings</w:t>
      </w:r>
      <w:r w:rsidRPr="00221288" w:rsidR="00791759">
        <w:rPr>
          <w:rFonts w:ascii="Palatino Linotype" w:hAnsi="Palatino Linotype"/>
        </w:rPr>
        <w:t>.</w:t>
      </w:r>
      <w:r w:rsidRPr="00221288" w:rsidR="00250197">
        <w:rPr>
          <w:rFonts w:ascii="Palatino Linotype" w:hAnsi="Palatino Linotype"/>
        </w:rPr>
        <w:t xml:space="preserve"> In its reply, S</w:t>
      </w:r>
      <w:r w:rsidRPr="00221288" w:rsidR="00C406BD">
        <w:rPr>
          <w:rFonts w:ascii="Palatino Linotype" w:hAnsi="Palatino Linotype"/>
        </w:rPr>
        <w:t>DG&amp;</w:t>
      </w:r>
      <w:r w:rsidRPr="00221288" w:rsidR="00250197">
        <w:rPr>
          <w:rFonts w:ascii="Palatino Linotype" w:hAnsi="Palatino Linotype"/>
        </w:rPr>
        <w:t>E</w:t>
      </w:r>
      <w:r w:rsidRPr="00221288" w:rsidR="00E73E21">
        <w:rPr>
          <w:rFonts w:ascii="Palatino Linotype" w:hAnsi="Palatino Linotype"/>
        </w:rPr>
        <w:t xml:space="preserve"> list</w:t>
      </w:r>
      <w:r w:rsidRPr="00221288" w:rsidR="00B50508">
        <w:rPr>
          <w:rFonts w:ascii="Palatino Linotype" w:hAnsi="Palatino Linotype"/>
        </w:rPr>
        <w:t>s</w:t>
      </w:r>
      <w:r w:rsidRPr="00221288" w:rsidR="00E73E21">
        <w:rPr>
          <w:rFonts w:ascii="Palatino Linotype" w:hAnsi="Palatino Linotype"/>
        </w:rPr>
        <w:t xml:space="preserve"> this topic under CALSSA’s heading for it, “PG&amp;E should make </w:t>
      </w:r>
      <w:r w:rsidRPr="00221288" w:rsidR="00E73E21">
        <w:rPr>
          <w:rFonts w:ascii="Palatino Linotype" w:hAnsi="Palatino Linotype"/>
        </w:rPr>
        <w:lastRenderedPageBreak/>
        <w:t>customer data available on the existing customer portal,” and</w:t>
      </w:r>
      <w:r w:rsidRPr="00221288" w:rsidR="00250197">
        <w:rPr>
          <w:rFonts w:ascii="Palatino Linotype" w:hAnsi="Palatino Linotype"/>
        </w:rPr>
        <w:t xml:space="preserve"> </w:t>
      </w:r>
      <w:r w:rsidRPr="00221288" w:rsidR="004C0CD5">
        <w:rPr>
          <w:rFonts w:ascii="Palatino Linotype" w:hAnsi="Palatino Linotype"/>
        </w:rPr>
        <w:t>states</w:t>
      </w:r>
      <w:r w:rsidRPr="00221288" w:rsidR="006F5247">
        <w:rPr>
          <w:rFonts w:ascii="Palatino Linotype" w:hAnsi="Palatino Linotype"/>
        </w:rPr>
        <w:t xml:space="preserve"> that this topic </w:t>
      </w:r>
      <w:r w:rsidRPr="00221288" w:rsidR="00B50508">
        <w:rPr>
          <w:rFonts w:ascii="Palatino Linotype" w:hAnsi="Palatino Linotype"/>
        </w:rPr>
        <w:t>i</w:t>
      </w:r>
      <w:r w:rsidRPr="00221288" w:rsidR="006F5247">
        <w:rPr>
          <w:rFonts w:ascii="Palatino Linotype" w:hAnsi="Palatino Linotype"/>
        </w:rPr>
        <w:t>s not applicable to SDG&amp;E.</w:t>
      </w:r>
    </w:p>
    <w:p w:rsidRPr="00221288" w:rsidR="007C625C" w:rsidP="00F52363" w:rsidRDefault="007C625C" w14:paraId="6E59A06B" w14:textId="77777777">
      <w:pPr>
        <w:rPr>
          <w:rFonts w:ascii="Palatino Linotype" w:hAnsi="Palatino Linotype"/>
        </w:rPr>
      </w:pPr>
    </w:p>
    <w:p w:rsidRPr="00221288" w:rsidR="007C625C" w:rsidP="0044601C" w:rsidRDefault="007C625C" w14:paraId="6CCC4200" w14:textId="0A4CF090">
      <w:pPr>
        <w:pStyle w:val="Heading3"/>
        <w:rPr>
          <w:rFonts w:ascii="Palatino Linotype" w:hAnsi="Palatino Linotype"/>
          <w:i w:val="0"/>
        </w:rPr>
      </w:pPr>
      <w:r w:rsidRPr="00221288">
        <w:rPr>
          <w:rFonts w:ascii="Palatino Linotype" w:hAnsi="Palatino Linotype"/>
        </w:rPr>
        <w:t>System Size Limiting Factor</w:t>
      </w:r>
    </w:p>
    <w:p w:rsidRPr="00221288" w:rsidR="007C625C" w:rsidP="007C625C" w:rsidRDefault="007C625C" w14:paraId="730CFC73" w14:textId="77777777">
      <w:pPr>
        <w:rPr>
          <w:rFonts w:ascii="Palatino Linotype" w:hAnsi="Palatino Linotype"/>
        </w:rPr>
      </w:pPr>
    </w:p>
    <w:p w:rsidRPr="00221288" w:rsidR="00DD237E" w:rsidP="008F0117" w:rsidRDefault="00DD237E" w14:paraId="74900795" w14:textId="46068E15">
      <w:pPr>
        <w:rPr>
          <w:rFonts w:ascii="Palatino Linotype" w:hAnsi="Palatino Linotype"/>
        </w:rPr>
      </w:pPr>
      <w:r w:rsidRPr="00221288">
        <w:rPr>
          <w:rFonts w:ascii="Palatino Linotype" w:hAnsi="Palatino Linotype"/>
        </w:rPr>
        <w:t xml:space="preserve">In its protest, CALSSA </w:t>
      </w:r>
      <w:r w:rsidRPr="00221288" w:rsidR="004C0CD5">
        <w:rPr>
          <w:rFonts w:ascii="Palatino Linotype" w:hAnsi="Palatino Linotype"/>
        </w:rPr>
        <w:t>states</w:t>
      </w:r>
      <w:r w:rsidRPr="00221288">
        <w:rPr>
          <w:rFonts w:ascii="Palatino Linotype" w:hAnsi="Palatino Linotype"/>
        </w:rPr>
        <w:t xml:space="preserve"> that </w:t>
      </w:r>
      <w:r w:rsidRPr="00221288" w:rsidR="000F62AC">
        <w:rPr>
          <w:rFonts w:ascii="Palatino Linotype" w:hAnsi="Palatino Linotype"/>
        </w:rPr>
        <w:t>PG&amp;E</w:t>
      </w:r>
      <w:r w:rsidRPr="00221288" w:rsidR="00C30003">
        <w:rPr>
          <w:rFonts w:ascii="Palatino Linotype" w:hAnsi="Palatino Linotype"/>
        </w:rPr>
        <w:t>’s</w:t>
      </w:r>
      <w:r w:rsidRPr="00221288" w:rsidR="000F62AC">
        <w:rPr>
          <w:rFonts w:ascii="Palatino Linotype" w:hAnsi="Palatino Linotype"/>
        </w:rPr>
        <w:t xml:space="preserve"> and SCE</w:t>
      </w:r>
      <w:r w:rsidRPr="00221288" w:rsidR="00C30003">
        <w:rPr>
          <w:rFonts w:ascii="Palatino Linotype" w:hAnsi="Palatino Linotype"/>
        </w:rPr>
        <w:t>’s</w:t>
      </w:r>
      <w:r w:rsidRPr="00221288" w:rsidR="000F62AC">
        <w:rPr>
          <w:rFonts w:ascii="Palatino Linotype" w:hAnsi="Palatino Linotype"/>
        </w:rPr>
        <w:t xml:space="preserve"> </w:t>
      </w:r>
      <w:r w:rsidRPr="00221288" w:rsidR="00C30003">
        <w:rPr>
          <w:rFonts w:ascii="Palatino Linotype" w:hAnsi="Palatino Linotype"/>
        </w:rPr>
        <w:t xml:space="preserve">ALs </w:t>
      </w:r>
      <w:r w:rsidRPr="00221288" w:rsidR="008424B9">
        <w:rPr>
          <w:rFonts w:ascii="Palatino Linotype" w:hAnsi="Palatino Linotype"/>
        </w:rPr>
        <w:t>propose t</w:t>
      </w:r>
      <w:r w:rsidRPr="00221288" w:rsidR="00A73013">
        <w:rPr>
          <w:rFonts w:ascii="Palatino Linotype" w:hAnsi="Palatino Linotype"/>
        </w:rPr>
        <w:t>he</w:t>
      </w:r>
      <w:r w:rsidRPr="00221288" w:rsidR="008424B9">
        <w:rPr>
          <w:rFonts w:ascii="Palatino Linotype" w:hAnsi="Palatino Linotype"/>
        </w:rPr>
        <w:t xml:space="preserve"> calculat</w:t>
      </w:r>
      <w:r w:rsidRPr="00221288" w:rsidR="00A73013">
        <w:rPr>
          <w:rFonts w:ascii="Palatino Linotype" w:hAnsi="Palatino Linotype"/>
        </w:rPr>
        <w:t>ion of</w:t>
      </w:r>
      <w:r w:rsidRPr="00221288" w:rsidR="008424B9">
        <w:rPr>
          <w:rFonts w:ascii="Palatino Linotype" w:hAnsi="Palatino Linotype"/>
        </w:rPr>
        <w:t xml:space="preserve"> system size as the greater of CEC-AC rating</w:t>
      </w:r>
      <w:r w:rsidRPr="00221288" w:rsidR="003809DB">
        <w:rPr>
          <w:rFonts w:ascii="Palatino Linotype" w:hAnsi="Palatino Linotype"/>
        </w:rPr>
        <w:t xml:space="preserve"> and </w:t>
      </w:r>
      <w:r w:rsidRPr="00221288" w:rsidR="0036525F">
        <w:rPr>
          <w:rFonts w:ascii="Palatino Linotype" w:hAnsi="Palatino Linotype"/>
        </w:rPr>
        <w:t>aggregate inverter capacity</w:t>
      </w:r>
      <w:r w:rsidRPr="00221288" w:rsidR="00CA132D">
        <w:rPr>
          <w:rFonts w:ascii="Palatino Linotype" w:hAnsi="Palatino Linotype"/>
        </w:rPr>
        <w:t>, while</w:t>
      </w:r>
      <w:r w:rsidRPr="00221288" w:rsidR="00993BB6">
        <w:rPr>
          <w:rFonts w:ascii="Palatino Linotype" w:hAnsi="Palatino Linotype"/>
        </w:rPr>
        <w:t xml:space="preserve"> </w:t>
      </w:r>
      <w:r w:rsidRPr="00221288" w:rsidR="0096570C">
        <w:rPr>
          <w:rFonts w:ascii="Palatino Linotype" w:hAnsi="Palatino Linotype"/>
        </w:rPr>
        <w:t>Rule 21</w:t>
      </w:r>
      <w:r w:rsidRPr="00221288" w:rsidR="0006209D">
        <w:rPr>
          <w:rFonts w:ascii="Palatino Linotype" w:hAnsi="Palatino Linotype"/>
        </w:rPr>
        <w:t xml:space="preserve"> </w:t>
      </w:r>
      <w:r w:rsidRPr="00221288" w:rsidR="001547BC">
        <w:rPr>
          <w:rFonts w:ascii="Palatino Linotype" w:hAnsi="Palatino Linotype"/>
        </w:rPr>
        <w:t>calculates system size as the lesser of these two measurements</w:t>
      </w:r>
      <w:r w:rsidRPr="00221288" w:rsidR="00CA132D">
        <w:rPr>
          <w:rFonts w:ascii="Palatino Linotype" w:hAnsi="Palatino Linotype"/>
        </w:rPr>
        <w:t>.</w:t>
      </w:r>
      <w:r w:rsidRPr="00221288" w:rsidR="001547BC">
        <w:rPr>
          <w:rFonts w:ascii="Palatino Linotype" w:hAnsi="Palatino Linotype"/>
        </w:rPr>
        <w:t xml:space="preserve"> </w:t>
      </w:r>
      <w:r w:rsidRPr="00221288" w:rsidR="00025F42">
        <w:rPr>
          <w:rFonts w:ascii="Palatino Linotype" w:hAnsi="Palatino Linotype"/>
        </w:rPr>
        <w:t xml:space="preserve">CALSSA </w:t>
      </w:r>
      <w:r w:rsidRPr="00221288" w:rsidR="0038706F">
        <w:rPr>
          <w:rFonts w:ascii="Palatino Linotype" w:hAnsi="Palatino Linotype"/>
        </w:rPr>
        <w:t>add</w:t>
      </w:r>
      <w:r w:rsidRPr="00221288" w:rsidR="00A84B84">
        <w:rPr>
          <w:rFonts w:ascii="Palatino Linotype" w:hAnsi="Palatino Linotype"/>
        </w:rPr>
        <w:t>s</w:t>
      </w:r>
      <w:r w:rsidRPr="00221288" w:rsidR="0038706F">
        <w:rPr>
          <w:rFonts w:ascii="Palatino Linotype" w:hAnsi="Palatino Linotype"/>
        </w:rPr>
        <w:t xml:space="preserve"> that SCE</w:t>
      </w:r>
      <w:r w:rsidRPr="00221288" w:rsidR="000A5AD4">
        <w:rPr>
          <w:rFonts w:ascii="Palatino Linotype" w:hAnsi="Palatino Linotype"/>
        </w:rPr>
        <w:t xml:space="preserve">’s AL </w:t>
      </w:r>
      <w:r w:rsidRPr="00221288" w:rsidR="001B7F42">
        <w:rPr>
          <w:rFonts w:ascii="Palatino Linotype" w:hAnsi="Palatino Linotype"/>
        </w:rPr>
        <w:t>incorrec</w:t>
      </w:r>
      <w:r w:rsidRPr="00221288" w:rsidR="00471748">
        <w:rPr>
          <w:rFonts w:ascii="Palatino Linotype" w:hAnsi="Palatino Linotype"/>
        </w:rPr>
        <w:t>t</w:t>
      </w:r>
      <w:r w:rsidRPr="00221288" w:rsidR="00324851">
        <w:rPr>
          <w:rFonts w:ascii="Palatino Linotype" w:hAnsi="Palatino Linotype"/>
        </w:rPr>
        <w:t>ly</w:t>
      </w:r>
      <w:r w:rsidRPr="00221288" w:rsidR="001B7F42">
        <w:rPr>
          <w:rFonts w:ascii="Palatino Linotype" w:hAnsi="Palatino Linotype"/>
        </w:rPr>
        <w:t xml:space="preserve"> </w:t>
      </w:r>
      <w:r w:rsidRPr="00221288" w:rsidR="00471748">
        <w:rPr>
          <w:rFonts w:ascii="Palatino Linotype" w:hAnsi="Palatino Linotype"/>
        </w:rPr>
        <w:t>calculat</w:t>
      </w:r>
      <w:r w:rsidRPr="00221288" w:rsidR="00324851">
        <w:rPr>
          <w:rFonts w:ascii="Palatino Linotype" w:hAnsi="Palatino Linotype"/>
        </w:rPr>
        <w:t>es</w:t>
      </w:r>
      <w:r w:rsidRPr="00221288" w:rsidR="000E1283">
        <w:rPr>
          <w:rFonts w:ascii="Palatino Linotype" w:hAnsi="Palatino Linotype"/>
        </w:rPr>
        <w:t xml:space="preserve"> the size of</w:t>
      </w:r>
      <w:r w:rsidRPr="00221288" w:rsidR="00471748">
        <w:rPr>
          <w:rFonts w:ascii="Palatino Linotype" w:hAnsi="Palatino Linotype"/>
        </w:rPr>
        <w:t xml:space="preserve"> a </w:t>
      </w:r>
      <w:r w:rsidRPr="00221288" w:rsidR="00EC787B">
        <w:rPr>
          <w:rFonts w:ascii="Palatino Linotype" w:hAnsi="Palatino Linotype"/>
        </w:rPr>
        <w:t>REGF</w:t>
      </w:r>
      <w:r w:rsidRPr="00221288" w:rsidR="00471748">
        <w:rPr>
          <w:rFonts w:ascii="Palatino Linotype" w:hAnsi="Palatino Linotype"/>
        </w:rPr>
        <w:t xml:space="preserve"> with </w:t>
      </w:r>
      <w:r w:rsidRPr="00221288" w:rsidR="00590E4D">
        <w:rPr>
          <w:rFonts w:ascii="Palatino Linotype" w:hAnsi="Palatino Linotype"/>
        </w:rPr>
        <w:t>storage</w:t>
      </w:r>
      <w:r w:rsidRPr="00221288" w:rsidR="00CA132D">
        <w:rPr>
          <w:rFonts w:ascii="Palatino Linotype" w:hAnsi="Palatino Linotype"/>
        </w:rPr>
        <w:t>, and</w:t>
      </w:r>
      <w:r w:rsidRPr="00221288" w:rsidR="00284D56">
        <w:rPr>
          <w:rFonts w:ascii="Palatino Linotype" w:hAnsi="Palatino Linotype"/>
        </w:rPr>
        <w:t xml:space="preserve"> </w:t>
      </w:r>
      <w:r w:rsidRPr="00221288" w:rsidR="004C0CD5">
        <w:rPr>
          <w:rFonts w:ascii="Palatino Linotype" w:hAnsi="Palatino Linotype"/>
        </w:rPr>
        <w:t>proposes</w:t>
      </w:r>
      <w:r w:rsidRPr="00221288" w:rsidR="00284D56">
        <w:rPr>
          <w:rFonts w:ascii="Palatino Linotype" w:hAnsi="Palatino Linotype"/>
        </w:rPr>
        <w:t xml:space="preserve"> that SCE’s NBT, like PG&amp;E’s and SDG&amp;E’s, should determine </w:t>
      </w:r>
      <w:r w:rsidRPr="00221288" w:rsidR="00CA132D">
        <w:rPr>
          <w:rFonts w:ascii="Palatino Linotype" w:hAnsi="Palatino Linotype"/>
        </w:rPr>
        <w:t>system size</w:t>
      </w:r>
      <w:r w:rsidRPr="00221288" w:rsidR="008F0117">
        <w:rPr>
          <w:rFonts w:ascii="Palatino Linotype" w:hAnsi="Palatino Linotype"/>
        </w:rPr>
        <w:t xml:space="preserve"> by the size of the generator</w:t>
      </w:r>
      <w:r w:rsidRPr="00221288" w:rsidR="00791E2A">
        <w:rPr>
          <w:rFonts w:ascii="Palatino Linotype" w:hAnsi="Palatino Linotype"/>
        </w:rPr>
        <w:t>, not the</w:t>
      </w:r>
      <w:r w:rsidRPr="00221288" w:rsidR="008F0117">
        <w:rPr>
          <w:rFonts w:ascii="Palatino Linotype" w:hAnsi="Palatino Linotype"/>
        </w:rPr>
        <w:t xml:space="preserve"> storage system. </w:t>
      </w:r>
      <w:r w:rsidRPr="00221288" w:rsidR="003E3D1D">
        <w:rPr>
          <w:rFonts w:ascii="Palatino Linotype" w:hAnsi="Palatino Linotype"/>
        </w:rPr>
        <w:t xml:space="preserve">CALSSA also </w:t>
      </w:r>
      <w:r w:rsidRPr="00221288" w:rsidR="004C0CD5">
        <w:rPr>
          <w:rFonts w:ascii="Palatino Linotype" w:hAnsi="Palatino Linotype"/>
        </w:rPr>
        <w:t>proposes</w:t>
      </w:r>
      <w:r w:rsidRPr="00221288" w:rsidR="003E3D1D">
        <w:rPr>
          <w:rFonts w:ascii="Palatino Linotype" w:hAnsi="Palatino Linotype"/>
        </w:rPr>
        <w:t xml:space="preserve"> that </w:t>
      </w:r>
      <w:r w:rsidRPr="00221288" w:rsidR="008F0117">
        <w:rPr>
          <w:rFonts w:ascii="Palatino Linotype" w:hAnsi="Palatino Linotype"/>
        </w:rPr>
        <w:t xml:space="preserve">SCE should </w:t>
      </w:r>
      <w:r w:rsidRPr="00221288" w:rsidR="00024452">
        <w:rPr>
          <w:rFonts w:ascii="Palatino Linotype" w:hAnsi="Palatino Linotype"/>
        </w:rPr>
        <w:t>not use</w:t>
      </w:r>
      <w:r w:rsidRPr="00221288" w:rsidR="008F0117">
        <w:rPr>
          <w:rFonts w:ascii="Palatino Linotype" w:hAnsi="Palatino Linotype"/>
        </w:rPr>
        <w:t xml:space="preserve"> the greater of inverter nameplate and AC</w:t>
      </w:r>
      <w:r w:rsidRPr="00221288" w:rsidR="003E3D1D">
        <w:rPr>
          <w:rFonts w:ascii="Palatino Linotype" w:hAnsi="Palatino Linotype"/>
        </w:rPr>
        <w:t xml:space="preserve"> </w:t>
      </w:r>
      <w:r w:rsidRPr="00221288" w:rsidR="008F0117">
        <w:rPr>
          <w:rFonts w:ascii="Palatino Linotype" w:hAnsi="Palatino Linotype"/>
        </w:rPr>
        <w:t>rating.</w:t>
      </w:r>
    </w:p>
    <w:p w:rsidRPr="00221288" w:rsidR="002C689E" w:rsidP="007C625C" w:rsidRDefault="002C689E" w14:paraId="34208D95" w14:textId="77777777">
      <w:pPr>
        <w:rPr>
          <w:rFonts w:ascii="Palatino Linotype" w:hAnsi="Palatino Linotype"/>
        </w:rPr>
      </w:pPr>
    </w:p>
    <w:p w:rsidRPr="00221288" w:rsidR="007C625C" w:rsidP="007C625C" w:rsidRDefault="007C625C" w14:paraId="543DAAC2" w14:textId="6AA0520A">
      <w:pPr>
        <w:rPr>
          <w:rFonts w:ascii="Palatino Linotype" w:hAnsi="Palatino Linotype"/>
        </w:rPr>
      </w:pPr>
      <w:r w:rsidRPr="00221288">
        <w:rPr>
          <w:rFonts w:ascii="Palatino Linotype" w:hAnsi="Palatino Linotype"/>
        </w:rPr>
        <w:t>In its</w:t>
      </w:r>
      <w:r w:rsidRPr="00221288" w:rsidR="00053B4C">
        <w:rPr>
          <w:rFonts w:ascii="Palatino Linotype" w:hAnsi="Palatino Linotype"/>
        </w:rPr>
        <w:t xml:space="preserve"> initial</w:t>
      </w:r>
      <w:r w:rsidRPr="00221288">
        <w:rPr>
          <w:rFonts w:ascii="Palatino Linotype" w:hAnsi="Palatino Linotype"/>
        </w:rPr>
        <w:t xml:space="preserve"> protest, SEIA </w:t>
      </w:r>
      <w:r w:rsidRPr="00221288" w:rsidR="004C0CD5">
        <w:rPr>
          <w:rFonts w:ascii="Palatino Linotype" w:hAnsi="Palatino Linotype"/>
        </w:rPr>
        <w:t>proposes</w:t>
      </w:r>
      <w:r w:rsidRPr="00221288">
        <w:rPr>
          <w:rFonts w:ascii="Palatino Linotype" w:hAnsi="Palatino Linotype"/>
        </w:rPr>
        <w:t xml:space="preserve"> that SCE should state in its tariff that for a </w:t>
      </w:r>
      <w:r w:rsidRPr="00221288" w:rsidR="00EC787B">
        <w:rPr>
          <w:rFonts w:ascii="Palatino Linotype" w:hAnsi="Palatino Linotype"/>
        </w:rPr>
        <w:t>REGF</w:t>
      </w:r>
      <w:r w:rsidRPr="00221288">
        <w:rPr>
          <w:rFonts w:ascii="Palatino Linotype" w:hAnsi="Palatino Linotype"/>
        </w:rPr>
        <w:t xml:space="preserve"> paired with storage, the inverter size of the storage system is not included in the size of the generating facility.</w:t>
      </w:r>
    </w:p>
    <w:p w:rsidRPr="00221288" w:rsidR="00F3295A" w:rsidP="007C625C" w:rsidRDefault="00F3295A" w14:paraId="134A4F31" w14:textId="77777777">
      <w:pPr>
        <w:rPr>
          <w:rFonts w:ascii="Palatino Linotype" w:hAnsi="Palatino Linotype"/>
        </w:rPr>
      </w:pPr>
    </w:p>
    <w:p w:rsidRPr="00221288" w:rsidR="00F3295A" w:rsidP="007C625C" w:rsidRDefault="00F3295A" w14:paraId="2C521169" w14:textId="32955CF4">
      <w:pPr>
        <w:rPr>
          <w:rFonts w:ascii="Palatino Linotype" w:hAnsi="Palatino Linotype"/>
        </w:rPr>
      </w:pPr>
      <w:r w:rsidRPr="00221288">
        <w:rPr>
          <w:rFonts w:ascii="Palatino Linotype" w:hAnsi="Palatino Linotype"/>
        </w:rPr>
        <w:t xml:space="preserve">In its reply to CALSSA’s and SEIA’s protests, SCE </w:t>
      </w:r>
      <w:r w:rsidRPr="00221288" w:rsidR="004C0CD5">
        <w:rPr>
          <w:rFonts w:ascii="Palatino Linotype" w:hAnsi="Palatino Linotype"/>
        </w:rPr>
        <w:t>states</w:t>
      </w:r>
      <w:r w:rsidRPr="00221288">
        <w:rPr>
          <w:rFonts w:ascii="Palatino Linotype" w:hAnsi="Palatino Linotype"/>
        </w:rPr>
        <w:t xml:space="preserve"> that </w:t>
      </w:r>
      <w:r w:rsidRPr="00221288" w:rsidR="00A74937">
        <w:rPr>
          <w:rFonts w:ascii="Palatino Linotype" w:hAnsi="Palatino Linotype"/>
        </w:rPr>
        <w:t xml:space="preserve">it </w:t>
      </w:r>
      <w:r w:rsidRPr="00221288" w:rsidR="00B50F0F">
        <w:rPr>
          <w:rFonts w:ascii="Palatino Linotype" w:hAnsi="Palatino Linotype"/>
        </w:rPr>
        <w:t>did</w:t>
      </w:r>
      <w:r w:rsidRPr="00221288" w:rsidR="00A74937">
        <w:rPr>
          <w:rFonts w:ascii="Palatino Linotype" w:hAnsi="Palatino Linotype"/>
        </w:rPr>
        <w:t xml:space="preserve"> </w:t>
      </w:r>
      <w:r w:rsidRPr="00221288" w:rsidR="005B5BF3">
        <w:rPr>
          <w:rFonts w:ascii="Palatino Linotype" w:hAnsi="Palatino Linotype"/>
        </w:rPr>
        <w:t>not propose modifications</w:t>
      </w:r>
      <w:r w:rsidRPr="00221288" w:rsidR="00394E13">
        <w:rPr>
          <w:rFonts w:ascii="Palatino Linotype" w:hAnsi="Palatino Linotype"/>
        </w:rPr>
        <w:t xml:space="preserve"> to </w:t>
      </w:r>
      <w:r w:rsidRPr="00221288">
        <w:rPr>
          <w:rFonts w:ascii="Palatino Linotype" w:hAnsi="Palatino Linotype"/>
        </w:rPr>
        <w:t xml:space="preserve">the 1 MW language for NEM systems </w:t>
      </w:r>
      <w:r w:rsidRPr="00221288" w:rsidR="00D1479A">
        <w:rPr>
          <w:rFonts w:ascii="Palatino Linotype" w:hAnsi="Palatino Linotype"/>
        </w:rPr>
        <w:t xml:space="preserve">in its NBT </w:t>
      </w:r>
      <w:r w:rsidRPr="00221288" w:rsidR="006F2679">
        <w:rPr>
          <w:rFonts w:ascii="Palatino Linotype" w:hAnsi="Palatino Linotype"/>
        </w:rPr>
        <w:t xml:space="preserve">AL </w:t>
      </w:r>
      <w:r w:rsidRPr="00221288" w:rsidR="00D1479A">
        <w:rPr>
          <w:rFonts w:ascii="Palatino Linotype" w:hAnsi="Palatino Linotype"/>
        </w:rPr>
        <w:t xml:space="preserve">because </w:t>
      </w:r>
      <w:r w:rsidRPr="00221288" w:rsidR="006F2679">
        <w:rPr>
          <w:rFonts w:ascii="Palatino Linotype" w:hAnsi="Palatino Linotype"/>
        </w:rPr>
        <w:t xml:space="preserve">a </w:t>
      </w:r>
      <w:r w:rsidRPr="00221288" w:rsidR="000B27CC">
        <w:rPr>
          <w:rFonts w:ascii="Palatino Linotype" w:hAnsi="Palatino Linotype"/>
        </w:rPr>
        <w:t xml:space="preserve">clarification </w:t>
      </w:r>
      <w:r w:rsidRPr="00221288" w:rsidR="00240F63">
        <w:rPr>
          <w:rFonts w:ascii="Palatino Linotype" w:hAnsi="Palatino Linotype"/>
        </w:rPr>
        <w:t xml:space="preserve">of this language </w:t>
      </w:r>
      <w:r w:rsidRPr="00221288">
        <w:rPr>
          <w:rFonts w:ascii="Palatino Linotype" w:hAnsi="Palatino Linotype"/>
        </w:rPr>
        <w:t xml:space="preserve">was </w:t>
      </w:r>
      <w:r w:rsidRPr="00221288" w:rsidR="00240F63">
        <w:rPr>
          <w:rFonts w:ascii="Palatino Linotype" w:hAnsi="Palatino Linotype"/>
        </w:rPr>
        <w:t xml:space="preserve">then </w:t>
      </w:r>
      <w:r w:rsidRPr="00221288">
        <w:rPr>
          <w:rFonts w:ascii="Palatino Linotype" w:hAnsi="Palatino Linotype"/>
        </w:rPr>
        <w:t>pending for Commission disposition. S</w:t>
      </w:r>
      <w:r w:rsidRPr="00221288" w:rsidR="003D3A07">
        <w:rPr>
          <w:rFonts w:ascii="Palatino Linotype" w:hAnsi="Palatino Linotype"/>
        </w:rPr>
        <w:t xml:space="preserve">CE </w:t>
      </w:r>
      <w:r w:rsidRPr="00221288" w:rsidR="004C0CD5">
        <w:rPr>
          <w:rFonts w:ascii="Palatino Linotype" w:hAnsi="Palatino Linotype"/>
        </w:rPr>
        <w:t>states</w:t>
      </w:r>
      <w:r w:rsidRPr="00221288" w:rsidR="003D3A07">
        <w:rPr>
          <w:rFonts w:ascii="Palatino Linotype" w:hAnsi="Palatino Linotype"/>
        </w:rPr>
        <w:t xml:space="preserve"> that </w:t>
      </w:r>
      <w:r w:rsidRPr="00221288" w:rsidR="00F01297">
        <w:rPr>
          <w:rFonts w:ascii="Palatino Linotype" w:hAnsi="Palatino Linotype"/>
        </w:rPr>
        <w:t>because</w:t>
      </w:r>
      <w:r w:rsidRPr="00221288">
        <w:rPr>
          <w:rFonts w:ascii="Palatino Linotype" w:hAnsi="Palatino Linotype"/>
        </w:rPr>
        <w:t xml:space="preserve"> all protests associated with the utilities filings </w:t>
      </w:r>
      <w:r w:rsidRPr="00221288" w:rsidR="00BE23EF">
        <w:rPr>
          <w:rFonts w:ascii="Palatino Linotype" w:hAnsi="Palatino Linotype"/>
        </w:rPr>
        <w:t>ha</w:t>
      </w:r>
      <w:r w:rsidRPr="00221288" w:rsidR="00B80ACB">
        <w:rPr>
          <w:rFonts w:ascii="Palatino Linotype" w:hAnsi="Palatino Linotype"/>
        </w:rPr>
        <w:t>ve</w:t>
      </w:r>
      <w:r w:rsidRPr="00221288" w:rsidR="00BE23EF">
        <w:rPr>
          <w:rFonts w:ascii="Palatino Linotype" w:hAnsi="Palatino Linotype"/>
        </w:rPr>
        <w:t xml:space="preserve"> </w:t>
      </w:r>
      <w:r w:rsidRPr="00221288">
        <w:rPr>
          <w:rFonts w:ascii="Palatino Linotype" w:hAnsi="Palatino Linotype"/>
        </w:rPr>
        <w:t>been withdrawn</w:t>
      </w:r>
      <w:r w:rsidRPr="00221288" w:rsidR="00F01297">
        <w:rPr>
          <w:rFonts w:ascii="Palatino Linotype" w:hAnsi="Palatino Linotype"/>
        </w:rPr>
        <w:t>,</w:t>
      </w:r>
      <w:r w:rsidRPr="00221288" w:rsidR="00BE23EF">
        <w:rPr>
          <w:rFonts w:ascii="Palatino Linotype" w:hAnsi="Palatino Linotype"/>
        </w:rPr>
        <w:t xml:space="preserve"> </w:t>
      </w:r>
      <w:r w:rsidRPr="00221288">
        <w:rPr>
          <w:rFonts w:ascii="Palatino Linotype" w:hAnsi="Palatino Linotype"/>
        </w:rPr>
        <w:t xml:space="preserve">SCE </w:t>
      </w:r>
      <w:r w:rsidRPr="00221288" w:rsidR="00BE23EF">
        <w:rPr>
          <w:rFonts w:ascii="Palatino Linotype" w:hAnsi="Palatino Linotype"/>
        </w:rPr>
        <w:t>w</w:t>
      </w:r>
      <w:r w:rsidRPr="00221288" w:rsidR="00B80ACB">
        <w:rPr>
          <w:rFonts w:ascii="Palatino Linotype" w:hAnsi="Palatino Linotype"/>
        </w:rPr>
        <w:t>ill</w:t>
      </w:r>
      <w:r w:rsidRPr="00221288" w:rsidR="00BE23EF">
        <w:rPr>
          <w:rFonts w:ascii="Palatino Linotype" w:hAnsi="Palatino Linotype"/>
        </w:rPr>
        <w:t xml:space="preserve"> </w:t>
      </w:r>
      <w:r w:rsidRPr="00221288" w:rsidR="002B2E18">
        <w:rPr>
          <w:rFonts w:ascii="Palatino Linotype" w:hAnsi="Palatino Linotype"/>
        </w:rPr>
        <w:t>clarify</w:t>
      </w:r>
      <w:r w:rsidRPr="00221288">
        <w:rPr>
          <w:rFonts w:ascii="Palatino Linotype" w:hAnsi="Palatino Linotype"/>
        </w:rPr>
        <w:t xml:space="preserve"> </w:t>
      </w:r>
      <w:r w:rsidRPr="00221288" w:rsidR="00BE23EF">
        <w:rPr>
          <w:rFonts w:ascii="Palatino Linotype" w:hAnsi="Palatino Linotype"/>
        </w:rPr>
        <w:t>in a</w:t>
      </w:r>
      <w:r w:rsidRPr="00221288" w:rsidR="002B2E18">
        <w:rPr>
          <w:rFonts w:ascii="Palatino Linotype" w:hAnsi="Palatino Linotype"/>
        </w:rPr>
        <w:t xml:space="preserve"> </w:t>
      </w:r>
      <w:r w:rsidRPr="00221288" w:rsidR="00BE23EF">
        <w:rPr>
          <w:rFonts w:ascii="Palatino Linotype" w:hAnsi="Palatino Linotype"/>
        </w:rPr>
        <w:t xml:space="preserve">supplemental AL </w:t>
      </w:r>
      <w:r w:rsidRPr="00221288" w:rsidR="002B2E18">
        <w:rPr>
          <w:rFonts w:ascii="Palatino Linotype" w:hAnsi="Palatino Linotype"/>
        </w:rPr>
        <w:t xml:space="preserve">that </w:t>
      </w:r>
      <w:r w:rsidRPr="00221288">
        <w:rPr>
          <w:rFonts w:ascii="Palatino Linotype" w:hAnsi="Palatino Linotype"/>
        </w:rPr>
        <w:t>NEM-ST and NBT capacity determinations should be based on SCE’s Electric Rule 21, Table F.1 “System Size Limiting Factor</w:t>
      </w:r>
      <w:r w:rsidRPr="00221288" w:rsidR="002B2E18">
        <w:rPr>
          <w:rFonts w:ascii="Palatino Linotype" w:hAnsi="Palatino Linotype"/>
        </w:rPr>
        <w:t>,</w:t>
      </w:r>
      <w:r w:rsidRPr="00221288">
        <w:rPr>
          <w:rFonts w:ascii="Palatino Linotype" w:hAnsi="Palatino Linotype"/>
        </w:rPr>
        <w:t xml:space="preserve">” </w:t>
      </w:r>
      <w:r w:rsidRPr="00221288" w:rsidR="002B2E18">
        <w:rPr>
          <w:rFonts w:ascii="Palatino Linotype" w:hAnsi="Palatino Linotype"/>
        </w:rPr>
        <w:t>pursuant to</w:t>
      </w:r>
      <w:r w:rsidRPr="00221288">
        <w:rPr>
          <w:rFonts w:ascii="Palatino Linotype" w:hAnsi="Palatino Linotype"/>
        </w:rPr>
        <w:t xml:space="preserve"> D.19-03-013.</w:t>
      </w:r>
    </w:p>
    <w:p w:rsidRPr="00221288" w:rsidR="009160A6" w:rsidP="007C625C" w:rsidRDefault="009160A6" w14:paraId="6329CCBF" w14:textId="77777777">
      <w:pPr>
        <w:rPr>
          <w:rFonts w:ascii="Palatino Linotype" w:hAnsi="Palatino Linotype"/>
        </w:rPr>
      </w:pPr>
    </w:p>
    <w:p w:rsidRPr="00221288" w:rsidR="009160A6" w:rsidP="0016302C" w:rsidRDefault="009160A6" w14:paraId="40053B3A" w14:textId="6B77237A">
      <w:pPr>
        <w:rPr>
          <w:rFonts w:ascii="Palatino Linotype" w:hAnsi="Palatino Linotype"/>
        </w:rPr>
      </w:pPr>
      <w:r w:rsidRPr="00221288">
        <w:rPr>
          <w:rFonts w:ascii="Palatino Linotype" w:hAnsi="Palatino Linotype"/>
        </w:rPr>
        <w:t xml:space="preserve">In its protest to SCE’s supplemental AL, SEIA </w:t>
      </w:r>
      <w:r w:rsidRPr="00221288" w:rsidR="004C0CD5">
        <w:rPr>
          <w:rFonts w:ascii="Palatino Linotype" w:hAnsi="Palatino Linotype"/>
        </w:rPr>
        <w:t>asserts</w:t>
      </w:r>
      <w:r w:rsidRPr="00221288">
        <w:rPr>
          <w:rFonts w:ascii="Palatino Linotype" w:hAnsi="Palatino Linotype"/>
        </w:rPr>
        <w:t xml:space="preserve"> that </w:t>
      </w:r>
      <w:r w:rsidRPr="00221288" w:rsidR="00B10E8A">
        <w:rPr>
          <w:rFonts w:ascii="Palatino Linotype" w:hAnsi="Palatino Linotype"/>
        </w:rPr>
        <w:t xml:space="preserve">the following sentence </w:t>
      </w:r>
      <w:r w:rsidRPr="00221288" w:rsidR="001542D5">
        <w:rPr>
          <w:rFonts w:ascii="Palatino Linotype" w:hAnsi="Palatino Linotype"/>
        </w:rPr>
        <w:t xml:space="preserve">SCE added </w:t>
      </w:r>
      <w:r w:rsidRPr="00221288" w:rsidR="009E2F42">
        <w:rPr>
          <w:rFonts w:ascii="Palatino Linotype" w:hAnsi="Palatino Linotype"/>
        </w:rPr>
        <w:t>i</w:t>
      </w:r>
      <w:r w:rsidRPr="00221288" w:rsidR="00B10E8A">
        <w:rPr>
          <w:rFonts w:ascii="Palatino Linotype" w:hAnsi="Palatino Linotype"/>
        </w:rPr>
        <w:t>s unclear: “</w:t>
      </w:r>
      <w:r w:rsidRPr="00221288">
        <w:rPr>
          <w:rFonts w:ascii="Palatino Linotype" w:hAnsi="Palatino Linotype"/>
        </w:rPr>
        <w:t>The aggregate nameplate capacity of the facility is calculated by adding the capacity of all generators located at the Customer’s Premises (including Integrated or Directly Connected Energy Storage Devices, if any).</w:t>
      </w:r>
      <w:r w:rsidRPr="00221288" w:rsidR="00B10E8A">
        <w:rPr>
          <w:rFonts w:ascii="Palatino Linotype" w:hAnsi="Palatino Linotype"/>
        </w:rPr>
        <w:t>”</w:t>
      </w:r>
      <w:r w:rsidRPr="00221288" w:rsidR="00803B0F">
        <w:rPr>
          <w:rStyle w:val="FootnoteReference"/>
          <w:rFonts w:ascii="Palatino Linotype" w:hAnsi="Palatino Linotype"/>
        </w:rPr>
        <w:footnoteReference w:id="9"/>
      </w:r>
      <w:r w:rsidRPr="00221288" w:rsidR="0016302C">
        <w:rPr>
          <w:rFonts w:ascii="Palatino Linotype" w:hAnsi="Palatino Linotype"/>
        </w:rPr>
        <w:t xml:space="preserve"> SEIA </w:t>
      </w:r>
      <w:r w:rsidRPr="00221288" w:rsidR="004C0CD5">
        <w:rPr>
          <w:rFonts w:ascii="Palatino Linotype" w:hAnsi="Palatino Linotype"/>
        </w:rPr>
        <w:t>argues</w:t>
      </w:r>
      <w:r w:rsidRPr="00221288">
        <w:rPr>
          <w:rFonts w:ascii="Palatino Linotype" w:hAnsi="Palatino Linotype"/>
        </w:rPr>
        <w:t xml:space="preserve"> </w:t>
      </w:r>
      <w:r w:rsidRPr="00221288" w:rsidR="0016302C">
        <w:rPr>
          <w:rFonts w:ascii="Palatino Linotype" w:hAnsi="Palatino Linotype"/>
        </w:rPr>
        <w:t xml:space="preserve">that this language </w:t>
      </w:r>
      <w:r w:rsidRPr="00221288">
        <w:rPr>
          <w:rFonts w:ascii="Palatino Linotype" w:hAnsi="Palatino Linotype"/>
        </w:rPr>
        <w:t xml:space="preserve">could be </w:t>
      </w:r>
      <w:r w:rsidRPr="00221288" w:rsidR="00AE1826">
        <w:rPr>
          <w:rFonts w:ascii="Palatino Linotype" w:hAnsi="Palatino Linotype"/>
        </w:rPr>
        <w:t>mis</w:t>
      </w:r>
      <w:r w:rsidRPr="00221288">
        <w:rPr>
          <w:rFonts w:ascii="Palatino Linotype" w:hAnsi="Palatino Linotype"/>
        </w:rPr>
        <w:t>interpreted as</w:t>
      </w:r>
      <w:r w:rsidRPr="00221288" w:rsidR="007B5262">
        <w:rPr>
          <w:rFonts w:ascii="Palatino Linotype" w:hAnsi="Palatino Linotype"/>
        </w:rPr>
        <w:t xml:space="preserve"> requiring that</w:t>
      </w:r>
      <w:r w:rsidRPr="00221288">
        <w:rPr>
          <w:rFonts w:ascii="Palatino Linotype" w:hAnsi="Palatino Linotype"/>
        </w:rPr>
        <w:t xml:space="preserve"> the capacity of the storage device be added separately. </w:t>
      </w:r>
      <w:r w:rsidRPr="00221288" w:rsidR="003F182E">
        <w:rPr>
          <w:rFonts w:ascii="Palatino Linotype" w:hAnsi="Palatino Linotype"/>
        </w:rPr>
        <w:t xml:space="preserve">SEIA </w:t>
      </w:r>
      <w:r w:rsidRPr="00221288" w:rsidR="004C0CD5">
        <w:rPr>
          <w:rFonts w:ascii="Palatino Linotype" w:hAnsi="Palatino Linotype"/>
        </w:rPr>
        <w:t>proposes</w:t>
      </w:r>
      <w:r w:rsidRPr="00221288" w:rsidR="003F182E">
        <w:rPr>
          <w:rFonts w:ascii="Palatino Linotype" w:hAnsi="Palatino Linotype"/>
        </w:rPr>
        <w:t xml:space="preserve"> that SCE be required to correct this</w:t>
      </w:r>
      <w:r w:rsidRPr="00221288" w:rsidR="009D35A4">
        <w:rPr>
          <w:rFonts w:ascii="Palatino Linotype" w:hAnsi="Palatino Linotype"/>
        </w:rPr>
        <w:t xml:space="preserve"> language.</w:t>
      </w:r>
    </w:p>
    <w:p w:rsidRPr="00221288" w:rsidR="00E0351E" w:rsidP="007C625C" w:rsidRDefault="00E0351E" w14:paraId="11E036E2" w14:textId="77777777">
      <w:pPr>
        <w:rPr>
          <w:rFonts w:ascii="Palatino Linotype" w:hAnsi="Palatino Linotype"/>
        </w:rPr>
      </w:pPr>
    </w:p>
    <w:p w:rsidRPr="00221288" w:rsidR="007C625C" w:rsidP="00EB101C" w:rsidRDefault="00F91927" w14:paraId="70342963" w14:textId="56204A3E">
      <w:pPr>
        <w:rPr>
          <w:rFonts w:ascii="Palatino Linotype" w:hAnsi="Palatino Linotype"/>
        </w:rPr>
      </w:pPr>
      <w:r w:rsidRPr="00221288">
        <w:rPr>
          <w:rFonts w:ascii="Palatino Linotype" w:hAnsi="Palatino Linotype"/>
        </w:rPr>
        <w:t xml:space="preserve">In its reply to SEIA’s </w:t>
      </w:r>
      <w:r w:rsidRPr="00221288" w:rsidR="004C0CD5">
        <w:rPr>
          <w:rFonts w:ascii="Palatino Linotype" w:hAnsi="Palatino Linotype"/>
        </w:rPr>
        <w:t>supplemental protest</w:t>
      </w:r>
      <w:r w:rsidRPr="00221288">
        <w:rPr>
          <w:rFonts w:ascii="Palatino Linotype" w:hAnsi="Palatino Linotype"/>
        </w:rPr>
        <w:t xml:space="preserve">, SCE </w:t>
      </w:r>
      <w:r w:rsidRPr="00221288" w:rsidR="004C0CD5">
        <w:rPr>
          <w:rFonts w:ascii="Palatino Linotype" w:hAnsi="Palatino Linotype"/>
        </w:rPr>
        <w:t>asserts</w:t>
      </w:r>
      <w:r w:rsidRPr="00221288" w:rsidR="00EB101C">
        <w:rPr>
          <w:rFonts w:ascii="Palatino Linotype" w:hAnsi="Palatino Linotype"/>
        </w:rPr>
        <w:t xml:space="preserve"> that SEIA misconstrue</w:t>
      </w:r>
      <w:r w:rsidRPr="00221288" w:rsidR="004C0CD5">
        <w:rPr>
          <w:rFonts w:ascii="Palatino Linotype" w:hAnsi="Palatino Linotype"/>
        </w:rPr>
        <w:t>s</w:t>
      </w:r>
      <w:r w:rsidRPr="00221288" w:rsidR="00EB101C">
        <w:rPr>
          <w:rFonts w:ascii="Palatino Linotype" w:hAnsi="Palatino Linotype"/>
        </w:rPr>
        <w:t xml:space="preserve"> the implementation of the “System Size Limiting Factor” established by D.19-03-013. </w:t>
      </w:r>
      <w:r w:rsidRPr="00221288" w:rsidR="00050392">
        <w:rPr>
          <w:rFonts w:ascii="Palatino Linotype" w:hAnsi="Palatino Linotype"/>
        </w:rPr>
        <w:t xml:space="preserve">SCE </w:t>
      </w:r>
      <w:r w:rsidRPr="00221288" w:rsidR="004C0CD5">
        <w:rPr>
          <w:rFonts w:ascii="Palatino Linotype" w:hAnsi="Palatino Linotype"/>
        </w:rPr>
        <w:t>states</w:t>
      </w:r>
      <w:r w:rsidRPr="00221288" w:rsidR="00050392">
        <w:rPr>
          <w:rFonts w:ascii="Palatino Linotype" w:hAnsi="Palatino Linotype"/>
        </w:rPr>
        <w:t xml:space="preserve"> that </w:t>
      </w:r>
      <w:r w:rsidRPr="00221288" w:rsidR="00E55941">
        <w:rPr>
          <w:rFonts w:ascii="Palatino Linotype" w:hAnsi="Palatino Linotype"/>
        </w:rPr>
        <w:t>if</w:t>
      </w:r>
      <w:r w:rsidRPr="00221288" w:rsidR="00EB101C">
        <w:rPr>
          <w:rFonts w:ascii="Palatino Linotype" w:hAnsi="Palatino Linotype"/>
        </w:rPr>
        <w:t xml:space="preserve"> the </w:t>
      </w:r>
      <w:r w:rsidRPr="00221288" w:rsidR="000D6ADB">
        <w:rPr>
          <w:rFonts w:ascii="Palatino Linotype" w:hAnsi="Palatino Linotype"/>
        </w:rPr>
        <w:t>REGF</w:t>
      </w:r>
      <w:r w:rsidRPr="00221288" w:rsidR="00EB101C">
        <w:rPr>
          <w:rFonts w:ascii="Palatino Linotype" w:hAnsi="Palatino Linotype"/>
        </w:rPr>
        <w:t xml:space="preserve"> and energy storage are behind the same inverter, SEIA is correct that it would be inappropriate to add the capacity of the energy storage system to the </w:t>
      </w:r>
      <w:r w:rsidRPr="00221288" w:rsidR="00EB101C">
        <w:rPr>
          <w:rFonts w:ascii="Palatino Linotype" w:hAnsi="Palatino Linotype"/>
        </w:rPr>
        <w:lastRenderedPageBreak/>
        <w:t xml:space="preserve">capacity of the </w:t>
      </w:r>
      <w:r w:rsidRPr="00221288" w:rsidR="000E166C">
        <w:rPr>
          <w:rFonts w:ascii="Palatino Linotype" w:hAnsi="Palatino Linotype"/>
        </w:rPr>
        <w:t>REGF</w:t>
      </w:r>
      <w:r w:rsidRPr="00221288" w:rsidR="00EB101C">
        <w:rPr>
          <w:rFonts w:ascii="Palatino Linotype" w:hAnsi="Palatino Linotype"/>
        </w:rPr>
        <w:t xml:space="preserve"> because the inverter may be the “system size limiting factor.” </w:t>
      </w:r>
      <w:r w:rsidRPr="00221288" w:rsidR="00F321F8">
        <w:rPr>
          <w:rFonts w:ascii="Palatino Linotype" w:hAnsi="Palatino Linotype"/>
        </w:rPr>
        <w:t xml:space="preserve">SCE </w:t>
      </w:r>
      <w:r w:rsidRPr="00221288" w:rsidR="00796DC6">
        <w:rPr>
          <w:rFonts w:ascii="Palatino Linotype" w:hAnsi="Palatino Linotype"/>
        </w:rPr>
        <w:t>continue</w:t>
      </w:r>
      <w:r w:rsidRPr="00221288" w:rsidR="004C0CD5">
        <w:rPr>
          <w:rFonts w:ascii="Palatino Linotype" w:hAnsi="Palatino Linotype"/>
        </w:rPr>
        <w:t>s</w:t>
      </w:r>
      <w:r w:rsidRPr="00221288" w:rsidR="00796DC6">
        <w:rPr>
          <w:rFonts w:ascii="Palatino Linotype" w:hAnsi="Palatino Linotype"/>
        </w:rPr>
        <w:t xml:space="preserve"> </w:t>
      </w:r>
      <w:r w:rsidRPr="00221288" w:rsidR="00F321F8">
        <w:rPr>
          <w:rFonts w:ascii="Palatino Linotype" w:hAnsi="Palatino Linotype"/>
        </w:rPr>
        <w:t xml:space="preserve">that </w:t>
      </w:r>
      <w:r w:rsidRPr="00221288" w:rsidR="00796DC6">
        <w:rPr>
          <w:rFonts w:ascii="Palatino Linotype" w:hAnsi="Palatino Linotype"/>
        </w:rPr>
        <w:t>if</w:t>
      </w:r>
      <w:r w:rsidRPr="00221288" w:rsidR="00EB101C">
        <w:rPr>
          <w:rFonts w:ascii="Palatino Linotype" w:hAnsi="Palatino Linotype"/>
        </w:rPr>
        <w:t xml:space="preserve"> each system is behind a different inverter, the </w:t>
      </w:r>
      <w:r w:rsidRPr="00221288" w:rsidR="000D6ADB">
        <w:rPr>
          <w:rFonts w:ascii="Palatino Linotype" w:hAnsi="Palatino Linotype"/>
        </w:rPr>
        <w:t>REGF</w:t>
      </w:r>
      <w:r w:rsidRPr="00221288" w:rsidR="00EB101C">
        <w:rPr>
          <w:rFonts w:ascii="Palatino Linotype" w:hAnsi="Palatino Linotype"/>
        </w:rPr>
        <w:t xml:space="preserve"> may export at the same time that the energy storage </w:t>
      </w:r>
      <w:r w:rsidRPr="00221288" w:rsidR="00EF75AB">
        <w:rPr>
          <w:rFonts w:ascii="Palatino Linotype" w:hAnsi="Palatino Linotype"/>
        </w:rPr>
        <w:t>is</w:t>
      </w:r>
      <w:r w:rsidRPr="00221288" w:rsidR="00EB101C">
        <w:rPr>
          <w:rFonts w:ascii="Palatino Linotype" w:hAnsi="Palatino Linotype"/>
        </w:rPr>
        <w:t xml:space="preserve"> discharging</w:t>
      </w:r>
      <w:r w:rsidRPr="00221288" w:rsidR="00821ED2">
        <w:rPr>
          <w:rFonts w:ascii="Palatino Linotype" w:hAnsi="Palatino Linotype"/>
        </w:rPr>
        <w:t>, and so t</w:t>
      </w:r>
      <w:r w:rsidRPr="00221288" w:rsidR="00EB101C">
        <w:rPr>
          <w:rFonts w:ascii="Palatino Linotype" w:hAnsi="Palatino Linotype"/>
        </w:rPr>
        <w:t xml:space="preserve">he aggregated capacity of </w:t>
      </w:r>
      <w:r w:rsidRPr="00221288" w:rsidR="00821ED2">
        <w:rPr>
          <w:rFonts w:ascii="Palatino Linotype" w:hAnsi="Palatino Linotype"/>
        </w:rPr>
        <w:t>such a</w:t>
      </w:r>
      <w:r w:rsidRPr="00221288" w:rsidR="00EB101C">
        <w:rPr>
          <w:rFonts w:ascii="Palatino Linotype" w:hAnsi="Palatino Linotype"/>
        </w:rPr>
        <w:t xml:space="preserve"> system is the sum of the operating capacity of each system (as limited by their separate inverter</w:t>
      </w:r>
      <w:r w:rsidRPr="00221288" w:rsidR="00727433">
        <w:rPr>
          <w:rFonts w:ascii="Palatino Linotype" w:hAnsi="Palatino Linotype"/>
        </w:rPr>
        <w:t>s</w:t>
      </w:r>
      <w:r w:rsidRPr="00221288" w:rsidR="00EB101C">
        <w:rPr>
          <w:rFonts w:ascii="Palatino Linotype" w:hAnsi="Palatino Linotype"/>
        </w:rPr>
        <w:t xml:space="preserve">). SCE </w:t>
      </w:r>
      <w:r w:rsidRPr="00221288" w:rsidR="004C0CD5">
        <w:rPr>
          <w:rFonts w:ascii="Palatino Linotype" w:hAnsi="Palatino Linotype"/>
        </w:rPr>
        <w:t>asserts</w:t>
      </w:r>
      <w:r w:rsidRPr="00221288" w:rsidR="00EB101C">
        <w:rPr>
          <w:rFonts w:ascii="Palatino Linotype" w:hAnsi="Palatino Linotype"/>
        </w:rPr>
        <w:t xml:space="preserve"> that the </w:t>
      </w:r>
      <w:r w:rsidRPr="00221288" w:rsidR="00547B16">
        <w:rPr>
          <w:rFonts w:ascii="Palatino Linotype" w:hAnsi="Palatino Linotype"/>
        </w:rPr>
        <w:t>a</w:t>
      </w:r>
      <w:r w:rsidRPr="00221288" w:rsidR="00EB101C">
        <w:rPr>
          <w:rFonts w:ascii="Palatino Linotype" w:hAnsi="Palatino Linotype"/>
        </w:rPr>
        <w:t xml:space="preserve">pplicant </w:t>
      </w:r>
      <w:r w:rsidRPr="00221288" w:rsidR="0096240A">
        <w:rPr>
          <w:rFonts w:ascii="Palatino Linotype" w:hAnsi="Palatino Linotype"/>
        </w:rPr>
        <w:t>must</w:t>
      </w:r>
      <w:r w:rsidRPr="00221288" w:rsidR="00EB101C">
        <w:rPr>
          <w:rFonts w:ascii="Palatino Linotype" w:hAnsi="Palatino Linotype"/>
        </w:rPr>
        <w:t xml:space="preserve"> demonstrate the “limiter” for each generating facility and calculate the “aggregate</w:t>
      </w:r>
      <w:r w:rsidRPr="00221288" w:rsidR="003238E0">
        <w:rPr>
          <w:rFonts w:ascii="Palatino Linotype" w:hAnsi="Palatino Linotype"/>
        </w:rPr>
        <w:t>.</w:t>
      </w:r>
      <w:r w:rsidRPr="00221288" w:rsidR="00EB101C">
        <w:rPr>
          <w:rFonts w:ascii="Palatino Linotype" w:hAnsi="Palatino Linotype"/>
        </w:rPr>
        <w:t xml:space="preserve">” </w:t>
      </w:r>
    </w:p>
    <w:p w:rsidRPr="00221288" w:rsidR="007048CC" w:rsidP="00F52363" w:rsidRDefault="007048CC" w14:paraId="30E9577C" w14:textId="77777777">
      <w:pPr>
        <w:rPr>
          <w:rFonts w:ascii="Palatino Linotype" w:hAnsi="Palatino Linotype"/>
        </w:rPr>
      </w:pPr>
    </w:p>
    <w:p w:rsidRPr="00221288" w:rsidR="004D0AAF" w:rsidP="00D35578" w:rsidRDefault="005F486E" w14:paraId="2AA5FABE" w14:textId="31116AF2">
      <w:pPr>
        <w:pStyle w:val="Heading3"/>
        <w:rPr>
          <w:rFonts w:ascii="Palatino Linotype" w:hAnsi="Palatino Linotype"/>
        </w:rPr>
      </w:pPr>
      <w:r w:rsidRPr="00221288">
        <w:rPr>
          <w:rFonts w:ascii="Palatino Linotype" w:hAnsi="Palatino Linotype"/>
        </w:rPr>
        <w:t xml:space="preserve">PG&amp;E’s </w:t>
      </w:r>
      <w:r w:rsidRPr="00221288" w:rsidR="002070CB">
        <w:rPr>
          <w:rFonts w:ascii="Palatino Linotype" w:hAnsi="Palatino Linotype"/>
        </w:rPr>
        <w:t xml:space="preserve">and SDG&amp;E’s </w:t>
      </w:r>
      <w:r w:rsidRPr="00221288" w:rsidR="00D35578">
        <w:rPr>
          <w:rFonts w:ascii="Palatino Linotype" w:hAnsi="Palatino Linotype"/>
        </w:rPr>
        <w:t>System Sizing</w:t>
      </w:r>
      <w:r w:rsidRPr="00221288">
        <w:rPr>
          <w:rFonts w:ascii="Palatino Linotype" w:hAnsi="Palatino Linotype"/>
        </w:rPr>
        <w:t xml:space="preserve"> Requirement</w:t>
      </w:r>
      <w:r w:rsidRPr="00221288" w:rsidR="002070CB">
        <w:rPr>
          <w:rFonts w:ascii="Palatino Linotype" w:hAnsi="Palatino Linotype"/>
        </w:rPr>
        <w:t>s</w:t>
      </w:r>
    </w:p>
    <w:p w:rsidRPr="00221288" w:rsidR="003E0594" w:rsidP="003E0594" w:rsidRDefault="003E0594" w14:paraId="4931F25A" w14:textId="77777777">
      <w:pPr>
        <w:rPr>
          <w:rFonts w:ascii="Palatino Linotype" w:hAnsi="Palatino Linotype"/>
        </w:rPr>
      </w:pPr>
    </w:p>
    <w:p w:rsidRPr="00221288" w:rsidR="00D35578" w:rsidP="00D35578" w:rsidRDefault="00D35578" w14:paraId="52E2F2EF" w14:textId="7F3EE59A">
      <w:pPr>
        <w:rPr>
          <w:rFonts w:ascii="Palatino Linotype" w:hAnsi="Palatino Linotype"/>
        </w:rPr>
      </w:pPr>
      <w:r w:rsidRPr="00221288">
        <w:rPr>
          <w:rFonts w:ascii="Palatino Linotype" w:hAnsi="Palatino Linotype"/>
        </w:rPr>
        <w:t xml:space="preserve">SEIA </w:t>
      </w:r>
      <w:r w:rsidRPr="00221288" w:rsidR="004C0CD5">
        <w:rPr>
          <w:rFonts w:ascii="Palatino Linotype" w:hAnsi="Palatino Linotype"/>
        </w:rPr>
        <w:t>asserts</w:t>
      </w:r>
      <w:r w:rsidRPr="00221288" w:rsidR="002D5303">
        <w:rPr>
          <w:rFonts w:ascii="Palatino Linotype" w:hAnsi="Palatino Linotype"/>
        </w:rPr>
        <w:t xml:space="preserve"> </w:t>
      </w:r>
      <w:r w:rsidRPr="00221288" w:rsidR="006D7491">
        <w:rPr>
          <w:rFonts w:ascii="Palatino Linotype" w:hAnsi="Palatino Linotype"/>
        </w:rPr>
        <w:t>in</w:t>
      </w:r>
      <w:r w:rsidRPr="00221288">
        <w:rPr>
          <w:rFonts w:ascii="Palatino Linotype" w:hAnsi="Palatino Linotype"/>
        </w:rPr>
        <w:t xml:space="preserve"> its protest</w:t>
      </w:r>
      <w:r w:rsidRPr="00221288" w:rsidR="002070CB">
        <w:rPr>
          <w:rFonts w:ascii="Palatino Linotype" w:hAnsi="Palatino Linotype"/>
        </w:rPr>
        <w:t>s to PG&amp;E’s and SDG&amp;E’s ALs</w:t>
      </w:r>
      <w:r w:rsidRPr="00221288" w:rsidR="002D5303">
        <w:rPr>
          <w:rFonts w:ascii="Palatino Linotype" w:hAnsi="Palatino Linotype"/>
        </w:rPr>
        <w:t xml:space="preserve"> that </w:t>
      </w:r>
      <w:r w:rsidRPr="00221288" w:rsidR="00A136FA">
        <w:rPr>
          <w:rFonts w:ascii="Palatino Linotype" w:hAnsi="Palatino Linotype"/>
        </w:rPr>
        <w:t xml:space="preserve">the D.22-12-056 </w:t>
      </w:r>
      <w:r w:rsidRPr="00221288" w:rsidR="00BE56CC">
        <w:rPr>
          <w:rFonts w:ascii="Palatino Linotype" w:hAnsi="Palatino Linotype"/>
        </w:rPr>
        <w:t xml:space="preserve">requirement </w:t>
      </w:r>
      <w:r w:rsidRPr="00221288" w:rsidR="00A136FA">
        <w:rPr>
          <w:rFonts w:ascii="Palatino Linotype" w:hAnsi="Palatino Linotype"/>
        </w:rPr>
        <w:t>for</w:t>
      </w:r>
      <w:r w:rsidRPr="00221288" w:rsidR="002D5303">
        <w:rPr>
          <w:rFonts w:ascii="Palatino Linotype" w:hAnsi="Palatino Linotype"/>
        </w:rPr>
        <w:t xml:space="preserve"> a customer oversiz</w:t>
      </w:r>
      <w:r w:rsidRPr="00221288" w:rsidR="00036AF6">
        <w:rPr>
          <w:rFonts w:ascii="Palatino Linotype" w:hAnsi="Palatino Linotype"/>
        </w:rPr>
        <w:t>ing</w:t>
      </w:r>
      <w:r w:rsidRPr="00221288" w:rsidR="002D5303">
        <w:rPr>
          <w:rFonts w:ascii="Palatino Linotype" w:hAnsi="Palatino Linotype"/>
        </w:rPr>
        <w:t xml:space="preserve"> their system to be “expecting to increase their usa</w:t>
      </w:r>
      <w:r w:rsidRPr="00221288" w:rsidR="00DD70ED">
        <w:rPr>
          <w:rFonts w:ascii="Palatino Linotype" w:hAnsi="Palatino Linotype"/>
        </w:rPr>
        <w:t>ge to correspond with the system size” only require</w:t>
      </w:r>
      <w:r w:rsidRPr="00221288" w:rsidR="002070CB">
        <w:rPr>
          <w:rFonts w:ascii="Palatino Linotype" w:hAnsi="Palatino Linotype"/>
        </w:rPr>
        <w:t>s</w:t>
      </w:r>
      <w:r w:rsidRPr="00221288" w:rsidR="00DD70ED">
        <w:rPr>
          <w:rFonts w:ascii="Palatino Linotype" w:hAnsi="Palatino Linotype"/>
        </w:rPr>
        <w:t xml:space="preserve"> the customer’s expectation</w:t>
      </w:r>
      <w:r w:rsidRPr="00221288" w:rsidR="004A6AD6">
        <w:rPr>
          <w:rFonts w:ascii="Palatino Linotype" w:hAnsi="Palatino Linotype"/>
        </w:rPr>
        <w:t xml:space="preserve"> and </w:t>
      </w:r>
      <w:r w:rsidRPr="00221288" w:rsidR="00036AF6">
        <w:rPr>
          <w:rFonts w:ascii="Palatino Linotype" w:hAnsi="Palatino Linotype"/>
        </w:rPr>
        <w:t>does</w:t>
      </w:r>
      <w:r w:rsidRPr="00221288" w:rsidR="004A6AD6">
        <w:rPr>
          <w:rFonts w:ascii="Palatino Linotype" w:hAnsi="Palatino Linotype"/>
        </w:rPr>
        <w:t xml:space="preserve"> not impose a deadline for the usage to correspond to system size. </w:t>
      </w:r>
      <w:r w:rsidRPr="00221288" w:rsidR="005F486E">
        <w:rPr>
          <w:rFonts w:ascii="Palatino Linotype" w:hAnsi="Palatino Linotype"/>
        </w:rPr>
        <w:t xml:space="preserve">Thus, SEIA </w:t>
      </w:r>
      <w:r w:rsidRPr="00221288" w:rsidR="004C0CD5">
        <w:rPr>
          <w:rFonts w:ascii="Palatino Linotype" w:hAnsi="Palatino Linotype"/>
        </w:rPr>
        <w:t>proposes</w:t>
      </w:r>
      <w:r w:rsidRPr="00221288" w:rsidR="005F486E">
        <w:rPr>
          <w:rFonts w:ascii="Palatino Linotype" w:hAnsi="Palatino Linotype"/>
        </w:rPr>
        <w:t xml:space="preserve"> the deletion of </w:t>
      </w:r>
      <w:r w:rsidRPr="00221288" w:rsidR="006F1FBB">
        <w:rPr>
          <w:rFonts w:ascii="Palatino Linotype" w:hAnsi="Palatino Linotype"/>
        </w:rPr>
        <w:t xml:space="preserve">language in PG&amp;E’s </w:t>
      </w:r>
      <w:r w:rsidRPr="00221288" w:rsidR="00036AF6">
        <w:rPr>
          <w:rFonts w:ascii="Palatino Linotype" w:hAnsi="Palatino Linotype"/>
        </w:rPr>
        <w:t xml:space="preserve">and SDG&amp;E’s </w:t>
      </w:r>
      <w:r w:rsidRPr="00221288" w:rsidR="006F1FBB">
        <w:rPr>
          <w:rFonts w:ascii="Palatino Linotype" w:hAnsi="Palatino Linotype"/>
        </w:rPr>
        <w:t>proposed tariff</w:t>
      </w:r>
      <w:r w:rsidRPr="00221288" w:rsidR="00036AF6">
        <w:rPr>
          <w:rFonts w:ascii="Palatino Linotype" w:hAnsi="Palatino Linotype"/>
        </w:rPr>
        <w:t>s</w:t>
      </w:r>
      <w:r w:rsidRPr="00221288" w:rsidR="006F1FBB">
        <w:rPr>
          <w:rFonts w:ascii="Palatino Linotype" w:hAnsi="Palatino Linotype"/>
        </w:rPr>
        <w:t xml:space="preserve"> requiring that the expected usage should correspond with the size of the system within 12 months of PTO.</w:t>
      </w:r>
    </w:p>
    <w:p w:rsidRPr="00221288" w:rsidR="00BB4651" w:rsidP="00D35578" w:rsidRDefault="00BB4651" w14:paraId="3660F473" w14:textId="77777777">
      <w:pPr>
        <w:rPr>
          <w:rFonts w:ascii="Palatino Linotype" w:hAnsi="Palatino Linotype"/>
        </w:rPr>
      </w:pPr>
    </w:p>
    <w:p w:rsidRPr="00221288" w:rsidR="00BB4651" w:rsidP="00D35578" w:rsidRDefault="00BB4651" w14:paraId="3E17B836" w14:textId="350A90F7">
      <w:pPr>
        <w:rPr>
          <w:rFonts w:ascii="Palatino Linotype" w:hAnsi="Palatino Linotype"/>
        </w:rPr>
      </w:pPr>
      <w:r w:rsidRPr="00221288">
        <w:rPr>
          <w:rFonts w:ascii="Palatino Linotype" w:hAnsi="Palatino Linotype"/>
        </w:rPr>
        <w:t xml:space="preserve">In </w:t>
      </w:r>
      <w:r w:rsidRPr="00221288" w:rsidR="00002A5A">
        <w:rPr>
          <w:rFonts w:ascii="Palatino Linotype" w:hAnsi="Palatino Linotype"/>
        </w:rPr>
        <w:t xml:space="preserve">their </w:t>
      </w:r>
      <w:r w:rsidRPr="00221288">
        <w:rPr>
          <w:rFonts w:ascii="Palatino Linotype" w:hAnsi="Palatino Linotype"/>
        </w:rPr>
        <w:t>repl</w:t>
      </w:r>
      <w:r w:rsidRPr="00221288" w:rsidR="00002A5A">
        <w:rPr>
          <w:rFonts w:ascii="Palatino Linotype" w:hAnsi="Palatino Linotype"/>
        </w:rPr>
        <w:t>ies</w:t>
      </w:r>
      <w:r w:rsidRPr="00221288">
        <w:rPr>
          <w:rFonts w:ascii="Palatino Linotype" w:hAnsi="Palatino Linotype"/>
        </w:rPr>
        <w:t xml:space="preserve">, PG&amp;E </w:t>
      </w:r>
      <w:r w:rsidRPr="00221288" w:rsidR="00296AE3">
        <w:rPr>
          <w:rFonts w:ascii="Palatino Linotype" w:hAnsi="Palatino Linotype"/>
        </w:rPr>
        <w:t xml:space="preserve">and SDG&amp;E </w:t>
      </w:r>
      <w:r w:rsidRPr="00221288" w:rsidR="004C0CD5">
        <w:rPr>
          <w:rFonts w:ascii="Palatino Linotype" w:hAnsi="Palatino Linotype"/>
        </w:rPr>
        <w:t>assert</w:t>
      </w:r>
      <w:r w:rsidRPr="00221288" w:rsidR="00257409">
        <w:rPr>
          <w:rFonts w:ascii="Palatino Linotype" w:hAnsi="Palatino Linotype"/>
        </w:rPr>
        <w:t xml:space="preserve"> that </w:t>
      </w:r>
      <w:r w:rsidRPr="00221288" w:rsidR="00296AE3">
        <w:rPr>
          <w:rFonts w:ascii="Palatino Linotype" w:hAnsi="Palatino Linotype"/>
        </w:rPr>
        <w:t>their</w:t>
      </w:r>
      <w:r w:rsidRPr="00221288" w:rsidR="00D01507">
        <w:rPr>
          <w:rFonts w:ascii="Palatino Linotype" w:hAnsi="Palatino Linotype"/>
        </w:rPr>
        <w:t xml:space="preserve"> proposed language mirrors the decision, and that exclusion of this language would eliminate an explicit requirement for oversizing.</w:t>
      </w:r>
    </w:p>
    <w:p w:rsidRPr="00221288" w:rsidR="00EE2D8B" w:rsidP="00D35578" w:rsidRDefault="00EE2D8B" w14:paraId="476F2D02" w14:textId="77777777">
      <w:pPr>
        <w:rPr>
          <w:rFonts w:ascii="Palatino Linotype" w:hAnsi="Palatino Linotype"/>
        </w:rPr>
      </w:pPr>
    </w:p>
    <w:p w:rsidRPr="00221288" w:rsidR="00EE2D8B" w:rsidP="00BC5733" w:rsidRDefault="00BC5733" w14:paraId="20612BBB" w14:textId="17660711">
      <w:pPr>
        <w:pStyle w:val="Heading3"/>
        <w:rPr>
          <w:rFonts w:ascii="Palatino Linotype" w:hAnsi="Palatino Linotype"/>
        </w:rPr>
      </w:pPr>
      <w:r w:rsidRPr="00221288">
        <w:rPr>
          <w:rFonts w:ascii="Palatino Linotype" w:hAnsi="Palatino Linotype"/>
        </w:rPr>
        <w:t>Allowance of a Change in Relevant Period</w:t>
      </w:r>
    </w:p>
    <w:p w:rsidRPr="00221288" w:rsidR="00BC5733" w:rsidP="00BC5733" w:rsidRDefault="00BC5733" w14:paraId="209A9FF6" w14:textId="77777777">
      <w:pPr>
        <w:rPr>
          <w:rFonts w:ascii="Palatino Linotype" w:hAnsi="Palatino Linotype"/>
        </w:rPr>
      </w:pPr>
    </w:p>
    <w:p w:rsidRPr="00221288" w:rsidR="00BC5733" w:rsidP="00D35578" w:rsidRDefault="00BC5733" w14:paraId="244B59FC" w14:textId="7DB9BCB4">
      <w:pPr>
        <w:rPr>
          <w:rFonts w:ascii="Palatino Linotype" w:hAnsi="Palatino Linotype"/>
        </w:rPr>
      </w:pPr>
      <w:r w:rsidRPr="00221288">
        <w:rPr>
          <w:rFonts w:ascii="Palatino Linotype" w:hAnsi="Palatino Linotype"/>
        </w:rPr>
        <w:t>In its</w:t>
      </w:r>
      <w:r w:rsidRPr="00221288" w:rsidR="00060E28">
        <w:rPr>
          <w:rFonts w:ascii="Palatino Linotype" w:hAnsi="Palatino Linotype"/>
        </w:rPr>
        <w:t xml:space="preserve"> initial</w:t>
      </w:r>
      <w:r w:rsidRPr="00221288">
        <w:rPr>
          <w:rFonts w:ascii="Palatino Linotype" w:hAnsi="Palatino Linotype"/>
        </w:rPr>
        <w:t xml:space="preserve"> protests to </w:t>
      </w:r>
      <w:r w:rsidRPr="00221288" w:rsidR="00CC00AD">
        <w:rPr>
          <w:rFonts w:ascii="Palatino Linotype" w:hAnsi="Palatino Linotype"/>
        </w:rPr>
        <w:t>the utilities’</w:t>
      </w:r>
      <w:r w:rsidRPr="00221288">
        <w:rPr>
          <w:rFonts w:ascii="Palatino Linotype" w:hAnsi="Palatino Linotype"/>
        </w:rPr>
        <w:t xml:space="preserve"> ALs, SEIA a</w:t>
      </w:r>
      <w:r w:rsidRPr="00221288" w:rsidR="008D6870">
        <w:rPr>
          <w:rFonts w:ascii="Palatino Linotype" w:hAnsi="Palatino Linotype"/>
        </w:rPr>
        <w:t>dvocates</w:t>
      </w:r>
      <w:r w:rsidRPr="00221288">
        <w:rPr>
          <w:rFonts w:ascii="Palatino Linotype" w:hAnsi="Palatino Linotype"/>
        </w:rPr>
        <w:t xml:space="preserve"> that </w:t>
      </w:r>
      <w:r w:rsidRPr="00221288" w:rsidR="004D61FB">
        <w:rPr>
          <w:rFonts w:ascii="Palatino Linotype" w:hAnsi="Palatino Linotype"/>
        </w:rPr>
        <w:t xml:space="preserve">the Commission direct PG&amp;E and SDG&amp;E to create </w:t>
      </w:r>
      <w:r w:rsidRPr="00221288" w:rsidR="008D6870">
        <w:rPr>
          <w:rFonts w:ascii="Palatino Linotype" w:hAnsi="Palatino Linotype"/>
        </w:rPr>
        <w:t xml:space="preserve">a form </w:t>
      </w:r>
      <w:r w:rsidRPr="00221288" w:rsidR="004D61FB">
        <w:rPr>
          <w:rFonts w:ascii="Palatino Linotype" w:hAnsi="Palatino Linotype"/>
        </w:rPr>
        <w:t>for</w:t>
      </w:r>
      <w:r w:rsidRPr="00221288" w:rsidR="008D6870">
        <w:rPr>
          <w:rFonts w:ascii="Palatino Linotype" w:hAnsi="Palatino Linotype"/>
        </w:rPr>
        <w:t xml:space="preserve"> customer</w:t>
      </w:r>
      <w:r w:rsidRPr="00221288" w:rsidR="004D61FB">
        <w:rPr>
          <w:rFonts w:ascii="Palatino Linotype" w:hAnsi="Palatino Linotype"/>
        </w:rPr>
        <w:t>s</w:t>
      </w:r>
      <w:r w:rsidRPr="00221288" w:rsidR="008D6870">
        <w:rPr>
          <w:rFonts w:ascii="Palatino Linotype" w:hAnsi="Palatino Linotype"/>
        </w:rPr>
        <w:t xml:space="preserve"> to request</w:t>
      </w:r>
      <w:r w:rsidRPr="00221288" w:rsidR="00C175EF">
        <w:rPr>
          <w:rFonts w:ascii="Palatino Linotype" w:hAnsi="Palatino Linotype"/>
        </w:rPr>
        <w:t xml:space="preserve"> a change in their true-up date, as SCE has done</w:t>
      </w:r>
      <w:r w:rsidRPr="00221288" w:rsidR="008D6870">
        <w:rPr>
          <w:rFonts w:ascii="Palatino Linotype" w:hAnsi="Palatino Linotype"/>
        </w:rPr>
        <w:t xml:space="preserve">. </w:t>
      </w:r>
      <w:r w:rsidRPr="00221288" w:rsidR="00F30A32">
        <w:rPr>
          <w:rFonts w:ascii="Palatino Linotype" w:hAnsi="Palatino Linotype"/>
        </w:rPr>
        <w:t>SEIA also advocates that</w:t>
      </w:r>
      <w:r w:rsidRPr="00221288" w:rsidR="008D6870">
        <w:rPr>
          <w:rFonts w:ascii="Palatino Linotype" w:hAnsi="Palatino Linotype"/>
        </w:rPr>
        <w:t xml:space="preserve"> </w:t>
      </w:r>
      <w:r w:rsidRPr="00221288" w:rsidR="00570D6D">
        <w:rPr>
          <w:rFonts w:ascii="Palatino Linotype" w:hAnsi="Palatino Linotype"/>
        </w:rPr>
        <w:t xml:space="preserve">the Commission direct </w:t>
      </w:r>
      <w:r w:rsidRPr="00221288" w:rsidR="00F30A32">
        <w:rPr>
          <w:rFonts w:ascii="Palatino Linotype" w:hAnsi="Palatino Linotype"/>
        </w:rPr>
        <w:t>PG&amp;E</w:t>
      </w:r>
      <w:r w:rsidRPr="00221288" w:rsidR="00050556">
        <w:rPr>
          <w:rFonts w:ascii="Palatino Linotype" w:hAnsi="Palatino Linotype"/>
        </w:rPr>
        <w:t>, SCE,</w:t>
      </w:r>
      <w:r w:rsidRPr="00221288" w:rsidR="00F30A32">
        <w:rPr>
          <w:rFonts w:ascii="Palatino Linotype" w:hAnsi="Palatino Linotype"/>
        </w:rPr>
        <w:t xml:space="preserve"> and SDG&amp;E</w:t>
      </w:r>
      <w:r w:rsidRPr="00221288" w:rsidR="008D6870">
        <w:rPr>
          <w:rFonts w:ascii="Palatino Linotype" w:hAnsi="Palatino Linotype"/>
        </w:rPr>
        <w:t xml:space="preserve"> </w:t>
      </w:r>
      <w:r w:rsidRPr="00221288" w:rsidR="00570D6D">
        <w:rPr>
          <w:rFonts w:ascii="Palatino Linotype" w:hAnsi="Palatino Linotype"/>
        </w:rPr>
        <w:t xml:space="preserve">to add </w:t>
      </w:r>
      <w:r w:rsidRPr="00221288" w:rsidR="008D6870">
        <w:rPr>
          <w:rFonts w:ascii="Palatino Linotype" w:hAnsi="Palatino Linotype"/>
        </w:rPr>
        <w:t xml:space="preserve">language </w:t>
      </w:r>
      <w:r w:rsidRPr="00221288" w:rsidR="006E18B1">
        <w:rPr>
          <w:rFonts w:ascii="Palatino Linotype" w:hAnsi="Palatino Linotype"/>
        </w:rPr>
        <w:t>to their</w:t>
      </w:r>
      <w:r w:rsidRPr="00221288" w:rsidR="008D6870">
        <w:rPr>
          <w:rFonts w:ascii="Palatino Linotype" w:hAnsi="Palatino Linotype"/>
        </w:rPr>
        <w:t xml:space="preserve"> tariff</w:t>
      </w:r>
      <w:r w:rsidRPr="00221288" w:rsidR="00F30A32">
        <w:rPr>
          <w:rFonts w:ascii="Palatino Linotype" w:hAnsi="Palatino Linotype"/>
        </w:rPr>
        <w:t>s</w:t>
      </w:r>
      <w:r w:rsidRPr="00221288" w:rsidR="008D6870">
        <w:rPr>
          <w:rFonts w:ascii="Palatino Linotype" w:hAnsi="Palatino Linotype"/>
        </w:rPr>
        <w:t xml:space="preserve"> clarify</w:t>
      </w:r>
      <w:r w:rsidRPr="00221288" w:rsidR="006E18B1">
        <w:rPr>
          <w:rFonts w:ascii="Palatino Linotype" w:hAnsi="Palatino Linotype"/>
        </w:rPr>
        <w:t>ing</w:t>
      </w:r>
      <w:r w:rsidRPr="00221288" w:rsidR="008D6870">
        <w:rPr>
          <w:rFonts w:ascii="Palatino Linotype" w:hAnsi="Palatino Linotype"/>
        </w:rPr>
        <w:t xml:space="preserve"> that the request can be made any time after the customer receives PTO.</w:t>
      </w:r>
    </w:p>
    <w:p w:rsidRPr="00221288" w:rsidR="00F30A32" w:rsidP="00D35578" w:rsidRDefault="00F30A32" w14:paraId="225FD589" w14:textId="77777777">
      <w:pPr>
        <w:rPr>
          <w:rFonts w:ascii="Palatino Linotype" w:hAnsi="Palatino Linotype"/>
        </w:rPr>
      </w:pPr>
    </w:p>
    <w:p w:rsidRPr="00221288" w:rsidR="008671E5" w:rsidP="003157EC" w:rsidRDefault="00F30A32" w14:paraId="6D43F1D5" w14:textId="5904DB8D">
      <w:pPr>
        <w:rPr>
          <w:rFonts w:ascii="Palatino Linotype" w:hAnsi="Palatino Linotype"/>
        </w:rPr>
      </w:pPr>
      <w:r w:rsidRPr="00221288">
        <w:rPr>
          <w:rFonts w:ascii="Palatino Linotype" w:hAnsi="Palatino Linotype"/>
        </w:rPr>
        <w:t xml:space="preserve">In </w:t>
      </w:r>
      <w:r w:rsidRPr="00221288" w:rsidR="003157EC">
        <w:rPr>
          <w:rFonts w:ascii="Palatino Linotype" w:hAnsi="Palatino Linotype"/>
        </w:rPr>
        <w:t xml:space="preserve">its reply, PG&amp;E </w:t>
      </w:r>
      <w:r w:rsidRPr="00221288" w:rsidR="008671E5">
        <w:rPr>
          <w:rFonts w:ascii="Palatino Linotype" w:hAnsi="Palatino Linotype"/>
        </w:rPr>
        <w:t>asserts</w:t>
      </w:r>
      <w:r w:rsidRPr="00221288" w:rsidR="003157EC">
        <w:rPr>
          <w:rFonts w:ascii="Palatino Linotype" w:hAnsi="Palatino Linotype"/>
        </w:rPr>
        <w:t xml:space="preserve"> that it </w:t>
      </w:r>
      <w:r w:rsidRPr="00221288" w:rsidR="00300C2E">
        <w:rPr>
          <w:rFonts w:ascii="Palatino Linotype" w:hAnsi="Palatino Linotype"/>
        </w:rPr>
        <w:t>enables</w:t>
      </w:r>
      <w:r w:rsidRPr="00221288" w:rsidR="003157EC">
        <w:rPr>
          <w:rFonts w:ascii="Palatino Linotype" w:hAnsi="Palatino Linotype"/>
        </w:rPr>
        <w:t xml:space="preserve"> NEM</w:t>
      </w:r>
      <w:r w:rsidRPr="00221288" w:rsidR="00300C2E">
        <w:rPr>
          <w:rFonts w:ascii="Palatino Linotype" w:hAnsi="Palatino Linotype"/>
        </w:rPr>
        <w:t xml:space="preserve"> </w:t>
      </w:r>
      <w:r w:rsidRPr="00221288" w:rsidR="003157EC">
        <w:rPr>
          <w:rFonts w:ascii="Palatino Linotype" w:hAnsi="Palatino Linotype"/>
        </w:rPr>
        <w:t>customers to request to change their annual true-up date by</w:t>
      </w:r>
      <w:r w:rsidRPr="00221288" w:rsidR="00300C2E">
        <w:rPr>
          <w:rFonts w:ascii="Palatino Linotype" w:hAnsi="Palatino Linotype"/>
        </w:rPr>
        <w:t xml:space="preserve"> </w:t>
      </w:r>
      <w:r w:rsidRPr="00221288" w:rsidR="003157EC">
        <w:rPr>
          <w:rFonts w:ascii="Palatino Linotype" w:hAnsi="Palatino Linotype"/>
        </w:rPr>
        <w:t xml:space="preserve">calling </w:t>
      </w:r>
      <w:r w:rsidRPr="00221288" w:rsidR="008671E5">
        <w:rPr>
          <w:rFonts w:ascii="Palatino Linotype" w:hAnsi="Palatino Linotype"/>
        </w:rPr>
        <w:t>its</w:t>
      </w:r>
      <w:r w:rsidRPr="00221288" w:rsidR="003157EC">
        <w:rPr>
          <w:rFonts w:ascii="Palatino Linotype" w:hAnsi="Palatino Linotype"/>
        </w:rPr>
        <w:t xml:space="preserve"> Solar Customer Service Center</w:t>
      </w:r>
      <w:r w:rsidRPr="00221288" w:rsidR="00DC6111">
        <w:rPr>
          <w:rFonts w:ascii="Palatino Linotype" w:hAnsi="Palatino Linotype"/>
        </w:rPr>
        <w:t xml:space="preserve">, </w:t>
      </w:r>
      <w:r w:rsidRPr="00221288" w:rsidR="008671E5">
        <w:rPr>
          <w:rFonts w:ascii="Palatino Linotype" w:hAnsi="Palatino Linotype"/>
        </w:rPr>
        <w:t xml:space="preserve">and that </w:t>
      </w:r>
      <w:r w:rsidRPr="00221288" w:rsidR="0098454F">
        <w:rPr>
          <w:rFonts w:ascii="Palatino Linotype" w:hAnsi="Palatino Linotype"/>
        </w:rPr>
        <w:t>it</w:t>
      </w:r>
      <w:r w:rsidRPr="00221288" w:rsidR="003157EC">
        <w:rPr>
          <w:rFonts w:ascii="Palatino Linotype" w:hAnsi="Palatino Linotype"/>
        </w:rPr>
        <w:t xml:space="preserve"> has not received notice of issues with this process. </w:t>
      </w:r>
      <w:r w:rsidRPr="00221288" w:rsidR="008671E5">
        <w:rPr>
          <w:rFonts w:ascii="Palatino Linotype" w:hAnsi="Palatino Linotype"/>
        </w:rPr>
        <w:t xml:space="preserve">However, </w:t>
      </w:r>
      <w:r w:rsidRPr="00221288" w:rsidR="003157EC">
        <w:rPr>
          <w:rFonts w:ascii="Palatino Linotype" w:hAnsi="Palatino Linotype"/>
        </w:rPr>
        <w:t xml:space="preserve">PG&amp;E </w:t>
      </w:r>
      <w:r w:rsidRPr="00221288" w:rsidR="008671E5">
        <w:rPr>
          <w:rFonts w:ascii="Palatino Linotype" w:hAnsi="Palatino Linotype"/>
        </w:rPr>
        <w:t xml:space="preserve">states that it </w:t>
      </w:r>
      <w:r w:rsidRPr="00221288" w:rsidR="003157EC">
        <w:rPr>
          <w:rFonts w:ascii="Palatino Linotype" w:hAnsi="Palatino Linotype"/>
        </w:rPr>
        <w:t>can provide clarity on the process</w:t>
      </w:r>
      <w:r w:rsidRPr="00221288" w:rsidR="008671E5">
        <w:rPr>
          <w:rFonts w:ascii="Palatino Linotype" w:hAnsi="Palatino Linotype"/>
        </w:rPr>
        <w:t xml:space="preserve"> </w:t>
      </w:r>
      <w:r w:rsidRPr="00221288" w:rsidR="003157EC">
        <w:rPr>
          <w:rFonts w:ascii="Palatino Linotype" w:hAnsi="Palatino Linotype"/>
        </w:rPr>
        <w:t>in the NBT.</w:t>
      </w:r>
      <w:r w:rsidRPr="00221288" w:rsidR="008671E5">
        <w:rPr>
          <w:rFonts w:ascii="Palatino Linotype" w:hAnsi="Palatino Linotype"/>
        </w:rPr>
        <w:t xml:space="preserve"> </w:t>
      </w:r>
      <w:r w:rsidRPr="00221288" w:rsidR="006D7E0B">
        <w:rPr>
          <w:rFonts w:ascii="Palatino Linotype" w:hAnsi="Palatino Linotype"/>
        </w:rPr>
        <w:t xml:space="preserve">In its reply, SCE agrees to </w:t>
      </w:r>
      <w:r w:rsidRPr="00221288" w:rsidR="002C66BD">
        <w:rPr>
          <w:rFonts w:ascii="Palatino Linotype" w:hAnsi="Palatino Linotype"/>
        </w:rPr>
        <w:t>make the requested clarification in a supplemental AL.</w:t>
      </w:r>
      <w:r w:rsidRPr="00221288" w:rsidR="008671E5">
        <w:rPr>
          <w:rFonts w:ascii="Palatino Linotype" w:hAnsi="Palatino Linotype"/>
        </w:rPr>
        <w:t xml:space="preserve"> In its reply, SDG&amp;E </w:t>
      </w:r>
      <w:r w:rsidRPr="00221288" w:rsidR="000C1D41">
        <w:rPr>
          <w:rFonts w:ascii="Palatino Linotype" w:hAnsi="Palatino Linotype"/>
        </w:rPr>
        <w:t>agrees to have a more defined process to allow</w:t>
      </w:r>
      <w:r w:rsidRPr="00221288" w:rsidR="00E75F72">
        <w:rPr>
          <w:rFonts w:ascii="Palatino Linotype" w:hAnsi="Palatino Linotype"/>
        </w:rPr>
        <w:t xml:space="preserve"> c</w:t>
      </w:r>
      <w:r w:rsidRPr="00221288" w:rsidR="000C1D41">
        <w:rPr>
          <w:rFonts w:ascii="Palatino Linotype" w:hAnsi="Palatino Linotype"/>
        </w:rPr>
        <w:t xml:space="preserve">ustomers to request to change their annual true-up date </w:t>
      </w:r>
      <w:r w:rsidRPr="00221288" w:rsidR="00D02DD1">
        <w:rPr>
          <w:rFonts w:ascii="Palatino Linotype" w:hAnsi="Palatino Linotype"/>
        </w:rPr>
        <w:t>and states that it will</w:t>
      </w:r>
      <w:r w:rsidRPr="00221288" w:rsidR="00FA7C3A">
        <w:rPr>
          <w:rFonts w:ascii="Palatino Linotype" w:hAnsi="Palatino Linotype"/>
        </w:rPr>
        <w:t xml:space="preserve"> describe the</w:t>
      </w:r>
      <w:r w:rsidRPr="00221288" w:rsidR="000C1D41">
        <w:rPr>
          <w:rFonts w:ascii="Palatino Linotype" w:hAnsi="Palatino Linotype"/>
        </w:rPr>
        <w:t xml:space="preserve"> process in a supplemental </w:t>
      </w:r>
      <w:r w:rsidRPr="00221288" w:rsidR="00FA7C3A">
        <w:rPr>
          <w:rFonts w:ascii="Palatino Linotype" w:hAnsi="Palatino Linotype"/>
        </w:rPr>
        <w:t xml:space="preserve">AL </w:t>
      </w:r>
      <w:r w:rsidRPr="00221288" w:rsidR="000C1D41">
        <w:rPr>
          <w:rFonts w:ascii="Palatino Linotype" w:hAnsi="Palatino Linotype"/>
        </w:rPr>
        <w:t>filing.</w:t>
      </w:r>
    </w:p>
    <w:p w:rsidRPr="00221288" w:rsidR="00524DA6" w:rsidP="000C1D41" w:rsidRDefault="00524DA6" w14:paraId="5D7D9A8C" w14:textId="77777777">
      <w:pPr>
        <w:rPr>
          <w:rFonts w:ascii="Palatino Linotype" w:hAnsi="Palatino Linotype"/>
        </w:rPr>
      </w:pPr>
    </w:p>
    <w:p w:rsidRPr="00221288" w:rsidR="00524DA6" w:rsidP="000C1D41" w:rsidRDefault="00524DA6" w14:paraId="6C24F37F" w14:textId="60C0017C">
      <w:pPr>
        <w:rPr>
          <w:rFonts w:ascii="Palatino Linotype" w:hAnsi="Palatino Linotype"/>
        </w:rPr>
      </w:pPr>
      <w:r w:rsidRPr="00221288">
        <w:rPr>
          <w:rFonts w:ascii="Palatino Linotype" w:hAnsi="Palatino Linotype"/>
        </w:rPr>
        <w:t>In its response to PG&amp;E’s</w:t>
      </w:r>
      <w:r w:rsidRPr="00221288" w:rsidR="00D358E1">
        <w:rPr>
          <w:rFonts w:ascii="Palatino Linotype" w:hAnsi="Palatino Linotype"/>
        </w:rPr>
        <w:t>, and protests to</w:t>
      </w:r>
      <w:r w:rsidRPr="00221288" w:rsidR="00261ED0">
        <w:rPr>
          <w:rFonts w:ascii="Palatino Linotype" w:hAnsi="Palatino Linotype"/>
        </w:rPr>
        <w:t xml:space="preserve"> SCE’s</w:t>
      </w:r>
      <w:r w:rsidRPr="00221288">
        <w:rPr>
          <w:rFonts w:ascii="Palatino Linotype" w:hAnsi="Palatino Linotype"/>
        </w:rPr>
        <w:t xml:space="preserve"> </w:t>
      </w:r>
      <w:r w:rsidRPr="00221288" w:rsidR="00D358E1">
        <w:rPr>
          <w:rFonts w:ascii="Palatino Linotype" w:hAnsi="Palatino Linotype"/>
        </w:rPr>
        <w:t xml:space="preserve">and SDG&amp;E’s </w:t>
      </w:r>
      <w:r w:rsidRPr="00221288">
        <w:rPr>
          <w:rFonts w:ascii="Palatino Linotype" w:hAnsi="Palatino Linotype"/>
        </w:rPr>
        <w:t>supplemental AL</w:t>
      </w:r>
      <w:r w:rsidRPr="00221288" w:rsidR="00261ED0">
        <w:rPr>
          <w:rFonts w:ascii="Palatino Linotype" w:hAnsi="Palatino Linotype"/>
        </w:rPr>
        <w:t>s</w:t>
      </w:r>
      <w:r w:rsidRPr="00221288">
        <w:rPr>
          <w:rFonts w:ascii="Palatino Linotype" w:hAnsi="Palatino Linotype"/>
        </w:rPr>
        <w:t xml:space="preserve">, </w:t>
      </w:r>
      <w:r w:rsidRPr="00221288" w:rsidR="00FA6455">
        <w:rPr>
          <w:rFonts w:ascii="Palatino Linotype" w:hAnsi="Palatino Linotype"/>
        </w:rPr>
        <w:t>SEIA state</w:t>
      </w:r>
      <w:r w:rsidRPr="00221288" w:rsidR="00F37ABA">
        <w:rPr>
          <w:rFonts w:ascii="Palatino Linotype" w:hAnsi="Palatino Linotype"/>
        </w:rPr>
        <w:t>s</w:t>
      </w:r>
      <w:r w:rsidRPr="00221288" w:rsidR="00FA6455">
        <w:rPr>
          <w:rFonts w:ascii="Palatino Linotype" w:hAnsi="Palatino Linotype"/>
        </w:rPr>
        <w:t xml:space="preserve"> </w:t>
      </w:r>
      <w:r w:rsidRPr="00221288" w:rsidR="005604FA">
        <w:rPr>
          <w:rFonts w:ascii="Palatino Linotype" w:hAnsi="Palatino Linotype"/>
        </w:rPr>
        <w:t xml:space="preserve">that </w:t>
      </w:r>
      <w:r w:rsidRPr="00221288" w:rsidR="005D5BC7">
        <w:rPr>
          <w:rFonts w:ascii="Palatino Linotype" w:hAnsi="Palatino Linotype"/>
        </w:rPr>
        <w:t>the utilities</w:t>
      </w:r>
      <w:r w:rsidRPr="00221288" w:rsidR="005604FA">
        <w:rPr>
          <w:rFonts w:ascii="Palatino Linotype" w:hAnsi="Palatino Linotype"/>
        </w:rPr>
        <w:t xml:space="preserve"> failed to provide </w:t>
      </w:r>
      <w:r w:rsidRPr="00221288" w:rsidR="00BF6864">
        <w:rPr>
          <w:rFonts w:ascii="Palatino Linotype" w:hAnsi="Palatino Linotype"/>
        </w:rPr>
        <w:t>the promised</w:t>
      </w:r>
      <w:r w:rsidRPr="00221288" w:rsidR="005604FA">
        <w:rPr>
          <w:rFonts w:ascii="Palatino Linotype" w:hAnsi="Palatino Linotype"/>
        </w:rPr>
        <w:t xml:space="preserve"> clarity </w:t>
      </w:r>
      <w:r w:rsidRPr="00221288" w:rsidR="00BF6864">
        <w:rPr>
          <w:rFonts w:ascii="Palatino Linotype" w:hAnsi="Palatino Linotype"/>
        </w:rPr>
        <w:t>and advocate</w:t>
      </w:r>
      <w:r w:rsidRPr="00221288" w:rsidR="00F37ABA">
        <w:rPr>
          <w:rFonts w:ascii="Palatino Linotype" w:hAnsi="Palatino Linotype"/>
        </w:rPr>
        <w:t>s</w:t>
      </w:r>
      <w:r w:rsidRPr="00221288" w:rsidR="00BF6864">
        <w:rPr>
          <w:rFonts w:ascii="Palatino Linotype" w:hAnsi="Palatino Linotype"/>
        </w:rPr>
        <w:t xml:space="preserve"> that the </w:t>
      </w:r>
      <w:r w:rsidRPr="00221288" w:rsidR="00BF6864">
        <w:rPr>
          <w:rFonts w:ascii="Palatino Linotype" w:hAnsi="Palatino Linotype"/>
        </w:rPr>
        <w:lastRenderedPageBreak/>
        <w:t xml:space="preserve">Commission direct </w:t>
      </w:r>
      <w:r w:rsidRPr="00221288" w:rsidR="005D5BC7">
        <w:rPr>
          <w:rFonts w:ascii="Palatino Linotype" w:hAnsi="Palatino Linotype"/>
        </w:rPr>
        <w:t>them</w:t>
      </w:r>
      <w:r w:rsidRPr="00221288" w:rsidR="005604FA">
        <w:rPr>
          <w:rFonts w:ascii="Palatino Linotype" w:hAnsi="Palatino Linotype"/>
        </w:rPr>
        <w:t xml:space="preserve"> to do so.</w:t>
      </w:r>
      <w:r w:rsidRPr="00221288" w:rsidR="005D5BC7">
        <w:rPr>
          <w:rFonts w:ascii="Palatino Linotype" w:hAnsi="Palatino Linotype"/>
        </w:rPr>
        <w:t xml:space="preserve"> In its protest to SDG&amp;E’s supplemental AL, SEIA </w:t>
      </w:r>
      <w:r w:rsidRPr="00221288" w:rsidR="005B14ED">
        <w:rPr>
          <w:rFonts w:ascii="Palatino Linotype" w:hAnsi="Palatino Linotype"/>
        </w:rPr>
        <w:t>also asserts that a</w:t>
      </w:r>
      <w:r w:rsidRPr="00221288" w:rsidR="00B36DC7">
        <w:rPr>
          <w:rFonts w:ascii="Palatino Linotype" w:hAnsi="Palatino Linotype"/>
        </w:rPr>
        <w:t xml:space="preserve"> requirement </w:t>
      </w:r>
      <w:r w:rsidRPr="00221288" w:rsidR="006E3CA6">
        <w:rPr>
          <w:rFonts w:ascii="Palatino Linotype" w:hAnsi="Palatino Linotype"/>
        </w:rPr>
        <w:t xml:space="preserve">in </w:t>
      </w:r>
      <w:r w:rsidRPr="00221288" w:rsidR="005B14ED">
        <w:rPr>
          <w:rFonts w:ascii="Palatino Linotype" w:hAnsi="Palatino Linotype"/>
        </w:rPr>
        <w:t>SDG&amp;E</w:t>
      </w:r>
      <w:r w:rsidRPr="00221288" w:rsidR="006E3CA6">
        <w:rPr>
          <w:rFonts w:ascii="Palatino Linotype" w:hAnsi="Palatino Linotype"/>
        </w:rPr>
        <w:t xml:space="preserve">’s supplemental AL for customers </w:t>
      </w:r>
      <w:r w:rsidRPr="00221288" w:rsidR="00B36DC7">
        <w:rPr>
          <w:rFonts w:ascii="Palatino Linotype" w:hAnsi="Palatino Linotype"/>
        </w:rPr>
        <w:t xml:space="preserve">to request the change at least 60 days prior to the start date of the new </w:t>
      </w:r>
      <w:r w:rsidRPr="00221288" w:rsidR="006E3CA6">
        <w:rPr>
          <w:rFonts w:ascii="Palatino Linotype" w:hAnsi="Palatino Linotype"/>
        </w:rPr>
        <w:t>r</w:t>
      </w:r>
      <w:r w:rsidRPr="00221288" w:rsidR="00B36DC7">
        <w:rPr>
          <w:rFonts w:ascii="Palatino Linotype" w:hAnsi="Palatino Linotype"/>
        </w:rPr>
        <w:t xml:space="preserve">elevant </w:t>
      </w:r>
      <w:r w:rsidRPr="00221288" w:rsidR="006E3CA6">
        <w:rPr>
          <w:rFonts w:ascii="Palatino Linotype" w:hAnsi="Palatino Linotype"/>
        </w:rPr>
        <w:t>p</w:t>
      </w:r>
      <w:r w:rsidRPr="00221288" w:rsidR="00B36DC7">
        <w:rPr>
          <w:rFonts w:ascii="Palatino Linotype" w:hAnsi="Palatino Linotype"/>
        </w:rPr>
        <w:t>eriod has not been justified and is excessive.</w:t>
      </w:r>
    </w:p>
    <w:p w:rsidRPr="00221288" w:rsidR="00D963CF" w:rsidP="000C1D41" w:rsidRDefault="00D963CF" w14:paraId="3A1857BC" w14:textId="77777777">
      <w:pPr>
        <w:rPr>
          <w:rFonts w:ascii="Palatino Linotype" w:hAnsi="Palatino Linotype"/>
        </w:rPr>
      </w:pPr>
    </w:p>
    <w:p w:rsidRPr="00221288" w:rsidR="00D963CF" w:rsidP="00650836" w:rsidRDefault="00E71F1C" w14:paraId="6398AB5E" w14:textId="1E5D7A9F">
      <w:pPr>
        <w:rPr>
          <w:rFonts w:ascii="Palatino Linotype" w:hAnsi="Palatino Linotype"/>
        </w:rPr>
      </w:pPr>
      <w:r w:rsidRPr="00221288">
        <w:rPr>
          <w:rFonts w:ascii="Palatino Linotype" w:hAnsi="Palatino Linotype"/>
        </w:rPr>
        <w:t xml:space="preserve">In its reply to SEIA’s supplemental protest, PG&amp;E disagrees that further clarification </w:t>
      </w:r>
      <w:r w:rsidRPr="00221288" w:rsidR="00F537D4">
        <w:rPr>
          <w:rFonts w:ascii="Palatino Linotype" w:hAnsi="Palatino Linotype"/>
        </w:rPr>
        <w:t xml:space="preserve">is needed, </w:t>
      </w:r>
      <w:r w:rsidRPr="00221288" w:rsidR="002A63E6">
        <w:rPr>
          <w:rFonts w:ascii="Palatino Linotype" w:hAnsi="Palatino Linotype"/>
        </w:rPr>
        <w:t>arguing</w:t>
      </w:r>
      <w:r w:rsidRPr="00221288" w:rsidR="00F537D4">
        <w:rPr>
          <w:rFonts w:ascii="Palatino Linotype" w:hAnsi="Palatino Linotype"/>
        </w:rPr>
        <w:t xml:space="preserve"> that the tariff specifies the rules for service under the NBT</w:t>
      </w:r>
      <w:r w:rsidRPr="00221288" w:rsidR="002A63E6">
        <w:rPr>
          <w:rFonts w:ascii="Palatino Linotype" w:hAnsi="Palatino Linotype"/>
        </w:rPr>
        <w:t>, while</w:t>
      </w:r>
      <w:r w:rsidRPr="00221288" w:rsidR="00F537D4">
        <w:rPr>
          <w:rFonts w:ascii="Palatino Linotype" w:hAnsi="Palatino Linotype"/>
        </w:rPr>
        <w:t xml:space="preserve"> ancillary processes</w:t>
      </w:r>
      <w:r w:rsidRPr="00221288" w:rsidR="002A63E6">
        <w:rPr>
          <w:rFonts w:ascii="Palatino Linotype" w:hAnsi="Palatino Linotype"/>
        </w:rPr>
        <w:t xml:space="preserve"> </w:t>
      </w:r>
      <w:r w:rsidRPr="00221288" w:rsidR="00F537D4">
        <w:rPr>
          <w:rFonts w:ascii="Palatino Linotype" w:hAnsi="Palatino Linotype"/>
        </w:rPr>
        <w:t xml:space="preserve">are detailed elsewhere. </w:t>
      </w:r>
      <w:r w:rsidRPr="00221288" w:rsidR="002A63E6">
        <w:rPr>
          <w:rFonts w:ascii="Palatino Linotype" w:hAnsi="Palatino Linotype"/>
        </w:rPr>
        <w:t xml:space="preserve">PG&amp;E </w:t>
      </w:r>
      <w:r w:rsidRPr="00221288" w:rsidR="00C675FD">
        <w:rPr>
          <w:rFonts w:ascii="Palatino Linotype" w:hAnsi="Palatino Linotype"/>
        </w:rPr>
        <w:t>asserts that the process to change one’s</w:t>
      </w:r>
      <w:r w:rsidRPr="00221288" w:rsidR="00F537D4">
        <w:rPr>
          <w:rFonts w:ascii="Palatino Linotype" w:hAnsi="Palatino Linotype"/>
        </w:rPr>
        <w:t xml:space="preserve"> true-up date</w:t>
      </w:r>
      <w:r w:rsidRPr="00221288" w:rsidR="00C675FD">
        <w:rPr>
          <w:rFonts w:ascii="Palatino Linotype" w:hAnsi="Palatino Linotype"/>
        </w:rPr>
        <w:t xml:space="preserve"> </w:t>
      </w:r>
      <w:r w:rsidRPr="00221288" w:rsidR="00F537D4">
        <w:rPr>
          <w:rFonts w:ascii="Palatino Linotype" w:hAnsi="Palatino Linotype"/>
        </w:rPr>
        <w:t xml:space="preserve">will be made clear through </w:t>
      </w:r>
      <w:r w:rsidRPr="00221288" w:rsidR="00BF21EC">
        <w:rPr>
          <w:rFonts w:ascii="Palatino Linotype" w:hAnsi="Palatino Linotype"/>
        </w:rPr>
        <w:t>NBT</w:t>
      </w:r>
      <w:r w:rsidRPr="00221288" w:rsidR="00F537D4">
        <w:rPr>
          <w:rFonts w:ascii="Palatino Linotype" w:hAnsi="Palatino Linotype"/>
        </w:rPr>
        <w:t xml:space="preserve"> marketing materials</w:t>
      </w:r>
      <w:r w:rsidRPr="00221288" w:rsidR="00C675FD">
        <w:rPr>
          <w:rFonts w:ascii="Palatino Linotype" w:hAnsi="Palatino Linotype"/>
        </w:rPr>
        <w:t xml:space="preserve">. </w:t>
      </w:r>
      <w:r w:rsidRPr="00221288" w:rsidR="005B5528">
        <w:rPr>
          <w:rFonts w:ascii="Palatino Linotype" w:hAnsi="Palatino Linotype"/>
        </w:rPr>
        <w:t xml:space="preserve">PG&amp;E also argues </w:t>
      </w:r>
      <w:r w:rsidRPr="00221288" w:rsidR="00E55E0E">
        <w:rPr>
          <w:rFonts w:ascii="Palatino Linotype" w:hAnsi="Palatino Linotype"/>
        </w:rPr>
        <w:t xml:space="preserve">that the </w:t>
      </w:r>
      <w:r w:rsidRPr="00221288" w:rsidR="00F537D4">
        <w:rPr>
          <w:rFonts w:ascii="Palatino Linotype" w:hAnsi="Palatino Linotype"/>
        </w:rPr>
        <w:t xml:space="preserve">inclusion </w:t>
      </w:r>
      <w:r w:rsidRPr="00221288" w:rsidR="00E55E0E">
        <w:rPr>
          <w:rFonts w:ascii="Palatino Linotype" w:hAnsi="Palatino Linotype"/>
        </w:rPr>
        <w:t xml:space="preserve">of such </w:t>
      </w:r>
      <w:r w:rsidRPr="00221288" w:rsidR="00760609">
        <w:rPr>
          <w:rFonts w:ascii="Palatino Linotype" w:hAnsi="Palatino Linotype"/>
        </w:rPr>
        <w:t xml:space="preserve">a </w:t>
      </w:r>
      <w:r w:rsidRPr="00221288" w:rsidR="00E55E0E">
        <w:rPr>
          <w:rFonts w:ascii="Palatino Linotype" w:hAnsi="Palatino Linotype"/>
        </w:rPr>
        <w:t xml:space="preserve">process </w:t>
      </w:r>
      <w:r w:rsidRPr="00221288" w:rsidR="00F537D4">
        <w:rPr>
          <w:rFonts w:ascii="Palatino Linotype" w:hAnsi="Palatino Linotype"/>
        </w:rPr>
        <w:t xml:space="preserve">in the tariff </w:t>
      </w:r>
      <w:r w:rsidRPr="00221288" w:rsidR="008C4BC7">
        <w:rPr>
          <w:rFonts w:ascii="Palatino Linotype" w:hAnsi="Palatino Linotype"/>
        </w:rPr>
        <w:t>would</w:t>
      </w:r>
      <w:r w:rsidRPr="00221288" w:rsidR="00F537D4">
        <w:rPr>
          <w:rFonts w:ascii="Palatino Linotype" w:hAnsi="Palatino Linotype"/>
        </w:rPr>
        <w:t xml:space="preserve"> increase administrative burden and expense for the utilities and Energy Division as it </w:t>
      </w:r>
      <w:r w:rsidRPr="00221288" w:rsidR="00E55E0E">
        <w:rPr>
          <w:rFonts w:ascii="Palatino Linotype" w:hAnsi="Palatino Linotype"/>
        </w:rPr>
        <w:t>would</w:t>
      </w:r>
      <w:r w:rsidRPr="00221288" w:rsidR="00F537D4">
        <w:rPr>
          <w:rFonts w:ascii="Palatino Linotype" w:hAnsi="Palatino Linotype"/>
        </w:rPr>
        <w:t xml:space="preserve"> require an </w:t>
      </w:r>
      <w:r w:rsidRPr="00221288" w:rsidR="00E55E0E">
        <w:rPr>
          <w:rFonts w:ascii="Palatino Linotype" w:hAnsi="Palatino Linotype"/>
        </w:rPr>
        <w:t>AL</w:t>
      </w:r>
      <w:r w:rsidRPr="00221288" w:rsidR="00F537D4">
        <w:rPr>
          <w:rFonts w:ascii="Palatino Linotype" w:hAnsi="Palatino Linotype"/>
        </w:rPr>
        <w:t xml:space="preserve"> to update the tariff any time the process change</w:t>
      </w:r>
      <w:r w:rsidRPr="00221288" w:rsidR="002F2A26">
        <w:rPr>
          <w:rFonts w:ascii="Palatino Linotype" w:hAnsi="Palatino Linotype"/>
        </w:rPr>
        <w:t>s</w:t>
      </w:r>
      <w:r w:rsidRPr="00221288" w:rsidR="00F537D4">
        <w:rPr>
          <w:rFonts w:ascii="Palatino Linotype" w:hAnsi="Palatino Linotype"/>
        </w:rPr>
        <w:t>.</w:t>
      </w:r>
      <w:r w:rsidRPr="00221288" w:rsidR="00DF6C80">
        <w:rPr>
          <w:rFonts w:ascii="Palatino Linotype" w:hAnsi="Palatino Linotype"/>
        </w:rPr>
        <w:t xml:space="preserve"> In its reply, SCE </w:t>
      </w:r>
      <w:r w:rsidRPr="00221288" w:rsidR="00D26B1B">
        <w:rPr>
          <w:rFonts w:ascii="Palatino Linotype" w:hAnsi="Palatino Linotype"/>
        </w:rPr>
        <w:t xml:space="preserve">agrees to </w:t>
      </w:r>
      <w:r w:rsidRPr="00221288" w:rsidR="00650836">
        <w:rPr>
          <w:rFonts w:ascii="Palatino Linotype" w:hAnsi="Palatino Linotype"/>
        </w:rPr>
        <w:t xml:space="preserve">make the requested clarification in a “clean-up” AL. </w:t>
      </w:r>
      <w:r w:rsidRPr="00221288" w:rsidR="005F59BF">
        <w:rPr>
          <w:rFonts w:ascii="Palatino Linotype" w:hAnsi="Palatino Linotype"/>
        </w:rPr>
        <w:t>Like PG&amp;E,</w:t>
      </w:r>
      <w:r w:rsidRPr="00221288" w:rsidR="00650836">
        <w:rPr>
          <w:rFonts w:ascii="Palatino Linotype" w:hAnsi="Palatino Linotype"/>
        </w:rPr>
        <w:t xml:space="preserve"> SDG&amp;E disagrees </w:t>
      </w:r>
      <w:r w:rsidRPr="00221288" w:rsidR="00581AF0">
        <w:rPr>
          <w:rFonts w:ascii="Palatino Linotype" w:hAnsi="Palatino Linotype"/>
        </w:rPr>
        <w:t>in its reply that there is a</w:t>
      </w:r>
      <w:r w:rsidRPr="00221288" w:rsidR="00650836">
        <w:rPr>
          <w:rFonts w:ascii="Palatino Linotype" w:hAnsi="Palatino Linotype"/>
        </w:rPr>
        <w:t xml:space="preserve"> need to state that </w:t>
      </w:r>
      <w:r w:rsidRPr="00221288" w:rsidR="00581AF0">
        <w:rPr>
          <w:rFonts w:ascii="Palatino Linotype" w:hAnsi="Palatino Linotype"/>
        </w:rPr>
        <w:t>a</w:t>
      </w:r>
      <w:r w:rsidRPr="00221288" w:rsidR="00650836">
        <w:rPr>
          <w:rFonts w:ascii="Palatino Linotype" w:hAnsi="Palatino Linotype"/>
        </w:rPr>
        <w:t xml:space="preserve"> change </w:t>
      </w:r>
      <w:r w:rsidRPr="00221288" w:rsidR="00581AF0">
        <w:rPr>
          <w:rFonts w:ascii="Palatino Linotype" w:hAnsi="Palatino Linotype"/>
        </w:rPr>
        <w:t>in true-up</w:t>
      </w:r>
      <w:r w:rsidRPr="00221288" w:rsidR="00650836">
        <w:rPr>
          <w:rFonts w:ascii="Palatino Linotype" w:hAnsi="Palatino Linotype"/>
        </w:rPr>
        <w:t xml:space="preserve"> date may occur </w:t>
      </w:r>
      <w:r w:rsidRPr="00221288" w:rsidR="00581AF0">
        <w:rPr>
          <w:rFonts w:ascii="Palatino Linotype" w:hAnsi="Palatino Linotype"/>
        </w:rPr>
        <w:t>any</w:t>
      </w:r>
      <w:r w:rsidRPr="00221288" w:rsidR="0038700F">
        <w:rPr>
          <w:rFonts w:ascii="Palatino Linotype" w:hAnsi="Palatino Linotype"/>
        </w:rPr>
        <w:t xml:space="preserve"> </w:t>
      </w:r>
      <w:r w:rsidRPr="00221288" w:rsidR="00581AF0">
        <w:rPr>
          <w:rFonts w:ascii="Palatino Linotype" w:hAnsi="Palatino Linotype"/>
        </w:rPr>
        <w:t>time</w:t>
      </w:r>
      <w:r w:rsidRPr="00221288" w:rsidR="00650836">
        <w:rPr>
          <w:rFonts w:ascii="Palatino Linotype" w:hAnsi="Palatino Linotype"/>
        </w:rPr>
        <w:t xml:space="preserve"> after PTO.</w:t>
      </w:r>
      <w:r w:rsidRPr="00221288" w:rsidR="00581AF0">
        <w:rPr>
          <w:rFonts w:ascii="Palatino Linotype" w:hAnsi="Palatino Linotype"/>
        </w:rPr>
        <w:t xml:space="preserve"> SDG&amp;E argues that </w:t>
      </w:r>
      <w:r w:rsidRPr="00221288" w:rsidR="008139DF">
        <w:rPr>
          <w:rFonts w:ascii="Palatino Linotype" w:hAnsi="Palatino Linotype"/>
        </w:rPr>
        <w:t>as</w:t>
      </w:r>
      <w:r w:rsidRPr="00221288" w:rsidR="00581AF0">
        <w:rPr>
          <w:rFonts w:ascii="Palatino Linotype" w:hAnsi="Palatino Linotype"/>
        </w:rPr>
        <w:t xml:space="preserve"> </w:t>
      </w:r>
      <w:r w:rsidRPr="00221288" w:rsidR="0064420F">
        <w:rPr>
          <w:rFonts w:ascii="Palatino Linotype" w:hAnsi="Palatino Linotype"/>
        </w:rPr>
        <w:t>this</w:t>
      </w:r>
      <w:r w:rsidRPr="00221288" w:rsidR="00650836">
        <w:rPr>
          <w:rFonts w:ascii="Palatino Linotype" w:hAnsi="Palatino Linotype"/>
        </w:rPr>
        <w:t xml:space="preserve"> is intuitive </w:t>
      </w:r>
      <w:r w:rsidRPr="00221288" w:rsidR="0064420F">
        <w:rPr>
          <w:rFonts w:ascii="Palatino Linotype" w:hAnsi="Palatino Linotype"/>
        </w:rPr>
        <w:t xml:space="preserve">and therefore </w:t>
      </w:r>
      <w:r w:rsidRPr="00221288" w:rsidR="005A0B96">
        <w:rPr>
          <w:rFonts w:ascii="Palatino Linotype" w:hAnsi="Palatino Linotype"/>
        </w:rPr>
        <w:t>such</w:t>
      </w:r>
      <w:r w:rsidRPr="00221288" w:rsidR="0064420F">
        <w:rPr>
          <w:rFonts w:ascii="Palatino Linotype" w:hAnsi="Palatino Linotype"/>
        </w:rPr>
        <w:t xml:space="preserve"> </w:t>
      </w:r>
      <w:r w:rsidRPr="00221288" w:rsidR="005A0B96">
        <w:rPr>
          <w:rFonts w:ascii="Palatino Linotype" w:hAnsi="Palatino Linotype"/>
        </w:rPr>
        <w:t>a</w:t>
      </w:r>
      <w:r w:rsidRPr="00221288" w:rsidR="0064420F">
        <w:rPr>
          <w:rFonts w:ascii="Palatino Linotype" w:hAnsi="Palatino Linotype"/>
        </w:rPr>
        <w:t xml:space="preserve"> statement would be </w:t>
      </w:r>
      <w:r w:rsidRPr="00221288" w:rsidR="00650836">
        <w:rPr>
          <w:rFonts w:ascii="Palatino Linotype" w:hAnsi="Palatino Linotype"/>
        </w:rPr>
        <w:t xml:space="preserve">superfluous. SDG&amp;E agrees </w:t>
      </w:r>
      <w:r w:rsidRPr="00221288" w:rsidR="0064420F">
        <w:rPr>
          <w:rFonts w:ascii="Palatino Linotype" w:hAnsi="Palatino Linotype"/>
        </w:rPr>
        <w:t>to</w:t>
      </w:r>
      <w:r w:rsidRPr="00221288" w:rsidR="00650836">
        <w:rPr>
          <w:rFonts w:ascii="Palatino Linotype" w:hAnsi="Palatino Linotype"/>
        </w:rPr>
        <w:t xml:space="preserve"> remov</w:t>
      </w:r>
      <w:r w:rsidRPr="00221288" w:rsidR="0064420F">
        <w:rPr>
          <w:rFonts w:ascii="Palatino Linotype" w:hAnsi="Palatino Linotype"/>
        </w:rPr>
        <w:t>e</w:t>
      </w:r>
      <w:r w:rsidRPr="00221288" w:rsidR="00650836">
        <w:rPr>
          <w:rFonts w:ascii="Palatino Linotype" w:hAnsi="Palatino Linotype"/>
        </w:rPr>
        <w:t xml:space="preserve"> the</w:t>
      </w:r>
      <w:r w:rsidRPr="00221288" w:rsidR="0064420F">
        <w:rPr>
          <w:rFonts w:ascii="Palatino Linotype" w:hAnsi="Palatino Linotype"/>
        </w:rPr>
        <w:t xml:space="preserve"> </w:t>
      </w:r>
      <w:r w:rsidRPr="00221288" w:rsidR="00650836">
        <w:rPr>
          <w:rFonts w:ascii="Palatino Linotype" w:hAnsi="Palatino Linotype"/>
        </w:rPr>
        <w:t xml:space="preserve">requirement to request the change at least </w:t>
      </w:r>
      <w:r w:rsidR="00824FD3">
        <w:rPr>
          <w:rFonts w:ascii="Palatino Linotype" w:hAnsi="Palatino Linotype"/>
        </w:rPr>
        <w:br/>
      </w:r>
      <w:r w:rsidRPr="00221288" w:rsidR="00650836">
        <w:rPr>
          <w:rFonts w:ascii="Palatino Linotype" w:hAnsi="Palatino Linotype"/>
        </w:rPr>
        <w:t xml:space="preserve">60 days prior to the start date of the new </w:t>
      </w:r>
      <w:r w:rsidRPr="00221288" w:rsidR="0064420F">
        <w:rPr>
          <w:rFonts w:ascii="Palatino Linotype" w:hAnsi="Palatino Linotype"/>
        </w:rPr>
        <w:t>r</w:t>
      </w:r>
      <w:r w:rsidRPr="00221288" w:rsidR="00650836">
        <w:rPr>
          <w:rFonts w:ascii="Palatino Linotype" w:hAnsi="Palatino Linotype"/>
        </w:rPr>
        <w:t>elevant</w:t>
      </w:r>
      <w:r w:rsidRPr="00221288" w:rsidR="0064420F">
        <w:rPr>
          <w:rFonts w:ascii="Palatino Linotype" w:hAnsi="Palatino Linotype"/>
        </w:rPr>
        <w:t xml:space="preserve"> p</w:t>
      </w:r>
      <w:r w:rsidRPr="00221288" w:rsidR="00650836">
        <w:rPr>
          <w:rFonts w:ascii="Palatino Linotype" w:hAnsi="Palatino Linotype"/>
        </w:rPr>
        <w:t>eriod.</w:t>
      </w:r>
    </w:p>
    <w:p w:rsidRPr="00221288" w:rsidR="002D0D23" w:rsidP="002D0D23" w:rsidRDefault="002D0D23" w14:paraId="484F1F5B" w14:textId="77777777">
      <w:pPr>
        <w:rPr>
          <w:rFonts w:ascii="Palatino Linotype" w:hAnsi="Palatino Linotype"/>
        </w:rPr>
      </w:pPr>
    </w:p>
    <w:p w:rsidRPr="00221288" w:rsidR="00F4313A" w:rsidP="00F4313A" w:rsidRDefault="00F4313A" w14:paraId="1A061E07" w14:textId="1F466713">
      <w:pPr>
        <w:pStyle w:val="Heading3"/>
        <w:rPr>
          <w:rFonts w:ascii="Palatino Linotype" w:hAnsi="Palatino Linotype"/>
        </w:rPr>
      </w:pPr>
      <w:r w:rsidRPr="00221288">
        <w:rPr>
          <w:rFonts w:ascii="Palatino Linotype" w:hAnsi="Palatino Linotype"/>
        </w:rPr>
        <w:t>A</w:t>
      </w:r>
      <w:r w:rsidRPr="00221288" w:rsidR="00003779">
        <w:rPr>
          <w:rFonts w:ascii="Palatino Linotype" w:hAnsi="Palatino Linotype"/>
        </w:rPr>
        <w:t>d</w:t>
      </w:r>
      <w:r w:rsidRPr="00221288">
        <w:rPr>
          <w:rFonts w:ascii="Palatino Linotype" w:hAnsi="Palatino Linotype"/>
        </w:rPr>
        <w:t xml:space="preserve">ditional </w:t>
      </w:r>
      <w:r w:rsidRPr="00221288" w:rsidR="00BE57F7">
        <w:rPr>
          <w:rFonts w:ascii="Palatino Linotype" w:hAnsi="Palatino Linotype"/>
        </w:rPr>
        <w:t>Protest Topics</w:t>
      </w:r>
    </w:p>
    <w:p w:rsidRPr="00221288" w:rsidR="00175ABD" w:rsidP="00175ABD" w:rsidRDefault="00175ABD" w14:paraId="14913341" w14:textId="77777777">
      <w:pPr>
        <w:rPr>
          <w:rFonts w:ascii="Palatino Linotype" w:hAnsi="Palatino Linotype"/>
        </w:rPr>
      </w:pPr>
    </w:p>
    <w:p w:rsidRPr="00221288" w:rsidR="00FA7515" w:rsidP="3B56DFDF" w:rsidRDefault="005779FE" w14:paraId="6EAD4040" w14:textId="65262C9E">
      <w:pPr>
        <w:rPr>
          <w:rFonts w:ascii="Palatino Linotype" w:hAnsi="Palatino Linotype"/>
        </w:rPr>
      </w:pPr>
      <w:r w:rsidRPr="00221288">
        <w:rPr>
          <w:rFonts w:ascii="Palatino Linotype" w:hAnsi="Palatino Linotype"/>
        </w:rPr>
        <w:t xml:space="preserve">In their protests, CALSSA and SEIA raise the topics of </w:t>
      </w:r>
      <w:r w:rsidRPr="00221288" w:rsidR="00173EBF">
        <w:rPr>
          <w:rFonts w:ascii="Palatino Linotype" w:hAnsi="Palatino Linotype"/>
        </w:rPr>
        <w:t xml:space="preserve">errors in the retail export compensation rate calculations due to misapplication of weekend and holiday dates; SCE’s proposal to assign calendar months to billing periods in the calculation of </w:t>
      </w:r>
      <w:r w:rsidRPr="00221288" w:rsidR="00F046F6">
        <w:rPr>
          <w:rFonts w:ascii="Palatino Linotype" w:hAnsi="Palatino Linotype"/>
        </w:rPr>
        <w:t xml:space="preserve">retail export </w:t>
      </w:r>
      <w:r w:rsidRPr="00221288" w:rsidR="00D83717">
        <w:rPr>
          <w:rFonts w:ascii="Palatino Linotype" w:hAnsi="Palatino Linotype"/>
        </w:rPr>
        <w:t>compensation</w:t>
      </w:r>
      <w:r w:rsidRPr="00221288" w:rsidR="00F046F6">
        <w:rPr>
          <w:rFonts w:ascii="Palatino Linotype" w:hAnsi="Palatino Linotype"/>
        </w:rPr>
        <w:t xml:space="preserve"> credits</w:t>
      </w:r>
      <w:r w:rsidRPr="00221288" w:rsidR="00173EBF">
        <w:rPr>
          <w:rFonts w:ascii="Palatino Linotype" w:hAnsi="Palatino Linotype"/>
        </w:rPr>
        <w:t>,</w:t>
      </w:r>
      <w:r w:rsidRPr="00221288" w:rsidR="00362FF4">
        <w:rPr>
          <w:rFonts w:ascii="Palatino Linotype" w:hAnsi="Palatino Linotype"/>
        </w:rPr>
        <w:t xml:space="preserve"> </w:t>
      </w:r>
      <w:r w:rsidRPr="00221288" w:rsidR="0016604F">
        <w:rPr>
          <w:rFonts w:ascii="Palatino Linotype" w:hAnsi="Palatino Linotype"/>
        </w:rPr>
        <w:t xml:space="preserve">SCE’s treatment of customers with oversized systems with regard to eligibility for net surplus compensation, </w:t>
      </w:r>
      <w:r w:rsidRPr="00221288" w:rsidR="00671877">
        <w:rPr>
          <w:rFonts w:ascii="Palatino Linotype" w:hAnsi="Palatino Linotype"/>
        </w:rPr>
        <w:t>SCE’s disallowance of system sizing based on recent increases in usage,</w:t>
      </w:r>
      <w:r w:rsidRPr="00221288" w:rsidR="00D35DBF">
        <w:rPr>
          <w:rFonts w:ascii="Palatino Linotype" w:hAnsi="Palatino Linotype"/>
        </w:rPr>
        <w:t xml:space="preserve"> the process for customers to change rates</w:t>
      </w:r>
      <w:r w:rsidRPr="00221288" w:rsidR="00B82F1F">
        <w:rPr>
          <w:rFonts w:ascii="Palatino Linotype" w:hAnsi="Palatino Linotype"/>
        </w:rPr>
        <w:t>,</w:t>
      </w:r>
      <w:r w:rsidRPr="00221288" w:rsidR="00ED7D19">
        <w:rPr>
          <w:rFonts w:ascii="Palatino Linotype" w:hAnsi="Palatino Linotype"/>
        </w:rPr>
        <w:t xml:space="preserve"> </w:t>
      </w:r>
      <w:r w:rsidRPr="00221288" w:rsidR="00613B7E">
        <w:rPr>
          <w:rFonts w:ascii="Palatino Linotype" w:hAnsi="Palatino Linotype"/>
        </w:rPr>
        <w:t xml:space="preserve">the definition of a complete </w:t>
      </w:r>
      <w:r w:rsidRPr="00221288" w:rsidR="00092EAA">
        <w:rPr>
          <w:rFonts w:ascii="Palatino Linotype" w:hAnsi="Palatino Linotype"/>
        </w:rPr>
        <w:t xml:space="preserve">interconnection </w:t>
      </w:r>
      <w:r w:rsidRPr="00221288" w:rsidR="00613B7E">
        <w:rPr>
          <w:rFonts w:ascii="Palatino Linotype" w:hAnsi="Palatino Linotype"/>
        </w:rPr>
        <w:t>application</w:t>
      </w:r>
      <w:r w:rsidRPr="00221288" w:rsidR="00092EAA">
        <w:rPr>
          <w:rFonts w:ascii="Palatino Linotype" w:hAnsi="Palatino Linotype"/>
        </w:rPr>
        <w:t xml:space="preserve"> for the purpose of distinguishing customers who will be served on the NEM 2.0 tariff on a temporary basis</w:t>
      </w:r>
      <w:r w:rsidRPr="00221288" w:rsidR="00613B7E">
        <w:rPr>
          <w:rFonts w:ascii="Palatino Linotype" w:hAnsi="Palatino Linotype"/>
        </w:rPr>
        <w:t>;</w:t>
      </w:r>
      <w:r w:rsidRPr="00221288" w:rsidR="00ED7D19">
        <w:rPr>
          <w:rFonts w:ascii="Palatino Linotype" w:hAnsi="Palatino Linotype"/>
        </w:rPr>
        <w:t xml:space="preserve"> </w:t>
      </w:r>
      <w:r w:rsidRPr="00221288" w:rsidR="00B82F1F">
        <w:rPr>
          <w:rFonts w:ascii="Palatino Linotype" w:hAnsi="Palatino Linotype"/>
        </w:rPr>
        <w:t xml:space="preserve">and the applicability of retail export </w:t>
      </w:r>
      <w:r w:rsidRPr="00221288" w:rsidR="005A2BB2">
        <w:rPr>
          <w:rFonts w:ascii="Palatino Linotype" w:hAnsi="Palatino Linotype"/>
        </w:rPr>
        <w:t xml:space="preserve">compensation </w:t>
      </w:r>
      <w:r w:rsidRPr="00221288" w:rsidR="00B82F1F">
        <w:rPr>
          <w:rFonts w:ascii="Palatino Linotype" w:hAnsi="Palatino Linotype"/>
        </w:rPr>
        <w:t>credits to demand and other charges</w:t>
      </w:r>
      <w:r w:rsidRPr="00221288" w:rsidR="008B0FC0">
        <w:rPr>
          <w:rFonts w:ascii="Palatino Linotype" w:hAnsi="Palatino Linotype"/>
        </w:rPr>
        <w:t>.</w:t>
      </w:r>
      <w:r w:rsidRPr="00221288" w:rsidR="00B82F1F">
        <w:rPr>
          <w:rFonts w:ascii="Palatino Linotype" w:hAnsi="Palatino Linotype"/>
          <w:vertAlign w:val="superscript"/>
        </w:rPr>
        <w:t xml:space="preserve"> </w:t>
      </w:r>
      <w:r w:rsidRPr="00221288" w:rsidR="002702C2">
        <w:rPr>
          <w:rFonts w:ascii="Palatino Linotype" w:hAnsi="Palatino Linotype"/>
        </w:rPr>
        <w:t xml:space="preserve">In its protest, CALSSA additionally raised </w:t>
      </w:r>
      <w:r w:rsidRPr="00221288" w:rsidR="00910249">
        <w:rPr>
          <w:rFonts w:ascii="Palatino Linotype" w:hAnsi="Palatino Linotype"/>
        </w:rPr>
        <w:t xml:space="preserve">the </w:t>
      </w:r>
      <w:r w:rsidRPr="00221288" w:rsidR="002702C2">
        <w:rPr>
          <w:rFonts w:ascii="Palatino Linotype" w:hAnsi="Palatino Linotype"/>
        </w:rPr>
        <w:t xml:space="preserve">topics </w:t>
      </w:r>
      <w:r w:rsidRPr="00221288" w:rsidR="00910249">
        <w:rPr>
          <w:rFonts w:ascii="Palatino Linotype" w:hAnsi="Palatino Linotype"/>
        </w:rPr>
        <w:t xml:space="preserve">of </w:t>
      </w:r>
      <w:r w:rsidRPr="00221288" w:rsidR="002702C2">
        <w:rPr>
          <w:rFonts w:ascii="Palatino Linotype" w:hAnsi="Palatino Linotype"/>
        </w:rPr>
        <w:t xml:space="preserve">PG&amp;E’s requirements for NEM 2.0 eligibility until April 14, 2023; PG&amp;E’s treatment of customers with storage with regard to eligibility for net surplus compensation, the definition of the two types of NBT paired storage, Special Condition 7 of the PG&amp;E NBT, </w:t>
      </w:r>
      <w:r w:rsidRPr="00221288" w:rsidR="00212708">
        <w:rPr>
          <w:rFonts w:ascii="Palatino Linotype" w:hAnsi="Palatino Linotype"/>
        </w:rPr>
        <w:t xml:space="preserve">and </w:t>
      </w:r>
      <w:r w:rsidRPr="00221288" w:rsidR="002702C2">
        <w:rPr>
          <w:rFonts w:ascii="Palatino Linotype" w:hAnsi="Palatino Linotype"/>
        </w:rPr>
        <w:t>metering verification for NBT Paired Storage</w:t>
      </w:r>
      <w:r w:rsidRPr="00221288" w:rsidR="00212708">
        <w:rPr>
          <w:rFonts w:ascii="Palatino Linotype" w:hAnsi="Palatino Linotype"/>
        </w:rPr>
        <w:t>.</w:t>
      </w:r>
      <w:r w:rsidRPr="00221288" w:rsidR="002702C2">
        <w:rPr>
          <w:rStyle w:val="FootnoteReference"/>
          <w:rFonts w:ascii="Palatino Linotype" w:hAnsi="Palatino Linotype"/>
        </w:rPr>
        <w:t xml:space="preserve"> </w:t>
      </w:r>
      <w:r w:rsidRPr="00221288" w:rsidR="00156564">
        <w:rPr>
          <w:rFonts w:ascii="Palatino Linotype" w:hAnsi="Palatino Linotype"/>
        </w:rPr>
        <w:t>In its protest</w:t>
      </w:r>
      <w:r w:rsidRPr="00221288" w:rsidR="00F16C25">
        <w:rPr>
          <w:rFonts w:ascii="Palatino Linotype" w:hAnsi="Palatino Linotype"/>
        </w:rPr>
        <w:t>s</w:t>
      </w:r>
      <w:r w:rsidRPr="00221288" w:rsidR="00156564">
        <w:rPr>
          <w:rFonts w:ascii="Palatino Linotype" w:hAnsi="Palatino Linotype"/>
        </w:rPr>
        <w:t>, SEIA additionally raised the topic</w:t>
      </w:r>
      <w:r w:rsidRPr="00221288" w:rsidR="00A94E77">
        <w:rPr>
          <w:rFonts w:ascii="Palatino Linotype" w:hAnsi="Palatino Linotype"/>
        </w:rPr>
        <w:t>s</w:t>
      </w:r>
      <w:r w:rsidRPr="00221288" w:rsidR="00156564">
        <w:rPr>
          <w:rFonts w:ascii="Palatino Linotype" w:hAnsi="Palatino Linotype"/>
        </w:rPr>
        <w:t xml:space="preserve"> of the option to opt</w:t>
      </w:r>
      <w:r w:rsidRPr="00221288" w:rsidR="00801DC9">
        <w:rPr>
          <w:rFonts w:ascii="Palatino Linotype" w:hAnsi="Palatino Linotype"/>
        </w:rPr>
        <w:t xml:space="preserve"> o</w:t>
      </w:r>
      <w:r w:rsidRPr="00221288" w:rsidR="00156564">
        <w:rPr>
          <w:rFonts w:ascii="Palatino Linotype" w:hAnsi="Palatino Linotype"/>
        </w:rPr>
        <w:t xml:space="preserve">ut of </w:t>
      </w:r>
      <w:r w:rsidRPr="00221288" w:rsidR="00801DC9">
        <w:rPr>
          <w:rFonts w:ascii="Palatino Linotype" w:hAnsi="Palatino Linotype"/>
        </w:rPr>
        <w:t>the nine-year l</w:t>
      </w:r>
      <w:r w:rsidRPr="00221288" w:rsidR="00156564">
        <w:rPr>
          <w:rFonts w:ascii="Palatino Linotype" w:hAnsi="Palatino Linotype"/>
        </w:rPr>
        <w:t>ock-</w:t>
      </w:r>
      <w:r w:rsidRPr="00221288" w:rsidR="00801DC9">
        <w:rPr>
          <w:rFonts w:ascii="Palatino Linotype" w:hAnsi="Palatino Linotype"/>
        </w:rPr>
        <w:t>i</w:t>
      </w:r>
      <w:r w:rsidRPr="00221288" w:rsidR="00156564">
        <w:rPr>
          <w:rFonts w:ascii="Palatino Linotype" w:hAnsi="Palatino Linotype"/>
        </w:rPr>
        <w:t xml:space="preserve">n </w:t>
      </w:r>
      <w:r w:rsidRPr="00221288" w:rsidR="00801DC9">
        <w:rPr>
          <w:rFonts w:ascii="Palatino Linotype" w:hAnsi="Palatino Linotype"/>
        </w:rPr>
        <w:t>p</w:t>
      </w:r>
      <w:r w:rsidRPr="00221288" w:rsidR="00156564">
        <w:rPr>
          <w:rFonts w:ascii="Palatino Linotype" w:hAnsi="Palatino Linotype"/>
        </w:rPr>
        <w:t>eriod</w:t>
      </w:r>
      <w:r w:rsidRPr="00221288" w:rsidR="00801DC9">
        <w:rPr>
          <w:rFonts w:ascii="Palatino Linotype" w:hAnsi="Palatino Linotype"/>
        </w:rPr>
        <w:t xml:space="preserve"> early</w:t>
      </w:r>
      <w:r w:rsidRPr="00221288" w:rsidR="00A94E77">
        <w:rPr>
          <w:rFonts w:ascii="Palatino Linotype" w:hAnsi="Palatino Linotype"/>
        </w:rPr>
        <w:t xml:space="preserve">, </w:t>
      </w:r>
      <w:r w:rsidRPr="00221288" w:rsidR="00FA7515">
        <w:rPr>
          <w:rFonts w:ascii="Palatino Linotype" w:hAnsi="Palatino Linotype"/>
        </w:rPr>
        <w:t xml:space="preserve">and </w:t>
      </w:r>
      <w:r w:rsidRPr="00221288" w:rsidR="00787A5C">
        <w:rPr>
          <w:rFonts w:ascii="Palatino Linotype" w:hAnsi="Palatino Linotype"/>
        </w:rPr>
        <w:t>maintenance of the legacy period upon</w:t>
      </w:r>
      <w:r w:rsidRPr="00221288" w:rsidR="00B04B9E">
        <w:rPr>
          <w:rFonts w:ascii="Palatino Linotype" w:hAnsi="Palatino Linotype"/>
        </w:rPr>
        <w:t xml:space="preserve"> the addition of storage.</w:t>
      </w:r>
      <w:r w:rsidRPr="00221288" w:rsidR="00CE5C31">
        <w:rPr>
          <w:rFonts w:ascii="Palatino Linotype" w:hAnsi="Palatino Linotype"/>
        </w:rPr>
        <w:t xml:space="preserve"> </w:t>
      </w:r>
    </w:p>
    <w:p w:rsidR="001A4D75" w:rsidP="001A4D75" w:rsidRDefault="001A4D75" w14:paraId="2A9E9C97" w14:textId="77777777">
      <w:pPr>
        <w:rPr>
          <w:rFonts w:ascii="Palatino Linotype" w:hAnsi="Palatino Linotype"/>
          <w:highlight w:val="cyan"/>
        </w:rPr>
      </w:pPr>
    </w:p>
    <w:p w:rsidR="00824FD3" w:rsidP="001A4D75" w:rsidRDefault="00824FD3" w14:paraId="480BFA98" w14:textId="77777777">
      <w:pPr>
        <w:rPr>
          <w:rFonts w:ascii="Palatino Linotype" w:hAnsi="Palatino Linotype"/>
          <w:highlight w:val="cyan"/>
        </w:rPr>
      </w:pPr>
    </w:p>
    <w:p w:rsidRPr="00221288" w:rsidR="00824FD3" w:rsidP="001A4D75" w:rsidRDefault="00824FD3" w14:paraId="2F6A146E" w14:textId="77777777">
      <w:pPr>
        <w:rPr>
          <w:rFonts w:ascii="Palatino Linotype" w:hAnsi="Palatino Linotype"/>
          <w:highlight w:val="cyan"/>
        </w:rPr>
      </w:pPr>
    </w:p>
    <w:p w:rsidRPr="00221288" w:rsidR="00734728" w:rsidP="00A60C0B" w:rsidRDefault="004C0CD5" w14:paraId="29975E38" w14:textId="7EC1645D">
      <w:pPr>
        <w:pStyle w:val="Heading2"/>
        <w:rPr>
          <w:rFonts w:ascii="Palatino Linotype" w:hAnsi="Palatino Linotype"/>
          <w:b w:val="0"/>
          <w:u w:val="single"/>
        </w:rPr>
      </w:pPr>
      <w:r w:rsidRPr="00221288">
        <w:rPr>
          <w:rFonts w:ascii="Palatino Linotype" w:hAnsi="Palatino Linotype"/>
          <w:u w:val="single"/>
        </w:rPr>
        <w:lastRenderedPageBreak/>
        <w:t>DISCUSSION</w:t>
      </w:r>
    </w:p>
    <w:p w:rsidRPr="00221288" w:rsidR="00734728" w:rsidP="00384D2B" w:rsidRDefault="00734728" w14:paraId="1E0B571C" w14:textId="77777777">
      <w:pPr>
        <w:rPr>
          <w:rFonts w:ascii="Palatino Linotype" w:hAnsi="Palatino Linotype"/>
        </w:rPr>
      </w:pPr>
    </w:p>
    <w:p w:rsidRPr="00221288" w:rsidR="008E1ECC" w:rsidP="00384D2B" w:rsidRDefault="002B4084" w14:paraId="444EB968" w14:textId="0CB37B56">
      <w:pPr>
        <w:rPr>
          <w:rFonts w:ascii="Palatino Linotype" w:hAnsi="Palatino Linotype"/>
        </w:rPr>
      </w:pPr>
      <w:r w:rsidRPr="00221288">
        <w:rPr>
          <w:rFonts w:ascii="Palatino Linotype" w:hAnsi="Palatino Linotype"/>
        </w:rPr>
        <w:t xml:space="preserve">The </w:t>
      </w:r>
      <w:r w:rsidRPr="00221288" w:rsidR="003238C1">
        <w:rPr>
          <w:rFonts w:ascii="Palatino Linotype" w:hAnsi="Palatino Linotype"/>
        </w:rPr>
        <w:t xml:space="preserve">Commission has reviewed the </w:t>
      </w:r>
      <w:r w:rsidRPr="00221288" w:rsidR="00A946B5">
        <w:rPr>
          <w:rFonts w:ascii="Palatino Linotype" w:hAnsi="Palatino Linotype"/>
        </w:rPr>
        <w:t xml:space="preserve">original and supplemental </w:t>
      </w:r>
      <w:r w:rsidRPr="00221288" w:rsidR="003238C1">
        <w:rPr>
          <w:rFonts w:ascii="Palatino Linotype" w:hAnsi="Palatino Linotype"/>
        </w:rPr>
        <w:t>ALs, the protest</w:t>
      </w:r>
      <w:r w:rsidRPr="00221288" w:rsidR="00A946B5">
        <w:rPr>
          <w:rFonts w:ascii="Palatino Linotype" w:hAnsi="Palatino Linotype"/>
        </w:rPr>
        <w:t>s</w:t>
      </w:r>
      <w:r w:rsidRPr="00221288" w:rsidR="003238C1">
        <w:rPr>
          <w:rFonts w:ascii="Palatino Linotype" w:hAnsi="Palatino Linotype"/>
        </w:rPr>
        <w:t xml:space="preserve">, and </w:t>
      </w:r>
      <w:r w:rsidRPr="00221288" w:rsidR="00A946B5">
        <w:rPr>
          <w:rFonts w:ascii="Palatino Linotype" w:hAnsi="Palatino Linotype"/>
        </w:rPr>
        <w:t>the responses to protests</w:t>
      </w:r>
      <w:r w:rsidRPr="00221288" w:rsidR="009454B2">
        <w:rPr>
          <w:rFonts w:ascii="Palatino Linotype" w:hAnsi="Palatino Linotype"/>
        </w:rPr>
        <w:t>.</w:t>
      </w:r>
      <w:r w:rsidRPr="00221288" w:rsidR="00A946B5">
        <w:rPr>
          <w:rFonts w:ascii="Palatino Linotype" w:hAnsi="Palatino Linotype"/>
        </w:rPr>
        <w:t xml:space="preserve"> </w:t>
      </w:r>
      <w:r w:rsidRPr="00221288" w:rsidR="009454B2">
        <w:rPr>
          <w:rFonts w:ascii="Palatino Linotype" w:hAnsi="Palatino Linotype"/>
        </w:rPr>
        <w:t>In this section, we discuss</w:t>
      </w:r>
      <w:r w:rsidRPr="00221288">
        <w:rPr>
          <w:rFonts w:ascii="Palatino Linotype" w:hAnsi="Palatino Linotype"/>
        </w:rPr>
        <w:t xml:space="preserve"> </w:t>
      </w:r>
      <w:r w:rsidRPr="00221288" w:rsidR="00751B93">
        <w:rPr>
          <w:rFonts w:ascii="Palatino Linotype" w:hAnsi="Palatino Linotype"/>
        </w:rPr>
        <w:t xml:space="preserve">the </w:t>
      </w:r>
      <w:r w:rsidRPr="00221288" w:rsidR="00080AAB">
        <w:rPr>
          <w:rFonts w:ascii="Palatino Linotype" w:hAnsi="Palatino Linotype"/>
        </w:rPr>
        <w:t xml:space="preserve">outstanding disputed </w:t>
      </w:r>
      <w:r w:rsidRPr="00221288">
        <w:rPr>
          <w:rFonts w:ascii="Palatino Linotype" w:hAnsi="Palatino Linotype"/>
        </w:rPr>
        <w:t xml:space="preserve">issues </w:t>
      </w:r>
      <w:r w:rsidRPr="00221288" w:rsidR="00080AAB">
        <w:rPr>
          <w:rFonts w:ascii="Palatino Linotype" w:hAnsi="Palatino Linotype"/>
        </w:rPr>
        <w:t>and the Commission’s resolution of those disputes</w:t>
      </w:r>
      <w:r w:rsidRPr="00221288" w:rsidR="00A946B5">
        <w:rPr>
          <w:rFonts w:ascii="Palatino Linotype" w:hAnsi="Palatino Linotype"/>
        </w:rPr>
        <w:t>.</w:t>
      </w:r>
    </w:p>
    <w:p w:rsidRPr="00221288" w:rsidR="00B76EB4" w:rsidP="00384D2B" w:rsidRDefault="00B76EB4" w14:paraId="3737CE54" w14:textId="59B69937">
      <w:pPr>
        <w:rPr>
          <w:rFonts w:ascii="Palatino Linotype" w:hAnsi="Palatino Linotype"/>
          <w:highlight w:val="cyan"/>
        </w:rPr>
      </w:pPr>
    </w:p>
    <w:p w:rsidRPr="00221288" w:rsidR="00B76EB4" w:rsidP="005B0AB0" w:rsidRDefault="00C4604D" w14:paraId="0E0F973D" w14:textId="63B83FAA">
      <w:pPr>
        <w:pStyle w:val="Heading3"/>
        <w:rPr>
          <w:rFonts w:ascii="Palatino Linotype" w:hAnsi="Palatino Linotype"/>
          <w:i w:val="0"/>
          <w:iCs w:val="0"/>
        </w:rPr>
      </w:pPr>
      <w:r w:rsidRPr="00221288">
        <w:rPr>
          <w:rFonts w:ascii="Palatino Linotype" w:hAnsi="Palatino Linotype"/>
        </w:rPr>
        <w:t xml:space="preserve">Climate Zone Averages in </w:t>
      </w:r>
      <w:r w:rsidRPr="00221288" w:rsidR="00B76EB4">
        <w:rPr>
          <w:rFonts w:ascii="Palatino Linotype" w:hAnsi="Palatino Linotype"/>
        </w:rPr>
        <w:t>Retail Export Compensation Rate Values</w:t>
      </w:r>
    </w:p>
    <w:p w:rsidRPr="00221288" w:rsidR="00B76EB4" w:rsidP="00384D2B" w:rsidRDefault="00B76EB4" w14:paraId="7DEA1067" w14:textId="77777777">
      <w:pPr>
        <w:rPr>
          <w:rFonts w:ascii="Palatino Linotype" w:hAnsi="Palatino Linotype"/>
        </w:rPr>
      </w:pPr>
    </w:p>
    <w:p w:rsidRPr="00221288" w:rsidR="00F87C3B" w:rsidP="23100B7C" w:rsidRDefault="00801700" w14:paraId="3E03DBA6" w14:textId="139E796F">
      <w:pPr>
        <w:rPr>
          <w:rFonts w:ascii="Palatino Linotype" w:hAnsi="Palatino Linotype"/>
        </w:rPr>
      </w:pPr>
      <w:r w:rsidRPr="00221288">
        <w:rPr>
          <w:rFonts w:ascii="Palatino Linotype" w:hAnsi="Palatino Linotype"/>
        </w:rPr>
        <w:t>PG&amp;E’s assertion</w:t>
      </w:r>
      <w:r w:rsidRPr="00221288" w:rsidR="008D3B04">
        <w:rPr>
          <w:rFonts w:ascii="Palatino Linotype" w:hAnsi="Palatino Linotype"/>
        </w:rPr>
        <w:t xml:space="preserve"> </w:t>
      </w:r>
      <w:r w:rsidRPr="00221288" w:rsidR="00CA155D">
        <w:rPr>
          <w:rFonts w:ascii="Palatino Linotype" w:hAnsi="Palatino Linotype"/>
        </w:rPr>
        <w:t>that</w:t>
      </w:r>
      <w:r w:rsidRPr="00221288" w:rsidR="008D3B04">
        <w:rPr>
          <w:rFonts w:ascii="Palatino Linotype" w:hAnsi="Palatino Linotype"/>
        </w:rPr>
        <w:t xml:space="preserve"> </w:t>
      </w:r>
      <w:r w:rsidRPr="00221288" w:rsidR="00FA5D6F">
        <w:rPr>
          <w:rFonts w:ascii="Palatino Linotype" w:hAnsi="Palatino Linotype"/>
        </w:rPr>
        <w:t xml:space="preserve">in </w:t>
      </w:r>
      <w:r w:rsidRPr="00221288" w:rsidR="00CA155D">
        <w:rPr>
          <w:rFonts w:ascii="Palatino Linotype" w:hAnsi="Palatino Linotype"/>
        </w:rPr>
        <w:t xml:space="preserve">D.22-12-056 </w:t>
      </w:r>
      <w:r w:rsidRPr="00221288" w:rsidR="00FA5D6F">
        <w:rPr>
          <w:rFonts w:ascii="Palatino Linotype" w:hAnsi="Palatino Linotype"/>
        </w:rPr>
        <w:t xml:space="preserve">the Commission </w:t>
      </w:r>
      <w:r w:rsidRPr="00221288" w:rsidR="00CA155D">
        <w:rPr>
          <w:rFonts w:ascii="Palatino Linotype" w:hAnsi="Palatino Linotype"/>
        </w:rPr>
        <w:t xml:space="preserve">was </w:t>
      </w:r>
      <w:r w:rsidRPr="00221288" w:rsidR="008D3B04">
        <w:rPr>
          <w:rFonts w:ascii="Palatino Linotype" w:hAnsi="Palatino Linotype"/>
        </w:rPr>
        <w:t>interest</w:t>
      </w:r>
      <w:r w:rsidRPr="00221288" w:rsidR="00CA155D">
        <w:rPr>
          <w:rFonts w:ascii="Palatino Linotype" w:hAnsi="Palatino Linotype"/>
        </w:rPr>
        <w:t>ed</w:t>
      </w:r>
      <w:r w:rsidRPr="00221288" w:rsidR="008D3B04">
        <w:rPr>
          <w:rFonts w:ascii="Palatino Linotype" w:hAnsi="Palatino Linotype"/>
        </w:rPr>
        <w:t xml:space="preserve"> in geographic</w:t>
      </w:r>
      <w:r w:rsidRPr="00221288" w:rsidR="00FA5D6F">
        <w:rPr>
          <w:rFonts w:ascii="Palatino Linotype" w:hAnsi="Palatino Linotype"/>
        </w:rPr>
        <w:t>ally</w:t>
      </w:r>
      <w:r w:rsidRPr="00221288" w:rsidR="008D3B04">
        <w:rPr>
          <w:rFonts w:ascii="Palatino Linotype" w:hAnsi="Palatino Linotype"/>
        </w:rPr>
        <w:t xml:space="preserve"> differentiati</w:t>
      </w:r>
      <w:r w:rsidRPr="00221288" w:rsidR="00FA5D6F">
        <w:rPr>
          <w:rFonts w:ascii="Palatino Linotype" w:hAnsi="Palatino Linotype"/>
        </w:rPr>
        <w:t>ng</w:t>
      </w:r>
      <w:r w:rsidRPr="00221288" w:rsidR="008D3B04">
        <w:rPr>
          <w:rFonts w:ascii="Palatino Linotype" w:hAnsi="Palatino Linotype"/>
        </w:rPr>
        <w:t xml:space="preserve"> </w:t>
      </w:r>
      <w:r w:rsidRPr="00221288" w:rsidR="007C1786">
        <w:rPr>
          <w:rFonts w:ascii="Palatino Linotype" w:hAnsi="Palatino Linotype"/>
        </w:rPr>
        <w:t xml:space="preserve">retail </w:t>
      </w:r>
      <w:r w:rsidRPr="00221288" w:rsidR="008D3B04">
        <w:rPr>
          <w:rFonts w:ascii="Palatino Linotype" w:hAnsi="Palatino Linotype"/>
        </w:rPr>
        <w:t xml:space="preserve">export </w:t>
      </w:r>
      <w:r w:rsidRPr="00221288" w:rsidR="007C1786">
        <w:rPr>
          <w:rFonts w:ascii="Palatino Linotype" w:hAnsi="Palatino Linotype"/>
        </w:rPr>
        <w:t>compensation rate</w:t>
      </w:r>
      <w:r w:rsidRPr="00221288" w:rsidR="008D3B04">
        <w:rPr>
          <w:rFonts w:ascii="Palatino Linotype" w:hAnsi="Palatino Linotype"/>
        </w:rPr>
        <w:t xml:space="preserve"> values</w:t>
      </w:r>
      <w:r w:rsidRPr="00221288">
        <w:rPr>
          <w:rFonts w:ascii="Palatino Linotype" w:hAnsi="Palatino Linotype"/>
        </w:rPr>
        <w:t xml:space="preserve">, </w:t>
      </w:r>
      <w:r w:rsidRPr="00221288" w:rsidR="00A8663F">
        <w:rPr>
          <w:rFonts w:ascii="Palatino Linotype" w:hAnsi="Palatino Linotype"/>
        </w:rPr>
        <w:t>fails to account for</w:t>
      </w:r>
      <w:r w:rsidRPr="00221288" w:rsidR="00F3026A">
        <w:rPr>
          <w:rFonts w:ascii="Palatino Linotype" w:hAnsi="Palatino Linotype"/>
        </w:rPr>
        <w:t xml:space="preserve"> </w:t>
      </w:r>
      <w:r w:rsidRPr="00221288" w:rsidR="00537D77">
        <w:rPr>
          <w:rFonts w:ascii="Palatino Linotype" w:hAnsi="Palatino Linotype"/>
        </w:rPr>
        <w:t xml:space="preserve">that </w:t>
      </w:r>
      <w:r w:rsidR="00824FD3">
        <w:rPr>
          <w:rFonts w:ascii="Palatino Linotype" w:hAnsi="Palatino Linotype"/>
        </w:rPr>
        <w:br/>
      </w:r>
      <w:r w:rsidRPr="00221288" w:rsidR="00537D77">
        <w:rPr>
          <w:rFonts w:ascii="Palatino Linotype" w:hAnsi="Palatino Linotype"/>
        </w:rPr>
        <w:t>decision’s</w:t>
      </w:r>
      <w:r w:rsidRPr="00221288" w:rsidR="00F3026A">
        <w:rPr>
          <w:rFonts w:ascii="Palatino Linotype" w:hAnsi="Palatino Linotype"/>
        </w:rPr>
        <w:t xml:space="preserve"> Finding of Fact 160, “[u]sing retail export compensation rates specific to climate zones does not result in significantly more accurate Avoided Cost Calculator values.”</w:t>
      </w:r>
      <w:r w:rsidRPr="00221288">
        <w:rPr>
          <w:rFonts w:ascii="Palatino Linotype" w:hAnsi="Palatino Linotype"/>
        </w:rPr>
        <w:t xml:space="preserve"> </w:t>
      </w:r>
      <w:r w:rsidRPr="00221288" w:rsidR="007521D5">
        <w:rPr>
          <w:rFonts w:ascii="Palatino Linotype" w:hAnsi="Palatino Linotype"/>
        </w:rPr>
        <w:t>As illustrated by the table PG&amp;E provided, the differences between simple and geographically</w:t>
      </w:r>
      <w:r w:rsidRPr="00221288" w:rsidR="006F0407">
        <w:rPr>
          <w:rFonts w:ascii="Palatino Linotype" w:hAnsi="Palatino Linotype"/>
        </w:rPr>
        <w:t>-</w:t>
      </w:r>
      <w:r w:rsidRPr="00221288" w:rsidR="007521D5">
        <w:rPr>
          <w:rFonts w:ascii="Palatino Linotype" w:hAnsi="Palatino Linotype"/>
        </w:rPr>
        <w:t xml:space="preserve">weighted average ACC values are miniscule, making </w:t>
      </w:r>
      <w:r w:rsidRPr="00221288" w:rsidR="00F40B9B">
        <w:rPr>
          <w:rFonts w:ascii="Palatino Linotype" w:hAnsi="Palatino Linotype"/>
        </w:rPr>
        <w:t xml:space="preserve">the </w:t>
      </w:r>
      <w:r w:rsidRPr="00221288" w:rsidR="00694BF8">
        <w:rPr>
          <w:rFonts w:ascii="Palatino Linotype" w:hAnsi="Palatino Linotype"/>
        </w:rPr>
        <w:t xml:space="preserve">proposed </w:t>
      </w:r>
      <w:r w:rsidRPr="00221288" w:rsidR="0007001C">
        <w:rPr>
          <w:rFonts w:ascii="Palatino Linotype" w:hAnsi="Palatino Linotype"/>
        </w:rPr>
        <w:t>calculation</w:t>
      </w:r>
      <w:r w:rsidRPr="00221288" w:rsidR="00FB05BD">
        <w:rPr>
          <w:rFonts w:ascii="Palatino Linotype" w:hAnsi="Palatino Linotype"/>
        </w:rPr>
        <w:t>s</w:t>
      </w:r>
      <w:r w:rsidRPr="00221288" w:rsidR="00F40B9B">
        <w:rPr>
          <w:rFonts w:ascii="Palatino Linotype" w:hAnsi="Palatino Linotype"/>
        </w:rPr>
        <w:t xml:space="preserve"> of adoption rates by climate zone, </w:t>
      </w:r>
      <w:r w:rsidRPr="00221288" w:rsidR="007521D5">
        <w:rPr>
          <w:rFonts w:ascii="Palatino Linotype" w:hAnsi="Palatino Linotype"/>
        </w:rPr>
        <w:t xml:space="preserve">weighting </w:t>
      </w:r>
      <w:r w:rsidRPr="00221288" w:rsidR="00FB05BD">
        <w:rPr>
          <w:rFonts w:ascii="Palatino Linotype" w:hAnsi="Palatino Linotype"/>
        </w:rPr>
        <w:t xml:space="preserve">factors, and weighted averages </w:t>
      </w:r>
      <w:r w:rsidRPr="00221288" w:rsidR="00445BB6">
        <w:rPr>
          <w:rFonts w:ascii="Palatino Linotype" w:hAnsi="Palatino Linotype"/>
        </w:rPr>
        <w:t xml:space="preserve">an unproductive use of </w:t>
      </w:r>
      <w:r w:rsidRPr="00221288" w:rsidR="004F64CB">
        <w:rPr>
          <w:rFonts w:ascii="Palatino Linotype" w:hAnsi="Palatino Linotype"/>
        </w:rPr>
        <w:t>ratepayer funds</w:t>
      </w:r>
      <w:r w:rsidRPr="00221288" w:rsidR="007521D5">
        <w:rPr>
          <w:rFonts w:ascii="Palatino Linotype" w:hAnsi="Palatino Linotype"/>
        </w:rPr>
        <w:t>.</w:t>
      </w:r>
      <w:r w:rsidRPr="00221288" w:rsidR="00064E80">
        <w:rPr>
          <w:rFonts w:ascii="Palatino Linotype" w:hAnsi="Palatino Linotype"/>
        </w:rPr>
        <w:t xml:space="preserve"> </w:t>
      </w:r>
      <w:r w:rsidRPr="00221288" w:rsidR="00147C11">
        <w:rPr>
          <w:rFonts w:ascii="Palatino Linotype" w:hAnsi="Palatino Linotype"/>
        </w:rPr>
        <w:t>When</w:t>
      </w:r>
      <w:r w:rsidRPr="00221288" w:rsidR="006369A5">
        <w:rPr>
          <w:rFonts w:ascii="Palatino Linotype" w:hAnsi="Palatino Linotype"/>
        </w:rPr>
        <w:t xml:space="preserve"> D.22-12-056 </w:t>
      </w:r>
      <w:r w:rsidRPr="00221288" w:rsidR="003B298A">
        <w:rPr>
          <w:rFonts w:ascii="Palatino Linotype" w:hAnsi="Palatino Linotype"/>
        </w:rPr>
        <w:t>allowed</w:t>
      </w:r>
      <w:r w:rsidRPr="00221288" w:rsidR="00147C11">
        <w:rPr>
          <w:rFonts w:ascii="Palatino Linotype" w:hAnsi="Palatino Linotype"/>
        </w:rPr>
        <w:t xml:space="preserve"> the utilities </w:t>
      </w:r>
      <w:r w:rsidRPr="00221288" w:rsidR="006369A5">
        <w:rPr>
          <w:rFonts w:ascii="Palatino Linotype" w:hAnsi="Palatino Linotype"/>
        </w:rPr>
        <w:t xml:space="preserve">to standardize the method of deriving retail export compensation rates based on the </w:t>
      </w:r>
      <w:r w:rsidRPr="00221288" w:rsidR="00147C11">
        <w:rPr>
          <w:rFonts w:ascii="Palatino Linotype" w:hAnsi="Palatino Linotype"/>
        </w:rPr>
        <w:t>ACC</w:t>
      </w:r>
      <w:r w:rsidRPr="00221288" w:rsidR="006369A5">
        <w:rPr>
          <w:rFonts w:ascii="Palatino Linotype" w:hAnsi="Palatino Linotype"/>
        </w:rPr>
        <w:t xml:space="preserve"> values</w:t>
      </w:r>
      <w:r w:rsidRPr="00221288" w:rsidR="00147C11">
        <w:rPr>
          <w:rFonts w:ascii="Palatino Linotype" w:hAnsi="Palatino Linotype"/>
        </w:rPr>
        <w:t>, it required them to do so</w:t>
      </w:r>
      <w:r w:rsidRPr="00221288" w:rsidR="006369A5">
        <w:rPr>
          <w:rFonts w:ascii="Palatino Linotype" w:hAnsi="Palatino Linotype"/>
        </w:rPr>
        <w:t xml:space="preserve"> in accordance with the findings of th</w:t>
      </w:r>
      <w:r w:rsidRPr="00221288" w:rsidR="00147C11">
        <w:rPr>
          <w:rFonts w:ascii="Palatino Linotype" w:hAnsi="Palatino Linotype"/>
        </w:rPr>
        <w:t>at</w:t>
      </w:r>
      <w:r w:rsidRPr="00221288" w:rsidR="006369A5">
        <w:rPr>
          <w:rFonts w:ascii="Palatino Linotype" w:hAnsi="Palatino Linotype"/>
        </w:rPr>
        <w:t xml:space="preserve"> decision.</w:t>
      </w:r>
      <w:r w:rsidRPr="00221288">
        <w:rPr>
          <w:rFonts w:ascii="Palatino Linotype" w:hAnsi="Palatino Linotype"/>
        </w:rPr>
        <w:t xml:space="preserve"> </w:t>
      </w:r>
      <w:r w:rsidRPr="00221288" w:rsidR="00C23D57">
        <w:rPr>
          <w:rFonts w:ascii="Palatino Linotype" w:hAnsi="Palatino Linotype"/>
        </w:rPr>
        <w:t xml:space="preserve">In addition to </w:t>
      </w:r>
      <w:r w:rsidRPr="00221288" w:rsidR="003B298A">
        <w:rPr>
          <w:rFonts w:ascii="Palatino Linotype" w:hAnsi="Palatino Linotype"/>
        </w:rPr>
        <w:t>Finding of Fact 160</w:t>
      </w:r>
      <w:r w:rsidRPr="00221288" w:rsidR="00C23D57">
        <w:rPr>
          <w:rFonts w:ascii="Palatino Linotype" w:hAnsi="Palatino Linotype"/>
        </w:rPr>
        <w:t>,</w:t>
      </w:r>
      <w:r w:rsidRPr="00221288" w:rsidR="00652308">
        <w:rPr>
          <w:rFonts w:ascii="Palatino Linotype" w:hAnsi="Palatino Linotype"/>
        </w:rPr>
        <w:t xml:space="preserve"> Finding of Fact 51</w:t>
      </w:r>
      <w:r w:rsidRPr="00221288" w:rsidR="006336BB">
        <w:rPr>
          <w:rFonts w:ascii="Palatino Linotype" w:hAnsi="Palatino Linotype"/>
        </w:rPr>
        <w:t xml:space="preserve"> is relevant</w:t>
      </w:r>
      <w:r w:rsidRPr="00221288" w:rsidR="00AE1453">
        <w:rPr>
          <w:rFonts w:ascii="Palatino Linotype" w:hAnsi="Palatino Linotype"/>
        </w:rPr>
        <w:t>: “[a]</w:t>
      </w:r>
      <w:proofErr w:type="spellStart"/>
      <w:r w:rsidRPr="00221288" w:rsidR="00AE1453">
        <w:rPr>
          <w:rFonts w:ascii="Palatino Linotype" w:hAnsi="Palatino Linotype"/>
        </w:rPr>
        <w:t>nalysis</w:t>
      </w:r>
      <w:proofErr w:type="spellEnd"/>
      <w:r w:rsidRPr="00221288" w:rsidR="00AE1453">
        <w:rPr>
          <w:rFonts w:ascii="Palatino Linotype" w:hAnsi="Palatino Linotype"/>
        </w:rPr>
        <w:t xml:space="preserve"> of the successor tariff requires balancing multiple legislative requirements and guiding principles, and the needs of participants and nonparticipants.</w:t>
      </w:r>
      <w:r w:rsidRPr="00221288" w:rsidR="006336BB">
        <w:rPr>
          <w:rFonts w:ascii="Palatino Linotype" w:hAnsi="Palatino Linotype"/>
        </w:rPr>
        <w:t>”</w:t>
      </w:r>
      <w:r w:rsidRPr="00221288" w:rsidR="003B298A">
        <w:rPr>
          <w:rFonts w:ascii="Palatino Linotype" w:hAnsi="Palatino Linotype"/>
        </w:rPr>
        <w:t xml:space="preserve"> </w:t>
      </w:r>
      <w:r w:rsidRPr="00221288" w:rsidR="00AE1453">
        <w:rPr>
          <w:rFonts w:ascii="Palatino Linotype" w:hAnsi="Palatino Linotype"/>
        </w:rPr>
        <w:t>G</w:t>
      </w:r>
      <w:r w:rsidRPr="00221288" w:rsidR="00B645AF">
        <w:rPr>
          <w:rFonts w:ascii="Palatino Linotype" w:hAnsi="Palatino Linotype"/>
        </w:rPr>
        <w:t>uiding principle</w:t>
      </w:r>
      <w:r w:rsidRPr="00221288" w:rsidR="00CA3E96">
        <w:rPr>
          <w:rFonts w:ascii="Palatino Linotype" w:hAnsi="Palatino Linotype"/>
        </w:rPr>
        <w:t xml:space="preserve"> (f)</w:t>
      </w:r>
      <w:r w:rsidRPr="00221288" w:rsidR="006336BB">
        <w:rPr>
          <w:rFonts w:ascii="Palatino Linotype" w:hAnsi="Palatino Linotype"/>
        </w:rPr>
        <w:t>,</w:t>
      </w:r>
      <w:r w:rsidRPr="00221288" w:rsidR="00B645AF">
        <w:rPr>
          <w:rFonts w:ascii="Palatino Linotype" w:hAnsi="Palatino Linotype"/>
        </w:rPr>
        <w:t xml:space="preserve"> </w:t>
      </w:r>
      <w:r w:rsidRPr="00221288" w:rsidR="00C23D57">
        <w:rPr>
          <w:rFonts w:ascii="Palatino Linotype" w:hAnsi="Palatino Linotype"/>
        </w:rPr>
        <w:t>adopted in D.21-02-007</w:t>
      </w:r>
      <w:r w:rsidRPr="00221288" w:rsidR="006336BB">
        <w:rPr>
          <w:rFonts w:ascii="Palatino Linotype" w:hAnsi="Palatino Linotype"/>
        </w:rPr>
        <w:t>,</w:t>
      </w:r>
      <w:r w:rsidRPr="00221288" w:rsidR="000A1D18">
        <w:rPr>
          <w:rStyle w:val="FootnoteReference"/>
          <w:rFonts w:ascii="Palatino Linotype" w:hAnsi="Palatino Linotype"/>
        </w:rPr>
        <w:t xml:space="preserve"> </w:t>
      </w:r>
      <w:r w:rsidRPr="00221288" w:rsidR="000A1D18">
        <w:rPr>
          <w:rStyle w:val="FootnoteReference"/>
          <w:rFonts w:ascii="Palatino Linotype" w:hAnsi="Palatino Linotype"/>
        </w:rPr>
        <w:footnoteReference w:id="10"/>
      </w:r>
      <w:r w:rsidRPr="00221288" w:rsidR="006336BB">
        <w:rPr>
          <w:rFonts w:ascii="Palatino Linotype" w:hAnsi="Palatino Linotype"/>
        </w:rPr>
        <w:t xml:space="preserve"> </w:t>
      </w:r>
      <w:r w:rsidRPr="00221288" w:rsidR="00B82A63">
        <w:rPr>
          <w:rFonts w:ascii="Palatino Linotype" w:hAnsi="Palatino Linotype"/>
        </w:rPr>
        <w:t xml:space="preserve">states that a successor to the net energy metering tariff should be transparent and understandable to all customers. </w:t>
      </w:r>
      <w:r w:rsidRPr="00221288" w:rsidR="007B65E8">
        <w:rPr>
          <w:rFonts w:ascii="Palatino Linotype" w:hAnsi="Palatino Linotype"/>
        </w:rPr>
        <w:t>A simple average is more transparent and eas</w:t>
      </w:r>
      <w:r w:rsidRPr="00221288" w:rsidR="00694A6A">
        <w:rPr>
          <w:rFonts w:ascii="Palatino Linotype" w:hAnsi="Palatino Linotype"/>
        </w:rPr>
        <w:t>ier</w:t>
      </w:r>
      <w:r w:rsidRPr="00221288" w:rsidR="007B65E8">
        <w:rPr>
          <w:rFonts w:ascii="Palatino Linotype" w:hAnsi="Palatino Linotype"/>
        </w:rPr>
        <w:t xml:space="preserve"> to understand. </w:t>
      </w:r>
    </w:p>
    <w:p w:rsidRPr="00221288" w:rsidR="00F87C3B" w:rsidP="46622183" w:rsidRDefault="00F87C3B" w14:paraId="7BA53B14" w14:textId="54F91C04">
      <w:pPr>
        <w:rPr>
          <w:rFonts w:ascii="Palatino Linotype" w:hAnsi="Palatino Linotype"/>
        </w:rPr>
      </w:pPr>
    </w:p>
    <w:p w:rsidRPr="00221288" w:rsidR="00F87C3B" w:rsidP="00255867" w:rsidRDefault="00190076" w14:paraId="329A4DBA" w14:textId="41A55703">
      <w:pPr>
        <w:rPr>
          <w:rFonts w:ascii="Palatino Linotype" w:hAnsi="Palatino Linotype"/>
        </w:rPr>
      </w:pPr>
      <w:r w:rsidRPr="00221288">
        <w:rPr>
          <w:rFonts w:ascii="Palatino Linotype" w:hAnsi="Palatino Linotype"/>
        </w:rPr>
        <w:t xml:space="preserve">In order to ensure the </w:t>
      </w:r>
      <w:r w:rsidRPr="00221288" w:rsidR="004C0CD5">
        <w:rPr>
          <w:rFonts w:ascii="Palatino Linotype" w:hAnsi="Palatino Linotype"/>
        </w:rPr>
        <w:t>utilities</w:t>
      </w:r>
      <w:r w:rsidRPr="00221288">
        <w:rPr>
          <w:rFonts w:ascii="Palatino Linotype" w:hAnsi="Palatino Linotype"/>
        </w:rPr>
        <w:t xml:space="preserve"> meet their December 15, 2023 billing system implementation date</w:t>
      </w:r>
      <w:r w:rsidRPr="00221288" w:rsidR="00F768B8">
        <w:rPr>
          <w:rFonts w:ascii="Palatino Linotype" w:hAnsi="Palatino Linotype"/>
        </w:rPr>
        <w:t xml:space="preserve"> obligation</w:t>
      </w:r>
      <w:r w:rsidRPr="00221288">
        <w:rPr>
          <w:rFonts w:ascii="Palatino Linotype" w:hAnsi="Palatino Linotype"/>
        </w:rPr>
        <w:t>, the</w:t>
      </w:r>
      <w:r w:rsidRPr="00221288" w:rsidR="00DD3B8F">
        <w:rPr>
          <w:rFonts w:ascii="Palatino Linotype" w:hAnsi="Palatino Linotype"/>
        </w:rPr>
        <w:t xml:space="preserve"> utilities</w:t>
      </w:r>
      <w:r w:rsidRPr="00221288" w:rsidR="00694BF8">
        <w:rPr>
          <w:rFonts w:ascii="Palatino Linotype" w:hAnsi="Palatino Linotype"/>
        </w:rPr>
        <w:t>’</w:t>
      </w:r>
      <w:r w:rsidRPr="00221288" w:rsidR="006810C2">
        <w:rPr>
          <w:rFonts w:ascii="Palatino Linotype" w:hAnsi="Palatino Linotype"/>
        </w:rPr>
        <w:t xml:space="preserve"> </w:t>
      </w:r>
      <w:r w:rsidRPr="00221288" w:rsidR="00694BF8">
        <w:rPr>
          <w:rFonts w:ascii="Palatino Linotype" w:hAnsi="Palatino Linotype"/>
        </w:rPr>
        <w:t>proposed retail export compensation rate calculation methodology</w:t>
      </w:r>
      <w:r w:rsidRPr="00221288">
        <w:rPr>
          <w:rFonts w:ascii="Palatino Linotype" w:hAnsi="Palatino Linotype"/>
        </w:rPr>
        <w:t xml:space="preserve"> is approved. However, w</w:t>
      </w:r>
      <w:r w:rsidRPr="00221288" w:rsidR="009866F0">
        <w:rPr>
          <w:rFonts w:ascii="Palatino Linotype" w:hAnsi="Palatino Linotype"/>
        </w:rPr>
        <w:t xml:space="preserve">ithin </w:t>
      </w:r>
      <w:r w:rsidRPr="00221288" w:rsidR="00A472B6">
        <w:rPr>
          <w:rFonts w:ascii="Palatino Linotype" w:hAnsi="Palatino Linotype"/>
        </w:rPr>
        <w:t>3</w:t>
      </w:r>
      <w:r w:rsidRPr="00221288" w:rsidR="009866F0">
        <w:rPr>
          <w:rFonts w:ascii="Palatino Linotype" w:hAnsi="Palatino Linotype"/>
        </w:rPr>
        <w:t>0 days of the</w:t>
      </w:r>
      <w:r w:rsidRPr="00221288" w:rsidR="00BB2241">
        <w:rPr>
          <w:rFonts w:ascii="Palatino Linotype" w:hAnsi="Palatino Linotype"/>
        </w:rPr>
        <w:t xml:space="preserve"> </w:t>
      </w:r>
      <w:r w:rsidR="00824FD3">
        <w:rPr>
          <w:rFonts w:ascii="Palatino Linotype" w:hAnsi="Palatino Linotype"/>
        </w:rPr>
        <w:br/>
      </w:r>
      <w:r w:rsidRPr="00221288" w:rsidR="00BB2241">
        <w:rPr>
          <w:rFonts w:ascii="Palatino Linotype" w:hAnsi="Palatino Linotype"/>
        </w:rPr>
        <w:t>Commission’s next</w:t>
      </w:r>
      <w:r w:rsidRPr="00221288" w:rsidR="009866F0">
        <w:rPr>
          <w:rFonts w:ascii="Palatino Linotype" w:hAnsi="Palatino Linotype"/>
        </w:rPr>
        <w:t xml:space="preserve"> issuance of </w:t>
      </w:r>
      <w:r w:rsidRPr="00221288" w:rsidR="00D0298A">
        <w:rPr>
          <w:rFonts w:ascii="Palatino Linotype" w:hAnsi="Palatino Linotype"/>
        </w:rPr>
        <w:t>ACC</w:t>
      </w:r>
      <w:r w:rsidRPr="00221288" w:rsidR="0053719D">
        <w:rPr>
          <w:rFonts w:ascii="Palatino Linotype" w:hAnsi="Palatino Linotype"/>
        </w:rPr>
        <w:t xml:space="preserve"> values</w:t>
      </w:r>
      <w:r w:rsidRPr="00221288" w:rsidR="00694BF8">
        <w:rPr>
          <w:rFonts w:ascii="Palatino Linotype" w:hAnsi="Palatino Linotype"/>
        </w:rPr>
        <w:t>,</w:t>
      </w:r>
      <w:r w:rsidRPr="00221288" w:rsidR="007B65E8">
        <w:rPr>
          <w:rFonts w:ascii="Palatino Linotype" w:hAnsi="Palatino Linotype"/>
        </w:rPr>
        <w:t xml:space="preserve"> </w:t>
      </w:r>
      <w:r w:rsidRPr="00221288" w:rsidR="00E24324">
        <w:rPr>
          <w:rFonts w:ascii="Palatino Linotype" w:hAnsi="Palatino Linotype"/>
        </w:rPr>
        <w:t xml:space="preserve">the </w:t>
      </w:r>
      <w:r w:rsidRPr="00221288" w:rsidR="007B65E8">
        <w:rPr>
          <w:rFonts w:ascii="Palatino Linotype" w:hAnsi="Palatino Linotype"/>
        </w:rPr>
        <w:t xml:space="preserve">utilities </w:t>
      </w:r>
      <w:r w:rsidRPr="00221288" w:rsidR="00836FF4">
        <w:rPr>
          <w:rFonts w:ascii="Palatino Linotype" w:hAnsi="Palatino Linotype"/>
        </w:rPr>
        <w:t>shall submit</w:t>
      </w:r>
      <w:r w:rsidRPr="00221288" w:rsidR="007B65E8">
        <w:rPr>
          <w:rFonts w:ascii="Palatino Linotype" w:hAnsi="Palatino Linotype"/>
        </w:rPr>
        <w:t xml:space="preserve"> </w:t>
      </w:r>
      <w:r w:rsidRPr="00221288" w:rsidR="00780DBF">
        <w:rPr>
          <w:rFonts w:ascii="Palatino Linotype" w:hAnsi="Palatino Linotype"/>
        </w:rPr>
        <w:t>new</w:t>
      </w:r>
      <w:r w:rsidRPr="00221288" w:rsidR="00615823">
        <w:rPr>
          <w:rFonts w:ascii="Palatino Linotype" w:hAnsi="Palatino Linotype"/>
        </w:rPr>
        <w:t xml:space="preserve"> </w:t>
      </w:r>
      <w:r w:rsidRPr="00221288" w:rsidR="00CD2490">
        <w:rPr>
          <w:rFonts w:ascii="Palatino Linotype" w:hAnsi="Palatino Linotype"/>
        </w:rPr>
        <w:t>T</w:t>
      </w:r>
      <w:r w:rsidRPr="00221288" w:rsidR="005A1346">
        <w:rPr>
          <w:rFonts w:ascii="Palatino Linotype" w:hAnsi="Palatino Linotype"/>
        </w:rPr>
        <w:t xml:space="preserve">ier </w:t>
      </w:r>
      <w:r w:rsidRPr="00221288" w:rsidR="0053719D">
        <w:rPr>
          <w:rFonts w:ascii="Palatino Linotype" w:hAnsi="Palatino Linotype"/>
        </w:rPr>
        <w:t>1</w:t>
      </w:r>
      <w:r w:rsidRPr="00221288" w:rsidR="005A1346">
        <w:rPr>
          <w:rFonts w:ascii="Palatino Linotype" w:hAnsi="Palatino Linotype"/>
        </w:rPr>
        <w:t xml:space="preserve"> </w:t>
      </w:r>
      <w:r w:rsidRPr="00221288" w:rsidR="004C0CD5">
        <w:rPr>
          <w:rFonts w:ascii="Palatino Linotype" w:hAnsi="Palatino Linotype"/>
        </w:rPr>
        <w:t>AL</w:t>
      </w:r>
      <w:r w:rsidRPr="00221288" w:rsidR="00615823">
        <w:rPr>
          <w:rFonts w:ascii="Palatino Linotype" w:hAnsi="Palatino Linotype"/>
        </w:rPr>
        <w:t>s</w:t>
      </w:r>
      <w:r w:rsidRPr="00221288" w:rsidR="00D10FBE">
        <w:rPr>
          <w:rFonts w:ascii="Palatino Linotype" w:hAnsi="Palatino Linotype"/>
        </w:rPr>
        <w:t xml:space="preserve"> </w:t>
      </w:r>
      <w:r w:rsidRPr="00221288" w:rsidR="00615823">
        <w:rPr>
          <w:rFonts w:ascii="Palatino Linotype" w:hAnsi="Palatino Linotype"/>
        </w:rPr>
        <w:t xml:space="preserve">in which </w:t>
      </w:r>
      <w:r w:rsidRPr="00221288" w:rsidR="00C22735">
        <w:rPr>
          <w:rFonts w:ascii="Palatino Linotype" w:hAnsi="Palatino Linotype"/>
        </w:rPr>
        <w:t xml:space="preserve">the utilities calculate </w:t>
      </w:r>
      <w:r w:rsidRPr="00221288" w:rsidR="00615823">
        <w:rPr>
          <w:rFonts w:ascii="Palatino Linotype" w:hAnsi="Palatino Linotype"/>
        </w:rPr>
        <w:t>retail export compensation rates using simple averages of the climate zones’ ACC values</w:t>
      </w:r>
      <w:r w:rsidRPr="00221288" w:rsidR="00C22735">
        <w:rPr>
          <w:rFonts w:ascii="Palatino Linotype" w:hAnsi="Palatino Linotype"/>
        </w:rPr>
        <w:t xml:space="preserve"> and</w:t>
      </w:r>
      <w:r w:rsidRPr="00221288" w:rsidR="0077431F">
        <w:rPr>
          <w:rFonts w:ascii="Palatino Linotype" w:hAnsi="Palatino Linotype"/>
        </w:rPr>
        <w:t xml:space="preserve"> update their </w:t>
      </w:r>
      <w:r w:rsidRPr="00221288" w:rsidR="006E3976">
        <w:rPr>
          <w:rFonts w:ascii="Palatino Linotype" w:hAnsi="Palatino Linotype"/>
        </w:rPr>
        <w:t xml:space="preserve">descriptions of the standardized </w:t>
      </w:r>
      <w:r w:rsidRPr="00221288" w:rsidR="00720BF2">
        <w:rPr>
          <w:rFonts w:ascii="Palatino Linotype" w:hAnsi="Palatino Linotype"/>
        </w:rPr>
        <w:t>export compensation rate calculation method</w:t>
      </w:r>
      <w:r w:rsidRPr="00221288" w:rsidR="00F75C73">
        <w:rPr>
          <w:rFonts w:ascii="Palatino Linotype" w:hAnsi="Palatino Linotype"/>
        </w:rPr>
        <w:t xml:space="preserve"> to reflect th</w:t>
      </w:r>
      <w:r w:rsidRPr="00221288" w:rsidR="00C8096E">
        <w:rPr>
          <w:rFonts w:ascii="Palatino Linotype" w:hAnsi="Palatino Linotype"/>
        </w:rPr>
        <w:t xml:space="preserve">is change. </w:t>
      </w:r>
      <w:r w:rsidRPr="00221288" w:rsidR="00F15C73">
        <w:rPr>
          <w:rFonts w:ascii="Palatino Linotype" w:hAnsi="Palatino Linotype"/>
        </w:rPr>
        <w:t>Upon approval of the ALs, t</w:t>
      </w:r>
      <w:r w:rsidRPr="00221288" w:rsidR="00B87587">
        <w:rPr>
          <w:rFonts w:ascii="Palatino Linotype" w:hAnsi="Palatino Linotype"/>
        </w:rPr>
        <w:t xml:space="preserve">he utilities </w:t>
      </w:r>
      <w:r w:rsidRPr="00221288" w:rsidR="00F438FC">
        <w:rPr>
          <w:rFonts w:ascii="Palatino Linotype" w:hAnsi="Palatino Linotype"/>
        </w:rPr>
        <w:t xml:space="preserve">shall </w:t>
      </w:r>
      <w:r w:rsidRPr="00221288" w:rsidR="004C3A5F">
        <w:rPr>
          <w:rFonts w:ascii="Palatino Linotype" w:hAnsi="Palatino Linotype"/>
        </w:rPr>
        <w:t xml:space="preserve">not alter customers’ existing locked-in </w:t>
      </w:r>
      <w:r w:rsidRPr="00221288" w:rsidR="008D4802">
        <w:rPr>
          <w:rFonts w:ascii="Palatino Linotype" w:hAnsi="Palatino Linotype"/>
        </w:rPr>
        <w:t xml:space="preserve">nine-year schedules of </w:t>
      </w:r>
      <w:r w:rsidRPr="00221288" w:rsidR="004142E0">
        <w:rPr>
          <w:rFonts w:ascii="Palatino Linotype" w:hAnsi="Palatino Linotype"/>
        </w:rPr>
        <w:t>retail export compensation rates</w:t>
      </w:r>
      <w:r w:rsidRPr="00221288" w:rsidR="0044299B">
        <w:rPr>
          <w:rFonts w:ascii="Palatino Linotype" w:hAnsi="Palatino Linotype"/>
        </w:rPr>
        <w:t xml:space="preserve">, but </w:t>
      </w:r>
      <w:r w:rsidRPr="00221288" w:rsidR="00E963D4">
        <w:rPr>
          <w:rFonts w:ascii="Palatino Linotype" w:hAnsi="Palatino Linotype"/>
        </w:rPr>
        <w:t xml:space="preserve">shall use </w:t>
      </w:r>
      <w:r w:rsidRPr="00221288" w:rsidR="00FE19F9">
        <w:rPr>
          <w:rFonts w:ascii="Palatino Linotype" w:hAnsi="Palatino Linotype"/>
        </w:rPr>
        <w:t xml:space="preserve">the </w:t>
      </w:r>
      <w:r w:rsidRPr="00221288" w:rsidR="0051581B">
        <w:rPr>
          <w:rFonts w:ascii="Palatino Linotype" w:hAnsi="Palatino Linotype"/>
        </w:rPr>
        <w:t xml:space="preserve">rates calculated using simple averages going forward </w:t>
      </w:r>
      <w:r w:rsidRPr="00221288" w:rsidR="003A4DD0">
        <w:rPr>
          <w:rFonts w:ascii="Palatino Linotype" w:hAnsi="Palatino Linotype"/>
        </w:rPr>
        <w:t xml:space="preserve">for new customers. </w:t>
      </w:r>
      <w:r w:rsidRPr="00221288" w:rsidR="00C8096E">
        <w:rPr>
          <w:rFonts w:ascii="Palatino Linotype" w:hAnsi="Palatino Linotype"/>
        </w:rPr>
        <w:t xml:space="preserve">In addition, SDG&amp;E shall increase the level of detail in its description to match that of PG&amp;E’s and SCE’s </w:t>
      </w:r>
      <w:r w:rsidRPr="00221288" w:rsidR="00195233">
        <w:rPr>
          <w:rFonts w:ascii="Palatino Linotype" w:hAnsi="Palatino Linotype"/>
        </w:rPr>
        <w:t xml:space="preserve">initial ALs. </w:t>
      </w:r>
      <w:r w:rsidRPr="00221288" w:rsidR="00AC1AC3">
        <w:rPr>
          <w:rFonts w:ascii="Palatino Linotype" w:hAnsi="Palatino Linotype"/>
        </w:rPr>
        <w:t>The utilities shall also publish the description</w:t>
      </w:r>
      <w:r w:rsidRPr="00221288" w:rsidR="006017FD">
        <w:rPr>
          <w:rFonts w:ascii="Palatino Linotype" w:hAnsi="Palatino Linotype"/>
        </w:rPr>
        <w:t>s</w:t>
      </w:r>
      <w:r w:rsidRPr="00221288" w:rsidR="00AC1AC3">
        <w:rPr>
          <w:rFonts w:ascii="Palatino Linotype" w:hAnsi="Palatino Linotype"/>
        </w:rPr>
        <w:t xml:space="preserve"> on their websites</w:t>
      </w:r>
      <w:r w:rsidRPr="00221288" w:rsidR="00203077">
        <w:rPr>
          <w:rFonts w:ascii="Palatino Linotype" w:hAnsi="Palatino Linotype"/>
        </w:rPr>
        <w:t xml:space="preserve"> within </w:t>
      </w:r>
      <w:r w:rsidRPr="00221288" w:rsidR="004A26F9">
        <w:rPr>
          <w:rFonts w:ascii="Palatino Linotype" w:hAnsi="Palatino Linotype"/>
        </w:rPr>
        <w:t>five</w:t>
      </w:r>
      <w:r w:rsidRPr="00221288" w:rsidR="004345F9">
        <w:rPr>
          <w:rFonts w:ascii="Palatino Linotype" w:hAnsi="Palatino Linotype"/>
        </w:rPr>
        <w:t xml:space="preserve"> business</w:t>
      </w:r>
      <w:r w:rsidRPr="00221288" w:rsidR="002531A2">
        <w:rPr>
          <w:rFonts w:ascii="Palatino Linotype" w:hAnsi="Palatino Linotype"/>
        </w:rPr>
        <w:t xml:space="preserve"> days of the disposition of </w:t>
      </w:r>
      <w:r w:rsidRPr="00221288" w:rsidR="002531A2">
        <w:rPr>
          <w:rFonts w:ascii="Palatino Linotype" w:hAnsi="Palatino Linotype"/>
        </w:rPr>
        <w:lastRenderedPageBreak/>
        <w:t>the</w:t>
      </w:r>
      <w:r w:rsidRPr="00221288" w:rsidR="00C22735">
        <w:rPr>
          <w:rFonts w:ascii="Palatino Linotype" w:hAnsi="Palatino Linotype"/>
        </w:rPr>
        <w:t>s</w:t>
      </w:r>
      <w:r w:rsidRPr="00221288" w:rsidR="00564446">
        <w:rPr>
          <w:rFonts w:ascii="Palatino Linotype" w:hAnsi="Palatino Linotype"/>
        </w:rPr>
        <w:t>e</w:t>
      </w:r>
      <w:r w:rsidRPr="00221288" w:rsidDel="00C22735" w:rsidR="002531A2">
        <w:rPr>
          <w:rFonts w:ascii="Palatino Linotype" w:hAnsi="Palatino Linotype"/>
        </w:rPr>
        <w:t xml:space="preserve"> </w:t>
      </w:r>
      <w:r w:rsidRPr="00221288" w:rsidR="002531A2">
        <w:rPr>
          <w:rFonts w:ascii="Palatino Linotype" w:hAnsi="Palatino Linotype"/>
        </w:rPr>
        <w:t>ALs</w:t>
      </w:r>
      <w:r w:rsidRPr="00221288" w:rsidR="00AC1AC3">
        <w:rPr>
          <w:rFonts w:ascii="Palatino Linotype" w:hAnsi="Palatino Linotype"/>
        </w:rPr>
        <w:t xml:space="preserve"> to aid in public understanding.</w:t>
      </w:r>
      <w:r w:rsidRPr="00221288" w:rsidR="004D0AF5">
        <w:rPr>
          <w:rFonts w:ascii="Palatino Linotype" w:hAnsi="Palatino Linotype"/>
        </w:rPr>
        <w:t xml:space="preserve"> The utilities sha</w:t>
      </w:r>
      <w:r w:rsidRPr="00221288" w:rsidR="006946C1">
        <w:rPr>
          <w:rFonts w:ascii="Palatino Linotype" w:hAnsi="Palatino Linotype"/>
        </w:rPr>
        <w:t>ll</w:t>
      </w:r>
      <w:r w:rsidRPr="00221288" w:rsidR="00DE2FAE">
        <w:rPr>
          <w:rFonts w:ascii="Palatino Linotype" w:hAnsi="Palatino Linotype"/>
        </w:rPr>
        <w:t xml:space="preserve"> continue to</w:t>
      </w:r>
      <w:r w:rsidRPr="00221288" w:rsidR="006946C1">
        <w:rPr>
          <w:rFonts w:ascii="Palatino Linotype" w:hAnsi="Palatino Linotype"/>
        </w:rPr>
        <w:t xml:space="preserve"> use th</w:t>
      </w:r>
      <w:r w:rsidRPr="00221288" w:rsidR="00DE2FAE">
        <w:rPr>
          <w:rFonts w:ascii="Palatino Linotype" w:hAnsi="Palatino Linotype"/>
        </w:rPr>
        <w:t xml:space="preserve">e </w:t>
      </w:r>
      <w:r w:rsidRPr="00221288" w:rsidR="00D00A26">
        <w:rPr>
          <w:rFonts w:ascii="Palatino Linotype" w:hAnsi="Palatino Linotype"/>
        </w:rPr>
        <w:t>simple average</w:t>
      </w:r>
      <w:r w:rsidRPr="00221288" w:rsidR="00DE2FAE">
        <w:rPr>
          <w:rFonts w:ascii="Palatino Linotype" w:hAnsi="Palatino Linotype"/>
        </w:rPr>
        <w:t xml:space="preserve"> calculation method after future ACC updates.</w:t>
      </w:r>
    </w:p>
    <w:p w:rsidRPr="00221288" w:rsidR="00734035" w:rsidP="00384D2B" w:rsidRDefault="00734035" w14:paraId="4123FDD0" w14:textId="31573075">
      <w:pPr>
        <w:rPr>
          <w:rFonts w:ascii="Palatino Linotype" w:hAnsi="Palatino Linotype"/>
          <w:i/>
        </w:rPr>
      </w:pPr>
    </w:p>
    <w:p w:rsidRPr="00221288" w:rsidR="00266B6A" w:rsidP="005B0AB0" w:rsidRDefault="00266B6A" w14:paraId="3D9888EE" w14:textId="77777777">
      <w:pPr>
        <w:pStyle w:val="Heading3"/>
        <w:rPr>
          <w:rFonts w:ascii="Palatino Linotype" w:hAnsi="Palatino Linotype"/>
        </w:rPr>
      </w:pPr>
      <w:r w:rsidRPr="00221288">
        <w:rPr>
          <w:rFonts w:ascii="Palatino Linotype" w:hAnsi="Palatino Linotype"/>
        </w:rPr>
        <w:t>Format and Content of Published Retail Export Compensation Rates</w:t>
      </w:r>
    </w:p>
    <w:p w:rsidRPr="00221288" w:rsidR="00266B6A" w:rsidP="00384D2B" w:rsidRDefault="00266B6A" w14:paraId="19AD9557" w14:textId="77777777">
      <w:pPr>
        <w:rPr>
          <w:rFonts w:ascii="Palatino Linotype" w:hAnsi="Palatino Linotype"/>
        </w:rPr>
      </w:pPr>
    </w:p>
    <w:p w:rsidRPr="00221288" w:rsidR="00266B6A" w:rsidP="00384D2B" w:rsidRDefault="00A146BD" w14:paraId="139DBAB1" w14:textId="240C4ECE">
      <w:pPr>
        <w:rPr>
          <w:rFonts w:ascii="Palatino Linotype" w:hAnsi="Palatino Linotype"/>
        </w:rPr>
      </w:pPr>
      <w:r w:rsidRPr="00221288">
        <w:rPr>
          <w:rFonts w:ascii="Palatino Linotype" w:hAnsi="Palatino Linotype"/>
        </w:rPr>
        <w:t>D.22-12-056</w:t>
      </w:r>
      <w:r w:rsidRPr="00221288" w:rsidR="00CD26F3">
        <w:rPr>
          <w:rFonts w:ascii="Palatino Linotype" w:hAnsi="Palatino Linotype"/>
        </w:rPr>
        <w:t>, ordering paragraph 12</w:t>
      </w:r>
      <w:r w:rsidRPr="00221288" w:rsidR="007F6539">
        <w:rPr>
          <w:rFonts w:ascii="Palatino Linotype" w:hAnsi="Palatino Linotype"/>
        </w:rPr>
        <w:t xml:space="preserve"> (</w:t>
      </w:r>
      <w:r w:rsidRPr="00221288" w:rsidR="0009647E">
        <w:rPr>
          <w:rFonts w:ascii="Palatino Linotype" w:hAnsi="Palatino Linotype"/>
        </w:rPr>
        <w:t>b</w:t>
      </w:r>
      <w:r w:rsidRPr="00221288" w:rsidR="007F6539">
        <w:rPr>
          <w:rFonts w:ascii="Palatino Linotype" w:hAnsi="Palatino Linotype"/>
        </w:rPr>
        <w:t>)</w:t>
      </w:r>
      <w:r w:rsidRPr="00221288" w:rsidR="0009647E">
        <w:rPr>
          <w:rFonts w:ascii="Palatino Linotype" w:hAnsi="Palatino Linotype"/>
        </w:rPr>
        <w:t xml:space="preserve">, requires the utilities to “provide the details of the successor tariff and all </w:t>
      </w:r>
      <w:proofErr w:type="spellStart"/>
      <w:r w:rsidRPr="00221288" w:rsidR="0009647E">
        <w:rPr>
          <w:rFonts w:ascii="Palatino Linotype" w:hAnsi="Palatino Linotype"/>
        </w:rPr>
        <w:t>subtariffs</w:t>
      </w:r>
      <w:proofErr w:type="spellEnd"/>
      <w:r w:rsidRPr="00221288" w:rsidR="0009647E">
        <w:rPr>
          <w:rFonts w:ascii="Palatino Linotype" w:hAnsi="Palatino Linotype"/>
        </w:rPr>
        <w:t>, as adopted in this decision</w:t>
      </w:r>
      <w:r w:rsidRPr="00221288" w:rsidR="00D01E3F">
        <w:rPr>
          <w:rFonts w:ascii="Palatino Linotype" w:hAnsi="Palatino Linotype"/>
        </w:rPr>
        <w:t>” in the</w:t>
      </w:r>
      <w:r w:rsidRPr="00221288" w:rsidR="001D7989">
        <w:rPr>
          <w:rFonts w:ascii="Palatino Linotype" w:hAnsi="Palatino Linotype"/>
        </w:rPr>
        <w:t>se</w:t>
      </w:r>
      <w:r w:rsidRPr="00221288" w:rsidDel="001D7989" w:rsidR="00D01E3F">
        <w:rPr>
          <w:rFonts w:ascii="Palatino Linotype" w:hAnsi="Palatino Linotype"/>
        </w:rPr>
        <w:t xml:space="preserve"> </w:t>
      </w:r>
      <w:r w:rsidRPr="00221288" w:rsidR="004C0CD5">
        <w:rPr>
          <w:rFonts w:ascii="Palatino Linotype" w:hAnsi="Palatino Linotype"/>
        </w:rPr>
        <w:t>AL</w:t>
      </w:r>
      <w:r w:rsidRPr="00221288" w:rsidR="00D01E3F">
        <w:rPr>
          <w:rFonts w:ascii="Palatino Linotype" w:hAnsi="Palatino Linotype"/>
        </w:rPr>
        <w:t>s</w:t>
      </w:r>
      <w:r w:rsidRPr="00221288" w:rsidR="0009647E">
        <w:rPr>
          <w:rFonts w:ascii="Palatino Linotype" w:hAnsi="Palatino Linotype"/>
        </w:rPr>
        <w:t>.</w:t>
      </w:r>
      <w:r w:rsidRPr="00221288" w:rsidR="00D01E3F">
        <w:rPr>
          <w:rFonts w:ascii="Palatino Linotype" w:hAnsi="Palatino Linotype"/>
        </w:rPr>
        <w:t xml:space="preserve"> The </w:t>
      </w:r>
      <w:r w:rsidRPr="00221288" w:rsidR="00233C30">
        <w:rPr>
          <w:rFonts w:ascii="Palatino Linotype" w:hAnsi="Palatino Linotype"/>
        </w:rPr>
        <w:t xml:space="preserve">decision text </w:t>
      </w:r>
      <w:r w:rsidRPr="00221288" w:rsidR="00412FD3">
        <w:rPr>
          <w:rFonts w:ascii="Palatino Linotype" w:hAnsi="Palatino Linotype"/>
        </w:rPr>
        <w:t xml:space="preserve">relevant to </w:t>
      </w:r>
      <w:r w:rsidRPr="00221288" w:rsidR="00E96668">
        <w:rPr>
          <w:rFonts w:ascii="Palatino Linotype" w:hAnsi="Palatino Linotype"/>
        </w:rPr>
        <w:t>publishing retail export compensation rates</w:t>
      </w:r>
      <w:r w:rsidRPr="00221288" w:rsidR="00412FD3">
        <w:rPr>
          <w:rFonts w:ascii="Palatino Linotype" w:hAnsi="Palatino Linotype"/>
        </w:rPr>
        <w:t xml:space="preserve"> </w:t>
      </w:r>
      <w:r w:rsidRPr="00221288" w:rsidR="00233C30">
        <w:rPr>
          <w:rFonts w:ascii="Palatino Linotype" w:hAnsi="Palatino Linotype"/>
        </w:rPr>
        <w:t>is:</w:t>
      </w:r>
    </w:p>
    <w:p w:rsidRPr="00221288" w:rsidR="00403B14" w:rsidP="00384D2B" w:rsidRDefault="00403B14" w14:paraId="2F585ACF" w14:textId="77777777">
      <w:pPr>
        <w:rPr>
          <w:rFonts w:ascii="Palatino Linotype" w:hAnsi="Palatino Linotype"/>
        </w:rPr>
      </w:pPr>
    </w:p>
    <w:p w:rsidRPr="00221288" w:rsidR="001732A6" w:rsidP="005B0AB0" w:rsidRDefault="001732A6" w14:paraId="45D987A0" w14:textId="60300B86">
      <w:pPr>
        <w:ind w:left="720"/>
        <w:rPr>
          <w:rFonts w:ascii="Palatino Linotype" w:hAnsi="Palatino Linotype"/>
        </w:rPr>
      </w:pPr>
      <w:r w:rsidRPr="00221288">
        <w:rPr>
          <w:rFonts w:ascii="Palatino Linotype" w:hAnsi="Palatino Linotype"/>
        </w:rPr>
        <w:t>Further, Joint Utilities shall coordinate to provide uniform machine-readable spreadsheets containing the export values for each vintage of Avoided Cost Calculator updates. The spreadsheets shall include separate columns for delivery-related and energy-related portions of the retail export compensation rate to accommodate unbundled customers. In Section 8.7, this decision directs Joint Utilities to submit advice letters implementing the successor tariff; Joint Utilities shall: (1) describe the standardized method and provide the retail export compensation rates in the required advice letter; and (2) articulate which components of the Avoided Cost Calculator are under the jurisdiction of the utilities in the case of unbundled customers. Joint Utilities shall also include an example of the spreadsheet as an attachment to the required advice letter.</w:t>
      </w:r>
      <w:r w:rsidRPr="00221288" w:rsidR="007D1EDC">
        <w:rPr>
          <w:rStyle w:val="FootnoteReference"/>
          <w:rFonts w:ascii="Palatino Linotype" w:hAnsi="Palatino Linotype"/>
        </w:rPr>
        <w:footnoteReference w:id="11"/>
      </w:r>
    </w:p>
    <w:p w:rsidRPr="00221288" w:rsidR="001732A6" w:rsidP="00384D2B" w:rsidRDefault="001732A6" w14:paraId="72EA6902" w14:textId="4534D60C">
      <w:pPr>
        <w:rPr>
          <w:rFonts w:ascii="Palatino Linotype" w:hAnsi="Palatino Linotype"/>
        </w:rPr>
      </w:pPr>
    </w:p>
    <w:p w:rsidRPr="00221288" w:rsidR="003223CF" w:rsidP="00384D2B" w:rsidRDefault="00795F4B" w14:paraId="70B79D4F" w14:textId="7F07F710">
      <w:pPr>
        <w:rPr>
          <w:rFonts w:ascii="Palatino Linotype" w:hAnsi="Palatino Linotype"/>
        </w:rPr>
      </w:pPr>
      <w:r w:rsidRPr="00221288">
        <w:rPr>
          <w:rFonts w:ascii="Palatino Linotype" w:hAnsi="Palatino Linotype"/>
        </w:rPr>
        <w:t xml:space="preserve">The utilities did not comply with </w:t>
      </w:r>
      <w:r w:rsidRPr="00221288" w:rsidR="00A460C2">
        <w:rPr>
          <w:rFonts w:ascii="Palatino Linotype" w:hAnsi="Palatino Linotype"/>
        </w:rPr>
        <w:t>the requirement to coordinate</w:t>
      </w:r>
      <w:r w:rsidRPr="00221288" w:rsidR="007E4ABE">
        <w:rPr>
          <w:rFonts w:ascii="Palatino Linotype" w:hAnsi="Palatino Linotype"/>
        </w:rPr>
        <w:t xml:space="preserve">. </w:t>
      </w:r>
      <w:r w:rsidRPr="00221288" w:rsidR="00E75690">
        <w:rPr>
          <w:rFonts w:ascii="Palatino Linotype" w:hAnsi="Palatino Linotype"/>
        </w:rPr>
        <w:t xml:space="preserve">In the absence of a jointly stated utility preference for a uniform </w:t>
      </w:r>
      <w:r w:rsidRPr="00221288" w:rsidR="00591B56">
        <w:rPr>
          <w:rFonts w:ascii="Palatino Linotype" w:hAnsi="Palatino Linotype"/>
        </w:rPr>
        <w:t xml:space="preserve">spreadsheet format, </w:t>
      </w:r>
      <w:r w:rsidRPr="00221288" w:rsidR="002469EC">
        <w:rPr>
          <w:rFonts w:ascii="Palatino Linotype" w:hAnsi="Palatino Linotype"/>
        </w:rPr>
        <w:t xml:space="preserve">CALSSA’s proposals for </w:t>
      </w:r>
      <w:r w:rsidRPr="00221288" w:rsidR="009937F5">
        <w:rPr>
          <w:rFonts w:ascii="Palatino Linotype" w:hAnsi="Palatino Linotype"/>
        </w:rPr>
        <w:t xml:space="preserve">the publishing location, file type, contents, and other characteristics of the uniform machine-readable spreadsheets are reasonable. </w:t>
      </w:r>
      <w:r w:rsidRPr="00221288" w:rsidR="00E76D2D">
        <w:rPr>
          <w:rFonts w:ascii="Palatino Linotype" w:hAnsi="Palatino Linotype"/>
        </w:rPr>
        <w:t xml:space="preserve">However, rather than </w:t>
      </w:r>
      <w:r w:rsidRPr="00221288" w:rsidR="00DC6D06">
        <w:rPr>
          <w:rFonts w:ascii="Palatino Linotype" w:hAnsi="Palatino Linotype"/>
        </w:rPr>
        <w:t xml:space="preserve">publishing retail export compensation rates </w:t>
      </w:r>
      <w:r w:rsidRPr="00221288" w:rsidR="00024196">
        <w:rPr>
          <w:rFonts w:ascii="Palatino Linotype" w:hAnsi="Palatino Linotype"/>
        </w:rPr>
        <w:t xml:space="preserve">through 2050 as CALSSA proposes, the utilities shall publish </w:t>
      </w:r>
      <w:r w:rsidRPr="00221288" w:rsidR="00576675">
        <w:rPr>
          <w:rFonts w:ascii="Palatino Linotype" w:hAnsi="Palatino Linotype"/>
        </w:rPr>
        <w:t xml:space="preserve">the rates for the next 20 years, in alignment with the </w:t>
      </w:r>
      <w:r w:rsidRPr="00221288" w:rsidR="004D18E3">
        <w:rPr>
          <w:rFonts w:ascii="Palatino Linotype" w:hAnsi="Palatino Linotype"/>
        </w:rPr>
        <w:t>20-</w:t>
      </w:r>
      <w:r w:rsidRPr="00221288" w:rsidR="00E931DE">
        <w:rPr>
          <w:rFonts w:ascii="Palatino Linotype" w:hAnsi="Palatino Linotype"/>
        </w:rPr>
        <w:t xml:space="preserve">year </w:t>
      </w:r>
      <w:r w:rsidRPr="00221288" w:rsidR="00576675">
        <w:rPr>
          <w:rFonts w:ascii="Palatino Linotype" w:hAnsi="Palatino Linotype"/>
        </w:rPr>
        <w:t xml:space="preserve">requirements of </w:t>
      </w:r>
      <w:r w:rsidR="00824FD3">
        <w:rPr>
          <w:rFonts w:ascii="Palatino Linotype" w:hAnsi="Palatino Linotype"/>
        </w:rPr>
        <w:br/>
      </w:r>
      <w:r w:rsidRPr="00221288" w:rsidR="00576675">
        <w:rPr>
          <w:rFonts w:ascii="Palatino Linotype" w:hAnsi="Palatino Linotype"/>
        </w:rPr>
        <w:t>D.20-08-001.</w:t>
      </w:r>
      <w:r w:rsidRPr="00221288" w:rsidR="00576675">
        <w:rPr>
          <w:rStyle w:val="FootnoteReference"/>
          <w:rFonts w:ascii="Palatino Linotype" w:hAnsi="Palatino Linotype"/>
        </w:rPr>
        <w:footnoteReference w:id="12"/>
      </w:r>
      <w:r w:rsidRPr="00221288" w:rsidR="00576675">
        <w:rPr>
          <w:rFonts w:ascii="Palatino Linotype" w:hAnsi="Palatino Linotype"/>
        </w:rPr>
        <w:t xml:space="preserve"> </w:t>
      </w:r>
      <w:r w:rsidRPr="00221288" w:rsidR="00185855">
        <w:rPr>
          <w:rFonts w:ascii="Palatino Linotype" w:hAnsi="Palatino Linotype"/>
        </w:rPr>
        <w:t xml:space="preserve">The utilities shall coordinate and publish such spreadsheets on their respective websites </w:t>
      </w:r>
      <w:r w:rsidRPr="00221288" w:rsidR="00751390">
        <w:rPr>
          <w:rFonts w:ascii="Palatino Linotype" w:hAnsi="Palatino Linotype"/>
        </w:rPr>
        <w:t xml:space="preserve">within five </w:t>
      </w:r>
      <w:r w:rsidRPr="00221288" w:rsidR="001A4BC0">
        <w:rPr>
          <w:rFonts w:ascii="Palatino Linotype" w:hAnsi="Palatino Linotype"/>
        </w:rPr>
        <w:t xml:space="preserve">business </w:t>
      </w:r>
      <w:r w:rsidRPr="00221288" w:rsidR="00751390">
        <w:rPr>
          <w:rFonts w:ascii="Palatino Linotype" w:hAnsi="Palatino Linotype"/>
        </w:rPr>
        <w:t xml:space="preserve">days after the </w:t>
      </w:r>
      <w:r w:rsidRPr="00221288" w:rsidR="00B747C0">
        <w:rPr>
          <w:rFonts w:ascii="Palatino Linotype" w:hAnsi="Palatino Linotype"/>
        </w:rPr>
        <w:t xml:space="preserve">effective date </w:t>
      </w:r>
      <w:r w:rsidRPr="00221288" w:rsidR="00751390">
        <w:rPr>
          <w:rFonts w:ascii="Palatino Linotype" w:hAnsi="Palatino Linotype"/>
        </w:rPr>
        <w:t xml:space="preserve">of this </w:t>
      </w:r>
      <w:r w:rsidRPr="00221288" w:rsidR="00B90603">
        <w:rPr>
          <w:rFonts w:ascii="Palatino Linotype" w:hAnsi="Palatino Linotype"/>
        </w:rPr>
        <w:t>R</w:t>
      </w:r>
      <w:r w:rsidRPr="00221288" w:rsidR="00751390">
        <w:rPr>
          <w:rFonts w:ascii="Palatino Linotype" w:hAnsi="Palatino Linotype"/>
        </w:rPr>
        <w:t>esolution.</w:t>
      </w:r>
      <w:r w:rsidRPr="00221288" w:rsidR="005D6A33">
        <w:rPr>
          <w:rFonts w:ascii="Palatino Linotype" w:hAnsi="Palatino Linotype"/>
        </w:rPr>
        <w:t xml:space="preserve"> Following future updates to the ACC, the utilities shall publish such spreadsheets </w:t>
      </w:r>
      <w:r w:rsidRPr="00221288" w:rsidR="00324A12">
        <w:rPr>
          <w:rFonts w:ascii="Palatino Linotype" w:hAnsi="Palatino Linotype"/>
        </w:rPr>
        <w:t>to their respective websites</w:t>
      </w:r>
      <w:r w:rsidRPr="00221288" w:rsidR="005D6A33">
        <w:rPr>
          <w:rFonts w:ascii="Palatino Linotype" w:hAnsi="Palatino Linotype"/>
        </w:rPr>
        <w:t xml:space="preserve"> by </w:t>
      </w:r>
      <w:r w:rsidRPr="00221288" w:rsidR="00E006DA">
        <w:rPr>
          <w:rFonts w:ascii="Palatino Linotype" w:hAnsi="Palatino Linotype"/>
        </w:rPr>
        <w:t>October 1</w:t>
      </w:r>
      <w:r w:rsidRPr="00221288" w:rsidR="002162DF">
        <w:rPr>
          <w:rFonts w:ascii="Palatino Linotype" w:hAnsi="Palatino Linotype"/>
        </w:rPr>
        <w:t xml:space="preserve"> of the year the update is approved.</w:t>
      </w:r>
      <w:r w:rsidRPr="00221288" w:rsidR="00EE07FA">
        <w:rPr>
          <w:rFonts w:ascii="Palatino Linotype" w:hAnsi="Palatino Linotype"/>
        </w:rPr>
        <w:t xml:space="preserve"> Finally, PG&amp;E did not comply with requirement (2) </w:t>
      </w:r>
      <w:r w:rsidRPr="00221288" w:rsidR="000A473F">
        <w:rPr>
          <w:rFonts w:ascii="Palatino Linotype" w:hAnsi="Palatino Linotype"/>
        </w:rPr>
        <w:t xml:space="preserve">in the quote </w:t>
      </w:r>
      <w:r w:rsidRPr="00221288" w:rsidR="00EE07FA">
        <w:rPr>
          <w:rFonts w:ascii="Palatino Linotype" w:hAnsi="Palatino Linotype"/>
        </w:rPr>
        <w:t xml:space="preserve">above. PG&amp;E shall </w:t>
      </w:r>
      <w:r w:rsidRPr="00221288" w:rsidR="00D24BCC">
        <w:rPr>
          <w:rFonts w:ascii="Palatino Linotype" w:hAnsi="Palatino Linotype"/>
        </w:rPr>
        <w:t xml:space="preserve">include this information in </w:t>
      </w:r>
      <w:r w:rsidRPr="00221288" w:rsidR="0071609F">
        <w:rPr>
          <w:rFonts w:ascii="Palatino Linotype" w:hAnsi="Palatino Linotype"/>
        </w:rPr>
        <w:t>its</w:t>
      </w:r>
      <w:r w:rsidRPr="00221288" w:rsidR="00D24BCC">
        <w:rPr>
          <w:rFonts w:ascii="Palatino Linotype" w:hAnsi="Palatino Linotype"/>
        </w:rPr>
        <w:t xml:space="preserve"> </w:t>
      </w:r>
      <w:r w:rsidRPr="00221288" w:rsidR="00AF394F">
        <w:rPr>
          <w:rFonts w:ascii="Palatino Linotype" w:hAnsi="Palatino Linotype"/>
        </w:rPr>
        <w:t>“</w:t>
      </w:r>
      <w:r w:rsidRPr="00221288" w:rsidR="00F31634">
        <w:rPr>
          <w:rFonts w:ascii="Palatino Linotype" w:hAnsi="Palatino Linotype"/>
        </w:rPr>
        <w:t>NBT Modifications AL</w:t>
      </w:r>
      <w:r w:rsidRPr="00221288" w:rsidR="00AF394F">
        <w:rPr>
          <w:rFonts w:ascii="Palatino Linotype" w:hAnsi="Palatino Linotype"/>
        </w:rPr>
        <w:t>” described below</w:t>
      </w:r>
      <w:r w:rsidRPr="00221288" w:rsidR="00F31634">
        <w:rPr>
          <w:rFonts w:ascii="Palatino Linotype" w:hAnsi="Palatino Linotype"/>
        </w:rPr>
        <w:t>.</w:t>
      </w:r>
      <w:r w:rsidRPr="00221288" w:rsidR="00EE07FA">
        <w:rPr>
          <w:rFonts w:ascii="Palatino Linotype" w:hAnsi="Palatino Linotype"/>
        </w:rPr>
        <w:t xml:space="preserve"> </w:t>
      </w:r>
    </w:p>
    <w:p w:rsidRPr="00221288" w:rsidR="007642F4" w:rsidP="00332875" w:rsidRDefault="007642F4" w14:paraId="06A2C193" w14:textId="77777777">
      <w:pPr>
        <w:rPr>
          <w:rFonts w:ascii="Palatino Linotype" w:hAnsi="Palatino Linotype"/>
        </w:rPr>
      </w:pPr>
    </w:p>
    <w:p w:rsidRPr="00221288" w:rsidR="0098390C" w:rsidP="005B0AB0" w:rsidRDefault="0098390C" w14:paraId="2C6C67C9" w14:textId="70BA8D11">
      <w:pPr>
        <w:pStyle w:val="Heading3"/>
        <w:rPr>
          <w:rFonts w:ascii="Palatino Linotype" w:hAnsi="Palatino Linotype"/>
          <w:highlight w:val="cyan"/>
        </w:rPr>
      </w:pPr>
      <w:r w:rsidRPr="00221288">
        <w:rPr>
          <w:rFonts w:ascii="Palatino Linotype" w:hAnsi="Palatino Linotype"/>
        </w:rPr>
        <w:t>Separate Application of Generation- and Delivery-Related Bill Credits</w:t>
      </w:r>
    </w:p>
    <w:p w:rsidRPr="00221288" w:rsidR="0015735C" w:rsidP="00384D2B" w:rsidRDefault="0015735C" w14:paraId="3CD3CDC1" w14:textId="77777777">
      <w:pPr>
        <w:rPr>
          <w:rFonts w:ascii="Palatino Linotype" w:hAnsi="Palatino Linotype"/>
          <w:highlight w:val="cyan"/>
        </w:rPr>
      </w:pPr>
    </w:p>
    <w:p w:rsidRPr="00221288" w:rsidR="007438DB" w:rsidP="00384D2B" w:rsidRDefault="00C57AB0" w14:paraId="51DA3F02" w14:textId="5BF0F2EA">
      <w:pPr>
        <w:rPr>
          <w:rFonts w:ascii="Palatino Linotype" w:hAnsi="Palatino Linotype"/>
        </w:rPr>
      </w:pPr>
      <w:r w:rsidRPr="00221288">
        <w:rPr>
          <w:rFonts w:ascii="Palatino Linotype" w:hAnsi="Palatino Linotype"/>
        </w:rPr>
        <w:lastRenderedPageBreak/>
        <w:t>CALSSA is</w:t>
      </w:r>
      <w:r w:rsidRPr="00221288" w:rsidR="006A2281">
        <w:rPr>
          <w:rFonts w:ascii="Palatino Linotype" w:hAnsi="Palatino Linotype"/>
        </w:rPr>
        <w:t xml:space="preserve"> </w:t>
      </w:r>
      <w:r w:rsidRPr="00221288" w:rsidR="00D66CAE">
        <w:rPr>
          <w:rFonts w:ascii="Palatino Linotype" w:hAnsi="Palatino Linotype"/>
        </w:rPr>
        <w:t xml:space="preserve">correct that </w:t>
      </w:r>
      <w:r w:rsidRPr="00221288" w:rsidR="001F5DB2">
        <w:rPr>
          <w:rFonts w:ascii="Palatino Linotype" w:hAnsi="Palatino Linotype"/>
        </w:rPr>
        <w:t>the</w:t>
      </w:r>
      <w:r w:rsidRPr="00221288" w:rsidR="00731A77">
        <w:rPr>
          <w:rFonts w:ascii="Palatino Linotype" w:hAnsi="Palatino Linotype"/>
        </w:rPr>
        <w:t xml:space="preserve"> methodology proposed by the utilities</w:t>
      </w:r>
      <w:r w:rsidRPr="00221288" w:rsidR="001F5DB2">
        <w:rPr>
          <w:rFonts w:ascii="Palatino Linotype" w:hAnsi="Palatino Linotype"/>
        </w:rPr>
        <w:t xml:space="preserve"> could result in </w:t>
      </w:r>
      <w:r w:rsidRPr="00221288" w:rsidR="008A25E2">
        <w:rPr>
          <w:rFonts w:ascii="Palatino Linotype" w:hAnsi="Palatino Linotype"/>
        </w:rPr>
        <w:t>the unintended cons</w:t>
      </w:r>
      <w:r w:rsidRPr="00221288" w:rsidR="007438DB">
        <w:rPr>
          <w:rFonts w:ascii="Palatino Linotype" w:hAnsi="Palatino Linotype"/>
        </w:rPr>
        <w:t xml:space="preserve">equence of </w:t>
      </w:r>
      <w:r w:rsidRPr="00221288" w:rsidR="00560402">
        <w:rPr>
          <w:rFonts w:ascii="Palatino Linotype" w:hAnsi="Palatino Linotype"/>
        </w:rPr>
        <w:t xml:space="preserve">slightly </w:t>
      </w:r>
      <w:r w:rsidRPr="00221288" w:rsidR="007438DB">
        <w:rPr>
          <w:rFonts w:ascii="Palatino Linotype" w:hAnsi="Palatino Linotype"/>
        </w:rPr>
        <w:t xml:space="preserve">dampening the </w:t>
      </w:r>
      <w:r w:rsidRPr="00221288" w:rsidR="004816C5">
        <w:rPr>
          <w:rFonts w:ascii="Palatino Linotype" w:hAnsi="Palatino Linotype"/>
        </w:rPr>
        <w:t>retail export compensation</w:t>
      </w:r>
      <w:r w:rsidRPr="00221288" w:rsidR="007438DB">
        <w:rPr>
          <w:rFonts w:ascii="Palatino Linotype" w:hAnsi="Palatino Linotype"/>
        </w:rPr>
        <w:t xml:space="preserve"> price signal during key hours when the grid is most strained and is emitting the most greenhouse gases</w:t>
      </w:r>
      <w:r w:rsidRPr="00221288" w:rsidR="006237A7">
        <w:rPr>
          <w:rFonts w:ascii="Palatino Linotype" w:hAnsi="Palatino Linotype"/>
        </w:rPr>
        <w:t xml:space="preserve">. However, the utilities </w:t>
      </w:r>
      <w:r w:rsidRPr="00221288" w:rsidR="00B20A10">
        <w:rPr>
          <w:rFonts w:ascii="Palatino Linotype" w:hAnsi="Palatino Linotype"/>
        </w:rPr>
        <w:t>are correct</w:t>
      </w:r>
      <w:r w:rsidRPr="00221288" w:rsidDel="00B223A5" w:rsidR="00B20A10">
        <w:rPr>
          <w:rFonts w:ascii="Palatino Linotype" w:hAnsi="Palatino Linotype"/>
        </w:rPr>
        <w:t xml:space="preserve"> </w:t>
      </w:r>
      <w:r w:rsidRPr="00221288" w:rsidR="00B20A10">
        <w:rPr>
          <w:rFonts w:ascii="Palatino Linotype" w:hAnsi="Palatino Linotype"/>
        </w:rPr>
        <w:t xml:space="preserve">that they have an obligation to treat bundled and unbundled customers </w:t>
      </w:r>
      <w:r w:rsidRPr="00221288" w:rsidR="008A25E2">
        <w:rPr>
          <w:rFonts w:ascii="Palatino Linotype" w:hAnsi="Palatino Linotype"/>
        </w:rPr>
        <w:t>indifferently.</w:t>
      </w:r>
    </w:p>
    <w:p w:rsidRPr="00221288" w:rsidR="00316585" w:rsidP="00384D2B" w:rsidRDefault="00316585" w14:paraId="3399B67E" w14:textId="77777777">
      <w:pPr>
        <w:rPr>
          <w:rFonts w:ascii="Palatino Linotype" w:hAnsi="Palatino Linotype"/>
        </w:rPr>
      </w:pPr>
    </w:p>
    <w:p w:rsidRPr="00221288" w:rsidR="00316585" w:rsidP="00384D2B" w:rsidRDefault="00316585" w14:paraId="72A3C2EA" w14:textId="2874D7B2">
      <w:pPr>
        <w:rPr>
          <w:rFonts w:ascii="Palatino Linotype" w:hAnsi="Palatino Linotype"/>
        </w:rPr>
      </w:pPr>
      <w:r w:rsidRPr="00221288">
        <w:rPr>
          <w:rFonts w:ascii="Palatino Linotype" w:hAnsi="Palatino Linotype"/>
        </w:rPr>
        <w:t>The utilities</w:t>
      </w:r>
      <w:r w:rsidRPr="00221288" w:rsidR="0073586C">
        <w:rPr>
          <w:rFonts w:ascii="Palatino Linotype" w:hAnsi="Palatino Linotype"/>
        </w:rPr>
        <w:t>’</w:t>
      </w:r>
      <w:r w:rsidRPr="00221288">
        <w:rPr>
          <w:rFonts w:ascii="Palatino Linotype" w:hAnsi="Palatino Linotype"/>
        </w:rPr>
        <w:t xml:space="preserve"> proposal to </w:t>
      </w:r>
      <w:r w:rsidRPr="00221288" w:rsidR="00420276">
        <w:rPr>
          <w:rFonts w:ascii="Palatino Linotype" w:hAnsi="Palatino Linotype"/>
        </w:rPr>
        <w:t xml:space="preserve">separately allocate generation and delivery credits is approved. </w:t>
      </w:r>
      <w:r w:rsidRPr="00221288" w:rsidR="00C654CE">
        <w:rPr>
          <w:rFonts w:ascii="Palatino Linotype" w:hAnsi="Palatino Linotype"/>
        </w:rPr>
        <w:t xml:space="preserve">However, </w:t>
      </w:r>
      <w:r w:rsidRPr="00221288" w:rsidR="00E24324">
        <w:rPr>
          <w:rFonts w:ascii="Palatino Linotype" w:hAnsi="Palatino Linotype"/>
        </w:rPr>
        <w:t xml:space="preserve">within 60 days of the </w:t>
      </w:r>
      <w:r w:rsidRPr="00221288" w:rsidR="00DA6B05">
        <w:rPr>
          <w:rFonts w:ascii="Palatino Linotype" w:hAnsi="Palatino Linotype"/>
        </w:rPr>
        <w:t>effective date</w:t>
      </w:r>
      <w:r w:rsidRPr="00221288" w:rsidR="00E24324">
        <w:rPr>
          <w:rFonts w:ascii="Palatino Linotype" w:hAnsi="Palatino Linotype"/>
        </w:rPr>
        <w:t xml:space="preserve"> of this Resolution, the utilities shall submit new Tier 2 ALs </w:t>
      </w:r>
      <w:r w:rsidRPr="00221288" w:rsidR="009C1677">
        <w:rPr>
          <w:rFonts w:ascii="Palatino Linotype" w:hAnsi="Palatino Linotype"/>
        </w:rPr>
        <w:t>with an effective date of July 1, 2024</w:t>
      </w:r>
      <w:r w:rsidRPr="00221288" w:rsidR="00C8565D">
        <w:rPr>
          <w:rFonts w:ascii="Palatino Linotype" w:hAnsi="Palatino Linotype"/>
        </w:rPr>
        <w:t xml:space="preserve"> </w:t>
      </w:r>
      <w:r w:rsidRPr="00221288" w:rsidR="00E24324">
        <w:rPr>
          <w:rFonts w:ascii="Palatino Linotype" w:hAnsi="Palatino Linotype"/>
        </w:rPr>
        <w:t>in which</w:t>
      </w:r>
      <w:r w:rsidRPr="00221288" w:rsidR="00C8565D">
        <w:rPr>
          <w:rFonts w:ascii="Palatino Linotype" w:hAnsi="Palatino Linotype"/>
        </w:rPr>
        <w:t xml:space="preserve"> </w:t>
      </w:r>
      <w:r w:rsidRPr="00221288" w:rsidR="00C654CE">
        <w:rPr>
          <w:rFonts w:ascii="Palatino Linotype" w:hAnsi="Palatino Linotype"/>
        </w:rPr>
        <w:t xml:space="preserve">the </w:t>
      </w:r>
      <w:r w:rsidRPr="00221288" w:rsidR="006810C2">
        <w:rPr>
          <w:rFonts w:ascii="Palatino Linotype" w:hAnsi="Palatino Linotype"/>
        </w:rPr>
        <w:t>utilities</w:t>
      </w:r>
      <w:r w:rsidRPr="00221288" w:rsidR="00C94FEC">
        <w:rPr>
          <w:rFonts w:ascii="Palatino Linotype" w:hAnsi="Palatino Linotype"/>
        </w:rPr>
        <w:t xml:space="preserve"> shall propose </w:t>
      </w:r>
      <w:r w:rsidRPr="00221288" w:rsidR="009C1677">
        <w:rPr>
          <w:rFonts w:ascii="Palatino Linotype" w:hAnsi="Palatino Linotype"/>
        </w:rPr>
        <w:t>that</w:t>
      </w:r>
      <w:r w:rsidRPr="00221288" w:rsidR="00857FBD">
        <w:rPr>
          <w:rFonts w:ascii="Palatino Linotype" w:hAnsi="Palatino Linotype"/>
        </w:rPr>
        <w:t xml:space="preserve"> i</w:t>
      </w:r>
      <w:r w:rsidRPr="00221288" w:rsidR="00834BBA">
        <w:rPr>
          <w:rFonts w:ascii="Palatino Linotype" w:hAnsi="Palatino Linotype"/>
        </w:rPr>
        <w:t>f</w:t>
      </w:r>
      <w:r w:rsidRPr="00221288" w:rsidR="004166B2">
        <w:rPr>
          <w:rFonts w:ascii="Palatino Linotype" w:hAnsi="Palatino Linotype"/>
        </w:rPr>
        <w:t>,</w:t>
      </w:r>
      <w:r w:rsidRPr="00221288" w:rsidR="00834BBA">
        <w:rPr>
          <w:rFonts w:ascii="Palatino Linotype" w:hAnsi="Palatino Linotype"/>
        </w:rPr>
        <w:t xml:space="preserve"> at the end of a customer’s relevant period (</w:t>
      </w:r>
      <w:r w:rsidRPr="00221288" w:rsidR="00C018F2">
        <w:rPr>
          <w:rFonts w:ascii="Palatino Linotype" w:hAnsi="Palatino Linotype"/>
        </w:rPr>
        <w:t>true</w:t>
      </w:r>
      <w:r w:rsidRPr="00221288" w:rsidR="00834BBA">
        <w:rPr>
          <w:rFonts w:ascii="Palatino Linotype" w:hAnsi="Palatino Linotype"/>
        </w:rPr>
        <w:t>-up period), the customer has excess generation credits or excess delivery credits, that balance of credits is carried forward to the next relevant period.</w:t>
      </w:r>
      <w:r w:rsidRPr="00221288" w:rsidR="009C1677">
        <w:rPr>
          <w:rFonts w:ascii="Palatino Linotype" w:hAnsi="Palatino Linotype"/>
        </w:rPr>
        <w:t xml:space="preserve"> These ALs will herein be referred to as the “NBT Modifications </w:t>
      </w:r>
      <w:r w:rsidRPr="00221288" w:rsidR="000B71E6">
        <w:rPr>
          <w:rFonts w:ascii="Palatino Linotype" w:hAnsi="Palatino Linotype"/>
        </w:rPr>
        <w:t>AL</w:t>
      </w:r>
      <w:r w:rsidRPr="00221288" w:rsidR="009C1677">
        <w:rPr>
          <w:rFonts w:ascii="Palatino Linotype" w:hAnsi="Palatino Linotype"/>
        </w:rPr>
        <w:t>s.”</w:t>
      </w:r>
    </w:p>
    <w:p w:rsidRPr="00221288" w:rsidR="006A2281" w:rsidP="00384D2B" w:rsidRDefault="006A2281" w14:paraId="05ACE13B" w14:textId="77777777">
      <w:pPr>
        <w:rPr>
          <w:rFonts w:ascii="Palatino Linotype" w:hAnsi="Palatino Linotype"/>
        </w:rPr>
      </w:pPr>
    </w:p>
    <w:p w:rsidRPr="00221288" w:rsidR="00045494" w:rsidP="00045494" w:rsidRDefault="00045494" w14:paraId="54C28857" w14:textId="77777777">
      <w:pPr>
        <w:pStyle w:val="Heading3"/>
        <w:rPr>
          <w:rFonts w:ascii="Palatino Linotype" w:hAnsi="Palatino Linotype"/>
        </w:rPr>
      </w:pPr>
      <w:r w:rsidRPr="00221288">
        <w:rPr>
          <w:rFonts w:ascii="Palatino Linotype" w:hAnsi="Palatino Linotype"/>
        </w:rPr>
        <w:t>Eligibility of Retail Exports for Demand Response Program Compensation</w:t>
      </w:r>
    </w:p>
    <w:p w:rsidRPr="00221288" w:rsidR="00045494" w:rsidP="00045494" w:rsidRDefault="00045494" w14:paraId="45F54BBF" w14:textId="77777777">
      <w:pPr>
        <w:rPr>
          <w:rFonts w:ascii="Palatino Linotype" w:hAnsi="Palatino Linotype"/>
        </w:rPr>
      </w:pPr>
    </w:p>
    <w:p w:rsidRPr="00221288" w:rsidR="00045494" w:rsidP="00045494" w:rsidRDefault="00045494" w14:paraId="6E67A591" w14:textId="77777777">
      <w:pPr>
        <w:rPr>
          <w:rFonts w:ascii="Palatino Linotype" w:hAnsi="Palatino Linotype"/>
        </w:rPr>
      </w:pPr>
      <w:r w:rsidRPr="00221288">
        <w:rPr>
          <w:rFonts w:ascii="Palatino Linotype" w:hAnsi="Palatino Linotype"/>
        </w:rPr>
        <w:t>PG&amp;E’s assertion that its proposed language prohibiting NBT customers from being compensated for exports in demand response programs is in “the” NEM 1.0 and NEM 2.0 tariffs is misleading. This language is only in PG&amp;E’s NEM tariffs, not the other utilities’ tariffs. As CALSSA, SEIA, and SDG&amp;E note, D.22-12-056 did not address this topic. The decision directed the utilities to allow NBT customers to enroll in critical peak pricing or peak day pricing rates, neither of which provide compensation for exports. Since the inclusion of this proposed language would be making a change from the NEM tariffs for SDG&amp;E, and no party showed why the proposed language is needed, the protestors’ request is granted. PG&amp;E and SDG&amp;E shall remove this prohibition from the tariffs in their NBT Modifications ALs.</w:t>
      </w:r>
    </w:p>
    <w:p w:rsidRPr="00221288" w:rsidR="00045494" w:rsidP="00045494" w:rsidRDefault="00045494" w14:paraId="19479AF2" w14:textId="77777777">
      <w:pPr>
        <w:rPr>
          <w:rFonts w:ascii="Palatino Linotype" w:hAnsi="Palatino Linotype"/>
        </w:rPr>
      </w:pPr>
    </w:p>
    <w:p w:rsidRPr="00221288" w:rsidR="00244162" w:rsidRDefault="00244162" w14:paraId="205352B1" w14:textId="0608E07D">
      <w:pPr>
        <w:pStyle w:val="Heading3"/>
        <w:rPr>
          <w:rFonts w:ascii="Palatino Linotype" w:hAnsi="Palatino Linotype"/>
        </w:rPr>
      </w:pPr>
      <w:r w:rsidRPr="00221288">
        <w:rPr>
          <w:rFonts w:ascii="Palatino Linotype" w:hAnsi="Palatino Linotype"/>
        </w:rPr>
        <w:t>Establishing Disadvantaged Community Treatment Eligibility</w:t>
      </w:r>
    </w:p>
    <w:p w:rsidRPr="00221288" w:rsidR="00F41DF5" w:rsidP="00F41DF5" w:rsidRDefault="00F41DF5" w14:paraId="38C5674D" w14:textId="77777777">
      <w:pPr>
        <w:rPr>
          <w:rFonts w:ascii="Palatino Linotype" w:hAnsi="Palatino Linotype"/>
          <w:highlight w:val="cyan"/>
        </w:rPr>
      </w:pPr>
    </w:p>
    <w:p w:rsidRPr="00221288" w:rsidR="00D033B7" w:rsidP="00C22D36" w:rsidRDefault="00953E4F" w14:paraId="114398CC" w14:textId="6F9E0D02">
      <w:pPr>
        <w:rPr>
          <w:rFonts w:ascii="Palatino Linotype" w:hAnsi="Palatino Linotype"/>
        </w:rPr>
      </w:pPr>
      <w:r w:rsidRPr="00221288">
        <w:rPr>
          <w:rFonts w:ascii="Palatino Linotype" w:hAnsi="Palatino Linotype"/>
        </w:rPr>
        <w:t xml:space="preserve">CALSSA's request for the utilities to ask the interconnection applicant if the property is in a DAC was rejected in the disposition of PG&amp;E AL 6849-E/-E-A, SCE AL 4962-E/-E-A, and SDG&amp;E AL 4156-E/-E-A. </w:t>
      </w:r>
      <w:r w:rsidRPr="00221288" w:rsidR="00D033B7">
        <w:rPr>
          <w:rFonts w:ascii="Palatino Linotype" w:hAnsi="Palatino Linotype"/>
        </w:rPr>
        <w:t>The utilities’ prop</w:t>
      </w:r>
      <w:r w:rsidRPr="00221288" w:rsidR="008B1051">
        <w:rPr>
          <w:rFonts w:ascii="Palatino Linotype" w:hAnsi="Palatino Linotype"/>
        </w:rPr>
        <w:t xml:space="preserve">osed methods of verifying a </w:t>
      </w:r>
      <w:r w:rsidR="00824FD3">
        <w:rPr>
          <w:rFonts w:ascii="Palatino Linotype" w:hAnsi="Palatino Linotype"/>
        </w:rPr>
        <w:br/>
      </w:r>
      <w:r w:rsidRPr="00221288" w:rsidR="008B1051">
        <w:rPr>
          <w:rFonts w:ascii="Palatino Linotype" w:hAnsi="Palatino Linotype"/>
        </w:rPr>
        <w:t>customer’s geographic location in a DAC are approved.</w:t>
      </w:r>
    </w:p>
    <w:p w:rsidRPr="00221288" w:rsidR="00D033B7" w:rsidP="00C22D36" w:rsidRDefault="00D033B7" w14:paraId="6D40DD31" w14:textId="77777777">
      <w:pPr>
        <w:rPr>
          <w:rFonts w:ascii="Palatino Linotype" w:hAnsi="Palatino Linotype"/>
        </w:rPr>
      </w:pPr>
    </w:p>
    <w:p w:rsidRPr="00221288" w:rsidR="00484E92" w:rsidP="00123683" w:rsidRDefault="00E77276" w14:paraId="40676701" w14:textId="1D65EAA8">
      <w:pPr>
        <w:rPr>
          <w:rFonts w:ascii="Palatino Linotype" w:hAnsi="Palatino Linotype"/>
        </w:rPr>
      </w:pPr>
      <w:r w:rsidRPr="00221288">
        <w:rPr>
          <w:rFonts w:ascii="Palatino Linotype" w:hAnsi="Palatino Linotype"/>
        </w:rPr>
        <w:t xml:space="preserve">SCE is correct that </w:t>
      </w:r>
      <w:r w:rsidRPr="00221288" w:rsidR="00BE0D02">
        <w:rPr>
          <w:rFonts w:ascii="Palatino Linotype" w:hAnsi="Palatino Linotype"/>
        </w:rPr>
        <w:t xml:space="preserve">being required to validate single family home ownership </w:t>
      </w:r>
      <w:r w:rsidRPr="00221288" w:rsidR="009B66B6">
        <w:rPr>
          <w:rFonts w:ascii="Palatino Linotype" w:hAnsi="Palatino Linotype"/>
        </w:rPr>
        <w:t>could</w:t>
      </w:r>
      <w:r w:rsidRPr="00221288" w:rsidR="00BE0D02">
        <w:rPr>
          <w:rFonts w:ascii="Palatino Linotype" w:hAnsi="Palatino Linotype"/>
        </w:rPr>
        <w:t xml:space="preserve"> add time to the application review process</w:t>
      </w:r>
      <w:r w:rsidRPr="00221288" w:rsidR="00216486">
        <w:rPr>
          <w:rFonts w:ascii="Palatino Linotype" w:hAnsi="Palatino Linotype"/>
        </w:rPr>
        <w:t xml:space="preserve">, as could being required to validate </w:t>
      </w:r>
      <w:r w:rsidR="00824FD3">
        <w:rPr>
          <w:rFonts w:ascii="Palatino Linotype" w:hAnsi="Palatino Linotype"/>
        </w:rPr>
        <w:br/>
      </w:r>
      <w:r w:rsidRPr="00221288" w:rsidR="00216486">
        <w:rPr>
          <w:rFonts w:ascii="Palatino Linotype" w:hAnsi="Palatino Linotype"/>
        </w:rPr>
        <w:t>resident-ownership</w:t>
      </w:r>
      <w:r w:rsidRPr="00221288" w:rsidR="00BE0D02">
        <w:rPr>
          <w:rFonts w:ascii="Palatino Linotype" w:hAnsi="Palatino Linotype"/>
        </w:rPr>
        <w:t>.</w:t>
      </w:r>
      <w:r w:rsidRPr="00221288" w:rsidR="009B66B6">
        <w:rPr>
          <w:rFonts w:ascii="Palatino Linotype" w:hAnsi="Palatino Linotype"/>
        </w:rPr>
        <w:t xml:space="preserve"> </w:t>
      </w:r>
      <w:r w:rsidRPr="00221288" w:rsidR="00484E92">
        <w:rPr>
          <w:rFonts w:ascii="Palatino Linotype" w:hAnsi="Palatino Linotype"/>
        </w:rPr>
        <w:t>Therefore,</w:t>
      </w:r>
      <w:r w:rsidRPr="00221288" w:rsidR="001635D2">
        <w:rPr>
          <w:rFonts w:ascii="Palatino Linotype" w:hAnsi="Palatino Linotype"/>
        </w:rPr>
        <w:t xml:space="preserve"> </w:t>
      </w:r>
      <w:r w:rsidRPr="00221288" w:rsidR="000D2B05">
        <w:rPr>
          <w:rFonts w:ascii="Palatino Linotype" w:hAnsi="Palatino Linotype"/>
        </w:rPr>
        <w:t xml:space="preserve">this Resolution clarifies </w:t>
      </w:r>
      <w:r w:rsidRPr="00221288" w:rsidR="00D72AF1">
        <w:rPr>
          <w:rFonts w:ascii="Palatino Linotype" w:hAnsi="Palatino Linotype"/>
        </w:rPr>
        <w:t>that</w:t>
      </w:r>
      <w:r w:rsidRPr="00221288" w:rsidR="00B12393">
        <w:rPr>
          <w:rFonts w:ascii="Palatino Linotype" w:hAnsi="Palatino Linotype"/>
        </w:rPr>
        <w:t xml:space="preserve"> to implement </w:t>
      </w:r>
      <w:r w:rsidRPr="00221288" w:rsidR="00E71DA6">
        <w:rPr>
          <w:rFonts w:ascii="Palatino Linotype" w:hAnsi="Palatino Linotype"/>
        </w:rPr>
        <w:t xml:space="preserve">the requirement </w:t>
      </w:r>
      <w:r w:rsidRPr="00221288" w:rsidR="00FC1B55">
        <w:rPr>
          <w:rFonts w:ascii="Palatino Linotype" w:hAnsi="Palatino Linotype"/>
        </w:rPr>
        <w:t xml:space="preserve">that customers </w:t>
      </w:r>
      <w:r w:rsidRPr="00221288" w:rsidR="0068743E">
        <w:rPr>
          <w:rFonts w:ascii="Palatino Linotype" w:hAnsi="Palatino Linotype"/>
        </w:rPr>
        <w:t>be</w:t>
      </w:r>
      <w:r w:rsidRPr="00221288" w:rsidR="00FC1B55">
        <w:rPr>
          <w:rFonts w:ascii="Palatino Linotype" w:hAnsi="Palatino Linotype"/>
        </w:rPr>
        <w:t xml:space="preserve"> resident-owners of single-family homes</w:t>
      </w:r>
      <w:r w:rsidRPr="00221288" w:rsidR="00F26C1D">
        <w:rPr>
          <w:rFonts w:ascii="Palatino Linotype" w:hAnsi="Palatino Linotype"/>
        </w:rPr>
        <w:t xml:space="preserve"> to qualify </w:t>
      </w:r>
      <w:r w:rsidRPr="00221288" w:rsidR="009749DB">
        <w:rPr>
          <w:rFonts w:ascii="Palatino Linotype" w:hAnsi="Palatino Linotype"/>
        </w:rPr>
        <w:t>for low-income treatment</w:t>
      </w:r>
      <w:r w:rsidRPr="00221288" w:rsidR="005D5659">
        <w:rPr>
          <w:rFonts w:ascii="Palatino Linotype" w:hAnsi="Palatino Linotype"/>
        </w:rPr>
        <w:t xml:space="preserve"> </w:t>
      </w:r>
      <w:r w:rsidRPr="00221288" w:rsidR="000E1217">
        <w:rPr>
          <w:rFonts w:ascii="Palatino Linotype" w:hAnsi="Palatino Linotype"/>
        </w:rPr>
        <w:t>in the net billing tariff</w:t>
      </w:r>
      <w:r w:rsidRPr="00221288" w:rsidR="009749DB">
        <w:rPr>
          <w:rFonts w:ascii="Palatino Linotype" w:hAnsi="Palatino Linotype"/>
        </w:rPr>
        <w:t xml:space="preserve"> under the </w:t>
      </w:r>
      <w:r w:rsidRPr="00221288" w:rsidR="00A3670A">
        <w:rPr>
          <w:rFonts w:ascii="Palatino Linotype" w:hAnsi="Palatino Linotype"/>
        </w:rPr>
        <w:t>DAC</w:t>
      </w:r>
      <w:r w:rsidRPr="00221288" w:rsidR="00C35280">
        <w:rPr>
          <w:rFonts w:ascii="Palatino Linotype" w:hAnsi="Palatino Linotype"/>
        </w:rPr>
        <w:t xml:space="preserve"> </w:t>
      </w:r>
      <w:r w:rsidRPr="00221288" w:rsidR="00A13ACC">
        <w:rPr>
          <w:rFonts w:ascii="Palatino Linotype" w:hAnsi="Palatino Linotype"/>
        </w:rPr>
        <w:t>residence</w:t>
      </w:r>
      <w:r w:rsidRPr="00221288" w:rsidR="00DB6333">
        <w:rPr>
          <w:rFonts w:ascii="Palatino Linotype" w:hAnsi="Palatino Linotype"/>
        </w:rPr>
        <w:t xml:space="preserve"> </w:t>
      </w:r>
      <w:r w:rsidRPr="00221288" w:rsidR="000E1217">
        <w:rPr>
          <w:rFonts w:ascii="Palatino Linotype" w:hAnsi="Palatino Linotype"/>
        </w:rPr>
        <w:t>provision of</w:t>
      </w:r>
      <w:r w:rsidRPr="00221288" w:rsidR="005D5659">
        <w:rPr>
          <w:rFonts w:ascii="Palatino Linotype" w:hAnsi="Palatino Linotype"/>
        </w:rPr>
        <w:t xml:space="preserve"> </w:t>
      </w:r>
      <w:r w:rsidRPr="00221288" w:rsidR="005D5659">
        <w:rPr>
          <w:rFonts w:ascii="Palatino Linotype" w:hAnsi="Palatino Linotype"/>
        </w:rPr>
        <w:lastRenderedPageBreak/>
        <w:t>D.22-12-056, ordering paragraph 1(b)</w:t>
      </w:r>
      <w:r w:rsidRPr="00221288" w:rsidR="000E1217">
        <w:rPr>
          <w:rFonts w:ascii="Palatino Linotype" w:hAnsi="Palatino Linotype"/>
        </w:rPr>
        <w:t xml:space="preserve">, </w:t>
      </w:r>
      <w:r w:rsidRPr="00221288" w:rsidR="001635D2">
        <w:rPr>
          <w:rFonts w:ascii="Palatino Linotype" w:hAnsi="Palatino Linotype"/>
        </w:rPr>
        <w:t xml:space="preserve">PG&amp;E and SCE shall </w:t>
      </w:r>
      <w:r w:rsidRPr="00221288" w:rsidR="0087342D">
        <w:rPr>
          <w:rFonts w:ascii="Palatino Linotype" w:hAnsi="Palatino Linotype"/>
        </w:rPr>
        <w:t xml:space="preserve">verify </w:t>
      </w:r>
      <w:r w:rsidRPr="00221288" w:rsidR="006C44F1">
        <w:rPr>
          <w:rFonts w:ascii="Palatino Linotype" w:hAnsi="Palatino Linotype"/>
        </w:rPr>
        <w:t>that customers have residential accounts with one meter.</w:t>
      </w:r>
      <w:r w:rsidRPr="00221288" w:rsidDel="00813A5D" w:rsidR="006C44F1">
        <w:rPr>
          <w:rFonts w:ascii="Palatino Linotype" w:hAnsi="Palatino Linotype"/>
        </w:rPr>
        <w:t xml:space="preserve"> </w:t>
      </w:r>
    </w:p>
    <w:p w:rsidRPr="00221288" w:rsidR="00365FD8" w:rsidP="00123683" w:rsidRDefault="00365FD8" w14:paraId="59ECD9BC" w14:textId="77777777">
      <w:pPr>
        <w:rPr>
          <w:rFonts w:ascii="Palatino Linotype" w:hAnsi="Palatino Linotype"/>
        </w:rPr>
      </w:pPr>
    </w:p>
    <w:p w:rsidRPr="00221288" w:rsidR="002758B4" w:rsidP="002758B4" w:rsidRDefault="002758B4" w14:paraId="74817D44" w14:textId="77777777">
      <w:pPr>
        <w:pStyle w:val="Heading3"/>
        <w:rPr>
          <w:rFonts w:ascii="Palatino Linotype" w:hAnsi="Palatino Linotype"/>
        </w:rPr>
      </w:pPr>
      <w:r w:rsidRPr="00221288">
        <w:rPr>
          <w:rFonts w:ascii="Palatino Linotype" w:hAnsi="Palatino Linotype"/>
        </w:rPr>
        <w:t>Lock-In Period Eligibility and Glide Path Step Determining Dates</w:t>
      </w:r>
    </w:p>
    <w:p w:rsidRPr="00221288" w:rsidR="002758B4" w:rsidP="002758B4" w:rsidRDefault="002758B4" w14:paraId="26AF87ED" w14:textId="77777777">
      <w:pPr>
        <w:rPr>
          <w:rFonts w:ascii="Palatino Linotype" w:hAnsi="Palatino Linotype"/>
        </w:rPr>
      </w:pPr>
    </w:p>
    <w:p w:rsidRPr="00221288" w:rsidR="002758B4" w:rsidP="002758B4" w:rsidRDefault="002758B4" w14:paraId="36FE4A11" w14:textId="03C63A6A">
      <w:pPr>
        <w:rPr>
          <w:rFonts w:ascii="Palatino Linotype" w:hAnsi="Palatino Linotype"/>
        </w:rPr>
      </w:pPr>
      <w:r w:rsidRPr="00221288">
        <w:rPr>
          <w:rFonts w:ascii="Palatino Linotype" w:hAnsi="Palatino Linotype"/>
        </w:rPr>
        <w:t>The utilities a</w:t>
      </w:r>
      <w:r w:rsidRPr="00221288" w:rsidR="00B95587">
        <w:rPr>
          <w:rFonts w:ascii="Palatino Linotype" w:hAnsi="Palatino Linotype"/>
        </w:rPr>
        <w:t>re correct that</w:t>
      </w:r>
      <w:r w:rsidRPr="00221288">
        <w:rPr>
          <w:rFonts w:ascii="Palatino Linotype" w:hAnsi="Palatino Linotype"/>
        </w:rPr>
        <w:t xml:space="preserve"> linking the lock-in period with a customer’s interconnection date is </w:t>
      </w:r>
      <w:r w:rsidRPr="00221288" w:rsidR="00B95587">
        <w:rPr>
          <w:rFonts w:ascii="Palatino Linotype" w:hAnsi="Palatino Linotype"/>
        </w:rPr>
        <w:t>appropriate</w:t>
      </w:r>
      <w:r w:rsidRPr="00221288">
        <w:rPr>
          <w:rFonts w:ascii="Palatino Linotype" w:hAnsi="Palatino Linotype"/>
        </w:rPr>
        <w:t xml:space="preserve">, since submitting an application to enroll in a tariff does not guarantee that one may enroll in the tariff. Thus, the date of application submittal is not the date of enrollment. Also, as SDG&amp;E states, starting the lock-in period on the interconnection date is consistent with both NEM 1.0 and NEM 2.0 tariffs. This element of the tariffs was directed by the Commission in D.14-03-041 and maintained in </w:t>
      </w:r>
      <w:r w:rsidR="00824FD3">
        <w:rPr>
          <w:rFonts w:ascii="Palatino Linotype" w:hAnsi="Palatino Linotype"/>
        </w:rPr>
        <w:br/>
      </w:r>
      <w:r w:rsidRPr="00221288">
        <w:rPr>
          <w:rFonts w:ascii="Palatino Linotype" w:hAnsi="Palatino Linotype"/>
        </w:rPr>
        <w:t>D.16-01-044, which states that in the 2014 decision, “the Commission established a transition period of 20 years after the original year that each NEM facility interconnects.”</w:t>
      </w:r>
      <w:r w:rsidRPr="00221288">
        <w:rPr>
          <w:rStyle w:val="FootnoteReference"/>
          <w:rFonts w:ascii="Palatino Linotype" w:hAnsi="Palatino Linotype"/>
        </w:rPr>
        <w:footnoteReference w:id="13"/>
      </w:r>
      <w:r w:rsidRPr="00221288">
        <w:rPr>
          <w:rFonts w:ascii="Palatino Linotype" w:hAnsi="Palatino Linotype"/>
        </w:rPr>
        <w:t xml:space="preserve"> SCE’s proposed tariff appropriately provides that for customers with an original PTO date between April 15, 2023 and December 31, 2027, retail export compensation rates will be fixed during the first nine years beginning on the original PTO date. PG&amp;E and SDG&amp;E are directed to clarify in their NBT Modification ALs that they determine eligibility for the lock-in period by the date of interconnection. </w:t>
      </w:r>
      <w:r w:rsidR="00824FD3">
        <w:rPr>
          <w:rFonts w:ascii="Palatino Linotype" w:hAnsi="Palatino Linotype"/>
        </w:rPr>
        <w:br/>
      </w:r>
      <w:r w:rsidRPr="00221288">
        <w:rPr>
          <w:rFonts w:ascii="Palatino Linotype" w:hAnsi="Palatino Linotype"/>
        </w:rPr>
        <w:t xml:space="preserve">SDG&amp;E’s proposed tariff appears to be in accordance with this but should be clearer, similar to SCE’s. In addition, should SDG&amp;E choose to retain the lock-in period requirement in AL 4155-E-A that customers have submitted all documentation necessary to receive service, SDG&amp;E is directed to clarify the implementation of this requirement in its new AL. </w:t>
      </w:r>
    </w:p>
    <w:p w:rsidRPr="00221288" w:rsidR="002758B4" w:rsidP="002758B4" w:rsidRDefault="002758B4" w14:paraId="58CBB65B" w14:textId="5E0A64BF">
      <w:pPr>
        <w:rPr>
          <w:rFonts w:ascii="Palatino Linotype" w:hAnsi="Palatino Linotype"/>
        </w:rPr>
      </w:pPr>
      <w:r w:rsidRPr="00221288">
        <w:rPr>
          <w:rFonts w:ascii="Palatino Linotype" w:hAnsi="Palatino Linotype"/>
        </w:rPr>
        <w:t xml:space="preserve">The Commission notes, in reference to PG&amp;E’s and SCE’s replies, that the Customer Explanation was provided </w:t>
      </w:r>
      <w:r w:rsidRPr="00221288" w:rsidR="009E23AC">
        <w:rPr>
          <w:rFonts w:ascii="Palatino Linotype" w:hAnsi="Palatino Linotype"/>
        </w:rPr>
        <w:t>to</w:t>
      </w:r>
      <w:r w:rsidRPr="00221288">
        <w:rPr>
          <w:rFonts w:ascii="Palatino Linotype" w:hAnsi="Palatino Linotype"/>
        </w:rPr>
        <w:t xml:space="preserve"> illustrat</w:t>
      </w:r>
      <w:r w:rsidRPr="00221288" w:rsidR="009E23AC">
        <w:rPr>
          <w:rFonts w:ascii="Palatino Linotype" w:hAnsi="Palatino Linotype"/>
        </w:rPr>
        <w:t>e</w:t>
      </w:r>
      <w:r w:rsidRPr="00221288">
        <w:rPr>
          <w:rFonts w:ascii="Palatino Linotype" w:hAnsi="Palatino Linotype"/>
        </w:rPr>
        <w:t xml:space="preserve"> an example of a way to communicate information to customers, and should not be relied upon in preference to the ordering paragraphs or more detailed parts of the decision.</w:t>
      </w:r>
    </w:p>
    <w:p w:rsidRPr="00221288" w:rsidR="002758B4" w:rsidP="002758B4" w:rsidRDefault="002758B4" w14:paraId="1A1FB4C0" w14:textId="77777777">
      <w:pPr>
        <w:rPr>
          <w:rFonts w:ascii="Palatino Linotype" w:hAnsi="Palatino Linotype"/>
        </w:rPr>
      </w:pPr>
    </w:p>
    <w:p w:rsidRPr="00221288" w:rsidR="00991AE0" w:rsidP="00991AE0" w:rsidRDefault="00991AE0" w14:paraId="5BA5AD05" w14:textId="77777777">
      <w:pPr>
        <w:pStyle w:val="Heading3"/>
        <w:rPr>
          <w:rFonts w:ascii="Palatino Linotype" w:hAnsi="Palatino Linotype"/>
        </w:rPr>
      </w:pPr>
      <w:r w:rsidRPr="00221288">
        <w:rPr>
          <w:rFonts w:ascii="Palatino Linotype" w:hAnsi="Palatino Linotype"/>
        </w:rPr>
        <w:t>Nine-Year Retail Export Compensation Rate Lock-In Period</w:t>
      </w:r>
    </w:p>
    <w:p w:rsidRPr="00221288" w:rsidR="00991AE0" w:rsidP="00991AE0" w:rsidRDefault="00991AE0" w14:paraId="7DEB732D" w14:textId="77777777">
      <w:pPr>
        <w:rPr>
          <w:rFonts w:ascii="Palatino Linotype" w:hAnsi="Palatino Linotype"/>
        </w:rPr>
      </w:pPr>
    </w:p>
    <w:p w:rsidRPr="00221288" w:rsidR="00991AE0" w:rsidP="00991AE0" w:rsidRDefault="00991AE0" w14:paraId="4CAE87CC" w14:textId="14E6F79A">
      <w:pPr>
        <w:rPr>
          <w:rFonts w:ascii="Palatino Linotype" w:hAnsi="Palatino Linotype"/>
        </w:rPr>
      </w:pPr>
      <w:r w:rsidRPr="00221288">
        <w:rPr>
          <w:rFonts w:ascii="Palatino Linotype" w:hAnsi="Palatino Linotype"/>
        </w:rPr>
        <w:t>All parties agree that the lock-in period should be for nine years from the date of interconnection.”</w:t>
      </w:r>
      <w:r w:rsidRPr="00221288">
        <w:rPr>
          <w:rFonts w:ascii="Palatino Linotype" w:hAnsi="Palatino Linotype"/>
          <w:vertAlign w:val="superscript"/>
        </w:rPr>
        <w:footnoteReference w:id="14"/>
      </w:r>
      <w:r w:rsidRPr="00221288">
        <w:rPr>
          <w:rFonts w:ascii="Palatino Linotype" w:hAnsi="Palatino Linotype"/>
        </w:rPr>
        <w:t xml:space="preserve"> PG&amp;E’s supplemental AL proposes language in accordance with this position. However, SDG&amp;E’s supplemental AL does not amend this section of the NBT, leaving in place language that makes the lock-in period last for nine years from January 1 of the calendar year in which the customer was interconnected. SDG&amp;E shall include within its NBT Modifications AL proposed changes to its tariff language to provide </w:t>
      </w:r>
      <w:r w:rsidRPr="00221288">
        <w:rPr>
          <w:rFonts w:ascii="Palatino Linotype" w:hAnsi="Palatino Linotype"/>
        </w:rPr>
        <w:lastRenderedPageBreak/>
        <w:t>eligible customers with a retail export compensation rate lock-in period that is nine years from the date of interconnection, effective (retroactively to) April 15, 2023.</w:t>
      </w:r>
    </w:p>
    <w:p w:rsidRPr="00221288" w:rsidR="00160D58" w:rsidP="005B0AB0" w:rsidRDefault="00160D58" w14:paraId="5E9C8017" w14:textId="77777777">
      <w:pPr>
        <w:rPr>
          <w:rFonts w:ascii="Palatino Linotype" w:hAnsi="Palatino Linotype"/>
        </w:rPr>
      </w:pPr>
    </w:p>
    <w:p w:rsidRPr="00221288" w:rsidR="002742E1" w:rsidP="002742E1" w:rsidRDefault="002742E1" w14:paraId="5741F6B5" w14:textId="2DEEA530">
      <w:pPr>
        <w:pStyle w:val="Heading3"/>
        <w:rPr>
          <w:rFonts w:ascii="Palatino Linotype" w:hAnsi="Palatino Linotype"/>
        </w:rPr>
      </w:pPr>
      <w:r w:rsidRPr="00221288">
        <w:rPr>
          <w:rFonts w:ascii="Palatino Linotype" w:hAnsi="Palatino Linotype"/>
        </w:rPr>
        <w:t xml:space="preserve">Legacy </w:t>
      </w:r>
      <w:r w:rsidRPr="00221288" w:rsidR="00B07EA7">
        <w:rPr>
          <w:rFonts w:ascii="Palatino Linotype" w:hAnsi="Palatino Linotype"/>
        </w:rPr>
        <w:t>Period Eligibility Timeframe</w:t>
      </w:r>
    </w:p>
    <w:p w:rsidRPr="00221288" w:rsidR="007E63F1" w:rsidP="005B0AB0" w:rsidRDefault="007E63F1" w14:paraId="49FFB330" w14:textId="77777777">
      <w:pPr>
        <w:rPr>
          <w:rFonts w:ascii="Palatino Linotype" w:hAnsi="Palatino Linotype"/>
        </w:rPr>
      </w:pPr>
    </w:p>
    <w:p w:rsidRPr="00221288" w:rsidR="006B791E" w:rsidP="00847F7E" w:rsidRDefault="00141CDC" w14:paraId="6C92F1B1" w14:textId="6C71318A">
      <w:pPr>
        <w:rPr>
          <w:rFonts w:ascii="Palatino Linotype" w:hAnsi="Palatino Linotype"/>
        </w:rPr>
      </w:pPr>
      <w:r w:rsidRPr="00221288">
        <w:rPr>
          <w:rFonts w:ascii="Palatino Linotype" w:hAnsi="Palatino Linotype"/>
        </w:rPr>
        <w:t xml:space="preserve">In its protest, CALSSA </w:t>
      </w:r>
      <w:r w:rsidRPr="00221288" w:rsidR="006C317E">
        <w:rPr>
          <w:rFonts w:ascii="Palatino Linotype" w:hAnsi="Palatino Linotype"/>
        </w:rPr>
        <w:t>omitted</w:t>
      </w:r>
      <w:r w:rsidRPr="00221288" w:rsidR="00D300CF">
        <w:rPr>
          <w:rFonts w:ascii="Palatino Linotype" w:hAnsi="Palatino Linotype"/>
        </w:rPr>
        <w:t xml:space="preserve"> </w:t>
      </w:r>
      <w:r w:rsidRPr="00221288">
        <w:rPr>
          <w:rFonts w:ascii="Palatino Linotype" w:hAnsi="Palatino Linotype"/>
        </w:rPr>
        <w:t xml:space="preserve">the final </w:t>
      </w:r>
      <w:r w:rsidRPr="00221288" w:rsidR="004B0AD6">
        <w:rPr>
          <w:rFonts w:ascii="Palatino Linotype" w:hAnsi="Palatino Linotype"/>
        </w:rPr>
        <w:t>sentence of the ordering paragraph it cited for its claim: “Tariff customers enrolling after the five-year glide path will not receive a lock-in period for Avoided Cost Calculator values.”</w:t>
      </w:r>
      <w:r w:rsidRPr="00221288" w:rsidR="004B0AD6">
        <w:rPr>
          <w:rStyle w:val="FootnoteReference"/>
          <w:rFonts w:ascii="Palatino Linotype" w:hAnsi="Palatino Linotype"/>
        </w:rPr>
        <w:footnoteReference w:id="15"/>
      </w:r>
      <w:r w:rsidRPr="00221288" w:rsidR="004B0AD6">
        <w:rPr>
          <w:rFonts w:ascii="Palatino Linotype" w:hAnsi="Palatino Linotype"/>
        </w:rPr>
        <w:t xml:space="preserve"> </w:t>
      </w:r>
      <w:r w:rsidRPr="00221288" w:rsidR="00E720E3">
        <w:rPr>
          <w:rFonts w:ascii="Palatino Linotype" w:hAnsi="Palatino Linotype"/>
        </w:rPr>
        <w:t>The availability of a legacy period is linked to that of the ACC Plus glide path, which CALSSA acknowledge</w:t>
      </w:r>
      <w:r w:rsidRPr="00221288" w:rsidR="005B689C">
        <w:rPr>
          <w:rFonts w:ascii="Palatino Linotype" w:hAnsi="Palatino Linotype"/>
        </w:rPr>
        <w:t>s</w:t>
      </w:r>
      <w:r w:rsidRPr="00221288" w:rsidR="00E720E3">
        <w:rPr>
          <w:rFonts w:ascii="Palatino Linotype" w:hAnsi="Palatino Linotype"/>
        </w:rPr>
        <w:t xml:space="preserve"> is </w:t>
      </w:r>
      <w:r w:rsidRPr="00221288" w:rsidR="00385E35">
        <w:rPr>
          <w:rFonts w:ascii="Palatino Linotype" w:hAnsi="Palatino Linotype"/>
        </w:rPr>
        <w:t xml:space="preserve">the first five calendar years of the </w:t>
      </w:r>
      <w:r w:rsidRPr="00221288" w:rsidR="00D070D2">
        <w:rPr>
          <w:rFonts w:ascii="Palatino Linotype" w:hAnsi="Palatino Linotype"/>
        </w:rPr>
        <w:t>NBT</w:t>
      </w:r>
      <w:r w:rsidRPr="00221288" w:rsidR="00385E35">
        <w:rPr>
          <w:rFonts w:ascii="Palatino Linotype" w:hAnsi="Palatino Linotype"/>
        </w:rPr>
        <w:t xml:space="preserve">. D.22-12-056 creates this link </w:t>
      </w:r>
      <w:r w:rsidRPr="00221288" w:rsidR="00240F64">
        <w:rPr>
          <w:rFonts w:ascii="Palatino Linotype" w:hAnsi="Palatino Linotype"/>
        </w:rPr>
        <w:t xml:space="preserve">in </w:t>
      </w:r>
      <w:r w:rsidRPr="00221288" w:rsidR="006B791E">
        <w:rPr>
          <w:rFonts w:ascii="Palatino Linotype" w:hAnsi="Palatino Linotype"/>
        </w:rPr>
        <w:t xml:space="preserve">the legacy period section (section 8.5.1) </w:t>
      </w:r>
      <w:r w:rsidRPr="00221288" w:rsidR="00240F64">
        <w:rPr>
          <w:rFonts w:ascii="Palatino Linotype" w:hAnsi="Palatino Linotype"/>
        </w:rPr>
        <w:t xml:space="preserve">and </w:t>
      </w:r>
      <w:r w:rsidRPr="00221288" w:rsidR="00607CE7">
        <w:rPr>
          <w:rFonts w:ascii="Palatino Linotype" w:hAnsi="Palatino Linotype"/>
        </w:rPr>
        <w:t>in</w:t>
      </w:r>
      <w:r w:rsidRPr="00221288" w:rsidR="00240F64">
        <w:rPr>
          <w:rFonts w:ascii="Palatino Linotype" w:hAnsi="Palatino Linotype"/>
        </w:rPr>
        <w:t xml:space="preserve"> ordering paragraph </w:t>
      </w:r>
      <w:r w:rsidRPr="00221288" w:rsidR="00607CE7">
        <w:rPr>
          <w:rFonts w:ascii="Palatino Linotype" w:hAnsi="Palatino Linotype"/>
        </w:rPr>
        <w:t>1</w:t>
      </w:r>
      <w:r w:rsidRPr="00221288" w:rsidR="00505E2E">
        <w:rPr>
          <w:rFonts w:ascii="Palatino Linotype" w:hAnsi="Palatino Linotype"/>
        </w:rPr>
        <w:t>(a)</w:t>
      </w:r>
      <w:r w:rsidRPr="00221288" w:rsidR="00FC162A">
        <w:rPr>
          <w:rFonts w:ascii="Palatino Linotype" w:hAnsi="Palatino Linotype"/>
        </w:rPr>
        <w:t>.</w:t>
      </w:r>
      <w:r w:rsidRPr="00221288" w:rsidR="00FC162A">
        <w:rPr>
          <w:rStyle w:val="FootnoteReference"/>
          <w:rFonts w:ascii="Palatino Linotype" w:hAnsi="Palatino Linotype"/>
        </w:rPr>
        <w:footnoteReference w:id="16"/>
      </w:r>
      <w:r w:rsidRPr="00221288" w:rsidR="008B4286">
        <w:rPr>
          <w:rFonts w:ascii="Palatino Linotype" w:hAnsi="Palatino Linotype"/>
        </w:rPr>
        <w:t xml:space="preserve"> </w:t>
      </w:r>
    </w:p>
    <w:p w:rsidRPr="00221288" w:rsidR="006B791E" w:rsidP="00847F7E" w:rsidRDefault="006B791E" w14:paraId="3EBFFDDD" w14:textId="77777777">
      <w:pPr>
        <w:rPr>
          <w:rFonts w:ascii="Palatino Linotype" w:hAnsi="Palatino Linotype"/>
        </w:rPr>
      </w:pPr>
    </w:p>
    <w:p w:rsidRPr="00221288" w:rsidR="00315FC6" w:rsidP="00847F7E" w:rsidRDefault="00505E2E" w14:paraId="13A780FE" w14:textId="68E8C476">
      <w:pPr>
        <w:rPr>
          <w:rFonts w:ascii="Palatino Linotype" w:hAnsi="Palatino Linotype"/>
        </w:rPr>
      </w:pPr>
      <w:r w:rsidRPr="00221288">
        <w:rPr>
          <w:rFonts w:ascii="Palatino Linotype" w:hAnsi="Palatino Linotype"/>
        </w:rPr>
        <w:t xml:space="preserve">The discussion of the legacy period eligibility timeframe, which D.22-12-056 terms the “transition time,” in the legacy period section (section 8.5.1) of the decision is not explicit about the meaning of “during the first five years of the tariff.” This phrase can mean during the first five years in which the tariff exists, as opposed to meaning for five years from the tariff’s start date. </w:t>
      </w:r>
      <w:r w:rsidRPr="00221288" w:rsidR="00B96DA4">
        <w:rPr>
          <w:rFonts w:ascii="Palatino Linotype" w:hAnsi="Palatino Linotype"/>
        </w:rPr>
        <w:t xml:space="preserve">The decision’s glide path section (section 8.5.2) uses </w:t>
      </w:r>
      <w:r w:rsidRPr="00221288" w:rsidR="00FF5FD3">
        <w:rPr>
          <w:rFonts w:ascii="Palatino Linotype" w:hAnsi="Palatino Linotype"/>
        </w:rPr>
        <w:t xml:space="preserve">almost </w:t>
      </w:r>
      <w:r w:rsidRPr="00221288" w:rsidR="00B96DA4">
        <w:rPr>
          <w:rFonts w:ascii="Palatino Linotype" w:hAnsi="Palatino Linotype"/>
        </w:rPr>
        <w:t>the same phrase</w:t>
      </w:r>
      <w:r w:rsidRPr="00221288" w:rsidR="00AE386A">
        <w:rPr>
          <w:rFonts w:ascii="Palatino Linotype" w:hAnsi="Palatino Linotype"/>
        </w:rPr>
        <w:t xml:space="preserve">, </w:t>
      </w:r>
      <w:r w:rsidRPr="00221288" w:rsidR="00FF5FD3">
        <w:rPr>
          <w:rFonts w:ascii="Palatino Linotype" w:hAnsi="Palatino Linotype"/>
        </w:rPr>
        <w:t>“for the first five years of the successor tariff</w:t>
      </w:r>
      <w:r w:rsidRPr="00221288" w:rsidR="00AE386A">
        <w:rPr>
          <w:rFonts w:ascii="Palatino Linotype" w:hAnsi="Palatino Linotype"/>
        </w:rPr>
        <w:t>.</w:t>
      </w:r>
      <w:r w:rsidRPr="00221288" w:rsidR="00FF5FD3">
        <w:rPr>
          <w:rFonts w:ascii="Palatino Linotype" w:hAnsi="Palatino Linotype"/>
        </w:rPr>
        <w:t>”</w:t>
      </w:r>
      <w:r w:rsidRPr="00221288" w:rsidR="00AE386A">
        <w:rPr>
          <w:rFonts w:ascii="Palatino Linotype" w:hAnsi="Palatino Linotype"/>
        </w:rPr>
        <w:t xml:space="preserve"> There, the decision</w:t>
      </w:r>
      <w:r w:rsidRPr="00221288" w:rsidR="00847F7E">
        <w:rPr>
          <w:rFonts w:ascii="Palatino Linotype" w:hAnsi="Palatino Linotype"/>
        </w:rPr>
        <w:t xml:space="preserve"> clarifies that this refers to </w:t>
      </w:r>
      <w:r w:rsidRPr="00221288" w:rsidR="00453E18">
        <w:rPr>
          <w:rFonts w:ascii="Palatino Linotype" w:hAnsi="Palatino Linotype"/>
        </w:rPr>
        <w:t>calendar years</w:t>
      </w:r>
      <w:r w:rsidRPr="00221288" w:rsidR="00AE386A">
        <w:rPr>
          <w:rFonts w:ascii="Palatino Linotype" w:hAnsi="Palatino Linotype"/>
        </w:rPr>
        <w:t>, stating</w:t>
      </w:r>
      <w:r w:rsidRPr="00221288" w:rsidR="00E474EC">
        <w:rPr>
          <w:rFonts w:ascii="Palatino Linotype" w:hAnsi="Palatino Linotype"/>
        </w:rPr>
        <w:t xml:space="preserve"> that “[a]</w:t>
      </w:r>
      <w:r w:rsidRPr="00221288" w:rsidR="00315FC6">
        <w:rPr>
          <w:rFonts w:ascii="Palatino Linotype" w:hAnsi="Palatino Linotype"/>
        </w:rPr>
        <w:t>t the end of each calendar year (e.g., December 31, 2023), the adder will decrease by 20 percent a year...</w:t>
      </w:r>
      <w:r w:rsidRPr="00221288" w:rsidR="00582BFA">
        <w:rPr>
          <w:rFonts w:ascii="Palatino Linotype" w:hAnsi="Palatino Linotype"/>
        </w:rPr>
        <w:t xml:space="preserve">” </w:t>
      </w:r>
      <w:r w:rsidRPr="00221288" w:rsidR="001F58E9">
        <w:rPr>
          <w:rFonts w:ascii="Palatino Linotype" w:hAnsi="Palatino Linotype"/>
        </w:rPr>
        <w:t>It then</w:t>
      </w:r>
      <w:r w:rsidRPr="00221288" w:rsidR="00582BFA">
        <w:rPr>
          <w:rFonts w:ascii="Palatino Linotype" w:hAnsi="Palatino Linotype"/>
        </w:rPr>
        <w:t xml:space="preserve"> continues, “[a]</w:t>
      </w:r>
      <w:proofErr w:type="spellStart"/>
      <w:r w:rsidRPr="00221288" w:rsidR="00315FC6">
        <w:rPr>
          <w:rFonts w:ascii="Palatino Linotype" w:hAnsi="Palatino Linotype"/>
        </w:rPr>
        <w:t>ligning</w:t>
      </w:r>
      <w:proofErr w:type="spellEnd"/>
      <w:r w:rsidRPr="00221288" w:rsidR="00315FC6">
        <w:rPr>
          <w:rFonts w:ascii="Palatino Linotype" w:hAnsi="Palatino Linotype"/>
        </w:rPr>
        <w:t xml:space="preserve"> the timing of the step-downs with calendar years will assist with customer understanding...</w:t>
      </w:r>
      <w:r w:rsidRPr="00221288" w:rsidR="00582BFA">
        <w:rPr>
          <w:rFonts w:ascii="Palatino Linotype" w:hAnsi="Palatino Linotype"/>
        </w:rPr>
        <w:t xml:space="preserve">” Further, the </w:t>
      </w:r>
      <w:r w:rsidRPr="00221288" w:rsidR="00017554">
        <w:rPr>
          <w:rFonts w:ascii="Palatino Linotype" w:hAnsi="Palatino Linotype"/>
        </w:rPr>
        <w:t xml:space="preserve">decision shows glide path steps based on calendar years and ending after 2027 in Figures 3 </w:t>
      </w:r>
      <w:r w:rsidRPr="00221288" w:rsidR="006519CF">
        <w:rPr>
          <w:rFonts w:ascii="Palatino Linotype" w:hAnsi="Palatino Linotype"/>
        </w:rPr>
        <w:t>and</w:t>
      </w:r>
      <w:r w:rsidRPr="00221288" w:rsidR="00017554">
        <w:rPr>
          <w:rFonts w:ascii="Palatino Linotype" w:hAnsi="Palatino Linotype"/>
        </w:rPr>
        <w:t xml:space="preserve"> 5</w:t>
      </w:r>
      <w:r w:rsidRPr="00221288" w:rsidR="00315FC6">
        <w:rPr>
          <w:rFonts w:ascii="Palatino Linotype" w:hAnsi="Palatino Linotype"/>
        </w:rPr>
        <w:t>.</w:t>
      </w:r>
      <w:r w:rsidRPr="00221288" w:rsidR="00017554">
        <w:rPr>
          <w:rStyle w:val="FootnoteReference"/>
          <w:rFonts w:ascii="Palatino Linotype" w:hAnsi="Palatino Linotype"/>
        </w:rPr>
        <w:footnoteReference w:id="17"/>
      </w:r>
    </w:p>
    <w:p w:rsidRPr="00221288" w:rsidR="002742E1" w:rsidP="002742E1" w:rsidRDefault="002742E1" w14:paraId="1B4434E0" w14:textId="1C0C5A15">
      <w:pPr>
        <w:rPr>
          <w:rFonts w:ascii="Palatino Linotype" w:hAnsi="Palatino Linotype"/>
        </w:rPr>
      </w:pPr>
    </w:p>
    <w:p w:rsidRPr="00221288" w:rsidR="00C82078" w:rsidP="002742E1" w:rsidRDefault="002F221E" w14:paraId="536C3E2C" w14:textId="66BBA955">
      <w:pPr>
        <w:rPr>
          <w:rFonts w:ascii="Palatino Linotype" w:hAnsi="Palatino Linotype"/>
        </w:rPr>
      </w:pPr>
      <w:r w:rsidRPr="00221288">
        <w:rPr>
          <w:rFonts w:ascii="Palatino Linotype" w:hAnsi="Palatino Linotype"/>
        </w:rPr>
        <w:t>Also</w:t>
      </w:r>
      <w:r w:rsidRPr="00221288" w:rsidR="00865B01">
        <w:rPr>
          <w:rFonts w:ascii="Palatino Linotype" w:hAnsi="Palatino Linotype"/>
        </w:rPr>
        <w:t>,</w:t>
      </w:r>
      <w:r w:rsidRPr="00221288" w:rsidR="00C1151D">
        <w:rPr>
          <w:rFonts w:ascii="Palatino Linotype" w:hAnsi="Palatino Linotype"/>
        </w:rPr>
        <w:t xml:space="preserve"> </w:t>
      </w:r>
      <w:r w:rsidRPr="00221288" w:rsidR="00AB6F14">
        <w:rPr>
          <w:rFonts w:ascii="Palatino Linotype" w:hAnsi="Palatino Linotype"/>
        </w:rPr>
        <w:t>D.22-12-056</w:t>
      </w:r>
      <w:r w:rsidRPr="00221288" w:rsidR="00770DFF">
        <w:rPr>
          <w:rFonts w:ascii="Palatino Linotype" w:hAnsi="Palatino Linotype"/>
        </w:rPr>
        <w:t xml:space="preserve"> was careful not to </w:t>
      </w:r>
      <w:r w:rsidRPr="00221288" w:rsidR="00AB6F14">
        <w:rPr>
          <w:rFonts w:ascii="Palatino Linotype" w:hAnsi="Palatino Linotype"/>
        </w:rPr>
        <w:t xml:space="preserve">adopt a longer </w:t>
      </w:r>
      <w:r w:rsidRPr="00221288" w:rsidR="003F4051">
        <w:rPr>
          <w:rFonts w:ascii="Palatino Linotype" w:hAnsi="Palatino Linotype"/>
        </w:rPr>
        <w:t>transition time</w:t>
      </w:r>
      <w:r w:rsidRPr="00221288" w:rsidR="00AB6F14">
        <w:rPr>
          <w:rFonts w:ascii="Palatino Linotype" w:hAnsi="Palatino Linotype"/>
        </w:rPr>
        <w:t xml:space="preserve"> than necessary</w:t>
      </w:r>
      <w:r w:rsidRPr="00221288" w:rsidR="00E1288D">
        <w:rPr>
          <w:rFonts w:ascii="Palatino Linotype" w:hAnsi="Palatino Linotype"/>
        </w:rPr>
        <w:t xml:space="preserve">, anticipating </w:t>
      </w:r>
      <w:r w:rsidRPr="00221288" w:rsidR="00844408">
        <w:rPr>
          <w:rFonts w:ascii="Palatino Linotype" w:hAnsi="Palatino Linotype"/>
        </w:rPr>
        <w:t>trends</w:t>
      </w:r>
      <w:r w:rsidRPr="00221288" w:rsidR="00E1288D">
        <w:rPr>
          <w:rFonts w:ascii="Palatino Linotype" w:hAnsi="Palatino Linotype"/>
        </w:rPr>
        <w:t xml:space="preserve"> that would contribute to sustained growth of customer-sited renewable generation after the first five years of the tariff.</w:t>
      </w:r>
      <w:r w:rsidRPr="00221288" w:rsidR="00E1288D">
        <w:rPr>
          <w:rStyle w:val="FootnoteReference"/>
          <w:rFonts w:ascii="Palatino Linotype" w:hAnsi="Palatino Linotype"/>
        </w:rPr>
        <w:footnoteReference w:id="18"/>
      </w:r>
      <w:r w:rsidRPr="00221288" w:rsidR="00AB6F14">
        <w:rPr>
          <w:rFonts w:ascii="Palatino Linotype" w:hAnsi="Palatino Linotype"/>
        </w:rPr>
        <w:t xml:space="preserve"> </w:t>
      </w:r>
      <w:r w:rsidRPr="00221288" w:rsidR="009133F6">
        <w:rPr>
          <w:rFonts w:ascii="Palatino Linotype" w:hAnsi="Palatino Linotype"/>
        </w:rPr>
        <w:t xml:space="preserve">Considering these facts, </w:t>
      </w:r>
      <w:r w:rsidRPr="00221288" w:rsidR="00176D64">
        <w:rPr>
          <w:rFonts w:ascii="Palatino Linotype" w:hAnsi="Palatino Linotype"/>
        </w:rPr>
        <w:t>the</w:t>
      </w:r>
      <w:r w:rsidRPr="00221288" w:rsidR="009133F6">
        <w:rPr>
          <w:rFonts w:ascii="Palatino Linotype" w:hAnsi="Palatino Linotype"/>
        </w:rPr>
        <w:t xml:space="preserve"> December 31, 2027 end to the transition time (i.e., the time in which legacy periods are available) </w:t>
      </w:r>
      <w:r w:rsidRPr="00221288" w:rsidR="00BA7CF6">
        <w:rPr>
          <w:rFonts w:ascii="Palatino Linotype" w:hAnsi="Palatino Linotype"/>
        </w:rPr>
        <w:t xml:space="preserve">proposed by PG&amp;E and SCE </w:t>
      </w:r>
      <w:r w:rsidRPr="00221288" w:rsidR="009133F6">
        <w:rPr>
          <w:rFonts w:ascii="Palatino Linotype" w:hAnsi="Palatino Linotype"/>
        </w:rPr>
        <w:t>is reasonable.</w:t>
      </w:r>
      <w:r w:rsidRPr="00221288" w:rsidR="006B791E">
        <w:rPr>
          <w:rFonts w:ascii="Palatino Linotype" w:hAnsi="Palatino Linotype"/>
        </w:rPr>
        <w:t xml:space="preserve"> </w:t>
      </w:r>
      <w:r w:rsidRPr="00221288" w:rsidR="00662F79">
        <w:rPr>
          <w:rFonts w:ascii="Palatino Linotype" w:hAnsi="Palatino Linotype"/>
        </w:rPr>
        <w:t xml:space="preserve">In its </w:t>
      </w:r>
      <w:r w:rsidRPr="00221288" w:rsidR="00774B0A">
        <w:rPr>
          <w:rFonts w:ascii="Palatino Linotype" w:hAnsi="Palatino Linotype"/>
        </w:rPr>
        <w:t xml:space="preserve">NBT Modifications </w:t>
      </w:r>
      <w:r w:rsidRPr="00221288" w:rsidR="005E1E8A">
        <w:rPr>
          <w:rFonts w:ascii="Palatino Linotype" w:hAnsi="Palatino Linotype"/>
        </w:rPr>
        <w:t xml:space="preserve">AL, </w:t>
      </w:r>
      <w:r w:rsidRPr="00221288" w:rsidR="00A8314B">
        <w:rPr>
          <w:rFonts w:ascii="Palatino Linotype" w:hAnsi="Palatino Linotype"/>
        </w:rPr>
        <w:t>SDG&amp;E</w:t>
      </w:r>
      <w:r w:rsidRPr="00221288" w:rsidR="006B791E">
        <w:rPr>
          <w:rFonts w:ascii="Palatino Linotype" w:hAnsi="Palatino Linotype"/>
        </w:rPr>
        <w:t xml:space="preserve"> shall </w:t>
      </w:r>
      <w:r w:rsidRPr="00221288" w:rsidR="0015440A">
        <w:rPr>
          <w:rFonts w:ascii="Palatino Linotype" w:hAnsi="Palatino Linotype"/>
        </w:rPr>
        <w:t xml:space="preserve">alter its </w:t>
      </w:r>
      <w:r w:rsidRPr="00221288" w:rsidR="00326506">
        <w:rPr>
          <w:rFonts w:ascii="Palatino Linotype" w:hAnsi="Palatino Linotype"/>
        </w:rPr>
        <w:t xml:space="preserve">NBT’s language to end the </w:t>
      </w:r>
      <w:r w:rsidRPr="00221288" w:rsidR="00EE07A6">
        <w:rPr>
          <w:rFonts w:ascii="Palatino Linotype" w:hAnsi="Palatino Linotype"/>
        </w:rPr>
        <w:t xml:space="preserve">five-year glide path </w:t>
      </w:r>
      <w:r w:rsidRPr="00221288" w:rsidR="00CA1989">
        <w:rPr>
          <w:rFonts w:ascii="Palatino Linotype" w:hAnsi="Palatino Linotype"/>
        </w:rPr>
        <w:t xml:space="preserve">after </w:t>
      </w:r>
      <w:r w:rsidR="00824FD3">
        <w:rPr>
          <w:rFonts w:ascii="Palatino Linotype" w:hAnsi="Palatino Linotype"/>
        </w:rPr>
        <w:br/>
      </w:r>
      <w:r w:rsidRPr="00221288" w:rsidR="00CA1989">
        <w:rPr>
          <w:rFonts w:ascii="Palatino Linotype" w:hAnsi="Palatino Linotype"/>
        </w:rPr>
        <w:t>December 31, 2027.</w:t>
      </w:r>
      <w:r w:rsidRPr="00221288" w:rsidR="00737E7E">
        <w:rPr>
          <w:rFonts w:ascii="Palatino Linotype" w:hAnsi="Palatino Linotype"/>
        </w:rPr>
        <w:t xml:space="preserve"> </w:t>
      </w:r>
      <w:r w:rsidRPr="00221288" w:rsidR="00A83880">
        <w:rPr>
          <w:rFonts w:ascii="Palatino Linotype" w:hAnsi="Palatino Linotype"/>
        </w:rPr>
        <w:t>A</w:t>
      </w:r>
      <w:r w:rsidRPr="00221288" w:rsidR="00FA7D27">
        <w:rPr>
          <w:rFonts w:ascii="Palatino Linotype" w:hAnsi="Palatino Linotype"/>
        </w:rPr>
        <w:t xml:space="preserve">s directed in D.22-12-056, </w:t>
      </w:r>
      <w:r w:rsidRPr="00221288" w:rsidR="00BA7CF6">
        <w:rPr>
          <w:rFonts w:ascii="Palatino Linotype" w:hAnsi="Palatino Linotype"/>
        </w:rPr>
        <w:t>the utilities</w:t>
      </w:r>
      <w:r w:rsidRPr="00221288" w:rsidR="00737E7E">
        <w:rPr>
          <w:rFonts w:ascii="Palatino Linotype" w:hAnsi="Palatino Linotype"/>
        </w:rPr>
        <w:t xml:space="preserve"> shall </w:t>
      </w:r>
      <w:r w:rsidRPr="00221288" w:rsidR="00FA7D27">
        <w:rPr>
          <w:rFonts w:ascii="Palatino Linotype" w:hAnsi="Palatino Linotype"/>
        </w:rPr>
        <w:t xml:space="preserve">align the glide path steps with calendar years, such that the first step ends </w:t>
      </w:r>
      <w:r w:rsidRPr="00221288" w:rsidR="00BB7350">
        <w:rPr>
          <w:rFonts w:ascii="Palatino Linotype" w:hAnsi="Palatino Linotype"/>
        </w:rPr>
        <w:t>on December 31, 2023.</w:t>
      </w:r>
    </w:p>
    <w:p w:rsidRPr="00221288" w:rsidR="001941B3" w:rsidP="002742E1" w:rsidRDefault="001941B3" w14:paraId="0E18A8DC" w14:textId="77777777">
      <w:pPr>
        <w:rPr>
          <w:rFonts w:ascii="Palatino Linotype" w:hAnsi="Palatino Linotype"/>
        </w:rPr>
      </w:pPr>
    </w:p>
    <w:p w:rsidRPr="00221288" w:rsidR="0028459C" w:rsidP="0028459C" w:rsidRDefault="0028459C" w14:paraId="3AB14E88" w14:textId="77777777">
      <w:pPr>
        <w:pStyle w:val="Heading3"/>
        <w:rPr>
          <w:rFonts w:ascii="Palatino Linotype" w:hAnsi="Palatino Linotype"/>
        </w:rPr>
      </w:pPr>
      <w:r w:rsidRPr="00221288">
        <w:rPr>
          <w:rFonts w:ascii="Palatino Linotype" w:hAnsi="Palatino Linotype"/>
        </w:rPr>
        <w:t>Transferring NBT Systems from Builder to Buyer or Tenant</w:t>
      </w:r>
    </w:p>
    <w:p w:rsidRPr="00221288" w:rsidR="0028459C" w:rsidP="0028459C" w:rsidRDefault="0028459C" w14:paraId="3F1E9D89" w14:textId="77777777">
      <w:pPr>
        <w:rPr>
          <w:rFonts w:ascii="Palatino Linotype" w:hAnsi="Palatino Linotype"/>
        </w:rPr>
      </w:pPr>
    </w:p>
    <w:p w:rsidRPr="00221288" w:rsidR="0028459C" w:rsidP="0028459C" w:rsidRDefault="0028459C" w14:paraId="148E5A5A" w14:textId="77777777">
      <w:pPr>
        <w:rPr>
          <w:rFonts w:ascii="Palatino Linotype" w:hAnsi="Palatino Linotype"/>
        </w:rPr>
      </w:pPr>
      <w:r w:rsidRPr="00221288">
        <w:rPr>
          <w:rFonts w:ascii="Palatino Linotype" w:hAnsi="Palatino Linotype"/>
        </w:rPr>
        <w:lastRenderedPageBreak/>
        <w:t>As PG&amp;E points out, if the builder sells the unit before PTO is issued, the new owner will receive PTO in their name and the legacy period will start on the PTO date, in alignment with the direction of D.22-12-056. The utilities’ proposals are reasonable and are approved.</w:t>
      </w:r>
      <w:r w:rsidRPr="00221288">
        <w:rPr>
          <w:rFonts w:ascii="Palatino Linotype" w:hAnsi="Palatino Linotype"/>
        </w:rPr>
        <w:br/>
      </w:r>
    </w:p>
    <w:p w:rsidRPr="00221288" w:rsidR="001941B3" w:rsidP="005B0AB0" w:rsidRDefault="001941B3" w14:paraId="48E23444" w14:textId="02E3A49E">
      <w:pPr>
        <w:pStyle w:val="Heading3"/>
        <w:rPr>
          <w:rFonts w:ascii="Palatino Linotype" w:hAnsi="Palatino Linotype"/>
        </w:rPr>
      </w:pPr>
      <w:r w:rsidRPr="00221288">
        <w:rPr>
          <w:rFonts w:ascii="Palatino Linotype" w:hAnsi="Palatino Linotype"/>
        </w:rPr>
        <w:t>Maintaining Legacy Status If Increasing System Size</w:t>
      </w:r>
    </w:p>
    <w:p w:rsidRPr="00221288" w:rsidR="00CA1989" w:rsidP="002742E1" w:rsidRDefault="00CA1989" w14:paraId="51BFD26A" w14:textId="77777777">
      <w:pPr>
        <w:rPr>
          <w:rFonts w:ascii="Palatino Linotype" w:hAnsi="Palatino Linotype"/>
        </w:rPr>
      </w:pPr>
    </w:p>
    <w:p w:rsidRPr="00221288" w:rsidR="003E1B3C" w:rsidP="002742E1" w:rsidRDefault="008B37D8" w14:paraId="50C6BC11" w14:textId="65ADBEE9">
      <w:pPr>
        <w:rPr>
          <w:rFonts w:ascii="Palatino Linotype" w:hAnsi="Palatino Linotype"/>
        </w:rPr>
      </w:pPr>
      <w:r w:rsidRPr="00221288">
        <w:rPr>
          <w:rFonts w:ascii="Palatino Linotype" w:hAnsi="Palatino Linotype"/>
        </w:rPr>
        <w:t>PG&amp;E’s and SCE’s</w:t>
      </w:r>
      <w:r w:rsidRPr="00221288" w:rsidR="003E1B3C">
        <w:rPr>
          <w:rFonts w:ascii="Palatino Linotype" w:hAnsi="Palatino Linotype"/>
        </w:rPr>
        <w:t xml:space="preserve"> propos</w:t>
      </w:r>
      <w:r w:rsidRPr="00221288">
        <w:rPr>
          <w:rFonts w:ascii="Palatino Linotype" w:hAnsi="Palatino Linotype"/>
        </w:rPr>
        <w:t xml:space="preserve">ed </w:t>
      </w:r>
      <w:r w:rsidRPr="00221288" w:rsidR="004A6900">
        <w:rPr>
          <w:rFonts w:ascii="Palatino Linotype" w:hAnsi="Palatino Linotype"/>
        </w:rPr>
        <w:t xml:space="preserve">language </w:t>
      </w:r>
      <w:r w:rsidRPr="00221288" w:rsidR="00941AA6">
        <w:rPr>
          <w:rFonts w:ascii="Palatino Linotype" w:hAnsi="Palatino Linotype"/>
        </w:rPr>
        <w:t>remed</w:t>
      </w:r>
      <w:r w:rsidRPr="00221288" w:rsidR="004A6900">
        <w:rPr>
          <w:rFonts w:ascii="Palatino Linotype" w:hAnsi="Palatino Linotype"/>
        </w:rPr>
        <w:t>ies</w:t>
      </w:r>
      <w:r w:rsidRPr="00221288" w:rsidR="00BF58C2">
        <w:rPr>
          <w:rFonts w:ascii="Palatino Linotype" w:hAnsi="Palatino Linotype"/>
        </w:rPr>
        <w:t xml:space="preserve"> the issue identified by CALSSA</w:t>
      </w:r>
      <w:r w:rsidRPr="00221288" w:rsidR="003E1B3C">
        <w:rPr>
          <w:rFonts w:ascii="Palatino Linotype" w:hAnsi="Palatino Linotype"/>
        </w:rPr>
        <w:t xml:space="preserve"> and </w:t>
      </w:r>
      <w:r w:rsidRPr="00221288" w:rsidR="0089528B">
        <w:rPr>
          <w:rFonts w:ascii="Palatino Linotype" w:hAnsi="Palatino Linotype"/>
        </w:rPr>
        <w:t>are</w:t>
      </w:r>
      <w:r w:rsidRPr="00221288" w:rsidR="003E1B3C">
        <w:rPr>
          <w:rFonts w:ascii="Palatino Linotype" w:hAnsi="Palatino Linotype"/>
        </w:rPr>
        <w:t xml:space="preserve"> approved.</w:t>
      </w:r>
      <w:r w:rsidRPr="00221288" w:rsidR="0089528B">
        <w:rPr>
          <w:rFonts w:ascii="Palatino Linotype" w:hAnsi="Palatino Linotype"/>
        </w:rPr>
        <w:t xml:space="preserve"> </w:t>
      </w:r>
      <w:r w:rsidRPr="00221288" w:rsidR="00F27FE5">
        <w:rPr>
          <w:rFonts w:ascii="Palatino Linotype" w:hAnsi="Palatino Linotype"/>
        </w:rPr>
        <w:t xml:space="preserve">In </w:t>
      </w:r>
      <w:r w:rsidRPr="00221288" w:rsidR="0089528B">
        <w:rPr>
          <w:rFonts w:ascii="Palatino Linotype" w:hAnsi="Palatino Linotype"/>
        </w:rPr>
        <w:t>SDG&amp;E</w:t>
      </w:r>
      <w:r w:rsidRPr="00221288" w:rsidR="00F27FE5">
        <w:rPr>
          <w:rFonts w:ascii="Palatino Linotype" w:hAnsi="Palatino Linotype"/>
        </w:rPr>
        <w:t>’s supplemental AL, it</w:t>
      </w:r>
      <w:r w:rsidRPr="00221288" w:rsidR="0089528B">
        <w:rPr>
          <w:rFonts w:ascii="Palatino Linotype" w:hAnsi="Palatino Linotype"/>
        </w:rPr>
        <w:t xml:space="preserve"> did not add the sentence to which it referred in its reply to CALSSA’s initial protest. SDG&amp;E shall add the sentence to its NBT in its NBT Modifications AL.</w:t>
      </w:r>
    </w:p>
    <w:p w:rsidRPr="00221288" w:rsidR="00ED296B" w:rsidP="00384D2B" w:rsidRDefault="00ED296B" w14:paraId="6ABF9832" w14:textId="77777777">
      <w:pPr>
        <w:rPr>
          <w:rFonts w:ascii="Palatino Linotype" w:hAnsi="Palatino Linotype"/>
        </w:rPr>
      </w:pPr>
    </w:p>
    <w:p w:rsidRPr="00221288" w:rsidR="00DA0102" w:rsidP="005B0AB0" w:rsidRDefault="0054618E" w14:paraId="4DFF0F0F" w14:textId="48A670AA">
      <w:pPr>
        <w:pStyle w:val="Heading3"/>
        <w:rPr>
          <w:rFonts w:ascii="Palatino Linotype" w:hAnsi="Palatino Linotype"/>
        </w:rPr>
      </w:pPr>
      <w:r w:rsidRPr="00221288">
        <w:rPr>
          <w:rFonts w:ascii="Palatino Linotype" w:hAnsi="Palatino Linotype"/>
        </w:rPr>
        <w:t>Treatment</w:t>
      </w:r>
      <w:r w:rsidRPr="00221288" w:rsidR="00DA0102">
        <w:rPr>
          <w:rFonts w:ascii="Palatino Linotype" w:hAnsi="Palatino Linotype"/>
        </w:rPr>
        <w:t xml:space="preserve"> of </w:t>
      </w:r>
      <w:r w:rsidRPr="00221288">
        <w:rPr>
          <w:rFonts w:ascii="Palatino Linotype" w:hAnsi="Palatino Linotype"/>
        </w:rPr>
        <w:t>Additions to</w:t>
      </w:r>
      <w:r w:rsidRPr="00221288" w:rsidR="00DA0102">
        <w:rPr>
          <w:rFonts w:ascii="Palatino Linotype" w:hAnsi="Palatino Linotype"/>
        </w:rPr>
        <w:t xml:space="preserve"> NEM 2.0 Systems</w:t>
      </w:r>
    </w:p>
    <w:p w:rsidRPr="00221288" w:rsidR="00DA0102" w:rsidP="00384D2B" w:rsidRDefault="00DA0102" w14:paraId="28C5E8BE" w14:textId="024DBE8C">
      <w:pPr>
        <w:rPr>
          <w:rFonts w:ascii="Palatino Linotype" w:hAnsi="Palatino Linotype"/>
        </w:rPr>
      </w:pPr>
    </w:p>
    <w:p w:rsidRPr="00221288" w:rsidR="00D20388" w:rsidP="00384D2B" w:rsidRDefault="00A75F86" w14:paraId="26E350FB" w14:textId="2A8747B0">
      <w:pPr>
        <w:rPr>
          <w:rFonts w:ascii="Palatino Linotype" w:hAnsi="Palatino Linotype"/>
        </w:rPr>
      </w:pPr>
      <w:r w:rsidRPr="00221288">
        <w:rPr>
          <w:rFonts w:ascii="Palatino Linotype" w:hAnsi="Palatino Linotype"/>
        </w:rPr>
        <w:t xml:space="preserve">CALSSA’s proposal that </w:t>
      </w:r>
      <w:r w:rsidRPr="00221288" w:rsidR="00CF5579">
        <w:rPr>
          <w:rFonts w:ascii="Palatino Linotype" w:hAnsi="Palatino Linotype"/>
        </w:rPr>
        <w:t>hybrid NEM and NBT systems</w:t>
      </w:r>
      <w:r w:rsidRPr="00221288" w:rsidR="007C68CB">
        <w:rPr>
          <w:rFonts w:ascii="Palatino Linotype" w:hAnsi="Palatino Linotype"/>
        </w:rPr>
        <w:t xml:space="preserve"> with a separately metered addition </w:t>
      </w:r>
      <w:r w:rsidRPr="00221288" w:rsidR="00F265D4">
        <w:rPr>
          <w:rFonts w:ascii="Palatino Linotype" w:hAnsi="Palatino Linotype"/>
        </w:rPr>
        <w:t xml:space="preserve">should receive credits for exports in each hour in proportion to the output of the separately metered components </w:t>
      </w:r>
      <w:r w:rsidRPr="00221288" w:rsidR="0043356D">
        <w:rPr>
          <w:rFonts w:ascii="Palatino Linotype" w:hAnsi="Palatino Linotype"/>
        </w:rPr>
        <w:t>would c</w:t>
      </w:r>
      <w:r w:rsidRPr="00221288" w:rsidR="005B2C79">
        <w:rPr>
          <w:rFonts w:ascii="Palatino Linotype" w:hAnsi="Palatino Linotype"/>
        </w:rPr>
        <w:t xml:space="preserve">reate an administrative burden on the Utilities and would be inconsistent with the </w:t>
      </w:r>
      <w:r w:rsidRPr="00221288" w:rsidR="005273C0">
        <w:rPr>
          <w:rFonts w:ascii="Palatino Linotype" w:hAnsi="Palatino Linotype"/>
        </w:rPr>
        <w:t xml:space="preserve">determination </w:t>
      </w:r>
      <w:r w:rsidRPr="00221288" w:rsidR="00D24510">
        <w:rPr>
          <w:rFonts w:ascii="Palatino Linotype" w:hAnsi="Palatino Linotype"/>
        </w:rPr>
        <w:t xml:space="preserve">in D.22-12-056 </w:t>
      </w:r>
      <w:r w:rsidRPr="00221288" w:rsidR="005273C0">
        <w:rPr>
          <w:rFonts w:ascii="Palatino Linotype" w:hAnsi="Palatino Linotype"/>
        </w:rPr>
        <w:t>not to use hourly netting</w:t>
      </w:r>
      <w:r w:rsidRPr="00221288" w:rsidR="009A4EB2">
        <w:rPr>
          <w:rFonts w:ascii="Palatino Linotype" w:hAnsi="Palatino Linotype"/>
        </w:rPr>
        <w:t xml:space="preserve"> in the NBT</w:t>
      </w:r>
      <w:r w:rsidRPr="00221288" w:rsidR="00D24510">
        <w:rPr>
          <w:rFonts w:ascii="Palatino Linotype" w:hAnsi="Palatino Linotype"/>
        </w:rPr>
        <w:t>.</w:t>
      </w:r>
      <w:r w:rsidRPr="00221288" w:rsidR="000622EE">
        <w:rPr>
          <w:rFonts w:ascii="Palatino Linotype" w:hAnsi="Palatino Linotype"/>
        </w:rPr>
        <w:t xml:space="preserve"> The utilities</w:t>
      </w:r>
      <w:r w:rsidRPr="00221288" w:rsidR="007D0021">
        <w:rPr>
          <w:rFonts w:ascii="Palatino Linotype" w:hAnsi="Palatino Linotype"/>
        </w:rPr>
        <w:t>’ proposal</w:t>
      </w:r>
      <w:r w:rsidRPr="00221288" w:rsidR="00313079">
        <w:rPr>
          <w:rFonts w:ascii="Palatino Linotype" w:hAnsi="Palatino Linotype"/>
        </w:rPr>
        <w:t>s are</w:t>
      </w:r>
      <w:r w:rsidRPr="00221288" w:rsidR="007D0021">
        <w:rPr>
          <w:rFonts w:ascii="Palatino Linotype" w:hAnsi="Palatino Linotype"/>
        </w:rPr>
        <w:t xml:space="preserve"> reasonable and </w:t>
      </w:r>
      <w:r w:rsidRPr="00221288" w:rsidR="00313079">
        <w:rPr>
          <w:rFonts w:ascii="Palatino Linotype" w:hAnsi="Palatino Linotype"/>
        </w:rPr>
        <w:t>are</w:t>
      </w:r>
      <w:r w:rsidRPr="00221288" w:rsidR="007D0021">
        <w:rPr>
          <w:rFonts w:ascii="Palatino Linotype" w:hAnsi="Palatino Linotype"/>
        </w:rPr>
        <w:t xml:space="preserve"> approved.</w:t>
      </w:r>
    </w:p>
    <w:p w:rsidRPr="00221288" w:rsidR="00393877" w:rsidP="00384D2B" w:rsidRDefault="00393877" w14:paraId="6BFCC703" w14:textId="77777777">
      <w:pPr>
        <w:rPr>
          <w:rFonts w:ascii="Palatino Linotype" w:hAnsi="Palatino Linotype"/>
        </w:rPr>
      </w:pPr>
    </w:p>
    <w:p w:rsidRPr="00221288" w:rsidR="004B3CAD" w:rsidP="004B3CAD" w:rsidRDefault="004B3CAD" w14:paraId="49ED518D" w14:textId="77777777">
      <w:pPr>
        <w:pStyle w:val="Heading3"/>
        <w:rPr>
          <w:rFonts w:ascii="Palatino Linotype" w:hAnsi="Palatino Linotype"/>
        </w:rPr>
      </w:pPr>
      <w:r w:rsidRPr="00221288">
        <w:rPr>
          <w:rFonts w:ascii="Palatino Linotype" w:hAnsi="Palatino Linotype"/>
        </w:rPr>
        <w:t>Availability of 15-Minute Interval Data</w:t>
      </w:r>
    </w:p>
    <w:p w:rsidRPr="00221288" w:rsidR="002C706C" w:rsidP="002C706C" w:rsidRDefault="002C706C" w14:paraId="79B33C43" w14:textId="77777777">
      <w:pPr>
        <w:rPr>
          <w:rFonts w:ascii="Palatino Linotype" w:hAnsi="Palatino Linotype"/>
        </w:rPr>
      </w:pPr>
    </w:p>
    <w:p w:rsidRPr="00221288" w:rsidR="00B103E1" w:rsidP="00384D2B" w:rsidRDefault="004B3CAD" w14:paraId="77FEC562" w14:textId="70ED4E99">
      <w:pPr>
        <w:rPr>
          <w:rFonts w:ascii="Palatino Linotype" w:hAnsi="Palatino Linotype"/>
        </w:rPr>
      </w:pPr>
      <w:r w:rsidRPr="00221288">
        <w:rPr>
          <w:rFonts w:ascii="Palatino Linotype" w:hAnsi="Palatino Linotype"/>
        </w:rPr>
        <w:t xml:space="preserve">PG&amp;E’s stated concerns about customer privacy and cost are reasonable, and </w:t>
      </w:r>
      <w:r w:rsidRPr="00221288" w:rsidR="004A0C31">
        <w:rPr>
          <w:rFonts w:ascii="Palatino Linotype" w:hAnsi="Palatino Linotype"/>
        </w:rPr>
        <w:t xml:space="preserve">there is no requirement for customers to be able to access their 15-minute data instantly. Making a request and awaiting a response are not overly burdensome to the customer considering PG&amp;E’s valid concerns. Therefore, PG&amp;E’s </w:t>
      </w:r>
      <w:r w:rsidRPr="00221288" w:rsidR="00C57EBA">
        <w:rPr>
          <w:rFonts w:ascii="Palatino Linotype" w:hAnsi="Palatino Linotype"/>
        </w:rPr>
        <w:t>approach should be maintained and should be adopted by SCE and SDG&amp;E. SCE and SDG&amp;E</w:t>
      </w:r>
      <w:r w:rsidRPr="00221288" w:rsidR="00346B9B">
        <w:rPr>
          <w:rFonts w:ascii="Palatino Linotype" w:hAnsi="Palatino Linotype"/>
        </w:rPr>
        <w:t xml:space="preserve"> </w:t>
      </w:r>
      <w:r w:rsidRPr="00221288" w:rsidR="00C57EBA">
        <w:rPr>
          <w:rFonts w:ascii="Palatino Linotype" w:hAnsi="Palatino Linotype"/>
        </w:rPr>
        <w:t xml:space="preserve">shall </w:t>
      </w:r>
      <w:r w:rsidRPr="00221288" w:rsidR="00F8265E">
        <w:rPr>
          <w:rFonts w:ascii="Palatino Linotype" w:hAnsi="Palatino Linotype"/>
        </w:rPr>
        <w:t xml:space="preserve">propose these changes in their </w:t>
      </w:r>
      <w:r w:rsidRPr="00221288" w:rsidR="00C018F2">
        <w:rPr>
          <w:rFonts w:ascii="Palatino Linotype" w:hAnsi="Palatino Linotype"/>
        </w:rPr>
        <w:t xml:space="preserve">NBT Modifications </w:t>
      </w:r>
      <w:r w:rsidRPr="00221288" w:rsidR="000B71E6">
        <w:rPr>
          <w:rFonts w:ascii="Palatino Linotype" w:hAnsi="Palatino Linotype"/>
        </w:rPr>
        <w:t>AL</w:t>
      </w:r>
      <w:r w:rsidRPr="00221288" w:rsidR="00C018F2">
        <w:rPr>
          <w:rFonts w:ascii="Palatino Linotype" w:hAnsi="Palatino Linotype"/>
        </w:rPr>
        <w:t>.</w:t>
      </w:r>
      <w:r w:rsidRPr="00221288" w:rsidR="00947310">
        <w:rPr>
          <w:rFonts w:ascii="Palatino Linotype" w:hAnsi="Palatino Linotype"/>
        </w:rPr>
        <w:t xml:space="preserve"> Alternatively, in the case that making the changes earlier would reduce administrative burden, SCE and SDG&amp;E are authorized to </w:t>
      </w:r>
      <w:r w:rsidRPr="00221288" w:rsidR="008D780A">
        <w:rPr>
          <w:rFonts w:ascii="Palatino Linotype" w:hAnsi="Palatino Linotype"/>
        </w:rPr>
        <w:t xml:space="preserve">submit a separate Tier 1 AL </w:t>
      </w:r>
      <w:r w:rsidRPr="00221288" w:rsidR="00F83D89">
        <w:rPr>
          <w:rFonts w:ascii="Palatino Linotype" w:hAnsi="Palatino Linotype"/>
        </w:rPr>
        <w:t xml:space="preserve">or to </w:t>
      </w:r>
      <w:r w:rsidRPr="00221288" w:rsidR="007D58E5">
        <w:rPr>
          <w:rFonts w:ascii="Palatino Linotype" w:hAnsi="Palatino Linotype"/>
        </w:rPr>
        <w:t>propose an earlier effective date of the NBT Modifications AL.</w:t>
      </w:r>
    </w:p>
    <w:p w:rsidRPr="00221288" w:rsidR="005433F6" w:rsidP="00384D2B" w:rsidRDefault="005433F6" w14:paraId="016FA298" w14:textId="77777777">
      <w:pPr>
        <w:rPr>
          <w:rFonts w:ascii="Palatino Linotype" w:hAnsi="Palatino Linotype"/>
        </w:rPr>
      </w:pPr>
    </w:p>
    <w:p w:rsidRPr="00221288" w:rsidR="00674F58" w:rsidP="00230D99" w:rsidRDefault="00674F58" w14:paraId="783C794F" w14:textId="77777777">
      <w:pPr>
        <w:pStyle w:val="Heading3"/>
        <w:rPr>
          <w:rFonts w:ascii="Palatino Linotype" w:hAnsi="Palatino Linotype"/>
        </w:rPr>
      </w:pPr>
      <w:r w:rsidRPr="00221288">
        <w:rPr>
          <w:rFonts w:ascii="Palatino Linotype" w:hAnsi="Palatino Linotype"/>
        </w:rPr>
        <w:t>System Size Limiting Factor</w:t>
      </w:r>
    </w:p>
    <w:p w:rsidRPr="00221288" w:rsidR="00674F58" w:rsidP="00384D2B" w:rsidRDefault="00674F58" w14:paraId="06BDBC2B" w14:textId="77777777">
      <w:pPr>
        <w:rPr>
          <w:rFonts w:ascii="Palatino Linotype" w:hAnsi="Palatino Linotype"/>
        </w:rPr>
      </w:pPr>
    </w:p>
    <w:p w:rsidRPr="00221288" w:rsidR="00035BB6" w:rsidP="00384D2B" w:rsidRDefault="004D7149" w14:paraId="4E626286" w14:textId="298CE8EF">
      <w:pPr>
        <w:rPr>
          <w:rFonts w:ascii="Palatino Linotype" w:hAnsi="Palatino Linotype"/>
        </w:rPr>
      </w:pPr>
      <w:r w:rsidRPr="00221288">
        <w:rPr>
          <w:rFonts w:ascii="Palatino Linotype" w:hAnsi="Palatino Linotype"/>
        </w:rPr>
        <w:t>SCE</w:t>
      </w:r>
      <w:r w:rsidRPr="00221288" w:rsidR="005C16AE">
        <w:rPr>
          <w:rFonts w:ascii="Palatino Linotype" w:hAnsi="Palatino Linotype"/>
        </w:rPr>
        <w:t xml:space="preserve"> </w:t>
      </w:r>
      <w:r w:rsidRPr="00221288" w:rsidR="009F58C5">
        <w:rPr>
          <w:rFonts w:ascii="Palatino Linotype" w:hAnsi="Palatino Linotype"/>
        </w:rPr>
        <w:t xml:space="preserve">is </w:t>
      </w:r>
      <w:r w:rsidRPr="00221288" w:rsidR="005C16AE">
        <w:rPr>
          <w:rFonts w:ascii="Palatino Linotype" w:hAnsi="Palatino Linotype"/>
        </w:rPr>
        <w:t>correct</w:t>
      </w:r>
      <w:r w:rsidRPr="00221288">
        <w:rPr>
          <w:rFonts w:ascii="Palatino Linotype" w:hAnsi="Palatino Linotype"/>
        </w:rPr>
        <w:t xml:space="preserve"> that if each system is behind a different inverter, the </w:t>
      </w:r>
      <w:r w:rsidRPr="00221288" w:rsidR="00B90603">
        <w:rPr>
          <w:rFonts w:ascii="Palatino Linotype" w:hAnsi="Palatino Linotype"/>
        </w:rPr>
        <w:t>REGF</w:t>
      </w:r>
      <w:r w:rsidRPr="00221288">
        <w:rPr>
          <w:rFonts w:ascii="Palatino Linotype" w:hAnsi="Palatino Linotype"/>
        </w:rPr>
        <w:t xml:space="preserve"> may export at the same time that the energy storage is discharging, and so the aggregated capacity of such a system is the sum of the operating capacity of each system</w:t>
      </w:r>
      <w:r w:rsidRPr="00221288" w:rsidR="00E0614C">
        <w:rPr>
          <w:rFonts w:ascii="Palatino Linotype" w:hAnsi="Palatino Linotype"/>
        </w:rPr>
        <w:t xml:space="preserve">. </w:t>
      </w:r>
      <w:r w:rsidRPr="00221288" w:rsidR="00177E05">
        <w:rPr>
          <w:rFonts w:ascii="Palatino Linotype" w:hAnsi="Palatino Linotype"/>
        </w:rPr>
        <w:t xml:space="preserve">PG&amp;E and SDG&amp;E shall </w:t>
      </w:r>
      <w:r w:rsidRPr="00221288" w:rsidR="006F262F">
        <w:rPr>
          <w:rFonts w:ascii="Palatino Linotype" w:hAnsi="Palatino Linotype"/>
        </w:rPr>
        <w:t xml:space="preserve">propose language in alignment with SCE’s in their NBT Modifications </w:t>
      </w:r>
      <w:r w:rsidRPr="00221288" w:rsidR="000B71E6">
        <w:rPr>
          <w:rFonts w:ascii="Palatino Linotype" w:hAnsi="Palatino Linotype"/>
        </w:rPr>
        <w:t>AL</w:t>
      </w:r>
      <w:r w:rsidRPr="00221288" w:rsidR="006F262F">
        <w:rPr>
          <w:rFonts w:ascii="Palatino Linotype" w:hAnsi="Palatino Linotype"/>
        </w:rPr>
        <w:t>.</w:t>
      </w:r>
    </w:p>
    <w:p w:rsidRPr="00221288" w:rsidR="00674F58" w:rsidP="00384D2B" w:rsidRDefault="00674F58" w14:paraId="301B9B94" w14:textId="77777777">
      <w:pPr>
        <w:rPr>
          <w:rFonts w:ascii="Palatino Linotype" w:hAnsi="Palatino Linotype"/>
        </w:rPr>
      </w:pPr>
    </w:p>
    <w:p w:rsidRPr="00221288" w:rsidR="005433F6" w:rsidP="005433F6" w:rsidRDefault="005433F6" w14:paraId="41678AA9" w14:textId="7C46A3A3">
      <w:pPr>
        <w:pStyle w:val="Heading3"/>
        <w:rPr>
          <w:rFonts w:ascii="Palatino Linotype" w:hAnsi="Palatino Linotype"/>
        </w:rPr>
      </w:pPr>
      <w:r w:rsidRPr="00221288">
        <w:rPr>
          <w:rFonts w:ascii="Palatino Linotype" w:hAnsi="Palatino Linotype"/>
        </w:rPr>
        <w:lastRenderedPageBreak/>
        <w:t xml:space="preserve">PG&amp;E’s </w:t>
      </w:r>
      <w:r w:rsidRPr="00221288" w:rsidR="002070CB">
        <w:rPr>
          <w:rFonts w:ascii="Palatino Linotype" w:hAnsi="Palatino Linotype"/>
        </w:rPr>
        <w:t xml:space="preserve">and SDG&amp;E’s </w:t>
      </w:r>
      <w:r w:rsidRPr="00221288">
        <w:rPr>
          <w:rFonts w:ascii="Palatino Linotype" w:hAnsi="Palatino Linotype"/>
        </w:rPr>
        <w:t>System Sizing Requirement</w:t>
      </w:r>
      <w:r w:rsidRPr="00221288" w:rsidR="002070CB">
        <w:rPr>
          <w:rFonts w:ascii="Palatino Linotype" w:hAnsi="Palatino Linotype"/>
        </w:rPr>
        <w:t>s</w:t>
      </w:r>
    </w:p>
    <w:p w:rsidRPr="00221288" w:rsidR="0068712C" w:rsidP="00384D2B" w:rsidRDefault="0068712C" w14:paraId="5403884E" w14:textId="77777777">
      <w:pPr>
        <w:rPr>
          <w:rFonts w:ascii="Palatino Linotype" w:hAnsi="Palatino Linotype"/>
        </w:rPr>
      </w:pPr>
    </w:p>
    <w:p w:rsidRPr="00221288" w:rsidR="005433F6" w:rsidP="00384D2B" w:rsidRDefault="005433F6" w14:paraId="21CC2058" w14:textId="23369123">
      <w:pPr>
        <w:rPr>
          <w:rFonts w:ascii="Palatino Linotype" w:hAnsi="Palatino Linotype"/>
        </w:rPr>
      </w:pPr>
      <w:r w:rsidRPr="00221288">
        <w:rPr>
          <w:rFonts w:ascii="Palatino Linotype" w:hAnsi="Palatino Linotype"/>
        </w:rPr>
        <w:t xml:space="preserve">SEIA is correct that </w:t>
      </w:r>
      <w:r w:rsidRPr="00221288" w:rsidR="00A65794">
        <w:rPr>
          <w:rFonts w:ascii="Palatino Linotype" w:hAnsi="Palatino Linotype"/>
        </w:rPr>
        <w:t>D.22-12-056</w:t>
      </w:r>
      <w:r w:rsidRPr="00221288">
        <w:rPr>
          <w:rFonts w:ascii="Palatino Linotype" w:hAnsi="Palatino Linotype"/>
        </w:rPr>
        <w:t xml:space="preserve"> only requires a customer expectation of the usage corresponding with the system size. </w:t>
      </w:r>
      <w:r w:rsidRPr="00221288" w:rsidR="00A65794">
        <w:rPr>
          <w:rFonts w:ascii="Palatino Linotype" w:hAnsi="Palatino Linotype"/>
        </w:rPr>
        <w:t>Furthermore,</w:t>
      </w:r>
      <w:r w:rsidRPr="00221288" w:rsidR="00F13045">
        <w:rPr>
          <w:rFonts w:ascii="Palatino Linotype" w:hAnsi="Palatino Linotype"/>
        </w:rPr>
        <w:t xml:space="preserve"> </w:t>
      </w:r>
      <w:r w:rsidRPr="00221288" w:rsidR="00A65794">
        <w:rPr>
          <w:rFonts w:ascii="Palatino Linotype" w:hAnsi="Palatino Linotype"/>
        </w:rPr>
        <w:t xml:space="preserve">neither the decision </w:t>
      </w:r>
      <w:r w:rsidRPr="00221288" w:rsidR="00F13045">
        <w:rPr>
          <w:rFonts w:ascii="Palatino Linotype" w:hAnsi="Palatino Linotype"/>
        </w:rPr>
        <w:t xml:space="preserve">nor PG&amp;E’s </w:t>
      </w:r>
      <w:r w:rsidRPr="00221288" w:rsidR="002F53D5">
        <w:rPr>
          <w:rFonts w:ascii="Palatino Linotype" w:hAnsi="Palatino Linotype"/>
        </w:rPr>
        <w:t>and SDG&amp;E</w:t>
      </w:r>
      <w:r w:rsidRPr="00221288" w:rsidR="00AD5178">
        <w:rPr>
          <w:rFonts w:ascii="Palatino Linotype" w:hAnsi="Palatino Linotype"/>
        </w:rPr>
        <w:t>’</w:t>
      </w:r>
      <w:r w:rsidRPr="00221288" w:rsidR="002F53D5">
        <w:rPr>
          <w:rFonts w:ascii="Palatino Linotype" w:hAnsi="Palatino Linotype"/>
        </w:rPr>
        <w:t xml:space="preserve">s </w:t>
      </w:r>
      <w:r w:rsidRPr="00221288" w:rsidR="00F13045">
        <w:rPr>
          <w:rFonts w:ascii="Palatino Linotype" w:hAnsi="Palatino Linotype"/>
        </w:rPr>
        <w:t>proposed tariff</w:t>
      </w:r>
      <w:r w:rsidRPr="00221288" w:rsidR="002F53D5">
        <w:rPr>
          <w:rFonts w:ascii="Palatino Linotype" w:hAnsi="Palatino Linotype"/>
        </w:rPr>
        <w:t>s</w:t>
      </w:r>
      <w:r w:rsidRPr="00221288" w:rsidR="00F13045">
        <w:rPr>
          <w:rFonts w:ascii="Palatino Linotype" w:hAnsi="Palatino Linotype"/>
        </w:rPr>
        <w:t xml:space="preserve"> specify</w:t>
      </w:r>
      <w:r w:rsidRPr="00221288" w:rsidR="00A65794">
        <w:rPr>
          <w:rFonts w:ascii="Palatino Linotype" w:hAnsi="Palatino Linotype"/>
        </w:rPr>
        <w:t xml:space="preserve"> consequences for </w:t>
      </w:r>
      <w:r w:rsidRPr="00221288" w:rsidR="00F13045">
        <w:rPr>
          <w:rFonts w:ascii="Palatino Linotype" w:hAnsi="Palatino Linotype"/>
        </w:rPr>
        <w:t xml:space="preserve">this expectation not being met, </w:t>
      </w:r>
      <w:r w:rsidRPr="00221288" w:rsidR="00721CA0">
        <w:rPr>
          <w:rFonts w:ascii="Palatino Linotype" w:hAnsi="Palatino Linotype"/>
        </w:rPr>
        <w:t xml:space="preserve">making </w:t>
      </w:r>
      <w:r w:rsidRPr="00221288" w:rsidR="002F53D5">
        <w:rPr>
          <w:rFonts w:ascii="Palatino Linotype" w:hAnsi="Palatino Linotype"/>
        </w:rPr>
        <w:t>the utilities’</w:t>
      </w:r>
      <w:r w:rsidRPr="00221288" w:rsidR="00721CA0">
        <w:rPr>
          <w:rFonts w:ascii="Palatino Linotype" w:hAnsi="Palatino Linotype"/>
        </w:rPr>
        <w:t xml:space="preserve"> proposed requirement meaningless. </w:t>
      </w:r>
      <w:r w:rsidRPr="00221288" w:rsidR="00DC7235">
        <w:rPr>
          <w:rFonts w:ascii="Palatino Linotype" w:hAnsi="Palatino Linotype"/>
        </w:rPr>
        <w:t xml:space="preserve">However, </w:t>
      </w:r>
      <w:r w:rsidRPr="00221288" w:rsidR="002F53D5">
        <w:rPr>
          <w:rFonts w:ascii="Palatino Linotype" w:hAnsi="Palatino Linotype"/>
        </w:rPr>
        <w:t>the utilities are</w:t>
      </w:r>
      <w:r w:rsidRPr="00221288" w:rsidR="00DC7235">
        <w:rPr>
          <w:rFonts w:ascii="Palatino Linotype" w:hAnsi="Palatino Linotype"/>
        </w:rPr>
        <w:t xml:space="preserve"> correct that the requirement should not be deleted, as that would omit a decision requirement. To reflect the decision language, </w:t>
      </w:r>
      <w:r w:rsidRPr="00221288" w:rsidR="00BC54BA">
        <w:rPr>
          <w:rFonts w:ascii="Palatino Linotype" w:hAnsi="Palatino Linotype"/>
        </w:rPr>
        <w:t xml:space="preserve">PG&amp;E </w:t>
      </w:r>
      <w:r w:rsidRPr="00221288" w:rsidR="00B07D8C">
        <w:rPr>
          <w:rFonts w:ascii="Palatino Linotype" w:hAnsi="Palatino Linotype"/>
        </w:rPr>
        <w:t>and SDG&amp;E</w:t>
      </w:r>
      <w:r w:rsidRPr="00221288" w:rsidR="00BC54BA">
        <w:rPr>
          <w:rFonts w:ascii="Palatino Linotype" w:hAnsi="Palatino Linotype"/>
        </w:rPr>
        <w:t xml:space="preserve"> shall change “should materialize” to “should be expected</w:t>
      </w:r>
      <w:r w:rsidRPr="00221288" w:rsidR="006A6681">
        <w:rPr>
          <w:rFonts w:ascii="Palatino Linotype" w:hAnsi="Palatino Linotype"/>
        </w:rPr>
        <w:t xml:space="preserve"> to materialize”</w:t>
      </w:r>
      <w:r w:rsidRPr="00221288" w:rsidR="00DC7235">
        <w:rPr>
          <w:rFonts w:ascii="Palatino Linotype" w:hAnsi="Palatino Linotype"/>
        </w:rPr>
        <w:t xml:space="preserve"> in </w:t>
      </w:r>
      <w:r w:rsidRPr="00221288" w:rsidR="00B07D8C">
        <w:rPr>
          <w:rFonts w:ascii="Palatino Linotype" w:hAnsi="Palatino Linotype"/>
        </w:rPr>
        <w:t>their</w:t>
      </w:r>
      <w:r w:rsidRPr="00221288" w:rsidR="00DC7235">
        <w:rPr>
          <w:rFonts w:ascii="Palatino Linotype" w:hAnsi="Palatino Linotype"/>
        </w:rPr>
        <w:t xml:space="preserve"> proposed requirement</w:t>
      </w:r>
      <w:r w:rsidRPr="00221288" w:rsidR="005C1B5D">
        <w:rPr>
          <w:rFonts w:ascii="Palatino Linotype" w:hAnsi="Palatino Linotype"/>
        </w:rPr>
        <w:t xml:space="preserve"> in the</w:t>
      </w:r>
      <w:r w:rsidRPr="00221288" w:rsidR="00804A9B">
        <w:rPr>
          <w:rFonts w:ascii="Palatino Linotype" w:hAnsi="Palatino Linotype"/>
        </w:rPr>
        <w:t>ir NBT Modifications ALs</w:t>
      </w:r>
      <w:r w:rsidRPr="00221288" w:rsidR="00DC7235">
        <w:rPr>
          <w:rFonts w:ascii="Palatino Linotype" w:hAnsi="Palatino Linotype"/>
        </w:rPr>
        <w:t>.</w:t>
      </w:r>
    </w:p>
    <w:p w:rsidRPr="00221288" w:rsidR="00035BB6" w:rsidP="00384D2B" w:rsidRDefault="00035BB6" w14:paraId="295601A5" w14:textId="77777777">
      <w:pPr>
        <w:rPr>
          <w:rFonts w:ascii="Palatino Linotype" w:hAnsi="Palatino Linotype"/>
        </w:rPr>
      </w:pPr>
    </w:p>
    <w:p w:rsidRPr="00221288" w:rsidR="00035BB6" w:rsidP="00230D99" w:rsidRDefault="00035BB6" w14:paraId="64F02327" w14:textId="77777777">
      <w:pPr>
        <w:pStyle w:val="Heading3"/>
        <w:rPr>
          <w:rFonts w:ascii="Palatino Linotype" w:hAnsi="Palatino Linotype"/>
        </w:rPr>
      </w:pPr>
      <w:r w:rsidRPr="00221288">
        <w:rPr>
          <w:rFonts w:ascii="Palatino Linotype" w:hAnsi="Palatino Linotype"/>
        </w:rPr>
        <w:t>Allowance of a Change in Relevant Period</w:t>
      </w:r>
    </w:p>
    <w:p w:rsidRPr="00221288" w:rsidR="00035BB6" w:rsidP="00384D2B" w:rsidRDefault="00035BB6" w14:paraId="073143BE" w14:textId="77777777">
      <w:pPr>
        <w:rPr>
          <w:rFonts w:ascii="Palatino Linotype" w:hAnsi="Palatino Linotype"/>
        </w:rPr>
      </w:pPr>
    </w:p>
    <w:p w:rsidRPr="00221288" w:rsidR="00035BB6" w:rsidP="00384D2B" w:rsidRDefault="0038700F" w14:paraId="6FBCF900" w14:textId="4D78B1E1">
      <w:pPr>
        <w:rPr>
          <w:rFonts w:ascii="Palatino Linotype" w:hAnsi="Palatino Linotype"/>
        </w:rPr>
      </w:pPr>
      <w:r w:rsidRPr="00221288">
        <w:rPr>
          <w:rFonts w:ascii="Palatino Linotype" w:hAnsi="Palatino Linotype"/>
        </w:rPr>
        <w:t>SDG&amp;E</w:t>
      </w:r>
      <w:r w:rsidRPr="00221288" w:rsidR="00546EFA">
        <w:rPr>
          <w:rFonts w:ascii="Palatino Linotype" w:hAnsi="Palatino Linotype"/>
        </w:rPr>
        <w:t>’s</w:t>
      </w:r>
      <w:r w:rsidRPr="00221288" w:rsidR="005D0605">
        <w:rPr>
          <w:rFonts w:ascii="Palatino Linotype" w:hAnsi="Palatino Linotype"/>
        </w:rPr>
        <w:t xml:space="preserve"> intent</w:t>
      </w:r>
      <w:r w:rsidRPr="00221288">
        <w:rPr>
          <w:rFonts w:ascii="Palatino Linotype" w:hAnsi="Palatino Linotype"/>
        </w:rPr>
        <w:t xml:space="preserve"> to remove </w:t>
      </w:r>
      <w:r w:rsidRPr="00221288" w:rsidR="005D0605">
        <w:rPr>
          <w:rFonts w:ascii="Palatino Linotype" w:hAnsi="Palatino Linotype"/>
        </w:rPr>
        <w:t>its proposed</w:t>
      </w:r>
      <w:r w:rsidRPr="00221288">
        <w:rPr>
          <w:rFonts w:ascii="Palatino Linotype" w:hAnsi="Palatino Linotype"/>
        </w:rPr>
        <w:t xml:space="preserve"> requirement to request </w:t>
      </w:r>
      <w:r w:rsidRPr="00221288" w:rsidR="005D0605">
        <w:rPr>
          <w:rFonts w:ascii="Palatino Linotype" w:hAnsi="Palatino Linotype"/>
        </w:rPr>
        <w:t>a</w:t>
      </w:r>
      <w:r w:rsidRPr="00221288">
        <w:rPr>
          <w:rFonts w:ascii="Palatino Linotype" w:hAnsi="Palatino Linotype"/>
        </w:rPr>
        <w:t xml:space="preserve"> change </w:t>
      </w:r>
      <w:r w:rsidRPr="00221288" w:rsidR="00F249EA">
        <w:rPr>
          <w:rFonts w:ascii="Palatino Linotype" w:hAnsi="Palatino Linotype"/>
        </w:rPr>
        <w:t xml:space="preserve">in relevant period </w:t>
      </w:r>
      <w:r w:rsidRPr="00221288">
        <w:rPr>
          <w:rFonts w:ascii="Palatino Linotype" w:hAnsi="Palatino Linotype"/>
        </w:rPr>
        <w:t>at least 60 days prior to the start date of the new relevant period</w:t>
      </w:r>
      <w:r w:rsidRPr="00221288" w:rsidR="00D761CA">
        <w:rPr>
          <w:rFonts w:ascii="Palatino Linotype" w:hAnsi="Palatino Linotype"/>
        </w:rPr>
        <w:t xml:space="preserve"> is reasonable</w:t>
      </w:r>
      <w:r w:rsidRPr="00221288">
        <w:rPr>
          <w:rFonts w:ascii="Palatino Linotype" w:hAnsi="Palatino Linotype"/>
        </w:rPr>
        <w:t>.</w:t>
      </w:r>
      <w:r w:rsidRPr="00221288" w:rsidR="005C0895">
        <w:rPr>
          <w:rFonts w:ascii="Palatino Linotype" w:hAnsi="Palatino Linotype"/>
        </w:rPr>
        <w:t xml:space="preserve"> SDG&amp;E shall propose this change in </w:t>
      </w:r>
      <w:r w:rsidRPr="00221288" w:rsidR="009820C4">
        <w:rPr>
          <w:rFonts w:ascii="Palatino Linotype" w:hAnsi="Palatino Linotype"/>
        </w:rPr>
        <w:t>its</w:t>
      </w:r>
      <w:r w:rsidRPr="00221288" w:rsidR="005C0895">
        <w:rPr>
          <w:rFonts w:ascii="Palatino Linotype" w:hAnsi="Palatino Linotype"/>
        </w:rPr>
        <w:t xml:space="preserve"> NBT Modifications </w:t>
      </w:r>
      <w:r w:rsidRPr="00221288" w:rsidR="000B71E6">
        <w:rPr>
          <w:rFonts w:ascii="Palatino Linotype" w:hAnsi="Palatino Linotype"/>
        </w:rPr>
        <w:t>AL</w:t>
      </w:r>
      <w:r w:rsidRPr="00221288" w:rsidR="005C0895">
        <w:rPr>
          <w:rFonts w:ascii="Palatino Linotype" w:hAnsi="Palatino Linotype"/>
        </w:rPr>
        <w:t>.</w:t>
      </w:r>
      <w:r w:rsidRPr="00221288" w:rsidR="00162FFE">
        <w:rPr>
          <w:rFonts w:ascii="Palatino Linotype" w:hAnsi="Palatino Linotype"/>
        </w:rPr>
        <w:t xml:space="preserve"> With regards to all other issues raised on this topic, the utilities</w:t>
      </w:r>
      <w:r w:rsidRPr="00221288" w:rsidR="00924811">
        <w:rPr>
          <w:rFonts w:ascii="Palatino Linotype" w:hAnsi="Palatino Linotype"/>
        </w:rPr>
        <w:t>’</w:t>
      </w:r>
      <w:r w:rsidRPr="00221288" w:rsidR="00162FFE">
        <w:rPr>
          <w:rFonts w:ascii="Palatino Linotype" w:hAnsi="Palatino Linotype"/>
        </w:rPr>
        <w:t xml:space="preserve"> proposals are reasonable and are approved.</w:t>
      </w:r>
    </w:p>
    <w:p w:rsidRPr="00221288" w:rsidR="0063219A" w:rsidP="00384D2B" w:rsidRDefault="0063219A" w14:paraId="22D50DEE" w14:textId="77777777">
      <w:pPr>
        <w:rPr>
          <w:rFonts w:ascii="Palatino Linotype" w:hAnsi="Palatino Linotype"/>
        </w:rPr>
      </w:pPr>
    </w:p>
    <w:p w:rsidRPr="00221288" w:rsidR="002E011A" w:rsidP="002E011A" w:rsidRDefault="002E011A" w14:paraId="48DD4D45" w14:textId="77777777">
      <w:pPr>
        <w:pStyle w:val="Heading3"/>
        <w:rPr>
          <w:rFonts w:ascii="Palatino Linotype" w:hAnsi="Palatino Linotype"/>
        </w:rPr>
      </w:pPr>
      <w:r w:rsidRPr="00221288">
        <w:rPr>
          <w:rFonts w:ascii="Palatino Linotype" w:hAnsi="Palatino Linotype"/>
        </w:rPr>
        <w:t>Additional Protest Topics</w:t>
      </w:r>
    </w:p>
    <w:p w:rsidRPr="00221288" w:rsidR="00B74814" w:rsidP="00B74814" w:rsidRDefault="00B74814" w14:paraId="36F8AC9D" w14:textId="77777777">
      <w:pPr>
        <w:rPr>
          <w:rFonts w:ascii="Palatino Linotype" w:hAnsi="Palatino Linotype"/>
        </w:rPr>
      </w:pPr>
    </w:p>
    <w:p w:rsidRPr="00221288" w:rsidR="0015735C" w:rsidP="00384D2B" w:rsidRDefault="002702C2" w14:paraId="4A398D23" w14:textId="7C9261A8">
      <w:pPr>
        <w:rPr>
          <w:rFonts w:ascii="Palatino Linotype" w:hAnsi="Palatino Linotype"/>
        </w:rPr>
      </w:pPr>
      <w:r w:rsidRPr="00221288">
        <w:rPr>
          <w:rFonts w:ascii="Palatino Linotype" w:hAnsi="Palatino Linotype"/>
        </w:rPr>
        <w:t>The additional protest topics raised by CALSSA</w:t>
      </w:r>
      <w:r w:rsidRPr="00221288" w:rsidR="004F5E86">
        <w:rPr>
          <w:rFonts w:ascii="Palatino Linotype" w:hAnsi="Palatino Linotype"/>
        </w:rPr>
        <w:t xml:space="preserve"> and SEIA</w:t>
      </w:r>
      <w:r w:rsidRPr="00221288">
        <w:rPr>
          <w:rFonts w:ascii="Palatino Linotype" w:hAnsi="Palatino Linotype"/>
        </w:rPr>
        <w:t xml:space="preserve"> were agreed to by the utilities, </w:t>
      </w:r>
      <w:r w:rsidRPr="00221288" w:rsidR="00A5277C">
        <w:rPr>
          <w:rFonts w:ascii="Palatino Linotype" w:hAnsi="Palatino Linotype"/>
        </w:rPr>
        <w:t xml:space="preserve">have been disposed of in </w:t>
      </w:r>
      <w:r w:rsidRPr="00221288" w:rsidR="00886C86">
        <w:rPr>
          <w:rFonts w:ascii="Palatino Linotype" w:hAnsi="Palatino Linotype"/>
        </w:rPr>
        <w:t xml:space="preserve">relation to other ALs, </w:t>
      </w:r>
      <w:r w:rsidRPr="00221288">
        <w:rPr>
          <w:rFonts w:ascii="Palatino Linotype" w:hAnsi="Palatino Linotype"/>
        </w:rPr>
        <w:t xml:space="preserve">are now moot, </w:t>
      </w:r>
      <w:r w:rsidRPr="00221288" w:rsidR="00A95E04">
        <w:rPr>
          <w:rFonts w:ascii="Palatino Linotype" w:hAnsi="Palatino Linotype"/>
        </w:rPr>
        <w:t xml:space="preserve">are </w:t>
      </w:r>
      <w:r w:rsidRPr="00221288">
        <w:rPr>
          <w:rFonts w:ascii="Palatino Linotype" w:hAnsi="Palatino Linotype"/>
        </w:rPr>
        <w:t xml:space="preserve">requested changes from NEM 2.0 not authorized by D.22-12-056, or are to be dealt with in </w:t>
      </w:r>
      <w:r w:rsidRPr="00221288" w:rsidR="006776B4">
        <w:rPr>
          <w:rFonts w:ascii="Palatino Linotype" w:hAnsi="Palatino Linotype"/>
        </w:rPr>
        <w:t xml:space="preserve">the </w:t>
      </w:r>
      <w:r w:rsidRPr="00221288" w:rsidR="009A450F">
        <w:rPr>
          <w:rFonts w:ascii="Palatino Linotype" w:hAnsi="Palatino Linotype"/>
        </w:rPr>
        <w:t>forthcoming NBT Modifications</w:t>
      </w:r>
      <w:r w:rsidRPr="00221288">
        <w:rPr>
          <w:rFonts w:ascii="Palatino Linotype" w:hAnsi="Palatino Linotype"/>
        </w:rPr>
        <w:t xml:space="preserve"> </w:t>
      </w:r>
      <w:r w:rsidRPr="00221288" w:rsidR="004C0CD5">
        <w:rPr>
          <w:rFonts w:ascii="Palatino Linotype" w:hAnsi="Palatino Linotype"/>
        </w:rPr>
        <w:t>AL</w:t>
      </w:r>
      <w:r w:rsidRPr="00221288">
        <w:rPr>
          <w:rFonts w:ascii="Palatino Linotype" w:hAnsi="Palatino Linotype"/>
        </w:rPr>
        <w:t xml:space="preserve">. Therefore, the Commission does not order the utilities to take any action on them beyond what is already </w:t>
      </w:r>
      <w:r w:rsidRPr="00221288" w:rsidR="006E15D4">
        <w:rPr>
          <w:rFonts w:ascii="Palatino Linotype" w:hAnsi="Palatino Linotype"/>
        </w:rPr>
        <w:t>directed through</w:t>
      </w:r>
      <w:r w:rsidRPr="00221288">
        <w:rPr>
          <w:rFonts w:ascii="Palatino Linotype" w:hAnsi="Palatino Linotype"/>
        </w:rPr>
        <w:t xml:space="preserve"> </w:t>
      </w:r>
      <w:r w:rsidRPr="00221288" w:rsidR="006F71DD">
        <w:rPr>
          <w:rFonts w:ascii="Palatino Linotype" w:hAnsi="Palatino Linotype"/>
        </w:rPr>
        <w:t>the</w:t>
      </w:r>
      <w:r w:rsidRPr="00221288">
        <w:rPr>
          <w:rFonts w:ascii="Palatino Linotype" w:hAnsi="Palatino Linotype"/>
        </w:rPr>
        <w:t xml:space="preserve"> </w:t>
      </w:r>
      <w:r w:rsidRPr="00221288" w:rsidR="00C018F2">
        <w:rPr>
          <w:rFonts w:ascii="Palatino Linotype" w:hAnsi="Palatino Linotype"/>
        </w:rPr>
        <w:t xml:space="preserve">NBT Modifications </w:t>
      </w:r>
      <w:r w:rsidRPr="00221288" w:rsidR="000B71E6">
        <w:rPr>
          <w:rFonts w:ascii="Palatino Linotype" w:hAnsi="Palatino Linotype"/>
        </w:rPr>
        <w:t>AL</w:t>
      </w:r>
      <w:r w:rsidRPr="00221288">
        <w:rPr>
          <w:rFonts w:ascii="Palatino Linotype" w:hAnsi="Palatino Linotype"/>
        </w:rPr>
        <w:t>.</w:t>
      </w:r>
    </w:p>
    <w:p w:rsidRPr="00221288" w:rsidR="00B21CFE" w:rsidP="00384D2B" w:rsidRDefault="00B21CFE" w14:paraId="02BC5E51" w14:textId="77777777">
      <w:pPr>
        <w:rPr>
          <w:rFonts w:ascii="Palatino Linotype" w:hAnsi="Palatino Linotype"/>
        </w:rPr>
      </w:pPr>
    </w:p>
    <w:p w:rsidRPr="00221288" w:rsidR="00B21CFE" w:rsidP="00384D2B" w:rsidRDefault="002A5644" w14:paraId="7BAF8250" w14:textId="3072A6E7">
      <w:pPr>
        <w:rPr>
          <w:rFonts w:ascii="Palatino Linotype" w:hAnsi="Palatino Linotype"/>
          <w:highlight w:val="cyan"/>
        </w:rPr>
      </w:pPr>
      <w:r w:rsidRPr="00221288">
        <w:rPr>
          <w:rFonts w:ascii="Palatino Linotype" w:hAnsi="Palatino Linotype"/>
        </w:rPr>
        <w:t xml:space="preserve">The </w:t>
      </w:r>
      <w:r w:rsidRPr="00221288" w:rsidR="00DD4E98">
        <w:rPr>
          <w:rFonts w:ascii="Palatino Linotype" w:hAnsi="Palatino Linotype"/>
        </w:rPr>
        <w:t xml:space="preserve">various interpretations of </w:t>
      </w:r>
      <w:r w:rsidRPr="00221288" w:rsidR="0029350D">
        <w:rPr>
          <w:rFonts w:ascii="Palatino Linotype" w:hAnsi="Palatino Linotype"/>
        </w:rPr>
        <w:t>applicable decision</w:t>
      </w:r>
      <w:r w:rsidRPr="00221288" w:rsidR="004032AB">
        <w:rPr>
          <w:rFonts w:ascii="Palatino Linotype" w:hAnsi="Palatino Linotype"/>
        </w:rPr>
        <w:t xml:space="preserve"> requirements</w:t>
      </w:r>
      <w:r w:rsidRPr="00221288" w:rsidR="002E5546">
        <w:rPr>
          <w:rFonts w:ascii="Palatino Linotype" w:hAnsi="Palatino Linotype"/>
        </w:rPr>
        <w:t xml:space="preserve"> </w:t>
      </w:r>
      <w:r w:rsidRPr="00221288" w:rsidR="0029350D">
        <w:rPr>
          <w:rFonts w:ascii="Palatino Linotype" w:hAnsi="Palatino Linotype"/>
        </w:rPr>
        <w:t xml:space="preserve">and rules exhibited in the ALs, protests, and replies </w:t>
      </w:r>
      <w:r w:rsidRPr="00221288" w:rsidR="004A5E19">
        <w:rPr>
          <w:rFonts w:ascii="Palatino Linotype" w:hAnsi="Palatino Linotype"/>
        </w:rPr>
        <w:t>are resulting in ongoing changes to the interconnection</w:t>
      </w:r>
      <w:r w:rsidRPr="00221288" w:rsidR="001A5386">
        <w:rPr>
          <w:rFonts w:ascii="Palatino Linotype" w:hAnsi="Palatino Linotype"/>
        </w:rPr>
        <w:t xml:space="preserve"> </w:t>
      </w:r>
      <w:r w:rsidRPr="00221288" w:rsidR="00266261">
        <w:rPr>
          <w:rFonts w:ascii="Palatino Linotype" w:hAnsi="Palatino Linotype"/>
        </w:rPr>
        <w:t>processes, as demonstrated in this</w:t>
      </w:r>
      <w:r w:rsidRPr="00221288" w:rsidR="0029795B">
        <w:rPr>
          <w:rFonts w:ascii="Palatino Linotype" w:hAnsi="Palatino Linotype"/>
        </w:rPr>
        <w:t xml:space="preserve"> </w:t>
      </w:r>
      <w:r w:rsidRPr="00221288" w:rsidR="00873A84">
        <w:rPr>
          <w:rFonts w:ascii="Palatino Linotype" w:hAnsi="Palatino Linotype"/>
        </w:rPr>
        <w:t>Discussion section of the Resolution.</w:t>
      </w:r>
      <w:r w:rsidRPr="00221288" w:rsidR="0029795B">
        <w:rPr>
          <w:rFonts w:ascii="Palatino Linotype" w:hAnsi="Palatino Linotype"/>
        </w:rPr>
        <w:t xml:space="preserve"> </w:t>
      </w:r>
      <w:r w:rsidRPr="00221288" w:rsidR="00B21CFE">
        <w:rPr>
          <w:rFonts w:ascii="Palatino Linotype" w:hAnsi="Palatino Linotype"/>
        </w:rPr>
        <w:t xml:space="preserve">In order </w:t>
      </w:r>
      <w:r w:rsidRPr="00221288" w:rsidR="001572C0">
        <w:rPr>
          <w:rFonts w:ascii="Palatino Linotype" w:hAnsi="Palatino Linotype"/>
        </w:rPr>
        <w:t>to</w:t>
      </w:r>
      <w:r w:rsidRPr="00221288" w:rsidR="00B21CFE">
        <w:rPr>
          <w:rFonts w:ascii="Palatino Linotype" w:hAnsi="Palatino Linotype"/>
        </w:rPr>
        <w:t xml:space="preserve"> implement the billing system updates addressed in this </w:t>
      </w:r>
      <w:r w:rsidRPr="00221288" w:rsidR="009E2611">
        <w:rPr>
          <w:rFonts w:ascii="Palatino Linotype" w:hAnsi="Palatino Linotype"/>
        </w:rPr>
        <w:t>R</w:t>
      </w:r>
      <w:r w:rsidRPr="00221288" w:rsidR="00B21CFE">
        <w:rPr>
          <w:rFonts w:ascii="Palatino Linotype" w:hAnsi="Palatino Linotype"/>
        </w:rPr>
        <w:t>esolution</w:t>
      </w:r>
      <w:r w:rsidRPr="00221288" w:rsidR="002F2E0D">
        <w:rPr>
          <w:rFonts w:ascii="Palatino Linotype" w:hAnsi="Palatino Linotype"/>
        </w:rPr>
        <w:t xml:space="preserve"> and address unforeseen issues, it is reasonable to grant the Director </w:t>
      </w:r>
      <w:r w:rsidRPr="00221288" w:rsidR="004537FA">
        <w:rPr>
          <w:rFonts w:ascii="Palatino Linotype" w:hAnsi="Palatino Linotype"/>
        </w:rPr>
        <w:t>of the</w:t>
      </w:r>
      <w:r w:rsidRPr="00221288" w:rsidR="00C151B1">
        <w:rPr>
          <w:rFonts w:ascii="Palatino Linotype" w:hAnsi="Palatino Linotype"/>
        </w:rPr>
        <w:t xml:space="preserve"> Energy </w:t>
      </w:r>
      <w:r w:rsidRPr="00221288" w:rsidR="004537FA">
        <w:rPr>
          <w:rFonts w:ascii="Palatino Linotype" w:hAnsi="Palatino Linotype"/>
        </w:rPr>
        <w:t>Division</w:t>
      </w:r>
      <w:r w:rsidRPr="00221288" w:rsidR="00C151B1">
        <w:rPr>
          <w:rFonts w:ascii="Palatino Linotype" w:hAnsi="Palatino Linotype"/>
        </w:rPr>
        <w:t xml:space="preserve"> </w:t>
      </w:r>
      <w:r w:rsidRPr="00221288" w:rsidR="00DB47C3">
        <w:rPr>
          <w:rFonts w:ascii="Palatino Linotype" w:hAnsi="Palatino Linotype"/>
        </w:rPr>
        <w:t xml:space="preserve">or their designee </w:t>
      </w:r>
      <w:r w:rsidRPr="00221288" w:rsidR="00C151B1">
        <w:rPr>
          <w:rFonts w:ascii="Palatino Linotype" w:hAnsi="Palatino Linotype"/>
        </w:rPr>
        <w:t xml:space="preserve">authority to make technical </w:t>
      </w:r>
      <w:r w:rsidRPr="00221288" w:rsidR="00154BD9">
        <w:rPr>
          <w:rFonts w:ascii="Palatino Linotype" w:hAnsi="Palatino Linotype"/>
        </w:rPr>
        <w:t>changes to the</w:t>
      </w:r>
      <w:r w:rsidRPr="00221288" w:rsidR="00DB47C3">
        <w:rPr>
          <w:rFonts w:ascii="Palatino Linotype" w:hAnsi="Palatino Linotype"/>
        </w:rPr>
        <w:t xml:space="preserve"> </w:t>
      </w:r>
      <w:r w:rsidRPr="00221288" w:rsidR="00CE36BA">
        <w:rPr>
          <w:rFonts w:ascii="Palatino Linotype" w:hAnsi="Palatino Linotype"/>
        </w:rPr>
        <w:t>utilities</w:t>
      </w:r>
      <w:r w:rsidRPr="00221288" w:rsidR="00DB47C3">
        <w:rPr>
          <w:rFonts w:ascii="Palatino Linotype" w:hAnsi="Palatino Linotype"/>
        </w:rPr>
        <w:t>’</w:t>
      </w:r>
      <w:r w:rsidRPr="00221288" w:rsidR="00154BD9">
        <w:rPr>
          <w:rFonts w:ascii="Palatino Linotype" w:hAnsi="Palatino Linotype"/>
        </w:rPr>
        <w:t xml:space="preserve"> respective interconnection portals</w:t>
      </w:r>
      <w:r w:rsidRPr="00221288" w:rsidR="00DB47C3">
        <w:rPr>
          <w:rFonts w:ascii="Palatino Linotype" w:hAnsi="Palatino Linotype"/>
        </w:rPr>
        <w:t xml:space="preserve"> via letter</w:t>
      </w:r>
      <w:r w:rsidRPr="00221288" w:rsidR="00154BD9">
        <w:rPr>
          <w:rFonts w:ascii="Palatino Linotype" w:hAnsi="Palatino Linotype"/>
        </w:rPr>
        <w:t>.</w:t>
      </w:r>
    </w:p>
    <w:p w:rsidRPr="00221288" w:rsidR="009D3510" w:rsidP="002415DE" w:rsidRDefault="009D3510" w14:paraId="244FC1EA" w14:textId="77777777">
      <w:pPr>
        <w:rPr>
          <w:rFonts w:ascii="Palatino Linotype" w:hAnsi="Palatino Linotype"/>
        </w:rPr>
      </w:pPr>
    </w:p>
    <w:p w:rsidRPr="00221288" w:rsidR="000827CA" w:rsidP="00270E12" w:rsidRDefault="0024306A" w14:paraId="153CAFC9" w14:textId="50DAB3D1">
      <w:pPr>
        <w:pStyle w:val="Heading2"/>
        <w:rPr>
          <w:rFonts w:ascii="Palatino Linotype" w:hAnsi="Palatino Linotype"/>
          <w:u w:val="single"/>
        </w:rPr>
      </w:pPr>
      <w:r w:rsidRPr="00221288">
        <w:rPr>
          <w:rFonts w:ascii="Palatino Linotype" w:hAnsi="Palatino Linotype"/>
          <w:u w:val="single"/>
        </w:rPr>
        <w:t>COMMENTS</w:t>
      </w:r>
    </w:p>
    <w:p w:rsidRPr="00221288" w:rsidR="00295EE1" w:rsidP="00295EE1" w:rsidRDefault="00295EE1" w14:paraId="0EC93A40" w14:textId="77777777">
      <w:pPr>
        <w:rPr>
          <w:rFonts w:ascii="Palatino Linotype" w:hAnsi="Palatino Linotype"/>
        </w:rPr>
      </w:pPr>
    </w:p>
    <w:p w:rsidRPr="00221288" w:rsidR="00295EE1" w:rsidP="00295EE1" w:rsidRDefault="00295EE1" w14:paraId="0C831971" w14:textId="28CB3244">
      <w:pPr>
        <w:rPr>
          <w:rFonts w:ascii="Palatino Linotype" w:hAnsi="Palatino Linotype"/>
        </w:rPr>
      </w:pPr>
      <w:r w:rsidRPr="00221288">
        <w:rPr>
          <w:rFonts w:ascii="Palatino Linotype" w:hAnsi="Palatino Linotype"/>
        </w:rPr>
        <w:t>Public Utilities Code section 311(g)(1) provides that this Resolution must be served on all parties and subject to at least 30 days public review.</w:t>
      </w:r>
      <w:r w:rsidRPr="00221288">
        <w:t> </w:t>
      </w:r>
      <w:r w:rsidRPr="00221288">
        <w:rPr>
          <w:rFonts w:ascii="Palatino Linotype" w:hAnsi="Palatino Linotype"/>
        </w:rPr>
        <w:t xml:space="preserve"> Any comments are due within </w:t>
      </w:r>
      <w:r w:rsidRPr="00221288">
        <w:rPr>
          <w:rFonts w:ascii="Palatino Linotype" w:hAnsi="Palatino Linotype"/>
        </w:rPr>
        <w:lastRenderedPageBreak/>
        <w:t>20 days of the date of its mailing and publication on the Commission</w:t>
      </w:r>
      <w:r w:rsidRPr="00221288">
        <w:rPr>
          <w:rFonts w:ascii="Palatino Linotype" w:hAnsi="Palatino Linotype" w:cs="Garamond"/>
        </w:rPr>
        <w:t>’</w:t>
      </w:r>
      <w:r w:rsidRPr="00221288">
        <w:rPr>
          <w:rFonts w:ascii="Palatino Linotype" w:hAnsi="Palatino Linotype"/>
        </w:rPr>
        <w:t>s website and in accordance with any instructions accompanying the notice. Section 311(g)(2) provides that this 30-day review period and 20-day comment period may be reduced or waived upon the stipulation of all parties in the proceeding.</w:t>
      </w:r>
    </w:p>
    <w:p w:rsidRPr="00221288" w:rsidR="00295EE1" w:rsidP="00295EE1" w:rsidRDefault="00295EE1" w14:paraId="1C73CB89" w14:textId="77777777">
      <w:pPr>
        <w:rPr>
          <w:rFonts w:ascii="Palatino Linotype" w:hAnsi="Palatino Linotype"/>
        </w:rPr>
      </w:pPr>
      <w:r w:rsidRPr="00221288">
        <w:rPr>
          <w:rFonts w:ascii="Palatino Linotype" w:hAnsi="Palatino Linotype"/>
        </w:rPr>
        <w:t> </w:t>
      </w:r>
    </w:p>
    <w:p w:rsidRPr="00221288" w:rsidR="00295EE1" w:rsidP="00295EE1" w:rsidRDefault="00295EE1" w14:paraId="21540530" w14:textId="1654245C">
      <w:pPr>
        <w:rPr>
          <w:rFonts w:ascii="Palatino Linotype" w:hAnsi="Palatino Linotype"/>
        </w:rPr>
      </w:pPr>
      <w:r w:rsidRPr="00221288">
        <w:rPr>
          <w:rFonts w:ascii="Palatino Linotype" w:hAnsi="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Pr="00221288" w:rsidR="0024306A" w:rsidP="001C7D9C" w:rsidRDefault="0024306A" w14:paraId="5F1FE982" w14:textId="77777777">
      <w:pPr>
        <w:rPr>
          <w:rFonts w:ascii="Palatino Linotype" w:hAnsi="Palatino Linotype"/>
        </w:rPr>
      </w:pPr>
    </w:p>
    <w:p w:rsidRPr="00221288" w:rsidR="003277F4" w:rsidP="00270E12" w:rsidRDefault="003277F4" w14:paraId="1938E394" w14:textId="7A34BE41">
      <w:pPr>
        <w:pStyle w:val="Heading2"/>
        <w:rPr>
          <w:rFonts w:ascii="Palatino Linotype" w:hAnsi="Palatino Linotype"/>
          <w:b w:val="0"/>
          <w:u w:val="single"/>
        </w:rPr>
      </w:pPr>
      <w:r w:rsidRPr="00221288">
        <w:rPr>
          <w:rFonts w:ascii="Palatino Linotype" w:hAnsi="Palatino Linotype"/>
          <w:u w:val="single"/>
        </w:rPr>
        <w:t>FINDINGS</w:t>
      </w:r>
    </w:p>
    <w:p w:rsidRPr="00221288" w:rsidR="00790351" w:rsidP="003277F4" w:rsidRDefault="00790351" w14:paraId="04E4F912" w14:textId="77777777">
      <w:pPr>
        <w:rPr>
          <w:rFonts w:ascii="Palatino Linotype" w:hAnsi="Palatino Linotype"/>
        </w:rPr>
      </w:pPr>
    </w:p>
    <w:p w:rsidRPr="00221288" w:rsidR="002D0109" w:rsidP="003543C4" w:rsidRDefault="00790351" w14:paraId="417D8CEA" w14:textId="58094AE2">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Ordering</w:t>
      </w:r>
      <w:r w:rsidRPr="00221288" w:rsidR="003277F4">
        <w:rPr>
          <w:rFonts w:ascii="Palatino Linotype" w:hAnsi="Palatino Linotype"/>
          <w:sz w:val="24"/>
          <w:szCs w:val="24"/>
        </w:rPr>
        <w:t xml:space="preserve"> Paragraph </w:t>
      </w:r>
      <w:r w:rsidRPr="00221288" w:rsidR="00EE600F">
        <w:rPr>
          <w:rFonts w:ascii="Palatino Linotype" w:hAnsi="Palatino Linotype"/>
          <w:sz w:val="24"/>
          <w:szCs w:val="24"/>
        </w:rPr>
        <w:t>12</w:t>
      </w:r>
      <w:r w:rsidRPr="00221288" w:rsidR="00FF35FA">
        <w:rPr>
          <w:rFonts w:ascii="Palatino Linotype" w:hAnsi="Palatino Linotype"/>
          <w:sz w:val="24"/>
          <w:szCs w:val="24"/>
        </w:rPr>
        <w:t xml:space="preserve"> </w:t>
      </w:r>
      <w:r w:rsidRPr="00221288" w:rsidR="00EE600F">
        <w:rPr>
          <w:rFonts w:ascii="Palatino Linotype" w:hAnsi="Palatino Linotype"/>
          <w:sz w:val="24"/>
          <w:szCs w:val="24"/>
        </w:rPr>
        <w:t>(f) of Decision (D.)22-12-056 directed Pacific Gas and Electric Company</w:t>
      </w:r>
      <w:r w:rsidRPr="00221288" w:rsidR="0031487D">
        <w:rPr>
          <w:rFonts w:ascii="Palatino Linotype" w:hAnsi="Palatino Linotype"/>
          <w:sz w:val="24"/>
          <w:szCs w:val="24"/>
        </w:rPr>
        <w:t xml:space="preserve"> (PG&amp;E)</w:t>
      </w:r>
      <w:r w:rsidRPr="00221288" w:rsidR="00EE600F">
        <w:rPr>
          <w:rFonts w:ascii="Palatino Linotype" w:hAnsi="Palatino Linotype"/>
          <w:sz w:val="24"/>
          <w:szCs w:val="24"/>
        </w:rPr>
        <w:t>, Southern California Edison Company</w:t>
      </w:r>
      <w:r w:rsidRPr="00221288" w:rsidR="0031487D">
        <w:rPr>
          <w:rFonts w:ascii="Palatino Linotype" w:hAnsi="Palatino Linotype"/>
          <w:sz w:val="24"/>
          <w:szCs w:val="24"/>
        </w:rPr>
        <w:t xml:space="preserve"> (SCE)</w:t>
      </w:r>
      <w:r w:rsidRPr="00221288" w:rsidR="00EE600F">
        <w:rPr>
          <w:rFonts w:ascii="Palatino Linotype" w:hAnsi="Palatino Linotype"/>
          <w:sz w:val="24"/>
          <w:szCs w:val="24"/>
        </w:rPr>
        <w:t>, and San Diego Gas &amp; Electric Company</w:t>
      </w:r>
      <w:r w:rsidRPr="00221288" w:rsidR="0031487D">
        <w:rPr>
          <w:rFonts w:ascii="Palatino Linotype" w:hAnsi="Palatino Linotype"/>
          <w:sz w:val="24"/>
          <w:szCs w:val="24"/>
        </w:rPr>
        <w:t xml:space="preserve"> (SDG&amp;E)</w:t>
      </w:r>
      <w:r w:rsidRPr="00221288" w:rsidR="00EE600F">
        <w:rPr>
          <w:rFonts w:ascii="Palatino Linotype" w:hAnsi="Palatino Linotype"/>
          <w:sz w:val="24"/>
          <w:szCs w:val="24"/>
        </w:rPr>
        <w:t xml:space="preserve"> (</w:t>
      </w:r>
      <w:r w:rsidRPr="00221288" w:rsidR="0031487D">
        <w:rPr>
          <w:rFonts w:ascii="Palatino Linotype" w:hAnsi="Palatino Linotype"/>
          <w:sz w:val="24"/>
          <w:szCs w:val="24"/>
        </w:rPr>
        <w:t xml:space="preserve">collectively, </w:t>
      </w:r>
      <w:r w:rsidRPr="00221288" w:rsidR="00FF35FA">
        <w:rPr>
          <w:rFonts w:ascii="Palatino Linotype" w:hAnsi="Palatino Linotype"/>
          <w:sz w:val="24"/>
          <w:szCs w:val="24"/>
        </w:rPr>
        <w:t>“</w:t>
      </w:r>
      <w:r w:rsidRPr="00221288" w:rsidR="00EE600F">
        <w:rPr>
          <w:rFonts w:ascii="Palatino Linotype" w:hAnsi="Palatino Linotype"/>
          <w:sz w:val="24"/>
          <w:szCs w:val="24"/>
        </w:rPr>
        <w:t>the utilities</w:t>
      </w:r>
      <w:r w:rsidRPr="00221288" w:rsidR="00FF35FA">
        <w:rPr>
          <w:rFonts w:ascii="Palatino Linotype" w:hAnsi="Palatino Linotype"/>
          <w:sz w:val="24"/>
          <w:szCs w:val="24"/>
        </w:rPr>
        <w:t>”</w:t>
      </w:r>
      <w:r w:rsidRPr="00221288" w:rsidR="00EE600F">
        <w:rPr>
          <w:rFonts w:ascii="Palatino Linotype" w:hAnsi="Palatino Linotype"/>
          <w:sz w:val="24"/>
          <w:szCs w:val="24"/>
        </w:rPr>
        <w:t>) to submit Tier 2 Advice Letters</w:t>
      </w:r>
      <w:r w:rsidRPr="00221288" w:rsidR="0031487D">
        <w:rPr>
          <w:rFonts w:ascii="Palatino Linotype" w:hAnsi="Palatino Linotype"/>
          <w:sz w:val="24"/>
          <w:szCs w:val="24"/>
        </w:rPr>
        <w:t xml:space="preserve"> (AL)</w:t>
      </w:r>
      <w:r w:rsidRPr="00221288" w:rsidR="00EE600F">
        <w:rPr>
          <w:rFonts w:ascii="Palatino Linotype" w:hAnsi="Palatino Linotype"/>
          <w:sz w:val="24"/>
          <w:szCs w:val="24"/>
        </w:rPr>
        <w:t xml:space="preserve"> proposing tariff language for the net billing tariff.</w:t>
      </w:r>
    </w:p>
    <w:p w:rsidRPr="00221288" w:rsidR="00E74F24" w:rsidP="00E74F24" w:rsidRDefault="00E74F24" w14:paraId="1B0426F1" w14:textId="77777777">
      <w:pPr>
        <w:rPr>
          <w:rFonts w:ascii="Palatino Linotype" w:hAnsi="Palatino Linotype"/>
        </w:rPr>
      </w:pPr>
    </w:p>
    <w:p w:rsidRPr="00221288" w:rsidR="002D0109" w:rsidP="003543C4" w:rsidRDefault="0031487D" w14:paraId="30B73397" w14:textId="485BFDE4">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On January 30, 2023, the</w:t>
      </w:r>
      <w:r w:rsidRPr="00221288" w:rsidR="00EE600F">
        <w:rPr>
          <w:rFonts w:ascii="Palatino Linotype" w:hAnsi="Palatino Linotype"/>
          <w:sz w:val="24"/>
          <w:szCs w:val="24"/>
        </w:rPr>
        <w:t xml:space="preserve"> utilities timely submitted </w:t>
      </w:r>
      <w:r w:rsidRPr="00221288">
        <w:rPr>
          <w:rFonts w:ascii="Palatino Linotype" w:hAnsi="Palatino Linotype"/>
          <w:sz w:val="24"/>
          <w:szCs w:val="24"/>
        </w:rPr>
        <w:t>PG&amp;E</w:t>
      </w:r>
      <w:r w:rsidRPr="00221288" w:rsidR="00FC18DC">
        <w:rPr>
          <w:rFonts w:ascii="Palatino Linotype" w:hAnsi="Palatino Linotype"/>
          <w:sz w:val="24"/>
          <w:szCs w:val="24"/>
        </w:rPr>
        <w:t xml:space="preserve"> </w:t>
      </w:r>
      <w:r w:rsidRPr="00221288">
        <w:rPr>
          <w:rFonts w:ascii="Palatino Linotype" w:hAnsi="Palatino Linotype"/>
          <w:sz w:val="24"/>
          <w:szCs w:val="24"/>
        </w:rPr>
        <w:t>AL</w:t>
      </w:r>
      <w:r w:rsidRPr="00221288" w:rsidR="00FC18DC">
        <w:rPr>
          <w:rFonts w:ascii="Palatino Linotype" w:hAnsi="Palatino Linotype"/>
          <w:sz w:val="24"/>
          <w:szCs w:val="24"/>
        </w:rPr>
        <w:t xml:space="preserve"> 6848-E, </w:t>
      </w:r>
      <w:r w:rsidRPr="00221288">
        <w:rPr>
          <w:rFonts w:ascii="Palatino Linotype" w:hAnsi="Palatino Linotype"/>
          <w:sz w:val="24"/>
          <w:szCs w:val="24"/>
        </w:rPr>
        <w:t>SCE AL</w:t>
      </w:r>
      <w:r w:rsidRPr="00221288" w:rsidR="00FC18DC">
        <w:rPr>
          <w:rFonts w:ascii="Palatino Linotype" w:hAnsi="Palatino Linotype"/>
          <w:sz w:val="24"/>
          <w:szCs w:val="24"/>
        </w:rPr>
        <w:t xml:space="preserve"> 4961-E, and </w:t>
      </w:r>
      <w:r w:rsidRPr="00221288">
        <w:rPr>
          <w:rFonts w:ascii="Palatino Linotype" w:hAnsi="Palatino Linotype"/>
          <w:sz w:val="24"/>
          <w:szCs w:val="24"/>
        </w:rPr>
        <w:t>SDG&amp;E AL</w:t>
      </w:r>
      <w:r w:rsidRPr="00221288" w:rsidR="00FC18DC">
        <w:rPr>
          <w:rFonts w:ascii="Palatino Linotype" w:hAnsi="Palatino Linotype"/>
          <w:sz w:val="24"/>
          <w:szCs w:val="24"/>
        </w:rPr>
        <w:t xml:space="preserve"> 4155-E</w:t>
      </w:r>
      <w:r w:rsidRPr="00221288">
        <w:rPr>
          <w:rFonts w:ascii="Palatino Linotype" w:hAnsi="Palatino Linotype"/>
          <w:sz w:val="24"/>
          <w:szCs w:val="24"/>
        </w:rPr>
        <w:t xml:space="preserve">. </w:t>
      </w:r>
      <w:r w:rsidRPr="00221288" w:rsidR="00CD00F8">
        <w:rPr>
          <w:rFonts w:ascii="Palatino Linotype" w:hAnsi="Palatino Linotype"/>
          <w:sz w:val="24"/>
          <w:szCs w:val="24"/>
        </w:rPr>
        <w:t xml:space="preserve">The utilities </w:t>
      </w:r>
      <w:r w:rsidRPr="00221288" w:rsidR="00FC18DC">
        <w:rPr>
          <w:rFonts w:ascii="Palatino Linotype" w:hAnsi="Palatino Linotype"/>
          <w:sz w:val="24"/>
          <w:szCs w:val="24"/>
        </w:rPr>
        <w:t xml:space="preserve">subsequently submitted supplemental </w:t>
      </w:r>
      <w:r w:rsidRPr="00221288" w:rsidR="00CD00F8">
        <w:rPr>
          <w:rFonts w:ascii="Palatino Linotype" w:hAnsi="Palatino Linotype"/>
          <w:sz w:val="24"/>
          <w:szCs w:val="24"/>
        </w:rPr>
        <w:t xml:space="preserve">advice letters </w:t>
      </w:r>
      <w:r w:rsidRPr="00221288" w:rsidR="008920BF">
        <w:rPr>
          <w:rFonts w:ascii="Palatino Linotype" w:hAnsi="Palatino Linotype"/>
          <w:sz w:val="24"/>
          <w:szCs w:val="24"/>
        </w:rPr>
        <w:t xml:space="preserve">PG&amp;E AL </w:t>
      </w:r>
      <w:r w:rsidRPr="00221288">
        <w:rPr>
          <w:rFonts w:ascii="Palatino Linotype" w:hAnsi="Palatino Linotype"/>
          <w:sz w:val="24"/>
          <w:szCs w:val="24"/>
        </w:rPr>
        <w:t>6848-E-A</w:t>
      </w:r>
      <w:r w:rsidRPr="00221288" w:rsidR="008920BF">
        <w:rPr>
          <w:rFonts w:ascii="Palatino Linotype" w:hAnsi="Palatino Linotype"/>
          <w:sz w:val="24"/>
          <w:szCs w:val="24"/>
        </w:rPr>
        <w:t xml:space="preserve"> on </w:t>
      </w:r>
      <w:r w:rsidRPr="00221288" w:rsidR="00510AF7">
        <w:rPr>
          <w:rFonts w:ascii="Palatino Linotype" w:hAnsi="Palatino Linotype"/>
          <w:sz w:val="24"/>
          <w:szCs w:val="24"/>
        </w:rPr>
        <w:t>March 24, 2023</w:t>
      </w:r>
      <w:r w:rsidRPr="00221288">
        <w:rPr>
          <w:rFonts w:ascii="Palatino Linotype" w:hAnsi="Palatino Linotype"/>
          <w:sz w:val="24"/>
          <w:szCs w:val="24"/>
        </w:rPr>
        <w:t xml:space="preserve">, </w:t>
      </w:r>
      <w:r w:rsidR="00824FD3">
        <w:rPr>
          <w:rFonts w:ascii="Palatino Linotype" w:hAnsi="Palatino Linotype"/>
          <w:sz w:val="24"/>
          <w:szCs w:val="24"/>
        </w:rPr>
        <w:br/>
      </w:r>
      <w:r w:rsidRPr="00221288" w:rsidR="008920BF">
        <w:rPr>
          <w:rFonts w:ascii="Palatino Linotype" w:hAnsi="Palatino Linotype"/>
          <w:sz w:val="24"/>
          <w:szCs w:val="24"/>
        </w:rPr>
        <w:t xml:space="preserve">SCE AL </w:t>
      </w:r>
      <w:r w:rsidRPr="00221288">
        <w:rPr>
          <w:rFonts w:ascii="Palatino Linotype" w:hAnsi="Palatino Linotype"/>
          <w:sz w:val="24"/>
          <w:szCs w:val="24"/>
        </w:rPr>
        <w:t>4961-E-A</w:t>
      </w:r>
      <w:r w:rsidRPr="00221288" w:rsidR="008920BF">
        <w:rPr>
          <w:rFonts w:ascii="Palatino Linotype" w:hAnsi="Palatino Linotype"/>
          <w:sz w:val="24"/>
          <w:szCs w:val="24"/>
        </w:rPr>
        <w:t xml:space="preserve"> on </w:t>
      </w:r>
      <w:r w:rsidRPr="00221288" w:rsidR="00510AF7">
        <w:rPr>
          <w:rFonts w:ascii="Palatino Linotype" w:hAnsi="Palatino Linotype"/>
          <w:sz w:val="24"/>
          <w:szCs w:val="24"/>
        </w:rPr>
        <w:t>March 27, 2023</w:t>
      </w:r>
      <w:r w:rsidRPr="00221288">
        <w:rPr>
          <w:rFonts w:ascii="Palatino Linotype" w:hAnsi="Palatino Linotype"/>
          <w:sz w:val="24"/>
          <w:szCs w:val="24"/>
        </w:rPr>
        <w:t xml:space="preserve">, and </w:t>
      </w:r>
      <w:r w:rsidRPr="00221288" w:rsidR="008920BF">
        <w:rPr>
          <w:rFonts w:ascii="Palatino Linotype" w:hAnsi="Palatino Linotype"/>
          <w:sz w:val="24"/>
          <w:szCs w:val="24"/>
        </w:rPr>
        <w:t xml:space="preserve">SDG&amp;E AL </w:t>
      </w:r>
      <w:r w:rsidRPr="00221288">
        <w:rPr>
          <w:rFonts w:ascii="Palatino Linotype" w:hAnsi="Palatino Linotype"/>
          <w:sz w:val="24"/>
          <w:szCs w:val="24"/>
        </w:rPr>
        <w:t>4155-E-A</w:t>
      </w:r>
      <w:r w:rsidRPr="00221288" w:rsidR="00864BBE">
        <w:rPr>
          <w:rFonts w:ascii="Palatino Linotype" w:hAnsi="Palatino Linotype"/>
          <w:sz w:val="24"/>
          <w:szCs w:val="24"/>
        </w:rPr>
        <w:t xml:space="preserve"> on March 31, 2023</w:t>
      </w:r>
      <w:r w:rsidRPr="00221288" w:rsidR="008920BF">
        <w:rPr>
          <w:rFonts w:ascii="Palatino Linotype" w:hAnsi="Palatino Linotype"/>
          <w:sz w:val="24"/>
          <w:szCs w:val="24"/>
        </w:rPr>
        <w:t>.</w:t>
      </w:r>
    </w:p>
    <w:p w:rsidRPr="00221288" w:rsidR="00E74F24" w:rsidP="00E74F24" w:rsidRDefault="00E74F24" w14:paraId="48B080E8" w14:textId="77777777">
      <w:pPr>
        <w:rPr>
          <w:rFonts w:ascii="Palatino Linotype" w:hAnsi="Palatino Linotype"/>
        </w:rPr>
      </w:pPr>
    </w:p>
    <w:p w:rsidRPr="00221288" w:rsidR="002D0109" w:rsidP="003543C4" w:rsidRDefault="006323A9" w14:paraId="7EC2790A" w14:textId="346895BC">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The intent of climate zone averaging for the retail export compensation rate in D.22-12-056 was simple averaging of climate zones rather than weighted averaging</w:t>
      </w:r>
      <w:r w:rsidRPr="00221288" w:rsidR="005B3983">
        <w:rPr>
          <w:rFonts w:ascii="Palatino Linotype" w:hAnsi="Palatino Linotype"/>
          <w:sz w:val="24"/>
          <w:szCs w:val="24"/>
        </w:rPr>
        <w:t>.</w:t>
      </w:r>
    </w:p>
    <w:p w:rsidRPr="00221288" w:rsidR="00E74F24" w:rsidP="00E74F24" w:rsidRDefault="00E74F24" w14:paraId="149F968C" w14:textId="77777777">
      <w:pPr>
        <w:rPr>
          <w:rFonts w:ascii="Palatino Linotype" w:hAnsi="Palatino Linotype"/>
        </w:rPr>
      </w:pPr>
    </w:p>
    <w:p w:rsidRPr="00221288" w:rsidR="00E74F24" w:rsidP="00E74F24" w:rsidRDefault="00A271B3" w14:paraId="59CF8DE7" w14:textId="4F5A9478">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D.22-12-056 require</w:t>
      </w:r>
      <w:r w:rsidRPr="00221288" w:rsidR="00A5480C">
        <w:rPr>
          <w:rFonts w:ascii="Palatino Linotype" w:hAnsi="Palatino Linotype"/>
          <w:sz w:val="24"/>
          <w:szCs w:val="24"/>
        </w:rPr>
        <w:t>s</w:t>
      </w:r>
      <w:r w:rsidRPr="00221288" w:rsidR="008A55B6">
        <w:rPr>
          <w:rFonts w:ascii="Palatino Linotype" w:hAnsi="Palatino Linotype"/>
          <w:sz w:val="24"/>
          <w:szCs w:val="24"/>
        </w:rPr>
        <w:t xml:space="preserve"> </w:t>
      </w:r>
      <w:r w:rsidRPr="00221288" w:rsidR="00087011">
        <w:rPr>
          <w:rFonts w:ascii="Palatino Linotype" w:hAnsi="Palatino Linotype"/>
          <w:sz w:val="24"/>
          <w:szCs w:val="24"/>
        </w:rPr>
        <w:t xml:space="preserve">the utilities to publish clear and accessible information on their websites about </w:t>
      </w:r>
      <w:r w:rsidRPr="00221288" w:rsidR="00685AF9">
        <w:rPr>
          <w:rFonts w:ascii="Palatino Linotype" w:hAnsi="Palatino Linotype"/>
          <w:sz w:val="24"/>
          <w:szCs w:val="24"/>
        </w:rPr>
        <w:t xml:space="preserve">the net billing tariff </w:t>
      </w:r>
      <w:r w:rsidRPr="00221288" w:rsidR="00087011">
        <w:rPr>
          <w:rFonts w:ascii="Palatino Linotype" w:hAnsi="Palatino Linotype"/>
          <w:sz w:val="24"/>
          <w:szCs w:val="24"/>
        </w:rPr>
        <w:t>retail export compensation rate and</w:t>
      </w:r>
      <w:r w:rsidRPr="00221288" w:rsidR="0091012A">
        <w:rPr>
          <w:rFonts w:ascii="Palatino Linotype" w:hAnsi="Palatino Linotype"/>
          <w:sz w:val="24"/>
          <w:szCs w:val="24"/>
        </w:rPr>
        <w:t xml:space="preserve"> </w:t>
      </w:r>
      <w:r w:rsidRPr="00221288" w:rsidR="006323A9">
        <w:rPr>
          <w:rFonts w:ascii="Palatino Linotype" w:hAnsi="Palatino Linotype"/>
          <w:sz w:val="24"/>
          <w:szCs w:val="24"/>
        </w:rPr>
        <w:t>to</w:t>
      </w:r>
      <w:r w:rsidRPr="00221288" w:rsidR="0091012A">
        <w:rPr>
          <w:rFonts w:ascii="Palatino Linotype" w:hAnsi="Palatino Linotype"/>
          <w:sz w:val="24"/>
          <w:szCs w:val="24"/>
        </w:rPr>
        <w:t xml:space="preserve"> articulate which components of the Avoided Cost Calculator are under the jurisdiction of the utilities in the case of unbundled customers.</w:t>
      </w:r>
    </w:p>
    <w:p w:rsidRPr="00221288" w:rsidR="00E74F24" w:rsidP="00E74F24" w:rsidRDefault="00E74F24" w14:paraId="47927CEE" w14:textId="77777777">
      <w:pPr>
        <w:rPr>
          <w:rFonts w:ascii="Palatino Linotype" w:hAnsi="Palatino Linotype"/>
        </w:rPr>
      </w:pPr>
    </w:p>
    <w:p w:rsidRPr="00221288" w:rsidR="00E74F24" w:rsidP="00E74F24" w:rsidRDefault="00087011" w14:paraId="44636F74" w14:textId="03B16508">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 xml:space="preserve">Excess generation credits and excess delivery credits </w:t>
      </w:r>
      <w:r w:rsidRPr="00221288" w:rsidR="00A3064F">
        <w:rPr>
          <w:rFonts w:ascii="Palatino Linotype" w:hAnsi="Palatino Linotype"/>
          <w:sz w:val="24"/>
          <w:szCs w:val="24"/>
        </w:rPr>
        <w:t>may not be granted</w:t>
      </w:r>
      <w:r w:rsidRPr="00221288" w:rsidR="001C26FA">
        <w:rPr>
          <w:rFonts w:ascii="Palatino Linotype" w:hAnsi="Palatino Linotype"/>
          <w:sz w:val="24"/>
          <w:szCs w:val="24"/>
        </w:rPr>
        <w:t xml:space="preserve"> to customers </w:t>
      </w:r>
      <w:r w:rsidRPr="00221288" w:rsidR="00A3064F">
        <w:rPr>
          <w:rFonts w:ascii="Palatino Linotype" w:hAnsi="Palatino Linotype"/>
          <w:sz w:val="24"/>
          <w:szCs w:val="24"/>
        </w:rPr>
        <w:t>under the utilities’ proposed methodology</w:t>
      </w:r>
      <w:r w:rsidRPr="00221288" w:rsidR="0091012A">
        <w:rPr>
          <w:rFonts w:ascii="Palatino Linotype" w:hAnsi="Palatino Linotype"/>
          <w:sz w:val="24"/>
          <w:szCs w:val="24"/>
        </w:rPr>
        <w:t>.</w:t>
      </w:r>
    </w:p>
    <w:p w:rsidRPr="00221288" w:rsidR="00E74F24" w:rsidP="00E74F24" w:rsidRDefault="00E74F24" w14:paraId="77459B4A" w14:textId="77777777">
      <w:pPr>
        <w:rPr>
          <w:rFonts w:ascii="Palatino Linotype" w:hAnsi="Palatino Linotype"/>
        </w:rPr>
      </w:pPr>
    </w:p>
    <w:p w:rsidRPr="00221288" w:rsidR="00BA5039" w:rsidP="00BA5039" w:rsidRDefault="00BA5039" w14:paraId="6193A3CB" w14:textId="77777777">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Language prohibiting net billing tariff customers from being compensated for exports in demand response programs is not directed by D.22-12-056.</w:t>
      </w:r>
    </w:p>
    <w:p w:rsidRPr="00221288" w:rsidR="00BA5039" w:rsidP="00BA5039" w:rsidRDefault="00BA5039" w14:paraId="77FF8041" w14:textId="77777777">
      <w:pPr>
        <w:rPr>
          <w:rFonts w:ascii="Palatino Linotype" w:hAnsi="Palatino Linotype"/>
        </w:rPr>
      </w:pPr>
    </w:p>
    <w:p w:rsidRPr="00221288" w:rsidR="00E74F24" w:rsidP="00E74F24" w:rsidRDefault="00773E73" w14:paraId="74EA0BE2" w14:textId="5D812F08">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lastRenderedPageBreak/>
        <w:t xml:space="preserve">Requiring the utilities to validate single-family home resident-ownership </w:t>
      </w:r>
      <w:r w:rsidRPr="00221288" w:rsidR="00680EF0">
        <w:rPr>
          <w:rFonts w:ascii="Palatino Linotype" w:hAnsi="Palatino Linotype"/>
          <w:sz w:val="24"/>
          <w:szCs w:val="24"/>
        </w:rPr>
        <w:t xml:space="preserve">of customers in disadvantaged communities </w:t>
      </w:r>
      <w:r w:rsidRPr="00221288">
        <w:rPr>
          <w:rFonts w:ascii="Palatino Linotype" w:hAnsi="Palatino Linotype"/>
          <w:sz w:val="24"/>
          <w:szCs w:val="24"/>
        </w:rPr>
        <w:t>could add time to the application review process.</w:t>
      </w:r>
    </w:p>
    <w:p w:rsidRPr="00221288" w:rsidR="00E74F24" w:rsidP="00E74F24" w:rsidRDefault="00E74F24" w14:paraId="33739A0F" w14:textId="77777777">
      <w:pPr>
        <w:rPr>
          <w:rFonts w:ascii="Palatino Linotype" w:hAnsi="Palatino Linotype"/>
        </w:rPr>
      </w:pPr>
    </w:p>
    <w:p w:rsidRPr="00221288" w:rsidR="0091012A" w:rsidP="003543C4" w:rsidRDefault="00B501C4" w14:paraId="31D60646" w14:textId="7551A021">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A customer’s e</w:t>
      </w:r>
      <w:r w:rsidRPr="00221288" w:rsidR="0091012A">
        <w:rPr>
          <w:rFonts w:ascii="Palatino Linotype" w:hAnsi="Palatino Linotype"/>
          <w:sz w:val="24"/>
          <w:szCs w:val="24"/>
        </w:rPr>
        <w:t xml:space="preserve">ligibility for the retail export compensation rate lock-in period </w:t>
      </w:r>
      <w:r w:rsidRPr="00221288">
        <w:rPr>
          <w:rFonts w:ascii="Palatino Linotype" w:hAnsi="Palatino Linotype"/>
          <w:sz w:val="24"/>
          <w:szCs w:val="24"/>
        </w:rPr>
        <w:t>is determined by the date of interconnection</w:t>
      </w:r>
      <w:r w:rsidRPr="00221288" w:rsidR="0091012A">
        <w:rPr>
          <w:rFonts w:ascii="Palatino Linotype" w:hAnsi="Palatino Linotype"/>
          <w:sz w:val="24"/>
          <w:szCs w:val="24"/>
        </w:rPr>
        <w:t>.</w:t>
      </w:r>
    </w:p>
    <w:p w:rsidRPr="00221288" w:rsidR="00923DA8" w:rsidP="00923DA8" w:rsidRDefault="00923DA8" w14:paraId="66C1B98B" w14:textId="77777777">
      <w:pPr>
        <w:pStyle w:val="ListParagraph"/>
        <w:rPr>
          <w:rFonts w:ascii="Palatino Linotype" w:hAnsi="Palatino Linotype"/>
          <w:sz w:val="24"/>
          <w:szCs w:val="24"/>
        </w:rPr>
      </w:pPr>
    </w:p>
    <w:p w:rsidRPr="00221288" w:rsidR="00923DA8" w:rsidP="00923DA8" w:rsidRDefault="00923DA8" w14:paraId="03FF69A7" w14:textId="77777777">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It is the intent of D.22-12-056 that the retail export compensation rate lock-in period shall be nine years from the date of interconnection.</w:t>
      </w:r>
    </w:p>
    <w:p w:rsidRPr="00221288" w:rsidR="00E74F24" w:rsidP="00E74F24" w:rsidRDefault="00E74F24" w14:paraId="57CA956E" w14:textId="77777777">
      <w:pPr>
        <w:rPr>
          <w:rFonts w:ascii="Palatino Linotype" w:hAnsi="Palatino Linotype"/>
        </w:rPr>
      </w:pPr>
    </w:p>
    <w:p w:rsidRPr="00221288" w:rsidR="0091012A" w:rsidP="003543C4" w:rsidRDefault="00C32E0E" w14:paraId="7EAC104C" w14:textId="7E0870AB">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It is the intent of D.22-12-056 that t</w:t>
      </w:r>
      <w:r w:rsidRPr="00221288" w:rsidR="005B3983">
        <w:rPr>
          <w:rFonts w:ascii="Palatino Linotype" w:hAnsi="Palatino Linotype"/>
          <w:sz w:val="24"/>
          <w:szCs w:val="24"/>
        </w:rPr>
        <w:t>he</w:t>
      </w:r>
      <w:r w:rsidRPr="00221288" w:rsidR="0091012A">
        <w:rPr>
          <w:rFonts w:ascii="Palatino Linotype" w:hAnsi="Palatino Linotype"/>
          <w:sz w:val="24"/>
          <w:szCs w:val="24"/>
        </w:rPr>
        <w:t xml:space="preserve"> five-year glide path </w:t>
      </w:r>
      <w:r w:rsidRPr="00221288">
        <w:rPr>
          <w:rFonts w:ascii="Palatino Linotype" w:hAnsi="Palatino Linotype"/>
          <w:sz w:val="24"/>
          <w:szCs w:val="24"/>
        </w:rPr>
        <w:t>shall be</w:t>
      </w:r>
      <w:r w:rsidRPr="00221288" w:rsidR="00F11CF5">
        <w:rPr>
          <w:rFonts w:ascii="Palatino Linotype" w:hAnsi="Palatino Linotype"/>
          <w:sz w:val="24"/>
          <w:szCs w:val="24"/>
        </w:rPr>
        <w:t xml:space="preserve"> aligned </w:t>
      </w:r>
      <w:r w:rsidRPr="00221288" w:rsidR="001E0C19">
        <w:rPr>
          <w:rFonts w:ascii="Palatino Linotype" w:hAnsi="Palatino Linotype"/>
          <w:sz w:val="24"/>
          <w:szCs w:val="24"/>
        </w:rPr>
        <w:t xml:space="preserve">with calendar years, such that the </w:t>
      </w:r>
      <w:r w:rsidRPr="00221288" w:rsidR="00DB2B6D">
        <w:rPr>
          <w:rFonts w:ascii="Palatino Linotype" w:hAnsi="Palatino Linotype"/>
          <w:sz w:val="24"/>
          <w:szCs w:val="24"/>
        </w:rPr>
        <w:t>first step ends on December 31, 2023 and the last step ends on December 31, 2027</w:t>
      </w:r>
      <w:r w:rsidRPr="00221288" w:rsidR="0091012A">
        <w:rPr>
          <w:rFonts w:ascii="Palatino Linotype" w:hAnsi="Palatino Linotype"/>
          <w:sz w:val="24"/>
          <w:szCs w:val="24"/>
        </w:rPr>
        <w:t>.</w:t>
      </w:r>
    </w:p>
    <w:p w:rsidRPr="00221288" w:rsidR="00E74F24" w:rsidP="00E74F24" w:rsidRDefault="00E74F24" w14:paraId="73E0A9EF" w14:textId="77777777">
      <w:pPr>
        <w:rPr>
          <w:rFonts w:ascii="Palatino Linotype" w:hAnsi="Palatino Linotype"/>
        </w:rPr>
      </w:pPr>
    </w:p>
    <w:p w:rsidRPr="00221288" w:rsidR="00CD6862" w:rsidP="00CD6862" w:rsidRDefault="00CD6862" w14:paraId="55C4A268" w14:textId="77777777">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If a builder sells a unit before permission to operate is issued, the new owner will receive permission to operate in their name and the legacy period will start on the date on which permission to operate is granted.</w:t>
      </w:r>
    </w:p>
    <w:p w:rsidRPr="00221288" w:rsidR="00CD6862" w:rsidP="00CD6862" w:rsidRDefault="00CD6862" w14:paraId="73975FF2" w14:textId="77777777">
      <w:pPr>
        <w:pStyle w:val="ListParagraph"/>
        <w:rPr>
          <w:rFonts w:ascii="Palatino Linotype" w:hAnsi="Palatino Linotype"/>
          <w:sz w:val="24"/>
          <w:szCs w:val="24"/>
        </w:rPr>
      </w:pPr>
    </w:p>
    <w:p w:rsidRPr="00221288" w:rsidR="0091012A" w:rsidP="003543C4" w:rsidRDefault="00554E42" w14:paraId="1E35F551" w14:textId="0C27EFC5">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The</w:t>
      </w:r>
      <w:r w:rsidRPr="00221288" w:rsidR="0091012A">
        <w:rPr>
          <w:rFonts w:ascii="Palatino Linotype" w:hAnsi="Palatino Linotype"/>
          <w:sz w:val="24"/>
          <w:szCs w:val="24"/>
        </w:rPr>
        <w:t xml:space="preserve"> </w:t>
      </w:r>
      <w:r w:rsidRPr="00221288" w:rsidR="00904C31">
        <w:rPr>
          <w:rFonts w:ascii="Palatino Linotype" w:hAnsi="Palatino Linotype"/>
          <w:sz w:val="24"/>
          <w:szCs w:val="24"/>
        </w:rPr>
        <w:t>utilities’</w:t>
      </w:r>
      <w:r w:rsidRPr="00221288" w:rsidR="0091012A">
        <w:rPr>
          <w:rFonts w:ascii="Palatino Linotype" w:hAnsi="Palatino Linotype"/>
          <w:sz w:val="24"/>
          <w:szCs w:val="24"/>
        </w:rPr>
        <w:t xml:space="preserve"> </w:t>
      </w:r>
      <w:r w:rsidRPr="00221288" w:rsidR="00304509">
        <w:rPr>
          <w:rFonts w:ascii="Palatino Linotype" w:hAnsi="Palatino Linotype"/>
          <w:sz w:val="24"/>
          <w:szCs w:val="24"/>
        </w:rPr>
        <w:t>propos</w:t>
      </w:r>
      <w:r w:rsidRPr="00221288" w:rsidR="00313079">
        <w:rPr>
          <w:rFonts w:ascii="Palatino Linotype" w:hAnsi="Palatino Linotype"/>
          <w:sz w:val="24"/>
          <w:szCs w:val="24"/>
        </w:rPr>
        <w:t>ed</w:t>
      </w:r>
      <w:r w:rsidRPr="00221288" w:rsidR="00304509">
        <w:rPr>
          <w:rFonts w:ascii="Palatino Linotype" w:hAnsi="Palatino Linotype"/>
          <w:sz w:val="24"/>
          <w:szCs w:val="24"/>
        </w:rPr>
        <w:t xml:space="preserve"> </w:t>
      </w:r>
      <w:r w:rsidRPr="00221288" w:rsidR="0091012A">
        <w:rPr>
          <w:rFonts w:ascii="Palatino Linotype" w:hAnsi="Palatino Linotype"/>
          <w:sz w:val="24"/>
          <w:szCs w:val="24"/>
        </w:rPr>
        <w:t>requirement</w:t>
      </w:r>
      <w:r w:rsidRPr="00221288" w:rsidR="00304509">
        <w:rPr>
          <w:rFonts w:ascii="Palatino Linotype" w:hAnsi="Palatino Linotype"/>
          <w:sz w:val="24"/>
          <w:szCs w:val="24"/>
        </w:rPr>
        <w:t>s</w:t>
      </w:r>
      <w:r w:rsidRPr="00221288" w:rsidR="0091012A">
        <w:rPr>
          <w:rFonts w:ascii="Palatino Linotype" w:hAnsi="Palatino Linotype"/>
          <w:sz w:val="24"/>
          <w:szCs w:val="24"/>
        </w:rPr>
        <w:t xml:space="preserve"> affecting customers making modifications and/or additions to their Renewable Electrical Generating Facility that exceed </w:t>
      </w:r>
      <w:r w:rsidR="00824FD3">
        <w:rPr>
          <w:rFonts w:ascii="Palatino Linotype" w:hAnsi="Palatino Linotype"/>
          <w:sz w:val="24"/>
          <w:szCs w:val="24"/>
        </w:rPr>
        <w:br/>
      </w:r>
      <w:r w:rsidRPr="00221288" w:rsidR="0091012A">
        <w:rPr>
          <w:rFonts w:ascii="Palatino Linotype" w:hAnsi="Palatino Linotype"/>
          <w:sz w:val="24"/>
          <w:szCs w:val="24"/>
        </w:rPr>
        <w:t xml:space="preserve">10 percent or 1 kW </w:t>
      </w:r>
      <w:r w:rsidRPr="00221288" w:rsidR="00007E91">
        <w:rPr>
          <w:rFonts w:ascii="Palatino Linotype" w:hAnsi="Palatino Linotype"/>
          <w:sz w:val="24"/>
          <w:szCs w:val="24"/>
        </w:rPr>
        <w:t>and separately metering the add</w:t>
      </w:r>
      <w:r w:rsidRPr="00221288" w:rsidR="00734118">
        <w:rPr>
          <w:rFonts w:ascii="Palatino Linotype" w:hAnsi="Palatino Linotype"/>
          <w:sz w:val="24"/>
          <w:szCs w:val="24"/>
        </w:rPr>
        <w:t xml:space="preserve">ition </w:t>
      </w:r>
      <w:r w:rsidRPr="00221288" w:rsidR="00304509">
        <w:rPr>
          <w:rFonts w:ascii="Palatino Linotype" w:hAnsi="Palatino Linotype"/>
          <w:sz w:val="24"/>
          <w:szCs w:val="24"/>
        </w:rPr>
        <w:t>are reasonable</w:t>
      </w:r>
      <w:r w:rsidRPr="00221288" w:rsidR="0091012A">
        <w:rPr>
          <w:rFonts w:ascii="Palatino Linotype" w:hAnsi="Palatino Linotype"/>
          <w:sz w:val="24"/>
          <w:szCs w:val="24"/>
        </w:rPr>
        <w:t>.</w:t>
      </w:r>
    </w:p>
    <w:p w:rsidRPr="00221288" w:rsidR="004C5DBF" w:rsidP="004C5DBF" w:rsidRDefault="004C5DBF" w14:paraId="4BF18DC9" w14:textId="77777777">
      <w:pPr>
        <w:pStyle w:val="ListParagraph"/>
        <w:rPr>
          <w:rFonts w:ascii="Palatino Linotype" w:hAnsi="Palatino Linotype"/>
          <w:sz w:val="24"/>
          <w:szCs w:val="24"/>
        </w:rPr>
      </w:pPr>
    </w:p>
    <w:p w:rsidRPr="00221288" w:rsidR="00CD6862" w:rsidP="003543C4" w:rsidRDefault="00CC0B49" w14:paraId="4C3B8510" w14:textId="3313B2A2">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 xml:space="preserve">The utilities’ proposed language </w:t>
      </w:r>
      <w:r w:rsidRPr="00221288" w:rsidR="00A068C6">
        <w:rPr>
          <w:rFonts w:ascii="Palatino Linotype" w:hAnsi="Palatino Linotype"/>
          <w:sz w:val="24"/>
          <w:szCs w:val="24"/>
        </w:rPr>
        <w:t>allowing c</w:t>
      </w:r>
      <w:r w:rsidRPr="00221288" w:rsidR="00CD6862">
        <w:rPr>
          <w:rFonts w:ascii="Palatino Linotype" w:hAnsi="Palatino Linotype"/>
          <w:sz w:val="24"/>
          <w:szCs w:val="24"/>
        </w:rPr>
        <w:t xml:space="preserve">ustomers making modifications and/or additions to their Renewable Electrical Generating Facility that exceed the 10 percent or 1 kW </w:t>
      </w:r>
      <w:r w:rsidRPr="00221288" w:rsidR="00A068C6">
        <w:rPr>
          <w:rFonts w:ascii="Palatino Linotype" w:hAnsi="Palatino Linotype"/>
          <w:sz w:val="24"/>
          <w:szCs w:val="24"/>
        </w:rPr>
        <w:t>to</w:t>
      </w:r>
      <w:r w:rsidRPr="00221288" w:rsidR="00CD6862">
        <w:rPr>
          <w:rFonts w:ascii="Palatino Linotype" w:hAnsi="Palatino Linotype"/>
          <w:sz w:val="24"/>
          <w:szCs w:val="24"/>
        </w:rPr>
        <w:t xml:space="preserve"> remain on th</w:t>
      </w:r>
      <w:r w:rsidRPr="00221288" w:rsidR="00A068C6">
        <w:rPr>
          <w:rFonts w:ascii="Palatino Linotype" w:hAnsi="Palatino Linotype"/>
          <w:sz w:val="24"/>
          <w:szCs w:val="24"/>
        </w:rPr>
        <w:t>e net billing</w:t>
      </w:r>
      <w:r w:rsidRPr="00221288" w:rsidR="00CD6862">
        <w:rPr>
          <w:rFonts w:ascii="Palatino Linotype" w:hAnsi="Palatino Linotype"/>
          <w:sz w:val="24"/>
          <w:szCs w:val="24"/>
        </w:rPr>
        <w:t xml:space="preserve"> tariff until the Commission develops a successor tariff or directs </w:t>
      </w:r>
      <w:r w:rsidRPr="00221288" w:rsidR="00A068C6">
        <w:rPr>
          <w:rFonts w:ascii="Palatino Linotype" w:hAnsi="Palatino Linotype"/>
          <w:sz w:val="24"/>
          <w:szCs w:val="24"/>
        </w:rPr>
        <w:t>such</w:t>
      </w:r>
      <w:r w:rsidRPr="00221288" w:rsidR="00CD6862">
        <w:rPr>
          <w:rFonts w:ascii="Palatino Linotype" w:hAnsi="Palatino Linotype"/>
          <w:sz w:val="24"/>
          <w:szCs w:val="24"/>
        </w:rPr>
        <w:t xml:space="preserve"> customers to another tariff</w:t>
      </w:r>
      <w:r w:rsidRPr="00221288" w:rsidR="00A068C6">
        <w:rPr>
          <w:rFonts w:ascii="Palatino Linotype" w:hAnsi="Palatino Linotype"/>
          <w:sz w:val="24"/>
          <w:szCs w:val="24"/>
        </w:rPr>
        <w:t xml:space="preserve"> is reasonable</w:t>
      </w:r>
      <w:r w:rsidRPr="00221288" w:rsidR="00CD6862">
        <w:rPr>
          <w:rFonts w:ascii="Palatino Linotype" w:hAnsi="Palatino Linotype"/>
          <w:sz w:val="24"/>
          <w:szCs w:val="24"/>
        </w:rPr>
        <w:t>.</w:t>
      </w:r>
    </w:p>
    <w:p w:rsidRPr="00221288" w:rsidR="00CD6862" w:rsidP="00992A68" w:rsidRDefault="00CD6862" w14:paraId="226C8304" w14:textId="77777777">
      <w:pPr>
        <w:pStyle w:val="ListParagraph"/>
        <w:rPr>
          <w:rFonts w:ascii="Palatino Linotype" w:hAnsi="Palatino Linotype"/>
          <w:sz w:val="24"/>
          <w:szCs w:val="24"/>
        </w:rPr>
      </w:pPr>
    </w:p>
    <w:p w:rsidRPr="00221288" w:rsidR="00061438" w:rsidP="003543C4" w:rsidRDefault="00F31A92" w14:paraId="7BD24915" w14:textId="4C9D5E67">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The</w:t>
      </w:r>
      <w:r w:rsidRPr="00221288" w:rsidR="00061438">
        <w:rPr>
          <w:rFonts w:ascii="Palatino Linotype" w:hAnsi="Palatino Linotype"/>
          <w:sz w:val="24"/>
          <w:szCs w:val="24"/>
        </w:rPr>
        <w:t xml:space="preserve"> </w:t>
      </w:r>
      <w:r w:rsidRPr="00221288" w:rsidR="003B07EC">
        <w:rPr>
          <w:rFonts w:ascii="Palatino Linotype" w:hAnsi="Palatino Linotype"/>
          <w:sz w:val="24"/>
          <w:szCs w:val="24"/>
        </w:rPr>
        <w:t xml:space="preserve">customer privacy and cost </w:t>
      </w:r>
      <w:r w:rsidRPr="00221288" w:rsidR="00061438">
        <w:rPr>
          <w:rFonts w:ascii="Palatino Linotype" w:hAnsi="Palatino Linotype"/>
          <w:sz w:val="24"/>
          <w:szCs w:val="24"/>
        </w:rPr>
        <w:t xml:space="preserve">concerns </w:t>
      </w:r>
      <w:r w:rsidRPr="00221288">
        <w:rPr>
          <w:rFonts w:ascii="Palatino Linotype" w:hAnsi="Palatino Linotype"/>
          <w:sz w:val="24"/>
          <w:szCs w:val="24"/>
        </w:rPr>
        <w:t>raised by PG&amp;E</w:t>
      </w:r>
      <w:r w:rsidRPr="00221288" w:rsidR="008B7642">
        <w:rPr>
          <w:rFonts w:ascii="Palatino Linotype" w:hAnsi="Palatino Linotype"/>
          <w:sz w:val="24"/>
          <w:szCs w:val="24"/>
        </w:rPr>
        <w:t xml:space="preserve"> </w:t>
      </w:r>
      <w:r w:rsidRPr="00221288" w:rsidR="003B07EC">
        <w:rPr>
          <w:rFonts w:ascii="Palatino Linotype" w:hAnsi="Palatino Linotype"/>
          <w:sz w:val="24"/>
          <w:szCs w:val="24"/>
        </w:rPr>
        <w:t xml:space="preserve">in </w:t>
      </w:r>
      <w:r w:rsidRPr="00221288" w:rsidR="00EB0222">
        <w:rPr>
          <w:rFonts w:ascii="Palatino Linotype" w:hAnsi="Palatino Linotype"/>
          <w:sz w:val="24"/>
          <w:szCs w:val="24"/>
        </w:rPr>
        <w:t>relat</w:t>
      </w:r>
      <w:r w:rsidRPr="00221288" w:rsidR="003B07EC">
        <w:rPr>
          <w:rFonts w:ascii="Palatino Linotype" w:hAnsi="Palatino Linotype"/>
          <w:sz w:val="24"/>
          <w:szCs w:val="24"/>
        </w:rPr>
        <w:t>ion</w:t>
      </w:r>
      <w:r w:rsidRPr="00221288" w:rsidR="00EB0222">
        <w:rPr>
          <w:rFonts w:ascii="Palatino Linotype" w:hAnsi="Palatino Linotype"/>
          <w:sz w:val="24"/>
          <w:szCs w:val="24"/>
        </w:rPr>
        <w:t xml:space="preserve"> to the </w:t>
      </w:r>
      <w:r w:rsidRPr="00221288" w:rsidR="00763933">
        <w:rPr>
          <w:rFonts w:ascii="Palatino Linotype" w:hAnsi="Palatino Linotype"/>
          <w:sz w:val="24"/>
          <w:szCs w:val="24"/>
        </w:rPr>
        <w:t>idea of</w:t>
      </w:r>
      <w:r w:rsidRPr="00221288">
        <w:rPr>
          <w:rFonts w:ascii="Palatino Linotype" w:hAnsi="Palatino Linotype"/>
          <w:sz w:val="24"/>
          <w:szCs w:val="24"/>
        </w:rPr>
        <w:t xml:space="preserve"> making 15-minute</w:t>
      </w:r>
      <w:r w:rsidRPr="00221288" w:rsidR="00061438">
        <w:rPr>
          <w:rFonts w:ascii="Palatino Linotype" w:hAnsi="Palatino Linotype"/>
          <w:sz w:val="24"/>
          <w:szCs w:val="24"/>
        </w:rPr>
        <w:t xml:space="preserve"> </w:t>
      </w:r>
      <w:r w:rsidRPr="00221288" w:rsidR="00763933">
        <w:rPr>
          <w:rFonts w:ascii="Palatino Linotype" w:hAnsi="Palatino Linotype"/>
          <w:sz w:val="24"/>
          <w:szCs w:val="24"/>
        </w:rPr>
        <w:t xml:space="preserve">interval data available to all net billing tariff customers </w:t>
      </w:r>
      <w:r w:rsidRPr="00221288" w:rsidR="00061438">
        <w:rPr>
          <w:rFonts w:ascii="Palatino Linotype" w:hAnsi="Palatino Linotype"/>
          <w:sz w:val="24"/>
          <w:szCs w:val="24"/>
        </w:rPr>
        <w:t>are reasonable, and there is no requirement for customers to be able to access their 15-minute data instantly.</w:t>
      </w:r>
    </w:p>
    <w:p w:rsidRPr="00221288" w:rsidR="00E74F24" w:rsidP="00E74F24" w:rsidRDefault="00E74F24" w14:paraId="306C98E9" w14:textId="77777777">
      <w:pPr>
        <w:rPr>
          <w:rFonts w:ascii="Palatino Linotype" w:hAnsi="Palatino Linotype"/>
        </w:rPr>
      </w:pPr>
    </w:p>
    <w:p w:rsidRPr="00221288" w:rsidR="00E74F24" w:rsidP="00E74F24" w:rsidRDefault="00187002" w14:paraId="461372CD" w14:textId="401BDBC6">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 xml:space="preserve">The proposal by </w:t>
      </w:r>
      <w:r w:rsidRPr="00221288" w:rsidR="0091012A">
        <w:rPr>
          <w:rFonts w:ascii="Palatino Linotype" w:hAnsi="Palatino Linotype"/>
          <w:sz w:val="24"/>
          <w:szCs w:val="24"/>
        </w:rPr>
        <w:t>SC</w:t>
      </w:r>
      <w:r w:rsidRPr="00221288" w:rsidR="00213C56">
        <w:rPr>
          <w:rFonts w:ascii="Palatino Linotype" w:hAnsi="Palatino Linotype"/>
          <w:sz w:val="24"/>
          <w:szCs w:val="24"/>
        </w:rPr>
        <w:t xml:space="preserve">E proposal related to rules for the calculation of system size is </w:t>
      </w:r>
      <w:r w:rsidRPr="00221288" w:rsidR="00BC1269">
        <w:rPr>
          <w:rFonts w:ascii="Palatino Linotype" w:hAnsi="Palatino Linotype"/>
          <w:sz w:val="24"/>
          <w:szCs w:val="24"/>
        </w:rPr>
        <w:t>in compliance with D.22-12-056</w:t>
      </w:r>
      <w:r w:rsidRPr="00221288" w:rsidR="0091012A">
        <w:rPr>
          <w:rFonts w:ascii="Palatino Linotype" w:hAnsi="Palatino Linotype"/>
          <w:sz w:val="24"/>
          <w:szCs w:val="24"/>
        </w:rPr>
        <w:t>.</w:t>
      </w:r>
    </w:p>
    <w:p w:rsidRPr="00221288" w:rsidR="00E74F24" w:rsidP="00E74F24" w:rsidRDefault="00E74F24" w14:paraId="7F21930E" w14:textId="77777777">
      <w:pPr>
        <w:rPr>
          <w:rFonts w:ascii="Palatino Linotype" w:hAnsi="Palatino Linotype"/>
        </w:rPr>
      </w:pPr>
    </w:p>
    <w:p w:rsidRPr="00221288" w:rsidR="0091012A" w:rsidP="003543C4" w:rsidRDefault="0069155B" w14:paraId="2BDB817A" w14:textId="7326072B">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 xml:space="preserve">D.22-12-056 requires a customer </w:t>
      </w:r>
      <w:r w:rsidRPr="00221288" w:rsidR="00443E9E">
        <w:rPr>
          <w:rFonts w:ascii="Palatino Linotype" w:hAnsi="Palatino Linotype"/>
          <w:sz w:val="24"/>
          <w:szCs w:val="24"/>
        </w:rPr>
        <w:t>applying to</w:t>
      </w:r>
      <w:r w:rsidRPr="00221288" w:rsidR="006A21CE">
        <w:rPr>
          <w:rFonts w:ascii="Palatino Linotype" w:hAnsi="Palatino Linotype"/>
          <w:sz w:val="24"/>
          <w:szCs w:val="24"/>
        </w:rPr>
        <w:t xml:space="preserve"> oversiz</w:t>
      </w:r>
      <w:r w:rsidRPr="00221288" w:rsidR="00443E9E">
        <w:rPr>
          <w:rFonts w:ascii="Palatino Linotype" w:hAnsi="Palatino Linotype"/>
          <w:sz w:val="24"/>
          <w:szCs w:val="24"/>
        </w:rPr>
        <w:t>e</w:t>
      </w:r>
      <w:r w:rsidRPr="00221288" w:rsidR="006A21CE">
        <w:rPr>
          <w:rFonts w:ascii="Palatino Linotype" w:hAnsi="Palatino Linotype"/>
          <w:sz w:val="24"/>
          <w:szCs w:val="24"/>
        </w:rPr>
        <w:t xml:space="preserve"> their system to be expecting to increase their usage to correspond with the system size </w:t>
      </w:r>
      <w:r w:rsidRPr="00221288" w:rsidR="00443E9E">
        <w:rPr>
          <w:rFonts w:ascii="Palatino Linotype" w:hAnsi="Palatino Linotype"/>
          <w:sz w:val="24"/>
          <w:szCs w:val="24"/>
        </w:rPr>
        <w:t xml:space="preserve">within </w:t>
      </w:r>
      <w:r w:rsidR="00824FD3">
        <w:rPr>
          <w:rFonts w:ascii="Palatino Linotype" w:hAnsi="Palatino Linotype"/>
          <w:sz w:val="24"/>
          <w:szCs w:val="24"/>
        </w:rPr>
        <w:br/>
      </w:r>
      <w:r w:rsidRPr="00221288" w:rsidR="00443E9E">
        <w:rPr>
          <w:rFonts w:ascii="Palatino Linotype" w:hAnsi="Palatino Linotype"/>
          <w:sz w:val="24"/>
          <w:szCs w:val="24"/>
        </w:rPr>
        <w:t xml:space="preserve">12 months of interconnection </w:t>
      </w:r>
      <w:r w:rsidRPr="00221288" w:rsidR="006A21CE">
        <w:rPr>
          <w:rFonts w:ascii="Palatino Linotype" w:hAnsi="Palatino Linotype"/>
          <w:sz w:val="24"/>
          <w:szCs w:val="24"/>
        </w:rPr>
        <w:t xml:space="preserve">and does not impose a deadline for the usage to </w:t>
      </w:r>
      <w:r w:rsidRPr="00221288" w:rsidR="006A21CE">
        <w:rPr>
          <w:rFonts w:ascii="Palatino Linotype" w:hAnsi="Palatino Linotype"/>
          <w:sz w:val="24"/>
          <w:szCs w:val="24"/>
        </w:rPr>
        <w:lastRenderedPageBreak/>
        <w:t>correspond to system size.</w:t>
      </w:r>
      <w:r w:rsidRPr="00221288" w:rsidR="007D25AC">
        <w:rPr>
          <w:rFonts w:ascii="Palatino Linotype" w:hAnsi="Palatino Linotype"/>
          <w:sz w:val="24"/>
          <w:szCs w:val="24"/>
        </w:rPr>
        <w:br/>
      </w:r>
    </w:p>
    <w:p w:rsidRPr="00221288" w:rsidR="0091012A" w:rsidP="003543C4" w:rsidRDefault="00BC1269" w14:paraId="7237D4DE" w14:textId="07CB0483">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 xml:space="preserve">The proposal by </w:t>
      </w:r>
      <w:r w:rsidRPr="00221288" w:rsidR="0091012A">
        <w:rPr>
          <w:rFonts w:ascii="Palatino Linotype" w:hAnsi="Palatino Linotype"/>
          <w:sz w:val="24"/>
          <w:szCs w:val="24"/>
        </w:rPr>
        <w:t xml:space="preserve">SDG&amp;E </w:t>
      </w:r>
      <w:r w:rsidRPr="00221288">
        <w:rPr>
          <w:rFonts w:ascii="Palatino Linotype" w:hAnsi="Palatino Linotype"/>
          <w:sz w:val="24"/>
          <w:szCs w:val="24"/>
        </w:rPr>
        <w:t>to</w:t>
      </w:r>
      <w:r w:rsidRPr="00221288" w:rsidR="0091012A">
        <w:rPr>
          <w:rFonts w:ascii="Palatino Linotype" w:hAnsi="Palatino Linotype"/>
          <w:sz w:val="24"/>
          <w:szCs w:val="24"/>
        </w:rPr>
        <w:t xml:space="preserve"> remove its proposed requirement to request a change in relevant period at least 60 days prior to the start date of the new relevant period</w:t>
      </w:r>
      <w:r w:rsidRPr="00221288">
        <w:rPr>
          <w:rFonts w:ascii="Palatino Linotype" w:hAnsi="Palatino Linotype"/>
          <w:sz w:val="24"/>
          <w:szCs w:val="24"/>
        </w:rPr>
        <w:t xml:space="preserve"> is </w:t>
      </w:r>
      <w:r w:rsidRPr="00221288" w:rsidR="00E97FEA">
        <w:rPr>
          <w:rFonts w:ascii="Palatino Linotype" w:hAnsi="Palatino Linotype"/>
          <w:sz w:val="24"/>
          <w:szCs w:val="24"/>
        </w:rPr>
        <w:t>reasonable</w:t>
      </w:r>
      <w:r w:rsidRPr="00221288" w:rsidR="0091012A">
        <w:rPr>
          <w:rFonts w:ascii="Palatino Linotype" w:hAnsi="Palatino Linotype"/>
          <w:sz w:val="24"/>
          <w:szCs w:val="24"/>
        </w:rPr>
        <w:t>.</w:t>
      </w:r>
    </w:p>
    <w:p w:rsidRPr="00221288" w:rsidR="00E74F24" w:rsidP="00E74F24" w:rsidRDefault="00E74F24" w14:paraId="40E88A47" w14:textId="77777777">
      <w:pPr>
        <w:rPr>
          <w:rFonts w:ascii="Palatino Linotype" w:hAnsi="Palatino Linotype"/>
        </w:rPr>
      </w:pPr>
    </w:p>
    <w:p w:rsidRPr="00221288" w:rsidR="008920BF" w:rsidP="003543C4" w:rsidRDefault="008920BF" w14:paraId="35954741" w14:textId="18EA5752">
      <w:pPr>
        <w:pStyle w:val="ListParagraph"/>
        <w:numPr>
          <w:ilvl w:val="0"/>
          <w:numId w:val="28"/>
        </w:numPr>
        <w:spacing w:after="0" w:line="240" w:lineRule="auto"/>
        <w:rPr>
          <w:rFonts w:ascii="Palatino Linotype" w:hAnsi="Palatino Linotype"/>
          <w:sz w:val="24"/>
          <w:szCs w:val="24"/>
        </w:rPr>
      </w:pPr>
      <w:r w:rsidRPr="00221288">
        <w:rPr>
          <w:rFonts w:ascii="Palatino Linotype" w:hAnsi="Palatino Linotype"/>
          <w:sz w:val="24"/>
          <w:szCs w:val="24"/>
        </w:rPr>
        <w:t xml:space="preserve">The advice letters </w:t>
      </w:r>
      <w:r w:rsidRPr="00221288" w:rsidR="00790351">
        <w:rPr>
          <w:rFonts w:ascii="Palatino Linotype" w:hAnsi="Palatino Linotype"/>
          <w:sz w:val="24"/>
          <w:szCs w:val="24"/>
        </w:rPr>
        <w:t xml:space="preserve">with modifications detailed in this resolution </w:t>
      </w:r>
      <w:r w:rsidRPr="00221288">
        <w:rPr>
          <w:rFonts w:ascii="Palatino Linotype" w:hAnsi="Palatino Linotype"/>
          <w:sz w:val="24"/>
          <w:szCs w:val="24"/>
        </w:rPr>
        <w:t>comply with D.22-12-056</w:t>
      </w:r>
      <w:r w:rsidRPr="00221288" w:rsidR="00790351">
        <w:rPr>
          <w:rFonts w:ascii="Palatino Linotype" w:hAnsi="Palatino Linotype"/>
          <w:sz w:val="24"/>
          <w:szCs w:val="24"/>
        </w:rPr>
        <w:t>.</w:t>
      </w:r>
    </w:p>
    <w:p w:rsidRPr="00221288" w:rsidR="00790351" w:rsidP="003277F4" w:rsidRDefault="00790351" w14:paraId="04213ECE" w14:textId="6F6D7EE9">
      <w:pPr>
        <w:rPr>
          <w:rFonts w:ascii="Palatino Linotype" w:hAnsi="Palatino Linotype"/>
        </w:rPr>
      </w:pPr>
    </w:p>
    <w:p w:rsidRPr="00221288" w:rsidR="003277F4" w:rsidP="00270E12" w:rsidRDefault="003277F4" w14:paraId="481F5CF8" w14:textId="77777777">
      <w:pPr>
        <w:pStyle w:val="Heading2"/>
        <w:rPr>
          <w:rFonts w:ascii="Palatino Linotype" w:hAnsi="Palatino Linotype"/>
          <w:u w:val="single"/>
        </w:rPr>
      </w:pPr>
      <w:r w:rsidRPr="00221288">
        <w:rPr>
          <w:rFonts w:ascii="Palatino Linotype" w:hAnsi="Palatino Linotype"/>
          <w:u w:val="single"/>
        </w:rPr>
        <w:t>THEREFORE IT IS ORDERED THAT:</w:t>
      </w:r>
    </w:p>
    <w:p w:rsidRPr="00221288" w:rsidR="00790351" w:rsidP="003277F4" w:rsidRDefault="00790351" w14:paraId="24D0902D" w14:textId="77777777">
      <w:pPr>
        <w:rPr>
          <w:rFonts w:ascii="Palatino Linotype" w:hAnsi="Palatino Linotype"/>
        </w:rPr>
      </w:pPr>
    </w:p>
    <w:p w:rsidRPr="00221288" w:rsidR="0088339D" w:rsidP="003543C4" w:rsidRDefault="00FB42D5" w14:paraId="458F62A5" w14:textId="56F2E5FE">
      <w:pPr>
        <w:pStyle w:val="ListParagraph"/>
        <w:numPr>
          <w:ilvl w:val="0"/>
          <w:numId w:val="30"/>
        </w:numPr>
        <w:spacing w:after="0" w:line="240" w:lineRule="auto"/>
        <w:rPr>
          <w:rFonts w:ascii="Palatino Linotype" w:hAnsi="Palatino Linotype"/>
          <w:sz w:val="24"/>
          <w:szCs w:val="24"/>
        </w:rPr>
      </w:pPr>
      <w:r w:rsidRPr="00221288">
        <w:rPr>
          <w:rFonts w:ascii="Palatino Linotype" w:hAnsi="Palatino Linotype"/>
          <w:sz w:val="24"/>
          <w:szCs w:val="24"/>
        </w:rPr>
        <w:t>Pacific Gas and Electric Company</w:t>
      </w:r>
      <w:r w:rsidRPr="00221288" w:rsidR="007A7F67">
        <w:rPr>
          <w:rFonts w:ascii="Palatino Linotype" w:hAnsi="Palatino Linotype"/>
          <w:sz w:val="24"/>
          <w:szCs w:val="24"/>
        </w:rPr>
        <w:t xml:space="preserve"> </w:t>
      </w:r>
      <w:r w:rsidRPr="00221288" w:rsidR="00AF3375">
        <w:rPr>
          <w:rFonts w:ascii="Palatino Linotype" w:hAnsi="Palatino Linotype"/>
          <w:sz w:val="24"/>
          <w:szCs w:val="24"/>
        </w:rPr>
        <w:t>a</w:t>
      </w:r>
      <w:r w:rsidRPr="00221288" w:rsidR="000928DE">
        <w:rPr>
          <w:rFonts w:ascii="Palatino Linotype" w:hAnsi="Palatino Linotype"/>
          <w:sz w:val="24"/>
          <w:szCs w:val="24"/>
        </w:rPr>
        <w:t xml:space="preserve">dvice </w:t>
      </w:r>
      <w:r w:rsidRPr="00221288" w:rsidR="00AF3375">
        <w:rPr>
          <w:rFonts w:ascii="Palatino Linotype" w:hAnsi="Palatino Linotype"/>
          <w:sz w:val="24"/>
          <w:szCs w:val="24"/>
        </w:rPr>
        <w:t>l</w:t>
      </w:r>
      <w:r w:rsidRPr="00221288" w:rsidR="000928DE">
        <w:rPr>
          <w:rFonts w:ascii="Palatino Linotype" w:hAnsi="Palatino Linotype"/>
          <w:sz w:val="24"/>
          <w:szCs w:val="24"/>
        </w:rPr>
        <w:t>etter</w:t>
      </w:r>
      <w:r w:rsidRPr="00221288" w:rsidR="00AF3375">
        <w:rPr>
          <w:rFonts w:ascii="Palatino Linotype" w:hAnsi="Palatino Linotype"/>
          <w:sz w:val="24"/>
          <w:szCs w:val="24"/>
        </w:rPr>
        <w:t>s</w:t>
      </w:r>
      <w:r w:rsidRPr="00221288" w:rsidR="000928DE">
        <w:rPr>
          <w:rFonts w:ascii="Palatino Linotype" w:hAnsi="Palatino Linotype"/>
          <w:sz w:val="24"/>
          <w:szCs w:val="24"/>
        </w:rPr>
        <w:t xml:space="preserve"> </w:t>
      </w:r>
      <w:r w:rsidRPr="00221288" w:rsidR="00AF3375">
        <w:rPr>
          <w:rFonts w:ascii="Palatino Linotype" w:hAnsi="Palatino Linotype"/>
          <w:sz w:val="24"/>
          <w:szCs w:val="24"/>
        </w:rPr>
        <w:t xml:space="preserve">6848-E and </w:t>
      </w:r>
      <w:r w:rsidRPr="00221288" w:rsidR="006212A0">
        <w:rPr>
          <w:rFonts w:ascii="Palatino Linotype" w:hAnsi="Palatino Linotype"/>
          <w:sz w:val="24"/>
          <w:szCs w:val="24"/>
        </w:rPr>
        <w:t>6848-E-A</w:t>
      </w:r>
      <w:r w:rsidRPr="00221288">
        <w:rPr>
          <w:rFonts w:ascii="Palatino Linotype" w:hAnsi="Palatino Linotype"/>
          <w:sz w:val="24"/>
          <w:szCs w:val="24"/>
        </w:rPr>
        <w:t xml:space="preserve">, Southern California Edison Company </w:t>
      </w:r>
      <w:r w:rsidRPr="00221288" w:rsidR="007876B9">
        <w:rPr>
          <w:rFonts w:ascii="Palatino Linotype" w:hAnsi="Palatino Linotype"/>
          <w:sz w:val="24"/>
          <w:szCs w:val="24"/>
        </w:rPr>
        <w:t>advice letter</w:t>
      </w:r>
      <w:r w:rsidRPr="00221288" w:rsidR="00AF3375">
        <w:rPr>
          <w:rFonts w:ascii="Palatino Linotype" w:hAnsi="Palatino Linotype"/>
          <w:sz w:val="24"/>
          <w:szCs w:val="24"/>
        </w:rPr>
        <w:t>s 4961-E and</w:t>
      </w:r>
      <w:r w:rsidRPr="00221288" w:rsidR="007876B9">
        <w:rPr>
          <w:rFonts w:ascii="Palatino Linotype" w:hAnsi="Palatino Linotype"/>
          <w:sz w:val="24"/>
          <w:szCs w:val="24"/>
        </w:rPr>
        <w:t xml:space="preserve"> </w:t>
      </w:r>
      <w:r w:rsidRPr="00221288" w:rsidR="001B5837">
        <w:rPr>
          <w:rFonts w:ascii="Palatino Linotype" w:hAnsi="Palatino Linotype"/>
          <w:sz w:val="24"/>
          <w:szCs w:val="24"/>
        </w:rPr>
        <w:t>4961-E-A</w:t>
      </w:r>
      <w:r w:rsidRPr="00221288">
        <w:rPr>
          <w:rFonts w:ascii="Palatino Linotype" w:hAnsi="Palatino Linotype"/>
          <w:sz w:val="24"/>
          <w:szCs w:val="24"/>
        </w:rPr>
        <w:t xml:space="preserve">, and San Diego Gas &amp; Electric Company </w:t>
      </w:r>
      <w:r w:rsidRPr="00221288" w:rsidR="001B5837">
        <w:rPr>
          <w:rFonts w:ascii="Palatino Linotype" w:hAnsi="Palatino Linotype"/>
          <w:sz w:val="24"/>
          <w:szCs w:val="24"/>
        </w:rPr>
        <w:t>advice letter</w:t>
      </w:r>
      <w:r w:rsidRPr="00221288" w:rsidR="00AF3375">
        <w:rPr>
          <w:rFonts w:ascii="Palatino Linotype" w:hAnsi="Palatino Linotype"/>
          <w:sz w:val="24"/>
          <w:szCs w:val="24"/>
        </w:rPr>
        <w:t>s 4155-E and</w:t>
      </w:r>
      <w:r w:rsidRPr="00221288" w:rsidR="001B5837">
        <w:rPr>
          <w:rFonts w:ascii="Palatino Linotype" w:hAnsi="Palatino Linotype"/>
          <w:sz w:val="24"/>
          <w:szCs w:val="24"/>
        </w:rPr>
        <w:t xml:space="preserve"> </w:t>
      </w:r>
      <w:r w:rsidRPr="00221288" w:rsidR="00B0234F">
        <w:rPr>
          <w:rFonts w:ascii="Palatino Linotype" w:hAnsi="Palatino Linotype"/>
          <w:sz w:val="24"/>
          <w:szCs w:val="24"/>
        </w:rPr>
        <w:t>4155-E-A</w:t>
      </w:r>
      <w:r w:rsidRPr="00221288">
        <w:rPr>
          <w:rFonts w:ascii="Palatino Linotype" w:hAnsi="Palatino Linotype"/>
          <w:sz w:val="24"/>
          <w:szCs w:val="24"/>
        </w:rPr>
        <w:t xml:space="preserve"> </w:t>
      </w:r>
      <w:r w:rsidRPr="00221288" w:rsidR="007C5A28">
        <w:rPr>
          <w:rFonts w:ascii="Palatino Linotype" w:hAnsi="Palatino Linotype"/>
          <w:sz w:val="24"/>
          <w:szCs w:val="24"/>
        </w:rPr>
        <w:t>are approved</w:t>
      </w:r>
      <w:r w:rsidRPr="00221288" w:rsidR="00C321A4">
        <w:rPr>
          <w:rFonts w:ascii="Palatino Linotype" w:hAnsi="Palatino Linotype"/>
          <w:sz w:val="24"/>
          <w:szCs w:val="24"/>
        </w:rPr>
        <w:t>.</w:t>
      </w:r>
    </w:p>
    <w:p w:rsidRPr="00221288" w:rsidR="00D57452" w:rsidP="009D389E" w:rsidRDefault="00D57452" w14:paraId="5552F66E" w14:textId="77777777">
      <w:pPr>
        <w:rPr>
          <w:rFonts w:ascii="Palatino Linotype" w:hAnsi="Palatino Linotype"/>
        </w:rPr>
      </w:pPr>
    </w:p>
    <w:p w:rsidRPr="00221288" w:rsidR="00030D71" w:rsidP="003543C4" w:rsidRDefault="00D31A94" w14:paraId="679EB20B" w14:textId="2514296F">
      <w:pPr>
        <w:pStyle w:val="ListParagraph"/>
        <w:numPr>
          <w:ilvl w:val="0"/>
          <w:numId w:val="30"/>
        </w:numPr>
        <w:spacing w:after="0" w:line="240" w:lineRule="auto"/>
        <w:rPr>
          <w:rFonts w:ascii="Palatino Linotype" w:hAnsi="Palatino Linotype"/>
          <w:sz w:val="24"/>
          <w:szCs w:val="24"/>
        </w:rPr>
      </w:pPr>
      <w:r w:rsidRPr="00221288">
        <w:rPr>
          <w:rFonts w:ascii="Palatino Linotype" w:hAnsi="Palatino Linotype"/>
          <w:sz w:val="24"/>
          <w:szCs w:val="24"/>
        </w:rPr>
        <w:t>Within 30 days of the Commission’s next issuance of ACC values, Pacific Gas and Electric Company (</w:t>
      </w:r>
      <w:r w:rsidRPr="00221288" w:rsidR="00030D71">
        <w:rPr>
          <w:rFonts w:ascii="Palatino Linotype" w:hAnsi="Palatino Linotype"/>
          <w:sz w:val="24"/>
          <w:szCs w:val="24"/>
        </w:rPr>
        <w:t>PG&amp;E</w:t>
      </w:r>
      <w:r w:rsidRPr="00221288" w:rsidR="00F20B73">
        <w:rPr>
          <w:rFonts w:ascii="Palatino Linotype" w:hAnsi="Palatino Linotype"/>
          <w:sz w:val="24"/>
          <w:szCs w:val="24"/>
        </w:rPr>
        <w:t>)</w:t>
      </w:r>
      <w:r w:rsidRPr="00221288" w:rsidR="00030D71">
        <w:rPr>
          <w:rFonts w:ascii="Palatino Linotype" w:hAnsi="Palatino Linotype"/>
          <w:sz w:val="24"/>
          <w:szCs w:val="24"/>
        </w:rPr>
        <w:t>,</w:t>
      </w:r>
      <w:r w:rsidRPr="00221288" w:rsidR="00F20B73">
        <w:rPr>
          <w:rFonts w:ascii="Palatino Linotype" w:hAnsi="Palatino Linotype"/>
          <w:sz w:val="24"/>
          <w:szCs w:val="24"/>
        </w:rPr>
        <w:t xml:space="preserve"> Southern California Edison Company</w:t>
      </w:r>
      <w:r w:rsidRPr="00221288" w:rsidR="00030D71">
        <w:rPr>
          <w:rFonts w:ascii="Palatino Linotype" w:hAnsi="Palatino Linotype"/>
          <w:sz w:val="24"/>
          <w:szCs w:val="24"/>
        </w:rPr>
        <w:t xml:space="preserve"> </w:t>
      </w:r>
      <w:r w:rsidRPr="00221288" w:rsidR="00F20B73">
        <w:rPr>
          <w:rFonts w:ascii="Palatino Linotype" w:hAnsi="Palatino Linotype"/>
          <w:sz w:val="24"/>
          <w:szCs w:val="24"/>
        </w:rPr>
        <w:t>(</w:t>
      </w:r>
      <w:r w:rsidRPr="00221288" w:rsidR="00030D71">
        <w:rPr>
          <w:rFonts w:ascii="Palatino Linotype" w:hAnsi="Palatino Linotype"/>
          <w:sz w:val="24"/>
          <w:szCs w:val="24"/>
        </w:rPr>
        <w:t>SCE</w:t>
      </w:r>
      <w:r w:rsidRPr="00221288" w:rsidR="00F20B73">
        <w:rPr>
          <w:rFonts w:ascii="Palatino Linotype" w:hAnsi="Palatino Linotype"/>
          <w:sz w:val="24"/>
          <w:szCs w:val="24"/>
        </w:rPr>
        <w:t>)</w:t>
      </w:r>
      <w:r w:rsidRPr="00221288" w:rsidR="00030D71">
        <w:rPr>
          <w:rFonts w:ascii="Palatino Linotype" w:hAnsi="Palatino Linotype"/>
          <w:sz w:val="24"/>
          <w:szCs w:val="24"/>
        </w:rPr>
        <w:t xml:space="preserve">, and </w:t>
      </w:r>
      <w:r w:rsidRPr="00221288" w:rsidR="00F20B73">
        <w:rPr>
          <w:rFonts w:ascii="Palatino Linotype" w:hAnsi="Palatino Linotype"/>
          <w:sz w:val="24"/>
          <w:szCs w:val="24"/>
        </w:rPr>
        <w:t>San Diego Gas &amp; Electric Company (</w:t>
      </w:r>
      <w:r w:rsidRPr="00221288" w:rsidR="00030D71">
        <w:rPr>
          <w:rFonts w:ascii="Palatino Linotype" w:hAnsi="Palatino Linotype"/>
          <w:sz w:val="24"/>
          <w:szCs w:val="24"/>
        </w:rPr>
        <w:t>SDG&amp;E</w:t>
      </w:r>
      <w:r w:rsidRPr="00221288" w:rsidR="00F20B73">
        <w:rPr>
          <w:rFonts w:ascii="Palatino Linotype" w:hAnsi="Palatino Linotype"/>
          <w:sz w:val="24"/>
          <w:szCs w:val="24"/>
        </w:rPr>
        <w:t>)</w:t>
      </w:r>
      <w:r w:rsidRPr="00221288" w:rsidR="00030D71">
        <w:rPr>
          <w:rFonts w:ascii="Palatino Linotype" w:hAnsi="Palatino Linotype"/>
          <w:sz w:val="24"/>
          <w:szCs w:val="24"/>
        </w:rPr>
        <w:t xml:space="preserve"> shall </w:t>
      </w:r>
      <w:r w:rsidRPr="00221288" w:rsidR="00531ECA">
        <w:rPr>
          <w:rFonts w:ascii="Palatino Linotype" w:hAnsi="Palatino Linotype"/>
          <w:sz w:val="24"/>
          <w:szCs w:val="24"/>
        </w:rPr>
        <w:t xml:space="preserve">submit Tier 1 </w:t>
      </w:r>
      <w:r w:rsidRPr="00221288" w:rsidR="001E33A4">
        <w:rPr>
          <w:rFonts w:ascii="Palatino Linotype" w:hAnsi="Palatino Linotype"/>
          <w:sz w:val="24"/>
          <w:szCs w:val="24"/>
        </w:rPr>
        <w:t>advice letter</w:t>
      </w:r>
      <w:r w:rsidRPr="00221288" w:rsidR="00531ECA">
        <w:rPr>
          <w:rFonts w:ascii="Palatino Linotype" w:hAnsi="Palatino Linotype"/>
          <w:sz w:val="24"/>
          <w:szCs w:val="24"/>
        </w:rPr>
        <w:t xml:space="preserve">s </w:t>
      </w:r>
      <w:r w:rsidRPr="00221288" w:rsidR="007545FE">
        <w:rPr>
          <w:rFonts w:ascii="Palatino Linotype" w:hAnsi="Palatino Linotype"/>
          <w:sz w:val="24"/>
          <w:szCs w:val="24"/>
        </w:rPr>
        <w:t>with</w:t>
      </w:r>
      <w:r w:rsidRPr="00221288" w:rsidR="00531ECA">
        <w:rPr>
          <w:rFonts w:ascii="Palatino Linotype" w:hAnsi="Palatino Linotype"/>
          <w:sz w:val="24"/>
          <w:szCs w:val="24"/>
        </w:rPr>
        <w:t xml:space="preserve"> </w:t>
      </w:r>
      <w:r w:rsidRPr="00221288" w:rsidR="003A0C69">
        <w:rPr>
          <w:rFonts w:ascii="Palatino Linotype" w:hAnsi="Palatino Linotype"/>
          <w:sz w:val="24"/>
          <w:szCs w:val="24"/>
        </w:rPr>
        <w:t xml:space="preserve">net billing tariff </w:t>
      </w:r>
      <w:r w:rsidRPr="00221288" w:rsidR="00531ECA">
        <w:rPr>
          <w:rFonts w:ascii="Palatino Linotype" w:hAnsi="Palatino Linotype"/>
          <w:sz w:val="24"/>
          <w:szCs w:val="24"/>
        </w:rPr>
        <w:t xml:space="preserve">retail export compensation rates </w:t>
      </w:r>
      <w:r w:rsidRPr="00221288" w:rsidR="007545FE">
        <w:rPr>
          <w:rFonts w:ascii="Palatino Linotype" w:hAnsi="Palatino Linotype"/>
          <w:sz w:val="24"/>
          <w:szCs w:val="24"/>
        </w:rPr>
        <w:t xml:space="preserve">calculated </w:t>
      </w:r>
      <w:r w:rsidRPr="00221288" w:rsidR="00531ECA">
        <w:rPr>
          <w:rFonts w:ascii="Palatino Linotype" w:hAnsi="Palatino Linotype"/>
          <w:sz w:val="24"/>
          <w:szCs w:val="24"/>
        </w:rPr>
        <w:t xml:space="preserve">using simple averages of the climate zones’ </w:t>
      </w:r>
      <w:r w:rsidRPr="00221288" w:rsidR="001E33A4">
        <w:rPr>
          <w:rFonts w:ascii="Palatino Linotype" w:hAnsi="Palatino Linotype"/>
          <w:sz w:val="24"/>
          <w:szCs w:val="24"/>
        </w:rPr>
        <w:t>Avoided Cost Calculator</w:t>
      </w:r>
      <w:r w:rsidRPr="00221288" w:rsidR="00531ECA">
        <w:rPr>
          <w:rFonts w:ascii="Palatino Linotype" w:hAnsi="Palatino Linotype"/>
          <w:sz w:val="24"/>
          <w:szCs w:val="24"/>
        </w:rPr>
        <w:t xml:space="preserve"> values and </w:t>
      </w:r>
      <w:r w:rsidRPr="00221288" w:rsidR="007545FE">
        <w:rPr>
          <w:rFonts w:ascii="Palatino Linotype" w:hAnsi="Palatino Linotype"/>
          <w:sz w:val="24"/>
          <w:szCs w:val="24"/>
        </w:rPr>
        <w:t>with</w:t>
      </w:r>
      <w:r w:rsidRPr="00221288" w:rsidR="00531ECA">
        <w:rPr>
          <w:rFonts w:ascii="Palatino Linotype" w:hAnsi="Palatino Linotype"/>
          <w:sz w:val="24"/>
          <w:szCs w:val="24"/>
        </w:rPr>
        <w:t xml:space="preserve"> descriptions of the standardized export compensation rate calculation method </w:t>
      </w:r>
      <w:r w:rsidRPr="00221288" w:rsidR="007545FE">
        <w:rPr>
          <w:rFonts w:ascii="Palatino Linotype" w:hAnsi="Palatino Linotype"/>
          <w:sz w:val="24"/>
          <w:szCs w:val="24"/>
        </w:rPr>
        <w:t>that</w:t>
      </w:r>
      <w:r w:rsidRPr="00221288" w:rsidR="00531ECA">
        <w:rPr>
          <w:rFonts w:ascii="Palatino Linotype" w:hAnsi="Palatino Linotype"/>
          <w:sz w:val="24"/>
          <w:szCs w:val="24"/>
        </w:rPr>
        <w:t xml:space="preserve"> reflect this change. </w:t>
      </w:r>
      <w:r w:rsidRPr="00221288" w:rsidR="00C500AC">
        <w:rPr>
          <w:rFonts w:ascii="Palatino Linotype" w:hAnsi="Palatino Linotype"/>
          <w:sz w:val="24"/>
          <w:szCs w:val="24"/>
        </w:rPr>
        <w:t xml:space="preserve">Upon approval of the ALs, the utilities </w:t>
      </w:r>
      <w:r w:rsidRPr="00221288" w:rsidR="00E05F82">
        <w:rPr>
          <w:rFonts w:ascii="Palatino Linotype" w:hAnsi="Palatino Linotype"/>
          <w:sz w:val="24"/>
          <w:szCs w:val="24"/>
        </w:rPr>
        <w:t>wi</w:t>
      </w:r>
      <w:r w:rsidRPr="00221288" w:rsidR="00C500AC">
        <w:rPr>
          <w:rFonts w:ascii="Palatino Linotype" w:hAnsi="Palatino Linotype"/>
          <w:sz w:val="24"/>
          <w:szCs w:val="24"/>
        </w:rPr>
        <w:t xml:space="preserve">ll not alter customers’ existing locked-in nine-year schedules of retail export compensation rates, but </w:t>
      </w:r>
      <w:r w:rsidRPr="00221288" w:rsidR="00E05F82">
        <w:rPr>
          <w:rFonts w:ascii="Palatino Linotype" w:hAnsi="Palatino Linotype"/>
          <w:sz w:val="24"/>
          <w:szCs w:val="24"/>
        </w:rPr>
        <w:t>wi</w:t>
      </w:r>
      <w:r w:rsidRPr="00221288" w:rsidR="00C500AC">
        <w:rPr>
          <w:rFonts w:ascii="Palatino Linotype" w:hAnsi="Palatino Linotype"/>
          <w:sz w:val="24"/>
          <w:szCs w:val="24"/>
        </w:rPr>
        <w:t xml:space="preserve">ll use the rates calculated using simple averages going forward for new customers. </w:t>
      </w:r>
      <w:r w:rsidRPr="00221288" w:rsidR="00531ECA">
        <w:rPr>
          <w:rFonts w:ascii="Palatino Linotype" w:hAnsi="Palatino Linotype"/>
          <w:sz w:val="24"/>
          <w:szCs w:val="24"/>
        </w:rPr>
        <w:t xml:space="preserve">SDG&amp;E shall increase the level of detail in its description to match that </w:t>
      </w:r>
      <w:r w:rsidRPr="00221288" w:rsidR="00355FAD">
        <w:rPr>
          <w:rFonts w:ascii="Palatino Linotype" w:hAnsi="Palatino Linotype"/>
          <w:sz w:val="24"/>
          <w:szCs w:val="24"/>
        </w:rPr>
        <w:t xml:space="preserve">in </w:t>
      </w:r>
      <w:r w:rsidRPr="00221288" w:rsidR="00986757">
        <w:rPr>
          <w:rFonts w:ascii="Palatino Linotype" w:hAnsi="Palatino Linotype"/>
          <w:sz w:val="24"/>
          <w:szCs w:val="24"/>
        </w:rPr>
        <w:t>the descriptions by</w:t>
      </w:r>
      <w:r w:rsidRPr="00221288" w:rsidR="00531ECA">
        <w:rPr>
          <w:rFonts w:ascii="Palatino Linotype" w:hAnsi="Palatino Linotype"/>
          <w:sz w:val="24"/>
          <w:szCs w:val="24"/>
        </w:rPr>
        <w:t xml:space="preserve"> PG&amp;E and SCE. </w:t>
      </w:r>
      <w:r w:rsidRPr="00221288" w:rsidR="00E84C9B">
        <w:rPr>
          <w:rFonts w:ascii="Palatino Linotype" w:hAnsi="Palatino Linotype"/>
          <w:sz w:val="24"/>
          <w:szCs w:val="24"/>
        </w:rPr>
        <w:t>PG&amp;E, SCE, and SDG&amp;E</w:t>
      </w:r>
      <w:r w:rsidRPr="00221288" w:rsidR="00531ECA">
        <w:rPr>
          <w:rFonts w:ascii="Palatino Linotype" w:hAnsi="Palatino Linotype"/>
          <w:sz w:val="24"/>
          <w:szCs w:val="24"/>
        </w:rPr>
        <w:t xml:space="preserve"> shall also publish the description</w:t>
      </w:r>
      <w:r w:rsidRPr="00221288" w:rsidR="00BF74A3">
        <w:rPr>
          <w:rFonts w:ascii="Palatino Linotype" w:hAnsi="Palatino Linotype"/>
          <w:sz w:val="24"/>
          <w:szCs w:val="24"/>
        </w:rPr>
        <w:t>s</w:t>
      </w:r>
      <w:r w:rsidRPr="00221288" w:rsidR="00531ECA">
        <w:rPr>
          <w:rFonts w:ascii="Palatino Linotype" w:hAnsi="Palatino Linotype"/>
          <w:sz w:val="24"/>
          <w:szCs w:val="24"/>
        </w:rPr>
        <w:t xml:space="preserve"> on their websites within 5 business days of the disposition of these </w:t>
      </w:r>
      <w:r w:rsidRPr="00221288" w:rsidR="00215E33">
        <w:rPr>
          <w:rFonts w:ascii="Palatino Linotype" w:hAnsi="Palatino Linotype"/>
          <w:sz w:val="24"/>
          <w:szCs w:val="24"/>
        </w:rPr>
        <w:t>advice letters</w:t>
      </w:r>
      <w:r w:rsidRPr="00221288" w:rsidR="00531ECA">
        <w:rPr>
          <w:rFonts w:ascii="Palatino Linotype" w:hAnsi="Palatino Linotype"/>
          <w:sz w:val="24"/>
          <w:szCs w:val="24"/>
        </w:rPr>
        <w:t xml:space="preserve">. The utilities shall continue to use the </w:t>
      </w:r>
      <w:r w:rsidRPr="00221288" w:rsidR="005B2253">
        <w:rPr>
          <w:rFonts w:ascii="Palatino Linotype" w:hAnsi="Palatino Linotype"/>
          <w:sz w:val="24"/>
          <w:szCs w:val="24"/>
        </w:rPr>
        <w:t>simple average</w:t>
      </w:r>
      <w:r w:rsidRPr="00221288" w:rsidR="00531ECA">
        <w:rPr>
          <w:rFonts w:ascii="Palatino Linotype" w:hAnsi="Palatino Linotype"/>
          <w:sz w:val="24"/>
          <w:szCs w:val="24"/>
        </w:rPr>
        <w:t xml:space="preserve"> calculation method after future A</w:t>
      </w:r>
      <w:r w:rsidRPr="00221288" w:rsidR="00215E33">
        <w:rPr>
          <w:rFonts w:ascii="Palatino Linotype" w:hAnsi="Palatino Linotype"/>
          <w:sz w:val="24"/>
          <w:szCs w:val="24"/>
        </w:rPr>
        <w:t xml:space="preserve">voided </w:t>
      </w:r>
      <w:r w:rsidRPr="00221288" w:rsidR="00531ECA">
        <w:rPr>
          <w:rFonts w:ascii="Palatino Linotype" w:hAnsi="Palatino Linotype"/>
          <w:sz w:val="24"/>
          <w:szCs w:val="24"/>
        </w:rPr>
        <w:t>C</w:t>
      </w:r>
      <w:r w:rsidRPr="00221288" w:rsidR="00215E33">
        <w:rPr>
          <w:rFonts w:ascii="Palatino Linotype" w:hAnsi="Palatino Linotype"/>
          <w:sz w:val="24"/>
          <w:szCs w:val="24"/>
        </w:rPr>
        <w:t xml:space="preserve">ost </w:t>
      </w:r>
      <w:r w:rsidRPr="00221288" w:rsidR="00531ECA">
        <w:rPr>
          <w:rFonts w:ascii="Palatino Linotype" w:hAnsi="Palatino Linotype"/>
          <w:sz w:val="24"/>
          <w:szCs w:val="24"/>
        </w:rPr>
        <w:t>C</w:t>
      </w:r>
      <w:r w:rsidRPr="00221288" w:rsidR="00215E33">
        <w:rPr>
          <w:rFonts w:ascii="Palatino Linotype" w:hAnsi="Palatino Linotype"/>
          <w:sz w:val="24"/>
          <w:szCs w:val="24"/>
        </w:rPr>
        <w:t>alculator</w:t>
      </w:r>
      <w:r w:rsidRPr="00221288" w:rsidR="00531ECA">
        <w:rPr>
          <w:rFonts w:ascii="Palatino Linotype" w:hAnsi="Palatino Linotype"/>
          <w:sz w:val="24"/>
          <w:szCs w:val="24"/>
        </w:rPr>
        <w:t xml:space="preserve"> updates.</w:t>
      </w:r>
    </w:p>
    <w:p w:rsidRPr="00221288" w:rsidR="00030D71" w:rsidP="00E74F24" w:rsidRDefault="00030D71" w14:paraId="4E214F26" w14:textId="77777777">
      <w:pPr>
        <w:rPr>
          <w:rFonts w:ascii="Palatino Linotype" w:hAnsi="Palatino Linotype"/>
        </w:rPr>
      </w:pPr>
    </w:p>
    <w:p w:rsidRPr="00221288" w:rsidR="00814A1F" w:rsidP="003543C4" w:rsidRDefault="00AC24D7" w14:paraId="0292A25C" w14:textId="14EDFC14">
      <w:pPr>
        <w:pStyle w:val="ListParagraph"/>
        <w:numPr>
          <w:ilvl w:val="0"/>
          <w:numId w:val="30"/>
        </w:numPr>
        <w:spacing w:after="0" w:line="240" w:lineRule="auto"/>
        <w:rPr>
          <w:rFonts w:ascii="Palatino Linotype" w:hAnsi="Palatino Linotype"/>
          <w:sz w:val="24"/>
          <w:szCs w:val="24"/>
        </w:rPr>
      </w:pPr>
      <w:r w:rsidRPr="00221288">
        <w:rPr>
          <w:rFonts w:ascii="Palatino Linotype" w:hAnsi="Palatino Linotype"/>
          <w:sz w:val="24"/>
          <w:szCs w:val="24"/>
        </w:rPr>
        <w:t xml:space="preserve">Pacific Gas and Electric Company (PG&amp;E), Southern California Edison Company (SCE), and San Diego Gas &amp; Electric Company (SDG&amp;E) </w:t>
      </w:r>
      <w:r w:rsidRPr="00221288" w:rsidR="004A0396">
        <w:rPr>
          <w:rFonts w:ascii="Palatino Linotype" w:hAnsi="Palatino Linotype"/>
          <w:sz w:val="24"/>
          <w:szCs w:val="24"/>
        </w:rPr>
        <w:t>shall publish</w:t>
      </w:r>
      <w:r w:rsidRPr="00221288" w:rsidR="009636AD">
        <w:rPr>
          <w:rFonts w:ascii="Palatino Linotype" w:hAnsi="Palatino Linotype"/>
          <w:sz w:val="24"/>
          <w:szCs w:val="24"/>
        </w:rPr>
        <w:t xml:space="preserve"> </w:t>
      </w:r>
      <w:r w:rsidR="00824FD3">
        <w:rPr>
          <w:rFonts w:ascii="Palatino Linotype" w:hAnsi="Palatino Linotype"/>
          <w:sz w:val="24"/>
          <w:szCs w:val="24"/>
        </w:rPr>
        <w:br/>
      </w:r>
      <w:r w:rsidRPr="00221288" w:rsidR="00064059">
        <w:rPr>
          <w:rFonts w:ascii="Palatino Linotype" w:hAnsi="Palatino Linotype"/>
          <w:sz w:val="24"/>
          <w:szCs w:val="24"/>
        </w:rPr>
        <w:t xml:space="preserve">machine-readable spreadsheets </w:t>
      </w:r>
      <w:r w:rsidRPr="00221288" w:rsidR="000745A6">
        <w:rPr>
          <w:rFonts w:ascii="Palatino Linotype" w:hAnsi="Palatino Linotype"/>
          <w:sz w:val="24"/>
          <w:szCs w:val="24"/>
        </w:rPr>
        <w:t>on their respective websites</w:t>
      </w:r>
      <w:r w:rsidRPr="00221288" w:rsidR="00F24E6D">
        <w:rPr>
          <w:rFonts w:ascii="Palatino Linotype" w:hAnsi="Palatino Linotype"/>
          <w:sz w:val="24"/>
          <w:szCs w:val="24"/>
        </w:rPr>
        <w:t>.</w:t>
      </w:r>
    </w:p>
    <w:p w:rsidRPr="00221288" w:rsidR="000745A6" w:rsidP="003543C4" w:rsidRDefault="00AE1AC9" w14:paraId="1EF3E548" w14:textId="77777777">
      <w:pPr>
        <w:pStyle w:val="ListParagraph"/>
        <w:numPr>
          <w:ilvl w:val="1"/>
          <w:numId w:val="30"/>
        </w:numPr>
        <w:spacing w:after="0" w:line="240" w:lineRule="auto"/>
        <w:rPr>
          <w:rFonts w:ascii="Palatino Linotype" w:hAnsi="Palatino Linotype"/>
          <w:sz w:val="24"/>
          <w:szCs w:val="24"/>
        </w:rPr>
      </w:pPr>
      <w:r w:rsidRPr="00221288">
        <w:rPr>
          <w:rFonts w:ascii="Palatino Linotype" w:hAnsi="Palatino Linotype"/>
          <w:sz w:val="24"/>
          <w:szCs w:val="24"/>
        </w:rPr>
        <w:t xml:space="preserve">The spreadsheets shall </w:t>
      </w:r>
      <w:r w:rsidRPr="00221288" w:rsidR="008A43BB">
        <w:rPr>
          <w:rFonts w:ascii="Palatino Linotype" w:hAnsi="Palatino Linotype"/>
          <w:sz w:val="24"/>
          <w:szCs w:val="24"/>
        </w:rPr>
        <w:t>be</w:t>
      </w:r>
      <w:r w:rsidRPr="00221288" w:rsidR="005243F4">
        <w:rPr>
          <w:rFonts w:ascii="Palatino Linotype" w:hAnsi="Palatino Linotype"/>
          <w:sz w:val="24"/>
          <w:szCs w:val="24"/>
        </w:rPr>
        <w:t xml:space="preserve"> </w:t>
      </w:r>
      <w:r w:rsidRPr="00221288" w:rsidR="009D389E">
        <w:rPr>
          <w:rFonts w:ascii="Palatino Linotype" w:hAnsi="Palatino Linotype"/>
          <w:sz w:val="24"/>
          <w:szCs w:val="24"/>
        </w:rPr>
        <w:t>uniform across PG&amp;E, SCE, and SDG&amp;E</w:t>
      </w:r>
      <w:r w:rsidRPr="00221288" w:rsidR="005243F4">
        <w:rPr>
          <w:rFonts w:ascii="Palatino Linotype" w:hAnsi="Palatino Linotype"/>
          <w:sz w:val="24"/>
          <w:szCs w:val="24"/>
        </w:rPr>
        <w:t>, and</w:t>
      </w:r>
      <w:r w:rsidRPr="00221288" w:rsidR="009D389E">
        <w:rPr>
          <w:rFonts w:ascii="Palatino Linotype" w:hAnsi="Palatino Linotype"/>
          <w:sz w:val="24"/>
          <w:szCs w:val="24"/>
        </w:rPr>
        <w:t xml:space="preserve"> shall </w:t>
      </w:r>
      <w:r w:rsidRPr="00221288" w:rsidR="00064059">
        <w:rPr>
          <w:rFonts w:ascii="Palatino Linotype" w:hAnsi="Palatino Linotype"/>
          <w:sz w:val="24"/>
          <w:szCs w:val="24"/>
        </w:rPr>
        <w:t xml:space="preserve">contain the </w:t>
      </w:r>
      <w:r w:rsidRPr="00221288" w:rsidR="003A0C69">
        <w:rPr>
          <w:rFonts w:ascii="Palatino Linotype" w:hAnsi="Palatino Linotype"/>
          <w:sz w:val="24"/>
          <w:szCs w:val="24"/>
        </w:rPr>
        <w:t xml:space="preserve">net billing tariff </w:t>
      </w:r>
      <w:r w:rsidRPr="00221288" w:rsidR="0077524D">
        <w:rPr>
          <w:rFonts w:ascii="Palatino Linotype" w:hAnsi="Palatino Linotype"/>
          <w:sz w:val="24"/>
          <w:szCs w:val="24"/>
        </w:rPr>
        <w:t xml:space="preserve">retail </w:t>
      </w:r>
      <w:r w:rsidRPr="00221288" w:rsidR="00064059">
        <w:rPr>
          <w:rFonts w:ascii="Palatino Linotype" w:hAnsi="Palatino Linotype"/>
          <w:sz w:val="24"/>
          <w:szCs w:val="24"/>
        </w:rPr>
        <w:t xml:space="preserve">export </w:t>
      </w:r>
      <w:r w:rsidRPr="00221288" w:rsidR="0077524D">
        <w:rPr>
          <w:rFonts w:ascii="Palatino Linotype" w:hAnsi="Palatino Linotype"/>
          <w:sz w:val="24"/>
          <w:szCs w:val="24"/>
        </w:rPr>
        <w:t>compensation rate</w:t>
      </w:r>
      <w:r w:rsidRPr="00221288" w:rsidR="00064059">
        <w:rPr>
          <w:rFonts w:ascii="Palatino Linotype" w:hAnsi="Palatino Linotype"/>
          <w:sz w:val="24"/>
          <w:szCs w:val="24"/>
        </w:rPr>
        <w:t xml:space="preserve">s </w:t>
      </w:r>
      <w:r w:rsidRPr="00221288" w:rsidR="00B15E2C">
        <w:rPr>
          <w:rFonts w:ascii="Palatino Linotype" w:hAnsi="Palatino Linotype"/>
          <w:sz w:val="24"/>
          <w:szCs w:val="24"/>
        </w:rPr>
        <w:t xml:space="preserve">for </w:t>
      </w:r>
      <w:r w:rsidRPr="00221288" w:rsidR="00B93233">
        <w:rPr>
          <w:rFonts w:ascii="Palatino Linotype" w:hAnsi="Palatino Linotype"/>
          <w:sz w:val="24"/>
          <w:szCs w:val="24"/>
        </w:rPr>
        <w:t>the next 20 years</w:t>
      </w:r>
      <w:r w:rsidRPr="00221288" w:rsidR="00B15E2C">
        <w:rPr>
          <w:rFonts w:ascii="Palatino Linotype" w:hAnsi="Palatino Linotype"/>
          <w:sz w:val="24"/>
          <w:szCs w:val="24"/>
        </w:rPr>
        <w:t xml:space="preserve"> in downloadable .csv and .xml files in single column structure, with the same column headings and number formats, and in alignment with the format used by the CEC Market Informed Demand Automation Server</w:t>
      </w:r>
      <w:r w:rsidRPr="00221288">
        <w:rPr>
          <w:rFonts w:ascii="Palatino Linotype" w:hAnsi="Palatino Linotype"/>
          <w:sz w:val="24"/>
          <w:szCs w:val="24"/>
        </w:rPr>
        <w:t xml:space="preserve">. </w:t>
      </w:r>
    </w:p>
    <w:p w:rsidRPr="00221288" w:rsidR="006C1FB7" w:rsidP="003543C4" w:rsidRDefault="00CA7EC5" w14:paraId="35825823" w14:textId="393EE0F7">
      <w:pPr>
        <w:pStyle w:val="ListParagraph"/>
        <w:numPr>
          <w:ilvl w:val="1"/>
          <w:numId w:val="30"/>
        </w:numPr>
        <w:spacing w:after="0" w:line="240" w:lineRule="auto"/>
        <w:rPr>
          <w:rFonts w:ascii="Palatino Linotype" w:hAnsi="Palatino Linotype"/>
          <w:sz w:val="24"/>
          <w:szCs w:val="24"/>
        </w:rPr>
      </w:pPr>
      <w:r w:rsidRPr="00221288">
        <w:rPr>
          <w:rFonts w:ascii="Palatino Linotype" w:hAnsi="Palatino Linotype"/>
          <w:sz w:val="24"/>
          <w:szCs w:val="24"/>
        </w:rPr>
        <w:lastRenderedPageBreak/>
        <w:t xml:space="preserve">The first spreadsheets shall be published within five business days after the </w:t>
      </w:r>
      <w:r w:rsidRPr="00221288" w:rsidR="00DA6B05">
        <w:rPr>
          <w:rFonts w:ascii="Palatino Linotype" w:hAnsi="Palatino Linotype"/>
          <w:sz w:val="24"/>
          <w:szCs w:val="24"/>
        </w:rPr>
        <w:t>effective date</w:t>
      </w:r>
      <w:r w:rsidRPr="00221288">
        <w:rPr>
          <w:rFonts w:ascii="Palatino Linotype" w:hAnsi="Palatino Linotype"/>
          <w:sz w:val="24"/>
          <w:szCs w:val="24"/>
        </w:rPr>
        <w:t xml:space="preserve"> of this Resolution. </w:t>
      </w:r>
      <w:r w:rsidRPr="00221288" w:rsidR="00A75FE0">
        <w:rPr>
          <w:rFonts w:ascii="Palatino Linotype" w:hAnsi="Palatino Linotype"/>
          <w:sz w:val="24"/>
          <w:szCs w:val="24"/>
        </w:rPr>
        <w:t xml:space="preserve">Following future updates to the </w:t>
      </w:r>
      <w:r w:rsidRPr="00221288" w:rsidR="00AC0711">
        <w:rPr>
          <w:rFonts w:ascii="Palatino Linotype" w:hAnsi="Palatino Linotype"/>
          <w:sz w:val="24"/>
          <w:szCs w:val="24"/>
        </w:rPr>
        <w:t>Avoided Cost Calculator</w:t>
      </w:r>
      <w:r w:rsidRPr="00221288" w:rsidR="00A75FE0">
        <w:rPr>
          <w:rFonts w:ascii="Palatino Linotype" w:hAnsi="Palatino Linotype"/>
          <w:sz w:val="24"/>
          <w:szCs w:val="24"/>
        </w:rPr>
        <w:t xml:space="preserve">, </w:t>
      </w:r>
      <w:r w:rsidRPr="00221288" w:rsidR="009B266E">
        <w:rPr>
          <w:rFonts w:ascii="Palatino Linotype" w:hAnsi="Palatino Linotype"/>
          <w:sz w:val="24"/>
          <w:szCs w:val="24"/>
        </w:rPr>
        <w:t xml:space="preserve">Pacific Gas and Electric Company (PG&amp;E), Southern California Edison Company (SCE), and San Diego Gas &amp; Electric Company (SDG&amp;E) </w:t>
      </w:r>
      <w:r w:rsidRPr="00221288" w:rsidR="00A75FE0">
        <w:rPr>
          <w:rFonts w:ascii="Palatino Linotype" w:hAnsi="Palatino Linotype"/>
          <w:sz w:val="24"/>
          <w:szCs w:val="24"/>
        </w:rPr>
        <w:t xml:space="preserve">shall publish </w:t>
      </w:r>
      <w:r w:rsidRPr="00221288" w:rsidR="0011654A">
        <w:rPr>
          <w:rFonts w:ascii="Palatino Linotype" w:hAnsi="Palatino Linotype"/>
          <w:sz w:val="24"/>
          <w:szCs w:val="24"/>
        </w:rPr>
        <w:t xml:space="preserve">updated </w:t>
      </w:r>
      <w:r w:rsidRPr="00221288" w:rsidR="009B266E">
        <w:rPr>
          <w:rFonts w:ascii="Palatino Linotype" w:hAnsi="Palatino Linotype"/>
          <w:sz w:val="24"/>
          <w:szCs w:val="24"/>
        </w:rPr>
        <w:t xml:space="preserve">machine-readable </w:t>
      </w:r>
      <w:r w:rsidRPr="00221288" w:rsidR="00A75FE0">
        <w:rPr>
          <w:rFonts w:ascii="Palatino Linotype" w:hAnsi="Palatino Linotype"/>
          <w:sz w:val="24"/>
          <w:szCs w:val="24"/>
        </w:rPr>
        <w:t xml:space="preserve">spreadsheets to their respective websites by October 1 of the year the update is approved. </w:t>
      </w:r>
      <w:r w:rsidRPr="00221288" w:rsidR="00C70A6C">
        <w:rPr>
          <w:rFonts w:ascii="Palatino Linotype" w:hAnsi="Palatino Linotype"/>
          <w:sz w:val="24"/>
          <w:szCs w:val="24"/>
        </w:rPr>
        <w:t xml:space="preserve">PG&amp;E, SCE, and SDG&amp;E shall maintain </w:t>
      </w:r>
      <w:r w:rsidRPr="00221288" w:rsidR="005E3563">
        <w:rPr>
          <w:rFonts w:ascii="Palatino Linotype" w:hAnsi="Palatino Linotype"/>
          <w:sz w:val="24"/>
          <w:szCs w:val="24"/>
        </w:rPr>
        <w:t>t</w:t>
      </w:r>
      <w:r w:rsidRPr="00221288" w:rsidR="00AE1AC9">
        <w:rPr>
          <w:rFonts w:ascii="Palatino Linotype" w:hAnsi="Palatino Linotype"/>
          <w:sz w:val="24"/>
          <w:szCs w:val="24"/>
        </w:rPr>
        <w:t>he spreadsheet format</w:t>
      </w:r>
      <w:r w:rsidRPr="00221288" w:rsidR="005E3563">
        <w:rPr>
          <w:rFonts w:ascii="Palatino Linotype" w:hAnsi="Palatino Linotype"/>
          <w:sz w:val="24"/>
          <w:szCs w:val="24"/>
        </w:rPr>
        <w:t>’s</w:t>
      </w:r>
      <w:r w:rsidRPr="00221288" w:rsidR="00AE1AC9">
        <w:rPr>
          <w:rFonts w:ascii="Palatino Linotype" w:hAnsi="Palatino Linotype"/>
          <w:sz w:val="24"/>
          <w:szCs w:val="24"/>
        </w:rPr>
        <w:t xml:space="preserve"> </w:t>
      </w:r>
      <w:r w:rsidRPr="00221288" w:rsidR="005E3563">
        <w:rPr>
          <w:rFonts w:ascii="Palatino Linotype" w:hAnsi="Palatino Linotype"/>
          <w:sz w:val="24"/>
          <w:szCs w:val="24"/>
        </w:rPr>
        <w:t>alignment with the CEC Market Informed Demand Automation Server</w:t>
      </w:r>
      <w:r w:rsidRPr="00221288" w:rsidR="009B266E">
        <w:rPr>
          <w:rFonts w:ascii="Palatino Linotype" w:hAnsi="Palatino Linotype"/>
          <w:sz w:val="24"/>
          <w:szCs w:val="24"/>
        </w:rPr>
        <w:t>.</w:t>
      </w:r>
      <w:r w:rsidRPr="00221288" w:rsidR="00AE1AC9">
        <w:rPr>
          <w:rFonts w:ascii="Palatino Linotype" w:hAnsi="Palatino Linotype"/>
          <w:sz w:val="24"/>
          <w:szCs w:val="24"/>
        </w:rPr>
        <w:t xml:space="preserve"> </w:t>
      </w:r>
    </w:p>
    <w:p w:rsidRPr="00221288" w:rsidR="005D0402" w:rsidP="009D389E" w:rsidRDefault="005D0402" w14:paraId="3FC99E8E" w14:textId="77777777">
      <w:pPr>
        <w:rPr>
          <w:rFonts w:ascii="Palatino Linotype" w:hAnsi="Palatino Linotype"/>
        </w:rPr>
      </w:pPr>
    </w:p>
    <w:p w:rsidRPr="00221288" w:rsidR="0099015A" w:rsidP="003543C4" w:rsidRDefault="004C165E" w14:paraId="0BE35487" w14:textId="386DC644">
      <w:pPr>
        <w:pStyle w:val="ListParagraph"/>
        <w:numPr>
          <w:ilvl w:val="0"/>
          <w:numId w:val="30"/>
        </w:numPr>
        <w:spacing w:after="0" w:line="240" w:lineRule="auto"/>
        <w:rPr>
          <w:rFonts w:ascii="Palatino Linotype" w:hAnsi="Palatino Linotype"/>
          <w:sz w:val="24"/>
          <w:szCs w:val="24"/>
        </w:rPr>
      </w:pPr>
      <w:r w:rsidRPr="00221288">
        <w:rPr>
          <w:rFonts w:ascii="Palatino Linotype" w:hAnsi="Palatino Linotype"/>
          <w:sz w:val="24"/>
          <w:szCs w:val="24"/>
        </w:rPr>
        <w:t xml:space="preserve">To </w:t>
      </w:r>
      <w:r w:rsidRPr="00221288" w:rsidR="00833BC0">
        <w:rPr>
          <w:rFonts w:ascii="Palatino Linotype" w:hAnsi="Palatino Linotype"/>
          <w:sz w:val="24"/>
          <w:szCs w:val="24"/>
        </w:rPr>
        <w:t>establish</w:t>
      </w:r>
      <w:r w:rsidRPr="00221288">
        <w:rPr>
          <w:rFonts w:ascii="Palatino Linotype" w:hAnsi="Palatino Linotype"/>
          <w:sz w:val="24"/>
          <w:szCs w:val="24"/>
        </w:rPr>
        <w:t xml:space="preserve"> that </w:t>
      </w:r>
      <w:r w:rsidRPr="00221288" w:rsidR="00410245">
        <w:rPr>
          <w:rFonts w:ascii="Palatino Linotype" w:hAnsi="Palatino Linotype"/>
          <w:sz w:val="24"/>
          <w:szCs w:val="24"/>
        </w:rPr>
        <w:t xml:space="preserve">a </w:t>
      </w:r>
      <w:r w:rsidRPr="00221288">
        <w:rPr>
          <w:rFonts w:ascii="Palatino Linotype" w:hAnsi="Palatino Linotype"/>
          <w:sz w:val="24"/>
          <w:szCs w:val="24"/>
        </w:rPr>
        <w:t>customer</w:t>
      </w:r>
      <w:r w:rsidRPr="00221288" w:rsidR="00410245">
        <w:rPr>
          <w:rFonts w:ascii="Palatino Linotype" w:hAnsi="Palatino Linotype"/>
          <w:sz w:val="24"/>
          <w:szCs w:val="24"/>
        </w:rPr>
        <w:t xml:space="preserve"> is a</w:t>
      </w:r>
      <w:r w:rsidRPr="00221288">
        <w:rPr>
          <w:rFonts w:ascii="Palatino Linotype" w:hAnsi="Palatino Linotype"/>
          <w:sz w:val="24"/>
          <w:szCs w:val="24"/>
        </w:rPr>
        <w:t xml:space="preserve"> resident-owner of</w:t>
      </w:r>
      <w:r w:rsidRPr="00221288" w:rsidR="00410245">
        <w:rPr>
          <w:rFonts w:ascii="Palatino Linotype" w:hAnsi="Palatino Linotype"/>
          <w:sz w:val="24"/>
          <w:szCs w:val="24"/>
        </w:rPr>
        <w:t xml:space="preserve"> a</w:t>
      </w:r>
      <w:r w:rsidRPr="00221288">
        <w:rPr>
          <w:rFonts w:ascii="Palatino Linotype" w:hAnsi="Palatino Linotype"/>
          <w:sz w:val="24"/>
          <w:szCs w:val="24"/>
        </w:rPr>
        <w:t xml:space="preserve"> single-family home </w:t>
      </w:r>
      <w:r w:rsidRPr="00221288" w:rsidR="00833BC0">
        <w:rPr>
          <w:rFonts w:ascii="Palatino Linotype" w:hAnsi="Palatino Linotype"/>
          <w:sz w:val="24"/>
          <w:szCs w:val="24"/>
        </w:rPr>
        <w:t>in</w:t>
      </w:r>
      <w:r w:rsidRPr="00221288">
        <w:rPr>
          <w:rFonts w:ascii="Palatino Linotype" w:hAnsi="Palatino Linotype"/>
          <w:sz w:val="24"/>
          <w:szCs w:val="24"/>
        </w:rPr>
        <w:t xml:space="preserve"> </w:t>
      </w:r>
      <w:r w:rsidRPr="00221288" w:rsidR="00410245">
        <w:rPr>
          <w:rFonts w:ascii="Palatino Linotype" w:hAnsi="Palatino Linotype"/>
          <w:sz w:val="24"/>
          <w:szCs w:val="24"/>
        </w:rPr>
        <w:t xml:space="preserve">a </w:t>
      </w:r>
      <w:r w:rsidRPr="00221288">
        <w:rPr>
          <w:rFonts w:ascii="Palatino Linotype" w:hAnsi="Palatino Linotype"/>
          <w:sz w:val="24"/>
          <w:szCs w:val="24"/>
        </w:rPr>
        <w:t>disadvantaged communit</w:t>
      </w:r>
      <w:r w:rsidRPr="00221288" w:rsidR="00410245">
        <w:rPr>
          <w:rFonts w:ascii="Palatino Linotype" w:hAnsi="Palatino Linotype"/>
          <w:sz w:val="24"/>
          <w:szCs w:val="24"/>
        </w:rPr>
        <w:t>y</w:t>
      </w:r>
      <w:r w:rsidRPr="00221288" w:rsidR="00833BC0">
        <w:rPr>
          <w:rFonts w:ascii="Palatino Linotype" w:hAnsi="Palatino Linotype"/>
          <w:sz w:val="24"/>
          <w:szCs w:val="24"/>
        </w:rPr>
        <w:t xml:space="preserve"> </w:t>
      </w:r>
      <w:r w:rsidRPr="00221288" w:rsidR="00410245">
        <w:rPr>
          <w:rFonts w:ascii="Palatino Linotype" w:hAnsi="Palatino Linotype"/>
          <w:sz w:val="24"/>
          <w:szCs w:val="24"/>
        </w:rPr>
        <w:t>and therefore</w:t>
      </w:r>
      <w:r w:rsidRPr="00221288" w:rsidR="00833BC0">
        <w:rPr>
          <w:rFonts w:ascii="Palatino Linotype" w:hAnsi="Palatino Linotype"/>
          <w:sz w:val="24"/>
          <w:szCs w:val="24"/>
        </w:rPr>
        <w:t xml:space="preserve"> qualif</w:t>
      </w:r>
      <w:r w:rsidRPr="00221288" w:rsidR="00886D4F">
        <w:rPr>
          <w:rFonts w:ascii="Palatino Linotype" w:hAnsi="Palatino Linotype"/>
          <w:sz w:val="24"/>
          <w:szCs w:val="24"/>
        </w:rPr>
        <w:t>ies</w:t>
      </w:r>
      <w:r w:rsidRPr="00221288" w:rsidR="00833BC0">
        <w:rPr>
          <w:rFonts w:ascii="Palatino Linotype" w:hAnsi="Palatino Linotype"/>
          <w:sz w:val="24"/>
          <w:szCs w:val="24"/>
        </w:rPr>
        <w:t xml:space="preserve"> for low-income treatment </w:t>
      </w:r>
      <w:r w:rsidRPr="00221288" w:rsidR="00410245">
        <w:rPr>
          <w:rFonts w:ascii="Palatino Linotype" w:hAnsi="Palatino Linotype"/>
          <w:sz w:val="24"/>
          <w:szCs w:val="24"/>
        </w:rPr>
        <w:t>under</w:t>
      </w:r>
      <w:r w:rsidRPr="00221288" w:rsidR="00833BC0">
        <w:rPr>
          <w:rFonts w:ascii="Palatino Linotype" w:hAnsi="Palatino Linotype"/>
          <w:sz w:val="24"/>
          <w:szCs w:val="24"/>
        </w:rPr>
        <w:t xml:space="preserve"> the net billing tariff</w:t>
      </w:r>
      <w:r w:rsidRPr="00221288">
        <w:rPr>
          <w:rFonts w:ascii="Palatino Linotype" w:hAnsi="Palatino Linotype"/>
          <w:sz w:val="24"/>
          <w:szCs w:val="24"/>
        </w:rPr>
        <w:t xml:space="preserve">, PG&amp;E and SCE shall verify that </w:t>
      </w:r>
      <w:r w:rsidRPr="00221288" w:rsidR="00886D4F">
        <w:rPr>
          <w:rFonts w:ascii="Palatino Linotype" w:hAnsi="Palatino Linotype"/>
          <w:sz w:val="24"/>
          <w:szCs w:val="24"/>
        </w:rPr>
        <w:t xml:space="preserve">the </w:t>
      </w:r>
      <w:r w:rsidRPr="00221288">
        <w:rPr>
          <w:rFonts w:ascii="Palatino Linotype" w:hAnsi="Palatino Linotype"/>
          <w:sz w:val="24"/>
          <w:szCs w:val="24"/>
        </w:rPr>
        <w:t>customer</w:t>
      </w:r>
      <w:r w:rsidRPr="00221288" w:rsidR="00886D4F">
        <w:rPr>
          <w:rFonts w:ascii="Palatino Linotype" w:hAnsi="Palatino Linotype"/>
          <w:sz w:val="24"/>
          <w:szCs w:val="24"/>
        </w:rPr>
        <w:t xml:space="preserve"> has a</w:t>
      </w:r>
      <w:r w:rsidRPr="00221288">
        <w:rPr>
          <w:rFonts w:ascii="Palatino Linotype" w:hAnsi="Palatino Linotype"/>
          <w:sz w:val="24"/>
          <w:szCs w:val="24"/>
        </w:rPr>
        <w:t xml:space="preserve"> residential account with one meter.</w:t>
      </w:r>
      <w:r w:rsidRPr="00221288" w:rsidDel="00813A5D">
        <w:rPr>
          <w:rFonts w:ascii="Palatino Linotype" w:hAnsi="Palatino Linotype"/>
          <w:sz w:val="24"/>
          <w:szCs w:val="24"/>
        </w:rPr>
        <w:t xml:space="preserve"> </w:t>
      </w:r>
    </w:p>
    <w:p w:rsidRPr="00221288" w:rsidR="00820ACC" w:rsidP="00E74F24" w:rsidRDefault="00820ACC" w14:paraId="1FDA7C84" w14:textId="2B9E8BEF">
      <w:pPr>
        <w:rPr>
          <w:rFonts w:ascii="Palatino Linotype" w:hAnsi="Palatino Linotype"/>
        </w:rPr>
      </w:pPr>
    </w:p>
    <w:p w:rsidRPr="00221288" w:rsidR="008A43BB" w:rsidP="003543C4" w:rsidRDefault="006E7F3F" w14:paraId="4470A6AA" w14:textId="7AB13C71">
      <w:pPr>
        <w:pStyle w:val="ListParagraph"/>
        <w:numPr>
          <w:ilvl w:val="0"/>
          <w:numId w:val="30"/>
        </w:numPr>
        <w:spacing w:after="0" w:line="240" w:lineRule="auto"/>
        <w:rPr>
          <w:rFonts w:ascii="Palatino Linotype" w:hAnsi="Palatino Linotype"/>
          <w:sz w:val="24"/>
          <w:szCs w:val="24"/>
        </w:rPr>
      </w:pPr>
      <w:r w:rsidRPr="00221288">
        <w:rPr>
          <w:rFonts w:ascii="Palatino Linotype" w:hAnsi="Palatino Linotype"/>
          <w:sz w:val="24"/>
          <w:szCs w:val="24"/>
        </w:rPr>
        <w:t xml:space="preserve">PG&amp;E, SCE, and SDG&amp;E </w:t>
      </w:r>
      <w:r w:rsidRPr="00221288" w:rsidR="0088339D">
        <w:rPr>
          <w:rFonts w:ascii="Palatino Linotype" w:hAnsi="Palatino Linotype"/>
          <w:sz w:val="24"/>
          <w:szCs w:val="24"/>
        </w:rPr>
        <w:t xml:space="preserve">shall submit </w:t>
      </w:r>
      <w:r w:rsidRPr="00221288" w:rsidR="00CD2490">
        <w:rPr>
          <w:rFonts w:ascii="Palatino Linotype" w:hAnsi="Palatino Linotype"/>
          <w:sz w:val="24"/>
          <w:szCs w:val="24"/>
        </w:rPr>
        <w:t>T</w:t>
      </w:r>
      <w:r w:rsidRPr="00221288" w:rsidR="0088339D">
        <w:rPr>
          <w:rFonts w:ascii="Palatino Linotype" w:hAnsi="Palatino Linotype"/>
          <w:sz w:val="24"/>
          <w:szCs w:val="24"/>
        </w:rPr>
        <w:t xml:space="preserve">ier 2 advice letters within 60 days after the </w:t>
      </w:r>
      <w:r w:rsidRPr="00221288" w:rsidR="00DA6B05">
        <w:rPr>
          <w:rFonts w:ascii="Palatino Linotype" w:hAnsi="Palatino Linotype"/>
          <w:sz w:val="24"/>
          <w:szCs w:val="24"/>
        </w:rPr>
        <w:t>effective date</w:t>
      </w:r>
      <w:r w:rsidRPr="00221288" w:rsidR="0088339D">
        <w:rPr>
          <w:rFonts w:ascii="Palatino Linotype" w:hAnsi="Palatino Linotype"/>
          <w:sz w:val="24"/>
          <w:szCs w:val="24"/>
        </w:rPr>
        <w:t xml:space="preserve"> of this </w:t>
      </w:r>
      <w:r w:rsidRPr="00221288" w:rsidR="007C18E0">
        <w:rPr>
          <w:rFonts w:ascii="Palatino Linotype" w:hAnsi="Palatino Linotype"/>
          <w:sz w:val="24"/>
          <w:szCs w:val="24"/>
        </w:rPr>
        <w:t>R</w:t>
      </w:r>
      <w:r w:rsidRPr="00221288" w:rsidR="0088339D">
        <w:rPr>
          <w:rFonts w:ascii="Palatino Linotype" w:hAnsi="Palatino Linotype"/>
          <w:sz w:val="24"/>
          <w:szCs w:val="24"/>
        </w:rPr>
        <w:t xml:space="preserve">esolution proposing the tariff </w:t>
      </w:r>
      <w:r w:rsidRPr="00221288" w:rsidR="007C5A28">
        <w:rPr>
          <w:rFonts w:ascii="Palatino Linotype" w:hAnsi="Palatino Linotype"/>
          <w:sz w:val="24"/>
          <w:szCs w:val="24"/>
        </w:rPr>
        <w:t>modifications</w:t>
      </w:r>
      <w:r w:rsidRPr="00221288" w:rsidR="003277F4">
        <w:rPr>
          <w:rFonts w:ascii="Palatino Linotype" w:hAnsi="Palatino Linotype"/>
          <w:sz w:val="24"/>
          <w:szCs w:val="24"/>
        </w:rPr>
        <w:t xml:space="preserve"> specified here and further</w:t>
      </w:r>
      <w:r w:rsidRPr="00221288" w:rsidR="00790351">
        <w:rPr>
          <w:rFonts w:ascii="Palatino Linotype" w:hAnsi="Palatino Linotype"/>
          <w:sz w:val="24"/>
          <w:szCs w:val="24"/>
        </w:rPr>
        <w:t xml:space="preserve"> </w:t>
      </w:r>
      <w:r w:rsidRPr="00221288" w:rsidR="003277F4">
        <w:rPr>
          <w:rFonts w:ascii="Palatino Linotype" w:hAnsi="Palatino Linotype"/>
          <w:sz w:val="24"/>
          <w:szCs w:val="24"/>
        </w:rPr>
        <w:t xml:space="preserve">enumerated in </w:t>
      </w:r>
      <w:r w:rsidRPr="00221288" w:rsidR="007A7F67">
        <w:rPr>
          <w:rFonts w:ascii="Palatino Linotype" w:hAnsi="Palatino Linotype"/>
          <w:sz w:val="24"/>
          <w:szCs w:val="24"/>
        </w:rPr>
        <w:t xml:space="preserve">the Discussion section of this </w:t>
      </w:r>
      <w:r w:rsidRPr="00221288" w:rsidR="00B90603">
        <w:rPr>
          <w:rFonts w:ascii="Palatino Linotype" w:hAnsi="Palatino Linotype"/>
          <w:sz w:val="24"/>
          <w:szCs w:val="24"/>
        </w:rPr>
        <w:t>R</w:t>
      </w:r>
      <w:r w:rsidRPr="00221288" w:rsidR="007A7F67">
        <w:rPr>
          <w:rFonts w:ascii="Palatino Linotype" w:hAnsi="Palatino Linotype"/>
          <w:sz w:val="24"/>
          <w:szCs w:val="24"/>
        </w:rPr>
        <w:t>esolution</w:t>
      </w:r>
      <w:r w:rsidRPr="00221288" w:rsidR="003277F4">
        <w:rPr>
          <w:rFonts w:ascii="Palatino Linotype" w:hAnsi="Palatino Linotype"/>
          <w:sz w:val="24"/>
          <w:szCs w:val="24"/>
        </w:rPr>
        <w:t>.</w:t>
      </w:r>
      <w:r w:rsidRPr="00221288" w:rsidR="002C4937">
        <w:rPr>
          <w:rFonts w:ascii="Palatino Linotype" w:hAnsi="Palatino Linotype"/>
          <w:sz w:val="24"/>
          <w:szCs w:val="24"/>
        </w:rPr>
        <w:t xml:space="preserve"> These modifications shall become effective July 1, </w:t>
      </w:r>
      <w:r w:rsidRPr="00221288" w:rsidR="00C33273">
        <w:rPr>
          <w:rFonts w:ascii="Palatino Linotype" w:hAnsi="Palatino Linotype"/>
          <w:sz w:val="24"/>
          <w:szCs w:val="24"/>
        </w:rPr>
        <w:t>2024</w:t>
      </w:r>
      <w:r w:rsidRPr="00221288" w:rsidR="000633E9">
        <w:rPr>
          <w:rFonts w:ascii="Palatino Linotype" w:hAnsi="Palatino Linotype"/>
          <w:sz w:val="24"/>
          <w:szCs w:val="24"/>
        </w:rPr>
        <w:t xml:space="preserve">. </w:t>
      </w:r>
    </w:p>
    <w:p w:rsidRPr="00221288" w:rsidR="00030D71" w:rsidP="003543C4" w:rsidRDefault="008A06DB" w14:paraId="751772C5" w14:textId="2B8C67A3">
      <w:pPr>
        <w:pStyle w:val="ListParagraph"/>
        <w:numPr>
          <w:ilvl w:val="0"/>
          <w:numId w:val="33"/>
        </w:numPr>
        <w:spacing w:after="0" w:line="240" w:lineRule="auto"/>
        <w:rPr>
          <w:rFonts w:ascii="Palatino Linotype" w:hAnsi="Palatino Linotype"/>
          <w:sz w:val="24"/>
          <w:szCs w:val="24"/>
        </w:rPr>
      </w:pPr>
      <w:r w:rsidRPr="00221288">
        <w:rPr>
          <w:rFonts w:ascii="Palatino Linotype" w:hAnsi="Palatino Linotype"/>
          <w:sz w:val="24"/>
          <w:szCs w:val="24"/>
        </w:rPr>
        <w:t xml:space="preserve">PG&amp;E shall </w:t>
      </w:r>
      <w:r w:rsidRPr="00221288" w:rsidR="00E850EF">
        <w:rPr>
          <w:rFonts w:ascii="Palatino Linotype" w:hAnsi="Palatino Linotype"/>
          <w:sz w:val="24"/>
          <w:szCs w:val="24"/>
        </w:rPr>
        <w:t>articulate which components of the Avoided Cost Calculator are under the jurisdiction of the utilities in the case of unbundled customers.</w:t>
      </w:r>
    </w:p>
    <w:p w:rsidRPr="00221288" w:rsidR="00B0234F" w:rsidP="003543C4" w:rsidRDefault="004D3F96" w14:paraId="6744C2BE" w14:textId="08EC3DB2">
      <w:pPr>
        <w:pStyle w:val="ListParagraph"/>
        <w:numPr>
          <w:ilvl w:val="0"/>
          <w:numId w:val="33"/>
        </w:numPr>
        <w:spacing w:after="0" w:line="240" w:lineRule="auto"/>
        <w:rPr>
          <w:rFonts w:ascii="Palatino Linotype" w:hAnsi="Palatino Linotype"/>
          <w:sz w:val="24"/>
          <w:szCs w:val="24"/>
        </w:rPr>
      </w:pPr>
      <w:r w:rsidRPr="00221288">
        <w:rPr>
          <w:rFonts w:ascii="Palatino Linotype" w:hAnsi="Palatino Linotype"/>
          <w:sz w:val="24"/>
          <w:szCs w:val="24"/>
        </w:rPr>
        <w:t xml:space="preserve">PG&amp;E, SCE, and SDG&amp;E shall propose that </w:t>
      </w:r>
      <w:r w:rsidRPr="00221288" w:rsidR="003E1D57">
        <w:rPr>
          <w:rFonts w:ascii="Palatino Linotype" w:hAnsi="Palatino Linotype"/>
          <w:sz w:val="24"/>
          <w:szCs w:val="24"/>
        </w:rPr>
        <w:t>any</w:t>
      </w:r>
      <w:r w:rsidRPr="00221288">
        <w:rPr>
          <w:rFonts w:ascii="Palatino Linotype" w:hAnsi="Palatino Linotype"/>
          <w:sz w:val="24"/>
          <w:szCs w:val="24"/>
        </w:rPr>
        <w:t xml:space="preserve"> excess generation credits or excess delivery credits</w:t>
      </w:r>
      <w:r w:rsidRPr="00221288" w:rsidR="003E1D57">
        <w:rPr>
          <w:rFonts w:ascii="Palatino Linotype" w:hAnsi="Palatino Linotype"/>
          <w:sz w:val="24"/>
          <w:szCs w:val="24"/>
        </w:rPr>
        <w:t xml:space="preserve"> remaining at the end of a </w:t>
      </w:r>
      <w:r w:rsidR="00824FD3">
        <w:rPr>
          <w:rFonts w:ascii="Palatino Linotype" w:hAnsi="Palatino Linotype"/>
          <w:sz w:val="24"/>
          <w:szCs w:val="24"/>
        </w:rPr>
        <w:br/>
      </w:r>
      <w:r w:rsidRPr="00221288" w:rsidR="003E1D57">
        <w:rPr>
          <w:rFonts w:ascii="Palatino Linotype" w:hAnsi="Palatino Linotype"/>
          <w:sz w:val="24"/>
          <w:szCs w:val="24"/>
        </w:rPr>
        <w:t>customer’s relevant period (true-up period)</w:t>
      </w:r>
      <w:r w:rsidRPr="00221288" w:rsidR="003C4011">
        <w:rPr>
          <w:rFonts w:ascii="Palatino Linotype" w:hAnsi="Palatino Linotype"/>
          <w:sz w:val="24"/>
          <w:szCs w:val="24"/>
        </w:rPr>
        <w:t xml:space="preserve"> </w:t>
      </w:r>
      <w:r w:rsidRPr="00221288" w:rsidR="007B43C3">
        <w:rPr>
          <w:rFonts w:ascii="Palatino Linotype" w:hAnsi="Palatino Linotype"/>
          <w:sz w:val="24"/>
          <w:szCs w:val="24"/>
        </w:rPr>
        <w:t>be</w:t>
      </w:r>
      <w:r w:rsidRPr="00221288">
        <w:rPr>
          <w:rFonts w:ascii="Palatino Linotype" w:hAnsi="Palatino Linotype"/>
          <w:sz w:val="24"/>
          <w:szCs w:val="24"/>
        </w:rPr>
        <w:t xml:space="preserve"> carried forward to the </w:t>
      </w:r>
      <w:r w:rsidRPr="00221288" w:rsidR="007B43C3">
        <w:rPr>
          <w:rFonts w:ascii="Palatino Linotype" w:hAnsi="Palatino Linotype"/>
          <w:sz w:val="24"/>
          <w:szCs w:val="24"/>
        </w:rPr>
        <w:t>customer’s</w:t>
      </w:r>
      <w:r w:rsidRPr="00221288">
        <w:rPr>
          <w:rFonts w:ascii="Palatino Linotype" w:hAnsi="Palatino Linotype"/>
          <w:sz w:val="24"/>
          <w:szCs w:val="24"/>
        </w:rPr>
        <w:t xml:space="preserve"> next relevant period.</w:t>
      </w:r>
    </w:p>
    <w:p w:rsidRPr="00221288" w:rsidR="002C75B2" w:rsidP="002C75B2" w:rsidRDefault="002C75B2" w14:paraId="5B57E71A" w14:textId="77777777">
      <w:pPr>
        <w:pStyle w:val="ListParagraph"/>
        <w:numPr>
          <w:ilvl w:val="0"/>
          <w:numId w:val="33"/>
        </w:numPr>
        <w:spacing w:after="0" w:line="240" w:lineRule="auto"/>
        <w:rPr>
          <w:rFonts w:ascii="Palatino Linotype" w:hAnsi="Palatino Linotype"/>
          <w:sz w:val="24"/>
          <w:szCs w:val="24"/>
        </w:rPr>
      </w:pPr>
      <w:r w:rsidRPr="00221288">
        <w:rPr>
          <w:rFonts w:ascii="Palatino Linotype" w:hAnsi="Palatino Linotype"/>
          <w:sz w:val="24"/>
          <w:szCs w:val="24"/>
        </w:rPr>
        <w:t>PG&amp;E and SDG&amp;E shall remove the language prohibiting net billing tariff customers from being compensated for exports in demand response programs.</w:t>
      </w:r>
    </w:p>
    <w:p w:rsidRPr="00221288" w:rsidR="00B0234F" w:rsidP="003543C4" w:rsidRDefault="000E3A6A" w14:paraId="5C4BBE3E" w14:textId="1FB09C31">
      <w:pPr>
        <w:pStyle w:val="ListParagraph"/>
        <w:numPr>
          <w:ilvl w:val="0"/>
          <w:numId w:val="33"/>
        </w:numPr>
        <w:spacing w:after="0" w:line="240" w:lineRule="auto"/>
        <w:rPr>
          <w:rFonts w:ascii="Palatino Linotype" w:hAnsi="Palatino Linotype"/>
          <w:sz w:val="24"/>
          <w:szCs w:val="24"/>
        </w:rPr>
      </w:pPr>
      <w:r w:rsidRPr="00221288">
        <w:rPr>
          <w:rFonts w:ascii="Palatino Linotype" w:hAnsi="Palatino Linotype"/>
          <w:sz w:val="24"/>
          <w:szCs w:val="24"/>
        </w:rPr>
        <w:t xml:space="preserve">PG&amp;E and SDG&amp;E shall clarify </w:t>
      </w:r>
      <w:r w:rsidRPr="00221288" w:rsidR="00B736A9">
        <w:rPr>
          <w:rFonts w:ascii="Palatino Linotype" w:hAnsi="Palatino Linotype"/>
          <w:sz w:val="24"/>
          <w:szCs w:val="24"/>
        </w:rPr>
        <w:t>the</w:t>
      </w:r>
      <w:r w:rsidRPr="00221288">
        <w:rPr>
          <w:rFonts w:ascii="Palatino Linotype" w:hAnsi="Palatino Linotype"/>
          <w:sz w:val="24"/>
          <w:szCs w:val="24"/>
        </w:rPr>
        <w:t xml:space="preserve"> </w:t>
      </w:r>
      <w:r w:rsidRPr="00221288" w:rsidR="001D5EDA">
        <w:rPr>
          <w:rFonts w:ascii="Palatino Linotype" w:hAnsi="Palatino Linotype"/>
          <w:sz w:val="24"/>
          <w:szCs w:val="24"/>
        </w:rPr>
        <w:t xml:space="preserve">criteria for </w:t>
      </w:r>
      <w:r w:rsidRPr="00221288">
        <w:rPr>
          <w:rFonts w:ascii="Palatino Linotype" w:hAnsi="Palatino Linotype"/>
          <w:sz w:val="24"/>
          <w:szCs w:val="24"/>
        </w:rPr>
        <w:t>determin</w:t>
      </w:r>
      <w:r w:rsidRPr="00221288" w:rsidR="00B736A9">
        <w:rPr>
          <w:rFonts w:ascii="Palatino Linotype" w:hAnsi="Palatino Linotype"/>
          <w:sz w:val="24"/>
          <w:szCs w:val="24"/>
        </w:rPr>
        <w:t>i</w:t>
      </w:r>
      <w:r w:rsidRPr="00221288" w:rsidR="001D5EDA">
        <w:rPr>
          <w:rFonts w:ascii="Palatino Linotype" w:hAnsi="Palatino Linotype"/>
          <w:sz w:val="24"/>
          <w:szCs w:val="24"/>
        </w:rPr>
        <w:t>ng</w:t>
      </w:r>
      <w:r w:rsidRPr="00221288">
        <w:rPr>
          <w:rFonts w:ascii="Palatino Linotype" w:hAnsi="Palatino Linotype"/>
          <w:sz w:val="24"/>
          <w:szCs w:val="24"/>
        </w:rPr>
        <w:t xml:space="preserve"> eligibility for the retail export compensation rate lock-in period </w:t>
      </w:r>
      <w:r w:rsidRPr="00221288" w:rsidR="001D5EDA">
        <w:rPr>
          <w:rFonts w:ascii="Palatino Linotype" w:hAnsi="Palatino Linotype"/>
          <w:sz w:val="24"/>
          <w:szCs w:val="24"/>
        </w:rPr>
        <w:t>as</w:t>
      </w:r>
      <w:r w:rsidRPr="00221288">
        <w:rPr>
          <w:rFonts w:ascii="Palatino Linotype" w:hAnsi="Palatino Linotype"/>
          <w:sz w:val="24"/>
          <w:szCs w:val="24"/>
        </w:rPr>
        <w:t xml:space="preserve"> directed </w:t>
      </w:r>
      <w:r w:rsidRPr="00221288" w:rsidR="001D5EDA">
        <w:rPr>
          <w:rFonts w:ascii="Palatino Linotype" w:hAnsi="Palatino Linotype"/>
          <w:sz w:val="24"/>
          <w:szCs w:val="24"/>
        </w:rPr>
        <w:t>in the Discussion section of this Resolution</w:t>
      </w:r>
      <w:r w:rsidRPr="00221288">
        <w:rPr>
          <w:rFonts w:ascii="Palatino Linotype" w:hAnsi="Palatino Linotype"/>
          <w:sz w:val="24"/>
          <w:szCs w:val="24"/>
        </w:rPr>
        <w:t>.</w:t>
      </w:r>
    </w:p>
    <w:p w:rsidRPr="00221288" w:rsidR="007B3940" w:rsidP="007B3940" w:rsidRDefault="007B3940" w14:paraId="61A9B49A" w14:textId="77777777">
      <w:pPr>
        <w:pStyle w:val="ListParagraph"/>
        <w:numPr>
          <w:ilvl w:val="0"/>
          <w:numId w:val="33"/>
        </w:numPr>
        <w:spacing w:after="0" w:line="240" w:lineRule="auto"/>
        <w:rPr>
          <w:rFonts w:ascii="Palatino Linotype" w:hAnsi="Palatino Linotype"/>
          <w:sz w:val="24"/>
          <w:szCs w:val="24"/>
        </w:rPr>
      </w:pPr>
      <w:r w:rsidRPr="00221288">
        <w:rPr>
          <w:rFonts w:ascii="Palatino Linotype" w:hAnsi="Palatino Linotype"/>
          <w:sz w:val="24"/>
          <w:szCs w:val="24"/>
        </w:rPr>
        <w:t>SDG&amp;E shall make the retail export compensation rate lock-in period nine years from the date of interconnection, effective (retroactively to) April 15, 2023.</w:t>
      </w:r>
    </w:p>
    <w:p w:rsidRPr="00221288" w:rsidR="00323685" w:rsidP="003543C4" w:rsidRDefault="001B1890" w14:paraId="38993736" w14:textId="44A5C627">
      <w:pPr>
        <w:pStyle w:val="ListParagraph"/>
        <w:numPr>
          <w:ilvl w:val="0"/>
          <w:numId w:val="33"/>
        </w:numPr>
        <w:spacing w:after="0" w:line="240" w:lineRule="auto"/>
        <w:rPr>
          <w:rFonts w:ascii="Palatino Linotype" w:hAnsi="Palatino Linotype"/>
          <w:sz w:val="24"/>
          <w:szCs w:val="24"/>
        </w:rPr>
      </w:pPr>
      <w:r w:rsidRPr="00221288">
        <w:rPr>
          <w:rFonts w:ascii="Palatino Linotype" w:hAnsi="Palatino Linotype"/>
          <w:sz w:val="24"/>
          <w:szCs w:val="24"/>
        </w:rPr>
        <w:t>SDG&amp;E shall end the five-year glide path</w:t>
      </w:r>
      <w:r w:rsidRPr="00221288" w:rsidR="0038612A">
        <w:rPr>
          <w:rFonts w:ascii="Palatino Linotype" w:hAnsi="Palatino Linotype"/>
          <w:sz w:val="24"/>
          <w:szCs w:val="24"/>
        </w:rPr>
        <w:t>, and customer eligibility for a legacy period,</w:t>
      </w:r>
      <w:r w:rsidRPr="00221288">
        <w:rPr>
          <w:rFonts w:ascii="Palatino Linotype" w:hAnsi="Palatino Linotype"/>
          <w:sz w:val="24"/>
          <w:szCs w:val="24"/>
        </w:rPr>
        <w:t xml:space="preserve"> after December 31, 2027.</w:t>
      </w:r>
    </w:p>
    <w:p w:rsidRPr="00221288" w:rsidR="00531326" w:rsidP="003543C4" w:rsidRDefault="00531326" w14:paraId="5CDA00F4" w14:textId="3CE19056">
      <w:pPr>
        <w:pStyle w:val="ListParagraph"/>
        <w:numPr>
          <w:ilvl w:val="0"/>
          <w:numId w:val="33"/>
        </w:numPr>
        <w:spacing w:after="0" w:line="240" w:lineRule="auto"/>
        <w:rPr>
          <w:rFonts w:ascii="Palatino Linotype" w:hAnsi="Palatino Linotype"/>
          <w:sz w:val="24"/>
          <w:szCs w:val="24"/>
        </w:rPr>
      </w:pPr>
      <w:r w:rsidRPr="00221288">
        <w:rPr>
          <w:rFonts w:ascii="Palatino Linotype" w:hAnsi="Palatino Linotype"/>
          <w:sz w:val="24"/>
          <w:szCs w:val="24"/>
        </w:rPr>
        <w:t>SDG&amp;E shall p</w:t>
      </w:r>
      <w:r w:rsidRPr="00221288" w:rsidR="00C41548">
        <w:rPr>
          <w:rFonts w:ascii="Palatino Linotype" w:hAnsi="Palatino Linotype"/>
          <w:sz w:val="24"/>
          <w:szCs w:val="24"/>
        </w:rPr>
        <w:t>rovide</w:t>
      </w:r>
      <w:r w:rsidRPr="00221288" w:rsidR="00314E12">
        <w:rPr>
          <w:rFonts w:ascii="Palatino Linotype" w:hAnsi="Palatino Linotype"/>
          <w:sz w:val="24"/>
          <w:szCs w:val="24"/>
        </w:rPr>
        <w:t xml:space="preserve"> that </w:t>
      </w:r>
      <w:r w:rsidRPr="00221288" w:rsidR="00BF2830">
        <w:rPr>
          <w:rFonts w:ascii="Palatino Linotype" w:hAnsi="Palatino Linotype"/>
          <w:sz w:val="24"/>
          <w:szCs w:val="24"/>
        </w:rPr>
        <w:t xml:space="preserve">the requirement </w:t>
      </w:r>
      <w:r w:rsidRPr="00221288" w:rsidR="00E74336">
        <w:rPr>
          <w:rFonts w:ascii="Palatino Linotype" w:hAnsi="Palatino Linotype"/>
          <w:sz w:val="24"/>
          <w:szCs w:val="24"/>
        </w:rPr>
        <w:t>affecting</w:t>
      </w:r>
      <w:r w:rsidRPr="00221288" w:rsidR="00BF2830">
        <w:rPr>
          <w:rFonts w:ascii="Palatino Linotype" w:hAnsi="Palatino Linotype"/>
          <w:sz w:val="24"/>
          <w:szCs w:val="24"/>
        </w:rPr>
        <w:t xml:space="preserve"> c</w:t>
      </w:r>
      <w:r w:rsidRPr="00221288" w:rsidR="001E3042">
        <w:rPr>
          <w:rFonts w:ascii="Palatino Linotype" w:hAnsi="Palatino Linotype"/>
          <w:sz w:val="24"/>
          <w:szCs w:val="24"/>
        </w:rPr>
        <w:t xml:space="preserve">ustomers making modifications and/or additions to their Renewable Electrical </w:t>
      </w:r>
      <w:r w:rsidRPr="00221288" w:rsidR="001E3042">
        <w:rPr>
          <w:rFonts w:ascii="Palatino Linotype" w:hAnsi="Palatino Linotype"/>
          <w:sz w:val="24"/>
          <w:szCs w:val="24"/>
        </w:rPr>
        <w:lastRenderedPageBreak/>
        <w:t xml:space="preserve">Generating Facility that exceed 10 percent or 1 kW will only be enforced upon the development of a new </w:t>
      </w:r>
      <w:r w:rsidRPr="00221288" w:rsidR="00E74336">
        <w:rPr>
          <w:rFonts w:ascii="Palatino Linotype" w:hAnsi="Palatino Linotype"/>
          <w:sz w:val="24"/>
          <w:szCs w:val="24"/>
        </w:rPr>
        <w:t>net billing tariff s</w:t>
      </w:r>
      <w:r w:rsidRPr="00221288" w:rsidR="001E3042">
        <w:rPr>
          <w:rFonts w:ascii="Palatino Linotype" w:hAnsi="Palatino Linotype"/>
          <w:sz w:val="24"/>
          <w:szCs w:val="24"/>
        </w:rPr>
        <w:t xml:space="preserve">uccessor </w:t>
      </w:r>
      <w:r w:rsidRPr="00221288" w:rsidR="00E74336">
        <w:rPr>
          <w:rFonts w:ascii="Palatino Linotype" w:hAnsi="Palatino Linotype"/>
          <w:sz w:val="24"/>
          <w:szCs w:val="24"/>
        </w:rPr>
        <w:t>t</w:t>
      </w:r>
      <w:r w:rsidRPr="00221288" w:rsidR="001E3042">
        <w:rPr>
          <w:rFonts w:ascii="Palatino Linotype" w:hAnsi="Palatino Linotype"/>
          <w:sz w:val="24"/>
          <w:szCs w:val="24"/>
        </w:rPr>
        <w:t xml:space="preserve">ariff, or by the direction of the </w:t>
      </w:r>
      <w:r w:rsidRPr="00221288" w:rsidR="00E74336">
        <w:rPr>
          <w:rFonts w:ascii="Palatino Linotype" w:hAnsi="Palatino Linotype"/>
          <w:sz w:val="24"/>
          <w:szCs w:val="24"/>
        </w:rPr>
        <w:t>Commission.</w:t>
      </w:r>
    </w:p>
    <w:p w:rsidRPr="00221288" w:rsidR="00FA21C3" w:rsidP="00FA21C3" w:rsidRDefault="00FA21C3" w14:paraId="32F058E1" w14:textId="77777777">
      <w:pPr>
        <w:pStyle w:val="ListParagraph"/>
        <w:numPr>
          <w:ilvl w:val="0"/>
          <w:numId w:val="33"/>
        </w:numPr>
        <w:spacing w:after="0" w:line="240" w:lineRule="auto"/>
        <w:rPr>
          <w:rFonts w:ascii="Palatino Linotype" w:hAnsi="Palatino Linotype"/>
          <w:sz w:val="24"/>
          <w:szCs w:val="24"/>
        </w:rPr>
      </w:pPr>
      <w:r w:rsidRPr="00221288">
        <w:rPr>
          <w:rFonts w:ascii="Palatino Linotype" w:hAnsi="Palatino Linotype"/>
          <w:sz w:val="24"/>
          <w:szCs w:val="24"/>
        </w:rPr>
        <w:t>PG&amp;E and SDG&amp;E shall require that customers applying to oversize their systems expect increased usage to materialize within 12 months of interconnection.</w:t>
      </w:r>
    </w:p>
    <w:p w:rsidRPr="00221288" w:rsidR="00D1605C" w:rsidP="003543C4" w:rsidRDefault="0045472C" w14:paraId="1CDABCCA" w14:textId="5A28F03A">
      <w:pPr>
        <w:pStyle w:val="ListParagraph"/>
        <w:numPr>
          <w:ilvl w:val="0"/>
          <w:numId w:val="33"/>
        </w:numPr>
        <w:spacing w:after="0" w:line="240" w:lineRule="auto"/>
        <w:rPr>
          <w:rFonts w:ascii="Palatino Linotype" w:hAnsi="Palatino Linotype"/>
          <w:sz w:val="24"/>
          <w:szCs w:val="24"/>
        </w:rPr>
      </w:pPr>
      <w:r w:rsidRPr="00221288">
        <w:rPr>
          <w:rFonts w:ascii="Palatino Linotype" w:hAnsi="Palatino Linotype"/>
          <w:sz w:val="24"/>
          <w:szCs w:val="24"/>
        </w:rPr>
        <w:t xml:space="preserve">PG&amp;E and SDG&amp;E shall </w:t>
      </w:r>
      <w:r w:rsidRPr="00221288" w:rsidR="00616721">
        <w:rPr>
          <w:rFonts w:ascii="Palatino Linotype" w:hAnsi="Palatino Linotype"/>
          <w:sz w:val="24"/>
          <w:szCs w:val="24"/>
        </w:rPr>
        <w:t>align th</w:t>
      </w:r>
      <w:r w:rsidRPr="00221288" w:rsidR="0015578F">
        <w:rPr>
          <w:rFonts w:ascii="Palatino Linotype" w:hAnsi="Palatino Linotype"/>
          <w:sz w:val="24"/>
          <w:szCs w:val="24"/>
        </w:rPr>
        <w:t xml:space="preserve">eir </w:t>
      </w:r>
      <w:r w:rsidRPr="00221288" w:rsidR="00275DAE">
        <w:rPr>
          <w:rFonts w:ascii="Palatino Linotype" w:hAnsi="Palatino Linotype"/>
          <w:sz w:val="24"/>
          <w:szCs w:val="24"/>
        </w:rPr>
        <w:t xml:space="preserve">rules for </w:t>
      </w:r>
      <w:r w:rsidRPr="00221288" w:rsidR="0015578F">
        <w:rPr>
          <w:rFonts w:ascii="Palatino Linotype" w:hAnsi="Palatino Linotype"/>
          <w:sz w:val="24"/>
          <w:szCs w:val="24"/>
        </w:rPr>
        <w:t>the calculation of system size</w:t>
      </w:r>
      <w:r w:rsidRPr="00221288" w:rsidR="00275DAE">
        <w:rPr>
          <w:rFonts w:ascii="Palatino Linotype" w:hAnsi="Palatino Linotype"/>
          <w:sz w:val="24"/>
          <w:szCs w:val="24"/>
        </w:rPr>
        <w:t xml:space="preserve"> with </w:t>
      </w:r>
      <w:r w:rsidRPr="00221288" w:rsidR="003A58E6">
        <w:rPr>
          <w:rFonts w:ascii="Palatino Linotype" w:hAnsi="Palatino Linotype"/>
          <w:sz w:val="24"/>
          <w:szCs w:val="24"/>
        </w:rPr>
        <w:t>those proposed by SCE and approved in this Resolution.</w:t>
      </w:r>
    </w:p>
    <w:p w:rsidRPr="00221288" w:rsidR="008A43BB" w:rsidP="00E74F24" w:rsidRDefault="00DB48A6" w14:paraId="5044CE18" w14:textId="06D92A4C">
      <w:pPr>
        <w:pStyle w:val="ListParagraph"/>
        <w:numPr>
          <w:ilvl w:val="0"/>
          <w:numId w:val="33"/>
        </w:numPr>
        <w:spacing w:after="0" w:line="240" w:lineRule="auto"/>
        <w:rPr>
          <w:rFonts w:ascii="Palatino Linotype" w:hAnsi="Palatino Linotype"/>
          <w:sz w:val="24"/>
          <w:szCs w:val="24"/>
        </w:rPr>
      </w:pPr>
      <w:r w:rsidRPr="00221288">
        <w:rPr>
          <w:rFonts w:ascii="Palatino Linotype" w:hAnsi="Palatino Linotype"/>
          <w:sz w:val="24"/>
          <w:szCs w:val="24"/>
        </w:rPr>
        <w:t>SDG&amp;E shall remove its proposed requirement to request a change in relevant period at least 60 days prior to the start date of the new relevant period</w:t>
      </w:r>
      <w:r w:rsidRPr="00221288" w:rsidR="0001799E">
        <w:rPr>
          <w:rFonts w:ascii="Palatino Linotype" w:hAnsi="Palatino Linotype"/>
          <w:sz w:val="24"/>
          <w:szCs w:val="24"/>
        </w:rPr>
        <w:t>.</w:t>
      </w:r>
    </w:p>
    <w:p w:rsidRPr="00221288" w:rsidR="00E74F24" w:rsidP="00E74F24" w:rsidRDefault="00E74F24" w14:paraId="0EC7694D" w14:textId="77777777">
      <w:pPr>
        <w:rPr>
          <w:rFonts w:ascii="Palatino Linotype" w:hAnsi="Palatino Linotype"/>
        </w:rPr>
      </w:pPr>
    </w:p>
    <w:p w:rsidRPr="00221288" w:rsidR="001572C0" w:rsidP="003543C4" w:rsidRDefault="001572C0" w14:paraId="3CCD6C57" w14:textId="206F5B8C">
      <w:pPr>
        <w:pStyle w:val="ListParagraph"/>
        <w:numPr>
          <w:ilvl w:val="0"/>
          <w:numId w:val="30"/>
        </w:numPr>
        <w:spacing w:after="0" w:line="240" w:lineRule="auto"/>
        <w:rPr>
          <w:rFonts w:ascii="Palatino Linotype" w:hAnsi="Palatino Linotype"/>
          <w:sz w:val="24"/>
          <w:szCs w:val="24"/>
        </w:rPr>
      </w:pPr>
      <w:r w:rsidRPr="00221288">
        <w:rPr>
          <w:rFonts w:ascii="Palatino Linotype" w:hAnsi="Palatino Linotype"/>
          <w:sz w:val="24"/>
          <w:szCs w:val="24"/>
        </w:rPr>
        <w:t xml:space="preserve">The Director </w:t>
      </w:r>
      <w:r w:rsidRPr="00221288" w:rsidR="00D1578A">
        <w:rPr>
          <w:rFonts w:ascii="Palatino Linotype" w:hAnsi="Palatino Linotype"/>
          <w:sz w:val="24"/>
          <w:szCs w:val="24"/>
        </w:rPr>
        <w:t>of the</w:t>
      </w:r>
      <w:r w:rsidRPr="00221288">
        <w:rPr>
          <w:rFonts w:ascii="Palatino Linotype" w:hAnsi="Palatino Linotype"/>
          <w:sz w:val="24"/>
          <w:szCs w:val="24"/>
        </w:rPr>
        <w:t xml:space="preserve"> Energy </w:t>
      </w:r>
      <w:r w:rsidRPr="00221288" w:rsidR="00D1578A">
        <w:rPr>
          <w:rFonts w:ascii="Palatino Linotype" w:hAnsi="Palatino Linotype"/>
          <w:sz w:val="24"/>
          <w:szCs w:val="24"/>
        </w:rPr>
        <w:t>Division</w:t>
      </w:r>
      <w:r w:rsidRPr="00221288" w:rsidR="00AB667F">
        <w:rPr>
          <w:rFonts w:ascii="Palatino Linotype" w:hAnsi="Palatino Linotype"/>
          <w:sz w:val="24"/>
          <w:szCs w:val="24"/>
        </w:rPr>
        <w:t>, or their designee,</w:t>
      </w:r>
      <w:r w:rsidRPr="00221288">
        <w:rPr>
          <w:rFonts w:ascii="Palatino Linotype" w:hAnsi="Palatino Linotype"/>
          <w:sz w:val="24"/>
          <w:szCs w:val="24"/>
        </w:rPr>
        <w:t xml:space="preserve"> is granted authority to make changes to the</w:t>
      </w:r>
      <w:r w:rsidRPr="00221288" w:rsidR="00AB667F">
        <w:rPr>
          <w:rFonts w:ascii="Palatino Linotype" w:hAnsi="Palatino Linotype"/>
          <w:sz w:val="24"/>
          <w:szCs w:val="24"/>
        </w:rPr>
        <w:t xml:space="preserve"> utilities’</w:t>
      </w:r>
      <w:r w:rsidRPr="00221288">
        <w:rPr>
          <w:rFonts w:ascii="Palatino Linotype" w:hAnsi="Palatino Linotype"/>
          <w:sz w:val="24"/>
          <w:szCs w:val="24"/>
        </w:rPr>
        <w:t xml:space="preserve"> respective interconnection portals.</w:t>
      </w:r>
    </w:p>
    <w:p w:rsidRPr="00221288" w:rsidR="00790351" w:rsidP="003277F4" w:rsidRDefault="00790351" w14:paraId="696522E0" w14:textId="77777777">
      <w:pPr>
        <w:rPr>
          <w:rFonts w:ascii="Palatino Linotype" w:hAnsi="Palatino Linotype"/>
        </w:rPr>
      </w:pPr>
    </w:p>
    <w:p w:rsidRPr="00221288" w:rsidR="00B91541" w:rsidP="002415DE" w:rsidRDefault="003277F4" w14:paraId="7A3F0F14" w14:textId="55DD45ED">
      <w:pPr>
        <w:rPr>
          <w:rFonts w:ascii="Palatino Linotype" w:hAnsi="Palatino Linotype"/>
        </w:rPr>
      </w:pPr>
      <w:r w:rsidRPr="00221288">
        <w:rPr>
          <w:rFonts w:ascii="Palatino Linotype" w:hAnsi="Palatino Linotype"/>
        </w:rPr>
        <w:t xml:space="preserve">This Resolution is effective </w:t>
      </w:r>
      <w:r w:rsidR="00824FD3">
        <w:rPr>
          <w:rFonts w:ascii="Palatino Linotype" w:hAnsi="Palatino Linotype"/>
        </w:rPr>
        <w:t>today</w:t>
      </w:r>
      <w:r w:rsidRPr="00221288">
        <w:rPr>
          <w:rFonts w:ascii="Palatino Linotype" w:hAnsi="Palatino Linotype"/>
        </w:rPr>
        <w:t>.</w:t>
      </w:r>
    </w:p>
    <w:p w:rsidRPr="00221288" w:rsidR="00744D12" w:rsidP="002415DE" w:rsidRDefault="00744D12" w14:paraId="1F6B2757" w14:textId="77777777">
      <w:pPr>
        <w:rPr>
          <w:rFonts w:ascii="Palatino Linotype" w:hAnsi="Palatino Linotype"/>
        </w:rPr>
      </w:pPr>
    </w:p>
    <w:p w:rsidRPr="00221288" w:rsidR="00744D12" w:rsidP="00744D12" w:rsidRDefault="00744D12" w14:paraId="720CE511" w14:textId="604B292A">
      <w:pPr>
        <w:rPr>
          <w:rFonts w:ascii="Palatino Linotype" w:hAnsi="Palatino Linotype"/>
        </w:rPr>
      </w:pPr>
      <w:r w:rsidRPr="00221288">
        <w:rPr>
          <w:rFonts w:ascii="Palatino Linotype" w:hAnsi="Palatino Linotype"/>
        </w:rPr>
        <w:t>I certify that the foregoing resolution was duly introduced, passed, and adopted at a conference of the Public Utilities Commission of the State of California held on November 30, 2023; the following Commissioners voting favorably thereon: </w:t>
      </w:r>
    </w:p>
    <w:p w:rsidRPr="00221288" w:rsidR="00744D12" w:rsidP="00744D12" w:rsidRDefault="00744D12" w14:paraId="73BCB369" w14:textId="79B874DF">
      <w:pPr>
        <w:rPr>
          <w:rFonts w:ascii="Palatino Linotype" w:hAnsi="Palatino Linotype"/>
        </w:rPr>
      </w:pPr>
    </w:p>
    <w:p w:rsidRPr="00221288" w:rsidR="00744D12" w:rsidP="00744D12" w:rsidRDefault="00744D12" w14:paraId="293BC0A7" w14:textId="59179B94">
      <w:pPr>
        <w:rPr>
          <w:rFonts w:ascii="Palatino Linotype" w:hAnsi="Palatino Linotype"/>
        </w:rPr>
      </w:pPr>
    </w:p>
    <w:p w:rsidRPr="00221288" w:rsidR="00744D12" w:rsidP="00744D12" w:rsidRDefault="00744D12" w14:paraId="745A83BB" w14:textId="07E9C843">
      <w:pPr>
        <w:rPr>
          <w:rFonts w:ascii="Palatino Linotype" w:hAnsi="Palatino Linotype"/>
        </w:rPr>
      </w:pPr>
    </w:p>
    <w:p w:rsidRPr="00221288" w:rsidR="00744D12" w:rsidP="00744D12" w:rsidRDefault="00744D12" w14:paraId="4F7C9E8F" w14:textId="675610AA">
      <w:pPr>
        <w:rPr>
          <w:rFonts w:ascii="Palatino Linotype" w:hAnsi="Palatino Linotype"/>
        </w:rPr>
      </w:pPr>
    </w:p>
    <w:p w:rsidR="00744D12" w:rsidP="00824FD3" w:rsidRDefault="00824FD3" w14:paraId="7ADBB713" w14:textId="73DF28FB">
      <w:pPr>
        <w:jc w:val="center"/>
        <w:rPr>
          <w:rFonts w:ascii="Palatino Linotype" w:hAnsi="Palatino Linotype"/>
        </w:rPr>
      </w:pPr>
      <w:r>
        <w:rPr>
          <w:rFonts w:ascii="Palatino Linotype" w:hAnsi="Palatino Linotype"/>
        </w:rPr>
        <w:t xml:space="preserve">                                          </w:t>
      </w:r>
      <w:r w:rsidR="002A0702">
        <w:rPr>
          <w:rFonts w:ascii="Palatino Linotype" w:hAnsi="Palatino Linotype"/>
        </w:rPr>
        <w:t xml:space="preserve">                               </w:t>
      </w:r>
      <w:r>
        <w:rPr>
          <w:rFonts w:ascii="Palatino Linotype" w:hAnsi="Palatino Linotype"/>
        </w:rPr>
        <w:t xml:space="preserve">       </w:t>
      </w:r>
      <w:r w:rsidRPr="00221288" w:rsidR="00744D12">
        <w:rPr>
          <w:rFonts w:ascii="Palatino Linotype" w:hAnsi="Palatino Linotype"/>
        </w:rPr>
        <w:t>_____________________</w:t>
      </w:r>
    </w:p>
    <w:p w:rsidRPr="00824FD3" w:rsidR="00824FD3" w:rsidP="00824FD3" w:rsidRDefault="00824FD3" w14:paraId="6E675A63" w14:textId="77777777">
      <w:pPr>
        <w:jc w:val="center"/>
        <w:rPr>
          <w:rFonts w:ascii="Palatino Linotype" w:hAnsi="Palatino Linotype"/>
          <w:sz w:val="16"/>
          <w:szCs w:val="16"/>
        </w:rPr>
      </w:pPr>
    </w:p>
    <w:p w:rsidRPr="00221288" w:rsidR="00744D12" w:rsidP="00824FD3" w:rsidRDefault="00824FD3" w14:paraId="5A0B6004" w14:textId="74FAC488">
      <w:pPr>
        <w:tabs>
          <w:tab w:val="left" w:pos="4860"/>
          <w:tab w:val="center" w:pos="6120"/>
        </w:tabs>
        <w:ind w:left="2880"/>
        <w:rPr>
          <w:rFonts w:ascii="Palatino Linotype" w:hAnsi="Palatino Linotype"/>
        </w:rPr>
      </w:pPr>
      <w:r>
        <w:rPr>
          <w:rFonts w:ascii="Palatino Linotype" w:hAnsi="Palatino Linotype"/>
        </w:rPr>
        <w:tab/>
      </w:r>
      <w:r w:rsidR="002A0702">
        <w:rPr>
          <w:rFonts w:ascii="Palatino Linotype" w:hAnsi="Palatino Linotype"/>
        </w:rPr>
        <w:t xml:space="preserve">                </w:t>
      </w:r>
      <w:r w:rsidRPr="00221288" w:rsidR="00744D12">
        <w:rPr>
          <w:rFonts w:ascii="Palatino Linotype" w:hAnsi="Palatino Linotype"/>
        </w:rPr>
        <w:t>Rachel Peterson</w:t>
      </w:r>
    </w:p>
    <w:p w:rsidRPr="00221288" w:rsidR="00744D12" w:rsidP="00824FD3" w:rsidRDefault="00824FD3" w14:paraId="016F6D12" w14:textId="01B4F6F0">
      <w:pPr>
        <w:tabs>
          <w:tab w:val="left" w:pos="4815"/>
          <w:tab w:val="center" w:pos="6120"/>
        </w:tabs>
        <w:ind w:left="2880"/>
        <w:rPr>
          <w:rFonts w:ascii="Palatino Linotype" w:hAnsi="Palatino Linotype"/>
        </w:rPr>
      </w:pPr>
      <w:r>
        <w:rPr>
          <w:rFonts w:ascii="Palatino Linotype" w:hAnsi="Palatino Linotype"/>
        </w:rPr>
        <w:tab/>
      </w:r>
      <w:r w:rsidR="002A0702">
        <w:rPr>
          <w:rFonts w:ascii="Palatino Linotype" w:hAnsi="Palatino Linotype"/>
        </w:rPr>
        <w:t xml:space="preserve">                </w:t>
      </w:r>
      <w:r w:rsidRPr="00221288" w:rsidR="00744D12">
        <w:rPr>
          <w:rFonts w:ascii="Palatino Linotype" w:hAnsi="Palatino Linotype"/>
        </w:rPr>
        <w:t>Executive Director</w:t>
      </w:r>
    </w:p>
    <w:p w:rsidRPr="00221288" w:rsidR="00B91541" w:rsidP="00824FD3" w:rsidRDefault="00B91541" w14:paraId="59F58326" w14:textId="175ABBD2">
      <w:pPr>
        <w:jc w:val="center"/>
        <w:rPr>
          <w:rFonts w:ascii="Palatino Linotype" w:hAnsi="Palatino Linotype"/>
        </w:rPr>
      </w:pPr>
    </w:p>
    <w:sectPr w:rsidRPr="00221288" w:rsidR="00B91541" w:rsidSect="00221288">
      <w:headerReference w:type="default" r:id="rId11"/>
      <w:footerReference w:type="even" r:id="rId12"/>
      <w:footerReference w:type="default" r:id="rId13"/>
      <w:headerReference w:type="first" r:id="rId14"/>
      <w:footerReference w:type="first" r:id="rId15"/>
      <w:type w:val="continuous"/>
      <w:pgSz w:w="12240" w:h="15840" w:code="1"/>
      <w:pgMar w:top="720" w:right="1440" w:bottom="630" w:left="1440" w:header="720"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3C27" w14:textId="77777777" w:rsidR="000B6644" w:rsidRDefault="000B6644">
      <w:r>
        <w:separator/>
      </w:r>
    </w:p>
  </w:endnote>
  <w:endnote w:type="continuationSeparator" w:id="0">
    <w:p w14:paraId="5161E992" w14:textId="77777777" w:rsidR="000B6644" w:rsidRDefault="000B6644">
      <w:r>
        <w:continuationSeparator/>
      </w:r>
    </w:p>
  </w:endnote>
  <w:endnote w:type="continuationNotice" w:id="1">
    <w:p w14:paraId="25F0B988" w14:textId="77777777" w:rsidR="000B6644" w:rsidRDefault="000B6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0421" w14:textId="77777777" w:rsidR="008E297F" w:rsidRDefault="008E29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CD62F8" w14:textId="77777777" w:rsidR="008E297F" w:rsidRDefault="008E2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37293"/>
      <w:docPartObj>
        <w:docPartGallery w:val="Page Numbers (Bottom of Page)"/>
        <w:docPartUnique/>
      </w:docPartObj>
    </w:sdtPr>
    <w:sdtEndPr>
      <w:rPr>
        <w:noProof/>
      </w:rPr>
    </w:sdtEndPr>
    <w:sdtContent>
      <w:p w14:paraId="340F9153" w14:textId="4D54D394" w:rsidR="00666674" w:rsidRDefault="006666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2781" w14:textId="449DAFE9" w:rsidR="00221288" w:rsidRPr="00221288" w:rsidRDefault="000064A6" w:rsidP="000064A6">
    <w:pPr>
      <w:pStyle w:val="Footer"/>
      <w:tabs>
        <w:tab w:val="center" w:pos="4680"/>
      </w:tabs>
      <w:rPr>
        <w:caps/>
        <w:noProof/>
      </w:rPr>
    </w:pPr>
    <w:r w:rsidRPr="000064A6">
      <w:rPr>
        <w:rFonts w:ascii="Tahoma" w:hAnsi="Tahoma" w:cs="Tahoma"/>
        <w:sz w:val="20"/>
        <w:szCs w:val="20"/>
      </w:rPr>
      <w:t>520653275</w:t>
    </w:r>
    <w:r>
      <w:rPr>
        <w:caps/>
      </w:rPr>
      <w:tab/>
    </w:r>
    <w:r>
      <w:rPr>
        <w:caps/>
      </w:rPr>
      <w:tab/>
    </w:r>
    <w:r w:rsidR="00221288" w:rsidRPr="00221288">
      <w:rPr>
        <w:caps/>
      </w:rPr>
      <w:fldChar w:fldCharType="begin"/>
    </w:r>
    <w:r w:rsidR="00221288" w:rsidRPr="00221288">
      <w:rPr>
        <w:caps/>
      </w:rPr>
      <w:instrText xml:space="preserve"> PAGE   \* MERGEFORMAT </w:instrText>
    </w:r>
    <w:r w:rsidR="00221288" w:rsidRPr="00221288">
      <w:rPr>
        <w:caps/>
      </w:rPr>
      <w:fldChar w:fldCharType="separate"/>
    </w:r>
    <w:r w:rsidR="00221288" w:rsidRPr="00221288">
      <w:rPr>
        <w:caps/>
        <w:noProof/>
      </w:rPr>
      <w:t>2</w:t>
    </w:r>
    <w:r w:rsidR="00221288" w:rsidRPr="0022128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D145F" w14:textId="77777777" w:rsidR="000B6644" w:rsidRDefault="000B6644">
      <w:r>
        <w:separator/>
      </w:r>
    </w:p>
  </w:footnote>
  <w:footnote w:type="continuationSeparator" w:id="0">
    <w:p w14:paraId="4035160A" w14:textId="77777777" w:rsidR="000B6644" w:rsidRDefault="000B6644">
      <w:r>
        <w:continuationSeparator/>
      </w:r>
    </w:p>
  </w:footnote>
  <w:footnote w:type="continuationNotice" w:id="1">
    <w:p w14:paraId="12FC4B37" w14:textId="77777777" w:rsidR="000B6644" w:rsidRDefault="000B6644"/>
  </w:footnote>
  <w:footnote w:id="2">
    <w:p w14:paraId="642CCC08" w14:textId="383A6B67" w:rsidR="004C0CD5" w:rsidRDefault="004C0CD5">
      <w:pPr>
        <w:pStyle w:val="FootnoteText"/>
      </w:pPr>
      <w:r>
        <w:rPr>
          <w:rStyle w:val="FootnoteReference"/>
        </w:rPr>
        <w:footnoteRef/>
      </w:r>
      <w:r w:rsidR="00176A0E">
        <w:t xml:space="preserve"> </w:t>
      </w:r>
      <w:r w:rsidR="00176A0E" w:rsidRPr="00176A0E">
        <w:t>Pursuant to D.22-05-002, the Commission biannually updates forecasted ACC values as part of R.22-11-013, the Order Instituting Rulemaking to Consider Distributed Energy Resource Program Cost-Effectiveness Issues, Data Access and Use, and Equipment Performance Standards.</w:t>
      </w:r>
    </w:p>
  </w:footnote>
  <w:footnote w:id="3">
    <w:p w14:paraId="69F5CED5" w14:textId="6F5368AB" w:rsidR="00987CAA" w:rsidRDefault="00987CAA">
      <w:pPr>
        <w:pStyle w:val="FootnoteText"/>
      </w:pPr>
      <w:r>
        <w:rPr>
          <w:rStyle w:val="FootnoteReference"/>
        </w:rPr>
        <w:footnoteRef/>
      </w:r>
      <w:r>
        <w:t xml:space="preserve"> D.18-16-027 </w:t>
      </w:r>
      <w:r w:rsidR="00964F86">
        <w:t xml:space="preserve">adopted </w:t>
      </w:r>
      <w:r w:rsidR="007D6804" w:rsidRPr="007D6804">
        <w:t>programs to promote installation of renewable generation in disadvantaged communities</w:t>
      </w:r>
      <w:r w:rsidR="007D6804">
        <w:t>.</w:t>
      </w:r>
    </w:p>
  </w:footnote>
  <w:footnote w:id="4">
    <w:p w14:paraId="3247125D" w14:textId="0B17D771" w:rsidR="00C10110" w:rsidRDefault="00C10110">
      <w:pPr>
        <w:pStyle w:val="FootnoteText"/>
      </w:pPr>
      <w:r>
        <w:rPr>
          <w:rStyle w:val="FootnoteReference"/>
        </w:rPr>
        <w:footnoteRef/>
      </w:r>
      <w:r>
        <w:t xml:space="preserve"> </w:t>
      </w:r>
      <w:r>
        <w:rPr>
          <w:rFonts w:ascii="Garamond" w:hAnsi="Garamond"/>
        </w:rPr>
        <w:t>T</w:t>
      </w:r>
      <w:r w:rsidRPr="00700FE0">
        <w:rPr>
          <w:rFonts w:ascii="Garamond" w:hAnsi="Garamond"/>
        </w:rPr>
        <w:t>his is covered above under the heading “</w:t>
      </w:r>
      <w:r>
        <w:rPr>
          <w:rFonts w:ascii="Garamond" w:hAnsi="Garamond"/>
        </w:rPr>
        <w:t>Lock-In</w:t>
      </w:r>
      <w:r w:rsidRPr="00700FE0">
        <w:rPr>
          <w:rFonts w:ascii="Garamond" w:hAnsi="Garamond"/>
        </w:rPr>
        <w:t xml:space="preserve"> Period Eligibility and Glide Path Step Determining Dates.”</w:t>
      </w:r>
    </w:p>
  </w:footnote>
  <w:footnote w:id="5">
    <w:p w14:paraId="3BA5EB74" w14:textId="403F4F0A" w:rsidR="007D3192" w:rsidRDefault="007D3192">
      <w:pPr>
        <w:pStyle w:val="FootnoteText"/>
      </w:pPr>
      <w:r>
        <w:rPr>
          <w:rStyle w:val="FootnoteReference"/>
        </w:rPr>
        <w:footnoteRef/>
      </w:r>
      <w:r>
        <w:t xml:space="preserve"> </w:t>
      </w:r>
      <w:r w:rsidR="008B6893">
        <w:t>“</w:t>
      </w:r>
      <w:r w:rsidR="008B6893" w:rsidRPr="008B6893">
        <w:t>Pacific Gas and Electric Company’s Reply to the Protest from CALSSA and Response from SEIA to Advice 6848-E-A – Supplemental: Creating Pacific Gas and Electric Company’s New Net Billing Tariff (NBT) Rate Schedule Per Decision (D.) 22-12-056, Ordering Paragraph 12b</w:t>
      </w:r>
      <w:r w:rsidR="008B6893">
        <w:t>” at 4.</w:t>
      </w:r>
    </w:p>
  </w:footnote>
  <w:footnote w:id="6">
    <w:p w14:paraId="447A49FC" w14:textId="77777777" w:rsidR="00176A0E" w:rsidRDefault="00176A0E" w:rsidP="00176A0E">
      <w:pPr>
        <w:pStyle w:val="FootnoteText"/>
      </w:pPr>
      <w:r>
        <w:rPr>
          <w:rStyle w:val="FootnoteReference"/>
        </w:rPr>
        <w:footnoteRef/>
      </w:r>
      <w:r>
        <w:t xml:space="preserve"> </w:t>
      </w:r>
      <w:r w:rsidRPr="008D49B3">
        <w:t>D.14-03-041 established a transition, or legacy, period for customers enrolled in net energy metering tariffs.</w:t>
      </w:r>
    </w:p>
  </w:footnote>
  <w:footnote w:id="7">
    <w:p w14:paraId="2C0F0F98" w14:textId="711E734E" w:rsidR="008C3C91" w:rsidRDefault="008C3C91">
      <w:pPr>
        <w:pStyle w:val="FootnoteText"/>
      </w:pPr>
      <w:r>
        <w:rPr>
          <w:rStyle w:val="FootnoteReference"/>
        </w:rPr>
        <w:footnoteRef/>
      </w:r>
      <w:r w:rsidR="00A762E6">
        <w:t xml:space="preserve"> “</w:t>
      </w:r>
      <w:r w:rsidR="00A762E6" w:rsidRPr="00A762E6">
        <w:t>Pacific Gas and Electric Company’s Reply to the Protest from CALSSA and SEIA to Advice 6848-E – Creating Pacific Gas and Electric Company’s New Net Billing Tariff (NBT) Rate Schedule Per Decision (D.)22-12-056, Ordering Paragraphs 12b</w:t>
      </w:r>
      <w:r w:rsidR="00A762E6">
        <w:t>” at 7.</w:t>
      </w:r>
    </w:p>
  </w:footnote>
  <w:footnote w:id="8">
    <w:p w14:paraId="39685865" w14:textId="714C9125" w:rsidR="00991D60" w:rsidRDefault="00991D60">
      <w:pPr>
        <w:pStyle w:val="FootnoteText"/>
      </w:pPr>
      <w:r>
        <w:rPr>
          <w:rStyle w:val="FootnoteReference"/>
        </w:rPr>
        <w:footnoteRef/>
      </w:r>
      <w:r>
        <w:t xml:space="preserve"> </w:t>
      </w:r>
      <w:r w:rsidR="001B5F8F">
        <w:t>“</w:t>
      </w:r>
      <w:r w:rsidR="00377FFE" w:rsidRPr="00377FFE">
        <w:t>Reply to Solar Energy Industries Association and the California Solar &amp; Storage Association Protests of Southern California Edison Company’s Advice 4961-E</w:t>
      </w:r>
      <w:r w:rsidR="00377FFE">
        <w:t>” at 8</w:t>
      </w:r>
      <w:r w:rsidR="00A762E6">
        <w:t>.</w:t>
      </w:r>
    </w:p>
  </w:footnote>
  <w:footnote w:id="9">
    <w:p w14:paraId="5498E659" w14:textId="44421A5E" w:rsidR="00803B0F" w:rsidRDefault="00803B0F">
      <w:pPr>
        <w:pStyle w:val="FootnoteText"/>
      </w:pPr>
      <w:r>
        <w:rPr>
          <w:rStyle w:val="FootnoteReference"/>
        </w:rPr>
        <w:footnoteRef/>
      </w:r>
      <w:r>
        <w:t xml:space="preserve"> </w:t>
      </w:r>
      <w:r w:rsidR="00E90DF0">
        <w:t>“</w:t>
      </w:r>
      <w:r w:rsidR="00E90DF0" w:rsidRPr="00E90DF0">
        <w:t xml:space="preserve">Protest </w:t>
      </w:r>
      <w:r w:rsidR="00E90DF0">
        <w:t xml:space="preserve">[by SEIA] </w:t>
      </w:r>
      <w:r w:rsidR="00E90DF0" w:rsidRPr="00E90DF0">
        <w:t>of Southern California Edison Company Supplemental Advice 4961-E-A, Establishment of Southern California Edison Company’s Net Billing Tariff Pursuant to Decision 22-12-05</w:t>
      </w:r>
      <w:r w:rsidR="00E90DF0">
        <w:t>6” at 2</w:t>
      </w:r>
      <w:r w:rsidR="00A762E6">
        <w:t>.</w:t>
      </w:r>
    </w:p>
  </w:footnote>
  <w:footnote w:id="10">
    <w:p w14:paraId="6E5A3BFA" w14:textId="0EECC2D8" w:rsidR="000A1D18" w:rsidRDefault="000A1D18" w:rsidP="000A1D18">
      <w:pPr>
        <w:pStyle w:val="FootnoteText"/>
      </w:pPr>
      <w:r>
        <w:rPr>
          <w:rStyle w:val="FootnoteReference"/>
        </w:rPr>
        <w:footnoteRef/>
      </w:r>
      <w:r>
        <w:t xml:space="preserve"> D.21-02-007 outlined a set of guiding principles for the reform of NEM 2.0.</w:t>
      </w:r>
    </w:p>
  </w:footnote>
  <w:footnote w:id="11">
    <w:p w14:paraId="4E677FF1" w14:textId="78341F25" w:rsidR="007D1EDC" w:rsidRDefault="007D1EDC">
      <w:pPr>
        <w:pStyle w:val="FootnoteText"/>
      </w:pPr>
      <w:r>
        <w:rPr>
          <w:rStyle w:val="FootnoteReference"/>
        </w:rPr>
        <w:footnoteRef/>
      </w:r>
      <w:r>
        <w:t xml:space="preserve"> </w:t>
      </w:r>
      <w:r w:rsidR="0073586C">
        <w:t>D.22-12-056 at</w:t>
      </w:r>
      <w:r>
        <w:t xml:space="preserve"> 147</w:t>
      </w:r>
    </w:p>
  </w:footnote>
  <w:footnote w:id="12">
    <w:p w14:paraId="68AA90F4" w14:textId="40C49901" w:rsidR="00576675" w:rsidRDefault="00576675">
      <w:pPr>
        <w:pStyle w:val="FootnoteText"/>
      </w:pPr>
      <w:r>
        <w:rPr>
          <w:rStyle w:val="FootnoteReference"/>
        </w:rPr>
        <w:footnoteRef/>
      </w:r>
      <w:r>
        <w:t xml:space="preserve"> </w:t>
      </w:r>
      <w:r w:rsidR="007121A5">
        <w:t>D.</w:t>
      </w:r>
      <w:r w:rsidR="007121A5" w:rsidRPr="007121A5">
        <w:t>20-08-001</w:t>
      </w:r>
      <w:r w:rsidR="007121A5">
        <w:t xml:space="preserve"> </w:t>
      </w:r>
      <w:r w:rsidR="00207A3A" w:rsidRPr="00207A3A">
        <w:t>adopt</w:t>
      </w:r>
      <w:r w:rsidR="00207A3A">
        <w:t>ed</w:t>
      </w:r>
      <w:r w:rsidR="00207A3A" w:rsidRPr="00207A3A">
        <w:t xml:space="preserve"> standardized inputs and assumptions for calculating estimated </w:t>
      </w:r>
      <w:r w:rsidR="009B266E">
        <w:t xml:space="preserve">first year and first </w:t>
      </w:r>
      <w:r w:rsidR="00EF4231">
        <w:t>20</w:t>
      </w:r>
      <w:r w:rsidR="009B266E">
        <w:t xml:space="preserve"> years </w:t>
      </w:r>
      <w:r w:rsidR="00207A3A" w:rsidRPr="00207A3A">
        <w:t>electric utility bill savings from residential photovoltaic solar energy systems</w:t>
      </w:r>
      <w:r w:rsidR="00207A3A">
        <w:t>.</w:t>
      </w:r>
    </w:p>
  </w:footnote>
  <w:footnote w:id="13">
    <w:p w14:paraId="4D65EE9C" w14:textId="77777777" w:rsidR="002758B4" w:rsidRDefault="002758B4" w:rsidP="002758B4">
      <w:pPr>
        <w:pStyle w:val="FootnoteText"/>
      </w:pPr>
      <w:r>
        <w:rPr>
          <w:rStyle w:val="FootnoteReference"/>
        </w:rPr>
        <w:footnoteRef/>
      </w:r>
      <w:r>
        <w:t xml:space="preserve"> D.16-01-044 at 16. The Commission created the NEM 2.0 tariff in this decision.</w:t>
      </w:r>
    </w:p>
  </w:footnote>
  <w:footnote w:id="14">
    <w:p w14:paraId="34EACA2C" w14:textId="77777777" w:rsidR="00991AE0" w:rsidRDefault="00991AE0" w:rsidP="00991AE0">
      <w:pPr>
        <w:pStyle w:val="FootnoteText"/>
      </w:pPr>
      <w:r>
        <w:rPr>
          <w:rStyle w:val="FootnoteReference"/>
        </w:rPr>
        <w:footnoteRef/>
      </w:r>
      <w:r>
        <w:t xml:space="preserve"> D.22-12-056 at 163.</w:t>
      </w:r>
    </w:p>
  </w:footnote>
  <w:footnote w:id="15">
    <w:p w14:paraId="529CA717" w14:textId="54C47A63" w:rsidR="004B0AD6" w:rsidRDefault="004B0AD6">
      <w:pPr>
        <w:pStyle w:val="FootnoteText"/>
      </w:pPr>
      <w:r>
        <w:rPr>
          <w:rStyle w:val="FootnoteReference"/>
        </w:rPr>
        <w:footnoteRef/>
      </w:r>
      <w:r>
        <w:t xml:space="preserve"> </w:t>
      </w:r>
      <w:r w:rsidRPr="004B0AD6">
        <w:t>D.22-12-056, Ordering Paragraph 1 (a)</w:t>
      </w:r>
    </w:p>
  </w:footnote>
  <w:footnote w:id="16">
    <w:p w14:paraId="09D16E29" w14:textId="114D1B83" w:rsidR="00FC162A" w:rsidRDefault="00FC162A">
      <w:pPr>
        <w:pStyle w:val="FootnoteText"/>
      </w:pPr>
      <w:r>
        <w:rPr>
          <w:rStyle w:val="FootnoteReference"/>
        </w:rPr>
        <w:footnoteRef/>
      </w:r>
      <w:r>
        <w:t xml:space="preserve"> D.22-12-056</w:t>
      </w:r>
      <w:r w:rsidR="00694BF8">
        <w:t xml:space="preserve"> at</w:t>
      </w:r>
      <w:r>
        <w:t xml:space="preserve"> 146 and </w:t>
      </w:r>
      <w:r w:rsidR="008B4286">
        <w:t>Ordering Paragraph 1 (a) (“</w:t>
      </w:r>
      <w:r w:rsidR="008B4286" w:rsidRPr="008B4286">
        <w:t>the glide path transition time</w:t>
      </w:r>
      <w:r w:rsidR="008B4286">
        <w:t>”).</w:t>
      </w:r>
    </w:p>
  </w:footnote>
  <w:footnote w:id="17">
    <w:p w14:paraId="1DFE4150" w14:textId="728DDB35" w:rsidR="00017554" w:rsidRDefault="00017554">
      <w:pPr>
        <w:pStyle w:val="FootnoteText"/>
      </w:pPr>
      <w:r>
        <w:rPr>
          <w:rStyle w:val="FootnoteReference"/>
        </w:rPr>
        <w:footnoteRef/>
      </w:r>
      <w:r>
        <w:t xml:space="preserve"> </w:t>
      </w:r>
      <w:r w:rsidR="00B0054D">
        <w:t>D.22-12-056</w:t>
      </w:r>
      <w:r w:rsidR="00694BF8">
        <w:t xml:space="preserve"> at</w:t>
      </w:r>
      <w:r w:rsidR="00B0054D">
        <w:t xml:space="preserve"> 154-156</w:t>
      </w:r>
    </w:p>
  </w:footnote>
  <w:footnote w:id="18">
    <w:p w14:paraId="6598CA1F" w14:textId="1C38F721" w:rsidR="00E1288D" w:rsidRDefault="00E1288D">
      <w:pPr>
        <w:pStyle w:val="FootnoteText"/>
      </w:pPr>
      <w:r>
        <w:rPr>
          <w:rStyle w:val="FootnoteReference"/>
        </w:rPr>
        <w:footnoteRef/>
      </w:r>
      <w:r>
        <w:t xml:space="preserve"> </w:t>
      </w:r>
      <w:r w:rsidR="00844408">
        <w:t>D.22-12-056</w:t>
      </w:r>
      <w:r w:rsidR="00694BF8">
        <w:t xml:space="preserve"> at</w:t>
      </w:r>
      <w:r w:rsidR="00844408">
        <w:t xml:space="preserve">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B9BF" w14:textId="45AA42C9" w:rsidR="00221288" w:rsidRPr="0003738D" w:rsidRDefault="00221288" w:rsidP="00221288">
    <w:pPr>
      <w:pStyle w:val="Header"/>
      <w:tabs>
        <w:tab w:val="left" w:pos="2964"/>
      </w:tabs>
      <w:rPr>
        <w:rFonts w:ascii="Palatino Linotype" w:hAnsi="Palatino Linotype"/>
      </w:rPr>
    </w:pPr>
    <w:r w:rsidRPr="74B9B830">
      <w:rPr>
        <w:rFonts w:ascii="Palatino Linotype" w:hAnsi="Palatino Linotype"/>
      </w:rPr>
      <w:t>Resolution E-5</w:t>
    </w:r>
    <w:r>
      <w:rPr>
        <w:rFonts w:ascii="Palatino Linotype" w:hAnsi="Palatino Linotype"/>
      </w:rPr>
      <w:t>301</w:t>
    </w:r>
    <w:r>
      <w:tab/>
    </w:r>
    <w:r>
      <w:tab/>
    </w:r>
    <w:r w:rsidRPr="74B9B830">
      <w:rPr>
        <w:rFonts w:ascii="Palatino Linotype" w:hAnsi="Palatino Linotype"/>
      </w:rPr>
      <w:t>DRAFT</w:t>
    </w:r>
    <w:r>
      <w:tab/>
    </w:r>
    <w:r w:rsidR="00693E5B">
      <w:t xml:space="preserve">                  </w:t>
    </w:r>
    <w:r w:rsidRPr="74B9B830">
      <w:rPr>
        <w:rFonts w:ascii="Palatino Linotype" w:hAnsi="Palatino Linotype"/>
      </w:rPr>
      <w:t xml:space="preserve">November </w:t>
    </w:r>
    <w:r>
      <w:rPr>
        <w:rFonts w:ascii="Palatino Linotype" w:hAnsi="Palatino Linotype"/>
      </w:rPr>
      <w:t>30</w:t>
    </w:r>
    <w:r w:rsidRPr="74B9B830">
      <w:rPr>
        <w:rFonts w:ascii="Palatino Linotype" w:hAnsi="Palatino Linotype"/>
      </w:rPr>
      <w:t>, 2023</w:t>
    </w:r>
  </w:p>
  <w:p w14:paraId="5293C00F" w14:textId="6BB284B9" w:rsidR="00221288" w:rsidRDefault="00693E5B" w:rsidP="00221288">
    <w:pPr>
      <w:pStyle w:val="Header"/>
      <w:rPr>
        <w:rFonts w:ascii="Palatino Linotype" w:hAnsi="Palatino Linotype"/>
      </w:rPr>
    </w:pPr>
    <w:r w:rsidRPr="00693E5B">
      <w:rPr>
        <w:rFonts w:ascii="Palatino Linotype" w:hAnsi="Palatino Linotype"/>
      </w:rPr>
      <w:t>PG&amp;E</w:t>
    </w:r>
    <w:r>
      <w:rPr>
        <w:rFonts w:ascii="Palatino Linotype" w:hAnsi="Palatino Linotype"/>
      </w:rPr>
      <w:t xml:space="preserve"> </w:t>
    </w:r>
    <w:r w:rsidRPr="00693E5B">
      <w:rPr>
        <w:rFonts w:ascii="Palatino Linotype" w:hAnsi="Palatino Linotype"/>
      </w:rPr>
      <w:t>6848E,</w:t>
    </w:r>
    <w:r>
      <w:rPr>
        <w:rFonts w:ascii="Palatino Linotype" w:hAnsi="Palatino Linotype"/>
      </w:rPr>
      <w:t xml:space="preserve"> </w:t>
    </w:r>
    <w:r w:rsidRPr="00693E5B">
      <w:rPr>
        <w:rFonts w:ascii="Palatino Linotype" w:hAnsi="Palatino Linotype"/>
      </w:rPr>
      <w:t>SCE 4961E,</w:t>
    </w:r>
    <w:r>
      <w:rPr>
        <w:rFonts w:ascii="Palatino Linotype" w:hAnsi="Palatino Linotype"/>
      </w:rPr>
      <w:t xml:space="preserve"> </w:t>
    </w:r>
    <w:r w:rsidRPr="00693E5B">
      <w:rPr>
        <w:rFonts w:ascii="Palatino Linotype" w:hAnsi="Palatino Linotype"/>
      </w:rPr>
      <w:t>SDG&amp;E4155E</w:t>
    </w:r>
    <w:r>
      <w:rPr>
        <w:rFonts w:ascii="Palatino Linotype" w:hAnsi="Palatino Linotype"/>
      </w:rPr>
      <w:t>/</w:t>
    </w:r>
    <w:r w:rsidR="00221288">
      <w:rPr>
        <w:rFonts w:ascii="Palatino Linotype" w:hAnsi="Palatino Linotype"/>
      </w:rPr>
      <w:t>KPR</w:t>
    </w:r>
  </w:p>
  <w:p w14:paraId="1AAC2B57" w14:textId="77777777" w:rsidR="008E297F" w:rsidRDefault="008E2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E9BF" w14:textId="52358C5E" w:rsidR="00221288" w:rsidRPr="00221288" w:rsidRDefault="00221288" w:rsidP="00221288">
    <w:pPr>
      <w:pStyle w:val="Header"/>
      <w:jc w:val="center"/>
      <w:rPr>
        <w:rFonts w:ascii="Palatino Linotype" w:hAnsi="Palatino Linotype"/>
        <w:lang w:val="en-ZW"/>
      </w:rPr>
    </w:pPr>
    <w:r w:rsidRPr="00221288">
      <w:rPr>
        <w:rFonts w:ascii="Palatino Linotype" w:hAnsi="Palatino Linotype"/>
        <w:lang w:val="en-ZW"/>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ACD"/>
    <w:multiLevelType w:val="hybridMultilevel"/>
    <w:tmpl w:val="DADE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3273B"/>
    <w:multiLevelType w:val="hybridMultilevel"/>
    <w:tmpl w:val="6DE8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91348"/>
    <w:multiLevelType w:val="hybridMultilevel"/>
    <w:tmpl w:val="CAB2A09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31271E"/>
    <w:multiLevelType w:val="hybridMultilevel"/>
    <w:tmpl w:val="C55CE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97963"/>
    <w:multiLevelType w:val="hybridMultilevel"/>
    <w:tmpl w:val="AF5864EC"/>
    <w:lvl w:ilvl="0" w:tplc="0409000F">
      <w:start w:val="1"/>
      <w:numFmt w:val="decimal"/>
      <w:lvlText w:val="%1."/>
      <w:lvlJc w:val="left"/>
      <w:pPr>
        <w:ind w:left="720" w:hanging="360"/>
      </w:pPr>
      <w:rPr>
        <w:rFonts w:hint="default"/>
      </w:rPr>
    </w:lvl>
    <w:lvl w:ilvl="1" w:tplc="179C20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02E3F"/>
    <w:multiLevelType w:val="hybridMultilevel"/>
    <w:tmpl w:val="945E6D0A"/>
    <w:lvl w:ilvl="0" w:tplc="9B0A3DA0">
      <w:start w:val="1"/>
      <w:numFmt w:val="decimal"/>
      <w:lvlText w:val="%1."/>
      <w:lvlJc w:val="left"/>
      <w:pPr>
        <w:tabs>
          <w:tab w:val="num" w:pos="1770"/>
        </w:tabs>
        <w:ind w:left="1770" w:hanging="99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106A5312"/>
    <w:multiLevelType w:val="hybridMultilevel"/>
    <w:tmpl w:val="6C78A8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D30DEB"/>
    <w:multiLevelType w:val="hybridMultilevel"/>
    <w:tmpl w:val="4796D5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8242C9"/>
    <w:multiLevelType w:val="hybridMultilevel"/>
    <w:tmpl w:val="C2688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C4B45"/>
    <w:multiLevelType w:val="hybridMultilevel"/>
    <w:tmpl w:val="CA581060"/>
    <w:lvl w:ilvl="0" w:tplc="2D2C6290">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11A7AD7"/>
    <w:multiLevelType w:val="hybridMultilevel"/>
    <w:tmpl w:val="F8EC3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F16FD"/>
    <w:multiLevelType w:val="hybridMultilevel"/>
    <w:tmpl w:val="AC7A648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2F19B1"/>
    <w:multiLevelType w:val="hybridMultilevel"/>
    <w:tmpl w:val="A06C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C6176"/>
    <w:multiLevelType w:val="hybridMultilevel"/>
    <w:tmpl w:val="0DCE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2401C"/>
    <w:multiLevelType w:val="hybridMultilevel"/>
    <w:tmpl w:val="D6C60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B2F35"/>
    <w:multiLevelType w:val="hybridMultilevel"/>
    <w:tmpl w:val="15C6D0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674060"/>
    <w:multiLevelType w:val="hybridMultilevel"/>
    <w:tmpl w:val="A3C2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B4188"/>
    <w:multiLevelType w:val="hybridMultilevel"/>
    <w:tmpl w:val="93048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B0B48"/>
    <w:multiLevelType w:val="hybridMultilevel"/>
    <w:tmpl w:val="B246DEC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6775629"/>
    <w:multiLevelType w:val="hybridMultilevel"/>
    <w:tmpl w:val="D4CA05E4"/>
    <w:lvl w:ilvl="0" w:tplc="ACFCDCF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58225FEC"/>
    <w:multiLevelType w:val="hybridMultilevel"/>
    <w:tmpl w:val="81C606E6"/>
    <w:lvl w:ilvl="0" w:tplc="8CB0C79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B395B06"/>
    <w:multiLevelType w:val="hybridMultilevel"/>
    <w:tmpl w:val="AE7658E2"/>
    <w:lvl w:ilvl="0" w:tplc="B9CC5E4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15B263C"/>
    <w:multiLevelType w:val="hybridMultilevel"/>
    <w:tmpl w:val="713456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E20CB5"/>
    <w:multiLevelType w:val="hybridMultilevel"/>
    <w:tmpl w:val="798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F5170"/>
    <w:multiLevelType w:val="hybridMultilevel"/>
    <w:tmpl w:val="13A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C21D3"/>
    <w:multiLevelType w:val="hybridMultilevel"/>
    <w:tmpl w:val="262E2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791851"/>
    <w:multiLevelType w:val="hybridMultilevel"/>
    <w:tmpl w:val="8CE800B0"/>
    <w:lvl w:ilvl="0" w:tplc="BD8AE8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E3356F0"/>
    <w:multiLevelType w:val="hybridMultilevel"/>
    <w:tmpl w:val="1BD8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077B25"/>
    <w:multiLevelType w:val="hybridMultilevel"/>
    <w:tmpl w:val="FB8236FE"/>
    <w:lvl w:ilvl="0" w:tplc="36F81D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7F496E"/>
    <w:multiLevelType w:val="hybridMultilevel"/>
    <w:tmpl w:val="736EC6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BB34B0E"/>
    <w:multiLevelType w:val="hybridMultilevel"/>
    <w:tmpl w:val="24F67D5A"/>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60797A"/>
    <w:multiLevelType w:val="hybridMultilevel"/>
    <w:tmpl w:val="A3D82722"/>
    <w:lvl w:ilvl="0" w:tplc="DCB6F6FC">
      <w:start w:val="1"/>
      <w:numFmt w:val="decimal"/>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16cid:durableId="1379552371">
    <w:abstractNumId w:val="9"/>
  </w:num>
  <w:num w:numId="2" w16cid:durableId="455294246">
    <w:abstractNumId w:val="28"/>
  </w:num>
  <w:num w:numId="3" w16cid:durableId="569927902">
    <w:abstractNumId w:val="28"/>
    <w:lvlOverride w:ilvl="0">
      <w:startOverride w:val="4"/>
    </w:lvlOverride>
  </w:num>
  <w:num w:numId="4" w16cid:durableId="1280919740">
    <w:abstractNumId w:val="21"/>
  </w:num>
  <w:num w:numId="5" w16cid:durableId="463548377">
    <w:abstractNumId w:val="5"/>
  </w:num>
  <w:num w:numId="6" w16cid:durableId="1691103622">
    <w:abstractNumId w:val="26"/>
  </w:num>
  <w:num w:numId="7" w16cid:durableId="375545139">
    <w:abstractNumId w:val="29"/>
  </w:num>
  <w:num w:numId="8" w16cid:durableId="676229896">
    <w:abstractNumId w:val="20"/>
  </w:num>
  <w:num w:numId="9" w16cid:durableId="1094941249">
    <w:abstractNumId w:val="31"/>
  </w:num>
  <w:num w:numId="10" w16cid:durableId="1430658900">
    <w:abstractNumId w:val="19"/>
  </w:num>
  <w:num w:numId="11" w16cid:durableId="534124045">
    <w:abstractNumId w:val="16"/>
  </w:num>
  <w:num w:numId="12" w16cid:durableId="1276448793">
    <w:abstractNumId w:val="12"/>
  </w:num>
  <w:num w:numId="13" w16cid:durableId="731005185">
    <w:abstractNumId w:val="0"/>
  </w:num>
  <w:num w:numId="14" w16cid:durableId="134182821">
    <w:abstractNumId w:val="17"/>
  </w:num>
  <w:num w:numId="15" w16cid:durableId="93791069">
    <w:abstractNumId w:val="27"/>
  </w:num>
  <w:num w:numId="16" w16cid:durableId="928925739">
    <w:abstractNumId w:val="23"/>
  </w:num>
  <w:num w:numId="17" w16cid:durableId="317076792">
    <w:abstractNumId w:val="11"/>
  </w:num>
  <w:num w:numId="18" w16cid:durableId="338505404">
    <w:abstractNumId w:val="7"/>
  </w:num>
  <w:num w:numId="19" w16cid:durableId="2089188399">
    <w:abstractNumId w:val="18"/>
  </w:num>
  <w:num w:numId="20" w16cid:durableId="560866787">
    <w:abstractNumId w:val="6"/>
  </w:num>
  <w:num w:numId="21" w16cid:durableId="19934198">
    <w:abstractNumId w:val="22"/>
  </w:num>
  <w:num w:numId="22" w16cid:durableId="400521681">
    <w:abstractNumId w:val="25"/>
  </w:num>
  <w:num w:numId="23" w16cid:durableId="617298660">
    <w:abstractNumId w:val="13"/>
  </w:num>
  <w:num w:numId="24" w16cid:durableId="1091897040">
    <w:abstractNumId w:val="15"/>
  </w:num>
  <w:num w:numId="25" w16cid:durableId="324404346">
    <w:abstractNumId w:val="24"/>
  </w:num>
  <w:num w:numId="26" w16cid:durableId="300811026">
    <w:abstractNumId w:val="14"/>
  </w:num>
  <w:num w:numId="27" w16cid:durableId="1258756264">
    <w:abstractNumId w:val="8"/>
  </w:num>
  <w:num w:numId="28" w16cid:durableId="1277445467">
    <w:abstractNumId w:val="10"/>
  </w:num>
  <w:num w:numId="29" w16cid:durableId="680669143">
    <w:abstractNumId w:val="3"/>
  </w:num>
  <w:num w:numId="30" w16cid:durableId="768239234">
    <w:abstractNumId w:val="4"/>
  </w:num>
  <w:num w:numId="31" w16cid:durableId="478885581">
    <w:abstractNumId w:val="1"/>
  </w:num>
  <w:num w:numId="32" w16cid:durableId="611473857">
    <w:abstractNumId w:val="30"/>
  </w:num>
  <w:num w:numId="33" w16cid:durableId="1639874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B6"/>
    <w:rsid w:val="0000097A"/>
    <w:rsid w:val="000011DD"/>
    <w:rsid w:val="00001526"/>
    <w:rsid w:val="00001BEC"/>
    <w:rsid w:val="00001E4A"/>
    <w:rsid w:val="000020F8"/>
    <w:rsid w:val="0000248F"/>
    <w:rsid w:val="0000274B"/>
    <w:rsid w:val="00002A5A"/>
    <w:rsid w:val="000030D3"/>
    <w:rsid w:val="000031A1"/>
    <w:rsid w:val="000036C8"/>
    <w:rsid w:val="00003779"/>
    <w:rsid w:val="000043F3"/>
    <w:rsid w:val="00004ECE"/>
    <w:rsid w:val="0000538E"/>
    <w:rsid w:val="000056F7"/>
    <w:rsid w:val="00005A29"/>
    <w:rsid w:val="00005C43"/>
    <w:rsid w:val="000064A5"/>
    <w:rsid w:val="000064A6"/>
    <w:rsid w:val="00006524"/>
    <w:rsid w:val="00006546"/>
    <w:rsid w:val="00006884"/>
    <w:rsid w:val="00006925"/>
    <w:rsid w:val="00006CDA"/>
    <w:rsid w:val="0000793C"/>
    <w:rsid w:val="00007C60"/>
    <w:rsid w:val="00007D97"/>
    <w:rsid w:val="00007DC5"/>
    <w:rsid w:val="00007E91"/>
    <w:rsid w:val="00010194"/>
    <w:rsid w:val="0001044B"/>
    <w:rsid w:val="00010C37"/>
    <w:rsid w:val="000112BD"/>
    <w:rsid w:val="00012787"/>
    <w:rsid w:val="00012810"/>
    <w:rsid w:val="00012ADD"/>
    <w:rsid w:val="00012E8E"/>
    <w:rsid w:val="00012EE2"/>
    <w:rsid w:val="0001357D"/>
    <w:rsid w:val="00013B1B"/>
    <w:rsid w:val="00013B32"/>
    <w:rsid w:val="00013DF4"/>
    <w:rsid w:val="00013E05"/>
    <w:rsid w:val="000140A7"/>
    <w:rsid w:val="00014380"/>
    <w:rsid w:val="00014A7F"/>
    <w:rsid w:val="00015169"/>
    <w:rsid w:val="00015279"/>
    <w:rsid w:val="00015CEF"/>
    <w:rsid w:val="00015F93"/>
    <w:rsid w:val="000160DF"/>
    <w:rsid w:val="00016DB2"/>
    <w:rsid w:val="00017170"/>
    <w:rsid w:val="0001745D"/>
    <w:rsid w:val="00017554"/>
    <w:rsid w:val="0001799E"/>
    <w:rsid w:val="00017F4C"/>
    <w:rsid w:val="00020A6C"/>
    <w:rsid w:val="00020FCA"/>
    <w:rsid w:val="000214EE"/>
    <w:rsid w:val="00021707"/>
    <w:rsid w:val="00021B58"/>
    <w:rsid w:val="000222F4"/>
    <w:rsid w:val="000225B3"/>
    <w:rsid w:val="0002285D"/>
    <w:rsid w:val="00022B0B"/>
    <w:rsid w:val="000236C7"/>
    <w:rsid w:val="00023F57"/>
    <w:rsid w:val="00024196"/>
    <w:rsid w:val="00024452"/>
    <w:rsid w:val="00024922"/>
    <w:rsid w:val="00024B8D"/>
    <w:rsid w:val="00025000"/>
    <w:rsid w:val="0002512B"/>
    <w:rsid w:val="0002525D"/>
    <w:rsid w:val="0002551A"/>
    <w:rsid w:val="00025A25"/>
    <w:rsid w:val="00025F42"/>
    <w:rsid w:val="0002629D"/>
    <w:rsid w:val="00026498"/>
    <w:rsid w:val="00026B1B"/>
    <w:rsid w:val="00027449"/>
    <w:rsid w:val="00027575"/>
    <w:rsid w:val="00027771"/>
    <w:rsid w:val="00027991"/>
    <w:rsid w:val="00027F04"/>
    <w:rsid w:val="000301ED"/>
    <w:rsid w:val="00030319"/>
    <w:rsid w:val="000303F4"/>
    <w:rsid w:val="00030557"/>
    <w:rsid w:val="0003056D"/>
    <w:rsid w:val="00030D5A"/>
    <w:rsid w:val="00030D71"/>
    <w:rsid w:val="000317E1"/>
    <w:rsid w:val="000318F9"/>
    <w:rsid w:val="00031C52"/>
    <w:rsid w:val="00032592"/>
    <w:rsid w:val="00033265"/>
    <w:rsid w:val="00033562"/>
    <w:rsid w:val="000341A7"/>
    <w:rsid w:val="000343B0"/>
    <w:rsid w:val="00034A2E"/>
    <w:rsid w:val="00035AC0"/>
    <w:rsid w:val="00035BB2"/>
    <w:rsid w:val="00035BB6"/>
    <w:rsid w:val="00036AF6"/>
    <w:rsid w:val="000379F0"/>
    <w:rsid w:val="00040220"/>
    <w:rsid w:val="0004084B"/>
    <w:rsid w:val="00040AD8"/>
    <w:rsid w:val="000410F8"/>
    <w:rsid w:val="00041C10"/>
    <w:rsid w:val="00041C17"/>
    <w:rsid w:val="00042047"/>
    <w:rsid w:val="00042396"/>
    <w:rsid w:val="00044106"/>
    <w:rsid w:val="0004439A"/>
    <w:rsid w:val="0004442E"/>
    <w:rsid w:val="0004443A"/>
    <w:rsid w:val="0004452C"/>
    <w:rsid w:val="00044814"/>
    <w:rsid w:val="00044F5C"/>
    <w:rsid w:val="00045494"/>
    <w:rsid w:val="00045537"/>
    <w:rsid w:val="000461AC"/>
    <w:rsid w:val="00046A95"/>
    <w:rsid w:val="00047A64"/>
    <w:rsid w:val="00047DC7"/>
    <w:rsid w:val="00050270"/>
    <w:rsid w:val="00050392"/>
    <w:rsid w:val="000504B6"/>
    <w:rsid w:val="00050556"/>
    <w:rsid w:val="00050DE2"/>
    <w:rsid w:val="00050DFE"/>
    <w:rsid w:val="00051184"/>
    <w:rsid w:val="000513AE"/>
    <w:rsid w:val="00051912"/>
    <w:rsid w:val="00051A1A"/>
    <w:rsid w:val="00052360"/>
    <w:rsid w:val="00052B9D"/>
    <w:rsid w:val="0005379A"/>
    <w:rsid w:val="00053B4C"/>
    <w:rsid w:val="00053DF8"/>
    <w:rsid w:val="000541DC"/>
    <w:rsid w:val="000546D1"/>
    <w:rsid w:val="00054F61"/>
    <w:rsid w:val="00055294"/>
    <w:rsid w:val="000553DC"/>
    <w:rsid w:val="0005540E"/>
    <w:rsid w:val="000557DA"/>
    <w:rsid w:val="00055825"/>
    <w:rsid w:val="000558C8"/>
    <w:rsid w:val="000572EF"/>
    <w:rsid w:val="00057520"/>
    <w:rsid w:val="00060D29"/>
    <w:rsid w:val="00060D96"/>
    <w:rsid w:val="00060E28"/>
    <w:rsid w:val="00061227"/>
    <w:rsid w:val="00061438"/>
    <w:rsid w:val="000614AB"/>
    <w:rsid w:val="00061752"/>
    <w:rsid w:val="00061A53"/>
    <w:rsid w:val="00061A6A"/>
    <w:rsid w:val="00061D78"/>
    <w:rsid w:val="0006209D"/>
    <w:rsid w:val="000622EE"/>
    <w:rsid w:val="000633E9"/>
    <w:rsid w:val="00063439"/>
    <w:rsid w:val="00063BB3"/>
    <w:rsid w:val="00063C2B"/>
    <w:rsid w:val="00064059"/>
    <w:rsid w:val="000640A6"/>
    <w:rsid w:val="000642D7"/>
    <w:rsid w:val="00064880"/>
    <w:rsid w:val="00064E80"/>
    <w:rsid w:val="000659F1"/>
    <w:rsid w:val="00066787"/>
    <w:rsid w:val="00067476"/>
    <w:rsid w:val="00067685"/>
    <w:rsid w:val="00067741"/>
    <w:rsid w:val="00067EF2"/>
    <w:rsid w:val="0007001C"/>
    <w:rsid w:val="00070F7E"/>
    <w:rsid w:val="00071114"/>
    <w:rsid w:val="000716AD"/>
    <w:rsid w:val="00071939"/>
    <w:rsid w:val="00071AD9"/>
    <w:rsid w:val="00072A03"/>
    <w:rsid w:val="000738C5"/>
    <w:rsid w:val="00073923"/>
    <w:rsid w:val="00073B11"/>
    <w:rsid w:val="000745A6"/>
    <w:rsid w:val="0007496F"/>
    <w:rsid w:val="000758C8"/>
    <w:rsid w:val="0007599D"/>
    <w:rsid w:val="00075B8C"/>
    <w:rsid w:val="00076393"/>
    <w:rsid w:val="0007657D"/>
    <w:rsid w:val="00076F68"/>
    <w:rsid w:val="00077106"/>
    <w:rsid w:val="00077342"/>
    <w:rsid w:val="00077565"/>
    <w:rsid w:val="00077D85"/>
    <w:rsid w:val="00080247"/>
    <w:rsid w:val="00080909"/>
    <w:rsid w:val="00080AAB"/>
    <w:rsid w:val="00080FD8"/>
    <w:rsid w:val="00081421"/>
    <w:rsid w:val="000815BE"/>
    <w:rsid w:val="000815DE"/>
    <w:rsid w:val="00081688"/>
    <w:rsid w:val="00081E2F"/>
    <w:rsid w:val="00081FED"/>
    <w:rsid w:val="000820CD"/>
    <w:rsid w:val="000824BD"/>
    <w:rsid w:val="000827CA"/>
    <w:rsid w:val="0008342C"/>
    <w:rsid w:val="0008445B"/>
    <w:rsid w:val="000844D0"/>
    <w:rsid w:val="00084894"/>
    <w:rsid w:val="00085B63"/>
    <w:rsid w:val="00085C57"/>
    <w:rsid w:val="00087011"/>
    <w:rsid w:val="000870E9"/>
    <w:rsid w:val="00087A75"/>
    <w:rsid w:val="00087AC8"/>
    <w:rsid w:val="00087CF5"/>
    <w:rsid w:val="00090D57"/>
    <w:rsid w:val="000916D8"/>
    <w:rsid w:val="0009230D"/>
    <w:rsid w:val="000928DE"/>
    <w:rsid w:val="00092EAA"/>
    <w:rsid w:val="00092FF1"/>
    <w:rsid w:val="000931E8"/>
    <w:rsid w:val="00093CD8"/>
    <w:rsid w:val="0009481F"/>
    <w:rsid w:val="00094AF0"/>
    <w:rsid w:val="000952D5"/>
    <w:rsid w:val="000953E4"/>
    <w:rsid w:val="00095604"/>
    <w:rsid w:val="000961A0"/>
    <w:rsid w:val="00096280"/>
    <w:rsid w:val="0009647E"/>
    <w:rsid w:val="000967F2"/>
    <w:rsid w:val="00096E28"/>
    <w:rsid w:val="0009769D"/>
    <w:rsid w:val="0009788E"/>
    <w:rsid w:val="000A025E"/>
    <w:rsid w:val="000A087A"/>
    <w:rsid w:val="000A0960"/>
    <w:rsid w:val="000A10E0"/>
    <w:rsid w:val="000A1265"/>
    <w:rsid w:val="000A1D18"/>
    <w:rsid w:val="000A1D26"/>
    <w:rsid w:val="000A1D46"/>
    <w:rsid w:val="000A238C"/>
    <w:rsid w:val="000A2614"/>
    <w:rsid w:val="000A2852"/>
    <w:rsid w:val="000A2A1C"/>
    <w:rsid w:val="000A2AF2"/>
    <w:rsid w:val="000A2B99"/>
    <w:rsid w:val="000A34B8"/>
    <w:rsid w:val="000A36D5"/>
    <w:rsid w:val="000A372D"/>
    <w:rsid w:val="000A3A0D"/>
    <w:rsid w:val="000A3FC1"/>
    <w:rsid w:val="000A473F"/>
    <w:rsid w:val="000A47EE"/>
    <w:rsid w:val="000A4C0B"/>
    <w:rsid w:val="000A4C6D"/>
    <w:rsid w:val="000A5AD4"/>
    <w:rsid w:val="000A6A2D"/>
    <w:rsid w:val="000A725B"/>
    <w:rsid w:val="000A72A5"/>
    <w:rsid w:val="000A768E"/>
    <w:rsid w:val="000A7A89"/>
    <w:rsid w:val="000A7B95"/>
    <w:rsid w:val="000A7C02"/>
    <w:rsid w:val="000B06CC"/>
    <w:rsid w:val="000B0722"/>
    <w:rsid w:val="000B07DE"/>
    <w:rsid w:val="000B12FF"/>
    <w:rsid w:val="000B1366"/>
    <w:rsid w:val="000B1C00"/>
    <w:rsid w:val="000B1DEA"/>
    <w:rsid w:val="000B27CC"/>
    <w:rsid w:val="000B2900"/>
    <w:rsid w:val="000B2CB0"/>
    <w:rsid w:val="000B2CC6"/>
    <w:rsid w:val="000B35D8"/>
    <w:rsid w:val="000B3B54"/>
    <w:rsid w:val="000B3C50"/>
    <w:rsid w:val="000B40B3"/>
    <w:rsid w:val="000B43C4"/>
    <w:rsid w:val="000B4412"/>
    <w:rsid w:val="000B5086"/>
    <w:rsid w:val="000B5142"/>
    <w:rsid w:val="000B5620"/>
    <w:rsid w:val="000B617E"/>
    <w:rsid w:val="000B6490"/>
    <w:rsid w:val="000B64B5"/>
    <w:rsid w:val="000B6644"/>
    <w:rsid w:val="000B6DDE"/>
    <w:rsid w:val="000B71E6"/>
    <w:rsid w:val="000C0080"/>
    <w:rsid w:val="000C00C4"/>
    <w:rsid w:val="000C088A"/>
    <w:rsid w:val="000C09D5"/>
    <w:rsid w:val="000C0AC8"/>
    <w:rsid w:val="000C1609"/>
    <w:rsid w:val="000C18AC"/>
    <w:rsid w:val="000C1B3A"/>
    <w:rsid w:val="000C1D41"/>
    <w:rsid w:val="000C211B"/>
    <w:rsid w:val="000C23F2"/>
    <w:rsid w:val="000C2471"/>
    <w:rsid w:val="000C252E"/>
    <w:rsid w:val="000C28D3"/>
    <w:rsid w:val="000C468E"/>
    <w:rsid w:val="000C48B1"/>
    <w:rsid w:val="000C56AC"/>
    <w:rsid w:val="000C5CB0"/>
    <w:rsid w:val="000C61ED"/>
    <w:rsid w:val="000C6526"/>
    <w:rsid w:val="000C6811"/>
    <w:rsid w:val="000C6AC7"/>
    <w:rsid w:val="000C6DA5"/>
    <w:rsid w:val="000D021D"/>
    <w:rsid w:val="000D0DDB"/>
    <w:rsid w:val="000D159F"/>
    <w:rsid w:val="000D1813"/>
    <w:rsid w:val="000D1D2F"/>
    <w:rsid w:val="000D294C"/>
    <w:rsid w:val="000D2B05"/>
    <w:rsid w:val="000D2D5A"/>
    <w:rsid w:val="000D3EB9"/>
    <w:rsid w:val="000D4497"/>
    <w:rsid w:val="000D44D5"/>
    <w:rsid w:val="000D5456"/>
    <w:rsid w:val="000D5477"/>
    <w:rsid w:val="000D54ED"/>
    <w:rsid w:val="000D586F"/>
    <w:rsid w:val="000D5AE4"/>
    <w:rsid w:val="000D5BC8"/>
    <w:rsid w:val="000D5D32"/>
    <w:rsid w:val="000D5F8E"/>
    <w:rsid w:val="000D6525"/>
    <w:rsid w:val="000D667D"/>
    <w:rsid w:val="000D68C7"/>
    <w:rsid w:val="000D6ADB"/>
    <w:rsid w:val="000D70FB"/>
    <w:rsid w:val="000D74FD"/>
    <w:rsid w:val="000D775E"/>
    <w:rsid w:val="000D7909"/>
    <w:rsid w:val="000D798B"/>
    <w:rsid w:val="000D7C76"/>
    <w:rsid w:val="000E0AF5"/>
    <w:rsid w:val="000E0C12"/>
    <w:rsid w:val="000E0DFC"/>
    <w:rsid w:val="000E0F7E"/>
    <w:rsid w:val="000E0FDD"/>
    <w:rsid w:val="000E1217"/>
    <w:rsid w:val="000E1283"/>
    <w:rsid w:val="000E1401"/>
    <w:rsid w:val="000E166C"/>
    <w:rsid w:val="000E306D"/>
    <w:rsid w:val="000E3457"/>
    <w:rsid w:val="000E3A6A"/>
    <w:rsid w:val="000E3D71"/>
    <w:rsid w:val="000E418F"/>
    <w:rsid w:val="000E436A"/>
    <w:rsid w:val="000E4630"/>
    <w:rsid w:val="000E46B9"/>
    <w:rsid w:val="000E6029"/>
    <w:rsid w:val="000E63A1"/>
    <w:rsid w:val="000E69EB"/>
    <w:rsid w:val="000E6A38"/>
    <w:rsid w:val="000E7018"/>
    <w:rsid w:val="000F059E"/>
    <w:rsid w:val="000F11F8"/>
    <w:rsid w:val="000F1327"/>
    <w:rsid w:val="000F1426"/>
    <w:rsid w:val="000F16F2"/>
    <w:rsid w:val="000F184F"/>
    <w:rsid w:val="000F1A75"/>
    <w:rsid w:val="000F1CCF"/>
    <w:rsid w:val="000F2B5C"/>
    <w:rsid w:val="000F33CF"/>
    <w:rsid w:val="000F3BD0"/>
    <w:rsid w:val="000F4109"/>
    <w:rsid w:val="000F429F"/>
    <w:rsid w:val="000F42C5"/>
    <w:rsid w:val="000F4CB2"/>
    <w:rsid w:val="000F5213"/>
    <w:rsid w:val="000F5880"/>
    <w:rsid w:val="000F5F6E"/>
    <w:rsid w:val="000F62AC"/>
    <w:rsid w:val="000F6CAE"/>
    <w:rsid w:val="000F70BE"/>
    <w:rsid w:val="000F71B1"/>
    <w:rsid w:val="000F74EF"/>
    <w:rsid w:val="000F7945"/>
    <w:rsid w:val="000F79D6"/>
    <w:rsid w:val="000F7BF4"/>
    <w:rsid w:val="0010019D"/>
    <w:rsid w:val="00100216"/>
    <w:rsid w:val="001004BF"/>
    <w:rsid w:val="00100F5E"/>
    <w:rsid w:val="001011BE"/>
    <w:rsid w:val="001011E2"/>
    <w:rsid w:val="0010174C"/>
    <w:rsid w:val="00102235"/>
    <w:rsid w:val="00102C5A"/>
    <w:rsid w:val="0010425B"/>
    <w:rsid w:val="00104909"/>
    <w:rsid w:val="001049F6"/>
    <w:rsid w:val="00104D93"/>
    <w:rsid w:val="00105C4A"/>
    <w:rsid w:val="001060DB"/>
    <w:rsid w:val="001068EC"/>
    <w:rsid w:val="00106A67"/>
    <w:rsid w:val="00106DE8"/>
    <w:rsid w:val="00106F12"/>
    <w:rsid w:val="001072CB"/>
    <w:rsid w:val="001074CA"/>
    <w:rsid w:val="00107959"/>
    <w:rsid w:val="0011039E"/>
    <w:rsid w:val="00110574"/>
    <w:rsid w:val="00110B51"/>
    <w:rsid w:val="00110C62"/>
    <w:rsid w:val="00110D64"/>
    <w:rsid w:val="0011115C"/>
    <w:rsid w:val="0011124F"/>
    <w:rsid w:val="001113F1"/>
    <w:rsid w:val="0011173A"/>
    <w:rsid w:val="001127A6"/>
    <w:rsid w:val="00112B8F"/>
    <w:rsid w:val="0011301C"/>
    <w:rsid w:val="0011302E"/>
    <w:rsid w:val="00113201"/>
    <w:rsid w:val="001132F3"/>
    <w:rsid w:val="00113311"/>
    <w:rsid w:val="00113ED7"/>
    <w:rsid w:val="00114004"/>
    <w:rsid w:val="00114662"/>
    <w:rsid w:val="00115039"/>
    <w:rsid w:val="00115419"/>
    <w:rsid w:val="00115B85"/>
    <w:rsid w:val="00115DE1"/>
    <w:rsid w:val="0011601C"/>
    <w:rsid w:val="0011654A"/>
    <w:rsid w:val="001170C5"/>
    <w:rsid w:val="00117763"/>
    <w:rsid w:val="00117B85"/>
    <w:rsid w:val="00120634"/>
    <w:rsid w:val="0012095A"/>
    <w:rsid w:val="00120C1A"/>
    <w:rsid w:val="00120D34"/>
    <w:rsid w:val="00120E9A"/>
    <w:rsid w:val="00121759"/>
    <w:rsid w:val="00121B23"/>
    <w:rsid w:val="00122567"/>
    <w:rsid w:val="00122C82"/>
    <w:rsid w:val="00122CB7"/>
    <w:rsid w:val="00122DA3"/>
    <w:rsid w:val="00123683"/>
    <w:rsid w:val="001236B7"/>
    <w:rsid w:val="00123ED8"/>
    <w:rsid w:val="001246B9"/>
    <w:rsid w:val="00124C70"/>
    <w:rsid w:val="001254DB"/>
    <w:rsid w:val="00125D1C"/>
    <w:rsid w:val="00125F15"/>
    <w:rsid w:val="00126A83"/>
    <w:rsid w:val="00126C8D"/>
    <w:rsid w:val="00126E3A"/>
    <w:rsid w:val="0012737D"/>
    <w:rsid w:val="001274EA"/>
    <w:rsid w:val="0012753E"/>
    <w:rsid w:val="00127552"/>
    <w:rsid w:val="001277B0"/>
    <w:rsid w:val="00127B05"/>
    <w:rsid w:val="00127E28"/>
    <w:rsid w:val="0013037C"/>
    <w:rsid w:val="00130389"/>
    <w:rsid w:val="00130DF0"/>
    <w:rsid w:val="00131156"/>
    <w:rsid w:val="00131543"/>
    <w:rsid w:val="001319A8"/>
    <w:rsid w:val="00132CB4"/>
    <w:rsid w:val="001333A9"/>
    <w:rsid w:val="0013437C"/>
    <w:rsid w:val="0013522C"/>
    <w:rsid w:val="001359B4"/>
    <w:rsid w:val="00135E09"/>
    <w:rsid w:val="00136A5F"/>
    <w:rsid w:val="00136AC6"/>
    <w:rsid w:val="001377CF"/>
    <w:rsid w:val="0013793A"/>
    <w:rsid w:val="001379E3"/>
    <w:rsid w:val="00137AF3"/>
    <w:rsid w:val="00140391"/>
    <w:rsid w:val="00140696"/>
    <w:rsid w:val="00140FBB"/>
    <w:rsid w:val="00141316"/>
    <w:rsid w:val="0014173E"/>
    <w:rsid w:val="00141929"/>
    <w:rsid w:val="00141CDC"/>
    <w:rsid w:val="00141F90"/>
    <w:rsid w:val="001424D9"/>
    <w:rsid w:val="001427FF"/>
    <w:rsid w:val="0014290C"/>
    <w:rsid w:val="001435AB"/>
    <w:rsid w:val="00143927"/>
    <w:rsid w:val="0014397D"/>
    <w:rsid w:val="00143B01"/>
    <w:rsid w:val="001445E2"/>
    <w:rsid w:val="001446BB"/>
    <w:rsid w:val="00144BBA"/>
    <w:rsid w:val="00144BC4"/>
    <w:rsid w:val="0014553B"/>
    <w:rsid w:val="00145680"/>
    <w:rsid w:val="00145FA2"/>
    <w:rsid w:val="0014689F"/>
    <w:rsid w:val="00146C7C"/>
    <w:rsid w:val="0014757A"/>
    <w:rsid w:val="00147751"/>
    <w:rsid w:val="00147C11"/>
    <w:rsid w:val="00147FCF"/>
    <w:rsid w:val="0015097E"/>
    <w:rsid w:val="00150E1C"/>
    <w:rsid w:val="00150EFB"/>
    <w:rsid w:val="0015122C"/>
    <w:rsid w:val="00151CD0"/>
    <w:rsid w:val="001520FD"/>
    <w:rsid w:val="001524D9"/>
    <w:rsid w:val="0015252A"/>
    <w:rsid w:val="00152571"/>
    <w:rsid w:val="001525B0"/>
    <w:rsid w:val="0015261C"/>
    <w:rsid w:val="00152BDD"/>
    <w:rsid w:val="00153BF8"/>
    <w:rsid w:val="00153DE1"/>
    <w:rsid w:val="00154253"/>
    <w:rsid w:val="001542D5"/>
    <w:rsid w:val="0015438C"/>
    <w:rsid w:val="0015440A"/>
    <w:rsid w:val="0015470E"/>
    <w:rsid w:val="001547BC"/>
    <w:rsid w:val="00154BD9"/>
    <w:rsid w:val="00154E78"/>
    <w:rsid w:val="0015578F"/>
    <w:rsid w:val="001558BC"/>
    <w:rsid w:val="00155BD5"/>
    <w:rsid w:val="00156391"/>
    <w:rsid w:val="00156564"/>
    <w:rsid w:val="00156F94"/>
    <w:rsid w:val="001572C0"/>
    <w:rsid w:val="0015735C"/>
    <w:rsid w:val="00157D0E"/>
    <w:rsid w:val="0016046A"/>
    <w:rsid w:val="00160D58"/>
    <w:rsid w:val="00160F4E"/>
    <w:rsid w:val="001617B1"/>
    <w:rsid w:val="001619B4"/>
    <w:rsid w:val="00162838"/>
    <w:rsid w:val="00162FFE"/>
    <w:rsid w:val="0016302C"/>
    <w:rsid w:val="001630F4"/>
    <w:rsid w:val="001635D2"/>
    <w:rsid w:val="001636BF"/>
    <w:rsid w:val="00163BD8"/>
    <w:rsid w:val="00163CA0"/>
    <w:rsid w:val="00163DED"/>
    <w:rsid w:val="00163EB7"/>
    <w:rsid w:val="00164D02"/>
    <w:rsid w:val="00165276"/>
    <w:rsid w:val="00165644"/>
    <w:rsid w:val="00165F86"/>
    <w:rsid w:val="0016604F"/>
    <w:rsid w:val="0016612B"/>
    <w:rsid w:val="001666F9"/>
    <w:rsid w:val="0016736B"/>
    <w:rsid w:val="00167A74"/>
    <w:rsid w:val="00167CA2"/>
    <w:rsid w:val="001704DB"/>
    <w:rsid w:val="001706AF"/>
    <w:rsid w:val="00170FE2"/>
    <w:rsid w:val="00171052"/>
    <w:rsid w:val="001711FA"/>
    <w:rsid w:val="001713E1"/>
    <w:rsid w:val="00172244"/>
    <w:rsid w:val="00172609"/>
    <w:rsid w:val="00172B2A"/>
    <w:rsid w:val="00172D1E"/>
    <w:rsid w:val="00172E76"/>
    <w:rsid w:val="001732A6"/>
    <w:rsid w:val="00173A55"/>
    <w:rsid w:val="00173EBF"/>
    <w:rsid w:val="00175934"/>
    <w:rsid w:val="00175948"/>
    <w:rsid w:val="00175A7D"/>
    <w:rsid w:val="00175ABD"/>
    <w:rsid w:val="001760F0"/>
    <w:rsid w:val="0017677B"/>
    <w:rsid w:val="001768DB"/>
    <w:rsid w:val="00176A0E"/>
    <w:rsid w:val="00176D64"/>
    <w:rsid w:val="00176F8C"/>
    <w:rsid w:val="001771D3"/>
    <w:rsid w:val="00177A3E"/>
    <w:rsid w:val="00177E05"/>
    <w:rsid w:val="00177E94"/>
    <w:rsid w:val="00180665"/>
    <w:rsid w:val="00180763"/>
    <w:rsid w:val="00180C30"/>
    <w:rsid w:val="00180DFB"/>
    <w:rsid w:val="00181677"/>
    <w:rsid w:val="00181EFA"/>
    <w:rsid w:val="00182393"/>
    <w:rsid w:val="00182DFF"/>
    <w:rsid w:val="00182F60"/>
    <w:rsid w:val="0018331C"/>
    <w:rsid w:val="00183494"/>
    <w:rsid w:val="001834CF"/>
    <w:rsid w:val="001839FA"/>
    <w:rsid w:val="00183CFA"/>
    <w:rsid w:val="00185465"/>
    <w:rsid w:val="00185855"/>
    <w:rsid w:val="00185A5E"/>
    <w:rsid w:val="0018616A"/>
    <w:rsid w:val="00186CCF"/>
    <w:rsid w:val="00187002"/>
    <w:rsid w:val="00187A12"/>
    <w:rsid w:val="00187C68"/>
    <w:rsid w:val="00190076"/>
    <w:rsid w:val="00190572"/>
    <w:rsid w:val="0019091F"/>
    <w:rsid w:val="00190BD3"/>
    <w:rsid w:val="00191D15"/>
    <w:rsid w:val="0019297A"/>
    <w:rsid w:val="0019306A"/>
    <w:rsid w:val="0019340D"/>
    <w:rsid w:val="00193645"/>
    <w:rsid w:val="00193CA3"/>
    <w:rsid w:val="001941B3"/>
    <w:rsid w:val="001946A9"/>
    <w:rsid w:val="001949A2"/>
    <w:rsid w:val="00194DA2"/>
    <w:rsid w:val="0019511D"/>
    <w:rsid w:val="00195128"/>
    <w:rsid w:val="00195233"/>
    <w:rsid w:val="0019528B"/>
    <w:rsid w:val="001952D3"/>
    <w:rsid w:val="00196419"/>
    <w:rsid w:val="001970B8"/>
    <w:rsid w:val="001970C2"/>
    <w:rsid w:val="001A0098"/>
    <w:rsid w:val="001A02C4"/>
    <w:rsid w:val="001A0A07"/>
    <w:rsid w:val="001A0D1F"/>
    <w:rsid w:val="001A0E0C"/>
    <w:rsid w:val="001A0E29"/>
    <w:rsid w:val="001A0E98"/>
    <w:rsid w:val="001A10B1"/>
    <w:rsid w:val="001A1951"/>
    <w:rsid w:val="001A25BD"/>
    <w:rsid w:val="001A25EB"/>
    <w:rsid w:val="001A3093"/>
    <w:rsid w:val="001A3285"/>
    <w:rsid w:val="001A35F2"/>
    <w:rsid w:val="001A3A47"/>
    <w:rsid w:val="001A3A68"/>
    <w:rsid w:val="001A3C6F"/>
    <w:rsid w:val="001A3EB0"/>
    <w:rsid w:val="001A413C"/>
    <w:rsid w:val="001A47A5"/>
    <w:rsid w:val="001A4BC0"/>
    <w:rsid w:val="001A4C78"/>
    <w:rsid w:val="001A4D75"/>
    <w:rsid w:val="001A5386"/>
    <w:rsid w:val="001A5659"/>
    <w:rsid w:val="001A6457"/>
    <w:rsid w:val="001A677B"/>
    <w:rsid w:val="001A67A7"/>
    <w:rsid w:val="001A6B2B"/>
    <w:rsid w:val="001A6C30"/>
    <w:rsid w:val="001A6F69"/>
    <w:rsid w:val="001A78B6"/>
    <w:rsid w:val="001A7C1D"/>
    <w:rsid w:val="001B0126"/>
    <w:rsid w:val="001B0643"/>
    <w:rsid w:val="001B1108"/>
    <w:rsid w:val="001B12F9"/>
    <w:rsid w:val="001B160A"/>
    <w:rsid w:val="001B1890"/>
    <w:rsid w:val="001B18AA"/>
    <w:rsid w:val="001B1A7C"/>
    <w:rsid w:val="001B1E07"/>
    <w:rsid w:val="001B1E3D"/>
    <w:rsid w:val="001B1F89"/>
    <w:rsid w:val="001B21AE"/>
    <w:rsid w:val="001B236C"/>
    <w:rsid w:val="001B286F"/>
    <w:rsid w:val="001B2F08"/>
    <w:rsid w:val="001B2FEE"/>
    <w:rsid w:val="001B38E5"/>
    <w:rsid w:val="001B39AD"/>
    <w:rsid w:val="001B3A66"/>
    <w:rsid w:val="001B3A7B"/>
    <w:rsid w:val="001B3B58"/>
    <w:rsid w:val="001B4045"/>
    <w:rsid w:val="001B4EC1"/>
    <w:rsid w:val="001B4EEF"/>
    <w:rsid w:val="001B5837"/>
    <w:rsid w:val="001B5D6C"/>
    <w:rsid w:val="001B5F8F"/>
    <w:rsid w:val="001B68EF"/>
    <w:rsid w:val="001B731E"/>
    <w:rsid w:val="001B7818"/>
    <w:rsid w:val="001B7F42"/>
    <w:rsid w:val="001C0412"/>
    <w:rsid w:val="001C0532"/>
    <w:rsid w:val="001C0A41"/>
    <w:rsid w:val="001C0BC9"/>
    <w:rsid w:val="001C149E"/>
    <w:rsid w:val="001C1CC8"/>
    <w:rsid w:val="001C1F41"/>
    <w:rsid w:val="001C1FFE"/>
    <w:rsid w:val="001C20E4"/>
    <w:rsid w:val="001C21A1"/>
    <w:rsid w:val="001C2474"/>
    <w:rsid w:val="001C26FA"/>
    <w:rsid w:val="001C29A8"/>
    <w:rsid w:val="001C2AD2"/>
    <w:rsid w:val="001C3629"/>
    <w:rsid w:val="001C3725"/>
    <w:rsid w:val="001C3CB7"/>
    <w:rsid w:val="001C4241"/>
    <w:rsid w:val="001C4318"/>
    <w:rsid w:val="001C617D"/>
    <w:rsid w:val="001C62E8"/>
    <w:rsid w:val="001C656A"/>
    <w:rsid w:val="001C67AE"/>
    <w:rsid w:val="001C6A8D"/>
    <w:rsid w:val="001C6EA2"/>
    <w:rsid w:val="001C7444"/>
    <w:rsid w:val="001C749B"/>
    <w:rsid w:val="001C7902"/>
    <w:rsid w:val="001C7D9C"/>
    <w:rsid w:val="001D0792"/>
    <w:rsid w:val="001D088B"/>
    <w:rsid w:val="001D09C4"/>
    <w:rsid w:val="001D0EB9"/>
    <w:rsid w:val="001D0F15"/>
    <w:rsid w:val="001D1F33"/>
    <w:rsid w:val="001D2228"/>
    <w:rsid w:val="001D2C70"/>
    <w:rsid w:val="001D2CE9"/>
    <w:rsid w:val="001D2CED"/>
    <w:rsid w:val="001D3249"/>
    <w:rsid w:val="001D341A"/>
    <w:rsid w:val="001D4353"/>
    <w:rsid w:val="001D43EC"/>
    <w:rsid w:val="001D4B51"/>
    <w:rsid w:val="001D541B"/>
    <w:rsid w:val="001D56C8"/>
    <w:rsid w:val="001D5DAE"/>
    <w:rsid w:val="001D5EDA"/>
    <w:rsid w:val="001D5F74"/>
    <w:rsid w:val="001D6185"/>
    <w:rsid w:val="001D62E0"/>
    <w:rsid w:val="001D69DE"/>
    <w:rsid w:val="001D6BCE"/>
    <w:rsid w:val="001D6CEF"/>
    <w:rsid w:val="001D6D92"/>
    <w:rsid w:val="001D72E7"/>
    <w:rsid w:val="001D75FF"/>
    <w:rsid w:val="001D761F"/>
    <w:rsid w:val="001D7989"/>
    <w:rsid w:val="001D7F9D"/>
    <w:rsid w:val="001E04DC"/>
    <w:rsid w:val="001E0BFB"/>
    <w:rsid w:val="001E0C19"/>
    <w:rsid w:val="001E0D2D"/>
    <w:rsid w:val="001E0D3E"/>
    <w:rsid w:val="001E1875"/>
    <w:rsid w:val="001E21D4"/>
    <w:rsid w:val="001E25E9"/>
    <w:rsid w:val="001E2626"/>
    <w:rsid w:val="001E2D06"/>
    <w:rsid w:val="001E3042"/>
    <w:rsid w:val="001E33A4"/>
    <w:rsid w:val="001E3CA3"/>
    <w:rsid w:val="001E3D56"/>
    <w:rsid w:val="001E4111"/>
    <w:rsid w:val="001E5718"/>
    <w:rsid w:val="001E5826"/>
    <w:rsid w:val="001E5965"/>
    <w:rsid w:val="001E62B7"/>
    <w:rsid w:val="001E6419"/>
    <w:rsid w:val="001E680B"/>
    <w:rsid w:val="001E69CA"/>
    <w:rsid w:val="001E6B0F"/>
    <w:rsid w:val="001E6BFF"/>
    <w:rsid w:val="001E73F5"/>
    <w:rsid w:val="001E7AEB"/>
    <w:rsid w:val="001E7B16"/>
    <w:rsid w:val="001F0244"/>
    <w:rsid w:val="001F08D5"/>
    <w:rsid w:val="001F0CD9"/>
    <w:rsid w:val="001F197E"/>
    <w:rsid w:val="001F1A89"/>
    <w:rsid w:val="001F1DC7"/>
    <w:rsid w:val="001F1E5C"/>
    <w:rsid w:val="001F3260"/>
    <w:rsid w:val="001F361B"/>
    <w:rsid w:val="001F3911"/>
    <w:rsid w:val="001F3E9C"/>
    <w:rsid w:val="001F4226"/>
    <w:rsid w:val="001F43C1"/>
    <w:rsid w:val="001F497E"/>
    <w:rsid w:val="001F4C9B"/>
    <w:rsid w:val="001F4FEB"/>
    <w:rsid w:val="001F57EF"/>
    <w:rsid w:val="001F58E9"/>
    <w:rsid w:val="001F5998"/>
    <w:rsid w:val="001F5DB2"/>
    <w:rsid w:val="001F6283"/>
    <w:rsid w:val="001F6998"/>
    <w:rsid w:val="001F6A00"/>
    <w:rsid w:val="001F6CC1"/>
    <w:rsid w:val="001F6D5B"/>
    <w:rsid w:val="001F745A"/>
    <w:rsid w:val="001F76D7"/>
    <w:rsid w:val="001F7773"/>
    <w:rsid w:val="001F7996"/>
    <w:rsid w:val="001F7BD4"/>
    <w:rsid w:val="0020065C"/>
    <w:rsid w:val="00200C7D"/>
    <w:rsid w:val="00200D58"/>
    <w:rsid w:val="00201150"/>
    <w:rsid w:val="00201548"/>
    <w:rsid w:val="00201EA9"/>
    <w:rsid w:val="00202769"/>
    <w:rsid w:val="00203077"/>
    <w:rsid w:val="00203340"/>
    <w:rsid w:val="00203576"/>
    <w:rsid w:val="00203888"/>
    <w:rsid w:val="00204CC0"/>
    <w:rsid w:val="0020522C"/>
    <w:rsid w:val="00205B54"/>
    <w:rsid w:val="00205C76"/>
    <w:rsid w:val="00205CDC"/>
    <w:rsid w:val="002064C3"/>
    <w:rsid w:val="0020654F"/>
    <w:rsid w:val="002070CB"/>
    <w:rsid w:val="0020736E"/>
    <w:rsid w:val="00207A3A"/>
    <w:rsid w:val="00207D1E"/>
    <w:rsid w:val="00210246"/>
    <w:rsid w:val="00210CF4"/>
    <w:rsid w:val="0021182C"/>
    <w:rsid w:val="00212566"/>
    <w:rsid w:val="00212708"/>
    <w:rsid w:val="00212B78"/>
    <w:rsid w:val="00212FFF"/>
    <w:rsid w:val="00213805"/>
    <w:rsid w:val="002139D2"/>
    <w:rsid w:val="00213C56"/>
    <w:rsid w:val="00213E69"/>
    <w:rsid w:val="002140D9"/>
    <w:rsid w:val="00214FD6"/>
    <w:rsid w:val="00214FFF"/>
    <w:rsid w:val="0021508F"/>
    <w:rsid w:val="002150E5"/>
    <w:rsid w:val="00215E33"/>
    <w:rsid w:val="002162DF"/>
    <w:rsid w:val="00216486"/>
    <w:rsid w:val="002172EC"/>
    <w:rsid w:val="00217BE7"/>
    <w:rsid w:val="00217FC2"/>
    <w:rsid w:val="002206E5"/>
    <w:rsid w:val="0022099C"/>
    <w:rsid w:val="00220C09"/>
    <w:rsid w:val="0022115B"/>
    <w:rsid w:val="002211F8"/>
    <w:rsid w:val="00221288"/>
    <w:rsid w:val="00221BA1"/>
    <w:rsid w:val="00221C76"/>
    <w:rsid w:val="00221E56"/>
    <w:rsid w:val="00222CA0"/>
    <w:rsid w:val="00222E89"/>
    <w:rsid w:val="00223138"/>
    <w:rsid w:val="002234C2"/>
    <w:rsid w:val="0022376E"/>
    <w:rsid w:val="00223798"/>
    <w:rsid w:val="0022467D"/>
    <w:rsid w:val="00224E58"/>
    <w:rsid w:val="00225E88"/>
    <w:rsid w:val="00230465"/>
    <w:rsid w:val="00230D99"/>
    <w:rsid w:val="00231127"/>
    <w:rsid w:val="002317EF"/>
    <w:rsid w:val="00231DDB"/>
    <w:rsid w:val="0023204B"/>
    <w:rsid w:val="00232AA3"/>
    <w:rsid w:val="00232D5F"/>
    <w:rsid w:val="002334DD"/>
    <w:rsid w:val="00233741"/>
    <w:rsid w:val="00233C30"/>
    <w:rsid w:val="002349D3"/>
    <w:rsid w:val="0023517A"/>
    <w:rsid w:val="002355BB"/>
    <w:rsid w:val="0023664E"/>
    <w:rsid w:val="002366B5"/>
    <w:rsid w:val="0023677E"/>
    <w:rsid w:val="00237ED6"/>
    <w:rsid w:val="00240656"/>
    <w:rsid w:val="00240F63"/>
    <w:rsid w:val="00240F64"/>
    <w:rsid w:val="002415DE"/>
    <w:rsid w:val="00241C2D"/>
    <w:rsid w:val="00241E70"/>
    <w:rsid w:val="00242552"/>
    <w:rsid w:val="0024274B"/>
    <w:rsid w:val="00242935"/>
    <w:rsid w:val="00242D4F"/>
    <w:rsid w:val="00242EC5"/>
    <w:rsid w:val="0024306A"/>
    <w:rsid w:val="00243A56"/>
    <w:rsid w:val="00243BC5"/>
    <w:rsid w:val="00243BE7"/>
    <w:rsid w:val="00243E01"/>
    <w:rsid w:val="00243FF9"/>
    <w:rsid w:val="00244162"/>
    <w:rsid w:val="00244313"/>
    <w:rsid w:val="00245385"/>
    <w:rsid w:val="002458EF"/>
    <w:rsid w:val="002462B6"/>
    <w:rsid w:val="0024638F"/>
    <w:rsid w:val="002469EC"/>
    <w:rsid w:val="00246A59"/>
    <w:rsid w:val="00246AC7"/>
    <w:rsid w:val="002473DF"/>
    <w:rsid w:val="002474B5"/>
    <w:rsid w:val="002478B6"/>
    <w:rsid w:val="00250139"/>
    <w:rsid w:val="00250197"/>
    <w:rsid w:val="00250287"/>
    <w:rsid w:val="00250B78"/>
    <w:rsid w:val="00250C76"/>
    <w:rsid w:val="002511D0"/>
    <w:rsid w:val="00251981"/>
    <w:rsid w:val="00251FE6"/>
    <w:rsid w:val="002520DA"/>
    <w:rsid w:val="002528E2"/>
    <w:rsid w:val="0025291A"/>
    <w:rsid w:val="00252B6E"/>
    <w:rsid w:val="002531A2"/>
    <w:rsid w:val="00253339"/>
    <w:rsid w:val="00253C59"/>
    <w:rsid w:val="00255867"/>
    <w:rsid w:val="00255E9F"/>
    <w:rsid w:val="002561F7"/>
    <w:rsid w:val="002562C3"/>
    <w:rsid w:val="0025662C"/>
    <w:rsid w:val="00256B46"/>
    <w:rsid w:val="00256C96"/>
    <w:rsid w:val="0025725D"/>
    <w:rsid w:val="00257378"/>
    <w:rsid w:val="00257409"/>
    <w:rsid w:val="00260144"/>
    <w:rsid w:val="002601FB"/>
    <w:rsid w:val="00261756"/>
    <w:rsid w:val="00261E55"/>
    <w:rsid w:val="00261ED0"/>
    <w:rsid w:val="002622DD"/>
    <w:rsid w:val="002623C2"/>
    <w:rsid w:val="00262A01"/>
    <w:rsid w:val="00262A22"/>
    <w:rsid w:val="00262DB8"/>
    <w:rsid w:val="00263018"/>
    <w:rsid w:val="00263399"/>
    <w:rsid w:val="00263B0D"/>
    <w:rsid w:val="00264700"/>
    <w:rsid w:val="00264E8C"/>
    <w:rsid w:val="00264EA0"/>
    <w:rsid w:val="00266261"/>
    <w:rsid w:val="0026673F"/>
    <w:rsid w:val="002669D7"/>
    <w:rsid w:val="00266B6A"/>
    <w:rsid w:val="0026707E"/>
    <w:rsid w:val="002670FB"/>
    <w:rsid w:val="00267219"/>
    <w:rsid w:val="00267274"/>
    <w:rsid w:val="0026762D"/>
    <w:rsid w:val="00267A27"/>
    <w:rsid w:val="00267A3B"/>
    <w:rsid w:val="00267D19"/>
    <w:rsid w:val="002702C2"/>
    <w:rsid w:val="00270B47"/>
    <w:rsid w:val="00270BC2"/>
    <w:rsid w:val="00270C76"/>
    <w:rsid w:val="00270E12"/>
    <w:rsid w:val="0027101A"/>
    <w:rsid w:val="00271791"/>
    <w:rsid w:val="002719F9"/>
    <w:rsid w:val="00271FE8"/>
    <w:rsid w:val="002724C1"/>
    <w:rsid w:val="00272768"/>
    <w:rsid w:val="002733AB"/>
    <w:rsid w:val="002738F0"/>
    <w:rsid w:val="002742E1"/>
    <w:rsid w:val="002744F5"/>
    <w:rsid w:val="00274B1D"/>
    <w:rsid w:val="00274F96"/>
    <w:rsid w:val="002758B2"/>
    <w:rsid w:val="002758B4"/>
    <w:rsid w:val="00275C6C"/>
    <w:rsid w:val="00275D4C"/>
    <w:rsid w:val="00275DAE"/>
    <w:rsid w:val="00276303"/>
    <w:rsid w:val="00277130"/>
    <w:rsid w:val="002776C8"/>
    <w:rsid w:val="00277877"/>
    <w:rsid w:val="0027794B"/>
    <w:rsid w:val="00277B2E"/>
    <w:rsid w:val="00277EF9"/>
    <w:rsid w:val="00280453"/>
    <w:rsid w:val="002804DD"/>
    <w:rsid w:val="002811EB"/>
    <w:rsid w:val="00282262"/>
    <w:rsid w:val="0028269F"/>
    <w:rsid w:val="002830E9"/>
    <w:rsid w:val="002833FD"/>
    <w:rsid w:val="00283B05"/>
    <w:rsid w:val="0028459C"/>
    <w:rsid w:val="00284D56"/>
    <w:rsid w:val="0028502A"/>
    <w:rsid w:val="00285548"/>
    <w:rsid w:val="002857BF"/>
    <w:rsid w:val="00285A34"/>
    <w:rsid w:val="002860B2"/>
    <w:rsid w:val="002868DC"/>
    <w:rsid w:val="002878D8"/>
    <w:rsid w:val="00287ADF"/>
    <w:rsid w:val="002907FA"/>
    <w:rsid w:val="00290D49"/>
    <w:rsid w:val="00290E9D"/>
    <w:rsid w:val="00291EEA"/>
    <w:rsid w:val="00292614"/>
    <w:rsid w:val="00292B93"/>
    <w:rsid w:val="00292F36"/>
    <w:rsid w:val="002931CB"/>
    <w:rsid w:val="0029350D"/>
    <w:rsid w:val="00293A1B"/>
    <w:rsid w:val="00294512"/>
    <w:rsid w:val="002945FB"/>
    <w:rsid w:val="002948F4"/>
    <w:rsid w:val="00294972"/>
    <w:rsid w:val="002952A3"/>
    <w:rsid w:val="00295304"/>
    <w:rsid w:val="00295609"/>
    <w:rsid w:val="00295EE1"/>
    <w:rsid w:val="002965AE"/>
    <w:rsid w:val="00296A5F"/>
    <w:rsid w:val="00296AE3"/>
    <w:rsid w:val="00296EE7"/>
    <w:rsid w:val="002970BC"/>
    <w:rsid w:val="00297215"/>
    <w:rsid w:val="0029795B"/>
    <w:rsid w:val="0029799A"/>
    <w:rsid w:val="00297ADA"/>
    <w:rsid w:val="00297C16"/>
    <w:rsid w:val="002A0702"/>
    <w:rsid w:val="002A0AC8"/>
    <w:rsid w:val="002A26E4"/>
    <w:rsid w:val="002A29B0"/>
    <w:rsid w:val="002A2A51"/>
    <w:rsid w:val="002A30A7"/>
    <w:rsid w:val="002A3B3B"/>
    <w:rsid w:val="002A3E2D"/>
    <w:rsid w:val="002A409C"/>
    <w:rsid w:val="002A4205"/>
    <w:rsid w:val="002A454C"/>
    <w:rsid w:val="002A4BAE"/>
    <w:rsid w:val="002A526E"/>
    <w:rsid w:val="002A5456"/>
    <w:rsid w:val="002A5644"/>
    <w:rsid w:val="002A573A"/>
    <w:rsid w:val="002A5AB0"/>
    <w:rsid w:val="002A623B"/>
    <w:rsid w:val="002A63B0"/>
    <w:rsid w:val="002A63E6"/>
    <w:rsid w:val="002A6559"/>
    <w:rsid w:val="002A6680"/>
    <w:rsid w:val="002A765B"/>
    <w:rsid w:val="002A7846"/>
    <w:rsid w:val="002A7B9D"/>
    <w:rsid w:val="002A7FEC"/>
    <w:rsid w:val="002B02BA"/>
    <w:rsid w:val="002B03AB"/>
    <w:rsid w:val="002B0E55"/>
    <w:rsid w:val="002B0F6D"/>
    <w:rsid w:val="002B20EE"/>
    <w:rsid w:val="002B259C"/>
    <w:rsid w:val="002B25B5"/>
    <w:rsid w:val="002B2798"/>
    <w:rsid w:val="002B29B8"/>
    <w:rsid w:val="002B2E18"/>
    <w:rsid w:val="002B2EE7"/>
    <w:rsid w:val="002B301F"/>
    <w:rsid w:val="002B3480"/>
    <w:rsid w:val="002B3601"/>
    <w:rsid w:val="002B36A7"/>
    <w:rsid w:val="002B3B2B"/>
    <w:rsid w:val="002B3CD1"/>
    <w:rsid w:val="002B407A"/>
    <w:rsid w:val="002B4084"/>
    <w:rsid w:val="002B4240"/>
    <w:rsid w:val="002B4699"/>
    <w:rsid w:val="002B4B31"/>
    <w:rsid w:val="002B51B7"/>
    <w:rsid w:val="002B5218"/>
    <w:rsid w:val="002B5349"/>
    <w:rsid w:val="002B61B0"/>
    <w:rsid w:val="002B6607"/>
    <w:rsid w:val="002B6FF9"/>
    <w:rsid w:val="002B7447"/>
    <w:rsid w:val="002B76FF"/>
    <w:rsid w:val="002C004C"/>
    <w:rsid w:val="002C1959"/>
    <w:rsid w:val="002C2B81"/>
    <w:rsid w:val="002C30D9"/>
    <w:rsid w:val="002C312C"/>
    <w:rsid w:val="002C31ED"/>
    <w:rsid w:val="002C3F4E"/>
    <w:rsid w:val="002C4771"/>
    <w:rsid w:val="002C4937"/>
    <w:rsid w:val="002C4BF3"/>
    <w:rsid w:val="002C56B6"/>
    <w:rsid w:val="002C5883"/>
    <w:rsid w:val="002C58F0"/>
    <w:rsid w:val="002C649D"/>
    <w:rsid w:val="002C66BD"/>
    <w:rsid w:val="002C689E"/>
    <w:rsid w:val="002C706C"/>
    <w:rsid w:val="002C71F6"/>
    <w:rsid w:val="002C75B2"/>
    <w:rsid w:val="002D0109"/>
    <w:rsid w:val="002D071D"/>
    <w:rsid w:val="002D074D"/>
    <w:rsid w:val="002D0832"/>
    <w:rsid w:val="002D0D23"/>
    <w:rsid w:val="002D0FD8"/>
    <w:rsid w:val="002D1B4F"/>
    <w:rsid w:val="002D20A7"/>
    <w:rsid w:val="002D2134"/>
    <w:rsid w:val="002D2D47"/>
    <w:rsid w:val="002D30A4"/>
    <w:rsid w:val="002D33C1"/>
    <w:rsid w:val="002D36F5"/>
    <w:rsid w:val="002D4152"/>
    <w:rsid w:val="002D4202"/>
    <w:rsid w:val="002D42A2"/>
    <w:rsid w:val="002D4869"/>
    <w:rsid w:val="002D4C79"/>
    <w:rsid w:val="002D4C8D"/>
    <w:rsid w:val="002D50AC"/>
    <w:rsid w:val="002D5303"/>
    <w:rsid w:val="002D5835"/>
    <w:rsid w:val="002D5A57"/>
    <w:rsid w:val="002D5AB6"/>
    <w:rsid w:val="002D678C"/>
    <w:rsid w:val="002D6C07"/>
    <w:rsid w:val="002D6D4D"/>
    <w:rsid w:val="002E011A"/>
    <w:rsid w:val="002E0197"/>
    <w:rsid w:val="002E020B"/>
    <w:rsid w:val="002E029F"/>
    <w:rsid w:val="002E0472"/>
    <w:rsid w:val="002E0CF8"/>
    <w:rsid w:val="002E111F"/>
    <w:rsid w:val="002E14E8"/>
    <w:rsid w:val="002E195A"/>
    <w:rsid w:val="002E1C94"/>
    <w:rsid w:val="002E2329"/>
    <w:rsid w:val="002E376E"/>
    <w:rsid w:val="002E39EB"/>
    <w:rsid w:val="002E3D4B"/>
    <w:rsid w:val="002E3DF3"/>
    <w:rsid w:val="002E43BB"/>
    <w:rsid w:val="002E46DD"/>
    <w:rsid w:val="002E4896"/>
    <w:rsid w:val="002E516E"/>
    <w:rsid w:val="002E5546"/>
    <w:rsid w:val="002E5642"/>
    <w:rsid w:val="002E69D6"/>
    <w:rsid w:val="002E72C2"/>
    <w:rsid w:val="002E78CE"/>
    <w:rsid w:val="002E7E36"/>
    <w:rsid w:val="002F0595"/>
    <w:rsid w:val="002F0761"/>
    <w:rsid w:val="002F085B"/>
    <w:rsid w:val="002F0A7E"/>
    <w:rsid w:val="002F167D"/>
    <w:rsid w:val="002F1696"/>
    <w:rsid w:val="002F1A8B"/>
    <w:rsid w:val="002F1F2C"/>
    <w:rsid w:val="002F221E"/>
    <w:rsid w:val="002F2A26"/>
    <w:rsid w:val="002F2E0D"/>
    <w:rsid w:val="002F2E11"/>
    <w:rsid w:val="002F3851"/>
    <w:rsid w:val="002F3934"/>
    <w:rsid w:val="002F3B8C"/>
    <w:rsid w:val="002F3D45"/>
    <w:rsid w:val="002F427D"/>
    <w:rsid w:val="002F441D"/>
    <w:rsid w:val="002F487F"/>
    <w:rsid w:val="002F4ACE"/>
    <w:rsid w:val="002F4FB7"/>
    <w:rsid w:val="002F53D5"/>
    <w:rsid w:val="002F56E9"/>
    <w:rsid w:val="002F5A74"/>
    <w:rsid w:val="002F600E"/>
    <w:rsid w:val="002F681D"/>
    <w:rsid w:val="002F6A29"/>
    <w:rsid w:val="003001A4"/>
    <w:rsid w:val="003004E8"/>
    <w:rsid w:val="0030060D"/>
    <w:rsid w:val="003009AC"/>
    <w:rsid w:val="00300C2E"/>
    <w:rsid w:val="00301126"/>
    <w:rsid w:val="003015AE"/>
    <w:rsid w:val="00301DA9"/>
    <w:rsid w:val="00302DE8"/>
    <w:rsid w:val="0030399F"/>
    <w:rsid w:val="003040B8"/>
    <w:rsid w:val="00304469"/>
    <w:rsid w:val="00304509"/>
    <w:rsid w:val="003054B4"/>
    <w:rsid w:val="00305B5B"/>
    <w:rsid w:val="00306582"/>
    <w:rsid w:val="00306C30"/>
    <w:rsid w:val="00306D78"/>
    <w:rsid w:val="00307156"/>
    <w:rsid w:val="00307216"/>
    <w:rsid w:val="003072B6"/>
    <w:rsid w:val="003073E1"/>
    <w:rsid w:val="00307526"/>
    <w:rsid w:val="0030752A"/>
    <w:rsid w:val="003078C1"/>
    <w:rsid w:val="00307BE1"/>
    <w:rsid w:val="00310374"/>
    <w:rsid w:val="003104F7"/>
    <w:rsid w:val="00310534"/>
    <w:rsid w:val="00310A70"/>
    <w:rsid w:val="003115B8"/>
    <w:rsid w:val="003121DF"/>
    <w:rsid w:val="00312388"/>
    <w:rsid w:val="00313079"/>
    <w:rsid w:val="0031318D"/>
    <w:rsid w:val="00313785"/>
    <w:rsid w:val="0031487D"/>
    <w:rsid w:val="00314B75"/>
    <w:rsid w:val="00314E12"/>
    <w:rsid w:val="003150E0"/>
    <w:rsid w:val="003152A1"/>
    <w:rsid w:val="003154A7"/>
    <w:rsid w:val="0031564E"/>
    <w:rsid w:val="003157EC"/>
    <w:rsid w:val="00315FC6"/>
    <w:rsid w:val="00316585"/>
    <w:rsid w:val="00316C1B"/>
    <w:rsid w:val="00317162"/>
    <w:rsid w:val="003179E9"/>
    <w:rsid w:val="00320CB3"/>
    <w:rsid w:val="00320FE0"/>
    <w:rsid w:val="00321080"/>
    <w:rsid w:val="00321165"/>
    <w:rsid w:val="00321843"/>
    <w:rsid w:val="003223CF"/>
    <w:rsid w:val="00322DDF"/>
    <w:rsid w:val="00322F1A"/>
    <w:rsid w:val="003230B8"/>
    <w:rsid w:val="003230D8"/>
    <w:rsid w:val="00323685"/>
    <w:rsid w:val="003238C1"/>
    <w:rsid w:val="003238E0"/>
    <w:rsid w:val="00323D2B"/>
    <w:rsid w:val="00324378"/>
    <w:rsid w:val="00324739"/>
    <w:rsid w:val="003247CA"/>
    <w:rsid w:val="00324851"/>
    <w:rsid w:val="00324A12"/>
    <w:rsid w:val="00324FAA"/>
    <w:rsid w:val="003251B7"/>
    <w:rsid w:val="003255C5"/>
    <w:rsid w:val="00325A99"/>
    <w:rsid w:val="00325D56"/>
    <w:rsid w:val="003263B2"/>
    <w:rsid w:val="00326506"/>
    <w:rsid w:val="003275C2"/>
    <w:rsid w:val="0032771D"/>
    <w:rsid w:val="00327738"/>
    <w:rsid w:val="003277F4"/>
    <w:rsid w:val="00327ACC"/>
    <w:rsid w:val="00327F1D"/>
    <w:rsid w:val="0033013A"/>
    <w:rsid w:val="0033077C"/>
    <w:rsid w:val="00330829"/>
    <w:rsid w:val="00330CB1"/>
    <w:rsid w:val="00331030"/>
    <w:rsid w:val="00331104"/>
    <w:rsid w:val="003314B0"/>
    <w:rsid w:val="00331CCB"/>
    <w:rsid w:val="00332137"/>
    <w:rsid w:val="00332646"/>
    <w:rsid w:val="00332875"/>
    <w:rsid w:val="003329BA"/>
    <w:rsid w:val="00333344"/>
    <w:rsid w:val="00333BBA"/>
    <w:rsid w:val="00334296"/>
    <w:rsid w:val="00335726"/>
    <w:rsid w:val="003358A4"/>
    <w:rsid w:val="00335FD6"/>
    <w:rsid w:val="0033698F"/>
    <w:rsid w:val="00336C6D"/>
    <w:rsid w:val="00337132"/>
    <w:rsid w:val="003377F5"/>
    <w:rsid w:val="00337DC7"/>
    <w:rsid w:val="00337EAB"/>
    <w:rsid w:val="0034063F"/>
    <w:rsid w:val="003417BD"/>
    <w:rsid w:val="00342956"/>
    <w:rsid w:val="0034308A"/>
    <w:rsid w:val="003430D2"/>
    <w:rsid w:val="003432B0"/>
    <w:rsid w:val="0034386D"/>
    <w:rsid w:val="00344242"/>
    <w:rsid w:val="00344283"/>
    <w:rsid w:val="00344658"/>
    <w:rsid w:val="00345A3C"/>
    <w:rsid w:val="0034616F"/>
    <w:rsid w:val="00346A09"/>
    <w:rsid w:val="00346ACC"/>
    <w:rsid w:val="00346B9B"/>
    <w:rsid w:val="003470ED"/>
    <w:rsid w:val="00347111"/>
    <w:rsid w:val="00347565"/>
    <w:rsid w:val="0034767D"/>
    <w:rsid w:val="00347D5F"/>
    <w:rsid w:val="00350988"/>
    <w:rsid w:val="003514CE"/>
    <w:rsid w:val="00351F4B"/>
    <w:rsid w:val="00352135"/>
    <w:rsid w:val="003526C4"/>
    <w:rsid w:val="003526E2"/>
    <w:rsid w:val="0035289C"/>
    <w:rsid w:val="00353246"/>
    <w:rsid w:val="00353FCC"/>
    <w:rsid w:val="00354315"/>
    <w:rsid w:val="003543C4"/>
    <w:rsid w:val="00354B43"/>
    <w:rsid w:val="00355F46"/>
    <w:rsid w:val="00355FAD"/>
    <w:rsid w:val="003561B5"/>
    <w:rsid w:val="003563D4"/>
    <w:rsid w:val="003569EA"/>
    <w:rsid w:val="00356BD8"/>
    <w:rsid w:val="00356D94"/>
    <w:rsid w:val="00357689"/>
    <w:rsid w:val="0035776D"/>
    <w:rsid w:val="003578CD"/>
    <w:rsid w:val="00360538"/>
    <w:rsid w:val="003608B2"/>
    <w:rsid w:val="003611CC"/>
    <w:rsid w:val="0036142A"/>
    <w:rsid w:val="0036166A"/>
    <w:rsid w:val="00361AD4"/>
    <w:rsid w:val="00361C04"/>
    <w:rsid w:val="00361FC7"/>
    <w:rsid w:val="00362449"/>
    <w:rsid w:val="00362A10"/>
    <w:rsid w:val="00362FF4"/>
    <w:rsid w:val="0036356F"/>
    <w:rsid w:val="00363E08"/>
    <w:rsid w:val="003640F0"/>
    <w:rsid w:val="00364DC4"/>
    <w:rsid w:val="0036525F"/>
    <w:rsid w:val="003653B6"/>
    <w:rsid w:val="003657E5"/>
    <w:rsid w:val="00365F11"/>
    <w:rsid w:val="00365FD8"/>
    <w:rsid w:val="003661ED"/>
    <w:rsid w:val="00366C6F"/>
    <w:rsid w:val="00366DB8"/>
    <w:rsid w:val="00366DBC"/>
    <w:rsid w:val="00366DD4"/>
    <w:rsid w:val="00366E21"/>
    <w:rsid w:val="00367326"/>
    <w:rsid w:val="003674FE"/>
    <w:rsid w:val="0037020E"/>
    <w:rsid w:val="003702B4"/>
    <w:rsid w:val="00370CBC"/>
    <w:rsid w:val="00371632"/>
    <w:rsid w:val="0037180F"/>
    <w:rsid w:val="003719AC"/>
    <w:rsid w:val="00372171"/>
    <w:rsid w:val="00372ADD"/>
    <w:rsid w:val="00373230"/>
    <w:rsid w:val="003741BC"/>
    <w:rsid w:val="00374C75"/>
    <w:rsid w:val="00375700"/>
    <w:rsid w:val="00375BC0"/>
    <w:rsid w:val="00375C03"/>
    <w:rsid w:val="00376683"/>
    <w:rsid w:val="00376D0C"/>
    <w:rsid w:val="00377AD9"/>
    <w:rsid w:val="00377C7E"/>
    <w:rsid w:val="00377CDF"/>
    <w:rsid w:val="00377EF1"/>
    <w:rsid w:val="00377FFE"/>
    <w:rsid w:val="003800ED"/>
    <w:rsid w:val="003809DB"/>
    <w:rsid w:val="00380ADE"/>
    <w:rsid w:val="00380B04"/>
    <w:rsid w:val="00380C35"/>
    <w:rsid w:val="003813E3"/>
    <w:rsid w:val="00381D9A"/>
    <w:rsid w:val="00381FC0"/>
    <w:rsid w:val="00382D08"/>
    <w:rsid w:val="00383077"/>
    <w:rsid w:val="0038352C"/>
    <w:rsid w:val="0038373C"/>
    <w:rsid w:val="00383C0E"/>
    <w:rsid w:val="00383F63"/>
    <w:rsid w:val="00384980"/>
    <w:rsid w:val="00384D2B"/>
    <w:rsid w:val="00385003"/>
    <w:rsid w:val="003854AE"/>
    <w:rsid w:val="00385DF6"/>
    <w:rsid w:val="00385E35"/>
    <w:rsid w:val="0038612A"/>
    <w:rsid w:val="0038631B"/>
    <w:rsid w:val="003865D2"/>
    <w:rsid w:val="00386897"/>
    <w:rsid w:val="00386DAF"/>
    <w:rsid w:val="0038700F"/>
    <w:rsid w:val="0038706E"/>
    <w:rsid w:val="0038706F"/>
    <w:rsid w:val="0038750D"/>
    <w:rsid w:val="0038758B"/>
    <w:rsid w:val="00387DB9"/>
    <w:rsid w:val="00390687"/>
    <w:rsid w:val="003914A4"/>
    <w:rsid w:val="003916AA"/>
    <w:rsid w:val="003918C0"/>
    <w:rsid w:val="00391D84"/>
    <w:rsid w:val="00391F4B"/>
    <w:rsid w:val="00392130"/>
    <w:rsid w:val="00392215"/>
    <w:rsid w:val="00392629"/>
    <w:rsid w:val="00392B20"/>
    <w:rsid w:val="00393877"/>
    <w:rsid w:val="00393F03"/>
    <w:rsid w:val="00394758"/>
    <w:rsid w:val="00394E13"/>
    <w:rsid w:val="00395248"/>
    <w:rsid w:val="003952C3"/>
    <w:rsid w:val="00395445"/>
    <w:rsid w:val="0039585C"/>
    <w:rsid w:val="0039623B"/>
    <w:rsid w:val="0039635B"/>
    <w:rsid w:val="0039651D"/>
    <w:rsid w:val="003966A7"/>
    <w:rsid w:val="003966BF"/>
    <w:rsid w:val="003971D0"/>
    <w:rsid w:val="00397F88"/>
    <w:rsid w:val="003A016E"/>
    <w:rsid w:val="003A0746"/>
    <w:rsid w:val="003A07C8"/>
    <w:rsid w:val="003A0C69"/>
    <w:rsid w:val="003A1555"/>
    <w:rsid w:val="003A185C"/>
    <w:rsid w:val="003A356A"/>
    <w:rsid w:val="003A3CC6"/>
    <w:rsid w:val="003A4143"/>
    <w:rsid w:val="003A42A3"/>
    <w:rsid w:val="003A4536"/>
    <w:rsid w:val="003A4DD0"/>
    <w:rsid w:val="003A4DE3"/>
    <w:rsid w:val="003A4E6F"/>
    <w:rsid w:val="003A58E6"/>
    <w:rsid w:val="003A5A0F"/>
    <w:rsid w:val="003A5FAF"/>
    <w:rsid w:val="003A63D2"/>
    <w:rsid w:val="003A65E5"/>
    <w:rsid w:val="003A6664"/>
    <w:rsid w:val="003A67C6"/>
    <w:rsid w:val="003A6E44"/>
    <w:rsid w:val="003A722E"/>
    <w:rsid w:val="003A735F"/>
    <w:rsid w:val="003A7796"/>
    <w:rsid w:val="003A7D58"/>
    <w:rsid w:val="003B01EE"/>
    <w:rsid w:val="003B07EC"/>
    <w:rsid w:val="003B11FF"/>
    <w:rsid w:val="003B197D"/>
    <w:rsid w:val="003B1F85"/>
    <w:rsid w:val="003B2478"/>
    <w:rsid w:val="003B2495"/>
    <w:rsid w:val="003B298A"/>
    <w:rsid w:val="003B29FC"/>
    <w:rsid w:val="003B3C21"/>
    <w:rsid w:val="003B400E"/>
    <w:rsid w:val="003B4AD2"/>
    <w:rsid w:val="003B56F7"/>
    <w:rsid w:val="003B571E"/>
    <w:rsid w:val="003B5D0C"/>
    <w:rsid w:val="003B611D"/>
    <w:rsid w:val="003B658C"/>
    <w:rsid w:val="003B69BE"/>
    <w:rsid w:val="003B6FA3"/>
    <w:rsid w:val="003B7AD7"/>
    <w:rsid w:val="003B7B2E"/>
    <w:rsid w:val="003C0399"/>
    <w:rsid w:val="003C0A21"/>
    <w:rsid w:val="003C0D0A"/>
    <w:rsid w:val="003C11AF"/>
    <w:rsid w:val="003C158F"/>
    <w:rsid w:val="003C1CFE"/>
    <w:rsid w:val="003C1D02"/>
    <w:rsid w:val="003C1D7B"/>
    <w:rsid w:val="003C200F"/>
    <w:rsid w:val="003C2688"/>
    <w:rsid w:val="003C2DEF"/>
    <w:rsid w:val="003C2FF8"/>
    <w:rsid w:val="003C34A2"/>
    <w:rsid w:val="003C3AF3"/>
    <w:rsid w:val="003C3B6C"/>
    <w:rsid w:val="003C4011"/>
    <w:rsid w:val="003C4479"/>
    <w:rsid w:val="003C4704"/>
    <w:rsid w:val="003C4C38"/>
    <w:rsid w:val="003C5C15"/>
    <w:rsid w:val="003C6955"/>
    <w:rsid w:val="003C7313"/>
    <w:rsid w:val="003C7413"/>
    <w:rsid w:val="003D00E8"/>
    <w:rsid w:val="003D0476"/>
    <w:rsid w:val="003D0BF3"/>
    <w:rsid w:val="003D173C"/>
    <w:rsid w:val="003D1993"/>
    <w:rsid w:val="003D1BB3"/>
    <w:rsid w:val="003D312A"/>
    <w:rsid w:val="003D3438"/>
    <w:rsid w:val="003D354A"/>
    <w:rsid w:val="003D36E5"/>
    <w:rsid w:val="003D3826"/>
    <w:rsid w:val="003D3A07"/>
    <w:rsid w:val="003D43C2"/>
    <w:rsid w:val="003D452B"/>
    <w:rsid w:val="003D4FB4"/>
    <w:rsid w:val="003D5494"/>
    <w:rsid w:val="003D5D86"/>
    <w:rsid w:val="003D6BE6"/>
    <w:rsid w:val="003D72D6"/>
    <w:rsid w:val="003D73CA"/>
    <w:rsid w:val="003D7475"/>
    <w:rsid w:val="003E044C"/>
    <w:rsid w:val="003E0594"/>
    <w:rsid w:val="003E0B0D"/>
    <w:rsid w:val="003E0C7D"/>
    <w:rsid w:val="003E0E71"/>
    <w:rsid w:val="003E164D"/>
    <w:rsid w:val="003E1B3C"/>
    <w:rsid w:val="003E1D04"/>
    <w:rsid w:val="003E1D57"/>
    <w:rsid w:val="003E1FB5"/>
    <w:rsid w:val="003E217A"/>
    <w:rsid w:val="003E301A"/>
    <w:rsid w:val="003E31C1"/>
    <w:rsid w:val="003E3739"/>
    <w:rsid w:val="003E3C20"/>
    <w:rsid w:val="003E3D1D"/>
    <w:rsid w:val="003E3EED"/>
    <w:rsid w:val="003E4237"/>
    <w:rsid w:val="003E4BDC"/>
    <w:rsid w:val="003E4EA7"/>
    <w:rsid w:val="003E51E4"/>
    <w:rsid w:val="003E53F5"/>
    <w:rsid w:val="003E58CF"/>
    <w:rsid w:val="003E69A7"/>
    <w:rsid w:val="003F01C9"/>
    <w:rsid w:val="003F078B"/>
    <w:rsid w:val="003F0F53"/>
    <w:rsid w:val="003F0F80"/>
    <w:rsid w:val="003F179C"/>
    <w:rsid w:val="003F182E"/>
    <w:rsid w:val="003F3086"/>
    <w:rsid w:val="003F31B8"/>
    <w:rsid w:val="003F33B4"/>
    <w:rsid w:val="003F366E"/>
    <w:rsid w:val="003F4051"/>
    <w:rsid w:val="003F4A5A"/>
    <w:rsid w:val="003F4DF6"/>
    <w:rsid w:val="003F504B"/>
    <w:rsid w:val="003F5CEA"/>
    <w:rsid w:val="003F5D26"/>
    <w:rsid w:val="003F6124"/>
    <w:rsid w:val="003F6956"/>
    <w:rsid w:val="003F76D6"/>
    <w:rsid w:val="003F78E2"/>
    <w:rsid w:val="003F7A07"/>
    <w:rsid w:val="003F7C25"/>
    <w:rsid w:val="004004C3"/>
    <w:rsid w:val="004006BC"/>
    <w:rsid w:val="004007E6"/>
    <w:rsid w:val="00400841"/>
    <w:rsid w:val="004009C7"/>
    <w:rsid w:val="00401305"/>
    <w:rsid w:val="00401CF7"/>
    <w:rsid w:val="004021C4"/>
    <w:rsid w:val="00403159"/>
    <w:rsid w:val="004032AB"/>
    <w:rsid w:val="004032D1"/>
    <w:rsid w:val="004034F3"/>
    <w:rsid w:val="004035F2"/>
    <w:rsid w:val="00403885"/>
    <w:rsid w:val="004039B5"/>
    <w:rsid w:val="00403B14"/>
    <w:rsid w:val="00403B98"/>
    <w:rsid w:val="00403DF7"/>
    <w:rsid w:val="00404695"/>
    <w:rsid w:val="004049C3"/>
    <w:rsid w:val="00404A69"/>
    <w:rsid w:val="00404B25"/>
    <w:rsid w:val="00404F3C"/>
    <w:rsid w:val="00404F5C"/>
    <w:rsid w:val="00404FD9"/>
    <w:rsid w:val="004054A7"/>
    <w:rsid w:val="0040551F"/>
    <w:rsid w:val="004058D4"/>
    <w:rsid w:val="00405C53"/>
    <w:rsid w:val="00406E33"/>
    <w:rsid w:val="00406EEB"/>
    <w:rsid w:val="004079DE"/>
    <w:rsid w:val="00410152"/>
    <w:rsid w:val="00410245"/>
    <w:rsid w:val="00410583"/>
    <w:rsid w:val="00410AC8"/>
    <w:rsid w:val="00410C91"/>
    <w:rsid w:val="00411956"/>
    <w:rsid w:val="00411BDC"/>
    <w:rsid w:val="00412FD3"/>
    <w:rsid w:val="00413828"/>
    <w:rsid w:val="004142E0"/>
    <w:rsid w:val="004147E1"/>
    <w:rsid w:val="0041497B"/>
    <w:rsid w:val="00414A5E"/>
    <w:rsid w:val="00414ADD"/>
    <w:rsid w:val="004161D3"/>
    <w:rsid w:val="004166B2"/>
    <w:rsid w:val="00416777"/>
    <w:rsid w:val="004167FA"/>
    <w:rsid w:val="004169D3"/>
    <w:rsid w:val="004174E1"/>
    <w:rsid w:val="00420276"/>
    <w:rsid w:val="00420987"/>
    <w:rsid w:val="00420CE2"/>
    <w:rsid w:val="00421158"/>
    <w:rsid w:val="00422062"/>
    <w:rsid w:val="0042211E"/>
    <w:rsid w:val="0042291D"/>
    <w:rsid w:val="00422C73"/>
    <w:rsid w:val="00422D62"/>
    <w:rsid w:val="00422F32"/>
    <w:rsid w:val="00423000"/>
    <w:rsid w:val="0042307E"/>
    <w:rsid w:val="00423380"/>
    <w:rsid w:val="00423B4F"/>
    <w:rsid w:val="00423EA6"/>
    <w:rsid w:val="00423F78"/>
    <w:rsid w:val="00424146"/>
    <w:rsid w:val="004245CB"/>
    <w:rsid w:val="00425AA6"/>
    <w:rsid w:val="00425C9F"/>
    <w:rsid w:val="00425EF0"/>
    <w:rsid w:val="00426A64"/>
    <w:rsid w:val="00426D62"/>
    <w:rsid w:val="00427D8C"/>
    <w:rsid w:val="00427E77"/>
    <w:rsid w:val="00427F14"/>
    <w:rsid w:val="00430852"/>
    <w:rsid w:val="00430944"/>
    <w:rsid w:val="00430D1F"/>
    <w:rsid w:val="0043145E"/>
    <w:rsid w:val="00431567"/>
    <w:rsid w:val="00431A03"/>
    <w:rsid w:val="00431D96"/>
    <w:rsid w:val="00431F7D"/>
    <w:rsid w:val="00432142"/>
    <w:rsid w:val="0043222D"/>
    <w:rsid w:val="00432794"/>
    <w:rsid w:val="00432D7A"/>
    <w:rsid w:val="0043356D"/>
    <w:rsid w:val="00433FCB"/>
    <w:rsid w:val="0043400A"/>
    <w:rsid w:val="0043447F"/>
    <w:rsid w:val="004345F9"/>
    <w:rsid w:val="0043498F"/>
    <w:rsid w:val="0043510C"/>
    <w:rsid w:val="00435A46"/>
    <w:rsid w:val="00435DE8"/>
    <w:rsid w:val="00435F92"/>
    <w:rsid w:val="00436283"/>
    <w:rsid w:val="00437365"/>
    <w:rsid w:val="004374F7"/>
    <w:rsid w:val="0043779C"/>
    <w:rsid w:val="00437D24"/>
    <w:rsid w:val="00437ED7"/>
    <w:rsid w:val="00440487"/>
    <w:rsid w:val="00440761"/>
    <w:rsid w:val="004407BB"/>
    <w:rsid w:val="00440D6E"/>
    <w:rsid w:val="00440F67"/>
    <w:rsid w:val="0044137F"/>
    <w:rsid w:val="00441623"/>
    <w:rsid w:val="00441800"/>
    <w:rsid w:val="00442241"/>
    <w:rsid w:val="0044299B"/>
    <w:rsid w:val="00442C41"/>
    <w:rsid w:val="0044307D"/>
    <w:rsid w:val="00443995"/>
    <w:rsid w:val="00443E9E"/>
    <w:rsid w:val="00444254"/>
    <w:rsid w:val="0044439E"/>
    <w:rsid w:val="004453D8"/>
    <w:rsid w:val="004454AB"/>
    <w:rsid w:val="00445A73"/>
    <w:rsid w:val="00445BB6"/>
    <w:rsid w:val="0044601C"/>
    <w:rsid w:val="0044745E"/>
    <w:rsid w:val="004475C1"/>
    <w:rsid w:val="00447833"/>
    <w:rsid w:val="00447B67"/>
    <w:rsid w:val="00447C33"/>
    <w:rsid w:val="00450107"/>
    <w:rsid w:val="0045062C"/>
    <w:rsid w:val="004508E6"/>
    <w:rsid w:val="00450D3E"/>
    <w:rsid w:val="0045112F"/>
    <w:rsid w:val="00451214"/>
    <w:rsid w:val="004512A5"/>
    <w:rsid w:val="004512B5"/>
    <w:rsid w:val="00451EF9"/>
    <w:rsid w:val="00452A9D"/>
    <w:rsid w:val="00452AC5"/>
    <w:rsid w:val="00452E93"/>
    <w:rsid w:val="004537FA"/>
    <w:rsid w:val="00453B30"/>
    <w:rsid w:val="00453BBB"/>
    <w:rsid w:val="00453D06"/>
    <w:rsid w:val="00453D68"/>
    <w:rsid w:val="00453E18"/>
    <w:rsid w:val="0045472C"/>
    <w:rsid w:val="00454AF4"/>
    <w:rsid w:val="00454FC6"/>
    <w:rsid w:val="004551F6"/>
    <w:rsid w:val="0045550B"/>
    <w:rsid w:val="004559D2"/>
    <w:rsid w:val="004566EE"/>
    <w:rsid w:val="00456771"/>
    <w:rsid w:val="004568CF"/>
    <w:rsid w:val="00456F85"/>
    <w:rsid w:val="00456F9E"/>
    <w:rsid w:val="004603D3"/>
    <w:rsid w:val="004619E1"/>
    <w:rsid w:val="00461F82"/>
    <w:rsid w:val="0046213F"/>
    <w:rsid w:val="00462350"/>
    <w:rsid w:val="00462582"/>
    <w:rsid w:val="004629C5"/>
    <w:rsid w:val="00462EC3"/>
    <w:rsid w:val="0046317E"/>
    <w:rsid w:val="00463883"/>
    <w:rsid w:val="004638E4"/>
    <w:rsid w:val="0046414E"/>
    <w:rsid w:val="004641B9"/>
    <w:rsid w:val="0046462C"/>
    <w:rsid w:val="00464E8B"/>
    <w:rsid w:val="004657AB"/>
    <w:rsid w:val="00465855"/>
    <w:rsid w:val="004658EE"/>
    <w:rsid w:val="00465B3A"/>
    <w:rsid w:val="004664E9"/>
    <w:rsid w:val="004668AD"/>
    <w:rsid w:val="00466A48"/>
    <w:rsid w:val="00466A4B"/>
    <w:rsid w:val="00466A9D"/>
    <w:rsid w:val="0046710F"/>
    <w:rsid w:val="0046731F"/>
    <w:rsid w:val="00470C59"/>
    <w:rsid w:val="00470D0E"/>
    <w:rsid w:val="00470E39"/>
    <w:rsid w:val="00470EAE"/>
    <w:rsid w:val="00471748"/>
    <w:rsid w:val="00472A52"/>
    <w:rsid w:val="0047322B"/>
    <w:rsid w:val="004733BA"/>
    <w:rsid w:val="004737EE"/>
    <w:rsid w:val="0047424C"/>
    <w:rsid w:val="004742FD"/>
    <w:rsid w:val="00474468"/>
    <w:rsid w:val="00474E08"/>
    <w:rsid w:val="0047535A"/>
    <w:rsid w:val="00475EA9"/>
    <w:rsid w:val="004767EC"/>
    <w:rsid w:val="0047687C"/>
    <w:rsid w:val="00476A37"/>
    <w:rsid w:val="00476F60"/>
    <w:rsid w:val="004770C6"/>
    <w:rsid w:val="0047754B"/>
    <w:rsid w:val="00477565"/>
    <w:rsid w:val="00477B2A"/>
    <w:rsid w:val="00477BB0"/>
    <w:rsid w:val="00477CF2"/>
    <w:rsid w:val="00477CFD"/>
    <w:rsid w:val="0048015F"/>
    <w:rsid w:val="0048049C"/>
    <w:rsid w:val="00480643"/>
    <w:rsid w:val="00480B86"/>
    <w:rsid w:val="004816C5"/>
    <w:rsid w:val="00481BF0"/>
    <w:rsid w:val="00481CF9"/>
    <w:rsid w:val="00481D56"/>
    <w:rsid w:val="00482291"/>
    <w:rsid w:val="0048256B"/>
    <w:rsid w:val="00483625"/>
    <w:rsid w:val="0048363C"/>
    <w:rsid w:val="00483950"/>
    <w:rsid w:val="00483EDC"/>
    <w:rsid w:val="00483F26"/>
    <w:rsid w:val="004840F7"/>
    <w:rsid w:val="00484499"/>
    <w:rsid w:val="00484E92"/>
    <w:rsid w:val="00485982"/>
    <w:rsid w:val="00486134"/>
    <w:rsid w:val="0048666C"/>
    <w:rsid w:val="004870C4"/>
    <w:rsid w:val="004878C0"/>
    <w:rsid w:val="00487B0E"/>
    <w:rsid w:val="00487FA9"/>
    <w:rsid w:val="00490208"/>
    <w:rsid w:val="004906E8"/>
    <w:rsid w:val="004908C2"/>
    <w:rsid w:val="004908DD"/>
    <w:rsid w:val="00490A6B"/>
    <w:rsid w:val="00490B0C"/>
    <w:rsid w:val="00491BEF"/>
    <w:rsid w:val="00491EF5"/>
    <w:rsid w:val="0049200D"/>
    <w:rsid w:val="004920CB"/>
    <w:rsid w:val="0049221F"/>
    <w:rsid w:val="0049252B"/>
    <w:rsid w:val="00492B4B"/>
    <w:rsid w:val="00492E25"/>
    <w:rsid w:val="00492EE6"/>
    <w:rsid w:val="00493354"/>
    <w:rsid w:val="0049389E"/>
    <w:rsid w:val="00493ABD"/>
    <w:rsid w:val="0049418A"/>
    <w:rsid w:val="004947AD"/>
    <w:rsid w:val="00494A33"/>
    <w:rsid w:val="00494BFF"/>
    <w:rsid w:val="00495356"/>
    <w:rsid w:val="00495567"/>
    <w:rsid w:val="004958A6"/>
    <w:rsid w:val="00496239"/>
    <w:rsid w:val="004962EE"/>
    <w:rsid w:val="00496786"/>
    <w:rsid w:val="00497176"/>
    <w:rsid w:val="0049725A"/>
    <w:rsid w:val="0049763A"/>
    <w:rsid w:val="00497ABE"/>
    <w:rsid w:val="004A0396"/>
    <w:rsid w:val="004A03EA"/>
    <w:rsid w:val="004A0C31"/>
    <w:rsid w:val="004A0C59"/>
    <w:rsid w:val="004A10C1"/>
    <w:rsid w:val="004A193A"/>
    <w:rsid w:val="004A2146"/>
    <w:rsid w:val="004A26F9"/>
    <w:rsid w:val="004A2A0E"/>
    <w:rsid w:val="004A324D"/>
    <w:rsid w:val="004A32B2"/>
    <w:rsid w:val="004A34BD"/>
    <w:rsid w:val="004A385A"/>
    <w:rsid w:val="004A4C25"/>
    <w:rsid w:val="004A4D7C"/>
    <w:rsid w:val="004A4E6B"/>
    <w:rsid w:val="004A550F"/>
    <w:rsid w:val="004A55C8"/>
    <w:rsid w:val="004A5613"/>
    <w:rsid w:val="004A5823"/>
    <w:rsid w:val="004A58D0"/>
    <w:rsid w:val="004A5E19"/>
    <w:rsid w:val="004A62D6"/>
    <w:rsid w:val="004A6900"/>
    <w:rsid w:val="004A6AD6"/>
    <w:rsid w:val="004A6D5F"/>
    <w:rsid w:val="004A72D4"/>
    <w:rsid w:val="004A7A14"/>
    <w:rsid w:val="004A7F55"/>
    <w:rsid w:val="004B071D"/>
    <w:rsid w:val="004B0736"/>
    <w:rsid w:val="004B07AF"/>
    <w:rsid w:val="004B0940"/>
    <w:rsid w:val="004B0960"/>
    <w:rsid w:val="004B0AD6"/>
    <w:rsid w:val="004B0BE6"/>
    <w:rsid w:val="004B1BE5"/>
    <w:rsid w:val="004B210A"/>
    <w:rsid w:val="004B27C4"/>
    <w:rsid w:val="004B3233"/>
    <w:rsid w:val="004B390F"/>
    <w:rsid w:val="004B399D"/>
    <w:rsid w:val="004B3C31"/>
    <w:rsid w:val="004B3CAD"/>
    <w:rsid w:val="004B45B6"/>
    <w:rsid w:val="004B47D6"/>
    <w:rsid w:val="004B4B42"/>
    <w:rsid w:val="004B5007"/>
    <w:rsid w:val="004B519A"/>
    <w:rsid w:val="004B56CD"/>
    <w:rsid w:val="004B65B1"/>
    <w:rsid w:val="004B66CE"/>
    <w:rsid w:val="004B682B"/>
    <w:rsid w:val="004B6CC9"/>
    <w:rsid w:val="004B706B"/>
    <w:rsid w:val="004B7D36"/>
    <w:rsid w:val="004C007B"/>
    <w:rsid w:val="004C0170"/>
    <w:rsid w:val="004C080B"/>
    <w:rsid w:val="004C0B4D"/>
    <w:rsid w:val="004C0CD5"/>
    <w:rsid w:val="004C165E"/>
    <w:rsid w:val="004C1CD9"/>
    <w:rsid w:val="004C1CE4"/>
    <w:rsid w:val="004C1D71"/>
    <w:rsid w:val="004C2740"/>
    <w:rsid w:val="004C2774"/>
    <w:rsid w:val="004C2794"/>
    <w:rsid w:val="004C2BB1"/>
    <w:rsid w:val="004C2C4F"/>
    <w:rsid w:val="004C2DE1"/>
    <w:rsid w:val="004C2F50"/>
    <w:rsid w:val="004C2F86"/>
    <w:rsid w:val="004C3A5F"/>
    <w:rsid w:val="004C4002"/>
    <w:rsid w:val="004C423F"/>
    <w:rsid w:val="004C4A86"/>
    <w:rsid w:val="004C4ED8"/>
    <w:rsid w:val="004C5213"/>
    <w:rsid w:val="004C548F"/>
    <w:rsid w:val="004C54C9"/>
    <w:rsid w:val="004C5734"/>
    <w:rsid w:val="004C5D5E"/>
    <w:rsid w:val="004C5DBF"/>
    <w:rsid w:val="004C6003"/>
    <w:rsid w:val="004C60B6"/>
    <w:rsid w:val="004C66A0"/>
    <w:rsid w:val="004C6920"/>
    <w:rsid w:val="004C6DB8"/>
    <w:rsid w:val="004C70BD"/>
    <w:rsid w:val="004C7534"/>
    <w:rsid w:val="004C76D8"/>
    <w:rsid w:val="004C7D25"/>
    <w:rsid w:val="004D027F"/>
    <w:rsid w:val="004D041B"/>
    <w:rsid w:val="004D089E"/>
    <w:rsid w:val="004D0AAF"/>
    <w:rsid w:val="004D0AF5"/>
    <w:rsid w:val="004D0AFC"/>
    <w:rsid w:val="004D12B6"/>
    <w:rsid w:val="004D1593"/>
    <w:rsid w:val="004D18E3"/>
    <w:rsid w:val="004D1B34"/>
    <w:rsid w:val="004D1D50"/>
    <w:rsid w:val="004D2481"/>
    <w:rsid w:val="004D25E9"/>
    <w:rsid w:val="004D3F96"/>
    <w:rsid w:val="004D42D7"/>
    <w:rsid w:val="004D4AD1"/>
    <w:rsid w:val="004D4F76"/>
    <w:rsid w:val="004D5538"/>
    <w:rsid w:val="004D58DA"/>
    <w:rsid w:val="004D5C5B"/>
    <w:rsid w:val="004D5CA2"/>
    <w:rsid w:val="004D61FB"/>
    <w:rsid w:val="004D6469"/>
    <w:rsid w:val="004D6958"/>
    <w:rsid w:val="004D6C06"/>
    <w:rsid w:val="004D6DEA"/>
    <w:rsid w:val="004D7111"/>
    <w:rsid w:val="004D7149"/>
    <w:rsid w:val="004D7606"/>
    <w:rsid w:val="004E02D6"/>
    <w:rsid w:val="004E0CEE"/>
    <w:rsid w:val="004E19D7"/>
    <w:rsid w:val="004E1ED5"/>
    <w:rsid w:val="004E2A6C"/>
    <w:rsid w:val="004E31DF"/>
    <w:rsid w:val="004E33BA"/>
    <w:rsid w:val="004E3FA3"/>
    <w:rsid w:val="004E479C"/>
    <w:rsid w:val="004E4A60"/>
    <w:rsid w:val="004E4B78"/>
    <w:rsid w:val="004E4EAC"/>
    <w:rsid w:val="004E5978"/>
    <w:rsid w:val="004E598F"/>
    <w:rsid w:val="004E5BF2"/>
    <w:rsid w:val="004E5EB1"/>
    <w:rsid w:val="004E67F3"/>
    <w:rsid w:val="004E6948"/>
    <w:rsid w:val="004E6A95"/>
    <w:rsid w:val="004E6CB7"/>
    <w:rsid w:val="004E7124"/>
    <w:rsid w:val="004E747C"/>
    <w:rsid w:val="004E74E8"/>
    <w:rsid w:val="004E7DC5"/>
    <w:rsid w:val="004E7F0B"/>
    <w:rsid w:val="004F0511"/>
    <w:rsid w:val="004F0A7E"/>
    <w:rsid w:val="004F3127"/>
    <w:rsid w:val="004F3427"/>
    <w:rsid w:val="004F49E8"/>
    <w:rsid w:val="004F52DB"/>
    <w:rsid w:val="004F5E86"/>
    <w:rsid w:val="004F5FD3"/>
    <w:rsid w:val="004F6337"/>
    <w:rsid w:val="004F64CB"/>
    <w:rsid w:val="004F67D6"/>
    <w:rsid w:val="004F710B"/>
    <w:rsid w:val="004F7276"/>
    <w:rsid w:val="004F767A"/>
    <w:rsid w:val="0050016E"/>
    <w:rsid w:val="005004B0"/>
    <w:rsid w:val="0050084A"/>
    <w:rsid w:val="00500DDD"/>
    <w:rsid w:val="00500EE2"/>
    <w:rsid w:val="00501723"/>
    <w:rsid w:val="00503048"/>
    <w:rsid w:val="0050467B"/>
    <w:rsid w:val="00504BA0"/>
    <w:rsid w:val="00504DA8"/>
    <w:rsid w:val="00504FB5"/>
    <w:rsid w:val="00504FE3"/>
    <w:rsid w:val="00505119"/>
    <w:rsid w:val="005053E2"/>
    <w:rsid w:val="00505DB6"/>
    <w:rsid w:val="00505E2E"/>
    <w:rsid w:val="00506381"/>
    <w:rsid w:val="00506FEE"/>
    <w:rsid w:val="00507072"/>
    <w:rsid w:val="00507115"/>
    <w:rsid w:val="0050782F"/>
    <w:rsid w:val="0050784C"/>
    <w:rsid w:val="0051001A"/>
    <w:rsid w:val="00510677"/>
    <w:rsid w:val="005108F3"/>
    <w:rsid w:val="005109B5"/>
    <w:rsid w:val="00510A6B"/>
    <w:rsid w:val="00510AF7"/>
    <w:rsid w:val="00510DCF"/>
    <w:rsid w:val="0051181D"/>
    <w:rsid w:val="00511E00"/>
    <w:rsid w:val="005128C7"/>
    <w:rsid w:val="00513614"/>
    <w:rsid w:val="005137AD"/>
    <w:rsid w:val="005138CC"/>
    <w:rsid w:val="00513F0B"/>
    <w:rsid w:val="00514A1B"/>
    <w:rsid w:val="00514B53"/>
    <w:rsid w:val="005157CE"/>
    <w:rsid w:val="005157F6"/>
    <w:rsid w:val="0051581B"/>
    <w:rsid w:val="0051657A"/>
    <w:rsid w:val="00516C1B"/>
    <w:rsid w:val="0052130E"/>
    <w:rsid w:val="005222EB"/>
    <w:rsid w:val="005226EC"/>
    <w:rsid w:val="00522DCF"/>
    <w:rsid w:val="0052320C"/>
    <w:rsid w:val="005233DA"/>
    <w:rsid w:val="00523629"/>
    <w:rsid w:val="00523DD6"/>
    <w:rsid w:val="005243F4"/>
    <w:rsid w:val="00524D4D"/>
    <w:rsid w:val="00524DA6"/>
    <w:rsid w:val="00525133"/>
    <w:rsid w:val="0052612C"/>
    <w:rsid w:val="00527138"/>
    <w:rsid w:val="005273C0"/>
    <w:rsid w:val="005279A4"/>
    <w:rsid w:val="00527EB4"/>
    <w:rsid w:val="00530551"/>
    <w:rsid w:val="00530F07"/>
    <w:rsid w:val="00531326"/>
    <w:rsid w:val="0053141F"/>
    <w:rsid w:val="00531530"/>
    <w:rsid w:val="00531E3C"/>
    <w:rsid w:val="00531ECA"/>
    <w:rsid w:val="00531F68"/>
    <w:rsid w:val="00532054"/>
    <w:rsid w:val="0053310B"/>
    <w:rsid w:val="005349AD"/>
    <w:rsid w:val="00534D8D"/>
    <w:rsid w:val="00534E16"/>
    <w:rsid w:val="00535361"/>
    <w:rsid w:val="005359A5"/>
    <w:rsid w:val="00536364"/>
    <w:rsid w:val="0053719D"/>
    <w:rsid w:val="00537D77"/>
    <w:rsid w:val="00540D78"/>
    <w:rsid w:val="00540D9E"/>
    <w:rsid w:val="00541F69"/>
    <w:rsid w:val="005422AA"/>
    <w:rsid w:val="00542603"/>
    <w:rsid w:val="005427F2"/>
    <w:rsid w:val="005433DD"/>
    <w:rsid w:val="005433F0"/>
    <w:rsid w:val="005433F6"/>
    <w:rsid w:val="00543E62"/>
    <w:rsid w:val="00544C29"/>
    <w:rsid w:val="00544DB7"/>
    <w:rsid w:val="005456A3"/>
    <w:rsid w:val="0054589F"/>
    <w:rsid w:val="00545C25"/>
    <w:rsid w:val="0054618E"/>
    <w:rsid w:val="00546541"/>
    <w:rsid w:val="00546BC1"/>
    <w:rsid w:val="00546EFA"/>
    <w:rsid w:val="00547B16"/>
    <w:rsid w:val="00547F30"/>
    <w:rsid w:val="005501D8"/>
    <w:rsid w:val="0055114A"/>
    <w:rsid w:val="005516E3"/>
    <w:rsid w:val="0055178D"/>
    <w:rsid w:val="005517F2"/>
    <w:rsid w:val="00551A24"/>
    <w:rsid w:val="00551F5E"/>
    <w:rsid w:val="0055228B"/>
    <w:rsid w:val="005522BB"/>
    <w:rsid w:val="005525B3"/>
    <w:rsid w:val="00553EEE"/>
    <w:rsid w:val="005549D1"/>
    <w:rsid w:val="00554CD6"/>
    <w:rsid w:val="00554E42"/>
    <w:rsid w:val="005550A6"/>
    <w:rsid w:val="00555803"/>
    <w:rsid w:val="00555D8A"/>
    <w:rsid w:val="00556DC8"/>
    <w:rsid w:val="00556FED"/>
    <w:rsid w:val="0055799C"/>
    <w:rsid w:val="00557AA3"/>
    <w:rsid w:val="00557B77"/>
    <w:rsid w:val="0056024F"/>
    <w:rsid w:val="00560402"/>
    <w:rsid w:val="005604FA"/>
    <w:rsid w:val="00560573"/>
    <w:rsid w:val="00560D5C"/>
    <w:rsid w:val="00560DED"/>
    <w:rsid w:val="00561188"/>
    <w:rsid w:val="005612A2"/>
    <w:rsid w:val="00561366"/>
    <w:rsid w:val="00561AE8"/>
    <w:rsid w:val="00561CE0"/>
    <w:rsid w:val="005626C3"/>
    <w:rsid w:val="0056343A"/>
    <w:rsid w:val="00563632"/>
    <w:rsid w:val="00563830"/>
    <w:rsid w:val="0056383F"/>
    <w:rsid w:val="0056394D"/>
    <w:rsid w:val="00563D86"/>
    <w:rsid w:val="00563E8D"/>
    <w:rsid w:val="00564446"/>
    <w:rsid w:val="005645A8"/>
    <w:rsid w:val="00564959"/>
    <w:rsid w:val="005649CE"/>
    <w:rsid w:val="00564C3D"/>
    <w:rsid w:val="00564EE9"/>
    <w:rsid w:val="0056501D"/>
    <w:rsid w:val="0056505E"/>
    <w:rsid w:val="00565417"/>
    <w:rsid w:val="00565716"/>
    <w:rsid w:val="00565DFC"/>
    <w:rsid w:val="00565E33"/>
    <w:rsid w:val="005661BA"/>
    <w:rsid w:val="005665DF"/>
    <w:rsid w:val="00566606"/>
    <w:rsid w:val="00566C43"/>
    <w:rsid w:val="0056726A"/>
    <w:rsid w:val="00567AB6"/>
    <w:rsid w:val="00567DA2"/>
    <w:rsid w:val="005703A6"/>
    <w:rsid w:val="00570B71"/>
    <w:rsid w:val="00570D6D"/>
    <w:rsid w:val="00570EA9"/>
    <w:rsid w:val="0057197F"/>
    <w:rsid w:val="005719DA"/>
    <w:rsid w:val="00571F1E"/>
    <w:rsid w:val="00572369"/>
    <w:rsid w:val="00572921"/>
    <w:rsid w:val="00573516"/>
    <w:rsid w:val="005736EE"/>
    <w:rsid w:val="005740C8"/>
    <w:rsid w:val="00574B50"/>
    <w:rsid w:val="00574D20"/>
    <w:rsid w:val="00574EB0"/>
    <w:rsid w:val="00574F79"/>
    <w:rsid w:val="00575342"/>
    <w:rsid w:val="005754DF"/>
    <w:rsid w:val="005756EA"/>
    <w:rsid w:val="00576675"/>
    <w:rsid w:val="00576821"/>
    <w:rsid w:val="00576F09"/>
    <w:rsid w:val="00577038"/>
    <w:rsid w:val="005779FE"/>
    <w:rsid w:val="00577D59"/>
    <w:rsid w:val="00577FD4"/>
    <w:rsid w:val="00580AA4"/>
    <w:rsid w:val="00580BD5"/>
    <w:rsid w:val="00580CBD"/>
    <w:rsid w:val="00580D0F"/>
    <w:rsid w:val="005811F0"/>
    <w:rsid w:val="0058136F"/>
    <w:rsid w:val="005815C2"/>
    <w:rsid w:val="00581AF0"/>
    <w:rsid w:val="00582019"/>
    <w:rsid w:val="005820BD"/>
    <w:rsid w:val="00582122"/>
    <w:rsid w:val="005821B8"/>
    <w:rsid w:val="0058227C"/>
    <w:rsid w:val="00582BFA"/>
    <w:rsid w:val="00582D6A"/>
    <w:rsid w:val="005830D7"/>
    <w:rsid w:val="00583377"/>
    <w:rsid w:val="00583387"/>
    <w:rsid w:val="00584034"/>
    <w:rsid w:val="00584499"/>
    <w:rsid w:val="005844AF"/>
    <w:rsid w:val="005844FF"/>
    <w:rsid w:val="005848C3"/>
    <w:rsid w:val="00584EBE"/>
    <w:rsid w:val="00585044"/>
    <w:rsid w:val="00585B6E"/>
    <w:rsid w:val="00585C63"/>
    <w:rsid w:val="00585E9A"/>
    <w:rsid w:val="00585ED4"/>
    <w:rsid w:val="0058627D"/>
    <w:rsid w:val="00586A69"/>
    <w:rsid w:val="00586C01"/>
    <w:rsid w:val="00586C36"/>
    <w:rsid w:val="00587593"/>
    <w:rsid w:val="005901CC"/>
    <w:rsid w:val="0059043A"/>
    <w:rsid w:val="0059047B"/>
    <w:rsid w:val="00590DB0"/>
    <w:rsid w:val="00590E4D"/>
    <w:rsid w:val="00591077"/>
    <w:rsid w:val="00591437"/>
    <w:rsid w:val="00591758"/>
    <w:rsid w:val="00591B56"/>
    <w:rsid w:val="00591F6B"/>
    <w:rsid w:val="00592537"/>
    <w:rsid w:val="00592883"/>
    <w:rsid w:val="00592AE0"/>
    <w:rsid w:val="00592B00"/>
    <w:rsid w:val="00592BE9"/>
    <w:rsid w:val="00592E2C"/>
    <w:rsid w:val="005933C9"/>
    <w:rsid w:val="0059347C"/>
    <w:rsid w:val="005935CE"/>
    <w:rsid w:val="0059368D"/>
    <w:rsid w:val="00593A0E"/>
    <w:rsid w:val="00593B59"/>
    <w:rsid w:val="00593D56"/>
    <w:rsid w:val="0059452B"/>
    <w:rsid w:val="00594A12"/>
    <w:rsid w:val="0059543E"/>
    <w:rsid w:val="0059618A"/>
    <w:rsid w:val="0059627E"/>
    <w:rsid w:val="00596D02"/>
    <w:rsid w:val="00597016"/>
    <w:rsid w:val="00597082"/>
    <w:rsid w:val="005A0256"/>
    <w:rsid w:val="005A0A54"/>
    <w:rsid w:val="005A0B96"/>
    <w:rsid w:val="005A110F"/>
    <w:rsid w:val="005A1346"/>
    <w:rsid w:val="005A2313"/>
    <w:rsid w:val="005A25AB"/>
    <w:rsid w:val="005A2797"/>
    <w:rsid w:val="005A27EA"/>
    <w:rsid w:val="005A2BB2"/>
    <w:rsid w:val="005A3E72"/>
    <w:rsid w:val="005A4947"/>
    <w:rsid w:val="005A4C36"/>
    <w:rsid w:val="005A5102"/>
    <w:rsid w:val="005A528A"/>
    <w:rsid w:val="005A53C5"/>
    <w:rsid w:val="005A5B64"/>
    <w:rsid w:val="005A62DE"/>
    <w:rsid w:val="005A6BF4"/>
    <w:rsid w:val="005A70BF"/>
    <w:rsid w:val="005A748C"/>
    <w:rsid w:val="005A74E3"/>
    <w:rsid w:val="005A75D4"/>
    <w:rsid w:val="005A7707"/>
    <w:rsid w:val="005B015A"/>
    <w:rsid w:val="005B03AD"/>
    <w:rsid w:val="005B0648"/>
    <w:rsid w:val="005B077A"/>
    <w:rsid w:val="005B07F6"/>
    <w:rsid w:val="005B08A8"/>
    <w:rsid w:val="005B0974"/>
    <w:rsid w:val="005B0AB0"/>
    <w:rsid w:val="005B0DDA"/>
    <w:rsid w:val="005B0F04"/>
    <w:rsid w:val="005B14ED"/>
    <w:rsid w:val="005B1EFD"/>
    <w:rsid w:val="005B21CE"/>
    <w:rsid w:val="005B2253"/>
    <w:rsid w:val="005B2690"/>
    <w:rsid w:val="005B29D5"/>
    <w:rsid w:val="005B2C6B"/>
    <w:rsid w:val="005B2C79"/>
    <w:rsid w:val="005B2FC3"/>
    <w:rsid w:val="005B318C"/>
    <w:rsid w:val="005B37D0"/>
    <w:rsid w:val="005B38AE"/>
    <w:rsid w:val="005B3915"/>
    <w:rsid w:val="005B391A"/>
    <w:rsid w:val="005B3983"/>
    <w:rsid w:val="005B4148"/>
    <w:rsid w:val="005B5528"/>
    <w:rsid w:val="005B560C"/>
    <w:rsid w:val="005B5A3D"/>
    <w:rsid w:val="005B5AFF"/>
    <w:rsid w:val="005B5BF3"/>
    <w:rsid w:val="005B64B9"/>
    <w:rsid w:val="005B689C"/>
    <w:rsid w:val="005B7686"/>
    <w:rsid w:val="005B7ABA"/>
    <w:rsid w:val="005C0895"/>
    <w:rsid w:val="005C11B9"/>
    <w:rsid w:val="005C11D8"/>
    <w:rsid w:val="005C1422"/>
    <w:rsid w:val="005C16AE"/>
    <w:rsid w:val="005C1ACB"/>
    <w:rsid w:val="005C1B5D"/>
    <w:rsid w:val="005C1EDF"/>
    <w:rsid w:val="005C2092"/>
    <w:rsid w:val="005C2280"/>
    <w:rsid w:val="005C230F"/>
    <w:rsid w:val="005C2430"/>
    <w:rsid w:val="005C2433"/>
    <w:rsid w:val="005C2652"/>
    <w:rsid w:val="005C2EF1"/>
    <w:rsid w:val="005C33FB"/>
    <w:rsid w:val="005C38CE"/>
    <w:rsid w:val="005C3AB5"/>
    <w:rsid w:val="005C3CBC"/>
    <w:rsid w:val="005C448D"/>
    <w:rsid w:val="005C4A20"/>
    <w:rsid w:val="005C4CBF"/>
    <w:rsid w:val="005C52B1"/>
    <w:rsid w:val="005C5708"/>
    <w:rsid w:val="005C61E3"/>
    <w:rsid w:val="005C666F"/>
    <w:rsid w:val="005C6D0D"/>
    <w:rsid w:val="005C6E00"/>
    <w:rsid w:val="005C75AE"/>
    <w:rsid w:val="005C7BBD"/>
    <w:rsid w:val="005D010C"/>
    <w:rsid w:val="005D0402"/>
    <w:rsid w:val="005D0605"/>
    <w:rsid w:val="005D105D"/>
    <w:rsid w:val="005D1FD7"/>
    <w:rsid w:val="005D2A0D"/>
    <w:rsid w:val="005D2B12"/>
    <w:rsid w:val="005D2E19"/>
    <w:rsid w:val="005D3C71"/>
    <w:rsid w:val="005D4320"/>
    <w:rsid w:val="005D4D41"/>
    <w:rsid w:val="005D5013"/>
    <w:rsid w:val="005D5543"/>
    <w:rsid w:val="005D5659"/>
    <w:rsid w:val="005D5BC7"/>
    <w:rsid w:val="005D6A33"/>
    <w:rsid w:val="005D6CDE"/>
    <w:rsid w:val="005D6E49"/>
    <w:rsid w:val="005D6F50"/>
    <w:rsid w:val="005D7775"/>
    <w:rsid w:val="005E076B"/>
    <w:rsid w:val="005E0FBB"/>
    <w:rsid w:val="005E1D1F"/>
    <w:rsid w:val="005E1E8A"/>
    <w:rsid w:val="005E2817"/>
    <w:rsid w:val="005E2B86"/>
    <w:rsid w:val="005E2D50"/>
    <w:rsid w:val="005E2E51"/>
    <w:rsid w:val="005E34AC"/>
    <w:rsid w:val="005E3563"/>
    <w:rsid w:val="005E36A4"/>
    <w:rsid w:val="005E36A9"/>
    <w:rsid w:val="005E36B4"/>
    <w:rsid w:val="005E3B30"/>
    <w:rsid w:val="005E4457"/>
    <w:rsid w:val="005E4AF2"/>
    <w:rsid w:val="005E4F44"/>
    <w:rsid w:val="005E5080"/>
    <w:rsid w:val="005E515F"/>
    <w:rsid w:val="005E5196"/>
    <w:rsid w:val="005E5946"/>
    <w:rsid w:val="005E5EC6"/>
    <w:rsid w:val="005E604C"/>
    <w:rsid w:val="005E6319"/>
    <w:rsid w:val="005E6ADD"/>
    <w:rsid w:val="005E6BD6"/>
    <w:rsid w:val="005E7E6C"/>
    <w:rsid w:val="005E7EDB"/>
    <w:rsid w:val="005F0473"/>
    <w:rsid w:val="005F16D0"/>
    <w:rsid w:val="005F171C"/>
    <w:rsid w:val="005F1BA4"/>
    <w:rsid w:val="005F37B6"/>
    <w:rsid w:val="005F3F84"/>
    <w:rsid w:val="005F42EF"/>
    <w:rsid w:val="005F486E"/>
    <w:rsid w:val="005F49A5"/>
    <w:rsid w:val="005F4AC3"/>
    <w:rsid w:val="005F4D7B"/>
    <w:rsid w:val="005F4DE1"/>
    <w:rsid w:val="005F59BF"/>
    <w:rsid w:val="005F60A9"/>
    <w:rsid w:val="005F6388"/>
    <w:rsid w:val="005F6A82"/>
    <w:rsid w:val="005F6D60"/>
    <w:rsid w:val="005F753A"/>
    <w:rsid w:val="006004B8"/>
    <w:rsid w:val="006006DC"/>
    <w:rsid w:val="006006DD"/>
    <w:rsid w:val="00600E08"/>
    <w:rsid w:val="00600F33"/>
    <w:rsid w:val="006011DC"/>
    <w:rsid w:val="0060124C"/>
    <w:rsid w:val="006017FD"/>
    <w:rsid w:val="00601F4B"/>
    <w:rsid w:val="00602901"/>
    <w:rsid w:val="00602A13"/>
    <w:rsid w:val="00604488"/>
    <w:rsid w:val="006044B5"/>
    <w:rsid w:val="0060463B"/>
    <w:rsid w:val="00604C66"/>
    <w:rsid w:val="006054AC"/>
    <w:rsid w:val="00605E1F"/>
    <w:rsid w:val="006061B5"/>
    <w:rsid w:val="006063F1"/>
    <w:rsid w:val="00606AF2"/>
    <w:rsid w:val="00606C48"/>
    <w:rsid w:val="00606E86"/>
    <w:rsid w:val="006073A0"/>
    <w:rsid w:val="006073CB"/>
    <w:rsid w:val="00607A75"/>
    <w:rsid w:val="00607B7F"/>
    <w:rsid w:val="00607C02"/>
    <w:rsid w:val="00607CE7"/>
    <w:rsid w:val="00607D68"/>
    <w:rsid w:val="00607E08"/>
    <w:rsid w:val="006109EF"/>
    <w:rsid w:val="0061157D"/>
    <w:rsid w:val="006120BA"/>
    <w:rsid w:val="00612337"/>
    <w:rsid w:val="00612BBC"/>
    <w:rsid w:val="00612BFC"/>
    <w:rsid w:val="00612E32"/>
    <w:rsid w:val="00613891"/>
    <w:rsid w:val="00613B7C"/>
    <w:rsid w:val="00613B7E"/>
    <w:rsid w:val="00613D54"/>
    <w:rsid w:val="006143EE"/>
    <w:rsid w:val="00614CA2"/>
    <w:rsid w:val="00614FF4"/>
    <w:rsid w:val="00615121"/>
    <w:rsid w:val="00615823"/>
    <w:rsid w:val="0061613B"/>
    <w:rsid w:val="00616721"/>
    <w:rsid w:val="00616BE9"/>
    <w:rsid w:val="0061795D"/>
    <w:rsid w:val="00617B2B"/>
    <w:rsid w:val="00617D5A"/>
    <w:rsid w:val="00617D76"/>
    <w:rsid w:val="00617F3D"/>
    <w:rsid w:val="006207B6"/>
    <w:rsid w:val="00620B52"/>
    <w:rsid w:val="006212A0"/>
    <w:rsid w:val="006224A9"/>
    <w:rsid w:val="00622643"/>
    <w:rsid w:val="00623159"/>
    <w:rsid w:val="00623360"/>
    <w:rsid w:val="006237A7"/>
    <w:rsid w:val="00623AEC"/>
    <w:rsid w:val="0062414C"/>
    <w:rsid w:val="00624763"/>
    <w:rsid w:val="00624764"/>
    <w:rsid w:val="006248A7"/>
    <w:rsid w:val="0062496E"/>
    <w:rsid w:val="00624C13"/>
    <w:rsid w:val="006251A6"/>
    <w:rsid w:val="006255E3"/>
    <w:rsid w:val="00625883"/>
    <w:rsid w:val="00625C80"/>
    <w:rsid w:val="00626164"/>
    <w:rsid w:val="0062650A"/>
    <w:rsid w:val="00626682"/>
    <w:rsid w:val="00626DE2"/>
    <w:rsid w:val="0063001C"/>
    <w:rsid w:val="00630A85"/>
    <w:rsid w:val="00630B19"/>
    <w:rsid w:val="0063110D"/>
    <w:rsid w:val="00631EE0"/>
    <w:rsid w:val="0063201C"/>
    <w:rsid w:val="0063219A"/>
    <w:rsid w:val="006323A9"/>
    <w:rsid w:val="00632591"/>
    <w:rsid w:val="006325E5"/>
    <w:rsid w:val="0063278A"/>
    <w:rsid w:val="006334BE"/>
    <w:rsid w:val="006336BB"/>
    <w:rsid w:val="00633711"/>
    <w:rsid w:val="00633DD1"/>
    <w:rsid w:val="006341A0"/>
    <w:rsid w:val="00634333"/>
    <w:rsid w:val="006343C2"/>
    <w:rsid w:val="00634FD0"/>
    <w:rsid w:val="006350DE"/>
    <w:rsid w:val="00635A05"/>
    <w:rsid w:val="00635F48"/>
    <w:rsid w:val="00636044"/>
    <w:rsid w:val="0063645E"/>
    <w:rsid w:val="00636767"/>
    <w:rsid w:val="006369A5"/>
    <w:rsid w:val="00637C6C"/>
    <w:rsid w:val="00637ED0"/>
    <w:rsid w:val="00637FC0"/>
    <w:rsid w:val="00640148"/>
    <w:rsid w:val="00640789"/>
    <w:rsid w:val="006407D1"/>
    <w:rsid w:val="00640D92"/>
    <w:rsid w:val="0064184B"/>
    <w:rsid w:val="00641853"/>
    <w:rsid w:val="00641B8D"/>
    <w:rsid w:val="00641CCA"/>
    <w:rsid w:val="00641E1A"/>
    <w:rsid w:val="00642210"/>
    <w:rsid w:val="00642833"/>
    <w:rsid w:val="00642FE3"/>
    <w:rsid w:val="00643463"/>
    <w:rsid w:val="0064420F"/>
    <w:rsid w:val="006442DC"/>
    <w:rsid w:val="00644BE1"/>
    <w:rsid w:val="00645086"/>
    <w:rsid w:val="006453FB"/>
    <w:rsid w:val="00645B78"/>
    <w:rsid w:val="0064638A"/>
    <w:rsid w:val="006465E3"/>
    <w:rsid w:val="006469ED"/>
    <w:rsid w:val="00647BCD"/>
    <w:rsid w:val="0065026D"/>
    <w:rsid w:val="00650836"/>
    <w:rsid w:val="006510DA"/>
    <w:rsid w:val="00651563"/>
    <w:rsid w:val="006519CF"/>
    <w:rsid w:val="00651A10"/>
    <w:rsid w:val="00651EC3"/>
    <w:rsid w:val="00652308"/>
    <w:rsid w:val="006529D5"/>
    <w:rsid w:val="00653645"/>
    <w:rsid w:val="0065367C"/>
    <w:rsid w:val="00654145"/>
    <w:rsid w:val="00654598"/>
    <w:rsid w:val="006545DE"/>
    <w:rsid w:val="006546F2"/>
    <w:rsid w:val="006549AF"/>
    <w:rsid w:val="00654D7A"/>
    <w:rsid w:val="00654F78"/>
    <w:rsid w:val="0065593E"/>
    <w:rsid w:val="0065618E"/>
    <w:rsid w:val="00656EAD"/>
    <w:rsid w:val="00657040"/>
    <w:rsid w:val="0065722B"/>
    <w:rsid w:val="006602BE"/>
    <w:rsid w:val="0066059B"/>
    <w:rsid w:val="00660D06"/>
    <w:rsid w:val="00661266"/>
    <w:rsid w:val="006612E3"/>
    <w:rsid w:val="0066139D"/>
    <w:rsid w:val="0066152F"/>
    <w:rsid w:val="00661674"/>
    <w:rsid w:val="0066199B"/>
    <w:rsid w:val="00661A03"/>
    <w:rsid w:val="00661AB7"/>
    <w:rsid w:val="00662833"/>
    <w:rsid w:val="00662F79"/>
    <w:rsid w:val="00663719"/>
    <w:rsid w:val="00663B70"/>
    <w:rsid w:val="00664285"/>
    <w:rsid w:val="00664454"/>
    <w:rsid w:val="006649EC"/>
    <w:rsid w:val="00664FFC"/>
    <w:rsid w:val="00665C80"/>
    <w:rsid w:val="00665D2A"/>
    <w:rsid w:val="006661BF"/>
    <w:rsid w:val="00666674"/>
    <w:rsid w:val="006672FB"/>
    <w:rsid w:val="006702F5"/>
    <w:rsid w:val="0067093A"/>
    <w:rsid w:val="00670AA3"/>
    <w:rsid w:val="00670F91"/>
    <w:rsid w:val="0067144E"/>
    <w:rsid w:val="00671877"/>
    <w:rsid w:val="0067190B"/>
    <w:rsid w:val="006719BA"/>
    <w:rsid w:val="00671C34"/>
    <w:rsid w:val="00671DEE"/>
    <w:rsid w:val="006723DF"/>
    <w:rsid w:val="00672943"/>
    <w:rsid w:val="00672BD8"/>
    <w:rsid w:val="00672F52"/>
    <w:rsid w:val="006734D8"/>
    <w:rsid w:val="00673D0F"/>
    <w:rsid w:val="00673EDE"/>
    <w:rsid w:val="006741FD"/>
    <w:rsid w:val="00674F58"/>
    <w:rsid w:val="00675B0F"/>
    <w:rsid w:val="0067609A"/>
    <w:rsid w:val="00676277"/>
    <w:rsid w:val="0067638A"/>
    <w:rsid w:val="006765C7"/>
    <w:rsid w:val="006776B4"/>
    <w:rsid w:val="006778D6"/>
    <w:rsid w:val="00680EF0"/>
    <w:rsid w:val="006810C2"/>
    <w:rsid w:val="006812B9"/>
    <w:rsid w:val="0068140B"/>
    <w:rsid w:val="00681F00"/>
    <w:rsid w:val="00681FFD"/>
    <w:rsid w:val="00682972"/>
    <w:rsid w:val="00682B6C"/>
    <w:rsid w:val="00682F5F"/>
    <w:rsid w:val="00683175"/>
    <w:rsid w:val="00683303"/>
    <w:rsid w:val="00684570"/>
    <w:rsid w:val="00684602"/>
    <w:rsid w:val="00685355"/>
    <w:rsid w:val="00685AF9"/>
    <w:rsid w:val="00686748"/>
    <w:rsid w:val="00687047"/>
    <w:rsid w:val="0068706A"/>
    <w:rsid w:val="0068712C"/>
    <w:rsid w:val="0068743E"/>
    <w:rsid w:val="006877A2"/>
    <w:rsid w:val="00687D58"/>
    <w:rsid w:val="0069029D"/>
    <w:rsid w:val="006902DF"/>
    <w:rsid w:val="00690329"/>
    <w:rsid w:val="00690732"/>
    <w:rsid w:val="006907E3"/>
    <w:rsid w:val="00690A98"/>
    <w:rsid w:val="00690B9C"/>
    <w:rsid w:val="00690BBF"/>
    <w:rsid w:val="00690DB6"/>
    <w:rsid w:val="0069155B"/>
    <w:rsid w:val="00692A06"/>
    <w:rsid w:val="00692FBD"/>
    <w:rsid w:val="00693147"/>
    <w:rsid w:val="00693E5B"/>
    <w:rsid w:val="0069446F"/>
    <w:rsid w:val="006946C1"/>
    <w:rsid w:val="00694835"/>
    <w:rsid w:val="00694A6A"/>
    <w:rsid w:val="00694BF8"/>
    <w:rsid w:val="0069522E"/>
    <w:rsid w:val="00695595"/>
    <w:rsid w:val="0069651A"/>
    <w:rsid w:val="00696CB1"/>
    <w:rsid w:val="0069700A"/>
    <w:rsid w:val="006978A6"/>
    <w:rsid w:val="006A06AD"/>
    <w:rsid w:val="006A0742"/>
    <w:rsid w:val="006A0AB4"/>
    <w:rsid w:val="006A0B78"/>
    <w:rsid w:val="006A1138"/>
    <w:rsid w:val="006A17B1"/>
    <w:rsid w:val="006A1BAF"/>
    <w:rsid w:val="006A1E36"/>
    <w:rsid w:val="006A21CE"/>
    <w:rsid w:val="006A2281"/>
    <w:rsid w:val="006A24BE"/>
    <w:rsid w:val="006A31F3"/>
    <w:rsid w:val="006A35F9"/>
    <w:rsid w:val="006A3DC5"/>
    <w:rsid w:val="006A4A4E"/>
    <w:rsid w:val="006A4D5E"/>
    <w:rsid w:val="006A50C9"/>
    <w:rsid w:val="006A5388"/>
    <w:rsid w:val="006A54A4"/>
    <w:rsid w:val="006A666F"/>
    <w:rsid w:val="006A6681"/>
    <w:rsid w:val="006A6BEA"/>
    <w:rsid w:val="006A6C53"/>
    <w:rsid w:val="006A6D3E"/>
    <w:rsid w:val="006A714F"/>
    <w:rsid w:val="006A75B9"/>
    <w:rsid w:val="006A7AA3"/>
    <w:rsid w:val="006A7DE0"/>
    <w:rsid w:val="006B02B6"/>
    <w:rsid w:val="006B0C22"/>
    <w:rsid w:val="006B14B7"/>
    <w:rsid w:val="006B1872"/>
    <w:rsid w:val="006B1CB9"/>
    <w:rsid w:val="006B2296"/>
    <w:rsid w:val="006B2448"/>
    <w:rsid w:val="006B2912"/>
    <w:rsid w:val="006B2B67"/>
    <w:rsid w:val="006B2BF8"/>
    <w:rsid w:val="006B3020"/>
    <w:rsid w:val="006B3364"/>
    <w:rsid w:val="006B33AC"/>
    <w:rsid w:val="006B34AC"/>
    <w:rsid w:val="006B353A"/>
    <w:rsid w:val="006B35BD"/>
    <w:rsid w:val="006B37DC"/>
    <w:rsid w:val="006B3E49"/>
    <w:rsid w:val="006B4111"/>
    <w:rsid w:val="006B4953"/>
    <w:rsid w:val="006B4A02"/>
    <w:rsid w:val="006B4D58"/>
    <w:rsid w:val="006B52F0"/>
    <w:rsid w:val="006B5CDC"/>
    <w:rsid w:val="006B6240"/>
    <w:rsid w:val="006B67D7"/>
    <w:rsid w:val="006B7612"/>
    <w:rsid w:val="006B76D7"/>
    <w:rsid w:val="006B78F7"/>
    <w:rsid w:val="006B791E"/>
    <w:rsid w:val="006B7D25"/>
    <w:rsid w:val="006B7EEC"/>
    <w:rsid w:val="006C0677"/>
    <w:rsid w:val="006C0855"/>
    <w:rsid w:val="006C12CB"/>
    <w:rsid w:val="006C13F7"/>
    <w:rsid w:val="006C17AD"/>
    <w:rsid w:val="006C1ACB"/>
    <w:rsid w:val="006C1EE2"/>
    <w:rsid w:val="006C1FB7"/>
    <w:rsid w:val="006C2187"/>
    <w:rsid w:val="006C2B8F"/>
    <w:rsid w:val="006C2F21"/>
    <w:rsid w:val="006C317E"/>
    <w:rsid w:val="006C34CD"/>
    <w:rsid w:val="006C3588"/>
    <w:rsid w:val="006C3A90"/>
    <w:rsid w:val="006C3C46"/>
    <w:rsid w:val="006C435F"/>
    <w:rsid w:val="006C44D7"/>
    <w:rsid w:val="006C44F1"/>
    <w:rsid w:val="006C5061"/>
    <w:rsid w:val="006C5336"/>
    <w:rsid w:val="006C534D"/>
    <w:rsid w:val="006C55E7"/>
    <w:rsid w:val="006C5731"/>
    <w:rsid w:val="006C5B4B"/>
    <w:rsid w:val="006C5D42"/>
    <w:rsid w:val="006C6099"/>
    <w:rsid w:val="006C63D9"/>
    <w:rsid w:val="006C6A74"/>
    <w:rsid w:val="006C6B54"/>
    <w:rsid w:val="006C76A0"/>
    <w:rsid w:val="006C7894"/>
    <w:rsid w:val="006C7CE3"/>
    <w:rsid w:val="006C7E0A"/>
    <w:rsid w:val="006D031D"/>
    <w:rsid w:val="006D0A8A"/>
    <w:rsid w:val="006D0BE8"/>
    <w:rsid w:val="006D0CE8"/>
    <w:rsid w:val="006D1107"/>
    <w:rsid w:val="006D12E6"/>
    <w:rsid w:val="006D1768"/>
    <w:rsid w:val="006D1874"/>
    <w:rsid w:val="006D1B8D"/>
    <w:rsid w:val="006D1E0A"/>
    <w:rsid w:val="006D21A4"/>
    <w:rsid w:val="006D2708"/>
    <w:rsid w:val="006D273E"/>
    <w:rsid w:val="006D2D02"/>
    <w:rsid w:val="006D2E8F"/>
    <w:rsid w:val="006D36C9"/>
    <w:rsid w:val="006D4075"/>
    <w:rsid w:val="006D4351"/>
    <w:rsid w:val="006D4AF3"/>
    <w:rsid w:val="006D4FA1"/>
    <w:rsid w:val="006D5795"/>
    <w:rsid w:val="006D6051"/>
    <w:rsid w:val="006D67E9"/>
    <w:rsid w:val="006D70B8"/>
    <w:rsid w:val="006D728E"/>
    <w:rsid w:val="006D7345"/>
    <w:rsid w:val="006D7491"/>
    <w:rsid w:val="006D7674"/>
    <w:rsid w:val="006D767F"/>
    <w:rsid w:val="006D7D50"/>
    <w:rsid w:val="006D7E0B"/>
    <w:rsid w:val="006E0467"/>
    <w:rsid w:val="006E07C3"/>
    <w:rsid w:val="006E07C8"/>
    <w:rsid w:val="006E15D4"/>
    <w:rsid w:val="006E161F"/>
    <w:rsid w:val="006E18B1"/>
    <w:rsid w:val="006E1B57"/>
    <w:rsid w:val="006E1B7A"/>
    <w:rsid w:val="006E1BD9"/>
    <w:rsid w:val="006E1BFA"/>
    <w:rsid w:val="006E35AD"/>
    <w:rsid w:val="006E3971"/>
    <w:rsid w:val="006E3976"/>
    <w:rsid w:val="006E39AE"/>
    <w:rsid w:val="006E3A7A"/>
    <w:rsid w:val="006E3C17"/>
    <w:rsid w:val="006E3CA6"/>
    <w:rsid w:val="006E48F8"/>
    <w:rsid w:val="006E4943"/>
    <w:rsid w:val="006E4E45"/>
    <w:rsid w:val="006E4F44"/>
    <w:rsid w:val="006E505E"/>
    <w:rsid w:val="006E608A"/>
    <w:rsid w:val="006E674A"/>
    <w:rsid w:val="006E6784"/>
    <w:rsid w:val="006E6E46"/>
    <w:rsid w:val="006E7287"/>
    <w:rsid w:val="006E7317"/>
    <w:rsid w:val="006E74E5"/>
    <w:rsid w:val="006E75B8"/>
    <w:rsid w:val="006E77B0"/>
    <w:rsid w:val="006E7BC9"/>
    <w:rsid w:val="006E7F3F"/>
    <w:rsid w:val="006E7FCA"/>
    <w:rsid w:val="006F01C3"/>
    <w:rsid w:val="006F0324"/>
    <w:rsid w:val="006F0407"/>
    <w:rsid w:val="006F0F81"/>
    <w:rsid w:val="006F0F9D"/>
    <w:rsid w:val="006F12F9"/>
    <w:rsid w:val="006F135F"/>
    <w:rsid w:val="006F143F"/>
    <w:rsid w:val="006F1FBB"/>
    <w:rsid w:val="006F22AE"/>
    <w:rsid w:val="006F2483"/>
    <w:rsid w:val="006F2521"/>
    <w:rsid w:val="006F262F"/>
    <w:rsid w:val="006F2679"/>
    <w:rsid w:val="006F3BB2"/>
    <w:rsid w:val="006F3D06"/>
    <w:rsid w:val="006F3EFD"/>
    <w:rsid w:val="006F406F"/>
    <w:rsid w:val="006F414E"/>
    <w:rsid w:val="006F4262"/>
    <w:rsid w:val="006F4411"/>
    <w:rsid w:val="006F512A"/>
    <w:rsid w:val="006F518A"/>
    <w:rsid w:val="006F5247"/>
    <w:rsid w:val="006F54A0"/>
    <w:rsid w:val="006F5594"/>
    <w:rsid w:val="006F6467"/>
    <w:rsid w:val="006F70A5"/>
    <w:rsid w:val="006F71DD"/>
    <w:rsid w:val="006F7C5D"/>
    <w:rsid w:val="007000AB"/>
    <w:rsid w:val="00700FE0"/>
    <w:rsid w:val="007010A1"/>
    <w:rsid w:val="00701909"/>
    <w:rsid w:val="00701A19"/>
    <w:rsid w:val="00701CA6"/>
    <w:rsid w:val="0070238D"/>
    <w:rsid w:val="00703753"/>
    <w:rsid w:val="00703DD6"/>
    <w:rsid w:val="00703EF8"/>
    <w:rsid w:val="007043A1"/>
    <w:rsid w:val="007048CC"/>
    <w:rsid w:val="00704B31"/>
    <w:rsid w:val="00705685"/>
    <w:rsid w:val="00706405"/>
    <w:rsid w:val="0070685B"/>
    <w:rsid w:val="00706F0E"/>
    <w:rsid w:val="0070716D"/>
    <w:rsid w:val="0070720A"/>
    <w:rsid w:val="0070781E"/>
    <w:rsid w:val="00710472"/>
    <w:rsid w:val="00711554"/>
    <w:rsid w:val="007116EB"/>
    <w:rsid w:val="00711A38"/>
    <w:rsid w:val="007121A5"/>
    <w:rsid w:val="00712243"/>
    <w:rsid w:val="00712856"/>
    <w:rsid w:val="00713320"/>
    <w:rsid w:val="007139F1"/>
    <w:rsid w:val="0071408C"/>
    <w:rsid w:val="00714D50"/>
    <w:rsid w:val="00715273"/>
    <w:rsid w:val="00715C94"/>
    <w:rsid w:val="0071609F"/>
    <w:rsid w:val="00716BBB"/>
    <w:rsid w:val="00717CBD"/>
    <w:rsid w:val="00720172"/>
    <w:rsid w:val="00720B40"/>
    <w:rsid w:val="00720BA8"/>
    <w:rsid w:val="00720BF2"/>
    <w:rsid w:val="00721979"/>
    <w:rsid w:val="00721CA0"/>
    <w:rsid w:val="007221F7"/>
    <w:rsid w:val="00722205"/>
    <w:rsid w:val="007222E1"/>
    <w:rsid w:val="007228A1"/>
    <w:rsid w:val="00722F80"/>
    <w:rsid w:val="007235C5"/>
    <w:rsid w:val="00723701"/>
    <w:rsid w:val="007238C8"/>
    <w:rsid w:val="00723AD6"/>
    <w:rsid w:val="00724755"/>
    <w:rsid w:val="007249DF"/>
    <w:rsid w:val="00724D2F"/>
    <w:rsid w:val="00725715"/>
    <w:rsid w:val="00725E66"/>
    <w:rsid w:val="007266FA"/>
    <w:rsid w:val="00726A9F"/>
    <w:rsid w:val="007273DD"/>
    <w:rsid w:val="00727433"/>
    <w:rsid w:val="00727EE0"/>
    <w:rsid w:val="00730318"/>
    <w:rsid w:val="00730E4A"/>
    <w:rsid w:val="00730EF6"/>
    <w:rsid w:val="00731A77"/>
    <w:rsid w:val="00731B51"/>
    <w:rsid w:val="00731B5C"/>
    <w:rsid w:val="00731D45"/>
    <w:rsid w:val="00732645"/>
    <w:rsid w:val="007327AD"/>
    <w:rsid w:val="00732890"/>
    <w:rsid w:val="007329E1"/>
    <w:rsid w:val="00733D3C"/>
    <w:rsid w:val="00734035"/>
    <w:rsid w:val="00734118"/>
    <w:rsid w:val="00734492"/>
    <w:rsid w:val="007346E0"/>
    <w:rsid w:val="00734728"/>
    <w:rsid w:val="00735082"/>
    <w:rsid w:val="007354C3"/>
    <w:rsid w:val="0073579C"/>
    <w:rsid w:val="0073586C"/>
    <w:rsid w:val="00735C28"/>
    <w:rsid w:val="00735E17"/>
    <w:rsid w:val="007371A5"/>
    <w:rsid w:val="007372CC"/>
    <w:rsid w:val="00737E7E"/>
    <w:rsid w:val="00737EDF"/>
    <w:rsid w:val="00737FF9"/>
    <w:rsid w:val="007402EE"/>
    <w:rsid w:val="007406E2"/>
    <w:rsid w:val="00740C8B"/>
    <w:rsid w:val="00740EAB"/>
    <w:rsid w:val="0074108D"/>
    <w:rsid w:val="0074225C"/>
    <w:rsid w:val="0074265C"/>
    <w:rsid w:val="00742CFB"/>
    <w:rsid w:val="00742D2B"/>
    <w:rsid w:val="007438DB"/>
    <w:rsid w:val="00743961"/>
    <w:rsid w:val="00743CE5"/>
    <w:rsid w:val="00743CEB"/>
    <w:rsid w:val="007442F9"/>
    <w:rsid w:val="007443CB"/>
    <w:rsid w:val="00744ADA"/>
    <w:rsid w:val="00744D12"/>
    <w:rsid w:val="007451F5"/>
    <w:rsid w:val="00745208"/>
    <w:rsid w:val="00745721"/>
    <w:rsid w:val="00745F19"/>
    <w:rsid w:val="00747199"/>
    <w:rsid w:val="00747486"/>
    <w:rsid w:val="0074752F"/>
    <w:rsid w:val="00747B7F"/>
    <w:rsid w:val="00747D89"/>
    <w:rsid w:val="00747DE8"/>
    <w:rsid w:val="0075023F"/>
    <w:rsid w:val="007507E4"/>
    <w:rsid w:val="007509A2"/>
    <w:rsid w:val="007509ED"/>
    <w:rsid w:val="0075132F"/>
    <w:rsid w:val="00751390"/>
    <w:rsid w:val="00751391"/>
    <w:rsid w:val="00751B93"/>
    <w:rsid w:val="00751E77"/>
    <w:rsid w:val="00751F1F"/>
    <w:rsid w:val="007521D5"/>
    <w:rsid w:val="00752481"/>
    <w:rsid w:val="00752914"/>
    <w:rsid w:val="0075294B"/>
    <w:rsid w:val="0075299A"/>
    <w:rsid w:val="00752DC3"/>
    <w:rsid w:val="00752E85"/>
    <w:rsid w:val="00752F0C"/>
    <w:rsid w:val="00753499"/>
    <w:rsid w:val="007537AA"/>
    <w:rsid w:val="00753D47"/>
    <w:rsid w:val="007545FE"/>
    <w:rsid w:val="0075484E"/>
    <w:rsid w:val="00754F56"/>
    <w:rsid w:val="0075551B"/>
    <w:rsid w:val="0075582C"/>
    <w:rsid w:val="00756278"/>
    <w:rsid w:val="00756F7B"/>
    <w:rsid w:val="00756F84"/>
    <w:rsid w:val="0075709F"/>
    <w:rsid w:val="0075763C"/>
    <w:rsid w:val="007578BA"/>
    <w:rsid w:val="0076038F"/>
    <w:rsid w:val="00760609"/>
    <w:rsid w:val="0076069C"/>
    <w:rsid w:val="007609F5"/>
    <w:rsid w:val="00760B0C"/>
    <w:rsid w:val="00760CD8"/>
    <w:rsid w:val="0076154E"/>
    <w:rsid w:val="007616CA"/>
    <w:rsid w:val="007629E0"/>
    <w:rsid w:val="00762A40"/>
    <w:rsid w:val="0076348A"/>
    <w:rsid w:val="00763933"/>
    <w:rsid w:val="00763CB5"/>
    <w:rsid w:val="00763E2B"/>
    <w:rsid w:val="00763F4E"/>
    <w:rsid w:val="007641FE"/>
    <w:rsid w:val="007642F4"/>
    <w:rsid w:val="00764311"/>
    <w:rsid w:val="0076470F"/>
    <w:rsid w:val="007647EF"/>
    <w:rsid w:val="00766B0F"/>
    <w:rsid w:val="00766C32"/>
    <w:rsid w:val="00766C57"/>
    <w:rsid w:val="007677DF"/>
    <w:rsid w:val="007705D9"/>
    <w:rsid w:val="00770DFF"/>
    <w:rsid w:val="007711C4"/>
    <w:rsid w:val="00771BFB"/>
    <w:rsid w:val="00771CFB"/>
    <w:rsid w:val="00772110"/>
    <w:rsid w:val="00772346"/>
    <w:rsid w:val="00772789"/>
    <w:rsid w:val="0077281C"/>
    <w:rsid w:val="007736E0"/>
    <w:rsid w:val="00773D10"/>
    <w:rsid w:val="00773E73"/>
    <w:rsid w:val="0077431F"/>
    <w:rsid w:val="0077441C"/>
    <w:rsid w:val="0077470F"/>
    <w:rsid w:val="00774B0A"/>
    <w:rsid w:val="0077524D"/>
    <w:rsid w:val="007753A0"/>
    <w:rsid w:val="00775A8F"/>
    <w:rsid w:val="00775BC9"/>
    <w:rsid w:val="007760EF"/>
    <w:rsid w:val="007768A2"/>
    <w:rsid w:val="00776B48"/>
    <w:rsid w:val="00776C5F"/>
    <w:rsid w:val="00776E0D"/>
    <w:rsid w:val="00777540"/>
    <w:rsid w:val="007776CE"/>
    <w:rsid w:val="007779BD"/>
    <w:rsid w:val="00777A5B"/>
    <w:rsid w:val="00780BE8"/>
    <w:rsid w:val="00780DBF"/>
    <w:rsid w:val="0078191E"/>
    <w:rsid w:val="00781F04"/>
    <w:rsid w:val="00782039"/>
    <w:rsid w:val="00782FB0"/>
    <w:rsid w:val="00783013"/>
    <w:rsid w:val="00783CDD"/>
    <w:rsid w:val="00783F8B"/>
    <w:rsid w:val="007841A8"/>
    <w:rsid w:val="0078432C"/>
    <w:rsid w:val="0078592D"/>
    <w:rsid w:val="00785D68"/>
    <w:rsid w:val="007860A7"/>
    <w:rsid w:val="007868FE"/>
    <w:rsid w:val="00786E26"/>
    <w:rsid w:val="007876B9"/>
    <w:rsid w:val="00787A5C"/>
    <w:rsid w:val="007902D1"/>
    <w:rsid w:val="00790332"/>
    <w:rsid w:val="00790351"/>
    <w:rsid w:val="007903CD"/>
    <w:rsid w:val="00790D09"/>
    <w:rsid w:val="00790FD9"/>
    <w:rsid w:val="00791759"/>
    <w:rsid w:val="00791E2A"/>
    <w:rsid w:val="0079299C"/>
    <w:rsid w:val="00792A1C"/>
    <w:rsid w:val="0079310B"/>
    <w:rsid w:val="007931AA"/>
    <w:rsid w:val="007933C4"/>
    <w:rsid w:val="00793E06"/>
    <w:rsid w:val="00793FB9"/>
    <w:rsid w:val="00794172"/>
    <w:rsid w:val="0079435D"/>
    <w:rsid w:val="00795111"/>
    <w:rsid w:val="00795878"/>
    <w:rsid w:val="00795DA8"/>
    <w:rsid w:val="00795F4B"/>
    <w:rsid w:val="00796889"/>
    <w:rsid w:val="00796DC6"/>
    <w:rsid w:val="00797023"/>
    <w:rsid w:val="00797463"/>
    <w:rsid w:val="007A12AA"/>
    <w:rsid w:val="007A1A7A"/>
    <w:rsid w:val="007A3475"/>
    <w:rsid w:val="007A34E7"/>
    <w:rsid w:val="007A3CB4"/>
    <w:rsid w:val="007A459F"/>
    <w:rsid w:val="007A4833"/>
    <w:rsid w:val="007A51BA"/>
    <w:rsid w:val="007A63F2"/>
    <w:rsid w:val="007A6B42"/>
    <w:rsid w:val="007A7F67"/>
    <w:rsid w:val="007B03DE"/>
    <w:rsid w:val="007B073E"/>
    <w:rsid w:val="007B0D82"/>
    <w:rsid w:val="007B1FEC"/>
    <w:rsid w:val="007B2476"/>
    <w:rsid w:val="007B293E"/>
    <w:rsid w:val="007B3940"/>
    <w:rsid w:val="007B3A44"/>
    <w:rsid w:val="007B41DF"/>
    <w:rsid w:val="007B43C3"/>
    <w:rsid w:val="007B45AD"/>
    <w:rsid w:val="007B468D"/>
    <w:rsid w:val="007B4900"/>
    <w:rsid w:val="007B5262"/>
    <w:rsid w:val="007B5F4E"/>
    <w:rsid w:val="007B6012"/>
    <w:rsid w:val="007B61EE"/>
    <w:rsid w:val="007B6282"/>
    <w:rsid w:val="007B62DB"/>
    <w:rsid w:val="007B65E8"/>
    <w:rsid w:val="007B6634"/>
    <w:rsid w:val="007B6876"/>
    <w:rsid w:val="007B6936"/>
    <w:rsid w:val="007B7382"/>
    <w:rsid w:val="007B763A"/>
    <w:rsid w:val="007B7F09"/>
    <w:rsid w:val="007C01A4"/>
    <w:rsid w:val="007C0709"/>
    <w:rsid w:val="007C08AF"/>
    <w:rsid w:val="007C0DBA"/>
    <w:rsid w:val="007C16E3"/>
    <w:rsid w:val="007C1786"/>
    <w:rsid w:val="007C18E0"/>
    <w:rsid w:val="007C19ED"/>
    <w:rsid w:val="007C1AD4"/>
    <w:rsid w:val="007C2075"/>
    <w:rsid w:val="007C2A06"/>
    <w:rsid w:val="007C2CE8"/>
    <w:rsid w:val="007C2FFA"/>
    <w:rsid w:val="007C3DA9"/>
    <w:rsid w:val="007C41AB"/>
    <w:rsid w:val="007C4D6E"/>
    <w:rsid w:val="007C4F07"/>
    <w:rsid w:val="007C5175"/>
    <w:rsid w:val="007C5A28"/>
    <w:rsid w:val="007C625C"/>
    <w:rsid w:val="007C68CB"/>
    <w:rsid w:val="007C72D7"/>
    <w:rsid w:val="007C792B"/>
    <w:rsid w:val="007C7F77"/>
    <w:rsid w:val="007D0021"/>
    <w:rsid w:val="007D05CF"/>
    <w:rsid w:val="007D0B24"/>
    <w:rsid w:val="007D12DE"/>
    <w:rsid w:val="007D1332"/>
    <w:rsid w:val="007D183C"/>
    <w:rsid w:val="007D1CEC"/>
    <w:rsid w:val="007D1EDC"/>
    <w:rsid w:val="007D25AC"/>
    <w:rsid w:val="007D2DAA"/>
    <w:rsid w:val="007D2E5F"/>
    <w:rsid w:val="007D3192"/>
    <w:rsid w:val="007D3DFA"/>
    <w:rsid w:val="007D4300"/>
    <w:rsid w:val="007D4378"/>
    <w:rsid w:val="007D4D51"/>
    <w:rsid w:val="007D51A8"/>
    <w:rsid w:val="007D5290"/>
    <w:rsid w:val="007D58E5"/>
    <w:rsid w:val="007D5DA1"/>
    <w:rsid w:val="007D5EE9"/>
    <w:rsid w:val="007D61BD"/>
    <w:rsid w:val="007D6804"/>
    <w:rsid w:val="007D6924"/>
    <w:rsid w:val="007D6A64"/>
    <w:rsid w:val="007D71BC"/>
    <w:rsid w:val="007D71F0"/>
    <w:rsid w:val="007E019B"/>
    <w:rsid w:val="007E0925"/>
    <w:rsid w:val="007E0BF3"/>
    <w:rsid w:val="007E0D41"/>
    <w:rsid w:val="007E1146"/>
    <w:rsid w:val="007E175B"/>
    <w:rsid w:val="007E1813"/>
    <w:rsid w:val="007E1887"/>
    <w:rsid w:val="007E1CB8"/>
    <w:rsid w:val="007E2A92"/>
    <w:rsid w:val="007E3172"/>
    <w:rsid w:val="007E4ABE"/>
    <w:rsid w:val="007E50A8"/>
    <w:rsid w:val="007E5116"/>
    <w:rsid w:val="007E5481"/>
    <w:rsid w:val="007E6004"/>
    <w:rsid w:val="007E61C0"/>
    <w:rsid w:val="007E6362"/>
    <w:rsid w:val="007E63F1"/>
    <w:rsid w:val="007E64C5"/>
    <w:rsid w:val="007E6AA9"/>
    <w:rsid w:val="007E72A9"/>
    <w:rsid w:val="007E7796"/>
    <w:rsid w:val="007E7F4E"/>
    <w:rsid w:val="007F040B"/>
    <w:rsid w:val="007F1489"/>
    <w:rsid w:val="007F181D"/>
    <w:rsid w:val="007F18F2"/>
    <w:rsid w:val="007F1D3D"/>
    <w:rsid w:val="007F202C"/>
    <w:rsid w:val="007F2575"/>
    <w:rsid w:val="007F26A4"/>
    <w:rsid w:val="007F30D8"/>
    <w:rsid w:val="007F3A92"/>
    <w:rsid w:val="007F4098"/>
    <w:rsid w:val="007F4FE6"/>
    <w:rsid w:val="007F55EA"/>
    <w:rsid w:val="007F5DD0"/>
    <w:rsid w:val="007F6317"/>
    <w:rsid w:val="007F6539"/>
    <w:rsid w:val="007F68CA"/>
    <w:rsid w:val="007F69E6"/>
    <w:rsid w:val="007F6C8E"/>
    <w:rsid w:val="008000A3"/>
    <w:rsid w:val="008003E7"/>
    <w:rsid w:val="00800538"/>
    <w:rsid w:val="0080055F"/>
    <w:rsid w:val="008006D3"/>
    <w:rsid w:val="008008A5"/>
    <w:rsid w:val="00800CD4"/>
    <w:rsid w:val="00800E12"/>
    <w:rsid w:val="008014AF"/>
    <w:rsid w:val="00801700"/>
    <w:rsid w:val="00801DC9"/>
    <w:rsid w:val="00802975"/>
    <w:rsid w:val="00802FE3"/>
    <w:rsid w:val="00803389"/>
    <w:rsid w:val="008038B1"/>
    <w:rsid w:val="00803A94"/>
    <w:rsid w:val="00803B0F"/>
    <w:rsid w:val="00803CAB"/>
    <w:rsid w:val="00803D0F"/>
    <w:rsid w:val="00803E88"/>
    <w:rsid w:val="008043FE"/>
    <w:rsid w:val="008049C7"/>
    <w:rsid w:val="00804A9B"/>
    <w:rsid w:val="00805DCC"/>
    <w:rsid w:val="00806687"/>
    <w:rsid w:val="008069C7"/>
    <w:rsid w:val="0080713F"/>
    <w:rsid w:val="00807A0B"/>
    <w:rsid w:val="00811305"/>
    <w:rsid w:val="00811BFC"/>
    <w:rsid w:val="00811CCB"/>
    <w:rsid w:val="00811F77"/>
    <w:rsid w:val="0081239E"/>
    <w:rsid w:val="008123E9"/>
    <w:rsid w:val="0081365B"/>
    <w:rsid w:val="008139DF"/>
    <w:rsid w:val="00813A5D"/>
    <w:rsid w:val="00813CC6"/>
    <w:rsid w:val="00813DB3"/>
    <w:rsid w:val="00814038"/>
    <w:rsid w:val="008141F0"/>
    <w:rsid w:val="008144A6"/>
    <w:rsid w:val="008145DD"/>
    <w:rsid w:val="00814A1F"/>
    <w:rsid w:val="00814E37"/>
    <w:rsid w:val="00815390"/>
    <w:rsid w:val="0081631B"/>
    <w:rsid w:val="00816C5D"/>
    <w:rsid w:val="00816DFD"/>
    <w:rsid w:val="00816FEB"/>
    <w:rsid w:val="00817519"/>
    <w:rsid w:val="00817B2B"/>
    <w:rsid w:val="00817C7B"/>
    <w:rsid w:val="00817F67"/>
    <w:rsid w:val="00820206"/>
    <w:rsid w:val="008205AF"/>
    <w:rsid w:val="00820807"/>
    <w:rsid w:val="00820ACC"/>
    <w:rsid w:val="0082187E"/>
    <w:rsid w:val="008219A7"/>
    <w:rsid w:val="00821ED2"/>
    <w:rsid w:val="008225F7"/>
    <w:rsid w:val="0082385B"/>
    <w:rsid w:val="00823AF7"/>
    <w:rsid w:val="00823B5E"/>
    <w:rsid w:val="00823C4D"/>
    <w:rsid w:val="00823F1E"/>
    <w:rsid w:val="008247BD"/>
    <w:rsid w:val="00824FD3"/>
    <w:rsid w:val="00825CEE"/>
    <w:rsid w:val="00827288"/>
    <w:rsid w:val="00830632"/>
    <w:rsid w:val="0083114E"/>
    <w:rsid w:val="00831387"/>
    <w:rsid w:val="0083151E"/>
    <w:rsid w:val="00831622"/>
    <w:rsid w:val="00831B99"/>
    <w:rsid w:val="0083296A"/>
    <w:rsid w:val="00832BC0"/>
    <w:rsid w:val="00832E66"/>
    <w:rsid w:val="00833BC0"/>
    <w:rsid w:val="00833D4E"/>
    <w:rsid w:val="0083413A"/>
    <w:rsid w:val="008342F9"/>
    <w:rsid w:val="00834BBA"/>
    <w:rsid w:val="00836AEC"/>
    <w:rsid w:val="00836D80"/>
    <w:rsid w:val="00836FF4"/>
    <w:rsid w:val="00840F25"/>
    <w:rsid w:val="00842304"/>
    <w:rsid w:val="008424B9"/>
    <w:rsid w:val="008428A9"/>
    <w:rsid w:val="0084333C"/>
    <w:rsid w:val="00843910"/>
    <w:rsid w:val="00844126"/>
    <w:rsid w:val="00844408"/>
    <w:rsid w:val="008445D8"/>
    <w:rsid w:val="008445E3"/>
    <w:rsid w:val="00844BBC"/>
    <w:rsid w:val="00844C0B"/>
    <w:rsid w:val="00844C54"/>
    <w:rsid w:val="00844D82"/>
    <w:rsid w:val="0084515B"/>
    <w:rsid w:val="00845E0B"/>
    <w:rsid w:val="00846369"/>
    <w:rsid w:val="00846CC1"/>
    <w:rsid w:val="0084770D"/>
    <w:rsid w:val="00847879"/>
    <w:rsid w:val="00847F7E"/>
    <w:rsid w:val="00850475"/>
    <w:rsid w:val="00850661"/>
    <w:rsid w:val="0085077D"/>
    <w:rsid w:val="00850B8F"/>
    <w:rsid w:val="00851861"/>
    <w:rsid w:val="00851E15"/>
    <w:rsid w:val="00851ECA"/>
    <w:rsid w:val="008524AA"/>
    <w:rsid w:val="00852AB4"/>
    <w:rsid w:val="00853506"/>
    <w:rsid w:val="00854025"/>
    <w:rsid w:val="00854578"/>
    <w:rsid w:val="00854ED9"/>
    <w:rsid w:val="00855F80"/>
    <w:rsid w:val="0085604A"/>
    <w:rsid w:val="008564CE"/>
    <w:rsid w:val="00856C95"/>
    <w:rsid w:val="00856FC8"/>
    <w:rsid w:val="008577AA"/>
    <w:rsid w:val="00857965"/>
    <w:rsid w:val="00857FBD"/>
    <w:rsid w:val="008609B7"/>
    <w:rsid w:val="008609C7"/>
    <w:rsid w:val="00860C4E"/>
    <w:rsid w:val="00860E3F"/>
    <w:rsid w:val="00861F35"/>
    <w:rsid w:val="00862291"/>
    <w:rsid w:val="0086254E"/>
    <w:rsid w:val="00862B04"/>
    <w:rsid w:val="00863466"/>
    <w:rsid w:val="00863AAF"/>
    <w:rsid w:val="00863CA2"/>
    <w:rsid w:val="00863CA9"/>
    <w:rsid w:val="00863CEF"/>
    <w:rsid w:val="00864879"/>
    <w:rsid w:val="00864937"/>
    <w:rsid w:val="00864BBE"/>
    <w:rsid w:val="00864E09"/>
    <w:rsid w:val="008659C5"/>
    <w:rsid w:val="00865B01"/>
    <w:rsid w:val="00866514"/>
    <w:rsid w:val="00866D27"/>
    <w:rsid w:val="008671E5"/>
    <w:rsid w:val="00867587"/>
    <w:rsid w:val="00867B75"/>
    <w:rsid w:val="00867BA1"/>
    <w:rsid w:val="00867D73"/>
    <w:rsid w:val="00870193"/>
    <w:rsid w:val="008726D4"/>
    <w:rsid w:val="00872C14"/>
    <w:rsid w:val="00873312"/>
    <w:rsid w:val="0087342D"/>
    <w:rsid w:val="00873A84"/>
    <w:rsid w:val="00873CC0"/>
    <w:rsid w:val="00873E81"/>
    <w:rsid w:val="00874568"/>
    <w:rsid w:val="008748E1"/>
    <w:rsid w:val="00875429"/>
    <w:rsid w:val="00875635"/>
    <w:rsid w:val="008758AE"/>
    <w:rsid w:val="00875DBC"/>
    <w:rsid w:val="008765DD"/>
    <w:rsid w:val="00876AF3"/>
    <w:rsid w:val="00876DB5"/>
    <w:rsid w:val="008775DA"/>
    <w:rsid w:val="008776B6"/>
    <w:rsid w:val="008776B8"/>
    <w:rsid w:val="0088003D"/>
    <w:rsid w:val="008802BE"/>
    <w:rsid w:val="0088030E"/>
    <w:rsid w:val="008804BC"/>
    <w:rsid w:val="008805F0"/>
    <w:rsid w:val="00880635"/>
    <w:rsid w:val="00882255"/>
    <w:rsid w:val="008827EB"/>
    <w:rsid w:val="00883286"/>
    <w:rsid w:val="0088339D"/>
    <w:rsid w:val="00884104"/>
    <w:rsid w:val="008845ED"/>
    <w:rsid w:val="00884755"/>
    <w:rsid w:val="00885C9A"/>
    <w:rsid w:val="008860BD"/>
    <w:rsid w:val="00886A8F"/>
    <w:rsid w:val="00886C86"/>
    <w:rsid w:val="00886D4F"/>
    <w:rsid w:val="00886F93"/>
    <w:rsid w:val="00887B7A"/>
    <w:rsid w:val="00887D3E"/>
    <w:rsid w:val="00890097"/>
    <w:rsid w:val="00890590"/>
    <w:rsid w:val="00890741"/>
    <w:rsid w:val="008907C0"/>
    <w:rsid w:val="00890AC1"/>
    <w:rsid w:val="00891306"/>
    <w:rsid w:val="0089138D"/>
    <w:rsid w:val="008920BF"/>
    <w:rsid w:val="0089263A"/>
    <w:rsid w:val="008927D8"/>
    <w:rsid w:val="00893BE0"/>
    <w:rsid w:val="00894817"/>
    <w:rsid w:val="00894E66"/>
    <w:rsid w:val="00894EB9"/>
    <w:rsid w:val="0089528B"/>
    <w:rsid w:val="00895926"/>
    <w:rsid w:val="00895AD1"/>
    <w:rsid w:val="00895C25"/>
    <w:rsid w:val="00895D45"/>
    <w:rsid w:val="00896B45"/>
    <w:rsid w:val="00896D3F"/>
    <w:rsid w:val="00897671"/>
    <w:rsid w:val="00897722"/>
    <w:rsid w:val="008A033B"/>
    <w:rsid w:val="008A06DB"/>
    <w:rsid w:val="008A09AA"/>
    <w:rsid w:val="008A15B9"/>
    <w:rsid w:val="008A180B"/>
    <w:rsid w:val="008A1AE0"/>
    <w:rsid w:val="008A1E1F"/>
    <w:rsid w:val="008A2093"/>
    <w:rsid w:val="008A25E2"/>
    <w:rsid w:val="008A2D2C"/>
    <w:rsid w:val="008A2E37"/>
    <w:rsid w:val="008A3004"/>
    <w:rsid w:val="008A3771"/>
    <w:rsid w:val="008A3795"/>
    <w:rsid w:val="008A3B12"/>
    <w:rsid w:val="008A43BB"/>
    <w:rsid w:val="008A4406"/>
    <w:rsid w:val="008A4B7F"/>
    <w:rsid w:val="008A4D5B"/>
    <w:rsid w:val="008A4DD4"/>
    <w:rsid w:val="008A4FFD"/>
    <w:rsid w:val="008A5418"/>
    <w:rsid w:val="008A55B6"/>
    <w:rsid w:val="008A59AD"/>
    <w:rsid w:val="008A5D25"/>
    <w:rsid w:val="008A6399"/>
    <w:rsid w:val="008A6574"/>
    <w:rsid w:val="008A73EA"/>
    <w:rsid w:val="008A749A"/>
    <w:rsid w:val="008A79C2"/>
    <w:rsid w:val="008A7F3A"/>
    <w:rsid w:val="008B08A6"/>
    <w:rsid w:val="008B0C8C"/>
    <w:rsid w:val="008B0FC0"/>
    <w:rsid w:val="008B1051"/>
    <w:rsid w:val="008B1085"/>
    <w:rsid w:val="008B16B9"/>
    <w:rsid w:val="008B2211"/>
    <w:rsid w:val="008B2C32"/>
    <w:rsid w:val="008B3241"/>
    <w:rsid w:val="008B3408"/>
    <w:rsid w:val="008B37D8"/>
    <w:rsid w:val="008B396C"/>
    <w:rsid w:val="008B3A1F"/>
    <w:rsid w:val="008B3D55"/>
    <w:rsid w:val="008B3F3B"/>
    <w:rsid w:val="008B4286"/>
    <w:rsid w:val="008B43D4"/>
    <w:rsid w:val="008B4A23"/>
    <w:rsid w:val="008B5029"/>
    <w:rsid w:val="008B62AA"/>
    <w:rsid w:val="008B6893"/>
    <w:rsid w:val="008B6BD2"/>
    <w:rsid w:val="008B6F3A"/>
    <w:rsid w:val="008B7169"/>
    <w:rsid w:val="008B7489"/>
    <w:rsid w:val="008B7642"/>
    <w:rsid w:val="008C0131"/>
    <w:rsid w:val="008C0601"/>
    <w:rsid w:val="008C0D88"/>
    <w:rsid w:val="008C1526"/>
    <w:rsid w:val="008C15C7"/>
    <w:rsid w:val="008C164E"/>
    <w:rsid w:val="008C1B5E"/>
    <w:rsid w:val="008C1D64"/>
    <w:rsid w:val="008C2BC3"/>
    <w:rsid w:val="008C2DCA"/>
    <w:rsid w:val="008C3561"/>
    <w:rsid w:val="008C3C91"/>
    <w:rsid w:val="008C4BC7"/>
    <w:rsid w:val="008C55F4"/>
    <w:rsid w:val="008C58A0"/>
    <w:rsid w:val="008C5C00"/>
    <w:rsid w:val="008C5D49"/>
    <w:rsid w:val="008C609D"/>
    <w:rsid w:val="008C6103"/>
    <w:rsid w:val="008C6178"/>
    <w:rsid w:val="008C61C5"/>
    <w:rsid w:val="008C69D1"/>
    <w:rsid w:val="008C739F"/>
    <w:rsid w:val="008C7557"/>
    <w:rsid w:val="008C7A04"/>
    <w:rsid w:val="008C7CB3"/>
    <w:rsid w:val="008D08C4"/>
    <w:rsid w:val="008D0CE4"/>
    <w:rsid w:val="008D1091"/>
    <w:rsid w:val="008D11ED"/>
    <w:rsid w:val="008D1545"/>
    <w:rsid w:val="008D1937"/>
    <w:rsid w:val="008D1C92"/>
    <w:rsid w:val="008D209E"/>
    <w:rsid w:val="008D22E2"/>
    <w:rsid w:val="008D2559"/>
    <w:rsid w:val="008D25F3"/>
    <w:rsid w:val="008D262C"/>
    <w:rsid w:val="008D2DFE"/>
    <w:rsid w:val="008D35AB"/>
    <w:rsid w:val="008D3907"/>
    <w:rsid w:val="008D3B04"/>
    <w:rsid w:val="008D439F"/>
    <w:rsid w:val="008D4802"/>
    <w:rsid w:val="008D4886"/>
    <w:rsid w:val="008D48D7"/>
    <w:rsid w:val="008D49B3"/>
    <w:rsid w:val="008D4B18"/>
    <w:rsid w:val="008D540B"/>
    <w:rsid w:val="008D542C"/>
    <w:rsid w:val="008D5BDB"/>
    <w:rsid w:val="008D5BE8"/>
    <w:rsid w:val="008D5CBF"/>
    <w:rsid w:val="008D5D9E"/>
    <w:rsid w:val="008D5F54"/>
    <w:rsid w:val="008D60A2"/>
    <w:rsid w:val="008D61D3"/>
    <w:rsid w:val="008D6870"/>
    <w:rsid w:val="008D780A"/>
    <w:rsid w:val="008D7C75"/>
    <w:rsid w:val="008E002D"/>
    <w:rsid w:val="008E17EA"/>
    <w:rsid w:val="008E1ECC"/>
    <w:rsid w:val="008E2961"/>
    <w:rsid w:val="008E297F"/>
    <w:rsid w:val="008E2BC2"/>
    <w:rsid w:val="008E2FEC"/>
    <w:rsid w:val="008E371C"/>
    <w:rsid w:val="008E37CF"/>
    <w:rsid w:val="008E3B55"/>
    <w:rsid w:val="008E3DD4"/>
    <w:rsid w:val="008E408E"/>
    <w:rsid w:val="008E5142"/>
    <w:rsid w:val="008E61AD"/>
    <w:rsid w:val="008E67B5"/>
    <w:rsid w:val="008E7C14"/>
    <w:rsid w:val="008F002B"/>
    <w:rsid w:val="008F0117"/>
    <w:rsid w:val="008F0594"/>
    <w:rsid w:val="008F05E9"/>
    <w:rsid w:val="008F1094"/>
    <w:rsid w:val="008F13AA"/>
    <w:rsid w:val="008F1690"/>
    <w:rsid w:val="008F1F09"/>
    <w:rsid w:val="008F1F2F"/>
    <w:rsid w:val="008F2299"/>
    <w:rsid w:val="008F39A8"/>
    <w:rsid w:val="008F41D8"/>
    <w:rsid w:val="008F45C3"/>
    <w:rsid w:val="008F497F"/>
    <w:rsid w:val="008F4C97"/>
    <w:rsid w:val="008F4E75"/>
    <w:rsid w:val="008F4FAA"/>
    <w:rsid w:val="008F53CF"/>
    <w:rsid w:val="008F6235"/>
    <w:rsid w:val="008F6556"/>
    <w:rsid w:val="008F689F"/>
    <w:rsid w:val="008F7040"/>
    <w:rsid w:val="008F7353"/>
    <w:rsid w:val="008F750E"/>
    <w:rsid w:val="008F7662"/>
    <w:rsid w:val="008F770A"/>
    <w:rsid w:val="00900598"/>
    <w:rsid w:val="00900658"/>
    <w:rsid w:val="00901BE6"/>
    <w:rsid w:val="00901F6B"/>
    <w:rsid w:val="009028BC"/>
    <w:rsid w:val="00902A80"/>
    <w:rsid w:val="00903C67"/>
    <w:rsid w:val="00903C90"/>
    <w:rsid w:val="00904369"/>
    <w:rsid w:val="00904A87"/>
    <w:rsid w:val="00904A9F"/>
    <w:rsid w:val="00904C03"/>
    <w:rsid w:val="00904C31"/>
    <w:rsid w:val="00905056"/>
    <w:rsid w:val="00905507"/>
    <w:rsid w:val="00905CFB"/>
    <w:rsid w:val="009062C2"/>
    <w:rsid w:val="009064D3"/>
    <w:rsid w:val="00906653"/>
    <w:rsid w:val="00906CA9"/>
    <w:rsid w:val="00906E44"/>
    <w:rsid w:val="0091012A"/>
    <w:rsid w:val="009101D7"/>
    <w:rsid w:val="00910249"/>
    <w:rsid w:val="009107EB"/>
    <w:rsid w:val="00910A5A"/>
    <w:rsid w:val="009118A8"/>
    <w:rsid w:val="0091210C"/>
    <w:rsid w:val="00912568"/>
    <w:rsid w:val="009126E2"/>
    <w:rsid w:val="0091287F"/>
    <w:rsid w:val="009133F6"/>
    <w:rsid w:val="00913739"/>
    <w:rsid w:val="00913A33"/>
    <w:rsid w:val="00913D74"/>
    <w:rsid w:val="00913E45"/>
    <w:rsid w:val="00914C5A"/>
    <w:rsid w:val="0091539F"/>
    <w:rsid w:val="00915EAA"/>
    <w:rsid w:val="009160A6"/>
    <w:rsid w:val="0091616C"/>
    <w:rsid w:val="009208DF"/>
    <w:rsid w:val="009210B2"/>
    <w:rsid w:val="00921928"/>
    <w:rsid w:val="00922C4D"/>
    <w:rsid w:val="00922EDB"/>
    <w:rsid w:val="00923317"/>
    <w:rsid w:val="00923670"/>
    <w:rsid w:val="00923DA8"/>
    <w:rsid w:val="00923E8E"/>
    <w:rsid w:val="00924361"/>
    <w:rsid w:val="00924811"/>
    <w:rsid w:val="00924C8E"/>
    <w:rsid w:val="00924CB2"/>
    <w:rsid w:val="00924F57"/>
    <w:rsid w:val="0092518D"/>
    <w:rsid w:val="009256E4"/>
    <w:rsid w:val="00925DD1"/>
    <w:rsid w:val="009261A6"/>
    <w:rsid w:val="009264A0"/>
    <w:rsid w:val="00926566"/>
    <w:rsid w:val="009274C1"/>
    <w:rsid w:val="00927668"/>
    <w:rsid w:val="0093089A"/>
    <w:rsid w:val="00930A45"/>
    <w:rsid w:val="009316E0"/>
    <w:rsid w:val="00931914"/>
    <w:rsid w:val="0093212B"/>
    <w:rsid w:val="009323ED"/>
    <w:rsid w:val="009333F4"/>
    <w:rsid w:val="00933652"/>
    <w:rsid w:val="00933B84"/>
    <w:rsid w:val="009345E9"/>
    <w:rsid w:val="00934D14"/>
    <w:rsid w:val="00934DA3"/>
    <w:rsid w:val="0093548F"/>
    <w:rsid w:val="009357A1"/>
    <w:rsid w:val="00935A2F"/>
    <w:rsid w:val="00936898"/>
    <w:rsid w:val="00936A7D"/>
    <w:rsid w:val="00936CEF"/>
    <w:rsid w:val="00936DCB"/>
    <w:rsid w:val="009405D6"/>
    <w:rsid w:val="00940779"/>
    <w:rsid w:val="0094084F"/>
    <w:rsid w:val="00940DF6"/>
    <w:rsid w:val="00940F4A"/>
    <w:rsid w:val="00940FB0"/>
    <w:rsid w:val="009411C2"/>
    <w:rsid w:val="00941AA6"/>
    <w:rsid w:val="00941E68"/>
    <w:rsid w:val="009420A4"/>
    <w:rsid w:val="00942EE9"/>
    <w:rsid w:val="00942F83"/>
    <w:rsid w:val="009434F4"/>
    <w:rsid w:val="00943755"/>
    <w:rsid w:val="00943806"/>
    <w:rsid w:val="009438D4"/>
    <w:rsid w:val="00943964"/>
    <w:rsid w:val="009439BD"/>
    <w:rsid w:val="00943C25"/>
    <w:rsid w:val="00944637"/>
    <w:rsid w:val="00944BC5"/>
    <w:rsid w:val="009454B2"/>
    <w:rsid w:val="009457E3"/>
    <w:rsid w:val="00946191"/>
    <w:rsid w:val="009462FC"/>
    <w:rsid w:val="009465FA"/>
    <w:rsid w:val="009468A7"/>
    <w:rsid w:val="00946EE6"/>
    <w:rsid w:val="00947031"/>
    <w:rsid w:val="00947310"/>
    <w:rsid w:val="00947349"/>
    <w:rsid w:val="0094771D"/>
    <w:rsid w:val="00947989"/>
    <w:rsid w:val="0095042D"/>
    <w:rsid w:val="009514CE"/>
    <w:rsid w:val="00951758"/>
    <w:rsid w:val="00951AA7"/>
    <w:rsid w:val="00951DB4"/>
    <w:rsid w:val="00951DB6"/>
    <w:rsid w:val="00952FC2"/>
    <w:rsid w:val="00953021"/>
    <w:rsid w:val="00953048"/>
    <w:rsid w:val="009536CA"/>
    <w:rsid w:val="00953739"/>
    <w:rsid w:val="00953965"/>
    <w:rsid w:val="00953C67"/>
    <w:rsid w:val="00953E4F"/>
    <w:rsid w:val="00953FB3"/>
    <w:rsid w:val="00954FF4"/>
    <w:rsid w:val="00955383"/>
    <w:rsid w:val="009554E3"/>
    <w:rsid w:val="0095563C"/>
    <w:rsid w:val="009560C7"/>
    <w:rsid w:val="009569C2"/>
    <w:rsid w:val="00961051"/>
    <w:rsid w:val="00961E84"/>
    <w:rsid w:val="00961F35"/>
    <w:rsid w:val="0096240A"/>
    <w:rsid w:val="009628C5"/>
    <w:rsid w:val="00963300"/>
    <w:rsid w:val="009633B3"/>
    <w:rsid w:val="009636AD"/>
    <w:rsid w:val="00963774"/>
    <w:rsid w:val="00963A18"/>
    <w:rsid w:val="00963A8F"/>
    <w:rsid w:val="00963E9C"/>
    <w:rsid w:val="0096432B"/>
    <w:rsid w:val="0096441D"/>
    <w:rsid w:val="00964CA2"/>
    <w:rsid w:val="00964F63"/>
    <w:rsid w:val="00964F86"/>
    <w:rsid w:val="00965679"/>
    <w:rsid w:val="0096570C"/>
    <w:rsid w:val="009667B2"/>
    <w:rsid w:val="00967263"/>
    <w:rsid w:val="00967DEE"/>
    <w:rsid w:val="00970C00"/>
    <w:rsid w:val="0097101D"/>
    <w:rsid w:val="009714C0"/>
    <w:rsid w:val="009733E0"/>
    <w:rsid w:val="009742D6"/>
    <w:rsid w:val="009749DB"/>
    <w:rsid w:val="00974DD4"/>
    <w:rsid w:val="00975E61"/>
    <w:rsid w:val="00976E13"/>
    <w:rsid w:val="00977118"/>
    <w:rsid w:val="0097760D"/>
    <w:rsid w:val="0097785E"/>
    <w:rsid w:val="0098076C"/>
    <w:rsid w:val="00980C87"/>
    <w:rsid w:val="00980F2E"/>
    <w:rsid w:val="009813D3"/>
    <w:rsid w:val="00981425"/>
    <w:rsid w:val="0098179C"/>
    <w:rsid w:val="00981FE3"/>
    <w:rsid w:val="009820C4"/>
    <w:rsid w:val="00982654"/>
    <w:rsid w:val="009827F1"/>
    <w:rsid w:val="0098390C"/>
    <w:rsid w:val="00983A43"/>
    <w:rsid w:val="00983F7E"/>
    <w:rsid w:val="0098414F"/>
    <w:rsid w:val="009842D4"/>
    <w:rsid w:val="009843D9"/>
    <w:rsid w:val="0098454F"/>
    <w:rsid w:val="00984642"/>
    <w:rsid w:val="00984CAB"/>
    <w:rsid w:val="00985149"/>
    <w:rsid w:val="00985D65"/>
    <w:rsid w:val="00985F1A"/>
    <w:rsid w:val="00986387"/>
    <w:rsid w:val="009863EF"/>
    <w:rsid w:val="009866F0"/>
    <w:rsid w:val="00986757"/>
    <w:rsid w:val="00986838"/>
    <w:rsid w:val="0098690C"/>
    <w:rsid w:val="009872E7"/>
    <w:rsid w:val="00987474"/>
    <w:rsid w:val="00987589"/>
    <w:rsid w:val="0098758E"/>
    <w:rsid w:val="00987CAA"/>
    <w:rsid w:val="009900D1"/>
    <w:rsid w:val="0099015A"/>
    <w:rsid w:val="00990547"/>
    <w:rsid w:val="0099117E"/>
    <w:rsid w:val="009914D0"/>
    <w:rsid w:val="009915F6"/>
    <w:rsid w:val="00991AE0"/>
    <w:rsid w:val="00991D60"/>
    <w:rsid w:val="00991E8F"/>
    <w:rsid w:val="0099222F"/>
    <w:rsid w:val="00992A68"/>
    <w:rsid w:val="00992C1B"/>
    <w:rsid w:val="009930F4"/>
    <w:rsid w:val="009937F5"/>
    <w:rsid w:val="00993ADD"/>
    <w:rsid w:val="00993BB6"/>
    <w:rsid w:val="00993D30"/>
    <w:rsid w:val="00993ECD"/>
    <w:rsid w:val="00994DCA"/>
    <w:rsid w:val="0099502F"/>
    <w:rsid w:val="009955FC"/>
    <w:rsid w:val="009959D2"/>
    <w:rsid w:val="00995B7C"/>
    <w:rsid w:val="00995D15"/>
    <w:rsid w:val="00995F03"/>
    <w:rsid w:val="00995F07"/>
    <w:rsid w:val="0099600B"/>
    <w:rsid w:val="009968AB"/>
    <w:rsid w:val="00996DA5"/>
    <w:rsid w:val="0099767C"/>
    <w:rsid w:val="00997BA3"/>
    <w:rsid w:val="00997DFD"/>
    <w:rsid w:val="009A01CD"/>
    <w:rsid w:val="009A1890"/>
    <w:rsid w:val="009A196C"/>
    <w:rsid w:val="009A1EF2"/>
    <w:rsid w:val="009A206B"/>
    <w:rsid w:val="009A296A"/>
    <w:rsid w:val="009A2ADA"/>
    <w:rsid w:val="009A3117"/>
    <w:rsid w:val="009A450F"/>
    <w:rsid w:val="009A4ABF"/>
    <w:rsid w:val="009A4E1D"/>
    <w:rsid w:val="009A4EB2"/>
    <w:rsid w:val="009A5150"/>
    <w:rsid w:val="009A590B"/>
    <w:rsid w:val="009A5D7A"/>
    <w:rsid w:val="009A5F28"/>
    <w:rsid w:val="009A6908"/>
    <w:rsid w:val="009A6B72"/>
    <w:rsid w:val="009A6ECA"/>
    <w:rsid w:val="009A71A3"/>
    <w:rsid w:val="009A756E"/>
    <w:rsid w:val="009A7869"/>
    <w:rsid w:val="009A7A61"/>
    <w:rsid w:val="009B004E"/>
    <w:rsid w:val="009B08CE"/>
    <w:rsid w:val="009B0FAE"/>
    <w:rsid w:val="009B0FBB"/>
    <w:rsid w:val="009B1332"/>
    <w:rsid w:val="009B1DEA"/>
    <w:rsid w:val="009B266E"/>
    <w:rsid w:val="009B29E4"/>
    <w:rsid w:val="009B2B9A"/>
    <w:rsid w:val="009B2F97"/>
    <w:rsid w:val="009B3236"/>
    <w:rsid w:val="009B41AA"/>
    <w:rsid w:val="009B4C9E"/>
    <w:rsid w:val="009B4D45"/>
    <w:rsid w:val="009B52CE"/>
    <w:rsid w:val="009B559A"/>
    <w:rsid w:val="009B568C"/>
    <w:rsid w:val="009B66B6"/>
    <w:rsid w:val="009B69D4"/>
    <w:rsid w:val="009B6B0F"/>
    <w:rsid w:val="009B701E"/>
    <w:rsid w:val="009B7834"/>
    <w:rsid w:val="009B7D59"/>
    <w:rsid w:val="009B7EE3"/>
    <w:rsid w:val="009C08D8"/>
    <w:rsid w:val="009C09A0"/>
    <w:rsid w:val="009C0A2C"/>
    <w:rsid w:val="009C10C2"/>
    <w:rsid w:val="009C127F"/>
    <w:rsid w:val="009C1359"/>
    <w:rsid w:val="009C1677"/>
    <w:rsid w:val="009C16C3"/>
    <w:rsid w:val="009C18A2"/>
    <w:rsid w:val="009C2C45"/>
    <w:rsid w:val="009C3012"/>
    <w:rsid w:val="009C3BB8"/>
    <w:rsid w:val="009C3BE8"/>
    <w:rsid w:val="009C3C01"/>
    <w:rsid w:val="009C3D6E"/>
    <w:rsid w:val="009C40C7"/>
    <w:rsid w:val="009C443A"/>
    <w:rsid w:val="009C4576"/>
    <w:rsid w:val="009C4A68"/>
    <w:rsid w:val="009C4BE7"/>
    <w:rsid w:val="009C4DF8"/>
    <w:rsid w:val="009C5A01"/>
    <w:rsid w:val="009C6947"/>
    <w:rsid w:val="009C7130"/>
    <w:rsid w:val="009C7147"/>
    <w:rsid w:val="009D071B"/>
    <w:rsid w:val="009D07A2"/>
    <w:rsid w:val="009D0D87"/>
    <w:rsid w:val="009D13BA"/>
    <w:rsid w:val="009D15A7"/>
    <w:rsid w:val="009D15F5"/>
    <w:rsid w:val="009D1661"/>
    <w:rsid w:val="009D25A0"/>
    <w:rsid w:val="009D26FA"/>
    <w:rsid w:val="009D3510"/>
    <w:rsid w:val="009D35A4"/>
    <w:rsid w:val="009D389E"/>
    <w:rsid w:val="009D3F55"/>
    <w:rsid w:val="009D4622"/>
    <w:rsid w:val="009D5775"/>
    <w:rsid w:val="009D6641"/>
    <w:rsid w:val="009D7120"/>
    <w:rsid w:val="009D7367"/>
    <w:rsid w:val="009D7672"/>
    <w:rsid w:val="009D786C"/>
    <w:rsid w:val="009D7912"/>
    <w:rsid w:val="009D7961"/>
    <w:rsid w:val="009D79DF"/>
    <w:rsid w:val="009D7B1E"/>
    <w:rsid w:val="009E0724"/>
    <w:rsid w:val="009E0C0E"/>
    <w:rsid w:val="009E0E6F"/>
    <w:rsid w:val="009E1008"/>
    <w:rsid w:val="009E175D"/>
    <w:rsid w:val="009E1CEC"/>
    <w:rsid w:val="009E23AC"/>
    <w:rsid w:val="009E2449"/>
    <w:rsid w:val="009E2611"/>
    <w:rsid w:val="009E262B"/>
    <w:rsid w:val="009E2710"/>
    <w:rsid w:val="009E2784"/>
    <w:rsid w:val="009E2805"/>
    <w:rsid w:val="009E2A61"/>
    <w:rsid w:val="009E2DAB"/>
    <w:rsid w:val="009E2F42"/>
    <w:rsid w:val="009E2F5E"/>
    <w:rsid w:val="009E2F89"/>
    <w:rsid w:val="009E40CF"/>
    <w:rsid w:val="009E481B"/>
    <w:rsid w:val="009E4A66"/>
    <w:rsid w:val="009E5278"/>
    <w:rsid w:val="009E528D"/>
    <w:rsid w:val="009E5534"/>
    <w:rsid w:val="009E5550"/>
    <w:rsid w:val="009E6A36"/>
    <w:rsid w:val="009E715E"/>
    <w:rsid w:val="009E762B"/>
    <w:rsid w:val="009E76CD"/>
    <w:rsid w:val="009E7E99"/>
    <w:rsid w:val="009E7FEA"/>
    <w:rsid w:val="009F006B"/>
    <w:rsid w:val="009F06C6"/>
    <w:rsid w:val="009F0CE4"/>
    <w:rsid w:val="009F1281"/>
    <w:rsid w:val="009F1565"/>
    <w:rsid w:val="009F1726"/>
    <w:rsid w:val="009F1BDB"/>
    <w:rsid w:val="009F1E2A"/>
    <w:rsid w:val="009F1F97"/>
    <w:rsid w:val="009F2357"/>
    <w:rsid w:val="009F23A7"/>
    <w:rsid w:val="009F258C"/>
    <w:rsid w:val="009F2637"/>
    <w:rsid w:val="009F293F"/>
    <w:rsid w:val="009F29BB"/>
    <w:rsid w:val="009F2A90"/>
    <w:rsid w:val="009F389A"/>
    <w:rsid w:val="009F3E0D"/>
    <w:rsid w:val="009F3F22"/>
    <w:rsid w:val="009F4273"/>
    <w:rsid w:val="009F4D54"/>
    <w:rsid w:val="009F4FB9"/>
    <w:rsid w:val="009F51BD"/>
    <w:rsid w:val="009F58C5"/>
    <w:rsid w:val="009F58FB"/>
    <w:rsid w:val="009F5B2E"/>
    <w:rsid w:val="009F5D1A"/>
    <w:rsid w:val="009F604F"/>
    <w:rsid w:val="009F6FDA"/>
    <w:rsid w:val="009F7342"/>
    <w:rsid w:val="009F7C39"/>
    <w:rsid w:val="009F7F37"/>
    <w:rsid w:val="00A007F2"/>
    <w:rsid w:val="00A00DC5"/>
    <w:rsid w:val="00A010C6"/>
    <w:rsid w:val="00A011DF"/>
    <w:rsid w:val="00A01690"/>
    <w:rsid w:val="00A01B3C"/>
    <w:rsid w:val="00A0247B"/>
    <w:rsid w:val="00A02928"/>
    <w:rsid w:val="00A02930"/>
    <w:rsid w:val="00A02C02"/>
    <w:rsid w:val="00A03006"/>
    <w:rsid w:val="00A03761"/>
    <w:rsid w:val="00A03B2D"/>
    <w:rsid w:val="00A04C90"/>
    <w:rsid w:val="00A04E89"/>
    <w:rsid w:val="00A06694"/>
    <w:rsid w:val="00A068C6"/>
    <w:rsid w:val="00A0722A"/>
    <w:rsid w:val="00A10239"/>
    <w:rsid w:val="00A105FA"/>
    <w:rsid w:val="00A10976"/>
    <w:rsid w:val="00A10C9B"/>
    <w:rsid w:val="00A121B0"/>
    <w:rsid w:val="00A12517"/>
    <w:rsid w:val="00A1257B"/>
    <w:rsid w:val="00A12CB1"/>
    <w:rsid w:val="00A1300F"/>
    <w:rsid w:val="00A136FA"/>
    <w:rsid w:val="00A13ACC"/>
    <w:rsid w:val="00A14374"/>
    <w:rsid w:val="00A146BD"/>
    <w:rsid w:val="00A146D6"/>
    <w:rsid w:val="00A148BB"/>
    <w:rsid w:val="00A15395"/>
    <w:rsid w:val="00A153BA"/>
    <w:rsid w:val="00A15C86"/>
    <w:rsid w:val="00A15D75"/>
    <w:rsid w:val="00A15FF2"/>
    <w:rsid w:val="00A16386"/>
    <w:rsid w:val="00A16E57"/>
    <w:rsid w:val="00A174D6"/>
    <w:rsid w:val="00A17748"/>
    <w:rsid w:val="00A17CCE"/>
    <w:rsid w:val="00A17D5D"/>
    <w:rsid w:val="00A2029D"/>
    <w:rsid w:val="00A207E0"/>
    <w:rsid w:val="00A20BD2"/>
    <w:rsid w:val="00A20E4E"/>
    <w:rsid w:val="00A21013"/>
    <w:rsid w:val="00A21697"/>
    <w:rsid w:val="00A2192B"/>
    <w:rsid w:val="00A21957"/>
    <w:rsid w:val="00A21A00"/>
    <w:rsid w:val="00A224AF"/>
    <w:rsid w:val="00A22994"/>
    <w:rsid w:val="00A22C53"/>
    <w:rsid w:val="00A22CEE"/>
    <w:rsid w:val="00A2314D"/>
    <w:rsid w:val="00A23B12"/>
    <w:rsid w:val="00A23C33"/>
    <w:rsid w:val="00A23F60"/>
    <w:rsid w:val="00A24401"/>
    <w:rsid w:val="00A271B3"/>
    <w:rsid w:val="00A27BA1"/>
    <w:rsid w:val="00A27CCC"/>
    <w:rsid w:val="00A304E9"/>
    <w:rsid w:val="00A3064F"/>
    <w:rsid w:val="00A30F68"/>
    <w:rsid w:val="00A31188"/>
    <w:rsid w:val="00A31274"/>
    <w:rsid w:val="00A3132F"/>
    <w:rsid w:val="00A319A6"/>
    <w:rsid w:val="00A31DCE"/>
    <w:rsid w:val="00A3241B"/>
    <w:rsid w:val="00A326C6"/>
    <w:rsid w:val="00A32821"/>
    <w:rsid w:val="00A333EE"/>
    <w:rsid w:val="00A33716"/>
    <w:rsid w:val="00A33EBC"/>
    <w:rsid w:val="00A34AAE"/>
    <w:rsid w:val="00A35C15"/>
    <w:rsid w:val="00A35CB5"/>
    <w:rsid w:val="00A3633A"/>
    <w:rsid w:val="00A3670A"/>
    <w:rsid w:val="00A36724"/>
    <w:rsid w:val="00A371DA"/>
    <w:rsid w:val="00A401EA"/>
    <w:rsid w:val="00A40437"/>
    <w:rsid w:val="00A40723"/>
    <w:rsid w:val="00A411D8"/>
    <w:rsid w:val="00A412FD"/>
    <w:rsid w:val="00A414EE"/>
    <w:rsid w:val="00A41B43"/>
    <w:rsid w:val="00A42177"/>
    <w:rsid w:val="00A421CB"/>
    <w:rsid w:val="00A422FA"/>
    <w:rsid w:val="00A43285"/>
    <w:rsid w:val="00A43677"/>
    <w:rsid w:val="00A43E30"/>
    <w:rsid w:val="00A443D6"/>
    <w:rsid w:val="00A4496C"/>
    <w:rsid w:val="00A44AF5"/>
    <w:rsid w:val="00A450C3"/>
    <w:rsid w:val="00A451D4"/>
    <w:rsid w:val="00A453CB"/>
    <w:rsid w:val="00A453D9"/>
    <w:rsid w:val="00A45CB8"/>
    <w:rsid w:val="00A45D39"/>
    <w:rsid w:val="00A460C2"/>
    <w:rsid w:val="00A472B6"/>
    <w:rsid w:val="00A473BF"/>
    <w:rsid w:val="00A47446"/>
    <w:rsid w:val="00A47563"/>
    <w:rsid w:val="00A47593"/>
    <w:rsid w:val="00A4767C"/>
    <w:rsid w:val="00A47DD9"/>
    <w:rsid w:val="00A50825"/>
    <w:rsid w:val="00A50A4E"/>
    <w:rsid w:val="00A50AEA"/>
    <w:rsid w:val="00A517FE"/>
    <w:rsid w:val="00A51DD7"/>
    <w:rsid w:val="00A51EEA"/>
    <w:rsid w:val="00A52572"/>
    <w:rsid w:val="00A5277C"/>
    <w:rsid w:val="00A528AF"/>
    <w:rsid w:val="00A52F8E"/>
    <w:rsid w:val="00A5366C"/>
    <w:rsid w:val="00A536F2"/>
    <w:rsid w:val="00A53D72"/>
    <w:rsid w:val="00A53FBC"/>
    <w:rsid w:val="00A54492"/>
    <w:rsid w:val="00A5480C"/>
    <w:rsid w:val="00A54AE4"/>
    <w:rsid w:val="00A553A0"/>
    <w:rsid w:val="00A55545"/>
    <w:rsid w:val="00A55599"/>
    <w:rsid w:val="00A558FC"/>
    <w:rsid w:val="00A55A12"/>
    <w:rsid w:val="00A55D03"/>
    <w:rsid w:val="00A5656D"/>
    <w:rsid w:val="00A56653"/>
    <w:rsid w:val="00A57406"/>
    <w:rsid w:val="00A57502"/>
    <w:rsid w:val="00A57A8D"/>
    <w:rsid w:val="00A6066D"/>
    <w:rsid w:val="00A60BE1"/>
    <w:rsid w:val="00A60C0B"/>
    <w:rsid w:val="00A60C9A"/>
    <w:rsid w:val="00A6151C"/>
    <w:rsid w:val="00A616DF"/>
    <w:rsid w:val="00A619E5"/>
    <w:rsid w:val="00A61F7F"/>
    <w:rsid w:val="00A63FBC"/>
    <w:rsid w:val="00A64B23"/>
    <w:rsid w:val="00A64B43"/>
    <w:rsid w:val="00A64BFA"/>
    <w:rsid w:val="00A64DD7"/>
    <w:rsid w:val="00A64DE5"/>
    <w:rsid w:val="00A65077"/>
    <w:rsid w:val="00A65243"/>
    <w:rsid w:val="00A65794"/>
    <w:rsid w:val="00A65D3F"/>
    <w:rsid w:val="00A66CBF"/>
    <w:rsid w:val="00A66D22"/>
    <w:rsid w:val="00A67411"/>
    <w:rsid w:val="00A677E6"/>
    <w:rsid w:val="00A67C7F"/>
    <w:rsid w:val="00A70FEF"/>
    <w:rsid w:val="00A716DA"/>
    <w:rsid w:val="00A72836"/>
    <w:rsid w:val="00A73013"/>
    <w:rsid w:val="00A74051"/>
    <w:rsid w:val="00A7414E"/>
    <w:rsid w:val="00A74234"/>
    <w:rsid w:val="00A74434"/>
    <w:rsid w:val="00A74937"/>
    <w:rsid w:val="00A74A46"/>
    <w:rsid w:val="00A75F86"/>
    <w:rsid w:val="00A75FE0"/>
    <w:rsid w:val="00A762E6"/>
    <w:rsid w:val="00A76595"/>
    <w:rsid w:val="00A76CA2"/>
    <w:rsid w:val="00A76E6D"/>
    <w:rsid w:val="00A770D2"/>
    <w:rsid w:val="00A77D9E"/>
    <w:rsid w:val="00A81123"/>
    <w:rsid w:val="00A811BC"/>
    <w:rsid w:val="00A81220"/>
    <w:rsid w:val="00A81E61"/>
    <w:rsid w:val="00A8314B"/>
    <w:rsid w:val="00A83199"/>
    <w:rsid w:val="00A83880"/>
    <w:rsid w:val="00A841D6"/>
    <w:rsid w:val="00A84A64"/>
    <w:rsid w:val="00A84A98"/>
    <w:rsid w:val="00A84B84"/>
    <w:rsid w:val="00A84FA5"/>
    <w:rsid w:val="00A861B3"/>
    <w:rsid w:val="00A861E6"/>
    <w:rsid w:val="00A8663F"/>
    <w:rsid w:val="00A86737"/>
    <w:rsid w:val="00A8679E"/>
    <w:rsid w:val="00A86BF0"/>
    <w:rsid w:val="00A87037"/>
    <w:rsid w:val="00A873BA"/>
    <w:rsid w:val="00A8746B"/>
    <w:rsid w:val="00A876EC"/>
    <w:rsid w:val="00A87D76"/>
    <w:rsid w:val="00A90731"/>
    <w:rsid w:val="00A91164"/>
    <w:rsid w:val="00A91304"/>
    <w:rsid w:val="00A913C2"/>
    <w:rsid w:val="00A92281"/>
    <w:rsid w:val="00A932E6"/>
    <w:rsid w:val="00A93D73"/>
    <w:rsid w:val="00A946B5"/>
    <w:rsid w:val="00A94D07"/>
    <w:rsid w:val="00A94E77"/>
    <w:rsid w:val="00A9529E"/>
    <w:rsid w:val="00A9544C"/>
    <w:rsid w:val="00A95DD3"/>
    <w:rsid w:val="00A95E04"/>
    <w:rsid w:val="00A96B04"/>
    <w:rsid w:val="00A978E1"/>
    <w:rsid w:val="00A97B54"/>
    <w:rsid w:val="00A97B86"/>
    <w:rsid w:val="00AA0330"/>
    <w:rsid w:val="00AA0B89"/>
    <w:rsid w:val="00AA1091"/>
    <w:rsid w:val="00AA1175"/>
    <w:rsid w:val="00AA163B"/>
    <w:rsid w:val="00AA1902"/>
    <w:rsid w:val="00AA1B75"/>
    <w:rsid w:val="00AA1DDC"/>
    <w:rsid w:val="00AA1E28"/>
    <w:rsid w:val="00AA242F"/>
    <w:rsid w:val="00AA33A1"/>
    <w:rsid w:val="00AA33D0"/>
    <w:rsid w:val="00AA34FF"/>
    <w:rsid w:val="00AA35E0"/>
    <w:rsid w:val="00AA3685"/>
    <w:rsid w:val="00AA3F05"/>
    <w:rsid w:val="00AA4701"/>
    <w:rsid w:val="00AA4AE8"/>
    <w:rsid w:val="00AA4D98"/>
    <w:rsid w:val="00AA503C"/>
    <w:rsid w:val="00AA55B4"/>
    <w:rsid w:val="00AA65B1"/>
    <w:rsid w:val="00AA6B30"/>
    <w:rsid w:val="00AA6EF4"/>
    <w:rsid w:val="00AA74AA"/>
    <w:rsid w:val="00AA778B"/>
    <w:rsid w:val="00AB00B6"/>
    <w:rsid w:val="00AB09F0"/>
    <w:rsid w:val="00AB12BE"/>
    <w:rsid w:val="00AB13BD"/>
    <w:rsid w:val="00AB16BE"/>
    <w:rsid w:val="00AB220E"/>
    <w:rsid w:val="00AB2FA1"/>
    <w:rsid w:val="00AB42E3"/>
    <w:rsid w:val="00AB484B"/>
    <w:rsid w:val="00AB4EE6"/>
    <w:rsid w:val="00AB4EFA"/>
    <w:rsid w:val="00AB529C"/>
    <w:rsid w:val="00AB5A9D"/>
    <w:rsid w:val="00AB6198"/>
    <w:rsid w:val="00AB667F"/>
    <w:rsid w:val="00AB672A"/>
    <w:rsid w:val="00AB6735"/>
    <w:rsid w:val="00AB6A3D"/>
    <w:rsid w:val="00AB6C90"/>
    <w:rsid w:val="00AB6F14"/>
    <w:rsid w:val="00AB7290"/>
    <w:rsid w:val="00AB73D1"/>
    <w:rsid w:val="00AB741C"/>
    <w:rsid w:val="00AC0054"/>
    <w:rsid w:val="00AC03B9"/>
    <w:rsid w:val="00AC0711"/>
    <w:rsid w:val="00AC086D"/>
    <w:rsid w:val="00AC0D6A"/>
    <w:rsid w:val="00AC0E3B"/>
    <w:rsid w:val="00AC1AC3"/>
    <w:rsid w:val="00AC24D7"/>
    <w:rsid w:val="00AC2756"/>
    <w:rsid w:val="00AC2779"/>
    <w:rsid w:val="00AC295D"/>
    <w:rsid w:val="00AC2D27"/>
    <w:rsid w:val="00AC3245"/>
    <w:rsid w:val="00AC3468"/>
    <w:rsid w:val="00AC4117"/>
    <w:rsid w:val="00AC414D"/>
    <w:rsid w:val="00AC4FC5"/>
    <w:rsid w:val="00AC56D6"/>
    <w:rsid w:val="00AC594C"/>
    <w:rsid w:val="00AC60B5"/>
    <w:rsid w:val="00AC658B"/>
    <w:rsid w:val="00AC6767"/>
    <w:rsid w:val="00AC6A52"/>
    <w:rsid w:val="00AC6A80"/>
    <w:rsid w:val="00AC6EC8"/>
    <w:rsid w:val="00AC701F"/>
    <w:rsid w:val="00AC7336"/>
    <w:rsid w:val="00AD0641"/>
    <w:rsid w:val="00AD08E0"/>
    <w:rsid w:val="00AD12D1"/>
    <w:rsid w:val="00AD2065"/>
    <w:rsid w:val="00AD207A"/>
    <w:rsid w:val="00AD2311"/>
    <w:rsid w:val="00AD282B"/>
    <w:rsid w:val="00AD2C63"/>
    <w:rsid w:val="00AD30F5"/>
    <w:rsid w:val="00AD3C90"/>
    <w:rsid w:val="00AD4290"/>
    <w:rsid w:val="00AD435F"/>
    <w:rsid w:val="00AD46F0"/>
    <w:rsid w:val="00AD4C71"/>
    <w:rsid w:val="00AD4D53"/>
    <w:rsid w:val="00AD4EE9"/>
    <w:rsid w:val="00AD5178"/>
    <w:rsid w:val="00AD523A"/>
    <w:rsid w:val="00AD5B24"/>
    <w:rsid w:val="00AD5B8A"/>
    <w:rsid w:val="00AD5D32"/>
    <w:rsid w:val="00AD5E85"/>
    <w:rsid w:val="00AD64DA"/>
    <w:rsid w:val="00AD66FE"/>
    <w:rsid w:val="00AD6C43"/>
    <w:rsid w:val="00AD78D0"/>
    <w:rsid w:val="00AD7F90"/>
    <w:rsid w:val="00AE0064"/>
    <w:rsid w:val="00AE01EF"/>
    <w:rsid w:val="00AE0381"/>
    <w:rsid w:val="00AE0F12"/>
    <w:rsid w:val="00AE119B"/>
    <w:rsid w:val="00AE1453"/>
    <w:rsid w:val="00AE1826"/>
    <w:rsid w:val="00AE1AC9"/>
    <w:rsid w:val="00AE21CC"/>
    <w:rsid w:val="00AE232B"/>
    <w:rsid w:val="00AE2CCB"/>
    <w:rsid w:val="00AE2E5D"/>
    <w:rsid w:val="00AE386A"/>
    <w:rsid w:val="00AE38E6"/>
    <w:rsid w:val="00AE3973"/>
    <w:rsid w:val="00AE3A32"/>
    <w:rsid w:val="00AE4001"/>
    <w:rsid w:val="00AE4635"/>
    <w:rsid w:val="00AE4E31"/>
    <w:rsid w:val="00AE4F7A"/>
    <w:rsid w:val="00AE52D7"/>
    <w:rsid w:val="00AE6431"/>
    <w:rsid w:val="00AE69A1"/>
    <w:rsid w:val="00AE6A5F"/>
    <w:rsid w:val="00AE7AAD"/>
    <w:rsid w:val="00AF04B2"/>
    <w:rsid w:val="00AF0A05"/>
    <w:rsid w:val="00AF1342"/>
    <w:rsid w:val="00AF1991"/>
    <w:rsid w:val="00AF1FC2"/>
    <w:rsid w:val="00AF2048"/>
    <w:rsid w:val="00AF218A"/>
    <w:rsid w:val="00AF2954"/>
    <w:rsid w:val="00AF2C4E"/>
    <w:rsid w:val="00AF3375"/>
    <w:rsid w:val="00AF3826"/>
    <w:rsid w:val="00AF394F"/>
    <w:rsid w:val="00AF39CF"/>
    <w:rsid w:val="00AF3B7C"/>
    <w:rsid w:val="00AF420F"/>
    <w:rsid w:val="00AF4224"/>
    <w:rsid w:val="00AF4A89"/>
    <w:rsid w:val="00AF5103"/>
    <w:rsid w:val="00AF532C"/>
    <w:rsid w:val="00AF552C"/>
    <w:rsid w:val="00AF5DE0"/>
    <w:rsid w:val="00AF63B4"/>
    <w:rsid w:val="00AF7D6B"/>
    <w:rsid w:val="00B0031C"/>
    <w:rsid w:val="00B0054D"/>
    <w:rsid w:val="00B00869"/>
    <w:rsid w:val="00B00C92"/>
    <w:rsid w:val="00B01446"/>
    <w:rsid w:val="00B01626"/>
    <w:rsid w:val="00B0234F"/>
    <w:rsid w:val="00B02881"/>
    <w:rsid w:val="00B03555"/>
    <w:rsid w:val="00B042F9"/>
    <w:rsid w:val="00B043BA"/>
    <w:rsid w:val="00B043F6"/>
    <w:rsid w:val="00B04972"/>
    <w:rsid w:val="00B04B9E"/>
    <w:rsid w:val="00B04CC9"/>
    <w:rsid w:val="00B04CD4"/>
    <w:rsid w:val="00B051E7"/>
    <w:rsid w:val="00B0522A"/>
    <w:rsid w:val="00B05FD7"/>
    <w:rsid w:val="00B06289"/>
    <w:rsid w:val="00B0681E"/>
    <w:rsid w:val="00B06A1C"/>
    <w:rsid w:val="00B072FF"/>
    <w:rsid w:val="00B07432"/>
    <w:rsid w:val="00B076D5"/>
    <w:rsid w:val="00B078C0"/>
    <w:rsid w:val="00B07D8C"/>
    <w:rsid w:val="00B07EA7"/>
    <w:rsid w:val="00B103E1"/>
    <w:rsid w:val="00B1051D"/>
    <w:rsid w:val="00B105BD"/>
    <w:rsid w:val="00B10C45"/>
    <w:rsid w:val="00B10E8A"/>
    <w:rsid w:val="00B11059"/>
    <w:rsid w:val="00B111DB"/>
    <w:rsid w:val="00B11C0F"/>
    <w:rsid w:val="00B12393"/>
    <w:rsid w:val="00B125A1"/>
    <w:rsid w:val="00B127D4"/>
    <w:rsid w:val="00B1290A"/>
    <w:rsid w:val="00B12F73"/>
    <w:rsid w:val="00B12FF8"/>
    <w:rsid w:val="00B13E07"/>
    <w:rsid w:val="00B14463"/>
    <w:rsid w:val="00B14762"/>
    <w:rsid w:val="00B15076"/>
    <w:rsid w:val="00B15325"/>
    <w:rsid w:val="00B157BD"/>
    <w:rsid w:val="00B15848"/>
    <w:rsid w:val="00B15E2C"/>
    <w:rsid w:val="00B1635F"/>
    <w:rsid w:val="00B16824"/>
    <w:rsid w:val="00B17321"/>
    <w:rsid w:val="00B176DD"/>
    <w:rsid w:val="00B202A5"/>
    <w:rsid w:val="00B205DB"/>
    <w:rsid w:val="00B20A10"/>
    <w:rsid w:val="00B213FB"/>
    <w:rsid w:val="00B21582"/>
    <w:rsid w:val="00B217CA"/>
    <w:rsid w:val="00B21CFE"/>
    <w:rsid w:val="00B21F89"/>
    <w:rsid w:val="00B220D9"/>
    <w:rsid w:val="00B221C0"/>
    <w:rsid w:val="00B223A5"/>
    <w:rsid w:val="00B22AD8"/>
    <w:rsid w:val="00B22F79"/>
    <w:rsid w:val="00B2331B"/>
    <w:rsid w:val="00B233B1"/>
    <w:rsid w:val="00B233D3"/>
    <w:rsid w:val="00B23507"/>
    <w:rsid w:val="00B238BA"/>
    <w:rsid w:val="00B23AC5"/>
    <w:rsid w:val="00B23E12"/>
    <w:rsid w:val="00B23FA6"/>
    <w:rsid w:val="00B2429B"/>
    <w:rsid w:val="00B24691"/>
    <w:rsid w:val="00B24729"/>
    <w:rsid w:val="00B24C0C"/>
    <w:rsid w:val="00B24EEE"/>
    <w:rsid w:val="00B2504D"/>
    <w:rsid w:val="00B2597A"/>
    <w:rsid w:val="00B25FF9"/>
    <w:rsid w:val="00B26DAF"/>
    <w:rsid w:val="00B26E39"/>
    <w:rsid w:val="00B271C0"/>
    <w:rsid w:val="00B272AD"/>
    <w:rsid w:val="00B27B0B"/>
    <w:rsid w:val="00B27B46"/>
    <w:rsid w:val="00B27CA1"/>
    <w:rsid w:val="00B27ECC"/>
    <w:rsid w:val="00B3057A"/>
    <w:rsid w:val="00B30DC3"/>
    <w:rsid w:val="00B3193A"/>
    <w:rsid w:val="00B319A2"/>
    <w:rsid w:val="00B3253A"/>
    <w:rsid w:val="00B32D94"/>
    <w:rsid w:val="00B32E5D"/>
    <w:rsid w:val="00B332D5"/>
    <w:rsid w:val="00B33876"/>
    <w:rsid w:val="00B33E10"/>
    <w:rsid w:val="00B34339"/>
    <w:rsid w:val="00B353F4"/>
    <w:rsid w:val="00B357A3"/>
    <w:rsid w:val="00B358C7"/>
    <w:rsid w:val="00B36053"/>
    <w:rsid w:val="00B362AA"/>
    <w:rsid w:val="00B36584"/>
    <w:rsid w:val="00B3684F"/>
    <w:rsid w:val="00B36D02"/>
    <w:rsid w:val="00B36DC7"/>
    <w:rsid w:val="00B36F10"/>
    <w:rsid w:val="00B373B9"/>
    <w:rsid w:val="00B37861"/>
    <w:rsid w:val="00B4028A"/>
    <w:rsid w:val="00B40339"/>
    <w:rsid w:val="00B40568"/>
    <w:rsid w:val="00B40B4E"/>
    <w:rsid w:val="00B40CD8"/>
    <w:rsid w:val="00B40E66"/>
    <w:rsid w:val="00B41087"/>
    <w:rsid w:val="00B4117C"/>
    <w:rsid w:val="00B413C9"/>
    <w:rsid w:val="00B41596"/>
    <w:rsid w:val="00B415C8"/>
    <w:rsid w:val="00B41C18"/>
    <w:rsid w:val="00B4224C"/>
    <w:rsid w:val="00B4255C"/>
    <w:rsid w:val="00B428F0"/>
    <w:rsid w:val="00B42E4F"/>
    <w:rsid w:val="00B431AC"/>
    <w:rsid w:val="00B43648"/>
    <w:rsid w:val="00B44178"/>
    <w:rsid w:val="00B448F0"/>
    <w:rsid w:val="00B4490A"/>
    <w:rsid w:val="00B44A59"/>
    <w:rsid w:val="00B44ADD"/>
    <w:rsid w:val="00B44DB0"/>
    <w:rsid w:val="00B44FD6"/>
    <w:rsid w:val="00B460BF"/>
    <w:rsid w:val="00B46257"/>
    <w:rsid w:val="00B4625A"/>
    <w:rsid w:val="00B463E3"/>
    <w:rsid w:val="00B464D2"/>
    <w:rsid w:val="00B46821"/>
    <w:rsid w:val="00B46E5A"/>
    <w:rsid w:val="00B47D8E"/>
    <w:rsid w:val="00B50040"/>
    <w:rsid w:val="00B501C4"/>
    <w:rsid w:val="00B50508"/>
    <w:rsid w:val="00B509F4"/>
    <w:rsid w:val="00B50F0F"/>
    <w:rsid w:val="00B50F4F"/>
    <w:rsid w:val="00B51E85"/>
    <w:rsid w:val="00B51FCF"/>
    <w:rsid w:val="00B52293"/>
    <w:rsid w:val="00B52384"/>
    <w:rsid w:val="00B52464"/>
    <w:rsid w:val="00B52B83"/>
    <w:rsid w:val="00B52BC3"/>
    <w:rsid w:val="00B52FA6"/>
    <w:rsid w:val="00B5469C"/>
    <w:rsid w:val="00B54B68"/>
    <w:rsid w:val="00B54C8C"/>
    <w:rsid w:val="00B564FF"/>
    <w:rsid w:val="00B56979"/>
    <w:rsid w:val="00B56C49"/>
    <w:rsid w:val="00B570EE"/>
    <w:rsid w:val="00B57DF6"/>
    <w:rsid w:val="00B60235"/>
    <w:rsid w:val="00B605A3"/>
    <w:rsid w:val="00B607D0"/>
    <w:rsid w:val="00B612B1"/>
    <w:rsid w:val="00B61625"/>
    <w:rsid w:val="00B61912"/>
    <w:rsid w:val="00B61B5C"/>
    <w:rsid w:val="00B61C2F"/>
    <w:rsid w:val="00B620F2"/>
    <w:rsid w:val="00B6235C"/>
    <w:rsid w:val="00B62D01"/>
    <w:rsid w:val="00B641D6"/>
    <w:rsid w:val="00B645AF"/>
    <w:rsid w:val="00B6464A"/>
    <w:rsid w:val="00B6488A"/>
    <w:rsid w:val="00B64956"/>
    <w:rsid w:val="00B64983"/>
    <w:rsid w:val="00B650F4"/>
    <w:rsid w:val="00B65205"/>
    <w:rsid w:val="00B65679"/>
    <w:rsid w:val="00B659D2"/>
    <w:rsid w:val="00B659F6"/>
    <w:rsid w:val="00B65A8D"/>
    <w:rsid w:val="00B65CC5"/>
    <w:rsid w:val="00B660EE"/>
    <w:rsid w:val="00B66591"/>
    <w:rsid w:val="00B667A8"/>
    <w:rsid w:val="00B668AD"/>
    <w:rsid w:val="00B669D4"/>
    <w:rsid w:val="00B66AB0"/>
    <w:rsid w:val="00B67654"/>
    <w:rsid w:val="00B67753"/>
    <w:rsid w:val="00B67999"/>
    <w:rsid w:val="00B67A0F"/>
    <w:rsid w:val="00B710D8"/>
    <w:rsid w:val="00B712F7"/>
    <w:rsid w:val="00B718BA"/>
    <w:rsid w:val="00B72246"/>
    <w:rsid w:val="00B726FD"/>
    <w:rsid w:val="00B72B47"/>
    <w:rsid w:val="00B72B65"/>
    <w:rsid w:val="00B72D94"/>
    <w:rsid w:val="00B72FCA"/>
    <w:rsid w:val="00B73243"/>
    <w:rsid w:val="00B734F4"/>
    <w:rsid w:val="00B73608"/>
    <w:rsid w:val="00B736A9"/>
    <w:rsid w:val="00B736E9"/>
    <w:rsid w:val="00B73AC5"/>
    <w:rsid w:val="00B73E42"/>
    <w:rsid w:val="00B7403D"/>
    <w:rsid w:val="00B740DD"/>
    <w:rsid w:val="00B747C0"/>
    <w:rsid w:val="00B74814"/>
    <w:rsid w:val="00B75261"/>
    <w:rsid w:val="00B75BDE"/>
    <w:rsid w:val="00B75EC0"/>
    <w:rsid w:val="00B75ECA"/>
    <w:rsid w:val="00B75F84"/>
    <w:rsid w:val="00B75F87"/>
    <w:rsid w:val="00B76013"/>
    <w:rsid w:val="00B76485"/>
    <w:rsid w:val="00B76B11"/>
    <w:rsid w:val="00B76EB4"/>
    <w:rsid w:val="00B77628"/>
    <w:rsid w:val="00B77746"/>
    <w:rsid w:val="00B77A9B"/>
    <w:rsid w:val="00B8001B"/>
    <w:rsid w:val="00B800D5"/>
    <w:rsid w:val="00B80316"/>
    <w:rsid w:val="00B803D0"/>
    <w:rsid w:val="00B80690"/>
    <w:rsid w:val="00B80ACB"/>
    <w:rsid w:val="00B80B11"/>
    <w:rsid w:val="00B8146A"/>
    <w:rsid w:val="00B81644"/>
    <w:rsid w:val="00B816CE"/>
    <w:rsid w:val="00B81C07"/>
    <w:rsid w:val="00B81DC0"/>
    <w:rsid w:val="00B8210D"/>
    <w:rsid w:val="00B821E1"/>
    <w:rsid w:val="00B8238A"/>
    <w:rsid w:val="00B82415"/>
    <w:rsid w:val="00B8264C"/>
    <w:rsid w:val="00B82920"/>
    <w:rsid w:val="00B82A63"/>
    <w:rsid w:val="00B82E45"/>
    <w:rsid w:val="00B82F1F"/>
    <w:rsid w:val="00B83585"/>
    <w:rsid w:val="00B83ED7"/>
    <w:rsid w:val="00B84891"/>
    <w:rsid w:val="00B84C38"/>
    <w:rsid w:val="00B850C5"/>
    <w:rsid w:val="00B85D65"/>
    <w:rsid w:val="00B87587"/>
    <w:rsid w:val="00B87A36"/>
    <w:rsid w:val="00B87CC8"/>
    <w:rsid w:val="00B90603"/>
    <w:rsid w:val="00B907C4"/>
    <w:rsid w:val="00B91541"/>
    <w:rsid w:val="00B915AF"/>
    <w:rsid w:val="00B921E3"/>
    <w:rsid w:val="00B92E7A"/>
    <w:rsid w:val="00B92FF2"/>
    <w:rsid w:val="00B93233"/>
    <w:rsid w:val="00B93A9F"/>
    <w:rsid w:val="00B93E28"/>
    <w:rsid w:val="00B94DC9"/>
    <w:rsid w:val="00B95587"/>
    <w:rsid w:val="00B95F3D"/>
    <w:rsid w:val="00B96163"/>
    <w:rsid w:val="00B9662B"/>
    <w:rsid w:val="00B96685"/>
    <w:rsid w:val="00B9674B"/>
    <w:rsid w:val="00B96DA4"/>
    <w:rsid w:val="00B96FCE"/>
    <w:rsid w:val="00B970B2"/>
    <w:rsid w:val="00B970BF"/>
    <w:rsid w:val="00BA0885"/>
    <w:rsid w:val="00BA0F85"/>
    <w:rsid w:val="00BA1011"/>
    <w:rsid w:val="00BA1513"/>
    <w:rsid w:val="00BA166D"/>
    <w:rsid w:val="00BA1A7C"/>
    <w:rsid w:val="00BA1AB3"/>
    <w:rsid w:val="00BA20D3"/>
    <w:rsid w:val="00BA33DB"/>
    <w:rsid w:val="00BA36CE"/>
    <w:rsid w:val="00BA3BE8"/>
    <w:rsid w:val="00BA40A5"/>
    <w:rsid w:val="00BA413E"/>
    <w:rsid w:val="00BA4197"/>
    <w:rsid w:val="00BA4675"/>
    <w:rsid w:val="00BA475A"/>
    <w:rsid w:val="00BA4A5A"/>
    <w:rsid w:val="00BA4D00"/>
    <w:rsid w:val="00BA5039"/>
    <w:rsid w:val="00BA52FA"/>
    <w:rsid w:val="00BA558E"/>
    <w:rsid w:val="00BA5CAF"/>
    <w:rsid w:val="00BA5D51"/>
    <w:rsid w:val="00BA5F6C"/>
    <w:rsid w:val="00BA62E1"/>
    <w:rsid w:val="00BA63E1"/>
    <w:rsid w:val="00BA68FD"/>
    <w:rsid w:val="00BA70B5"/>
    <w:rsid w:val="00BA71D4"/>
    <w:rsid w:val="00BA7CF6"/>
    <w:rsid w:val="00BB03E0"/>
    <w:rsid w:val="00BB088D"/>
    <w:rsid w:val="00BB14ED"/>
    <w:rsid w:val="00BB1731"/>
    <w:rsid w:val="00BB19E5"/>
    <w:rsid w:val="00BB1C1F"/>
    <w:rsid w:val="00BB2241"/>
    <w:rsid w:val="00BB2983"/>
    <w:rsid w:val="00BB2AAC"/>
    <w:rsid w:val="00BB306F"/>
    <w:rsid w:val="00BB3910"/>
    <w:rsid w:val="00BB39F7"/>
    <w:rsid w:val="00BB3F89"/>
    <w:rsid w:val="00BB4059"/>
    <w:rsid w:val="00BB421E"/>
    <w:rsid w:val="00BB4651"/>
    <w:rsid w:val="00BB4665"/>
    <w:rsid w:val="00BB48C3"/>
    <w:rsid w:val="00BB49AD"/>
    <w:rsid w:val="00BB5006"/>
    <w:rsid w:val="00BB5BD9"/>
    <w:rsid w:val="00BB5CCB"/>
    <w:rsid w:val="00BB5CF0"/>
    <w:rsid w:val="00BB6354"/>
    <w:rsid w:val="00BB642F"/>
    <w:rsid w:val="00BB65A3"/>
    <w:rsid w:val="00BB728F"/>
    <w:rsid w:val="00BB7350"/>
    <w:rsid w:val="00BB7581"/>
    <w:rsid w:val="00BB79F4"/>
    <w:rsid w:val="00BC0484"/>
    <w:rsid w:val="00BC0A53"/>
    <w:rsid w:val="00BC0A9C"/>
    <w:rsid w:val="00BC1128"/>
    <w:rsid w:val="00BC1269"/>
    <w:rsid w:val="00BC1628"/>
    <w:rsid w:val="00BC1BB1"/>
    <w:rsid w:val="00BC251B"/>
    <w:rsid w:val="00BC2ECB"/>
    <w:rsid w:val="00BC3414"/>
    <w:rsid w:val="00BC3931"/>
    <w:rsid w:val="00BC4871"/>
    <w:rsid w:val="00BC4978"/>
    <w:rsid w:val="00BC4B9E"/>
    <w:rsid w:val="00BC4C69"/>
    <w:rsid w:val="00BC4E00"/>
    <w:rsid w:val="00BC5286"/>
    <w:rsid w:val="00BC5399"/>
    <w:rsid w:val="00BC54BA"/>
    <w:rsid w:val="00BC5733"/>
    <w:rsid w:val="00BC5F25"/>
    <w:rsid w:val="00BC74E2"/>
    <w:rsid w:val="00BD0AAA"/>
    <w:rsid w:val="00BD0C78"/>
    <w:rsid w:val="00BD0C90"/>
    <w:rsid w:val="00BD0D8E"/>
    <w:rsid w:val="00BD1A6F"/>
    <w:rsid w:val="00BD1C78"/>
    <w:rsid w:val="00BD2012"/>
    <w:rsid w:val="00BD2156"/>
    <w:rsid w:val="00BD2243"/>
    <w:rsid w:val="00BD2557"/>
    <w:rsid w:val="00BD2A30"/>
    <w:rsid w:val="00BD3057"/>
    <w:rsid w:val="00BD3267"/>
    <w:rsid w:val="00BD3801"/>
    <w:rsid w:val="00BD3F72"/>
    <w:rsid w:val="00BD5086"/>
    <w:rsid w:val="00BD5921"/>
    <w:rsid w:val="00BD5AB5"/>
    <w:rsid w:val="00BD6F73"/>
    <w:rsid w:val="00BD6FFA"/>
    <w:rsid w:val="00BD7C3E"/>
    <w:rsid w:val="00BE0C81"/>
    <w:rsid w:val="00BE0C90"/>
    <w:rsid w:val="00BE0D02"/>
    <w:rsid w:val="00BE1412"/>
    <w:rsid w:val="00BE23EF"/>
    <w:rsid w:val="00BE2F0D"/>
    <w:rsid w:val="00BE325C"/>
    <w:rsid w:val="00BE3387"/>
    <w:rsid w:val="00BE3465"/>
    <w:rsid w:val="00BE3A25"/>
    <w:rsid w:val="00BE4687"/>
    <w:rsid w:val="00BE4C78"/>
    <w:rsid w:val="00BE56CC"/>
    <w:rsid w:val="00BE57F7"/>
    <w:rsid w:val="00BE6B3D"/>
    <w:rsid w:val="00BF00A1"/>
    <w:rsid w:val="00BF04CB"/>
    <w:rsid w:val="00BF0651"/>
    <w:rsid w:val="00BF0A91"/>
    <w:rsid w:val="00BF1155"/>
    <w:rsid w:val="00BF1161"/>
    <w:rsid w:val="00BF131C"/>
    <w:rsid w:val="00BF1710"/>
    <w:rsid w:val="00BF1D81"/>
    <w:rsid w:val="00BF21EC"/>
    <w:rsid w:val="00BF241E"/>
    <w:rsid w:val="00BF2830"/>
    <w:rsid w:val="00BF29AB"/>
    <w:rsid w:val="00BF2B6B"/>
    <w:rsid w:val="00BF2D3A"/>
    <w:rsid w:val="00BF3160"/>
    <w:rsid w:val="00BF38B8"/>
    <w:rsid w:val="00BF3CD6"/>
    <w:rsid w:val="00BF4704"/>
    <w:rsid w:val="00BF4838"/>
    <w:rsid w:val="00BF4BB0"/>
    <w:rsid w:val="00BF4E9C"/>
    <w:rsid w:val="00BF58C2"/>
    <w:rsid w:val="00BF59B9"/>
    <w:rsid w:val="00BF5ED3"/>
    <w:rsid w:val="00BF62CB"/>
    <w:rsid w:val="00BF65F9"/>
    <w:rsid w:val="00BF6864"/>
    <w:rsid w:val="00BF6967"/>
    <w:rsid w:val="00BF6DC0"/>
    <w:rsid w:val="00BF74A3"/>
    <w:rsid w:val="00BF79A2"/>
    <w:rsid w:val="00BF7B92"/>
    <w:rsid w:val="00C00707"/>
    <w:rsid w:val="00C00B3F"/>
    <w:rsid w:val="00C00BE5"/>
    <w:rsid w:val="00C011ED"/>
    <w:rsid w:val="00C018F2"/>
    <w:rsid w:val="00C024E9"/>
    <w:rsid w:val="00C03691"/>
    <w:rsid w:val="00C03722"/>
    <w:rsid w:val="00C0378A"/>
    <w:rsid w:val="00C04EC8"/>
    <w:rsid w:val="00C05FC7"/>
    <w:rsid w:val="00C05FD6"/>
    <w:rsid w:val="00C06A3F"/>
    <w:rsid w:val="00C07419"/>
    <w:rsid w:val="00C07514"/>
    <w:rsid w:val="00C10110"/>
    <w:rsid w:val="00C1016F"/>
    <w:rsid w:val="00C101D0"/>
    <w:rsid w:val="00C105C0"/>
    <w:rsid w:val="00C107A4"/>
    <w:rsid w:val="00C1151D"/>
    <w:rsid w:val="00C1173C"/>
    <w:rsid w:val="00C1249F"/>
    <w:rsid w:val="00C13B09"/>
    <w:rsid w:val="00C13BE3"/>
    <w:rsid w:val="00C13C86"/>
    <w:rsid w:val="00C14234"/>
    <w:rsid w:val="00C14F3E"/>
    <w:rsid w:val="00C151B1"/>
    <w:rsid w:val="00C151BA"/>
    <w:rsid w:val="00C15560"/>
    <w:rsid w:val="00C15650"/>
    <w:rsid w:val="00C16286"/>
    <w:rsid w:val="00C16447"/>
    <w:rsid w:val="00C175EF"/>
    <w:rsid w:val="00C177E3"/>
    <w:rsid w:val="00C17BDB"/>
    <w:rsid w:val="00C2034D"/>
    <w:rsid w:val="00C209B3"/>
    <w:rsid w:val="00C213AB"/>
    <w:rsid w:val="00C21B8D"/>
    <w:rsid w:val="00C21DF0"/>
    <w:rsid w:val="00C2221F"/>
    <w:rsid w:val="00C222A7"/>
    <w:rsid w:val="00C224E2"/>
    <w:rsid w:val="00C22735"/>
    <w:rsid w:val="00C2290F"/>
    <w:rsid w:val="00C2297D"/>
    <w:rsid w:val="00C22A22"/>
    <w:rsid w:val="00C22A27"/>
    <w:rsid w:val="00C22CF9"/>
    <w:rsid w:val="00C22D36"/>
    <w:rsid w:val="00C23227"/>
    <w:rsid w:val="00C23472"/>
    <w:rsid w:val="00C23617"/>
    <w:rsid w:val="00C23831"/>
    <w:rsid w:val="00C23932"/>
    <w:rsid w:val="00C23D57"/>
    <w:rsid w:val="00C2455E"/>
    <w:rsid w:val="00C245E8"/>
    <w:rsid w:val="00C24820"/>
    <w:rsid w:val="00C24CB5"/>
    <w:rsid w:val="00C25D26"/>
    <w:rsid w:val="00C25FC9"/>
    <w:rsid w:val="00C26EDB"/>
    <w:rsid w:val="00C27255"/>
    <w:rsid w:val="00C27C82"/>
    <w:rsid w:val="00C30003"/>
    <w:rsid w:val="00C3107A"/>
    <w:rsid w:val="00C316A1"/>
    <w:rsid w:val="00C31945"/>
    <w:rsid w:val="00C31DD3"/>
    <w:rsid w:val="00C32181"/>
    <w:rsid w:val="00C321A4"/>
    <w:rsid w:val="00C322AD"/>
    <w:rsid w:val="00C32E0E"/>
    <w:rsid w:val="00C330EB"/>
    <w:rsid w:val="00C33273"/>
    <w:rsid w:val="00C33B57"/>
    <w:rsid w:val="00C33E1B"/>
    <w:rsid w:val="00C34599"/>
    <w:rsid w:val="00C34D1E"/>
    <w:rsid w:val="00C34EA8"/>
    <w:rsid w:val="00C34ECA"/>
    <w:rsid w:val="00C35280"/>
    <w:rsid w:val="00C35BD6"/>
    <w:rsid w:val="00C35F8F"/>
    <w:rsid w:val="00C3619B"/>
    <w:rsid w:val="00C405E3"/>
    <w:rsid w:val="00C406BD"/>
    <w:rsid w:val="00C408F1"/>
    <w:rsid w:val="00C40A8F"/>
    <w:rsid w:val="00C40C3C"/>
    <w:rsid w:val="00C411ED"/>
    <w:rsid w:val="00C41548"/>
    <w:rsid w:val="00C41C9C"/>
    <w:rsid w:val="00C4212E"/>
    <w:rsid w:val="00C42356"/>
    <w:rsid w:val="00C42728"/>
    <w:rsid w:val="00C42C10"/>
    <w:rsid w:val="00C43046"/>
    <w:rsid w:val="00C4358C"/>
    <w:rsid w:val="00C43869"/>
    <w:rsid w:val="00C441B6"/>
    <w:rsid w:val="00C44314"/>
    <w:rsid w:val="00C44976"/>
    <w:rsid w:val="00C44E98"/>
    <w:rsid w:val="00C45688"/>
    <w:rsid w:val="00C4604D"/>
    <w:rsid w:val="00C461DD"/>
    <w:rsid w:val="00C46384"/>
    <w:rsid w:val="00C47BF7"/>
    <w:rsid w:val="00C500AC"/>
    <w:rsid w:val="00C505D9"/>
    <w:rsid w:val="00C50656"/>
    <w:rsid w:val="00C50903"/>
    <w:rsid w:val="00C50B48"/>
    <w:rsid w:val="00C50C52"/>
    <w:rsid w:val="00C50D1B"/>
    <w:rsid w:val="00C50E3D"/>
    <w:rsid w:val="00C51D09"/>
    <w:rsid w:val="00C51FE2"/>
    <w:rsid w:val="00C530C3"/>
    <w:rsid w:val="00C53EF3"/>
    <w:rsid w:val="00C53F7F"/>
    <w:rsid w:val="00C543AA"/>
    <w:rsid w:val="00C544AA"/>
    <w:rsid w:val="00C552F4"/>
    <w:rsid w:val="00C557F6"/>
    <w:rsid w:val="00C558DE"/>
    <w:rsid w:val="00C55D0F"/>
    <w:rsid w:val="00C55E7A"/>
    <w:rsid w:val="00C560C0"/>
    <w:rsid w:val="00C56FE4"/>
    <w:rsid w:val="00C57605"/>
    <w:rsid w:val="00C57AB0"/>
    <w:rsid w:val="00C57EBA"/>
    <w:rsid w:val="00C57EBC"/>
    <w:rsid w:val="00C602E1"/>
    <w:rsid w:val="00C60565"/>
    <w:rsid w:val="00C60E23"/>
    <w:rsid w:val="00C6127A"/>
    <w:rsid w:val="00C61DD6"/>
    <w:rsid w:val="00C61FA4"/>
    <w:rsid w:val="00C62191"/>
    <w:rsid w:val="00C6233E"/>
    <w:rsid w:val="00C62D00"/>
    <w:rsid w:val="00C6355B"/>
    <w:rsid w:val="00C638C3"/>
    <w:rsid w:val="00C63B3D"/>
    <w:rsid w:val="00C64915"/>
    <w:rsid w:val="00C64B91"/>
    <w:rsid w:val="00C64F1A"/>
    <w:rsid w:val="00C654CE"/>
    <w:rsid w:val="00C655FC"/>
    <w:rsid w:val="00C656BC"/>
    <w:rsid w:val="00C658F9"/>
    <w:rsid w:val="00C659DA"/>
    <w:rsid w:val="00C66C20"/>
    <w:rsid w:val="00C67454"/>
    <w:rsid w:val="00C675FD"/>
    <w:rsid w:val="00C676CB"/>
    <w:rsid w:val="00C70601"/>
    <w:rsid w:val="00C70A6C"/>
    <w:rsid w:val="00C70B3F"/>
    <w:rsid w:val="00C70DB1"/>
    <w:rsid w:val="00C71225"/>
    <w:rsid w:val="00C71781"/>
    <w:rsid w:val="00C71D6E"/>
    <w:rsid w:val="00C72094"/>
    <w:rsid w:val="00C7225E"/>
    <w:rsid w:val="00C72B43"/>
    <w:rsid w:val="00C7314F"/>
    <w:rsid w:val="00C7315E"/>
    <w:rsid w:val="00C73743"/>
    <w:rsid w:val="00C737BA"/>
    <w:rsid w:val="00C73BB4"/>
    <w:rsid w:val="00C73F81"/>
    <w:rsid w:val="00C749A2"/>
    <w:rsid w:val="00C74AB6"/>
    <w:rsid w:val="00C74CE0"/>
    <w:rsid w:val="00C752B0"/>
    <w:rsid w:val="00C7634C"/>
    <w:rsid w:val="00C76957"/>
    <w:rsid w:val="00C772DF"/>
    <w:rsid w:val="00C77423"/>
    <w:rsid w:val="00C774AC"/>
    <w:rsid w:val="00C775D9"/>
    <w:rsid w:val="00C777AD"/>
    <w:rsid w:val="00C77B3C"/>
    <w:rsid w:val="00C8065A"/>
    <w:rsid w:val="00C8096E"/>
    <w:rsid w:val="00C80F41"/>
    <w:rsid w:val="00C81072"/>
    <w:rsid w:val="00C8175C"/>
    <w:rsid w:val="00C81980"/>
    <w:rsid w:val="00C819D4"/>
    <w:rsid w:val="00C81BB8"/>
    <w:rsid w:val="00C81D24"/>
    <w:rsid w:val="00C81DE9"/>
    <w:rsid w:val="00C82078"/>
    <w:rsid w:val="00C82098"/>
    <w:rsid w:val="00C821D6"/>
    <w:rsid w:val="00C83222"/>
    <w:rsid w:val="00C83E2C"/>
    <w:rsid w:val="00C84205"/>
    <w:rsid w:val="00C8435C"/>
    <w:rsid w:val="00C8495E"/>
    <w:rsid w:val="00C8565D"/>
    <w:rsid w:val="00C85832"/>
    <w:rsid w:val="00C85AD6"/>
    <w:rsid w:val="00C85E52"/>
    <w:rsid w:val="00C8623D"/>
    <w:rsid w:val="00C868D6"/>
    <w:rsid w:val="00C86D57"/>
    <w:rsid w:val="00C87C1C"/>
    <w:rsid w:val="00C905BF"/>
    <w:rsid w:val="00C908E8"/>
    <w:rsid w:val="00C90B51"/>
    <w:rsid w:val="00C90C02"/>
    <w:rsid w:val="00C90EF5"/>
    <w:rsid w:val="00C9157A"/>
    <w:rsid w:val="00C92792"/>
    <w:rsid w:val="00C927E5"/>
    <w:rsid w:val="00C928E9"/>
    <w:rsid w:val="00C92ED6"/>
    <w:rsid w:val="00C94227"/>
    <w:rsid w:val="00C9496A"/>
    <w:rsid w:val="00C94C11"/>
    <w:rsid w:val="00C94EA5"/>
    <w:rsid w:val="00C94FEC"/>
    <w:rsid w:val="00C95354"/>
    <w:rsid w:val="00C9554F"/>
    <w:rsid w:val="00C9566A"/>
    <w:rsid w:val="00C95D9C"/>
    <w:rsid w:val="00C96A03"/>
    <w:rsid w:val="00C97045"/>
    <w:rsid w:val="00C97A77"/>
    <w:rsid w:val="00CA03BE"/>
    <w:rsid w:val="00CA085A"/>
    <w:rsid w:val="00CA12B9"/>
    <w:rsid w:val="00CA132D"/>
    <w:rsid w:val="00CA14CE"/>
    <w:rsid w:val="00CA155D"/>
    <w:rsid w:val="00CA1989"/>
    <w:rsid w:val="00CA1A23"/>
    <w:rsid w:val="00CA1EDC"/>
    <w:rsid w:val="00CA2FD2"/>
    <w:rsid w:val="00CA3232"/>
    <w:rsid w:val="00CA32DA"/>
    <w:rsid w:val="00CA34E2"/>
    <w:rsid w:val="00CA3D32"/>
    <w:rsid w:val="00CA3E96"/>
    <w:rsid w:val="00CA4E32"/>
    <w:rsid w:val="00CA4F77"/>
    <w:rsid w:val="00CA5616"/>
    <w:rsid w:val="00CA64D7"/>
    <w:rsid w:val="00CA65CA"/>
    <w:rsid w:val="00CA674C"/>
    <w:rsid w:val="00CA6B2C"/>
    <w:rsid w:val="00CA6E79"/>
    <w:rsid w:val="00CA74CC"/>
    <w:rsid w:val="00CA75C2"/>
    <w:rsid w:val="00CA77DC"/>
    <w:rsid w:val="00CA7B78"/>
    <w:rsid w:val="00CA7EC5"/>
    <w:rsid w:val="00CA7F38"/>
    <w:rsid w:val="00CB0D50"/>
    <w:rsid w:val="00CB18E5"/>
    <w:rsid w:val="00CB1AB7"/>
    <w:rsid w:val="00CB22D5"/>
    <w:rsid w:val="00CB243A"/>
    <w:rsid w:val="00CB253C"/>
    <w:rsid w:val="00CB28E7"/>
    <w:rsid w:val="00CB2C6C"/>
    <w:rsid w:val="00CB2E52"/>
    <w:rsid w:val="00CB324F"/>
    <w:rsid w:val="00CB3618"/>
    <w:rsid w:val="00CB385C"/>
    <w:rsid w:val="00CB4303"/>
    <w:rsid w:val="00CB4441"/>
    <w:rsid w:val="00CB4B22"/>
    <w:rsid w:val="00CB4E03"/>
    <w:rsid w:val="00CB4E1E"/>
    <w:rsid w:val="00CB5219"/>
    <w:rsid w:val="00CB586D"/>
    <w:rsid w:val="00CB5FCB"/>
    <w:rsid w:val="00CB6901"/>
    <w:rsid w:val="00CB6B83"/>
    <w:rsid w:val="00CB733E"/>
    <w:rsid w:val="00CB773C"/>
    <w:rsid w:val="00CB7D6B"/>
    <w:rsid w:val="00CC00AD"/>
    <w:rsid w:val="00CC0506"/>
    <w:rsid w:val="00CC0587"/>
    <w:rsid w:val="00CC06E3"/>
    <w:rsid w:val="00CC0B49"/>
    <w:rsid w:val="00CC0C32"/>
    <w:rsid w:val="00CC101D"/>
    <w:rsid w:val="00CC1F4A"/>
    <w:rsid w:val="00CC24C3"/>
    <w:rsid w:val="00CC2788"/>
    <w:rsid w:val="00CC2C9C"/>
    <w:rsid w:val="00CC2E4A"/>
    <w:rsid w:val="00CC3297"/>
    <w:rsid w:val="00CC367B"/>
    <w:rsid w:val="00CC3991"/>
    <w:rsid w:val="00CC4CBB"/>
    <w:rsid w:val="00CC52E0"/>
    <w:rsid w:val="00CC554B"/>
    <w:rsid w:val="00CC700C"/>
    <w:rsid w:val="00CC7544"/>
    <w:rsid w:val="00CC7834"/>
    <w:rsid w:val="00CC7895"/>
    <w:rsid w:val="00CC7F0F"/>
    <w:rsid w:val="00CD00F8"/>
    <w:rsid w:val="00CD01FF"/>
    <w:rsid w:val="00CD0310"/>
    <w:rsid w:val="00CD13B8"/>
    <w:rsid w:val="00CD2490"/>
    <w:rsid w:val="00CD26F3"/>
    <w:rsid w:val="00CD26FF"/>
    <w:rsid w:val="00CD2D0E"/>
    <w:rsid w:val="00CD3439"/>
    <w:rsid w:val="00CD3551"/>
    <w:rsid w:val="00CD45B7"/>
    <w:rsid w:val="00CD4D51"/>
    <w:rsid w:val="00CD4DF3"/>
    <w:rsid w:val="00CD4FD0"/>
    <w:rsid w:val="00CD5041"/>
    <w:rsid w:val="00CD5407"/>
    <w:rsid w:val="00CD62D2"/>
    <w:rsid w:val="00CD6862"/>
    <w:rsid w:val="00CD68DE"/>
    <w:rsid w:val="00CD69CA"/>
    <w:rsid w:val="00CD6FB8"/>
    <w:rsid w:val="00CD7F1E"/>
    <w:rsid w:val="00CE006E"/>
    <w:rsid w:val="00CE03A3"/>
    <w:rsid w:val="00CE23A0"/>
    <w:rsid w:val="00CE2404"/>
    <w:rsid w:val="00CE3251"/>
    <w:rsid w:val="00CE3647"/>
    <w:rsid w:val="00CE36BA"/>
    <w:rsid w:val="00CE3942"/>
    <w:rsid w:val="00CE3AAC"/>
    <w:rsid w:val="00CE3D4A"/>
    <w:rsid w:val="00CE3E8A"/>
    <w:rsid w:val="00CE42A6"/>
    <w:rsid w:val="00CE444E"/>
    <w:rsid w:val="00CE4687"/>
    <w:rsid w:val="00CE47E7"/>
    <w:rsid w:val="00CE49AE"/>
    <w:rsid w:val="00CE49F1"/>
    <w:rsid w:val="00CE58B9"/>
    <w:rsid w:val="00CE5975"/>
    <w:rsid w:val="00CE5C31"/>
    <w:rsid w:val="00CE5D1D"/>
    <w:rsid w:val="00CE5FDD"/>
    <w:rsid w:val="00CE67FF"/>
    <w:rsid w:val="00CE6E1F"/>
    <w:rsid w:val="00CE6FB4"/>
    <w:rsid w:val="00CF009F"/>
    <w:rsid w:val="00CF0739"/>
    <w:rsid w:val="00CF1202"/>
    <w:rsid w:val="00CF16B7"/>
    <w:rsid w:val="00CF26C4"/>
    <w:rsid w:val="00CF2A9B"/>
    <w:rsid w:val="00CF30C5"/>
    <w:rsid w:val="00CF3578"/>
    <w:rsid w:val="00CF392B"/>
    <w:rsid w:val="00CF3ADB"/>
    <w:rsid w:val="00CF3DB4"/>
    <w:rsid w:val="00CF3EE3"/>
    <w:rsid w:val="00CF4BCE"/>
    <w:rsid w:val="00CF51D9"/>
    <w:rsid w:val="00CF550E"/>
    <w:rsid w:val="00CF5579"/>
    <w:rsid w:val="00CF5682"/>
    <w:rsid w:val="00CF6580"/>
    <w:rsid w:val="00CF6F51"/>
    <w:rsid w:val="00CF6FF8"/>
    <w:rsid w:val="00D002EB"/>
    <w:rsid w:val="00D00451"/>
    <w:rsid w:val="00D007DA"/>
    <w:rsid w:val="00D00A26"/>
    <w:rsid w:val="00D00B4B"/>
    <w:rsid w:val="00D00C3E"/>
    <w:rsid w:val="00D00C87"/>
    <w:rsid w:val="00D00E6E"/>
    <w:rsid w:val="00D01507"/>
    <w:rsid w:val="00D01E3F"/>
    <w:rsid w:val="00D01F19"/>
    <w:rsid w:val="00D02277"/>
    <w:rsid w:val="00D02295"/>
    <w:rsid w:val="00D026DC"/>
    <w:rsid w:val="00D0298A"/>
    <w:rsid w:val="00D02DD1"/>
    <w:rsid w:val="00D02F27"/>
    <w:rsid w:val="00D03245"/>
    <w:rsid w:val="00D033B7"/>
    <w:rsid w:val="00D034F1"/>
    <w:rsid w:val="00D039A3"/>
    <w:rsid w:val="00D03B95"/>
    <w:rsid w:val="00D03D50"/>
    <w:rsid w:val="00D040D6"/>
    <w:rsid w:val="00D0433B"/>
    <w:rsid w:val="00D046B6"/>
    <w:rsid w:val="00D05606"/>
    <w:rsid w:val="00D05792"/>
    <w:rsid w:val="00D05E56"/>
    <w:rsid w:val="00D05EB6"/>
    <w:rsid w:val="00D064E8"/>
    <w:rsid w:val="00D06641"/>
    <w:rsid w:val="00D070D2"/>
    <w:rsid w:val="00D07A2F"/>
    <w:rsid w:val="00D07EFB"/>
    <w:rsid w:val="00D102D4"/>
    <w:rsid w:val="00D10475"/>
    <w:rsid w:val="00D10B26"/>
    <w:rsid w:val="00D10DC8"/>
    <w:rsid w:val="00D10DCD"/>
    <w:rsid w:val="00D10DFD"/>
    <w:rsid w:val="00D10EB6"/>
    <w:rsid w:val="00D10EF0"/>
    <w:rsid w:val="00D10FBE"/>
    <w:rsid w:val="00D111BA"/>
    <w:rsid w:val="00D11242"/>
    <w:rsid w:val="00D11E32"/>
    <w:rsid w:val="00D1207D"/>
    <w:rsid w:val="00D12648"/>
    <w:rsid w:val="00D12A73"/>
    <w:rsid w:val="00D12B29"/>
    <w:rsid w:val="00D12D0C"/>
    <w:rsid w:val="00D13001"/>
    <w:rsid w:val="00D13506"/>
    <w:rsid w:val="00D13A83"/>
    <w:rsid w:val="00D145DA"/>
    <w:rsid w:val="00D1479A"/>
    <w:rsid w:val="00D14AA5"/>
    <w:rsid w:val="00D14E00"/>
    <w:rsid w:val="00D150A1"/>
    <w:rsid w:val="00D1578A"/>
    <w:rsid w:val="00D15B0B"/>
    <w:rsid w:val="00D15F13"/>
    <w:rsid w:val="00D1605C"/>
    <w:rsid w:val="00D167D4"/>
    <w:rsid w:val="00D16D45"/>
    <w:rsid w:val="00D17177"/>
    <w:rsid w:val="00D174B2"/>
    <w:rsid w:val="00D17601"/>
    <w:rsid w:val="00D17773"/>
    <w:rsid w:val="00D17E0B"/>
    <w:rsid w:val="00D20388"/>
    <w:rsid w:val="00D20987"/>
    <w:rsid w:val="00D21CED"/>
    <w:rsid w:val="00D22107"/>
    <w:rsid w:val="00D223BD"/>
    <w:rsid w:val="00D22CC3"/>
    <w:rsid w:val="00D22E0B"/>
    <w:rsid w:val="00D22F36"/>
    <w:rsid w:val="00D230DB"/>
    <w:rsid w:val="00D23405"/>
    <w:rsid w:val="00D23FDC"/>
    <w:rsid w:val="00D24510"/>
    <w:rsid w:val="00D24638"/>
    <w:rsid w:val="00D24BCC"/>
    <w:rsid w:val="00D24CA7"/>
    <w:rsid w:val="00D2508B"/>
    <w:rsid w:val="00D250B0"/>
    <w:rsid w:val="00D250D9"/>
    <w:rsid w:val="00D25575"/>
    <w:rsid w:val="00D2593E"/>
    <w:rsid w:val="00D260C5"/>
    <w:rsid w:val="00D2629B"/>
    <w:rsid w:val="00D267E3"/>
    <w:rsid w:val="00D26B1B"/>
    <w:rsid w:val="00D26D38"/>
    <w:rsid w:val="00D27551"/>
    <w:rsid w:val="00D2772D"/>
    <w:rsid w:val="00D27758"/>
    <w:rsid w:val="00D300CF"/>
    <w:rsid w:val="00D30182"/>
    <w:rsid w:val="00D30591"/>
    <w:rsid w:val="00D30DF9"/>
    <w:rsid w:val="00D31A94"/>
    <w:rsid w:val="00D32091"/>
    <w:rsid w:val="00D3256C"/>
    <w:rsid w:val="00D32819"/>
    <w:rsid w:val="00D3309D"/>
    <w:rsid w:val="00D332E9"/>
    <w:rsid w:val="00D33349"/>
    <w:rsid w:val="00D33595"/>
    <w:rsid w:val="00D34402"/>
    <w:rsid w:val="00D34D3F"/>
    <w:rsid w:val="00D35146"/>
    <w:rsid w:val="00D35259"/>
    <w:rsid w:val="00D35578"/>
    <w:rsid w:val="00D3576B"/>
    <w:rsid w:val="00D358E1"/>
    <w:rsid w:val="00D35DBF"/>
    <w:rsid w:val="00D35E8C"/>
    <w:rsid w:val="00D3614D"/>
    <w:rsid w:val="00D361C1"/>
    <w:rsid w:val="00D3686E"/>
    <w:rsid w:val="00D36ADE"/>
    <w:rsid w:val="00D36D14"/>
    <w:rsid w:val="00D37306"/>
    <w:rsid w:val="00D37CFB"/>
    <w:rsid w:val="00D40973"/>
    <w:rsid w:val="00D40E01"/>
    <w:rsid w:val="00D41F70"/>
    <w:rsid w:val="00D42128"/>
    <w:rsid w:val="00D429E4"/>
    <w:rsid w:val="00D4375C"/>
    <w:rsid w:val="00D43B2E"/>
    <w:rsid w:val="00D44271"/>
    <w:rsid w:val="00D44F70"/>
    <w:rsid w:val="00D45325"/>
    <w:rsid w:val="00D45BF2"/>
    <w:rsid w:val="00D45C22"/>
    <w:rsid w:val="00D467C2"/>
    <w:rsid w:val="00D46CEA"/>
    <w:rsid w:val="00D4715C"/>
    <w:rsid w:val="00D472AE"/>
    <w:rsid w:val="00D4736C"/>
    <w:rsid w:val="00D47549"/>
    <w:rsid w:val="00D47AAD"/>
    <w:rsid w:val="00D47C0E"/>
    <w:rsid w:val="00D47F91"/>
    <w:rsid w:val="00D51DB7"/>
    <w:rsid w:val="00D525D8"/>
    <w:rsid w:val="00D52A12"/>
    <w:rsid w:val="00D52CA0"/>
    <w:rsid w:val="00D52D84"/>
    <w:rsid w:val="00D53103"/>
    <w:rsid w:val="00D5313B"/>
    <w:rsid w:val="00D535D6"/>
    <w:rsid w:val="00D537C6"/>
    <w:rsid w:val="00D53D51"/>
    <w:rsid w:val="00D53E31"/>
    <w:rsid w:val="00D541EC"/>
    <w:rsid w:val="00D543E8"/>
    <w:rsid w:val="00D543EC"/>
    <w:rsid w:val="00D54A07"/>
    <w:rsid w:val="00D54E75"/>
    <w:rsid w:val="00D55B99"/>
    <w:rsid w:val="00D55D2A"/>
    <w:rsid w:val="00D55DAE"/>
    <w:rsid w:val="00D55F3D"/>
    <w:rsid w:val="00D568AA"/>
    <w:rsid w:val="00D570BE"/>
    <w:rsid w:val="00D57430"/>
    <w:rsid w:val="00D57452"/>
    <w:rsid w:val="00D60679"/>
    <w:rsid w:val="00D614E2"/>
    <w:rsid w:val="00D61A5C"/>
    <w:rsid w:val="00D62012"/>
    <w:rsid w:val="00D62498"/>
    <w:rsid w:val="00D62661"/>
    <w:rsid w:val="00D626A5"/>
    <w:rsid w:val="00D628AA"/>
    <w:rsid w:val="00D62A29"/>
    <w:rsid w:val="00D6466C"/>
    <w:rsid w:val="00D646E9"/>
    <w:rsid w:val="00D64859"/>
    <w:rsid w:val="00D64DC5"/>
    <w:rsid w:val="00D6523D"/>
    <w:rsid w:val="00D65762"/>
    <w:rsid w:val="00D65BF5"/>
    <w:rsid w:val="00D660FB"/>
    <w:rsid w:val="00D662D8"/>
    <w:rsid w:val="00D668B7"/>
    <w:rsid w:val="00D66A66"/>
    <w:rsid w:val="00D66AD7"/>
    <w:rsid w:val="00D66CAE"/>
    <w:rsid w:val="00D671C6"/>
    <w:rsid w:val="00D6758B"/>
    <w:rsid w:val="00D70038"/>
    <w:rsid w:val="00D709BB"/>
    <w:rsid w:val="00D710D0"/>
    <w:rsid w:val="00D71374"/>
    <w:rsid w:val="00D71458"/>
    <w:rsid w:val="00D72031"/>
    <w:rsid w:val="00D7216C"/>
    <w:rsid w:val="00D728BE"/>
    <w:rsid w:val="00D72AF1"/>
    <w:rsid w:val="00D72EEE"/>
    <w:rsid w:val="00D732D1"/>
    <w:rsid w:val="00D73DAF"/>
    <w:rsid w:val="00D7407D"/>
    <w:rsid w:val="00D74360"/>
    <w:rsid w:val="00D74938"/>
    <w:rsid w:val="00D74D7F"/>
    <w:rsid w:val="00D74FE7"/>
    <w:rsid w:val="00D75063"/>
    <w:rsid w:val="00D7533A"/>
    <w:rsid w:val="00D7535A"/>
    <w:rsid w:val="00D75490"/>
    <w:rsid w:val="00D75921"/>
    <w:rsid w:val="00D75B6E"/>
    <w:rsid w:val="00D75F62"/>
    <w:rsid w:val="00D76000"/>
    <w:rsid w:val="00D76049"/>
    <w:rsid w:val="00D761CA"/>
    <w:rsid w:val="00D773FB"/>
    <w:rsid w:val="00D77702"/>
    <w:rsid w:val="00D7785B"/>
    <w:rsid w:val="00D77C1B"/>
    <w:rsid w:val="00D77CB0"/>
    <w:rsid w:val="00D80208"/>
    <w:rsid w:val="00D803B2"/>
    <w:rsid w:val="00D807A0"/>
    <w:rsid w:val="00D807D6"/>
    <w:rsid w:val="00D80938"/>
    <w:rsid w:val="00D80E60"/>
    <w:rsid w:val="00D81079"/>
    <w:rsid w:val="00D811B4"/>
    <w:rsid w:val="00D814C6"/>
    <w:rsid w:val="00D8273B"/>
    <w:rsid w:val="00D82954"/>
    <w:rsid w:val="00D8312C"/>
    <w:rsid w:val="00D83413"/>
    <w:rsid w:val="00D83717"/>
    <w:rsid w:val="00D83BB5"/>
    <w:rsid w:val="00D84BB9"/>
    <w:rsid w:val="00D84BC2"/>
    <w:rsid w:val="00D86038"/>
    <w:rsid w:val="00D864CE"/>
    <w:rsid w:val="00D868A6"/>
    <w:rsid w:val="00D87337"/>
    <w:rsid w:val="00D87759"/>
    <w:rsid w:val="00D87C4E"/>
    <w:rsid w:val="00D87C9E"/>
    <w:rsid w:val="00D87FAF"/>
    <w:rsid w:val="00D905ED"/>
    <w:rsid w:val="00D9082B"/>
    <w:rsid w:val="00D911D6"/>
    <w:rsid w:val="00D912DB"/>
    <w:rsid w:val="00D91BA8"/>
    <w:rsid w:val="00D9239E"/>
    <w:rsid w:val="00D928E1"/>
    <w:rsid w:val="00D930C1"/>
    <w:rsid w:val="00D935F2"/>
    <w:rsid w:val="00D93901"/>
    <w:rsid w:val="00D94609"/>
    <w:rsid w:val="00D94A60"/>
    <w:rsid w:val="00D95240"/>
    <w:rsid w:val="00D95987"/>
    <w:rsid w:val="00D95F64"/>
    <w:rsid w:val="00D963CF"/>
    <w:rsid w:val="00D96D97"/>
    <w:rsid w:val="00D97442"/>
    <w:rsid w:val="00D97745"/>
    <w:rsid w:val="00D97F5C"/>
    <w:rsid w:val="00DA0102"/>
    <w:rsid w:val="00DA010F"/>
    <w:rsid w:val="00DA259B"/>
    <w:rsid w:val="00DA2900"/>
    <w:rsid w:val="00DA2BFF"/>
    <w:rsid w:val="00DA300D"/>
    <w:rsid w:val="00DA30F5"/>
    <w:rsid w:val="00DA3418"/>
    <w:rsid w:val="00DA34D7"/>
    <w:rsid w:val="00DA34E3"/>
    <w:rsid w:val="00DA3763"/>
    <w:rsid w:val="00DA3EA5"/>
    <w:rsid w:val="00DA44C3"/>
    <w:rsid w:val="00DA5E45"/>
    <w:rsid w:val="00DA5FFD"/>
    <w:rsid w:val="00DA6058"/>
    <w:rsid w:val="00DA62CF"/>
    <w:rsid w:val="00DA670A"/>
    <w:rsid w:val="00DA69E8"/>
    <w:rsid w:val="00DA6B05"/>
    <w:rsid w:val="00DA6C1C"/>
    <w:rsid w:val="00DA71C9"/>
    <w:rsid w:val="00DA7CB7"/>
    <w:rsid w:val="00DA7E3E"/>
    <w:rsid w:val="00DA7E44"/>
    <w:rsid w:val="00DA7EF1"/>
    <w:rsid w:val="00DB0FCC"/>
    <w:rsid w:val="00DB12A2"/>
    <w:rsid w:val="00DB1BE7"/>
    <w:rsid w:val="00DB1DE7"/>
    <w:rsid w:val="00DB20A4"/>
    <w:rsid w:val="00DB26B1"/>
    <w:rsid w:val="00DB2B6D"/>
    <w:rsid w:val="00DB2BAC"/>
    <w:rsid w:val="00DB3F10"/>
    <w:rsid w:val="00DB43F9"/>
    <w:rsid w:val="00DB45DE"/>
    <w:rsid w:val="00DB47C3"/>
    <w:rsid w:val="00DB48A6"/>
    <w:rsid w:val="00DB4D30"/>
    <w:rsid w:val="00DB517B"/>
    <w:rsid w:val="00DB52DA"/>
    <w:rsid w:val="00DB5860"/>
    <w:rsid w:val="00DB61A5"/>
    <w:rsid w:val="00DB6333"/>
    <w:rsid w:val="00DB64E1"/>
    <w:rsid w:val="00DB6A63"/>
    <w:rsid w:val="00DC03F1"/>
    <w:rsid w:val="00DC0403"/>
    <w:rsid w:val="00DC07DD"/>
    <w:rsid w:val="00DC0869"/>
    <w:rsid w:val="00DC0926"/>
    <w:rsid w:val="00DC0A43"/>
    <w:rsid w:val="00DC2759"/>
    <w:rsid w:val="00DC2DC3"/>
    <w:rsid w:val="00DC2FE2"/>
    <w:rsid w:val="00DC35E8"/>
    <w:rsid w:val="00DC3EA4"/>
    <w:rsid w:val="00DC41D3"/>
    <w:rsid w:val="00DC42DF"/>
    <w:rsid w:val="00DC5B4B"/>
    <w:rsid w:val="00DC6111"/>
    <w:rsid w:val="00DC6197"/>
    <w:rsid w:val="00DC6D06"/>
    <w:rsid w:val="00DC7060"/>
    <w:rsid w:val="00DC7235"/>
    <w:rsid w:val="00DC72CC"/>
    <w:rsid w:val="00DC77C7"/>
    <w:rsid w:val="00DC7906"/>
    <w:rsid w:val="00DC794A"/>
    <w:rsid w:val="00DC7D81"/>
    <w:rsid w:val="00DC7DF8"/>
    <w:rsid w:val="00DC7EC1"/>
    <w:rsid w:val="00DC7F37"/>
    <w:rsid w:val="00DD06D5"/>
    <w:rsid w:val="00DD08BF"/>
    <w:rsid w:val="00DD0A3C"/>
    <w:rsid w:val="00DD1140"/>
    <w:rsid w:val="00DD136E"/>
    <w:rsid w:val="00DD13D5"/>
    <w:rsid w:val="00DD1720"/>
    <w:rsid w:val="00DD1CC1"/>
    <w:rsid w:val="00DD22B1"/>
    <w:rsid w:val="00DD237E"/>
    <w:rsid w:val="00DD2A43"/>
    <w:rsid w:val="00DD2A5E"/>
    <w:rsid w:val="00DD2EA3"/>
    <w:rsid w:val="00DD3B8F"/>
    <w:rsid w:val="00DD3D30"/>
    <w:rsid w:val="00DD40F5"/>
    <w:rsid w:val="00DD4C37"/>
    <w:rsid w:val="00DD4E98"/>
    <w:rsid w:val="00DD51F7"/>
    <w:rsid w:val="00DD523B"/>
    <w:rsid w:val="00DD5880"/>
    <w:rsid w:val="00DD5943"/>
    <w:rsid w:val="00DD5A55"/>
    <w:rsid w:val="00DD5F23"/>
    <w:rsid w:val="00DD60A3"/>
    <w:rsid w:val="00DD6BF2"/>
    <w:rsid w:val="00DD6CAA"/>
    <w:rsid w:val="00DD70ED"/>
    <w:rsid w:val="00DD7AD2"/>
    <w:rsid w:val="00DD7E28"/>
    <w:rsid w:val="00DE017B"/>
    <w:rsid w:val="00DE071C"/>
    <w:rsid w:val="00DE0E09"/>
    <w:rsid w:val="00DE0F32"/>
    <w:rsid w:val="00DE1874"/>
    <w:rsid w:val="00DE1FE4"/>
    <w:rsid w:val="00DE2267"/>
    <w:rsid w:val="00DE2546"/>
    <w:rsid w:val="00DE2C0E"/>
    <w:rsid w:val="00DE2FAE"/>
    <w:rsid w:val="00DE31BE"/>
    <w:rsid w:val="00DE31D4"/>
    <w:rsid w:val="00DE326F"/>
    <w:rsid w:val="00DE3ABA"/>
    <w:rsid w:val="00DE3CE9"/>
    <w:rsid w:val="00DE3DC8"/>
    <w:rsid w:val="00DE46F5"/>
    <w:rsid w:val="00DE4E2A"/>
    <w:rsid w:val="00DE53B0"/>
    <w:rsid w:val="00DE54DA"/>
    <w:rsid w:val="00DE5749"/>
    <w:rsid w:val="00DE5A0C"/>
    <w:rsid w:val="00DE5C31"/>
    <w:rsid w:val="00DE62AF"/>
    <w:rsid w:val="00DE6333"/>
    <w:rsid w:val="00DE6D6A"/>
    <w:rsid w:val="00DE6F19"/>
    <w:rsid w:val="00DE70EE"/>
    <w:rsid w:val="00DF0619"/>
    <w:rsid w:val="00DF0EDE"/>
    <w:rsid w:val="00DF0F14"/>
    <w:rsid w:val="00DF1FE0"/>
    <w:rsid w:val="00DF244F"/>
    <w:rsid w:val="00DF2884"/>
    <w:rsid w:val="00DF2FCA"/>
    <w:rsid w:val="00DF32D5"/>
    <w:rsid w:val="00DF36A1"/>
    <w:rsid w:val="00DF3EEC"/>
    <w:rsid w:val="00DF4982"/>
    <w:rsid w:val="00DF4F96"/>
    <w:rsid w:val="00DF50B7"/>
    <w:rsid w:val="00DF5244"/>
    <w:rsid w:val="00DF52D6"/>
    <w:rsid w:val="00DF5481"/>
    <w:rsid w:val="00DF61D8"/>
    <w:rsid w:val="00DF63DE"/>
    <w:rsid w:val="00DF6C80"/>
    <w:rsid w:val="00DF6D9C"/>
    <w:rsid w:val="00DF6F05"/>
    <w:rsid w:val="00DF758A"/>
    <w:rsid w:val="00DF7813"/>
    <w:rsid w:val="00DF79C5"/>
    <w:rsid w:val="00E00135"/>
    <w:rsid w:val="00E006DA"/>
    <w:rsid w:val="00E0074A"/>
    <w:rsid w:val="00E009C6"/>
    <w:rsid w:val="00E01030"/>
    <w:rsid w:val="00E01565"/>
    <w:rsid w:val="00E018EB"/>
    <w:rsid w:val="00E02112"/>
    <w:rsid w:val="00E021AF"/>
    <w:rsid w:val="00E024FE"/>
    <w:rsid w:val="00E0270C"/>
    <w:rsid w:val="00E0279E"/>
    <w:rsid w:val="00E028C0"/>
    <w:rsid w:val="00E0351E"/>
    <w:rsid w:val="00E0353D"/>
    <w:rsid w:val="00E03BAA"/>
    <w:rsid w:val="00E03E17"/>
    <w:rsid w:val="00E048A1"/>
    <w:rsid w:val="00E0594A"/>
    <w:rsid w:val="00E05F82"/>
    <w:rsid w:val="00E0614C"/>
    <w:rsid w:val="00E062AB"/>
    <w:rsid w:val="00E06860"/>
    <w:rsid w:val="00E0686B"/>
    <w:rsid w:val="00E06898"/>
    <w:rsid w:val="00E07339"/>
    <w:rsid w:val="00E11482"/>
    <w:rsid w:val="00E118D7"/>
    <w:rsid w:val="00E1212C"/>
    <w:rsid w:val="00E1288D"/>
    <w:rsid w:val="00E12A4D"/>
    <w:rsid w:val="00E132DF"/>
    <w:rsid w:val="00E139FD"/>
    <w:rsid w:val="00E14302"/>
    <w:rsid w:val="00E14403"/>
    <w:rsid w:val="00E1456C"/>
    <w:rsid w:val="00E14C95"/>
    <w:rsid w:val="00E164B7"/>
    <w:rsid w:val="00E16AA0"/>
    <w:rsid w:val="00E16C94"/>
    <w:rsid w:val="00E16F6F"/>
    <w:rsid w:val="00E172E3"/>
    <w:rsid w:val="00E20E1E"/>
    <w:rsid w:val="00E22733"/>
    <w:rsid w:val="00E2276C"/>
    <w:rsid w:val="00E22B37"/>
    <w:rsid w:val="00E22FD4"/>
    <w:rsid w:val="00E230F9"/>
    <w:rsid w:val="00E242F0"/>
    <w:rsid w:val="00E24324"/>
    <w:rsid w:val="00E2450A"/>
    <w:rsid w:val="00E24E2D"/>
    <w:rsid w:val="00E25EBB"/>
    <w:rsid w:val="00E26F5D"/>
    <w:rsid w:val="00E307A6"/>
    <w:rsid w:val="00E30CC7"/>
    <w:rsid w:val="00E30ED6"/>
    <w:rsid w:val="00E31BA4"/>
    <w:rsid w:val="00E31BE9"/>
    <w:rsid w:val="00E31CF7"/>
    <w:rsid w:val="00E3214B"/>
    <w:rsid w:val="00E32225"/>
    <w:rsid w:val="00E328EC"/>
    <w:rsid w:val="00E3298E"/>
    <w:rsid w:val="00E32EFB"/>
    <w:rsid w:val="00E33245"/>
    <w:rsid w:val="00E339A1"/>
    <w:rsid w:val="00E33F39"/>
    <w:rsid w:val="00E33FD2"/>
    <w:rsid w:val="00E3427F"/>
    <w:rsid w:val="00E35833"/>
    <w:rsid w:val="00E360B9"/>
    <w:rsid w:val="00E3629B"/>
    <w:rsid w:val="00E367E0"/>
    <w:rsid w:val="00E37250"/>
    <w:rsid w:val="00E37306"/>
    <w:rsid w:val="00E37421"/>
    <w:rsid w:val="00E405E9"/>
    <w:rsid w:val="00E409CF"/>
    <w:rsid w:val="00E42968"/>
    <w:rsid w:val="00E42E4D"/>
    <w:rsid w:val="00E431B4"/>
    <w:rsid w:val="00E44719"/>
    <w:rsid w:val="00E44D00"/>
    <w:rsid w:val="00E44D11"/>
    <w:rsid w:val="00E452FC"/>
    <w:rsid w:val="00E45319"/>
    <w:rsid w:val="00E45332"/>
    <w:rsid w:val="00E457F7"/>
    <w:rsid w:val="00E46A4E"/>
    <w:rsid w:val="00E474EC"/>
    <w:rsid w:val="00E477FC"/>
    <w:rsid w:val="00E502EC"/>
    <w:rsid w:val="00E50AC2"/>
    <w:rsid w:val="00E52145"/>
    <w:rsid w:val="00E5228B"/>
    <w:rsid w:val="00E53037"/>
    <w:rsid w:val="00E533AE"/>
    <w:rsid w:val="00E537EC"/>
    <w:rsid w:val="00E53F94"/>
    <w:rsid w:val="00E54068"/>
    <w:rsid w:val="00E54424"/>
    <w:rsid w:val="00E5452C"/>
    <w:rsid w:val="00E54815"/>
    <w:rsid w:val="00E553D0"/>
    <w:rsid w:val="00E55812"/>
    <w:rsid w:val="00E55941"/>
    <w:rsid w:val="00E55BC6"/>
    <w:rsid w:val="00E55E0E"/>
    <w:rsid w:val="00E564FE"/>
    <w:rsid w:val="00E566A8"/>
    <w:rsid w:val="00E56880"/>
    <w:rsid w:val="00E570DB"/>
    <w:rsid w:val="00E570DC"/>
    <w:rsid w:val="00E5730A"/>
    <w:rsid w:val="00E578DF"/>
    <w:rsid w:val="00E57B51"/>
    <w:rsid w:val="00E57C3C"/>
    <w:rsid w:val="00E57E9C"/>
    <w:rsid w:val="00E60221"/>
    <w:rsid w:val="00E607ED"/>
    <w:rsid w:val="00E608DD"/>
    <w:rsid w:val="00E60C8E"/>
    <w:rsid w:val="00E60D69"/>
    <w:rsid w:val="00E619A8"/>
    <w:rsid w:val="00E61BA4"/>
    <w:rsid w:val="00E6227B"/>
    <w:rsid w:val="00E629B3"/>
    <w:rsid w:val="00E62AF8"/>
    <w:rsid w:val="00E62CDE"/>
    <w:rsid w:val="00E62FF9"/>
    <w:rsid w:val="00E6347C"/>
    <w:rsid w:val="00E6392F"/>
    <w:rsid w:val="00E63D2C"/>
    <w:rsid w:val="00E63F09"/>
    <w:rsid w:val="00E6561B"/>
    <w:rsid w:val="00E65650"/>
    <w:rsid w:val="00E65D60"/>
    <w:rsid w:val="00E667CE"/>
    <w:rsid w:val="00E667D8"/>
    <w:rsid w:val="00E66831"/>
    <w:rsid w:val="00E67869"/>
    <w:rsid w:val="00E67CF1"/>
    <w:rsid w:val="00E7027E"/>
    <w:rsid w:val="00E70CA6"/>
    <w:rsid w:val="00E70FCD"/>
    <w:rsid w:val="00E7199B"/>
    <w:rsid w:val="00E71C67"/>
    <w:rsid w:val="00E71DA6"/>
    <w:rsid w:val="00E71F1C"/>
    <w:rsid w:val="00E720E3"/>
    <w:rsid w:val="00E722B9"/>
    <w:rsid w:val="00E72320"/>
    <w:rsid w:val="00E727BD"/>
    <w:rsid w:val="00E72BD2"/>
    <w:rsid w:val="00E72EC9"/>
    <w:rsid w:val="00E73E21"/>
    <w:rsid w:val="00E73F95"/>
    <w:rsid w:val="00E7404D"/>
    <w:rsid w:val="00E740B4"/>
    <w:rsid w:val="00E742D6"/>
    <w:rsid w:val="00E74336"/>
    <w:rsid w:val="00E7443D"/>
    <w:rsid w:val="00E745AC"/>
    <w:rsid w:val="00E74D6D"/>
    <w:rsid w:val="00E74F24"/>
    <w:rsid w:val="00E75690"/>
    <w:rsid w:val="00E757D9"/>
    <w:rsid w:val="00E75F72"/>
    <w:rsid w:val="00E7627B"/>
    <w:rsid w:val="00E766BB"/>
    <w:rsid w:val="00E768A7"/>
    <w:rsid w:val="00E769D2"/>
    <w:rsid w:val="00E76D2D"/>
    <w:rsid w:val="00E76F39"/>
    <w:rsid w:val="00E77276"/>
    <w:rsid w:val="00E77D62"/>
    <w:rsid w:val="00E77FDE"/>
    <w:rsid w:val="00E80BA0"/>
    <w:rsid w:val="00E80BC1"/>
    <w:rsid w:val="00E814D8"/>
    <w:rsid w:val="00E816CA"/>
    <w:rsid w:val="00E817C8"/>
    <w:rsid w:val="00E81AE4"/>
    <w:rsid w:val="00E81D5C"/>
    <w:rsid w:val="00E82131"/>
    <w:rsid w:val="00E8239C"/>
    <w:rsid w:val="00E825DC"/>
    <w:rsid w:val="00E82F12"/>
    <w:rsid w:val="00E82FE5"/>
    <w:rsid w:val="00E8313C"/>
    <w:rsid w:val="00E83867"/>
    <w:rsid w:val="00E83C6E"/>
    <w:rsid w:val="00E83E24"/>
    <w:rsid w:val="00E8447D"/>
    <w:rsid w:val="00E8478C"/>
    <w:rsid w:val="00E8479D"/>
    <w:rsid w:val="00E84C9B"/>
    <w:rsid w:val="00E84D28"/>
    <w:rsid w:val="00E84D3B"/>
    <w:rsid w:val="00E84FA3"/>
    <w:rsid w:val="00E85084"/>
    <w:rsid w:val="00E850EF"/>
    <w:rsid w:val="00E85374"/>
    <w:rsid w:val="00E85C1E"/>
    <w:rsid w:val="00E85F81"/>
    <w:rsid w:val="00E86334"/>
    <w:rsid w:val="00E86B2A"/>
    <w:rsid w:val="00E87737"/>
    <w:rsid w:val="00E87EC7"/>
    <w:rsid w:val="00E909C0"/>
    <w:rsid w:val="00E90DF0"/>
    <w:rsid w:val="00E914F5"/>
    <w:rsid w:val="00E920BD"/>
    <w:rsid w:val="00E92B9B"/>
    <w:rsid w:val="00E931DE"/>
    <w:rsid w:val="00E93288"/>
    <w:rsid w:val="00E94970"/>
    <w:rsid w:val="00E9523C"/>
    <w:rsid w:val="00E95407"/>
    <w:rsid w:val="00E95A31"/>
    <w:rsid w:val="00E95C66"/>
    <w:rsid w:val="00E95FE4"/>
    <w:rsid w:val="00E963D4"/>
    <w:rsid w:val="00E96537"/>
    <w:rsid w:val="00E96668"/>
    <w:rsid w:val="00E96F79"/>
    <w:rsid w:val="00E97095"/>
    <w:rsid w:val="00E97650"/>
    <w:rsid w:val="00E978F6"/>
    <w:rsid w:val="00E97E32"/>
    <w:rsid w:val="00E97FEA"/>
    <w:rsid w:val="00EA09B4"/>
    <w:rsid w:val="00EA0E1E"/>
    <w:rsid w:val="00EA1164"/>
    <w:rsid w:val="00EA17C0"/>
    <w:rsid w:val="00EA1D8E"/>
    <w:rsid w:val="00EA1E1A"/>
    <w:rsid w:val="00EA1F93"/>
    <w:rsid w:val="00EA207D"/>
    <w:rsid w:val="00EA3028"/>
    <w:rsid w:val="00EA40C7"/>
    <w:rsid w:val="00EA43B4"/>
    <w:rsid w:val="00EA48B2"/>
    <w:rsid w:val="00EA4906"/>
    <w:rsid w:val="00EA4ABE"/>
    <w:rsid w:val="00EA4D2B"/>
    <w:rsid w:val="00EA5626"/>
    <w:rsid w:val="00EA5A66"/>
    <w:rsid w:val="00EA631B"/>
    <w:rsid w:val="00EA64D9"/>
    <w:rsid w:val="00EA6F4E"/>
    <w:rsid w:val="00EA7C8F"/>
    <w:rsid w:val="00EA7D26"/>
    <w:rsid w:val="00EB00AA"/>
    <w:rsid w:val="00EB00C4"/>
    <w:rsid w:val="00EB0222"/>
    <w:rsid w:val="00EB03C3"/>
    <w:rsid w:val="00EB0426"/>
    <w:rsid w:val="00EB08F1"/>
    <w:rsid w:val="00EB0932"/>
    <w:rsid w:val="00EB0B43"/>
    <w:rsid w:val="00EB0C28"/>
    <w:rsid w:val="00EB0D1C"/>
    <w:rsid w:val="00EB101C"/>
    <w:rsid w:val="00EB121E"/>
    <w:rsid w:val="00EB160D"/>
    <w:rsid w:val="00EB1A8E"/>
    <w:rsid w:val="00EB1FC9"/>
    <w:rsid w:val="00EB255A"/>
    <w:rsid w:val="00EB25BB"/>
    <w:rsid w:val="00EB2AC9"/>
    <w:rsid w:val="00EB3277"/>
    <w:rsid w:val="00EB4071"/>
    <w:rsid w:val="00EB4873"/>
    <w:rsid w:val="00EB5A36"/>
    <w:rsid w:val="00EB5F98"/>
    <w:rsid w:val="00EB60ED"/>
    <w:rsid w:val="00EB64F2"/>
    <w:rsid w:val="00EB6C47"/>
    <w:rsid w:val="00EB741C"/>
    <w:rsid w:val="00EB79E4"/>
    <w:rsid w:val="00EB7A28"/>
    <w:rsid w:val="00EC0D68"/>
    <w:rsid w:val="00EC13A6"/>
    <w:rsid w:val="00EC16C6"/>
    <w:rsid w:val="00EC1CE2"/>
    <w:rsid w:val="00EC22C5"/>
    <w:rsid w:val="00EC35E9"/>
    <w:rsid w:val="00EC3751"/>
    <w:rsid w:val="00EC37A4"/>
    <w:rsid w:val="00EC3821"/>
    <w:rsid w:val="00EC3B68"/>
    <w:rsid w:val="00EC4DDA"/>
    <w:rsid w:val="00EC50C1"/>
    <w:rsid w:val="00EC5243"/>
    <w:rsid w:val="00EC593F"/>
    <w:rsid w:val="00EC5B25"/>
    <w:rsid w:val="00EC6119"/>
    <w:rsid w:val="00EC6150"/>
    <w:rsid w:val="00EC6516"/>
    <w:rsid w:val="00EC75B5"/>
    <w:rsid w:val="00EC787B"/>
    <w:rsid w:val="00ED0152"/>
    <w:rsid w:val="00ED0486"/>
    <w:rsid w:val="00ED0CB2"/>
    <w:rsid w:val="00ED0D30"/>
    <w:rsid w:val="00ED17AF"/>
    <w:rsid w:val="00ED1915"/>
    <w:rsid w:val="00ED193E"/>
    <w:rsid w:val="00ED1F89"/>
    <w:rsid w:val="00ED296B"/>
    <w:rsid w:val="00ED2B45"/>
    <w:rsid w:val="00ED32C9"/>
    <w:rsid w:val="00ED38B8"/>
    <w:rsid w:val="00ED38D4"/>
    <w:rsid w:val="00ED3901"/>
    <w:rsid w:val="00ED3953"/>
    <w:rsid w:val="00ED3F9A"/>
    <w:rsid w:val="00ED4935"/>
    <w:rsid w:val="00ED4BF0"/>
    <w:rsid w:val="00ED5C25"/>
    <w:rsid w:val="00ED6A24"/>
    <w:rsid w:val="00ED6A5C"/>
    <w:rsid w:val="00ED71D7"/>
    <w:rsid w:val="00ED7D19"/>
    <w:rsid w:val="00EE0224"/>
    <w:rsid w:val="00EE032A"/>
    <w:rsid w:val="00EE077C"/>
    <w:rsid w:val="00EE07A6"/>
    <w:rsid w:val="00EE07FA"/>
    <w:rsid w:val="00EE0890"/>
    <w:rsid w:val="00EE0A1B"/>
    <w:rsid w:val="00EE0E43"/>
    <w:rsid w:val="00EE1B19"/>
    <w:rsid w:val="00EE1CDD"/>
    <w:rsid w:val="00EE1DAE"/>
    <w:rsid w:val="00EE264D"/>
    <w:rsid w:val="00EE2A6E"/>
    <w:rsid w:val="00EE2D8B"/>
    <w:rsid w:val="00EE34E4"/>
    <w:rsid w:val="00EE49CE"/>
    <w:rsid w:val="00EE4A4E"/>
    <w:rsid w:val="00EE5431"/>
    <w:rsid w:val="00EE56C0"/>
    <w:rsid w:val="00EE5BE8"/>
    <w:rsid w:val="00EE5EDE"/>
    <w:rsid w:val="00EE5F15"/>
    <w:rsid w:val="00EE600F"/>
    <w:rsid w:val="00EE6862"/>
    <w:rsid w:val="00EE6F87"/>
    <w:rsid w:val="00EE71DB"/>
    <w:rsid w:val="00EE7260"/>
    <w:rsid w:val="00EE77A3"/>
    <w:rsid w:val="00EE7F9D"/>
    <w:rsid w:val="00EF05F4"/>
    <w:rsid w:val="00EF1846"/>
    <w:rsid w:val="00EF191E"/>
    <w:rsid w:val="00EF1B46"/>
    <w:rsid w:val="00EF2674"/>
    <w:rsid w:val="00EF3836"/>
    <w:rsid w:val="00EF3C4E"/>
    <w:rsid w:val="00EF3C7B"/>
    <w:rsid w:val="00EF40A4"/>
    <w:rsid w:val="00EF41B5"/>
    <w:rsid w:val="00EF4231"/>
    <w:rsid w:val="00EF4254"/>
    <w:rsid w:val="00EF4396"/>
    <w:rsid w:val="00EF46E1"/>
    <w:rsid w:val="00EF4999"/>
    <w:rsid w:val="00EF4F19"/>
    <w:rsid w:val="00EF53F9"/>
    <w:rsid w:val="00EF577F"/>
    <w:rsid w:val="00EF5E0B"/>
    <w:rsid w:val="00EF5EC5"/>
    <w:rsid w:val="00EF60AA"/>
    <w:rsid w:val="00EF6E64"/>
    <w:rsid w:val="00EF6E66"/>
    <w:rsid w:val="00EF7355"/>
    <w:rsid w:val="00EF7486"/>
    <w:rsid w:val="00EF75AB"/>
    <w:rsid w:val="00EF7A1D"/>
    <w:rsid w:val="00F00789"/>
    <w:rsid w:val="00F00A65"/>
    <w:rsid w:val="00F00A80"/>
    <w:rsid w:val="00F00B3A"/>
    <w:rsid w:val="00F00EAE"/>
    <w:rsid w:val="00F01297"/>
    <w:rsid w:val="00F012BE"/>
    <w:rsid w:val="00F01A50"/>
    <w:rsid w:val="00F0238B"/>
    <w:rsid w:val="00F025B3"/>
    <w:rsid w:val="00F029A7"/>
    <w:rsid w:val="00F02A03"/>
    <w:rsid w:val="00F04049"/>
    <w:rsid w:val="00F046F6"/>
    <w:rsid w:val="00F04973"/>
    <w:rsid w:val="00F0541D"/>
    <w:rsid w:val="00F05D26"/>
    <w:rsid w:val="00F0643A"/>
    <w:rsid w:val="00F06660"/>
    <w:rsid w:val="00F06B1F"/>
    <w:rsid w:val="00F06C5B"/>
    <w:rsid w:val="00F06E62"/>
    <w:rsid w:val="00F07C19"/>
    <w:rsid w:val="00F07D97"/>
    <w:rsid w:val="00F109C2"/>
    <w:rsid w:val="00F10B4F"/>
    <w:rsid w:val="00F10DF7"/>
    <w:rsid w:val="00F112A4"/>
    <w:rsid w:val="00F11CF5"/>
    <w:rsid w:val="00F12149"/>
    <w:rsid w:val="00F12784"/>
    <w:rsid w:val="00F12834"/>
    <w:rsid w:val="00F12DD4"/>
    <w:rsid w:val="00F12F2C"/>
    <w:rsid w:val="00F12FAB"/>
    <w:rsid w:val="00F13045"/>
    <w:rsid w:val="00F13347"/>
    <w:rsid w:val="00F13A0E"/>
    <w:rsid w:val="00F1442D"/>
    <w:rsid w:val="00F1448E"/>
    <w:rsid w:val="00F145F7"/>
    <w:rsid w:val="00F1486D"/>
    <w:rsid w:val="00F15530"/>
    <w:rsid w:val="00F158BD"/>
    <w:rsid w:val="00F15C73"/>
    <w:rsid w:val="00F15E08"/>
    <w:rsid w:val="00F15F43"/>
    <w:rsid w:val="00F16043"/>
    <w:rsid w:val="00F165B6"/>
    <w:rsid w:val="00F16C25"/>
    <w:rsid w:val="00F16CD2"/>
    <w:rsid w:val="00F175B0"/>
    <w:rsid w:val="00F176F2"/>
    <w:rsid w:val="00F17EA7"/>
    <w:rsid w:val="00F200A6"/>
    <w:rsid w:val="00F20B73"/>
    <w:rsid w:val="00F20CA1"/>
    <w:rsid w:val="00F20D1B"/>
    <w:rsid w:val="00F20FB5"/>
    <w:rsid w:val="00F2106F"/>
    <w:rsid w:val="00F2148F"/>
    <w:rsid w:val="00F214EC"/>
    <w:rsid w:val="00F21794"/>
    <w:rsid w:val="00F21DB6"/>
    <w:rsid w:val="00F21FD6"/>
    <w:rsid w:val="00F22606"/>
    <w:rsid w:val="00F2277D"/>
    <w:rsid w:val="00F22B98"/>
    <w:rsid w:val="00F22C6B"/>
    <w:rsid w:val="00F23E4B"/>
    <w:rsid w:val="00F24457"/>
    <w:rsid w:val="00F24612"/>
    <w:rsid w:val="00F247D8"/>
    <w:rsid w:val="00F249EA"/>
    <w:rsid w:val="00F24DAF"/>
    <w:rsid w:val="00F24E6D"/>
    <w:rsid w:val="00F250A0"/>
    <w:rsid w:val="00F256B9"/>
    <w:rsid w:val="00F25839"/>
    <w:rsid w:val="00F25F8F"/>
    <w:rsid w:val="00F260C3"/>
    <w:rsid w:val="00F2621A"/>
    <w:rsid w:val="00F2636E"/>
    <w:rsid w:val="00F265D4"/>
    <w:rsid w:val="00F26C1D"/>
    <w:rsid w:val="00F26E56"/>
    <w:rsid w:val="00F271A8"/>
    <w:rsid w:val="00F2721D"/>
    <w:rsid w:val="00F277B8"/>
    <w:rsid w:val="00F27A0A"/>
    <w:rsid w:val="00F27A44"/>
    <w:rsid w:val="00F27FE5"/>
    <w:rsid w:val="00F3026A"/>
    <w:rsid w:val="00F302F3"/>
    <w:rsid w:val="00F304FC"/>
    <w:rsid w:val="00F30889"/>
    <w:rsid w:val="00F30917"/>
    <w:rsid w:val="00F30A32"/>
    <w:rsid w:val="00F30BB1"/>
    <w:rsid w:val="00F315C4"/>
    <w:rsid w:val="00F31634"/>
    <w:rsid w:val="00F31989"/>
    <w:rsid w:val="00F31A92"/>
    <w:rsid w:val="00F31D8D"/>
    <w:rsid w:val="00F321F8"/>
    <w:rsid w:val="00F3295A"/>
    <w:rsid w:val="00F32ED8"/>
    <w:rsid w:val="00F333EF"/>
    <w:rsid w:val="00F336E2"/>
    <w:rsid w:val="00F3423D"/>
    <w:rsid w:val="00F342F4"/>
    <w:rsid w:val="00F34DF2"/>
    <w:rsid w:val="00F36345"/>
    <w:rsid w:val="00F369C5"/>
    <w:rsid w:val="00F36EB3"/>
    <w:rsid w:val="00F37345"/>
    <w:rsid w:val="00F37765"/>
    <w:rsid w:val="00F37ABA"/>
    <w:rsid w:val="00F37ADB"/>
    <w:rsid w:val="00F37C2B"/>
    <w:rsid w:val="00F4039F"/>
    <w:rsid w:val="00F40501"/>
    <w:rsid w:val="00F40688"/>
    <w:rsid w:val="00F409AD"/>
    <w:rsid w:val="00F40A4C"/>
    <w:rsid w:val="00F40A70"/>
    <w:rsid w:val="00F40B9B"/>
    <w:rsid w:val="00F40ECB"/>
    <w:rsid w:val="00F41ABC"/>
    <w:rsid w:val="00F41CED"/>
    <w:rsid w:val="00F41DF5"/>
    <w:rsid w:val="00F420ED"/>
    <w:rsid w:val="00F428FF"/>
    <w:rsid w:val="00F429B7"/>
    <w:rsid w:val="00F42A49"/>
    <w:rsid w:val="00F42E5D"/>
    <w:rsid w:val="00F4313A"/>
    <w:rsid w:val="00F433FD"/>
    <w:rsid w:val="00F438BD"/>
    <w:rsid w:val="00F438FC"/>
    <w:rsid w:val="00F43A5F"/>
    <w:rsid w:val="00F43CF5"/>
    <w:rsid w:val="00F4656D"/>
    <w:rsid w:val="00F46FC7"/>
    <w:rsid w:val="00F47687"/>
    <w:rsid w:val="00F47FCB"/>
    <w:rsid w:val="00F50202"/>
    <w:rsid w:val="00F5034A"/>
    <w:rsid w:val="00F507CB"/>
    <w:rsid w:val="00F50A20"/>
    <w:rsid w:val="00F50BFA"/>
    <w:rsid w:val="00F51D4B"/>
    <w:rsid w:val="00F52363"/>
    <w:rsid w:val="00F52414"/>
    <w:rsid w:val="00F52B82"/>
    <w:rsid w:val="00F53465"/>
    <w:rsid w:val="00F537D4"/>
    <w:rsid w:val="00F54374"/>
    <w:rsid w:val="00F54C31"/>
    <w:rsid w:val="00F55D23"/>
    <w:rsid w:val="00F56848"/>
    <w:rsid w:val="00F57144"/>
    <w:rsid w:val="00F571FE"/>
    <w:rsid w:val="00F57CF5"/>
    <w:rsid w:val="00F57EFF"/>
    <w:rsid w:val="00F57F8F"/>
    <w:rsid w:val="00F6000D"/>
    <w:rsid w:val="00F60668"/>
    <w:rsid w:val="00F60BFD"/>
    <w:rsid w:val="00F617D5"/>
    <w:rsid w:val="00F62175"/>
    <w:rsid w:val="00F627BC"/>
    <w:rsid w:val="00F629CD"/>
    <w:rsid w:val="00F62EA3"/>
    <w:rsid w:val="00F62FB5"/>
    <w:rsid w:val="00F631DB"/>
    <w:rsid w:val="00F643A7"/>
    <w:rsid w:val="00F64688"/>
    <w:rsid w:val="00F64FED"/>
    <w:rsid w:val="00F653FE"/>
    <w:rsid w:val="00F6560C"/>
    <w:rsid w:val="00F65A6E"/>
    <w:rsid w:val="00F65CE2"/>
    <w:rsid w:val="00F6640B"/>
    <w:rsid w:val="00F66BF9"/>
    <w:rsid w:val="00F66C15"/>
    <w:rsid w:val="00F672AD"/>
    <w:rsid w:val="00F674D3"/>
    <w:rsid w:val="00F7057E"/>
    <w:rsid w:val="00F708A3"/>
    <w:rsid w:val="00F7096D"/>
    <w:rsid w:val="00F71195"/>
    <w:rsid w:val="00F715A8"/>
    <w:rsid w:val="00F7303C"/>
    <w:rsid w:val="00F73C2C"/>
    <w:rsid w:val="00F7480F"/>
    <w:rsid w:val="00F74A02"/>
    <w:rsid w:val="00F7534C"/>
    <w:rsid w:val="00F754F0"/>
    <w:rsid w:val="00F75C73"/>
    <w:rsid w:val="00F76453"/>
    <w:rsid w:val="00F767EC"/>
    <w:rsid w:val="00F768B8"/>
    <w:rsid w:val="00F76B40"/>
    <w:rsid w:val="00F76B93"/>
    <w:rsid w:val="00F770DF"/>
    <w:rsid w:val="00F82099"/>
    <w:rsid w:val="00F821DF"/>
    <w:rsid w:val="00F822AE"/>
    <w:rsid w:val="00F82455"/>
    <w:rsid w:val="00F8265E"/>
    <w:rsid w:val="00F83BFE"/>
    <w:rsid w:val="00F83D89"/>
    <w:rsid w:val="00F83DA5"/>
    <w:rsid w:val="00F846EB"/>
    <w:rsid w:val="00F852E3"/>
    <w:rsid w:val="00F86726"/>
    <w:rsid w:val="00F86761"/>
    <w:rsid w:val="00F86F29"/>
    <w:rsid w:val="00F871BD"/>
    <w:rsid w:val="00F87704"/>
    <w:rsid w:val="00F87C3B"/>
    <w:rsid w:val="00F87ED8"/>
    <w:rsid w:val="00F900AE"/>
    <w:rsid w:val="00F90789"/>
    <w:rsid w:val="00F913D6"/>
    <w:rsid w:val="00F91927"/>
    <w:rsid w:val="00F91967"/>
    <w:rsid w:val="00F92690"/>
    <w:rsid w:val="00F930DC"/>
    <w:rsid w:val="00F93D69"/>
    <w:rsid w:val="00F93EEA"/>
    <w:rsid w:val="00F94283"/>
    <w:rsid w:val="00F9438E"/>
    <w:rsid w:val="00F943BE"/>
    <w:rsid w:val="00F946D5"/>
    <w:rsid w:val="00F94A9E"/>
    <w:rsid w:val="00F94B48"/>
    <w:rsid w:val="00F94F98"/>
    <w:rsid w:val="00F958F4"/>
    <w:rsid w:val="00F96446"/>
    <w:rsid w:val="00F96AD3"/>
    <w:rsid w:val="00F96F28"/>
    <w:rsid w:val="00F97575"/>
    <w:rsid w:val="00F97D66"/>
    <w:rsid w:val="00FA03D8"/>
    <w:rsid w:val="00FA0809"/>
    <w:rsid w:val="00FA1BB7"/>
    <w:rsid w:val="00FA1F9E"/>
    <w:rsid w:val="00FA21C3"/>
    <w:rsid w:val="00FA248F"/>
    <w:rsid w:val="00FA320F"/>
    <w:rsid w:val="00FA32B8"/>
    <w:rsid w:val="00FA3821"/>
    <w:rsid w:val="00FA38E0"/>
    <w:rsid w:val="00FA3A96"/>
    <w:rsid w:val="00FA3F5B"/>
    <w:rsid w:val="00FA4423"/>
    <w:rsid w:val="00FA47DD"/>
    <w:rsid w:val="00FA4FB1"/>
    <w:rsid w:val="00FA57F9"/>
    <w:rsid w:val="00FA5C12"/>
    <w:rsid w:val="00FA5D6F"/>
    <w:rsid w:val="00FA5D91"/>
    <w:rsid w:val="00FA6455"/>
    <w:rsid w:val="00FA67A2"/>
    <w:rsid w:val="00FA7515"/>
    <w:rsid w:val="00FA7C3A"/>
    <w:rsid w:val="00FA7CF9"/>
    <w:rsid w:val="00FA7D27"/>
    <w:rsid w:val="00FB0122"/>
    <w:rsid w:val="00FB0187"/>
    <w:rsid w:val="00FB0501"/>
    <w:rsid w:val="00FB05BD"/>
    <w:rsid w:val="00FB0C22"/>
    <w:rsid w:val="00FB13AE"/>
    <w:rsid w:val="00FB1C74"/>
    <w:rsid w:val="00FB1ED2"/>
    <w:rsid w:val="00FB2201"/>
    <w:rsid w:val="00FB28F6"/>
    <w:rsid w:val="00FB2B91"/>
    <w:rsid w:val="00FB2F07"/>
    <w:rsid w:val="00FB3724"/>
    <w:rsid w:val="00FB3ABE"/>
    <w:rsid w:val="00FB42D5"/>
    <w:rsid w:val="00FB479F"/>
    <w:rsid w:val="00FB49CC"/>
    <w:rsid w:val="00FB4C99"/>
    <w:rsid w:val="00FB4D57"/>
    <w:rsid w:val="00FB5569"/>
    <w:rsid w:val="00FB5690"/>
    <w:rsid w:val="00FB5C21"/>
    <w:rsid w:val="00FB671E"/>
    <w:rsid w:val="00FB7759"/>
    <w:rsid w:val="00FB7C92"/>
    <w:rsid w:val="00FC037F"/>
    <w:rsid w:val="00FC039C"/>
    <w:rsid w:val="00FC0A35"/>
    <w:rsid w:val="00FC162A"/>
    <w:rsid w:val="00FC18DC"/>
    <w:rsid w:val="00FC1B55"/>
    <w:rsid w:val="00FC1DB5"/>
    <w:rsid w:val="00FC1F18"/>
    <w:rsid w:val="00FC30B8"/>
    <w:rsid w:val="00FC39CF"/>
    <w:rsid w:val="00FC3B60"/>
    <w:rsid w:val="00FC3BBC"/>
    <w:rsid w:val="00FC3BCB"/>
    <w:rsid w:val="00FC3D5B"/>
    <w:rsid w:val="00FC46E2"/>
    <w:rsid w:val="00FC48E2"/>
    <w:rsid w:val="00FC4C1F"/>
    <w:rsid w:val="00FC4E62"/>
    <w:rsid w:val="00FC5349"/>
    <w:rsid w:val="00FC5CF7"/>
    <w:rsid w:val="00FC608B"/>
    <w:rsid w:val="00FC6616"/>
    <w:rsid w:val="00FC66DC"/>
    <w:rsid w:val="00FC6B11"/>
    <w:rsid w:val="00FC6B18"/>
    <w:rsid w:val="00FC6C5E"/>
    <w:rsid w:val="00FC70FB"/>
    <w:rsid w:val="00FC720E"/>
    <w:rsid w:val="00FC7258"/>
    <w:rsid w:val="00FC78C1"/>
    <w:rsid w:val="00FC78EC"/>
    <w:rsid w:val="00FC7C8E"/>
    <w:rsid w:val="00FD0306"/>
    <w:rsid w:val="00FD087B"/>
    <w:rsid w:val="00FD0B3E"/>
    <w:rsid w:val="00FD26E6"/>
    <w:rsid w:val="00FD2876"/>
    <w:rsid w:val="00FD37A0"/>
    <w:rsid w:val="00FD3944"/>
    <w:rsid w:val="00FD436A"/>
    <w:rsid w:val="00FD48E2"/>
    <w:rsid w:val="00FD5DBC"/>
    <w:rsid w:val="00FD5E4B"/>
    <w:rsid w:val="00FD63AA"/>
    <w:rsid w:val="00FD6973"/>
    <w:rsid w:val="00FD6BC0"/>
    <w:rsid w:val="00FD6BFD"/>
    <w:rsid w:val="00FD76A8"/>
    <w:rsid w:val="00FD76F5"/>
    <w:rsid w:val="00FD79CF"/>
    <w:rsid w:val="00FD7B9D"/>
    <w:rsid w:val="00FE0F9E"/>
    <w:rsid w:val="00FE1497"/>
    <w:rsid w:val="00FE14BB"/>
    <w:rsid w:val="00FE1778"/>
    <w:rsid w:val="00FE1827"/>
    <w:rsid w:val="00FE19F9"/>
    <w:rsid w:val="00FE20C6"/>
    <w:rsid w:val="00FE2A00"/>
    <w:rsid w:val="00FE2CFD"/>
    <w:rsid w:val="00FE3029"/>
    <w:rsid w:val="00FE333B"/>
    <w:rsid w:val="00FE34E8"/>
    <w:rsid w:val="00FE3603"/>
    <w:rsid w:val="00FE4D63"/>
    <w:rsid w:val="00FE63AA"/>
    <w:rsid w:val="00FE707D"/>
    <w:rsid w:val="00FE77B2"/>
    <w:rsid w:val="00FE7E03"/>
    <w:rsid w:val="00FF012F"/>
    <w:rsid w:val="00FF0B36"/>
    <w:rsid w:val="00FF0B82"/>
    <w:rsid w:val="00FF12D7"/>
    <w:rsid w:val="00FF13C6"/>
    <w:rsid w:val="00FF2312"/>
    <w:rsid w:val="00FF2C2E"/>
    <w:rsid w:val="00FF341D"/>
    <w:rsid w:val="00FF35FA"/>
    <w:rsid w:val="00FF3702"/>
    <w:rsid w:val="00FF3B0A"/>
    <w:rsid w:val="00FF3B6A"/>
    <w:rsid w:val="00FF4362"/>
    <w:rsid w:val="00FF4442"/>
    <w:rsid w:val="00FF446D"/>
    <w:rsid w:val="00FF4F35"/>
    <w:rsid w:val="00FF4F3D"/>
    <w:rsid w:val="00FF5088"/>
    <w:rsid w:val="00FF53F5"/>
    <w:rsid w:val="00FF554A"/>
    <w:rsid w:val="00FF595F"/>
    <w:rsid w:val="00FF5FD3"/>
    <w:rsid w:val="00FF6390"/>
    <w:rsid w:val="00FF677A"/>
    <w:rsid w:val="00FF6C44"/>
    <w:rsid w:val="00FF6F17"/>
    <w:rsid w:val="00FF6FEA"/>
    <w:rsid w:val="00FF72EC"/>
    <w:rsid w:val="00FF7DF2"/>
    <w:rsid w:val="01EDC320"/>
    <w:rsid w:val="02FE1A71"/>
    <w:rsid w:val="03EA42D0"/>
    <w:rsid w:val="0479DB1F"/>
    <w:rsid w:val="047BC583"/>
    <w:rsid w:val="048111C0"/>
    <w:rsid w:val="04EC4F78"/>
    <w:rsid w:val="0550B7E1"/>
    <w:rsid w:val="05D1998C"/>
    <w:rsid w:val="05F79B18"/>
    <w:rsid w:val="061A5558"/>
    <w:rsid w:val="06A3B4B2"/>
    <w:rsid w:val="078A9275"/>
    <w:rsid w:val="090DD114"/>
    <w:rsid w:val="099DD211"/>
    <w:rsid w:val="0B10585C"/>
    <w:rsid w:val="0C31E245"/>
    <w:rsid w:val="0D636AE0"/>
    <w:rsid w:val="0DD399C2"/>
    <w:rsid w:val="1008EE64"/>
    <w:rsid w:val="104CFB10"/>
    <w:rsid w:val="11296C93"/>
    <w:rsid w:val="114E3F18"/>
    <w:rsid w:val="12A68BE0"/>
    <w:rsid w:val="12BBF8AF"/>
    <w:rsid w:val="136A4969"/>
    <w:rsid w:val="1378C6A1"/>
    <w:rsid w:val="13D6BD6D"/>
    <w:rsid w:val="163E1503"/>
    <w:rsid w:val="16951D7C"/>
    <w:rsid w:val="16EC0181"/>
    <w:rsid w:val="1761B90D"/>
    <w:rsid w:val="179EB6A0"/>
    <w:rsid w:val="17A5EBD6"/>
    <w:rsid w:val="17DB8825"/>
    <w:rsid w:val="1835C191"/>
    <w:rsid w:val="191E161C"/>
    <w:rsid w:val="197C492E"/>
    <w:rsid w:val="1A3EB3A1"/>
    <w:rsid w:val="1AE04487"/>
    <w:rsid w:val="1C5A9981"/>
    <w:rsid w:val="1C7E5DFD"/>
    <w:rsid w:val="1C9FC2DA"/>
    <w:rsid w:val="1CA4AB67"/>
    <w:rsid w:val="1DCEF44D"/>
    <w:rsid w:val="1F4384E4"/>
    <w:rsid w:val="1F81FEA4"/>
    <w:rsid w:val="1F98D665"/>
    <w:rsid w:val="1FB9A2E4"/>
    <w:rsid w:val="1FF2DCA1"/>
    <w:rsid w:val="2014027C"/>
    <w:rsid w:val="20FD5BB5"/>
    <w:rsid w:val="21201608"/>
    <w:rsid w:val="213531D7"/>
    <w:rsid w:val="21975678"/>
    <w:rsid w:val="21E42659"/>
    <w:rsid w:val="2309BAB3"/>
    <w:rsid w:val="23100B7C"/>
    <w:rsid w:val="239C679E"/>
    <w:rsid w:val="23C496A4"/>
    <w:rsid w:val="23E3B627"/>
    <w:rsid w:val="24531F2B"/>
    <w:rsid w:val="24C6FEF0"/>
    <w:rsid w:val="25EEEF8C"/>
    <w:rsid w:val="267A5581"/>
    <w:rsid w:val="26922668"/>
    <w:rsid w:val="269A786F"/>
    <w:rsid w:val="26DD69C6"/>
    <w:rsid w:val="2733F550"/>
    <w:rsid w:val="278ABFED"/>
    <w:rsid w:val="278C2BED"/>
    <w:rsid w:val="279A96B4"/>
    <w:rsid w:val="27E3FC8E"/>
    <w:rsid w:val="27EC376E"/>
    <w:rsid w:val="29296924"/>
    <w:rsid w:val="29853792"/>
    <w:rsid w:val="29D90014"/>
    <w:rsid w:val="2A234D23"/>
    <w:rsid w:val="2A283785"/>
    <w:rsid w:val="2A8A465E"/>
    <w:rsid w:val="2C5FE71B"/>
    <w:rsid w:val="2CBC5E67"/>
    <w:rsid w:val="2D0439CD"/>
    <w:rsid w:val="2D81B01F"/>
    <w:rsid w:val="2D825BAB"/>
    <w:rsid w:val="2D982F76"/>
    <w:rsid w:val="2DA9B39B"/>
    <w:rsid w:val="2DC7011D"/>
    <w:rsid w:val="2DD94FA5"/>
    <w:rsid w:val="2DEF3401"/>
    <w:rsid w:val="2EDFDEE3"/>
    <w:rsid w:val="2F7DDBA8"/>
    <w:rsid w:val="2F872C52"/>
    <w:rsid w:val="2FB5EC51"/>
    <w:rsid w:val="2FD8ED0E"/>
    <w:rsid w:val="3098CAAB"/>
    <w:rsid w:val="30B23653"/>
    <w:rsid w:val="30F22C65"/>
    <w:rsid w:val="31083541"/>
    <w:rsid w:val="311A3993"/>
    <w:rsid w:val="312DD0AF"/>
    <w:rsid w:val="31B83871"/>
    <w:rsid w:val="31CEA092"/>
    <w:rsid w:val="3357D1E0"/>
    <w:rsid w:val="33924EF2"/>
    <w:rsid w:val="33EE96D7"/>
    <w:rsid w:val="3454233D"/>
    <w:rsid w:val="3472F4E3"/>
    <w:rsid w:val="34B30B8B"/>
    <w:rsid w:val="34E69FE1"/>
    <w:rsid w:val="35B5334E"/>
    <w:rsid w:val="3631D923"/>
    <w:rsid w:val="3655F7BB"/>
    <w:rsid w:val="36600DBC"/>
    <w:rsid w:val="3875A609"/>
    <w:rsid w:val="3A262E1A"/>
    <w:rsid w:val="3A90E4C2"/>
    <w:rsid w:val="3ABACC81"/>
    <w:rsid w:val="3AD782CA"/>
    <w:rsid w:val="3B56DFDF"/>
    <w:rsid w:val="3B6D5B54"/>
    <w:rsid w:val="3C4DDFCC"/>
    <w:rsid w:val="3C961E26"/>
    <w:rsid w:val="3CE046DE"/>
    <w:rsid w:val="3D262468"/>
    <w:rsid w:val="3D655163"/>
    <w:rsid w:val="3D8DFBE5"/>
    <w:rsid w:val="3D92E681"/>
    <w:rsid w:val="3DBE083D"/>
    <w:rsid w:val="3E831B01"/>
    <w:rsid w:val="3EA278BD"/>
    <w:rsid w:val="3EACB2EC"/>
    <w:rsid w:val="3EC33E29"/>
    <w:rsid w:val="3F30A822"/>
    <w:rsid w:val="3F390DE9"/>
    <w:rsid w:val="40C863A4"/>
    <w:rsid w:val="41730E41"/>
    <w:rsid w:val="418C0EAA"/>
    <w:rsid w:val="42E7945F"/>
    <w:rsid w:val="42F2F946"/>
    <w:rsid w:val="42FCFD6D"/>
    <w:rsid w:val="43339429"/>
    <w:rsid w:val="43706027"/>
    <w:rsid w:val="43A70D14"/>
    <w:rsid w:val="43CC68E9"/>
    <w:rsid w:val="43EE63C3"/>
    <w:rsid w:val="43FC027D"/>
    <w:rsid w:val="440DBB18"/>
    <w:rsid w:val="4433A1D8"/>
    <w:rsid w:val="44776F67"/>
    <w:rsid w:val="44E1B003"/>
    <w:rsid w:val="44E38516"/>
    <w:rsid w:val="45141170"/>
    <w:rsid w:val="45678FD3"/>
    <w:rsid w:val="456DD0E9"/>
    <w:rsid w:val="465DA135"/>
    <w:rsid w:val="46622183"/>
    <w:rsid w:val="46AAC7E6"/>
    <w:rsid w:val="46D6A467"/>
    <w:rsid w:val="48A807ED"/>
    <w:rsid w:val="48E2DFF4"/>
    <w:rsid w:val="4B39CF50"/>
    <w:rsid w:val="4B3C14B0"/>
    <w:rsid w:val="4B41C349"/>
    <w:rsid w:val="4B50352B"/>
    <w:rsid w:val="4BB1EA9E"/>
    <w:rsid w:val="4CC223BF"/>
    <w:rsid w:val="4CD3F144"/>
    <w:rsid w:val="4E2A8356"/>
    <w:rsid w:val="4E8930D8"/>
    <w:rsid w:val="4E9247FC"/>
    <w:rsid w:val="4F3B3B96"/>
    <w:rsid w:val="4FC45D9C"/>
    <w:rsid w:val="510ABB8B"/>
    <w:rsid w:val="510D1634"/>
    <w:rsid w:val="516D34BC"/>
    <w:rsid w:val="516E68D4"/>
    <w:rsid w:val="517097A3"/>
    <w:rsid w:val="5257E7A3"/>
    <w:rsid w:val="52B03720"/>
    <w:rsid w:val="5355BE26"/>
    <w:rsid w:val="538439B9"/>
    <w:rsid w:val="5392D8CA"/>
    <w:rsid w:val="545123C3"/>
    <w:rsid w:val="5473C814"/>
    <w:rsid w:val="54CD671D"/>
    <w:rsid w:val="5513A372"/>
    <w:rsid w:val="555BF3C0"/>
    <w:rsid w:val="55D3609F"/>
    <w:rsid w:val="569B91B4"/>
    <w:rsid w:val="5748268F"/>
    <w:rsid w:val="582D1420"/>
    <w:rsid w:val="58C0ADD2"/>
    <w:rsid w:val="58C6193D"/>
    <w:rsid w:val="58DA1064"/>
    <w:rsid w:val="591D14B3"/>
    <w:rsid w:val="592F3F96"/>
    <w:rsid w:val="5A4B83C8"/>
    <w:rsid w:val="5AA811AB"/>
    <w:rsid w:val="5BE52188"/>
    <w:rsid w:val="5BE93F4A"/>
    <w:rsid w:val="5BFA25FF"/>
    <w:rsid w:val="5C427ECF"/>
    <w:rsid w:val="5CB827D5"/>
    <w:rsid w:val="5CEF9995"/>
    <w:rsid w:val="5D4A380F"/>
    <w:rsid w:val="5E110160"/>
    <w:rsid w:val="5E28E39A"/>
    <w:rsid w:val="5E64098F"/>
    <w:rsid w:val="5E87A735"/>
    <w:rsid w:val="5EB7439E"/>
    <w:rsid w:val="5F1E86DD"/>
    <w:rsid w:val="5F7E1C6E"/>
    <w:rsid w:val="5F940AC5"/>
    <w:rsid w:val="5FCB6709"/>
    <w:rsid w:val="5FFDAA60"/>
    <w:rsid w:val="6115210A"/>
    <w:rsid w:val="61815C15"/>
    <w:rsid w:val="623D6D50"/>
    <w:rsid w:val="627EFC11"/>
    <w:rsid w:val="628891A0"/>
    <w:rsid w:val="62B816BE"/>
    <w:rsid w:val="62DEFE32"/>
    <w:rsid w:val="634F49A1"/>
    <w:rsid w:val="63E447E4"/>
    <w:rsid w:val="6431DC5A"/>
    <w:rsid w:val="64C3704E"/>
    <w:rsid w:val="6669FB2B"/>
    <w:rsid w:val="66E27D07"/>
    <w:rsid w:val="67039401"/>
    <w:rsid w:val="6758554D"/>
    <w:rsid w:val="6850959D"/>
    <w:rsid w:val="68593EFC"/>
    <w:rsid w:val="68DE76A1"/>
    <w:rsid w:val="6A1E193F"/>
    <w:rsid w:val="6A572C47"/>
    <w:rsid w:val="6C1EE2FD"/>
    <w:rsid w:val="6C6727E5"/>
    <w:rsid w:val="6C929145"/>
    <w:rsid w:val="6CC1E3B6"/>
    <w:rsid w:val="6CC7D2BA"/>
    <w:rsid w:val="6D9F40C1"/>
    <w:rsid w:val="6E1FB1DF"/>
    <w:rsid w:val="6E3F10FE"/>
    <w:rsid w:val="6E9917FC"/>
    <w:rsid w:val="6EFE27EC"/>
    <w:rsid w:val="707036F0"/>
    <w:rsid w:val="714FB695"/>
    <w:rsid w:val="71C7A1E1"/>
    <w:rsid w:val="724B5174"/>
    <w:rsid w:val="72F43918"/>
    <w:rsid w:val="7382AA66"/>
    <w:rsid w:val="74AF3CE2"/>
    <w:rsid w:val="74C385D5"/>
    <w:rsid w:val="74E3246E"/>
    <w:rsid w:val="74F98A44"/>
    <w:rsid w:val="75FFF658"/>
    <w:rsid w:val="77A273DE"/>
    <w:rsid w:val="77A75E76"/>
    <w:rsid w:val="77C8B28D"/>
    <w:rsid w:val="77ECD1F6"/>
    <w:rsid w:val="7806C063"/>
    <w:rsid w:val="78A25E24"/>
    <w:rsid w:val="78D2A8C2"/>
    <w:rsid w:val="7A47D7F9"/>
    <w:rsid w:val="7B82FE84"/>
    <w:rsid w:val="7BE28530"/>
    <w:rsid w:val="7C0B8C83"/>
    <w:rsid w:val="7C812389"/>
    <w:rsid w:val="7D23834E"/>
    <w:rsid w:val="7D46FC05"/>
    <w:rsid w:val="7D566955"/>
    <w:rsid w:val="7E076C72"/>
    <w:rsid w:val="7F765481"/>
    <w:rsid w:val="7FAAD0CD"/>
    <w:rsid w:val="7FE0A0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447347"/>
  <w15:docId w15:val="{6B587A6E-6A0C-416D-B4C7-CF9BD8B7B3F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4A5"/>
    <w:rPr>
      <w:sz w:val="24"/>
      <w:szCs w:val="24"/>
    </w:rPr>
  </w:style>
  <w:style w:type="paragraph" w:styleId="Heading1">
    <w:name w:val="heading 1"/>
    <w:basedOn w:val="Normal"/>
    <w:next w:val="Normal"/>
    <w:qFormat/>
    <w:rsid w:val="00A60C0B"/>
    <w:pPr>
      <w:jc w:val="center"/>
      <w:outlineLvl w:val="0"/>
    </w:pPr>
    <w:rPr>
      <w:rFonts w:ascii="Garamond" w:hAnsi="Garamond"/>
      <w:b/>
      <w:bCs/>
    </w:rPr>
  </w:style>
  <w:style w:type="paragraph" w:styleId="Heading2">
    <w:name w:val="heading 2"/>
    <w:basedOn w:val="Normal"/>
    <w:next w:val="Normal"/>
    <w:qFormat/>
    <w:rsid w:val="00A60C0B"/>
    <w:pPr>
      <w:outlineLvl w:val="1"/>
    </w:pPr>
    <w:rPr>
      <w:rFonts w:ascii="Garamond" w:hAnsi="Garamond"/>
      <w:b/>
      <w:bCs/>
    </w:rPr>
  </w:style>
  <w:style w:type="paragraph" w:styleId="Heading3">
    <w:name w:val="heading 3"/>
    <w:basedOn w:val="Normal"/>
    <w:next w:val="Normal"/>
    <w:qFormat/>
    <w:rsid w:val="0004439A"/>
    <w:pPr>
      <w:outlineLvl w:val="2"/>
    </w:pPr>
    <w:rPr>
      <w:rFonts w:ascii="Garamond" w:hAnsi="Garamond"/>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spacing w:after="480"/>
    </w:pPr>
    <w:rPr>
      <w:sz w:val="26"/>
      <w:szCs w:val="20"/>
    </w:rPr>
  </w:style>
  <w:style w:type="character" w:styleId="PageNumber">
    <w:name w:val="page number"/>
    <w:basedOn w:val="DefaultParagraphFont"/>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styleId="BodyText2">
    <w:name w:val="Body Text 2"/>
    <w:basedOn w:val="Normal"/>
    <w:pPr>
      <w:tabs>
        <w:tab w:val="left" w:pos="10098"/>
      </w:tabs>
      <w:ind w:right="-74"/>
    </w:pPr>
    <w:rPr>
      <w:sz w:val="26"/>
    </w:rPr>
  </w:style>
  <w:style w:type="paragraph" w:styleId="BalloonText">
    <w:name w:val="Balloon Text"/>
    <w:basedOn w:val="Normal"/>
    <w:semiHidden/>
    <w:rPr>
      <w:rFonts w:ascii="Tahoma" w:hAnsi="Tahoma" w:cs="Tahoma"/>
      <w:sz w:val="16"/>
      <w:szCs w:val="16"/>
    </w:rPr>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character" w:styleId="UnresolvedMention">
    <w:name w:val="Unresolved Mention"/>
    <w:uiPriority w:val="99"/>
    <w:semiHidden/>
    <w:unhideWhenUsed/>
    <w:rsid w:val="009F258C"/>
    <w:rPr>
      <w:color w:val="605E5C"/>
      <w:shd w:val="clear" w:color="auto" w:fill="E1DFDD"/>
    </w:rPr>
  </w:style>
  <w:style w:type="character" w:customStyle="1" w:styleId="FootnoteTextChar">
    <w:name w:val="Footnote Text Char"/>
    <w:link w:val="FootnoteText"/>
    <w:uiPriority w:val="99"/>
    <w:semiHidden/>
    <w:rsid w:val="00384D2B"/>
  </w:style>
  <w:style w:type="paragraph" w:styleId="ListParagraph">
    <w:name w:val="List Paragraph"/>
    <w:basedOn w:val="Normal"/>
    <w:uiPriority w:val="34"/>
    <w:qFormat/>
    <w:rsid w:val="00384D2B"/>
    <w:pPr>
      <w:spacing w:after="160" w:line="259" w:lineRule="auto"/>
      <w:ind w:left="720"/>
      <w:contextualSpacing/>
    </w:pPr>
    <w:rPr>
      <w:rFonts w:ascii="Calibri" w:eastAsia="Calibri" w:hAnsi="Calibri" w:cs="Arial"/>
      <w:sz w:val="22"/>
      <w:szCs w:val="22"/>
    </w:rPr>
  </w:style>
  <w:style w:type="character" w:styleId="CommentReference">
    <w:name w:val="annotation reference"/>
    <w:uiPriority w:val="99"/>
    <w:semiHidden/>
    <w:unhideWhenUsed/>
    <w:rsid w:val="00384D2B"/>
    <w:rPr>
      <w:sz w:val="16"/>
      <w:szCs w:val="16"/>
    </w:rPr>
  </w:style>
  <w:style w:type="paragraph" w:styleId="CommentText">
    <w:name w:val="annotation text"/>
    <w:basedOn w:val="Normal"/>
    <w:link w:val="CommentTextChar"/>
    <w:uiPriority w:val="99"/>
    <w:unhideWhenUsed/>
    <w:rsid w:val="00384D2B"/>
    <w:pPr>
      <w:spacing w:after="160"/>
    </w:pPr>
    <w:rPr>
      <w:rFonts w:ascii="Calibri" w:eastAsia="Calibri" w:hAnsi="Calibri" w:cs="Arial"/>
      <w:sz w:val="20"/>
      <w:szCs w:val="20"/>
    </w:rPr>
  </w:style>
  <w:style w:type="character" w:customStyle="1" w:styleId="CommentTextChar">
    <w:name w:val="Comment Text Char"/>
    <w:link w:val="CommentText"/>
    <w:uiPriority w:val="99"/>
    <w:rsid w:val="00384D2B"/>
    <w:rPr>
      <w:rFonts w:ascii="Calibri" w:eastAsia="Calibri" w:hAnsi="Calibri" w:cs="Arial"/>
    </w:rPr>
  </w:style>
  <w:style w:type="paragraph" w:customStyle="1" w:styleId="paragraph">
    <w:name w:val="paragraph"/>
    <w:basedOn w:val="Normal"/>
    <w:rsid w:val="00384D2B"/>
    <w:pPr>
      <w:spacing w:before="100" w:beforeAutospacing="1" w:after="100" w:afterAutospacing="1"/>
    </w:pPr>
  </w:style>
  <w:style w:type="character" w:customStyle="1" w:styleId="normaltextrun">
    <w:name w:val="normaltextrun"/>
    <w:basedOn w:val="DefaultParagraphFont"/>
    <w:rsid w:val="00384D2B"/>
  </w:style>
  <w:style w:type="character" w:customStyle="1" w:styleId="eop">
    <w:name w:val="eop"/>
    <w:basedOn w:val="DefaultParagraphFont"/>
    <w:rsid w:val="00384D2B"/>
  </w:style>
  <w:style w:type="character" w:styleId="Mention">
    <w:name w:val="Mention"/>
    <w:uiPriority w:val="99"/>
    <w:unhideWhenUsed/>
    <w:rsid w:val="00384D2B"/>
    <w:rPr>
      <w:color w:val="2B579A"/>
      <w:shd w:val="clear" w:color="auto" w:fill="E6E6E6"/>
    </w:rPr>
  </w:style>
  <w:style w:type="character" w:customStyle="1" w:styleId="FooterChar">
    <w:name w:val="Footer Char"/>
    <w:link w:val="Footer"/>
    <w:uiPriority w:val="99"/>
    <w:rsid w:val="00B52384"/>
    <w:rPr>
      <w:sz w:val="24"/>
      <w:szCs w:val="24"/>
    </w:rPr>
  </w:style>
  <w:style w:type="paragraph" w:styleId="CommentSubject">
    <w:name w:val="annotation subject"/>
    <w:basedOn w:val="CommentText"/>
    <w:next w:val="CommentText"/>
    <w:link w:val="CommentSubjectChar"/>
    <w:semiHidden/>
    <w:unhideWhenUsed/>
    <w:rsid w:val="006E161F"/>
    <w:pPr>
      <w:spacing w:after="0"/>
    </w:pPr>
    <w:rPr>
      <w:rFonts w:ascii="Times New Roman" w:eastAsia="Times New Roman" w:hAnsi="Times New Roman" w:cs="Times New Roman"/>
      <w:b/>
      <w:bCs/>
    </w:rPr>
  </w:style>
  <w:style w:type="character" w:customStyle="1" w:styleId="CommentSubjectChar">
    <w:name w:val="Comment Subject Char"/>
    <w:link w:val="CommentSubject"/>
    <w:semiHidden/>
    <w:rsid w:val="006E161F"/>
    <w:rPr>
      <w:rFonts w:ascii="Calibri" w:eastAsia="Calibri" w:hAnsi="Calibri" w:cs="Arial"/>
      <w:b/>
      <w:bCs/>
    </w:rPr>
  </w:style>
  <w:style w:type="paragraph" w:styleId="Revision">
    <w:name w:val="Revision"/>
    <w:hidden/>
    <w:uiPriority w:val="99"/>
    <w:semiHidden/>
    <w:rsid w:val="00561188"/>
    <w:rPr>
      <w:sz w:val="24"/>
      <w:szCs w:val="24"/>
    </w:rPr>
  </w:style>
  <w:style w:type="character" w:customStyle="1" w:styleId="markedcontent">
    <w:name w:val="markedcontent"/>
    <w:basedOn w:val="DefaultParagraphFont"/>
    <w:rsid w:val="00CD4DF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221288"/>
    <w:rPr>
      <w:sz w:val="24"/>
      <w:szCs w:val="24"/>
    </w:rPr>
  </w:style>
  <w:style w:type="paragraph" w:customStyle="1" w:styleId="mainex">
    <w:name w:val="mainex"/>
    <w:basedOn w:val="Normal"/>
    <w:rsid w:val="00EE1DAE"/>
    <w:pPr>
      <w:keepNext/>
      <w:jc w:val="center"/>
    </w:pPr>
    <w:rPr>
      <w:rFonts w:ascii="Helvetica" w:hAnsi="Helvetica"/>
      <w:b/>
      <w:spacing w:val="12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0093">
      <w:bodyDiv w:val="1"/>
      <w:marLeft w:val="0"/>
      <w:marRight w:val="0"/>
      <w:marTop w:val="0"/>
      <w:marBottom w:val="0"/>
      <w:divBdr>
        <w:top w:val="none" w:sz="0" w:space="0" w:color="auto"/>
        <w:left w:val="none" w:sz="0" w:space="0" w:color="auto"/>
        <w:bottom w:val="none" w:sz="0" w:space="0" w:color="auto"/>
        <w:right w:val="none" w:sz="0" w:space="0" w:color="auto"/>
      </w:divBdr>
      <w:divsChild>
        <w:div w:id="407504094">
          <w:marLeft w:val="0"/>
          <w:marRight w:val="0"/>
          <w:marTop w:val="0"/>
          <w:marBottom w:val="0"/>
          <w:divBdr>
            <w:top w:val="none" w:sz="0" w:space="0" w:color="auto"/>
            <w:left w:val="none" w:sz="0" w:space="0" w:color="auto"/>
            <w:bottom w:val="none" w:sz="0" w:space="0" w:color="auto"/>
            <w:right w:val="none" w:sz="0" w:space="0" w:color="auto"/>
          </w:divBdr>
        </w:div>
        <w:div w:id="530538735">
          <w:marLeft w:val="0"/>
          <w:marRight w:val="0"/>
          <w:marTop w:val="0"/>
          <w:marBottom w:val="0"/>
          <w:divBdr>
            <w:top w:val="none" w:sz="0" w:space="0" w:color="auto"/>
            <w:left w:val="none" w:sz="0" w:space="0" w:color="auto"/>
            <w:bottom w:val="none" w:sz="0" w:space="0" w:color="auto"/>
            <w:right w:val="none" w:sz="0" w:space="0" w:color="auto"/>
          </w:divBdr>
        </w:div>
        <w:div w:id="668872920">
          <w:marLeft w:val="0"/>
          <w:marRight w:val="0"/>
          <w:marTop w:val="0"/>
          <w:marBottom w:val="0"/>
          <w:divBdr>
            <w:top w:val="none" w:sz="0" w:space="0" w:color="auto"/>
            <w:left w:val="none" w:sz="0" w:space="0" w:color="auto"/>
            <w:bottom w:val="none" w:sz="0" w:space="0" w:color="auto"/>
            <w:right w:val="none" w:sz="0" w:space="0" w:color="auto"/>
          </w:divBdr>
        </w:div>
        <w:div w:id="1092356363">
          <w:marLeft w:val="0"/>
          <w:marRight w:val="0"/>
          <w:marTop w:val="0"/>
          <w:marBottom w:val="0"/>
          <w:divBdr>
            <w:top w:val="none" w:sz="0" w:space="0" w:color="auto"/>
            <w:left w:val="none" w:sz="0" w:space="0" w:color="auto"/>
            <w:bottom w:val="none" w:sz="0" w:space="0" w:color="auto"/>
            <w:right w:val="none" w:sz="0" w:space="0" w:color="auto"/>
          </w:divBdr>
        </w:div>
        <w:div w:id="1367679102">
          <w:marLeft w:val="0"/>
          <w:marRight w:val="0"/>
          <w:marTop w:val="0"/>
          <w:marBottom w:val="0"/>
          <w:divBdr>
            <w:top w:val="none" w:sz="0" w:space="0" w:color="auto"/>
            <w:left w:val="none" w:sz="0" w:space="0" w:color="auto"/>
            <w:bottom w:val="none" w:sz="0" w:space="0" w:color="auto"/>
            <w:right w:val="none" w:sz="0" w:space="0" w:color="auto"/>
          </w:divBdr>
        </w:div>
        <w:div w:id="1710644853">
          <w:marLeft w:val="0"/>
          <w:marRight w:val="0"/>
          <w:marTop w:val="0"/>
          <w:marBottom w:val="0"/>
          <w:divBdr>
            <w:top w:val="none" w:sz="0" w:space="0" w:color="auto"/>
            <w:left w:val="none" w:sz="0" w:space="0" w:color="auto"/>
            <w:bottom w:val="none" w:sz="0" w:space="0" w:color="auto"/>
            <w:right w:val="none" w:sz="0" w:space="0" w:color="auto"/>
          </w:divBdr>
        </w:div>
        <w:div w:id="1758088184">
          <w:marLeft w:val="0"/>
          <w:marRight w:val="0"/>
          <w:marTop w:val="0"/>
          <w:marBottom w:val="0"/>
          <w:divBdr>
            <w:top w:val="none" w:sz="0" w:space="0" w:color="auto"/>
            <w:left w:val="none" w:sz="0" w:space="0" w:color="auto"/>
            <w:bottom w:val="none" w:sz="0" w:space="0" w:color="auto"/>
            <w:right w:val="none" w:sz="0" w:space="0" w:color="auto"/>
          </w:divBdr>
        </w:div>
        <w:div w:id="1816490739">
          <w:marLeft w:val="0"/>
          <w:marRight w:val="0"/>
          <w:marTop w:val="0"/>
          <w:marBottom w:val="0"/>
          <w:divBdr>
            <w:top w:val="none" w:sz="0" w:space="0" w:color="auto"/>
            <w:left w:val="none" w:sz="0" w:space="0" w:color="auto"/>
            <w:bottom w:val="none" w:sz="0" w:space="0" w:color="auto"/>
            <w:right w:val="none" w:sz="0" w:space="0" w:color="auto"/>
          </w:divBdr>
        </w:div>
      </w:divsChild>
    </w:div>
    <w:div w:id="138228535">
      <w:bodyDiv w:val="1"/>
      <w:marLeft w:val="0"/>
      <w:marRight w:val="0"/>
      <w:marTop w:val="0"/>
      <w:marBottom w:val="0"/>
      <w:divBdr>
        <w:top w:val="none" w:sz="0" w:space="0" w:color="auto"/>
        <w:left w:val="none" w:sz="0" w:space="0" w:color="auto"/>
        <w:bottom w:val="none" w:sz="0" w:space="0" w:color="auto"/>
        <w:right w:val="none" w:sz="0" w:space="0" w:color="auto"/>
      </w:divBdr>
      <w:divsChild>
        <w:div w:id="136075831">
          <w:marLeft w:val="0"/>
          <w:marRight w:val="0"/>
          <w:marTop w:val="0"/>
          <w:marBottom w:val="0"/>
          <w:divBdr>
            <w:top w:val="none" w:sz="0" w:space="0" w:color="auto"/>
            <w:left w:val="none" w:sz="0" w:space="0" w:color="auto"/>
            <w:bottom w:val="none" w:sz="0" w:space="0" w:color="auto"/>
            <w:right w:val="none" w:sz="0" w:space="0" w:color="auto"/>
          </w:divBdr>
        </w:div>
        <w:div w:id="155266962">
          <w:marLeft w:val="0"/>
          <w:marRight w:val="0"/>
          <w:marTop w:val="0"/>
          <w:marBottom w:val="0"/>
          <w:divBdr>
            <w:top w:val="none" w:sz="0" w:space="0" w:color="auto"/>
            <w:left w:val="none" w:sz="0" w:space="0" w:color="auto"/>
            <w:bottom w:val="none" w:sz="0" w:space="0" w:color="auto"/>
            <w:right w:val="none" w:sz="0" w:space="0" w:color="auto"/>
          </w:divBdr>
        </w:div>
        <w:div w:id="1614049491">
          <w:marLeft w:val="0"/>
          <w:marRight w:val="0"/>
          <w:marTop w:val="0"/>
          <w:marBottom w:val="0"/>
          <w:divBdr>
            <w:top w:val="none" w:sz="0" w:space="0" w:color="auto"/>
            <w:left w:val="none" w:sz="0" w:space="0" w:color="auto"/>
            <w:bottom w:val="none" w:sz="0" w:space="0" w:color="auto"/>
            <w:right w:val="none" w:sz="0" w:space="0" w:color="auto"/>
          </w:divBdr>
        </w:div>
      </w:divsChild>
    </w:div>
    <w:div w:id="419640981">
      <w:bodyDiv w:val="1"/>
      <w:marLeft w:val="0"/>
      <w:marRight w:val="0"/>
      <w:marTop w:val="0"/>
      <w:marBottom w:val="0"/>
      <w:divBdr>
        <w:top w:val="none" w:sz="0" w:space="0" w:color="auto"/>
        <w:left w:val="none" w:sz="0" w:space="0" w:color="auto"/>
        <w:bottom w:val="none" w:sz="0" w:space="0" w:color="auto"/>
        <w:right w:val="none" w:sz="0" w:space="0" w:color="auto"/>
      </w:divBdr>
    </w:div>
    <w:div w:id="731198452">
      <w:bodyDiv w:val="1"/>
      <w:marLeft w:val="0"/>
      <w:marRight w:val="0"/>
      <w:marTop w:val="0"/>
      <w:marBottom w:val="0"/>
      <w:divBdr>
        <w:top w:val="none" w:sz="0" w:space="0" w:color="auto"/>
        <w:left w:val="none" w:sz="0" w:space="0" w:color="auto"/>
        <w:bottom w:val="none" w:sz="0" w:space="0" w:color="auto"/>
        <w:right w:val="none" w:sz="0" w:space="0" w:color="auto"/>
      </w:divBdr>
      <w:divsChild>
        <w:div w:id="303311532">
          <w:marLeft w:val="0"/>
          <w:marRight w:val="0"/>
          <w:marTop w:val="0"/>
          <w:marBottom w:val="0"/>
          <w:divBdr>
            <w:top w:val="none" w:sz="0" w:space="0" w:color="auto"/>
            <w:left w:val="none" w:sz="0" w:space="0" w:color="auto"/>
            <w:bottom w:val="none" w:sz="0" w:space="0" w:color="auto"/>
            <w:right w:val="none" w:sz="0" w:space="0" w:color="auto"/>
          </w:divBdr>
        </w:div>
        <w:div w:id="347100540">
          <w:marLeft w:val="0"/>
          <w:marRight w:val="0"/>
          <w:marTop w:val="0"/>
          <w:marBottom w:val="0"/>
          <w:divBdr>
            <w:top w:val="none" w:sz="0" w:space="0" w:color="auto"/>
            <w:left w:val="none" w:sz="0" w:space="0" w:color="auto"/>
            <w:bottom w:val="none" w:sz="0" w:space="0" w:color="auto"/>
            <w:right w:val="none" w:sz="0" w:space="0" w:color="auto"/>
          </w:divBdr>
        </w:div>
        <w:div w:id="437407983">
          <w:marLeft w:val="0"/>
          <w:marRight w:val="0"/>
          <w:marTop w:val="0"/>
          <w:marBottom w:val="0"/>
          <w:divBdr>
            <w:top w:val="none" w:sz="0" w:space="0" w:color="auto"/>
            <w:left w:val="none" w:sz="0" w:space="0" w:color="auto"/>
            <w:bottom w:val="none" w:sz="0" w:space="0" w:color="auto"/>
            <w:right w:val="none" w:sz="0" w:space="0" w:color="auto"/>
          </w:divBdr>
        </w:div>
        <w:div w:id="524246975">
          <w:marLeft w:val="0"/>
          <w:marRight w:val="0"/>
          <w:marTop w:val="0"/>
          <w:marBottom w:val="0"/>
          <w:divBdr>
            <w:top w:val="none" w:sz="0" w:space="0" w:color="auto"/>
            <w:left w:val="none" w:sz="0" w:space="0" w:color="auto"/>
            <w:bottom w:val="none" w:sz="0" w:space="0" w:color="auto"/>
            <w:right w:val="none" w:sz="0" w:space="0" w:color="auto"/>
          </w:divBdr>
        </w:div>
        <w:div w:id="795827974">
          <w:marLeft w:val="0"/>
          <w:marRight w:val="0"/>
          <w:marTop w:val="0"/>
          <w:marBottom w:val="0"/>
          <w:divBdr>
            <w:top w:val="none" w:sz="0" w:space="0" w:color="auto"/>
            <w:left w:val="none" w:sz="0" w:space="0" w:color="auto"/>
            <w:bottom w:val="none" w:sz="0" w:space="0" w:color="auto"/>
            <w:right w:val="none" w:sz="0" w:space="0" w:color="auto"/>
          </w:divBdr>
        </w:div>
        <w:div w:id="933788024">
          <w:marLeft w:val="0"/>
          <w:marRight w:val="0"/>
          <w:marTop w:val="0"/>
          <w:marBottom w:val="0"/>
          <w:divBdr>
            <w:top w:val="none" w:sz="0" w:space="0" w:color="auto"/>
            <w:left w:val="none" w:sz="0" w:space="0" w:color="auto"/>
            <w:bottom w:val="none" w:sz="0" w:space="0" w:color="auto"/>
            <w:right w:val="none" w:sz="0" w:space="0" w:color="auto"/>
          </w:divBdr>
        </w:div>
        <w:div w:id="1116756532">
          <w:marLeft w:val="0"/>
          <w:marRight w:val="0"/>
          <w:marTop w:val="0"/>
          <w:marBottom w:val="0"/>
          <w:divBdr>
            <w:top w:val="none" w:sz="0" w:space="0" w:color="auto"/>
            <w:left w:val="none" w:sz="0" w:space="0" w:color="auto"/>
            <w:bottom w:val="none" w:sz="0" w:space="0" w:color="auto"/>
            <w:right w:val="none" w:sz="0" w:space="0" w:color="auto"/>
          </w:divBdr>
          <w:divsChild>
            <w:div w:id="721367118">
              <w:marLeft w:val="0"/>
              <w:marRight w:val="0"/>
              <w:marTop w:val="30"/>
              <w:marBottom w:val="30"/>
              <w:divBdr>
                <w:top w:val="none" w:sz="0" w:space="0" w:color="auto"/>
                <w:left w:val="none" w:sz="0" w:space="0" w:color="auto"/>
                <w:bottom w:val="none" w:sz="0" w:space="0" w:color="auto"/>
                <w:right w:val="none" w:sz="0" w:space="0" w:color="auto"/>
              </w:divBdr>
              <w:divsChild>
                <w:div w:id="16659644">
                  <w:marLeft w:val="0"/>
                  <w:marRight w:val="0"/>
                  <w:marTop w:val="0"/>
                  <w:marBottom w:val="0"/>
                  <w:divBdr>
                    <w:top w:val="none" w:sz="0" w:space="0" w:color="auto"/>
                    <w:left w:val="none" w:sz="0" w:space="0" w:color="auto"/>
                    <w:bottom w:val="none" w:sz="0" w:space="0" w:color="auto"/>
                    <w:right w:val="none" w:sz="0" w:space="0" w:color="auto"/>
                  </w:divBdr>
                  <w:divsChild>
                    <w:div w:id="281887772">
                      <w:marLeft w:val="0"/>
                      <w:marRight w:val="0"/>
                      <w:marTop w:val="0"/>
                      <w:marBottom w:val="0"/>
                      <w:divBdr>
                        <w:top w:val="none" w:sz="0" w:space="0" w:color="auto"/>
                        <w:left w:val="none" w:sz="0" w:space="0" w:color="auto"/>
                        <w:bottom w:val="none" w:sz="0" w:space="0" w:color="auto"/>
                        <w:right w:val="none" w:sz="0" w:space="0" w:color="auto"/>
                      </w:divBdr>
                    </w:div>
                  </w:divsChild>
                </w:div>
                <w:div w:id="97873923">
                  <w:marLeft w:val="0"/>
                  <w:marRight w:val="0"/>
                  <w:marTop w:val="0"/>
                  <w:marBottom w:val="0"/>
                  <w:divBdr>
                    <w:top w:val="none" w:sz="0" w:space="0" w:color="auto"/>
                    <w:left w:val="none" w:sz="0" w:space="0" w:color="auto"/>
                    <w:bottom w:val="none" w:sz="0" w:space="0" w:color="auto"/>
                    <w:right w:val="none" w:sz="0" w:space="0" w:color="auto"/>
                  </w:divBdr>
                  <w:divsChild>
                    <w:div w:id="404647226">
                      <w:marLeft w:val="0"/>
                      <w:marRight w:val="0"/>
                      <w:marTop w:val="0"/>
                      <w:marBottom w:val="0"/>
                      <w:divBdr>
                        <w:top w:val="none" w:sz="0" w:space="0" w:color="auto"/>
                        <w:left w:val="none" w:sz="0" w:space="0" w:color="auto"/>
                        <w:bottom w:val="none" w:sz="0" w:space="0" w:color="auto"/>
                        <w:right w:val="none" w:sz="0" w:space="0" w:color="auto"/>
                      </w:divBdr>
                    </w:div>
                  </w:divsChild>
                </w:div>
                <w:div w:id="294603774">
                  <w:marLeft w:val="0"/>
                  <w:marRight w:val="0"/>
                  <w:marTop w:val="0"/>
                  <w:marBottom w:val="0"/>
                  <w:divBdr>
                    <w:top w:val="none" w:sz="0" w:space="0" w:color="auto"/>
                    <w:left w:val="none" w:sz="0" w:space="0" w:color="auto"/>
                    <w:bottom w:val="none" w:sz="0" w:space="0" w:color="auto"/>
                    <w:right w:val="none" w:sz="0" w:space="0" w:color="auto"/>
                  </w:divBdr>
                  <w:divsChild>
                    <w:div w:id="1028867734">
                      <w:marLeft w:val="0"/>
                      <w:marRight w:val="0"/>
                      <w:marTop w:val="0"/>
                      <w:marBottom w:val="0"/>
                      <w:divBdr>
                        <w:top w:val="none" w:sz="0" w:space="0" w:color="auto"/>
                        <w:left w:val="none" w:sz="0" w:space="0" w:color="auto"/>
                        <w:bottom w:val="none" w:sz="0" w:space="0" w:color="auto"/>
                        <w:right w:val="none" w:sz="0" w:space="0" w:color="auto"/>
                      </w:divBdr>
                    </w:div>
                  </w:divsChild>
                </w:div>
                <w:div w:id="701978763">
                  <w:marLeft w:val="0"/>
                  <w:marRight w:val="0"/>
                  <w:marTop w:val="0"/>
                  <w:marBottom w:val="0"/>
                  <w:divBdr>
                    <w:top w:val="none" w:sz="0" w:space="0" w:color="auto"/>
                    <w:left w:val="none" w:sz="0" w:space="0" w:color="auto"/>
                    <w:bottom w:val="none" w:sz="0" w:space="0" w:color="auto"/>
                    <w:right w:val="none" w:sz="0" w:space="0" w:color="auto"/>
                  </w:divBdr>
                  <w:divsChild>
                    <w:div w:id="1560048459">
                      <w:marLeft w:val="0"/>
                      <w:marRight w:val="0"/>
                      <w:marTop w:val="0"/>
                      <w:marBottom w:val="0"/>
                      <w:divBdr>
                        <w:top w:val="none" w:sz="0" w:space="0" w:color="auto"/>
                        <w:left w:val="none" w:sz="0" w:space="0" w:color="auto"/>
                        <w:bottom w:val="none" w:sz="0" w:space="0" w:color="auto"/>
                        <w:right w:val="none" w:sz="0" w:space="0" w:color="auto"/>
                      </w:divBdr>
                    </w:div>
                  </w:divsChild>
                </w:div>
                <w:div w:id="1101949376">
                  <w:marLeft w:val="0"/>
                  <w:marRight w:val="0"/>
                  <w:marTop w:val="0"/>
                  <w:marBottom w:val="0"/>
                  <w:divBdr>
                    <w:top w:val="none" w:sz="0" w:space="0" w:color="auto"/>
                    <w:left w:val="none" w:sz="0" w:space="0" w:color="auto"/>
                    <w:bottom w:val="none" w:sz="0" w:space="0" w:color="auto"/>
                    <w:right w:val="none" w:sz="0" w:space="0" w:color="auto"/>
                  </w:divBdr>
                  <w:divsChild>
                    <w:div w:id="1931694578">
                      <w:marLeft w:val="0"/>
                      <w:marRight w:val="0"/>
                      <w:marTop w:val="0"/>
                      <w:marBottom w:val="0"/>
                      <w:divBdr>
                        <w:top w:val="none" w:sz="0" w:space="0" w:color="auto"/>
                        <w:left w:val="none" w:sz="0" w:space="0" w:color="auto"/>
                        <w:bottom w:val="none" w:sz="0" w:space="0" w:color="auto"/>
                        <w:right w:val="none" w:sz="0" w:space="0" w:color="auto"/>
                      </w:divBdr>
                    </w:div>
                  </w:divsChild>
                </w:div>
                <w:div w:id="1328246648">
                  <w:marLeft w:val="0"/>
                  <w:marRight w:val="0"/>
                  <w:marTop w:val="0"/>
                  <w:marBottom w:val="0"/>
                  <w:divBdr>
                    <w:top w:val="none" w:sz="0" w:space="0" w:color="auto"/>
                    <w:left w:val="none" w:sz="0" w:space="0" w:color="auto"/>
                    <w:bottom w:val="none" w:sz="0" w:space="0" w:color="auto"/>
                    <w:right w:val="none" w:sz="0" w:space="0" w:color="auto"/>
                  </w:divBdr>
                  <w:divsChild>
                    <w:div w:id="1785224754">
                      <w:marLeft w:val="0"/>
                      <w:marRight w:val="0"/>
                      <w:marTop w:val="0"/>
                      <w:marBottom w:val="0"/>
                      <w:divBdr>
                        <w:top w:val="none" w:sz="0" w:space="0" w:color="auto"/>
                        <w:left w:val="none" w:sz="0" w:space="0" w:color="auto"/>
                        <w:bottom w:val="none" w:sz="0" w:space="0" w:color="auto"/>
                        <w:right w:val="none" w:sz="0" w:space="0" w:color="auto"/>
                      </w:divBdr>
                    </w:div>
                  </w:divsChild>
                </w:div>
                <w:div w:id="1671758851">
                  <w:marLeft w:val="0"/>
                  <w:marRight w:val="0"/>
                  <w:marTop w:val="0"/>
                  <w:marBottom w:val="0"/>
                  <w:divBdr>
                    <w:top w:val="none" w:sz="0" w:space="0" w:color="auto"/>
                    <w:left w:val="none" w:sz="0" w:space="0" w:color="auto"/>
                    <w:bottom w:val="none" w:sz="0" w:space="0" w:color="auto"/>
                    <w:right w:val="none" w:sz="0" w:space="0" w:color="auto"/>
                  </w:divBdr>
                  <w:divsChild>
                    <w:div w:id="1217817533">
                      <w:marLeft w:val="0"/>
                      <w:marRight w:val="0"/>
                      <w:marTop w:val="0"/>
                      <w:marBottom w:val="0"/>
                      <w:divBdr>
                        <w:top w:val="none" w:sz="0" w:space="0" w:color="auto"/>
                        <w:left w:val="none" w:sz="0" w:space="0" w:color="auto"/>
                        <w:bottom w:val="none" w:sz="0" w:space="0" w:color="auto"/>
                        <w:right w:val="none" w:sz="0" w:space="0" w:color="auto"/>
                      </w:divBdr>
                    </w:div>
                  </w:divsChild>
                </w:div>
                <w:div w:id="1953977591">
                  <w:marLeft w:val="0"/>
                  <w:marRight w:val="0"/>
                  <w:marTop w:val="0"/>
                  <w:marBottom w:val="0"/>
                  <w:divBdr>
                    <w:top w:val="none" w:sz="0" w:space="0" w:color="auto"/>
                    <w:left w:val="none" w:sz="0" w:space="0" w:color="auto"/>
                    <w:bottom w:val="none" w:sz="0" w:space="0" w:color="auto"/>
                    <w:right w:val="none" w:sz="0" w:space="0" w:color="auto"/>
                  </w:divBdr>
                  <w:divsChild>
                    <w:div w:id="742147523">
                      <w:marLeft w:val="0"/>
                      <w:marRight w:val="0"/>
                      <w:marTop w:val="0"/>
                      <w:marBottom w:val="0"/>
                      <w:divBdr>
                        <w:top w:val="none" w:sz="0" w:space="0" w:color="auto"/>
                        <w:left w:val="none" w:sz="0" w:space="0" w:color="auto"/>
                        <w:bottom w:val="none" w:sz="0" w:space="0" w:color="auto"/>
                        <w:right w:val="none" w:sz="0" w:space="0" w:color="auto"/>
                      </w:divBdr>
                    </w:div>
                  </w:divsChild>
                </w:div>
                <w:div w:id="2069641458">
                  <w:marLeft w:val="0"/>
                  <w:marRight w:val="0"/>
                  <w:marTop w:val="0"/>
                  <w:marBottom w:val="0"/>
                  <w:divBdr>
                    <w:top w:val="none" w:sz="0" w:space="0" w:color="auto"/>
                    <w:left w:val="none" w:sz="0" w:space="0" w:color="auto"/>
                    <w:bottom w:val="none" w:sz="0" w:space="0" w:color="auto"/>
                    <w:right w:val="none" w:sz="0" w:space="0" w:color="auto"/>
                  </w:divBdr>
                  <w:divsChild>
                    <w:div w:id="1873614255">
                      <w:marLeft w:val="0"/>
                      <w:marRight w:val="0"/>
                      <w:marTop w:val="0"/>
                      <w:marBottom w:val="0"/>
                      <w:divBdr>
                        <w:top w:val="none" w:sz="0" w:space="0" w:color="auto"/>
                        <w:left w:val="none" w:sz="0" w:space="0" w:color="auto"/>
                        <w:bottom w:val="none" w:sz="0" w:space="0" w:color="auto"/>
                        <w:right w:val="none" w:sz="0" w:space="0" w:color="auto"/>
                      </w:divBdr>
                    </w:div>
                  </w:divsChild>
                </w:div>
                <w:div w:id="2075080463">
                  <w:marLeft w:val="0"/>
                  <w:marRight w:val="0"/>
                  <w:marTop w:val="0"/>
                  <w:marBottom w:val="0"/>
                  <w:divBdr>
                    <w:top w:val="none" w:sz="0" w:space="0" w:color="auto"/>
                    <w:left w:val="none" w:sz="0" w:space="0" w:color="auto"/>
                    <w:bottom w:val="none" w:sz="0" w:space="0" w:color="auto"/>
                    <w:right w:val="none" w:sz="0" w:space="0" w:color="auto"/>
                  </w:divBdr>
                  <w:divsChild>
                    <w:div w:id="21187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10376">
          <w:marLeft w:val="0"/>
          <w:marRight w:val="0"/>
          <w:marTop w:val="0"/>
          <w:marBottom w:val="0"/>
          <w:divBdr>
            <w:top w:val="none" w:sz="0" w:space="0" w:color="auto"/>
            <w:left w:val="none" w:sz="0" w:space="0" w:color="auto"/>
            <w:bottom w:val="none" w:sz="0" w:space="0" w:color="auto"/>
            <w:right w:val="none" w:sz="0" w:space="0" w:color="auto"/>
          </w:divBdr>
        </w:div>
        <w:div w:id="1560170539">
          <w:marLeft w:val="0"/>
          <w:marRight w:val="0"/>
          <w:marTop w:val="0"/>
          <w:marBottom w:val="0"/>
          <w:divBdr>
            <w:top w:val="none" w:sz="0" w:space="0" w:color="auto"/>
            <w:left w:val="none" w:sz="0" w:space="0" w:color="auto"/>
            <w:bottom w:val="none" w:sz="0" w:space="0" w:color="auto"/>
            <w:right w:val="none" w:sz="0" w:space="0" w:color="auto"/>
          </w:divBdr>
        </w:div>
        <w:div w:id="2055277408">
          <w:marLeft w:val="0"/>
          <w:marRight w:val="0"/>
          <w:marTop w:val="0"/>
          <w:marBottom w:val="0"/>
          <w:divBdr>
            <w:top w:val="none" w:sz="0" w:space="0" w:color="auto"/>
            <w:left w:val="none" w:sz="0" w:space="0" w:color="auto"/>
            <w:bottom w:val="none" w:sz="0" w:space="0" w:color="auto"/>
            <w:right w:val="none" w:sz="0" w:space="0" w:color="auto"/>
          </w:divBdr>
        </w:div>
        <w:div w:id="2060203522">
          <w:marLeft w:val="0"/>
          <w:marRight w:val="0"/>
          <w:marTop w:val="0"/>
          <w:marBottom w:val="0"/>
          <w:divBdr>
            <w:top w:val="none" w:sz="0" w:space="0" w:color="auto"/>
            <w:left w:val="none" w:sz="0" w:space="0" w:color="auto"/>
            <w:bottom w:val="none" w:sz="0" w:space="0" w:color="auto"/>
            <w:right w:val="none" w:sz="0" w:space="0" w:color="auto"/>
          </w:divBdr>
        </w:div>
        <w:div w:id="2140217381">
          <w:marLeft w:val="0"/>
          <w:marRight w:val="0"/>
          <w:marTop w:val="0"/>
          <w:marBottom w:val="0"/>
          <w:divBdr>
            <w:top w:val="none" w:sz="0" w:space="0" w:color="auto"/>
            <w:left w:val="none" w:sz="0" w:space="0" w:color="auto"/>
            <w:bottom w:val="none" w:sz="0" w:space="0" w:color="auto"/>
            <w:right w:val="none" w:sz="0" w:space="0" w:color="auto"/>
          </w:divBdr>
        </w:div>
      </w:divsChild>
    </w:div>
    <w:div w:id="996419042">
      <w:bodyDiv w:val="1"/>
      <w:marLeft w:val="0"/>
      <w:marRight w:val="0"/>
      <w:marTop w:val="0"/>
      <w:marBottom w:val="0"/>
      <w:divBdr>
        <w:top w:val="none" w:sz="0" w:space="0" w:color="auto"/>
        <w:left w:val="none" w:sz="0" w:space="0" w:color="auto"/>
        <w:bottom w:val="none" w:sz="0" w:space="0" w:color="auto"/>
        <w:right w:val="none" w:sz="0" w:space="0" w:color="auto"/>
      </w:divBdr>
      <w:divsChild>
        <w:div w:id="492797548">
          <w:marLeft w:val="0"/>
          <w:marRight w:val="0"/>
          <w:marTop w:val="0"/>
          <w:marBottom w:val="0"/>
          <w:divBdr>
            <w:top w:val="none" w:sz="0" w:space="0" w:color="auto"/>
            <w:left w:val="none" w:sz="0" w:space="0" w:color="auto"/>
            <w:bottom w:val="none" w:sz="0" w:space="0" w:color="auto"/>
            <w:right w:val="none" w:sz="0" w:space="0" w:color="auto"/>
          </w:divBdr>
        </w:div>
        <w:div w:id="549809880">
          <w:marLeft w:val="0"/>
          <w:marRight w:val="0"/>
          <w:marTop w:val="0"/>
          <w:marBottom w:val="0"/>
          <w:divBdr>
            <w:top w:val="none" w:sz="0" w:space="0" w:color="auto"/>
            <w:left w:val="none" w:sz="0" w:space="0" w:color="auto"/>
            <w:bottom w:val="none" w:sz="0" w:space="0" w:color="auto"/>
            <w:right w:val="none" w:sz="0" w:space="0" w:color="auto"/>
          </w:divBdr>
        </w:div>
        <w:div w:id="553126578">
          <w:marLeft w:val="0"/>
          <w:marRight w:val="0"/>
          <w:marTop w:val="0"/>
          <w:marBottom w:val="0"/>
          <w:divBdr>
            <w:top w:val="none" w:sz="0" w:space="0" w:color="auto"/>
            <w:left w:val="none" w:sz="0" w:space="0" w:color="auto"/>
            <w:bottom w:val="none" w:sz="0" w:space="0" w:color="auto"/>
            <w:right w:val="none" w:sz="0" w:space="0" w:color="auto"/>
          </w:divBdr>
        </w:div>
        <w:div w:id="800224573">
          <w:marLeft w:val="0"/>
          <w:marRight w:val="0"/>
          <w:marTop w:val="0"/>
          <w:marBottom w:val="0"/>
          <w:divBdr>
            <w:top w:val="none" w:sz="0" w:space="0" w:color="auto"/>
            <w:left w:val="none" w:sz="0" w:space="0" w:color="auto"/>
            <w:bottom w:val="none" w:sz="0" w:space="0" w:color="auto"/>
            <w:right w:val="none" w:sz="0" w:space="0" w:color="auto"/>
          </w:divBdr>
        </w:div>
        <w:div w:id="874463103">
          <w:marLeft w:val="0"/>
          <w:marRight w:val="0"/>
          <w:marTop w:val="0"/>
          <w:marBottom w:val="0"/>
          <w:divBdr>
            <w:top w:val="none" w:sz="0" w:space="0" w:color="auto"/>
            <w:left w:val="none" w:sz="0" w:space="0" w:color="auto"/>
            <w:bottom w:val="none" w:sz="0" w:space="0" w:color="auto"/>
            <w:right w:val="none" w:sz="0" w:space="0" w:color="auto"/>
          </w:divBdr>
        </w:div>
        <w:div w:id="1108432681">
          <w:marLeft w:val="0"/>
          <w:marRight w:val="0"/>
          <w:marTop w:val="0"/>
          <w:marBottom w:val="0"/>
          <w:divBdr>
            <w:top w:val="none" w:sz="0" w:space="0" w:color="auto"/>
            <w:left w:val="none" w:sz="0" w:space="0" w:color="auto"/>
            <w:bottom w:val="none" w:sz="0" w:space="0" w:color="auto"/>
            <w:right w:val="none" w:sz="0" w:space="0" w:color="auto"/>
          </w:divBdr>
        </w:div>
        <w:div w:id="1281108239">
          <w:marLeft w:val="0"/>
          <w:marRight w:val="0"/>
          <w:marTop w:val="0"/>
          <w:marBottom w:val="0"/>
          <w:divBdr>
            <w:top w:val="none" w:sz="0" w:space="0" w:color="auto"/>
            <w:left w:val="none" w:sz="0" w:space="0" w:color="auto"/>
            <w:bottom w:val="none" w:sz="0" w:space="0" w:color="auto"/>
            <w:right w:val="none" w:sz="0" w:space="0" w:color="auto"/>
          </w:divBdr>
        </w:div>
        <w:div w:id="1395547095">
          <w:marLeft w:val="0"/>
          <w:marRight w:val="0"/>
          <w:marTop w:val="0"/>
          <w:marBottom w:val="0"/>
          <w:divBdr>
            <w:top w:val="none" w:sz="0" w:space="0" w:color="auto"/>
            <w:left w:val="none" w:sz="0" w:space="0" w:color="auto"/>
            <w:bottom w:val="none" w:sz="0" w:space="0" w:color="auto"/>
            <w:right w:val="none" w:sz="0" w:space="0" w:color="auto"/>
          </w:divBdr>
        </w:div>
        <w:div w:id="1417938695">
          <w:marLeft w:val="0"/>
          <w:marRight w:val="0"/>
          <w:marTop w:val="0"/>
          <w:marBottom w:val="0"/>
          <w:divBdr>
            <w:top w:val="none" w:sz="0" w:space="0" w:color="auto"/>
            <w:left w:val="none" w:sz="0" w:space="0" w:color="auto"/>
            <w:bottom w:val="none" w:sz="0" w:space="0" w:color="auto"/>
            <w:right w:val="none" w:sz="0" w:space="0" w:color="auto"/>
          </w:divBdr>
        </w:div>
        <w:div w:id="1561019467">
          <w:marLeft w:val="0"/>
          <w:marRight w:val="0"/>
          <w:marTop w:val="0"/>
          <w:marBottom w:val="0"/>
          <w:divBdr>
            <w:top w:val="none" w:sz="0" w:space="0" w:color="auto"/>
            <w:left w:val="none" w:sz="0" w:space="0" w:color="auto"/>
            <w:bottom w:val="none" w:sz="0" w:space="0" w:color="auto"/>
            <w:right w:val="none" w:sz="0" w:space="0" w:color="auto"/>
          </w:divBdr>
        </w:div>
        <w:div w:id="1802072240">
          <w:marLeft w:val="0"/>
          <w:marRight w:val="0"/>
          <w:marTop w:val="0"/>
          <w:marBottom w:val="0"/>
          <w:divBdr>
            <w:top w:val="none" w:sz="0" w:space="0" w:color="auto"/>
            <w:left w:val="none" w:sz="0" w:space="0" w:color="auto"/>
            <w:bottom w:val="none" w:sz="0" w:space="0" w:color="auto"/>
            <w:right w:val="none" w:sz="0" w:space="0" w:color="auto"/>
          </w:divBdr>
          <w:divsChild>
            <w:div w:id="1452240456">
              <w:marLeft w:val="0"/>
              <w:marRight w:val="0"/>
              <w:marTop w:val="30"/>
              <w:marBottom w:val="30"/>
              <w:divBdr>
                <w:top w:val="none" w:sz="0" w:space="0" w:color="auto"/>
                <w:left w:val="none" w:sz="0" w:space="0" w:color="auto"/>
                <w:bottom w:val="none" w:sz="0" w:space="0" w:color="auto"/>
                <w:right w:val="none" w:sz="0" w:space="0" w:color="auto"/>
              </w:divBdr>
              <w:divsChild>
                <w:div w:id="31004539">
                  <w:marLeft w:val="0"/>
                  <w:marRight w:val="0"/>
                  <w:marTop w:val="0"/>
                  <w:marBottom w:val="0"/>
                  <w:divBdr>
                    <w:top w:val="none" w:sz="0" w:space="0" w:color="auto"/>
                    <w:left w:val="none" w:sz="0" w:space="0" w:color="auto"/>
                    <w:bottom w:val="none" w:sz="0" w:space="0" w:color="auto"/>
                    <w:right w:val="none" w:sz="0" w:space="0" w:color="auto"/>
                  </w:divBdr>
                  <w:divsChild>
                    <w:div w:id="356732246">
                      <w:marLeft w:val="0"/>
                      <w:marRight w:val="0"/>
                      <w:marTop w:val="0"/>
                      <w:marBottom w:val="0"/>
                      <w:divBdr>
                        <w:top w:val="none" w:sz="0" w:space="0" w:color="auto"/>
                        <w:left w:val="none" w:sz="0" w:space="0" w:color="auto"/>
                        <w:bottom w:val="none" w:sz="0" w:space="0" w:color="auto"/>
                        <w:right w:val="none" w:sz="0" w:space="0" w:color="auto"/>
                      </w:divBdr>
                    </w:div>
                  </w:divsChild>
                </w:div>
                <w:div w:id="72818760">
                  <w:marLeft w:val="0"/>
                  <w:marRight w:val="0"/>
                  <w:marTop w:val="0"/>
                  <w:marBottom w:val="0"/>
                  <w:divBdr>
                    <w:top w:val="none" w:sz="0" w:space="0" w:color="auto"/>
                    <w:left w:val="none" w:sz="0" w:space="0" w:color="auto"/>
                    <w:bottom w:val="none" w:sz="0" w:space="0" w:color="auto"/>
                    <w:right w:val="none" w:sz="0" w:space="0" w:color="auto"/>
                  </w:divBdr>
                  <w:divsChild>
                    <w:div w:id="1916545110">
                      <w:marLeft w:val="0"/>
                      <w:marRight w:val="0"/>
                      <w:marTop w:val="0"/>
                      <w:marBottom w:val="0"/>
                      <w:divBdr>
                        <w:top w:val="none" w:sz="0" w:space="0" w:color="auto"/>
                        <w:left w:val="none" w:sz="0" w:space="0" w:color="auto"/>
                        <w:bottom w:val="none" w:sz="0" w:space="0" w:color="auto"/>
                        <w:right w:val="none" w:sz="0" w:space="0" w:color="auto"/>
                      </w:divBdr>
                    </w:div>
                  </w:divsChild>
                </w:div>
                <w:div w:id="185290620">
                  <w:marLeft w:val="0"/>
                  <w:marRight w:val="0"/>
                  <w:marTop w:val="0"/>
                  <w:marBottom w:val="0"/>
                  <w:divBdr>
                    <w:top w:val="none" w:sz="0" w:space="0" w:color="auto"/>
                    <w:left w:val="none" w:sz="0" w:space="0" w:color="auto"/>
                    <w:bottom w:val="none" w:sz="0" w:space="0" w:color="auto"/>
                    <w:right w:val="none" w:sz="0" w:space="0" w:color="auto"/>
                  </w:divBdr>
                  <w:divsChild>
                    <w:div w:id="1972396449">
                      <w:marLeft w:val="0"/>
                      <w:marRight w:val="0"/>
                      <w:marTop w:val="0"/>
                      <w:marBottom w:val="0"/>
                      <w:divBdr>
                        <w:top w:val="none" w:sz="0" w:space="0" w:color="auto"/>
                        <w:left w:val="none" w:sz="0" w:space="0" w:color="auto"/>
                        <w:bottom w:val="none" w:sz="0" w:space="0" w:color="auto"/>
                        <w:right w:val="none" w:sz="0" w:space="0" w:color="auto"/>
                      </w:divBdr>
                    </w:div>
                  </w:divsChild>
                </w:div>
                <w:div w:id="327752475">
                  <w:marLeft w:val="0"/>
                  <w:marRight w:val="0"/>
                  <w:marTop w:val="0"/>
                  <w:marBottom w:val="0"/>
                  <w:divBdr>
                    <w:top w:val="none" w:sz="0" w:space="0" w:color="auto"/>
                    <w:left w:val="none" w:sz="0" w:space="0" w:color="auto"/>
                    <w:bottom w:val="none" w:sz="0" w:space="0" w:color="auto"/>
                    <w:right w:val="none" w:sz="0" w:space="0" w:color="auto"/>
                  </w:divBdr>
                  <w:divsChild>
                    <w:div w:id="271983042">
                      <w:marLeft w:val="0"/>
                      <w:marRight w:val="0"/>
                      <w:marTop w:val="0"/>
                      <w:marBottom w:val="0"/>
                      <w:divBdr>
                        <w:top w:val="none" w:sz="0" w:space="0" w:color="auto"/>
                        <w:left w:val="none" w:sz="0" w:space="0" w:color="auto"/>
                        <w:bottom w:val="none" w:sz="0" w:space="0" w:color="auto"/>
                        <w:right w:val="none" w:sz="0" w:space="0" w:color="auto"/>
                      </w:divBdr>
                    </w:div>
                  </w:divsChild>
                </w:div>
                <w:div w:id="342708100">
                  <w:marLeft w:val="0"/>
                  <w:marRight w:val="0"/>
                  <w:marTop w:val="0"/>
                  <w:marBottom w:val="0"/>
                  <w:divBdr>
                    <w:top w:val="none" w:sz="0" w:space="0" w:color="auto"/>
                    <w:left w:val="none" w:sz="0" w:space="0" w:color="auto"/>
                    <w:bottom w:val="none" w:sz="0" w:space="0" w:color="auto"/>
                    <w:right w:val="none" w:sz="0" w:space="0" w:color="auto"/>
                  </w:divBdr>
                  <w:divsChild>
                    <w:div w:id="1763409919">
                      <w:marLeft w:val="0"/>
                      <w:marRight w:val="0"/>
                      <w:marTop w:val="0"/>
                      <w:marBottom w:val="0"/>
                      <w:divBdr>
                        <w:top w:val="none" w:sz="0" w:space="0" w:color="auto"/>
                        <w:left w:val="none" w:sz="0" w:space="0" w:color="auto"/>
                        <w:bottom w:val="none" w:sz="0" w:space="0" w:color="auto"/>
                        <w:right w:val="none" w:sz="0" w:space="0" w:color="auto"/>
                      </w:divBdr>
                    </w:div>
                  </w:divsChild>
                </w:div>
                <w:div w:id="361903792">
                  <w:marLeft w:val="0"/>
                  <w:marRight w:val="0"/>
                  <w:marTop w:val="0"/>
                  <w:marBottom w:val="0"/>
                  <w:divBdr>
                    <w:top w:val="none" w:sz="0" w:space="0" w:color="auto"/>
                    <w:left w:val="none" w:sz="0" w:space="0" w:color="auto"/>
                    <w:bottom w:val="none" w:sz="0" w:space="0" w:color="auto"/>
                    <w:right w:val="none" w:sz="0" w:space="0" w:color="auto"/>
                  </w:divBdr>
                  <w:divsChild>
                    <w:div w:id="1224676330">
                      <w:marLeft w:val="0"/>
                      <w:marRight w:val="0"/>
                      <w:marTop w:val="0"/>
                      <w:marBottom w:val="0"/>
                      <w:divBdr>
                        <w:top w:val="none" w:sz="0" w:space="0" w:color="auto"/>
                        <w:left w:val="none" w:sz="0" w:space="0" w:color="auto"/>
                        <w:bottom w:val="none" w:sz="0" w:space="0" w:color="auto"/>
                        <w:right w:val="none" w:sz="0" w:space="0" w:color="auto"/>
                      </w:divBdr>
                    </w:div>
                  </w:divsChild>
                </w:div>
                <w:div w:id="493568919">
                  <w:marLeft w:val="0"/>
                  <w:marRight w:val="0"/>
                  <w:marTop w:val="0"/>
                  <w:marBottom w:val="0"/>
                  <w:divBdr>
                    <w:top w:val="none" w:sz="0" w:space="0" w:color="auto"/>
                    <w:left w:val="none" w:sz="0" w:space="0" w:color="auto"/>
                    <w:bottom w:val="none" w:sz="0" w:space="0" w:color="auto"/>
                    <w:right w:val="none" w:sz="0" w:space="0" w:color="auto"/>
                  </w:divBdr>
                  <w:divsChild>
                    <w:div w:id="2130784280">
                      <w:marLeft w:val="0"/>
                      <w:marRight w:val="0"/>
                      <w:marTop w:val="0"/>
                      <w:marBottom w:val="0"/>
                      <w:divBdr>
                        <w:top w:val="none" w:sz="0" w:space="0" w:color="auto"/>
                        <w:left w:val="none" w:sz="0" w:space="0" w:color="auto"/>
                        <w:bottom w:val="none" w:sz="0" w:space="0" w:color="auto"/>
                        <w:right w:val="none" w:sz="0" w:space="0" w:color="auto"/>
                      </w:divBdr>
                    </w:div>
                  </w:divsChild>
                </w:div>
                <w:div w:id="1001664995">
                  <w:marLeft w:val="0"/>
                  <w:marRight w:val="0"/>
                  <w:marTop w:val="0"/>
                  <w:marBottom w:val="0"/>
                  <w:divBdr>
                    <w:top w:val="none" w:sz="0" w:space="0" w:color="auto"/>
                    <w:left w:val="none" w:sz="0" w:space="0" w:color="auto"/>
                    <w:bottom w:val="none" w:sz="0" w:space="0" w:color="auto"/>
                    <w:right w:val="none" w:sz="0" w:space="0" w:color="auto"/>
                  </w:divBdr>
                  <w:divsChild>
                    <w:div w:id="492991898">
                      <w:marLeft w:val="0"/>
                      <w:marRight w:val="0"/>
                      <w:marTop w:val="0"/>
                      <w:marBottom w:val="0"/>
                      <w:divBdr>
                        <w:top w:val="none" w:sz="0" w:space="0" w:color="auto"/>
                        <w:left w:val="none" w:sz="0" w:space="0" w:color="auto"/>
                        <w:bottom w:val="none" w:sz="0" w:space="0" w:color="auto"/>
                        <w:right w:val="none" w:sz="0" w:space="0" w:color="auto"/>
                      </w:divBdr>
                    </w:div>
                  </w:divsChild>
                </w:div>
                <w:div w:id="1169909267">
                  <w:marLeft w:val="0"/>
                  <w:marRight w:val="0"/>
                  <w:marTop w:val="0"/>
                  <w:marBottom w:val="0"/>
                  <w:divBdr>
                    <w:top w:val="none" w:sz="0" w:space="0" w:color="auto"/>
                    <w:left w:val="none" w:sz="0" w:space="0" w:color="auto"/>
                    <w:bottom w:val="none" w:sz="0" w:space="0" w:color="auto"/>
                    <w:right w:val="none" w:sz="0" w:space="0" w:color="auto"/>
                  </w:divBdr>
                  <w:divsChild>
                    <w:div w:id="1878591066">
                      <w:marLeft w:val="0"/>
                      <w:marRight w:val="0"/>
                      <w:marTop w:val="0"/>
                      <w:marBottom w:val="0"/>
                      <w:divBdr>
                        <w:top w:val="none" w:sz="0" w:space="0" w:color="auto"/>
                        <w:left w:val="none" w:sz="0" w:space="0" w:color="auto"/>
                        <w:bottom w:val="none" w:sz="0" w:space="0" w:color="auto"/>
                        <w:right w:val="none" w:sz="0" w:space="0" w:color="auto"/>
                      </w:divBdr>
                    </w:div>
                  </w:divsChild>
                </w:div>
                <w:div w:id="1484929474">
                  <w:marLeft w:val="0"/>
                  <w:marRight w:val="0"/>
                  <w:marTop w:val="0"/>
                  <w:marBottom w:val="0"/>
                  <w:divBdr>
                    <w:top w:val="none" w:sz="0" w:space="0" w:color="auto"/>
                    <w:left w:val="none" w:sz="0" w:space="0" w:color="auto"/>
                    <w:bottom w:val="none" w:sz="0" w:space="0" w:color="auto"/>
                    <w:right w:val="none" w:sz="0" w:space="0" w:color="auto"/>
                  </w:divBdr>
                  <w:divsChild>
                    <w:div w:id="15843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048408">
          <w:marLeft w:val="0"/>
          <w:marRight w:val="0"/>
          <w:marTop w:val="0"/>
          <w:marBottom w:val="0"/>
          <w:divBdr>
            <w:top w:val="none" w:sz="0" w:space="0" w:color="auto"/>
            <w:left w:val="none" w:sz="0" w:space="0" w:color="auto"/>
            <w:bottom w:val="none" w:sz="0" w:space="0" w:color="auto"/>
            <w:right w:val="none" w:sz="0" w:space="0" w:color="auto"/>
          </w:divBdr>
        </w:div>
      </w:divsChild>
    </w:div>
    <w:div w:id="1203133126">
      <w:bodyDiv w:val="1"/>
      <w:marLeft w:val="0"/>
      <w:marRight w:val="0"/>
      <w:marTop w:val="0"/>
      <w:marBottom w:val="0"/>
      <w:divBdr>
        <w:top w:val="none" w:sz="0" w:space="0" w:color="auto"/>
        <w:left w:val="none" w:sz="0" w:space="0" w:color="auto"/>
        <w:bottom w:val="none" w:sz="0" w:space="0" w:color="auto"/>
        <w:right w:val="none" w:sz="0" w:space="0" w:color="auto"/>
      </w:divBdr>
    </w:div>
    <w:div w:id="1230115716">
      <w:bodyDiv w:val="1"/>
      <w:marLeft w:val="0"/>
      <w:marRight w:val="0"/>
      <w:marTop w:val="0"/>
      <w:marBottom w:val="0"/>
      <w:divBdr>
        <w:top w:val="none" w:sz="0" w:space="0" w:color="auto"/>
        <w:left w:val="none" w:sz="0" w:space="0" w:color="auto"/>
        <w:bottom w:val="none" w:sz="0" w:space="0" w:color="auto"/>
        <w:right w:val="none" w:sz="0" w:space="0" w:color="auto"/>
      </w:divBdr>
      <w:divsChild>
        <w:div w:id="166869471">
          <w:marLeft w:val="0"/>
          <w:marRight w:val="0"/>
          <w:marTop w:val="0"/>
          <w:marBottom w:val="0"/>
          <w:divBdr>
            <w:top w:val="none" w:sz="0" w:space="0" w:color="auto"/>
            <w:left w:val="none" w:sz="0" w:space="0" w:color="auto"/>
            <w:bottom w:val="none" w:sz="0" w:space="0" w:color="auto"/>
            <w:right w:val="none" w:sz="0" w:space="0" w:color="auto"/>
          </w:divBdr>
        </w:div>
        <w:div w:id="403837591">
          <w:marLeft w:val="0"/>
          <w:marRight w:val="0"/>
          <w:marTop w:val="0"/>
          <w:marBottom w:val="0"/>
          <w:divBdr>
            <w:top w:val="none" w:sz="0" w:space="0" w:color="auto"/>
            <w:left w:val="none" w:sz="0" w:space="0" w:color="auto"/>
            <w:bottom w:val="none" w:sz="0" w:space="0" w:color="auto"/>
            <w:right w:val="none" w:sz="0" w:space="0" w:color="auto"/>
          </w:divBdr>
        </w:div>
        <w:div w:id="1005743432">
          <w:marLeft w:val="0"/>
          <w:marRight w:val="0"/>
          <w:marTop w:val="0"/>
          <w:marBottom w:val="0"/>
          <w:divBdr>
            <w:top w:val="none" w:sz="0" w:space="0" w:color="auto"/>
            <w:left w:val="none" w:sz="0" w:space="0" w:color="auto"/>
            <w:bottom w:val="none" w:sz="0" w:space="0" w:color="auto"/>
            <w:right w:val="none" w:sz="0" w:space="0" w:color="auto"/>
          </w:divBdr>
        </w:div>
        <w:div w:id="1076434422">
          <w:marLeft w:val="0"/>
          <w:marRight w:val="0"/>
          <w:marTop w:val="0"/>
          <w:marBottom w:val="0"/>
          <w:divBdr>
            <w:top w:val="none" w:sz="0" w:space="0" w:color="auto"/>
            <w:left w:val="none" w:sz="0" w:space="0" w:color="auto"/>
            <w:bottom w:val="none" w:sz="0" w:space="0" w:color="auto"/>
            <w:right w:val="none" w:sz="0" w:space="0" w:color="auto"/>
          </w:divBdr>
        </w:div>
        <w:div w:id="1170482045">
          <w:marLeft w:val="0"/>
          <w:marRight w:val="0"/>
          <w:marTop w:val="0"/>
          <w:marBottom w:val="0"/>
          <w:divBdr>
            <w:top w:val="none" w:sz="0" w:space="0" w:color="auto"/>
            <w:left w:val="none" w:sz="0" w:space="0" w:color="auto"/>
            <w:bottom w:val="none" w:sz="0" w:space="0" w:color="auto"/>
            <w:right w:val="none" w:sz="0" w:space="0" w:color="auto"/>
          </w:divBdr>
        </w:div>
        <w:div w:id="1206064245">
          <w:marLeft w:val="0"/>
          <w:marRight w:val="0"/>
          <w:marTop w:val="0"/>
          <w:marBottom w:val="0"/>
          <w:divBdr>
            <w:top w:val="none" w:sz="0" w:space="0" w:color="auto"/>
            <w:left w:val="none" w:sz="0" w:space="0" w:color="auto"/>
            <w:bottom w:val="none" w:sz="0" w:space="0" w:color="auto"/>
            <w:right w:val="none" w:sz="0" w:space="0" w:color="auto"/>
          </w:divBdr>
        </w:div>
        <w:div w:id="1797724050">
          <w:marLeft w:val="0"/>
          <w:marRight w:val="0"/>
          <w:marTop w:val="0"/>
          <w:marBottom w:val="0"/>
          <w:divBdr>
            <w:top w:val="none" w:sz="0" w:space="0" w:color="auto"/>
            <w:left w:val="none" w:sz="0" w:space="0" w:color="auto"/>
            <w:bottom w:val="none" w:sz="0" w:space="0" w:color="auto"/>
            <w:right w:val="none" w:sz="0" w:space="0" w:color="auto"/>
          </w:divBdr>
        </w:div>
        <w:div w:id="2039432856">
          <w:marLeft w:val="0"/>
          <w:marRight w:val="0"/>
          <w:marTop w:val="0"/>
          <w:marBottom w:val="0"/>
          <w:divBdr>
            <w:top w:val="none" w:sz="0" w:space="0" w:color="auto"/>
            <w:left w:val="none" w:sz="0" w:space="0" w:color="auto"/>
            <w:bottom w:val="none" w:sz="0" w:space="0" w:color="auto"/>
            <w:right w:val="none" w:sz="0" w:space="0" w:color="auto"/>
          </w:divBdr>
        </w:div>
      </w:divsChild>
    </w:div>
    <w:div w:id="1411151046">
      <w:bodyDiv w:val="1"/>
      <w:marLeft w:val="0"/>
      <w:marRight w:val="0"/>
      <w:marTop w:val="0"/>
      <w:marBottom w:val="0"/>
      <w:divBdr>
        <w:top w:val="none" w:sz="0" w:space="0" w:color="auto"/>
        <w:left w:val="none" w:sz="0" w:space="0" w:color="auto"/>
        <w:bottom w:val="none" w:sz="0" w:space="0" w:color="auto"/>
        <w:right w:val="none" w:sz="0" w:space="0" w:color="auto"/>
      </w:divBdr>
      <w:divsChild>
        <w:div w:id="175466076">
          <w:marLeft w:val="0"/>
          <w:marRight w:val="0"/>
          <w:marTop w:val="0"/>
          <w:marBottom w:val="0"/>
          <w:divBdr>
            <w:top w:val="none" w:sz="0" w:space="0" w:color="auto"/>
            <w:left w:val="none" w:sz="0" w:space="0" w:color="auto"/>
            <w:bottom w:val="none" w:sz="0" w:space="0" w:color="auto"/>
            <w:right w:val="none" w:sz="0" w:space="0" w:color="auto"/>
          </w:divBdr>
        </w:div>
        <w:div w:id="792484015">
          <w:marLeft w:val="0"/>
          <w:marRight w:val="0"/>
          <w:marTop w:val="0"/>
          <w:marBottom w:val="0"/>
          <w:divBdr>
            <w:top w:val="none" w:sz="0" w:space="0" w:color="auto"/>
            <w:left w:val="none" w:sz="0" w:space="0" w:color="auto"/>
            <w:bottom w:val="none" w:sz="0" w:space="0" w:color="auto"/>
            <w:right w:val="none" w:sz="0" w:space="0" w:color="auto"/>
          </w:divBdr>
        </w:div>
        <w:div w:id="1051032011">
          <w:marLeft w:val="0"/>
          <w:marRight w:val="0"/>
          <w:marTop w:val="0"/>
          <w:marBottom w:val="0"/>
          <w:divBdr>
            <w:top w:val="none" w:sz="0" w:space="0" w:color="auto"/>
            <w:left w:val="none" w:sz="0" w:space="0" w:color="auto"/>
            <w:bottom w:val="none" w:sz="0" w:space="0" w:color="auto"/>
            <w:right w:val="none" w:sz="0" w:space="0" w:color="auto"/>
          </w:divBdr>
        </w:div>
        <w:div w:id="1158421824">
          <w:marLeft w:val="0"/>
          <w:marRight w:val="0"/>
          <w:marTop w:val="0"/>
          <w:marBottom w:val="0"/>
          <w:divBdr>
            <w:top w:val="none" w:sz="0" w:space="0" w:color="auto"/>
            <w:left w:val="none" w:sz="0" w:space="0" w:color="auto"/>
            <w:bottom w:val="none" w:sz="0" w:space="0" w:color="auto"/>
            <w:right w:val="none" w:sz="0" w:space="0" w:color="auto"/>
          </w:divBdr>
        </w:div>
        <w:div w:id="1905531067">
          <w:marLeft w:val="0"/>
          <w:marRight w:val="0"/>
          <w:marTop w:val="0"/>
          <w:marBottom w:val="0"/>
          <w:divBdr>
            <w:top w:val="none" w:sz="0" w:space="0" w:color="auto"/>
            <w:left w:val="none" w:sz="0" w:space="0" w:color="auto"/>
            <w:bottom w:val="none" w:sz="0" w:space="0" w:color="auto"/>
            <w:right w:val="none" w:sz="0" w:space="0" w:color="auto"/>
          </w:divBdr>
        </w:div>
      </w:divsChild>
    </w:div>
    <w:div w:id="1802337374">
      <w:bodyDiv w:val="1"/>
      <w:marLeft w:val="0"/>
      <w:marRight w:val="0"/>
      <w:marTop w:val="0"/>
      <w:marBottom w:val="0"/>
      <w:divBdr>
        <w:top w:val="none" w:sz="0" w:space="0" w:color="auto"/>
        <w:left w:val="none" w:sz="0" w:space="0" w:color="auto"/>
        <w:bottom w:val="none" w:sz="0" w:space="0" w:color="auto"/>
        <w:right w:val="none" w:sz="0" w:space="0" w:color="auto"/>
      </w:divBdr>
      <w:divsChild>
        <w:div w:id="29110165">
          <w:marLeft w:val="0"/>
          <w:marRight w:val="0"/>
          <w:marTop w:val="0"/>
          <w:marBottom w:val="0"/>
          <w:divBdr>
            <w:top w:val="none" w:sz="0" w:space="0" w:color="auto"/>
            <w:left w:val="none" w:sz="0" w:space="0" w:color="auto"/>
            <w:bottom w:val="none" w:sz="0" w:space="0" w:color="auto"/>
            <w:right w:val="none" w:sz="0" w:space="0" w:color="auto"/>
          </w:divBdr>
        </w:div>
        <w:div w:id="251353934">
          <w:marLeft w:val="0"/>
          <w:marRight w:val="0"/>
          <w:marTop w:val="0"/>
          <w:marBottom w:val="0"/>
          <w:divBdr>
            <w:top w:val="none" w:sz="0" w:space="0" w:color="auto"/>
            <w:left w:val="none" w:sz="0" w:space="0" w:color="auto"/>
            <w:bottom w:val="none" w:sz="0" w:space="0" w:color="auto"/>
            <w:right w:val="none" w:sz="0" w:space="0" w:color="auto"/>
          </w:divBdr>
        </w:div>
        <w:div w:id="278731807">
          <w:marLeft w:val="0"/>
          <w:marRight w:val="0"/>
          <w:marTop w:val="0"/>
          <w:marBottom w:val="0"/>
          <w:divBdr>
            <w:top w:val="none" w:sz="0" w:space="0" w:color="auto"/>
            <w:left w:val="none" w:sz="0" w:space="0" w:color="auto"/>
            <w:bottom w:val="none" w:sz="0" w:space="0" w:color="auto"/>
            <w:right w:val="none" w:sz="0" w:space="0" w:color="auto"/>
          </w:divBdr>
        </w:div>
        <w:div w:id="1584560637">
          <w:marLeft w:val="0"/>
          <w:marRight w:val="0"/>
          <w:marTop w:val="0"/>
          <w:marBottom w:val="0"/>
          <w:divBdr>
            <w:top w:val="none" w:sz="0" w:space="0" w:color="auto"/>
            <w:left w:val="none" w:sz="0" w:space="0" w:color="auto"/>
            <w:bottom w:val="none" w:sz="0" w:space="0" w:color="auto"/>
            <w:right w:val="none" w:sz="0" w:space="0" w:color="auto"/>
          </w:divBdr>
        </w:div>
        <w:div w:id="1953782634">
          <w:marLeft w:val="0"/>
          <w:marRight w:val="0"/>
          <w:marTop w:val="0"/>
          <w:marBottom w:val="0"/>
          <w:divBdr>
            <w:top w:val="none" w:sz="0" w:space="0" w:color="auto"/>
            <w:left w:val="none" w:sz="0" w:space="0" w:color="auto"/>
            <w:bottom w:val="none" w:sz="0" w:space="0" w:color="auto"/>
            <w:right w:val="none" w:sz="0" w:space="0" w:color="auto"/>
          </w:divBdr>
        </w:div>
      </w:divsChild>
    </w:div>
    <w:div w:id="1931959693">
      <w:bodyDiv w:val="1"/>
      <w:marLeft w:val="0"/>
      <w:marRight w:val="0"/>
      <w:marTop w:val="0"/>
      <w:marBottom w:val="0"/>
      <w:divBdr>
        <w:top w:val="none" w:sz="0" w:space="0" w:color="auto"/>
        <w:left w:val="none" w:sz="0" w:space="0" w:color="auto"/>
        <w:bottom w:val="none" w:sz="0" w:space="0" w:color="auto"/>
        <w:right w:val="none" w:sz="0" w:space="0" w:color="auto"/>
      </w:divBdr>
      <w:divsChild>
        <w:div w:id="745684015">
          <w:marLeft w:val="0"/>
          <w:marRight w:val="0"/>
          <w:marTop w:val="0"/>
          <w:marBottom w:val="0"/>
          <w:divBdr>
            <w:top w:val="none" w:sz="0" w:space="0" w:color="auto"/>
            <w:left w:val="none" w:sz="0" w:space="0" w:color="auto"/>
            <w:bottom w:val="none" w:sz="0" w:space="0" w:color="auto"/>
            <w:right w:val="none" w:sz="0" w:space="0" w:color="auto"/>
          </w:divBdr>
        </w:div>
        <w:div w:id="1597397371">
          <w:marLeft w:val="0"/>
          <w:marRight w:val="0"/>
          <w:marTop w:val="0"/>
          <w:marBottom w:val="0"/>
          <w:divBdr>
            <w:top w:val="none" w:sz="0" w:space="0" w:color="auto"/>
            <w:left w:val="none" w:sz="0" w:space="0" w:color="auto"/>
            <w:bottom w:val="none" w:sz="0" w:space="0" w:color="auto"/>
            <w:right w:val="none" w:sz="0" w:space="0" w:color="auto"/>
          </w:divBdr>
        </w:div>
        <w:div w:id="1763716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3baaca-c19c-4192-b2cd-0744d2ee074e" xsi:nil="true"/>
    <lcf76f155ced4ddcb4097134ff3c332f xmlns="4cc6076d-e27c-4e30-aa8b-1357899142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335A4A02B0FB45A58F5DBEBCF86717" ma:contentTypeVersion="12" ma:contentTypeDescription="Create a new document." ma:contentTypeScope="" ma:versionID="4135710ef1b814d0514173120ca982c0">
  <xsd:schema xmlns:xsd="http://www.w3.org/2001/XMLSchema" xmlns:xs="http://www.w3.org/2001/XMLSchema" xmlns:p="http://schemas.microsoft.com/office/2006/metadata/properties" xmlns:ns2="4cc6076d-e27c-4e30-aa8b-1357899142e9" xmlns:ns3="583baaca-c19c-4192-b2cd-0744d2ee074e" targetNamespace="http://schemas.microsoft.com/office/2006/metadata/properties" ma:root="true" ma:fieldsID="6e2687c683abccfd5d9e8db144714d57" ns2:_="" ns3:_="">
    <xsd:import namespace="4cc6076d-e27c-4e30-aa8b-1357899142e9"/>
    <xsd:import namespace="583baaca-c19c-4192-b2cd-0744d2ee07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6076d-e27c-4e30-aa8b-135789914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baaca-c19c-4192-b2cd-0744d2ee07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c9604c4-784d-4af0-a8c9-abe6b2d71c62}" ma:internalName="TaxCatchAll" ma:showField="CatchAllData" ma:web="583baaca-c19c-4192-b2cd-0744d2ee0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6B59D-7593-40C5-AD20-FE08A58609AC}">
  <ds:schemaRefs>
    <ds:schemaRef ds:uri="http://schemas.openxmlformats.org/officeDocument/2006/bibliography"/>
  </ds:schemaRefs>
</ds:datastoreItem>
</file>

<file path=customXml/itemProps2.xml><?xml version="1.0" encoding="utf-8"?>
<ds:datastoreItem xmlns:ds="http://schemas.openxmlformats.org/officeDocument/2006/customXml" ds:itemID="{6928813D-F9F1-4699-9807-8DB2C1B2064A}">
  <ds:schemaRefs>
    <ds:schemaRef ds:uri="http://schemas.microsoft.com/sharepoint/v3/contenttype/forms"/>
  </ds:schemaRefs>
</ds:datastoreItem>
</file>

<file path=customXml/itemProps3.xml><?xml version="1.0" encoding="utf-8"?>
<ds:datastoreItem xmlns:ds="http://schemas.openxmlformats.org/officeDocument/2006/customXml" ds:itemID="{F851EB3B-EE3F-4A6C-8032-A36BBB061D87}">
  <ds:schemaRefs>
    <ds:schemaRef ds:uri="http://schemas.microsoft.com/office/2006/metadata/properties"/>
    <ds:schemaRef ds:uri="http://schemas.microsoft.com/office/infopath/2007/PartnerControls"/>
    <ds:schemaRef ds:uri="583baaca-c19c-4192-b2cd-0744d2ee074e"/>
    <ds:schemaRef ds:uri="4cc6076d-e27c-4e30-aa8b-1357899142e9"/>
  </ds:schemaRefs>
</ds:datastoreItem>
</file>

<file path=customXml/itemProps4.xml><?xml version="1.0" encoding="utf-8"?>
<ds:datastoreItem xmlns:ds="http://schemas.openxmlformats.org/officeDocument/2006/customXml" ds:itemID="{6F0D0B6E-C0E3-41F8-932B-8ACB7DF2A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6076d-e27c-4e30-aa8b-1357899142e9"/>
    <ds:schemaRef ds:uri="583baaca-c19c-4192-b2cd-0744d2ee0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9439</ap:Words>
  <ap:Characters>53805</ap:Characters>
  <ap:Application>Microsoft Office Word</ap:Application>
  <ap:DocSecurity>0</ap:DocSecurity>
  <ap:Lines>448</ap:Lines>
  <ap:Paragraphs>126</ap:Paragraphs>
  <ap:ScaleCrop>false</ap:ScaleCrop>
  <ap:HeadingPairs>
    <vt:vector baseType="variant" size="2">
      <vt:variant>
        <vt:lpstr>Title</vt:lpstr>
      </vt:variant>
      <vt:variant>
        <vt:i4>1</vt:i4>
      </vt:variant>
    </vt:vector>
  </ap:HeadingPairs>
  <ap:TitlesOfParts>
    <vt:vector baseType="lpstr" size="1">
      <vt:lpstr>CPUC Letterhead (Brown)</vt:lpstr>
    </vt:vector>
  </ap:TitlesOfParts>
  <ap:Company/>
  <ap:LinksUpToDate>false</ap:LinksUpToDate>
  <ap:CharactersWithSpaces>63118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2010-08-23T21:56:00Z</cp:lastPrinted>
  <dcterms:created xsi:type="dcterms:W3CDTF">2023-10-30T12:52:19Z</dcterms:created>
  <dcterms:modified xsi:type="dcterms:W3CDTF">2023-10-30T12:52:19Z</dcterms:modified>
</cp:coreProperties>
</file>