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B59500B" w:rsidP="4321CADA" w:rsidRDefault="00DB436B" w14:paraId="3C8F92C8" w14:textId="297CB87C">
      <w:pPr>
        <w:widowControl w:val="0"/>
        <w:spacing w:before="26"/>
        <w:ind w:right="415"/>
        <w:jc w:val="center"/>
        <w:rPr>
          <w:rFonts w:ascii="Calibri" w:hAnsi="Calibri" w:eastAsia="Calibri" w:cs="Calibri"/>
          <w:color w:val="000000" w:themeColor="text1"/>
        </w:rPr>
      </w:pPr>
      <w:r>
        <w:rPr>
          <w:rFonts w:ascii="Calibri" w:hAnsi="Calibri" w:eastAsia="Calibri" w:cs="Calibri"/>
          <w:color w:val="000000" w:themeColor="text1"/>
        </w:rPr>
        <w:t>Attachment 1</w:t>
      </w:r>
      <w:r w:rsidRPr="4321CADA" w:rsidR="3B59500B">
        <w:rPr>
          <w:rFonts w:ascii="Calibri" w:hAnsi="Calibri" w:eastAsia="Calibri" w:cs="Calibri"/>
          <w:color w:val="000000" w:themeColor="text1"/>
        </w:rPr>
        <w:t>:</w:t>
      </w:r>
    </w:p>
    <w:p w:rsidR="4321CADA" w:rsidP="004E4F0A" w:rsidRDefault="004E4F0A" w14:paraId="35C99F83" w14:textId="30BE2B8A">
      <w:pPr>
        <w:widowControl w:val="0"/>
        <w:spacing w:before="26"/>
        <w:ind w:right="415"/>
        <w:jc w:val="center"/>
        <w:rPr>
          <w:rFonts w:ascii="Calibri" w:hAnsi="Calibri" w:eastAsia="Calibri" w:cs="Calibri"/>
          <w:color w:val="000000" w:themeColor="text1"/>
        </w:rPr>
      </w:pPr>
      <w:r>
        <w:rPr>
          <w:rFonts w:ascii="Calibri" w:hAnsi="Calibri" w:eastAsia="Calibri" w:cs="Calibri"/>
          <w:color w:val="000000" w:themeColor="text1"/>
        </w:rPr>
        <w:t xml:space="preserve">Loan Loss Reserve Program </w:t>
      </w:r>
      <w:r w:rsidR="009D1D14">
        <w:rPr>
          <w:rFonts w:ascii="Calibri" w:hAnsi="Calibri" w:eastAsia="Calibri" w:cs="Calibri"/>
          <w:color w:val="000000" w:themeColor="text1"/>
        </w:rPr>
        <w:t xml:space="preserve">Requirements </w:t>
      </w:r>
      <w:r>
        <w:rPr>
          <w:rFonts w:ascii="Calibri" w:hAnsi="Calibri" w:eastAsia="Calibri" w:cs="Calibri"/>
          <w:color w:val="000000" w:themeColor="text1"/>
        </w:rPr>
        <w:t>and Guidelines</w:t>
      </w:r>
    </w:p>
    <w:p w:rsidR="004E4F0A" w:rsidP="004E4F0A" w:rsidRDefault="004E4F0A" w14:paraId="0BDC26A5" w14:textId="77777777">
      <w:pPr>
        <w:widowControl w:val="0"/>
        <w:spacing w:before="26"/>
        <w:ind w:right="415"/>
        <w:jc w:val="center"/>
        <w:rPr>
          <w:rFonts w:ascii="Calibri" w:hAnsi="Calibri" w:eastAsia="Calibri" w:cs="Calibri"/>
          <w:color w:val="000000" w:themeColor="text1"/>
        </w:rPr>
      </w:pPr>
    </w:p>
    <w:p w:rsidR="004E4F0A" w:rsidP="004E4F0A" w:rsidRDefault="004E4F0A" w14:paraId="36CE54ED" w14:textId="77777777">
      <w:pPr>
        <w:widowControl w:val="0"/>
        <w:spacing w:before="26"/>
        <w:ind w:right="415"/>
        <w:jc w:val="center"/>
        <w:rPr>
          <w:rFonts w:ascii="Calibri" w:hAnsi="Calibri" w:eastAsia="Calibri" w:cs="Calibri"/>
          <w:color w:val="000000" w:themeColor="text1"/>
        </w:rPr>
      </w:pPr>
    </w:p>
    <w:p w:rsidR="004E4F0A" w:rsidP="004E4F0A" w:rsidRDefault="004E4F0A" w14:paraId="2E5E6AD9" w14:textId="77777777">
      <w:pPr>
        <w:widowControl w:val="0"/>
        <w:spacing w:before="26"/>
        <w:ind w:right="415"/>
        <w:jc w:val="center"/>
        <w:rPr>
          <w:rFonts w:ascii="Calibri" w:hAnsi="Calibri" w:eastAsia="Calibri" w:cs="Calibri"/>
          <w:color w:val="000000" w:themeColor="text1"/>
        </w:rPr>
      </w:pPr>
    </w:p>
    <w:p w:rsidR="004E4F0A" w:rsidP="004E4F0A" w:rsidRDefault="004E4F0A" w14:paraId="674F8B4B" w14:textId="77777777">
      <w:pPr>
        <w:widowControl w:val="0"/>
        <w:spacing w:before="26"/>
        <w:ind w:right="415"/>
        <w:jc w:val="center"/>
        <w:rPr>
          <w:rFonts w:ascii="Calibri" w:hAnsi="Calibri" w:eastAsia="Calibri" w:cs="Calibri"/>
          <w:color w:val="000000" w:themeColor="text1"/>
        </w:rPr>
      </w:pPr>
    </w:p>
    <w:p w:rsidR="004E4F0A" w:rsidP="004E4F0A" w:rsidRDefault="004E4F0A" w14:paraId="176C60B2" w14:textId="77777777">
      <w:pPr>
        <w:widowControl w:val="0"/>
        <w:spacing w:before="26"/>
        <w:ind w:right="415"/>
        <w:jc w:val="center"/>
        <w:rPr>
          <w:rFonts w:ascii="Calibri" w:hAnsi="Calibri" w:eastAsia="Calibri" w:cs="Calibri"/>
          <w:color w:val="000000" w:themeColor="text1"/>
        </w:rPr>
      </w:pPr>
    </w:p>
    <w:p w:rsidR="004E4F0A" w:rsidP="004E4F0A" w:rsidRDefault="004E4F0A" w14:paraId="57A2F63B" w14:textId="77777777">
      <w:pPr>
        <w:widowControl w:val="0"/>
        <w:spacing w:before="26"/>
        <w:ind w:right="415"/>
        <w:jc w:val="center"/>
        <w:rPr>
          <w:rFonts w:ascii="Calibri" w:hAnsi="Calibri" w:eastAsia="Calibri" w:cs="Calibri"/>
          <w:color w:val="000000" w:themeColor="text1"/>
        </w:rPr>
      </w:pPr>
    </w:p>
    <w:p w:rsidR="004E4F0A" w:rsidP="004E4F0A" w:rsidRDefault="004E4F0A" w14:paraId="5605DD1D" w14:textId="77777777">
      <w:pPr>
        <w:widowControl w:val="0"/>
        <w:spacing w:before="26"/>
        <w:ind w:right="415"/>
        <w:jc w:val="center"/>
        <w:rPr>
          <w:rFonts w:ascii="Calibri" w:hAnsi="Calibri" w:eastAsia="Calibri" w:cs="Calibri"/>
          <w:color w:val="000000" w:themeColor="text1"/>
        </w:rPr>
      </w:pPr>
    </w:p>
    <w:p w:rsidR="004E4F0A" w:rsidP="004E4F0A" w:rsidRDefault="004E4F0A" w14:paraId="4110D1F5" w14:textId="77777777">
      <w:pPr>
        <w:widowControl w:val="0"/>
        <w:spacing w:before="26"/>
        <w:ind w:right="415"/>
        <w:jc w:val="center"/>
        <w:rPr>
          <w:rFonts w:ascii="Calibri" w:hAnsi="Calibri" w:eastAsia="Calibri" w:cs="Calibri"/>
          <w:color w:val="000000" w:themeColor="text1"/>
        </w:rPr>
      </w:pPr>
    </w:p>
    <w:p w:rsidR="004E4F0A" w:rsidP="004E4F0A" w:rsidRDefault="004E4F0A" w14:paraId="493D400D" w14:textId="77777777">
      <w:pPr>
        <w:widowControl w:val="0"/>
        <w:spacing w:before="26"/>
        <w:ind w:right="415"/>
        <w:jc w:val="center"/>
        <w:rPr>
          <w:rFonts w:ascii="Calibri" w:hAnsi="Calibri" w:eastAsia="Calibri" w:cs="Calibri"/>
          <w:color w:val="000000" w:themeColor="text1"/>
        </w:rPr>
      </w:pPr>
    </w:p>
    <w:p w:rsidR="004E4F0A" w:rsidP="004E4F0A" w:rsidRDefault="004E4F0A" w14:paraId="1BFC3828" w14:textId="77777777">
      <w:pPr>
        <w:widowControl w:val="0"/>
        <w:spacing w:before="26"/>
        <w:ind w:right="415"/>
        <w:jc w:val="center"/>
        <w:rPr>
          <w:rFonts w:ascii="Calibri" w:hAnsi="Calibri" w:eastAsia="Calibri" w:cs="Calibri"/>
          <w:color w:val="000000" w:themeColor="text1"/>
        </w:rPr>
      </w:pPr>
    </w:p>
    <w:p w:rsidR="004E4F0A" w:rsidP="004E4F0A" w:rsidRDefault="004E4F0A" w14:paraId="3260C9D3" w14:textId="77777777">
      <w:pPr>
        <w:widowControl w:val="0"/>
        <w:spacing w:before="26"/>
        <w:ind w:right="415"/>
        <w:jc w:val="center"/>
        <w:rPr>
          <w:rFonts w:ascii="Calibri" w:hAnsi="Calibri" w:eastAsia="Calibri" w:cs="Calibri"/>
          <w:color w:val="000000" w:themeColor="text1"/>
        </w:rPr>
      </w:pPr>
    </w:p>
    <w:p w:rsidR="004E4F0A" w:rsidP="004E4F0A" w:rsidRDefault="004E4F0A" w14:paraId="0B803336" w14:textId="77777777">
      <w:pPr>
        <w:widowControl w:val="0"/>
        <w:spacing w:before="26"/>
        <w:ind w:right="415"/>
        <w:jc w:val="center"/>
        <w:rPr>
          <w:rFonts w:ascii="Calibri" w:hAnsi="Calibri" w:eastAsia="Calibri" w:cs="Calibri"/>
          <w:color w:val="000000" w:themeColor="text1"/>
        </w:rPr>
      </w:pPr>
    </w:p>
    <w:p w:rsidR="004E4F0A" w:rsidP="004E4F0A" w:rsidRDefault="004E4F0A" w14:paraId="4173FB60" w14:textId="77777777">
      <w:pPr>
        <w:widowControl w:val="0"/>
        <w:spacing w:before="26"/>
        <w:ind w:right="415"/>
        <w:jc w:val="center"/>
        <w:rPr>
          <w:rFonts w:ascii="Calibri" w:hAnsi="Calibri" w:eastAsia="Calibri" w:cs="Calibri"/>
          <w:color w:val="000000" w:themeColor="text1"/>
        </w:rPr>
      </w:pPr>
    </w:p>
    <w:p w:rsidR="004E4F0A" w:rsidP="004E4F0A" w:rsidRDefault="004E4F0A" w14:paraId="471DAB1F" w14:textId="77777777">
      <w:pPr>
        <w:widowControl w:val="0"/>
        <w:spacing w:before="26"/>
        <w:ind w:right="415"/>
        <w:jc w:val="center"/>
        <w:rPr>
          <w:rFonts w:ascii="Calibri" w:hAnsi="Calibri" w:eastAsia="Calibri" w:cs="Calibri"/>
          <w:color w:val="000000" w:themeColor="text1"/>
        </w:rPr>
      </w:pPr>
    </w:p>
    <w:p w:rsidR="004E4F0A" w:rsidP="004E4F0A" w:rsidRDefault="004E4F0A" w14:paraId="59747846" w14:textId="77777777">
      <w:pPr>
        <w:widowControl w:val="0"/>
        <w:spacing w:before="26"/>
        <w:ind w:right="415"/>
        <w:jc w:val="center"/>
        <w:rPr>
          <w:rFonts w:ascii="Calibri" w:hAnsi="Calibri" w:eastAsia="Calibri" w:cs="Calibri"/>
          <w:color w:val="000000" w:themeColor="text1"/>
        </w:rPr>
      </w:pPr>
    </w:p>
    <w:p w:rsidR="004E4F0A" w:rsidP="004E4F0A" w:rsidRDefault="004E4F0A" w14:paraId="2DAAD787" w14:textId="77777777">
      <w:pPr>
        <w:widowControl w:val="0"/>
        <w:spacing w:before="26"/>
        <w:ind w:right="415"/>
        <w:jc w:val="center"/>
        <w:rPr>
          <w:rFonts w:ascii="Calibri" w:hAnsi="Calibri" w:eastAsia="Calibri" w:cs="Calibri"/>
          <w:color w:val="000000" w:themeColor="text1"/>
        </w:rPr>
      </w:pPr>
    </w:p>
    <w:p w:rsidR="004E4F0A" w:rsidP="004E4F0A" w:rsidRDefault="004E4F0A" w14:paraId="438488B9" w14:textId="77777777">
      <w:pPr>
        <w:widowControl w:val="0"/>
        <w:spacing w:before="26"/>
        <w:ind w:right="415"/>
        <w:jc w:val="center"/>
        <w:rPr>
          <w:rFonts w:ascii="Calibri" w:hAnsi="Calibri" w:eastAsia="Calibri" w:cs="Calibri"/>
          <w:color w:val="000000" w:themeColor="text1"/>
        </w:rPr>
      </w:pPr>
    </w:p>
    <w:p w:rsidR="004E4F0A" w:rsidP="004E4F0A" w:rsidRDefault="004E4F0A" w14:paraId="51AD51B0" w14:textId="77777777">
      <w:pPr>
        <w:widowControl w:val="0"/>
        <w:spacing w:before="26"/>
        <w:ind w:right="415"/>
        <w:jc w:val="center"/>
        <w:rPr>
          <w:rFonts w:ascii="Calibri" w:hAnsi="Calibri" w:eastAsia="Calibri" w:cs="Calibri"/>
          <w:color w:val="000000" w:themeColor="text1"/>
        </w:rPr>
      </w:pPr>
    </w:p>
    <w:p w:rsidR="004E4F0A" w:rsidP="004E4F0A" w:rsidRDefault="004E4F0A" w14:paraId="4EED3B89" w14:textId="77777777">
      <w:pPr>
        <w:widowControl w:val="0"/>
        <w:spacing w:before="26"/>
        <w:ind w:right="415"/>
        <w:jc w:val="center"/>
        <w:rPr>
          <w:rFonts w:ascii="Calibri" w:hAnsi="Calibri" w:eastAsia="Calibri" w:cs="Calibri"/>
          <w:color w:val="000000" w:themeColor="text1"/>
        </w:rPr>
      </w:pPr>
    </w:p>
    <w:p w:rsidR="004E4F0A" w:rsidP="004E4F0A" w:rsidRDefault="004E4F0A" w14:paraId="0C20D1F3" w14:textId="77777777">
      <w:pPr>
        <w:widowControl w:val="0"/>
        <w:spacing w:before="26"/>
        <w:ind w:right="415"/>
        <w:jc w:val="center"/>
        <w:rPr>
          <w:rFonts w:ascii="Calibri" w:hAnsi="Calibri" w:eastAsia="Calibri" w:cs="Calibri"/>
          <w:color w:val="000000" w:themeColor="text1"/>
        </w:rPr>
      </w:pPr>
    </w:p>
    <w:p w:rsidR="004E4F0A" w:rsidP="004E4F0A" w:rsidRDefault="004E4F0A" w14:paraId="76A2514C" w14:textId="77777777">
      <w:pPr>
        <w:widowControl w:val="0"/>
        <w:spacing w:before="26"/>
        <w:ind w:right="415"/>
        <w:jc w:val="center"/>
        <w:rPr>
          <w:rFonts w:ascii="Calibri" w:hAnsi="Calibri" w:eastAsia="Calibri" w:cs="Calibri"/>
          <w:color w:val="000000" w:themeColor="text1"/>
        </w:rPr>
      </w:pPr>
    </w:p>
    <w:p w:rsidR="004E4F0A" w:rsidP="004E4F0A" w:rsidRDefault="004E4F0A" w14:paraId="7BB95027" w14:textId="77777777">
      <w:pPr>
        <w:widowControl w:val="0"/>
        <w:spacing w:before="26"/>
        <w:ind w:right="415"/>
        <w:jc w:val="center"/>
        <w:rPr>
          <w:rFonts w:ascii="Calibri" w:hAnsi="Calibri" w:eastAsia="Calibri" w:cs="Calibri"/>
          <w:color w:val="000000" w:themeColor="text1"/>
        </w:rPr>
      </w:pPr>
    </w:p>
    <w:p w:rsidR="004E4F0A" w:rsidP="004E4F0A" w:rsidRDefault="004E4F0A" w14:paraId="5EE45517" w14:textId="77777777">
      <w:pPr>
        <w:widowControl w:val="0"/>
        <w:spacing w:before="26"/>
        <w:ind w:right="415"/>
        <w:jc w:val="center"/>
        <w:rPr>
          <w:rFonts w:ascii="Calibri" w:hAnsi="Calibri" w:eastAsia="Calibri" w:cs="Calibri"/>
          <w:color w:val="000000" w:themeColor="text1"/>
        </w:rPr>
      </w:pPr>
    </w:p>
    <w:p w:rsidR="004E4F0A" w:rsidP="004E4F0A" w:rsidRDefault="004E4F0A" w14:paraId="5E1E1CFE" w14:textId="77777777">
      <w:pPr>
        <w:widowControl w:val="0"/>
        <w:spacing w:before="26"/>
        <w:ind w:right="415"/>
        <w:jc w:val="center"/>
        <w:rPr>
          <w:rFonts w:ascii="Calibri" w:hAnsi="Calibri" w:eastAsia="Calibri" w:cs="Calibri"/>
          <w:color w:val="000000" w:themeColor="text1"/>
        </w:rPr>
      </w:pPr>
    </w:p>
    <w:p w:rsidR="004E4F0A" w:rsidP="004E4F0A" w:rsidRDefault="004E4F0A" w14:paraId="12E94230" w14:textId="77777777">
      <w:pPr>
        <w:widowControl w:val="0"/>
        <w:spacing w:before="26"/>
        <w:ind w:right="415"/>
        <w:jc w:val="center"/>
        <w:rPr>
          <w:rFonts w:ascii="Calibri" w:hAnsi="Calibri" w:eastAsia="Calibri" w:cs="Calibri"/>
          <w:color w:val="000000" w:themeColor="text1"/>
        </w:rPr>
      </w:pPr>
    </w:p>
    <w:p w:rsidR="004E4F0A" w:rsidP="004E4F0A" w:rsidRDefault="004E4F0A" w14:paraId="34766DC8" w14:textId="77777777">
      <w:pPr>
        <w:widowControl w:val="0"/>
        <w:spacing w:before="26"/>
        <w:ind w:right="415"/>
        <w:jc w:val="center"/>
        <w:rPr>
          <w:rFonts w:ascii="Calibri" w:hAnsi="Calibri" w:eastAsia="Calibri" w:cs="Calibri"/>
          <w:color w:val="000000" w:themeColor="text1"/>
        </w:rPr>
      </w:pPr>
    </w:p>
    <w:p w:rsidR="004E4F0A" w:rsidP="004E4F0A" w:rsidRDefault="004E4F0A" w14:paraId="45439059" w14:textId="77777777">
      <w:pPr>
        <w:widowControl w:val="0"/>
        <w:spacing w:before="26"/>
        <w:ind w:right="415"/>
        <w:jc w:val="center"/>
        <w:rPr>
          <w:rFonts w:ascii="Calibri" w:hAnsi="Calibri" w:eastAsia="Calibri" w:cs="Calibri"/>
          <w:color w:val="000000" w:themeColor="text1"/>
        </w:rPr>
      </w:pPr>
    </w:p>
    <w:sdt>
      <w:sdtPr>
        <w:rPr>
          <w:rFonts w:asciiTheme="minorHAnsi" w:hAnsiTheme="minorHAnsi" w:eastAsiaTheme="minorHAnsi" w:cstheme="minorBidi"/>
          <w:color w:val="auto"/>
          <w:sz w:val="22"/>
          <w:szCs w:val="22"/>
        </w:rPr>
        <w:id w:val="-2052679411"/>
        <w:docPartObj>
          <w:docPartGallery w:val="Table of Contents"/>
          <w:docPartUnique/>
        </w:docPartObj>
      </w:sdtPr>
      <w:sdtEndPr>
        <w:rPr>
          <w:b/>
          <w:bCs/>
          <w:noProof/>
        </w:rPr>
      </w:sdtEndPr>
      <w:sdtContent>
        <w:p w:rsidR="00887A1D" w:rsidRDefault="00887A1D" w14:paraId="717FAB95" w14:textId="6B271BEB">
          <w:pPr>
            <w:pStyle w:val="TOCHeading"/>
          </w:pPr>
          <w:r>
            <w:t>Table of</w:t>
          </w:r>
          <w:r w:rsidR="008E2C6C">
            <w:t xml:space="preserve"> </w:t>
          </w:r>
          <w:r>
            <w:t>Contents</w:t>
          </w:r>
        </w:p>
        <w:p w:rsidR="003A6B91" w:rsidP="003A6B91" w:rsidRDefault="00887A1D" w14:paraId="53BBAC54" w14:textId="72C94A32">
          <w:pPr>
            <w:pStyle w:val="TOC1"/>
            <w:rPr>
              <w:rFonts w:cstheme="minorBidi"/>
              <w:noProof/>
              <w:kern w:val="2"/>
              <w14:ligatures w14:val="standardContextual"/>
            </w:rPr>
          </w:pPr>
          <w:r>
            <w:fldChar w:fldCharType="begin"/>
          </w:r>
          <w:r>
            <w:instrText xml:space="preserve"> TOC \o "1-3" \h \z \u </w:instrText>
          </w:r>
          <w:r>
            <w:fldChar w:fldCharType="separate"/>
          </w:r>
          <w:hyperlink w:history="1" w:anchor="_Toc149134305">
            <w:r w:rsidRPr="00C33B5F" w:rsidR="003A6B91">
              <w:rPr>
                <w:rStyle w:val="Hyperlink"/>
                <w:rFonts w:eastAsia="Calibri"/>
                <w:noProof/>
              </w:rPr>
              <w:t>1.</w:t>
            </w:r>
            <w:r w:rsidR="003A6B91">
              <w:rPr>
                <w:rFonts w:cstheme="minorBidi"/>
                <w:noProof/>
                <w:kern w:val="2"/>
                <w14:ligatures w14:val="standardContextual"/>
              </w:rPr>
              <w:tab/>
            </w:r>
            <w:r w:rsidRPr="00C33B5F" w:rsidR="003A6B91">
              <w:rPr>
                <w:rStyle w:val="Hyperlink"/>
                <w:rFonts w:eastAsia="Calibri"/>
                <w:noProof/>
              </w:rPr>
              <w:t>Background and Purpose</w:t>
            </w:r>
            <w:r w:rsidR="003A6B91">
              <w:rPr>
                <w:noProof/>
                <w:webHidden/>
              </w:rPr>
              <w:tab/>
            </w:r>
            <w:r w:rsidR="003A6B91">
              <w:rPr>
                <w:noProof/>
                <w:webHidden/>
              </w:rPr>
              <w:fldChar w:fldCharType="begin"/>
            </w:r>
            <w:r w:rsidR="003A6B91">
              <w:rPr>
                <w:noProof/>
                <w:webHidden/>
              </w:rPr>
              <w:instrText xml:space="preserve"> PAGEREF _Toc149134305 \h </w:instrText>
            </w:r>
            <w:r w:rsidR="003A6B91">
              <w:rPr>
                <w:noProof/>
                <w:webHidden/>
              </w:rPr>
            </w:r>
            <w:r w:rsidR="003A6B91">
              <w:rPr>
                <w:noProof/>
                <w:webHidden/>
              </w:rPr>
              <w:fldChar w:fldCharType="separate"/>
            </w:r>
            <w:r w:rsidR="003A6B91">
              <w:rPr>
                <w:noProof/>
                <w:webHidden/>
              </w:rPr>
              <w:t>6</w:t>
            </w:r>
            <w:r w:rsidR="003A6B91">
              <w:rPr>
                <w:noProof/>
                <w:webHidden/>
              </w:rPr>
              <w:fldChar w:fldCharType="end"/>
            </w:r>
          </w:hyperlink>
        </w:p>
        <w:p w:rsidR="003A6B91" w:rsidRDefault="00DF0B26" w14:paraId="61CEF485" w14:textId="680F6D00">
          <w:pPr>
            <w:pStyle w:val="TOC2"/>
            <w:rPr>
              <w:rFonts w:cstheme="minorBidi"/>
              <w:noProof/>
              <w:kern w:val="2"/>
              <w14:ligatures w14:val="standardContextual"/>
            </w:rPr>
          </w:pPr>
          <w:hyperlink w:history="1" w:anchor="_Toc149134306">
            <w:r w:rsidRPr="00C33B5F" w:rsidR="003A6B91">
              <w:rPr>
                <w:rStyle w:val="Hyperlink"/>
                <w:noProof/>
              </w:rPr>
              <w:t>1.1</w:t>
            </w:r>
            <w:r w:rsidR="003A6B91">
              <w:rPr>
                <w:rFonts w:cstheme="minorBidi"/>
                <w:noProof/>
                <w:kern w:val="2"/>
                <w14:ligatures w14:val="standardContextual"/>
              </w:rPr>
              <w:tab/>
            </w:r>
            <w:r w:rsidRPr="00C33B5F" w:rsidR="003A6B91">
              <w:rPr>
                <w:rStyle w:val="Hyperlink"/>
                <w:noProof/>
              </w:rPr>
              <w:t>Guiding Operational Principles</w:t>
            </w:r>
            <w:r w:rsidR="003A6B91">
              <w:rPr>
                <w:noProof/>
                <w:webHidden/>
              </w:rPr>
              <w:tab/>
            </w:r>
            <w:r w:rsidR="003A6B91">
              <w:rPr>
                <w:noProof/>
                <w:webHidden/>
              </w:rPr>
              <w:fldChar w:fldCharType="begin"/>
            </w:r>
            <w:r w:rsidR="003A6B91">
              <w:rPr>
                <w:noProof/>
                <w:webHidden/>
              </w:rPr>
              <w:instrText xml:space="preserve"> PAGEREF _Toc149134306 \h </w:instrText>
            </w:r>
            <w:r w:rsidR="003A6B91">
              <w:rPr>
                <w:noProof/>
                <w:webHidden/>
              </w:rPr>
            </w:r>
            <w:r w:rsidR="003A6B91">
              <w:rPr>
                <w:noProof/>
                <w:webHidden/>
              </w:rPr>
              <w:fldChar w:fldCharType="separate"/>
            </w:r>
            <w:r w:rsidR="003A6B91">
              <w:rPr>
                <w:noProof/>
                <w:webHidden/>
              </w:rPr>
              <w:t>7</w:t>
            </w:r>
            <w:r w:rsidR="003A6B91">
              <w:rPr>
                <w:noProof/>
                <w:webHidden/>
              </w:rPr>
              <w:fldChar w:fldCharType="end"/>
            </w:r>
          </w:hyperlink>
        </w:p>
        <w:p w:rsidR="003A6B91" w:rsidRDefault="00DF0B26" w14:paraId="5B8782A2" w14:textId="4206CB11">
          <w:pPr>
            <w:pStyle w:val="TOC2"/>
            <w:rPr>
              <w:rFonts w:cstheme="minorBidi"/>
              <w:noProof/>
              <w:kern w:val="2"/>
              <w14:ligatures w14:val="standardContextual"/>
            </w:rPr>
          </w:pPr>
          <w:hyperlink w:history="1" w:anchor="_Toc149134307">
            <w:r w:rsidRPr="00C33B5F" w:rsidR="003A6B91">
              <w:rPr>
                <w:rStyle w:val="Hyperlink"/>
                <w:noProof/>
              </w:rPr>
              <w:t>1.2</w:t>
            </w:r>
            <w:r w:rsidR="003A6B91">
              <w:rPr>
                <w:rFonts w:cstheme="minorBidi"/>
                <w:noProof/>
                <w:kern w:val="2"/>
                <w14:ligatures w14:val="standardContextual"/>
              </w:rPr>
              <w:tab/>
            </w:r>
            <w:r w:rsidRPr="00C33B5F" w:rsidR="003A6B91">
              <w:rPr>
                <w:rStyle w:val="Hyperlink"/>
                <w:noProof/>
              </w:rPr>
              <w:t>Guiding Program Principles</w:t>
            </w:r>
            <w:r w:rsidR="003A6B91">
              <w:rPr>
                <w:noProof/>
                <w:webHidden/>
              </w:rPr>
              <w:tab/>
            </w:r>
            <w:r w:rsidR="003A6B91">
              <w:rPr>
                <w:noProof/>
                <w:webHidden/>
              </w:rPr>
              <w:fldChar w:fldCharType="begin"/>
            </w:r>
            <w:r w:rsidR="003A6B91">
              <w:rPr>
                <w:noProof/>
                <w:webHidden/>
              </w:rPr>
              <w:instrText xml:space="preserve"> PAGEREF _Toc149134307 \h </w:instrText>
            </w:r>
            <w:r w:rsidR="003A6B91">
              <w:rPr>
                <w:noProof/>
                <w:webHidden/>
              </w:rPr>
            </w:r>
            <w:r w:rsidR="003A6B91">
              <w:rPr>
                <w:noProof/>
                <w:webHidden/>
              </w:rPr>
              <w:fldChar w:fldCharType="separate"/>
            </w:r>
            <w:r w:rsidR="003A6B91">
              <w:rPr>
                <w:noProof/>
                <w:webHidden/>
              </w:rPr>
              <w:t>7</w:t>
            </w:r>
            <w:r w:rsidR="003A6B91">
              <w:rPr>
                <w:noProof/>
                <w:webHidden/>
              </w:rPr>
              <w:fldChar w:fldCharType="end"/>
            </w:r>
          </w:hyperlink>
        </w:p>
        <w:p w:rsidR="003A6B91" w:rsidP="003A6B91" w:rsidRDefault="00DF0B26" w14:paraId="78AB6567" w14:textId="68B79DD6">
          <w:pPr>
            <w:pStyle w:val="TOC1"/>
            <w:rPr>
              <w:rFonts w:cstheme="minorBidi"/>
              <w:noProof/>
              <w:kern w:val="2"/>
              <w14:ligatures w14:val="standardContextual"/>
            </w:rPr>
          </w:pPr>
          <w:hyperlink w:history="1" w:anchor="_Toc149134308">
            <w:r w:rsidRPr="00C33B5F" w:rsidR="003A6B91">
              <w:rPr>
                <w:rStyle w:val="Hyperlink"/>
                <w:rFonts w:eastAsia="Calibri"/>
                <w:noProof/>
              </w:rPr>
              <w:t>2.</w:t>
            </w:r>
            <w:r w:rsidR="003A6B91">
              <w:rPr>
                <w:rFonts w:cstheme="minorBidi"/>
                <w:noProof/>
                <w:kern w:val="2"/>
                <w14:ligatures w14:val="standardContextual"/>
              </w:rPr>
              <w:tab/>
            </w:r>
            <w:r w:rsidRPr="00C33B5F" w:rsidR="003A6B91">
              <w:rPr>
                <w:rStyle w:val="Hyperlink"/>
                <w:rFonts w:eastAsia="Calibri"/>
                <w:noProof/>
              </w:rPr>
              <w:t>Statutory Authority</w:t>
            </w:r>
            <w:r w:rsidR="003A6B91">
              <w:rPr>
                <w:noProof/>
                <w:webHidden/>
              </w:rPr>
              <w:tab/>
            </w:r>
            <w:r w:rsidR="003A6B91">
              <w:rPr>
                <w:noProof/>
                <w:webHidden/>
              </w:rPr>
              <w:fldChar w:fldCharType="begin"/>
            </w:r>
            <w:r w:rsidR="003A6B91">
              <w:rPr>
                <w:noProof/>
                <w:webHidden/>
              </w:rPr>
              <w:instrText xml:space="preserve"> PAGEREF _Toc149134308 \h </w:instrText>
            </w:r>
            <w:r w:rsidR="003A6B91">
              <w:rPr>
                <w:noProof/>
                <w:webHidden/>
              </w:rPr>
            </w:r>
            <w:r w:rsidR="003A6B91">
              <w:rPr>
                <w:noProof/>
                <w:webHidden/>
              </w:rPr>
              <w:fldChar w:fldCharType="separate"/>
            </w:r>
            <w:r w:rsidR="003A6B91">
              <w:rPr>
                <w:noProof/>
                <w:webHidden/>
              </w:rPr>
              <w:t>8</w:t>
            </w:r>
            <w:r w:rsidR="003A6B91">
              <w:rPr>
                <w:noProof/>
                <w:webHidden/>
              </w:rPr>
              <w:fldChar w:fldCharType="end"/>
            </w:r>
          </w:hyperlink>
        </w:p>
        <w:p w:rsidR="003A6B91" w:rsidP="003A6B91" w:rsidRDefault="00DF0B26" w14:paraId="625E177A" w14:textId="034E49F9">
          <w:pPr>
            <w:pStyle w:val="TOC1"/>
            <w:rPr>
              <w:rFonts w:cstheme="minorBidi"/>
              <w:noProof/>
              <w:kern w:val="2"/>
              <w14:ligatures w14:val="standardContextual"/>
            </w:rPr>
          </w:pPr>
          <w:hyperlink w:history="1" w:anchor="_Toc149134309">
            <w:r w:rsidRPr="00C33B5F" w:rsidR="003A6B91">
              <w:rPr>
                <w:rStyle w:val="Hyperlink"/>
                <w:rFonts w:eastAsia="Calibri"/>
                <w:noProof/>
              </w:rPr>
              <w:t>3.</w:t>
            </w:r>
            <w:r w:rsidR="003A6B91">
              <w:rPr>
                <w:rFonts w:cstheme="minorBidi"/>
                <w:noProof/>
                <w:kern w:val="2"/>
                <w14:ligatures w14:val="standardContextual"/>
              </w:rPr>
              <w:tab/>
            </w:r>
            <w:r w:rsidRPr="00C33B5F" w:rsidR="003A6B91">
              <w:rPr>
                <w:rStyle w:val="Hyperlink"/>
                <w:rFonts w:eastAsia="Calibri"/>
                <w:noProof/>
              </w:rPr>
              <w:t>Definitions</w:t>
            </w:r>
            <w:r w:rsidR="003A6B91">
              <w:rPr>
                <w:noProof/>
                <w:webHidden/>
              </w:rPr>
              <w:tab/>
            </w:r>
            <w:r w:rsidR="003A6B91">
              <w:rPr>
                <w:noProof/>
                <w:webHidden/>
              </w:rPr>
              <w:fldChar w:fldCharType="begin"/>
            </w:r>
            <w:r w:rsidR="003A6B91">
              <w:rPr>
                <w:noProof/>
                <w:webHidden/>
              </w:rPr>
              <w:instrText xml:space="preserve"> PAGEREF _Toc149134309 \h </w:instrText>
            </w:r>
            <w:r w:rsidR="003A6B91">
              <w:rPr>
                <w:noProof/>
                <w:webHidden/>
              </w:rPr>
            </w:r>
            <w:r w:rsidR="003A6B91">
              <w:rPr>
                <w:noProof/>
                <w:webHidden/>
              </w:rPr>
              <w:fldChar w:fldCharType="separate"/>
            </w:r>
            <w:r w:rsidR="003A6B91">
              <w:rPr>
                <w:noProof/>
                <w:webHidden/>
              </w:rPr>
              <w:t>8</w:t>
            </w:r>
            <w:r w:rsidR="003A6B91">
              <w:rPr>
                <w:noProof/>
                <w:webHidden/>
              </w:rPr>
              <w:fldChar w:fldCharType="end"/>
            </w:r>
          </w:hyperlink>
        </w:p>
        <w:p w:rsidR="003A6B91" w:rsidP="003A6B91" w:rsidRDefault="00DF0B26" w14:paraId="4EB79549" w14:textId="371DA4F5">
          <w:pPr>
            <w:pStyle w:val="TOC1"/>
            <w:rPr>
              <w:rFonts w:cstheme="minorBidi"/>
              <w:noProof/>
              <w:kern w:val="2"/>
              <w14:ligatures w14:val="standardContextual"/>
            </w:rPr>
          </w:pPr>
          <w:hyperlink w:history="1" w:anchor="_Toc149134310">
            <w:r w:rsidRPr="00C33B5F" w:rsidR="003A6B91">
              <w:rPr>
                <w:rStyle w:val="Hyperlink"/>
                <w:rFonts w:eastAsia="Calibri"/>
                <w:noProof/>
              </w:rPr>
              <w:t>4.</w:t>
            </w:r>
            <w:r w:rsidR="003A6B91">
              <w:rPr>
                <w:rFonts w:cstheme="minorBidi"/>
                <w:noProof/>
                <w:kern w:val="2"/>
                <w14:ligatures w14:val="standardContextual"/>
              </w:rPr>
              <w:tab/>
            </w:r>
            <w:r w:rsidRPr="00C33B5F" w:rsidR="003A6B91">
              <w:rPr>
                <w:rStyle w:val="Hyperlink"/>
                <w:rFonts w:eastAsia="Calibri"/>
                <w:noProof/>
              </w:rPr>
              <w:t>Responsible Entities</w:t>
            </w:r>
            <w:r w:rsidR="003A6B91">
              <w:rPr>
                <w:noProof/>
                <w:webHidden/>
              </w:rPr>
              <w:tab/>
            </w:r>
            <w:r w:rsidR="003A6B91">
              <w:rPr>
                <w:noProof/>
                <w:webHidden/>
              </w:rPr>
              <w:fldChar w:fldCharType="begin"/>
            </w:r>
            <w:r w:rsidR="003A6B91">
              <w:rPr>
                <w:noProof/>
                <w:webHidden/>
              </w:rPr>
              <w:instrText xml:space="preserve"> PAGEREF _Toc149134310 \h </w:instrText>
            </w:r>
            <w:r w:rsidR="003A6B91">
              <w:rPr>
                <w:noProof/>
                <w:webHidden/>
              </w:rPr>
            </w:r>
            <w:r w:rsidR="003A6B91">
              <w:rPr>
                <w:noProof/>
                <w:webHidden/>
              </w:rPr>
              <w:fldChar w:fldCharType="separate"/>
            </w:r>
            <w:r w:rsidR="003A6B91">
              <w:rPr>
                <w:noProof/>
                <w:webHidden/>
              </w:rPr>
              <w:t>12</w:t>
            </w:r>
            <w:r w:rsidR="003A6B91">
              <w:rPr>
                <w:noProof/>
                <w:webHidden/>
              </w:rPr>
              <w:fldChar w:fldCharType="end"/>
            </w:r>
          </w:hyperlink>
        </w:p>
        <w:p w:rsidR="003A6B91" w:rsidP="003A6B91" w:rsidRDefault="00DF0B26" w14:paraId="73E6F5EC" w14:textId="0FF934C6">
          <w:pPr>
            <w:pStyle w:val="TOC1"/>
            <w:rPr>
              <w:rFonts w:cstheme="minorBidi"/>
              <w:noProof/>
              <w:kern w:val="2"/>
              <w14:ligatures w14:val="standardContextual"/>
            </w:rPr>
          </w:pPr>
          <w:hyperlink w:history="1" w:anchor="_Toc149134311">
            <w:r w:rsidRPr="00C33B5F" w:rsidR="003A6B91">
              <w:rPr>
                <w:rStyle w:val="Hyperlink"/>
                <w:rFonts w:eastAsia="Calibri"/>
                <w:noProof/>
              </w:rPr>
              <w:t>5.</w:t>
            </w:r>
            <w:r w:rsidR="003A6B91">
              <w:rPr>
                <w:rFonts w:cstheme="minorBidi"/>
                <w:noProof/>
                <w:kern w:val="2"/>
                <w14:ligatures w14:val="standardContextual"/>
              </w:rPr>
              <w:tab/>
            </w:r>
            <w:r w:rsidRPr="00C33B5F" w:rsidR="003A6B91">
              <w:rPr>
                <w:rStyle w:val="Hyperlink"/>
                <w:rFonts w:eastAsia="Calibri"/>
                <w:noProof/>
              </w:rPr>
              <w:t>Eligible Entities</w:t>
            </w:r>
            <w:r w:rsidR="003A6B91">
              <w:rPr>
                <w:noProof/>
                <w:webHidden/>
              </w:rPr>
              <w:tab/>
            </w:r>
            <w:r w:rsidR="003A6B91">
              <w:rPr>
                <w:noProof/>
                <w:webHidden/>
              </w:rPr>
              <w:fldChar w:fldCharType="begin"/>
            </w:r>
            <w:r w:rsidR="003A6B91">
              <w:rPr>
                <w:noProof/>
                <w:webHidden/>
              </w:rPr>
              <w:instrText xml:space="preserve"> PAGEREF _Toc149134311 \h </w:instrText>
            </w:r>
            <w:r w:rsidR="003A6B91">
              <w:rPr>
                <w:noProof/>
                <w:webHidden/>
              </w:rPr>
            </w:r>
            <w:r w:rsidR="003A6B91">
              <w:rPr>
                <w:noProof/>
                <w:webHidden/>
              </w:rPr>
              <w:fldChar w:fldCharType="separate"/>
            </w:r>
            <w:r w:rsidR="003A6B91">
              <w:rPr>
                <w:noProof/>
                <w:webHidden/>
              </w:rPr>
              <w:t>14</w:t>
            </w:r>
            <w:r w:rsidR="003A6B91">
              <w:rPr>
                <w:noProof/>
                <w:webHidden/>
              </w:rPr>
              <w:fldChar w:fldCharType="end"/>
            </w:r>
          </w:hyperlink>
        </w:p>
        <w:p w:rsidR="003A6B91" w:rsidP="003A6B91" w:rsidRDefault="00DF0B26" w14:paraId="7E7547DB" w14:textId="2950A7F7">
          <w:pPr>
            <w:pStyle w:val="TOC1"/>
            <w:rPr>
              <w:rFonts w:cstheme="minorBidi"/>
              <w:noProof/>
              <w:kern w:val="2"/>
              <w14:ligatures w14:val="standardContextual"/>
            </w:rPr>
          </w:pPr>
          <w:hyperlink w:history="1" w:anchor="_Toc149134312">
            <w:r w:rsidRPr="00C33B5F" w:rsidR="003A6B91">
              <w:rPr>
                <w:rStyle w:val="Hyperlink"/>
                <w:rFonts w:eastAsia="Calibri"/>
                <w:noProof/>
              </w:rPr>
              <w:t>6.</w:t>
            </w:r>
            <w:r w:rsidR="003A6B91">
              <w:rPr>
                <w:rFonts w:cstheme="minorBidi"/>
                <w:noProof/>
                <w:kern w:val="2"/>
                <w14:ligatures w14:val="standardContextual"/>
              </w:rPr>
              <w:tab/>
            </w:r>
            <w:r w:rsidRPr="00C33B5F" w:rsidR="003A6B91">
              <w:rPr>
                <w:rStyle w:val="Hyperlink"/>
                <w:rFonts w:eastAsia="Calibri"/>
                <w:noProof/>
              </w:rPr>
              <w:t>Loan Loss Program Credit Enhancement</w:t>
            </w:r>
            <w:r w:rsidR="003A6B91">
              <w:rPr>
                <w:noProof/>
                <w:webHidden/>
              </w:rPr>
              <w:tab/>
            </w:r>
            <w:r w:rsidR="003A6B91">
              <w:rPr>
                <w:noProof/>
                <w:webHidden/>
              </w:rPr>
              <w:fldChar w:fldCharType="begin"/>
            </w:r>
            <w:r w:rsidR="003A6B91">
              <w:rPr>
                <w:noProof/>
                <w:webHidden/>
              </w:rPr>
              <w:instrText xml:space="preserve"> PAGEREF _Toc149134312 \h </w:instrText>
            </w:r>
            <w:r w:rsidR="003A6B91">
              <w:rPr>
                <w:noProof/>
                <w:webHidden/>
              </w:rPr>
            </w:r>
            <w:r w:rsidR="003A6B91">
              <w:rPr>
                <w:noProof/>
                <w:webHidden/>
              </w:rPr>
              <w:fldChar w:fldCharType="separate"/>
            </w:r>
            <w:r w:rsidR="003A6B91">
              <w:rPr>
                <w:noProof/>
                <w:webHidden/>
              </w:rPr>
              <w:t>14</w:t>
            </w:r>
            <w:r w:rsidR="003A6B91">
              <w:rPr>
                <w:noProof/>
                <w:webHidden/>
              </w:rPr>
              <w:fldChar w:fldCharType="end"/>
            </w:r>
          </w:hyperlink>
        </w:p>
        <w:p w:rsidR="003A6B91" w:rsidRDefault="00DF0B26" w14:paraId="745296C4" w14:textId="1B323CA3">
          <w:pPr>
            <w:pStyle w:val="TOC2"/>
            <w:rPr>
              <w:rFonts w:cstheme="minorBidi"/>
              <w:noProof/>
              <w:kern w:val="2"/>
              <w14:ligatures w14:val="standardContextual"/>
            </w:rPr>
          </w:pPr>
          <w:hyperlink w:history="1" w:anchor="_Toc149134313">
            <w:r w:rsidRPr="00C33B5F" w:rsidR="003A6B91">
              <w:rPr>
                <w:rStyle w:val="Hyperlink"/>
                <w:noProof/>
              </w:rPr>
              <w:t>6.1</w:t>
            </w:r>
            <w:r w:rsidR="003A6B91">
              <w:rPr>
                <w:rFonts w:cstheme="minorBidi"/>
                <w:noProof/>
                <w:kern w:val="2"/>
                <w14:ligatures w14:val="standardContextual"/>
              </w:rPr>
              <w:tab/>
            </w:r>
            <w:r w:rsidRPr="00C33B5F" w:rsidR="003A6B91">
              <w:rPr>
                <w:rStyle w:val="Hyperlink"/>
                <w:noProof/>
              </w:rPr>
              <w:t>Debt Service as a Credit Enhancement</w:t>
            </w:r>
            <w:r w:rsidR="003A6B91">
              <w:rPr>
                <w:noProof/>
                <w:webHidden/>
              </w:rPr>
              <w:tab/>
            </w:r>
            <w:r w:rsidR="003A6B91">
              <w:rPr>
                <w:noProof/>
                <w:webHidden/>
              </w:rPr>
              <w:fldChar w:fldCharType="begin"/>
            </w:r>
            <w:r w:rsidR="003A6B91">
              <w:rPr>
                <w:noProof/>
                <w:webHidden/>
              </w:rPr>
              <w:instrText xml:space="preserve"> PAGEREF _Toc149134313 \h </w:instrText>
            </w:r>
            <w:r w:rsidR="003A6B91">
              <w:rPr>
                <w:noProof/>
                <w:webHidden/>
              </w:rPr>
            </w:r>
            <w:r w:rsidR="003A6B91">
              <w:rPr>
                <w:noProof/>
                <w:webHidden/>
              </w:rPr>
              <w:fldChar w:fldCharType="separate"/>
            </w:r>
            <w:r w:rsidR="003A6B91">
              <w:rPr>
                <w:noProof/>
                <w:webHidden/>
              </w:rPr>
              <w:t>15</w:t>
            </w:r>
            <w:r w:rsidR="003A6B91">
              <w:rPr>
                <w:noProof/>
                <w:webHidden/>
              </w:rPr>
              <w:fldChar w:fldCharType="end"/>
            </w:r>
          </w:hyperlink>
        </w:p>
        <w:p w:rsidR="003A6B91" w:rsidRDefault="00DF0B26" w14:paraId="1F6EC0EF" w14:textId="538D3F73">
          <w:pPr>
            <w:pStyle w:val="TOC3"/>
            <w:rPr>
              <w:rFonts w:cstheme="minorBidi"/>
              <w:noProof/>
              <w:kern w:val="2"/>
              <w14:ligatures w14:val="standardContextual"/>
            </w:rPr>
          </w:pPr>
          <w:hyperlink w:history="1" w:anchor="_Toc149134314">
            <w:r w:rsidRPr="00C33B5F" w:rsidR="003A6B91">
              <w:rPr>
                <w:rStyle w:val="Hyperlink"/>
                <w:noProof/>
              </w:rPr>
              <w:t>6.1.1</w:t>
            </w:r>
            <w:r w:rsidR="003A6B91">
              <w:rPr>
                <w:rFonts w:cstheme="minorBidi"/>
                <w:noProof/>
                <w:kern w:val="2"/>
                <w14:ligatures w14:val="standardContextual"/>
              </w:rPr>
              <w:tab/>
            </w:r>
            <w:r w:rsidRPr="00C33B5F" w:rsidR="003A6B91">
              <w:rPr>
                <w:rStyle w:val="Hyperlink"/>
                <w:noProof/>
              </w:rPr>
              <w:t>Debt Service Reserve Tax-Exempt Basis</w:t>
            </w:r>
            <w:r w:rsidR="003A6B91">
              <w:rPr>
                <w:noProof/>
                <w:webHidden/>
              </w:rPr>
              <w:tab/>
            </w:r>
            <w:r w:rsidR="003A6B91">
              <w:rPr>
                <w:noProof/>
                <w:webHidden/>
              </w:rPr>
              <w:fldChar w:fldCharType="begin"/>
            </w:r>
            <w:r w:rsidR="003A6B91">
              <w:rPr>
                <w:noProof/>
                <w:webHidden/>
              </w:rPr>
              <w:instrText xml:space="preserve"> PAGEREF _Toc149134314 \h </w:instrText>
            </w:r>
            <w:r w:rsidR="003A6B91">
              <w:rPr>
                <w:noProof/>
                <w:webHidden/>
              </w:rPr>
            </w:r>
            <w:r w:rsidR="003A6B91">
              <w:rPr>
                <w:noProof/>
                <w:webHidden/>
              </w:rPr>
              <w:fldChar w:fldCharType="separate"/>
            </w:r>
            <w:r w:rsidR="003A6B91">
              <w:rPr>
                <w:noProof/>
                <w:webHidden/>
              </w:rPr>
              <w:t>15</w:t>
            </w:r>
            <w:r w:rsidR="003A6B91">
              <w:rPr>
                <w:noProof/>
                <w:webHidden/>
              </w:rPr>
              <w:fldChar w:fldCharType="end"/>
            </w:r>
          </w:hyperlink>
        </w:p>
        <w:p w:rsidR="003A6B91" w:rsidRDefault="00DF0B26" w14:paraId="76EC61AB" w14:textId="0F1701CD">
          <w:pPr>
            <w:pStyle w:val="TOC3"/>
            <w:rPr>
              <w:rFonts w:cstheme="minorBidi"/>
              <w:noProof/>
              <w:kern w:val="2"/>
              <w14:ligatures w14:val="standardContextual"/>
            </w:rPr>
          </w:pPr>
          <w:hyperlink w:history="1" w:anchor="_Toc149134315">
            <w:r w:rsidRPr="00C33B5F" w:rsidR="003A6B91">
              <w:rPr>
                <w:rStyle w:val="Hyperlink"/>
                <w:noProof/>
              </w:rPr>
              <w:t>6.1.2</w:t>
            </w:r>
            <w:r w:rsidR="003A6B91">
              <w:rPr>
                <w:rFonts w:cstheme="minorBidi"/>
                <w:noProof/>
                <w:kern w:val="2"/>
                <w14:ligatures w14:val="standardContextual"/>
              </w:rPr>
              <w:tab/>
            </w:r>
            <w:r w:rsidRPr="00C33B5F" w:rsidR="003A6B91">
              <w:rPr>
                <w:rStyle w:val="Hyperlink"/>
                <w:noProof/>
              </w:rPr>
              <w:t>Debt Service Reserve Guarantee Repayment Seniority</w:t>
            </w:r>
            <w:r w:rsidR="003A6B91">
              <w:rPr>
                <w:noProof/>
                <w:webHidden/>
              </w:rPr>
              <w:tab/>
            </w:r>
            <w:r w:rsidR="003A6B91">
              <w:rPr>
                <w:noProof/>
                <w:webHidden/>
              </w:rPr>
              <w:fldChar w:fldCharType="begin"/>
            </w:r>
            <w:r w:rsidR="003A6B91">
              <w:rPr>
                <w:noProof/>
                <w:webHidden/>
              </w:rPr>
              <w:instrText xml:space="preserve"> PAGEREF _Toc149134315 \h </w:instrText>
            </w:r>
            <w:r w:rsidR="003A6B91">
              <w:rPr>
                <w:noProof/>
                <w:webHidden/>
              </w:rPr>
            </w:r>
            <w:r w:rsidR="003A6B91">
              <w:rPr>
                <w:noProof/>
                <w:webHidden/>
              </w:rPr>
              <w:fldChar w:fldCharType="separate"/>
            </w:r>
            <w:r w:rsidR="003A6B91">
              <w:rPr>
                <w:noProof/>
                <w:webHidden/>
              </w:rPr>
              <w:t>15</w:t>
            </w:r>
            <w:r w:rsidR="003A6B91">
              <w:rPr>
                <w:noProof/>
                <w:webHidden/>
              </w:rPr>
              <w:fldChar w:fldCharType="end"/>
            </w:r>
          </w:hyperlink>
        </w:p>
        <w:p w:rsidR="003A6B91" w:rsidRDefault="00DF0B26" w14:paraId="656BDCF2" w14:textId="7304E36D">
          <w:pPr>
            <w:pStyle w:val="TOC2"/>
            <w:rPr>
              <w:rFonts w:cstheme="minorBidi"/>
              <w:noProof/>
              <w:kern w:val="2"/>
              <w14:ligatures w14:val="standardContextual"/>
            </w:rPr>
          </w:pPr>
          <w:hyperlink w:history="1" w:anchor="_Toc149134316">
            <w:r w:rsidRPr="00C33B5F" w:rsidR="003A6B91">
              <w:rPr>
                <w:rStyle w:val="Hyperlink"/>
                <w:noProof/>
              </w:rPr>
              <w:t>6.2</w:t>
            </w:r>
            <w:r w:rsidR="003A6B91">
              <w:rPr>
                <w:rFonts w:cstheme="minorBidi"/>
                <w:noProof/>
                <w:kern w:val="2"/>
                <w14:ligatures w14:val="standardContextual"/>
              </w:rPr>
              <w:tab/>
            </w:r>
            <w:r w:rsidRPr="00C33B5F" w:rsidR="003A6B91">
              <w:rPr>
                <w:rStyle w:val="Hyperlink"/>
                <w:noProof/>
              </w:rPr>
              <w:t>The DSR Guarantee</w:t>
            </w:r>
            <w:r w:rsidR="003A6B91">
              <w:rPr>
                <w:noProof/>
                <w:webHidden/>
              </w:rPr>
              <w:tab/>
            </w:r>
            <w:r w:rsidR="003A6B91">
              <w:rPr>
                <w:noProof/>
                <w:webHidden/>
              </w:rPr>
              <w:fldChar w:fldCharType="begin"/>
            </w:r>
            <w:r w:rsidR="003A6B91">
              <w:rPr>
                <w:noProof/>
                <w:webHidden/>
              </w:rPr>
              <w:instrText xml:space="preserve"> PAGEREF _Toc149134316 \h </w:instrText>
            </w:r>
            <w:r w:rsidR="003A6B91">
              <w:rPr>
                <w:noProof/>
                <w:webHidden/>
              </w:rPr>
            </w:r>
            <w:r w:rsidR="003A6B91">
              <w:rPr>
                <w:noProof/>
                <w:webHidden/>
              </w:rPr>
              <w:fldChar w:fldCharType="separate"/>
            </w:r>
            <w:r w:rsidR="003A6B91">
              <w:rPr>
                <w:noProof/>
                <w:webHidden/>
              </w:rPr>
              <w:t>16</w:t>
            </w:r>
            <w:r w:rsidR="003A6B91">
              <w:rPr>
                <w:noProof/>
                <w:webHidden/>
              </w:rPr>
              <w:fldChar w:fldCharType="end"/>
            </w:r>
          </w:hyperlink>
        </w:p>
        <w:p w:rsidR="003A6B91" w:rsidRDefault="00DF0B26" w14:paraId="76082B9E" w14:textId="517FBCA2">
          <w:pPr>
            <w:pStyle w:val="TOC3"/>
            <w:rPr>
              <w:rFonts w:cstheme="minorBidi"/>
              <w:noProof/>
              <w:kern w:val="2"/>
              <w14:ligatures w14:val="standardContextual"/>
            </w:rPr>
          </w:pPr>
          <w:hyperlink w:history="1" w:anchor="_Toc149134317">
            <w:r w:rsidRPr="00C33B5F" w:rsidR="003A6B91">
              <w:rPr>
                <w:rStyle w:val="Hyperlink"/>
                <w:noProof/>
              </w:rPr>
              <w:t>6.2.1</w:t>
            </w:r>
            <w:r w:rsidR="003A6B91">
              <w:rPr>
                <w:rFonts w:cstheme="minorBidi"/>
                <w:noProof/>
                <w:kern w:val="2"/>
                <w14:ligatures w14:val="standardContextual"/>
              </w:rPr>
              <w:tab/>
            </w:r>
            <w:r w:rsidRPr="00C33B5F" w:rsidR="003A6B91">
              <w:rPr>
                <w:rStyle w:val="Hyperlink"/>
                <w:noProof/>
              </w:rPr>
              <w:t>DSR Guarantee Release of Guarantee from Awardee</w:t>
            </w:r>
            <w:r w:rsidR="003A6B91">
              <w:rPr>
                <w:noProof/>
                <w:webHidden/>
              </w:rPr>
              <w:tab/>
            </w:r>
            <w:r w:rsidR="003A6B91">
              <w:rPr>
                <w:noProof/>
                <w:webHidden/>
              </w:rPr>
              <w:fldChar w:fldCharType="begin"/>
            </w:r>
            <w:r w:rsidR="003A6B91">
              <w:rPr>
                <w:noProof/>
                <w:webHidden/>
              </w:rPr>
              <w:instrText xml:space="preserve"> PAGEREF _Toc149134317 \h </w:instrText>
            </w:r>
            <w:r w:rsidR="003A6B91">
              <w:rPr>
                <w:noProof/>
                <w:webHidden/>
              </w:rPr>
            </w:r>
            <w:r w:rsidR="003A6B91">
              <w:rPr>
                <w:noProof/>
                <w:webHidden/>
              </w:rPr>
              <w:fldChar w:fldCharType="separate"/>
            </w:r>
            <w:r w:rsidR="003A6B91">
              <w:rPr>
                <w:noProof/>
                <w:webHidden/>
              </w:rPr>
              <w:t>16</w:t>
            </w:r>
            <w:r w:rsidR="003A6B91">
              <w:rPr>
                <w:noProof/>
                <w:webHidden/>
              </w:rPr>
              <w:fldChar w:fldCharType="end"/>
            </w:r>
          </w:hyperlink>
        </w:p>
        <w:p w:rsidR="003A6B91" w:rsidRDefault="00DF0B26" w14:paraId="327E4855" w14:textId="28E51581">
          <w:pPr>
            <w:pStyle w:val="TOC3"/>
            <w:rPr>
              <w:rFonts w:cstheme="minorBidi"/>
              <w:noProof/>
              <w:kern w:val="2"/>
              <w14:ligatures w14:val="standardContextual"/>
            </w:rPr>
          </w:pPr>
          <w:hyperlink w:history="1" w:anchor="_Toc149134318">
            <w:r w:rsidRPr="00C33B5F" w:rsidR="003A6B91">
              <w:rPr>
                <w:rStyle w:val="Hyperlink"/>
                <w:noProof/>
              </w:rPr>
              <w:t>6.2.2</w:t>
            </w:r>
            <w:r w:rsidR="003A6B91">
              <w:rPr>
                <w:rFonts w:cstheme="minorBidi"/>
                <w:noProof/>
                <w:kern w:val="2"/>
                <w14:ligatures w14:val="standardContextual"/>
              </w:rPr>
              <w:tab/>
            </w:r>
            <w:r w:rsidRPr="00C33B5F" w:rsidR="003A6B91">
              <w:rPr>
                <w:rStyle w:val="Hyperlink"/>
                <w:noProof/>
              </w:rPr>
              <w:t>DSR Guarantee Earned Interest</w:t>
            </w:r>
            <w:r w:rsidR="003A6B91">
              <w:rPr>
                <w:noProof/>
                <w:webHidden/>
              </w:rPr>
              <w:tab/>
            </w:r>
            <w:r w:rsidR="003A6B91">
              <w:rPr>
                <w:noProof/>
                <w:webHidden/>
              </w:rPr>
              <w:fldChar w:fldCharType="begin"/>
            </w:r>
            <w:r w:rsidR="003A6B91">
              <w:rPr>
                <w:noProof/>
                <w:webHidden/>
              </w:rPr>
              <w:instrText xml:space="preserve"> PAGEREF _Toc149134318 \h </w:instrText>
            </w:r>
            <w:r w:rsidR="003A6B91">
              <w:rPr>
                <w:noProof/>
                <w:webHidden/>
              </w:rPr>
            </w:r>
            <w:r w:rsidR="003A6B91">
              <w:rPr>
                <w:noProof/>
                <w:webHidden/>
              </w:rPr>
              <w:fldChar w:fldCharType="separate"/>
            </w:r>
            <w:r w:rsidR="003A6B91">
              <w:rPr>
                <w:noProof/>
                <w:webHidden/>
              </w:rPr>
              <w:t>16</w:t>
            </w:r>
            <w:r w:rsidR="003A6B91">
              <w:rPr>
                <w:noProof/>
                <w:webHidden/>
              </w:rPr>
              <w:fldChar w:fldCharType="end"/>
            </w:r>
          </w:hyperlink>
        </w:p>
        <w:p w:rsidR="003A6B91" w:rsidRDefault="00DF0B26" w14:paraId="31A9A924" w14:textId="23DEFF82">
          <w:pPr>
            <w:pStyle w:val="TOC3"/>
            <w:rPr>
              <w:rFonts w:cstheme="minorBidi"/>
              <w:noProof/>
              <w:kern w:val="2"/>
              <w14:ligatures w14:val="standardContextual"/>
            </w:rPr>
          </w:pPr>
          <w:hyperlink w:history="1" w:anchor="_Toc149134329">
            <w:r w:rsidRPr="00C33B5F" w:rsidR="003A6B91">
              <w:rPr>
                <w:rStyle w:val="Hyperlink"/>
                <w:noProof/>
              </w:rPr>
              <w:t>6.2.3</w:t>
            </w:r>
            <w:r w:rsidR="003A6B91">
              <w:rPr>
                <w:rFonts w:cstheme="minorBidi"/>
                <w:noProof/>
                <w:kern w:val="2"/>
                <w14:ligatures w14:val="standardContextual"/>
              </w:rPr>
              <w:tab/>
            </w:r>
            <w:r w:rsidRPr="00C33B5F" w:rsidR="003A6B91">
              <w:rPr>
                <w:rStyle w:val="Hyperlink"/>
                <w:noProof/>
              </w:rPr>
              <w:t>DSR Guarantee Location</w:t>
            </w:r>
            <w:r w:rsidR="003A6B91">
              <w:rPr>
                <w:noProof/>
                <w:webHidden/>
              </w:rPr>
              <w:tab/>
            </w:r>
            <w:r w:rsidR="003A6B91">
              <w:rPr>
                <w:noProof/>
                <w:webHidden/>
              </w:rPr>
              <w:fldChar w:fldCharType="begin"/>
            </w:r>
            <w:r w:rsidR="003A6B91">
              <w:rPr>
                <w:noProof/>
                <w:webHidden/>
              </w:rPr>
              <w:instrText xml:space="preserve"> PAGEREF _Toc149134329 \h </w:instrText>
            </w:r>
            <w:r w:rsidR="003A6B91">
              <w:rPr>
                <w:noProof/>
                <w:webHidden/>
              </w:rPr>
            </w:r>
            <w:r w:rsidR="003A6B91">
              <w:rPr>
                <w:noProof/>
                <w:webHidden/>
              </w:rPr>
              <w:fldChar w:fldCharType="separate"/>
            </w:r>
            <w:r w:rsidR="003A6B91">
              <w:rPr>
                <w:noProof/>
                <w:webHidden/>
              </w:rPr>
              <w:t>16</w:t>
            </w:r>
            <w:r w:rsidR="003A6B91">
              <w:rPr>
                <w:noProof/>
                <w:webHidden/>
              </w:rPr>
              <w:fldChar w:fldCharType="end"/>
            </w:r>
          </w:hyperlink>
        </w:p>
        <w:p w:rsidR="003A6B91" w:rsidRDefault="00DF0B26" w14:paraId="54CA8FC3" w14:textId="48A06528">
          <w:pPr>
            <w:pStyle w:val="TOC2"/>
            <w:rPr>
              <w:rFonts w:cstheme="minorBidi"/>
              <w:noProof/>
              <w:kern w:val="2"/>
              <w14:ligatures w14:val="standardContextual"/>
            </w:rPr>
          </w:pPr>
          <w:hyperlink w:history="1" w:anchor="_Toc149134330">
            <w:r w:rsidRPr="00C33B5F" w:rsidR="003A6B91">
              <w:rPr>
                <w:rStyle w:val="Hyperlink"/>
                <w:noProof/>
              </w:rPr>
              <w:t>6.3</w:t>
            </w:r>
            <w:r w:rsidR="003A6B91">
              <w:rPr>
                <w:rFonts w:cstheme="minorBidi"/>
                <w:noProof/>
                <w:kern w:val="2"/>
                <w14:ligatures w14:val="standardContextual"/>
              </w:rPr>
              <w:tab/>
            </w:r>
            <w:r w:rsidRPr="00C33B5F" w:rsidR="003A6B91">
              <w:rPr>
                <w:rStyle w:val="Hyperlink"/>
                <w:noProof/>
              </w:rPr>
              <w:t>Loan Loss Program and Multiple Eligible Debt Issuances</w:t>
            </w:r>
            <w:r w:rsidR="003A6B91">
              <w:rPr>
                <w:noProof/>
                <w:webHidden/>
              </w:rPr>
              <w:tab/>
            </w:r>
            <w:r w:rsidR="003A6B91">
              <w:rPr>
                <w:noProof/>
                <w:webHidden/>
              </w:rPr>
              <w:fldChar w:fldCharType="begin"/>
            </w:r>
            <w:r w:rsidR="003A6B91">
              <w:rPr>
                <w:noProof/>
                <w:webHidden/>
              </w:rPr>
              <w:instrText xml:space="preserve"> PAGEREF _Toc149134330 \h </w:instrText>
            </w:r>
            <w:r w:rsidR="003A6B91">
              <w:rPr>
                <w:noProof/>
                <w:webHidden/>
              </w:rPr>
            </w:r>
            <w:r w:rsidR="003A6B91">
              <w:rPr>
                <w:noProof/>
                <w:webHidden/>
              </w:rPr>
              <w:fldChar w:fldCharType="separate"/>
            </w:r>
            <w:r w:rsidR="003A6B91">
              <w:rPr>
                <w:noProof/>
                <w:webHidden/>
              </w:rPr>
              <w:t>16</w:t>
            </w:r>
            <w:r w:rsidR="003A6B91">
              <w:rPr>
                <w:noProof/>
                <w:webHidden/>
              </w:rPr>
              <w:fldChar w:fldCharType="end"/>
            </w:r>
          </w:hyperlink>
        </w:p>
        <w:p w:rsidR="003A6B91" w:rsidRDefault="00DF0B26" w14:paraId="79FA02D4" w14:textId="3089F42F">
          <w:pPr>
            <w:pStyle w:val="TOC2"/>
            <w:rPr>
              <w:rFonts w:cstheme="minorBidi"/>
              <w:noProof/>
              <w:kern w:val="2"/>
              <w14:ligatures w14:val="standardContextual"/>
            </w:rPr>
          </w:pPr>
          <w:hyperlink w:history="1" w:anchor="_Toc149134331">
            <w:r w:rsidRPr="00C33B5F" w:rsidR="003A6B91">
              <w:rPr>
                <w:rStyle w:val="Hyperlink"/>
                <w:noProof/>
              </w:rPr>
              <w:t>6.4</w:t>
            </w:r>
            <w:r w:rsidR="003A6B91">
              <w:rPr>
                <w:rFonts w:cstheme="minorBidi"/>
                <w:noProof/>
                <w:kern w:val="2"/>
                <w14:ligatures w14:val="standardContextual"/>
              </w:rPr>
              <w:tab/>
            </w:r>
            <w:r w:rsidRPr="00C33B5F" w:rsidR="003A6B91">
              <w:rPr>
                <w:rStyle w:val="Hyperlink"/>
                <w:noProof/>
              </w:rPr>
              <w:t>Loan Loss Program Funding Allocation Timing</w:t>
            </w:r>
            <w:r w:rsidR="003A6B91">
              <w:rPr>
                <w:noProof/>
                <w:webHidden/>
              </w:rPr>
              <w:tab/>
            </w:r>
            <w:r w:rsidR="003A6B91">
              <w:rPr>
                <w:noProof/>
                <w:webHidden/>
              </w:rPr>
              <w:fldChar w:fldCharType="begin"/>
            </w:r>
            <w:r w:rsidR="003A6B91">
              <w:rPr>
                <w:noProof/>
                <w:webHidden/>
              </w:rPr>
              <w:instrText xml:space="preserve"> PAGEREF _Toc149134331 \h </w:instrText>
            </w:r>
            <w:r w:rsidR="003A6B91">
              <w:rPr>
                <w:noProof/>
                <w:webHidden/>
              </w:rPr>
            </w:r>
            <w:r w:rsidR="003A6B91">
              <w:rPr>
                <w:noProof/>
                <w:webHidden/>
              </w:rPr>
              <w:fldChar w:fldCharType="separate"/>
            </w:r>
            <w:r w:rsidR="003A6B91">
              <w:rPr>
                <w:noProof/>
                <w:webHidden/>
              </w:rPr>
              <w:t>17</w:t>
            </w:r>
            <w:r w:rsidR="003A6B91">
              <w:rPr>
                <w:noProof/>
                <w:webHidden/>
              </w:rPr>
              <w:fldChar w:fldCharType="end"/>
            </w:r>
          </w:hyperlink>
        </w:p>
        <w:p w:rsidR="003A6B91" w:rsidRDefault="00DF0B26" w14:paraId="074B7ACD" w14:textId="52FBBD25">
          <w:pPr>
            <w:pStyle w:val="TOC2"/>
            <w:rPr>
              <w:rFonts w:cstheme="minorBidi"/>
              <w:noProof/>
              <w:kern w:val="2"/>
              <w14:ligatures w14:val="standardContextual"/>
            </w:rPr>
          </w:pPr>
          <w:hyperlink w:history="1" w:anchor="_Toc149134332">
            <w:r w:rsidRPr="00C33B5F" w:rsidR="003A6B91">
              <w:rPr>
                <w:rStyle w:val="Hyperlink"/>
                <w:noProof/>
              </w:rPr>
              <w:t>6.5</w:t>
            </w:r>
            <w:r w:rsidR="003A6B91">
              <w:rPr>
                <w:rFonts w:cstheme="minorBidi"/>
                <w:noProof/>
                <w:kern w:val="2"/>
                <w14:ligatures w14:val="standardContextual"/>
              </w:rPr>
              <w:tab/>
            </w:r>
            <w:r w:rsidRPr="00C33B5F" w:rsidR="003A6B91">
              <w:rPr>
                <w:rStyle w:val="Hyperlink"/>
                <w:noProof/>
              </w:rPr>
              <w:t>Loan Loss Program Matching Funds Are Not Required</w:t>
            </w:r>
            <w:r w:rsidR="003A6B91">
              <w:rPr>
                <w:noProof/>
                <w:webHidden/>
              </w:rPr>
              <w:tab/>
            </w:r>
            <w:r w:rsidR="003A6B91">
              <w:rPr>
                <w:noProof/>
                <w:webHidden/>
              </w:rPr>
              <w:fldChar w:fldCharType="begin"/>
            </w:r>
            <w:r w:rsidR="003A6B91">
              <w:rPr>
                <w:noProof/>
                <w:webHidden/>
              </w:rPr>
              <w:instrText xml:space="preserve"> PAGEREF _Toc149134332 \h </w:instrText>
            </w:r>
            <w:r w:rsidR="003A6B91">
              <w:rPr>
                <w:noProof/>
                <w:webHidden/>
              </w:rPr>
            </w:r>
            <w:r w:rsidR="003A6B91">
              <w:rPr>
                <w:noProof/>
                <w:webHidden/>
              </w:rPr>
              <w:fldChar w:fldCharType="separate"/>
            </w:r>
            <w:r w:rsidR="003A6B91">
              <w:rPr>
                <w:noProof/>
                <w:webHidden/>
              </w:rPr>
              <w:t>17</w:t>
            </w:r>
            <w:r w:rsidR="003A6B91">
              <w:rPr>
                <w:noProof/>
                <w:webHidden/>
              </w:rPr>
              <w:fldChar w:fldCharType="end"/>
            </w:r>
          </w:hyperlink>
        </w:p>
        <w:p w:rsidR="003A6B91" w:rsidRDefault="00DF0B26" w14:paraId="75B2C0A5" w14:textId="39A83F1B">
          <w:pPr>
            <w:pStyle w:val="TOC2"/>
            <w:rPr>
              <w:rFonts w:cstheme="minorBidi"/>
              <w:noProof/>
              <w:kern w:val="2"/>
              <w14:ligatures w14:val="standardContextual"/>
            </w:rPr>
          </w:pPr>
          <w:hyperlink w:history="1" w:anchor="_Toc149134333">
            <w:r w:rsidRPr="00C33B5F" w:rsidR="003A6B91">
              <w:rPr>
                <w:rStyle w:val="Hyperlink"/>
                <w:noProof/>
              </w:rPr>
              <w:t>6.6</w:t>
            </w:r>
            <w:r w:rsidR="003A6B91">
              <w:rPr>
                <w:rFonts w:cstheme="minorBidi"/>
                <w:noProof/>
                <w:kern w:val="2"/>
                <w14:ligatures w14:val="standardContextual"/>
              </w:rPr>
              <w:tab/>
            </w:r>
            <w:r w:rsidRPr="00C33B5F" w:rsidR="003A6B91">
              <w:rPr>
                <w:rStyle w:val="Hyperlink"/>
                <w:noProof/>
              </w:rPr>
              <w:t>Provisions for Increased Capitalized Interest After Application Approval</w:t>
            </w:r>
            <w:r w:rsidR="003A6B91">
              <w:rPr>
                <w:noProof/>
                <w:webHidden/>
              </w:rPr>
              <w:tab/>
            </w:r>
            <w:r w:rsidR="003A6B91">
              <w:rPr>
                <w:noProof/>
                <w:webHidden/>
              </w:rPr>
              <w:fldChar w:fldCharType="begin"/>
            </w:r>
            <w:r w:rsidR="003A6B91">
              <w:rPr>
                <w:noProof/>
                <w:webHidden/>
              </w:rPr>
              <w:instrText xml:space="preserve"> PAGEREF _Toc149134333 \h </w:instrText>
            </w:r>
            <w:r w:rsidR="003A6B91">
              <w:rPr>
                <w:noProof/>
                <w:webHidden/>
              </w:rPr>
            </w:r>
            <w:r w:rsidR="003A6B91">
              <w:rPr>
                <w:noProof/>
                <w:webHidden/>
              </w:rPr>
              <w:fldChar w:fldCharType="separate"/>
            </w:r>
            <w:r w:rsidR="003A6B91">
              <w:rPr>
                <w:noProof/>
                <w:webHidden/>
              </w:rPr>
              <w:t>17</w:t>
            </w:r>
            <w:r w:rsidR="003A6B91">
              <w:rPr>
                <w:noProof/>
                <w:webHidden/>
              </w:rPr>
              <w:fldChar w:fldCharType="end"/>
            </w:r>
          </w:hyperlink>
        </w:p>
        <w:p w:rsidR="003A6B91" w:rsidRDefault="00DF0B26" w14:paraId="6595604B" w14:textId="4878D299">
          <w:pPr>
            <w:pStyle w:val="TOC2"/>
            <w:rPr>
              <w:rFonts w:cstheme="minorBidi"/>
              <w:noProof/>
              <w:kern w:val="2"/>
              <w14:ligatures w14:val="standardContextual"/>
            </w:rPr>
          </w:pPr>
          <w:hyperlink w:history="1" w:anchor="_Toc149134334">
            <w:r w:rsidRPr="00C33B5F" w:rsidR="003A6B91">
              <w:rPr>
                <w:rStyle w:val="Hyperlink"/>
                <w:noProof/>
              </w:rPr>
              <w:t>6.7</w:t>
            </w:r>
            <w:r w:rsidR="003A6B91">
              <w:rPr>
                <w:rFonts w:cstheme="minorBidi"/>
                <w:noProof/>
                <w:kern w:val="2"/>
                <w14:ligatures w14:val="standardContextual"/>
              </w:rPr>
              <w:tab/>
            </w:r>
            <w:r w:rsidRPr="00C33B5F" w:rsidR="003A6B91">
              <w:rPr>
                <w:rStyle w:val="Hyperlink"/>
                <w:noProof/>
              </w:rPr>
              <w:t>Required Bond Terms</w:t>
            </w:r>
            <w:r w:rsidR="003A6B91">
              <w:rPr>
                <w:noProof/>
                <w:webHidden/>
              </w:rPr>
              <w:tab/>
            </w:r>
            <w:r w:rsidR="003A6B91">
              <w:rPr>
                <w:noProof/>
                <w:webHidden/>
              </w:rPr>
              <w:fldChar w:fldCharType="begin"/>
            </w:r>
            <w:r w:rsidR="003A6B91">
              <w:rPr>
                <w:noProof/>
                <w:webHidden/>
              </w:rPr>
              <w:instrText xml:space="preserve"> PAGEREF _Toc149134334 \h </w:instrText>
            </w:r>
            <w:r w:rsidR="003A6B91">
              <w:rPr>
                <w:noProof/>
                <w:webHidden/>
              </w:rPr>
            </w:r>
            <w:r w:rsidR="003A6B91">
              <w:rPr>
                <w:noProof/>
                <w:webHidden/>
              </w:rPr>
              <w:fldChar w:fldCharType="separate"/>
            </w:r>
            <w:r w:rsidR="003A6B91">
              <w:rPr>
                <w:noProof/>
                <w:webHidden/>
              </w:rPr>
              <w:t>17</w:t>
            </w:r>
            <w:r w:rsidR="003A6B91">
              <w:rPr>
                <w:noProof/>
                <w:webHidden/>
              </w:rPr>
              <w:fldChar w:fldCharType="end"/>
            </w:r>
          </w:hyperlink>
        </w:p>
        <w:p w:rsidR="003A6B91" w:rsidRDefault="00DF0B26" w14:paraId="2E9BFBE2" w14:textId="3943585E">
          <w:pPr>
            <w:pStyle w:val="TOC2"/>
            <w:rPr>
              <w:rFonts w:cstheme="minorBidi"/>
              <w:noProof/>
              <w:kern w:val="2"/>
              <w14:ligatures w14:val="standardContextual"/>
            </w:rPr>
          </w:pPr>
          <w:hyperlink w:history="1" w:anchor="_Toc149134335">
            <w:r w:rsidRPr="00C33B5F" w:rsidR="003A6B91">
              <w:rPr>
                <w:rStyle w:val="Hyperlink"/>
                <w:noProof/>
              </w:rPr>
              <w:t>6.8</w:t>
            </w:r>
            <w:r w:rsidR="003A6B91">
              <w:rPr>
                <w:rFonts w:cstheme="minorBidi"/>
                <w:noProof/>
                <w:kern w:val="2"/>
                <w14:ligatures w14:val="standardContextual"/>
              </w:rPr>
              <w:tab/>
            </w:r>
            <w:r w:rsidRPr="00C33B5F" w:rsidR="003A6B91">
              <w:rPr>
                <w:rStyle w:val="Hyperlink"/>
                <w:noProof/>
              </w:rPr>
              <w:t>Loan Loss Program Eligible Capitalized Costs</w:t>
            </w:r>
            <w:r w:rsidR="003A6B91">
              <w:rPr>
                <w:noProof/>
                <w:webHidden/>
              </w:rPr>
              <w:tab/>
            </w:r>
            <w:r w:rsidR="003A6B91">
              <w:rPr>
                <w:noProof/>
                <w:webHidden/>
              </w:rPr>
              <w:fldChar w:fldCharType="begin"/>
            </w:r>
            <w:r w:rsidR="003A6B91">
              <w:rPr>
                <w:noProof/>
                <w:webHidden/>
              </w:rPr>
              <w:instrText xml:space="preserve"> PAGEREF _Toc149134335 \h </w:instrText>
            </w:r>
            <w:r w:rsidR="003A6B91">
              <w:rPr>
                <w:noProof/>
                <w:webHidden/>
              </w:rPr>
            </w:r>
            <w:r w:rsidR="003A6B91">
              <w:rPr>
                <w:noProof/>
                <w:webHidden/>
              </w:rPr>
              <w:fldChar w:fldCharType="separate"/>
            </w:r>
            <w:r w:rsidR="003A6B91">
              <w:rPr>
                <w:noProof/>
                <w:webHidden/>
              </w:rPr>
              <w:t>18</w:t>
            </w:r>
            <w:r w:rsidR="003A6B91">
              <w:rPr>
                <w:noProof/>
                <w:webHidden/>
              </w:rPr>
              <w:fldChar w:fldCharType="end"/>
            </w:r>
          </w:hyperlink>
        </w:p>
        <w:p w:rsidR="003A6B91" w:rsidRDefault="00DF0B26" w14:paraId="311AD063" w14:textId="4540B6E7">
          <w:pPr>
            <w:pStyle w:val="TOC2"/>
            <w:rPr>
              <w:rFonts w:cstheme="minorBidi"/>
              <w:noProof/>
              <w:kern w:val="2"/>
              <w14:ligatures w14:val="standardContextual"/>
            </w:rPr>
          </w:pPr>
          <w:hyperlink w:history="1" w:anchor="_Toc149134336">
            <w:r w:rsidRPr="00C33B5F" w:rsidR="003A6B91">
              <w:rPr>
                <w:rStyle w:val="Hyperlink"/>
                <w:noProof/>
              </w:rPr>
              <w:t>6.9</w:t>
            </w:r>
            <w:r w:rsidR="003A6B91">
              <w:rPr>
                <w:rFonts w:cstheme="minorBidi"/>
                <w:noProof/>
                <w:kern w:val="2"/>
                <w14:ligatures w14:val="standardContextual"/>
              </w:rPr>
              <w:tab/>
            </w:r>
            <w:r w:rsidRPr="00C33B5F" w:rsidR="003A6B91">
              <w:rPr>
                <w:rStyle w:val="Hyperlink"/>
                <w:noProof/>
              </w:rPr>
              <w:t>Loan Loss Program Funding Reservation Period</w:t>
            </w:r>
            <w:r w:rsidR="003A6B91">
              <w:rPr>
                <w:noProof/>
                <w:webHidden/>
              </w:rPr>
              <w:tab/>
            </w:r>
            <w:r w:rsidR="003A6B91">
              <w:rPr>
                <w:noProof/>
                <w:webHidden/>
              </w:rPr>
              <w:fldChar w:fldCharType="begin"/>
            </w:r>
            <w:r w:rsidR="003A6B91">
              <w:rPr>
                <w:noProof/>
                <w:webHidden/>
              </w:rPr>
              <w:instrText xml:space="preserve"> PAGEREF _Toc149134336 \h </w:instrText>
            </w:r>
            <w:r w:rsidR="003A6B91">
              <w:rPr>
                <w:noProof/>
                <w:webHidden/>
              </w:rPr>
            </w:r>
            <w:r w:rsidR="003A6B91">
              <w:rPr>
                <w:noProof/>
                <w:webHidden/>
              </w:rPr>
              <w:fldChar w:fldCharType="separate"/>
            </w:r>
            <w:r w:rsidR="003A6B91">
              <w:rPr>
                <w:noProof/>
                <w:webHidden/>
              </w:rPr>
              <w:t>18</w:t>
            </w:r>
            <w:r w:rsidR="003A6B91">
              <w:rPr>
                <w:noProof/>
                <w:webHidden/>
              </w:rPr>
              <w:fldChar w:fldCharType="end"/>
            </w:r>
          </w:hyperlink>
        </w:p>
        <w:p w:rsidR="003A6B91" w:rsidRDefault="00DF0B26" w14:paraId="6CB94426" w14:textId="280FF81B">
          <w:pPr>
            <w:pStyle w:val="TOC2"/>
            <w:rPr>
              <w:rFonts w:cstheme="minorBidi"/>
              <w:noProof/>
              <w:kern w:val="2"/>
              <w14:ligatures w14:val="standardContextual"/>
            </w:rPr>
          </w:pPr>
          <w:hyperlink w:history="1" w:anchor="_Toc149134337">
            <w:r w:rsidRPr="00C33B5F" w:rsidR="003A6B91">
              <w:rPr>
                <w:rStyle w:val="Hyperlink"/>
                <w:noProof/>
              </w:rPr>
              <w:t>6.10</w:t>
            </w:r>
            <w:r w:rsidR="003A6B91">
              <w:rPr>
                <w:rFonts w:cstheme="minorBidi"/>
                <w:noProof/>
                <w:kern w:val="2"/>
                <w14:ligatures w14:val="standardContextual"/>
              </w:rPr>
              <w:tab/>
            </w:r>
            <w:r w:rsidRPr="00C33B5F" w:rsidR="003A6B91">
              <w:rPr>
                <w:rStyle w:val="Hyperlink"/>
                <w:noProof/>
              </w:rPr>
              <w:t>Additional Support in the Event of Revenue Shortfalls</w:t>
            </w:r>
            <w:r w:rsidR="003A6B91">
              <w:rPr>
                <w:noProof/>
                <w:webHidden/>
              </w:rPr>
              <w:tab/>
            </w:r>
            <w:r w:rsidR="003A6B91">
              <w:rPr>
                <w:noProof/>
                <w:webHidden/>
              </w:rPr>
              <w:fldChar w:fldCharType="begin"/>
            </w:r>
            <w:r w:rsidR="003A6B91">
              <w:rPr>
                <w:noProof/>
                <w:webHidden/>
              </w:rPr>
              <w:instrText xml:space="preserve"> PAGEREF _Toc149134337 \h </w:instrText>
            </w:r>
            <w:r w:rsidR="003A6B91">
              <w:rPr>
                <w:noProof/>
                <w:webHidden/>
              </w:rPr>
            </w:r>
            <w:r w:rsidR="003A6B91">
              <w:rPr>
                <w:noProof/>
                <w:webHidden/>
              </w:rPr>
              <w:fldChar w:fldCharType="separate"/>
            </w:r>
            <w:r w:rsidR="003A6B91">
              <w:rPr>
                <w:noProof/>
                <w:webHidden/>
              </w:rPr>
              <w:t>18</w:t>
            </w:r>
            <w:r w:rsidR="003A6B91">
              <w:rPr>
                <w:noProof/>
                <w:webHidden/>
              </w:rPr>
              <w:fldChar w:fldCharType="end"/>
            </w:r>
          </w:hyperlink>
        </w:p>
        <w:p w:rsidR="003A6B91" w:rsidRDefault="00DF0B26" w14:paraId="1A784C02" w14:textId="4D23D293">
          <w:pPr>
            <w:pStyle w:val="TOC2"/>
            <w:rPr>
              <w:rFonts w:cstheme="minorBidi"/>
              <w:noProof/>
              <w:kern w:val="2"/>
              <w14:ligatures w14:val="standardContextual"/>
            </w:rPr>
          </w:pPr>
          <w:hyperlink w:history="1" w:anchor="_Toc149134338">
            <w:r w:rsidRPr="00C33B5F" w:rsidR="003A6B91">
              <w:rPr>
                <w:rStyle w:val="Hyperlink"/>
                <w:noProof/>
              </w:rPr>
              <w:t>6.11</w:t>
            </w:r>
            <w:r w:rsidR="003A6B91">
              <w:rPr>
                <w:rFonts w:cstheme="minorBidi"/>
                <w:noProof/>
                <w:kern w:val="2"/>
                <w14:ligatures w14:val="standardContextual"/>
              </w:rPr>
              <w:tab/>
            </w:r>
            <w:r w:rsidRPr="00C33B5F" w:rsidR="003A6B91">
              <w:rPr>
                <w:rStyle w:val="Hyperlink"/>
                <w:noProof/>
              </w:rPr>
              <w:t>Loan Loss Program Reporting</w:t>
            </w:r>
            <w:r w:rsidR="003A6B91">
              <w:rPr>
                <w:noProof/>
                <w:webHidden/>
              </w:rPr>
              <w:tab/>
            </w:r>
            <w:r w:rsidR="003A6B91">
              <w:rPr>
                <w:noProof/>
                <w:webHidden/>
              </w:rPr>
              <w:fldChar w:fldCharType="begin"/>
            </w:r>
            <w:r w:rsidR="003A6B91">
              <w:rPr>
                <w:noProof/>
                <w:webHidden/>
              </w:rPr>
              <w:instrText xml:space="preserve"> PAGEREF _Toc149134338 \h </w:instrText>
            </w:r>
            <w:r w:rsidR="003A6B91">
              <w:rPr>
                <w:noProof/>
                <w:webHidden/>
              </w:rPr>
            </w:r>
            <w:r w:rsidR="003A6B91">
              <w:rPr>
                <w:noProof/>
                <w:webHidden/>
              </w:rPr>
              <w:fldChar w:fldCharType="separate"/>
            </w:r>
            <w:r w:rsidR="003A6B91">
              <w:rPr>
                <w:noProof/>
                <w:webHidden/>
              </w:rPr>
              <w:t>19</w:t>
            </w:r>
            <w:r w:rsidR="003A6B91">
              <w:rPr>
                <w:noProof/>
                <w:webHidden/>
              </w:rPr>
              <w:fldChar w:fldCharType="end"/>
            </w:r>
          </w:hyperlink>
        </w:p>
        <w:p w:rsidR="003A6B91" w:rsidP="003A6B91" w:rsidRDefault="00DF0B26" w14:paraId="1408B947" w14:textId="164C5375">
          <w:pPr>
            <w:pStyle w:val="TOC1"/>
            <w:rPr>
              <w:rFonts w:cstheme="minorBidi"/>
              <w:noProof/>
              <w:kern w:val="2"/>
              <w14:ligatures w14:val="standardContextual"/>
            </w:rPr>
          </w:pPr>
          <w:hyperlink w:history="1" w:anchor="_Toc149134339">
            <w:r w:rsidRPr="00C33B5F" w:rsidR="003A6B91">
              <w:rPr>
                <w:rStyle w:val="Hyperlink"/>
                <w:rFonts w:eastAsia="Calibri"/>
                <w:noProof/>
              </w:rPr>
              <w:t>7.</w:t>
            </w:r>
            <w:r w:rsidR="003A6B91">
              <w:rPr>
                <w:rFonts w:cstheme="minorBidi"/>
                <w:noProof/>
                <w:kern w:val="2"/>
                <w14:ligatures w14:val="standardContextual"/>
              </w:rPr>
              <w:tab/>
            </w:r>
            <w:r w:rsidRPr="00C33B5F" w:rsidR="003A6B91">
              <w:rPr>
                <w:rStyle w:val="Hyperlink"/>
                <w:rFonts w:eastAsia="Calibri"/>
                <w:noProof/>
              </w:rPr>
              <w:t>Loan Loss Program Design</w:t>
            </w:r>
            <w:r w:rsidR="003A6B91">
              <w:rPr>
                <w:noProof/>
                <w:webHidden/>
              </w:rPr>
              <w:tab/>
            </w:r>
            <w:r w:rsidR="003A6B91">
              <w:rPr>
                <w:noProof/>
                <w:webHidden/>
              </w:rPr>
              <w:fldChar w:fldCharType="begin"/>
            </w:r>
            <w:r w:rsidR="003A6B91">
              <w:rPr>
                <w:noProof/>
                <w:webHidden/>
              </w:rPr>
              <w:instrText xml:space="preserve"> PAGEREF _Toc149134339 \h </w:instrText>
            </w:r>
            <w:r w:rsidR="003A6B91">
              <w:rPr>
                <w:noProof/>
                <w:webHidden/>
              </w:rPr>
            </w:r>
            <w:r w:rsidR="003A6B91">
              <w:rPr>
                <w:noProof/>
                <w:webHidden/>
              </w:rPr>
              <w:fldChar w:fldCharType="separate"/>
            </w:r>
            <w:r w:rsidR="003A6B91">
              <w:rPr>
                <w:noProof/>
                <w:webHidden/>
              </w:rPr>
              <w:t>19</w:t>
            </w:r>
            <w:r w:rsidR="003A6B91">
              <w:rPr>
                <w:noProof/>
                <w:webHidden/>
              </w:rPr>
              <w:fldChar w:fldCharType="end"/>
            </w:r>
          </w:hyperlink>
        </w:p>
        <w:p w:rsidR="003A6B91" w:rsidRDefault="00DF0B26" w14:paraId="2DB89663" w14:textId="3113F5DF">
          <w:pPr>
            <w:pStyle w:val="TOC2"/>
            <w:rPr>
              <w:rFonts w:cstheme="minorBidi"/>
              <w:noProof/>
              <w:kern w:val="2"/>
              <w14:ligatures w14:val="standardContextual"/>
            </w:rPr>
          </w:pPr>
          <w:hyperlink w:history="1" w:anchor="_Toc149134340">
            <w:r w:rsidRPr="00C33B5F" w:rsidR="003A6B91">
              <w:rPr>
                <w:rStyle w:val="Hyperlink"/>
                <w:noProof/>
              </w:rPr>
              <w:t>7.1</w:t>
            </w:r>
            <w:r w:rsidR="003A6B91">
              <w:rPr>
                <w:rFonts w:cstheme="minorBidi"/>
                <w:noProof/>
                <w:kern w:val="2"/>
                <w14:ligatures w14:val="standardContextual"/>
              </w:rPr>
              <w:tab/>
            </w:r>
            <w:r w:rsidRPr="00C33B5F" w:rsidR="003A6B91">
              <w:rPr>
                <w:rStyle w:val="Hyperlink"/>
                <w:noProof/>
              </w:rPr>
              <w:t>Loan Loss Program Funding Cycle</w:t>
            </w:r>
            <w:r w:rsidR="003A6B91">
              <w:rPr>
                <w:noProof/>
                <w:webHidden/>
              </w:rPr>
              <w:tab/>
            </w:r>
            <w:r w:rsidR="003A6B91">
              <w:rPr>
                <w:noProof/>
                <w:webHidden/>
              </w:rPr>
              <w:fldChar w:fldCharType="begin"/>
            </w:r>
            <w:r w:rsidR="003A6B91">
              <w:rPr>
                <w:noProof/>
                <w:webHidden/>
              </w:rPr>
              <w:instrText xml:space="preserve"> PAGEREF _Toc149134340 \h </w:instrText>
            </w:r>
            <w:r w:rsidR="003A6B91">
              <w:rPr>
                <w:noProof/>
                <w:webHidden/>
              </w:rPr>
            </w:r>
            <w:r w:rsidR="003A6B91">
              <w:rPr>
                <w:noProof/>
                <w:webHidden/>
              </w:rPr>
              <w:fldChar w:fldCharType="separate"/>
            </w:r>
            <w:r w:rsidR="003A6B91">
              <w:rPr>
                <w:noProof/>
                <w:webHidden/>
              </w:rPr>
              <w:t>19</w:t>
            </w:r>
            <w:r w:rsidR="003A6B91">
              <w:rPr>
                <w:noProof/>
                <w:webHidden/>
              </w:rPr>
              <w:fldChar w:fldCharType="end"/>
            </w:r>
          </w:hyperlink>
        </w:p>
        <w:p w:rsidR="003A6B91" w:rsidRDefault="00DF0B26" w14:paraId="1D6E1348" w14:textId="41EA2896">
          <w:pPr>
            <w:pStyle w:val="TOC2"/>
            <w:rPr>
              <w:rFonts w:cstheme="minorBidi"/>
              <w:noProof/>
              <w:kern w:val="2"/>
              <w14:ligatures w14:val="standardContextual"/>
            </w:rPr>
          </w:pPr>
          <w:hyperlink w:history="1" w:anchor="_Toc149134341">
            <w:r w:rsidRPr="00C33B5F" w:rsidR="003A6B91">
              <w:rPr>
                <w:rStyle w:val="Hyperlink"/>
                <w:noProof/>
              </w:rPr>
              <w:t>7.2</w:t>
            </w:r>
            <w:r w:rsidR="003A6B91">
              <w:rPr>
                <w:rFonts w:cstheme="minorBidi"/>
                <w:noProof/>
                <w:kern w:val="2"/>
                <w14:ligatures w14:val="standardContextual"/>
              </w:rPr>
              <w:tab/>
            </w:r>
            <w:r w:rsidRPr="00C33B5F" w:rsidR="003A6B91">
              <w:rPr>
                <w:rStyle w:val="Hyperlink"/>
                <w:noProof/>
              </w:rPr>
              <w:t>General Market, Tribal, and Equity Track Requirements</w:t>
            </w:r>
            <w:r w:rsidR="003A6B91">
              <w:rPr>
                <w:noProof/>
                <w:webHidden/>
              </w:rPr>
              <w:tab/>
            </w:r>
            <w:r w:rsidR="003A6B91">
              <w:rPr>
                <w:noProof/>
                <w:webHidden/>
              </w:rPr>
              <w:fldChar w:fldCharType="begin"/>
            </w:r>
            <w:r w:rsidR="003A6B91">
              <w:rPr>
                <w:noProof/>
                <w:webHidden/>
              </w:rPr>
              <w:instrText xml:space="preserve"> PAGEREF _Toc149134341 \h </w:instrText>
            </w:r>
            <w:r w:rsidR="003A6B91">
              <w:rPr>
                <w:noProof/>
                <w:webHidden/>
              </w:rPr>
            </w:r>
            <w:r w:rsidR="003A6B91">
              <w:rPr>
                <w:noProof/>
                <w:webHidden/>
              </w:rPr>
              <w:fldChar w:fldCharType="separate"/>
            </w:r>
            <w:r w:rsidR="003A6B91">
              <w:rPr>
                <w:noProof/>
                <w:webHidden/>
              </w:rPr>
              <w:t>21</w:t>
            </w:r>
            <w:r w:rsidR="003A6B91">
              <w:rPr>
                <w:noProof/>
                <w:webHidden/>
              </w:rPr>
              <w:fldChar w:fldCharType="end"/>
            </w:r>
          </w:hyperlink>
        </w:p>
        <w:p w:rsidR="003A6B91" w:rsidRDefault="00DF0B26" w14:paraId="22E6774B" w14:textId="7B256760">
          <w:pPr>
            <w:pStyle w:val="TOC2"/>
            <w:rPr>
              <w:rFonts w:cstheme="minorBidi"/>
              <w:noProof/>
              <w:kern w:val="2"/>
              <w14:ligatures w14:val="standardContextual"/>
            </w:rPr>
          </w:pPr>
          <w:hyperlink w:history="1" w:anchor="_Toc149134342">
            <w:r w:rsidRPr="00C33B5F" w:rsidR="003A6B91">
              <w:rPr>
                <w:rStyle w:val="Hyperlink"/>
                <w:noProof/>
              </w:rPr>
              <w:t>7.3</w:t>
            </w:r>
            <w:r w:rsidR="003A6B91">
              <w:rPr>
                <w:rFonts w:cstheme="minorBidi"/>
                <w:noProof/>
                <w:kern w:val="2"/>
                <w14:ligatures w14:val="standardContextual"/>
              </w:rPr>
              <w:tab/>
            </w:r>
            <w:r w:rsidRPr="00C33B5F" w:rsidR="003A6B91">
              <w:rPr>
                <w:rStyle w:val="Hyperlink"/>
                <w:noProof/>
              </w:rPr>
              <w:t>Prioritization of Unserved Communities</w:t>
            </w:r>
            <w:r w:rsidR="003A6B91">
              <w:rPr>
                <w:noProof/>
                <w:webHidden/>
              </w:rPr>
              <w:tab/>
            </w:r>
            <w:r w:rsidR="003A6B91">
              <w:rPr>
                <w:noProof/>
                <w:webHidden/>
              </w:rPr>
              <w:fldChar w:fldCharType="begin"/>
            </w:r>
            <w:r w:rsidR="003A6B91">
              <w:rPr>
                <w:noProof/>
                <w:webHidden/>
              </w:rPr>
              <w:instrText xml:space="preserve"> PAGEREF _Toc149134342 \h </w:instrText>
            </w:r>
            <w:r w:rsidR="003A6B91">
              <w:rPr>
                <w:noProof/>
                <w:webHidden/>
              </w:rPr>
            </w:r>
            <w:r w:rsidR="003A6B91">
              <w:rPr>
                <w:noProof/>
                <w:webHidden/>
              </w:rPr>
              <w:fldChar w:fldCharType="separate"/>
            </w:r>
            <w:r w:rsidR="003A6B91">
              <w:rPr>
                <w:noProof/>
                <w:webHidden/>
              </w:rPr>
              <w:t>21</w:t>
            </w:r>
            <w:r w:rsidR="003A6B91">
              <w:rPr>
                <w:noProof/>
                <w:webHidden/>
              </w:rPr>
              <w:fldChar w:fldCharType="end"/>
            </w:r>
          </w:hyperlink>
        </w:p>
        <w:p w:rsidR="003A6B91" w:rsidRDefault="00DF0B26" w14:paraId="7E7B2C51" w14:textId="535A6739">
          <w:pPr>
            <w:pStyle w:val="TOC2"/>
            <w:rPr>
              <w:rFonts w:cstheme="minorBidi"/>
              <w:noProof/>
              <w:kern w:val="2"/>
              <w14:ligatures w14:val="standardContextual"/>
            </w:rPr>
          </w:pPr>
          <w:hyperlink w:history="1" w:anchor="_Toc149134343">
            <w:r w:rsidRPr="00C33B5F" w:rsidR="003A6B91">
              <w:rPr>
                <w:rStyle w:val="Hyperlink"/>
                <w:noProof/>
              </w:rPr>
              <w:t>7.4</w:t>
            </w:r>
            <w:r w:rsidR="003A6B91">
              <w:rPr>
                <w:rFonts w:cstheme="minorBidi"/>
                <w:noProof/>
                <w:kern w:val="2"/>
                <w14:ligatures w14:val="standardContextual"/>
              </w:rPr>
              <w:tab/>
            </w:r>
            <w:r w:rsidRPr="00C33B5F" w:rsidR="003A6B91">
              <w:rPr>
                <w:rStyle w:val="Hyperlink"/>
                <w:noProof/>
              </w:rPr>
              <w:t>Applicant Prioritization</w:t>
            </w:r>
            <w:r w:rsidR="003A6B91">
              <w:rPr>
                <w:noProof/>
                <w:webHidden/>
              </w:rPr>
              <w:tab/>
            </w:r>
            <w:r w:rsidR="003A6B91">
              <w:rPr>
                <w:noProof/>
                <w:webHidden/>
              </w:rPr>
              <w:fldChar w:fldCharType="begin"/>
            </w:r>
            <w:r w:rsidR="003A6B91">
              <w:rPr>
                <w:noProof/>
                <w:webHidden/>
              </w:rPr>
              <w:instrText xml:space="preserve"> PAGEREF _Toc149134343 \h </w:instrText>
            </w:r>
            <w:r w:rsidR="003A6B91">
              <w:rPr>
                <w:noProof/>
                <w:webHidden/>
              </w:rPr>
            </w:r>
            <w:r w:rsidR="003A6B91">
              <w:rPr>
                <w:noProof/>
                <w:webHidden/>
              </w:rPr>
              <w:fldChar w:fldCharType="separate"/>
            </w:r>
            <w:r w:rsidR="003A6B91">
              <w:rPr>
                <w:noProof/>
                <w:webHidden/>
              </w:rPr>
              <w:t>21</w:t>
            </w:r>
            <w:r w:rsidR="003A6B91">
              <w:rPr>
                <w:noProof/>
                <w:webHidden/>
              </w:rPr>
              <w:fldChar w:fldCharType="end"/>
            </w:r>
          </w:hyperlink>
        </w:p>
        <w:p w:rsidR="003A6B91" w:rsidP="003A6B91" w:rsidRDefault="00DF0B26" w14:paraId="566028D8" w14:textId="36239CAB">
          <w:pPr>
            <w:pStyle w:val="TOC1"/>
            <w:rPr>
              <w:rFonts w:cstheme="minorBidi"/>
              <w:noProof/>
              <w:kern w:val="2"/>
              <w14:ligatures w14:val="standardContextual"/>
            </w:rPr>
          </w:pPr>
          <w:hyperlink w:history="1" w:anchor="_Toc149134344">
            <w:r w:rsidRPr="00C33B5F" w:rsidR="003A6B91">
              <w:rPr>
                <w:rStyle w:val="Hyperlink"/>
                <w:rFonts w:eastAsia="Calibri"/>
                <w:noProof/>
              </w:rPr>
              <w:t>8.</w:t>
            </w:r>
            <w:r w:rsidR="003A6B91">
              <w:rPr>
                <w:rFonts w:cstheme="minorBidi"/>
                <w:noProof/>
                <w:kern w:val="2"/>
                <w14:ligatures w14:val="standardContextual"/>
              </w:rPr>
              <w:tab/>
            </w:r>
            <w:r w:rsidRPr="00C33B5F" w:rsidR="003A6B91">
              <w:rPr>
                <w:rStyle w:val="Hyperlink"/>
                <w:rFonts w:eastAsia="Calibri"/>
                <w:noProof/>
              </w:rPr>
              <w:t>Applicant Eligibility Criteria</w:t>
            </w:r>
            <w:r w:rsidR="003A6B91">
              <w:rPr>
                <w:noProof/>
                <w:webHidden/>
              </w:rPr>
              <w:tab/>
            </w:r>
            <w:r w:rsidR="003A6B91">
              <w:rPr>
                <w:noProof/>
                <w:webHidden/>
              </w:rPr>
              <w:fldChar w:fldCharType="begin"/>
            </w:r>
            <w:r w:rsidR="003A6B91">
              <w:rPr>
                <w:noProof/>
                <w:webHidden/>
              </w:rPr>
              <w:instrText xml:space="preserve"> PAGEREF _Toc149134344 \h </w:instrText>
            </w:r>
            <w:r w:rsidR="003A6B91">
              <w:rPr>
                <w:noProof/>
                <w:webHidden/>
              </w:rPr>
            </w:r>
            <w:r w:rsidR="003A6B91">
              <w:rPr>
                <w:noProof/>
                <w:webHidden/>
              </w:rPr>
              <w:fldChar w:fldCharType="separate"/>
            </w:r>
            <w:r w:rsidR="003A6B91">
              <w:rPr>
                <w:noProof/>
                <w:webHidden/>
              </w:rPr>
              <w:t>22</w:t>
            </w:r>
            <w:r w:rsidR="003A6B91">
              <w:rPr>
                <w:noProof/>
                <w:webHidden/>
              </w:rPr>
              <w:fldChar w:fldCharType="end"/>
            </w:r>
          </w:hyperlink>
        </w:p>
        <w:p w:rsidR="003A6B91" w:rsidRDefault="00DF0B26" w14:paraId="420BC567" w14:textId="2D595E57">
          <w:pPr>
            <w:pStyle w:val="TOC2"/>
            <w:rPr>
              <w:rFonts w:cstheme="minorBidi"/>
              <w:noProof/>
              <w:kern w:val="2"/>
              <w14:ligatures w14:val="standardContextual"/>
            </w:rPr>
          </w:pPr>
          <w:hyperlink w:history="1" w:anchor="_Toc149134345">
            <w:r w:rsidRPr="00C33B5F" w:rsidR="003A6B91">
              <w:rPr>
                <w:rStyle w:val="Hyperlink"/>
                <w:noProof/>
              </w:rPr>
              <w:t>8.1</w:t>
            </w:r>
            <w:r w:rsidR="003A6B91">
              <w:rPr>
                <w:rFonts w:cstheme="minorBidi"/>
                <w:noProof/>
                <w:kern w:val="2"/>
                <w14:ligatures w14:val="standardContextual"/>
              </w:rPr>
              <w:tab/>
            </w:r>
            <w:r w:rsidRPr="00C33B5F" w:rsidR="003A6B91">
              <w:rPr>
                <w:rStyle w:val="Hyperlink"/>
                <w:noProof/>
              </w:rPr>
              <w:t>Project Service Standards</w:t>
            </w:r>
            <w:r w:rsidR="003A6B91">
              <w:rPr>
                <w:noProof/>
                <w:webHidden/>
              </w:rPr>
              <w:tab/>
            </w:r>
            <w:r w:rsidR="003A6B91">
              <w:rPr>
                <w:noProof/>
                <w:webHidden/>
              </w:rPr>
              <w:fldChar w:fldCharType="begin"/>
            </w:r>
            <w:r w:rsidR="003A6B91">
              <w:rPr>
                <w:noProof/>
                <w:webHidden/>
              </w:rPr>
              <w:instrText xml:space="preserve"> PAGEREF _Toc149134345 \h </w:instrText>
            </w:r>
            <w:r w:rsidR="003A6B91">
              <w:rPr>
                <w:noProof/>
                <w:webHidden/>
              </w:rPr>
            </w:r>
            <w:r w:rsidR="003A6B91">
              <w:rPr>
                <w:noProof/>
                <w:webHidden/>
              </w:rPr>
              <w:fldChar w:fldCharType="separate"/>
            </w:r>
            <w:r w:rsidR="003A6B91">
              <w:rPr>
                <w:noProof/>
                <w:webHidden/>
              </w:rPr>
              <w:t>22</w:t>
            </w:r>
            <w:r w:rsidR="003A6B91">
              <w:rPr>
                <w:noProof/>
                <w:webHidden/>
              </w:rPr>
              <w:fldChar w:fldCharType="end"/>
            </w:r>
          </w:hyperlink>
        </w:p>
        <w:p w:rsidR="003A6B91" w:rsidRDefault="00DF0B26" w14:paraId="58A0DF93" w14:textId="07F356F8">
          <w:pPr>
            <w:pStyle w:val="TOC2"/>
            <w:rPr>
              <w:rFonts w:cstheme="minorBidi"/>
              <w:noProof/>
              <w:kern w:val="2"/>
              <w14:ligatures w14:val="standardContextual"/>
            </w:rPr>
          </w:pPr>
          <w:hyperlink w:history="1" w:anchor="_Toc149134346">
            <w:r w:rsidRPr="00C33B5F" w:rsidR="003A6B91">
              <w:rPr>
                <w:rStyle w:val="Hyperlink"/>
                <w:noProof/>
              </w:rPr>
              <w:t>8.2</w:t>
            </w:r>
            <w:r w:rsidR="003A6B91">
              <w:rPr>
                <w:rFonts w:cstheme="minorBidi"/>
                <w:noProof/>
                <w:kern w:val="2"/>
                <w14:ligatures w14:val="standardContextual"/>
              </w:rPr>
              <w:tab/>
            </w:r>
            <w:r w:rsidRPr="00C33B5F" w:rsidR="003A6B91">
              <w:rPr>
                <w:rStyle w:val="Hyperlink"/>
                <w:noProof/>
              </w:rPr>
              <w:t>Affordability</w:t>
            </w:r>
            <w:r w:rsidR="003A6B91">
              <w:rPr>
                <w:noProof/>
                <w:webHidden/>
              </w:rPr>
              <w:tab/>
            </w:r>
            <w:r w:rsidR="003A6B91">
              <w:rPr>
                <w:noProof/>
                <w:webHidden/>
              </w:rPr>
              <w:fldChar w:fldCharType="begin"/>
            </w:r>
            <w:r w:rsidR="003A6B91">
              <w:rPr>
                <w:noProof/>
                <w:webHidden/>
              </w:rPr>
              <w:instrText xml:space="preserve"> PAGEREF _Toc149134346 \h </w:instrText>
            </w:r>
            <w:r w:rsidR="003A6B91">
              <w:rPr>
                <w:noProof/>
                <w:webHidden/>
              </w:rPr>
            </w:r>
            <w:r w:rsidR="003A6B91">
              <w:rPr>
                <w:noProof/>
                <w:webHidden/>
              </w:rPr>
              <w:fldChar w:fldCharType="separate"/>
            </w:r>
            <w:r w:rsidR="003A6B91">
              <w:rPr>
                <w:noProof/>
                <w:webHidden/>
              </w:rPr>
              <w:t>22</w:t>
            </w:r>
            <w:r w:rsidR="003A6B91">
              <w:rPr>
                <w:noProof/>
                <w:webHidden/>
              </w:rPr>
              <w:fldChar w:fldCharType="end"/>
            </w:r>
          </w:hyperlink>
        </w:p>
        <w:p w:rsidR="003A6B91" w:rsidRDefault="00DF0B26" w14:paraId="2EADFE78" w14:textId="359FCEA2">
          <w:pPr>
            <w:pStyle w:val="TOC2"/>
            <w:rPr>
              <w:rFonts w:cstheme="minorBidi"/>
              <w:noProof/>
              <w:kern w:val="2"/>
              <w14:ligatures w14:val="standardContextual"/>
            </w:rPr>
          </w:pPr>
          <w:hyperlink w:history="1" w:anchor="_Toc149134347">
            <w:r w:rsidRPr="00C33B5F" w:rsidR="003A6B91">
              <w:rPr>
                <w:rStyle w:val="Hyperlink"/>
                <w:noProof/>
              </w:rPr>
              <w:t>8.3</w:t>
            </w:r>
            <w:r w:rsidR="003A6B91">
              <w:rPr>
                <w:rFonts w:cstheme="minorBidi"/>
                <w:noProof/>
                <w:kern w:val="2"/>
                <w14:ligatures w14:val="standardContextual"/>
              </w:rPr>
              <w:tab/>
            </w:r>
            <w:r w:rsidRPr="00C33B5F" w:rsidR="003A6B91">
              <w:rPr>
                <w:rStyle w:val="Hyperlink"/>
                <w:noProof/>
              </w:rPr>
              <w:t>Outreach Plan</w:t>
            </w:r>
            <w:r w:rsidR="003A6B91">
              <w:rPr>
                <w:noProof/>
                <w:webHidden/>
              </w:rPr>
              <w:tab/>
            </w:r>
            <w:r w:rsidR="003A6B91">
              <w:rPr>
                <w:noProof/>
                <w:webHidden/>
              </w:rPr>
              <w:fldChar w:fldCharType="begin"/>
            </w:r>
            <w:r w:rsidR="003A6B91">
              <w:rPr>
                <w:noProof/>
                <w:webHidden/>
              </w:rPr>
              <w:instrText xml:space="preserve"> PAGEREF _Toc149134347 \h </w:instrText>
            </w:r>
            <w:r w:rsidR="003A6B91">
              <w:rPr>
                <w:noProof/>
                <w:webHidden/>
              </w:rPr>
            </w:r>
            <w:r w:rsidR="003A6B91">
              <w:rPr>
                <w:noProof/>
                <w:webHidden/>
              </w:rPr>
              <w:fldChar w:fldCharType="separate"/>
            </w:r>
            <w:r w:rsidR="003A6B91">
              <w:rPr>
                <w:noProof/>
                <w:webHidden/>
              </w:rPr>
              <w:t>22</w:t>
            </w:r>
            <w:r w:rsidR="003A6B91">
              <w:rPr>
                <w:noProof/>
                <w:webHidden/>
              </w:rPr>
              <w:fldChar w:fldCharType="end"/>
            </w:r>
          </w:hyperlink>
        </w:p>
        <w:p w:rsidR="003A6B91" w:rsidP="003A6B91" w:rsidRDefault="00DF0B26" w14:paraId="640802EE" w14:textId="39066D37">
          <w:pPr>
            <w:pStyle w:val="TOC1"/>
            <w:rPr>
              <w:rFonts w:cstheme="minorBidi"/>
              <w:noProof/>
              <w:kern w:val="2"/>
              <w14:ligatures w14:val="standardContextual"/>
            </w:rPr>
          </w:pPr>
          <w:hyperlink w:history="1" w:anchor="_Toc149134348">
            <w:r w:rsidRPr="00C33B5F" w:rsidR="003A6B91">
              <w:rPr>
                <w:rStyle w:val="Hyperlink"/>
                <w:rFonts w:eastAsia="Calibri"/>
                <w:noProof/>
              </w:rPr>
              <w:t>9.</w:t>
            </w:r>
            <w:r w:rsidR="003A6B91">
              <w:rPr>
                <w:rFonts w:cstheme="minorBidi"/>
                <w:noProof/>
                <w:kern w:val="2"/>
                <w14:ligatures w14:val="standardContextual"/>
              </w:rPr>
              <w:tab/>
            </w:r>
            <w:r w:rsidRPr="00C33B5F" w:rsidR="003A6B91">
              <w:rPr>
                <w:rStyle w:val="Hyperlink"/>
                <w:rFonts w:eastAsia="Calibri"/>
                <w:noProof/>
              </w:rPr>
              <w:t>Loan Loss Program Application Process</w:t>
            </w:r>
            <w:r w:rsidR="003A6B91">
              <w:rPr>
                <w:noProof/>
                <w:webHidden/>
              </w:rPr>
              <w:tab/>
            </w:r>
            <w:r w:rsidR="003A6B91">
              <w:rPr>
                <w:noProof/>
                <w:webHidden/>
              </w:rPr>
              <w:fldChar w:fldCharType="begin"/>
            </w:r>
            <w:r w:rsidR="003A6B91">
              <w:rPr>
                <w:noProof/>
                <w:webHidden/>
              </w:rPr>
              <w:instrText xml:space="preserve"> PAGEREF _Toc149134348 \h </w:instrText>
            </w:r>
            <w:r w:rsidR="003A6B91">
              <w:rPr>
                <w:noProof/>
                <w:webHidden/>
              </w:rPr>
            </w:r>
            <w:r w:rsidR="003A6B91">
              <w:rPr>
                <w:noProof/>
                <w:webHidden/>
              </w:rPr>
              <w:fldChar w:fldCharType="separate"/>
            </w:r>
            <w:r w:rsidR="003A6B91">
              <w:rPr>
                <w:noProof/>
                <w:webHidden/>
              </w:rPr>
              <w:t>22</w:t>
            </w:r>
            <w:r w:rsidR="003A6B91">
              <w:rPr>
                <w:noProof/>
                <w:webHidden/>
              </w:rPr>
              <w:fldChar w:fldCharType="end"/>
            </w:r>
          </w:hyperlink>
        </w:p>
        <w:p w:rsidR="003A6B91" w:rsidRDefault="00DF0B26" w14:paraId="22654D4A" w14:textId="02EA6A97">
          <w:pPr>
            <w:pStyle w:val="TOC2"/>
            <w:rPr>
              <w:rFonts w:cstheme="minorBidi"/>
              <w:noProof/>
              <w:kern w:val="2"/>
              <w14:ligatures w14:val="standardContextual"/>
            </w:rPr>
          </w:pPr>
          <w:hyperlink w:history="1" w:anchor="_Toc149134349">
            <w:r w:rsidRPr="00C33B5F" w:rsidR="003A6B91">
              <w:rPr>
                <w:rStyle w:val="Hyperlink"/>
                <w:noProof/>
              </w:rPr>
              <w:t>9.1</w:t>
            </w:r>
            <w:r w:rsidR="003A6B91">
              <w:rPr>
                <w:rFonts w:cstheme="minorBidi"/>
                <w:noProof/>
                <w:kern w:val="2"/>
                <w14:ligatures w14:val="standardContextual"/>
              </w:rPr>
              <w:tab/>
            </w:r>
            <w:r w:rsidRPr="00C33B5F" w:rsidR="003A6B91">
              <w:rPr>
                <w:rStyle w:val="Hyperlink"/>
                <w:noProof/>
              </w:rPr>
              <w:t>Application Submission and Review Process</w:t>
            </w:r>
            <w:r w:rsidR="003A6B91">
              <w:rPr>
                <w:noProof/>
                <w:webHidden/>
              </w:rPr>
              <w:tab/>
            </w:r>
            <w:r w:rsidR="003A6B91">
              <w:rPr>
                <w:noProof/>
                <w:webHidden/>
              </w:rPr>
              <w:fldChar w:fldCharType="begin"/>
            </w:r>
            <w:r w:rsidR="003A6B91">
              <w:rPr>
                <w:noProof/>
                <w:webHidden/>
              </w:rPr>
              <w:instrText xml:space="preserve"> PAGEREF _Toc149134349 \h </w:instrText>
            </w:r>
            <w:r w:rsidR="003A6B91">
              <w:rPr>
                <w:noProof/>
                <w:webHidden/>
              </w:rPr>
            </w:r>
            <w:r w:rsidR="003A6B91">
              <w:rPr>
                <w:noProof/>
                <w:webHidden/>
              </w:rPr>
              <w:fldChar w:fldCharType="separate"/>
            </w:r>
            <w:r w:rsidR="003A6B91">
              <w:rPr>
                <w:noProof/>
                <w:webHidden/>
              </w:rPr>
              <w:t>22</w:t>
            </w:r>
            <w:r w:rsidR="003A6B91">
              <w:rPr>
                <w:noProof/>
                <w:webHidden/>
              </w:rPr>
              <w:fldChar w:fldCharType="end"/>
            </w:r>
          </w:hyperlink>
        </w:p>
        <w:p w:rsidR="003A6B91" w:rsidRDefault="00DF0B26" w14:paraId="2352C7C8" w14:textId="6B705E90">
          <w:pPr>
            <w:pStyle w:val="TOC2"/>
            <w:rPr>
              <w:rFonts w:cstheme="minorBidi"/>
              <w:noProof/>
              <w:kern w:val="2"/>
              <w14:ligatures w14:val="standardContextual"/>
            </w:rPr>
          </w:pPr>
          <w:hyperlink w:history="1" w:anchor="_Toc149134353">
            <w:r w:rsidRPr="00C33B5F" w:rsidR="003A6B91">
              <w:rPr>
                <w:rStyle w:val="Hyperlink"/>
                <w:noProof/>
              </w:rPr>
              <w:t>9.2</w:t>
            </w:r>
            <w:r w:rsidR="003A6B91">
              <w:rPr>
                <w:rFonts w:cstheme="minorBidi"/>
                <w:noProof/>
                <w:kern w:val="2"/>
                <w14:ligatures w14:val="standardContextual"/>
              </w:rPr>
              <w:tab/>
            </w:r>
            <w:r w:rsidRPr="00C33B5F" w:rsidR="003A6B91">
              <w:rPr>
                <w:rStyle w:val="Hyperlink"/>
                <w:noProof/>
              </w:rPr>
              <w:t>Application Guidelines</w:t>
            </w:r>
            <w:r w:rsidR="003A6B91">
              <w:rPr>
                <w:noProof/>
                <w:webHidden/>
              </w:rPr>
              <w:tab/>
            </w:r>
            <w:r w:rsidR="003A6B91">
              <w:rPr>
                <w:noProof/>
                <w:webHidden/>
              </w:rPr>
              <w:fldChar w:fldCharType="begin"/>
            </w:r>
            <w:r w:rsidR="003A6B91">
              <w:rPr>
                <w:noProof/>
                <w:webHidden/>
              </w:rPr>
              <w:instrText xml:space="preserve"> PAGEREF _Toc149134353 \h </w:instrText>
            </w:r>
            <w:r w:rsidR="003A6B91">
              <w:rPr>
                <w:noProof/>
                <w:webHidden/>
              </w:rPr>
            </w:r>
            <w:r w:rsidR="003A6B91">
              <w:rPr>
                <w:noProof/>
                <w:webHidden/>
              </w:rPr>
              <w:fldChar w:fldCharType="separate"/>
            </w:r>
            <w:r w:rsidR="003A6B91">
              <w:rPr>
                <w:noProof/>
                <w:webHidden/>
              </w:rPr>
              <w:t>23</w:t>
            </w:r>
            <w:r w:rsidR="003A6B91">
              <w:rPr>
                <w:noProof/>
                <w:webHidden/>
              </w:rPr>
              <w:fldChar w:fldCharType="end"/>
            </w:r>
          </w:hyperlink>
        </w:p>
        <w:p w:rsidR="003A6B91" w:rsidRDefault="00DF0B26" w14:paraId="39C70A77" w14:textId="5B6834E5">
          <w:pPr>
            <w:pStyle w:val="TOC3"/>
            <w:rPr>
              <w:rFonts w:cstheme="minorBidi"/>
              <w:noProof/>
              <w:kern w:val="2"/>
              <w14:ligatures w14:val="standardContextual"/>
            </w:rPr>
          </w:pPr>
          <w:hyperlink w:history="1" w:anchor="_Toc149134354">
            <w:r w:rsidRPr="00C33B5F" w:rsidR="003A6B91">
              <w:rPr>
                <w:rStyle w:val="Hyperlink"/>
                <w:noProof/>
              </w:rPr>
              <w:t>9.2.1</w:t>
            </w:r>
            <w:r w:rsidR="003A6B91">
              <w:rPr>
                <w:rFonts w:cstheme="minorBidi"/>
                <w:noProof/>
                <w:kern w:val="2"/>
                <w14:ligatures w14:val="standardContextual"/>
              </w:rPr>
              <w:tab/>
            </w:r>
            <w:r w:rsidRPr="00C33B5F" w:rsidR="003A6B91">
              <w:rPr>
                <w:rStyle w:val="Hyperlink"/>
                <w:noProof/>
              </w:rPr>
              <w:t>Guidance to Commission Staff on Information Required from Applicants</w:t>
            </w:r>
            <w:r w:rsidR="003A6B91">
              <w:rPr>
                <w:noProof/>
                <w:webHidden/>
              </w:rPr>
              <w:tab/>
            </w:r>
            <w:r w:rsidR="003A6B91">
              <w:rPr>
                <w:noProof/>
                <w:webHidden/>
              </w:rPr>
              <w:fldChar w:fldCharType="begin"/>
            </w:r>
            <w:r w:rsidR="003A6B91">
              <w:rPr>
                <w:noProof/>
                <w:webHidden/>
              </w:rPr>
              <w:instrText xml:space="preserve"> PAGEREF _Toc149134354 \h </w:instrText>
            </w:r>
            <w:r w:rsidR="003A6B91">
              <w:rPr>
                <w:noProof/>
                <w:webHidden/>
              </w:rPr>
            </w:r>
            <w:r w:rsidR="003A6B91">
              <w:rPr>
                <w:noProof/>
                <w:webHidden/>
              </w:rPr>
              <w:fldChar w:fldCharType="separate"/>
            </w:r>
            <w:r w:rsidR="003A6B91">
              <w:rPr>
                <w:noProof/>
                <w:webHidden/>
              </w:rPr>
              <w:t>23</w:t>
            </w:r>
            <w:r w:rsidR="003A6B91">
              <w:rPr>
                <w:noProof/>
                <w:webHidden/>
              </w:rPr>
              <w:fldChar w:fldCharType="end"/>
            </w:r>
          </w:hyperlink>
        </w:p>
        <w:p w:rsidR="003A6B91" w:rsidRDefault="00DF0B26" w14:paraId="23E943A9" w14:textId="666D4912">
          <w:pPr>
            <w:pStyle w:val="TOC2"/>
            <w:rPr>
              <w:rFonts w:cstheme="minorBidi"/>
              <w:noProof/>
              <w:kern w:val="2"/>
              <w14:ligatures w14:val="standardContextual"/>
            </w:rPr>
          </w:pPr>
          <w:hyperlink w:history="1" w:anchor="_Toc149134355">
            <w:r w:rsidRPr="00C33B5F" w:rsidR="003A6B91">
              <w:rPr>
                <w:rStyle w:val="Hyperlink"/>
                <w:noProof/>
              </w:rPr>
              <w:t>9.3</w:t>
            </w:r>
            <w:r w:rsidR="003A6B91">
              <w:rPr>
                <w:rFonts w:cstheme="minorBidi"/>
                <w:noProof/>
                <w:kern w:val="2"/>
                <w14:ligatures w14:val="standardContextual"/>
              </w:rPr>
              <w:tab/>
            </w:r>
            <w:r w:rsidRPr="00C33B5F" w:rsidR="003A6B91">
              <w:rPr>
                <w:rStyle w:val="Hyperlink"/>
                <w:noProof/>
              </w:rPr>
              <w:t>Application Approval Process for Bonds</w:t>
            </w:r>
            <w:r w:rsidR="003A6B91">
              <w:rPr>
                <w:noProof/>
                <w:webHidden/>
              </w:rPr>
              <w:tab/>
            </w:r>
            <w:r w:rsidR="003A6B91">
              <w:rPr>
                <w:noProof/>
                <w:webHidden/>
              </w:rPr>
              <w:fldChar w:fldCharType="begin"/>
            </w:r>
            <w:r w:rsidR="003A6B91">
              <w:rPr>
                <w:noProof/>
                <w:webHidden/>
              </w:rPr>
              <w:instrText xml:space="preserve"> PAGEREF _Toc149134355 \h </w:instrText>
            </w:r>
            <w:r w:rsidR="003A6B91">
              <w:rPr>
                <w:noProof/>
                <w:webHidden/>
              </w:rPr>
            </w:r>
            <w:r w:rsidR="003A6B91">
              <w:rPr>
                <w:noProof/>
                <w:webHidden/>
              </w:rPr>
              <w:fldChar w:fldCharType="separate"/>
            </w:r>
            <w:r w:rsidR="003A6B91">
              <w:rPr>
                <w:noProof/>
                <w:webHidden/>
              </w:rPr>
              <w:t>27</w:t>
            </w:r>
            <w:r w:rsidR="003A6B91">
              <w:rPr>
                <w:noProof/>
                <w:webHidden/>
              </w:rPr>
              <w:fldChar w:fldCharType="end"/>
            </w:r>
          </w:hyperlink>
        </w:p>
        <w:p w:rsidR="003A6B91" w:rsidRDefault="00DF0B26" w14:paraId="46D5685C" w14:textId="3705AE6A">
          <w:pPr>
            <w:pStyle w:val="TOC3"/>
            <w:rPr>
              <w:rFonts w:cstheme="minorBidi"/>
              <w:noProof/>
              <w:kern w:val="2"/>
              <w14:ligatures w14:val="standardContextual"/>
            </w:rPr>
          </w:pPr>
          <w:hyperlink w:history="1" w:anchor="_Toc149134356">
            <w:r w:rsidRPr="00C33B5F" w:rsidR="003A6B91">
              <w:rPr>
                <w:rStyle w:val="Hyperlink"/>
                <w:noProof/>
              </w:rPr>
              <w:t>9.3.1</w:t>
            </w:r>
            <w:r w:rsidR="003A6B91">
              <w:rPr>
                <w:rFonts w:cstheme="minorBidi"/>
                <w:noProof/>
                <w:kern w:val="2"/>
                <w14:ligatures w14:val="standardContextual"/>
              </w:rPr>
              <w:tab/>
            </w:r>
            <w:r w:rsidRPr="00C33B5F" w:rsidR="003A6B91">
              <w:rPr>
                <w:rStyle w:val="Hyperlink"/>
                <w:noProof/>
              </w:rPr>
              <w:t>Form of Guarantee</w:t>
            </w:r>
            <w:r w:rsidR="003A6B91">
              <w:rPr>
                <w:noProof/>
                <w:webHidden/>
              </w:rPr>
              <w:tab/>
            </w:r>
            <w:r w:rsidR="003A6B91">
              <w:rPr>
                <w:noProof/>
                <w:webHidden/>
              </w:rPr>
              <w:fldChar w:fldCharType="begin"/>
            </w:r>
            <w:r w:rsidR="003A6B91">
              <w:rPr>
                <w:noProof/>
                <w:webHidden/>
              </w:rPr>
              <w:instrText xml:space="preserve"> PAGEREF _Toc149134356 \h </w:instrText>
            </w:r>
            <w:r w:rsidR="003A6B91">
              <w:rPr>
                <w:noProof/>
                <w:webHidden/>
              </w:rPr>
            </w:r>
            <w:r w:rsidR="003A6B91">
              <w:rPr>
                <w:noProof/>
                <w:webHidden/>
              </w:rPr>
              <w:fldChar w:fldCharType="separate"/>
            </w:r>
            <w:r w:rsidR="003A6B91">
              <w:rPr>
                <w:noProof/>
                <w:webHidden/>
              </w:rPr>
              <w:t>27</w:t>
            </w:r>
            <w:r w:rsidR="003A6B91">
              <w:rPr>
                <w:noProof/>
                <w:webHidden/>
              </w:rPr>
              <w:fldChar w:fldCharType="end"/>
            </w:r>
          </w:hyperlink>
        </w:p>
        <w:p w:rsidR="003A6B91" w:rsidRDefault="00DF0B26" w14:paraId="04117395" w14:textId="167A01AA">
          <w:pPr>
            <w:pStyle w:val="TOC2"/>
            <w:rPr>
              <w:rFonts w:cstheme="minorBidi"/>
              <w:noProof/>
              <w:kern w:val="2"/>
              <w14:ligatures w14:val="standardContextual"/>
            </w:rPr>
          </w:pPr>
          <w:hyperlink w:history="1" w:anchor="_Toc149134357">
            <w:r w:rsidRPr="00C33B5F" w:rsidR="003A6B91">
              <w:rPr>
                <w:rStyle w:val="Hyperlink"/>
                <w:noProof/>
              </w:rPr>
              <w:t>9.4</w:t>
            </w:r>
            <w:r w:rsidR="003A6B91">
              <w:rPr>
                <w:rFonts w:cstheme="minorBidi"/>
                <w:noProof/>
                <w:kern w:val="2"/>
                <w14:ligatures w14:val="standardContextual"/>
              </w:rPr>
              <w:tab/>
            </w:r>
            <w:r w:rsidRPr="00C33B5F" w:rsidR="003A6B91">
              <w:rPr>
                <w:rStyle w:val="Hyperlink"/>
                <w:noProof/>
              </w:rPr>
              <w:t>Pre-Buildout and Buildout Phase</w:t>
            </w:r>
            <w:r w:rsidR="003A6B91">
              <w:rPr>
                <w:noProof/>
                <w:webHidden/>
              </w:rPr>
              <w:tab/>
            </w:r>
            <w:r w:rsidR="003A6B91">
              <w:rPr>
                <w:noProof/>
                <w:webHidden/>
              </w:rPr>
              <w:fldChar w:fldCharType="begin"/>
            </w:r>
            <w:r w:rsidR="003A6B91">
              <w:rPr>
                <w:noProof/>
                <w:webHidden/>
              </w:rPr>
              <w:instrText xml:space="preserve"> PAGEREF _Toc149134357 \h </w:instrText>
            </w:r>
            <w:r w:rsidR="003A6B91">
              <w:rPr>
                <w:noProof/>
                <w:webHidden/>
              </w:rPr>
            </w:r>
            <w:r w:rsidR="003A6B91">
              <w:rPr>
                <w:noProof/>
                <w:webHidden/>
              </w:rPr>
              <w:fldChar w:fldCharType="separate"/>
            </w:r>
            <w:r w:rsidR="003A6B91">
              <w:rPr>
                <w:noProof/>
                <w:webHidden/>
              </w:rPr>
              <w:t>28</w:t>
            </w:r>
            <w:r w:rsidR="003A6B91">
              <w:rPr>
                <w:noProof/>
                <w:webHidden/>
              </w:rPr>
              <w:fldChar w:fldCharType="end"/>
            </w:r>
          </w:hyperlink>
        </w:p>
        <w:p w:rsidR="003A6B91" w:rsidRDefault="00DF0B26" w14:paraId="2C8BCCA8" w14:textId="506CB5CA">
          <w:pPr>
            <w:pStyle w:val="TOC2"/>
            <w:rPr>
              <w:rFonts w:cstheme="minorBidi"/>
              <w:noProof/>
              <w:kern w:val="2"/>
              <w14:ligatures w14:val="standardContextual"/>
            </w:rPr>
          </w:pPr>
          <w:hyperlink w:history="1" w:anchor="_Toc149134358">
            <w:r w:rsidRPr="00C33B5F" w:rsidR="003A6B91">
              <w:rPr>
                <w:rStyle w:val="Hyperlink"/>
                <w:noProof/>
              </w:rPr>
              <w:t>9.5</w:t>
            </w:r>
            <w:r w:rsidR="003A6B91">
              <w:rPr>
                <w:rFonts w:cstheme="minorBidi"/>
                <w:noProof/>
                <w:kern w:val="2"/>
                <w14:ligatures w14:val="standardContextual"/>
              </w:rPr>
              <w:tab/>
            </w:r>
            <w:r w:rsidRPr="00C33B5F" w:rsidR="003A6B91">
              <w:rPr>
                <w:rStyle w:val="Hyperlink"/>
                <w:noProof/>
              </w:rPr>
              <w:t>Bond Maturity and Release of the Credit Enhancement</w:t>
            </w:r>
            <w:r w:rsidR="003A6B91">
              <w:rPr>
                <w:noProof/>
                <w:webHidden/>
              </w:rPr>
              <w:tab/>
            </w:r>
            <w:r w:rsidR="003A6B91">
              <w:rPr>
                <w:noProof/>
                <w:webHidden/>
              </w:rPr>
              <w:fldChar w:fldCharType="begin"/>
            </w:r>
            <w:r w:rsidR="003A6B91">
              <w:rPr>
                <w:noProof/>
                <w:webHidden/>
              </w:rPr>
              <w:instrText xml:space="preserve"> PAGEREF _Toc149134358 \h </w:instrText>
            </w:r>
            <w:r w:rsidR="003A6B91">
              <w:rPr>
                <w:noProof/>
                <w:webHidden/>
              </w:rPr>
            </w:r>
            <w:r w:rsidR="003A6B91">
              <w:rPr>
                <w:noProof/>
                <w:webHidden/>
              </w:rPr>
              <w:fldChar w:fldCharType="separate"/>
            </w:r>
            <w:r w:rsidR="003A6B91">
              <w:rPr>
                <w:noProof/>
                <w:webHidden/>
              </w:rPr>
              <w:t>28</w:t>
            </w:r>
            <w:r w:rsidR="003A6B91">
              <w:rPr>
                <w:noProof/>
                <w:webHidden/>
              </w:rPr>
              <w:fldChar w:fldCharType="end"/>
            </w:r>
          </w:hyperlink>
        </w:p>
        <w:p w:rsidR="003A6B91" w:rsidRDefault="00DF0B26" w14:paraId="0A372559" w14:textId="5049C4BB">
          <w:pPr>
            <w:pStyle w:val="TOC2"/>
            <w:rPr>
              <w:rFonts w:cstheme="minorBidi"/>
              <w:noProof/>
              <w:kern w:val="2"/>
              <w14:ligatures w14:val="standardContextual"/>
            </w:rPr>
          </w:pPr>
          <w:hyperlink w:history="1" w:anchor="_Toc149134359">
            <w:r w:rsidRPr="00C33B5F" w:rsidR="003A6B91">
              <w:rPr>
                <w:rStyle w:val="Hyperlink"/>
                <w:noProof/>
              </w:rPr>
              <w:t>9.6</w:t>
            </w:r>
            <w:r w:rsidR="003A6B91">
              <w:rPr>
                <w:rFonts w:cstheme="minorBidi"/>
                <w:noProof/>
                <w:kern w:val="2"/>
                <w14:ligatures w14:val="standardContextual"/>
              </w:rPr>
              <w:tab/>
            </w:r>
            <w:r w:rsidRPr="00C33B5F" w:rsidR="003A6B91">
              <w:rPr>
                <w:rStyle w:val="Hyperlink"/>
                <w:noProof/>
              </w:rPr>
              <w:t>Eligible Debt Payment Deficiency</w:t>
            </w:r>
            <w:r w:rsidR="003A6B91">
              <w:rPr>
                <w:noProof/>
                <w:webHidden/>
              </w:rPr>
              <w:tab/>
            </w:r>
            <w:r w:rsidR="003A6B91">
              <w:rPr>
                <w:noProof/>
                <w:webHidden/>
              </w:rPr>
              <w:fldChar w:fldCharType="begin"/>
            </w:r>
            <w:r w:rsidR="003A6B91">
              <w:rPr>
                <w:noProof/>
                <w:webHidden/>
              </w:rPr>
              <w:instrText xml:space="preserve"> PAGEREF _Toc149134359 \h </w:instrText>
            </w:r>
            <w:r w:rsidR="003A6B91">
              <w:rPr>
                <w:noProof/>
                <w:webHidden/>
              </w:rPr>
            </w:r>
            <w:r w:rsidR="003A6B91">
              <w:rPr>
                <w:noProof/>
                <w:webHidden/>
              </w:rPr>
              <w:fldChar w:fldCharType="separate"/>
            </w:r>
            <w:r w:rsidR="003A6B91">
              <w:rPr>
                <w:noProof/>
                <w:webHidden/>
              </w:rPr>
              <w:t>29</w:t>
            </w:r>
            <w:r w:rsidR="003A6B91">
              <w:rPr>
                <w:noProof/>
                <w:webHidden/>
              </w:rPr>
              <w:fldChar w:fldCharType="end"/>
            </w:r>
          </w:hyperlink>
        </w:p>
        <w:p w:rsidR="003A6B91" w:rsidP="008D4557" w:rsidRDefault="00DF0B26" w14:paraId="00A0726C" w14:textId="2659B233">
          <w:pPr>
            <w:pStyle w:val="TOC1"/>
            <w:rPr>
              <w:rFonts w:cstheme="minorBidi"/>
              <w:noProof/>
              <w:kern w:val="2"/>
              <w14:ligatures w14:val="standardContextual"/>
            </w:rPr>
          </w:pPr>
          <w:hyperlink w:history="1" w:anchor="_Toc149134360">
            <w:r w:rsidRPr="00C33B5F" w:rsidR="003A6B91">
              <w:rPr>
                <w:rStyle w:val="Hyperlink"/>
                <w:rFonts w:eastAsia="Calibri"/>
                <w:noProof/>
              </w:rPr>
              <w:t>10</w:t>
            </w:r>
            <w:r w:rsidR="003A6B91">
              <w:rPr>
                <w:rFonts w:cstheme="minorBidi"/>
                <w:noProof/>
                <w:kern w:val="2"/>
                <w14:ligatures w14:val="standardContextual"/>
              </w:rPr>
              <w:tab/>
            </w:r>
            <w:r w:rsidRPr="00C33B5F" w:rsidR="003A6B91">
              <w:rPr>
                <w:rStyle w:val="Hyperlink"/>
                <w:rFonts w:eastAsia="Calibri"/>
                <w:noProof/>
              </w:rPr>
              <w:t>CPUC Outreach</w:t>
            </w:r>
            <w:r w:rsidR="003A6B91">
              <w:rPr>
                <w:noProof/>
                <w:webHidden/>
              </w:rPr>
              <w:tab/>
            </w:r>
            <w:r w:rsidR="003A6B91">
              <w:rPr>
                <w:noProof/>
                <w:webHidden/>
              </w:rPr>
              <w:fldChar w:fldCharType="begin"/>
            </w:r>
            <w:r w:rsidR="003A6B91">
              <w:rPr>
                <w:noProof/>
                <w:webHidden/>
              </w:rPr>
              <w:instrText xml:space="preserve"> PAGEREF _Toc149134360 \h </w:instrText>
            </w:r>
            <w:r w:rsidR="003A6B91">
              <w:rPr>
                <w:noProof/>
                <w:webHidden/>
              </w:rPr>
            </w:r>
            <w:r w:rsidR="003A6B91">
              <w:rPr>
                <w:noProof/>
                <w:webHidden/>
              </w:rPr>
              <w:fldChar w:fldCharType="separate"/>
            </w:r>
            <w:r w:rsidR="003A6B91">
              <w:rPr>
                <w:noProof/>
                <w:webHidden/>
              </w:rPr>
              <w:t>29</w:t>
            </w:r>
            <w:r w:rsidR="003A6B91">
              <w:rPr>
                <w:noProof/>
                <w:webHidden/>
              </w:rPr>
              <w:fldChar w:fldCharType="end"/>
            </w:r>
          </w:hyperlink>
        </w:p>
        <w:p w:rsidR="003A6B91" w:rsidP="008D4557" w:rsidRDefault="00DF0B26" w14:paraId="2652375C" w14:textId="4A56F3E9">
          <w:pPr>
            <w:pStyle w:val="TOC1"/>
            <w:rPr>
              <w:rFonts w:cstheme="minorBidi"/>
              <w:noProof/>
              <w:kern w:val="2"/>
              <w14:ligatures w14:val="standardContextual"/>
            </w:rPr>
          </w:pPr>
          <w:hyperlink w:history="1" w:anchor="_Toc149134361">
            <w:r w:rsidRPr="00C33B5F" w:rsidR="003A6B91">
              <w:rPr>
                <w:rStyle w:val="Hyperlink"/>
                <w:rFonts w:eastAsia="Calibri"/>
                <w:noProof/>
              </w:rPr>
              <w:t>11</w:t>
            </w:r>
            <w:r w:rsidR="003A6B91">
              <w:rPr>
                <w:rFonts w:cstheme="minorBidi"/>
                <w:noProof/>
                <w:kern w:val="2"/>
                <w14:ligatures w14:val="standardContextual"/>
              </w:rPr>
              <w:tab/>
            </w:r>
            <w:r w:rsidRPr="00C33B5F" w:rsidR="003A6B91">
              <w:rPr>
                <w:rStyle w:val="Hyperlink"/>
                <w:rFonts w:eastAsia="Calibri"/>
                <w:noProof/>
              </w:rPr>
              <w:t>Reporting Requirements</w:t>
            </w:r>
            <w:r w:rsidR="003A6B91">
              <w:rPr>
                <w:noProof/>
                <w:webHidden/>
              </w:rPr>
              <w:tab/>
            </w:r>
            <w:r w:rsidR="003A6B91">
              <w:rPr>
                <w:noProof/>
                <w:webHidden/>
              </w:rPr>
              <w:fldChar w:fldCharType="begin"/>
            </w:r>
            <w:r w:rsidR="003A6B91">
              <w:rPr>
                <w:noProof/>
                <w:webHidden/>
              </w:rPr>
              <w:instrText xml:space="preserve"> PAGEREF _Toc149134361 \h </w:instrText>
            </w:r>
            <w:r w:rsidR="003A6B91">
              <w:rPr>
                <w:noProof/>
                <w:webHidden/>
              </w:rPr>
            </w:r>
            <w:r w:rsidR="003A6B91">
              <w:rPr>
                <w:noProof/>
                <w:webHidden/>
              </w:rPr>
              <w:fldChar w:fldCharType="separate"/>
            </w:r>
            <w:r w:rsidR="003A6B91">
              <w:rPr>
                <w:noProof/>
                <w:webHidden/>
              </w:rPr>
              <w:t>29</w:t>
            </w:r>
            <w:r w:rsidR="003A6B91">
              <w:rPr>
                <w:noProof/>
                <w:webHidden/>
              </w:rPr>
              <w:fldChar w:fldCharType="end"/>
            </w:r>
          </w:hyperlink>
        </w:p>
        <w:p w:rsidR="003A6B91" w:rsidRDefault="00DF0B26" w14:paraId="3B2278A6" w14:textId="2AD77473">
          <w:pPr>
            <w:pStyle w:val="TOC2"/>
            <w:rPr>
              <w:rFonts w:cstheme="minorBidi"/>
              <w:noProof/>
              <w:kern w:val="2"/>
              <w14:ligatures w14:val="standardContextual"/>
            </w:rPr>
          </w:pPr>
          <w:hyperlink w:history="1" w:anchor="_Toc149134362">
            <w:r w:rsidRPr="00C33B5F" w:rsidR="003A6B91">
              <w:rPr>
                <w:rStyle w:val="Hyperlink"/>
                <w:noProof/>
              </w:rPr>
              <w:t>11.1</w:t>
            </w:r>
            <w:r w:rsidR="003A6B91">
              <w:rPr>
                <w:rFonts w:cstheme="minorBidi"/>
                <w:noProof/>
                <w:kern w:val="2"/>
                <w14:ligatures w14:val="standardContextual"/>
              </w:rPr>
              <w:tab/>
            </w:r>
            <w:r w:rsidRPr="00C33B5F" w:rsidR="003A6B91">
              <w:rPr>
                <w:rStyle w:val="Hyperlink"/>
                <w:noProof/>
              </w:rPr>
              <w:t>Bi-Annual Progress Reporting</w:t>
            </w:r>
            <w:r w:rsidR="003A6B91">
              <w:rPr>
                <w:noProof/>
                <w:webHidden/>
              </w:rPr>
              <w:tab/>
            </w:r>
            <w:r w:rsidR="003A6B91">
              <w:rPr>
                <w:noProof/>
                <w:webHidden/>
              </w:rPr>
              <w:fldChar w:fldCharType="begin"/>
            </w:r>
            <w:r w:rsidR="003A6B91">
              <w:rPr>
                <w:noProof/>
                <w:webHidden/>
              </w:rPr>
              <w:instrText xml:space="preserve"> PAGEREF _Toc149134362 \h </w:instrText>
            </w:r>
            <w:r w:rsidR="003A6B91">
              <w:rPr>
                <w:noProof/>
                <w:webHidden/>
              </w:rPr>
            </w:r>
            <w:r w:rsidR="003A6B91">
              <w:rPr>
                <w:noProof/>
                <w:webHidden/>
              </w:rPr>
              <w:fldChar w:fldCharType="separate"/>
            </w:r>
            <w:r w:rsidR="003A6B91">
              <w:rPr>
                <w:noProof/>
                <w:webHidden/>
              </w:rPr>
              <w:t>29</w:t>
            </w:r>
            <w:r w:rsidR="003A6B91">
              <w:rPr>
                <w:noProof/>
                <w:webHidden/>
              </w:rPr>
              <w:fldChar w:fldCharType="end"/>
            </w:r>
          </w:hyperlink>
        </w:p>
        <w:p w:rsidR="003A6B91" w:rsidRDefault="00DF0B26" w14:paraId="347B4E70" w14:textId="728082A8">
          <w:pPr>
            <w:pStyle w:val="TOC2"/>
            <w:rPr>
              <w:rFonts w:cstheme="minorBidi"/>
              <w:noProof/>
              <w:kern w:val="2"/>
              <w14:ligatures w14:val="standardContextual"/>
            </w:rPr>
          </w:pPr>
          <w:hyperlink w:history="1" w:anchor="_Toc149134368">
            <w:r w:rsidRPr="00C33B5F" w:rsidR="003A6B91">
              <w:rPr>
                <w:rStyle w:val="Hyperlink"/>
                <w:noProof/>
              </w:rPr>
              <w:t>11.2</w:t>
            </w:r>
            <w:r w:rsidR="003A6B91">
              <w:rPr>
                <w:rFonts w:cstheme="minorBidi"/>
                <w:noProof/>
                <w:kern w:val="2"/>
                <w14:ligatures w14:val="standardContextual"/>
              </w:rPr>
              <w:tab/>
            </w:r>
            <w:r w:rsidRPr="00C33B5F" w:rsidR="003A6B91">
              <w:rPr>
                <w:rStyle w:val="Hyperlink"/>
                <w:noProof/>
              </w:rPr>
              <w:t>Completion Reporting</w:t>
            </w:r>
            <w:r w:rsidR="003A6B91">
              <w:rPr>
                <w:noProof/>
                <w:webHidden/>
              </w:rPr>
              <w:tab/>
            </w:r>
            <w:r w:rsidR="003A6B91">
              <w:rPr>
                <w:noProof/>
                <w:webHidden/>
              </w:rPr>
              <w:fldChar w:fldCharType="begin"/>
            </w:r>
            <w:r w:rsidR="003A6B91">
              <w:rPr>
                <w:noProof/>
                <w:webHidden/>
              </w:rPr>
              <w:instrText xml:space="preserve"> PAGEREF _Toc149134368 \h </w:instrText>
            </w:r>
            <w:r w:rsidR="003A6B91">
              <w:rPr>
                <w:noProof/>
                <w:webHidden/>
              </w:rPr>
            </w:r>
            <w:r w:rsidR="003A6B91">
              <w:rPr>
                <w:noProof/>
                <w:webHidden/>
              </w:rPr>
              <w:fldChar w:fldCharType="separate"/>
            </w:r>
            <w:r w:rsidR="003A6B91">
              <w:rPr>
                <w:noProof/>
                <w:webHidden/>
              </w:rPr>
              <w:t>30</w:t>
            </w:r>
            <w:r w:rsidR="003A6B91">
              <w:rPr>
                <w:noProof/>
                <w:webHidden/>
              </w:rPr>
              <w:fldChar w:fldCharType="end"/>
            </w:r>
          </w:hyperlink>
        </w:p>
        <w:p w:rsidR="003A6B91" w:rsidRDefault="00DF0B26" w14:paraId="797CDD79" w14:textId="276B0FB1">
          <w:pPr>
            <w:pStyle w:val="TOC2"/>
            <w:rPr>
              <w:rFonts w:cstheme="minorBidi"/>
              <w:noProof/>
              <w:kern w:val="2"/>
              <w14:ligatures w14:val="standardContextual"/>
            </w:rPr>
          </w:pPr>
          <w:hyperlink w:history="1" w:anchor="_Toc149134369">
            <w:r w:rsidRPr="00C33B5F" w:rsidR="003A6B91">
              <w:rPr>
                <w:rStyle w:val="Hyperlink"/>
                <w:noProof/>
              </w:rPr>
              <w:t>11.3</w:t>
            </w:r>
            <w:r w:rsidR="003A6B91">
              <w:rPr>
                <w:rFonts w:cstheme="minorBidi"/>
                <w:noProof/>
                <w:kern w:val="2"/>
                <w14:ligatures w14:val="standardContextual"/>
              </w:rPr>
              <w:tab/>
            </w:r>
            <w:r w:rsidRPr="00C33B5F" w:rsidR="003A6B91">
              <w:rPr>
                <w:rStyle w:val="Hyperlink"/>
                <w:noProof/>
              </w:rPr>
              <w:t>Incident Reporting</w:t>
            </w:r>
            <w:r w:rsidR="003A6B91">
              <w:rPr>
                <w:noProof/>
                <w:webHidden/>
              </w:rPr>
              <w:tab/>
            </w:r>
            <w:r w:rsidR="003A6B91">
              <w:rPr>
                <w:noProof/>
                <w:webHidden/>
              </w:rPr>
              <w:fldChar w:fldCharType="begin"/>
            </w:r>
            <w:r w:rsidR="003A6B91">
              <w:rPr>
                <w:noProof/>
                <w:webHidden/>
              </w:rPr>
              <w:instrText xml:space="preserve"> PAGEREF _Toc149134369 \h </w:instrText>
            </w:r>
            <w:r w:rsidR="003A6B91">
              <w:rPr>
                <w:noProof/>
                <w:webHidden/>
              </w:rPr>
            </w:r>
            <w:r w:rsidR="003A6B91">
              <w:rPr>
                <w:noProof/>
                <w:webHidden/>
              </w:rPr>
              <w:fldChar w:fldCharType="separate"/>
            </w:r>
            <w:r w:rsidR="003A6B91">
              <w:rPr>
                <w:noProof/>
                <w:webHidden/>
              </w:rPr>
              <w:t>31</w:t>
            </w:r>
            <w:r w:rsidR="003A6B91">
              <w:rPr>
                <w:noProof/>
                <w:webHidden/>
              </w:rPr>
              <w:fldChar w:fldCharType="end"/>
            </w:r>
          </w:hyperlink>
        </w:p>
        <w:p w:rsidR="00887A1D" w:rsidRDefault="00887A1D" w14:paraId="49E678BA" w14:textId="16AB9F0E">
          <w:r>
            <w:rPr>
              <w:b/>
              <w:bCs/>
              <w:noProof/>
            </w:rPr>
            <w:fldChar w:fldCharType="end"/>
          </w:r>
        </w:p>
      </w:sdtContent>
    </w:sdt>
    <w:p w:rsidR="004E4F0A" w:rsidP="004E4F0A" w:rsidRDefault="004E4F0A" w14:paraId="076C882E" w14:textId="77777777">
      <w:pPr>
        <w:widowControl w:val="0"/>
        <w:spacing w:before="26"/>
        <w:ind w:right="415"/>
        <w:jc w:val="center"/>
        <w:rPr>
          <w:rFonts w:ascii="Calibri" w:hAnsi="Calibri" w:eastAsia="Calibri" w:cs="Calibri"/>
          <w:color w:val="000000" w:themeColor="text1"/>
        </w:rPr>
      </w:pPr>
    </w:p>
    <w:p w:rsidR="004E4F0A" w:rsidP="004E4F0A" w:rsidRDefault="004E4F0A" w14:paraId="48552C9B" w14:textId="77777777">
      <w:pPr>
        <w:widowControl w:val="0"/>
        <w:spacing w:before="26"/>
        <w:ind w:right="415"/>
        <w:jc w:val="center"/>
        <w:rPr>
          <w:rFonts w:ascii="Calibri" w:hAnsi="Calibri" w:eastAsia="Calibri" w:cs="Calibri"/>
          <w:color w:val="000000" w:themeColor="text1"/>
        </w:rPr>
      </w:pPr>
    </w:p>
    <w:p w:rsidR="004E4F0A" w:rsidP="004E4F0A" w:rsidRDefault="004E4F0A" w14:paraId="54363FD1" w14:textId="77777777">
      <w:pPr>
        <w:widowControl w:val="0"/>
        <w:spacing w:before="26"/>
        <w:ind w:right="415"/>
        <w:jc w:val="center"/>
        <w:rPr>
          <w:rFonts w:ascii="Calibri" w:hAnsi="Calibri" w:eastAsia="Calibri" w:cs="Calibri"/>
          <w:color w:val="000000" w:themeColor="text1"/>
        </w:rPr>
      </w:pPr>
    </w:p>
    <w:p w:rsidR="004E4F0A" w:rsidP="004E4F0A" w:rsidRDefault="004E4F0A" w14:paraId="387DDB2A" w14:textId="77777777">
      <w:pPr>
        <w:widowControl w:val="0"/>
        <w:spacing w:before="26"/>
        <w:ind w:right="415"/>
        <w:jc w:val="center"/>
        <w:rPr>
          <w:rFonts w:ascii="Calibri" w:hAnsi="Calibri" w:eastAsia="Calibri" w:cs="Calibri"/>
          <w:color w:val="000000" w:themeColor="text1"/>
        </w:rPr>
      </w:pPr>
    </w:p>
    <w:p w:rsidR="004E4F0A" w:rsidP="004E4F0A" w:rsidRDefault="004E4F0A" w14:paraId="712B89F6" w14:textId="77777777">
      <w:pPr>
        <w:widowControl w:val="0"/>
        <w:spacing w:before="26"/>
        <w:ind w:right="415"/>
        <w:jc w:val="center"/>
        <w:rPr>
          <w:rFonts w:ascii="Calibri" w:hAnsi="Calibri" w:eastAsia="Calibri" w:cs="Calibri"/>
          <w:color w:val="000000" w:themeColor="text1"/>
        </w:rPr>
      </w:pPr>
    </w:p>
    <w:p w:rsidR="004E4F0A" w:rsidP="004E4F0A" w:rsidRDefault="004E4F0A" w14:paraId="171CE6EA" w14:textId="77777777">
      <w:pPr>
        <w:widowControl w:val="0"/>
        <w:spacing w:before="26"/>
        <w:ind w:right="415"/>
        <w:jc w:val="center"/>
        <w:rPr>
          <w:rFonts w:ascii="Calibri" w:hAnsi="Calibri" w:eastAsia="Calibri" w:cs="Calibri"/>
          <w:color w:val="000000" w:themeColor="text1"/>
        </w:rPr>
      </w:pPr>
    </w:p>
    <w:p w:rsidR="004E4F0A" w:rsidP="004E4F0A" w:rsidRDefault="004E4F0A" w14:paraId="274F9963" w14:textId="77777777">
      <w:pPr>
        <w:widowControl w:val="0"/>
        <w:spacing w:before="26"/>
        <w:ind w:right="415"/>
        <w:jc w:val="center"/>
        <w:rPr>
          <w:rFonts w:ascii="Calibri" w:hAnsi="Calibri" w:eastAsia="Calibri" w:cs="Calibri"/>
          <w:color w:val="000000" w:themeColor="text1"/>
        </w:rPr>
      </w:pPr>
    </w:p>
    <w:p w:rsidR="004E4F0A" w:rsidP="004E4F0A" w:rsidRDefault="004E4F0A" w14:paraId="53F9BA70" w14:textId="77777777">
      <w:pPr>
        <w:widowControl w:val="0"/>
        <w:spacing w:before="26"/>
        <w:ind w:right="415"/>
        <w:jc w:val="center"/>
        <w:rPr>
          <w:rFonts w:ascii="Calibri" w:hAnsi="Calibri" w:eastAsia="Calibri" w:cs="Calibri"/>
          <w:color w:val="000000" w:themeColor="text1"/>
        </w:rPr>
      </w:pPr>
    </w:p>
    <w:p w:rsidR="004E4F0A" w:rsidP="004E4F0A" w:rsidRDefault="004E4F0A" w14:paraId="6D16DF11" w14:textId="77777777">
      <w:pPr>
        <w:widowControl w:val="0"/>
        <w:spacing w:before="26"/>
        <w:ind w:right="415"/>
        <w:jc w:val="center"/>
        <w:rPr>
          <w:rFonts w:ascii="Calibri" w:hAnsi="Calibri" w:eastAsia="Calibri" w:cs="Calibri"/>
          <w:color w:val="000000" w:themeColor="text1"/>
        </w:rPr>
      </w:pPr>
    </w:p>
    <w:p w:rsidR="004E4F0A" w:rsidP="004E4F0A" w:rsidRDefault="004E4F0A" w14:paraId="289FF3E2" w14:textId="77777777">
      <w:pPr>
        <w:widowControl w:val="0"/>
        <w:spacing w:before="26"/>
        <w:ind w:right="415"/>
        <w:jc w:val="center"/>
        <w:rPr>
          <w:rFonts w:ascii="Calibri" w:hAnsi="Calibri" w:eastAsia="Calibri" w:cs="Calibri"/>
          <w:color w:val="000000" w:themeColor="text1"/>
        </w:rPr>
      </w:pPr>
    </w:p>
    <w:p w:rsidR="004E4F0A" w:rsidP="004E4F0A" w:rsidRDefault="004E4F0A" w14:paraId="2EA18B27" w14:textId="77777777">
      <w:pPr>
        <w:widowControl w:val="0"/>
        <w:spacing w:before="26"/>
        <w:ind w:right="415"/>
        <w:jc w:val="center"/>
        <w:rPr>
          <w:rFonts w:ascii="Calibri" w:hAnsi="Calibri" w:eastAsia="Calibri" w:cs="Calibri"/>
          <w:color w:val="000000" w:themeColor="text1"/>
        </w:rPr>
      </w:pPr>
    </w:p>
    <w:p w:rsidR="004E4F0A" w:rsidP="004E4F0A" w:rsidRDefault="004E4F0A" w14:paraId="4B79D9C1" w14:textId="77777777">
      <w:pPr>
        <w:widowControl w:val="0"/>
        <w:spacing w:before="26"/>
        <w:ind w:right="415"/>
        <w:jc w:val="center"/>
        <w:rPr>
          <w:rFonts w:ascii="Calibri" w:hAnsi="Calibri" w:eastAsia="Calibri" w:cs="Calibri"/>
          <w:color w:val="000000" w:themeColor="text1"/>
        </w:rPr>
      </w:pPr>
    </w:p>
    <w:p w:rsidR="004E4F0A" w:rsidP="004E4F0A" w:rsidRDefault="004E4F0A" w14:paraId="4AFAFA22" w14:textId="77777777">
      <w:pPr>
        <w:widowControl w:val="0"/>
        <w:spacing w:before="26"/>
        <w:ind w:right="415"/>
        <w:jc w:val="center"/>
        <w:rPr>
          <w:rFonts w:ascii="Calibri" w:hAnsi="Calibri" w:eastAsia="Calibri" w:cs="Calibri"/>
          <w:color w:val="000000" w:themeColor="text1"/>
        </w:rPr>
      </w:pPr>
    </w:p>
    <w:p w:rsidR="004E4F0A" w:rsidP="00857B4F" w:rsidRDefault="004E4F0A" w14:paraId="017901A1" w14:textId="77777777">
      <w:pPr>
        <w:widowControl w:val="0"/>
        <w:spacing w:before="26"/>
        <w:ind w:right="415"/>
        <w:rPr>
          <w:rFonts w:ascii="Calibri" w:hAnsi="Calibri" w:eastAsia="Calibri" w:cs="Calibri"/>
          <w:color w:val="000000" w:themeColor="text1"/>
        </w:rPr>
      </w:pPr>
    </w:p>
    <w:p w:rsidR="00E92088" w:rsidP="00E92088" w:rsidRDefault="00E92088" w14:paraId="532DC763" w14:textId="77777777">
      <w:pPr>
        <w:pStyle w:val="Heading1"/>
        <w:numPr>
          <w:ilvl w:val="0"/>
          <w:numId w:val="2"/>
        </w:numPr>
        <w:rPr>
          <w:rFonts w:eastAsia="Calibri"/>
        </w:rPr>
      </w:pPr>
      <w:bookmarkStart w:name="_Toc149134305" w:id="0"/>
      <w:r>
        <w:rPr>
          <w:rFonts w:eastAsia="Calibri"/>
        </w:rPr>
        <w:t>Background and Purpose</w:t>
      </w:r>
      <w:bookmarkEnd w:id="0"/>
    </w:p>
    <w:p w:rsidR="001643FE" w:rsidP="00617A3E" w:rsidRDefault="00617A3E" w14:paraId="5BC4C247" w14:textId="5D7315F3">
      <w:pPr>
        <w:ind w:left="360"/>
      </w:pPr>
      <w:r>
        <w:t xml:space="preserve">This document sets out the </w:t>
      </w:r>
      <w:r w:rsidR="0053565C">
        <w:t>requirements</w:t>
      </w:r>
      <w:r>
        <w:t xml:space="preserve">, guidelines, and application </w:t>
      </w:r>
      <w:r w:rsidR="00B66E9E">
        <w:t xml:space="preserve">process </w:t>
      </w:r>
      <w:r>
        <w:t>for the newly established Loan Loss Reserve Program</w:t>
      </w:r>
      <w:r w:rsidR="005F4492">
        <w:t xml:space="preserve"> (hereafter, Loan Loss Program, or LLP)</w:t>
      </w:r>
      <w:r>
        <w:t>.</w:t>
      </w:r>
    </w:p>
    <w:p w:rsidR="00DF62BE" w:rsidP="00DF62BE" w:rsidRDefault="00DF62BE" w14:paraId="45468E69" w14:textId="0F4BF57C">
      <w:pPr>
        <w:pStyle w:val="BodyText"/>
        <w:spacing w:before="180" w:line="259" w:lineRule="auto"/>
        <w:ind w:left="360"/>
      </w:pPr>
      <w:r>
        <w:t>S</w:t>
      </w:r>
      <w:r w:rsidR="00AF393C">
        <w:t xml:space="preserve">enate </w:t>
      </w:r>
      <w:r>
        <w:t>B</w:t>
      </w:r>
      <w:r w:rsidR="00AF393C">
        <w:t>ill</w:t>
      </w:r>
      <w:r>
        <w:t xml:space="preserve"> 156 </w:t>
      </w:r>
      <w:r w:rsidR="00AF393C">
        <w:t>(Chapter 156, Statutes of 2021)</w:t>
      </w:r>
      <w:r>
        <w:t xml:space="preserve"> created the Loan Loss Reserve Program to fund costs related to financing broadband infrastructure deployment</w:t>
      </w:r>
      <w:r>
        <w:rPr>
          <w:spacing w:val="-3"/>
        </w:rPr>
        <w:t xml:space="preserve"> </w:t>
      </w:r>
      <w:r>
        <w:t>by</w:t>
      </w:r>
      <w:r>
        <w:rPr>
          <w:spacing w:val="-4"/>
        </w:rPr>
        <w:t xml:space="preserve"> </w:t>
      </w:r>
      <w:r>
        <w:t>a</w:t>
      </w:r>
      <w:r>
        <w:rPr>
          <w:spacing w:val="-4"/>
        </w:rPr>
        <w:t xml:space="preserve"> </w:t>
      </w:r>
      <w:r>
        <w:t>local</w:t>
      </w:r>
      <w:r>
        <w:rPr>
          <w:spacing w:val="-3"/>
        </w:rPr>
        <w:t xml:space="preserve"> </w:t>
      </w:r>
      <w:r>
        <w:t>government</w:t>
      </w:r>
      <w:r>
        <w:rPr>
          <w:spacing w:val="-4"/>
        </w:rPr>
        <w:t xml:space="preserve"> </w:t>
      </w:r>
      <w:r>
        <w:t xml:space="preserve">agency, </w:t>
      </w:r>
      <w:r w:rsidR="00DE31C8">
        <w:t>T</w:t>
      </w:r>
      <w:r>
        <w:t>ribal government agency,</w:t>
      </w:r>
      <w:r>
        <w:rPr>
          <w:spacing w:val="-4"/>
        </w:rPr>
        <w:t xml:space="preserve"> </w:t>
      </w:r>
      <w:r>
        <w:t>or</w:t>
      </w:r>
      <w:r w:rsidRPr="00A03297">
        <w:t xml:space="preserve"> </w:t>
      </w:r>
      <w:r>
        <w:t>a</w:t>
      </w:r>
      <w:r>
        <w:rPr>
          <w:spacing w:val="-3"/>
        </w:rPr>
        <w:t xml:space="preserve"> </w:t>
      </w:r>
      <w:r>
        <w:t>nonprofit</w:t>
      </w:r>
      <w:r>
        <w:rPr>
          <w:spacing w:val="-4"/>
        </w:rPr>
        <w:t xml:space="preserve"> </w:t>
      </w:r>
      <w:r>
        <w:t>organization,</w:t>
      </w:r>
      <w:r>
        <w:rPr>
          <w:spacing w:val="-4"/>
        </w:rPr>
        <w:t xml:space="preserve"> </w:t>
      </w:r>
      <w:r>
        <w:t>including</w:t>
      </w:r>
      <w:r>
        <w:rPr>
          <w:spacing w:val="-3"/>
        </w:rPr>
        <w:t xml:space="preserve"> </w:t>
      </w:r>
      <w:r>
        <w:t>payment</w:t>
      </w:r>
      <w:r>
        <w:rPr>
          <w:spacing w:val="-4"/>
        </w:rPr>
        <w:t xml:space="preserve"> </w:t>
      </w:r>
      <w:r>
        <w:t>of</w:t>
      </w:r>
      <w:r>
        <w:rPr>
          <w:spacing w:val="-3"/>
        </w:rPr>
        <w:t xml:space="preserve"> </w:t>
      </w:r>
      <w:r>
        <w:t>costs</w:t>
      </w:r>
      <w:r>
        <w:rPr>
          <w:spacing w:val="-4"/>
        </w:rPr>
        <w:t xml:space="preserve"> </w:t>
      </w:r>
      <w:r>
        <w:t>of</w:t>
      </w:r>
      <w:r>
        <w:rPr>
          <w:spacing w:val="-4"/>
        </w:rPr>
        <w:t xml:space="preserve"> </w:t>
      </w:r>
      <w:r>
        <w:t>debt issuance, obtaining credit enhancement, and establishment and funding of reserves for the payment of principal and interest on</w:t>
      </w:r>
      <w:r w:rsidR="003C7112">
        <w:t xml:space="preserve"> the debt</w:t>
      </w:r>
      <w:r>
        <w:t>.</w:t>
      </w:r>
    </w:p>
    <w:p w:rsidR="00DF62BE" w:rsidP="00DF62BE" w:rsidRDefault="00DF62BE" w14:paraId="3ED23E91" w14:textId="77777777">
      <w:pPr>
        <w:pStyle w:val="BodyText"/>
        <w:spacing w:before="178"/>
        <w:ind w:left="119" w:firstLine="241"/>
      </w:pPr>
      <w:r>
        <w:t>Additionally,</w:t>
      </w:r>
      <w:r>
        <w:rPr>
          <w:spacing w:val="-8"/>
        </w:rPr>
        <w:t xml:space="preserve"> </w:t>
      </w:r>
      <w:r>
        <w:t>SB</w:t>
      </w:r>
      <w:r>
        <w:rPr>
          <w:spacing w:val="-9"/>
        </w:rPr>
        <w:t xml:space="preserve"> </w:t>
      </w:r>
      <w:r>
        <w:t>156</w:t>
      </w:r>
      <w:r>
        <w:rPr>
          <w:spacing w:val="-9"/>
        </w:rPr>
        <w:t xml:space="preserve"> </w:t>
      </w:r>
      <w:r>
        <w:t>authorizes</w:t>
      </w:r>
      <w:r>
        <w:rPr>
          <w:spacing w:val="-9"/>
        </w:rPr>
        <w:t xml:space="preserve"> </w:t>
      </w:r>
      <w:r>
        <w:t>the</w:t>
      </w:r>
      <w:r>
        <w:rPr>
          <w:spacing w:val="-9"/>
        </w:rPr>
        <w:t xml:space="preserve"> </w:t>
      </w:r>
      <w:r>
        <w:rPr>
          <w:spacing w:val="-2"/>
        </w:rPr>
        <w:t>following:</w:t>
      </w:r>
    </w:p>
    <w:p w:rsidR="00DF62BE" w:rsidP="00DF62BE" w:rsidRDefault="00DF62BE" w14:paraId="22B71426" w14:textId="77777777">
      <w:pPr>
        <w:pStyle w:val="BodyText"/>
        <w:spacing w:before="5"/>
        <w:rPr>
          <w:sz w:val="16"/>
        </w:rPr>
      </w:pPr>
    </w:p>
    <w:p w:rsidR="00DF62BE" w:rsidP="00857B4F" w:rsidRDefault="00DF62BE" w14:paraId="648CB69E" w14:textId="77777777">
      <w:pPr>
        <w:pStyle w:val="ListParagraph"/>
        <w:widowControl w:val="0"/>
        <w:numPr>
          <w:ilvl w:val="0"/>
          <w:numId w:val="31"/>
        </w:numPr>
        <w:tabs>
          <w:tab w:val="left" w:pos="839"/>
          <w:tab w:val="left" w:pos="841"/>
        </w:tabs>
        <w:autoSpaceDE w:val="0"/>
        <w:autoSpaceDN w:val="0"/>
        <w:spacing w:after="0"/>
        <w:ind w:right="411"/>
        <w:contextualSpacing w:val="0"/>
      </w:pPr>
      <w:r>
        <w:t>Permits</w:t>
      </w:r>
      <w:r>
        <w:rPr>
          <w:spacing w:val="-4"/>
        </w:rPr>
        <w:t xml:space="preserve"> </w:t>
      </w:r>
      <w:r>
        <w:t>the</w:t>
      </w:r>
      <w:r>
        <w:rPr>
          <w:spacing w:val="-4"/>
        </w:rPr>
        <w:t xml:space="preserve"> </w:t>
      </w:r>
      <w:r>
        <w:t>CPUC</w:t>
      </w:r>
      <w:r>
        <w:rPr>
          <w:spacing w:val="-4"/>
        </w:rPr>
        <w:t xml:space="preserve"> </w:t>
      </w:r>
      <w:r>
        <w:t>to</w:t>
      </w:r>
      <w:r>
        <w:rPr>
          <w:spacing w:val="-3"/>
        </w:rPr>
        <w:t xml:space="preserve"> </w:t>
      </w:r>
      <w:r>
        <w:t>establish,</w:t>
      </w:r>
      <w:r>
        <w:rPr>
          <w:spacing w:val="-4"/>
        </w:rPr>
        <w:t xml:space="preserve"> </w:t>
      </w:r>
      <w:r>
        <w:t>among</w:t>
      </w:r>
      <w:r>
        <w:rPr>
          <w:spacing w:val="-4"/>
        </w:rPr>
        <w:t xml:space="preserve"> </w:t>
      </w:r>
      <w:r>
        <w:t>other</w:t>
      </w:r>
      <w:r>
        <w:rPr>
          <w:spacing w:val="-4"/>
        </w:rPr>
        <w:t xml:space="preserve"> </w:t>
      </w:r>
      <w:r>
        <w:t>things,</w:t>
      </w:r>
      <w:r>
        <w:rPr>
          <w:spacing w:val="-4"/>
        </w:rPr>
        <w:t xml:space="preserve"> </w:t>
      </w:r>
      <w:r>
        <w:t>eligibility</w:t>
      </w:r>
      <w:r>
        <w:rPr>
          <w:spacing w:val="-3"/>
        </w:rPr>
        <w:t xml:space="preserve"> </w:t>
      </w:r>
      <w:r>
        <w:t>requirements,</w:t>
      </w:r>
      <w:r>
        <w:rPr>
          <w:spacing w:val="-4"/>
        </w:rPr>
        <w:t xml:space="preserve"> </w:t>
      </w:r>
      <w:r>
        <w:t>financing</w:t>
      </w:r>
      <w:r>
        <w:rPr>
          <w:spacing w:val="-4"/>
        </w:rPr>
        <w:t xml:space="preserve"> </w:t>
      </w:r>
      <w:r>
        <w:t>terms</w:t>
      </w:r>
      <w:r>
        <w:rPr>
          <w:spacing w:val="-3"/>
        </w:rPr>
        <w:t xml:space="preserve"> </w:t>
      </w:r>
      <w:r>
        <w:t>and conditions, and allocation criteria, for infrastructure projects deployed using financing supported in whole or in part by funds.</w:t>
      </w:r>
    </w:p>
    <w:p w:rsidR="00DF62BE" w:rsidP="00857B4F" w:rsidRDefault="00DF62BE" w14:paraId="0546A9D0" w14:textId="5C142752">
      <w:pPr>
        <w:pStyle w:val="ListParagraph"/>
        <w:widowControl w:val="0"/>
        <w:numPr>
          <w:ilvl w:val="0"/>
          <w:numId w:val="31"/>
        </w:numPr>
        <w:tabs>
          <w:tab w:val="left" w:pos="839"/>
          <w:tab w:val="left" w:pos="840"/>
        </w:tabs>
        <w:autoSpaceDE w:val="0"/>
        <w:autoSpaceDN w:val="0"/>
        <w:spacing w:after="0"/>
        <w:ind w:right="359"/>
        <w:contextualSpacing w:val="0"/>
      </w:pPr>
      <w:r>
        <w:t>Allows the CPUC to require a local government agency or nonprofit organization to provide information</w:t>
      </w:r>
      <w:r>
        <w:rPr>
          <w:spacing w:val="-4"/>
        </w:rPr>
        <w:t xml:space="preserve"> </w:t>
      </w:r>
      <w:r>
        <w:t>demonstrating</w:t>
      </w:r>
      <w:r>
        <w:rPr>
          <w:spacing w:val="-3"/>
        </w:rPr>
        <w:t xml:space="preserve"> </w:t>
      </w:r>
      <w:r w:rsidR="00157143">
        <w:t>an</w:t>
      </w:r>
      <w:r w:rsidR="00157143">
        <w:rPr>
          <w:spacing w:val="-3"/>
        </w:rPr>
        <w:t xml:space="preserve"> </w:t>
      </w:r>
      <w:r>
        <w:t>agency</w:t>
      </w:r>
      <w:r>
        <w:rPr>
          <w:spacing w:val="-2"/>
        </w:rPr>
        <w:t xml:space="preserve"> </w:t>
      </w:r>
      <w:r>
        <w:t>or</w:t>
      </w:r>
      <w:r>
        <w:rPr>
          <w:spacing w:val="-4"/>
        </w:rPr>
        <w:t xml:space="preserve"> </w:t>
      </w:r>
      <w:r>
        <w:t>nonprofit</w:t>
      </w:r>
      <w:r>
        <w:rPr>
          <w:spacing w:val="-3"/>
        </w:rPr>
        <w:t xml:space="preserve"> </w:t>
      </w:r>
      <w:r>
        <w:t>organization’s</w:t>
      </w:r>
      <w:r>
        <w:rPr>
          <w:spacing w:val="-4"/>
        </w:rPr>
        <w:t xml:space="preserve"> </w:t>
      </w:r>
      <w:r>
        <w:t>ability</w:t>
      </w:r>
      <w:r>
        <w:rPr>
          <w:spacing w:val="-3"/>
        </w:rPr>
        <w:t xml:space="preserve"> </w:t>
      </w:r>
      <w:r>
        <w:t>to</w:t>
      </w:r>
      <w:r>
        <w:rPr>
          <w:spacing w:val="-3"/>
        </w:rPr>
        <w:t xml:space="preserve"> </w:t>
      </w:r>
      <w:r>
        <w:t>reasonably</w:t>
      </w:r>
      <w:r>
        <w:rPr>
          <w:spacing w:val="-4"/>
        </w:rPr>
        <w:t xml:space="preserve"> </w:t>
      </w:r>
      <w:r>
        <w:t>finance and</w:t>
      </w:r>
      <w:r>
        <w:rPr>
          <w:spacing w:val="-4"/>
        </w:rPr>
        <w:t xml:space="preserve"> </w:t>
      </w:r>
      <w:r>
        <w:t>implement</w:t>
      </w:r>
      <w:r>
        <w:rPr>
          <w:spacing w:val="-3"/>
        </w:rPr>
        <w:t xml:space="preserve"> </w:t>
      </w:r>
      <w:r w:rsidR="00157143">
        <w:t>an</w:t>
      </w:r>
      <w:r w:rsidR="00157143">
        <w:rPr>
          <w:spacing w:val="-3"/>
        </w:rPr>
        <w:t xml:space="preserve"> </w:t>
      </w:r>
      <w:r>
        <w:t>infrastructure</w:t>
      </w:r>
      <w:r>
        <w:rPr>
          <w:spacing w:val="-4"/>
        </w:rPr>
        <w:t xml:space="preserve"> </w:t>
      </w:r>
      <w:r>
        <w:t>project</w:t>
      </w:r>
      <w:r>
        <w:rPr>
          <w:spacing w:val="-3"/>
        </w:rPr>
        <w:t xml:space="preserve"> </w:t>
      </w:r>
      <w:r>
        <w:t>deployed</w:t>
      </w:r>
      <w:r>
        <w:rPr>
          <w:spacing w:val="-3"/>
        </w:rPr>
        <w:t xml:space="preserve"> </w:t>
      </w:r>
      <w:r>
        <w:t>using</w:t>
      </w:r>
      <w:r>
        <w:rPr>
          <w:spacing w:val="-4"/>
        </w:rPr>
        <w:t xml:space="preserve"> </w:t>
      </w:r>
      <w:r>
        <w:t>financing</w:t>
      </w:r>
      <w:r>
        <w:rPr>
          <w:spacing w:val="-3"/>
        </w:rPr>
        <w:t xml:space="preserve"> </w:t>
      </w:r>
      <w:r>
        <w:t>supported</w:t>
      </w:r>
      <w:r>
        <w:rPr>
          <w:spacing w:val="-4"/>
        </w:rPr>
        <w:t xml:space="preserve"> </w:t>
      </w:r>
      <w:r>
        <w:t>in</w:t>
      </w:r>
      <w:r>
        <w:rPr>
          <w:spacing w:val="-3"/>
        </w:rPr>
        <w:t xml:space="preserve"> </w:t>
      </w:r>
      <w:r>
        <w:t>whole</w:t>
      </w:r>
      <w:r>
        <w:rPr>
          <w:spacing w:val="-4"/>
        </w:rPr>
        <w:t xml:space="preserve"> </w:t>
      </w:r>
      <w:r>
        <w:t>or</w:t>
      </w:r>
      <w:r>
        <w:rPr>
          <w:spacing w:val="-4"/>
        </w:rPr>
        <w:t xml:space="preserve"> </w:t>
      </w:r>
      <w:r>
        <w:t>in</w:t>
      </w:r>
      <w:r>
        <w:rPr>
          <w:spacing w:val="-4"/>
        </w:rPr>
        <w:t xml:space="preserve"> </w:t>
      </w:r>
      <w:r>
        <w:t>part by funds allocated pursuant to this section.</w:t>
      </w:r>
    </w:p>
    <w:p w:rsidRPr="00802F4D" w:rsidR="00DF62BE" w:rsidP="00857B4F" w:rsidRDefault="00DF62BE" w14:paraId="02ED3EF2" w14:textId="0C3559B9">
      <w:pPr>
        <w:pStyle w:val="ListParagraph"/>
        <w:widowControl w:val="0"/>
        <w:numPr>
          <w:ilvl w:val="0"/>
          <w:numId w:val="31"/>
        </w:numPr>
        <w:tabs>
          <w:tab w:val="left" w:pos="839"/>
          <w:tab w:val="left" w:pos="841"/>
        </w:tabs>
        <w:autoSpaceDE w:val="0"/>
        <w:autoSpaceDN w:val="0"/>
        <w:spacing w:after="0"/>
        <w:ind w:right="459"/>
        <w:contextualSpacing w:val="0"/>
      </w:pPr>
      <w:r>
        <w:t>Requires biannual progress reports identifying project milestones and percent completion to date</w:t>
      </w:r>
      <w:r>
        <w:rPr>
          <w:spacing w:val="-4"/>
        </w:rPr>
        <w:t xml:space="preserve"> </w:t>
      </w:r>
      <w:r>
        <w:t>and</w:t>
      </w:r>
      <w:r>
        <w:rPr>
          <w:spacing w:val="-4"/>
        </w:rPr>
        <w:t xml:space="preserve"> </w:t>
      </w:r>
      <w:r>
        <w:t>a</w:t>
      </w:r>
      <w:r>
        <w:rPr>
          <w:spacing w:val="-2"/>
        </w:rPr>
        <w:t xml:space="preserve"> </w:t>
      </w:r>
      <w:r>
        <w:t>completion</w:t>
      </w:r>
      <w:r>
        <w:rPr>
          <w:spacing w:val="-4"/>
        </w:rPr>
        <w:t xml:space="preserve"> </w:t>
      </w:r>
      <w:r>
        <w:t>report,</w:t>
      </w:r>
      <w:r>
        <w:rPr>
          <w:spacing w:val="-4"/>
        </w:rPr>
        <w:t xml:space="preserve"> </w:t>
      </w:r>
      <w:r>
        <w:t>including</w:t>
      </w:r>
      <w:r>
        <w:rPr>
          <w:spacing w:val="-3"/>
        </w:rPr>
        <w:t xml:space="preserve"> </w:t>
      </w:r>
      <w:r>
        <w:t>a</w:t>
      </w:r>
      <w:r>
        <w:rPr>
          <w:spacing w:val="-4"/>
        </w:rPr>
        <w:t xml:space="preserve"> </w:t>
      </w:r>
      <w:r>
        <w:t>full</w:t>
      </w:r>
      <w:r>
        <w:rPr>
          <w:spacing w:val="-3"/>
        </w:rPr>
        <w:t xml:space="preserve"> </w:t>
      </w:r>
      <w:r>
        <w:t>description</w:t>
      </w:r>
      <w:r>
        <w:rPr>
          <w:spacing w:val="-4"/>
        </w:rPr>
        <w:t xml:space="preserve"> </w:t>
      </w:r>
      <w:r>
        <w:t>of</w:t>
      </w:r>
      <w:r>
        <w:rPr>
          <w:spacing w:val="-4"/>
        </w:rPr>
        <w:t xml:space="preserve"> </w:t>
      </w:r>
      <w:r>
        <w:t>the</w:t>
      </w:r>
      <w:r>
        <w:rPr>
          <w:spacing w:val="-3"/>
        </w:rPr>
        <w:t xml:space="preserve"> </w:t>
      </w:r>
      <w:r>
        <w:t>completed</w:t>
      </w:r>
      <w:r>
        <w:rPr>
          <w:spacing w:val="-3"/>
        </w:rPr>
        <w:t xml:space="preserve"> </w:t>
      </w:r>
      <w:r>
        <w:t>project,</w:t>
      </w:r>
      <w:r>
        <w:rPr>
          <w:spacing w:val="-2"/>
        </w:rPr>
        <w:t xml:space="preserve"> </w:t>
      </w:r>
      <w:r>
        <w:t xml:space="preserve">comparison of approved versus actual costs of construction, and speed test data for all areas served by the </w:t>
      </w:r>
      <w:r>
        <w:rPr>
          <w:spacing w:val="-2"/>
        </w:rPr>
        <w:t>project.</w:t>
      </w:r>
    </w:p>
    <w:p w:rsidR="00802F4D" w:rsidP="00802F4D" w:rsidRDefault="00802F4D" w14:paraId="379C0AA4" w14:textId="0F6951B9">
      <w:pPr>
        <w:widowControl w:val="0"/>
        <w:tabs>
          <w:tab w:val="left" w:pos="839"/>
          <w:tab w:val="left" w:pos="841"/>
        </w:tabs>
        <w:autoSpaceDE w:val="0"/>
        <w:autoSpaceDN w:val="0"/>
        <w:spacing w:after="0"/>
        <w:ind w:left="840" w:right="459"/>
      </w:pPr>
    </w:p>
    <w:p w:rsidRPr="00A3701C" w:rsidR="00802F4D" w:rsidP="0006751F" w:rsidRDefault="00802F4D" w14:paraId="58A36512" w14:textId="26AAC212">
      <w:pPr>
        <w:widowControl w:val="0"/>
        <w:tabs>
          <w:tab w:val="left" w:pos="839"/>
          <w:tab w:val="left" w:pos="841"/>
        </w:tabs>
        <w:autoSpaceDE w:val="0"/>
        <w:autoSpaceDN w:val="0"/>
        <w:spacing w:after="0"/>
        <w:ind w:left="360" w:right="459"/>
      </w:pPr>
      <w:r>
        <w:t xml:space="preserve">The following proposed </w:t>
      </w:r>
      <w:r w:rsidR="0053565C">
        <w:t xml:space="preserve">requirements and guidelines </w:t>
      </w:r>
      <w:r>
        <w:t>are based on SB 156</w:t>
      </w:r>
      <w:r w:rsidR="00EF6E93">
        <w:t>,</w:t>
      </w:r>
      <w:r w:rsidR="000A004E">
        <w:rPr>
          <w:rStyle w:val="FootnoteReference"/>
        </w:rPr>
        <w:footnoteReference w:id="2"/>
      </w:r>
      <w:r w:rsidR="000A004E">
        <w:t xml:space="preserve"> the Budget Act of 2021 (AB 164)</w:t>
      </w:r>
      <w:r w:rsidR="000A004E">
        <w:rPr>
          <w:rStyle w:val="FootnoteReference"/>
        </w:rPr>
        <w:footnoteReference w:id="3"/>
      </w:r>
      <w:r w:rsidR="00954C51">
        <w:t xml:space="preserve"> and </w:t>
      </w:r>
      <w:r w:rsidR="008043DB">
        <w:t>parties’</w:t>
      </w:r>
      <w:r w:rsidR="00954C51">
        <w:t xml:space="preserve"> comments</w:t>
      </w:r>
      <w:r w:rsidR="0004633F">
        <w:t xml:space="preserve"> </w:t>
      </w:r>
      <w:r w:rsidR="005F4492">
        <w:t>to the California Public Utilities Commission</w:t>
      </w:r>
      <w:r w:rsidR="00781A21">
        <w:t>’s</w:t>
      </w:r>
      <w:r w:rsidR="005F4492">
        <w:t xml:space="preserve"> (CPUC)</w:t>
      </w:r>
      <w:r w:rsidR="00AA0007">
        <w:t xml:space="preserve"> September 16, 2021 </w:t>
      </w:r>
      <w:r w:rsidR="0006751F">
        <w:t>Sco</w:t>
      </w:r>
      <w:r w:rsidR="00365F35">
        <w:t>p</w:t>
      </w:r>
      <w:r w:rsidR="0006751F">
        <w:t>ing</w:t>
      </w:r>
      <w:r w:rsidR="00AA0007">
        <w:t xml:space="preserve"> Memo in the Rulemaking Regarding Revisions to the California Advanced Services Fund (R.20-08-021)</w:t>
      </w:r>
      <w:r w:rsidR="0006751F">
        <w:t>,</w:t>
      </w:r>
      <w:r w:rsidR="008B08D3">
        <w:t xml:space="preserve"> and</w:t>
      </w:r>
      <w:r w:rsidR="0006751F">
        <w:t xml:space="preserve"> the Communications Division</w:t>
      </w:r>
      <w:r w:rsidR="00781A21">
        <w:t xml:space="preserve"> </w:t>
      </w:r>
      <w:r w:rsidR="005E3569">
        <w:t>S</w:t>
      </w:r>
      <w:r w:rsidR="00781A21">
        <w:t>taff</w:t>
      </w:r>
      <w:r w:rsidR="005E3569">
        <w:t xml:space="preserve"> (</w:t>
      </w:r>
      <w:r w:rsidR="00FB0AC6">
        <w:t>Commission</w:t>
      </w:r>
      <w:r w:rsidR="005E3569">
        <w:t xml:space="preserve"> Staff)</w:t>
      </w:r>
      <w:r w:rsidR="00781A21">
        <w:t xml:space="preserve"> proposal and revised </w:t>
      </w:r>
      <w:r w:rsidR="00E55AC7">
        <w:t xml:space="preserve">Staff </w:t>
      </w:r>
      <w:r w:rsidR="00781A21">
        <w:t>proposal.</w:t>
      </w:r>
      <w:r w:rsidR="00954C51">
        <w:t xml:space="preserve"> </w:t>
      </w:r>
    </w:p>
    <w:p w:rsidRPr="001643FE" w:rsidR="00617A3E" w:rsidP="00857B4F" w:rsidRDefault="00617A3E" w14:paraId="55D81A92" w14:textId="77777777">
      <w:pPr>
        <w:ind w:left="1080"/>
      </w:pPr>
    </w:p>
    <w:p w:rsidR="001643FE" w:rsidP="00857B4F" w:rsidRDefault="001643FE" w14:paraId="7AB8435D" w14:textId="2043416C">
      <w:pPr>
        <w:pStyle w:val="Heading2"/>
        <w:numPr>
          <w:ilvl w:val="1"/>
          <w:numId w:val="2"/>
        </w:numPr>
        <w:ind w:left="1170"/>
      </w:pPr>
      <w:bookmarkStart w:name="_Toc149134306" w:id="1"/>
      <w:r>
        <w:t>Guiding Operational Principles</w:t>
      </w:r>
      <w:bookmarkEnd w:id="1"/>
    </w:p>
    <w:p w:rsidR="002534FB" w:rsidP="002534FB" w:rsidRDefault="002534FB" w14:paraId="7396CA23" w14:textId="33E14CC3">
      <w:pPr>
        <w:pStyle w:val="Default"/>
        <w:numPr>
          <w:ilvl w:val="0"/>
          <w:numId w:val="4"/>
        </w:numPr>
        <w:rPr>
          <w:sz w:val="22"/>
          <w:szCs w:val="22"/>
        </w:rPr>
      </w:pPr>
      <w:r w:rsidRPr="00AA4337">
        <w:rPr>
          <w:sz w:val="22"/>
          <w:szCs w:val="22"/>
        </w:rPr>
        <w:t xml:space="preserve">The LLP should be optimized for effective utilization of limited funding to achieve extensive broadband deployment in conjunction with other applicable state and federal funding. </w:t>
      </w:r>
    </w:p>
    <w:p w:rsidR="002534FB" w:rsidP="002534FB" w:rsidRDefault="002534FB" w14:paraId="7AD5A4F6" w14:textId="79E5FFDE">
      <w:pPr>
        <w:pStyle w:val="Default"/>
        <w:numPr>
          <w:ilvl w:val="0"/>
          <w:numId w:val="4"/>
        </w:numPr>
        <w:rPr>
          <w:sz w:val="22"/>
          <w:szCs w:val="22"/>
        </w:rPr>
      </w:pPr>
      <w:r w:rsidRPr="00AA4337">
        <w:rPr>
          <w:sz w:val="22"/>
          <w:szCs w:val="22"/>
        </w:rPr>
        <w:t xml:space="preserve">The CPUC will rely on </w:t>
      </w:r>
      <w:r w:rsidRPr="00857B4F">
        <w:rPr>
          <w:sz w:val="22"/>
          <w:szCs w:val="22"/>
        </w:rPr>
        <w:t>the financial projections</w:t>
      </w:r>
      <w:r w:rsidRPr="00857B4F" w:rsidR="002A5685">
        <w:rPr>
          <w:sz w:val="22"/>
          <w:szCs w:val="22"/>
        </w:rPr>
        <w:t xml:space="preserve"> from a third-party </w:t>
      </w:r>
      <w:r w:rsidRPr="00857B4F" w:rsidR="00A64859">
        <w:rPr>
          <w:sz w:val="22"/>
          <w:szCs w:val="22"/>
        </w:rPr>
        <w:t>accredited</w:t>
      </w:r>
      <w:r w:rsidRPr="00857B4F" w:rsidR="002A5685">
        <w:rPr>
          <w:sz w:val="22"/>
          <w:szCs w:val="22"/>
        </w:rPr>
        <w:t xml:space="preserve"> municipal advisor</w:t>
      </w:r>
      <w:r w:rsidRPr="00857B4F">
        <w:rPr>
          <w:sz w:val="22"/>
          <w:szCs w:val="22"/>
        </w:rPr>
        <w:t xml:space="preserve"> or credit agency ratings (if available)</w:t>
      </w:r>
      <w:r w:rsidRPr="00AA4337">
        <w:rPr>
          <w:sz w:val="22"/>
          <w:szCs w:val="22"/>
        </w:rPr>
        <w:t xml:space="preserve"> provided by the </w:t>
      </w:r>
      <w:r w:rsidR="00934E90">
        <w:rPr>
          <w:sz w:val="22"/>
          <w:szCs w:val="22"/>
        </w:rPr>
        <w:t>awardee</w:t>
      </w:r>
      <w:r w:rsidRPr="00AA4337" w:rsidR="00934E90">
        <w:rPr>
          <w:sz w:val="22"/>
          <w:szCs w:val="22"/>
        </w:rPr>
        <w:t xml:space="preserve"> </w:t>
      </w:r>
      <w:r w:rsidRPr="00AA4337">
        <w:rPr>
          <w:sz w:val="22"/>
          <w:szCs w:val="22"/>
        </w:rPr>
        <w:t xml:space="preserve">to streamline the approval for a credit enhancement. </w:t>
      </w:r>
    </w:p>
    <w:p w:rsidRPr="00AA4337" w:rsidR="002534FB" w:rsidP="002534FB" w:rsidRDefault="002534FB" w14:paraId="71266222" w14:textId="6D2BF9C7">
      <w:pPr>
        <w:pStyle w:val="Default"/>
        <w:numPr>
          <w:ilvl w:val="0"/>
          <w:numId w:val="4"/>
        </w:numPr>
        <w:rPr>
          <w:sz w:val="22"/>
          <w:szCs w:val="22"/>
        </w:rPr>
      </w:pPr>
      <w:r w:rsidRPr="00AA4337">
        <w:rPr>
          <w:sz w:val="22"/>
          <w:szCs w:val="22"/>
        </w:rPr>
        <w:t xml:space="preserve">Credit enhancements offered in the LLP will be designed to induce investors or a private lender to lend to a borrower and reduce the cost of financing by reducing the risk of a loss for a bondholder/lender in the transaction. </w:t>
      </w:r>
    </w:p>
    <w:p w:rsidRPr="00AA4337" w:rsidR="002534FB" w:rsidP="002534FB" w:rsidRDefault="002534FB" w14:paraId="688F9A6D" w14:textId="4B1A2B06">
      <w:pPr>
        <w:pStyle w:val="Default"/>
        <w:numPr>
          <w:ilvl w:val="0"/>
          <w:numId w:val="4"/>
        </w:numPr>
        <w:rPr>
          <w:sz w:val="22"/>
          <w:szCs w:val="22"/>
        </w:rPr>
      </w:pPr>
      <w:r w:rsidRPr="00AA4337">
        <w:rPr>
          <w:sz w:val="22"/>
          <w:szCs w:val="22"/>
        </w:rPr>
        <w:t xml:space="preserve">The LLP will support local government agencies, non-profits, and sovereign Tribal governments in their </w:t>
      </w:r>
      <w:r w:rsidR="00CC7665">
        <w:rPr>
          <w:sz w:val="22"/>
          <w:szCs w:val="22"/>
        </w:rPr>
        <w:t>eligible debt</w:t>
      </w:r>
      <w:r w:rsidRPr="00AA4337" w:rsidR="00CC7665">
        <w:rPr>
          <w:sz w:val="22"/>
          <w:szCs w:val="22"/>
        </w:rPr>
        <w:t xml:space="preserve"> </w:t>
      </w:r>
      <w:r w:rsidRPr="00AA4337">
        <w:rPr>
          <w:sz w:val="22"/>
          <w:szCs w:val="22"/>
        </w:rPr>
        <w:t>issuances.</w:t>
      </w:r>
    </w:p>
    <w:p w:rsidRPr="00FF2CAB" w:rsidR="00FF2CAB" w:rsidP="00FF2CAB" w:rsidRDefault="00FF2CAB" w14:paraId="6CE257BB" w14:textId="77777777"/>
    <w:p w:rsidRPr="00FF2CAB" w:rsidR="00FF2CAB" w:rsidP="00857B4F" w:rsidRDefault="00FF2CAB" w14:paraId="088B4815" w14:textId="0795DCC4">
      <w:pPr>
        <w:pStyle w:val="Heading2"/>
        <w:numPr>
          <w:ilvl w:val="1"/>
          <w:numId w:val="2"/>
        </w:numPr>
        <w:ind w:left="1170"/>
      </w:pPr>
      <w:bookmarkStart w:name="_Toc149134307" w:id="2"/>
      <w:r>
        <w:t>Guiding Program Principles</w:t>
      </w:r>
      <w:bookmarkEnd w:id="2"/>
    </w:p>
    <w:p w:rsidR="000668D7" w:rsidP="00857B4F" w:rsidRDefault="000668D7" w14:paraId="49D74588" w14:textId="77777777">
      <w:pPr>
        <w:pStyle w:val="Default"/>
        <w:numPr>
          <w:ilvl w:val="0"/>
          <w:numId w:val="30"/>
        </w:numPr>
        <w:rPr>
          <w:sz w:val="22"/>
          <w:szCs w:val="22"/>
        </w:rPr>
      </w:pPr>
      <w:r w:rsidRPr="00AA4337">
        <w:rPr>
          <w:sz w:val="22"/>
          <w:szCs w:val="22"/>
        </w:rPr>
        <w:t xml:space="preserve">The LLP credit enhancement should aim to manage a wide range of credit risk profiles by supporting a diverse portfolio of borrowers’ projects or issuers, without imposing concentration limits that constrain the development of robust municipal and nonprofit-owned broadband networks. </w:t>
      </w:r>
    </w:p>
    <w:p w:rsidR="00517113" w:rsidP="00857B4F" w:rsidRDefault="000668D7" w14:paraId="36EEEFEC" w14:textId="45F15607">
      <w:pPr>
        <w:pStyle w:val="Default"/>
        <w:numPr>
          <w:ilvl w:val="0"/>
          <w:numId w:val="30"/>
        </w:numPr>
        <w:rPr>
          <w:sz w:val="22"/>
          <w:szCs w:val="22"/>
        </w:rPr>
      </w:pPr>
      <w:r w:rsidRPr="00AA4337">
        <w:rPr>
          <w:sz w:val="22"/>
          <w:szCs w:val="22"/>
        </w:rPr>
        <w:t xml:space="preserve">The issuance of </w:t>
      </w:r>
      <w:r w:rsidR="00D44591">
        <w:rPr>
          <w:sz w:val="22"/>
          <w:szCs w:val="22"/>
        </w:rPr>
        <w:t>eligible debt</w:t>
      </w:r>
      <w:r w:rsidRPr="00AA4337">
        <w:rPr>
          <w:sz w:val="22"/>
          <w:szCs w:val="22"/>
        </w:rPr>
        <w:t xml:space="preserve"> backed by the LLP credit enhancement must have a clear and specific purpose to support a specific broadband infrastructure project or multiple broadband projects. </w:t>
      </w:r>
    </w:p>
    <w:p w:rsidRPr="00517113" w:rsidR="000668D7" w:rsidP="00857B4F" w:rsidRDefault="000668D7" w14:paraId="46F80909" w14:textId="403835EC">
      <w:pPr>
        <w:pStyle w:val="Default"/>
        <w:numPr>
          <w:ilvl w:val="1"/>
          <w:numId w:val="30"/>
        </w:numPr>
        <w:ind w:left="1350"/>
        <w:rPr>
          <w:sz w:val="22"/>
          <w:szCs w:val="22"/>
        </w:rPr>
      </w:pPr>
      <w:r w:rsidRPr="00517113">
        <w:rPr>
          <w:sz w:val="22"/>
          <w:szCs w:val="22"/>
        </w:rPr>
        <w:t xml:space="preserve">The purpose, risks, and structure of the </w:t>
      </w:r>
      <w:r w:rsidR="00DA75CA">
        <w:rPr>
          <w:sz w:val="22"/>
          <w:szCs w:val="22"/>
        </w:rPr>
        <w:t>eligible debt</w:t>
      </w:r>
      <w:r w:rsidR="005640F1">
        <w:rPr>
          <w:sz w:val="22"/>
          <w:szCs w:val="22"/>
        </w:rPr>
        <w:t xml:space="preserve"> </w:t>
      </w:r>
      <w:r w:rsidRPr="00517113">
        <w:rPr>
          <w:sz w:val="22"/>
          <w:szCs w:val="22"/>
        </w:rPr>
        <w:t xml:space="preserve">should be communicated to potential investors in a clear and concise manner through disclosure documents and other reporting requirements. </w:t>
      </w:r>
    </w:p>
    <w:p w:rsidR="006E4A7A" w:rsidP="00857B4F" w:rsidRDefault="000668D7" w14:paraId="4B14DB1E" w14:textId="1758F081">
      <w:pPr>
        <w:pStyle w:val="Default"/>
        <w:numPr>
          <w:ilvl w:val="0"/>
          <w:numId w:val="30"/>
        </w:numPr>
        <w:rPr>
          <w:sz w:val="22"/>
          <w:szCs w:val="22"/>
        </w:rPr>
      </w:pPr>
      <w:r w:rsidRPr="00AA4337">
        <w:rPr>
          <w:sz w:val="22"/>
          <w:szCs w:val="22"/>
        </w:rPr>
        <w:t xml:space="preserve">The issuer should ensure that the proposed </w:t>
      </w:r>
      <w:r w:rsidR="0089729C">
        <w:rPr>
          <w:sz w:val="22"/>
          <w:szCs w:val="22"/>
        </w:rPr>
        <w:t>eligible debt</w:t>
      </w:r>
      <w:r w:rsidRPr="00AA4337" w:rsidR="0089729C">
        <w:rPr>
          <w:sz w:val="22"/>
          <w:szCs w:val="22"/>
        </w:rPr>
        <w:t xml:space="preserve"> </w:t>
      </w:r>
      <w:r w:rsidRPr="00AA4337">
        <w:rPr>
          <w:sz w:val="22"/>
          <w:szCs w:val="22"/>
        </w:rPr>
        <w:t>issuance is financially feasible and is structured in a manner that aligns with the LLP’s long-term financial and broadband “futureproofing”</w:t>
      </w:r>
      <w:r>
        <w:rPr>
          <w:rStyle w:val="FootnoteReference"/>
          <w:sz w:val="22"/>
          <w:szCs w:val="22"/>
        </w:rPr>
        <w:footnoteReference w:id="4"/>
      </w:r>
      <w:r w:rsidRPr="00AA4337">
        <w:rPr>
          <w:sz w:val="22"/>
          <w:szCs w:val="22"/>
        </w:rPr>
        <w:t xml:space="preserve"> goals. </w:t>
      </w:r>
    </w:p>
    <w:p w:rsidRPr="006E4A7A" w:rsidR="000668D7" w:rsidP="00857B4F" w:rsidRDefault="000668D7" w14:paraId="17669069" w14:textId="45784D33">
      <w:pPr>
        <w:pStyle w:val="Default"/>
        <w:numPr>
          <w:ilvl w:val="1"/>
          <w:numId w:val="30"/>
        </w:numPr>
        <w:ind w:left="1350"/>
        <w:rPr>
          <w:sz w:val="22"/>
          <w:szCs w:val="22"/>
        </w:rPr>
      </w:pPr>
      <w:r w:rsidRPr="006E4A7A">
        <w:rPr>
          <w:sz w:val="22"/>
          <w:szCs w:val="22"/>
        </w:rPr>
        <w:t xml:space="preserve">This includes working with one or more expert third-party advisors to analyze the </w:t>
      </w:r>
      <w:r w:rsidR="0089729C">
        <w:rPr>
          <w:sz w:val="22"/>
          <w:szCs w:val="22"/>
        </w:rPr>
        <w:t>eligible debt</w:t>
      </w:r>
      <w:r w:rsidRPr="006E4A7A" w:rsidR="0089729C">
        <w:rPr>
          <w:sz w:val="22"/>
          <w:szCs w:val="22"/>
        </w:rPr>
        <w:t xml:space="preserve"> </w:t>
      </w:r>
      <w:r w:rsidRPr="006E4A7A">
        <w:rPr>
          <w:sz w:val="22"/>
          <w:szCs w:val="22"/>
        </w:rPr>
        <w:t xml:space="preserve">issuer’s ability to repay the </w:t>
      </w:r>
      <w:r w:rsidR="0089729C">
        <w:rPr>
          <w:sz w:val="22"/>
          <w:szCs w:val="22"/>
        </w:rPr>
        <w:t>debt</w:t>
      </w:r>
      <w:r w:rsidRPr="006E4A7A">
        <w:rPr>
          <w:sz w:val="22"/>
          <w:szCs w:val="22"/>
        </w:rPr>
        <w:t xml:space="preserve">, considering factors such as revenue streams, debt service capacity, financial projections, project management, operations and maintenance, and technological choices. </w:t>
      </w:r>
    </w:p>
    <w:p w:rsidR="000668D7" w:rsidP="00857B4F" w:rsidRDefault="000668D7" w14:paraId="54BEC23E" w14:textId="77188000">
      <w:pPr>
        <w:pStyle w:val="Default"/>
        <w:numPr>
          <w:ilvl w:val="0"/>
          <w:numId w:val="30"/>
        </w:numPr>
        <w:rPr>
          <w:sz w:val="22"/>
          <w:szCs w:val="22"/>
        </w:rPr>
      </w:pPr>
      <w:r w:rsidRPr="00AA4337">
        <w:rPr>
          <w:sz w:val="22"/>
          <w:szCs w:val="22"/>
        </w:rPr>
        <w:t xml:space="preserve">The </w:t>
      </w:r>
      <w:r w:rsidR="0089729C">
        <w:rPr>
          <w:sz w:val="22"/>
          <w:szCs w:val="22"/>
        </w:rPr>
        <w:t>eligible debt</w:t>
      </w:r>
      <w:r w:rsidRPr="00AA4337" w:rsidR="0089729C">
        <w:rPr>
          <w:sz w:val="22"/>
          <w:szCs w:val="22"/>
        </w:rPr>
        <w:t xml:space="preserve"> </w:t>
      </w:r>
      <w:r w:rsidRPr="00AA4337">
        <w:rPr>
          <w:sz w:val="22"/>
          <w:szCs w:val="22"/>
        </w:rPr>
        <w:t xml:space="preserve">issuer should be transparent in its financial reporting and provide investors with regular updates on the project and the </w:t>
      </w:r>
      <w:r w:rsidR="0089729C">
        <w:rPr>
          <w:sz w:val="22"/>
          <w:szCs w:val="22"/>
        </w:rPr>
        <w:t>debt’s</w:t>
      </w:r>
      <w:r w:rsidR="006140B1">
        <w:rPr>
          <w:sz w:val="22"/>
          <w:szCs w:val="22"/>
        </w:rPr>
        <w:t xml:space="preserve"> </w:t>
      </w:r>
      <w:r w:rsidRPr="00AA4337">
        <w:rPr>
          <w:sz w:val="22"/>
          <w:szCs w:val="22"/>
        </w:rPr>
        <w:t xml:space="preserve">financial </w:t>
      </w:r>
      <w:r w:rsidRPr="00AA4337" w:rsidR="005640F1">
        <w:rPr>
          <w:sz w:val="22"/>
          <w:szCs w:val="22"/>
        </w:rPr>
        <w:t>performance</w:t>
      </w:r>
      <w:r w:rsidRPr="00AA4337">
        <w:rPr>
          <w:sz w:val="22"/>
          <w:szCs w:val="22"/>
        </w:rPr>
        <w:t xml:space="preserve">. </w:t>
      </w:r>
    </w:p>
    <w:p w:rsidR="000668D7" w:rsidP="00857B4F" w:rsidRDefault="000668D7" w14:paraId="352EA3E8" w14:textId="025AE961">
      <w:pPr>
        <w:pStyle w:val="Default"/>
        <w:numPr>
          <w:ilvl w:val="0"/>
          <w:numId w:val="30"/>
        </w:numPr>
        <w:rPr>
          <w:sz w:val="22"/>
          <w:szCs w:val="22"/>
        </w:rPr>
      </w:pPr>
      <w:r w:rsidRPr="00AA4337">
        <w:rPr>
          <w:sz w:val="22"/>
          <w:szCs w:val="22"/>
        </w:rPr>
        <w:t xml:space="preserve">The </w:t>
      </w:r>
      <w:r w:rsidR="00E35003">
        <w:rPr>
          <w:sz w:val="22"/>
          <w:szCs w:val="22"/>
        </w:rPr>
        <w:t>eligible deb</w:t>
      </w:r>
      <w:r w:rsidR="00390BC7">
        <w:rPr>
          <w:sz w:val="22"/>
          <w:szCs w:val="22"/>
        </w:rPr>
        <w:t xml:space="preserve">t </w:t>
      </w:r>
      <w:r w:rsidRPr="00AA4337">
        <w:rPr>
          <w:sz w:val="22"/>
          <w:szCs w:val="22"/>
        </w:rPr>
        <w:t xml:space="preserve">supported by the LLP credit enhancement should be priced through a negotiated sale or directly placed with a lender in a private placement considering the cost of capital, current market conditions, the creditworthiness of the municipality, and “tax-exempt” treatment if possible. </w:t>
      </w:r>
    </w:p>
    <w:p w:rsidR="000668D7" w:rsidP="00857B4F" w:rsidRDefault="000668D7" w14:paraId="5952DDE3" w14:textId="4B445335">
      <w:pPr>
        <w:pStyle w:val="Default"/>
        <w:numPr>
          <w:ilvl w:val="0"/>
          <w:numId w:val="30"/>
        </w:numPr>
        <w:rPr>
          <w:sz w:val="22"/>
          <w:szCs w:val="22"/>
        </w:rPr>
      </w:pPr>
      <w:r w:rsidRPr="00AA4337">
        <w:rPr>
          <w:sz w:val="22"/>
          <w:szCs w:val="22"/>
        </w:rPr>
        <w:t xml:space="preserve">The proceeds from the </w:t>
      </w:r>
      <w:r w:rsidR="00E35003">
        <w:rPr>
          <w:sz w:val="22"/>
          <w:szCs w:val="22"/>
        </w:rPr>
        <w:t>eligible debt</w:t>
      </w:r>
      <w:r w:rsidR="00390BC7">
        <w:rPr>
          <w:sz w:val="22"/>
          <w:szCs w:val="22"/>
        </w:rPr>
        <w:t xml:space="preserve"> </w:t>
      </w:r>
      <w:r w:rsidRPr="00AA4337">
        <w:rPr>
          <w:sz w:val="22"/>
          <w:szCs w:val="22"/>
        </w:rPr>
        <w:t xml:space="preserve">issuance backed by the LLP credit enhancement will be used to support one or more specific broadband infrastructure projects as described in the Official Statement or Private Placement Memorandum (if any). </w:t>
      </w:r>
    </w:p>
    <w:p w:rsidR="000668D7" w:rsidP="00857B4F" w:rsidRDefault="000668D7" w14:paraId="5B1728CD" w14:textId="173907FA">
      <w:pPr>
        <w:pStyle w:val="Default"/>
        <w:numPr>
          <w:ilvl w:val="0"/>
          <w:numId w:val="30"/>
        </w:numPr>
        <w:rPr>
          <w:sz w:val="22"/>
          <w:szCs w:val="22"/>
        </w:rPr>
      </w:pPr>
      <w:r w:rsidRPr="00AA4337">
        <w:rPr>
          <w:sz w:val="22"/>
          <w:szCs w:val="22"/>
        </w:rPr>
        <w:t xml:space="preserve">The issuance of </w:t>
      </w:r>
      <w:r w:rsidR="00B8474B">
        <w:rPr>
          <w:sz w:val="22"/>
          <w:szCs w:val="22"/>
        </w:rPr>
        <w:t>eligible debt</w:t>
      </w:r>
      <w:r w:rsidRPr="00AA4337">
        <w:rPr>
          <w:sz w:val="22"/>
          <w:szCs w:val="22"/>
        </w:rPr>
        <w:t xml:space="preserve"> backed by the LLP credit enhancement must comply with all applicable federal and state laws and regulations, including </w:t>
      </w:r>
      <w:r>
        <w:rPr>
          <w:sz w:val="22"/>
          <w:szCs w:val="22"/>
        </w:rPr>
        <w:t xml:space="preserve">the </w:t>
      </w:r>
      <w:r w:rsidRPr="00AA4337">
        <w:rPr>
          <w:sz w:val="22"/>
          <w:szCs w:val="22"/>
        </w:rPr>
        <w:t xml:space="preserve">execution of a Continuing Disclosure Agreement (CDA) (if the deal is a public transaction) for any instrument guaranteed by the LLP and filing with the CPUC and the Municipal Securities Rulemaking Board (EMMA), if applicable. </w:t>
      </w:r>
    </w:p>
    <w:p w:rsidRPr="00AA4337" w:rsidR="000668D7" w:rsidP="00857B4F" w:rsidRDefault="000668D7" w14:paraId="22852A6C" w14:textId="01F3AEA2">
      <w:pPr>
        <w:pStyle w:val="Default"/>
        <w:numPr>
          <w:ilvl w:val="0"/>
          <w:numId w:val="30"/>
        </w:numPr>
        <w:rPr>
          <w:sz w:val="22"/>
          <w:szCs w:val="22"/>
        </w:rPr>
      </w:pPr>
      <w:r w:rsidRPr="00AA4337">
        <w:rPr>
          <w:sz w:val="22"/>
          <w:szCs w:val="22"/>
        </w:rPr>
        <w:t xml:space="preserve">The </w:t>
      </w:r>
      <w:r w:rsidR="00FE010B">
        <w:rPr>
          <w:sz w:val="22"/>
          <w:szCs w:val="22"/>
        </w:rPr>
        <w:t>eligible debt</w:t>
      </w:r>
      <w:r w:rsidRPr="00AA4337" w:rsidR="00FE010B">
        <w:rPr>
          <w:sz w:val="22"/>
          <w:szCs w:val="22"/>
        </w:rPr>
        <w:t xml:space="preserve"> </w:t>
      </w:r>
      <w:r w:rsidRPr="00AA4337">
        <w:rPr>
          <w:sz w:val="22"/>
          <w:szCs w:val="22"/>
        </w:rPr>
        <w:t xml:space="preserve">issuer should maintain good relationships with its investors or lenders, providing them with regular updates (to the extent desired by the lender) and responding to their inquiries in a timely manner. </w:t>
      </w:r>
    </w:p>
    <w:p w:rsidRPr="00527A91" w:rsidR="00527A91" w:rsidP="00527A91" w:rsidRDefault="00527A91" w14:paraId="26D8C342" w14:textId="77777777"/>
    <w:p w:rsidR="001643FE" w:rsidP="00B70CAC" w:rsidRDefault="00B70CAC" w14:paraId="0072D6B0" w14:textId="01869706">
      <w:pPr>
        <w:pStyle w:val="Heading1"/>
        <w:numPr>
          <w:ilvl w:val="0"/>
          <w:numId w:val="7"/>
        </w:numPr>
        <w:rPr>
          <w:rFonts w:eastAsia="Calibri"/>
        </w:rPr>
      </w:pPr>
      <w:bookmarkStart w:name="_Toc149134308" w:id="3"/>
      <w:r>
        <w:rPr>
          <w:rFonts w:eastAsia="Calibri"/>
        </w:rPr>
        <w:t xml:space="preserve">Statutory </w:t>
      </w:r>
      <w:r w:rsidR="00FF2CAB">
        <w:rPr>
          <w:rFonts w:eastAsia="Calibri"/>
        </w:rPr>
        <w:t>Authority</w:t>
      </w:r>
      <w:bookmarkEnd w:id="3"/>
    </w:p>
    <w:p w:rsidR="00DC4560" w:rsidP="00297308" w:rsidRDefault="00DC4560" w14:paraId="58AA6FC9" w14:textId="7CAF8476">
      <w:pPr>
        <w:pStyle w:val="BodyText"/>
        <w:spacing w:before="31" w:line="259" w:lineRule="auto"/>
        <w:ind w:left="360" w:right="415"/>
      </w:pPr>
      <w:r>
        <w:t>Authority for the LLP is found in SB 156 (Chapter 112, Statutes of 2021) Section 8, which</w:t>
      </w:r>
      <w:r>
        <w:rPr>
          <w:spacing w:val="-2"/>
        </w:rPr>
        <w:t xml:space="preserve"> </w:t>
      </w:r>
      <w:r>
        <w:t>added</w:t>
      </w:r>
      <w:r>
        <w:rPr>
          <w:spacing w:val="-2"/>
        </w:rPr>
        <w:t xml:space="preserve"> </w:t>
      </w:r>
      <w:r>
        <w:t>Public</w:t>
      </w:r>
      <w:r>
        <w:rPr>
          <w:spacing w:val="-2"/>
        </w:rPr>
        <w:t xml:space="preserve"> </w:t>
      </w:r>
      <w:r>
        <w:t>Utilities</w:t>
      </w:r>
      <w:r>
        <w:rPr>
          <w:spacing w:val="-3"/>
        </w:rPr>
        <w:t xml:space="preserve"> </w:t>
      </w:r>
      <w:r>
        <w:t>Code</w:t>
      </w:r>
      <w:r>
        <w:rPr>
          <w:spacing w:val="-3"/>
        </w:rPr>
        <w:t xml:space="preserve"> </w:t>
      </w:r>
      <w:r>
        <w:t>section</w:t>
      </w:r>
      <w:r>
        <w:rPr>
          <w:spacing w:val="-3"/>
        </w:rPr>
        <w:t xml:space="preserve"> </w:t>
      </w:r>
      <w:r>
        <w:t>281.2,</w:t>
      </w:r>
      <w:r>
        <w:rPr>
          <w:spacing w:val="-3"/>
        </w:rPr>
        <w:t xml:space="preserve"> </w:t>
      </w:r>
      <w:r>
        <w:t>and</w:t>
      </w:r>
      <w:r>
        <w:rPr>
          <w:spacing w:val="-2"/>
        </w:rPr>
        <w:t xml:space="preserve"> </w:t>
      </w:r>
      <w:r>
        <w:t>AB</w:t>
      </w:r>
      <w:r>
        <w:rPr>
          <w:spacing w:val="-2"/>
        </w:rPr>
        <w:t xml:space="preserve"> </w:t>
      </w:r>
      <w:r>
        <w:t>164</w:t>
      </w:r>
      <w:r>
        <w:rPr>
          <w:spacing w:val="-3"/>
        </w:rPr>
        <w:t xml:space="preserve"> </w:t>
      </w:r>
      <w:r>
        <w:t>(Chapter</w:t>
      </w:r>
      <w:r>
        <w:rPr>
          <w:spacing w:val="-3"/>
        </w:rPr>
        <w:t xml:space="preserve"> </w:t>
      </w:r>
      <w:r>
        <w:t>84,</w:t>
      </w:r>
      <w:r>
        <w:rPr>
          <w:spacing w:val="-3"/>
        </w:rPr>
        <w:t xml:space="preserve"> </w:t>
      </w:r>
      <w:r>
        <w:t>Statutes</w:t>
      </w:r>
      <w:r>
        <w:rPr>
          <w:spacing w:val="-3"/>
        </w:rPr>
        <w:t xml:space="preserve"> </w:t>
      </w:r>
      <w:r>
        <w:t>of</w:t>
      </w:r>
      <w:r>
        <w:rPr>
          <w:spacing w:val="-3"/>
        </w:rPr>
        <w:t xml:space="preserve"> </w:t>
      </w:r>
      <w:r>
        <w:t>2021)</w:t>
      </w:r>
      <w:r>
        <w:rPr>
          <w:spacing w:val="-2"/>
        </w:rPr>
        <w:t xml:space="preserve"> </w:t>
      </w:r>
      <w:r>
        <w:t>Section</w:t>
      </w:r>
      <w:r>
        <w:rPr>
          <w:spacing w:val="-2"/>
        </w:rPr>
        <w:t xml:space="preserve"> </w:t>
      </w:r>
      <w:r>
        <w:t>34, Item 8660-062-0001.</w:t>
      </w:r>
    </w:p>
    <w:p w:rsidRPr="00FF2CAB" w:rsidR="00FF2CAB" w:rsidP="00FF2CAB" w:rsidRDefault="00FF2CAB" w14:paraId="12D134E4" w14:textId="77777777"/>
    <w:p w:rsidR="00FF2CAB" w:rsidP="00B70CAC" w:rsidRDefault="00FF2CAB" w14:paraId="6A8746A5" w14:textId="3E60294A">
      <w:pPr>
        <w:pStyle w:val="Heading1"/>
        <w:numPr>
          <w:ilvl w:val="0"/>
          <w:numId w:val="7"/>
        </w:numPr>
        <w:rPr>
          <w:rFonts w:eastAsia="Calibri"/>
        </w:rPr>
      </w:pPr>
      <w:bookmarkStart w:name="_Toc149134309" w:id="4"/>
      <w:r>
        <w:rPr>
          <w:rFonts w:eastAsia="Calibri"/>
        </w:rPr>
        <w:t>Definitions</w:t>
      </w:r>
      <w:bookmarkEnd w:id="4"/>
    </w:p>
    <w:p w:rsidR="004C7561" w:rsidP="009B0549" w:rsidRDefault="004C7561" w14:paraId="744EA652" w14:textId="3C35E72E">
      <w:pPr>
        <w:ind w:left="360"/>
      </w:pPr>
      <w:r>
        <w:t>For purposes of the LLP, the following definitions apply:</w:t>
      </w:r>
    </w:p>
    <w:p w:rsidR="00A30BFA" w:rsidP="00857B4F" w:rsidRDefault="004C7561" w14:paraId="7D76D2C8" w14:textId="0431435E">
      <w:pPr>
        <w:tabs>
          <w:tab w:val="left" w:pos="720"/>
        </w:tabs>
        <w:ind w:left="360"/>
      </w:pPr>
      <w:r>
        <w:t>“Arbitrage Rebate Returns” – The dollar profit earned from arbitrage that must be paid back (or rebated) to the federal government in connection with a tax-exempt bond deal.</w:t>
      </w:r>
    </w:p>
    <w:p w:rsidR="00A30BFA" w:rsidP="00857B4F" w:rsidRDefault="00331D04" w14:paraId="563D2857" w14:textId="5751B4E0">
      <w:pPr>
        <w:tabs>
          <w:tab w:val="left" w:pos="720"/>
        </w:tabs>
        <w:ind w:left="360"/>
      </w:pPr>
      <w:r w:rsidRPr="00331D04">
        <w:t>“Bond Indenture” – A contract or legal document that records the obligations of the issuer and the benefits of the bondholders</w:t>
      </w:r>
      <w:r w:rsidR="00DE0553">
        <w:t>/lenders</w:t>
      </w:r>
      <w:r w:rsidRPr="00331D04">
        <w:t xml:space="preserve">. It also provides repayment provisions and other rights of a credit enhancer, like a bond insurer, letter of credit bank or other guarantor. In </w:t>
      </w:r>
      <w:r w:rsidR="00FD7A1A">
        <w:t>some</w:t>
      </w:r>
      <w:r w:rsidRPr="00331D04">
        <w:t xml:space="preserve"> instances, a bond indenture can be referred to as a trust agreement,</w:t>
      </w:r>
      <w:r w:rsidR="00484692">
        <w:t xml:space="preserve"> or</w:t>
      </w:r>
      <w:r w:rsidRPr="00331D04">
        <w:t xml:space="preserve"> fiscal agent agreement.</w:t>
      </w:r>
    </w:p>
    <w:p w:rsidR="00646D45" w:rsidP="00857B4F" w:rsidRDefault="00664DBC" w14:paraId="60EE738D" w14:textId="662BF78F">
      <w:pPr>
        <w:tabs>
          <w:tab w:val="left" w:pos="720"/>
        </w:tabs>
        <w:spacing w:before="240"/>
        <w:ind w:left="360"/>
      </w:pPr>
      <w:r w:rsidRPr="00664DBC">
        <w:t>“Conduit Issuer” – An organization, usually a government agency, that issues municipal securities to raise capital for revenue-generating projects where the funds generated from the bond sale are used by a third-party (known as the “conduit borrower”) for a project or activity that has a public benefit and where the funds are repaid solely by the conduit borrower from specified revenues.  The conduit issuer does not put its own credit behind the conduit bond and is not responsible for payment.</w:t>
      </w:r>
      <w:r w:rsidR="00330B35">
        <w:t xml:space="preserve"> Some local government</w:t>
      </w:r>
      <w:r w:rsidR="004C423D">
        <w:t xml:space="preserve"> borrowers may elect to issue their own bonds, and not utilize a conduit issuer. </w:t>
      </w:r>
    </w:p>
    <w:p w:rsidRPr="00DA5AB3" w:rsidR="00AB1C84" w:rsidP="00857B4F" w:rsidRDefault="00C27D44" w14:paraId="669E1B78" w14:textId="4E032D72">
      <w:pPr>
        <w:tabs>
          <w:tab w:val="left" w:pos="720"/>
        </w:tabs>
        <w:ind w:left="360"/>
        <w:rPr>
          <w:rFonts w:cstheme="minorHAnsi"/>
        </w:rPr>
      </w:pPr>
      <w:r>
        <w:t>“</w:t>
      </w:r>
      <w:r w:rsidR="00700C24">
        <w:t>Credit Enhancement</w:t>
      </w:r>
      <w:r w:rsidR="002C2EB7">
        <w:t>”</w:t>
      </w:r>
      <w:r w:rsidR="00700C24">
        <w:t>– A mechanism or arrangement that helps strengthen creditworthiness or reduce the credit risk associated with a</w:t>
      </w:r>
      <w:r w:rsidR="008309C0">
        <w:t>n eligible debt</w:t>
      </w:r>
      <w:r w:rsidR="00E830D2">
        <w:t xml:space="preserve"> </w:t>
      </w:r>
      <w:r w:rsidR="00700C24">
        <w:t>offering. It is designed to provide additional assurances to lenders or bondholders</w:t>
      </w:r>
      <w:r w:rsidR="00DE0553">
        <w:t>/lenders</w:t>
      </w:r>
      <w:r w:rsidR="00700C24">
        <w:t xml:space="preserve"> that their principal and interest payments will be made in the event of missed payments or default by the </w:t>
      </w:r>
      <w:r w:rsidR="00F279D3">
        <w:t xml:space="preserve">eligible debt </w:t>
      </w:r>
      <w:r w:rsidR="00700C24">
        <w:t xml:space="preserve">issuer. In the case of the LLP, the CPUC will provide the credit enhancement to applicable </w:t>
      </w:r>
      <w:r w:rsidR="00F279D3">
        <w:t>debt</w:t>
      </w:r>
      <w:r w:rsidR="00E830D2">
        <w:t xml:space="preserve"> </w:t>
      </w:r>
      <w:r w:rsidR="00700C24">
        <w:t xml:space="preserve">offerings in the form of a debt service reserve (DSR) supported by a </w:t>
      </w:r>
      <w:r w:rsidR="008F734B">
        <w:t>DSR Guarantee</w:t>
      </w:r>
      <w:r w:rsidR="00700C24">
        <w:t>.</w:t>
      </w:r>
    </w:p>
    <w:p w:rsidR="00742948" w:rsidP="00857B4F" w:rsidRDefault="004E1AEC" w14:paraId="42331BB0" w14:textId="11F7D297">
      <w:pPr>
        <w:ind w:left="450" w:hanging="90"/>
      </w:pPr>
      <w:r w:rsidRPr="00A60CA0">
        <w:rPr>
          <w:rFonts w:cstheme="minorHAnsi"/>
        </w:rPr>
        <w:t>“</w:t>
      </w:r>
      <w:r w:rsidR="0088066C">
        <w:t>Debt Service Reserve” – A liquid reserve of funds to make debt service payments in the event of a disruption or delay in a project’s cash flow.  These typically cover 6-12 months of payments.</w:t>
      </w:r>
    </w:p>
    <w:p w:rsidR="00CA7276" w:rsidP="00CA7276" w:rsidRDefault="00CA7276" w14:paraId="27E79C50" w14:textId="15B6EE4B">
      <w:pPr>
        <w:spacing w:before="178"/>
        <w:ind w:left="359" w:right="415"/>
      </w:pPr>
      <w:r>
        <w:t xml:space="preserve">“DSR Guarantee” – The CPUC’s reserve fund will support the DSR </w:t>
      </w:r>
      <w:r w:rsidR="00E830D2">
        <w:t>and</w:t>
      </w:r>
      <w:r>
        <w:t xml:space="preserve"> function as the credit enhancement for the </w:t>
      </w:r>
      <w:r w:rsidR="00FF75F6">
        <w:t>eligible debt</w:t>
      </w:r>
      <w:r>
        <w:t xml:space="preserve">. </w:t>
      </w:r>
    </w:p>
    <w:p w:rsidR="00CA7276" w:rsidP="008D4557" w:rsidRDefault="00CA7276" w14:paraId="77B9A479" w14:textId="25E06453">
      <w:pPr>
        <w:spacing w:before="179"/>
        <w:ind w:left="358"/>
      </w:pPr>
      <w:r>
        <w:t>“DSR Guarantee Balance”</w:t>
      </w:r>
      <w:r>
        <w:rPr>
          <w:spacing w:val="-3"/>
        </w:rPr>
        <w:t xml:space="preserve"> </w:t>
      </w:r>
      <w:r>
        <w:t>–</w:t>
      </w:r>
      <w:r>
        <w:rPr>
          <w:spacing w:val="-3"/>
        </w:rPr>
        <w:t xml:space="preserve"> </w:t>
      </w:r>
      <w:r>
        <w:t>The</w:t>
      </w:r>
      <w:r>
        <w:rPr>
          <w:spacing w:val="-2"/>
        </w:rPr>
        <w:t xml:space="preserve"> </w:t>
      </w:r>
      <w:r>
        <w:t>total</w:t>
      </w:r>
      <w:r>
        <w:rPr>
          <w:spacing w:val="-2"/>
        </w:rPr>
        <w:t xml:space="preserve"> </w:t>
      </w:r>
      <w:r>
        <w:t>amount</w:t>
      </w:r>
      <w:r>
        <w:rPr>
          <w:spacing w:val="-2"/>
        </w:rPr>
        <w:t xml:space="preserve"> </w:t>
      </w:r>
      <w:r>
        <w:t>remaining</w:t>
      </w:r>
      <w:r>
        <w:rPr>
          <w:spacing w:val="-3"/>
        </w:rPr>
        <w:t xml:space="preserve"> </w:t>
      </w:r>
      <w:r>
        <w:t>in</w:t>
      </w:r>
      <w:r>
        <w:rPr>
          <w:spacing w:val="-2"/>
        </w:rPr>
        <w:t xml:space="preserve"> </w:t>
      </w:r>
      <w:r>
        <w:t>the</w:t>
      </w:r>
      <w:r>
        <w:rPr>
          <w:spacing w:val="-3"/>
        </w:rPr>
        <w:t xml:space="preserve"> </w:t>
      </w:r>
      <w:r>
        <w:t xml:space="preserve">DSR Guarantee available to provide coverage as defined in Section 6.2. </w:t>
      </w:r>
    </w:p>
    <w:p w:rsidR="00742948" w:rsidP="00857B4F" w:rsidRDefault="00D94333" w14:paraId="092F1C34" w14:textId="6F50A587">
      <w:pPr>
        <w:ind w:left="360"/>
      </w:pPr>
      <w:r>
        <w:t>“Deployment</w:t>
      </w:r>
      <w:r>
        <w:rPr>
          <w:spacing w:val="-3"/>
        </w:rPr>
        <w:t xml:space="preserve"> </w:t>
      </w:r>
      <w:r>
        <w:t>Schedule”</w:t>
      </w:r>
      <w:r>
        <w:rPr>
          <w:spacing w:val="-3"/>
        </w:rPr>
        <w:t xml:space="preserve"> </w:t>
      </w:r>
      <w:r>
        <w:t>–</w:t>
      </w:r>
      <w:r>
        <w:rPr>
          <w:spacing w:val="-2"/>
        </w:rPr>
        <w:t xml:space="preserve"> </w:t>
      </w:r>
      <w:r>
        <w:t>All</w:t>
      </w:r>
      <w:r>
        <w:rPr>
          <w:spacing w:val="-3"/>
        </w:rPr>
        <w:t xml:space="preserve"> </w:t>
      </w:r>
      <w:r>
        <w:t>necessary</w:t>
      </w:r>
      <w:r>
        <w:rPr>
          <w:spacing w:val="-4"/>
        </w:rPr>
        <w:t xml:space="preserve"> </w:t>
      </w:r>
      <w:r>
        <w:t>schedules</w:t>
      </w:r>
      <w:r>
        <w:rPr>
          <w:spacing w:val="-2"/>
        </w:rPr>
        <w:t xml:space="preserve"> </w:t>
      </w:r>
      <w:r>
        <w:t>to</w:t>
      </w:r>
      <w:r>
        <w:rPr>
          <w:spacing w:val="-2"/>
        </w:rPr>
        <w:t xml:space="preserve"> </w:t>
      </w:r>
      <w:r>
        <w:t>complete</w:t>
      </w:r>
      <w:r>
        <w:rPr>
          <w:spacing w:val="-4"/>
        </w:rPr>
        <w:t xml:space="preserve"> </w:t>
      </w:r>
      <w:r>
        <w:t>a</w:t>
      </w:r>
      <w:r>
        <w:rPr>
          <w:spacing w:val="-2"/>
        </w:rPr>
        <w:t xml:space="preserve"> </w:t>
      </w:r>
      <w:r>
        <w:t>broadband</w:t>
      </w:r>
      <w:r>
        <w:rPr>
          <w:spacing w:val="-3"/>
        </w:rPr>
        <w:t xml:space="preserve"> </w:t>
      </w:r>
      <w:r>
        <w:t>project,</w:t>
      </w:r>
      <w:r>
        <w:rPr>
          <w:spacing w:val="-4"/>
        </w:rPr>
        <w:t xml:space="preserve"> </w:t>
      </w:r>
      <w:r>
        <w:t>including a</w:t>
      </w:r>
      <w:r>
        <w:rPr>
          <w:spacing w:val="-4"/>
        </w:rPr>
        <w:t xml:space="preserve"> </w:t>
      </w:r>
      <w:r>
        <w:t>schedule</w:t>
      </w:r>
      <w:r>
        <w:rPr>
          <w:spacing w:val="-4"/>
        </w:rPr>
        <w:t xml:space="preserve"> </w:t>
      </w:r>
      <w:r>
        <w:t>for</w:t>
      </w:r>
      <w:r>
        <w:rPr>
          <w:spacing w:val="-4"/>
        </w:rPr>
        <w:t xml:space="preserve"> </w:t>
      </w:r>
      <w:r>
        <w:t>obtaining</w:t>
      </w:r>
      <w:r>
        <w:rPr>
          <w:spacing w:val="-4"/>
        </w:rPr>
        <w:t xml:space="preserve"> </w:t>
      </w:r>
      <w:r>
        <w:t>necessary</w:t>
      </w:r>
      <w:r>
        <w:rPr>
          <w:spacing w:val="-4"/>
        </w:rPr>
        <w:t xml:space="preserve"> </w:t>
      </w:r>
      <w:r>
        <w:t>permits</w:t>
      </w:r>
      <w:r>
        <w:rPr>
          <w:spacing w:val="-4"/>
        </w:rPr>
        <w:t xml:space="preserve"> </w:t>
      </w:r>
      <w:r>
        <w:t>prior</w:t>
      </w:r>
      <w:r>
        <w:rPr>
          <w:spacing w:val="-3"/>
        </w:rPr>
        <w:t xml:space="preserve"> </w:t>
      </w:r>
      <w:r>
        <w:t>to</w:t>
      </w:r>
      <w:r>
        <w:rPr>
          <w:spacing w:val="-2"/>
        </w:rPr>
        <w:t xml:space="preserve"> </w:t>
      </w:r>
      <w:r>
        <w:t>construction.</w:t>
      </w:r>
      <w:r>
        <w:rPr>
          <w:spacing w:val="-3"/>
        </w:rPr>
        <w:t xml:space="preserve"> </w:t>
      </w:r>
      <w:r>
        <w:t>The</w:t>
      </w:r>
      <w:r>
        <w:rPr>
          <w:spacing w:val="-3"/>
        </w:rPr>
        <w:t xml:space="preserve"> </w:t>
      </w:r>
      <w:r>
        <w:t>schedule</w:t>
      </w:r>
      <w:r>
        <w:rPr>
          <w:spacing w:val="-3"/>
        </w:rPr>
        <w:t xml:space="preserve"> </w:t>
      </w:r>
      <w:r>
        <w:t>must</w:t>
      </w:r>
      <w:r>
        <w:rPr>
          <w:spacing w:val="-3"/>
        </w:rPr>
        <w:t xml:space="preserve"> </w:t>
      </w:r>
      <w:r>
        <w:t>include</w:t>
      </w:r>
      <w:r>
        <w:rPr>
          <w:spacing w:val="-3"/>
        </w:rPr>
        <w:t xml:space="preserve"> </w:t>
      </w:r>
      <w:r>
        <w:t>the</w:t>
      </w:r>
      <w:r>
        <w:rPr>
          <w:spacing w:val="-3"/>
        </w:rPr>
        <w:t xml:space="preserve"> </w:t>
      </w:r>
      <w:r>
        <w:t xml:space="preserve">timeline required for the California Environmental Quality Act (CEQA) review, as applicable. Also, a deployment schedule must include a schedule for project construction following receipt of permits, to complete the project within </w:t>
      </w:r>
      <w:r w:rsidR="009B6C48">
        <w:t>36</w:t>
      </w:r>
      <w:r>
        <w:t xml:space="preserve"> months.</w:t>
      </w:r>
    </w:p>
    <w:p w:rsidR="00CC5514" w:rsidP="00857B4F" w:rsidRDefault="00CC5514" w14:paraId="2956113D" w14:textId="0A841BE7">
      <w:pPr>
        <w:tabs>
          <w:tab w:val="left" w:pos="720"/>
        </w:tabs>
        <w:ind w:left="360"/>
      </w:pPr>
      <w:r>
        <w:t>“Depository”</w:t>
      </w:r>
      <w:r>
        <w:rPr>
          <w:spacing w:val="-2"/>
        </w:rPr>
        <w:t xml:space="preserve"> </w:t>
      </w:r>
      <w:r>
        <w:t>–</w:t>
      </w:r>
      <w:r>
        <w:rPr>
          <w:spacing w:val="-3"/>
        </w:rPr>
        <w:t xml:space="preserve"> </w:t>
      </w:r>
      <w:r>
        <w:t>An</w:t>
      </w:r>
      <w:r>
        <w:rPr>
          <w:spacing w:val="-1"/>
        </w:rPr>
        <w:t xml:space="preserve"> </w:t>
      </w:r>
      <w:r>
        <w:t>entity</w:t>
      </w:r>
      <w:r>
        <w:rPr>
          <w:spacing w:val="-3"/>
        </w:rPr>
        <w:t xml:space="preserve"> </w:t>
      </w:r>
      <w:r>
        <w:t>that</w:t>
      </w:r>
      <w:r>
        <w:rPr>
          <w:spacing w:val="-2"/>
        </w:rPr>
        <w:t xml:space="preserve"> </w:t>
      </w:r>
      <w:r>
        <w:t>holds</w:t>
      </w:r>
      <w:r>
        <w:rPr>
          <w:spacing w:val="-3"/>
        </w:rPr>
        <w:t xml:space="preserve"> </w:t>
      </w:r>
      <w:r>
        <w:t>financial</w:t>
      </w:r>
      <w:r>
        <w:rPr>
          <w:spacing w:val="-3"/>
        </w:rPr>
        <w:t xml:space="preserve"> </w:t>
      </w:r>
      <w:r>
        <w:t>securities</w:t>
      </w:r>
      <w:r>
        <w:rPr>
          <w:spacing w:val="-3"/>
        </w:rPr>
        <w:t xml:space="preserve"> </w:t>
      </w:r>
      <w:r>
        <w:t>in</w:t>
      </w:r>
      <w:r>
        <w:rPr>
          <w:spacing w:val="-2"/>
        </w:rPr>
        <w:t xml:space="preserve"> </w:t>
      </w:r>
      <w:r>
        <w:t>a</w:t>
      </w:r>
      <w:r>
        <w:rPr>
          <w:spacing w:val="-3"/>
        </w:rPr>
        <w:t xml:space="preserve"> </w:t>
      </w:r>
      <w:r>
        <w:t>dematerialized form.</w:t>
      </w:r>
      <w:r>
        <w:rPr>
          <w:spacing w:val="-1"/>
        </w:rPr>
        <w:t xml:space="preserve"> </w:t>
      </w:r>
      <w:r>
        <w:t>A bank, organization, or</w:t>
      </w:r>
      <w:r>
        <w:rPr>
          <w:spacing w:val="-1"/>
        </w:rPr>
        <w:t xml:space="preserve"> </w:t>
      </w:r>
      <w:r>
        <w:t>any</w:t>
      </w:r>
      <w:r>
        <w:rPr>
          <w:spacing w:val="-1"/>
        </w:rPr>
        <w:t xml:space="preserve"> </w:t>
      </w:r>
      <w:r>
        <w:t>institution</w:t>
      </w:r>
      <w:r>
        <w:rPr>
          <w:spacing w:val="-1"/>
        </w:rPr>
        <w:t xml:space="preserve"> </w:t>
      </w:r>
      <w:r>
        <w:t>holding</w:t>
      </w:r>
      <w:r>
        <w:rPr>
          <w:spacing w:val="-1"/>
        </w:rPr>
        <w:t xml:space="preserve"> </w:t>
      </w:r>
      <w:r>
        <w:t>and</w:t>
      </w:r>
      <w:r>
        <w:rPr>
          <w:spacing w:val="-1"/>
        </w:rPr>
        <w:t xml:space="preserve"> </w:t>
      </w:r>
      <w:r>
        <w:t>assisting in</w:t>
      </w:r>
      <w:r>
        <w:rPr>
          <w:spacing w:val="-1"/>
        </w:rPr>
        <w:t xml:space="preserve"> </w:t>
      </w:r>
      <w:r>
        <w:t>security trading is</w:t>
      </w:r>
      <w:r>
        <w:rPr>
          <w:spacing w:val="-1"/>
        </w:rPr>
        <w:t xml:space="preserve"> </w:t>
      </w:r>
      <w:r>
        <w:t>referred</w:t>
      </w:r>
      <w:r>
        <w:rPr>
          <w:spacing w:val="-1"/>
        </w:rPr>
        <w:t xml:space="preserve"> </w:t>
      </w:r>
      <w:r>
        <w:t>to as</w:t>
      </w:r>
      <w:r>
        <w:rPr>
          <w:spacing w:val="-1"/>
        </w:rPr>
        <w:t xml:space="preserve"> </w:t>
      </w:r>
      <w:r>
        <w:t>a depository. Depository accounts hold securities in the same way that bank accounts hold funds. A depository functions as a connection between the public companies that issue financial securities and the investors or shareholders.</w:t>
      </w:r>
      <w:r>
        <w:rPr>
          <w:rStyle w:val="FootnoteReference"/>
        </w:rPr>
        <w:footnoteReference w:id="5"/>
      </w:r>
    </w:p>
    <w:p w:rsidR="000A0BD6" w:rsidP="00857B4F" w:rsidRDefault="000A0BD6" w14:paraId="21762071" w14:textId="5332204C">
      <w:pPr>
        <w:tabs>
          <w:tab w:val="left" w:pos="720"/>
        </w:tabs>
        <w:ind w:left="360"/>
      </w:pPr>
      <w:r w:rsidRPr="000A0BD6">
        <w:t>“Eligible Debt” – Including, but not limited to, bonds, loans, and letters of credit available to eligible entities to finance broadband infrastructure deployments.</w:t>
      </w:r>
    </w:p>
    <w:p w:rsidR="00AF0AAE" w:rsidP="00857B4F" w:rsidRDefault="00AF0AAE" w14:paraId="4F899EC1" w14:textId="789C328B">
      <w:pPr>
        <w:spacing w:before="178"/>
        <w:ind w:left="360" w:right="415"/>
      </w:pPr>
      <w:r>
        <w:t>“Eligible</w:t>
      </w:r>
      <w:r>
        <w:rPr>
          <w:spacing w:val="-3"/>
        </w:rPr>
        <w:t xml:space="preserve"> </w:t>
      </w:r>
      <w:r>
        <w:t>Project”</w:t>
      </w:r>
      <w:r>
        <w:rPr>
          <w:spacing w:val="-2"/>
        </w:rPr>
        <w:t xml:space="preserve"> </w:t>
      </w:r>
      <w:r>
        <w:t>–</w:t>
      </w:r>
      <w:r>
        <w:rPr>
          <w:spacing w:val="-4"/>
        </w:rPr>
        <w:t xml:space="preserve"> </w:t>
      </w:r>
      <w:r w:rsidR="00D16330">
        <w:t>A</w:t>
      </w:r>
      <w:r>
        <w:rPr>
          <w:spacing w:val="-4"/>
        </w:rPr>
        <w:t xml:space="preserve"> </w:t>
      </w:r>
      <w:r>
        <w:t>construction</w:t>
      </w:r>
      <w:r>
        <w:rPr>
          <w:spacing w:val="-4"/>
        </w:rPr>
        <w:t xml:space="preserve"> </w:t>
      </w:r>
      <w:r>
        <w:t>project</w:t>
      </w:r>
      <w:r>
        <w:rPr>
          <w:spacing w:val="-3"/>
        </w:rPr>
        <w:t xml:space="preserve"> </w:t>
      </w:r>
      <w:r>
        <w:t>is “future proof,”</w:t>
      </w:r>
      <w:r>
        <w:rPr>
          <w:spacing w:val="-4"/>
        </w:rPr>
        <w:t xml:space="preserve"> </w:t>
      </w:r>
      <w:r>
        <w:t>when</w:t>
      </w:r>
      <w:r>
        <w:rPr>
          <w:spacing w:val="-3"/>
        </w:rPr>
        <w:t xml:space="preserve"> </w:t>
      </w:r>
      <w:r>
        <w:t>complete,</w:t>
      </w:r>
      <w:r>
        <w:rPr>
          <w:spacing w:val="-4"/>
        </w:rPr>
        <w:t xml:space="preserve"> </w:t>
      </w:r>
      <w:r>
        <w:t>will</w:t>
      </w:r>
      <w:r>
        <w:rPr>
          <w:spacing w:val="-4"/>
        </w:rPr>
        <w:t xml:space="preserve"> </w:t>
      </w:r>
      <w:r>
        <w:t>be</w:t>
      </w:r>
      <w:r>
        <w:rPr>
          <w:spacing w:val="-2"/>
        </w:rPr>
        <w:t xml:space="preserve"> </w:t>
      </w:r>
      <w:r>
        <w:t>capable</w:t>
      </w:r>
      <w:r>
        <w:rPr>
          <w:spacing w:val="-3"/>
        </w:rPr>
        <w:t xml:space="preserve"> </w:t>
      </w:r>
      <w:r>
        <w:t xml:space="preserve">of offering wireline broadband service to last mile connections at or above 100 Megabits per second (Mbps) downstream and 100 Mbps upstream, or 100 Mbps downstream and 20 Mbps upstream if symmetrical service is constrained due to engineering limitations </w:t>
      </w:r>
      <w:r w:rsidR="0012773A">
        <w:t>(h</w:t>
      </w:r>
      <w:r>
        <w:t>ereinafter “100/100 Mbps” and “100/20 Mbps</w:t>
      </w:r>
      <w:r w:rsidR="00A60CA0">
        <w:t>”)</w:t>
      </w:r>
      <w:r>
        <w:t xml:space="preserve">. It will also demonstrate sufficient surplus capacity to remain competitive in the future without requiring major refurbishment upgrades. </w:t>
      </w:r>
    </w:p>
    <w:p w:rsidR="00016A88" w:rsidP="00857B4F" w:rsidRDefault="00016A88" w14:paraId="07D6C5BC" w14:textId="46DC5CBA">
      <w:pPr>
        <w:spacing w:before="178"/>
        <w:ind w:left="360" w:right="415"/>
      </w:pPr>
      <w:r>
        <w:t xml:space="preserve">“Fiscal Agent” </w:t>
      </w:r>
      <w:r w:rsidR="00790F42">
        <w:t>–</w:t>
      </w:r>
      <w:r>
        <w:t xml:space="preserve"> </w:t>
      </w:r>
      <w:r w:rsidR="00790F42">
        <w:t xml:space="preserve">A fiscal agent in a credit enhancement program is a financial </w:t>
      </w:r>
      <w:r w:rsidR="000C1EE3">
        <w:t>institution</w:t>
      </w:r>
      <w:r w:rsidR="00790F42">
        <w:t xml:space="preserve"> or entity responsible for managing and overseeing the </w:t>
      </w:r>
      <w:r w:rsidR="00BB05AF">
        <w:t>DSR Guarantee</w:t>
      </w:r>
      <w:r w:rsidR="00790F42">
        <w:t xml:space="preserve"> on bonds or other debt securities issued by </w:t>
      </w:r>
      <w:r w:rsidR="000C1EE3">
        <w:t>a government entity or organization on behalf of the CPUC.</w:t>
      </w:r>
      <w:r w:rsidR="00C56037">
        <w:t xml:space="preserve"> </w:t>
      </w:r>
      <w:r w:rsidRPr="00C56037" w:rsidR="00C56037">
        <w:t xml:space="preserve">Their primary role is to ensure that the </w:t>
      </w:r>
      <w:r w:rsidR="00BB05AF">
        <w:t>DSR guarantee</w:t>
      </w:r>
      <w:r w:rsidRPr="00C56037" w:rsidR="00C56037">
        <w:t xml:space="preserve"> obligations, including principal and interest payments, are made in a timely and efficient manner to bondholders</w:t>
      </w:r>
      <w:r w:rsidR="00DE0553">
        <w:t>/lenders</w:t>
      </w:r>
      <w:r w:rsidRPr="00C56037" w:rsidR="00C56037">
        <w:t>.</w:t>
      </w:r>
    </w:p>
    <w:p w:rsidRPr="00EE4B04" w:rsidR="00342898" w:rsidP="5566778A" w:rsidRDefault="00C27D44" w14:paraId="345810F4" w14:textId="37158CA1">
      <w:pPr>
        <w:spacing w:before="180"/>
        <w:ind w:left="359" w:right="387"/>
      </w:pPr>
      <w:r>
        <w:t>“</w:t>
      </w:r>
      <w:r w:rsidR="00342898">
        <w:t>Guarantor”</w:t>
      </w:r>
      <w:r w:rsidR="00342898">
        <w:rPr>
          <w:spacing w:val="-3"/>
        </w:rPr>
        <w:t xml:space="preserve"> </w:t>
      </w:r>
      <w:r w:rsidR="00342898">
        <w:t>–</w:t>
      </w:r>
      <w:r w:rsidR="00342898">
        <w:rPr>
          <w:spacing w:val="-3"/>
        </w:rPr>
        <w:t xml:space="preserve"> </w:t>
      </w:r>
      <w:r w:rsidR="00342898">
        <w:t>A</w:t>
      </w:r>
      <w:r w:rsidR="00901674">
        <w:t xml:space="preserve">n </w:t>
      </w:r>
      <w:r w:rsidR="00342898">
        <w:t>individual</w:t>
      </w:r>
      <w:r w:rsidR="00865EC3">
        <w:t xml:space="preserve"> or entity</w:t>
      </w:r>
      <w:r w:rsidR="00342898">
        <w:rPr>
          <w:spacing w:val="-3"/>
        </w:rPr>
        <w:t xml:space="preserve"> </w:t>
      </w:r>
      <w:r w:rsidR="00342898">
        <w:t>who</w:t>
      </w:r>
      <w:r w:rsidR="00342898">
        <w:rPr>
          <w:spacing w:val="-2"/>
        </w:rPr>
        <w:t xml:space="preserve"> </w:t>
      </w:r>
      <w:r w:rsidR="00342898">
        <w:t>promises</w:t>
      </w:r>
      <w:r w:rsidR="00342898">
        <w:rPr>
          <w:spacing w:val="-2"/>
        </w:rPr>
        <w:t xml:space="preserve"> </w:t>
      </w:r>
      <w:r w:rsidR="00342898">
        <w:t>to</w:t>
      </w:r>
      <w:r w:rsidR="00342898">
        <w:rPr>
          <w:spacing w:val="-2"/>
        </w:rPr>
        <w:t xml:space="preserve"> </w:t>
      </w:r>
      <w:r w:rsidR="00342898">
        <w:t>pay</w:t>
      </w:r>
      <w:r w:rsidR="00342898">
        <w:rPr>
          <w:spacing w:val="-3"/>
        </w:rPr>
        <w:t xml:space="preserve"> </w:t>
      </w:r>
      <w:r w:rsidR="00342898">
        <w:t>a</w:t>
      </w:r>
      <w:r w:rsidR="00342898">
        <w:rPr>
          <w:spacing w:val="-1"/>
        </w:rPr>
        <w:t xml:space="preserve"> </w:t>
      </w:r>
      <w:r w:rsidR="00342898">
        <w:t>borrower</w:t>
      </w:r>
      <w:r>
        <w:t>’</w:t>
      </w:r>
      <w:r w:rsidR="00342898">
        <w:t>s</w:t>
      </w:r>
      <w:r w:rsidR="00342898">
        <w:rPr>
          <w:spacing w:val="-3"/>
        </w:rPr>
        <w:t xml:space="preserve"> </w:t>
      </w:r>
      <w:r w:rsidR="00342898">
        <w:t>debt</w:t>
      </w:r>
      <w:r w:rsidR="00342898">
        <w:rPr>
          <w:spacing w:val="-3"/>
        </w:rPr>
        <w:t xml:space="preserve"> </w:t>
      </w:r>
      <w:r w:rsidR="00342898">
        <w:t>in</w:t>
      </w:r>
      <w:r w:rsidR="00342898">
        <w:rPr>
          <w:spacing w:val="-3"/>
        </w:rPr>
        <w:t xml:space="preserve"> </w:t>
      </w:r>
      <w:r w:rsidR="00342898">
        <w:t xml:space="preserve">the event that the borrower </w:t>
      </w:r>
      <w:r w:rsidR="003537E3">
        <w:t xml:space="preserve">fails to make </w:t>
      </w:r>
      <w:r w:rsidR="00175FB3">
        <w:t>payments or defaults</w:t>
      </w:r>
      <w:r w:rsidR="00342898">
        <w:t xml:space="preserve"> on their loan </w:t>
      </w:r>
      <w:r w:rsidR="00120515">
        <w:t>obligation.</w:t>
      </w:r>
      <w:r w:rsidR="00342898">
        <w:rPr>
          <w:rStyle w:val="FootnoteReference"/>
        </w:rPr>
        <w:footnoteReference w:id="6"/>
      </w:r>
      <w:r w:rsidR="00342898">
        <w:t xml:space="preserve">  The terms of the obligation will be defined in the indenture</w:t>
      </w:r>
      <w:r w:rsidR="005F298C">
        <w:t xml:space="preserve"> or</w:t>
      </w:r>
      <w:r w:rsidR="007E1880">
        <w:t xml:space="preserve"> similar</w:t>
      </w:r>
      <w:r w:rsidR="005F298C">
        <w:t xml:space="preserve"> document</w:t>
      </w:r>
      <w:r w:rsidR="00342898">
        <w:t>.</w:t>
      </w:r>
    </w:p>
    <w:p w:rsidR="00300D4A" w:rsidP="5566778A" w:rsidRDefault="00300D4A" w14:paraId="4DFFDAA6" w14:textId="3833FAD8">
      <w:pPr>
        <w:spacing w:before="197"/>
        <w:ind w:left="358" w:right="415" w:hanging="1"/>
      </w:pPr>
      <w:r>
        <w:t xml:space="preserve">"Letter of Credit” </w:t>
      </w:r>
      <w:r w:rsidR="00E84051">
        <w:t>–</w:t>
      </w:r>
      <w:r>
        <w:t xml:space="preserve"> </w:t>
      </w:r>
      <w:r w:rsidR="00071750">
        <w:t xml:space="preserve">A letter of credit is a </w:t>
      </w:r>
      <w:r w:rsidR="00993158">
        <w:t>financial instrument</w:t>
      </w:r>
      <w:r w:rsidR="00071750">
        <w:t xml:space="preserve"> issued by a </w:t>
      </w:r>
      <w:r w:rsidR="00993158">
        <w:t>bank/</w:t>
      </w:r>
      <w:r w:rsidR="00B03CB1">
        <w:t xml:space="preserve">guarantor on behalf </w:t>
      </w:r>
      <w:r w:rsidR="004D68E4">
        <w:t xml:space="preserve">of a </w:t>
      </w:r>
      <w:r w:rsidR="00BA649A">
        <w:t>borrower</w:t>
      </w:r>
      <w:r w:rsidR="00A20B00">
        <w:t>/</w:t>
      </w:r>
      <w:r w:rsidR="001A4E28">
        <w:t xml:space="preserve">applicant. It is a written </w:t>
      </w:r>
      <w:r w:rsidR="00993158">
        <w:t>commitment</w:t>
      </w:r>
      <w:r w:rsidR="001A4E28">
        <w:t xml:space="preserve"> that guarantees the </w:t>
      </w:r>
      <w:r w:rsidR="00354329">
        <w:t xml:space="preserve">lender will receive payment </w:t>
      </w:r>
      <w:r w:rsidR="00B17CF7">
        <w:t xml:space="preserve">for goods and services </w:t>
      </w:r>
      <w:r w:rsidR="00AE3B61">
        <w:t>if</w:t>
      </w:r>
      <w:r w:rsidR="00354329">
        <w:t xml:space="preserve"> specified conditions, set forth in the letter of credit, are met.</w:t>
      </w:r>
      <w:r w:rsidR="00C82509">
        <w:t xml:space="preserve"> A letter of credit provides security for both </w:t>
      </w:r>
      <w:r w:rsidR="0058652A">
        <w:t xml:space="preserve">a borrower and </w:t>
      </w:r>
      <w:r w:rsidR="009C6B56">
        <w:t xml:space="preserve">lender </w:t>
      </w:r>
      <w:r w:rsidR="000A78E6">
        <w:t>by providing a guarantee of payment</w:t>
      </w:r>
      <w:r w:rsidR="00A450C4">
        <w:t xml:space="preserve"> and reducing the risk of non-payment or default by the borrower.</w:t>
      </w:r>
    </w:p>
    <w:p w:rsidR="000979E6" w:rsidP="5566778A" w:rsidRDefault="000979E6" w14:paraId="5E7F5353" w14:textId="68C8668D">
      <w:pPr>
        <w:spacing w:before="197"/>
        <w:ind w:left="358" w:right="415" w:hanging="1"/>
      </w:pPr>
      <w:r>
        <w:t xml:space="preserve">"Loan” – A loan refers to a financial arrangement in which a </w:t>
      </w:r>
      <w:r w:rsidR="00F605F6">
        <w:t xml:space="preserve">government or public entity borrows funds from a lending institution, typically a bank, </w:t>
      </w:r>
      <w:r w:rsidR="00BD032C">
        <w:t>in order to finance various public projects or initiatives. These projects can include infrastructure development</w:t>
      </w:r>
      <w:r w:rsidR="00E22B3F">
        <w:t>, such as broadband</w:t>
      </w:r>
      <w:r w:rsidR="00EB1CC5">
        <w:t>.</w:t>
      </w:r>
      <w:r w:rsidR="00E22B3F">
        <w:t xml:space="preserve"> </w:t>
      </w:r>
      <w:r w:rsidR="00DD3145">
        <w:t xml:space="preserve">In order to repay </w:t>
      </w:r>
      <w:r w:rsidR="00C20708">
        <w:t xml:space="preserve">the borrowed funds, governments can levy taxes or </w:t>
      </w:r>
      <w:r w:rsidR="005E7948">
        <w:t>generate revenue from the project being financed.</w:t>
      </w:r>
      <w:r w:rsidR="00E22B3F">
        <w:t xml:space="preserve"> </w:t>
      </w:r>
    </w:p>
    <w:p w:rsidR="008A67B2" w:rsidP="5566778A" w:rsidRDefault="008A67B2" w14:paraId="7044A598" w14:textId="2F1BF47E">
      <w:pPr>
        <w:spacing w:before="197"/>
        <w:ind w:left="358" w:right="415" w:hanging="1"/>
      </w:pPr>
      <w:r>
        <w:t>“Low-Income Broadband Plans” – Income-qualified broadband plans offered to low-income customers.</w:t>
      </w:r>
      <w:r>
        <w:rPr>
          <w:rStyle w:val="FootnoteReference"/>
        </w:rPr>
        <w:footnoteReference w:id="7"/>
      </w:r>
    </w:p>
    <w:p w:rsidR="002A6C7B" w:rsidP="5566778A" w:rsidRDefault="002A6C7B" w14:paraId="7F018585" w14:textId="2D32E121">
      <w:pPr>
        <w:spacing w:before="197"/>
        <w:ind w:left="357" w:right="415"/>
      </w:pPr>
      <w:r w:rsidRPr="00957E8B">
        <w:t xml:space="preserve">“Low-Income Customers” </w:t>
      </w:r>
      <w:r w:rsidR="00C27D44">
        <w:t>–</w:t>
      </w:r>
      <w:r w:rsidRPr="00957E8B">
        <w:t xml:space="preserve"> Households with incomes that would qualify for </w:t>
      </w:r>
      <w:r w:rsidR="4FFC09DB">
        <w:t xml:space="preserve">the </w:t>
      </w:r>
      <w:r w:rsidRPr="00957E8B">
        <w:t xml:space="preserve">CARE </w:t>
      </w:r>
      <w:r w:rsidR="4EC9DBBE">
        <w:t xml:space="preserve">(California Alternate Rates for Energy program) </w:t>
      </w:r>
      <w:r w:rsidRPr="00957E8B">
        <w:t>pursuant to Pub. Util. Code §739.1(a) and D.16-11-022 at 18 (or as updated in a successor decision</w:t>
      </w:r>
      <w:r w:rsidR="00C57734">
        <w:t>)</w:t>
      </w:r>
      <w:r w:rsidRPr="00957E8B">
        <w:t xml:space="preserve">. The threshold is updated regularly in the CARE proceeding, A.19-11-003, et. </w:t>
      </w:r>
      <w:r w:rsidR="00C57734">
        <w:t>a</w:t>
      </w:r>
      <w:r w:rsidRPr="00957E8B">
        <w:t>l.</w:t>
      </w:r>
      <w:r w:rsidRPr="00957E8B">
        <w:rPr>
          <w:rStyle w:val="FootnoteReference"/>
        </w:rPr>
        <w:footnoteReference w:id="8"/>
      </w:r>
      <w:r w:rsidR="00F24A14">
        <w:t>.</w:t>
      </w:r>
      <w:r w:rsidR="00376A98">
        <w:t xml:space="preserve"> </w:t>
      </w:r>
      <w:r w:rsidRPr="00957E8B">
        <w:t xml:space="preserve">The CARE standard is 200% of Federal Poverty Guidelines.  Through May 31, 2023, this threshold is $55,500 for a household of 4.  </w:t>
      </w:r>
      <w:r w:rsidR="007921FF">
        <w:t>Low-Income</w:t>
      </w:r>
      <w:r w:rsidRPr="00957E8B">
        <w:t xml:space="preserve"> Customers may also be defined as </w:t>
      </w:r>
      <w:r w:rsidRPr="00AA4765">
        <w:t>households with incomes at or below 80 percent of the statewide median income or with incomes at or below the threshold designated as low income by the Department of Housing and Community Development’s list of state income limits adopted pursuant to Section 50093 of the Health and Safety Code.</w:t>
      </w:r>
      <w:r>
        <w:t xml:space="preserve"> </w:t>
      </w:r>
      <w:r w:rsidRPr="00AA4765">
        <w:t xml:space="preserve"> “Low-income customers” include publicly supported housing developments, farmworker housing, and other properties categorically eligible for Broadband Public Housing Account grants.</w:t>
      </w:r>
      <w:r>
        <w:t xml:space="preserve">  Note that these definitions are only applicable at the reporting stage, see section 11</w:t>
      </w:r>
      <w:r w:rsidR="009B139B">
        <w:t>.2</w:t>
      </w:r>
      <w:r>
        <w:t>.</w:t>
      </w:r>
    </w:p>
    <w:p w:rsidR="009B743D" w:rsidP="5566778A" w:rsidRDefault="009B743D" w14:paraId="322F9BA0" w14:textId="77777777">
      <w:pPr>
        <w:spacing w:before="179"/>
        <w:ind w:left="357" w:right="415"/>
      </w:pPr>
      <w:r>
        <w:t>“Municipal</w:t>
      </w:r>
      <w:r>
        <w:rPr>
          <w:spacing w:val="-3"/>
        </w:rPr>
        <w:t xml:space="preserve"> </w:t>
      </w:r>
      <w:r>
        <w:t>Bond”</w:t>
      </w:r>
      <w:r>
        <w:rPr>
          <w:spacing w:val="-3"/>
        </w:rPr>
        <w:t xml:space="preserve"> </w:t>
      </w:r>
      <w:r>
        <w:t>–</w:t>
      </w:r>
      <w:r>
        <w:rPr>
          <w:spacing w:val="-3"/>
        </w:rPr>
        <w:t xml:space="preserve"> </w:t>
      </w:r>
      <w:r>
        <w:t>A</w:t>
      </w:r>
      <w:r>
        <w:rPr>
          <w:spacing w:val="-2"/>
        </w:rPr>
        <w:t xml:space="preserve"> </w:t>
      </w:r>
      <w:r>
        <w:t>bond</w:t>
      </w:r>
      <w:r>
        <w:rPr>
          <w:spacing w:val="-3"/>
        </w:rPr>
        <w:t xml:space="preserve"> </w:t>
      </w:r>
      <w:r>
        <w:t>issued</w:t>
      </w:r>
      <w:r>
        <w:rPr>
          <w:spacing w:val="-2"/>
        </w:rPr>
        <w:t xml:space="preserve"> </w:t>
      </w:r>
      <w:r>
        <w:t>by a</w:t>
      </w:r>
      <w:r>
        <w:rPr>
          <w:spacing w:val="-3"/>
        </w:rPr>
        <w:t xml:space="preserve"> </w:t>
      </w:r>
      <w:r>
        <w:t>local</w:t>
      </w:r>
      <w:r>
        <w:rPr>
          <w:spacing w:val="-3"/>
        </w:rPr>
        <w:t xml:space="preserve"> </w:t>
      </w:r>
      <w:r>
        <w:t>government</w:t>
      </w:r>
      <w:r>
        <w:rPr>
          <w:spacing w:val="-3"/>
        </w:rPr>
        <w:t xml:space="preserve"> </w:t>
      </w:r>
      <w:r>
        <w:t>agency</w:t>
      </w:r>
      <w:r>
        <w:rPr>
          <w:spacing w:val="-3"/>
        </w:rPr>
        <w:t xml:space="preserve"> </w:t>
      </w:r>
      <w:r>
        <w:t>or</w:t>
      </w:r>
      <w:r>
        <w:rPr>
          <w:spacing w:val="-3"/>
        </w:rPr>
        <w:t xml:space="preserve"> </w:t>
      </w:r>
      <w:r>
        <w:t>other</w:t>
      </w:r>
      <w:r>
        <w:rPr>
          <w:spacing w:val="-2"/>
        </w:rPr>
        <w:t xml:space="preserve"> </w:t>
      </w:r>
      <w:r>
        <w:t>eligible</w:t>
      </w:r>
      <w:r>
        <w:rPr>
          <w:spacing w:val="-2"/>
        </w:rPr>
        <w:t xml:space="preserve"> </w:t>
      </w:r>
      <w:r>
        <w:t>entity</w:t>
      </w:r>
      <w:r>
        <w:rPr>
          <w:spacing w:val="-2"/>
        </w:rPr>
        <w:t xml:space="preserve"> </w:t>
      </w:r>
      <w:r>
        <w:t>to</w:t>
      </w:r>
      <w:r>
        <w:rPr>
          <w:spacing w:val="-2"/>
        </w:rPr>
        <w:t xml:space="preserve"> </w:t>
      </w:r>
      <w:r>
        <w:t>raise</w:t>
      </w:r>
      <w:r>
        <w:rPr>
          <w:spacing w:val="-3"/>
        </w:rPr>
        <w:t xml:space="preserve"> </w:t>
      </w:r>
      <w:r>
        <w:t>capital by borrowing money from investors to meet financial obligations, or to fund projects that benefit their jurisdiction. As with other bonds, it involves a promise to return the principal and pay interest on specified dates, but the interest payment may be exempt from federal income taxes. There are many types of municipal bonds, but the two types most pertinent to public finance are Revenue Bonds and general obligation (GO) bonds.</w:t>
      </w:r>
    </w:p>
    <w:p w:rsidR="00FB5082" w:rsidP="5566778A" w:rsidRDefault="00FB5082" w14:paraId="42A00D43" w14:textId="771F89A4">
      <w:pPr>
        <w:spacing w:before="180"/>
        <w:ind w:left="357" w:right="415"/>
      </w:pPr>
      <w:r>
        <w:t>“Par-Amount” or “the Par Value of a Bond” – The face value or principal amount of the bond that is paid back to the bondholder at maturity. It is the initial investment or amount borrowed by the issuer of the bond. The par amount is typically set at a fixed amount, such as $1,000 or $10,000, and serves as the basis for calculating interest payments and determining the repayment amount to bondholders</w:t>
      </w:r>
      <w:r w:rsidR="00D8504C">
        <w:t>/lenders</w:t>
      </w:r>
      <w:r>
        <w:t xml:space="preserve">. </w:t>
      </w:r>
    </w:p>
    <w:p w:rsidR="00A243B3" w:rsidP="5566778A" w:rsidRDefault="00A243B3" w14:paraId="0ADE3D16" w14:textId="7162FFA0">
      <w:pPr>
        <w:spacing w:before="180"/>
        <w:ind w:left="357" w:right="415"/>
      </w:pPr>
      <w:r>
        <w:t>“Payment</w:t>
      </w:r>
      <w:r>
        <w:rPr>
          <w:spacing w:val="-4"/>
        </w:rPr>
        <w:t xml:space="preserve"> </w:t>
      </w:r>
      <w:r>
        <w:t>Default”</w:t>
      </w:r>
      <w:r>
        <w:rPr>
          <w:spacing w:val="-3"/>
        </w:rPr>
        <w:t xml:space="preserve"> </w:t>
      </w:r>
      <w:r>
        <w:t>–</w:t>
      </w:r>
      <w:r>
        <w:rPr>
          <w:spacing w:val="-3"/>
        </w:rPr>
        <w:t xml:space="preserve"> </w:t>
      </w:r>
      <w:r>
        <w:t>The</w:t>
      </w:r>
      <w:r>
        <w:rPr>
          <w:spacing w:val="-2"/>
        </w:rPr>
        <w:t xml:space="preserve"> </w:t>
      </w:r>
      <w:r>
        <w:t>failure</w:t>
      </w:r>
      <w:r>
        <w:rPr>
          <w:spacing w:val="-4"/>
        </w:rPr>
        <w:t xml:space="preserve"> </w:t>
      </w:r>
      <w:r>
        <w:t>to</w:t>
      </w:r>
      <w:r>
        <w:rPr>
          <w:spacing w:val="-2"/>
        </w:rPr>
        <w:t xml:space="preserve"> </w:t>
      </w:r>
      <w:r>
        <w:t>make</w:t>
      </w:r>
      <w:r>
        <w:rPr>
          <w:spacing w:val="-4"/>
        </w:rPr>
        <w:t xml:space="preserve"> </w:t>
      </w:r>
      <w:r>
        <w:t>required</w:t>
      </w:r>
      <w:r>
        <w:rPr>
          <w:spacing w:val="-3"/>
        </w:rPr>
        <w:t xml:space="preserve"> </w:t>
      </w:r>
      <w:r>
        <w:t>interest</w:t>
      </w:r>
      <w:r>
        <w:rPr>
          <w:spacing w:val="-3"/>
        </w:rPr>
        <w:t xml:space="preserve"> </w:t>
      </w:r>
      <w:r>
        <w:t>or</w:t>
      </w:r>
      <w:r>
        <w:rPr>
          <w:spacing w:val="-4"/>
        </w:rPr>
        <w:t xml:space="preserve"> </w:t>
      </w:r>
      <w:r>
        <w:t>principal</w:t>
      </w:r>
      <w:r>
        <w:rPr>
          <w:spacing w:val="-3"/>
        </w:rPr>
        <w:t xml:space="preserve"> </w:t>
      </w:r>
      <w:r>
        <w:t>repayments</w:t>
      </w:r>
      <w:r>
        <w:rPr>
          <w:spacing w:val="-2"/>
        </w:rPr>
        <w:t xml:space="preserve"> </w:t>
      </w:r>
      <w:r>
        <w:t>on</w:t>
      </w:r>
      <w:r>
        <w:rPr>
          <w:spacing w:val="-4"/>
        </w:rPr>
        <w:t xml:space="preserve"> </w:t>
      </w:r>
      <w:r>
        <w:t>a</w:t>
      </w:r>
      <w:r w:rsidR="0035141F">
        <w:rPr>
          <w:spacing w:val="-2"/>
        </w:rPr>
        <w:t xml:space="preserve"> </w:t>
      </w:r>
      <w:r>
        <w:t>debt,</w:t>
      </w:r>
      <w:r>
        <w:rPr>
          <w:spacing w:val="-4"/>
        </w:rPr>
        <w:t xml:space="preserve"> </w:t>
      </w:r>
      <w:r>
        <w:t>whether that debt is a loan or a security.</w:t>
      </w:r>
      <w:r>
        <w:rPr>
          <w:rStyle w:val="FootnoteReference"/>
        </w:rPr>
        <w:footnoteReference w:id="9"/>
      </w:r>
      <w:r>
        <w:t xml:space="preserve"> May also include all payments required under the indenture for the bonds (trustee fees, counsel fees, guarantee fees, insurance premiums, etc.)</w:t>
      </w:r>
      <w:r w:rsidR="006B3AE1">
        <w:t xml:space="preserve"> A Payment Deficiency that does not result in failure to make debt service payments (due to the availability of the DSR and </w:t>
      </w:r>
      <w:r w:rsidR="003F6107">
        <w:t>DSR Guarantee</w:t>
      </w:r>
      <w:r w:rsidR="006B3AE1">
        <w:t xml:space="preserve">) is not a Payment Default. </w:t>
      </w:r>
    </w:p>
    <w:p w:rsidR="009634AD" w:rsidP="5566778A" w:rsidRDefault="009634AD" w14:paraId="79645C47" w14:textId="5961749D">
      <w:pPr>
        <w:spacing w:before="180"/>
        <w:ind w:left="357" w:right="415"/>
      </w:pPr>
      <w:r>
        <w:t>“Payment Deficiency” – The occurrence of a draw on the awardee’s DSR</w:t>
      </w:r>
      <w:r w:rsidR="00F045B7">
        <w:t>.</w:t>
      </w:r>
      <w:r>
        <w:t xml:space="preserve"> </w:t>
      </w:r>
    </w:p>
    <w:p w:rsidR="00261010" w:rsidP="5566778A" w:rsidRDefault="00261010" w14:paraId="6E8C1A76" w14:textId="344088C8">
      <w:pPr>
        <w:spacing w:before="179"/>
        <w:ind w:left="357"/>
      </w:pPr>
      <w:r>
        <w:t>“Program</w:t>
      </w:r>
      <w:r>
        <w:rPr>
          <w:spacing w:val="-4"/>
        </w:rPr>
        <w:t xml:space="preserve"> </w:t>
      </w:r>
      <w:r>
        <w:t>Budget”</w:t>
      </w:r>
      <w:r>
        <w:rPr>
          <w:spacing w:val="-2"/>
        </w:rPr>
        <w:t xml:space="preserve"> </w:t>
      </w:r>
      <w:r>
        <w:t>–</w:t>
      </w:r>
      <w:r>
        <w:rPr>
          <w:spacing w:val="-4"/>
        </w:rPr>
        <w:t xml:space="preserve"> </w:t>
      </w:r>
      <w:r>
        <w:t>The</w:t>
      </w:r>
      <w:r>
        <w:rPr>
          <w:spacing w:val="-3"/>
        </w:rPr>
        <w:t xml:space="preserve"> </w:t>
      </w:r>
      <w:r>
        <w:t>total</w:t>
      </w:r>
      <w:r>
        <w:rPr>
          <w:spacing w:val="-4"/>
        </w:rPr>
        <w:t xml:space="preserve"> </w:t>
      </w:r>
      <w:r>
        <w:t>amount</w:t>
      </w:r>
      <w:r>
        <w:rPr>
          <w:spacing w:val="-2"/>
        </w:rPr>
        <w:t xml:space="preserve"> </w:t>
      </w:r>
      <w:r>
        <w:t>of</w:t>
      </w:r>
      <w:r>
        <w:rPr>
          <w:spacing w:val="-4"/>
        </w:rPr>
        <w:t xml:space="preserve"> </w:t>
      </w:r>
      <w:r>
        <w:t>available</w:t>
      </w:r>
      <w:r>
        <w:rPr>
          <w:spacing w:val="-4"/>
        </w:rPr>
        <w:t xml:space="preserve"> </w:t>
      </w:r>
      <w:r w:rsidR="00281307">
        <w:t xml:space="preserve">LLP </w:t>
      </w:r>
      <w:r>
        <w:t>funds</w:t>
      </w:r>
      <w:r>
        <w:rPr>
          <w:spacing w:val="-2"/>
        </w:rPr>
        <w:t xml:space="preserve"> </w:t>
      </w:r>
      <w:r>
        <w:t>to</w:t>
      </w:r>
      <w:r>
        <w:rPr>
          <w:spacing w:val="-3"/>
        </w:rPr>
        <w:t xml:space="preserve"> </w:t>
      </w:r>
      <w:r>
        <w:t>be</w:t>
      </w:r>
      <w:r>
        <w:rPr>
          <w:spacing w:val="-3"/>
        </w:rPr>
        <w:t xml:space="preserve"> </w:t>
      </w:r>
      <w:r>
        <w:t>utilized</w:t>
      </w:r>
      <w:r>
        <w:rPr>
          <w:spacing w:val="-3"/>
        </w:rPr>
        <w:t xml:space="preserve"> </w:t>
      </w:r>
      <w:r>
        <w:t>for</w:t>
      </w:r>
      <w:r>
        <w:rPr>
          <w:spacing w:val="-4"/>
        </w:rPr>
        <w:t xml:space="preserve"> </w:t>
      </w:r>
      <w:r>
        <w:t>credit</w:t>
      </w:r>
      <w:r>
        <w:rPr>
          <w:spacing w:val="-4"/>
        </w:rPr>
        <w:t xml:space="preserve"> </w:t>
      </w:r>
      <w:r>
        <w:t>enhancement</w:t>
      </w:r>
      <w:r w:rsidR="00C02E6F">
        <w:t>s</w:t>
      </w:r>
      <w:r>
        <w:rPr>
          <w:spacing w:val="-4"/>
        </w:rPr>
        <w:t xml:space="preserve"> </w:t>
      </w:r>
      <w:r>
        <w:t>and administrative expenses.</w:t>
      </w:r>
    </w:p>
    <w:p w:rsidR="00E5354C" w:rsidP="5566778A" w:rsidRDefault="00E5354C" w14:paraId="6DC658DE" w14:textId="77777777">
      <w:pPr>
        <w:spacing w:before="179"/>
        <w:ind w:left="357" w:right="415"/>
      </w:pPr>
      <w:r>
        <w:t>“Project</w:t>
      </w:r>
      <w:r>
        <w:rPr>
          <w:spacing w:val="-3"/>
        </w:rPr>
        <w:t xml:space="preserve"> </w:t>
      </w:r>
      <w:r>
        <w:t>Budget”</w:t>
      </w:r>
      <w:r>
        <w:rPr>
          <w:spacing w:val="-3"/>
        </w:rPr>
        <w:t xml:space="preserve"> </w:t>
      </w:r>
      <w:r>
        <w:t>–</w:t>
      </w:r>
      <w:r>
        <w:rPr>
          <w:spacing w:val="-3"/>
        </w:rPr>
        <w:t xml:space="preserve"> </w:t>
      </w:r>
      <w:r>
        <w:t>The</w:t>
      </w:r>
      <w:r>
        <w:rPr>
          <w:spacing w:val="-3"/>
        </w:rPr>
        <w:t xml:space="preserve"> </w:t>
      </w:r>
      <w:r>
        <w:t>total</w:t>
      </w:r>
      <w:r>
        <w:rPr>
          <w:spacing w:val="-3"/>
        </w:rPr>
        <w:t xml:space="preserve"> </w:t>
      </w:r>
      <w:r>
        <w:t>projected</w:t>
      </w:r>
      <w:r>
        <w:rPr>
          <w:spacing w:val="-2"/>
        </w:rPr>
        <w:t xml:space="preserve"> </w:t>
      </w:r>
      <w:r>
        <w:t>costs</w:t>
      </w:r>
      <w:r>
        <w:rPr>
          <w:spacing w:val="-3"/>
        </w:rPr>
        <w:t xml:space="preserve"> </w:t>
      </w:r>
      <w:r>
        <w:t>required</w:t>
      </w:r>
      <w:r>
        <w:rPr>
          <w:spacing w:val="-3"/>
        </w:rPr>
        <w:t xml:space="preserve"> </w:t>
      </w:r>
      <w:r>
        <w:t>to</w:t>
      </w:r>
      <w:r>
        <w:rPr>
          <w:spacing w:val="-2"/>
        </w:rPr>
        <w:t xml:space="preserve"> </w:t>
      </w:r>
      <w:r>
        <w:t>complete</w:t>
      </w:r>
      <w:r>
        <w:rPr>
          <w:spacing w:val="-3"/>
        </w:rPr>
        <w:t xml:space="preserve"> </w:t>
      </w:r>
      <w:r>
        <w:t>a</w:t>
      </w:r>
      <w:r>
        <w:rPr>
          <w:spacing w:val="-3"/>
        </w:rPr>
        <w:t xml:space="preserve"> </w:t>
      </w:r>
      <w:r>
        <w:t>project</w:t>
      </w:r>
      <w:r>
        <w:rPr>
          <w:spacing w:val="-3"/>
        </w:rPr>
        <w:t xml:space="preserve"> </w:t>
      </w:r>
      <w:r>
        <w:t>over</w:t>
      </w:r>
      <w:r>
        <w:rPr>
          <w:spacing w:val="-3"/>
        </w:rPr>
        <w:t xml:space="preserve"> </w:t>
      </w:r>
      <w:r>
        <w:t>a</w:t>
      </w:r>
      <w:r>
        <w:rPr>
          <w:spacing w:val="-3"/>
        </w:rPr>
        <w:t xml:space="preserve"> </w:t>
      </w:r>
      <w:r>
        <w:t>defined</w:t>
      </w:r>
      <w:r>
        <w:rPr>
          <w:spacing w:val="-2"/>
        </w:rPr>
        <w:t xml:space="preserve"> </w:t>
      </w:r>
      <w:r>
        <w:t>period</w:t>
      </w:r>
      <w:r>
        <w:rPr>
          <w:spacing w:val="-3"/>
        </w:rPr>
        <w:t xml:space="preserve"> </w:t>
      </w:r>
      <w:r>
        <w:t xml:space="preserve">of </w:t>
      </w:r>
      <w:r>
        <w:rPr>
          <w:spacing w:val="-2"/>
        </w:rPr>
        <w:t>time.</w:t>
      </w:r>
    </w:p>
    <w:p w:rsidR="00D659F2" w:rsidP="5566778A" w:rsidRDefault="00D659F2" w14:paraId="3455E672" w14:textId="77777777">
      <w:pPr>
        <w:spacing w:before="180"/>
        <w:ind w:left="357" w:right="387" w:hanging="1"/>
      </w:pPr>
      <w:r>
        <w:t>“Revenue Bonds” – Bonds that finance projects such as hospitals, airports, toll roads, education facilities and bridges where the revenues from those projects repay the interest and principal of the issued bonds over time. The issuer’s general credit (and collateral) is not usually pledged to these bonds, and the investors look solely to project revenues and performance. For example, a bridge financed by revenue bonds may have a toll paid by motorists each</w:t>
      </w:r>
      <w:r>
        <w:rPr>
          <w:spacing w:val="-2"/>
        </w:rPr>
        <w:t xml:space="preserve"> </w:t>
      </w:r>
      <w:r>
        <w:t>time</w:t>
      </w:r>
      <w:r>
        <w:rPr>
          <w:spacing w:val="-2"/>
        </w:rPr>
        <w:t xml:space="preserve"> </w:t>
      </w:r>
      <w:r>
        <w:t>they</w:t>
      </w:r>
      <w:r>
        <w:rPr>
          <w:spacing w:val="-3"/>
        </w:rPr>
        <w:t xml:space="preserve"> </w:t>
      </w:r>
      <w:r>
        <w:t>cross</w:t>
      </w:r>
      <w:r>
        <w:rPr>
          <w:spacing w:val="-3"/>
        </w:rPr>
        <w:t xml:space="preserve"> </w:t>
      </w:r>
      <w:r>
        <w:t>the</w:t>
      </w:r>
      <w:r>
        <w:rPr>
          <w:spacing w:val="-2"/>
        </w:rPr>
        <w:t xml:space="preserve"> </w:t>
      </w:r>
      <w:r>
        <w:t>bridge.</w:t>
      </w:r>
      <w:r>
        <w:rPr>
          <w:spacing w:val="-2"/>
        </w:rPr>
        <w:t xml:space="preserve"> </w:t>
      </w:r>
      <w:r>
        <w:t>Revenues</w:t>
      </w:r>
      <w:r>
        <w:rPr>
          <w:spacing w:val="-2"/>
        </w:rPr>
        <w:t xml:space="preserve"> </w:t>
      </w:r>
      <w:r>
        <w:t>from</w:t>
      </w:r>
      <w:r>
        <w:rPr>
          <w:spacing w:val="-2"/>
        </w:rPr>
        <w:t xml:space="preserve"> </w:t>
      </w:r>
      <w:r>
        <w:t>the</w:t>
      </w:r>
      <w:r>
        <w:rPr>
          <w:spacing w:val="-3"/>
        </w:rPr>
        <w:t xml:space="preserve"> </w:t>
      </w:r>
      <w:r>
        <w:t>toll</w:t>
      </w:r>
      <w:r>
        <w:rPr>
          <w:spacing w:val="-3"/>
        </w:rPr>
        <w:t xml:space="preserve"> </w:t>
      </w:r>
      <w:r>
        <w:t>are</w:t>
      </w:r>
      <w:r>
        <w:rPr>
          <w:spacing w:val="-2"/>
        </w:rPr>
        <w:t xml:space="preserve"> </w:t>
      </w:r>
      <w:r>
        <w:t>used</w:t>
      </w:r>
      <w:r>
        <w:rPr>
          <w:spacing w:val="-3"/>
        </w:rPr>
        <w:t xml:space="preserve"> </w:t>
      </w:r>
      <w:r>
        <w:t>to</w:t>
      </w:r>
      <w:r>
        <w:rPr>
          <w:spacing w:val="-1"/>
        </w:rPr>
        <w:t xml:space="preserve"> </w:t>
      </w:r>
      <w:r>
        <w:t>pay</w:t>
      </w:r>
      <w:r>
        <w:rPr>
          <w:spacing w:val="-3"/>
        </w:rPr>
        <w:t xml:space="preserve"> </w:t>
      </w:r>
      <w:r>
        <w:t>back</w:t>
      </w:r>
      <w:r>
        <w:rPr>
          <w:spacing w:val="-2"/>
        </w:rPr>
        <w:t xml:space="preserve"> </w:t>
      </w:r>
      <w:r>
        <w:t>investors</w:t>
      </w:r>
      <w:r>
        <w:rPr>
          <w:spacing w:val="-3"/>
        </w:rPr>
        <w:t xml:space="preserve"> </w:t>
      </w:r>
      <w:r>
        <w:t>who</w:t>
      </w:r>
      <w:r>
        <w:rPr>
          <w:spacing w:val="-2"/>
        </w:rPr>
        <w:t xml:space="preserve"> </w:t>
      </w:r>
      <w:r>
        <w:t>purchased the bonds used to finance construction of the bridge. These do not require voter approval.</w:t>
      </w:r>
      <w:r>
        <w:rPr>
          <w:rStyle w:val="FootnoteReference"/>
        </w:rPr>
        <w:footnoteReference w:id="10"/>
      </w:r>
      <w:r>
        <w:t xml:space="preserve"> </w:t>
      </w:r>
    </w:p>
    <w:p w:rsidR="00760D6A" w:rsidP="5566778A" w:rsidRDefault="00760D6A" w14:paraId="07F268D5" w14:textId="5FB6A6FB">
      <w:pPr>
        <w:spacing w:before="178"/>
        <w:ind w:left="360" w:right="415"/>
      </w:pPr>
      <w:r>
        <w:t>“Sovereign</w:t>
      </w:r>
      <w:r>
        <w:rPr>
          <w:spacing w:val="-3"/>
        </w:rPr>
        <w:t xml:space="preserve"> </w:t>
      </w:r>
      <w:r>
        <w:t>Tribal</w:t>
      </w:r>
      <w:r>
        <w:rPr>
          <w:spacing w:val="-3"/>
        </w:rPr>
        <w:t xml:space="preserve"> </w:t>
      </w:r>
      <w:r>
        <w:t>Government”</w:t>
      </w:r>
      <w:r>
        <w:rPr>
          <w:spacing w:val="-3"/>
        </w:rPr>
        <w:t xml:space="preserve"> </w:t>
      </w:r>
      <w:r>
        <w:t>–</w:t>
      </w:r>
      <w:r>
        <w:rPr>
          <w:spacing w:val="-3"/>
        </w:rPr>
        <w:t xml:space="preserve"> </w:t>
      </w:r>
      <w:r>
        <w:t>A</w:t>
      </w:r>
      <w:r>
        <w:rPr>
          <w:spacing w:val="-2"/>
        </w:rPr>
        <w:t xml:space="preserve"> </w:t>
      </w:r>
      <w:r>
        <w:t>Native</w:t>
      </w:r>
      <w:r>
        <w:rPr>
          <w:spacing w:val="-3"/>
        </w:rPr>
        <w:t xml:space="preserve"> </w:t>
      </w:r>
      <w:r>
        <w:t>American</w:t>
      </w:r>
      <w:r>
        <w:rPr>
          <w:spacing w:val="-3"/>
        </w:rPr>
        <w:t xml:space="preserve"> </w:t>
      </w:r>
      <w:r w:rsidR="00DE31C8">
        <w:t>T</w:t>
      </w:r>
      <w:r>
        <w:t>ribe</w:t>
      </w:r>
      <w:r>
        <w:rPr>
          <w:spacing w:val="-3"/>
        </w:rPr>
        <w:t xml:space="preserve"> </w:t>
      </w:r>
      <w:r>
        <w:t>located</w:t>
      </w:r>
      <w:r>
        <w:rPr>
          <w:spacing w:val="-2"/>
        </w:rPr>
        <w:t xml:space="preserve"> </w:t>
      </w:r>
      <w:r>
        <w:t>in</w:t>
      </w:r>
      <w:r>
        <w:rPr>
          <w:spacing w:val="-3"/>
        </w:rPr>
        <w:t xml:space="preserve"> </w:t>
      </w:r>
      <w:r>
        <w:t>California</w:t>
      </w:r>
      <w:r>
        <w:rPr>
          <w:spacing w:val="-3"/>
        </w:rPr>
        <w:t xml:space="preserve"> </w:t>
      </w:r>
      <w:r>
        <w:t>that</w:t>
      </w:r>
      <w:r>
        <w:rPr>
          <w:spacing w:val="-3"/>
        </w:rPr>
        <w:t xml:space="preserve"> </w:t>
      </w:r>
      <w:r>
        <w:t>is</w:t>
      </w:r>
      <w:r>
        <w:rPr>
          <w:spacing w:val="-3"/>
        </w:rPr>
        <w:t xml:space="preserve"> </w:t>
      </w:r>
      <w:r>
        <w:t>on</w:t>
      </w:r>
      <w:r>
        <w:rPr>
          <w:spacing w:val="-3"/>
        </w:rPr>
        <w:t xml:space="preserve"> </w:t>
      </w:r>
      <w:r>
        <w:t>the</w:t>
      </w:r>
      <w:r>
        <w:rPr>
          <w:spacing w:val="-3"/>
        </w:rPr>
        <w:t xml:space="preserve"> </w:t>
      </w:r>
      <w:r>
        <w:t>contact</w:t>
      </w:r>
      <w:r>
        <w:rPr>
          <w:spacing w:val="-3"/>
        </w:rPr>
        <w:t xml:space="preserve"> </w:t>
      </w:r>
      <w:r>
        <w:t>list maintained by the Native American Heritage Commission for the purposes of Chapter 905 of the Statutes of 2004, (see Cal. Pub. Res. Code § 21073).</w:t>
      </w:r>
      <w:r>
        <w:rPr>
          <w:spacing w:val="40"/>
        </w:rPr>
        <w:t xml:space="preserve"> </w:t>
      </w:r>
      <w:r>
        <w:t xml:space="preserve">Also includes wholly owned </w:t>
      </w:r>
      <w:r w:rsidR="00DE31C8">
        <w:t>T</w:t>
      </w:r>
      <w:r>
        <w:t xml:space="preserve">ribal corporations, </w:t>
      </w:r>
      <w:r w:rsidR="00DE31C8">
        <w:t>T</w:t>
      </w:r>
      <w:r>
        <w:t>ribal</w:t>
      </w:r>
      <w:r w:rsidRPr="00F94D45">
        <w:t xml:space="preserve"> </w:t>
      </w:r>
      <w:r>
        <w:t xml:space="preserve">consortiums, </w:t>
      </w:r>
      <w:r w:rsidR="00DE31C8">
        <w:t>T</w:t>
      </w:r>
      <w:r>
        <w:t>ribal</w:t>
      </w:r>
      <w:r>
        <w:rPr>
          <w:spacing w:val="-2"/>
        </w:rPr>
        <w:t xml:space="preserve"> </w:t>
      </w:r>
      <w:r>
        <w:t>nonprofits,</w:t>
      </w:r>
      <w:r>
        <w:rPr>
          <w:spacing w:val="-2"/>
        </w:rPr>
        <w:t xml:space="preserve"> </w:t>
      </w:r>
      <w:r>
        <w:t>and</w:t>
      </w:r>
      <w:r>
        <w:rPr>
          <w:spacing w:val="-1"/>
        </w:rPr>
        <w:t xml:space="preserve"> </w:t>
      </w:r>
      <w:r w:rsidR="00DE31C8">
        <w:t>T</w:t>
      </w:r>
      <w:r>
        <w:t>ribal</w:t>
      </w:r>
      <w:r>
        <w:rPr>
          <w:spacing w:val="-2"/>
        </w:rPr>
        <w:t xml:space="preserve"> </w:t>
      </w:r>
      <w:r>
        <w:t>utility</w:t>
      </w:r>
      <w:r>
        <w:rPr>
          <w:spacing w:val="-1"/>
        </w:rPr>
        <w:t xml:space="preserve"> </w:t>
      </w:r>
      <w:r>
        <w:t>companies</w:t>
      </w:r>
      <w:r>
        <w:rPr>
          <w:spacing w:val="-1"/>
        </w:rPr>
        <w:t xml:space="preserve"> </w:t>
      </w:r>
      <w:r>
        <w:t>with</w:t>
      </w:r>
      <w:r>
        <w:rPr>
          <w:spacing w:val="-1"/>
        </w:rPr>
        <w:t xml:space="preserve"> </w:t>
      </w:r>
      <w:r>
        <w:t>proof</w:t>
      </w:r>
      <w:r>
        <w:rPr>
          <w:spacing w:val="-2"/>
        </w:rPr>
        <w:t xml:space="preserve"> </w:t>
      </w:r>
      <w:r>
        <w:t>of</w:t>
      </w:r>
      <w:r>
        <w:rPr>
          <w:spacing w:val="-2"/>
        </w:rPr>
        <w:t xml:space="preserve"> </w:t>
      </w:r>
      <w:r>
        <w:t>authorization</w:t>
      </w:r>
      <w:r>
        <w:rPr>
          <w:spacing w:val="-1"/>
        </w:rPr>
        <w:t xml:space="preserve"> </w:t>
      </w:r>
      <w:r>
        <w:t>to</w:t>
      </w:r>
      <w:r>
        <w:rPr>
          <w:spacing w:val="-1"/>
        </w:rPr>
        <w:t xml:space="preserve"> </w:t>
      </w:r>
      <w:r>
        <w:t>apply</w:t>
      </w:r>
      <w:r>
        <w:rPr>
          <w:spacing w:val="-2"/>
        </w:rPr>
        <w:t xml:space="preserve"> </w:t>
      </w:r>
      <w:r>
        <w:t>by</w:t>
      </w:r>
      <w:r>
        <w:rPr>
          <w:spacing w:val="-1"/>
        </w:rPr>
        <w:t xml:space="preserve"> </w:t>
      </w:r>
      <w:r>
        <w:t>the</w:t>
      </w:r>
      <w:r>
        <w:rPr>
          <w:spacing w:val="-1"/>
        </w:rPr>
        <w:t xml:space="preserve"> </w:t>
      </w:r>
      <w:r>
        <w:t>Tribe’s</w:t>
      </w:r>
      <w:r>
        <w:rPr>
          <w:spacing w:val="-2"/>
        </w:rPr>
        <w:t xml:space="preserve"> </w:t>
      </w:r>
      <w:r>
        <w:t xml:space="preserve">Council or other governing body or </w:t>
      </w:r>
      <w:r w:rsidR="00DE31C8">
        <w:t>T</w:t>
      </w:r>
      <w:r>
        <w:t>ribal law.</w:t>
      </w:r>
    </w:p>
    <w:p w:rsidR="00760D6A" w:rsidP="5566778A" w:rsidRDefault="00760D6A" w14:paraId="79AC58B1" w14:textId="7DF57E9A">
      <w:pPr>
        <w:spacing w:before="179"/>
        <w:ind w:left="360" w:right="387" w:hanging="1"/>
      </w:pPr>
      <w:r>
        <w:t>“Trustee” – A financial institution that is granted trust powers, such as a commercial bank or trust company.</w:t>
      </w:r>
      <w:r>
        <w:rPr>
          <w:spacing w:val="-2"/>
        </w:rPr>
        <w:t xml:space="preserve"> </w:t>
      </w:r>
      <w:r>
        <w:t>This</w:t>
      </w:r>
      <w:r>
        <w:rPr>
          <w:spacing w:val="-3"/>
        </w:rPr>
        <w:t xml:space="preserve"> </w:t>
      </w:r>
      <w:r>
        <w:t>entity,</w:t>
      </w:r>
      <w:r>
        <w:rPr>
          <w:spacing w:val="-3"/>
        </w:rPr>
        <w:t xml:space="preserve"> </w:t>
      </w:r>
      <w:r>
        <w:t>in</w:t>
      </w:r>
      <w:r>
        <w:rPr>
          <w:spacing w:val="-2"/>
        </w:rPr>
        <w:t xml:space="preserve"> </w:t>
      </w:r>
      <w:r>
        <w:t>turn,</w:t>
      </w:r>
      <w:r>
        <w:rPr>
          <w:spacing w:val="-3"/>
        </w:rPr>
        <w:t xml:space="preserve"> </w:t>
      </w:r>
      <w:r>
        <w:t>has</w:t>
      </w:r>
      <w:r>
        <w:rPr>
          <w:spacing w:val="-3"/>
        </w:rPr>
        <w:t xml:space="preserve"> </w:t>
      </w:r>
      <w:r>
        <w:t>a</w:t>
      </w:r>
      <w:r>
        <w:rPr>
          <w:spacing w:val="-3"/>
        </w:rPr>
        <w:t xml:space="preserve"> </w:t>
      </w:r>
      <w:r>
        <w:t>fiduciary</w:t>
      </w:r>
      <w:r>
        <w:rPr>
          <w:spacing w:val="-3"/>
        </w:rPr>
        <w:t xml:space="preserve"> </w:t>
      </w:r>
      <w:r>
        <w:t>duty</w:t>
      </w:r>
      <w:r>
        <w:rPr>
          <w:spacing w:val="-2"/>
        </w:rPr>
        <w:t xml:space="preserve"> </w:t>
      </w:r>
      <w:r>
        <w:t>to</w:t>
      </w:r>
      <w:r>
        <w:rPr>
          <w:spacing w:val="-1"/>
        </w:rPr>
        <w:t xml:space="preserve"> </w:t>
      </w:r>
      <w:r>
        <w:t>the</w:t>
      </w:r>
      <w:r>
        <w:rPr>
          <w:spacing w:val="-2"/>
        </w:rPr>
        <w:t xml:space="preserve"> </w:t>
      </w:r>
      <w:r>
        <w:t>bondholders</w:t>
      </w:r>
      <w:r w:rsidR="00055048">
        <w:t>/lender</w:t>
      </w:r>
      <w:r>
        <w:rPr>
          <w:spacing w:val="-3"/>
        </w:rPr>
        <w:t xml:space="preserve"> </w:t>
      </w:r>
      <w:r>
        <w:t>to</w:t>
      </w:r>
      <w:r>
        <w:rPr>
          <w:spacing w:val="-2"/>
        </w:rPr>
        <w:t xml:space="preserve"> </w:t>
      </w:r>
      <w:r>
        <w:t>enforce</w:t>
      </w:r>
      <w:r>
        <w:rPr>
          <w:spacing w:val="-2"/>
        </w:rPr>
        <w:t xml:space="preserve"> </w:t>
      </w:r>
      <w:r>
        <w:t>the</w:t>
      </w:r>
      <w:r>
        <w:rPr>
          <w:spacing w:val="-2"/>
        </w:rPr>
        <w:t xml:space="preserve"> </w:t>
      </w:r>
      <w:r>
        <w:t>terms</w:t>
      </w:r>
      <w:r>
        <w:rPr>
          <w:spacing w:val="-1"/>
        </w:rPr>
        <w:t xml:space="preserve"> </w:t>
      </w:r>
      <w:r>
        <w:t>of</w:t>
      </w:r>
      <w:r>
        <w:rPr>
          <w:spacing w:val="-2"/>
        </w:rPr>
        <w:t xml:space="preserve"> </w:t>
      </w:r>
      <w:r>
        <w:rPr>
          <w:spacing w:val="-3"/>
        </w:rPr>
        <w:t xml:space="preserve">the indenture, including any </w:t>
      </w:r>
      <w:r>
        <w:t>agreement or other credit support. A trustee sees that bond interest payments and principal repayments are made as scheduled and protects the interests of the bondholders</w:t>
      </w:r>
      <w:r w:rsidR="005D2055">
        <w:t>/lender</w:t>
      </w:r>
      <w:r>
        <w:t xml:space="preserve"> if the issuer defaults.</w:t>
      </w:r>
      <w:r>
        <w:rPr>
          <w:rStyle w:val="FootnoteReference"/>
        </w:rPr>
        <w:footnoteReference w:id="11"/>
      </w:r>
      <w:r>
        <w:t xml:space="preserve"> </w:t>
      </w:r>
    </w:p>
    <w:p w:rsidR="00760D6A" w:rsidP="5566778A" w:rsidRDefault="00760D6A" w14:paraId="63D369AC" w14:textId="4E06E649">
      <w:pPr>
        <w:spacing w:before="180"/>
        <w:ind w:left="360" w:right="387"/>
      </w:pPr>
      <w:r>
        <w:t>“Underwriter” –</w:t>
      </w:r>
      <w:r w:rsidRPr="00B02725">
        <w:t xml:space="preserve"> </w:t>
      </w:r>
      <w:r w:rsidRPr="5566778A">
        <w:t xml:space="preserve">A </w:t>
      </w:r>
      <w:r w:rsidRPr="00857B4F">
        <w:t xml:space="preserve">Broker/Dealer who initially purchases the </w:t>
      </w:r>
      <w:r w:rsidRPr="5566778A">
        <w:t>bonds</w:t>
      </w:r>
      <w:r w:rsidRPr="00857B4F">
        <w:t xml:space="preserve"> for redistribution to the </w:t>
      </w:r>
      <w:r w:rsidR="00C27D44">
        <w:t>“</w:t>
      </w:r>
      <w:r w:rsidRPr="00857B4F">
        <w:t>public</w:t>
      </w:r>
      <w:r w:rsidR="00C27D44">
        <w:t>”</w:t>
      </w:r>
      <w:r w:rsidRPr="5566778A">
        <w:t>. They are often compensated in the form</w:t>
      </w:r>
      <w:r w:rsidRPr="5566778A">
        <w:rPr>
          <w:spacing w:val="-3"/>
        </w:rPr>
        <w:t xml:space="preserve"> </w:t>
      </w:r>
      <w:r w:rsidRPr="5566778A">
        <w:t>of</w:t>
      </w:r>
      <w:r w:rsidRPr="5566778A">
        <w:rPr>
          <w:spacing w:val="-3"/>
        </w:rPr>
        <w:t xml:space="preserve"> </w:t>
      </w:r>
      <w:r w:rsidRPr="5566778A">
        <w:t>a</w:t>
      </w:r>
      <w:r w:rsidRPr="5566778A">
        <w:rPr>
          <w:spacing w:val="-1"/>
        </w:rPr>
        <w:t xml:space="preserve"> </w:t>
      </w:r>
      <w:r w:rsidRPr="5566778A">
        <w:t>commission,</w:t>
      </w:r>
      <w:r w:rsidRPr="5566778A">
        <w:rPr>
          <w:spacing w:val="-3"/>
        </w:rPr>
        <w:t xml:space="preserve"> </w:t>
      </w:r>
      <w:r w:rsidRPr="5566778A">
        <w:t>premium,</w:t>
      </w:r>
      <w:r w:rsidRPr="5566778A">
        <w:rPr>
          <w:spacing w:val="-3"/>
        </w:rPr>
        <w:t xml:space="preserve"> </w:t>
      </w:r>
      <w:r w:rsidRPr="5566778A">
        <w:t>spread,</w:t>
      </w:r>
      <w:r w:rsidRPr="5566778A">
        <w:rPr>
          <w:spacing w:val="-3"/>
        </w:rPr>
        <w:t xml:space="preserve"> </w:t>
      </w:r>
      <w:r w:rsidRPr="5566778A">
        <w:t>or</w:t>
      </w:r>
      <w:r w:rsidRPr="5566778A">
        <w:rPr>
          <w:spacing w:val="-2"/>
        </w:rPr>
        <w:t xml:space="preserve"> </w:t>
      </w:r>
      <w:r w:rsidRPr="5566778A">
        <w:t>interest.</w:t>
      </w:r>
      <w:r w:rsidRPr="5566778A">
        <w:rPr>
          <w:spacing w:val="-3"/>
        </w:rPr>
        <w:t xml:space="preserve"> </w:t>
      </w:r>
      <w:r w:rsidRPr="5566778A">
        <w:t>Underwriters</w:t>
      </w:r>
      <w:r w:rsidRPr="5566778A">
        <w:rPr>
          <w:spacing w:val="-3"/>
        </w:rPr>
        <w:t xml:space="preserve"> </w:t>
      </w:r>
      <w:r w:rsidRPr="5566778A">
        <w:t>determine</w:t>
      </w:r>
      <w:r w:rsidRPr="5566778A">
        <w:rPr>
          <w:spacing w:val="-2"/>
        </w:rPr>
        <w:t xml:space="preserve"> </w:t>
      </w:r>
      <w:r w:rsidRPr="5566778A">
        <w:t>the</w:t>
      </w:r>
      <w:r w:rsidRPr="5566778A">
        <w:rPr>
          <w:spacing w:val="-3"/>
        </w:rPr>
        <w:t xml:space="preserve"> </w:t>
      </w:r>
      <w:r w:rsidRPr="5566778A">
        <w:t>level</w:t>
      </w:r>
      <w:r w:rsidRPr="5566778A">
        <w:rPr>
          <w:spacing w:val="-3"/>
        </w:rPr>
        <w:t xml:space="preserve"> </w:t>
      </w:r>
      <w:r w:rsidRPr="5566778A">
        <w:t>of</w:t>
      </w:r>
      <w:r w:rsidRPr="5566778A">
        <w:rPr>
          <w:spacing w:val="-3"/>
        </w:rPr>
        <w:t xml:space="preserve"> </w:t>
      </w:r>
      <w:bookmarkStart w:name="_bookmark10" w:id="5"/>
      <w:bookmarkStart w:name="_bookmark12" w:id="6"/>
      <w:bookmarkEnd w:id="5"/>
      <w:bookmarkEnd w:id="6"/>
      <w:r w:rsidRPr="5566778A">
        <w:t>risk for lenders</w:t>
      </w:r>
      <w:r>
        <w:t xml:space="preserve"> and help them structure public market </w:t>
      </w:r>
      <w:r w:rsidR="00CC5E53">
        <w:t>financing</w:t>
      </w:r>
      <w:r>
        <w:t xml:space="preserve"> to provide project financing at the lowest possible rates. Underwriters purchase debt securities—such as government bonds, corporate bonds, municipal</w:t>
      </w:r>
      <w:r>
        <w:rPr>
          <w:spacing w:val="-3"/>
        </w:rPr>
        <w:t xml:space="preserve"> </w:t>
      </w:r>
      <w:r>
        <w:t>bonds,</w:t>
      </w:r>
      <w:r>
        <w:rPr>
          <w:spacing w:val="-4"/>
        </w:rPr>
        <w:t xml:space="preserve"> </w:t>
      </w:r>
      <w:r>
        <w:t>or</w:t>
      </w:r>
      <w:r>
        <w:rPr>
          <w:spacing w:val="-4"/>
        </w:rPr>
        <w:t xml:space="preserve"> </w:t>
      </w:r>
      <w:r>
        <w:t>preferred</w:t>
      </w:r>
      <w:r>
        <w:rPr>
          <w:spacing w:val="-4"/>
        </w:rPr>
        <w:t xml:space="preserve"> </w:t>
      </w:r>
      <w:r>
        <w:t>stock—from</w:t>
      </w:r>
      <w:r>
        <w:rPr>
          <w:spacing w:val="-4"/>
        </w:rPr>
        <w:t xml:space="preserve"> </w:t>
      </w:r>
      <w:r>
        <w:t>the</w:t>
      </w:r>
      <w:r>
        <w:rPr>
          <w:spacing w:val="-4"/>
        </w:rPr>
        <w:t xml:space="preserve"> </w:t>
      </w:r>
      <w:r>
        <w:t>issuing</w:t>
      </w:r>
      <w:r>
        <w:rPr>
          <w:spacing w:val="-4"/>
        </w:rPr>
        <w:t xml:space="preserve"> </w:t>
      </w:r>
      <w:r>
        <w:t>body</w:t>
      </w:r>
      <w:r>
        <w:rPr>
          <w:spacing w:val="-4"/>
        </w:rPr>
        <w:t xml:space="preserve"> </w:t>
      </w:r>
      <w:r>
        <w:t>(usually</w:t>
      </w:r>
      <w:r>
        <w:rPr>
          <w:spacing w:val="-4"/>
        </w:rPr>
        <w:t xml:space="preserve"> </w:t>
      </w:r>
      <w:r>
        <w:t>a</w:t>
      </w:r>
      <w:r>
        <w:rPr>
          <w:spacing w:val="-4"/>
        </w:rPr>
        <w:t xml:space="preserve"> </w:t>
      </w:r>
      <w:r>
        <w:t>company</w:t>
      </w:r>
      <w:r>
        <w:rPr>
          <w:spacing w:val="-3"/>
        </w:rPr>
        <w:t xml:space="preserve"> </w:t>
      </w:r>
      <w:r>
        <w:t>or</w:t>
      </w:r>
      <w:r>
        <w:rPr>
          <w:spacing w:val="-4"/>
        </w:rPr>
        <w:t xml:space="preserve"> </w:t>
      </w:r>
      <w:r>
        <w:t>government</w:t>
      </w:r>
      <w:r>
        <w:rPr>
          <w:spacing w:val="-4"/>
        </w:rPr>
        <w:t xml:space="preserve"> </w:t>
      </w:r>
      <w:r>
        <w:t>agency) to resell them for a profit. This profit is known as the “underwriting spread.”</w:t>
      </w:r>
      <w:r>
        <w:rPr>
          <w:rStyle w:val="FootnoteReference"/>
        </w:rPr>
        <w:footnoteReference w:id="12"/>
      </w:r>
    </w:p>
    <w:p w:rsidRPr="00566150" w:rsidR="0088066C" w:rsidP="5566778A" w:rsidRDefault="00760D6A" w14:paraId="632634D6" w14:textId="64C2AC87">
      <w:pPr>
        <w:spacing w:before="180"/>
        <w:ind w:left="360" w:right="387"/>
      </w:pPr>
      <w:r>
        <w:t>“Unserved</w:t>
      </w:r>
      <w:r>
        <w:rPr>
          <w:spacing w:val="-4"/>
        </w:rPr>
        <w:t xml:space="preserve"> </w:t>
      </w:r>
      <w:r w:rsidR="00120515">
        <w:t>Community</w:t>
      </w:r>
      <w:r>
        <w:t>”</w:t>
      </w:r>
      <w:r>
        <w:rPr>
          <w:spacing w:val="-3"/>
        </w:rPr>
        <w:t xml:space="preserve"> </w:t>
      </w:r>
      <w:r>
        <w:t>–</w:t>
      </w:r>
      <w:r>
        <w:rPr>
          <w:spacing w:val="-4"/>
        </w:rPr>
        <w:t xml:space="preserve"> </w:t>
      </w:r>
      <w:r>
        <w:t>An</w:t>
      </w:r>
      <w:r>
        <w:rPr>
          <w:spacing w:val="-3"/>
        </w:rPr>
        <w:t xml:space="preserve"> </w:t>
      </w:r>
      <w:r>
        <w:t>area</w:t>
      </w:r>
      <w:r>
        <w:rPr>
          <w:spacing w:val="-2"/>
        </w:rPr>
        <w:t xml:space="preserve"> </w:t>
      </w:r>
      <w:r>
        <w:t>for</w:t>
      </w:r>
      <w:r>
        <w:rPr>
          <w:spacing w:val="-4"/>
        </w:rPr>
        <w:t xml:space="preserve"> </w:t>
      </w:r>
      <w:r>
        <w:t>which</w:t>
      </w:r>
      <w:r>
        <w:rPr>
          <w:spacing w:val="-4"/>
        </w:rPr>
        <w:t xml:space="preserve"> </w:t>
      </w:r>
      <w:r>
        <w:t>no</w:t>
      </w:r>
      <w:r>
        <w:rPr>
          <w:spacing w:val="-1"/>
        </w:rPr>
        <w:t xml:space="preserve"> </w:t>
      </w:r>
      <w:r>
        <w:t>wireline</w:t>
      </w:r>
      <w:r>
        <w:rPr>
          <w:spacing w:val="-3"/>
        </w:rPr>
        <w:t xml:space="preserve"> </w:t>
      </w:r>
      <w:r>
        <w:t>broadband</w:t>
      </w:r>
      <w:r>
        <w:rPr>
          <w:spacing w:val="-3"/>
        </w:rPr>
        <w:t xml:space="preserve"> </w:t>
      </w:r>
      <w:r>
        <w:t>provider</w:t>
      </w:r>
      <w:r>
        <w:rPr>
          <w:spacing w:val="-4"/>
        </w:rPr>
        <w:t xml:space="preserve"> </w:t>
      </w:r>
      <w:r>
        <w:t>reliably</w:t>
      </w:r>
      <w:r>
        <w:rPr>
          <w:spacing w:val="-4"/>
        </w:rPr>
        <w:t xml:space="preserve"> </w:t>
      </w:r>
      <w:r>
        <w:t>offers</w:t>
      </w:r>
      <w:r>
        <w:rPr>
          <w:spacing w:val="-4"/>
        </w:rPr>
        <w:t xml:space="preserve"> </w:t>
      </w:r>
      <w:r>
        <w:t>broadband.</w:t>
      </w:r>
      <w:r w:rsidR="00E92B04">
        <w:rPr>
          <w:rStyle w:val="FootnoteReference"/>
        </w:rPr>
        <w:footnoteReference w:id="13"/>
      </w:r>
    </w:p>
    <w:p w:rsidR="006F1C29" w:rsidP="00B70CAC" w:rsidRDefault="006F1C29" w14:paraId="2B76249D" w14:textId="4685EBCE">
      <w:pPr>
        <w:pStyle w:val="Heading1"/>
        <w:numPr>
          <w:ilvl w:val="0"/>
          <w:numId w:val="7"/>
        </w:numPr>
        <w:rPr>
          <w:rFonts w:eastAsia="Calibri"/>
        </w:rPr>
      </w:pPr>
      <w:bookmarkStart w:name="_Toc149134310" w:id="7"/>
      <w:r>
        <w:rPr>
          <w:rFonts w:eastAsia="Calibri"/>
        </w:rPr>
        <w:t>Responsible Entities</w:t>
      </w:r>
      <w:bookmarkEnd w:id="7"/>
    </w:p>
    <w:p w:rsidR="00EE057F" w:rsidP="00EE057F" w:rsidRDefault="00EE057F" w14:paraId="3244DF54" w14:textId="77777777">
      <w:pPr>
        <w:pStyle w:val="BodyText"/>
        <w:spacing w:before="31" w:line="259" w:lineRule="auto"/>
        <w:ind w:left="360" w:right="438"/>
      </w:pPr>
      <w:r>
        <w:t>The</w:t>
      </w:r>
      <w:r>
        <w:rPr>
          <w:spacing w:val="-4"/>
        </w:rPr>
        <w:t xml:space="preserve"> </w:t>
      </w:r>
      <w:r>
        <w:t>following</w:t>
      </w:r>
      <w:r>
        <w:rPr>
          <w:spacing w:val="-3"/>
        </w:rPr>
        <w:t xml:space="preserve"> </w:t>
      </w:r>
      <w:r>
        <w:t>entities</w:t>
      </w:r>
      <w:r>
        <w:rPr>
          <w:spacing w:val="-4"/>
        </w:rPr>
        <w:t xml:space="preserve"> </w:t>
      </w:r>
      <w:r>
        <w:t>and</w:t>
      </w:r>
      <w:r>
        <w:rPr>
          <w:spacing w:val="-3"/>
        </w:rPr>
        <w:t xml:space="preserve"> </w:t>
      </w:r>
      <w:r>
        <w:t>their</w:t>
      </w:r>
      <w:r>
        <w:rPr>
          <w:spacing w:val="-3"/>
        </w:rPr>
        <w:t xml:space="preserve"> </w:t>
      </w:r>
      <w:r>
        <w:t>roles</w:t>
      </w:r>
      <w:r>
        <w:rPr>
          <w:spacing w:val="-4"/>
        </w:rPr>
        <w:t xml:space="preserve"> </w:t>
      </w:r>
      <w:r>
        <w:t>and</w:t>
      </w:r>
      <w:r>
        <w:rPr>
          <w:spacing w:val="-4"/>
        </w:rPr>
        <w:t xml:space="preserve"> </w:t>
      </w:r>
      <w:r>
        <w:t>responsibilities</w:t>
      </w:r>
      <w:r>
        <w:rPr>
          <w:spacing w:val="-4"/>
        </w:rPr>
        <w:t xml:space="preserve"> </w:t>
      </w:r>
      <w:r>
        <w:t>have</w:t>
      </w:r>
      <w:r>
        <w:rPr>
          <w:spacing w:val="-2"/>
        </w:rPr>
        <w:t xml:space="preserve"> </w:t>
      </w:r>
      <w:r>
        <w:t>been</w:t>
      </w:r>
      <w:r>
        <w:rPr>
          <w:spacing w:val="-4"/>
        </w:rPr>
        <w:t xml:space="preserve"> </w:t>
      </w:r>
      <w:r>
        <w:t>identified</w:t>
      </w:r>
      <w:r>
        <w:rPr>
          <w:spacing w:val="-4"/>
        </w:rPr>
        <w:t xml:space="preserve"> </w:t>
      </w:r>
      <w:r>
        <w:t>for</w:t>
      </w:r>
      <w:r>
        <w:rPr>
          <w:spacing w:val="-4"/>
        </w:rPr>
        <w:t xml:space="preserve"> </w:t>
      </w:r>
      <w:r>
        <w:t>implementing</w:t>
      </w:r>
      <w:r>
        <w:rPr>
          <w:spacing w:val="-3"/>
        </w:rPr>
        <w:t xml:space="preserve"> </w:t>
      </w:r>
      <w:r>
        <w:t xml:space="preserve">the LLP, as applicable. </w:t>
      </w:r>
    </w:p>
    <w:p w:rsidR="00DA400D" w:rsidP="00EE057F" w:rsidRDefault="00DA400D" w14:paraId="0DB189B8" w14:textId="77777777">
      <w:pPr>
        <w:pStyle w:val="BodyText"/>
        <w:spacing w:before="31" w:line="259" w:lineRule="auto"/>
        <w:ind w:left="360" w:right="438"/>
      </w:pPr>
    </w:p>
    <w:p w:rsidR="00EE057F" w:rsidP="00857B4F" w:rsidRDefault="00EE057F" w14:paraId="17385862" w14:textId="77777777">
      <w:pPr>
        <w:pStyle w:val="ListParagraph"/>
        <w:widowControl w:val="0"/>
        <w:numPr>
          <w:ilvl w:val="0"/>
          <w:numId w:val="32"/>
        </w:numPr>
        <w:tabs>
          <w:tab w:val="left" w:pos="839"/>
          <w:tab w:val="left" w:pos="840"/>
        </w:tabs>
        <w:autoSpaceDE w:val="0"/>
        <w:autoSpaceDN w:val="0"/>
        <w:spacing w:after="0" w:line="276" w:lineRule="exact"/>
        <w:contextualSpacing w:val="0"/>
      </w:pPr>
      <w:r>
        <w:rPr>
          <w:spacing w:val="-2"/>
        </w:rPr>
        <w:t>Beneficial</w:t>
      </w:r>
      <w:r>
        <w:rPr>
          <w:spacing w:val="5"/>
        </w:rPr>
        <w:t xml:space="preserve"> </w:t>
      </w:r>
      <w:r>
        <w:rPr>
          <w:spacing w:val="-2"/>
        </w:rPr>
        <w:t xml:space="preserve">Owner / Investor </w:t>
      </w:r>
    </w:p>
    <w:p w:rsidR="00EE057F" w:rsidP="00857B4F" w:rsidRDefault="00EE057F" w14:paraId="67A36A49" w14:textId="50A05915">
      <w:pPr>
        <w:pStyle w:val="ListParagraph"/>
        <w:widowControl w:val="0"/>
        <w:numPr>
          <w:ilvl w:val="1"/>
          <w:numId w:val="32"/>
        </w:numPr>
        <w:tabs>
          <w:tab w:val="left" w:pos="1560"/>
        </w:tabs>
        <w:autoSpaceDE w:val="0"/>
        <w:autoSpaceDN w:val="0"/>
        <w:spacing w:before="4" w:after="0" w:line="235" w:lineRule="auto"/>
        <w:ind w:right="568"/>
        <w:contextualSpacing w:val="0"/>
      </w:pPr>
      <w:r>
        <w:t>Roles</w:t>
      </w:r>
      <w:r>
        <w:rPr>
          <w:spacing w:val="-4"/>
        </w:rPr>
        <w:t xml:space="preserve"> </w:t>
      </w:r>
      <w:r>
        <w:t>and</w:t>
      </w:r>
      <w:r>
        <w:rPr>
          <w:spacing w:val="-3"/>
        </w:rPr>
        <w:t xml:space="preserve"> </w:t>
      </w:r>
      <w:r>
        <w:t>Responsibilities:</w:t>
      </w:r>
      <w:r>
        <w:rPr>
          <w:spacing w:val="-3"/>
        </w:rPr>
        <w:t xml:space="preserve"> </w:t>
      </w:r>
      <w:r>
        <w:t>Owner</w:t>
      </w:r>
      <w:r>
        <w:rPr>
          <w:spacing w:val="-3"/>
        </w:rPr>
        <w:t xml:space="preserve"> </w:t>
      </w:r>
      <w:r>
        <w:t>or</w:t>
      </w:r>
      <w:r>
        <w:rPr>
          <w:spacing w:val="-4"/>
        </w:rPr>
        <w:t xml:space="preserve"> </w:t>
      </w:r>
      <w:r>
        <w:t>purchaser</w:t>
      </w:r>
      <w:r>
        <w:rPr>
          <w:spacing w:val="-4"/>
        </w:rPr>
        <w:t xml:space="preserve"> </w:t>
      </w:r>
      <w:r>
        <w:t>of</w:t>
      </w:r>
      <w:r>
        <w:rPr>
          <w:spacing w:val="-4"/>
        </w:rPr>
        <w:t xml:space="preserve"> </w:t>
      </w:r>
      <w:r>
        <w:t xml:space="preserve">the </w:t>
      </w:r>
      <w:r w:rsidR="00D958B4">
        <w:t>eligible debt</w:t>
      </w:r>
      <w:r w:rsidR="00B850EE">
        <w:t xml:space="preserve"> </w:t>
      </w:r>
      <w:r>
        <w:t>issued</w:t>
      </w:r>
      <w:r>
        <w:rPr>
          <w:spacing w:val="-3"/>
        </w:rPr>
        <w:t xml:space="preserve"> </w:t>
      </w:r>
      <w:r>
        <w:t>by</w:t>
      </w:r>
      <w:r>
        <w:rPr>
          <w:spacing w:val="-3"/>
        </w:rPr>
        <w:t xml:space="preserve"> </w:t>
      </w:r>
      <w:r>
        <w:t>the</w:t>
      </w:r>
      <w:r>
        <w:rPr>
          <w:spacing w:val="-4"/>
        </w:rPr>
        <w:t xml:space="preserve"> </w:t>
      </w:r>
      <w:r>
        <w:t xml:space="preserve">local or </w:t>
      </w:r>
      <w:r w:rsidR="003F706F">
        <w:t>T</w:t>
      </w:r>
      <w:r>
        <w:t xml:space="preserve">ribal government agency / non-profit. Provides capital. </w:t>
      </w:r>
    </w:p>
    <w:p w:rsidR="00EE057F" w:rsidP="00857B4F" w:rsidRDefault="00EE057F" w14:paraId="033165B0" w14:textId="69CEA43E">
      <w:pPr>
        <w:pStyle w:val="ListParagraph"/>
        <w:widowControl w:val="0"/>
        <w:numPr>
          <w:ilvl w:val="0"/>
          <w:numId w:val="32"/>
        </w:numPr>
        <w:tabs>
          <w:tab w:val="left" w:pos="839"/>
          <w:tab w:val="left" w:pos="840"/>
        </w:tabs>
        <w:autoSpaceDE w:val="0"/>
        <w:autoSpaceDN w:val="0"/>
        <w:spacing w:after="0" w:line="279" w:lineRule="exact"/>
      </w:pPr>
      <w:r>
        <w:t>Legal</w:t>
      </w:r>
      <w:r w:rsidRPr="0044747E">
        <w:t xml:space="preserve"> </w:t>
      </w:r>
      <w:r>
        <w:rPr>
          <w:spacing w:val="-7"/>
        </w:rPr>
        <w:t>Counsel</w:t>
      </w:r>
      <w:r>
        <w:rPr>
          <w:spacing w:val="-2"/>
        </w:rPr>
        <w:t>(s)</w:t>
      </w:r>
    </w:p>
    <w:p w:rsidR="00EE057F" w:rsidP="00857B4F" w:rsidRDefault="00EE057F" w14:paraId="1916CB62" w14:textId="77777777">
      <w:pPr>
        <w:pStyle w:val="ListParagraph"/>
        <w:widowControl w:val="0"/>
        <w:numPr>
          <w:ilvl w:val="1"/>
          <w:numId w:val="32"/>
        </w:numPr>
        <w:tabs>
          <w:tab w:val="left" w:pos="1559"/>
        </w:tabs>
        <w:autoSpaceDE w:val="0"/>
        <w:autoSpaceDN w:val="0"/>
        <w:spacing w:after="0" w:line="272" w:lineRule="exact"/>
        <w:contextualSpacing w:val="0"/>
      </w:pPr>
      <w:r>
        <w:t xml:space="preserve">Bond Counsel: represents the Borrower and is responsible for the transactional structuring and documentation. </w:t>
      </w:r>
    </w:p>
    <w:p w:rsidR="00EE057F" w:rsidP="00857B4F" w:rsidRDefault="00EE057F" w14:paraId="1A853C28" w14:textId="77777777">
      <w:pPr>
        <w:pStyle w:val="ListParagraph"/>
        <w:widowControl w:val="0"/>
        <w:numPr>
          <w:ilvl w:val="1"/>
          <w:numId w:val="32"/>
        </w:numPr>
        <w:tabs>
          <w:tab w:val="left" w:pos="1559"/>
        </w:tabs>
        <w:autoSpaceDE w:val="0"/>
        <w:autoSpaceDN w:val="0"/>
        <w:spacing w:after="0" w:line="272" w:lineRule="exact"/>
        <w:contextualSpacing w:val="0"/>
      </w:pPr>
      <w:r>
        <w:t>Counsel to the Underwriter (in a publicly issued bond transaction): represents the Underwriter’s interest in the structuring and sale process.</w:t>
      </w:r>
    </w:p>
    <w:p w:rsidR="00EE057F" w:rsidP="00857B4F" w:rsidRDefault="00EE057F" w14:paraId="046194F0" w14:textId="230FD57E">
      <w:pPr>
        <w:pStyle w:val="ListParagraph"/>
        <w:widowControl w:val="0"/>
        <w:numPr>
          <w:ilvl w:val="1"/>
          <w:numId w:val="32"/>
        </w:numPr>
        <w:tabs>
          <w:tab w:val="left" w:pos="1559"/>
        </w:tabs>
        <w:autoSpaceDE w:val="0"/>
        <w:autoSpaceDN w:val="0"/>
        <w:spacing w:after="0" w:line="272" w:lineRule="exact"/>
        <w:contextualSpacing w:val="0"/>
      </w:pPr>
      <w:r>
        <w:t>Lender’s Counsel (in a private/ loan transaction): represents the Lender’s interests.</w:t>
      </w:r>
    </w:p>
    <w:p w:rsidR="00EE057F" w:rsidP="00857B4F" w:rsidRDefault="00EE057F" w14:paraId="2E9B7CD3" w14:textId="77777777">
      <w:pPr>
        <w:pStyle w:val="ListParagraph"/>
        <w:widowControl w:val="0"/>
        <w:numPr>
          <w:ilvl w:val="1"/>
          <w:numId w:val="32"/>
        </w:numPr>
        <w:tabs>
          <w:tab w:val="left" w:pos="1559"/>
        </w:tabs>
        <w:autoSpaceDE w:val="0"/>
        <w:autoSpaceDN w:val="0"/>
        <w:spacing w:after="0" w:line="272" w:lineRule="exact"/>
        <w:contextualSpacing w:val="0"/>
      </w:pPr>
      <w:r>
        <w:t>Disclosure Counsel (in a publicly-issued bond transaction): responsible for the accuracy and completeness of disclosure to the public markets and to private party purchasers.</w:t>
      </w:r>
    </w:p>
    <w:p w:rsidR="00EE057F" w:rsidP="00857B4F" w:rsidRDefault="00EE057F" w14:paraId="1E1088FD" w14:textId="6515E044">
      <w:pPr>
        <w:pStyle w:val="ListParagraph"/>
        <w:widowControl w:val="0"/>
        <w:numPr>
          <w:ilvl w:val="1"/>
          <w:numId w:val="32"/>
        </w:numPr>
        <w:tabs>
          <w:tab w:val="left" w:pos="1559"/>
        </w:tabs>
        <w:autoSpaceDE w:val="0"/>
        <w:autoSpaceDN w:val="0"/>
        <w:spacing w:after="0" w:line="272" w:lineRule="exact"/>
        <w:contextualSpacing w:val="0"/>
      </w:pPr>
      <w:r>
        <w:t xml:space="preserve">Counsel to the </w:t>
      </w:r>
      <w:r w:rsidR="0029103A">
        <w:t>t</w:t>
      </w:r>
      <w:r>
        <w:t xml:space="preserve">rustee: represents the discrete role of </w:t>
      </w:r>
      <w:r w:rsidR="0029103A">
        <w:t>t</w:t>
      </w:r>
      <w:r>
        <w:t xml:space="preserve">rustee. </w:t>
      </w:r>
    </w:p>
    <w:p w:rsidR="00EE057F" w:rsidP="00857B4F" w:rsidRDefault="00EE057F" w14:paraId="7B641FAF" w14:textId="4F3D48F1">
      <w:pPr>
        <w:pStyle w:val="ListParagraph"/>
        <w:widowControl w:val="0"/>
        <w:numPr>
          <w:ilvl w:val="1"/>
          <w:numId w:val="32"/>
        </w:numPr>
        <w:tabs>
          <w:tab w:val="left" w:pos="1559"/>
        </w:tabs>
        <w:autoSpaceDE w:val="0"/>
        <w:autoSpaceDN w:val="0"/>
        <w:spacing w:after="0" w:line="272" w:lineRule="exact"/>
        <w:contextualSpacing w:val="0"/>
      </w:pPr>
      <w:r>
        <w:t>Conduit Issuer Counsel: represents the discrete role of Conduit Issuer</w:t>
      </w:r>
      <w:r w:rsidR="003148DB">
        <w:t xml:space="preserve"> (if any)</w:t>
      </w:r>
      <w:r>
        <w:t xml:space="preserve">. </w:t>
      </w:r>
    </w:p>
    <w:p w:rsidR="00EE057F" w:rsidP="00857B4F" w:rsidRDefault="00EE057F" w14:paraId="4B206B3E" w14:textId="13497BC7">
      <w:pPr>
        <w:pStyle w:val="ListParagraph"/>
        <w:widowControl w:val="0"/>
        <w:numPr>
          <w:ilvl w:val="1"/>
          <w:numId w:val="32"/>
        </w:numPr>
        <w:tabs>
          <w:tab w:val="left" w:pos="1559"/>
        </w:tabs>
        <w:autoSpaceDE w:val="0"/>
        <w:autoSpaceDN w:val="0"/>
        <w:spacing w:after="0" w:line="272" w:lineRule="exact"/>
        <w:contextualSpacing w:val="0"/>
      </w:pPr>
      <w:r>
        <w:t>Counsel to the CPUC as administrator of the LLP credit enhancement: represent</w:t>
      </w:r>
      <w:r w:rsidR="00D83F9B">
        <w:t>s</w:t>
      </w:r>
      <w:r>
        <w:t xml:space="preserve"> the CPUC in the transaction and the servicing of the </w:t>
      </w:r>
      <w:r w:rsidR="00F341CC">
        <w:t>eligible debt</w:t>
      </w:r>
      <w:r>
        <w:t>.</w:t>
      </w:r>
    </w:p>
    <w:p w:rsidR="00EE057F" w:rsidP="00857B4F" w:rsidRDefault="00EE057F" w14:paraId="35BF0E4E" w14:textId="377FCA0C">
      <w:pPr>
        <w:pStyle w:val="ListParagraph"/>
        <w:widowControl w:val="0"/>
        <w:numPr>
          <w:ilvl w:val="0"/>
          <w:numId w:val="32"/>
        </w:numPr>
        <w:tabs>
          <w:tab w:val="left" w:pos="840"/>
          <w:tab w:val="left" w:pos="841"/>
        </w:tabs>
        <w:autoSpaceDE w:val="0"/>
        <w:autoSpaceDN w:val="0"/>
        <w:spacing w:before="178" w:after="0" w:line="240" w:lineRule="auto"/>
      </w:pPr>
      <w:r>
        <w:t>California</w:t>
      </w:r>
      <w:r>
        <w:rPr>
          <w:spacing w:val="-13"/>
        </w:rPr>
        <w:t xml:space="preserve"> </w:t>
      </w:r>
      <w:r>
        <w:t>Public</w:t>
      </w:r>
      <w:r>
        <w:rPr>
          <w:spacing w:val="-12"/>
        </w:rPr>
        <w:t xml:space="preserve"> </w:t>
      </w:r>
      <w:r>
        <w:t>Utilities</w:t>
      </w:r>
      <w:r>
        <w:rPr>
          <w:spacing w:val="-13"/>
        </w:rPr>
        <w:t xml:space="preserve"> </w:t>
      </w:r>
      <w:r>
        <w:t>Commission</w:t>
      </w:r>
      <w:r>
        <w:rPr>
          <w:spacing w:val="-12"/>
        </w:rPr>
        <w:t xml:space="preserve"> </w:t>
      </w:r>
      <w:r>
        <w:rPr>
          <w:spacing w:val="-2"/>
        </w:rPr>
        <w:t>(CPUC)</w:t>
      </w:r>
    </w:p>
    <w:p w:rsidR="00EE057F" w:rsidP="00857B4F" w:rsidRDefault="00EE057F" w14:paraId="7D948592" w14:textId="70B672CD">
      <w:pPr>
        <w:pStyle w:val="ListParagraph"/>
        <w:widowControl w:val="0"/>
        <w:numPr>
          <w:ilvl w:val="1"/>
          <w:numId w:val="32"/>
        </w:numPr>
        <w:tabs>
          <w:tab w:val="left" w:pos="1560"/>
        </w:tabs>
        <w:autoSpaceDE w:val="0"/>
        <w:autoSpaceDN w:val="0"/>
        <w:spacing w:before="5" w:after="0" w:line="235" w:lineRule="auto"/>
        <w:ind w:right="387"/>
        <w:contextualSpacing w:val="0"/>
      </w:pPr>
      <w:r>
        <w:t>Roles</w:t>
      </w:r>
      <w:r>
        <w:rPr>
          <w:spacing w:val="-6"/>
        </w:rPr>
        <w:t xml:space="preserve"> </w:t>
      </w:r>
      <w:r>
        <w:t>and</w:t>
      </w:r>
      <w:r>
        <w:rPr>
          <w:spacing w:val="-6"/>
        </w:rPr>
        <w:t xml:space="preserve"> </w:t>
      </w:r>
      <w:r>
        <w:t>Responsibilities:</w:t>
      </w:r>
      <w:r>
        <w:rPr>
          <w:spacing w:val="-6"/>
        </w:rPr>
        <w:t xml:space="preserve"> </w:t>
      </w:r>
      <w:r w:rsidR="00984743">
        <w:t xml:space="preserve">Reviewer </w:t>
      </w:r>
      <w:r>
        <w:t xml:space="preserve">of </w:t>
      </w:r>
      <w:r w:rsidDel="00934E90">
        <w:t xml:space="preserve">applicant </w:t>
      </w:r>
      <w:r>
        <w:t xml:space="preserve">eligibility, operational and technical fitness; Administrator of the LLP credit enhancement; and Custodian of the </w:t>
      </w:r>
      <w:r w:rsidR="00A65264">
        <w:t>DSR Guarantee</w:t>
      </w:r>
      <w:r>
        <w:t>.</w:t>
      </w:r>
    </w:p>
    <w:p w:rsidR="00EE057F" w:rsidP="00857B4F" w:rsidRDefault="00EE057F" w14:paraId="45D53DEE" w14:textId="77777777">
      <w:pPr>
        <w:pStyle w:val="ListParagraph"/>
        <w:widowControl w:val="0"/>
        <w:numPr>
          <w:ilvl w:val="0"/>
          <w:numId w:val="32"/>
        </w:numPr>
        <w:tabs>
          <w:tab w:val="left" w:pos="839"/>
          <w:tab w:val="left" w:pos="840"/>
        </w:tabs>
        <w:autoSpaceDE w:val="0"/>
        <w:autoSpaceDN w:val="0"/>
        <w:spacing w:after="0" w:line="277" w:lineRule="exact"/>
        <w:contextualSpacing w:val="0"/>
      </w:pPr>
      <w:r w:rsidRPr="00081937">
        <w:rPr>
          <w:spacing w:val="-2"/>
        </w:rPr>
        <w:t>Conduit Bond Issuer</w:t>
      </w:r>
    </w:p>
    <w:p w:rsidR="003148DB" w:rsidP="00857B4F" w:rsidRDefault="003148DB" w14:paraId="70A0E7CC" w14:textId="4C7317D9">
      <w:pPr>
        <w:pStyle w:val="ListParagraph"/>
        <w:widowControl w:val="0"/>
        <w:numPr>
          <w:ilvl w:val="1"/>
          <w:numId w:val="32"/>
        </w:numPr>
        <w:tabs>
          <w:tab w:val="left" w:pos="1560"/>
        </w:tabs>
        <w:autoSpaceDE w:val="0"/>
        <w:autoSpaceDN w:val="0"/>
        <w:spacing w:before="7" w:after="0" w:line="232" w:lineRule="auto"/>
        <w:ind w:right="738"/>
        <w:contextualSpacing w:val="0"/>
      </w:pPr>
      <w:r>
        <w:t>Not applicable to all bond transactions. Some local government Obligors may</w:t>
      </w:r>
      <w:r w:rsidR="00125F14">
        <w:t xml:space="preserve"> elect to issue their own revenue bonds.</w:t>
      </w:r>
    </w:p>
    <w:p w:rsidRPr="00F31C2C" w:rsidR="00EE057F" w:rsidP="00857B4F" w:rsidRDefault="00EE057F" w14:paraId="20B5B219" w14:textId="7D24320C">
      <w:pPr>
        <w:pStyle w:val="ListParagraph"/>
        <w:widowControl w:val="0"/>
        <w:numPr>
          <w:ilvl w:val="1"/>
          <w:numId w:val="32"/>
        </w:numPr>
        <w:tabs>
          <w:tab w:val="left" w:pos="1560"/>
        </w:tabs>
        <w:autoSpaceDE w:val="0"/>
        <w:autoSpaceDN w:val="0"/>
        <w:spacing w:before="7" w:after="0" w:line="232" w:lineRule="auto"/>
        <w:ind w:right="738"/>
        <w:contextualSpacing w:val="0"/>
      </w:pPr>
      <w:r>
        <w:t>Roles</w:t>
      </w:r>
      <w:r>
        <w:rPr>
          <w:spacing w:val="-5"/>
        </w:rPr>
        <w:t xml:space="preserve"> </w:t>
      </w:r>
      <w:r>
        <w:t>and</w:t>
      </w:r>
      <w:r>
        <w:rPr>
          <w:spacing w:val="-4"/>
        </w:rPr>
        <w:t xml:space="preserve"> </w:t>
      </w:r>
      <w:r>
        <w:t>Responsibilities:</w:t>
      </w:r>
      <w:r>
        <w:rPr>
          <w:spacing w:val="-4"/>
        </w:rPr>
        <w:t xml:space="preserve"> </w:t>
      </w:r>
    </w:p>
    <w:p w:rsidRPr="006826DB" w:rsidR="00EE057F" w:rsidP="00857B4F" w:rsidRDefault="00EE057F" w14:paraId="757E2C5D" w14:textId="7666B552">
      <w:pPr>
        <w:pStyle w:val="ListParagraph"/>
        <w:widowControl w:val="0"/>
        <w:numPr>
          <w:ilvl w:val="2"/>
          <w:numId w:val="32"/>
        </w:numPr>
        <w:tabs>
          <w:tab w:val="left" w:pos="1560"/>
        </w:tabs>
        <w:autoSpaceDE w:val="0"/>
        <w:autoSpaceDN w:val="0"/>
        <w:spacing w:before="7" w:after="0" w:line="232" w:lineRule="auto"/>
        <w:ind w:right="738"/>
        <w:contextualSpacing w:val="0"/>
      </w:pPr>
      <w:r>
        <w:rPr>
          <w:spacing w:val="-4"/>
        </w:rPr>
        <w:t xml:space="preserve">An </w:t>
      </w:r>
      <w:r>
        <w:t>authorized government entity (including Joint Powers Authorities (JPA))</w:t>
      </w:r>
      <w:r>
        <w:rPr>
          <w:spacing w:val="-4"/>
        </w:rPr>
        <w:t xml:space="preserve"> </w:t>
      </w:r>
      <w:r>
        <w:t>that</w:t>
      </w:r>
      <w:r>
        <w:rPr>
          <w:spacing w:val="-5"/>
        </w:rPr>
        <w:t xml:space="preserve"> </w:t>
      </w:r>
      <w:r>
        <w:t>issues the bond on behalf</w:t>
      </w:r>
      <w:r>
        <w:rPr>
          <w:spacing w:val="-3"/>
        </w:rPr>
        <w:t xml:space="preserve"> </w:t>
      </w:r>
      <w:r>
        <w:t xml:space="preserve">of a local or </w:t>
      </w:r>
      <w:r w:rsidR="003F706F">
        <w:t>T</w:t>
      </w:r>
      <w:r>
        <w:t>ribal government / non-profit</w:t>
      </w:r>
      <w:r>
        <w:rPr>
          <w:spacing w:val="-2"/>
        </w:rPr>
        <w:t>.</w:t>
      </w:r>
    </w:p>
    <w:p w:rsidR="00EE057F" w:rsidP="00581A80" w:rsidRDefault="00EE057F" w14:paraId="0478F056" w14:textId="051E4A6D">
      <w:pPr>
        <w:pStyle w:val="ListParagraph"/>
        <w:widowControl w:val="0"/>
        <w:numPr>
          <w:ilvl w:val="2"/>
          <w:numId w:val="9"/>
        </w:numPr>
        <w:tabs>
          <w:tab w:val="left" w:pos="1560"/>
        </w:tabs>
        <w:autoSpaceDE w:val="0"/>
        <w:autoSpaceDN w:val="0"/>
        <w:spacing w:before="7" w:after="0" w:line="232" w:lineRule="auto"/>
        <w:ind w:right="738"/>
        <w:contextualSpacing w:val="0"/>
      </w:pPr>
      <w:r>
        <w:t>Ensures that continuing disclosures are fulfilled in a publicly-issue</w:t>
      </w:r>
      <w:r w:rsidR="0018245B">
        <w:t>d</w:t>
      </w:r>
      <w:r>
        <w:t xml:space="preserve"> transaction.</w:t>
      </w:r>
    </w:p>
    <w:p w:rsidRPr="00F31C2C" w:rsidR="00EE057F" w:rsidP="00857B4F" w:rsidRDefault="00EE057F" w14:paraId="2EA8D328" w14:textId="77777777">
      <w:pPr>
        <w:pStyle w:val="ListParagraph"/>
        <w:widowControl w:val="0"/>
        <w:numPr>
          <w:ilvl w:val="2"/>
          <w:numId w:val="32"/>
        </w:numPr>
        <w:tabs>
          <w:tab w:val="left" w:pos="1560"/>
        </w:tabs>
        <w:autoSpaceDE w:val="0"/>
        <w:autoSpaceDN w:val="0"/>
        <w:spacing w:before="7" w:after="0" w:line="232" w:lineRule="auto"/>
        <w:ind w:right="738"/>
        <w:contextualSpacing w:val="0"/>
      </w:pPr>
      <w:r>
        <w:t>Calculates and files arbitrage rebate returns (for tax-exempt transactions).</w:t>
      </w:r>
    </w:p>
    <w:p w:rsidRPr="00F31C2C" w:rsidR="00EE057F" w:rsidP="00857B4F" w:rsidRDefault="00EE057F" w14:paraId="1DB97D0D" w14:textId="77777777">
      <w:pPr>
        <w:pStyle w:val="ListParagraph"/>
        <w:widowControl w:val="0"/>
        <w:numPr>
          <w:ilvl w:val="0"/>
          <w:numId w:val="32"/>
        </w:numPr>
        <w:tabs>
          <w:tab w:val="left" w:pos="1559"/>
        </w:tabs>
        <w:autoSpaceDE w:val="0"/>
        <w:autoSpaceDN w:val="0"/>
        <w:spacing w:after="0" w:line="240" w:lineRule="auto"/>
        <w:contextualSpacing w:val="0"/>
      </w:pPr>
      <w:r>
        <w:rPr>
          <w:spacing w:val="-2"/>
        </w:rPr>
        <w:t>Credit Rating Agency</w:t>
      </w:r>
    </w:p>
    <w:p w:rsidR="00EE057F" w:rsidP="00857B4F" w:rsidRDefault="00EE057F" w14:paraId="6FFF1531" w14:textId="7619F5DC">
      <w:pPr>
        <w:pStyle w:val="ListParagraph"/>
        <w:widowControl w:val="0"/>
        <w:numPr>
          <w:ilvl w:val="1"/>
          <w:numId w:val="32"/>
        </w:numPr>
        <w:tabs>
          <w:tab w:val="left" w:pos="1559"/>
        </w:tabs>
        <w:autoSpaceDE w:val="0"/>
        <w:autoSpaceDN w:val="0"/>
        <w:spacing w:after="0" w:line="240" w:lineRule="auto"/>
        <w:contextualSpacing w:val="0"/>
      </w:pPr>
      <w:r>
        <w:rPr>
          <w:spacing w:val="-2"/>
        </w:rPr>
        <w:t xml:space="preserve">Roles and Responsibilities: Determines the credit rating of the </w:t>
      </w:r>
      <w:r w:rsidR="009E5CB0">
        <w:rPr>
          <w:spacing w:val="-2"/>
        </w:rPr>
        <w:t>eligible debt</w:t>
      </w:r>
      <w:r>
        <w:rPr>
          <w:spacing w:val="-2"/>
        </w:rPr>
        <w:t>.</w:t>
      </w:r>
    </w:p>
    <w:p w:rsidR="00EE057F" w:rsidP="00857B4F" w:rsidRDefault="00EE057F" w14:paraId="27DCDEDB" w14:textId="77777777">
      <w:pPr>
        <w:pStyle w:val="ListParagraph"/>
        <w:widowControl w:val="0"/>
        <w:numPr>
          <w:ilvl w:val="0"/>
          <w:numId w:val="32"/>
        </w:numPr>
        <w:tabs>
          <w:tab w:val="left" w:pos="839"/>
          <w:tab w:val="left" w:pos="840"/>
        </w:tabs>
        <w:autoSpaceDE w:val="0"/>
        <w:autoSpaceDN w:val="0"/>
        <w:spacing w:after="0" w:line="240" w:lineRule="auto"/>
        <w:contextualSpacing w:val="0"/>
      </w:pPr>
      <w:r>
        <w:t>Obligor (Local</w:t>
      </w:r>
      <w:r>
        <w:rPr>
          <w:spacing w:val="-11"/>
        </w:rPr>
        <w:t xml:space="preserve"> </w:t>
      </w:r>
      <w:r>
        <w:t>Government</w:t>
      </w:r>
      <w:r>
        <w:rPr>
          <w:spacing w:val="-9"/>
        </w:rPr>
        <w:t xml:space="preserve"> </w:t>
      </w:r>
      <w:r>
        <w:t>Agency</w:t>
      </w:r>
      <w:r>
        <w:rPr>
          <w:spacing w:val="-8"/>
        </w:rPr>
        <w:t xml:space="preserve"> </w:t>
      </w:r>
      <w:r>
        <w:t>/</w:t>
      </w:r>
      <w:r>
        <w:rPr>
          <w:spacing w:val="-10"/>
        </w:rPr>
        <w:t xml:space="preserve"> </w:t>
      </w:r>
      <w:r>
        <w:t>Non-</w:t>
      </w:r>
      <w:r>
        <w:rPr>
          <w:spacing w:val="-2"/>
        </w:rPr>
        <w:t>Profit / Joint Powers Authority / Tribal Government)</w:t>
      </w:r>
    </w:p>
    <w:p w:rsidRPr="00081937" w:rsidR="00EE057F" w:rsidP="00857B4F" w:rsidRDefault="00EE057F" w14:paraId="5F5E3A51" w14:textId="77777777">
      <w:pPr>
        <w:pStyle w:val="ListParagraph"/>
        <w:widowControl w:val="0"/>
        <w:numPr>
          <w:ilvl w:val="1"/>
          <w:numId w:val="32"/>
        </w:numPr>
        <w:tabs>
          <w:tab w:val="left" w:pos="1560"/>
        </w:tabs>
        <w:autoSpaceDE w:val="0"/>
        <w:autoSpaceDN w:val="0"/>
        <w:spacing w:after="0" w:line="272" w:lineRule="exact"/>
        <w:contextualSpacing w:val="0"/>
      </w:pPr>
      <w:r>
        <w:rPr>
          <w:spacing w:val="-2"/>
        </w:rPr>
        <w:t>Roles</w:t>
      </w:r>
      <w:r>
        <w:rPr>
          <w:spacing w:val="3"/>
        </w:rPr>
        <w:t xml:space="preserve"> </w:t>
      </w:r>
      <w:r>
        <w:rPr>
          <w:spacing w:val="-2"/>
        </w:rPr>
        <w:t>and</w:t>
      </w:r>
      <w:r>
        <w:rPr>
          <w:spacing w:val="4"/>
        </w:rPr>
        <w:t xml:space="preserve"> </w:t>
      </w:r>
      <w:r>
        <w:rPr>
          <w:spacing w:val="-2"/>
        </w:rPr>
        <w:t>Responsibilities:</w:t>
      </w:r>
      <w:r>
        <w:rPr>
          <w:spacing w:val="5"/>
        </w:rPr>
        <w:t xml:space="preserve"> </w:t>
      </w:r>
      <w:r>
        <w:rPr>
          <w:spacing w:val="-2"/>
        </w:rPr>
        <w:t>Borrower, responsible for the repayment of the bond.</w:t>
      </w:r>
    </w:p>
    <w:p w:rsidRPr="00CC0802" w:rsidR="00EE057F" w:rsidP="00857B4F" w:rsidRDefault="00EE057F" w14:paraId="3CF02F8F" w14:textId="5D4714A8">
      <w:pPr>
        <w:pStyle w:val="ListParagraph"/>
        <w:widowControl w:val="0"/>
        <w:numPr>
          <w:ilvl w:val="1"/>
          <w:numId w:val="32"/>
        </w:numPr>
        <w:autoSpaceDE w:val="0"/>
        <w:autoSpaceDN w:val="0"/>
        <w:spacing w:after="0" w:line="240" w:lineRule="auto"/>
        <w:contextualSpacing w:val="0"/>
      </w:pPr>
      <w:r>
        <w:t>Administer</w:t>
      </w:r>
      <w:r w:rsidR="00870C17">
        <w:t>s</w:t>
      </w:r>
      <w:r>
        <w:t xml:space="preserve"> any construction or acquisition program for the buildout of broadband infrastructure. </w:t>
      </w:r>
    </w:p>
    <w:p w:rsidR="00EE057F" w:rsidP="00857B4F" w:rsidRDefault="00EE057F" w14:paraId="655D5DA2" w14:textId="40B71033">
      <w:pPr>
        <w:pStyle w:val="ListParagraph"/>
        <w:widowControl w:val="0"/>
        <w:numPr>
          <w:ilvl w:val="1"/>
          <w:numId w:val="32"/>
        </w:numPr>
        <w:autoSpaceDE w:val="0"/>
        <w:autoSpaceDN w:val="0"/>
        <w:spacing w:after="0" w:line="240" w:lineRule="auto"/>
        <w:contextualSpacing w:val="0"/>
      </w:pPr>
      <w:r>
        <w:t xml:space="preserve">Addresses any workout-related issues, should the broadband project draw upon </w:t>
      </w:r>
      <w:r w:rsidR="0045442D">
        <w:t xml:space="preserve">the </w:t>
      </w:r>
      <w:r>
        <w:t>credit enhancement</w:t>
      </w:r>
      <w:r w:rsidR="00386D6F">
        <w:t>.</w:t>
      </w:r>
      <w:r>
        <w:t xml:space="preserve"> </w:t>
      </w:r>
    </w:p>
    <w:p w:rsidR="00EE057F" w:rsidP="00857B4F" w:rsidRDefault="00EE057F" w14:paraId="49DE0424" w14:textId="77777777">
      <w:pPr>
        <w:pStyle w:val="ListParagraph"/>
        <w:widowControl w:val="0"/>
        <w:numPr>
          <w:ilvl w:val="0"/>
          <w:numId w:val="32"/>
        </w:numPr>
        <w:tabs>
          <w:tab w:val="left" w:pos="838"/>
          <w:tab w:val="left" w:pos="839"/>
        </w:tabs>
        <w:autoSpaceDE w:val="0"/>
        <w:autoSpaceDN w:val="0"/>
        <w:spacing w:after="0" w:line="277" w:lineRule="exact"/>
        <w:contextualSpacing w:val="0"/>
      </w:pPr>
      <w:r>
        <w:rPr>
          <w:spacing w:val="-2"/>
        </w:rPr>
        <w:t>Municipal</w:t>
      </w:r>
      <w:r>
        <w:rPr>
          <w:spacing w:val="5"/>
        </w:rPr>
        <w:t xml:space="preserve"> </w:t>
      </w:r>
      <w:r>
        <w:rPr>
          <w:spacing w:val="-2"/>
        </w:rPr>
        <w:t>Advisor</w:t>
      </w:r>
    </w:p>
    <w:p w:rsidRPr="00081937" w:rsidR="00EE057F" w:rsidP="00857B4F" w:rsidRDefault="00EE057F" w14:paraId="6551AF52" w14:textId="63F187E9">
      <w:pPr>
        <w:pStyle w:val="ListParagraph"/>
        <w:widowControl w:val="0"/>
        <w:numPr>
          <w:ilvl w:val="1"/>
          <w:numId w:val="32"/>
        </w:numPr>
        <w:tabs>
          <w:tab w:val="left" w:pos="1559"/>
        </w:tabs>
        <w:autoSpaceDE w:val="0"/>
        <w:autoSpaceDN w:val="0"/>
        <w:spacing w:after="0" w:line="240" w:lineRule="auto"/>
        <w:contextualSpacing w:val="0"/>
      </w:pPr>
      <w:r>
        <w:t>Roles</w:t>
      </w:r>
      <w:r>
        <w:rPr>
          <w:spacing w:val="-9"/>
        </w:rPr>
        <w:t xml:space="preserve"> </w:t>
      </w:r>
      <w:r>
        <w:t>and</w:t>
      </w:r>
      <w:r>
        <w:rPr>
          <w:spacing w:val="-9"/>
        </w:rPr>
        <w:t xml:space="preserve"> </w:t>
      </w:r>
      <w:r>
        <w:t>Responsibilities:</w:t>
      </w:r>
      <w:r>
        <w:rPr>
          <w:spacing w:val="-8"/>
        </w:rPr>
        <w:t xml:space="preserve"> </w:t>
      </w:r>
      <w:r>
        <w:t>Advisor</w:t>
      </w:r>
      <w:r>
        <w:rPr>
          <w:spacing w:val="-9"/>
        </w:rPr>
        <w:t xml:space="preserve"> </w:t>
      </w:r>
      <w:r>
        <w:t>to</w:t>
      </w:r>
      <w:r>
        <w:rPr>
          <w:spacing w:val="-8"/>
        </w:rPr>
        <w:t xml:space="preserve"> </w:t>
      </w:r>
      <w:r>
        <w:t>the</w:t>
      </w:r>
      <w:r>
        <w:rPr>
          <w:spacing w:val="-9"/>
        </w:rPr>
        <w:t xml:space="preserve"> </w:t>
      </w:r>
      <w:r w:rsidR="004F50F9">
        <w:t xml:space="preserve">eligible debt </w:t>
      </w:r>
      <w:r>
        <w:t xml:space="preserve">Issuer or assists in structuring the </w:t>
      </w:r>
      <w:r w:rsidR="00337DCC">
        <w:t>debt</w:t>
      </w:r>
      <w:r w:rsidR="00E963C9">
        <w:t xml:space="preserve"> </w:t>
      </w:r>
      <w:r>
        <w:t>and payment structure supporting the borrower</w:t>
      </w:r>
      <w:r>
        <w:rPr>
          <w:spacing w:val="-2"/>
        </w:rPr>
        <w:t>.</w:t>
      </w:r>
    </w:p>
    <w:p w:rsidR="00EE057F" w:rsidP="00857B4F" w:rsidRDefault="00EE057F" w14:paraId="09BFB941" w14:textId="77777777">
      <w:pPr>
        <w:pStyle w:val="ListParagraph"/>
        <w:widowControl w:val="0"/>
        <w:numPr>
          <w:ilvl w:val="0"/>
          <w:numId w:val="32"/>
        </w:numPr>
        <w:tabs>
          <w:tab w:val="left" w:pos="839"/>
          <w:tab w:val="left" w:pos="840"/>
        </w:tabs>
        <w:autoSpaceDE w:val="0"/>
        <w:autoSpaceDN w:val="0"/>
        <w:spacing w:after="0" w:line="240" w:lineRule="auto"/>
        <w:contextualSpacing w:val="0"/>
      </w:pPr>
      <w:r>
        <w:t xml:space="preserve">Rebate Consultant </w:t>
      </w:r>
    </w:p>
    <w:p w:rsidR="00EE057F" w:rsidP="00857B4F" w:rsidRDefault="00EE057F" w14:paraId="1B32ABA3" w14:textId="77777777">
      <w:pPr>
        <w:pStyle w:val="ListParagraph"/>
        <w:widowControl w:val="0"/>
        <w:numPr>
          <w:ilvl w:val="1"/>
          <w:numId w:val="32"/>
        </w:numPr>
        <w:tabs>
          <w:tab w:val="left" w:pos="839"/>
          <w:tab w:val="left" w:pos="840"/>
        </w:tabs>
        <w:autoSpaceDE w:val="0"/>
        <w:autoSpaceDN w:val="0"/>
        <w:spacing w:after="0" w:line="240" w:lineRule="auto"/>
        <w:contextualSpacing w:val="0"/>
      </w:pPr>
      <w:r>
        <w:t xml:space="preserve">Roles and Responsibilities: Complies with ongoing covenants specific to tax-exempt deals and the requirement to rebate certain amounts to the IRS. </w:t>
      </w:r>
    </w:p>
    <w:p w:rsidR="00EE057F" w:rsidP="00857B4F" w:rsidRDefault="00EE057F" w14:paraId="01EF4876" w14:textId="77777777">
      <w:pPr>
        <w:pStyle w:val="ListParagraph"/>
        <w:widowControl w:val="0"/>
        <w:numPr>
          <w:ilvl w:val="0"/>
          <w:numId w:val="32"/>
        </w:numPr>
        <w:tabs>
          <w:tab w:val="left" w:pos="839"/>
          <w:tab w:val="left" w:pos="840"/>
        </w:tabs>
        <w:autoSpaceDE w:val="0"/>
        <w:autoSpaceDN w:val="0"/>
        <w:spacing w:after="0" w:line="240" w:lineRule="auto"/>
        <w:contextualSpacing w:val="0"/>
      </w:pPr>
      <w:r>
        <w:t>Trustee,</w:t>
      </w:r>
      <w:r>
        <w:rPr>
          <w:spacing w:val="-8"/>
        </w:rPr>
        <w:t xml:space="preserve"> </w:t>
      </w:r>
      <w:r>
        <w:t>Registrar</w:t>
      </w:r>
      <w:r>
        <w:rPr>
          <w:spacing w:val="-9"/>
        </w:rPr>
        <w:t xml:space="preserve"> </w:t>
      </w:r>
      <w:r>
        <w:t>or</w:t>
      </w:r>
      <w:r>
        <w:rPr>
          <w:spacing w:val="-9"/>
        </w:rPr>
        <w:t xml:space="preserve"> </w:t>
      </w:r>
      <w:r>
        <w:t>Paying</w:t>
      </w:r>
      <w:r>
        <w:rPr>
          <w:spacing w:val="-9"/>
        </w:rPr>
        <w:t xml:space="preserve"> </w:t>
      </w:r>
      <w:r>
        <w:rPr>
          <w:spacing w:val="-2"/>
        </w:rPr>
        <w:t>Agent</w:t>
      </w:r>
    </w:p>
    <w:p w:rsidR="00EE057F" w:rsidP="00857B4F" w:rsidRDefault="00EE057F" w14:paraId="53BB8BD7" w14:textId="160A8C46">
      <w:pPr>
        <w:pStyle w:val="ListParagraph"/>
        <w:widowControl w:val="0"/>
        <w:numPr>
          <w:ilvl w:val="1"/>
          <w:numId w:val="32"/>
        </w:numPr>
        <w:tabs>
          <w:tab w:val="left" w:pos="1560"/>
        </w:tabs>
        <w:autoSpaceDE w:val="0"/>
        <w:autoSpaceDN w:val="0"/>
        <w:spacing w:before="3" w:after="0" w:line="237" w:lineRule="auto"/>
        <w:ind w:right="486"/>
        <w:contextualSpacing w:val="0"/>
      </w:pPr>
      <w:r>
        <w:t>Roles and Responsibilities: Fiduciary, establishes and maintains funds and accounts and funds required by the indenture, sends payments as required by the indenture, holds investments as directed, regist</w:t>
      </w:r>
      <w:r w:rsidR="000751F8">
        <w:t>ers</w:t>
      </w:r>
      <w:r>
        <w:t xml:space="preserve"> owners of the bonds. Ensures the enforcement of a bond indenture and ensures that </w:t>
      </w:r>
      <w:r w:rsidR="00337DCC">
        <w:t>debt</w:t>
      </w:r>
      <w:r w:rsidR="00E963C9">
        <w:t xml:space="preserve"> </w:t>
      </w:r>
      <w:r>
        <w:t>interest and principal</w:t>
      </w:r>
      <w:r>
        <w:rPr>
          <w:spacing w:val="-4"/>
        </w:rPr>
        <w:t xml:space="preserve"> </w:t>
      </w:r>
      <w:r>
        <w:t>payments</w:t>
      </w:r>
      <w:r>
        <w:rPr>
          <w:spacing w:val="-2"/>
        </w:rPr>
        <w:t xml:space="preserve"> </w:t>
      </w:r>
      <w:r>
        <w:t>are</w:t>
      </w:r>
      <w:r>
        <w:rPr>
          <w:spacing w:val="-4"/>
        </w:rPr>
        <w:t xml:space="preserve"> </w:t>
      </w:r>
      <w:r>
        <w:t>made</w:t>
      </w:r>
      <w:r>
        <w:rPr>
          <w:spacing w:val="-4"/>
        </w:rPr>
        <w:t xml:space="preserve"> </w:t>
      </w:r>
      <w:r>
        <w:t>as</w:t>
      </w:r>
      <w:r>
        <w:rPr>
          <w:spacing w:val="-4"/>
        </w:rPr>
        <w:t xml:space="preserve"> </w:t>
      </w:r>
      <w:r>
        <w:t>scheduled.</w:t>
      </w:r>
      <w:r>
        <w:rPr>
          <w:spacing w:val="-3"/>
        </w:rPr>
        <w:t xml:space="preserve"> </w:t>
      </w:r>
      <w:r>
        <w:t>Protects</w:t>
      </w:r>
      <w:r>
        <w:rPr>
          <w:spacing w:val="-4"/>
        </w:rPr>
        <w:t xml:space="preserve"> </w:t>
      </w:r>
      <w:r>
        <w:t>the</w:t>
      </w:r>
      <w:r>
        <w:rPr>
          <w:spacing w:val="-3"/>
        </w:rPr>
        <w:t xml:space="preserve"> </w:t>
      </w:r>
      <w:r>
        <w:t>interests</w:t>
      </w:r>
      <w:r>
        <w:rPr>
          <w:spacing w:val="-4"/>
        </w:rPr>
        <w:t xml:space="preserve"> </w:t>
      </w:r>
      <w:r>
        <w:t>of</w:t>
      </w:r>
      <w:r>
        <w:rPr>
          <w:spacing w:val="-4"/>
        </w:rPr>
        <w:t xml:space="preserve"> </w:t>
      </w:r>
      <w:r>
        <w:t>the</w:t>
      </w:r>
      <w:r>
        <w:rPr>
          <w:spacing w:val="-3"/>
        </w:rPr>
        <w:t xml:space="preserve"> </w:t>
      </w:r>
      <w:r>
        <w:t>bond</w:t>
      </w:r>
      <w:r>
        <w:rPr>
          <w:spacing w:val="-3"/>
        </w:rPr>
        <w:t xml:space="preserve"> </w:t>
      </w:r>
      <w:r>
        <w:t>holder</w:t>
      </w:r>
      <w:r w:rsidR="00337DCC">
        <w:t>/lender</w:t>
      </w:r>
      <w:r>
        <w:rPr>
          <w:spacing w:val="-4"/>
        </w:rPr>
        <w:t xml:space="preserve"> </w:t>
      </w:r>
      <w:r>
        <w:t>in the event of default by the borrower.</w:t>
      </w:r>
    </w:p>
    <w:p w:rsidRPr="005D18E6" w:rsidR="00EE057F" w:rsidP="00857B4F" w:rsidRDefault="00C40DA4" w14:paraId="5CF0A10E" w14:textId="68AD02A1">
      <w:pPr>
        <w:pStyle w:val="ListParagraph"/>
        <w:widowControl w:val="0"/>
        <w:numPr>
          <w:ilvl w:val="1"/>
          <w:numId w:val="32"/>
        </w:numPr>
        <w:tabs>
          <w:tab w:val="left" w:pos="1560"/>
        </w:tabs>
        <w:autoSpaceDE w:val="0"/>
        <w:autoSpaceDN w:val="0"/>
        <w:spacing w:before="3" w:after="0" w:line="237" w:lineRule="auto"/>
        <w:ind w:right="486"/>
        <w:contextualSpacing w:val="0"/>
      </w:pPr>
      <w:r>
        <w:t>May a</w:t>
      </w:r>
      <w:r w:rsidR="00EE057F">
        <w:t>ssist Borrower and Issuer in complying with certain covenants. Calculates and files arbitrage rebate returns (for tax-exempt transactions).</w:t>
      </w:r>
      <w:r>
        <w:t xml:space="preserve"> This function may also be performed by a separate consultant retained by the borrower.</w:t>
      </w:r>
    </w:p>
    <w:p w:rsidRPr="009A66DB" w:rsidR="00EE057F" w:rsidP="00857B4F" w:rsidRDefault="00EE057F" w14:paraId="165F80C9" w14:textId="77777777">
      <w:pPr>
        <w:pStyle w:val="ListParagraph"/>
        <w:widowControl w:val="0"/>
        <w:numPr>
          <w:ilvl w:val="0"/>
          <w:numId w:val="32"/>
        </w:numPr>
        <w:tabs>
          <w:tab w:val="left" w:pos="839"/>
          <w:tab w:val="left" w:pos="840"/>
        </w:tabs>
        <w:autoSpaceDE w:val="0"/>
        <w:autoSpaceDN w:val="0"/>
        <w:spacing w:before="2" w:after="0" w:line="240" w:lineRule="auto"/>
        <w:contextualSpacing w:val="0"/>
      </w:pPr>
      <w:r>
        <w:rPr>
          <w:spacing w:val="-2"/>
        </w:rPr>
        <w:t>Underwriter</w:t>
      </w:r>
    </w:p>
    <w:p w:rsidR="00EE057F" w:rsidP="00857B4F" w:rsidRDefault="00EE057F" w14:paraId="68DC6BAB" w14:textId="245F4D88">
      <w:pPr>
        <w:pStyle w:val="ListParagraph"/>
        <w:widowControl w:val="0"/>
        <w:numPr>
          <w:ilvl w:val="1"/>
          <w:numId w:val="32"/>
        </w:numPr>
        <w:tabs>
          <w:tab w:val="left" w:pos="839"/>
          <w:tab w:val="left" w:pos="840"/>
        </w:tabs>
        <w:autoSpaceDE w:val="0"/>
        <w:autoSpaceDN w:val="0"/>
        <w:spacing w:before="2" w:after="0" w:line="240" w:lineRule="auto"/>
        <w:contextualSpacing w:val="0"/>
      </w:pPr>
      <w:r>
        <w:t>Roles</w:t>
      </w:r>
      <w:r>
        <w:rPr>
          <w:spacing w:val="-13"/>
        </w:rPr>
        <w:t xml:space="preserve"> </w:t>
      </w:r>
      <w:r>
        <w:t>and</w:t>
      </w:r>
      <w:r>
        <w:rPr>
          <w:spacing w:val="-11"/>
        </w:rPr>
        <w:t xml:space="preserve"> </w:t>
      </w:r>
      <w:r>
        <w:t>Responsibilities:</w:t>
      </w:r>
      <w:r>
        <w:rPr>
          <w:spacing w:val="-12"/>
        </w:rPr>
        <w:t xml:space="preserve"> </w:t>
      </w:r>
      <w:r>
        <w:t>Underwrites the</w:t>
      </w:r>
      <w:r>
        <w:rPr>
          <w:spacing w:val="-11"/>
        </w:rPr>
        <w:t xml:space="preserve"> </w:t>
      </w:r>
      <w:r>
        <w:t>debt</w:t>
      </w:r>
      <w:r>
        <w:rPr>
          <w:spacing w:val="-12"/>
        </w:rPr>
        <w:t xml:space="preserve"> </w:t>
      </w:r>
      <w:r>
        <w:rPr>
          <w:spacing w:val="-2"/>
        </w:rPr>
        <w:t>issuance by purchasing the bonds and selling them to bond investors (in a publicly sold transaction)</w:t>
      </w:r>
      <w:r w:rsidR="009240FB">
        <w:rPr>
          <w:spacing w:val="-2"/>
        </w:rPr>
        <w:t>. May also serve as placement agent in a direct purchase transaction.</w:t>
      </w:r>
    </w:p>
    <w:p w:rsidR="0021306C" w:rsidP="00857B4F" w:rsidRDefault="00EE057F" w14:paraId="5B7AC9AA" w14:textId="77777777">
      <w:pPr>
        <w:pStyle w:val="ListParagraph"/>
        <w:widowControl w:val="0"/>
        <w:numPr>
          <w:ilvl w:val="0"/>
          <w:numId w:val="32"/>
        </w:numPr>
        <w:tabs>
          <w:tab w:val="left" w:pos="839"/>
          <w:tab w:val="left" w:pos="840"/>
        </w:tabs>
        <w:autoSpaceDE w:val="0"/>
        <w:autoSpaceDN w:val="0"/>
        <w:spacing w:before="2" w:after="0" w:line="240" w:lineRule="auto"/>
        <w:contextualSpacing w:val="0"/>
      </w:pPr>
      <w:r>
        <w:t>Lender</w:t>
      </w:r>
    </w:p>
    <w:p w:rsidRPr="00FA68C0" w:rsidR="00FA68C0" w:rsidP="00857B4F" w:rsidRDefault="00EE057F" w14:paraId="70CDDB56" w14:textId="2DB405DD">
      <w:pPr>
        <w:pStyle w:val="ListParagraph"/>
        <w:widowControl w:val="0"/>
        <w:numPr>
          <w:ilvl w:val="1"/>
          <w:numId w:val="32"/>
        </w:numPr>
        <w:tabs>
          <w:tab w:val="left" w:pos="839"/>
          <w:tab w:val="left" w:pos="840"/>
        </w:tabs>
        <w:autoSpaceDE w:val="0"/>
        <w:autoSpaceDN w:val="0"/>
        <w:spacing w:before="2" w:after="0" w:line="240" w:lineRule="auto"/>
        <w:contextualSpacing w:val="0"/>
      </w:pPr>
      <w:r>
        <w:t>Roles</w:t>
      </w:r>
      <w:r w:rsidRPr="0021306C">
        <w:rPr>
          <w:spacing w:val="-13"/>
        </w:rPr>
        <w:t xml:space="preserve"> </w:t>
      </w:r>
      <w:r>
        <w:t>and</w:t>
      </w:r>
      <w:r w:rsidRPr="0021306C">
        <w:rPr>
          <w:spacing w:val="-11"/>
        </w:rPr>
        <w:t xml:space="preserve"> </w:t>
      </w:r>
      <w:r>
        <w:t>Responsibilities: Typically, a</w:t>
      </w:r>
      <w:r w:rsidR="0021306C">
        <w:t>n institutional investor or</w:t>
      </w:r>
      <w:r>
        <w:t xml:space="preserve"> commercial bank that makes a loan that is evidenced by the Municipal Bond issued by an Issuer, the proceeds of which are lent to the Borrower. This is typically referred to as</w:t>
      </w:r>
      <w:r w:rsidR="0021306C">
        <w:t xml:space="preserve"> </w:t>
      </w:r>
      <w:r w:rsidR="00903B63">
        <w:t>a negotiated</w:t>
      </w:r>
      <w:r w:rsidR="0021306C">
        <w:t xml:space="preserve"> sale or</w:t>
      </w:r>
      <w:r>
        <w:t xml:space="preserve"> private placement.</w:t>
      </w:r>
    </w:p>
    <w:p w:rsidR="006F1C29" w:rsidP="00B70CAC" w:rsidRDefault="006F1C29" w14:paraId="08A708EA" w14:textId="6BEB855A">
      <w:pPr>
        <w:pStyle w:val="Heading1"/>
        <w:numPr>
          <w:ilvl w:val="0"/>
          <w:numId w:val="7"/>
        </w:numPr>
        <w:rPr>
          <w:rFonts w:eastAsia="Calibri"/>
        </w:rPr>
      </w:pPr>
      <w:bookmarkStart w:name="_Toc149134311" w:id="8"/>
      <w:r>
        <w:rPr>
          <w:rFonts w:eastAsia="Calibri"/>
        </w:rPr>
        <w:t>Eligible Entities</w:t>
      </w:r>
      <w:bookmarkEnd w:id="8"/>
    </w:p>
    <w:p w:rsidR="00F96CCC" w:rsidP="00F96CCC" w:rsidRDefault="00F96CCC" w14:paraId="78727741" w14:textId="4AC0AE91">
      <w:pPr>
        <w:pStyle w:val="BodyText"/>
        <w:spacing w:before="31" w:line="259" w:lineRule="auto"/>
        <w:ind w:left="360"/>
      </w:pPr>
      <w:r>
        <w:t>Entities</w:t>
      </w:r>
      <w:r>
        <w:rPr>
          <w:spacing w:val="-4"/>
        </w:rPr>
        <w:t xml:space="preserve"> </w:t>
      </w:r>
      <w:r>
        <w:t>eligible</w:t>
      </w:r>
      <w:r>
        <w:rPr>
          <w:spacing w:val="-4"/>
        </w:rPr>
        <w:t xml:space="preserve"> </w:t>
      </w:r>
      <w:r>
        <w:t>to</w:t>
      </w:r>
      <w:r>
        <w:rPr>
          <w:spacing w:val="-2"/>
        </w:rPr>
        <w:t xml:space="preserve"> </w:t>
      </w:r>
      <w:r>
        <w:t>participate</w:t>
      </w:r>
      <w:r>
        <w:rPr>
          <w:spacing w:val="-4"/>
        </w:rPr>
        <w:t xml:space="preserve"> </w:t>
      </w:r>
      <w:r>
        <w:t>in</w:t>
      </w:r>
      <w:r>
        <w:rPr>
          <w:spacing w:val="-3"/>
        </w:rPr>
        <w:t xml:space="preserve"> </w:t>
      </w:r>
      <w:r>
        <w:t>the</w:t>
      </w:r>
      <w:r>
        <w:rPr>
          <w:spacing w:val="-4"/>
        </w:rPr>
        <w:t xml:space="preserve"> </w:t>
      </w:r>
      <w:r>
        <w:t>LLP</w:t>
      </w:r>
      <w:r>
        <w:rPr>
          <w:spacing w:val="-4"/>
        </w:rPr>
        <w:t xml:space="preserve"> </w:t>
      </w:r>
      <w:r>
        <w:t>are</w:t>
      </w:r>
      <w:r>
        <w:rPr>
          <w:spacing w:val="-3"/>
        </w:rPr>
        <w:t xml:space="preserve"> </w:t>
      </w:r>
      <w:r>
        <w:t>nonprofit</w:t>
      </w:r>
      <w:r>
        <w:rPr>
          <w:spacing w:val="-5"/>
        </w:rPr>
        <w:t xml:space="preserve"> </w:t>
      </w:r>
      <w:r>
        <w:t>organizations</w:t>
      </w:r>
      <w:r>
        <w:rPr>
          <w:spacing w:val="-4"/>
        </w:rPr>
        <w:t xml:space="preserve"> </w:t>
      </w:r>
      <w:r>
        <w:t>or</w:t>
      </w:r>
      <w:r>
        <w:rPr>
          <w:spacing w:val="-4"/>
        </w:rPr>
        <w:t xml:space="preserve"> </w:t>
      </w:r>
      <w:r>
        <w:t>local</w:t>
      </w:r>
      <w:r>
        <w:rPr>
          <w:spacing w:val="-4"/>
        </w:rPr>
        <w:t xml:space="preserve"> </w:t>
      </w:r>
      <w:r>
        <w:t>government agencies as defined in Government Code Section 53167</w:t>
      </w:r>
      <w:r w:rsidR="00731A0C">
        <w:t>(e)</w:t>
      </w:r>
      <w:r w:rsidR="00E66DBF">
        <w:t xml:space="preserve"> </w:t>
      </w:r>
      <w:r>
        <w:t>including:</w:t>
      </w:r>
    </w:p>
    <w:p w:rsidR="00F96CCC" w:rsidP="00F96CCC" w:rsidRDefault="00F96CCC" w14:paraId="5A56010E" w14:textId="77777777">
      <w:pPr>
        <w:pStyle w:val="ListParagraph"/>
        <w:widowControl w:val="0"/>
        <w:numPr>
          <w:ilvl w:val="0"/>
          <w:numId w:val="10"/>
        </w:numPr>
        <w:tabs>
          <w:tab w:val="left" w:pos="839"/>
          <w:tab w:val="left" w:pos="840"/>
        </w:tabs>
        <w:autoSpaceDE w:val="0"/>
        <w:autoSpaceDN w:val="0"/>
        <w:spacing w:before="180" w:after="0" w:line="280" w:lineRule="exact"/>
        <w:ind w:hanging="361"/>
        <w:contextualSpacing w:val="0"/>
      </w:pPr>
      <w:r>
        <w:t>a</w:t>
      </w:r>
      <w:r>
        <w:rPr>
          <w:spacing w:val="-3"/>
        </w:rPr>
        <w:t xml:space="preserve"> </w:t>
      </w:r>
      <w:r>
        <w:rPr>
          <w:spacing w:val="-4"/>
        </w:rPr>
        <w:t>city.</w:t>
      </w:r>
    </w:p>
    <w:p w:rsidR="00F96CCC" w:rsidP="00F96CCC" w:rsidRDefault="00F96CCC" w14:paraId="30736D73" w14:textId="77777777">
      <w:pPr>
        <w:pStyle w:val="ListParagraph"/>
        <w:widowControl w:val="0"/>
        <w:numPr>
          <w:ilvl w:val="0"/>
          <w:numId w:val="10"/>
        </w:numPr>
        <w:tabs>
          <w:tab w:val="left" w:pos="840"/>
          <w:tab w:val="left" w:pos="841"/>
        </w:tabs>
        <w:autoSpaceDE w:val="0"/>
        <w:autoSpaceDN w:val="0"/>
        <w:spacing w:after="0" w:line="280" w:lineRule="exact"/>
        <w:ind w:left="840" w:hanging="361"/>
        <w:contextualSpacing w:val="0"/>
      </w:pPr>
      <w:r>
        <w:t>a</w:t>
      </w:r>
      <w:r>
        <w:rPr>
          <w:spacing w:val="-8"/>
        </w:rPr>
        <w:t xml:space="preserve"> </w:t>
      </w:r>
      <w:r>
        <w:t>county,</w:t>
      </w:r>
      <w:r>
        <w:rPr>
          <w:spacing w:val="-6"/>
        </w:rPr>
        <w:t xml:space="preserve"> </w:t>
      </w:r>
      <w:r>
        <w:t>including</w:t>
      </w:r>
      <w:r>
        <w:rPr>
          <w:spacing w:val="-7"/>
        </w:rPr>
        <w:t xml:space="preserve"> </w:t>
      </w:r>
      <w:r>
        <w:t>a</w:t>
      </w:r>
      <w:r>
        <w:rPr>
          <w:spacing w:val="-6"/>
        </w:rPr>
        <w:t xml:space="preserve"> </w:t>
      </w:r>
      <w:r>
        <w:t>county</w:t>
      </w:r>
      <w:r>
        <w:rPr>
          <w:spacing w:val="-7"/>
        </w:rPr>
        <w:t xml:space="preserve"> </w:t>
      </w:r>
      <w:r>
        <w:t>service</w:t>
      </w:r>
      <w:r>
        <w:rPr>
          <w:spacing w:val="-8"/>
        </w:rPr>
        <w:t xml:space="preserve"> </w:t>
      </w:r>
      <w:r>
        <w:rPr>
          <w:spacing w:val="-4"/>
        </w:rPr>
        <w:t>area.</w:t>
      </w:r>
    </w:p>
    <w:p w:rsidR="00F96CCC" w:rsidP="00F96CCC" w:rsidRDefault="00F96CCC" w14:paraId="573A95D0" w14:textId="77777777">
      <w:pPr>
        <w:pStyle w:val="ListParagraph"/>
        <w:widowControl w:val="0"/>
        <w:numPr>
          <w:ilvl w:val="0"/>
          <w:numId w:val="10"/>
        </w:numPr>
        <w:tabs>
          <w:tab w:val="left" w:pos="839"/>
          <w:tab w:val="left" w:pos="840"/>
        </w:tabs>
        <w:autoSpaceDE w:val="0"/>
        <w:autoSpaceDN w:val="0"/>
        <w:spacing w:before="1" w:after="0" w:line="240" w:lineRule="auto"/>
        <w:contextualSpacing w:val="0"/>
      </w:pPr>
      <w:r>
        <w:t>a</w:t>
      </w:r>
      <w:r>
        <w:rPr>
          <w:spacing w:val="-10"/>
        </w:rPr>
        <w:t xml:space="preserve"> </w:t>
      </w:r>
      <w:r>
        <w:t>community</w:t>
      </w:r>
      <w:r>
        <w:rPr>
          <w:spacing w:val="-7"/>
        </w:rPr>
        <w:t xml:space="preserve"> </w:t>
      </w:r>
      <w:r>
        <w:t>service</w:t>
      </w:r>
      <w:r>
        <w:rPr>
          <w:spacing w:val="-10"/>
        </w:rPr>
        <w:t xml:space="preserve"> </w:t>
      </w:r>
      <w:r>
        <w:rPr>
          <w:spacing w:val="-2"/>
        </w:rPr>
        <w:t>district.</w:t>
      </w:r>
    </w:p>
    <w:p w:rsidR="00F96CCC" w:rsidP="00F96CCC" w:rsidRDefault="00F96CCC" w14:paraId="7D923FE0" w14:textId="77777777">
      <w:pPr>
        <w:pStyle w:val="ListParagraph"/>
        <w:widowControl w:val="0"/>
        <w:numPr>
          <w:ilvl w:val="0"/>
          <w:numId w:val="10"/>
        </w:numPr>
        <w:tabs>
          <w:tab w:val="left" w:pos="839"/>
          <w:tab w:val="left" w:pos="840"/>
        </w:tabs>
        <w:autoSpaceDE w:val="0"/>
        <w:autoSpaceDN w:val="0"/>
        <w:spacing w:after="0" w:line="280" w:lineRule="exact"/>
        <w:contextualSpacing w:val="0"/>
      </w:pPr>
      <w:r>
        <w:t>a</w:t>
      </w:r>
      <w:r>
        <w:rPr>
          <w:spacing w:val="-6"/>
        </w:rPr>
        <w:t xml:space="preserve"> </w:t>
      </w:r>
      <w:r>
        <w:t>public</w:t>
      </w:r>
      <w:r>
        <w:rPr>
          <w:spacing w:val="-5"/>
        </w:rPr>
        <w:t xml:space="preserve"> </w:t>
      </w:r>
      <w:r>
        <w:t>utility</w:t>
      </w:r>
      <w:r>
        <w:rPr>
          <w:spacing w:val="-6"/>
        </w:rPr>
        <w:t xml:space="preserve"> </w:t>
      </w:r>
      <w:r>
        <w:rPr>
          <w:spacing w:val="-2"/>
        </w:rPr>
        <w:t>district.</w:t>
      </w:r>
    </w:p>
    <w:p w:rsidR="00F96CCC" w:rsidP="00F96CCC" w:rsidRDefault="00F96CCC" w14:paraId="6EA9631E" w14:textId="77777777">
      <w:pPr>
        <w:pStyle w:val="ListParagraph"/>
        <w:widowControl w:val="0"/>
        <w:numPr>
          <w:ilvl w:val="0"/>
          <w:numId w:val="10"/>
        </w:numPr>
        <w:tabs>
          <w:tab w:val="left" w:pos="839"/>
          <w:tab w:val="left" w:pos="840"/>
        </w:tabs>
        <w:autoSpaceDE w:val="0"/>
        <w:autoSpaceDN w:val="0"/>
        <w:spacing w:after="0" w:line="280" w:lineRule="exact"/>
        <w:ind w:hanging="361"/>
        <w:contextualSpacing w:val="0"/>
      </w:pPr>
      <w:r>
        <w:t>a</w:t>
      </w:r>
      <w:r>
        <w:rPr>
          <w:spacing w:val="-9"/>
        </w:rPr>
        <w:t xml:space="preserve"> </w:t>
      </w:r>
      <w:r>
        <w:t>municipal</w:t>
      </w:r>
      <w:r>
        <w:rPr>
          <w:spacing w:val="-8"/>
        </w:rPr>
        <w:t xml:space="preserve"> </w:t>
      </w:r>
      <w:r>
        <w:t>utility</w:t>
      </w:r>
      <w:r>
        <w:rPr>
          <w:spacing w:val="-7"/>
        </w:rPr>
        <w:t xml:space="preserve"> </w:t>
      </w:r>
      <w:r>
        <w:rPr>
          <w:spacing w:val="-2"/>
        </w:rPr>
        <w:t>district.</w:t>
      </w:r>
    </w:p>
    <w:p w:rsidR="00F96CCC" w:rsidP="00F96CCC" w:rsidRDefault="00F96CCC" w14:paraId="734C61B8" w14:textId="77777777">
      <w:pPr>
        <w:pStyle w:val="ListParagraph"/>
        <w:widowControl w:val="0"/>
        <w:numPr>
          <w:ilvl w:val="0"/>
          <w:numId w:val="10"/>
        </w:numPr>
        <w:tabs>
          <w:tab w:val="left" w:pos="839"/>
          <w:tab w:val="left" w:pos="840"/>
        </w:tabs>
        <w:autoSpaceDE w:val="0"/>
        <w:autoSpaceDN w:val="0"/>
        <w:spacing w:before="1" w:after="0" w:line="280" w:lineRule="exact"/>
        <w:ind w:hanging="361"/>
        <w:contextualSpacing w:val="0"/>
      </w:pPr>
      <w:r>
        <w:t>a</w:t>
      </w:r>
      <w:r>
        <w:rPr>
          <w:spacing w:val="-6"/>
        </w:rPr>
        <w:t xml:space="preserve"> </w:t>
      </w:r>
      <w:r>
        <w:t>joint</w:t>
      </w:r>
      <w:r>
        <w:rPr>
          <w:spacing w:val="-6"/>
        </w:rPr>
        <w:t xml:space="preserve"> </w:t>
      </w:r>
      <w:r>
        <w:t>powers</w:t>
      </w:r>
      <w:r>
        <w:rPr>
          <w:spacing w:val="-6"/>
        </w:rPr>
        <w:t xml:space="preserve"> </w:t>
      </w:r>
      <w:r>
        <w:rPr>
          <w:spacing w:val="-2"/>
        </w:rPr>
        <w:t>authority.</w:t>
      </w:r>
    </w:p>
    <w:p w:rsidR="00F96CCC" w:rsidP="4E875F7F" w:rsidRDefault="00F96CCC" w14:paraId="544DB85E" w14:textId="5CF5D9CC">
      <w:pPr>
        <w:pStyle w:val="ListParagraph"/>
        <w:widowControl w:val="0"/>
        <w:numPr>
          <w:ilvl w:val="0"/>
          <w:numId w:val="10"/>
        </w:numPr>
        <w:tabs>
          <w:tab w:val="left" w:pos="839"/>
          <w:tab w:val="left" w:pos="840"/>
        </w:tabs>
        <w:autoSpaceDE w:val="0"/>
        <w:autoSpaceDN w:val="0"/>
        <w:spacing w:after="0" w:line="280" w:lineRule="exact"/>
        <w:ind w:hanging="361"/>
      </w:pPr>
      <w:r>
        <w:t>a</w:t>
      </w:r>
      <w:r>
        <w:rPr>
          <w:spacing w:val="-8"/>
        </w:rPr>
        <w:t xml:space="preserve"> </w:t>
      </w:r>
      <w:r>
        <w:t>local</w:t>
      </w:r>
      <w:r>
        <w:rPr>
          <w:spacing w:val="-8"/>
        </w:rPr>
        <w:t xml:space="preserve"> </w:t>
      </w:r>
      <w:r>
        <w:t>educational</w:t>
      </w:r>
      <w:r>
        <w:rPr>
          <w:spacing w:val="-8"/>
        </w:rPr>
        <w:t xml:space="preserve"> </w:t>
      </w:r>
      <w:r>
        <w:t>agency,</w:t>
      </w:r>
      <w:r>
        <w:rPr>
          <w:spacing w:val="-8"/>
        </w:rPr>
        <w:t xml:space="preserve"> </w:t>
      </w:r>
      <w:r>
        <w:t>as</w:t>
      </w:r>
      <w:r>
        <w:rPr>
          <w:spacing w:val="-8"/>
        </w:rPr>
        <w:t xml:space="preserve"> </w:t>
      </w:r>
      <w:r>
        <w:t>defined</w:t>
      </w:r>
      <w:r>
        <w:rPr>
          <w:spacing w:val="-8"/>
        </w:rPr>
        <w:t xml:space="preserve"> </w:t>
      </w:r>
      <w:r>
        <w:t>by</w:t>
      </w:r>
      <w:r>
        <w:rPr>
          <w:spacing w:val="-8"/>
        </w:rPr>
        <w:t xml:space="preserve"> </w:t>
      </w:r>
      <w:r>
        <w:t>Education</w:t>
      </w:r>
      <w:r>
        <w:rPr>
          <w:spacing w:val="-7"/>
        </w:rPr>
        <w:t xml:space="preserve"> </w:t>
      </w:r>
      <w:r>
        <w:t>Code</w:t>
      </w:r>
      <w:r>
        <w:rPr>
          <w:spacing w:val="-8"/>
        </w:rPr>
        <w:t xml:space="preserve"> </w:t>
      </w:r>
      <w:r w:rsidR="6A653D0F">
        <w:t>S</w:t>
      </w:r>
      <w:r>
        <w:t>ection</w:t>
      </w:r>
      <w:r>
        <w:rPr>
          <w:spacing w:val="-8"/>
        </w:rPr>
        <w:t xml:space="preserve"> </w:t>
      </w:r>
      <w:r>
        <w:rPr>
          <w:spacing w:val="-2"/>
        </w:rPr>
        <w:t>47640.</w:t>
      </w:r>
    </w:p>
    <w:p w:rsidR="00F96CCC" w:rsidP="4E875F7F" w:rsidRDefault="00F96CCC" w14:paraId="44A6D6F9" w14:textId="68CD398A">
      <w:pPr>
        <w:pStyle w:val="ListParagraph"/>
        <w:widowControl w:val="0"/>
        <w:numPr>
          <w:ilvl w:val="0"/>
          <w:numId w:val="10"/>
        </w:numPr>
        <w:tabs>
          <w:tab w:val="left" w:pos="839"/>
          <w:tab w:val="left" w:pos="840"/>
        </w:tabs>
        <w:autoSpaceDE w:val="0"/>
        <w:autoSpaceDN w:val="0"/>
        <w:spacing w:before="1" w:after="0" w:line="240" w:lineRule="auto"/>
        <w:ind w:hanging="361"/>
      </w:pPr>
      <w:r>
        <w:t>a</w:t>
      </w:r>
      <w:r>
        <w:rPr>
          <w:spacing w:val="-9"/>
        </w:rPr>
        <w:t xml:space="preserve"> </w:t>
      </w:r>
      <w:r>
        <w:t>sovereign</w:t>
      </w:r>
      <w:r w:rsidR="00786947">
        <w:t xml:space="preserve"> </w:t>
      </w:r>
      <w:r w:rsidR="00DE31C8">
        <w:t>T</w:t>
      </w:r>
      <w:r>
        <w:t>ribal</w:t>
      </w:r>
      <w:r>
        <w:rPr>
          <w:spacing w:val="-9"/>
        </w:rPr>
        <w:t xml:space="preserve"> </w:t>
      </w:r>
      <w:r>
        <w:t>government,</w:t>
      </w:r>
      <w:r>
        <w:rPr>
          <w:spacing w:val="-8"/>
        </w:rPr>
        <w:t xml:space="preserve"> </w:t>
      </w:r>
      <w:r>
        <w:t>as</w:t>
      </w:r>
      <w:r>
        <w:rPr>
          <w:spacing w:val="-9"/>
        </w:rPr>
        <w:t xml:space="preserve"> </w:t>
      </w:r>
      <w:r>
        <w:t>defined</w:t>
      </w:r>
      <w:r>
        <w:rPr>
          <w:spacing w:val="-8"/>
        </w:rPr>
        <w:t xml:space="preserve"> </w:t>
      </w:r>
      <w:r>
        <w:rPr>
          <w:spacing w:val="-2"/>
        </w:rPr>
        <w:t>above.</w:t>
      </w:r>
    </w:p>
    <w:p w:rsidRPr="00F31C2C" w:rsidR="00F96CCC" w:rsidP="4E875F7F" w:rsidRDefault="00F96CCC" w14:paraId="4F91ECB7" w14:textId="24255FBE">
      <w:pPr>
        <w:pStyle w:val="ListParagraph"/>
        <w:widowControl w:val="0"/>
        <w:numPr>
          <w:ilvl w:val="0"/>
          <w:numId w:val="10"/>
        </w:numPr>
        <w:tabs>
          <w:tab w:val="left" w:pos="839"/>
          <w:tab w:val="left" w:pos="840"/>
        </w:tabs>
        <w:autoSpaceDE w:val="0"/>
        <w:autoSpaceDN w:val="0"/>
        <w:spacing w:after="0" w:line="240" w:lineRule="auto"/>
        <w:ind w:hanging="361"/>
      </w:pPr>
      <w:r>
        <w:t>an</w:t>
      </w:r>
      <w:r>
        <w:rPr>
          <w:spacing w:val="-9"/>
        </w:rPr>
        <w:t xml:space="preserve"> </w:t>
      </w:r>
      <w:r>
        <w:t>electrical</w:t>
      </w:r>
      <w:r>
        <w:rPr>
          <w:spacing w:val="-9"/>
        </w:rPr>
        <w:t xml:space="preserve"> </w:t>
      </w:r>
      <w:r>
        <w:t>cooperative</w:t>
      </w:r>
      <w:r>
        <w:rPr>
          <w:spacing w:val="-9"/>
        </w:rPr>
        <w:t xml:space="preserve"> </w:t>
      </w:r>
      <w:r>
        <w:t>as</w:t>
      </w:r>
      <w:r>
        <w:rPr>
          <w:spacing w:val="-9"/>
        </w:rPr>
        <w:t xml:space="preserve"> </w:t>
      </w:r>
      <w:r>
        <w:t>defined</w:t>
      </w:r>
      <w:r>
        <w:rPr>
          <w:spacing w:val="-8"/>
        </w:rPr>
        <w:t xml:space="preserve"> </w:t>
      </w:r>
      <w:r>
        <w:t>by</w:t>
      </w:r>
      <w:r>
        <w:rPr>
          <w:spacing w:val="-9"/>
        </w:rPr>
        <w:t xml:space="preserve"> </w:t>
      </w:r>
      <w:r>
        <w:t>Public</w:t>
      </w:r>
      <w:r>
        <w:rPr>
          <w:spacing w:val="-8"/>
        </w:rPr>
        <w:t xml:space="preserve"> </w:t>
      </w:r>
      <w:r>
        <w:t>Utilities</w:t>
      </w:r>
      <w:r>
        <w:rPr>
          <w:spacing w:val="-7"/>
        </w:rPr>
        <w:t xml:space="preserve"> </w:t>
      </w:r>
      <w:r>
        <w:t>Code</w:t>
      </w:r>
      <w:r>
        <w:rPr>
          <w:spacing w:val="-9"/>
        </w:rPr>
        <w:t xml:space="preserve"> </w:t>
      </w:r>
      <w:r w:rsidR="1E56E69B">
        <w:t>S</w:t>
      </w:r>
      <w:r>
        <w:t>ection</w:t>
      </w:r>
      <w:r>
        <w:rPr>
          <w:spacing w:val="-7"/>
        </w:rPr>
        <w:t xml:space="preserve"> </w:t>
      </w:r>
      <w:r>
        <w:rPr>
          <w:spacing w:val="-4"/>
        </w:rPr>
        <w:t>2776.</w:t>
      </w:r>
    </w:p>
    <w:p w:rsidR="00F96CCC" w:rsidP="00F96CCC" w:rsidRDefault="00F96CCC" w14:paraId="2C3315A7" w14:textId="77777777">
      <w:pPr>
        <w:tabs>
          <w:tab w:val="left" w:pos="839"/>
          <w:tab w:val="left" w:pos="840"/>
        </w:tabs>
      </w:pPr>
    </w:p>
    <w:p w:rsidRPr="00F96CCC" w:rsidR="00F96CCC" w:rsidP="00FF3EA9" w:rsidRDefault="00F96CCC" w14:paraId="3C1122D7" w14:textId="095364CA">
      <w:pPr>
        <w:tabs>
          <w:tab w:val="left" w:pos="839"/>
          <w:tab w:val="left" w:pos="840"/>
        </w:tabs>
        <w:ind w:left="360" w:right="100"/>
      </w:pPr>
      <w:r>
        <w:t>Privately-owned projects are not eligible for LLP support. Public-private partnerships are allowed, but infrastructure supported by the LLP must be owned by a public agency or non-profit.</w:t>
      </w:r>
    </w:p>
    <w:p w:rsidR="006F1C29" w:rsidP="00B70CAC" w:rsidRDefault="00996F39" w14:paraId="39A929DC" w14:textId="2A82C570">
      <w:pPr>
        <w:pStyle w:val="Heading1"/>
        <w:numPr>
          <w:ilvl w:val="0"/>
          <w:numId w:val="7"/>
        </w:numPr>
        <w:rPr>
          <w:rFonts w:eastAsia="Calibri"/>
        </w:rPr>
      </w:pPr>
      <w:bookmarkStart w:name="_Toc149134312" w:id="9"/>
      <w:r>
        <w:rPr>
          <w:rFonts w:eastAsia="Calibri"/>
        </w:rPr>
        <w:t>Loan Loss Program Credit Enhancement</w:t>
      </w:r>
      <w:bookmarkEnd w:id="9"/>
    </w:p>
    <w:p w:rsidR="00D33F19" w:rsidP="00E917F3" w:rsidRDefault="00E917F3" w14:paraId="03F6F027" w14:textId="50F7154F">
      <w:pPr>
        <w:pStyle w:val="BodyText"/>
        <w:spacing w:before="32" w:line="259" w:lineRule="auto"/>
        <w:ind w:left="360" w:right="336"/>
      </w:pPr>
      <w:r w:rsidRPr="00464920">
        <w:t>The</w:t>
      </w:r>
      <w:r w:rsidRPr="00464920">
        <w:rPr>
          <w:spacing w:val="-3"/>
        </w:rPr>
        <w:t xml:space="preserve"> </w:t>
      </w:r>
      <w:r>
        <w:t xml:space="preserve">LLP credit enhancement </w:t>
      </w:r>
      <w:r w:rsidR="00D851AA">
        <w:t>consists</w:t>
      </w:r>
      <w:r>
        <w:t xml:space="preserve"> of a Debt Service Reserve (DSR) supported by a </w:t>
      </w:r>
      <w:r w:rsidR="00F67EC7">
        <w:t>DSR Guarantee</w:t>
      </w:r>
      <w:r>
        <w:t xml:space="preserve"> </w:t>
      </w:r>
      <w:r w:rsidRPr="00464920">
        <w:t>that</w:t>
      </w:r>
      <w:r w:rsidRPr="00464920">
        <w:rPr>
          <w:spacing w:val="-2"/>
        </w:rPr>
        <w:t xml:space="preserve"> </w:t>
      </w:r>
      <w:r w:rsidRPr="00464920">
        <w:t>will</w:t>
      </w:r>
      <w:r w:rsidRPr="00464920">
        <w:rPr>
          <w:spacing w:val="-2"/>
        </w:rPr>
        <w:t xml:space="preserve"> </w:t>
      </w:r>
      <w:r w:rsidRPr="00464920">
        <w:t>be</w:t>
      </w:r>
      <w:r w:rsidRPr="00464920">
        <w:rPr>
          <w:spacing w:val="-1"/>
        </w:rPr>
        <w:t xml:space="preserve"> </w:t>
      </w:r>
      <w:r w:rsidRPr="00464920">
        <w:t>available</w:t>
      </w:r>
      <w:r w:rsidR="00695DEB">
        <w:t xml:space="preserve"> based on the </w:t>
      </w:r>
      <w:r w:rsidR="001208E7">
        <w:t>awardee</w:t>
      </w:r>
      <w:r w:rsidR="0061749C">
        <w:t>’</w:t>
      </w:r>
      <w:r w:rsidR="001208E7">
        <w:t>s</w:t>
      </w:r>
      <w:r w:rsidR="0064257D">
        <w:t xml:space="preserve"> CPUC</w:t>
      </w:r>
      <w:r w:rsidR="00695DEB">
        <w:t xml:space="preserve"> approved coverage levels</w:t>
      </w:r>
      <w:r w:rsidRPr="00464920">
        <w:t>.</w:t>
      </w:r>
      <w:r w:rsidR="00B50654">
        <w:t xml:space="preserve"> The LLP is not a broadband grant program.</w:t>
      </w:r>
      <w:r w:rsidRPr="00464920">
        <w:t xml:space="preserve"> The </w:t>
      </w:r>
      <w:r w:rsidRPr="00275759">
        <w:t>LLP</w:t>
      </w:r>
      <w:r>
        <w:t xml:space="preserve"> credit enhancement</w:t>
      </w:r>
      <w:r w:rsidRPr="00464920">
        <w:t xml:space="preserve"> will </w:t>
      </w:r>
      <w:r w:rsidRPr="00275759">
        <w:t xml:space="preserve">support broadband financing by issuing </w:t>
      </w:r>
      <w:r>
        <w:t>DSR</w:t>
      </w:r>
      <w:r w:rsidRPr="00275759">
        <w:t xml:space="preserve"> </w:t>
      </w:r>
      <w:r>
        <w:t xml:space="preserve">backstopped by the </w:t>
      </w:r>
      <w:r w:rsidR="0095002B">
        <w:t xml:space="preserve">approved </w:t>
      </w:r>
      <w:r w:rsidR="00411D7F">
        <w:t xml:space="preserve">reserved amount of </w:t>
      </w:r>
      <w:r w:rsidR="00B44178">
        <w:t>DSR Guarantee</w:t>
      </w:r>
      <w:r w:rsidRPr="00275759">
        <w:t xml:space="preserve"> to </w:t>
      </w:r>
      <w:r w:rsidR="004E4049">
        <w:t>t</w:t>
      </w:r>
      <w:r w:rsidRPr="00275759">
        <w:t xml:space="preserve">rustees on behalf of </w:t>
      </w:r>
      <w:r w:rsidRPr="00464920">
        <w:t xml:space="preserve">local government agencies, non-profits, and sovereign Tribal governments to support </w:t>
      </w:r>
      <w:r w:rsidRPr="00685D61">
        <w:t xml:space="preserve">broadband </w:t>
      </w:r>
      <w:r w:rsidR="004500C4">
        <w:t>eligible debt</w:t>
      </w:r>
      <w:r w:rsidRPr="00464920" w:rsidR="004500C4">
        <w:t xml:space="preserve"> </w:t>
      </w:r>
      <w:r w:rsidRPr="00464920">
        <w:t>issuance</w:t>
      </w:r>
      <w:r w:rsidRPr="00601954">
        <w:t xml:space="preserve">. </w:t>
      </w:r>
    </w:p>
    <w:p w:rsidR="001751F4" w:rsidP="00E917F3" w:rsidRDefault="001751F4" w14:paraId="425ABE8D" w14:textId="77777777">
      <w:pPr>
        <w:pStyle w:val="BodyText"/>
        <w:spacing w:before="32" w:line="259" w:lineRule="auto"/>
        <w:ind w:left="360" w:right="336"/>
      </w:pPr>
    </w:p>
    <w:p w:rsidR="00E917F3" w:rsidP="00E917F3" w:rsidRDefault="00E917F3" w14:paraId="0B605DF7" w14:textId="531A8C96">
      <w:pPr>
        <w:pStyle w:val="BodyText"/>
        <w:spacing w:before="32" w:line="259" w:lineRule="auto"/>
        <w:ind w:left="360" w:right="336"/>
      </w:pPr>
      <w:r w:rsidRPr="00601954">
        <w:t>If the debt is issued for the purpose of the development of broadband infrastructure,</w:t>
      </w:r>
      <w:r w:rsidRPr="00601954">
        <w:rPr>
          <w:spacing w:val="-4"/>
        </w:rPr>
        <w:t xml:space="preserve"> </w:t>
      </w:r>
      <w:r w:rsidRPr="00601954">
        <w:t>the</w:t>
      </w:r>
      <w:r w:rsidRPr="00601954">
        <w:rPr>
          <w:spacing w:val="-3"/>
        </w:rPr>
        <w:t xml:space="preserve"> </w:t>
      </w:r>
      <w:r w:rsidRPr="00601954" w:rsidDel="001208E7">
        <w:t>applicant</w:t>
      </w:r>
      <w:r w:rsidRPr="00601954" w:rsidDel="001208E7">
        <w:rPr>
          <w:spacing w:val="-4"/>
        </w:rPr>
        <w:t xml:space="preserve"> </w:t>
      </w:r>
      <w:r w:rsidRPr="00601954">
        <w:t>demonstrates</w:t>
      </w:r>
      <w:r w:rsidRPr="00601954">
        <w:rPr>
          <w:spacing w:val="-3"/>
        </w:rPr>
        <w:t xml:space="preserve"> </w:t>
      </w:r>
      <w:r w:rsidRPr="00601954">
        <w:t>sufficient</w:t>
      </w:r>
      <w:r w:rsidRPr="00601954">
        <w:rPr>
          <w:spacing w:val="-2"/>
        </w:rPr>
        <w:t xml:space="preserve"> </w:t>
      </w:r>
      <w:r w:rsidRPr="00601954">
        <w:t>expertise</w:t>
      </w:r>
      <w:r w:rsidRPr="00601954">
        <w:rPr>
          <w:spacing w:val="-4"/>
        </w:rPr>
        <w:t xml:space="preserve"> </w:t>
      </w:r>
      <w:r w:rsidRPr="00601954">
        <w:t>in</w:t>
      </w:r>
      <w:r w:rsidRPr="00601954">
        <w:rPr>
          <w:spacing w:val="-3"/>
        </w:rPr>
        <w:t xml:space="preserve"> </w:t>
      </w:r>
      <w:r w:rsidRPr="00601954">
        <w:t>deployment,</w:t>
      </w:r>
      <w:r w:rsidRPr="00601954">
        <w:rPr>
          <w:spacing w:val="-4"/>
        </w:rPr>
        <w:t xml:space="preserve"> </w:t>
      </w:r>
      <w:r w:rsidRPr="009443D2">
        <w:rPr>
          <w:spacing w:val="-4"/>
        </w:rPr>
        <w:t xml:space="preserve">and </w:t>
      </w:r>
      <w:r w:rsidRPr="00601954">
        <w:t>the</w:t>
      </w:r>
      <w:r w:rsidRPr="00601954">
        <w:rPr>
          <w:spacing w:val="-3"/>
        </w:rPr>
        <w:t xml:space="preserve"> </w:t>
      </w:r>
      <w:r w:rsidRPr="00601954">
        <w:t>proposed</w:t>
      </w:r>
      <w:r w:rsidRPr="00601954">
        <w:rPr>
          <w:spacing w:val="-4"/>
        </w:rPr>
        <w:t xml:space="preserve"> </w:t>
      </w:r>
      <w:r w:rsidRPr="00601954">
        <w:t xml:space="preserve">project is evaluated as financially </w:t>
      </w:r>
      <w:r>
        <w:t>viable</w:t>
      </w:r>
      <w:r w:rsidRPr="00601954">
        <w:t xml:space="preserve">, the </w:t>
      </w:r>
      <w:r w:rsidR="0056663B">
        <w:t>DSR Guarantee</w:t>
      </w:r>
      <w:r w:rsidRPr="00601954">
        <w:t xml:space="preserve"> may support a portion of the </w:t>
      </w:r>
      <w:r w:rsidR="0001504E">
        <w:t>eligible debt</w:t>
      </w:r>
      <w:r w:rsidR="00385250">
        <w:t xml:space="preserve"> </w:t>
      </w:r>
      <w:r w:rsidRPr="00601954">
        <w:t>issued on behalf of the project</w:t>
      </w:r>
      <w:r>
        <w:t>.</w:t>
      </w:r>
      <w:r w:rsidRPr="001914AE">
        <w:t xml:space="preserve"> </w:t>
      </w:r>
      <w:r>
        <w:t>S</w:t>
      </w:r>
      <w:r w:rsidRPr="00601954">
        <w:t xml:space="preserve">uch support will be limited to an amount equivalent to 100% of the </w:t>
      </w:r>
      <w:r w:rsidR="00523D5D">
        <w:t>debt’s</w:t>
      </w:r>
      <w:r w:rsidRPr="00601954" w:rsidR="00523D5D">
        <w:t xml:space="preserve"> </w:t>
      </w:r>
      <w:r w:rsidRPr="00601954">
        <w:t xml:space="preserve">principal. </w:t>
      </w:r>
    </w:p>
    <w:p w:rsidR="00E917F3" w:rsidP="00E917F3" w:rsidRDefault="00E917F3" w14:paraId="0B018DFF" w14:textId="77777777">
      <w:pPr>
        <w:pStyle w:val="BodyText"/>
        <w:spacing w:before="32" w:line="259" w:lineRule="auto"/>
        <w:ind w:left="360" w:right="336"/>
      </w:pPr>
    </w:p>
    <w:p w:rsidR="00FF046E" w:rsidP="00E917F3" w:rsidRDefault="00E917F3" w14:paraId="5E225312" w14:textId="164A18AF">
      <w:pPr>
        <w:ind w:left="360"/>
      </w:pPr>
      <w:r>
        <w:t>Credit enhancements offered in the LLP will be designed to induce bond investors or lenders to lend</w:t>
      </w:r>
      <w:r w:rsidR="00863A4B">
        <w:t xml:space="preserve"> </w:t>
      </w:r>
      <w:r>
        <w:t xml:space="preserve">to a borrower and decrease the cost of financing by reducing the risk of a total loss for a bondholder/direct </w:t>
      </w:r>
      <w:r w:rsidRPr="00D40CF9">
        <w:t>lender</w:t>
      </w:r>
      <w:r>
        <w:t xml:space="preserve"> in the transaction. Credit enhancements function as a credit guarantee, with the positive credit benefit of the guarantee going primarily to the borrower</w:t>
      </w:r>
      <w:r>
        <w:rPr>
          <w:spacing w:val="-2"/>
        </w:rPr>
        <w:t xml:space="preserve"> </w:t>
      </w:r>
      <w:r>
        <w:t>by</w:t>
      </w:r>
      <w:r>
        <w:rPr>
          <w:spacing w:val="-1"/>
        </w:rPr>
        <w:t xml:space="preserve"> </w:t>
      </w:r>
      <w:r>
        <w:t>way</w:t>
      </w:r>
      <w:r>
        <w:rPr>
          <w:spacing w:val="-2"/>
        </w:rPr>
        <w:t xml:space="preserve"> </w:t>
      </w:r>
      <w:r>
        <w:t>of</w:t>
      </w:r>
      <w:r>
        <w:rPr>
          <w:spacing w:val="-2"/>
        </w:rPr>
        <w:t xml:space="preserve"> </w:t>
      </w:r>
      <w:r>
        <w:t>reducing costs</w:t>
      </w:r>
      <w:r>
        <w:rPr>
          <w:spacing w:val="-2"/>
        </w:rPr>
        <w:t xml:space="preserve"> </w:t>
      </w:r>
      <w:r>
        <w:t>or</w:t>
      </w:r>
      <w:r>
        <w:rPr>
          <w:spacing w:val="-1"/>
        </w:rPr>
        <w:t xml:space="preserve"> </w:t>
      </w:r>
      <w:r>
        <w:t>providing</w:t>
      </w:r>
      <w:r>
        <w:rPr>
          <w:spacing w:val="-1"/>
        </w:rPr>
        <w:t xml:space="preserve"> </w:t>
      </w:r>
      <w:r>
        <w:t>the</w:t>
      </w:r>
      <w:r>
        <w:rPr>
          <w:spacing w:val="-1"/>
        </w:rPr>
        <w:t xml:space="preserve"> </w:t>
      </w:r>
      <w:r>
        <w:t>borrower</w:t>
      </w:r>
      <w:r>
        <w:rPr>
          <w:spacing w:val="-2"/>
        </w:rPr>
        <w:t xml:space="preserve"> </w:t>
      </w:r>
      <w:r>
        <w:t>with</w:t>
      </w:r>
      <w:r>
        <w:rPr>
          <w:spacing w:val="-2"/>
        </w:rPr>
        <w:t xml:space="preserve"> </w:t>
      </w:r>
      <w:r>
        <w:t>the</w:t>
      </w:r>
      <w:r>
        <w:rPr>
          <w:spacing w:val="-2"/>
        </w:rPr>
        <w:t xml:space="preserve"> </w:t>
      </w:r>
      <w:r>
        <w:t>ability to obtain better financing terms than would be accessible without a credit enhancement.</w:t>
      </w:r>
    </w:p>
    <w:p w:rsidRPr="00FF046E" w:rsidR="00F606EE" w:rsidP="00F606EE" w:rsidRDefault="00F606EE" w14:paraId="492A8618" w14:textId="2058BF6D">
      <w:pPr>
        <w:ind w:left="360"/>
      </w:pPr>
      <w:r>
        <w:t xml:space="preserve">The </w:t>
      </w:r>
      <w:r w:rsidR="00CC3E8E">
        <w:t xml:space="preserve">CPUC </w:t>
      </w:r>
      <w:r>
        <w:t xml:space="preserve">does not impose strict funding caps per </w:t>
      </w:r>
      <w:r w:rsidR="001208E7">
        <w:t xml:space="preserve">awardee </w:t>
      </w:r>
      <w:r>
        <w:t>as that would impede the a</w:t>
      </w:r>
      <w:r w:rsidR="001208E7">
        <w:t>wardee</w:t>
      </w:r>
      <w:r>
        <w:t>’s ability to deliver broadband infrastructure most effectively.</w:t>
      </w:r>
    </w:p>
    <w:p w:rsidR="00996F39" w:rsidP="00857B4F" w:rsidRDefault="00996F39" w14:paraId="3E17E15E" w14:textId="2FF15B0F">
      <w:pPr>
        <w:pStyle w:val="Heading2"/>
        <w:numPr>
          <w:ilvl w:val="1"/>
          <w:numId w:val="7"/>
        </w:numPr>
        <w:ind w:left="1170"/>
      </w:pPr>
      <w:bookmarkStart w:name="_Toc149134313" w:id="10"/>
      <w:r>
        <w:t xml:space="preserve">Debt Service as a Credit </w:t>
      </w:r>
      <w:r w:rsidR="00B113C5">
        <w:t>Enhancement</w:t>
      </w:r>
      <w:bookmarkEnd w:id="10"/>
    </w:p>
    <w:p w:rsidR="008B607A" w:rsidP="00BE7589" w:rsidRDefault="008B607A" w14:paraId="4CACD194" w14:textId="1B0A0D6D">
      <w:pPr>
        <w:ind w:left="360"/>
      </w:pPr>
      <w:r>
        <w:t>The LLP credit enhancement consist</w:t>
      </w:r>
      <w:r w:rsidR="0057010B">
        <w:t>s</w:t>
      </w:r>
      <w:r>
        <w:t xml:space="preserve"> of a DSR that shall be included in each applicable </w:t>
      </w:r>
      <w:r w:rsidR="00E140EF">
        <w:t xml:space="preserve">eligible debt </w:t>
      </w:r>
      <w:r>
        <w:t xml:space="preserve">issuance, with sufficient funds to ensure timely regularly scheduled principal and interest payments to </w:t>
      </w:r>
      <w:r w:rsidR="004E4049">
        <w:t>t</w:t>
      </w:r>
      <w:r>
        <w:t xml:space="preserve">rustees on behalf of bondholders/lenders up to the amount of the applicable approved guarantee. The DSR will be drawn upon if broadband revenues are insufficient to support such payments. DSR draws are a reportable material event for continuing disclosure purposes in a public transaction. DSR draws shall be outlined in the </w:t>
      </w:r>
      <w:r w:rsidR="00964FB9">
        <w:t>indenture</w:t>
      </w:r>
      <w:r>
        <w:t>.</w:t>
      </w:r>
    </w:p>
    <w:p w:rsidR="008C2333" w:rsidP="008B607A" w:rsidRDefault="008B607A" w14:paraId="48F441E5" w14:textId="6BB1CC57">
      <w:pPr>
        <w:ind w:left="360"/>
      </w:pPr>
      <w:r>
        <w:t xml:space="preserve">Should the DSR be drawn upon, it will be replenished from the </w:t>
      </w:r>
      <w:r w:rsidR="003765C0">
        <w:t>DSR Guarantee</w:t>
      </w:r>
      <w:r>
        <w:t xml:space="preserve"> by the amount the DSR is depleted</w:t>
      </w:r>
      <w:r w:rsidR="003930E7">
        <w:t xml:space="preserve"> within the timeframes set forth in the </w:t>
      </w:r>
      <w:r w:rsidR="00964FB9">
        <w:t>indenture</w:t>
      </w:r>
      <w:r>
        <w:t xml:space="preserve">.  For example, if an </w:t>
      </w:r>
      <w:r w:rsidR="001208E7">
        <w:t xml:space="preserve">awardee </w:t>
      </w:r>
      <w:r>
        <w:t xml:space="preserve">receives coverage up to 30% of bond principal on a $10 million bond, the DSR will be replenished up to $3 million, the maximum available from the </w:t>
      </w:r>
      <w:r w:rsidR="007238EE">
        <w:t>DSR Guarantee</w:t>
      </w:r>
      <w:r>
        <w:t xml:space="preserve">.  The </w:t>
      </w:r>
      <w:r w:rsidR="007238EE">
        <w:t xml:space="preserve">DSR Guarantee </w:t>
      </w:r>
      <w:r>
        <w:t xml:space="preserve">will cover no more payments after </w:t>
      </w:r>
      <w:r w:rsidR="00B91342">
        <w:t>the full amount of coverage has been exhausted</w:t>
      </w:r>
      <w:r>
        <w:t>.</w:t>
      </w:r>
      <w:r w:rsidR="00B337C2">
        <w:t xml:space="preserve"> When the </w:t>
      </w:r>
      <w:r w:rsidR="007238EE">
        <w:t xml:space="preserve">DSR Guarantee </w:t>
      </w:r>
      <w:r w:rsidR="00B337C2">
        <w:t>is repaid, those funds will again be available to provide coverage up to the awarded amount.</w:t>
      </w:r>
      <w:r>
        <w:t xml:space="preserve"> If the </w:t>
      </w:r>
      <w:r w:rsidR="007238EE">
        <w:t>DSR Guarantee</w:t>
      </w:r>
      <w:r>
        <w:t xml:space="preserve"> is not repaid</w:t>
      </w:r>
      <w:r w:rsidR="00D42478">
        <w:t xml:space="preserve"> within three months</w:t>
      </w:r>
      <w:r>
        <w:t xml:space="preserve">, the liability to the </w:t>
      </w:r>
      <w:r w:rsidR="00DB1B6A">
        <w:t xml:space="preserve">DSR Guarantee </w:t>
      </w:r>
      <w:r>
        <w:t xml:space="preserve">will bear interest. This liability will accrue interest </w:t>
      </w:r>
      <w:r w:rsidR="00685CF3">
        <w:t>based on the</w:t>
      </w:r>
      <w:r>
        <w:t xml:space="preserve"> </w:t>
      </w:r>
      <w:r w:rsidRPr="00857B4F">
        <w:t>prime rate</w:t>
      </w:r>
      <w:r w:rsidR="000B5DC4">
        <w:t xml:space="preserve"> plus one percent</w:t>
      </w:r>
      <w:r w:rsidRPr="00857B4F">
        <w:t>,</w:t>
      </w:r>
      <w:r w:rsidR="00A71903">
        <w:t xml:space="preserve"> compounded monthly,</w:t>
      </w:r>
      <w:r w:rsidR="00685CF3">
        <w:t xml:space="preserve"> which</w:t>
      </w:r>
      <w:r>
        <w:t xml:space="preserve"> </w:t>
      </w:r>
      <w:r w:rsidR="00FB2E6B">
        <w:t xml:space="preserve">functions </w:t>
      </w:r>
      <w:r>
        <w:t>as a deterrent on draws</w:t>
      </w:r>
      <w:r w:rsidR="00450C12">
        <w:t xml:space="preserve"> and to incentivize repayment of the drawn funds</w:t>
      </w:r>
      <w:r>
        <w:t>.</w:t>
      </w:r>
    </w:p>
    <w:p w:rsidR="00B113C5" w:rsidP="00857B4F" w:rsidRDefault="00B113C5" w14:paraId="662A79DD" w14:textId="0F2A244A">
      <w:pPr>
        <w:pStyle w:val="Heading3"/>
        <w:numPr>
          <w:ilvl w:val="2"/>
          <w:numId w:val="7"/>
        </w:numPr>
        <w:ind w:left="1170" w:hanging="540"/>
      </w:pPr>
      <w:bookmarkStart w:name="_Toc149134314" w:id="11"/>
      <w:r>
        <w:t>Debt Service Reserve Tax-Exempt Basis</w:t>
      </w:r>
      <w:bookmarkEnd w:id="11"/>
    </w:p>
    <w:p w:rsidR="00386451" w:rsidP="00386451" w:rsidRDefault="00386451" w14:paraId="515CE65A" w14:textId="52FC1842">
      <w:pPr>
        <w:ind w:left="360"/>
      </w:pPr>
      <w:r>
        <w:t xml:space="preserve">If a broadband </w:t>
      </w:r>
      <w:r w:rsidR="00DB308B">
        <w:t xml:space="preserve">eligible debt </w:t>
      </w:r>
      <w:r>
        <w:t xml:space="preserve">transaction is issued on a tax-exempt basis, issuers and borrowers must coordinate with their respective counsel </w:t>
      </w:r>
      <w:r w:rsidR="6AAE1B07">
        <w:t>to</w:t>
      </w:r>
      <w:r>
        <w:t xml:space="preserve"> structur</w:t>
      </w:r>
      <w:r w:rsidR="0C9A7643">
        <w:t>e</w:t>
      </w:r>
      <w:r>
        <w:t xml:space="preserve"> the DSR </w:t>
      </w:r>
      <w:r w:rsidR="58FC3985">
        <w:t>in compliance with</w:t>
      </w:r>
      <w:r>
        <w:t xml:space="preserve"> federal tax requirements set forth in the Internal Revenue Service Code. </w:t>
      </w:r>
    </w:p>
    <w:p w:rsidRPr="003F54AD" w:rsidR="003F54AD" w:rsidP="00386451" w:rsidRDefault="00386451" w14:paraId="3AE84C35" w14:textId="6A8C107A">
      <w:pPr>
        <w:ind w:left="360"/>
      </w:pPr>
      <w:r>
        <w:t xml:space="preserve">In a </w:t>
      </w:r>
      <w:r w:rsidR="00822D13">
        <w:t xml:space="preserve">bond </w:t>
      </w:r>
      <w:r>
        <w:t xml:space="preserve">tax-exempt arrangement, </w:t>
      </w:r>
      <w:r w:rsidR="72E1A8A7">
        <w:t xml:space="preserve">the </w:t>
      </w:r>
      <w:r>
        <w:t>DSR</w:t>
      </w:r>
      <w:r w:rsidR="009D0229">
        <w:t xml:space="preserve"> </w:t>
      </w:r>
      <w:r>
        <w:t>must meet the following test when funded: the lesser of: (i) Maximum Annual Debt Service, (ii) 125% of Average Annual Debt Service, or (iii) 10% of the par amount of the bonds.</w:t>
      </w:r>
      <w:r w:rsidR="007F56F1">
        <w:rPr>
          <w:rStyle w:val="FootnoteReference"/>
        </w:rPr>
        <w:footnoteReference w:id="14"/>
      </w:r>
      <w:r>
        <w:t xml:space="preserve">  In </w:t>
      </w:r>
      <w:r w:rsidR="062E2E93">
        <w:t>taxable</w:t>
      </w:r>
      <w:r>
        <w:t xml:space="preserve"> arrangements, parties may follow the tests as guidelines in determining the size of their DSR.</w:t>
      </w:r>
      <w:r w:rsidR="00754834">
        <w:t xml:space="preserve"> Th</w:t>
      </w:r>
      <w:r w:rsidR="007E2352">
        <w:t>e</w:t>
      </w:r>
      <w:r w:rsidR="00754834">
        <w:t xml:space="preserve"> information in this</w:t>
      </w:r>
      <w:r w:rsidR="007E2352">
        <w:t xml:space="preserve"> paragraph is provided only for the convenience of </w:t>
      </w:r>
      <w:r w:rsidR="001208E7">
        <w:t xml:space="preserve">awardees </w:t>
      </w:r>
      <w:r w:rsidR="007E2352">
        <w:t xml:space="preserve">and does not limit the </w:t>
      </w:r>
      <w:r w:rsidR="000E4516">
        <w:t xml:space="preserve">DSR Guarantee </w:t>
      </w:r>
      <w:r w:rsidR="007E2352">
        <w:t>coverage that may be awarded for a tax-exempt or taxable bond transaction.</w:t>
      </w:r>
    </w:p>
    <w:p w:rsidR="00090F7A" w:rsidP="00857B4F" w:rsidRDefault="00090F7A" w14:paraId="22C232F8" w14:textId="436824D2">
      <w:pPr>
        <w:pStyle w:val="Heading3"/>
        <w:numPr>
          <w:ilvl w:val="2"/>
          <w:numId w:val="7"/>
        </w:numPr>
        <w:ind w:left="1170" w:hanging="540"/>
      </w:pPr>
      <w:bookmarkStart w:name="_Toc149134315" w:id="12"/>
      <w:r>
        <w:t xml:space="preserve">Debt Service Reserve </w:t>
      </w:r>
      <w:r w:rsidR="003F54AD">
        <w:t>Guarantee Repayment Seniority</w:t>
      </w:r>
      <w:bookmarkEnd w:id="12"/>
      <w:r>
        <w:t xml:space="preserve"> </w:t>
      </w:r>
    </w:p>
    <w:p w:rsidRPr="003F54AD" w:rsidR="003F54AD" w:rsidP="003F54AD" w:rsidRDefault="0016521C" w14:paraId="4FD54295" w14:textId="71502CAC">
      <w:pPr>
        <w:ind w:left="360"/>
      </w:pPr>
      <w:r w:rsidRPr="0016521C">
        <w:t>The DSR shall be required to be repaid</w:t>
      </w:r>
      <w:r w:rsidR="00C60D58">
        <w:t xml:space="preserve"> immediately after debt service</w:t>
      </w:r>
      <w:r w:rsidR="00E06F7E">
        <w:t>, and before any broadband revenues can otherwise be allocated to</w:t>
      </w:r>
      <w:r w:rsidR="00CC45BF">
        <w:t xml:space="preserve"> bondholders</w:t>
      </w:r>
      <w:r w:rsidR="00BD2310">
        <w:t>/lenders</w:t>
      </w:r>
      <w:r w:rsidR="00DD20CB">
        <w:t xml:space="preserve"> </w:t>
      </w:r>
      <w:r w:rsidRPr="0016521C">
        <w:t xml:space="preserve">under the applicable </w:t>
      </w:r>
      <w:r w:rsidR="00E06F7E">
        <w:t>indenture.</w:t>
      </w:r>
      <w:r w:rsidRPr="0016521C">
        <w:t xml:space="preserve"> Upon a failure to repay the DSR, the CPUC shall be entitled to exercise any and all legal and equitable remedies available to it, including those provided under the</w:t>
      </w:r>
      <w:r w:rsidR="008105AC">
        <w:t xml:space="preserve"> form of guarantee</w:t>
      </w:r>
      <w:r w:rsidR="002D044C">
        <w:t xml:space="preserve"> described in Section 9.3</w:t>
      </w:r>
      <w:r w:rsidR="008105AC">
        <w:t xml:space="preserve"> or the</w:t>
      </w:r>
      <w:r w:rsidRPr="0016521C">
        <w:t xml:space="preserve"> </w:t>
      </w:r>
      <w:r w:rsidR="00EA253B">
        <w:t>indenture</w:t>
      </w:r>
      <w:r w:rsidRPr="0016521C">
        <w:t>.</w:t>
      </w:r>
    </w:p>
    <w:p w:rsidR="00996F39" w:rsidP="00857B4F" w:rsidRDefault="00996F39" w14:paraId="4923CB31" w14:textId="61BE8AD0">
      <w:pPr>
        <w:pStyle w:val="Heading2"/>
        <w:numPr>
          <w:ilvl w:val="1"/>
          <w:numId w:val="7"/>
        </w:numPr>
        <w:ind w:left="1170"/>
      </w:pPr>
      <w:bookmarkStart w:name="_Toc149134316" w:id="13"/>
      <w:r>
        <w:t xml:space="preserve">The </w:t>
      </w:r>
      <w:r w:rsidRPr="000E4516" w:rsidR="000E4516">
        <w:t>DSR Guarantee</w:t>
      </w:r>
      <w:bookmarkEnd w:id="13"/>
    </w:p>
    <w:p w:rsidR="002D044C" w:rsidP="003B16BE" w:rsidRDefault="001B3C1A" w14:paraId="7F5B1923" w14:textId="2BCEB74D">
      <w:pPr>
        <w:ind w:left="360"/>
      </w:pPr>
      <w:r w:rsidRPr="001B3C1A">
        <w:t xml:space="preserve">The </w:t>
      </w:r>
      <w:r w:rsidR="000E4516">
        <w:t xml:space="preserve">DSR Guarantee </w:t>
      </w:r>
      <w:r w:rsidRPr="001B3C1A">
        <w:t xml:space="preserve">will </w:t>
      </w:r>
      <w:r w:rsidR="00F80D1A">
        <w:t>function</w:t>
      </w:r>
      <w:r w:rsidRPr="001B3C1A" w:rsidR="00F80D1A">
        <w:t xml:space="preserve"> </w:t>
      </w:r>
      <w:r w:rsidRPr="001B3C1A">
        <w:t xml:space="preserve">as a support fund to the DSR. When </w:t>
      </w:r>
      <w:r w:rsidRPr="001B3C1A" w:rsidDel="001208E7">
        <w:t xml:space="preserve">applicants </w:t>
      </w:r>
      <w:r w:rsidRPr="001B3C1A">
        <w:t>apply to the LLP, the percent coverage of principal they are awarded will depend on how much available funding is remaining in the Loan</w:t>
      </w:r>
      <w:r w:rsidR="003B16BE">
        <w:t xml:space="preserve"> </w:t>
      </w:r>
      <w:r w:rsidRPr="001B3C1A">
        <w:t xml:space="preserve">Loss </w:t>
      </w:r>
      <w:r w:rsidR="00E21152">
        <w:t>Program</w:t>
      </w:r>
      <w:r w:rsidRPr="001B3C1A">
        <w:t>.</w:t>
      </w:r>
    </w:p>
    <w:p w:rsidR="00F43F78" w:rsidP="002D044C" w:rsidRDefault="04F6D142" w14:paraId="6BBAA687" w14:textId="186B598E">
      <w:pPr>
        <w:ind w:left="360"/>
      </w:pPr>
      <w:r>
        <w:t>If there is</w:t>
      </w:r>
      <w:r w:rsidRPr="00F43F78" w:rsidR="00F43F78">
        <w:t xml:space="preserve"> a draw upon the DSR</w:t>
      </w:r>
      <w:r w:rsidR="008C5500">
        <w:t xml:space="preserve"> </w:t>
      </w:r>
      <w:r w:rsidR="00C11F71">
        <w:t>to meet debt service</w:t>
      </w:r>
      <w:r w:rsidRPr="00F43F78" w:rsidR="00F43F78">
        <w:t xml:space="preserve">, </w:t>
      </w:r>
      <w:r w:rsidR="00397141">
        <w:t>t</w:t>
      </w:r>
      <w:r w:rsidRPr="00F43F78" w:rsidR="00F43F78">
        <w:t xml:space="preserve">he </w:t>
      </w:r>
      <w:r w:rsidR="0099233E">
        <w:t xml:space="preserve">DSR Guarantee </w:t>
      </w:r>
      <w:r w:rsidRPr="00F43F78" w:rsidR="00F43F78">
        <w:t xml:space="preserve">will continue to “refill” the applicable DSR account until the allocated guarantee is exhausted, </w:t>
      </w:r>
      <w:r w:rsidR="00F43F78">
        <w:t xml:space="preserve">subject to the terms set forth in the form of guarantee and </w:t>
      </w:r>
      <w:r w:rsidR="00397141">
        <w:t>i</w:t>
      </w:r>
      <w:r w:rsidR="00F43F78">
        <w:t>ndenture</w:t>
      </w:r>
      <w:r w:rsidRPr="00F43F78" w:rsidR="00F43F78">
        <w:t>.</w:t>
      </w:r>
    </w:p>
    <w:p w:rsidRPr="002D044C" w:rsidR="00794ACE" w:rsidP="002D044C" w:rsidRDefault="00794ACE" w14:paraId="13ED1061" w14:textId="4C84E1C9">
      <w:pPr>
        <w:ind w:left="360"/>
      </w:pPr>
      <w:r>
        <w:t>In order to</w:t>
      </w:r>
      <w:r w:rsidR="00EE3CF9">
        <w:t xml:space="preserve"> be eligible to</w:t>
      </w:r>
      <w:r>
        <w:t xml:space="preserve"> </w:t>
      </w:r>
      <w:r w:rsidR="00B61035">
        <w:t>transfer</w:t>
      </w:r>
      <w:r>
        <w:t xml:space="preserve"> funds from the </w:t>
      </w:r>
      <w:r w:rsidR="00440335">
        <w:t xml:space="preserve">DSR Guarantee </w:t>
      </w:r>
      <w:r w:rsidR="00B61035">
        <w:t>to the DSR</w:t>
      </w:r>
      <w:r>
        <w:t>,</w:t>
      </w:r>
      <w:r w:rsidR="00B61035">
        <w:t xml:space="preserve"> </w:t>
      </w:r>
      <w:r w:rsidR="001208E7">
        <w:t xml:space="preserve">awardees </w:t>
      </w:r>
      <w:r w:rsidR="00B61035">
        <w:t xml:space="preserve">shall </w:t>
      </w:r>
      <w:r w:rsidR="73DE76E0">
        <w:t>register</w:t>
      </w:r>
      <w:r w:rsidR="00B61035">
        <w:t xml:space="preserve"> the </w:t>
      </w:r>
      <w:r w:rsidR="00EE3CF9">
        <w:t>trustee or other applicable entity with the CPUC Accounting Department’s payment system</w:t>
      </w:r>
      <w:r w:rsidR="00B77E1E">
        <w:t xml:space="preserve"> or CPUC Fiscal Agent</w:t>
      </w:r>
      <w:r w:rsidR="00EE3CF9">
        <w:t>.</w:t>
      </w:r>
      <w:r>
        <w:t xml:space="preserve"> </w:t>
      </w:r>
    </w:p>
    <w:p w:rsidR="00B24605" w:rsidP="00857B4F" w:rsidRDefault="00440335" w14:paraId="30E13B3B" w14:textId="6F894EE4">
      <w:pPr>
        <w:pStyle w:val="Heading3"/>
        <w:numPr>
          <w:ilvl w:val="2"/>
          <w:numId w:val="7"/>
        </w:numPr>
        <w:ind w:left="1170" w:hanging="630"/>
      </w:pPr>
      <w:bookmarkStart w:name="_Toc149134317" w:id="14"/>
      <w:r w:rsidRPr="00440335">
        <w:t xml:space="preserve">DSR Guarantee </w:t>
      </w:r>
      <w:r w:rsidR="00A645E5">
        <w:t>Release of Guarantee from Awardee</w:t>
      </w:r>
      <w:bookmarkEnd w:id="14"/>
    </w:p>
    <w:p w:rsidRPr="0099780D" w:rsidR="0099780D" w:rsidP="0099780D" w:rsidRDefault="55E39AB8" w14:paraId="733D8A09" w14:textId="56428080">
      <w:pPr>
        <w:ind w:left="360"/>
      </w:pPr>
      <w:r>
        <w:t xml:space="preserve">The </w:t>
      </w:r>
      <w:r w:rsidR="06110627">
        <w:t>allocation</w:t>
      </w:r>
      <w:r>
        <w:t xml:space="preserve"> of the </w:t>
      </w:r>
      <w:r w:rsidR="008A63DB">
        <w:t>Loan Loss Fund</w:t>
      </w:r>
      <w:r w:rsidRPr="00E816A3" w:rsidR="00E816A3">
        <w:t xml:space="preserve"> reserved as credit guarantees may be gradually released according to pre-defined performance milestones, to be made available again as credit enhancement for future </w:t>
      </w:r>
      <w:r w:rsidR="001208E7">
        <w:t>awardees</w:t>
      </w:r>
      <w:r w:rsidRPr="00E816A3" w:rsidR="00E816A3">
        <w:t xml:space="preserve">, as awardees’ partially-enhanced </w:t>
      </w:r>
      <w:r w:rsidR="00CF40B9">
        <w:t>eligible debt</w:t>
      </w:r>
      <w:r w:rsidRPr="00E816A3" w:rsidR="00E816A3">
        <w:t xml:space="preserve"> are paid down successfully. </w:t>
      </w:r>
    </w:p>
    <w:p w:rsidR="00A645E5" w:rsidP="00857B4F" w:rsidRDefault="00F86796" w14:paraId="65BAC1C7" w14:textId="19FDB233">
      <w:pPr>
        <w:pStyle w:val="Heading3"/>
        <w:numPr>
          <w:ilvl w:val="2"/>
          <w:numId w:val="7"/>
        </w:numPr>
        <w:ind w:left="1170" w:hanging="630"/>
      </w:pPr>
      <w:bookmarkStart w:name="_Toc149134318" w:id="15"/>
      <w:r w:rsidRPr="00F86796">
        <w:t>DSR Guarantee</w:t>
      </w:r>
      <w:r w:rsidR="00A645E5">
        <w:t xml:space="preserve"> Earned Interest</w:t>
      </w:r>
      <w:bookmarkEnd w:id="15"/>
    </w:p>
    <w:p w:rsidRPr="0075597E" w:rsidR="00390F83" w:rsidP="0075597E" w:rsidRDefault="0075597E" w14:paraId="6A859A46" w14:textId="18A59F09">
      <w:pPr>
        <w:ind w:left="360"/>
      </w:pPr>
      <w:r w:rsidRPr="0075597E">
        <w:t xml:space="preserve">Interest earnings in the </w:t>
      </w:r>
      <w:r w:rsidR="00F86796">
        <w:t xml:space="preserve">DSR Guarantee </w:t>
      </w:r>
      <w:r w:rsidRPr="0075597E">
        <w:t xml:space="preserve">will be used first to pay for the administrative services incurred from the management of the </w:t>
      </w:r>
      <w:r w:rsidR="00F86796">
        <w:t>DSR Guarantee</w:t>
      </w:r>
      <w:r w:rsidRPr="0075597E">
        <w:t xml:space="preserve">; the remainder will be used to replenish or grow the </w:t>
      </w:r>
      <w:r w:rsidR="00F86796">
        <w:t>DSR Guarantee</w:t>
      </w:r>
      <w:r w:rsidRPr="0075597E">
        <w:t>.</w:t>
      </w:r>
      <w:bookmarkStart w:name="_Toc143252478" w:id="16"/>
      <w:bookmarkStart w:name="_Toc143252552" w:id="17"/>
      <w:bookmarkEnd w:id="16"/>
      <w:bookmarkEnd w:id="17"/>
    </w:p>
    <w:p w:rsidRPr="009A0019" w:rsidR="009A0019" w:rsidP="009A0019" w:rsidRDefault="009A0019" w14:paraId="67C37150" w14:textId="77777777">
      <w:bookmarkStart w:name="_Toc143515883" w:id="18"/>
      <w:bookmarkStart w:name="_Toc149030744" w:id="19"/>
      <w:bookmarkStart w:name="_Toc149134319" w:id="20"/>
      <w:bookmarkEnd w:id="18"/>
      <w:bookmarkEnd w:id="19"/>
      <w:bookmarkEnd w:id="20"/>
    </w:p>
    <w:p w:rsidRPr="009A0019" w:rsidR="009A0019" w:rsidP="009A0019" w:rsidRDefault="009A0019" w14:paraId="3829E071" w14:textId="77777777">
      <w:bookmarkStart w:name="_Toc143252479" w:id="21"/>
      <w:bookmarkStart w:name="_Toc143252553" w:id="22"/>
      <w:bookmarkStart w:name="_Toc143515884" w:id="23"/>
      <w:bookmarkStart w:name="_Toc149030745" w:id="24"/>
      <w:bookmarkStart w:name="_Toc149134320" w:id="25"/>
      <w:bookmarkEnd w:id="21"/>
      <w:bookmarkEnd w:id="22"/>
      <w:bookmarkEnd w:id="23"/>
      <w:bookmarkEnd w:id="24"/>
      <w:bookmarkEnd w:id="25"/>
    </w:p>
    <w:p w:rsidRPr="009A0019" w:rsidR="009A0019" w:rsidP="009A0019" w:rsidRDefault="009A0019" w14:paraId="7FE992ED" w14:textId="77777777">
      <w:bookmarkStart w:name="_Toc143252480" w:id="26"/>
      <w:bookmarkStart w:name="_Toc143252554" w:id="27"/>
      <w:bookmarkStart w:name="_Toc143515885" w:id="28"/>
      <w:bookmarkStart w:name="_Toc149030746" w:id="29"/>
      <w:bookmarkStart w:name="_Toc149134321" w:id="30"/>
      <w:bookmarkEnd w:id="26"/>
      <w:bookmarkEnd w:id="27"/>
      <w:bookmarkEnd w:id="28"/>
      <w:bookmarkEnd w:id="29"/>
      <w:bookmarkEnd w:id="30"/>
    </w:p>
    <w:p w:rsidRPr="009A0019" w:rsidR="009A0019" w:rsidP="009A0019" w:rsidRDefault="009A0019" w14:paraId="79EBAF68" w14:textId="77777777">
      <w:bookmarkStart w:name="_Toc143252481" w:id="31"/>
      <w:bookmarkStart w:name="_Toc143252555" w:id="32"/>
      <w:bookmarkStart w:name="_Toc143515886" w:id="33"/>
      <w:bookmarkStart w:name="_Toc149030747" w:id="34"/>
      <w:bookmarkStart w:name="_Toc149134322" w:id="35"/>
      <w:bookmarkEnd w:id="31"/>
      <w:bookmarkEnd w:id="32"/>
      <w:bookmarkEnd w:id="33"/>
      <w:bookmarkEnd w:id="34"/>
      <w:bookmarkEnd w:id="35"/>
    </w:p>
    <w:p w:rsidRPr="009A0019" w:rsidR="009A0019" w:rsidP="009A0019" w:rsidRDefault="009A0019" w14:paraId="7DAA4099" w14:textId="77777777">
      <w:bookmarkStart w:name="_Toc143252482" w:id="36"/>
      <w:bookmarkStart w:name="_Toc143252556" w:id="37"/>
      <w:bookmarkStart w:name="_Toc143515887" w:id="38"/>
      <w:bookmarkStart w:name="_Toc149030748" w:id="39"/>
      <w:bookmarkStart w:name="_Toc149134323" w:id="40"/>
      <w:bookmarkEnd w:id="36"/>
      <w:bookmarkEnd w:id="37"/>
      <w:bookmarkEnd w:id="38"/>
      <w:bookmarkEnd w:id="39"/>
      <w:bookmarkEnd w:id="40"/>
    </w:p>
    <w:p w:rsidRPr="009A0019" w:rsidR="009A0019" w:rsidP="009A0019" w:rsidRDefault="009A0019" w14:paraId="6888E762" w14:textId="77777777">
      <w:bookmarkStart w:name="_Toc143252483" w:id="41"/>
      <w:bookmarkStart w:name="_Toc143252557" w:id="42"/>
      <w:bookmarkStart w:name="_Toc143515888" w:id="43"/>
      <w:bookmarkStart w:name="_Toc149030749" w:id="44"/>
      <w:bookmarkStart w:name="_Toc149134324" w:id="45"/>
      <w:bookmarkEnd w:id="41"/>
      <w:bookmarkEnd w:id="42"/>
      <w:bookmarkEnd w:id="43"/>
      <w:bookmarkEnd w:id="44"/>
      <w:bookmarkEnd w:id="45"/>
    </w:p>
    <w:p w:rsidRPr="009A0019" w:rsidR="009A0019" w:rsidP="009A0019" w:rsidRDefault="009A0019" w14:paraId="0B45F02A" w14:textId="77777777">
      <w:bookmarkStart w:name="_Toc143252484" w:id="46"/>
      <w:bookmarkStart w:name="_Toc143252558" w:id="47"/>
      <w:bookmarkStart w:name="_Toc143515889" w:id="48"/>
      <w:bookmarkStart w:name="_Toc149030750" w:id="49"/>
      <w:bookmarkStart w:name="_Toc149134325" w:id="50"/>
      <w:bookmarkEnd w:id="46"/>
      <w:bookmarkEnd w:id="47"/>
      <w:bookmarkEnd w:id="48"/>
      <w:bookmarkEnd w:id="49"/>
      <w:bookmarkEnd w:id="50"/>
    </w:p>
    <w:p w:rsidRPr="009A0019" w:rsidR="009A0019" w:rsidP="009A0019" w:rsidRDefault="009A0019" w14:paraId="4E559A0C" w14:textId="77777777">
      <w:bookmarkStart w:name="_Toc143252485" w:id="51"/>
      <w:bookmarkStart w:name="_Toc143252559" w:id="52"/>
      <w:bookmarkStart w:name="_Toc143515890" w:id="53"/>
      <w:bookmarkStart w:name="_Toc149030751" w:id="54"/>
      <w:bookmarkStart w:name="_Toc149134326" w:id="55"/>
      <w:bookmarkEnd w:id="51"/>
      <w:bookmarkEnd w:id="52"/>
      <w:bookmarkEnd w:id="53"/>
      <w:bookmarkEnd w:id="54"/>
      <w:bookmarkEnd w:id="55"/>
    </w:p>
    <w:p w:rsidRPr="009A0019" w:rsidR="009A0019" w:rsidP="009A0019" w:rsidRDefault="009A0019" w14:paraId="36294BBE" w14:textId="77777777">
      <w:bookmarkStart w:name="_Toc143252486" w:id="56"/>
      <w:bookmarkStart w:name="_Toc143252560" w:id="57"/>
      <w:bookmarkStart w:name="_Toc143515891" w:id="58"/>
      <w:bookmarkStart w:name="_Toc149030752" w:id="59"/>
      <w:bookmarkStart w:name="_Toc149134327" w:id="60"/>
      <w:bookmarkEnd w:id="56"/>
      <w:bookmarkEnd w:id="57"/>
      <w:bookmarkEnd w:id="58"/>
      <w:bookmarkEnd w:id="59"/>
      <w:bookmarkEnd w:id="60"/>
    </w:p>
    <w:p w:rsidRPr="009A0019" w:rsidR="009A0019" w:rsidP="009A0019" w:rsidRDefault="009A0019" w14:paraId="12DA0074" w14:textId="77777777">
      <w:bookmarkStart w:name="_Toc143252487" w:id="61"/>
      <w:bookmarkStart w:name="_Toc143252561" w:id="62"/>
      <w:bookmarkStart w:name="_Toc143515892" w:id="63"/>
      <w:bookmarkStart w:name="_Toc149030753" w:id="64"/>
      <w:bookmarkStart w:name="_Toc149134328" w:id="65"/>
      <w:bookmarkEnd w:id="61"/>
      <w:bookmarkEnd w:id="62"/>
      <w:bookmarkEnd w:id="63"/>
      <w:bookmarkEnd w:id="64"/>
      <w:bookmarkEnd w:id="65"/>
    </w:p>
    <w:p w:rsidR="00A645E5" w:rsidP="00857B4F" w:rsidRDefault="000F7647" w14:paraId="5F705C43" w14:textId="493EA41D">
      <w:pPr>
        <w:pStyle w:val="Heading3"/>
        <w:numPr>
          <w:ilvl w:val="2"/>
          <w:numId w:val="25"/>
        </w:numPr>
        <w:tabs>
          <w:tab w:val="left" w:pos="1170"/>
        </w:tabs>
        <w:ind w:hanging="540"/>
      </w:pPr>
      <w:bookmarkStart w:name="_Toc149134329" w:id="66"/>
      <w:r w:rsidRPr="000F7647">
        <w:t xml:space="preserve">DSR Guarantee </w:t>
      </w:r>
      <w:r w:rsidR="00A645E5">
        <w:t>Location</w:t>
      </w:r>
      <w:bookmarkEnd w:id="66"/>
    </w:p>
    <w:p w:rsidRPr="00575D58" w:rsidR="00575D58" w:rsidP="00A300E0" w:rsidRDefault="00A300E0" w14:paraId="055C7953" w14:textId="0AB736DE">
      <w:pPr>
        <w:ind w:left="360"/>
      </w:pPr>
      <w:r w:rsidRPr="00A300E0">
        <w:t xml:space="preserve">Per legislation and after the July 2023 appropriation the </w:t>
      </w:r>
      <w:r w:rsidR="00AD74CA">
        <w:t xml:space="preserve">DSR Guarantee </w:t>
      </w:r>
      <w:r w:rsidRPr="00A300E0">
        <w:t>will be transferred from the General Fund to Fund 3411</w:t>
      </w:r>
      <w:r w:rsidRPr="00A300E0" w:rsidR="00927730">
        <w:t>.</w:t>
      </w:r>
      <w:r w:rsidR="00AC7A85">
        <w:rPr>
          <w:rStyle w:val="FootnoteReference"/>
        </w:rPr>
        <w:footnoteReference w:id="15"/>
      </w:r>
      <w:r w:rsidRPr="00A300E0">
        <w:t xml:space="preserve"> The CPUC will work with the California Department of Finance and the State Controller’s Office to initiate the transfer. Following the transfer, </w:t>
      </w:r>
      <w:r w:rsidR="00164602">
        <w:t>Commission Staff anticipates</w:t>
      </w:r>
      <w:r w:rsidRPr="00A300E0">
        <w:t xml:space="preserve"> the </w:t>
      </w:r>
      <w:r w:rsidR="00AD74CA">
        <w:t xml:space="preserve">DSR Guarantee </w:t>
      </w:r>
      <w:r w:rsidRPr="00A300E0">
        <w:t>will be managed by the CPUC</w:t>
      </w:r>
      <w:r w:rsidR="004D0A28">
        <w:t xml:space="preserve"> or its Fiscal Agent</w:t>
      </w:r>
      <w:r w:rsidRPr="00A300E0">
        <w:t xml:space="preserve"> and any funds not reserved by </w:t>
      </w:r>
      <w:r w:rsidR="001208E7">
        <w:t>awardees</w:t>
      </w:r>
      <w:r w:rsidRPr="00A300E0" w:rsidR="001208E7">
        <w:t xml:space="preserve"> </w:t>
      </w:r>
      <w:r w:rsidRPr="00A300E0">
        <w:t>shall be placed in the Surplus Money Investment Fund (SMIF)</w:t>
      </w:r>
      <w:r w:rsidR="004D0A28">
        <w:t xml:space="preserve"> or an investment of the CPUC’s choosing</w:t>
      </w:r>
      <w:r w:rsidRPr="00A300E0">
        <w:t>.</w:t>
      </w:r>
    </w:p>
    <w:p w:rsidR="009B19BB" w:rsidP="00857B4F" w:rsidRDefault="009B19BB" w14:paraId="53D9D1BF" w14:textId="31C089B0">
      <w:pPr>
        <w:pStyle w:val="Heading2"/>
        <w:numPr>
          <w:ilvl w:val="1"/>
          <w:numId w:val="25"/>
        </w:numPr>
        <w:ind w:left="1170"/>
      </w:pPr>
      <w:bookmarkStart w:name="_Toc149134330" w:id="67"/>
      <w:r>
        <w:t xml:space="preserve">Loan Loss Program and Multiple </w:t>
      </w:r>
      <w:r w:rsidR="00065CAA">
        <w:t xml:space="preserve">Eligible Debt </w:t>
      </w:r>
      <w:r>
        <w:t>Issuances</w:t>
      </w:r>
      <w:bookmarkEnd w:id="67"/>
    </w:p>
    <w:p w:rsidRPr="009A602D" w:rsidR="009A602D" w:rsidP="009A602D" w:rsidRDefault="009A602D" w14:paraId="1B0E5889" w14:textId="59852726">
      <w:pPr>
        <w:ind w:left="360"/>
      </w:pPr>
      <w:r w:rsidRPr="009A602D">
        <w:t xml:space="preserve">The LLP will permit funds to be reserved for multiple </w:t>
      </w:r>
      <w:r w:rsidR="003E6F58">
        <w:t>eligible debt</w:t>
      </w:r>
      <w:r w:rsidRPr="009A602D" w:rsidR="003E6F58">
        <w:t xml:space="preserve"> </w:t>
      </w:r>
      <w:r w:rsidRPr="009A602D">
        <w:t xml:space="preserve">issuances: </w:t>
      </w:r>
      <w:r w:rsidRPr="009A602D" w:rsidDel="007761AA">
        <w:t>a</w:t>
      </w:r>
      <w:r w:rsidRPr="009A602D" w:rsidDel="001208E7">
        <w:t>pplicants</w:t>
      </w:r>
      <w:r w:rsidRPr="009A602D">
        <w:t xml:space="preserve"> </w:t>
      </w:r>
      <w:r w:rsidR="00693030">
        <w:t>are</w:t>
      </w:r>
      <w:r w:rsidRPr="009A602D">
        <w:t xml:space="preserve"> able to reserve funds to provide new credit enhancements for multiple projects. Applicants are required to submit a new application when they plan to issue new </w:t>
      </w:r>
      <w:r w:rsidR="003E6F58">
        <w:t>debt</w:t>
      </w:r>
      <w:r w:rsidRPr="009A602D">
        <w:t xml:space="preserve">. Funds will be awarded on a per-application and </w:t>
      </w:r>
      <w:r w:rsidR="00387180">
        <w:t>per-project</w:t>
      </w:r>
      <w:r w:rsidRPr="009A602D">
        <w:t xml:space="preserve"> </w:t>
      </w:r>
      <w:r w:rsidRPr="009A602D" w:rsidR="00AE32FB">
        <w:t>basis and</w:t>
      </w:r>
      <w:r w:rsidRPr="009A602D">
        <w:t xml:space="preserve"> will require a new application for each reservation.</w:t>
      </w:r>
    </w:p>
    <w:p w:rsidR="009D794E" w:rsidP="00857B4F" w:rsidRDefault="009D794E" w14:paraId="1621AAB5" w14:textId="45270B3A">
      <w:pPr>
        <w:pStyle w:val="Heading2"/>
        <w:numPr>
          <w:ilvl w:val="1"/>
          <w:numId w:val="25"/>
        </w:numPr>
        <w:ind w:left="1170"/>
      </w:pPr>
      <w:bookmarkStart w:name="_Toc149134331" w:id="68"/>
      <w:r>
        <w:t>Loan Loss Program Funding Allocation Timing</w:t>
      </w:r>
      <w:bookmarkEnd w:id="68"/>
    </w:p>
    <w:p w:rsidRPr="005736DB" w:rsidR="005736DB" w:rsidP="005736DB" w:rsidRDefault="001208E7" w14:paraId="49B523B1" w14:textId="0A6F95CA">
      <w:pPr>
        <w:ind w:left="360"/>
      </w:pPr>
      <w:r>
        <w:t>Awardees</w:t>
      </w:r>
      <w:r w:rsidRPr="005736DB">
        <w:t xml:space="preserve"> </w:t>
      </w:r>
      <w:r w:rsidR="00D100CE">
        <w:t>can</w:t>
      </w:r>
      <w:r w:rsidRPr="005736DB" w:rsidR="005736DB">
        <w:t xml:space="preserve"> encumber funds in the LLP to be used as a credit enhancement for up to 30 years. Shorter times are preferable so that funding can be released, returned to the fund, and redistributed to support other projects.</w:t>
      </w:r>
    </w:p>
    <w:p w:rsidR="009D794E" w:rsidP="00857B4F" w:rsidRDefault="007608DE" w14:paraId="3F123AEF" w14:textId="34034031">
      <w:pPr>
        <w:pStyle w:val="Heading2"/>
        <w:numPr>
          <w:ilvl w:val="1"/>
          <w:numId w:val="25"/>
        </w:numPr>
        <w:ind w:left="1170"/>
      </w:pPr>
      <w:bookmarkStart w:name="_Toc149134332" w:id="69"/>
      <w:r>
        <w:t>Loan Loss Program Matching Funds Are Not Required</w:t>
      </w:r>
      <w:bookmarkEnd w:id="69"/>
    </w:p>
    <w:p w:rsidRPr="00181349" w:rsidR="00181349" w:rsidP="00857B4F" w:rsidRDefault="004C55CE" w14:paraId="4E138B96" w14:textId="6A56C291">
      <w:pPr>
        <w:ind w:firstLine="360"/>
      </w:pPr>
      <w:r w:rsidRPr="5566778A">
        <w:rPr>
          <w:rFonts w:eastAsiaTheme="minorEastAsia"/>
        </w:rPr>
        <w:t>The LLP will not require applicants to provide matching funds to support their project</w:t>
      </w:r>
      <w:r w:rsidRPr="5566778A" w:rsidR="0041759E">
        <w:rPr>
          <w:rFonts w:eastAsiaTheme="minorEastAsia"/>
        </w:rPr>
        <w:t>.</w:t>
      </w:r>
      <w:r w:rsidRPr="5566778A" w:rsidR="00854423">
        <w:rPr>
          <w:rFonts w:eastAsiaTheme="minorEastAsia"/>
        </w:rPr>
        <w:t xml:space="preserve"> </w:t>
      </w:r>
    </w:p>
    <w:p w:rsidR="007608DE" w:rsidP="00857B4F" w:rsidRDefault="002B4EED" w14:paraId="0CA3CFCD" w14:textId="640BF900">
      <w:pPr>
        <w:pStyle w:val="Heading2"/>
        <w:numPr>
          <w:ilvl w:val="1"/>
          <w:numId w:val="25"/>
        </w:numPr>
        <w:ind w:left="1170"/>
      </w:pPr>
      <w:bookmarkStart w:name="_Toc149134333" w:id="70"/>
      <w:r>
        <w:t>Provisions for Increased Capitalized Interest After Application Approval</w:t>
      </w:r>
      <w:bookmarkEnd w:id="70"/>
    </w:p>
    <w:p w:rsidRPr="00FE42F6" w:rsidR="00FE42F6" w:rsidP="00EF7963" w:rsidRDefault="00854381" w14:paraId="49556E30" w14:textId="643BD151">
      <w:pPr>
        <w:ind w:left="360"/>
      </w:pPr>
      <w:r>
        <w:t>Commission</w:t>
      </w:r>
      <w:r w:rsidR="0002798A">
        <w:t xml:space="preserve"> </w:t>
      </w:r>
      <w:r w:rsidR="00016D91">
        <w:t>S</w:t>
      </w:r>
      <w:r w:rsidR="0002798A">
        <w:t>taff</w:t>
      </w:r>
      <w:r w:rsidR="00016D91">
        <w:t xml:space="preserve"> </w:t>
      </w:r>
      <w:r w:rsidR="00F53084">
        <w:t>will</w:t>
      </w:r>
      <w:r w:rsidR="0002798A">
        <w:t xml:space="preserve"> ministerially approve support for an increase in capitalized interest of up to 20% above the amount identified in the project application if allowable under applicable law.</w:t>
      </w:r>
      <w:r w:rsidR="00EF7963">
        <w:t xml:space="preserve"> </w:t>
      </w:r>
      <w:r w:rsidR="001208E7">
        <w:t xml:space="preserve">Awardees </w:t>
      </w:r>
      <w:r w:rsidR="001A1A86">
        <w:t>must</w:t>
      </w:r>
      <w:r w:rsidR="00E71BD1">
        <w:t xml:space="preserve"> attest</w:t>
      </w:r>
      <w:r w:rsidR="00085906">
        <w:t xml:space="preserve"> and </w:t>
      </w:r>
      <w:r w:rsidR="001A1A86">
        <w:t>provide</w:t>
      </w:r>
      <w:r w:rsidR="0002798A">
        <w:t xml:space="preserve"> </w:t>
      </w:r>
      <w:r w:rsidR="00085906">
        <w:t xml:space="preserve">documentation </w:t>
      </w:r>
      <w:r w:rsidR="00DC24AA">
        <w:t>demonstrating</w:t>
      </w:r>
      <w:r w:rsidR="0094423A">
        <w:t xml:space="preserve"> </w:t>
      </w:r>
      <w:r w:rsidR="0002798A">
        <w:t xml:space="preserve">that the increase in costs </w:t>
      </w:r>
      <w:r w:rsidR="003A66BB">
        <w:t>is</w:t>
      </w:r>
      <w:r w:rsidR="0002798A">
        <w:t xml:space="preserve"> due to factors outside their control in a letter to the Director of Communications Divisio</w:t>
      </w:r>
      <w:r w:rsidR="00FE42F6">
        <w:t>n</w:t>
      </w:r>
      <w:r w:rsidR="005F2F63">
        <w:t>.</w:t>
      </w:r>
    </w:p>
    <w:p w:rsidR="002B4EED" w:rsidP="00857B4F" w:rsidRDefault="00E21D48" w14:paraId="4E944E0D" w14:textId="1293A597">
      <w:pPr>
        <w:pStyle w:val="Heading2"/>
        <w:numPr>
          <w:ilvl w:val="1"/>
          <w:numId w:val="25"/>
        </w:numPr>
        <w:ind w:left="1170"/>
      </w:pPr>
      <w:bookmarkStart w:name="_Toc149134334" w:id="71"/>
      <w:r>
        <w:t>Required Bond Terms</w:t>
      </w:r>
      <w:bookmarkEnd w:id="71"/>
    </w:p>
    <w:p w:rsidRPr="00C4073A" w:rsidR="00515BEC" w:rsidP="00515BEC" w:rsidRDefault="001A1A86" w14:paraId="28231ACD" w14:textId="6DF462F0">
      <w:pPr>
        <w:pStyle w:val="BodyText"/>
        <w:spacing w:before="25" w:line="259" w:lineRule="auto"/>
        <w:ind w:left="360" w:right="415"/>
      </w:pPr>
      <w:r>
        <w:t xml:space="preserve">The CPUC </w:t>
      </w:r>
      <w:r w:rsidR="00730915">
        <w:t>establishes the</w:t>
      </w:r>
      <w:r w:rsidRPr="00C4073A" w:rsidR="00515BEC">
        <w:t xml:space="preserve"> following requirements for </w:t>
      </w:r>
      <w:r w:rsidR="00C06313">
        <w:t>each</w:t>
      </w:r>
      <w:r w:rsidRPr="00C4073A" w:rsidR="00C06313">
        <w:t xml:space="preserve"> </w:t>
      </w:r>
      <w:r w:rsidRPr="00C4073A" w:rsidR="00515BEC">
        <w:t xml:space="preserve">bond issuance that receives LLP support.  The purpose of these provisions is to ensure that the </w:t>
      </w:r>
      <w:r w:rsidR="003513F2">
        <w:t xml:space="preserve">DSR Guarantee </w:t>
      </w:r>
      <w:r w:rsidRPr="00C4073A" w:rsidR="00515BEC">
        <w:t>is protected, and to ease the negotiation of bond terms by setting a minimum standard before bond negotiations begin</w:t>
      </w:r>
      <w:r w:rsidR="00515BEC">
        <w:t>, which include:</w:t>
      </w:r>
    </w:p>
    <w:p w:rsidRPr="009443D2" w:rsidR="00515BEC" w:rsidP="68B2E658" w:rsidRDefault="00515BEC" w14:paraId="65C7EB95" w14:textId="59909AC9">
      <w:pPr>
        <w:pStyle w:val="ListParagraph"/>
        <w:widowControl w:val="0"/>
        <w:numPr>
          <w:ilvl w:val="0"/>
          <w:numId w:val="11"/>
        </w:numPr>
        <w:autoSpaceDE w:val="0"/>
        <w:autoSpaceDN w:val="0"/>
        <w:spacing w:before="234" w:after="0" w:line="277" w:lineRule="exact"/>
        <w:ind w:right="216"/>
        <w:jc w:val="both"/>
        <w:textAlignment w:val="baseline"/>
        <w:rPr>
          <w:rFonts w:eastAsia="Times New Roman"/>
          <w:color w:val="000000"/>
          <w:spacing w:val="-1"/>
        </w:rPr>
      </w:pPr>
      <w:r w:rsidRPr="009443D2">
        <w:rPr>
          <w:rFonts w:eastAsia="Times New Roman"/>
          <w:color w:val="000000"/>
          <w:spacing w:val="-1"/>
        </w:rPr>
        <w:t xml:space="preserve">The CPUC must consent to any additional debt to be issued that can either be repaid from the same </w:t>
      </w:r>
      <w:r w:rsidR="00305D81">
        <w:rPr>
          <w:rFonts w:eastAsia="Times New Roman"/>
          <w:color w:val="000000" w:themeColor="text1"/>
        </w:rPr>
        <w:t>DSR</w:t>
      </w:r>
      <w:r w:rsidRPr="68B2E658" w:rsidR="00B82D75">
        <w:rPr>
          <w:rFonts w:eastAsia="Times New Roman"/>
          <w:color w:val="000000" w:themeColor="text1"/>
        </w:rPr>
        <w:t xml:space="preserve"> </w:t>
      </w:r>
      <w:r w:rsidR="00305D81">
        <w:rPr>
          <w:rFonts w:eastAsia="Times New Roman"/>
          <w:color w:val="000000"/>
          <w:spacing w:val="-1"/>
        </w:rPr>
        <w:t>G</w:t>
      </w:r>
      <w:r w:rsidRPr="009443D2">
        <w:rPr>
          <w:rFonts w:eastAsia="Times New Roman"/>
          <w:color w:val="000000"/>
          <w:spacing w:val="-1"/>
        </w:rPr>
        <w:t xml:space="preserve">uarantee or that </w:t>
      </w:r>
      <w:r>
        <w:rPr>
          <w:rFonts w:eastAsia="Times New Roman"/>
          <w:color w:val="000000"/>
          <w:spacing w:val="-1"/>
        </w:rPr>
        <w:t>materially</w:t>
      </w:r>
      <w:r w:rsidRPr="009443D2">
        <w:rPr>
          <w:rFonts w:eastAsia="Times New Roman"/>
          <w:color w:val="000000"/>
          <w:spacing w:val="-1"/>
        </w:rPr>
        <w:t xml:space="preserve"> impact</w:t>
      </w:r>
      <w:r w:rsidRPr="009443D2" w:rsidR="608173C1">
        <w:rPr>
          <w:rFonts w:eastAsia="Times New Roman"/>
          <w:color w:val="000000"/>
          <w:spacing w:val="-1"/>
        </w:rPr>
        <w:t>s</w:t>
      </w:r>
      <w:r w:rsidRPr="009443D2">
        <w:rPr>
          <w:rFonts w:eastAsia="Times New Roman"/>
          <w:color w:val="000000"/>
          <w:spacing w:val="-1"/>
        </w:rPr>
        <w:t xml:space="preserve"> the revenue repayment source on an existing </w:t>
      </w:r>
      <w:r w:rsidR="00305D81">
        <w:rPr>
          <w:rFonts w:eastAsia="Times New Roman"/>
          <w:color w:val="000000" w:themeColor="text1"/>
        </w:rPr>
        <w:t>DSR</w:t>
      </w:r>
      <w:r w:rsidRPr="009443D2">
        <w:rPr>
          <w:rFonts w:eastAsia="Times New Roman"/>
          <w:color w:val="000000"/>
          <w:spacing w:val="-1"/>
        </w:rPr>
        <w:t xml:space="preserve"> </w:t>
      </w:r>
      <w:r w:rsidR="00305D81">
        <w:rPr>
          <w:rFonts w:eastAsia="Times New Roman"/>
          <w:color w:val="000000"/>
          <w:spacing w:val="-1"/>
        </w:rPr>
        <w:t>G</w:t>
      </w:r>
      <w:r w:rsidRPr="009443D2">
        <w:rPr>
          <w:rFonts w:eastAsia="Times New Roman"/>
          <w:color w:val="000000"/>
          <w:spacing w:val="-1"/>
        </w:rPr>
        <w:t>uarantee</w:t>
      </w:r>
      <w:r>
        <w:rPr>
          <w:rFonts w:eastAsia="Times New Roman"/>
          <w:color w:val="000000"/>
          <w:spacing w:val="-1"/>
        </w:rPr>
        <w:t>.</w:t>
      </w:r>
    </w:p>
    <w:p w:rsidRPr="009443D2" w:rsidR="00515BEC" w:rsidP="00515BEC" w:rsidRDefault="00515BEC" w14:paraId="41A5AD69" w14:textId="77777777">
      <w:pPr>
        <w:pStyle w:val="ListParagraph"/>
        <w:widowControl w:val="0"/>
        <w:numPr>
          <w:ilvl w:val="0"/>
          <w:numId w:val="11"/>
        </w:numPr>
        <w:autoSpaceDE w:val="0"/>
        <w:autoSpaceDN w:val="0"/>
        <w:spacing w:before="234" w:after="0" w:line="277" w:lineRule="exact"/>
        <w:ind w:right="216"/>
        <w:contextualSpacing w:val="0"/>
        <w:jc w:val="both"/>
        <w:textAlignment w:val="baseline"/>
        <w:rPr>
          <w:rFonts w:eastAsia="Times New Roman"/>
          <w:color w:val="000000"/>
          <w:spacing w:val="-1"/>
        </w:rPr>
      </w:pPr>
      <w:r w:rsidRPr="009443D2">
        <w:rPr>
          <w:rFonts w:eastAsia="Times New Roman"/>
          <w:color w:val="000000"/>
          <w:spacing w:val="-1"/>
        </w:rPr>
        <w:t xml:space="preserve">The bond trustee shall not be replaced without the consent of the CPUC. </w:t>
      </w:r>
    </w:p>
    <w:p w:rsidR="003950BE" w:rsidP="003950BE" w:rsidRDefault="00515BEC" w14:paraId="7E3256EC" w14:textId="77777777">
      <w:pPr>
        <w:pStyle w:val="ListParagraph"/>
        <w:widowControl w:val="0"/>
        <w:numPr>
          <w:ilvl w:val="0"/>
          <w:numId w:val="11"/>
        </w:numPr>
        <w:autoSpaceDE w:val="0"/>
        <w:autoSpaceDN w:val="0"/>
        <w:spacing w:before="234" w:after="0" w:line="277" w:lineRule="exact"/>
        <w:ind w:right="216"/>
        <w:contextualSpacing w:val="0"/>
        <w:jc w:val="both"/>
        <w:textAlignment w:val="baseline"/>
        <w:rPr>
          <w:rFonts w:eastAsia="Times New Roman"/>
          <w:color w:val="000000"/>
          <w:spacing w:val="-1"/>
        </w:rPr>
      </w:pPr>
      <w:r w:rsidRPr="009443D2">
        <w:rPr>
          <w:rFonts w:eastAsia="Times New Roman"/>
          <w:color w:val="000000"/>
          <w:spacing w:val="-1"/>
        </w:rPr>
        <w:t>Bond documents and indentures shall not be revised without the consent of the CPUC.</w:t>
      </w:r>
    </w:p>
    <w:p w:rsidRPr="00857B4F" w:rsidR="00515BEC" w:rsidP="00857B4F" w:rsidRDefault="00515BEC" w14:paraId="0BFA7FC5" w14:textId="22785A71">
      <w:pPr>
        <w:pStyle w:val="ListParagraph"/>
        <w:widowControl w:val="0"/>
        <w:autoSpaceDE w:val="0"/>
        <w:autoSpaceDN w:val="0"/>
        <w:spacing w:after="0" w:line="277" w:lineRule="exact"/>
        <w:ind w:left="1440" w:right="216"/>
        <w:contextualSpacing w:val="0"/>
        <w:jc w:val="both"/>
        <w:textAlignment w:val="baseline"/>
        <w:rPr>
          <w:rFonts w:eastAsia="Times New Roman"/>
          <w:color w:val="000000"/>
          <w:spacing w:val="-1"/>
        </w:rPr>
      </w:pPr>
      <w:r w:rsidRPr="00857B4F">
        <w:rPr>
          <w:rFonts w:eastAsia="Times New Roman"/>
          <w:color w:val="000000"/>
          <w:spacing w:val="-1"/>
        </w:rPr>
        <w:t xml:space="preserve">  </w:t>
      </w:r>
    </w:p>
    <w:p w:rsidRPr="009443D2" w:rsidR="00515BEC" w:rsidP="4E875F7F" w:rsidRDefault="00515BEC" w14:paraId="24046E40" w14:textId="15267A2D">
      <w:pPr>
        <w:pStyle w:val="ListParagraph"/>
        <w:widowControl w:val="0"/>
        <w:numPr>
          <w:ilvl w:val="0"/>
          <w:numId w:val="11"/>
        </w:numPr>
        <w:autoSpaceDE w:val="0"/>
        <w:autoSpaceDN w:val="0"/>
        <w:spacing w:before="234" w:after="0" w:line="277" w:lineRule="exact"/>
        <w:ind w:right="216"/>
        <w:jc w:val="both"/>
        <w:textAlignment w:val="baseline"/>
        <w:rPr>
          <w:rFonts w:eastAsia="Times New Roman"/>
          <w:color w:val="000000"/>
          <w:spacing w:val="-1"/>
        </w:rPr>
      </w:pPr>
      <w:r w:rsidRPr="009443D2">
        <w:rPr>
          <w:rFonts w:eastAsia="Times New Roman"/>
          <w:color w:val="000000" w:themeColor="text1"/>
        </w:rPr>
        <w:t xml:space="preserve">Ongoing information such as audited financial information, notices of draws on reserve accounts prior to any withdrawals, </w:t>
      </w:r>
      <w:r w:rsidRPr="4E875F7F">
        <w:rPr>
          <w:rFonts w:eastAsia="Times New Roman"/>
          <w:color w:val="000000" w:themeColor="text1"/>
        </w:rPr>
        <w:t>notice</w:t>
      </w:r>
      <w:r w:rsidRPr="4E875F7F" w:rsidR="5A951419">
        <w:rPr>
          <w:rFonts w:eastAsia="Times New Roman"/>
          <w:color w:val="000000" w:themeColor="text1"/>
        </w:rPr>
        <w:t>s</w:t>
      </w:r>
      <w:r w:rsidRPr="009443D2">
        <w:rPr>
          <w:rFonts w:eastAsia="Times New Roman"/>
          <w:color w:val="000000" w:themeColor="text1"/>
        </w:rPr>
        <w:t xml:space="preserve"> of defaults, prior redemption/refunding notices, </w:t>
      </w:r>
      <w:r w:rsidRPr="4E875F7F">
        <w:rPr>
          <w:rFonts w:eastAsia="Times New Roman"/>
          <w:color w:val="000000" w:themeColor="text1"/>
        </w:rPr>
        <w:t>notice</w:t>
      </w:r>
      <w:r w:rsidRPr="4E875F7F" w:rsidR="01B6A473">
        <w:rPr>
          <w:rFonts w:eastAsia="Times New Roman"/>
          <w:color w:val="000000" w:themeColor="text1"/>
        </w:rPr>
        <w:t>s</w:t>
      </w:r>
      <w:r w:rsidRPr="009443D2">
        <w:rPr>
          <w:rFonts w:eastAsia="Times New Roman"/>
          <w:color w:val="000000" w:themeColor="text1"/>
        </w:rPr>
        <w:t xml:space="preserve"> of commencement of any bankruptcy proceedings, and any notices (including rating agency-related matters) that go to bond owners/lenders must also be sent</w:t>
      </w:r>
      <w:r>
        <w:rPr>
          <w:rFonts w:eastAsia="Times New Roman"/>
          <w:color w:val="000000" w:themeColor="text1"/>
        </w:rPr>
        <w:t xml:space="preserve"> concurrently</w:t>
      </w:r>
      <w:r w:rsidRPr="009443D2">
        <w:rPr>
          <w:rFonts w:eastAsia="Times New Roman"/>
          <w:color w:val="000000" w:themeColor="text1"/>
        </w:rPr>
        <w:t xml:space="preserve"> to the CPUC and its representatives.</w:t>
      </w:r>
    </w:p>
    <w:p w:rsidRPr="009443D2" w:rsidR="00515BEC" w:rsidP="00515BEC" w:rsidRDefault="00515BEC" w14:paraId="5906643E" w14:textId="77777777">
      <w:pPr>
        <w:pStyle w:val="ListParagraph"/>
        <w:widowControl w:val="0"/>
        <w:numPr>
          <w:ilvl w:val="0"/>
          <w:numId w:val="11"/>
        </w:numPr>
        <w:autoSpaceDE w:val="0"/>
        <w:autoSpaceDN w:val="0"/>
        <w:spacing w:before="234" w:after="0" w:line="277" w:lineRule="exact"/>
        <w:ind w:right="216"/>
        <w:contextualSpacing w:val="0"/>
        <w:jc w:val="both"/>
        <w:textAlignment w:val="baseline"/>
        <w:rPr>
          <w:rFonts w:eastAsia="Times New Roman"/>
          <w:color w:val="000000"/>
          <w:spacing w:val="-1"/>
        </w:rPr>
      </w:pPr>
      <w:r w:rsidRPr="009443D2">
        <w:rPr>
          <w:rFonts w:eastAsia="Times New Roman"/>
          <w:color w:val="000000" w:themeColor="text1"/>
        </w:rPr>
        <w:t>The CPUC is a third-party beneficiary of the issuing documentation</w:t>
      </w:r>
      <w:r>
        <w:rPr>
          <w:rFonts w:eastAsia="Times New Roman"/>
          <w:color w:val="000000" w:themeColor="text1"/>
        </w:rPr>
        <w:t>.</w:t>
      </w:r>
    </w:p>
    <w:p w:rsidRPr="00857B4F" w:rsidR="00515BEC" w:rsidP="00857B4F" w:rsidRDefault="00515BEC" w14:paraId="654073F1" w14:textId="26792DEE">
      <w:pPr>
        <w:pStyle w:val="ListParagraph"/>
        <w:widowControl w:val="0"/>
        <w:numPr>
          <w:ilvl w:val="0"/>
          <w:numId w:val="11"/>
        </w:numPr>
        <w:autoSpaceDE w:val="0"/>
        <w:autoSpaceDN w:val="0"/>
        <w:spacing w:before="234" w:after="234" w:line="277" w:lineRule="exact"/>
        <w:ind w:right="216"/>
        <w:contextualSpacing w:val="0"/>
        <w:jc w:val="both"/>
        <w:textAlignment w:val="baseline"/>
        <w:rPr>
          <w:rFonts w:eastAsia="Times New Roman"/>
          <w:color w:val="000000"/>
          <w:spacing w:val="-1"/>
        </w:rPr>
      </w:pPr>
      <w:r w:rsidRPr="009443D2">
        <w:rPr>
          <w:rFonts w:eastAsia="Times New Roman"/>
          <w:color w:val="000000" w:themeColor="text1"/>
        </w:rPr>
        <w:t>Delinquent payments owed to the credit enhancer</w:t>
      </w:r>
      <w:r>
        <w:rPr>
          <w:rFonts w:eastAsia="Times New Roman"/>
          <w:color w:val="000000" w:themeColor="text1"/>
        </w:rPr>
        <w:t xml:space="preserve"> (CPUC) </w:t>
      </w:r>
      <w:r w:rsidRPr="009443D2">
        <w:rPr>
          <w:rFonts w:eastAsia="Times New Roman"/>
          <w:color w:val="000000" w:themeColor="text1"/>
        </w:rPr>
        <w:t xml:space="preserve">will be </w:t>
      </w:r>
      <w:r w:rsidR="00E153E7">
        <w:rPr>
          <w:rFonts w:eastAsia="Times New Roman"/>
          <w:color w:val="000000" w:themeColor="text1"/>
        </w:rPr>
        <w:t>based on</w:t>
      </w:r>
      <w:r w:rsidRPr="009443D2">
        <w:rPr>
          <w:rFonts w:eastAsia="Times New Roman"/>
          <w:color w:val="000000" w:themeColor="text1"/>
        </w:rPr>
        <w:t xml:space="preserve"> </w:t>
      </w:r>
      <w:r w:rsidRPr="00857B4F">
        <w:rPr>
          <w:rFonts w:eastAsia="Times New Roman"/>
          <w:color w:val="000000" w:themeColor="text1"/>
        </w:rPr>
        <w:t>the</w:t>
      </w:r>
      <w:r w:rsidRPr="00857B4F" w:rsidR="00261213">
        <w:rPr>
          <w:rFonts w:eastAsia="Times New Roman"/>
          <w:color w:val="000000" w:themeColor="text1"/>
        </w:rPr>
        <w:t xml:space="preserve"> prime rate</w:t>
      </w:r>
      <w:r w:rsidR="00BE250B">
        <w:rPr>
          <w:rFonts w:eastAsia="Times New Roman"/>
          <w:color w:val="000000" w:themeColor="text1"/>
        </w:rPr>
        <w:t xml:space="preserve"> plus one percent</w:t>
      </w:r>
      <w:r w:rsidRPr="00857B4F" w:rsidR="00085A08">
        <w:rPr>
          <w:rFonts w:eastAsia="Times New Roman"/>
          <w:color w:val="000000" w:themeColor="text1"/>
        </w:rPr>
        <w:t>, compounded monthly</w:t>
      </w:r>
      <w:r w:rsidRPr="00857B4F" w:rsidR="003F1DA2">
        <w:rPr>
          <w:rFonts w:eastAsia="Times New Roman"/>
          <w:color w:val="000000" w:themeColor="text1"/>
        </w:rPr>
        <w:t xml:space="preserve"> after the 3-month </w:t>
      </w:r>
      <w:r w:rsidRPr="00857B4F" w:rsidR="001150C4">
        <w:rPr>
          <w:rFonts w:eastAsia="Times New Roman"/>
          <w:color w:val="000000" w:themeColor="text1"/>
        </w:rPr>
        <w:t>grace period</w:t>
      </w:r>
      <w:r w:rsidRPr="00857B4F" w:rsidR="00261213">
        <w:rPr>
          <w:rFonts w:eastAsia="Times New Roman"/>
          <w:color w:val="000000" w:themeColor="text1"/>
        </w:rPr>
        <w:t>.</w:t>
      </w:r>
    </w:p>
    <w:p w:rsidRPr="009443D2" w:rsidR="00515BEC" w:rsidP="4E875F7F" w:rsidRDefault="00515BEC" w14:paraId="74ACC116" w14:textId="7B5F651C">
      <w:pPr>
        <w:pStyle w:val="ListParagraph"/>
        <w:widowControl w:val="0"/>
        <w:numPr>
          <w:ilvl w:val="0"/>
          <w:numId w:val="11"/>
        </w:numPr>
        <w:autoSpaceDE w:val="0"/>
        <w:autoSpaceDN w:val="0"/>
        <w:spacing w:before="234" w:after="0" w:line="277" w:lineRule="exact"/>
        <w:ind w:right="216"/>
        <w:jc w:val="both"/>
        <w:textAlignment w:val="baseline"/>
        <w:rPr>
          <w:rFonts w:eastAsia="Times New Roman"/>
          <w:color w:val="000000"/>
          <w:spacing w:val="-1"/>
        </w:rPr>
      </w:pPr>
      <w:r w:rsidRPr="009443D2">
        <w:rPr>
          <w:rFonts w:eastAsia="Times New Roman"/>
          <w:color w:val="000000"/>
          <w:spacing w:val="-1"/>
        </w:rPr>
        <w:t xml:space="preserve">Any </w:t>
      </w:r>
      <w:r w:rsidR="00845BDE">
        <w:rPr>
          <w:rFonts w:eastAsia="Times New Roman"/>
          <w:color w:val="000000"/>
          <w:spacing w:val="-1"/>
        </w:rPr>
        <w:t>agreements</w:t>
      </w:r>
      <w:r w:rsidRPr="009443D2" w:rsidR="00845BDE">
        <w:rPr>
          <w:rFonts w:eastAsia="Times New Roman"/>
          <w:color w:val="000000"/>
          <w:spacing w:val="-1"/>
        </w:rPr>
        <w:t xml:space="preserve"> </w:t>
      </w:r>
      <w:r w:rsidRPr="009443D2">
        <w:rPr>
          <w:rFonts w:eastAsia="Times New Roman"/>
          <w:color w:val="000000"/>
          <w:spacing w:val="-1"/>
        </w:rPr>
        <w:t xml:space="preserve">that </w:t>
      </w:r>
      <w:r w:rsidR="00B5297D">
        <w:rPr>
          <w:rFonts w:eastAsia="Times New Roman"/>
          <w:color w:val="000000"/>
          <w:spacing w:val="-1"/>
        </w:rPr>
        <w:t>materially</w:t>
      </w:r>
      <w:r w:rsidRPr="009443D2">
        <w:rPr>
          <w:rFonts w:eastAsia="Times New Roman"/>
          <w:color w:val="000000"/>
          <w:spacing w:val="-1"/>
        </w:rPr>
        <w:t xml:space="preserve"> impact the security or sources of repayment of the bonds or credit enhancer </w:t>
      </w:r>
      <w:r>
        <w:rPr>
          <w:rFonts w:eastAsia="Times New Roman"/>
          <w:color w:val="000000"/>
          <w:spacing w:val="-1"/>
        </w:rPr>
        <w:t>(CPUC)</w:t>
      </w:r>
      <w:r w:rsidRPr="009443D2">
        <w:rPr>
          <w:rFonts w:eastAsia="Times New Roman"/>
          <w:color w:val="000000"/>
          <w:spacing w:val="-1"/>
        </w:rPr>
        <w:t xml:space="preserve"> cannot be entered into without the prior written consent of the CPUC</w:t>
      </w:r>
      <w:r>
        <w:rPr>
          <w:rFonts w:eastAsia="Times New Roman"/>
          <w:color w:val="000000"/>
          <w:spacing w:val="-1"/>
        </w:rPr>
        <w:t>.</w:t>
      </w:r>
    </w:p>
    <w:p w:rsidRPr="009443D2" w:rsidR="00515BEC" w:rsidP="00515BEC" w:rsidRDefault="00515BEC" w14:paraId="22784F59" w14:textId="77777777">
      <w:pPr>
        <w:pStyle w:val="ListParagraph"/>
        <w:widowControl w:val="0"/>
        <w:numPr>
          <w:ilvl w:val="0"/>
          <w:numId w:val="11"/>
        </w:numPr>
        <w:autoSpaceDE w:val="0"/>
        <w:autoSpaceDN w:val="0"/>
        <w:spacing w:before="234" w:after="0" w:line="277" w:lineRule="exact"/>
        <w:ind w:right="216"/>
        <w:contextualSpacing w:val="0"/>
        <w:jc w:val="both"/>
        <w:textAlignment w:val="baseline"/>
        <w:rPr>
          <w:rFonts w:eastAsia="Times New Roman"/>
          <w:color w:val="000000"/>
          <w:spacing w:val="-1"/>
        </w:rPr>
      </w:pPr>
      <w:r w:rsidRPr="009443D2">
        <w:rPr>
          <w:rFonts w:eastAsia="Times New Roman"/>
          <w:color w:val="000000"/>
          <w:spacing w:val="-1"/>
        </w:rPr>
        <w:t>Legal opinions also must be addressed to the CPUC and its legal representatives</w:t>
      </w:r>
      <w:r>
        <w:rPr>
          <w:rFonts w:eastAsia="Times New Roman"/>
          <w:color w:val="000000"/>
          <w:spacing w:val="-1"/>
        </w:rPr>
        <w:t>.</w:t>
      </w:r>
    </w:p>
    <w:p w:rsidRPr="009443D2" w:rsidR="00515BEC" w:rsidP="00515BEC" w:rsidRDefault="00515BEC" w14:paraId="7C88C19A" w14:textId="65D9FB92">
      <w:pPr>
        <w:pStyle w:val="ListParagraph"/>
        <w:widowControl w:val="0"/>
        <w:numPr>
          <w:ilvl w:val="0"/>
          <w:numId w:val="11"/>
        </w:numPr>
        <w:autoSpaceDE w:val="0"/>
        <w:autoSpaceDN w:val="0"/>
        <w:spacing w:before="234" w:after="0" w:line="277" w:lineRule="exact"/>
        <w:ind w:right="216"/>
        <w:contextualSpacing w:val="0"/>
        <w:jc w:val="both"/>
        <w:textAlignment w:val="baseline"/>
        <w:rPr>
          <w:rFonts w:eastAsia="Times New Roman"/>
          <w:color w:val="000000"/>
          <w:spacing w:val="-1"/>
        </w:rPr>
      </w:pPr>
      <w:r w:rsidRPr="009443D2">
        <w:rPr>
          <w:rFonts w:eastAsia="Times New Roman"/>
          <w:color w:val="000000"/>
          <w:spacing w:val="-1"/>
        </w:rPr>
        <w:t xml:space="preserve">The indenture cannot be fully discharged until all amounts </w:t>
      </w:r>
      <w:r w:rsidRPr="009443D2" w:rsidR="00C15B91">
        <w:rPr>
          <w:rFonts w:eastAsia="Times New Roman"/>
          <w:color w:val="000000"/>
          <w:spacing w:val="-1"/>
        </w:rPr>
        <w:t>due to</w:t>
      </w:r>
      <w:r w:rsidRPr="009443D2">
        <w:rPr>
          <w:rFonts w:eastAsia="Times New Roman"/>
          <w:color w:val="000000"/>
          <w:spacing w:val="-1"/>
        </w:rPr>
        <w:t xml:space="preserve"> and owing to the CPUC have been repaid</w:t>
      </w:r>
      <w:r>
        <w:rPr>
          <w:rFonts w:eastAsia="Times New Roman"/>
          <w:color w:val="000000"/>
          <w:spacing w:val="-1"/>
        </w:rPr>
        <w:t>.</w:t>
      </w:r>
    </w:p>
    <w:p w:rsidRPr="009443D2" w:rsidR="00515BEC" w:rsidP="00515BEC" w:rsidRDefault="00515BEC" w14:paraId="25781A99" w14:textId="77777777">
      <w:pPr>
        <w:pStyle w:val="ListParagraph"/>
        <w:widowControl w:val="0"/>
        <w:numPr>
          <w:ilvl w:val="0"/>
          <w:numId w:val="11"/>
        </w:numPr>
        <w:autoSpaceDE w:val="0"/>
        <w:autoSpaceDN w:val="0"/>
        <w:spacing w:before="234" w:after="0" w:line="277" w:lineRule="exact"/>
        <w:ind w:right="216"/>
        <w:contextualSpacing w:val="0"/>
        <w:jc w:val="both"/>
        <w:textAlignment w:val="baseline"/>
        <w:rPr>
          <w:rFonts w:eastAsia="Times New Roman"/>
          <w:color w:val="000000"/>
          <w:spacing w:val="-1"/>
        </w:rPr>
      </w:pPr>
      <w:r w:rsidRPr="009443D2">
        <w:rPr>
          <w:rFonts w:eastAsia="Times New Roman"/>
          <w:color w:val="000000"/>
          <w:spacing w:val="-1"/>
        </w:rPr>
        <w:t>The CPUC or its legal representatives must have signoff on flow of funds</w:t>
      </w:r>
      <w:r>
        <w:rPr>
          <w:rFonts w:eastAsia="Times New Roman"/>
          <w:color w:val="000000"/>
          <w:spacing w:val="-1"/>
        </w:rPr>
        <w:t>.</w:t>
      </w:r>
    </w:p>
    <w:p w:rsidRPr="009443D2" w:rsidR="00515BEC" w:rsidP="00515BEC" w:rsidRDefault="00515BEC" w14:paraId="0BA1178F" w14:textId="77777777">
      <w:pPr>
        <w:pStyle w:val="ListParagraph"/>
        <w:widowControl w:val="0"/>
        <w:numPr>
          <w:ilvl w:val="0"/>
          <w:numId w:val="11"/>
        </w:numPr>
        <w:autoSpaceDE w:val="0"/>
        <w:autoSpaceDN w:val="0"/>
        <w:spacing w:before="234" w:after="0" w:line="277" w:lineRule="exact"/>
        <w:ind w:right="216"/>
        <w:contextualSpacing w:val="0"/>
        <w:jc w:val="both"/>
        <w:textAlignment w:val="baseline"/>
        <w:rPr>
          <w:rFonts w:eastAsia="Times New Roman"/>
          <w:color w:val="000000"/>
          <w:spacing w:val="-1"/>
        </w:rPr>
      </w:pPr>
      <w:r w:rsidRPr="009443D2">
        <w:rPr>
          <w:rFonts w:eastAsia="Times New Roman"/>
          <w:color w:val="000000"/>
          <w:spacing w:val="-1"/>
        </w:rPr>
        <w:t>Costs/fees/amounts owed to the CPUC shall be included in calculations for additional debt to be issued.</w:t>
      </w:r>
    </w:p>
    <w:p w:rsidRPr="00974CA3" w:rsidR="00974CA3" w:rsidP="00857B4F" w:rsidRDefault="00974CA3" w14:paraId="6A257297" w14:textId="77777777"/>
    <w:p w:rsidR="00E21D48" w:rsidP="00857B4F" w:rsidRDefault="00E21D48" w14:paraId="0F2ABED4" w14:textId="0DF3899A">
      <w:pPr>
        <w:pStyle w:val="Heading2"/>
        <w:numPr>
          <w:ilvl w:val="1"/>
          <w:numId w:val="25"/>
        </w:numPr>
        <w:ind w:left="1170"/>
      </w:pPr>
      <w:bookmarkStart w:name="_Toc149134335" w:id="72"/>
      <w:r>
        <w:t>Loan Loss Program Eligible Capitalized Costs</w:t>
      </w:r>
      <w:bookmarkEnd w:id="72"/>
    </w:p>
    <w:p w:rsidRPr="004625A0" w:rsidR="004625A0" w:rsidP="00857B4F" w:rsidRDefault="009D42C9" w14:paraId="264D24E8" w14:textId="4E273D02">
      <w:pPr>
        <w:pStyle w:val="ListParagraph"/>
        <w:ind w:left="360"/>
      </w:pPr>
      <w:r>
        <w:t>Costs associated with the issuance of</w:t>
      </w:r>
      <w:r w:rsidR="003D073E">
        <w:t xml:space="preserve"> eligible</w:t>
      </w:r>
      <w:r>
        <w:t xml:space="preserve"> debt for the development of broadband infrastructure are considered</w:t>
      </w:r>
      <w:r w:rsidRPr="004C6171">
        <w:rPr>
          <w:spacing w:val="-3"/>
        </w:rPr>
        <w:t xml:space="preserve"> </w:t>
      </w:r>
      <w:r w:rsidR="00E26245">
        <w:t>approved</w:t>
      </w:r>
      <w:r w:rsidRPr="004C6171">
        <w:rPr>
          <w:spacing w:val="-2"/>
        </w:rPr>
        <w:t xml:space="preserve"> </w:t>
      </w:r>
      <w:r>
        <w:t>project</w:t>
      </w:r>
      <w:r w:rsidRPr="004C6171">
        <w:rPr>
          <w:spacing w:val="-3"/>
        </w:rPr>
        <w:t xml:space="preserve"> </w:t>
      </w:r>
      <w:r>
        <w:t>costs</w:t>
      </w:r>
      <w:r w:rsidRPr="004C6171">
        <w:rPr>
          <w:spacing w:val="-4"/>
        </w:rPr>
        <w:t xml:space="preserve"> </w:t>
      </w:r>
      <w:r>
        <w:t>under</w:t>
      </w:r>
      <w:r w:rsidRPr="004C6171">
        <w:rPr>
          <w:spacing w:val="-4"/>
        </w:rPr>
        <w:t xml:space="preserve"> </w:t>
      </w:r>
      <w:r>
        <w:t>Public</w:t>
      </w:r>
      <w:r w:rsidRPr="004C6171">
        <w:rPr>
          <w:spacing w:val="-2"/>
        </w:rPr>
        <w:t xml:space="preserve"> </w:t>
      </w:r>
      <w:r>
        <w:t>Utilities</w:t>
      </w:r>
      <w:r w:rsidRPr="004C6171">
        <w:rPr>
          <w:spacing w:val="-4"/>
        </w:rPr>
        <w:t xml:space="preserve"> </w:t>
      </w:r>
      <w:r>
        <w:t>Code</w:t>
      </w:r>
      <w:r w:rsidRPr="004C6171">
        <w:rPr>
          <w:spacing w:val="-4"/>
        </w:rPr>
        <w:t xml:space="preserve"> </w:t>
      </w:r>
      <w:r>
        <w:t>Section</w:t>
      </w:r>
      <w:r w:rsidRPr="004C6171">
        <w:rPr>
          <w:spacing w:val="-4"/>
        </w:rPr>
        <w:t xml:space="preserve"> </w:t>
      </w:r>
      <w:r>
        <w:t>281.2.</w:t>
      </w:r>
      <w:r w:rsidRPr="004C6171">
        <w:rPr>
          <w:spacing w:val="-3"/>
        </w:rPr>
        <w:t xml:space="preserve"> </w:t>
      </w:r>
      <w:r w:rsidRPr="004C6171" w:rsidR="00C06C5C">
        <w:rPr>
          <w:spacing w:val="-3"/>
        </w:rPr>
        <w:t xml:space="preserve">Costs of issuance will be </w:t>
      </w:r>
      <w:r w:rsidRPr="008E107E" w:rsidR="00C06C5C">
        <w:rPr>
          <w:spacing w:val="-3"/>
        </w:rPr>
        <w:t xml:space="preserve">included within the debt that may be covered by the LLP. </w:t>
      </w:r>
      <w:r w:rsidRPr="00E809D5">
        <w:rPr>
          <w:rFonts w:ascii="Calibri" w:hAnsi="Calibri" w:eastAsia="Calibri" w:cs="Calibri"/>
        </w:rPr>
        <w:t>These</w:t>
      </w:r>
      <w:r w:rsidRPr="00E809D5">
        <w:rPr>
          <w:rFonts w:ascii="Calibri" w:hAnsi="Calibri" w:eastAsia="Calibri" w:cs="Calibri"/>
          <w:spacing w:val="-4"/>
        </w:rPr>
        <w:t xml:space="preserve"> </w:t>
      </w:r>
      <w:r w:rsidRPr="00E809D5">
        <w:rPr>
          <w:rFonts w:ascii="Calibri" w:hAnsi="Calibri" w:eastAsia="Calibri" w:cs="Calibri"/>
        </w:rPr>
        <w:t>include</w:t>
      </w:r>
      <w:r w:rsidRPr="00E809D5">
        <w:rPr>
          <w:rFonts w:ascii="Calibri" w:hAnsi="Calibri" w:eastAsia="Calibri" w:cs="Calibri"/>
          <w:spacing w:val="-3"/>
        </w:rPr>
        <w:t xml:space="preserve"> </w:t>
      </w:r>
      <w:r w:rsidRPr="00E809D5">
        <w:rPr>
          <w:rFonts w:ascii="Calibri" w:hAnsi="Calibri" w:eastAsia="Calibri" w:cs="Calibri"/>
        </w:rPr>
        <w:t>costs</w:t>
      </w:r>
      <w:r w:rsidRPr="00E809D5">
        <w:rPr>
          <w:rFonts w:ascii="Calibri" w:hAnsi="Calibri" w:eastAsia="Calibri" w:cs="Calibri"/>
          <w:spacing w:val="-4"/>
        </w:rPr>
        <w:t xml:space="preserve"> </w:t>
      </w:r>
      <w:r w:rsidRPr="00E809D5">
        <w:rPr>
          <w:rFonts w:ascii="Calibri" w:hAnsi="Calibri" w:eastAsia="Calibri" w:cs="Calibri"/>
        </w:rPr>
        <w:t>related, but not limited, to</w:t>
      </w:r>
      <w:r w:rsidR="00122A2D">
        <w:t xml:space="preserve"> </w:t>
      </w:r>
      <w:r w:rsidR="00765F0B">
        <w:t>p</w:t>
      </w:r>
      <w:r w:rsidRPr="009443D2">
        <w:t>ayment</w:t>
      </w:r>
      <w:r w:rsidRPr="00991CAC">
        <w:rPr>
          <w:spacing w:val="-7"/>
        </w:rPr>
        <w:t xml:space="preserve"> </w:t>
      </w:r>
      <w:r w:rsidRPr="009443D2">
        <w:t>of</w:t>
      </w:r>
      <w:r w:rsidRPr="00991CAC">
        <w:rPr>
          <w:spacing w:val="-6"/>
        </w:rPr>
        <w:t xml:space="preserve"> </w:t>
      </w:r>
      <w:r w:rsidRPr="009443D2">
        <w:t>costs</w:t>
      </w:r>
      <w:r w:rsidRPr="00991CAC">
        <w:rPr>
          <w:spacing w:val="-6"/>
        </w:rPr>
        <w:t xml:space="preserve"> </w:t>
      </w:r>
      <w:r w:rsidRPr="009443D2">
        <w:t>of</w:t>
      </w:r>
      <w:r w:rsidRPr="00991CAC">
        <w:rPr>
          <w:spacing w:val="-7"/>
        </w:rPr>
        <w:t xml:space="preserve"> </w:t>
      </w:r>
      <w:r w:rsidRPr="009443D2">
        <w:t>debt</w:t>
      </w:r>
      <w:r w:rsidRPr="00991CAC">
        <w:rPr>
          <w:spacing w:val="-5"/>
        </w:rPr>
        <w:t xml:space="preserve"> </w:t>
      </w:r>
      <w:r w:rsidRPr="009443D2">
        <w:t>issuance</w:t>
      </w:r>
      <w:r w:rsidRPr="00991CAC">
        <w:rPr>
          <w:spacing w:val="-7"/>
        </w:rPr>
        <w:t xml:space="preserve"> (</w:t>
      </w:r>
      <w:r w:rsidRPr="009443D2">
        <w:t>not</w:t>
      </w:r>
      <w:r w:rsidRPr="00991CAC">
        <w:rPr>
          <w:spacing w:val="-5"/>
        </w:rPr>
        <w:t xml:space="preserve"> </w:t>
      </w:r>
      <w:r w:rsidRPr="009443D2">
        <w:t>to</w:t>
      </w:r>
      <w:r w:rsidRPr="00991CAC">
        <w:rPr>
          <w:spacing w:val="-5"/>
        </w:rPr>
        <w:t xml:space="preserve"> </w:t>
      </w:r>
      <w:r w:rsidRPr="009443D2">
        <w:t>exceed</w:t>
      </w:r>
      <w:r w:rsidRPr="00991CAC">
        <w:rPr>
          <w:spacing w:val="-6"/>
        </w:rPr>
        <w:t xml:space="preserve"> </w:t>
      </w:r>
      <w:r w:rsidRPr="009443D2">
        <w:t>two</w:t>
      </w:r>
      <w:r w:rsidRPr="00991CAC">
        <w:rPr>
          <w:spacing w:val="-7"/>
        </w:rPr>
        <w:t xml:space="preserve"> </w:t>
      </w:r>
      <w:r w:rsidRPr="009443D2">
        <w:t>percent</w:t>
      </w:r>
      <w:r w:rsidRPr="00991CAC">
        <w:rPr>
          <w:spacing w:val="-6"/>
        </w:rPr>
        <w:t xml:space="preserve"> </w:t>
      </w:r>
      <w:r w:rsidRPr="009443D2">
        <w:t>of</w:t>
      </w:r>
      <w:r w:rsidRPr="00991CAC">
        <w:rPr>
          <w:spacing w:val="-7"/>
        </w:rPr>
        <w:t xml:space="preserve"> </w:t>
      </w:r>
      <w:r w:rsidRPr="009443D2">
        <w:t>the</w:t>
      </w:r>
      <w:r w:rsidRPr="00991CAC">
        <w:rPr>
          <w:spacing w:val="-6"/>
        </w:rPr>
        <w:t xml:space="preserve"> </w:t>
      </w:r>
      <w:r w:rsidRPr="009443D2">
        <w:t>total</w:t>
      </w:r>
      <w:r w:rsidRPr="00991CAC">
        <w:rPr>
          <w:spacing w:val="-6"/>
        </w:rPr>
        <w:t xml:space="preserve"> </w:t>
      </w:r>
      <w:r w:rsidRPr="009443D2">
        <w:t>debt</w:t>
      </w:r>
      <w:r w:rsidRPr="00991CAC">
        <w:rPr>
          <w:spacing w:val="-5"/>
        </w:rPr>
        <w:t xml:space="preserve"> </w:t>
      </w:r>
      <w:r w:rsidRPr="004831EE">
        <w:t>issued for non-profits in a tax-exempt transaction</w:t>
      </w:r>
      <w:r w:rsidRPr="004831EE" w:rsidR="00CB7CF3">
        <w:t>, or five percent in all other transactions, i.e., taxable non-profit transactions, or debt issued for other eligible entities</w:t>
      </w:r>
      <w:r w:rsidRPr="004831EE">
        <w:t>).</w:t>
      </w:r>
      <w:r>
        <w:rPr>
          <w:rStyle w:val="FootnoteReference"/>
          <w:spacing w:val="-2"/>
        </w:rPr>
        <w:footnoteReference w:id="16"/>
      </w:r>
      <w:r w:rsidR="003463AD">
        <w:t xml:space="preserve"> </w:t>
      </w:r>
      <w:r w:rsidR="621289F7">
        <w:t>Costs for o</w:t>
      </w:r>
      <w:r>
        <w:t>btaining</w:t>
      </w:r>
      <w:r w:rsidRPr="004C6171">
        <w:rPr>
          <w:spacing w:val="-3"/>
        </w:rPr>
        <w:t xml:space="preserve"> </w:t>
      </w:r>
      <w:r>
        <w:t>credit</w:t>
      </w:r>
      <w:r w:rsidRPr="004C6171">
        <w:rPr>
          <w:spacing w:val="-4"/>
        </w:rPr>
        <w:t xml:space="preserve"> </w:t>
      </w:r>
      <w:r>
        <w:t>enhancement;</w:t>
      </w:r>
      <w:r w:rsidRPr="004C6171">
        <w:rPr>
          <w:spacing w:val="-3"/>
        </w:rPr>
        <w:t xml:space="preserve"> </w:t>
      </w:r>
      <w:r w:rsidR="228AFB7E">
        <w:t xml:space="preserve">including </w:t>
      </w:r>
      <w:r>
        <w:t>transaction</w:t>
      </w:r>
      <w:r w:rsidRPr="004C6171">
        <w:rPr>
          <w:spacing w:val="-3"/>
        </w:rPr>
        <w:t xml:space="preserve"> </w:t>
      </w:r>
      <w:r>
        <w:t>costs</w:t>
      </w:r>
      <w:r w:rsidRPr="004C6171">
        <w:rPr>
          <w:spacing w:val="-4"/>
        </w:rPr>
        <w:t xml:space="preserve"> </w:t>
      </w:r>
      <w:r w:rsidR="69CB1926">
        <w:t xml:space="preserve">such as </w:t>
      </w:r>
      <w:r>
        <w:t>bond</w:t>
      </w:r>
      <w:r w:rsidRPr="004C6171">
        <w:rPr>
          <w:spacing w:val="-4"/>
        </w:rPr>
        <w:t xml:space="preserve"> </w:t>
      </w:r>
      <w:r>
        <w:t>counsel</w:t>
      </w:r>
      <w:r w:rsidRPr="004C6171">
        <w:rPr>
          <w:spacing w:val="-4"/>
        </w:rPr>
        <w:t xml:space="preserve"> </w:t>
      </w:r>
      <w:r>
        <w:t>fees</w:t>
      </w:r>
      <w:r w:rsidRPr="004C6171">
        <w:rPr>
          <w:spacing w:val="-3"/>
        </w:rPr>
        <w:t xml:space="preserve"> </w:t>
      </w:r>
      <w:r>
        <w:t>and</w:t>
      </w:r>
      <w:r w:rsidRPr="004C6171">
        <w:rPr>
          <w:spacing w:val="-4"/>
        </w:rPr>
        <w:t xml:space="preserve"> </w:t>
      </w:r>
      <w:r w:rsidR="1652924C">
        <w:t xml:space="preserve">the </w:t>
      </w:r>
      <w:r>
        <w:t>cost of the guarantor to issue.</w:t>
      </w:r>
    </w:p>
    <w:p w:rsidR="00E45DE6" w:rsidP="00857B4F" w:rsidRDefault="00E21D48" w14:paraId="5E703DB0" w14:textId="485D4D3D">
      <w:pPr>
        <w:pStyle w:val="Heading2"/>
        <w:numPr>
          <w:ilvl w:val="1"/>
          <w:numId w:val="25"/>
        </w:numPr>
        <w:ind w:left="1170"/>
      </w:pPr>
      <w:bookmarkStart w:name="_Toc149134336" w:id="73"/>
      <w:r>
        <w:t>Loan Loss Program Funding Reservation Period</w:t>
      </w:r>
      <w:bookmarkEnd w:id="73"/>
    </w:p>
    <w:p w:rsidRPr="004625A0" w:rsidR="004625A0" w:rsidP="002A120E" w:rsidRDefault="002A120E" w14:paraId="79C2AB5C" w14:textId="525C4DC4">
      <w:pPr>
        <w:ind w:left="360"/>
      </w:pPr>
      <w:r w:rsidRPr="002A120E">
        <w:t xml:space="preserve">After an application is approved by Resolution, </w:t>
      </w:r>
      <w:r w:rsidR="001208E7">
        <w:t>awardees</w:t>
      </w:r>
      <w:r w:rsidRPr="002A120E" w:rsidR="001208E7">
        <w:t xml:space="preserve"> </w:t>
      </w:r>
      <w:r w:rsidRPr="002A120E">
        <w:t xml:space="preserve">have 180 days to close the </w:t>
      </w:r>
      <w:r w:rsidR="0002335B">
        <w:t>eligible debt</w:t>
      </w:r>
      <w:r w:rsidRPr="002A120E" w:rsidR="0002335B">
        <w:t xml:space="preserve"> </w:t>
      </w:r>
      <w:r w:rsidRPr="002A120E">
        <w:t xml:space="preserve">transaction. </w:t>
      </w:r>
      <w:r w:rsidR="00B37DDE">
        <w:t>Any request for</w:t>
      </w:r>
      <w:r w:rsidR="00314E61">
        <w:t xml:space="preserve"> </w:t>
      </w:r>
      <w:r w:rsidR="00B464CC">
        <w:t>e</w:t>
      </w:r>
      <w:r w:rsidRPr="002A120E">
        <w:t>xtension</w:t>
      </w:r>
      <w:r w:rsidR="00B37DDE">
        <w:t xml:space="preserve"> must </w:t>
      </w:r>
      <w:r w:rsidR="00314E61">
        <w:t>include</w:t>
      </w:r>
      <w:r w:rsidR="0006031A">
        <w:t xml:space="preserve"> </w:t>
      </w:r>
      <w:r w:rsidR="00C85500">
        <w:t>reasons</w:t>
      </w:r>
      <w:r w:rsidR="00634B88">
        <w:t xml:space="preserve"> and remedies</w:t>
      </w:r>
      <w:r w:rsidR="0006031A">
        <w:t xml:space="preserve"> for</w:t>
      </w:r>
      <w:r w:rsidR="00C85500">
        <w:t xml:space="preserve"> t</w:t>
      </w:r>
      <w:r w:rsidR="00B12506">
        <w:t>he</w:t>
      </w:r>
      <w:r w:rsidR="0006031A">
        <w:t xml:space="preserve"> delay</w:t>
      </w:r>
      <w:r w:rsidR="00D305E2">
        <w:t xml:space="preserve">; </w:t>
      </w:r>
      <w:r w:rsidR="008F678C">
        <w:t>extension requests</w:t>
      </w:r>
      <w:r w:rsidR="00634B88">
        <w:t xml:space="preserve"> </w:t>
      </w:r>
      <w:r w:rsidR="002B254C">
        <w:t>may</w:t>
      </w:r>
      <w:r w:rsidRPr="002A120E">
        <w:t xml:space="preserve"> be approved by the Director of Communications Division</w:t>
      </w:r>
      <w:r w:rsidR="00C27D44">
        <w:t xml:space="preserve"> </w:t>
      </w:r>
      <w:r w:rsidR="00C27D44">
        <w:rPr>
          <w:rFonts w:eastAsia="Times New Roman"/>
          <w:color w:val="000000" w:themeColor="text1"/>
        </w:rPr>
        <w:t xml:space="preserve">or </w:t>
      </w:r>
      <w:r w:rsidR="008265DA">
        <w:rPr>
          <w:rFonts w:eastAsia="Times New Roman"/>
          <w:color w:val="000000" w:themeColor="text1"/>
        </w:rPr>
        <w:t>the Director’s</w:t>
      </w:r>
      <w:r w:rsidR="00C27D44">
        <w:rPr>
          <w:rFonts w:eastAsia="Times New Roman"/>
          <w:color w:val="000000" w:themeColor="text1"/>
        </w:rPr>
        <w:t xml:space="preserve"> designee</w:t>
      </w:r>
      <w:r w:rsidRPr="002A120E">
        <w:t>.</w:t>
      </w:r>
    </w:p>
    <w:p w:rsidR="00E45DE6" w:rsidP="00857B4F" w:rsidRDefault="00E45DE6" w14:paraId="1DEB115E" w14:textId="5BFD1AF3">
      <w:pPr>
        <w:pStyle w:val="Heading2"/>
        <w:numPr>
          <w:ilvl w:val="1"/>
          <w:numId w:val="25"/>
        </w:numPr>
        <w:ind w:left="1260"/>
      </w:pPr>
      <w:bookmarkStart w:name="_Toc149134337" w:id="74"/>
      <w:r>
        <w:t>Additional Support in the Event of Revenue Shortfalls</w:t>
      </w:r>
      <w:bookmarkEnd w:id="74"/>
    </w:p>
    <w:p w:rsidR="00FE75AD" w:rsidP="00FE75AD" w:rsidRDefault="00FE75AD" w14:paraId="30F877DC" w14:textId="3A204274">
      <w:pPr>
        <w:ind w:left="360"/>
      </w:pPr>
      <w:r>
        <w:t>I</w:t>
      </w:r>
      <w:r w:rsidR="00576666">
        <w:t>n the event</w:t>
      </w:r>
      <w:r>
        <w:t xml:space="preserve"> a project </w:t>
      </w:r>
      <w:r w:rsidR="48026C29">
        <w:t>risks insolvency</w:t>
      </w:r>
      <w:r>
        <w:t>, the bond issuer</w:t>
      </w:r>
      <w:r w:rsidR="00397CC5">
        <w:t>/</w:t>
      </w:r>
      <w:r w:rsidR="00A50935">
        <w:t>awardee</w:t>
      </w:r>
      <w:r>
        <w:t xml:space="preserve"> </w:t>
      </w:r>
      <w:r w:rsidR="00F5211C">
        <w:t>will be</w:t>
      </w:r>
      <w:r>
        <w:t xml:space="preserve"> required to hire a consultant with relevant expertise to evaluate operational problems of the system and make recommendations to the borrower’s management.</w:t>
      </w:r>
      <w:r w:rsidR="00F842D0">
        <w:t xml:space="preserve"> </w:t>
      </w:r>
      <w:r w:rsidR="001F284C">
        <w:t>T</w:t>
      </w:r>
      <w:r w:rsidR="004B4F8A">
        <w:t xml:space="preserve">he CPUC </w:t>
      </w:r>
      <w:r w:rsidR="00765526">
        <w:t xml:space="preserve">will not limit external </w:t>
      </w:r>
      <w:r w:rsidR="00255872">
        <w:t xml:space="preserve">support </w:t>
      </w:r>
      <w:r w:rsidR="00E41D00">
        <w:t xml:space="preserve">or prohibit </w:t>
      </w:r>
      <w:r w:rsidR="00DA3B52">
        <w:t xml:space="preserve">the </w:t>
      </w:r>
      <w:r w:rsidR="00146EC2">
        <w:t xml:space="preserve">eligible debt </w:t>
      </w:r>
      <w:r w:rsidR="00A50935">
        <w:t>issuer/</w:t>
      </w:r>
      <w:r w:rsidR="00E80771">
        <w:t xml:space="preserve">awardee </w:t>
      </w:r>
      <w:r w:rsidR="00E41D00">
        <w:t>from subsidizing broadband projects with non-broadband revenues</w:t>
      </w:r>
      <w:r w:rsidR="003C27D3">
        <w:t xml:space="preserve"> if </w:t>
      </w:r>
      <w:r w:rsidR="00DA3B52">
        <w:t>they</w:t>
      </w:r>
      <w:r w:rsidR="003C27D3">
        <w:t xml:space="preserve"> wish to do so</w:t>
      </w:r>
      <w:r w:rsidR="00E41D00">
        <w:t>.</w:t>
      </w:r>
    </w:p>
    <w:p w:rsidR="00FE75AD" w:rsidP="00FE75AD" w:rsidRDefault="003C27D3" w14:paraId="471B0ABD" w14:textId="5030E608">
      <w:pPr>
        <w:ind w:left="360"/>
      </w:pPr>
      <w:r>
        <w:t>If the</w:t>
      </w:r>
      <w:r w:rsidR="00FE75AD">
        <w:t xml:space="preserve"> project meets</w:t>
      </w:r>
      <w:r w:rsidR="00C14B27">
        <w:t xml:space="preserve"> either of</w:t>
      </w:r>
      <w:r w:rsidR="00FE75AD">
        <w:t xml:space="preserve"> the following two criteria</w:t>
      </w:r>
      <w:r>
        <w:t xml:space="preserve">, </w:t>
      </w:r>
      <w:r w:rsidR="001208E7">
        <w:t xml:space="preserve">awardees </w:t>
      </w:r>
      <w:r w:rsidR="004303BE">
        <w:t>shall</w:t>
      </w:r>
      <w:r>
        <w:t xml:space="preserve"> </w:t>
      </w:r>
      <w:r w:rsidR="00605AE2">
        <w:t>hire</w:t>
      </w:r>
      <w:r>
        <w:t xml:space="preserve"> a consultant with </w:t>
      </w:r>
      <w:r w:rsidR="00E9009A">
        <w:t xml:space="preserve">the appropriate </w:t>
      </w:r>
      <w:r>
        <w:t>expertise</w:t>
      </w:r>
      <w:r w:rsidR="00FE75AD">
        <w:t>:</w:t>
      </w:r>
    </w:p>
    <w:p w:rsidR="00FE75AD" w:rsidP="00857B4F" w:rsidRDefault="00FE75AD" w14:paraId="7377CA00" w14:textId="31944829">
      <w:pPr>
        <w:pStyle w:val="ListParagraph"/>
        <w:numPr>
          <w:ilvl w:val="1"/>
          <w:numId w:val="37"/>
        </w:numPr>
      </w:pPr>
      <w:r>
        <w:t>The borrower has not fully repaid any draws on the DSR within twelve months.</w:t>
      </w:r>
    </w:p>
    <w:p w:rsidR="00FE75AD" w:rsidP="00857B4F" w:rsidRDefault="00FE75AD" w14:paraId="558D5DEE" w14:textId="46E323C3">
      <w:pPr>
        <w:pStyle w:val="ListParagraph"/>
        <w:numPr>
          <w:ilvl w:val="1"/>
          <w:numId w:val="37"/>
        </w:numPr>
      </w:pPr>
      <w:r>
        <w:t>Revenues minus operation and maintenance costs are less than 105% of the funds required to meet bond payments for a period of 12 months (a key indicator of financial viability).</w:t>
      </w:r>
    </w:p>
    <w:p w:rsidR="004625A0" w:rsidP="00FE75AD" w:rsidRDefault="00854381" w14:paraId="69A26524" w14:textId="217F8C91">
      <w:pPr>
        <w:ind w:left="360"/>
      </w:pPr>
      <w:r>
        <w:t xml:space="preserve">Commission </w:t>
      </w:r>
      <w:r w:rsidR="00190065">
        <w:t>Staff</w:t>
      </w:r>
      <w:r w:rsidR="00FE75AD">
        <w:t xml:space="preserve"> </w:t>
      </w:r>
      <w:r w:rsidR="4448C952">
        <w:t xml:space="preserve">will </w:t>
      </w:r>
      <w:r w:rsidR="002D409D">
        <w:t>discuss</w:t>
      </w:r>
      <w:r w:rsidR="009D743E">
        <w:t xml:space="preserve"> possible</w:t>
      </w:r>
      <w:r w:rsidR="005C5B8A">
        <w:t xml:space="preserve"> </w:t>
      </w:r>
      <w:r w:rsidR="264DED2A">
        <w:t xml:space="preserve">recommendations to </w:t>
      </w:r>
      <w:r w:rsidR="005C5B8A">
        <w:t>remed</w:t>
      </w:r>
      <w:r w:rsidR="190C87E7">
        <w:t>y</w:t>
      </w:r>
      <w:r w:rsidR="009D743E">
        <w:t xml:space="preserve"> the</w:t>
      </w:r>
      <w:r w:rsidR="005C5B8A">
        <w:t xml:space="preserve"> revenue shortfalls</w:t>
      </w:r>
      <w:r w:rsidR="085AED33">
        <w:t xml:space="preserve"> with the </w:t>
      </w:r>
      <w:r w:rsidR="004E4049">
        <w:t>t</w:t>
      </w:r>
      <w:r w:rsidR="085AED33">
        <w:t>rustee</w:t>
      </w:r>
      <w:r w:rsidR="005C5B8A">
        <w:t>.</w:t>
      </w:r>
      <w:r w:rsidR="00FE75AD">
        <w:t xml:space="preserve"> </w:t>
      </w:r>
      <w:r w:rsidR="008E6E0B">
        <w:t>Those r</w:t>
      </w:r>
      <w:r w:rsidR="00FE75AD">
        <w:t>ecommendations</w:t>
      </w:r>
      <w:r w:rsidR="008E6E0B">
        <w:t xml:space="preserve"> agreed upon</w:t>
      </w:r>
      <w:r w:rsidR="00B03661">
        <w:t xml:space="preserve"> to provide financial stability</w:t>
      </w:r>
      <w:r w:rsidR="00032188">
        <w:t xml:space="preserve"> to the project</w:t>
      </w:r>
      <w:r w:rsidR="002F29E0">
        <w:t xml:space="preserve"> </w:t>
      </w:r>
      <w:r w:rsidR="00FE75AD">
        <w:t>will be implemented by the borrower</w:t>
      </w:r>
      <w:r w:rsidR="00BA01F7">
        <w:t xml:space="preserve"> and </w:t>
      </w:r>
      <w:r w:rsidR="00FC47E3">
        <w:t>t</w:t>
      </w:r>
      <w:r w:rsidR="00BA01F7">
        <w:t>rustee</w:t>
      </w:r>
      <w:r w:rsidR="00FE75AD">
        <w:t xml:space="preserve"> to the extent feasible.</w:t>
      </w:r>
    </w:p>
    <w:p w:rsidRPr="008710F6" w:rsidR="008710F6" w:rsidP="008710F6" w:rsidRDefault="008710F6" w14:paraId="3A006FDB" w14:textId="77777777"/>
    <w:p w:rsidR="0001097D" w:rsidP="00857B4F" w:rsidRDefault="00161CA2" w14:paraId="2F6F0F2A" w14:textId="5AC06E11">
      <w:pPr>
        <w:pStyle w:val="Heading2"/>
        <w:numPr>
          <w:ilvl w:val="1"/>
          <w:numId w:val="25"/>
        </w:numPr>
        <w:ind w:left="1170" w:hanging="270"/>
      </w:pPr>
      <w:bookmarkStart w:name="_Toc149134338" w:id="75"/>
      <w:r>
        <w:t>Loan Loss Program Reporting</w:t>
      </w:r>
      <w:bookmarkEnd w:id="75"/>
    </w:p>
    <w:p w:rsidRPr="004625A0" w:rsidR="00161CA2" w:rsidP="00FE75AD" w:rsidRDefault="00161CA2" w14:paraId="18EE20BD" w14:textId="32E5998F">
      <w:pPr>
        <w:ind w:left="360"/>
      </w:pPr>
      <w:r>
        <w:t xml:space="preserve">The </w:t>
      </w:r>
      <w:r w:rsidR="000831B3">
        <w:t xml:space="preserve">CPUC </w:t>
      </w:r>
      <w:r>
        <w:t xml:space="preserve">shall report the source and amount of funds in the </w:t>
      </w:r>
      <w:r w:rsidR="005302AC">
        <w:t>LLP</w:t>
      </w:r>
      <w:r>
        <w:t xml:space="preserve"> on its website, including the webpage for the </w:t>
      </w:r>
      <w:r w:rsidR="00742A32">
        <w:t>LLP</w:t>
      </w:r>
      <w:r>
        <w:t xml:space="preserve">. The reporting shall </w:t>
      </w:r>
      <w:r w:rsidR="00474A5F">
        <w:t>be done based on when funds become reserved</w:t>
      </w:r>
      <w:r w:rsidR="00E6069B">
        <w:t>.</w:t>
      </w:r>
    </w:p>
    <w:p w:rsidR="00A645E5" w:rsidP="00857B4F" w:rsidRDefault="00575D58" w14:paraId="6C0B4B93" w14:textId="3EBF6D77">
      <w:pPr>
        <w:pStyle w:val="Heading1"/>
        <w:numPr>
          <w:ilvl w:val="0"/>
          <w:numId w:val="22"/>
        </w:numPr>
        <w:ind w:left="360"/>
        <w:rPr>
          <w:rFonts w:eastAsia="Calibri"/>
        </w:rPr>
      </w:pPr>
      <w:bookmarkStart w:name="_Toc149134339" w:id="76"/>
      <w:r>
        <w:rPr>
          <w:rFonts w:eastAsia="Calibri"/>
        </w:rPr>
        <w:t>Loan Loss Program Design</w:t>
      </w:r>
      <w:bookmarkEnd w:id="76"/>
      <w:r>
        <w:rPr>
          <w:rFonts w:eastAsia="Calibri"/>
        </w:rPr>
        <w:t xml:space="preserve"> </w:t>
      </w:r>
    </w:p>
    <w:p w:rsidR="00C84FAC" w:rsidP="00857B4F" w:rsidRDefault="00C84FAC" w14:paraId="1D429BBB" w14:textId="28436E16">
      <w:pPr>
        <w:pStyle w:val="Heading2"/>
        <w:numPr>
          <w:ilvl w:val="1"/>
          <w:numId w:val="26"/>
        </w:numPr>
        <w:ind w:left="1170"/>
      </w:pPr>
      <w:bookmarkStart w:name="_Toc143515905" w:id="77"/>
      <w:bookmarkStart w:name="_Toc143515906" w:id="78"/>
      <w:bookmarkStart w:name="_Toc143515907" w:id="79"/>
      <w:bookmarkStart w:name="_Toc143515908" w:id="80"/>
      <w:bookmarkStart w:name="_Toc143515909" w:id="81"/>
      <w:bookmarkStart w:name="_Toc143515910" w:id="82"/>
      <w:bookmarkStart w:name="_Toc143515911" w:id="83"/>
      <w:bookmarkStart w:name="_Toc143515912" w:id="84"/>
      <w:bookmarkStart w:name="_Toc143515913" w:id="85"/>
      <w:bookmarkStart w:name="_Toc143515914" w:id="86"/>
      <w:bookmarkStart w:name="_Toc143515915" w:id="87"/>
      <w:bookmarkStart w:name="_Toc143515916" w:id="88"/>
      <w:bookmarkStart w:name="_Toc143515917" w:id="89"/>
      <w:bookmarkStart w:name="_Toc149134340" w:id="90"/>
      <w:bookmarkEnd w:id="77"/>
      <w:bookmarkEnd w:id="78"/>
      <w:bookmarkEnd w:id="79"/>
      <w:bookmarkEnd w:id="80"/>
      <w:bookmarkEnd w:id="81"/>
      <w:bookmarkEnd w:id="82"/>
      <w:bookmarkEnd w:id="83"/>
      <w:bookmarkEnd w:id="84"/>
      <w:bookmarkEnd w:id="85"/>
      <w:bookmarkEnd w:id="86"/>
      <w:bookmarkEnd w:id="87"/>
      <w:bookmarkEnd w:id="88"/>
      <w:bookmarkEnd w:id="89"/>
      <w:r>
        <w:t xml:space="preserve">Loan Loss Program </w:t>
      </w:r>
      <w:r w:rsidR="00662629">
        <w:t>Funding Cycle</w:t>
      </w:r>
      <w:bookmarkEnd w:id="90"/>
    </w:p>
    <w:p w:rsidR="00FA5A5B" w:rsidP="00EC2F55" w:rsidRDefault="0076688D" w14:paraId="3D8AF31C" w14:textId="2C757A52">
      <w:pPr>
        <w:ind w:left="360"/>
      </w:pPr>
      <w:r>
        <w:t xml:space="preserve">CPUC </w:t>
      </w:r>
      <w:r w:rsidR="00FB0AC6">
        <w:t xml:space="preserve">intends to offer </w:t>
      </w:r>
      <w:r w:rsidR="005622E2">
        <w:t>funding</w:t>
      </w:r>
      <w:r w:rsidR="00FB0AC6">
        <w:t xml:space="preserve"> e</w:t>
      </w:r>
      <w:r w:rsidR="06975CA6">
        <w:t>ach calendar yea</w:t>
      </w:r>
      <w:r w:rsidR="00FB0AC6">
        <w:t>r</w:t>
      </w:r>
      <w:r w:rsidR="0023596E">
        <w:t xml:space="preserve"> three times in three separate four-month cycles.</w:t>
      </w:r>
      <w:r w:rsidR="00EC7947">
        <w:t xml:space="preserve"> </w:t>
      </w:r>
      <w:r w:rsidR="006046A8">
        <w:t xml:space="preserve">Commission Staff will publish dates and timelines. </w:t>
      </w:r>
      <w:r w:rsidRPr="00EC2F55" w:rsidR="00EC2F55">
        <w:t xml:space="preserve">The </w:t>
      </w:r>
      <w:r w:rsidR="00DB5CE0">
        <w:t>CPUC</w:t>
      </w:r>
      <w:r w:rsidRPr="00EC2F55" w:rsidR="00EC2F55">
        <w:t xml:space="preserve"> </w:t>
      </w:r>
      <w:r w:rsidR="00CB4B83">
        <w:t>will</w:t>
      </w:r>
      <w:r w:rsidRPr="00EC2F55" w:rsidR="00CB4B83">
        <w:t xml:space="preserve"> </w:t>
      </w:r>
      <w:r w:rsidRPr="00EC2F55" w:rsidR="00EC2F55">
        <w:t>accept applications three times per calendar year</w:t>
      </w:r>
      <w:r w:rsidR="007E25EA">
        <w:t xml:space="preserve"> beginning</w:t>
      </w:r>
      <w:r w:rsidR="000575B1">
        <w:t xml:space="preserve"> and ending</w:t>
      </w:r>
      <w:r w:rsidR="007E25EA">
        <w:t xml:space="preserve"> on the first seven days of a funding cycle</w:t>
      </w:r>
      <w:r w:rsidR="00A8493F">
        <w:t>.</w:t>
      </w:r>
      <w:r w:rsidRPr="00EC2F55" w:rsidR="00EC2F55">
        <w:t xml:space="preserve"> </w:t>
      </w:r>
      <w:r w:rsidR="00BB37B0">
        <w:t xml:space="preserve">Each funding cycle </w:t>
      </w:r>
      <w:r w:rsidR="0025049D">
        <w:t>will appropriate</w:t>
      </w:r>
      <w:r w:rsidR="00EC569C">
        <w:t xml:space="preserve"> </w:t>
      </w:r>
      <w:r w:rsidR="00697F7F">
        <w:t>a</w:t>
      </w:r>
      <w:r w:rsidRPr="00EC2F55" w:rsidR="00EC2F55">
        <w:t xml:space="preserve"> subset of that calendar year’s available LLP funds</w:t>
      </w:r>
      <w:r w:rsidR="00697F7F">
        <w:t xml:space="preserve"> equally,</w:t>
      </w:r>
      <w:r w:rsidR="007031AC">
        <w:t xml:space="preserve"> </w:t>
      </w:r>
      <w:r w:rsidRPr="00EC2F55" w:rsidR="00EC2F55">
        <w:t>including any unawarded funds from prior years</w:t>
      </w:r>
      <w:r w:rsidR="0021040E">
        <w:t>,</w:t>
      </w:r>
      <w:r w:rsidRPr="00EC2F55" w:rsidR="00EC2F55">
        <w:t xml:space="preserve"> see Table </w:t>
      </w:r>
      <w:r w:rsidR="00637E59">
        <w:t>2</w:t>
      </w:r>
      <w:r w:rsidRPr="00EC2F55" w:rsidR="00EC2F55">
        <w:t xml:space="preserve"> below. </w:t>
      </w:r>
      <w:r w:rsidR="001208E7">
        <w:t>Awardees</w:t>
      </w:r>
      <w:r w:rsidRPr="00EC2F55" w:rsidR="001208E7">
        <w:t xml:space="preserve"> </w:t>
      </w:r>
      <w:r w:rsidR="001018CF">
        <w:t>may</w:t>
      </w:r>
      <w:r w:rsidRPr="00EC2F55" w:rsidR="001018CF">
        <w:t xml:space="preserve"> </w:t>
      </w:r>
      <w:r w:rsidRPr="00EC2F55" w:rsidR="00EC2F55">
        <w:t>apply for any level of support up to an amount equivalent to 100% of bond principal</w:t>
      </w:r>
      <w:r w:rsidR="00FB1EAA">
        <w:t xml:space="preserve"> within each funding cycle</w:t>
      </w:r>
      <w:r w:rsidRPr="00EC2F55" w:rsidR="00EC2F55">
        <w:t xml:space="preserve">. </w:t>
      </w:r>
    </w:p>
    <w:p w:rsidRPr="00857B4F" w:rsidR="007116B1" w:rsidP="00857B4F" w:rsidRDefault="00D20461" w14:paraId="67522192" w14:textId="3C87C0E5">
      <w:pPr>
        <w:ind w:left="360"/>
      </w:pPr>
      <w:r>
        <w:t>Table</w:t>
      </w:r>
      <w:r w:rsidR="00637E59">
        <w:t xml:space="preserve"> 1</w:t>
      </w:r>
      <w:r w:rsidR="00B70026">
        <w:t xml:space="preserve"> presents the</w:t>
      </w:r>
      <w:r w:rsidR="00BB4A7B">
        <w:t xml:space="preserve"> </w:t>
      </w:r>
      <w:r w:rsidR="00EB726D">
        <w:t>appropriation</w:t>
      </w:r>
      <w:r w:rsidR="00BB4A7B">
        <w:t xml:space="preserve"> funding for fiscal year 2023-2024, and the estimate</w:t>
      </w:r>
      <w:r w:rsidR="00F33BD1">
        <w:t>d</w:t>
      </w:r>
      <w:r w:rsidR="00BB4A7B">
        <w:t xml:space="preserve"> funding for years 2024-2025 and 2025-2026.</w:t>
      </w:r>
    </w:p>
    <w:p w:rsidR="007116B1" w:rsidP="007116B1" w:rsidRDefault="007116B1" w14:paraId="0503A212" w14:textId="77777777">
      <w:pPr>
        <w:pStyle w:val="BodyText"/>
        <w:spacing w:before="32" w:line="259" w:lineRule="auto"/>
        <w:ind w:right="336"/>
        <w:rPr>
          <w:b/>
          <w:bCs/>
        </w:rPr>
      </w:pPr>
    </w:p>
    <w:p w:rsidRPr="005B2EFB" w:rsidR="007116B1" w:rsidP="007116B1" w:rsidRDefault="007116B1" w14:paraId="23D025B0" w14:textId="54DEDE51">
      <w:pPr>
        <w:pStyle w:val="BodyText"/>
        <w:spacing w:before="32" w:line="259" w:lineRule="auto"/>
        <w:ind w:right="336"/>
        <w:rPr>
          <w:b/>
          <w:bCs/>
        </w:rPr>
      </w:pPr>
      <w:r w:rsidRPr="00F61BF7">
        <w:rPr>
          <w:b/>
          <w:bCs/>
        </w:rPr>
        <w:t xml:space="preserve">Table </w:t>
      </w:r>
      <w:r>
        <w:rPr>
          <w:b/>
          <w:bCs/>
        </w:rPr>
        <w:t>1</w:t>
      </w:r>
      <w:r w:rsidRPr="00F61BF7">
        <w:rPr>
          <w:b/>
          <w:bCs/>
        </w:rPr>
        <w:t xml:space="preserve">. </w:t>
      </w:r>
      <w:r>
        <w:rPr>
          <w:b/>
          <w:bCs/>
        </w:rPr>
        <w:t xml:space="preserve">Loan Loss Program </w:t>
      </w:r>
      <w:r w:rsidRPr="00F61BF7">
        <w:rPr>
          <w:b/>
          <w:bCs/>
        </w:rPr>
        <w:t xml:space="preserve">Funding </w:t>
      </w:r>
      <w:r>
        <w:rPr>
          <w:b/>
          <w:bCs/>
        </w:rPr>
        <w:t>Appropriation</w:t>
      </w:r>
      <w:r w:rsidRPr="00F61BF7">
        <w:rPr>
          <w:b/>
          <w:bCs/>
        </w:rPr>
        <w:t xml:space="preserve"> for </w:t>
      </w:r>
      <w:r>
        <w:rPr>
          <w:b/>
          <w:bCs/>
        </w:rPr>
        <w:t>Fiscal Years 2023-2026</w:t>
      </w:r>
    </w:p>
    <w:p w:rsidR="009700A5" w:rsidP="00EC2F55" w:rsidRDefault="009700A5" w14:paraId="6D507DA1" w14:textId="5A44C558">
      <w:pPr>
        <w:ind w:left="360"/>
      </w:pPr>
    </w:p>
    <w:tbl>
      <w:tblPr>
        <w:tblStyle w:val="TableGrid"/>
        <w:tblW w:w="6120" w:type="dxa"/>
        <w:tblInd w:w="895" w:type="dxa"/>
        <w:tblLook w:val="04A0" w:firstRow="1" w:lastRow="0" w:firstColumn="1" w:lastColumn="0" w:noHBand="0" w:noVBand="1"/>
      </w:tblPr>
      <w:tblGrid>
        <w:gridCol w:w="2160"/>
        <w:gridCol w:w="1260"/>
        <w:gridCol w:w="1170"/>
        <w:gridCol w:w="1530"/>
      </w:tblGrid>
      <w:tr w:rsidR="00111ED6" w:rsidTr="00857B4F" w14:paraId="1FC7DD97" w14:textId="77777777">
        <w:trPr>
          <w:trHeight w:val="300"/>
        </w:trPr>
        <w:tc>
          <w:tcPr>
            <w:tcW w:w="2160" w:type="dxa"/>
            <w:shd w:val="clear" w:color="auto" w:fill="auto"/>
          </w:tcPr>
          <w:p w:rsidR="00111ED6" w:rsidRDefault="00111ED6" w14:paraId="230DE7AF" w14:textId="77777777"/>
        </w:tc>
        <w:tc>
          <w:tcPr>
            <w:tcW w:w="1260" w:type="dxa"/>
            <w:shd w:val="clear" w:color="auto" w:fill="auto"/>
          </w:tcPr>
          <w:p w:rsidR="00111ED6" w:rsidRDefault="00111ED6" w14:paraId="663A29D3" w14:textId="77777777">
            <w:pPr>
              <w:jc w:val="center"/>
            </w:pPr>
            <w:r>
              <w:t>2023-24</w:t>
            </w:r>
          </w:p>
        </w:tc>
        <w:tc>
          <w:tcPr>
            <w:tcW w:w="1170" w:type="dxa"/>
            <w:shd w:val="clear" w:color="auto" w:fill="auto"/>
          </w:tcPr>
          <w:p w:rsidR="00111ED6" w:rsidRDefault="00111ED6" w14:paraId="60638354" w14:textId="6B1D37CB">
            <w:pPr>
              <w:jc w:val="center"/>
            </w:pPr>
            <w:r>
              <w:t>2024-25</w:t>
            </w:r>
            <w:r w:rsidR="00E26B84">
              <w:rPr>
                <w:rStyle w:val="FootnoteReference"/>
              </w:rPr>
              <w:footnoteReference w:id="17"/>
            </w:r>
          </w:p>
        </w:tc>
        <w:tc>
          <w:tcPr>
            <w:tcW w:w="1530" w:type="dxa"/>
            <w:shd w:val="clear" w:color="auto" w:fill="auto"/>
          </w:tcPr>
          <w:p w:rsidR="00111ED6" w:rsidRDefault="00111ED6" w14:paraId="64B21B22" w14:textId="6E2610C2">
            <w:pPr>
              <w:jc w:val="center"/>
            </w:pPr>
            <w:r>
              <w:t>2025-26</w:t>
            </w:r>
            <w:r w:rsidR="00E26B84">
              <w:rPr>
                <w:rStyle w:val="FootnoteReference"/>
              </w:rPr>
              <w:footnoteReference w:id="18"/>
            </w:r>
          </w:p>
        </w:tc>
      </w:tr>
      <w:tr w:rsidR="00111ED6" w:rsidTr="00857B4F" w14:paraId="357FF050" w14:textId="77777777">
        <w:trPr>
          <w:trHeight w:val="300"/>
        </w:trPr>
        <w:tc>
          <w:tcPr>
            <w:tcW w:w="2160" w:type="dxa"/>
          </w:tcPr>
          <w:p w:rsidR="00111ED6" w:rsidRDefault="00111ED6" w14:paraId="518CB575" w14:textId="7039B8CB">
            <w:r>
              <w:t xml:space="preserve">Loan Loss </w:t>
            </w:r>
            <w:r w:rsidR="00BD660D">
              <w:t>Program</w:t>
            </w:r>
            <w:r w:rsidR="00712D86">
              <w:t xml:space="preserve"> Annual </w:t>
            </w:r>
            <w:r w:rsidR="003A7A34">
              <w:t>Appropriation</w:t>
            </w:r>
          </w:p>
        </w:tc>
        <w:tc>
          <w:tcPr>
            <w:tcW w:w="1260" w:type="dxa"/>
          </w:tcPr>
          <w:p w:rsidR="00111ED6" w:rsidRDefault="00111ED6" w14:paraId="6D600667" w14:textId="77777777">
            <w:pPr>
              <w:jc w:val="center"/>
            </w:pPr>
            <w:r>
              <w:t>$175M</w:t>
            </w:r>
          </w:p>
        </w:tc>
        <w:tc>
          <w:tcPr>
            <w:tcW w:w="1170" w:type="dxa"/>
          </w:tcPr>
          <w:p w:rsidR="00111ED6" w:rsidRDefault="00111ED6" w14:paraId="17E2978E" w14:textId="77777777">
            <w:pPr>
              <w:jc w:val="center"/>
            </w:pPr>
            <w:r>
              <w:t>$300M</w:t>
            </w:r>
          </w:p>
        </w:tc>
        <w:tc>
          <w:tcPr>
            <w:tcW w:w="1530" w:type="dxa"/>
          </w:tcPr>
          <w:p w:rsidR="00111ED6" w:rsidRDefault="00111ED6" w14:paraId="6ADCD90E" w14:textId="77777777">
            <w:pPr>
              <w:jc w:val="center"/>
            </w:pPr>
            <w:r>
              <w:t>$275M</w:t>
            </w:r>
          </w:p>
        </w:tc>
      </w:tr>
      <w:tr w:rsidRPr="00B4272B" w:rsidR="00111ED6" w:rsidTr="00857B4F" w14:paraId="275C3775" w14:textId="77777777">
        <w:trPr>
          <w:trHeight w:val="300"/>
        </w:trPr>
        <w:tc>
          <w:tcPr>
            <w:tcW w:w="2160" w:type="dxa"/>
          </w:tcPr>
          <w:p w:rsidRPr="00857B4F" w:rsidR="00111ED6" w:rsidRDefault="00111ED6" w14:paraId="0832FB37" w14:textId="486E3B3E">
            <w:r w:rsidRPr="00857B4F">
              <w:t>Cycle 1</w:t>
            </w:r>
          </w:p>
        </w:tc>
        <w:tc>
          <w:tcPr>
            <w:tcW w:w="1260" w:type="dxa"/>
          </w:tcPr>
          <w:p w:rsidRPr="00857B4F" w:rsidR="00111ED6" w:rsidRDefault="003C1869" w14:paraId="686DFC4D" w14:textId="5003E70B">
            <w:pPr>
              <w:jc w:val="center"/>
            </w:pPr>
            <w:r w:rsidRPr="00857B4F">
              <w:t>$58.3M</w:t>
            </w:r>
          </w:p>
        </w:tc>
        <w:tc>
          <w:tcPr>
            <w:tcW w:w="1170" w:type="dxa"/>
          </w:tcPr>
          <w:p w:rsidRPr="00857B4F" w:rsidR="00111ED6" w:rsidRDefault="00DA4E38" w14:paraId="5E74F67B" w14:textId="092164A1">
            <w:pPr>
              <w:jc w:val="center"/>
            </w:pPr>
            <w:r w:rsidRPr="00857B4F">
              <w:t>$100M</w:t>
            </w:r>
          </w:p>
        </w:tc>
        <w:tc>
          <w:tcPr>
            <w:tcW w:w="1530" w:type="dxa"/>
          </w:tcPr>
          <w:p w:rsidRPr="00857B4F" w:rsidR="00111ED6" w:rsidRDefault="001B7EBE" w14:paraId="4820A4B9" w14:textId="629AFF42">
            <w:pPr>
              <w:jc w:val="center"/>
            </w:pPr>
            <w:r w:rsidRPr="00857B4F">
              <w:t>$91.7M</w:t>
            </w:r>
          </w:p>
        </w:tc>
      </w:tr>
      <w:tr w:rsidRPr="00B4272B" w:rsidR="00111ED6" w:rsidTr="00857B4F" w14:paraId="395F7A14" w14:textId="77777777">
        <w:trPr>
          <w:trHeight w:val="300"/>
        </w:trPr>
        <w:tc>
          <w:tcPr>
            <w:tcW w:w="2160" w:type="dxa"/>
          </w:tcPr>
          <w:p w:rsidRPr="00857B4F" w:rsidR="00111ED6" w:rsidRDefault="00111ED6" w14:paraId="061918E4" w14:textId="56ED838F">
            <w:r w:rsidRPr="00857B4F">
              <w:t>Cycle 2</w:t>
            </w:r>
          </w:p>
        </w:tc>
        <w:tc>
          <w:tcPr>
            <w:tcW w:w="1260" w:type="dxa"/>
          </w:tcPr>
          <w:p w:rsidRPr="00857B4F" w:rsidR="00111ED6" w:rsidRDefault="003C1869" w14:paraId="26B8D471" w14:textId="375A520A">
            <w:pPr>
              <w:jc w:val="center"/>
            </w:pPr>
            <w:r w:rsidRPr="00857B4F">
              <w:t>$58.3M</w:t>
            </w:r>
          </w:p>
        </w:tc>
        <w:tc>
          <w:tcPr>
            <w:tcW w:w="1170" w:type="dxa"/>
          </w:tcPr>
          <w:p w:rsidRPr="00857B4F" w:rsidR="00111ED6" w:rsidRDefault="00DA4E38" w14:paraId="1BBACB65" w14:textId="254B1F7D">
            <w:pPr>
              <w:jc w:val="center"/>
            </w:pPr>
            <w:r w:rsidRPr="00857B4F">
              <w:t>$100M</w:t>
            </w:r>
          </w:p>
        </w:tc>
        <w:tc>
          <w:tcPr>
            <w:tcW w:w="1530" w:type="dxa"/>
          </w:tcPr>
          <w:p w:rsidRPr="00857B4F" w:rsidR="00111ED6" w:rsidRDefault="001B7EBE" w14:paraId="68199B16" w14:textId="3AFDFB41">
            <w:pPr>
              <w:jc w:val="center"/>
            </w:pPr>
            <w:r w:rsidRPr="00857B4F">
              <w:t>$91.7M</w:t>
            </w:r>
          </w:p>
        </w:tc>
      </w:tr>
      <w:tr w:rsidRPr="00B4272B" w:rsidR="00111ED6" w:rsidTr="00857B4F" w14:paraId="6B680BDB" w14:textId="77777777">
        <w:trPr>
          <w:trHeight w:val="300"/>
        </w:trPr>
        <w:tc>
          <w:tcPr>
            <w:tcW w:w="2160" w:type="dxa"/>
          </w:tcPr>
          <w:p w:rsidRPr="00857B4F" w:rsidR="00111ED6" w:rsidRDefault="00111ED6" w14:paraId="1EDB1800" w14:textId="7AAA40E2">
            <w:r w:rsidRPr="00857B4F">
              <w:t>Cycle 3</w:t>
            </w:r>
          </w:p>
        </w:tc>
        <w:tc>
          <w:tcPr>
            <w:tcW w:w="1260" w:type="dxa"/>
          </w:tcPr>
          <w:p w:rsidRPr="00857B4F" w:rsidR="00111ED6" w:rsidRDefault="003C1869" w14:paraId="36BDD9F4" w14:textId="0060C7FE">
            <w:pPr>
              <w:jc w:val="center"/>
            </w:pPr>
            <w:r w:rsidRPr="00857B4F">
              <w:t>$58.3M</w:t>
            </w:r>
          </w:p>
        </w:tc>
        <w:tc>
          <w:tcPr>
            <w:tcW w:w="1170" w:type="dxa"/>
          </w:tcPr>
          <w:p w:rsidRPr="00857B4F" w:rsidR="00111ED6" w:rsidRDefault="00DA4E38" w14:paraId="2C5F476C" w14:textId="034EB97E">
            <w:pPr>
              <w:jc w:val="center"/>
            </w:pPr>
            <w:r w:rsidRPr="00857B4F">
              <w:t>$100M</w:t>
            </w:r>
          </w:p>
        </w:tc>
        <w:tc>
          <w:tcPr>
            <w:tcW w:w="1530" w:type="dxa"/>
          </w:tcPr>
          <w:p w:rsidRPr="00857B4F" w:rsidR="00111ED6" w:rsidRDefault="001B7EBE" w14:paraId="5E43D5A5" w14:textId="023DDB4F">
            <w:pPr>
              <w:jc w:val="center"/>
            </w:pPr>
            <w:r w:rsidRPr="00857B4F">
              <w:t>$91.7M</w:t>
            </w:r>
          </w:p>
        </w:tc>
      </w:tr>
      <w:tr w:rsidRPr="00B4272B" w:rsidR="00111ED6" w:rsidTr="00857B4F" w14:paraId="4DFD4E16" w14:textId="77777777">
        <w:trPr>
          <w:trHeight w:val="300"/>
        </w:trPr>
        <w:tc>
          <w:tcPr>
            <w:tcW w:w="2160" w:type="dxa"/>
          </w:tcPr>
          <w:p w:rsidRPr="00B4272B" w:rsidR="00111ED6" w:rsidP="00111ED6" w:rsidRDefault="00111ED6" w14:paraId="119BC680" w14:textId="78B8B55F">
            <w:pPr>
              <w:rPr>
                <w:b/>
                <w:bCs/>
              </w:rPr>
            </w:pPr>
            <w:r w:rsidRPr="00B4272B">
              <w:rPr>
                <w:b/>
                <w:bCs/>
              </w:rPr>
              <w:t>Total</w:t>
            </w:r>
          </w:p>
        </w:tc>
        <w:tc>
          <w:tcPr>
            <w:tcW w:w="1260" w:type="dxa"/>
          </w:tcPr>
          <w:p w:rsidRPr="00B4272B" w:rsidR="00111ED6" w:rsidP="00111ED6" w:rsidRDefault="00111ED6" w14:paraId="3F1F81B3" w14:textId="6112F2FF">
            <w:pPr>
              <w:jc w:val="center"/>
              <w:rPr>
                <w:b/>
                <w:bCs/>
              </w:rPr>
            </w:pPr>
            <w:r w:rsidRPr="00B4272B">
              <w:rPr>
                <w:b/>
                <w:bCs/>
              </w:rPr>
              <w:t>$1</w:t>
            </w:r>
            <w:r>
              <w:rPr>
                <w:b/>
                <w:bCs/>
              </w:rPr>
              <w:t>7</w:t>
            </w:r>
            <w:r w:rsidRPr="00B4272B">
              <w:rPr>
                <w:b/>
                <w:bCs/>
              </w:rPr>
              <w:t>5</w:t>
            </w:r>
            <w:r>
              <w:rPr>
                <w:b/>
                <w:bCs/>
              </w:rPr>
              <w:t xml:space="preserve">M </w:t>
            </w:r>
          </w:p>
        </w:tc>
        <w:tc>
          <w:tcPr>
            <w:tcW w:w="1170" w:type="dxa"/>
          </w:tcPr>
          <w:p w:rsidRPr="00B4272B" w:rsidR="00111ED6" w:rsidP="00111ED6" w:rsidRDefault="00111ED6" w14:paraId="36BF8F69" w14:textId="2F0119A6">
            <w:pPr>
              <w:jc w:val="center"/>
              <w:rPr>
                <w:b/>
                <w:bCs/>
              </w:rPr>
            </w:pPr>
            <w:r w:rsidRPr="00B4272B">
              <w:rPr>
                <w:b/>
                <w:bCs/>
              </w:rPr>
              <w:t>$4</w:t>
            </w:r>
            <w:r>
              <w:rPr>
                <w:b/>
                <w:bCs/>
              </w:rPr>
              <w:t>7</w:t>
            </w:r>
            <w:r w:rsidRPr="00B4272B">
              <w:rPr>
                <w:b/>
                <w:bCs/>
              </w:rPr>
              <w:t>5</w:t>
            </w:r>
            <w:r>
              <w:rPr>
                <w:b/>
                <w:bCs/>
              </w:rPr>
              <w:t>M</w:t>
            </w:r>
          </w:p>
        </w:tc>
        <w:tc>
          <w:tcPr>
            <w:tcW w:w="1530" w:type="dxa"/>
          </w:tcPr>
          <w:p w:rsidRPr="00B4272B" w:rsidR="00111ED6" w:rsidP="00111ED6" w:rsidRDefault="00111ED6" w14:paraId="6DED91BF" w14:textId="5841B631">
            <w:pPr>
              <w:jc w:val="center"/>
              <w:rPr>
                <w:b/>
                <w:bCs/>
              </w:rPr>
            </w:pPr>
            <w:r w:rsidRPr="00B4272B">
              <w:rPr>
                <w:b/>
                <w:bCs/>
              </w:rPr>
              <w:t>$750</w:t>
            </w:r>
            <w:r>
              <w:rPr>
                <w:b/>
                <w:bCs/>
              </w:rPr>
              <w:t>M</w:t>
            </w:r>
          </w:p>
        </w:tc>
      </w:tr>
    </w:tbl>
    <w:p w:rsidR="00BB4A7B" w:rsidP="00EC2F55" w:rsidRDefault="00BB4A7B" w14:paraId="0FEE2B7B" w14:textId="77777777">
      <w:pPr>
        <w:ind w:left="360"/>
      </w:pPr>
    </w:p>
    <w:p w:rsidRPr="00C11C85" w:rsidR="000D60CC" w:rsidP="000D60CC" w:rsidRDefault="005D05B9" w14:paraId="5830C639" w14:textId="0B3353C6">
      <w:r w:rsidRPr="005D05B9">
        <w:t xml:space="preserve">To ensure that funds are available for low-income and vulnerable communities, each </w:t>
      </w:r>
      <w:r w:rsidR="00A11EC4">
        <w:t>cycle</w:t>
      </w:r>
      <w:r w:rsidRPr="005D05B9" w:rsidR="00A11EC4">
        <w:t xml:space="preserve"> </w:t>
      </w:r>
      <w:r w:rsidRPr="005D05B9">
        <w:t xml:space="preserve">will </w:t>
      </w:r>
      <w:r w:rsidR="00891BBD">
        <w:t>have a</w:t>
      </w:r>
      <w:r w:rsidRPr="005D05B9" w:rsidR="00891BBD">
        <w:t xml:space="preserve"> </w:t>
      </w:r>
      <w:r w:rsidRPr="005D05B9">
        <w:t>General Market</w:t>
      </w:r>
      <w:r w:rsidR="00F0412B">
        <w:t xml:space="preserve"> Tr</w:t>
      </w:r>
      <w:r w:rsidRPr="005D05B9">
        <w:t>ack</w:t>
      </w:r>
      <w:r w:rsidR="00241FFD">
        <w:t xml:space="preserve">, </w:t>
      </w:r>
      <w:r w:rsidR="00120036">
        <w:t>Tribal Track</w:t>
      </w:r>
      <w:r w:rsidR="00241FFD">
        <w:t xml:space="preserve">, and </w:t>
      </w:r>
      <w:r w:rsidRPr="005D05B9" w:rsidR="00120036">
        <w:t>Equity</w:t>
      </w:r>
      <w:r w:rsidR="00120036">
        <w:t xml:space="preserve"> Track</w:t>
      </w:r>
      <w:r w:rsidR="00241FFD">
        <w:t xml:space="preserve"> </w:t>
      </w:r>
      <w:r w:rsidRPr="005D05B9">
        <w:t>offering.</w:t>
      </w:r>
      <w:r w:rsidR="00EB385C">
        <w:t xml:space="preserve"> The General Market Track </w:t>
      </w:r>
      <w:r w:rsidR="00C17881">
        <w:t>will be allocated 40</w:t>
      </w:r>
      <w:r w:rsidR="00BB19A1">
        <w:t>%</w:t>
      </w:r>
      <w:r w:rsidR="00C17881">
        <w:t xml:space="preserve"> of available funds and </w:t>
      </w:r>
      <w:r w:rsidR="00EB385C">
        <w:t>will be available to all applicant</w:t>
      </w:r>
      <w:r w:rsidR="00803440">
        <w:t xml:space="preserve"> project</w:t>
      </w:r>
      <w:r w:rsidR="00435B41">
        <w:t xml:space="preserve"> areas</w:t>
      </w:r>
      <w:r w:rsidR="00C81AFB">
        <w:t xml:space="preserve"> </w:t>
      </w:r>
      <w:r w:rsidR="008267D3">
        <w:t>wh</w:t>
      </w:r>
      <w:r w:rsidR="00C81AFB">
        <w:t>ether served, underserved</w:t>
      </w:r>
      <w:r w:rsidR="00A20CDC">
        <w:t>, or unserved</w:t>
      </w:r>
      <w:r w:rsidR="00F05824">
        <w:t>.</w:t>
      </w:r>
      <w:r w:rsidR="00EB385C">
        <w:t xml:space="preserve"> </w:t>
      </w:r>
      <w:r w:rsidR="00CB67B1">
        <w:t xml:space="preserve">The Tribal Track </w:t>
      </w:r>
      <w:r w:rsidR="003377C2">
        <w:t xml:space="preserve">will be </w:t>
      </w:r>
      <w:r w:rsidR="00C17881">
        <w:t xml:space="preserve">allocated </w:t>
      </w:r>
      <w:r w:rsidR="00795054">
        <w:t>10%</w:t>
      </w:r>
      <w:r w:rsidR="00EE651E">
        <w:t xml:space="preserve"> of available funds </w:t>
      </w:r>
      <w:r w:rsidR="004004C3">
        <w:t xml:space="preserve">and will be </w:t>
      </w:r>
      <w:r w:rsidR="003377C2">
        <w:t xml:space="preserve">restricted to projects </w:t>
      </w:r>
      <w:r w:rsidR="0016266B">
        <w:t>proposed by Sovereign Tribal Governments</w:t>
      </w:r>
      <w:r w:rsidR="00291D15">
        <w:t xml:space="preserve"> or </w:t>
      </w:r>
      <w:r w:rsidR="00C11DEE">
        <w:t xml:space="preserve">in partnership with Sovereign Tribal </w:t>
      </w:r>
      <w:r w:rsidR="0016266B">
        <w:t>Governments</w:t>
      </w:r>
      <w:r w:rsidR="00B2340D">
        <w:t>.</w:t>
      </w:r>
      <w:r w:rsidRPr="005D05B9">
        <w:t xml:space="preserve"> The Equity </w:t>
      </w:r>
      <w:r w:rsidR="00F0412B">
        <w:t>T</w:t>
      </w:r>
      <w:r w:rsidRPr="005D05B9">
        <w:t xml:space="preserve">rack </w:t>
      </w:r>
      <w:r w:rsidR="004004C3">
        <w:t xml:space="preserve">will be allocated 50% of available funds and </w:t>
      </w:r>
      <w:r w:rsidR="004D690F">
        <w:t>will</w:t>
      </w:r>
      <w:r w:rsidRPr="005D05B9" w:rsidR="004D690F">
        <w:t xml:space="preserve"> </w:t>
      </w:r>
      <w:r w:rsidRPr="005D05B9">
        <w:t xml:space="preserve">be restricted to projects where three fourths or more of the project area is within </w:t>
      </w:r>
      <w:r w:rsidR="00813DBD">
        <w:t>Disadvantaged Communities and Low-Income Areas</w:t>
      </w:r>
      <w:r w:rsidR="003D41C4">
        <w:t>, and</w:t>
      </w:r>
      <w:r w:rsidR="00A331D5">
        <w:t>/or</w:t>
      </w:r>
      <w:r w:rsidR="003D41C4">
        <w:t xml:space="preserve"> </w:t>
      </w:r>
      <w:r w:rsidR="00824733">
        <w:t>Tribal areas</w:t>
      </w:r>
      <w:r w:rsidR="00B224AB">
        <w:t>.</w:t>
      </w:r>
      <w:r w:rsidR="00813DBD">
        <w:rPr>
          <w:rStyle w:val="FootnoteReference"/>
        </w:rPr>
        <w:footnoteReference w:id="19"/>
      </w:r>
      <w:r w:rsidRPr="008D4557" w:rsidR="00BF4F02">
        <w:rPr>
          <w:vertAlign w:val="superscript"/>
        </w:rPr>
        <w:t>,</w:t>
      </w:r>
      <w:r w:rsidR="00BF4F02">
        <w:rPr>
          <w:rStyle w:val="FootnoteReference"/>
        </w:rPr>
        <w:footnoteReference w:id="20"/>
      </w:r>
      <w:r w:rsidRPr="005D05B9">
        <w:t xml:space="preserve"> </w:t>
      </w:r>
    </w:p>
    <w:p w:rsidR="005D05B9" w:rsidP="00EC2F55" w:rsidRDefault="005D05B9" w14:paraId="5ADEDA49" w14:textId="62315FBB">
      <w:pPr>
        <w:ind w:left="360"/>
      </w:pPr>
    </w:p>
    <w:p w:rsidR="000D1F76" w:rsidP="00EC2F55" w:rsidRDefault="000D1F76" w14:paraId="3E6F92F6" w14:textId="77777777">
      <w:pPr>
        <w:ind w:left="360"/>
      </w:pPr>
    </w:p>
    <w:p w:rsidRPr="005B2EFB" w:rsidR="005B2EFB" w:rsidP="005B2EFB" w:rsidRDefault="005B2EFB" w14:paraId="1976DED7" w14:textId="6B640C3E">
      <w:pPr>
        <w:pStyle w:val="BodyText"/>
        <w:spacing w:before="32" w:line="259" w:lineRule="auto"/>
        <w:ind w:right="336"/>
        <w:rPr>
          <w:b/>
          <w:bCs/>
        </w:rPr>
      </w:pPr>
      <w:r w:rsidRPr="00F61BF7">
        <w:rPr>
          <w:b/>
          <w:bCs/>
        </w:rPr>
        <w:t xml:space="preserve">Table </w:t>
      </w:r>
      <w:r w:rsidR="009700A5">
        <w:rPr>
          <w:b/>
          <w:bCs/>
        </w:rPr>
        <w:t>2</w:t>
      </w:r>
      <w:r w:rsidRPr="00F61BF7">
        <w:rPr>
          <w:b/>
          <w:bCs/>
        </w:rPr>
        <w:t xml:space="preserve">. </w:t>
      </w:r>
      <w:r w:rsidR="001A21BD">
        <w:rPr>
          <w:b/>
          <w:bCs/>
        </w:rPr>
        <w:t xml:space="preserve">Loan Loss Program </w:t>
      </w:r>
      <w:r w:rsidRPr="00F61BF7">
        <w:rPr>
          <w:b/>
          <w:bCs/>
        </w:rPr>
        <w:t>Funding Allocation for each Fiscal Year</w:t>
      </w:r>
    </w:p>
    <w:tbl>
      <w:tblPr>
        <w:tblW w:w="0" w:type="auto"/>
        <w:tblCellMar>
          <w:left w:w="0" w:type="dxa"/>
          <w:right w:w="0" w:type="dxa"/>
        </w:tblCellMar>
        <w:tblLook w:val="04A0" w:firstRow="1" w:lastRow="0" w:firstColumn="1" w:lastColumn="0" w:noHBand="0" w:noVBand="1"/>
      </w:tblPr>
      <w:tblGrid>
        <w:gridCol w:w="3230"/>
        <w:gridCol w:w="1530"/>
        <w:gridCol w:w="2250"/>
        <w:gridCol w:w="2288"/>
      </w:tblGrid>
      <w:tr w:rsidR="00E14E34" w:rsidTr="001817F2" w14:paraId="2A83C338" w14:textId="77777777">
        <w:tc>
          <w:tcPr>
            <w:tcW w:w="32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857B4F" w:rsidR="00E14E34" w:rsidP="00857B4F" w:rsidRDefault="00E14E34" w14:paraId="2A318B6A" w14:textId="77777777">
            <w:pPr>
              <w:spacing w:after="0" w:line="240" w:lineRule="auto"/>
            </w:pPr>
          </w:p>
        </w:tc>
        <w:tc>
          <w:tcPr>
            <w:tcW w:w="153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E14E34" w:rsidP="00857B4F" w:rsidRDefault="00E14E34" w14:paraId="34C226CB" w14:textId="77777777">
            <w:pPr>
              <w:spacing w:after="0" w:line="240" w:lineRule="auto"/>
              <w:jc w:val="center"/>
              <w:rPr>
                <w:b/>
              </w:rPr>
            </w:pPr>
            <w:r w:rsidRPr="002767B5">
              <w:rPr>
                <w:b/>
              </w:rPr>
              <w:t>Cycle 1</w:t>
            </w:r>
          </w:p>
          <w:p w:rsidRPr="002767B5" w:rsidR="00E14E34" w:rsidP="00857B4F" w:rsidRDefault="00121B70" w14:paraId="49BE2445" w14:textId="5B682042">
            <w:pPr>
              <w:spacing w:after="0" w:line="240" w:lineRule="auto"/>
              <w:jc w:val="center"/>
              <w:rPr>
                <w:b/>
              </w:rPr>
            </w:pPr>
            <w:r>
              <w:rPr>
                <w:b/>
              </w:rPr>
              <w:t>(months 1-4)</w:t>
            </w:r>
          </w:p>
        </w:tc>
        <w:tc>
          <w:tcPr>
            <w:tcW w:w="22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767B5" w:rsidR="00C6727C" w:rsidP="00857B4F" w:rsidRDefault="00E14E34" w14:paraId="254DBF2D" w14:textId="61CEE2B3">
            <w:pPr>
              <w:spacing w:after="0" w:line="240" w:lineRule="auto"/>
              <w:jc w:val="center"/>
              <w:rPr>
                <w:b/>
              </w:rPr>
            </w:pPr>
            <w:r w:rsidRPr="002767B5">
              <w:rPr>
                <w:b/>
              </w:rPr>
              <w:t>Cycle 2</w:t>
            </w:r>
            <w:r w:rsidR="00C6727C">
              <w:rPr>
                <w:b/>
              </w:rPr>
              <w:t xml:space="preserve"> </w:t>
            </w:r>
          </w:p>
          <w:p w:rsidRPr="002767B5" w:rsidR="00E14E34" w:rsidP="00857B4F" w:rsidRDefault="00E14E34" w14:paraId="05B1746F" w14:textId="04C78909">
            <w:pPr>
              <w:spacing w:after="0" w:line="240" w:lineRule="auto"/>
              <w:jc w:val="center"/>
              <w:rPr>
                <w:b/>
              </w:rPr>
            </w:pPr>
            <w:r w:rsidRPr="002767B5">
              <w:rPr>
                <w:b/>
              </w:rPr>
              <w:t xml:space="preserve">(months </w:t>
            </w:r>
            <w:r w:rsidR="00121B70">
              <w:rPr>
                <w:b/>
              </w:rPr>
              <w:t>5-</w:t>
            </w:r>
            <w:r w:rsidR="0042187A">
              <w:rPr>
                <w:b/>
              </w:rPr>
              <w:t>8</w:t>
            </w:r>
            <w:r w:rsidRPr="002767B5">
              <w:rPr>
                <w:b/>
              </w:rPr>
              <w:t>)</w:t>
            </w:r>
          </w:p>
        </w:tc>
        <w:tc>
          <w:tcPr>
            <w:tcW w:w="228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767B5" w:rsidR="00E14E34" w:rsidP="00857B4F" w:rsidRDefault="00E14E34" w14:paraId="03CC6DE4" w14:textId="77777777">
            <w:pPr>
              <w:spacing w:after="0" w:line="240" w:lineRule="auto"/>
              <w:jc w:val="center"/>
              <w:rPr>
                <w:b/>
              </w:rPr>
            </w:pPr>
            <w:r w:rsidRPr="002767B5">
              <w:rPr>
                <w:b/>
              </w:rPr>
              <w:t>Cycle 3</w:t>
            </w:r>
          </w:p>
          <w:p w:rsidRPr="002767B5" w:rsidR="00E14E34" w:rsidP="00857B4F" w:rsidRDefault="00E14E34" w14:paraId="54A073B5" w14:textId="2A167EE0">
            <w:pPr>
              <w:spacing w:after="0" w:line="240" w:lineRule="auto"/>
              <w:jc w:val="center"/>
              <w:rPr>
                <w:b/>
              </w:rPr>
            </w:pPr>
            <w:r w:rsidRPr="002767B5">
              <w:rPr>
                <w:b/>
              </w:rPr>
              <w:t xml:space="preserve">(months </w:t>
            </w:r>
            <w:r w:rsidR="00415929">
              <w:rPr>
                <w:b/>
              </w:rPr>
              <w:t>9-1</w:t>
            </w:r>
            <w:r w:rsidRPr="002767B5">
              <w:rPr>
                <w:b/>
              </w:rPr>
              <w:t>2)</w:t>
            </w:r>
          </w:p>
        </w:tc>
      </w:tr>
      <w:tr w:rsidR="00E14E34" w:rsidTr="001817F2" w14:paraId="60100772" w14:textId="77777777">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E14E34" w:rsidP="00857B4F" w:rsidRDefault="00E14E34" w14:paraId="0F39EF0E" w14:textId="77777777">
            <w:pPr>
              <w:spacing w:after="0" w:line="240" w:lineRule="auto"/>
              <w:jc w:val="center"/>
              <w:rPr>
                <w:b/>
                <w:bCs/>
              </w:rPr>
            </w:pPr>
            <w:r w:rsidRPr="008967F1">
              <w:rPr>
                <w:b/>
                <w:bCs/>
              </w:rPr>
              <w:t>General Market Track</w:t>
            </w:r>
          </w:p>
          <w:p w:rsidR="00055CB6" w:rsidP="00857B4F" w:rsidRDefault="00055CB6" w14:paraId="2B604DFF" w14:textId="77777777">
            <w:pPr>
              <w:spacing w:after="0" w:line="240" w:lineRule="auto"/>
              <w:jc w:val="center"/>
            </w:pPr>
            <w:r w:rsidRPr="00857B4F">
              <w:t>Open to all projects</w:t>
            </w:r>
          </w:p>
          <w:p w:rsidRPr="00857B4F" w:rsidR="00225E1A" w:rsidP="00857B4F" w:rsidRDefault="00667E06" w14:paraId="1BE4F45E" w14:textId="00CD7EC0">
            <w:pPr>
              <w:spacing w:after="0" w:line="240" w:lineRule="auto"/>
              <w:jc w:val="center"/>
            </w:pPr>
            <w:r>
              <w:t>(40% of available funds per cycle)</w:t>
            </w:r>
          </w:p>
        </w:tc>
        <w:tc>
          <w:tcPr>
            <w:tcW w:w="1530" w:type="dxa"/>
            <w:tcBorders>
              <w:top w:val="nil"/>
              <w:left w:val="nil"/>
              <w:bottom w:val="single" w:color="auto" w:sz="8" w:space="0"/>
              <w:right w:val="single" w:color="auto" w:sz="8" w:space="0"/>
            </w:tcBorders>
            <w:tcMar>
              <w:top w:w="0" w:type="dxa"/>
              <w:left w:w="108" w:type="dxa"/>
              <w:bottom w:w="0" w:type="dxa"/>
              <w:right w:w="108" w:type="dxa"/>
            </w:tcMar>
            <w:hideMark/>
          </w:tcPr>
          <w:p w:rsidR="00E14E34" w:rsidP="00857B4F" w:rsidRDefault="00FE6D09" w14:paraId="397F7664" w14:textId="606E64C0">
            <w:pPr>
              <w:spacing w:after="0" w:line="240" w:lineRule="auto"/>
              <w:jc w:val="center"/>
            </w:pPr>
            <w:r>
              <w:t>4/10</w:t>
            </w:r>
            <w:r w:rsidR="00622C72">
              <w:t xml:space="preserve"> </w:t>
            </w:r>
            <w:r w:rsidR="00E14E34">
              <w:t>of available funds</w:t>
            </w:r>
          </w:p>
        </w:tc>
        <w:tc>
          <w:tcPr>
            <w:tcW w:w="2250" w:type="dxa"/>
            <w:tcBorders>
              <w:top w:val="nil"/>
              <w:left w:val="nil"/>
              <w:bottom w:val="single" w:color="auto" w:sz="8" w:space="0"/>
              <w:right w:val="single" w:color="auto" w:sz="8" w:space="0"/>
            </w:tcBorders>
            <w:tcMar>
              <w:top w:w="0" w:type="dxa"/>
              <w:left w:w="108" w:type="dxa"/>
              <w:bottom w:w="0" w:type="dxa"/>
              <w:right w:w="108" w:type="dxa"/>
            </w:tcMar>
            <w:hideMark/>
          </w:tcPr>
          <w:p w:rsidR="00E14E34" w:rsidP="00857B4F" w:rsidRDefault="00FE6D09" w14:paraId="69EDB5AA" w14:textId="061C0A4C">
            <w:pPr>
              <w:spacing w:after="0" w:line="240" w:lineRule="auto"/>
              <w:jc w:val="center"/>
            </w:pPr>
            <w:r>
              <w:t>4/10</w:t>
            </w:r>
            <w:r w:rsidR="00E14E34">
              <w:t xml:space="preserve"> of available funds, plus any remaining funds from Cycle 1</w:t>
            </w:r>
          </w:p>
        </w:tc>
        <w:tc>
          <w:tcPr>
            <w:tcW w:w="2288" w:type="dxa"/>
            <w:tcBorders>
              <w:top w:val="nil"/>
              <w:left w:val="nil"/>
              <w:bottom w:val="single" w:color="auto" w:sz="8" w:space="0"/>
              <w:right w:val="single" w:color="auto" w:sz="8" w:space="0"/>
            </w:tcBorders>
            <w:tcMar>
              <w:top w:w="0" w:type="dxa"/>
              <w:left w:w="108" w:type="dxa"/>
              <w:bottom w:w="0" w:type="dxa"/>
              <w:right w:w="108" w:type="dxa"/>
            </w:tcMar>
            <w:hideMark/>
          </w:tcPr>
          <w:p w:rsidR="00E14E34" w:rsidP="00857B4F" w:rsidRDefault="00FE6D09" w14:paraId="5F5F24B4" w14:textId="7A9D9E4D">
            <w:pPr>
              <w:spacing w:after="0" w:line="240" w:lineRule="auto"/>
              <w:jc w:val="center"/>
            </w:pPr>
            <w:r>
              <w:t>4/10</w:t>
            </w:r>
            <w:r w:rsidR="00E14E34">
              <w:t xml:space="preserve"> of available funds, plus any remaining funds from Cycles 1 and 2</w:t>
            </w:r>
          </w:p>
        </w:tc>
      </w:tr>
      <w:tr w:rsidR="004A4C45" w:rsidTr="001817F2" w14:paraId="74504EA9" w14:textId="77777777">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4A4C45" w:rsidP="004A4C45" w:rsidRDefault="004A4C45" w14:paraId="787180ED" w14:textId="0BCEE2FE">
            <w:pPr>
              <w:spacing w:after="0" w:line="240" w:lineRule="auto"/>
              <w:jc w:val="center"/>
              <w:rPr>
                <w:b/>
                <w:bCs/>
              </w:rPr>
            </w:pPr>
            <w:r>
              <w:rPr>
                <w:b/>
                <w:bCs/>
              </w:rPr>
              <w:t xml:space="preserve">Tribal </w:t>
            </w:r>
            <w:r w:rsidR="00EF4FB0">
              <w:rPr>
                <w:b/>
                <w:bCs/>
              </w:rPr>
              <w:t>Track</w:t>
            </w:r>
          </w:p>
          <w:p w:rsidRPr="008967F1" w:rsidR="004A4C45" w:rsidP="004A4C45" w:rsidRDefault="004A4C45" w14:paraId="1E02EF56" w14:textId="356C02F4">
            <w:pPr>
              <w:spacing w:after="0" w:line="240" w:lineRule="auto"/>
              <w:jc w:val="center"/>
              <w:rPr>
                <w:b/>
                <w:bCs/>
              </w:rPr>
            </w:pPr>
            <w:r w:rsidRPr="00616CAD">
              <w:t>(10% of available funds per cycle)</w:t>
            </w:r>
          </w:p>
        </w:tc>
        <w:tc>
          <w:tcPr>
            <w:tcW w:w="1530" w:type="dxa"/>
            <w:tcBorders>
              <w:top w:val="nil"/>
              <w:left w:val="nil"/>
              <w:bottom w:val="single" w:color="auto" w:sz="8" w:space="0"/>
              <w:right w:val="single" w:color="auto" w:sz="8" w:space="0"/>
            </w:tcBorders>
            <w:tcMar>
              <w:top w:w="0" w:type="dxa"/>
              <w:left w:w="108" w:type="dxa"/>
              <w:bottom w:w="0" w:type="dxa"/>
              <w:right w:w="108" w:type="dxa"/>
            </w:tcMar>
          </w:tcPr>
          <w:p w:rsidR="004A4C45" w:rsidP="004A4C45" w:rsidRDefault="004A4C45" w14:paraId="71A47674" w14:textId="0BBA120D">
            <w:pPr>
              <w:spacing w:after="0" w:line="240" w:lineRule="auto"/>
              <w:jc w:val="center"/>
            </w:pPr>
            <w:r>
              <w:t>1/10 of available funds</w:t>
            </w:r>
          </w:p>
        </w:tc>
        <w:tc>
          <w:tcPr>
            <w:tcW w:w="2250" w:type="dxa"/>
            <w:tcBorders>
              <w:top w:val="nil"/>
              <w:left w:val="nil"/>
              <w:bottom w:val="single" w:color="auto" w:sz="8" w:space="0"/>
              <w:right w:val="single" w:color="auto" w:sz="8" w:space="0"/>
            </w:tcBorders>
            <w:tcMar>
              <w:top w:w="0" w:type="dxa"/>
              <w:left w:w="108" w:type="dxa"/>
              <w:bottom w:w="0" w:type="dxa"/>
              <w:right w:w="108" w:type="dxa"/>
            </w:tcMar>
          </w:tcPr>
          <w:p w:rsidR="004A4C45" w:rsidP="004A4C45" w:rsidRDefault="004A4C45" w14:paraId="4D613388" w14:textId="7C53342B">
            <w:pPr>
              <w:spacing w:after="0" w:line="240" w:lineRule="auto"/>
              <w:jc w:val="center"/>
            </w:pPr>
            <w:r>
              <w:t>1/10 of available funds, plus any remaining funds from Cycle 1</w:t>
            </w:r>
          </w:p>
        </w:tc>
        <w:tc>
          <w:tcPr>
            <w:tcW w:w="2288" w:type="dxa"/>
            <w:tcBorders>
              <w:top w:val="nil"/>
              <w:left w:val="nil"/>
              <w:bottom w:val="single" w:color="auto" w:sz="8" w:space="0"/>
              <w:right w:val="single" w:color="auto" w:sz="8" w:space="0"/>
            </w:tcBorders>
            <w:tcMar>
              <w:top w:w="0" w:type="dxa"/>
              <w:left w:w="108" w:type="dxa"/>
              <w:bottom w:w="0" w:type="dxa"/>
              <w:right w:w="108" w:type="dxa"/>
            </w:tcMar>
          </w:tcPr>
          <w:p w:rsidR="004A4C45" w:rsidP="004A4C45" w:rsidRDefault="004A4C45" w14:paraId="2502B7C2" w14:textId="293CB4B5">
            <w:pPr>
              <w:spacing w:after="0" w:line="240" w:lineRule="auto"/>
              <w:jc w:val="center"/>
            </w:pPr>
            <w:r>
              <w:t>1/10 of available funds, plus any remaining funds from Cycle</w:t>
            </w:r>
            <w:r w:rsidR="0043176F">
              <w:t>s 1 and</w:t>
            </w:r>
            <w:r>
              <w:t xml:space="preserve"> 2</w:t>
            </w:r>
          </w:p>
        </w:tc>
      </w:tr>
      <w:tr w:rsidR="00E14E34" w:rsidTr="001817F2" w14:paraId="5BC24F6C" w14:textId="77777777">
        <w:tc>
          <w:tcPr>
            <w:tcW w:w="3230"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8967F1" w:rsidR="00E14E34" w:rsidP="00857B4F" w:rsidRDefault="00E14E34" w14:paraId="61FA9C7E" w14:textId="577D6017">
            <w:pPr>
              <w:spacing w:after="0" w:line="240" w:lineRule="auto"/>
              <w:jc w:val="center"/>
              <w:rPr>
                <w:b/>
                <w:bCs/>
              </w:rPr>
            </w:pPr>
            <w:r w:rsidRPr="008967F1">
              <w:rPr>
                <w:b/>
                <w:bCs/>
              </w:rPr>
              <w:t>Equity Track</w:t>
            </w:r>
          </w:p>
          <w:p w:rsidR="004A4C45" w:rsidP="004A4C45" w:rsidRDefault="00E14E34" w14:paraId="4BF7DB33" w14:textId="24CD6C52">
            <w:pPr>
              <w:spacing w:after="0" w:line="240" w:lineRule="auto"/>
              <w:jc w:val="center"/>
            </w:pPr>
            <w:r>
              <w:t xml:space="preserve">Open to projects serving SB 535 Disadvantaged Communities </w:t>
            </w:r>
            <w:r w:rsidR="00963B3F">
              <w:t>and Low-Income Areas</w:t>
            </w:r>
            <w:r w:rsidR="004A4C45">
              <w:t xml:space="preserve">, </w:t>
            </w:r>
            <w:r>
              <w:t>including Tribes</w:t>
            </w:r>
            <w:r w:rsidR="004A4C45">
              <w:t>.</w:t>
            </w:r>
          </w:p>
          <w:p w:rsidR="00E14E34" w:rsidP="00857B4F" w:rsidRDefault="004A4C45" w14:paraId="6652862E" w14:textId="3F68A7BD">
            <w:pPr>
              <w:spacing w:after="0" w:line="240" w:lineRule="auto"/>
              <w:jc w:val="center"/>
            </w:pPr>
            <w:r>
              <w:t>(50% of available funds per cycle</w:t>
            </w:r>
            <w:r w:rsidR="00E14E34">
              <w:t>)</w:t>
            </w:r>
          </w:p>
        </w:tc>
        <w:tc>
          <w:tcPr>
            <w:tcW w:w="1530" w:type="dxa"/>
            <w:tcBorders>
              <w:top w:val="nil"/>
              <w:left w:val="nil"/>
              <w:bottom w:val="single" w:color="auto" w:sz="4" w:space="0"/>
              <w:right w:val="single" w:color="auto" w:sz="8" w:space="0"/>
            </w:tcBorders>
            <w:tcMar>
              <w:top w:w="0" w:type="dxa"/>
              <w:left w:w="108" w:type="dxa"/>
              <w:bottom w:w="0" w:type="dxa"/>
              <w:right w:w="108" w:type="dxa"/>
            </w:tcMar>
            <w:hideMark/>
          </w:tcPr>
          <w:p w:rsidR="00E14E34" w:rsidP="00857B4F" w:rsidRDefault="004A4C45" w14:paraId="06F28EF2" w14:textId="43B0345D">
            <w:pPr>
              <w:spacing w:after="0" w:line="240" w:lineRule="auto"/>
              <w:jc w:val="center"/>
            </w:pPr>
            <w:r>
              <w:t xml:space="preserve">5/10 </w:t>
            </w:r>
            <w:r w:rsidR="00E14E34">
              <w:t>of available funds</w:t>
            </w:r>
          </w:p>
        </w:tc>
        <w:tc>
          <w:tcPr>
            <w:tcW w:w="2250" w:type="dxa"/>
            <w:tcBorders>
              <w:top w:val="nil"/>
              <w:left w:val="nil"/>
              <w:bottom w:val="single" w:color="auto" w:sz="4" w:space="0"/>
              <w:right w:val="single" w:color="auto" w:sz="8" w:space="0"/>
            </w:tcBorders>
            <w:tcMar>
              <w:top w:w="0" w:type="dxa"/>
              <w:left w:w="108" w:type="dxa"/>
              <w:bottom w:w="0" w:type="dxa"/>
              <w:right w:w="108" w:type="dxa"/>
            </w:tcMar>
            <w:hideMark/>
          </w:tcPr>
          <w:p w:rsidR="00E14E34" w:rsidP="00857B4F" w:rsidRDefault="004A4C45" w14:paraId="22629389" w14:textId="59D5A1C9">
            <w:pPr>
              <w:spacing w:after="0" w:line="240" w:lineRule="auto"/>
              <w:jc w:val="center"/>
            </w:pPr>
            <w:r>
              <w:t>5/10</w:t>
            </w:r>
            <w:r w:rsidR="00E14E34">
              <w:t xml:space="preserve"> of available funds, plus any remaining funds from Cycle 1</w:t>
            </w:r>
          </w:p>
        </w:tc>
        <w:tc>
          <w:tcPr>
            <w:tcW w:w="2288" w:type="dxa"/>
            <w:tcBorders>
              <w:top w:val="nil"/>
              <w:left w:val="nil"/>
              <w:bottom w:val="single" w:color="auto" w:sz="4" w:space="0"/>
              <w:right w:val="single" w:color="auto" w:sz="8" w:space="0"/>
            </w:tcBorders>
            <w:tcMar>
              <w:top w:w="0" w:type="dxa"/>
              <w:left w:w="108" w:type="dxa"/>
              <w:bottom w:w="0" w:type="dxa"/>
              <w:right w:w="108" w:type="dxa"/>
            </w:tcMar>
            <w:hideMark/>
          </w:tcPr>
          <w:p w:rsidR="00E14E34" w:rsidP="00857B4F" w:rsidRDefault="004A4C45" w14:paraId="3AC2BC65" w14:textId="3AB3A4C6">
            <w:pPr>
              <w:spacing w:after="0" w:line="240" w:lineRule="auto"/>
              <w:jc w:val="center"/>
            </w:pPr>
            <w:r>
              <w:t>5/10</w:t>
            </w:r>
            <w:r w:rsidR="00E14E34">
              <w:t xml:space="preserve"> of available funds, plus any remaining funds from Cycles 1 and 2</w:t>
            </w:r>
          </w:p>
        </w:tc>
      </w:tr>
    </w:tbl>
    <w:p w:rsidRPr="00EC2F55" w:rsidR="00E14E34" w:rsidP="00EC2F55" w:rsidRDefault="00E14E34" w14:paraId="6D95CE80" w14:textId="77777777">
      <w:pPr>
        <w:ind w:left="360"/>
      </w:pPr>
    </w:p>
    <w:p w:rsidR="00285366" w:rsidP="00857B4F" w:rsidRDefault="00285366" w14:paraId="2D01C3C5" w14:textId="5D6061E4">
      <w:pPr>
        <w:pStyle w:val="Heading2"/>
        <w:numPr>
          <w:ilvl w:val="1"/>
          <w:numId w:val="26"/>
        </w:numPr>
        <w:ind w:left="1170"/>
      </w:pPr>
      <w:bookmarkStart w:name="_Toc149134341" w:id="91"/>
      <w:r>
        <w:t xml:space="preserve">General </w:t>
      </w:r>
      <w:r w:rsidR="00AC0DF2">
        <w:t>Market</w:t>
      </w:r>
      <w:r w:rsidR="007B1A00">
        <w:t xml:space="preserve">, Tribal, </w:t>
      </w:r>
      <w:r w:rsidR="00AC0DF2">
        <w:t>and Equity Track</w:t>
      </w:r>
      <w:r w:rsidR="002A1971">
        <w:t xml:space="preserve"> </w:t>
      </w:r>
      <w:r w:rsidR="00055CB6">
        <w:t>R</w:t>
      </w:r>
      <w:r w:rsidR="00DD0368">
        <w:t>equirements</w:t>
      </w:r>
      <w:bookmarkEnd w:id="91"/>
    </w:p>
    <w:p w:rsidR="00AC0DF2" w:rsidP="00AC0DF2" w:rsidRDefault="00976623" w14:paraId="3AE8A767" w14:textId="6640B23A">
      <w:pPr>
        <w:ind w:left="360"/>
      </w:pPr>
      <w:r>
        <w:t>B</w:t>
      </w:r>
      <w:r w:rsidR="00841827">
        <w:t xml:space="preserve">roadband projects eligible for the Equity Track are also </w:t>
      </w:r>
      <w:r w:rsidR="00103AF2">
        <w:t>eligible for</w:t>
      </w:r>
      <w:r w:rsidR="00E10371">
        <w:t xml:space="preserve"> the General Market Track.</w:t>
      </w:r>
      <w:r w:rsidR="003A4920">
        <w:t xml:space="preserve"> </w:t>
      </w:r>
    </w:p>
    <w:p w:rsidR="00F57148" w:rsidP="00AC0DF2" w:rsidRDefault="003A4920" w14:paraId="41D1C732" w14:textId="03F5E3CC">
      <w:pPr>
        <w:ind w:left="360"/>
      </w:pPr>
      <w:r>
        <w:t>In the event the Equity Track becomes oversubscribed in a cycle,</w:t>
      </w:r>
      <w:r w:rsidR="00507EFB">
        <w:t xml:space="preserve"> Equity Track projects will</w:t>
      </w:r>
      <w:r w:rsidR="00E97AB9">
        <w:t xml:space="preserve"> be given priority</w:t>
      </w:r>
      <w:r w:rsidR="00507EFB">
        <w:t xml:space="preserve"> over General Market Track projects </w:t>
      </w:r>
      <w:r w:rsidR="00E97AB9">
        <w:t>during funding allocation</w:t>
      </w:r>
      <w:r w:rsidR="00507EFB">
        <w:t>.</w:t>
      </w:r>
      <w:r>
        <w:t xml:space="preserve"> </w:t>
      </w:r>
    </w:p>
    <w:p w:rsidR="003A4920" w:rsidP="00AC0DF2" w:rsidRDefault="00F57148" w14:paraId="7E7A8E91" w14:textId="4CE01F62">
      <w:pPr>
        <w:ind w:left="360"/>
      </w:pPr>
      <w:r>
        <w:t>If funding becomes oversubscribed</w:t>
      </w:r>
      <w:r w:rsidR="005B648F">
        <w:t xml:space="preserve"> in a cycle</w:t>
      </w:r>
      <w:r>
        <w:t xml:space="preserve"> in </w:t>
      </w:r>
      <w:r w:rsidR="004B625D">
        <w:t xml:space="preserve">either of the </w:t>
      </w:r>
      <w:r w:rsidR="006078BD">
        <w:t>General Market, Tribal or Equity Track</w:t>
      </w:r>
      <w:r w:rsidR="004B625D">
        <w:t>, the application shall be rolled over to the next funding cycle and be evaluated there</w:t>
      </w:r>
      <w:r w:rsidR="005B648F">
        <w:t xml:space="preserve"> once funding is replenished</w:t>
      </w:r>
      <w:r w:rsidR="004B625D">
        <w:t>.</w:t>
      </w:r>
      <w:r w:rsidR="00941CAC">
        <w:t xml:space="preserve"> </w:t>
      </w:r>
      <w:r w:rsidR="00D23DFB">
        <w:t>Applicants</w:t>
      </w:r>
      <w:r w:rsidR="00941CAC">
        <w:t xml:space="preserve"> will not need to resubmit their applications in the new cycle.</w:t>
      </w:r>
      <w:r w:rsidR="003A4920">
        <w:t xml:space="preserve"> </w:t>
      </w:r>
    </w:p>
    <w:p w:rsidR="00A034C5" w:rsidP="00842F43" w:rsidRDefault="00A034C5" w14:paraId="4D879932" w14:textId="03349ECC">
      <w:pPr>
        <w:ind w:left="360"/>
      </w:pPr>
    </w:p>
    <w:p w:rsidR="008E24FB" w:rsidP="00857B4F" w:rsidRDefault="008E24FB" w14:paraId="7360CC16" w14:textId="41D07FB1">
      <w:pPr>
        <w:pStyle w:val="Heading2"/>
        <w:numPr>
          <w:ilvl w:val="1"/>
          <w:numId w:val="26"/>
        </w:numPr>
        <w:ind w:left="1170"/>
      </w:pPr>
      <w:bookmarkStart w:name="_Toc143515921" w:id="92"/>
      <w:bookmarkStart w:name="_Toc149134342" w:id="93"/>
      <w:bookmarkEnd w:id="92"/>
      <w:r>
        <w:t>Prioritization of Unserved Communities</w:t>
      </w:r>
      <w:bookmarkEnd w:id="93"/>
    </w:p>
    <w:p w:rsidR="008E24FB" w:rsidP="006A01A6" w:rsidRDefault="00FE042B" w14:paraId="7C05E811" w14:textId="449CD643">
      <w:pPr>
        <w:ind w:left="360"/>
      </w:pPr>
      <w:r>
        <w:t xml:space="preserve">The </w:t>
      </w:r>
      <w:r w:rsidR="00CC3E8E">
        <w:t xml:space="preserve">CPUC </w:t>
      </w:r>
      <w:r>
        <w:t>will</w:t>
      </w:r>
      <w:r w:rsidR="008E24FB">
        <w:t xml:space="preserve"> </w:t>
      </w:r>
      <w:r w:rsidR="00FC146B">
        <w:t xml:space="preserve">not restrict the LLP financing to unserved </w:t>
      </w:r>
      <w:r w:rsidR="001B75B2">
        <w:t xml:space="preserve">areas </w:t>
      </w:r>
      <w:r w:rsidR="00305A64">
        <w:t>and</w:t>
      </w:r>
      <w:r w:rsidR="00FC146B">
        <w:t xml:space="preserve"> </w:t>
      </w:r>
      <w:r w:rsidR="7B94BD2B">
        <w:t>will</w:t>
      </w:r>
      <w:r w:rsidR="00FC146B">
        <w:t xml:space="preserve"> </w:t>
      </w:r>
      <w:r w:rsidR="00D269AD">
        <w:t xml:space="preserve">allow </w:t>
      </w:r>
      <w:r w:rsidR="00FC146B">
        <w:t xml:space="preserve">for financing in adjacent underserved and served communities. </w:t>
      </w:r>
    </w:p>
    <w:p w:rsidR="009A5234" w:rsidP="006D7073" w:rsidRDefault="009A5234" w14:paraId="1514B587" w14:textId="77777777"/>
    <w:p w:rsidR="0027741B" w:rsidP="00857B4F" w:rsidRDefault="00792AE7" w14:paraId="6B3F17E8" w14:textId="69FDCC11">
      <w:pPr>
        <w:pStyle w:val="Heading2"/>
        <w:numPr>
          <w:ilvl w:val="1"/>
          <w:numId w:val="26"/>
        </w:numPr>
        <w:ind w:left="1170"/>
      </w:pPr>
      <w:bookmarkStart w:name="_Toc149134343" w:id="94"/>
      <w:r>
        <w:t xml:space="preserve">Applicant </w:t>
      </w:r>
      <w:r w:rsidR="0027741B">
        <w:t>Prioritization</w:t>
      </w:r>
      <w:bookmarkEnd w:id="94"/>
    </w:p>
    <w:p w:rsidR="00792AE7" w:rsidP="00857B4F" w:rsidRDefault="00CE6E39" w14:paraId="38AF3A37" w14:textId="4D176FB7">
      <w:pPr>
        <w:tabs>
          <w:tab w:val="left" w:pos="360"/>
        </w:tabs>
        <w:ind w:left="360"/>
      </w:pPr>
      <w:bookmarkStart w:name="_Toc143515923" w:id="95"/>
      <w:bookmarkEnd w:id="95"/>
      <w:r w:rsidRPr="00CE6E39">
        <w:t>Commission Staff will score all applications based on the scoring criteria below. In the event the LLP receives more applications for funding within a cycle than is available, Commission Staff will prioritize applications based on the amount of credit enhancement coverage requested, the proportion of unserved locations in the application, whether the applicant will offer a low-cost plan, and the project’s technology choice. Commission Staff may update or modify the scoring criteria by CPUC Resolution if an update to the scoring criteria is needed.</w:t>
      </w:r>
    </w:p>
    <w:p w:rsidRPr="00857B4F" w:rsidR="00CC39F6" w:rsidP="00857B4F" w:rsidRDefault="00B41AB5" w14:paraId="46EE5D17" w14:textId="59F85343">
      <w:pPr>
        <w:pStyle w:val="BodyText"/>
        <w:rPr>
          <w:b/>
        </w:rPr>
      </w:pPr>
      <w:bookmarkStart w:name="_Toc143515924" w:id="96"/>
      <w:bookmarkEnd w:id="96"/>
      <w:r w:rsidRPr="00857B4F">
        <w:rPr>
          <w:b/>
          <w:bCs/>
        </w:rPr>
        <w:t>Table 3.</w:t>
      </w:r>
      <w:r w:rsidRPr="00A50D20">
        <w:rPr>
          <w:b/>
          <w:bCs/>
        </w:rPr>
        <w:t xml:space="preserve"> Loan Loss Program</w:t>
      </w:r>
      <w:r w:rsidRPr="00857B4F">
        <w:rPr>
          <w:b/>
          <w:bCs/>
        </w:rPr>
        <w:t xml:space="preserve"> Scoring Criteria </w:t>
      </w:r>
    </w:p>
    <w:tbl>
      <w:tblPr>
        <w:tblStyle w:val="TableGrid"/>
        <w:tblW w:w="8910" w:type="dxa"/>
        <w:tblInd w:w="445" w:type="dxa"/>
        <w:tblLook w:val="04A0" w:firstRow="1" w:lastRow="0" w:firstColumn="1" w:lastColumn="0" w:noHBand="0" w:noVBand="1"/>
      </w:tblPr>
      <w:tblGrid>
        <w:gridCol w:w="3358"/>
        <w:gridCol w:w="1412"/>
        <w:gridCol w:w="4140"/>
      </w:tblGrid>
      <w:tr w:rsidRPr="00A50D20" w:rsidR="0038156C" w:rsidTr="559D5049" w14:paraId="57BABE56" w14:textId="1188DD81">
        <w:tc>
          <w:tcPr>
            <w:tcW w:w="3358" w:type="dxa"/>
          </w:tcPr>
          <w:p w:rsidRPr="00857B4F" w:rsidR="00777B94" w:rsidP="00857B4F" w:rsidRDefault="00777B94" w14:paraId="572891C5" w14:textId="55BF3468">
            <w:pPr>
              <w:pStyle w:val="ListParagraph"/>
              <w:ind w:left="0"/>
              <w:jc w:val="center"/>
              <w:rPr>
                <w:b/>
                <w:bCs/>
              </w:rPr>
            </w:pPr>
            <w:r w:rsidRPr="00857B4F">
              <w:rPr>
                <w:b/>
                <w:bCs/>
              </w:rPr>
              <w:t>Category</w:t>
            </w:r>
          </w:p>
        </w:tc>
        <w:tc>
          <w:tcPr>
            <w:tcW w:w="1412" w:type="dxa"/>
          </w:tcPr>
          <w:p w:rsidRPr="00857B4F" w:rsidR="00777B94" w:rsidP="00857B4F" w:rsidRDefault="00105FF3" w14:paraId="4A6D21E9" w14:textId="1899BC8C">
            <w:pPr>
              <w:pStyle w:val="ListParagraph"/>
              <w:ind w:left="0"/>
              <w:jc w:val="center"/>
              <w:rPr>
                <w:b/>
                <w:bCs/>
              </w:rPr>
            </w:pPr>
            <w:r w:rsidRPr="00857B4F">
              <w:rPr>
                <w:b/>
                <w:bCs/>
              </w:rPr>
              <w:t>Maximum Points</w:t>
            </w:r>
          </w:p>
        </w:tc>
        <w:tc>
          <w:tcPr>
            <w:tcW w:w="4140" w:type="dxa"/>
          </w:tcPr>
          <w:p w:rsidRPr="00857B4F" w:rsidR="00777B94" w:rsidP="00857B4F" w:rsidRDefault="00105FF3" w14:paraId="4AA64FD7" w14:textId="7672DBFC">
            <w:pPr>
              <w:pStyle w:val="ListParagraph"/>
              <w:ind w:left="0"/>
              <w:jc w:val="center"/>
              <w:rPr>
                <w:b/>
                <w:bCs/>
              </w:rPr>
            </w:pPr>
            <w:r w:rsidRPr="00857B4F">
              <w:rPr>
                <w:b/>
                <w:bCs/>
              </w:rPr>
              <w:t>Scoring</w:t>
            </w:r>
          </w:p>
        </w:tc>
      </w:tr>
      <w:tr w:rsidRPr="00A50D20" w:rsidR="0038156C" w:rsidTr="00857B4F" w14:paraId="32AABA82" w14:textId="17B7863F">
        <w:trPr>
          <w:trHeight w:val="1034"/>
        </w:trPr>
        <w:tc>
          <w:tcPr>
            <w:tcW w:w="3358" w:type="dxa"/>
          </w:tcPr>
          <w:p w:rsidRPr="00A50D20" w:rsidR="00777B94" w:rsidP="00857B4F" w:rsidRDefault="00105FF3" w14:paraId="3224C927" w14:textId="4D20CA31">
            <w:r w:rsidRPr="00857B4F">
              <w:rPr>
                <w:b/>
                <w:bCs/>
              </w:rPr>
              <w:t>A.</w:t>
            </w:r>
            <w:r w:rsidRPr="00A50D20">
              <w:t xml:space="preserve"> Coverage </w:t>
            </w:r>
            <w:r w:rsidRPr="00A50D20" w:rsidR="005911A2">
              <w:t>r</w:t>
            </w:r>
            <w:r w:rsidRPr="00A50D20">
              <w:t>equested</w:t>
            </w:r>
            <w:r w:rsidRPr="00A50D20" w:rsidR="00311441">
              <w:t xml:space="preserve">: </w:t>
            </w:r>
            <w:r w:rsidRPr="00857B4F" w:rsidR="00311441">
              <w:t>The</w:t>
            </w:r>
            <w:r w:rsidRPr="00A50D20" w:rsidR="00311441">
              <w:rPr>
                <w:i/>
                <w:iCs/>
              </w:rPr>
              <w:t xml:space="preserve"> </w:t>
            </w:r>
            <w:r w:rsidRPr="00857B4F" w:rsidR="00311441">
              <w:t xml:space="preserve">amount of LLP funds requested as a percentage of the </w:t>
            </w:r>
            <w:r w:rsidR="00930285">
              <w:t>eligible debt</w:t>
            </w:r>
            <w:r w:rsidRPr="00857B4F" w:rsidR="00311441">
              <w:t>.</w:t>
            </w:r>
          </w:p>
        </w:tc>
        <w:tc>
          <w:tcPr>
            <w:tcW w:w="1412" w:type="dxa"/>
          </w:tcPr>
          <w:p w:rsidRPr="00A50D20" w:rsidR="00B10BE5" w:rsidP="001C08EA" w:rsidRDefault="00B10BE5" w14:paraId="0BABF78C" w14:textId="77777777">
            <w:pPr>
              <w:pStyle w:val="ListParagraph"/>
              <w:ind w:left="0"/>
              <w:jc w:val="center"/>
            </w:pPr>
          </w:p>
          <w:p w:rsidRPr="00A50D20" w:rsidR="00777B94" w:rsidP="00857B4F" w:rsidRDefault="00105FF3" w14:paraId="4845A3D3" w14:textId="37DF46CD">
            <w:pPr>
              <w:pStyle w:val="ListParagraph"/>
              <w:ind w:left="0"/>
              <w:jc w:val="center"/>
            </w:pPr>
            <w:r w:rsidRPr="00A50D20">
              <w:t>50</w:t>
            </w:r>
          </w:p>
        </w:tc>
        <w:tc>
          <w:tcPr>
            <w:tcW w:w="4140" w:type="dxa"/>
          </w:tcPr>
          <w:p w:rsidRPr="00857B4F" w:rsidR="003A1A5D" w:rsidP="00857B4F" w:rsidRDefault="002A3C97" w14:paraId="6FF8DD45" w14:textId="089C0B76">
            <w:pPr>
              <w:pStyle w:val="ListParagraph"/>
              <w:numPr>
                <w:ilvl w:val="0"/>
                <w:numId w:val="40"/>
              </w:numPr>
              <w:spacing w:after="120"/>
              <w:ind w:left="252" w:hanging="270"/>
            </w:pPr>
            <w:r w:rsidRPr="00A50D20">
              <w:t>50 points</w:t>
            </w:r>
            <w:r w:rsidRPr="00A50D20" w:rsidR="007316BE">
              <w:t xml:space="preserve">: </w:t>
            </w:r>
            <w:r w:rsidRPr="00A50D20" w:rsidR="00DF11E2">
              <w:t>Coverage requested is less than</w:t>
            </w:r>
            <w:r w:rsidRPr="00A50D20" w:rsidR="0036578A">
              <w:t xml:space="preserve"> </w:t>
            </w:r>
            <w:r w:rsidRPr="00A50D20" w:rsidR="00293449">
              <w:t xml:space="preserve">or equal to </w:t>
            </w:r>
            <w:r w:rsidRPr="00857B4F" w:rsidR="00215FAB">
              <w:t>40</w:t>
            </w:r>
            <w:r w:rsidRPr="00857B4F" w:rsidR="007F259A">
              <w:t>%</w:t>
            </w:r>
            <w:r w:rsidRPr="00A50D20" w:rsidR="00060F5E">
              <w:t>.</w:t>
            </w:r>
            <w:r w:rsidRPr="00857B4F" w:rsidR="007F259A">
              <w:t xml:space="preserve"> </w:t>
            </w:r>
          </w:p>
          <w:p w:rsidRPr="00857B4F" w:rsidR="003A1A5D" w:rsidP="00857B4F" w:rsidRDefault="007316BE" w14:paraId="5D1FFECA" w14:textId="5B05FBA0">
            <w:pPr>
              <w:pStyle w:val="ListParagraph"/>
              <w:numPr>
                <w:ilvl w:val="0"/>
                <w:numId w:val="40"/>
              </w:numPr>
              <w:spacing w:after="120"/>
              <w:ind w:left="252" w:hanging="270"/>
            </w:pPr>
            <w:r w:rsidRPr="00A50D20">
              <w:t xml:space="preserve">25 points: </w:t>
            </w:r>
            <w:r w:rsidRPr="00A50D20" w:rsidR="003A1A5D">
              <w:t xml:space="preserve">Coverage requested is </w:t>
            </w:r>
            <w:r w:rsidRPr="00A50D20" w:rsidR="0097724E">
              <w:t>greater than</w:t>
            </w:r>
            <w:r w:rsidRPr="00A50D20" w:rsidR="003A1A5D">
              <w:t xml:space="preserve"> </w:t>
            </w:r>
            <w:r w:rsidRPr="00857B4F" w:rsidR="00215FAB">
              <w:t>40</w:t>
            </w:r>
            <w:r w:rsidRPr="00A50D20" w:rsidR="003A1A5D">
              <w:t xml:space="preserve">% </w:t>
            </w:r>
            <w:r w:rsidRPr="00A50D20" w:rsidR="0097724E">
              <w:t>but less than</w:t>
            </w:r>
            <w:r w:rsidRPr="00A50D20" w:rsidR="003A1A5D">
              <w:t xml:space="preserve"> </w:t>
            </w:r>
            <w:r w:rsidRPr="00A50D20" w:rsidR="00AF0A95">
              <w:t xml:space="preserve">or equal to </w:t>
            </w:r>
            <w:r w:rsidRPr="00857B4F" w:rsidR="007F259A">
              <w:t>6</w:t>
            </w:r>
            <w:r w:rsidRPr="00857B4F" w:rsidR="00215FAB">
              <w:t>0</w:t>
            </w:r>
            <w:r w:rsidRPr="00857B4F" w:rsidR="007F259A">
              <w:t>%</w:t>
            </w:r>
            <w:r w:rsidRPr="00A50D20">
              <w:t>.</w:t>
            </w:r>
          </w:p>
          <w:p w:rsidRPr="00A50D20" w:rsidR="00777B94" w:rsidP="00857B4F" w:rsidRDefault="007316BE" w14:paraId="76A5E458" w14:textId="55B37E9D">
            <w:pPr>
              <w:pStyle w:val="ListParagraph"/>
              <w:numPr>
                <w:ilvl w:val="0"/>
                <w:numId w:val="40"/>
              </w:numPr>
              <w:spacing w:after="120"/>
              <w:ind w:left="252" w:hanging="270"/>
            </w:pPr>
            <w:r w:rsidRPr="00A50D20">
              <w:t xml:space="preserve">10 points: </w:t>
            </w:r>
            <w:r w:rsidRPr="00A50D20" w:rsidR="003A1A5D">
              <w:t xml:space="preserve">Coverage requested is </w:t>
            </w:r>
            <w:r w:rsidRPr="00A50D20" w:rsidR="0097724E">
              <w:t>greater</w:t>
            </w:r>
            <w:r w:rsidRPr="00A50D20" w:rsidR="003A1A5D">
              <w:t xml:space="preserve"> </w:t>
            </w:r>
            <w:r w:rsidRPr="00A50D20" w:rsidR="0097724E">
              <w:t xml:space="preserve">than </w:t>
            </w:r>
            <w:r w:rsidRPr="00857B4F" w:rsidR="007F259A">
              <w:t>6</w:t>
            </w:r>
            <w:r w:rsidRPr="00857B4F" w:rsidR="00215FAB">
              <w:t>0</w:t>
            </w:r>
            <w:r w:rsidRPr="00857B4F" w:rsidR="007F259A">
              <w:t>%</w:t>
            </w:r>
            <w:r w:rsidRPr="00A50D20" w:rsidR="003A1A5D">
              <w:t xml:space="preserve"> </w:t>
            </w:r>
            <w:r w:rsidRPr="00A50D20" w:rsidR="0097724E">
              <w:t>but less tha</w:t>
            </w:r>
            <w:r w:rsidRPr="00A50D20" w:rsidR="00AD2B72">
              <w:t>n</w:t>
            </w:r>
            <w:r w:rsidRPr="00A50D20" w:rsidR="00AF0A95">
              <w:t xml:space="preserve"> or equal to</w:t>
            </w:r>
            <w:r w:rsidRPr="00A50D20" w:rsidR="003A1A5D">
              <w:t xml:space="preserve"> </w:t>
            </w:r>
            <w:r w:rsidRPr="00857B4F" w:rsidR="007F259A">
              <w:t>100%</w:t>
            </w:r>
            <w:r w:rsidRPr="00A50D20">
              <w:t>.</w:t>
            </w:r>
          </w:p>
        </w:tc>
      </w:tr>
      <w:tr w:rsidR="0038156C" w:rsidTr="559D5049" w14:paraId="1E4926DF" w14:textId="48690C62">
        <w:tc>
          <w:tcPr>
            <w:tcW w:w="3358" w:type="dxa"/>
          </w:tcPr>
          <w:p w:rsidRPr="00A50D20" w:rsidR="00E37D1F" w:rsidP="00E37D1F" w:rsidRDefault="00E37D1F" w14:paraId="5AC1D36F" w14:textId="2F4639A7">
            <w:pPr>
              <w:pStyle w:val="ListParagraph"/>
              <w:ind w:left="0"/>
            </w:pPr>
            <w:r w:rsidRPr="00857B4F">
              <w:rPr>
                <w:b/>
              </w:rPr>
              <w:t>B</w:t>
            </w:r>
            <w:r w:rsidRPr="00A50D20">
              <w:t xml:space="preserve">. </w:t>
            </w:r>
            <w:r w:rsidR="00587F68">
              <w:t xml:space="preserve">Serves </w:t>
            </w:r>
            <w:r w:rsidRPr="00A50D20" w:rsidR="005911A2">
              <w:t>u</w:t>
            </w:r>
            <w:r w:rsidRPr="00A50D20">
              <w:t xml:space="preserve">nserved: </w:t>
            </w:r>
            <w:r w:rsidRPr="00857B4F">
              <w:t xml:space="preserve">The applicant’s proposed project area will </w:t>
            </w:r>
            <w:r w:rsidR="00742F8B">
              <w:t>benefit</w:t>
            </w:r>
            <w:r w:rsidR="00AB3B1C">
              <w:t xml:space="preserve"> </w:t>
            </w:r>
            <w:r w:rsidRPr="00A50D20" w:rsidR="005911A2">
              <w:t xml:space="preserve">a </w:t>
            </w:r>
            <w:r w:rsidR="00C64105">
              <w:t>portion</w:t>
            </w:r>
            <w:r w:rsidRPr="00A50D20" w:rsidR="005911A2">
              <w:t xml:space="preserve"> of </w:t>
            </w:r>
            <w:r w:rsidRPr="00857B4F">
              <w:t>unserved locations</w:t>
            </w:r>
            <w:r w:rsidRPr="00A50D20" w:rsidR="00046F93">
              <w:t>.</w:t>
            </w:r>
          </w:p>
        </w:tc>
        <w:tc>
          <w:tcPr>
            <w:tcW w:w="1412" w:type="dxa"/>
          </w:tcPr>
          <w:p w:rsidRPr="00A50D20" w:rsidR="00B10BE5" w:rsidP="001C08EA" w:rsidRDefault="00B10BE5" w14:paraId="3B56C2EC" w14:textId="77777777">
            <w:pPr>
              <w:pStyle w:val="ListParagraph"/>
              <w:ind w:left="0"/>
              <w:jc w:val="center"/>
            </w:pPr>
          </w:p>
          <w:p w:rsidRPr="00A50D20" w:rsidR="00E37D1F" w:rsidP="00857B4F" w:rsidRDefault="00E37D1F" w14:paraId="58D92ABB" w14:textId="2F506C48">
            <w:pPr>
              <w:pStyle w:val="ListParagraph"/>
              <w:ind w:left="0"/>
              <w:jc w:val="center"/>
            </w:pPr>
            <w:r w:rsidRPr="00A50D20">
              <w:t>50</w:t>
            </w:r>
          </w:p>
        </w:tc>
        <w:tc>
          <w:tcPr>
            <w:tcW w:w="4140" w:type="dxa"/>
          </w:tcPr>
          <w:p w:rsidR="00653859" w:rsidP="00587F68" w:rsidRDefault="00653859" w14:paraId="5565C310" w14:textId="77777777"/>
          <w:p w:rsidRPr="00857B4F" w:rsidR="009973C4" w:rsidP="00587F68" w:rsidRDefault="00587F68" w14:paraId="7CC94B15" w14:textId="61795C7A">
            <w:r>
              <w:t>Yes = 50, No = 0</w:t>
            </w:r>
          </w:p>
          <w:p w:rsidRPr="00A50D20" w:rsidR="00E37D1F" w:rsidP="00857B4F" w:rsidRDefault="00E37D1F" w14:paraId="010CF854" w14:textId="3A1825B2">
            <w:pPr>
              <w:pStyle w:val="ListParagraph"/>
              <w:ind w:left="252"/>
            </w:pPr>
          </w:p>
        </w:tc>
      </w:tr>
      <w:tr w:rsidR="0038156C" w:rsidTr="559D5049" w14:paraId="0E74E255" w14:textId="15EFFD5F">
        <w:tc>
          <w:tcPr>
            <w:tcW w:w="3358" w:type="dxa"/>
          </w:tcPr>
          <w:p w:rsidR="00E37D1F" w:rsidP="00E37D1F" w:rsidRDefault="00E37D1F" w14:paraId="7764F1CE" w14:textId="73AEE0A1">
            <w:pPr>
              <w:pStyle w:val="ListParagraph"/>
              <w:ind w:left="0"/>
            </w:pPr>
            <w:r w:rsidRPr="00857B4F">
              <w:rPr>
                <w:b/>
                <w:bCs/>
              </w:rPr>
              <w:t>C.</w:t>
            </w:r>
            <w:r>
              <w:t xml:space="preserve"> Offers low-cost plan at 50/20+: An application proposing to offer the low-cost broadband plan at 50/20 Mbps. Recipients have the option to adjust plans in accordance with the Consumer Price Index. </w:t>
            </w:r>
          </w:p>
        </w:tc>
        <w:tc>
          <w:tcPr>
            <w:tcW w:w="1412" w:type="dxa"/>
          </w:tcPr>
          <w:p w:rsidR="00B10BE5" w:rsidP="001C08EA" w:rsidRDefault="00B10BE5" w14:paraId="2096C50E" w14:textId="77777777">
            <w:pPr>
              <w:pStyle w:val="ListParagraph"/>
              <w:ind w:left="0"/>
              <w:jc w:val="center"/>
            </w:pPr>
          </w:p>
          <w:p w:rsidR="00E37D1F" w:rsidP="00857B4F" w:rsidRDefault="00E37D1F" w14:paraId="769D5FE6" w14:textId="163F9729">
            <w:pPr>
              <w:pStyle w:val="ListParagraph"/>
              <w:ind w:left="0"/>
              <w:jc w:val="center"/>
            </w:pPr>
            <w:r>
              <w:t>2</w:t>
            </w:r>
            <w:r w:rsidR="00074F88">
              <w:t>5</w:t>
            </w:r>
          </w:p>
        </w:tc>
        <w:tc>
          <w:tcPr>
            <w:tcW w:w="4140" w:type="dxa"/>
          </w:tcPr>
          <w:p w:rsidR="00B10BE5" w:rsidP="00E37D1F" w:rsidRDefault="00B10BE5" w14:paraId="059EF757" w14:textId="77777777">
            <w:pPr>
              <w:pStyle w:val="ListParagraph"/>
              <w:ind w:left="0"/>
            </w:pPr>
          </w:p>
          <w:p w:rsidR="00E37D1F" w:rsidP="00E37D1F" w:rsidRDefault="000F4571" w14:paraId="32D7E427" w14:textId="4E71FA5F">
            <w:pPr>
              <w:pStyle w:val="ListParagraph"/>
              <w:ind w:left="0"/>
            </w:pPr>
            <w:r>
              <w:t>Yes = 2</w:t>
            </w:r>
            <w:r w:rsidR="00484A0F">
              <w:t>5</w:t>
            </w:r>
            <w:r>
              <w:t>, No = 0</w:t>
            </w:r>
          </w:p>
        </w:tc>
      </w:tr>
      <w:tr w:rsidR="0038156C" w:rsidTr="559D5049" w14:paraId="035BF92F" w14:textId="15DBCEC2">
        <w:tc>
          <w:tcPr>
            <w:tcW w:w="3358" w:type="dxa"/>
          </w:tcPr>
          <w:p w:rsidR="00E37D1F" w:rsidP="00E37D1F" w:rsidRDefault="000C2D95" w14:paraId="351BA062" w14:textId="01EBAB4D">
            <w:pPr>
              <w:pStyle w:val="ListParagraph"/>
              <w:ind w:left="0"/>
            </w:pPr>
            <w:r w:rsidRPr="00857B4F">
              <w:rPr>
                <w:b/>
                <w:bCs/>
              </w:rPr>
              <w:t>D.</w:t>
            </w:r>
            <w:r>
              <w:t xml:space="preserve"> </w:t>
            </w:r>
            <w:r w:rsidR="009826CF">
              <w:t>Infrastructure life</w:t>
            </w:r>
            <w:r w:rsidR="00980047">
              <w:t xml:space="preserve">: Fiber optic </w:t>
            </w:r>
            <w:r w:rsidR="000120F2">
              <w:t>i</w:t>
            </w:r>
            <w:r w:rsidR="007D3407">
              <w:t>s scalable and enables the next generation of application solutions for all communities. An application proposing to invest in fiber optic infrastruct</w:t>
            </w:r>
            <w:r w:rsidR="003811A0">
              <w:t>ure will receive credit</w:t>
            </w:r>
            <w:r w:rsidR="001F2DF1">
              <w:t>.</w:t>
            </w:r>
          </w:p>
        </w:tc>
        <w:tc>
          <w:tcPr>
            <w:tcW w:w="1412" w:type="dxa"/>
          </w:tcPr>
          <w:p w:rsidR="00B10BE5" w:rsidP="0070660C" w:rsidRDefault="00B10BE5" w14:paraId="1D61663F" w14:textId="77777777">
            <w:pPr>
              <w:pStyle w:val="ListParagraph"/>
              <w:ind w:left="0"/>
              <w:jc w:val="center"/>
            </w:pPr>
          </w:p>
          <w:p w:rsidR="00E37D1F" w:rsidP="00857B4F" w:rsidRDefault="00347B8F" w14:paraId="7FE4B0B4" w14:textId="711DC026">
            <w:pPr>
              <w:pStyle w:val="ListParagraph"/>
              <w:ind w:left="0"/>
              <w:jc w:val="center"/>
            </w:pPr>
            <w:r>
              <w:t>25</w:t>
            </w:r>
          </w:p>
        </w:tc>
        <w:tc>
          <w:tcPr>
            <w:tcW w:w="4140" w:type="dxa"/>
          </w:tcPr>
          <w:p w:rsidR="00B10BE5" w:rsidP="00E37D1F" w:rsidRDefault="00B10BE5" w14:paraId="0266CD89" w14:textId="77777777">
            <w:pPr>
              <w:pStyle w:val="ListParagraph"/>
              <w:ind w:left="0"/>
            </w:pPr>
          </w:p>
          <w:p w:rsidR="00E37D1F" w:rsidP="00E37D1F" w:rsidRDefault="00AB52A5" w14:paraId="2C979A3B" w14:textId="4F22BAD8">
            <w:pPr>
              <w:pStyle w:val="ListParagraph"/>
              <w:ind w:left="0"/>
            </w:pPr>
            <w:r>
              <w:t xml:space="preserve">Yes = </w:t>
            </w:r>
            <w:r w:rsidR="00347B8F">
              <w:t>25</w:t>
            </w:r>
            <w:r w:rsidR="003623EE">
              <w:t xml:space="preserve">, No </w:t>
            </w:r>
            <w:r w:rsidR="00552281">
              <w:t>=</w:t>
            </w:r>
            <w:r w:rsidR="00347B8F">
              <w:t xml:space="preserve"> 0</w:t>
            </w:r>
          </w:p>
        </w:tc>
      </w:tr>
    </w:tbl>
    <w:p w:rsidR="00373E09" w:rsidP="00857B4F" w:rsidRDefault="005D7349" w14:paraId="47AFAB03" w14:textId="1D36E256">
      <w:pPr>
        <w:pStyle w:val="ListParagraph"/>
        <w:ind w:left="744"/>
      </w:pPr>
      <w:r>
        <w:t xml:space="preserve"> </w:t>
      </w:r>
    </w:p>
    <w:p w:rsidR="0004088D" w:rsidP="00857B4F" w:rsidRDefault="009F2259" w14:paraId="20483828" w14:textId="44212153">
      <w:pPr>
        <w:pStyle w:val="Heading1"/>
        <w:numPr>
          <w:ilvl w:val="0"/>
          <w:numId w:val="22"/>
        </w:numPr>
        <w:ind w:left="360"/>
        <w:rPr>
          <w:rFonts w:eastAsia="Calibri"/>
        </w:rPr>
      </w:pPr>
      <w:bookmarkStart w:name="_Toc149134344" w:id="97"/>
      <w:r>
        <w:rPr>
          <w:rFonts w:eastAsia="Calibri"/>
        </w:rPr>
        <w:t>Applicant Eligibility Criteria</w:t>
      </w:r>
      <w:bookmarkEnd w:id="97"/>
    </w:p>
    <w:p w:rsidR="0004088D" w:rsidP="00857B4F" w:rsidRDefault="00B53DEB" w14:paraId="0E59180E" w14:textId="5689242D">
      <w:pPr>
        <w:pStyle w:val="Heading2"/>
        <w:numPr>
          <w:ilvl w:val="1"/>
          <w:numId w:val="27"/>
        </w:numPr>
      </w:pPr>
      <w:bookmarkStart w:name="_Toc149134345" w:id="98"/>
      <w:r>
        <w:t>Project Service Standards</w:t>
      </w:r>
      <w:bookmarkEnd w:id="98"/>
    </w:p>
    <w:p w:rsidR="000920BE" w:rsidP="000920BE" w:rsidRDefault="000920BE" w14:paraId="03CD4F4C" w14:textId="6E26689F">
      <w:pPr>
        <w:ind w:left="360"/>
      </w:pPr>
      <w:r>
        <w:t xml:space="preserve">Eligible broadband projects under the LLP </w:t>
      </w:r>
      <w:r w:rsidR="00B3798C">
        <w:t>should</w:t>
      </w:r>
      <w:r w:rsidR="00EE1556">
        <w:t xml:space="preserve"> </w:t>
      </w:r>
      <w:r>
        <w:t xml:space="preserve">be designed to reliably offer, upon completion, symmetrical speeds at or above 100 Mbps download and upload. In some cases, 100 Mbps symmetrical speeds may be constrained due to engineering limitations and minimum speeds of 100 Mbps download and 20 Mbps upload may be considered. Additionally, broadband projects </w:t>
      </w:r>
      <w:r w:rsidR="007D2F0A">
        <w:t xml:space="preserve">shall </w:t>
      </w:r>
      <w:r w:rsidR="000B764C">
        <w:t>include</w:t>
      </w:r>
      <w:r w:rsidR="00714A12">
        <w:t xml:space="preserve"> </w:t>
      </w:r>
      <w:r>
        <w:t>sufficient surplus capacity to remain competitive in the future without requiring major refurbishment upgrades.</w:t>
      </w:r>
      <w:r w:rsidR="00591824">
        <w:t xml:space="preserve"> Further, providers must adhere to </w:t>
      </w:r>
      <w:r w:rsidR="00B93E50">
        <w:t xml:space="preserve">open access </w:t>
      </w:r>
      <w:r w:rsidR="00591824">
        <w:t xml:space="preserve">middle-mile </w:t>
      </w:r>
      <w:r w:rsidR="0022543E">
        <w:t>infrastructure requirements</w:t>
      </w:r>
      <w:r w:rsidR="006E4F71">
        <w:t>.</w:t>
      </w:r>
    </w:p>
    <w:p w:rsidR="00714A12" w:rsidP="00857B4F" w:rsidRDefault="00714A12" w14:paraId="0CE466DC" w14:textId="788CCBD6">
      <w:pPr>
        <w:pStyle w:val="Heading2"/>
        <w:numPr>
          <w:ilvl w:val="1"/>
          <w:numId w:val="27"/>
        </w:numPr>
      </w:pPr>
      <w:bookmarkStart w:name="_Toc149134346" w:id="99"/>
      <w:r>
        <w:t>Affordability</w:t>
      </w:r>
      <w:bookmarkEnd w:id="99"/>
    </w:p>
    <w:p w:rsidRPr="00B93D2A" w:rsidR="00B93D2A" w:rsidP="000920BE" w:rsidRDefault="001613F4" w14:paraId="4EE9F336" w14:textId="34090A42">
      <w:pPr>
        <w:ind w:left="360"/>
      </w:pPr>
      <w:r>
        <w:t>P</w:t>
      </w:r>
      <w:r w:rsidR="000920BE">
        <w:t>roviders</w:t>
      </w:r>
      <w:r>
        <w:t xml:space="preserve"> shall</w:t>
      </w:r>
      <w:r w:rsidR="000920BE">
        <w:t xml:space="preserve"> offer a low-income broadband plan </w:t>
      </w:r>
      <w:r w:rsidR="00FF437D">
        <w:t>such as</w:t>
      </w:r>
      <w:r w:rsidR="000920BE">
        <w:t xml:space="preserve"> </w:t>
      </w:r>
      <w:r w:rsidR="00186A19">
        <w:t xml:space="preserve">the </w:t>
      </w:r>
      <w:r w:rsidR="000920BE">
        <w:t>Affordable Connectivity Program (ACP) or a</w:t>
      </w:r>
      <w:r w:rsidR="00DE6F4A">
        <w:t xml:space="preserve"> similar</w:t>
      </w:r>
      <w:r w:rsidR="000920BE">
        <w:t xml:space="preserve"> successor program</w:t>
      </w:r>
      <w:r w:rsidR="00DE6F4A">
        <w:t xml:space="preserve"> to the ACP</w:t>
      </w:r>
      <w:r w:rsidR="000920BE">
        <w:t xml:space="preserve"> as identified by the CPUC</w:t>
      </w:r>
      <w:r w:rsidR="002C714E">
        <w:t>.</w:t>
      </w:r>
      <w:r w:rsidR="000920BE">
        <w:t xml:space="preserve">  </w:t>
      </w:r>
    </w:p>
    <w:p w:rsidR="00CE6E58" w:rsidP="00857B4F" w:rsidRDefault="00B93D2A" w14:paraId="77088969" w14:textId="57316399">
      <w:pPr>
        <w:pStyle w:val="Heading2"/>
        <w:numPr>
          <w:ilvl w:val="1"/>
          <w:numId w:val="27"/>
        </w:numPr>
      </w:pPr>
      <w:bookmarkStart w:name="_Toc149134347" w:id="100"/>
      <w:r>
        <w:t>Outreach Plan</w:t>
      </w:r>
      <w:bookmarkEnd w:id="100"/>
    </w:p>
    <w:p w:rsidR="00467C43" w:rsidP="00AB728E" w:rsidRDefault="00E41846" w14:paraId="5E637AC9" w14:textId="6C9315E0">
      <w:pPr>
        <w:ind w:left="360"/>
      </w:pPr>
      <w:r>
        <w:t>Applicants</w:t>
      </w:r>
      <w:r w:rsidRPr="00AB728E" w:rsidR="00082BCF">
        <w:t xml:space="preserve"> </w:t>
      </w:r>
      <w:r w:rsidRPr="00AB728E" w:rsidR="00AB728E">
        <w:t>shall provide a</w:t>
      </w:r>
      <w:r w:rsidR="000D29BB">
        <w:t>n outreach</w:t>
      </w:r>
      <w:r w:rsidRPr="00AB728E" w:rsidR="00AB728E">
        <w:t xml:space="preserve"> plan that encourages subscription </w:t>
      </w:r>
      <w:r w:rsidR="3C58E61B">
        <w:t>to</w:t>
      </w:r>
      <w:r w:rsidRPr="00AB728E" w:rsidR="00AB728E">
        <w:t xml:space="preserve"> the service in the project locations. </w:t>
      </w:r>
      <w:r>
        <w:t>Applicants</w:t>
      </w:r>
      <w:r w:rsidRPr="00AB728E" w:rsidR="00082BCF">
        <w:t xml:space="preserve"> </w:t>
      </w:r>
      <w:r w:rsidRPr="00AB728E" w:rsidR="00AB728E">
        <w:t>shall also include evidence of support from communities affected by the proposed broadband projects, planned marketing and outreach efforts, including proposed stakeholder engagement, or any other relevant material in their application.</w:t>
      </w:r>
      <w:r w:rsidR="00B110B8">
        <w:t xml:space="preserve"> </w:t>
      </w:r>
      <w:r w:rsidRPr="00B110B8" w:rsidR="00B110B8">
        <w:t xml:space="preserve">Where an applicant proposes to serve Tribal </w:t>
      </w:r>
      <w:r w:rsidR="00727BDB">
        <w:t>a</w:t>
      </w:r>
      <w:r w:rsidRPr="00B110B8" w:rsidR="00B110B8">
        <w:t>reas, the applicant shall also include evidence of support from the applicable Sovereign Tribal Government(s).</w:t>
      </w:r>
    </w:p>
    <w:p w:rsidR="00F84386" w:rsidP="00857B4F" w:rsidRDefault="006401CD" w14:paraId="07AF8264" w14:textId="2FCE09AC">
      <w:pPr>
        <w:pStyle w:val="Heading1"/>
        <w:numPr>
          <w:ilvl w:val="0"/>
          <w:numId w:val="22"/>
        </w:numPr>
        <w:ind w:left="360"/>
        <w:rPr>
          <w:rFonts w:eastAsia="Calibri"/>
        </w:rPr>
      </w:pPr>
      <w:bookmarkStart w:name="_Toc143515929" w:id="101"/>
      <w:bookmarkStart w:name="_Toc149134348" w:id="102"/>
      <w:bookmarkEnd w:id="101"/>
      <w:r>
        <w:rPr>
          <w:rFonts w:eastAsia="Calibri"/>
        </w:rPr>
        <w:t xml:space="preserve">Loan Loss Program </w:t>
      </w:r>
      <w:r w:rsidR="00AB33BD">
        <w:rPr>
          <w:rFonts w:eastAsia="Calibri"/>
        </w:rPr>
        <w:t>Application Process</w:t>
      </w:r>
      <w:bookmarkEnd w:id="102"/>
    </w:p>
    <w:p w:rsidR="00616A46" w:rsidP="00857B4F" w:rsidRDefault="00616A46" w14:paraId="3B310E11" w14:textId="0E2D5AF9">
      <w:pPr>
        <w:pStyle w:val="Heading2"/>
        <w:numPr>
          <w:ilvl w:val="1"/>
          <w:numId w:val="43"/>
        </w:numPr>
      </w:pPr>
      <w:bookmarkStart w:name="_Toc149134349" w:id="103"/>
      <w:r>
        <w:t>Application Submission and Review Process</w:t>
      </w:r>
      <w:bookmarkEnd w:id="103"/>
    </w:p>
    <w:p w:rsidR="006E6C93" w:rsidP="006E6C93" w:rsidRDefault="006E6C93" w14:paraId="2EF25153" w14:textId="202C70E5">
      <w:pPr>
        <w:ind w:left="360"/>
      </w:pPr>
      <w:r w:rsidDel="00082BCF">
        <w:t>Applicants</w:t>
      </w:r>
      <w:r w:rsidR="00082BCF">
        <w:t xml:space="preserve"> </w:t>
      </w:r>
      <w:r>
        <w:t xml:space="preserve">shall complete and submit the required application information as stated in section 9.2 Application Guidelines to </w:t>
      </w:r>
      <w:hyperlink w:history="1" r:id="rId11">
        <w:r w:rsidRPr="003E215A" w:rsidR="00855C4D">
          <w:rPr>
            <w:rStyle w:val="Hyperlink"/>
          </w:rPr>
          <w:t>Broadband.LoanLoss@cpuc.ca.gov</w:t>
        </w:r>
      </w:hyperlink>
      <w:r>
        <w:t xml:space="preserve"> </w:t>
      </w:r>
      <w:r w:rsidR="000B1636">
        <w:t>by the last day of the</w:t>
      </w:r>
      <w:r>
        <w:t xml:space="preserve"> application </w:t>
      </w:r>
      <w:r w:rsidR="0099648D">
        <w:t xml:space="preserve">window </w:t>
      </w:r>
      <w:r>
        <w:t xml:space="preserve">to be considered </w:t>
      </w:r>
      <w:r w:rsidR="00275442">
        <w:t xml:space="preserve">for </w:t>
      </w:r>
      <w:r w:rsidR="00E94ED2">
        <w:t>th</w:t>
      </w:r>
      <w:r w:rsidR="00721B5B">
        <w:t>at</w:t>
      </w:r>
      <w:r w:rsidR="008A07A7">
        <w:t xml:space="preserve"> LLP</w:t>
      </w:r>
      <w:r w:rsidR="006A7CA1">
        <w:t xml:space="preserve"> funding</w:t>
      </w:r>
      <w:r w:rsidR="008A07A7">
        <w:t xml:space="preserve"> cycl</w:t>
      </w:r>
      <w:r w:rsidR="00932B3F">
        <w:t>e</w:t>
      </w:r>
      <w:r>
        <w:t xml:space="preserve">. Any </w:t>
      </w:r>
      <w:r w:rsidDel="00082BCF">
        <w:t>applicant</w:t>
      </w:r>
      <w:r w:rsidR="00082BCF">
        <w:t xml:space="preserve"> </w:t>
      </w:r>
      <w:r>
        <w:t xml:space="preserve">submitting their application after the </w:t>
      </w:r>
      <w:r w:rsidR="00EC3ED7">
        <w:t xml:space="preserve">last day of the application window </w:t>
      </w:r>
      <w:r>
        <w:t xml:space="preserve">will be asked to </w:t>
      </w:r>
      <w:r w:rsidR="00721B5B">
        <w:t>re-</w:t>
      </w:r>
      <w:r>
        <w:t xml:space="preserve">apply in the next funding cycle. </w:t>
      </w:r>
    </w:p>
    <w:p w:rsidR="003E5B08" w:rsidP="006E6C93" w:rsidRDefault="00FB0AC6" w14:paraId="02456EC4" w14:textId="0347990E">
      <w:pPr>
        <w:ind w:left="360"/>
      </w:pPr>
      <w:r>
        <w:t>Commission</w:t>
      </w:r>
      <w:r w:rsidR="00D02359">
        <w:t xml:space="preserve"> </w:t>
      </w:r>
      <w:r w:rsidR="00743CF4">
        <w:t xml:space="preserve">Staff will </w:t>
      </w:r>
      <w:r w:rsidR="00555FAB">
        <w:t>notify</w:t>
      </w:r>
      <w:r w:rsidR="00925297">
        <w:t xml:space="preserve"> stakeholders</w:t>
      </w:r>
      <w:r w:rsidR="00EC6FC5">
        <w:t xml:space="preserve"> via the CASF </w:t>
      </w:r>
      <w:r w:rsidR="000F2AB4">
        <w:t>distri</w:t>
      </w:r>
      <w:r w:rsidR="00F157FB">
        <w:t>bution list</w:t>
      </w:r>
      <w:r w:rsidR="00086690">
        <w:rPr>
          <w:rStyle w:val="FootnoteReference"/>
        </w:rPr>
        <w:footnoteReference w:id="21"/>
      </w:r>
      <w:r w:rsidR="00F94878">
        <w:t xml:space="preserve"> and post</w:t>
      </w:r>
      <w:r w:rsidR="00925297">
        <w:t xml:space="preserve"> </w:t>
      </w:r>
      <w:r w:rsidR="00743CF4">
        <w:t>t</w:t>
      </w:r>
      <w:r w:rsidR="006E6C93">
        <w:t xml:space="preserve">he </w:t>
      </w:r>
      <w:r w:rsidR="00D05633">
        <w:t>start and end date</w:t>
      </w:r>
      <w:r w:rsidR="00CF796A">
        <w:t>s</w:t>
      </w:r>
      <w:r w:rsidR="00D05633">
        <w:t xml:space="preserve"> of the </w:t>
      </w:r>
      <w:r w:rsidR="006E6C93">
        <w:t xml:space="preserve">application </w:t>
      </w:r>
      <w:r w:rsidR="0070717C">
        <w:t>window</w:t>
      </w:r>
      <w:r w:rsidR="00917DBF">
        <w:t xml:space="preserve"> </w:t>
      </w:r>
      <w:r w:rsidR="003D7AE3">
        <w:t>on</w:t>
      </w:r>
      <w:r w:rsidR="006E6C93">
        <w:t xml:space="preserve"> the CPUC Broadband LLP webpage</w:t>
      </w:r>
      <w:r w:rsidR="00855C4D">
        <w:rPr>
          <w:rStyle w:val="FootnoteReference"/>
        </w:rPr>
        <w:footnoteReference w:id="22"/>
      </w:r>
      <w:r w:rsidR="006E6C93">
        <w:t xml:space="preserve">. Accepted applications will have summary information posted to the CPUC Broadband LLP webpage along with project location information. </w:t>
      </w:r>
    </w:p>
    <w:p w:rsidR="006E6C93" w:rsidP="006E6C93" w:rsidRDefault="00854381" w14:paraId="2126A16A" w14:textId="1E3DFF58">
      <w:pPr>
        <w:ind w:left="360"/>
      </w:pPr>
      <w:r>
        <w:t xml:space="preserve">Commission </w:t>
      </w:r>
      <w:r w:rsidR="00976629">
        <w:t>S</w:t>
      </w:r>
      <w:r w:rsidR="006E6C93">
        <w:t>taff will post a list of current funding levels, application statuses, deadlines, and notices to the CPUC Broadband LLP webpage</w:t>
      </w:r>
      <w:r w:rsidR="00B43D61">
        <w:t xml:space="preserve"> when applications are awarded or denied through CPUC Resolution</w:t>
      </w:r>
      <w:r w:rsidR="006E6C93">
        <w:t xml:space="preserve">. </w:t>
      </w:r>
    </w:p>
    <w:p w:rsidRPr="0000409F" w:rsidR="002E0F3F" w:rsidP="002E0F3F" w:rsidRDefault="00FB0AC6" w14:paraId="790742FC" w14:textId="13031E62">
      <w:pPr>
        <w:ind w:left="360"/>
      </w:pPr>
      <w:r>
        <w:t>Commission</w:t>
      </w:r>
      <w:r w:rsidR="00976629">
        <w:t xml:space="preserve"> </w:t>
      </w:r>
      <w:r w:rsidR="006E6C93">
        <w:t xml:space="preserve">Staff shall notify </w:t>
      </w:r>
      <w:r w:rsidR="00C86C93">
        <w:t xml:space="preserve">the </w:t>
      </w:r>
      <w:r w:rsidDel="00082BCF" w:rsidR="006E6C93">
        <w:t xml:space="preserve">applicant </w:t>
      </w:r>
      <w:r w:rsidR="006E6C93">
        <w:t xml:space="preserve">by </w:t>
      </w:r>
      <w:r w:rsidR="003B26FD">
        <w:t>email</w:t>
      </w:r>
      <w:r w:rsidR="006E6C93">
        <w:t xml:space="preserve"> specifying </w:t>
      </w:r>
      <w:r w:rsidR="00942B2B">
        <w:t xml:space="preserve">the results of the </w:t>
      </w:r>
      <w:r>
        <w:t>Commission Staff</w:t>
      </w:r>
      <w:r w:rsidR="00B849C6">
        <w:t xml:space="preserve"> preliminary</w:t>
      </w:r>
      <w:r w:rsidR="00942B2B">
        <w:t xml:space="preserve"> </w:t>
      </w:r>
      <w:r w:rsidR="003B26FD">
        <w:t>review</w:t>
      </w:r>
      <w:r w:rsidR="00981D5F">
        <w:t xml:space="preserve"> for completeness</w:t>
      </w:r>
      <w:r w:rsidR="00F15E19">
        <w:t>.</w:t>
      </w:r>
      <w:r w:rsidR="000C484B">
        <w:t xml:space="preserve"> </w:t>
      </w:r>
    </w:p>
    <w:p w:rsidR="006E6C93" w:rsidP="006E6C93" w:rsidRDefault="00FB0AC6" w14:paraId="609E9FCA" w14:textId="245B32C3">
      <w:pPr>
        <w:ind w:left="360"/>
      </w:pPr>
      <w:r>
        <w:t>Commission</w:t>
      </w:r>
      <w:r w:rsidR="00393B82">
        <w:t xml:space="preserve"> Staff shall </w:t>
      </w:r>
      <w:r w:rsidR="00A21986">
        <w:t>email the applicant</w:t>
      </w:r>
      <w:r w:rsidR="00393B82">
        <w:t xml:space="preserve"> the results of the CPUC</w:t>
      </w:r>
      <w:r w:rsidR="005D105C">
        <w:t>’s review of the</w:t>
      </w:r>
      <w:r w:rsidR="00A21986">
        <w:t xml:space="preserve">ir request for </w:t>
      </w:r>
      <w:r w:rsidR="004C2A4C">
        <w:t>credit enhancement</w:t>
      </w:r>
      <w:r w:rsidR="00B41D44">
        <w:t xml:space="preserve"> </w:t>
      </w:r>
      <w:r w:rsidR="003B7BBF">
        <w:t>including a link to the</w:t>
      </w:r>
      <w:r w:rsidR="00393B82">
        <w:t xml:space="preserve"> Resolution.</w:t>
      </w:r>
      <w:r w:rsidR="006E6C93">
        <w:t xml:space="preserve"> Rejected </w:t>
      </w:r>
      <w:r w:rsidDel="00082BCF" w:rsidR="006E6C93">
        <w:t xml:space="preserve">applicants </w:t>
      </w:r>
      <w:r w:rsidR="006E6C93">
        <w:t xml:space="preserve">may reapply in a future application cycle.  </w:t>
      </w:r>
    </w:p>
    <w:p w:rsidRPr="00665CE2" w:rsidR="00665CE2" w:rsidP="00665CE2" w:rsidRDefault="00665CE2" w14:paraId="3CD5BC5C" w14:textId="77777777">
      <w:bookmarkStart w:name="_Toc143515932" w:id="104"/>
      <w:bookmarkStart w:name="_Toc143252513" w:id="105"/>
      <w:bookmarkStart w:name="_Toc143252587" w:id="106"/>
      <w:bookmarkStart w:name="_Toc143515933" w:id="107"/>
      <w:bookmarkStart w:name="_Toc149030775" w:id="108"/>
      <w:bookmarkStart w:name="_Toc149134350" w:id="109"/>
      <w:bookmarkEnd w:id="104"/>
      <w:bookmarkEnd w:id="105"/>
      <w:bookmarkEnd w:id="106"/>
      <w:bookmarkEnd w:id="107"/>
      <w:bookmarkEnd w:id="108"/>
      <w:bookmarkEnd w:id="109"/>
    </w:p>
    <w:p w:rsidRPr="00665CE2" w:rsidR="00665CE2" w:rsidP="00665CE2" w:rsidRDefault="00665CE2" w14:paraId="3CFCDEB8" w14:textId="77777777">
      <w:bookmarkStart w:name="_Toc143252514" w:id="110"/>
      <w:bookmarkStart w:name="_Toc143252588" w:id="111"/>
      <w:bookmarkStart w:name="_Toc143515934" w:id="112"/>
      <w:bookmarkStart w:name="_Toc149030776" w:id="113"/>
      <w:bookmarkStart w:name="_Toc149134351" w:id="114"/>
      <w:bookmarkEnd w:id="110"/>
      <w:bookmarkEnd w:id="111"/>
      <w:bookmarkEnd w:id="112"/>
      <w:bookmarkEnd w:id="113"/>
      <w:bookmarkEnd w:id="114"/>
    </w:p>
    <w:p w:rsidRPr="00665CE2" w:rsidR="00665CE2" w:rsidP="00665CE2" w:rsidRDefault="00665CE2" w14:paraId="2A29B975" w14:textId="77777777">
      <w:bookmarkStart w:name="_Toc143252515" w:id="115"/>
      <w:bookmarkStart w:name="_Toc143252589" w:id="116"/>
      <w:bookmarkStart w:name="_Toc143515935" w:id="117"/>
      <w:bookmarkStart w:name="_Toc149030777" w:id="118"/>
      <w:bookmarkStart w:name="_Toc149134352" w:id="119"/>
      <w:bookmarkEnd w:id="115"/>
      <w:bookmarkEnd w:id="116"/>
      <w:bookmarkEnd w:id="117"/>
      <w:bookmarkEnd w:id="118"/>
      <w:bookmarkEnd w:id="119"/>
    </w:p>
    <w:p w:rsidR="00616A46" w:rsidP="00857B4F" w:rsidRDefault="00616A46" w14:paraId="28917DD4" w14:textId="4BF8FDB4">
      <w:pPr>
        <w:pStyle w:val="Heading2"/>
        <w:numPr>
          <w:ilvl w:val="1"/>
          <w:numId w:val="28"/>
        </w:numPr>
        <w:tabs>
          <w:tab w:val="left" w:pos="990"/>
        </w:tabs>
        <w:ind w:left="1170"/>
      </w:pPr>
      <w:bookmarkStart w:name="_Toc149134353" w:id="120"/>
      <w:r>
        <w:t>Application Guidelines</w:t>
      </w:r>
      <w:bookmarkEnd w:id="120"/>
    </w:p>
    <w:p w:rsidR="00525E6C" w:rsidP="00525E6C" w:rsidRDefault="00F903AD" w14:paraId="2548DBC8" w14:textId="6B2C774B">
      <w:pPr>
        <w:ind w:left="360"/>
      </w:pPr>
      <w:r>
        <w:t>A</w:t>
      </w:r>
      <w:r w:rsidR="3CEFF768">
        <w:t>n</w:t>
      </w:r>
      <w:r w:rsidR="00A81EEB">
        <w:t xml:space="preserve"> LLP</w:t>
      </w:r>
      <w:r w:rsidR="00525E6C">
        <w:t xml:space="preserve"> application</w:t>
      </w:r>
      <w:r w:rsidR="00A81EEB">
        <w:t xml:space="preserve"> for credit enhancement</w:t>
      </w:r>
      <w:r w:rsidR="00525E6C">
        <w:t xml:space="preserve"> should </w:t>
      </w:r>
      <w:r w:rsidR="00C56BFE">
        <w:t xml:space="preserve">include </w:t>
      </w:r>
      <w:r w:rsidR="00525E6C">
        <w:t xml:space="preserve">all </w:t>
      </w:r>
      <w:r w:rsidR="00564269">
        <w:t>the components and requirements</w:t>
      </w:r>
      <w:r w:rsidR="00DD30DC">
        <w:t>, listed below,</w:t>
      </w:r>
      <w:r w:rsidR="00564269">
        <w:t xml:space="preserve"> </w:t>
      </w:r>
      <w:r w:rsidR="00525E6C">
        <w:t>to demonstrate the financial, technical, and operational capacity to execute the project successfully and completely in the timeframe established. Further, the application should demonstrate a well-planned project</w:t>
      </w:r>
      <w:r w:rsidR="00BA5F58">
        <w:t>,</w:t>
      </w:r>
      <w:r w:rsidR="00525E6C">
        <w:t xml:space="preserve"> with a reasonable budget</w:t>
      </w:r>
      <w:r w:rsidR="00BA5F58">
        <w:t>,</w:t>
      </w:r>
      <w:r w:rsidR="00525E6C">
        <w:t xml:space="preserve"> that will deliver speeds and service</w:t>
      </w:r>
      <w:r w:rsidR="00797743">
        <w:t>s</w:t>
      </w:r>
      <w:r w:rsidR="00D02FEC">
        <w:t xml:space="preserve"> as proposed</w:t>
      </w:r>
      <w:r w:rsidR="00BA5F58">
        <w:t>,</w:t>
      </w:r>
      <w:r w:rsidR="00AF3790">
        <w:t xml:space="preserve"> </w:t>
      </w:r>
      <w:r w:rsidR="00525E6C">
        <w:t>and be sufficiently robust to meet increasing demand for bandwidth.</w:t>
      </w:r>
      <w:r w:rsidR="00555C32">
        <w:t xml:space="preserve"> A finalized application </w:t>
      </w:r>
      <w:r w:rsidR="00FF070A">
        <w:t>form</w:t>
      </w:r>
      <w:r w:rsidR="00555C32">
        <w:t xml:space="preserve"> shall be </w:t>
      </w:r>
      <w:r w:rsidR="004932FD">
        <w:t xml:space="preserve">provided </w:t>
      </w:r>
      <w:r w:rsidR="006C4BF6">
        <w:t>on the</w:t>
      </w:r>
      <w:r w:rsidR="00E2086E">
        <w:t xml:space="preserve"> CPUC Broadband</w:t>
      </w:r>
      <w:r w:rsidR="006C4BF6">
        <w:t xml:space="preserve"> LLP webpage</w:t>
      </w:r>
      <w:r w:rsidR="006C4BF6">
        <w:rPr>
          <w:rStyle w:val="FootnoteReference"/>
        </w:rPr>
        <w:footnoteReference w:id="23"/>
      </w:r>
      <w:r w:rsidR="00FF070A">
        <w:t>.</w:t>
      </w:r>
      <w:r w:rsidR="00555C32">
        <w:t xml:space="preserve"> </w:t>
      </w:r>
    </w:p>
    <w:p w:rsidRPr="00525E6C" w:rsidR="00525E6C" w:rsidP="00525E6C" w:rsidRDefault="00525E6C" w14:paraId="41F20049" w14:textId="7724604B">
      <w:pPr>
        <w:ind w:left="360"/>
      </w:pPr>
      <w:r>
        <w:t>This section describes the components and requirements that should be included in the application.</w:t>
      </w:r>
    </w:p>
    <w:p w:rsidR="00365CE9" w:rsidP="00857B4F" w:rsidRDefault="00955C33" w14:paraId="78E81145" w14:textId="50C5EA7D">
      <w:pPr>
        <w:pStyle w:val="Heading3"/>
        <w:numPr>
          <w:ilvl w:val="2"/>
          <w:numId w:val="28"/>
        </w:numPr>
        <w:ind w:left="1170"/>
      </w:pPr>
      <w:bookmarkStart w:name="_Toc149134354" w:id="121"/>
      <w:r>
        <w:t xml:space="preserve">Guidance to </w:t>
      </w:r>
      <w:r w:rsidR="00F5081F">
        <w:t xml:space="preserve">Commission </w:t>
      </w:r>
      <w:r>
        <w:t xml:space="preserve">Staff on </w:t>
      </w:r>
      <w:r w:rsidR="00566150">
        <w:t xml:space="preserve">Information Required from </w:t>
      </w:r>
      <w:r w:rsidDel="00082BCF" w:rsidR="00566150">
        <w:t>Applicants</w:t>
      </w:r>
      <w:bookmarkEnd w:id="121"/>
    </w:p>
    <w:p w:rsidR="00566150" w:rsidP="00857B4F" w:rsidRDefault="00566150" w14:paraId="3F107BF1" w14:textId="3FAAAC6F">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1 – Project Summary</w:t>
      </w:r>
      <w:r w:rsidR="00272233">
        <w:rPr>
          <w:rFonts w:ascii="Calibri" w:hAnsi="Calibri" w:eastAsia="Calibri" w:cs="Calibri"/>
          <w:color w:val="000000" w:themeColor="text1"/>
        </w:rPr>
        <w:t>.</w:t>
      </w:r>
    </w:p>
    <w:p w:rsidR="00566150" w:rsidP="00566150" w:rsidRDefault="00566150" w14:paraId="766F9754" w14:textId="7777777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 xml:space="preserve">Description of proposed broadband project plan. </w:t>
      </w:r>
    </w:p>
    <w:p w:rsidR="00566150" w:rsidP="00566150" w:rsidRDefault="00566150" w14:paraId="320D55FF" w14:textId="77777777">
      <w:pPr>
        <w:pStyle w:val="ListParagraph"/>
        <w:widowControl w:val="0"/>
        <w:numPr>
          <w:ilvl w:val="2"/>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 xml:space="preserve">Project location name. </w:t>
      </w:r>
    </w:p>
    <w:p w:rsidR="00566150" w:rsidP="00566150" w:rsidRDefault="00566150" w14:paraId="44A8E171" w14:textId="77777777">
      <w:pPr>
        <w:pStyle w:val="ListParagraph"/>
        <w:widowControl w:val="0"/>
        <w:numPr>
          <w:ilvl w:val="2"/>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Project technology type.</w:t>
      </w:r>
    </w:p>
    <w:p w:rsidR="00566150" w:rsidP="00566150" w:rsidRDefault="00566150" w14:paraId="1DDD82AC" w14:textId="77777777">
      <w:pPr>
        <w:pStyle w:val="ListParagraph"/>
        <w:widowControl w:val="0"/>
        <w:numPr>
          <w:ilvl w:val="2"/>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 xml:space="preserve">Credit guarantee requested. </w:t>
      </w:r>
    </w:p>
    <w:p w:rsidR="00566150" w:rsidP="00566150" w:rsidRDefault="00860221" w14:paraId="55EAB30F" w14:textId="3C0A9F7B">
      <w:pPr>
        <w:pStyle w:val="ListParagraph"/>
        <w:widowControl w:val="0"/>
        <w:numPr>
          <w:ilvl w:val="2"/>
          <w:numId w:val="1"/>
        </w:numPr>
        <w:tabs>
          <w:tab w:val="left" w:pos="1560"/>
        </w:tabs>
        <w:spacing w:before="22" w:line="252" w:lineRule="auto"/>
        <w:ind w:right="577"/>
        <w:rPr>
          <w:rFonts w:ascii="Calibri" w:hAnsi="Calibri" w:eastAsia="Calibri" w:cs="Calibri"/>
          <w:color w:val="000000" w:themeColor="text1"/>
        </w:rPr>
      </w:pPr>
      <w:r>
        <w:rPr>
          <w:rFonts w:ascii="Calibri" w:hAnsi="Calibri" w:eastAsia="Calibri" w:cs="Calibri"/>
          <w:color w:val="000000" w:themeColor="text1"/>
        </w:rPr>
        <w:t>LLP</w:t>
      </w:r>
      <w:r w:rsidRPr="4BE3042A">
        <w:rPr>
          <w:rFonts w:ascii="Calibri" w:hAnsi="Calibri" w:eastAsia="Calibri" w:cs="Calibri"/>
          <w:color w:val="000000" w:themeColor="text1"/>
        </w:rPr>
        <w:t xml:space="preserve"> </w:t>
      </w:r>
      <w:r w:rsidRPr="4BE3042A" w:rsidR="00566150">
        <w:rPr>
          <w:rFonts w:ascii="Calibri" w:hAnsi="Calibri" w:eastAsia="Calibri" w:cs="Calibri"/>
          <w:color w:val="000000" w:themeColor="text1"/>
        </w:rPr>
        <w:t>Track (General Track</w:t>
      </w:r>
      <w:r w:rsidR="00941280">
        <w:rPr>
          <w:rFonts w:ascii="Calibri" w:hAnsi="Calibri" w:eastAsia="Calibri" w:cs="Calibri"/>
          <w:color w:val="000000" w:themeColor="text1"/>
        </w:rPr>
        <w:t>, Tribal</w:t>
      </w:r>
      <w:r w:rsidRPr="4BE3042A" w:rsidR="00566150">
        <w:rPr>
          <w:rFonts w:ascii="Calibri" w:hAnsi="Calibri" w:eastAsia="Calibri" w:cs="Calibri"/>
          <w:color w:val="000000" w:themeColor="text1"/>
        </w:rPr>
        <w:t xml:space="preserve"> or Equity Track).</w:t>
      </w:r>
    </w:p>
    <w:p w:rsidR="00566150" w:rsidP="00566150" w:rsidRDefault="00566150" w14:paraId="27E43798" w14:textId="7777777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Describe the project cost and how the proceeds from the debt financing will be utilized to fund its development.</w:t>
      </w:r>
    </w:p>
    <w:p w:rsidR="00566150" w:rsidP="00566150" w:rsidRDefault="00566150" w14:paraId="79358055" w14:textId="7777777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 xml:space="preserve">Map of projected area (with census block groups indicated). </w:t>
      </w:r>
    </w:p>
    <w:p w:rsidR="00566150" w:rsidP="00566150" w:rsidRDefault="00566150" w14:paraId="14892CF9" w14:textId="7777777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Map of where infrastructure will be built within project area.</w:t>
      </w:r>
    </w:p>
    <w:p w:rsidR="00566150" w:rsidP="00566150" w:rsidRDefault="00566150" w14:paraId="6D8F1C1A" w14:textId="6CA0008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Number of unserved</w:t>
      </w:r>
      <w:r w:rsidR="00266B7B">
        <w:rPr>
          <w:rFonts w:ascii="Calibri" w:hAnsi="Calibri" w:eastAsia="Calibri" w:cs="Calibri"/>
          <w:color w:val="000000" w:themeColor="text1"/>
        </w:rPr>
        <w:t xml:space="preserve"> and served</w:t>
      </w:r>
      <w:r w:rsidRPr="4BE3042A">
        <w:rPr>
          <w:rFonts w:ascii="Calibri" w:hAnsi="Calibri" w:eastAsia="Calibri" w:cs="Calibri"/>
          <w:color w:val="000000" w:themeColor="text1"/>
        </w:rPr>
        <w:t xml:space="preserve"> locations the project will serve, including total number of households within these locations.</w:t>
      </w:r>
    </w:p>
    <w:p w:rsidR="00566150" w:rsidP="00566150" w:rsidRDefault="00566150" w14:paraId="263614DF" w14:textId="63A4CEB2">
      <w:pPr>
        <w:pStyle w:val="ListParagraph"/>
        <w:widowControl w:val="0"/>
        <w:numPr>
          <w:ilvl w:val="1"/>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Customer concentration data</w:t>
      </w:r>
      <w:r w:rsidR="008C180A">
        <w:rPr>
          <w:rFonts w:ascii="Calibri" w:hAnsi="Calibri" w:eastAsia="Calibri" w:cs="Calibri"/>
          <w:color w:val="000000" w:themeColor="text1"/>
        </w:rPr>
        <w:t>.</w:t>
      </w:r>
    </w:p>
    <w:p w:rsidR="00566150" w:rsidP="00566150" w:rsidRDefault="00566150" w14:paraId="03CB7992" w14:textId="7DB47350">
      <w:pPr>
        <w:pStyle w:val="ListParagraph"/>
        <w:widowControl w:val="0"/>
        <w:numPr>
          <w:ilvl w:val="2"/>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Potential customer count</w:t>
      </w:r>
      <w:r w:rsidR="008C180A">
        <w:rPr>
          <w:rFonts w:ascii="Calibri" w:hAnsi="Calibri" w:eastAsia="Calibri" w:cs="Calibri"/>
          <w:color w:val="000000" w:themeColor="text1"/>
        </w:rPr>
        <w:t>.</w:t>
      </w:r>
    </w:p>
    <w:p w:rsidR="00566150" w:rsidP="00566150" w:rsidRDefault="00566150" w14:paraId="30037F40" w14:textId="6C581608">
      <w:pPr>
        <w:pStyle w:val="ListParagraph"/>
        <w:widowControl w:val="0"/>
        <w:numPr>
          <w:ilvl w:val="2"/>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Revenue contribution by customer group</w:t>
      </w:r>
      <w:r w:rsidR="008C180A">
        <w:rPr>
          <w:rFonts w:ascii="Calibri" w:hAnsi="Calibri" w:eastAsia="Calibri" w:cs="Calibri"/>
          <w:color w:val="000000" w:themeColor="text1"/>
        </w:rPr>
        <w:t>.</w:t>
      </w:r>
    </w:p>
    <w:p w:rsidR="00566150" w:rsidP="00857B4F" w:rsidRDefault="00566150" w14:paraId="11359059" w14:textId="5BE29C96">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 xml:space="preserve">Application Item 2 – </w:t>
      </w:r>
      <w:r w:rsidRPr="4BE3042A" w:rsidDel="00082BCF">
        <w:rPr>
          <w:rFonts w:ascii="Calibri" w:hAnsi="Calibri" w:eastAsia="Calibri" w:cs="Calibri"/>
          <w:color w:val="000000" w:themeColor="text1"/>
        </w:rPr>
        <w:t xml:space="preserve">Applicant </w:t>
      </w:r>
      <w:r w:rsidRPr="4BE3042A">
        <w:rPr>
          <w:rFonts w:ascii="Calibri" w:hAnsi="Calibri" w:eastAsia="Calibri" w:cs="Calibri"/>
          <w:color w:val="000000" w:themeColor="text1"/>
        </w:rPr>
        <w:t>Entity Information</w:t>
      </w:r>
      <w:r w:rsidR="008C180A">
        <w:rPr>
          <w:rFonts w:ascii="Calibri" w:hAnsi="Calibri" w:eastAsia="Calibri" w:cs="Calibri"/>
          <w:color w:val="000000" w:themeColor="text1"/>
        </w:rPr>
        <w:t>.</w:t>
      </w:r>
    </w:p>
    <w:p w:rsidR="00566150" w:rsidP="00566150" w:rsidRDefault="00566150" w14:paraId="4EEF4E7E" w14:textId="7777777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 xml:space="preserve">Organization name. </w:t>
      </w:r>
    </w:p>
    <w:p w:rsidR="00566150" w:rsidP="00566150" w:rsidRDefault="00566150" w14:paraId="4DA31F66" w14:textId="77777777">
      <w:pPr>
        <w:pStyle w:val="ListParagraph"/>
        <w:widowControl w:val="0"/>
        <w:numPr>
          <w:ilvl w:val="1"/>
          <w:numId w:val="1"/>
        </w:numPr>
        <w:tabs>
          <w:tab w:val="left" w:pos="839"/>
          <w:tab w:val="left" w:pos="840"/>
        </w:tabs>
        <w:ind w:right="359"/>
        <w:rPr>
          <w:rFonts w:ascii="Calibri" w:hAnsi="Calibri" w:eastAsia="Calibri" w:cs="Calibri"/>
          <w:color w:val="000000" w:themeColor="text1"/>
        </w:rPr>
      </w:pPr>
      <w:r w:rsidRPr="4BE3042A">
        <w:rPr>
          <w:rFonts w:ascii="Calibri" w:hAnsi="Calibri" w:eastAsia="Calibri" w:cs="Calibri"/>
          <w:color w:val="000000" w:themeColor="text1"/>
        </w:rPr>
        <w:t>Key contact information.</w:t>
      </w:r>
    </w:p>
    <w:p w:rsidR="00566150" w:rsidP="00566150" w:rsidRDefault="00566150" w14:paraId="05F86DEA" w14:textId="77777777">
      <w:pPr>
        <w:pStyle w:val="ListParagraph"/>
        <w:numPr>
          <w:ilvl w:val="1"/>
          <w:numId w:val="1"/>
        </w:numPr>
        <w:spacing w:after="0"/>
        <w:rPr>
          <w:rFonts w:ascii="Calibri" w:hAnsi="Calibri" w:eastAsia="Calibri" w:cs="Calibri"/>
          <w:color w:val="000000" w:themeColor="text1"/>
        </w:rPr>
      </w:pPr>
      <w:r w:rsidRPr="4BE3042A">
        <w:rPr>
          <w:rStyle w:val="normaltextrun"/>
          <w:rFonts w:ascii="Calibri" w:hAnsi="Calibri" w:eastAsia="Calibri" w:cs="Calibri"/>
          <w:color w:val="000000" w:themeColor="text1"/>
        </w:rPr>
        <w:t>Certificate of good standing issued by the CA Secretary of State (if applicable/for nonprofits).</w:t>
      </w:r>
    </w:p>
    <w:p w:rsidR="00566150" w:rsidP="00566150" w:rsidRDefault="00566150" w14:paraId="269D6607" w14:textId="77777777">
      <w:pPr>
        <w:pStyle w:val="ListParagraph"/>
        <w:numPr>
          <w:ilvl w:val="1"/>
          <w:numId w:val="1"/>
        </w:numPr>
        <w:spacing w:after="0"/>
        <w:rPr>
          <w:rFonts w:ascii="Calibri" w:hAnsi="Calibri" w:eastAsia="Calibri" w:cs="Calibri"/>
          <w:color w:val="000000" w:themeColor="text1"/>
        </w:rPr>
      </w:pPr>
      <w:r w:rsidRPr="4BE3042A">
        <w:rPr>
          <w:rStyle w:val="normaltextrun"/>
          <w:rFonts w:ascii="Calibri" w:hAnsi="Calibri" w:eastAsia="Calibri" w:cs="Calibri"/>
          <w:color w:val="000000" w:themeColor="text1"/>
        </w:rPr>
        <w:t>Organizational chart. </w:t>
      </w:r>
    </w:p>
    <w:p w:rsidR="00566150" w:rsidP="00566150" w:rsidRDefault="00566150" w14:paraId="7F5FE0F9" w14:textId="77777777">
      <w:pPr>
        <w:pStyle w:val="ListParagraph"/>
        <w:numPr>
          <w:ilvl w:val="1"/>
          <w:numId w:val="1"/>
        </w:numPr>
        <w:spacing w:after="0"/>
        <w:rPr>
          <w:rFonts w:ascii="Calibri" w:hAnsi="Calibri" w:eastAsia="Calibri" w:cs="Calibri"/>
          <w:color w:val="000000" w:themeColor="text1"/>
        </w:rPr>
      </w:pPr>
      <w:r w:rsidRPr="4BE3042A">
        <w:rPr>
          <w:rStyle w:val="normaltextrun"/>
          <w:rFonts w:ascii="Calibri" w:hAnsi="Calibri" w:eastAsia="Calibri" w:cs="Calibri"/>
          <w:color w:val="000000" w:themeColor="text1"/>
        </w:rPr>
        <w:t>Key company officers and organization history. </w:t>
      </w:r>
    </w:p>
    <w:p w:rsidR="00566150" w:rsidP="00566150" w:rsidRDefault="00566150" w14:paraId="1C46A6C5" w14:textId="77777777">
      <w:pPr>
        <w:pStyle w:val="ListParagraph"/>
        <w:widowControl w:val="0"/>
        <w:numPr>
          <w:ilvl w:val="1"/>
          <w:numId w:val="1"/>
        </w:numPr>
        <w:tabs>
          <w:tab w:val="left" w:pos="839"/>
          <w:tab w:val="left" w:pos="840"/>
        </w:tabs>
        <w:ind w:right="359"/>
        <w:rPr>
          <w:rFonts w:ascii="Calibri" w:hAnsi="Calibri" w:eastAsia="Calibri" w:cs="Calibri"/>
          <w:color w:val="000000" w:themeColor="text1"/>
        </w:rPr>
      </w:pPr>
      <w:r w:rsidRPr="4BE3042A">
        <w:rPr>
          <w:rFonts w:ascii="Calibri" w:hAnsi="Calibri" w:eastAsia="Calibri" w:cs="Calibri"/>
          <w:color w:val="000000" w:themeColor="text1"/>
        </w:rPr>
        <w:t>Identify staff or entities responsible for legal counsel, project design and construction, marketing and technical support, and maintenance and operation.</w:t>
      </w:r>
    </w:p>
    <w:p w:rsidR="00566150" w:rsidP="00566150" w:rsidRDefault="00566150" w14:paraId="5D78A636" w14:textId="77777777">
      <w:pPr>
        <w:pStyle w:val="ListParagraph"/>
        <w:widowControl w:val="0"/>
        <w:numPr>
          <w:ilvl w:val="2"/>
          <w:numId w:val="1"/>
        </w:numPr>
        <w:tabs>
          <w:tab w:val="left" w:pos="839"/>
          <w:tab w:val="left" w:pos="840"/>
        </w:tabs>
        <w:ind w:right="359"/>
        <w:rPr>
          <w:rFonts w:ascii="Calibri" w:hAnsi="Calibri" w:eastAsia="Calibri" w:cs="Calibri"/>
          <w:color w:val="000000" w:themeColor="text1"/>
        </w:rPr>
      </w:pPr>
      <w:r w:rsidRPr="4BE3042A">
        <w:rPr>
          <w:rFonts w:ascii="Calibri" w:hAnsi="Calibri" w:eastAsia="Calibri" w:cs="Calibri"/>
          <w:color w:val="000000" w:themeColor="text1"/>
        </w:rPr>
        <w:t>This shall include information about the project architects or engineers and general contractor (if already identified).</w:t>
      </w:r>
    </w:p>
    <w:p w:rsidR="00566150" w:rsidP="00566150" w:rsidRDefault="00566150" w14:paraId="788D4CDE" w14:textId="241B64A7">
      <w:pPr>
        <w:pStyle w:val="ListParagraph"/>
        <w:widowControl w:val="0"/>
        <w:numPr>
          <w:ilvl w:val="2"/>
          <w:numId w:val="1"/>
        </w:numPr>
        <w:tabs>
          <w:tab w:val="left" w:pos="839"/>
          <w:tab w:val="left" w:pos="840"/>
        </w:tabs>
        <w:ind w:right="359"/>
        <w:rPr>
          <w:rFonts w:ascii="Calibri" w:hAnsi="Calibri" w:eastAsia="Calibri" w:cs="Calibri"/>
          <w:color w:val="000000" w:themeColor="text1"/>
        </w:rPr>
      </w:pPr>
      <w:r w:rsidRPr="4BE3042A" w:rsidDel="00082BCF">
        <w:rPr>
          <w:rFonts w:ascii="Calibri" w:hAnsi="Calibri" w:eastAsia="Calibri" w:cs="Calibri"/>
          <w:color w:val="000000" w:themeColor="text1"/>
        </w:rPr>
        <w:t xml:space="preserve">Applicant </w:t>
      </w:r>
      <w:r w:rsidRPr="4BE3042A">
        <w:rPr>
          <w:rFonts w:ascii="Calibri" w:hAnsi="Calibri" w:eastAsia="Calibri" w:cs="Calibri"/>
          <w:color w:val="000000" w:themeColor="text1"/>
        </w:rPr>
        <w:t>should provide a history of the team’s prior work, if applicable</w:t>
      </w:r>
      <w:r w:rsidR="00350B44">
        <w:rPr>
          <w:rFonts w:ascii="Calibri" w:hAnsi="Calibri" w:eastAsia="Calibri" w:cs="Calibri"/>
          <w:color w:val="000000" w:themeColor="text1"/>
        </w:rPr>
        <w:t>.</w:t>
      </w:r>
    </w:p>
    <w:p w:rsidR="00566150" w:rsidP="00566150" w:rsidRDefault="00566150" w14:paraId="5FCAC606" w14:textId="77777777">
      <w:pPr>
        <w:pStyle w:val="ListParagraph"/>
        <w:widowControl w:val="0"/>
        <w:numPr>
          <w:ilvl w:val="1"/>
          <w:numId w:val="1"/>
        </w:numPr>
        <w:tabs>
          <w:tab w:val="left" w:pos="839"/>
          <w:tab w:val="left" w:pos="840"/>
        </w:tabs>
        <w:spacing w:before="1"/>
        <w:ind w:right="432"/>
        <w:rPr>
          <w:rFonts w:ascii="Calibri" w:hAnsi="Calibri" w:eastAsia="Calibri" w:cs="Calibri"/>
          <w:color w:val="000000" w:themeColor="text1"/>
        </w:rPr>
      </w:pPr>
      <w:r w:rsidRPr="4BE3042A">
        <w:rPr>
          <w:rFonts w:ascii="Calibri" w:hAnsi="Calibri" w:eastAsia="Calibri" w:cs="Calibri"/>
          <w:color w:val="000000" w:themeColor="text1"/>
        </w:rPr>
        <w:t>Documentation (e.g., a signed letter or contract) of in-house or contracted expertise for evaluating and deploying broadband infrastructure.</w:t>
      </w:r>
    </w:p>
    <w:p w:rsidR="00566150" w:rsidP="00566150" w:rsidRDefault="00566150" w14:paraId="011BCB3F" w14:textId="77777777">
      <w:pPr>
        <w:pStyle w:val="ListParagraph"/>
        <w:widowControl w:val="0"/>
        <w:numPr>
          <w:ilvl w:val="1"/>
          <w:numId w:val="1"/>
        </w:numPr>
        <w:tabs>
          <w:tab w:val="left" w:pos="839"/>
          <w:tab w:val="left" w:pos="840"/>
        </w:tabs>
        <w:ind w:right="438"/>
        <w:rPr>
          <w:rFonts w:ascii="Calibri" w:hAnsi="Calibri" w:eastAsia="Calibri" w:cs="Calibri"/>
          <w:color w:val="000000" w:themeColor="text1"/>
        </w:rPr>
      </w:pPr>
      <w:r w:rsidRPr="4BE3042A">
        <w:rPr>
          <w:rFonts w:ascii="Calibri" w:hAnsi="Calibri" w:eastAsia="Calibri" w:cs="Calibri"/>
          <w:color w:val="000000" w:themeColor="text1"/>
        </w:rPr>
        <w:t>Documentation of expertise in bond financing and financial administration, or contracts with consultants or advisory entities (e.g., underwriters, financial advisors, bond counsel, etc.) necessary for successful bond issuance or encumbrance of other forms of debt for project deployment.</w:t>
      </w:r>
    </w:p>
    <w:p w:rsidR="00566150" w:rsidP="00566150" w:rsidRDefault="00566150" w14:paraId="2250D50E" w14:textId="1ABAEA70">
      <w:pPr>
        <w:pStyle w:val="ListParagraph"/>
        <w:widowControl w:val="0"/>
        <w:numPr>
          <w:ilvl w:val="1"/>
          <w:numId w:val="1"/>
        </w:numPr>
        <w:tabs>
          <w:tab w:val="left" w:pos="839"/>
          <w:tab w:val="left" w:pos="840"/>
        </w:tabs>
        <w:ind w:right="663"/>
        <w:rPr>
          <w:rFonts w:ascii="Calibri" w:hAnsi="Calibri" w:eastAsia="Calibri" w:cs="Calibri"/>
          <w:color w:val="000000" w:themeColor="text1"/>
        </w:rPr>
      </w:pPr>
      <w:r w:rsidRPr="4BE3042A">
        <w:rPr>
          <w:rFonts w:ascii="Calibri" w:hAnsi="Calibri" w:eastAsia="Calibri" w:cs="Calibri"/>
          <w:color w:val="000000" w:themeColor="text1"/>
        </w:rPr>
        <w:t>Documentation</w:t>
      </w:r>
      <w:r w:rsidR="00495E09">
        <w:rPr>
          <w:rFonts w:ascii="Calibri" w:hAnsi="Calibri" w:eastAsia="Calibri" w:cs="Calibri"/>
          <w:color w:val="000000" w:themeColor="text1"/>
        </w:rPr>
        <w:t xml:space="preserve"> (e.g., a signed letter or contract)</w:t>
      </w:r>
      <w:r w:rsidRPr="4BE3042A">
        <w:rPr>
          <w:rFonts w:ascii="Calibri" w:hAnsi="Calibri" w:eastAsia="Calibri" w:cs="Calibri"/>
          <w:color w:val="000000" w:themeColor="text1"/>
        </w:rPr>
        <w:t xml:space="preserve"> of</w:t>
      </w:r>
      <w:r w:rsidR="00495E09">
        <w:rPr>
          <w:rFonts w:ascii="Calibri" w:hAnsi="Calibri" w:eastAsia="Calibri" w:cs="Calibri"/>
          <w:color w:val="000000" w:themeColor="text1"/>
        </w:rPr>
        <w:t xml:space="preserve"> </w:t>
      </w:r>
      <w:r w:rsidR="00774E20">
        <w:rPr>
          <w:rFonts w:ascii="Calibri" w:hAnsi="Calibri" w:eastAsia="Calibri" w:cs="Calibri"/>
          <w:color w:val="000000" w:themeColor="text1"/>
        </w:rPr>
        <w:t xml:space="preserve">in-house or contracted </w:t>
      </w:r>
      <w:r w:rsidRPr="4E875F7F" w:rsidR="3892677A">
        <w:rPr>
          <w:rFonts w:ascii="Calibri" w:hAnsi="Calibri" w:eastAsia="Calibri" w:cs="Calibri"/>
          <w:color w:val="000000" w:themeColor="text1"/>
        </w:rPr>
        <w:t>expert</w:t>
      </w:r>
      <w:r w:rsidRPr="4E875F7F" w:rsidR="000B7475">
        <w:rPr>
          <w:rFonts w:ascii="Calibri" w:hAnsi="Calibri" w:eastAsia="Calibri" w:cs="Calibri"/>
          <w:color w:val="000000" w:themeColor="text1"/>
        </w:rPr>
        <w:t>s</w:t>
      </w:r>
      <w:r w:rsidRPr="4BE3042A">
        <w:rPr>
          <w:rFonts w:ascii="Calibri" w:hAnsi="Calibri" w:eastAsia="Calibri" w:cs="Calibri"/>
          <w:color w:val="000000" w:themeColor="text1"/>
        </w:rPr>
        <w:t xml:space="preserve"> in debt management (e.g., administrative capacity, debt ratio coverage, past performance)</w:t>
      </w:r>
      <w:r w:rsidR="00343616">
        <w:rPr>
          <w:rFonts w:ascii="Calibri" w:hAnsi="Calibri" w:eastAsia="Calibri" w:cs="Calibri"/>
          <w:color w:val="000000" w:themeColor="text1"/>
        </w:rPr>
        <w:t>.</w:t>
      </w:r>
    </w:p>
    <w:p w:rsidR="00566150" w:rsidP="00566150" w:rsidRDefault="00566150" w14:paraId="120A312A" w14:textId="77777777">
      <w:pPr>
        <w:pStyle w:val="ListParagraph"/>
        <w:numPr>
          <w:ilvl w:val="1"/>
          <w:numId w:val="1"/>
        </w:numPr>
        <w:spacing w:after="0"/>
        <w:rPr>
          <w:rFonts w:ascii="Calibri" w:hAnsi="Calibri" w:eastAsia="Calibri" w:cs="Calibri"/>
          <w:color w:val="000000" w:themeColor="text1"/>
        </w:rPr>
      </w:pPr>
      <w:r w:rsidRPr="4BE3042A">
        <w:rPr>
          <w:rStyle w:val="normaltextrun"/>
          <w:rFonts w:ascii="Calibri" w:hAnsi="Calibri" w:eastAsia="Calibri" w:cs="Calibri"/>
          <w:color w:val="000000" w:themeColor="text1"/>
        </w:rPr>
        <w:t>Statement of readiness to build, manage, and operate broadband.  </w:t>
      </w:r>
    </w:p>
    <w:p w:rsidR="00566150" w:rsidP="00857B4F" w:rsidRDefault="00566150" w14:paraId="2C0CC448" w14:textId="584CFE8E">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 xml:space="preserve">Application Item 3 – Description of </w:t>
      </w:r>
      <w:r w:rsidRPr="4BE3042A" w:rsidDel="00082BCF">
        <w:rPr>
          <w:rFonts w:ascii="Calibri" w:hAnsi="Calibri" w:eastAsia="Calibri" w:cs="Calibri"/>
          <w:color w:val="000000" w:themeColor="text1"/>
        </w:rPr>
        <w:t xml:space="preserve">Applicant’s </w:t>
      </w:r>
      <w:r w:rsidRPr="4BE3042A">
        <w:rPr>
          <w:rFonts w:ascii="Calibri" w:hAnsi="Calibri" w:eastAsia="Calibri" w:cs="Calibri"/>
          <w:color w:val="000000" w:themeColor="text1"/>
        </w:rPr>
        <w:t>Current Broadband Infrastructure and Existing Infrastructure in the Area</w:t>
      </w:r>
      <w:r w:rsidR="00343616">
        <w:rPr>
          <w:rFonts w:ascii="Calibri" w:hAnsi="Calibri" w:eastAsia="Calibri" w:cs="Calibri"/>
          <w:color w:val="000000" w:themeColor="text1"/>
        </w:rPr>
        <w:t>.</w:t>
      </w:r>
    </w:p>
    <w:p w:rsidR="00566150" w:rsidP="00566150" w:rsidRDefault="00566150" w14:paraId="00D2B9D7" w14:textId="3F9EABAB">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 xml:space="preserve">A description of the </w:t>
      </w:r>
      <w:r w:rsidRPr="4BE3042A" w:rsidDel="00082BCF">
        <w:rPr>
          <w:rFonts w:ascii="Calibri" w:hAnsi="Calibri" w:eastAsia="Calibri" w:cs="Calibri"/>
          <w:color w:val="000000" w:themeColor="text1"/>
        </w:rPr>
        <w:t xml:space="preserve">applicant’s </w:t>
      </w:r>
      <w:r w:rsidRPr="4BE3042A">
        <w:rPr>
          <w:rFonts w:ascii="Calibri" w:hAnsi="Calibri" w:eastAsia="Calibri" w:cs="Calibri"/>
          <w:color w:val="000000" w:themeColor="text1"/>
        </w:rPr>
        <w:t>current broadband infrastructure and service within 5 miles of the proposed project</w:t>
      </w:r>
      <w:r w:rsidR="002B12D8">
        <w:rPr>
          <w:rFonts w:ascii="Calibri" w:hAnsi="Calibri" w:eastAsia="Calibri" w:cs="Calibri"/>
          <w:color w:val="000000" w:themeColor="text1"/>
        </w:rPr>
        <w:t xml:space="preserve"> (if any)</w:t>
      </w:r>
      <w:r w:rsidRPr="4BE3042A">
        <w:rPr>
          <w:rFonts w:ascii="Calibri" w:hAnsi="Calibri" w:eastAsia="Calibri" w:cs="Calibri"/>
          <w:color w:val="000000" w:themeColor="text1"/>
        </w:rPr>
        <w:t>.</w:t>
      </w:r>
    </w:p>
    <w:p w:rsidR="00566150" w:rsidP="00566150" w:rsidRDefault="00566150" w14:paraId="2F30275D"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 description of other providers’ infrastructure within the project area which can be leased, purchased, or accessed via interconnection.</w:t>
      </w:r>
    </w:p>
    <w:p w:rsidR="00566150" w:rsidP="00566150" w:rsidRDefault="00566150" w14:paraId="6562EA19" w14:textId="7777777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Max speed offered currently to households by incumbent providers.</w:t>
      </w:r>
    </w:p>
    <w:p w:rsidR="00566150" w:rsidP="00857B4F" w:rsidRDefault="00566150" w14:paraId="1EBB9D79" w14:textId="53E3A45C">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4 – Project Location Data</w:t>
      </w:r>
      <w:r w:rsidR="00BE668D">
        <w:rPr>
          <w:rFonts w:ascii="Calibri" w:hAnsi="Calibri" w:eastAsia="Calibri" w:cs="Calibri"/>
          <w:color w:val="000000" w:themeColor="text1"/>
        </w:rPr>
        <w:t>.</w:t>
      </w:r>
    </w:p>
    <w:p w:rsidR="00566150" w:rsidP="00566150" w:rsidRDefault="00566150" w14:paraId="1E94DD03"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Proposed broadband project location shapefile.</w:t>
      </w:r>
    </w:p>
    <w:p w:rsidR="00566150" w:rsidP="00566150" w:rsidRDefault="00566150" w14:paraId="4FEF7C74"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Geographic location of project related key network equipment.</w:t>
      </w:r>
    </w:p>
    <w:p w:rsidR="00566150" w:rsidP="00857B4F" w:rsidRDefault="00566150" w14:paraId="3186491B" w14:textId="32AD614E">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5 – Median Income</w:t>
      </w:r>
      <w:r w:rsidR="00BE668D">
        <w:rPr>
          <w:rFonts w:ascii="Calibri" w:hAnsi="Calibri" w:eastAsia="Calibri" w:cs="Calibri"/>
          <w:color w:val="000000" w:themeColor="text1"/>
        </w:rPr>
        <w:t>.</w:t>
      </w:r>
    </w:p>
    <w:p w:rsidR="00566150" w:rsidP="00566150" w:rsidRDefault="00566150" w14:paraId="07AF57EB" w14:textId="7777777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 xml:space="preserve">Median household incomes of all census block groups in project area. </w:t>
      </w:r>
    </w:p>
    <w:p w:rsidR="00566150" w:rsidP="00857B4F" w:rsidRDefault="00566150" w14:paraId="6CCC944E" w14:textId="51068CC9">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6 – Deployment Schedule</w:t>
      </w:r>
      <w:r w:rsidR="008068E5">
        <w:rPr>
          <w:rFonts w:ascii="Calibri" w:hAnsi="Calibri" w:eastAsia="Calibri" w:cs="Calibri"/>
          <w:color w:val="000000" w:themeColor="text1"/>
        </w:rPr>
        <w:t>.</w:t>
      </w:r>
    </w:p>
    <w:p w:rsidR="00566150" w:rsidP="00566150" w:rsidRDefault="00566150" w14:paraId="7F626E8A"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Project start and end dates.</w:t>
      </w:r>
    </w:p>
    <w:p w:rsidR="00566150" w:rsidP="00566150" w:rsidRDefault="00566150" w14:paraId="7E37AE39"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 xml:space="preserve">Schedule for obtaining permits prior to construction. </w:t>
      </w:r>
    </w:p>
    <w:p w:rsidR="00566150" w:rsidP="00566150" w:rsidRDefault="00566150" w14:paraId="3923B7EB" w14:textId="7777777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Estimated project plan with major milestones and construction timeline.</w:t>
      </w:r>
    </w:p>
    <w:p w:rsidR="00566150" w:rsidP="00566150" w:rsidRDefault="00566150" w14:paraId="2A538BE9" w14:textId="7777777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Milestone risks.</w:t>
      </w:r>
    </w:p>
    <w:p w:rsidR="00566150" w:rsidP="00857B4F" w:rsidRDefault="00566150" w14:paraId="622B45CE" w14:textId="17AF2EC7">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7 – Proposed Project Expenditures</w:t>
      </w:r>
      <w:r w:rsidR="005E0227">
        <w:rPr>
          <w:rFonts w:ascii="Calibri" w:hAnsi="Calibri" w:eastAsia="Calibri" w:cs="Calibri"/>
          <w:color w:val="000000" w:themeColor="text1"/>
        </w:rPr>
        <w:t>.</w:t>
      </w:r>
    </w:p>
    <w:p w:rsidR="00566150" w:rsidP="00566150" w:rsidRDefault="00566150" w14:paraId="3121D9B6" w14:textId="77777777">
      <w:pPr>
        <w:pStyle w:val="ListParagraph"/>
        <w:widowControl w:val="0"/>
        <w:numPr>
          <w:ilvl w:val="1"/>
          <w:numId w:val="1"/>
        </w:numPr>
        <w:tabs>
          <w:tab w:val="left" w:pos="839"/>
          <w:tab w:val="left" w:pos="840"/>
        </w:tabs>
        <w:spacing w:line="276" w:lineRule="exact"/>
        <w:rPr>
          <w:rFonts w:ascii="Calibri" w:hAnsi="Calibri" w:eastAsia="Calibri" w:cs="Calibri"/>
          <w:color w:val="000000" w:themeColor="text1"/>
        </w:rPr>
      </w:pPr>
      <w:r w:rsidRPr="4BE3042A">
        <w:rPr>
          <w:rFonts w:ascii="Calibri" w:hAnsi="Calibri" w:eastAsia="Calibri" w:cs="Calibri"/>
          <w:color w:val="000000" w:themeColor="text1"/>
        </w:rPr>
        <w:t xml:space="preserve">Project Budget (Total, major equipment costs). </w:t>
      </w:r>
    </w:p>
    <w:p w:rsidR="00566150" w:rsidP="00566150" w:rsidRDefault="00566150" w14:paraId="7AA9E7D7" w14:textId="7777777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Estimated breakdown of aerial and underground installations.</w:t>
      </w:r>
    </w:p>
    <w:p w:rsidR="00566150" w:rsidP="00566150" w:rsidRDefault="00566150" w14:paraId="6330234E" w14:textId="7777777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Availability of matching funds with identified funding source.</w:t>
      </w:r>
    </w:p>
    <w:p w:rsidR="00566150" w:rsidP="00857B4F" w:rsidRDefault="00566150" w14:paraId="48C75F72" w14:textId="77777777">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8 – Economic Life of all assets to be funded.</w:t>
      </w:r>
    </w:p>
    <w:p w:rsidR="00566150" w:rsidP="00566150" w:rsidRDefault="00566150" w14:paraId="23A578C6" w14:textId="77777777">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Description of major infrastructure to be deployed, including economic life.</w:t>
      </w:r>
    </w:p>
    <w:p w:rsidR="00566150" w:rsidP="00566150" w:rsidRDefault="00566150" w14:paraId="1E170E09" w14:textId="6D8B6F60">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Buildings, outside plant, towers and poles, network and access equipment, operating equipment, customer premise equipment), the type of equipment (new building, prefabricated building, rehab of existing building, new towers or poles, modification of existing towers and poles, broadband switching equipment, fixture</w:t>
      </w:r>
      <w:r w:rsidR="00242B6B">
        <w:rPr>
          <w:rFonts w:ascii="Calibri" w:hAnsi="Calibri" w:eastAsia="Calibri" w:cs="Calibri"/>
          <w:color w:val="000000" w:themeColor="text1"/>
        </w:rPr>
        <w:t>s</w:t>
      </w:r>
      <w:r w:rsidRPr="4BE3042A">
        <w:rPr>
          <w:rFonts w:ascii="Calibri" w:hAnsi="Calibri" w:eastAsia="Calibri" w:cs="Calibri"/>
          <w:color w:val="000000" w:themeColor="text1"/>
        </w:rPr>
        <w:t>, etc., and the estimated useful life (10, 15, 20, etc. years).</w:t>
      </w:r>
    </w:p>
    <w:p w:rsidR="00566150" w:rsidP="00857B4F" w:rsidRDefault="00566150" w14:paraId="75823B65" w14:textId="1EFEFC7E">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9 – Proposed Pricing</w:t>
      </w:r>
      <w:r w:rsidR="009A1989">
        <w:rPr>
          <w:rFonts w:ascii="Calibri" w:hAnsi="Calibri" w:eastAsia="Calibri" w:cs="Calibri"/>
          <w:color w:val="000000" w:themeColor="text1"/>
        </w:rPr>
        <w:t>.</w:t>
      </w:r>
    </w:p>
    <w:p w:rsidR="00566150" w:rsidP="00566150" w:rsidRDefault="00566150" w14:paraId="202D8083" w14:textId="01F72B85">
      <w:pPr>
        <w:pStyle w:val="ListParagraph"/>
        <w:widowControl w:val="0"/>
        <w:numPr>
          <w:ilvl w:val="1"/>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Proposed pricing for the project, including pricing model for monthly services, installation and return requirements.</w:t>
      </w:r>
      <w:r w:rsidR="00DC01DF">
        <w:rPr>
          <w:rFonts w:ascii="Calibri" w:hAnsi="Calibri" w:eastAsia="Calibri" w:cs="Calibri"/>
          <w:color w:val="000000" w:themeColor="text1"/>
        </w:rPr>
        <w:t xml:space="preserve"> Specify how much the affordable service offering will cost, what speeds it will provide, and how long the offering will be available. </w:t>
      </w:r>
    </w:p>
    <w:p w:rsidR="00566150" w:rsidP="00566150" w:rsidRDefault="00566150" w14:paraId="0CA7EDF2"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Other recurring costs.</w:t>
      </w:r>
    </w:p>
    <w:p w:rsidR="00566150" w:rsidP="00566150" w:rsidRDefault="00566150" w14:paraId="216013EA"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Other non-recurring costs.</w:t>
      </w:r>
    </w:p>
    <w:p w:rsidR="00566150" w:rsidP="00566150" w:rsidRDefault="00566150" w14:paraId="7DE8B7EB" w14:textId="410DA6D9">
      <w:pPr>
        <w:pStyle w:val="ListParagraph"/>
        <w:widowControl w:val="0"/>
        <w:numPr>
          <w:ilvl w:val="1"/>
          <w:numId w:val="1"/>
        </w:numPr>
        <w:spacing w:before="26"/>
        <w:ind w:right="415"/>
        <w:rPr>
          <w:rFonts w:ascii="Calibri" w:hAnsi="Calibri" w:eastAsia="Calibri" w:cs="Calibri"/>
          <w:color w:val="000000" w:themeColor="text1"/>
        </w:rPr>
      </w:pPr>
      <w:r w:rsidRPr="4BE3042A" w:rsidDel="00082BCF">
        <w:rPr>
          <w:rFonts w:ascii="Calibri" w:hAnsi="Calibri" w:eastAsia="Calibri" w:cs="Calibri"/>
          <w:color w:val="000000" w:themeColor="text1"/>
        </w:rPr>
        <w:t xml:space="preserve">Applicant </w:t>
      </w:r>
      <w:r w:rsidRPr="4BE3042A">
        <w:rPr>
          <w:rFonts w:ascii="Calibri" w:hAnsi="Calibri" w:eastAsia="Calibri" w:cs="Calibri"/>
          <w:color w:val="000000" w:themeColor="text1"/>
        </w:rPr>
        <w:t>participation in Affordable Connectivity Plan (ACP)</w:t>
      </w:r>
      <w:r w:rsidR="0062076E">
        <w:rPr>
          <w:rFonts w:ascii="Calibri" w:hAnsi="Calibri" w:eastAsia="Calibri" w:cs="Calibri"/>
          <w:color w:val="000000" w:themeColor="text1"/>
        </w:rPr>
        <w:t xml:space="preserve"> or equivalent low-income affordability program</w:t>
      </w:r>
      <w:r w:rsidRPr="4BE3042A">
        <w:rPr>
          <w:rFonts w:ascii="Calibri" w:hAnsi="Calibri" w:eastAsia="Calibri" w:cs="Calibri"/>
          <w:color w:val="000000" w:themeColor="text1"/>
        </w:rPr>
        <w:t>.</w:t>
      </w:r>
    </w:p>
    <w:p w:rsidR="00566150" w:rsidP="00857B4F" w:rsidRDefault="00566150" w14:paraId="63E4B040" w14:textId="52B92AD2">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10 – Marketing/Outreach Plan</w:t>
      </w:r>
      <w:r w:rsidR="009A1989">
        <w:rPr>
          <w:rFonts w:ascii="Calibri" w:hAnsi="Calibri" w:eastAsia="Calibri" w:cs="Calibri"/>
          <w:color w:val="000000" w:themeColor="text1"/>
        </w:rPr>
        <w:t>.</w:t>
      </w:r>
    </w:p>
    <w:p w:rsidR="00566150" w:rsidP="00566150" w:rsidRDefault="00566150" w14:paraId="574A6715" w14:textId="50E19279">
      <w:pPr>
        <w:pStyle w:val="ListParagraph"/>
        <w:widowControl w:val="0"/>
        <w:numPr>
          <w:ilvl w:val="1"/>
          <w:numId w:val="1"/>
        </w:numPr>
        <w:spacing w:before="26"/>
        <w:ind w:right="415"/>
        <w:rPr>
          <w:rFonts w:ascii="Calibri" w:hAnsi="Calibri" w:eastAsia="Calibri" w:cs="Calibri"/>
          <w:color w:val="000000" w:themeColor="text1"/>
        </w:rPr>
      </w:pPr>
      <w:r w:rsidRPr="4BE3042A" w:rsidDel="00082BCF">
        <w:rPr>
          <w:rFonts w:ascii="Calibri" w:hAnsi="Calibri" w:eastAsia="Calibri" w:cs="Calibri"/>
          <w:color w:val="000000" w:themeColor="text1"/>
        </w:rPr>
        <w:t>Applicant</w:t>
      </w:r>
      <w:r w:rsidRPr="4BE3042A" w:rsidR="00082BCF">
        <w:rPr>
          <w:rFonts w:ascii="Calibri" w:hAnsi="Calibri" w:eastAsia="Calibri" w:cs="Calibri"/>
          <w:color w:val="000000" w:themeColor="text1"/>
        </w:rPr>
        <w:t xml:space="preserve"> </w:t>
      </w:r>
      <w:r w:rsidRPr="4BE3042A">
        <w:rPr>
          <w:rFonts w:ascii="Calibri" w:hAnsi="Calibri" w:eastAsia="Calibri" w:cs="Calibri"/>
          <w:color w:val="000000" w:themeColor="text1"/>
        </w:rPr>
        <w:t>must include a plan for engaging and marketing to Environmental and Social Justice (ESJ) communities.</w:t>
      </w:r>
    </w:p>
    <w:p w:rsidR="00566150" w:rsidP="00566150" w:rsidRDefault="00566150" w14:paraId="5C6176AE" w14:textId="05E1C348">
      <w:pPr>
        <w:pStyle w:val="ListParagraph"/>
        <w:numPr>
          <w:ilvl w:val="1"/>
          <w:numId w:val="1"/>
        </w:numPr>
        <w:rPr>
          <w:rFonts w:ascii="Calibri" w:hAnsi="Calibri" w:eastAsia="Calibri" w:cs="Calibri"/>
          <w:color w:val="000000" w:themeColor="text1"/>
        </w:rPr>
      </w:pPr>
      <w:r w:rsidRPr="4BE3042A" w:rsidDel="00082BCF">
        <w:rPr>
          <w:rFonts w:ascii="Calibri" w:hAnsi="Calibri" w:eastAsia="Calibri" w:cs="Calibri"/>
          <w:color w:val="000000" w:themeColor="text1"/>
        </w:rPr>
        <w:t xml:space="preserve">Applicant </w:t>
      </w:r>
      <w:r w:rsidRPr="4BE3042A">
        <w:rPr>
          <w:rFonts w:ascii="Calibri" w:hAnsi="Calibri" w:eastAsia="Calibri" w:cs="Calibri"/>
          <w:color w:val="000000" w:themeColor="text1"/>
        </w:rPr>
        <w:t>must provide an estimate of the percentage of ESJ community residents in the project area.</w:t>
      </w:r>
    </w:p>
    <w:p w:rsidR="00566150" w:rsidP="00857B4F" w:rsidRDefault="00566150" w14:paraId="2212DA30" w14:textId="38046C93">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11 – Local Government and Community Support</w:t>
      </w:r>
      <w:r w:rsidR="009A1989">
        <w:rPr>
          <w:rFonts w:ascii="Calibri" w:hAnsi="Calibri" w:eastAsia="Calibri" w:cs="Calibri"/>
          <w:color w:val="000000" w:themeColor="text1"/>
        </w:rPr>
        <w:t>.</w:t>
      </w:r>
    </w:p>
    <w:p w:rsidRPr="004A21F2" w:rsidR="008E14F0" w:rsidP="008E14F0" w:rsidRDefault="00566150" w14:paraId="5FAA3FC4" w14:textId="334DCCB2">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 xml:space="preserve">Letters of support from state, local, </w:t>
      </w:r>
      <w:r w:rsidR="00DE31C8">
        <w:rPr>
          <w:rFonts w:ascii="Calibri" w:hAnsi="Calibri" w:eastAsia="Calibri" w:cs="Calibri"/>
          <w:color w:val="000000" w:themeColor="text1"/>
        </w:rPr>
        <w:t>T</w:t>
      </w:r>
      <w:r w:rsidRPr="4BE3042A">
        <w:rPr>
          <w:rFonts w:ascii="Calibri" w:hAnsi="Calibri" w:eastAsia="Calibri" w:cs="Calibri"/>
          <w:color w:val="000000" w:themeColor="text1"/>
        </w:rPr>
        <w:t xml:space="preserve">ribal government, </w:t>
      </w:r>
      <w:r w:rsidR="000B19D2">
        <w:rPr>
          <w:rFonts w:ascii="Calibri" w:hAnsi="Calibri" w:eastAsia="Calibri" w:cs="Calibri"/>
          <w:color w:val="000000" w:themeColor="text1"/>
        </w:rPr>
        <w:t xml:space="preserve">or </w:t>
      </w:r>
      <w:r w:rsidRPr="4BE3042A">
        <w:rPr>
          <w:rFonts w:ascii="Calibri" w:hAnsi="Calibri" w:eastAsia="Calibri" w:cs="Calibri"/>
          <w:color w:val="000000" w:themeColor="text1"/>
        </w:rPr>
        <w:t xml:space="preserve">community organization. </w:t>
      </w:r>
    </w:p>
    <w:p w:rsidRPr="008D4557" w:rsidR="008E14F0" w:rsidP="008E14F0" w:rsidRDefault="008E14F0" w14:paraId="6BB41FA2" w14:textId="622650D3">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008E14F0">
        <w:rPr>
          <w:rFonts w:ascii="Calibri" w:hAnsi="Calibri" w:eastAsia="Calibri" w:cs="Calibri"/>
          <w:color w:val="000000" w:themeColor="text1"/>
        </w:rPr>
        <w:t xml:space="preserve">Applications proposing to serve Tribal Areas must include </w:t>
      </w:r>
      <w:r w:rsidR="003D4020">
        <w:rPr>
          <w:rFonts w:ascii="Calibri" w:hAnsi="Calibri" w:eastAsia="Calibri" w:cs="Calibri"/>
          <w:color w:val="000000" w:themeColor="text1"/>
        </w:rPr>
        <w:t>evidence o</w:t>
      </w:r>
      <w:r w:rsidR="00B52458">
        <w:rPr>
          <w:rFonts w:ascii="Calibri" w:hAnsi="Calibri" w:eastAsia="Calibri" w:cs="Calibri"/>
          <w:color w:val="000000" w:themeColor="text1"/>
        </w:rPr>
        <w:t>f</w:t>
      </w:r>
      <w:r w:rsidRPr="008E14F0">
        <w:rPr>
          <w:rFonts w:ascii="Calibri" w:hAnsi="Calibri" w:eastAsia="Calibri" w:cs="Calibri"/>
          <w:color w:val="000000" w:themeColor="text1"/>
        </w:rPr>
        <w:t xml:space="preserve"> support from the applicable Sovereign Tribal Government(s)</w:t>
      </w:r>
      <w:r w:rsidR="003D4020">
        <w:rPr>
          <w:rFonts w:ascii="Calibri" w:hAnsi="Calibri" w:eastAsia="Calibri" w:cs="Calibri"/>
          <w:color w:val="000000" w:themeColor="text1"/>
        </w:rPr>
        <w:t xml:space="preserve"> for the project</w:t>
      </w:r>
      <w:r w:rsidRPr="008E14F0">
        <w:rPr>
          <w:rFonts w:ascii="Calibri" w:hAnsi="Calibri" w:eastAsia="Calibri" w:cs="Calibri"/>
          <w:color w:val="000000" w:themeColor="text1"/>
        </w:rPr>
        <w:t xml:space="preserve">. </w:t>
      </w:r>
    </w:p>
    <w:p w:rsidR="00566150" w:rsidP="00566150" w:rsidRDefault="00566150" w14:paraId="39C120FF" w14:textId="54686F6A">
      <w:pPr>
        <w:pStyle w:val="ListParagraph"/>
        <w:widowControl w:val="0"/>
        <w:numPr>
          <w:ilvl w:val="1"/>
          <w:numId w:val="1"/>
        </w:numPr>
        <w:tabs>
          <w:tab w:val="left" w:pos="1560"/>
        </w:tabs>
        <w:spacing w:before="22" w:line="252" w:lineRule="auto"/>
        <w:ind w:right="577"/>
        <w:rPr>
          <w:rFonts w:ascii="Calibri" w:hAnsi="Calibri" w:eastAsia="Calibri" w:cs="Calibri"/>
          <w:color w:val="000000" w:themeColor="text1"/>
        </w:rPr>
      </w:pPr>
      <w:r w:rsidRPr="4BE3042A">
        <w:rPr>
          <w:rFonts w:ascii="Calibri" w:hAnsi="Calibri" w:eastAsia="Calibri" w:cs="Calibri"/>
          <w:color w:val="000000" w:themeColor="text1"/>
        </w:rPr>
        <w:t>Anchor institutions and public safety locations in the project area that will receive new or improved service</w:t>
      </w:r>
      <w:r w:rsidR="008422BC">
        <w:rPr>
          <w:rFonts w:ascii="Calibri" w:hAnsi="Calibri" w:eastAsia="Calibri" w:cs="Calibri"/>
          <w:color w:val="000000" w:themeColor="text1"/>
        </w:rPr>
        <w:t xml:space="preserve"> (optional)</w:t>
      </w:r>
      <w:r w:rsidRPr="4BE3042A">
        <w:rPr>
          <w:rFonts w:ascii="Calibri" w:hAnsi="Calibri" w:eastAsia="Calibri" w:cs="Calibri"/>
          <w:color w:val="000000" w:themeColor="text1"/>
        </w:rPr>
        <w:t xml:space="preserve">. </w:t>
      </w:r>
    </w:p>
    <w:p w:rsidR="00566150" w:rsidP="00857B4F" w:rsidRDefault="00566150" w14:paraId="411BA3D0" w14:textId="28DD2127">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12 – Funding Sources</w:t>
      </w:r>
      <w:r w:rsidR="001F4942">
        <w:rPr>
          <w:rFonts w:ascii="Calibri" w:hAnsi="Calibri" w:eastAsia="Calibri" w:cs="Calibri"/>
          <w:color w:val="000000" w:themeColor="text1"/>
        </w:rPr>
        <w:t>.</w:t>
      </w:r>
    </w:p>
    <w:p w:rsidR="00566150" w:rsidP="00566150" w:rsidRDefault="00566150" w14:paraId="5C683FD9"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All project funding sources such as loans, bonds, financial contributions of the provider and other sources.</w:t>
      </w:r>
    </w:p>
    <w:p w:rsidR="00566150" w:rsidP="00566150" w:rsidRDefault="00566150" w14:paraId="26664725" w14:textId="7C6C2858">
      <w:pPr>
        <w:pStyle w:val="ListParagraph"/>
        <w:widowControl w:val="0"/>
        <w:numPr>
          <w:ilvl w:val="1"/>
          <w:numId w:val="1"/>
        </w:numPr>
        <w:tabs>
          <w:tab w:val="left" w:pos="839"/>
          <w:tab w:val="left" w:pos="840"/>
        </w:tabs>
        <w:ind w:right="887"/>
        <w:rPr>
          <w:rFonts w:ascii="Calibri" w:hAnsi="Calibri" w:eastAsia="Calibri" w:cs="Calibri"/>
          <w:color w:val="000000" w:themeColor="text1"/>
        </w:rPr>
      </w:pPr>
      <w:r w:rsidRPr="4BE3042A" w:rsidDel="00082BCF">
        <w:rPr>
          <w:rFonts w:ascii="Calibri" w:hAnsi="Calibri" w:eastAsia="Calibri" w:cs="Calibri"/>
          <w:color w:val="000000" w:themeColor="text1"/>
        </w:rPr>
        <w:t xml:space="preserve">Applicant </w:t>
      </w:r>
      <w:r w:rsidRPr="4BE3042A">
        <w:rPr>
          <w:rFonts w:ascii="Calibri" w:hAnsi="Calibri" w:eastAsia="Calibri" w:cs="Calibri"/>
          <w:color w:val="000000" w:themeColor="text1"/>
        </w:rPr>
        <w:t xml:space="preserve">must describe whether </w:t>
      </w:r>
      <w:r w:rsidRPr="4BE3042A" w:rsidDel="00082BCF">
        <w:rPr>
          <w:rFonts w:ascii="Calibri" w:hAnsi="Calibri" w:eastAsia="Calibri" w:cs="Calibri"/>
          <w:color w:val="000000" w:themeColor="text1"/>
        </w:rPr>
        <w:t xml:space="preserve">applicant </w:t>
      </w:r>
      <w:r w:rsidRPr="4BE3042A">
        <w:rPr>
          <w:rFonts w:ascii="Calibri" w:hAnsi="Calibri" w:eastAsia="Calibri" w:cs="Calibri"/>
          <w:color w:val="000000" w:themeColor="text1"/>
        </w:rPr>
        <w:t>has or will pursue additional sources of outside funding (Sources and Uses Table).</w:t>
      </w:r>
    </w:p>
    <w:p w:rsidR="00566150" w:rsidP="00857B4F" w:rsidRDefault="00566150" w14:paraId="3CC40BB7" w14:textId="4CC00AC8">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13 – Financial Qualifications</w:t>
      </w:r>
      <w:r w:rsidR="00B61C42">
        <w:rPr>
          <w:rFonts w:ascii="Calibri" w:hAnsi="Calibri" w:eastAsia="Calibri" w:cs="Calibri"/>
          <w:color w:val="000000" w:themeColor="text1"/>
        </w:rPr>
        <w:t>.</w:t>
      </w:r>
    </w:p>
    <w:p w:rsidR="00566150" w:rsidP="00566150" w:rsidRDefault="00566150" w14:paraId="48024AF0" w14:textId="4899EEFE">
      <w:pPr>
        <w:pStyle w:val="ListParagraph"/>
        <w:widowControl w:val="0"/>
        <w:numPr>
          <w:ilvl w:val="1"/>
          <w:numId w:val="1"/>
        </w:numPr>
        <w:tabs>
          <w:tab w:val="left" w:pos="1561"/>
        </w:tabs>
        <w:spacing w:before="7" w:line="232" w:lineRule="auto"/>
        <w:ind w:right="1066"/>
        <w:rPr>
          <w:rFonts w:ascii="Calibri" w:hAnsi="Calibri" w:eastAsia="Calibri" w:cs="Calibri"/>
          <w:color w:val="000000" w:themeColor="text1"/>
        </w:rPr>
      </w:pPr>
      <w:r w:rsidRPr="4BE3042A">
        <w:rPr>
          <w:rFonts w:ascii="Calibri" w:hAnsi="Calibri" w:eastAsia="Calibri" w:cs="Calibri"/>
          <w:color w:val="000000" w:themeColor="text1"/>
        </w:rPr>
        <w:t xml:space="preserve">Certified Public Accountant-audited financial statements for the last three years.  Local governments may submit Annual Comprehensive Financial Reports. If an </w:t>
      </w:r>
      <w:r w:rsidRPr="4BE3042A" w:rsidDel="00082BCF" w:rsidR="00E2171E">
        <w:rPr>
          <w:rFonts w:ascii="Calibri" w:hAnsi="Calibri" w:eastAsia="Calibri" w:cs="Calibri"/>
          <w:color w:val="000000" w:themeColor="text1"/>
        </w:rPr>
        <w:t>applicant</w:t>
      </w:r>
      <w:r w:rsidRPr="4BE3042A" w:rsidR="00082BCF">
        <w:rPr>
          <w:rFonts w:ascii="Calibri" w:hAnsi="Calibri" w:eastAsia="Calibri" w:cs="Calibri"/>
          <w:color w:val="000000" w:themeColor="text1"/>
        </w:rPr>
        <w:t xml:space="preserve"> </w:t>
      </w:r>
      <w:r w:rsidRPr="4BE3042A">
        <w:rPr>
          <w:rFonts w:ascii="Calibri" w:hAnsi="Calibri" w:eastAsia="Calibri" w:cs="Calibri"/>
          <w:color w:val="000000" w:themeColor="text1"/>
        </w:rPr>
        <w:t>has less than three years of financial statements, as many years as financial documents exist from the parent or sponsoring organization, providing the borrower’s:</w:t>
      </w:r>
    </w:p>
    <w:p w:rsidR="00566150" w:rsidP="00566150" w:rsidRDefault="00566150" w14:paraId="1B01C2C4" w14:textId="790F7A1E">
      <w:pPr>
        <w:pStyle w:val="ListParagraph"/>
        <w:widowControl w:val="0"/>
        <w:numPr>
          <w:ilvl w:val="2"/>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Balance Sheet</w:t>
      </w:r>
      <w:r w:rsidR="00461240">
        <w:rPr>
          <w:rFonts w:ascii="Calibri" w:hAnsi="Calibri" w:eastAsia="Calibri" w:cs="Calibri"/>
          <w:color w:val="000000" w:themeColor="text1"/>
        </w:rPr>
        <w:t>.</w:t>
      </w:r>
    </w:p>
    <w:p w:rsidR="00566150" w:rsidP="00566150" w:rsidRDefault="00566150" w14:paraId="2D998A0F" w14:textId="7C9AA67B">
      <w:pPr>
        <w:pStyle w:val="ListParagraph"/>
        <w:widowControl w:val="0"/>
        <w:numPr>
          <w:ilvl w:val="2"/>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Income Statement</w:t>
      </w:r>
      <w:r w:rsidR="00461240">
        <w:rPr>
          <w:rFonts w:ascii="Calibri" w:hAnsi="Calibri" w:eastAsia="Calibri" w:cs="Calibri"/>
          <w:color w:val="000000" w:themeColor="text1"/>
        </w:rPr>
        <w:t>.</w:t>
      </w:r>
    </w:p>
    <w:p w:rsidR="00566150" w:rsidP="00566150" w:rsidRDefault="00566150" w14:paraId="76522568" w14:textId="54725E03">
      <w:pPr>
        <w:pStyle w:val="ListParagraph"/>
        <w:widowControl w:val="0"/>
        <w:numPr>
          <w:ilvl w:val="2"/>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Statement of Cash Flows</w:t>
      </w:r>
      <w:r w:rsidR="00461240">
        <w:rPr>
          <w:rFonts w:ascii="Calibri" w:hAnsi="Calibri" w:eastAsia="Calibri" w:cs="Calibri"/>
          <w:color w:val="000000" w:themeColor="text1"/>
        </w:rPr>
        <w:t>.</w:t>
      </w:r>
    </w:p>
    <w:p w:rsidR="00566150" w:rsidP="00566150" w:rsidRDefault="00566150" w14:paraId="4871FD51" w14:textId="20EEAD73">
      <w:pPr>
        <w:pStyle w:val="ListParagraph"/>
        <w:widowControl w:val="0"/>
        <w:numPr>
          <w:ilvl w:val="1"/>
          <w:numId w:val="1"/>
        </w:numPr>
        <w:tabs>
          <w:tab w:val="left" w:pos="1561"/>
        </w:tabs>
        <w:spacing w:before="1" w:line="272" w:lineRule="exact"/>
        <w:rPr>
          <w:rFonts w:ascii="Calibri" w:hAnsi="Calibri" w:eastAsia="Calibri" w:cs="Calibri"/>
          <w:color w:val="000000" w:themeColor="text1"/>
        </w:rPr>
      </w:pPr>
      <w:r w:rsidRPr="4BE3042A">
        <w:rPr>
          <w:rFonts w:ascii="Calibri" w:hAnsi="Calibri" w:eastAsia="Calibri" w:cs="Calibri"/>
          <w:color w:val="000000" w:themeColor="text1"/>
        </w:rPr>
        <w:t>Pro forma five-year financial forecast</w:t>
      </w:r>
      <w:r w:rsidR="00461240">
        <w:rPr>
          <w:rFonts w:ascii="Calibri" w:hAnsi="Calibri" w:eastAsia="Calibri" w:cs="Calibri"/>
          <w:color w:val="000000" w:themeColor="text1"/>
        </w:rPr>
        <w:t>.</w:t>
      </w:r>
    </w:p>
    <w:p w:rsidR="00566150" w:rsidP="00566150" w:rsidRDefault="00566150" w14:paraId="580FF40D" w14:textId="5F72E979">
      <w:pPr>
        <w:pStyle w:val="ListParagraph"/>
        <w:widowControl w:val="0"/>
        <w:numPr>
          <w:ilvl w:val="1"/>
          <w:numId w:val="1"/>
        </w:numPr>
        <w:tabs>
          <w:tab w:val="left" w:pos="1561"/>
        </w:tabs>
        <w:spacing w:line="272" w:lineRule="exact"/>
        <w:rPr>
          <w:rFonts w:ascii="Calibri" w:hAnsi="Calibri" w:eastAsia="Calibri" w:cs="Calibri"/>
          <w:color w:val="000000" w:themeColor="text1"/>
        </w:rPr>
      </w:pPr>
      <w:r w:rsidRPr="4BE3042A">
        <w:rPr>
          <w:rFonts w:ascii="Calibri" w:hAnsi="Calibri" w:eastAsia="Calibri" w:cs="Calibri"/>
          <w:color w:val="000000" w:themeColor="text1"/>
        </w:rPr>
        <w:t>Schedule of all outstanding and planned debt</w:t>
      </w:r>
      <w:r w:rsidR="00461240">
        <w:rPr>
          <w:rFonts w:ascii="Calibri" w:hAnsi="Calibri" w:eastAsia="Calibri" w:cs="Calibri"/>
          <w:color w:val="000000" w:themeColor="text1"/>
        </w:rPr>
        <w:t>.</w:t>
      </w:r>
    </w:p>
    <w:p w:rsidR="00566150" w:rsidP="00566150" w:rsidRDefault="00566150" w14:paraId="77127893" w14:textId="1A44D24D">
      <w:pPr>
        <w:pStyle w:val="ListParagraph"/>
        <w:widowControl w:val="0"/>
        <w:numPr>
          <w:ilvl w:val="1"/>
          <w:numId w:val="1"/>
        </w:numPr>
        <w:tabs>
          <w:tab w:val="left" w:pos="1561"/>
        </w:tabs>
        <w:spacing w:line="268" w:lineRule="exact"/>
        <w:rPr>
          <w:rFonts w:ascii="Calibri" w:hAnsi="Calibri" w:eastAsia="Calibri" w:cs="Calibri"/>
          <w:color w:val="000000" w:themeColor="text1"/>
        </w:rPr>
      </w:pPr>
      <w:r w:rsidRPr="4BE3042A">
        <w:rPr>
          <w:rFonts w:ascii="Calibri" w:hAnsi="Calibri" w:eastAsia="Calibri" w:cs="Calibri"/>
          <w:color w:val="000000" w:themeColor="text1"/>
        </w:rPr>
        <w:t>Collateral documentation</w:t>
      </w:r>
      <w:r w:rsidR="00461240">
        <w:rPr>
          <w:rFonts w:ascii="Calibri" w:hAnsi="Calibri" w:eastAsia="Calibri" w:cs="Calibri"/>
          <w:color w:val="000000" w:themeColor="text1"/>
        </w:rPr>
        <w:t>.</w:t>
      </w:r>
    </w:p>
    <w:p w:rsidR="00566150" w:rsidP="00566150" w:rsidRDefault="00566150" w14:paraId="1AA8A826" w14:textId="1E94008C">
      <w:pPr>
        <w:pStyle w:val="ListParagraph"/>
        <w:widowControl w:val="0"/>
        <w:numPr>
          <w:ilvl w:val="2"/>
          <w:numId w:val="1"/>
        </w:numPr>
        <w:tabs>
          <w:tab w:val="left" w:pos="1560"/>
        </w:tabs>
        <w:spacing w:line="272" w:lineRule="exact"/>
        <w:rPr>
          <w:rFonts w:ascii="Calibri" w:hAnsi="Calibri" w:eastAsia="Calibri" w:cs="Calibri"/>
          <w:color w:val="000000" w:themeColor="text1"/>
        </w:rPr>
      </w:pPr>
      <w:r w:rsidRPr="4BE3042A">
        <w:rPr>
          <w:rFonts w:ascii="Calibri" w:hAnsi="Calibri" w:eastAsia="Calibri" w:cs="Calibri"/>
          <w:color w:val="000000" w:themeColor="text1"/>
        </w:rPr>
        <w:t>Indicate status of sources and uses of funding</w:t>
      </w:r>
      <w:r w:rsidR="00461240">
        <w:rPr>
          <w:rFonts w:ascii="Calibri" w:hAnsi="Calibri" w:eastAsia="Calibri" w:cs="Calibri"/>
          <w:color w:val="000000" w:themeColor="text1"/>
        </w:rPr>
        <w:t>.</w:t>
      </w:r>
    </w:p>
    <w:p w:rsidR="00566150" w:rsidP="00566150" w:rsidRDefault="00566150" w14:paraId="53478050" w14:textId="77777777">
      <w:pPr>
        <w:pStyle w:val="ListParagraph"/>
        <w:widowControl w:val="0"/>
        <w:numPr>
          <w:ilvl w:val="1"/>
          <w:numId w:val="1"/>
        </w:numPr>
        <w:tabs>
          <w:tab w:val="left" w:pos="839"/>
          <w:tab w:val="left" w:pos="840"/>
        </w:tabs>
        <w:ind w:right="367"/>
        <w:rPr>
          <w:rFonts w:ascii="Calibri" w:hAnsi="Calibri" w:eastAsia="Calibri" w:cs="Calibri"/>
          <w:color w:val="000000" w:themeColor="text1"/>
        </w:rPr>
      </w:pPr>
      <w:r w:rsidRPr="4BE3042A">
        <w:rPr>
          <w:rFonts w:ascii="Calibri" w:hAnsi="Calibri" w:eastAsia="Calibri" w:cs="Calibri"/>
          <w:color w:val="000000" w:themeColor="text1"/>
        </w:rPr>
        <w:t>A non-binding term sheet that outlines the proposed financing deal (for an issuance that is underway but not yet complete).</w:t>
      </w:r>
    </w:p>
    <w:p w:rsidR="00566150" w:rsidP="00857B4F" w:rsidRDefault="00566150" w14:paraId="791253FA" w14:textId="612AFB8F">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14 – Project Viability</w:t>
      </w:r>
      <w:r w:rsidR="00461240">
        <w:rPr>
          <w:rFonts w:ascii="Calibri" w:hAnsi="Calibri" w:eastAsia="Calibri" w:cs="Calibri"/>
          <w:color w:val="000000" w:themeColor="text1"/>
        </w:rPr>
        <w:t>.</w:t>
      </w:r>
    </w:p>
    <w:p w:rsidR="00566150" w:rsidP="00566150" w:rsidRDefault="00566150" w14:paraId="4F2C92A2"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Pro-forma financial forecast over 5-years (specific to the broadband project)</w:t>
      </w:r>
    </w:p>
    <w:p w:rsidR="00566150" w:rsidP="00566150" w:rsidRDefault="00566150" w14:paraId="7C023195" w14:textId="42B5FF6D">
      <w:pPr>
        <w:pStyle w:val="ListParagraph"/>
        <w:widowControl w:val="0"/>
        <w:numPr>
          <w:ilvl w:val="2"/>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Income Statement</w:t>
      </w:r>
      <w:r w:rsidR="00461240">
        <w:rPr>
          <w:rFonts w:ascii="Calibri" w:hAnsi="Calibri" w:eastAsia="Calibri" w:cs="Calibri"/>
          <w:color w:val="000000" w:themeColor="text1"/>
        </w:rPr>
        <w:t>.</w:t>
      </w:r>
    </w:p>
    <w:p w:rsidR="00566150" w:rsidP="00566150" w:rsidRDefault="00566150" w14:paraId="7B350E12"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Project viability forecast to include projected revenue from customers, showing take rate, changes in subscription and service rates, estimated revenue per customer, and minimum revenue per customer to cover debt service payments.</w:t>
      </w:r>
    </w:p>
    <w:p w:rsidR="00566150" w:rsidP="00857B4F" w:rsidRDefault="00566150" w14:paraId="3D69CCF0" w14:textId="5F2B41ED">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15 – Providing Voice Service (If applicable)</w:t>
      </w:r>
      <w:r w:rsidR="00461240">
        <w:rPr>
          <w:rFonts w:ascii="Calibri" w:hAnsi="Calibri" w:eastAsia="Calibri" w:cs="Calibri"/>
          <w:color w:val="000000" w:themeColor="text1"/>
        </w:rPr>
        <w:t>.</w:t>
      </w:r>
    </w:p>
    <w:p w:rsidR="00566150" w:rsidP="00566150" w:rsidRDefault="00566150" w14:paraId="1EE7EB88"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Style w:val="normaltextrun"/>
          <w:rFonts w:ascii="Calibri" w:hAnsi="Calibri" w:eastAsia="Calibri" w:cs="Calibri"/>
          <w:color w:val="000000" w:themeColor="text1"/>
          <w:lang w:val="en-ZW"/>
        </w:rPr>
        <w:t>Availability of voice service that meets California and FCC requirements for 9-1-1 service.</w:t>
      </w:r>
      <w:r w:rsidRPr="4BE3042A">
        <w:rPr>
          <w:rStyle w:val="eop"/>
          <w:rFonts w:ascii="Calibri" w:hAnsi="Calibri" w:eastAsia="Calibri" w:cs="Calibri"/>
          <w:color w:val="000000" w:themeColor="text1"/>
        </w:rPr>
        <w:t> </w:t>
      </w:r>
    </w:p>
    <w:p w:rsidR="00566150" w:rsidP="00566150" w:rsidRDefault="00566150" w14:paraId="424379CD"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Style w:val="eop"/>
          <w:rFonts w:ascii="Calibri" w:hAnsi="Calibri" w:eastAsia="Calibri" w:cs="Calibri"/>
          <w:color w:val="000000" w:themeColor="text1"/>
        </w:rPr>
        <w:t>Listing of types of services offered.</w:t>
      </w:r>
    </w:p>
    <w:p w:rsidR="00566150" w:rsidP="00566150" w:rsidRDefault="00566150" w14:paraId="31A48C8F"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Style w:val="eop"/>
          <w:rFonts w:ascii="Calibri" w:hAnsi="Calibri" w:eastAsia="Calibri" w:cs="Calibri"/>
          <w:color w:val="000000" w:themeColor="text1"/>
        </w:rPr>
        <w:t>Timeframe of offering.</w:t>
      </w:r>
    </w:p>
    <w:p w:rsidR="00566150" w:rsidP="00566150" w:rsidRDefault="00566150" w14:paraId="10B110AF" w14:textId="77777777">
      <w:pPr>
        <w:pStyle w:val="ListParagraph"/>
        <w:widowControl w:val="0"/>
        <w:numPr>
          <w:ilvl w:val="1"/>
          <w:numId w:val="1"/>
        </w:numPr>
        <w:spacing w:before="26"/>
        <w:ind w:right="415"/>
        <w:rPr>
          <w:rFonts w:ascii="Calibri" w:hAnsi="Calibri" w:eastAsia="Calibri" w:cs="Calibri"/>
          <w:color w:val="000000" w:themeColor="text1"/>
        </w:rPr>
      </w:pPr>
      <w:r w:rsidRPr="4BE3042A">
        <w:rPr>
          <w:rStyle w:val="normaltextrun"/>
          <w:rFonts w:ascii="Calibri" w:hAnsi="Calibri" w:eastAsia="Calibri" w:cs="Calibri"/>
          <w:color w:val="000000" w:themeColor="text1"/>
          <w:lang w:val="en-ZW"/>
        </w:rPr>
        <w:t>Deployment plans for applicable Federal and state requirements for battery back-up, if applicable.</w:t>
      </w:r>
      <w:r w:rsidRPr="4BE3042A">
        <w:rPr>
          <w:rStyle w:val="eop"/>
          <w:rFonts w:ascii="Calibri" w:hAnsi="Calibri" w:eastAsia="Calibri" w:cs="Calibri"/>
          <w:color w:val="000000" w:themeColor="text1"/>
        </w:rPr>
        <w:t> </w:t>
      </w:r>
    </w:p>
    <w:p w:rsidR="00566150" w:rsidP="00857B4F" w:rsidRDefault="00566150" w14:paraId="73D9CF08" w14:textId="2288E0F6">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16 – Environmental Review</w:t>
      </w:r>
      <w:r w:rsidR="00565618">
        <w:rPr>
          <w:rFonts w:ascii="Calibri" w:hAnsi="Calibri" w:eastAsia="Calibri" w:cs="Calibri"/>
          <w:color w:val="000000" w:themeColor="text1"/>
        </w:rPr>
        <w:t>.</w:t>
      </w:r>
    </w:p>
    <w:p w:rsidRPr="006639D6" w:rsidR="00566150" w:rsidP="00566150" w:rsidRDefault="004A3C72" w14:paraId="05E84E5C" w14:textId="2D9A8A03">
      <w:pPr>
        <w:pStyle w:val="ListParagraph"/>
        <w:widowControl w:val="0"/>
        <w:numPr>
          <w:ilvl w:val="1"/>
          <w:numId w:val="1"/>
        </w:numPr>
        <w:spacing w:before="26"/>
        <w:ind w:right="415"/>
        <w:rPr>
          <w:rFonts w:ascii="Calibri" w:hAnsi="Calibri" w:eastAsia="Calibri" w:cs="Calibri"/>
          <w:color w:val="000000" w:themeColor="text1"/>
        </w:rPr>
      </w:pPr>
      <w:r w:rsidRPr="00857B4F">
        <w:rPr>
          <w:rFonts w:ascii="Calibri" w:hAnsi="Calibri" w:eastAsia="Calibri" w:cs="Calibri"/>
          <w:color w:val="000000" w:themeColor="text1"/>
        </w:rPr>
        <w:t>Applicant must</w:t>
      </w:r>
      <w:r w:rsidR="009228EF">
        <w:rPr>
          <w:rFonts w:ascii="Calibri" w:hAnsi="Calibri" w:eastAsia="Calibri" w:cs="Calibri"/>
          <w:color w:val="000000" w:themeColor="text1"/>
        </w:rPr>
        <w:t xml:space="preserve"> </w:t>
      </w:r>
      <w:r w:rsidR="00AB45E0">
        <w:rPr>
          <w:rFonts w:ascii="Calibri" w:hAnsi="Calibri" w:eastAsia="Calibri" w:cs="Calibri"/>
          <w:color w:val="000000" w:themeColor="text1"/>
        </w:rPr>
        <w:t>provide information about their project of demonstrating how CEQA compliance is to be obtained.</w:t>
      </w:r>
      <w:r w:rsidR="00EC0D20">
        <w:rPr>
          <w:rFonts w:ascii="Calibri" w:hAnsi="Calibri" w:eastAsia="Calibri" w:cs="Calibri"/>
          <w:color w:val="000000" w:themeColor="text1"/>
        </w:rPr>
        <w:t xml:space="preserve"> The applicant shall attest</w:t>
      </w:r>
      <w:r w:rsidR="001423FF">
        <w:rPr>
          <w:rFonts w:ascii="Calibri" w:hAnsi="Calibri" w:eastAsia="Calibri" w:cs="Calibri"/>
          <w:color w:val="000000" w:themeColor="text1"/>
        </w:rPr>
        <w:t xml:space="preserve"> that they have contacted the CPUC’s Energy Divi</w:t>
      </w:r>
      <w:r w:rsidR="001F424F">
        <w:rPr>
          <w:rFonts w:ascii="Calibri" w:hAnsi="Calibri" w:eastAsia="Calibri" w:cs="Calibri"/>
          <w:color w:val="000000" w:themeColor="text1"/>
        </w:rPr>
        <w:t xml:space="preserve">sion CEQA section in advance of the filing and have consulted with CEQA Staff regarding the process of developing and filing a </w:t>
      </w:r>
      <w:r w:rsidR="003B2C99">
        <w:rPr>
          <w:rFonts w:ascii="Calibri" w:hAnsi="Calibri" w:eastAsia="Calibri" w:cs="Calibri"/>
          <w:color w:val="000000" w:themeColor="text1"/>
        </w:rPr>
        <w:t>P</w:t>
      </w:r>
      <w:r w:rsidR="00F04206">
        <w:rPr>
          <w:rFonts w:ascii="Calibri" w:hAnsi="Calibri" w:eastAsia="Calibri" w:cs="Calibri"/>
          <w:color w:val="000000" w:themeColor="text1"/>
        </w:rPr>
        <w:t>r</w:t>
      </w:r>
      <w:r w:rsidR="003B2C99">
        <w:rPr>
          <w:rFonts w:ascii="Calibri" w:hAnsi="Calibri" w:eastAsia="Calibri" w:cs="Calibri"/>
          <w:color w:val="000000" w:themeColor="text1"/>
        </w:rPr>
        <w:t>o</w:t>
      </w:r>
      <w:r w:rsidR="005F2E50">
        <w:rPr>
          <w:rFonts w:ascii="Calibri" w:hAnsi="Calibri" w:eastAsia="Calibri" w:cs="Calibri"/>
          <w:color w:val="000000" w:themeColor="text1"/>
        </w:rPr>
        <w:t xml:space="preserve">ponent’s Environmental Assessment (PEA) or other CEQA documents are </w:t>
      </w:r>
      <w:r w:rsidR="005009AD">
        <w:rPr>
          <w:rFonts w:ascii="Calibri" w:hAnsi="Calibri" w:eastAsia="Calibri" w:cs="Calibri"/>
          <w:color w:val="000000" w:themeColor="text1"/>
        </w:rPr>
        <w:t>aware of their respon</w:t>
      </w:r>
      <w:r w:rsidR="008871F2">
        <w:rPr>
          <w:rFonts w:ascii="Calibri" w:hAnsi="Calibri" w:eastAsia="Calibri" w:cs="Calibri"/>
          <w:color w:val="000000" w:themeColor="text1"/>
        </w:rPr>
        <w:t xml:space="preserve">sibilities if their </w:t>
      </w:r>
      <w:r w:rsidR="00BF3A7D">
        <w:rPr>
          <w:rFonts w:ascii="Calibri" w:hAnsi="Calibri" w:eastAsia="Calibri" w:cs="Calibri"/>
          <w:color w:val="000000" w:themeColor="text1"/>
        </w:rPr>
        <w:t>proposed project is not exempt from CEQA.</w:t>
      </w:r>
      <w:r w:rsidR="008C664F">
        <w:rPr>
          <w:rStyle w:val="FootnoteReference"/>
          <w:rFonts w:ascii="Calibri" w:hAnsi="Calibri" w:eastAsia="Calibri" w:cs="Calibri"/>
          <w:color w:val="000000" w:themeColor="text1"/>
        </w:rPr>
        <w:footnoteReference w:id="24"/>
      </w:r>
      <w:r w:rsidR="009228EF">
        <w:rPr>
          <w:rFonts w:ascii="Calibri" w:hAnsi="Calibri" w:eastAsia="Calibri" w:cs="Calibri"/>
          <w:color w:val="000000" w:themeColor="text1"/>
        </w:rPr>
        <w:t xml:space="preserve"> </w:t>
      </w:r>
      <w:r w:rsidRPr="00857B4F">
        <w:rPr>
          <w:rFonts w:ascii="Calibri" w:hAnsi="Calibri" w:eastAsia="Calibri" w:cs="Calibri"/>
          <w:color w:val="000000" w:themeColor="text1"/>
        </w:rPr>
        <w:t xml:space="preserve"> </w:t>
      </w:r>
    </w:p>
    <w:p w:rsidR="00566150" w:rsidP="00857B4F" w:rsidRDefault="00566150" w14:paraId="3C12DAFE" w14:textId="121820E0">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17 – Application Checklist</w:t>
      </w:r>
      <w:r w:rsidR="00604097">
        <w:rPr>
          <w:rFonts w:ascii="Calibri" w:hAnsi="Calibri" w:eastAsia="Calibri" w:cs="Calibri"/>
          <w:color w:val="000000" w:themeColor="text1"/>
        </w:rPr>
        <w:t>.</w:t>
      </w:r>
    </w:p>
    <w:p w:rsidR="00566150" w:rsidP="00566150" w:rsidRDefault="00566150" w14:paraId="3A680543" w14:textId="1CAD6FFB">
      <w:pPr>
        <w:pStyle w:val="ListParagraph"/>
        <w:widowControl w:val="0"/>
        <w:numPr>
          <w:ilvl w:val="1"/>
          <w:numId w:val="1"/>
        </w:numPr>
        <w:spacing w:before="26"/>
        <w:ind w:right="415"/>
        <w:rPr>
          <w:rFonts w:ascii="Calibri" w:hAnsi="Calibri" w:eastAsia="Calibri" w:cs="Calibri"/>
          <w:color w:val="000000" w:themeColor="text1"/>
        </w:rPr>
      </w:pPr>
      <w:r w:rsidRPr="4BE3042A" w:rsidDel="00082BCF">
        <w:rPr>
          <w:rFonts w:ascii="Calibri" w:hAnsi="Calibri" w:eastAsia="Calibri" w:cs="Calibri"/>
          <w:color w:val="000000" w:themeColor="text1"/>
        </w:rPr>
        <w:t>Applicant</w:t>
      </w:r>
      <w:r w:rsidRPr="4BE3042A" w:rsidR="00082BCF">
        <w:rPr>
          <w:rFonts w:ascii="Calibri" w:hAnsi="Calibri" w:eastAsia="Calibri" w:cs="Calibri"/>
          <w:color w:val="000000" w:themeColor="text1"/>
        </w:rPr>
        <w:t xml:space="preserve"> </w:t>
      </w:r>
      <w:r w:rsidRPr="4BE3042A">
        <w:rPr>
          <w:rFonts w:ascii="Calibri" w:hAnsi="Calibri" w:eastAsia="Calibri" w:cs="Calibri"/>
          <w:color w:val="000000" w:themeColor="text1"/>
        </w:rPr>
        <w:t xml:space="preserve">must complete the </w:t>
      </w:r>
      <w:r w:rsidR="00860221">
        <w:rPr>
          <w:rFonts w:ascii="Calibri" w:hAnsi="Calibri" w:eastAsia="Calibri" w:cs="Calibri"/>
          <w:color w:val="000000" w:themeColor="text1"/>
        </w:rPr>
        <w:t>LLP</w:t>
      </w:r>
      <w:r w:rsidRPr="4BE3042A" w:rsidR="00860221">
        <w:rPr>
          <w:rFonts w:ascii="Calibri" w:hAnsi="Calibri" w:eastAsia="Calibri" w:cs="Calibri"/>
          <w:color w:val="000000" w:themeColor="text1"/>
        </w:rPr>
        <w:t xml:space="preserve"> </w:t>
      </w:r>
      <w:r w:rsidRPr="4BE3042A">
        <w:rPr>
          <w:rFonts w:ascii="Calibri" w:hAnsi="Calibri" w:eastAsia="Calibri" w:cs="Calibri"/>
          <w:color w:val="000000" w:themeColor="text1"/>
        </w:rPr>
        <w:t xml:space="preserve">Application Checklist form and attach it to each credit guarantee proposal. </w:t>
      </w:r>
    </w:p>
    <w:p w:rsidR="00566150" w:rsidP="00857B4F" w:rsidRDefault="00566150" w14:paraId="439E9DA7" w14:textId="1B797A57">
      <w:pPr>
        <w:pStyle w:val="ListParagraph"/>
        <w:widowControl w:val="0"/>
        <w:numPr>
          <w:ilvl w:val="0"/>
          <w:numId w:val="33"/>
        </w:numPr>
        <w:spacing w:before="26"/>
        <w:ind w:right="415"/>
        <w:rPr>
          <w:rFonts w:ascii="Calibri" w:hAnsi="Calibri" w:eastAsia="Calibri" w:cs="Calibri"/>
          <w:color w:val="000000" w:themeColor="text1"/>
        </w:rPr>
      </w:pPr>
      <w:r w:rsidRPr="4BE3042A">
        <w:rPr>
          <w:rFonts w:ascii="Calibri" w:hAnsi="Calibri" w:eastAsia="Calibri" w:cs="Calibri"/>
          <w:color w:val="000000" w:themeColor="text1"/>
        </w:rPr>
        <w:t>Application Item 18 – Affidavit</w:t>
      </w:r>
      <w:r w:rsidR="00604097">
        <w:rPr>
          <w:rFonts w:ascii="Calibri" w:hAnsi="Calibri" w:eastAsia="Calibri" w:cs="Calibri"/>
          <w:color w:val="000000" w:themeColor="text1"/>
        </w:rPr>
        <w:t>.</w:t>
      </w:r>
    </w:p>
    <w:p w:rsidR="00566150" w:rsidP="00566150" w:rsidRDefault="00566150" w14:paraId="3712DFFE" w14:textId="5E2C52F8">
      <w:pPr>
        <w:pStyle w:val="ListParagraph"/>
        <w:widowControl w:val="0"/>
        <w:numPr>
          <w:ilvl w:val="1"/>
          <w:numId w:val="1"/>
        </w:numPr>
        <w:rPr>
          <w:rFonts w:ascii="Calibri" w:hAnsi="Calibri" w:eastAsia="Calibri" w:cs="Calibri"/>
          <w:color w:val="000000" w:themeColor="text1"/>
        </w:rPr>
      </w:pPr>
      <w:r w:rsidRPr="4BE3042A" w:rsidDel="00082BCF">
        <w:rPr>
          <w:rFonts w:ascii="Calibri" w:hAnsi="Calibri" w:eastAsia="Calibri" w:cs="Calibri"/>
          <w:color w:val="000000" w:themeColor="text1"/>
        </w:rPr>
        <w:t>Applicant</w:t>
      </w:r>
      <w:r w:rsidRPr="4BE3042A" w:rsidR="00082BCF">
        <w:rPr>
          <w:rFonts w:ascii="Calibri" w:hAnsi="Calibri" w:eastAsia="Calibri" w:cs="Calibri"/>
          <w:color w:val="000000" w:themeColor="text1"/>
        </w:rPr>
        <w:t xml:space="preserve"> </w:t>
      </w:r>
      <w:r w:rsidRPr="4BE3042A">
        <w:rPr>
          <w:rFonts w:ascii="Calibri" w:hAnsi="Calibri" w:eastAsia="Calibri" w:cs="Calibri"/>
          <w:color w:val="000000" w:themeColor="text1"/>
        </w:rPr>
        <w:t>provides affidavit attesting that all information provided in their application is true and correct.</w:t>
      </w:r>
    </w:p>
    <w:p w:rsidR="00566150" w:rsidP="00857B4F" w:rsidRDefault="00566150" w14:paraId="6A27E252" w14:textId="72F7A82F">
      <w:pPr>
        <w:pStyle w:val="ListParagraph"/>
        <w:widowControl w:val="0"/>
        <w:numPr>
          <w:ilvl w:val="0"/>
          <w:numId w:val="33"/>
        </w:numPr>
        <w:rPr>
          <w:rFonts w:ascii="Calibri" w:hAnsi="Calibri" w:eastAsia="Calibri" w:cs="Calibri"/>
          <w:color w:val="000000" w:themeColor="text1"/>
        </w:rPr>
      </w:pPr>
      <w:r w:rsidRPr="4BE3042A">
        <w:rPr>
          <w:rFonts w:ascii="Calibri" w:hAnsi="Calibri" w:eastAsia="Calibri" w:cs="Calibri"/>
          <w:color w:val="000000" w:themeColor="text1"/>
        </w:rPr>
        <w:t>Application Item 19 –</w:t>
      </w:r>
      <w:r w:rsidR="00FD0E55">
        <w:rPr>
          <w:rFonts w:ascii="Calibri" w:hAnsi="Calibri" w:eastAsia="Calibri" w:cs="Calibri"/>
          <w:color w:val="000000" w:themeColor="text1"/>
        </w:rPr>
        <w:t xml:space="preserve"> Eligible Debt</w:t>
      </w:r>
      <w:r w:rsidRPr="4BE3042A">
        <w:rPr>
          <w:rFonts w:ascii="Calibri" w:hAnsi="Calibri" w:eastAsia="Calibri" w:cs="Calibri"/>
          <w:color w:val="000000" w:themeColor="text1"/>
        </w:rPr>
        <w:t xml:space="preserve"> Terms</w:t>
      </w:r>
      <w:r w:rsidR="00604097">
        <w:rPr>
          <w:rFonts w:ascii="Calibri" w:hAnsi="Calibri" w:eastAsia="Calibri" w:cs="Calibri"/>
          <w:color w:val="000000" w:themeColor="text1"/>
        </w:rPr>
        <w:t>.</w:t>
      </w:r>
    </w:p>
    <w:p w:rsidR="00566150" w:rsidP="00566150" w:rsidRDefault="007607FF" w14:paraId="172255D5" w14:textId="48763A1D">
      <w:pPr>
        <w:pStyle w:val="ListParagraph"/>
        <w:widowControl w:val="0"/>
        <w:numPr>
          <w:ilvl w:val="1"/>
          <w:numId w:val="1"/>
        </w:numPr>
        <w:tabs>
          <w:tab w:val="left" w:pos="1560"/>
        </w:tabs>
        <w:spacing w:before="14"/>
        <w:rPr>
          <w:rFonts w:ascii="Calibri" w:hAnsi="Calibri" w:eastAsia="Calibri" w:cs="Calibri"/>
          <w:color w:val="000000" w:themeColor="text1"/>
        </w:rPr>
      </w:pPr>
      <w:r>
        <w:rPr>
          <w:rFonts w:ascii="Calibri" w:hAnsi="Calibri" w:eastAsia="Calibri" w:cs="Calibri"/>
          <w:color w:val="000000" w:themeColor="text1"/>
        </w:rPr>
        <w:t xml:space="preserve">Preliminary </w:t>
      </w:r>
      <w:r w:rsidR="00D7329C">
        <w:rPr>
          <w:rFonts w:ascii="Calibri" w:hAnsi="Calibri" w:eastAsia="Calibri" w:cs="Calibri"/>
          <w:color w:val="000000" w:themeColor="text1"/>
        </w:rPr>
        <w:t>debt service</w:t>
      </w:r>
      <w:r w:rsidRPr="4BE3042A" w:rsidR="00566150">
        <w:rPr>
          <w:rFonts w:ascii="Calibri" w:hAnsi="Calibri" w:eastAsia="Calibri" w:cs="Calibri"/>
          <w:color w:val="000000" w:themeColor="text1"/>
        </w:rPr>
        <w:t xml:space="preserve"> schedule,</w:t>
      </w:r>
      <w:r w:rsidR="00D7329C">
        <w:rPr>
          <w:rFonts w:ascii="Calibri" w:hAnsi="Calibri" w:eastAsia="Calibri" w:cs="Calibri"/>
          <w:color w:val="000000" w:themeColor="text1"/>
        </w:rPr>
        <w:t xml:space="preserve"> estimated</w:t>
      </w:r>
      <w:r w:rsidRPr="4BE3042A" w:rsidR="00566150">
        <w:rPr>
          <w:rFonts w:ascii="Calibri" w:hAnsi="Calibri" w:eastAsia="Calibri" w:cs="Calibri"/>
          <w:color w:val="000000" w:themeColor="text1"/>
        </w:rPr>
        <w:t xml:space="preserve"> coupon rate,</w:t>
      </w:r>
      <w:r w:rsidR="00D7329C">
        <w:rPr>
          <w:rFonts w:ascii="Calibri" w:hAnsi="Calibri" w:eastAsia="Calibri" w:cs="Calibri"/>
          <w:color w:val="000000" w:themeColor="text1"/>
        </w:rPr>
        <w:t xml:space="preserve"> </w:t>
      </w:r>
      <w:r w:rsidR="0088641F">
        <w:rPr>
          <w:rFonts w:ascii="Calibri" w:hAnsi="Calibri" w:eastAsia="Calibri" w:cs="Calibri"/>
          <w:color w:val="000000" w:themeColor="text1"/>
        </w:rPr>
        <w:t>including anticipated</w:t>
      </w:r>
      <w:r w:rsidRPr="4BE3042A" w:rsidR="00566150">
        <w:rPr>
          <w:rFonts w:ascii="Calibri" w:hAnsi="Calibri" w:eastAsia="Calibri" w:cs="Calibri"/>
          <w:color w:val="000000" w:themeColor="text1"/>
        </w:rPr>
        <w:t xml:space="preserve"> coupon dates, and maturity date</w:t>
      </w:r>
      <w:r w:rsidR="00F56F64">
        <w:rPr>
          <w:rFonts w:ascii="Calibri" w:hAnsi="Calibri" w:eastAsia="Calibri" w:cs="Calibri"/>
          <w:color w:val="000000" w:themeColor="text1"/>
        </w:rPr>
        <w:t>, if any</w:t>
      </w:r>
      <w:r w:rsidRPr="4BE3042A" w:rsidR="00566150">
        <w:rPr>
          <w:rFonts w:ascii="Calibri" w:hAnsi="Calibri" w:eastAsia="Calibri" w:cs="Calibri"/>
          <w:color w:val="000000" w:themeColor="text1"/>
        </w:rPr>
        <w:t>.</w:t>
      </w:r>
    </w:p>
    <w:p w:rsidR="00566150" w:rsidP="00566150" w:rsidRDefault="00566150" w14:paraId="1B439164" w14:textId="77777777">
      <w:pPr>
        <w:pStyle w:val="ListParagraph"/>
        <w:widowControl w:val="0"/>
        <w:numPr>
          <w:ilvl w:val="1"/>
          <w:numId w:val="1"/>
        </w:numPr>
        <w:rPr>
          <w:rFonts w:ascii="Calibri" w:hAnsi="Calibri" w:eastAsia="Calibri" w:cs="Calibri"/>
          <w:color w:val="000000" w:themeColor="text1"/>
        </w:rPr>
      </w:pPr>
      <w:r w:rsidRPr="4BE3042A">
        <w:rPr>
          <w:rFonts w:ascii="Calibri" w:hAnsi="Calibri" w:eastAsia="Calibri" w:cs="Calibri"/>
          <w:color w:val="000000" w:themeColor="text1"/>
        </w:rPr>
        <w:t>Other relevant security details.</w:t>
      </w:r>
    </w:p>
    <w:p w:rsidR="00566150" w:rsidP="00566150" w:rsidRDefault="00566150" w14:paraId="0A2D67F9" w14:textId="11610F39">
      <w:pPr>
        <w:pStyle w:val="ListParagraph"/>
        <w:widowControl w:val="0"/>
        <w:numPr>
          <w:ilvl w:val="1"/>
          <w:numId w:val="1"/>
        </w:numPr>
        <w:tabs>
          <w:tab w:val="left" w:pos="1560"/>
        </w:tabs>
        <w:spacing w:before="15"/>
        <w:rPr>
          <w:rFonts w:ascii="Calibri" w:hAnsi="Calibri" w:eastAsia="Calibri" w:cs="Calibri"/>
          <w:color w:val="000000" w:themeColor="text1"/>
        </w:rPr>
      </w:pPr>
      <w:r w:rsidRPr="4BE3042A">
        <w:rPr>
          <w:rFonts w:ascii="Calibri" w:hAnsi="Calibri" w:eastAsia="Calibri" w:cs="Calibri"/>
          <w:color w:val="000000" w:themeColor="text1"/>
        </w:rPr>
        <w:t>Details of additional bonds test</w:t>
      </w:r>
      <w:r w:rsidR="00F56F64">
        <w:rPr>
          <w:rFonts w:ascii="Calibri" w:hAnsi="Calibri" w:eastAsia="Calibri" w:cs="Calibri"/>
          <w:color w:val="000000" w:themeColor="text1"/>
        </w:rPr>
        <w:t>, if any</w:t>
      </w:r>
      <w:r w:rsidR="00604097">
        <w:rPr>
          <w:rFonts w:ascii="Calibri" w:hAnsi="Calibri" w:eastAsia="Calibri" w:cs="Calibri"/>
          <w:color w:val="000000" w:themeColor="text1"/>
        </w:rPr>
        <w:t>.</w:t>
      </w:r>
    </w:p>
    <w:p w:rsidR="00566150" w:rsidP="00566150" w:rsidRDefault="00566150" w14:paraId="0AFA693E" w14:textId="4FF61B93">
      <w:pPr>
        <w:pStyle w:val="ListParagraph"/>
        <w:widowControl w:val="0"/>
        <w:numPr>
          <w:ilvl w:val="1"/>
          <w:numId w:val="1"/>
        </w:numPr>
        <w:tabs>
          <w:tab w:val="left" w:pos="1560"/>
        </w:tabs>
        <w:spacing w:before="22"/>
        <w:rPr>
          <w:rFonts w:ascii="Calibri" w:hAnsi="Calibri" w:eastAsia="Calibri" w:cs="Calibri"/>
          <w:color w:val="000000" w:themeColor="text1"/>
        </w:rPr>
      </w:pPr>
      <w:r w:rsidRPr="4BE3042A">
        <w:rPr>
          <w:rFonts w:ascii="Calibri" w:hAnsi="Calibri" w:eastAsia="Calibri" w:cs="Calibri"/>
          <w:color w:val="000000" w:themeColor="text1"/>
        </w:rPr>
        <w:t>Other outstanding debt</w:t>
      </w:r>
      <w:r w:rsidR="00604097">
        <w:rPr>
          <w:rFonts w:ascii="Calibri" w:hAnsi="Calibri" w:eastAsia="Calibri" w:cs="Calibri"/>
          <w:color w:val="000000" w:themeColor="text1"/>
        </w:rPr>
        <w:t>.</w:t>
      </w:r>
    </w:p>
    <w:p w:rsidR="00566150" w:rsidP="00566150" w:rsidRDefault="00566150" w14:paraId="43A42253" w14:textId="5BB617B6">
      <w:pPr>
        <w:pStyle w:val="ListParagraph"/>
        <w:widowControl w:val="0"/>
        <w:numPr>
          <w:ilvl w:val="2"/>
          <w:numId w:val="1"/>
        </w:numPr>
        <w:tabs>
          <w:tab w:val="left" w:pos="2279"/>
          <w:tab w:val="left" w:pos="2281"/>
        </w:tabs>
        <w:spacing w:before="14"/>
        <w:rPr>
          <w:rFonts w:ascii="Calibri" w:hAnsi="Calibri" w:eastAsia="Calibri" w:cs="Calibri"/>
          <w:color w:val="000000" w:themeColor="text1"/>
        </w:rPr>
      </w:pPr>
      <w:r w:rsidRPr="4BE3042A">
        <w:rPr>
          <w:rFonts w:ascii="Calibri" w:hAnsi="Calibri" w:eastAsia="Calibri" w:cs="Calibri"/>
          <w:color w:val="000000" w:themeColor="text1"/>
        </w:rPr>
        <w:t xml:space="preserve">Bonds issued under separate indentures or agreements by the </w:t>
      </w:r>
      <w:r w:rsidRPr="4BE3042A" w:rsidDel="00082BCF">
        <w:rPr>
          <w:rFonts w:ascii="Calibri" w:hAnsi="Calibri" w:eastAsia="Calibri" w:cs="Calibri"/>
          <w:color w:val="000000" w:themeColor="text1"/>
        </w:rPr>
        <w:t xml:space="preserve">applicant </w:t>
      </w:r>
      <w:r w:rsidRPr="4BE3042A">
        <w:rPr>
          <w:rFonts w:ascii="Calibri" w:hAnsi="Calibri" w:eastAsia="Calibri" w:cs="Calibri"/>
          <w:color w:val="000000" w:themeColor="text1"/>
        </w:rPr>
        <w:t>which rely on the same broadband revenue source.</w:t>
      </w:r>
    </w:p>
    <w:p w:rsidR="00566150" w:rsidP="00566150" w:rsidRDefault="00566150" w14:paraId="0AC5A9D7" w14:textId="3443C298">
      <w:pPr>
        <w:pStyle w:val="ListParagraph"/>
        <w:widowControl w:val="0"/>
        <w:numPr>
          <w:ilvl w:val="1"/>
          <w:numId w:val="1"/>
        </w:numPr>
        <w:tabs>
          <w:tab w:val="left" w:pos="1560"/>
        </w:tabs>
        <w:spacing w:before="22"/>
        <w:rPr>
          <w:rFonts w:ascii="Calibri" w:hAnsi="Calibri" w:eastAsia="Calibri" w:cs="Calibri"/>
          <w:color w:val="000000" w:themeColor="text1"/>
        </w:rPr>
      </w:pPr>
      <w:r w:rsidRPr="4BE3042A">
        <w:rPr>
          <w:rFonts w:ascii="Calibri" w:hAnsi="Calibri" w:eastAsia="Calibri" w:cs="Calibri"/>
          <w:color w:val="000000" w:themeColor="text1"/>
        </w:rPr>
        <w:t>Proposed debt service reserve for bonds</w:t>
      </w:r>
      <w:r w:rsidR="00604097">
        <w:rPr>
          <w:rFonts w:ascii="Calibri" w:hAnsi="Calibri" w:eastAsia="Calibri" w:cs="Calibri"/>
          <w:color w:val="000000" w:themeColor="text1"/>
        </w:rPr>
        <w:t>.</w:t>
      </w:r>
    </w:p>
    <w:p w:rsidR="00566150" w:rsidP="00566150" w:rsidRDefault="00566150" w14:paraId="5C114EDB" w14:textId="77777777">
      <w:pPr>
        <w:pStyle w:val="ListParagraph"/>
        <w:widowControl w:val="0"/>
        <w:numPr>
          <w:ilvl w:val="2"/>
          <w:numId w:val="1"/>
        </w:numPr>
        <w:tabs>
          <w:tab w:val="left" w:pos="2279"/>
          <w:tab w:val="left" w:pos="2281"/>
        </w:tabs>
        <w:spacing w:before="13"/>
        <w:ind w:right="511"/>
        <w:rPr>
          <w:rFonts w:ascii="Calibri" w:hAnsi="Calibri" w:eastAsia="Calibri" w:cs="Calibri"/>
          <w:color w:val="000000" w:themeColor="text1"/>
        </w:rPr>
      </w:pPr>
      <w:r w:rsidRPr="4BE3042A">
        <w:rPr>
          <w:rFonts w:ascii="Calibri" w:hAnsi="Calibri" w:eastAsia="Calibri" w:cs="Calibri"/>
          <w:color w:val="000000" w:themeColor="text1"/>
        </w:rPr>
        <w:t>An account that holds the maximum annual debt service for the bond issuance stated in the application.</w:t>
      </w:r>
    </w:p>
    <w:p w:rsidR="00566150" w:rsidP="00566150" w:rsidRDefault="00566150" w14:paraId="1F0B18C7" w14:textId="1BDB366A">
      <w:pPr>
        <w:pStyle w:val="ListParagraph"/>
        <w:widowControl w:val="0"/>
        <w:numPr>
          <w:ilvl w:val="1"/>
          <w:numId w:val="1"/>
        </w:numPr>
        <w:tabs>
          <w:tab w:val="left" w:pos="1560"/>
        </w:tabs>
        <w:spacing w:before="15"/>
        <w:rPr>
          <w:rFonts w:ascii="Calibri" w:hAnsi="Calibri" w:eastAsia="Calibri" w:cs="Calibri"/>
          <w:color w:val="000000" w:themeColor="text1"/>
        </w:rPr>
      </w:pPr>
      <w:r w:rsidRPr="4BE3042A">
        <w:rPr>
          <w:rFonts w:ascii="Calibri" w:hAnsi="Calibri" w:eastAsia="Calibri" w:cs="Calibri"/>
          <w:color w:val="000000" w:themeColor="text1"/>
        </w:rPr>
        <w:t>Debt service schedule for financing, security, and sources of payment</w:t>
      </w:r>
      <w:r w:rsidR="00604097">
        <w:rPr>
          <w:rFonts w:ascii="Calibri" w:hAnsi="Calibri" w:eastAsia="Calibri" w:cs="Calibri"/>
          <w:color w:val="000000" w:themeColor="text1"/>
        </w:rPr>
        <w:t>.</w:t>
      </w:r>
    </w:p>
    <w:p w:rsidR="00566150" w:rsidP="00566150" w:rsidRDefault="00566150" w14:paraId="07C24F61" w14:textId="444FBCDB">
      <w:pPr>
        <w:pStyle w:val="ListParagraph"/>
        <w:widowControl w:val="0"/>
        <w:numPr>
          <w:ilvl w:val="1"/>
          <w:numId w:val="1"/>
        </w:numPr>
        <w:tabs>
          <w:tab w:val="left" w:pos="1560"/>
        </w:tabs>
        <w:spacing w:before="14"/>
        <w:rPr>
          <w:rFonts w:ascii="Calibri" w:hAnsi="Calibri" w:eastAsia="Calibri" w:cs="Calibri"/>
          <w:color w:val="000000" w:themeColor="text1"/>
        </w:rPr>
      </w:pPr>
      <w:r w:rsidRPr="4BE3042A">
        <w:rPr>
          <w:rFonts w:ascii="Calibri" w:hAnsi="Calibri" w:eastAsia="Calibri" w:cs="Calibri"/>
          <w:color w:val="000000" w:themeColor="text1"/>
        </w:rPr>
        <w:t>Flow of Funds</w:t>
      </w:r>
      <w:r w:rsidR="00604097">
        <w:rPr>
          <w:rFonts w:ascii="Calibri" w:hAnsi="Calibri" w:eastAsia="Calibri" w:cs="Calibri"/>
          <w:color w:val="000000" w:themeColor="text1"/>
        </w:rPr>
        <w:t>.</w:t>
      </w:r>
    </w:p>
    <w:p w:rsidR="00BA4AB2" w:rsidP="00566150" w:rsidRDefault="00BA4AB2" w14:paraId="3D379DFF" w14:textId="44ADB052">
      <w:pPr>
        <w:pStyle w:val="ListParagraph"/>
        <w:widowControl w:val="0"/>
        <w:numPr>
          <w:ilvl w:val="1"/>
          <w:numId w:val="1"/>
        </w:numPr>
        <w:tabs>
          <w:tab w:val="left" w:pos="1560"/>
        </w:tabs>
        <w:spacing w:before="14"/>
        <w:rPr>
          <w:rFonts w:ascii="Calibri" w:hAnsi="Calibri" w:eastAsia="Calibri" w:cs="Calibri"/>
          <w:color w:val="000000" w:themeColor="text1"/>
        </w:rPr>
      </w:pPr>
      <w:r>
        <w:rPr>
          <w:rFonts w:ascii="Calibri" w:hAnsi="Calibri" w:eastAsia="Calibri" w:cs="Calibri"/>
          <w:color w:val="000000" w:themeColor="text1"/>
        </w:rPr>
        <w:t xml:space="preserve">An opinion from a registered Independent Municipal Advisor estimating the bond interest rate with and without the requested </w:t>
      </w:r>
      <w:r w:rsidR="00AC1D72">
        <w:rPr>
          <w:rFonts w:ascii="Calibri" w:hAnsi="Calibri" w:eastAsia="Calibri" w:cs="Calibri"/>
          <w:color w:val="000000" w:themeColor="text1"/>
        </w:rPr>
        <w:t xml:space="preserve">LLP </w:t>
      </w:r>
      <w:r>
        <w:rPr>
          <w:rFonts w:ascii="Calibri" w:hAnsi="Calibri" w:eastAsia="Calibri" w:cs="Calibri"/>
          <w:color w:val="000000" w:themeColor="text1"/>
        </w:rPr>
        <w:t>guarantee.</w:t>
      </w:r>
    </w:p>
    <w:p w:rsidR="00566150" w:rsidP="00566150" w:rsidRDefault="00566150" w14:paraId="7E8FB1DA" w14:textId="5D8CA1E6">
      <w:pPr>
        <w:pStyle w:val="ListParagraph"/>
        <w:widowControl w:val="0"/>
        <w:numPr>
          <w:ilvl w:val="1"/>
          <w:numId w:val="1"/>
        </w:numPr>
        <w:tabs>
          <w:tab w:val="left" w:pos="839"/>
          <w:tab w:val="left" w:pos="840"/>
        </w:tabs>
        <w:spacing w:line="279" w:lineRule="exact"/>
        <w:rPr>
          <w:rFonts w:ascii="Calibri" w:hAnsi="Calibri" w:eastAsia="Calibri" w:cs="Calibri"/>
          <w:color w:val="000000" w:themeColor="text1"/>
        </w:rPr>
      </w:pPr>
      <w:r w:rsidRPr="4BE3042A">
        <w:rPr>
          <w:rFonts w:ascii="Calibri" w:hAnsi="Calibri" w:eastAsia="Calibri" w:cs="Calibri"/>
          <w:color w:val="000000" w:themeColor="text1"/>
        </w:rPr>
        <w:t>Expected Bond Rating, if any</w:t>
      </w:r>
      <w:r w:rsidR="00604097">
        <w:rPr>
          <w:rFonts w:ascii="Calibri" w:hAnsi="Calibri" w:eastAsia="Calibri" w:cs="Calibri"/>
          <w:color w:val="000000" w:themeColor="text1"/>
        </w:rPr>
        <w:t>.</w:t>
      </w:r>
    </w:p>
    <w:p w:rsidR="00566150" w:rsidP="00566150" w:rsidRDefault="00566150" w14:paraId="69A6F818" w14:textId="0BEC3600">
      <w:pPr>
        <w:pStyle w:val="ListParagraph"/>
        <w:widowControl w:val="0"/>
        <w:numPr>
          <w:ilvl w:val="1"/>
          <w:numId w:val="1"/>
        </w:numPr>
        <w:tabs>
          <w:tab w:val="left" w:pos="839"/>
          <w:tab w:val="left" w:pos="840"/>
        </w:tabs>
        <w:spacing w:before="21"/>
        <w:rPr>
          <w:rFonts w:ascii="Calibri" w:hAnsi="Calibri" w:eastAsia="Calibri" w:cs="Calibri"/>
          <w:color w:val="000000" w:themeColor="text1"/>
        </w:rPr>
      </w:pPr>
      <w:r w:rsidRPr="4BE3042A">
        <w:rPr>
          <w:rFonts w:ascii="Calibri" w:hAnsi="Calibri" w:eastAsia="Calibri" w:cs="Calibri"/>
          <w:color w:val="000000" w:themeColor="text1"/>
        </w:rPr>
        <w:t>Municipal Advisor, if any</w:t>
      </w:r>
      <w:r w:rsidR="00604097">
        <w:rPr>
          <w:rFonts w:ascii="Calibri" w:hAnsi="Calibri" w:eastAsia="Calibri" w:cs="Calibri"/>
          <w:color w:val="000000" w:themeColor="text1"/>
        </w:rPr>
        <w:t>.</w:t>
      </w:r>
    </w:p>
    <w:p w:rsidR="00566150" w:rsidP="00566150" w:rsidRDefault="00566150" w14:paraId="4588B352" w14:textId="0703E6AC">
      <w:pPr>
        <w:pStyle w:val="ListParagraph"/>
        <w:widowControl w:val="0"/>
        <w:numPr>
          <w:ilvl w:val="1"/>
          <w:numId w:val="1"/>
        </w:numPr>
        <w:tabs>
          <w:tab w:val="left" w:pos="839"/>
          <w:tab w:val="left" w:pos="840"/>
        </w:tabs>
        <w:spacing w:before="22"/>
        <w:rPr>
          <w:rFonts w:ascii="Calibri" w:hAnsi="Calibri" w:eastAsia="Calibri" w:cs="Calibri"/>
          <w:color w:val="000000" w:themeColor="text1"/>
        </w:rPr>
      </w:pPr>
      <w:r w:rsidRPr="4BE3042A">
        <w:rPr>
          <w:rFonts w:ascii="Calibri" w:hAnsi="Calibri" w:eastAsia="Calibri" w:cs="Calibri"/>
          <w:color w:val="000000" w:themeColor="text1"/>
        </w:rPr>
        <w:t>Underwriting Team</w:t>
      </w:r>
      <w:r w:rsidR="00604097">
        <w:rPr>
          <w:rFonts w:ascii="Calibri" w:hAnsi="Calibri" w:eastAsia="Calibri" w:cs="Calibri"/>
          <w:color w:val="000000" w:themeColor="text1"/>
        </w:rPr>
        <w:t>.</w:t>
      </w:r>
    </w:p>
    <w:p w:rsidR="00566150" w:rsidP="00566150" w:rsidRDefault="00566150" w14:paraId="28541B45" w14:textId="04194BF8">
      <w:pPr>
        <w:pStyle w:val="ListParagraph"/>
        <w:widowControl w:val="0"/>
        <w:numPr>
          <w:ilvl w:val="1"/>
          <w:numId w:val="1"/>
        </w:numPr>
        <w:tabs>
          <w:tab w:val="left" w:pos="839"/>
          <w:tab w:val="left" w:pos="840"/>
        </w:tabs>
        <w:spacing w:before="14"/>
        <w:rPr>
          <w:rFonts w:ascii="Calibri" w:hAnsi="Calibri" w:eastAsia="Calibri" w:cs="Calibri"/>
          <w:color w:val="000000" w:themeColor="text1"/>
        </w:rPr>
      </w:pPr>
      <w:r w:rsidRPr="4BE3042A">
        <w:rPr>
          <w:rFonts w:ascii="Calibri" w:hAnsi="Calibri" w:eastAsia="Calibri" w:cs="Calibri"/>
          <w:color w:val="000000" w:themeColor="text1"/>
        </w:rPr>
        <w:t>Legal Matters</w:t>
      </w:r>
      <w:r w:rsidR="00604097">
        <w:rPr>
          <w:rFonts w:ascii="Calibri" w:hAnsi="Calibri" w:eastAsia="Calibri" w:cs="Calibri"/>
          <w:color w:val="000000" w:themeColor="text1"/>
        </w:rPr>
        <w:t>.</w:t>
      </w:r>
    </w:p>
    <w:p w:rsidR="00566150" w:rsidP="00566150" w:rsidRDefault="00566150" w14:paraId="3DA6EEAC" w14:textId="77F95F08">
      <w:pPr>
        <w:pStyle w:val="ListParagraph"/>
        <w:widowControl w:val="0"/>
        <w:numPr>
          <w:ilvl w:val="2"/>
          <w:numId w:val="1"/>
        </w:numPr>
        <w:tabs>
          <w:tab w:val="left" w:pos="1560"/>
        </w:tabs>
        <w:spacing w:before="22"/>
        <w:rPr>
          <w:rFonts w:ascii="Calibri" w:hAnsi="Calibri" w:eastAsia="Calibri" w:cs="Calibri"/>
          <w:color w:val="000000" w:themeColor="text1"/>
        </w:rPr>
      </w:pPr>
      <w:r w:rsidRPr="4BE3042A">
        <w:rPr>
          <w:rFonts w:ascii="Calibri" w:hAnsi="Calibri" w:eastAsia="Calibri" w:cs="Calibri"/>
          <w:color w:val="000000" w:themeColor="text1"/>
        </w:rPr>
        <w:t>Material litigation, if any</w:t>
      </w:r>
      <w:r w:rsidR="00604097">
        <w:rPr>
          <w:rFonts w:ascii="Calibri" w:hAnsi="Calibri" w:eastAsia="Calibri" w:cs="Calibri"/>
          <w:color w:val="000000" w:themeColor="text1"/>
        </w:rPr>
        <w:t>.</w:t>
      </w:r>
    </w:p>
    <w:p w:rsidR="00566150" w:rsidP="00566150" w:rsidRDefault="00566150" w14:paraId="481F16B3" w14:textId="3DBBC7CD">
      <w:pPr>
        <w:pStyle w:val="ListParagraph"/>
        <w:widowControl w:val="0"/>
        <w:numPr>
          <w:ilvl w:val="2"/>
          <w:numId w:val="1"/>
        </w:numPr>
        <w:tabs>
          <w:tab w:val="left" w:pos="1560"/>
        </w:tabs>
        <w:spacing w:before="14"/>
        <w:rPr>
          <w:rFonts w:ascii="Calibri" w:hAnsi="Calibri" w:eastAsia="Calibri" w:cs="Calibri"/>
          <w:color w:val="000000" w:themeColor="text1"/>
        </w:rPr>
      </w:pPr>
      <w:r w:rsidRPr="4BE3042A">
        <w:rPr>
          <w:rFonts w:ascii="Calibri" w:hAnsi="Calibri" w:eastAsia="Calibri" w:cs="Calibri"/>
          <w:color w:val="000000" w:themeColor="text1"/>
        </w:rPr>
        <w:t>Legal team</w:t>
      </w:r>
      <w:r w:rsidR="00604097">
        <w:rPr>
          <w:rFonts w:ascii="Calibri" w:hAnsi="Calibri" w:eastAsia="Calibri" w:cs="Calibri"/>
          <w:color w:val="000000" w:themeColor="text1"/>
        </w:rPr>
        <w:t>.</w:t>
      </w:r>
    </w:p>
    <w:p w:rsidR="00566150" w:rsidP="00566150" w:rsidRDefault="00566150" w14:paraId="6BB69F2D" w14:textId="77777777">
      <w:pPr>
        <w:pStyle w:val="ListParagraph"/>
        <w:widowControl w:val="0"/>
        <w:numPr>
          <w:ilvl w:val="3"/>
          <w:numId w:val="1"/>
        </w:numPr>
        <w:tabs>
          <w:tab w:val="left" w:pos="2279"/>
          <w:tab w:val="left" w:pos="2280"/>
        </w:tabs>
        <w:spacing w:before="14"/>
        <w:ind w:right="702"/>
        <w:rPr>
          <w:rFonts w:ascii="Calibri" w:hAnsi="Calibri" w:eastAsia="Calibri" w:cs="Calibri"/>
          <w:color w:val="000000" w:themeColor="text1"/>
        </w:rPr>
      </w:pPr>
      <w:r w:rsidRPr="4BE3042A">
        <w:rPr>
          <w:rFonts w:ascii="Calibri" w:hAnsi="Calibri" w:eastAsia="Calibri" w:cs="Calibri"/>
          <w:color w:val="000000" w:themeColor="text1"/>
        </w:rPr>
        <w:t>A breakdown of counsel titles and responsibilities to parties on legal matters pertaining to the implementation of the bond issuance.</w:t>
      </w:r>
    </w:p>
    <w:p w:rsidRPr="00566150" w:rsidR="00566150" w:rsidP="00566150" w:rsidRDefault="00566150" w14:paraId="5E31FF00" w14:textId="77777777"/>
    <w:p w:rsidR="00616A46" w:rsidP="00857B4F" w:rsidRDefault="00616A46" w14:paraId="0C810BAD" w14:textId="512CBE80">
      <w:pPr>
        <w:pStyle w:val="Heading2"/>
        <w:numPr>
          <w:ilvl w:val="1"/>
          <w:numId w:val="28"/>
        </w:numPr>
      </w:pPr>
      <w:bookmarkStart w:name="_Toc149134355" w:id="122"/>
      <w:r>
        <w:t>Application</w:t>
      </w:r>
      <w:r w:rsidR="000452BE">
        <w:t xml:space="preserve"> Approval Process</w:t>
      </w:r>
      <w:r w:rsidR="005429E8">
        <w:t xml:space="preserve"> for Bonds</w:t>
      </w:r>
      <w:bookmarkEnd w:id="122"/>
    </w:p>
    <w:p w:rsidR="002932C7" w:rsidP="002932C7" w:rsidRDefault="002932C7" w14:paraId="6BDDFA9C" w14:textId="0500472A">
      <w:pPr>
        <w:pStyle w:val="BodyText"/>
        <w:ind w:firstLine="360"/>
      </w:pPr>
      <w:r>
        <w:t>The following constitutes the major steps to approve a LLP</w:t>
      </w:r>
      <w:r w:rsidR="00B84B62">
        <w:t xml:space="preserve"> bond</w:t>
      </w:r>
      <w:r>
        <w:t xml:space="preserve"> application: </w:t>
      </w:r>
    </w:p>
    <w:p w:rsidR="002932C7" w:rsidP="002932C7" w:rsidRDefault="002932C7" w14:paraId="3DE42889" w14:textId="77777777">
      <w:pPr>
        <w:pStyle w:val="BodyText"/>
        <w:ind w:firstLine="120"/>
      </w:pPr>
    </w:p>
    <w:p w:rsidR="00C53A81" w:rsidP="00857B4F" w:rsidRDefault="4ACA0438" w14:paraId="1D71BD86" w14:textId="65456465">
      <w:pPr>
        <w:pStyle w:val="BodyText"/>
        <w:ind w:left="720"/>
      </w:pPr>
      <w:r>
        <w:t>During the open funding cycle window, a</w:t>
      </w:r>
      <w:r w:rsidDel="00082BCF" w:rsidR="00C53A81">
        <w:t>pplicant</w:t>
      </w:r>
      <w:r w:rsidR="00082BCF">
        <w:t xml:space="preserve"> </w:t>
      </w:r>
      <w:r w:rsidR="00C53A81">
        <w:t>provide</w:t>
      </w:r>
      <w:r w:rsidR="006B2829">
        <w:t>s</w:t>
      </w:r>
      <w:r w:rsidR="002B41B4">
        <w:t xml:space="preserve"> a</w:t>
      </w:r>
      <w:r w:rsidR="00475E04">
        <w:t xml:space="preserve">n </w:t>
      </w:r>
      <w:r w:rsidR="002B41B4">
        <w:t>application with</w:t>
      </w:r>
      <w:r w:rsidR="00C53A81">
        <w:t xml:space="preserve"> an estimate of the bond interest rate</w:t>
      </w:r>
      <w:r w:rsidR="2276509C">
        <w:t>,</w:t>
      </w:r>
      <w:r w:rsidR="00C53A81">
        <w:t xml:space="preserve"> </w:t>
      </w:r>
      <w:r w:rsidR="2276509C">
        <w:t xml:space="preserve">calculated by an independent </w:t>
      </w:r>
      <w:r w:rsidR="594A4BEE">
        <w:t>municipal advisor, with</w:t>
      </w:r>
      <w:r w:rsidR="00CD4275">
        <w:t xml:space="preserve"> </w:t>
      </w:r>
      <w:r w:rsidR="2E666D86">
        <w:t>a</w:t>
      </w:r>
      <w:r w:rsidR="00C53A81">
        <w:t>nd without the LLP guarantee</w:t>
      </w:r>
      <w:r w:rsidR="003E51A4">
        <w:t>.</w:t>
      </w:r>
    </w:p>
    <w:p w:rsidR="00C2776B" w:rsidP="00C2776B" w:rsidRDefault="00C2776B" w14:paraId="085BF709" w14:textId="77777777">
      <w:pPr>
        <w:pStyle w:val="BodyText"/>
        <w:ind w:left="720"/>
      </w:pPr>
    </w:p>
    <w:p w:rsidR="005D3FC2" w:rsidRDefault="00854381" w14:paraId="5E61A614" w14:textId="3DBAA620">
      <w:pPr>
        <w:pStyle w:val="BodyText"/>
        <w:ind w:left="720"/>
      </w:pPr>
      <w:r>
        <w:t xml:space="preserve">Commission </w:t>
      </w:r>
      <w:r w:rsidR="00F3071A">
        <w:t>S</w:t>
      </w:r>
      <w:r w:rsidR="005D3FC2">
        <w:t>taff will p</w:t>
      </w:r>
      <w:r w:rsidRPr="005D3FC2" w:rsidR="005D3FC2">
        <w:t>reliminar</w:t>
      </w:r>
      <w:r w:rsidR="005D3FC2">
        <w:t>il</w:t>
      </w:r>
      <w:r w:rsidRPr="005D3FC2" w:rsidR="005D3FC2">
        <w:t xml:space="preserve">y review </w:t>
      </w:r>
      <w:r w:rsidR="005D3FC2">
        <w:t xml:space="preserve">LLP application </w:t>
      </w:r>
      <w:r w:rsidRPr="005D3FC2" w:rsidR="005D3FC2">
        <w:t xml:space="preserve">for completeness </w:t>
      </w:r>
      <w:r w:rsidR="00A73F04">
        <w:t>and</w:t>
      </w:r>
      <w:r w:rsidRPr="005D3FC2" w:rsidR="005D3FC2">
        <w:t xml:space="preserve"> apply the scoring criteria</w:t>
      </w:r>
      <w:r w:rsidR="00F3071A">
        <w:t>.</w:t>
      </w:r>
      <w:r w:rsidRPr="005D3FC2" w:rsidR="005D3FC2">
        <w:t xml:space="preserve"> </w:t>
      </w:r>
      <w:r w:rsidR="00BB30B7">
        <w:t>I</w:t>
      </w:r>
      <w:r w:rsidRPr="005D3FC2" w:rsidR="005D3FC2">
        <w:t>n the event</w:t>
      </w:r>
      <w:r w:rsidR="0AA44970">
        <w:t xml:space="preserve"> the LLP receives more applications for funding within a cycle than is available</w:t>
      </w:r>
      <w:r w:rsidR="00BB30B7">
        <w:t>,</w:t>
      </w:r>
      <w:r w:rsidR="00F30FC5">
        <w:t xml:space="preserve"> </w:t>
      </w:r>
      <w:r w:rsidR="00FB0AC6">
        <w:t>Commission</w:t>
      </w:r>
      <w:r w:rsidR="00F30FC5">
        <w:t xml:space="preserve"> Staff will apply the scoring criteria to determine </w:t>
      </w:r>
      <w:r w:rsidR="00AA0349">
        <w:t xml:space="preserve">what applications shall </w:t>
      </w:r>
      <w:r w:rsidR="00BB30B7">
        <w:t>be</w:t>
      </w:r>
      <w:r w:rsidR="00AA0349">
        <w:t xml:space="preserve"> review</w:t>
      </w:r>
      <w:r w:rsidR="00B01BA6">
        <w:t>ed</w:t>
      </w:r>
      <w:r w:rsidR="00AA0349">
        <w:t xml:space="preserve"> and </w:t>
      </w:r>
      <w:r w:rsidR="00BB30B7">
        <w:t>receive</w:t>
      </w:r>
      <w:r w:rsidR="00AA0349">
        <w:t xml:space="preserve"> funding</w:t>
      </w:r>
      <w:r w:rsidR="006B2E88">
        <w:t>.</w:t>
      </w:r>
    </w:p>
    <w:p w:rsidR="005D3FC2" w:rsidRDefault="005D3FC2" w14:paraId="67FAB63C" w14:textId="77777777">
      <w:pPr>
        <w:pStyle w:val="BodyText"/>
        <w:ind w:left="720"/>
      </w:pPr>
    </w:p>
    <w:p w:rsidR="002932C7" w:rsidP="00857B4F" w:rsidRDefault="00FB0AC6" w14:paraId="74F3DEF7" w14:textId="06B4DB58">
      <w:pPr>
        <w:pStyle w:val="BodyText"/>
        <w:ind w:left="720"/>
      </w:pPr>
      <w:r>
        <w:t>Commission</w:t>
      </w:r>
      <w:r w:rsidR="00976629">
        <w:t xml:space="preserve"> </w:t>
      </w:r>
      <w:r w:rsidR="002932C7">
        <w:t xml:space="preserve">Staff </w:t>
      </w:r>
      <w:r w:rsidR="001C3B64">
        <w:t xml:space="preserve">and its contractors </w:t>
      </w:r>
      <w:r w:rsidR="006877AA">
        <w:t xml:space="preserve">will </w:t>
      </w:r>
      <w:r w:rsidR="001C3B64">
        <w:t xml:space="preserve">then review the application for technical and operational </w:t>
      </w:r>
      <w:r w:rsidR="00647A6D">
        <w:t>viability</w:t>
      </w:r>
      <w:r w:rsidR="002932C7">
        <w:t>.</w:t>
      </w:r>
    </w:p>
    <w:p w:rsidR="00C2776B" w:rsidP="00C2776B" w:rsidRDefault="00C2776B" w14:paraId="15699361" w14:textId="77777777">
      <w:pPr>
        <w:pStyle w:val="BodyText"/>
        <w:ind w:left="720"/>
      </w:pPr>
    </w:p>
    <w:p w:rsidR="002932C7" w:rsidP="00857B4F" w:rsidRDefault="006363A8" w14:paraId="4ABDA9B5" w14:textId="14B890D2">
      <w:pPr>
        <w:pStyle w:val="BodyText"/>
        <w:ind w:left="720"/>
      </w:pPr>
      <w:r>
        <w:t xml:space="preserve">If </w:t>
      </w:r>
      <w:r w:rsidR="00647A6D">
        <w:t>viability</w:t>
      </w:r>
      <w:r>
        <w:t xml:space="preserve"> is determined</w:t>
      </w:r>
      <w:r w:rsidR="00647A6D">
        <w:t>,</w:t>
      </w:r>
      <w:r>
        <w:t xml:space="preserve"> </w:t>
      </w:r>
      <w:r w:rsidR="00854381">
        <w:t xml:space="preserve">Commission </w:t>
      </w:r>
      <w:r w:rsidR="00FD7DAD">
        <w:t xml:space="preserve">Staff </w:t>
      </w:r>
      <w:r w:rsidR="006877AA">
        <w:t>will</w:t>
      </w:r>
      <w:r w:rsidR="002932C7">
        <w:t xml:space="preserve"> issue d</w:t>
      </w:r>
      <w:r w:rsidRPr="00D30651" w:rsidR="002932C7">
        <w:t>raft Resolution</w:t>
      </w:r>
      <w:r w:rsidR="002932C7">
        <w:t xml:space="preserve"> for public comment.</w:t>
      </w:r>
      <w:r w:rsidRPr="00D30651" w:rsidR="002932C7">
        <w:t xml:space="preserve"> </w:t>
      </w:r>
    </w:p>
    <w:p w:rsidR="00C2776B" w:rsidP="00C2776B" w:rsidRDefault="00C2776B" w14:paraId="2A9D39C5" w14:textId="77777777">
      <w:pPr>
        <w:pStyle w:val="BodyText"/>
        <w:ind w:left="720"/>
      </w:pPr>
    </w:p>
    <w:p w:rsidR="002932C7" w:rsidP="00857B4F" w:rsidRDefault="00FB0AC6" w14:paraId="692467E2" w14:textId="079889DB">
      <w:pPr>
        <w:pStyle w:val="BodyText"/>
        <w:ind w:left="720"/>
      </w:pPr>
      <w:r>
        <w:t>Commission</w:t>
      </w:r>
      <w:r w:rsidR="00976629">
        <w:t xml:space="preserve"> </w:t>
      </w:r>
      <w:r w:rsidRPr="00D30651" w:rsidR="002932C7">
        <w:t xml:space="preserve">Staff will </w:t>
      </w:r>
      <w:r w:rsidR="002932C7">
        <w:t>specify the</w:t>
      </w:r>
      <w:r w:rsidRPr="00D30651" w:rsidR="002932C7">
        <w:t xml:space="preserve"> </w:t>
      </w:r>
      <w:r w:rsidR="002932C7">
        <w:t>“form of guarantee”</w:t>
      </w:r>
      <w:r w:rsidR="002932C7">
        <w:rPr>
          <w:rStyle w:val="FootnoteReference"/>
        </w:rPr>
        <w:footnoteReference w:id="25"/>
      </w:r>
      <w:r w:rsidR="002932C7">
        <w:t xml:space="preserve"> and draft the terms, which will be provided to the </w:t>
      </w:r>
      <w:r w:rsidDel="00082BCF" w:rsidR="002932C7">
        <w:t xml:space="preserve">applicant’s </w:t>
      </w:r>
      <w:r w:rsidR="002932C7">
        <w:t>bond counsel as an attachment to the Resolution and must be included in the applicant’s closing bond documentation.</w:t>
      </w:r>
    </w:p>
    <w:p w:rsidR="00C2776B" w:rsidP="00857B4F" w:rsidRDefault="00C2776B" w14:paraId="50056F90" w14:textId="1092DC5E">
      <w:pPr>
        <w:pStyle w:val="BodyText"/>
        <w:ind w:left="720"/>
      </w:pPr>
    </w:p>
    <w:p w:rsidR="002932C7" w:rsidRDefault="002932C7" w14:paraId="34B22EDB" w14:textId="01ED4791">
      <w:pPr>
        <w:pStyle w:val="BodyText"/>
        <w:ind w:left="720"/>
      </w:pPr>
      <w:r>
        <w:t>CPUC</w:t>
      </w:r>
      <w:r w:rsidRPr="00D30651">
        <w:t xml:space="preserve"> </w:t>
      </w:r>
      <w:r w:rsidR="00FD7DAD">
        <w:t>wi</w:t>
      </w:r>
      <w:r w:rsidR="00487BBE">
        <w:t>l</w:t>
      </w:r>
      <w:r w:rsidR="00FD7DAD">
        <w:t xml:space="preserve">l vote </w:t>
      </w:r>
      <w:r>
        <w:t>to approve</w:t>
      </w:r>
      <w:r w:rsidRPr="00D30651">
        <w:t xml:space="preserve"> the Resolution</w:t>
      </w:r>
      <w:r w:rsidR="00FD7DAD">
        <w:t xml:space="preserve"> and approve the coverage amount</w:t>
      </w:r>
      <w:r w:rsidR="00446899">
        <w:t xml:space="preserve"> and reserve the approved credit guarantee amount</w:t>
      </w:r>
      <w:r>
        <w:t>.</w:t>
      </w:r>
      <w:r w:rsidRPr="00D30651">
        <w:t xml:space="preserve"> </w:t>
      </w:r>
    </w:p>
    <w:p w:rsidR="00FC25EC" w:rsidRDefault="00FC25EC" w14:paraId="638D9B51" w14:textId="77777777">
      <w:pPr>
        <w:pStyle w:val="BodyText"/>
        <w:ind w:left="720"/>
      </w:pPr>
    </w:p>
    <w:p w:rsidR="00FC25EC" w:rsidP="00857B4F" w:rsidRDefault="00FC25EC" w14:paraId="3BF8A6C9" w14:textId="77777777">
      <w:pPr>
        <w:pStyle w:val="BodyText"/>
        <w:ind w:left="720"/>
      </w:pPr>
    </w:p>
    <w:p w:rsidRPr="009443D2" w:rsidR="00362065" w:rsidP="00857B4F" w:rsidRDefault="00362065" w14:paraId="3C75DDF9" w14:textId="47CD83C0">
      <w:pPr>
        <w:pStyle w:val="Heading3"/>
        <w:numPr>
          <w:ilvl w:val="2"/>
          <w:numId w:val="28"/>
        </w:numPr>
        <w:ind w:left="1080"/>
      </w:pPr>
      <w:bookmarkStart w:name="_Toc138230402" w:id="123"/>
      <w:bookmarkStart w:name="_Toc149134356" w:id="124"/>
      <w:r w:rsidRPr="009443D2">
        <w:t>Form of Guarantee</w:t>
      </w:r>
      <w:bookmarkEnd w:id="123"/>
      <w:bookmarkEnd w:id="124"/>
    </w:p>
    <w:p w:rsidRPr="009443D2" w:rsidR="00362065" w:rsidP="00362065" w:rsidRDefault="009B6D5E" w14:paraId="10D1680F" w14:textId="4AF26A1F">
      <w:pPr>
        <w:pStyle w:val="BodyText"/>
        <w:spacing w:before="179" w:line="259" w:lineRule="auto"/>
        <w:ind w:left="360" w:right="357"/>
      </w:pPr>
      <w:r>
        <w:t>The a</w:t>
      </w:r>
      <w:r w:rsidR="00082BCF">
        <w:t>wardee</w:t>
      </w:r>
      <w:r w:rsidRPr="009443D2" w:rsidR="00362065">
        <w:t xml:space="preserve">’s bond counsel should include the </w:t>
      </w:r>
      <w:r w:rsidR="00345BD5">
        <w:t>“form of guarantee”</w:t>
      </w:r>
      <w:r>
        <w:t xml:space="preserve"> as part of the </w:t>
      </w:r>
      <w:r w:rsidRPr="009443D2" w:rsidR="00362065">
        <w:t>documentation</w:t>
      </w:r>
      <w:r>
        <w:t xml:space="preserve"> to be included in the</w:t>
      </w:r>
      <w:r w:rsidRPr="009443D2" w:rsidR="00362065">
        <w:t xml:space="preserve"> bond sale</w:t>
      </w:r>
      <w:r w:rsidR="003F05F2">
        <w:t xml:space="preserve"> and include all required information</w:t>
      </w:r>
      <w:r w:rsidR="009B32FF">
        <w:t xml:space="preserve"> in their indenture</w:t>
      </w:r>
      <w:r w:rsidR="008921D6">
        <w:t xml:space="preserve"> from the “form of guarantee”</w:t>
      </w:r>
      <w:r w:rsidRPr="009443D2" w:rsidR="00362065">
        <w:t xml:space="preserve">. </w:t>
      </w:r>
    </w:p>
    <w:p w:rsidR="00362065" w:rsidP="00362065" w:rsidRDefault="00FB0AC6" w14:paraId="4C91CFAE" w14:textId="393DDCFB">
      <w:pPr>
        <w:pStyle w:val="BodyText"/>
        <w:spacing w:before="179" w:line="259" w:lineRule="auto"/>
        <w:ind w:left="360" w:right="357"/>
      </w:pPr>
      <w:r>
        <w:t>Commission</w:t>
      </w:r>
      <w:r w:rsidR="00976629">
        <w:t xml:space="preserve"> </w:t>
      </w:r>
      <w:r w:rsidRPr="009443D2" w:rsidR="00362065">
        <w:t xml:space="preserve">Staff will </w:t>
      </w:r>
      <w:r w:rsidR="00116291">
        <w:t>determine</w:t>
      </w:r>
      <w:r w:rsidRPr="009443D2" w:rsidR="00362065">
        <w:t xml:space="preserve"> industry conventions and standardization </w:t>
      </w:r>
      <w:r w:rsidR="00362065">
        <w:t>for the</w:t>
      </w:r>
      <w:r w:rsidRPr="009443D2" w:rsidR="00362065">
        <w:t xml:space="preserve"> “form of guarantee</w:t>
      </w:r>
      <w:r w:rsidR="00362065">
        <w:t>”</w:t>
      </w:r>
      <w:r w:rsidRPr="009443D2" w:rsidR="00362065">
        <w:t xml:space="preserve"> document, including contingency account funding provisions. </w:t>
      </w:r>
      <w:r>
        <w:t>Commission Staff</w:t>
      </w:r>
      <w:r w:rsidRPr="009443D2" w:rsidR="00362065">
        <w:t xml:space="preserve"> </w:t>
      </w:r>
      <w:r w:rsidR="00362065">
        <w:t>will</w:t>
      </w:r>
      <w:r w:rsidRPr="009443D2" w:rsidR="00362065">
        <w:t xml:space="preserve"> ensure </w:t>
      </w:r>
      <w:r w:rsidR="00362065">
        <w:t xml:space="preserve">that </w:t>
      </w:r>
      <w:r w:rsidRPr="009443D2" w:rsidR="00362065">
        <w:t xml:space="preserve">the offering </w:t>
      </w:r>
      <w:r w:rsidR="007B7F73">
        <w:t xml:space="preserve">meets all legal and statutory requirements </w:t>
      </w:r>
      <w:r w:rsidRPr="009443D2" w:rsidR="00362065">
        <w:t>and</w:t>
      </w:r>
      <w:r w:rsidR="001F1DC4">
        <w:t xml:space="preserve"> to limit</w:t>
      </w:r>
      <w:r w:rsidRPr="009443D2" w:rsidR="00362065">
        <w:t xml:space="preserve"> the liability and risk to the CPUC </w:t>
      </w:r>
      <w:r w:rsidR="00362065">
        <w:t>by the terms of</w:t>
      </w:r>
      <w:r w:rsidRPr="009443D2" w:rsidR="00362065">
        <w:t xml:space="preserve"> the </w:t>
      </w:r>
      <w:r w:rsidR="003D7481">
        <w:t xml:space="preserve">“form of </w:t>
      </w:r>
      <w:r w:rsidR="00362065">
        <w:t>guarantee</w:t>
      </w:r>
      <w:r w:rsidR="003D7481">
        <w:t>”</w:t>
      </w:r>
      <w:r w:rsidRPr="009443D2" w:rsidR="00362065">
        <w:t>.</w:t>
      </w:r>
    </w:p>
    <w:p w:rsidRPr="001443A2" w:rsidR="00362065" w:rsidP="001443A2" w:rsidRDefault="00362065" w14:paraId="06D3A524" w14:textId="77777777">
      <w:pPr>
        <w:ind w:left="360"/>
      </w:pPr>
    </w:p>
    <w:p w:rsidR="000452BE" w:rsidP="00857B4F" w:rsidRDefault="000452BE" w14:paraId="2ACE96EB" w14:textId="20514595">
      <w:pPr>
        <w:pStyle w:val="Heading2"/>
        <w:numPr>
          <w:ilvl w:val="1"/>
          <w:numId w:val="28"/>
        </w:numPr>
      </w:pPr>
      <w:bookmarkStart w:name="_Toc149134357" w:id="125"/>
      <w:r>
        <w:t>Pre-Buildout and Buildout Phase</w:t>
      </w:r>
      <w:bookmarkEnd w:id="125"/>
    </w:p>
    <w:p w:rsidR="00314BD0" w:rsidP="00E83EBB" w:rsidRDefault="00E83EBB" w14:paraId="2DDD3F0D" w14:textId="15535D08">
      <w:pPr>
        <w:pStyle w:val="BodyText"/>
        <w:spacing w:before="24" w:line="259" w:lineRule="auto"/>
        <w:ind w:left="360" w:right="415"/>
      </w:pPr>
      <w:r w:rsidRPr="008E42AC">
        <w:t xml:space="preserve">Broadband projects under the </w:t>
      </w:r>
      <w:r w:rsidRPr="00583E96">
        <w:t>LLP shall be completed within 36 months after their project start date</w:t>
      </w:r>
      <w:r>
        <w:t>.</w:t>
      </w:r>
      <w:r w:rsidRPr="00583E96">
        <w:t xml:space="preserve"> </w:t>
      </w:r>
      <w:bookmarkStart w:name="_bookmark51" w:id="126"/>
      <w:bookmarkEnd w:id="126"/>
      <w:r w:rsidR="00FB0AC6">
        <w:t>Commission</w:t>
      </w:r>
      <w:r w:rsidR="00976629">
        <w:t xml:space="preserve"> </w:t>
      </w:r>
      <w:r>
        <w:t>Staff and the awardee shall determine a project start date after the awardee has obtained CPUC Resolution approval</w:t>
      </w:r>
      <w:r>
        <w:rPr>
          <w:spacing w:val="-3"/>
        </w:rPr>
        <w:t>,</w:t>
      </w:r>
      <w:r>
        <w:t xml:space="preserve"> completed all necessary documentation, and obtained all necessary permits to begin construction. </w:t>
      </w:r>
    </w:p>
    <w:p w:rsidR="00314BD0" w:rsidP="00E83EBB" w:rsidRDefault="00314BD0" w14:paraId="42AFB7E9" w14:textId="77777777">
      <w:pPr>
        <w:pStyle w:val="BodyText"/>
        <w:spacing w:before="24" w:line="259" w:lineRule="auto"/>
        <w:ind w:left="360" w:right="415"/>
      </w:pPr>
    </w:p>
    <w:p w:rsidR="00E83EBB" w:rsidP="00E83EBB" w:rsidRDefault="00E83EBB" w14:paraId="7BF083C5" w14:textId="484BF8FA">
      <w:pPr>
        <w:pStyle w:val="BodyText"/>
        <w:spacing w:before="24" w:line="259" w:lineRule="auto"/>
        <w:ind w:left="360" w:right="415"/>
      </w:pPr>
      <w:r>
        <w:t>A</w:t>
      </w:r>
      <w:r w:rsidRPr="00583E96">
        <w:t>wardees will provide a phased</w:t>
      </w:r>
      <w:r w:rsidR="009C6E55">
        <w:t>-</w:t>
      </w:r>
      <w:r w:rsidRPr="00583E96">
        <w:t>approach</w:t>
      </w:r>
      <w:r>
        <w:t xml:space="preserve"> project plan to </w:t>
      </w:r>
      <w:r w:rsidR="00854381">
        <w:t xml:space="preserve">Commission </w:t>
      </w:r>
      <w:r w:rsidR="00976629">
        <w:t>S</w:t>
      </w:r>
      <w:r>
        <w:t>taff prior to</w:t>
      </w:r>
      <w:r w:rsidR="003758C3">
        <w:t xml:space="preserve"> the</w:t>
      </w:r>
      <w:r>
        <w:t xml:space="preserve"> project start date</w:t>
      </w:r>
      <w:r w:rsidRPr="008E42AC">
        <w:t>.</w:t>
      </w:r>
      <w:r>
        <w:t xml:space="preserve"> Should the</w:t>
      </w:r>
      <w:r>
        <w:rPr>
          <w:spacing w:val="-1"/>
        </w:rPr>
        <w:t xml:space="preserve"> </w:t>
      </w:r>
      <w:r>
        <w:t>awardee</w:t>
      </w:r>
      <w:r>
        <w:rPr>
          <w:spacing w:val="-1"/>
        </w:rPr>
        <w:t xml:space="preserve"> </w:t>
      </w:r>
      <w:r>
        <w:t>or the awardee’s</w:t>
      </w:r>
      <w:r>
        <w:rPr>
          <w:spacing w:val="-1"/>
        </w:rPr>
        <w:t xml:space="preserve"> </w:t>
      </w:r>
      <w:r>
        <w:t>contractor fail</w:t>
      </w:r>
      <w:r>
        <w:rPr>
          <w:spacing w:val="-1"/>
        </w:rPr>
        <w:t xml:space="preserve"> </w:t>
      </w:r>
      <w:r>
        <w:t>to commence work</w:t>
      </w:r>
      <w:r>
        <w:rPr>
          <w:spacing w:val="-1"/>
        </w:rPr>
        <w:t xml:space="preserve"> </w:t>
      </w:r>
      <w:r>
        <w:t>at the</w:t>
      </w:r>
      <w:r>
        <w:rPr>
          <w:spacing w:val="-1"/>
        </w:rPr>
        <w:t xml:space="preserve"> </w:t>
      </w:r>
      <w:r w:rsidR="00185917">
        <w:t>agreed-upon</w:t>
      </w:r>
      <w:r>
        <w:t xml:space="preserve"> date or deviate from the awardee’s Deployment Schedule as defined in Section 3 Definitions, </w:t>
      </w:r>
      <w:r w:rsidR="00185917">
        <w:t xml:space="preserve">the </w:t>
      </w:r>
      <w:r>
        <w:t xml:space="preserve">awardee will notify </w:t>
      </w:r>
      <w:r w:rsidR="00854381">
        <w:t xml:space="preserve">Commission </w:t>
      </w:r>
      <w:r w:rsidR="00185917">
        <w:t>S</w:t>
      </w:r>
      <w:r>
        <w:t>taff by written letter as to the nature of the delay with estimated revised project start dates as soon as they are aware.</w:t>
      </w:r>
      <w:r w:rsidDel="00320318">
        <w:t xml:space="preserve"> </w:t>
      </w:r>
    </w:p>
    <w:p w:rsidR="00E83EBB" w:rsidP="00E83EBB" w:rsidRDefault="00E83EBB" w14:paraId="54FC132D" w14:textId="77777777">
      <w:pPr>
        <w:pStyle w:val="BodyText"/>
        <w:spacing w:before="24" w:line="259" w:lineRule="auto"/>
        <w:ind w:left="1080" w:right="415"/>
      </w:pPr>
    </w:p>
    <w:p w:rsidR="00E83EBB" w:rsidP="00E83EBB" w:rsidRDefault="00E83EBB" w14:paraId="657893DD" w14:textId="6677B9E3">
      <w:pPr>
        <w:pStyle w:val="BodyText"/>
        <w:spacing w:before="24" w:line="259" w:lineRule="auto"/>
        <w:ind w:left="360" w:right="415"/>
      </w:pPr>
      <w:r>
        <w:t xml:space="preserve">If there is a project delay during buildout, the borrower shall provide </w:t>
      </w:r>
      <w:r w:rsidR="00FB0AC6">
        <w:t>Commission Staff</w:t>
      </w:r>
      <w:r>
        <w:t xml:space="preserve"> with a written letter as to the nature of the delay with estimated revised dates for the project to resume as soon as they are aware. </w:t>
      </w:r>
      <w:r w:rsidR="00FB0AC6">
        <w:t>Commission Staff</w:t>
      </w:r>
      <w:r>
        <w:t xml:space="preserve"> may then provide a project delay exemption to the awardee and update its internal tracking systems.</w:t>
      </w:r>
    </w:p>
    <w:p w:rsidR="00E83EBB" w:rsidP="00E83EBB" w:rsidRDefault="00E83EBB" w14:paraId="5DCD826A" w14:textId="76B6C3A9">
      <w:pPr>
        <w:pStyle w:val="BodyText"/>
        <w:spacing w:before="179" w:line="259" w:lineRule="auto"/>
        <w:ind w:left="360"/>
      </w:pPr>
      <w:r>
        <w:t xml:space="preserve">After completion of the project, revenues generated from the broadband network will be used </w:t>
      </w:r>
      <w:r w:rsidR="00AC761E">
        <w:t>to</w:t>
      </w:r>
      <w:r w:rsidR="00147BA1">
        <w:t>wards</w:t>
      </w:r>
      <w:r w:rsidR="00AC761E">
        <w:t xml:space="preserve"> pay</w:t>
      </w:r>
      <w:r w:rsidR="00147BA1">
        <w:t>ing</w:t>
      </w:r>
      <w:r w:rsidR="00AC761E">
        <w:t xml:space="preserve"> off the</w:t>
      </w:r>
      <w:r>
        <w:t xml:space="preserve"> debt service</w:t>
      </w:r>
      <w:r w:rsidR="002E1F9F">
        <w:t xml:space="preserve"> </w:t>
      </w:r>
      <w:r w:rsidR="0009116F">
        <w:t xml:space="preserve">for the life of the </w:t>
      </w:r>
      <w:r w:rsidR="00E46150">
        <w:t>eligible debt</w:t>
      </w:r>
      <w:r w:rsidR="00442FA0">
        <w:t>.</w:t>
      </w:r>
    </w:p>
    <w:p w:rsidR="005F4FDD" w:rsidP="00E83EBB" w:rsidRDefault="005F4FDD" w14:paraId="76C9BED9" w14:textId="77777777">
      <w:pPr>
        <w:pStyle w:val="BodyText"/>
        <w:spacing w:before="179" w:line="259" w:lineRule="auto"/>
        <w:ind w:left="360"/>
      </w:pPr>
    </w:p>
    <w:p w:rsidRPr="00857B4F" w:rsidR="00CC60E9" w:rsidP="00857B4F" w:rsidRDefault="00540068" w14:paraId="5807C52F" w14:textId="22956B3F">
      <w:pPr>
        <w:pStyle w:val="Heading2"/>
        <w:numPr>
          <w:ilvl w:val="1"/>
          <w:numId w:val="28"/>
        </w:numPr>
      </w:pPr>
      <w:bookmarkStart w:name="_Toc149134358" w:id="127"/>
      <w:r w:rsidRPr="00857B4F">
        <w:t>Bond</w:t>
      </w:r>
      <w:r w:rsidR="00506F18">
        <w:t xml:space="preserve"> Maturity</w:t>
      </w:r>
      <w:r w:rsidRPr="00857B4F">
        <w:t xml:space="preserve"> and Release of the Credit Enhancement</w:t>
      </w:r>
      <w:bookmarkEnd w:id="127"/>
    </w:p>
    <w:p w:rsidRPr="00857B4F" w:rsidR="00540068" w:rsidP="00857B4F" w:rsidRDefault="0012164E" w14:paraId="5790876E" w14:textId="04226CF3">
      <w:pPr>
        <w:pStyle w:val="BodyText"/>
        <w:spacing w:before="179" w:line="259" w:lineRule="auto"/>
        <w:ind w:left="360"/>
      </w:pPr>
      <w:r>
        <w:t>T</w:t>
      </w:r>
      <w:r w:rsidRPr="002B5461">
        <w:t>he bond issuer or trustee will notif</w:t>
      </w:r>
      <w:r w:rsidR="000E68CF">
        <w:t>y</w:t>
      </w:r>
      <w:r w:rsidRPr="002B5461">
        <w:t xml:space="preserve"> </w:t>
      </w:r>
      <w:r w:rsidR="00FB0AC6">
        <w:t xml:space="preserve">Commission </w:t>
      </w:r>
      <w:r w:rsidR="001B0413">
        <w:t>Staff</w:t>
      </w:r>
      <w:r w:rsidR="6E4FFD95">
        <w:t xml:space="preserve"> of the maturity date of the bond, as well as </w:t>
      </w:r>
      <w:r w:rsidR="00250467">
        <w:t>repayment</w:t>
      </w:r>
      <w:r w:rsidRPr="00857B4F" w:rsidR="009D6B7E">
        <w:t xml:space="preserve"> terms, </w:t>
      </w:r>
      <w:r w:rsidRPr="00857B4F" w:rsidR="005B050B">
        <w:t>and any required actions by bondholders.</w:t>
      </w:r>
      <w:r w:rsidR="006F1497">
        <w:rPr>
          <w:rStyle w:val="FootnoteReference"/>
        </w:rPr>
        <w:footnoteReference w:id="26"/>
      </w:r>
    </w:p>
    <w:p w:rsidR="001C0E2F" w:rsidP="007324F5" w:rsidRDefault="00E33CDE" w14:paraId="004BE143" w14:textId="02846FBC">
      <w:pPr>
        <w:pStyle w:val="BodyText"/>
        <w:spacing w:before="179" w:line="259" w:lineRule="auto"/>
        <w:ind w:left="360"/>
      </w:pPr>
      <w:r>
        <w:t xml:space="preserve">For </w:t>
      </w:r>
      <w:r w:rsidR="005603D0">
        <w:t>serial bond</w:t>
      </w:r>
      <w:r w:rsidR="00DE46BE">
        <w:t>s</w:t>
      </w:r>
      <w:r w:rsidR="00F95B45">
        <w:rPr>
          <w:rStyle w:val="FootnoteReference"/>
        </w:rPr>
        <w:footnoteReference w:id="27"/>
      </w:r>
      <w:r w:rsidR="00711DF9">
        <w:t xml:space="preserve">, </w:t>
      </w:r>
      <w:r w:rsidR="00FB0AC6">
        <w:t>Commission</w:t>
      </w:r>
      <w:r w:rsidR="00F367D1">
        <w:t xml:space="preserve"> Staff w</w:t>
      </w:r>
      <w:r w:rsidR="00051452">
        <w:t xml:space="preserve">ill </w:t>
      </w:r>
      <w:r w:rsidR="00EA2B40">
        <w:t>withdraw</w:t>
      </w:r>
      <w:r w:rsidR="00B41FC0">
        <w:t xml:space="preserve"> </w:t>
      </w:r>
      <w:r w:rsidR="00EA2B40">
        <w:t xml:space="preserve">an amount from </w:t>
      </w:r>
      <w:r w:rsidR="009B7C72">
        <w:t>the</w:t>
      </w:r>
      <w:r w:rsidR="004F6BB9">
        <w:t xml:space="preserve"> awardee’s</w:t>
      </w:r>
      <w:r w:rsidR="001B7AE4">
        <w:t xml:space="preserve"> credit enhancement </w:t>
      </w:r>
      <w:r w:rsidR="00C34072">
        <w:t xml:space="preserve">that is in proportion to the </w:t>
      </w:r>
      <w:r w:rsidR="005C43EC">
        <w:t xml:space="preserve">amount </w:t>
      </w:r>
      <w:r w:rsidR="00871D90">
        <w:t>the awardee paid to the bond principal</w:t>
      </w:r>
      <w:r w:rsidR="00DC7EF8">
        <w:t xml:space="preserve">. This will allow </w:t>
      </w:r>
      <w:r w:rsidR="00FB0AC6">
        <w:t>Commission</w:t>
      </w:r>
      <w:r w:rsidR="00DC7EF8">
        <w:t xml:space="preserve"> Staff</w:t>
      </w:r>
      <w:r w:rsidR="006B52B6">
        <w:t xml:space="preserve"> </w:t>
      </w:r>
      <w:r w:rsidR="00EB607A">
        <w:t>to</w:t>
      </w:r>
      <w:r w:rsidR="00ED4550">
        <w:t xml:space="preserve"> free up the credit enhancement for future applications and maintain the awarded credit enhancement percentage for the bond</w:t>
      </w:r>
      <w:r w:rsidR="00032027">
        <w:t xml:space="preserve"> or bonds</w:t>
      </w:r>
      <w:r w:rsidR="00ED4550">
        <w:t>.</w:t>
      </w:r>
      <w:r w:rsidR="00EB607A">
        <w:t xml:space="preserve"> </w:t>
      </w:r>
    </w:p>
    <w:p w:rsidRPr="00857B4F" w:rsidR="00000B8D" w:rsidP="00857B4F" w:rsidRDefault="006A56DF" w14:paraId="5EAE182E" w14:textId="2DBF35D9">
      <w:pPr>
        <w:pStyle w:val="BodyText"/>
        <w:spacing w:before="179" w:line="259" w:lineRule="auto"/>
        <w:ind w:left="360"/>
      </w:pPr>
      <w:r>
        <w:t>For</w:t>
      </w:r>
      <w:r w:rsidR="00EB00F1">
        <w:t xml:space="preserve"> term bonds</w:t>
      </w:r>
      <w:r w:rsidR="00E33CDE">
        <w:rPr>
          <w:rStyle w:val="FootnoteReference"/>
        </w:rPr>
        <w:footnoteReference w:id="28"/>
      </w:r>
      <w:r w:rsidR="00EB00F1">
        <w:t>, t</w:t>
      </w:r>
      <w:r w:rsidRPr="00857B4F" w:rsidR="00A302D4">
        <w:t xml:space="preserve">he bond issuer will calculate the total amount due to bondholders upon maturity. This includes the repayment of the principal amount (face value) of the bonds as well as </w:t>
      </w:r>
      <w:r w:rsidRPr="00857B4F" w:rsidR="00EF5365">
        <w:t>any accrued interest up to the maturity date.</w:t>
      </w:r>
    </w:p>
    <w:p w:rsidRPr="00857B4F" w:rsidR="0091146C" w:rsidP="009400DD" w:rsidRDefault="0091146C" w14:paraId="26FE626A" w14:textId="1B8EE64A">
      <w:pPr>
        <w:pStyle w:val="BodyText"/>
        <w:spacing w:before="179" w:line="259" w:lineRule="auto"/>
        <w:ind w:left="360"/>
      </w:pPr>
      <w:r w:rsidRPr="00857B4F">
        <w:t>On the maturity date</w:t>
      </w:r>
      <w:r w:rsidR="00874D5D">
        <w:t xml:space="preserve"> of a term bond</w:t>
      </w:r>
      <w:r w:rsidRPr="00857B4F">
        <w:t xml:space="preserve">, the bond issuer or trustee </w:t>
      </w:r>
      <w:r w:rsidR="005D62FA">
        <w:t xml:space="preserve">will </w:t>
      </w:r>
      <w:r w:rsidRPr="00857B4F" w:rsidR="007064BB">
        <w:t>distribute the repayment amount to bondholders</w:t>
      </w:r>
      <w:r w:rsidR="00E60668">
        <w:t xml:space="preserve"> and </w:t>
      </w:r>
      <w:r w:rsidR="002D3522">
        <w:t xml:space="preserve">will </w:t>
      </w:r>
      <w:r w:rsidR="00E60668">
        <w:t>close the bond</w:t>
      </w:r>
      <w:r w:rsidRPr="00857B4F" w:rsidR="00706A3F">
        <w:t xml:space="preserve">. </w:t>
      </w:r>
      <w:r w:rsidR="009115DF">
        <w:t xml:space="preserve">The bond issuer or trustee will provide </w:t>
      </w:r>
      <w:r w:rsidR="00FB0AC6">
        <w:t>Commission Staff</w:t>
      </w:r>
      <w:r w:rsidR="009115DF">
        <w:t xml:space="preserve"> with all </w:t>
      </w:r>
      <w:r w:rsidR="003F1082">
        <w:t xml:space="preserve">closing documentation and </w:t>
      </w:r>
      <w:r w:rsidR="00727165">
        <w:t>will</w:t>
      </w:r>
      <w:r w:rsidR="003F1082">
        <w:t xml:space="preserve"> fulfil</w:t>
      </w:r>
      <w:r w:rsidR="00373A47">
        <w:t>l</w:t>
      </w:r>
      <w:r w:rsidR="003F1082">
        <w:t xml:space="preserve"> bond terms</w:t>
      </w:r>
      <w:r w:rsidR="00A11D3F">
        <w:t xml:space="preserve"> nine and ten as identified in Section 6.7 above.</w:t>
      </w:r>
      <w:r w:rsidR="003F1082">
        <w:t xml:space="preserve"> </w:t>
      </w:r>
      <w:r w:rsidR="009115DF">
        <w:t xml:space="preserve"> </w:t>
      </w:r>
      <w:r w:rsidR="00FB0AC6">
        <w:t>Commission</w:t>
      </w:r>
      <w:r w:rsidR="009115DF">
        <w:t xml:space="preserve"> Staff</w:t>
      </w:r>
      <w:r w:rsidR="00A11D3F">
        <w:t xml:space="preserve"> will</w:t>
      </w:r>
      <w:r w:rsidRPr="00857B4F" w:rsidR="00706A3F">
        <w:t xml:space="preserve"> then </w:t>
      </w:r>
      <w:r w:rsidR="00EC40D7">
        <w:t xml:space="preserve">detach </w:t>
      </w:r>
      <w:r w:rsidRPr="00EC40D7" w:rsidR="00EC40D7">
        <w:t>the</w:t>
      </w:r>
      <w:r w:rsidRPr="00857B4F" w:rsidR="004C70DF">
        <w:t xml:space="preserve"> </w:t>
      </w:r>
      <w:r w:rsidRPr="00857B4F" w:rsidR="0097147B">
        <w:t xml:space="preserve">credit enhancement </w:t>
      </w:r>
      <w:r w:rsidR="006029B6">
        <w:t>between</w:t>
      </w:r>
      <w:r w:rsidRPr="00857B4F" w:rsidR="0097147B">
        <w:t xml:space="preserve"> the awardee</w:t>
      </w:r>
      <w:r w:rsidR="00F31440">
        <w:t xml:space="preserve"> and the </w:t>
      </w:r>
      <w:r w:rsidR="00C76D1B">
        <w:t>DSR Guarantee</w:t>
      </w:r>
      <w:r w:rsidR="009115DF">
        <w:t>.</w:t>
      </w:r>
      <w:r w:rsidR="000A3D1C">
        <w:t xml:space="preserve"> </w:t>
      </w:r>
    </w:p>
    <w:p w:rsidRPr="00E83EBB" w:rsidR="00E83EBB" w:rsidP="00E83EBB" w:rsidRDefault="00E83EBB" w14:paraId="60866EB0" w14:textId="77777777">
      <w:pPr>
        <w:ind w:left="360"/>
      </w:pPr>
    </w:p>
    <w:p w:rsidR="00B06B21" w:rsidP="00857B4F" w:rsidRDefault="00C44EB0" w14:paraId="610DE739" w14:textId="5C7D2D71">
      <w:pPr>
        <w:pStyle w:val="Heading2"/>
        <w:numPr>
          <w:ilvl w:val="1"/>
          <w:numId w:val="28"/>
        </w:numPr>
      </w:pPr>
      <w:bookmarkStart w:name="_Toc149134359" w:id="128"/>
      <w:r>
        <w:t>Eligible Debt</w:t>
      </w:r>
      <w:r w:rsidR="00B06B21">
        <w:t xml:space="preserve"> </w:t>
      </w:r>
      <w:r w:rsidR="00760E7B">
        <w:t>Payment De</w:t>
      </w:r>
      <w:r w:rsidR="006630FD">
        <w:t>ficiency</w:t>
      </w:r>
      <w:bookmarkEnd w:id="128"/>
      <w:r w:rsidR="006630FD">
        <w:t xml:space="preserve"> </w:t>
      </w:r>
    </w:p>
    <w:p w:rsidRPr="006401CD" w:rsidR="006401CD" w:rsidP="00857B4F" w:rsidRDefault="009B3D6F" w14:paraId="71FD3D94" w14:textId="2A5CE2ED">
      <w:pPr>
        <w:ind w:left="360"/>
      </w:pPr>
      <w:r w:rsidRPr="009B3D6F">
        <w:t>The issuer, borrower,</w:t>
      </w:r>
      <w:r w:rsidR="00976629">
        <w:t xml:space="preserve"> </w:t>
      </w:r>
      <w:r w:rsidR="00854381">
        <w:t xml:space="preserve">Commission </w:t>
      </w:r>
      <w:r w:rsidR="004A3826">
        <w:t>S</w:t>
      </w:r>
      <w:r w:rsidRPr="009B3D6F">
        <w:t xml:space="preserve">taff, trustee, lender/bond owner and any other partnering agency or entity servicing the </w:t>
      </w:r>
      <w:r w:rsidR="00C44EB0">
        <w:t>eligible debt</w:t>
      </w:r>
      <w:r w:rsidRPr="009B3D6F" w:rsidR="00C44EB0">
        <w:t xml:space="preserve"> </w:t>
      </w:r>
      <w:r w:rsidRPr="009B3D6F">
        <w:t xml:space="preserve">may work together to address any issues that occur throughout the </w:t>
      </w:r>
      <w:r w:rsidR="00B510E0">
        <w:t>life</w:t>
      </w:r>
      <w:r w:rsidRPr="009B3D6F" w:rsidR="00F249FC">
        <w:t xml:space="preserve"> </w:t>
      </w:r>
      <w:r w:rsidRPr="009B3D6F">
        <w:t xml:space="preserve">of the </w:t>
      </w:r>
      <w:r w:rsidR="00FB479A">
        <w:t>debt</w:t>
      </w:r>
      <w:r w:rsidRPr="009B3D6F">
        <w:t>. In the event of a Payment Deficiency as defined in Section 3</w:t>
      </w:r>
      <w:r w:rsidR="004C7C26">
        <w:t>,</w:t>
      </w:r>
      <w:r w:rsidRPr="009B3D6F">
        <w:t xml:space="preserve"> Definitions, parties will follow the procedure described in </w:t>
      </w:r>
      <w:r w:rsidR="00CD0902">
        <w:t>s</w:t>
      </w:r>
      <w:r w:rsidRPr="009B3D6F">
        <w:t>ection 11.3</w:t>
      </w:r>
      <w:r w:rsidR="004C7C26">
        <w:t>,</w:t>
      </w:r>
      <w:r w:rsidRPr="009B3D6F">
        <w:t xml:space="preserve"> Incident Reporting, and any additional applicable procedures set out in the </w:t>
      </w:r>
      <w:r w:rsidR="00FB479A">
        <w:t>indenture or similar document</w:t>
      </w:r>
      <w:r w:rsidRPr="009B3D6F">
        <w:t>.</w:t>
      </w:r>
    </w:p>
    <w:p w:rsidR="00623862" w:rsidP="00857B4F" w:rsidRDefault="008D6B3F" w14:paraId="1B2E5388" w14:textId="4CF2E4AE">
      <w:pPr>
        <w:pStyle w:val="Heading1"/>
        <w:numPr>
          <w:ilvl w:val="0"/>
          <w:numId w:val="28"/>
        </w:numPr>
        <w:rPr>
          <w:rFonts w:eastAsia="Calibri"/>
        </w:rPr>
      </w:pPr>
      <w:bookmarkStart w:name="_Toc149134360" w:id="129"/>
      <w:r>
        <w:rPr>
          <w:rFonts w:eastAsia="Calibri"/>
        </w:rPr>
        <w:t xml:space="preserve">CPUC </w:t>
      </w:r>
      <w:r w:rsidR="00623862">
        <w:rPr>
          <w:rFonts w:eastAsia="Calibri"/>
        </w:rPr>
        <w:t>Outreach</w:t>
      </w:r>
      <w:bookmarkEnd w:id="129"/>
    </w:p>
    <w:p w:rsidR="00623862" w:rsidP="0049013D" w:rsidRDefault="00A63B3A" w14:paraId="3986B4A3" w14:textId="7772C444">
      <w:pPr>
        <w:ind w:left="360"/>
      </w:pPr>
      <w:r>
        <w:t xml:space="preserve">Commission </w:t>
      </w:r>
      <w:r w:rsidR="00D1468D">
        <w:t>Staff</w:t>
      </w:r>
      <w:r w:rsidRPr="0049013D" w:rsidR="00D1468D">
        <w:t xml:space="preserve"> </w:t>
      </w:r>
      <w:r w:rsidRPr="0049013D" w:rsidR="0049013D">
        <w:t>will work with and leverage the expertise of other state agencies and partners</w:t>
      </w:r>
      <w:r w:rsidR="006606A1">
        <w:t>, such as Community-based Organizations (CBOs)</w:t>
      </w:r>
      <w:r w:rsidR="00296BB4">
        <w:t xml:space="preserve"> and Tribal Organizations</w:t>
      </w:r>
      <w:r w:rsidR="006606A1">
        <w:t>,</w:t>
      </w:r>
      <w:r w:rsidRPr="0049013D" w:rsidR="0049013D">
        <w:t xml:space="preserve"> to better coordinate outreach to eligible entitie</w:t>
      </w:r>
      <w:r w:rsidR="00CB4C41">
        <w:t>s</w:t>
      </w:r>
      <w:r w:rsidR="00034AD7">
        <w:t>, p</w:t>
      </w:r>
      <w:r w:rsidRPr="0049013D" w:rsidR="00034AD7">
        <w:t>rior to and during the implementation of the LLP</w:t>
      </w:r>
      <w:r w:rsidR="00807E4C">
        <w:t>.</w:t>
      </w:r>
      <w:r w:rsidR="002B2A94">
        <w:t xml:space="preserve"> </w:t>
      </w:r>
      <w:r>
        <w:t xml:space="preserve">Commission </w:t>
      </w:r>
      <w:r w:rsidR="00013F3F">
        <w:t>S</w:t>
      </w:r>
      <w:r w:rsidRPr="0049013D" w:rsidR="0049013D">
        <w:t>taff will monitor and evaluate outreach efforts to ensure alignment with the CPUC’s Environmental and Social Justice Action Plan.</w:t>
      </w:r>
    </w:p>
    <w:p w:rsidR="00623862" w:rsidP="00857B4F" w:rsidRDefault="00623862" w14:paraId="65DA1726" w14:textId="7D179325">
      <w:pPr>
        <w:pStyle w:val="Heading1"/>
        <w:numPr>
          <w:ilvl w:val="0"/>
          <w:numId w:val="28"/>
        </w:numPr>
        <w:rPr>
          <w:rFonts w:eastAsia="Calibri"/>
        </w:rPr>
      </w:pPr>
      <w:bookmarkStart w:name="_Toc149134361" w:id="130"/>
      <w:r>
        <w:rPr>
          <w:rFonts w:eastAsia="Calibri"/>
        </w:rPr>
        <w:t>Reporting</w:t>
      </w:r>
      <w:r w:rsidR="008D6B3F">
        <w:rPr>
          <w:rFonts w:eastAsia="Calibri"/>
        </w:rPr>
        <w:t xml:space="preserve"> Requirements</w:t>
      </w:r>
      <w:bookmarkEnd w:id="130"/>
    </w:p>
    <w:p w:rsidR="00B87F3D" w:rsidP="00857B4F" w:rsidRDefault="00B87F3D" w14:paraId="0824E74E" w14:textId="62C7CB48">
      <w:pPr>
        <w:pStyle w:val="Heading2"/>
        <w:numPr>
          <w:ilvl w:val="1"/>
          <w:numId w:val="28"/>
        </w:numPr>
      </w:pPr>
      <w:bookmarkStart w:name="_Toc149134362" w:id="131"/>
      <w:r>
        <w:t>Bi-Annual Progress Reporting</w:t>
      </w:r>
      <w:bookmarkEnd w:id="131"/>
    </w:p>
    <w:p w:rsidR="00723BFE" w:rsidP="000632FB" w:rsidRDefault="00FB0AC6" w14:paraId="40AC22E0" w14:textId="3F2DAACB">
      <w:pPr>
        <w:pStyle w:val="BodyText"/>
        <w:spacing w:before="26" w:line="259" w:lineRule="auto"/>
        <w:ind w:left="360" w:right="415"/>
      </w:pPr>
      <w:r>
        <w:t>Commission</w:t>
      </w:r>
      <w:r w:rsidR="00976629">
        <w:t xml:space="preserve"> </w:t>
      </w:r>
      <w:r w:rsidR="00253A75">
        <w:t>Staff will provide guidance and a template</w:t>
      </w:r>
      <w:r w:rsidR="00CF5B1D">
        <w:t xml:space="preserve"> to awardees</w:t>
      </w:r>
      <w:r w:rsidR="00253A75">
        <w:t xml:space="preserve"> for </w:t>
      </w:r>
      <w:r w:rsidR="00263ED9">
        <w:t>reporting</w:t>
      </w:r>
      <w:r w:rsidR="00CF5B1D">
        <w:t xml:space="preserve"> progress</w:t>
      </w:r>
      <w:r w:rsidR="00253A75">
        <w:t xml:space="preserve"> </w:t>
      </w:r>
      <w:r w:rsidR="00CF5B1D">
        <w:t>on a bi-annual basis</w:t>
      </w:r>
      <w:r w:rsidR="00253A75">
        <w:t xml:space="preserve">. </w:t>
      </w:r>
      <w:r w:rsidR="00723BFE">
        <w:t xml:space="preserve">LLP awardees </w:t>
      </w:r>
      <w:r w:rsidR="00E7399E">
        <w:t>are</w:t>
      </w:r>
      <w:r w:rsidR="00723BFE">
        <w:t xml:space="preserve"> required to file progress reports identifying project milestones</w:t>
      </w:r>
      <w:r w:rsidR="00723BFE">
        <w:rPr>
          <w:spacing w:val="-2"/>
        </w:rPr>
        <w:t xml:space="preserve"> </w:t>
      </w:r>
      <w:r w:rsidR="00723BFE">
        <w:t>a</w:t>
      </w:r>
      <w:r w:rsidR="00253A75">
        <w:rPr>
          <w:spacing w:val="-3"/>
        </w:rPr>
        <w:t xml:space="preserve">nd </w:t>
      </w:r>
      <w:r w:rsidR="00723BFE">
        <w:t>percent</w:t>
      </w:r>
      <w:r w:rsidR="00723BFE">
        <w:rPr>
          <w:spacing w:val="-2"/>
        </w:rPr>
        <w:t xml:space="preserve"> </w:t>
      </w:r>
      <w:r w:rsidR="00723BFE">
        <w:t>complet</w:t>
      </w:r>
      <w:r w:rsidR="00732BBC">
        <w:t>e</w:t>
      </w:r>
      <w:r w:rsidR="00723BFE">
        <w:rPr>
          <w:spacing w:val="-1"/>
        </w:rPr>
        <w:t xml:space="preserve"> </w:t>
      </w:r>
      <w:r w:rsidR="00723BFE">
        <w:t>to</w:t>
      </w:r>
      <w:r w:rsidR="00723BFE">
        <w:rPr>
          <w:spacing w:val="-2"/>
        </w:rPr>
        <w:t xml:space="preserve"> </w:t>
      </w:r>
      <w:r w:rsidR="00723BFE">
        <w:t>date</w:t>
      </w:r>
      <w:r w:rsidR="00723BFE">
        <w:rPr>
          <w:spacing w:val="-3"/>
        </w:rPr>
        <w:t xml:space="preserve"> </w:t>
      </w:r>
      <w:r w:rsidR="00723BFE">
        <w:t>on</w:t>
      </w:r>
      <w:r w:rsidR="00723BFE">
        <w:rPr>
          <w:spacing w:val="-2"/>
        </w:rPr>
        <w:t xml:space="preserve"> </w:t>
      </w:r>
      <w:r w:rsidR="00723BFE">
        <w:t>a</w:t>
      </w:r>
      <w:r w:rsidR="00723BFE">
        <w:rPr>
          <w:spacing w:val="-3"/>
        </w:rPr>
        <w:t xml:space="preserve"> </w:t>
      </w:r>
      <w:r w:rsidR="00723BFE">
        <w:t>bi-annual</w:t>
      </w:r>
      <w:r w:rsidR="00723BFE">
        <w:rPr>
          <w:spacing w:val="-2"/>
        </w:rPr>
        <w:t xml:space="preserve"> </w:t>
      </w:r>
      <w:r w:rsidR="00723BFE">
        <w:t>basis. Progress</w:t>
      </w:r>
      <w:r w:rsidR="00723BFE">
        <w:rPr>
          <w:spacing w:val="-3"/>
        </w:rPr>
        <w:t xml:space="preserve"> </w:t>
      </w:r>
      <w:r w:rsidR="00723BFE">
        <w:t>reports</w:t>
      </w:r>
      <w:r w:rsidR="00723BFE">
        <w:rPr>
          <w:spacing w:val="-3"/>
        </w:rPr>
        <w:t xml:space="preserve"> </w:t>
      </w:r>
      <w:r w:rsidR="00723BFE">
        <w:t>are</w:t>
      </w:r>
      <w:r w:rsidR="00723BFE">
        <w:rPr>
          <w:spacing w:val="-3"/>
        </w:rPr>
        <w:t xml:space="preserve"> </w:t>
      </w:r>
      <w:r w:rsidR="00723BFE">
        <w:t>due</w:t>
      </w:r>
      <w:r w:rsidR="00723BFE">
        <w:rPr>
          <w:spacing w:val="-1"/>
        </w:rPr>
        <w:t xml:space="preserve"> </w:t>
      </w:r>
      <w:r w:rsidR="00723BFE">
        <w:t>on</w:t>
      </w:r>
      <w:r w:rsidR="00723BFE">
        <w:rPr>
          <w:spacing w:val="-3"/>
        </w:rPr>
        <w:t xml:space="preserve"> </w:t>
      </w:r>
      <w:r w:rsidR="00723BFE">
        <w:t>March</w:t>
      </w:r>
      <w:r w:rsidR="00723BFE">
        <w:rPr>
          <w:spacing w:val="-3"/>
        </w:rPr>
        <w:t xml:space="preserve"> </w:t>
      </w:r>
      <w:r w:rsidR="00723BFE">
        <w:t>1</w:t>
      </w:r>
      <w:r w:rsidR="00723BFE">
        <w:rPr>
          <w:spacing w:val="-2"/>
        </w:rPr>
        <w:t xml:space="preserve"> </w:t>
      </w:r>
      <w:r w:rsidR="00723BFE">
        <w:t>and</w:t>
      </w:r>
      <w:r w:rsidR="00723BFE">
        <w:rPr>
          <w:spacing w:val="-3"/>
        </w:rPr>
        <w:t xml:space="preserve"> </w:t>
      </w:r>
      <w:r w:rsidR="00723BFE">
        <w:t>September</w:t>
      </w:r>
      <w:r w:rsidR="00723BFE">
        <w:rPr>
          <w:spacing w:val="-3"/>
        </w:rPr>
        <w:t xml:space="preserve"> </w:t>
      </w:r>
      <w:r w:rsidR="00723BFE">
        <w:t>1</w:t>
      </w:r>
      <w:r w:rsidR="00723BFE">
        <w:rPr>
          <w:spacing w:val="-3"/>
        </w:rPr>
        <w:t xml:space="preserve"> </w:t>
      </w:r>
      <w:r w:rsidR="00723BFE">
        <w:t>of</w:t>
      </w:r>
      <w:r w:rsidR="00723BFE">
        <w:rPr>
          <w:spacing w:val="-3"/>
        </w:rPr>
        <w:t xml:space="preserve"> </w:t>
      </w:r>
      <w:r w:rsidR="00723BFE">
        <w:t>each</w:t>
      </w:r>
      <w:r w:rsidR="00723BFE">
        <w:rPr>
          <w:spacing w:val="-3"/>
        </w:rPr>
        <w:t xml:space="preserve"> </w:t>
      </w:r>
      <w:r w:rsidR="00723BFE">
        <w:t>year.</w:t>
      </w:r>
      <w:r w:rsidR="00723BFE">
        <w:rPr>
          <w:spacing w:val="-3"/>
        </w:rPr>
        <w:t xml:space="preserve"> </w:t>
      </w:r>
      <w:r w:rsidR="00723BFE">
        <w:t>In</w:t>
      </w:r>
      <w:r w:rsidR="00723BFE">
        <w:rPr>
          <w:spacing w:val="-2"/>
        </w:rPr>
        <w:t xml:space="preserve"> </w:t>
      </w:r>
      <w:r w:rsidR="00723BFE">
        <w:t>the</w:t>
      </w:r>
      <w:r w:rsidR="00723BFE">
        <w:rPr>
          <w:spacing w:val="-2"/>
        </w:rPr>
        <w:t xml:space="preserve"> </w:t>
      </w:r>
      <w:r w:rsidR="00723BFE">
        <w:t>event</w:t>
      </w:r>
      <w:r w:rsidR="00723BFE">
        <w:rPr>
          <w:spacing w:val="-3"/>
        </w:rPr>
        <w:t xml:space="preserve"> </w:t>
      </w:r>
      <w:r w:rsidR="00723BFE">
        <w:t>either</w:t>
      </w:r>
      <w:r w:rsidR="00723BFE">
        <w:rPr>
          <w:spacing w:val="-2"/>
        </w:rPr>
        <w:t xml:space="preserve"> </w:t>
      </w:r>
      <w:r w:rsidR="00723BFE">
        <w:t>date</w:t>
      </w:r>
      <w:r w:rsidR="00723BFE">
        <w:rPr>
          <w:spacing w:val="-3"/>
        </w:rPr>
        <w:t xml:space="preserve"> </w:t>
      </w:r>
      <w:r w:rsidR="00723BFE">
        <w:t>falls</w:t>
      </w:r>
      <w:r w:rsidR="00723BFE">
        <w:rPr>
          <w:spacing w:val="-3"/>
        </w:rPr>
        <w:t xml:space="preserve"> </w:t>
      </w:r>
      <w:r w:rsidR="00723BFE">
        <w:t>on</w:t>
      </w:r>
      <w:r w:rsidR="00723BFE">
        <w:rPr>
          <w:spacing w:val="-3"/>
        </w:rPr>
        <w:t xml:space="preserve"> </w:t>
      </w:r>
      <w:r w:rsidR="00723BFE">
        <w:t>a weekend or holiday, the reports are due the following business day.</w:t>
      </w:r>
    </w:p>
    <w:p w:rsidR="00723BFE" w:rsidP="000632FB" w:rsidRDefault="00723BFE" w14:paraId="26C2C5E4" w14:textId="56C9EA92">
      <w:pPr>
        <w:pStyle w:val="BodyText"/>
        <w:spacing w:before="179" w:line="259" w:lineRule="auto"/>
        <w:ind w:left="360" w:right="415"/>
      </w:pPr>
      <w:r>
        <w:t xml:space="preserve">Bi-annual </w:t>
      </w:r>
      <w:r w:rsidR="00CC3003">
        <w:t>progress reports</w:t>
      </w:r>
      <w:r>
        <w:t xml:space="preserve"> will consist of the information listed below. Th</w:t>
      </w:r>
      <w:r w:rsidR="0016463C">
        <w:t>e</w:t>
      </w:r>
      <w:r>
        <w:t>s</w:t>
      </w:r>
      <w:r w:rsidR="0016463C">
        <w:t>e</w:t>
      </w:r>
      <w:r>
        <w:t xml:space="preserve"> </w:t>
      </w:r>
      <w:r w:rsidR="00BF1EE9">
        <w:t>progress</w:t>
      </w:r>
      <w:r>
        <w:t xml:space="preserve"> report</w:t>
      </w:r>
      <w:r w:rsidR="0016463C">
        <w:t>s</w:t>
      </w:r>
      <w:r>
        <w:t xml:space="preserve"> will be submitted to the </w:t>
      </w:r>
      <w:r w:rsidR="00FB0AC6">
        <w:t>Commission Staff</w:t>
      </w:r>
      <w:r>
        <w:t xml:space="preserve"> and will be made available to the public via the CPUC’s Broadband LLP webpage. </w:t>
      </w:r>
      <w:r w:rsidR="00FB0AC6">
        <w:t>Commission</w:t>
      </w:r>
      <w:r w:rsidR="00D614D8">
        <w:t xml:space="preserve"> Staff</w:t>
      </w:r>
      <w:r w:rsidR="00D614D8">
        <w:rPr>
          <w:spacing w:val="-4"/>
        </w:rPr>
        <w:t xml:space="preserve"> </w:t>
      </w:r>
      <w:r w:rsidR="00D614D8">
        <w:t>will</w:t>
      </w:r>
      <w:r w:rsidR="00D614D8">
        <w:rPr>
          <w:spacing w:val="-3"/>
        </w:rPr>
        <w:t xml:space="preserve"> </w:t>
      </w:r>
      <w:r w:rsidR="00D614D8">
        <w:t>provide</w:t>
      </w:r>
      <w:r w:rsidR="00D614D8">
        <w:rPr>
          <w:spacing w:val="-3"/>
        </w:rPr>
        <w:t xml:space="preserve"> </w:t>
      </w:r>
      <w:r w:rsidR="00D614D8">
        <w:t>s</w:t>
      </w:r>
      <w:r>
        <w:t>ubmission instructions and other relevant information, consistent</w:t>
      </w:r>
      <w:r>
        <w:rPr>
          <w:spacing w:val="-3"/>
        </w:rPr>
        <w:t xml:space="preserve"> </w:t>
      </w:r>
      <w:r>
        <w:t>with</w:t>
      </w:r>
      <w:r>
        <w:rPr>
          <w:spacing w:val="-3"/>
        </w:rPr>
        <w:t xml:space="preserve"> </w:t>
      </w:r>
      <w:r>
        <w:t>these</w:t>
      </w:r>
      <w:r>
        <w:rPr>
          <w:spacing w:val="-3"/>
        </w:rPr>
        <w:t xml:space="preserve"> </w:t>
      </w:r>
      <w:r w:rsidR="0016463C">
        <w:t>requirement</w:t>
      </w:r>
      <w:r w:rsidR="00D614D8">
        <w:t>s</w:t>
      </w:r>
      <w:r w:rsidR="009F481D">
        <w:t>,</w:t>
      </w:r>
      <w:r>
        <w:rPr>
          <w:spacing w:val="-3"/>
        </w:rPr>
        <w:t xml:space="preserve"> </w:t>
      </w:r>
      <w:r>
        <w:t>on the</w:t>
      </w:r>
      <w:r w:rsidR="005821E9">
        <w:t xml:space="preserve"> CPUC</w:t>
      </w:r>
      <w:r>
        <w:t xml:space="preserve"> Broadband LLP webpage.</w:t>
      </w:r>
    </w:p>
    <w:p w:rsidR="00723BFE" w:rsidP="00723BFE" w:rsidRDefault="00723BFE" w14:paraId="192E7F7E" w14:textId="77777777">
      <w:pPr>
        <w:pStyle w:val="ListParagraph"/>
        <w:widowControl w:val="0"/>
        <w:numPr>
          <w:ilvl w:val="0"/>
          <w:numId w:val="16"/>
        </w:numPr>
        <w:tabs>
          <w:tab w:val="left" w:pos="839"/>
          <w:tab w:val="left" w:pos="841"/>
        </w:tabs>
        <w:autoSpaceDE w:val="0"/>
        <w:autoSpaceDN w:val="0"/>
        <w:spacing w:before="177" w:after="0" w:line="240" w:lineRule="auto"/>
        <w:ind w:left="840" w:hanging="361"/>
        <w:contextualSpacing w:val="0"/>
      </w:pPr>
      <w:r>
        <w:t>Description</w:t>
      </w:r>
      <w:r>
        <w:rPr>
          <w:spacing w:val="-12"/>
        </w:rPr>
        <w:t xml:space="preserve"> </w:t>
      </w:r>
      <w:r>
        <w:t>of</w:t>
      </w:r>
      <w:r>
        <w:rPr>
          <w:spacing w:val="-11"/>
        </w:rPr>
        <w:t xml:space="preserve"> </w:t>
      </w:r>
      <w:r>
        <w:t>project</w:t>
      </w:r>
      <w:r>
        <w:rPr>
          <w:spacing w:val="-11"/>
        </w:rPr>
        <w:t xml:space="preserve"> </w:t>
      </w:r>
      <w:r>
        <w:t>accomplishments</w:t>
      </w:r>
      <w:r>
        <w:rPr>
          <w:spacing w:val="-9"/>
        </w:rPr>
        <w:t xml:space="preserve"> </w:t>
      </w:r>
      <w:r>
        <w:t>during</w:t>
      </w:r>
      <w:r>
        <w:rPr>
          <w:spacing w:val="-11"/>
        </w:rPr>
        <w:t xml:space="preserve"> </w:t>
      </w:r>
      <w:r>
        <w:t>the</w:t>
      </w:r>
      <w:r>
        <w:rPr>
          <w:spacing w:val="-11"/>
        </w:rPr>
        <w:t xml:space="preserve"> </w:t>
      </w:r>
      <w:r>
        <w:t>reporting</w:t>
      </w:r>
      <w:r>
        <w:rPr>
          <w:spacing w:val="-11"/>
        </w:rPr>
        <w:t xml:space="preserve"> </w:t>
      </w:r>
      <w:r>
        <w:rPr>
          <w:spacing w:val="-2"/>
        </w:rPr>
        <w:t>period.</w:t>
      </w:r>
    </w:p>
    <w:p w:rsidR="00723BFE" w:rsidP="00723BFE" w:rsidRDefault="00723BFE" w14:paraId="27DDB913" w14:textId="1B38BA55">
      <w:pPr>
        <w:pStyle w:val="ListParagraph"/>
        <w:widowControl w:val="0"/>
        <w:numPr>
          <w:ilvl w:val="0"/>
          <w:numId w:val="16"/>
        </w:numPr>
        <w:tabs>
          <w:tab w:val="left" w:pos="839"/>
          <w:tab w:val="left" w:pos="840"/>
        </w:tabs>
        <w:autoSpaceDE w:val="0"/>
        <w:autoSpaceDN w:val="0"/>
        <w:spacing w:after="0"/>
        <w:ind w:left="835" w:right="446"/>
        <w:contextualSpacing w:val="0"/>
      </w:pPr>
      <w:r>
        <w:t>Identification</w:t>
      </w:r>
      <w:r>
        <w:rPr>
          <w:spacing w:val="-3"/>
        </w:rPr>
        <w:t xml:space="preserve"> </w:t>
      </w:r>
      <w:r>
        <w:t>of</w:t>
      </w:r>
      <w:r>
        <w:rPr>
          <w:spacing w:val="-4"/>
        </w:rPr>
        <w:t xml:space="preserve"> </w:t>
      </w:r>
      <w:r>
        <w:t>project</w:t>
      </w:r>
      <w:r>
        <w:rPr>
          <w:spacing w:val="-3"/>
        </w:rPr>
        <w:t xml:space="preserve"> </w:t>
      </w:r>
      <w:r>
        <w:t>milestones</w:t>
      </w:r>
      <w:r>
        <w:rPr>
          <w:spacing w:val="-4"/>
        </w:rPr>
        <w:t xml:space="preserve"> </w:t>
      </w:r>
      <w:r>
        <w:t>and</w:t>
      </w:r>
      <w:r>
        <w:rPr>
          <w:spacing w:val="-2"/>
        </w:rPr>
        <w:t xml:space="preserve"> </w:t>
      </w:r>
      <w:r>
        <w:t>the</w:t>
      </w:r>
      <w:r>
        <w:rPr>
          <w:spacing w:val="-3"/>
        </w:rPr>
        <w:t xml:space="preserve"> </w:t>
      </w:r>
      <w:r>
        <w:t>percent</w:t>
      </w:r>
      <w:r>
        <w:rPr>
          <w:spacing w:val="-3"/>
        </w:rPr>
        <w:t xml:space="preserve"> </w:t>
      </w:r>
      <w:r>
        <w:t>complete</w:t>
      </w:r>
      <w:r>
        <w:rPr>
          <w:spacing w:val="-3"/>
        </w:rPr>
        <w:t xml:space="preserve"> </w:t>
      </w:r>
      <w:r>
        <w:t>to</w:t>
      </w:r>
      <w:r>
        <w:rPr>
          <w:spacing w:val="-2"/>
        </w:rPr>
        <w:t xml:space="preserve"> </w:t>
      </w:r>
      <w:r>
        <w:t>date.</w:t>
      </w:r>
      <w:r>
        <w:rPr>
          <w:spacing w:val="-4"/>
        </w:rPr>
        <w:t xml:space="preserve"> </w:t>
      </w:r>
      <w:r>
        <w:t>If</w:t>
      </w:r>
      <w:r>
        <w:rPr>
          <w:spacing w:val="-3"/>
        </w:rPr>
        <w:t xml:space="preserve"> </w:t>
      </w:r>
      <w:r>
        <w:t>the</w:t>
      </w:r>
      <w:r>
        <w:rPr>
          <w:spacing w:val="-4"/>
        </w:rPr>
        <w:t xml:space="preserve"> </w:t>
      </w:r>
      <w:r>
        <w:t>percent</w:t>
      </w:r>
      <w:r>
        <w:rPr>
          <w:spacing w:val="-3"/>
        </w:rPr>
        <w:t xml:space="preserve"> </w:t>
      </w:r>
      <w:r>
        <w:t xml:space="preserve">completed is more than 5% delayed from the estimated target milestones shown in the Loan Loss application, the </w:t>
      </w:r>
      <w:r w:rsidR="00082BCF">
        <w:t xml:space="preserve">awardee </w:t>
      </w:r>
      <w:r>
        <w:t>must provide a narrative description explaining the delay.</w:t>
      </w:r>
    </w:p>
    <w:p w:rsidR="00723BFE" w:rsidP="00723BFE" w:rsidRDefault="00723BFE" w14:paraId="0011DF81" w14:textId="77777777">
      <w:pPr>
        <w:pStyle w:val="ListParagraph"/>
        <w:widowControl w:val="0"/>
        <w:numPr>
          <w:ilvl w:val="0"/>
          <w:numId w:val="16"/>
        </w:numPr>
        <w:tabs>
          <w:tab w:val="left" w:pos="839"/>
          <w:tab w:val="left" w:pos="841"/>
        </w:tabs>
        <w:autoSpaceDE w:val="0"/>
        <w:autoSpaceDN w:val="0"/>
        <w:spacing w:after="0"/>
        <w:ind w:left="835" w:right="418"/>
        <w:contextualSpacing w:val="0"/>
      </w:pPr>
      <w:r>
        <w:t>Major</w:t>
      </w:r>
      <w:r w:rsidRPr="00F051FF">
        <w:rPr>
          <w:spacing w:val="-4"/>
        </w:rPr>
        <w:t xml:space="preserve"> </w:t>
      </w:r>
      <w:r>
        <w:t>construction</w:t>
      </w:r>
      <w:r w:rsidRPr="00F051FF">
        <w:rPr>
          <w:spacing w:val="-3"/>
        </w:rPr>
        <w:t xml:space="preserve"> </w:t>
      </w:r>
      <w:r>
        <w:t>milestones</w:t>
      </w:r>
      <w:r w:rsidRPr="00F051FF">
        <w:rPr>
          <w:spacing w:val="-3"/>
        </w:rPr>
        <w:t xml:space="preserve"> </w:t>
      </w:r>
      <w:r>
        <w:t>(including</w:t>
      </w:r>
      <w:r w:rsidRPr="00F051FF">
        <w:rPr>
          <w:spacing w:val="-4"/>
        </w:rPr>
        <w:t xml:space="preserve"> </w:t>
      </w:r>
      <w:r>
        <w:t>a</w:t>
      </w:r>
      <w:r w:rsidRPr="00F051FF">
        <w:rPr>
          <w:spacing w:val="-4"/>
        </w:rPr>
        <w:t xml:space="preserve"> </w:t>
      </w:r>
      <w:r>
        <w:t>reporting</w:t>
      </w:r>
      <w:r w:rsidRPr="00F051FF">
        <w:rPr>
          <w:spacing w:val="-4"/>
        </w:rPr>
        <w:t xml:space="preserve"> </w:t>
      </w:r>
      <w:r>
        <w:t>on</w:t>
      </w:r>
      <w:r w:rsidRPr="00F051FF">
        <w:rPr>
          <w:spacing w:val="-4"/>
        </w:rPr>
        <w:t xml:space="preserve"> </w:t>
      </w:r>
      <w:r>
        <w:t>all</w:t>
      </w:r>
      <w:r w:rsidRPr="00F051FF">
        <w:rPr>
          <w:spacing w:val="-3"/>
        </w:rPr>
        <w:t xml:space="preserve"> </w:t>
      </w:r>
      <w:r>
        <w:t>CEQA</w:t>
      </w:r>
      <w:r w:rsidRPr="00F051FF">
        <w:rPr>
          <w:spacing w:val="-3"/>
        </w:rPr>
        <w:t xml:space="preserve"> </w:t>
      </w:r>
      <w:r>
        <w:t>mitigation</w:t>
      </w:r>
      <w:r w:rsidRPr="00F051FF">
        <w:rPr>
          <w:spacing w:val="-3"/>
        </w:rPr>
        <w:t xml:space="preserve"> </w:t>
      </w:r>
      <w:r>
        <w:t>implementation</w:t>
      </w:r>
      <w:r w:rsidRPr="00F051FF">
        <w:rPr>
          <w:spacing w:val="-4"/>
        </w:rPr>
        <w:t xml:space="preserve"> </w:t>
      </w:r>
      <w:r>
        <w:t>and monitoring activities, if CEQA review was required), date of completion of each task/milestone as</w:t>
      </w:r>
      <w:r w:rsidRPr="00F051FF">
        <w:rPr>
          <w:spacing w:val="-5"/>
        </w:rPr>
        <w:t xml:space="preserve"> </w:t>
      </w:r>
      <w:r>
        <w:t>well</w:t>
      </w:r>
      <w:r w:rsidRPr="00F051FF">
        <w:rPr>
          <w:spacing w:val="-5"/>
        </w:rPr>
        <w:t xml:space="preserve"> </w:t>
      </w:r>
      <w:r>
        <w:t>as</w:t>
      </w:r>
      <w:r w:rsidRPr="00F051FF">
        <w:rPr>
          <w:spacing w:val="-5"/>
        </w:rPr>
        <w:t xml:space="preserve"> </w:t>
      </w:r>
      <w:r>
        <w:t>problems/issues</w:t>
      </w:r>
      <w:r w:rsidRPr="00F051FF">
        <w:rPr>
          <w:spacing w:val="-3"/>
        </w:rPr>
        <w:t xml:space="preserve"> </w:t>
      </w:r>
      <w:r>
        <w:t>encountered,</w:t>
      </w:r>
      <w:r w:rsidRPr="00F051FF">
        <w:rPr>
          <w:spacing w:val="-3"/>
        </w:rPr>
        <w:t xml:space="preserve"> </w:t>
      </w:r>
      <w:r>
        <w:t>and</w:t>
      </w:r>
      <w:r w:rsidRPr="00F051FF">
        <w:rPr>
          <w:spacing w:val="-5"/>
        </w:rPr>
        <w:t xml:space="preserve"> </w:t>
      </w:r>
      <w:r>
        <w:t>actions</w:t>
      </w:r>
      <w:r w:rsidRPr="00F051FF">
        <w:rPr>
          <w:spacing w:val="-3"/>
        </w:rPr>
        <w:t xml:space="preserve"> </w:t>
      </w:r>
      <w:r>
        <w:t>taken</w:t>
      </w:r>
      <w:r w:rsidRPr="00F051FF">
        <w:rPr>
          <w:spacing w:val="-4"/>
        </w:rPr>
        <w:t xml:space="preserve"> </w:t>
      </w:r>
      <w:r>
        <w:t>to</w:t>
      </w:r>
      <w:r w:rsidRPr="00F051FF">
        <w:rPr>
          <w:spacing w:val="-4"/>
        </w:rPr>
        <w:t xml:space="preserve"> </w:t>
      </w:r>
      <w:r>
        <w:t>resolve</w:t>
      </w:r>
      <w:r w:rsidRPr="00F051FF">
        <w:rPr>
          <w:spacing w:val="-5"/>
        </w:rPr>
        <w:t xml:space="preserve"> </w:t>
      </w:r>
      <w:r>
        <w:t>these</w:t>
      </w:r>
      <w:r w:rsidRPr="00F051FF">
        <w:rPr>
          <w:spacing w:val="-4"/>
        </w:rPr>
        <w:t xml:space="preserve"> </w:t>
      </w:r>
      <w:r>
        <w:t>issues/problems during construction (including CEQA compliance, if applicable).</w:t>
      </w:r>
    </w:p>
    <w:p w:rsidR="00723BFE" w:rsidP="00723BFE" w:rsidRDefault="00723BFE" w14:paraId="48B803EC" w14:textId="77777777">
      <w:pPr>
        <w:pStyle w:val="ListParagraph"/>
        <w:widowControl w:val="0"/>
        <w:numPr>
          <w:ilvl w:val="0"/>
          <w:numId w:val="16"/>
        </w:numPr>
        <w:tabs>
          <w:tab w:val="left" w:pos="839"/>
          <w:tab w:val="left" w:pos="840"/>
        </w:tabs>
        <w:autoSpaceDE w:val="0"/>
        <w:autoSpaceDN w:val="0"/>
        <w:spacing w:after="0"/>
        <w:ind w:right="488"/>
        <w:contextualSpacing w:val="0"/>
      </w:pPr>
      <w:r>
        <w:t>Description of any challenges or issues and any risks faced during the reporting period in achieving</w:t>
      </w:r>
      <w:r>
        <w:rPr>
          <w:spacing w:val="-4"/>
        </w:rPr>
        <w:t xml:space="preserve"> </w:t>
      </w:r>
      <w:r>
        <w:t>planned</w:t>
      </w:r>
      <w:r>
        <w:rPr>
          <w:spacing w:val="-4"/>
        </w:rPr>
        <w:t xml:space="preserve"> </w:t>
      </w:r>
      <w:r>
        <w:t>progress</w:t>
      </w:r>
      <w:r>
        <w:rPr>
          <w:spacing w:val="-5"/>
        </w:rPr>
        <w:t xml:space="preserve"> </w:t>
      </w:r>
      <w:r>
        <w:t>on</w:t>
      </w:r>
      <w:r>
        <w:rPr>
          <w:spacing w:val="-5"/>
        </w:rPr>
        <w:t xml:space="preserve"> </w:t>
      </w:r>
      <w:r>
        <w:t>the</w:t>
      </w:r>
      <w:r>
        <w:rPr>
          <w:spacing w:val="-5"/>
        </w:rPr>
        <w:t xml:space="preserve"> </w:t>
      </w:r>
      <w:r>
        <w:t>project,</w:t>
      </w:r>
      <w:r>
        <w:rPr>
          <w:spacing w:val="-5"/>
        </w:rPr>
        <w:t xml:space="preserve"> </w:t>
      </w:r>
      <w:r>
        <w:t>including</w:t>
      </w:r>
      <w:r>
        <w:rPr>
          <w:spacing w:val="-4"/>
        </w:rPr>
        <w:t xml:space="preserve"> </w:t>
      </w:r>
      <w:r>
        <w:t>environmental</w:t>
      </w:r>
      <w:r>
        <w:rPr>
          <w:spacing w:val="-5"/>
        </w:rPr>
        <w:t xml:space="preserve"> </w:t>
      </w:r>
      <w:r>
        <w:t>compliance</w:t>
      </w:r>
      <w:r>
        <w:rPr>
          <w:spacing w:val="-5"/>
        </w:rPr>
        <w:t xml:space="preserve"> </w:t>
      </w:r>
      <w:r>
        <w:t>and</w:t>
      </w:r>
      <w:r>
        <w:rPr>
          <w:spacing w:val="-4"/>
        </w:rPr>
        <w:t xml:space="preserve"> </w:t>
      </w:r>
      <w:r>
        <w:t>permitting challenges if applicable.</w:t>
      </w:r>
    </w:p>
    <w:p w:rsidR="00723BFE" w:rsidP="00723BFE" w:rsidRDefault="00723BFE" w14:paraId="567B4715" w14:textId="77777777">
      <w:pPr>
        <w:pStyle w:val="ListParagraph"/>
        <w:widowControl w:val="0"/>
        <w:numPr>
          <w:ilvl w:val="0"/>
          <w:numId w:val="16"/>
        </w:numPr>
        <w:tabs>
          <w:tab w:val="left" w:pos="839"/>
          <w:tab w:val="left" w:pos="840"/>
        </w:tabs>
        <w:autoSpaceDE w:val="0"/>
        <w:autoSpaceDN w:val="0"/>
        <w:spacing w:after="0"/>
        <w:ind w:right="889"/>
        <w:contextualSpacing w:val="0"/>
      </w:pPr>
      <w:r>
        <w:t>Description</w:t>
      </w:r>
      <w:r>
        <w:rPr>
          <w:spacing w:val="-5"/>
        </w:rPr>
        <w:t xml:space="preserve"> </w:t>
      </w:r>
      <w:r>
        <w:t>of</w:t>
      </w:r>
      <w:r>
        <w:rPr>
          <w:spacing w:val="-5"/>
        </w:rPr>
        <w:t xml:space="preserve"> </w:t>
      </w:r>
      <w:r>
        <w:t>significant</w:t>
      </w:r>
      <w:r>
        <w:rPr>
          <w:spacing w:val="-4"/>
        </w:rPr>
        <w:t xml:space="preserve"> </w:t>
      </w:r>
      <w:r>
        <w:t>project</w:t>
      </w:r>
      <w:r>
        <w:rPr>
          <w:spacing w:val="-5"/>
        </w:rPr>
        <w:t xml:space="preserve"> </w:t>
      </w:r>
      <w:r>
        <w:t>milestones</w:t>
      </w:r>
      <w:r>
        <w:rPr>
          <w:spacing w:val="-5"/>
        </w:rPr>
        <w:t xml:space="preserve"> </w:t>
      </w:r>
      <w:r>
        <w:t>or</w:t>
      </w:r>
      <w:r>
        <w:rPr>
          <w:spacing w:val="-5"/>
        </w:rPr>
        <w:t xml:space="preserve"> </w:t>
      </w:r>
      <w:r>
        <w:t>accomplishments</w:t>
      </w:r>
      <w:r>
        <w:rPr>
          <w:spacing w:val="-3"/>
        </w:rPr>
        <w:t xml:space="preserve"> </w:t>
      </w:r>
      <w:r>
        <w:t>planned</w:t>
      </w:r>
      <w:r>
        <w:rPr>
          <w:spacing w:val="-4"/>
        </w:rPr>
        <w:t xml:space="preserve"> </w:t>
      </w:r>
      <w:r>
        <w:t>for</w:t>
      </w:r>
      <w:r>
        <w:rPr>
          <w:spacing w:val="-5"/>
        </w:rPr>
        <w:t xml:space="preserve"> </w:t>
      </w:r>
      <w:r>
        <w:t>the</w:t>
      </w:r>
      <w:r>
        <w:rPr>
          <w:spacing w:val="-5"/>
        </w:rPr>
        <w:t xml:space="preserve"> </w:t>
      </w:r>
      <w:r>
        <w:t>following reporting period.</w:t>
      </w:r>
    </w:p>
    <w:p w:rsidR="00723BFE" w:rsidP="00723BFE" w:rsidRDefault="00723BFE" w14:paraId="5262C9A5" w14:textId="3FF7F6AF">
      <w:pPr>
        <w:pStyle w:val="ListParagraph"/>
        <w:widowControl w:val="0"/>
        <w:numPr>
          <w:ilvl w:val="0"/>
          <w:numId w:val="16"/>
        </w:numPr>
        <w:tabs>
          <w:tab w:val="left" w:pos="839"/>
          <w:tab w:val="left" w:pos="840"/>
        </w:tabs>
        <w:autoSpaceDE w:val="0"/>
        <w:autoSpaceDN w:val="0"/>
        <w:spacing w:after="0"/>
        <w:ind w:right="385"/>
        <w:contextualSpacing w:val="0"/>
      </w:pPr>
      <w:r>
        <w:t>Projected date</w:t>
      </w:r>
      <w:r>
        <w:rPr>
          <w:spacing w:val="-4"/>
        </w:rPr>
        <w:t xml:space="preserve"> </w:t>
      </w:r>
      <w:r>
        <w:t>of</w:t>
      </w:r>
      <w:r>
        <w:rPr>
          <w:spacing w:val="-2"/>
        </w:rPr>
        <w:t xml:space="preserve"> </w:t>
      </w:r>
      <w:r>
        <w:t>completion</w:t>
      </w:r>
      <w:r>
        <w:rPr>
          <w:spacing w:val="-4"/>
        </w:rPr>
        <w:t xml:space="preserve"> </w:t>
      </w:r>
      <w:r>
        <w:t>of</w:t>
      </w:r>
      <w:r>
        <w:rPr>
          <w:spacing w:val="-4"/>
        </w:rPr>
        <w:t xml:space="preserve"> </w:t>
      </w:r>
      <w:r>
        <w:t>the</w:t>
      </w:r>
      <w:r>
        <w:rPr>
          <w:spacing w:val="-3"/>
        </w:rPr>
        <w:t xml:space="preserve"> </w:t>
      </w:r>
      <w:r>
        <w:t>project,</w:t>
      </w:r>
      <w:r>
        <w:rPr>
          <w:spacing w:val="-2"/>
        </w:rPr>
        <w:t xml:space="preserve"> </w:t>
      </w:r>
      <w:r>
        <w:t>problems/issues</w:t>
      </w:r>
      <w:r>
        <w:rPr>
          <w:spacing w:val="-3"/>
        </w:rPr>
        <w:t xml:space="preserve"> </w:t>
      </w:r>
      <w:r>
        <w:t>encountered</w:t>
      </w:r>
      <w:r>
        <w:rPr>
          <w:spacing w:val="-4"/>
        </w:rPr>
        <w:t xml:space="preserve"> </w:t>
      </w:r>
      <w:r>
        <w:t>since</w:t>
      </w:r>
      <w:r>
        <w:rPr>
          <w:spacing w:val="-4"/>
        </w:rPr>
        <w:t xml:space="preserve"> </w:t>
      </w:r>
      <w:r>
        <w:t>previous</w:t>
      </w:r>
      <w:r>
        <w:rPr>
          <w:spacing w:val="-3"/>
        </w:rPr>
        <w:t xml:space="preserve"> </w:t>
      </w:r>
      <w:r>
        <w:t>bi-annual</w:t>
      </w:r>
      <w:r w:rsidR="00AC1F74">
        <w:t xml:space="preserve"> progress</w:t>
      </w:r>
      <w:r>
        <w:rPr>
          <w:spacing w:val="-3"/>
        </w:rPr>
        <w:t xml:space="preserve"> </w:t>
      </w:r>
      <w:r>
        <w:t>report and actions taken to resolve these issues/problems during construction (and comprehensive reporting on CEQA mitigation compliance, if applicable).</w:t>
      </w:r>
    </w:p>
    <w:p w:rsidRPr="00F31C2C" w:rsidR="00723BFE" w:rsidP="00723BFE" w:rsidRDefault="00723BFE" w14:paraId="32DE90B0" w14:textId="77777777">
      <w:pPr>
        <w:pStyle w:val="ListParagraph"/>
        <w:widowControl w:val="0"/>
        <w:numPr>
          <w:ilvl w:val="0"/>
          <w:numId w:val="16"/>
        </w:numPr>
        <w:tabs>
          <w:tab w:val="left" w:pos="839"/>
          <w:tab w:val="left" w:pos="840"/>
        </w:tabs>
        <w:autoSpaceDE w:val="0"/>
        <w:autoSpaceDN w:val="0"/>
        <w:spacing w:after="0" w:line="279" w:lineRule="exact"/>
        <w:ind w:hanging="361"/>
        <w:contextualSpacing w:val="0"/>
      </w:pPr>
      <w:r>
        <w:t>Certification</w:t>
      </w:r>
      <w:r>
        <w:rPr>
          <w:spacing w:val="-7"/>
        </w:rPr>
        <w:t xml:space="preserve"> </w:t>
      </w:r>
      <w:r>
        <w:t>that</w:t>
      </w:r>
      <w:r>
        <w:rPr>
          <w:spacing w:val="-8"/>
        </w:rPr>
        <w:t xml:space="preserve"> </w:t>
      </w:r>
      <w:r>
        <w:t>each</w:t>
      </w:r>
      <w:r>
        <w:rPr>
          <w:spacing w:val="-7"/>
        </w:rPr>
        <w:t xml:space="preserve"> </w:t>
      </w:r>
      <w:r>
        <w:t>progress</w:t>
      </w:r>
      <w:r>
        <w:rPr>
          <w:spacing w:val="-7"/>
        </w:rPr>
        <w:t xml:space="preserve"> </w:t>
      </w:r>
      <w:r>
        <w:t>report</w:t>
      </w:r>
      <w:r>
        <w:rPr>
          <w:spacing w:val="-8"/>
        </w:rPr>
        <w:t xml:space="preserve"> </w:t>
      </w:r>
      <w:r>
        <w:t>is</w:t>
      </w:r>
      <w:r>
        <w:rPr>
          <w:spacing w:val="-8"/>
        </w:rPr>
        <w:t xml:space="preserve"> </w:t>
      </w:r>
      <w:r>
        <w:t>true</w:t>
      </w:r>
      <w:r>
        <w:rPr>
          <w:spacing w:val="-7"/>
        </w:rPr>
        <w:t xml:space="preserve"> </w:t>
      </w:r>
      <w:r>
        <w:t>and</w:t>
      </w:r>
      <w:r>
        <w:rPr>
          <w:spacing w:val="-7"/>
        </w:rPr>
        <w:t xml:space="preserve"> </w:t>
      </w:r>
      <w:r>
        <w:t>correct,</w:t>
      </w:r>
      <w:r>
        <w:rPr>
          <w:spacing w:val="-8"/>
        </w:rPr>
        <w:t xml:space="preserve"> </w:t>
      </w:r>
      <w:r>
        <w:t>under</w:t>
      </w:r>
      <w:r>
        <w:rPr>
          <w:spacing w:val="-5"/>
        </w:rPr>
        <w:t xml:space="preserve"> </w:t>
      </w:r>
      <w:r>
        <w:t>penalty</w:t>
      </w:r>
      <w:r>
        <w:rPr>
          <w:spacing w:val="-6"/>
        </w:rPr>
        <w:t xml:space="preserve"> </w:t>
      </w:r>
      <w:r>
        <w:t>of</w:t>
      </w:r>
      <w:r>
        <w:rPr>
          <w:spacing w:val="-8"/>
        </w:rPr>
        <w:t xml:space="preserve"> </w:t>
      </w:r>
      <w:r>
        <w:rPr>
          <w:spacing w:val="-2"/>
        </w:rPr>
        <w:t>perjury.</w:t>
      </w:r>
    </w:p>
    <w:p w:rsidRPr="00455479" w:rsidR="00455479" w:rsidP="00455479" w:rsidRDefault="00455479" w14:paraId="1D0C86D9" w14:textId="5CB81F93">
      <w:pPr>
        <w:ind w:left="360"/>
      </w:pPr>
    </w:p>
    <w:p w:rsidRPr="00590BA3" w:rsidR="00590BA3" w:rsidP="00590BA3" w:rsidRDefault="00590BA3" w14:paraId="2A8F3408" w14:textId="77777777">
      <w:bookmarkStart w:name="_Toc143252525" w:id="132"/>
      <w:bookmarkStart w:name="_Toc143252599" w:id="133"/>
      <w:bookmarkStart w:name="_Toc143515946" w:id="134"/>
      <w:bookmarkStart w:name="_Toc149030788" w:id="135"/>
      <w:bookmarkStart w:name="_Toc149134363" w:id="136"/>
      <w:bookmarkEnd w:id="132"/>
      <w:bookmarkEnd w:id="133"/>
      <w:bookmarkEnd w:id="134"/>
      <w:bookmarkEnd w:id="135"/>
      <w:bookmarkEnd w:id="136"/>
    </w:p>
    <w:p w:rsidRPr="00590BA3" w:rsidR="00590BA3" w:rsidP="00590BA3" w:rsidRDefault="00590BA3" w14:paraId="70B2512A" w14:textId="77777777">
      <w:bookmarkStart w:name="_Toc143252526" w:id="137"/>
      <w:bookmarkStart w:name="_Toc143252600" w:id="138"/>
      <w:bookmarkStart w:name="_Toc143515947" w:id="139"/>
      <w:bookmarkStart w:name="_Toc149030789" w:id="140"/>
      <w:bookmarkStart w:name="_Toc149134364" w:id="141"/>
      <w:bookmarkEnd w:id="137"/>
      <w:bookmarkEnd w:id="138"/>
      <w:bookmarkEnd w:id="139"/>
      <w:bookmarkEnd w:id="140"/>
      <w:bookmarkEnd w:id="141"/>
    </w:p>
    <w:p w:rsidRPr="00590BA3" w:rsidR="00590BA3" w:rsidP="00590BA3" w:rsidRDefault="00590BA3" w14:paraId="5EC69BFA" w14:textId="77777777">
      <w:bookmarkStart w:name="_Toc143252527" w:id="142"/>
      <w:bookmarkStart w:name="_Toc143252601" w:id="143"/>
      <w:bookmarkStart w:name="_Toc143515948" w:id="144"/>
      <w:bookmarkStart w:name="_Toc149030790" w:id="145"/>
      <w:bookmarkStart w:name="_Toc149134365" w:id="146"/>
      <w:bookmarkEnd w:id="142"/>
      <w:bookmarkEnd w:id="143"/>
      <w:bookmarkEnd w:id="144"/>
      <w:bookmarkEnd w:id="145"/>
      <w:bookmarkEnd w:id="146"/>
    </w:p>
    <w:p w:rsidRPr="00590BA3" w:rsidR="00590BA3" w:rsidP="00590BA3" w:rsidRDefault="00590BA3" w14:paraId="23754A87" w14:textId="77777777">
      <w:bookmarkStart w:name="_Toc143252528" w:id="147"/>
      <w:bookmarkStart w:name="_Toc143252602" w:id="148"/>
      <w:bookmarkStart w:name="_Toc143515949" w:id="149"/>
      <w:bookmarkStart w:name="_Toc149030791" w:id="150"/>
      <w:bookmarkStart w:name="_Toc149134366" w:id="151"/>
      <w:bookmarkEnd w:id="147"/>
      <w:bookmarkEnd w:id="148"/>
      <w:bookmarkEnd w:id="149"/>
      <w:bookmarkEnd w:id="150"/>
      <w:bookmarkEnd w:id="151"/>
    </w:p>
    <w:p w:rsidRPr="00590BA3" w:rsidR="00590BA3" w:rsidP="00590BA3" w:rsidRDefault="00590BA3" w14:paraId="7E4F6E0B" w14:textId="77777777">
      <w:bookmarkStart w:name="_Toc143252529" w:id="152"/>
      <w:bookmarkStart w:name="_Toc143252603" w:id="153"/>
      <w:bookmarkStart w:name="_Toc143515950" w:id="154"/>
      <w:bookmarkStart w:name="_Toc149030792" w:id="155"/>
      <w:bookmarkStart w:name="_Toc149134367" w:id="156"/>
      <w:bookmarkEnd w:id="152"/>
      <w:bookmarkEnd w:id="153"/>
      <w:bookmarkEnd w:id="154"/>
      <w:bookmarkEnd w:id="155"/>
      <w:bookmarkEnd w:id="156"/>
    </w:p>
    <w:p w:rsidR="00B87F3D" w:rsidP="00857B4F" w:rsidRDefault="00B87F3D" w14:paraId="37D9E7C8" w14:textId="65B8D1A4">
      <w:pPr>
        <w:pStyle w:val="Heading2"/>
        <w:numPr>
          <w:ilvl w:val="1"/>
          <w:numId w:val="29"/>
        </w:numPr>
      </w:pPr>
      <w:bookmarkStart w:name="_Toc149134368" w:id="157"/>
      <w:r>
        <w:t>Completion Reporting</w:t>
      </w:r>
      <w:bookmarkEnd w:id="157"/>
    </w:p>
    <w:p w:rsidR="00D61456" w:rsidP="000632FB" w:rsidRDefault="000632FB" w14:paraId="0EF7777E" w14:textId="76918D67">
      <w:pPr>
        <w:pStyle w:val="BodyText"/>
        <w:spacing w:before="26" w:line="259" w:lineRule="auto"/>
        <w:ind w:left="360" w:right="415"/>
      </w:pPr>
      <w:r>
        <w:t xml:space="preserve">In addition to </w:t>
      </w:r>
      <w:r w:rsidR="00BF1EE9">
        <w:t xml:space="preserve">the </w:t>
      </w:r>
      <w:r>
        <w:t>bi-annual</w:t>
      </w:r>
      <w:r w:rsidR="000D7571">
        <w:t xml:space="preserve"> progress</w:t>
      </w:r>
      <w:r>
        <w:t xml:space="preserve"> reporting requirements, awardees will file</w:t>
      </w:r>
      <w:r w:rsidDel="004E3272">
        <w:t xml:space="preserve"> </w:t>
      </w:r>
      <w:r>
        <w:t>a completion report</w:t>
      </w:r>
      <w:r w:rsidR="00662CF2">
        <w:t>, per Public</w:t>
      </w:r>
      <w:r w:rsidR="00662CF2">
        <w:rPr>
          <w:spacing w:val="-2"/>
        </w:rPr>
        <w:t xml:space="preserve"> </w:t>
      </w:r>
      <w:r w:rsidR="00662CF2">
        <w:t>Utilities</w:t>
      </w:r>
      <w:r w:rsidR="00662CF2">
        <w:rPr>
          <w:spacing w:val="-2"/>
        </w:rPr>
        <w:t xml:space="preserve"> </w:t>
      </w:r>
      <w:r w:rsidR="00662CF2">
        <w:t>Code</w:t>
      </w:r>
      <w:r w:rsidR="00662CF2">
        <w:rPr>
          <w:spacing w:val="-3"/>
        </w:rPr>
        <w:t xml:space="preserve"> </w:t>
      </w:r>
      <w:r w:rsidR="00662CF2">
        <w:t>281.2(d)(2)</w:t>
      </w:r>
      <w:r>
        <w:rPr>
          <w:spacing w:val="-3"/>
        </w:rPr>
        <w:t xml:space="preserve"> </w:t>
      </w:r>
      <w:r>
        <w:t>within</w:t>
      </w:r>
      <w:r>
        <w:rPr>
          <w:spacing w:val="-2"/>
        </w:rPr>
        <w:t xml:space="preserve"> </w:t>
      </w:r>
      <w:r>
        <w:t>30</w:t>
      </w:r>
      <w:r>
        <w:rPr>
          <w:spacing w:val="-3"/>
        </w:rPr>
        <w:t xml:space="preserve"> </w:t>
      </w:r>
      <w:r>
        <w:t>days</w:t>
      </w:r>
      <w:r>
        <w:rPr>
          <w:spacing w:val="-3"/>
        </w:rPr>
        <w:t xml:space="preserve"> </w:t>
      </w:r>
      <w:r>
        <w:t>of the project completion date.</w:t>
      </w:r>
      <w:r w:rsidR="00D61456">
        <w:t xml:space="preserve"> </w:t>
      </w:r>
      <w:r w:rsidR="00FB0AC6">
        <w:t>Commission</w:t>
      </w:r>
      <w:r w:rsidR="00D61456">
        <w:t xml:space="preserve"> Staff will provide guidance and a template to awardees for completion reporting.</w:t>
      </w:r>
    </w:p>
    <w:p w:rsidR="000632FB" w:rsidP="000632FB" w:rsidRDefault="000632FB" w14:paraId="7C1B6B62" w14:textId="48EA9B22">
      <w:pPr>
        <w:pStyle w:val="BodyText"/>
        <w:spacing w:before="26" w:line="259" w:lineRule="auto"/>
        <w:ind w:left="360" w:right="415"/>
      </w:pPr>
      <w:r>
        <w:t>The completion report will contain the following:</w:t>
      </w:r>
    </w:p>
    <w:p w:rsidR="000632FB" w:rsidP="000632FB" w:rsidRDefault="000632FB" w14:paraId="42F377F3" w14:textId="77777777">
      <w:pPr>
        <w:pStyle w:val="ListParagraph"/>
        <w:widowControl w:val="0"/>
        <w:numPr>
          <w:ilvl w:val="3"/>
          <w:numId w:val="17"/>
        </w:numPr>
        <w:tabs>
          <w:tab w:val="left" w:pos="839"/>
          <w:tab w:val="left" w:pos="840"/>
        </w:tabs>
        <w:autoSpaceDE w:val="0"/>
        <w:autoSpaceDN w:val="0"/>
        <w:spacing w:before="179" w:after="0"/>
        <w:ind w:right="639" w:hanging="361"/>
        <w:contextualSpacing w:val="0"/>
      </w:pPr>
      <w:r>
        <w:t>Description</w:t>
      </w:r>
      <w:r>
        <w:rPr>
          <w:spacing w:val="-4"/>
        </w:rPr>
        <w:t xml:space="preserve"> </w:t>
      </w:r>
      <w:r>
        <w:t>of</w:t>
      </w:r>
      <w:r>
        <w:rPr>
          <w:spacing w:val="-4"/>
        </w:rPr>
        <w:t xml:space="preserve"> </w:t>
      </w:r>
      <w:r>
        <w:t>the</w:t>
      </w:r>
      <w:r>
        <w:rPr>
          <w:spacing w:val="-3"/>
        </w:rPr>
        <w:t xml:space="preserve"> </w:t>
      </w:r>
      <w:r>
        <w:t>project,</w:t>
      </w:r>
      <w:r>
        <w:rPr>
          <w:spacing w:val="-2"/>
        </w:rPr>
        <w:t xml:space="preserve"> </w:t>
      </w:r>
      <w:r>
        <w:t>including</w:t>
      </w:r>
      <w:r>
        <w:rPr>
          <w:spacing w:val="-3"/>
        </w:rPr>
        <w:t xml:space="preserve"> </w:t>
      </w:r>
      <w:r>
        <w:t>any</w:t>
      </w:r>
      <w:r>
        <w:rPr>
          <w:spacing w:val="-3"/>
        </w:rPr>
        <w:t xml:space="preserve"> </w:t>
      </w:r>
      <w:r>
        <w:t>changes</w:t>
      </w:r>
      <w:r>
        <w:rPr>
          <w:spacing w:val="-3"/>
        </w:rPr>
        <w:t xml:space="preserve"> </w:t>
      </w:r>
      <w:r>
        <w:t>in</w:t>
      </w:r>
      <w:r>
        <w:rPr>
          <w:spacing w:val="-3"/>
        </w:rPr>
        <w:t xml:space="preserve"> </w:t>
      </w:r>
      <w:r>
        <w:t>the</w:t>
      </w:r>
      <w:r>
        <w:rPr>
          <w:spacing w:val="-4"/>
        </w:rPr>
        <w:t xml:space="preserve"> </w:t>
      </w:r>
      <w:r>
        <w:t>project</w:t>
      </w:r>
      <w:r>
        <w:rPr>
          <w:spacing w:val="-3"/>
        </w:rPr>
        <w:t xml:space="preserve"> </w:t>
      </w:r>
      <w:r>
        <w:t>construction</w:t>
      </w:r>
      <w:r>
        <w:rPr>
          <w:spacing w:val="-4"/>
        </w:rPr>
        <w:t xml:space="preserve"> </w:t>
      </w:r>
      <w:r>
        <w:t>and</w:t>
      </w:r>
      <w:r>
        <w:rPr>
          <w:spacing w:val="-4"/>
        </w:rPr>
        <w:t xml:space="preserve"> </w:t>
      </w:r>
      <w:r>
        <w:t>alignment,</w:t>
      </w:r>
      <w:r>
        <w:rPr>
          <w:spacing w:val="-4"/>
        </w:rPr>
        <w:t xml:space="preserve"> </w:t>
      </w:r>
      <w:r>
        <w:t xml:space="preserve">if </w:t>
      </w:r>
      <w:r>
        <w:rPr>
          <w:spacing w:val="-2"/>
        </w:rPr>
        <w:t>applicable.</w:t>
      </w:r>
    </w:p>
    <w:p w:rsidRPr="00F051FF" w:rsidR="000632FB" w:rsidP="000632FB" w:rsidRDefault="000632FB" w14:paraId="114D8E1B" w14:textId="77777777">
      <w:pPr>
        <w:pStyle w:val="ListParagraph"/>
        <w:widowControl w:val="0"/>
        <w:numPr>
          <w:ilvl w:val="3"/>
          <w:numId w:val="17"/>
        </w:numPr>
        <w:tabs>
          <w:tab w:val="left" w:pos="839"/>
          <w:tab w:val="left" w:pos="840"/>
        </w:tabs>
        <w:autoSpaceDE w:val="0"/>
        <w:autoSpaceDN w:val="0"/>
        <w:spacing w:after="0" w:line="280" w:lineRule="exact"/>
        <w:ind w:left="839" w:hanging="361"/>
        <w:contextualSpacing w:val="0"/>
      </w:pPr>
      <w:r>
        <w:t>Comparison</w:t>
      </w:r>
      <w:r>
        <w:rPr>
          <w:spacing w:val="-9"/>
        </w:rPr>
        <w:t xml:space="preserve"> </w:t>
      </w:r>
      <w:r>
        <w:t>of</w:t>
      </w:r>
      <w:r>
        <w:rPr>
          <w:spacing w:val="-8"/>
        </w:rPr>
        <w:t xml:space="preserve"> </w:t>
      </w:r>
      <w:r>
        <w:t>approved</w:t>
      </w:r>
      <w:r>
        <w:rPr>
          <w:spacing w:val="-7"/>
        </w:rPr>
        <w:t xml:space="preserve"> </w:t>
      </w:r>
      <w:r>
        <w:t>versus</w:t>
      </w:r>
      <w:r>
        <w:rPr>
          <w:spacing w:val="-8"/>
        </w:rPr>
        <w:t xml:space="preserve"> </w:t>
      </w:r>
      <w:r>
        <w:t>actual</w:t>
      </w:r>
      <w:r>
        <w:rPr>
          <w:spacing w:val="-8"/>
        </w:rPr>
        <w:t xml:space="preserve"> </w:t>
      </w:r>
      <w:r>
        <w:t>costs</w:t>
      </w:r>
      <w:r>
        <w:rPr>
          <w:spacing w:val="-8"/>
        </w:rPr>
        <w:t xml:space="preserve"> </w:t>
      </w:r>
      <w:r>
        <w:t>of</w:t>
      </w:r>
      <w:r>
        <w:rPr>
          <w:spacing w:val="-8"/>
        </w:rPr>
        <w:t xml:space="preserve"> </w:t>
      </w:r>
      <w:r>
        <w:rPr>
          <w:spacing w:val="-2"/>
        </w:rPr>
        <w:t>construction.</w:t>
      </w:r>
    </w:p>
    <w:p w:rsidR="000632FB" w:rsidP="000632FB" w:rsidRDefault="000632FB" w14:paraId="675159B4" w14:textId="77777777">
      <w:pPr>
        <w:pStyle w:val="ListParagraph"/>
        <w:widowControl w:val="0"/>
        <w:numPr>
          <w:ilvl w:val="3"/>
          <w:numId w:val="17"/>
        </w:numPr>
        <w:tabs>
          <w:tab w:val="left" w:pos="839"/>
          <w:tab w:val="left" w:pos="840"/>
        </w:tabs>
        <w:autoSpaceDE w:val="0"/>
        <w:autoSpaceDN w:val="0"/>
        <w:spacing w:after="0"/>
        <w:ind w:left="835" w:right="1310"/>
        <w:contextualSpacing w:val="0"/>
      </w:pPr>
      <w:r>
        <w:t>Description</w:t>
      </w:r>
      <w:r>
        <w:rPr>
          <w:spacing w:val="-4"/>
        </w:rPr>
        <w:t xml:space="preserve"> </w:t>
      </w:r>
      <w:r>
        <w:t>of</w:t>
      </w:r>
      <w:r>
        <w:rPr>
          <w:spacing w:val="-4"/>
        </w:rPr>
        <w:t xml:space="preserve"> </w:t>
      </w:r>
      <w:r>
        <w:t>status</w:t>
      </w:r>
      <w:r>
        <w:rPr>
          <w:spacing w:val="-4"/>
        </w:rPr>
        <w:t xml:space="preserve"> </w:t>
      </w:r>
      <w:r>
        <w:t>of</w:t>
      </w:r>
      <w:r>
        <w:rPr>
          <w:spacing w:val="-4"/>
        </w:rPr>
        <w:t xml:space="preserve"> </w:t>
      </w:r>
      <w:r>
        <w:t>progress</w:t>
      </w:r>
      <w:r>
        <w:rPr>
          <w:spacing w:val="-4"/>
        </w:rPr>
        <w:t xml:space="preserve"> </w:t>
      </w:r>
      <w:r>
        <w:t>as</w:t>
      </w:r>
      <w:r>
        <w:rPr>
          <w:spacing w:val="-4"/>
        </w:rPr>
        <w:t xml:space="preserve"> </w:t>
      </w:r>
      <w:r>
        <w:t>compared</w:t>
      </w:r>
      <w:r>
        <w:rPr>
          <w:spacing w:val="-4"/>
        </w:rPr>
        <w:t xml:space="preserve"> </w:t>
      </w:r>
      <w:r>
        <w:t>with</w:t>
      </w:r>
      <w:r>
        <w:rPr>
          <w:spacing w:val="-3"/>
        </w:rPr>
        <w:t xml:space="preserve"> </w:t>
      </w:r>
      <w:r>
        <w:t>Deployment</w:t>
      </w:r>
      <w:r>
        <w:rPr>
          <w:spacing w:val="-3"/>
        </w:rPr>
        <w:t xml:space="preserve"> </w:t>
      </w:r>
      <w:r>
        <w:t>Schedule</w:t>
      </w:r>
      <w:r>
        <w:rPr>
          <w:spacing w:val="-4"/>
        </w:rPr>
        <w:t xml:space="preserve"> </w:t>
      </w:r>
      <w:r>
        <w:t>proposed</w:t>
      </w:r>
      <w:r>
        <w:rPr>
          <w:spacing w:val="-4"/>
        </w:rPr>
        <w:t xml:space="preserve"> </w:t>
      </w:r>
      <w:r>
        <w:t xml:space="preserve">in </w:t>
      </w:r>
      <w:r>
        <w:rPr>
          <w:spacing w:val="-2"/>
        </w:rPr>
        <w:t>application.</w:t>
      </w:r>
    </w:p>
    <w:p w:rsidR="000632FB" w:rsidP="000632FB" w:rsidRDefault="000632FB" w14:paraId="36EB3B90" w14:textId="77777777">
      <w:pPr>
        <w:pStyle w:val="ListParagraph"/>
        <w:widowControl w:val="0"/>
        <w:numPr>
          <w:ilvl w:val="3"/>
          <w:numId w:val="17"/>
        </w:numPr>
        <w:tabs>
          <w:tab w:val="left" w:pos="839"/>
          <w:tab w:val="left" w:pos="840"/>
        </w:tabs>
        <w:autoSpaceDE w:val="0"/>
        <w:autoSpaceDN w:val="0"/>
        <w:spacing w:after="0" w:line="280" w:lineRule="exact"/>
        <w:ind w:left="839" w:hanging="361"/>
        <w:contextualSpacing w:val="0"/>
      </w:pPr>
      <w:r>
        <w:t>Subscribership</w:t>
      </w:r>
      <w:r>
        <w:rPr>
          <w:spacing w:val="-13"/>
        </w:rPr>
        <w:t xml:space="preserve"> </w:t>
      </w:r>
      <w:r>
        <w:t>information</w:t>
      </w:r>
      <w:r>
        <w:rPr>
          <w:spacing w:val="-11"/>
        </w:rPr>
        <w:t xml:space="preserve"> </w:t>
      </w:r>
      <w:r>
        <w:t>to</w:t>
      </w:r>
      <w:r>
        <w:rPr>
          <w:spacing w:val="-11"/>
        </w:rPr>
        <w:t xml:space="preserve"> </w:t>
      </w:r>
      <w:r>
        <w:rPr>
          <w:spacing w:val="-4"/>
        </w:rPr>
        <w:t>date.</w:t>
      </w:r>
    </w:p>
    <w:p w:rsidR="000632FB" w:rsidP="000632FB" w:rsidRDefault="000632FB" w14:paraId="7958CFBC" w14:textId="77777777">
      <w:pPr>
        <w:pStyle w:val="ListParagraph"/>
        <w:widowControl w:val="0"/>
        <w:numPr>
          <w:ilvl w:val="4"/>
          <w:numId w:val="17"/>
        </w:numPr>
        <w:tabs>
          <w:tab w:val="left" w:pos="1560"/>
        </w:tabs>
        <w:autoSpaceDE w:val="0"/>
        <w:autoSpaceDN w:val="0"/>
        <w:spacing w:before="21" w:after="0" w:line="252" w:lineRule="auto"/>
        <w:ind w:right="676"/>
        <w:contextualSpacing w:val="0"/>
      </w:pPr>
      <w:r>
        <w:t>Projected</w:t>
      </w:r>
      <w:r>
        <w:rPr>
          <w:spacing w:val="-4"/>
        </w:rPr>
        <w:t xml:space="preserve"> </w:t>
      </w:r>
      <w:r>
        <w:t>subscribers</w:t>
      </w:r>
      <w:r>
        <w:rPr>
          <w:spacing w:val="-4"/>
        </w:rPr>
        <w:t xml:space="preserve"> </w:t>
      </w:r>
      <w:r>
        <w:t>versus</w:t>
      </w:r>
      <w:r>
        <w:rPr>
          <w:spacing w:val="-4"/>
        </w:rPr>
        <w:t xml:space="preserve"> </w:t>
      </w:r>
      <w:r>
        <w:t>actual</w:t>
      </w:r>
      <w:r>
        <w:rPr>
          <w:spacing w:val="-4"/>
        </w:rPr>
        <w:t xml:space="preserve"> </w:t>
      </w:r>
      <w:r>
        <w:t>subscribers</w:t>
      </w:r>
      <w:r>
        <w:rPr>
          <w:spacing w:val="-4"/>
        </w:rPr>
        <w:t xml:space="preserve"> </w:t>
      </w:r>
      <w:r>
        <w:t>(by</w:t>
      </w:r>
      <w:r>
        <w:rPr>
          <w:spacing w:val="-4"/>
        </w:rPr>
        <w:t xml:space="preserve"> </w:t>
      </w:r>
      <w:r>
        <w:t>subscriber</w:t>
      </w:r>
      <w:r>
        <w:rPr>
          <w:spacing w:val="-3"/>
        </w:rPr>
        <w:t xml:space="preserve"> </w:t>
      </w:r>
      <w:r>
        <w:t>type),</w:t>
      </w:r>
      <w:r>
        <w:rPr>
          <w:spacing w:val="-4"/>
        </w:rPr>
        <w:t xml:space="preserve"> </w:t>
      </w:r>
      <w:r>
        <w:t>as</w:t>
      </w:r>
      <w:r>
        <w:rPr>
          <w:spacing w:val="-4"/>
        </w:rPr>
        <w:t xml:space="preserve"> </w:t>
      </w:r>
      <w:r>
        <w:t>of</w:t>
      </w:r>
      <w:r>
        <w:rPr>
          <w:spacing w:val="-4"/>
        </w:rPr>
        <w:t xml:space="preserve"> </w:t>
      </w:r>
      <w:r>
        <w:t>the</w:t>
      </w:r>
      <w:r>
        <w:rPr>
          <w:spacing w:val="-3"/>
        </w:rPr>
        <w:t xml:space="preserve"> </w:t>
      </w:r>
      <w:r>
        <w:t>date</w:t>
      </w:r>
      <w:r>
        <w:rPr>
          <w:spacing w:val="-4"/>
        </w:rPr>
        <w:t xml:space="preserve"> </w:t>
      </w:r>
      <w:r>
        <w:t>of the completion report.</w:t>
      </w:r>
    </w:p>
    <w:p w:rsidR="000632FB" w:rsidP="000632FB" w:rsidRDefault="000632FB" w14:paraId="5F2669FD" w14:textId="77777777">
      <w:pPr>
        <w:pStyle w:val="ListParagraph"/>
        <w:widowControl w:val="0"/>
        <w:numPr>
          <w:ilvl w:val="4"/>
          <w:numId w:val="17"/>
        </w:numPr>
        <w:tabs>
          <w:tab w:val="left" w:pos="1560"/>
        </w:tabs>
        <w:autoSpaceDE w:val="0"/>
        <w:autoSpaceDN w:val="0"/>
        <w:spacing w:before="9" w:after="0" w:line="240" w:lineRule="auto"/>
        <w:ind w:hanging="361"/>
        <w:contextualSpacing w:val="0"/>
      </w:pPr>
      <w:r>
        <w:t>The</w:t>
      </w:r>
      <w:r>
        <w:rPr>
          <w:spacing w:val="-9"/>
        </w:rPr>
        <w:t xml:space="preserve"> </w:t>
      </w:r>
      <w:r>
        <w:t>actual</w:t>
      </w:r>
      <w:r>
        <w:rPr>
          <w:spacing w:val="-7"/>
        </w:rPr>
        <w:t xml:space="preserve"> </w:t>
      </w:r>
      <w:r>
        <w:t>number</w:t>
      </w:r>
      <w:r>
        <w:rPr>
          <w:spacing w:val="-9"/>
        </w:rPr>
        <w:t xml:space="preserve"> </w:t>
      </w:r>
      <w:r>
        <w:t>of</w:t>
      </w:r>
      <w:r>
        <w:rPr>
          <w:spacing w:val="-7"/>
        </w:rPr>
        <w:t xml:space="preserve"> </w:t>
      </w:r>
      <w:r>
        <w:t>current</w:t>
      </w:r>
      <w:r>
        <w:rPr>
          <w:spacing w:val="-9"/>
        </w:rPr>
        <w:t xml:space="preserve"> </w:t>
      </w:r>
      <w:r>
        <w:t>subscribers</w:t>
      </w:r>
      <w:r>
        <w:rPr>
          <w:spacing w:val="-8"/>
        </w:rPr>
        <w:t xml:space="preserve"> </w:t>
      </w:r>
      <w:r>
        <w:t>by</w:t>
      </w:r>
      <w:r>
        <w:rPr>
          <w:spacing w:val="-9"/>
        </w:rPr>
        <w:t xml:space="preserve"> </w:t>
      </w:r>
      <w:r>
        <w:t>subscriber</w:t>
      </w:r>
      <w:r>
        <w:rPr>
          <w:spacing w:val="-8"/>
        </w:rPr>
        <w:t xml:space="preserve"> </w:t>
      </w:r>
      <w:r>
        <w:t>type</w:t>
      </w:r>
      <w:r>
        <w:rPr>
          <w:spacing w:val="-8"/>
        </w:rPr>
        <w:t xml:space="preserve"> </w:t>
      </w:r>
      <w:r>
        <w:t>and</w:t>
      </w:r>
      <w:r>
        <w:rPr>
          <w:spacing w:val="-7"/>
        </w:rPr>
        <w:t xml:space="preserve"> </w:t>
      </w:r>
      <w:r>
        <w:t>subscriber</w:t>
      </w:r>
      <w:r>
        <w:rPr>
          <w:spacing w:val="-8"/>
        </w:rPr>
        <w:t xml:space="preserve"> </w:t>
      </w:r>
      <w:r>
        <w:rPr>
          <w:spacing w:val="-2"/>
        </w:rPr>
        <w:t>speed.</w:t>
      </w:r>
    </w:p>
    <w:p w:rsidR="000632FB" w:rsidP="000632FB" w:rsidRDefault="000632FB" w14:paraId="5FBCF124" w14:textId="77777777">
      <w:pPr>
        <w:pStyle w:val="ListParagraph"/>
        <w:widowControl w:val="0"/>
        <w:numPr>
          <w:ilvl w:val="4"/>
          <w:numId w:val="17"/>
        </w:numPr>
        <w:tabs>
          <w:tab w:val="left" w:pos="1560"/>
        </w:tabs>
        <w:autoSpaceDE w:val="0"/>
        <w:autoSpaceDN w:val="0"/>
        <w:spacing w:before="15" w:after="0" w:line="252" w:lineRule="auto"/>
        <w:ind w:right="630"/>
        <w:contextualSpacing w:val="0"/>
      </w:pPr>
      <w:r>
        <w:t>The</w:t>
      </w:r>
      <w:r>
        <w:rPr>
          <w:spacing w:val="-3"/>
        </w:rPr>
        <w:t xml:space="preserve"> </w:t>
      </w:r>
      <w:r>
        <w:t>potential</w:t>
      </w:r>
      <w:r>
        <w:rPr>
          <w:spacing w:val="-3"/>
        </w:rPr>
        <w:t xml:space="preserve"> </w:t>
      </w:r>
      <w:r>
        <w:t>number</w:t>
      </w:r>
      <w:r>
        <w:rPr>
          <w:spacing w:val="-4"/>
        </w:rPr>
        <w:t xml:space="preserve"> </w:t>
      </w:r>
      <w:r>
        <w:t>of</w:t>
      </w:r>
      <w:r>
        <w:rPr>
          <w:spacing w:val="-4"/>
        </w:rPr>
        <w:t xml:space="preserve"> </w:t>
      </w:r>
      <w:r>
        <w:t>subscribers</w:t>
      </w:r>
      <w:r>
        <w:rPr>
          <w:spacing w:val="-4"/>
        </w:rPr>
        <w:t xml:space="preserve"> </w:t>
      </w:r>
      <w:r>
        <w:t>of</w:t>
      </w:r>
      <w:r>
        <w:rPr>
          <w:spacing w:val="-1"/>
        </w:rPr>
        <w:t xml:space="preserve"> </w:t>
      </w:r>
      <w:r>
        <w:t>each</w:t>
      </w:r>
      <w:r>
        <w:rPr>
          <w:spacing w:val="-3"/>
        </w:rPr>
        <w:t xml:space="preserve"> </w:t>
      </w:r>
      <w:r>
        <w:t>type</w:t>
      </w:r>
      <w:r>
        <w:rPr>
          <w:spacing w:val="-3"/>
        </w:rPr>
        <w:t xml:space="preserve"> </w:t>
      </w:r>
      <w:r>
        <w:t>that</w:t>
      </w:r>
      <w:r>
        <w:rPr>
          <w:spacing w:val="-4"/>
        </w:rPr>
        <w:t xml:space="preserve"> </w:t>
      </w:r>
      <w:r>
        <w:t>could</w:t>
      </w:r>
      <w:r>
        <w:rPr>
          <w:spacing w:val="-3"/>
        </w:rPr>
        <w:t xml:space="preserve"> </w:t>
      </w:r>
      <w:r>
        <w:t>be</w:t>
      </w:r>
      <w:r>
        <w:rPr>
          <w:spacing w:val="-4"/>
        </w:rPr>
        <w:t xml:space="preserve"> </w:t>
      </w:r>
      <w:r>
        <w:t>served</w:t>
      </w:r>
      <w:r>
        <w:rPr>
          <w:spacing w:val="-4"/>
        </w:rPr>
        <w:t xml:space="preserve"> </w:t>
      </w:r>
      <w:r>
        <w:t>using</w:t>
      </w:r>
      <w:r>
        <w:rPr>
          <w:spacing w:val="-3"/>
        </w:rPr>
        <w:t xml:space="preserve"> </w:t>
      </w:r>
      <w:r>
        <w:t>the</w:t>
      </w:r>
      <w:r>
        <w:rPr>
          <w:spacing w:val="-3"/>
        </w:rPr>
        <w:t xml:space="preserve"> </w:t>
      </w:r>
      <w:r>
        <w:t>LLP project’s existing facilities at the same minimum defined speed.</w:t>
      </w:r>
    </w:p>
    <w:p w:rsidR="000632FB" w:rsidP="000632FB" w:rsidRDefault="000632FB" w14:paraId="6E7BD0EF" w14:textId="77777777">
      <w:pPr>
        <w:pStyle w:val="ListParagraph"/>
        <w:widowControl w:val="0"/>
        <w:numPr>
          <w:ilvl w:val="4"/>
          <w:numId w:val="17"/>
        </w:numPr>
        <w:tabs>
          <w:tab w:val="left" w:pos="1560"/>
        </w:tabs>
        <w:autoSpaceDE w:val="0"/>
        <w:autoSpaceDN w:val="0"/>
        <w:spacing w:before="8" w:after="0" w:line="252" w:lineRule="auto"/>
        <w:ind w:right="987"/>
        <w:contextualSpacing w:val="0"/>
      </w:pPr>
      <w:r>
        <w:t>Both</w:t>
      </w:r>
      <w:r>
        <w:rPr>
          <w:spacing w:val="-4"/>
        </w:rPr>
        <w:t xml:space="preserve"> </w:t>
      </w:r>
      <w:r>
        <w:t>the</w:t>
      </w:r>
      <w:r>
        <w:rPr>
          <w:spacing w:val="-4"/>
        </w:rPr>
        <w:t xml:space="preserve"> </w:t>
      </w:r>
      <w:r>
        <w:t>number</w:t>
      </w:r>
      <w:r>
        <w:rPr>
          <w:spacing w:val="-4"/>
        </w:rPr>
        <w:t xml:space="preserve"> </w:t>
      </w:r>
      <w:r>
        <w:t>of</w:t>
      </w:r>
      <w:r>
        <w:rPr>
          <w:spacing w:val="-4"/>
        </w:rPr>
        <w:t xml:space="preserve"> </w:t>
      </w:r>
      <w:r>
        <w:t>low-income</w:t>
      </w:r>
      <w:r>
        <w:rPr>
          <w:spacing w:val="-3"/>
        </w:rPr>
        <w:t xml:space="preserve"> </w:t>
      </w:r>
      <w:r>
        <w:t>customers</w:t>
      </w:r>
      <w:r>
        <w:rPr>
          <w:spacing w:val="-4"/>
        </w:rPr>
        <w:t xml:space="preserve"> </w:t>
      </w:r>
      <w:r>
        <w:t>in</w:t>
      </w:r>
      <w:r>
        <w:rPr>
          <w:spacing w:val="-3"/>
        </w:rPr>
        <w:t xml:space="preserve"> </w:t>
      </w:r>
      <w:r>
        <w:t>the</w:t>
      </w:r>
      <w:r>
        <w:rPr>
          <w:spacing w:val="-3"/>
        </w:rPr>
        <w:t xml:space="preserve"> </w:t>
      </w:r>
      <w:r>
        <w:t>project</w:t>
      </w:r>
      <w:r>
        <w:rPr>
          <w:spacing w:val="-4"/>
        </w:rPr>
        <w:t xml:space="preserve"> </w:t>
      </w:r>
      <w:r>
        <w:t>area</w:t>
      </w:r>
      <w:r>
        <w:rPr>
          <w:spacing w:val="-4"/>
        </w:rPr>
        <w:t xml:space="preserve"> </w:t>
      </w:r>
      <w:r>
        <w:t>and</w:t>
      </w:r>
      <w:r>
        <w:rPr>
          <w:spacing w:val="-4"/>
        </w:rPr>
        <w:t xml:space="preserve"> </w:t>
      </w:r>
      <w:r>
        <w:t>the</w:t>
      </w:r>
      <w:r>
        <w:rPr>
          <w:spacing w:val="-3"/>
        </w:rPr>
        <w:t xml:space="preserve"> </w:t>
      </w:r>
      <w:r>
        <w:t>number</w:t>
      </w:r>
      <w:r>
        <w:rPr>
          <w:spacing w:val="-4"/>
        </w:rPr>
        <w:t xml:space="preserve"> </w:t>
      </w:r>
      <w:r>
        <w:t>of low-income customers subscribing to low-income plans.</w:t>
      </w:r>
    </w:p>
    <w:p w:rsidR="000632FB" w:rsidP="000632FB" w:rsidRDefault="000632FB" w14:paraId="1F0B5F61" w14:textId="77777777">
      <w:pPr>
        <w:pStyle w:val="ListParagraph"/>
        <w:widowControl w:val="0"/>
        <w:numPr>
          <w:ilvl w:val="4"/>
          <w:numId w:val="17"/>
        </w:numPr>
        <w:autoSpaceDE w:val="0"/>
        <w:autoSpaceDN w:val="0"/>
        <w:spacing w:after="0" w:line="240" w:lineRule="auto"/>
        <w:contextualSpacing w:val="0"/>
      </w:pPr>
      <w:r>
        <w:t>Number of subscribers broken down by each broadband plan offered, if applicable.</w:t>
      </w:r>
    </w:p>
    <w:p w:rsidR="000632FB" w:rsidP="000632FB" w:rsidRDefault="000632FB" w14:paraId="1256DE23" w14:textId="77777777">
      <w:pPr>
        <w:pStyle w:val="ListParagraph"/>
        <w:widowControl w:val="0"/>
        <w:numPr>
          <w:ilvl w:val="3"/>
          <w:numId w:val="17"/>
        </w:numPr>
        <w:tabs>
          <w:tab w:val="left" w:pos="839"/>
          <w:tab w:val="left" w:pos="840"/>
        </w:tabs>
        <w:autoSpaceDE w:val="0"/>
        <w:autoSpaceDN w:val="0"/>
        <w:spacing w:before="8" w:after="0" w:line="240" w:lineRule="auto"/>
        <w:ind w:left="839" w:hanging="361"/>
        <w:contextualSpacing w:val="0"/>
      </w:pPr>
      <w:r>
        <w:t>Speed</w:t>
      </w:r>
      <w:r>
        <w:rPr>
          <w:spacing w:val="-6"/>
        </w:rPr>
        <w:t xml:space="preserve"> </w:t>
      </w:r>
      <w:r>
        <w:t>test</w:t>
      </w:r>
      <w:r>
        <w:rPr>
          <w:spacing w:val="-6"/>
        </w:rPr>
        <w:t xml:space="preserve"> </w:t>
      </w:r>
      <w:r>
        <w:t>data</w:t>
      </w:r>
      <w:r>
        <w:rPr>
          <w:spacing w:val="-7"/>
        </w:rPr>
        <w:t xml:space="preserve"> </w:t>
      </w:r>
      <w:r>
        <w:t>at</w:t>
      </w:r>
      <w:r>
        <w:rPr>
          <w:spacing w:val="-5"/>
        </w:rPr>
        <w:t xml:space="preserve"> </w:t>
      </w:r>
      <w:r>
        <w:t>the</w:t>
      </w:r>
      <w:r>
        <w:rPr>
          <w:spacing w:val="-6"/>
        </w:rPr>
        <w:t xml:space="preserve"> </w:t>
      </w:r>
      <w:r>
        <w:t>address</w:t>
      </w:r>
      <w:r>
        <w:rPr>
          <w:spacing w:val="-7"/>
        </w:rPr>
        <w:t xml:space="preserve"> </w:t>
      </w:r>
      <w:r>
        <w:t>level</w:t>
      </w:r>
      <w:r>
        <w:rPr>
          <w:spacing w:val="-6"/>
        </w:rPr>
        <w:t xml:space="preserve"> </w:t>
      </w:r>
      <w:r>
        <w:t>for</w:t>
      </w:r>
      <w:r>
        <w:rPr>
          <w:spacing w:val="-7"/>
        </w:rPr>
        <w:t xml:space="preserve"> </w:t>
      </w:r>
      <w:r>
        <w:t>the</w:t>
      </w:r>
      <w:r>
        <w:rPr>
          <w:spacing w:val="-7"/>
        </w:rPr>
        <w:t xml:space="preserve"> </w:t>
      </w:r>
      <w:r>
        <w:t>project</w:t>
      </w:r>
      <w:r>
        <w:rPr>
          <w:spacing w:val="-6"/>
        </w:rPr>
        <w:t xml:space="preserve"> </w:t>
      </w:r>
      <w:r>
        <w:t>area,</w:t>
      </w:r>
      <w:r>
        <w:rPr>
          <w:spacing w:val="-7"/>
        </w:rPr>
        <w:t xml:space="preserve"> </w:t>
      </w:r>
      <w:r>
        <w:rPr>
          <w:spacing w:val="-2"/>
        </w:rPr>
        <w:t>including:</w:t>
      </w:r>
    </w:p>
    <w:p w:rsidR="000632FB" w:rsidP="000632FB" w:rsidRDefault="000632FB" w14:paraId="2994ACA6" w14:textId="77777777">
      <w:pPr>
        <w:pStyle w:val="ListParagraph"/>
        <w:widowControl w:val="0"/>
        <w:numPr>
          <w:ilvl w:val="4"/>
          <w:numId w:val="17"/>
        </w:numPr>
        <w:tabs>
          <w:tab w:val="left" w:pos="1560"/>
        </w:tabs>
        <w:autoSpaceDE w:val="0"/>
        <w:autoSpaceDN w:val="0"/>
        <w:spacing w:before="22" w:after="0" w:line="240" w:lineRule="auto"/>
        <w:ind w:hanging="361"/>
        <w:contextualSpacing w:val="0"/>
      </w:pPr>
      <w:r>
        <w:t>Test</w:t>
      </w:r>
      <w:r>
        <w:rPr>
          <w:spacing w:val="-8"/>
        </w:rPr>
        <w:t xml:space="preserve"> </w:t>
      </w:r>
      <w:r>
        <w:t>results</w:t>
      </w:r>
      <w:r>
        <w:rPr>
          <w:spacing w:val="-7"/>
        </w:rPr>
        <w:t xml:space="preserve"> </w:t>
      </w:r>
      <w:r>
        <w:t>for</w:t>
      </w:r>
      <w:r>
        <w:rPr>
          <w:spacing w:val="-7"/>
        </w:rPr>
        <w:t xml:space="preserve"> </w:t>
      </w:r>
      <w:r>
        <w:t>download</w:t>
      </w:r>
      <w:r>
        <w:rPr>
          <w:spacing w:val="-6"/>
        </w:rPr>
        <w:t xml:space="preserve"> </w:t>
      </w:r>
      <w:r>
        <w:t>and</w:t>
      </w:r>
      <w:r>
        <w:rPr>
          <w:spacing w:val="-7"/>
        </w:rPr>
        <w:t xml:space="preserve"> </w:t>
      </w:r>
      <w:r>
        <w:t>upload</w:t>
      </w:r>
      <w:r>
        <w:rPr>
          <w:spacing w:val="-7"/>
        </w:rPr>
        <w:t xml:space="preserve"> </w:t>
      </w:r>
      <w:r>
        <w:rPr>
          <w:spacing w:val="-2"/>
        </w:rPr>
        <w:t>speeds.</w:t>
      </w:r>
    </w:p>
    <w:p w:rsidR="000632FB" w:rsidP="000632FB" w:rsidRDefault="000632FB" w14:paraId="47B01E2B" w14:textId="77777777">
      <w:pPr>
        <w:pStyle w:val="ListParagraph"/>
        <w:widowControl w:val="0"/>
        <w:numPr>
          <w:ilvl w:val="4"/>
          <w:numId w:val="17"/>
        </w:numPr>
        <w:tabs>
          <w:tab w:val="left" w:pos="1560"/>
        </w:tabs>
        <w:autoSpaceDE w:val="0"/>
        <w:autoSpaceDN w:val="0"/>
        <w:spacing w:before="14" w:after="0" w:line="256" w:lineRule="auto"/>
        <w:ind w:right="467"/>
        <w:contextualSpacing w:val="0"/>
      </w:pPr>
      <w:r>
        <w:t>A</w:t>
      </w:r>
      <w:r>
        <w:rPr>
          <w:spacing w:val="-4"/>
        </w:rPr>
        <w:t xml:space="preserve"> </w:t>
      </w:r>
      <w:r>
        <w:t>representative</w:t>
      </w:r>
      <w:r>
        <w:rPr>
          <w:spacing w:val="-4"/>
        </w:rPr>
        <w:t xml:space="preserve"> </w:t>
      </w:r>
      <w:r>
        <w:t>sample</w:t>
      </w:r>
      <w:r>
        <w:rPr>
          <w:spacing w:val="-4"/>
        </w:rPr>
        <w:t xml:space="preserve"> </w:t>
      </w:r>
      <w:r>
        <w:t>of</w:t>
      </w:r>
      <w:r>
        <w:rPr>
          <w:spacing w:val="-4"/>
        </w:rPr>
        <w:t xml:space="preserve"> </w:t>
      </w:r>
      <w:r>
        <w:t>speed</w:t>
      </w:r>
      <w:r>
        <w:rPr>
          <w:spacing w:val="-3"/>
        </w:rPr>
        <w:t xml:space="preserve"> </w:t>
      </w:r>
      <w:r>
        <w:t>test</w:t>
      </w:r>
      <w:r>
        <w:rPr>
          <w:spacing w:val="-3"/>
        </w:rPr>
        <w:t xml:space="preserve"> </w:t>
      </w:r>
      <w:r>
        <w:t>results</w:t>
      </w:r>
      <w:r>
        <w:rPr>
          <w:spacing w:val="-4"/>
        </w:rPr>
        <w:t xml:space="preserve"> </w:t>
      </w:r>
      <w:r>
        <w:t>at</w:t>
      </w:r>
      <w:r>
        <w:rPr>
          <w:spacing w:val="-3"/>
        </w:rPr>
        <w:t xml:space="preserve"> </w:t>
      </w:r>
      <w:r>
        <w:t>dispersed</w:t>
      </w:r>
      <w:r>
        <w:rPr>
          <w:spacing w:val="-4"/>
        </w:rPr>
        <w:t xml:space="preserve"> </w:t>
      </w:r>
      <w:r>
        <w:t>locations</w:t>
      </w:r>
      <w:r>
        <w:rPr>
          <w:spacing w:val="-4"/>
        </w:rPr>
        <w:t xml:space="preserve"> </w:t>
      </w:r>
      <w:r>
        <w:t>in</w:t>
      </w:r>
      <w:r>
        <w:rPr>
          <w:spacing w:val="-3"/>
        </w:rPr>
        <w:t xml:space="preserve"> </w:t>
      </w:r>
      <w:r>
        <w:t>the</w:t>
      </w:r>
      <w:r>
        <w:rPr>
          <w:spacing w:val="-3"/>
        </w:rPr>
        <w:t xml:space="preserve"> </w:t>
      </w:r>
      <w:r>
        <w:t>project</w:t>
      </w:r>
      <w:r>
        <w:rPr>
          <w:spacing w:val="-3"/>
        </w:rPr>
        <w:t xml:space="preserve"> </w:t>
      </w:r>
      <w:r>
        <w:t>area, including locations at the edge of the project area; the number of tests will vary based on the project.</w:t>
      </w:r>
    </w:p>
    <w:p w:rsidR="000632FB" w:rsidP="000632FB" w:rsidRDefault="000632FB" w14:paraId="4A82247F" w14:textId="77777777">
      <w:pPr>
        <w:pStyle w:val="ListParagraph"/>
        <w:widowControl w:val="0"/>
        <w:numPr>
          <w:ilvl w:val="4"/>
          <w:numId w:val="17"/>
        </w:numPr>
        <w:tabs>
          <w:tab w:val="left" w:pos="1560"/>
        </w:tabs>
        <w:autoSpaceDE w:val="0"/>
        <w:autoSpaceDN w:val="0"/>
        <w:spacing w:after="0" w:line="252" w:lineRule="auto"/>
        <w:ind w:right="1100"/>
        <w:contextualSpacing w:val="0"/>
      </w:pPr>
      <w:r>
        <w:t>Maps</w:t>
      </w:r>
      <w:r>
        <w:rPr>
          <w:spacing w:val="-4"/>
        </w:rPr>
        <w:t xml:space="preserve"> </w:t>
      </w:r>
      <w:r>
        <w:t>and</w:t>
      </w:r>
      <w:r>
        <w:rPr>
          <w:spacing w:val="-4"/>
        </w:rPr>
        <w:t xml:space="preserve"> </w:t>
      </w:r>
      <w:r>
        <w:t>associated</w:t>
      </w:r>
      <w:r>
        <w:rPr>
          <w:spacing w:val="-3"/>
        </w:rPr>
        <w:t xml:space="preserve"> </w:t>
      </w:r>
      <w:r>
        <w:t>data</w:t>
      </w:r>
      <w:r>
        <w:rPr>
          <w:spacing w:val="-2"/>
        </w:rPr>
        <w:t xml:space="preserve"> </w:t>
      </w:r>
      <w:r>
        <w:t>of</w:t>
      </w:r>
      <w:r>
        <w:rPr>
          <w:spacing w:val="-4"/>
        </w:rPr>
        <w:t xml:space="preserve"> </w:t>
      </w:r>
      <w:r>
        <w:t>speed</w:t>
      </w:r>
      <w:r>
        <w:rPr>
          <w:spacing w:val="-3"/>
        </w:rPr>
        <w:t xml:space="preserve"> </w:t>
      </w:r>
      <w:r>
        <w:t>test</w:t>
      </w:r>
      <w:r>
        <w:rPr>
          <w:spacing w:val="-3"/>
        </w:rPr>
        <w:t xml:space="preserve"> </w:t>
      </w:r>
      <w:r>
        <w:t>locations</w:t>
      </w:r>
      <w:r>
        <w:rPr>
          <w:spacing w:val="-4"/>
        </w:rPr>
        <w:t xml:space="preserve"> </w:t>
      </w:r>
      <w:r>
        <w:t>and</w:t>
      </w:r>
      <w:r>
        <w:rPr>
          <w:spacing w:val="-3"/>
        </w:rPr>
        <w:t xml:space="preserve"> </w:t>
      </w:r>
      <w:r>
        <w:t>results</w:t>
      </w:r>
      <w:r>
        <w:rPr>
          <w:spacing w:val="-4"/>
        </w:rPr>
        <w:t xml:space="preserve"> </w:t>
      </w:r>
      <w:r>
        <w:t>in</w:t>
      </w:r>
      <w:r>
        <w:rPr>
          <w:spacing w:val="-4"/>
        </w:rPr>
        <w:t xml:space="preserve"> </w:t>
      </w:r>
      <w:r>
        <w:t>a</w:t>
      </w:r>
      <w:r>
        <w:rPr>
          <w:spacing w:val="-2"/>
        </w:rPr>
        <w:t xml:space="preserve"> </w:t>
      </w:r>
      <w:r>
        <w:t>.kmz/</w:t>
      </w:r>
      <w:r>
        <w:rPr>
          <w:spacing w:val="-4"/>
        </w:rPr>
        <w:t xml:space="preserve"> </w:t>
      </w:r>
      <w:r>
        <w:t>.kml</w:t>
      </w:r>
      <w:r>
        <w:rPr>
          <w:spacing w:val="-3"/>
        </w:rPr>
        <w:t xml:space="preserve"> </w:t>
      </w:r>
      <w:r>
        <w:t>file, shapefile or .csv spreadsheet.</w:t>
      </w:r>
    </w:p>
    <w:p w:rsidRPr="00B12B9F" w:rsidR="000632FB" w:rsidP="000632FB" w:rsidRDefault="000632FB" w14:paraId="7DBF03E9" w14:textId="77777777">
      <w:pPr>
        <w:pStyle w:val="ListParagraph"/>
        <w:widowControl w:val="0"/>
        <w:numPr>
          <w:ilvl w:val="4"/>
          <w:numId w:val="17"/>
        </w:numPr>
        <w:tabs>
          <w:tab w:val="left" w:pos="1559"/>
        </w:tabs>
        <w:autoSpaceDE w:val="0"/>
        <w:autoSpaceDN w:val="0"/>
        <w:spacing w:before="9" w:after="0" w:line="252" w:lineRule="auto"/>
        <w:ind w:left="1558" w:right="1335"/>
        <w:contextualSpacing w:val="0"/>
      </w:pPr>
      <w:r>
        <w:t>A</w:t>
      </w:r>
      <w:r>
        <w:rPr>
          <w:spacing w:val="-4"/>
        </w:rPr>
        <w:t xml:space="preserve"> </w:t>
      </w:r>
      <w:r>
        <w:t>screenshot</w:t>
      </w:r>
      <w:r>
        <w:rPr>
          <w:spacing w:val="-3"/>
        </w:rPr>
        <w:t xml:space="preserve"> </w:t>
      </w:r>
      <w:r>
        <w:t>of</w:t>
      </w:r>
      <w:r>
        <w:rPr>
          <w:spacing w:val="-4"/>
        </w:rPr>
        <w:t xml:space="preserve"> </w:t>
      </w:r>
      <w:r>
        <w:t>the</w:t>
      </w:r>
      <w:r>
        <w:rPr>
          <w:spacing w:val="-4"/>
        </w:rPr>
        <w:t xml:space="preserve"> </w:t>
      </w:r>
      <w:r>
        <w:t>results</w:t>
      </w:r>
      <w:r>
        <w:rPr>
          <w:spacing w:val="-2"/>
        </w:rPr>
        <w:t xml:space="preserve"> </w:t>
      </w:r>
      <w:r>
        <w:t>of</w:t>
      </w:r>
      <w:r>
        <w:rPr>
          <w:spacing w:val="-4"/>
        </w:rPr>
        <w:t xml:space="preserve"> </w:t>
      </w:r>
      <w:r>
        <w:t>CalSPEED</w:t>
      </w:r>
      <w:r>
        <w:rPr>
          <w:spacing w:val="-2"/>
        </w:rPr>
        <w:t xml:space="preserve"> </w:t>
      </w:r>
      <w:r>
        <w:t>speed</w:t>
      </w:r>
      <w:r>
        <w:rPr>
          <w:spacing w:val="-3"/>
        </w:rPr>
        <w:t xml:space="preserve"> </w:t>
      </w:r>
      <w:r>
        <w:t>tests,</w:t>
      </w:r>
      <w:r>
        <w:rPr>
          <w:spacing w:val="-3"/>
        </w:rPr>
        <w:t xml:space="preserve"> </w:t>
      </w:r>
      <w:r>
        <w:t>which</w:t>
      </w:r>
      <w:r>
        <w:rPr>
          <w:spacing w:val="-3"/>
        </w:rPr>
        <w:t xml:space="preserve"> </w:t>
      </w:r>
      <w:r>
        <w:t>can</w:t>
      </w:r>
      <w:r>
        <w:rPr>
          <w:spacing w:val="-3"/>
        </w:rPr>
        <w:t xml:space="preserve"> </w:t>
      </w:r>
      <w:r>
        <w:t>be</w:t>
      </w:r>
      <w:r>
        <w:rPr>
          <w:spacing w:val="-2"/>
        </w:rPr>
        <w:t xml:space="preserve"> </w:t>
      </w:r>
      <w:r>
        <w:t>accessed</w:t>
      </w:r>
      <w:r>
        <w:rPr>
          <w:spacing w:val="-4"/>
        </w:rPr>
        <w:t xml:space="preserve"> </w:t>
      </w:r>
      <w:r>
        <w:t xml:space="preserve">at </w:t>
      </w:r>
      <w:hyperlink r:id="rId12">
        <w:r>
          <w:rPr>
            <w:color w:val="0000FF"/>
            <w:spacing w:val="-2"/>
            <w:u w:val="single" w:color="0000FF"/>
          </w:rPr>
          <w:t>http://www.calspeed.org/index.html</w:t>
        </w:r>
        <w:r>
          <w:rPr>
            <w:spacing w:val="-2"/>
          </w:rPr>
          <w:t>.</w:t>
        </w:r>
      </w:hyperlink>
    </w:p>
    <w:p w:rsidR="00D45B02" w:rsidP="000632FB" w:rsidRDefault="000F49EA" w14:paraId="335DA462" w14:textId="410D2786">
      <w:pPr>
        <w:pStyle w:val="ListParagraph"/>
        <w:widowControl w:val="0"/>
        <w:numPr>
          <w:ilvl w:val="4"/>
          <w:numId w:val="17"/>
        </w:numPr>
        <w:tabs>
          <w:tab w:val="left" w:pos="1559"/>
        </w:tabs>
        <w:autoSpaceDE w:val="0"/>
        <w:autoSpaceDN w:val="0"/>
        <w:spacing w:before="9" w:after="0" w:line="252" w:lineRule="auto"/>
        <w:ind w:left="1558" w:right="1335"/>
        <w:contextualSpacing w:val="0"/>
      </w:pPr>
      <w:r w:rsidRPr="5566778A">
        <w:rPr>
          <w:rFonts w:eastAsia="Times New Roman"/>
        </w:rPr>
        <w:t>P</w:t>
      </w:r>
      <w:r w:rsidRPr="5566778A" w:rsidR="00D45B02">
        <w:rPr>
          <w:rFonts w:eastAsia="Times New Roman"/>
        </w:rPr>
        <w:t>eak and off-peak speed tests.</w:t>
      </w:r>
    </w:p>
    <w:p w:rsidR="000632FB" w:rsidP="000632FB" w:rsidRDefault="000632FB" w14:paraId="2405F171" w14:textId="77777777">
      <w:pPr>
        <w:pStyle w:val="ListParagraph"/>
        <w:widowControl w:val="0"/>
        <w:numPr>
          <w:ilvl w:val="3"/>
          <w:numId w:val="17"/>
        </w:numPr>
        <w:tabs>
          <w:tab w:val="left" w:pos="839"/>
          <w:tab w:val="left" w:pos="840"/>
        </w:tabs>
        <w:autoSpaceDE w:val="0"/>
        <w:autoSpaceDN w:val="0"/>
        <w:spacing w:before="8" w:after="0" w:line="240" w:lineRule="auto"/>
        <w:ind w:left="839"/>
        <w:contextualSpacing w:val="0"/>
      </w:pPr>
      <w:r>
        <w:t>Maps</w:t>
      </w:r>
      <w:r>
        <w:rPr>
          <w:spacing w:val="-7"/>
        </w:rPr>
        <w:t xml:space="preserve"> </w:t>
      </w:r>
      <w:r>
        <w:t>and</w:t>
      </w:r>
      <w:r>
        <w:rPr>
          <w:spacing w:val="-7"/>
        </w:rPr>
        <w:t xml:space="preserve"> </w:t>
      </w:r>
      <w:r>
        <w:t>associated</w:t>
      </w:r>
      <w:r>
        <w:rPr>
          <w:spacing w:val="-6"/>
        </w:rPr>
        <w:t xml:space="preserve"> </w:t>
      </w:r>
      <w:r>
        <w:t>data</w:t>
      </w:r>
      <w:r>
        <w:rPr>
          <w:spacing w:val="-5"/>
        </w:rPr>
        <w:t xml:space="preserve"> </w:t>
      </w:r>
      <w:r>
        <w:t>of</w:t>
      </w:r>
      <w:r>
        <w:rPr>
          <w:spacing w:val="-7"/>
        </w:rPr>
        <w:t xml:space="preserve"> </w:t>
      </w:r>
      <w:r>
        <w:t>all</w:t>
      </w:r>
      <w:r>
        <w:rPr>
          <w:spacing w:val="-7"/>
        </w:rPr>
        <w:t xml:space="preserve"> </w:t>
      </w:r>
      <w:r>
        <w:t>locations</w:t>
      </w:r>
      <w:r>
        <w:rPr>
          <w:spacing w:val="-7"/>
        </w:rPr>
        <w:t xml:space="preserve"> </w:t>
      </w:r>
      <w:r>
        <w:rPr>
          <w:spacing w:val="-2"/>
        </w:rPr>
        <w:t>served.</w:t>
      </w:r>
    </w:p>
    <w:p w:rsidR="000632FB" w:rsidP="000632FB" w:rsidRDefault="000632FB" w14:paraId="130C2FD4" w14:textId="6B4E44C9">
      <w:pPr>
        <w:pStyle w:val="ListParagraph"/>
        <w:widowControl w:val="0"/>
        <w:numPr>
          <w:ilvl w:val="3"/>
          <w:numId w:val="17"/>
        </w:numPr>
        <w:tabs>
          <w:tab w:val="left" w:pos="839"/>
          <w:tab w:val="left" w:pos="840"/>
        </w:tabs>
        <w:autoSpaceDE w:val="0"/>
        <w:autoSpaceDN w:val="0"/>
        <w:spacing w:before="21" w:after="0"/>
        <w:ind w:left="839" w:right="474"/>
        <w:contextualSpacing w:val="0"/>
      </w:pPr>
      <w:r>
        <w:t>The</w:t>
      </w:r>
      <w:r>
        <w:rPr>
          <w:spacing w:val="-3"/>
        </w:rPr>
        <w:t xml:space="preserve"> </w:t>
      </w:r>
      <w:r>
        <w:t>geographic</w:t>
      </w:r>
      <w:r>
        <w:rPr>
          <w:spacing w:val="-3"/>
        </w:rPr>
        <w:t xml:space="preserve"> </w:t>
      </w:r>
      <w:r>
        <w:t>coordinates</w:t>
      </w:r>
      <w:r>
        <w:rPr>
          <w:spacing w:val="-4"/>
        </w:rPr>
        <w:t xml:space="preserve"> </w:t>
      </w:r>
      <w:r>
        <w:t>of</w:t>
      </w:r>
      <w:r>
        <w:rPr>
          <w:spacing w:val="-4"/>
        </w:rPr>
        <w:t xml:space="preserve"> </w:t>
      </w:r>
      <w:r>
        <w:t>all</w:t>
      </w:r>
      <w:r>
        <w:rPr>
          <w:spacing w:val="-4"/>
        </w:rPr>
        <w:t xml:space="preserve"> </w:t>
      </w:r>
      <w:r>
        <w:t>locations</w:t>
      </w:r>
      <w:r>
        <w:rPr>
          <w:spacing w:val="-4"/>
        </w:rPr>
        <w:t xml:space="preserve"> </w:t>
      </w:r>
      <w:r>
        <w:t>that</w:t>
      </w:r>
      <w:r>
        <w:rPr>
          <w:spacing w:val="-3"/>
        </w:rPr>
        <w:t xml:space="preserve"> </w:t>
      </w:r>
      <w:r>
        <w:t>are</w:t>
      </w:r>
      <w:r>
        <w:rPr>
          <w:spacing w:val="-4"/>
        </w:rPr>
        <w:t xml:space="preserve"> </w:t>
      </w:r>
      <w:r>
        <w:t>served.</w:t>
      </w:r>
      <w:r>
        <w:rPr>
          <w:spacing w:val="-3"/>
        </w:rPr>
        <w:t xml:space="preserve"> </w:t>
      </w:r>
      <w:r>
        <w:t>This</w:t>
      </w:r>
      <w:r>
        <w:rPr>
          <w:spacing w:val="-4"/>
        </w:rPr>
        <w:t xml:space="preserve"> </w:t>
      </w:r>
      <w:r>
        <w:t>information</w:t>
      </w:r>
      <w:r>
        <w:rPr>
          <w:spacing w:val="-4"/>
        </w:rPr>
        <w:t xml:space="preserve"> </w:t>
      </w:r>
      <w:r>
        <w:t>will</w:t>
      </w:r>
      <w:r>
        <w:rPr>
          <w:spacing w:val="-4"/>
        </w:rPr>
        <w:t xml:space="preserve"> </w:t>
      </w:r>
      <w:r>
        <w:t>be</w:t>
      </w:r>
      <w:r>
        <w:rPr>
          <w:spacing w:val="-3"/>
        </w:rPr>
        <w:t xml:space="preserve"> </w:t>
      </w:r>
      <w:r>
        <w:t>provided</w:t>
      </w:r>
      <w:r>
        <w:rPr>
          <w:spacing w:val="-2"/>
        </w:rPr>
        <w:t xml:space="preserve"> </w:t>
      </w:r>
      <w:r>
        <w:t xml:space="preserve">in a plain-text, comma-separated values (.csv) file, or .kmz/ .kml file or shapefile that </w:t>
      </w:r>
      <w:r w:rsidR="004C3839">
        <w:t>contains.</w:t>
      </w:r>
    </w:p>
    <w:p w:rsidR="000632FB" w:rsidP="000632FB" w:rsidRDefault="000632FB" w14:paraId="55939F32" w14:textId="77777777">
      <w:pPr>
        <w:pStyle w:val="BodyText"/>
        <w:spacing w:before="1" w:line="259" w:lineRule="auto"/>
        <w:ind w:left="839"/>
      </w:pPr>
      <w:r>
        <w:t>geo-</w:t>
      </w:r>
      <w:r>
        <w:rPr>
          <w:spacing w:val="-4"/>
        </w:rPr>
        <w:t xml:space="preserve"> </w:t>
      </w:r>
      <w:r>
        <w:t>located</w:t>
      </w:r>
      <w:r>
        <w:rPr>
          <w:spacing w:val="-3"/>
        </w:rPr>
        <w:t xml:space="preserve"> </w:t>
      </w:r>
      <w:r>
        <w:t>street</w:t>
      </w:r>
      <w:r>
        <w:rPr>
          <w:spacing w:val="-4"/>
        </w:rPr>
        <w:t xml:space="preserve"> </w:t>
      </w:r>
      <w:r>
        <w:t>address</w:t>
      </w:r>
      <w:r>
        <w:rPr>
          <w:spacing w:val="-4"/>
        </w:rPr>
        <w:t xml:space="preserve"> </w:t>
      </w:r>
      <w:r>
        <w:t>information,</w:t>
      </w:r>
      <w:r>
        <w:rPr>
          <w:spacing w:val="-4"/>
        </w:rPr>
        <w:t xml:space="preserve"> </w:t>
      </w:r>
      <w:r>
        <w:t>including</w:t>
      </w:r>
      <w:r>
        <w:rPr>
          <w:spacing w:val="-3"/>
        </w:rPr>
        <w:t xml:space="preserve"> </w:t>
      </w:r>
      <w:r>
        <w:t>latitude</w:t>
      </w:r>
      <w:r>
        <w:rPr>
          <w:spacing w:val="-3"/>
        </w:rPr>
        <w:t xml:space="preserve"> </w:t>
      </w:r>
      <w:r>
        <w:t>and</w:t>
      </w:r>
      <w:r>
        <w:rPr>
          <w:spacing w:val="-3"/>
        </w:rPr>
        <w:t xml:space="preserve"> </w:t>
      </w:r>
      <w:r>
        <w:t>longitude,</w:t>
      </w:r>
      <w:r>
        <w:rPr>
          <w:spacing w:val="-4"/>
        </w:rPr>
        <w:t xml:space="preserve"> </w:t>
      </w:r>
      <w:r>
        <w:t>as</w:t>
      </w:r>
      <w:r>
        <w:rPr>
          <w:spacing w:val="-4"/>
        </w:rPr>
        <w:t xml:space="preserve"> </w:t>
      </w:r>
      <w:r>
        <w:t>well</w:t>
      </w:r>
      <w:r>
        <w:rPr>
          <w:spacing w:val="-4"/>
        </w:rPr>
        <w:t xml:space="preserve"> </w:t>
      </w:r>
      <w:r>
        <w:t>as</w:t>
      </w:r>
      <w:r>
        <w:rPr>
          <w:spacing w:val="-4"/>
        </w:rPr>
        <w:t xml:space="preserve"> </w:t>
      </w:r>
      <w:r>
        <w:t>census</w:t>
      </w:r>
      <w:r>
        <w:rPr>
          <w:spacing w:val="-4"/>
        </w:rPr>
        <w:t xml:space="preserve"> </w:t>
      </w:r>
      <w:r>
        <w:t>block code (GEOID).</w:t>
      </w:r>
    </w:p>
    <w:p w:rsidR="000632FB" w:rsidP="000632FB" w:rsidRDefault="000632FB" w14:paraId="1B4F306F" w14:textId="77777777">
      <w:pPr>
        <w:pStyle w:val="ListParagraph"/>
        <w:widowControl w:val="0"/>
        <w:numPr>
          <w:ilvl w:val="3"/>
          <w:numId w:val="17"/>
        </w:numPr>
        <w:tabs>
          <w:tab w:val="left" w:pos="839"/>
          <w:tab w:val="left" w:pos="840"/>
        </w:tabs>
        <w:autoSpaceDE w:val="0"/>
        <w:autoSpaceDN w:val="0"/>
        <w:spacing w:after="0"/>
        <w:ind w:left="839" w:right="1085"/>
        <w:contextualSpacing w:val="0"/>
      </w:pPr>
      <w:r>
        <w:t>Identification</w:t>
      </w:r>
      <w:r>
        <w:rPr>
          <w:spacing w:val="-3"/>
        </w:rPr>
        <w:t xml:space="preserve"> </w:t>
      </w:r>
      <w:r>
        <w:t>of</w:t>
      </w:r>
      <w:r>
        <w:rPr>
          <w:spacing w:val="-4"/>
        </w:rPr>
        <w:t xml:space="preserve"> </w:t>
      </w:r>
      <w:r>
        <w:t>the</w:t>
      </w:r>
      <w:r>
        <w:rPr>
          <w:spacing w:val="-3"/>
        </w:rPr>
        <w:t xml:space="preserve"> </w:t>
      </w:r>
      <w:r>
        <w:t>number</w:t>
      </w:r>
      <w:r>
        <w:rPr>
          <w:spacing w:val="-4"/>
        </w:rPr>
        <w:t xml:space="preserve"> </w:t>
      </w:r>
      <w:r>
        <w:t>of</w:t>
      </w:r>
      <w:r>
        <w:rPr>
          <w:spacing w:val="-4"/>
        </w:rPr>
        <w:t xml:space="preserve"> </w:t>
      </w:r>
      <w:r>
        <w:t>served</w:t>
      </w:r>
      <w:r>
        <w:rPr>
          <w:spacing w:val="-4"/>
        </w:rPr>
        <w:t xml:space="preserve"> </w:t>
      </w:r>
      <w:r>
        <w:t>locations</w:t>
      </w:r>
      <w:r>
        <w:rPr>
          <w:spacing w:val="-4"/>
        </w:rPr>
        <w:t xml:space="preserve"> </w:t>
      </w:r>
      <w:r>
        <w:t>in</w:t>
      </w:r>
      <w:r>
        <w:rPr>
          <w:spacing w:val="-3"/>
        </w:rPr>
        <w:t xml:space="preserve"> </w:t>
      </w:r>
      <w:r>
        <w:t>the</w:t>
      </w:r>
      <w:r>
        <w:rPr>
          <w:spacing w:val="-4"/>
        </w:rPr>
        <w:t xml:space="preserve"> </w:t>
      </w:r>
      <w:r>
        <w:t>project</w:t>
      </w:r>
      <w:r>
        <w:rPr>
          <w:spacing w:val="-4"/>
        </w:rPr>
        <w:t xml:space="preserve"> </w:t>
      </w:r>
      <w:r>
        <w:t>area</w:t>
      </w:r>
      <w:r>
        <w:rPr>
          <w:spacing w:val="-4"/>
        </w:rPr>
        <w:t xml:space="preserve"> </w:t>
      </w:r>
      <w:r>
        <w:t>that</w:t>
      </w:r>
      <w:r>
        <w:rPr>
          <w:spacing w:val="-3"/>
        </w:rPr>
        <w:t xml:space="preserve"> </w:t>
      </w:r>
      <w:r>
        <w:t>have</w:t>
      </w:r>
      <w:r>
        <w:rPr>
          <w:spacing w:val="-3"/>
        </w:rPr>
        <w:t xml:space="preserve"> </w:t>
      </w:r>
      <w:r>
        <w:t>broadband availability at or above the aforementioned minimum speeds.</w:t>
      </w:r>
    </w:p>
    <w:p w:rsidR="000632FB" w:rsidP="000632FB" w:rsidRDefault="000632FB" w14:paraId="4801E20C" w14:textId="34B1C044">
      <w:pPr>
        <w:pStyle w:val="ListParagraph"/>
        <w:widowControl w:val="0"/>
        <w:numPr>
          <w:ilvl w:val="3"/>
          <w:numId w:val="17"/>
        </w:numPr>
        <w:tabs>
          <w:tab w:val="left" w:pos="839"/>
          <w:tab w:val="left" w:pos="840"/>
        </w:tabs>
        <w:autoSpaceDE w:val="0"/>
        <w:autoSpaceDN w:val="0"/>
        <w:spacing w:after="0" w:line="280" w:lineRule="exact"/>
        <w:ind w:left="839" w:hanging="361"/>
        <w:contextualSpacing w:val="0"/>
      </w:pPr>
      <w:r>
        <w:t>Documentation</w:t>
      </w:r>
      <w:r>
        <w:rPr>
          <w:spacing w:val="-11"/>
        </w:rPr>
        <w:t xml:space="preserve"> </w:t>
      </w:r>
      <w:r>
        <w:t>of</w:t>
      </w:r>
      <w:r>
        <w:rPr>
          <w:spacing w:val="-11"/>
        </w:rPr>
        <w:t xml:space="preserve"> </w:t>
      </w:r>
      <w:r>
        <w:t>advertisements</w:t>
      </w:r>
      <w:r>
        <w:rPr>
          <w:spacing w:val="-10"/>
        </w:rPr>
        <w:t xml:space="preserve"> </w:t>
      </w:r>
      <w:r w:rsidR="004C3839">
        <w:t>issued</w:t>
      </w:r>
      <w:r w:rsidR="000924AD">
        <w:t>,</w:t>
      </w:r>
      <w:r>
        <w:rPr>
          <w:spacing w:val="-10"/>
        </w:rPr>
        <w:t xml:space="preserve"> </w:t>
      </w:r>
      <w:r>
        <w:t>billing</w:t>
      </w:r>
      <w:r>
        <w:rPr>
          <w:spacing w:val="-11"/>
        </w:rPr>
        <w:t xml:space="preserve"> </w:t>
      </w:r>
      <w:r>
        <w:t>inserts</w:t>
      </w:r>
      <w:r>
        <w:rPr>
          <w:spacing w:val="-11"/>
        </w:rPr>
        <w:t xml:space="preserve"> </w:t>
      </w:r>
      <w:r>
        <w:t>and</w:t>
      </w:r>
      <w:r>
        <w:rPr>
          <w:spacing w:val="-10"/>
        </w:rPr>
        <w:t xml:space="preserve"> </w:t>
      </w:r>
      <w:r>
        <w:t>marketing</w:t>
      </w:r>
      <w:r>
        <w:rPr>
          <w:spacing w:val="-11"/>
        </w:rPr>
        <w:t xml:space="preserve"> </w:t>
      </w:r>
      <w:r>
        <w:rPr>
          <w:spacing w:val="-2"/>
        </w:rPr>
        <w:t>information.</w:t>
      </w:r>
    </w:p>
    <w:p w:rsidR="000632FB" w:rsidP="000632FB" w:rsidRDefault="000632FB" w14:paraId="0B49CA64" w14:textId="77777777">
      <w:pPr>
        <w:pStyle w:val="ListParagraph"/>
        <w:widowControl w:val="0"/>
        <w:numPr>
          <w:ilvl w:val="3"/>
          <w:numId w:val="17"/>
        </w:numPr>
        <w:tabs>
          <w:tab w:val="left" w:pos="839"/>
          <w:tab w:val="left" w:pos="840"/>
        </w:tabs>
        <w:autoSpaceDE w:val="0"/>
        <w:autoSpaceDN w:val="0"/>
        <w:spacing w:before="19" w:after="0" w:line="240" w:lineRule="auto"/>
        <w:ind w:left="839" w:hanging="361"/>
        <w:contextualSpacing w:val="0"/>
      </w:pPr>
      <w:r>
        <w:t>Documentation</w:t>
      </w:r>
      <w:r>
        <w:rPr>
          <w:spacing w:val="-8"/>
        </w:rPr>
        <w:t xml:space="preserve"> </w:t>
      </w:r>
      <w:r>
        <w:t>of</w:t>
      </w:r>
      <w:r>
        <w:rPr>
          <w:spacing w:val="-8"/>
        </w:rPr>
        <w:t xml:space="preserve"> </w:t>
      </w:r>
      <w:r>
        <w:t>all</w:t>
      </w:r>
      <w:r>
        <w:rPr>
          <w:spacing w:val="-8"/>
        </w:rPr>
        <w:t xml:space="preserve"> </w:t>
      </w:r>
      <w:r>
        <w:t>service</w:t>
      </w:r>
      <w:r>
        <w:rPr>
          <w:spacing w:val="-8"/>
        </w:rPr>
        <w:t xml:space="preserve"> </w:t>
      </w:r>
      <w:r>
        <w:t>plans</w:t>
      </w:r>
      <w:r>
        <w:rPr>
          <w:spacing w:val="-8"/>
        </w:rPr>
        <w:t xml:space="preserve"> </w:t>
      </w:r>
      <w:r>
        <w:t>offered</w:t>
      </w:r>
      <w:r>
        <w:rPr>
          <w:spacing w:val="-8"/>
        </w:rPr>
        <w:t xml:space="preserve"> </w:t>
      </w:r>
      <w:r>
        <w:t>by</w:t>
      </w:r>
      <w:r>
        <w:rPr>
          <w:spacing w:val="-7"/>
        </w:rPr>
        <w:t xml:space="preserve"> </w:t>
      </w:r>
      <w:r>
        <w:t>the</w:t>
      </w:r>
      <w:r>
        <w:rPr>
          <w:spacing w:val="-8"/>
        </w:rPr>
        <w:t xml:space="preserve"> </w:t>
      </w:r>
      <w:r>
        <w:t>awardee,</w:t>
      </w:r>
      <w:r>
        <w:rPr>
          <w:spacing w:val="-5"/>
        </w:rPr>
        <w:t xml:space="preserve"> </w:t>
      </w:r>
      <w:r>
        <w:t>including</w:t>
      </w:r>
      <w:r>
        <w:rPr>
          <w:spacing w:val="-8"/>
        </w:rPr>
        <w:t xml:space="preserve"> </w:t>
      </w:r>
      <w:r>
        <w:t>speed</w:t>
      </w:r>
      <w:r>
        <w:rPr>
          <w:spacing w:val="-7"/>
        </w:rPr>
        <w:t xml:space="preserve"> </w:t>
      </w:r>
      <w:r>
        <w:t>tiers</w:t>
      </w:r>
      <w:r>
        <w:rPr>
          <w:spacing w:val="-8"/>
        </w:rPr>
        <w:t xml:space="preserve"> </w:t>
      </w:r>
      <w:r>
        <w:t>and</w:t>
      </w:r>
      <w:r>
        <w:rPr>
          <w:spacing w:val="-7"/>
        </w:rPr>
        <w:t xml:space="preserve"> </w:t>
      </w:r>
      <w:r>
        <w:rPr>
          <w:spacing w:val="-2"/>
        </w:rPr>
        <w:t>prices.</w:t>
      </w:r>
    </w:p>
    <w:p w:rsidR="000632FB" w:rsidP="000632FB" w:rsidRDefault="000632FB" w14:paraId="28E6249D" w14:textId="77777777">
      <w:pPr>
        <w:pStyle w:val="ListParagraph"/>
        <w:widowControl w:val="0"/>
        <w:numPr>
          <w:ilvl w:val="3"/>
          <w:numId w:val="17"/>
        </w:numPr>
        <w:tabs>
          <w:tab w:val="left" w:pos="839"/>
          <w:tab w:val="left" w:pos="840"/>
        </w:tabs>
        <w:autoSpaceDE w:val="0"/>
        <w:autoSpaceDN w:val="0"/>
        <w:spacing w:before="21" w:after="0" w:line="240" w:lineRule="auto"/>
        <w:ind w:left="839" w:hanging="361"/>
        <w:contextualSpacing w:val="0"/>
      </w:pPr>
      <w:r>
        <w:t>Open</w:t>
      </w:r>
      <w:r>
        <w:rPr>
          <w:spacing w:val="-10"/>
        </w:rPr>
        <w:t xml:space="preserve"> </w:t>
      </w:r>
      <w:r>
        <w:t>access</w:t>
      </w:r>
      <w:r>
        <w:rPr>
          <w:spacing w:val="-11"/>
        </w:rPr>
        <w:t xml:space="preserve"> </w:t>
      </w:r>
      <w:r>
        <w:t>interconnections</w:t>
      </w:r>
      <w:r>
        <w:rPr>
          <w:spacing w:val="-10"/>
        </w:rPr>
        <w:t xml:space="preserve"> </w:t>
      </w:r>
      <w:r>
        <w:t>(if</w:t>
      </w:r>
      <w:r>
        <w:rPr>
          <w:spacing w:val="-11"/>
        </w:rPr>
        <w:t xml:space="preserve"> </w:t>
      </w:r>
      <w:r>
        <w:rPr>
          <w:spacing w:val="-2"/>
        </w:rPr>
        <w:t>applicable).</w:t>
      </w:r>
    </w:p>
    <w:p w:rsidR="000632FB" w:rsidP="000632FB" w:rsidRDefault="000632FB" w14:paraId="20175D0D" w14:textId="77777777">
      <w:pPr>
        <w:pStyle w:val="ListParagraph"/>
        <w:widowControl w:val="0"/>
        <w:numPr>
          <w:ilvl w:val="4"/>
          <w:numId w:val="17"/>
        </w:numPr>
        <w:tabs>
          <w:tab w:val="left" w:pos="1560"/>
        </w:tabs>
        <w:autoSpaceDE w:val="0"/>
        <w:autoSpaceDN w:val="0"/>
        <w:spacing w:before="23" w:after="0" w:line="240" w:lineRule="auto"/>
        <w:ind w:hanging="361"/>
        <w:contextualSpacing w:val="0"/>
      </w:pPr>
      <w:r>
        <w:t>The</w:t>
      </w:r>
      <w:r>
        <w:rPr>
          <w:spacing w:val="-9"/>
        </w:rPr>
        <w:t xml:space="preserve"> </w:t>
      </w:r>
      <w:r>
        <w:t>number</w:t>
      </w:r>
      <w:r>
        <w:rPr>
          <w:spacing w:val="-9"/>
        </w:rPr>
        <w:t xml:space="preserve"> </w:t>
      </w:r>
      <w:r>
        <w:t>of</w:t>
      </w:r>
      <w:r>
        <w:rPr>
          <w:spacing w:val="-10"/>
        </w:rPr>
        <w:t xml:space="preserve"> </w:t>
      </w:r>
      <w:r>
        <w:t>interconnection</w:t>
      </w:r>
      <w:r>
        <w:rPr>
          <w:spacing w:val="-10"/>
        </w:rPr>
        <w:t xml:space="preserve"> </w:t>
      </w:r>
      <w:r>
        <w:t>requests</w:t>
      </w:r>
      <w:r>
        <w:rPr>
          <w:spacing w:val="-9"/>
        </w:rPr>
        <w:t xml:space="preserve"> </w:t>
      </w:r>
      <w:r>
        <w:t>and</w:t>
      </w:r>
      <w:r>
        <w:rPr>
          <w:spacing w:val="-10"/>
        </w:rPr>
        <w:t xml:space="preserve"> </w:t>
      </w:r>
      <w:r>
        <w:t>executed</w:t>
      </w:r>
      <w:r>
        <w:rPr>
          <w:spacing w:val="-10"/>
        </w:rPr>
        <w:t xml:space="preserve"> </w:t>
      </w:r>
      <w:r>
        <w:t>service</w:t>
      </w:r>
      <w:r>
        <w:rPr>
          <w:spacing w:val="-9"/>
        </w:rPr>
        <w:t xml:space="preserve"> </w:t>
      </w:r>
      <w:r>
        <w:rPr>
          <w:spacing w:val="-2"/>
        </w:rPr>
        <w:t>agreements.</w:t>
      </w:r>
    </w:p>
    <w:p w:rsidRPr="00B9389E" w:rsidR="00455479" w:rsidP="00B9389E" w:rsidRDefault="000632FB" w14:paraId="4839253F" w14:textId="2AD699DE">
      <w:pPr>
        <w:pStyle w:val="ListParagraph"/>
        <w:widowControl w:val="0"/>
        <w:numPr>
          <w:ilvl w:val="3"/>
          <w:numId w:val="17"/>
        </w:numPr>
        <w:tabs>
          <w:tab w:val="left" w:pos="839"/>
          <w:tab w:val="left" w:pos="840"/>
        </w:tabs>
        <w:autoSpaceDE w:val="0"/>
        <w:autoSpaceDN w:val="0"/>
        <w:spacing w:before="13" w:after="0" w:line="240" w:lineRule="auto"/>
        <w:ind w:left="839" w:hanging="361"/>
        <w:contextualSpacing w:val="0"/>
      </w:pPr>
      <w:r>
        <w:t>Updates</w:t>
      </w:r>
      <w:r>
        <w:rPr>
          <w:spacing w:val="-9"/>
        </w:rPr>
        <w:t xml:space="preserve"> </w:t>
      </w:r>
      <w:r>
        <w:t>on</w:t>
      </w:r>
      <w:r>
        <w:rPr>
          <w:spacing w:val="-7"/>
        </w:rPr>
        <w:t xml:space="preserve"> </w:t>
      </w:r>
      <w:r>
        <w:t>project</w:t>
      </w:r>
      <w:r>
        <w:rPr>
          <w:spacing w:val="-8"/>
        </w:rPr>
        <w:t xml:space="preserve"> </w:t>
      </w:r>
      <w:r>
        <w:t>permitting</w:t>
      </w:r>
      <w:r>
        <w:rPr>
          <w:spacing w:val="-8"/>
        </w:rPr>
        <w:t xml:space="preserve"> </w:t>
      </w:r>
      <w:r>
        <w:t>(if</w:t>
      </w:r>
      <w:r>
        <w:rPr>
          <w:spacing w:val="-8"/>
        </w:rPr>
        <w:t xml:space="preserve"> </w:t>
      </w:r>
      <w:r>
        <w:rPr>
          <w:spacing w:val="-2"/>
        </w:rPr>
        <w:t>applicable).</w:t>
      </w:r>
    </w:p>
    <w:p w:rsidRPr="00455479" w:rsidR="00B9389E" w:rsidP="00B9389E" w:rsidRDefault="00B9389E" w14:paraId="2D9D3A31" w14:textId="77777777">
      <w:pPr>
        <w:pStyle w:val="ListParagraph"/>
        <w:widowControl w:val="0"/>
        <w:tabs>
          <w:tab w:val="left" w:pos="839"/>
          <w:tab w:val="left" w:pos="840"/>
        </w:tabs>
        <w:autoSpaceDE w:val="0"/>
        <w:autoSpaceDN w:val="0"/>
        <w:spacing w:before="13" w:after="0" w:line="240" w:lineRule="auto"/>
        <w:ind w:left="839"/>
        <w:contextualSpacing w:val="0"/>
      </w:pPr>
    </w:p>
    <w:p w:rsidR="00B87F3D" w:rsidP="00857B4F" w:rsidRDefault="00B87F3D" w14:paraId="29829C75" w14:textId="3CB8ACE2">
      <w:pPr>
        <w:pStyle w:val="Heading2"/>
        <w:numPr>
          <w:ilvl w:val="1"/>
          <w:numId w:val="29"/>
        </w:numPr>
      </w:pPr>
      <w:bookmarkStart w:name="_Toc149134369" w:id="158"/>
      <w:r>
        <w:t>Incident Reporting</w:t>
      </w:r>
      <w:bookmarkEnd w:id="158"/>
    </w:p>
    <w:p w:rsidR="00D300EE" w:rsidP="00AD4757" w:rsidRDefault="00D50D11" w14:paraId="54962B1B" w14:textId="6B19286C">
      <w:pPr>
        <w:pStyle w:val="BodyText"/>
        <w:spacing w:before="24" w:line="259" w:lineRule="auto"/>
        <w:ind w:left="360" w:right="336"/>
        <w:rPr>
          <w:spacing w:val="-2"/>
        </w:rPr>
      </w:pPr>
      <w:r>
        <w:t>I</w:t>
      </w:r>
      <w:r w:rsidR="00AD4757">
        <w:t xml:space="preserve">n the </w:t>
      </w:r>
      <w:r w:rsidRPr="004213AE" w:rsidR="00AD4757">
        <w:t>event of an anticipated deficiency in broadband revenues</w:t>
      </w:r>
      <w:r>
        <w:t>, the LLP requires sufficient notice to minimize risk of losses</w:t>
      </w:r>
      <w:r w:rsidRPr="004213AE" w:rsidR="00AD4757">
        <w:t>.</w:t>
      </w:r>
      <w:r w:rsidR="00AD4757">
        <w:t xml:space="preserve"> </w:t>
      </w:r>
      <w:r w:rsidR="00D3682C">
        <w:t>The awardee</w:t>
      </w:r>
      <w:r w:rsidR="009506C4">
        <w:t xml:space="preserve"> and trustee</w:t>
      </w:r>
      <w:r w:rsidR="00D3682C">
        <w:t xml:space="preserve"> must notify </w:t>
      </w:r>
      <w:r w:rsidR="00FB0AC6">
        <w:t>Commission Staff</w:t>
      </w:r>
      <w:r w:rsidR="00D3682C">
        <w:t xml:space="preserve"> and the </w:t>
      </w:r>
      <w:r w:rsidR="009506C4">
        <w:t>Director of the Communications Divisions a</w:t>
      </w:r>
      <w:r w:rsidR="00A94E63">
        <w:t>s</w:t>
      </w:r>
      <w:r w:rsidR="00AD4757">
        <w:rPr>
          <w:spacing w:val="-3"/>
        </w:rPr>
        <w:t xml:space="preserve"> </w:t>
      </w:r>
      <w:r w:rsidR="00AD4757">
        <w:t>soon</w:t>
      </w:r>
      <w:r w:rsidR="00AD4757">
        <w:rPr>
          <w:spacing w:val="-3"/>
        </w:rPr>
        <w:t xml:space="preserve"> </w:t>
      </w:r>
      <w:r w:rsidR="00AD4757">
        <w:t>as</w:t>
      </w:r>
      <w:r w:rsidR="00AD4757">
        <w:rPr>
          <w:spacing w:val="-3"/>
        </w:rPr>
        <w:t xml:space="preserve"> </w:t>
      </w:r>
      <w:r w:rsidR="009506C4">
        <w:rPr>
          <w:spacing w:val="-3"/>
        </w:rPr>
        <w:t xml:space="preserve">they </w:t>
      </w:r>
      <w:r w:rsidR="00AD4757">
        <w:t>know (or should know)</w:t>
      </w:r>
      <w:r w:rsidR="00AD4757">
        <w:rPr>
          <w:spacing w:val="-3"/>
        </w:rPr>
        <w:t xml:space="preserve"> </w:t>
      </w:r>
      <w:r w:rsidR="006945B8">
        <w:t>of</w:t>
      </w:r>
      <w:r w:rsidR="006945B8">
        <w:rPr>
          <w:spacing w:val="-2"/>
        </w:rPr>
        <w:t xml:space="preserve"> </w:t>
      </w:r>
      <w:r w:rsidR="00AD4757">
        <w:t>anticipate</w:t>
      </w:r>
      <w:r w:rsidR="006945B8">
        <w:t>d</w:t>
      </w:r>
      <w:r w:rsidR="00AD4757">
        <w:rPr>
          <w:spacing w:val="-2"/>
        </w:rPr>
        <w:t xml:space="preserve"> </w:t>
      </w:r>
      <w:r w:rsidR="00AD4757">
        <w:t>deficiencies in broadband revenue</w:t>
      </w:r>
      <w:r w:rsidR="00B37CA1">
        <w:t xml:space="preserve"> that will be used for</w:t>
      </w:r>
      <w:r w:rsidR="00AD4757">
        <w:t xml:space="preserve"> payments</w:t>
      </w:r>
      <w:r w:rsidR="00AD4757">
        <w:rPr>
          <w:spacing w:val="-3"/>
        </w:rPr>
        <w:t xml:space="preserve"> </w:t>
      </w:r>
      <w:r w:rsidR="00AD4757">
        <w:t>on</w:t>
      </w:r>
      <w:r w:rsidR="00AD4757">
        <w:rPr>
          <w:spacing w:val="-2"/>
        </w:rPr>
        <w:t xml:space="preserve"> </w:t>
      </w:r>
      <w:r w:rsidR="00AD4757">
        <w:t>debt</w:t>
      </w:r>
      <w:r w:rsidR="00C879A5">
        <w:rPr>
          <w:spacing w:val="-3"/>
        </w:rPr>
        <w:t xml:space="preserve"> service</w:t>
      </w:r>
      <w:r w:rsidR="009506C4">
        <w:t>.</w:t>
      </w:r>
      <w:r w:rsidR="00AD4757">
        <w:rPr>
          <w:spacing w:val="-2"/>
        </w:rPr>
        <w:t xml:space="preserve"> </w:t>
      </w:r>
    </w:p>
    <w:p w:rsidR="00AD4757" w:rsidP="00AD4757" w:rsidRDefault="009506C4" w14:paraId="0BC337C1" w14:textId="49D51FBC">
      <w:pPr>
        <w:pStyle w:val="BodyText"/>
        <w:spacing w:before="24" w:line="259" w:lineRule="auto"/>
        <w:ind w:left="360" w:right="336"/>
      </w:pPr>
      <w:r>
        <w:t>Awardee</w:t>
      </w:r>
      <w:r w:rsidR="00B50D14">
        <w:t xml:space="preserve"> and trustee</w:t>
      </w:r>
      <w:r>
        <w:t xml:space="preserve"> shall put in</w:t>
      </w:r>
      <w:r w:rsidR="00AD4757">
        <w:rPr>
          <w:spacing w:val="-2"/>
        </w:rPr>
        <w:t xml:space="preserve"> </w:t>
      </w:r>
      <w:r w:rsidR="00AD4757">
        <w:t>writing the following facts</w:t>
      </w:r>
      <w:r w:rsidR="00AD4757">
        <w:rPr>
          <w:rStyle w:val="FootnoteReference"/>
        </w:rPr>
        <w:footnoteReference w:id="29"/>
      </w:r>
      <w:r w:rsidR="00AD4757">
        <w:t>:</w:t>
      </w:r>
    </w:p>
    <w:p w:rsidR="00AD4757" w:rsidP="00AD4757" w:rsidRDefault="00AD4757" w14:paraId="5B3E9258" w14:textId="3BCC2447">
      <w:pPr>
        <w:pStyle w:val="ListParagraph"/>
        <w:widowControl w:val="0"/>
        <w:numPr>
          <w:ilvl w:val="3"/>
          <w:numId w:val="18"/>
        </w:numPr>
        <w:tabs>
          <w:tab w:val="left" w:pos="1199"/>
          <w:tab w:val="left" w:pos="1200"/>
        </w:tabs>
        <w:autoSpaceDE w:val="0"/>
        <w:autoSpaceDN w:val="0"/>
        <w:spacing w:before="178" w:after="0"/>
        <w:ind w:left="1200" w:right="1061" w:hanging="361"/>
        <w:contextualSpacing w:val="0"/>
      </w:pPr>
      <w:r>
        <w:t>The anticipated date of the</w:t>
      </w:r>
      <w:r>
        <w:rPr>
          <w:spacing w:val="-3"/>
        </w:rPr>
        <w:t xml:space="preserve"> </w:t>
      </w:r>
      <w:r>
        <w:t>draw on the applicable</w:t>
      </w:r>
      <w:r>
        <w:rPr>
          <w:spacing w:val="-3"/>
        </w:rPr>
        <w:t xml:space="preserve"> </w:t>
      </w:r>
      <w:r w:rsidR="00E56759">
        <w:t>DSR</w:t>
      </w:r>
      <w:r w:rsidR="00AD2FD9">
        <w:t xml:space="preserve"> or</w:t>
      </w:r>
      <w:r w:rsidR="00CC1ED7">
        <w:t xml:space="preserve"> a draw from the</w:t>
      </w:r>
      <w:r w:rsidR="00AD2FD9">
        <w:t xml:space="preserve"> </w:t>
      </w:r>
      <w:r w:rsidR="00A04233">
        <w:t xml:space="preserve">DSR Guarantee </w:t>
      </w:r>
      <w:r w:rsidR="00CC1ED7">
        <w:t>to the DSR</w:t>
      </w:r>
      <w:r>
        <w:t>.</w:t>
      </w:r>
    </w:p>
    <w:p w:rsidR="00AD4757" w:rsidP="00AD4757" w:rsidRDefault="00AD4757" w14:paraId="0A8132C2" w14:textId="484B95FB">
      <w:pPr>
        <w:pStyle w:val="ListParagraph"/>
        <w:widowControl w:val="0"/>
        <w:numPr>
          <w:ilvl w:val="3"/>
          <w:numId w:val="18"/>
        </w:numPr>
        <w:tabs>
          <w:tab w:val="left" w:pos="1199"/>
          <w:tab w:val="left" w:pos="1200"/>
        </w:tabs>
        <w:autoSpaceDE w:val="0"/>
        <w:autoSpaceDN w:val="0"/>
        <w:spacing w:after="0" w:line="280" w:lineRule="exact"/>
        <w:ind w:left="1199" w:hanging="361"/>
        <w:contextualSpacing w:val="0"/>
      </w:pPr>
      <w:r>
        <w:t>Incident</w:t>
      </w:r>
      <w:r>
        <w:rPr>
          <w:spacing w:val="-9"/>
        </w:rPr>
        <w:t xml:space="preserve"> </w:t>
      </w:r>
      <w:r>
        <w:t>type</w:t>
      </w:r>
      <w:r>
        <w:rPr>
          <w:spacing w:val="-9"/>
        </w:rPr>
        <w:t xml:space="preserve"> </w:t>
      </w:r>
      <w:r>
        <w:t>and</w:t>
      </w:r>
      <w:r>
        <w:rPr>
          <w:spacing w:val="-10"/>
        </w:rPr>
        <w:t xml:space="preserve"> </w:t>
      </w:r>
      <w:r>
        <w:t>details</w:t>
      </w:r>
      <w:r>
        <w:rPr>
          <w:spacing w:val="-9"/>
        </w:rPr>
        <w:t xml:space="preserve"> </w:t>
      </w:r>
      <w:r w:rsidR="006D4084">
        <w:t>i</w:t>
      </w:r>
      <w:r>
        <w:t>ncluding</w:t>
      </w:r>
      <w:r>
        <w:rPr>
          <w:spacing w:val="-9"/>
        </w:rPr>
        <w:t xml:space="preserve"> </w:t>
      </w:r>
      <w:r>
        <w:t>preventative</w:t>
      </w:r>
      <w:r>
        <w:rPr>
          <w:spacing w:val="-9"/>
        </w:rPr>
        <w:t xml:space="preserve"> </w:t>
      </w:r>
      <w:r>
        <w:rPr>
          <w:spacing w:val="-2"/>
        </w:rPr>
        <w:t>measures.</w:t>
      </w:r>
    </w:p>
    <w:p w:rsidR="00AD4757" w:rsidP="00AD4757" w:rsidRDefault="00AD4757" w14:paraId="1984E876" w14:textId="21989588">
      <w:pPr>
        <w:pStyle w:val="ListParagraph"/>
        <w:widowControl w:val="0"/>
        <w:numPr>
          <w:ilvl w:val="3"/>
          <w:numId w:val="18"/>
        </w:numPr>
        <w:tabs>
          <w:tab w:val="left" w:pos="1199"/>
          <w:tab w:val="left" w:pos="1200"/>
        </w:tabs>
        <w:autoSpaceDE w:val="0"/>
        <w:autoSpaceDN w:val="0"/>
        <w:spacing w:before="21" w:after="0" w:line="240" w:lineRule="auto"/>
        <w:ind w:left="1199" w:hanging="361"/>
        <w:contextualSpacing w:val="0"/>
      </w:pPr>
      <w:r>
        <w:t>Amount</w:t>
      </w:r>
      <w:r>
        <w:rPr>
          <w:spacing w:val="-7"/>
        </w:rPr>
        <w:t xml:space="preserve"> </w:t>
      </w:r>
      <w:r>
        <w:t>of</w:t>
      </w:r>
      <w:r>
        <w:rPr>
          <w:spacing w:val="-7"/>
        </w:rPr>
        <w:t xml:space="preserve"> </w:t>
      </w:r>
      <w:r w:rsidR="00810D48">
        <w:t>deficiency</w:t>
      </w:r>
      <w:r>
        <w:rPr>
          <w:spacing w:val="-9"/>
        </w:rPr>
        <w:t xml:space="preserve"> </w:t>
      </w:r>
      <w:r>
        <w:t>or</w:t>
      </w:r>
      <w:r>
        <w:rPr>
          <w:spacing w:val="-7"/>
        </w:rPr>
        <w:t xml:space="preserve"> </w:t>
      </w:r>
      <w:r>
        <w:t>anticipated</w:t>
      </w:r>
      <w:r>
        <w:rPr>
          <w:spacing w:val="-8"/>
        </w:rPr>
        <w:t xml:space="preserve"> future </w:t>
      </w:r>
      <w:r>
        <w:t>draws</w:t>
      </w:r>
      <w:r>
        <w:rPr>
          <w:spacing w:val="-7"/>
        </w:rPr>
        <w:t xml:space="preserve"> </w:t>
      </w:r>
      <w:r>
        <w:t>from</w:t>
      </w:r>
      <w:r>
        <w:rPr>
          <w:spacing w:val="-7"/>
        </w:rPr>
        <w:t xml:space="preserve"> </w:t>
      </w:r>
      <w:r w:rsidR="00361891">
        <w:t xml:space="preserve">the DSR or </w:t>
      </w:r>
      <w:r w:rsidR="00A04233">
        <w:t>DSR Guarantee</w:t>
      </w:r>
      <w:r w:rsidR="00361891">
        <w:t>.</w:t>
      </w:r>
    </w:p>
    <w:p w:rsidRPr="00AD4757" w:rsidR="00AD4757" w:rsidP="00AD4757" w:rsidRDefault="00AD4757" w14:paraId="37ADE6BF" w14:textId="77777777">
      <w:pPr>
        <w:ind w:left="360"/>
      </w:pPr>
    </w:p>
    <w:p w:rsidR="00E92088" w:rsidP="00E92088" w:rsidRDefault="00E92088" w14:paraId="716BE476" w14:textId="77777777"/>
    <w:p w:rsidRPr="00AD4757" w:rsidR="00AD4757" w:rsidP="00AD4757" w:rsidRDefault="00AD4757" w14:paraId="74CDFDD3" w14:textId="62539748">
      <w:pPr>
        <w:jc w:val="center"/>
        <w:rPr>
          <w:b/>
          <w:bCs/>
        </w:rPr>
      </w:pPr>
      <w:r w:rsidRPr="00AD4757">
        <w:rPr>
          <w:b/>
          <w:bCs/>
        </w:rPr>
        <w:t xml:space="preserve">(END OF ATTACHMENT </w:t>
      </w:r>
      <w:r w:rsidR="00DB436B">
        <w:rPr>
          <w:b/>
          <w:bCs/>
        </w:rPr>
        <w:t>1</w:t>
      </w:r>
      <w:r w:rsidRPr="00AD4757">
        <w:rPr>
          <w:b/>
          <w:bCs/>
        </w:rPr>
        <w:t>)</w:t>
      </w:r>
    </w:p>
    <w:p w:rsidR="4321CADA" w:rsidP="4321CADA" w:rsidRDefault="4321CADA" w14:paraId="1AE0E7F2" w14:textId="0B45391F">
      <w:pPr>
        <w:widowControl w:val="0"/>
        <w:spacing w:before="26"/>
        <w:ind w:right="415"/>
        <w:rPr>
          <w:rFonts w:ascii="Calibri" w:hAnsi="Calibri" w:eastAsia="Calibri" w:cs="Calibri"/>
          <w:color w:val="000000" w:themeColor="text1"/>
        </w:rPr>
      </w:pPr>
    </w:p>
    <w:p w:rsidR="4321CADA" w:rsidP="4321CADA" w:rsidRDefault="4321CADA" w14:paraId="6AD4D2C9" w14:textId="1AD5043F">
      <w:pPr>
        <w:widowControl w:val="0"/>
        <w:spacing w:before="26"/>
        <w:ind w:right="415"/>
        <w:rPr>
          <w:rFonts w:ascii="Calibri" w:hAnsi="Calibri" w:eastAsia="Calibri" w:cs="Calibri"/>
          <w:color w:val="000000" w:themeColor="text1"/>
        </w:rPr>
      </w:pPr>
    </w:p>
    <w:p w:rsidR="00A44C59" w:rsidP="4BE3042A" w:rsidRDefault="00A44C59" w14:paraId="2C078E63" w14:textId="094622D8"/>
    <w:sectPr w:rsidR="00A44C59">
      <w:headerReference w:type="default" r:id="rId13"/>
      <w:footerReference w:type="default" r:id="rId14"/>
      <w:pgSz w:w="12240" w:h="15840"/>
      <w:pgMar w:top="1440" w:right="1440" w:bottom="1440" w:left="1440" w:header="720" w:footer="720" w:gutter="0"/>
      <w:cols w:space="720"/>
      <w:docGrid w:linePitch="360"/>
    </w:sectPr>
    <w:p>
      <w:r>
        <w:t xml:space="preserve"/>
      </w:r>
    </w:p>
    <w:p>
      <w:r>
        <w:t xml:space="preserve">Attachment 1: </w:t>
      </w:r>
    </w:p>
    <w:p>
      <w:hyperlink w:history="true" r:id="R0639bca5df57483e">
        <w:r w:rsidRPr="00CB1292">
          <w:rPr>
            <w:rStyle w:val="Hyperlink"/>
            <w:color w:val="2E74B5" w:themeColor="accent1" w:themeShade="BF"/>
            <w:u w:val="single"/>
          </w:rPr>
          <w:t>D2311045 Decision Addressing Staff Proposal on Establishment of Broadband Loan Loss Reserve</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93B7" w14:textId="77777777" w:rsidR="00D50592" w:rsidRDefault="00D50592" w:rsidP="00724AE0">
      <w:pPr>
        <w:spacing w:after="0" w:line="240" w:lineRule="auto"/>
      </w:pPr>
      <w:r>
        <w:separator/>
      </w:r>
    </w:p>
  </w:endnote>
  <w:endnote w:type="continuationSeparator" w:id="0">
    <w:p w14:paraId="618C52B9" w14:textId="77777777" w:rsidR="00D50592" w:rsidRDefault="00D50592" w:rsidP="00724AE0">
      <w:pPr>
        <w:spacing w:after="0" w:line="240" w:lineRule="auto"/>
      </w:pPr>
      <w:r>
        <w:continuationSeparator/>
      </w:r>
    </w:p>
  </w:endnote>
  <w:endnote w:type="continuationNotice" w:id="1">
    <w:p w14:paraId="5D0C5EC1" w14:textId="77777777" w:rsidR="00D50592" w:rsidRDefault="00D50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908055"/>
      <w:docPartObj>
        <w:docPartGallery w:val="Page Numbers (Bottom of Page)"/>
        <w:docPartUnique/>
      </w:docPartObj>
    </w:sdtPr>
    <w:sdtEndPr>
      <w:rPr>
        <w:noProof/>
      </w:rPr>
    </w:sdtEndPr>
    <w:sdtContent>
      <w:p w14:paraId="5E7B013D" w14:textId="7F6BBB36" w:rsidR="00833236" w:rsidRDefault="00833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EC9D7" w14:textId="77777777" w:rsidR="00EC24EC" w:rsidRDefault="00EC2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7398" w14:textId="77777777" w:rsidR="00D50592" w:rsidRDefault="00D50592" w:rsidP="00724AE0">
      <w:pPr>
        <w:spacing w:after="0" w:line="240" w:lineRule="auto"/>
      </w:pPr>
      <w:r>
        <w:separator/>
      </w:r>
    </w:p>
  </w:footnote>
  <w:footnote w:type="continuationSeparator" w:id="0">
    <w:p w14:paraId="4276A87F" w14:textId="77777777" w:rsidR="00D50592" w:rsidRDefault="00D50592" w:rsidP="00724AE0">
      <w:pPr>
        <w:spacing w:after="0" w:line="240" w:lineRule="auto"/>
      </w:pPr>
      <w:r>
        <w:continuationSeparator/>
      </w:r>
    </w:p>
  </w:footnote>
  <w:footnote w:type="continuationNotice" w:id="1">
    <w:p w14:paraId="500EC822" w14:textId="77777777" w:rsidR="00D50592" w:rsidRDefault="00D50592">
      <w:pPr>
        <w:spacing w:after="0" w:line="240" w:lineRule="auto"/>
      </w:pPr>
    </w:p>
  </w:footnote>
  <w:footnote w:id="2">
    <w:p w14:paraId="2E62A612" w14:textId="39E5242D" w:rsidR="000A004E" w:rsidRDefault="000A004E">
      <w:pPr>
        <w:pStyle w:val="FootnoteText"/>
      </w:pPr>
      <w:r>
        <w:rPr>
          <w:rStyle w:val="FootnoteReference"/>
        </w:rPr>
        <w:footnoteRef/>
      </w:r>
      <w:r>
        <w:t xml:space="preserve"> </w:t>
      </w:r>
      <w:r w:rsidR="00FC03FD" w:rsidRPr="00FC03FD">
        <w:t>Sen. Bill No. 156 (2021-2022 Reg. Sess.), adding §281.2 to the California Public Utilities Code.</w:t>
      </w:r>
    </w:p>
  </w:footnote>
  <w:footnote w:id="3">
    <w:p w14:paraId="16FF8748" w14:textId="4E5B42D1" w:rsidR="000A004E" w:rsidRDefault="000A004E">
      <w:pPr>
        <w:pStyle w:val="FootnoteText"/>
      </w:pPr>
      <w:r>
        <w:rPr>
          <w:rStyle w:val="FootnoteReference"/>
        </w:rPr>
        <w:footnoteRef/>
      </w:r>
      <w:r>
        <w:t xml:space="preserve"> </w:t>
      </w:r>
      <w:r w:rsidRPr="000A004E">
        <w:t>Assem. Bill No. 164 (2021-2022 Reg. Sess.) §34, Item 8660-062-0001.</w:t>
      </w:r>
    </w:p>
  </w:footnote>
  <w:footnote w:id="4">
    <w:p w14:paraId="69B944ED" w14:textId="77777777" w:rsidR="000668D7" w:rsidRDefault="000668D7" w:rsidP="000668D7">
      <w:pPr>
        <w:pStyle w:val="FootnoteText"/>
      </w:pPr>
      <w:r>
        <w:rPr>
          <w:rStyle w:val="FootnoteReference"/>
        </w:rPr>
        <w:footnoteRef/>
      </w:r>
      <w:r>
        <w:t xml:space="preserve"> Broadband projects that demonstrate a sufficient surplus capacity to remain competitive in the future without</w:t>
      </w:r>
    </w:p>
    <w:p w14:paraId="0396342F" w14:textId="77777777" w:rsidR="000668D7" w:rsidRDefault="000668D7" w:rsidP="000668D7">
      <w:pPr>
        <w:pStyle w:val="FootnoteText"/>
      </w:pPr>
      <w:r>
        <w:t>requiring major refurbishment upgrades.</w:t>
      </w:r>
    </w:p>
  </w:footnote>
  <w:footnote w:id="5">
    <w:p w14:paraId="65E00BC1" w14:textId="77777777" w:rsidR="00CC5514" w:rsidRDefault="00CC5514" w:rsidP="00CC5514">
      <w:pPr>
        <w:pStyle w:val="FootnoteText"/>
      </w:pPr>
      <w:r>
        <w:rPr>
          <w:rStyle w:val="FootnoteReference"/>
        </w:rPr>
        <w:footnoteRef/>
      </w:r>
      <w:r>
        <w:t xml:space="preserve"> </w:t>
      </w:r>
      <w:r w:rsidRPr="00001BBF">
        <w:t>CFI Team, Depository, Corporate Finance Institute (Aug. 15, 2022, 1:24 PM), https://corporatefinanceinstitute.com/resources/knowledge/finance/depository/.</w:t>
      </w:r>
    </w:p>
  </w:footnote>
  <w:footnote w:id="6">
    <w:p w14:paraId="318F3DB4" w14:textId="77777777" w:rsidR="00342898" w:rsidRDefault="00342898" w:rsidP="00342898">
      <w:pPr>
        <w:pStyle w:val="FootnoteText"/>
      </w:pPr>
      <w:r>
        <w:rPr>
          <w:rStyle w:val="FootnoteReference"/>
        </w:rPr>
        <w:footnoteRef/>
      </w:r>
      <w:r>
        <w:t xml:space="preserve"> </w:t>
      </w:r>
      <w:r w:rsidRPr="00AC2ED9">
        <w:t>Andrew Bloomenthal, Guarantor, Investopedia (Aug. 15, 2022, 1:18 PM), https://www.investopedia.com/terms/g/guarantor.asp.</w:t>
      </w:r>
    </w:p>
  </w:footnote>
  <w:footnote w:id="7">
    <w:p w14:paraId="14919AE7" w14:textId="13147B9B" w:rsidR="008A67B2" w:rsidRDefault="008A67B2" w:rsidP="008A67B2">
      <w:pPr>
        <w:pStyle w:val="FootnoteText"/>
      </w:pPr>
      <w:r>
        <w:rPr>
          <w:rStyle w:val="FootnoteReference"/>
        </w:rPr>
        <w:footnoteRef/>
      </w:r>
      <w:r>
        <w:t xml:space="preserve"> </w:t>
      </w:r>
      <w:r w:rsidR="008C747F" w:rsidRPr="008E5DB7">
        <w:rPr>
          <w:i/>
          <w:iCs/>
        </w:rPr>
        <w:t>See</w:t>
      </w:r>
      <w:r w:rsidR="008C747F" w:rsidRPr="00F856E6">
        <w:t xml:space="preserve"> </w:t>
      </w:r>
      <w:r w:rsidR="008C747F">
        <w:t>definitions in the Federal Funding Account Program Guidelines</w:t>
      </w:r>
      <w:r w:rsidR="008C747F" w:rsidRPr="00F856E6">
        <w:t xml:space="preserve">, </w:t>
      </w:r>
      <w:r w:rsidR="008C747F">
        <w:t>D-22-04-055</w:t>
      </w:r>
      <w:r w:rsidR="008C747F" w:rsidRPr="00F856E6">
        <w:t xml:space="preserve">, </w:t>
      </w:r>
      <w:r w:rsidR="008C747F">
        <w:t>Order Instituting Rulemaking Regarding Broadband Infrastructure Deployment and to Support Service Providers in the State of California</w:t>
      </w:r>
      <w:r w:rsidR="008C747F" w:rsidRPr="00F856E6">
        <w:t xml:space="preserve">, </w:t>
      </w:r>
      <w:r w:rsidR="008C747F">
        <w:t>May</w:t>
      </w:r>
      <w:r w:rsidR="008C747F" w:rsidRPr="00F856E6">
        <w:t xml:space="preserve"> </w:t>
      </w:r>
      <w:r w:rsidR="008C747F">
        <w:t>15</w:t>
      </w:r>
      <w:r w:rsidR="008C747F" w:rsidRPr="00F856E6">
        <w:t>, 202</w:t>
      </w:r>
      <w:r w:rsidR="008C747F">
        <w:t>3</w:t>
      </w:r>
      <w:r w:rsidR="008C747F" w:rsidRPr="00F856E6">
        <w:t xml:space="preserve"> </w:t>
      </w:r>
      <w:r w:rsidR="008C747F">
        <w:t>12</w:t>
      </w:r>
      <w:r w:rsidR="008C747F" w:rsidRPr="00F856E6">
        <w:t>:</w:t>
      </w:r>
      <w:r w:rsidR="008C747F">
        <w:t>14</w:t>
      </w:r>
      <w:r w:rsidR="008C747F" w:rsidRPr="00F856E6">
        <w:t xml:space="preserve"> </w:t>
      </w:r>
      <w:r w:rsidR="008C747F">
        <w:t>PM</w:t>
      </w:r>
      <w:r w:rsidR="008C747F" w:rsidRPr="00F856E6">
        <w:t>,</w:t>
      </w:r>
      <w:r w:rsidR="008C747F">
        <w:t xml:space="preserve"> </w:t>
      </w:r>
      <w:r w:rsidR="008C747F" w:rsidRPr="0031150F">
        <w:t>https://docs.cpuc.ca.gov/PublishedDocs/Published/G000/M470/K481/470481278.PDF</w:t>
      </w:r>
      <w:r w:rsidR="008C747F">
        <w:t>.</w:t>
      </w:r>
    </w:p>
  </w:footnote>
  <w:footnote w:id="8">
    <w:p w14:paraId="786C4536" w14:textId="0BFE36A0" w:rsidR="002A6C7B" w:rsidRDefault="002A6C7B" w:rsidP="002A6C7B">
      <w:pPr>
        <w:pStyle w:val="FootnoteText"/>
      </w:pPr>
      <w:r>
        <w:rPr>
          <w:rStyle w:val="FootnoteReference"/>
        </w:rPr>
        <w:footnoteRef/>
      </w:r>
      <w:r>
        <w:t xml:space="preserve"> </w:t>
      </w:r>
      <w:r w:rsidR="006337E3">
        <w:rPr>
          <w:i/>
          <w:iCs/>
        </w:rPr>
        <w:t>Id</w:t>
      </w:r>
      <w:r>
        <w:t>.</w:t>
      </w:r>
    </w:p>
  </w:footnote>
  <w:footnote w:id="9">
    <w:p w14:paraId="0ADA30F0" w14:textId="77777777" w:rsidR="00A243B3" w:rsidRDefault="00A243B3" w:rsidP="00A243B3">
      <w:pPr>
        <w:pStyle w:val="FootnoteText"/>
      </w:pPr>
      <w:r>
        <w:rPr>
          <w:rStyle w:val="FootnoteReference"/>
        </w:rPr>
        <w:footnoteRef/>
      </w:r>
      <w:r>
        <w:t xml:space="preserve"> </w:t>
      </w:r>
      <w:r w:rsidRPr="00B54DAA">
        <w:t>James Chen, Default, Investopedia (Aug. 15, 2022, 1:12 PM), https://www.investopedia.com/terms/d/default2.asp.</w:t>
      </w:r>
    </w:p>
  </w:footnote>
  <w:footnote w:id="10">
    <w:p w14:paraId="5E767A41" w14:textId="77777777" w:rsidR="00D659F2" w:rsidRDefault="00D659F2" w:rsidP="00D659F2">
      <w:pPr>
        <w:pStyle w:val="FootnoteText"/>
      </w:pPr>
      <w:r>
        <w:rPr>
          <w:rStyle w:val="FootnoteReference"/>
        </w:rPr>
        <w:footnoteRef/>
      </w:r>
      <w:r>
        <w:t xml:space="preserve"> </w:t>
      </w:r>
      <w:r w:rsidRPr="008E22E8">
        <w:t>John Chang, California Bonds 101: A Citizens Guide to State Revenue Bonds, California State Treasurer (Aug. 15 2022, 4:24 PM), https://www.treasurer.ca.gov/publications/bonds101_revenue.pdf.</w:t>
      </w:r>
    </w:p>
  </w:footnote>
  <w:footnote w:id="11">
    <w:p w14:paraId="0212FF6E" w14:textId="77777777" w:rsidR="00760D6A" w:rsidRDefault="00760D6A" w:rsidP="00760D6A">
      <w:pPr>
        <w:pStyle w:val="FootnoteText"/>
      </w:pPr>
      <w:r>
        <w:rPr>
          <w:rStyle w:val="FootnoteReference"/>
        </w:rPr>
        <w:footnoteRef/>
      </w:r>
      <w:r>
        <w:t xml:space="preserve"> James Chen, Bond Trustee, Investopedia (Aug. 15, 2022, 10:53 AM), https://www.investopedia.com/terms/b/bond- trustee.asp#:%7E:text=A%20bond%20trustee%20is%20a%20financial%20institution%20that,to%20enforce%20the</w:t>
      </w:r>
    </w:p>
    <w:p w14:paraId="2DDDCDA5" w14:textId="77777777" w:rsidR="00760D6A" w:rsidRDefault="00760D6A" w:rsidP="00760D6A">
      <w:pPr>
        <w:pStyle w:val="FootnoteText"/>
      </w:pPr>
      <w:r>
        <w:t>%20terms%20of%20a%20bond%20indenture.</w:t>
      </w:r>
    </w:p>
  </w:footnote>
  <w:footnote w:id="12">
    <w:p w14:paraId="3126ECA4" w14:textId="77777777" w:rsidR="00760D6A" w:rsidRDefault="00760D6A" w:rsidP="00760D6A">
      <w:pPr>
        <w:pStyle w:val="FootnoteText"/>
      </w:pPr>
      <w:r>
        <w:rPr>
          <w:rStyle w:val="FootnoteReference"/>
        </w:rPr>
        <w:footnoteRef/>
      </w:r>
      <w:r>
        <w:t xml:space="preserve"> </w:t>
      </w:r>
      <w:r w:rsidRPr="00F9548F">
        <w:t>Caroline Banton, Underwriter, Investopedia (Aug. 15, 2022, 3:39 PM),</w:t>
      </w:r>
      <w:r>
        <w:t xml:space="preserve"> </w:t>
      </w:r>
      <w:r w:rsidRPr="00F9548F">
        <w:t>https://www.investopedia.com/terms/u/underwriter.asp.</w:t>
      </w:r>
    </w:p>
  </w:footnote>
  <w:footnote w:id="13">
    <w:p w14:paraId="6CAA4577" w14:textId="004DC4AF" w:rsidR="00E92B04" w:rsidRDefault="00E92B04">
      <w:pPr>
        <w:pStyle w:val="FootnoteText"/>
      </w:pPr>
      <w:r>
        <w:rPr>
          <w:rStyle w:val="FootnoteReference"/>
        </w:rPr>
        <w:footnoteRef/>
      </w:r>
      <w:r>
        <w:t xml:space="preserve"> </w:t>
      </w:r>
      <w:r w:rsidR="00C30339" w:rsidRPr="00C30339">
        <w:t>See D.22-04-055 Appendix A at A-8.</w:t>
      </w:r>
    </w:p>
  </w:footnote>
  <w:footnote w:id="14">
    <w:p w14:paraId="068BEE57" w14:textId="0D67566F" w:rsidR="007F56F1" w:rsidRDefault="007F56F1">
      <w:pPr>
        <w:pStyle w:val="FootnoteText"/>
      </w:pPr>
      <w:r>
        <w:rPr>
          <w:rStyle w:val="FootnoteReference"/>
        </w:rPr>
        <w:footnoteRef/>
      </w:r>
      <w:r>
        <w:t xml:space="preserve"> </w:t>
      </w:r>
      <w:r w:rsidR="007C27AA" w:rsidRPr="007C27AA">
        <w:t>IRS Code 1.148-2(f).</w:t>
      </w:r>
    </w:p>
  </w:footnote>
  <w:footnote w:id="15">
    <w:p w14:paraId="28F23E38" w14:textId="510342F2" w:rsidR="00AC7A85" w:rsidRDefault="00AC7A85">
      <w:pPr>
        <w:pStyle w:val="FootnoteText"/>
      </w:pPr>
      <w:r>
        <w:rPr>
          <w:rStyle w:val="FootnoteReference"/>
        </w:rPr>
        <w:footnoteRef/>
      </w:r>
      <w:r>
        <w:t xml:space="preserve"> </w:t>
      </w:r>
      <w:r w:rsidRPr="00AC7A85">
        <w:t>https://esd.dof.ca.gov/funds/app/download/3411</w:t>
      </w:r>
      <w:r>
        <w:t>.</w:t>
      </w:r>
    </w:p>
  </w:footnote>
  <w:footnote w:id="16">
    <w:p w14:paraId="350DF653" w14:textId="77777777" w:rsidR="009D42C9" w:rsidRDefault="009D42C9" w:rsidP="009D42C9">
      <w:pPr>
        <w:pStyle w:val="FootnoteText"/>
      </w:pPr>
      <w:r>
        <w:rPr>
          <w:rStyle w:val="FootnoteReference"/>
        </w:rPr>
        <w:footnoteRef/>
      </w:r>
      <w:r>
        <w:t xml:space="preserve"> IRS Section 501(c)(3) federal tax exemptions place a two percent limit on the cost of debt issuance for nonprofits. </w:t>
      </w:r>
    </w:p>
  </w:footnote>
  <w:footnote w:id="17">
    <w:p w14:paraId="5AF25CC2" w14:textId="67F64C32" w:rsidR="00E26B84" w:rsidRDefault="00E26B84">
      <w:pPr>
        <w:pStyle w:val="FootnoteText"/>
      </w:pPr>
      <w:r>
        <w:rPr>
          <w:rStyle w:val="FootnoteReference"/>
        </w:rPr>
        <w:footnoteRef/>
      </w:r>
      <w:r>
        <w:t xml:space="preserve"> Estimated appropriation.</w:t>
      </w:r>
    </w:p>
  </w:footnote>
  <w:footnote w:id="18">
    <w:p w14:paraId="455DCB00" w14:textId="36AD2928" w:rsidR="00E26B84" w:rsidRDefault="00E26B84">
      <w:pPr>
        <w:pStyle w:val="FootnoteText"/>
      </w:pPr>
      <w:r>
        <w:rPr>
          <w:rStyle w:val="FootnoteReference"/>
        </w:rPr>
        <w:footnoteRef/>
      </w:r>
      <w:r>
        <w:t xml:space="preserve"> Estimated appropriation.</w:t>
      </w:r>
    </w:p>
  </w:footnote>
  <w:footnote w:id="19">
    <w:p w14:paraId="518F3E90" w14:textId="6DBFDAA2" w:rsidR="00813DBD" w:rsidRDefault="00813DBD" w:rsidP="00CD5DAD">
      <w:pPr>
        <w:pStyle w:val="FootnoteText"/>
      </w:pPr>
      <w:r>
        <w:rPr>
          <w:rStyle w:val="FootnoteReference"/>
        </w:rPr>
        <w:footnoteRef/>
      </w:r>
      <w:r>
        <w:t xml:space="preserve"> </w:t>
      </w:r>
      <w:r w:rsidR="00CD5DAD">
        <w:t>See https://federalfundingaccountmap.vetro.io/map. Parties may see a representation of eligible communities on the Federal Funding Account map, by selecting the “Disadvantaged Communities” layer and the “Low-Income Areas” layer.</w:t>
      </w:r>
    </w:p>
  </w:footnote>
  <w:footnote w:id="20">
    <w:p w14:paraId="4840A25D" w14:textId="1E30BC81" w:rsidR="00331794" w:rsidRDefault="00BF4F02" w:rsidP="00331794">
      <w:pPr>
        <w:pStyle w:val="FootnoteText"/>
      </w:pPr>
      <w:r>
        <w:rPr>
          <w:rStyle w:val="FootnoteReference"/>
        </w:rPr>
        <w:footnoteRef/>
      </w:r>
      <w:r>
        <w:t xml:space="preserve"> </w:t>
      </w:r>
      <w:r w:rsidRPr="00BF4F02">
        <w:t>For purposes of defining</w:t>
      </w:r>
      <w:r w:rsidR="00722D47">
        <w:t xml:space="preserve"> </w:t>
      </w:r>
      <w:r w:rsidRPr="00BF4F02">
        <w:t xml:space="preserve">areas eligible for </w:t>
      </w:r>
      <w:r w:rsidR="00FA549B">
        <w:t>the</w:t>
      </w:r>
      <w:r w:rsidRPr="00BF4F02">
        <w:t xml:space="preserve"> Equity Track, </w:t>
      </w:r>
      <w:r w:rsidR="002D2098">
        <w:t xml:space="preserve">Tribal areas include </w:t>
      </w:r>
      <w:r w:rsidRPr="00BF4F02">
        <w:t xml:space="preserve">areas controlled or held in trust by </w:t>
      </w:r>
      <w:r w:rsidR="000F0346">
        <w:t>a Tribal</w:t>
      </w:r>
      <w:r w:rsidR="00FA549B">
        <w:t xml:space="preserve"> entity</w:t>
      </w:r>
      <w:r w:rsidR="00FA549B" w:rsidRPr="00FA549B">
        <w:rPr>
          <w:rFonts w:asciiTheme="minorHAnsi" w:eastAsiaTheme="minorHAnsi" w:hAnsiTheme="minorHAnsi" w:cstheme="minorBidi"/>
          <w:sz w:val="22"/>
          <w:szCs w:val="22"/>
        </w:rPr>
        <w:t xml:space="preserve"> </w:t>
      </w:r>
      <w:r w:rsidR="00FA549B" w:rsidRPr="00FA549B">
        <w:t xml:space="preserve">listed on the Bureau of Indian Affairs Office of Federal Acknowledgement petitioner list pursuant to Title 25 C.F.R. Part 83 et seq.; or </w:t>
      </w:r>
      <w:r w:rsidR="00FA549B">
        <w:t>an area controlled by</w:t>
      </w:r>
      <w:r w:rsidR="00FA549B" w:rsidRPr="00FA549B">
        <w:t xml:space="preserve"> an Indian Tribe located in California that is on the contact list maintained by the California Native American Heritage Commission for the purposes of consultation pursuant to section 65352.3 of the Government Code; and has organized a separate legal entity, either a non-profit or for-profit entity, in compliance with CCR Title 25, Section 8301(s) and it has demonstrated to the satisfaction of the Commission that the</w:t>
      </w:r>
      <w:r w:rsidR="00643F61">
        <w:t xml:space="preserve"> Tribal area is controlled by the</w:t>
      </w:r>
      <w:r w:rsidR="00FA549B" w:rsidRPr="00FA549B">
        <w:t xml:space="preserve"> separate legal entity controlled by the Tribal </w:t>
      </w:r>
      <w:r w:rsidR="00643F61">
        <w:t>entity</w:t>
      </w:r>
      <w:r w:rsidRPr="00BF4F02">
        <w:t>, whether held off-reservation trust land or on reservation trust land.</w:t>
      </w:r>
      <w:r w:rsidR="007708A6">
        <w:t xml:space="preserve"> This includes:</w:t>
      </w:r>
      <w:r w:rsidR="00331794">
        <w:t xml:space="preserve"> </w:t>
      </w:r>
      <w:r w:rsidR="007708A6">
        <w:t xml:space="preserve"> </w:t>
      </w:r>
    </w:p>
    <w:p w14:paraId="5B08BEDB" w14:textId="2AC7A639" w:rsidR="00331794" w:rsidRDefault="00331794" w:rsidP="00331794">
      <w:pPr>
        <w:pStyle w:val="FootnoteText"/>
      </w:pPr>
      <w:r>
        <w:t>(1) Joint Use Areas;</w:t>
      </w:r>
    </w:p>
    <w:p w14:paraId="798EBA63" w14:textId="2EEA4681" w:rsidR="00331794" w:rsidRDefault="00331794" w:rsidP="00331794">
      <w:pPr>
        <w:pStyle w:val="FootnoteText"/>
      </w:pPr>
      <w:r>
        <w:t>(2) Legal  reservation and associated off-reservation trust land;</w:t>
      </w:r>
    </w:p>
    <w:p w14:paraId="73915834" w14:textId="6C9F962E" w:rsidR="00331794" w:rsidRDefault="00331794" w:rsidP="00331794">
      <w:pPr>
        <w:pStyle w:val="FootnoteText"/>
      </w:pPr>
      <w:r>
        <w:t>(3) Legal  area consisting of reservation only;</w:t>
      </w:r>
    </w:p>
    <w:p w14:paraId="29F1C6FE" w14:textId="41516250" w:rsidR="00331794" w:rsidRDefault="00331794" w:rsidP="00331794">
      <w:pPr>
        <w:pStyle w:val="FootnoteText"/>
      </w:pPr>
      <w:r>
        <w:t>(4) Legal  area consisting of off-reservation trust land only;</w:t>
      </w:r>
    </w:p>
    <w:p w14:paraId="29FF197D" w14:textId="6A357DC9" w:rsidR="00BF4F02" w:rsidRDefault="00331794" w:rsidP="00331794">
      <w:pPr>
        <w:pStyle w:val="FootnoteText"/>
      </w:pPr>
      <w:r>
        <w:t xml:space="preserve">(5) </w:t>
      </w:r>
      <w:r w:rsidR="00692DA2">
        <w:t>A</w:t>
      </w:r>
      <w:r>
        <w:t xml:space="preserve"> Tribal designated statistical area (TDSA)</w:t>
      </w:r>
      <w:r w:rsidR="00692DA2">
        <w:t xml:space="preserve">; </w:t>
      </w:r>
      <w:r w:rsidR="003A2EF9">
        <w:t>including any fee lands owned and controlled by a Tribal entity for the purposes of providing housing or economic opportunities for tribal members or the Tribe</w:t>
      </w:r>
      <w:r>
        <w:t>.</w:t>
      </w:r>
      <w:r w:rsidR="007708A6">
        <w:t xml:space="preserve"> </w:t>
      </w:r>
    </w:p>
  </w:footnote>
  <w:footnote w:id="21">
    <w:p w14:paraId="36B1D125" w14:textId="3DD5AFD6" w:rsidR="00086690" w:rsidRDefault="00086690">
      <w:pPr>
        <w:pStyle w:val="FootnoteText"/>
      </w:pPr>
      <w:r>
        <w:rPr>
          <w:rStyle w:val="FootnoteReference"/>
        </w:rPr>
        <w:footnoteRef/>
      </w:r>
      <w:r>
        <w:t xml:space="preserve"> </w:t>
      </w:r>
      <w:r w:rsidR="00062768">
        <w:t>R.20-</w:t>
      </w:r>
      <w:r w:rsidR="003E2AD4">
        <w:t>08-021</w:t>
      </w:r>
      <w:r w:rsidR="00EA7C9C">
        <w:t>.</w:t>
      </w:r>
    </w:p>
  </w:footnote>
  <w:footnote w:id="22">
    <w:p w14:paraId="0B6A0554" w14:textId="09C31060" w:rsidR="00855C4D" w:rsidRDefault="00855C4D">
      <w:pPr>
        <w:pStyle w:val="FootnoteText"/>
      </w:pPr>
      <w:r>
        <w:rPr>
          <w:rStyle w:val="FootnoteReference"/>
        </w:rPr>
        <w:footnoteRef/>
      </w:r>
      <w:r>
        <w:t xml:space="preserve"> </w:t>
      </w:r>
      <w:r w:rsidR="00524CD5" w:rsidRPr="00524CD5">
        <w:t>https://www.cpuc.ca.gov/industries-and-topics/internet-and-phone/broadband-implementation-for-california/loan-loss-reserve-fund</w:t>
      </w:r>
      <w:r w:rsidR="00524CD5">
        <w:t>.</w:t>
      </w:r>
    </w:p>
  </w:footnote>
  <w:footnote w:id="23">
    <w:p w14:paraId="7DBD5E06" w14:textId="40D46955" w:rsidR="006C4BF6" w:rsidRDefault="006C4BF6">
      <w:pPr>
        <w:pStyle w:val="FootnoteText"/>
      </w:pPr>
      <w:r>
        <w:rPr>
          <w:rStyle w:val="FootnoteReference"/>
        </w:rPr>
        <w:footnoteRef/>
      </w:r>
      <w:r>
        <w:t xml:space="preserve"> Additional revisions to the application </w:t>
      </w:r>
      <w:r w:rsidR="00D82278">
        <w:t>that require CPUC approval will be done through CPUC Resolution.</w:t>
      </w:r>
    </w:p>
  </w:footnote>
  <w:footnote w:id="24">
    <w:p w14:paraId="274E975F" w14:textId="513693FA" w:rsidR="008C664F" w:rsidRDefault="008C664F">
      <w:pPr>
        <w:pStyle w:val="FootnoteText"/>
      </w:pPr>
      <w:r>
        <w:rPr>
          <w:rStyle w:val="FootnoteReference"/>
        </w:rPr>
        <w:footnoteRef/>
      </w:r>
      <w:r>
        <w:t xml:space="preserve"> </w:t>
      </w:r>
      <w:r w:rsidR="00D53930">
        <w:t xml:space="preserve">Information on PEA and CEQA requirements </w:t>
      </w:r>
      <w:r w:rsidR="00BC5521">
        <w:t>is available on the CPUC’s website at www.cpuc.ca.gov/ceqa</w:t>
      </w:r>
      <w:r w:rsidR="00DA4ED4">
        <w:t>.</w:t>
      </w:r>
    </w:p>
  </w:footnote>
  <w:footnote w:id="25">
    <w:p w14:paraId="32BC54A9" w14:textId="77777777" w:rsidR="002932C7" w:rsidRDefault="002932C7" w:rsidP="002932C7">
      <w:pPr>
        <w:pStyle w:val="FootnoteText"/>
      </w:pPr>
      <w:r>
        <w:rPr>
          <w:rStyle w:val="FootnoteReference"/>
        </w:rPr>
        <w:footnoteRef/>
      </w:r>
      <w:r>
        <w:t xml:space="preserve"> The “form of guarantee” will be a standard non-negotiable form that will be updated for each deal depending on the size of the guarantee.</w:t>
      </w:r>
    </w:p>
  </w:footnote>
  <w:footnote w:id="26">
    <w:p w14:paraId="175AE353" w14:textId="1D8E211D" w:rsidR="006F1497" w:rsidRDefault="006F1497">
      <w:pPr>
        <w:pStyle w:val="FootnoteText"/>
      </w:pPr>
      <w:r>
        <w:rPr>
          <w:rStyle w:val="FootnoteReference"/>
        </w:rPr>
        <w:footnoteRef/>
      </w:r>
      <w:r>
        <w:t xml:space="preserve"> It’s important to note that not all bonds necessarily reach maturity. Some bonds may </w:t>
      </w:r>
      <w:r w:rsidR="00D10BD2">
        <w:t>contain</w:t>
      </w:r>
      <w:r>
        <w:t xml:space="preserve"> call options that allow the bond issuer to redeem bonds before the stated maturity. In such instances, if the </w:t>
      </w:r>
      <w:r w:rsidR="00D10BD2">
        <w:t>bond issuer decides to exercise the call option, bondholders might receive their principal and any accrued interest before the originally scheduled maturity date.</w:t>
      </w:r>
    </w:p>
  </w:footnote>
  <w:footnote w:id="27">
    <w:p w14:paraId="696BBC6F" w14:textId="5661DDE6" w:rsidR="00F95B45" w:rsidRDefault="00F95B45">
      <w:pPr>
        <w:pStyle w:val="FootnoteText"/>
      </w:pPr>
      <w:r>
        <w:rPr>
          <w:rStyle w:val="FootnoteReference"/>
        </w:rPr>
        <w:footnoteRef/>
      </w:r>
      <w:r>
        <w:t xml:space="preserve"> </w:t>
      </w:r>
      <w:r w:rsidR="006969C2">
        <w:t>Serial bonds</w:t>
      </w:r>
      <w:r w:rsidR="00AB3721">
        <w:t xml:space="preserve"> mature in installments over a period of years.</w:t>
      </w:r>
    </w:p>
  </w:footnote>
  <w:footnote w:id="28">
    <w:p w14:paraId="71F8CC28" w14:textId="77777777" w:rsidR="00E33CDE" w:rsidRDefault="00E33CDE" w:rsidP="00E33CDE">
      <w:pPr>
        <w:pStyle w:val="FootnoteText"/>
      </w:pPr>
      <w:r>
        <w:rPr>
          <w:rStyle w:val="FootnoteReference"/>
        </w:rPr>
        <w:footnoteRef/>
      </w:r>
      <w:r>
        <w:t xml:space="preserve"> Term bonds mature on a single date.</w:t>
      </w:r>
    </w:p>
  </w:footnote>
  <w:footnote w:id="29">
    <w:p w14:paraId="1AD6C23F" w14:textId="77777777" w:rsidR="00AD4757" w:rsidRDefault="00AD4757" w:rsidP="00AD4757">
      <w:pPr>
        <w:pStyle w:val="FootnoteText"/>
      </w:pPr>
      <w:r>
        <w:rPr>
          <w:rStyle w:val="FootnoteReference"/>
        </w:rPr>
        <w:footnoteRef/>
      </w:r>
      <w:r>
        <w:t xml:space="preserve"> These items can also be addressed via “Notice Provisions” required of the trustee to seek reimbursement for draws on the debt service 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20A8" w14:textId="2EEFB4CB" w:rsidR="00F853D2" w:rsidRDefault="00F853D2">
    <w:pPr>
      <w:pStyle w:val="Header"/>
    </w:pPr>
    <w:r>
      <w:t>R.20-08-021  COM/DH7/smt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599"/>
    <w:multiLevelType w:val="hybridMultilevel"/>
    <w:tmpl w:val="989039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C8"/>
    <w:multiLevelType w:val="multilevel"/>
    <w:tmpl w:val="D7BC0612"/>
    <w:lvl w:ilvl="0">
      <w:start w:val="8"/>
      <w:numFmt w:val="decimal"/>
      <w:lvlText w:val="%1"/>
      <w:lvlJc w:val="left"/>
      <w:pPr>
        <w:ind w:left="360" w:hanging="360"/>
      </w:pPr>
      <w:rPr>
        <w:rFonts w:hint="default"/>
      </w:rPr>
    </w:lvl>
    <w:lvl w:ilvl="1">
      <w:start w:val="3"/>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2" w15:restartNumberingAfterBreak="0">
    <w:nsid w:val="05BD5215"/>
    <w:multiLevelType w:val="hybridMultilevel"/>
    <w:tmpl w:val="9878DEBE"/>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439D7A"/>
    <w:multiLevelType w:val="hybridMultilevel"/>
    <w:tmpl w:val="09C4FAC0"/>
    <w:lvl w:ilvl="0" w:tplc="4D3C4BDC">
      <w:start w:val="1"/>
      <w:numFmt w:val="bullet"/>
      <w:lvlText w:val=""/>
      <w:lvlJc w:val="left"/>
      <w:pPr>
        <w:ind w:left="839" w:hanging="360"/>
      </w:pPr>
      <w:rPr>
        <w:rFonts w:ascii="Symbol" w:hAnsi="Symbol" w:hint="default"/>
      </w:rPr>
    </w:lvl>
    <w:lvl w:ilvl="1" w:tplc="996C59D0">
      <w:start w:val="1"/>
      <w:numFmt w:val="bullet"/>
      <w:lvlText w:val="o"/>
      <w:lvlJc w:val="left"/>
      <w:pPr>
        <w:ind w:left="1440" w:hanging="360"/>
      </w:pPr>
      <w:rPr>
        <w:rFonts w:ascii="Courier New" w:hAnsi="Courier New" w:hint="default"/>
      </w:rPr>
    </w:lvl>
    <w:lvl w:ilvl="2" w:tplc="040A752E">
      <w:start w:val="1"/>
      <w:numFmt w:val="bullet"/>
      <w:lvlText w:val=""/>
      <w:lvlJc w:val="left"/>
      <w:pPr>
        <w:ind w:left="2160" w:hanging="360"/>
      </w:pPr>
      <w:rPr>
        <w:rFonts w:ascii="Wingdings" w:hAnsi="Wingdings" w:hint="default"/>
      </w:rPr>
    </w:lvl>
    <w:lvl w:ilvl="3" w:tplc="D7E05B4C">
      <w:start w:val="1"/>
      <w:numFmt w:val="bullet"/>
      <w:lvlText w:val=""/>
      <w:lvlJc w:val="left"/>
      <w:pPr>
        <w:ind w:left="2880" w:hanging="360"/>
      </w:pPr>
      <w:rPr>
        <w:rFonts w:ascii="Symbol" w:hAnsi="Symbol" w:hint="default"/>
      </w:rPr>
    </w:lvl>
    <w:lvl w:ilvl="4" w:tplc="C7FEDF66">
      <w:start w:val="1"/>
      <w:numFmt w:val="bullet"/>
      <w:lvlText w:val="o"/>
      <w:lvlJc w:val="left"/>
      <w:pPr>
        <w:ind w:left="3600" w:hanging="360"/>
      </w:pPr>
      <w:rPr>
        <w:rFonts w:ascii="Courier New" w:hAnsi="Courier New" w:hint="default"/>
      </w:rPr>
    </w:lvl>
    <w:lvl w:ilvl="5" w:tplc="F31AE390">
      <w:start w:val="1"/>
      <w:numFmt w:val="bullet"/>
      <w:lvlText w:val=""/>
      <w:lvlJc w:val="left"/>
      <w:pPr>
        <w:ind w:left="4320" w:hanging="360"/>
      </w:pPr>
      <w:rPr>
        <w:rFonts w:ascii="Wingdings" w:hAnsi="Wingdings" w:hint="default"/>
      </w:rPr>
    </w:lvl>
    <w:lvl w:ilvl="6" w:tplc="A10A8910">
      <w:start w:val="1"/>
      <w:numFmt w:val="bullet"/>
      <w:lvlText w:val=""/>
      <w:lvlJc w:val="left"/>
      <w:pPr>
        <w:ind w:left="5040" w:hanging="360"/>
      </w:pPr>
      <w:rPr>
        <w:rFonts w:ascii="Symbol" w:hAnsi="Symbol" w:hint="default"/>
      </w:rPr>
    </w:lvl>
    <w:lvl w:ilvl="7" w:tplc="99909FDE">
      <w:start w:val="1"/>
      <w:numFmt w:val="bullet"/>
      <w:lvlText w:val="o"/>
      <w:lvlJc w:val="left"/>
      <w:pPr>
        <w:ind w:left="5760" w:hanging="360"/>
      </w:pPr>
      <w:rPr>
        <w:rFonts w:ascii="Courier New" w:hAnsi="Courier New" w:hint="default"/>
      </w:rPr>
    </w:lvl>
    <w:lvl w:ilvl="8" w:tplc="A4FE4054">
      <w:start w:val="1"/>
      <w:numFmt w:val="bullet"/>
      <w:lvlText w:val=""/>
      <w:lvlJc w:val="left"/>
      <w:pPr>
        <w:ind w:left="6480" w:hanging="360"/>
      </w:pPr>
      <w:rPr>
        <w:rFonts w:ascii="Wingdings" w:hAnsi="Wingdings" w:hint="default"/>
      </w:rPr>
    </w:lvl>
  </w:abstractNum>
  <w:abstractNum w:abstractNumId="4" w15:restartNumberingAfterBreak="0">
    <w:nsid w:val="0A632D07"/>
    <w:multiLevelType w:val="hybridMultilevel"/>
    <w:tmpl w:val="53823A44"/>
    <w:lvl w:ilvl="0" w:tplc="FFFFFFFF">
      <w:start w:val="1"/>
      <w:numFmt w:val="decimal"/>
      <w:lvlText w:val="%1."/>
      <w:lvlJc w:val="left"/>
      <w:pPr>
        <w:ind w:left="360" w:hanging="360"/>
      </w:pPr>
      <w:rPr>
        <w:rFonts w:hint="default"/>
        <w:sz w:val="16"/>
        <w:szCs w:val="16"/>
      </w:rPr>
    </w:lvl>
    <w:lvl w:ilvl="1" w:tplc="04090017">
      <w:start w:val="1"/>
      <w:numFmt w:val="lowerLetter"/>
      <w:lvlText w:val="%2)"/>
      <w:lvlJc w:val="left"/>
      <w:pPr>
        <w:ind w:left="36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D95E1F"/>
    <w:multiLevelType w:val="hybridMultilevel"/>
    <w:tmpl w:val="A1223CD0"/>
    <w:lvl w:ilvl="0" w:tplc="5D7825D2">
      <w:start w:val="1"/>
      <w:numFmt w:val="bullet"/>
      <w:lvlText w:val=""/>
      <w:lvlJc w:val="left"/>
      <w:pPr>
        <w:ind w:left="360" w:hanging="360"/>
      </w:pPr>
      <w:rPr>
        <w:rFonts w:ascii="Symbol" w:hAnsi="Symbol" w:hint="default"/>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F04ED0"/>
    <w:multiLevelType w:val="hybridMultilevel"/>
    <w:tmpl w:val="B46AFCF8"/>
    <w:lvl w:ilvl="0" w:tplc="710074C2">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1" w:tplc="96E67730">
      <w:numFmt w:val="bullet"/>
      <w:lvlText w:val="•"/>
      <w:lvlJc w:val="left"/>
      <w:pPr>
        <w:ind w:left="1738" w:hanging="360"/>
      </w:pPr>
      <w:rPr>
        <w:rFonts w:hint="default"/>
        <w:lang w:val="en-US" w:eastAsia="en-US" w:bidi="ar-SA"/>
      </w:rPr>
    </w:lvl>
    <w:lvl w:ilvl="2" w:tplc="CE6C979E">
      <w:numFmt w:val="bullet"/>
      <w:lvlText w:val="•"/>
      <w:lvlJc w:val="left"/>
      <w:pPr>
        <w:ind w:left="2636" w:hanging="360"/>
      </w:pPr>
      <w:rPr>
        <w:rFonts w:hint="default"/>
        <w:lang w:val="en-US" w:eastAsia="en-US" w:bidi="ar-SA"/>
      </w:rPr>
    </w:lvl>
    <w:lvl w:ilvl="3" w:tplc="F7BEBFEC">
      <w:numFmt w:val="bullet"/>
      <w:lvlText w:val="•"/>
      <w:lvlJc w:val="left"/>
      <w:pPr>
        <w:ind w:left="3534" w:hanging="360"/>
      </w:pPr>
      <w:rPr>
        <w:rFonts w:hint="default"/>
        <w:lang w:val="en-US" w:eastAsia="en-US" w:bidi="ar-SA"/>
      </w:rPr>
    </w:lvl>
    <w:lvl w:ilvl="4" w:tplc="52224C86">
      <w:numFmt w:val="bullet"/>
      <w:lvlText w:val="•"/>
      <w:lvlJc w:val="left"/>
      <w:pPr>
        <w:ind w:left="4432" w:hanging="360"/>
      </w:pPr>
      <w:rPr>
        <w:rFonts w:hint="default"/>
        <w:lang w:val="en-US" w:eastAsia="en-US" w:bidi="ar-SA"/>
      </w:rPr>
    </w:lvl>
    <w:lvl w:ilvl="5" w:tplc="3072D436">
      <w:numFmt w:val="bullet"/>
      <w:lvlText w:val="•"/>
      <w:lvlJc w:val="left"/>
      <w:pPr>
        <w:ind w:left="5330" w:hanging="360"/>
      </w:pPr>
      <w:rPr>
        <w:rFonts w:hint="default"/>
        <w:lang w:val="en-US" w:eastAsia="en-US" w:bidi="ar-SA"/>
      </w:rPr>
    </w:lvl>
    <w:lvl w:ilvl="6" w:tplc="96909A56">
      <w:numFmt w:val="bullet"/>
      <w:lvlText w:val="•"/>
      <w:lvlJc w:val="left"/>
      <w:pPr>
        <w:ind w:left="6228" w:hanging="360"/>
      </w:pPr>
      <w:rPr>
        <w:rFonts w:hint="default"/>
        <w:lang w:val="en-US" w:eastAsia="en-US" w:bidi="ar-SA"/>
      </w:rPr>
    </w:lvl>
    <w:lvl w:ilvl="7" w:tplc="6F023292">
      <w:numFmt w:val="bullet"/>
      <w:lvlText w:val="•"/>
      <w:lvlJc w:val="left"/>
      <w:pPr>
        <w:ind w:left="7126" w:hanging="360"/>
      </w:pPr>
      <w:rPr>
        <w:rFonts w:hint="default"/>
        <w:lang w:val="en-US" w:eastAsia="en-US" w:bidi="ar-SA"/>
      </w:rPr>
    </w:lvl>
    <w:lvl w:ilvl="8" w:tplc="7B00502E">
      <w:numFmt w:val="bullet"/>
      <w:lvlText w:val="•"/>
      <w:lvlJc w:val="left"/>
      <w:pPr>
        <w:ind w:left="8024" w:hanging="360"/>
      </w:pPr>
      <w:rPr>
        <w:rFonts w:hint="default"/>
        <w:lang w:val="en-US" w:eastAsia="en-US" w:bidi="ar-SA"/>
      </w:rPr>
    </w:lvl>
  </w:abstractNum>
  <w:abstractNum w:abstractNumId="7" w15:restartNumberingAfterBreak="0">
    <w:nsid w:val="12126775"/>
    <w:multiLevelType w:val="multilevel"/>
    <w:tmpl w:val="6E205B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6CA0560"/>
    <w:multiLevelType w:val="hybridMultilevel"/>
    <w:tmpl w:val="577490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564FA0"/>
    <w:multiLevelType w:val="hybridMultilevel"/>
    <w:tmpl w:val="FB72F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F5FFA"/>
    <w:multiLevelType w:val="hybridMultilevel"/>
    <w:tmpl w:val="AABA305E"/>
    <w:lvl w:ilvl="0" w:tplc="0D909B1A">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1" w:tplc="CDF02592">
      <w:numFmt w:val="bullet"/>
      <w:lvlText w:val="•"/>
      <w:lvlJc w:val="left"/>
      <w:pPr>
        <w:ind w:left="1738" w:hanging="360"/>
      </w:pPr>
      <w:rPr>
        <w:rFonts w:hint="default"/>
        <w:lang w:val="en-US" w:eastAsia="en-US" w:bidi="ar-SA"/>
      </w:rPr>
    </w:lvl>
    <w:lvl w:ilvl="2" w:tplc="C29A413E">
      <w:numFmt w:val="bullet"/>
      <w:lvlText w:val="•"/>
      <w:lvlJc w:val="left"/>
      <w:pPr>
        <w:ind w:left="2636" w:hanging="360"/>
      </w:pPr>
      <w:rPr>
        <w:rFonts w:hint="default"/>
        <w:lang w:val="en-US" w:eastAsia="en-US" w:bidi="ar-SA"/>
      </w:rPr>
    </w:lvl>
    <w:lvl w:ilvl="3" w:tplc="6E10C9CA">
      <w:numFmt w:val="bullet"/>
      <w:lvlText w:val="•"/>
      <w:lvlJc w:val="left"/>
      <w:pPr>
        <w:ind w:left="3534" w:hanging="360"/>
      </w:pPr>
      <w:rPr>
        <w:rFonts w:hint="default"/>
        <w:lang w:val="en-US" w:eastAsia="en-US" w:bidi="ar-SA"/>
      </w:rPr>
    </w:lvl>
    <w:lvl w:ilvl="4" w:tplc="D7683A6C">
      <w:numFmt w:val="bullet"/>
      <w:lvlText w:val="•"/>
      <w:lvlJc w:val="left"/>
      <w:pPr>
        <w:ind w:left="4432" w:hanging="360"/>
      </w:pPr>
      <w:rPr>
        <w:rFonts w:hint="default"/>
        <w:lang w:val="en-US" w:eastAsia="en-US" w:bidi="ar-SA"/>
      </w:rPr>
    </w:lvl>
    <w:lvl w:ilvl="5" w:tplc="ABDC8F46">
      <w:numFmt w:val="bullet"/>
      <w:lvlText w:val="•"/>
      <w:lvlJc w:val="left"/>
      <w:pPr>
        <w:ind w:left="5330" w:hanging="360"/>
      </w:pPr>
      <w:rPr>
        <w:rFonts w:hint="default"/>
        <w:lang w:val="en-US" w:eastAsia="en-US" w:bidi="ar-SA"/>
      </w:rPr>
    </w:lvl>
    <w:lvl w:ilvl="6" w:tplc="06E2728A">
      <w:numFmt w:val="bullet"/>
      <w:lvlText w:val="•"/>
      <w:lvlJc w:val="left"/>
      <w:pPr>
        <w:ind w:left="6228" w:hanging="360"/>
      </w:pPr>
      <w:rPr>
        <w:rFonts w:hint="default"/>
        <w:lang w:val="en-US" w:eastAsia="en-US" w:bidi="ar-SA"/>
      </w:rPr>
    </w:lvl>
    <w:lvl w:ilvl="7" w:tplc="7A5CB258">
      <w:numFmt w:val="bullet"/>
      <w:lvlText w:val="•"/>
      <w:lvlJc w:val="left"/>
      <w:pPr>
        <w:ind w:left="7126" w:hanging="360"/>
      </w:pPr>
      <w:rPr>
        <w:rFonts w:hint="default"/>
        <w:lang w:val="en-US" w:eastAsia="en-US" w:bidi="ar-SA"/>
      </w:rPr>
    </w:lvl>
    <w:lvl w:ilvl="8" w:tplc="84286B1A">
      <w:numFmt w:val="bullet"/>
      <w:lvlText w:val="•"/>
      <w:lvlJc w:val="left"/>
      <w:pPr>
        <w:ind w:left="8024" w:hanging="360"/>
      </w:pPr>
      <w:rPr>
        <w:rFonts w:hint="default"/>
        <w:lang w:val="en-US" w:eastAsia="en-US" w:bidi="ar-SA"/>
      </w:rPr>
    </w:lvl>
  </w:abstractNum>
  <w:abstractNum w:abstractNumId="11" w15:restartNumberingAfterBreak="0">
    <w:nsid w:val="1BDB5AC0"/>
    <w:multiLevelType w:val="multilevel"/>
    <w:tmpl w:val="7B68BCF4"/>
    <w:lvl w:ilvl="0">
      <w:start w:val="1"/>
      <w:numFmt w:val="decimal"/>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E445F38"/>
    <w:multiLevelType w:val="hybridMultilevel"/>
    <w:tmpl w:val="76947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2112B"/>
    <w:multiLevelType w:val="hybridMultilevel"/>
    <w:tmpl w:val="5CC8F7C6"/>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2C324D"/>
    <w:multiLevelType w:val="multilevel"/>
    <w:tmpl w:val="59884A18"/>
    <w:lvl w:ilvl="0">
      <w:start w:val="1"/>
      <w:numFmt w:val="lowerLetter"/>
      <w:lvlText w:val="%1)"/>
      <w:lvlJc w:val="left"/>
      <w:pPr>
        <w:ind w:left="1080" w:hanging="360"/>
      </w:pPr>
    </w:lvl>
    <w:lvl w:ilvl="1">
      <w:start w:val="1"/>
      <w:numFmt w:val="decimal"/>
      <w:isLgl/>
      <w:lvlText w:val="%1.%2"/>
      <w:lvlJc w:val="left"/>
      <w:pPr>
        <w:ind w:left="110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26997EB5"/>
    <w:multiLevelType w:val="multilevel"/>
    <w:tmpl w:val="E286A90A"/>
    <w:lvl w:ilvl="0">
      <w:start w:val="7"/>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69D0F8B"/>
    <w:multiLevelType w:val="multilevel"/>
    <w:tmpl w:val="DA5A4A0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26D208C3"/>
    <w:multiLevelType w:val="multilevel"/>
    <w:tmpl w:val="F32A24EC"/>
    <w:lvl w:ilvl="0">
      <w:start w:val="8"/>
      <w:numFmt w:val="decimal"/>
      <w:lvlText w:val="%1"/>
      <w:lvlJc w:val="left"/>
      <w:pPr>
        <w:ind w:left="360" w:hanging="360"/>
      </w:pPr>
      <w:rPr>
        <w:rFonts w:hint="default"/>
      </w:rPr>
    </w:lvl>
    <w:lvl w:ilvl="1">
      <w:start w:val="1"/>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18" w15:restartNumberingAfterBreak="0">
    <w:nsid w:val="3A8B2C37"/>
    <w:multiLevelType w:val="multilevel"/>
    <w:tmpl w:val="7B68BCF4"/>
    <w:lvl w:ilvl="0">
      <w:start w:val="1"/>
      <w:numFmt w:val="decimal"/>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AA57979"/>
    <w:multiLevelType w:val="hybridMultilevel"/>
    <w:tmpl w:val="C432661A"/>
    <w:lvl w:ilvl="0" w:tplc="7A68529C">
      <w:numFmt w:val="bullet"/>
      <w:lvlText w:val=""/>
      <w:lvlJc w:val="left"/>
      <w:pPr>
        <w:ind w:left="840" w:hanging="360"/>
      </w:pPr>
      <w:rPr>
        <w:rFonts w:ascii="Symbol" w:eastAsia="Symbol" w:hAnsi="Symbol" w:cs="Symbol" w:hint="default"/>
        <w:b w:val="0"/>
        <w:bCs w:val="0"/>
        <w:i w:val="0"/>
        <w:iCs w:val="0"/>
        <w:w w:val="99"/>
        <w:sz w:val="22"/>
        <w:szCs w:val="22"/>
        <w:lang w:val="en-US" w:eastAsia="en-US" w:bidi="ar-SA"/>
      </w:rPr>
    </w:lvl>
    <w:lvl w:ilvl="1" w:tplc="872406A2">
      <w:numFmt w:val="bullet"/>
      <w:lvlText w:val="o"/>
      <w:lvlJc w:val="left"/>
      <w:pPr>
        <w:ind w:left="1559" w:hanging="360"/>
      </w:pPr>
      <w:rPr>
        <w:rFonts w:ascii="Courier New" w:eastAsia="Courier New" w:hAnsi="Courier New" w:cs="Courier New" w:hint="default"/>
        <w:b w:val="0"/>
        <w:bCs w:val="0"/>
        <w:i w:val="0"/>
        <w:iCs w:val="0"/>
        <w:w w:val="99"/>
        <w:sz w:val="22"/>
        <w:szCs w:val="22"/>
        <w:lang w:val="en-US" w:eastAsia="en-US" w:bidi="ar-SA"/>
      </w:rPr>
    </w:lvl>
    <w:lvl w:ilvl="2" w:tplc="F4367DD8">
      <w:numFmt w:val="bullet"/>
      <w:lvlText w:val="•"/>
      <w:lvlJc w:val="left"/>
      <w:pPr>
        <w:ind w:left="2477" w:hanging="360"/>
      </w:pPr>
      <w:rPr>
        <w:rFonts w:hint="default"/>
        <w:lang w:val="en-US" w:eastAsia="en-US" w:bidi="ar-SA"/>
      </w:rPr>
    </w:lvl>
    <w:lvl w:ilvl="3" w:tplc="6B168A4C">
      <w:numFmt w:val="bullet"/>
      <w:lvlText w:val="•"/>
      <w:lvlJc w:val="left"/>
      <w:pPr>
        <w:ind w:left="3395" w:hanging="360"/>
      </w:pPr>
      <w:rPr>
        <w:rFonts w:hint="default"/>
        <w:lang w:val="en-US" w:eastAsia="en-US" w:bidi="ar-SA"/>
      </w:rPr>
    </w:lvl>
    <w:lvl w:ilvl="4" w:tplc="F02670D0">
      <w:numFmt w:val="bullet"/>
      <w:lvlText w:val="•"/>
      <w:lvlJc w:val="left"/>
      <w:pPr>
        <w:ind w:left="4313" w:hanging="360"/>
      </w:pPr>
      <w:rPr>
        <w:rFonts w:hint="default"/>
        <w:lang w:val="en-US" w:eastAsia="en-US" w:bidi="ar-SA"/>
      </w:rPr>
    </w:lvl>
    <w:lvl w:ilvl="5" w:tplc="36AA6714">
      <w:numFmt w:val="bullet"/>
      <w:lvlText w:val="•"/>
      <w:lvlJc w:val="left"/>
      <w:pPr>
        <w:ind w:left="5231" w:hanging="360"/>
      </w:pPr>
      <w:rPr>
        <w:rFonts w:hint="default"/>
        <w:lang w:val="en-US" w:eastAsia="en-US" w:bidi="ar-SA"/>
      </w:rPr>
    </w:lvl>
    <w:lvl w:ilvl="6" w:tplc="FEDA7BA4">
      <w:numFmt w:val="bullet"/>
      <w:lvlText w:val="•"/>
      <w:lvlJc w:val="left"/>
      <w:pPr>
        <w:ind w:left="6148" w:hanging="360"/>
      </w:pPr>
      <w:rPr>
        <w:rFonts w:hint="default"/>
        <w:lang w:val="en-US" w:eastAsia="en-US" w:bidi="ar-SA"/>
      </w:rPr>
    </w:lvl>
    <w:lvl w:ilvl="7" w:tplc="B45E13F4">
      <w:numFmt w:val="bullet"/>
      <w:lvlText w:val="•"/>
      <w:lvlJc w:val="left"/>
      <w:pPr>
        <w:ind w:left="7066" w:hanging="360"/>
      </w:pPr>
      <w:rPr>
        <w:rFonts w:hint="default"/>
        <w:lang w:val="en-US" w:eastAsia="en-US" w:bidi="ar-SA"/>
      </w:rPr>
    </w:lvl>
    <w:lvl w:ilvl="8" w:tplc="E87A4DC4">
      <w:numFmt w:val="bullet"/>
      <w:lvlText w:val="•"/>
      <w:lvlJc w:val="left"/>
      <w:pPr>
        <w:ind w:left="7984" w:hanging="360"/>
      </w:pPr>
      <w:rPr>
        <w:rFonts w:hint="default"/>
        <w:lang w:val="en-US" w:eastAsia="en-US" w:bidi="ar-SA"/>
      </w:rPr>
    </w:lvl>
  </w:abstractNum>
  <w:abstractNum w:abstractNumId="20" w15:restartNumberingAfterBreak="0">
    <w:nsid w:val="3F462107"/>
    <w:multiLevelType w:val="hybridMultilevel"/>
    <w:tmpl w:val="49D03F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D15D02"/>
    <w:multiLevelType w:val="multilevel"/>
    <w:tmpl w:val="D930A730"/>
    <w:lvl w:ilvl="0">
      <w:start w:val="8"/>
      <w:numFmt w:val="decimal"/>
      <w:lvlText w:val="%1"/>
      <w:lvlJc w:val="left"/>
      <w:pPr>
        <w:ind w:left="360" w:hanging="360"/>
      </w:pPr>
      <w:rPr>
        <w:rFonts w:hint="default"/>
      </w:rPr>
    </w:lvl>
    <w:lvl w:ilvl="1">
      <w:start w:val="1"/>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22" w15:restartNumberingAfterBreak="0">
    <w:nsid w:val="42FB6762"/>
    <w:multiLevelType w:val="multilevel"/>
    <w:tmpl w:val="7B68BCF4"/>
    <w:lvl w:ilvl="0">
      <w:start w:val="1"/>
      <w:numFmt w:val="decimal"/>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3815D70"/>
    <w:multiLevelType w:val="hybridMultilevel"/>
    <w:tmpl w:val="C1A2FE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35299C"/>
    <w:multiLevelType w:val="multilevel"/>
    <w:tmpl w:val="E286A90A"/>
    <w:lvl w:ilvl="0">
      <w:start w:val="7"/>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8344050"/>
    <w:multiLevelType w:val="hybridMultilevel"/>
    <w:tmpl w:val="0B284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6671D3"/>
    <w:multiLevelType w:val="multilevel"/>
    <w:tmpl w:val="8E5245BA"/>
    <w:lvl w:ilvl="0">
      <w:start w:val="2"/>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BA704D3"/>
    <w:multiLevelType w:val="multilevel"/>
    <w:tmpl w:val="CABAD3B6"/>
    <w:lvl w:ilvl="0">
      <w:start w:val="7"/>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BC3376E"/>
    <w:multiLevelType w:val="hybridMultilevel"/>
    <w:tmpl w:val="61D8F8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34385"/>
    <w:multiLevelType w:val="hybridMultilevel"/>
    <w:tmpl w:val="41B07A3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E8E5EC0"/>
    <w:multiLevelType w:val="hybridMultilevel"/>
    <w:tmpl w:val="EF10BD94"/>
    <w:lvl w:ilvl="0" w:tplc="B29469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C27973"/>
    <w:multiLevelType w:val="hybridMultilevel"/>
    <w:tmpl w:val="E7380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D46E3"/>
    <w:multiLevelType w:val="multilevel"/>
    <w:tmpl w:val="7B68BCF4"/>
    <w:lvl w:ilvl="0">
      <w:start w:val="1"/>
      <w:numFmt w:val="decimal"/>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260719C"/>
    <w:multiLevelType w:val="multilevel"/>
    <w:tmpl w:val="5A68A396"/>
    <w:lvl w:ilvl="0">
      <w:start w:val="8"/>
      <w:numFmt w:val="decimal"/>
      <w:lvlText w:val="%1."/>
      <w:lvlJc w:val="left"/>
      <w:pPr>
        <w:ind w:left="595" w:hanging="476"/>
      </w:pPr>
      <w:rPr>
        <w:rFonts w:ascii="Calibri Light" w:eastAsia="Calibri Light" w:hAnsi="Calibri Light" w:cs="Calibri Light" w:hint="default"/>
        <w:b w:val="0"/>
        <w:bCs w:val="0"/>
        <w:i w:val="0"/>
        <w:iCs w:val="0"/>
        <w:color w:val="2E5395"/>
        <w:spacing w:val="-1"/>
        <w:w w:val="100"/>
        <w:sz w:val="32"/>
        <w:szCs w:val="32"/>
      </w:rPr>
    </w:lvl>
    <w:lvl w:ilvl="1">
      <w:start w:val="1"/>
      <w:numFmt w:val="decimal"/>
      <w:lvlText w:val="%1.%2."/>
      <w:lvlJc w:val="left"/>
      <w:pPr>
        <w:ind w:left="696" w:hanging="576"/>
      </w:pPr>
      <w:rPr>
        <w:rFonts w:ascii="Calibri Light" w:eastAsia="Calibri Light" w:hAnsi="Calibri Light" w:cs="Calibri Light" w:hint="default"/>
        <w:b w:val="0"/>
        <w:bCs w:val="0"/>
        <w:i w:val="0"/>
        <w:iCs w:val="0"/>
        <w:color w:val="2E5395"/>
        <w:spacing w:val="-1"/>
        <w:w w:val="100"/>
        <w:sz w:val="26"/>
        <w:szCs w:val="26"/>
      </w:rPr>
    </w:lvl>
    <w:lvl w:ilvl="2">
      <w:start w:val="1"/>
      <w:numFmt w:val="decimal"/>
      <w:lvlText w:val="%1.%2.%3."/>
      <w:lvlJc w:val="left"/>
      <w:pPr>
        <w:ind w:left="912" w:hanging="792"/>
      </w:pPr>
      <w:rPr>
        <w:rFonts w:ascii="Calibri Light" w:eastAsia="Calibri Light" w:hAnsi="Calibri Light" w:cs="Calibri Light" w:hint="default"/>
        <w:b w:val="0"/>
        <w:bCs w:val="0"/>
        <w:i w:val="0"/>
        <w:iCs w:val="0"/>
        <w:color w:val="2E5395"/>
        <w:spacing w:val="-1"/>
        <w:w w:val="100"/>
        <w:sz w:val="24"/>
        <w:szCs w:val="24"/>
      </w:rPr>
    </w:lvl>
    <w:lvl w:ilvl="3">
      <w:numFmt w:val="bullet"/>
      <w:lvlText w:val=""/>
      <w:lvlJc w:val="left"/>
      <w:pPr>
        <w:ind w:left="840" w:hanging="360"/>
      </w:pPr>
      <w:rPr>
        <w:rFonts w:ascii="Symbol" w:eastAsia="Symbol" w:hAnsi="Symbol" w:cs="Symbol" w:hint="default"/>
        <w:b w:val="0"/>
        <w:bCs w:val="0"/>
        <w:i w:val="0"/>
        <w:iCs w:val="0"/>
        <w:w w:val="99"/>
        <w:sz w:val="22"/>
        <w:szCs w:val="22"/>
      </w:rPr>
    </w:lvl>
    <w:lvl w:ilvl="4">
      <w:numFmt w:val="bullet"/>
      <w:lvlText w:val="o"/>
      <w:lvlJc w:val="left"/>
      <w:pPr>
        <w:ind w:left="1559" w:hanging="360"/>
      </w:pPr>
      <w:rPr>
        <w:rFonts w:ascii="Courier New" w:eastAsia="Courier New" w:hAnsi="Courier New" w:cs="Courier New" w:hint="default"/>
        <w:b w:val="0"/>
        <w:bCs w:val="0"/>
        <w:i w:val="0"/>
        <w:iCs w:val="0"/>
        <w:w w:val="99"/>
        <w:sz w:val="22"/>
        <w:szCs w:val="22"/>
      </w:rPr>
    </w:lvl>
    <w:lvl w:ilvl="5">
      <w:numFmt w:val="bullet"/>
      <w:lvlText w:val="•"/>
      <w:lvlJc w:val="left"/>
      <w:pPr>
        <w:ind w:left="1560" w:hanging="360"/>
      </w:pPr>
      <w:rPr>
        <w:rFonts w:hint="default"/>
      </w:rPr>
    </w:lvl>
    <w:lvl w:ilvl="6">
      <w:numFmt w:val="bullet"/>
      <w:lvlText w:val="•"/>
      <w:lvlJc w:val="left"/>
      <w:pPr>
        <w:ind w:left="3212" w:hanging="360"/>
      </w:pPr>
      <w:rPr>
        <w:rFonts w:hint="default"/>
      </w:rPr>
    </w:lvl>
    <w:lvl w:ilvl="7">
      <w:numFmt w:val="bullet"/>
      <w:lvlText w:val="•"/>
      <w:lvlJc w:val="left"/>
      <w:pPr>
        <w:ind w:left="4864" w:hanging="360"/>
      </w:pPr>
      <w:rPr>
        <w:rFonts w:hint="default"/>
      </w:rPr>
    </w:lvl>
    <w:lvl w:ilvl="8">
      <w:numFmt w:val="bullet"/>
      <w:lvlText w:val="•"/>
      <w:lvlJc w:val="left"/>
      <w:pPr>
        <w:ind w:left="6516" w:hanging="360"/>
      </w:pPr>
      <w:rPr>
        <w:rFonts w:hint="default"/>
      </w:rPr>
    </w:lvl>
  </w:abstractNum>
  <w:abstractNum w:abstractNumId="34" w15:restartNumberingAfterBreak="0">
    <w:nsid w:val="55BD009E"/>
    <w:multiLevelType w:val="hybridMultilevel"/>
    <w:tmpl w:val="5D16A78A"/>
    <w:lvl w:ilvl="0" w:tplc="0A7698C6">
      <w:numFmt w:val="bullet"/>
      <w:lvlText w:val=""/>
      <w:lvlJc w:val="left"/>
      <w:pPr>
        <w:ind w:left="840" w:hanging="360"/>
      </w:pPr>
      <w:rPr>
        <w:rFonts w:ascii="Symbol" w:eastAsia="Symbol" w:hAnsi="Symbol" w:cs="Symbol" w:hint="default"/>
        <w:b w:val="0"/>
        <w:bCs w:val="0"/>
        <w:i w:val="0"/>
        <w:iCs w:val="0"/>
        <w:w w:val="99"/>
        <w:sz w:val="22"/>
        <w:szCs w:val="22"/>
        <w:lang w:val="en-US" w:eastAsia="en-US" w:bidi="ar-SA"/>
      </w:rPr>
    </w:lvl>
    <w:lvl w:ilvl="1" w:tplc="814A899E">
      <w:numFmt w:val="bullet"/>
      <w:lvlText w:val="o"/>
      <w:lvlJc w:val="left"/>
      <w:pPr>
        <w:ind w:left="1559" w:hanging="360"/>
      </w:pPr>
      <w:rPr>
        <w:rFonts w:ascii="Courier New" w:eastAsia="Courier New" w:hAnsi="Courier New" w:cs="Courier New" w:hint="default"/>
        <w:b w:val="0"/>
        <w:bCs w:val="0"/>
        <w:i w:val="0"/>
        <w:iCs w:val="0"/>
        <w:w w:val="99"/>
        <w:sz w:val="22"/>
        <w:szCs w:val="22"/>
        <w:lang w:val="en-US" w:eastAsia="en-US" w:bidi="ar-SA"/>
      </w:rPr>
    </w:lvl>
    <w:lvl w:ilvl="2" w:tplc="FD60D220">
      <w:numFmt w:val="bullet"/>
      <w:lvlText w:val="•"/>
      <w:lvlJc w:val="left"/>
      <w:pPr>
        <w:ind w:left="2477" w:hanging="360"/>
      </w:pPr>
      <w:rPr>
        <w:rFonts w:hint="default"/>
        <w:lang w:val="en-US" w:eastAsia="en-US" w:bidi="ar-SA"/>
      </w:rPr>
    </w:lvl>
    <w:lvl w:ilvl="3" w:tplc="BCA0CFA6">
      <w:numFmt w:val="bullet"/>
      <w:lvlText w:val="•"/>
      <w:lvlJc w:val="left"/>
      <w:pPr>
        <w:ind w:left="3395" w:hanging="360"/>
      </w:pPr>
      <w:rPr>
        <w:rFonts w:hint="default"/>
        <w:lang w:val="en-US" w:eastAsia="en-US" w:bidi="ar-SA"/>
      </w:rPr>
    </w:lvl>
    <w:lvl w:ilvl="4" w:tplc="8CC02802">
      <w:numFmt w:val="bullet"/>
      <w:lvlText w:val="•"/>
      <w:lvlJc w:val="left"/>
      <w:pPr>
        <w:ind w:left="4313" w:hanging="360"/>
      </w:pPr>
      <w:rPr>
        <w:rFonts w:hint="default"/>
        <w:lang w:val="en-US" w:eastAsia="en-US" w:bidi="ar-SA"/>
      </w:rPr>
    </w:lvl>
    <w:lvl w:ilvl="5" w:tplc="5602140A">
      <w:numFmt w:val="bullet"/>
      <w:lvlText w:val="•"/>
      <w:lvlJc w:val="left"/>
      <w:pPr>
        <w:ind w:left="5231" w:hanging="360"/>
      </w:pPr>
      <w:rPr>
        <w:rFonts w:hint="default"/>
        <w:lang w:val="en-US" w:eastAsia="en-US" w:bidi="ar-SA"/>
      </w:rPr>
    </w:lvl>
    <w:lvl w:ilvl="6" w:tplc="1F2C4FF4">
      <w:numFmt w:val="bullet"/>
      <w:lvlText w:val="•"/>
      <w:lvlJc w:val="left"/>
      <w:pPr>
        <w:ind w:left="6148" w:hanging="360"/>
      </w:pPr>
      <w:rPr>
        <w:rFonts w:hint="default"/>
        <w:lang w:val="en-US" w:eastAsia="en-US" w:bidi="ar-SA"/>
      </w:rPr>
    </w:lvl>
    <w:lvl w:ilvl="7" w:tplc="C4D825B4">
      <w:numFmt w:val="bullet"/>
      <w:lvlText w:val="•"/>
      <w:lvlJc w:val="left"/>
      <w:pPr>
        <w:ind w:left="7066" w:hanging="360"/>
      </w:pPr>
      <w:rPr>
        <w:rFonts w:hint="default"/>
        <w:lang w:val="en-US" w:eastAsia="en-US" w:bidi="ar-SA"/>
      </w:rPr>
    </w:lvl>
    <w:lvl w:ilvl="8" w:tplc="EF1A585C">
      <w:numFmt w:val="bullet"/>
      <w:lvlText w:val="•"/>
      <w:lvlJc w:val="left"/>
      <w:pPr>
        <w:ind w:left="7984" w:hanging="360"/>
      </w:pPr>
      <w:rPr>
        <w:rFonts w:hint="default"/>
        <w:lang w:val="en-US" w:eastAsia="en-US" w:bidi="ar-SA"/>
      </w:rPr>
    </w:lvl>
  </w:abstractNum>
  <w:abstractNum w:abstractNumId="35" w15:restartNumberingAfterBreak="0">
    <w:nsid w:val="564D1935"/>
    <w:multiLevelType w:val="multilevel"/>
    <w:tmpl w:val="83DE5D9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58B97A56"/>
    <w:multiLevelType w:val="hybridMultilevel"/>
    <w:tmpl w:val="74AA3D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7E1A46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924C3D"/>
    <w:multiLevelType w:val="hybridMultilevel"/>
    <w:tmpl w:val="0880631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AA4167"/>
    <w:multiLevelType w:val="hybridMultilevel"/>
    <w:tmpl w:val="7C0E97BC"/>
    <w:lvl w:ilvl="0" w:tplc="B0AEB0AA">
      <w:numFmt w:val="bullet"/>
      <w:lvlText w:val=""/>
      <w:lvlJc w:val="left"/>
      <w:pPr>
        <w:ind w:left="840" w:hanging="360"/>
      </w:pPr>
      <w:rPr>
        <w:rFonts w:ascii="Symbol" w:eastAsia="Symbol" w:hAnsi="Symbol" w:cs="Symbol" w:hint="default"/>
        <w:b w:val="0"/>
        <w:bCs w:val="0"/>
        <w:i w:val="0"/>
        <w:iCs w:val="0"/>
        <w:w w:val="99"/>
        <w:sz w:val="22"/>
        <w:szCs w:val="22"/>
        <w:lang w:val="en-US" w:eastAsia="en-US" w:bidi="ar-SA"/>
      </w:rPr>
    </w:lvl>
    <w:lvl w:ilvl="1" w:tplc="DAA0AFBC">
      <w:numFmt w:val="bullet"/>
      <w:lvlText w:val="•"/>
      <w:lvlJc w:val="left"/>
      <w:pPr>
        <w:ind w:left="1738" w:hanging="360"/>
      </w:pPr>
      <w:rPr>
        <w:rFonts w:hint="default"/>
        <w:lang w:val="en-US" w:eastAsia="en-US" w:bidi="ar-SA"/>
      </w:rPr>
    </w:lvl>
    <w:lvl w:ilvl="2" w:tplc="59B29838">
      <w:numFmt w:val="bullet"/>
      <w:lvlText w:val="•"/>
      <w:lvlJc w:val="left"/>
      <w:pPr>
        <w:ind w:left="2636" w:hanging="360"/>
      </w:pPr>
      <w:rPr>
        <w:rFonts w:hint="default"/>
        <w:lang w:val="en-US" w:eastAsia="en-US" w:bidi="ar-SA"/>
      </w:rPr>
    </w:lvl>
    <w:lvl w:ilvl="3" w:tplc="2800CB86">
      <w:numFmt w:val="bullet"/>
      <w:lvlText w:val="•"/>
      <w:lvlJc w:val="left"/>
      <w:pPr>
        <w:ind w:left="3534" w:hanging="360"/>
      </w:pPr>
      <w:rPr>
        <w:rFonts w:hint="default"/>
        <w:lang w:val="en-US" w:eastAsia="en-US" w:bidi="ar-SA"/>
      </w:rPr>
    </w:lvl>
    <w:lvl w:ilvl="4" w:tplc="8B220C36">
      <w:numFmt w:val="bullet"/>
      <w:lvlText w:val="•"/>
      <w:lvlJc w:val="left"/>
      <w:pPr>
        <w:ind w:left="4432" w:hanging="360"/>
      </w:pPr>
      <w:rPr>
        <w:rFonts w:hint="default"/>
        <w:lang w:val="en-US" w:eastAsia="en-US" w:bidi="ar-SA"/>
      </w:rPr>
    </w:lvl>
    <w:lvl w:ilvl="5" w:tplc="C8249A1A">
      <w:numFmt w:val="bullet"/>
      <w:lvlText w:val="•"/>
      <w:lvlJc w:val="left"/>
      <w:pPr>
        <w:ind w:left="5330" w:hanging="360"/>
      </w:pPr>
      <w:rPr>
        <w:rFonts w:hint="default"/>
        <w:lang w:val="en-US" w:eastAsia="en-US" w:bidi="ar-SA"/>
      </w:rPr>
    </w:lvl>
    <w:lvl w:ilvl="6" w:tplc="5130FE24">
      <w:numFmt w:val="bullet"/>
      <w:lvlText w:val="•"/>
      <w:lvlJc w:val="left"/>
      <w:pPr>
        <w:ind w:left="6228" w:hanging="360"/>
      </w:pPr>
      <w:rPr>
        <w:rFonts w:hint="default"/>
        <w:lang w:val="en-US" w:eastAsia="en-US" w:bidi="ar-SA"/>
      </w:rPr>
    </w:lvl>
    <w:lvl w:ilvl="7" w:tplc="2EA01200">
      <w:numFmt w:val="bullet"/>
      <w:lvlText w:val="•"/>
      <w:lvlJc w:val="left"/>
      <w:pPr>
        <w:ind w:left="7126" w:hanging="360"/>
      </w:pPr>
      <w:rPr>
        <w:rFonts w:hint="default"/>
        <w:lang w:val="en-US" w:eastAsia="en-US" w:bidi="ar-SA"/>
      </w:rPr>
    </w:lvl>
    <w:lvl w:ilvl="8" w:tplc="ED1E2244">
      <w:numFmt w:val="bullet"/>
      <w:lvlText w:val="•"/>
      <w:lvlJc w:val="left"/>
      <w:pPr>
        <w:ind w:left="8024" w:hanging="360"/>
      </w:pPr>
      <w:rPr>
        <w:rFonts w:hint="default"/>
        <w:lang w:val="en-US" w:eastAsia="en-US" w:bidi="ar-SA"/>
      </w:rPr>
    </w:lvl>
  </w:abstractNum>
  <w:abstractNum w:abstractNumId="39" w15:restartNumberingAfterBreak="0">
    <w:nsid w:val="61EE38CF"/>
    <w:multiLevelType w:val="hybridMultilevel"/>
    <w:tmpl w:val="D3D08EB2"/>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A103A3"/>
    <w:multiLevelType w:val="multilevel"/>
    <w:tmpl w:val="D930A730"/>
    <w:lvl w:ilvl="0">
      <w:start w:val="8"/>
      <w:numFmt w:val="decimal"/>
      <w:lvlText w:val="%1"/>
      <w:lvlJc w:val="left"/>
      <w:pPr>
        <w:ind w:left="360" w:hanging="360"/>
      </w:pPr>
      <w:rPr>
        <w:rFonts w:hint="default"/>
      </w:rPr>
    </w:lvl>
    <w:lvl w:ilvl="1">
      <w:start w:val="1"/>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41" w15:restartNumberingAfterBreak="0">
    <w:nsid w:val="64182DF4"/>
    <w:multiLevelType w:val="multilevel"/>
    <w:tmpl w:val="F32A24EC"/>
    <w:lvl w:ilvl="0">
      <w:start w:val="8"/>
      <w:numFmt w:val="decimal"/>
      <w:lvlText w:val="%1"/>
      <w:lvlJc w:val="left"/>
      <w:pPr>
        <w:ind w:left="360" w:hanging="360"/>
      </w:pPr>
      <w:rPr>
        <w:rFonts w:hint="default"/>
      </w:rPr>
    </w:lvl>
    <w:lvl w:ilvl="1">
      <w:start w:val="1"/>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42" w15:restartNumberingAfterBreak="0">
    <w:nsid w:val="683B7BF4"/>
    <w:multiLevelType w:val="hybridMultilevel"/>
    <w:tmpl w:val="716828F8"/>
    <w:lvl w:ilvl="0" w:tplc="04090015">
      <w:start w:val="1"/>
      <w:numFmt w:val="upperLetter"/>
      <w:lvlText w:val="%1."/>
      <w:lvlJc w:val="left"/>
      <w:pPr>
        <w:ind w:left="839"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68F00929"/>
    <w:multiLevelType w:val="hybridMultilevel"/>
    <w:tmpl w:val="12383306"/>
    <w:lvl w:ilvl="0" w:tplc="04090017">
      <w:start w:val="1"/>
      <w:numFmt w:val="lowerLetter"/>
      <w:lvlText w:val="%1)"/>
      <w:lvlJc w:val="left"/>
      <w:pPr>
        <w:ind w:left="840" w:hanging="360"/>
      </w:pPr>
      <w:rPr>
        <w:rFonts w:hint="default"/>
        <w:b w:val="0"/>
        <w:bCs w:val="0"/>
        <w:i w:val="0"/>
        <w:iCs w:val="0"/>
        <w:w w:val="99"/>
        <w:sz w:val="22"/>
        <w:szCs w:val="22"/>
        <w:lang w:val="en-US" w:eastAsia="en-US" w:bidi="ar-SA"/>
      </w:rPr>
    </w:lvl>
    <w:lvl w:ilvl="1" w:tplc="FFFFFFFF">
      <w:numFmt w:val="bullet"/>
      <w:lvlText w:val="•"/>
      <w:lvlJc w:val="left"/>
      <w:pPr>
        <w:ind w:left="1738" w:hanging="360"/>
      </w:pPr>
      <w:rPr>
        <w:rFonts w:hint="default"/>
        <w:lang w:val="en-US" w:eastAsia="en-US" w:bidi="ar-SA"/>
      </w:rPr>
    </w:lvl>
    <w:lvl w:ilvl="2" w:tplc="FFFFFFFF">
      <w:numFmt w:val="bullet"/>
      <w:lvlText w:val="•"/>
      <w:lvlJc w:val="left"/>
      <w:pPr>
        <w:ind w:left="2636" w:hanging="360"/>
      </w:pPr>
      <w:rPr>
        <w:rFonts w:hint="default"/>
        <w:lang w:val="en-US" w:eastAsia="en-US" w:bidi="ar-SA"/>
      </w:rPr>
    </w:lvl>
    <w:lvl w:ilvl="3" w:tplc="FFFFFFFF">
      <w:numFmt w:val="bullet"/>
      <w:lvlText w:val="•"/>
      <w:lvlJc w:val="left"/>
      <w:pPr>
        <w:ind w:left="3534" w:hanging="360"/>
      </w:pPr>
      <w:rPr>
        <w:rFonts w:hint="default"/>
        <w:lang w:val="en-US" w:eastAsia="en-US" w:bidi="ar-SA"/>
      </w:rPr>
    </w:lvl>
    <w:lvl w:ilvl="4" w:tplc="FFFFFFFF">
      <w:numFmt w:val="bullet"/>
      <w:lvlText w:val="•"/>
      <w:lvlJc w:val="left"/>
      <w:pPr>
        <w:ind w:left="4432" w:hanging="360"/>
      </w:pPr>
      <w:rPr>
        <w:rFonts w:hint="default"/>
        <w:lang w:val="en-US" w:eastAsia="en-US" w:bidi="ar-SA"/>
      </w:rPr>
    </w:lvl>
    <w:lvl w:ilvl="5" w:tplc="FFFFFFFF">
      <w:numFmt w:val="bullet"/>
      <w:lvlText w:val="•"/>
      <w:lvlJc w:val="left"/>
      <w:pPr>
        <w:ind w:left="5330" w:hanging="360"/>
      </w:pPr>
      <w:rPr>
        <w:rFonts w:hint="default"/>
        <w:lang w:val="en-US" w:eastAsia="en-US" w:bidi="ar-SA"/>
      </w:rPr>
    </w:lvl>
    <w:lvl w:ilvl="6" w:tplc="FFFFFFFF">
      <w:numFmt w:val="bullet"/>
      <w:lvlText w:val="•"/>
      <w:lvlJc w:val="left"/>
      <w:pPr>
        <w:ind w:left="6228" w:hanging="360"/>
      </w:pPr>
      <w:rPr>
        <w:rFonts w:hint="default"/>
        <w:lang w:val="en-US" w:eastAsia="en-US" w:bidi="ar-SA"/>
      </w:rPr>
    </w:lvl>
    <w:lvl w:ilvl="7" w:tplc="FFFFFFFF">
      <w:numFmt w:val="bullet"/>
      <w:lvlText w:val="•"/>
      <w:lvlJc w:val="left"/>
      <w:pPr>
        <w:ind w:left="7126" w:hanging="360"/>
      </w:pPr>
      <w:rPr>
        <w:rFonts w:hint="default"/>
        <w:lang w:val="en-US" w:eastAsia="en-US" w:bidi="ar-SA"/>
      </w:rPr>
    </w:lvl>
    <w:lvl w:ilvl="8" w:tplc="FFFFFFFF">
      <w:numFmt w:val="bullet"/>
      <w:lvlText w:val="•"/>
      <w:lvlJc w:val="left"/>
      <w:pPr>
        <w:ind w:left="8024" w:hanging="360"/>
      </w:pPr>
      <w:rPr>
        <w:rFonts w:hint="default"/>
        <w:lang w:val="en-US" w:eastAsia="en-US" w:bidi="ar-SA"/>
      </w:rPr>
    </w:lvl>
  </w:abstractNum>
  <w:abstractNum w:abstractNumId="44" w15:restartNumberingAfterBreak="0">
    <w:nsid w:val="6A4B0448"/>
    <w:multiLevelType w:val="multilevel"/>
    <w:tmpl w:val="1DAA86E4"/>
    <w:lvl w:ilvl="0">
      <w:start w:val="7"/>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F6251DB"/>
    <w:multiLevelType w:val="multilevel"/>
    <w:tmpl w:val="5A68A396"/>
    <w:lvl w:ilvl="0">
      <w:start w:val="8"/>
      <w:numFmt w:val="decimal"/>
      <w:lvlText w:val="%1."/>
      <w:lvlJc w:val="left"/>
      <w:pPr>
        <w:ind w:left="595" w:hanging="476"/>
      </w:pPr>
      <w:rPr>
        <w:rFonts w:ascii="Calibri Light" w:eastAsia="Calibri Light" w:hAnsi="Calibri Light" w:cs="Calibri Light" w:hint="default"/>
        <w:b w:val="0"/>
        <w:bCs w:val="0"/>
        <w:i w:val="0"/>
        <w:iCs w:val="0"/>
        <w:color w:val="2E5395"/>
        <w:spacing w:val="-1"/>
        <w:w w:val="100"/>
        <w:sz w:val="32"/>
        <w:szCs w:val="32"/>
      </w:rPr>
    </w:lvl>
    <w:lvl w:ilvl="1">
      <w:start w:val="1"/>
      <w:numFmt w:val="decimal"/>
      <w:lvlText w:val="%1.%2."/>
      <w:lvlJc w:val="left"/>
      <w:pPr>
        <w:ind w:left="696" w:hanging="576"/>
      </w:pPr>
      <w:rPr>
        <w:rFonts w:ascii="Calibri Light" w:eastAsia="Calibri Light" w:hAnsi="Calibri Light" w:cs="Calibri Light" w:hint="default"/>
        <w:b w:val="0"/>
        <w:bCs w:val="0"/>
        <w:i w:val="0"/>
        <w:iCs w:val="0"/>
        <w:color w:val="2E5395"/>
        <w:spacing w:val="-1"/>
        <w:w w:val="100"/>
        <w:sz w:val="26"/>
        <w:szCs w:val="26"/>
      </w:rPr>
    </w:lvl>
    <w:lvl w:ilvl="2">
      <w:start w:val="1"/>
      <w:numFmt w:val="decimal"/>
      <w:lvlText w:val="%1.%2.%3."/>
      <w:lvlJc w:val="left"/>
      <w:pPr>
        <w:ind w:left="912" w:hanging="792"/>
      </w:pPr>
      <w:rPr>
        <w:rFonts w:ascii="Calibri Light" w:eastAsia="Calibri Light" w:hAnsi="Calibri Light" w:cs="Calibri Light" w:hint="default"/>
        <w:b w:val="0"/>
        <w:bCs w:val="0"/>
        <w:i w:val="0"/>
        <w:iCs w:val="0"/>
        <w:color w:val="2E5395"/>
        <w:spacing w:val="-1"/>
        <w:w w:val="100"/>
        <w:sz w:val="24"/>
        <w:szCs w:val="24"/>
      </w:rPr>
    </w:lvl>
    <w:lvl w:ilvl="3">
      <w:numFmt w:val="bullet"/>
      <w:lvlText w:val=""/>
      <w:lvlJc w:val="left"/>
      <w:pPr>
        <w:ind w:left="840" w:hanging="360"/>
      </w:pPr>
      <w:rPr>
        <w:rFonts w:ascii="Symbol" w:eastAsia="Symbol" w:hAnsi="Symbol" w:cs="Symbol" w:hint="default"/>
        <w:b w:val="0"/>
        <w:bCs w:val="0"/>
        <w:i w:val="0"/>
        <w:iCs w:val="0"/>
        <w:w w:val="99"/>
        <w:sz w:val="22"/>
        <w:szCs w:val="22"/>
      </w:rPr>
    </w:lvl>
    <w:lvl w:ilvl="4">
      <w:numFmt w:val="bullet"/>
      <w:lvlText w:val="o"/>
      <w:lvlJc w:val="left"/>
      <w:pPr>
        <w:ind w:left="1559" w:hanging="360"/>
      </w:pPr>
      <w:rPr>
        <w:rFonts w:ascii="Courier New" w:eastAsia="Courier New" w:hAnsi="Courier New" w:cs="Courier New" w:hint="default"/>
        <w:b w:val="0"/>
        <w:bCs w:val="0"/>
        <w:i w:val="0"/>
        <w:iCs w:val="0"/>
        <w:w w:val="99"/>
        <w:sz w:val="22"/>
        <w:szCs w:val="22"/>
      </w:rPr>
    </w:lvl>
    <w:lvl w:ilvl="5">
      <w:numFmt w:val="bullet"/>
      <w:lvlText w:val="•"/>
      <w:lvlJc w:val="left"/>
      <w:pPr>
        <w:ind w:left="1560" w:hanging="360"/>
      </w:pPr>
      <w:rPr>
        <w:rFonts w:hint="default"/>
      </w:rPr>
    </w:lvl>
    <w:lvl w:ilvl="6">
      <w:numFmt w:val="bullet"/>
      <w:lvlText w:val="•"/>
      <w:lvlJc w:val="left"/>
      <w:pPr>
        <w:ind w:left="3212" w:hanging="360"/>
      </w:pPr>
      <w:rPr>
        <w:rFonts w:hint="default"/>
      </w:rPr>
    </w:lvl>
    <w:lvl w:ilvl="7">
      <w:numFmt w:val="bullet"/>
      <w:lvlText w:val="•"/>
      <w:lvlJc w:val="left"/>
      <w:pPr>
        <w:ind w:left="4864" w:hanging="360"/>
      </w:pPr>
      <w:rPr>
        <w:rFonts w:hint="default"/>
      </w:rPr>
    </w:lvl>
    <w:lvl w:ilvl="8">
      <w:numFmt w:val="bullet"/>
      <w:lvlText w:val="•"/>
      <w:lvlJc w:val="left"/>
      <w:pPr>
        <w:ind w:left="6516" w:hanging="360"/>
      </w:pPr>
      <w:rPr>
        <w:rFonts w:hint="default"/>
      </w:rPr>
    </w:lvl>
  </w:abstractNum>
  <w:abstractNum w:abstractNumId="46" w15:restartNumberingAfterBreak="0">
    <w:nsid w:val="70692EC7"/>
    <w:multiLevelType w:val="hybridMultilevel"/>
    <w:tmpl w:val="74C427D4"/>
    <w:lvl w:ilvl="0" w:tplc="5C4AFB38">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1" w:tplc="2ED0287C">
      <w:numFmt w:val="bullet"/>
      <w:lvlText w:val="•"/>
      <w:lvlJc w:val="left"/>
      <w:pPr>
        <w:ind w:left="1738" w:hanging="360"/>
      </w:pPr>
      <w:rPr>
        <w:rFonts w:hint="default"/>
        <w:lang w:val="en-US" w:eastAsia="en-US" w:bidi="ar-SA"/>
      </w:rPr>
    </w:lvl>
    <w:lvl w:ilvl="2" w:tplc="755262CA">
      <w:numFmt w:val="bullet"/>
      <w:lvlText w:val="•"/>
      <w:lvlJc w:val="left"/>
      <w:pPr>
        <w:ind w:left="2636" w:hanging="360"/>
      </w:pPr>
      <w:rPr>
        <w:rFonts w:hint="default"/>
        <w:lang w:val="en-US" w:eastAsia="en-US" w:bidi="ar-SA"/>
      </w:rPr>
    </w:lvl>
    <w:lvl w:ilvl="3" w:tplc="64A8E7CE">
      <w:numFmt w:val="bullet"/>
      <w:lvlText w:val="•"/>
      <w:lvlJc w:val="left"/>
      <w:pPr>
        <w:ind w:left="3534" w:hanging="360"/>
      </w:pPr>
      <w:rPr>
        <w:rFonts w:hint="default"/>
        <w:lang w:val="en-US" w:eastAsia="en-US" w:bidi="ar-SA"/>
      </w:rPr>
    </w:lvl>
    <w:lvl w:ilvl="4" w:tplc="58A64188">
      <w:numFmt w:val="bullet"/>
      <w:lvlText w:val="•"/>
      <w:lvlJc w:val="left"/>
      <w:pPr>
        <w:ind w:left="4432" w:hanging="360"/>
      </w:pPr>
      <w:rPr>
        <w:rFonts w:hint="default"/>
        <w:lang w:val="en-US" w:eastAsia="en-US" w:bidi="ar-SA"/>
      </w:rPr>
    </w:lvl>
    <w:lvl w:ilvl="5" w:tplc="5414DEE6">
      <w:numFmt w:val="bullet"/>
      <w:lvlText w:val="•"/>
      <w:lvlJc w:val="left"/>
      <w:pPr>
        <w:ind w:left="5330" w:hanging="360"/>
      </w:pPr>
      <w:rPr>
        <w:rFonts w:hint="default"/>
        <w:lang w:val="en-US" w:eastAsia="en-US" w:bidi="ar-SA"/>
      </w:rPr>
    </w:lvl>
    <w:lvl w:ilvl="6" w:tplc="AB9AC554">
      <w:numFmt w:val="bullet"/>
      <w:lvlText w:val="•"/>
      <w:lvlJc w:val="left"/>
      <w:pPr>
        <w:ind w:left="6228" w:hanging="360"/>
      </w:pPr>
      <w:rPr>
        <w:rFonts w:hint="default"/>
        <w:lang w:val="en-US" w:eastAsia="en-US" w:bidi="ar-SA"/>
      </w:rPr>
    </w:lvl>
    <w:lvl w:ilvl="7" w:tplc="A1547A2C">
      <w:numFmt w:val="bullet"/>
      <w:lvlText w:val="•"/>
      <w:lvlJc w:val="left"/>
      <w:pPr>
        <w:ind w:left="7126" w:hanging="360"/>
      </w:pPr>
      <w:rPr>
        <w:rFonts w:hint="default"/>
        <w:lang w:val="en-US" w:eastAsia="en-US" w:bidi="ar-SA"/>
      </w:rPr>
    </w:lvl>
    <w:lvl w:ilvl="8" w:tplc="6884F9A6">
      <w:numFmt w:val="bullet"/>
      <w:lvlText w:val="•"/>
      <w:lvlJc w:val="left"/>
      <w:pPr>
        <w:ind w:left="8024" w:hanging="360"/>
      </w:pPr>
      <w:rPr>
        <w:rFonts w:hint="default"/>
        <w:lang w:val="en-US" w:eastAsia="en-US" w:bidi="ar-SA"/>
      </w:rPr>
    </w:lvl>
  </w:abstractNum>
  <w:abstractNum w:abstractNumId="47" w15:restartNumberingAfterBreak="0">
    <w:nsid w:val="733B5FF3"/>
    <w:multiLevelType w:val="multilevel"/>
    <w:tmpl w:val="F1201D3A"/>
    <w:lvl w:ilvl="0">
      <w:start w:val="6"/>
      <w:numFmt w:val="decimal"/>
      <w:lvlText w:val="%1."/>
      <w:lvlJc w:val="left"/>
      <w:pPr>
        <w:ind w:left="720" w:hanging="360"/>
      </w:pPr>
      <w:rPr>
        <w:rFonts w:hint="default"/>
      </w:rPr>
    </w:lvl>
    <w:lvl w:ilvl="1">
      <w:start w:val="8"/>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5477D68"/>
    <w:multiLevelType w:val="hybridMultilevel"/>
    <w:tmpl w:val="A83CB5FA"/>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7862C58"/>
    <w:multiLevelType w:val="hybridMultilevel"/>
    <w:tmpl w:val="EEFE0A2C"/>
    <w:lvl w:ilvl="0" w:tplc="5D7825D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7EF61D3"/>
    <w:multiLevelType w:val="multilevel"/>
    <w:tmpl w:val="0D0280E4"/>
    <w:lvl w:ilvl="0">
      <w:start w:val="7"/>
      <w:numFmt w:val="decimal"/>
      <w:lvlText w:val="%1."/>
      <w:lvlJc w:val="left"/>
      <w:pPr>
        <w:ind w:left="720" w:hanging="360"/>
      </w:pPr>
      <w:rPr>
        <w:rFonts w:hint="default"/>
      </w:rPr>
    </w:lvl>
    <w:lvl w:ilvl="1">
      <w:start w:val="8"/>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9987D5E"/>
    <w:multiLevelType w:val="multilevel"/>
    <w:tmpl w:val="D930A730"/>
    <w:lvl w:ilvl="0">
      <w:start w:val="9"/>
      <w:numFmt w:val="decimal"/>
      <w:lvlText w:val="%1"/>
      <w:lvlJc w:val="left"/>
      <w:pPr>
        <w:ind w:left="360" w:hanging="360"/>
      </w:pPr>
      <w:rPr>
        <w:rFonts w:hint="default"/>
      </w:rPr>
    </w:lvl>
    <w:lvl w:ilvl="1">
      <w:start w:val="1"/>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52" w15:restartNumberingAfterBreak="0">
    <w:nsid w:val="7CA06227"/>
    <w:multiLevelType w:val="hybridMultilevel"/>
    <w:tmpl w:val="82D81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1A73E6"/>
    <w:multiLevelType w:val="multilevel"/>
    <w:tmpl w:val="066227AE"/>
    <w:lvl w:ilvl="0">
      <w:start w:val="1"/>
      <w:numFmt w:val="decimal"/>
      <w:lvlText w:val="%1."/>
      <w:lvlJc w:val="left"/>
      <w:pPr>
        <w:ind w:left="1440" w:hanging="720"/>
      </w:pPr>
      <w:rPr>
        <w:rFonts w:hint="default"/>
      </w:rPr>
    </w:lvl>
    <w:lvl w:ilvl="1">
      <w:start w:val="1"/>
      <w:numFmt w:val="decimal"/>
      <w:isLgl/>
      <w:lvlText w:val="%1.%2"/>
      <w:lvlJc w:val="left"/>
      <w:pPr>
        <w:ind w:left="1185" w:hanging="465"/>
      </w:pPr>
      <w:rPr>
        <w:rFonts w:hint="default"/>
        <w:color w:val="2E5395"/>
      </w:rPr>
    </w:lvl>
    <w:lvl w:ilvl="2">
      <w:start w:val="1"/>
      <w:numFmt w:val="decimal"/>
      <w:isLgl/>
      <w:lvlText w:val="%1.%2.%3"/>
      <w:lvlJc w:val="left"/>
      <w:pPr>
        <w:ind w:left="1440" w:hanging="720"/>
      </w:pPr>
      <w:rPr>
        <w:rFonts w:hint="default"/>
        <w:color w:val="2E5395"/>
      </w:rPr>
    </w:lvl>
    <w:lvl w:ilvl="3">
      <w:start w:val="1"/>
      <w:numFmt w:val="decimal"/>
      <w:isLgl/>
      <w:lvlText w:val="%1.%2.%3.%4"/>
      <w:lvlJc w:val="left"/>
      <w:pPr>
        <w:ind w:left="1440" w:hanging="720"/>
      </w:pPr>
      <w:rPr>
        <w:rFonts w:hint="default"/>
        <w:color w:val="2E5395"/>
      </w:rPr>
    </w:lvl>
    <w:lvl w:ilvl="4">
      <w:start w:val="1"/>
      <w:numFmt w:val="decimal"/>
      <w:isLgl/>
      <w:lvlText w:val="%1.%2.%3.%4.%5"/>
      <w:lvlJc w:val="left"/>
      <w:pPr>
        <w:ind w:left="1800" w:hanging="1080"/>
      </w:pPr>
      <w:rPr>
        <w:rFonts w:hint="default"/>
        <w:color w:val="2E5395"/>
      </w:rPr>
    </w:lvl>
    <w:lvl w:ilvl="5">
      <w:start w:val="1"/>
      <w:numFmt w:val="decimal"/>
      <w:isLgl/>
      <w:lvlText w:val="%1.%2.%3.%4.%5.%6"/>
      <w:lvlJc w:val="left"/>
      <w:pPr>
        <w:ind w:left="2160" w:hanging="1440"/>
      </w:pPr>
      <w:rPr>
        <w:rFonts w:hint="default"/>
        <w:color w:val="2E5395"/>
      </w:rPr>
    </w:lvl>
    <w:lvl w:ilvl="6">
      <w:start w:val="1"/>
      <w:numFmt w:val="decimal"/>
      <w:isLgl/>
      <w:lvlText w:val="%1.%2.%3.%4.%5.%6.%7"/>
      <w:lvlJc w:val="left"/>
      <w:pPr>
        <w:ind w:left="2160" w:hanging="1440"/>
      </w:pPr>
      <w:rPr>
        <w:rFonts w:hint="default"/>
        <w:color w:val="2E5395"/>
      </w:rPr>
    </w:lvl>
    <w:lvl w:ilvl="7">
      <w:start w:val="1"/>
      <w:numFmt w:val="decimal"/>
      <w:isLgl/>
      <w:lvlText w:val="%1.%2.%3.%4.%5.%6.%7.%8"/>
      <w:lvlJc w:val="left"/>
      <w:pPr>
        <w:ind w:left="2520" w:hanging="1800"/>
      </w:pPr>
      <w:rPr>
        <w:rFonts w:hint="default"/>
        <w:color w:val="2E5395"/>
      </w:rPr>
    </w:lvl>
    <w:lvl w:ilvl="8">
      <w:start w:val="1"/>
      <w:numFmt w:val="decimal"/>
      <w:isLgl/>
      <w:lvlText w:val="%1.%2.%3.%4.%5.%6.%7.%8.%9"/>
      <w:lvlJc w:val="left"/>
      <w:pPr>
        <w:ind w:left="2520" w:hanging="1800"/>
      </w:pPr>
      <w:rPr>
        <w:rFonts w:hint="default"/>
        <w:color w:val="2E5395"/>
      </w:rPr>
    </w:lvl>
  </w:abstractNum>
  <w:num w:numId="1" w16cid:durableId="222640944">
    <w:abstractNumId w:val="3"/>
  </w:num>
  <w:num w:numId="2" w16cid:durableId="1622570032">
    <w:abstractNumId w:val="11"/>
  </w:num>
  <w:num w:numId="3" w16cid:durableId="841817317">
    <w:abstractNumId w:val="31"/>
  </w:num>
  <w:num w:numId="4" w16cid:durableId="2000183761">
    <w:abstractNumId w:val="18"/>
  </w:num>
  <w:num w:numId="5" w16cid:durableId="327442223">
    <w:abstractNumId w:val="35"/>
  </w:num>
  <w:num w:numId="6" w16cid:durableId="1494443290">
    <w:abstractNumId w:val="16"/>
  </w:num>
  <w:num w:numId="7" w16cid:durableId="537936698">
    <w:abstractNumId w:val="26"/>
  </w:num>
  <w:num w:numId="8" w16cid:durableId="563301034">
    <w:abstractNumId w:val="34"/>
  </w:num>
  <w:num w:numId="9" w16cid:durableId="424770987">
    <w:abstractNumId w:val="19"/>
  </w:num>
  <w:num w:numId="10" w16cid:durableId="1656759024">
    <w:abstractNumId w:val="46"/>
  </w:num>
  <w:num w:numId="11" w16cid:durableId="178741293">
    <w:abstractNumId w:val="53"/>
  </w:num>
  <w:num w:numId="12" w16cid:durableId="2048721412">
    <w:abstractNumId w:val="47"/>
  </w:num>
  <w:num w:numId="13" w16cid:durableId="849873123">
    <w:abstractNumId w:val="10"/>
  </w:num>
  <w:num w:numId="14" w16cid:durableId="1243107108">
    <w:abstractNumId w:val="27"/>
  </w:num>
  <w:num w:numId="15" w16cid:durableId="360011863">
    <w:abstractNumId w:val="20"/>
  </w:num>
  <w:num w:numId="16" w16cid:durableId="291517015">
    <w:abstractNumId w:val="6"/>
  </w:num>
  <w:num w:numId="17" w16cid:durableId="1695615413">
    <w:abstractNumId w:val="45"/>
  </w:num>
  <w:num w:numId="18" w16cid:durableId="1632127846">
    <w:abstractNumId w:val="33"/>
  </w:num>
  <w:num w:numId="19" w16cid:durableId="1783526540">
    <w:abstractNumId w:val="38"/>
  </w:num>
  <w:num w:numId="20" w16cid:durableId="1979801796">
    <w:abstractNumId w:val="2"/>
  </w:num>
  <w:num w:numId="21" w16cid:durableId="897472446">
    <w:abstractNumId w:val="44"/>
  </w:num>
  <w:num w:numId="22" w16cid:durableId="996109135">
    <w:abstractNumId w:val="50"/>
  </w:num>
  <w:num w:numId="23" w16cid:durableId="752817878">
    <w:abstractNumId w:val="1"/>
  </w:num>
  <w:num w:numId="24" w16cid:durableId="297882406">
    <w:abstractNumId w:val="7"/>
  </w:num>
  <w:num w:numId="25" w16cid:durableId="1637370179">
    <w:abstractNumId w:val="32"/>
  </w:num>
  <w:num w:numId="26" w16cid:durableId="670377016">
    <w:abstractNumId w:val="15"/>
  </w:num>
  <w:num w:numId="27" w16cid:durableId="1891569608">
    <w:abstractNumId w:val="17"/>
  </w:num>
  <w:num w:numId="28" w16cid:durableId="2143620087">
    <w:abstractNumId w:val="21"/>
  </w:num>
  <w:num w:numId="29" w16cid:durableId="74326860">
    <w:abstractNumId w:val="40"/>
  </w:num>
  <w:num w:numId="30" w16cid:durableId="1294752042">
    <w:abstractNumId w:val="22"/>
  </w:num>
  <w:num w:numId="31" w16cid:durableId="333344365">
    <w:abstractNumId w:val="43"/>
  </w:num>
  <w:num w:numId="32" w16cid:durableId="2080050930">
    <w:abstractNumId w:val="0"/>
  </w:num>
  <w:num w:numId="33" w16cid:durableId="496001164">
    <w:abstractNumId w:val="42"/>
  </w:num>
  <w:num w:numId="34" w16cid:durableId="1090394666">
    <w:abstractNumId w:val="52"/>
  </w:num>
  <w:num w:numId="35" w16cid:durableId="1550458393">
    <w:abstractNumId w:val="28"/>
  </w:num>
  <w:num w:numId="36" w16cid:durableId="2048021256">
    <w:abstractNumId w:val="14"/>
  </w:num>
  <w:num w:numId="37" w16cid:durableId="1599022798">
    <w:abstractNumId w:val="36"/>
  </w:num>
  <w:num w:numId="38" w16cid:durableId="56981814">
    <w:abstractNumId w:val="4"/>
  </w:num>
  <w:num w:numId="39" w16cid:durableId="677999460">
    <w:abstractNumId w:val="41"/>
  </w:num>
  <w:num w:numId="40" w16cid:durableId="1826311783">
    <w:abstractNumId w:val="5"/>
  </w:num>
  <w:num w:numId="41" w16cid:durableId="714236788">
    <w:abstractNumId w:val="8"/>
  </w:num>
  <w:num w:numId="42" w16cid:durableId="937374979">
    <w:abstractNumId w:val="23"/>
  </w:num>
  <w:num w:numId="43" w16cid:durableId="1118109782">
    <w:abstractNumId w:val="51"/>
  </w:num>
  <w:num w:numId="44" w16cid:durableId="1523744219">
    <w:abstractNumId w:val="9"/>
  </w:num>
  <w:num w:numId="45" w16cid:durableId="725643046">
    <w:abstractNumId w:val="30"/>
  </w:num>
  <w:num w:numId="46" w16cid:durableId="1159612142">
    <w:abstractNumId w:val="48"/>
  </w:num>
  <w:num w:numId="47" w16cid:durableId="2143232482">
    <w:abstractNumId w:val="29"/>
  </w:num>
  <w:num w:numId="48" w16cid:durableId="649138496">
    <w:abstractNumId w:val="49"/>
  </w:num>
  <w:num w:numId="49" w16cid:durableId="2004121208">
    <w:abstractNumId w:val="25"/>
  </w:num>
  <w:num w:numId="50" w16cid:durableId="962003973">
    <w:abstractNumId w:val="12"/>
  </w:num>
  <w:num w:numId="51" w16cid:durableId="1550648886">
    <w:abstractNumId w:val="37"/>
  </w:num>
  <w:num w:numId="52" w16cid:durableId="78065355">
    <w:abstractNumId w:val="13"/>
  </w:num>
  <w:num w:numId="53" w16cid:durableId="1335844674">
    <w:abstractNumId w:val="39"/>
  </w:num>
  <w:num w:numId="54" w16cid:durableId="614409558">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D79346"/>
    <w:rsid w:val="000006F6"/>
    <w:rsid w:val="00000B49"/>
    <w:rsid w:val="00000B8D"/>
    <w:rsid w:val="00000BC7"/>
    <w:rsid w:val="00001C27"/>
    <w:rsid w:val="00001F68"/>
    <w:rsid w:val="0000231B"/>
    <w:rsid w:val="00002C49"/>
    <w:rsid w:val="000032CD"/>
    <w:rsid w:val="00003305"/>
    <w:rsid w:val="0000372F"/>
    <w:rsid w:val="0000409F"/>
    <w:rsid w:val="00004491"/>
    <w:rsid w:val="0000542C"/>
    <w:rsid w:val="00005A5E"/>
    <w:rsid w:val="00006570"/>
    <w:rsid w:val="000070B0"/>
    <w:rsid w:val="00010774"/>
    <w:rsid w:val="0001082C"/>
    <w:rsid w:val="0001097D"/>
    <w:rsid w:val="00010C30"/>
    <w:rsid w:val="000120F2"/>
    <w:rsid w:val="00012858"/>
    <w:rsid w:val="00013F3F"/>
    <w:rsid w:val="0001423E"/>
    <w:rsid w:val="0001504E"/>
    <w:rsid w:val="00016A88"/>
    <w:rsid w:val="00016D91"/>
    <w:rsid w:val="0001752E"/>
    <w:rsid w:val="000179E1"/>
    <w:rsid w:val="00017B74"/>
    <w:rsid w:val="00020766"/>
    <w:rsid w:val="00021840"/>
    <w:rsid w:val="00021F4C"/>
    <w:rsid w:val="0002335B"/>
    <w:rsid w:val="000247B5"/>
    <w:rsid w:val="00024984"/>
    <w:rsid w:val="000250BD"/>
    <w:rsid w:val="0002798A"/>
    <w:rsid w:val="00027DC8"/>
    <w:rsid w:val="000305AE"/>
    <w:rsid w:val="00030BAE"/>
    <w:rsid w:val="00030FD0"/>
    <w:rsid w:val="0003137B"/>
    <w:rsid w:val="00031678"/>
    <w:rsid w:val="00031B9D"/>
    <w:rsid w:val="00031F7B"/>
    <w:rsid w:val="00031FB0"/>
    <w:rsid w:val="00032027"/>
    <w:rsid w:val="00032188"/>
    <w:rsid w:val="0003233F"/>
    <w:rsid w:val="00032459"/>
    <w:rsid w:val="0003251F"/>
    <w:rsid w:val="0003334E"/>
    <w:rsid w:val="00034AD7"/>
    <w:rsid w:val="0003502C"/>
    <w:rsid w:val="00035CE7"/>
    <w:rsid w:val="0003648E"/>
    <w:rsid w:val="00037254"/>
    <w:rsid w:val="000404AF"/>
    <w:rsid w:val="0004088D"/>
    <w:rsid w:val="0004110D"/>
    <w:rsid w:val="00041476"/>
    <w:rsid w:val="00041CFD"/>
    <w:rsid w:val="000425B7"/>
    <w:rsid w:val="000428D8"/>
    <w:rsid w:val="00042F2E"/>
    <w:rsid w:val="00043167"/>
    <w:rsid w:val="000452BE"/>
    <w:rsid w:val="00045E96"/>
    <w:rsid w:val="0004633F"/>
    <w:rsid w:val="000468C5"/>
    <w:rsid w:val="00046F93"/>
    <w:rsid w:val="000472A5"/>
    <w:rsid w:val="0004786E"/>
    <w:rsid w:val="00047BED"/>
    <w:rsid w:val="000500A2"/>
    <w:rsid w:val="00050F90"/>
    <w:rsid w:val="000510C8"/>
    <w:rsid w:val="00051452"/>
    <w:rsid w:val="000515A3"/>
    <w:rsid w:val="00051F26"/>
    <w:rsid w:val="000529AC"/>
    <w:rsid w:val="00055048"/>
    <w:rsid w:val="00055330"/>
    <w:rsid w:val="000555A1"/>
    <w:rsid w:val="00055CB6"/>
    <w:rsid w:val="00057341"/>
    <w:rsid w:val="00057567"/>
    <w:rsid w:val="000575B1"/>
    <w:rsid w:val="00057BD5"/>
    <w:rsid w:val="0006031A"/>
    <w:rsid w:val="0006083B"/>
    <w:rsid w:val="00060F5E"/>
    <w:rsid w:val="000624DC"/>
    <w:rsid w:val="00062768"/>
    <w:rsid w:val="00062D5D"/>
    <w:rsid w:val="000632FB"/>
    <w:rsid w:val="00063D96"/>
    <w:rsid w:val="000644A2"/>
    <w:rsid w:val="000646EF"/>
    <w:rsid w:val="0006548E"/>
    <w:rsid w:val="00065BEB"/>
    <w:rsid w:val="00065CAA"/>
    <w:rsid w:val="00065CC0"/>
    <w:rsid w:val="00066135"/>
    <w:rsid w:val="000665F7"/>
    <w:rsid w:val="000666D5"/>
    <w:rsid w:val="000668D7"/>
    <w:rsid w:val="0006713B"/>
    <w:rsid w:val="0006751F"/>
    <w:rsid w:val="0007010C"/>
    <w:rsid w:val="00071750"/>
    <w:rsid w:val="00072C2F"/>
    <w:rsid w:val="00073BA6"/>
    <w:rsid w:val="00074F88"/>
    <w:rsid w:val="000751F8"/>
    <w:rsid w:val="0007553C"/>
    <w:rsid w:val="00077AAF"/>
    <w:rsid w:val="00080192"/>
    <w:rsid w:val="00080EB9"/>
    <w:rsid w:val="00081368"/>
    <w:rsid w:val="00081DE2"/>
    <w:rsid w:val="00082BCF"/>
    <w:rsid w:val="00082D8D"/>
    <w:rsid w:val="000831B3"/>
    <w:rsid w:val="000835FB"/>
    <w:rsid w:val="00083718"/>
    <w:rsid w:val="000853B1"/>
    <w:rsid w:val="000858C9"/>
    <w:rsid w:val="00085906"/>
    <w:rsid w:val="00085A08"/>
    <w:rsid w:val="00086690"/>
    <w:rsid w:val="00086E2D"/>
    <w:rsid w:val="000870D6"/>
    <w:rsid w:val="00087521"/>
    <w:rsid w:val="00087BA5"/>
    <w:rsid w:val="00087CF3"/>
    <w:rsid w:val="00090F7A"/>
    <w:rsid w:val="0009116F"/>
    <w:rsid w:val="00091456"/>
    <w:rsid w:val="000914E3"/>
    <w:rsid w:val="00091643"/>
    <w:rsid w:val="000920BE"/>
    <w:rsid w:val="000924AD"/>
    <w:rsid w:val="00092A0F"/>
    <w:rsid w:val="00093C0A"/>
    <w:rsid w:val="000945DD"/>
    <w:rsid w:val="000947DC"/>
    <w:rsid w:val="00094E05"/>
    <w:rsid w:val="00095299"/>
    <w:rsid w:val="000957C6"/>
    <w:rsid w:val="000959B0"/>
    <w:rsid w:val="00095E5B"/>
    <w:rsid w:val="0009634E"/>
    <w:rsid w:val="000979E6"/>
    <w:rsid w:val="00097C8E"/>
    <w:rsid w:val="000A004E"/>
    <w:rsid w:val="000A0BD6"/>
    <w:rsid w:val="000A0FF0"/>
    <w:rsid w:val="000A166B"/>
    <w:rsid w:val="000A179C"/>
    <w:rsid w:val="000A21D8"/>
    <w:rsid w:val="000A27A9"/>
    <w:rsid w:val="000A32D9"/>
    <w:rsid w:val="000A3D1C"/>
    <w:rsid w:val="000A5674"/>
    <w:rsid w:val="000A5FFC"/>
    <w:rsid w:val="000A6594"/>
    <w:rsid w:val="000A6D02"/>
    <w:rsid w:val="000A6DA0"/>
    <w:rsid w:val="000A7009"/>
    <w:rsid w:val="000A70DD"/>
    <w:rsid w:val="000A7563"/>
    <w:rsid w:val="000A78E6"/>
    <w:rsid w:val="000A7ACA"/>
    <w:rsid w:val="000A7AE4"/>
    <w:rsid w:val="000A7CB3"/>
    <w:rsid w:val="000B1636"/>
    <w:rsid w:val="000B19D2"/>
    <w:rsid w:val="000B1B29"/>
    <w:rsid w:val="000B27F4"/>
    <w:rsid w:val="000B2FE8"/>
    <w:rsid w:val="000B3C63"/>
    <w:rsid w:val="000B3CDF"/>
    <w:rsid w:val="000B3FB6"/>
    <w:rsid w:val="000B4487"/>
    <w:rsid w:val="000B45E6"/>
    <w:rsid w:val="000B474C"/>
    <w:rsid w:val="000B5DC4"/>
    <w:rsid w:val="000B67F5"/>
    <w:rsid w:val="000B6820"/>
    <w:rsid w:val="000B6D44"/>
    <w:rsid w:val="000B7475"/>
    <w:rsid w:val="000B764C"/>
    <w:rsid w:val="000B7F75"/>
    <w:rsid w:val="000B7FBA"/>
    <w:rsid w:val="000C077A"/>
    <w:rsid w:val="000C16CB"/>
    <w:rsid w:val="000C1EE3"/>
    <w:rsid w:val="000C1FE4"/>
    <w:rsid w:val="000C2596"/>
    <w:rsid w:val="000C268F"/>
    <w:rsid w:val="000C2D95"/>
    <w:rsid w:val="000C342A"/>
    <w:rsid w:val="000C3D1F"/>
    <w:rsid w:val="000C484B"/>
    <w:rsid w:val="000C521B"/>
    <w:rsid w:val="000C5D0B"/>
    <w:rsid w:val="000C6B49"/>
    <w:rsid w:val="000C6E82"/>
    <w:rsid w:val="000C6FE2"/>
    <w:rsid w:val="000C72D0"/>
    <w:rsid w:val="000C7F2E"/>
    <w:rsid w:val="000D0B76"/>
    <w:rsid w:val="000D1F76"/>
    <w:rsid w:val="000D28E7"/>
    <w:rsid w:val="000D29BB"/>
    <w:rsid w:val="000D2B1A"/>
    <w:rsid w:val="000D2E7B"/>
    <w:rsid w:val="000D315B"/>
    <w:rsid w:val="000D3C6E"/>
    <w:rsid w:val="000D437D"/>
    <w:rsid w:val="000D4830"/>
    <w:rsid w:val="000D553F"/>
    <w:rsid w:val="000D5797"/>
    <w:rsid w:val="000D5B3E"/>
    <w:rsid w:val="000D60CC"/>
    <w:rsid w:val="000D7571"/>
    <w:rsid w:val="000D7CD4"/>
    <w:rsid w:val="000E054F"/>
    <w:rsid w:val="000E0B3A"/>
    <w:rsid w:val="000E0C04"/>
    <w:rsid w:val="000E346B"/>
    <w:rsid w:val="000E380F"/>
    <w:rsid w:val="000E3C1D"/>
    <w:rsid w:val="000E410E"/>
    <w:rsid w:val="000E4234"/>
    <w:rsid w:val="000E4516"/>
    <w:rsid w:val="000E4BFA"/>
    <w:rsid w:val="000E5001"/>
    <w:rsid w:val="000E5973"/>
    <w:rsid w:val="000E6544"/>
    <w:rsid w:val="000E68CF"/>
    <w:rsid w:val="000E75C0"/>
    <w:rsid w:val="000F0346"/>
    <w:rsid w:val="000F04A6"/>
    <w:rsid w:val="000F0A79"/>
    <w:rsid w:val="000F185C"/>
    <w:rsid w:val="000F18D6"/>
    <w:rsid w:val="000F1C09"/>
    <w:rsid w:val="000F22D0"/>
    <w:rsid w:val="000F244A"/>
    <w:rsid w:val="000F2992"/>
    <w:rsid w:val="000F2AB4"/>
    <w:rsid w:val="000F3136"/>
    <w:rsid w:val="000F31A4"/>
    <w:rsid w:val="000F39F2"/>
    <w:rsid w:val="000F4571"/>
    <w:rsid w:val="000F49EA"/>
    <w:rsid w:val="000F617E"/>
    <w:rsid w:val="000F63FE"/>
    <w:rsid w:val="000F6F2A"/>
    <w:rsid w:val="000F74CF"/>
    <w:rsid w:val="000F7647"/>
    <w:rsid w:val="000F781D"/>
    <w:rsid w:val="000F7F71"/>
    <w:rsid w:val="0010030B"/>
    <w:rsid w:val="001003D3"/>
    <w:rsid w:val="00100E69"/>
    <w:rsid w:val="001018CF"/>
    <w:rsid w:val="001029E3"/>
    <w:rsid w:val="00102BCC"/>
    <w:rsid w:val="00102D10"/>
    <w:rsid w:val="00102DBD"/>
    <w:rsid w:val="0010348B"/>
    <w:rsid w:val="00103884"/>
    <w:rsid w:val="00103AF2"/>
    <w:rsid w:val="00104B17"/>
    <w:rsid w:val="001053E0"/>
    <w:rsid w:val="00105661"/>
    <w:rsid w:val="00105F0D"/>
    <w:rsid w:val="00105FF3"/>
    <w:rsid w:val="00106D4F"/>
    <w:rsid w:val="00106D5D"/>
    <w:rsid w:val="00107711"/>
    <w:rsid w:val="00110079"/>
    <w:rsid w:val="001101F0"/>
    <w:rsid w:val="001105BF"/>
    <w:rsid w:val="00110798"/>
    <w:rsid w:val="00111CD3"/>
    <w:rsid w:val="00111E91"/>
    <w:rsid w:val="00111ED6"/>
    <w:rsid w:val="001128BA"/>
    <w:rsid w:val="00112911"/>
    <w:rsid w:val="001130B1"/>
    <w:rsid w:val="0011352B"/>
    <w:rsid w:val="00113ABA"/>
    <w:rsid w:val="00113DD7"/>
    <w:rsid w:val="00114281"/>
    <w:rsid w:val="00114AB5"/>
    <w:rsid w:val="001150C4"/>
    <w:rsid w:val="001157C4"/>
    <w:rsid w:val="00116291"/>
    <w:rsid w:val="00116427"/>
    <w:rsid w:val="001167A1"/>
    <w:rsid w:val="001178FC"/>
    <w:rsid w:val="00120036"/>
    <w:rsid w:val="00120515"/>
    <w:rsid w:val="00120844"/>
    <w:rsid w:val="001208E7"/>
    <w:rsid w:val="0012164E"/>
    <w:rsid w:val="001216CE"/>
    <w:rsid w:val="00121B70"/>
    <w:rsid w:val="001220BC"/>
    <w:rsid w:val="00122599"/>
    <w:rsid w:val="00122A2D"/>
    <w:rsid w:val="00122C7C"/>
    <w:rsid w:val="001237AA"/>
    <w:rsid w:val="0012449A"/>
    <w:rsid w:val="001246BE"/>
    <w:rsid w:val="00124E1B"/>
    <w:rsid w:val="00125646"/>
    <w:rsid w:val="00125700"/>
    <w:rsid w:val="00125AF5"/>
    <w:rsid w:val="00125F14"/>
    <w:rsid w:val="001262C6"/>
    <w:rsid w:val="00126538"/>
    <w:rsid w:val="00126CC8"/>
    <w:rsid w:val="00127394"/>
    <w:rsid w:val="0012773A"/>
    <w:rsid w:val="00127786"/>
    <w:rsid w:val="00127CEA"/>
    <w:rsid w:val="0013008B"/>
    <w:rsid w:val="00130A70"/>
    <w:rsid w:val="00130E7E"/>
    <w:rsid w:val="0013249F"/>
    <w:rsid w:val="0013280B"/>
    <w:rsid w:val="0013377B"/>
    <w:rsid w:val="00133CF0"/>
    <w:rsid w:val="001342ED"/>
    <w:rsid w:val="001345D0"/>
    <w:rsid w:val="00134BDB"/>
    <w:rsid w:val="00136DFD"/>
    <w:rsid w:val="00136E70"/>
    <w:rsid w:val="00137405"/>
    <w:rsid w:val="00137571"/>
    <w:rsid w:val="001375D7"/>
    <w:rsid w:val="001376B6"/>
    <w:rsid w:val="0013781F"/>
    <w:rsid w:val="00140435"/>
    <w:rsid w:val="0014052E"/>
    <w:rsid w:val="00141BB1"/>
    <w:rsid w:val="001423FF"/>
    <w:rsid w:val="00143888"/>
    <w:rsid w:val="00143C89"/>
    <w:rsid w:val="001443A2"/>
    <w:rsid w:val="00144931"/>
    <w:rsid w:val="00144B8B"/>
    <w:rsid w:val="0014567C"/>
    <w:rsid w:val="00146A14"/>
    <w:rsid w:val="00146EC2"/>
    <w:rsid w:val="001475AE"/>
    <w:rsid w:val="00147820"/>
    <w:rsid w:val="00147BA1"/>
    <w:rsid w:val="001504C6"/>
    <w:rsid w:val="00150837"/>
    <w:rsid w:val="00151544"/>
    <w:rsid w:val="0015175C"/>
    <w:rsid w:val="001526D2"/>
    <w:rsid w:val="00152ACF"/>
    <w:rsid w:val="001539DD"/>
    <w:rsid w:val="00153BA3"/>
    <w:rsid w:val="0015442E"/>
    <w:rsid w:val="00154768"/>
    <w:rsid w:val="00154D59"/>
    <w:rsid w:val="00154EF0"/>
    <w:rsid w:val="00155F8A"/>
    <w:rsid w:val="00157143"/>
    <w:rsid w:val="00160225"/>
    <w:rsid w:val="001602B7"/>
    <w:rsid w:val="001602D2"/>
    <w:rsid w:val="00160BC1"/>
    <w:rsid w:val="001611D7"/>
    <w:rsid w:val="001613F4"/>
    <w:rsid w:val="00161A2F"/>
    <w:rsid w:val="00161CA2"/>
    <w:rsid w:val="00161F1A"/>
    <w:rsid w:val="0016266B"/>
    <w:rsid w:val="00162AEB"/>
    <w:rsid w:val="001635CA"/>
    <w:rsid w:val="00164002"/>
    <w:rsid w:val="001643FE"/>
    <w:rsid w:val="00164602"/>
    <w:rsid w:val="0016463C"/>
    <w:rsid w:val="001646D2"/>
    <w:rsid w:val="001647F0"/>
    <w:rsid w:val="0016521C"/>
    <w:rsid w:val="001656DB"/>
    <w:rsid w:val="00166BF6"/>
    <w:rsid w:val="00166EA7"/>
    <w:rsid w:val="0016772E"/>
    <w:rsid w:val="00170CEC"/>
    <w:rsid w:val="001725CE"/>
    <w:rsid w:val="00173306"/>
    <w:rsid w:val="00173418"/>
    <w:rsid w:val="001738FC"/>
    <w:rsid w:val="00174069"/>
    <w:rsid w:val="001743DA"/>
    <w:rsid w:val="001743FA"/>
    <w:rsid w:val="001751F4"/>
    <w:rsid w:val="001753C3"/>
    <w:rsid w:val="00175FB3"/>
    <w:rsid w:val="00177803"/>
    <w:rsid w:val="00177C1D"/>
    <w:rsid w:val="001800EC"/>
    <w:rsid w:val="00180405"/>
    <w:rsid w:val="00180515"/>
    <w:rsid w:val="0018091E"/>
    <w:rsid w:val="00180E06"/>
    <w:rsid w:val="001810A3"/>
    <w:rsid w:val="00181349"/>
    <w:rsid w:val="001817F2"/>
    <w:rsid w:val="0018245B"/>
    <w:rsid w:val="0018427F"/>
    <w:rsid w:val="00184556"/>
    <w:rsid w:val="00185917"/>
    <w:rsid w:val="00185AA6"/>
    <w:rsid w:val="001865A0"/>
    <w:rsid w:val="00186A19"/>
    <w:rsid w:val="00187399"/>
    <w:rsid w:val="00190065"/>
    <w:rsid w:val="00190884"/>
    <w:rsid w:val="00190F42"/>
    <w:rsid w:val="0019202D"/>
    <w:rsid w:val="00192130"/>
    <w:rsid w:val="001922CD"/>
    <w:rsid w:val="00193D8B"/>
    <w:rsid w:val="00194C01"/>
    <w:rsid w:val="001952CC"/>
    <w:rsid w:val="00196606"/>
    <w:rsid w:val="00197CBC"/>
    <w:rsid w:val="00197EE1"/>
    <w:rsid w:val="001A0DB1"/>
    <w:rsid w:val="001A1157"/>
    <w:rsid w:val="001A1371"/>
    <w:rsid w:val="001A1A86"/>
    <w:rsid w:val="001A1EC8"/>
    <w:rsid w:val="001A21BD"/>
    <w:rsid w:val="001A291B"/>
    <w:rsid w:val="001A2DA9"/>
    <w:rsid w:val="001A4E28"/>
    <w:rsid w:val="001A65F4"/>
    <w:rsid w:val="001A699A"/>
    <w:rsid w:val="001B0413"/>
    <w:rsid w:val="001B0660"/>
    <w:rsid w:val="001B06D8"/>
    <w:rsid w:val="001B1411"/>
    <w:rsid w:val="001B2137"/>
    <w:rsid w:val="001B219C"/>
    <w:rsid w:val="001B3577"/>
    <w:rsid w:val="001B395E"/>
    <w:rsid w:val="001B3C1A"/>
    <w:rsid w:val="001B4407"/>
    <w:rsid w:val="001B552E"/>
    <w:rsid w:val="001B56FF"/>
    <w:rsid w:val="001B5967"/>
    <w:rsid w:val="001B6356"/>
    <w:rsid w:val="001B6484"/>
    <w:rsid w:val="001B75B2"/>
    <w:rsid w:val="001B7AE4"/>
    <w:rsid w:val="001B7DD3"/>
    <w:rsid w:val="001B7EBE"/>
    <w:rsid w:val="001C00D1"/>
    <w:rsid w:val="001C0246"/>
    <w:rsid w:val="001C08EA"/>
    <w:rsid w:val="001C0E2F"/>
    <w:rsid w:val="001C2BAA"/>
    <w:rsid w:val="001C37D2"/>
    <w:rsid w:val="001C3ABE"/>
    <w:rsid w:val="001C3B64"/>
    <w:rsid w:val="001C61C7"/>
    <w:rsid w:val="001C6AB8"/>
    <w:rsid w:val="001C7C80"/>
    <w:rsid w:val="001D0CD4"/>
    <w:rsid w:val="001D111F"/>
    <w:rsid w:val="001D1B91"/>
    <w:rsid w:val="001D5504"/>
    <w:rsid w:val="001D59A2"/>
    <w:rsid w:val="001D5A9C"/>
    <w:rsid w:val="001D69F2"/>
    <w:rsid w:val="001D6A39"/>
    <w:rsid w:val="001D6A6A"/>
    <w:rsid w:val="001D7062"/>
    <w:rsid w:val="001D707C"/>
    <w:rsid w:val="001D72CC"/>
    <w:rsid w:val="001D798C"/>
    <w:rsid w:val="001D7B31"/>
    <w:rsid w:val="001E123F"/>
    <w:rsid w:val="001E15E7"/>
    <w:rsid w:val="001E1A41"/>
    <w:rsid w:val="001E1EA4"/>
    <w:rsid w:val="001E2085"/>
    <w:rsid w:val="001E22DF"/>
    <w:rsid w:val="001E34C0"/>
    <w:rsid w:val="001E3818"/>
    <w:rsid w:val="001E4716"/>
    <w:rsid w:val="001E477F"/>
    <w:rsid w:val="001E645C"/>
    <w:rsid w:val="001E6D3D"/>
    <w:rsid w:val="001E77B6"/>
    <w:rsid w:val="001F0571"/>
    <w:rsid w:val="001F0A6F"/>
    <w:rsid w:val="001F0C75"/>
    <w:rsid w:val="001F1331"/>
    <w:rsid w:val="001F1400"/>
    <w:rsid w:val="001F1DC4"/>
    <w:rsid w:val="001F284C"/>
    <w:rsid w:val="001F297C"/>
    <w:rsid w:val="001F2DF1"/>
    <w:rsid w:val="001F3040"/>
    <w:rsid w:val="001F37B6"/>
    <w:rsid w:val="001F3C6A"/>
    <w:rsid w:val="001F3F14"/>
    <w:rsid w:val="001F4007"/>
    <w:rsid w:val="001F424F"/>
    <w:rsid w:val="001F4528"/>
    <w:rsid w:val="001F4587"/>
    <w:rsid w:val="001F46C7"/>
    <w:rsid w:val="001F4942"/>
    <w:rsid w:val="001F4C1C"/>
    <w:rsid w:val="001F4F46"/>
    <w:rsid w:val="001F62C2"/>
    <w:rsid w:val="001F651D"/>
    <w:rsid w:val="001F752C"/>
    <w:rsid w:val="00200AD6"/>
    <w:rsid w:val="00200DAE"/>
    <w:rsid w:val="002013DF"/>
    <w:rsid w:val="00201D32"/>
    <w:rsid w:val="00201F21"/>
    <w:rsid w:val="0020212D"/>
    <w:rsid w:val="002022A5"/>
    <w:rsid w:val="00204301"/>
    <w:rsid w:val="00204782"/>
    <w:rsid w:val="002068F7"/>
    <w:rsid w:val="00206FBF"/>
    <w:rsid w:val="002073E7"/>
    <w:rsid w:val="0021040E"/>
    <w:rsid w:val="002106E1"/>
    <w:rsid w:val="00211992"/>
    <w:rsid w:val="00212EB7"/>
    <w:rsid w:val="0021306C"/>
    <w:rsid w:val="002131FF"/>
    <w:rsid w:val="002137FC"/>
    <w:rsid w:val="00213832"/>
    <w:rsid w:val="00214EEC"/>
    <w:rsid w:val="00215636"/>
    <w:rsid w:val="00215A0E"/>
    <w:rsid w:val="00215E80"/>
    <w:rsid w:val="00215FAB"/>
    <w:rsid w:val="00216406"/>
    <w:rsid w:val="00216548"/>
    <w:rsid w:val="002166E7"/>
    <w:rsid w:val="00216C5A"/>
    <w:rsid w:val="00216C72"/>
    <w:rsid w:val="00217122"/>
    <w:rsid w:val="00217468"/>
    <w:rsid w:val="00217874"/>
    <w:rsid w:val="00217AB4"/>
    <w:rsid w:val="00217E61"/>
    <w:rsid w:val="00217E7B"/>
    <w:rsid w:val="00217FAC"/>
    <w:rsid w:val="002206E0"/>
    <w:rsid w:val="00220BFB"/>
    <w:rsid w:val="00221B07"/>
    <w:rsid w:val="0022256E"/>
    <w:rsid w:val="002226BD"/>
    <w:rsid w:val="00222D68"/>
    <w:rsid w:val="002232CF"/>
    <w:rsid w:val="00223304"/>
    <w:rsid w:val="00224C27"/>
    <w:rsid w:val="0022543E"/>
    <w:rsid w:val="002256FA"/>
    <w:rsid w:val="00225E1A"/>
    <w:rsid w:val="00226CFD"/>
    <w:rsid w:val="00226E0C"/>
    <w:rsid w:val="00226FE4"/>
    <w:rsid w:val="0022765B"/>
    <w:rsid w:val="00227BFA"/>
    <w:rsid w:val="00230434"/>
    <w:rsid w:val="002305CD"/>
    <w:rsid w:val="00230DB7"/>
    <w:rsid w:val="00230DD8"/>
    <w:rsid w:val="0023137C"/>
    <w:rsid w:val="00231916"/>
    <w:rsid w:val="00231F43"/>
    <w:rsid w:val="00232FE1"/>
    <w:rsid w:val="002339C1"/>
    <w:rsid w:val="00233B94"/>
    <w:rsid w:val="00234147"/>
    <w:rsid w:val="002342BF"/>
    <w:rsid w:val="00234B32"/>
    <w:rsid w:val="00234CF4"/>
    <w:rsid w:val="0023596E"/>
    <w:rsid w:val="00235E7F"/>
    <w:rsid w:val="00235EBA"/>
    <w:rsid w:val="002374B8"/>
    <w:rsid w:val="0024024F"/>
    <w:rsid w:val="00241272"/>
    <w:rsid w:val="00241649"/>
    <w:rsid w:val="00241A3D"/>
    <w:rsid w:val="00241DC7"/>
    <w:rsid w:val="00241FFD"/>
    <w:rsid w:val="00242B0E"/>
    <w:rsid w:val="00242B6B"/>
    <w:rsid w:val="002452EB"/>
    <w:rsid w:val="00246495"/>
    <w:rsid w:val="00247E72"/>
    <w:rsid w:val="002500F4"/>
    <w:rsid w:val="002502D5"/>
    <w:rsid w:val="00250467"/>
    <w:rsid w:val="0025049D"/>
    <w:rsid w:val="00250CFA"/>
    <w:rsid w:val="002511AD"/>
    <w:rsid w:val="002530B8"/>
    <w:rsid w:val="002534FB"/>
    <w:rsid w:val="002538E5"/>
    <w:rsid w:val="00253A75"/>
    <w:rsid w:val="00254454"/>
    <w:rsid w:val="00254AA3"/>
    <w:rsid w:val="00254F32"/>
    <w:rsid w:val="00255872"/>
    <w:rsid w:val="00255F3F"/>
    <w:rsid w:val="0025647E"/>
    <w:rsid w:val="00256D8A"/>
    <w:rsid w:val="002579AD"/>
    <w:rsid w:val="0026044A"/>
    <w:rsid w:val="00261010"/>
    <w:rsid w:val="00261213"/>
    <w:rsid w:val="00263ED9"/>
    <w:rsid w:val="00264358"/>
    <w:rsid w:val="002646BD"/>
    <w:rsid w:val="00264DC4"/>
    <w:rsid w:val="002666AE"/>
    <w:rsid w:val="00266B7B"/>
    <w:rsid w:val="00266BD9"/>
    <w:rsid w:val="002707DD"/>
    <w:rsid w:val="00270C2B"/>
    <w:rsid w:val="00272233"/>
    <w:rsid w:val="00274BB9"/>
    <w:rsid w:val="00275442"/>
    <w:rsid w:val="002758D2"/>
    <w:rsid w:val="00276AB9"/>
    <w:rsid w:val="0027741B"/>
    <w:rsid w:val="00280069"/>
    <w:rsid w:val="00281307"/>
    <w:rsid w:val="002816AD"/>
    <w:rsid w:val="002835F5"/>
    <w:rsid w:val="00283B57"/>
    <w:rsid w:val="00285366"/>
    <w:rsid w:val="00285959"/>
    <w:rsid w:val="002864CF"/>
    <w:rsid w:val="002866AC"/>
    <w:rsid w:val="00286C90"/>
    <w:rsid w:val="0029103A"/>
    <w:rsid w:val="00291255"/>
    <w:rsid w:val="00291D15"/>
    <w:rsid w:val="00292043"/>
    <w:rsid w:val="002932C7"/>
    <w:rsid w:val="00293449"/>
    <w:rsid w:val="002938A4"/>
    <w:rsid w:val="00294CFA"/>
    <w:rsid w:val="002950A9"/>
    <w:rsid w:val="00295442"/>
    <w:rsid w:val="0029562E"/>
    <w:rsid w:val="00295A36"/>
    <w:rsid w:val="00295FF0"/>
    <w:rsid w:val="00296440"/>
    <w:rsid w:val="00296BB4"/>
    <w:rsid w:val="00296CE2"/>
    <w:rsid w:val="00296F22"/>
    <w:rsid w:val="00297308"/>
    <w:rsid w:val="002A0575"/>
    <w:rsid w:val="002A0BB5"/>
    <w:rsid w:val="002A0FFE"/>
    <w:rsid w:val="002A120E"/>
    <w:rsid w:val="002A186C"/>
    <w:rsid w:val="002A1971"/>
    <w:rsid w:val="002A2469"/>
    <w:rsid w:val="002A3B7A"/>
    <w:rsid w:val="002A3C97"/>
    <w:rsid w:val="002A5347"/>
    <w:rsid w:val="002A5685"/>
    <w:rsid w:val="002A640E"/>
    <w:rsid w:val="002A6C7B"/>
    <w:rsid w:val="002A6E51"/>
    <w:rsid w:val="002B0D9F"/>
    <w:rsid w:val="002B0DCA"/>
    <w:rsid w:val="002B114F"/>
    <w:rsid w:val="002B12D8"/>
    <w:rsid w:val="002B15CA"/>
    <w:rsid w:val="002B162C"/>
    <w:rsid w:val="002B23DC"/>
    <w:rsid w:val="002B254C"/>
    <w:rsid w:val="002B2A94"/>
    <w:rsid w:val="002B36A8"/>
    <w:rsid w:val="002B3BF4"/>
    <w:rsid w:val="002B3F08"/>
    <w:rsid w:val="002B4141"/>
    <w:rsid w:val="002B41B4"/>
    <w:rsid w:val="002B4EED"/>
    <w:rsid w:val="002B552F"/>
    <w:rsid w:val="002B5D44"/>
    <w:rsid w:val="002B5FCA"/>
    <w:rsid w:val="002B60A1"/>
    <w:rsid w:val="002B6720"/>
    <w:rsid w:val="002B67F0"/>
    <w:rsid w:val="002B7F73"/>
    <w:rsid w:val="002C02DE"/>
    <w:rsid w:val="002C0DB9"/>
    <w:rsid w:val="002C1638"/>
    <w:rsid w:val="002C1A3A"/>
    <w:rsid w:val="002C2034"/>
    <w:rsid w:val="002C25ED"/>
    <w:rsid w:val="002C2BE7"/>
    <w:rsid w:val="002C2EB7"/>
    <w:rsid w:val="002C39BA"/>
    <w:rsid w:val="002C3C55"/>
    <w:rsid w:val="002C3FC0"/>
    <w:rsid w:val="002C4B1D"/>
    <w:rsid w:val="002C4BDF"/>
    <w:rsid w:val="002C61F6"/>
    <w:rsid w:val="002C6269"/>
    <w:rsid w:val="002C6685"/>
    <w:rsid w:val="002C6FEC"/>
    <w:rsid w:val="002C714E"/>
    <w:rsid w:val="002C7FFC"/>
    <w:rsid w:val="002D01BA"/>
    <w:rsid w:val="002D044C"/>
    <w:rsid w:val="002D0B17"/>
    <w:rsid w:val="002D0D83"/>
    <w:rsid w:val="002D14BE"/>
    <w:rsid w:val="002D182C"/>
    <w:rsid w:val="002D2098"/>
    <w:rsid w:val="002D2C2A"/>
    <w:rsid w:val="002D2CF3"/>
    <w:rsid w:val="002D2E34"/>
    <w:rsid w:val="002D3522"/>
    <w:rsid w:val="002D3ECF"/>
    <w:rsid w:val="002D409D"/>
    <w:rsid w:val="002D413F"/>
    <w:rsid w:val="002D44DA"/>
    <w:rsid w:val="002D51DD"/>
    <w:rsid w:val="002D6127"/>
    <w:rsid w:val="002D7337"/>
    <w:rsid w:val="002D7427"/>
    <w:rsid w:val="002E039C"/>
    <w:rsid w:val="002E04A7"/>
    <w:rsid w:val="002E0F3F"/>
    <w:rsid w:val="002E14F0"/>
    <w:rsid w:val="002E1F9F"/>
    <w:rsid w:val="002E4163"/>
    <w:rsid w:val="002E4910"/>
    <w:rsid w:val="002E5152"/>
    <w:rsid w:val="002E52CD"/>
    <w:rsid w:val="002E5445"/>
    <w:rsid w:val="002E54D0"/>
    <w:rsid w:val="002E6732"/>
    <w:rsid w:val="002E6D72"/>
    <w:rsid w:val="002E6E52"/>
    <w:rsid w:val="002E75A0"/>
    <w:rsid w:val="002E775F"/>
    <w:rsid w:val="002E7B24"/>
    <w:rsid w:val="002E7E09"/>
    <w:rsid w:val="002F135E"/>
    <w:rsid w:val="002F1AF3"/>
    <w:rsid w:val="002F1BF0"/>
    <w:rsid w:val="002F29E0"/>
    <w:rsid w:val="002F3067"/>
    <w:rsid w:val="002F345D"/>
    <w:rsid w:val="002F3BEA"/>
    <w:rsid w:val="002F3CAD"/>
    <w:rsid w:val="002F43B3"/>
    <w:rsid w:val="002F4B60"/>
    <w:rsid w:val="002F4E1C"/>
    <w:rsid w:val="002F554F"/>
    <w:rsid w:val="002F6181"/>
    <w:rsid w:val="002F6377"/>
    <w:rsid w:val="002F7646"/>
    <w:rsid w:val="00300D4A"/>
    <w:rsid w:val="00301145"/>
    <w:rsid w:val="003014A7"/>
    <w:rsid w:val="003015B0"/>
    <w:rsid w:val="00301C97"/>
    <w:rsid w:val="00302092"/>
    <w:rsid w:val="003029A5"/>
    <w:rsid w:val="003029C3"/>
    <w:rsid w:val="00302D85"/>
    <w:rsid w:val="003035AF"/>
    <w:rsid w:val="00304674"/>
    <w:rsid w:val="00304954"/>
    <w:rsid w:val="0030541D"/>
    <w:rsid w:val="00305574"/>
    <w:rsid w:val="00305A64"/>
    <w:rsid w:val="00305D81"/>
    <w:rsid w:val="00306523"/>
    <w:rsid w:val="0030734B"/>
    <w:rsid w:val="00307B01"/>
    <w:rsid w:val="00311441"/>
    <w:rsid w:val="00311BB6"/>
    <w:rsid w:val="00312512"/>
    <w:rsid w:val="00313854"/>
    <w:rsid w:val="00313A58"/>
    <w:rsid w:val="00314842"/>
    <w:rsid w:val="003148DB"/>
    <w:rsid w:val="00314A1B"/>
    <w:rsid w:val="00314BD0"/>
    <w:rsid w:val="00314E61"/>
    <w:rsid w:val="00315BD3"/>
    <w:rsid w:val="003163F9"/>
    <w:rsid w:val="00316925"/>
    <w:rsid w:val="00316A8E"/>
    <w:rsid w:val="0031723E"/>
    <w:rsid w:val="00317BAB"/>
    <w:rsid w:val="0032211A"/>
    <w:rsid w:val="00323CBE"/>
    <w:rsid w:val="00323E4E"/>
    <w:rsid w:val="003251AB"/>
    <w:rsid w:val="00325338"/>
    <w:rsid w:val="00325BDB"/>
    <w:rsid w:val="003269BE"/>
    <w:rsid w:val="00327A0D"/>
    <w:rsid w:val="00330249"/>
    <w:rsid w:val="00330B35"/>
    <w:rsid w:val="00330F1D"/>
    <w:rsid w:val="00331750"/>
    <w:rsid w:val="00331794"/>
    <w:rsid w:val="00331D04"/>
    <w:rsid w:val="00331EDE"/>
    <w:rsid w:val="0033225A"/>
    <w:rsid w:val="0033341D"/>
    <w:rsid w:val="00334EB4"/>
    <w:rsid w:val="00334F3D"/>
    <w:rsid w:val="00336180"/>
    <w:rsid w:val="003375A8"/>
    <w:rsid w:val="003377C2"/>
    <w:rsid w:val="00337CEF"/>
    <w:rsid w:val="00337DCC"/>
    <w:rsid w:val="00340F86"/>
    <w:rsid w:val="0034125F"/>
    <w:rsid w:val="00341FBC"/>
    <w:rsid w:val="003421C9"/>
    <w:rsid w:val="0034280F"/>
    <w:rsid w:val="00342898"/>
    <w:rsid w:val="00342B76"/>
    <w:rsid w:val="00342CBC"/>
    <w:rsid w:val="00343616"/>
    <w:rsid w:val="00343ACA"/>
    <w:rsid w:val="00343D16"/>
    <w:rsid w:val="0034425A"/>
    <w:rsid w:val="003443AC"/>
    <w:rsid w:val="0034499B"/>
    <w:rsid w:val="003451D6"/>
    <w:rsid w:val="00345748"/>
    <w:rsid w:val="00345774"/>
    <w:rsid w:val="00345BD5"/>
    <w:rsid w:val="003460C7"/>
    <w:rsid w:val="003463AD"/>
    <w:rsid w:val="0034747B"/>
    <w:rsid w:val="00347B8F"/>
    <w:rsid w:val="0035040D"/>
    <w:rsid w:val="00350B44"/>
    <w:rsid w:val="003511F7"/>
    <w:rsid w:val="0035135A"/>
    <w:rsid w:val="003513F2"/>
    <w:rsid w:val="0035141F"/>
    <w:rsid w:val="00351D96"/>
    <w:rsid w:val="00351FED"/>
    <w:rsid w:val="00352B6F"/>
    <w:rsid w:val="00352FAC"/>
    <w:rsid w:val="003537A8"/>
    <w:rsid w:val="003537E3"/>
    <w:rsid w:val="00354329"/>
    <w:rsid w:val="00354753"/>
    <w:rsid w:val="00354B9C"/>
    <w:rsid w:val="00355293"/>
    <w:rsid w:val="00355734"/>
    <w:rsid w:val="00355E8C"/>
    <w:rsid w:val="00356C9A"/>
    <w:rsid w:val="0035756A"/>
    <w:rsid w:val="00360AA5"/>
    <w:rsid w:val="003612F5"/>
    <w:rsid w:val="00361350"/>
    <w:rsid w:val="00361891"/>
    <w:rsid w:val="00361947"/>
    <w:rsid w:val="00362065"/>
    <w:rsid w:val="003623EE"/>
    <w:rsid w:val="003641D9"/>
    <w:rsid w:val="00364229"/>
    <w:rsid w:val="003652BE"/>
    <w:rsid w:val="003652CD"/>
    <w:rsid w:val="00365652"/>
    <w:rsid w:val="0036578A"/>
    <w:rsid w:val="00365CE9"/>
    <w:rsid w:val="00365F35"/>
    <w:rsid w:val="003667B1"/>
    <w:rsid w:val="00367138"/>
    <w:rsid w:val="003672D0"/>
    <w:rsid w:val="00367A74"/>
    <w:rsid w:val="003703B4"/>
    <w:rsid w:val="003703DE"/>
    <w:rsid w:val="003717E6"/>
    <w:rsid w:val="00371BEF"/>
    <w:rsid w:val="003724A3"/>
    <w:rsid w:val="00372771"/>
    <w:rsid w:val="00372971"/>
    <w:rsid w:val="00372F87"/>
    <w:rsid w:val="0037378B"/>
    <w:rsid w:val="00373796"/>
    <w:rsid w:val="00373A47"/>
    <w:rsid w:val="00373E09"/>
    <w:rsid w:val="00374BB4"/>
    <w:rsid w:val="0037501F"/>
    <w:rsid w:val="003758C3"/>
    <w:rsid w:val="003765C0"/>
    <w:rsid w:val="0037686B"/>
    <w:rsid w:val="00376A98"/>
    <w:rsid w:val="003772B6"/>
    <w:rsid w:val="00377305"/>
    <w:rsid w:val="003808DB"/>
    <w:rsid w:val="00380BF5"/>
    <w:rsid w:val="00380ED7"/>
    <w:rsid w:val="003811A0"/>
    <w:rsid w:val="0038156C"/>
    <w:rsid w:val="00381783"/>
    <w:rsid w:val="0038291A"/>
    <w:rsid w:val="00383A83"/>
    <w:rsid w:val="0038506F"/>
    <w:rsid w:val="00385250"/>
    <w:rsid w:val="0038579A"/>
    <w:rsid w:val="003857D6"/>
    <w:rsid w:val="00385824"/>
    <w:rsid w:val="00386451"/>
    <w:rsid w:val="00386D6F"/>
    <w:rsid w:val="00387180"/>
    <w:rsid w:val="0039006E"/>
    <w:rsid w:val="00390217"/>
    <w:rsid w:val="00390BC7"/>
    <w:rsid w:val="00390F83"/>
    <w:rsid w:val="003919F6"/>
    <w:rsid w:val="003930E7"/>
    <w:rsid w:val="00393946"/>
    <w:rsid w:val="00393B82"/>
    <w:rsid w:val="00394FE7"/>
    <w:rsid w:val="003950BE"/>
    <w:rsid w:val="00395ECD"/>
    <w:rsid w:val="003967F0"/>
    <w:rsid w:val="00397141"/>
    <w:rsid w:val="00397AE7"/>
    <w:rsid w:val="00397CC5"/>
    <w:rsid w:val="003A001C"/>
    <w:rsid w:val="003A0C60"/>
    <w:rsid w:val="003A0EED"/>
    <w:rsid w:val="003A1A5D"/>
    <w:rsid w:val="003A2C30"/>
    <w:rsid w:val="003A2EF9"/>
    <w:rsid w:val="003A2F41"/>
    <w:rsid w:val="003A3F0B"/>
    <w:rsid w:val="003A4920"/>
    <w:rsid w:val="003A4D40"/>
    <w:rsid w:val="003A5D40"/>
    <w:rsid w:val="003A65EC"/>
    <w:rsid w:val="003A66BB"/>
    <w:rsid w:val="003A6B91"/>
    <w:rsid w:val="003A6EBA"/>
    <w:rsid w:val="003A78E0"/>
    <w:rsid w:val="003A7A34"/>
    <w:rsid w:val="003A7A39"/>
    <w:rsid w:val="003A7CB2"/>
    <w:rsid w:val="003B001D"/>
    <w:rsid w:val="003B00A6"/>
    <w:rsid w:val="003B0713"/>
    <w:rsid w:val="003B0D08"/>
    <w:rsid w:val="003B16BE"/>
    <w:rsid w:val="003B219F"/>
    <w:rsid w:val="003B26FD"/>
    <w:rsid w:val="003B2886"/>
    <w:rsid w:val="003B2B3E"/>
    <w:rsid w:val="003B2C99"/>
    <w:rsid w:val="003B3230"/>
    <w:rsid w:val="003B32ED"/>
    <w:rsid w:val="003B33A6"/>
    <w:rsid w:val="003B3AE7"/>
    <w:rsid w:val="003B45C4"/>
    <w:rsid w:val="003B563A"/>
    <w:rsid w:val="003B6330"/>
    <w:rsid w:val="003B6A3B"/>
    <w:rsid w:val="003B7BBF"/>
    <w:rsid w:val="003B7D9E"/>
    <w:rsid w:val="003B7EA8"/>
    <w:rsid w:val="003C0D2C"/>
    <w:rsid w:val="003C1869"/>
    <w:rsid w:val="003C2157"/>
    <w:rsid w:val="003C27D3"/>
    <w:rsid w:val="003C52B2"/>
    <w:rsid w:val="003C624E"/>
    <w:rsid w:val="003C7112"/>
    <w:rsid w:val="003C7931"/>
    <w:rsid w:val="003D02A0"/>
    <w:rsid w:val="003D073E"/>
    <w:rsid w:val="003D143B"/>
    <w:rsid w:val="003D1443"/>
    <w:rsid w:val="003D19E4"/>
    <w:rsid w:val="003D2B42"/>
    <w:rsid w:val="003D2B50"/>
    <w:rsid w:val="003D2CF7"/>
    <w:rsid w:val="003D3376"/>
    <w:rsid w:val="003D3F81"/>
    <w:rsid w:val="003D4020"/>
    <w:rsid w:val="003D40D6"/>
    <w:rsid w:val="003D41C4"/>
    <w:rsid w:val="003D4E17"/>
    <w:rsid w:val="003D53AD"/>
    <w:rsid w:val="003D58D3"/>
    <w:rsid w:val="003D6168"/>
    <w:rsid w:val="003D6600"/>
    <w:rsid w:val="003D6A06"/>
    <w:rsid w:val="003D7173"/>
    <w:rsid w:val="003D734F"/>
    <w:rsid w:val="003D7481"/>
    <w:rsid w:val="003D7AE3"/>
    <w:rsid w:val="003D7D8B"/>
    <w:rsid w:val="003E0691"/>
    <w:rsid w:val="003E0FAD"/>
    <w:rsid w:val="003E12DD"/>
    <w:rsid w:val="003E15A5"/>
    <w:rsid w:val="003E2AD4"/>
    <w:rsid w:val="003E380B"/>
    <w:rsid w:val="003E3CE2"/>
    <w:rsid w:val="003E3E68"/>
    <w:rsid w:val="003E4CE0"/>
    <w:rsid w:val="003E516E"/>
    <w:rsid w:val="003E51A4"/>
    <w:rsid w:val="003E572F"/>
    <w:rsid w:val="003E5B08"/>
    <w:rsid w:val="003E5B6D"/>
    <w:rsid w:val="003E6510"/>
    <w:rsid w:val="003E697F"/>
    <w:rsid w:val="003E6F58"/>
    <w:rsid w:val="003F05F2"/>
    <w:rsid w:val="003F073F"/>
    <w:rsid w:val="003F1082"/>
    <w:rsid w:val="003F1DA2"/>
    <w:rsid w:val="003F23E9"/>
    <w:rsid w:val="003F25AC"/>
    <w:rsid w:val="003F2876"/>
    <w:rsid w:val="003F34CA"/>
    <w:rsid w:val="003F3685"/>
    <w:rsid w:val="003F39E3"/>
    <w:rsid w:val="003F4DB6"/>
    <w:rsid w:val="003F517E"/>
    <w:rsid w:val="003F51F7"/>
    <w:rsid w:val="003F54AD"/>
    <w:rsid w:val="003F5538"/>
    <w:rsid w:val="003F5BDA"/>
    <w:rsid w:val="003F5CCA"/>
    <w:rsid w:val="003F5FCA"/>
    <w:rsid w:val="003F6107"/>
    <w:rsid w:val="003F6A03"/>
    <w:rsid w:val="003F706F"/>
    <w:rsid w:val="003F75C0"/>
    <w:rsid w:val="00400050"/>
    <w:rsid w:val="004004C3"/>
    <w:rsid w:val="004015DD"/>
    <w:rsid w:val="00401D2F"/>
    <w:rsid w:val="00401E7C"/>
    <w:rsid w:val="0040281F"/>
    <w:rsid w:val="0040305D"/>
    <w:rsid w:val="004038E3"/>
    <w:rsid w:val="0040449F"/>
    <w:rsid w:val="00405889"/>
    <w:rsid w:val="00406F0E"/>
    <w:rsid w:val="00410D4E"/>
    <w:rsid w:val="00410DD7"/>
    <w:rsid w:val="00410E6A"/>
    <w:rsid w:val="0041159C"/>
    <w:rsid w:val="0041183B"/>
    <w:rsid w:val="00411D7F"/>
    <w:rsid w:val="00411DB4"/>
    <w:rsid w:val="00412CAC"/>
    <w:rsid w:val="00413996"/>
    <w:rsid w:val="004140C5"/>
    <w:rsid w:val="004143D3"/>
    <w:rsid w:val="00414BC4"/>
    <w:rsid w:val="0041524F"/>
    <w:rsid w:val="00415929"/>
    <w:rsid w:val="0041689E"/>
    <w:rsid w:val="0041691D"/>
    <w:rsid w:val="00417374"/>
    <w:rsid w:val="0041759E"/>
    <w:rsid w:val="00420055"/>
    <w:rsid w:val="00420098"/>
    <w:rsid w:val="00420A08"/>
    <w:rsid w:val="00421799"/>
    <w:rsid w:val="00421869"/>
    <w:rsid w:val="0042187A"/>
    <w:rsid w:val="0042209A"/>
    <w:rsid w:val="004225AE"/>
    <w:rsid w:val="0042293D"/>
    <w:rsid w:val="00422BF2"/>
    <w:rsid w:val="004233A6"/>
    <w:rsid w:val="00423A78"/>
    <w:rsid w:val="00424B4F"/>
    <w:rsid w:val="00424BDB"/>
    <w:rsid w:val="0042523F"/>
    <w:rsid w:val="00425D0F"/>
    <w:rsid w:val="004272CE"/>
    <w:rsid w:val="004277D0"/>
    <w:rsid w:val="004277E8"/>
    <w:rsid w:val="00430117"/>
    <w:rsid w:val="004303BE"/>
    <w:rsid w:val="00431763"/>
    <w:rsid w:val="0043176F"/>
    <w:rsid w:val="004336E9"/>
    <w:rsid w:val="004340B6"/>
    <w:rsid w:val="00435B41"/>
    <w:rsid w:val="00435B4B"/>
    <w:rsid w:val="00436BA2"/>
    <w:rsid w:val="00437426"/>
    <w:rsid w:val="004377AE"/>
    <w:rsid w:val="00437DFD"/>
    <w:rsid w:val="00440335"/>
    <w:rsid w:val="00440353"/>
    <w:rsid w:val="00442F33"/>
    <w:rsid w:val="00442FA0"/>
    <w:rsid w:val="00443A78"/>
    <w:rsid w:val="00443B6D"/>
    <w:rsid w:val="00444409"/>
    <w:rsid w:val="00444D60"/>
    <w:rsid w:val="00445861"/>
    <w:rsid w:val="00445BBB"/>
    <w:rsid w:val="00446899"/>
    <w:rsid w:val="00446D2A"/>
    <w:rsid w:val="00447246"/>
    <w:rsid w:val="004500C4"/>
    <w:rsid w:val="004501EF"/>
    <w:rsid w:val="00450C12"/>
    <w:rsid w:val="00450DDA"/>
    <w:rsid w:val="004517AF"/>
    <w:rsid w:val="00451A24"/>
    <w:rsid w:val="00452898"/>
    <w:rsid w:val="00453494"/>
    <w:rsid w:val="00453984"/>
    <w:rsid w:val="0045442D"/>
    <w:rsid w:val="00454575"/>
    <w:rsid w:val="00454F0A"/>
    <w:rsid w:val="00454F55"/>
    <w:rsid w:val="00455479"/>
    <w:rsid w:val="0045586B"/>
    <w:rsid w:val="00455EEB"/>
    <w:rsid w:val="00456544"/>
    <w:rsid w:val="00456735"/>
    <w:rsid w:val="004569AA"/>
    <w:rsid w:val="0045725F"/>
    <w:rsid w:val="004603C5"/>
    <w:rsid w:val="00461240"/>
    <w:rsid w:val="0046195B"/>
    <w:rsid w:val="00461A08"/>
    <w:rsid w:val="00461CCD"/>
    <w:rsid w:val="004625A0"/>
    <w:rsid w:val="00462E81"/>
    <w:rsid w:val="00463112"/>
    <w:rsid w:val="004633E7"/>
    <w:rsid w:val="00463416"/>
    <w:rsid w:val="004643AD"/>
    <w:rsid w:val="00465391"/>
    <w:rsid w:val="00465FD2"/>
    <w:rsid w:val="00466089"/>
    <w:rsid w:val="00466408"/>
    <w:rsid w:val="00467560"/>
    <w:rsid w:val="00467C43"/>
    <w:rsid w:val="00470235"/>
    <w:rsid w:val="00470552"/>
    <w:rsid w:val="00470D2E"/>
    <w:rsid w:val="00471056"/>
    <w:rsid w:val="00471163"/>
    <w:rsid w:val="00471201"/>
    <w:rsid w:val="00472CAD"/>
    <w:rsid w:val="00474478"/>
    <w:rsid w:val="00474A5F"/>
    <w:rsid w:val="00474DE1"/>
    <w:rsid w:val="0047509C"/>
    <w:rsid w:val="004753EE"/>
    <w:rsid w:val="004754E2"/>
    <w:rsid w:val="0047564D"/>
    <w:rsid w:val="004756E1"/>
    <w:rsid w:val="00475E04"/>
    <w:rsid w:val="00475EA7"/>
    <w:rsid w:val="0047616B"/>
    <w:rsid w:val="004767BA"/>
    <w:rsid w:val="0047687B"/>
    <w:rsid w:val="004768EC"/>
    <w:rsid w:val="00480E8A"/>
    <w:rsid w:val="004810C0"/>
    <w:rsid w:val="004818FC"/>
    <w:rsid w:val="00482262"/>
    <w:rsid w:val="004824F9"/>
    <w:rsid w:val="004826B9"/>
    <w:rsid w:val="00482BC4"/>
    <w:rsid w:val="004831EE"/>
    <w:rsid w:val="004837F1"/>
    <w:rsid w:val="004844EB"/>
    <w:rsid w:val="00484692"/>
    <w:rsid w:val="004847B8"/>
    <w:rsid w:val="00484A0F"/>
    <w:rsid w:val="00485214"/>
    <w:rsid w:val="00485463"/>
    <w:rsid w:val="004857D9"/>
    <w:rsid w:val="004877E1"/>
    <w:rsid w:val="00487BBE"/>
    <w:rsid w:val="00487F3E"/>
    <w:rsid w:val="0049013D"/>
    <w:rsid w:val="00490503"/>
    <w:rsid w:val="004908E2"/>
    <w:rsid w:val="00490EB5"/>
    <w:rsid w:val="00490F50"/>
    <w:rsid w:val="004917B4"/>
    <w:rsid w:val="00491939"/>
    <w:rsid w:val="00491AF0"/>
    <w:rsid w:val="00491F4E"/>
    <w:rsid w:val="004920DC"/>
    <w:rsid w:val="004929D8"/>
    <w:rsid w:val="00492EF7"/>
    <w:rsid w:val="004932FD"/>
    <w:rsid w:val="00493490"/>
    <w:rsid w:val="00493C1A"/>
    <w:rsid w:val="00493F61"/>
    <w:rsid w:val="00495D84"/>
    <w:rsid w:val="00495DDF"/>
    <w:rsid w:val="00495E09"/>
    <w:rsid w:val="00496952"/>
    <w:rsid w:val="004973A9"/>
    <w:rsid w:val="004A02AB"/>
    <w:rsid w:val="004A05AF"/>
    <w:rsid w:val="004A0824"/>
    <w:rsid w:val="004A1B33"/>
    <w:rsid w:val="004A1C23"/>
    <w:rsid w:val="004A1EB4"/>
    <w:rsid w:val="004A21F2"/>
    <w:rsid w:val="004A3119"/>
    <w:rsid w:val="004A3826"/>
    <w:rsid w:val="004A3C72"/>
    <w:rsid w:val="004A3CAF"/>
    <w:rsid w:val="004A3F33"/>
    <w:rsid w:val="004A4C45"/>
    <w:rsid w:val="004A525D"/>
    <w:rsid w:val="004A555D"/>
    <w:rsid w:val="004A6584"/>
    <w:rsid w:val="004A78F8"/>
    <w:rsid w:val="004B1759"/>
    <w:rsid w:val="004B1E9E"/>
    <w:rsid w:val="004B2445"/>
    <w:rsid w:val="004B27C4"/>
    <w:rsid w:val="004B315C"/>
    <w:rsid w:val="004B3DD8"/>
    <w:rsid w:val="004B4F8A"/>
    <w:rsid w:val="004B5CB9"/>
    <w:rsid w:val="004B625D"/>
    <w:rsid w:val="004B6410"/>
    <w:rsid w:val="004B67BC"/>
    <w:rsid w:val="004B6A06"/>
    <w:rsid w:val="004B6F1F"/>
    <w:rsid w:val="004B7CEC"/>
    <w:rsid w:val="004C0382"/>
    <w:rsid w:val="004C03FF"/>
    <w:rsid w:val="004C0722"/>
    <w:rsid w:val="004C0B4A"/>
    <w:rsid w:val="004C1677"/>
    <w:rsid w:val="004C193C"/>
    <w:rsid w:val="004C2756"/>
    <w:rsid w:val="004C2A4C"/>
    <w:rsid w:val="004C2B7D"/>
    <w:rsid w:val="004C3391"/>
    <w:rsid w:val="004C3839"/>
    <w:rsid w:val="004C3C92"/>
    <w:rsid w:val="004C3E09"/>
    <w:rsid w:val="004C423D"/>
    <w:rsid w:val="004C49E7"/>
    <w:rsid w:val="004C55CE"/>
    <w:rsid w:val="004C600F"/>
    <w:rsid w:val="004C60AF"/>
    <w:rsid w:val="004C6171"/>
    <w:rsid w:val="004C654F"/>
    <w:rsid w:val="004C666B"/>
    <w:rsid w:val="004C6A2A"/>
    <w:rsid w:val="004C6EFB"/>
    <w:rsid w:val="004C70DF"/>
    <w:rsid w:val="004C7171"/>
    <w:rsid w:val="004C7561"/>
    <w:rsid w:val="004C7C26"/>
    <w:rsid w:val="004D03D5"/>
    <w:rsid w:val="004D047B"/>
    <w:rsid w:val="004D0569"/>
    <w:rsid w:val="004D0A28"/>
    <w:rsid w:val="004D1382"/>
    <w:rsid w:val="004D16EE"/>
    <w:rsid w:val="004D1A5B"/>
    <w:rsid w:val="004D1E2F"/>
    <w:rsid w:val="004D2490"/>
    <w:rsid w:val="004D2939"/>
    <w:rsid w:val="004D35CE"/>
    <w:rsid w:val="004D36E7"/>
    <w:rsid w:val="004D4168"/>
    <w:rsid w:val="004D4395"/>
    <w:rsid w:val="004D4933"/>
    <w:rsid w:val="004D5B5F"/>
    <w:rsid w:val="004D6686"/>
    <w:rsid w:val="004D68E4"/>
    <w:rsid w:val="004D690F"/>
    <w:rsid w:val="004D6EC8"/>
    <w:rsid w:val="004D6FF0"/>
    <w:rsid w:val="004D7E72"/>
    <w:rsid w:val="004D7F1D"/>
    <w:rsid w:val="004E0235"/>
    <w:rsid w:val="004E04A9"/>
    <w:rsid w:val="004E08CC"/>
    <w:rsid w:val="004E1120"/>
    <w:rsid w:val="004E16AD"/>
    <w:rsid w:val="004E1AEC"/>
    <w:rsid w:val="004E20EC"/>
    <w:rsid w:val="004E27BB"/>
    <w:rsid w:val="004E28C9"/>
    <w:rsid w:val="004E3D21"/>
    <w:rsid w:val="004E4049"/>
    <w:rsid w:val="004E4F0A"/>
    <w:rsid w:val="004E576E"/>
    <w:rsid w:val="004E57F8"/>
    <w:rsid w:val="004E59E0"/>
    <w:rsid w:val="004E5AC5"/>
    <w:rsid w:val="004E6031"/>
    <w:rsid w:val="004E6C6E"/>
    <w:rsid w:val="004E7235"/>
    <w:rsid w:val="004E73C4"/>
    <w:rsid w:val="004F0083"/>
    <w:rsid w:val="004F02F3"/>
    <w:rsid w:val="004F038B"/>
    <w:rsid w:val="004F1B07"/>
    <w:rsid w:val="004F293F"/>
    <w:rsid w:val="004F38EA"/>
    <w:rsid w:val="004F4F10"/>
    <w:rsid w:val="004F50F9"/>
    <w:rsid w:val="004F5109"/>
    <w:rsid w:val="004F5805"/>
    <w:rsid w:val="004F581C"/>
    <w:rsid w:val="004F6BB9"/>
    <w:rsid w:val="004F715E"/>
    <w:rsid w:val="004F7A66"/>
    <w:rsid w:val="004F7D84"/>
    <w:rsid w:val="005008E4"/>
    <w:rsid w:val="005009AD"/>
    <w:rsid w:val="00501394"/>
    <w:rsid w:val="005020D3"/>
    <w:rsid w:val="0050265E"/>
    <w:rsid w:val="00505552"/>
    <w:rsid w:val="00505ABB"/>
    <w:rsid w:val="00505C07"/>
    <w:rsid w:val="00505DC9"/>
    <w:rsid w:val="005061B4"/>
    <w:rsid w:val="005062E3"/>
    <w:rsid w:val="00506F18"/>
    <w:rsid w:val="00507EFB"/>
    <w:rsid w:val="00512B0F"/>
    <w:rsid w:val="00514E3C"/>
    <w:rsid w:val="0051595E"/>
    <w:rsid w:val="00515B83"/>
    <w:rsid w:val="00515BEC"/>
    <w:rsid w:val="00516623"/>
    <w:rsid w:val="00517113"/>
    <w:rsid w:val="00517633"/>
    <w:rsid w:val="005203F7"/>
    <w:rsid w:val="00521598"/>
    <w:rsid w:val="00521698"/>
    <w:rsid w:val="00521C8E"/>
    <w:rsid w:val="00522EE3"/>
    <w:rsid w:val="00523D5D"/>
    <w:rsid w:val="00524B34"/>
    <w:rsid w:val="00524CD5"/>
    <w:rsid w:val="00524E15"/>
    <w:rsid w:val="005259C1"/>
    <w:rsid w:val="00525E6C"/>
    <w:rsid w:val="0052679F"/>
    <w:rsid w:val="005269D2"/>
    <w:rsid w:val="00526A1C"/>
    <w:rsid w:val="00527370"/>
    <w:rsid w:val="00527A91"/>
    <w:rsid w:val="0053008F"/>
    <w:rsid w:val="005302AC"/>
    <w:rsid w:val="0053039A"/>
    <w:rsid w:val="005303E7"/>
    <w:rsid w:val="0053080F"/>
    <w:rsid w:val="00530A60"/>
    <w:rsid w:val="00530C7A"/>
    <w:rsid w:val="005312B6"/>
    <w:rsid w:val="0053232A"/>
    <w:rsid w:val="00532BA1"/>
    <w:rsid w:val="00534238"/>
    <w:rsid w:val="005344D4"/>
    <w:rsid w:val="00534C0D"/>
    <w:rsid w:val="0053565C"/>
    <w:rsid w:val="00535CAF"/>
    <w:rsid w:val="005364AC"/>
    <w:rsid w:val="0053678E"/>
    <w:rsid w:val="00537D1F"/>
    <w:rsid w:val="00540068"/>
    <w:rsid w:val="005413E3"/>
    <w:rsid w:val="005429E8"/>
    <w:rsid w:val="00543204"/>
    <w:rsid w:val="005447DA"/>
    <w:rsid w:val="0054490B"/>
    <w:rsid w:val="00544CAA"/>
    <w:rsid w:val="005479CE"/>
    <w:rsid w:val="00547A55"/>
    <w:rsid w:val="005508D8"/>
    <w:rsid w:val="00550D37"/>
    <w:rsid w:val="00552270"/>
    <w:rsid w:val="00552281"/>
    <w:rsid w:val="005524C1"/>
    <w:rsid w:val="00552D24"/>
    <w:rsid w:val="005536D2"/>
    <w:rsid w:val="0055454F"/>
    <w:rsid w:val="00554CC0"/>
    <w:rsid w:val="005550DC"/>
    <w:rsid w:val="00555C32"/>
    <w:rsid w:val="00555FAB"/>
    <w:rsid w:val="00556FBF"/>
    <w:rsid w:val="005603D0"/>
    <w:rsid w:val="005604B5"/>
    <w:rsid w:val="00561C41"/>
    <w:rsid w:val="005622E2"/>
    <w:rsid w:val="0056312D"/>
    <w:rsid w:val="005640F1"/>
    <w:rsid w:val="00564269"/>
    <w:rsid w:val="00564452"/>
    <w:rsid w:val="005647AC"/>
    <w:rsid w:val="0056543B"/>
    <w:rsid w:val="00565618"/>
    <w:rsid w:val="00565ED4"/>
    <w:rsid w:val="00566150"/>
    <w:rsid w:val="0056663B"/>
    <w:rsid w:val="0057010B"/>
    <w:rsid w:val="00570780"/>
    <w:rsid w:val="00570892"/>
    <w:rsid w:val="00571D26"/>
    <w:rsid w:val="005723D4"/>
    <w:rsid w:val="00572934"/>
    <w:rsid w:val="005736DB"/>
    <w:rsid w:val="00575D58"/>
    <w:rsid w:val="00576666"/>
    <w:rsid w:val="0057667E"/>
    <w:rsid w:val="00576C5D"/>
    <w:rsid w:val="005771E3"/>
    <w:rsid w:val="00580A61"/>
    <w:rsid w:val="00580E72"/>
    <w:rsid w:val="0058171C"/>
    <w:rsid w:val="00581A80"/>
    <w:rsid w:val="005821E9"/>
    <w:rsid w:val="0058256C"/>
    <w:rsid w:val="00583873"/>
    <w:rsid w:val="00584535"/>
    <w:rsid w:val="00585756"/>
    <w:rsid w:val="00585F28"/>
    <w:rsid w:val="0058652A"/>
    <w:rsid w:val="00586EC9"/>
    <w:rsid w:val="00586F35"/>
    <w:rsid w:val="0058770F"/>
    <w:rsid w:val="00587F68"/>
    <w:rsid w:val="00590BA3"/>
    <w:rsid w:val="00590FBA"/>
    <w:rsid w:val="005911A2"/>
    <w:rsid w:val="00591824"/>
    <w:rsid w:val="00591F23"/>
    <w:rsid w:val="0059458B"/>
    <w:rsid w:val="00594ED4"/>
    <w:rsid w:val="005956FB"/>
    <w:rsid w:val="00595A37"/>
    <w:rsid w:val="00596264"/>
    <w:rsid w:val="0059642C"/>
    <w:rsid w:val="005973E0"/>
    <w:rsid w:val="005979F1"/>
    <w:rsid w:val="005A1082"/>
    <w:rsid w:val="005A13B2"/>
    <w:rsid w:val="005A1A26"/>
    <w:rsid w:val="005A2383"/>
    <w:rsid w:val="005A3BDF"/>
    <w:rsid w:val="005A43B5"/>
    <w:rsid w:val="005A63C0"/>
    <w:rsid w:val="005A6822"/>
    <w:rsid w:val="005B023F"/>
    <w:rsid w:val="005B050B"/>
    <w:rsid w:val="005B2138"/>
    <w:rsid w:val="005B2761"/>
    <w:rsid w:val="005B2EFB"/>
    <w:rsid w:val="005B3913"/>
    <w:rsid w:val="005B3EC8"/>
    <w:rsid w:val="005B3F41"/>
    <w:rsid w:val="005B3F88"/>
    <w:rsid w:val="005B4CF3"/>
    <w:rsid w:val="005B4F86"/>
    <w:rsid w:val="005B5526"/>
    <w:rsid w:val="005B648F"/>
    <w:rsid w:val="005B7BDD"/>
    <w:rsid w:val="005B7D11"/>
    <w:rsid w:val="005C0591"/>
    <w:rsid w:val="005C0DFC"/>
    <w:rsid w:val="005C13A4"/>
    <w:rsid w:val="005C16A0"/>
    <w:rsid w:val="005C30A1"/>
    <w:rsid w:val="005C3B8B"/>
    <w:rsid w:val="005C43EC"/>
    <w:rsid w:val="005C4E5A"/>
    <w:rsid w:val="005C569D"/>
    <w:rsid w:val="005C5B8A"/>
    <w:rsid w:val="005C6629"/>
    <w:rsid w:val="005C7540"/>
    <w:rsid w:val="005D05B9"/>
    <w:rsid w:val="005D0795"/>
    <w:rsid w:val="005D105C"/>
    <w:rsid w:val="005D1990"/>
    <w:rsid w:val="005D2055"/>
    <w:rsid w:val="005D2058"/>
    <w:rsid w:val="005D2577"/>
    <w:rsid w:val="005D2A96"/>
    <w:rsid w:val="005D3FC2"/>
    <w:rsid w:val="005D4BC2"/>
    <w:rsid w:val="005D5F0B"/>
    <w:rsid w:val="005D61DD"/>
    <w:rsid w:val="005D62FA"/>
    <w:rsid w:val="005D7349"/>
    <w:rsid w:val="005D7461"/>
    <w:rsid w:val="005E0227"/>
    <w:rsid w:val="005E109C"/>
    <w:rsid w:val="005E131A"/>
    <w:rsid w:val="005E27BB"/>
    <w:rsid w:val="005E3569"/>
    <w:rsid w:val="005E39B7"/>
    <w:rsid w:val="005E3EF7"/>
    <w:rsid w:val="005E4021"/>
    <w:rsid w:val="005E42BA"/>
    <w:rsid w:val="005E49A9"/>
    <w:rsid w:val="005E66A6"/>
    <w:rsid w:val="005E67B0"/>
    <w:rsid w:val="005E6EA0"/>
    <w:rsid w:val="005E7948"/>
    <w:rsid w:val="005F0038"/>
    <w:rsid w:val="005F136E"/>
    <w:rsid w:val="005F27B2"/>
    <w:rsid w:val="005F298C"/>
    <w:rsid w:val="005F2E50"/>
    <w:rsid w:val="005F2F63"/>
    <w:rsid w:val="005F2F6A"/>
    <w:rsid w:val="005F4492"/>
    <w:rsid w:val="005F4E32"/>
    <w:rsid w:val="005F4FDD"/>
    <w:rsid w:val="005F5A97"/>
    <w:rsid w:val="005F7752"/>
    <w:rsid w:val="005F7966"/>
    <w:rsid w:val="006005E3"/>
    <w:rsid w:val="00600835"/>
    <w:rsid w:val="006023E2"/>
    <w:rsid w:val="006029B6"/>
    <w:rsid w:val="0060356B"/>
    <w:rsid w:val="00603907"/>
    <w:rsid w:val="00603D8F"/>
    <w:rsid w:val="00604097"/>
    <w:rsid w:val="006044B1"/>
    <w:rsid w:val="006046A8"/>
    <w:rsid w:val="00605337"/>
    <w:rsid w:val="00605680"/>
    <w:rsid w:val="00605AE2"/>
    <w:rsid w:val="00606ED0"/>
    <w:rsid w:val="006078BD"/>
    <w:rsid w:val="00607EDC"/>
    <w:rsid w:val="00610158"/>
    <w:rsid w:val="006102F1"/>
    <w:rsid w:val="0061071B"/>
    <w:rsid w:val="00610A4C"/>
    <w:rsid w:val="00610AF4"/>
    <w:rsid w:val="006114A9"/>
    <w:rsid w:val="006134A6"/>
    <w:rsid w:val="00613698"/>
    <w:rsid w:val="00613D61"/>
    <w:rsid w:val="006140B1"/>
    <w:rsid w:val="006147B4"/>
    <w:rsid w:val="00614FC2"/>
    <w:rsid w:val="006155F9"/>
    <w:rsid w:val="00616A46"/>
    <w:rsid w:val="00617085"/>
    <w:rsid w:val="0061749C"/>
    <w:rsid w:val="00617A3E"/>
    <w:rsid w:val="00617C6D"/>
    <w:rsid w:val="006203F9"/>
    <w:rsid w:val="0062076E"/>
    <w:rsid w:val="00620E49"/>
    <w:rsid w:val="006215B5"/>
    <w:rsid w:val="00621807"/>
    <w:rsid w:val="00621CCA"/>
    <w:rsid w:val="00622249"/>
    <w:rsid w:val="00622B4F"/>
    <w:rsid w:val="00622C72"/>
    <w:rsid w:val="006231E3"/>
    <w:rsid w:val="00623862"/>
    <w:rsid w:val="00624186"/>
    <w:rsid w:val="00624880"/>
    <w:rsid w:val="0062525E"/>
    <w:rsid w:val="00626D18"/>
    <w:rsid w:val="00627013"/>
    <w:rsid w:val="00627720"/>
    <w:rsid w:val="0063024C"/>
    <w:rsid w:val="0063078B"/>
    <w:rsid w:val="00631BEA"/>
    <w:rsid w:val="00631E09"/>
    <w:rsid w:val="00632BA9"/>
    <w:rsid w:val="006332D7"/>
    <w:rsid w:val="00633709"/>
    <w:rsid w:val="006337CF"/>
    <w:rsid w:val="006337E3"/>
    <w:rsid w:val="00633BD3"/>
    <w:rsid w:val="0063467D"/>
    <w:rsid w:val="00634B88"/>
    <w:rsid w:val="0063528A"/>
    <w:rsid w:val="0063622A"/>
    <w:rsid w:val="006363A8"/>
    <w:rsid w:val="0063668A"/>
    <w:rsid w:val="006367B4"/>
    <w:rsid w:val="00637696"/>
    <w:rsid w:val="0063770E"/>
    <w:rsid w:val="00637E59"/>
    <w:rsid w:val="00637E8B"/>
    <w:rsid w:val="00637FFA"/>
    <w:rsid w:val="006401CD"/>
    <w:rsid w:val="00640606"/>
    <w:rsid w:val="00641359"/>
    <w:rsid w:val="0064257D"/>
    <w:rsid w:val="006428E1"/>
    <w:rsid w:val="00642B82"/>
    <w:rsid w:val="00642C7D"/>
    <w:rsid w:val="00642F8C"/>
    <w:rsid w:val="00643E8B"/>
    <w:rsid w:val="00643F61"/>
    <w:rsid w:val="006444CC"/>
    <w:rsid w:val="0064457C"/>
    <w:rsid w:val="0064598E"/>
    <w:rsid w:val="00645CBA"/>
    <w:rsid w:val="0064696F"/>
    <w:rsid w:val="00646CEA"/>
    <w:rsid w:val="00646D45"/>
    <w:rsid w:val="00647A6D"/>
    <w:rsid w:val="00647C3E"/>
    <w:rsid w:val="006504E0"/>
    <w:rsid w:val="00650947"/>
    <w:rsid w:val="00650F26"/>
    <w:rsid w:val="006526D0"/>
    <w:rsid w:val="0065313D"/>
    <w:rsid w:val="00653859"/>
    <w:rsid w:val="0065559C"/>
    <w:rsid w:val="006558EB"/>
    <w:rsid w:val="00655B27"/>
    <w:rsid w:val="00656B8B"/>
    <w:rsid w:val="00657669"/>
    <w:rsid w:val="00657A80"/>
    <w:rsid w:val="00657C3D"/>
    <w:rsid w:val="00660553"/>
    <w:rsid w:val="006606A1"/>
    <w:rsid w:val="0066181F"/>
    <w:rsid w:val="00661E4C"/>
    <w:rsid w:val="00662052"/>
    <w:rsid w:val="006622F9"/>
    <w:rsid w:val="00662629"/>
    <w:rsid w:val="006628F6"/>
    <w:rsid w:val="006629BD"/>
    <w:rsid w:val="00662CF2"/>
    <w:rsid w:val="006630FD"/>
    <w:rsid w:val="006633A9"/>
    <w:rsid w:val="00663909"/>
    <w:rsid w:val="006639D6"/>
    <w:rsid w:val="006644E6"/>
    <w:rsid w:val="00664DBC"/>
    <w:rsid w:val="00665122"/>
    <w:rsid w:val="006653C1"/>
    <w:rsid w:val="00665715"/>
    <w:rsid w:val="00665967"/>
    <w:rsid w:val="00665CE2"/>
    <w:rsid w:val="0066610C"/>
    <w:rsid w:val="00666667"/>
    <w:rsid w:val="00666994"/>
    <w:rsid w:val="0066734A"/>
    <w:rsid w:val="00667E06"/>
    <w:rsid w:val="00670268"/>
    <w:rsid w:val="006702BB"/>
    <w:rsid w:val="00670717"/>
    <w:rsid w:val="00670A8D"/>
    <w:rsid w:val="00671F3F"/>
    <w:rsid w:val="00673223"/>
    <w:rsid w:val="00674366"/>
    <w:rsid w:val="00674469"/>
    <w:rsid w:val="00674997"/>
    <w:rsid w:val="00682529"/>
    <w:rsid w:val="006826E7"/>
    <w:rsid w:val="0068280D"/>
    <w:rsid w:val="00682EBE"/>
    <w:rsid w:val="00683678"/>
    <w:rsid w:val="00683A3A"/>
    <w:rsid w:val="00683CB8"/>
    <w:rsid w:val="00683E42"/>
    <w:rsid w:val="006842C3"/>
    <w:rsid w:val="00684357"/>
    <w:rsid w:val="00684615"/>
    <w:rsid w:val="00685348"/>
    <w:rsid w:val="00685CF3"/>
    <w:rsid w:val="0068659D"/>
    <w:rsid w:val="0068667D"/>
    <w:rsid w:val="0068712C"/>
    <w:rsid w:val="006876BA"/>
    <w:rsid w:val="006877AA"/>
    <w:rsid w:val="00687C16"/>
    <w:rsid w:val="0069100E"/>
    <w:rsid w:val="00691B27"/>
    <w:rsid w:val="0069298A"/>
    <w:rsid w:val="006929A8"/>
    <w:rsid w:val="00692DA2"/>
    <w:rsid w:val="00692EF6"/>
    <w:rsid w:val="00692F93"/>
    <w:rsid w:val="00693030"/>
    <w:rsid w:val="00693529"/>
    <w:rsid w:val="0069357B"/>
    <w:rsid w:val="00693B2D"/>
    <w:rsid w:val="00693D62"/>
    <w:rsid w:val="006945B8"/>
    <w:rsid w:val="00694899"/>
    <w:rsid w:val="0069559B"/>
    <w:rsid w:val="00695C3F"/>
    <w:rsid w:val="00695DEB"/>
    <w:rsid w:val="006960D8"/>
    <w:rsid w:val="006969C2"/>
    <w:rsid w:val="00696C3C"/>
    <w:rsid w:val="00696D3A"/>
    <w:rsid w:val="00697E73"/>
    <w:rsid w:val="00697F7F"/>
    <w:rsid w:val="006A01A6"/>
    <w:rsid w:val="006A0C33"/>
    <w:rsid w:val="006A1C6D"/>
    <w:rsid w:val="006A23E0"/>
    <w:rsid w:val="006A42DC"/>
    <w:rsid w:val="006A44A7"/>
    <w:rsid w:val="006A56DF"/>
    <w:rsid w:val="006A6744"/>
    <w:rsid w:val="006A798B"/>
    <w:rsid w:val="006A7CA1"/>
    <w:rsid w:val="006B024B"/>
    <w:rsid w:val="006B0455"/>
    <w:rsid w:val="006B109F"/>
    <w:rsid w:val="006B1317"/>
    <w:rsid w:val="006B1910"/>
    <w:rsid w:val="006B20FD"/>
    <w:rsid w:val="006B27B2"/>
    <w:rsid w:val="006B2829"/>
    <w:rsid w:val="006B2E88"/>
    <w:rsid w:val="006B3AE1"/>
    <w:rsid w:val="006B52B6"/>
    <w:rsid w:val="006B5BBC"/>
    <w:rsid w:val="006B6F73"/>
    <w:rsid w:val="006B77EA"/>
    <w:rsid w:val="006B7A18"/>
    <w:rsid w:val="006C0643"/>
    <w:rsid w:val="006C08A6"/>
    <w:rsid w:val="006C0A3E"/>
    <w:rsid w:val="006C1DD8"/>
    <w:rsid w:val="006C2418"/>
    <w:rsid w:val="006C3FDD"/>
    <w:rsid w:val="006C4612"/>
    <w:rsid w:val="006C4B9B"/>
    <w:rsid w:val="006C4BF6"/>
    <w:rsid w:val="006C4F2A"/>
    <w:rsid w:val="006C5EBA"/>
    <w:rsid w:val="006C6BDF"/>
    <w:rsid w:val="006C6E66"/>
    <w:rsid w:val="006D26AF"/>
    <w:rsid w:val="006D3EBC"/>
    <w:rsid w:val="006D4084"/>
    <w:rsid w:val="006D4A0D"/>
    <w:rsid w:val="006D4A69"/>
    <w:rsid w:val="006D4BD7"/>
    <w:rsid w:val="006D6033"/>
    <w:rsid w:val="006D7073"/>
    <w:rsid w:val="006D7726"/>
    <w:rsid w:val="006D7887"/>
    <w:rsid w:val="006D7E6F"/>
    <w:rsid w:val="006E005E"/>
    <w:rsid w:val="006E01A4"/>
    <w:rsid w:val="006E02D2"/>
    <w:rsid w:val="006E139B"/>
    <w:rsid w:val="006E1489"/>
    <w:rsid w:val="006E2106"/>
    <w:rsid w:val="006E221B"/>
    <w:rsid w:val="006E23AE"/>
    <w:rsid w:val="006E24B7"/>
    <w:rsid w:val="006E327E"/>
    <w:rsid w:val="006E3371"/>
    <w:rsid w:val="006E3546"/>
    <w:rsid w:val="006E421B"/>
    <w:rsid w:val="006E4A7A"/>
    <w:rsid w:val="006E4F71"/>
    <w:rsid w:val="006E58E9"/>
    <w:rsid w:val="006E58F9"/>
    <w:rsid w:val="006E632D"/>
    <w:rsid w:val="006E63B6"/>
    <w:rsid w:val="006E6C93"/>
    <w:rsid w:val="006E7FAD"/>
    <w:rsid w:val="006F1497"/>
    <w:rsid w:val="006F151A"/>
    <w:rsid w:val="006F1C29"/>
    <w:rsid w:val="006F2060"/>
    <w:rsid w:val="006F2BD0"/>
    <w:rsid w:val="006F305B"/>
    <w:rsid w:val="006F337B"/>
    <w:rsid w:val="006F42CB"/>
    <w:rsid w:val="006F4F4F"/>
    <w:rsid w:val="006F5C9D"/>
    <w:rsid w:val="006F659D"/>
    <w:rsid w:val="006F6BD0"/>
    <w:rsid w:val="006F7642"/>
    <w:rsid w:val="006F7B76"/>
    <w:rsid w:val="007000E6"/>
    <w:rsid w:val="00700208"/>
    <w:rsid w:val="00700735"/>
    <w:rsid w:val="00700811"/>
    <w:rsid w:val="00700C24"/>
    <w:rsid w:val="007031AC"/>
    <w:rsid w:val="007033DF"/>
    <w:rsid w:val="007035A4"/>
    <w:rsid w:val="007039D1"/>
    <w:rsid w:val="00703C51"/>
    <w:rsid w:val="00704A2D"/>
    <w:rsid w:val="00704EEF"/>
    <w:rsid w:val="00705889"/>
    <w:rsid w:val="007064BB"/>
    <w:rsid w:val="00706534"/>
    <w:rsid w:val="0070660C"/>
    <w:rsid w:val="00706A3F"/>
    <w:rsid w:val="0070717C"/>
    <w:rsid w:val="007072D4"/>
    <w:rsid w:val="007073C4"/>
    <w:rsid w:val="00707C91"/>
    <w:rsid w:val="00710938"/>
    <w:rsid w:val="00710CFD"/>
    <w:rsid w:val="007116B1"/>
    <w:rsid w:val="00711DF9"/>
    <w:rsid w:val="0071230F"/>
    <w:rsid w:val="00712D86"/>
    <w:rsid w:val="007137F2"/>
    <w:rsid w:val="00714A12"/>
    <w:rsid w:val="00714E9D"/>
    <w:rsid w:val="00716F47"/>
    <w:rsid w:val="00717860"/>
    <w:rsid w:val="00717EF7"/>
    <w:rsid w:val="00717F23"/>
    <w:rsid w:val="007202BF"/>
    <w:rsid w:val="0072061E"/>
    <w:rsid w:val="0072099C"/>
    <w:rsid w:val="007210BA"/>
    <w:rsid w:val="00721B5B"/>
    <w:rsid w:val="00721E3E"/>
    <w:rsid w:val="0072291C"/>
    <w:rsid w:val="00722D47"/>
    <w:rsid w:val="007238EE"/>
    <w:rsid w:val="00723BFE"/>
    <w:rsid w:val="00724A9E"/>
    <w:rsid w:val="00724AE0"/>
    <w:rsid w:val="00725A1F"/>
    <w:rsid w:val="007262DF"/>
    <w:rsid w:val="00726840"/>
    <w:rsid w:val="00726D34"/>
    <w:rsid w:val="00726F8F"/>
    <w:rsid w:val="00727034"/>
    <w:rsid w:val="00727165"/>
    <w:rsid w:val="00727BDB"/>
    <w:rsid w:val="00727CCD"/>
    <w:rsid w:val="00727F64"/>
    <w:rsid w:val="007306FF"/>
    <w:rsid w:val="00730915"/>
    <w:rsid w:val="007315F1"/>
    <w:rsid w:val="007316BE"/>
    <w:rsid w:val="00731A0C"/>
    <w:rsid w:val="007324F5"/>
    <w:rsid w:val="00732687"/>
    <w:rsid w:val="00732BBC"/>
    <w:rsid w:val="007331B1"/>
    <w:rsid w:val="007338FD"/>
    <w:rsid w:val="00733C96"/>
    <w:rsid w:val="0073403F"/>
    <w:rsid w:val="007350A9"/>
    <w:rsid w:val="007358D3"/>
    <w:rsid w:val="00736534"/>
    <w:rsid w:val="00737253"/>
    <w:rsid w:val="007427CD"/>
    <w:rsid w:val="00742948"/>
    <w:rsid w:val="00742A32"/>
    <w:rsid w:val="00742F8B"/>
    <w:rsid w:val="0074305F"/>
    <w:rsid w:val="00743CF4"/>
    <w:rsid w:val="00745054"/>
    <w:rsid w:val="00746467"/>
    <w:rsid w:val="00746757"/>
    <w:rsid w:val="0074677F"/>
    <w:rsid w:val="0074787C"/>
    <w:rsid w:val="00750494"/>
    <w:rsid w:val="007514DD"/>
    <w:rsid w:val="007519D5"/>
    <w:rsid w:val="007523FE"/>
    <w:rsid w:val="00752716"/>
    <w:rsid w:val="00752910"/>
    <w:rsid w:val="00752E2C"/>
    <w:rsid w:val="00752F14"/>
    <w:rsid w:val="00753343"/>
    <w:rsid w:val="00754834"/>
    <w:rsid w:val="00754E82"/>
    <w:rsid w:val="00755303"/>
    <w:rsid w:val="0075596B"/>
    <w:rsid w:val="0075597E"/>
    <w:rsid w:val="00755A5D"/>
    <w:rsid w:val="00755CEF"/>
    <w:rsid w:val="0075628B"/>
    <w:rsid w:val="00756694"/>
    <w:rsid w:val="00756D3F"/>
    <w:rsid w:val="007572E9"/>
    <w:rsid w:val="00757693"/>
    <w:rsid w:val="00757A15"/>
    <w:rsid w:val="00757B89"/>
    <w:rsid w:val="00757EC9"/>
    <w:rsid w:val="007602F9"/>
    <w:rsid w:val="007607FF"/>
    <w:rsid w:val="007608DE"/>
    <w:rsid w:val="007609B3"/>
    <w:rsid w:val="00760D6A"/>
    <w:rsid w:val="00760E7B"/>
    <w:rsid w:val="0076122B"/>
    <w:rsid w:val="00762F2D"/>
    <w:rsid w:val="00764159"/>
    <w:rsid w:val="00764E28"/>
    <w:rsid w:val="007653EC"/>
    <w:rsid w:val="00765526"/>
    <w:rsid w:val="00765F0B"/>
    <w:rsid w:val="0076688D"/>
    <w:rsid w:val="00767AB6"/>
    <w:rsid w:val="00767B9D"/>
    <w:rsid w:val="00767FA2"/>
    <w:rsid w:val="00770687"/>
    <w:rsid w:val="007708A6"/>
    <w:rsid w:val="0077091D"/>
    <w:rsid w:val="00770CAB"/>
    <w:rsid w:val="00770EB0"/>
    <w:rsid w:val="00770F34"/>
    <w:rsid w:val="00770FA6"/>
    <w:rsid w:val="007710D5"/>
    <w:rsid w:val="007749B5"/>
    <w:rsid w:val="00774E20"/>
    <w:rsid w:val="00775072"/>
    <w:rsid w:val="00775523"/>
    <w:rsid w:val="007761AA"/>
    <w:rsid w:val="00776269"/>
    <w:rsid w:val="00776CD8"/>
    <w:rsid w:val="007777A8"/>
    <w:rsid w:val="00777B94"/>
    <w:rsid w:val="00780B7B"/>
    <w:rsid w:val="00780EE7"/>
    <w:rsid w:val="00781421"/>
    <w:rsid w:val="00781A21"/>
    <w:rsid w:val="00783132"/>
    <w:rsid w:val="00783B3A"/>
    <w:rsid w:val="007841DE"/>
    <w:rsid w:val="0078483F"/>
    <w:rsid w:val="00784A55"/>
    <w:rsid w:val="007855CC"/>
    <w:rsid w:val="00785A7A"/>
    <w:rsid w:val="007860BF"/>
    <w:rsid w:val="007862C0"/>
    <w:rsid w:val="00786947"/>
    <w:rsid w:val="00786F51"/>
    <w:rsid w:val="00787263"/>
    <w:rsid w:val="007879A6"/>
    <w:rsid w:val="0079071D"/>
    <w:rsid w:val="00790F42"/>
    <w:rsid w:val="007916D1"/>
    <w:rsid w:val="00791C84"/>
    <w:rsid w:val="007921FF"/>
    <w:rsid w:val="00792653"/>
    <w:rsid w:val="007927C3"/>
    <w:rsid w:val="00792AE7"/>
    <w:rsid w:val="00792CE8"/>
    <w:rsid w:val="00794444"/>
    <w:rsid w:val="00794ACE"/>
    <w:rsid w:val="00795054"/>
    <w:rsid w:val="007955FD"/>
    <w:rsid w:val="007956C6"/>
    <w:rsid w:val="00795F1D"/>
    <w:rsid w:val="00796CB7"/>
    <w:rsid w:val="00797743"/>
    <w:rsid w:val="007A07E3"/>
    <w:rsid w:val="007A1593"/>
    <w:rsid w:val="007A17F2"/>
    <w:rsid w:val="007A1B4C"/>
    <w:rsid w:val="007A2E8F"/>
    <w:rsid w:val="007A3D27"/>
    <w:rsid w:val="007A41A6"/>
    <w:rsid w:val="007A4211"/>
    <w:rsid w:val="007A48DB"/>
    <w:rsid w:val="007A492A"/>
    <w:rsid w:val="007A495A"/>
    <w:rsid w:val="007A4D0A"/>
    <w:rsid w:val="007A77AE"/>
    <w:rsid w:val="007A7C5D"/>
    <w:rsid w:val="007B0529"/>
    <w:rsid w:val="007B0A3D"/>
    <w:rsid w:val="007B1A00"/>
    <w:rsid w:val="007B1C70"/>
    <w:rsid w:val="007B20B2"/>
    <w:rsid w:val="007B2259"/>
    <w:rsid w:val="007B231A"/>
    <w:rsid w:val="007B280B"/>
    <w:rsid w:val="007B28F8"/>
    <w:rsid w:val="007B4667"/>
    <w:rsid w:val="007B5272"/>
    <w:rsid w:val="007B5396"/>
    <w:rsid w:val="007B5565"/>
    <w:rsid w:val="007B55FF"/>
    <w:rsid w:val="007B5CAE"/>
    <w:rsid w:val="007B5F1E"/>
    <w:rsid w:val="007B61E0"/>
    <w:rsid w:val="007B654C"/>
    <w:rsid w:val="007B6E7A"/>
    <w:rsid w:val="007B726D"/>
    <w:rsid w:val="007B7F6C"/>
    <w:rsid w:val="007B7F73"/>
    <w:rsid w:val="007C037D"/>
    <w:rsid w:val="007C2582"/>
    <w:rsid w:val="007C27AA"/>
    <w:rsid w:val="007C2D6D"/>
    <w:rsid w:val="007C2F20"/>
    <w:rsid w:val="007C32E2"/>
    <w:rsid w:val="007C4CC5"/>
    <w:rsid w:val="007C5DBE"/>
    <w:rsid w:val="007C5E6B"/>
    <w:rsid w:val="007C6A85"/>
    <w:rsid w:val="007C7597"/>
    <w:rsid w:val="007C79D5"/>
    <w:rsid w:val="007D05D1"/>
    <w:rsid w:val="007D0709"/>
    <w:rsid w:val="007D0A34"/>
    <w:rsid w:val="007D1A59"/>
    <w:rsid w:val="007D2766"/>
    <w:rsid w:val="007D2F0A"/>
    <w:rsid w:val="007D3407"/>
    <w:rsid w:val="007D3D24"/>
    <w:rsid w:val="007D3FAA"/>
    <w:rsid w:val="007D4E87"/>
    <w:rsid w:val="007D68B6"/>
    <w:rsid w:val="007D6A03"/>
    <w:rsid w:val="007D6FFD"/>
    <w:rsid w:val="007E1281"/>
    <w:rsid w:val="007E1880"/>
    <w:rsid w:val="007E1AFB"/>
    <w:rsid w:val="007E2352"/>
    <w:rsid w:val="007E25EA"/>
    <w:rsid w:val="007E27CA"/>
    <w:rsid w:val="007E30FC"/>
    <w:rsid w:val="007E3D86"/>
    <w:rsid w:val="007E3FB0"/>
    <w:rsid w:val="007E52C2"/>
    <w:rsid w:val="007E5537"/>
    <w:rsid w:val="007E577C"/>
    <w:rsid w:val="007E6496"/>
    <w:rsid w:val="007E7293"/>
    <w:rsid w:val="007E7E89"/>
    <w:rsid w:val="007F0F4E"/>
    <w:rsid w:val="007F19D2"/>
    <w:rsid w:val="007F1A79"/>
    <w:rsid w:val="007F1BAF"/>
    <w:rsid w:val="007F1CC5"/>
    <w:rsid w:val="007F1FE3"/>
    <w:rsid w:val="007F2014"/>
    <w:rsid w:val="007F231C"/>
    <w:rsid w:val="007F24CF"/>
    <w:rsid w:val="007F259A"/>
    <w:rsid w:val="007F2F89"/>
    <w:rsid w:val="007F3030"/>
    <w:rsid w:val="007F3B99"/>
    <w:rsid w:val="007F49CF"/>
    <w:rsid w:val="007F4FF2"/>
    <w:rsid w:val="007F5301"/>
    <w:rsid w:val="007F56F1"/>
    <w:rsid w:val="007F5B76"/>
    <w:rsid w:val="007F5B8F"/>
    <w:rsid w:val="007F7372"/>
    <w:rsid w:val="008009D9"/>
    <w:rsid w:val="008013FF"/>
    <w:rsid w:val="0080249E"/>
    <w:rsid w:val="00802F4D"/>
    <w:rsid w:val="00802F5A"/>
    <w:rsid w:val="00803440"/>
    <w:rsid w:val="008043DB"/>
    <w:rsid w:val="00804CA3"/>
    <w:rsid w:val="0080541D"/>
    <w:rsid w:val="0080630B"/>
    <w:rsid w:val="00806512"/>
    <w:rsid w:val="008068E5"/>
    <w:rsid w:val="00806907"/>
    <w:rsid w:val="00807E4C"/>
    <w:rsid w:val="0081021D"/>
    <w:rsid w:val="008103B2"/>
    <w:rsid w:val="008105AC"/>
    <w:rsid w:val="0081061E"/>
    <w:rsid w:val="00810D48"/>
    <w:rsid w:val="0081189F"/>
    <w:rsid w:val="008120FB"/>
    <w:rsid w:val="008127E5"/>
    <w:rsid w:val="00812AE1"/>
    <w:rsid w:val="008130AA"/>
    <w:rsid w:val="008132B5"/>
    <w:rsid w:val="008138C0"/>
    <w:rsid w:val="00813DBD"/>
    <w:rsid w:val="008144B1"/>
    <w:rsid w:val="00814811"/>
    <w:rsid w:val="00814814"/>
    <w:rsid w:val="00815079"/>
    <w:rsid w:val="00815322"/>
    <w:rsid w:val="00816A02"/>
    <w:rsid w:val="008178D1"/>
    <w:rsid w:val="00817FC5"/>
    <w:rsid w:val="00820405"/>
    <w:rsid w:val="008205C9"/>
    <w:rsid w:val="00822A45"/>
    <w:rsid w:val="00822D13"/>
    <w:rsid w:val="00824342"/>
    <w:rsid w:val="00824733"/>
    <w:rsid w:val="008247F7"/>
    <w:rsid w:val="00825059"/>
    <w:rsid w:val="00825ACA"/>
    <w:rsid w:val="00826321"/>
    <w:rsid w:val="008265DA"/>
    <w:rsid w:val="008266A5"/>
    <w:rsid w:val="008267D3"/>
    <w:rsid w:val="0082761F"/>
    <w:rsid w:val="008277DE"/>
    <w:rsid w:val="00827D28"/>
    <w:rsid w:val="0083052C"/>
    <w:rsid w:val="008309C0"/>
    <w:rsid w:val="00830D97"/>
    <w:rsid w:val="00830F90"/>
    <w:rsid w:val="00831003"/>
    <w:rsid w:val="00831A6D"/>
    <w:rsid w:val="00833236"/>
    <w:rsid w:val="0083337B"/>
    <w:rsid w:val="008334C0"/>
    <w:rsid w:val="00833A69"/>
    <w:rsid w:val="00834133"/>
    <w:rsid w:val="0083448E"/>
    <w:rsid w:val="00834A2C"/>
    <w:rsid w:val="00835CA4"/>
    <w:rsid w:val="00836272"/>
    <w:rsid w:val="008362CF"/>
    <w:rsid w:val="008369F4"/>
    <w:rsid w:val="00836ADC"/>
    <w:rsid w:val="008373F1"/>
    <w:rsid w:val="008402FE"/>
    <w:rsid w:val="0084057D"/>
    <w:rsid w:val="0084065B"/>
    <w:rsid w:val="008413CA"/>
    <w:rsid w:val="00841827"/>
    <w:rsid w:val="008422BC"/>
    <w:rsid w:val="00842F43"/>
    <w:rsid w:val="00844208"/>
    <w:rsid w:val="0084526A"/>
    <w:rsid w:val="00845BDA"/>
    <w:rsid w:val="00845BDE"/>
    <w:rsid w:val="00845D4A"/>
    <w:rsid w:val="0084650B"/>
    <w:rsid w:val="00846846"/>
    <w:rsid w:val="0084736C"/>
    <w:rsid w:val="00851E7A"/>
    <w:rsid w:val="00852381"/>
    <w:rsid w:val="008523E9"/>
    <w:rsid w:val="0085298D"/>
    <w:rsid w:val="00854381"/>
    <w:rsid w:val="00854423"/>
    <w:rsid w:val="00855399"/>
    <w:rsid w:val="0085550F"/>
    <w:rsid w:val="00855C4D"/>
    <w:rsid w:val="008564CE"/>
    <w:rsid w:val="00856A51"/>
    <w:rsid w:val="00857B4F"/>
    <w:rsid w:val="00857D89"/>
    <w:rsid w:val="008601C2"/>
    <w:rsid w:val="00860221"/>
    <w:rsid w:val="00861466"/>
    <w:rsid w:val="00862117"/>
    <w:rsid w:val="0086307B"/>
    <w:rsid w:val="0086390D"/>
    <w:rsid w:val="00863A4B"/>
    <w:rsid w:val="00864603"/>
    <w:rsid w:val="00864AA5"/>
    <w:rsid w:val="00864C73"/>
    <w:rsid w:val="008650C5"/>
    <w:rsid w:val="00865193"/>
    <w:rsid w:val="00865701"/>
    <w:rsid w:val="00865EC3"/>
    <w:rsid w:val="0086690E"/>
    <w:rsid w:val="00870BFE"/>
    <w:rsid w:val="00870C17"/>
    <w:rsid w:val="008710F6"/>
    <w:rsid w:val="008714F1"/>
    <w:rsid w:val="00871D90"/>
    <w:rsid w:val="00871E64"/>
    <w:rsid w:val="00872290"/>
    <w:rsid w:val="00872B1E"/>
    <w:rsid w:val="00873724"/>
    <w:rsid w:val="008738D3"/>
    <w:rsid w:val="00873C2A"/>
    <w:rsid w:val="00874008"/>
    <w:rsid w:val="00874083"/>
    <w:rsid w:val="0087414A"/>
    <w:rsid w:val="008748E1"/>
    <w:rsid w:val="00874D5D"/>
    <w:rsid w:val="00874EE2"/>
    <w:rsid w:val="00874F39"/>
    <w:rsid w:val="0087511F"/>
    <w:rsid w:val="008752A8"/>
    <w:rsid w:val="008758E5"/>
    <w:rsid w:val="00875EFA"/>
    <w:rsid w:val="008766EE"/>
    <w:rsid w:val="0088004B"/>
    <w:rsid w:val="0088066C"/>
    <w:rsid w:val="0088076B"/>
    <w:rsid w:val="008809F0"/>
    <w:rsid w:val="0088104D"/>
    <w:rsid w:val="008816B8"/>
    <w:rsid w:val="00881B3E"/>
    <w:rsid w:val="00881C35"/>
    <w:rsid w:val="00883360"/>
    <w:rsid w:val="00884392"/>
    <w:rsid w:val="00884753"/>
    <w:rsid w:val="008855CA"/>
    <w:rsid w:val="0088641F"/>
    <w:rsid w:val="00886864"/>
    <w:rsid w:val="00886C0A"/>
    <w:rsid w:val="008871F2"/>
    <w:rsid w:val="00887760"/>
    <w:rsid w:val="00887A1D"/>
    <w:rsid w:val="00887CBF"/>
    <w:rsid w:val="00887F6F"/>
    <w:rsid w:val="00891712"/>
    <w:rsid w:val="00891BBD"/>
    <w:rsid w:val="008921D6"/>
    <w:rsid w:val="008933E2"/>
    <w:rsid w:val="0089431A"/>
    <w:rsid w:val="00894895"/>
    <w:rsid w:val="00895D46"/>
    <w:rsid w:val="0089672B"/>
    <w:rsid w:val="00896B0F"/>
    <w:rsid w:val="0089729C"/>
    <w:rsid w:val="008A06DB"/>
    <w:rsid w:val="008A07A7"/>
    <w:rsid w:val="008A0CD0"/>
    <w:rsid w:val="008A1721"/>
    <w:rsid w:val="008A27B6"/>
    <w:rsid w:val="008A2B9D"/>
    <w:rsid w:val="008A3333"/>
    <w:rsid w:val="008A3E4A"/>
    <w:rsid w:val="008A5219"/>
    <w:rsid w:val="008A5690"/>
    <w:rsid w:val="008A5AE2"/>
    <w:rsid w:val="008A63DB"/>
    <w:rsid w:val="008A67B2"/>
    <w:rsid w:val="008A68C9"/>
    <w:rsid w:val="008A6C2B"/>
    <w:rsid w:val="008A7B7D"/>
    <w:rsid w:val="008A7F46"/>
    <w:rsid w:val="008B08D3"/>
    <w:rsid w:val="008B0CFB"/>
    <w:rsid w:val="008B18DF"/>
    <w:rsid w:val="008B1BEB"/>
    <w:rsid w:val="008B2322"/>
    <w:rsid w:val="008B2AAC"/>
    <w:rsid w:val="008B2BC7"/>
    <w:rsid w:val="008B53BA"/>
    <w:rsid w:val="008B53E4"/>
    <w:rsid w:val="008B607A"/>
    <w:rsid w:val="008B6586"/>
    <w:rsid w:val="008B79BE"/>
    <w:rsid w:val="008C016C"/>
    <w:rsid w:val="008C0644"/>
    <w:rsid w:val="008C08FF"/>
    <w:rsid w:val="008C11C7"/>
    <w:rsid w:val="008C15ED"/>
    <w:rsid w:val="008C1740"/>
    <w:rsid w:val="008C180A"/>
    <w:rsid w:val="008C2333"/>
    <w:rsid w:val="008C2FD8"/>
    <w:rsid w:val="008C4511"/>
    <w:rsid w:val="008C4656"/>
    <w:rsid w:val="008C4AC5"/>
    <w:rsid w:val="008C5500"/>
    <w:rsid w:val="008C5521"/>
    <w:rsid w:val="008C5B80"/>
    <w:rsid w:val="008C6085"/>
    <w:rsid w:val="008C664F"/>
    <w:rsid w:val="008C696F"/>
    <w:rsid w:val="008C6B18"/>
    <w:rsid w:val="008C747F"/>
    <w:rsid w:val="008D021B"/>
    <w:rsid w:val="008D3ECA"/>
    <w:rsid w:val="008D3EDF"/>
    <w:rsid w:val="008D3F0C"/>
    <w:rsid w:val="008D4502"/>
    <w:rsid w:val="008D4557"/>
    <w:rsid w:val="008D4932"/>
    <w:rsid w:val="008D4C22"/>
    <w:rsid w:val="008D4F50"/>
    <w:rsid w:val="008D5DEE"/>
    <w:rsid w:val="008D5F43"/>
    <w:rsid w:val="008D6AE5"/>
    <w:rsid w:val="008D6B3F"/>
    <w:rsid w:val="008D7F31"/>
    <w:rsid w:val="008E007E"/>
    <w:rsid w:val="008E01F5"/>
    <w:rsid w:val="008E0D52"/>
    <w:rsid w:val="008E0ED2"/>
    <w:rsid w:val="008E107E"/>
    <w:rsid w:val="008E14F0"/>
    <w:rsid w:val="008E1862"/>
    <w:rsid w:val="008E24FB"/>
    <w:rsid w:val="008E2C6C"/>
    <w:rsid w:val="008E2DCC"/>
    <w:rsid w:val="008E3586"/>
    <w:rsid w:val="008E4025"/>
    <w:rsid w:val="008E402B"/>
    <w:rsid w:val="008E43F2"/>
    <w:rsid w:val="008E4DF3"/>
    <w:rsid w:val="008E4EF2"/>
    <w:rsid w:val="008E509C"/>
    <w:rsid w:val="008E64E9"/>
    <w:rsid w:val="008E6932"/>
    <w:rsid w:val="008E6E0B"/>
    <w:rsid w:val="008E7886"/>
    <w:rsid w:val="008E79F0"/>
    <w:rsid w:val="008F0181"/>
    <w:rsid w:val="008F0800"/>
    <w:rsid w:val="008F0C4F"/>
    <w:rsid w:val="008F124E"/>
    <w:rsid w:val="008F13FF"/>
    <w:rsid w:val="008F1BA7"/>
    <w:rsid w:val="008F2880"/>
    <w:rsid w:val="008F306D"/>
    <w:rsid w:val="008F3577"/>
    <w:rsid w:val="008F379B"/>
    <w:rsid w:val="008F442B"/>
    <w:rsid w:val="008F48A3"/>
    <w:rsid w:val="008F4DC3"/>
    <w:rsid w:val="008F5D0A"/>
    <w:rsid w:val="008F63A1"/>
    <w:rsid w:val="008F678C"/>
    <w:rsid w:val="008F734B"/>
    <w:rsid w:val="0090044D"/>
    <w:rsid w:val="00901674"/>
    <w:rsid w:val="00901AA0"/>
    <w:rsid w:val="00901E27"/>
    <w:rsid w:val="00902CA7"/>
    <w:rsid w:val="00903815"/>
    <w:rsid w:val="00903B63"/>
    <w:rsid w:val="009044D1"/>
    <w:rsid w:val="00904513"/>
    <w:rsid w:val="00904CB0"/>
    <w:rsid w:val="00906394"/>
    <w:rsid w:val="00906699"/>
    <w:rsid w:val="00906E60"/>
    <w:rsid w:val="00910271"/>
    <w:rsid w:val="0091146C"/>
    <w:rsid w:val="009115DF"/>
    <w:rsid w:val="0091196E"/>
    <w:rsid w:val="00911A9A"/>
    <w:rsid w:val="00913339"/>
    <w:rsid w:val="0091381C"/>
    <w:rsid w:val="00913E8C"/>
    <w:rsid w:val="009151C6"/>
    <w:rsid w:val="00915A16"/>
    <w:rsid w:val="00917DBF"/>
    <w:rsid w:val="00920B00"/>
    <w:rsid w:val="00921D71"/>
    <w:rsid w:val="0092207E"/>
    <w:rsid w:val="0092270D"/>
    <w:rsid w:val="009228EF"/>
    <w:rsid w:val="00923645"/>
    <w:rsid w:val="009237A7"/>
    <w:rsid w:val="009240FB"/>
    <w:rsid w:val="00924917"/>
    <w:rsid w:val="00924D1C"/>
    <w:rsid w:val="00925297"/>
    <w:rsid w:val="0092640F"/>
    <w:rsid w:val="00926D3C"/>
    <w:rsid w:val="00927181"/>
    <w:rsid w:val="00927730"/>
    <w:rsid w:val="00930285"/>
    <w:rsid w:val="009303C6"/>
    <w:rsid w:val="00930864"/>
    <w:rsid w:val="00931365"/>
    <w:rsid w:val="00932B3F"/>
    <w:rsid w:val="00934E75"/>
    <w:rsid w:val="00934E90"/>
    <w:rsid w:val="00935753"/>
    <w:rsid w:val="009361AD"/>
    <w:rsid w:val="009365FA"/>
    <w:rsid w:val="009371E2"/>
    <w:rsid w:val="009400DD"/>
    <w:rsid w:val="00940216"/>
    <w:rsid w:val="0094077B"/>
    <w:rsid w:val="00941280"/>
    <w:rsid w:val="0094135B"/>
    <w:rsid w:val="00941CAC"/>
    <w:rsid w:val="00941D40"/>
    <w:rsid w:val="00942B2B"/>
    <w:rsid w:val="00942F6F"/>
    <w:rsid w:val="00943276"/>
    <w:rsid w:val="0094423A"/>
    <w:rsid w:val="00944544"/>
    <w:rsid w:val="00945011"/>
    <w:rsid w:val="00945382"/>
    <w:rsid w:val="009458F9"/>
    <w:rsid w:val="00945F7C"/>
    <w:rsid w:val="0094720B"/>
    <w:rsid w:val="009477DA"/>
    <w:rsid w:val="00947AFA"/>
    <w:rsid w:val="0095002B"/>
    <w:rsid w:val="009506C4"/>
    <w:rsid w:val="00951716"/>
    <w:rsid w:val="00951974"/>
    <w:rsid w:val="00951B82"/>
    <w:rsid w:val="00951D2F"/>
    <w:rsid w:val="00952C3E"/>
    <w:rsid w:val="00953244"/>
    <w:rsid w:val="00953847"/>
    <w:rsid w:val="00953906"/>
    <w:rsid w:val="009539B5"/>
    <w:rsid w:val="00954ACF"/>
    <w:rsid w:val="00954C51"/>
    <w:rsid w:val="00954F07"/>
    <w:rsid w:val="00955590"/>
    <w:rsid w:val="00955C33"/>
    <w:rsid w:val="00955E20"/>
    <w:rsid w:val="00955EB8"/>
    <w:rsid w:val="00955FFC"/>
    <w:rsid w:val="009569C4"/>
    <w:rsid w:val="009570AB"/>
    <w:rsid w:val="00957244"/>
    <w:rsid w:val="00957F15"/>
    <w:rsid w:val="00960215"/>
    <w:rsid w:val="00960699"/>
    <w:rsid w:val="00960775"/>
    <w:rsid w:val="00960CF8"/>
    <w:rsid w:val="009614C1"/>
    <w:rsid w:val="00961FAE"/>
    <w:rsid w:val="009620A6"/>
    <w:rsid w:val="00962B61"/>
    <w:rsid w:val="00962B73"/>
    <w:rsid w:val="00962D09"/>
    <w:rsid w:val="009634AD"/>
    <w:rsid w:val="00963B3F"/>
    <w:rsid w:val="00963CC0"/>
    <w:rsid w:val="00963DAC"/>
    <w:rsid w:val="00963E69"/>
    <w:rsid w:val="0096403A"/>
    <w:rsid w:val="00964FB9"/>
    <w:rsid w:val="009663C6"/>
    <w:rsid w:val="009700A5"/>
    <w:rsid w:val="00970376"/>
    <w:rsid w:val="0097147B"/>
    <w:rsid w:val="009723EE"/>
    <w:rsid w:val="0097294A"/>
    <w:rsid w:val="00973058"/>
    <w:rsid w:val="009734F5"/>
    <w:rsid w:val="00974101"/>
    <w:rsid w:val="00974482"/>
    <w:rsid w:val="00974C7B"/>
    <w:rsid w:val="00974CA3"/>
    <w:rsid w:val="00975730"/>
    <w:rsid w:val="00975798"/>
    <w:rsid w:val="00975C22"/>
    <w:rsid w:val="00975D1D"/>
    <w:rsid w:val="00976149"/>
    <w:rsid w:val="00976623"/>
    <w:rsid w:val="00976629"/>
    <w:rsid w:val="00976836"/>
    <w:rsid w:val="0097724E"/>
    <w:rsid w:val="00977A65"/>
    <w:rsid w:val="00977C1C"/>
    <w:rsid w:val="00980047"/>
    <w:rsid w:val="00981051"/>
    <w:rsid w:val="009815BC"/>
    <w:rsid w:val="00981D5F"/>
    <w:rsid w:val="00982298"/>
    <w:rsid w:val="009826CF"/>
    <w:rsid w:val="00983024"/>
    <w:rsid w:val="009833D2"/>
    <w:rsid w:val="00983E08"/>
    <w:rsid w:val="00984324"/>
    <w:rsid w:val="00984468"/>
    <w:rsid w:val="00984743"/>
    <w:rsid w:val="009849A6"/>
    <w:rsid w:val="00984C0C"/>
    <w:rsid w:val="0098579A"/>
    <w:rsid w:val="009864B4"/>
    <w:rsid w:val="00986F7E"/>
    <w:rsid w:val="00987111"/>
    <w:rsid w:val="00987883"/>
    <w:rsid w:val="00987B48"/>
    <w:rsid w:val="00990F51"/>
    <w:rsid w:val="0099125C"/>
    <w:rsid w:val="00991661"/>
    <w:rsid w:val="00991CAC"/>
    <w:rsid w:val="0099233E"/>
    <w:rsid w:val="00992610"/>
    <w:rsid w:val="00993158"/>
    <w:rsid w:val="00993D56"/>
    <w:rsid w:val="00993F75"/>
    <w:rsid w:val="00995F55"/>
    <w:rsid w:val="0099648D"/>
    <w:rsid w:val="00996929"/>
    <w:rsid w:val="00996E36"/>
    <w:rsid w:val="00996F39"/>
    <w:rsid w:val="009972C1"/>
    <w:rsid w:val="009973C4"/>
    <w:rsid w:val="0099780D"/>
    <w:rsid w:val="00997CC1"/>
    <w:rsid w:val="00997EA0"/>
    <w:rsid w:val="009A0019"/>
    <w:rsid w:val="009A0F65"/>
    <w:rsid w:val="009A1989"/>
    <w:rsid w:val="009A246D"/>
    <w:rsid w:val="009A2C09"/>
    <w:rsid w:val="009A2DE2"/>
    <w:rsid w:val="009A5234"/>
    <w:rsid w:val="009A5560"/>
    <w:rsid w:val="009A59B4"/>
    <w:rsid w:val="009A602D"/>
    <w:rsid w:val="009B0549"/>
    <w:rsid w:val="009B0806"/>
    <w:rsid w:val="009B1114"/>
    <w:rsid w:val="009B139B"/>
    <w:rsid w:val="009B19BB"/>
    <w:rsid w:val="009B1A70"/>
    <w:rsid w:val="009B2629"/>
    <w:rsid w:val="009B32FF"/>
    <w:rsid w:val="009B35E9"/>
    <w:rsid w:val="009B3D6F"/>
    <w:rsid w:val="009B415F"/>
    <w:rsid w:val="009B43C7"/>
    <w:rsid w:val="009B475C"/>
    <w:rsid w:val="009B498B"/>
    <w:rsid w:val="009B49F5"/>
    <w:rsid w:val="009B524C"/>
    <w:rsid w:val="009B643E"/>
    <w:rsid w:val="009B6C48"/>
    <w:rsid w:val="009B6D5E"/>
    <w:rsid w:val="009B743D"/>
    <w:rsid w:val="009B7C72"/>
    <w:rsid w:val="009C02A1"/>
    <w:rsid w:val="009C03B8"/>
    <w:rsid w:val="009C0A1A"/>
    <w:rsid w:val="009C1CB2"/>
    <w:rsid w:val="009C1DFF"/>
    <w:rsid w:val="009C2E6D"/>
    <w:rsid w:val="009C32C0"/>
    <w:rsid w:val="009C3404"/>
    <w:rsid w:val="009C3E95"/>
    <w:rsid w:val="009C5138"/>
    <w:rsid w:val="009C5C8A"/>
    <w:rsid w:val="009C5DF6"/>
    <w:rsid w:val="009C67B4"/>
    <w:rsid w:val="009C6B56"/>
    <w:rsid w:val="009C6E55"/>
    <w:rsid w:val="009C7ADE"/>
    <w:rsid w:val="009D0229"/>
    <w:rsid w:val="009D0521"/>
    <w:rsid w:val="009D089E"/>
    <w:rsid w:val="009D0A41"/>
    <w:rsid w:val="009D1D14"/>
    <w:rsid w:val="009D1DD5"/>
    <w:rsid w:val="009D2092"/>
    <w:rsid w:val="009D2601"/>
    <w:rsid w:val="009D279A"/>
    <w:rsid w:val="009D27D2"/>
    <w:rsid w:val="009D3534"/>
    <w:rsid w:val="009D36CF"/>
    <w:rsid w:val="009D381B"/>
    <w:rsid w:val="009D42C9"/>
    <w:rsid w:val="009D43EF"/>
    <w:rsid w:val="009D4D7A"/>
    <w:rsid w:val="009D63BF"/>
    <w:rsid w:val="009D69DB"/>
    <w:rsid w:val="009D6B7E"/>
    <w:rsid w:val="009D743E"/>
    <w:rsid w:val="009D7745"/>
    <w:rsid w:val="009D7927"/>
    <w:rsid w:val="009D794E"/>
    <w:rsid w:val="009D7B24"/>
    <w:rsid w:val="009E028D"/>
    <w:rsid w:val="009E0CFB"/>
    <w:rsid w:val="009E13B5"/>
    <w:rsid w:val="009E14EC"/>
    <w:rsid w:val="009E217D"/>
    <w:rsid w:val="009E2333"/>
    <w:rsid w:val="009E234E"/>
    <w:rsid w:val="009E2921"/>
    <w:rsid w:val="009E29D0"/>
    <w:rsid w:val="009E2BAE"/>
    <w:rsid w:val="009E4239"/>
    <w:rsid w:val="009E4394"/>
    <w:rsid w:val="009E4487"/>
    <w:rsid w:val="009E5CB0"/>
    <w:rsid w:val="009E5D02"/>
    <w:rsid w:val="009E5F78"/>
    <w:rsid w:val="009E632D"/>
    <w:rsid w:val="009E63DD"/>
    <w:rsid w:val="009E750C"/>
    <w:rsid w:val="009F09B2"/>
    <w:rsid w:val="009F0A43"/>
    <w:rsid w:val="009F18A8"/>
    <w:rsid w:val="009F1AE8"/>
    <w:rsid w:val="009F1B0E"/>
    <w:rsid w:val="009F1FBC"/>
    <w:rsid w:val="009F2259"/>
    <w:rsid w:val="009F27FE"/>
    <w:rsid w:val="009F3F69"/>
    <w:rsid w:val="009F481D"/>
    <w:rsid w:val="009F51A2"/>
    <w:rsid w:val="009F60D0"/>
    <w:rsid w:val="009F6C82"/>
    <w:rsid w:val="009F6CF7"/>
    <w:rsid w:val="009F787C"/>
    <w:rsid w:val="00A01DA0"/>
    <w:rsid w:val="00A034C5"/>
    <w:rsid w:val="00A03780"/>
    <w:rsid w:val="00A03867"/>
    <w:rsid w:val="00A04233"/>
    <w:rsid w:val="00A047D2"/>
    <w:rsid w:val="00A056F3"/>
    <w:rsid w:val="00A06467"/>
    <w:rsid w:val="00A06843"/>
    <w:rsid w:val="00A06EA4"/>
    <w:rsid w:val="00A07896"/>
    <w:rsid w:val="00A101A6"/>
    <w:rsid w:val="00A1066C"/>
    <w:rsid w:val="00A1074C"/>
    <w:rsid w:val="00A107EE"/>
    <w:rsid w:val="00A10B38"/>
    <w:rsid w:val="00A11587"/>
    <w:rsid w:val="00A11D3F"/>
    <w:rsid w:val="00A11EC4"/>
    <w:rsid w:val="00A123A2"/>
    <w:rsid w:val="00A127C0"/>
    <w:rsid w:val="00A129F5"/>
    <w:rsid w:val="00A12A52"/>
    <w:rsid w:val="00A1328B"/>
    <w:rsid w:val="00A13969"/>
    <w:rsid w:val="00A1415F"/>
    <w:rsid w:val="00A14849"/>
    <w:rsid w:val="00A16611"/>
    <w:rsid w:val="00A16A5C"/>
    <w:rsid w:val="00A20470"/>
    <w:rsid w:val="00A20600"/>
    <w:rsid w:val="00A20622"/>
    <w:rsid w:val="00A20B00"/>
    <w:rsid w:val="00A20CDC"/>
    <w:rsid w:val="00A212F7"/>
    <w:rsid w:val="00A21986"/>
    <w:rsid w:val="00A2259D"/>
    <w:rsid w:val="00A22A67"/>
    <w:rsid w:val="00A239EA"/>
    <w:rsid w:val="00A23C64"/>
    <w:rsid w:val="00A243B3"/>
    <w:rsid w:val="00A24633"/>
    <w:rsid w:val="00A2680C"/>
    <w:rsid w:val="00A26965"/>
    <w:rsid w:val="00A26D82"/>
    <w:rsid w:val="00A26DC9"/>
    <w:rsid w:val="00A26DE8"/>
    <w:rsid w:val="00A26FC5"/>
    <w:rsid w:val="00A2706F"/>
    <w:rsid w:val="00A27174"/>
    <w:rsid w:val="00A27868"/>
    <w:rsid w:val="00A300E0"/>
    <w:rsid w:val="00A302D4"/>
    <w:rsid w:val="00A30991"/>
    <w:rsid w:val="00A30BFA"/>
    <w:rsid w:val="00A327AB"/>
    <w:rsid w:val="00A331D5"/>
    <w:rsid w:val="00A33334"/>
    <w:rsid w:val="00A34082"/>
    <w:rsid w:val="00A34733"/>
    <w:rsid w:val="00A34A52"/>
    <w:rsid w:val="00A34CA5"/>
    <w:rsid w:val="00A3550A"/>
    <w:rsid w:val="00A3553E"/>
    <w:rsid w:val="00A35C7B"/>
    <w:rsid w:val="00A376AD"/>
    <w:rsid w:val="00A37C40"/>
    <w:rsid w:val="00A37D55"/>
    <w:rsid w:val="00A402DB"/>
    <w:rsid w:val="00A43691"/>
    <w:rsid w:val="00A43FA5"/>
    <w:rsid w:val="00A4486D"/>
    <w:rsid w:val="00A44C59"/>
    <w:rsid w:val="00A450C4"/>
    <w:rsid w:val="00A46519"/>
    <w:rsid w:val="00A4740B"/>
    <w:rsid w:val="00A50907"/>
    <w:rsid w:val="00A50935"/>
    <w:rsid w:val="00A50D20"/>
    <w:rsid w:val="00A52B81"/>
    <w:rsid w:val="00A52E60"/>
    <w:rsid w:val="00A52FF8"/>
    <w:rsid w:val="00A5345C"/>
    <w:rsid w:val="00A5412A"/>
    <w:rsid w:val="00A54BF0"/>
    <w:rsid w:val="00A54DE7"/>
    <w:rsid w:val="00A5511C"/>
    <w:rsid w:val="00A560F1"/>
    <w:rsid w:val="00A56DF6"/>
    <w:rsid w:val="00A572D6"/>
    <w:rsid w:val="00A5755B"/>
    <w:rsid w:val="00A60CA0"/>
    <w:rsid w:val="00A6105E"/>
    <w:rsid w:val="00A612CF"/>
    <w:rsid w:val="00A617A0"/>
    <w:rsid w:val="00A63B3A"/>
    <w:rsid w:val="00A63D28"/>
    <w:rsid w:val="00A645E5"/>
    <w:rsid w:val="00A647A1"/>
    <w:rsid w:val="00A64859"/>
    <w:rsid w:val="00A65264"/>
    <w:rsid w:val="00A65893"/>
    <w:rsid w:val="00A66503"/>
    <w:rsid w:val="00A67CF9"/>
    <w:rsid w:val="00A702B1"/>
    <w:rsid w:val="00A70886"/>
    <w:rsid w:val="00A7107C"/>
    <w:rsid w:val="00A71903"/>
    <w:rsid w:val="00A720B8"/>
    <w:rsid w:val="00A723FA"/>
    <w:rsid w:val="00A733CB"/>
    <w:rsid w:val="00A7365B"/>
    <w:rsid w:val="00A7392A"/>
    <w:rsid w:val="00A73B96"/>
    <w:rsid w:val="00A73F04"/>
    <w:rsid w:val="00A7427E"/>
    <w:rsid w:val="00A74B91"/>
    <w:rsid w:val="00A75AB4"/>
    <w:rsid w:val="00A764A0"/>
    <w:rsid w:val="00A80154"/>
    <w:rsid w:val="00A80BC5"/>
    <w:rsid w:val="00A80E31"/>
    <w:rsid w:val="00A80F27"/>
    <w:rsid w:val="00A81EEB"/>
    <w:rsid w:val="00A82CE7"/>
    <w:rsid w:val="00A8310C"/>
    <w:rsid w:val="00A838AB"/>
    <w:rsid w:val="00A8437B"/>
    <w:rsid w:val="00A8493F"/>
    <w:rsid w:val="00A85566"/>
    <w:rsid w:val="00A8618D"/>
    <w:rsid w:val="00A86AFF"/>
    <w:rsid w:val="00A8747D"/>
    <w:rsid w:val="00A87850"/>
    <w:rsid w:val="00A90301"/>
    <w:rsid w:val="00A91885"/>
    <w:rsid w:val="00A924F7"/>
    <w:rsid w:val="00A93381"/>
    <w:rsid w:val="00A93DC6"/>
    <w:rsid w:val="00A940B5"/>
    <w:rsid w:val="00A94499"/>
    <w:rsid w:val="00A945D7"/>
    <w:rsid w:val="00A94E63"/>
    <w:rsid w:val="00A95694"/>
    <w:rsid w:val="00A9573D"/>
    <w:rsid w:val="00A958C1"/>
    <w:rsid w:val="00A961BC"/>
    <w:rsid w:val="00A96474"/>
    <w:rsid w:val="00A9757D"/>
    <w:rsid w:val="00A97E26"/>
    <w:rsid w:val="00AA0007"/>
    <w:rsid w:val="00AA0349"/>
    <w:rsid w:val="00AA0467"/>
    <w:rsid w:val="00AA06C2"/>
    <w:rsid w:val="00AA14CB"/>
    <w:rsid w:val="00AA37E8"/>
    <w:rsid w:val="00AA42EE"/>
    <w:rsid w:val="00AA784A"/>
    <w:rsid w:val="00AA7956"/>
    <w:rsid w:val="00AB0CB0"/>
    <w:rsid w:val="00AB1BF4"/>
    <w:rsid w:val="00AB1C84"/>
    <w:rsid w:val="00AB2257"/>
    <w:rsid w:val="00AB2A26"/>
    <w:rsid w:val="00AB33BD"/>
    <w:rsid w:val="00AB3721"/>
    <w:rsid w:val="00AB378F"/>
    <w:rsid w:val="00AB3B1C"/>
    <w:rsid w:val="00AB3D71"/>
    <w:rsid w:val="00AB3ECA"/>
    <w:rsid w:val="00AB3F2C"/>
    <w:rsid w:val="00AB45E0"/>
    <w:rsid w:val="00AB52A5"/>
    <w:rsid w:val="00AB539A"/>
    <w:rsid w:val="00AB5BDB"/>
    <w:rsid w:val="00AB6ED4"/>
    <w:rsid w:val="00AB728E"/>
    <w:rsid w:val="00AB7513"/>
    <w:rsid w:val="00AC018C"/>
    <w:rsid w:val="00AC05B6"/>
    <w:rsid w:val="00AC0DF2"/>
    <w:rsid w:val="00AC1D72"/>
    <w:rsid w:val="00AC1F74"/>
    <w:rsid w:val="00AC2859"/>
    <w:rsid w:val="00AC2DCB"/>
    <w:rsid w:val="00AC359B"/>
    <w:rsid w:val="00AC481A"/>
    <w:rsid w:val="00AC4972"/>
    <w:rsid w:val="00AC5C29"/>
    <w:rsid w:val="00AC6B8D"/>
    <w:rsid w:val="00AC761E"/>
    <w:rsid w:val="00AC7A85"/>
    <w:rsid w:val="00AC7D40"/>
    <w:rsid w:val="00AD133E"/>
    <w:rsid w:val="00AD1CB8"/>
    <w:rsid w:val="00AD226A"/>
    <w:rsid w:val="00AD2870"/>
    <w:rsid w:val="00AD2B72"/>
    <w:rsid w:val="00AD2FD9"/>
    <w:rsid w:val="00AD3717"/>
    <w:rsid w:val="00AD43FB"/>
    <w:rsid w:val="00AD4591"/>
    <w:rsid w:val="00AD4757"/>
    <w:rsid w:val="00AD4EC4"/>
    <w:rsid w:val="00AD54BB"/>
    <w:rsid w:val="00AD5CAA"/>
    <w:rsid w:val="00AD5EF1"/>
    <w:rsid w:val="00AD5FF4"/>
    <w:rsid w:val="00AD6702"/>
    <w:rsid w:val="00AD6BC5"/>
    <w:rsid w:val="00AD7119"/>
    <w:rsid w:val="00AD74CA"/>
    <w:rsid w:val="00AE0533"/>
    <w:rsid w:val="00AE0728"/>
    <w:rsid w:val="00AE1BA5"/>
    <w:rsid w:val="00AE1C58"/>
    <w:rsid w:val="00AE1FEA"/>
    <w:rsid w:val="00AE2291"/>
    <w:rsid w:val="00AE2A1B"/>
    <w:rsid w:val="00AE2E0B"/>
    <w:rsid w:val="00AE2FB4"/>
    <w:rsid w:val="00AE32FB"/>
    <w:rsid w:val="00AE3473"/>
    <w:rsid w:val="00AE3B61"/>
    <w:rsid w:val="00AE5995"/>
    <w:rsid w:val="00AE627C"/>
    <w:rsid w:val="00AE634A"/>
    <w:rsid w:val="00AE635E"/>
    <w:rsid w:val="00AE76CC"/>
    <w:rsid w:val="00AF0346"/>
    <w:rsid w:val="00AF0A95"/>
    <w:rsid w:val="00AF0AAE"/>
    <w:rsid w:val="00AF339F"/>
    <w:rsid w:val="00AF3790"/>
    <w:rsid w:val="00AF393C"/>
    <w:rsid w:val="00AF4451"/>
    <w:rsid w:val="00AF4B4A"/>
    <w:rsid w:val="00AF5834"/>
    <w:rsid w:val="00AF6727"/>
    <w:rsid w:val="00AF67E9"/>
    <w:rsid w:val="00AF6C87"/>
    <w:rsid w:val="00AF7494"/>
    <w:rsid w:val="00AF761C"/>
    <w:rsid w:val="00AF79C5"/>
    <w:rsid w:val="00B001CA"/>
    <w:rsid w:val="00B004DE"/>
    <w:rsid w:val="00B00549"/>
    <w:rsid w:val="00B01ACC"/>
    <w:rsid w:val="00B01BA6"/>
    <w:rsid w:val="00B026D2"/>
    <w:rsid w:val="00B027B9"/>
    <w:rsid w:val="00B03661"/>
    <w:rsid w:val="00B03CB1"/>
    <w:rsid w:val="00B03EB2"/>
    <w:rsid w:val="00B04A55"/>
    <w:rsid w:val="00B04C41"/>
    <w:rsid w:val="00B051F9"/>
    <w:rsid w:val="00B06B21"/>
    <w:rsid w:val="00B07BD8"/>
    <w:rsid w:val="00B07F57"/>
    <w:rsid w:val="00B10B10"/>
    <w:rsid w:val="00B10BE5"/>
    <w:rsid w:val="00B110B8"/>
    <w:rsid w:val="00B113C5"/>
    <w:rsid w:val="00B118D2"/>
    <w:rsid w:val="00B11FD1"/>
    <w:rsid w:val="00B121DB"/>
    <w:rsid w:val="00B12225"/>
    <w:rsid w:val="00B12506"/>
    <w:rsid w:val="00B12808"/>
    <w:rsid w:val="00B12B9F"/>
    <w:rsid w:val="00B13343"/>
    <w:rsid w:val="00B13417"/>
    <w:rsid w:val="00B13779"/>
    <w:rsid w:val="00B13B84"/>
    <w:rsid w:val="00B15E02"/>
    <w:rsid w:val="00B16606"/>
    <w:rsid w:val="00B167AB"/>
    <w:rsid w:val="00B16B5E"/>
    <w:rsid w:val="00B1731C"/>
    <w:rsid w:val="00B17347"/>
    <w:rsid w:val="00B1739D"/>
    <w:rsid w:val="00B17CF7"/>
    <w:rsid w:val="00B17E24"/>
    <w:rsid w:val="00B20D59"/>
    <w:rsid w:val="00B223C5"/>
    <w:rsid w:val="00B2246B"/>
    <w:rsid w:val="00B224AB"/>
    <w:rsid w:val="00B22D1B"/>
    <w:rsid w:val="00B22E35"/>
    <w:rsid w:val="00B22F74"/>
    <w:rsid w:val="00B2340D"/>
    <w:rsid w:val="00B23583"/>
    <w:rsid w:val="00B23643"/>
    <w:rsid w:val="00B23E51"/>
    <w:rsid w:val="00B24605"/>
    <w:rsid w:val="00B24B52"/>
    <w:rsid w:val="00B24EC7"/>
    <w:rsid w:val="00B2522E"/>
    <w:rsid w:val="00B256E1"/>
    <w:rsid w:val="00B25706"/>
    <w:rsid w:val="00B25820"/>
    <w:rsid w:val="00B26A9F"/>
    <w:rsid w:val="00B27654"/>
    <w:rsid w:val="00B277B0"/>
    <w:rsid w:val="00B307BD"/>
    <w:rsid w:val="00B3169D"/>
    <w:rsid w:val="00B32881"/>
    <w:rsid w:val="00B328EE"/>
    <w:rsid w:val="00B337C2"/>
    <w:rsid w:val="00B34140"/>
    <w:rsid w:val="00B35F57"/>
    <w:rsid w:val="00B364E4"/>
    <w:rsid w:val="00B370BA"/>
    <w:rsid w:val="00B3798C"/>
    <w:rsid w:val="00B379E0"/>
    <w:rsid w:val="00B37CA1"/>
    <w:rsid w:val="00B37DDE"/>
    <w:rsid w:val="00B4032E"/>
    <w:rsid w:val="00B40B99"/>
    <w:rsid w:val="00B4168E"/>
    <w:rsid w:val="00B41AB5"/>
    <w:rsid w:val="00B41D44"/>
    <w:rsid w:val="00B41FC0"/>
    <w:rsid w:val="00B43C9D"/>
    <w:rsid w:val="00B43D61"/>
    <w:rsid w:val="00B44178"/>
    <w:rsid w:val="00B44FA3"/>
    <w:rsid w:val="00B4622F"/>
    <w:rsid w:val="00B464CC"/>
    <w:rsid w:val="00B46ED9"/>
    <w:rsid w:val="00B47FAC"/>
    <w:rsid w:val="00B50654"/>
    <w:rsid w:val="00B50C52"/>
    <w:rsid w:val="00B50D14"/>
    <w:rsid w:val="00B510E0"/>
    <w:rsid w:val="00B5150B"/>
    <w:rsid w:val="00B515E8"/>
    <w:rsid w:val="00B5170C"/>
    <w:rsid w:val="00B51E50"/>
    <w:rsid w:val="00B52458"/>
    <w:rsid w:val="00B52678"/>
    <w:rsid w:val="00B5297D"/>
    <w:rsid w:val="00B53DEB"/>
    <w:rsid w:val="00B53F45"/>
    <w:rsid w:val="00B55013"/>
    <w:rsid w:val="00B555FF"/>
    <w:rsid w:val="00B55F62"/>
    <w:rsid w:val="00B5779C"/>
    <w:rsid w:val="00B602A0"/>
    <w:rsid w:val="00B61035"/>
    <w:rsid w:val="00B61C42"/>
    <w:rsid w:val="00B63EED"/>
    <w:rsid w:val="00B65142"/>
    <w:rsid w:val="00B6539C"/>
    <w:rsid w:val="00B65434"/>
    <w:rsid w:val="00B6591B"/>
    <w:rsid w:val="00B659DF"/>
    <w:rsid w:val="00B66033"/>
    <w:rsid w:val="00B66BFA"/>
    <w:rsid w:val="00B66E9E"/>
    <w:rsid w:val="00B6702A"/>
    <w:rsid w:val="00B67282"/>
    <w:rsid w:val="00B67B2B"/>
    <w:rsid w:val="00B67C78"/>
    <w:rsid w:val="00B70026"/>
    <w:rsid w:val="00B70CAC"/>
    <w:rsid w:val="00B70E35"/>
    <w:rsid w:val="00B72222"/>
    <w:rsid w:val="00B72D62"/>
    <w:rsid w:val="00B73C5A"/>
    <w:rsid w:val="00B749B0"/>
    <w:rsid w:val="00B7594E"/>
    <w:rsid w:val="00B75C3B"/>
    <w:rsid w:val="00B75E70"/>
    <w:rsid w:val="00B760B8"/>
    <w:rsid w:val="00B76ABB"/>
    <w:rsid w:val="00B77134"/>
    <w:rsid w:val="00B77650"/>
    <w:rsid w:val="00B77B8F"/>
    <w:rsid w:val="00B77E1E"/>
    <w:rsid w:val="00B80D81"/>
    <w:rsid w:val="00B81072"/>
    <w:rsid w:val="00B82D75"/>
    <w:rsid w:val="00B8474B"/>
    <w:rsid w:val="00B849C6"/>
    <w:rsid w:val="00B84B62"/>
    <w:rsid w:val="00B84C85"/>
    <w:rsid w:val="00B850EE"/>
    <w:rsid w:val="00B85A4F"/>
    <w:rsid w:val="00B85A81"/>
    <w:rsid w:val="00B864EE"/>
    <w:rsid w:val="00B8652C"/>
    <w:rsid w:val="00B87541"/>
    <w:rsid w:val="00B8787B"/>
    <w:rsid w:val="00B87F3D"/>
    <w:rsid w:val="00B905C8"/>
    <w:rsid w:val="00B91342"/>
    <w:rsid w:val="00B91A9F"/>
    <w:rsid w:val="00B91FB1"/>
    <w:rsid w:val="00B9215F"/>
    <w:rsid w:val="00B92780"/>
    <w:rsid w:val="00B92885"/>
    <w:rsid w:val="00B93154"/>
    <w:rsid w:val="00B9389E"/>
    <w:rsid w:val="00B93BEC"/>
    <w:rsid w:val="00B93D2A"/>
    <w:rsid w:val="00B93E50"/>
    <w:rsid w:val="00B9447A"/>
    <w:rsid w:val="00B94998"/>
    <w:rsid w:val="00B952EA"/>
    <w:rsid w:val="00B9633D"/>
    <w:rsid w:val="00B968F9"/>
    <w:rsid w:val="00B96BE2"/>
    <w:rsid w:val="00B97E3C"/>
    <w:rsid w:val="00B97E4A"/>
    <w:rsid w:val="00BA01F7"/>
    <w:rsid w:val="00BA0376"/>
    <w:rsid w:val="00BA052B"/>
    <w:rsid w:val="00BA0E3B"/>
    <w:rsid w:val="00BA1036"/>
    <w:rsid w:val="00BA105B"/>
    <w:rsid w:val="00BA1086"/>
    <w:rsid w:val="00BA1824"/>
    <w:rsid w:val="00BA2BF4"/>
    <w:rsid w:val="00BA2D5C"/>
    <w:rsid w:val="00BA2EF9"/>
    <w:rsid w:val="00BA3182"/>
    <w:rsid w:val="00BA3346"/>
    <w:rsid w:val="00BA35A9"/>
    <w:rsid w:val="00BA39BC"/>
    <w:rsid w:val="00BA4468"/>
    <w:rsid w:val="00BA4A72"/>
    <w:rsid w:val="00BA4AB2"/>
    <w:rsid w:val="00BA4B00"/>
    <w:rsid w:val="00BA5041"/>
    <w:rsid w:val="00BA5CD7"/>
    <w:rsid w:val="00BA5DC1"/>
    <w:rsid w:val="00BA5F58"/>
    <w:rsid w:val="00BA61B3"/>
    <w:rsid w:val="00BA6429"/>
    <w:rsid w:val="00BA649A"/>
    <w:rsid w:val="00BA64D9"/>
    <w:rsid w:val="00BA6C2A"/>
    <w:rsid w:val="00BA7D2C"/>
    <w:rsid w:val="00BB05AF"/>
    <w:rsid w:val="00BB05FC"/>
    <w:rsid w:val="00BB0867"/>
    <w:rsid w:val="00BB10A9"/>
    <w:rsid w:val="00BB17F7"/>
    <w:rsid w:val="00BB19A1"/>
    <w:rsid w:val="00BB30B7"/>
    <w:rsid w:val="00BB37B0"/>
    <w:rsid w:val="00BB4A7B"/>
    <w:rsid w:val="00BB60A1"/>
    <w:rsid w:val="00BB672B"/>
    <w:rsid w:val="00BB6E74"/>
    <w:rsid w:val="00BB73AA"/>
    <w:rsid w:val="00BC0C30"/>
    <w:rsid w:val="00BC1AD2"/>
    <w:rsid w:val="00BC23E6"/>
    <w:rsid w:val="00BC27BF"/>
    <w:rsid w:val="00BC4208"/>
    <w:rsid w:val="00BC4D0B"/>
    <w:rsid w:val="00BC5521"/>
    <w:rsid w:val="00BC591E"/>
    <w:rsid w:val="00BC62C3"/>
    <w:rsid w:val="00BC6916"/>
    <w:rsid w:val="00BC7BA8"/>
    <w:rsid w:val="00BD032C"/>
    <w:rsid w:val="00BD1213"/>
    <w:rsid w:val="00BD20CE"/>
    <w:rsid w:val="00BD2310"/>
    <w:rsid w:val="00BD2D35"/>
    <w:rsid w:val="00BD581C"/>
    <w:rsid w:val="00BD5E95"/>
    <w:rsid w:val="00BD5ECC"/>
    <w:rsid w:val="00BD62D7"/>
    <w:rsid w:val="00BD660D"/>
    <w:rsid w:val="00BD6834"/>
    <w:rsid w:val="00BD6DEE"/>
    <w:rsid w:val="00BD77F0"/>
    <w:rsid w:val="00BD7CCD"/>
    <w:rsid w:val="00BD7D0A"/>
    <w:rsid w:val="00BE0104"/>
    <w:rsid w:val="00BE099F"/>
    <w:rsid w:val="00BE0A3C"/>
    <w:rsid w:val="00BE17F3"/>
    <w:rsid w:val="00BE250B"/>
    <w:rsid w:val="00BE25F9"/>
    <w:rsid w:val="00BE379E"/>
    <w:rsid w:val="00BE3B2E"/>
    <w:rsid w:val="00BE3E24"/>
    <w:rsid w:val="00BE5896"/>
    <w:rsid w:val="00BE5965"/>
    <w:rsid w:val="00BE6157"/>
    <w:rsid w:val="00BE668D"/>
    <w:rsid w:val="00BE6D47"/>
    <w:rsid w:val="00BE7589"/>
    <w:rsid w:val="00BF1BEF"/>
    <w:rsid w:val="00BF1EE9"/>
    <w:rsid w:val="00BF228F"/>
    <w:rsid w:val="00BF25E8"/>
    <w:rsid w:val="00BF26A6"/>
    <w:rsid w:val="00BF2B17"/>
    <w:rsid w:val="00BF3A7D"/>
    <w:rsid w:val="00BF3B67"/>
    <w:rsid w:val="00BF4146"/>
    <w:rsid w:val="00BF4F02"/>
    <w:rsid w:val="00BF559A"/>
    <w:rsid w:val="00BF56B7"/>
    <w:rsid w:val="00BF69B2"/>
    <w:rsid w:val="00BF7602"/>
    <w:rsid w:val="00C00111"/>
    <w:rsid w:val="00C002D1"/>
    <w:rsid w:val="00C00D01"/>
    <w:rsid w:val="00C00EA7"/>
    <w:rsid w:val="00C0103B"/>
    <w:rsid w:val="00C0230D"/>
    <w:rsid w:val="00C02E6F"/>
    <w:rsid w:val="00C038AE"/>
    <w:rsid w:val="00C03C6C"/>
    <w:rsid w:val="00C04700"/>
    <w:rsid w:val="00C04AF4"/>
    <w:rsid w:val="00C05100"/>
    <w:rsid w:val="00C05468"/>
    <w:rsid w:val="00C055D1"/>
    <w:rsid w:val="00C05943"/>
    <w:rsid w:val="00C06079"/>
    <w:rsid w:val="00C06313"/>
    <w:rsid w:val="00C06C5C"/>
    <w:rsid w:val="00C06F30"/>
    <w:rsid w:val="00C07A91"/>
    <w:rsid w:val="00C07F5A"/>
    <w:rsid w:val="00C11C85"/>
    <w:rsid w:val="00C11DEE"/>
    <w:rsid w:val="00C11F71"/>
    <w:rsid w:val="00C13708"/>
    <w:rsid w:val="00C13A0A"/>
    <w:rsid w:val="00C13F2C"/>
    <w:rsid w:val="00C141A7"/>
    <w:rsid w:val="00C144B4"/>
    <w:rsid w:val="00C1499B"/>
    <w:rsid w:val="00C14B27"/>
    <w:rsid w:val="00C14E54"/>
    <w:rsid w:val="00C15B91"/>
    <w:rsid w:val="00C16633"/>
    <w:rsid w:val="00C17881"/>
    <w:rsid w:val="00C20708"/>
    <w:rsid w:val="00C21597"/>
    <w:rsid w:val="00C21816"/>
    <w:rsid w:val="00C2219F"/>
    <w:rsid w:val="00C22878"/>
    <w:rsid w:val="00C22ED7"/>
    <w:rsid w:val="00C2373E"/>
    <w:rsid w:val="00C2381C"/>
    <w:rsid w:val="00C2454F"/>
    <w:rsid w:val="00C24967"/>
    <w:rsid w:val="00C24C70"/>
    <w:rsid w:val="00C2591C"/>
    <w:rsid w:val="00C265D2"/>
    <w:rsid w:val="00C26AE5"/>
    <w:rsid w:val="00C27325"/>
    <w:rsid w:val="00C2737D"/>
    <w:rsid w:val="00C2776B"/>
    <w:rsid w:val="00C27C90"/>
    <w:rsid w:val="00C27D44"/>
    <w:rsid w:val="00C27DBE"/>
    <w:rsid w:val="00C27F85"/>
    <w:rsid w:val="00C30339"/>
    <w:rsid w:val="00C30617"/>
    <w:rsid w:val="00C30B19"/>
    <w:rsid w:val="00C324C4"/>
    <w:rsid w:val="00C32EF9"/>
    <w:rsid w:val="00C3404B"/>
    <w:rsid w:val="00C34072"/>
    <w:rsid w:val="00C341B2"/>
    <w:rsid w:val="00C34519"/>
    <w:rsid w:val="00C34888"/>
    <w:rsid w:val="00C34D4F"/>
    <w:rsid w:val="00C356BD"/>
    <w:rsid w:val="00C35B6A"/>
    <w:rsid w:val="00C35C7B"/>
    <w:rsid w:val="00C363B6"/>
    <w:rsid w:val="00C36D1B"/>
    <w:rsid w:val="00C3727A"/>
    <w:rsid w:val="00C37323"/>
    <w:rsid w:val="00C376EB"/>
    <w:rsid w:val="00C37BB4"/>
    <w:rsid w:val="00C37D1F"/>
    <w:rsid w:val="00C403A6"/>
    <w:rsid w:val="00C40DA4"/>
    <w:rsid w:val="00C40E39"/>
    <w:rsid w:val="00C422AF"/>
    <w:rsid w:val="00C42D07"/>
    <w:rsid w:val="00C44866"/>
    <w:rsid w:val="00C44EB0"/>
    <w:rsid w:val="00C4662D"/>
    <w:rsid w:val="00C4691A"/>
    <w:rsid w:val="00C50407"/>
    <w:rsid w:val="00C50EA3"/>
    <w:rsid w:val="00C515CC"/>
    <w:rsid w:val="00C52278"/>
    <w:rsid w:val="00C532B8"/>
    <w:rsid w:val="00C536F4"/>
    <w:rsid w:val="00C53A81"/>
    <w:rsid w:val="00C5411F"/>
    <w:rsid w:val="00C55149"/>
    <w:rsid w:val="00C554E3"/>
    <w:rsid w:val="00C55CBA"/>
    <w:rsid w:val="00C56037"/>
    <w:rsid w:val="00C5665A"/>
    <w:rsid w:val="00C567D3"/>
    <w:rsid w:val="00C56BFE"/>
    <w:rsid w:val="00C57734"/>
    <w:rsid w:val="00C6064A"/>
    <w:rsid w:val="00C60A3A"/>
    <w:rsid w:val="00C60D58"/>
    <w:rsid w:val="00C60E0F"/>
    <w:rsid w:val="00C62314"/>
    <w:rsid w:val="00C62826"/>
    <w:rsid w:val="00C62EEB"/>
    <w:rsid w:val="00C63020"/>
    <w:rsid w:val="00C63972"/>
    <w:rsid w:val="00C63A27"/>
    <w:rsid w:val="00C63DA3"/>
    <w:rsid w:val="00C640A8"/>
    <w:rsid w:val="00C64105"/>
    <w:rsid w:val="00C643A9"/>
    <w:rsid w:val="00C66751"/>
    <w:rsid w:val="00C6727C"/>
    <w:rsid w:val="00C67595"/>
    <w:rsid w:val="00C677EF"/>
    <w:rsid w:val="00C71286"/>
    <w:rsid w:val="00C712B6"/>
    <w:rsid w:val="00C72462"/>
    <w:rsid w:val="00C72BAA"/>
    <w:rsid w:val="00C7410E"/>
    <w:rsid w:val="00C74159"/>
    <w:rsid w:val="00C74BCF"/>
    <w:rsid w:val="00C75743"/>
    <w:rsid w:val="00C75BD7"/>
    <w:rsid w:val="00C76D1B"/>
    <w:rsid w:val="00C771E1"/>
    <w:rsid w:val="00C80DB1"/>
    <w:rsid w:val="00C80DB5"/>
    <w:rsid w:val="00C80E09"/>
    <w:rsid w:val="00C80F45"/>
    <w:rsid w:val="00C81AFB"/>
    <w:rsid w:val="00C82509"/>
    <w:rsid w:val="00C82733"/>
    <w:rsid w:val="00C82F12"/>
    <w:rsid w:val="00C833F0"/>
    <w:rsid w:val="00C834CB"/>
    <w:rsid w:val="00C84FAC"/>
    <w:rsid w:val="00C85500"/>
    <w:rsid w:val="00C86518"/>
    <w:rsid w:val="00C865E2"/>
    <w:rsid w:val="00C86C93"/>
    <w:rsid w:val="00C86D5D"/>
    <w:rsid w:val="00C8772C"/>
    <w:rsid w:val="00C879A5"/>
    <w:rsid w:val="00C87CD6"/>
    <w:rsid w:val="00C9184D"/>
    <w:rsid w:val="00C9216E"/>
    <w:rsid w:val="00C930C0"/>
    <w:rsid w:val="00C941D0"/>
    <w:rsid w:val="00C94C55"/>
    <w:rsid w:val="00C94D18"/>
    <w:rsid w:val="00C95744"/>
    <w:rsid w:val="00C95A62"/>
    <w:rsid w:val="00C964FC"/>
    <w:rsid w:val="00C96598"/>
    <w:rsid w:val="00C96CF2"/>
    <w:rsid w:val="00CA0115"/>
    <w:rsid w:val="00CA0B5C"/>
    <w:rsid w:val="00CA1F55"/>
    <w:rsid w:val="00CA2C6A"/>
    <w:rsid w:val="00CA3151"/>
    <w:rsid w:val="00CA35AC"/>
    <w:rsid w:val="00CA496B"/>
    <w:rsid w:val="00CA59F2"/>
    <w:rsid w:val="00CA5A1D"/>
    <w:rsid w:val="00CA6310"/>
    <w:rsid w:val="00CA6A6F"/>
    <w:rsid w:val="00CA6AC8"/>
    <w:rsid w:val="00CA7276"/>
    <w:rsid w:val="00CA75B9"/>
    <w:rsid w:val="00CB230C"/>
    <w:rsid w:val="00CB2A33"/>
    <w:rsid w:val="00CB3005"/>
    <w:rsid w:val="00CB372D"/>
    <w:rsid w:val="00CB4B83"/>
    <w:rsid w:val="00CB4C41"/>
    <w:rsid w:val="00CB4ECD"/>
    <w:rsid w:val="00CB515E"/>
    <w:rsid w:val="00CB58BA"/>
    <w:rsid w:val="00CB59B1"/>
    <w:rsid w:val="00CB5C0A"/>
    <w:rsid w:val="00CB5FC1"/>
    <w:rsid w:val="00CB67B1"/>
    <w:rsid w:val="00CB7CF3"/>
    <w:rsid w:val="00CC1ED7"/>
    <w:rsid w:val="00CC203E"/>
    <w:rsid w:val="00CC25E9"/>
    <w:rsid w:val="00CC270C"/>
    <w:rsid w:val="00CC3003"/>
    <w:rsid w:val="00CC39F6"/>
    <w:rsid w:val="00CC3C79"/>
    <w:rsid w:val="00CC3E8E"/>
    <w:rsid w:val="00CC435A"/>
    <w:rsid w:val="00CC45BF"/>
    <w:rsid w:val="00CC4E01"/>
    <w:rsid w:val="00CC519D"/>
    <w:rsid w:val="00CC538D"/>
    <w:rsid w:val="00CC5514"/>
    <w:rsid w:val="00CC569B"/>
    <w:rsid w:val="00CC5DB3"/>
    <w:rsid w:val="00CC5DDF"/>
    <w:rsid w:val="00CC5E53"/>
    <w:rsid w:val="00CC60E9"/>
    <w:rsid w:val="00CC6C5B"/>
    <w:rsid w:val="00CC720F"/>
    <w:rsid w:val="00CC7665"/>
    <w:rsid w:val="00CD05CC"/>
    <w:rsid w:val="00CD0749"/>
    <w:rsid w:val="00CD0902"/>
    <w:rsid w:val="00CD0CA4"/>
    <w:rsid w:val="00CD0F05"/>
    <w:rsid w:val="00CD2174"/>
    <w:rsid w:val="00CD26A0"/>
    <w:rsid w:val="00CD2845"/>
    <w:rsid w:val="00CD33EE"/>
    <w:rsid w:val="00CD4275"/>
    <w:rsid w:val="00CD45FC"/>
    <w:rsid w:val="00CD49B6"/>
    <w:rsid w:val="00CD4B94"/>
    <w:rsid w:val="00CD5DAD"/>
    <w:rsid w:val="00CD6180"/>
    <w:rsid w:val="00CD6973"/>
    <w:rsid w:val="00CD7EEA"/>
    <w:rsid w:val="00CE0125"/>
    <w:rsid w:val="00CE1618"/>
    <w:rsid w:val="00CE1BEA"/>
    <w:rsid w:val="00CE1F78"/>
    <w:rsid w:val="00CE26D1"/>
    <w:rsid w:val="00CE2C53"/>
    <w:rsid w:val="00CE2DAA"/>
    <w:rsid w:val="00CE3189"/>
    <w:rsid w:val="00CE388F"/>
    <w:rsid w:val="00CE42F5"/>
    <w:rsid w:val="00CE623F"/>
    <w:rsid w:val="00CE630C"/>
    <w:rsid w:val="00CE6E39"/>
    <w:rsid w:val="00CE6E58"/>
    <w:rsid w:val="00CE7E83"/>
    <w:rsid w:val="00CF15BC"/>
    <w:rsid w:val="00CF2372"/>
    <w:rsid w:val="00CF3033"/>
    <w:rsid w:val="00CF3871"/>
    <w:rsid w:val="00CF3C22"/>
    <w:rsid w:val="00CF3C8A"/>
    <w:rsid w:val="00CF40B9"/>
    <w:rsid w:val="00CF49A8"/>
    <w:rsid w:val="00CF51E6"/>
    <w:rsid w:val="00CF5248"/>
    <w:rsid w:val="00CF5679"/>
    <w:rsid w:val="00CF5B1D"/>
    <w:rsid w:val="00CF5D9B"/>
    <w:rsid w:val="00CF5E61"/>
    <w:rsid w:val="00CF6CD8"/>
    <w:rsid w:val="00CF748B"/>
    <w:rsid w:val="00CF796A"/>
    <w:rsid w:val="00CF7DA1"/>
    <w:rsid w:val="00D00911"/>
    <w:rsid w:val="00D02359"/>
    <w:rsid w:val="00D026BD"/>
    <w:rsid w:val="00D02FEC"/>
    <w:rsid w:val="00D03431"/>
    <w:rsid w:val="00D03D8F"/>
    <w:rsid w:val="00D049E6"/>
    <w:rsid w:val="00D04FF4"/>
    <w:rsid w:val="00D05437"/>
    <w:rsid w:val="00D05633"/>
    <w:rsid w:val="00D06F51"/>
    <w:rsid w:val="00D07E20"/>
    <w:rsid w:val="00D100CE"/>
    <w:rsid w:val="00D10BD2"/>
    <w:rsid w:val="00D1132E"/>
    <w:rsid w:val="00D114AA"/>
    <w:rsid w:val="00D11C1A"/>
    <w:rsid w:val="00D11E2B"/>
    <w:rsid w:val="00D13028"/>
    <w:rsid w:val="00D13303"/>
    <w:rsid w:val="00D133DB"/>
    <w:rsid w:val="00D13517"/>
    <w:rsid w:val="00D1366B"/>
    <w:rsid w:val="00D1468D"/>
    <w:rsid w:val="00D14D62"/>
    <w:rsid w:val="00D151D1"/>
    <w:rsid w:val="00D152AD"/>
    <w:rsid w:val="00D160B0"/>
    <w:rsid w:val="00D16330"/>
    <w:rsid w:val="00D16CBE"/>
    <w:rsid w:val="00D20461"/>
    <w:rsid w:val="00D21701"/>
    <w:rsid w:val="00D21BB4"/>
    <w:rsid w:val="00D22111"/>
    <w:rsid w:val="00D2216A"/>
    <w:rsid w:val="00D22761"/>
    <w:rsid w:val="00D22B46"/>
    <w:rsid w:val="00D23569"/>
    <w:rsid w:val="00D23DFB"/>
    <w:rsid w:val="00D240EA"/>
    <w:rsid w:val="00D24114"/>
    <w:rsid w:val="00D24420"/>
    <w:rsid w:val="00D25577"/>
    <w:rsid w:val="00D269AD"/>
    <w:rsid w:val="00D270A0"/>
    <w:rsid w:val="00D300EE"/>
    <w:rsid w:val="00D305E2"/>
    <w:rsid w:val="00D30A1D"/>
    <w:rsid w:val="00D30A31"/>
    <w:rsid w:val="00D30AF2"/>
    <w:rsid w:val="00D30C98"/>
    <w:rsid w:val="00D319DB"/>
    <w:rsid w:val="00D32514"/>
    <w:rsid w:val="00D328D4"/>
    <w:rsid w:val="00D338E2"/>
    <w:rsid w:val="00D33CC1"/>
    <w:rsid w:val="00D33F0F"/>
    <w:rsid w:val="00D33F19"/>
    <w:rsid w:val="00D35F08"/>
    <w:rsid w:val="00D36077"/>
    <w:rsid w:val="00D3682C"/>
    <w:rsid w:val="00D37BDD"/>
    <w:rsid w:val="00D405F9"/>
    <w:rsid w:val="00D41E88"/>
    <w:rsid w:val="00D42478"/>
    <w:rsid w:val="00D433AD"/>
    <w:rsid w:val="00D43559"/>
    <w:rsid w:val="00D43CB2"/>
    <w:rsid w:val="00D44269"/>
    <w:rsid w:val="00D443EC"/>
    <w:rsid w:val="00D44591"/>
    <w:rsid w:val="00D45ABF"/>
    <w:rsid w:val="00D45B02"/>
    <w:rsid w:val="00D45B95"/>
    <w:rsid w:val="00D4619E"/>
    <w:rsid w:val="00D46498"/>
    <w:rsid w:val="00D46FA6"/>
    <w:rsid w:val="00D473A4"/>
    <w:rsid w:val="00D50592"/>
    <w:rsid w:val="00D50912"/>
    <w:rsid w:val="00D50D11"/>
    <w:rsid w:val="00D50E9F"/>
    <w:rsid w:val="00D51CE3"/>
    <w:rsid w:val="00D53930"/>
    <w:rsid w:val="00D53EA9"/>
    <w:rsid w:val="00D54BB2"/>
    <w:rsid w:val="00D55305"/>
    <w:rsid w:val="00D55F3A"/>
    <w:rsid w:val="00D5663B"/>
    <w:rsid w:val="00D567F2"/>
    <w:rsid w:val="00D57347"/>
    <w:rsid w:val="00D57FD3"/>
    <w:rsid w:val="00D60E7A"/>
    <w:rsid w:val="00D61456"/>
    <w:rsid w:val="00D614D8"/>
    <w:rsid w:val="00D62B0F"/>
    <w:rsid w:val="00D63F14"/>
    <w:rsid w:val="00D642CB"/>
    <w:rsid w:val="00D64691"/>
    <w:rsid w:val="00D64D4B"/>
    <w:rsid w:val="00D650E2"/>
    <w:rsid w:val="00D65247"/>
    <w:rsid w:val="00D659F2"/>
    <w:rsid w:val="00D6674E"/>
    <w:rsid w:val="00D6714D"/>
    <w:rsid w:val="00D67213"/>
    <w:rsid w:val="00D67910"/>
    <w:rsid w:val="00D67D39"/>
    <w:rsid w:val="00D70682"/>
    <w:rsid w:val="00D7189F"/>
    <w:rsid w:val="00D7329C"/>
    <w:rsid w:val="00D734C3"/>
    <w:rsid w:val="00D7353F"/>
    <w:rsid w:val="00D743AA"/>
    <w:rsid w:val="00D74553"/>
    <w:rsid w:val="00D74A1E"/>
    <w:rsid w:val="00D74A43"/>
    <w:rsid w:val="00D74F7B"/>
    <w:rsid w:val="00D75247"/>
    <w:rsid w:val="00D752DC"/>
    <w:rsid w:val="00D75745"/>
    <w:rsid w:val="00D76246"/>
    <w:rsid w:val="00D80434"/>
    <w:rsid w:val="00D813D4"/>
    <w:rsid w:val="00D82278"/>
    <w:rsid w:val="00D823F7"/>
    <w:rsid w:val="00D83972"/>
    <w:rsid w:val="00D83F9B"/>
    <w:rsid w:val="00D84B34"/>
    <w:rsid w:val="00D8504C"/>
    <w:rsid w:val="00D851AA"/>
    <w:rsid w:val="00D854B6"/>
    <w:rsid w:val="00D863CF"/>
    <w:rsid w:val="00D8734B"/>
    <w:rsid w:val="00D875FF"/>
    <w:rsid w:val="00D87F84"/>
    <w:rsid w:val="00D90F57"/>
    <w:rsid w:val="00D90F90"/>
    <w:rsid w:val="00D91CE6"/>
    <w:rsid w:val="00D9218E"/>
    <w:rsid w:val="00D9253A"/>
    <w:rsid w:val="00D930F2"/>
    <w:rsid w:val="00D9393A"/>
    <w:rsid w:val="00D94333"/>
    <w:rsid w:val="00D9435C"/>
    <w:rsid w:val="00D9498B"/>
    <w:rsid w:val="00D95041"/>
    <w:rsid w:val="00D958B4"/>
    <w:rsid w:val="00D960CB"/>
    <w:rsid w:val="00D96B50"/>
    <w:rsid w:val="00D970A3"/>
    <w:rsid w:val="00D972B2"/>
    <w:rsid w:val="00D97D4F"/>
    <w:rsid w:val="00D97F05"/>
    <w:rsid w:val="00DA00A8"/>
    <w:rsid w:val="00DA091E"/>
    <w:rsid w:val="00DA238D"/>
    <w:rsid w:val="00DA2948"/>
    <w:rsid w:val="00DA3128"/>
    <w:rsid w:val="00DA33C5"/>
    <w:rsid w:val="00DA3588"/>
    <w:rsid w:val="00DA3B52"/>
    <w:rsid w:val="00DA400D"/>
    <w:rsid w:val="00DA4099"/>
    <w:rsid w:val="00DA45FD"/>
    <w:rsid w:val="00DA47C1"/>
    <w:rsid w:val="00DA4B63"/>
    <w:rsid w:val="00DA4E38"/>
    <w:rsid w:val="00DA4ED4"/>
    <w:rsid w:val="00DA57A1"/>
    <w:rsid w:val="00DA58CC"/>
    <w:rsid w:val="00DA5AB3"/>
    <w:rsid w:val="00DA5E4B"/>
    <w:rsid w:val="00DA6871"/>
    <w:rsid w:val="00DA75CA"/>
    <w:rsid w:val="00DA7832"/>
    <w:rsid w:val="00DA7D64"/>
    <w:rsid w:val="00DB0289"/>
    <w:rsid w:val="00DB05E1"/>
    <w:rsid w:val="00DB0712"/>
    <w:rsid w:val="00DB1378"/>
    <w:rsid w:val="00DB1832"/>
    <w:rsid w:val="00DB1B6A"/>
    <w:rsid w:val="00DB2EB1"/>
    <w:rsid w:val="00DB308B"/>
    <w:rsid w:val="00DB3FCB"/>
    <w:rsid w:val="00DB436B"/>
    <w:rsid w:val="00DB4388"/>
    <w:rsid w:val="00DB444B"/>
    <w:rsid w:val="00DB5CE0"/>
    <w:rsid w:val="00DB6978"/>
    <w:rsid w:val="00DB6F95"/>
    <w:rsid w:val="00DB6FD0"/>
    <w:rsid w:val="00DB73B1"/>
    <w:rsid w:val="00DC009F"/>
    <w:rsid w:val="00DC01DF"/>
    <w:rsid w:val="00DC050E"/>
    <w:rsid w:val="00DC1527"/>
    <w:rsid w:val="00DC1591"/>
    <w:rsid w:val="00DC24AA"/>
    <w:rsid w:val="00DC250E"/>
    <w:rsid w:val="00DC2C4A"/>
    <w:rsid w:val="00DC4560"/>
    <w:rsid w:val="00DC5503"/>
    <w:rsid w:val="00DC555E"/>
    <w:rsid w:val="00DC59B8"/>
    <w:rsid w:val="00DC7485"/>
    <w:rsid w:val="00DC7A59"/>
    <w:rsid w:val="00DC7C93"/>
    <w:rsid w:val="00DC7EF8"/>
    <w:rsid w:val="00DD0368"/>
    <w:rsid w:val="00DD0A60"/>
    <w:rsid w:val="00DD15B0"/>
    <w:rsid w:val="00DD20CB"/>
    <w:rsid w:val="00DD268B"/>
    <w:rsid w:val="00DD2D2E"/>
    <w:rsid w:val="00DD30DC"/>
    <w:rsid w:val="00DD3145"/>
    <w:rsid w:val="00DD3B64"/>
    <w:rsid w:val="00DD4904"/>
    <w:rsid w:val="00DD4C84"/>
    <w:rsid w:val="00DD54AF"/>
    <w:rsid w:val="00DD595D"/>
    <w:rsid w:val="00DD692E"/>
    <w:rsid w:val="00DD7155"/>
    <w:rsid w:val="00DE0553"/>
    <w:rsid w:val="00DE090B"/>
    <w:rsid w:val="00DE1233"/>
    <w:rsid w:val="00DE1976"/>
    <w:rsid w:val="00DE22DC"/>
    <w:rsid w:val="00DE2BE6"/>
    <w:rsid w:val="00DE3068"/>
    <w:rsid w:val="00DE31C8"/>
    <w:rsid w:val="00DE335E"/>
    <w:rsid w:val="00DE38C0"/>
    <w:rsid w:val="00DE46BE"/>
    <w:rsid w:val="00DE4D8D"/>
    <w:rsid w:val="00DE59DC"/>
    <w:rsid w:val="00DE5B35"/>
    <w:rsid w:val="00DE60AD"/>
    <w:rsid w:val="00DE6164"/>
    <w:rsid w:val="00DE6802"/>
    <w:rsid w:val="00DE6F4A"/>
    <w:rsid w:val="00DE717C"/>
    <w:rsid w:val="00DE722B"/>
    <w:rsid w:val="00DE79F0"/>
    <w:rsid w:val="00DE7BAB"/>
    <w:rsid w:val="00DF00AA"/>
    <w:rsid w:val="00DF11E2"/>
    <w:rsid w:val="00DF1504"/>
    <w:rsid w:val="00DF1A02"/>
    <w:rsid w:val="00DF1E7E"/>
    <w:rsid w:val="00DF1E7F"/>
    <w:rsid w:val="00DF2466"/>
    <w:rsid w:val="00DF29DA"/>
    <w:rsid w:val="00DF2DE8"/>
    <w:rsid w:val="00DF3215"/>
    <w:rsid w:val="00DF395B"/>
    <w:rsid w:val="00DF3BFF"/>
    <w:rsid w:val="00DF3EB7"/>
    <w:rsid w:val="00DF42BA"/>
    <w:rsid w:val="00DF4917"/>
    <w:rsid w:val="00DF581A"/>
    <w:rsid w:val="00DF58DD"/>
    <w:rsid w:val="00DF5CB0"/>
    <w:rsid w:val="00DF610A"/>
    <w:rsid w:val="00DF62BE"/>
    <w:rsid w:val="00E00082"/>
    <w:rsid w:val="00E000A0"/>
    <w:rsid w:val="00E0124F"/>
    <w:rsid w:val="00E0147D"/>
    <w:rsid w:val="00E01AEF"/>
    <w:rsid w:val="00E02106"/>
    <w:rsid w:val="00E02C15"/>
    <w:rsid w:val="00E04993"/>
    <w:rsid w:val="00E04C43"/>
    <w:rsid w:val="00E04E1C"/>
    <w:rsid w:val="00E051ED"/>
    <w:rsid w:val="00E05323"/>
    <w:rsid w:val="00E053CB"/>
    <w:rsid w:val="00E05E68"/>
    <w:rsid w:val="00E063D1"/>
    <w:rsid w:val="00E0657B"/>
    <w:rsid w:val="00E06F7E"/>
    <w:rsid w:val="00E06F85"/>
    <w:rsid w:val="00E07120"/>
    <w:rsid w:val="00E10371"/>
    <w:rsid w:val="00E103AB"/>
    <w:rsid w:val="00E1080F"/>
    <w:rsid w:val="00E1105F"/>
    <w:rsid w:val="00E11AA3"/>
    <w:rsid w:val="00E11EE0"/>
    <w:rsid w:val="00E1251B"/>
    <w:rsid w:val="00E12593"/>
    <w:rsid w:val="00E13083"/>
    <w:rsid w:val="00E140EF"/>
    <w:rsid w:val="00E14E34"/>
    <w:rsid w:val="00E153E7"/>
    <w:rsid w:val="00E155B2"/>
    <w:rsid w:val="00E15B27"/>
    <w:rsid w:val="00E172FA"/>
    <w:rsid w:val="00E17F00"/>
    <w:rsid w:val="00E2086E"/>
    <w:rsid w:val="00E20E04"/>
    <w:rsid w:val="00E21152"/>
    <w:rsid w:val="00E2171E"/>
    <w:rsid w:val="00E21CF9"/>
    <w:rsid w:val="00E21D48"/>
    <w:rsid w:val="00E22B3F"/>
    <w:rsid w:val="00E238A9"/>
    <w:rsid w:val="00E23AEB"/>
    <w:rsid w:val="00E2480D"/>
    <w:rsid w:val="00E26171"/>
    <w:rsid w:val="00E261FD"/>
    <w:rsid w:val="00E26245"/>
    <w:rsid w:val="00E26B84"/>
    <w:rsid w:val="00E27F1E"/>
    <w:rsid w:val="00E301F2"/>
    <w:rsid w:val="00E30417"/>
    <w:rsid w:val="00E30E7B"/>
    <w:rsid w:val="00E31277"/>
    <w:rsid w:val="00E324C2"/>
    <w:rsid w:val="00E32612"/>
    <w:rsid w:val="00E338AC"/>
    <w:rsid w:val="00E33CDE"/>
    <w:rsid w:val="00E34564"/>
    <w:rsid w:val="00E35003"/>
    <w:rsid w:val="00E35DC2"/>
    <w:rsid w:val="00E365F1"/>
    <w:rsid w:val="00E36D1D"/>
    <w:rsid w:val="00E372A5"/>
    <w:rsid w:val="00E37833"/>
    <w:rsid w:val="00E37D1F"/>
    <w:rsid w:val="00E401D6"/>
    <w:rsid w:val="00E40755"/>
    <w:rsid w:val="00E41728"/>
    <w:rsid w:val="00E4179F"/>
    <w:rsid w:val="00E41846"/>
    <w:rsid w:val="00E419A5"/>
    <w:rsid w:val="00E41B24"/>
    <w:rsid w:val="00E41D00"/>
    <w:rsid w:val="00E41E06"/>
    <w:rsid w:val="00E4330E"/>
    <w:rsid w:val="00E4422B"/>
    <w:rsid w:val="00E446D6"/>
    <w:rsid w:val="00E44B5F"/>
    <w:rsid w:val="00E4545C"/>
    <w:rsid w:val="00E45B6B"/>
    <w:rsid w:val="00E45C45"/>
    <w:rsid w:val="00E45D71"/>
    <w:rsid w:val="00E45DE6"/>
    <w:rsid w:val="00E46150"/>
    <w:rsid w:val="00E4675D"/>
    <w:rsid w:val="00E47CC2"/>
    <w:rsid w:val="00E47F9E"/>
    <w:rsid w:val="00E524A1"/>
    <w:rsid w:val="00E528A1"/>
    <w:rsid w:val="00E52B7A"/>
    <w:rsid w:val="00E52CFC"/>
    <w:rsid w:val="00E53475"/>
    <w:rsid w:val="00E5354C"/>
    <w:rsid w:val="00E53AAC"/>
    <w:rsid w:val="00E550CB"/>
    <w:rsid w:val="00E55116"/>
    <w:rsid w:val="00E557E3"/>
    <w:rsid w:val="00E55AC7"/>
    <w:rsid w:val="00E55E0D"/>
    <w:rsid w:val="00E56759"/>
    <w:rsid w:val="00E57561"/>
    <w:rsid w:val="00E6008C"/>
    <w:rsid w:val="00E60668"/>
    <w:rsid w:val="00E6069B"/>
    <w:rsid w:val="00E60C27"/>
    <w:rsid w:val="00E60E7A"/>
    <w:rsid w:val="00E616A5"/>
    <w:rsid w:val="00E6249B"/>
    <w:rsid w:val="00E64276"/>
    <w:rsid w:val="00E6462A"/>
    <w:rsid w:val="00E65552"/>
    <w:rsid w:val="00E65E63"/>
    <w:rsid w:val="00E65EC0"/>
    <w:rsid w:val="00E66DBF"/>
    <w:rsid w:val="00E70703"/>
    <w:rsid w:val="00E7075E"/>
    <w:rsid w:val="00E71605"/>
    <w:rsid w:val="00E71BD1"/>
    <w:rsid w:val="00E72BFF"/>
    <w:rsid w:val="00E72C36"/>
    <w:rsid w:val="00E7399E"/>
    <w:rsid w:val="00E7643B"/>
    <w:rsid w:val="00E76622"/>
    <w:rsid w:val="00E76CF3"/>
    <w:rsid w:val="00E7732C"/>
    <w:rsid w:val="00E8076F"/>
    <w:rsid w:val="00E80771"/>
    <w:rsid w:val="00E809D5"/>
    <w:rsid w:val="00E816A3"/>
    <w:rsid w:val="00E81D0D"/>
    <w:rsid w:val="00E8281E"/>
    <w:rsid w:val="00E830D2"/>
    <w:rsid w:val="00E83EBB"/>
    <w:rsid w:val="00E84051"/>
    <w:rsid w:val="00E841DD"/>
    <w:rsid w:val="00E86A19"/>
    <w:rsid w:val="00E874F0"/>
    <w:rsid w:val="00E9009A"/>
    <w:rsid w:val="00E902E3"/>
    <w:rsid w:val="00E91151"/>
    <w:rsid w:val="00E917F3"/>
    <w:rsid w:val="00E92088"/>
    <w:rsid w:val="00E922F5"/>
    <w:rsid w:val="00E926E4"/>
    <w:rsid w:val="00E92722"/>
    <w:rsid w:val="00E92A25"/>
    <w:rsid w:val="00E92B04"/>
    <w:rsid w:val="00E936E9"/>
    <w:rsid w:val="00E93C86"/>
    <w:rsid w:val="00E94ED2"/>
    <w:rsid w:val="00E94F8F"/>
    <w:rsid w:val="00E9530C"/>
    <w:rsid w:val="00E957F7"/>
    <w:rsid w:val="00E95DD0"/>
    <w:rsid w:val="00E96158"/>
    <w:rsid w:val="00E963C9"/>
    <w:rsid w:val="00E967A8"/>
    <w:rsid w:val="00E96908"/>
    <w:rsid w:val="00E969E5"/>
    <w:rsid w:val="00E96E40"/>
    <w:rsid w:val="00E97AB9"/>
    <w:rsid w:val="00EA0E52"/>
    <w:rsid w:val="00EA181B"/>
    <w:rsid w:val="00EA23B2"/>
    <w:rsid w:val="00EA253B"/>
    <w:rsid w:val="00EA2557"/>
    <w:rsid w:val="00EA2B40"/>
    <w:rsid w:val="00EA5B5E"/>
    <w:rsid w:val="00EA7437"/>
    <w:rsid w:val="00EA77C2"/>
    <w:rsid w:val="00EA7AB1"/>
    <w:rsid w:val="00EA7C9C"/>
    <w:rsid w:val="00EA7D9D"/>
    <w:rsid w:val="00EB00F1"/>
    <w:rsid w:val="00EB054F"/>
    <w:rsid w:val="00EB0771"/>
    <w:rsid w:val="00EB1001"/>
    <w:rsid w:val="00EB1608"/>
    <w:rsid w:val="00EB1CC5"/>
    <w:rsid w:val="00EB2F02"/>
    <w:rsid w:val="00EB385C"/>
    <w:rsid w:val="00EB4599"/>
    <w:rsid w:val="00EB4F97"/>
    <w:rsid w:val="00EB5419"/>
    <w:rsid w:val="00EB5DEC"/>
    <w:rsid w:val="00EB607A"/>
    <w:rsid w:val="00EB69F3"/>
    <w:rsid w:val="00EB6AA2"/>
    <w:rsid w:val="00EB6D4A"/>
    <w:rsid w:val="00EB726D"/>
    <w:rsid w:val="00EB79D8"/>
    <w:rsid w:val="00EB7BFB"/>
    <w:rsid w:val="00EC0D20"/>
    <w:rsid w:val="00EC0E09"/>
    <w:rsid w:val="00EC0E86"/>
    <w:rsid w:val="00EC17E1"/>
    <w:rsid w:val="00EC1975"/>
    <w:rsid w:val="00EC1FE6"/>
    <w:rsid w:val="00EC24EC"/>
    <w:rsid w:val="00EC2F55"/>
    <w:rsid w:val="00EC3425"/>
    <w:rsid w:val="00EC3ED7"/>
    <w:rsid w:val="00EC40D7"/>
    <w:rsid w:val="00EC569C"/>
    <w:rsid w:val="00EC6665"/>
    <w:rsid w:val="00EC6FC5"/>
    <w:rsid w:val="00EC7947"/>
    <w:rsid w:val="00EC79CB"/>
    <w:rsid w:val="00ED0411"/>
    <w:rsid w:val="00ED04FE"/>
    <w:rsid w:val="00ED085B"/>
    <w:rsid w:val="00ED1DF3"/>
    <w:rsid w:val="00ED2F4A"/>
    <w:rsid w:val="00ED362A"/>
    <w:rsid w:val="00ED4550"/>
    <w:rsid w:val="00ED4AF5"/>
    <w:rsid w:val="00ED4C9A"/>
    <w:rsid w:val="00ED4E8B"/>
    <w:rsid w:val="00ED53FC"/>
    <w:rsid w:val="00ED6232"/>
    <w:rsid w:val="00ED6FEA"/>
    <w:rsid w:val="00ED7235"/>
    <w:rsid w:val="00ED73D0"/>
    <w:rsid w:val="00ED7E73"/>
    <w:rsid w:val="00EE057F"/>
    <w:rsid w:val="00EE1556"/>
    <w:rsid w:val="00EE21A4"/>
    <w:rsid w:val="00EE2876"/>
    <w:rsid w:val="00EE2C92"/>
    <w:rsid w:val="00EE2F59"/>
    <w:rsid w:val="00EE3CF9"/>
    <w:rsid w:val="00EE4133"/>
    <w:rsid w:val="00EE46D5"/>
    <w:rsid w:val="00EE548A"/>
    <w:rsid w:val="00EE651E"/>
    <w:rsid w:val="00EE68E8"/>
    <w:rsid w:val="00EE69A6"/>
    <w:rsid w:val="00EE6F70"/>
    <w:rsid w:val="00EF0DCB"/>
    <w:rsid w:val="00EF0FDC"/>
    <w:rsid w:val="00EF1943"/>
    <w:rsid w:val="00EF1F8B"/>
    <w:rsid w:val="00EF3119"/>
    <w:rsid w:val="00EF46C7"/>
    <w:rsid w:val="00EF4FB0"/>
    <w:rsid w:val="00EF5365"/>
    <w:rsid w:val="00EF5FCD"/>
    <w:rsid w:val="00EF6E93"/>
    <w:rsid w:val="00EF730A"/>
    <w:rsid w:val="00EF7963"/>
    <w:rsid w:val="00F008A6"/>
    <w:rsid w:val="00F00A07"/>
    <w:rsid w:val="00F00BED"/>
    <w:rsid w:val="00F0278D"/>
    <w:rsid w:val="00F02A6E"/>
    <w:rsid w:val="00F02F7A"/>
    <w:rsid w:val="00F031AC"/>
    <w:rsid w:val="00F03322"/>
    <w:rsid w:val="00F0347D"/>
    <w:rsid w:val="00F03A8B"/>
    <w:rsid w:val="00F040DE"/>
    <w:rsid w:val="00F0412B"/>
    <w:rsid w:val="00F04206"/>
    <w:rsid w:val="00F045B7"/>
    <w:rsid w:val="00F04A6D"/>
    <w:rsid w:val="00F0503B"/>
    <w:rsid w:val="00F0547C"/>
    <w:rsid w:val="00F05824"/>
    <w:rsid w:val="00F05B97"/>
    <w:rsid w:val="00F06D2C"/>
    <w:rsid w:val="00F07500"/>
    <w:rsid w:val="00F112C6"/>
    <w:rsid w:val="00F113A7"/>
    <w:rsid w:val="00F116EC"/>
    <w:rsid w:val="00F1311B"/>
    <w:rsid w:val="00F145AB"/>
    <w:rsid w:val="00F148EA"/>
    <w:rsid w:val="00F149BA"/>
    <w:rsid w:val="00F149E1"/>
    <w:rsid w:val="00F14D6F"/>
    <w:rsid w:val="00F14EB8"/>
    <w:rsid w:val="00F156C9"/>
    <w:rsid w:val="00F157FB"/>
    <w:rsid w:val="00F15E19"/>
    <w:rsid w:val="00F207D1"/>
    <w:rsid w:val="00F240A6"/>
    <w:rsid w:val="00F249FC"/>
    <w:rsid w:val="00F24A14"/>
    <w:rsid w:val="00F252CD"/>
    <w:rsid w:val="00F25E37"/>
    <w:rsid w:val="00F26B5F"/>
    <w:rsid w:val="00F279D3"/>
    <w:rsid w:val="00F30319"/>
    <w:rsid w:val="00F3071A"/>
    <w:rsid w:val="00F30B72"/>
    <w:rsid w:val="00F30D54"/>
    <w:rsid w:val="00F30FC5"/>
    <w:rsid w:val="00F31440"/>
    <w:rsid w:val="00F31491"/>
    <w:rsid w:val="00F33BD1"/>
    <w:rsid w:val="00F34193"/>
    <w:rsid w:val="00F341CC"/>
    <w:rsid w:val="00F34343"/>
    <w:rsid w:val="00F34427"/>
    <w:rsid w:val="00F3459B"/>
    <w:rsid w:val="00F34A30"/>
    <w:rsid w:val="00F34BD0"/>
    <w:rsid w:val="00F34CDB"/>
    <w:rsid w:val="00F3534E"/>
    <w:rsid w:val="00F356A1"/>
    <w:rsid w:val="00F3584F"/>
    <w:rsid w:val="00F367D1"/>
    <w:rsid w:val="00F36F26"/>
    <w:rsid w:val="00F372CD"/>
    <w:rsid w:val="00F374DE"/>
    <w:rsid w:val="00F3795D"/>
    <w:rsid w:val="00F37E69"/>
    <w:rsid w:val="00F403AA"/>
    <w:rsid w:val="00F42CDE"/>
    <w:rsid w:val="00F42EC5"/>
    <w:rsid w:val="00F439CF"/>
    <w:rsid w:val="00F43F78"/>
    <w:rsid w:val="00F444AA"/>
    <w:rsid w:val="00F446AF"/>
    <w:rsid w:val="00F44BF1"/>
    <w:rsid w:val="00F44E86"/>
    <w:rsid w:val="00F45B78"/>
    <w:rsid w:val="00F4760B"/>
    <w:rsid w:val="00F477FE"/>
    <w:rsid w:val="00F47F33"/>
    <w:rsid w:val="00F5081F"/>
    <w:rsid w:val="00F50FE1"/>
    <w:rsid w:val="00F51A57"/>
    <w:rsid w:val="00F5211C"/>
    <w:rsid w:val="00F528A2"/>
    <w:rsid w:val="00F52F53"/>
    <w:rsid w:val="00F53084"/>
    <w:rsid w:val="00F5379C"/>
    <w:rsid w:val="00F53A68"/>
    <w:rsid w:val="00F53BE2"/>
    <w:rsid w:val="00F54AD1"/>
    <w:rsid w:val="00F54D3A"/>
    <w:rsid w:val="00F54E6A"/>
    <w:rsid w:val="00F54FAB"/>
    <w:rsid w:val="00F550B5"/>
    <w:rsid w:val="00F554FD"/>
    <w:rsid w:val="00F55BAD"/>
    <w:rsid w:val="00F56701"/>
    <w:rsid w:val="00F56B6A"/>
    <w:rsid w:val="00F56F64"/>
    <w:rsid w:val="00F57148"/>
    <w:rsid w:val="00F57A74"/>
    <w:rsid w:val="00F57C9B"/>
    <w:rsid w:val="00F600A0"/>
    <w:rsid w:val="00F60121"/>
    <w:rsid w:val="00F605F6"/>
    <w:rsid w:val="00F606EE"/>
    <w:rsid w:val="00F627F7"/>
    <w:rsid w:val="00F64BE4"/>
    <w:rsid w:val="00F660E9"/>
    <w:rsid w:val="00F670A2"/>
    <w:rsid w:val="00F673AE"/>
    <w:rsid w:val="00F67EC7"/>
    <w:rsid w:val="00F70A3B"/>
    <w:rsid w:val="00F72EBE"/>
    <w:rsid w:val="00F72F42"/>
    <w:rsid w:val="00F74748"/>
    <w:rsid w:val="00F74BF6"/>
    <w:rsid w:val="00F751CA"/>
    <w:rsid w:val="00F75C82"/>
    <w:rsid w:val="00F75FB8"/>
    <w:rsid w:val="00F76BA8"/>
    <w:rsid w:val="00F772B7"/>
    <w:rsid w:val="00F7758C"/>
    <w:rsid w:val="00F77797"/>
    <w:rsid w:val="00F77F47"/>
    <w:rsid w:val="00F80149"/>
    <w:rsid w:val="00F80606"/>
    <w:rsid w:val="00F80D1A"/>
    <w:rsid w:val="00F842D0"/>
    <w:rsid w:val="00F84386"/>
    <w:rsid w:val="00F849A8"/>
    <w:rsid w:val="00F85193"/>
    <w:rsid w:val="00F853D2"/>
    <w:rsid w:val="00F85B4B"/>
    <w:rsid w:val="00F85C0B"/>
    <w:rsid w:val="00F8643E"/>
    <w:rsid w:val="00F86796"/>
    <w:rsid w:val="00F86F97"/>
    <w:rsid w:val="00F87047"/>
    <w:rsid w:val="00F8754D"/>
    <w:rsid w:val="00F87F8A"/>
    <w:rsid w:val="00F903AD"/>
    <w:rsid w:val="00F91CAF"/>
    <w:rsid w:val="00F9313E"/>
    <w:rsid w:val="00F93281"/>
    <w:rsid w:val="00F93BFC"/>
    <w:rsid w:val="00F93FC7"/>
    <w:rsid w:val="00F946A1"/>
    <w:rsid w:val="00F9478B"/>
    <w:rsid w:val="00F94878"/>
    <w:rsid w:val="00F94B27"/>
    <w:rsid w:val="00F94C85"/>
    <w:rsid w:val="00F94D19"/>
    <w:rsid w:val="00F951E6"/>
    <w:rsid w:val="00F952D2"/>
    <w:rsid w:val="00F955C6"/>
    <w:rsid w:val="00F95674"/>
    <w:rsid w:val="00F957D6"/>
    <w:rsid w:val="00F958B6"/>
    <w:rsid w:val="00F95B45"/>
    <w:rsid w:val="00F96709"/>
    <w:rsid w:val="00F96CCC"/>
    <w:rsid w:val="00F9786D"/>
    <w:rsid w:val="00F97C96"/>
    <w:rsid w:val="00FA053D"/>
    <w:rsid w:val="00FA0770"/>
    <w:rsid w:val="00FA140F"/>
    <w:rsid w:val="00FA14FB"/>
    <w:rsid w:val="00FA1C56"/>
    <w:rsid w:val="00FA1D20"/>
    <w:rsid w:val="00FA2240"/>
    <w:rsid w:val="00FA24C6"/>
    <w:rsid w:val="00FA2C9F"/>
    <w:rsid w:val="00FA3B1C"/>
    <w:rsid w:val="00FA3B47"/>
    <w:rsid w:val="00FA3C5A"/>
    <w:rsid w:val="00FA46DB"/>
    <w:rsid w:val="00FA4B58"/>
    <w:rsid w:val="00FA549B"/>
    <w:rsid w:val="00FA57A8"/>
    <w:rsid w:val="00FA57CA"/>
    <w:rsid w:val="00FA5A5B"/>
    <w:rsid w:val="00FA5E01"/>
    <w:rsid w:val="00FA68C0"/>
    <w:rsid w:val="00FA6CD5"/>
    <w:rsid w:val="00FA700D"/>
    <w:rsid w:val="00FA7035"/>
    <w:rsid w:val="00FA74A8"/>
    <w:rsid w:val="00FA7BA1"/>
    <w:rsid w:val="00FB027B"/>
    <w:rsid w:val="00FB0AC6"/>
    <w:rsid w:val="00FB0CA1"/>
    <w:rsid w:val="00FB1067"/>
    <w:rsid w:val="00FB1384"/>
    <w:rsid w:val="00FB172A"/>
    <w:rsid w:val="00FB1961"/>
    <w:rsid w:val="00FB1EAA"/>
    <w:rsid w:val="00FB21B9"/>
    <w:rsid w:val="00FB2AE3"/>
    <w:rsid w:val="00FB2C25"/>
    <w:rsid w:val="00FB2E6B"/>
    <w:rsid w:val="00FB2EF5"/>
    <w:rsid w:val="00FB36BD"/>
    <w:rsid w:val="00FB3EC4"/>
    <w:rsid w:val="00FB479A"/>
    <w:rsid w:val="00FB5082"/>
    <w:rsid w:val="00FB6FB1"/>
    <w:rsid w:val="00FB73EA"/>
    <w:rsid w:val="00FC0241"/>
    <w:rsid w:val="00FC03FD"/>
    <w:rsid w:val="00FC041C"/>
    <w:rsid w:val="00FC0ACD"/>
    <w:rsid w:val="00FC146B"/>
    <w:rsid w:val="00FC235F"/>
    <w:rsid w:val="00FC25EC"/>
    <w:rsid w:val="00FC25F0"/>
    <w:rsid w:val="00FC3361"/>
    <w:rsid w:val="00FC4075"/>
    <w:rsid w:val="00FC47E3"/>
    <w:rsid w:val="00FC4D11"/>
    <w:rsid w:val="00FC5F25"/>
    <w:rsid w:val="00FC612F"/>
    <w:rsid w:val="00FC61CA"/>
    <w:rsid w:val="00FC70B0"/>
    <w:rsid w:val="00FC72DE"/>
    <w:rsid w:val="00FD0E55"/>
    <w:rsid w:val="00FD3B03"/>
    <w:rsid w:val="00FD3BE3"/>
    <w:rsid w:val="00FD4165"/>
    <w:rsid w:val="00FD4C62"/>
    <w:rsid w:val="00FD5032"/>
    <w:rsid w:val="00FD565E"/>
    <w:rsid w:val="00FD576D"/>
    <w:rsid w:val="00FD621E"/>
    <w:rsid w:val="00FD6852"/>
    <w:rsid w:val="00FD7103"/>
    <w:rsid w:val="00FD7A1A"/>
    <w:rsid w:val="00FD7ADC"/>
    <w:rsid w:val="00FD7DAD"/>
    <w:rsid w:val="00FE010B"/>
    <w:rsid w:val="00FE042B"/>
    <w:rsid w:val="00FE17E2"/>
    <w:rsid w:val="00FE24BE"/>
    <w:rsid w:val="00FE38D3"/>
    <w:rsid w:val="00FE39B2"/>
    <w:rsid w:val="00FE3E07"/>
    <w:rsid w:val="00FE42F6"/>
    <w:rsid w:val="00FE436D"/>
    <w:rsid w:val="00FE47FF"/>
    <w:rsid w:val="00FE4982"/>
    <w:rsid w:val="00FE4E76"/>
    <w:rsid w:val="00FE6C55"/>
    <w:rsid w:val="00FE6D09"/>
    <w:rsid w:val="00FE6E39"/>
    <w:rsid w:val="00FE7188"/>
    <w:rsid w:val="00FE7236"/>
    <w:rsid w:val="00FE7410"/>
    <w:rsid w:val="00FE75AD"/>
    <w:rsid w:val="00FE7D8A"/>
    <w:rsid w:val="00FF046E"/>
    <w:rsid w:val="00FF0523"/>
    <w:rsid w:val="00FF070A"/>
    <w:rsid w:val="00FF0B8B"/>
    <w:rsid w:val="00FF1EF2"/>
    <w:rsid w:val="00FF2CAB"/>
    <w:rsid w:val="00FF2EF0"/>
    <w:rsid w:val="00FF34D4"/>
    <w:rsid w:val="00FF3759"/>
    <w:rsid w:val="00FF3EA9"/>
    <w:rsid w:val="00FF4365"/>
    <w:rsid w:val="00FF437D"/>
    <w:rsid w:val="00FF480D"/>
    <w:rsid w:val="00FF57C2"/>
    <w:rsid w:val="00FF5A19"/>
    <w:rsid w:val="00FF6468"/>
    <w:rsid w:val="00FF6B8B"/>
    <w:rsid w:val="00FF6BD4"/>
    <w:rsid w:val="00FF7077"/>
    <w:rsid w:val="00FF75F6"/>
    <w:rsid w:val="011F694A"/>
    <w:rsid w:val="01B6A473"/>
    <w:rsid w:val="01E5E65E"/>
    <w:rsid w:val="036635F6"/>
    <w:rsid w:val="048A9491"/>
    <w:rsid w:val="04F6D142"/>
    <w:rsid w:val="06110627"/>
    <w:rsid w:val="062E2E93"/>
    <w:rsid w:val="06909EAE"/>
    <w:rsid w:val="06975CA6"/>
    <w:rsid w:val="06E69D60"/>
    <w:rsid w:val="07900E08"/>
    <w:rsid w:val="085AED33"/>
    <w:rsid w:val="091036EB"/>
    <w:rsid w:val="09AEEB75"/>
    <w:rsid w:val="0AA44970"/>
    <w:rsid w:val="0AD79346"/>
    <w:rsid w:val="0AF6051E"/>
    <w:rsid w:val="0BD6E50C"/>
    <w:rsid w:val="0C3B35DD"/>
    <w:rsid w:val="0C63A90D"/>
    <w:rsid w:val="0C9A7643"/>
    <w:rsid w:val="0CA1AF90"/>
    <w:rsid w:val="0CBC7F38"/>
    <w:rsid w:val="0E1E58AF"/>
    <w:rsid w:val="10B57E7F"/>
    <w:rsid w:val="114F466E"/>
    <w:rsid w:val="11B8E697"/>
    <w:rsid w:val="12228AF6"/>
    <w:rsid w:val="147675A7"/>
    <w:rsid w:val="14A34A2C"/>
    <w:rsid w:val="1652924C"/>
    <w:rsid w:val="17BC0FCA"/>
    <w:rsid w:val="17DB13EB"/>
    <w:rsid w:val="187E6FB0"/>
    <w:rsid w:val="190C87E7"/>
    <w:rsid w:val="1A592B3C"/>
    <w:rsid w:val="1AA91269"/>
    <w:rsid w:val="1AF955D7"/>
    <w:rsid w:val="1BB31DA7"/>
    <w:rsid w:val="1BBFC21C"/>
    <w:rsid w:val="1C750DF5"/>
    <w:rsid w:val="1E491E45"/>
    <w:rsid w:val="1E56E69B"/>
    <w:rsid w:val="1FFA5C1E"/>
    <w:rsid w:val="215930AB"/>
    <w:rsid w:val="21A90977"/>
    <w:rsid w:val="2276509C"/>
    <w:rsid w:val="228AFB7E"/>
    <w:rsid w:val="2504B951"/>
    <w:rsid w:val="25620781"/>
    <w:rsid w:val="264DED2A"/>
    <w:rsid w:val="26E312F3"/>
    <w:rsid w:val="27C82731"/>
    <w:rsid w:val="29F35A72"/>
    <w:rsid w:val="2A2B6291"/>
    <w:rsid w:val="2A7D4850"/>
    <w:rsid w:val="2B1645F6"/>
    <w:rsid w:val="2C2AB58E"/>
    <w:rsid w:val="2DFD62BA"/>
    <w:rsid w:val="2E666D86"/>
    <w:rsid w:val="300FC42F"/>
    <w:rsid w:val="31F0560D"/>
    <w:rsid w:val="32C3B783"/>
    <w:rsid w:val="33690B2A"/>
    <w:rsid w:val="358203E1"/>
    <w:rsid w:val="377683B0"/>
    <w:rsid w:val="3892677A"/>
    <w:rsid w:val="38ABFDDA"/>
    <w:rsid w:val="3953A550"/>
    <w:rsid w:val="39591EA1"/>
    <w:rsid w:val="398FDA66"/>
    <w:rsid w:val="3A03AE06"/>
    <w:rsid w:val="3B59500B"/>
    <w:rsid w:val="3BCFECB4"/>
    <w:rsid w:val="3C58E61B"/>
    <w:rsid w:val="3CEFF768"/>
    <w:rsid w:val="3DC6F801"/>
    <w:rsid w:val="3F7A4B1A"/>
    <w:rsid w:val="3FB8216D"/>
    <w:rsid w:val="41B0DA02"/>
    <w:rsid w:val="4268D20F"/>
    <w:rsid w:val="42B0AD52"/>
    <w:rsid w:val="431F62F1"/>
    <w:rsid w:val="4321CADA"/>
    <w:rsid w:val="4448C952"/>
    <w:rsid w:val="4585A503"/>
    <w:rsid w:val="46ADC8D4"/>
    <w:rsid w:val="48026C29"/>
    <w:rsid w:val="48760722"/>
    <w:rsid w:val="4ACA0438"/>
    <w:rsid w:val="4BE3042A"/>
    <w:rsid w:val="4BEFC5F7"/>
    <w:rsid w:val="4C5BBC04"/>
    <w:rsid w:val="4D223974"/>
    <w:rsid w:val="4E875F7F"/>
    <w:rsid w:val="4EC9DBBE"/>
    <w:rsid w:val="4EE391AC"/>
    <w:rsid w:val="4FFC09DB"/>
    <w:rsid w:val="509DC139"/>
    <w:rsid w:val="51ACAEA7"/>
    <w:rsid w:val="520D548D"/>
    <w:rsid w:val="54BDDDAC"/>
    <w:rsid w:val="5566778A"/>
    <w:rsid w:val="559D5049"/>
    <w:rsid w:val="55E39AB8"/>
    <w:rsid w:val="57A8CB67"/>
    <w:rsid w:val="583E3DD0"/>
    <w:rsid w:val="58A8D31E"/>
    <w:rsid w:val="58AFEC87"/>
    <w:rsid w:val="58FC3985"/>
    <w:rsid w:val="594A4BEE"/>
    <w:rsid w:val="59963349"/>
    <w:rsid w:val="5A951419"/>
    <w:rsid w:val="5EFC0B2F"/>
    <w:rsid w:val="5F987CFC"/>
    <w:rsid w:val="608173C1"/>
    <w:rsid w:val="621289F7"/>
    <w:rsid w:val="62835C84"/>
    <w:rsid w:val="652887D4"/>
    <w:rsid w:val="665C6116"/>
    <w:rsid w:val="676A8536"/>
    <w:rsid w:val="68B2E658"/>
    <w:rsid w:val="68BB05B4"/>
    <w:rsid w:val="69CB1926"/>
    <w:rsid w:val="6A653D0F"/>
    <w:rsid w:val="6AAE1B07"/>
    <w:rsid w:val="6BBA80A2"/>
    <w:rsid w:val="6BCDB023"/>
    <w:rsid w:val="6CB2571C"/>
    <w:rsid w:val="6D87E7DC"/>
    <w:rsid w:val="6E4FFD95"/>
    <w:rsid w:val="70D87844"/>
    <w:rsid w:val="72E1A8A7"/>
    <w:rsid w:val="734E1FE2"/>
    <w:rsid w:val="73DE76E0"/>
    <w:rsid w:val="73E3FCFF"/>
    <w:rsid w:val="742E92BE"/>
    <w:rsid w:val="747E5EC1"/>
    <w:rsid w:val="754001CC"/>
    <w:rsid w:val="7681AEF0"/>
    <w:rsid w:val="777DA0EF"/>
    <w:rsid w:val="77CAB688"/>
    <w:rsid w:val="7B40BE0E"/>
    <w:rsid w:val="7B94BD2B"/>
    <w:rsid w:val="7BDFFAA3"/>
    <w:rsid w:val="7C209BC1"/>
    <w:rsid w:val="7E7D2945"/>
    <w:rsid w:val="7E8E1A9A"/>
    <w:rsid w:val="7EA63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9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CC"/>
  </w:style>
  <w:style w:type="paragraph" w:styleId="Heading1">
    <w:name w:val="heading 1"/>
    <w:basedOn w:val="Normal"/>
    <w:next w:val="Normal"/>
    <w:link w:val="Heading1Char"/>
    <w:uiPriority w:val="9"/>
    <w:qFormat/>
    <w:rsid w:val="00E920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43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13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BE3042A"/>
  </w:style>
  <w:style w:type="character" w:customStyle="1" w:styleId="eop">
    <w:name w:val="eop"/>
    <w:basedOn w:val="DefaultParagraphFont"/>
    <w:uiPriority w:val="1"/>
    <w:rsid w:val="4BE3042A"/>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E920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643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13C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9313E"/>
    <w:pPr>
      <w:outlineLvl w:val="9"/>
    </w:pPr>
  </w:style>
  <w:style w:type="paragraph" w:styleId="TOC2">
    <w:name w:val="toc 2"/>
    <w:basedOn w:val="Normal"/>
    <w:next w:val="Normal"/>
    <w:autoRedefine/>
    <w:uiPriority w:val="39"/>
    <w:unhideWhenUsed/>
    <w:rsid w:val="00703C51"/>
    <w:pPr>
      <w:tabs>
        <w:tab w:val="left" w:pos="88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3A6B91"/>
    <w:pPr>
      <w:tabs>
        <w:tab w:val="left" w:pos="440"/>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901E27"/>
    <w:pPr>
      <w:tabs>
        <w:tab w:val="left" w:pos="1320"/>
        <w:tab w:val="right" w:leader="dot" w:pos="9350"/>
      </w:tabs>
      <w:spacing w:after="100"/>
      <w:ind w:left="440"/>
    </w:pPr>
    <w:rPr>
      <w:rFonts w:eastAsiaTheme="minorEastAsia" w:cs="Times New Roman"/>
    </w:rPr>
  </w:style>
  <w:style w:type="character" w:styleId="Hyperlink">
    <w:name w:val="Hyperlink"/>
    <w:basedOn w:val="DefaultParagraphFont"/>
    <w:uiPriority w:val="99"/>
    <w:unhideWhenUsed/>
    <w:rsid w:val="00F9313E"/>
    <w:rPr>
      <w:color w:val="0563C1" w:themeColor="hyperlink"/>
      <w:u w:val="single"/>
    </w:rPr>
  </w:style>
  <w:style w:type="paragraph" w:styleId="BodyText">
    <w:name w:val="Body Text"/>
    <w:basedOn w:val="Normal"/>
    <w:link w:val="BodyTextChar"/>
    <w:uiPriority w:val="1"/>
    <w:qFormat/>
    <w:rsid w:val="00724AE0"/>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724AE0"/>
    <w:rPr>
      <w:rFonts w:ascii="Calibri" w:eastAsia="Calibri" w:hAnsi="Calibri" w:cs="Calibri"/>
    </w:rPr>
  </w:style>
  <w:style w:type="paragraph" w:styleId="FootnoteText">
    <w:name w:val="footnote text"/>
    <w:basedOn w:val="Normal"/>
    <w:link w:val="FootnoteTextChar"/>
    <w:uiPriority w:val="99"/>
    <w:semiHidden/>
    <w:unhideWhenUsed/>
    <w:rsid w:val="00724AE0"/>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724AE0"/>
    <w:rPr>
      <w:rFonts w:ascii="Calibri" w:eastAsia="Calibri" w:hAnsi="Calibri" w:cs="Calibri"/>
      <w:sz w:val="20"/>
      <w:szCs w:val="20"/>
    </w:rPr>
  </w:style>
  <w:style w:type="character" w:styleId="FootnoteReference">
    <w:name w:val="footnote reference"/>
    <w:basedOn w:val="DefaultParagraphFont"/>
    <w:uiPriority w:val="99"/>
    <w:semiHidden/>
    <w:unhideWhenUsed/>
    <w:rsid w:val="00724AE0"/>
    <w:rPr>
      <w:vertAlign w:val="superscript"/>
    </w:rPr>
  </w:style>
  <w:style w:type="character" w:styleId="Strong">
    <w:name w:val="Strong"/>
    <w:basedOn w:val="DefaultParagraphFont"/>
    <w:uiPriority w:val="22"/>
    <w:qFormat/>
    <w:rsid w:val="00724AE0"/>
    <w:rPr>
      <w:b/>
      <w:bCs/>
    </w:rPr>
  </w:style>
  <w:style w:type="character" w:customStyle="1" w:styleId="cf01">
    <w:name w:val="cf01"/>
    <w:basedOn w:val="DefaultParagraphFont"/>
    <w:rsid w:val="00760D6A"/>
    <w:rPr>
      <w:rFonts w:ascii="Segoe UI" w:hAnsi="Segoe UI" w:cs="Segoe UI" w:hint="default"/>
      <w:sz w:val="18"/>
      <w:szCs w:val="18"/>
    </w:rPr>
  </w:style>
  <w:style w:type="paragraph" w:customStyle="1" w:styleId="Default">
    <w:name w:val="Default"/>
    <w:rsid w:val="002534F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42478"/>
    <w:rPr>
      <w:sz w:val="16"/>
      <w:szCs w:val="16"/>
    </w:rPr>
  </w:style>
  <w:style w:type="paragraph" w:styleId="CommentText">
    <w:name w:val="annotation text"/>
    <w:basedOn w:val="Normal"/>
    <w:link w:val="CommentTextChar"/>
    <w:uiPriority w:val="99"/>
    <w:unhideWhenUsed/>
    <w:rsid w:val="00D42478"/>
    <w:pPr>
      <w:spacing w:line="240" w:lineRule="auto"/>
    </w:pPr>
    <w:rPr>
      <w:sz w:val="20"/>
      <w:szCs w:val="20"/>
    </w:rPr>
  </w:style>
  <w:style w:type="character" w:customStyle="1" w:styleId="CommentTextChar">
    <w:name w:val="Comment Text Char"/>
    <w:basedOn w:val="DefaultParagraphFont"/>
    <w:link w:val="CommentText"/>
    <w:uiPriority w:val="99"/>
    <w:rsid w:val="00D42478"/>
    <w:rPr>
      <w:sz w:val="20"/>
      <w:szCs w:val="20"/>
    </w:rPr>
  </w:style>
  <w:style w:type="paragraph" w:styleId="CommentSubject">
    <w:name w:val="annotation subject"/>
    <w:basedOn w:val="CommentText"/>
    <w:next w:val="CommentText"/>
    <w:link w:val="CommentSubjectChar"/>
    <w:uiPriority w:val="99"/>
    <w:semiHidden/>
    <w:unhideWhenUsed/>
    <w:rsid w:val="00D42478"/>
    <w:rPr>
      <w:b/>
      <w:bCs/>
    </w:rPr>
  </w:style>
  <w:style w:type="character" w:customStyle="1" w:styleId="CommentSubjectChar">
    <w:name w:val="Comment Subject Char"/>
    <w:basedOn w:val="CommentTextChar"/>
    <w:link w:val="CommentSubject"/>
    <w:uiPriority w:val="99"/>
    <w:semiHidden/>
    <w:rsid w:val="00D42478"/>
    <w:rPr>
      <w:b/>
      <w:bCs/>
      <w:sz w:val="20"/>
      <w:szCs w:val="20"/>
    </w:rPr>
  </w:style>
  <w:style w:type="paragraph" w:styleId="Caption">
    <w:name w:val="caption"/>
    <w:basedOn w:val="Normal"/>
    <w:next w:val="Normal"/>
    <w:uiPriority w:val="35"/>
    <w:unhideWhenUsed/>
    <w:qFormat/>
    <w:rsid w:val="007609B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6B2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0FD"/>
  </w:style>
  <w:style w:type="paragraph" w:styleId="Footer">
    <w:name w:val="footer"/>
    <w:basedOn w:val="Normal"/>
    <w:link w:val="FooterChar"/>
    <w:uiPriority w:val="99"/>
    <w:unhideWhenUsed/>
    <w:rsid w:val="006B2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0FD"/>
  </w:style>
  <w:style w:type="paragraph" w:styleId="Revision">
    <w:name w:val="Revision"/>
    <w:hidden/>
    <w:uiPriority w:val="99"/>
    <w:semiHidden/>
    <w:rsid w:val="007862C0"/>
    <w:pPr>
      <w:spacing w:after="0" w:line="240" w:lineRule="auto"/>
    </w:pPr>
  </w:style>
  <w:style w:type="character" w:styleId="Mention">
    <w:name w:val="Mention"/>
    <w:basedOn w:val="DefaultParagraphFont"/>
    <w:uiPriority w:val="99"/>
    <w:unhideWhenUsed/>
    <w:rsid w:val="00A5755B"/>
    <w:rPr>
      <w:color w:val="2B579A"/>
      <w:shd w:val="clear" w:color="auto" w:fill="E1DFDD"/>
    </w:rPr>
  </w:style>
  <w:style w:type="character" w:styleId="UnresolvedMention">
    <w:name w:val="Unresolved Mention"/>
    <w:basedOn w:val="DefaultParagraphFont"/>
    <w:uiPriority w:val="99"/>
    <w:semiHidden/>
    <w:unhideWhenUsed/>
    <w:rsid w:val="00855C4D"/>
    <w:rPr>
      <w:color w:val="605E5C"/>
      <w:shd w:val="clear" w:color="auto" w:fill="E1DFDD"/>
    </w:rPr>
  </w:style>
  <w:style w:type="table" w:styleId="TableGrid">
    <w:name w:val="Table Grid"/>
    <w:basedOn w:val="TableNormal"/>
    <w:uiPriority w:val="39"/>
    <w:rsid w:val="00111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alspeed.org/index.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roadband.LoanLoss@cpuc.ca.gov"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docs.cpuc.ca.gov/PublishedDocs/Published/G000/M520/K736/520736029.docx" TargetMode="External" Id="R0639bca5df5748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968495AF5D9449F17F40483F67411" ma:contentTypeVersion="16" ma:contentTypeDescription="Create a new document." ma:contentTypeScope="" ma:versionID="7eb5087d2e1162a0c1fad5f7096e0503">
  <xsd:schema xmlns:xsd="http://www.w3.org/2001/XMLSchema" xmlns:xs="http://www.w3.org/2001/XMLSchema" xmlns:p="http://schemas.microsoft.com/office/2006/metadata/properties" xmlns:ns2="e1a57426-9749-4c23-86c3-efea7a992bae" xmlns:ns3="9a2b48c6-5563-4164-8f8a-ecb07070edf4" targetNamespace="http://schemas.microsoft.com/office/2006/metadata/properties" ma:root="true" ma:fieldsID="fe1d4afb8627af0072264738cb20d930" ns2:_="" ns3:_="">
    <xsd:import namespace="e1a57426-9749-4c23-86c3-efea7a992bae"/>
    <xsd:import namespace="9a2b48c6-5563-4164-8f8a-ecb07070ed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Assign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57426-9749-4c23-86c3-efea7a992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Assignment" ma:index="22" nillable="true" ma:displayName="Assignment" ma:format="Dropdown" ma:list="UserInfo" ma:SharePointGroup="0" ma:internalName="Assign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b48c6-5563-4164-8f8a-ecb07070ed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a01b0f-9f30-4597-882d-c6e865e3cfc8}" ma:internalName="TaxCatchAll" ma:showField="CatchAllData" ma:web="9a2b48c6-5563-4164-8f8a-ecb07070e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2b48c6-5563-4164-8f8a-ecb07070edf4" xsi:nil="true"/>
    <Assignment xmlns="e1a57426-9749-4c23-86c3-efea7a992bae">
      <UserInfo>
        <DisplayName/>
        <AccountId xsi:nil="true"/>
        <AccountType/>
      </UserInfo>
    </Assignment>
    <lcf76f155ced4ddcb4097134ff3c332f xmlns="e1a57426-9749-4c23-86c3-efea7a992bae">
      <Terms xmlns="http://schemas.microsoft.com/office/infopath/2007/PartnerControls"/>
    </lcf76f155ced4ddcb4097134ff3c332f>
    <SharedWithUsers xmlns="9a2b48c6-5563-4164-8f8a-ecb07070edf4">
      <UserInfo>
        <DisplayName>Krainsky, Ella</DisplayName>
        <AccountId>475</AccountId>
        <AccountType/>
      </UserInfo>
      <UserInfo>
        <DisplayName>Bawa, Niki</DisplayName>
        <AccountId>3281</AccountId>
        <AccountType/>
      </UserInfo>
      <UserInfo>
        <DisplayName>Beane, Angela</DisplayName>
        <AccountId>338</AccountId>
        <AccountType/>
      </UserInfo>
      <UserInfo>
        <DisplayName>Houck, Darcie L.</DisplayName>
        <AccountId>91</AccountId>
        <AccountType/>
      </UserInfo>
      <UserInfo>
        <DisplayName>Sung, Karin</DisplayName>
        <AccountId>2086</AccountId>
        <AccountType/>
      </UserInfo>
      <UserInfo>
        <DisplayName>Poschl, Christopher</DisplayName>
        <AccountId>897</AccountId>
        <AccountType/>
      </UserInfo>
    </SharedWithUsers>
  </documentManagement>
</p:properties>
</file>

<file path=customXml/itemProps1.xml><?xml version="1.0" encoding="utf-8"?>
<ds:datastoreItem xmlns:ds="http://schemas.openxmlformats.org/officeDocument/2006/customXml" ds:itemID="{98082EF6-1D60-4423-8F84-49EF292C9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57426-9749-4c23-86c3-efea7a992bae"/>
    <ds:schemaRef ds:uri="9a2b48c6-5563-4164-8f8a-ecb07070e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D552E-6DC7-4BA1-8EA8-98E056583E1B}">
  <ds:schemaRefs>
    <ds:schemaRef ds:uri="http://schemas.openxmlformats.org/officeDocument/2006/bibliography"/>
  </ds:schemaRefs>
</ds:datastoreItem>
</file>

<file path=customXml/itemProps3.xml><?xml version="1.0" encoding="utf-8"?>
<ds:datastoreItem xmlns:ds="http://schemas.openxmlformats.org/officeDocument/2006/customXml" ds:itemID="{12DEBD90-19ED-447A-9785-8D211EF23517}">
  <ds:schemaRefs>
    <ds:schemaRef ds:uri="http://schemas.microsoft.com/sharepoint/v3/contenttype/forms"/>
  </ds:schemaRefs>
</ds:datastoreItem>
</file>

<file path=customXml/itemProps4.xml><?xml version="1.0" encoding="utf-8"?>
<ds:datastoreItem xmlns:ds="http://schemas.openxmlformats.org/officeDocument/2006/customXml" ds:itemID="{97F280DD-81AC-45C0-BE46-7E76FAF901FE}">
  <ds:schemaRefs>
    <ds:schemaRef ds:uri="http://schemas.microsoft.com/office/2006/metadata/properties"/>
    <ds:schemaRef ds:uri="http://schemas.microsoft.com/office/infopath/2007/PartnerControls"/>
    <ds:schemaRef ds:uri="9a2b48c6-5563-4164-8f8a-ecb07070edf4"/>
    <ds:schemaRef ds:uri="e1a57426-9749-4c23-86c3-efea7a992bae"/>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9654</ap:Words>
  <ap:Characters>55034</ap:Characters>
  <ap:Application>Microsoft Office Word</ap:Application>
  <ap:DocSecurity>0</ap:DocSecurity>
  <ap:Lines>458</ap:Lines>
  <ap:Paragraphs>129</ap:Paragraphs>
  <ap:ScaleCrop>false</ap:ScaleCrop>
  <ap:Company/>
  <ap:LinksUpToDate>false</ap:LinksUpToDate>
  <ap:CharactersWithSpaces>64559</ap:CharactersWithSpaces>
  <ap:SharedDoc>false</ap:SharedDoc>
  <ap:HLinks>
    <vt:vector baseType="variant" size="330">
      <vt:variant>
        <vt:i4>8323131</vt:i4>
      </vt:variant>
      <vt:variant>
        <vt:i4>288</vt:i4>
      </vt:variant>
      <vt:variant>
        <vt:i4>0</vt:i4>
      </vt:variant>
      <vt:variant>
        <vt:i4>5</vt:i4>
      </vt:variant>
      <vt:variant>
        <vt:lpwstr>http://www.calspeed.org/index.html</vt:lpwstr>
      </vt:variant>
      <vt:variant>
        <vt:lpwstr/>
      </vt:variant>
      <vt:variant>
        <vt:i4>7143512</vt:i4>
      </vt:variant>
      <vt:variant>
        <vt:i4>285</vt:i4>
      </vt:variant>
      <vt:variant>
        <vt:i4>0</vt:i4>
      </vt:variant>
      <vt:variant>
        <vt:i4>5</vt:i4>
      </vt:variant>
      <vt:variant>
        <vt:lpwstr>mailto:Broadband.LoanLoss@cpuc.ca.gov</vt:lpwstr>
      </vt:variant>
      <vt:variant>
        <vt:lpwstr/>
      </vt:variant>
      <vt:variant>
        <vt:i4>1048632</vt:i4>
      </vt:variant>
      <vt:variant>
        <vt:i4>278</vt:i4>
      </vt:variant>
      <vt:variant>
        <vt:i4>0</vt:i4>
      </vt:variant>
      <vt:variant>
        <vt:i4>5</vt:i4>
      </vt:variant>
      <vt:variant>
        <vt:lpwstr/>
      </vt:variant>
      <vt:variant>
        <vt:lpwstr>_Toc149134369</vt:lpwstr>
      </vt:variant>
      <vt:variant>
        <vt:i4>1048632</vt:i4>
      </vt:variant>
      <vt:variant>
        <vt:i4>272</vt:i4>
      </vt:variant>
      <vt:variant>
        <vt:i4>0</vt:i4>
      </vt:variant>
      <vt:variant>
        <vt:i4>5</vt:i4>
      </vt:variant>
      <vt:variant>
        <vt:lpwstr/>
      </vt:variant>
      <vt:variant>
        <vt:lpwstr>_Toc149134368</vt:lpwstr>
      </vt:variant>
      <vt:variant>
        <vt:i4>1048632</vt:i4>
      </vt:variant>
      <vt:variant>
        <vt:i4>266</vt:i4>
      </vt:variant>
      <vt:variant>
        <vt:i4>0</vt:i4>
      </vt:variant>
      <vt:variant>
        <vt:i4>5</vt:i4>
      </vt:variant>
      <vt:variant>
        <vt:lpwstr/>
      </vt:variant>
      <vt:variant>
        <vt:lpwstr>_Toc149134362</vt:lpwstr>
      </vt:variant>
      <vt:variant>
        <vt:i4>1048632</vt:i4>
      </vt:variant>
      <vt:variant>
        <vt:i4>260</vt:i4>
      </vt:variant>
      <vt:variant>
        <vt:i4>0</vt:i4>
      </vt:variant>
      <vt:variant>
        <vt:i4>5</vt:i4>
      </vt:variant>
      <vt:variant>
        <vt:lpwstr/>
      </vt:variant>
      <vt:variant>
        <vt:lpwstr>_Toc149134361</vt:lpwstr>
      </vt:variant>
      <vt:variant>
        <vt:i4>1048632</vt:i4>
      </vt:variant>
      <vt:variant>
        <vt:i4>254</vt:i4>
      </vt:variant>
      <vt:variant>
        <vt:i4>0</vt:i4>
      </vt:variant>
      <vt:variant>
        <vt:i4>5</vt:i4>
      </vt:variant>
      <vt:variant>
        <vt:lpwstr/>
      </vt:variant>
      <vt:variant>
        <vt:lpwstr>_Toc149134360</vt:lpwstr>
      </vt:variant>
      <vt:variant>
        <vt:i4>1245240</vt:i4>
      </vt:variant>
      <vt:variant>
        <vt:i4>248</vt:i4>
      </vt:variant>
      <vt:variant>
        <vt:i4>0</vt:i4>
      </vt:variant>
      <vt:variant>
        <vt:i4>5</vt:i4>
      </vt:variant>
      <vt:variant>
        <vt:lpwstr/>
      </vt:variant>
      <vt:variant>
        <vt:lpwstr>_Toc149134359</vt:lpwstr>
      </vt:variant>
      <vt:variant>
        <vt:i4>1245240</vt:i4>
      </vt:variant>
      <vt:variant>
        <vt:i4>242</vt:i4>
      </vt:variant>
      <vt:variant>
        <vt:i4>0</vt:i4>
      </vt:variant>
      <vt:variant>
        <vt:i4>5</vt:i4>
      </vt:variant>
      <vt:variant>
        <vt:lpwstr/>
      </vt:variant>
      <vt:variant>
        <vt:lpwstr>_Toc149134358</vt:lpwstr>
      </vt:variant>
      <vt:variant>
        <vt:i4>1245240</vt:i4>
      </vt:variant>
      <vt:variant>
        <vt:i4>236</vt:i4>
      </vt:variant>
      <vt:variant>
        <vt:i4>0</vt:i4>
      </vt:variant>
      <vt:variant>
        <vt:i4>5</vt:i4>
      </vt:variant>
      <vt:variant>
        <vt:lpwstr/>
      </vt:variant>
      <vt:variant>
        <vt:lpwstr>_Toc149134357</vt:lpwstr>
      </vt:variant>
      <vt:variant>
        <vt:i4>1245240</vt:i4>
      </vt:variant>
      <vt:variant>
        <vt:i4>230</vt:i4>
      </vt:variant>
      <vt:variant>
        <vt:i4>0</vt:i4>
      </vt:variant>
      <vt:variant>
        <vt:i4>5</vt:i4>
      </vt:variant>
      <vt:variant>
        <vt:lpwstr/>
      </vt:variant>
      <vt:variant>
        <vt:lpwstr>_Toc149134356</vt:lpwstr>
      </vt:variant>
      <vt:variant>
        <vt:i4>1245240</vt:i4>
      </vt:variant>
      <vt:variant>
        <vt:i4>224</vt:i4>
      </vt:variant>
      <vt:variant>
        <vt:i4>0</vt:i4>
      </vt:variant>
      <vt:variant>
        <vt:i4>5</vt:i4>
      </vt:variant>
      <vt:variant>
        <vt:lpwstr/>
      </vt:variant>
      <vt:variant>
        <vt:lpwstr>_Toc149134355</vt:lpwstr>
      </vt:variant>
      <vt:variant>
        <vt:i4>1245240</vt:i4>
      </vt:variant>
      <vt:variant>
        <vt:i4>218</vt:i4>
      </vt:variant>
      <vt:variant>
        <vt:i4>0</vt:i4>
      </vt:variant>
      <vt:variant>
        <vt:i4>5</vt:i4>
      </vt:variant>
      <vt:variant>
        <vt:lpwstr/>
      </vt:variant>
      <vt:variant>
        <vt:lpwstr>_Toc149134354</vt:lpwstr>
      </vt:variant>
      <vt:variant>
        <vt:i4>1245240</vt:i4>
      </vt:variant>
      <vt:variant>
        <vt:i4>212</vt:i4>
      </vt:variant>
      <vt:variant>
        <vt:i4>0</vt:i4>
      </vt:variant>
      <vt:variant>
        <vt:i4>5</vt:i4>
      </vt:variant>
      <vt:variant>
        <vt:lpwstr/>
      </vt:variant>
      <vt:variant>
        <vt:lpwstr>_Toc149134353</vt:lpwstr>
      </vt:variant>
      <vt:variant>
        <vt:i4>1179704</vt:i4>
      </vt:variant>
      <vt:variant>
        <vt:i4>206</vt:i4>
      </vt:variant>
      <vt:variant>
        <vt:i4>0</vt:i4>
      </vt:variant>
      <vt:variant>
        <vt:i4>5</vt:i4>
      </vt:variant>
      <vt:variant>
        <vt:lpwstr/>
      </vt:variant>
      <vt:variant>
        <vt:lpwstr>_Toc149134349</vt:lpwstr>
      </vt:variant>
      <vt:variant>
        <vt:i4>1179704</vt:i4>
      </vt:variant>
      <vt:variant>
        <vt:i4>200</vt:i4>
      </vt:variant>
      <vt:variant>
        <vt:i4>0</vt:i4>
      </vt:variant>
      <vt:variant>
        <vt:i4>5</vt:i4>
      </vt:variant>
      <vt:variant>
        <vt:lpwstr/>
      </vt:variant>
      <vt:variant>
        <vt:lpwstr>_Toc149134348</vt:lpwstr>
      </vt:variant>
      <vt:variant>
        <vt:i4>1179704</vt:i4>
      </vt:variant>
      <vt:variant>
        <vt:i4>194</vt:i4>
      </vt:variant>
      <vt:variant>
        <vt:i4>0</vt:i4>
      </vt:variant>
      <vt:variant>
        <vt:i4>5</vt:i4>
      </vt:variant>
      <vt:variant>
        <vt:lpwstr/>
      </vt:variant>
      <vt:variant>
        <vt:lpwstr>_Toc149134347</vt:lpwstr>
      </vt:variant>
      <vt:variant>
        <vt:i4>1179704</vt:i4>
      </vt:variant>
      <vt:variant>
        <vt:i4>188</vt:i4>
      </vt:variant>
      <vt:variant>
        <vt:i4>0</vt:i4>
      </vt:variant>
      <vt:variant>
        <vt:i4>5</vt:i4>
      </vt:variant>
      <vt:variant>
        <vt:lpwstr/>
      </vt:variant>
      <vt:variant>
        <vt:lpwstr>_Toc149134346</vt:lpwstr>
      </vt:variant>
      <vt:variant>
        <vt:i4>1179704</vt:i4>
      </vt:variant>
      <vt:variant>
        <vt:i4>182</vt:i4>
      </vt:variant>
      <vt:variant>
        <vt:i4>0</vt:i4>
      </vt:variant>
      <vt:variant>
        <vt:i4>5</vt:i4>
      </vt:variant>
      <vt:variant>
        <vt:lpwstr/>
      </vt:variant>
      <vt:variant>
        <vt:lpwstr>_Toc149134345</vt:lpwstr>
      </vt:variant>
      <vt:variant>
        <vt:i4>1179704</vt:i4>
      </vt:variant>
      <vt:variant>
        <vt:i4>176</vt:i4>
      </vt:variant>
      <vt:variant>
        <vt:i4>0</vt:i4>
      </vt:variant>
      <vt:variant>
        <vt:i4>5</vt:i4>
      </vt:variant>
      <vt:variant>
        <vt:lpwstr/>
      </vt:variant>
      <vt:variant>
        <vt:lpwstr>_Toc149134344</vt:lpwstr>
      </vt:variant>
      <vt:variant>
        <vt:i4>1179704</vt:i4>
      </vt:variant>
      <vt:variant>
        <vt:i4>170</vt:i4>
      </vt:variant>
      <vt:variant>
        <vt:i4>0</vt:i4>
      </vt:variant>
      <vt:variant>
        <vt:i4>5</vt:i4>
      </vt:variant>
      <vt:variant>
        <vt:lpwstr/>
      </vt:variant>
      <vt:variant>
        <vt:lpwstr>_Toc149134343</vt:lpwstr>
      </vt:variant>
      <vt:variant>
        <vt:i4>1179704</vt:i4>
      </vt:variant>
      <vt:variant>
        <vt:i4>164</vt:i4>
      </vt:variant>
      <vt:variant>
        <vt:i4>0</vt:i4>
      </vt:variant>
      <vt:variant>
        <vt:i4>5</vt:i4>
      </vt:variant>
      <vt:variant>
        <vt:lpwstr/>
      </vt:variant>
      <vt:variant>
        <vt:lpwstr>_Toc149134342</vt:lpwstr>
      </vt:variant>
      <vt:variant>
        <vt:i4>1179704</vt:i4>
      </vt:variant>
      <vt:variant>
        <vt:i4>158</vt:i4>
      </vt:variant>
      <vt:variant>
        <vt:i4>0</vt:i4>
      </vt:variant>
      <vt:variant>
        <vt:i4>5</vt:i4>
      </vt:variant>
      <vt:variant>
        <vt:lpwstr/>
      </vt:variant>
      <vt:variant>
        <vt:lpwstr>_Toc149134341</vt:lpwstr>
      </vt:variant>
      <vt:variant>
        <vt:i4>1179704</vt:i4>
      </vt:variant>
      <vt:variant>
        <vt:i4>152</vt:i4>
      </vt:variant>
      <vt:variant>
        <vt:i4>0</vt:i4>
      </vt:variant>
      <vt:variant>
        <vt:i4>5</vt:i4>
      </vt:variant>
      <vt:variant>
        <vt:lpwstr/>
      </vt:variant>
      <vt:variant>
        <vt:lpwstr>_Toc149134340</vt:lpwstr>
      </vt:variant>
      <vt:variant>
        <vt:i4>1376312</vt:i4>
      </vt:variant>
      <vt:variant>
        <vt:i4>146</vt:i4>
      </vt:variant>
      <vt:variant>
        <vt:i4>0</vt:i4>
      </vt:variant>
      <vt:variant>
        <vt:i4>5</vt:i4>
      </vt:variant>
      <vt:variant>
        <vt:lpwstr/>
      </vt:variant>
      <vt:variant>
        <vt:lpwstr>_Toc149134339</vt:lpwstr>
      </vt:variant>
      <vt:variant>
        <vt:i4>1376312</vt:i4>
      </vt:variant>
      <vt:variant>
        <vt:i4>140</vt:i4>
      </vt:variant>
      <vt:variant>
        <vt:i4>0</vt:i4>
      </vt:variant>
      <vt:variant>
        <vt:i4>5</vt:i4>
      </vt:variant>
      <vt:variant>
        <vt:lpwstr/>
      </vt:variant>
      <vt:variant>
        <vt:lpwstr>_Toc149134338</vt:lpwstr>
      </vt:variant>
      <vt:variant>
        <vt:i4>1376312</vt:i4>
      </vt:variant>
      <vt:variant>
        <vt:i4>134</vt:i4>
      </vt:variant>
      <vt:variant>
        <vt:i4>0</vt:i4>
      </vt:variant>
      <vt:variant>
        <vt:i4>5</vt:i4>
      </vt:variant>
      <vt:variant>
        <vt:lpwstr/>
      </vt:variant>
      <vt:variant>
        <vt:lpwstr>_Toc149134337</vt:lpwstr>
      </vt:variant>
      <vt:variant>
        <vt:i4>1376312</vt:i4>
      </vt:variant>
      <vt:variant>
        <vt:i4>128</vt:i4>
      </vt:variant>
      <vt:variant>
        <vt:i4>0</vt:i4>
      </vt:variant>
      <vt:variant>
        <vt:i4>5</vt:i4>
      </vt:variant>
      <vt:variant>
        <vt:lpwstr/>
      </vt:variant>
      <vt:variant>
        <vt:lpwstr>_Toc149134336</vt:lpwstr>
      </vt:variant>
      <vt:variant>
        <vt:i4>1376312</vt:i4>
      </vt:variant>
      <vt:variant>
        <vt:i4>122</vt:i4>
      </vt:variant>
      <vt:variant>
        <vt:i4>0</vt:i4>
      </vt:variant>
      <vt:variant>
        <vt:i4>5</vt:i4>
      </vt:variant>
      <vt:variant>
        <vt:lpwstr/>
      </vt:variant>
      <vt:variant>
        <vt:lpwstr>_Toc149134335</vt:lpwstr>
      </vt:variant>
      <vt:variant>
        <vt:i4>1376312</vt:i4>
      </vt:variant>
      <vt:variant>
        <vt:i4>116</vt:i4>
      </vt:variant>
      <vt:variant>
        <vt:i4>0</vt:i4>
      </vt:variant>
      <vt:variant>
        <vt:i4>5</vt:i4>
      </vt:variant>
      <vt:variant>
        <vt:lpwstr/>
      </vt:variant>
      <vt:variant>
        <vt:lpwstr>_Toc149134334</vt:lpwstr>
      </vt:variant>
      <vt:variant>
        <vt:i4>1376312</vt:i4>
      </vt:variant>
      <vt:variant>
        <vt:i4>110</vt:i4>
      </vt:variant>
      <vt:variant>
        <vt:i4>0</vt:i4>
      </vt:variant>
      <vt:variant>
        <vt:i4>5</vt:i4>
      </vt:variant>
      <vt:variant>
        <vt:lpwstr/>
      </vt:variant>
      <vt:variant>
        <vt:lpwstr>_Toc149134333</vt:lpwstr>
      </vt:variant>
      <vt:variant>
        <vt:i4>1376312</vt:i4>
      </vt:variant>
      <vt:variant>
        <vt:i4>104</vt:i4>
      </vt:variant>
      <vt:variant>
        <vt:i4>0</vt:i4>
      </vt:variant>
      <vt:variant>
        <vt:i4>5</vt:i4>
      </vt:variant>
      <vt:variant>
        <vt:lpwstr/>
      </vt:variant>
      <vt:variant>
        <vt:lpwstr>_Toc149134332</vt:lpwstr>
      </vt:variant>
      <vt:variant>
        <vt:i4>1376312</vt:i4>
      </vt:variant>
      <vt:variant>
        <vt:i4>98</vt:i4>
      </vt:variant>
      <vt:variant>
        <vt:i4>0</vt:i4>
      </vt:variant>
      <vt:variant>
        <vt:i4>5</vt:i4>
      </vt:variant>
      <vt:variant>
        <vt:lpwstr/>
      </vt:variant>
      <vt:variant>
        <vt:lpwstr>_Toc149134331</vt:lpwstr>
      </vt:variant>
      <vt:variant>
        <vt:i4>1376312</vt:i4>
      </vt:variant>
      <vt:variant>
        <vt:i4>92</vt:i4>
      </vt:variant>
      <vt:variant>
        <vt:i4>0</vt:i4>
      </vt:variant>
      <vt:variant>
        <vt:i4>5</vt:i4>
      </vt:variant>
      <vt:variant>
        <vt:lpwstr/>
      </vt:variant>
      <vt:variant>
        <vt:lpwstr>_Toc149134330</vt:lpwstr>
      </vt:variant>
      <vt:variant>
        <vt:i4>1310776</vt:i4>
      </vt:variant>
      <vt:variant>
        <vt:i4>86</vt:i4>
      </vt:variant>
      <vt:variant>
        <vt:i4>0</vt:i4>
      </vt:variant>
      <vt:variant>
        <vt:i4>5</vt:i4>
      </vt:variant>
      <vt:variant>
        <vt:lpwstr/>
      </vt:variant>
      <vt:variant>
        <vt:lpwstr>_Toc149134329</vt:lpwstr>
      </vt:variant>
      <vt:variant>
        <vt:i4>1507384</vt:i4>
      </vt:variant>
      <vt:variant>
        <vt:i4>80</vt:i4>
      </vt:variant>
      <vt:variant>
        <vt:i4>0</vt:i4>
      </vt:variant>
      <vt:variant>
        <vt:i4>5</vt:i4>
      </vt:variant>
      <vt:variant>
        <vt:lpwstr/>
      </vt:variant>
      <vt:variant>
        <vt:lpwstr>_Toc149134318</vt:lpwstr>
      </vt:variant>
      <vt:variant>
        <vt:i4>1507384</vt:i4>
      </vt:variant>
      <vt:variant>
        <vt:i4>74</vt:i4>
      </vt:variant>
      <vt:variant>
        <vt:i4>0</vt:i4>
      </vt:variant>
      <vt:variant>
        <vt:i4>5</vt:i4>
      </vt:variant>
      <vt:variant>
        <vt:lpwstr/>
      </vt:variant>
      <vt:variant>
        <vt:lpwstr>_Toc149134317</vt:lpwstr>
      </vt:variant>
      <vt:variant>
        <vt:i4>1507384</vt:i4>
      </vt:variant>
      <vt:variant>
        <vt:i4>68</vt:i4>
      </vt:variant>
      <vt:variant>
        <vt:i4>0</vt:i4>
      </vt:variant>
      <vt:variant>
        <vt:i4>5</vt:i4>
      </vt:variant>
      <vt:variant>
        <vt:lpwstr/>
      </vt:variant>
      <vt:variant>
        <vt:lpwstr>_Toc149134316</vt:lpwstr>
      </vt:variant>
      <vt:variant>
        <vt:i4>1507384</vt:i4>
      </vt:variant>
      <vt:variant>
        <vt:i4>62</vt:i4>
      </vt:variant>
      <vt:variant>
        <vt:i4>0</vt:i4>
      </vt:variant>
      <vt:variant>
        <vt:i4>5</vt:i4>
      </vt:variant>
      <vt:variant>
        <vt:lpwstr/>
      </vt:variant>
      <vt:variant>
        <vt:lpwstr>_Toc149134315</vt:lpwstr>
      </vt:variant>
      <vt:variant>
        <vt:i4>1507384</vt:i4>
      </vt:variant>
      <vt:variant>
        <vt:i4>56</vt:i4>
      </vt:variant>
      <vt:variant>
        <vt:i4>0</vt:i4>
      </vt:variant>
      <vt:variant>
        <vt:i4>5</vt:i4>
      </vt:variant>
      <vt:variant>
        <vt:lpwstr/>
      </vt:variant>
      <vt:variant>
        <vt:lpwstr>_Toc149134314</vt:lpwstr>
      </vt:variant>
      <vt:variant>
        <vt:i4>1507384</vt:i4>
      </vt:variant>
      <vt:variant>
        <vt:i4>50</vt:i4>
      </vt:variant>
      <vt:variant>
        <vt:i4>0</vt:i4>
      </vt:variant>
      <vt:variant>
        <vt:i4>5</vt:i4>
      </vt:variant>
      <vt:variant>
        <vt:lpwstr/>
      </vt:variant>
      <vt:variant>
        <vt:lpwstr>_Toc149134313</vt:lpwstr>
      </vt:variant>
      <vt:variant>
        <vt:i4>1507384</vt:i4>
      </vt:variant>
      <vt:variant>
        <vt:i4>44</vt:i4>
      </vt:variant>
      <vt:variant>
        <vt:i4>0</vt:i4>
      </vt:variant>
      <vt:variant>
        <vt:i4>5</vt:i4>
      </vt:variant>
      <vt:variant>
        <vt:lpwstr/>
      </vt:variant>
      <vt:variant>
        <vt:lpwstr>_Toc149134312</vt:lpwstr>
      </vt:variant>
      <vt:variant>
        <vt:i4>1507384</vt:i4>
      </vt:variant>
      <vt:variant>
        <vt:i4>38</vt:i4>
      </vt:variant>
      <vt:variant>
        <vt:i4>0</vt:i4>
      </vt:variant>
      <vt:variant>
        <vt:i4>5</vt:i4>
      </vt:variant>
      <vt:variant>
        <vt:lpwstr/>
      </vt:variant>
      <vt:variant>
        <vt:lpwstr>_Toc149134311</vt:lpwstr>
      </vt:variant>
      <vt:variant>
        <vt:i4>1507384</vt:i4>
      </vt:variant>
      <vt:variant>
        <vt:i4>32</vt:i4>
      </vt:variant>
      <vt:variant>
        <vt:i4>0</vt:i4>
      </vt:variant>
      <vt:variant>
        <vt:i4>5</vt:i4>
      </vt:variant>
      <vt:variant>
        <vt:lpwstr/>
      </vt:variant>
      <vt:variant>
        <vt:lpwstr>_Toc149134310</vt:lpwstr>
      </vt:variant>
      <vt:variant>
        <vt:i4>1441848</vt:i4>
      </vt:variant>
      <vt:variant>
        <vt:i4>26</vt:i4>
      </vt:variant>
      <vt:variant>
        <vt:i4>0</vt:i4>
      </vt:variant>
      <vt:variant>
        <vt:i4>5</vt:i4>
      </vt:variant>
      <vt:variant>
        <vt:lpwstr/>
      </vt:variant>
      <vt:variant>
        <vt:lpwstr>_Toc149134309</vt:lpwstr>
      </vt:variant>
      <vt:variant>
        <vt:i4>1441848</vt:i4>
      </vt:variant>
      <vt:variant>
        <vt:i4>20</vt:i4>
      </vt:variant>
      <vt:variant>
        <vt:i4>0</vt:i4>
      </vt:variant>
      <vt:variant>
        <vt:i4>5</vt:i4>
      </vt:variant>
      <vt:variant>
        <vt:lpwstr/>
      </vt:variant>
      <vt:variant>
        <vt:lpwstr>_Toc149134308</vt:lpwstr>
      </vt:variant>
      <vt:variant>
        <vt:i4>1441848</vt:i4>
      </vt:variant>
      <vt:variant>
        <vt:i4>14</vt:i4>
      </vt:variant>
      <vt:variant>
        <vt:i4>0</vt:i4>
      </vt:variant>
      <vt:variant>
        <vt:i4>5</vt:i4>
      </vt:variant>
      <vt:variant>
        <vt:lpwstr/>
      </vt:variant>
      <vt:variant>
        <vt:lpwstr>_Toc149134307</vt:lpwstr>
      </vt:variant>
      <vt:variant>
        <vt:i4>1441848</vt:i4>
      </vt:variant>
      <vt:variant>
        <vt:i4>8</vt:i4>
      </vt:variant>
      <vt:variant>
        <vt:i4>0</vt:i4>
      </vt:variant>
      <vt:variant>
        <vt:i4>5</vt:i4>
      </vt:variant>
      <vt:variant>
        <vt:lpwstr/>
      </vt:variant>
      <vt:variant>
        <vt:lpwstr>_Toc149134306</vt:lpwstr>
      </vt:variant>
      <vt:variant>
        <vt:i4>1441848</vt:i4>
      </vt:variant>
      <vt:variant>
        <vt:i4>2</vt:i4>
      </vt:variant>
      <vt:variant>
        <vt:i4>0</vt:i4>
      </vt:variant>
      <vt:variant>
        <vt:i4>5</vt:i4>
      </vt:variant>
      <vt:variant>
        <vt:lpwstr/>
      </vt:variant>
      <vt:variant>
        <vt:lpwstr>_Toc149134305</vt:lpwstr>
      </vt:variant>
      <vt:variant>
        <vt:i4>7274586</vt:i4>
      </vt:variant>
      <vt:variant>
        <vt:i4>15</vt:i4>
      </vt:variant>
      <vt:variant>
        <vt:i4>0</vt:i4>
      </vt:variant>
      <vt:variant>
        <vt:i4>5</vt:i4>
      </vt:variant>
      <vt:variant>
        <vt:lpwstr>mailto:christopher.poschl@cpuc.ca.gov</vt:lpwstr>
      </vt:variant>
      <vt:variant>
        <vt:lpwstr/>
      </vt:variant>
      <vt:variant>
        <vt:i4>8126556</vt:i4>
      </vt:variant>
      <vt:variant>
        <vt:i4>12</vt:i4>
      </vt:variant>
      <vt:variant>
        <vt:i4>0</vt:i4>
      </vt:variant>
      <vt:variant>
        <vt:i4>5</vt:i4>
      </vt:variant>
      <vt:variant>
        <vt:lpwstr>mailto:Justin.Fong@cpuc.ca.gov</vt:lpwstr>
      </vt:variant>
      <vt:variant>
        <vt:lpwstr/>
      </vt:variant>
      <vt:variant>
        <vt:i4>2293785</vt:i4>
      </vt:variant>
      <vt:variant>
        <vt:i4>9</vt:i4>
      </vt:variant>
      <vt:variant>
        <vt:i4>0</vt:i4>
      </vt:variant>
      <vt:variant>
        <vt:i4>5</vt:i4>
      </vt:variant>
      <vt:variant>
        <vt:lpwstr>mailto:valerie.kao@cpuc.ca.gov</vt:lpwstr>
      </vt:variant>
      <vt:variant>
        <vt:lpwstr/>
      </vt:variant>
      <vt:variant>
        <vt:i4>2293785</vt:i4>
      </vt:variant>
      <vt:variant>
        <vt:i4>6</vt:i4>
      </vt:variant>
      <vt:variant>
        <vt:i4>0</vt:i4>
      </vt:variant>
      <vt:variant>
        <vt:i4>5</vt:i4>
      </vt:variant>
      <vt:variant>
        <vt:lpwstr>mailto:valerie.kao@cpuc.ca.gov</vt:lpwstr>
      </vt:variant>
      <vt:variant>
        <vt:lpwstr/>
      </vt:variant>
      <vt:variant>
        <vt:i4>7274586</vt:i4>
      </vt:variant>
      <vt:variant>
        <vt:i4>3</vt:i4>
      </vt:variant>
      <vt:variant>
        <vt:i4>0</vt:i4>
      </vt:variant>
      <vt:variant>
        <vt:i4>5</vt:i4>
      </vt:variant>
      <vt:variant>
        <vt:lpwstr>mailto:christopher.poschl@cpuc.ca.gov</vt:lpwstr>
      </vt:variant>
      <vt:variant>
        <vt:lpwstr/>
      </vt:variant>
      <vt:variant>
        <vt:i4>8126556</vt:i4>
      </vt:variant>
      <vt:variant>
        <vt:i4>0</vt:i4>
      </vt:variant>
      <vt:variant>
        <vt:i4>0</vt:i4>
      </vt:variant>
      <vt:variant>
        <vt:i4>5</vt:i4>
      </vt:variant>
      <vt:variant>
        <vt:lpwstr>mailto:Justin.Fong@cpuc.ca.gov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2023-11-28T17:08:32Z</dcterms:created>
  <dcterms:modified xsi:type="dcterms:W3CDTF">2023-11-28T17:08:32Z</dcterms:modified>
</cp:coreProperties>
</file>