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2ADF" w:rsidR="007C6800" w:rsidP="00C62ADF" w:rsidRDefault="00884F2B" w14:paraId="2CD41546" w14:textId="4B1CA891">
      <w:pPr>
        <w:tabs>
          <w:tab w:val="center" w:pos="4680"/>
          <w:tab w:val="right" w:pos="9360"/>
        </w:tabs>
        <w:spacing w:line="240" w:lineRule="auto"/>
        <w:ind w:firstLine="0"/>
        <w:rPr>
          <w:b/>
          <w:bCs/>
        </w:rPr>
      </w:pPr>
      <w:r>
        <w:t>ALJ</w:t>
      </w:r>
      <w:r w:rsidR="00DA7B5D">
        <w:t>/</w:t>
      </w:r>
      <w:r>
        <w:t>CS8</w:t>
      </w:r>
      <w:r w:rsidR="00DA7B5D">
        <w:t>/</w:t>
      </w:r>
      <w:r w:rsidR="00AC5050">
        <w:t>mph</w:t>
      </w:r>
      <w:r w:rsidR="007E0FEE">
        <w:tab/>
      </w:r>
      <w:r w:rsidR="00C62ADF">
        <w:tab/>
      </w:r>
      <w:r w:rsidRPr="00C62ADF" w:rsidR="00C62ADF">
        <w:rPr>
          <w:b/>
          <w:bCs/>
        </w:rPr>
        <w:t>Date of Issuance 12/</w:t>
      </w:r>
      <w:r w:rsidR="00973ABF">
        <w:rPr>
          <w:b/>
          <w:bCs/>
        </w:rPr>
        <w:t>1</w:t>
      </w:r>
      <w:r w:rsidRPr="00C62ADF" w:rsidR="00C62ADF">
        <w:rPr>
          <w:b/>
          <w:bCs/>
        </w:rPr>
        <w:t>/2023</w:t>
      </w:r>
    </w:p>
    <w:p w:rsidR="00DA7B5D" w:rsidP="008F0116" w:rsidRDefault="00DA7B5D" w14:paraId="3799E78C" w14:textId="77777777">
      <w:pPr>
        <w:ind w:firstLine="0"/>
      </w:pPr>
    </w:p>
    <w:p w:rsidRPr="007855A4" w:rsidR="00DA7B5D" w:rsidP="0098655A" w:rsidRDefault="00A14797" w14:paraId="2654B5BC" w14:textId="3D252463">
      <w:pPr>
        <w:ind w:left="1080" w:hanging="1080"/>
        <w:rPr>
          <w:b/>
          <w:bCs/>
        </w:rPr>
      </w:pPr>
      <w:r>
        <w:t>Decision</w:t>
      </w:r>
      <w:r w:rsidR="00DA7B5D">
        <w:t xml:space="preserve"> </w:t>
      </w:r>
      <w:r w:rsidR="00C62ADF">
        <w:t>23-11-</w:t>
      </w:r>
      <w:proofErr w:type="gramStart"/>
      <w:r w:rsidR="00C62ADF">
        <w:t>094  November</w:t>
      </w:r>
      <w:proofErr w:type="gramEnd"/>
      <w:r w:rsidR="00C62ADF">
        <w:t xml:space="preserve"> 30, 2023</w:t>
      </w:r>
    </w:p>
    <w:p w:rsidR="00DA7B5D" w:rsidP="00BB0243" w:rsidRDefault="00DA7B5D" w14:paraId="1ACCB8E7" w14:textId="77777777">
      <w:pPr>
        <w:spacing w:line="240" w:lineRule="auto"/>
        <w:jc w:val="center"/>
        <w:rPr>
          <w:u w:val="single"/>
        </w:rPr>
      </w:pPr>
    </w:p>
    <w:p w:rsidR="00DA7B5D" w:rsidP="00BB0243" w:rsidRDefault="00DA7B5D" w14:paraId="3ADE33F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97C2720"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10181BEE"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FD0BFE" w14:paraId="2AF5F0C2" w14:textId="14E02807">
            <w:pPr>
              <w:spacing w:line="240" w:lineRule="auto"/>
              <w:ind w:firstLine="0"/>
              <w:rPr>
                <w:rFonts w:cs="Arial"/>
                <w:szCs w:val="26"/>
              </w:rPr>
            </w:pPr>
            <w:r>
              <w:t>Application of Southern California Edison Company (U 338-E) For Approval of Its 2024 ERRA Forecast Proceeding Revenue Requirement.</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6E35C4" w14:paraId="38221F50" w14:textId="2D081C4F">
            <w:pPr>
              <w:spacing w:line="240" w:lineRule="auto"/>
              <w:ind w:firstLine="0"/>
              <w:jc w:val="center"/>
              <w:rPr>
                <w:rFonts w:cs="Arial"/>
                <w:szCs w:val="26"/>
              </w:rPr>
            </w:pPr>
            <w:r>
              <w:rPr>
                <w:rFonts w:cs="Arial"/>
                <w:szCs w:val="26"/>
              </w:rPr>
              <w:t>Application 2</w:t>
            </w:r>
            <w:r w:rsidR="00FD0BFE">
              <w:rPr>
                <w:rFonts w:cs="Arial"/>
                <w:szCs w:val="26"/>
              </w:rPr>
              <w:t>3</w:t>
            </w:r>
            <w:r>
              <w:rPr>
                <w:rFonts w:cs="Arial"/>
                <w:szCs w:val="26"/>
              </w:rPr>
              <w:t>-0</w:t>
            </w:r>
            <w:r w:rsidR="00FD0BFE">
              <w:rPr>
                <w:rFonts w:cs="Arial"/>
                <w:szCs w:val="26"/>
              </w:rPr>
              <w:t>6</w:t>
            </w:r>
            <w:r>
              <w:rPr>
                <w:rFonts w:cs="Arial"/>
                <w:szCs w:val="26"/>
              </w:rPr>
              <w:t>-00</w:t>
            </w:r>
            <w:r w:rsidR="00FD0BFE">
              <w:rPr>
                <w:rFonts w:cs="Arial"/>
                <w:szCs w:val="26"/>
              </w:rPr>
              <w:t>1</w:t>
            </w:r>
          </w:p>
        </w:tc>
      </w:tr>
    </w:tbl>
    <w:p w:rsidR="00DA7B5D" w:rsidP="008F0116" w:rsidRDefault="00DA7B5D" w14:paraId="07F4211A" w14:textId="77777777">
      <w:pPr>
        <w:spacing w:line="240" w:lineRule="auto"/>
        <w:ind w:firstLine="0"/>
        <w:rPr>
          <w:rFonts w:ascii="Arial" w:hAnsi="Arial" w:cs="Arial"/>
          <w:sz w:val="24"/>
          <w:szCs w:val="24"/>
        </w:rPr>
      </w:pPr>
    </w:p>
    <w:p w:rsidR="00DA7B5D" w:rsidP="008F0116" w:rsidRDefault="00DA7B5D" w14:paraId="3BA6994B" w14:textId="77777777">
      <w:pPr>
        <w:spacing w:line="240" w:lineRule="auto"/>
        <w:ind w:firstLine="0"/>
        <w:rPr>
          <w:rFonts w:ascii="Arial" w:hAnsi="Arial" w:cs="Arial"/>
          <w:sz w:val="24"/>
          <w:szCs w:val="24"/>
        </w:rPr>
      </w:pPr>
    </w:p>
    <w:p w:rsidR="00F92385" w:rsidP="00B3087D" w:rsidRDefault="00DD0D0E" w14:paraId="10BDF376" w14:textId="5C3FA0FE">
      <w:pPr>
        <w:pStyle w:val="Dummy"/>
        <w:jc w:val="center"/>
      </w:pPr>
      <w:bookmarkStart w:name="_Toc152331380" w:id="0"/>
      <w:r>
        <w:t>SOUTHERN CALIFORNIA EDISON</w:t>
      </w:r>
      <w:r w:rsidR="00C4704F">
        <w:t xml:space="preserve"> COMPANY</w:t>
      </w:r>
      <w:r>
        <w:t xml:space="preserve">’S 2024 ENERGY </w:t>
      </w:r>
      <w:r w:rsidR="00591635">
        <w:br/>
      </w:r>
      <w:r>
        <w:t>RESOURCE RECOVERY ACCOUNT FORECAST</w:t>
      </w:r>
      <w:bookmarkEnd w:id="0"/>
    </w:p>
    <w:p w:rsidR="00591635" w:rsidP="00591635" w:rsidRDefault="00591635" w14:paraId="277C5828" w14:textId="77777777"/>
    <w:p w:rsidRPr="00591635" w:rsidR="00591635" w:rsidP="00591635" w:rsidRDefault="00591635" w14:paraId="0153AA97" w14:textId="1E9172AB">
      <w:pPr>
        <w:sectPr w:rsidRPr="00591635" w:rsidR="00591635" w:rsidSect="004F3E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rsidRPr="003E0E33" w:rsidR="00D50119" w:rsidP="00F76650" w:rsidRDefault="00D50119" w14:paraId="01C41C41" w14:textId="77777777">
      <w:pPr>
        <w:pStyle w:val="Main"/>
        <w:rPr>
          <w:rFonts w:ascii="Book Antiqua" w:hAnsi="Book Antiqua"/>
          <w:sz w:val="24"/>
          <w:szCs w:val="24"/>
        </w:rPr>
      </w:pPr>
      <w:r w:rsidRPr="003E0E33">
        <w:rPr>
          <w:rFonts w:ascii="Book Antiqua" w:hAnsi="Book Antiqua"/>
          <w:sz w:val="24"/>
          <w:szCs w:val="24"/>
        </w:rPr>
        <w:lastRenderedPageBreak/>
        <w:t>TABLE OF CONTENTS</w:t>
      </w:r>
    </w:p>
    <w:p w:rsidRPr="003E0E33" w:rsidR="00D50119" w:rsidP="007E0FEE" w:rsidRDefault="00D50119" w14:paraId="5B7CA255" w14:textId="77777777">
      <w:pPr>
        <w:tabs>
          <w:tab w:val="right" w:pos="9360"/>
        </w:tabs>
        <w:ind w:firstLine="0"/>
        <w:rPr>
          <w:sz w:val="24"/>
          <w:szCs w:val="24"/>
        </w:rPr>
      </w:pPr>
      <w:r w:rsidRPr="003E0E33">
        <w:rPr>
          <w:b/>
          <w:sz w:val="24"/>
          <w:szCs w:val="24"/>
        </w:rPr>
        <w:t>Title</w:t>
      </w:r>
      <w:r w:rsidRPr="003E0E33">
        <w:rPr>
          <w:sz w:val="24"/>
          <w:szCs w:val="24"/>
        </w:rPr>
        <w:tab/>
      </w:r>
      <w:r w:rsidRPr="003E0E33">
        <w:rPr>
          <w:b/>
          <w:sz w:val="24"/>
          <w:szCs w:val="24"/>
        </w:rPr>
        <w:t>Page</w:t>
      </w:r>
    </w:p>
    <w:sdt>
      <w:sdtPr>
        <w:rPr>
          <w:rFonts w:eastAsiaTheme="minorHAnsi" w:cstheme="minorBidi"/>
          <w:sz w:val="24"/>
          <w:szCs w:val="24"/>
        </w:rPr>
        <w:id w:val="-1224440197"/>
        <w:docPartObj>
          <w:docPartGallery w:val="Table of Contents"/>
          <w:docPartUnique/>
        </w:docPartObj>
      </w:sdtPr>
      <w:sdtEndPr>
        <w:rPr>
          <w:b/>
          <w:bCs/>
          <w:noProof/>
        </w:rPr>
      </w:sdtEndPr>
      <w:sdtContent>
        <w:p w:rsidR="00B32E76" w:rsidP="00382E62" w:rsidRDefault="008C7413" w14:paraId="7D50E075" w14:textId="4944A722">
          <w:pPr>
            <w:pStyle w:val="TOC1"/>
            <w:tabs>
              <w:tab w:val="right" w:leader="dot" w:pos="9350"/>
            </w:tabs>
            <w:ind w:left="0" w:firstLine="0"/>
            <w:rPr>
              <w:rFonts w:asciiTheme="minorHAnsi" w:hAnsiTheme="minorHAnsi" w:cstheme="minorBidi"/>
              <w:noProof/>
              <w:kern w:val="2"/>
              <w:sz w:val="22"/>
              <w14:ligatures w14:val="standardContextual"/>
            </w:rPr>
          </w:pPr>
          <w:r w:rsidRPr="003E0E33">
            <w:rPr>
              <w:rFonts w:asciiTheme="minorHAnsi" w:hAnsiTheme="minorHAnsi"/>
              <w:sz w:val="24"/>
              <w:szCs w:val="24"/>
            </w:rPr>
            <w:fldChar w:fldCharType="begin"/>
          </w:r>
          <w:r w:rsidRPr="003E0E33">
            <w:rPr>
              <w:rFonts w:asciiTheme="minorHAnsi" w:hAnsiTheme="minorHAnsi"/>
              <w:sz w:val="24"/>
              <w:szCs w:val="24"/>
            </w:rPr>
            <w:instrText xml:space="preserve"> TOC \o "1-6" \h \z \u </w:instrText>
          </w:r>
          <w:r w:rsidRPr="003E0E33">
            <w:rPr>
              <w:rFonts w:asciiTheme="minorHAnsi" w:hAnsiTheme="minorHAnsi"/>
              <w:sz w:val="24"/>
              <w:szCs w:val="24"/>
            </w:rPr>
            <w:fldChar w:fldCharType="separate"/>
          </w:r>
          <w:hyperlink w:history="1" w:anchor="_Toc152331380">
            <w:r w:rsidRPr="0079129D" w:rsidR="00B32E76">
              <w:rPr>
                <w:rStyle w:val="Hyperlink"/>
                <w:noProof/>
              </w:rPr>
              <w:t>SOUTHERN CALIFORNIA EDISON COMPANY’S 2024 ENERGY  RESOURCE RECOVERY ACCOUNT FORECAST</w:t>
            </w:r>
            <w:r w:rsidR="00B32E76">
              <w:rPr>
                <w:noProof/>
                <w:webHidden/>
              </w:rPr>
              <w:tab/>
            </w:r>
            <w:r w:rsidR="00B32E76">
              <w:rPr>
                <w:noProof/>
                <w:webHidden/>
              </w:rPr>
              <w:fldChar w:fldCharType="begin"/>
            </w:r>
            <w:r w:rsidR="00B32E76">
              <w:rPr>
                <w:noProof/>
                <w:webHidden/>
              </w:rPr>
              <w:instrText xml:space="preserve"> PAGEREF _Toc152331380 \h </w:instrText>
            </w:r>
            <w:r w:rsidR="00B32E76">
              <w:rPr>
                <w:noProof/>
                <w:webHidden/>
              </w:rPr>
            </w:r>
            <w:r w:rsidR="00B32E76">
              <w:rPr>
                <w:noProof/>
                <w:webHidden/>
              </w:rPr>
              <w:fldChar w:fldCharType="separate"/>
            </w:r>
            <w:r w:rsidR="00F13955">
              <w:rPr>
                <w:noProof/>
                <w:webHidden/>
              </w:rPr>
              <w:t>1</w:t>
            </w:r>
            <w:r w:rsidR="00B32E76">
              <w:rPr>
                <w:noProof/>
                <w:webHidden/>
              </w:rPr>
              <w:fldChar w:fldCharType="end"/>
            </w:r>
          </w:hyperlink>
        </w:p>
        <w:p w:rsidR="00B32E76" w:rsidRDefault="00B32E76" w14:paraId="22BFD826" w14:textId="4D2C7CE5">
          <w:pPr>
            <w:pStyle w:val="TOC1"/>
            <w:tabs>
              <w:tab w:val="right" w:leader="dot" w:pos="9350"/>
            </w:tabs>
            <w:rPr>
              <w:rFonts w:asciiTheme="minorHAnsi" w:hAnsiTheme="minorHAnsi" w:cstheme="minorBidi"/>
              <w:noProof/>
              <w:kern w:val="2"/>
              <w:sz w:val="22"/>
              <w14:ligatures w14:val="standardContextual"/>
            </w:rPr>
          </w:pPr>
          <w:hyperlink w:history="1" w:anchor="_Toc152331381">
            <w:r w:rsidRPr="0079129D">
              <w:rPr>
                <w:rStyle w:val="Hyperlink"/>
                <w:noProof/>
              </w:rPr>
              <w:t>Summary</w:t>
            </w:r>
            <w:r>
              <w:rPr>
                <w:noProof/>
                <w:webHidden/>
              </w:rPr>
              <w:tab/>
            </w:r>
            <w:r>
              <w:rPr>
                <w:noProof/>
                <w:webHidden/>
              </w:rPr>
              <w:fldChar w:fldCharType="begin"/>
            </w:r>
            <w:r>
              <w:rPr>
                <w:noProof/>
                <w:webHidden/>
              </w:rPr>
              <w:instrText xml:space="preserve"> PAGEREF _Toc152331381 \h </w:instrText>
            </w:r>
            <w:r>
              <w:rPr>
                <w:noProof/>
                <w:webHidden/>
              </w:rPr>
            </w:r>
            <w:r>
              <w:rPr>
                <w:noProof/>
                <w:webHidden/>
              </w:rPr>
              <w:fldChar w:fldCharType="separate"/>
            </w:r>
            <w:r w:rsidR="00F13955">
              <w:rPr>
                <w:noProof/>
                <w:webHidden/>
              </w:rPr>
              <w:t>2</w:t>
            </w:r>
            <w:r>
              <w:rPr>
                <w:noProof/>
                <w:webHidden/>
              </w:rPr>
              <w:fldChar w:fldCharType="end"/>
            </w:r>
          </w:hyperlink>
        </w:p>
        <w:p w:rsidR="00B32E76" w:rsidRDefault="00B32E76" w14:paraId="34D3F628" w14:textId="6FC9B70A">
          <w:pPr>
            <w:pStyle w:val="TOC1"/>
            <w:tabs>
              <w:tab w:val="right" w:leader="dot" w:pos="9350"/>
            </w:tabs>
            <w:rPr>
              <w:rFonts w:asciiTheme="minorHAnsi" w:hAnsiTheme="minorHAnsi" w:cstheme="minorBidi"/>
              <w:noProof/>
              <w:kern w:val="2"/>
              <w:sz w:val="22"/>
              <w14:ligatures w14:val="standardContextual"/>
            </w:rPr>
          </w:pPr>
          <w:hyperlink w:history="1" w:anchor="_Toc152331382">
            <w:r w:rsidRPr="0079129D">
              <w:rPr>
                <w:rStyle w:val="Hyperlink"/>
                <w:noProof/>
              </w:rPr>
              <w:t>1.</w:t>
            </w:r>
            <w:r>
              <w:rPr>
                <w:rFonts w:asciiTheme="minorHAnsi" w:hAnsiTheme="minorHAnsi" w:cstheme="minorBidi"/>
                <w:noProof/>
                <w:kern w:val="2"/>
                <w:sz w:val="22"/>
                <w14:ligatures w14:val="standardContextual"/>
              </w:rPr>
              <w:tab/>
            </w:r>
            <w:r w:rsidRPr="0079129D">
              <w:rPr>
                <w:rStyle w:val="Hyperlink"/>
                <w:noProof/>
              </w:rPr>
              <w:t>Procedural Background</w:t>
            </w:r>
            <w:r>
              <w:rPr>
                <w:noProof/>
                <w:webHidden/>
              </w:rPr>
              <w:tab/>
            </w:r>
            <w:r>
              <w:rPr>
                <w:noProof/>
                <w:webHidden/>
              </w:rPr>
              <w:fldChar w:fldCharType="begin"/>
            </w:r>
            <w:r>
              <w:rPr>
                <w:noProof/>
                <w:webHidden/>
              </w:rPr>
              <w:instrText xml:space="preserve"> PAGEREF _Toc152331382 \h </w:instrText>
            </w:r>
            <w:r>
              <w:rPr>
                <w:noProof/>
                <w:webHidden/>
              </w:rPr>
            </w:r>
            <w:r>
              <w:rPr>
                <w:noProof/>
                <w:webHidden/>
              </w:rPr>
              <w:fldChar w:fldCharType="separate"/>
            </w:r>
            <w:r w:rsidR="00F13955">
              <w:rPr>
                <w:noProof/>
                <w:webHidden/>
              </w:rPr>
              <w:t>5</w:t>
            </w:r>
            <w:r>
              <w:rPr>
                <w:noProof/>
                <w:webHidden/>
              </w:rPr>
              <w:fldChar w:fldCharType="end"/>
            </w:r>
          </w:hyperlink>
        </w:p>
        <w:p w:rsidR="00B32E76" w:rsidRDefault="00B32E76" w14:paraId="429739E4" w14:textId="50313C37">
          <w:pPr>
            <w:pStyle w:val="TOC1"/>
            <w:tabs>
              <w:tab w:val="right" w:leader="dot" w:pos="9350"/>
            </w:tabs>
            <w:rPr>
              <w:rFonts w:asciiTheme="minorHAnsi" w:hAnsiTheme="minorHAnsi" w:cstheme="minorBidi"/>
              <w:noProof/>
              <w:kern w:val="2"/>
              <w:sz w:val="22"/>
              <w14:ligatures w14:val="standardContextual"/>
            </w:rPr>
          </w:pPr>
          <w:hyperlink w:history="1" w:anchor="_Toc152331383">
            <w:r w:rsidRPr="0079129D">
              <w:rPr>
                <w:rStyle w:val="Hyperlink"/>
                <w:noProof/>
              </w:rPr>
              <w:t>2.</w:t>
            </w:r>
            <w:r>
              <w:rPr>
                <w:rFonts w:asciiTheme="minorHAnsi" w:hAnsiTheme="minorHAnsi" w:cstheme="minorBidi"/>
                <w:noProof/>
                <w:kern w:val="2"/>
                <w:sz w:val="22"/>
                <w14:ligatures w14:val="standardContextual"/>
              </w:rPr>
              <w:tab/>
            </w:r>
            <w:r w:rsidRPr="0079129D">
              <w:rPr>
                <w:rStyle w:val="Hyperlink"/>
                <w:noProof/>
              </w:rPr>
              <w:t>Jurisdiction</w:t>
            </w:r>
            <w:r>
              <w:rPr>
                <w:noProof/>
                <w:webHidden/>
              </w:rPr>
              <w:tab/>
            </w:r>
            <w:r>
              <w:rPr>
                <w:noProof/>
                <w:webHidden/>
              </w:rPr>
              <w:fldChar w:fldCharType="begin"/>
            </w:r>
            <w:r>
              <w:rPr>
                <w:noProof/>
                <w:webHidden/>
              </w:rPr>
              <w:instrText xml:space="preserve"> PAGEREF _Toc152331383 \h </w:instrText>
            </w:r>
            <w:r>
              <w:rPr>
                <w:noProof/>
                <w:webHidden/>
              </w:rPr>
            </w:r>
            <w:r>
              <w:rPr>
                <w:noProof/>
                <w:webHidden/>
              </w:rPr>
              <w:fldChar w:fldCharType="separate"/>
            </w:r>
            <w:r w:rsidR="00F13955">
              <w:rPr>
                <w:noProof/>
                <w:webHidden/>
              </w:rPr>
              <w:t>10</w:t>
            </w:r>
            <w:r>
              <w:rPr>
                <w:noProof/>
                <w:webHidden/>
              </w:rPr>
              <w:fldChar w:fldCharType="end"/>
            </w:r>
          </w:hyperlink>
        </w:p>
        <w:p w:rsidR="00B32E76" w:rsidRDefault="00B32E76" w14:paraId="3E94C61B" w14:textId="25CC7121">
          <w:pPr>
            <w:pStyle w:val="TOC1"/>
            <w:tabs>
              <w:tab w:val="right" w:leader="dot" w:pos="9350"/>
            </w:tabs>
            <w:rPr>
              <w:rFonts w:asciiTheme="minorHAnsi" w:hAnsiTheme="minorHAnsi" w:cstheme="minorBidi"/>
              <w:noProof/>
              <w:kern w:val="2"/>
              <w:sz w:val="22"/>
              <w14:ligatures w14:val="standardContextual"/>
            </w:rPr>
          </w:pPr>
          <w:hyperlink w:history="1" w:anchor="_Toc152331384">
            <w:r w:rsidRPr="0079129D">
              <w:rPr>
                <w:rStyle w:val="Hyperlink"/>
                <w:noProof/>
              </w:rPr>
              <w:t>3.</w:t>
            </w:r>
            <w:r>
              <w:rPr>
                <w:rFonts w:asciiTheme="minorHAnsi" w:hAnsiTheme="minorHAnsi" w:cstheme="minorBidi"/>
                <w:noProof/>
                <w:kern w:val="2"/>
                <w:sz w:val="22"/>
                <w14:ligatures w14:val="standardContextual"/>
              </w:rPr>
              <w:tab/>
            </w:r>
            <w:r w:rsidRPr="0079129D">
              <w:rPr>
                <w:rStyle w:val="Hyperlink"/>
                <w:noProof/>
              </w:rPr>
              <w:t>Issues Before the Commission</w:t>
            </w:r>
            <w:r>
              <w:rPr>
                <w:noProof/>
                <w:webHidden/>
              </w:rPr>
              <w:tab/>
            </w:r>
            <w:r>
              <w:rPr>
                <w:noProof/>
                <w:webHidden/>
              </w:rPr>
              <w:fldChar w:fldCharType="begin"/>
            </w:r>
            <w:r>
              <w:rPr>
                <w:noProof/>
                <w:webHidden/>
              </w:rPr>
              <w:instrText xml:space="preserve"> PAGEREF _Toc152331384 \h </w:instrText>
            </w:r>
            <w:r>
              <w:rPr>
                <w:noProof/>
                <w:webHidden/>
              </w:rPr>
            </w:r>
            <w:r>
              <w:rPr>
                <w:noProof/>
                <w:webHidden/>
              </w:rPr>
              <w:fldChar w:fldCharType="separate"/>
            </w:r>
            <w:r w:rsidR="00F13955">
              <w:rPr>
                <w:noProof/>
                <w:webHidden/>
              </w:rPr>
              <w:t>10</w:t>
            </w:r>
            <w:r>
              <w:rPr>
                <w:noProof/>
                <w:webHidden/>
              </w:rPr>
              <w:fldChar w:fldCharType="end"/>
            </w:r>
          </w:hyperlink>
        </w:p>
        <w:p w:rsidR="00B32E76" w:rsidRDefault="00B32E76" w14:paraId="6C80D153" w14:textId="7D5B955A">
          <w:pPr>
            <w:pStyle w:val="TOC1"/>
            <w:tabs>
              <w:tab w:val="right" w:leader="dot" w:pos="9350"/>
            </w:tabs>
            <w:rPr>
              <w:rFonts w:asciiTheme="minorHAnsi" w:hAnsiTheme="minorHAnsi" w:cstheme="minorBidi"/>
              <w:noProof/>
              <w:kern w:val="2"/>
              <w:sz w:val="22"/>
              <w14:ligatures w14:val="standardContextual"/>
            </w:rPr>
          </w:pPr>
          <w:hyperlink w:history="1" w:anchor="_Toc152331385">
            <w:r w:rsidRPr="0079129D">
              <w:rPr>
                <w:rStyle w:val="Hyperlink"/>
                <w:noProof/>
              </w:rPr>
              <w:t>4.</w:t>
            </w:r>
            <w:r>
              <w:rPr>
                <w:rFonts w:asciiTheme="minorHAnsi" w:hAnsiTheme="minorHAnsi" w:cstheme="minorBidi"/>
                <w:noProof/>
                <w:kern w:val="2"/>
                <w:sz w:val="22"/>
                <w14:ligatures w14:val="standardContextual"/>
              </w:rPr>
              <w:tab/>
            </w:r>
            <w:r w:rsidRPr="0079129D">
              <w:rPr>
                <w:rStyle w:val="Hyperlink"/>
                <w:noProof/>
              </w:rPr>
              <w:t>2024 Forecast Overview and Methodology</w:t>
            </w:r>
            <w:r>
              <w:rPr>
                <w:noProof/>
                <w:webHidden/>
              </w:rPr>
              <w:tab/>
            </w:r>
            <w:r>
              <w:rPr>
                <w:noProof/>
                <w:webHidden/>
              </w:rPr>
              <w:fldChar w:fldCharType="begin"/>
            </w:r>
            <w:r>
              <w:rPr>
                <w:noProof/>
                <w:webHidden/>
              </w:rPr>
              <w:instrText xml:space="preserve"> PAGEREF _Toc152331385 \h </w:instrText>
            </w:r>
            <w:r>
              <w:rPr>
                <w:noProof/>
                <w:webHidden/>
              </w:rPr>
            </w:r>
            <w:r>
              <w:rPr>
                <w:noProof/>
                <w:webHidden/>
              </w:rPr>
              <w:fldChar w:fldCharType="separate"/>
            </w:r>
            <w:r w:rsidR="00F13955">
              <w:rPr>
                <w:noProof/>
                <w:webHidden/>
              </w:rPr>
              <w:t>12</w:t>
            </w:r>
            <w:r>
              <w:rPr>
                <w:noProof/>
                <w:webHidden/>
              </w:rPr>
              <w:fldChar w:fldCharType="end"/>
            </w:r>
          </w:hyperlink>
        </w:p>
        <w:p w:rsidR="00B32E76" w:rsidRDefault="00B32E76" w14:paraId="24EB3CFD" w14:textId="17BD6B44">
          <w:pPr>
            <w:pStyle w:val="TOC1"/>
            <w:tabs>
              <w:tab w:val="right" w:leader="dot" w:pos="9350"/>
            </w:tabs>
            <w:rPr>
              <w:rFonts w:asciiTheme="minorHAnsi" w:hAnsiTheme="minorHAnsi" w:cstheme="minorBidi"/>
              <w:noProof/>
              <w:kern w:val="2"/>
              <w:sz w:val="22"/>
              <w14:ligatures w14:val="standardContextual"/>
            </w:rPr>
          </w:pPr>
          <w:hyperlink w:history="1" w:anchor="_Toc152331386">
            <w:r w:rsidRPr="0079129D">
              <w:rPr>
                <w:rStyle w:val="Hyperlink"/>
                <w:noProof/>
              </w:rPr>
              <w:t>5.</w:t>
            </w:r>
            <w:r>
              <w:rPr>
                <w:rFonts w:asciiTheme="minorHAnsi" w:hAnsiTheme="minorHAnsi" w:cstheme="minorBidi"/>
                <w:noProof/>
                <w:kern w:val="2"/>
                <w:sz w:val="22"/>
                <w14:ligatures w14:val="standardContextual"/>
              </w:rPr>
              <w:tab/>
            </w:r>
            <w:r w:rsidRPr="0079129D">
              <w:rPr>
                <w:rStyle w:val="Hyperlink"/>
                <w:noProof/>
              </w:rPr>
              <w:t>SCE’s Portfolio of Resources for 2024</w:t>
            </w:r>
            <w:r>
              <w:rPr>
                <w:noProof/>
                <w:webHidden/>
              </w:rPr>
              <w:tab/>
            </w:r>
            <w:r>
              <w:rPr>
                <w:noProof/>
                <w:webHidden/>
              </w:rPr>
              <w:fldChar w:fldCharType="begin"/>
            </w:r>
            <w:r>
              <w:rPr>
                <w:noProof/>
                <w:webHidden/>
              </w:rPr>
              <w:instrText xml:space="preserve"> PAGEREF _Toc152331386 \h </w:instrText>
            </w:r>
            <w:r>
              <w:rPr>
                <w:noProof/>
                <w:webHidden/>
              </w:rPr>
            </w:r>
            <w:r>
              <w:rPr>
                <w:noProof/>
                <w:webHidden/>
              </w:rPr>
              <w:fldChar w:fldCharType="separate"/>
            </w:r>
            <w:r w:rsidR="00F13955">
              <w:rPr>
                <w:noProof/>
                <w:webHidden/>
              </w:rPr>
              <w:t>18</w:t>
            </w:r>
            <w:r>
              <w:rPr>
                <w:noProof/>
                <w:webHidden/>
              </w:rPr>
              <w:fldChar w:fldCharType="end"/>
            </w:r>
          </w:hyperlink>
        </w:p>
        <w:p w:rsidR="00B32E76" w:rsidRDefault="00B32E76" w14:paraId="6F8F75AC" w14:textId="2B811007">
          <w:pPr>
            <w:pStyle w:val="TOC2"/>
            <w:tabs>
              <w:tab w:val="right" w:leader="dot" w:pos="9350"/>
            </w:tabs>
            <w:rPr>
              <w:rFonts w:asciiTheme="minorHAnsi" w:hAnsiTheme="minorHAnsi" w:cstheme="minorBidi"/>
              <w:noProof/>
              <w:kern w:val="2"/>
              <w:sz w:val="22"/>
              <w14:ligatures w14:val="standardContextual"/>
            </w:rPr>
          </w:pPr>
          <w:hyperlink w:history="1" w:anchor="_Toc152331387">
            <w:r w:rsidRPr="0079129D">
              <w:rPr>
                <w:rStyle w:val="Hyperlink"/>
                <w:noProof/>
              </w:rPr>
              <w:t>5.1.</w:t>
            </w:r>
            <w:r>
              <w:rPr>
                <w:rFonts w:asciiTheme="minorHAnsi" w:hAnsiTheme="minorHAnsi" w:cstheme="minorBidi"/>
                <w:noProof/>
                <w:kern w:val="2"/>
                <w:sz w:val="22"/>
                <w14:ligatures w14:val="standardContextual"/>
              </w:rPr>
              <w:tab/>
            </w:r>
            <w:r w:rsidRPr="0079129D">
              <w:rPr>
                <w:rStyle w:val="Hyperlink"/>
                <w:noProof/>
              </w:rPr>
              <w:t>Utility-Owned Generation and Purchased Power Contracts</w:t>
            </w:r>
            <w:r>
              <w:rPr>
                <w:noProof/>
                <w:webHidden/>
              </w:rPr>
              <w:tab/>
            </w:r>
            <w:r>
              <w:rPr>
                <w:noProof/>
                <w:webHidden/>
              </w:rPr>
              <w:fldChar w:fldCharType="begin"/>
            </w:r>
            <w:r>
              <w:rPr>
                <w:noProof/>
                <w:webHidden/>
              </w:rPr>
              <w:instrText xml:space="preserve"> PAGEREF _Toc152331387 \h </w:instrText>
            </w:r>
            <w:r>
              <w:rPr>
                <w:noProof/>
                <w:webHidden/>
              </w:rPr>
            </w:r>
            <w:r>
              <w:rPr>
                <w:noProof/>
                <w:webHidden/>
              </w:rPr>
              <w:fldChar w:fldCharType="separate"/>
            </w:r>
            <w:r w:rsidR="00F13955">
              <w:rPr>
                <w:noProof/>
                <w:webHidden/>
              </w:rPr>
              <w:t>18</w:t>
            </w:r>
            <w:r>
              <w:rPr>
                <w:noProof/>
                <w:webHidden/>
              </w:rPr>
              <w:fldChar w:fldCharType="end"/>
            </w:r>
          </w:hyperlink>
        </w:p>
        <w:p w:rsidR="00B32E76" w:rsidRDefault="00B32E76" w14:paraId="6DA2376D" w14:textId="5E2A1986">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388">
            <w:r w:rsidRPr="0079129D">
              <w:rPr>
                <w:rStyle w:val="Hyperlink"/>
                <w:noProof/>
              </w:rPr>
              <w:t>5.1.1.</w:t>
            </w:r>
            <w:r>
              <w:rPr>
                <w:rFonts w:asciiTheme="minorHAnsi" w:hAnsiTheme="minorHAnsi" w:cstheme="minorBidi"/>
                <w:noProof/>
                <w:kern w:val="2"/>
                <w:sz w:val="22"/>
                <w14:ligatures w14:val="standardContextual"/>
              </w:rPr>
              <w:tab/>
            </w:r>
            <w:r w:rsidRPr="0079129D">
              <w:rPr>
                <w:rStyle w:val="Hyperlink"/>
                <w:noProof/>
              </w:rPr>
              <w:t>Hydroelectric Resources</w:t>
            </w:r>
            <w:r>
              <w:rPr>
                <w:noProof/>
                <w:webHidden/>
              </w:rPr>
              <w:tab/>
            </w:r>
            <w:r>
              <w:rPr>
                <w:noProof/>
                <w:webHidden/>
              </w:rPr>
              <w:fldChar w:fldCharType="begin"/>
            </w:r>
            <w:r>
              <w:rPr>
                <w:noProof/>
                <w:webHidden/>
              </w:rPr>
              <w:instrText xml:space="preserve"> PAGEREF _Toc152331388 \h </w:instrText>
            </w:r>
            <w:r>
              <w:rPr>
                <w:noProof/>
                <w:webHidden/>
              </w:rPr>
            </w:r>
            <w:r>
              <w:rPr>
                <w:noProof/>
                <w:webHidden/>
              </w:rPr>
              <w:fldChar w:fldCharType="separate"/>
            </w:r>
            <w:r w:rsidR="00F13955">
              <w:rPr>
                <w:noProof/>
                <w:webHidden/>
              </w:rPr>
              <w:t>19</w:t>
            </w:r>
            <w:r>
              <w:rPr>
                <w:noProof/>
                <w:webHidden/>
              </w:rPr>
              <w:fldChar w:fldCharType="end"/>
            </w:r>
          </w:hyperlink>
        </w:p>
        <w:p w:rsidR="00B32E76" w:rsidRDefault="00B32E76" w14:paraId="033538D4" w14:textId="087FC25B">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389">
            <w:r w:rsidRPr="0079129D">
              <w:rPr>
                <w:rStyle w:val="Hyperlink"/>
                <w:noProof/>
              </w:rPr>
              <w:t>5.1.2.</w:t>
            </w:r>
            <w:r>
              <w:rPr>
                <w:rFonts w:asciiTheme="minorHAnsi" w:hAnsiTheme="minorHAnsi" w:cstheme="minorBidi"/>
                <w:noProof/>
                <w:kern w:val="2"/>
                <w:sz w:val="22"/>
                <w14:ligatures w14:val="standardContextual"/>
              </w:rPr>
              <w:tab/>
            </w:r>
            <w:r w:rsidRPr="0079129D">
              <w:rPr>
                <w:rStyle w:val="Hyperlink"/>
                <w:noProof/>
              </w:rPr>
              <w:t>Solar Photovoltaic Generation</w:t>
            </w:r>
            <w:r>
              <w:rPr>
                <w:noProof/>
                <w:webHidden/>
              </w:rPr>
              <w:tab/>
            </w:r>
            <w:r>
              <w:rPr>
                <w:noProof/>
                <w:webHidden/>
              </w:rPr>
              <w:fldChar w:fldCharType="begin"/>
            </w:r>
            <w:r>
              <w:rPr>
                <w:noProof/>
                <w:webHidden/>
              </w:rPr>
              <w:instrText xml:space="preserve"> PAGEREF _Toc152331389 \h </w:instrText>
            </w:r>
            <w:r>
              <w:rPr>
                <w:noProof/>
                <w:webHidden/>
              </w:rPr>
            </w:r>
            <w:r>
              <w:rPr>
                <w:noProof/>
                <w:webHidden/>
              </w:rPr>
              <w:fldChar w:fldCharType="separate"/>
            </w:r>
            <w:r w:rsidR="00F13955">
              <w:rPr>
                <w:noProof/>
                <w:webHidden/>
              </w:rPr>
              <w:t>19</w:t>
            </w:r>
            <w:r>
              <w:rPr>
                <w:noProof/>
                <w:webHidden/>
              </w:rPr>
              <w:fldChar w:fldCharType="end"/>
            </w:r>
          </w:hyperlink>
        </w:p>
        <w:p w:rsidR="00B32E76" w:rsidRDefault="00B32E76" w14:paraId="2BD1C39B" w14:textId="1A89B7BA">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390">
            <w:r w:rsidRPr="0079129D">
              <w:rPr>
                <w:rStyle w:val="Hyperlink"/>
                <w:noProof/>
              </w:rPr>
              <w:t>5.1.3.</w:t>
            </w:r>
            <w:r>
              <w:rPr>
                <w:rFonts w:asciiTheme="minorHAnsi" w:hAnsiTheme="minorHAnsi" w:cstheme="minorBidi"/>
                <w:noProof/>
                <w:kern w:val="2"/>
                <w:sz w:val="22"/>
                <w14:ligatures w14:val="standardContextual"/>
              </w:rPr>
              <w:tab/>
            </w:r>
            <w:r w:rsidRPr="0079129D">
              <w:rPr>
                <w:rStyle w:val="Hyperlink"/>
                <w:noProof/>
              </w:rPr>
              <w:t>Combined Heat-and-Power (Co-Generation) and Renewables</w:t>
            </w:r>
            <w:r>
              <w:rPr>
                <w:noProof/>
                <w:webHidden/>
              </w:rPr>
              <w:tab/>
            </w:r>
            <w:r>
              <w:rPr>
                <w:noProof/>
                <w:webHidden/>
              </w:rPr>
              <w:fldChar w:fldCharType="begin"/>
            </w:r>
            <w:r>
              <w:rPr>
                <w:noProof/>
                <w:webHidden/>
              </w:rPr>
              <w:instrText xml:space="preserve"> PAGEREF _Toc152331390 \h </w:instrText>
            </w:r>
            <w:r>
              <w:rPr>
                <w:noProof/>
                <w:webHidden/>
              </w:rPr>
            </w:r>
            <w:r>
              <w:rPr>
                <w:noProof/>
                <w:webHidden/>
              </w:rPr>
              <w:fldChar w:fldCharType="separate"/>
            </w:r>
            <w:r w:rsidR="00F13955">
              <w:rPr>
                <w:noProof/>
                <w:webHidden/>
              </w:rPr>
              <w:t>20</w:t>
            </w:r>
            <w:r>
              <w:rPr>
                <w:noProof/>
                <w:webHidden/>
              </w:rPr>
              <w:fldChar w:fldCharType="end"/>
            </w:r>
          </w:hyperlink>
        </w:p>
        <w:p w:rsidR="00B32E76" w:rsidRDefault="00B32E76" w14:paraId="2949D9B2" w14:textId="0B69420F">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391">
            <w:r w:rsidRPr="0079129D">
              <w:rPr>
                <w:rStyle w:val="Hyperlink"/>
                <w:noProof/>
              </w:rPr>
              <w:t>5.1.4.</w:t>
            </w:r>
            <w:r>
              <w:rPr>
                <w:rFonts w:asciiTheme="minorHAnsi" w:hAnsiTheme="minorHAnsi" w:cstheme="minorBidi"/>
                <w:noProof/>
                <w:kern w:val="2"/>
                <w:sz w:val="22"/>
                <w14:ligatures w14:val="standardContextual"/>
              </w:rPr>
              <w:tab/>
            </w:r>
            <w:r w:rsidRPr="0079129D">
              <w:rPr>
                <w:rStyle w:val="Hyperlink"/>
                <w:noProof/>
              </w:rPr>
              <w:t>Natural Gas and Interagency Contracts</w:t>
            </w:r>
            <w:r>
              <w:rPr>
                <w:noProof/>
                <w:webHidden/>
              </w:rPr>
              <w:tab/>
            </w:r>
            <w:r>
              <w:rPr>
                <w:noProof/>
                <w:webHidden/>
              </w:rPr>
              <w:fldChar w:fldCharType="begin"/>
            </w:r>
            <w:r>
              <w:rPr>
                <w:noProof/>
                <w:webHidden/>
              </w:rPr>
              <w:instrText xml:space="preserve"> PAGEREF _Toc152331391 \h </w:instrText>
            </w:r>
            <w:r>
              <w:rPr>
                <w:noProof/>
                <w:webHidden/>
              </w:rPr>
            </w:r>
            <w:r>
              <w:rPr>
                <w:noProof/>
                <w:webHidden/>
              </w:rPr>
              <w:fldChar w:fldCharType="separate"/>
            </w:r>
            <w:r w:rsidR="00F13955">
              <w:rPr>
                <w:noProof/>
                <w:webHidden/>
              </w:rPr>
              <w:t>21</w:t>
            </w:r>
            <w:r>
              <w:rPr>
                <w:noProof/>
                <w:webHidden/>
              </w:rPr>
              <w:fldChar w:fldCharType="end"/>
            </w:r>
          </w:hyperlink>
        </w:p>
        <w:p w:rsidR="00B32E76" w:rsidRDefault="00B32E76" w14:paraId="1131379E" w14:textId="113C6E06">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392">
            <w:r w:rsidRPr="0079129D">
              <w:rPr>
                <w:rStyle w:val="Hyperlink"/>
                <w:noProof/>
              </w:rPr>
              <w:t>5.1.5.</w:t>
            </w:r>
            <w:r>
              <w:rPr>
                <w:rFonts w:asciiTheme="minorHAnsi" w:hAnsiTheme="minorHAnsi" w:cstheme="minorBidi"/>
                <w:noProof/>
                <w:kern w:val="2"/>
                <w:sz w:val="22"/>
                <w14:ligatures w14:val="standardContextual"/>
              </w:rPr>
              <w:tab/>
            </w:r>
            <w:r w:rsidRPr="0079129D">
              <w:rPr>
                <w:rStyle w:val="Hyperlink"/>
                <w:noProof/>
              </w:rPr>
              <w:t>Resource Adequacy Contracts</w:t>
            </w:r>
            <w:r>
              <w:rPr>
                <w:noProof/>
                <w:webHidden/>
              </w:rPr>
              <w:tab/>
            </w:r>
            <w:r>
              <w:rPr>
                <w:noProof/>
                <w:webHidden/>
              </w:rPr>
              <w:fldChar w:fldCharType="begin"/>
            </w:r>
            <w:r>
              <w:rPr>
                <w:noProof/>
                <w:webHidden/>
              </w:rPr>
              <w:instrText xml:space="preserve"> PAGEREF _Toc152331392 \h </w:instrText>
            </w:r>
            <w:r>
              <w:rPr>
                <w:noProof/>
                <w:webHidden/>
              </w:rPr>
            </w:r>
            <w:r>
              <w:rPr>
                <w:noProof/>
                <w:webHidden/>
              </w:rPr>
              <w:fldChar w:fldCharType="separate"/>
            </w:r>
            <w:r w:rsidR="00F13955">
              <w:rPr>
                <w:noProof/>
                <w:webHidden/>
              </w:rPr>
              <w:t>22</w:t>
            </w:r>
            <w:r>
              <w:rPr>
                <w:noProof/>
                <w:webHidden/>
              </w:rPr>
              <w:fldChar w:fldCharType="end"/>
            </w:r>
          </w:hyperlink>
        </w:p>
        <w:p w:rsidR="00B32E76" w:rsidRDefault="00B32E76" w14:paraId="282F537C" w14:textId="2ABA1A1C">
          <w:pPr>
            <w:pStyle w:val="TOC4"/>
            <w:tabs>
              <w:tab w:val="left" w:pos="1728"/>
              <w:tab w:val="right" w:leader="dot" w:pos="9350"/>
            </w:tabs>
            <w:rPr>
              <w:rFonts w:asciiTheme="minorHAnsi" w:hAnsiTheme="minorHAnsi" w:eastAsiaTheme="minorEastAsia"/>
              <w:noProof/>
              <w:kern w:val="2"/>
              <w:sz w:val="22"/>
              <w14:ligatures w14:val="standardContextual"/>
            </w:rPr>
          </w:pPr>
          <w:hyperlink w:history="1" w:anchor="_Toc152331393">
            <w:r w:rsidRPr="0079129D">
              <w:rPr>
                <w:rStyle w:val="Hyperlink"/>
                <w:noProof/>
              </w:rPr>
              <w:t>5.1.5.1.</w:t>
            </w:r>
            <w:r>
              <w:rPr>
                <w:rFonts w:asciiTheme="minorHAnsi" w:hAnsiTheme="minorHAnsi" w:eastAsiaTheme="minorEastAsia"/>
                <w:noProof/>
                <w:kern w:val="2"/>
                <w:sz w:val="22"/>
                <w14:ligatures w14:val="standardContextual"/>
              </w:rPr>
              <w:tab/>
            </w:r>
            <w:r w:rsidRPr="0079129D">
              <w:rPr>
                <w:rStyle w:val="Hyperlink"/>
                <w:noProof/>
              </w:rPr>
              <w:t>System Reliability Request for Offers</w:t>
            </w:r>
            <w:r>
              <w:rPr>
                <w:noProof/>
                <w:webHidden/>
              </w:rPr>
              <w:tab/>
            </w:r>
            <w:r>
              <w:rPr>
                <w:noProof/>
                <w:webHidden/>
              </w:rPr>
              <w:fldChar w:fldCharType="begin"/>
            </w:r>
            <w:r>
              <w:rPr>
                <w:noProof/>
                <w:webHidden/>
              </w:rPr>
              <w:instrText xml:space="preserve"> PAGEREF _Toc152331393 \h </w:instrText>
            </w:r>
            <w:r>
              <w:rPr>
                <w:noProof/>
                <w:webHidden/>
              </w:rPr>
            </w:r>
            <w:r>
              <w:rPr>
                <w:noProof/>
                <w:webHidden/>
              </w:rPr>
              <w:fldChar w:fldCharType="separate"/>
            </w:r>
            <w:r w:rsidR="00F13955">
              <w:rPr>
                <w:noProof/>
                <w:webHidden/>
              </w:rPr>
              <w:t>23</w:t>
            </w:r>
            <w:r>
              <w:rPr>
                <w:noProof/>
                <w:webHidden/>
              </w:rPr>
              <w:fldChar w:fldCharType="end"/>
            </w:r>
          </w:hyperlink>
        </w:p>
        <w:p w:rsidR="00B32E76" w:rsidRDefault="00B32E76" w14:paraId="3AA28088" w14:textId="4F2BECB3">
          <w:pPr>
            <w:pStyle w:val="TOC4"/>
            <w:tabs>
              <w:tab w:val="left" w:pos="1728"/>
              <w:tab w:val="right" w:leader="dot" w:pos="9350"/>
            </w:tabs>
            <w:rPr>
              <w:rFonts w:asciiTheme="minorHAnsi" w:hAnsiTheme="minorHAnsi" w:eastAsiaTheme="minorEastAsia"/>
              <w:noProof/>
              <w:kern w:val="2"/>
              <w:sz w:val="22"/>
              <w14:ligatures w14:val="standardContextual"/>
            </w:rPr>
          </w:pPr>
          <w:hyperlink w:history="1" w:anchor="_Toc152331394">
            <w:r w:rsidRPr="0079129D">
              <w:rPr>
                <w:rStyle w:val="Hyperlink"/>
                <w:noProof/>
              </w:rPr>
              <w:t>5.1.5.2.</w:t>
            </w:r>
            <w:r>
              <w:rPr>
                <w:rFonts w:asciiTheme="minorHAnsi" w:hAnsiTheme="minorHAnsi" w:eastAsiaTheme="minorEastAsia"/>
                <w:noProof/>
                <w:kern w:val="2"/>
                <w:sz w:val="22"/>
                <w14:ligatures w14:val="standardContextual"/>
              </w:rPr>
              <w:tab/>
            </w:r>
            <w:r w:rsidRPr="0079129D">
              <w:rPr>
                <w:rStyle w:val="Hyperlink"/>
                <w:noProof/>
              </w:rPr>
              <w:t>Emergency Reliability</w:t>
            </w:r>
            <w:r>
              <w:rPr>
                <w:noProof/>
                <w:webHidden/>
              </w:rPr>
              <w:tab/>
            </w:r>
            <w:r>
              <w:rPr>
                <w:noProof/>
                <w:webHidden/>
              </w:rPr>
              <w:fldChar w:fldCharType="begin"/>
            </w:r>
            <w:r>
              <w:rPr>
                <w:noProof/>
                <w:webHidden/>
              </w:rPr>
              <w:instrText xml:space="preserve"> PAGEREF _Toc152331394 \h </w:instrText>
            </w:r>
            <w:r>
              <w:rPr>
                <w:noProof/>
                <w:webHidden/>
              </w:rPr>
            </w:r>
            <w:r>
              <w:rPr>
                <w:noProof/>
                <w:webHidden/>
              </w:rPr>
              <w:fldChar w:fldCharType="separate"/>
            </w:r>
            <w:r w:rsidR="00F13955">
              <w:rPr>
                <w:noProof/>
                <w:webHidden/>
              </w:rPr>
              <w:t>24</w:t>
            </w:r>
            <w:r>
              <w:rPr>
                <w:noProof/>
                <w:webHidden/>
              </w:rPr>
              <w:fldChar w:fldCharType="end"/>
            </w:r>
          </w:hyperlink>
        </w:p>
        <w:p w:rsidR="00B32E76" w:rsidRDefault="00B32E76" w14:paraId="0729BC00" w14:textId="0A4A569F">
          <w:pPr>
            <w:pStyle w:val="TOC4"/>
            <w:tabs>
              <w:tab w:val="left" w:pos="1728"/>
              <w:tab w:val="right" w:leader="dot" w:pos="9350"/>
            </w:tabs>
            <w:rPr>
              <w:rFonts w:asciiTheme="minorHAnsi" w:hAnsiTheme="minorHAnsi" w:eastAsiaTheme="minorEastAsia"/>
              <w:noProof/>
              <w:kern w:val="2"/>
              <w:sz w:val="22"/>
              <w14:ligatures w14:val="standardContextual"/>
            </w:rPr>
          </w:pPr>
          <w:hyperlink w:history="1" w:anchor="_Toc152331395">
            <w:r w:rsidRPr="0079129D">
              <w:rPr>
                <w:rStyle w:val="Hyperlink"/>
                <w:noProof/>
              </w:rPr>
              <w:t>5.1.5.3.</w:t>
            </w:r>
            <w:r>
              <w:rPr>
                <w:rFonts w:asciiTheme="minorHAnsi" w:hAnsiTheme="minorHAnsi" w:eastAsiaTheme="minorEastAsia"/>
                <w:noProof/>
                <w:kern w:val="2"/>
                <w:sz w:val="22"/>
                <w14:ligatures w14:val="standardContextual"/>
              </w:rPr>
              <w:tab/>
            </w:r>
            <w:r w:rsidRPr="0079129D">
              <w:rPr>
                <w:rStyle w:val="Hyperlink"/>
                <w:noProof/>
              </w:rPr>
              <w:t>Mid-Term Reliability</w:t>
            </w:r>
            <w:r>
              <w:rPr>
                <w:noProof/>
                <w:webHidden/>
              </w:rPr>
              <w:tab/>
            </w:r>
            <w:r>
              <w:rPr>
                <w:noProof/>
                <w:webHidden/>
              </w:rPr>
              <w:fldChar w:fldCharType="begin"/>
            </w:r>
            <w:r>
              <w:rPr>
                <w:noProof/>
                <w:webHidden/>
              </w:rPr>
              <w:instrText xml:space="preserve"> PAGEREF _Toc152331395 \h </w:instrText>
            </w:r>
            <w:r>
              <w:rPr>
                <w:noProof/>
                <w:webHidden/>
              </w:rPr>
            </w:r>
            <w:r>
              <w:rPr>
                <w:noProof/>
                <w:webHidden/>
              </w:rPr>
              <w:fldChar w:fldCharType="separate"/>
            </w:r>
            <w:r w:rsidR="00F13955">
              <w:rPr>
                <w:noProof/>
                <w:webHidden/>
              </w:rPr>
              <w:t>24</w:t>
            </w:r>
            <w:r>
              <w:rPr>
                <w:noProof/>
                <w:webHidden/>
              </w:rPr>
              <w:fldChar w:fldCharType="end"/>
            </w:r>
          </w:hyperlink>
        </w:p>
        <w:p w:rsidR="00B32E76" w:rsidRDefault="00B32E76" w14:paraId="671DF043" w14:textId="034EE630">
          <w:pPr>
            <w:pStyle w:val="TOC4"/>
            <w:tabs>
              <w:tab w:val="left" w:pos="1728"/>
              <w:tab w:val="right" w:leader="dot" w:pos="9350"/>
            </w:tabs>
            <w:rPr>
              <w:rFonts w:asciiTheme="minorHAnsi" w:hAnsiTheme="minorHAnsi" w:eastAsiaTheme="minorEastAsia"/>
              <w:noProof/>
              <w:kern w:val="2"/>
              <w:sz w:val="22"/>
              <w14:ligatures w14:val="standardContextual"/>
            </w:rPr>
          </w:pPr>
          <w:hyperlink w:history="1" w:anchor="_Toc152331396">
            <w:r w:rsidRPr="0079129D">
              <w:rPr>
                <w:rStyle w:val="Hyperlink"/>
                <w:noProof/>
              </w:rPr>
              <w:t>5.1.5.4.</w:t>
            </w:r>
            <w:r>
              <w:rPr>
                <w:rFonts w:asciiTheme="minorHAnsi" w:hAnsiTheme="minorHAnsi" w:eastAsiaTheme="minorEastAsia"/>
                <w:noProof/>
                <w:kern w:val="2"/>
                <w:sz w:val="22"/>
                <w14:ligatures w14:val="standardContextual"/>
              </w:rPr>
              <w:tab/>
            </w:r>
            <w:r w:rsidRPr="0079129D">
              <w:rPr>
                <w:rStyle w:val="Hyperlink"/>
                <w:noProof/>
              </w:rPr>
              <w:t>Generic and Bilateral Resource Adequacy Contracts</w:t>
            </w:r>
            <w:r>
              <w:rPr>
                <w:noProof/>
                <w:webHidden/>
              </w:rPr>
              <w:tab/>
            </w:r>
            <w:r>
              <w:rPr>
                <w:noProof/>
                <w:webHidden/>
              </w:rPr>
              <w:fldChar w:fldCharType="begin"/>
            </w:r>
            <w:r>
              <w:rPr>
                <w:noProof/>
                <w:webHidden/>
              </w:rPr>
              <w:instrText xml:space="preserve"> PAGEREF _Toc152331396 \h </w:instrText>
            </w:r>
            <w:r>
              <w:rPr>
                <w:noProof/>
                <w:webHidden/>
              </w:rPr>
            </w:r>
            <w:r>
              <w:rPr>
                <w:noProof/>
                <w:webHidden/>
              </w:rPr>
              <w:fldChar w:fldCharType="separate"/>
            </w:r>
            <w:r w:rsidR="00F13955">
              <w:rPr>
                <w:noProof/>
                <w:webHidden/>
              </w:rPr>
              <w:t>25</w:t>
            </w:r>
            <w:r>
              <w:rPr>
                <w:noProof/>
                <w:webHidden/>
              </w:rPr>
              <w:fldChar w:fldCharType="end"/>
            </w:r>
          </w:hyperlink>
        </w:p>
        <w:p w:rsidR="00B32E76" w:rsidRDefault="00B32E76" w14:paraId="02973740" w14:textId="5A9A4ECE">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397">
            <w:r w:rsidRPr="0079129D">
              <w:rPr>
                <w:rStyle w:val="Hyperlink"/>
                <w:noProof/>
              </w:rPr>
              <w:t>5.1.6.</w:t>
            </w:r>
            <w:r>
              <w:rPr>
                <w:rFonts w:asciiTheme="minorHAnsi" w:hAnsiTheme="minorHAnsi" w:cstheme="minorBidi"/>
                <w:noProof/>
                <w:kern w:val="2"/>
                <w:sz w:val="22"/>
                <w14:ligatures w14:val="standardContextual"/>
              </w:rPr>
              <w:tab/>
            </w:r>
            <w:r w:rsidRPr="0079129D">
              <w:rPr>
                <w:rStyle w:val="Hyperlink"/>
                <w:noProof/>
              </w:rPr>
              <w:t>Discussion</w:t>
            </w:r>
            <w:r>
              <w:rPr>
                <w:noProof/>
                <w:webHidden/>
              </w:rPr>
              <w:tab/>
            </w:r>
            <w:r>
              <w:rPr>
                <w:noProof/>
                <w:webHidden/>
              </w:rPr>
              <w:fldChar w:fldCharType="begin"/>
            </w:r>
            <w:r>
              <w:rPr>
                <w:noProof/>
                <w:webHidden/>
              </w:rPr>
              <w:instrText xml:space="preserve"> PAGEREF _Toc152331397 \h </w:instrText>
            </w:r>
            <w:r>
              <w:rPr>
                <w:noProof/>
                <w:webHidden/>
              </w:rPr>
            </w:r>
            <w:r>
              <w:rPr>
                <w:noProof/>
                <w:webHidden/>
              </w:rPr>
              <w:fldChar w:fldCharType="separate"/>
            </w:r>
            <w:r w:rsidR="00F13955">
              <w:rPr>
                <w:noProof/>
                <w:webHidden/>
              </w:rPr>
              <w:t>25</w:t>
            </w:r>
            <w:r>
              <w:rPr>
                <w:noProof/>
                <w:webHidden/>
              </w:rPr>
              <w:fldChar w:fldCharType="end"/>
            </w:r>
          </w:hyperlink>
        </w:p>
        <w:p w:rsidR="00B32E76" w:rsidRDefault="00B32E76" w14:paraId="7E2F3DDB" w14:textId="3C87C54C">
          <w:pPr>
            <w:pStyle w:val="TOC2"/>
            <w:tabs>
              <w:tab w:val="right" w:leader="dot" w:pos="9350"/>
            </w:tabs>
            <w:rPr>
              <w:rFonts w:asciiTheme="minorHAnsi" w:hAnsiTheme="minorHAnsi" w:cstheme="minorBidi"/>
              <w:noProof/>
              <w:kern w:val="2"/>
              <w:sz w:val="22"/>
              <w14:ligatures w14:val="standardContextual"/>
            </w:rPr>
          </w:pPr>
          <w:hyperlink w:history="1" w:anchor="_Toc152331398">
            <w:r w:rsidRPr="0079129D">
              <w:rPr>
                <w:rStyle w:val="Hyperlink"/>
                <w:noProof/>
              </w:rPr>
              <w:t>5.2.</w:t>
            </w:r>
            <w:r>
              <w:rPr>
                <w:rFonts w:asciiTheme="minorHAnsi" w:hAnsiTheme="minorHAnsi" w:cstheme="minorBidi"/>
                <w:noProof/>
                <w:kern w:val="2"/>
                <w:sz w:val="22"/>
                <w14:ligatures w14:val="standardContextual"/>
              </w:rPr>
              <w:tab/>
            </w:r>
            <w:r w:rsidRPr="0079129D">
              <w:rPr>
                <w:rStyle w:val="Hyperlink"/>
                <w:noProof/>
              </w:rPr>
              <w:t>Public Purpose Program Charges</w:t>
            </w:r>
            <w:r>
              <w:rPr>
                <w:noProof/>
                <w:webHidden/>
              </w:rPr>
              <w:tab/>
            </w:r>
            <w:r>
              <w:rPr>
                <w:noProof/>
                <w:webHidden/>
              </w:rPr>
              <w:fldChar w:fldCharType="begin"/>
            </w:r>
            <w:r>
              <w:rPr>
                <w:noProof/>
                <w:webHidden/>
              </w:rPr>
              <w:instrText xml:space="preserve"> PAGEREF _Toc152331398 \h </w:instrText>
            </w:r>
            <w:r>
              <w:rPr>
                <w:noProof/>
                <w:webHidden/>
              </w:rPr>
            </w:r>
            <w:r>
              <w:rPr>
                <w:noProof/>
                <w:webHidden/>
              </w:rPr>
              <w:fldChar w:fldCharType="separate"/>
            </w:r>
            <w:r w:rsidR="00F13955">
              <w:rPr>
                <w:noProof/>
                <w:webHidden/>
              </w:rPr>
              <w:t>26</w:t>
            </w:r>
            <w:r>
              <w:rPr>
                <w:noProof/>
                <w:webHidden/>
              </w:rPr>
              <w:fldChar w:fldCharType="end"/>
            </w:r>
          </w:hyperlink>
        </w:p>
        <w:p w:rsidR="00B32E76" w:rsidRDefault="00B32E76" w14:paraId="7564EFD2" w14:textId="468F8B48">
          <w:pPr>
            <w:pStyle w:val="TOC2"/>
            <w:tabs>
              <w:tab w:val="right" w:leader="dot" w:pos="9350"/>
            </w:tabs>
            <w:rPr>
              <w:rFonts w:asciiTheme="minorHAnsi" w:hAnsiTheme="minorHAnsi" w:cstheme="minorBidi"/>
              <w:noProof/>
              <w:kern w:val="2"/>
              <w:sz w:val="22"/>
              <w14:ligatures w14:val="standardContextual"/>
            </w:rPr>
          </w:pPr>
          <w:hyperlink w:history="1" w:anchor="_Toc152331399">
            <w:r w:rsidRPr="0079129D">
              <w:rPr>
                <w:rStyle w:val="Hyperlink"/>
                <w:noProof/>
              </w:rPr>
              <w:t>5.3.</w:t>
            </w:r>
            <w:r>
              <w:rPr>
                <w:rFonts w:asciiTheme="minorHAnsi" w:hAnsiTheme="minorHAnsi" w:cstheme="minorBidi"/>
                <w:noProof/>
                <w:kern w:val="2"/>
                <w:sz w:val="22"/>
                <w14:ligatures w14:val="standardContextual"/>
              </w:rPr>
              <w:tab/>
            </w:r>
            <w:r w:rsidRPr="0079129D">
              <w:rPr>
                <w:rStyle w:val="Hyperlink"/>
                <w:noProof/>
              </w:rPr>
              <w:t>Green Tariff Shared Renewables Program</w:t>
            </w:r>
            <w:r>
              <w:rPr>
                <w:noProof/>
                <w:webHidden/>
              </w:rPr>
              <w:tab/>
            </w:r>
            <w:r>
              <w:rPr>
                <w:noProof/>
                <w:webHidden/>
              </w:rPr>
              <w:fldChar w:fldCharType="begin"/>
            </w:r>
            <w:r>
              <w:rPr>
                <w:noProof/>
                <w:webHidden/>
              </w:rPr>
              <w:instrText xml:space="preserve"> PAGEREF _Toc152331399 \h </w:instrText>
            </w:r>
            <w:r>
              <w:rPr>
                <w:noProof/>
                <w:webHidden/>
              </w:rPr>
            </w:r>
            <w:r>
              <w:rPr>
                <w:noProof/>
                <w:webHidden/>
              </w:rPr>
              <w:fldChar w:fldCharType="separate"/>
            </w:r>
            <w:r w:rsidR="00F13955">
              <w:rPr>
                <w:noProof/>
                <w:webHidden/>
              </w:rPr>
              <w:t>27</w:t>
            </w:r>
            <w:r>
              <w:rPr>
                <w:noProof/>
                <w:webHidden/>
              </w:rPr>
              <w:fldChar w:fldCharType="end"/>
            </w:r>
          </w:hyperlink>
        </w:p>
        <w:p w:rsidR="00B32E76" w:rsidRDefault="00B32E76" w14:paraId="3C514666" w14:textId="0ABB9D66">
          <w:pPr>
            <w:pStyle w:val="TOC2"/>
            <w:tabs>
              <w:tab w:val="right" w:leader="dot" w:pos="9350"/>
            </w:tabs>
            <w:rPr>
              <w:rFonts w:asciiTheme="minorHAnsi" w:hAnsiTheme="minorHAnsi" w:cstheme="minorBidi"/>
              <w:noProof/>
              <w:kern w:val="2"/>
              <w:sz w:val="22"/>
              <w14:ligatures w14:val="standardContextual"/>
            </w:rPr>
          </w:pPr>
          <w:hyperlink w:history="1" w:anchor="_Toc152331400">
            <w:r w:rsidRPr="0079129D">
              <w:rPr>
                <w:rStyle w:val="Hyperlink"/>
                <w:noProof/>
              </w:rPr>
              <w:t>5.4.</w:t>
            </w:r>
            <w:r>
              <w:rPr>
                <w:rFonts w:asciiTheme="minorHAnsi" w:hAnsiTheme="minorHAnsi" w:cstheme="minorBidi"/>
                <w:noProof/>
                <w:kern w:val="2"/>
                <w:sz w:val="22"/>
                <w14:ligatures w14:val="standardContextual"/>
              </w:rPr>
              <w:tab/>
            </w:r>
            <w:r w:rsidRPr="0079129D">
              <w:rPr>
                <w:rStyle w:val="Hyperlink"/>
                <w:noProof/>
              </w:rPr>
              <w:t>Nuclear</w:t>
            </w:r>
            <w:r>
              <w:rPr>
                <w:noProof/>
                <w:webHidden/>
              </w:rPr>
              <w:tab/>
            </w:r>
            <w:r>
              <w:rPr>
                <w:noProof/>
                <w:webHidden/>
              </w:rPr>
              <w:fldChar w:fldCharType="begin"/>
            </w:r>
            <w:r>
              <w:rPr>
                <w:noProof/>
                <w:webHidden/>
              </w:rPr>
              <w:instrText xml:space="preserve"> PAGEREF _Toc152331400 \h </w:instrText>
            </w:r>
            <w:r>
              <w:rPr>
                <w:noProof/>
                <w:webHidden/>
              </w:rPr>
            </w:r>
            <w:r>
              <w:rPr>
                <w:noProof/>
                <w:webHidden/>
              </w:rPr>
              <w:fldChar w:fldCharType="separate"/>
            </w:r>
            <w:r w:rsidR="00F13955">
              <w:rPr>
                <w:noProof/>
                <w:webHidden/>
              </w:rPr>
              <w:t>28</w:t>
            </w:r>
            <w:r>
              <w:rPr>
                <w:noProof/>
                <w:webHidden/>
              </w:rPr>
              <w:fldChar w:fldCharType="end"/>
            </w:r>
          </w:hyperlink>
        </w:p>
        <w:p w:rsidR="00B32E76" w:rsidRDefault="00B32E76" w14:paraId="15067B51" w14:textId="2E610A4A">
          <w:pPr>
            <w:pStyle w:val="TOC2"/>
            <w:tabs>
              <w:tab w:val="right" w:leader="dot" w:pos="9350"/>
            </w:tabs>
            <w:rPr>
              <w:rFonts w:asciiTheme="minorHAnsi" w:hAnsiTheme="minorHAnsi" w:cstheme="minorBidi"/>
              <w:noProof/>
              <w:kern w:val="2"/>
              <w:sz w:val="22"/>
              <w14:ligatures w14:val="standardContextual"/>
            </w:rPr>
          </w:pPr>
          <w:hyperlink w:history="1" w:anchor="_Toc152331401">
            <w:r w:rsidRPr="0079129D">
              <w:rPr>
                <w:rStyle w:val="Hyperlink"/>
                <w:noProof/>
              </w:rPr>
              <w:t>5.5.</w:t>
            </w:r>
            <w:r>
              <w:rPr>
                <w:rFonts w:asciiTheme="minorHAnsi" w:hAnsiTheme="minorHAnsi" w:cstheme="minorBidi"/>
                <w:noProof/>
                <w:kern w:val="2"/>
                <w:sz w:val="22"/>
                <w14:ligatures w14:val="standardContextual"/>
              </w:rPr>
              <w:tab/>
            </w:r>
            <w:r w:rsidRPr="0079129D">
              <w:rPr>
                <w:rStyle w:val="Hyperlink"/>
                <w:noProof/>
              </w:rPr>
              <w:t>Catalina Fuel Costs</w:t>
            </w:r>
            <w:r>
              <w:rPr>
                <w:noProof/>
                <w:webHidden/>
              </w:rPr>
              <w:tab/>
            </w:r>
            <w:r>
              <w:rPr>
                <w:noProof/>
                <w:webHidden/>
              </w:rPr>
              <w:fldChar w:fldCharType="begin"/>
            </w:r>
            <w:r>
              <w:rPr>
                <w:noProof/>
                <w:webHidden/>
              </w:rPr>
              <w:instrText xml:space="preserve"> PAGEREF _Toc152331401 \h </w:instrText>
            </w:r>
            <w:r>
              <w:rPr>
                <w:noProof/>
                <w:webHidden/>
              </w:rPr>
            </w:r>
            <w:r>
              <w:rPr>
                <w:noProof/>
                <w:webHidden/>
              </w:rPr>
              <w:fldChar w:fldCharType="separate"/>
            </w:r>
            <w:r w:rsidR="00F13955">
              <w:rPr>
                <w:noProof/>
                <w:webHidden/>
              </w:rPr>
              <w:t>30</w:t>
            </w:r>
            <w:r>
              <w:rPr>
                <w:noProof/>
                <w:webHidden/>
              </w:rPr>
              <w:fldChar w:fldCharType="end"/>
            </w:r>
          </w:hyperlink>
        </w:p>
        <w:p w:rsidR="00B32E76" w:rsidRDefault="00B32E76" w14:paraId="34B5981C" w14:textId="00228D87">
          <w:pPr>
            <w:pStyle w:val="TOC2"/>
            <w:tabs>
              <w:tab w:val="right" w:leader="dot" w:pos="9350"/>
            </w:tabs>
            <w:rPr>
              <w:rFonts w:asciiTheme="minorHAnsi" w:hAnsiTheme="minorHAnsi" w:cstheme="minorBidi"/>
              <w:noProof/>
              <w:kern w:val="2"/>
              <w:sz w:val="22"/>
              <w14:ligatures w14:val="standardContextual"/>
            </w:rPr>
          </w:pPr>
          <w:hyperlink w:history="1" w:anchor="_Toc152331402">
            <w:r w:rsidRPr="0079129D">
              <w:rPr>
                <w:rStyle w:val="Hyperlink"/>
                <w:noProof/>
              </w:rPr>
              <w:t>5.6.</w:t>
            </w:r>
            <w:r>
              <w:rPr>
                <w:rFonts w:asciiTheme="minorHAnsi" w:hAnsiTheme="minorHAnsi" w:cstheme="minorBidi"/>
                <w:noProof/>
                <w:kern w:val="2"/>
                <w:sz w:val="22"/>
                <w14:ligatures w14:val="standardContextual"/>
              </w:rPr>
              <w:tab/>
            </w:r>
            <w:r w:rsidRPr="0079129D">
              <w:rPr>
                <w:rStyle w:val="Hyperlink"/>
                <w:noProof/>
              </w:rPr>
              <w:t>Demand Response</w:t>
            </w:r>
            <w:r>
              <w:rPr>
                <w:noProof/>
                <w:webHidden/>
              </w:rPr>
              <w:tab/>
            </w:r>
            <w:r>
              <w:rPr>
                <w:noProof/>
                <w:webHidden/>
              </w:rPr>
              <w:fldChar w:fldCharType="begin"/>
            </w:r>
            <w:r>
              <w:rPr>
                <w:noProof/>
                <w:webHidden/>
              </w:rPr>
              <w:instrText xml:space="preserve"> PAGEREF _Toc152331402 \h </w:instrText>
            </w:r>
            <w:r>
              <w:rPr>
                <w:noProof/>
                <w:webHidden/>
              </w:rPr>
            </w:r>
            <w:r>
              <w:rPr>
                <w:noProof/>
                <w:webHidden/>
              </w:rPr>
              <w:fldChar w:fldCharType="separate"/>
            </w:r>
            <w:r w:rsidR="00F13955">
              <w:rPr>
                <w:noProof/>
                <w:webHidden/>
              </w:rPr>
              <w:t>31</w:t>
            </w:r>
            <w:r>
              <w:rPr>
                <w:noProof/>
                <w:webHidden/>
              </w:rPr>
              <w:fldChar w:fldCharType="end"/>
            </w:r>
          </w:hyperlink>
        </w:p>
        <w:p w:rsidR="00B32E76" w:rsidRDefault="00B32E76" w14:paraId="3599412A" w14:textId="29DE6868">
          <w:pPr>
            <w:pStyle w:val="TOC2"/>
            <w:tabs>
              <w:tab w:val="right" w:leader="dot" w:pos="9350"/>
            </w:tabs>
            <w:rPr>
              <w:rFonts w:asciiTheme="minorHAnsi" w:hAnsiTheme="minorHAnsi" w:cstheme="minorBidi"/>
              <w:noProof/>
              <w:kern w:val="2"/>
              <w:sz w:val="22"/>
              <w14:ligatures w14:val="standardContextual"/>
            </w:rPr>
          </w:pPr>
          <w:hyperlink w:history="1" w:anchor="_Toc152331403">
            <w:r w:rsidRPr="0079129D">
              <w:rPr>
                <w:rStyle w:val="Hyperlink"/>
                <w:noProof/>
              </w:rPr>
              <w:t>5.7.</w:t>
            </w:r>
            <w:r>
              <w:rPr>
                <w:rFonts w:asciiTheme="minorHAnsi" w:hAnsiTheme="minorHAnsi" w:cstheme="minorBidi"/>
                <w:noProof/>
                <w:kern w:val="2"/>
                <w:sz w:val="22"/>
                <w14:ligatures w14:val="standardContextual"/>
              </w:rPr>
              <w:tab/>
            </w:r>
            <w:r w:rsidRPr="0079129D">
              <w:rPr>
                <w:rStyle w:val="Hyperlink"/>
                <w:noProof/>
              </w:rPr>
              <w:t>CAISO Costs, Load Procurement Charges,  and Energy Revenue</w:t>
            </w:r>
            <w:r>
              <w:rPr>
                <w:noProof/>
                <w:webHidden/>
              </w:rPr>
              <w:tab/>
            </w:r>
            <w:r>
              <w:rPr>
                <w:noProof/>
                <w:webHidden/>
              </w:rPr>
              <w:fldChar w:fldCharType="begin"/>
            </w:r>
            <w:r>
              <w:rPr>
                <w:noProof/>
                <w:webHidden/>
              </w:rPr>
              <w:instrText xml:space="preserve"> PAGEREF _Toc152331403 \h </w:instrText>
            </w:r>
            <w:r>
              <w:rPr>
                <w:noProof/>
                <w:webHidden/>
              </w:rPr>
            </w:r>
            <w:r>
              <w:rPr>
                <w:noProof/>
                <w:webHidden/>
              </w:rPr>
              <w:fldChar w:fldCharType="separate"/>
            </w:r>
            <w:r w:rsidR="00F13955">
              <w:rPr>
                <w:noProof/>
                <w:webHidden/>
              </w:rPr>
              <w:t>31</w:t>
            </w:r>
            <w:r>
              <w:rPr>
                <w:noProof/>
                <w:webHidden/>
              </w:rPr>
              <w:fldChar w:fldCharType="end"/>
            </w:r>
          </w:hyperlink>
        </w:p>
        <w:p w:rsidR="00B32E76" w:rsidRDefault="00B32E76" w14:paraId="5365BDAD" w14:textId="52D7146C">
          <w:pPr>
            <w:pStyle w:val="TOC2"/>
            <w:tabs>
              <w:tab w:val="right" w:leader="dot" w:pos="9350"/>
            </w:tabs>
            <w:rPr>
              <w:rFonts w:asciiTheme="minorHAnsi" w:hAnsiTheme="minorHAnsi" w:cstheme="minorBidi"/>
              <w:noProof/>
              <w:kern w:val="2"/>
              <w:sz w:val="22"/>
              <w14:ligatures w14:val="standardContextual"/>
            </w:rPr>
          </w:pPr>
          <w:hyperlink w:history="1" w:anchor="_Toc152331404">
            <w:r w:rsidRPr="0079129D">
              <w:rPr>
                <w:rStyle w:val="Hyperlink"/>
                <w:noProof/>
              </w:rPr>
              <w:t>5.8.</w:t>
            </w:r>
            <w:r>
              <w:rPr>
                <w:rFonts w:asciiTheme="minorHAnsi" w:hAnsiTheme="minorHAnsi" w:cstheme="minorBidi"/>
                <w:noProof/>
                <w:kern w:val="2"/>
                <w:sz w:val="22"/>
                <w14:ligatures w14:val="standardContextual"/>
              </w:rPr>
              <w:tab/>
            </w:r>
            <w:r w:rsidRPr="0079129D">
              <w:rPr>
                <w:rStyle w:val="Hyperlink"/>
                <w:noProof/>
              </w:rPr>
              <w:t>Hedging Costs</w:t>
            </w:r>
            <w:r>
              <w:rPr>
                <w:noProof/>
                <w:webHidden/>
              </w:rPr>
              <w:tab/>
            </w:r>
            <w:r>
              <w:rPr>
                <w:noProof/>
                <w:webHidden/>
              </w:rPr>
              <w:fldChar w:fldCharType="begin"/>
            </w:r>
            <w:r>
              <w:rPr>
                <w:noProof/>
                <w:webHidden/>
              </w:rPr>
              <w:instrText xml:space="preserve"> PAGEREF _Toc152331404 \h </w:instrText>
            </w:r>
            <w:r>
              <w:rPr>
                <w:noProof/>
                <w:webHidden/>
              </w:rPr>
            </w:r>
            <w:r>
              <w:rPr>
                <w:noProof/>
                <w:webHidden/>
              </w:rPr>
              <w:fldChar w:fldCharType="separate"/>
            </w:r>
            <w:r w:rsidR="00F13955">
              <w:rPr>
                <w:noProof/>
                <w:webHidden/>
              </w:rPr>
              <w:t>33</w:t>
            </w:r>
            <w:r>
              <w:rPr>
                <w:noProof/>
                <w:webHidden/>
              </w:rPr>
              <w:fldChar w:fldCharType="end"/>
            </w:r>
          </w:hyperlink>
        </w:p>
        <w:p w:rsidR="00B32E76" w:rsidRDefault="00B32E76" w14:paraId="012A7263" w14:textId="05919833">
          <w:pPr>
            <w:pStyle w:val="TOC2"/>
            <w:tabs>
              <w:tab w:val="right" w:leader="dot" w:pos="9350"/>
            </w:tabs>
            <w:rPr>
              <w:rFonts w:asciiTheme="minorHAnsi" w:hAnsiTheme="minorHAnsi" w:cstheme="minorBidi"/>
              <w:noProof/>
              <w:kern w:val="2"/>
              <w:sz w:val="22"/>
              <w14:ligatures w14:val="standardContextual"/>
            </w:rPr>
          </w:pPr>
          <w:hyperlink w:history="1" w:anchor="_Toc152331405">
            <w:r w:rsidRPr="0079129D">
              <w:rPr>
                <w:rStyle w:val="Hyperlink"/>
                <w:noProof/>
              </w:rPr>
              <w:t>5.9.</w:t>
            </w:r>
            <w:r>
              <w:rPr>
                <w:rFonts w:asciiTheme="minorHAnsi" w:hAnsiTheme="minorHAnsi" w:cstheme="minorBidi"/>
                <w:noProof/>
                <w:kern w:val="2"/>
                <w:sz w:val="22"/>
                <w14:ligatures w14:val="standardContextual"/>
              </w:rPr>
              <w:tab/>
            </w:r>
            <w:r w:rsidRPr="0079129D">
              <w:rPr>
                <w:rStyle w:val="Hyperlink"/>
                <w:noProof/>
              </w:rPr>
              <w:t>Gas Transportation and Storage</w:t>
            </w:r>
            <w:r>
              <w:rPr>
                <w:noProof/>
                <w:webHidden/>
              </w:rPr>
              <w:tab/>
            </w:r>
            <w:r>
              <w:rPr>
                <w:noProof/>
                <w:webHidden/>
              </w:rPr>
              <w:fldChar w:fldCharType="begin"/>
            </w:r>
            <w:r>
              <w:rPr>
                <w:noProof/>
                <w:webHidden/>
              </w:rPr>
              <w:instrText xml:space="preserve"> PAGEREF _Toc152331405 \h </w:instrText>
            </w:r>
            <w:r>
              <w:rPr>
                <w:noProof/>
                <w:webHidden/>
              </w:rPr>
            </w:r>
            <w:r>
              <w:rPr>
                <w:noProof/>
                <w:webHidden/>
              </w:rPr>
              <w:fldChar w:fldCharType="separate"/>
            </w:r>
            <w:r w:rsidR="00F13955">
              <w:rPr>
                <w:noProof/>
                <w:webHidden/>
              </w:rPr>
              <w:t>33</w:t>
            </w:r>
            <w:r>
              <w:rPr>
                <w:noProof/>
                <w:webHidden/>
              </w:rPr>
              <w:fldChar w:fldCharType="end"/>
            </w:r>
          </w:hyperlink>
        </w:p>
        <w:p w:rsidR="00B32E76" w:rsidRDefault="00B32E76" w14:paraId="5472FFF4" w14:textId="385D26D1">
          <w:pPr>
            <w:pStyle w:val="TOC2"/>
            <w:tabs>
              <w:tab w:val="left" w:pos="1296"/>
              <w:tab w:val="right" w:leader="dot" w:pos="9350"/>
            </w:tabs>
            <w:rPr>
              <w:rFonts w:asciiTheme="minorHAnsi" w:hAnsiTheme="minorHAnsi" w:cstheme="minorBidi"/>
              <w:noProof/>
              <w:kern w:val="2"/>
              <w:sz w:val="22"/>
              <w14:ligatures w14:val="standardContextual"/>
            </w:rPr>
          </w:pPr>
          <w:hyperlink w:history="1" w:anchor="_Toc152331406">
            <w:r w:rsidRPr="0079129D">
              <w:rPr>
                <w:rStyle w:val="Hyperlink"/>
                <w:noProof/>
              </w:rPr>
              <w:t>5.10.</w:t>
            </w:r>
            <w:r>
              <w:rPr>
                <w:rFonts w:asciiTheme="minorHAnsi" w:hAnsiTheme="minorHAnsi" w:cstheme="minorBidi"/>
                <w:noProof/>
                <w:kern w:val="2"/>
                <w:sz w:val="22"/>
                <w14:ligatures w14:val="standardContextual"/>
              </w:rPr>
              <w:tab/>
            </w:r>
            <w:r w:rsidRPr="0079129D">
              <w:rPr>
                <w:rStyle w:val="Hyperlink"/>
                <w:noProof/>
              </w:rPr>
              <w:t>Subscription Fees, Financing Costs,  and Carrying Costs</w:t>
            </w:r>
            <w:r>
              <w:rPr>
                <w:noProof/>
                <w:webHidden/>
              </w:rPr>
              <w:tab/>
            </w:r>
            <w:r>
              <w:rPr>
                <w:noProof/>
                <w:webHidden/>
              </w:rPr>
              <w:fldChar w:fldCharType="begin"/>
            </w:r>
            <w:r>
              <w:rPr>
                <w:noProof/>
                <w:webHidden/>
              </w:rPr>
              <w:instrText xml:space="preserve"> PAGEREF _Toc152331406 \h </w:instrText>
            </w:r>
            <w:r>
              <w:rPr>
                <w:noProof/>
                <w:webHidden/>
              </w:rPr>
            </w:r>
            <w:r>
              <w:rPr>
                <w:noProof/>
                <w:webHidden/>
              </w:rPr>
              <w:fldChar w:fldCharType="separate"/>
            </w:r>
            <w:r w:rsidR="00F13955">
              <w:rPr>
                <w:noProof/>
                <w:webHidden/>
              </w:rPr>
              <w:t>34</w:t>
            </w:r>
            <w:r>
              <w:rPr>
                <w:noProof/>
                <w:webHidden/>
              </w:rPr>
              <w:fldChar w:fldCharType="end"/>
            </w:r>
          </w:hyperlink>
        </w:p>
        <w:p w:rsidR="00B32E76" w:rsidRDefault="00B32E76" w14:paraId="5AD21220" w14:textId="6639435C">
          <w:pPr>
            <w:pStyle w:val="TOC1"/>
            <w:tabs>
              <w:tab w:val="right" w:leader="dot" w:pos="9350"/>
            </w:tabs>
            <w:rPr>
              <w:rFonts w:asciiTheme="minorHAnsi" w:hAnsiTheme="minorHAnsi" w:cstheme="minorBidi"/>
              <w:noProof/>
              <w:kern w:val="2"/>
              <w:sz w:val="22"/>
              <w14:ligatures w14:val="standardContextual"/>
            </w:rPr>
          </w:pPr>
          <w:hyperlink w:history="1" w:anchor="_Toc152331407">
            <w:r w:rsidRPr="0079129D">
              <w:rPr>
                <w:rStyle w:val="Hyperlink"/>
                <w:noProof/>
              </w:rPr>
              <w:t>6.</w:t>
            </w:r>
            <w:r>
              <w:rPr>
                <w:rFonts w:asciiTheme="minorHAnsi" w:hAnsiTheme="minorHAnsi" w:cstheme="minorBidi"/>
                <w:noProof/>
                <w:kern w:val="2"/>
                <w:sz w:val="22"/>
                <w14:ligatures w14:val="standardContextual"/>
              </w:rPr>
              <w:tab/>
            </w:r>
            <w:r w:rsidRPr="0079129D">
              <w:rPr>
                <w:rStyle w:val="Hyperlink"/>
                <w:noProof/>
              </w:rPr>
              <w:t>SCE’s Revenue Requirement and Ratemaking Proposal</w:t>
            </w:r>
            <w:r>
              <w:rPr>
                <w:noProof/>
                <w:webHidden/>
              </w:rPr>
              <w:tab/>
            </w:r>
            <w:r>
              <w:rPr>
                <w:noProof/>
                <w:webHidden/>
              </w:rPr>
              <w:fldChar w:fldCharType="begin"/>
            </w:r>
            <w:r>
              <w:rPr>
                <w:noProof/>
                <w:webHidden/>
              </w:rPr>
              <w:instrText xml:space="preserve"> PAGEREF _Toc152331407 \h </w:instrText>
            </w:r>
            <w:r>
              <w:rPr>
                <w:noProof/>
                <w:webHidden/>
              </w:rPr>
            </w:r>
            <w:r>
              <w:rPr>
                <w:noProof/>
                <w:webHidden/>
              </w:rPr>
              <w:fldChar w:fldCharType="separate"/>
            </w:r>
            <w:r w:rsidR="00F13955">
              <w:rPr>
                <w:noProof/>
                <w:webHidden/>
              </w:rPr>
              <w:t>36</w:t>
            </w:r>
            <w:r>
              <w:rPr>
                <w:noProof/>
                <w:webHidden/>
              </w:rPr>
              <w:fldChar w:fldCharType="end"/>
            </w:r>
          </w:hyperlink>
        </w:p>
        <w:p w:rsidR="00B32E76" w:rsidRDefault="00B32E76" w14:paraId="480E3CCD" w14:textId="7125CE32">
          <w:pPr>
            <w:pStyle w:val="TOC2"/>
            <w:tabs>
              <w:tab w:val="right" w:leader="dot" w:pos="9350"/>
            </w:tabs>
            <w:rPr>
              <w:rFonts w:asciiTheme="minorHAnsi" w:hAnsiTheme="minorHAnsi" w:cstheme="minorBidi"/>
              <w:noProof/>
              <w:kern w:val="2"/>
              <w:sz w:val="22"/>
              <w14:ligatures w14:val="standardContextual"/>
            </w:rPr>
          </w:pPr>
          <w:hyperlink w:history="1" w:anchor="_Toc152331408">
            <w:r w:rsidRPr="0079129D">
              <w:rPr>
                <w:rStyle w:val="Hyperlink"/>
                <w:noProof/>
              </w:rPr>
              <w:t>6.1.</w:t>
            </w:r>
            <w:r>
              <w:rPr>
                <w:rFonts w:asciiTheme="minorHAnsi" w:hAnsiTheme="minorHAnsi" w:cstheme="minorBidi"/>
                <w:noProof/>
                <w:kern w:val="2"/>
                <w:sz w:val="22"/>
                <w14:ligatures w14:val="standardContextual"/>
              </w:rPr>
              <w:tab/>
            </w:r>
            <w:r w:rsidRPr="0079129D">
              <w:rPr>
                <w:rStyle w:val="Hyperlink"/>
                <w:noProof/>
              </w:rPr>
              <w:t>Generation Service Revenue Requirement</w:t>
            </w:r>
            <w:r>
              <w:rPr>
                <w:noProof/>
                <w:webHidden/>
              </w:rPr>
              <w:tab/>
            </w:r>
            <w:r>
              <w:rPr>
                <w:noProof/>
                <w:webHidden/>
              </w:rPr>
              <w:fldChar w:fldCharType="begin"/>
            </w:r>
            <w:r>
              <w:rPr>
                <w:noProof/>
                <w:webHidden/>
              </w:rPr>
              <w:instrText xml:space="preserve"> PAGEREF _Toc152331408 \h </w:instrText>
            </w:r>
            <w:r>
              <w:rPr>
                <w:noProof/>
                <w:webHidden/>
              </w:rPr>
            </w:r>
            <w:r>
              <w:rPr>
                <w:noProof/>
                <w:webHidden/>
              </w:rPr>
              <w:fldChar w:fldCharType="separate"/>
            </w:r>
            <w:r w:rsidR="00F13955">
              <w:rPr>
                <w:noProof/>
                <w:webHidden/>
              </w:rPr>
              <w:t>36</w:t>
            </w:r>
            <w:r>
              <w:rPr>
                <w:noProof/>
                <w:webHidden/>
              </w:rPr>
              <w:fldChar w:fldCharType="end"/>
            </w:r>
          </w:hyperlink>
        </w:p>
        <w:p w:rsidR="00B32E76" w:rsidRDefault="00B32E76" w14:paraId="653F62E1" w14:textId="6B8188DD">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09">
            <w:r w:rsidRPr="0079129D">
              <w:rPr>
                <w:rStyle w:val="Hyperlink"/>
                <w:noProof/>
              </w:rPr>
              <w:t>6.1.1.</w:t>
            </w:r>
            <w:r>
              <w:rPr>
                <w:rFonts w:asciiTheme="minorHAnsi" w:hAnsiTheme="minorHAnsi" w:cstheme="minorBidi"/>
                <w:noProof/>
                <w:kern w:val="2"/>
                <w:sz w:val="22"/>
                <w14:ligatures w14:val="standardContextual"/>
              </w:rPr>
              <w:tab/>
            </w:r>
            <w:r w:rsidRPr="0079129D">
              <w:rPr>
                <w:rStyle w:val="Hyperlink"/>
                <w:noProof/>
              </w:rPr>
              <w:t>ERRA Balancing Account</w:t>
            </w:r>
            <w:r>
              <w:rPr>
                <w:noProof/>
                <w:webHidden/>
              </w:rPr>
              <w:tab/>
            </w:r>
            <w:r>
              <w:rPr>
                <w:noProof/>
                <w:webHidden/>
              </w:rPr>
              <w:fldChar w:fldCharType="begin"/>
            </w:r>
            <w:r>
              <w:rPr>
                <w:noProof/>
                <w:webHidden/>
              </w:rPr>
              <w:instrText xml:space="preserve"> PAGEREF _Toc152331409 \h </w:instrText>
            </w:r>
            <w:r>
              <w:rPr>
                <w:noProof/>
                <w:webHidden/>
              </w:rPr>
            </w:r>
            <w:r>
              <w:rPr>
                <w:noProof/>
                <w:webHidden/>
              </w:rPr>
              <w:fldChar w:fldCharType="separate"/>
            </w:r>
            <w:r w:rsidR="00F13955">
              <w:rPr>
                <w:noProof/>
                <w:webHidden/>
              </w:rPr>
              <w:t>36</w:t>
            </w:r>
            <w:r>
              <w:rPr>
                <w:noProof/>
                <w:webHidden/>
              </w:rPr>
              <w:fldChar w:fldCharType="end"/>
            </w:r>
          </w:hyperlink>
        </w:p>
        <w:p w:rsidR="00B32E76" w:rsidRDefault="00B32E76" w14:paraId="4BC14CD8" w14:textId="51068E0E">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10">
            <w:r w:rsidRPr="0079129D">
              <w:rPr>
                <w:rStyle w:val="Hyperlink"/>
                <w:noProof/>
              </w:rPr>
              <w:t>6.1.2.</w:t>
            </w:r>
            <w:r>
              <w:rPr>
                <w:rFonts w:asciiTheme="minorHAnsi" w:hAnsiTheme="minorHAnsi" w:cstheme="minorBidi"/>
                <w:noProof/>
                <w:kern w:val="2"/>
                <w:sz w:val="22"/>
                <w14:ligatures w14:val="standardContextual"/>
              </w:rPr>
              <w:tab/>
            </w:r>
            <w:r w:rsidRPr="0079129D">
              <w:rPr>
                <w:rStyle w:val="Hyperlink"/>
                <w:noProof/>
              </w:rPr>
              <w:t>Portfolio Allocation Balancing Account</w:t>
            </w:r>
            <w:r>
              <w:rPr>
                <w:noProof/>
                <w:webHidden/>
              </w:rPr>
              <w:tab/>
            </w:r>
            <w:r>
              <w:rPr>
                <w:noProof/>
                <w:webHidden/>
              </w:rPr>
              <w:fldChar w:fldCharType="begin"/>
            </w:r>
            <w:r>
              <w:rPr>
                <w:noProof/>
                <w:webHidden/>
              </w:rPr>
              <w:instrText xml:space="preserve"> PAGEREF _Toc152331410 \h </w:instrText>
            </w:r>
            <w:r>
              <w:rPr>
                <w:noProof/>
                <w:webHidden/>
              </w:rPr>
            </w:r>
            <w:r>
              <w:rPr>
                <w:noProof/>
                <w:webHidden/>
              </w:rPr>
              <w:fldChar w:fldCharType="separate"/>
            </w:r>
            <w:r w:rsidR="00F13955">
              <w:rPr>
                <w:noProof/>
                <w:webHidden/>
              </w:rPr>
              <w:t>37</w:t>
            </w:r>
            <w:r>
              <w:rPr>
                <w:noProof/>
                <w:webHidden/>
              </w:rPr>
              <w:fldChar w:fldCharType="end"/>
            </w:r>
          </w:hyperlink>
        </w:p>
        <w:p w:rsidR="00B32E76" w:rsidRDefault="00B32E76" w14:paraId="51ADE504" w14:textId="11CA3824">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11">
            <w:r w:rsidRPr="0079129D">
              <w:rPr>
                <w:rStyle w:val="Hyperlink"/>
                <w:noProof/>
              </w:rPr>
              <w:t>6.1.3.</w:t>
            </w:r>
            <w:r>
              <w:rPr>
                <w:rFonts w:asciiTheme="minorHAnsi" w:hAnsiTheme="minorHAnsi" w:cstheme="minorBidi"/>
                <w:noProof/>
                <w:kern w:val="2"/>
                <w:sz w:val="22"/>
                <w14:ligatures w14:val="standardContextual"/>
              </w:rPr>
              <w:tab/>
            </w:r>
            <w:r w:rsidRPr="0079129D">
              <w:rPr>
                <w:rStyle w:val="Hyperlink"/>
                <w:noProof/>
              </w:rPr>
              <w:t>Geysers Contract Errors</w:t>
            </w:r>
            <w:r>
              <w:rPr>
                <w:noProof/>
                <w:webHidden/>
              </w:rPr>
              <w:tab/>
            </w:r>
            <w:r>
              <w:rPr>
                <w:noProof/>
                <w:webHidden/>
              </w:rPr>
              <w:fldChar w:fldCharType="begin"/>
            </w:r>
            <w:r>
              <w:rPr>
                <w:noProof/>
                <w:webHidden/>
              </w:rPr>
              <w:instrText xml:space="preserve"> PAGEREF _Toc152331411 \h </w:instrText>
            </w:r>
            <w:r>
              <w:rPr>
                <w:noProof/>
                <w:webHidden/>
              </w:rPr>
            </w:r>
            <w:r>
              <w:rPr>
                <w:noProof/>
                <w:webHidden/>
              </w:rPr>
              <w:fldChar w:fldCharType="separate"/>
            </w:r>
            <w:r w:rsidR="00F13955">
              <w:rPr>
                <w:noProof/>
                <w:webHidden/>
              </w:rPr>
              <w:t>39</w:t>
            </w:r>
            <w:r>
              <w:rPr>
                <w:noProof/>
                <w:webHidden/>
              </w:rPr>
              <w:fldChar w:fldCharType="end"/>
            </w:r>
          </w:hyperlink>
        </w:p>
        <w:p w:rsidR="00B32E76" w:rsidRDefault="00B32E76" w14:paraId="1737AF89" w14:textId="29D33B3C">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12">
            <w:r w:rsidRPr="0079129D">
              <w:rPr>
                <w:rStyle w:val="Hyperlink"/>
                <w:noProof/>
              </w:rPr>
              <w:t>6.1.4.</w:t>
            </w:r>
            <w:r>
              <w:rPr>
                <w:rFonts w:asciiTheme="minorHAnsi" w:hAnsiTheme="minorHAnsi" w:cstheme="minorBidi"/>
                <w:noProof/>
                <w:kern w:val="2"/>
                <w:sz w:val="22"/>
                <w14:ligatures w14:val="standardContextual"/>
              </w:rPr>
              <w:tab/>
            </w:r>
            <w:r w:rsidRPr="0079129D">
              <w:rPr>
                <w:rStyle w:val="Hyperlink"/>
                <w:noProof/>
              </w:rPr>
              <w:t>Discussion</w:t>
            </w:r>
            <w:r>
              <w:rPr>
                <w:noProof/>
                <w:webHidden/>
              </w:rPr>
              <w:tab/>
            </w:r>
            <w:r>
              <w:rPr>
                <w:noProof/>
                <w:webHidden/>
              </w:rPr>
              <w:fldChar w:fldCharType="begin"/>
            </w:r>
            <w:r>
              <w:rPr>
                <w:noProof/>
                <w:webHidden/>
              </w:rPr>
              <w:instrText xml:space="preserve"> PAGEREF _Toc152331412 \h </w:instrText>
            </w:r>
            <w:r>
              <w:rPr>
                <w:noProof/>
                <w:webHidden/>
              </w:rPr>
            </w:r>
            <w:r>
              <w:rPr>
                <w:noProof/>
                <w:webHidden/>
              </w:rPr>
              <w:fldChar w:fldCharType="separate"/>
            </w:r>
            <w:r w:rsidR="00F13955">
              <w:rPr>
                <w:noProof/>
                <w:webHidden/>
              </w:rPr>
              <w:t>40</w:t>
            </w:r>
            <w:r>
              <w:rPr>
                <w:noProof/>
                <w:webHidden/>
              </w:rPr>
              <w:fldChar w:fldCharType="end"/>
            </w:r>
          </w:hyperlink>
        </w:p>
        <w:p w:rsidR="00B32E76" w:rsidRDefault="00B32E76" w14:paraId="4E55CF85" w14:textId="4A4B5A69">
          <w:pPr>
            <w:pStyle w:val="TOC2"/>
            <w:tabs>
              <w:tab w:val="right" w:leader="dot" w:pos="9350"/>
            </w:tabs>
            <w:rPr>
              <w:rFonts w:asciiTheme="minorHAnsi" w:hAnsiTheme="minorHAnsi" w:cstheme="minorBidi"/>
              <w:noProof/>
              <w:kern w:val="2"/>
              <w:sz w:val="22"/>
              <w14:ligatures w14:val="standardContextual"/>
            </w:rPr>
          </w:pPr>
          <w:hyperlink w:history="1" w:anchor="_Toc152331413">
            <w:r w:rsidRPr="0079129D">
              <w:rPr>
                <w:rStyle w:val="Hyperlink"/>
                <w:noProof/>
              </w:rPr>
              <w:t>6.2.</w:t>
            </w:r>
            <w:r>
              <w:rPr>
                <w:rFonts w:asciiTheme="minorHAnsi" w:hAnsiTheme="minorHAnsi" w:cstheme="minorBidi"/>
                <w:noProof/>
                <w:kern w:val="2"/>
                <w:sz w:val="22"/>
                <w14:ligatures w14:val="standardContextual"/>
              </w:rPr>
              <w:tab/>
            </w:r>
            <w:r w:rsidRPr="0079129D">
              <w:rPr>
                <w:rStyle w:val="Hyperlink"/>
                <w:noProof/>
              </w:rPr>
              <w:t xml:space="preserve">Energy Settlement Memorandum Account and </w:t>
            </w:r>
            <w:r w:rsidR="00F13955">
              <w:rPr>
                <w:rStyle w:val="Hyperlink"/>
                <w:noProof/>
              </w:rPr>
              <w:br/>
            </w:r>
            <w:r w:rsidRPr="0079129D">
              <w:rPr>
                <w:rStyle w:val="Hyperlink"/>
                <w:noProof/>
              </w:rPr>
              <w:t>Litigation Costs Tracking Account</w:t>
            </w:r>
            <w:r>
              <w:rPr>
                <w:noProof/>
                <w:webHidden/>
              </w:rPr>
              <w:tab/>
            </w:r>
            <w:r>
              <w:rPr>
                <w:noProof/>
                <w:webHidden/>
              </w:rPr>
              <w:fldChar w:fldCharType="begin"/>
            </w:r>
            <w:r>
              <w:rPr>
                <w:noProof/>
                <w:webHidden/>
              </w:rPr>
              <w:instrText xml:space="preserve"> PAGEREF _Toc152331413 \h </w:instrText>
            </w:r>
            <w:r>
              <w:rPr>
                <w:noProof/>
                <w:webHidden/>
              </w:rPr>
            </w:r>
            <w:r>
              <w:rPr>
                <w:noProof/>
                <w:webHidden/>
              </w:rPr>
              <w:fldChar w:fldCharType="separate"/>
            </w:r>
            <w:r w:rsidR="00F13955">
              <w:rPr>
                <w:noProof/>
                <w:webHidden/>
              </w:rPr>
              <w:t>41</w:t>
            </w:r>
            <w:r>
              <w:rPr>
                <w:noProof/>
                <w:webHidden/>
              </w:rPr>
              <w:fldChar w:fldCharType="end"/>
            </w:r>
          </w:hyperlink>
        </w:p>
        <w:p w:rsidR="00B32E76" w:rsidRDefault="00B32E76" w14:paraId="4D06F65C" w14:textId="48621C78">
          <w:pPr>
            <w:pStyle w:val="TOC2"/>
            <w:tabs>
              <w:tab w:val="right" w:leader="dot" w:pos="9350"/>
            </w:tabs>
            <w:rPr>
              <w:rFonts w:asciiTheme="minorHAnsi" w:hAnsiTheme="minorHAnsi" w:cstheme="minorBidi"/>
              <w:noProof/>
              <w:kern w:val="2"/>
              <w:sz w:val="22"/>
              <w14:ligatures w14:val="standardContextual"/>
            </w:rPr>
          </w:pPr>
          <w:hyperlink w:history="1" w:anchor="_Toc152331414">
            <w:r w:rsidRPr="0079129D">
              <w:rPr>
                <w:rStyle w:val="Hyperlink"/>
                <w:noProof/>
              </w:rPr>
              <w:t>6.3.</w:t>
            </w:r>
            <w:r>
              <w:rPr>
                <w:rFonts w:asciiTheme="minorHAnsi" w:hAnsiTheme="minorHAnsi" w:cstheme="minorBidi"/>
                <w:noProof/>
                <w:kern w:val="2"/>
                <w:sz w:val="22"/>
                <w14:ligatures w14:val="standardContextual"/>
              </w:rPr>
              <w:tab/>
            </w:r>
            <w:r w:rsidRPr="0079129D">
              <w:rPr>
                <w:rStyle w:val="Hyperlink"/>
                <w:noProof/>
              </w:rPr>
              <w:t>Delivery Service Revenue Requirement</w:t>
            </w:r>
            <w:r>
              <w:rPr>
                <w:noProof/>
                <w:webHidden/>
              </w:rPr>
              <w:tab/>
            </w:r>
            <w:r>
              <w:rPr>
                <w:noProof/>
                <w:webHidden/>
              </w:rPr>
              <w:fldChar w:fldCharType="begin"/>
            </w:r>
            <w:r>
              <w:rPr>
                <w:noProof/>
                <w:webHidden/>
              </w:rPr>
              <w:instrText xml:space="preserve"> PAGEREF _Toc152331414 \h </w:instrText>
            </w:r>
            <w:r>
              <w:rPr>
                <w:noProof/>
                <w:webHidden/>
              </w:rPr>
            </w:r>
            <w:r>
              <w:rPr>
                <w:noProof/>
                <w:webHidden/>
              </w:rPr>
              <w:fldChar w:fldCharType="separate"/>
            </w:r>
            <w:r w:rsidR="00F13955">
              <w:rPr>
                <w:noProof/>
                <w:webHidden/>
              </w:rPr>
              <w:t>42</w:t>
            </w:r>
            <w:r>
              <w:rPr>
                <w:noProof/>
                <w:webHidden/>
              </w:rPr>
              <w:fldChar w:fldCharType="end"/>
            </w:r>
          </w:hyperlink>
        </w:p>
        <w:p w:rsidR="00B32E76" w:rsidRDefault="00B32E76" w14:paraId="1F26077B" w14:textId="32EA56BE">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15">
            <w:r w:rsidRPr="0079129D">
              <w:rPr>
                <w:rStyle w:val="Hyperlink"/>
                <w:noProof/>
              </w:rPr>
              <w:t>6.3.1.</w:t>
            </w:r>
            <w:r>
              <w:rPr>
                <w:rFonts w:asciiTheme="minorHAnsi" w:hAnsiTheme="minorHAnsi" w:cstheme="minorBidi"/>
                <w:noProof/>
                <w:kern w:val="2"/>
                <w:sz w:val="22"/>
                <w14:ligatures w14:val="standardContextual"/>
              </w:rPr>
              <w:tab/>
            </w:r>
            <w:r w:rsidRPr="0079129D">
              <w:rPr>
                <w:rStyle w:val="Hyperlink"/>
                <w:noProof/>
              </w:rPr>
              <w:t>New System Generation Net Capacity CAM-Related Costs</w:t>
            </w:r>
            <w:r>
              <w:rPr>
                <w:noProof/>
                <w:webHidden/>
              </w:rPr>
              <w:tab/>
            </w:r>
            <w:r>
              <w:rPr>
                <w:noProof/>
                <w:webHidden/>
              </w:rPr>
              <w:fldChar w:fldCharType="begin"/>
            </w:r>
            <w:r>
              <w:rPr>
                <w:noProof/>
                <w:webHidden/>
              </w:rPr>
              <w:instrText xml:space="preserve"> PAGEREF _Toc152331415 \h </w:instrText>
            </w:r>
            <w:r>
              <w:rPr>
                <w:noProof/>
                <w:webHidden/>
              </w:rPr>
            </w:r>
            <w:r>
              <w:rPr>
                <w:noProof/>
                <w:webHidden/>
              </w:rPr>
              <w:fldChar w:fldCharType="separate"/>
            </w:r>
            <w:r w:rsidR="00F13955">
              <w:rPr>
                <w:noProof/>
                <w:webHidden/>
              </w:rPr>
              <w:t>43</w:t>
            </w:r>
            <w:r>
              <w:rPr>
                <w:noProof/>
                <w:webHidden/>
              </w:rPr>
              <w:fldChar w:fldCharType="end"/>
            </w:r>
          </w:hyperlink>
        </w:p>
        <w:p w:rsidR="00B32E76" w:rsidRDefault="00B32E76" w14:paraId="10F9CE48" w14:textId="41E673CD">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16">
            <w:r w:rsidRPr="0079129D">
              <w:rPr>
                <w:rStyle w:val="Hyperlink"/>
                <w:noProof/>
              </w:rPr>
              <w:t>6.3.2.</w:t>
            </w:r>
            <w:r>
              <w:rPr>
                <w:rFonts w:asciiTheme="minorHAnsi" w:hAnsiTheme="minorHAnsi" w:cstheme="minorBidi"/>
                <w:noProof/>
                <w:kern w:val="2"/>
                <w:sz w:val="22"/>
                <w14:ligatures w14:val="standardContextual"/>
              </w:rPr>
              <w:tab/>
            </w:r>
            <w:r w:rsidRPr="0079129D">
              <w:rPr>
                <w:rStyle w:val="Hyperlink"/>
                <w:noProof/>
              </w:rPr>
              <w:t>New System Generation Balancing Account</w:t>
            </w:r>
            <w:r>
              <w:rPr>
                <w:noProof/>
                <w:webHidden/>
              </w:rPr>
              <w:tab/>
            </w:r>
            <w:r>
              <w:rPr>
                <w:noProof/>
                <w:webHidden/>
              </w:rPr>
              <w:fldChar w:fldCharType="begin"/>
            </w:r>
            <w:r>
              <w:rPr>
                <w:noProof/>
                <w:webHidden/>
              </w:rPr>
              <w:instrText xml:space="preserve"> PAGEREF _Toc152331416 \h </w:instrText>
            </w:r>
            <w:r>
              <w:rPr>
                <w:noProof/>
                <w:webHidden/>
              </w:rPr>
            </w:r>
            <w:r>
              <w:rPr>
                <w:noProof/>
                <w:webHidden/>
              </w:rPr>
              <w:fldChar w:fldCharType="separate"/>
            </w:r>
            <w:r w:rsidR="00F13955">
              <w:rPr>
                <w:noProof/>
                <w:webHidden/>
              </w:rPr>
              <w:t>44</w:t>
            </w:r>
            <w:r>
              <w:rPr>
                <w:noProof/>
                <w:webHidden/>
              </w:rPr>
              <w:fldChar w:fldCharType="end"/>
            </w:r>
          </w:hyperlink>
        </w:p>
        <w:p w:rsidR="00B32E76" w:rsidRDefault="00B32E76" w14:paraId="5A6B5667" w14:textId="47D85BEA">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17">
            <w:r w:rsidRPr="0079129D">
              <w:rPr>
                <w:rStyle w:val="Hyperlink"/>
                <w:noProof/>
              </w:rPr>
              <w:t>6.3.3.</w:t>
            </w:r>
            <w:r>
              <w:rPr>
                <w:rFonts w:asciiTheme="minorHAnsi" w:hAnsiTheme="minorHAnsi" w:cstheme="minorBidi"/>
                <w:noProof/>
                <w:kern w:val="2"/>
                <w:sz w:val="22"/>
                <w14:ligatures w14:val="standardContextual"/>
              </w:rPr>
              <w:tab/>
            </w:r>
            <w:r w:rsidRPr="0079129D">
              <w:rPr>
                <w:rStyle w:val="Hyperlink"/>
                <w:noProof/>
              </w:rPr>
              <w:t xml:space="preserve">System Reliability Modified Cost Allocation </w:t>
            </w:r>
            <w:r w:rsidR="00F13955">
              <w:rPr>
                <w:rStyle w:val="Hyperlink"/>
                <w:noProof/>
              </w:rPr>
              <w:br/>
            </w:r>
            <w:r w:rsidRPr="0079129D">
              <w:rPr>
                <w:rStyle w:val="Hyperlink"/>
                <w:noProof/>
              </w:rPr>
              <w:t>Mechanism-Related Costs</w:t>
            </w:r>
            <w:r>
              <w:rPr>
                <w:noProof/>
                <w:webHidden/>
              </w:rPr>
              <w:tab/>
            </w:r>
            <w:r>
              <w:rPr>
                <w:noProof/>
                <w:webHidden/>
              </w:rPr>
              <w:fldChar w:fldCharType="begin"/>
            </w:r>
            <w:r>
              <w:rPr>
                <w:noProof/>
                <w:webHidden/>
              </w:rPr>
              <w:instrText xml:space="preserve"> PAGEREF _Toc152331417 \h </w:instrText>
            </w:r>
            <w:r>
              <w:rPr>
                <w:noProof/>
                <w:webHidden/>
              </w:rPr>
            </w:r>
            <w:r>
              <w:rPr>
                <w:noProof/>
                <w:webHidden/>
              </w:rPr>
              <w:fldChar w:fldCharType="separate"/>
            </w:r>
            <w:r w:rsidR="00F13955">
              <w:rPr>
                <w:noProof/>
                <w:webHidden/>
              </w:rPr>
              <w:t>45</w:t>
            </w:r>
            <w:r>
              <w:rPr>
                <w:noProof/>
                <w:webHidden/>
              </w:rPr>
              <w:fldChar w:fldCharType="end"/>
            </w:r>
          </w:hyperlink>
        </w:p>
        <w:p w:rsidR="00B32E76" w:rsidRDefault="00B32E76" w14:paraId="62DE9ABD" w14:textId="6CFCEECE">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18">
            <w:r w:rsidRPr="0079129D">
              <w:rPr>
                <w:rStyle w:val="Hyperlink"/>
                <w:noProof/>
              </w:rPr>
              <w:t>6.3.4.</w:t>
            </w:r>
            <w:r>
              <w:rPr>
                <w:rFonts w:asciiTheme="minorHAnsi" w:hAnsiTheme="minorHAnsi" w:cstheme="minorBidi"/>
                <w:noProof/>
                <w:kern w:val="2"/>
                <w:sz w:val="22"/>
                <w14:ligatures w14:val="standardContextual"/>
              </w:rPr>
              <w:tab/>
            </w:r>
            <w:r w:rsidRPr="0079129D">
              <w:rPr>
                <w:rStyle w:val="Hyperlink"/>
                <w:noProof/>
              </w:rPr>
              <w:t>Tree Mortality Contract Costs</w:t>
            </w:r>
            <w:r>
              <w:rPr>
                <w:noProof/>
                <w:webHidden/>
              </w:rPr>
              <w:tab/>
            </w:r>
            <w:r>
              <w:rPr>
                <w:noProof/>
                <w:webHidden/>
              </w:rPr>
              <w:fldChar w:fldCharType="begin"/>
            </w:r>
            <w:r>
              <w:rPr>
                <w:noProof/>
                <w:webHidden/>
              </w:rPr>
              <w:instrText xml:space="preserve"> PAGEREF _Toc152331418 \h </w:instrText>
            </w:r>
            <w:r>
              <w:rPr>
                <w:noProof/>
                <w:webHidden/>
              </w:rPr>
            </w:r>
            <w:r>
              <w:rPr>
                <w:noProof/>
                <w:webHidden/>
              </w:rPr>
              <w:fldChar w:fldCharType="separate"/>
            </w:r>
            <w:r w:rsidR="00F13955">
              <w:rPr>
                <w:noProof/>
                <w:webHidden/>
              </w:rPr>
              <w:t>46</w:t>
            </w:r>
            <w:r>
              <w:rPr>
                <w:noProof/>
                <w:webHidden/>
              </w:rPr>
              <w:fldChar w:fldCharType="end"/>
            </w:r>
          </w:hyperlink>
        </w:p>
        <w:p w:rsidR="00B32E76" w:rsidRDefault="00B32E76" w14:paraId="10E31F07" w14:textId="5C17C161">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19">
            <w:r w:rsidRPr="0079129D">
              <w:rPr>
                <w:rStyle w:val="Hyperlink"/>
                <w:noProof/>
              </w:rPr>
              <w:t>6.3.5.</w:t>
            </w:r>
            <w:r>
              <w:rPr>
                <w:rFonts w:asciiTheme="minorHAnsi" w:hAnsiTheme="minorHAnsi" w:cstheme="minorBidi"/>
                <w:noProof/>
                <w:kern w:val="2"/>
                <w:sz w:val="22"/>
                <w14:ligatures w14:val="standardContextual"/>
              </w:rPr>
              <w:tab/>
            </w:r>
            <w:r w:rsidRPr="0079129D">
              <w:rPr>
                <w:rStyle w:val="Hyperlink"/>
                <w:noProof/>
              </w:rPr>
              <w:t>Central Procurement Entity Related Costs</w:t>
            </w:r>
            <w:r>
              <w:rPr>
                <w:noProof/>
                <w:webHidden/>
              </w:rPr>
              <w:tab/>
            </w:r>
            <w:r>
              <w:rPr>
                <w:noProof/>
                <w:webHidden/>
              </w:rPr>
              <w:fldChar w:fldCharType="begin"/>
            </w:r>
            <w:r>
              <w:rPr>
                <w:noProof/>
                <w:webHidden/>
              </w:rPr>
              <w:instrText xml:space="preserve"> PAGEREF _Toc152331419 \h </w:instrText>
            </w:r>
            <w:r>
              <w:rPr>
                <w:noProof/>
                <w:webHidden/>
              </w:rPr>
            </w:r>
            <w:r>
              <w:rPr>
                <w:noProof/>
                <w:webHidden/>
              </w:rPr>
              <w:fldChar w:fldCharType="separate"/>
            </w:r>
            <w:r w:rsidR="00F13955">
              <w:rPr>
                <w:noProof/>
                <w:webHidden/>
              </w:rPr>
              <w:t>46</w:t>
            </w:r>
            <w:r>
              <w:rPr>
                <w:noProof/>
                <w:webHidden/>
              </w:rPr>
              <w:fldChar w:fldCharType="end"/>
            </w:r>
          </w:hyperlink>
        </w:p>
        <w:p w:rsidR="00B32E76" w:rsidRDefault="00B32E76" w14:paraId="742A0544" w14:textId="5F78C72A">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20">
            <w:r w:rsidRPr="0079129D">
              <w:rPr>
                <w:rStyle w:val="Hyperlink"/>
                <w:noProof/>
              </w:rPr>
              <w:t>6.3.6.</w:t>
            </w:r>
            <w:r>
              <w:rPr>
                <w:rFonts w:asciiTheme="minorHAnsi" w:hAnsiTheme="minorHAnsi" w:cstheme="minorBidi"/>
                <w:noProof/>
                <w:kern w:val="2"/>
                <w:sz w:val="22"/>
                <w14:ligatures w14:val="standardContextual"/>
              </w:rPr>
              <w:tab/>
            </w:r>
            <w:r w:rsidRPr="0079129D">
              <w:rPr>
                <w:rStyle w:val="Hyperlink"/>
                <w:noProof/>
              </w:rPr>
              <w:t>Discussion</w:t>
            </w:r>
            <w:r>
              <w:rPr>
                <w:noProof/>
                <w:webHidden/>
              </w:rPr>
              <w:tab/>
            </w:r>
            <w:r>
              <w:rPr>
                <w:noProof/>
                <w:webHidden/>
              </w:rPr>
              <w:fldChar w:fldCharType="begin"/>
            </w:r>
            <w:r>
              <w:rPr>
                <w:noProof/>
                <w:webHidden/>
              </w:rPr>
              <w:instrText xml:space="preserve"> PAGEREF _Toc152331420 \h </w:instrText>
            </w:r>
            <w:r>
              <w:rPr>
                <w:noProof/>
                <w:webHidden/>
              </w:rPr>
            </w:r>
            <w:r>
              <w:rPr>
                <w:noProof/>
                <w:webHidden/>
              </w:rPr>
              <w:fldChar w:fldCharType="separate"/>
            </w:r>
            <w:r w:rsidR="00F13955">
              <w:rPr>
                <w:noProof/>
                <w:webHidden/>
              </w:rPr>
              <w:t>47</w:t>
            </w:r>
            <w:r>
              <w:rPr>
                <w:noProof/>
                <w:webHidden/>
              </w:rPr>
              <w:fldChar w:fldCharType="end"/>
            </w:r>
          </w:hyperlink>
        </w:p>
        <w:p w:rsidR="00B32E76" w:rsidRDefault="00B32E76" w14:paraId="0B18E49D" w14:textId="63EE8D7C">
          <w:pPr>
            <w:pStyle w:val="TOC2"/>
            <w:tabs>
              <w:tab w:val="right" w:leader="dot" w:pos="9350"/>
            </w:tabs>
            <w:rPr>
              <w:rFonts w:asciiTheme="minorHAnsi" w:hAnsiTheme="minorHAnsi" w:cstheme="minorBidi"/>
              <w:noProof/>
              <w:kern w:val="2"/>
              <w:sz w:val="22"/>
              <w14:ligatures w14:val="standardContextual"/>
            </w:rPr>
          </w:pPr>
          <w:hyperlink w:history="1" w:anchor="_Toc152331421">
            <w:r w:rsidRPr="0079129D">
              <w:rPr>
                <w:rStyle w:val="Hyperlink"/>
                <w:noProof/>
              </w:rPr>
              <w:t>6.4.</w:t>
            </w:r>
            <w:r>
              <w:rPr>
                <w:rFonts w:asciiTheme="minorHAnsi" w:hAnsiTheme="minorHAnsi" w:cstheme="minorBidi"/>
                <w:noProof/>
                <w:kern w:val="2"/>
                <w:sz w:val="22"/>
                <w14:ligatures w14:val="standardContextual"/>
              </w:rPr>
              <w:tab/>
            </w:r>
            <w:r w:rsidRPr="0079129D">
              <w:rPr>
                <w:rStyle w:val="Hyperlink"/>
                <w:noProof/>
              </w:rPr>
              <w:t>Cost Responsibility Surcharges</w:t>
            </w:r>
            <w:r>
              <w:rPr>
                <w:noProof/>
                <w:webHidden/>
              </w:rPr>
              <w:tab/>
            </w:r>
            <w:r>
              <w:rPr>
                <w:noProof/>
                <w:webHidden/>
              </w:rPr>
              <w:fldChar w:fldCharType="begin"/>
            </w:r>
            <w:r>
              <w:rPr>
                <w:noProof/>
                <w:webHidden/>
              </w:rPr>
              <w:instrText xml:space="preserve"> PAGEREF _Toc152331421 \h </w:instrText>
            </w:r>
            <w:r>
              <w:rPr>
                <w:noProof/>
                <w:webHidden/>
              </w:rPr>
            </w:r>
            <w:r>
              <w:rPr>
                <w:noProof/>
                <w:webHidden/>
              </w:rPr>
              <w:fldChar w:fldCharType="separate"/>
            </w:r>
            <w:r w:rsidR="00F13955">
              <w:rPr>
                <w:noProof/>
                <w:webHidden/>
              </w:rPr>
              <w:t>48</w:t>
            </w:r>
            <w:r>
              <w:rPr>
                <w:noProof/>
                <w:webHidden/>
              </w:rPr>
              <w:fldChar w:fldCharType="end"/>
            </w:r>
          </w:hyperlink>
        </w:p>
        <w:p w:rsidR="00B32E76" w:rsidRDefault="00B32E76" w14:paraId="55070585" w14:textId="6739A24C">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22">
            <w:r w:rsidRPr="0079129D">
              <w:rPr>
                <w:rStyle w:val="Hyperlink"/>
                <w:noProof/>
              </w:rPr>
              <w:t>6.4.1.</w:t>
            </w:r>
            <w:r>
              <w:rPr>
                <w:rFonts w:asciiTheme="minorHAnsi" w:hAnsiTheme="minorHAnsi" w:cstheme="minorBidi"/>
                <w:noProof/>
                <w:kern w:val="2"/>
                <w:sz w:val="22"/>
                <w14:ligatures w14:val="standardContextual"/>
              </w:rPr>
              <w:tab/>
            </w:r>
            <w:r w:rsidRPr="0079129D">
              <w:rPr>
                <w:rStyle w:val="Hyperlink"/>
                <w:noProof/>
              </w:rPr>
              <w:t>PCIA</w:t>
            </w:r>
            <w:r>
              <w:rPr>
                <w:noProof/>
                <w:webHidden/>
              </w:rPr>
              <w:tab/>
            </w:r>
            <w:r>
              <w:rPr>
                <w:noProof/>
                <w:webHidden/>
              </w:rPr>
              <w:fldChar w:fldCharType="begin"/>
            </w:r>
            <w:r>
              <w:rPr>
                <w:noProof/>
                <w:webHidden/>
              </w:rPr>
              <w:instrText xml:space="preserve"> PAGEREF _Toc152331422 \h </w:instrText>
            </w:r>
            <w:r>
              <w:rPr>
                <w:noProof/>
                <w:webHidden/>
              </w:rPr>
            </w:r>
            <w:r>
              <w:rPr>
                <w:noProof/>
                <w:webHidden/>
              </w:rPr>
              <w:fldChar w:fldCharType="separate"/>
            </w:r>
            <w:r w:rsidR="00F13955">
              <w:rPr>
                <w:noProof/>
                <w:webHidden/>
              </w:rPr>
              <w:t>48</w:t>
            </w:r>
            <w:r>
              <w:rPr>
                <w:noProof/>
                <w:webHidden/>
              </w:rPr>
              <w:fldChar w:fldCharType="end"/>
            </w:r>
          </w:hyperlink>
        </w:p>
        <w:p w:rsidR="00B32E76" w:rsidRDefault="00B32E76" w14:paraId="096B98C9" w14:textId="08520936">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23">
            <w:r w:rsidRPr="0079129D">
              <w:rPr>
                <w:rStyle w:val="Hyperlink"/>
                <w:noProof/>
              </w:rPr>
              <w:t>6.4.2.</w:t>
            </w:r>
            <w:r>
              <w:rPr>
                <w:rFonts w:asciiTheme="minorHAnsi" w:hAnsiTheme="minorHAnsi" w:cstheme="minorBidi"/>
                <w:noProof/>
                <w:kern w:val="2"/>
                <w:sz w:val="22"/>
                <w14:ligatures w14:val="standardContextual"/>
              </w:rPr>
              <w:tab/>
            </w:r>
            <w:r w:rsidRPr="0079129D">
              <w:rPr>
                <w:rStyle w:val="Hyperlink"/>
                <w:noProof/>
              </w:rPr>
              <w:t>Customer Transition Cost Surcharge</w:t>
            </w:r>
            <w:r>
              <w:rPr>
                <w:noProof/>
                <w:webHidden/>
              </w:rPr>
              <w:tab/>
            </w:r>
            <w:r>
              <w:rPr>
                <w:noProof/>
                <w:webHidden/>
              </w:rPr>
              <w:fldChar w:fldCharType="begin"/>
            </w:r>
            <w:r>
              <w:rPr>
                <w:noProof/>
                <w:webHidden/>
              </w:rPr>
              <w:instrText xml:space="preserve"> PAGEREF _Toc152331423 \h </w:instrText>
            </w:r>
            <w:r>
              <w:rPr>
                <w:noProof/>
                <w:webHidden/>
              </w:rPr>
            </w:r>
            <w:r>
              <w:rPr>
                <w:noProof/>
                <w:webHidden/>
              </w:rPr>
              <w:fldChar w:fldCharType="separate"/>
            </w:r>
            <w:r w:rsidR="00F13955">
              <w:rPr>
                <w:noProof/>
                <w:webHidden/>
              </w:rPr>
              <w:t>56</w:t>
            </w:r>
            <w:r>
              <w:rPr>
                <w:noProof/>
                <w:webHidden/>
              </w:rPr>
              <w:fldChar w:fldCharType="end"/>
            </w:r>
          </w:hyperlink>
        </w:p>
        <w:p w:rsidR="00B32E76" w:rsidRDefault="00B32E76" w14:paraId="7FD105D9" w14:textId="5A71BBFF">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24">
            <w:r w:rsidRPr="0079129D">
              <w:rPr>
                <w:rStyle w:val="Hyperlink"/>
                <w:noProof/>
              </w:rPr>
              <w:t>6.4.3.</w:t>
            </w:r>
            <w:r>
              <w:rPr>
                <w:rFonts w:asciiTheme="minorHAnsi" w:hAnsiTheme="minorHAnsi" w:cstheme="minorBidi"/>
                <w:noProof/>
                <w:kern w:val="2"/>
                <w:sz w:val="22"/>
                <w14:ligatures w14:val="standardContextual"/>
              </w:rPr>
              <w:tab/>
            </w:r>
            <w:r w:rsidRPr="0079129D">
              <w:rPr>
                <w:rStyle w:val="Hyperlink"/>
                <w:noProof/>
              </w:rPr>
              <w:t>Wildfire Fund Non-Bypassable Charge</w:t>
            </w:r>
            <w:r>
              <w:rPr>
                <w:noProof/>
                <w:webHidden/>
              </w:rPr>
              <w:tab/>
            </w:r>
            <w:r>
              <w:rPr>
                <w:noProof/>
                <w:webHidden/>
              </w:rPr>
              <w:fldChar w:fldCharType="begin"/>
            </w:r>
            <w:r>
              <w:rPr>
                <w:noProof/>
                <w:webHidden/>
              </w:rPr>
              <w:instrText xml:space="preserve"> PAGEREF _Toc152331424 \h </w:instrText>
            </w:r>
            <w:r>
              <w:rPr>
                <w:noProof/>
                <w:webHidden/>
              </w:rPr>
            </w:r>
            <w:r>
              <w:rPr>
                <w:noProof/>
                <w:webHidden/>
              </w:rPr>
              <w:fldChar w:fldCharType="separate"/>
            </w:r>
            <w:r w:rsidR="00F13955">
              <w:rPr>
                <w:noProof/>
                <w:webHidden/>
              </w:rPr>
              <w:t>57</w:t>
            </w:r>
            <w:r>
              <w:rPr>
                <w:noProof/>
                <w:webHidden/>
              </w:rPr>
              <w:fldChar w:fldCharType="end"/>
            </w:r>
          </w:hyperlink>
        </w:p>
        <w:p w:rsidR="00B32E76" w:rsidRDefault="00B32E76" w14:paraId="10DA43D4" w14:textId="524AFDD1">
          <w:pPr>
            <w:pStyle w:val="TOC2"/>
            <w:tabs>
              <w:tab w:val="right" w:leader="dot" w:pos="9350"/>
            </w:tabs>
            <w:rPr>
              <w:rFonts w:asciiTheme="minorHAnsi" w:hAnsiTheme="minorHAnsi" w:cstheme="minorBidi"/>
              <w:noProof/>
              <w:kern w:val="2"/>
              <w:sz w:val="22"/>
              <w14:ligatures w14:val="standardContextual"/>
            </w:rPr>
          </w:pPr>
          <w:hyperlink w:history="1" w:anchor="_Toc152331425">
            <w:r w:rsidRPr="0079129D">
              <w:rPr>
                <w:rStyle w:val="Hyperlink"/>
                <w:noProof/>
              </w:rPr>
              <w:t>6.5.</w:t>
            </w:r>
            <w:r>
              <w:rPr>
                <w:rFonts w:asciiTheme="minorHAnsi" w:hAnsiTheme="minorHAnsi" w:cstheme="minorBidi"/>
                <w:noProof/>
                <w:kern w:val="2"/>
                <w:sz w:val="22"/>
                <w14:ligatures w14:val="standardContextual"/>
              </w:rPr>
              <w:tab/>
            </w:r>
            <w:r w:rsidRPr="0079129D">
              <w:rPr>
                <w:rStyle w:val="Hyperlink"/>
                <w:noProof/>
              </w:rPr>
              <w:t xml:space="preserve">Renewables Portfolio Standard Value and the </w:t>
            </w:r>
            <w:r w:rsidR="00F13955">
              <w:rPr>
                <w:rStyle w:val="Hyperlink"/>
                <w:noProof/>
              </w:rPr>
              <w:br/>
            </w:r>
            <w:r w:rsidRPr="0079129D">
              <w:rPr>
                <w:rStyle w:val="Hyperlink"/>
                <w:noProof/>
              </w:rPr>
              <w:t>Voluntary Allocation Market Offer Process</w:t>
            </w:r>
            <w:r>
              <w:rPr>
                <w:noProof/>
                <w:webHidden/>
              </w:rPr>
              <w:tab/>
            </w:r>
            <w:r>
              <w:rPr>
                <w:noProof/>
                <w:webHidden/>
              </w:rPr>
              <w:fldChar w:fldCharType="begin"/>
            </w:r>
            <w:r>
              <w:rPr>
                <w:noProof/>
                <w:webHidden/>
              </w:rPr>
              <w:instrText xml:space="preserve"> PAGEREF _Toc152331425 \h </w:instrText>
            </w:r>
            <w:r>
              <w:rPr>
                <w:noProof/>
                <w:webHidden/>
              </w:rPr>
            </w:r>
            <w:r>
              <w:rPr>
                <w:noProof/>
                <w:webHidden/>
              </w:rPr>
              <w:fldChar w:fldCharType="separate"/>
            </w:r>
            <w:r w:rsidR="00F13955">
              <w:rPr>
                <w:noProof/>
                <w:webHidden/>
              </w:rPr>
              <w:t>57</w:t>
            </w:r>
            <w:r>
              <w:rPr>
                <w:noProof/>
                <w:webHidden/>
              </w:rPr>
              <w:fldChar w:fldCharType="end"/>
            </w:r>
          </w:hyperlink>
        </w:p>
        <w:p w:rsidR="00B32E76" w:rsidRDefault="00B32E76" w14:paraId="2068E85F" w14:textId="7143E63C">
          <w:pPr>
            <w:pStyle w:val="TOC1"/>
            <w:tabs>
              <w:tab w:val="right" w:leader="dot" w:pos="9350"/>
            </w:tabs>
            <w:rPr>
              <w:rFonts w:asciiTheme="minorHAnsi" w:hAnsiTheme="minorHAnsi" w:cstheme="minorBidi"/>
              <w:noProof/>
              <w:kern w:val="2"/>
              <w:sz w:val="22"/>
              <w14:ligatures w14:val="standardContextual"/>
            </w:rPr>
          </w:pPr>
          <w:hyperlink w:history="1" w:anchor="_Toc152331426">
            <w:r w:rsidRPr="0079129D">
              <w:rPr>
                <w:rStyle w:val="Hyperlink"/>
                <w:noProof/>
              </w:rPr>
              <w:t>7.</w:t>
            </w:r>
            <w:r>
              <w:rPr>
                <w:rFonts w:asciiTheme="minorHAnsi" w:hAnsiTheme="minorHAnsi" w:cstheme="minorBidi"/>
                <w:noProof/>
                <w:kern w:val="2"/>
                <w:sz w:val="22"/>
                <w14:ligatures w14:val="standardContextual"/>
              </w:rPr>
              <w:tab/>
            </w:r>
            <w:r w:rsidRPr="0079129D">
              <w:rPr>
                <w:rStyle w:val="Hyperlink"/>
                <w:noProof/>
              </w:rPr>
              <w:t>Greenhouse Gas Forecast Costs, Revenues, and Reconciliation</w:t>
            </w:r>
            <w:r>
              <w:rPr>
                <w:noProof/>
                <w:webHidden/>
              </w:rPr>
              <w:tab/>
            </w:r>
            <w:r>
              <w:rPr>
                <w:noProof/>
                <w:webHidden/>
              </w:rPr>
              <w:fldChar w:fldCharType="begin"/>
            </w:r>
            <w:r>
              <w:rPr>
                <w:noProof/>
                <w:webHidden/>
              </w:rPr>
              <w:instrText xml:space="preserve"> PAGEREF _Toc152331426 \h </w:instrText>
            </w:r>
            <w:r>
              <w:rPr>
                <w:noProof/>
                <w:webHidden/>
              </w:rPr>
            </w:r>
            <w:r>
              <w:rPr>
                <w:noProof/>
                <w:webHidden/>
              </w:rPr>
              <w:fldChar w:fldCharType="separate"/>
            </w:r>
            <w:r w:rsidR="00F13955">
              <w:rPr>
                <w:noProof/>
                <w:webHidden/>
              </w:rPr>
              <w:t>60</w:t>
            </w:r>
            <w:r>
              <w:rPr>
                <w:noProof/>
                <w:webHidden/>
              </w:rPr>
              <w:fldChar w:fldCharType="end"/>
            </w:r>
          </w:hyperlink>
        </w:p>
        <w:p w:rsidR="00B32E76" w:rsidRDefault="00B32E76" w14:paraId="73A73B82" w14:textId="5CE7843F">
          <w:pPr>
            <w:pStyle w:val="TOC2"/>
            <w:tabs>
              <w:tab w:val="right" w:leader="dot" w:pos="9350"/>
            </w:tabs>
            <w:rPr>
              <w:rFonts w:asciiTheme="minorHAnsi" w:hAnsiTheme="minorHAnsi" w:cstheme="minorBidi"/>
              <w:noProof/>
              <w:kern w:val="2"/>
              <w:sz w:val="22"/>
              <w14:ligatures w14:val="standardContextual"/>
            </w:rPr>
          </w:pPr>
          <w:hyperlink w:history="1" w:anchor="_Toc152331427">
            <w:r w:rsidRPr="0079129D">
              <w:rPr>
                <w:rStyle w:val="Hyperlink"/>
                <w:noProof/>
              </w:rPr>
              <w:t>7.1.</w:t>
            </w:r>
            <w:r>
              <w:rPr>
                <w:rFonts w:asciiTheme="minorHAnsi" w:hAnsiTheme="minorHAnsi" w:cstheme="minorBidi"/>
                <w:noProof/>
                <w:kern w:val="2"/>
                <w:sz w:val="22"/>
                <w14:ligatures w14:val="standardContextual"/>
              </w:rPr>
              <w:tab/>
            </w:r>
            <w:r w:rsidRPr="0079129D">
              <w:rPr>
                <w:rStyle w:val="Hyperlink"/>
                <w:noProof/>
              </w:rPr>
              <w:t>Greenhouse Gas Costs</w:t>
            </w:r>
            <w:r>
              <w:rPr>
                <w:noProof/>
                <w:webHidden/>
              </w:rPr>
              <w:tab/>
            </w:r>
            <w:r>
              <w:rPr>
                <w:noProof/>
                <w:webHidden/>
              </w:rPr>
              <w:fldChar w:fldCharType="begin"/>
            </w:r>
            <w:r>
              <w:rPr>
                <w:noProof/>
                <w:webHidden/>
              </w:rPr>
              <w:instrText xml:space="preserve"> PAGEREF _Toc152331427 \h </w:instrText>
            </w:r>
            <w:r>
              <w:rPr>
                <w:noProof/>
                <w:webHidden/>
              </w:rPr>
            </w:r>
            <w:r>
              <w:rPr>
                <w:noProof/>
                <w:webHidden/>
              </w:rPr>
              <w:fldChar w:fldCharType="separate"/>
            </w:r>
            <w:r w:rsidR="00F13955">
              <w:rPr>
                <w:noProof/>
                <w:webHidden/>
              </w:rPr>
              <w:t>61</w:t>
            </w:r>
            <w:r>
              <w:rPr>
                <w:noProof/>
                <w:webHidden/>
              </w:rPr>
              <w:fldChar w:fldCharType="end"/>
            </w:r>
          </w:hyperlink>
        </w:p>
        <w:p w:rsidR="00B32E76" w:rsidRDefault="00B32E76" w14:paraId="71A2D080" w14:textId="206BDE36">
          <w:pPr>
            <w:pStyle w:val="TOC2"/>
            <w:tabs>
              <w:tab w:val="right" w:leader="dot" w:pos="9350"/>
            </w:tabs>
            <w:rPr>
              <w:rFonts w:asciiTheme="minorHAnsi" w:hAnsiTheme="minorHAnsi" w:cstheme="minorBidi"/>
              <w:noProof/>
              <w:kern w:val="2"/>
              <w:sz w:val="22"/>
              <w14:ligatures w14:val="standardContextual"/>
            </w:rPr>
          </w:pPr>
          <w:hyperlink w:history="1" w:anchor="_Toc152331428">
            <w:r w:rsidRPr="0079129D">
              <w:rPr>
                <w:rStyle w:val="Hyperlink"/>
                <w:noProof/>
              </w:rPr>
              <w:t>7.2.</w:t>
            </w:r>
            <w:r>
              <w:rPr>
                <w:rFonts w:asciiTheme="minorHAnsi" w:hAnsiTheme="minorHAnsi" w:cstheme="minorBidi"/>
                <w:noProof/>
                <w:kern w:val="2"/>
                <w:sz w:val="22"/>
                <w14:ligatures w14:val="standardContextual"/>
              </w:rPr>
              <w:tab/>
            </w:r>
            <w:r w:rsidRPr="0079129D">
              <w:rPr>
                <w:rStyle w:val="Hyperlink"/>
                <w:noProof/>
              </w:rPr>
              <w:t>Greenhouse Gas Forecast Revenues and Reconciliation</w:t>
            </w:r>
            <w:r>
              <w:rPr>
                <w:noProof/>
                <w:webHidden/>
              </w:rPr>
              <w:tab/>
            </w:r>
            <w:r>
              <w:rPr>
                <w:noProof/>
                <w:webHidden/>
              </w:rPr>
              <w:fldChar w:fldCharType="begin"/>
            </w:r>
            <w:r>
              <w:rPr>
                <w:noProof/>
                <w:webHidden/>
              </w:rPr>
              <w:instrText xml:space="preserve"> PAGEREF _Toc152331428 \h </w:instrText>
            </w:r>
            <w:r>
              <w:rPr>
                <w:noProof/>
                <w:webHidden/>
              </w:rPr>
            </w:r>
            <w:r>
              <w:rPr>
                <w:noProof/>
                <w:webHidden/>
              </w:rPr>
              <w:fldChar w:fldCharType="separate"/>
            </w:r>
            <w:r w:rsidR="00F13955">
              <w:rPr>
                <w:noProof/>
                <w:webHidden/>
              </w:rPr>
              <w:t>64</w:t>
            </w:r>
            <w:r>
              <w:rPr>
                <w:noProof/>
                <w:webHidden/>
              </w:rPr>
              <w:fldChar w:fldCharType="end"/>
            </w:r>
          </w:hyperlink>
        </w:p>
        <w:p w:rsidR="00B32E76" w:rsidRDefault="00B32E76" w14:paraId="0E25BC75" w14:textId="44E0EEA7">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29">
            <w:r w:rsidRPr="0079129D">
              <w:rPr>
                <w:rStyle w:val="Hyperlink"/>
                <w:noProof/>
              </w:rPr>
              <w:t>7.2.1.</w:t>
            </w:r>
            <w:r>
              <w:rPr>
                <w:rFonts w:asciiTheme="minorHAnsi" w:hAnsiTheme="minorHAnsi" w:cstheme="minorBidi"/>
                <w:noProof/>
                <w:kern w:val="2"/>
                <w:sz w:val="22"/>
                <w14:ligatures w14:val="standardContextual"/>
              </w:rPr>
              <w:tab/>
            </w:r>
            <w:r w:rsidRPr="0079129D">
              <w:rPr>
                <w:rStyle w:val="Hyperlink"/>
                <w:noProof/>
              </w:rPr>
              <w:t>Greenhouse Gas Allowance Balancing Account True-Up</w:t>
            </w:r>
            <w:r>
              <w:rPr>
                <w:noProof/>
                <w:webHidden/>
              </w:rPr>
              <w:tab/>
            </w:r>
            <w:r>
              <w:rPr>
                <w:noProof/>
                <w:webHidden/>
              </w:rPr>
              <w:fldChar w:fldCharType="begin"/>
            </w:r>
            <w:r>
              <w:rPr>
                <w:noProof/>
                <w:webHidden/>
              </w:rPr>
              <w:instrText xml:space="preserve"> PAGEREF _Toc152331429 \h </w:instrText>
            </w:r>
            <w:r>
              <w:rPr>
                <w:noProof/>
                <w:webHidden/>
              </w:rPr>
            </w:r>
            <w:r>
              <w:rPr>
                <w:noProof/>
                <w:webHidden/>
              </w:rPr>
              <w:fldChar w:fldCharType="separate"/>
            </w:r>
            <w:r w:rsidR="00F13955">
              <w:rPr>
                <w:noProof/>
                <w:webHidden/>
              </w:rPr>
              <w:t>65</w:t>
            </w:r>
            <w:r>
              <w:rPr>
                <w:noProof/>
                <w:webHidden/>
              </w:rPr>
              <w:fldChar w:fldCharType="end"/>
            </w:r>
          </w:hyperlink>
        </w:p>
        <w:p w:rsidR="00B32E76" w:rsidRDefault="00B32E76" w14:paraId="58BB9504" w14:textId="4E50E0F1">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30">
            <w:r w:rsidRPr="0079129D">
              <w:rPr>
                <w:rStyle w:val="Hyperlink"/>
                <w:noProof/>
              </w:rPr>
              <w:t>7.2.2.</w:t>
            </w:r>
            <w:r>
              <w:rPr>
                <w:rFonts w:asciiTheme="minorHAnsi" w:hAnsiTheme="minorHAnsi" w:cstheme="minorBidi"/>
                <w:noProof/>
                <w:kern w:val="2"/>
                <w:sz w:val="22"/>
                <w14:ligatures w14:val="standardContextual"/>
              </w:rPr>
              <w:tab/>
            </w:r>
            <w:r w:rsidRPr="0079129D">
              <w:rPr>
                <w:rStyle w:val="Hyperlink"/>
                <w:noProof/>
              </w:rPr>
              <w:t>Administrative and Customer Outreach Expenses</w:t>
            </w:r>
            <w:r>
              <w:rPr>
                <w:noProof/>
                <w:webHidden/>
              </w:rPr>
              <w:tab/>
            </w:r>
            <w:r>
              <w:rPr>
                <w:noProof/>
                <w:webHidden/>
              </w:rPr>
              <w:fldChar w:fldCharType="begin"/>
            </w:r>
            <w:r>
              <w:rPr>
                <w:noProof/>
                <w:webHidden/>
              </w:rPr>
              <w:instrText xml:space="preserve"> PAGEREF _Toc152331430 \h </w:instrText>
            </w:r>
            <w:r>
              <w:rPr>
                <w:noProof/>
                <w:webHidden/>
              </w:rPr>
            </w:r>
            <w:r>
              <w:rPr>
                <w:noProof/>
                <w:webHidden/>
              </w:rPr>
              <w:fldChar w:fldCharType="separate"/>
            </w:r>
            <w:r w:rsidR="00F13955">
              <w:rPr>
                <w:noProof/>
                <w:webHidden/>
              </w:rPr>
              <w:t>65</w:t>
            </w:r>
            <w:r>
              <w:rPr>
                <w:noProof/>
                <w:webHidden/>
              </w:rPr>
              <w:fldChar w:fldCharType="end"/>
            </w:r>
          </w:hyperlink>
        </w:p>
        <w:p w:rsidR="00B32E76" w:rsidRDefault="00B32E76" w14:paraId="2F50A35B" w14:textId="11CE9BC1">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31">
            <w:r w:rsidRPr="0079129D">
              <w:rPr>
                <w:rStyle w:val="Hyperlink"/>
                <w:noProof/>
              </w:rPr>
              <w:t>7.2.3.</w:t>
            </w:r>
            <w:r>
              <w:rPr>
                <w:rFonts w:asciiTheme="minorHAnsi" w:hAnsiTheme="minorHAnsi" w:cstheme="minorBidi"/>
                <w:noProof/>
                <w:kern w:val="2"/>
                <w:sz w:val="22"/>
                <w14:ligatures w14:val="standardContextual"/>
              </w:rPr>
              <w:tab/>
            </w:r>
            <w:r w:rsidRPr="0079129D">
              <w:rPr>
                <w:rStyle w:val="Hyperlink"/>
                <w:noProof/>
              </w:rPr>
              <w:t>Historical Allowance Receipts and  Customer Returns</w:t>
            </w:r>
            <w:r>
              <w:rPr>
                <w:noProof/>
                <w:webHidden/>
              </w:rPr>
              <w:tab/>
            </w:r>
            <w:r>
              <w:rPr>
                <w:noProof/>
                <w:webHidden/>
              </w:rPr>
              <w:fldChar w:fldCharType="begin"/>
            </w:r>
            <w:r>
              <w:rPr>
                <w:noProof/>
                <w:webHidden/>
              </w:rPr>
              <w:instrText xml:space="preserve"> PAGEREF _Toc152331431 \h </w:instrText>
            </w:r>
            <w:r>
              <w:rPr>
                <w:noProof/>
                <w:webHidden/>
              </w:rPr>
            </w:r>
            <w:r>
              <w:rPr>
                <w:noProof/>
                <w:webHidden/>
              </w:rPr>
              <w:fldChar w:fldCharType="separate"/>
            </w:r>
            <w:r w:rsidR="00F13955">
              <w:rPr>
                <w:noProof/>
                <w:webHidden/>
              </w:rPr>
              <w:t>66</w:t>
            </w:r>
            <w:r>
              <w:rPr>
                <w:noProof/>
                <w:webHidden/>
              </w:rPr>
              <w:fldChar w:fldCharType="end"/>
            </w:r>
          </w:hyperlink>
        </w:p>
        <w:p w:rsidR="00B32E76" w:rsidRDefault="00B32E76" w14:paraId="439798EC" w14:textId="52C1A327">
          <w:pPr>
            <w:pStyle w:val="TOC2"/>
            <w:tabs>
              <w:tab w:val="right" w:leader="dot" w:pos="9350"/>
            </w:tabs>
            <w:rPr>
              <w:rFonts w:asciiTheme="minorHAnsi" w:hAnsiTheme="minorHAnsi" w:cstheme="minorBidi"/>
              <w:noProof/>
              <w:kern w:val="2"/>
              <w:sz w:val="22"/>
              <w14:ligatures w14:val="standardContextual"/>
            </w:rPr>
          </w:pPr>
          <w:hyperlink w:history="1" w:anchor="_Toc152331432">
            <w:r w:rsidRPr="0079129D">
              <w:rPr>
                <w:rStyle w:val="Hyperlink"/>
                <w:noProof/>
              </w:rPr>
              <w:t>7.3.</w:t>
            </w:r>
            <w:r>
              <w:rPr>
                <w:rFonts w:asciiTheme="minorHAnsi" w:hAnsiTheme="minorHAnsi" w:cstheme="minorBidi"/>
                <w:noProof/>
                <w:kern w:val="2"/>
                <w:sz w:val="22"/>
                <w14:ligatures w14:val="standardContextual"/>
              </w:rPr>
              <w:tab/>
            </w:r>
            <w:r w:rsidRPr="0079129D">
              <w:rPr>
                <w:rStyle w:val="Hyperlink"/>
                <w:noProof/>
              </w:rPr>
              <w:t>Discussion</w:t>
            </w:r>
            <w:r>
              <w:rPr>
                <w:noProof/>
                <w:webHidden/>
              </w:rPr>
              <w:tab/>
            </w:r>
            <w:r>
              <w:rPr>
                <w:noProof/>
                <w:webHidden/>
              </w:rPr>
              <w:fldChar w:fldCharType="begin"/>
            </w:r>
            <w:r>
              <w:rPr>
                <w:noProof/>
                <w:webHidden/>
              </w:rPr>
              <w:instrText xml:space="preserve"> PAGEREF _Toc152331432 \h </w:instrText>
            </w:r>
            <w:r>
              <w:rPr>
                <w:noProof/>
                <w:webHidden/>
              </w:rPr>
            </w:r>
            <w:r>
              <w:rPr>
                <w:noProof/>
                <w:webHidden/>
              </w:rPr>
              <w:fldChar w:fldCharType="separate"/>
            </w:r>
            <w:r w:rsidR="00F13955">
              <w:rPr>
                <w:noProof/>
                <w:webHidden/>
              </w:rPr>
              <w:t>66</w:t>
            </w:r>
            <w:r>
              <w:rPr>
                <w:noProof/>
                <w:webHidden/>
              </w:rPr>
              <w:fldChar w:fldCharType="end"/>
            </w:r>
          </w:hyperlink>
        </w:p>
        <w:p w:rsidR="00B32E76" w:rsidRDefault="00B32E76" w14:paraId="29D27EC9" w14:textId="43506726">
          <w:pPr>
            <w:pStyle w:val="TOC1"/>
            <w:tabs>
              <w:tab w:val="right" w:leader="dot" w:pos="9350"/>
            </w:tabs>
            <w:rPr>
              <w:rFonts w:asciiTheme="minorHAnsi" w:hAnsiTheme="minorHAnsi" w:cstheme="minorBidi"/>
              <w:noProof/>
              <w:kern w:val="2"/>
              <w:sz w:val="22"/>
              <w14:ligatures w14:val="standardContextual"/>
            </w:rPr>
          </w:pPr>
          <w:hyperlink w:history="1" w:anchor="_Toc152331433">
            <w:r w:rsidRPr="0079129D">
              <w:rPr>
                <w:rStyle w:val="Hyperlink"/>
                <w:noProof/>
              </w:rPr>
              <w:t>8.</w:t>
            </w:r>
            <w:r>
              <w:rPr>
                <w:rFonts w:asciiTheme="minorHAnsi" w:hAnsiTheme="minorHAnsi" w:cstheme="minorBidi"/>
                <w:noProof/>
                <w:kern w:val="2"/>
                <w:sz w:val="22"/>
                <w14:ligatures w14:val="standardContextual"/>
              </w:rPr>
              <w:tab/>
            </w:r>
            <w:r w:rsidRPr="0079129D">
              <w:rPr>
                <w:rStyle w:val="Hyperlink"/>
                <w:noProof/>
              </w:rPr>
              <w:t>Clean Energy Programs Funding</w:t>
            </w:r>
            <w:r>
              <w:rPr>
                <w:noProof/>
                <w:webHidden/>
              </w:rPr>
              <w:tab/>
            </w:r>
            <w:r>
              <w:rPr>
                <w:noProof/>
                <w:webHidden/>
              </w:rPr>
              <w:fldChar w:fldCharType="begin"/>
            </w:r>
            <w:r>
              <w:rPr>
                <w:noProof/>
                <w:webHidden/>
              </w:rPr>
              <w:instrText xml:space="preserve"> PAGEREF _Toc152331433 \h </w:instrText>
            </w:r>
            <w:r>
              <w:rPr>
                <w:noProof/>
                <w:webHidden/>
              </w:rPr>
            </w:r>
            <w:r>
              <w:rPr>
                <w:noProof/>
                <w:webHidden/>
              </w:rPr>
              <w:fldChar w:fldCharType="separate"/>
            </w:r>
            <w:r w:rsidR="00F13955">
              <w:rPr>
                <w:noProof/>
                <w:webHidden/>
              </w:rPr>
              <w:t>66</w:t>
            </w:r>
            <w:r>
              <w:rPr>
                <w:noProof/>
                <w:webHidden/>
              </w:rPr>
              <w:fldChar w:fldCharType="end"/>
            </w:r>
          </w:hyperlink>
        </w:p>
        <w:p w:rsidR="00B32E76" w:rsidRDefault="00B32E76" w14:paraId="0B56B1D3" w14:textId="414842C2">
          <w:pPr>
            <w:pStyle w:val="TOC2"/>
            <w:tabs>
              <w:tab w:val="right" w:leader="dot" w:pos="9350"/>
            </w:tabs>
            <w:rPr>
              <w:rFonts w:asciiTheme="minorHAnsi" w:hAnsiTheme="minorHAnsi" w:cstheme="minorBidi"/>
              <w:noProof/>
              <w:kern w:val="2"/>
              <w:sz w:val="22"/>
              <w14:ligatures w14:val="standardContextual"/>
            </w:rPr>
          </w:pPr>
          <w:hyperlink w:history="1" w:anchor="_Toc152331434">
            <w:r w:rsidRPr="0079129D">
              <w:rPr>
                <w:rStyle w:val="Hyperlink"/>
                <w:noProof/>
              </w:rPr>
              <w:t>8.1.</w:t>
            </w:r>
            <w:r>
              <w:rPr>
                <w:rFonts w:asciiTheme="minorHAnsi" w:hAnsiTheme="minorHAnsi" w:cstheme="minorBidi"/>
                <w:noProof/>
                <w:kern w:val="2"/>
                <w:sz w:val="22"/>
                <w14:ligatures w14:val="standardContextual"/>
              </w:rPr>
              <w:tab/>
            </w:r>
            <w:r w:rsidRPr="0079129D">
              <w:rPr>
                <w:rStyle w:val="Hyperlink"/>
                <w:noProof/>
              </w:rPr>
              <w:t>Solar on Multifamily Affordable Housing Program</w:t>
            </w:r>
            <w:r>
              <w:rPr>
                <w:noProof/>
                <w:webHidden/>
              </w:rPr>
              <w:tab/>
            </w:r>
            <w:r>
              <w:rPr>
                <w:noProof/>
                <w:webHidden/>
              </w:rPr>
              <w:fldChar w:fldCharType="begin"/>
            </w:r>
            <w:r>
              <w:rPr>
                <w:noProof/>
                <w:webHidden/>
              </w:rPr>
              <w:instrText xml:space="preserve"> PAGEREF _Toc152331434 \h </w:instrText>
            </w:r>
            <w:r>
              <w:rPr>
                <w:noProof/>
                <w:webHidden/>
              </w:rPr>
            </w:r>
            <w:r>
              <w:rPr>
                <w:noProof/>
                <w:webHidden/>
              </w:rPr>
              <w:fldChar w:fldCharType="separate"/>
            </w:r>
            <w:r w:rsidR="00F13955">
              <w:rPr>
                <w:noProof/>
                <w:webHidden/>
              </w:rPr>
              <w:t>67</w:t>
            </w:r>
            <w:r>
              <w:rPr>
                <w:noProof/>
                <w:webHidden/>
              </w:rPr>
              <w:fldChar w:fldCharType="end"/>
            </w:r>
          </w:hyperlink>
        </w:p>
        <w:p w:rsidR="00B32E76" w:rsidRDefault="00B32E76" w14:paraId="17F0A619" w14:textId="0C866F72">
          <w:pPr>
            <w:pStyle w:val="TOC2"/>
            <w:tabs>
              <w:tab w:val="right" w:leader="dot" w:pos="9350"/>
            </w:tabs>
            <w:rPr>
              <w:rFonts w:asciiTheme="minorHAnsi" w:hAnsiTheme="minorHAnsi" w:cstheme="minorBidi"/>
              <w:noProof/>
              <w:kern w:val="2"/>
              <w:sz w:val="22"/>
              <w14:ligatures w14:val="standardContextual"/>
            </w:rPr>
          </w:pPr>
          <w:hyperlink w:history="1" w:anchor="_Toc152331435">
            <w:r w:rsidRPr="0079129D">
              <w:rPr>
                <w:rStyle w:val="Hyperlink"/>
                <w:noProof/>
              </w:rPr>
              <w:t>8.2.</w:t>
            </w:r>
            <w:r>
              <w:rPr>
                <w:rFonts w:asciiTheme="minorHAnsi" w:hAnsiTheme="minorHAnsi" w:cstheme="minorBidi"/>
                <w:noProof/>
                <w:kern w:val="2"/>
                <w:sz w:val="22"/>
                <w14:ligatures w14:val="standardContextual"/>
              </w:rPr>
              <w:tab/>
            </w:r>
            <w:r w:rsidRPr="0079129D">
              <w:rPr>
                <w:rStyle w:val="Hyperlink"/>
                <w:noProof/>
              </w:rPr>
              <w:t>Disadvantaged Community Programs</w:t>
            </w:r>
            <w:r>
              <w:rPr>
                <w:noProof/>
                <w:webHidden/>
              </w:rPr>
              <w:tab/>
            </w:r>
            <w:r>
              <w:rPr>
                <w:noProof/>
                <w:webHidden/>
              </w:rPr>
              <w:fldChar w:fldCharType="begin"/>
            </w:r>
            <w:r>
              <w:rPr>
                <w:noProof/>
                <w:webHidden/>
              </w:rPr>
              <w:instrText xml:space="preserve"> PAGEREF _Toc152331435 \h </w:instrText>
            </w:r>
            <w:r>
              <w:rPr>
                <w:noProof/>
                <w:webHidden/>
              </w:rPr>
            </w:r>
            <w:r>
              <w:rPr>
                <w:noProof/>
                <w:webHidden/>
              </w:rPr>
              <w:fldChar w:fldCharType="separate"/>
            </w:r>
            <w:r w:rsidR="00F13955">
              <w:rPr>
                <w:noProof/>
                <w:webHidden/>
              </w:rPr>
              <w:t>69</w:t>
            </w:r>
            <w:r>
              <w:rPr>
                <w:noProof/>
                <w:webHidden/>
              </w:rPr>
              <w:fldChar w:fldCharType="end"/>
            </w:r>
          </w:hyperlink>
        </w:p>
        <w:p w:rsidR="00B32E76" w:rsidRDefault="00B32E76" w14:paraId="0620DAA3" w14:textId="453CA201">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36">
            <w:r w:rsidRPr="0079129D">
              <w:rPr>
                <w:rStyle w:val="Hyperlink"/>
                <w:noProof/>
              </w:rPr>
              <w:t>8.2.1.</w:t>
            </w:r>
            <w:r>
              <w:rPr>
                <w:rFonts w:asciiTheme="minorHAnsi" w:hAnsiTheme="minorHAnsi" w:cstheme="minorBidi"/>
                <w:noProof/>
                <w:kern w:val="2"/>
                <w:sz w:val="22"/>
                <w14:ligatures w14:val="standardContextual"/>
              </w:rPr>
              <w:tab/>
            </w:r>
            <w:r w:rsidRPr="0079129D">
              <w:rPr>
                <w:rStyle w:val="Hyperlink"/>
                <w:noProof/>
              </w:rPr>
              <w:t>SCE’s Disadvantaged Community Programs</w:t>
            </w:r>
            <w:r>
              <w:rPr>
                <w:noProof/>
                <w:webHidden/>
              </w:rPr>
              <w:tab/>
            </w:r>
            <w:r>
              <w:rPr>
                <w:noProof/>
                <w:webHidden/>
              </w:rPr>
              <w:fldChar w:fldCharType="begin"/>
            </w:r>
            <w:r>
              <w:rPr>
                <w:noProof/>
                <w:webHidden/>
              </w:rPr>
              <w:instrText xml:space="preserve"> PAGEREF _Toc152331436 \h </w:instrText>
            </w:r>
            <w:r>
              <w:rPr>
                <w:noProof/>
                <w:webHidden/>
              </w:rPr>
            </w:r>
            <w:r>
              <w:rPr>
                <w:noProof/>
                <w:webHidden/>
              </w:rPr>
              <w:fldChar w:fldCharType="separate"/>
            </w:r>
            <w:r w:rsidR="00F13955">
              <w:rPr>
                <w:noProof/>
                <w:webHidden/>
              </w:rPr>
              <w:t>69</w:t>
            </w:r>
            <w:r>
              <w:rPr>
                <w:noProof/>
                <w:webHidden/>
              </w:rPr>
              <w:fldChar w:fldCharType="end"/>
            </w:r>
          </w:hyperlink>
        </w:p>
        <w:p w:rsidR="00B32E76" w:rsidRDefault="00B32E76" w14:paraId="3570529E" w14:textId="592B63C5">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2331437">
            <w:r w:rsidRPr="0079129D">
              <w:rPr>
                <w:rStyle w:val="Hyperlink"/>
                <w:noProof/>
              </w:rPr>
              <w:t>8.2.2.</w:t>
            </w:r>
            <w:r>
              <w:rPr>
                <w:rFonts w:asciiTheme="minorHAnsi" w:hAnsiTheme="minorHAnsi" w:cstheme="minorBidi"/>
                <w:noProof/>
                <w:kern w:val="2"/>
                <w:sz w:val="22"/>
                <w14:ligatures w14:val="standardContextual"/>
              </w:rPr>
              <w:tab/>
            </w:r>
            <w:r w:rsidRPr="0079129D">
              <w:rPr>
                <w:rStyle w:val="Hyperlink"/>
                <w:noProof/>
              </w:rPr>
              <w:t>Community Choice Aggregator DAC Programs</w:t>
            </w:r>
            <w:r>
              <w:rPr>
                <w:noProof/>
                <w:webHidden/>
              </w:rPr>
              <w:tab/>
            </w:r>
            <w:r>
              <w:rPr>
                <w:noProof/>
                <w:webHidden/>
              </w:rPr>
              <w:fldChar w:fldCharType="begin"/>
            </w:r>
            <w:r>
              <w:rPr>
                <w:noProof/>
                <w:webHidden/>
              </w:rPr>
              <w:instrText xml:space="preserve"> PAGEREF _Toc152331437 \h </w:instrText>
            </w:r>
            <w:r>
              <w:rPr>
                <w:noProof/>
                <w:webHidden/>
              </w:rPr>
            </w:r>
            <w:r>
              <w:rPr>
                <w:noProof/>
                <w:webHidden/>
              </w:rPr>
              <w:fldChar w:fldCharType="separate"/>
            </w:r>
            <w:r w:rsidR="00F13955">
              <w:rPr>
                <w:noProof/>
                <w:webHidden/>
              </w:rPr>
              <w:t>70</w:t>
            </w:r>
            <w:r>
              <w:rPr>
                <w:noProof/>
                <w:webHidden/>
              </w:rPr>
              <w:fldChar w:fldCharType="end"/>
            </w:r>
          </w:hyperlink>
        </w:p>
        <w:p w:rsidR="00B32E76" w:rsidRDefault="00B32E76" w14:paraId="311E421A" w14:textId="2F3DBD5D">
          <w:pPr>
            <w:pStyle w:val="TOC2"/>
            <w:tabs>
              <w:tab w:val="right" w:leader="dot" w:pos="9350"/>
            </w:tabs>
            <w:rPr>
              <w:rFonts w:asciiTheme="minorHAnsi" w:hAnsiTheme="minorHAnsi" w:cstheme="minorBidi"/>
              <w:noProof/>
              <w:kern w:val="2"/>
              <w:sz w:val="22"/>
              <w14:ligatures w14:val="standardContextual"/>
            </w:rPr>
          </w:pPr>
          <w:hyperlink w:history="1" w:anchor="_Toc152331438">
            <w:r w:rsidRPr="0079129D">
              <w:rPr>
                <w:rStyle w:val="Hyperlink"/>
                <w:noProof/>
              </w:rPr>
              <w:t>8.3.</w:t>
            </w:r>
            <w:r>
              <w:rPr>
                <w:rFonts w:asciiTheme="minorHAnsi" w:hAnsiTheme="minorHAnsi" w:cstheme="minorBidi"/>
                <w:noProof/>
                <w:kern w:val="2"/>
                <w:sz w:val="22"/>
                <w14:ligatures w14:val="standardContextual"/>
              </w:rPr>
              <w:tab/>
            </w:r>
            <w:r w:rsidRPr="0079129D">
              <w:rPr>
                <w:rStyle w:val="Hyperlink"/>
                <w:noProof/>
              </w:rPr>
              <w:t>Clean Energy Optimization Pilot</w:t>
            </w:r>
            <w:r>
              <w:rPr>
                <w:noProof/>
                <w:webHidden/>
              </w:rPr>
              <w:tab/>
            </w:r>
            <w:r>
              <w:rPr>
                <w:noProof/>
                <w:webHidden/>
              </w:rPr>
              <w:fldChar w:fldCharType="begin"/>
            </w:r>
            <w:r>
              <w:rPr>
                <w:noProof/>
                <w:webHidden/>
              </w:rPr>
              <w:instrText xml:space="preserve"> PAGEREF _Toc152331438 \h </w:instrText>
            </w:r>
            <w:r>
              <w:rPr>
                <w:noProof/>
                <w:webHidden/>
              </w:rPr>
            </w:r>
            <w:r>
              <w:rPr>
                <w:noProof/>
                <w:webHidden/>
              </w:rPr>
              <w:fldChar w:fldCharType="separate"/>
            </w:r>
            <w:r w:rsidR="00F13955">
              <w:rPr>
                <w:noProof/>
                <w:webHidden/>
              </w:rPr>
              <w:t>71</w:t>
            </w:r>
            <w:r>
              <w:rPr>
                <w:noProof/>
                <w:webHidden/>
              </w:rPr>
              <w:fldChar w:fldCharType="end"/>
            </w:r>
          </w:hyperlink>
        </w:p>
        <w:p w:rsidR="00B32E76" w:rsidRDefault="00B32E76" w14:paraId="70DABCF4" w14:textId="1AEC4A7E">
          <w:pPr>
            <w:pStyle w:val="TOC2"/>
            <w:tabs>
              <w:tab w:val="right" w:leader="dot" w:pos="9350"/>
            </w:tabs>
            <w:rPr>
              <w:rFonts w:asciiTheme="minorHAnsi" w:hAnsiTheme="minorHAnsi" w:cstheme="minorBidi"/>
              <w:noProof/>
              <w:kern w:val="2"/>
              <w:sz w:val="22"/>
              <w14:ligatures w14:val="standardContextual"/>
            </w:rPr>
          </w:pPr>
          <w:hyperlink w:history="1" w:anchor="_Toc152331439">
            <w:r w:rsidRPr="0079129D">
              <w:rPr>
                <w:rStyle w:val="Hyperlink"/>
                <w:noProof/>
              </w:rPr>
              <w:t>8.4.</w:t>
            </w:r>
            <w:r>
              <w:rPr>
                <w:rFonts w:asciiTheme="minorHAnsi" w:hAnsiTheme="minorHAnsi" w:cstheme="minorBidi"/>
                <w:noProof/>
                <w:kern w:val="2"/>
                <w:sz w:val="22"/>
                <w14:ligatures w14:val="standardContextual"/>
              </w:rPr>
              <w:tab/>
            </w:r>
            <w:r w:rsidRPr="0079129D">
              <w:rPr>
                <w:rStyle w:val="Hyperlink"/>
                <w:noProof/>
              </w:rPr>
              <w:t>Emissions-Intensive and Trade-Exposed Customer Return</w:t>
            </w:r>
            <w:r>
              <w:rPr>
                <w:noProof/>
                <w:webHidden/>
              </w:rPr>
              <w:tab/>
            </w:r>
            <w:r>
              <w:rPr>
                <w:noProof/>
                <w:webHidden/>
              </w:rPr>
              <w:fldChar w:fldCharType="begin"/>
            </w:r>
            <w:r>
              <w:rPr>
                <w:noProof/>
                <w:webHidden/>
              </w:rPr>
              <w:instrText xml:space="preserve"> PAGEREF _Toc152331439 \h </w:instrText>
            </w:r>
            <w:r>
              <w:rPr>
                <w:noProof/>
                <w:webHidden/>
              </w:rPr>
            </w:r>
            <w:r>
              <w:rPr>
                <w:noProof/>
                <w:webHidden/>
              </w:rPr>
              <w:fldChar w:fldCharType="separate"/>
            </w:r>
            <w:r w:rsidR="00F13955">
              <w:rPr>
                <w:noProof/>
                <w:webHidden/>
              </w:rPr>
              <w:t>72</w:t>
            </w:r>
            <w:r>
              <w:rPr>
                <w:noProof/>
                <w:webHidden/>
              </w:rPr>
              <w:fldChar w:fldCharType="end"/>
            </w:r>
          </w:hyperlink>
        </w:p>
        <w:p w:rsidR="00B32E76" w:rsidRDefault="00B32E76" w14:paraId="128FD0DC" w14:textId="72DE1805">
          <w:pPr>
            <w:pStyle w:val="TOC1"/>
            <w:tabs>
              <w:tab w:val="right" w:leader="dot" w:pos="9350"/>
            </w:tabs>
            <w:rPr>
              <w:rFonts w:asciiTheme="minorHAnsi" w:hAnsiTheme="minorHAnsi" w:cstheme="minorBidi"/>
              <w:noProof/>
              <w:kern w:val="2"/>
              <w:sz w:val="22"/>
              <w14:ligatures w14:val="standardContextual"/>
            </w:rPr>
          </w:pPr>
          <w:hyperlink w:history="1" w:anchor="_Toc152331440">
            <w:r w:rsidRPr="0079129D">
              <w:rPr>
                <w:rStyle w:val="Hyperlink"/>
                <w:noProof/>
              </w:rPr>
              <w:t>9.</w:t>
            </w:r>
            <w:r>
              <w:rPr>
                <w:rFonts w:asciiTheme="minorHAnsi" w:hAnsiTheme="minorHAnsi" w:cstheme="minorBidi"/>
                <w:noProof/>
                <w:kern w:val="2"/>
                <w:sz w:val="22"/>
                <w14:ligatures w14:val="standardContextual"/>
              </w:rPr>
              <w:tab/>
            </w:r>
            <w:r w:rsidRPr="0079129D">
              <w:rPr>
                <w:rStyle w:val="Hyperlink"/>
                <w:noProof/>
              </w:rPr>
              <w:t>Cost Responsibility Surcharge</w:t>
            </w:r>
            <w:r>
              <w:rPr>
                <w:noProof/>
                <w:webHidden/>
              </w:rPr>
              <w:tab/>
            </w:r>
            <w:r>
              <w:rPr>
                <w:noProof/>
                <w:webHidden/>
              </w:rPr>
              <w:fldChar w:fldCharType="begin"/>
            </w:r>
            <w:r>
              <w:rPr>
                <w:noProof/>
                <w:webHidden/>
              </w:rPr>
              <w:instrText xml:space="preserve"> PAGEREF _Toc152331440 \h </w:instrText>
            </w:r>
            <w:r>
              <w:rPr>
                <w:noProof/>
                <w:webHidden/>
              </w:rPr>
            </w:r>
            <w:r>
              <w:rPr>
                <w:noProof/>
                <w:webHidden/>
              </w:rPr>
              <w:fldChar w:fldCharType="separate"/>
            </w:r>
            <w:r w:rsidR="00F13955">
              <w:rPr>
                <w:noProof/>
                <w:webHidden/>
              </w:rPr>
              <w:t>72</w:t>
            </w:r>
            <w:r>
              <w:rPr>
                <w:noProof/>
                <w:webHidden/>
              </w:rPr>
              <w:fldChar w:fldCharType="end"/>
            </w:r>
          </w:hyperlink>
        </w:p>
        <w:p w:rsidR="00B32E76" w:rsidRDefault="00B32E76" w14:paraId="324C30E9" w14:textId="0A462253">
          <w:pPr>
            <w:pStyle w:val="TOC2"/>
            <w:tabs>
              <w:tab w:val="right" w:leader="dot" w:pos="9350"/>
            </w:tabs>
            <w:rPr>
              <w:rFonts w:asciiTheme="minorHAnsi" w:hAnsiTheme="minorHAnsi" w:cstheme="minorBidi"/>
              <w:noProof/>
              <w:kern w:val="2"/>
              <w:sz w:val="22"/>
              <w14:ligatures w14:val="standardContextual"/>
            </w:rPr>
          </w:pPr>
          <w:hyperlink w:history="1" w:anchor="_Toc152331441">
            <w:r w:rsidRPr="0079129D">
              <w:rPr>
                <w:rStyle w:val="Hyperlink"/>
                <w:noProof/>
              </w:rPr>
              <w:t>9.1.</w:t>
            </w:r>
            <w:r>
              <w:rPr>
                <w:rFonts w:asciiTheme="minorHAnsi" w:hAnsiTheme="minorHAnsi" w:cstheme="minorBidi"/>
                <w:noProof/>
                <w:kern w:val="2"/>
                <w:sz w:val="22"/>
                <w14:ligatures w14:val="standardContextual"/>
              </w:rPr>
              <w:tab/>
            </w:r>
            <w:r w:rsidRPr="0079129D">
              <w:rPr>
                <w:rStyle w:val="Hyperlink"/>
                <w:noProof/>
              </w:rPr>
              <w:t>2024 Cost Responsibility Surcharges</w:t>
            </w:r>
            <w:r>
              <w:rPr>
                <w:noProof/>
                <w:webHidden/>
              </w:rPr>
              <w:tab/>
            </w:r>
            <w:r>
              <w:rPr>
                <w:noProof/>
                <w:webHidden/>
              </w:rPr>
              <w:fldChar w:fldCharType="begin"/>
            </w:r>
            <w:r>
              <w:rPr>
                <w:noProof/>
                <w:webHidden/>
              </w:rPr>
              <w:instrText xml:space="preserve"> PAGEREF _Toc152331441 \h </w:instrText>
            </w:r>
            <w:r>
              <w:rPr>
                <w:noProof/>
                <w:webHidden/>
              </w:rPr>
            </w:r>
            <w:r>
              <w:rPr>
                <w:noProof/>
                <w:webHidden/>
              </w:rPr>
              <w:fldChar w:fldCharType="separate"/>
            </w:r>
            <w:r w:rsidR="00F13955">
              <w:rPr>
                <w:noProof/>
                <w:webHidden/>
              </w:rPr>
              <w:t>72</w:t>
            </w:r>
            <w:r>
              <w:rPr>
                <w:noProof/>
                <w:webHidden/>
              </w:rPr>
              <w:fldChar w:fldCharType="end"/>
            </w:r>
          </w:hyperlink>
        </w:p>
        <w:p w:rsidR="00B32E76" w:rsidRDefault="00B32E76" w14:paraId="2FFD1BD5" w14:textId="658670F1">
          <w:pPr>
            <w:pStyle w:val="TOC2"/>
            <w:tabs>
              <w:tab w:val="right" w:leader="dot" w:pos="9350"/>
            </w:tabs>
            <w:rPr>
              <w:rFonts w:asciiTheme="minorHAnsi" w:hAnsiTheme="minorHAnsi" w:cstheme="minorBidi"/>
              <w:noProof/>
              <w:kern w:val="2"/>
              <w:sz w:val="22"/>
              <w14:ligatures w14:val="standardContextual"/>
            </w:rPr>
          </w:pPr>
          <w:hyperlink w:history="1" w:anchor="_Toc152331442">
            <w:r w:rsidRPr="0079129D">
              <w:rPr>
                <w:rStyle w:val="Hyperlink"/>
                <w:noProof/>
              </w:rPr>
              <w:t>9.2.</w:t>
            </w:r>
            <w:r>
              <w:rPr>
                <w:rFonts w:asciiTheme="minorHAnsi" w:hAnsiTheme="minorHAnsi" w:cstheme="minorBidi"/>
                <w:noProof/>
                <w:kern w:val="2"/>
                <w:sz w:val="22"/>
                <w14:ligatures w14:val="standardContextual"/>
              </w:rPr>
              <w:tab/>
            </w:r>
            <w:r w:rsidRPr="0079129D">
              <w:rPr>
                <w:rStyle w:val="Hyperlink"/>
                <w:noProof/>
              </w:rPr>
              <w:t>2023 Cost Responsibility Surcharge True-Up</w:t>
            </w:r>
            <w:r>
              <w:rPr>
                <w:noProof/>
                <w:webHidden/>
              </w:rPr>
              <w:tab/>
            </w:r>
            <w:r>
              <w:rPr>
                <w:noProof/>
                <w:webHidden/>
              </w:rPr>
              <w:fldChar w:fldCharType="begin"/>
            </w:r>
            <w:r>
              <w:rPr>
                <w:noProof/>
                <w:webHidden/>
              </w:rPr>
              <w:instrText xml:space="preserve"> PAGEREF _Toc152331442 \h </w:instrText>
            </w:r>
            <w:r>
              <w:rPr>
                <w:noProof/>
                <w:webHidden/>
              </w:rPr>
            </w:r>
            <w:r>
              <w:rPr>
                <w:noProof/>
                <w:webHidden/>
              </w:rPr>
              <w:fldChar w:fldCharType="separate"/>
            </w:r>
            <w:r w:rsidR="00F13955">
              <w:rPr>
                <w:noProof/>
                <w:webHidden/>
              </w:rPr>
              <w:t>74</w:t>
            </w:r>
            <w:r>
              <w:rPr>
                <w:noProof/>
                <w:webHidden/>
              </w:rPr>
              <w:fldChar w:fldCharType="end"/>
            </w:r>
          </w:hyperlink>
        </w:p>
        <w:p w:rsidR="00B32E76" w:rsidRDefault="00B32E76" w14:paraId="1C219545" w14:textId="4AB037C3">
          <w:pPr>
            <w:pStyle w:val="TOC1"/>
            <w:tabs>
              <w:tab w:val="right" w:leader="dot" w:pos="9350"/>
            </w:tabs>
            <w:rPr>
              <w:rFonts w:asciiTheme="minorHAnsi" w:hAnsiTheme="minorHAnsi" w:cstheme="minorBidi"/>
              <w:noProof/>
              <w:kern w:val="2"/>
              <w:sz w:val="22"/>
              <w14:ligatures w14:val="standardContextual"/>
            </w:rPr>
          </w:pPr>
          <w:hyperlink w:history="1" w:anchor="_Toc152331443">
            <w:r w:rsidRPr="0079129D">
              <w:rPr>
                <w:rStyle w:val="Hyperlink"/>
                <w:noProof/>
              </w:rPr>
              <w:t>10.</w:t>
            </w:r>
            <w:r>
              <w:rPr>
                <w:rFonts w:asciiTheme="minorHAnsi" w:hAnsiTheme="minorHAnsi" w:cstheme="minorBidi"/>
                <w:noProof/>
                <w:kern w:val="2"/>
                <w:sz w:val="22"/>
                <w14:ligatures w14:val="standardContextual"/>
              </w:rPr>
              <w:tab/>
            </w:r>
            <w:r w:rsidRPr="0079129D">
              <w:rPr>
                <w:rStyle w:val="Hyperlink"/>
                <w:noProof/>
              </w:rPr>
              <w:t>SCE’s 2024 ERRA Forecast Class Average Rates</w:t>
            </w:r>
            <w:r>
              <w:rPr>
                <w:noProof/>
                <w:webHidden/>
              </w:rPr>
              <w:tab/>
            </w:r>
            <w:r>
              <w:rPr>
                <w:noProof/>
                <w:webHidden/>
              </w:rPr>
              <w:fldChar w:fldCharType="begin"/>
            </w:r>
            <w:r>
              <w:rPr>
                <w:noProof/>
                <w:webHidden/>
              </w:rPr>
              <w:instrText xml:space="preserve"> PAGEREF _Toc152331443 \h </w:instrText>
            </w:r>
            <w:r>
              <w:rPr>
                <w:noProof/>
                <w:webHidden/>
              </w:rPr>
            </w:r>
            <w:r>
              <w:rPr>
                <w:noProof/>
                <w:webHidden/>
              </w:rPr>
              <w:fldChar w:fldCharType="separate"/>
            </w:r>
            <w:r w:rsidR="00F13955">
              <w:rPr>
                <w:noProof/>
                <w:webHidden/>
              </w:rPr>
              <w:t>76</w:t>
            </w:r>
            <w:r>
              <w:rPr>
                <w:noProof/>
                <w:webHidden/>
              </w:rPr>
              <w:fldChar w:fldCharType="end"/>
            </w:r>
          </w:hyperlink>
        </w:p>
        <w:p w:rsidR="00B32E76" w:rsidRDefault="00B32E76" w14:paraId="4F683834" w14:textId="0045048A">
          <w:pPr>
            <w:pStyle w:val="TOC1"/>
            <w:tabs>
              <w:tab w:val="right" w:leader="dot" w:pos="9350"/>
            </w:tabs>
            <w:rPr>
              <w:rFonts w:asciiTheme="minorHAnsi" w:hAnsiTheme="minorHAnsi" w:cstheme="minorBidi"/>
              <w:noProof/>
              <w:kern w:val="2"/>
              <w:sz w:val="22"/>
              <w14:ligatures w14:val="standardContextual"/>
            </w:rPr>
          </w:pPr>
          <w:hyperlink w:history="1" w:anchor="_Toc152331444">
            <w:r w:rsidRPr="0079129D">
              <w:rPr>
                <w:rStyle w:val="Hyperlink"/>
                <w:noProof/>
              </w:rPr>
              <w:t>11.</w:t>
            </w:r>
            <w:r>
              <w:rPr>
                <w:rFonts w:asciiTheme="minorHAnsi" w:hAnsiTheme="minorHAnsi" w:cstheme="minorBidi"/>
                <w:noProof/>
                <w:kern w:val="2"/>
                <w:sz w:val="22"/>
                <w14:ligatures w14:val="standardContextual"/>
              </w:rPr>
              <w:tab/>
            </w:r>
            <w:r w:rsidRPr="0079129D">
              <w:rPr>
                <w:rStyle w:val="Hyperlink"/>
                <w:noProof/>
              </w:rPr>
              <w:t>Fixed Generation Costs</w:t>
            </w:r>
            <w:r>
              <w:rPr>
                <w:noProof/>
                <w:webHidden/>
              </w:rPr>
              <w:tab/>
            </w:r>
            <w:r>
              <w:rPr>
                <w:noProof/>
                <w:webHidden/>
              </w:rPr>
              <w:fldChar w:fldCharType="begin"/>
            </w:r>
            <w:r>
              <w:rPr>
                <w:noProof/>
                <w:webHidden/>
              </w:rPr>
              <w:instrText xml:space="preserve"> PAGEREF _Toc152331444 \h </w:instrText>
            </w:r>
            <w:r>
              <w:rPr>
                <w:noProof/>
                <w:webHidden/>
              </w:rPr>
            </w:r>
            <w:r>
              <w:rPr>
                <w:noProof/>
                <w:webHidden/>
              </w:rPr>
              <w:fldChar w:fldCharType="separate"/>
            </w:r>
            <w:r w:rsidR="00F13955">
              <w:rPr>
                <w:noProof/>
                <w:webHidden/>
              </w:rPr>
              <w:t>78</w:t>
            </w:r>
            <w:r>
              <w:rPr>
                <w:noProof/>
                <w:webHidden/>
              </w:rPr>
              <w:fldChar w:fldCharType="end"/>
            </w:r>
          </w:hyperlink>
        </w:p>
        <w:p w:rsidR="00B32E76" w:rsidRDefault="00B32E76" w14:paraId="6C410F4F" w14:textId="106CD7BF">
          <w:pPr>
            <w:pStyle w:val="TOC1"/>
            <w:tabs>
              <w:tab w:val="right" w:leader="dot" w:pos="9350"/>
            </w:tabs>
            <w:rPr>
              <w:rFonts w:asciiTheme="minorHAnsi" w:hAnsiTheme="minorHAnsi" w:cstheme="minorBidi"/>
              <w:noProof/>
              <w:kern w:val="2"/>
              <w:sz w:val="22"/>
              <w14:ligatures w14:val="standardContextual"/>
            </w:rPr>
          </w:pPr>
          <w:hyperlink w:history="1" w:anchor="_Toc152331445">
            <w:r w:rsidRPr="0079129D">
              <w:rPr>
                <w:rStyle w:val="Hyperlink"/>
                <w:noProof/>
              </w:rPr>
              <w:t>12.</w:t>
            </w:r>
            <w:r>
              <w:rPr>
                <w:rFonts w:asciiTheme="minorHAnsi" w:hAnsiTheme="minorHAnsi" w:cstheme="minorBidi"/>
                <w:noProof/>
                <w:kern w:val="2"/>
                <w:sz w:val="22"/>
                <w14:ligatures w14:val="standardContextual"/>
              </w:rPr>
              <w:tab/>
            </w:r>
            <w:r w:rsidRPr="0079129D">
              <w:rPr>
                <w:rStyle w:val="Hyperlink"/>
                <w:noProof/>
              </w:rPr>
              <w:t>Future ERRA Forecast Application Requirements</w:t>
            </w:r>
            <w:r>
              <w:rPr>
                <w:noProof/>
                <w:webHidden/>
              </w:rPr>
              <w:tab/>
            </w:r>
            <w:r>
              <w:rPr>
                <w:noProof/>
                <w:webHidden/>
              </w:rPr>
              <w:fldChar w:fldCharType="begin"/>
            </w:r>
            <w:r>
              <w:rPr>
                <w:noProof/>
                <w:webHidden/>
              </w:rPr>
              <w:instrText xml:space="preserve"> PAGEREF _Toc152331445 \h </w:instrText>
            </w:r>
            <w:r>
              <w:rPr>
                <w:noProof/>
                <w:webHidden/>
              </w:rPr>
            </w:r>
            <w:r>
              <w:rPr>
                <w:noProof/>
                <w:webHidden/>
              </w:rPr>
              <w:fldChar w:fldCharType="separate"/>
            </w:r>
            <w:r w:rsidR="00F13955">
              <w:rPr>
                <w:noProof/>
                <w:webHidden/>
              </w:rPr>
              <w:t>79</w:t>
            </w:r>
            <w:r>
              <w:rPr>
                <w:noProof/>
                <w:webHidden/>
              </w:rPr>
              <w:fldChar w:fldCharType="end"/>
            </w:r>
          </w:hyperlink>
        </w:p>
        <w:p w:rsidR="00B32E76" w:rsidRDefault="00B32E76" w14:paraId="16F54389" w14:textId="44A387EC">
          <w:pPr>
            <w:pStyle w:val="TOC1"/>
            <w:tabs>
              <w:tab w:val="right" w:leader="dot" w:pos="9350"/>
            </w:tabs>
            <w:rPr>
              <w:rFonts w:asciiTheme="minorHAnsi" w:hAnsiTheme="minorHAnsi" w:cstheme="minorBidi"/>
              <w:noProof/>
              <w:kern w:val="2"/>
              <w:sz w:val="22"/>
              <w14:ligatures w14:val="standardContextual"/>
            </w:rPr>
          </w:pPr>
          <w:hyperlink w:history="1" w:anchor="_Toc152331446">
            <w:r w:rsidRPr="0079129D">
              <w:rPr>
                <w:rStyle w:val="Hyperlink"/>
                <w:noProof/>
              </w:rPr>
              <w:t>13.</w:t>
            </w:r>
            <w:r>
              <w:rPr>
                <w:rFonts w:asciiTheme="minorHAnsi" w:hAnsiTheme="minorHAnsi" w:cstheme="minorBidi"/>
                <w:noProof/>
                <w:kern w:val="2"/>
                <w:sz w:val="22"/>
                <w14:ligatures w14:val="standardContextual"/>
              </w:rPr>
              <w:tab/>
            </w:r>
            <w:r w:rsidRPr="0079129D">
              <w:rPr>
                <w:rStyle w:val="Hyperlink"/>
                <w:noProof/>
              </w:rPr>
              <w:t>Safety Considerations</w:t>
            </w:r>
            <w:r>
              <w:rPr>
                <w:noProof/>
                <w:webHidden/>
              </w:rPr>
              <w:tab/>
            </w:r>
            <w:r>
              <w:rPr>
                <w:noProof/>
                <w:webHidden/>
              </w:rPr>
              <w:fldChar w:fldCharType="begin"/>
            </w:r>
            <w:r>
              <w:rPr>
                <w:noProof/>
                <w:webHidden/>
              </w:rPr>
              <w:instrText xml:space="preserve"> PAGEREF _Toc152331446 \h </w:instrText>
            </w:r>
            <w:r>
              <w:rPr>
                <w:noProof/>
                <w:webHidden/>
              </w:rPr>
            </w:r>
            <w:r>
              <w:rPr>
                <w:noProof/>
                <w:webHidden/>
              </w:rPr>
              <w:fldChar w:fldCharType="separate"/>
            </w:r>
            <w:r w:rsidR="00F13955">
              <w:rPr>
                <w:noProof/>
                <w:webHidden/>
              </w:rPr>
              <w:t>80</w:t>
            </w:r>
            <w:r>
              <w:rPr>
                <w:noProof/>
                <w:webHidden/>
              </w:rPr>
              <w:fldChar w:fldCharType="end"/>
            </w:r>
          </w:hyperlink>
        </w:p>
        <w:p w:rsidR="00B32E76" w:rsidRDefault="00B32E76" w14:paraId="5A2C9FBB" w14:textId="7C9E8A89">
          <w:pPr>
            <w:pStyle w:val="TOC1"/>
            <w:tabs>
              <w:tab w:val="right" w:leader="dot" w:pos="9350"/>
            </w:tabs>
            <w:rPr>
              <w:rFonts w:asciiTheme="minorHAnsi" w:hAnsiTheme="minorHAnsi" w:cstheme="minorBidi"/>
              <w:noProof/>
              <w:kern w:val="2"/>
              <w:sz w:val="22"/>
              <w14:ligatures w14:val="standardContextual"/>
            </w:rPr>
          </w:pPr>
          <w:hyperlink w:history="1" w:anchor="_Toc152331447">
            <w:r w:rsidRPr="0079129D">
              <w:rPr>
                <w:rStyle w:val="Hyperlink"/>
                <w:noProof/>
              </w:rPr>
              <w:t>14.</w:t>
            </w:r>
            <w:r>
              <w:rPr>
                <w:rFonts w:asciiTheme="minorHAnsi" w:hAnsiTheme="minorHAnsi" w:cstheme="minorBidi"/>
                <w:noProof/>
                <w:kern w:val="2"/>
                <w:sz w:val="22"/>
                <w14:ligatures w14:val="standardContextual"/>
              </w:rPr>
              <w:tab/>
            </w:r>
            <w:r w:rsidRPr="0079129D">
              <w:rPr>
                <w:rStyle w:val="Hyperlink"/>
                <w:noProof/>
              </w:rPr>
              <w:t>Compliance with the Authority Granted Herein</w:t>
            </w:r>
            <w:r>
              <w:rPr>
                <w:noProof/>
                <w:webHidden/>
              </w:rPr>
              <w:tab/>
            </w:r>
            <w:r>
              <w:rPr>
                <w:noProof/>
                <w:webHidden/>
              </w:rPr>
              <w:fldChar w:fldCharType="begin"/>
            </w:r>
            <w:r>
              <w:rPr>
                <w:noProof/>
                <w:webHidden/>
              </w:rPr>
              <w:instrText xml:space="preserve"> PAGEREF _Toc152331447 \h </w:instrText>
            </w:r>
            <w:r>
              <w:rPr>
                <w:noProof/>
                <w:webHidden/>
              </w:rPr>
            </w:r>
            <w:r>
              <w:rPr>
                <w:noProof/>
                <w:webHidden/>
              </w:rPr>
              <w:fldChar w:fldCharType="separate"/>
            </w:r>
            <w:r w:rsidR="00F13955">
              <w:rPr>
                <w:noProof/>
                <w:webHidden/>
              </w:rPr>
              <w:t>81</w:t>
            </w:r>
            <w:r>
              <w:rPr>
                <w:noProof/>
                <w:webHidden/>
              </w:rPr>
              <w:fldChar w:fldCharType="end"/>
            </w:r>
          </w:hyperlink>
        </w:p>
        <w:p w:rsidR="00B32E76" w:rsidRDefault="00B32E76" w14:paraId="7CF8B547" w14:textId="4A310DEE">
          <w:pPr>
            <w:pStyle w:val="TOC1"/>
            <w:tabs>
              <w:tab w:val="right" w:leader="dot" w:pos="9350"/>
            </w:tabs>
            <w:rPr>
              <w:rFonts w:asciiTheme="minorHAnsi" w:hAnsiTheme="minorHAnsi" w:cstheme="minorBidi"/>
              <w:noProof/>
              <w:kern w:val="2"/>
              <w:sz w:val="22"/>
              <w14:ligatures w14:val="standardContextual"/>
            </w:rPr>
          </w:pPr>
          <w:hyperlink w:history="1" w:anchor="_Toc152331448">
            <w:r w:rsidRPr="0079129D">
              <w:rPr>
                <w:rStyle w:val="Hyperlink"/>
                <w:noProof/>
              </w:rPr>
              <w:t>15.</w:t>
            </w:r>
            <w:r>
              <w:rPr>
                <w:rFonts w:asciiTheme="minorHAnsi" w:hAnsiTheme="minorHAnsi" w:cstheme="minorBidi"/>
                <w:noProof/>
                <w:kern w:val="2"/>
                <w:sz w:val="22"/>
                <w14:ligatures w14:val="standardContextual"/>
              </w:rPr>
              <w:tab/>
            </w:r>
            <w:r w:rsidRPr="0079129D">
              <w:rPr>
                <w:rStyle w:val="Hyperlink"/>
                <w:noProof/>
              </w:rPr>
              <w:t>Summary of Public Comment</w:t>
            </w:r>
            <w:r>
              <w:rPr>
                <w:noProof/>
                <w:webHidden/>
              </w:rPr>
              <w:tab/>
            </w:r>
            <w:r>
              <w:rPr>
                <w:noProof/>
                <w:webHidden/>
              </w:rPr>
              <w:fldChar w:fldCharType="begin"/>
            </w:r>
            <w:r>
              <w:rPr>
                <w:noProof/>
                <w:webHidden/>
              </w:rPr>
              <w:instrText xml:space="preserve"> PAGEREF _Toc152331448 \h </w:instrText>
            </w:r>
            <w:r>
              <w:rPr>
                <w:noProof/>
                <w:webHidden/>
              </w:rPr>
            </w:r>
            <w:r>
              <w:rPr>
                <w:noProof/>
                <w:webHidden/>
              </w:rPr>
              <w:fldChar w:fldCharType="separate"/>
            </w:r>
            <w:r w:rsidR="00F13955">
              <w:rPr>
                <w:noProof/>
                <w:webHidden/>
              </w:rPr>
              <w:t>81</w:t>
            </w:r>
            <w:r>
              <w:rPr>
                <w:noProof/>
                <w:webHidden/>
              </w:rPr>
              <w:fldChar w:fldCharType="end"/>
            </w:r>
          </w:hyperlink>
        </w:p>
        <w:p w:rsidR="00B32E76" w:rsidRDefault="00B32E76" w14:paraId="6C4F57A8" w14:textId="580534CF">
          <w:pPr>
            <w:pStyle w:val="TOC1"/>
            <w:tabs>
              <w:tab w:val="right" w:leader="dot" w:pos="9350"/>
            </w:tabs>
            <w:rPr>
              <w:rFonts w:asciiTheme="minorHAnsi" w:hAnsiTheme="minorHAnsi" w:cstheme="minorBidi"/>
              <w:noProof/>
              <w:kern w:val="2"/>
              <w:sz w:val="22"/>
              <w14:ligatures w14:val="standardContextual"/>
            </w:rPr>
          </w:pPr>
          <w:hyperlink w:history="1" w:anchor="_Toc152331449">
            <w:r w:rsidRPr="0079129D">
              <w:rPr>
                <w:rStyle w:val="Hyperlink"/>
                <w:noProof/>
              </w:rPr>
              <w:t>16.</w:t>
            </w:r>
            <w:r>
              <w:rPr>
                <w:rFonts w:asciiTheme="minorHAnsi" w:hAnsiTheme="minorHAnsi" w:cstheme="minorBidi"/>
                <w:noProof/>
                <w:kern w:val="2"/>
                <w:sz w:val="22"/>
                <w14:ligatures w14:val="standardContextual"/>
              </w:rPr>
              <w:tab/>
            </w:r>
            <w:r w:rsidRPr="0079129D">
              <w:rPr>
                <w:rStyle w:val="Hyperlink"/>
                <w:noProof/>
              </w:rPr>
              <w:t>Reduction of Comment Period and Party Comments</w:t>
            </w:r>
            <w:r>
              <w:rPr>
                <w:noProof/>
                <w:webHidden/>
              </w:rPr>
              <w:tab/>
            </w:r>
            <w:r>
              <w:rPr>
                <w:noProof/>
                <w:webHidden/>
              </w:rPr>
              <w:fldChar w:fldCharType="begin"/>
            </w:r>
            <w:r>
              <w:rPr>
                <w:noProof/>
                <w:webHidden/>
              </w:rPr>
              <w:instrText xml:space="preserve"> PAGEREF _Toc152331449 \h </w:instrText>
            </w:r>
            <w:r>
              <w:rPr>
                <w:noProof/>
                <w:webHidden/>
              </w:rPr>
            </w:r>
            <w:r>
              <w:rPr>
                <w:noProof/>
                <w:webHidden/>
              </w:rPr>
              <w:fldChar w:fldCharType="separate"/>
            </w:r>
            <w:r w:rsidR="00F13955">
              <w:rPr>
                <w:noProof/>
                <w:webHidden/>
              </w:rPr>
              <w:t>82</w:t>
            </w:r>
            <w:r>
              <w:rPr>
                <w:noProof/>
                <w:webHidden/>
              </w:rPr>
              <w:fldChar w:fldCharType="end"/>
            </w:r>
          </w:hyperlink>
        </w:p>
        <w:p w:rsidR="00B32E76" w:rsidRDefault="00B32E76" w14:paraId="3AE2B367" w14:textId="3EF66CC2">
          <w:pPr>
            <w:pStyle w:val="TOC1"/>
            <w:tabs>
              <w:tab w:val="right" w:leader="dot" w:pos="9350"/>
            </w:tabs>
            <w:rPr>
              <w:rFonts w:asciiTheme="minorHAnsi" w:hAnsiTheme="minorHAnsi" w:cstheme="minorBidi"/>
              <w:noProof/>
              <w:kern w:val="2"/>
              <w:sz w:val="22"/>
              <w14:ligatures w14:val="standardContextual"/>
            </w:rPr>
          </w:pPr>
          <w:hyperlink w:history="1" w:anchor="_Toc152331450">
            <w:r w:rsidRPr="0079129D">
              <w:rPr>
                <w:rStyle w:val="Hyperlink"/>
                <w:noProof/>
              </w:rPr>
              <w:t>17.</w:t>
            </w:r>
            <w:r>
              <w:rPr>
                <w:rFonts w:asciiTheme="minorHAnsi" w:hAnsiTheme="minorHAnsi" w:cstheme="minorBidi"/>
                <w:noProof/>
                <w:kern w:val="2"/>
                <w:sz w:val="22"/>
                <w14:ligatures w14:val="standardContextual"/>
              </w:rPr>
              <w:tab/>
            </w:r>
            <w:r w:rsidRPr="0079129D">
              <w:rPr>
                <w:rStyle w:val="Hyperlink"/>
                <w:noProof/>
              </w:rPr>
              <w:t>Assignment of Proceeding</w:t>
            </w:r>
            <w:r>
              <w:rPr>
                <w:noProof/>
                <w:webHidden/>
              </w:rPr>
              <w:tab/>
            </w:r>
            <w:r>
              <w:rPr>
                <w:noProof/>
                <w:webHidden/>
              </w:rPr>
              <w:fldChar w:fldCharType="begin"/>
            </w:r>
            <w:r>
              <w:rPr>
                <w:noProof/>
                <w:webHidden/>
              </w:rPr>
              <w:instrText xml:space="preserve"> PAGEREF _Toc152331450 \h </w:instrText>
            </w:r>
            <w:r>
              <w:rPr>
                <w:noProof/>
                <w:webHidden/>
              </w:rPr>
            </w:r>
            <w:r>
              <w:rPr>
                <w:noProof/>
                <w:webHidden/>
              </w:rPr>
              <w:fldChar w:fldCharType="separate"/>
            </w:r>
            <w:r w:rsidR="00F13955">
              <w:rPr>
                <w:noProof/>
                <w:webHidden/>
              </w:rPr>
              <w:t>82</w:t>
            </w:r>
            <w:r>
              <w:rPr>
                <w:noProof/>
                <w:webHidden/>
              </w:rPr>
              <w:fldChar w:fldCharType="end"/>
            </w:r>
          </w:hyperlink>
        </w:p>
        <w:p w:rsidR="00B32E76" w:rsidRDefault="00B32E76" w14:paraId="26095B80" w14:textId="243095FD">
          <w:pPr>
            <w:pStyle w:val="TOC1"/>
            <w:tabs>
              <w:tab w:val="right" w:leader="dot" w:pos="9350"/>
            </w:tabs>
            <w:rPr>
              <w:rFonts w:asciiTheme="minorHAnsi" w:hAnsiTheme="minorHAnsi" w:cstheme="minorBidi"/>
              <w:noProof/>
              <w:kern w:val="2"/>
              <w:sz w:val="22"/>
              <w14:ligatures w14:val="standardContextual"/>
            </w:rPr>
          </w:pPr>
          <w:hyperlink w:history="1" w:anchor="_Toc152331451">
            <w:r w:rsidRPr="0079129D">
              <w:rPr>
                <w:rStyle w:val="Hyperlink"/>
                <w:noProof/>
              </w:rPr>
              <w:t>Findings of Fact</w:t>
            </w:r>
            <w:r>
              <w:rPr>
                <w:noProof/>
                <w:webHidden/>
              </w:rPr>
              <w:tab/>
            </w:r>
            <w:r>
              <w:rPr>
                <w:noProof/>
                <w:webHidden/>
              </w:rPr>
              <w:fldChar w:fldCharType="begin"/>
            </w:r>
            <w:r>
              <w:rPr>
                <w:noProof/>
                <w:webHidden/>
              </w:rPr>
              <w:instrText xml:space="preserve"> PAGEREF _Toc152331451 \h </w:instrText>
            </w:r>
            <w:r>
              <w:rPr>
                <w:noProof/>
                <w:webHidden/>
              </w:rPr>
            </w:r>
            <w:r>
              <w:rPr>
                <w:noProof/>
                <w:webHidden/>
              </w:rPr>
              <w:fldChar w:fldCharType="separate"/>
            </w:r>
            <w:r w:rsidR="00F13955">
              <w:rPr>
                <w:noProof/>
                <w:webHidden/>
              </w:rPr>
              <w:t>82</w:t>
            </w:r>
            <w:r>
              <w:rPr>
                <w:noProof/>
                <w:webHidden/>
              </w:rPr>
              <w:fldChar w:fldCharType="end"/>
            </w:r>
          </w:hyperlink>
        </w:p>
        <w:p w:rsidR="00B32E76" w:rsidRDefault="00B32E76" w14:paraId="5007F240" w14:textId="73688855">
          <w:pPr>
            <w:pStyle w:val="TOC1"/>
            <w:tabs>
              <w:tab w:val="right" w:leader="dot" w:pos="9350"/>
            </w:tabs>
            <w:rPr>
              <w:rFonts w:asciiTheme="minorHAnsi" w:hAnsiTheme="minorHAnsi" w:cstheme="minorBidi"/>
              <w:noProof/>
              <w:kern w:val="2"/>
              <w:sz w:val="22"/>
              <w14:ligatures w14:val="standardContextual"/>
            </w:rPr>
          </w:pPr>
          <w:hyperlink w:history="1" w:anchor="_Toc152331452">
            <w:r w:rsidRPr="0079129D">
              <w:rPr>
                <w:rStyle w:val="Hyperlink"/>
                <w:noProof/>
              </w:rPr>
              <w:t>Conclusions of Law</w:t>
            </w:r>
            <w:r>
              <w:rPr>
                <w:noProof/>
                <w:webHidden/>
              </w:rPr>
              <w:tab/>
            </w:r>
            <w:r>
              <w:rPr>
                <w:noProof/>
                <w:webHidden/>
              </w:rPr>
              <w:fldChar w:fldCharType="begin"/>
            </w:r>
            <w:r>
              <w:rPr>
                <w:noProof/>
                <w:webHidden/>
              </w:rPr>
              <w:instrText xml:space="preserve"> PAGEREF _Toc152331452 \h </w:instrText>
            </w:r>
            <w:r>
              <w:rPr>
                <w:noProof/>
                <w:webHidden/>
              </w:rPr>
            </w:r>
            <w:r>
              <w:rPr>
                <w:noProof/>
                <w:webHidden/>
              </w:rPr>
              <w:fldChar w:fldCharType="separate"/>
            </w:r>
            <w:r w:rsidR="00F13955">
              <w:rPr>
                <w:noProof/>
                <w:webHidden/>
              </w:rPr>
              <w:t>92</w:t>
            </w:r>
            <w:r>
              <w:rPr>
                <w:noProof/>
                <w:webHidden/>
              </w:rPr>
              <w:fldChar w:fldCharType="end"/>
            </w:r>
          </w:hyperlink>
        </w:p>
        <w:p w:rsidR="00B32E76" w:rsidRDefault="00B32E76" w14:paraId="5BE5564B" w14:textId="049103CC">
          <w:pPr>
            <w:pStyle w:val="TOC1"/>
            <w:tabs>
              <w:tab w:val="right" w:leader="dot" w:pos="9350"/>
            </w:tabs>
            <w:rPr>
              <w:rFonts w:asciiTheme="minorHAnsi" w:hAnsiTheme="minorHAnsi" w:cstheme="minorBidi"/>
              <w:noProof/>
              <w:kern w:val="2"/>
              <w:sz w:val="22"/>
              <w14:ligatures w14:val="standardContextual"/>
            </w:rPr>
          </w:pPr>
          <w:hyperlink w:history="1" w:anchor="_Toc152331453">
            <w:r w:rsidRPr="0079129D">
              <w:rPr>
                <w:rStyle w:val="Hyperlink"/>
                <w:noProof/>
              </w:rPr>
              <w:t>ORDER</w:t>
            </w:r>
            <w:r>
              <w:rPr>
                <w:noProof/>
                <w:webHidden/>
              </w:rPr>
              <w:tab/>
            </w:r>
            <w:r>
              <w:rPr>
                <w:noProof/>
                <w:webHidden/>
              </w:rPr>
              <w:fldChar w:fldCharType="begin"/>
            </w:r>
            <w:r>
              <w:rPr>
                <w:noProof/>
                <w:webHidden/>
              </w:rPr>
              <w:instrText xml:space="preserve"> PAGEREF _Toc152331453 \h </w:instrText>
            </w:r>
            <w:r>
              <w:rPr>
                <w:noProof/>
                <w:webHidden/>
              </w:rPr>
            </w:r>
            <w:r>
              <w:rPr>
                <w:noProof/>
                <w:webHidden/>
              </w:rPr>
              <w:fldChar w:fldCharType="separate"/>
            </w:r>
            <w:r w:rsidR="00F13955">
              <w:rPr>
                <w:noProof/>
                <w:webHidden/>
              </w:rPr>
              <w:t>93</w:t>
            </w:r>
            <w:r>
              <w:rPr>
                <w:noProof/>
                <w:webHidden/>
              </w:rPr>
              <w:fldChar w:fldCharType="end"/>
            </w:r>
          </w:hyperlink>
        </w:p>
        <w:p w:rsidR="001D6E69" w:rsidP="001D6E69" w:rsidRDefault="008C7413" w14:paraId="22D6D554" w14:textId="28B793EF">
          <w:pPr>
            <w:pStyle w:val="TOC1"/>
            <w:tabs>
              <w:tab w:val="right" w:leader="dot" w:pos="9350"/>
            </w:tabs>
            <w:ind w:left="0" w:firstLine="0"/>
            <w:rPr>
              <w:rFonts w:asciiTheme="minorHAnsi" w:hAnsiTheme="minorHAnsi"/>
              <w:sz w:val="24"/>
              <w:szCs w:val="24"/>
            </w:rPr>
          </w:pPr>
          <w:r w:rsidRPr="003E0E33">
            <w:rPr>
              <w:rFonts w:asciiTheme="minorHAnsi" w:hAnsiTheme="minorHAnsi"/>
              <w:sz w:val="24"/>
              <w:szCs w:val="24"/>
            </w:rPr>
            <w:fldChar w:fldCharType="end"/>
          </w:r>
        </w:p>
        <w:p w:rsidR="001D6E69" w:rsidP="001D6E69" w:rsidRDefault="001D6E69" w14:paraId="65B8B96D" w14:textId="729CFBCC">
          <w:pPr>
            <w:ind w:firstLine="0"/>
          </w:pPr>
          <w:r>
            <w:t>Appendix A - Glossary of Acronyms</w:t>
          </w:r>
        </w:p>
        <w:p w:rsidRPr="001D6E69" w:rsidR="00D82A43" w:rsidP="001D6E69" w:rsidRDefault="00000000" w14:paraId="512A9D54" w14:textId="7AE2B14C"/>
      </w:sdtContent>
    </w:sdt>
    <w:p w:rsidRPr="00D44DB6" w:rsidR="00D44DB6" w:rsidP="00D44DB6" w:rsidRDefault="00D44DB6" w14:paraId="253568AF" w14:textId="5D35746A">
      <w:pPr>
        <w:spacing w:line="240" w:lineRule="auto"/>
        <w:ind w:firstLine="0"/>
        <w:rPr>
          <w:rFonts w:cs="Arial"/>
          <w:i/>
          <w:szCs w:val="26"/>
        </w:rPr>
        <w:sectPr w:rsidRPr="00D44DB6" w:rsidR="00D44DB6" w:rsidSect="00D44DB6">
          <w:headerReference w:type="default" r:id="rId14"/>
          <w:footerReference w:type="default" r:id="rId15"/>
          <w:pgSz w:w="12240" w:h="15840"/>
          <w:pgMar w:top="1728" w:right="1440" w:bottom="1440" w:left="1440" w:header="720" w:footer="720" w:gutter="0"/>
          <w:pgNumType w:fmt="lowerRoman" w:start="1"/>
          <w:cols w:space="720"/>
          <w:docGrid w:linePitch="360"/>
        </w:sectPr>
      </w:pPr>
    </w:p>
    <w:p w:rsidR="00591635" w:rsidP="0003579A" w:rsidRDefault="00591635" w14:paraId="436030DF" w14:textId="10102324">
      <w:pPr>
        <w:pStyle w:val="Main"/>
      </w:pPr>
      <w:bookmarkStart w:name="_Toc8123714" w:id="1"/>
      <w:r>
        <w:lastRenderedPageBreak/>
        <w:t xml:space="preserve">SOUTHERN CALIFORNIA EDISON COMPANY’S 2024 ENERGY </w:t>
      </w:r>
      <w:r>
        <w:br/>
        <w:t>RESOURCE RECOVERY ACCOUNT FORECAST</w:t>
      </w:r>
    </w:p>
    <w:p w:rsidRPr="00591635" w:rsidR="00591635" w:rsidP="00591635" w:rsidRDefault="00591635" w14:paraId="46650E20" w14:textId="77777777"/>
    <w:p w:rsidR="005A148C" w:rsidP="005A148C" w:rsidRDefault="005A148C" w14:paraId="7DA153AC" w14:textId="3E1075A9">
      <w:pPr>
        <w:pStyle w:val="Dummy"/>
      </w:pPr>
      <w:bookmarkStart w:name="_Toc152331381" w:id="2"/>
      <w:r>
        <w:t>Summary</w:t>
      </w:r>
      <w:bookmarkEnd w:id="1"/>
      <w:bookmarkEnd w:id="2"/>
    </w:p>
    <w:p w:rsidRPr="00A14797" w:rsidR="006746CC" w:rsidP="00232C61" w:rsidRDefault="005A148C" w14:paraId="1F7AE677" w14:textId="6D56E6A1">
      <w:pPr>
        <w:pStyle w:val="Standard"/>
      </w:pPr>
      <w:r>
        <w:t>Th</w:t>
      </w:r>
      <w:r w:rsidR="00440589">
        <w:t xml:space="preserve">is </w:t>
      </w:r>
      <w:r w:rsidR="00A14797">
        <w:t>Decision</w:t>
      </w:r>
      <w:r w:rsidRPr="00A14797" w:rsidR="00440589">
        <w:t xml:space="preserve"> </w:t>
      </w:r>
      <w:r w:rsidRPr="00A14797" w:rsidR="00F762A0">
        <w:t xml:space="preserve">approves, </w:t>
      </w:r>
      <w:r w:rsidRPr="002F290B" w:rsidR="00F762A0">
        <w:t>with modifications</w:t>
      </w:r>
      <w:r w:rsidRPr="00A14797" w:rsidR="00F762A0">
        <w:t>,</w:t>
      </w:r>
      <w:r w:rsidRPr="00A14797" w:rsidR="00440589">
        <w:t xml:space="preserve"> </w:t>
      </w:r>
      <w:r w:rsidRPr="00A14797" w:rsidR="003171BF">
        <w:t>Southern California Edison</w:t>
      </w:r>
      <w:r w:rsidRPr="00A14797" w:rsidR="00C4704F">
        <w:t xml:space="preserve"> Company</w:t>
      </w:r>
      <w:r w:rsidRPr="00A14797" w:rsidR="003171BF">
        <w:t>’s</w:t>
      </w:r>
      <w:r w:rsidRPr="00A14797" w:rsidR="00453BD8">
        <w:t xml:space="preserve"> (SCE)</w:t>
      </w:r>
      <w:r w:rsidRPr="00A14797" w:rsidR="003171BF">
        <w:t xml:space="preserve"> </w:t>
      </w:r>
      <w:r w:rsidR="00604C42">
        <w:t xml:space="preserve">2024 </w:t>
      </w:r>
      <w:r w:rsidRPr="00A14797" w:rsidR="003171BF">
        <w:t xml:space="preserve">Energy Resource Recovery Account </w:t>
      </w:r>
      <w:r w:rsidRPr="00A14797" w:rsidR="00453BD8">
        <w:t xml:space="preserve">(ERRA) </w:t>
      </w:r>
      <w:r w:rsidRPr="00A14797" w:rsidR="003171BF">
        <w:t xml:space="preserve">Forecast and approves a 2024 forecast </w:t>
      </w:r>
      <w:r w:rsidRPr="00A14797" w:rsidR="005A318C">
        <w:t xml:space="preserve">revenue requirement </w:t>
      </w:r>
      <w:r w:rsidRPr="00A14797" w:rsidR="003171BF">
        <w:t xml:space="preserve">of </w:t>
      </w:r>
      <w:r w:rsidRPr="00A14797" w:rsidR="00237D71">
        <w:t>$</w:t>
      </w:r>
      <w:r w:rsidRPr="00A14797" w:rsidR="00A86B60">
        <w:t>5.23</w:t>
      </w:r>
      <w:r w:rsidRPr="00A14797" w:rsidR="008119B1">
        <w:t>4</w:t>
      </w:r>
      <w:r w:rsidRPr="00A14797" w:rsidR="00237D71">
        <w:t xml:space="preserve"> </w:t>
      </w:r>
      <w:r w:rsidRPr="00A14797" w:rsidR="003171BF">
        <w:t xml:space="preserve">billion, representing a decrease </w:t>
      </w:r>
      <w:r w:rsidRPr="00A14797" w:rsidR="00237D71">
        <w:t>of $</w:t>
      </w:r>
      <w:r w:rsidRPr="00A14797" w:rsidR="00A86B60">
        <w:t>3</w:t>
      </w:r>
      <w:r w:rsidRPr="00A14797" w:rsidR="008119B1">
        <w:t>25.830</w:t>
      </w:r>
      <w:r w:rsidRPr="00A14797" w:rsidR="003171BF">
        <w:t xml:space="preserve"> million as compared to rates effective today.</w:t>
      </w:r>
      <w:r w:rsidRPr="00A14797" w:rsidR="006746CC">
        <w:t xml:space="preserve"> </w:t>
      </w:r>
    </w:p>
    <w:p w:rsidRPr="00973D37" w:rsidR="006746CC" w:rsidP="006746CC" w:rsidRDefault="006746CC" w14:paraId="48E83248" w14:textId="2581F8F5">
      <w:pPr>
        <w:pStyle w:val="Standard"/>
      </w:pPr>
      <w:r w:rsidRPr="00A14797">
        <w:t xml:space="preserve">SCE’s proposed revenue requirement consisted of both a generation service component and a delivery service component. As a result of the costs and other adjustments approved in this </w:t>
      </w:r>
      <w:r w:rsidR="00A14797">
        <w:t>Decision</w:t>
      </w:r>
      <w:r w:rsidRPr="00A14797">
        <w:t>, on January 1, 202</w:t>
      </w:r>
      <w:r w:rsidRPr="00A14797" w:rsidR="00453BD8">
        <w:t>4</w:t>
      </w:r>
      <w:r w:rsidRPr="00A14797">
        <w:t xml:space="preserve">, SCE’s system average rates for bundled customers will decrease by </w:t>
      </w:r>
      <w:r w:rsidRPr="00A14797" w:rsidR="00A14797">
        <w:t xml:space="preserve">1.8 </w:t>
      </w:r>
      <w:r w:rsidRPr="00A14797" w:rsidR="006C3515">
        <w:t>percent</w:t>
      </w:r>
      <w:r w:rsidRPr="00A14797">
        <w:t xml:space="preserve"> as compared to rates effective October 1, 2023, to </w:t>
      </w:r>
      <w:r w:rsidRPr="00A14797" w:rsidR="00E0105F">
        <w:t>2</w:t>
      </w:r>
      <w:r w:rsidRPr="00A14797" w:rsidR="00A14797">
        <w:t>6.124</w:t>
      </w:r>
      <w:r w:rsidRPr="00A14797">
        <w:t xml:space="preserve">¢/kilowatt hour in 2024. The Power Charge Indifference Adjustment </w:t>
      </w:r>
      <w:r w:rsidR="006111A5">
        <w:t xml:space="preserve">(PCIA) </w:t>
      </w:r>
      <w:r w:rsidRPr="00A14797">
        <w:t>rates will be negative for most customer vintages</w:t>
      </w:r>
      <w:r w:rsidRPr="00A14797" w:rsidR="003E42B1">
        <w:t xml:space="preserve"> and will be negative system-wide </w:t>
      </w:r>
      <w:r w:rsidRPr="00A14797">
        <w:t>in 2024</w:t>
      </w:r>
      <w:r w:rsidRPr="00973D37">
        <w:t xml:space="preserve">, resulting in credits for customers in </w:t>
      </w:r>
      <w:r w:rsidR="00E77EBA">
        <w:t>most</w:t>
      </w:r>
      <w:r w:rsidRPr="00973D37">
        <w:t xml:space="preserve"> </w:t>
      </w:r>
      <w:r w:rsidR="006111A5">
        <w:t xml:space="preserve">PCIA </w:t>
      </w:r>
      <w:r w:rsidRPr="00973D37">
        <w:t>vintages.</w:t>
      </w:r>
    </w:p>
    <w:p w:rsidRPr="00973D37" w:rsidR="006746CC" w:rsidP="006746CC" w:rsidRDefault="006746CC" w14:paraId="0EDDBFD6" w14:textId="68638CFC">
      <w:pPr>
        <w:pStyle w:val="Standard"/>
      </w:pPr>
      <w:r w:rsidRPr="00973D37">
        <w:t xml:space="preserve">SCE’s </w:t>
      </w:r>
      <w:r w:rsidRPr="00973D37" w:rsidR="004075AB">
        <w:t xml:space="preserve">proposed 2024 </w:t>
      </w:r>
      <w:r w:rsidRPr="00973D37">
        <w:t>generation service revenue requirement</w:t>
      </w:r>
      <w:r w:rsidR="005C58EA">
        <w:t>, as updated October 13, 2023</w:t>
      </w:r>
      <w:r w:rsidR="00A14797">
        <w:t>,</w:t>
      </w:r>
      <w:r w:rsidR="00CC3002">
        <w:t xml:space="preserve"> and </w:t>
      </w:r>
      <w:r w:rsidR="00453BD8">
        <w:t xml:space="preserve">in </w:t>
      </w:r>
      <w:r w:rsidR="00CC3002">
        <w:t xml:space="preserve">SCE’s Errata filed on October 24, </w:t>
      </w:r>
      <w:r w:rsidRPr="00A14797" w:rsidR="00CC3002">
        <w:t xml:space="preserve">October 27, and October </w:t>
      </w:r>
      <w:r w:rsidRPr="00A14797" w:rsidR="00A14797">
        <w:t>31</w:t>
      </w:r>
      <w:r w:rsidRPr="00A14797" w:rsidR="00CC3002">
        <w:t>, 2023</w:t>
      </w:r>
      <w:r w:rsidRPr="00A14797" w:rsidR="005C58EA">
        <w:t>,</w:t>
      </w:r>
      <w:r w:rsidRPr="00A14797">
        <w:t xml:space="preserve"> </w:t>
      </w:r>
      <w:r w:rsidRPr="00A14797" w:rsidR="004075AB">
        <w:t xml:space="preserve">totaled </w:t>
      </w:r>
      <w:r w:rsidRPr="00A14797">
        <w:t>$</w:t>
      </w:r>
      <w:r w:rsidRPr="00A14797" w:rsidR="00DC01EF">
        <w:t>5.51</w:t>
      </w:r>
      <w:r w:rsidR="00794A2D">
        <w:t>3</w:t>
      </w:r>
      <w:r w:rsidRPr="00A14797" w:rsidR="00DC01EF">
        <w:t xml:space="preserve"> billion</w:t>
      </w:r>
      <w:r w:rsidRPr="00A14797" w:rsidR="00110214">
        <w:t xml:space="preserve">, </w:t>
      </w:r>
      <w:r w:rsidRPr="00A14797" w:rsidR="005C58EA">
        <w:t xml:space="preserve">reflecting </w:t>
      </w:r>
      <w:r w:rsidRPr="00A14797" w:rsidR="00110214">
        <w:t>a reduction of</w:t>
      </w:r>
      <w:r w:rsidRPr="00973D37" w:rsidR="00110214">
        <w:t xml:space="preserve"> </w:t>
      </w:r>
      <w:r w:rsidRPr="00973D37" w:rsidR="00A07173">
        <w:t xml:space="preserve">approximately </w:t>
      </w:r>
      <w:r w:rsidRPr="00347FB6" w:rsidR="00110214">
        <w:t>$</w:t>
      </w:r>
      <w:r w:rsidRPr="00973D37" w:rsidR="00DC01EF">
        <w:t>56</w:t>
      </w:r>
      <w:r w:rsidR="00794A2D">
        <w:t>7.21</w:t>
      </w:r>
      <w:r w:rsidRPr="00973D37" w:rsidR="00110214">
        <w:t xml:space="preserve"> million</w:t>
      </w:r>
      <w:r w:rsidRPr="00973D37" w:rsidR="00DC01EF">
        <w:t>, or 9.3 percent,</w:t>
      </w:r>
      <w:r w:rsidRPr="00973D37" w:rsidR="00110214">
        <w:t xml:space="preserve"> from what is currently recovered in </w:t>
      </w:r>
      <w:r w:rsidR="00A14797">
        <w:t xml:space="preserve">generation service </w:t>
      </w:r>
      <w:r w:rsidRPr="00973D37" w:rsidR="00110214">
        <w:t>rates</w:t>
      </w:r>
      <w:r w:rsidRPr="00973D37" w:rsidR="004075AB">
        <w:t xml:space="preserve">. This </w:t>
      </w:r>
      <w:r w:rsidR="00A14797">
        <w:t>Decision</w:t>
      </w:r>
      <w:r w:rsidRPr="00973D37" w:rsidR="004075AB">
        <w:t xml:space="preserve"> authorizes</w:t>
      </w:r>
      <w:r w:rsidRPr="00973D37">
        <w:t xml:space="preserve"> SCE to transfer the following account balances</w:t>
      </w:r>
      <w:r w:rsidR="00A14797">
        <w:t xml:space="preserve"> related to its generation service rates</w:t>
      </w:r>
      <w:r w:rsidRPr="00347FB6">
        <w:t xml:space="preserve">:  </w:t>
      </w:r>
      <w:r w:rsidRPr="00347FB6" w:rsidR="00A07173">
        <w:t>-</w:t>
      </w:r>
      <w:r w:rsidRPr="00347FB6">
        <w:t>$</w:t>
      </w:r>
      <w:r w:rsidRPr="00973D37" w:rsidR="005E7904">
        <w:t>800.09</w:t>
      </w:r>
      <w:r w:rsidRPr="00973D37" w:rsidR="00A07173">
        <w:t xml:space="preserve"> mill</w:t>
      </w:r>
      <w:r w:rsidRPr="00973D37">
        <w:t xml:space="preserve">ion from the </w:t>
      </w:r>
      <w:r w:rsidRPr="00973D37" w:rsidR="00A07173">
        <w:t xml:space="preserve">2023 </w:t>
      </w:r>
      <w:r w:rsidRPr="00973D37">
        <w:t xml:space="preserve">ERRA Balancing Account (BA), </w:t>
      </w:r>
      <w:r w:rsidRPr="00347FB6" w:rsidR="00A07173">
        <w:t>$</w:t>
      </w:r>
      <w:r w:rsidRPr="00973D37" w:rsidR="005E7904">
        <w:t>523.664</w:t>
      </w:r>
      <w:r w:rsidRPr="00973D37">
        <w:t xml:space="preserve"> million from the </w:t>
      </w:r>
      <w:r w:rsidRPr="00973D37" w:rsidR="00A07173">
        <w:t xml:space="preserve">2023 </w:t>
      </w:r>
      <w:r w:rsidRPr="00973D37">
        <w:t>Portfolio Allocation Balancing Account</w:t>
      </w:r>
      <w:r w:rsidR="00F63F34">
        <w:t xml:space="preserve"> (PABA)</w:t>
      </w:r>
      <w:r w:rsidRPr="00973D37">
        <w:t xml:space="preserve">, and </w:t>
      </w:r>
      <w:r w:rsidRPr="00973D37" w:rsidR="005E7904">
        <w:t>$1,126</w:t>
      </w:r>
      <w:r w:rsidRPr="00973D37" w:rsidR="00A07173">
        <w:t xml:space="preserve"> </w:t>
      </w:r>
      <w:r w:rsidRPr="00973D37">
        <w:t xml:space="preserve">million from the </w:t>
      </w:r>
      <w:r w:rsidRPr="00973D37" w:rsidR="00A07173">
        <w:t xml:space="preserve">2023 </w:t>
      </w:r>
      <w:r w:rsidRPr="00973D37">
        <w:t>Energy Settlement Memorandum Account</w:t>
      </w:r>
      <w:r w:rsidRPr="00973D37" w:rsidR="005E7904">
        <w:t xml:space="preserve"> (ESMA)</w:t>
      </w:r>
      <w:r w:rsidRPr="00973D37">
        <w:t xml:space="preserve">. </w:t>
      </w:r>
    </w:p>
    <w:p w:rsidRPr="00973D37" w:rsidR="00056BE0" w:rsidP="006746CC" w:rsidRDefault="006746CC" w14:paraId="4CD1C060" w14:textId="196F5FDF">
      <w:pPr>
        <w:pStyle w:val="Standard"/>
      </w:pPr>
      <w:r w:rsidRPr="00973D37">
        <w:t xml:space="preserve">Within SCE’s </w:t>
      </w:r>
      <w:r w:rsidRPr="00973D37" w:rsidR="004075AB">
        <w:t xml:space="preserve">forecasted 2024 </w:t>
      </w:r>
      <w:r w:rsidRPr="00973D37">
        <w:t xml:space="preserve">delivery service revenue requirement of </w:t>
      </w:r>
      <w:r w:rsidR="00A14797">
        <w:t>negative</w:t>
      </w:r>
      <w:r w:rsidR="002F290B">
        <w:t xml:space="preserve"> </w:t>
      </w:r>
      <w:r w:rsidRPr="00347FB6" w:rsidR="004075AB">
        <w:t>$</w:t>
      </w:r>
      <w:r w:rsidRPr="00973D37" w:rsidR="005E7904">
        <w:t>279.280 </w:t>
      </w:r>
      <w:r w:rsidRPr="00973D37">
        <w:t xml:space="preserve">million, SCE is authorized to recover the following: </w:t>
      </w:r>
      <w:r w:rsidRPr="00973D37">
        <w:lastRenderedPageBreak/>
        <w:t>(1) </w:t>
      </w:r>
      <w:r w:rsidRPr="00347FB6">
        <w:t>$</w:t>
      </w:r>
      <w:r w:rsidRPr="00973D37" w:rsidR="005E7904">
        <w:t>402.996 </w:t>
      </w:r>
      <w:r w:rsidRPr="00973D37">
        <w:t>million for New</w:t>
      </w:r>
      <w:r w:rsidRPr="00973D37" w:rsidR="004075AB">
        <w:t xml:space="preserve"> System Generation </w:t>
      </w:r>
      <w:r w:rsidR="00F63F34">
        <w:t xml:space="preserve">(NSG) </w:t>
      </w:r>
      <w:r w:rsidRPr="00973D37" w:rsidR="004075AB">
        <w:t>and System Reliability fuel and purchase power contracts; (2) $</w:t>
      </w:r>
      <w:r w:rsidRPr="00973D37" w:rsidR="005E7904">
        <w:t xml:space="preserve">4.958 </w:t>
      </w:r>
      <w:r w:rsidRPr="00973D37" w:rsidR="004075AB">
        <w:t>million in spent nuclear fuel costs; (3) </w:t>
      </w:r>
      <w:r w:rsidRPr="00973D37" w:rsidR="004075AB">
        <w:noBreakHyphen/>
        <w:t>$</w:t>
      </w:r>
      <w:r w:rsidRPr="00973D37" w:rsidR="005E7904">
        <w:t>3.582 </w:t>
      </w:r>
      <w:r w:rsidRPr="00973D37" w:rsidR="004075AB">
        <w:t xml:space="preserve">million for forecast Base Revenue Requirement Balancing </w:t>
      </w:r>
      <w:r w:rsidR="00162DA0">
        <w:br/>
      </w:r>
      <w:r w:rsidRPr="00973D37" w:rsidR="004075AB">
        <w:t>Account — Distribution fuel and purchased power costs; (4) </w:t>
      </w:r>
      <w:r w:rsidRPr="00973D37" w:rsidR="004075AB">
        <w:noBreakHyphen/>
        <w:t>$</w:t>
      </w:r>
      <w:r w:rsidRPr="00973D37" w:rsidR="005E7904">
        <w:t>955.105 </w:t>
      </w:r>
      <w:r w:rsidRPr="00973D37" w:rsidR="004075AB">
        <w:t>million customer return of greenhouse gas (GHG) allowance proceeds; and (5) $</w:t>
      </w:r>
      <w:r w:rsidRPr="00973D37" w:rsidR="005E7904">
        <w:t>13.056 </w:t>
      </w:r>
      <w:r w:rsidRPr="00973D37" w:rsidR="004075AB">
        <w:t>million for the Public Purpose Program Charge, which includes the Tree</w:t>
      </w:r>
      <w:r w:rsidRPr="00973D37" w:rsidR="004075AB">
        <w:noBreakHyphen/>
        <w:t>Mortality Non</w:t>
      </w:r>
      <w:r w:rsidRPr="00973D37" w:rsidR="004075AB">
        <w:noBreakHyphen/>
      </w:r>
      <w:proofErr w:type="spellStart"/>
      <w:r w:rsidRPr="00973D37" w:rsidR="004075AB">
        <w:t>Bypassable</w:t>
      </w:r>
      <w:proofErr w:type="spellEnd"/>
      <w:r w:rsidRPr="00973D37" w:rsidR="004075AB">
        <w:t xml:space="preserve"> Charge</w:t>
      </w:r>
      <w:r w:rsidR="00F63F34">
        <w:t xml:space="preserve"> (TMNBC)</w:t>
      </w:r>
      <w:r w:rsidRPr="00973D37" w:rsidR="004075AB">
        <w:t>, SCE’s Preferred Resources Pilot #2, Bioenergy Market Adjusting Tariff (</w:t>
      </w:r>
      <w:proofErr w:type="spellStart"/>
      <w:r w:rsidRPr="00973D37" w:rsidR="004075AB">
        <w:t>BioMAT</w:t>
      </w:r>
      <w:proofErr w:type="spellEnd"/>
      <w:r w:rsidRPr="00973D37" w:rsidR="004075AB">
        <w:t>) Non</w:t>
      </w:r>
      <w:r w:rsidRPr="00973D37" w:rsidR="004075AB">
        <w:noBreakHyphen/>
      </w:r>
      <w:proofErr w:type="spellStart"/>
      <w:r w:rsidRPr="00973D37" w:rsidR="004075AB">
        <w:t>Bypassable</w:t>
      </w:r>
      <w:proofErr w:type="spellEnd"/>
      <w:r w:rsidRPr="00973D37" w:rsidR="004075AB">
        <w:t xml:space="preserve"> Charge, and a portion of the Disadvantaged Communities — Green Tariff and Community Solar Green Tariff program funding which provides volumetric subsidies to qualifying customer classes. </w:t>
      </w:r>
    </w:p>
    <w:p w:rsidRPr="00973D37" w:rsidR="00056BE0" w:rsidP="006746CC" w:rsidRDefault="004075AB" w14:paraId="2BC8DC0E" w14:textId="4DB1E451">
      <w:pPr>
        <w:pStyle w:val="Standard"/>
      </w:pPr>
      <w:r w:rsidRPr="00973D37">
        <w:t xml:space="preserve">SCE is also authorized to transfer the following </w:t>
      </w:r>
      <w:r w:rsidR="00A14797">
        <w:t xml:space="preserve">delivery-service related </w:t>
      </w:r>
      <w:r w:rsidRPr="00973D37">
        <w:t>account balances: (1) $</w:t>
      </w:r>
      <w:r w:rsidRPr="00973D37" w:rsidR="005E7904">
        <w:t>256.10 </w:t>
      </w:r>
      <w:r w:rsidRPr="00973D37">
        <w:t>million in the 2023 year</w:t>
      </w:r>
      <w:r w:rsidRPr="00973D37">
        <w:noBreakHyphen/>
        <w:t>end balance in the New System Generation BA; (2) $</w:t>
      </w:r>
      <w:r w:rsidRPr="00973D37" w:rsidR="005E7904">
        <w:t>10.588 </w:t>
      </w:r>
      <w:r w:rsidRPr="00973D37">
        <w:t>million in the 202</w:t>
      </w:r>
      <w:r w:rsidRPr="00973D37" w:rsidR="00056BE0">
        <w:t>3</w:t>
      </w:r>
      <w:r w:rsidRPr="00973D37">
        <w:t xml:space="preserve"> year</w:t>
      </w:r>
      <w:r w:rsidRPr="00973D37">
        <w:noBreakHyphen/>
        <w:t>end balance for the Tree Mortality Non</w:t>
      </w:r>
      <w:r w:rsidRPr="00973D37">
        <w:noBreakHyphen/>
      </w:r>
      <w:proofErr w:type="spellStart"/>
      <w:r w:rsidRPr="00973D37">
        <w:t>Bypassable</w:t>
      </w:r>
      <w:proofErr w:type="spellEnd"/>
      <w:r w:rsidRPr="00973D37">
        <w:t xml:space="preserve"> Charge BA; and (3) </w:t>
      </w:r>
      <w:r w:rsidRPr="00973D37">
        <w:noBreakHyphen/>
        <w:t>$</w:t>
      </w:r>
      <w:r w:rsidRPr="00973D37" w:rsidR="005E7904">
        <w:t>6.689 </w:t>
      </w:r>
      <w:r w:rsidRPr="00973D37">
        <w:t xml:space="preserve">million in the </w:t>
      </w:r>
      <w:r w:rsidR="00295744">
        <w:br/>
      </w:r>
      <w:r w:rsidRPr="00973D37">
        <w:t>202</w:t>
      </w:r>
      <w:r w:rsidRPr="00973D37" w:rsidR="00056BE0">
        <w:t>3</w:t>
      </w:r>
      <w:r w:rsidRPr="00973D37">
        <w:t xml:space="preserve"> year</w:t>
      </w:r>
      <w:r w:rsidRPr="00973D37">
        <w:noBreakHyphen/>
        <w:t xml:space="preserve">end </w:t>
      </w:r>
      <w:proofErr w:type="spellStart"/>
      <w:r w:rsidRPr="00973D37">
        <w:t>BioMAT</w:t>
      </w:r>
      <w:proofErr w:type="spellEnd"/>
      <w:r w:rsidRPr="00973D37">
        <w:t xml:space="preserve"> Non</w:t>
      </w:r>
      <w:r w:rsidRPr="00973D37">
        <w:noBreakHyphen/>
      </w:r>
      <w:proofErr w:type="spellStart"/>
      <w:r w:rsidRPr="00973D37">
        <w:t>Bypassable</w:t>
      </w:r>
      <w:proofErr w:type="spellEnd"/>
      <w:r w:rsidRPr="00973D37">
        <w:t xml:space="preserve"> Charge</w:t>
      </w:r>
      <w:r w:rsidR="006207FE">
        <w:t xml:space="preserve"> (BMNBC)</w:t>
      </w:r>
      <w:r w:rsidRPr="00973D37">
        <w:t xml:space="preserve"> BA. </w:t>
      </w:r>
      <w:r w:rsidRPr="00973D37" w:rsidR="006746CC">
        <w:t xml:space="preserve"> </w:t>
      </w:r>
    </w:p>
    <w:p w:rsidR="00056BE0" w:rsidP="00CE24DA" w:rsidRDefault="00056BE0" w14:paraId="4ABD0DF2" w14:textId="43BAB633">
      <w:pPr>
        <w:pStyle w:val="Standard"/>
      </w:pPr>
      <w:r w:rsidRPr="00973D37">
        <w:t xml:space="preserve">This </w:t>
      </w:r>
      <w:r w:rsidR="00A14797">
        <w:t>Decision</w:t>
      </w:r>
      <w:r w:rsidRPr="00973D37">
        <w:t xml:space="preserve"> approves SCE’s 2024 forecast</w:t>
      </w:r>
      <w:r w:rsidRPr="00973D37" w:rsidR="00237D71">
        <w:t>ed</w:t>
      </w:r>
      <w:r w:rsidRPr="00973D37">
        <w:t xml:space="preserve"> semi</w:t>
      </w:r>
      <w:r w:rsidRPr="00973D37">
        <w:noBreakHyphen/>
        <w:t>annual California Climate Credit for residential and small business customers of $</w:t>
      </w:r>
      <w:r w:rsidRPr="00347FB6" w:rsidR="00C12F49">
        <w:t>86.00</w:t>
      </w:r>
      <w:r w:rsidRPr="00973D37">
        <w:t xml:space="preserve"> per eligible account </w:t>
      </w:r>
      <w:r w:rsidR="00A14797">
        <w:t>and authorizes SCE to return up to $58.834 million to emissions-intensive trade-exposed (EITE) customers</w:t>
      </w:r>
      <w:r w:rsidRPr="00973D37">
        <w:t>.</w:t>
      </w:r>
      <w:r w:rsidRPr="00454D1A">
        <w:t xml:space="preserve"> </w:t>
      </w:r>
    </w:p>
    <w:p w:rsidR="00056BE0" w:rsidP="006626FD" w:rsidRDefault="00056BE0" w14:paraId="7DE34D3E" w14:textId="2353B4B1">
      <w:pPr>
        <w:pStyle w:val="Standard"/>
      </w:pPr>
      <w:r w:rsidRPr="00454D1A">
        <w:t>SCE’s procurement</w:t>
      </w:r>
      <w:r>
        <w:noBreakHyphen/>
      </w:r>
      <w:r w:rsidRPr="00454D1A">
        <w:t>related revenue requirement will be updated to reflect 202</w:t>
      </w:r>
      <w:r>
        <w:t>3</w:t>
      </w:r>
      <w:r w:rsidRPr="00454D1A">
        <w:t xml:space="preserve"> year</w:t>
      </w:r>
      <w:r>
        <w:noBreakHyphen/>
      </w:r>
      <w:r w:rsidRPr="00454D1A">
        <w:t xml:space="preserve">end balances with recorded actuals through </w:t>
      </w:r>
      <w:r>
        <w:t xml:space="preserve">November 2023 and forecast for </w:t>
      </w:r>
      <w:r w:rsidRPr="00454D1A">
        <w:t>December</w:t>
      </w:r>
      <w:r>
        <w:t> </w:t>
      </w:r>
      <w:r w:rsidRPr="00454D1A">
        <w:t>202</w:t>
      </w:r>
      <w:r>
        <w:t>3</w:t>
      </w:r>
      <w:r w:rsidRPr="00454D1A">
        <w:t>. SCE will implement the rate changes on January</w:t>
      </w:r>
      <w:r>
        <w:t> </w:t>
      </w:r>
      <w:r w:rsidRPr="00454D1A">
        <w:t>1,</w:t>
      </w:r>
      <w:r>
        <w:t> </w:t>
      </w:r>
      <w:r w:rsidRPr="00454D1A">
        <w:t>202</w:t>
      </w:r>
      <w:r w:rsidR="00C37F82">
        <w:t>4</w:t>
      </w:r>
      <w:r w:rsidR="004226E8">
        <w:t>,</w:t>
      </w:r>
      <w:r w:rsidR="00625C5E">
        <w:t xml:space="preserve"> in</w:t>
      </w:r>
      <w:r w:rsidRPr="00454D1A">
        <w:t xml:space="preserve"> the Tier</w:t>
      </w:r>
      <w:r>
        <w:t> </w:t>
      </w:r>
      <w:r w:rsidRPr="00454D1A">
        <w:t xml:space="preserve">1 Advice Letter filed in conformance with this </w:t>
      </w:r>
      <w:r w:rsidR="00A14797">
        <w:t>Decision</w:t>
      </w:r>
      <w:r w:rsidRPr="00454D1A">
        <w:t xml:space="preserve">. </w:t>
      </w:r>
    </w:p>
    <w:p w:rsidR="00DC01EF" w:rsidP="00DC01EF" w:rsidRDefault="00DC01EF" w14:paraId="41524913" w14:textId="2D47074E">
      <w:pPr>
        <w:pStyle w:val="Standard"/>
      </w:pPr>
      <w:r>
        <w:lastRenderedPageBreak/>
        <w:t xml:space="preserve">A </w:t>
      </w:r>
      <w:r w:rsidRPr="00BC00A0">
        <w:t>summary</w:t>
      </w:r>
      <w:r>
        <w:t xml:space="preserve"> of SCE’s 2024 ERRA Forecast Revenue Requirement Changes is provided below: </w:t>
      </w:r>
    </w:p>
    <w:p w:rsidR="00DC01EF" w:rsidP="00DC01EF" w:rsidRDefault="00DC01EF" w14:paraId="0CCA222A" w14:textId="1EFDE084">
      <w:pPr>
        <w:pStyle w:val="TableTitleBodyH095"/>
      </w:pPr>
      <w:r>
        <w:t>Table – SCE 2024 ERRA Forecast Revenue Requirement Changes ($000)</w:t>
      </w:r>
      <w:r>
        <w:rPr>
          <w:rStyle w:val="FootnoteReference"/>
        </w:rPr>
        <w:footnoteReference w:id="2"/>
      </w:r>
    </w:p>
    <w:tbl>
      <w:tblPr>
        <w:tblStyle w:val="TableGrid"/>
        <w:tblW w:w="10800" w:type="dxa"/>
        <w:jc w:val="center"/>
        <w:tblLook w:val="04A0" w:firstRow="1" w:lastRow="0" w:firstColumn="1" w:lastColumn="0" w:noHBand="0" w:noVBand="1"/>
      </w:tblPr>
      <w:tblGrid>
        <w:gridCol w:w="3458"/>
        <w:gridCol w:w="1995"/>
        <w:gridCol w:w="1996"/>
        <w:gridCol w:w="3351"/>
      </w:tblGrid>
      <w:tr w:rsidR="00DC01EF" w:rsidTr="00162DA0" w14:paraId="6399D2D9" w14:textId="77777777">
        <w:trPr>
          <w:jc w:val="center"/>
        </w:trPr>
        <w:tc>
          <w:tcPr>
            <w:tcW w:w="3458" w:type="dxa"/>
          </w:tcPr>
          <w:p w:rsidRPr="00C51C39" w:rsidR="00DC01EF" w:rsidP="00C51C39" w:rsidRDefault="00DC01EF" w14:paraId="418D6AF1" w14:textId="77777777">
            <w:pPr>
              <w:pStyle w:val="TableTitleBodyH095"/>
              <w:ind w:left="0" w:firstLine="0"/>
              <w:jc w:val="left"/>
              <w:rPr>
                <w:sz w:val="24"/>
                <w:szCs w:val="20"/>
              </w:rPr>
            </w:pPr>
            <w:bookmarkStart w:name="_Hlk149019053" w:id="3"/>
          </w:p>
        </w:tc>
        <w:tc>
          <w:tcPr>
            <w:tcW w:w="1995" w:type="dxa"/>
          </w:tcPr>
          <w:p w:rsidRPr="00C51C39" w:rsidR="00DC01EF" w:rsidP="00C51C39" w:rsidRDefault="00DC01EF" w14:paraId="694C768A" w14:textId="77777777">
            <w:pPr>
              <w:pStyle w:val="TableTitleBodyH095"/>
              <w:ind w:left="0" w:firstLine="0"/>
              <w:rPr>
                <w:sz w:val="24"/>
                <w:szCs w:val="20"/>
              </w:rPr>
            </w:pPr>
            <w:r w:rsidRPr="00C51C39">
              <w:rPr>
                <w:sz w:val="24"/>
                <w:szCs w:val="20"/>
              </w:rPr>
              <w:t>October Update</w:t>
            </w:r>
          </w:p>
        </w:tc>
        <w:tc>
          <w:tcPr>
            <w:tcW w:w="1996" w:type="dxa"/>
          </w:tcPr>
          <w:p w:rsidRPr="00C51C39" w:rsidR="00DC01EF" w:rsidP="00C51C39" w:rsidRDefault="00DC01EF" w14:paraId="356C87EA" w14:textId="77777777">
            <w:pPr>
              <w:pStyle w:val="TableTitleBodyH095"/>
              <w:ind w:left="0" w:firstLine="0"/>
              <w:rPr>
                <w:sz w:val="24"/>
                <w:szCs w:val="20"/>
              </w:rPr>
            </w:pPr>
            <w:r w:rsidRPr="00C51C39">
              <w:rPr>
                <w:sz w:val="24"/>
                <w:szCs w:val="20"/>
              </w:rPr>
              <w:t>In Rates</w:t>
            </w:r>
            <w:r w:rsidRPr="00C51C39">
              <w:rPr>
                <w:rStyle w:val="FootnoteReference"/>
                <w:sz w:val="24"/>
                <w:szCs w:val="20"/>
              </w:rPr>
              <w:footnoteReference w:id="3"/>
            </w:r>
          </w:p>
        </w:tc>
        <w:tc>
          <w:tcPr>
            <w:tcW w:w="3351" w:type="dxa"/>
          </w:tcPr>
          <w:p w:rsidRPr="00C51C39" w:rsidR="00DC01EF" w:rsidP="00C51C39" w:rsidRDefault="00DC01EF" w14:paraId="1FA6F88C" w14:textId="77777777">
            <w:pPr>
              <w:pStyle w:val="TableTitleBodyH095"/>
              <w:ind w:left="0" w:firstLine="0"/>
              <w:rPr>
                <w:sz w:val="24"/>
                <w:szCs w:val="20"/>
              </w:rPr>
            </w:pPr>
            <w:r w:rsidRPr="00C51C39">
              <w:rPr>
                <w:sz w:val="24"/>
                <w:szCs w:val="20"/>
              </w:rPr>
              <w:t>Revenue Requirement Change</w:t>
            </w:r>
          </w:p>
        </w:tc>
      </w:tr>
      <w:tr w:rsidR="00DC01EF" w:rsidTr="00162DA0" w14:paraId="5F895FFF" w14:textId="77777777">
        <w:trPr>
          <w:jc w:val="center"/>
        </w:trPr>
        <w:tc>
          <w:tcPr>
            <w:tcW w:w="3458" w:type="dxa"/>
          </w:tcPr>
          <w:p w:rsidRPr="00C51C39" w:rsidR="00DC01EF" w:rsidP="00C51C39" w:rsidRDefault="00DC01EF" w14:paraId="1F3AAD52" w14:textId="77777777">
            <w:pPr>
              <w:pStyle w:val="TableTitleBodyH095"/>
              <w:ind w:left="0" w:firstLine="0"/>
              <w:jc w:val="left"/>
              <w:rPr>
                <w:sz w:val="24"/>
                <w:szCs w:val="20"/>
              </w:rPr>
            </w:pPr>
            <w:r w:rsidRPr="00C51C39">
              <w:rPr>
                <w:sz w:val="24"/>
                <w:szCs w:val="20"/>
              </w:rPr>
              <w:t>2024 Forecast Fuel and Purchased Power</w:t>
            </w:r>
            <w:r w:rsidRPr="00C51C39">
              <w:rPr>
                <w:rStyle w:val="FootnoteReference"/>
                <w:sz w:val="24"/>
                <w:szCs w:val="20"/>
              </w:rPr>
              <w:footnoteReference w:id="4"/>
            </w:r>
          </w:p>
        </w:tc>
        <w:tc>
          <w:tcPr>
            <w:tcW w:w="1995" w:type="dxa"/>
          </w:tcPr>
          <w:p w:rsidRPr="00C51C39" w:rsidR="00DC01EF" w:rsidP="00C51C39" w:rsidRDefault="00DC01EF" w14:paraId="2917D824" w14:textId="084A4CC8">
            <w:pPr>
              <w:pStyle w:val="TableTitleBodyH095"/>
              <w:ind w:left="0" w:firstLine="0"/>
              <w:rPr>
                <w:sz w:val="24"/>
                <w:szCs w:val="20"/>
              </w:rPr>
            </w:pPr>
            <w:r>
              <w:rPr>
                <w:sz w:val="24"/>
                <w:szCs w:val="20"/>
              </w:rPr>
              <w:t>5,1</w:t>
            </w:r>
            <w:r w:rsidR="005D2907">
              <w:rPr>
                <w:sz w:val="24"/>
                <w:szCs w:val="20"/>
              </w:rPr>
              <w:t>118,545</w:t>
            </w:r>
          </w:p>
        </w:tc>
        <w:tc>
          <w:tcPr>
            <w:tcW w:w="1996" w:type="dxa"/>
          </w:tcPr>
          <w:p w:rsidRPr="00C51C39" w:rsidR="00DC01EF" w:rsidP="00C51C39" w:rsidRDefault="00DC01EF" w14:paraId="12CB9D25" w14:textId="77777777">
            <w:pPr>
              <w:pStyle w:val="TableTitleBodyH095"/>
              <w:ind w:left="0" w:firstLine="0"/>
              <w:rPr>
                <w:sz w:val="24"/>
                <w:szCs w:val="20"/>
              </w:rPr>
            </w:pPr>
            <w:r w:rsidRPr="00C51C39">
              <w:rPr>
                <w:sz w:val="24"/>
                <w:szCs w:val="20"/>
              </w:rPr>
              <w:t>5,291,795</w:t>
            </w:r>
          </w:p>
        </w:tc>
        <w:tc>
          <w:tcPr>
            <w:tcW w:w="3351" w:type="dxa"/>
          </w:tcPr>
          <w:p w:rsidRPr="00C51C39" w:rsidR="00DC01EF" w:rsidP="00C51C39" w:rsidRDefault="00DC01EF" w14:paraId="28585388" w14:textId="7206B49F">
            <w:pPr>
              <w:pStyle w:val="TableTitleBodyH095"/>
              <w:ind w:left="0" w:firstLine="0"/>
              <w:rPr>
                <w:sz w:val="24"/>
                <w:szCs w:val="20"/>
              </w:rPr>
            </w:pPr>
            <w:r>
              <w:rPr>
                <w:sz w:val="24"/>
                <w:szCs w:val="20"/>
              </w:rPr>
              <w:t>(</w:t>
            </w:r>
            <w:r w:rsidR="005D2907">
              <w:rPr>
                <w:sz w:val="24"/>
                <w:szCs w:val="20"/>
              </w:rPr>
              <w:t>173</w:t>
            </w:r>
            <w:r w:rsidR="000B39F3">
              <w:rPr>
                <w:sz w:val="24"/>
                <w:szCs w:val="20"/>
              </w:rPr>
              <w:t>,250</w:t>
            </w:r>
            <w:r>
              <w:rPr>
                <w:sz w:val="24"/>
                <w:szCs w:val="20"/>
              </w:rPr>
              <w:t>)</w:t>
            </w:r>
          </w:p>
        </w:tc>
      </w:tr>
      <w:tr w:rsidR="00DC01EF" w:rsidTr="00162DA0" w14:paraId="7D885622" w14:textId="77777777">
        <w:trPr>
          <w:jc w:val="center"/>
        </w:trPr>
        <w:tc>
          <w:tcPr>
            <w:tcW w:w="3458" w:type="dxa"/>
          </w:tcPr>
          <w:p w:rsidRPr="00C51C39" w:rsidR="00DC01EF" w:rsidP="00C51C39" w:rsidRDefault="00DC01EF" w14:paraId="3434A070" w14:textId="5E9686BB">
            <w:pPr>
              <w:pStyle w:val="TableTitleBodyH095"/>
              <w:ind w:left="0" w:firstLine="0"/>
              <w:jc w:val="left"/>
              <w:rPr>
                <w:sz w:val="24"/>
                <w:szCs w:val="20"/>
              </w:rPr>
            </w:pPr>
            <w:r>
              <w:rPr>
                <w:sz w:val="24"/>
                <w:szCs w:val="20"/>
              </w:rPr>
              <w:t>2023 Year End</w:t>
            </w:r>
            <w:r w:rsidR="00C37F82">
              <w:rPr>
                <w:sz w:val="24"/>
                <w:szCs w:val="20"/>
              </w:rPr>
              <w:t xml:space="preserve"> (YE)</w:t>
            </w:r>
            <w:r>
              <w:rPr>
                <w:sz w:val="24"/>
                <w:szCs w:val="20"/>
              </w:rPr>
              <w:t xml:space="preserve"> ERRA BA</w:t>
            </w:r>
          </w:p>
        </w:tc>
        <w:tc>
          <w:tcPr>
            <w:tcW w:w="1995" w:type="dxa"/>
          </w:tcPr>
          <w:p w:rsidRPr="00C51C39" w:rsidR="00DC01EF" w:rsidP="00C51C39" w:rsidRDefault="00DC01EF" w14:paraId="61FBCA9E" w14:textId="77777777">
            <w:pPr>
              <w:pStyle w:val="TableTitleBodyH095"/>
              <w:ind w:left="0" w:firstLine="0"/>
              <w:rPr>
                <w:sz w:val="24"/>
                <w:szCs w:val="20"/>
              </w:rPr>
            </w:pPr>
            <w:r>
              <w:rPr>
                <w:sz w:val="24"/>
                <w:szCs w:val="20"/>
              </w:rPr>
              <w:t>207,835</w:t>
            </w:r>
          </w:p>
        </w:tc>
        <w:tc>
          <w:tcPr>
            <w:tcW w:w="1996" w:type="dxa"/>
          </w:tcPr>
          <w:p w:rsidRPr="00C51C39" w:rsidR="00DC01EF" w:rsidP="00C51C39" w:rsidRDefault="00DC01EF" w14:paraId="1398F8C0" w14:textId="77777777">
            <w:pPr>
              <w:pStyle w:val="TableTitleBodyH095"/>
              <w:ind w:left="0" w:firstLine="0"/>
              <w:rPr>
                <w:sz w:val="24"/>
                <w:szCs w:val="20"/>
              </w:rPr>
            </w:pPr>
            <w:r w:rsidRPr="00C51C39">
              <w:rPr>
                <w:sz w:val="24"/>
                <w:szCs w:val="20"/>
              </w:rPr>
              <w:t>1,007,926</w:t>
            </w:r>
          </w:p>
        </w:tc>
        <w:tc>
          <w:tcPr>
            <w:tcW w:w="3351" w:type="dxa"/>
          </w:tcPr>
          <w:p w:rsidRPr="00C51C39" w:rsidR="00DC01EF" w:rsidP="00C51C39" w:rsidRDefault="00DC01EF" w14:paraId="6E8BA00F" w14:textId="77777777">
            <w:pPr>
              <w:pStyle w:val="TableTitleBodyH095"/>
              <w:ind w:left="0" w:firstLine="0"/>
              <w:rPr>
                <w:sz w:val="24"/>
                <w:szCs w:val="20"/>
              </w:rPr>
            </w:pPr>
            <w:r>
              <w:rPr>
                <w:sz w:val="24"/>
                <w:szCs w:val="20"/>
              </w:rPr>
              <w:t>(800,091)</w:t>
            </w:r>
          </w:p>
        </w:tc>
      </w:tr>
      <w:tr w:rsidR="00DC01EF" w:rsidTr="00162DA0" w14:paraId="2C34BDF9" w14:textId="77777777">
        <w:trPr>
          <w:jc w:val="center"/>
        </w:trPr>
        <w:tc>
          <w:tcPr>
            <w:tcW w:w="3458" w:type="dxa"/>
          </w:tcPr>
          <w:p w:rsidRPr="00C51C39" w:rsidR="00DC01EF" w:rsidP="00C51C39" w:rsidRDefault="00DC01EF" w14:paraId="725D4BC3" w14:textId="77777777">
            <w:pPr>
              <w:pStyle w:val="TableTitleBodyH095"/>
              <w:ind w:left="0" w:firstLine="0"/>
              <w:jc w:val="left"/>
              <w:rPr>
                <w:sz w:val="24"/>
                <w:szCs w:val="20"/>
              </w:rPr>
            </w:pPr>
            <w:r>
              <w:rPr>
                <w:sz w:val="24"/>
                <w:szCs w:val="20"/>
              </w:rPr>
              <w:t>2023 YE ESMA – Net Amount</w:t>
            </w:r>
            <w:r>
              <w:rPr>
                <w:rStyle w:val="FootnoteReference"/>
                <w:sz w:val="24"/>
                <w:szCs w:val="20"/>
              </w:rPr>
              <w:footnoteReference w:id="5"/>
            </w:r>
          </w:p>
        </w:tc>
        <w:tc>
          <w:tcPr>
            <w:tcW w:w="1995" w:type="dxa"/>
          </w:tcPr>
          <w:p w:rsidRPr="00C51C39" w:rsidR="00DC01EF" w:rsidP="00C51C39" w:rsidRDefault="00DC01EF" w14:paraId="003069F6" w14:textId="77777777">
            <w:pPr>
              <w:pStyle w:val="TableTitleBodyH095"/>
              <w:ind w:left="0" w:firstLine="0"/>
              <w:rPr>
                <w:sz w:val="24"/>
                <w:szCs w:val="20"/>
              </w:rPr>
            </w:pPr>
            <w:r>
              <w:rPr>
                <w:sz w:val="24"/>
                <w:szCs w:val="20"/>
              </w:rPr>
              <w:t>(380)</w:t>
            </w:r>
          </w:p>
        </w:tc>
        <w:tc>
          <w:tcPr>
            <w:tcW w:w="1996" w:type="dxa"/>
          </w:tcPr>
          <w:p w:rsidRPr="00C51C39" w:rsidR="00DC01EF" w:rsidP="00C51C39" w:rsidRDefault="00DC01EF" w14:paraId="5C5DA80E" w14:textId="77777777">
            <w:pPr>
              <w:pStyle w:val="TableTitleBodyH095"/>
              <w:ind w:left="0" w:firstLine="0"/>
              <w:rPr>
                <w:sz w:val="24"/>
                <w:szCs w:val="20"/>
              </w:rPr>
            </w:pPr>
            <w:r w:rsidRPr="00C51C39">
              <w:rPr>
                <w:sz w:val="24"/>
                <w:szCs w:val="20"/>
              </w:rPr>
              <w:t>(1,506)</w:t>
            </w:r>
          </w:p>
        </w:tc>
        <w:tc>
          <w:tcPr>
            <w:tcW w:w="3351" w:type="dxa"/>
          </w:tcPr>
          <w:p w:rsidRPr="00C51C39" w:rsidR="00DC01EF" w:rsidP="00C51C39" w:rsidRDefault="00DC01EF" w14:paraId="100508F1" w14:textId="77777777">
            <w:pPr>
              <w:pStyle w:val="TableTitleBodyH095"/>
              <w:ind w:left="0" w:firstLine="0"/>
              <w:rPr>
                <w:sz w:val="24"/>
                <w:szCs w:val="20"/>
              </w:rPr>
            </w:pPr>
            <w:r>
              <w:rPr>
                <w:sz w:val="24"/>
                <w:szCs w:val="20"/>
              </w:rPr>
              <w:t>1,126</w:t>
            </w:r>
          </w:p>
        </w:tc>
      </w:tr>
      <w:tr w:rsidR="00DC01EF" w:rsidTr="00162DA0" w14:paraId="24720E34" w14:textId="77777777">
        <w:trPr>
          <w:jc w:val="center"/>
        </w:trPr>
        <w:tc>
          <w:tcPr>
            <w:tcW w:w="3458" w:type="dxa"/>
          </w:tcPr>
          <w:p w:rsidRPr="00C51C39" w:rsidR="00DC01EF" w:rsidP="00C51C39" w:rsidRDefault="00DC01EF" w14:paraId="7E68CAAD" w14:textId="77777777">
            <w:pPr>
              <w:pStyle w:val="TableTitleBodyH095"/>
              <w:ind w:left="0" w:firstLine="0"/>
              <w:jc w:val="left"/>
              <w:rPr>
                <w:sz w:val="24"/>
                <w:szCs w:val="20"/>
              </w:rPr>
            </w:pPr>
            <w:r>
              <w:rPr>
                <w:sz w:val="24"/>
                <w:szCs w:val="20"/>
              </w:rPr>
              <w:t>2023 YE PABA</w:t>
            </w:r>
          </w:p>
        </w:tc>
        <w:tc>
          <w:tcPr>
            <w:tcW w:w="1995" w:type="dxa"/>
          </w:tcPr>
          <w:p w:rsidRPr="00C51C39" w:rsidR="00DC01EF" w:rsidP="00C51C39" w:rsidRDefault="00DC01EF" w14:paraId="15344B28" w14:textId="77777777">
            <w:pPr>
              <w:pStyle w:val="TableTitleBodyH095"/>
              <w:ind w:left="0" w:firstLine="0"/>
              <w:rPr>
                <w:sz w:val="24"/>
                <w:szCs w:val="20"/>
              </w:rPr>
            </w:pPr>
            <w:r>
              <w:rPr>
                <w:sz w:val="24"/>
                <w:szCs w:val="20"/>
              </w:rPr>
              <w:t>601,728</w:t>
            </w:r>
          </w:p>
        </w:tc>
        <w:tc>
          <w:tcPr>
            <w:tcW w:w="1996" w:type="dxa"/>
          </w:tcPr>
          <w:p w:rsidRPr="00C51C39" w:rsidR="00DC01EF" w:rsidP="00C51C39" w:rsidRDefault="00DC01EF" w14:paraId="1233FE33" w14:textId="77777777">
            <w:pPr>
              <w:pStyle w:val="TableTitleBodyH095"/>
              <w:ind w:left="0" w:firstLine="0"/>
              <w:rPr>
                <w:sz w:val="24"/>
                <w:szCs w:val="20"/>
              </w:rPr>
            </w:pPr>
            <w:r w:rsidRPr="00C51C39">
              <w:rPr>
                <w:sz w:val="24"/>
                <w:szCs w:val="20"/>
              </w:rPr>
              <w:t>78,064</w:t>
            </w:r>
          </w:p>
        </w:tc>
        <w:tc>
          <w:tcPr>
            <w:tcW w:w="3351" w:type="dxa"/>
          </w:tcPr>
          <w:p w:rsidRPr="00C51C39" w:rsidR="00DC01EF" w:rsidP="00C51C39" w:rsidRDefault="00DC01EF" w14:paraId="6FAB94A2" w14:textId="77777777">
            <w:pPr>
              <w:pStyle w:val="TableTitleBodyH095"/>
              <w:ind w:left="0" w:firstLine="0"/>
              <w:rPr>
                <w:sz w:val="24"/>
                <w:szCs w:val="20"/>
              </w:rPr>
            </w:pPr>
            <w:r>
              <w:rPr>
                <w:sz w:val="24"/>
                <w:szCs w:val="20"/>
              </w:rPr>
              <w:t>523,664</w:t>
            </w:r>
          </w:p>
        </w:tc>
      </w:tr>
      <w:tr w:rsidR="00DC01EF" w:rsidTr="00162DA0" w14:paraId="53FA4A67" w14:textId="77777777">
        <w:trPr>
          <w:jc w:val="center"/>
        </w:trPr>
        <w:tc>
          <w:tcPr>
            <w:tcW w:w="3458" w:type="dxa"/>
          </w:tcPr>
          <w:p w:rsidRPr="00C51C39" w:rsidR="00DC01EF" w:rsidP="00C51C39" w:rsidRDefault="00DC01EF" w14:paraId="4697A467" w14:textId="77777777">
            <w:pPr>
              <w:pStyle w:val="TableTitleBodyH095"/>
              <w:ind w:left="0" w:firstLine="0"/>
              <w:jc w:val="left"/>
              <w:rPr>
                <w:sz w:val="24"/>
                <w:szCs w:val="20"/>
              </w:rPr>
            </w:pPr>
            <w:r>
              <w:rPr>
                <w:sz w:val="24"/>
                <w:szCs w:val="20"/>
              </w:rPr>
              <w:t>2023 YE NSGBA</w:t>
            </w:r>
          </w:p>
        </w:tc>
        <w:tc>
          <w:tcPr>
            <w:tcW w:w="1995" w:type="dxa"/>
          </w:tcPr>
          <w:p w:rsidRPr="00C51C39" w:rsidR="00DC01EF" w:rsidP="00C51C39" w:rsidRDefault="00DC01EF" w14:paraId="428AD025" w14:textId="77777777">
            <w:pPr>
              <w:pStyle w:val="TableTitleBodyH095"/>
              <w:ind w:left="0" w:firstLine="0"/>
              <w:rPr>
                <w:sz w:val="24"/>
                <w:szCs w:val="20"/>
              </w:rPr>
            </w:pPr>
            <w:r>
              <w:rPr>
                <w:sz w:val="24"/>
                <w:szCs w:val="20"/>
              </w:rPr>
              <w:t>256,095</w:t>
            </w:r>
          </w:p>
        </w:tc>
        <w:tc>
          <w:tcPr>
            <w:tcW w:w="1996" w:type="dxa"/>
          </w:tcPr>
          <w:p w:rsidRPr="00C51C39" w:rsidR="00DC01EF" w:rsidP="00C51C39" w:rsidRDefault="00DC01EF" w14:paraId="625FF547" w14:textId="77777777">
            <w:pPr>
              <w:pStyle w:val="TableTitleBodyH095"/>
              <w:ind w:left="0" w:firstLine="0"/>
              <w:rPr>
                <w:sz w:val="24"/>
                <w:szCs w:val="20"/>
              </w:rPr>
            </w:pPr>
            <w:r w:rsidRPr="00C51C39">
              <w:rPr>
                <w:sz w:val="24"/>
                <w:szCs w:val="20"/>
              </w:rPr>
              <w:t>4,417</w:t>
            </w:r>
          </w:p>
        </w:tc>
        <w:tc>
          <w:tcPr>
            <w:tcW w:w="3351" w:type="dxa"/>
          </w:tcPr>
          <w:p w:rsidRPr="00C51C39" w:rsidR="00DC01EF" w:rsidP="00C51C39" w:rsidRDefault="00DC01EF" w14:paraId="16519CD5" w14:textId="77777777">
            <w:pPr>
              <w:pStyle w:val="TableTitleBodyH095"/>
              <w:ind w:left="0" w:firstLine="0"/>
              <w:rPr>
                <w:sz w:val="24"/>
                <w:szCs w:val="20"/>
              </w:rPr>
            </w:pPr>
            <w:r>
              <w:rPr>
                <w:sz w:val="24"/>
                <w:szCs w:val="20"/>
              </w:rPr>
              <w:t>251,678</w:t>
            </w:r>
          </w:p>
        </w:tc>
      </w:tr>
      <w:tr w:rsidR="00DC01EF" w:rsidTr="00162DA0" w14:paraId="34808450" w14:textId="77777777">
        <w:trPr>
          <w:jc w:val="center"/>
        </w:trPr>
        <w:tc>
          <w:tcPr>
            <w:tcW w:w="3458" w:type="dxa"/>
          </w:tcPr>
          <w:p w:rsidRPr="00C51C39" w:rsidR="00DC01EF" w:rsidP="00C51C39" w:rsidRDefault="00DC01EF" w14:paraId="44054602" w14:textId="77777777">
            <w:pPr>
              <w:pStyle w:val="TableTitleBodyH095"/>
              <w:ind w:left="0" w:firstLine="0"/>
              <w:jc w:val="left"/>
              <w:rPr>
                <w:sz w:val="24"/>
                <w:szCs w:val="20"/>
              </w:rPr>
            </w:pPr>
            <w:r>
              <w:rPr>
                <w:sz w:val="24"/>
                <w:szCs w:val="20"/>
              </w:rPr>
              <w:t>2023 YE MCAMBA</w:t>
            </w:r>
            <w:r>
              <w:rPr>
                <w:rStyle w:val="FootnoteReference"/>
                <w:sz w:val="24"/>
                <w:szCs w:val="20"/>
              </w:rPr>
              <w:footnoteReference w:id="6"/>
            </w:r>
          </w:p>
        </w:tc>
        <w:tc>
          <w:tcPr>
            <w:tcW w:w="1995" w:type="dxa"/>
          </w:tcPr>
          <w:p w:rsidRPr="00C51C39" w:rsidR="00DC01EF" w:rsidP="00C51C39" w:rsidRDefault="00DC01EF" w14:paraId="195B867B" w14:textId="77777777">
            <w:pPr>
              <w:pStyle w:val="TableTitleBodyH095"/>
              <w:ind w:left="0" w:firstLine="0"/>
              <w:rPr>
                <w:sz w:val="24"/>
                <w:szCs w:val="20"/>
              </w:rPr>
            </w:pPr>
            <w:r>
              <w:rPr>
                <w:sz w:val="24"/>
                <w:szCs w:val="20"/>
              </w:rPr>
              <w:t>990</w:t>
            </w:r>
          </w:p>
        </w:tc>
        <w:tc>
          <w:tcPr>
            <w:tcW w:w="1996" w:type="dxa"/>
          </w:tcPr>
          <w:p w:rsidRPr="00C51C39" w:rsidR="00DC01EF" w:rsidP="00C51C39" w:rsidRDefault="00DC01EF" w14:paraId="6742E8A9" w14:textId="77777777">
            <w:pPr>
              <w:pStyle w:val="TableTitleBodyH095"/>
              <w:ind w:left="720" w:firstLine="0"/>
              <w:jc w:val="left"/>
              <w:rPr>
                <w:sz w:val="24"/>
                <w:szCs w:val="20"/>
              </w:rPr>
            </w:pPr>
            <w:r w:rsidRPr="00C51C39">
              <w:rPr>
                <w:sz w:val="24"/>
                <w:szCs w:val="20"/>
              </w:rPr>
              <w:t>-</w:t>
            </w:r>
          </w:p>
        </w:tc>
        <w:tc>
          <w:tcPr>
            <w:tcW w:w="3351" w:type="dxa"/>
          </w:tcPr>
          <w:p w:rsidRPr="00C51C39" w:rsidR="00DC01EF" w:rsidP="00C51C39" w:rsidRDefault="00DC01EF" w14:paraId="0CE47C48" w14:textId="77777777">
            <w:pPr>
              <w:pStyle w:val="TableTitleBodyH095"/>
              <w:ind w:left="0" w:firstLine="0"/>
              <w:rPr>
                <w:sz w:val="24"/>
                <w:szCs w:val="20"/>
              </w:rPr>
            </w:pPr>
            <w:r>
              <w:rPr>
                <w:sz w:val="24"/>
                <w:szCs w:val="20"/>
              </w:rPr>
              <w:t>990</w:t>
            </w:r>
          </w:p>
        </w:tc>
      </w:tr>
      <w:tr w:rsidR="00DC01EF" w:rsidTr="00162DA0" w14:paraId="772DC99F" w14:textId="77777777">
        <w:trPr>
          <w:jc w:val="center"/>
        </w:trPr>
        <w:tc>
          <w:tcPr>
            <w:tcW w:w="3458" w:type="dxa"/>
          </w:tcPr>
          <w:p w:rsidRPr="00C51C39" w:rsidR="00DC01EF" w:rsidP="00C51C39" w:rsidRDefault="00DC01EF" w14:paraId="4160C6B5" w14:textId="77777777">
            <w:pPr>
              <w:pStyle w:val="TableTitleBodyH095"/>
              <w:ind w:left="0" w:firstLine="0"/>
              <w:jc w:val="left"/>
              <w:rPr>
                <w:sz w:val="24"/>
                <w:szCs w:val="20"/>
              </w:rPr>
            </w:pPr>
            <w:r>
              <w:rPr>
                <w:sz w:val="24"/>
                <w:szCs w:val="20"/>
              </w:rPr>
              <w:t>2023 YE TMNBCBA</w:t>
            </w:r>
          </w:p>
        </w:tc>
        <w:tc>
          <w:tcPr>
            <w:tcW w:w="1995" w:type="dxa"/>
          </w:tcPr>
          <w:p w:rsidRPr="00C51C39" w:rsidR="00DC01EF" w:rsidP="00C51C39" w:rsidRDefault="00DC01EF" w14:paraId="38B3D8D5" w14:textId="77777777">
            <w:pPr>
              <w:pStyle w:val="TableTitleBodyH095"/>
              <w:ind w:left="0" w:firstLine="0"/>
              <w:rPr>
                <w:sz w:val="24"/>
                <w:szCs w:val="20"/>
              </w:rPr>
            </w:pPr>
            <w:r>
              <w:rPr>
                <w:sz w:val="24"/>
                <w:szCs w:val="20"/>
              </w:rPr>
              <w:t>10,588</w:t>
            </w:r>
          </w:p>
        </w:tc>
        <w:tc>
          <w:tcPr>
            <w:tcW w:w="1996" w:type="dxa"/>
          </w:tcPr>
          <w:p w:rsidRPr="00C51C39" w:rsidR="00DC01EF" w:rsidP="00C51C39" w:rsidRDefault="00DC01EF" w14:paraId="66923D5E" w14:textId="77777777">
            <w:pPr>
              <w:pStyle w:val="TableTitleBodyH095"/>
              <w:ind w:left="0" w:firstLine="0"/>
              <w:rPr>
                <w:sz w:val="24"/>
                <w:szCs w:val="20"/>
              </w:rPr>
            </w:pPr>
            <w:r w:rsidRPr="00C51C39">
              <w:rPr>
                <w:sz w:val="24"/>
                <w:szCs w:val="20"/>
              </w:rPr>
              <w:t>(41,675)</w:t>
            </w:r>
          </w:p>
        </w:tc>
        <w:tc>
          <w:tcPr>
            <w:tcW w:w="3351" w:type="dxa"/>
          </w:tcPr>
          <w:p w:rsidRPr="00C51C39" w:rsidR="00DC01EF" w:rsidP="00C51C39" w:rsidRDefault="00DC01EF" w14:paraId="13491EC3" w14:textId="77777777">
            <w:pPr>
              <w:pStyle w:val="TableTitleBodyH095"/>
              <w:ind w:left="0" w:firstLine="0"/>
              <w:rPr>
                <w:sz w:val="24"/>
                <w:szCs w:val="20"/>
              </w:rPr>
            </w:pPr>
            <w:r>
              <w:rPr>
                <w:sz w:val="24"/>
                <w:szCs w:val="20"/>
              </w:rPr>
              <w:t>52,263</w:t>
            </w:r>
          </w:p>
        </w:tc>
      </w:tr>
      <w:tr w:rsidR="00DC01EF" w:rsidTr="00162DA0" w14:paraId="158B7541" w14:textId="77777777">
        <w:trPr>
          <w:jc w:val="center"/>
        </w:trPr>
        <w:tc>
          <w:tcPr>
            <w:tcW w:w="3458" w:type="dxa"/>
          </w:tcPr>
          <w:p w:rsidRPr="00C51C39" w:rsidR="00DC01EF" w:rsidP="00C51C39" w:rsidRDefault="00DC01EF" w14:paraId="329CCE1A" w14:textId="77777777">
            <w:pPr>
              <w:pStyle w:val="TableTitleBodyH095"/>
              <w:ind w:left="0" w:firstLine="0"/>
              <w:jc w:val="left"/>
              <w:rPr>
                <w:sz w:val="24"/>
                <w:szCs w:val="20"/>
              </w:rPr>
            </w:pPr>
            <w:r>
              <w:rPr>
                <w:sz w:val="24"/>
                <w:szCs w:val="20"/>
              </w:rPr>
              <w:t>2023 YE BMNBCBA</w:t>
            </w:r>
          </w:p>
        </w:tc>
        <w:tc>
          <w:tcPr>
            <w:tcW w:w="1995" w:type="dxa"/>
          </w:tcPr>
          <w:p w:rsidRPr="00C51C39" w:rsidR="00DC01EF" w:rsidP="00C51C39" w:rsidRDefault="00DC01EF" w14:paraId="449B804E" w14:textId="77777777">
            <w:pPr>
              <w:pStyle w:val="TableTitleBodyH095"/>
              <w:ind w:left="0" w:firstLine="0"/>
              <w:rPr>
                <w:sz w:val="24"/>
                <w:szCs w:val="20"/>
              </w:rPr>
            </w:pPr>
            <w:r>
              <w:rPr>
                <w:sz w:val="24"/>
                <w:szCs w:val="20"/>
              </w:rPr>
              <w:t>(6,689)</w:t>
            </w:r>
          </w:p>
        </w:tc>
        <w:tc>
          <w:tcPr>
            <w:tcW w:w="1996" w:type="dxa"/>
          </w:tcPr>
          <w:p w:rsidRPr="00C51C39" w:rsidR="00DC01EF" w:rsidP="00C51C39" w:rsidRDefault="00DC01EF" w14:paraId="1C960768" w14:textId="77777777">
            <w:pPr>
              <w:pStyle w:val="TableTitleBodyH095"/>
              <w:ind w:left="0" w:firstLine="0"/>
              <w:rPr>
                <w:sz w:val="24"/>
                <w:szCs w:val="20"/>
              </w:rPr>
            </w:pPr>
            <w:r w:rsidRPr="00C51C39">
              <w:rPr>
                <w:sz w:val="24"/>
                <w:szCs w:val="20"/>
              </w:rPr>
              <w:t>(6,387)</w:t>
            </w:r>
          </w:p>
        </w:tc>
        <w:tc>
          <w:tcPr>
            <w:tcW w:w="3351" w:type="dxa"/>
          </w:tcPr>
          <w:p w:rsidRPr="00C51C39" w:rsidR="00DC01EF" w:rsidP="00C51C39" w:rsidRDefault="00DC01EF" w14:paraId="42A6D6CE" w14:textId="77777777">
            <w:pPr>
              <w:pStyle w:val="TableTitleBodyH095"/>
              <w:ind w:left="0" w:firstLine="0"/>
              <w:rPr>
                <w:sz w:val="24"/>
                <w:szCs w:val="20"/>
              </w:rPr>
            </w:pPr>
            <w:r>
              <w:rPr>
                <w:sz w:val="24"/>
                <w:szCs w:val="20"/>
              </w:rPr>
              <w:t>(302)</w:t>
            </w:r>
          </w:p>
        </w:tc>
      </w:tr>
      <w:tr w:rsidR="00DC01EF" w:rsidTr="00162DA0" w14:paraId="71A1C7CF" w14:textId="77777777">
        <w:trPr>
          <w:jc w:val="center"/>
        </w:trPr>
        <w:tc>
          <w:tcPr>
            <w:tcW w:w="3458" w:type="dxa"/>
          </w:tcPr>
          <w:p w:rsidRPr="00C51C39" w:rsidR="00DC01EF" w:rsidP="00C51C39" w:rsidRDefault="00DC01EF" w14:paraId="221DFEFB" w14:textId="77777777">
            <w:pPr>
              <w:pStyle w:val="TableTitleBodyH095"/>
              <w:ind w:left="0" w:firstLine="0"/>
              <w:jc w:val="left"/>
              <w:rPr>
                <w:sz w:val="24"/>
                <w:szCs w:val="20"/>
              </w:rPr>
            </w:pPr>
            <w:r>
              <w:rPr>
                <w:sz w:val="24"/>
                <w:szCs w:val="20"/>
              </w:rPr>
              <w:t>GHG Allowance Revenues</w:t>
            </w:r>
          </w:p>
        </w:tc>
        <w:tc>
          <w:tcPr>
            <w:tcW w:w="1995" w:type="dxa"/>
          </w:tcPr>
          <w:p w:rsidRPr="00C51C39" w:rsidR="00DC01EF" w:rsidP="00C51C39" w:rsidRDefault="00DC01EF" w14:paraId="73CB97C8" w14:textId="77777777">
            <w:pPr>
              <w:pStyle w:val="TableTitleBodyH095"/>
              <w:ind w:left="0" w:firstLine="0"/>
              <w:rPr>
                <w:sz w:val="24"/>
                <w:szCs w:val="20"/>
              </w:rPr>
            </w:pPr>
            <w:r>
              <w:rPr>
                <w:sz w:val="24"/>
                <w:szCs w:val="20"/>
              </w:rPr>
              <w:t>(955,105)</w:t>
            </w:r>
          </w:p>
        </w:tc>
        <w:tc>
          <w:tcPr>
            <w:tcW w:w="1996" w:type="dxa"/>
          </w:tcPr>
          <w:p w:rsidRPr="00C51C39" w:rsidR="00DC01EF" w:rsidP="00C51C39" w:rsidRDefault="00DC01EF" w14:paraId="648AC120" w14:textId="77777777">
            <w:pPr>
              <w:pStyle w:val="TableTitleBodyH095"/>
              <w:ind w:left="0" w:firstLine="0"/>
              <w:rPr>
                <w:sz w:val="24"/>
                <w:szCs w:val="20"/>
              </w:rPr>
            </w:pPr>
            <w:r w:rsidRPr="00C51C39">
              <w:rPr>
                <w:sz w:val="24"/>
                <w:szCs w:val="20"/>
              </w:rPr>
              <w:t>(733,198)</w:t>
            </w:r>
          </w:p>
        </w:tc>
        <w:tc>
          <w:tcPr>
            <w:tcW w:w="3351" w:type="dxa"/>
          </w:tcPr>
          <w:p w:rsidRPr="00C51C39" w:rsidR="00DC01EF" w:rsidP="00C51C39" w:rsidRDefault="00DC01EF" w14:paraId="3A1FD100" w14:textId="77777777">
            <w:pPr>
              <w:pStyle w:val="TableTitleBodyH095"/>
              <w:ind w:left="0" w:firstLine="0"/>
              <w:rPr>
                <w:sz w:val="24"/>
                <w:szCs w:val="20"/>
              </w:rPr>
            </w:pPr>
            <w:r>
              <w:rPr>
                <w:sz w:val="24"/>
                <w:szCs w:val="20"/>
              </w:rPr>
              <w:t>(221,907)</w:t>
            </w:r>
          </w:p>
        </w:tc>
      </w:tr>
      <w:tr w:rsidR="00DC01EF" w:rsidTr="00162DA0" w14:paraId="4BC6A409" w14:textId="77777777">
        <w:trPr>
          <w:jc w:val="center"/>
        </w:trPr>
        <w:tc>
          <w:tcPr>
            <w:tcW w:w="3458" w:type="dxa"/>
          </w:tcPr>
          <w:p w:rsidRPr="00C51C39" w:rsidR="00DC01EF" w:rsidP="00C51C39" w:rsidRDefault="00DC01EF" w14:paraId="667B5618" w14:textId="77777777">
            <w:pPr>
              <w:pStyle w:val="TableTitleBodyH095"/>
              <w:ind w:left="0" w:firstLine="0"/>
              <w:jc w:val="left"/>
              <w:rPr>
                <w:b/>
                <w:bCs w:val="0"/>
                <w:sz w:val="24"/>
                <w:szCs w:val="20"/>
              </w:rPr>
            </w:pPr>
            <w:r w:rsidRPr="00C51C39">
              <w:rPr>
                <w:b/>
                <w:bCs w:val="0"/>
                <w:sz w:val="24"/>
                <w:szCs w:val="20"/>
              </w:rPr>
              <w:t>Total ERRA Revenue Requirement</w:t>
            </w:r>
          </w:p>
        </w:tc>
        <w:tc>
          <w:tcPr>
            <w:tcW w:w="1995" w:type="dxa"/>
          </w:tcPr>
          <w:p w:rsidRPr="00C51C39" w:rsidR="00DC01EF" w:rsidP="00C51C39" w:rsidRDefault="00DC01EF" w14:paraId="24A2C757" w14:textId="6CE41166">
            <w:pPr>
              <w:pStyle w:val="TableTitleBodyH095"/>
              <w:ind w:left="0" w:firstLine="0"/>
              <w:rPr>
                <w:b/>
                <w:bCs w:val="0"/>
                <w:sz w:val="24"/>
                <w:szCs w:val="20"/>
              </w:rPr>
            </w:pPr>
            <w:r>
              <w:rPr>
                <w:b/>
                <w:bCs w:val="0"/>
                <w:sz w:val="24"/>
                <w:szCs w:val="20"/>
              </w:rPr>
              <w:t>5,23</w:t>
            </w:r>
            <w:r w:rsidR="000B39F3">
              <w:rPr>
                <w:b/>
                <w:bCs w:val="0"/>
                <w:sz w:val="24"/>
                <w:szCs w:val="20"/>
              </w:rPr>
              <w:t>3</w:t>
            </w:r>
            <w:r>
              <w:rPr>
                <w:b/>
                <w:bCs w:val="0"/>
                <w:sz w:val="24"/>
                <w:szCs w:val="20"/>
              </w:rPr>
              <w:t>,</w:t>
            </w:r>
            <w:r w:rsidR="000B39F3">
              <w:rPr>
                <w:b/>
                <w:bCs w:val="0"/>
                <w:sz w:val="24"/>
                <w:szCs w:val="20"/>
              </w:rPr>
              <w:t>606</w:t>
            </w:r>
          </w:p>
        </w:tc>
        <w:tc>
          <w:tcPr>
            <w:tcW w:w="1996" w:type="dxa"/>
          </w:tcPr>
          <w:p w:rsidRPr="00C51C39" w:rsidR="00DC01EF" w:rsidP="00C51C39" w:rsidRDefault="00DC01EF" w14:paraId="13C6084F" w14:textId="77777777">
            <w:pPr>
              <w:pStyle w:val="TableTitleBodyH095"/>
              <w:ind w:left="0" w:firstLine="0"/>
              <w:rPr>
                <w:b/>
                <w:bCs w:val="0"/>
                <w:sz w:val="24"/>
                <w:szCs w:val="20"/>
              </w:rPr>
            </w:pPr>
            <w:r>
              <w:rPr>
                <w:b/>
                <w:bCs w:val="0"/>
                <w:sz w:val="24"/>
                <w:szCs w:val="20"/>
              </w:rPr>
              <w:t>5,559,437</w:t>
            </w:r>
          </w:p>
        </w:tc>
        <w:tc>
          <w:tcPr>
            <w:tcW w:w="3351" w:type="dxa"/>
          </w:tcPr>
          <w:p w:rsidRPr="00C51C39" w:rsidR="00DC01EF" w:rsidP="00C51C39" w:rsidRDefault="00DC01EF" w14:paraId="2F397EEA" w14:textId="3F4843CE">
            <w:pPr>
              <w:pStyle w:val="TableTitleBodyH095"/>
              <w:ind w:left="0" w:firstLine="0"/>
              <w:rPr>
                <w:b/>
                <w:bCs w:val="0"/>
                <w:sz w:val="24"/>
                <w:szCs w:val="20"/>
              </w:rPr>
            </w:pPr>
            <w:r>
              <w:rPr>
                <w:b/>
                <w:bCs w:val="0"/>
                <w:sz w:val="24"/>
                <w:szCs w:val="20"/>
              </w:rPr>
              <w:t>(</w:t>
            </w:r>
            <w:r w:rsidR="000B39F3">
              <w:rPr>
                <w:b/>
                <w:bCs w:val="0"/>
                <w:sz w:val="24"/>
                <w:szCs w:val="20"/>
              </w:rPr>
              <w:t>325,830</w:t>
            </w:r>
            <w:r>
              <w:rPr>
                <w:b/>
                <w:bCs w:val="0"/>
                <w:sz w:val="24"/>
                <w:szCs w:val="20"/>
              </w:rPr>
              <w:t>)</w:t>
            </w:r>
          </w:p>
        </w:tc>
      </w:tr>
      <w:bookmarkEnd w:id="3"/>
    </w:tbl>
    <w:p w:rsidRPr="00A15640" w:rsidR="00DC01EF" w:rsidP="00347FB6" w:rsidRDefault="00DC01EF" w14:paraId="60F75E52" w14:textId="77777777">
      <w:pPr>
        <w:pStyle w:val="Standard"/>
        <w:ind w:firstLine="0"/>
        <w:rPr>
          <w:sz w:val="6"/>
          <w:szCs w:val="6"/>
        </w:rPr>
      </w:pPr>
    </w:p>
    <w:p w:rsidR="0073353F" w:rsidP="00295744" w:rsidRDefault="00056BE0" w14:paraId="3B865A9B" w14:textId="0CA624FE">
      <w:pPr>
        <w:pStyle w:val="Standard"/>
      </w:pPr>
      <w:r w:rsidRPr="00347FB6">
        <w:t xml:space="preserve">Finally, this </w:t>
      </w:r>
      <w:r w:rsidR="00A14797">
        <w:t>Decision</w:t>
      </w:r>
      <w:r w:rsidRPr="00347FB6" w:rsidR="003171BF">
        <w:t xml:space="preserve"> defers </w:t>
      </w:r>
      <w:r w:rsidRPr="00347FB6">
        <w:t xml:space="preserve">(1) </w:t>
      </w:r>
      <w:r w:rsidRPr="00347FB6" w:rsidR="003171BF">
        <w:t xml:space="preserve">consideration of fixed generation cost issues raised in this and </w:t>
      </w:r>
      <w:r w:rsidRPr="00347FB6" w:rsidR="00796EE1">
        <w:t>other</w:t>
      </w:r>
      <w:r w:rsidRPr="00347FB6" w:rsidR="003171BF">
        <w:t xml:space="preserve"> </w:t>
      </w:r>
      <w:r w:rsidRPr="00347FB6" w:rsidR="00796EE1">
        <w:t>investor-owned utility 2024 E</w:t>
      </w:r>
      <w:r w:rsidR="00C37F82">
        <w:t>RRA</w:t>
      </w:r>
      <w:r w:rsidRPr="00347FB6" w:rsidR="00796EE1">
        <w:t xml:space="preserve"> Forecast </w:t>
      </w:r>
      <w:r w:rsidRPr="00347FB6" w:rsidR="00E02440">
        <w:t>P</w:t>
      </w:r>
      <w:r w:rsidRPr="00347FB6" w:rsidR="003171BF">
        <w:t>roceedings to a future Commission action</w:t>
      </w:r>
      <w:r w:rsidRPr="00347FB6">
        <w:t xml:space="preserve">, and (2) </w:t>
      </w:r>
      <w:r w:rsidRPr="00347FB6" w:rsidR="00E02440">
        <w:t xml:space="preserve">denies </w:t>
      </w:r>
      <w:r w:rsidRPr="00347FB6" w:rsidR="00796EE1">
        <w:t>reconsideration of issues associated with</w:t>
      </w:r>
      <w:r w:rsidRPr="00347FB6">
        <w:t xml:space="preserve"> the valuation</w:t>
      </w:r>
      <w:r w:rsidRPr="00347FB6" w:rsidR="00796EE1">
        <w:t xml:space="preserve"> </w:t>
      </w:r>
      <w:r w:rsidR="006207FE">
        <w:t xml:space="preserve">of </w:t>
      </w:r>
      <w:r w:rsidRPr="00347FB6" w:rsidR="00796EE1">
        <w:t>banked Renewable Energy Certificates</w:t>
      </w:r>
      <w:r w:rsidRPr="00347FB6">
        <w:t xml:space="preserve"> </w:t>
      </w:r>
      <w:r w:rsidRPr="00347FB6">
        <w:lastRenderedPageBreak/>
        <w:t>that</w:t>
      </w:r>
      <w:r w:rsidRPr="00347FB6" w:rsidR="00796EE1">
        <w:t xml:space="preserve"> </w:t>
      </w:r>
      <w:r w:rsidRPr="00347FB6" w:rsidR="00396044">
        <w:t>were</w:t>
      </w:r>
      <w:r w:rsidRPr="00347FB6" w:rsidR="00796EE1">
        <w:t xml:space="preserve"> addressed in prior </w:t>
      </w:r>
      <w:r w:rsidR="00A14797">
        <w:t>Decision</w:t>
      </w:r>
      <w:r w:rsidRPr="00347FB6" w:rsidR="00396044">
        <w:t>s</w:t>
      </w:r>
      <w:r w:rsidRPr="00347FB6" w:rsidR="00796EE1">
        <w:t xml:space="preserve"> (D.</w:t>
      </w:r>
      <w:r w:rsidRPr="00347FB6" w:rsidR="00396044">
        <w:t>)</w:t>
      </w:r>
      <w:r w:rsidRPr="00347FB6" w:rsidR="00796EE1">
        <w:t>23-06-006</w:t>
      </w:r>
      <w:r w:rsidRPr="00347FB6" w:rsidR="00396044">
        <w:t xml:space="preserve"> and D.19-10-001</w:t>
      </w:r>
      <w:r w:rsidRPr="00347FB6" w:rsidR="00796EE1">
        <w:t xml:space="preserve">. </w:t>
      </w:r>
      <w:r w:rsidRPr="00347FB6" w:rsidR="003171BF">
        <w:t xml:space="preserve">Application 23-06-001 </w:t>
      </w:r>
      <w:r w:rsidRPr="00347FB6" w:rsidR="00E02440">
        <w:t xml:space="preserve">remains open </w:t>
      </w:r>
      <w:r w:rsidR="006111A5">
        <w:t xml:space="preserve">solely </w:t>
      </w:r>
      <w:r w:rsidRPr="00347FB6" w:rsidR="00E02440">
        <w:t>to address fixed generation cost issues</w:t>
      </w:r>
      <w:r w:rsidRPr="00347FB6" w:rsidR="00E3058C">
        <w:t xml:space="preserve">, pursuant to an Administrative Law Judge ruling issued on </w:t>
      </w:r>
      <w:r w:rsidR="00F6190B">
        <w:br/>
      </w:r>
      <w:r w:rsidRPr="00347FB6" w:rsidR="00E3058C">
        <w:t>October 9, 2023</w:t>
      </w:r>
      <w:r w:rsidRPr="00347FB6" w:rsidR="003171BF">
        <w:t>.</w:t>
      </w:r>
    </w:p>
    <w:p w:rsidRPr="00121089" w:rsidR="005A148C" w:rsidP="00E857A5" w:rsidRDefault="0029662C" w14:paraId="2C4EC001" w14:textId="00024BC6">
      <w:pPr>
        <w:pStyle w:val="Heading1"/>
      </w:pPr>
      <w:bookmarkStart w:name="_Toc8123715" w:id="4"/>
      <w:bookmarkStart w:name="_Toc152331382" w:id="5"/>
      <w:r>
        <w:t xml:space="preserve">Procedural </w:t>
      </w:r>
      <w:r w:rsidRPr="00E857A5" w:rsidR="002C7FE9">
        <w:t>Background</w:t>
      </w:r>
      <w:bookmarkEnd w:id="4"/>
      <w:bookmarkEnd w:id="5"/>
    </w:p>
    <w:p w:rsidR="00DE103D" w:rsidP="00E857A5" w:rsidRDefault="003171BF" w14:paraId="299758D1" w14:textId="6E80F167">
      <w:pPr>
        <w:pStyle w:val="Standard"/>
      </w:pPr>
      <w:r>
        <w:t>SCE filed its 2024 Energy Resource Recovery Account</w:t>
      </w:r>
      <w:r w:rsidR="00B63C5D">
        <w:t xml:space="preserve"> (ERRA)</w:t>
      </w:r>
      <w:r>
        <w:t xml:space="preserve"> Forecast Application (A.) 23-06-001 on June 1, 2023, seeking approval </w:t>
      </w:r>
      <w:r w:rsidRPr="00973D37">
        <w:t xml:space="preserve">of </w:t>
      </w:r>
      <w:r w:rsidRPr="00347FB6">
        <w:t>a $4.932 billion proceeding revenue requirement. According to SCE, its forecast reflect</w:t>
      </w:r>
      <w:r w:rsidRPr="00347FB6" w:rsidR="0032306D">
        <w:t>ed</w:t>
      </w:r>
      <w:r w:rsidRPr="00347FB6">
        <w:t xml:space="preserve"> a decrease of approximately $627 million</w:t>
      </w:r>
      <w:r>
        <w:t xml:space="preserve"> relative to its revenue requirement being recovered in rates in 2023.</w:t>
      </w:r>
      <w:r>
        <w:rPr>
          <w:rStyle w:val="FootnoteReference"/>
        </w:rPr>
        <w:footnoteReference w:id="7"/>
      </w:r>
      <w:r w:rsidR="00526FD3">
        <w:t xml:space="preserve"> </w:t>
      </w:r>
      <w:r w:rsidR="00B63C5D">
        <w:t xml:space="preserve">On October 13, 2023, SCE updated its </w:t>
      </w:r>
      <w:r w:rsidR="00C4704F">
        <w:t xml:space="preserve">2024 </w:t>
      </w:r>
      <w:r w:rsidR="00B63C5D">
        <w:t>ERRA forecasted revenue requirement to $5.23</w:t>
      </w:r>
      <w:r w:rsidR="00F35111">
        <w:t>4</w:t>
      </w:r>
      <w:r w:rsidR="00B63C5D">
        <w:t xml:space="preserve"> billion, reflecting a decrease in rates of $</w:t>
      </w:r>
      <w:r w:rsidR="00F35111">
        <w:t>325.830</w:t>
      </w:r>
      <w:r w:rsidR="00B63C5D">
        <w:t xml:space="preserve"> million compared to rates in effect on October 1, 2023.</w:t>
      </w:r>
      <w:r w:rsidR="00347FB6">
        <w:rPr>
          <w:rStyle w:val="FootnoteReference"/>
        </w:rPr>
        <w:footnoteReference w:id="8"/>
      </w:r>
    </w:p>
    <w:p w:rsidR="00526FD3" w:rsidP="00E857A5" w:rsidRDefault="00526FD3" w14:paraId="48B42C39" w14:textId="64EE4861">
      <w:pPr>
        <w:pStyle w:val="Standard"/>
      </w:pPr>
      <w:r>
        <w:t>Pursuant to D.14-10-003, SCE also proposed to return a total of approximately $</w:t>
      </w:r>
      <w:r w:rsidRPr="00973D37" w:rsidR="00996421">
        <w:t>955.105 </w:t>
      </w:r>
      <w:r>
        <w:t xml:space="preserve">million in net greenhouse gas </w:t>
      </w:r>
      <w:r w:rsidR="00B63C5D">
        <w:t xml:space="preserve">(GHG) </w:t>
      </w:r>
      <w:r>
        <w:t>allowance revenues to eligible customers, which would provide residential and small commercial customers a semi-annual on-</w:t>
      </w:r>
      <w:r w:rsidRPr="009B08ED">
        <w:t xml:space="preserve">bill California Climate Credit of approximately </w:t>
      </w:r>
      <w:r w:rsidRPr="00996421">
        <w:t>$</w:t>
      </w:r>
      <w:r w:rsidR="00996421">
        <w:t>86.00</w:t>
      </w:r>
      <w:r w:rsidRPr="00996421">
        <w:t xml:space="preserve"> per customer in 2024</w:t>
      </w:r>
      <w:r w:rsidR="00996421">
        <w:t>, once in April and once in October</w:t>
      </w:r>
      <w:r w:rsidRPr="00996421">
        <w:t>.</w:t>
      </w:r>
    </w:p>
    <w:p w:rsidR="00DD34BB" w:rsidP="00E857A5" w:rsidRDefault="00C35A27" w14:paraId="6F67F4DD" w14:textId="090029E6">
      <w:pPr>
        <w:pStyle w:val="Standard"/>
      </w:pPr>
      <w:r>
        <w:t>On July 6, 2023, the California Community Choice Association (</w:t>
      </w:r>
      <w:proofErr w:type="spellStart"/>
      <w:r>
        <w:t>CalCCA</w:t>
      </w:r>
      <w:proofErr w:type="spellEnd"/>
      <w:r>
        <w:t xml:space="preserve">) and the Public Advocates Office at the California Public Utilities Commission (Cal Advocates) filed protests </w:t>
      </w:r>
      <w:proofErr w:type="gramStart"/>
      <w:r>
        <w:t>to</w:t>
      </w:r>
      <w:proofErr w:type="gramEnd"/>
      <w:r>
        <w:t xml:space="preserve"> </w:t>
      </w:r>
      <w:r w:rsidR="006111A5">
        <w:t>SCE’s</w:t>
      </w:r>
      <w:r>
        <w:t xml:space="preserve"> Application. Also on July 6, 2023, the Direct Access Customer Coalition </w:t>
      </w:r>
      <w:r w:rsidR="00C4704F">
        <w:t xml:space="preserve">(DACC) </w:t>
      </w:r>
      <w:r>
        <w:t>filed a response to the Application. On July 17, 2023, SCE filed a reply to the parties’ protests</w:t>
      </w:r>
      <w:r w:rsidR="006111A5">
        <w:t xml:space="preserve"> and response</w:t>
      </w:r>
      <w:r>
        <w:t xml:space="preserve">. </w:t>
      </w:r>
      <w:proofErr w:type="spellStart"/>
      <w:r w:rsidR="00A74282">
        <w:t>CalCCA</w:t>
      </w:r>
      <w:proofErr w:type="spellEnd"/>
      <w:r w:rsidR="00A74282">
        <w:t xml:space="preserve">, </w:t>
      </w:r>
      <w:r w:rsidR="00A74282">
        <w:lastRenderedPageBreak/>
        <w:t xml:space="preserve">Cal Advocates, and DACC were granted party status given their timely response to SCE’s </w:t>
      </w:r>
      <w:r w:rsidR="00C4704F">
        <w:t>A</w:t>
      </w:r>
      <w:r w:rsidR="00A74282">
        <w:t xml:space="preserve">pplication. </w:t>
      </w:r>
    </w:p>
    <w:p w:rsidR="00C35A27" w:rsidP="00E857A5" w:rsidRDefault="00DD34BB" w14:paraId="6DF04FFD" w14:textId="0229AA11">
      <w:pPr>
        <w:pStyle w:val="Standard"/>
      </w:pPr>
      <w:r>
        <w:t xml:space="preserve">A </w:t>
      </w:r>
      <w:r w:rsidRPr="00E857A5">
        <w:t>prehearing</w:t>
      </w:r>
      <w:r>
        <w:t xml:space="preserve"> conference (PHC) was held on July 21, 2023, to discuss the issues of law and fact and determine the need for hearing and schedule for resolving the matter. </w:t>
      </w:r>
      <w:r w:rsidR="00A74282">
        <w:t>No other parties requested party status in this proceeding during the PHC.</w:t>
      </w:r>
    </w:p>
    <w:p w:rsidR="00C35A27" w:rsidP="00E857A5" w:rsidRDefault="00C35A27" w14:paraId="2D63E736" w14:textId="452FA0DE">
      <w:pPr>
        <w:pStyle w:val="Standard"/>
      </w:pPr>
      <w:r>
        <w:t xml:space="preserve">On August 1, 2023, </w:t>
      </w:r>
      <w:r w:rsidR="000011CF">
        <w:t xml:space="preserve">the assigned </w:t>
      </w:r>
      <w:r>
        <w:t xml:space="preserve">Administrative Law Judge </w:t>
      </w:r>
      <w:r w:rsidR="006C05E0">
        <w:t xml:space="preserve">(ALJ) </w:t>
      </w:r>
      <w:r>
        <w:t xml:space="preserve">issued a Ruling Directing Parties to Comment Regarding Fixed Generation Costs (Ruling), specifically seeking feedback on issues related to the categories of fixed generation costs included in SCE’s ERRA forecast, and requesting party comment on whether issues related to fixed generation costs should be addressed in the instant proceeding. </w:t>
      </w:r>
    </w:p>
    <w:p w:rsidR="006C05E0" w:rsidP="00E857A5" w:rsidRDefault="00C35A27" w14:paraId="6FBE67FE" w14:textId="28EFAFCE">
      <w:pPr>
        <w:pStyle w:val="Standard"/>
      </w:pPr>
      <w:r>
        <w:t xml:space="preserve">On August 3, 2023, Assigned Commissioner John Reynolds issued the Scoping Memo and Ruling. </w:t>
      </w:r>
    </w:p>
    <w:p w:rsidR="006C05E0" w:rsidP="00E857A5" w:rsidRDefault="006C05E0" w14:paraId="2AD8615E" w14:textId="1D364715">
      <w:pPr>
        <w:pStyle w:val="Standard"/>
      </w:pPr>
      <w:r>
        <w:t>On August 15, 2023, SCE filed additional supplemental testimony pursuant to D.23-06-006</w:t>
      </w:r>
      <w:r w:rsidR="00767E58">
        <w:t xml:space="preserve">, which directed the investor-owned utilities to use an updated methodology to forecast the Energy Index Market Based Price </w:t>
      </w:r>
      <w:r w:rsidR="00405932">
        <w:t xml:space="preserve">(Energy Index MBP) </w:t>
      </w:r>
      <w:r w:rsidR="00767E58">
        <w:t>used to set the Power Charge Indifference Adjustment (PCIA).</w:t>
      </w:r>
      <w:r w:rsidR="00767E58">
        <w:rPr>
          <w:rStyle w:val="FootnoteReference"/>
        </w:rPr>
        <w:footnoteReference w:id="9"/>
      </w:r>
    </w:p>
    <w:p w:rsidR="009F041C" w:rsidP="00E857A5" w:rsidRDefault="00C35A27" w14:paraId="4E119B6A" w14:textId="47C0E4D3">
      <w:pPr>
        <w:pStyle w:val="Standard"/>
      </w:pPr>
      <w:r>
        <w:t xml:space="preserve">Opening comments on the Ruling were filed and served on </w:t>
      </w:r>
      <w:r w:rsidR="00120F8D">
        <w:br/>
      </w:r>
      <w:r>
        <w:t xml:space="preserve">August 16, 2023, by SCE, </w:t>
      </w:r>
      <w:proofErr w:type="spellStart"/>
      <w:r>
        <w:t>CalCCA</w:t>
      </w:r>
      <w:proofErr w:type="spellEnd"/>
      <w:r>
        <w:t xml:space="preserve">, and Cal Advocates. Reply comments were </w:t>
      </w:r>
      <w:r>
        <w:lastRenderedPageBreak/>
        <w:t>filed and served on August 23, 2023</w:t>
      </w:r>
      <w:r w:rsidR="00095F10">
        <w:t>,</w:t>
      </w:r>
      <w:r>
        <w:t xml:space="preserve"> by </w:t>
      </w:r>
      <w:r w:rsidR="00A74282">
        <w:t xml:space="preserve">SCE, </w:t>
      </w:r>
      <w:proofErr w:type="spellStart"/>
      <w:r w:rsidR="00A74282">
        <w:t>CalCCA</w:t>
      </w:r>
      <w:proofErr w:type="spellEnd"/>
      <w:r w:rsidR="006A3F99">
        <w:t>,</w:t>
      </w:r>
      <w:r w:rsidR="00CB47AB">
        <w:t xml:space="preserve"> and </w:t>
      </w:r>
      <w:r w:rsidR="0029662C">
        <w:t>DACC</w:t>
      </w:r>
      <w:r>
        <w:t>.  Because the Ruling was simultaneously filed in the ongoing ERRA proceedings for Pacific Gas and Electric Company (PG&amp;E; A. 23-05-012) and San Diego Gas &amp; Electric Company (SDG&amp;E; A.23-05-013), SCE requested the party comments filed and served in those two proceedings also be recognized in this proceeding.</w:t>
      </w:r>
      <w:r w:rsidR="006C05E0">
        <w:rPr>
          <w:rStyle w:val="FootnoteReference"/>
        </w:rPr>
        <w:footnoteReference w:id="10"/>
      </w:r>
      <w:r>
        <w:t xml:space="preserve"> The three ERRA </w:t>
      </w:r>
      <w:r w:rsidR="00D46308">
        <w:t>forecast</w:t>
      </w:r>
      <w:r w:rsidR="00947825">
        <w:t xml:space="preserve"> </w:t>
      </w:r>
      <w:r>
        <w:t>proceedings are not consolidated</w:t>
      </w:r>
      <w:r w:rsidR="00947825">
        <w:t xml:space="preserve"> at this time</w:t>
      </w:r>
      <w:r w:rsidR="009F041C">
        <w:t>.</w:t>
      </w:r>
    </w:p>
    <w:p w:rsidR="006C05E0" w:rsidP="00BC00A0" w:rsidRDefault="006C05E0" w14:paraId="6E43A6A1" w14:textId="64613A4D">
      <w:pPr>
        <w:pStyle w:val="Standard"/>
      </w:pPr>
      <w:r>
        <w:t xml:space="preserve">On </w:t>
      </w:r>
      <w:r w:rsidRPr="00BC00A0">
        <w:t>August</w:t>
      </w:r>
      <w:r>
        <w:t xml:space="preserve"> 28, 2023, intervenor testimony was filed by </w:t>
      </w:r>
      <w:proofErr w:type="spellStart"/>
      <w:r w:rsidR="0029662C">
        <w:t>CalCCA</w:t>
      </w:r>
      <w:proofErr w:type="spellEnd"/>
      <w:r w:rsidR="0029662C">
        <w:t>.</w:t>
      </w:r>
    </w:p>
    <w:p w:rsidR="00E819FA" w:rsidP="00BC00A0" w:rsidRDefault="006C05E0" w14:paraId="376A5FFA" w14:textId="468BB395">
      <w:pPr>
        <w:pStyle w:val="Standard"/>
      </w:pPr>
      <w:r>
        <w:t xml:space="preserve">SCE filed rebuttal testimony on September 12, 2023. A joint case management statement was filed on September 15, 2023, stating that </w:t>
      </w:r>
      <w:r w:rsidR="003B27C9">
        <w:t>two</w:t>
      </w:r>
      <w:r>
        <w:t xml:space="preserve"> parties </w:t>
      </w:r>
      <w:r w:rsidR="003B27C9">
        <w:t>indicated that</w:t>
      </w:r>
      <w:r>
        <w:t xml:space="preserve"> evidentiary hearing</w:t>
      </w:r>
      <w:r w:rsidR="006A3F99">
        <w:t>s</w:t>
      </w:r>
      <w:r>
        <w:t xml:space="preserve"> in this </w:t>
      </w:r>
      <w:r w:rsidRPr="003B27C9">
        <w:t xml:space="preserve">proceeding </w:t>
      </w:r>
      <w:r w:rsidR="003B27C9">
        <w:t>were</w:t>
      </w:r>
      <w:r>
        <w:t xml:space="preserve"> necessary. </w:t>
      </w:r>
      <w:r w:rsidR="003B27C9">
        <w:t xml:space="preserve">On September 18, 2023, the ALJ issued a ruling requesting the parties identify specific disputed factual issues and complete a template providing the evidence to be considered during evidentiary hearings. </w:t>
      </w:r>
      <w:r w:rsidR="00E819FA">
        <w:t xml:space="preserve">On September 20, 2023, DACC filed a notice to the A.23-06-001 service list that it would not participate in any evidentiary hearings </w:t>
      </w:r>
      <w:r w:rsidR="006A3F99">
        <w:t>i</w:t>
      </w:r>
      <w:r w:rsidR="00E819FA">
        <w:t xml:space="preserve">n this proceeding due to its lack of a non-disclosure agreement with </w:t>
      </w:r>
      <w:r w:rsidR="006A3F99">
        <w:t>SCE</w:t>
      </w:r>
      <w:r w:rsidR="00E819FA">
        <w:t xml:space="preserve">. </w:t>
      </w:r>
    </w:p>
    <w:p w:rsidR="0094776C" w:rsidP="00BC00A0" w:rsidRDefault="003B27C9" w14:paraId="547A0F8E" w14:textId="4BCAA7C8">
      <w:pPr>
        <w:pStyle w:val="Standard"/>
      </w:pPr>
      <w:r>
        <w:t xml:space="preserve">On </w:t>
      </w:r>
      <w:r w:rsidRPr="00BC00A0">
        <w:t>September</w:t>
      </w:r>
      <w:r>
        <w:t xml:space="preserve"> 21, 2023, </w:t>
      </w:r>
      <w:proofErr w:type="spellStart"/>
      <w:r>
        <w:t>CalCCA</w:t>
      </w:r>
      <w:proofErr w:type="spellEnd"/>
      <w:r>
        <w:t xml:space="preserve"> filed a notice to the </w:t>
      </w:r>
      <w:r w:rsidR="00150378">
        <w:t>A.23-06-001</w:t>
      </w:r>
      <w:r>
        <w:t xml:space="preserve"> service list </w:t>
      </w:r>
      <w:r w:rsidR="006111A5">
        <w:t>explaining</w:t>
      </w:r>
      <w:r>
        <w:t xml:space="preserve"> </w:t>
      </w:r>
      <w:r w:rsidR="006111A5">
        <w:t xml:space="preserve">that </w:t>
      </w:r>
      <w:r>
        <w:t>it and SCE had reached a stipulation and that no evidentiary hearing would be necessary</w:t>
      </w:r>
      <w:r w:rsidR="006111A5">
        <w:t xml:space="preserve"> on the banked REC issues previously identified in this proceeding</w:t>
      </w:r>
      <w:r>
        <w:t>.</w:t>
      </w:r>
    </w:p>
    <w:p w:rsidR="003B27C9" w:rsidP="00BC00A0" w:rsidRDefault="003B27C9" w14:paraId="6FDD54CC" w14:textId="06F0BA13">
      <w:pPr>
        <w:pStyle w:val="Standard"/>
      </w:pPr>
      <w:r>
        <w:t xml:space="preserve">In a ruling issued on September 22, 2023, the ALJ removed evidentiary hearing from the schedule and directed SCE and </w:t>
      </w:r>
      <w:proofErr w:type="spellStart"/>
      <w:r>
        <w:t>CalCCA</w:t>
      </w:r>
      <w:proofErr w:type="spellEnd"/>
      <w:r>
        <w:t xml:space="preserve"> to file the stipulated joint motions no later than September 26, 2023.</w:t>
      </w:r>
      <w:r w:rsidR="00E819FA">
        <w:t xml:space="preserve"> </w:t>
      </w:r>
    </w:p>
    <w:p w:rsidR="009A44E9" w:rsidP="00996421" w:rsidRDefault="009A44E9" w14:paraId="7708CD60" w14:textId="0A09D6B3">
      <w:pPr>
        <w:pStyle w:val="Standard"/>
      </w:pPr>
      <w:r>
        <w:lastRenderedPageBreak/>
        <w:t xml:space="preserve">The same ruling </w:t>
      </w:r>
      <w:r w:rsidR="00DD402D">
        <w:t>modifi</w:t>
      </w:r>
      <w:r>
        <w:t xml:space="preserve">ed the procedural schedule to </w:t>
      </w:r>
      <w:r w:rsidR="00947825">
        <w:t xml:space="preserve">change </w:t>
      </w:r>
      <w:r>
        <w:t xml:space="preserve">the deadline for the issuance of the Proposed </w:t>
      </w:r>
      <w:r w:rsidR="00A14797">
        <w:t>Decision</w:t>
      </w:r>
      <w:r>
        <w:t xml:space="preserve"> </w:t>
      </w:r>
      <w:r w:rsidR="00DD402D">
        <w:t xml:space="preserve">(PD) </w:t>
      </w:r>
      <w:r>
        <w:t>to account for the Veteran’s Day Holiday, and further modif</w:t>
      </w:r>
      <w:r w:rsidR="00DD402D">
        <w:t>ied</w:t>
      </w:r>
      <w:r>
        <w:t xml:space="preserve"> the deadline for comments and reply comments</w:t>
      </w:r>
      <w:r w:rsidR="00DD402D">
        <w:t xml:space="preserve"> to the PD</w:t>
      </w:r>
      <w:r>
        <w:t xml:space="preserve">. </w:t>
      </w:r>
    </w:p>
    <w:p w:rsidR="00E819FA" w:rsidP="00BC00A0" w:rsidRDefault="00E819FA" w14:paraId="3255CFF8" w14:textId="69BE78A1">
      <w:pPr>
        <w:pStyle w:val="Standard"/>
      </w:pPr>
      <w:r>
        <w:t xml:space="preserve">On </w:t>
      </w:r>
      <w:r w:rsidRPr="00BC00A0">
        <w:t>September</w:t>
      </w:r>
      <w:r>
        <w:t xml:space="preserve"> 26, 2023, </w:t>
      </w:r>
      <w:proofErr w:type="spellStart"/>
      <w:r>
        <w:t>CalCCA</w:t>
      </w:r>
      <w:proofErr w:type="spellEnd"/>
      <w:r>
        <w:t xml:space="preserve"> filed three additional proposed exhibits.</w:t>
      </w:r>
    </w:p>
    <w:p w:rsidRPr="009B08ED" w:rsidR="00DA0F23" w:rsidP="00BC00A0" w:rsidRDefault="00DA0F23" w14:paraId="4CD63A69" w14:textId="15D803D7">
      <w:pPr>
        <w:pStyle w:val="Standard"/>
      </w:pPr>
      <w:r>
        <w:t xml:space="preserve">On </w:t>
      </w:r>
      <w:r w:rsidRPr="00996421">
        <w:t>October</w:t>
      </w:r>
      <w:r w:rsidRPr="00996421" w:rsidR="009B08ED">
        <w:t xml:space="preserve"> 9</w:t>
      </w:r>
      <w:r w:rsidRPr="00996421">
        <w:t>, 2023</w:t>
      </w:r>
      <w:r w:rsidRPr="009B08ED">
        <w:t>, the ALJ issued a ruling stating that the fixed generation cost issues raised in the Ruling would be addressed in a separate Track 2 of this proceeding.</w:t>
      </w:r>
      <w:r w:rsidRPr="009B08ED" w:rsidR="0032306D">
        <w:t xml:space="preserve"> </w:t>
      </w:r>
      <w:r w:rsidR="000E1579">
        <w:t>Because the fixed generation costs are not being considered in Track 1 of this proceeding, we are not incorporating opening or reply comments filed in PG&amp;E or SDG&amp;E’s 2024 ERRA forecast proceedings addressing the Ruling into the record of Track 1 of A.23-06-001.</w:t>
      </w:r>
    </w:p>
    <w:p w:rsidR="00996421" w:rsidP="00996421" w:rsidRDefault="0032306D" w14:paraId="528E025A" w14:textId="2E636FA1">
      <w:pPr>
        <w:pStyle w:val="Standard"/>
      </w:pPr>
      <w:r w:rsidRPr="009B08ED">
        <w:t xml:space="preserve">On </w:t>
      </w:r>
      <w:r w:rsidRPr="00996421">
        <w:t>October 13, 2023,</w:t>
      </w:r>
      <w:r>
        <w:t xml:space="preserve"> SCE filed its October Update providing the updated workpapers and calculations for its 2024 ERRA forecast based on recent months’ actual data. SCE’s updated requested revenue requirement sought authorization to recover $5.23</w:t>
      </w:r>
      <w:r w:rsidR="00996421">
        <w:t>4</w:t>
      </w:r>
      <w:r>
        <w:t xml:space="preserve"> billion in rates in 2024.</w:t>
      </w:r>
      <w:r w:rsidR="008F0A39">
        <w:rPr>
          <w:rStyle w:val="FootnoteReference"/>
        </w:rPr>
        <w:footnoteReference w:id="11"/>
      </w:r>
      <w:r>
        <w:t xml:space="preserve"> </w:t>
      </w:r>
      <w:r w:rsidR="007E09AC">
        <w:t>The change in revenue requirement in SCE’s October Update was based on:</w:t>
      </w:r>
      <w:r w:rsidR="006D3E6C">
        <w:t xml:space="preserve"> </w:t>
      </w:r>
    </w:p>
    <w:p w:rsidR="007E09AC" w:rsidP="00973ABF" w:rsidRDefault="006D3E6C" w14:paraId="595C28BB" w14:textId="57B9B6E0">
      <w:pPr>
        <w:pStyle w:val="ListNum"/>
        <w:ind w:right="1440"/>
      </w:pPr>
      <w:r>
        <w:t xml:space="preserve">Four percent higher gas prices and six percent lower power prices in </w:t>
      </w:r>
      <w:proofErr w:type="gramStart"/>
      <w:r>
        <w:t>2024;</w:t>
      </w:r>
      <w:proofErr w:type="gramEnd"/>
    </w:p>
    <w:p w:rsidR="006D3E6C" w:rsidP="00973ABF" w:rsidRDefault="006D3E6C" w14:paraId="3056F6F6" w14:textId="748D2ADC">
      <w:pPr>
        <w:pStyle w:val="ListNum"/>
        <w:ind w:right="1440"/>
      </w:pPr>
      <w:r>
        <w:t>A lower 2024 SP</w:t>
      </w:r>
      <w:r w:rsidR="00D141DF">
        <w:t>-</w:t>
      </w:r>
      <w:r>
        <w:t xml:space="preserve">15 power price forecast resulting in decreasing forecasted load procurement </w:t>
      </w:r>
      <w:proofErr w:type="gramStart"/>
      <w:r>
        <w:t>costs;</w:t>
      </w:r>
      <w:proofErr w:type="gramEnd"/>
    </w:p>
    <w:p w:rsidR="006D3E6C" w:rsidP="00973ABF" w:rsidRDefault="006D3E6C" w14:paraId="688F8004" w14:textId="0BD65BD1">
      <w:pPr>
        <w:pStyle w:val="ListNum"/>
        <w:ind w:right="1440"/>
      </w:pPr>
      <w:r>
        <w:t>Higher costs associated with:</w:t>
      </w:r>
    </w:p>
    <w:p w:rsidR="006D3E6C" w:rsidP="00973ABF" w:rsidRDefault="006D3E6C" w14:paraId="463DA039" w14:textId="1A818A60">
      <w:pPr>
        <w:pStyle w:val="ListAlpha"/>
        <w:ind w:right="1440" w:firstLine="0"/>
      </w:pPr>
      <w:r>
        <w:t xml:space="preserve">Summer reliability and 2021 midterm reliability (MTR) projects, </w:t>
      </w:r>
    </w:p>
    <w:p w:rsidR="006D3E6C" w:rsidP="00973ABF" w:rsidRDefault="006D3E6C" w14:paraId="6F30652A" w14:textId="16D26598">
      <w:pPr>
        <w:pStyle w:val="ListAlpha"/>
        <w:ind w:right="1440" w:firstLine="0"/>
      </w:pPr>
      <w:r>
        <w:t xml:space="preserve">Gas transportation agreements, </w:t>
      </w:r>
    </w:p>
    <w:p w:rsidR="006D3E6C" w:rsidP="00973ABF" w:rsidRDefault="006D3E6C" w14:paraId="791BB804" w14:textId="784B39A4">
      <w:pPr>
        <w:pStyle w:val="ListAlpha"/>
        <w:ind w:right="1440" w:firstLine="0"/>
      </w:pPr>
      <w:r>
        <w:t>Exercise of put options, and</w:t>
      </w:r>
    </w:p>
    <w:p w:rsidR="006D3E6C" w:rsidP="00973ABF" w:rsidRDefault="006D3E6C" w14:paraId="132EB96C" w14:textId="681B8926">
      <w:pPr>
        <w:pStyle w:val="ListAlpha"/>
        <w:ind w:right="1440" w:firstLine="0"/>
      </w:pPr>
      <w:r>
        <w:lastRenderedPageBreak/>
        <w:t>The inclusion of SCE utility-owned storage facilities.</w:t>
      </w:r>
    </w:p>
    <w:p w:rsidR="006D3E6C" w:rsidP="00973ABF" w:rsidRDefault="006D3E6C" w14:paraId="6F774219" w14:textId="42998F49">
      <w:pPr>
        <w:pStyle w:val="ListNum"/>
        <w:ind w:right="1440"/>
      </w:pPr>
      <w:r>
        <w:t xml:space="preserve">Decreased costs due to changes in online dates for SCE’s MTR </w:t>
      </w:r>
      <w:proofErr w:type="gramStart"/>
      <w:r>
        <w:t>portfolio;</w:t>
      </w:r>
      <w:proofErr w:type="gramEnd"/>
    </w:p>
    <w:p w:rsidR="00396023" w:rsidP="00973ABF" w:rsidRDefault="00396023" w14:paraId="5E167C75" w14:textId="28032D30">
      <w:pPr>
        <w:pStyle w:val="ListNum"/>
        <w:ind w:right="1440"/>
      </w:pPr>
      <w:r>
        <w:t>Higher sales revenues for forecasted Resource Adequacy and Voluntary Allocation sales, due to a higher Commission-issued 2024 Forecast market price benchmark (MPB); and</w:t>
      </w:r>
    </w:p>
    <w:p w:rsidR="00396023" w:rsidP="00973ABF" w:rsidRDefault="00396023" w14:paraId="7A5D6C53" w14:textId="4A61AFDA">
      <w:pPr>
        <w:pStyle w:val="ListNum"/>
        <w:ind w:right="1440"/>
      </w:pPr>
      <w:r>
        <w:t>Higher contracted prices paid in SCE’s Long-Term Market Offer process than the Renewable Energy Credit (REC) MPB used in SCE’s June Testimony.</w:t>
      </w:r>
      <w:r w:rsidR="009B08ED">
        <w:rPr>
          <w:rStyle w:val="FootnoteReference"/>
        </w:rPr>
        <w:footnoteReference w:id="12"/>
      </w:r>
    </w:p>
    <w:p w:rsidR="00E13E91" w:rsidP="0032306D" w:rsidRDefault="00E13E91" w14:paraId="04F4658E" w14:textId="7B106CCC">
      <w:pPr>
        <w:pStyle w:val="Standard"/>
      </w:pPr>
      <w:r>
        <w:t>SCE</w:t>
      </w:r>
      <w:r w:rsidR="00F27759">
        <w:t>’s October Update</w:t>
      </w:r>
      <w:r>
        <w:t xml:space="preserve"> also proposed to return $955.105 million in net GHG allowance revenues to eligible customers in 2024, based on the Commission's adopted methodologies and updated GHG revenues and California GHG Cap-and-Trade costs, increasing the residential and small commercial customers’ semi-annual, on-bill California Climate Credit from $58.00 to $86.00 in 2024.</w:t>
      </w:r>
      <w:r w:rsidRPr="009B08ED" w:rsidR="009B08ED">
        <w:rPr>
          <w:rStyle w:val="FootnoteReference"/>
        </w:rPr>
        <w:t xml:space="preserve"> </w:t>
      </w:r>
      <w:r w:rsidR="009B08ED">
        <w:rPr>
          <w:rStyle w:val="FootnoteReference"/>
        </w:rPr>
        <w:footnoteReference w:id="13"/>
      </w:r>
    </w:p>
    <w:p w:rsidR="00A06EF8" w:rsidP="0032306D" w:rsidRDefault="00A06EF8" w14:paraId="3864849A" w14:textId="64E994B0">
      <w:pPr>
        <w:pStyle w:val="Standard"/>
      </w:pPr>
      <w:r>
        <w:t>On October 24 and 26, 2023, SCE filed errata to it</w:t>
      </w:r>
      <w:r w:rsidR="00996D13">
        <w:t>s</w:t>
      </w:r>
      <w:r>
        <w:t xml:space="preserve"> October 13, 2023, </w:t>
      </w:r>
      <w:r w:rsidR="00996D13">
        <w:t>U</w:t>
      </w:r>
      <w:r>
        <w:t>pdate testimony and workpapers.</w:t>
      </w:r>
    </w:p>
    <w:p w:rsidR="00A06EF8" w:rsidP="0032306D" w:rsidRDefault="00A06EF8" w14:paraId="43AE56D8" w14:textId="57005746">
      <w:pPr>
        <w:pStyle w:val="Standard"/>
      </w:pPr>
      <w:r>
        <w:t xml:space="preserve">On October 27, 2023, </w:t>
      </w:r>
      <w:r w:rsidR="00996421">
        <w:t>SCE, DACC</w:t>
      </w:r>
      <w:r w:rsidR="00996D13">
        <w:t>,</w:t>
      </w:r>
      <w:r w:rsidR="00996421">
        <w:t xml:space="preserve"> and </w:t>
      </w:r>
      <w:proofErr w:type="spellStart"/>
      <w:r w:rsidR="00996421">
        <w:t>CalCCA</w:t>
      </w:r>
      <w:proofErr w:type="spellEnd"/>
      <w:r>
        <w:t xml:space="preserve"> filed opening comments on SCE’s October Update and associated errata, as well as concurrent opening briefs.</w:t>
      </w:r>
    </w:p>
    <w:p w:rsidR="00A06EF8" w:rsidP="0032306D" w:rsidRDefault="00A06EF8" w14:paraId="4CC6493E" w14:textId="622953E7">
      <w:pPr>
        <w:pStyle w:val="Standard"/>
      </w:pPr>
      <w:r>
        <w:t xml:space="preserve">SCE filed a </w:t>
      </w:r>
      <w:proofErr w:type="gramStart"/>
      <w:r>
        <w:t>final errata</w:t>
      </w:r>
      <w:proofErr w:type="gramEnd"/>
      <w:r>
        <w:t xml:space="preserve"> to its October Update testimony and workpapers</w:t>
      </w:r>
      <w:r w:rsidR="000E1579">
        <w:t xml:space="preserve"> on October 31, 2023</w:t>
      </w:r>
      <w:r>
        <w:t>. Reply comments to SCE’s October Update, associated errata, and opening briefs were filed on November 2, 2023</w:t>
      </w:r>
      <w:r w:rsidR="00151DC8">
        <w:t>,</w:t>
      </w:r>
      <w:r>
        <w:t xml:space="preserve"> by </w:t>
      </w:r>
      <w:proofErr w:type="spellStart"/>
      <w:r w:rsidR="00151DC8">
        <w:t>CalCCA</w:t>
      </w:r>
      <w:proofErr w:type="spellEnd"/>
      <w:r w:rsidR="00151DC8">
        <w:t xml:space="preserve"> and SCE</w:t>
      </w:r>
      <w:r>
        <w:t>.</w:t>
      </w:r>
    </w:p>
    <w:p w:rsidR="0032306D" w:rsidP="0032306D" w:rsidRDefault="002D5116" w14:paraId="65F8B405" w14:textId="5EC7ABBA">
      <w:pPr>
        <w:pStyle w:val="Standard"/>
      </w:pPr>
      <w:r>
        <w:t xml:space="preserve">On </w:t>
      </w:r>
      <w:r w:rsidR="00947825">
        <w:t xml:space="preserve">October 27, 2023, </w:t>
      </w:r>
      <w:proofErr w:type="spellStart"/>
      <w:r w:rsidR="00947825">
        <w:t>CalCCA</w:t>
      </w:r>
      <w:proofErr w:type="spellEnd"/>
      <w:r w:rsidR="00947825">
        <w:t xml:space="preserve"> and SCE</w:t>
      </w:r>
      <w:r>
        <w:t xml:space="preserve"> filed </w:t>
      </w:r>
      <w:r w:rsidR="00947825">
        <w:t xml:space="preserve">separate </w:t>
      </w:r>
      <w:r>
        <w:t xml:space="preserve">motions to admit exhibits to the </w:t>
      </w:r>
      <w:r w:rsidR="00996D13">
        <w:t>evidentiary</w:t>
      </w:r>
      <w:r>
        <w:t xml:space="preserve"> record of this proceeding.</w:t>
      </w:r>
    </w:p>
    <w:p w:rsidR="006C05E0" w:rsidP="00BC00A0" w:rsidRDefault="006C05E0" w14:paraId="0DFE041E" w14:textId="7841CE25">
      <w:pPr>
        <w:pStyle w:val="Standard"/>
      </w:pPr>
      <w:r>
        <w:lastRenderedPageBreak/>
        <w:t xml:space="preserve">On </w:t>
      </w:r>
      <w:r w:rsidR="0032306D">
        <w:t xml:space="preserve">November </w:t>
      </w:r>
      <w:r w:rsidR="00AD0A59">
        <w:t>7</w:t>
      </w:r>
      <w:r w:rsidR="004530CD">
        <w:t>, 2023</w:t>
      </w:r>
      <w:r>
        <w:t xml:space="preserve">, </w:t>
      </w:r>
      <w:r w:rsidR="000011CF">
        <w:t xml:space="preserve">the </w:t>
      </w:r>
      <w:r>
        <w:t>ALJ issued</w:t>
      </w:r>
      <w:r w:rsidR="00DA0F23">
        <w:t xml:space="preserve"> a </w:t>
      </w:r>
      <w:r>
        <w:t xml:space="preserve">ruling accepting testimony and additional documentation as exhibits </w:t>
      </w:r>
      <w:r w:rsidR="00996D13">
        <w:t xml:space="preserve">into evidence </w:t>
      </w:r>
      <w:r>
        <w:t>in this proceeding.</w:t>
      </w:r>
    </w:p>
    <w:p w:rsidR="005A148C" w:rsidP="00BC00A0" w:rsidRDefault="0063491C" w14:paraId="4D9BB54A" w14:textId="145C6041">
      <w:pPr>
        <w:pStyle w:val="Heading1"/>
      </w:pPr>
      <w:bookmarkStart w:name="_Toc8123718" w:id="6"/>
      <w:bookmarkStart w:name="_Toc152331383" w:id="7"/>
      <w:r w:rsidRPr="00BC00A0">
        <w:t>Jurisdiction</w:t>
      </w:r>
      <w:bookmarkEnd w:id="6"/>
      <w:bookmarkEnd w:id="7"/>
    </w:p>
    <w:p w:rsidRPr="0063491C" w:rsidR="0063491C" w:rsidP="00BC00A0" w:rsidRDefault="00095F10" w14:paraId="6986C4D4" w14:textId="0F686AF0">
      <w:pPr>
        <w:pStyle w:val="Standard"/>
      </w:pPr>
      <w:r>
        <w:t xml:space="preserve">The </w:t>
      </w:r>
      <w:r w:rsidRPr="00BC00A0">
        <w:t>Commission</w:t>
      </w:r>
      <w:r>
        <w:t xml:space="preserve"> oversees ERRA proceedings to determine what fuel and purchased power costs investor-owned electric utilities, such as SCE, can recover in rates</w:t>
      </w:r>
      <w:r w:rsidR="005939A5">
        <w:t>.</w:t>
      </w:r>
      <w:r>
        <w:t xml:space="preserve"> A.23-06-001 is an annual ERRA forecast proceeding, which is intended to evaluate the utility’s electric procurement cost revenue requirements for the following year, in this instance, 2024.</w:t>
      </w:r>
      <w:r w:rsidR="00516A81">
        <w:t xml:space="preserve"> The </w:t>
      </w:r>
      <w:r w:rsidRPr="00516A81" w:rsidR="00516A81">
        <w:t xml:space="preserve">ERRA </w:t>
      </w:r>
      <w:r w:rsidR="00516A81">
        <w:t xml:space="preserve">process </w:t>
      </w:r>
      <w:r w:rsidRPr="00516A81" w:rsidR="00516A81">
        <w:t xml:space="preserve">was established </w:t>
      </w:r>
      <w:r w:rsidR="00516A81">
        <w:t>in</w:t>
      </w:r>
      <w:r w:rsidRPr="00516A81" w:rsidR="00516A81">
        <w:t xml:space="preserve"> California Public Utilities Code</w:t>
      </w:r>
      <w:r w:rsidR="00FC4218">
        <w:t xml:space="preserve"> (Pub. Util. Code)</w:t>
      </w:r>
      <w:r w:rsidRPr="00516A81" w:rsidR="00516A81">
        <w:t xml:space="preserve"> </w:t>
      </w:r>
      <w:r w:rsidR="00FC4218">
        <w:t>§</w:t>
      </w:r>
      <w:r w:rsidRPr="00516A81" w:rsidR="00516A81">
        <w:t xml:space="preserve"> 454.5(d),</w:t>
      </w:r>
      <w:r w:rsidR="00516A81">
        <w:t xml:space="preserve"> Rules </w:t>
      </w:r>
      <w:r w:rsidRPr="00516A81" w:rsidR="00516A81">
        <w:t>2.1 and 3.2 of the</w:t>
      </w:r>
      <w:r w:rsidR="00516A81">
        <w:t xml:space="preserve"> Commission’s</w:t>
      </w:r>
      <w:r w:rsidRPr="00516A81" w:rsidR="00516A81">
        <w:t xml:space="preserve"> Rules of Practice and Procedure</w:t>
      </w:r>
      <w:r w:rsidR="00516A81">
        <w:t xml:space="preserve">, and </w:t>
      </w:r>
      <w:r w:rsidRPr="00516A81" w:rsidR="00516A81">
        <w:t>D.02-10-062.</w:t>
      </w:r>
      <w:r w:rsidR="00FC4218">
        <w:rPr>
          <w:rStyle w:val="FootnoteReference"/>
        </w:rPr>
        <w:footnoteReference w:id="14"/>
      </w:r>
    </w:p>
    <w:p w:rsidR="005A148C" w:rsidP="00BC00A0" w:rsidRDefault="005939A5" w14:paraId="7239D6E6" w14:textId="77777777">
      <w:pPr>
        <w:pStyle w:val="Heading1"/>
      </w:pPr>
      <w:bookmarkStart w:name="_Toc8123719" w:id="8"/>
      <w:bookmarkStart w:name="_Toc152331384" w:id="9"/>
      <w:r w:rsidRPr="00BC00A0">
        <w:t>Issues</w:t>
      </w:r>
      <w:r>
        <w:t xml:space="preserve"> Before the Commission</w:t>
      </w:r>
      <w:bookmarkEnd w:id="8"/>
      <w:bookmarkEnd w:id="9"/>
    </w:p>
    <w:p w:rsidR="00B601B3" w:rsidP="00BC00A0" w:rsidRDefault="00B601B3" w14:paraId="74425923" w14:textId="77777777">
      <w:pPr>
        <w:pStyle w:val="Standard"/>
      </w:pPr>
      <w:r>
        <w:t>The issues to be determined or otherwise considered are as follows:</w:t>
      </w:r>
    </w:p>
    <w:p w:rsidR="00FA08E4" w:rsidP="00BC00A0" w:rsidRDefault="00F374B9" w14:paraId="571DCF01" w14:textId="066D8114">
      <w:pPr>
        <w:pStyle w:val="ListNum"/>
        <w:numPr>
          <w:ilvl w:val="0"/>
          <w:numId w:val="19"/>
        </w:numPr>
        <w:ind w:right="1440"/>
      </w:pPr>
      <w:r>
        <w:t xml:space="preserve">Whether </w:t>
      </w:r>
      <w:proofErr w:type="gramStart"/>
      <w:r>
        <w:t>SCE’s</w:t>
      </w:r>
      <w:proofErr w:type="gramEnd"/>
      <w:r>
        <w:t xml:space="preserve"> requested 2024 ERRA forecast revenue</w:t>
      </w:r>
      <w:r w:rsidR="00FA08E4">
        <w:t xml:space="preserve"> </w:t>
      </w:r>
      <w:r>
        <w:t>requirement of $</w:t>
      </w:r>
      <w:r w:rsidR="000D3ED9">
        <w:t>5.23</w:t>
      </w:r>
      <w:r w:rsidR="00432694">
        <w:t>4</w:t>
      </w:r>
      <w:r>
        <w:t xml:space="preserve"> billion is reasonable, including but</w:t>
      </w:r>
      <w:r w:rsidR="00FA08E4">
        <w:t xml:space="preserve"> </w:t>
      </w:r>
      <w:r>
        <w:t>not limited to consideration of the following:</w:t>
      </w:r>
      <w:r w:rsidR="00432694">
        <w:rPr>
          <w:rStyle w:val="FootnoteReference"/>
        </w:rPr>
        <w:footnoteReference w:id="15"/>
      </w:r>
    </w:p>
    <w:p w:rsidR="00FA08E4" w:rsidP="00BC00A0" w:rsidRDefault="00F374B9" w14:paraId="1858E05D" w14:textId="77777777">
      <w:pPr>
        <w:pStyle w:val="ListNum"/>
        <w:numPr>
          <w:ilvl w:val="1"/>
          <w:numId w:val="19"/>
        </w:numPr>
        <w:ind w:right="1440"/>
      </w:pPr>
      <w:r>
        <w:t xml:space="preserve">SCE’s forecast of electric sales and electric </w:t>
      </w:r>
      <w:proofErr w:type="gramStart"/>
      <w:r>
        <w:t>load;</w:t>
      </w:r>
      <w:proofErr w:type="gramEnd"/>
    </w:p>
    <w:p w:rsidR="00F374B9" w:rsidP="00BC00A0" w:rsidRDefault="00F374B9" w14:paraId="3AE1981A" w14:textId="2F7E38E1">
      <w:pPr>
        <w:pStyle w:val="ListNum"/>
        <w:numPr>
          <w:ilvl w:val="1"/>
          <w:numId w:val="19"/>
        </w:numPr>
        <w:ind w:right="1440"/>
      </w:pPr>
      <w:r>
        <w:t xml:space="preserve">SCE’s forecast costs for fuel and purchased </w:t>
      </w:r>
      <w:proofErr w:type="gramStart"/>
      <w:r>
        <w:t>power</w:t>
      </w:r>
      <w:proofErr w:type="gramEnd"/>
      <w:r>
        <w:t xml:space="preserve"> </w:t>
      </w:r>
    </w:p>
    <w:p w:rsidR="00F374B9" w:rsidP="00BC00A0" w:rsidRDefault="00F374B9" w14:paraId="7B94F5A2" w14:textId="77777777">
      <w:pPr>
        <w:pStyle w:val="Standard"/>
        <w:spacing w:after="120" w:line="240" w:lineRule="auto"/>
        <w:ind w:left="1440" w:right="1440" w:firstLine="0"/>
      </w:pPr>
      <w:proofErr w:type="gramStart"/>
      <w:r>
        <w:t>expenses;</w:t>
      </w:r>
      <w:proofErr w:type="gramEnd"/>
    </w:p>
    <w:p w:rsidR="00FA08E4" w:rsidP="00BC00A0" w:rsidRDefault="00F374B9" w14:paraId="122BF56B" w14:textId="77777777">
      <w:pPr>
        <w:pStyle w:val="Standard"/>
        <w:numPr>
          <w:ilvl w:val="1"/>
          <w:numId w:val="19"/>
        </w:numPr>
        <w:spacing w:after="120" w:line="240" w:lineRule="auto"/>
        <w:ind w:right="1440"/>
      </w:pPr>
      <w:r>
        <w:t xml:space="preserve">SCE’s forecast costs for spent nuclear fuel interim </w:t>
      </w:r>
      <w:proofErr w:type="gramStart"/>
      <w:r>
        <w:t>storage;</w:t>
      </w:r>
      <w:proofErr w:type="gramEnd"/>
    </w:p>
    <w:p w:rsidR="00FA08E4" w:rsidP="00BC00A0" w:rsidRDefault="00F374B9" w14:paraId="59A4671F" w14:textId="77777777">
      <w:pPr>
        <w:pStyle w:val="Standard"/>
        <w:numPr>
          <w:ilvl w:val="1"/>
          <w:numId w:val="19"/>
        </w:numPr>
        <w:spacing w:after="120" w:line="240" w:lineRule="auto"/>
        <w:ind w:right="1440"/>
      </w:pPr>
      <w:r>
        <w:t>SCE’s forecast greenhouse gas (GHG) costs; and</w:t>
      </w:r>
    </w:p>
    <w:p w:rsidR="00F374B9" w:rsidP="00BC00A0" w:rsidRDefault="00F374B9" w14:paraId="3BADD8DD" w14:textId="357F3576">
      <w:pPr>
        <w:pStyle w:val="Standard"/>
        <w:numPr>
          <w:ilvl w:val="1"/>
          <w:numId w:val="19"/>
        </w:numPr>
        <w:spacing w:after="120" w:line="240" w:lineRule="auto"/>
        <w:ind w:right="1440"/>
      </w:pPr>
      <w:r>
        <w:t xml:space="preserve">Annual </w:t>
      </w:r>
      <w:proofErr w:type="gramStart"/>
      <w:r>
        <w:t>true-ups</w:t>
      </w:r>
      <w:proofErr w:type="gramEnd"/>
      <w:r>
        <w:t xml:space="preserve"> for balancing accounts such as the</w:t>
      </w:r>
      <w:r w:rsidR="00FA08E4">
        <w:t xml:space="preserve"> </w:t>
      </w:r>
      <w:r>
        <w:t>Portfolio Allocation Balancing Account (BA), New</w:t>
      </w:r>
      <w:r w:rsidR="00FA08E4">
        <w:t xml:space="preserve"> </w:t>
      </w:r>
      <w:r>
        <w:t xml:space="preserve">System Generation BA; Energy Settlements Memorandum Account, ERRA BA, </w:t>
      </w:r>
      <w:proofErr w:type="spellStart"/>
      <w:r>
        <w:t>BioMAT</w:t>
      </w:r>
      <w:proofErr w:type="spellEnd"/>
      <w:r w:rsidR="00FA08E4">
        <w:t xml:space="preserve"> </w:t>
      </w:r>
      <w:r w:rsidR="00BC00A0">
        <w:br/>
      </w:r>
      <w:r>
        <w:lastRenderedPageBreak/>
        <w:t>Non-</w:t>
      </w:r>
      <w:proofErr w:type="spellStart"/>
      <w:r>
        <w:t>Bypasssable</w:t>
      </w:r>
      <w:proofErr w:type="spellEnd"/>
      <w:r>
        <w:t xml:space="preserve"> Charge</w:t>
      </w:r>
      <w:r w:rsidR="00996D13">
        <w:t xml:space="preserve"> BA</w:t>
      </w:r>
      <w:r>
        <w:t xml:space="preserve">, and Tree Mortality </w:t>
      </w:r>
      <w:r w:rsidR="005E4BB8">
        <w:br/>
      </w:r>
      <w:r>
        <w:t>Non-</w:t>
      </w:r>
      <w:proofErr w:type="spellStart"/>
      <w:r>
        <w:t>Bypassable</w:t>
      </w:r>
      <w:proofErr w:type="spellEnd"/>
      <w:r>
        <w:t xml:space="preserve"> Charge BA.</w:t>
      </w:r>
    </w:p>
    <w:p w:rsidR="00F374B9" w:rsidP="00BC00A0" w:rsidRDefault="00F374B9" w14:paraId="1B9FF782" w14:textId="463DEC95">
      <w:pPr>
        <w:pStyle w:val="Standard"/>
        <w:numPr>
          <w:ilvl w:val="0"/>
          <w:numId w:val="19"/>
        </w:numPr>
        <w:spacing w:after="120" w:line="240" w:lineRule="auto"/>
        <w:ind w:right="1440"/>
      </w:pPr>
      <w:r>
        <w:t>Whether SCE’s forecast of GHG allowance revenue return allocations for energy-intensive trade-exposed customers, small business customers, and the residential customer</w:t>
      </w:r>
      <w:r w:rsidR="00FA08E4">
        <w:t xml:space="preserve"> </w:t>
      </w:r>
      <w:r>
        <w:t>California Climate Credit is reasonable.</w:t>
      </w:r>
    </w:p>
    <w:p w:rsidR="00F374B9" w:rsidP="00BC00A0" w:rsidRDefault="00F374B9" w14:paraId="06F0A007" w14:textId="11300EB7">
      <w:pPr>
        <w:pStyle w:val="Standard"/>
        <w:numPr>
          <w:ilvl w:val="0"/>
          <w:numId w:val="19"/>
        </w:numPr>
        <w:spacing w:after="120" w:line="240" w:lineRule="auto"/>
        <w:ind w:right="1440"/>
      </w:pPr>
      <w:r>
        <w:t>Whether SCE’s forecast of GHG revenues and expenses set</w:t>
      </w:r>
      <w:r w:rsidR="00FA08E4">
        <w:t xml:space="preserve"> </w:t>
      </w:r>
      <w:r>
        <w:t>aside for (1) clean energy and energy efficiency programs</w:t>
      </w:r>
      <w:r w:rsidR="00FA08E4">
        <w:t xml:space="preserve"> </w:t>
      </w:r>
      <w:r>
        <w:t>and GHG administration, and (2) customer education and</w:t>
      </w:r>
      <w:r w:rsidR="00FA08E4">
        <w:t xml:space="preserve"> </w:t>
      </w:r>
      <w:r>
        <w:t xml:space="preserve">outreach plan costs </w:t>
      </w:r>
      <w:proofErr w:type="gramStart"/>
      <w:r w:rsidR="00996D13">
        <w:t>is</w:t>
      </w:r>
      <w:proofErr w:type="gramEnd"/>
      <w:r>
        <w:t xml:space="preserve"> reasonable.</w:t>
      </w:r>
    </w:p>
    <w:p w:rsidR="00F374B9" w:rsidP="00BC00A0" w:rsidRDefault="00F374B9" w14:paraId="735D68B1" w14:textId="3736E5B2">
      <w:pPr>
        <w:pStyle w:val="Standard"/>
        <w:numPr>
          <w:ilvl w:val="0"/>
          <w:numId w:val="19"/>
        </w:numPr>
        <w:spacing w:after="120" w:line="240" w:lineRule="auto"/>
        <w:ind w:right="1440"/>
      </w:pPr>
      <w:r>
        <w:t xml:space="preserve">Whether SCE’s forecast of Central Procurement Entity-related </w:t>
      </w:r>
      <w:proofErr w:type="gramStart"/>
      <w:r>
        <w:t>costs is</w:t>
      </w:r>
      <w:proofErr w:type="gramEnd"/>
      <w:r>
        <w:t xml:space="preserve"> reasonable.</w:t>
      </w:r>
    </w:p>
    <w:p w:rsidR="00FA08E4" w:rsidP="00BC00A0" w:rsidRDefault="00F374B9" w14:paraId="5090DCCD" w14:textId="77777777">
      <w:pPr>
        <w:pStyle w:val="Standard"/>
        <w:numPr>
          <w:ilvl w:val="0"/>
          <w:numId w:val="19"/>
        </w:numPr>
        <w:spacing w:after="120" w:line="240" w:lineRule="auto"/>
        <w:ind w:right="1440"/>
      </w:pPr>
      <w:r>
        <w:t>Whether the Cost Allocation Mechanism rates are</w:t>
      </w:r>
      <w:r w:rsidR="00FA08E4">
        <w:t xml:space="preserve"> </w:t>
      </w:r>
      <w:r>
        <w:t>reasonable.</w:t>
      </w:r>
    </w:p>
    <w:p w:rsidR="00FA08E4" w:rsidP="00BC00A0" w:rsidRDefault="00F374B9" w14:paraId="104BDC5C" w14:textId="77777777">
      <w:pPr>
        <w:pStyle w:val="Standard"/>
        <w:numPr>
          <w:ilvl w:val="0"/>
          <w:numId w:val="19"/>
        </w:numPr>
        <w:spacing w:after="120" w:line="240" w:lineRule="auto"/>
        <w:ind w:right="1440"/>
      </w:pPr>
      <w:r>
        <w:t>Whether SCE’s calculations of the Power Charge Indifference Adjustment (PCIA) and Competitive Transmission Charge are reasonable, including discussion</w:t>
      </w:r>
      <w:r w:rsidR="00FA08E4">
        <w:t xml:space="preserve"> </w:t>
      </w:r>
      <w:r>
        <w:t>of the following</w:t>
      </w:r>
      <w:r w:rsidR="00FA08E4">
        <w:t>:</w:t>
      </w:r>
    </w:p>
    <w:p w:rsidR="00FA08E4" w:rsidP="00BC00A0" w:rsidRDefault="00F374B9" w14:paraId="224C26C8" w14:textId="77777777">
      <w:pPr>
        <w:pStyle w:val="Standard"/>
        <w:numPr>
          <w:ilvl w:val="1"/>
          <w:numId w:val="19"/>
        </w:numPr>
        <w:spacing w:after="120" w:line="240" w:lineRule="auto"/>
        <w:ind w:right="1440"/>
      </w:pPr>
      <w:r>
        <w:t xml:space="preserve">Treatment of Resource Adequacy resources and associated costs in the </w:t>
      </w:r>
      <w:proofErr w:type="gramStart"/>
      <w:r>
        <w:t>PCIA;</w:t>
      </w:r>
      <w:proofErr w:type="gramEnd"/>
    </w:p>
    <w:p w:rsidR="00FA08E4" w:rsidP="00BC00A0" w:rsidRDefault="00F374B9" w14:paraId="2A2989F8" w14:textId="77777777">
      <w:pPr>
        <w:pStyle w:val="Standard"/>
        <w:numPr>
          <w:ilvl w:val="1"/>
          <w:numId w:val="19"/>
        </w:numPr>
        <w:spacing w:after="120" w:line="240" w:lineRule="auto"/>
        <w:ind w:right="1440"/>
      </w:pPr>
      <w:r>
        <w:t>Treatment of Renewables Portfolio Standard (RPS)</w:t>
      </w:r>
      <w:r w:rsidR="00FA08E4">
        <w:t xml:space="preserve"> </w:t>
      </w:r>
      <w:r>
        <w:t xml:space="preserve">resources with excess RPS value and allocation of RPS sales across </w:t>
      </w:r>
      <w:proofErr w:type="gramStart"/>
      <w:r>
        <w:t>vintages;</w:t>
      </w:r>
      <w:proofErr w:type="gramEnd"/>
    </w:p>
    <w:p w:rsidR="00FA08E4" w:rsidP="00BC00A0" w:rsidRDefault="00F374B9" w14:paraId="4C908B06" w14:textId="77777777">
      <w:pPr>
        <w:pStyle w:val="Standard"/>
        <w:numPr>
          <w:ilvl w:val="1"/>
          <w:numId w:val="19"/>
        </w:numPr>
        <w:spacing w:after="120" w:line="240" w:lineRule="auto"/>
        <w:ind w:right="1440"/>
      </w:pPr>
      <w:r>
        <w:t xml:space="preserve">Calculation of the indifference </w:t>
      </w:r>
      <w:proofErr w:type="gramStart"/>
      <w:r>
        <w:t>amount;</w:t>
      </w:r>
      <w:proofErr w:type="gramEnd"/>
    </w:p>
    <w:p w:rsidR="00B259D3" w:rsidP="00BC00A0" w:rsidRDefault="00F374B9" w14:paraId="3B6224A3" w14:textId="77777777">
      <w:pPr>
        <w:pStyle w:val="Standard"/>
        <w:numPr>
          <w:ilvl w:val="1"/>
          <w:numId w:val="19"/>
        </w:numPr>
        <w:spacing w:after="120" w:line="240" w:lineRule="auto"/>
        <w:ind w:right="1440"/>
      </w:pPr>
      <w:r>
        <w:t>Calculation of the year-end Portfolio Allocation BA</w:t>
      </w:r>
      <w:r w:rsidR="00B259D3">
        <w:t xml:space="preserve"> </w:t>
      </w:r>
      <w:r>
        <w:t>balance; and</w:t>
      </w:r>
    </w:p>
    <w:p w:rsidR="00F374B9" w:rsidP="00BC00A0" w:rsidRDefault="00F374B9" w14:paraId="04163C6C" w14:textId="006B7B88">
      <w:pPr>
        <w:pStyle w:val="Standard"/>
        <w:numPr>
          <w:ilvl w:val="1"/>
          <w:numId w:val="19"/>
        </w:numPr>
        <w:spacing w:after="120" w:line="240" w:lineRule="auto"/>
        <w:ind w:right="1440"/>
      </w:pPr>
      <w:r>
        <w:t>Allocation of indifference charges among vintages and</w:t>
      </w:r>
      <w:r w:rsidR="00B259D3">
        <w:t xml:space="preserve"> </w:t>
      </w:r>
      <w:r>
        <w:t>customer classes.</w:t>
      </w:r>
    </w:p>
    <w:p w:rsidR="00F374B9" w:rsidP="00BC00A0" w:rsidRDefault="00F374B9" w14:paraId="7B6E22F1" w14:textId="300B2F47">
      <w:pPr>
        <w:pStyle w:val="Standard"/>
        <w:numPr>
          <w:ilvl w:val="0"/>
          <w:numId w:val="19"/>
        </w:numPr>
        <w:spacing w:after="120" w:line="240" w:lineRule="auto"/>
        <w:ind w:right="1440"/>
      </w:pPr>
      <w:r>
        <w:t>Whether SCE’s request and methods used to determine the issues described above comply with all applicable rules,</w:t>
      </w:r>
      <w:r w:rsidR="00B259D3">
        <w:t xml:space="preserve"> </w:t>
      </w:r>
      <w:r>
        <w:t xml:space="preserve">regulations, resolutions, and </w:t>
      </w:r>
      <w:r w:rsidR="00A14797">
        <w:t>Decision</w:t>
      </w:r>
      <w:r>
        <w:t>s for all customer categories.</w:t>
      </w:r>
    </w:p>
    <w:p w:rsidR="00B259D3" w:rsidP="00BC00A0" w:rsidRDefault="00F374B9" w14:paraId="5AFEB716" w14:textId="3C1211EB">
      <w:pPr>
        <w:pStyle w:val="Standard"/>
        <w:numPr>
          <w:ilvl w:val="0"/>
          <w:numId w:val="19"/>
        </w:numPr>
        <w:spacing w:after="120" w:line="240" w:lineRule="auto"/>
        <w:ind w:right="1440"/>
      </w:pPr>
      <w:r>
        <w:t>Whether there are any safety concerns.</w:t>
      </w:r>
    </w:p>
    <w:p w:rsidR="00E3058C" w:rsidP="00A17445" w:rsidRDefault="00E3058C" w14:paraId="27248586" w14:textId="36B3EC0A">
      <w:pPr>
        <w:pStyle w:val="Standard"/>
      </w:pPr>
      <w:r>
        <w:lastRenderedPageBreak/>
        <w:t xml:space="preserve">As noted </w:t>
      </w:r>
      <w:r w:rsidRPr="005E4BB8">
        <w:t>in</w:t>
      </w:r>
      <w:r>
        <w:t xml:space="preserve"> </w:t>
      </w:r>
      <w:r w:rsidRPr="00A17445">
        <w:t>Section</w:t>
      </w:r>
      <w:r>
        <w:t xml:space="preserve"> 1, above, an ALJ Ruling issued October 9, 2023, deferred consideration of fixed cost generation issues raised in the Ruling to a second track of A.23-06-001.</w:t>
      </w:r>
    </w:p>
    <w:p w:rsidR="000C1638" w:rsidP="00BC00A0" w:rsidRDefault="009918FC" w14:paraId="4D72960D" w14:textId="2D9FF383">
      <w:pPr>
        <w:pStyle w:val="Heading1"/>
      </w:pPr>
      <w:bookmarkStart w:name="_Toc8123720" w:id="10"/>
      <w:bookmarkStart w:name="_Toc152331385" w:id="11"/>
      <w:r w:rsidRPr="00BC00A0">
        <w:t>2024</w:t>
      </w:r>
      <w:r>
        <w:t xml:space="preserve"> Forecast Overview and Methodology</w:t>
      </w:r>
      <w:bookmarkEnd w:id="11"/>
    </w:p>
    <w:p w:rsidR="00194D1F" w:rsidP="005E4BB8" w:rsidRDefault="00194D1F" w14:paraId="1DF5D644" w14:textId="0EE68D8F">
      <w:pPr>
        <w:pStyle w:val="Standard"/>
      </w:pPr>
      <w:r w:rsidRPr="00454D1A">
        <w:t xml:space="preserve">SCE </w:t>
      </w:r>
      <w:r w:rsidRPr="005E4BB8">
        <w:t>forecasted</w:t>
      </w:r>
      <w:r>
        <w:t xml:space="preserve"> 2024 </w:t>
      </w:r>
      <w:r w:rsidRPr="00454D1A">
        <w:t xml:space="preserve">revenue requirement </w:t>
      </w:r>
      <w:r>
        <w:t xml:space="preserve">based </w:t>
      </w:r>
      <w:r w:rsidRPr="00454D1A">
        <w:t xml:space="preserve">on </w:t>
      </w:r>
      <w:r>
        <w:t>modeling</w:t>
      </w:r>
      <w:r w:rsidRPr="00454D1A">
        <w:t xml:space="preserve"> of total electricity sales and customers for its service territory that was completed in December</w:t>
      </w:r>
      <w:r>
        <w:t> </w:t>
      </w:r>
      <w:r w:rsidRPr="00454D1A">
        <w:t>202</w:t>
      </w:r>
      <w:r>
        <w:t>2</w:t>
      </w:r>
      <w:r w:rsidRPr="00454D1A">
        <w:t xml:space="preserve">, </w:t>
      </w:r>
      <w:r>
        <w:t xml:space="preserve">adjusted </w:t>
      </w:r>
      <w:r w:rsidRPr="00454D1A">
        <w:t xml:space="preserve">to account for the bundled customer portion of load. </w:t>
      </w:r>
      <w:r>
        <w:t>SCE proposed to include the following forecast year-end 2023 balancing and memorandum account balances in the 2024 ERRA Forecast revenue requirement: ERRA BA, Energy Settlements Memorandum Account (ESMA)/Litigation Costs Tracking Account (LCTA), New System Generation Balancing Account (NSGBA), Tree Mortality Non-</w:t>
      </w:r>
      <w:proofErr w:type="spellStart"/>
      <w:r>
        <w:t>Bypassable</w:t>
      </w:r>
      <w:proofErr w:type="spellEnd"/>
      <w:r>
        <w:t xml:space="preserve"> Charge Balancing Account (TMNBCBA), </w:t>
      </w:r>
      <w:proofErr w:type="spellStart"/>
      <w:r>
        <w:t>BioMAT</w:t>
      </w:r>
      <w:proofErr w:type="spellEnd"/>
      <w:r>
        <w:t xml:space="preserve"> Non-</w:t>
      </w:r>
      <w:proofErr w:type="spellStart"/>
      <w:r>
        <w:t>Bypassable</w:t>
      </w:r>
      <w:proofErr w:type="spellEnd"/>
      <w:r>
        <w:t xml:space="preserve"> Charge Balancing Account (BMNBCBA), Portfolio Allocation Balancing Account (PABA), and the Modified Cost Allocation Mechanism Balancing Account (MCAMBA), pursuant to D.15-10-037, D.18-12-003 and D.18-10-019.</w:t>
      </w:r>
      <w:r>
        <w:rPr>
          <w:rStyle w:val="FootnoteReference"/>
        </w:rPr>
        <w:footnoteReference w:id="16"/>
      </w:r>
      <w:r>
        <w:t xml:space="preserve"> </w:t>
      </w:r>
    </w:p>
    <w:p w:rsidR="00073065" w:rsidP="005E4BB8" w:rsidRDefault="00970165" w14:paraId="2586E426" w14:textId="6E003028">
      <w:pPr>
        <w:pStyle w:val="Standard"/>
      </w:pPr>
      <w:r w:rsidRPr="00454D1A">
        <w:t xml:space="preserve">SCE’s </w:t>
      </w:r>
      <w:r w:rsidRPr="005E4BB8">
        <w:t>forecast</w:t>
      </w:r>
      <w:r w:rsidRPr="005E4BB8" w:rsidR="00194D1F">
        <w:t>ed</w:t>
      </w:r>
      <w:r w:rsidR="00194D1F">
        <w:t xml:space="preserve"> 2024</w:t>
      </w:r>
      <w:r w:rsidRPr="00454D1A">
        <w:t xml:space="preserve"> </w:t>
      </w:r>
      <w:r w:rsidR="00F63B55">
        <w:t>fuel and power purchase (</w:t>
      </w:r>
      <w:r w:rsidRPr="001C0E35">
        <w:t>F&amp;PP</w:t>
      </w:r>
      <w:r w:rsidR="00F63B55">
        <w:t>)</w:t>
      </w:r>
      <w:r w:rsidRPr="00454D1A">
        <w:t xml:space="preserve"> costs are associated with its </w:t>
      </w:r>
      <w:r w:rsidR="00F63B55">
        <w:t>utility-owned generation (</w:t>
      </w:r>
      <w:r w:rsidRPr="001C0E35">
        <w:t>UOG</w:t>
      </w:r>
      <w:r w:rsidR="00F63B55">
        <w:t>)</w:t>
      </w:r>
      <w:r w:rsidRPr="00454D1A">
        <w:t xml:space="preserve"> resources, purchased power contracts, financing, various carrying costs, and procurement contracts to meet reliability requirements set by the Commission</w:t>
      </w:r>
      <w:r>
        <w:t>.</w:t>
      </w:r>
      <w:r w:rsidR="00490594">
        <w:t xml:space="preserve"> In its October Update, </w:t>
      </w:r>
      <w:r w:rsidR="00BD50BB">
        <w:t xml:space="preserve">as updated in its October 24, 26, </w:t>
      </w:r>
      <w:r w:rsidRPr="002F290B" w:rsidR="00BD50BB">
        <w:t xml:space="preserve">and </w:t>
      </w:r>
      <w:r w:rsidRPr="002F290B" w:rsidR="003D6F0D">
        <w:t>October 31</w:t>
      </w:r>
      <w:r w:rsidRPr="002F290B" w:rsidR="00BD50BB">
        <w:t>, 2023</w:t>
      </w:r>
      <w:r w:rsidRPr="002F290B" w:rsidR="003D6F0D">
        <w:t>,</w:t>
      </w:r>
      <w:r w:rsidRPr="002F290B" w:rsidR="00BD50BB">
        <w:t xml:space="preserve"> errata</w:t>
      </w:r>
      <w:r w:rsidR="00BD50BB">
        <w:t xml:space="preserve">, </w:t>
      </w:r>
      <w:r w:rsidRPr="00454D1A">
        <w:t>SCE forecast</w:t>
      </w:r>
      <w:r w:rsidR="003712D7">
        <w:t>ed</w:t>
      </w:r>
      <w:r w:rsidRPr="00454D1A">
        <w:t xml:space="preserve"> its 202</w:t>
      </w:r>
      <w:r w:rsidR="003712D7">
        <w:t>4</w:t>
      </w:r>
      <w:r w:rsidRPr="00454D1A">
        <w:t xml:space="preserve"> total </w:t>
      </w:r>
      <w:r w:rsidR="00073065">
        <w:t xml:space="preserve">forecasted F&amp;PP </w:t>
      </w:r>
      <w:r w:rsidRPr="00454D1A">
        <w:t xml:space="preserve">revenue requirement </w:t>
      </w:r>
      <w:r w:rsidR="00073065">
        <w:t>to be lower than SCE’s 2023 ERRA forecast when accounting for:</w:t>
      </w:r>
    </w:p>
    <w:p w:rsidR="00141FDF" w:rsidP="005E4BB8" w:rsidRDefault="00141FDF" w14:paraId="64AAF9CF" w14:textId="3C1ACA92">
      <w:pPr>
        <w:pStyle w:val="ListNum"/>
        <w:ind w:right="1440"/>
      </w:pPr>
      <w:r>
        <w:t>Updating SCE’s bundled service customer load forecast</w:t>
      </w:r>
      <w:r w:rsidR="002878BD">
        <w:t xml:space="preserve"> </w:t>
      </w:r>
      <w:r>
        <w:t xml:space="preserve">for net energy metering (NEM) adjustments, which is 1.4 </w:t>
      </w:r>
      <w:r>
        <w:lastRenderedPageBreak/>
        <w:t xml:space="preserve">percent lower in 2024 when compared to the gross bundled load used in </w:t>
      </w:r>
      <w:proofErr w:type="gramStart"/>
      <w:r>
        <w:t>2023;</w:t>
      </w:r>
      <w:proofErr w:type="gramEnd"/>
    </w:p>
    <w:p w:rsidR="00141FDF" w:rsidP="005E4BB8" w:rsidRDefault="00141FDF" w14:paraId="15B78819" w14:textId="2A0C31E8">
      <w:pPr>
        <w:pStyle w:val="ListNum"/>
        <w:ind w:right="1440"/>
      </w:pPr>
      <w:r>
        <w:t>Increased revenue from R</w:t>
      </w:r>
      <w:r w:rsidR="00D36935">
        <w:t>esource Adequacy (RA)</w:t>
      </w:r>
      <w:r>
        <w:t xml:space="preserve"> and </w:t>
      </w:r>
      <w:r w:rsidR="00D36935">
        <w:t>Renewable Energy Certificate (REC)</w:t>
      </w:r>
      <w:r>
        <w:t xml:space="preserve"> sales, including Voluntary Allocation, due to the higher 2024 </w:t>
      </w:r>
      <w:r w:rsidR="003D6F0D">
        <w:t>Market Price Benchmark (MPB</w:t>
      </w:r>
      <w:proofErr w:type="gramStart"/>
      <w:r w:rsidR="003D6F0D">
        <w:t>)</w:t>
      </w:r>
      <w:r>
        <w:t>;</w:t>
      </w:r>
      <w:proofErr w:type="gramEnd"/>
    </w:p>
    <w:p w:rsidR="00141FDF" w:rsidP="005E4BB8" w:rsidRDefault="00141FDF" w14:paraId="36DE1884" w14:textId="469D48C8">
      <w:pPr>
        <w:pStyle w:val="ListNum"/>
        <w:ind w:right="1440"/>
      </w:pPr>
      <w:r>
        <w:t>Higher sales revenue from the Market Offer process due to a higher contractual price in 2024 relative to the 2023 MPB;</w:t>
      </w:r>
      <w:r w:rsidR="00566FDE">
        <w:t xml:space="preserve"> and</w:t>
      </w:r>
    </w:p>
    <w:p w:rsidR="00141FDF" w:rsidP="005E4BB8" w:rsidRDefault="00141FDF" w14:paraId="70452298" w14:textId="78CB0EB5">
      <w:pPr>
        <w:pStyle w:val="ListNum"/>
        <w:ind w:right="1440"/>
      </w:pPr>
      <w:r>
        <w:t>Contract terminations of a large portion of SCE’s gas dispatchable portfolio</w:t>
      </w:r>
      <w:r w:rsidR="00566FDE">
        <w:t>.</w:t>
      </w:r>
    </w:p>
    <w:p w:rsidR="00141FDF" w:rsidP="005E4BB8" w:rsidRDefault="00141FDF" w14:paraId="5E10BCFC" w14:textId="5C708D37">
      <w:pPr>
        <w:pStyle w:val="Standard"/>
      </w:pPr>
      <w:r>
        <w:t>The adjusted, and lower, F&amp;PP revenue requirement reflects increased costs associated with</w:t>
      </w:r>
      <w:r w:rsidR="00D36935">
        <w:t>:</w:t>
      </w:r>
    </w:p>
    <w:p w:rsidR="00D36935" w:rsidP="005E4BB8" w:rsidRDefault="00D36935" w14:paraId="1554A53B" w14:textId="28EA5CC8">
      <w:pPr>
        <w:pStyle w:val="Standard"/>
        <w:numPr>
          <w:ilvl w:val="0"/>
          <w:numId w:val="33"/>
        </w:numPr>
        <w:spacing w:after="120" w:line="240" w:lineRule="auto"/>
        <w:ind w:right="1440"/>
      </w:pPr>
      <w:r>
        <w:t xml:space="preserve">Hedging costs associated with SCE’s loss of energy rights for the local capacity requirement (LCR) dispatchable </w:t>
      </w:r>
      <w:proofErr w:type="gramStart"/>
      <w:r>
        <w:t>units;</w:t>
      </w:r>
      <w:proofErr w:type="gramEnd"/>
    </w:p>
    <w:p w:rsidR="00D36935" w:rsidP="005E4BB8" w:rsidRDefault="00D36935" w14:paraId="57A0F30F" w14:textId="36D7A916">
      <w:pPr>
        <w:pStyle w:val="Standard"/>
        <w:numPr>
          <w:ilvl w:val="0"/>
          <w:numId w:val="33"/>
        </w:numPr>
        <w:spacing w:after="120" w:line="240" w:lineRule="auto"/>
        <w:ind w:right="1440"/>
      </w:pPr>
      <w:r>
        <w:t>A forecast of 22 percent higher gas prices and 17 percent lower power prices in 2024; and</w:t>
      </w:r>
    </w:p>
    <w:p w:rsidR="00D36935" w:rsidP="005E4BB8" w:rsidRDefault="00D36935" w14:paraId="316D8765" w14:textId="1CBF752C">
      <w:pPr>
        <w:pStyle w:val="Standard"/>
        <w:numPr>
          <w:ilvl w:val="0"/>
          <w:numId w:val="33"/>
        </w:numPr>
        <w:spacing w:after="120" w:line="240" w:lineRule="auto"/>
        <w:ind w:right="1440"/>
      </w:pPr>
      <w:r>
        <w:t xml:space="preserve">The addition of new RA purchases, including contracts related to </w:t>
      </w:r>
      <w:r w:rsidR="00D141DF">
        <w:t xml:space="preserve">MTR </w:t>
      </w:r>
      <w:r>
        <w:t>procurement.</w:t>
      </w:r>
    </w:p>
    <w:p w:rsidR="00970165" w:rsidP="005E4BB8" w:rsidRDefault="00490594" w14:paraId="30510FE3" w14:textId="4BB6EB69">
      <w:pPr>
        <w:pStyle w:val="Standard"/>
      </w:pPr>
      <w:r>
        <w:t xml:space="preserve">In its October Update, SCE requested a 2024 ERRA Forecast proceeding revenue requirement </w:t>
      </w:r>
      <w:r w:rsidRPr="00C42934">
        <w:t>of $5.23</w:t>
      </w:r>
      <w:r w:rsidR="00BD50BB">
        <w:t>4</w:t>
      </w:r>
      <w:r w:rsidRPr="00C42934">
        <w:t xml:space="preserve"> billion, beginning in 2024, which</w:t>
      </w:r>
      <w:r w:rsidRPr="00996421" w:rsidR="00C42E09">
        <w:t xml:space="preserve"> represent</w:t>
      </w:r>
      <w:r w:rsidRPr="00996421">
        <w:t>s</w:t>
      </w:r>
      <w:r w:rsidRPr="00996421" w:rsidR="00C42E09">
        <w:t xml:space="preserve"> a decrease of approximately $</w:t>
      </w:r>
      <w:r w:rsidRPr="00996421">
        <w:t>32</w:t>
      </w:r>
      <w:r w:rsidR="00BD50BB">
        <w:t>5.830</w:t>
      </w:r>
      <w:r w:rsidRPr="00996421" w:rsidR="00C42E09">
        <w:t xml:space="preserve"> million</w:t>
      </w:r>
      <w:r w:rsidRPr="00C42934">
        <w:t xml:space="preserve"> from the ERRA Forecast-related revenue requirement currently</w:t>
      </w:r>
      <w:r>
        <w:t xml:space="preserve"> reflected in customers’ 2023 ERRA </w:t>
      </w:r>
      <w:r w:rsidR="005E4BB8">
        <w:br/>
      </w:r>
      <w:r>
        <w:t>Forecast-related rates</w:t>
      </w:r>
      <w:r w:rsidR="00C42E09">
        <w:t>.</w:t>
      </w:r>
      <w:r w:rsidRPr="00454D1A" w:rsidR="00970165">
        <w:rPr>
          <w:rStyle w:val="FootnoteReference"/>
        </w:rPr>
        <w:footnoteReference w:id="17"/>
      </w:r>
      <w:r w:rsidR="004530CD">
        <w:t xml:space="preserve"> These costs are </w:t>
      </w:r>
      <w:r>
        <w:t xml:space="preserve">described </w:t>
      </w:r>
      <w:r w:rsidR="004530CD">
        <w:t>in more detail in Section 5, below.</w:t>
      </w:r>
    </w:p>
    <w:p w:rsidR="006E6561" w:rsidP="005E4BB8" w:rsidRDefault="006E6561" w14:paraId="57AC9ACB" w14:textId="796DC9CC">
      <w:pPr>
        <w:pStyle w:val="Standard"/>
      </w:pPr>
      <w:r w:rsidRPr="00BC00A0">
        <w:t>SCE</w:t>
      </w:r>
      <w:r>
        <w:t xml:space="preserve"> </w:t>
      </w:r>
      <w:r w:rsidRPr="005E4BB8">
        <w:t>noted</w:t>
      </w:r>
      <w:r>
        <w:t xml:space="preserve"> that its </w:t>
      </w:r>
      <w:r w:rsidR="00073065">
        <w:t>F</w:t>
      </w:r>
      <w:r w:rsidR="00566FDE">
        <w:t>&amp;PP</w:t>
      </w:r>
      <w:r w:rsidR="00073065">
        <w:t xml:space="preserve"> </w:t>
      </w:r>
      <w:r>
        <w:t xml:space="preserve">expenses, for the purposes of setting its 2024 rates, also reflect the costs of implementing its second Risk Assessment Management </w:t>
      </w:r>
      <w:r>
        <w:lastRenderedPageBreak/>
        <w:t>Phase (RAMP), which it filed on May 13, 2022</w:t>
      </w:r>
      <w:r w:rsidR="009826B9">
        <w:t xml:space="preserve">. The RAMP is intended to </w:t>
      </w:r>
      <w:r w:rsidR="00CC7585">
        <w:t>provide Commission staff and interested parties the opportunity to analyze the models SCE uses to evaluate</w:t>
      </w:r>
      <w:r w:rsidR="009826B9">
        <w:t xml:space="preserve"> safety risks</w:t>
      </w:r>
      <w:r w:rsidR="00CC7585">
        <w:t>, and its proposed mitigation options</w:t>
      </w:r>
      <w:r>
        <w:t>.</w:t>
      </w:r>
      <w:r w:rsidR="00CC7585">
        <w:rPr>
          <w:rStyle w:val="FootnoteReference"/>
        </w:rPr>
        <w:footnoteReference w:id="18"/>
      </w:r>
    </w:p>
    <w:p w:rsidR="006D4D51" w:rsidP="005E4BB8" w:rsidRDefault="00C42E09" w14:paraId="78EAEEC1" w14:textId="1DD3A269">
      <w:pPr>
        <w:pStyle w:val="Standard"/>
      </w:pPr>
      <w:r w:rsidRPr="00BC00A0">
        <w:t>To</w:t>
      </w:r>
      <w:r>
        <w:t xml:space="preserve"> develop </w:t>
      </w:r>
      <w:r w:rsidRPr="005E4BB8">
        <w:t>its</w:t>
      </w:r>
      <w:r>
        <w:t xml:space="preserve"> bundled service customer energy forecast for this </w:t>
      </w:r>
      <w:r w:rsidR="00566FDE">
        <w:t>A</w:t>
      </w:r>
      <w:r>
        <w:t xml:space="preserve">pplication, SCE used a retail customer sales forecast completed in </w:t>
      </w:r>
      <w:r w:rsidR="005E4BB8">
        <w:br/>
      </w:r>
      <w:r>
        <w:t>December 2022</w:t>
      </w:r>
      <w:r w:rsidR="004009AC">
        <w:t>,</w:t>
      </w:r>
      <w:r>
        <w:t xml:space="preserve"> consisting of forecast sales to bundled service customers and Departing Load customers measured at the customer meter</w:t>
      </w:r>
      <w:r w:rsidR="00D36935">
        <w:t xml:space="preserve"> (the </w:t>
      </w:r>
      <w:r w:rsidR="00566FDE">
        <w:t>former</w:t>
      </w:r>
      <w:r w:rsidR="00D36935">
        <w:t xml:space="preserve"> being functionalized as “generation service,</w:t>
      </w:r>
      <w:r w:rsidR="00566FDE">
        <w:t>”</w:t>
      </w:r>
      <w:r w:rsidR="00D36935">
        <w:t xml:space="preserve"> and the latter “delivery service.”)</w:t>
      </w:r>
      <w:r>
        <w:t xml:space="preserve">. </w:t>
      </w:r>
      <w:r w:rsidRPr="00996421">
        <w:t xml:space="preserve">Total retail electricity sales in SCE’s service territory totaled 85,996 gigawatt hours (GWh) in 2022. For 2023 and 2024, SCE </w:t>
      </w:r>
      <w:r w:rsidRPr="00996421" w:rsidR="009826B9">
        <w:t>forecasted</w:t>
      </w:r>
      <w:r w:rsidRPr="00996421">
        <w:t xml:space="preserve"> sales of 82,966 GWh and </w:t>
      </w:r>
      <w:r w:rsidR="005E4BB8">
        <w:br/>
      </w:r>
      <w:r w:rsidRPr="00996421">
        <w:t>83,762 GWh, respectively.</w:t>
      </w:r>
      <w:r w:rsidR="00D9355F">
        <w:rPr>
          <w:rStyle w:val="FootnoteReference"/>
        </w:rPr>
        <w:footnoteReference w:id="19"/>
      </w:r>
      <w:r>
        <w:t xml:space="preserve"> The</w:t>
      </w:r>
      <w:r w:rsidR="00D36935">
        <w:t xml:space="preserve"> </w:t>
      </w:r>
      <w:r>
        <w:t xml:space="preserve">decrease in 2023 </w:t>
      </w:r>
      <w:r w:rsidR="00703901">
        <w:t>was</w:t>
      </w:r>
      <w:r>
        <w:t xml:space="preserve"> a result of a normal weather assumption relative to 2022’s extremely hot summer weather conditions. The </w:t>
      </w:r>
      <w:r w:rsidR="004530CD">
        <w:t xml:space="preserve">forecasted </w:t>
      </w:r>
      <w:r>
        <w:t xml:space="preserve">increase in 2024 </w:t>
      </w:r>
      <w:r w:rsidR="00703901">
        <w:t>was</w:t>
      </w:r>
      <w:r>
        <w:t xml:space="preserve"> </w:t>
      </w:r>
      <w:r w:rsidR="004530CD">
        <w:t>attributed to</w:t>
      </w:r>
      <w:r w:rsidR="00703901">
        <w:t xml:space="preserve"> a forecasted</w:t>
      </w:r>
      <w:r>
        <w:t xml:space="preserve"> increase</w:t>
      </w:r>
      <w:r w:rsidR="00703901">
        <w:t xml:space="preserve"> in</w:t>
      </w:r>
      <w:r>
        <w:t xml:space="preserve"> electricity consumption from </w:t>
      </w:r>
      <w:r w:rsidR="00703901">
        <w:t>a higher number of</w:t>
      </w:r>
      <w:r w:rsidR="009826B9">
        <w:t xml:space="preserve"> </w:t>
      </w:r>
      <w:r>
        <w:t>climate</w:t>
      </w:r>
      <w:r w:rsidR="00703901">
        <w:t xml:space="preserve"> change-driven </w:t>
      </w:r>
      <w:r>
        <w:t>cooling degree days and increased transportation electrification load.</w:t>
      </w:r>
      <w:r>
        <w:rPr>
          <w:rStyle w:val="FootnoteReference"/>
        </w:rPr>
        <w:footnoteReference w:id="20"/>
      </w:r>
    </w:p>
    <w:p w:rsidRPr="00454D1A" w:rsidR="00FA08E4" w:rsidP="005E4BB8" w:rsidRDefault="004F7957" w14:paraId="2B9C4270" w14:textId="246BF213">
      <w:pPr>
        <w:pStyle w:val="Standard"/>
      </w:pPr>
      <w:r w:rsidRPr="00454D1A">
        <w:t>SCE calculate</w:t>
      </w:r>
      <w:r w:rsidR="005A417B">
        <w:t>d</w:t>
      </w:r>
      <w:r w:rsidRPr="00454D1A">
        <w:t xml:space="preserve"> the revenue requirement necessary for procuring bundled customer energy in 202</w:t>
      </w:r>
      <w:r w:rsidR="005A417B">
        <w:t>4</w:t>
      </w:r>
      <w:r w:rsidRPr="00454D1A">
        <w:t xml:space="preserve"> using energy need at the </w:t>
      </w:r>
      <w:r w:rsidR="003D6F0D">
        <w:t>California Independent System Operator (CAISO)</w:t>
      </w:r>
      <w:r w:rsidRPr="00454D1A" w:rsidR="003D6F0D">
        <w:t xml:space="preserve"> </w:t>
      </w:r>
      <w:r w:rsidRPr="00454D1A">
        <w:t>interface</w:t>
      </w:r>
      <w:r w:rsidR="005A417B">
        <w:t>. This methodology enabled</w:t>
      </w:r>
      <w:r w:rsidRPr="00454D1A">
        <w:t xml:space="preserve"> SCE to account for line losses inherent in transporting energy from the CAISO interface to bundled service customers’ meters.</w:t>
      </w:r>
      <w:r>
        <w:rPr>
          <w:rStyle w:val="FootnoteReference"/>
        </w:rPr>
        <w:footnoteReference w:id="21"/>
      </w:r>
      <w:r w:rsidRPr="00FA08E4" w:rsidR="00FA08E4">
        <w:t xml:space="preserve"> </w:t>
      </w:r>
      <w:r w:rsidRPr="00454D1A" w:rsidR="00FA08E4">
        <w:t xml:space="preserve">SCE’s retail sales forecast is </w:t>
      </w:r>
      <w:r w:rsidR="00FA08E4">
        <w:t xml:space="preserve">also </w:t>
      </w:r>
      <w:r w:rsidRPr="00454D1A" w:rsidR="00FA08E4">
        <w:t xml:space="preserve">influenced by </w:t>
      </w:r>
      <w:r w:rsidRPr="00454D1A" w:rsidR="00FA08E4">
        <w:lastRenderedPageBreak/>
        <w:t>historical trends in employment growth, residential housing starts, the economic outlook, weather assumptions</w:t>
      </w:r>
      <w:r w:rsidR="00566FDE">
        <w:t>,</w:t>
      </w:r>
      <w:r w:rsidR="00FA08E4">
        <w:t xml:space="preserve"> </w:t>
      </w:r>
      <w:r w:rsidRPr="00454D1A" w:rsidR="00FA08E4">
        <w:t>and other factors (</w:t>
      </w:r>
      <w:r w:rsidRPr="00454D1A" w:rsidR="00FA08E4">
        <w:rPr>
          <w:i/>
          <w:iCs/>
        </w:rPr>
        <w:t>e.g.,</w:t>
      </w:r>
      <w:r w:rsidRPr="00454D1A" w:rsidR="00FA08E4">
        <w:t xml:space="preserve"> energy efficiency </w:t>
      </w:r>
      <w:r w:rsidR="00264185">
        <w:t xml:space="preserve">(EE) </w:t>
      </w:r>
      <w:r w:rsidRPr="00454D1A" w:rsidR="00FA08E4">
        <w:t>savings, spending on wildfire mitigation, grid safety and resiliency).</w:t>
      </w:r>
    </w:p>
    <w:p w:rsidR="00300084" w:rsidP="005E4BB8" w:rsidRDefault="00300084" w14:paraId="6A5092A2" w14:textId="5C17EB35">
      <w:pPr>
        <w:pStyle w:val="Standard"/>
      </w:pPr>
      <w:r>
        <w:t xml:space="preserve">SCE </w:t>
      </w:r>
      <w:r w:rsidR="00194D1F">
        <w:t xml:space="preserve">then </w:t>
      </w:r>
      <w:r w:rsidRPr="005E4BB8">
        <w:t>applied</w:t>
      </w:r>
      <w:r>
        <w:t xml:space="preserve"> a downward adjustment to its retail sales forecast to account for the 4.45 percent difference between the delivered and billed kilowatt hours (kWh) for customers enrolled in net energy metering (NEM). </w:t>
      </w:r>
      <w:r w:rsidR="00EE34C1">
        <w:t xml:space="preserve">This </w:t>
      </w:r>
      <w:r w:rsidR="000E51A4">
        <w:t>sales adjustment</w:t>
      </w:r>
      <w:r w:rsidR="00EE34C1">
        <w:t xml:space="preserve"> was slightly reduced to 4.3 percent in SCE’s October Update, to be applied to sales used for bundled and </w:t>
      </w:r>
      <w:r w:rsidR="00BE685E">
        <w:t>D</w:t>
      </w:r>
      <w:r w:rsidR="00EE34C1">
        <w:t xml:space="preserve">eparting </w:t>
      </w:r>
      <w:r w:rsidR="00BE685E">
        <w:t>L</w:t>
      </w:r>
      <w:r w:rsidR="00EE34C1">
        <w:t xml:space="preserve">oad customers. </w:t>
      </w:r>
      <w:r>
        <w:t xml:space="preserve">NEM bills are calculated as the net of energy delivered to the site and energy exported from the site to the grid. This NEM billing adjustment is applied to sales for both bundled and Departing Load customers, as it reduces the level of sales available to recover authorized revenues for all retail sales, thereby affecting the forecast </w:t>
      </w:r>
      <w:r w:rsidR="003D6F0D">
        <w:t>of total</w:t>
      </w:r>
      <w:r>
        <w:t xml:space="preserve"> energy costs.</w:t>
      </w:r>
      <w:r>
        <w:rPr>
          <w:rStyle w:val="FootnoteReference"/>
        </w:rPr>
        <w:footnoteReference w:id="22"/>
      </w:r>
      <w:r>
        <w:t xml:space="preserve"> </w:t>
      </w:r>
      <w:r w:rsidR="000E51A4">
        <w:t xml:space="preserve">The NEM </w:t>
      </w:r>
      <w:r w:rsidR="007421A7">
        <w:t>downward</w:t>
      </w:r>
      <w:r w:rsidR="000E51A4">
        <w:t xml:space="preserve"> adjustment </w:t>
      </w:r>
      <w:r w:rsidR="007421A7">
        <w:t>for bundled customers was forecasted to be approximately 5.2 percent.</w:t>
      </w:r>
      <w:r w:rsidR="007421A7">
        <w:rPr>
          <w:rStyle w:val="FootnoteReference"/>
        </w:rPr>
        <w:footnoteReference w:id="23"/>
      </w:r>
    </w:p>
    <w:p w:rsidR="00E01B05" w:rsidP="005E4BB8" w:rsidRDefault="00E01B05" w14:paraId="7023DE7B" w14:textId="2E924873">
      <w:pPr>
        <w:pStyle w:val="Standard"/>
      </w:pPr>
      <w:r w:rsidRPr="00454D1A">
        <w:t xml:space="preserve">SCE’s </w:t>
      </w:r>
      <w:r w:rsidR="00BE685E">
        <w:t xml:space="preserve">forecast </w:t>
      </w:r>
      <w:r>
        <w:t>also accounted</w:t>
      </w:r>
      <w:r w:rsidRPr="00454D1A">
        <w:t xml:space="preserve"> for the statewide increase in the D</w:t>
      </w:r>
      <w:r>
        <w:t>irect Access</w:t>
      </w:r>
      <w:r w:rsidRPr="00454D1A">
        <w:t xml:space="preserve"> load cap, which </w:t>
      </w:r>
      <w:r w:rsidR="004009AC">
        <w:t>started</w:t>
      </w:r>
      <w:r w:rsidR="006F0495">
        <w:t xml:space="preserve"> </w:t>
      </w:r>
      <w:r w:rsidRPr="00454D1A">
        <w:t>in 2021.</w:t>
      </w:r>
      <w:r w:rsidRPr="00454D1A">
        <w:rPr>
          <w:rStyle w:val="FootnoteReference"/>
        </w:rPr>
        <w:footnoteReference w:id="24"/>
      </w:r>
      <w:r w:rsidRPr="00454D1A">
        <w:t xml:space="preserve"> It also include</w:t>
      </w:r>
      <w:r w:rsidR="006F0495">
        <w:t>d</w:t>
      </w:r>
      <w:r w:rsidRPr="00454D1A">
        <w:t xml:space="preserve"> Energy Service Providers and </w:t>
      </w:r>
      <w:r w:rsidRPr="001C0E35">
        <w:t xml:space="preserve">Community Choice Aggregators </w:t>
      </w:r>
      <w:r w:rsidRPr="00454D1A">
        <w:t>(</w:t>
      </w:r>
      <w:r w:rsidRPr="001C0E35">
        <w:t>CCA</w:t>
      </w:r>
      <w:r w:rsidRPr="00454D1A">
        <w:t>) that met one of the following criteria</w:t>
      </w:r>
      <w:r>
        <w:t xml:space="preserve">:  </w:t>
      </w:r>
      <w:r w:rsidRPr="00454D1A">
        <w:t xml:space="preserve">(1) file a binding notice of intent to begin community choice aggregation service; (2) file an initial </w:t>
      </w:r>
      <w:r w:rsidRPr="001C0E35">
        <w:t>RA</w:t>
      </w:r>
      <w:r w:rsidRPr="00454D1A">
        <w:t xml:space="preserve"> filing; (3) start community choice aggregation service; or (4) formally submit an April RA forecast pursuant to Pub.</w:t>
      </w:r>
      <w:r>
        <w:t> </w:t>
      </w:r>
      <w:r w:rsidRPr="00454D1A">
        <w:t xml:space="preserve">Util. Code </w:t>
      </w:r>
      <w:r w:rsidR="003D6F0D">
        <w:t>§</w:t>
      </w:r>
      <w:r w:rsidRPr="00454D1A" w:rsidR="003D6F0D">
        <w:t> </w:t>
      </w:r>
      <w:r w:rsidRPr="00454D1A">
        <w:t>380.</w:t>
      </w:r>
      <w:r>
        <w:rPr>
          <w:rStyle w:val="FootnoteReference"/>
        </w:rPr>
        <w:footnoteReference w:id="25"/>
      </w:r>
      <w:r w:rsidR="00C5548F">
        <w:t xml:space="preserve"> In its October Update, SCE noted that Orange County </w:t>
      </w:r>
      <w:r w:rsidR="00C5548F">
        <w:lastRenderedPageBreak/>
        <w:t xml:space="preserve">Power Authority (OCPA) provided notice on September 29, 2023, with a six-month advance notice of its intent to involuntarily return 4,228 NEM accounts to SCE’s procurement service. Due to the date </w:t>
      </w:r>
      <w:r w:rsidR="006C620D">
        <w:t xml:space="preserve">of that notice </w:t>
      </w:r>
      <w:r w:rsidR="00C5548F">
        <w:t xml:space="preserve">as compared to the deadline for SCE to file the October Update in this proceeding, SCE noted that this mass return of NEM customers will result in an underestimation of 2024 bundled service load forecast and </w:t>
      </w:r>
      <w:r w:rsidR="00D84959">
        <w:t>associated costs, which could be partially offset by higher-than-forecasted customer revenue in 2024.</w:t>
      </w:r>
      <w:r w:rsidR="00D84959">
        <w:rPr>
          <w:rStyle w:val="FootnoteReference"/>
        </w:rPr>
        <w:footnoteReference w:id="26"/>
      </w:r>
    </w:p>
    <w:p w:rsidRPr="00454D1A" w:rsidR="00480CFE" w:rsidP="005E4BB8" w:rsidRDefault="00480CFE" w14:paraId="1590DE70" w14:textId="46475717">
      <w:pPr>
        <w:pStyle w:val="Standard"/>
      </w:pPr>
      <w:r>
        <w:t xml:space="preserve">As </w:t>
      </w:r>
      <w:r w:rsidRPr="005E4BB8">
        <w:t>with</w:t>
      </w:r>
      <w:r>
        <w:t xml:space="preserve"> its past ERRA forecast applications, SCE forecasted energy production from its portfolio using a software model to (1) forecast the least-cost dispatch (LCD) of dispatchable resources in SCE’s portfolio; (2) optimize hydro dispatch; and (3) perform Monte Carlo simulations of forced outage rates of individual units. </w:t>
      </w:r>
      <w:r w:rsidR="00AD4B2E">
        <w:t xml:space="preserve">The price for natural gas was based on monthly New York Mercantile Exchange (NYMEX) forward prices at the SoCal City gate plus intrastate transportation charges from Southern California Gas Company, where applicable. </w:t>
      </w:r>
      <w:r>
        <w:t>It</w:t>
      </w:r>
      <w:r w:rsidR="002A6EC9">
        <w:t xml:space="preserve"> </w:t>
      </w:r>
      <w:r w:rsidR="00AD4B2E">
        <w:t xml:space="preserve">forecasted </w:t>
      </w:r>
      <w:r>
        <w:t>dispatch</w:t>
      </w:r>
      <w:r w:rsidR="00AD4B2E">
        <w:t xml:space="preserve"> of SCE utility-owned and contracted generation resources</w:t>
      </w:r>
      <w:r>
        <w:t xml:space="preserve"> in a least-cost manner, using forward power broker quotes for 2024 to generate hourly price profiles.</w:t>
      </w:r>
      <w:r w:rsidR="00DE2F8C">
        <w:rPr>
          <w:rStyle w:val="FootnoteReference"/>
        </w:rPr>
        <w:footnoteReference w:id="27"/>
      </w:r>
    </w:p>
    <w:p w:rsidR="009918FC" w:rsidP="005E4BB8" w:rsidRDefault="009918FC" w14:paraId="73BC4BDD" w14:textId="4E05DF22">
      <w:pPr>
        <w:pStyle w:val="Standard"/>
      </w:pPr>
      <w:r w:rsidRPr="00BC00A0">
        <w:lastRenderedPageBreak/>
        <w:t>SCE</w:t>
      </w:r>
      <w:r>
        <w:t xml:space="preserve"> </w:t>
      </w:r>
      <w:r w:rsidR="006D4D51">
        <w:t xml:space="preserve">also </w:t>
      </w:r>
      <w:r>
        <w:t xml:space="preserve">proposed to return a total of approximately </w:t>
      </w:r>
      <w:r w:rsidRPr="00996421" w:rsidR="00147F38">
        <w:t>$955.105</w:t>
      </w:r>
      <w:r w:rsidRPr="00996421">
        <w:t xml:space="preserve"> million in net greenhouse gas (GHG) allowance revenues to applicable customers in 2024, which would result in a semi-annual bill credit of $</w:t>
      </w:r>
      <w:r w:rsidRPr="00996421" w:rsidR="00147F38">
        <w:t>86.00</w:t>
      </w:r>
      <w:r w:rsidRPr="00996421">
        <w:t xml:space="preserve"> to eligible residential</w:t>
      </w:r>
      <w:r>
        <w:t xml:space="preserve"> and small commercial customers.</w:t>
      </w:r>
      <w:r>
        <w:rPr>
          <w:rStyle w:val="FootnoteReference"/>
        </w:rPr>
        <w:footnoteReference w:id="28"/>
      </w:r>
      <w:r>
        <w:t xml:space="preserve"> </w:t>
      </w:r>
      <w:r w:rsidR="00480CFE">
        <w:t xml:space="preserve">Its forecasted GHG allowance rate was based on the Intercontinental Exchange (ICE) settlement price for a 2024-vintage GHG allowance. </w:t>
      </w:r>
      <w:r w:rsidR="006E6561">
        <w:t xml:space="preserve">The GHG forecasted costs, revenues, and reconciliation are discussed in more detail </w:t>
      </w:r>
      <w:r w:rsidRPr="00B91079" w:rsidR="006E6561">
        <w:t xml:space="preserve">in </w:t>
      </w:r>
      <w:r w:rsidRPr="00996421" w:rsidR="006E6561">
        <w:t xml:space="preserve">Section </w:t>
      </w:r>
      <w:r w:rsidR="00F43CA9">
        <w:t>7</w:t>
      </w:r>
      <w:r w:rsidR="006E6561">
        <w:t xml:space="preserve"> below.</w:t>
      </w:r>
    </w:p>
    <w:p w:rsidR="00194D1F" w:rsidP="005E4BB8" w:rsidRDefault="00194D1F" w14:paraId="69D33F2E" w14:textId="5C4F9F06">
      <w:pPr>
        <w:pStyle w:val="Standard"/>
      </w:pPr>
      <w:r>
        <w:t xml:space="preserve">In a </w:t>
      </w:r>
      <w:r w:rsidRPr="005E4BB8">
        <w:t>related</w:t>
      </w:r>
      <w:r>
        <w:t xml:space="preserve"> action, on April 6, 2023, the Commission adopted D.23-04-012, authorizing SCE’s 2023 ERRA Trigger Application (A.23-01-020), authorizing the utility to increase its bundled service customer generation rates by up to </w:t>
      </w:r>
      <w:r w:rsidR="00BC00A0">
        <w:br/>
      </w:r>
      <w:r>
        <w:t>$595.615 million effective June 1, 2023, in an effort to maintain SCE’s ERRA Trigger Mechanism Thresholds.</w:t>
      </w:r>
      <w:r>
        <w:rPr>
          <w:rStyle w:val="FootnoteReference"/>
        </w:rPr>
        <w:footnoteReference w:id="29"/>
      </w:r>
      <w:r>
        <w:t xml:space="preserve"> On May 15, 2023, SCE submitted Advice Letter (AL) 5036-E, setting an ERRA Trigger Threshold of $454 million to be added to bundled service customers’ generation rates effective June 1, 2023. SCE stated that implementation of AL 5036-E reset its forecast ERRA Trigger to zero, and that it expect</w:t>
      </w:r>
      <w:r w:rsidR="004C7BAF">
        <w:t>ed</w:t>
      </w:r>
      <w:r>
        <w:t xml:space="preserve"> to recover the authorized $454 million over a 12-month period (June 1, 2023-May 31, 2024). The June 2023 rate increase approved in D.23-04-012 and AL 5036-E was only applied to bundled service customer generation rates, not any departing load customers.</w:t>
      </w:r>
      <w:r>
        <w:rPr>
          <w:rStyle w:val="FootnoteReference"/>
        </w:rPr>
        <w:footnoteReference w:id="30"/>
      </w:r>
      <w:r>
        <w:t xml:space="preserve"> Further, SCE removed the increased revenue </w:t>
      </w:r>
      <w:r>
        <w:lastRenderedPageBreak/>
        <w:t>associated with the ERRA Trigger revenue requirement in 2023 from its estimate of the 2023 year-end balance in the ERRA BA used to set the 2024 ERRA forecast rates, to avoid double-counting.</w:t>
      </w:r>
      <w:r>
        <w:rPr>
          <w:rStyle w:val="FootnoteReference"/>
        </w:rPr>
        <w:footnoteReference w:id="31"/>
      </w:r>
      <w:r>
        <w:t xml:space="preserve"> </w:t>
      </w:r>
    </w:p>
    <w:p w:rsidR="00DC01EF" w:rsidP="005E4BB8" w:rsidRDefault="00DC01EF" w14:paraId="2B21A71A" w14:textId="454CCDD8">
      <w:pPr>
        <w:pStyle w:val="Standard"/>
      </w:pPr>
      <w:r w:rsidRPr="005E4BB8">
        <w:t>Upon</w:t>
      </w:r>
      <w:r>
        <w:t xml:space="preserve"> review, we find SCE’s 2024 ERRA forecast methodology, including its accounting of D.23-04-012, to be reasonable and in line with existing Commission orders and regulatory requirements</w:t>
      </w:r>
      <w:r w:rsidR="006C620D">
        <w:t>.</w:t>
      </w:r>
    </w:p>
    <w:p w:rsidR="00B42929" w:rsidP="00BC00A0" w:rsidRDefault="006E6561" w14:paraId="5143622D" w14:textId="6326F4D7">
      <w:pPr>
        <w:pStyle w:val="Heading1"/>
      </w:pPr>
      <w:bookmarkStart w:name="_Toc152331386" w:id="12"/>
      <w:r>
        <w:t>SCE’s Portfolio of Resources for 2024</w:t>
      </w:r>
      <w:bookmarkEnd w:id="12"/>
    </w:p>
    <w:p w:rsidRPr="00B268E4" w:rsidR="00B268E4" w:rsidP="005E4BB8" w:rsidRDefault="00B268E4" w14:paraId="1B5F040D" w14:textId="03B4FAB6">
      <w:pPr>
        <w:pStyle w:val="Standard"/>
      </w:pPr>
      <w:r w:rsidRPr="00BC00A0">
        <w:t>SCE’s</w:t>
      </w:r>
      <w:r w:rsidRPr="00454D1A">
        <w:t xml:space="preserve"> </w:t>
      </w:r>
      <w:r w:rsidRPr="005E4BB8">
        <w:t>portfolio</w:t>
      </w:r>
      <w:r w:rsidRPr="00454D1A">
        <w:t xml:space="preserve"> of resources includes a variety of utility</w:t>
      </w:r>
      <w:r w:rsidR="006C620D">
        <w:t>-</w:t>
      </w:r>
      <w:r w:rsidRPr="00454D1A">
        <w:t>owned and contracted resources</w:t>
      </w:r>
      <w:r>
        <w:t>, which are discussed in Sections 5.1-5.</w:t>
      </w:r>
      <w:r w:rsidR="00D54A13">
        <w:t>12</w:t>
      </w:r>
      <w:r>
        <w:t xml:space="preserve"> below.</w:t>
      </w:r>
      <w:r w:rsidR="00A36A9E">
        <w:t xml:space="preserve"> Each section describes the costs associated with each resource that were proposed in SCE’s 2024 ERRA Forecast Application </w:t>
      </w:r>
      <w:r w:rsidR="00FC4218">
        <w:t xml:space="preserve">and Testimony as amended </w:t>
      </w:r>
      <w:r w:rsidR="00A36A9E">
        <w:t xml:space="preserve">in its </w:t>
      </w:r>
      <w:r w:rsidR="00BC00A0">
        <w:br/>
      </w:r>
      <w:r w:rsidR="00A36A9E">
        <w:t>October 2023 Update</w:t>
      </w:r>
      <w:r w:rsidR="00FC4218">
        <w:t>.</w:t>
      </w:r>
      <w:r w:rsidR="0063192D">
        <w:rPr>
          <w:rStyle w:val="FootnoteReference"/>
        </w:rPr>
        <w:footnoteReference w:id="32"/>
      </w:r>
    </w:p>
    <w:p w:rsidR="00D32A36" w:rsidP="00BC00A0" w:rsidRDefault="00B268E4" w14:paraId="2C9F76B1" w14:textId="2D6C7641">
      <w:pPr>
        <w:pStyle w:val="Heading2"/>
      </w:pPr>
      <w:bookmarkStart w:name="_Toc152331387" w:id="13"/>
      <w:r>
        <w:t>Utility-Owned Generation and Purchased Power Contracts</w:t>
      </w:r>
      <w:bookmarkEnd w:id="13"/>
    </w:p>
    <w:p w:rsidR="00B268E4" w:rsidP="005E4BB8" w:rsidRDefault="00B268E4" w14:paraId="5896F35E" w14:textId="02BF5C25">
      <w:pPr>
        <w:pStyle w:val="Standard"/>
      </w:pPr>
      <w:r w:rsidRPr="005E4BB8">
        <w:t>SCE’s</w:t>
      </w:r>
      <w:r>
        <w:t xml:space="preserve"> utility-owned generation (UOG) and purchased power contract resources consist of hydroelectric; fuel cells; combined heat-and</w:t>
      </w:r>
      <w:r w:rsidR="002B2C1F">
        <w:t>-</w:t>
      </w:r>
      <w:r>
        <w:t xml:space="preserve">power (CHP) and renewable resources; nuclear; natural gas; and battery storage. </w:t>
      </w:r>
      <w:r w:rsidR="00201331">
        <w:t xml:space="preserve">As discussed in Section 4 above, </w:t>
      </w:r>
      <w:r w:rsidR="00A47585">
        <w:t>SCE</w:t>
      </w:r>
      <w:r w:rsidR="00201331">
        <w:t xml:space="preserve"> forecasted dispatch of its portfolio of resources using an LCD approach.</w:t>
      </w:r>
    </w:p>
    <w:p w:rsidR="00295E71" w:rsidP="00BC00A0" w:rsidRDefault="00295E71" w14:paraId="2179198B" w14:textId="4752DBD7">
      <w:pPr>
        <w:pStyle w:val="Heading3"/>
      </w:pPr>
      <w:bookmarkStart w:name="_Toc152331388" w:id="14"/>
      <w:r w:rsidRPr="00BC00A0">
        <w:lastRenderedPageBreak/>
        <w:t>Hydroelectric</w:t>
      </w:r>
      <w:r>
        <w:t xml:space="preserve"> </w:t>
      </w:r>
      <w:r w:rsidR="00A47585">
        <w:t>R</w:t>
      </w:r>
      <w:r>
        <w:t>esources</w:t>
      </w:r>
      <w:bookmarkEnd w:id="14"/>
    </w:p>
    <w:p w:rsidR="005D2C36" w:rsidP="005E4BB8" w:rsidRDefault="00B268E4" w14:paraId="7C401244" w14:textId="1CD131B2">
      <w:pPr>
        <w:pStyle w:val="Standard"/>
      </w:pPr>
      <w:r>
        <w:t xml:space="preserve">SCE’s </w:t>
      </w:r>
      <w:r w:rsidRPr="005E4BB8">
        <w:t>hydroelectric</w:t>
      </w:r>
      <w:r>
        <w:t xml:space="preserve"> resources consist of </w:t>
      </w:r>
      <w:r w:rsidR="0029599A">
        <w:t>33 powerhouses in Central and Southern California that provide a combined 1,176 megawatts (MW) of nameplate capacity</w:t>
      </w:r>
      <w:r w:rsidR="005D2C36">
        <w:t>.</w:t>
      </w:r>
      <w:r w:rsidR="004F3B3C">
        <w:t xml:space="preserve"> SCE forecasted normal hydrological conditions in 2024.</w:t>
      </w:r>
      <w:r w:rsidR="004F3B3C">
        <w:rPr>
          <w:rStyle w:val="FootnoteReference"/>
        </w:rPr>
        <w:footnoteReference w:id="33"/>
      </w:r>
    </w:p>
    <w:p w:rsidR="005D2C36" w:rsidP="005E4BB8" w:rsidRDefault="005D2C36" w14:paraId="13FAA892" w14:textId="60541800">
      <w:pPr>
        <w:pStyle w:val="Standard"/>
      </w:pPr>
      <w:r>
        <w:t xml:space="preserve">SCE’s </w:t>
      </w:r>
      <w:r w:rsidRPr="005E4BB8">
        <w:t>2024</w:t>
      </w:r>
      <w:r>
        <w:t xml:space="preserve"> </w:t>
      </w:r>
      <w:r w:rsidRPr="00BC00A0">
        <w:t>forecast</w:t>
      </w:r>
      <w:r>
        <w:t xml:space="preserve"> optimized the use of the full 1,015</w:t>
      </w:r>
      <w:r w:rsidR="006A3ADC">
        <w:t xml:space="preserve"> </w:t>
      </w:r>
      <w:r>
        <w:t>MW of capacity from the</w:t>
      </w:r>
      <w:r w:rsidR="0029599A">
        <w:t xml:space="preserve"> </w:t>
      </w:r>
      <w:r>
        <w:t xml:space="preserve">nine-unit </w:t>
      </w:r>
      <w:r w:rsidR="0029599A">
        <w:t xml:space="preserve">Big Creek Project, located </w:t>
      </w:r>
      <w:r>
        <w:t xml:space="preserve">about 50 miles east of Fresno, California (when operationally feasible) during the highest economic value hours. When Big Creek’s capacity is not operating at full capacity, it can be used to provide ancillary services to the CAISO market. </w:t>
      </w:r>
      <w:proofErr w:type="spellStart"/>
      <w:r>
        <w:t>Pumpback</w:t>
      </w:r>
      <w:proofErr w:type="spellEnd"/>
      <w:r>
        <w:t xml:space="preserve"> necessary to operate the 199</w:t>
      </w:r>
      <w:r w:rsidR="00201331">
        <w:t>.8</w:t>
      </w:r>
      <w:r w:rsidR="00996421">
        <w:t xml:space="preserve"> </w:t>
      </w:r>
      <w:r>
        <w:t xml:space="preserve">MW Eastwood powerhouse occurs during off-peak hours and dispatch occurs during peak hours, to optimize the differential in energy prices. </w:t>
      </w:r>
      <w:r w:rsidR="001309A9">
        <w:t xml:space="preserve">The Eastwood powerhouse had a circuit breaker failure in September 2022 that caused a forced outage. It is currently forecast to resume operations in </w:t>
      </w:r>
      <w:r w:rsidR="005E4BB8">
        <w:br/>
      </w:r>
      <w:r w:rsidR="001309A9">
        <w:t>January 2024.</w:t>
      </w:r>
      <w:r w:rsidR="001309A9">
        <w:rPr>
          <w:rStyle w:val="FootnoteReference"/>
        </w:rPr>
        <w:footnoteReference w:id="34"/>
      </w:r>
    </w:p>
    <w:p w:rsidR="008117D1" w:rsidP="00BC00A0" w:rsidRDefault="001309A9" w14:paraId="01793F9D" w14:textId="3304DA12">
      <w:pPr>
        <w:pStyle w:val="Standard"/>
      </w:pPr>
      <w:r>
        <w:t xml:space="preserve">The </w:t>
      </w:r>
      <w:r w:rsidR="00C04771">
        <w:t>other</w:t>
      </w:r>
      <w:r w:rsidR="000E2199">
        <w:t xml:space="preserve"> </w:t>
      </w:r>
      <w:r w:rsidR="005D2C36">
        <w:t xml:space="preserve">24 powerhouses </w:t>
      </w:r>
      <w:r w:rsidR="00556E6B">
        <w:t>are in</w:t>
      </w:r>
      <w:r w:rsidR="005D2C36">
        <w:t xml:space="preserve"> </w:t>
      </w:r>
      <w:r w:rsidR="00BC7873">
        <w:t>SCE’s</w:t>
      </w:r>
      <w:r w:rsidR="005D2C36">
        <w:t xml:space="preserve"> Eastern Division. Its Eastern Division powerhouses are in the Sierra Nevada, San Bernadino, and San Gabriel mountains</w:t>
      </w:r>
      <w:r>
        <w:t xml:space="preserve"> and provide 161</w:t>
      </w:r>
      <w:r w:rsidR="006A3ADC">
        <w:t xml:space="preserve"> </w:t>
      </w:r>
      <w:r>
        <w:t>MW of run-of-the-river, non-dispatchable resources.</w:t>
      </w:r>
      <w:r>
        <w:rPr>
          <w:rStyle w:val="FootnoteReference"/>
        </w:rPr>
        <w:footnoteReference w:id="35"/>
      </w:r>
    </w:p>
    <w:p w:rsidR="00295E71" w:rsidP="00BC00A0" w:rsidRDefault="00295E71" w14:paraId="67383196" w14:textId="77777777">
      <w:pPr>
        <w:pStyle w:val="Heading3"/>
      </w:pPr>
      <w:bookmarkStart w:name="_Toc152331389" w:id="15"/>
      <w:r w:rsidRPr="00BC00A0">
        <w:t>Solar</w:t>
      </w:r>
      <w:r>
        <w:t xml:space="preserve"> Photovoltaic Generation</w:t>
      </w:r>
      <w:bookmarkEnd w:id="15"/>
    </w:p>
    <w:p w:rsidR="008117D1" w:rsidP="005E4BB8" w:rsidRDefault="00295E71" w14:paraId="14915863" w14:textId="7317A1D0">
      <w:pPr>
        <w:pStyle w:val="Standard"/>
      </w:pPr>
      <w:r>
        <w:t>D.</w:t>
      </w:r>
      <w:r w:rsidRPr="005E4BB8">
        <w:t>13</w:t>
      </w:r>
      <w:r>
        <w:t>-05-</w:t>
      </w:r>
      <w:r w:rsidRPr="00BC00A0">
        <w:t>033</w:t>
      </w:r>
      <w:r>
        <w:t xml:space="preserve"> authorized </w:t>
      </w:r>
      <w:r w:rsidR="00971484">
        <w:t xml:space="preserve">SCE </w:t>
      </w:r>
      <w:r>
        <w:t>to install, own, and operate up to 91</w:t>
      </w:r>
      <w:r w:rsidR="00D01C35">
        <w:t xml:space="preserve"> </w:t>
      </w:r>
      <w:r>
        <w:t xml:space="preserve">MW of direct current solar photovoltaic (SPV) generation on commercial rooftop space and/or ground mounts within its service territory. There is a large pending sale </w:t>
      </w:r>
      <w:r>
        <w:lastRenderedPageBreak/>
        <w:t>of its UOG SPV resources that is reflected in SCE’s 2024 ERRA forecast.</w:t>
      </w:r>
      <w:r>
        <w:rPr>
          <w:rStyle w:val="FootnoteReference"/>
        </w:rPr>
        <w:footnoteReference w:id="36"/>
      </w:r>
      <w:r>
        <w:t xml:space="preserve"> </w:t>
      </w:r>
      <w:r w:rsidR="00C92DD4">
        <w:t>SCE expects that all sites except site 42 will be de-energized due to the pending sale, which it reflected in its energy forecast.</w:t>
      </w:r>
      <w:r w:rsidR="00C92DD4">
        <w:rPr>
          <w:rStyle w:val="FootnoteReference"/>
        </w:rPr>
        <w:footnoteReference w:id="37"/>
      </w:r>
      <w:r w:rsidR="005170C9">
        <w:t xml:space="preserve"> Its 2024 forecast included approximately 9</w:t>
      </w:r>
      <w:r w:rsidR="00D01C35">
        <w:t xml:space="preserve"> </w:t>
      </w:r>
      <w:r w:rsidR="005170C9">
        <w:t>MW of direct-current SPV from its UOG resources.</w:t>
      </w:r>
      <w:r w:rsidR="008117D1">
        <w:t xml:space="preserve"> </w:t>
      </w:r>
    </w:p>
    <w:p w:rsidR="00B268E4" w:rsidP="00BC00A0" w:rsidRDefault="001309A9" w14:paraId="1E185E32" w14:textId="35F32B29">
      <w:pPr>
        <w:pStyle w:val="Heading3"/>
      </w:pPr>
      <w:r>
        <w:t xml:space="preserve"> </w:t>
      </w:r>
      <w:bookmarkStart w:name="_Toc152331390" w:id="16"/>
      <w:r w:rsidRPr="00BC00A0" w:rsidR="004F3B3C">
        <w:t>Combined</w:t>
      </w:r>
      <w:r w:rsidR="004F3B3C">
        <w:t xml:space="preserve"> Heat-and-Power (Co-Generation) and Renewables</w:t>
      </w:r>
      <w:bookmarkEnd w:id="16"/>
      <w:r w:rsidR="004F3B3C">
        <w:t xml:space="preserve"> </w:t>
      </w:r>
    </w:p>
    <w:p w:rsidR="004F3B3C" w:rsidP="005E4BB8" w:rsidRDefault="004F3B3C" w14:paraId="3AF06126" w14:textId="03D96E79">
      <w:pPr>
        <w:pStyle w:val="Standard"/>
      </w:pPr>
      <w:r>
        <w:t xml:space="preserve">SCE </w:t>
      </w:r>
      <w:r w:rsidRPr="005E4BB8">
        <w:t>forecasted</w:t>
      </w:r>
      <w:r>
        <w:t xml:space="preserve"> the power deliveries from its co-generation and renewable resources as “must-take” energy, measured at the generators’ meters. The projects SCE included in its 2024 forecast total approximately 10,071</w:t>
      </w:r>
      <w:r w:rsidR="008536B8">
        <w:t xml:space="preserve"> </w:t>
      </w:r>
      <w:r>
        <w:t>MW of contracted capacity, representing historical performance of existing resources. Three additional projects, totaling approximately 52</w:t>
      </w:r>
      <w:r w:rsidR="003659FA">
        <w:t xml:space="preserve"> </w:t>
      </w:r>
      <w:r>
        <w:t>MW, are expected to begin delivering energy between January and December 2024, but the contractual expectations of deliveries from those new projects was adjusted to account for their expected probability of successful development and commercial operation.</w:t>
      </w:r>
      <w:r>
        <w:rPr>
          <w:rStyle w:val="FootnoteReference"/>
        </w:rPr>
        <w:footnoteReference w:id="38"/>
      </w:r>
      <w:r w:rsidR="00166D71">
        <w:t xml:space="preserve"> SCE’s ERRA forecast also accounted for estimated curtailments from its contracted solar and wind resources due to economic reasons.</w:t>
      </w:r>
      <w:r w:rsidR="00166D71">
        <w:rPr>
          <w:rStyle w:val="FootnoteReference"/>
        </w:rPr>
        <w:footnoteReference w:id="39"/>
      </w:r>
    </w:p>
    <w:p w:rsidR="00166D71" w:rsidP="005E4BB8" w:rsidRDefault="00166D71" w14:paraId="35A9B007" w14:textId="79440DEF">
      <w:pPr>
        <w:pStyle w:val="Standard"/>
      </w:pPr>
      <w:r w:rsidRPr="005E4BB8">
        <w:t>SCE’s</w:t>
      </w:r>
      <w:r>
        <w:t xml:space="preserve"> renewable and </w:t>
      </w:r>
      <w:r w:rsidR="00264185">
        <w:t xml:space="preserve">combined heat-and-power (CHP) </w:t>
      </w:r>
      <w:r>
        <w:t xml:space="preserve">projects typically have contract-specific energy prices, but it also has </w:t>
      </w:r>
      <w:proofErr w:type="gramStart"/>
      <w:r>
        <w:t>a number of</w:t>
      </w:r>
      <w:proofErr w:type="gramEnd"/>
      <w:r>
        <w:t xml:space="preserve"> qualifying facility (QF) projects that are paid at the posted avoided cost of energy price under standard offer contracts (SOC). The SOC is either based on the New QF SOC adopted in D.20-05-006, which is based on a three-year average of CAISO </w:t>
      </w:r>
      <w:r>
        <w:lastRenderedPageBreak/>
        <w:t>locational marginal prices, or the QF SOC adopted in the QF Summit settlement, which is based on average 12-month forward heat rates for the resource type.</w:t>
      </w:r>
      <w:r>
        <w:rPr>
          <w:rStyle w:val="FootnoteReference"/>
        </w:rPr>
        <w:footnoteReference w:id="40"/>
      </w:r>
    </w:p>
    <w:p w:rsidR="00761D51" w:rsidP="005E4BB8" w:rsidRDefault="00761D51" w14:paraId="758A187A" w14:textId="092AB27F">
      <w:pPr>
        <w:pStyle w:val="Standard"/>
      </w:pPr>
      <w:r>
        <w:t xml:space="preserve">SCE </w:t>
      </w:r>
      <w:r w:rsidRPr="005E4BB8">
        <w:t>forecasted</w:t>
      </w:r>
      <w:r>
        <w:t xml:space="preserve"> the annual capacity factors for its CHP and renewable energy projects as follows:</w:t>
      </w:r>
    </w:p>
    <w:p w:rsidR="00761D51" w:rsidP="00761D51" w:rsidRDefault="00761D51" w14:paraId="2E320339" w14:textId="050F783C">
      <w:pPr>
        <w:pStyle w:val="TableTitleBodyH095"/>
      </w:pPr>
      <w:r>
        <w:t>Annual Capacity Factors by Technology</w:t>
      </w:r>
      <w:r w:rsidR="0065349C">
        <w:rPr>
          <w:rStyle w:val="FootnoteReference"/>
        </w:rPr>
        <w:footnoteReference w:id="41"/>
      </w:r>
    </w:p>
    <w:tbl>
      <w:tblPr>
        <w:tblStyle w:val="TableGrid"/>
        <w:tblW w:w="0" w:type="auto"/>
        <w:jc w:val="center"/>
        <w:tblLook w:val="04A0" w:firstRow="1" w:lastRow="0" w:firstColumn="1" w:lastColumn="0" w:noHBand="0" w:noVBand="1"/>
      </w:tblPr>
      <w:tblGrid>
        <w:gridCol w:w="4675"/>
        <w:gridCol w:w="4675"/>
      </w:tblGrid>
      <w:tr w:rsidR="00385863" w:rsidTr="00596BA5" w14:paraId="75334E5D" w14:textId="77777777">
        <w:trPr>
          <w:jc w:val="center"/>
        </w:trPr>
        <w:tc>
          <w:tcPr>
            <w:tcW w:w="4675" w:type="dxa"/>
          </w:tcPr>
          <w:p w:rsidRPr="002F290B" w:rsidR="00385863" w:rsidP="00761D51" w:rsidRDefault="00385863" w14:paraId="51E7DB0A" w14:textId="0E25074C">
            <w:pPr>
              <w:pStyle w:val="TableTitleBodyH095"/>
              <w:ind w:left="0" w:firstLine="0"/>
              <w:rPr>
                <w:b/>
                <w:bCs w:val="0"/>
              </w:rPr>
            </w:pPr>
            <w:r w:rsidRPr="002F290B">
              <w:rPr>
                <w:b/>
                <w:bCs w:val="0"/>
              </w:rPr>
              <w:t>Technology Type</w:t>
            </w:r>
          </w:p>
        </w:tc>
        <w:tc>
          <w:tcPr>
            <w:tcW w:w="4675" w:type="dxa"/>
          </w:tcPr>
          <w:p w:rsidRPr="002F290B" w:rsidR="00385863" w:rsidP="00761D51" w:rsidRDefault="00385863" w14:paraId="46CB02B2" w14:textId="6D2E1372">
            <w:pPr>
              <w:pStyle w:val="TableTitleBodyH095"/>
              <w:ind w:left="0" w:firstLine="0"/>
              <w:rPr>
                <w:b/>
                <w:bCs w:val="0"/>
              </w:rPr>
            </w:pPr>
            <w:r w:rsidRPr="002F290B">
              <w:rPr>
                <w:b/>
                <w:bCs w:val="0"/>
              </w:rPr>
              <w:t>Percent Capacity Factor</w:t>
            </w:r>
          </w:p>
        </w:tc>
      </w:tr>
      <w:tr w:rsidR="00761D51" w:rsidTr="00596BA5" w14:paraId="3CA84DB9" w14:textId="77777777">
        <w:trPr>
          <w:jc w:val="center"/>
        </w:trPr>
        <w:tc>
          <w:tcPr>
            <w:tcW w:w="4675" w:type="dxa"/>
          </w:tcPr>
          <w:p w:rsidR="00761D51" w:rsidP="00761D51" w:rsidRDefault="00761D51" w14:paraId="26E84DF1" w14:textId="6581C38F">
            <w:pPr>
              <w:pStyle w:val="TableTitleBodyH095"/>
              <w:ind w:left="0" w:firstLine="0"/>
            </w:pPr>
            <w:r>
              <w:t>Biomass</w:t>
            </w:r>
          </w:p>
        </w:tc>
        <w:tc>
          <w:tcPr>
            <w:tcW w:w="4675" w:type="dxa"/>
          </w:tcPr>
          <w:p w:rsidR="00761D51" w:rsidP="00761D51" w:rsidRDefault="00761D51" w14:paraId="3902D4BE" w14:textId="251284C6">
            <w:pPr>
              <w:pStyle w:val="TableTitleBodyH095"/>
              <w:ind w:left="0" w:firstLine="0"/>
            </w:pPr>
            <w:r>
              <w:t>77.4%</w:t>
            </w:r>
          </w:p>
        </w:tc>
      </w:tr>
      <w:tr w:rsidR="00761D51" w:rsidTr="00596BA5" w14:paraId="6B1C5D2D" w14:textId="77777777">
        <w:trPr>
          <w:jc w:val="center"/>
        </w:trPr>
        <w:tc>
          <w:tcPr>
            <w:tcW w:w="4675" w:type="dxa"/>
          </w:tcPr>
          <w:p w:rsidR="00761D51" w:rsidP="00761D51" w:rsidRDefault="00761D51" w14:paraId="1FBA7DBD" w14:textId="4EF980D5">
            <w:pPr>
              <w:pStyle w:val="TableTitleBodyH095"/>
              <w:ind w:left="0" w:firstLine="0"/>
            </w:pPr>
            <w:r>
              <w:t>Cogeneration</w:t>
            </w:r>
          </w:p>
        </w:tc>
        <w:tc>
          <w:tcPr>
            <w:tcW w:w="4675" w:type="dxa"/>
          </w:tcPr>
          <w:p w:rsidR="00761D51" w:rsidP="00761D51" w:rsidRDefault="00761D51" w14:paraId="507672BB" w14:textId="75402B8D">
            <w:pPr>
              <w:pStyle w:val="TableTitleBodyH095"/>
              <w:ind w:left="0" w:firstLine="0"/>
            </w:pPr>
            <w:r>
              <w:t>19.0%</w:t>
            </w:r>
          </w:p>
        </w:tc>
      </w:tr>
      <w:tr w:rsidR="00761D51" w:rsidTr="00596BA5" w14:paraId="73C760DA" w14:textId="77777777">
        <w:trPr>
          <w:jc w:val="center"/>
        </w:trPr>
        <w:tc>
          <w:tcPr>
            <w:tcW w:w="4675" w:type="dxa"/>
          </w:tcPr>
          <w:p w:rsidR="00761D51" w:rsidP="00761D51" w:rsidRDefault="00761D51" w14:paraId="3A2F811B" w14:textId="32EF5375">
            <w:pPr>
              <w:pStyle w:val="TableTitleBodyH095"/>
              <w:ind w:left="0" w:firstLine="0"/>
            </w:pPr>
            <w:r>
              <w:t>Geothermal</w:t>
            </w:r>
          </w:p>
        </w:tc>
        <w:tc>
          <w:tcPr>
            <w:tcW w:w="4675" w:type="dxa"/>
          </w:tcPr>
          <w:p w:rsidR="00761D51" w:rsidP="00761D51" w:rsidRDefault="00761D51" w14:paraId="4B78C917" w14:textId="7651A09B">
            <w:pPr>
              <w:pStyle w:val="TableTitleBodyH095"/>
              <w:ind w:left="0" w:firstLine="0"/>
            </w:pPr>
            <w:r>
              <w:t>85.6%</w:t>
            </w:r>
          </w:p>
        </w:tc>
      </w:tr>
      <w:tr w:rsidR="00761D51" w:rsidTr="00596BA5" w14:paraId="46073BD3" w14:textId="77777777">
        <w:trPr>
          <w:jc w:val="center"/>
        </w:trPr>
        <w:tc>
          <w:tcPr>
            <w:tcW w:w="4675" w:type="dxa"/>
          </w:tcPr>
          <w:p w:rsidR="00761D51" w:rsidP="00761D51" w:rsidRDefault="00761D51" w14:paraId="42DB81CF" w14:textId="1C6E6C70">
            <w:pPr>
              <w:pStyle w:val="TableTitleBodyH095"/>
              <w:ind w:left="0" w:firstLine="0"/>
            </w:pPr>
            <w:r>
              <w:t>Small Hydro</w:t>
            </w:r>
          </w:p>
        </w:tc>
        <w:tc>
          <w:tcPr>
            <w:tcW w:w="4675" w:type="dxa"/>
          </w:tcPr>
          <w:p w:rsidR="00761D51" w:rsidP="00761D51" w:rsidRDefault="00761D51" w14:paraId="7A0FAA5A" w14:textId="006930A8">
            <w:pPr>
              <w:pStyle w:val="TableTitleBodyH095"/>
              <w:ind w:left="0" w:firstLine="0"/>
            </w:pPr>
            <w:r>
              <w:t>23.9%</w:t>
            </w:r>
          </w:p>
        </w:tc>
      </w:tr>
      <w:tr w:rsidR="00761D51" w:rsidTr="00596BA5" w14:paraId="525B218F" w14:textId="77777777">
        <w:trPr>
          <w:jc w:val="center"/>
        </w:trPr>
        <w:tc>
          <w:tcPr>
            <w:tcW w:w="4675" w:type="dxa"/>
          </w:tcPr>
          <w:p w:rsidR="00761D51" w:rsidP="00761D51" w:rsidRDefault="00761D51" w14:paraId="1E8EF4AE" w14:textId="5FB14A1F">
            <w:pPr>
              <w:pStyle w:val="TableTitleBodyH095"/>
              <w:ind w:left="0" w:firstLine="0"/>
            </w:pPr>
            <w:r>
              <w:t>Solar</w:t>
            </w:r>
          </w:p>
        </w:tc>
        <w:tc>
          <w:tcPr>
            <w:tcW w:w="4675" w:type="dxa"/>
          </w:tcPr>
          <w:p w:rsidR="00761D51" w:rsidP="00761D51" w:rsidRDefault="00761D51" w14:paraId="6D4D87AE" w14:textId="5B98B6A4">
            <w:pPr>
              <w:pStyle w:val="TableTitleBodyH095"/>
              <w:ind w:left="0" w:firstLine="0"/>
            </w:pPr>
            <w:r>
              <w:t>30.1%</w:t>
            </w:r>
          </w:p>
        </w:tc>
      </w:tr>
      <w:tr w:rsidR="00761D51" w:rsidTr="00596BA5" w14:paraId="23E13614" w14:textId="77777777">
        <w:trPr>
          <w:jc w:val="center"/>
        </w:trPr>
        <w:tc>
          <w:tcPr>
            <w:tcW w:w="4675" w:type="dxa"/>
          </w:tcPr>
          <w:p w:rsidR="00761D51" w:rsidP="00761D51" w:rsidRDefault="00761D51" w14:paraId="0D2354D4" w14:textId="3FF983B6">
            <w:pPr>
              <w:pStyle w:val="TableTitleBodyH095"/>
              <w:ind w:left="0" w:firstLine="0"/>
            </w:pPr>
            <w:r>
              <w:t>Wind</w:t>
            </w:r>
          </w:p>
        </w:tc>
        <w:tc>
          <w:tcPr>
            <w:tcW w:w="4675" w:type="dxa"/>
          </w:tcPr>
          <w:p w:rsidR="00761D51" w:rsidP="00761D51" w:rsidRDefault="00761D51" w14:paraId="1F79EF62" w14:textId="6514A1A2">
            <w:pPr>
              <w:pStyle w:val="TableTitleBodyH095"/>
              <w:ind w:left="0" w:firstLine="0"/>
            </w:pPr>
            <w:r>
              <w:t>28.4%</w:t>
            </w:r>
          </w:p>
        </w:tc>
      </w:tr>
    </w:tbl>
    <w:p w:rsidR="00761D51" w:rsidP="007E36D7" w:rsidRDefault="007E36D7" w14:paraId="1AA6B710" w14:textId="619ECF0C">
      <w:pPr>
        <w:pStyle w:val="Standard"/>
      </w:pPr>
      <w:r>
        <w:t xml:space="preserve">SCE noted that its energy and capacity prices for each of the CHP and renewable </w:t>
      </w:r>
      <w:r w:rsidR="00CB3599">
        <w:t xml:space="preserve">energy </w:t>
      </w:r>
      <w:r>
        <w:t>projects in its portfolio are based on the individual contracts and that its forecast includes estimated curtailments from its solar and wind portfolios due to economic reasons, which are reflected in SCE’s energy and payment forecasts.</w:t>
      </w:r>
      <w:r>
        <w:rPr>
          <w:rStyle w:val="FootnoteReference"/>
        </w:rPr>
        <w:footnoteReference w:id="42"/>
      </w:r>
    </w:p>
    <w:p w:rsidR="002A20A0" w:rsidP="00BC00A0" w:rsidRDefault="002A20A0" w14:paraId="460884EB" w14:textId="6E00C2A1">
      <w:pPr>
        <w:pStyle w:val="Heading3"/>
      </w:pPr>
      <w:bookmarkStart w:name="_Toc152331391" w:id="17"/>
      <w:r w:rsidRPr="00BC00A0">
        <w:t>Natural</w:t>
      </w:r>
      <w:r>
        <w:t xml:space="preserve"> Gas and Interagency Contracts</w:t>
      </w:r>
      <w:bookmarkEnd w:id="17"/>
    </w:p>
    <w:p w:rsidR="00201331" w:rsidP="005E4BB8" w:rsidRDefault="002A20A0" w14:paraId="480EBBBA" w14:textId="2BB96914">
      <w:pPr>
        <w:pStyle w:val="Standard"/>
      </w:pPr>
      <w:r w:rsidRPr="00454D1A">
        <w:t xml:space="preserve">SCE </w:t>
      </w:r>
      <w:r>
        <w:t xml:space="preserve">included the natural gas procurement costs for its </w:t>
      </w:r>
      <w:r w:rsidRPr="00454D1A">
        <w:t>five black</w:t>
      </w:r>
      <w:r>
        <w:noBreakHyphen/>
      </w:r>
      <w:r w:rsidRPr="00454D1A">
        <w:t xml:space="preserve">start capable </w:t>
      </w:r>
      <w:proofErr w:type="spellStart"/>
      <w:r w:rsidRPr="00454D1A">
        <w:t>peakers</w:t>
      </w:r>
      <w:proofErr w:type="spellEnd"/>
      <w:r>
        <w:t xml:space="preserve"> within its 2024 ERRA forecast. The five</w:t>
      </w:r>
      <w:r w:rsidR="006C4C20">
        <w:t xml:space="preserve"> natural gas</w:t>
      </w:r>
      <w:r>
        <w:t xml:space="preserve"> </w:t>
      </w:r>
      <w:proofErr w:type="spellStart"/>
      <w:r>
        <w:t>peakers</w:t>
      </w:r>
      <w:proofErr w:type="spellEnd"/>
      <w:r>
        <w:t xml:space="preserve"> have a combined </w:t>
      </w:r>
      <w:r w:rsidRPr="00454D1A">
        <w:t>capacity of 245 MW.</w:t>
      </w:r>
      <w:r w:rsidR="009B31B0">
        <w:rPr>
          <w:rStyle w:val="FootnoteReference"/>
        </w:rPr>
        <w:footnoteReference w:id="43"/>
      </w:r>
      <w:r w:rsidRPr="00454D1A">
        <w:t xml:space="preserve"> </w:t>
      </w:r>
      <w:r>
        <w:t>The</w:t>
      </w:r>
      <w:r w:rsidRPr="00454D1A">
        <w:t xml:space="preserve"> non</w:t>
      </w:r>
      <w:r>
        <w:noBreakHyphen/>
      </w:r>
      <w:r w:rsidRPr="00454D1A">
        <w:t xml:space="preserve">fuel variable costs associated with </w:t>
      </w:r>
      <w:r w:rsidRPr="00454D1A">
        <w:lastRenderedPageBreak/>
        <w:t xml:space="preserve">these </w:t>
      </w:r>
      <w:proofErr w:type="spellStart"/>
      <w:r w:rsidRPr="00454D1A">
        <w:t>peakers</w:t>
      </w:r>
      <w:proofErr w:type="spellEnd"/>
      <w:r w:rsidRPr="00454D1A">
        <w:t xml:space="preserve"> are included in SCE’s </w:t>
      </w:r>
      <w:r w:rsidRPr="001C0E35">
        <w:t xml:space="preserve">General Rate Case </w:t>
      </w:r>
      <w:r w:rsidRPr="00454D1A">
        <w:t>(</w:t>
      </w:r>
      <w:r w:rsidRPr="001C0E35">
        <w:t>GRC</w:t>
      </w:r>
      <w:r w:rsidRPr="00454D1A">
        <w:t>) revenue requirement.</w:t>
      </w:r>
      <w:r>
        <w:rPr>
          <w:rStyle w:val="FootnoteReference"/>
        </w:rPr>
        <w:footnoteReference w:id="44"/>
      </w:r>
    </w:p>
    <w:p w:rsidR="00201331" w:rsidP="005E4BB8" w:rsidRDefault="00201331" w14:paraId="34F3B284" w14:textId="795CE837">
      <w:pPr>
        <w:pStyle w:val="Standard"/>
      </w:pPr>
      <w:r>
        <w:t xml:space="preserve">Other </w:t>
      </w:r>
      <w:r w:rsidRPr="005E4BB8">
        <w:t>than</w:t>
      </w:r>
      <w:r>
        <w:t xml:space="preserve"> the </w:t>
      </w:r>
      <w:proofErr w:type="spellStart"/>
      <w:r>
        <w:t>peaker</w:t>
      </w:r>
      <w:proofErr w:type="spellEnd"/>
      <w:r>
        <w:t xml:space="preserve"> plants, SCE owns the Mountainview Generating Station and proposed to continue recovering capital and fuel costs, pursuant to D.18-10-019.</w:t>
      </w:r>
      <w:r>
        <w:rPr>
          <w:rStyle w:val="FootnoteReference"/>
        </w:rPr>
        <w:footnoteReference w:id="45"/>
      </w:r>
      <w:r w:rsidR="002A20A0">
        <w:t xml:space="preserve"> </w:t>
      </w:r>
    </w:p>
    <w:p w:rsidR="002A20A0" w:rsidP="005E4BB8" w:rsidRDefault="006C4C20" w14:paraId="18D4D930" w14:textId="2E48ABCD">
      <w:pPr>
        <w:pStyle w:val="Standard"/>
      </w:pPr>
      <w:r>
        <w:t xml:space="preserve">In its </w:t>
      </w:r>
      <w:r w:rsidRPr="005E4BB8">
        <w:t>October</w:t>
      </w:r>
      <w:r>
        <w:t xml:space="preserve"> Update, SCE noted that gas prices for 2024 are expected to be approximately four percent higher than those forecasted for 2023.</w:t>
      </w:r>
      <w:r>
        <w:rPr>
          <w:rStyle w:val="FootnoteReference"/>
        </w:rPr>
        <w:footnoteReference w:id="46"/>
      </w:r>
    </w:p>
    <w:p w:rsidR="002A20A0" w:rsidP="00BC00A0" w:rsidRDefault="002A20A0" w14:paraId="64446028" w14:textId="2025691B">
      <w:pPr>
        <w:pStyle w:val="Standard"/>
      </w:pPr>
      <w:r>
        <w:t xml:space="preserve">SCE </w:t>
      </w:r>
      <w:r w:rsidR="006C4C20">
        <w:t xml:space="preserve">also </w:t>
      </w:r>
      <w:r>
        <w:t xml:space="preserve">has a contract through September 2067 to purchase </w:t>
      </w:r>
      <w:r w:rsidR="006C4C20">
        <w:t>and/</w:t>
      </w:r>
      <w:r>
        <w:t>or exchange capacity from the Hoover Dam with the Western Area Power Administration and the U.S. Bureau of Reclamation</w:t>
      </w:r>
      <w:r w:rsidR="006C4C20">
        <w:t xml:space="preserve"> (WAPA-Reclamation)</w:t>
      </w:r>
      <w:r>
        <w:t>. To account for the ongoing drought conditions affecting the Ho</w:t>
      </w:r>
      <w:r w:rsidR="009B31B0">
        <w:t>o</w:t>
      </w:r>
      <w:r>
        <w:t>ver power plant, SCE forecasted approximately 117</w:t>
      </w:r>
      <w:r w:rsidR="00387874">
        <w:t xml:space="preserve"> </w:t>
      </w:r>
      <w:r>
        <w:t>MW of contingent capacity and 8 GWh of firm energy for 2024.</w:t>
      </w:r>
      <w:r>
        <w:rPr>
          <w:rStyle w:val="FootnoteReference"/>
        </w:rPr>
        <w:footnoteReference w:id="47"/>
      </w:r>
      <w:r w:rsidR="006C4C20">
        <w:t xml:space="preserve"> </w:t>
      </w:r>
    </w:p>
    <w:p w:rsidR="00314BD2" w:rsidP="00BC00A0" w:rsidRDefault="00314BD2" w14:paraId="30E3C3AF" w14:textId="53424263">
      <w:pPr>
        <w:pStyle w:val="Heading3"/>
      </w:pPr>
      <w:bookmarkStart w:name="_Toc152331392" w:id="18"/>
      <w:r w:rsidRPr="00BC00A0">
        <w:t>Resource</w:t>
      </w:r>
      <w:r>
        <w:t xml:space="preserve"> Adequacy Contracts</w:t>
      </w:r>
      <w:bookmarkEnd w:id="18"/>
    </w:p>
    <w:p w:rsidR="00C96774" w:rsidP="005E4BB8" w:rsidRDefault="00C96774" w14:paraId="0AE767DB" w14:textId="58619ACC">
      <w:pPr>
        <w:pStyle w:val="Standard"/>
      </w:pPr>
      <w:r w:rsidRPr="00454D1A">
        <w:t>D.06</w:t>
      </w:r>
      <w:r>
        <w:noBreakHyphen/>
      </w:r>
      <w:r w:rsidRPr="00454D1A">
        <w:t>07</w:t>
      </w:r>
      <w:r>
        <w:noBreakHyphen/>
      </w:r>
      <w:r w:rsidRPr="005E4BB8">
        <w:t>029</w:t>
      </w:r>
      <w:r w:rsidRPr="00454D1A">
        <w:t xml:space="preserve">, as </w:t>
      </w:r>
      <w:r w:rsidRPr="00BC00A0">
        <w:t>modified</w:t>
      </w:r>
      <w:r w:rsidRPr="00454D1A">
        <w:t xml:space="preserve"> by D.10</w:t>
      </w:r>
      <w:r>
        <w:noBreakHyphen/>
      </w:r>
      <w:r w:rsidRPr="00454D1A">
        <w:t>12</w:t>
      </w:r>
      <w:r>
        <w:noBreakHyphen/>
      </w:r>
      <w:r w:rsidRPr="00454D1A">
        <w:t xml:space="preserve">035 and </w:t>
      </w:r>
      <w:r w:rsidRPr="001C0E35">
        <w:t xml:space="preserve">Senate Bill </w:t>
      </w:r>
      <w:r w:rsidRPr="00454D1A">
        <w:t xml:space="preserve">695 adopted a </w:t>
      </w:r>
      <w:r>
        <w:t>cost allocation mechanism</w:t>
      </w:r>
      <w:r w:rsidRPr="005B337D">
        <w:t xml:space="preserve"> </w:t>
      </w:r>
      <w:r>
        <w:t>(</w:t>
      </w:r>
      <w:r w:rsidRPr="001C0E35">
        <w:t>CAM</w:t>
      </w:r>
      <w:r>
        <w:t>)</w:t>
      </w:r>
      <w:r w:rsidRPr="00454D1A">
        <w:t xml:space="preserve"> to allocate the costs electric utilities incur to meet </w:t>
      </w:r>
      <w:r>
        <w:t>Resource Adequacy (</w:t>
      </w:r>
      <w:r w:rsidRPr="00454D1A">
        <w:t>RA</w:t>
      </w:r>
      <w:r>
        <w:t>)</w:t>
      </w:r>
      <w:r w:rsidRPr="00454D1A">
        <w:t xml:space="preserve"> requirements on behalf of customers in an electric utility’s service territory. In D.10</w:t>
      </w:r>
      <w:r>
        <w:noBreakHyphen/>
      </w:r>
      <w:r w:rsidRPr="00454D1A">
        <w:t>12</w:t>
      </w:r>
      <w:r>
        <w:noBreakHyphen/>
      </w:r>
      <w:r w:rsidRPr="00454D1A">
        <w:t xml:space="preserve">035, the Commission also allowed SCE to allocate costs associated with </w:t>
      </w:r>
      <w:r w:rsidR="00EA021D">
        <w:t xml:space="preserve">CHP </w:t>
      </w:r>
      <w:r w:rsidRPr="00454D1A">
        <w:t>generation procured on behalf of Direct Access customers’ Electric Service Providers and CCAs.</w:t>
      </w:r>
    </w:p>
    <w:p w:rsidR="00BB2764" w:rsidP="005E4BB8" w:rsidRDefault="00BB2764" w14:paraId="5F7580A9" w14:textId="52E347FC">
      <w:pPr>
        <w:pStyle w:val="Standard"/>
      </w:pPr>
      <w:r>
        <w:t xml:space="preserve">Under a Joint </w:t>
      </w:r>
      <w:r w:rsidRPr="005E4BB8">
        <w:t>Party</w:t>
      </w:r>
      <w:r>
        <w:t xml:space="preserve"> Proposal adopted in D.07-09-044, SCE will hold the dispatch rights for all New Generation contracts in 2024</w:t>
      </w:r>
      <w:r w:rsidR="00BE4668">
        <w:t xml:space="preserve">, but the energy from </w:t>
      </w:r>
      <w:r w:rsidR="00BE4668">
        <w:lastRenderedPageBreak/>
        <w:t>these contracts was not used to meet forecasted bundled customer load</w:t>
      </w:r>
      <w:r>
        <w:t>.</w:t>
      </w:r>
      <w:r w:rsidR="00BE4668">
        <w:rPr>
          <w:rStyle w:val="FootnoteReference"/>
        </w:rPr>
        <w:footnoteReference w:id="48"/>
      </w:r>
      <w:r>
        <w:t xml:space="preserve"> I</w:t>
      </w:r>
      <w:r w:rsidR="00BE4668">
        <w:t>nstead, SCE</w:t>
      </w:r>
      <w:r>
        <w:t xml:space="preserve"> forecasted </w:t>
      </w:r>
      <w:r w:rsidR="00BE4668">
        <w:t xml:space="preserve">the </w:t>
      </w:r>
      <w:r>
        <w:t xml:space="preserve">energy revenue benefits from these resources to be allocated to all customers, and energy revenues from these resources </w:t>
      </w:r>
      <w:r w:rsidR="00385863">
        <w:t xml:space="preserve">were </w:t>
      </w:r>
      <w:r>
        <w:t>based on LCD.</w:t>
      </w:r>
    </w:p>
    <w:p w:rsidR="002022EA" w:rsidP="005E4BB8" w:rsidRDefault="002022EA" w14:paraId="6D27CB2F" w14:textId="1B5E0E90">
      <w:pPr>
        <w:pStyle w:val="Standard"/>
      </w:pPr>
      <w:r>
        <w:t xml:space="preserve">SCE also </w:t>
      </w:r>
      <w:r w:rsidRPr="005E4BB8">
        <w:t>forecasted</w:t>
      </w:r>
      <w:r>
        <w:t xml:space="preserve"> that its DESI 2, or UOS Titanium project, will be a CAISO market resource of 1.4 MW/ 3.7 MWh, and stated it will recover storage charging costs and market revenues associated with this resource through its NSGBA.</w:t>
      </w:r>
      <w:r w:rsidR="002524F2">
        <w:rPr>
          <w:rStyle w:val="FootnoteReference"/>
        </w:rPr>
        <w:footnoteReference w:id="49"/>
      </w:r>
    </w:p>
    <w:p w:rsidR="00766B02" w:rsidP="00ED311E" w:rsidRDefault="00766B02" w14:paraId="2C5C64D3" w14:textId="3D202ED6">
      <w:pPr>
        <w:pStyle w:val="Heading4"/>
      </w:pPr>
      <w:bookmarkStart w:name="_Toc152331393" w:id="19"/>
      <w:r>
        <w:t>System Reliability Request for Offers</w:t>
      </w:r>
      <w:bookmarkEnd w:id="19"/>
    </w:p>
    <w:p w:rsidR="00794A2D" w:rsidP="00530A6D" w:rsidRDefault="00BB2764" w14:paraId="6655A7F2" w14:textId="3308D009">
      <w:pPr>
        <w:pStyle w:val="Standard"/>
      </w:pPr>
      <w:r w:rsidRPr="00454D1A">
        <w:t xml:space="preserve">SCE </w:t>
      </w:r>
      <w:r w:rsidRPr="00530A6D">
        <w:t>forecasted</w:t>
      </w:r>
      <w:r>
        <w:t xml:space="preserve"> 2024 </w:t>
      </w:r>
      <w:r w:rsidRPr="00454D1A">
        <w:t>costs associated with resources procured in accordance with D.19</w:t>
      </w:r>
      <w:r>
        <w:noBreakHyphen/>
      </w:r>
      <w:r w:rsidRPr="00454D1A">
        <w:t>11</w:t>
      </w:r>
      <w:r>
        <w:noBreakHyphen/>
      </w:r>
      <w:r w:rsidRPr="00454D1A">
        <w:t>016’s order directing</w:t>
      </w:r>
      <w:r w:rsidR="00094AD0">
        <w:t xml:space="preserve"> utilities to conduct System Reliability Request for Offers (SRRFO). D.19-11-016 directed</w:t>
      </w:r>
      <w:r w:rsidRPr="00454D1A">
        <w:t xml:space="preserve"> SCE to procure 1,184.7 MW of</w:t>
      </w:r>
      <w:r>
        <w:t xml:space="preserve"> incremental RA capacity, including seven “Fast Track” contracts for new energy storage resources (totaling approximately 678</w:t>
      </w:r>
      <w:r w:rsidR="00264185">
        <w:t xml:space="preserve"> </w:t>
      </w:r>
      <w:r>
        <w:t>MW of incremental RA system capacity) that were approved in Resolution E-5101</w:t>
      </w:r>
      <w:r w:rsidR="00720B2B">
        <w:t>,</w:t>
      </w:r>
      <w:r>
        <w:t xml:space="preserve"> and an additional five “Standard Track” contracts that were approved in Resolution E-5142 (totaling approximately 590</w:t>
      </w:r>
      <w:r w:rsidR="00264185">
        <w:t xml:space="preserve"> </w:t>
      </w:r>
      <w:r>
        <w:t>MW of nameplate capacity).</w:t>
      </w:r>
      <w:r w:rsidR="00681B48">
        <w:rPr>
          <w:rStyle w:val="FootnoteReference"/>
        </w:rPr>
        <w:footnoteReference w:id="50"/>
      </w:r>
      <w:r w:rsidR="000D032E">
        <w:t xml:space="preserve"> </w:t>
      </w:r>
      <w:r w:rsidRPr="005E4BB8" w:rsidR="00794A2D">
        <w:t>Pursuant</w:t>
      </w:r>
      <w:r w:rsidR="00794A2D">
        <w:t xml:space="preserve"> to Resolution E-5240, SCE accounted for emergency system reliability Modified </w:t>
      </w:r>
      <w:r w:rsidR="00794A2D">
        <w:lastRenderedPageBreak/>
        <w:t>Cost Allocation Mechanism (MCAM)-eligible costs and revenues in its 2024 forecast</w:t>
      </w:r>
      <w:r w:rsidRPr="00454D1A" w:rsidR="00794A2D">
        <w:t>.</w:t>
      </w:r>
      <w:r w:rsidR="00794A2D">
        <w:rPr>
          <w:rStyle w:val="FootnoteReference"/>
        </w:rPr>
        <w:footnoteReference w:id="51"/>
      </w:r>
      <w:r w:rsidR="00CF29A0">
        <w:t xml:space="preserve">, </w:t>
      </w:r>
      <w:r w:rsidR="00CF29A0">
        <w:rPr>
          <w:rStyle w:val="FootnoteReference"/>
        </w:rPr>
        <w:footnoteReference w:id="52"/>
      </w:r>
    </w:p>
    <w:p w:rsidR="00766B02" w:rsidP="00ED311E" w:rsidRDefault="00766B02" w14:paraId="04264572" w14:textId="01DC1E7E">
      <w:pPr>
        <w:pStyle w:val="Heading4"/>
      </w:pPr>
      <w:bookmarkStart w:name="_Toc152331394" w:id="20"/>
      <w:r>
        <w:t>Emergency Reliability</w:t>
      </w:r>
      <w:bookmarkEnd w:id="20"/>
    </w:p>
    <w:p w:rsidRPr="00454D1A" w:rsidR="000D032E" w:rsidP="005E4BB8" w:rsidRDefault="000D032E" w14:paraId="7466D97A" w14:textId="0102E18E">
      <w:pPr>
        <w:pStyle w:val="Standard"/>
      </w:pPr>
      <w:r w:rsidRPr="00454D1A">
        <w:t>D.21</w:t>
      </w:r>
      <w:r>
        <w:noBreakHyphen/>
      </w:r>
      <w:r w:rsidRPr="00454D1A">
        <w:t>02</w:t>
      </w:r>
      <w:r>
        <w:noBreakHyphen/>
      </w:r>
      <w:r w:rsidRPr="00454D1A">
        <w:t xml:space="preserve">028 authorized the </w:t>
      </w:r>
      <w:r w:rsidR="00385863">
        <w:t>investor</w:t>
      </w:r>
      <w:r w:rsidR="00720B2B">
        <w:t>-owned utilities</w:t>
      </w:r>
      <w:r w:rsidR="00385863">
        <w:t xml:space="preserve"> (IOU) </w:t>
      </w:r>
      <w:r w:rsidRPr="00454D1A">
        <w:t xml:space="preserve">to contract for </w:t>
      </w:r>
      <w:r w:rsidR="005C6004">
        <w:t xml:space="preserve">emergency reliability </w:t>
      </w:r>
      <w:r w:rsidRPr="00454D1A">
        <w:t>capacity that is available to serve peak and net peak demand in the summer of 2021, and seek approval for recovery of rates through CAM. In D.21</w:t>
      </w:r>
      <w:r>
        <w:noBreakHyphen/>
      </w:r>
      <w:r w:rsidRPr="00454D1A">
        <w:t>03</w:t>
      </w:r>
      <w:r>
        <w:noBreakHyphen/>
      </w:r>
      <w:r w:rsidRPr="00454D1A">
        <w:t xml:space="preserve">056, the Commission </w:t>
      </w:r>
      <w:r>
        <w:t xml:space="preserve">further </w:t>
      </w:r>
      <w:r w:rsidRPr="00454D1A">
        <w:t>authorized the IOUs to procure resources to meet the summer 2021 and 2022 effective planning reserve margin. In D.21</w:t>
      </w:r>
      <w:r>
        <w:noBreakHyphen/>
      </w:r>
      <w:r w:rsidRPr="00454D1A">
        <w:t>12</w:t>
      </w:r>
      <w:r>
        <w:noBreakHyphen/>
      </w:r>
      <w:r w:rsidRPr="00454D1A">
        <w:t xml:space="preserve">015, the Commission adopted requirements for summers 2022 and 2023. </w:t>
      </w:r>
    </w:p>
    <w:p w:rsidRPr="00454D1A" w:rsidR="00766B02" w:rsidP="00996421" w:rsidRDefault="00766B02" w14:paraId="2C56798E" w14:textId="055177C0">
      <w:pPr>
        <w:pStyle w:val="Heading4"/>
      </w:pPr>
      <w:bookmarkStart w:name="_Toc152331395" w:id="21"/>
      <w:r>
        <w:t>Mid-Term Reliability</w:t>
      </w:r>
      <w:bookmarkEnd w:id="21"/>
    </w:p>
    <w:p w:rsidR="00543966" w:rsidP="005E4BB8" w:rsidRDefault="00543966" w14:paraId="3600D4C0" w14:textId="6D0A786B">
      <w:pPr>
        <w:pStyle w:val="Standard"/>
      </w:pPr>
      <w:r>
        <w:t>D.21-</w:t>
      </w:r>
      <w:r w:rsidRPr="007532FA">
        <w:t>06</w:t>
      </w:r>
      <w:r>
        <w:t xml:space="preserve">-035 addressed mid-term reliability needs across CAISO’s operating system, and SCE launched its Mid-Term Reliability Request for Offers (MTRRFO) for incremental resources to come online in 2023-2024 on </w:t>
      </w:r>
      <w:r w:rsidR="007532FA">
        <w:br/>
      </w:r>
      <w:r>
        <w:t>July 30, 2021.</w:t>
      </w:r>
      <w:r w:rsidRPr="00543966">
        <w:rPr>
          <w:rStyle w:val="FootnoteReference"/>
        </w:rPr>
        <w:t xml:space="preserve"> </w:t>
      </w:r>
      <w:r>
        <w:rPr>
          <w:rStyle w:val="FootnoteReference"/>
        </w:rPr>
        <w:footnoteReference w:id="53"/>
      </w:r>
      <w:r>
        <w:t>,</w:t>
      </w:r>
      <w:r>
        <w:rPr>
          <w:rStyle w:val="FootnoteReference"/>
        </w:rPr>
        <w:footnoteReference w:id="54"/>
      </w:r>
      <w:r>
        <w:t xml:space="preserve"> </w:t>
      </w:r>
      <w:r w:rsidRPr="00454D1A">
        <w:t xml:space="preserve">SCE </w:t>
      </w:r>
      <w:r>
        <w:t xml:space="preserve">has </w:t>
      </w:r>
      <w:r w:rsidRPr="00454D1A">
        <w:t xml:space="preserve">executed contracts for </w:t>
      </w:r>
      <w:r>
        <w:t>several</w:t>
      </w:r>
      <w:r w:rsidRPr="00454D1A">
        <w:t xml:space="preserve"> energy storage </w:t>
      </w:r>
      <w:r>
        <w:t xml:space="preserve">and renewable </w:t>
      </w:r>
      <w:r w:rsidR="00CB3599">
        <w:t xml:space="preserve">energy </w:t>
      </w:r>
      <w:r w:rsidRPr="00454D1A">
        <w:t>projects</w:t>
      </w:r>
      <w:r>
        <w:t xml:space="preserve"> to address mid-term reliability needs</w:t>
      </w:r>
      <w:r w:rsidRPr="00454D1A">
        <w:t xml:space="preserve">, which were approved in </w:t>
      </w:r>
      <w:r>
        <w:t xml:space="preserve">Resolutions </w:t>
      </w:r>
      <w:r w:rsidRPr="00454D1A">
        <w:t>E</w:t>
      </w:r>
      <w:r>
        <w:noBreakHyphen/>
      </w:r>
      <w:r w:rsidRPr="00454D1A">
        <w:t>5205</w:t>
      </w:r>
      <w:r>
        <w:t xml:space="preserve">, E-5225, E-5234, E-5251, E-5253, and </w:t>
      </w:r>
      <w:r w:rsidRPr="00556E6B">
        <w:t>E-5271</w:t>
      </w:r>
      <w:r>
        <w:t xml:space="preserve">. </w:t>
      </w:r>
    </w:p>
    <w:p w:rsidR="00766B02" w:rsidP="00996421" w:rsidRDefault="00766B02" w14:paraId="668AF971" w14:textId="390F7A97">
      <w:pPr>
        <w:pStyle w:val="Heading4"/>
      </w:pPr>
      <w:bookmarkStart w:name="_Toc152331396" w:id="22"/>
      <w:r>
        <w:lastRenderedPageBreak/>
        <w:t xml:space="preserve">Generic and Bilateral </w:t>
      </w:r>
      <w:r w:rsidR="00260110">
        <w:t xml:space="preserve">Resource Adequacy </w:t>
      </w:r>
      <w:r>
        <w:t>Contracts</w:t>
      </w:r>
      <w:bookmarkEnd w:id="22"/>
    </w:p>
    <w:p w:rsidR="0088788F" w:rsidP="005E4BB8" w:rsidRDefault="000D032E" w14:paraId="6116EBFD" w14:textId="654EA3CD">
      <w:pPr>
        <w:pStyle w:val="Standard"/>
      </w:pPr>
      <w:r w:rsidRPr="00454D1A">
        <w:t>SCE forecast</w:t>
      </w:r>
      <w:r w:rsidR="00F572F0">
        <w:t>ed its 2024</w:t>
      </w:r>
      <w:r w:rsidRPr="00454D1A">
        <w:t xml:space="preserve"> RA purchase costs for generic </w:t>
      </w:r>
      <w:r w:rsidR="00766B02">
        <w:t xml:space="preserve">and bilateral </w:t>
      </w:r>
      <w:r w:rsidRPr="00454D1A">
        <w:t xml:space="preserve">RA </w:t>
      </w:r>
      <w:r w:rsidR="00766B02">
        <w:t xml:space="preserve">contracts </w:t>
      </w:r>
      <w:r w:rsidRPr="00454D1A">
        <w:t xml:space="preserve">using the RA </w:t>
      </w:r>
      <w:r w:rsidR="00720B2B">
        <w:t>MPB</w:t>
      </w:r>
      <w:r w:rsidRPr="00454D1A">
        <w:t xml:space="preserve"> and the revenue from sale of excess RA.</w:t>
      </w:r>
      <w:r w:rsidR="00F572F0">
        <w:t xml:space="preserve"> It calculated its 2024 month-ahead RA position based on its RA requirements and the available supply it has contracted to meet them, plus a buffer.</w:t>
      </w:r>
      <w:r w:rsidR="009A54FA">
        <w:t xml:space="preserve"> </w:t>
      </w:r>
      <w:r w:rsidR="001F6160">
        <w:t>SCE also included forecasted costs associated with its local capacity requirements (LCR) contracts in the Western LA Basin and Moorpark local reliability areas</w:t>
      </w:r>
      <w:r w:rsidR="009A54FA">
        <w:t>.</w:t>
      </w:r>
      <w:r w:rsidRPr="009A54FA" w:rsidR="009A54FA">
        <w:rPr>
          <w:rStyle w:val="FootnoteReference"/>
        </w:rPr>
        <w:t xml:space="preserve"> </w:t>
      </w:r>
      <w:r w:rsidR="009A54FA">
        <w:rPr>
          <w:rStyle w:val="FootnoteReference"/>
        </w:rPr>
        <w:footnoteReference w:id="55"/>
      </w:r>
      <w:r w:rsidR="001F6160">
        <w:t xml:space="preserve"> </w:t>
      </w:r>
    </w:p>
    <w:p w:rsidR="00FC4218" w:rsidP="005E4BB8" w:rsidRDefault="0091334F" w14:paraId="0E970CF5" w14:textId="754D5EE6">
      <w:pPr>
        <w:pStyle w:val="Standard"/>
      </w:pPr>
      <w:r>
        <w:t xml:space="preserve">In </w:t>
      </w:r>
      <w:r w:rsidRPr="005E4BB8">
        <w:t>testimony</w:t>
      </w:r>
      <w:r>
        <w:t xml:space="preserve">, </w:t>
      </w:r>
      <w:proofErr w:type="spellStart"/>
      <w:r>
        <w:t>CalCCA</w:t>
      </w:r>
      <w:proofErr w:type="spellEnd"/>
      <w:r>
        <w:t xml:space="preserve"> questioned whether SCE</w:t>
      </w:r>
      <w:r w:rsidRPr="0091334F">
        <w:t xml:space="preserve"> properly accounted for </w:t>
      </w:r>
      <w:r>
        <w:t>the</w:t>
      </w:r>
      <w:r w:rsidRPr="0091334F">
        <w:t xml:space="preserve"> 53</w:t>
      </w:r>
      <w:r w:rsidR="00794A2D">
        <w:t>7</w:t>
      </w:r>
      <w:r w:rsidRPr="0091334F">
        <w:t>.</w:t>
      </w:r>
      <w:r w:rsidR="00794A2D">
        <w:t>5</w:t>
      </w:r>
      <w:r w:rsidRPr="0091334F">
        <w:t xml:space="preserve"> MW of utility owned storage that was initially connected to non-CAISO controlled distribution assets but may eventually become CAISO market assets in 2024 or future years</w:t>
      </w:r>
      <w:r>
        <w:t>, suggesting that the costs should be credited against distribution costs, rather than reducing bundled customer load procurement costs.</w:t>
      </w:r>
      <w:r w:rsidR="00070D02">
        <w:rPr>
          <w:rStyle w:val="FootnoteReference"/>
        </w:rPr>
        <w:footnoteReference w:id="56"/>
      </w:r>
      <w:r>
        <w:t xml:space="preserve"> </w:t>
      </w:r>
      <w:r w:rsidR="00556E6B">
        <w:t>SCE addressed this concern in its rebuttal testimony</w:t>
      </w:r>
      <w:r w:rsidR="00FA593D">
        <w:t xml:space="preserve"> and its October Update</w:t>
      </w:r>
      <w:r w:rsidR="00556E6B">
        <w:t xml:space="preserve">, </w:t>
      </w:r>
      <w:r w:rsidR="00794A2D">
        <w:t>and</w:t>
      </w:r>
      <w:r w:rsidR="00556E6B">
        <w:t xml:space="preserve"> </w:t>
      </w:r>
      <w:r w:rsidR="00383FF4">
        <w:t xml:space="preserve"> clarified in its opening comments on the Proposed Decision that </w:t>
      </w:r>
      <w:r w:rsidR="00794A2D">
        <w:t>the UOS projects that will be distribution assets in 2024 will not be recovered through the PCIA.</w:t>
      </w:r>
      <w:r w:rsidR="00794A2D">
        <w:rPr>
          <w:rStyle w:val="FootnoteReference"/>
        </w:rPr>
        <w:footnoteReference w:id="57"/>
      </w:r>
      <w:r w:rsidR="00556E6B">
        <w:t xml:space="preserve"> </w:t>
      </w:r>
    </w:p>
    <w:p w:rsidR="008117D1" w:rsidP="00ED311E" w:rsidRDefault="008117D1" w14:paraId="15637E9A" w14:textId="6857D7D4">
      <w:pPr>
        <w:pStyle w:val="Heading3"/>
      </w:pPr>
      <w:bookmarkStart w:name="_Toc152331397" w:id="23"/>
      <w:r>
        <w:t>Discussion</w:t>
      </w:r>
      <w:bookmarkEnd w:id="23"/>
    </w:p>
    <w:p w:rsidR="007C7674" w:rsidP="005E4BB8" w:rsidRDefault="002675CA" w14:paraId="6660493F" w14:textId="3C1A3863">
      <w:pPr>
        <w:pStyle w:val="Standard"/>
      </w:pPr>
      <w:r>
        <w:t xml:space="preserve">No </w:t>
      </w:r>
      <w:r w:rsidRPr="005E4BB8">
        <w:t>parties</w:t>
      </w:r>
      <w:r>
        <w:t xml:space="preserve"> directly addressed SCE’s testimony and workpapers related to its hydroelectric, SPV, CHP, or natural gas and interagency contracts. After reviewing the workpapers and October Update documents, we find SCE’s forecasted 2024 portfolio of </w:t>
      </w:r>
      <w:r w:rsidR="00720B2B">
        <w:t>UOG</w:t>
      </w:r>
      <w:r>
        <w:t xml:space="preserve"> and purchased power resource</w:t>
      </w:r>
      <w:r w:rsidR="00FC4218">
        <w:t>s</w:t>
      </w:r>
      <w:r>
        <w:t xml:space="preserve"> to be reasonable</w:t>
      </w:r>
      <w:r w:rsidR="000B3855">
        <w:t xml:space="preserve"> pursuant to Pub. Util. Code §</w:t>
      </w:r>
      <w:r w:rsidRPr="00516A81" w:rsidR="000B3855">
        <w:t xml:space="preserve"> 454.5</w:t>
      </w:r>
      <w:r>
        <w:t>.</w:t>
      </w:r>
    </w:p>
    <w:p w:rsidR="008117D1" w:rsidP="005E4BB8" w:rsidRDefault="008117D1" w14:paraId="4C9EF520" w14:textId="19E67D32">
      <w:pPr>
        <w:pStyle w:val="Standard"/>
      </w:pPr>
      <w:r>
        <w:lastRenderedPageBreak/>
        <w:t xml:space="preserve">Upon </w:t>
      </w:r>
      <w:r w:rsidRPr="005E4BB8">
        <w:t>review</w:t>
      </w:r>
      <w:r>
        <w:t xml:space="preserve"> of the testimony and rebuttal from </w:t>
      </w:r>
      <w:proofErr w:type="spellStart"/>
      <w:r>
        <w:t>CalCCA</w:t>
      </w:r>
      <w:proofErr w:type="spellEnd"/>
      <w:r w:rsidR="008152BD">
        <w:t xml:space="preserve"> and SCE</w:t>
      </w:r>
      <w:r>
        <w:t xml:space="preserve"> filed in this proceeding, and SCE’s October Update, we find the RA Contracts SCE included in its 2024 ERRA forecast to be reasonable and in compliance with legislative and regulatory requirements. </w:t>
      </w:r>
      <w:r w:rsidR="008152BD">
        <w:t xml:space="preserve">SCE is </w:t>
      </w:r>
      <w:r w:rsidR="00353AC9">
        <w:t xml:space="preserve">also </w:t>
      </w:r>
      <w:r w:rsidR="008152BD">
        <w:t>directed to separate the charging cost and use the Energy Index MPB to forecast the value of discharging the battery as proposed in Exhibit SCE-05C</w:t>
      </w:r>
      <w:r w:rsidR="00201312">
        <w:t xml:space="preserve"> and discussed further in Section 6.4.1 below</w:t>
      </w:r>
      <w:r w:rsidR="008152BD">
        <w:t>.</w:t>
      </w:r>
    </w:p>
    <w:p w:rsidR="009A54FA" w:rsidP="00BC00A0" w:rsidRDefault="009A54FA" w14:paraId="7E38FE5C" w14:textId="25EF1C21">
      <w:pPr>
        <w:pStyle w:val="Heading2"/>
      </w:pPr>
      <w:bookmarkStart w:name="_Toc152331398" w:id="24"/>
      <w:r>
        <w:t xml:space="preserve">Public </w:t>
      </w:r>
      <w:r w:rsidRPr="00BC00A0">
        <w:t>Purpose</w:t>
      </w:r>
      <w:r>
        <w:t xml:space="preserve"> Program Charges</w:t>
      </w:r>
      <w:bookmarkEnd w:id="24"/>
    </w:p>
    <w:p w:rsidR="0030772D" w:rsidP="005E4BB8" w:rsidRDefault="0030772D" w14:paraId="7ED62E75" w14:textId="16308AD9">
      <w:pPr>
        <w:pStyle w:val="Standard"/>
      </w:pPr>
      <w:r w:rsidRPr="00454D1A">
        <w:t xml:space="preserve">SCE </w:t>
      </w:r>
      <w:r w:rsidRPr="005E4BB8">
        <w:t>forecasted</w:t>
      </w:r>
      <w:r w:rsidRPr="00454D1A">
        <w:t xml:space="preserve"> procurement</w:t>
      </w:r>
      <w:r>
        <w:noBreakHyphen/>
      </w:r>
      <w:r w:rsidRPr="00454D1A">
        <w:t xml:space="preserve">related expenses for </w:t>
      </w:r>
      <w:r w:rsidRPr="00996421">
        <w:t>th</w:t>
      </w:r>
      <w:r w:rsidR="00BF6FCF">
        <w:t>e four</w:t>
      </w:r>
      <w:r w:rsidRPr="00454D1A">
        <w:t xml:space="preserve"> programs </w:t>
      </w:r>
      <w:r w:rsidR="00BF6FCF">
        <w:t xml:space="preserve">it </w:t>
      </w:r>
      <w:r w:rsidRPr="00454D1A">
        <w:t>recover</w:t>
      </w:r>
      <w:r w:rsidR="00BF6FCF">
        <w:t>s</w:t>
      </w:r>
      <w:r w:rsidRPr="00454D1A">
        <w:t xml:space="preserve"> through the Public Purpose Program charge</w:t>
      </w:r>
      <w:r w:rsidR="002E6CF2">
        <w:t xml:space="preserve"> (PPPC)</w:t>
      </w:r>
      <w:r>
        <w:t xml:space="preserve"> in 2024</w:t>
      </w:r>
      <w:r w:rsidRPr="00454D1A">
        <w:t xml:space="preserve">. </w:t>
      </w:r>
    </w:p>
    <w:p w:rsidR="001F6160" w:rsidP="005E4BB8" w:rsidRDefault="0030772D" w14:paraId="723F1EAC" w14:textId="5E7C4168">
      <w:pPr>
        <w:pStyle w:val="Standard"/>
      </w:pPr>
      <w:r>
        <w:t xml:space="preserve">First, </w:t>
      </w:r>
      <w:r w:rsidR="009A54FA">
        <w:t xml:space="preserve">SCE </w:t>
      </w:r>
      <w:r w:rsidRPr="005E4BB8" w:rsidR="009A54FA">
        <w:t>included</w:t>
      </w:r>
      <w:r w:rsidR="009A54FA">
        <w:t xml:space="preserve"> forecasted</w:t>
      </w:r>
      <w:r>
        <w:t xml:space="preserve"> capacity</w:t>
      </w:r>
      <w:r w:rsidR="001F6160">
        <w:t xml:space="preserve"> costs and </w:t>
      </w:r>
      <w:r w:rsidR="009A54FA">
        <w:t>estimated</w:t>
      </w:r>
      <w:r>
        <w:t xml:space="preserve"> </w:t>
      </w:r>
      <w:r w:rsidR="00530A6D">
        <w:br/>
      </w:r>
      <w:r>
        <w:t>in-front-of-the-meter</w:t>
      </w:r>
      <w:r w:rsidR="009A54FA">
        <w:t xml:space="preserve"> </w:t>
      </w:r>
      <w:r w:rsidR="001F6160">
        <w:t>production of resources procured through its Preferred Resource Pilot</w:t>
      </w:r>
      <w:r>
        <w:t xml:space="preserve"> (PRP) #2</w:t>
      </w:r>
      <w:r w:rsidR="001F6160">
        <w:t>.</w:t>
      </w:r>
      <w:r w:rsidR="001F6160">
        <w:rPr>
          <w:rStyle w:val="FootnoteReference"/>
        </w:rPr>
        <w:footnoteReference w:id="58"/>
      </w:r>
      <w:r>
        <w:t xml:space="preserve"> </w:t>
      </w:r>
      <w:r w:rsidR="004F2062">
        <w:t xml:space="preserve">These resources were procured pursuant to </w:t>
      </w:r>
      <w:r w:rsidR="00530A6D">
        <w:br/>
      </w:r>
      <w:r w:rsidR="004F2062">
        <w:t>D.18-07-023 which authorized SCE’s second PRP.</w:t>
      </w:r>
      <w:r w:rsidR="00C97877">
        <w:t xml:space="preserve"> </w:t>
      </w:r>
      <w:r w:rsidR="002E6CF2">
        <w:t>SCE proposed to recover the costs of the PRP behind-the-meter energy storage contracts from customers through the PPPC</w:t>
      </w:r>
      <w:r w:rsidR="00C97877">
        <w:t>.</w:t>
      </w:r>
      <w:r w:rsidR="00C97877">
        <w:rPr>
          <w:rStyle w:val="FootnoteReference"/>
        </w:rPr>
        <w:footnoteReference w:id="59"/>
      </w:r>
    </w:p>
    <w:p w:rsidR="0030772D" w:rsidP="00BC00A0" w:rsidRDefault="0030772D" w14:paraId="7C218740" w14:textId="532A83AE">
      <w:pPr>
        <w:pStyle w:val="Standard"/>
      </w:pPr>
      <w:r>
        <w:t>Second, SCE included forecasted at total of $</w:t>
      </w:r>
      <w:r w:rsidR="00434191">
        <w:t>4.581</w:t>
      </w:r>
      <w:r>
        <w:t xml:space="preserve"> million in fuel and purchased power costs to be recorded in the </w:t>
      </w:r>
      <w:r w:rsidR="00BF6FCF">
        <w:t>TMNBCBA</w:t>
      </w:r>
      <w:r>
        <w:t xml:space="preserve">, including </w:t>
      </w:r>
      <w:r w:rsidR="000E35C1">
        <w:t xml:space="preserve">the </w:t>
      </w:r>
      <w:r w:rsidR="00720B2B">
        <w:t>F</w:t>
      </w:r>
      <w:r w:rsidR="000E35C1">
        <w:t>ranchise Fee and Uncollectible Factor (FF&amp;U)</w:t>
      </w:r>
      <w:r w:rsidR="00090D2E">
        <w:t>.</w:t>
      </w:r>
      <w:r w:rsidR="00090D2E">
        <w:rPr>
          <w:rStyle w:val="FootnoteReference"/>
        </w:rPr>
        <w:footnoteReference w:id="60"/>
      </w:r>
    </w:p>
    <w:p w:rsidRPr="00323CDB" w:rsidR="00090D2E" w:rsidP="005E4BB8" w:rsidRDefault="00090D2E" w14:paraId="38406060" w14:textId="424FB1A0">
      <w:pPr>
        <w:pStyle w:val="Standard"/>
      </w:pPr>
      <w:r w:rsidRPr="00BC00A0">
        <w:t>Third</w:t>
      </w:r>
      <w:r>
        <w:t xml:space="preserve">, pursuant </w:t>
      </w:r>
      <w:r w:rsidRPr="005E4BB8">
        <w:t>to</w:t>
      </w:r>
      <w:r>
        <w:t xml:space="preserve"> Resolutions E-4805 and E-4770, SCE forecasted audit expenses for its </w:t>
      </w:r>
      <w:proofErr w:type="spellStart"/>
      <w:r>
        <w:t>BioRAM</w:t>
      </w:r>
      <w:proofErr w:type="spellEnd"/>
      <w:r>
        <w:t xml:space="preserve"> contracts to total $0.018 million in 2024, but the actual </w:t>
      </w:r>
      <w:r>
        <w:lastRenderedPageBreak/>
        <w:t>audit expenses will be recorded in its TMNBCBA.</w:t>
      </w:r>
      <w:r>
        <w:rPr>
          <w:rStyle w:val="FootnoteReference"/>
        </w:rPr>
        <w:footnoteReference w:id="61"/>
      </w:r>
      <w:r>
        <w:t xml:space="preserve"> </w:t>
      </w:r>
      <w:r w:rsidRPr="00996421">
        <w:t xml:space="preserve">SCE </w:t>
      </w:r>
      <w:r w:rsidRPr="00996421" w:rsidR="00BF6FCF">
        <w:t xml:space="preserve">forecasted </w:t>
      </w:r>
      <w:r w:rsidRPr="00996421">
        <w:t>a</w:t>
      </w:r>
      <w:r w:rsidR="00995FFF">
        <w:t xml:space="preserve"> total</w:t>
      </w:r>
      <w:r w:rsidRPr="00996421">
        <w:t xml:space="preserve"> </w:t>
      </w:r>
      <w:proofErr w:type="spellStart"/>
      <w:r w:rsidRPr="00996421">
        <w:t>undercollection</w:t>
      </w:r>
      <w:proofErr w:type="spellEnd"/>
      <w:r w:rsidRPr="00996421">
        <w:t xml:space="preserve"> of $</w:t>
      </w:r>
      <w:r w:rsidRPr="00996421" w:rsidR="00B615EB">
        <w:t>10.5</w:t>
      </w:r>
      <w:r w:rsidRPr="00996421" w:rsidR="002A3A83">
        <w:t>88</w:t>
      </w:r>
      <w:r w:rsidRPr="00996421" w:rsidR="00B615EB">
        <w:t xml:space="preserve"> million </w:t>
      </w:r>
      <w:r w:rsidRPr="00996421">
        <w:t>in its TMNBCBA at the end of 2023</w:t>
      </w:r>
      <w:r w:rsidRPr="00323CDB">
        <w:t>.</w:t>
      </w:r>
      <w:r w:rsidR="00720B2B">
        <w:rPr>
          <w:rStyle w:val="FootnoteReference"/>
        </w:rPr>
        <w:footnoteReference w:id="62"/>
      </w:r>
    </w:p>
    <w:p w:rsidR="00090D2E" w:rsidP="00BC00A0" w:rsidRDefault="00090D2E" w14:paraId="2E518852" w14:textId="087128AA">
      <w:pPr>
        <w:pStyle w:val="Standard"/>
      </w:pPr>
      <w:r w:rsidRPr="00323CDB">
        <w:t xml:space="preserve">Fourth, SCE </w:t>
      </w:r>
      <w:r w:rsidRPr="00323CDB" w:rsidR="002A3A83">
        <w:t xml:space="preserve">projected </w:t>
      </w:r>
      <w:r w:rsidRPr="00323CDB">
        <w:t>the fuel and purchased power costs related to its Bioenergy Market Adjusting Tariff (</w:t>
      </w:r>
      <w:proofErr w:type="spellStart"/>
      <w:r w:rsidRPr="00323CDB">
        <w:t>BioMAT</w:t>
      </w:r>
      <w:proofErr w:type="spellEnd"/>
      <w:r w:rsidRPr="00323CDB">
        <w:t>) Resources or Contracts to total $</w:t>
      </w:r>
      <w:r w:rsidR="00995FFF">
        <w:t>4.118</w:t>
      </w:r>
      <w:r w:rsidRPr="00323CDB">
        <w:t xml:space="preserve"> million in 202</w:t>
      </w:r>
      <w:r w:rsidRPr="00323CDB" w:rsidR="002A3A83">
        <w:t>3</w:t>
      </w:r>
      <w:r w:rsidRPr="00323CDB">
        <w:t>, including FF&amp;U. SCE estimate</w:t>
      </w:r>
      <w:r w:rsidRPr="00323CDB" w:rsidR="00BF6FCF">
        <w:t>d</w:t>
      </w:r>
      <w:r w:rsidRPr="00323CDB">
        <w:t xml:space="preserve"> an overcollection in its BMNBCBA </w:t>
      </w:r>
      <w:r w:rsidRPr="00996421">
        <w:t>of $</w:t>
      </w:r>
      <w:r w:rsidRPr="00996421" w:rsidR="002A3A83">
        <w:t>6.689</w:t>
      </w:r>
      <w:r>
        <w:t xml:space="preserve"> million in 2023.</w:t>
      </w:r>
      <w:r w:rsidRPr="00BF6FCF" w:rsidR="00BF6FCF">
        <w:rPr>
          <w:rStyle w:val="FootnoteReference"/>
        </w:rPr>
        <w:t xml:space="preserve"> </w:t>
      </w:r>
      <w:r w:rsidR="00BF6FCF">
        <w:rPr>
          <w:rStyle w:val="FootnoteReference"/>
        </w:rPr>
        <w:footnoteReference w:id="63"/>
      </w:r>
    </w:p>
    <w:p w:rsidRPr="00454D1A" w:rsidR="003B52A5" w:rsidP="005E4BB8" w:rsidRDefault="00E70F47" w14:paraId="552122AB" w14:textId="38937E65">
      <w:pPr>
        <w:pStyle w:val="Standard"/>
      </w:pPr>
      <w:r w:rsidRPr="005E4BB8">
        <w:t>Preferred</w:t>
      </w:r>
      <w:r>
        <w:t xml:space="preserve"> Resource Pilot Program BA (PRPPBA), TMNBCBA or BMNBCBA in testimony. Upon review of SCE’s testimony, October Update, and Workpapers, the</w:t>
      </w:r>
      <w:r w:rsidRPr="00454D1A">
        <w:t xml:space="preserve"> Commission finds SCE’s </w:t>
      </w:r>
      <w:r>
        <w:t>forecasted</w:t>
      </w:r>
      <w:r w:rsidRPr="00454D1A">
        <w:t xml:space="preserve"> 202</w:t>
      </w:r>
      <w:r>
        <w:t>4</w:t>
      </w:r>
      <w:r w:rsidRPr="00454D1A">
        <w:t xml:space="preserve"> </w:t>
      </w:r>
      <w:r>
        <w:t>PRPPBA, TMNBCA, and BMNBC</w:t>
      </w:r>
      <w:r w:rsidRPr="00454D1A">
        <w:t>BA amount</w:t>
      </w:r>
      <w:r>
        <w:t>s</w:t>
      </w:r>
      <w:r w:rsidRPr="00454D1A">
        <w:t xml:space="preserve"> </w:t>
      </w:r>
      <w:r>
        <w:t>reasonable</w:t>
      </w:r>
      <w:r w:rsidRPr="00454D1A">
        <w:t>.</w:t>
      </w:r>
      <w:r>
        <w:t xml:space="preserve"> SCE is authorized to recover its costs associated with the programs described in Section 5.2 above through the PPPC.</w:t>
      </w:r>
    </w:p>
    <w:p w:rsidR="0030772D" w:rsidP="00BC00A0" w:rsidRDefault="0030772D" w14:paraId="1C595C2B" w14:textId="1AD60729">
      <w:pPr>
        <w:pStyle w:val="Heading2"/>
      </w:pPr>
      <w:bookmarkStart w:name="_Toc152331399" w:id="25"/>
      <w:r>
        <w:t xml:space="preserve">Green Tariff </w:t>
      </w:r>
      <w:r w:rsidRPr="00BC00A0">
        <w:t>Shared</w:t>
      </w:r>
      <w:r>
        <w:t xml:space="preserve"> Renewables Program</w:t>
      </w:r>
      <w:bookmarkEnd w:id="25"/>
    </w:p>
    <w:p w:rsidR="00CE58A1" w:rsidP="00BC00A0" w:rsidRDefault="0030772D" w14:paraId="6F7B82D8" w14:textId="4E3EC65F">
      <w:pPr>
        <w:pStyle w:val="Standard"/>
      </w:pPr>
      <w:r>
        <w:t>SCE included the costs of implementing its Green Tariff Shared Renewables (GTSR) Program, pursuant to</w:t>
      </w:r>
      <w:r w:rsidR="001F64C1">
        <w:t xml:space="preserve"> Public </w:t>
      </w:r>
      <w:r w:rsidR="00E70F47">
        <w:t xml:space="preserve">Util. </w:t>
      </w:r>
      <w:r w:rsidR="001F64C1">
        <w:t>Code §</w:t>
      </w:r>
      <w:r w:rsidR="00EE69C3">
        <w:t xml:space="preserve"> </w:t>
      </w:r>
      <w:r w:rsidR="001F64C1">
        <w:t>2831-2833</w:t>
      </w:r>
      <w:r>
        <w:t xml:space="preserve"> and D.15-01-051. </w:t>
      </w:r>
      <w:r w:rsidR="001F64C1">
        <w:t xml:space="preserve">SCE provides customers with two options to be served with a larger mix of renewable energy, relative to SCE’s other tariff options. Under </w:t>
      </w:r>
      <w:r w:rsidR="00CE58A1">
        <w:t xml:space="preserve">SCE’s </w:t>
      </w:r>
      <w:r w:rsidR="001F64C1">
        <w:t xml:space="preserve">Green Rate program, </w:t>
      </w:r>
      <w:r w:rsidRPr="00454D1A" w:rsidR="001F64C1">
        <w:t>customers may choose either a 5</w:t>
      </w:r>
      <w:r w:rsidR="001F64C1">
        <w:t>0 percent</w:t>
      </w:r>
      <w:r w:rsidRPr="00454D1A" w:rsidR="001F64C1">
        <w:t xml:space="preserve"> or 10</w:t>
      </w:r>
      <w:r w:rsidR="001F64C1">
        <w:t>0 percent</w:t>
      </w:r>
      <w:r w:rsidRPr="00454D1A" w:rsidR="001F64C1">
        <w:t xml:space="preserve"> mix of renewable energy</w:t>
      </w:r>
      <w:r w:rsidR="001F64C1">
        <w:t>,</w:t>
      </w:r>
      <w:r w:rsidRPr="00454D1A" w:rsidR="001F64C1">
        <w:t xml:space="preserve"> with a corresponding increase in their generation rate. Under </w:t>
      </w:r>
      <w:r w:rsidR="00CE58A1">
        <w:t>SCE’s</w:t>
      </w:r>
      <w:r w:rsidRPr="00454D1A" w:rsidR="00CE58A1">
        <w:t xml:space="preserve"> </w:t>
      </w:r>
      <w:r w:rsidRPr="00454D1A" w:rsidR="001F64C1">
        <w:t>Enhanced Community Renewables</w:t>
      </w:r>
      <w:r w:rsidR="00CE58A1">
        <w:t xml:space="preserve"> (ECR)</w:t>
      </w:r>
      <w:r w:rsidRPr="00454D1A" w:rsidR="001F64C1">
        <w:t xml:space="preserve"> option, customers may support local renewable energy projects through agreements with third</w:t>
      </w:r>
      <w:r w:rsidR="001F64C1">
        <w:noBreakHyphen/>
      </w:r>
      <w:r w:rsidRPr="00454D1A" w:rsidR="001F64C1">
        <w:t>party developers.</w:t>
      </w:r>
      <w:r w:rsidR="00CE58A1">
        <w:rPr>
          <w:rStyle w:val="FootnoteReference"/>
        </w:rPr>
        <w:footnoteReference w:id="64"/>
      </w:r>
      <w:r w:rsidR="00370997">
        <w:t xml:space="preserve"> </w:t>
      </w:r>
      <w:r w:rsidR="00CE58A1">
        <w:t xml:space="preserve">SCE has procured Green Tariff-specific projects to serve GTSR </w:t>
      </w:r>
      <w:r w:rsidR="00CE58A1">
        <w:lastRenderedPageBreak/>
        <w:t>customers that are expected to be producing power in 2024, but SCE noted these projects are still pending Commission approval and have therefore not been included in SCE’s forecast.</w:t>
      </w:r>
      <w:r w:rsidRPr="001972A4" w:rsidR="001972A4">
        <w:rPr>
          <w:rStyle w:val="FootnoteReference"/>
        </w:rPr>
        <w:t xml:space="preserve"> </w:t>
      </w:r>
      <w:r w:rsidR="001972A4">
        <w:rPr>
          <w:rStyle w:val="FootnoteReference"/>
        </w:rPr>
        <w:footnoteReference w:id="65"/>
      </w:r>
      <w:r w:rsidR="00CE58A1">
        <w:t xml:space="preserve"> </w:t>
      </w:r>
    </w:p>
    <w:p w:rsidR="00CE58A1" w:rsidP="00BC00A0" w:rsidRDefault="00370997" w14:paraId="6987F6D8" w14:textId="06369856">
      <w:pPr>
        <w:pStyle w:val="Standard"/>
      </w:pPr>
      <w:r>
        <w:t xml:space="preserve">For 2024, SCE forecasted that participation in its Green Tariff programs will equal </w:t>
      </w:r>
      <w:r w:rsidR="00CE58A1">
        <w:t>approximately 171.2 MWh</w:t>
      </w:r>
      <w:r>
        <w:t xml:space="preserve"> and will be serviced by resources that are already online and are not already being accounted for in the CHP and renewable energy costs and power resources described in Section 5.1.3 above.</w:t>
      </w:r>
      <w:r w:rsidR="008742CA">
        <w:t xml:space="preserve"> </w:t>
      </w:r>
      <w:r w:rsidR="00CE58A1">
        <w:t>SCE withdrew its petition to modify D.15-01-051 on August 9, 2023</w:t>
      </w:r>
      <w:r w:rsidR="00E70F47">
        <w:t>,</w:t>
      </w:r>
      <w:r w:rsidR="00CE58A1">
        <w:t xml:space="preserve"> and did not include any additional capacity or related costs related to the relief it had requested in its petition in the forecasts provided in its October Update.</w:t>
      </w:r>
      <w:r w:rsidR="006321F3">
        <w:rPr>
          <w:rStyle w:val="FootnoteReference"/>
        </w:rPr>
        <w:footnoteReference w:id="66"/>
      </w:r>
      <w:r w:rsidR="00CE58A1">
        <w:t xml:space="preserve"> </w:t>
      </w:r>
    </w:p>
    <w:p w:rsidRPr="00454D1A" w:rsidR="002E3901" w:rsidP="00BC00A0" w:rsidRDefault="00CE58A1" w14:paraId="1C6DC08F" w14:textId="6A172A90">
      <w:pPr>
        <w:pStyle w:val="Standard"/>
      </w:pPr>
      <w:r>
        <w:t>No party directly referenced SCE’s Green Tariff programs in their testimony or briefs. Upon review of SCE’s testimony, October Update, and Workpapers, t</w:t>
      </w:r>
      <w:r w:rsidRPr="00454D1A" w:rsidR="002E3901">
        <w:t xml:space="preserve">he Commission finds SCE’s </w:t>
      </w:r>
      <w:r w:rsidR="002E3901">
        <w:t>forecasted</w:t>
      </w:r>
      <w:r w:rsidRPr="00454D1A" w:rsidR="002E3901">
        <w:t xml:space="preserve"> 202</w:t>
      </w:r>
      <w:r w:rsidR="002E3901">
        <w:t>4</w:t>
      </w:r>
      <w:r w:rsidRPr="00454D1A" w:rsidR="002E3901">
        <w:t xml:space="preserve"> </w:t>
      </w:r>
      <w:r w:rsidR="00670805">
        <w:t>G</w:t>
      </w:r>
      <w:r w:rsidR="00E70F47">
        <w:t>TSR</w:t>
      </w:r>
      <w:r w:rsidRPr="00454D1A" w:rsidR="002E3901">
        <w:t xml:space="preserve"> BA amount accurate, reasonable, and in compliance with applicable rules</w:t>
      </w:r>
      <w:r w:rsidR="000B3855">
        <w:t xml:space="preserve"> and Commission orders</w:t>
      </w:r>
      <w:r w:rsidRPr="00454D1A" w:rsidR="002E3901">
        <w:t>.</w:t>
      </w:r>
    </w:p>
    <w:p w:rsidR="008742CA" w:rsidP="002A2086" w:rsidRDefault="002A2086" w14:paraId="1DC863F1" w14:textId="335E1846">
      <w:pPr>
        <w:pStyle w:val="Heading2"/>
      </w:pPr>
      <w:bookmarkStart w:name="_Toc152331400" w:id="26"/>
      <w:r>
        <w:t>Nuclear</w:t>
      </w:r>
      <w:bookmarkEnd w:id="26"/>
    </w:p>
    <w:p w:rsidR="002A2086" w:rsidP="002A2086" w:rsidRDefault="002A2086" w14:paraId="1E879691" w14:textId="7E23B3F1">
      <w:pPr>
        <w:pStyle w:val="Standard"/>
      </w:pPr>
      <w:r>
        <w:t xml:space="preserve">SCE owns a 15.8 percent share, or 213MW per unit, of the three-unit </w:t>
      </w:r>
      <w:r w:rsidR="00335ECF">
        <w:br/>
      </w:r>
      <w:r>
        <w:t>Palo Verde Nuclear Generation Station (PVNGS), which is operated by Arizona Public Service Company</w:t>
      </w:r>
      <w:r w:rsidR="002D47A8">
        <w:t xml:space="preserve"> (APS)</w:t>
      </w:r>
      <w:r>
        <w:t>. SCE forecasted that PVNGS will operate at baseload capacity</w:t>
      </w:r>
      <w:r w:rsidR="00AC0FDC">
        <w:t xml:space="preserve"> in 2024</w:t>
      </w:r>
      <w:r>
        <w:t>, but for two refueling outages.</w:t>
      </w:r>
      <w:r>
        <w:rPr>
          <w:rStyle w:val="FootnoteReference"/>
        </w:rPr>
        <w:footnoteReference w:id="67"/>
      </w:r>
      <w:r w:rsidR="002D47A8">
        <w:t xml:space="preserve"> SCE, through contracts </w:t>
      </w:r>
      <w:r w:rsidR="002D47A8">
        <w:lastRenderedPageBreak/>
        <w:t xml:space="preserve">with APS and other suppliers, incurs a share of the nuclear fuel management costs for PVNGS, from the mining of the uranium necessary to fabricate the fuel to spent fuel transportation, safe interim storage, and permanent disposal. SCE projected that its share of the PVNGS nuclear fuel expense for 2024 will be </w:t>
      </w:r>
      <w:r w:rsidR="005E4BB8">
        <w:br/>
      </w:r>
      <w:r w:rsidR="002D47A8">
        <w:t>$29.7 million.</w:t>
      </w:r>
      <w:r w:rsidR="00AF4C2B">
        <w:rPr>
          <w:rStyle w:val="FootnoteReference"/>
        </w:rPr>
        <w:footnoteReference w:id="68"/>
      </w:r>
      <w:r w:rsidR="00AA5ABE">
        <w:t xml:space="preserve"> The costs to transfer fuel to, and store it in, the on-site Independent Spent Fuel Storage Installation (ISFSI) </w:t>
      </w:r>
      <w:r w:rsidR="00AC0FDC">
        <w:t>are</w:t>
      </w:r>
      <w:r w:rsidR="00AA5ABE">
        <w:t xml:space="preserve"> considered operating cost</w:t>
      </w:r>
      <w:r w:rsidR="00AC0FDC">
        <w:t>s</w:t>
      </w:r>
      <w:r w:rsidR="00AA5ABE">
        <w:t xml:space="preserve"> for PVNGS, and therefore not included in the 2024 ERRA forecast. However, SCE forecasted it will</w:t>
      </w:r>
      <w:r w:rsidR="00CB3599">
        <w:t xml:space="preserve"> </w:t>
      </w:r>
      <w:r w:rsidR="00AA5ABE">
        <w:t>incur $</w:t>
      </w:r>
      <w:r w:rsidR="00AF4C2B">
        <w:t>2.915</w:t>
      </w:r>
      <w:r w:rsidR="00996421">
        <w:t xml:space="preserve"> </w:t>
      </w:r>
      <w:r w:rsidR="00AA5ABE">
        <w:t>million in spent nuclear fuel storage costs associated with PVNGS, approximately $</w:t>
      </w:r>
      <w:r w:rsidR="00AF4C2B">
        <w:t>2.907</w:t>
      </w:r>
      <w:r w:rsidR="00AA5ABE">
        <w:t xml:space="preserve"> million of which would be offset by credits from the U.S. Department of Energy spent fuel litigation. Therefore, SCE included</w:t>
      </w:r>
      <w:r w:rsidR="00CB3599">
        <w:t xml:space="preserve"> </w:t>
      </w:r>
      <w:r w:rsidR="00AA5ABE">
        <w:t xml:space="preserve">a net cost associated with PVNGS spent fuel storage </w:t>
      </w:r>
      <w:r w:rsidRPr="003C5BD1" w:rsidR="00AA5ABE">
        <w:t xml:space="preserve">of </w:t>
      </w:r>
      <w:r w:rsidRPr="002F290B" w:rsidR="00AA5ABE">
        <w:t>$0.</w:t>
      </w:r>
      <w:r w:rsidRPr="003C5BD1" w:rsidR="00AF4C2B">
        <w:t>0</w:t>
      </w:r>
      <w:r w:rsidRPr="003C5BD1" w:rsidR="00686FB9">
        <w:t>0</w:t>
      </w:r>
      <w:r w:rsidRPr="003C5BD1" w:rsidR="00AF4C2B">
        <w:t>8</w:t>
      </w:r>
      <w:r w:rsidR="00AA5ABE">
        <w:t xml:space="preserve"> million.</w:t>
      </w:r>
      <w:r w:rsidR="002D47A8">
        <w:rPr>
          <w:rStyle w:val="FootnoteReference"/>
        </w:rPr>
        <w:footnoteReference w:id="69"/>
      </w:r>
    </w:p>
    <w:p w:rsidR="002D47A8" w:rsidP="005E4BB8" w:rsidRDefault="002D47A8" w14:paraId="367296C9" w14:textId="2DB2C2A4">
      <w:pPr>
        <w:pStyle w:val="Standard"/>
      </w:pPr>
      <w:r w:rsidRPr="005E4BB8">
        <w:t>Separately</w:t>
      </w:r>
      <w:r>
        <w:t>, SCE is the majority owner and decommissioning agent for the San Onofre Nuclear Generating Station (SONGS) Units 1, 2, and 3. SONGS Unit 1 was retired</w:t>
      </w:r>
      <w:r w:rsidR="00AC0FDC">
        <w:t xml:space="preserve"> on</w:t>
      </w:r>
      <w:r>
        <w:t xml:space="preserve"> November 30, 1992, and SONGS Units 2 and 3 were permanently retired on June 7, 2013. All three SONGS units are being decommissioned</w:t>
      </w:r>
      <w:r w:rsidR="003C5BD1">
        <w:t>,</w:t>
      </w:r>
      <w:r w:rsidR="00AA5ABE">
        <w:t xml:space="preserve"> and the fuel from the units has been transferred to its on-site ISFSI. The costs for storing spent fuel at the on-site ISFSI are covered by the SONGS Nuclear Decommissioning Trusts and were not included in the 2024 ERRA forecast. However, </w:t>
      </w:r>
      <w:r w:rsidR="007F1CC1">
        <w:t xml:space="preserve">SCE </w:t>
      </w:r>
      <w:r w:rsidR="00F86AB2">
        <w:t>included</w:t>
      </w:r>
      <w:r w:rsidR="007F1CC1">
        <w:t xml:space="preserve"> </w:t>
      </w:r>
      <w:r w:rsidRPr="005164E9" w:rsidR="00AA5ABE">
        <w:t>$</w:t>
      </w:r>
      <w:r w:rsidRPr="00996421" w:rsidR="00AA5ABE">
        <w:t>4.89</w:t>
      </w:r>
      <w:r w:rsidRPr="005164E9" w:rsidR="007F1CC1">
        <w:t>4</w:t>
      </w:r>
      <w:r w:rsidR="00AA5ABE">
        <w:t xml:space="preserve"> million in off-site interim storage costs for SONGS Unit 1 spent fuel assemblies in </w:t>
      </w:r>
      <w:r w:rsidR="007F1CC1">
        <w:t xml:space="preserve">its </w:t>
      </w:r>
      <w:r w:rsidR="00AA5ABE">
        <w:t>2024 ERRA forecast.</w:t>
      </w:r>
      <w:r w:rsidR="00AA5ABE">
        <w:rPr>
          <w:rStyle w:val="FootnoteReference"/>
        </w:rPr>
        <w:footnoteReference w:id="70"/>
      </w:r>
    </w:p>
    <w:p w:rsidR="00AC0FDC" w:rsidP="005E4BB8" w:rsidRDefault="00AC0FDC" w14:paraId="0584BDDA" w14:textId="0DC13284">
      <w:pPr>
        <w:pStyle w:val="Standard"/>
      </w:pPr>
      <w:r>
        <w:lastRenderedPageBreak/>
        <w:t xml:space="preserve">No </w:t>
      </w:r>
      <w:r w:rsidRPr="00663DD0">
        <w:t>parties</w:t>
      </w:r>
      <w:r>
        <w:t xml:space="preserve"> addressed SCE’s nuclear-related cost forecasts for 2024. Upon review, we find SCE’s proposed costs associated with fuel storage and procurement for PVNGS and off-site interim storage costs for SONGS to be reasonable and in accordance with state laws and regulations.</w:t>
      </w:r>
      <w:r w:rsidR="006309AB">
        <w:t xml:space="preserve"> SCE is authorized to recover up to $</w:t>
      </w:r>
      <w:r w:rsidR="00AC5CAA">
        <w:t>4.9</w:t>
      </w:r>
      <w:r w:rsidR="006309AB">
        <w:t xml:space="preserve"> million in </w:t>
      </w:r>
      <w:r w:rsidR="00AC5CAA">
        <w:t xml:space="preserve">spent </w:t>
      </w:r>
      <w:r w:rsidR="006309AB">
        <w:t>nuclear-</w:t>
      </w:r>
      <w:r w:rsidR="00AC5CAA">
        <w:t xml:space="preserve">fuel storage </w:t>
      </w:r>
      <w:r w:rsidR="006309AB">
        <w:t>related costs in 2024</w:t>
      </w:r>
      <w:r w:rsidR="00AC5CAA">
        <w:t>, and its forecasted fuel procurement costs are approved.</w:t>
      </w:r>
    </w:p>
    <w:p w:rsidR="00745959" w:rsidP="00663DD0" w:rsidRDefault="00745959" w14:paraId="36D2B73D" w14:textId="412EAE28">
      <w:pPr>
        <w:pStyle w:val="Heading2"/>
      </w:pPr>
      <w:bookmarkStart w:name="_Toc152331401" w:id="27"/>
      <w:r>
        <w:t>Catalina Fuel Costs</w:t>
      </w:r>
      <w:bookmarkEnd w:id="27"/>
    </w:p>
    <w:p w:rsidR="00745959" w:rsidP="00663DD0" w:rsidRDefault="00745959" w14:paraId="3006C7E1" w14:textId="151C7B44">
      <w:pPr>
        <w:pStyle w:val="Standard"/>
      </w:pPr>
      <w:r w:rsidRPr="00663DD0">
        <w:t>SCE</w:t>
      </w:r>
      <w:r>
        <w:t xml:space="preserve"> uses </w:t>
      </w:r>
      <w:r w:rsidRPr="00454D1A">
        <w:t>six diesel generators and 23 propane</w:t>
      </w:r>
      <w:r>
        <w:noBreakHyphen/>
      </w:r>
      <w:r w:rsidRPr="00454D1A">
        <w:t>fired micro</w:t>
      </w:r>
      <w:r>
        <w:noBreakHyphen/>
      </w:r>
      <w:r w:rsidRPr="00454D1A">
        <w:t>turbines at the Pebbly Beach Generating Station</w:t>
      </w:r>
      <w:r>
        <w:t xml:space="preserve"> to provide electricity service to Santa Catalina Island</w:t>
      </w:r>
      <w:r w:rsidR="006479F9">
        <w:t xml:space="preserve">. Based on historical usage rates in 2022-2023 and the island’s storage capacity, </w:t>
      </w:r>
      <w:r w:rsidRPr="005164E9" w:rsidR="006479F9">
        <w:t xml:space="preserve">SCE forecasted it will need to </w:t>
      </w:r>
      <w:r w:rsidRPr="00996421" w:rsidR="006479F9">
        <w:t>acquire 50,436</w:t>
      </w:r>
      <w:r w:rsidRPr="005164E9" w:rsidR="006479F9">
        <w:t xml:space="preserve"> barrels of diesel fuel throughout 2024 in the Los Angeles market, at a cost of approximately $179.91/barrel, or </w:t>
      </w:r>
      <w:r w:rsidRPr="00996421" w:rsidR="006479F9">
        <w:t>$9.040</w:t>
      </w:r>
      <w:r w:rsidRPr="005164E9" w:rsidR="006479F9">
        <w:t xml:space="preserve"> million total. SCE also estimated it will need to procure approximately </w:t>
      </w:r>
      <w:r w:rsidRPr="00996421" w:rsidR="006479F9">
        <w:t>$0.404</w:t>
      </w:r>
      <w:r w:rsidRPr="005164E9" w:rsidR="006479F9">
        <w:t xml:space="preserve"> million in propane fuel.</w:t>
      </w:r>
      <w:r w:rsidR="005164E9">
        <w:rPr>
          <w:rStyle w:val="FootnoteReference"/>
        </w:rPr>
        <w:footnoteReference w:id="71"/>
      </w:r>
      <w:r w:rsidRPr="005164E9" w:rsidR="006479F9">
        <w:t xml:space="preserve"> Both the diesel and propane cost projections were based on the IHS Global Insight Variable for Gasoline and </w:t>
      </w:r>
      <w:r w:rsidRPr="005164E9" w:rsidR="00137A7E">
        <w:t>Fuels and</w:t>
      </w:r>
      <w:r w:rsidRPr="005164E9" w:rsidR="006479F9">
        <w:t xml:space="preserve"> add to </w:t>
      </w:r>
      <w:r w:rsidRPr="00996421" w:rsidR="006479F9">
        <w:t>$9.444</w:t>
      </w:r>
      <w:r w:rsidRPr="005164E9" w:rsidR="006479F9">
        <w:t xml:space="preserve"> million </w:t>
      </w:r>
      <w:r w:rsidRPr="005164E9" w:rsidR="00137A7E">
        <w:t>in fuel costs to service Catalina Island in</w:t>
      </w:r>
      <w:r w:rsidRPr="005164E9" w:rsidR="006479F9">
        <w:t xml:space="preserve"> 2024.</w:t>
      </w:r>
      <w:r w:rsidRPr="005164E9" w:rsidR="006479F9">
        <w:rPr>
          <w:rStyle w:val="FootnoteReference"/>
        </w:rPr>
        <w:footnoteReference w:id="72"/>
      </w:r>
    </w:p>
    <w:p w:rsidR="002675CA" w:rsidP="005E4BB8" w:rsidRDefault="002675CA" w14:paraId="41EA0149" w14:textId="606D5C25">
      <w:pPr>
        <w:pStyle w:val="Standard"/>
      </w:pPr>
      <w:r>
        <w:t xml:space="preserve">No parties </w:t>
      </w:r>
      <w:r w:rsidRPr="00663DD0">
        <w:t>addressed</w:t>
      </w:r>
      <w:r>
        <w:t xml:space="preserve"> SCE’s forecasted 2024 fuel costs for its service to Santa Catalina Island in comments or testimony. Upon review, we find the forecasted propane and diesel fuel costs to be reasonable and appropriately modeled using market-based pricing</w:t>
      </w:r>
      <w:r w:rsidR="00400612">
        <w:t xml:space="preserve"> and authorize SCE to recover them as proposed</w:t>
      </w:r>
      <w:r>
        <w:t xml:space="preserve">. </w:t>
      </w:r>
    </w:p>
    <w:p w:rsidR="00137A7E" w:rsidP="00663DD0" w:rsidRDefault="00137A7E" w14:paraId="2DC1552F" w14:textId="48D59136">
      <w:pPr>
        <w:pStyle w:val="Heading2"/>
      </w:pPr>
      <w:bookmarkStart w:name="_Toc152331402" w:id="28"/>
      <w:r>
        <w:lastRenderedPageBreak/>
        <w:t>Demand Response</w:t>
      </w:r>
      <w:bookmarkEnd w:id="28"/>
    </w:p>
    <w:p w:rsidR="00137A7E" w:rsidP="005E4BB8" w:rsidRDefault="00137A7E" w14:paraId="18867CD1" w14:textId="21A098CE">
      <w:pPr>
        <w:pStyle w:val="Standard"/>
      </w:pPr>
      <w:r>
        <w:t xml:space="preserve">SCE </w:t>
      </w:r>
      <w:r w:rsidR="00814C24">
        <w:t>forecasted an estimated 6</w:t>
      </w:r>
      <w:r w:rsidR="003053F5">
        <w:t xml:space="preserve"> </w:t>
      </w:r>
      <w:r w:rsidR="00814C24">
        <w:t xml:space="preserve">GWh of energy reductions in 2024 through </w:t>
      </w:r>
      <w:r>
        <w:t>several price-responsive demand-response (DR) programs</w:t>
      </w:r>
      <w:r w:rsidR="00814C24">
        <w:t>: Summer Discount Plan (SDP), Smart Energy Program (SEP), and Capacity Bidding Program (CBP). SDP and SEP are bid into the CAISO markets as Reliability Demand Response Resource (RDRR) and CBP as Proxy Demand Resource (PDR).</w:t>
      </w:r>
      <w:r w:rsidR="00814C24">
        <w:rPr>
          <w:rStyle w:val="FootnoteReference"/>
        </w:rPr>
        <w:footnoteReference w:id="73"/>
      </w:r>
      <w:r w:rsidR="00814C24">
        <w:t xml:space="preserve"> The impact of these programs is based on past customer performance and enrollment, which can vary month-to-month. Pursuant to D.17-12-003, SCE records all demand response incentives in its Demand Response Program Balancing Account (DRPBA), and the annual balances are transferred to the BRRBA.</w:t>
      </w:r>
      <w:r w:rsidR="000E7554">
        <w:t xml:space="preserve"> </w:t>
      </w:r>
      <w:r w:rsidR="006F50D6">
        <w:t>SCE’s</w:t>
      </w:r>
      <w:r w:rsidR="000E7554">
        <w:t xml:space="preserve"> 2024 </w:t>
      </w:r>
      <w:r w:rsidR="006F50D6">
        <w:t xml:space="preserve">DR </w:t>
      </w:r>
      <w:r w:rsidR="000E7554">
        <w:t xml:space="preserve">forecast was based on </w:t>
      </w:r>
      <w:r w:rsidR="006F50D6">
        <w:t>its</w:t>
      </w:r>
      <w:r w:rsidR="000E7554">
        <w:t xml:space="preserve"> Load Impact Protocols and opportunity costs that factor in the maximum available hours for customers to participate in specific programs per day, month, and year.</w:t>
      </w:r>
      <w:r w:rsidR="000E7554">
        <w:rPr>
          <w:rStyle w:val="FootnoteReference"/>
        </w:rPr>
        <w:footnoteReference w:id="74"/>
      </w:r>
    </w:p>
    <w:p w:rsidR="006F50D6" w:rsidP="005E4BB8" w:rsidRDefault="006F50D6" w14:paraId="1DAB098F" w14:textId="41E89CAB">
      <w:pPr>
        <w:pStyle w:val="Standard"/>
      </w:pPr>
      <w:r>
        <w:t xml:space="preserve">No </w:t>
      </w:r>
      <w:r w:rsidRPr="005E4BB8">
        <w:t>parties</w:t>
      </w:r>
      <w:r>
        <w:t xml:space="preserve"> directly contested SCE’s forecasted DR energy reductions or its forecast calculations. Upon review of Commission precedent and SCE’s filings in this proceeding, we find its DR forecasts for 2024 to be reasonable and therefore adopt them.</w:t>
      </w:r>
    </w:p>
    <w:p w:rsidR="00814C24" w:rsidP="00663DD0" w:rsidRDefault="00814C24" w14:paraId="540C1A7A" w14:textId="1290D363">
      <w:pPr>
        <w:pStyle w:val="Heading2"/>
      </w:pPr>
      <w:bookmarkStart w:name="_Toc152331403" w:id="29"/>
      <w:r>
        <w:t xml:space="preserve">CAISO Costs, Load Procurement Charges, </w:t>
      </w:r>
      <w:r w:rsidR="00663DD0">
        <w:br/>
      </w:r>
      <w:r>
        <w:t>and Energy Revenue</w:t>
      </w:r>
      <w:bookmarkEnd w:id="29"/>
    </w:p>
    <w:p w:rsidR="00276D7C" w:rsidP="005E4BB8" w:rsidRDefault="00276D7C" w14:paraId="73216A5C" w14:textId="7E1DA933">
      <w:pPr>
        <w:pStyle w:val="Standard"/>
      </w:pPr>
      <w:r>
        <w:t xml:space="preserve">SCE </w:t>
      </w:r>
      <w:r w:rsidRPr="005E4BB8">
        <w:t>separated</w:t>
      </w:r>
      <w:r>
        <w:t xml:space="preserve"> CAISO-</w:t>
      </w:r>
      <w:r w:rsidRPr="00663DD0">
        <w:t>related</w:t>
      </w:r>
      <w:r>
        <w:t xml:space="preserve"> costs into (1) non-energy related costs; </w:t>
      </w:r>
      <w:r w:rsidR="00663DD0">
        <w:br/>
      </w:r>
      <w:r>
        <w:t>(2) load-procurement charges; and (3) energy-related revenues associated with SCE’s PABA- and CAM-eligible resources.</w:t>
      </w:r>
      <w:r w:rsidR="006F50D6">
        <w:rPr>
          <w:rStyle w:val="FootnoteReference"/>
        </w:rPr>
        <w:footnoteReference w:id="75"/>
      </w:r>
      <w:r>
        <w:t xml:space="preserve"> </w:t>
      </w:r>
    </w:p>
    <w:p w:rsidR="00276D7C" w:rsidP="00276D7C" w:rsidRDefault="00276D7C" w14:paraId="57AADBD5" w14:textId="0CF9F5B2">
      <w:pPr>
        <w:pStyle w:val="Standard"/>
      </w:pPr>
      <w:r>
        <w:lastRenderedPageBreak/>
        <w:t xml:space="preserve">SCE stated that non-energy-related CAISO costs are not sensitive to </w:t>
      </w:r>
      <w:r w:rsidR="00663DD0">
        <w:br/>
      </w:r>
      <w:r>
        <w:t>short-term energy market prices, and therefore its 2024 forecast for such costs will be equal to the most recent 12-month period.</w:t>
      </w:r>
      <w:r>
        <w:rPr>
          <w:rStyle w:val="FootnoteReference"/>
        </w:rPr>
        <w:footnoteReference w:id="76"/>
      </w:r>
    </w:p>
    <w:p w:rsidR="003D19FD" w:rsidP="00663DD0" w:rsidRDefault="003D19FD" w14:paraId="56667305" w14:textId="343E9C12">
      <w:pPr>
        <w:pStyle w:val="Standard"/>
      </w:pPr>
      <w:r>
        <w:t xml:space="preserve">SCE calculated load-procurement charges for 2024 by multiplying the hourly load by the hourly SP-15 prices for each hour. Pursuant to Resolution </w:t>
      </w:r>
      <w:r w:rsidR="00711EDB">
        <w:br/>
      </w:r>
      <w:r>
        <w:t>E-5183, SCE contracted to develop 53</w:t>
      </w:r>
      <w:r w:rsidR="00515F3B">
        <w:t>7.5</w:t>
      </w:r>
      <w:r w:rsidR="00670805">
        <w:t xml:space="preserve"> </w:t>
      </w:r>
      <w:r>
        <w:t xml:space="preserve">MW of energy storage to address summer reliability. SCE stated it will credit energy benefits associated with these storage assets against the costs that are recovered through distribution </w:t>
      </w:r>
      <w:proofErr w:type="gramStart"/>
      <w:r>
        <w:t>charges, and</w:t>
      </w:r>
      <w:proofErr w:type="gramEnd"/>
      <w:r>
        <w:t xml:space="preserve"> reduce load-procurement charges that apply to bundled service customers to reflect the net benefits. </w:t>
      </w:r>
    </w:p>
    <w:p w:rsidR="003D19FD" w:rsidP="005E4BB8" w:rsidRDefault="003D19FD" w14:paraId="1CE4C1F5" w14:textId="60765D88">
      <w:pPr>
        <w:pStyle w:val="Standard"/>
      </w:pPr>
      <w:r w:rsidRPr="00711EDB">
        <w:t>Finally</w:t>
      </w:r>
      <w:r>
        <w:t xml:space="preserve">, SCE </w:t>
      </w:r>
      <w:r w:rsidRPr="005E4BB8">
        <w:t>estimated</w:t>
      </w:r>
      <w:r>
        <w:t xml:space="preserve"> its energy revenue by multiplying the forecasted production from its PABA-, ERRA-, BMNBC-, CGST-, and CAM-eligible portfolios by the SP-15 price at that hour. The energy revenues are used to offset forecasted PABA, ERRA, BMNBC, CGST, and NSGBA revenue requirements.</w:t>
      </w:r>
      <w:r>
        <w:rPr>
          <w:rStyle w:val="FootnoteReference"/>
        </w:rPr>
        <w:footnoteReference w:id="77"/>
      </w:r>
    </w:p>
    <w:p w:rsidR="00094EB2" w:rsidP="005E4BB8" w:rsidRDefault="00094EB2" w14:paraId="11083951" w14:textId="36115A03">
      <w:pPr>
        <w:pStyle w:val="Standard"/>
      </w:pPr>
      <w:proofErr w:type="spellStart"/>
      <w:r>
        <w:t>CalCCA</w:t>
      </w:r>
      <w:proofErr w:type="spellEnd"/>
      <w:r>
        <w:t xml:space="preserve"> </w:t>
      </w:r>
      <w:r w:rsidR="006F50D6">
        <w:t>raised</w:t>
      </w:r>
      <w:r>
        <w:t xml:space="preserve"> </w:t>
      </w:r>
      <w:r w:rsidRPr="005E4BB8">
        <w:t>some</w:t>
      </w:r>
      <w:r>
        <w:t xml:space="preserve"> concerns related to the revenues associated with SCE’s utility-owned storage facilities, which are </w:t>
      </w:r>
      <w:r w:rsidR="006F50D6">
        <w:t xml:space="preserve">directly </w:t>
      </w:r>
      <w:r>
        <w:t xml:space="preserve">addressed in Section 6.1.2, below. Otherwise, no party directly addressed SCE’s forecasted 2024 CAISO costs, load procurement charges, or energy revenue. Upon review of SCE’s testimony, rebuttal testimony, October Update, and workpapers, we find </w:t>
      </w:r>
      <w:r>
        <w:lastRenderedPageBreak/>
        <w:t>its forecasted 2024 CAISO-related costs to be reasonable</w:t>
      </w:r>
      <w:r w:rsidR="006F50D6">
        <w:t xml:space="preserve"> and therefore approve them as proposed.</w:t>
      </w:r>
    </w:p>
    <w:p w:rsidR="00372376" w:rsidP="00711EDB" w:rsidRDefault="00372376" w14:paraId="39FEAB0C" w14:textId="7871F76C">
      <w:pPr>
        <w:pStyle w:val="Heading2"/>
      </w:pPr>
      <w:bookmarkStart w:name="_Toc152331404" w:id="30"/>
      <w:r w:rsidRPr="00711EDB">
        <w:t>Hedging</w:t>
      </w:r>
      <w:r>
        <w:t xml:space="preserve"> Costs</w:t>
      </w:r>
      <w:bookmarkEnd w:id="30"/>
    </w:p>
    <w:p w:rsidR="00372376" w:rsidP="00711EDB" w:rsidRDefault="00372376" w14:paraId="4850D362" w14:textId="0B8A4DC2">
      <w:pPr>
        <w:pStyle w:val="Standard"/>
      </w:pPr>
      <w:r>
        <w:t>SCE</w:t>
      </w:r>
      <w:r w:rsidR="003D1440">
        <w:t xml:space="preserve">’s costs of </w:t>
      </w:r>
      <w:r w:rsidRPr="00711EDB">
        <w:t>power</w:t>
      </w:r>
      <w:r>
        <w:t xml:space="preserve"> and natural gas </w:t>
      </w:r>
      <w:r w:rsidR="003D1440">
        <w:t>for its UOG, purchased power contracts, and QF contracts are hedged using the underlying commodities trading markets to offset risks of market volatility. The hedging costs for 2024 include brokerage fees and options premiums.</w:t>
      </w:r>
      <w:r w:rsidR="00094EB2">
        <w:t xml:space="preserve"> No party addressed this issue directly. Upon the Commission’s review of SCE’s documents, we find the hedging costs forecasted for 2024 to be reasonable</w:t>
      </w:r>
      <w:r w:rsidR="005778AC">
        <w:t>, and therefore approve its proposed continuation of its market-based approach to manage its hedging costs</w:t>
      </w:r>
      <w:r w:rsidR="00094EB2">
        <w:t>.</w:t>
      </w:r>
    </w:p>
    <w:p w:rsidR="003D1440" w:rsidP="00711EDB" w:rsidRDefault="003D1440" w14:paraId="14F8376E" w14:textId="2045831E">
      <w:pPr>
        <w:pStyle w:val="Heading2"/>
      </w:pPr>
      <w:bookmarkStart w:name="_Toc152331405" w:id="31"/>
      <w:r>
        <w:t>Gas Transportation and Storage</w:t>
      </w:r>
      <w:bookmarkEnd w:id="31"/>
    </w:p>
    <w:p w:rsidR="006F6D0D" w:rsidP="00711EDB" w:rsidRDefault="003D1440" w14:paraId="470F9F3A" w14:textId="37A383D5">
      <w:pPr>
        <w:pStyle w:val="Standard"/>
      </w:pPr>
      <w:r>
        <w:t xml:space="preserve">SCE forecasted it will </w:t>
      </w:r>
      <w:r w:rsidRPr="00711EDB">
        <w:t>enter</w:t>
      </w:r>
      <w:r>
        <w:t xml:space="preserve"> into new gas transportation agreements in 2024 that will cost approximately $</w:t>
      </w:r>
      <w:r w:rsidR="006F6D0D">
        <w:t>12.058</w:t>
      </w:r>
      <w:r>
        <w:t xml:space="preserve"> million for both SCE-owned and contracted facilities, based on the daily reservation charge for Backbone Transportation Service</w:t>
      </w:r>
      <w:r w:rsidR="003C5BD1">
        <w:t xml:space="preserve"> (BTS)</w:t>
      </w:r>
      <w:r>
        <w:t xml:space="preserve"> rights. SCE </w:t>
      </w:r>
      <w:r w:rsidR="00455A35">
        <w:t xml:space="preserve">stated it intends to seek a three-year term </w:t>
      </w:r>
      <w:r w:rsidR="00711EDB">
        <w:br/>
      </w:r>
      <w:r w:rsidR="00455A35">
        <w:t>(October 2023</w:t>
      </w:r>
      <w:r w:rsidR="003C5BD1">
        <w:t xml:space="preserve"> </w:t>
      </w:r>
      <w:r w:rsidR="00CB3599">
        <w:t>–</w:t>
      </w:r>
      <w:r w:rsidR="003C5BD1">
        <w:t xml:space="preserve"> </w:t>
      </w:r>
      <w:r w:rsidR="00455A35">
        <w:t>September 2026) contract with Southern California Gas Company for up to 75,000 million British Thermal Units (</w:t>
      </w:r>
      <w:r w:rsidR="00670805">
        <w:t>MM</w:t>
      </w:r>
      <w:r w:rsidR="00455A35">
        <w:t>Btu) per day, which is how this estimated forecasted transportation cost was calculated.</w:t>
      </w:r>
      <w:r w:rsidR="00455A35">
        <w:rPr>
          <w:rStyle w:val="FootnoteReference"/>
        </w:rPr>
        <w:footnoteReference w:id="78"/>
      </w:r>
      <w:r w:rsidR="00455A35">
        <w:t xml:space="preserve"> </w:t>
      </w:r>
    </w:p>
    <w:p w:rsidR="006F6D0D" w:rsidP="00711EDB" w:rsidRDefault="006F6D0D" w14:paraId="18DAB2CA" w14:textId="4E529922">
      <w:pPr>
        <w:pStyle w:val="Standard"/>
      </w:pPr>
      <w:r>
        <w:t xml:space="preserve">Separately, SCE has a month-to-month contract with Southern California Gas Company for gas transportation to its (1) Mountainview Plant and (2) Barre, Center, Grapeland, McGrath, and Mira Loma </w:t>
      </w:r>
      <w:proofErr w:type="spellStart"/>
      <w:r>
        <w:t>peaker</w:t>
      </w:r>
      <w:proofErr w:type="spellEnd"/>
      <w:r>
        <w:t xml:space="preserve"> plants. SCE forecasted these contracts to auto-renew each month in 2024.</w:t>
      </w:r>
      <w:r>
        <w:rPr>
          <w:rStyle w:val="FootnoteReference"/>
        </w:rPr>
        <w:footnoteReference w:id="79"/>
      </w:r>
    </w:p>
    <w:p w:rsidR="006F6D0D" w:rsidP="00711EDB" w:rsidRDefault="006F6D0D" w14:paraId="4E5860FC" w14:textId="450FAFD7">
      <w:pPr>
        <w:pStyle w:val="Standard"/>
      </w:pPr>
      <w:r>
        <w:lastRenderedPageBreak/>
        <w:t>SCE also has a BTS contract with Southern California Gas Company for firm rights of 60,000 MMBtu/day for a three-year contract (October 2023-September 2026). SCE forecasted that the total fixed costs for this contract in 2024 will be $12.058 million, and the tariff-based reservation charge is currently $0.54908/MMBtu per day.</w:t>
      </w:r>
      <w:r>
        <w:rPr>
          <w:rStyle w:val="FootnoteReference"/>
        </w:rPr>
        <w:footnoteReference w:id="80"/>
      </w:r>
    </w:p>
    <w:p w:rsidR="00455A35" w:rsidP="00711EDB" w:rsidRDefault="00094EB2" w14:paraId="14C8E116" w14:textId="02258C3C">
      <w:pPr>
        <w:pStyle w:val="Standard"/>
      </w:pPr>
      <w:r>
        <w:t>No party addressed SCE’s gas transportation and storage forecasts directly in filings. Upon the Commission’s review of SCE’s documents, we find its forecasted 2024 gas transportation and storage costs to be reasonable</w:t>
      </w:r>
      <w:r w:rsidR="00C93FE8">
        <w:t xml:space="preserve"> and therefore approve them as proposed in A.23-06-001 and updated in SCE’s October Update</w:t>
      </w:r>
      <w:r>
        <w:t>.</w:t>
      </w:r>
    </w:p>
    <w:p w:rsidR="00455A35" w:rsidP="00711EDB" w:rsidRDefault="00455A35" w14:paraId="039F497E" w14:textId="2619C0AE">
      <w:pPr>
        <w:pStyle w:val="Heading2"/>
      </w:pPr>
      <w:bookmarkStart w:name="_Toc152331406" w:id="32"/>
      <w:r w:rsidRPr="00711EDB">
        <w:t>Subscription</w:t>
      </w:r>
      <w:r>
        <w:t xml:space="preserve"> Fees</w:t>
      </w:r>
      <w:r w:rsidR="00BF5C9E">
        <w:t xml:space="preserve">, </w:t>
      </w:r>
      <w:r w:rsidR="004B43BB">
        <w:t>Financing Costs</w:t>
      </w:r>
      <w:r w:rsidR="00BF5C9E">
        <w:t xml:space="preserve">, </w:t>
      </w:r>
      <w:r w:rsidR="00711EDB">
        <w:br/>
      </w:r>
      <w:r w:rsidR="00BF5C9E">
        <w:t>and Carrying Costs</w:t>
      </w:r>
      <w:bookmarkEnd w:id="32"/>
      <w:r w:rsidR="004B43BB">
        <w:t xml:space="preserve"> </w:t>
      </w:r>
    </w:p>
    <w:p w:rsidR="003D1440" w:rsidP="00711EDB" w:rsidRDefault="00455A35" w14:paraId="66A0708C" w14:textId="49DB045B">
      <w:pPr>
        <w:pStyle w:val="Standard"/>
      </w:pPr>
      <w:r w:rsidRPr="00711EDB">
        <w:t>SCE</w:t>
      </w:r>
      <w:r>
        <w:t xml:space="preserve"> forecasted that it </w:t>
      </w:r>
      <w:proofErr w:type="gramStart"/>
      <w:r>
        <w:t>will</w:t>
      </w:r>
      <w:proofErr w:type="gramEnd"/>
      <w:r>
        <w:t xml:space="preserve"> spend up to $529,000 on subscription fees to access market data, risk analysis, reports on power, gas, and GHG allowance price forecasts, and other industry news</w:t>
      </w:r>
      <w:r w:rsidR="003C5BD1">
        <w:t xml:space="preserve"> in 2024</w:t>
      </w:r>
      <w:r>
        <w:t>.</w:t>
      </w:r>
    </w:p>
    <w:p w:rsidR="00C84085" w:rsidP="00AA52EA" w:rsidRDefault="004B43BB" w14:paraId="7FAD8C1C" w14:textId="6A0CF260">
      <w:pPr>
        <w:pStyle w:val="Standard"/>
      </w:pPr>
      <w:r>
        <w:t xml:space="preserve">Separately, </w:t>
      </w:r>
      <w:r w:rsidR="00AA52EA">
        <w:t xml:space="preserve">SCE is authorized to recover actual fuel inventory financing costs and actual collateral costs, pursuant to D.93-01-027, D.02-10-062, and </w:t>
      </w:r>
      <w:r w:rsidR="00711EDB">
        <w:br/>
      </w:r>
      <w:r w:rsidR="00AA52EA">
        <w:t xml:space="preserve">D.04-01-048. The latter </w:t>
      </w:r>
      <w:r w:rsidR="00A14797">
        <w:t>Decision</w:t>
      </w:r>
      <w:r w:rsidR="00AA52EA">
        <w:t xml:space="preserve"> directs SCE to apply the three-month commercial paper rate index to </w:t>
      </w:r>
      <w:proofErr w:type="spellStart"/>
      <w:r w:rsidR="00AA52EA">
        <w:t>undercollected</w:t>
      </w:r>
      <w:proofErr w:type="spellEnd"/>
      <w:r w:rsidR="00AA52EA">
        <w:t xml:space="preserve"> balances. SCE forecasted it will use a portion of a $3.35 billion multi-year revolving credit facility to provide capacity for collateral and supporting account balances and requested to recover various fees and upfront costs associated with that portion in its 2024 ERRA proceeding-related balancing accounts. </w:t>
      </w:r>
      <w:r w:rsidR="00C84085">
        <w:t>In 2023, SCE exercised an option to extend this revolver one additional year with the following features:</w:t>
      </w:r>
    </w:p>
    <w:p w:rsidR="00C84085" w:rsidP="005E4BB8" w:rsidRDefault="00C84085" w14:paraId="3F4AF2CA" w14:textId="77777777">
      <w:pPr>
        <w:pStyle w:val="ListNum"/>
        <w:ind w:right="1440"/>
      </w:pPr>
      <w:r>
        <w:lastRenderedPageBreak/>
        <w:t xml:space="preserve">$3.35 billion borrowing </w:t>
      </w:r>
      <w:proofErr w:type="gramStart"/>
      <w:r>
        <w:t>capacity;</w:t>
      </w:r>
      <w:proofErr w:type="gramEnd"/>
    </w:p>
    <w:p w:rsidR="00C84085" w:rsidP="005E4BB8" w:rsidRDefault="00C84085" w14:paraId="301051D4" w14:textId="77777777">
      <w:pPr>
        <w:pStyle w:val="ListNum"/>
        <w:ind w:right="1440"/>
      </w:pPr>
      <w:r>
        <w:t xml:space="preserve">May 2027 </w:t>
      </w:r>
      <w:proofErr w:type="gramStart"/>
      <w:r>
        <w:t>maturity;</w:t>
      </w:r>
      <w:proofErr w:type="gramEnd"/>
    </w:p>
    <w:p w:rsidR="00C84085" w:rsidP="005E4BB8" w:rsidRDefault="00C84085" w14:paraId="123847C1" w14:textId="77777777">
      <w:pPr>
        <w:pStyle w:val="ListNum"/>
        <w:ind w:right="1440"/>
      </w:pPr>
      <w:r>
        <w:t xml:space="preserve">$20,000 annual administrative </w:t>
      </w:r>
      <w:proofErr w:type="gramStart"/>
      <w:r>
        <w:t>fee;</w:t>
      </w:r>
      <w:proofErr w:type="gramEnd"/>
    </w:p>
    <w:p w:rsidR="00C84085" w:rsidP="005E4BB8" w:rsidRDefault="00C84085" w14:paraId="5AEF1413" w14:textId="77777777">
      <w:pPr>
        <w:pStyle w:val="ListNum"/>
        <w:ind w:right="1440"/>
      </w:pPr>
      <w:r>
        <w:t xml:space="preserve">17.5 basis point annual facility </w:t>
      </w:r>
      <w:proofErr w:type="gramStart"/>
      <w:r>
        <w:t>fee;</w:t>
      </w:r>
      <w:proofErr w:type="gramEnd"/>
    </w:p>
    <w:p w:rsidR="00C84085" w:rsidP="005E4BB8" w:rsidRDefault="00C84085" w14:paraId="02062104" w14:textId="77777777">
      <w:pPr>
        <w:pStyle w:val="ListNum"/>
        <w:ind w:right="1440"/>
      </w:pPr>
      <w:r>
        <w:t xml:space="preserve">107.5 basis point participation fee on any outstanding letters of </w:t>
      </w:r>
      <w:proofErr w:type="gramStart"/>
      <w:r>
        <w:t>credit;</w:t>
      </w:r>
      <w:proofErr w:type="gramEnd"/>
    </w:p>
    <w:p w:rsidR="00C84085" w:rsidP="005E4BB8" w:rsidRDefault="00C84085" w14:paraId="53378FB1" w14:textId="77777777">
      <w:pPr>
        <w:pStyle w:val="ListNum"/>
        <w:ind w:right="1440"/>
      </w:pPr>
      <w:r>
        <w:t>20 basis point issuer fees on any letters of credit; and</w:t>
      </w:r>
    </w:p>
    <w:p w:rsidR="00AA52EA" w:rsidP="005E4BB8" w:rsidRDefault="00C84085" w14:paraId="448715F9" w14:textId="69C4EE9D">
      <w:pPr>
        <w:pStyle w:val="ListNum"/>
        <w:ind w:right="1440"/>
      </w:pPr>
      <w:r>
        <w:t>Adjusted Daily Simple Secured Overnight Financing Rate plus 107.5 basis points loan rate</w:t>
      </w:r>
      <w:r w:rsidR="00DC4C1C">
        <w:t>.</w:t>
      </w:r>
      <w:r w:rsidRPr="00996421" w:rsidR="00DC4C1C">
        <w:rPr>
          <w:rStyle w:val="FootnoteReference"/>
        </w:rPr>
        <w:footnoteReference w:id="81"/>
      </w:r>
    </w:p>
    <w:p w:rsidR="00DC4C1C" w:rsidP="00EA4874" w:rsidRDefault="00DC4C1C" w14:paraId="7D12F09F" w14:textId="4E64AD5C">
      <w:pPr>
        <w:pStyle w:val="Standard"/>
      </w:pPr>
      <w:r>
        <w:t xml:space="preserve">SCE </w:t>
      </w:r>
      <w:r w:rsidRPr="00711EDB" w:rsidR="004B43BB">
        <w:t>also</w:t>
      </w:r>
      <w:r w:rsidR="004B43BB">
        <w:t xml:space="preserve"> </w:t>
      </w:r>
      <w:r w:rsidRPr="00EA4874">
        <w:t>stated</w:t>
      </w:r>
      <w:r>
        <w:t xml:space="preserve"> it will use its $3.00 billion commercial paper program to finance fuel inventories in 2024, assuming the market for A2/P2 commercial paper remains stable and SCE can use this program for short-term financing needs.</w:t>
      </w:r>
      <w:r>
        <w:rPr>
          <w:rStyle w:val="FootnoteReference"/>
        </w:rPr>
        <w:footnoteReference w:id="82"/>
      </w:r>
    </w:p>
    <w:p w:rsidR="008C0FFB" w:rsidP="00711EDB" w:rsidRDefault="008C0FFB" w14:paraId="43F13E10" w14:textId="3EE99BD5">
      <w:pPr>
        <w:pStyle w:val="Standard"/>
      </w:pPr>
      <w:r w:rsidRPr="00454D1A">
        <w:t xml:space="preserve">SCE </w:t>
      </w:r>
      <w:r w:rsidR="00BF5C9E">
        <w:t xml:space="preserve">separately </w:t>
      </w:r>
      <w:r w:rsidRPr="00454D1A">
        <w:t>forecast</w:t>
      </w:r>
      <w:r>
        <w:t>ed</w:t>
      </w:r>
      <w:r w:rsidRPr="00454D1A">
        <w:t xml:space="preserve"> fuel inventory carrying costs for nuclear, natural gas, and diesel</w:t>
      </w:r>
      <w:r>
        <w:t>;</w:t>
      </w:r>
      <w:r w:rsidRPr="00454D1A">
        <w:t xml:space="preserve"> GHG procurement compliance carrying costs for 202</w:t>
      </w:r>
      <w:r>
        <w:t>4</w:t>
      </w:r>
      <w:r w:rsidRPr="00454D1A">
        <w:t>, which SCE estimates using historical GHG inventory balances and the ERRA</w:t>
      </w:r>
      <w:r>
        <w:t> </w:t>
      </w:r>
      <w:r w:rsidRPr="00454D1A">
        <w:t>BA interest rates</w:t>
      </w:r>
      <w:r>
        <w:t>; and</w:t>
      </w:r>
      <w:r w:rsidRPr="00454D1A">
        <w:t xml:space="preserve"> the carrying costs associated with SCE’s collateral requirements necessary to procure power.</w:t>
      </w:r>
      <w:r w:rsidRPr="00454D1A">
        <w:rPr>
          <w:rStyle w:val="FootnoteReference"/>
        </w:rPr>
        <w:footnoteReference w:id="83"/>
      </w:r>
      <w:r w:rsidRPr="00454D1A">
        <w:t xml:space="preserve"> </w:t>
      </w:r>
    </w:p>
    <w:p w:rsidRPr="00AA52EA" w:rsidR="00BF5C9E" w:rsidP="00711EDB" w:rsidRDefault="00BF5C9E" w14:paraId="225F0F49" w14:textId="5C5A6BCD">
      <w:pPr>
        <w:pStyle w:val="Standard"/>
      </w:pPr>
      <w:r w:rsidRPr="00996421">
        <w:t>No party directly addressed SCE’s forecasted subscription fees, financing costs, or carrying costs as described in its testimony, workpapers, and October Update documents</w:t>
      </w:r>
      <w:r w:rsidRPr="00312309">
        <w:t>.</w:t>
      </w:r>
      <w:r>
        <w:t xml:space="preserve"> Upon review, we find its 2024 forecasts for subscription </w:t>
      </w:r>
      <w:proofErr w:type="gramStart"/>
      <w:r>
        <w:t>fees;</w:t>
      </w:r>
      <w:proofErr w:type="gramEnd"/>
      <w:r>
        <w:t xml:space="preserve"> financing costs; and</w:t>
      </w:r>
      <w:r w:rsidRPr="00454D1A">
        <w:t xml:space="preserve"> carrying costs for 202</w:t>
      </w:r>
      <w:r>
        <w:t xml:space="preserve">4 as described above to be reasonable and </w:t>
      </w:r>
      <w:r w:rsidR="00312309">
        <w:t>therefore approved for 2024</w:t>
      </w:r>
      <w:r>
        <w:t xml:space="preserve">. </w:t>
      </w:r>
    </w:p>
    <w:p w:rsidR="00A36A9E" w:rsidP="00711EDB" w:rsidRDefault="00A36A9E" w14:paraId="3D438AE3" w14:textId="7F1B417F">
      <w:pPr>
        <w:pStyle w:val="Heading1"/>
      </w:pPr>
      <w:bookmarkStart w:name="_Toc152331407" w:id="33"/>
      <w:r>
        <w:lastRenderedPageBreak/>
        <w:t>SCE’s Revenue Requirement and Ratemaking Proposal</w:t>
      </w:r>
      <w:bookmarkEnd w:id="33"/>
    </w:p>
    <w:p w:rsidR="00A36A9E" w:rsidP="00711EDB" w:rsidRDefault="00A36A9E" w14:paraId="1EE2E84A" w14:textId="09AB4200">
      <w:pPr>
        <w:pStyle w:val="Heading2"/>
      </w:pPr>
      <w:bookmarkStart w:name="_Toc152331408" w:id="34"/>
      <w:r>
        <w:t xml:space="preserve">Generation Service </w:t>
      </w:r>
      <w:r w:rsidRPr="00711EDB">
        <w:t>Revenue</w:t>
      </w:r>
      <w:r>
        <w:t xml:space="preserve"> Requirement</w:t>
      </w:r>
      <w:bookmarkEnd w:id="34"/>
    </w:p>
    <w:p w:rsidRPr="00711EDB" w:rsidR="00940602" w:rsidP="002F290B" w:rsidRDefault="007B5F67" w14:paraId="4D8CBB2A" w14:textId="5527F8AE">
      <w:pPr>
        <w:pStyle w:val="Standard"/>
        <w:rPr>
          <w:sz w:val="16"/>
          <w:szCs w:val="16"/>
        </w:rPr>
      </w:pPr>
      <w:r w:rsidRPr="00454D1A">
        <w:t xml:space="preserve">The generation service revenue requirement recovers F&amp;PP costs, along with the associated GHG costs of resources, recorded in </w:t>
      </w:r>
      <w:r>
        <w:t xml:space="preserve">SCE’s </w:t>
      </w:r>
      <w:r w:rsidRPr="00454D1A">
        <w:t>ERRA</w:t>
      </w:r>
      <w:r>
        <w:t> BA</w:t>
      </w:r>
      <w:r w:rsidRPr="00454D1A">
        <w:t xml:space="preserve">; </w:t>
      </w:r>
      <w:r>
        <w:t>PABA;</w:t>
      </w:r>
      <w:r w:rsidRPr="00454D1A">
        <w:t xml:space="preserve"> </w:t>
      </w:r>
      <w:r w:rsidR="00F456C7">
        <w:t xml:space="preserve">and </w:t>
      </w:r>
      <w:r w:rsidRPr="00454D1A">
        <w:t>(3)</w:t>
      </w:r>
      <w:r w:rsidRPr="005B4A09">
        <w:t xml:space="preserve"> </w:t>
      </w:r>
      <w:r w:rsidR="00F456C7">
        <w:t xml:space="preserve">the </w:t>
      </w:r>
      <w:r w:rsidR="003C5BD1">
        <w:t>GTSR</w:t>
      </w:r>
      <w:r w:rsidRPr="00454D1A">
        <w:t xml:space="preserve"> BA</w:t>
      </w:r>
      <w:r w:rsidRPr="00996421">
        <w:t>.</w:t>
      </w:r>
      <w:r w:rsidRPr="00454D1A">
        <w:t xml:space="preserve"> SCE’s </w:t>
      </w:r>
      <w:r>
        <w:t xml:space="preserve">2024 </w:t>
      </w:r>
      <w:r w:rsidRPr="00454D1A">
        <w:t>forecast generation service requirement</w:t>
      </w:r>
      <w:r w:rsidR="00F456C7">
        <w:t>, as provided in its October Update,</w:t>
      </w:r>
      <w:r w:rsidRPr="00454D1A">
        <w:t xml:space="preserve"> </w:t>
      </w:r>
      <w:r w:rsidRPr="00996421">
        <w:t>is</w:t>
      </w:r>
      <w:r w:rsidR="00DD4F05">
        <w:t xml:space="preserve"> $5.51</w:t>
      </w:r>
      <w:r w:rsidR="00E500DD">
        <w:t>3</w:t>
      </w:r>
      <w:r w:rsidR="00DD4F05">
        <w:t xml:space="preserve"> billon, which is</w:t>
      </w:r>
      <w:r w:rsidRPr="00996421">
        <w:t xml:space="preserve"> </w:t>
      </w:r>
      <w:r w:rsidRPr="00996421" w:rsidR="00F456C7">
        <w:t>$56</w:t>
      </w:r>
      <w:r w:rsidR="00E500DD">
        <w:t>7.214</w:t>
      </w:r>
      <w:r w:rsidRPr="00996421" w:rsidR="00F456C7">
        <w:t xml:space="preserve"> million</w:t>
      </w:r>
      <w:r w:rsidRPr="00996421" w:rsidR="00E119AC">
        <w:t xml:space="preserve">, or </w:t>
      </w:r>
      <w:r w:rsidR="00EA4874">
        <w:br/>
      </w:r>
      <w:r w:rsidR="00E500DD">
        <w:t>9.33</w:t>
      </w:r>
      <w:r w:rsidRPr="00996421" w:rsidR="00E119AC">
        <w:t xml:space="preserve"> percent,</w:t>
      </w:r>
      <w:r w:rsidRPr="00996421" w:rsidR="00F456C7">
        <w:t xml:space="preserve"> </w:t>
      </w:r>
      <w:r w:rsidRPr="00996421">
        <w:t>below</w:t>
      </w:r>
      <w:r>
        <w:t xml:space="preserve"> </w:t>
      </w:r>
      <w:r w:rsidRPr="00454D1A">
        <w:t>its generation service revenue requirement from rates in effect today</w:t>
      </w:r>
      <w:bookmarkStart w:name="Table61" w:id="35"/>
      <w:r w:rsidR="00940602">
        <w:t>.</w:t>
      </w:r>
      <w:r w:rsidR="006A3C18">
        <w:t xml:space="preserve"> The impacts </w:t>
      </w:r>
      <w:r w:rsidR="002D0318">
        <w:t>on</w:t>
      </w:r>
      <w:r w:rsidR="006A3C18">
        <w:t xml:space="preserve"> SCE’s customer groups associated with this revenue requirement are detailed </w:t>
      </w:r>
      <w:r w:rsidR="00D3725A">
        <w:t>Section 10, below</w:t>
      </w:r>
      <w:r w:rsidR="006A3C18">
        <w:t>.</w:t>
      </w:r>
      <w:bookmarkEnd w:id="35"/>
    </w:p>
    <w:p w:rsidR="00A36A9E" w:rsidP="00711EDB" w:rsidRDefault="00A36A9E" w14:paraId="1756894C" w14:textId="2D9EDE08">
      <w:pPr>
        <w:pStyle w:val="Heading3"/>
      </w:pPr>
      <w:bookmarkStart w:name="_Toc152331409" w:id="36"/>
      <w:r w:rsidRPr="00711EDB">
        <w:t>ERRA</w:t>
      </w:r>
      <w:r>
        <w:t xml:space="preserve"> Balancing Account</w:t>
      </w:r>
      <w:bookmarkEnd w:id="36"/>
    </w:p>
    <w:p w:rsidR="00F03CC7" w:rsidP="00FC53AF" w:rsidRDefault="007B5F67" w14:paraId="3261D1D6" w14:textId="5273B4C4">
      <w:pPr>
        <w:pStyle w:val="Standard"/>
      </w:pPr>
      <w:r>
        <w:t xml:space="preserve">SCE’s </w:t>
      </w:r>
      <w:r w:rsidRPr="00FC53AF">
        <w:t>ERRA</w:t>
      </w:r>
      <w:r>
        <w:t xml:space="preserve"> BA </w:t>
      </w:r>
      <w:r w:rsidRPr="00454D1A">
        <w:t>records the difference between SCE’s ERRA</w:t>
      </w:r>
      <w:r>
        <w:noBreakHyphen/>
      </w:r>
      <w:r w:rsidRPr="00454D1A">
        <w:t>related revenue requirement and its F&amp;PP expenses for bundled service customers during the prior year.</w:t>
      </w:r>
      <w:r w:rsidR="00F86AB2">
        <w:rPr>
          <w:rStyle w:val="FootnoteReference"/>
        </w:rPr>
        <w:footnoteReference w:id="84"/>
      </w:r>
      <w:r w:rsidR="00CF2141">
        <w:t xml:space="preserve"> In its 2024 forecast, SCE estimated the ERRA BA will be </w:t>
      </w:r>
      <w:proofErr w:type="spellStart"/>
      <w:r w:rsidR="00A67415">
        <w:t>undercollected</w:t>
      </w:r>
      <w:proofErr w:type="spellEnd"/>
      <w:r w:rsidR="00A67415">
        <w:t xml:space="preserve"> by $207.835 million (including FF&amp;U) at the end of 2023</w:t>
      </w:r>
      <w:r w:rsidR="00CF2141">
        <w:t>.</w:t>
      </w:r>
      <w:r w:rsidR="00EF0234">
        <w:rPr>
          <w:rStyle w:val="FootnoteReference"/>
        </w:rPr>
        <w:footnoteReference w:id="85"/>
      </w:r>
      <w:r w:rsidR="00CF2141">
        <w:t xml:space="preserve"> This estimate was developed by adding the amount forecasted to be recorded in the ERRA BA May-December 2023 to the amount already recorded as of </w:t>
      </w:r>
      <w:r w:rsidR="00A67415">
        <w:t xml:space="preserve">September </w:t>
      </w:r>
      <w:r w:rsidR="00CF2141">
        <w:t>30, 2023</w:t>
      </w:r>
      <w:r w:rsidR="00A67415">
        <w:t>, which included the RA and RPS true-up amounts</w:t>
      </w:r>
      <w:r w:rsidR="00CF2141">
        <w:t>.</w:t>
      </w:r>
      <w:r w:rsidR="00A67415">
        <w:t xml:space="preserve"> To these recorded amounts, SCE added the forecasted amounts for October, November, and December 2023.</w:t>
      </w:r>
      <w:r w:rsidR="00CF2141">
        <w:t xml:space="preserve"> </w:t>
      </w:r>
      <w:r w:rsidR="00F03CC7">
        <w:t xml:space="preserve">More discussion of the RPS value and the Voluntary Market Allocation Offer </w:t>
      </w:r>
      <w:r w:rsidR="00670805">
        <w:t xml:space="preserve">(VAMO) </w:t>
      </w:r>
      <w:r w:rsidR="00F03CC7">
        <w:t>process is included in Section 6.5.</w:t>
      </w:r>
    </w:p>
    <w:p w:rsidR="00E54C25" w:rsidP="00FC53AF" w:rsidRDefault="004434BE" w14:paraId="3AEE6F98" w14:textId="52877A0B">
      <w:pPr>
        <w:pStyle w:val="Standard"/>
      </w:pPr>
      <w:r>
        <w:lastRenderedPageBreak/>
        <w:t xml:space="preserve">SCE noted that the </w:t>
      </w:r>
      <w:proofErr w:type="spellStart"/>
      <w:r>
        <w:t>undercollection</w:t>
      </w:r>
      <w:proofErr w:type="spellEnd"/>
      <w:r>
        <w:t xml:space="preserve"> is largely due to the true-up of RA adders, which added approximately $688.396 million to its ERRA BA.</w:t>
      </w:r>
      <w:r>
        <w:rPr>
          <w:rStyle w:val="FootnoteReference"/>
        </w:rPr>
        <w:footnoteReference w:id="86"/>
      </w:r>
      <w:r>
        <w:t xml:space="preserve"> </w:t>
      </w:r>
      <w:r w:rsidR="00E54C25">
        <w:t xml:space="preserve">These adders are discussed in more detail in Section 9, below. </w:t>
      </w:r>
    </w:p>
    <w:p w:rsidR="007B5F67" w:rsidP="00FC53AF" w:rsidRDefault="00CF2141" w14:paraId="255872AC" w14:textId="1D32A4F1">
      <w:pPr>
        <w:pStyle w:val="Standard"/>
      </w:pPr>
      <w:r>
        <w:t xml:space="preserve">As discussed in Section 4 above, SCE removed the increased revenues associated with the 2023 ERRA Trigger revenue requirement when calculating its final ERRA BA balance for 2023. </w:t>
      </w:r>
    </w:p>
    <w:p w:rsidRPr="00495450" w:rsidR="00940602" w:rsidP="00940602" w:rsidRDefault="00940602" w14:paraId="67C40AC0" w14:textId="4BFCFA3A">
      <w:pPr>
        <w:pStyle w:val="TableTitleBodyH095"/>
        <w:ind w:left="1944" w:right="576"/>
      </w:pPr>
      <w:bookmarkStart w:name="Table62" w:id="37"/>
      <w:r w:rsidRPr="00495450">
        <w:rPr>
          <w:b/>
          <w:bCs w:val="0"/>
        </w:rPr>
        <w:t>Table</w:t>
      </w:r>
      <w:r>
        <w:rPr>
          <w:b/>
        </w:rPr>
        <w:t> </w:t>
      </w:r>
      <w:r w:rsidRPr="00495450">
        <w:rPr>
          <w:b/>
          <w:bCs w:val="0"/>
        </w:rPr>
        <w:t>6</w:t>
      </w:r>
      <w:r>
        <w:rPr>
          <w:b/>
        </w:rPr>
        <w:noBreakHyphen/>
      </w:r>
      <w:r w:rsidRPr="00495450">
        <w:rPr>
          <w:b/>
          <w:bCs w:val="0"/>
        </w:rPr>
        <w:t>2.</w:t>
      </w:r>
      <w:r w:rsidRPr="00495450">
        <w:tab/>
        <w:t xml:space="preserve">Summary of SCE’s Proposed </w:t>
      </w:r>
      <w:r w:rsidR="00FE13C3">
        <w:t>2024 ERRA Forecast Proceeding</w:t>
      </w:r>
      <w:r w:rsidRPr="00495450">
        <w:t xml:space="preserve"> </w:t>
      </w:r>
      <w:r w:rsidR="00FE13C3">
        <w:t xml:space="preserve">Generation Service </w:t>
      </w:r>
      <w:r w:rsidRPr="00495450">
        <w:t>Revenue Requirement</w:t>
      </w:r>
      <w:bookmarkEnd w:id="37"/>
      <w:r w:rsidRPr="00495450">
        <w:rPr>
          <w:rStyle w:val="FootnoteReference"/>
        </w:rPr>
        <w:footnoteReference w:id="87"/>
      </w:r>
    </w:p>
    <w:tbl>
      <w:tblPr>
        <w:tblStyle w:val="TableGrid"/>
        <w:tblW w:w="7195" w:type="dxa"/>
        <w:jc w:val="center"/>
        <w:tblLayout w:type="fixed"/>
        <w:tblCellMar>
          <w:top w:w="58" w:type="dxa"/>
          <w:bottom w:w="58" w:type="dxa"/>
        </w:tblCellMar>
        <w:tblLook w:val="04A0" w:firstRow="1" w:lastRow="0" w:firstColumn="1" w:lastColumn="0" w:noHBand="0" w:noVBand="1"/>
      </w:tblPr>
      <w:tblGrid>
        <w:gridCol w:w="3865"/>
        <w:gridCol w:w="3330"/>
      </w:tblGrid>
      <w:tr w:rsidRPr="00454D1A" w:rsidR="00FE13C3" w:rsidTr="00996421" w14:paraId="66798D2F" w14:textId="77777777">
        <w:trPr>
          <w:cantSplit/>
          <w:tblHeader/>
          <w:jc w:val="center"/>
        </w:trPr>
        <w:tc>
          <w:tcPr>
            <w:tcW w:w="3865" w:type="dxa"/>
            <w:tcBorders>
              <w:bottom w:val="single" w:color="auto" w:sz="4" w:space="0"/>
            </w:tcBorders>
            <w:vAlign w:val="bottom"/>
          </w:tcPr>
          <w:p w:rsidRPr="00454D1A" w:rsidR="00FE13C3" w:rsidP="008D268A" w:rsidRDefault="00FE13C3" w14:paraId="566128B3" w14:textId="77777777">
            <w:pPr>
              <w:pStyle w:val="Standard"/>
              <w:keepNext/>
              <w:spacing w:line="240" w:lineRule="auto"/>
              <w:ind w:firstLine="0"/>
              <w:jc w:val="center"/>
              <w:rPr>
                <w:b/>
                <w:bCs/>
              </w:rPr>
            </w:pPr>
            <w:bookmarkStart w:name="_Hlk149019130" w:id="38"/>
            <w:r w:rsidRPr="00454D1A">
              <w:rPr>
                <w:b/>
                <w:bCs/>
              </w:rPr>
              <w:t>Description</w:t>
            </w:r>
          </w:p>
        </w:tc>
        <w:tc>
          <w:tcPr>
            <w:tcW w:w="3330" w:type="dxa"/>
            <w:tcBorders>
              <w:bottom w:val="single" w:color="auto" w:sz="4" w:space="0"/>
            </w:tcBorders>
            <w:vAlign w:val="bottom"/>
          </w:tcPr>
          <w:p w:rsidR="00FE13C3" w:rsidP="008D268A" w:rsidRDefault="00FE13C3" w14:paraId="686332B1" w14:textId="77777777">
            <w:pPr>
              <w:pStyle w:val="Standard"/>
              <w:keepNext/>
              <w:spacing w:line="240" w:lineRule="auto"/>
              <w:ind w:firstLine="0"/>
              <w:jc w:val="center"/>
              <w:rPr>
                <w:b/>
                <w:bCs/>
              </w:rPr>
            </w:pPr>
            <w:r w:rsidRPr="00454D1A">
              <w:rPr>
                <w:b/>
                <w:bCs/>
              </w:rPr>
              <w:t xml:space="preserve">SCE Proposed </w:t>
            </w:r>
          </w:p>
          <w:p w:rsidR="00FE13C3" w:rsidP="008D268A" w:rsidRDefault="00FE13C3" w14:paraId="409C9E12" w14:textId="1679776E">
            <w:pPr>
              <w:pStyle w:val="Standard"/>
              <w:keepNext/>
              <w:spacing w:line="240" w:lineRule="auto"/>
              <w:ind w:firstLine="0"/>
              <w:jc w:val="center"/>
              <w:rPr>
                <w:b/>
                <w:bCs/>
              </w:rPr>
            </w:pPr>
            <w:r w:rsidRPr="00454D1A">
              <w:rPr>
                <w:b/>
                <w:bCs/>
              </w:rPr>
              <w:t>202</w:t>
            </w:r>
            <w:r>
              <w:rPr>
                <w:b/>
                <w:bCs/>
              </w:rPr>
              <w:t>4</w:t>
            </w:r>
            <w:r w:rsidRPr="00454D1A">
              <w:rPr>
                <w:b/>
                <w:bCs/>
              </w:rPr>
              <w:t xml:space="preserve"> Revenue </w:t>
            </w:r>
          </w:p>
          <w:p w:rsidRPr="00454D1A" w:rsidR="00FE13C3" w:rsidP="008D268A" w:rsidRDefault="00FE13C3" w14:paraId="5368F659" w14:textId="620EFD93">
            <w:pPr>
              <w:pStyle w:val="Standard"/>
              <w:keepNext/>
              <w:spacing w:line="240" w:lineRule="auto"/>
              <w:ind w:firstLine="0"/>
              <w:jc w:val="center"/>
            </w:pPr>
            <w:r w:rsidRPr="00454D1A">
              <w:rPr>
                <w:b/>
                <w:bCs/>
              </w:rPr>
              <w:t xml:space="preserve">Requirement </w:t>
            </w:r>
          </w:p>
        </w:tc>
      </w:tr>
      <w:tr w:rsidRPr="00454D1A" w:rsidR="00FE13C3" w:rsidTr="00996421" w14:paraId="46FDF2BB" w14:textId="77777777">
        <w:trPr>
          <w:cantSplit/>
          <w:jc w:val="center"/>
        </w:trPr>
        <w:tc>
          <w:tcPr>
            <w:tcW w:w="3865" w:type="dxa"/>
            <w:tcBorders>
              <w:top w:val="nil"/>
            </w:tcBorders>
          </w:tcPr>
          <w:p w:rsidR="00FE13C3" w:rsidP="008D268A" w:rsidRDefault="00FE13C3" w14:paraId="602A42C7" w14:textId="04BD2D0C">
            <w:pPr>
              <w:pStyle w:val="Standard"/>
              <w:keepNext/>
              <w:spacing w:line="240" w:lineRule="auto"/>
              <w:ind w:firstLine="0"/>
            </w:pPr>
            <w:r w:rsidRPr="00454D1A">
              <w:t>202</w:t>
            </w:r>
            <w:r>
              <w:t>4</w:t>
            </w:r>
            <w:r w:rsidRPr="00454D1A">
              <w:t xml:space="preserve"> F&amp;PP Costs </w:t>
            </w:r>
          </w:p>
          <w:p w:rsidR="00FE13C3" w:rsidP="008D268A" w:rsidRDefault="00FE13C3" w14:paraId="5050AC0D" w14:textId="77777777">
            <w:pPr>
              <w:spacing w:line="240" w:lineRule="auto"/>
              <w:ind w:firstLine="0"/>
            </w:pPr>
            <w:r w:rsidRPr="00454D1A">
              <w:t>(including GHG costs)</w:t>
            </w:r>
          </w:p>
          <w:p w:rsidRPr="00454D1A" w:rsidR="00FE13C3" w:rsidP="00940602" w:rsidRDefault="00FE13C3" w14:paraId="41E54DCF" w14:textId="77777777">
            <w:pPr>
              <w:numPr>
                <w:ilvl w:val="0"/>
                <w:numId w:val="24"/>
              </w:numPr>
              <w:spacing w:line="240" w:lineRule="auto"/>
              <w:ind w:left="576" w:hanging="216"/>
            </w:pPr>
            <w:r w:rsidRPr="00454D1A">
              <w:t>ERRA</w:t>
            </w:r>
            <w:r>
              <w:t> </w:t>
            </w:r>
            <w:r w:rsidRPr="00454D1A">
              <w:t>BA</w:t>
            </w:r>
            <w:r>
              <w:noBreakHyphen/>
            </w:r>
            <w:r w:rsidRPr="00454D1A">
              <w:t>related</w:t>
            </w:r>
          </w:p>
          <w:p w:rsidRPr="00454D1A" w:rsidR="00FE13C3" w:rsidP="00940602" w:rsidRDefault="00FE13C3" w14:paraId="14E6C4EF" w14:textId="77777777">
            <w:pPr>
              <w:numPr>
                <w:ilvl w:val="0"/>
                <w:numId w:val="24"/>
              </w:numPr>
              <w:spacing w:line="240" w:lineRule="auto"/>
              <w:ind w:left="576" w:hanging="216"/>
            </w:pPr>
            <w:r w:rsidRPr="00454D1A">
              <w:t>PABA</w:t>
            </w:r>
            <w:r>
              <w:noBreakHyphen/>
            </w:r>
            <w:r w:rsidRPr="00454D1A">
              <w:t>related</w:t>
            </w:r>
          </w:p>
          <w:p w:rsidRPr="00454D1A" w:rsidR="00FE13C3" w:rsidP="00940602" w:rsidRDefault="00FE13C3" w14:paraId="741DCA48" w14:textId="77777777">
            <w:pPr>
              <w:numPr>
                <w:ilvl w:val="0"/>
                <w:numId w:val="24"/>
              </w:numPr>
              <w:spacing w:line="240" w:lineRule="auto"/>
              <w:ind w:left="576" w:hanging="216"/>
            </w:pPr>
            <w:r w:rsidRPr="0059559B">
              <w:t>Green Tariff Shared Renewables</w:t>
            </w:r>
            <w:r w:rsidRPr="00454D1A">
              <w:t xml:space="preserve"> BA</w:t>
            </w:r>
            <w:r>
              <w:noBreakHyphen/>
            </w:r>
            <w:r w:rsidRPr="00454D1A">
              <w:t>related</w:t>
            </w:r>
          </w:p>
        </w:tc>
        <w:tc>
          <w:tcPr>
            <w:tcW w:w="3330" w:type="dxa"/>
            <w:tcBorders>
              <w:top w:val="nil"/>
            </w:tcBorders>
          </w:tcPr>
          <w:p w:rsidR="00FE13C3" w:rsidP="008D268A" w:rsidRDefault="00FE13C3" w14:paraId="35E6149B" w14:textId="77777777">
            <w:pPr>
              <w:pStyle w:val="Standard"/>
              <w:spacing w:line="240" w:lineRule="auto"/>
              <w:ind w:firstLine="0"/>
              <w:jc w:val="right"/>
            </w:pPr>
          </w:p>
          <w:p w:rsidR="00FE13C3" w:rsidP="008D268A" w:rsidRDefault="00FE13C3" w14:paraId="56B1603D" w14:textId="77777777">
            <w:pPr>
              <w:pStyle w:val="Standard"/>
              <w:spacing w:line="240" w:lineRule="auto"/>
              <w:ind w:firstLine="0"/>
              <w:jc w:val="right"/>
            </w:pPr>
          </w:p>
          <w:p w:rsidRPr="00454D1A" w:rsidR="00FE13C3" w:rsidP="008D268A" w:rsidRDefault="00FE13C3" w14:paraId="6DC5ED82" w14:textId="535A1043">
            <w:pPr>
              <w:pStyle w:val="Standard"/>
              <w:spacing w:line="240" w:lineRule="auto"/>
              <w:ind w:firstLine="0"/>
              <w:jc w:val="right"/>
            </w:pPr>
            <w:r w:rsidRPr="00454D1A">
              <w:t>$</w:t>
            </w:r>
            <w:r>
              <w:t>4.459 billion</w:t>
            </w:r>
          </w:p>
          <w:p w:rsidRPr="00454D1A" w:rsidR="00FE13C3" w:rsidP="008D268A" w:rsidRDefault="00FE13C3" w14:paraId="5D357CE6" w14:textId="0EE10049">
            <w:pPr>
              <w:pStyle w:val="Standard"/>
              <w:spacing w:line="240" w:lineRule="auto"/>
              <w:ind w:left="720" w:firstLine="0"/>
              <w:jc w:val="right"/>
            </w:pPr>
            <w:r>
              <w:t>$23</w:t>
            </w:r>
            <w:r w:rsidR="00EF0234">
              <w:t>5</w:t>
            </w:r>
            <w:r>
              <w:t>.</w:t>
            </w:r>
            <w:r w:rsidR="00EF0234">
              <w:t>097</w:t>
            </w:r>
            <w:r>
              <w:t xml:space="preserve"> million</w:t>
            </w:r>
          </w:p>
          <w:p w:rsidRPr="00454D1A" w:rsidR="00FE13C3" w:rsidP="008D268A" w:rsidRDefault="00FE13C3" w14:paraId="68057A50" w14:textId="79F01072">
            <w:pPr>
              <w:pStyle w:val="Standard"/>
              <w:spacing w:line="240" w:lineRule="auto"/>
              <w:ind w:left="720" w:firstLine="0"/>
              <w:jc w:val="right"/>
            </w:pPr>
            <w:r w:rsidRPr="00454D1A">
              <w:t>$9</w:t>
            </w:r>
            <w:r>
              <w:t>.741 million</w:t>
            </w:r>
          </w:p>
        </w:tc>
      </w:tr>
      <w:tr w:rsidRPr="00454D1A" w:rsidR="00FE13C3" w:rsidTr="00996421" w14:paraId="60E1ACA2" w14:textId="77777777">
        <w:trPr>
          <w:cantSplit/>
          <w:jc w:val="center"/>
        </w:trPr>
        <w:tc>
          <w:tcPr>
            <w:tcW w:w="3865" w:type="dxa"/>
          </w:tcPr>
          <w:p w:rsidRPr="00454D1A" w:rsidR="00FE13C3" w:rsidP="008D268A" w:rsidRDefault="00FE13C3" w14:paraId="1755BE03" w14:textId="36895BB9">
            <w:pPr>
              <w:pStyle w:val="Standard"/>
              <w:spacing w:line="240" w:lineRule="auto"/>
              <w:ind w:firstLine="0"/>
            </w:pPr>
            <w:r w:rsidRPr="00454D1A">
              <w:t>202</w:t>
            </w:r>
            <w:r>
              <w:t>3</w:t>
            </w:r>
            <w:r w:rsidRPr="00454D1A">
              <w:t xml:space="preserve"> ERRA</w:t>
            </w:r>
            <w:r>
              <w:t> </w:t>
            </w:r>
            <w:r w:rsidRPr="00454D1A">
              <w:t>BA True</w:t>
            </w:r>
            <w:r>
              <w:noBreakHyphen/>
            </w:r>
            <w:r w:rsidRPr="00454D1A">
              <w:t>up</w:t>
            </w:r>
          </w:p>
        </w:tc>
        <w:tc>
          <w:tcPr>
            <w:tcW w:w="3330" w:type="dxa"/>
          </w:tcPr>
          <w:p w:rsidRPr="00454D1A" w:rsidR="00FE13C3" w:rsidP="008D268A" w:rsidRDefault="00FE13C3" w14:paraId="4F6736E8" w14:textId="0129C0DC">
            <w:pPr>
              <w:pStyle w:val="Standard"/>
              <w:spacing w:line="240" w:lineRule="auto"/>
              <w:ind w:firstLine="0"/>
              <w:jc w:val="right"/>
            </w:pPr>
            <w:r w:rsidRPr="00454D1A">
              <w:t>$</w:t>
            </w:r>
            <w:r>
              <w:t>207.835 million</w:t>
            </w:r>
          </w:p>
        </w:tc>
      </w:tr>
      <w:tr w:rsidRPr="00454D1A" w:rsidR="00FE13C3" w:rsidTr="00996421" w14:paraId="4DA0C7B8" w14:textId="77777777">
        <w:trPr>
          <w:cantSplit/>
          <w:jc w:val="center"/>
        </w:trPr>
        <w:tc>
          <w:tcPr>
            <w:tcW w:w="3865" w:type="dxa"/>
          </w:tcPr>
          <w:p w:rsidRPr="00454D1A" w:rsidR="00FE13C3" w:rsidP="008D268A" w:rsidRDefault="00FE13C3" w14:paraId="4CA89E6A" w14:textId="7118D44B">
            <w:pPr>
              <w:pStyle w:val="Standard"/>
              <w:spacing w:line="240" w:lineRule="auto"/>
              <w:ind w:firstLine="0"/>
            </w:pPr>
            <w:r w:rsidRPr="00454D1A">
              <w:t>202</w:t>
            </w:r>
            <w:r>
              <w:t>3</w:t>
            </w:r>
            <w:r w:rsidRPr="00454D1A">
              <w:t xml:space="preserve"> PABA True</w:t>
            </w:r>
            <w:r>
              <w:noBreakHyphen/>
            </w:r>
            <w:r w:rsidRPr="00454D1A">
              <w:t>Up</w:t>
            </w:r>
          </w:p>
        </w:tc>
        <w:tc>
          <w:tcPr>
            <w:tcW w:w="3330" w:type="dxa"/>
          </w:tcPr>
          <w:p w:rsidRPr="00454D1A" w:rsidR="00FE13C3" w:rsidP="008D268A" w:rsidRDefault="00FE13C3" w14:paraId="7BD220FF" w14:textId="247B723F">
            <w:pPr>
              <w:pStyle w:val="Standard"/>
              <w:spacing w:line="240" w:lineRule="auto"/>
              <w:ind w:firstLine="0"/>
              <w:jc w:val="right"/>
            </w:pPr>
            <w:r>
              <w:t>$601.728 million</w:t>
            </w:r>
          </w:p>
        </w:tc>
      </w:tr>
      <w:tr w:rsidRPr="00454D1A" w:rsidR="00FE13C3" w:rsidTr="00996421" w14:paraId="012C4D18" w14:textId="77777777">
        <w:trPr>
          <w:cantSplit/>
          <w:jc w:val="center"/>
        </w:trPr>
        <w:tc>
          <w:tcPr>
            <w:tcW w:w="3865" w:type="dxa"/>
          </w:tcPr>
          <w:p w:rsidRPr="00454D1A" w:rsidR="00FE13C3" w:rsidP="008D268A" w:rsidRDefault="00FE13C3" w14:paraId="1B0503B8" w14:textId="543A7102">
            <w:pPr>
              <w:pStyle w:val="Standard"/>
              <w:keepNext/>
              <w:spacing w:line="240" w:lineRule="auto"/>
              <w:ind w:firstLine="0"/>
            </w:pPr>
            <w:r w:rsidRPr="00454D1A">
              <w:t>202</w:t>
            </w:r>
            <w:r>
              <w:t>3</w:t>
            </w:r>
            <w:r w:rsidRPr="00454D1A">
              <w:t xml:space="preserve"> </w:t>
            </w:r>
            <w:r w:rsidR="003C5BD1">
              <w:t>ES</w:t>
            </w:r>
            <w:r w:rsidRPr="00454D1A">
              <w:t>MA True</w:t>
            </w:r>
            <w:r>
              <w:noBreakHyphen/>
            </w:r>
            <w:r w:rsidRPr="00454D1A">
              <w:t>Up</w:t>
            </w:r>
          </w:p>
        </w:tc>
        <w:tc>
          <w:tcPr>
            <w:tcW w:w="3330" w:type="dxa"/>
          </w:tcPr>
          <w:p w:rsidRPr="00454D1A" w:rsidR="00FE13C3" w:rsidP="008D268A" w:rsidRDefault="00FE13C3" w14:paraId="2A6C6916" w14:textId="335E25F8">
            <w:pPr>
              <w:pStyle w:val="Standard"/>
              <w:keepNext/>
              <w:spacing w:line="240" w:lineRule="auto"/>
              <w:ind w:firstLine="0"/>
              <w:jc w:val="right"/>
            </w:pPr>
            <w:r>
              <w:noBreakHyphen/>
              <w:t>$380,000</w:t>
            </w:r>
          </w:p>
        </w:tc>
      </w:tr>
      <w:tr w:rsidRPr="00454D1A" w:rsidR="00FE13C3" w:rsidTr="00996421" w14:paraId="2D47D9C4" w14:textId="77777777">
        <w:trPr>
          <w:cantSplit/>
          <w:jc w:val="center"/>
        </w:trPr>
        <w:tc>
          <w:tcPr>
            <w:tcW w:w="3865" w:type="dxa"/>
          </w:tcPr>
          <w:p w:rsidRPr="00454D1A" w:rsidR="00FE13C3" w:rsidP="008D268A" w:rsidRDefault="00FE13C3" w14:paraId="1B964E0A" w14:textId="77777777">
            <w:pPr>
              <w:pStyle w:val="Standard"/>
              <w:spacing w:line="240" w:lineRule="auto"/>
              <w:ind w:firstLine="0"/>
              <w:rPr>
                <w:b/>
                <w:bCs/>
              </w:rPr>
            </w:pPr>
            <w:r w:rsidRPr="00454D1A">
              <w:rPr>
                <w:b/>
                <w:bCs/>
              </w:rPr>
              <w:t>Total Generation Service</w:t>
            </w:r>
          </w:p>
        </w:tc>
        <w:tc>
          <w:tcPr>
            <w:tcW w:w="3330" w:type="dxa"/>
          </w:tcPr>
          <w:p w:rsidRPr="00454D1A" w:rsidR="00FE13C3" w:rsidP="008D268A" w:rsidRDefault="00FE13C3" w14:paraId="703C9193" w14:textId="0BBB468F">
            <w:pPr>
              <w:pStyle w:val="Standard"/>
              <w:spacing w:line="240" w:lineRule="auto"/>
              <w:ind w:firstLine="0"/>
              <w:jc w:val="right"/>
              <w:rPr>
                <w:b/>
                <w:bCs/>
              </w:rPr>
            </w:pPr>
            <w:r w:rsidRPr="00454D1A">
              <w:rPr>
                <w:b/>
                <w:bCs/>
              </w:rPr>
              <w:t>$</w:t>
            </w:r>
            <w:r>
              <w:rPr>
                <w:b/>
                <w:bCs/>
              </w:rPr>
              <w:t>5.51</w:t>
            </w:r>
            <w:r w:rsidR="00EF0234">
              <w:rPr>
                <w:b/>
                <w:bCs/>
              </w:rPr>
              <w:t>3</w:t>
            </w:r>
            <w:r>
              <w:rPr>
                <w:b/>
                <w:bCs/>
              </w:rPr>
              <w:t xml:space="preserve"> billion</w:t>
            </w:r>
          </w:p>
        </w:tc>
      </w:tr>
    </w:tbl>
    <w:p w:rsidR="000611AB" w:rsidP="00FC53AF" w:rsidRDefault="000611AB" w14:paraId="50097F64" w14:textId="77777777">
      <w:pPr>
        <w:pStyle w:val="Heading3"/>
      </w:pPr>
      <w:bookmarkStart w:name="_Toc152331410" w:id="39"/>
      <w:bookmarkEnd w:id="38"/>
      <w:r w:rsidRPr="00FC53AF">
        <w:t>Portfolio</w:t>
      </w:r>
      <w:r>
        <w:t xml:space="preserve"> Allocation Balancing Account</w:t>
      </w:r>
      <w:bookmarkEnd w:id="39"/>
    </w:p>
    <w:p w:rsidR="000611AB" w:rsidP="0097089F" w:rsidRDefault="000611AB" w14:paraId="1768FA4B" w14:textId="5282AA37">
      <w:pPr>
        <w:pStyle w:val="Standard"/>
      </w:pPr>
      <w:r>
        <w:t>D.18-</w:t>
      </w:r>
      <w:r w:rsidRPr="00FC53AF">
        <w:t>10</w:t>
      </w:r>
      <w:r>
        <w:t xml:space="preserve">-019 </w:t>
      </w:r>
      <w:r w:rsidRPr="00EA4874">
        <w:t>modified</w:t>
      </w:r>
      <w:r>
        <w:t xml:space="preserve"> the balancing accounts to be considered in ERRA </w:t>
      </w:r>
      <w:r w:rsidR="00E54C25">
        <w:t xml:space="preserve">forecast proceedings </w:t>
      </w:r>
      <w:r>
        <w:t xml:space="preserve">and directed utilities to create new balancing accounts to </w:t>
      </w:r>
      <w:r>
        <w:lastRenderedPageBreak/>
        <w:t>track above-market costs and revenues associated with their electric portfolios.</w:t>
      </w:r>
      <w:r>
        <w:rPr>
          <w:rStyle w:val="FootnoteReference"/>
        </w:rPr>
        <w:footnoteReference w:id="88"/>
      </w:r>
      <w:r>
        <w:t xml:space="preserve"> These PABA record </w:t>
      </w:r>
      <w:r w:rsidRPr="0088788F">
        <w:t>the costs of long term, fixed price contract costs and utility owned generation costs for bundled and departed load customers (see Section 5 above for specific resource types).</w:t>
      </w:r>
      <w:r>
        <w:t xml:space="preserve"> In its 2024 ERRA Forecast,</w:t>
      </w:r>
      <w:r w:rsidRPr="0088788F">
        <w:t xml:space="preserve"> </w:t>
      </w:r>
      <w:r w:rsidRPr="00996421">
        <w:t xml:space="preserve">SCE estimated the balance in its PABA will reflect an </w:t>
      </w:r>
      <w:proofErr w:type="spellStart"/>
      <w:r w:rsidRPr="00996421">
        <w:t>undercollection</w:t>
      </w:r>
      <w:proofErr w:type="spellEnd"/>
      <w:r w:rsidRPr="00996421">
        <w:t xml:space="preserve"> of $</w:t>
      </w:r>
      <w:r w:rsidR="005C1A8C">
        <w:t>235.097</w:t>
      </w:r>
      <w:r w:rsidRPr="00996421">
        <w:t xml:space="preserve"> million, including FF&amp;U, as of December 31, 2023.</w:t>
      </w:r>
      <w:r w:rsidRPr="00996421">
        <w:rPr>
          <w:rStyle w:val="FootnoteReference"/>
        </w:rPr>
        <w:footnoteReference w:id="89"/>
      </w:r>
      <w:r w:rsidRPr="00996421">
        <w:t xml:space="preserve"> </w:t>
      </w:r>
      <w:r w:rsidRPr="00996421" w:rsidR="00DA6647">
        <w:t>This estimate includes a debit of $</w:t>
      </w:r>
      <w:r w:rsidR="00304FA4">
        <w:t>2.948</w:t>
      </w:r>
      <w:r w:rsidRPr="00996421" w:rsidR="00DA6647">
        <w:t xml:space="preserve"> million associated with an </w:t>
      </w:r>
      <w:proofErr w:type="spellStart"/>
      <w:r w:rsidRPr="00996421" w:rsidR="00DA6647">
        <w:t>undercollection</w:t>
      </w:r>
      <w:proofErr w:type="spellEnd"/>
      <w:r w:rsidRPr="00996421" w:rsidR="00DA6647">
        <w:t xml:space="preserve"> from departing load customers that SCE was directed to track and recover in its PUBA over a 36-month period.</w:t>
      </w:r>
      <w:r w:rsidR="00DA6647">
        <w:t xml:space="preserve"> In its 2024 ERRA</w:t>
      </w:r>
      <w:r w:rsidR="00E54C25">
        <w:t xml:space="preserve"> forecast application</w:t>
      </w:r>
      <w:r w:rsidR="00DA6647">
        <w:t xml:space="preserve">, SCE requested to transfer the remaining </w:t>
      </w:r>
      <w:r w:rsidR="003C5BD1">
        <w:t xml:space="preserve">PCIA </w:t>
      </w:r>
      <w:proofErr w:type="spellStart"/>
      <w:r w:rsidR="003C5BD1">
        <w:t>Undercollection</w:t>
      </w:r>
      <w:proofErr w:type="spellEnd"/>
      <w:r w:rsidR="003C5BD1">
        <w:t xml:space="preserve"> BA (PUBA) </w:t>
      </w:r>
      <w:r w:rsidR="00DA6647">
        <w:t>balance to the One-Time Refunds/Costs Applicable to All Customers sub-account of its PABA.</w:t>
      </w:r>
      <w:r w:rsidR="00DA6647">
        <w:rPr>
          <w:rStyle w:val="FootnoteReference"/>
        </w:rPr>
        <w:footnoteReference w:id="90"/>
      </w:r>
      <w:r w:rsidR="00DA6647">
        <w:t xml:space="preserve"> </w:t>
      </w:r>
    </w:p>
    <w:p w:rsidR="000C7441" w:rsidP="00FC53AF" w:rsidRDefault="000C7441" w14:paraId="5DF4499D" w14:textId="25A8EC1D">
      <w:pPr>
        <w:pStyle w:val="Standard"/>
      </w:pPr>
      <w:proofErr w:type="spellStart"/>
      <w:r>
        <w:t>CalCCA</w:t>
      </w:r>
      <w:proofErr w:type="spellEnd"/>
      <w:r>
        <w:t xml:space="preserve"> </w:t>
      </w:r>
      <w:r w:rsidRPr="00FC53AF">
        <w:t>noted</w:t>
      </w:r>
      <w:r>
        <w:t xml:space="preserve"> that while SCE projected its PABA account balance would decline over the course of 2023, the latest actual results show the PABA balance had increased above SCE’s initial projections.</w:t>
      </w:r>
      <w:r>
        <w:rPr>
          <w:rStyle w:val="FootnoteReference"/>
        </w:rPr>
        <w:footnoteReference w:id="91"/>
      </w:r>
      <w:r>
        <w:t xml:space="preserve"> </w:t>
      </w:r>
      <w:r w:rsidR="00E54C25">
        <w:t xml:space="preserve">SCE’s October Update explained that the </w:t>
      </w:r>
      <w:proofErr w:type="spellStart"/>
      <w:r w:rsidR="00E54C25">
        <w:t>undercollection</w:t>
      </w:r>
      <w:proofErr w:type="spellEnd"/>
      <w:r w:rsidR="00E54C25">
        <w:t xml:space="preserve"> forecasted in its PABA over 2023 is primarily the result of lower-than-forecast CAISO market revenues and lower-than-forecast billed customer revenues. SCE also stated the December 2022 ERRA BA year-end balance that was transferred to the PABA in January 2023 was higher than forecasted last year. Further, SCE noted the </w:t>
      </w:r>
      <w:proofErr w:type="spellStart"/>
      <w:r w:rsidR="00E54C25">
        <w:t>undercollection</w:t>
      </w:r>
      <w:proofErr w:type="spellEnd"/>
      <w:r w:rsidR="00E54C25">
        <w:t xml:space="preserve"> in its PABA would </w:t>
      </w:r>
      <w:r w:rsidR="00E54C25">
        <w:lastRenderedPageBreak/>
        <w:t>have been larger absent the true-up it recorded for the final RA adders in 2023, which are discussed in more detail in Section 9, below.</w:t>
      </w:r>
      <w:r w:rsidR="00E54C25">
        <w:rPr>
          <w:rStyle w:val="FootnoteReference"/>
        </w:rPr>
        <w:footnoteReference w:id="92"/>
      </w:r>
    </w:p>
    <w:p w:rsidR="000611AB" w:rsidP="00FC53AF" w:rsidRDefault="000611AB" w14:paraId="3156D65B" w14:textId="2360E6EB">
      <w:pPr>
        <w:pStyle w:val="Standard"/>
      </w:pPr>
      <w:r w:rsidRPr="00D141DF">
        <w:t>After considering SCE’s 2024 forecast application and its associated worksheets, the Commission finds SCE’s forecast 2024 PABA and 2023 PABA year</w:t>
      </w:r>
      <w:r w:rsidRPr="00D141DF">
        <w:noBreakHyphen/>
        <w:t>end true</w:t>
      </w:r>
      <w:r w:rsidRPr="00D141DF">
        <w:noBreakHyphen/>
        <w:t xml:space="preserve">up reasonable and in compliance with applicable rules, orders, and Commission </w:t>
      </w:r>
      <w:r w:rsidRPr="00D141DF" w:rsidR="00A14797">
        <w:t>Decision</w:t>
      </w:r>
      <w:r w:rsidRPr="00D141DF">
        <w:t>s.</w:t>
      </w:r>
    </w:p>
    <w:p w:rsidR="00CF2141" w:rsidP="00FC53AF" w:rsidRDefault="00CF2141" w14:paraId="06528870" w14:textId="591CCA6D">
      <w:pPr>
        <w:pStyle w:val="Heading3"/>
      </w:pPr>
      <w:bookmarkStart w:name="_Toc152331411" w:id="40"/>
      <w:r w:rsidRPr="00FC53AF">
        <w:t>Geysers</w:t>
      </w:r>
      <w:r>
        <w:t xml:space="preserve"> Contract Error</w:t>
      </w:r>
      <w:r w:rsidR="00080634">
        <w:t>s</w:t>
      </w:r>
      <w:bookmarkEnd w:id="40"/>
    </w:p>
    <w:p w:rsidR="00CF2141" w:rsidP="00FC53AF" w:rsidRDefault="00CF2141" w14:paraId="70FB0E32" w14:textId="0AE3F56E">
      <w:pPr>
        <w:pStyle w:val="Standard"/>
      </w:pPr>
      <w:r>
        <w:t xml:space="preserve">SCE noted that it </w:t>
      </w:r>
      <w:r w:rsidRPr="00FC53AF">
        <w:t>identified</w:t>
      </w:r>
      <w:r>
        <w:t xml:space="preserve"> an error in how two of its geothermal contracts (“Geysers Power contracts”) w</w:t>
      </w:r>
      <w:r w:rsidR="003C73AF">
        <w:t>e</w:t>
      </w:r>
      <w:r w:rsidR="0066430C">
        <w:t>re</w:t>
      </w:r>
      <w:r>
        <w:t xml:space="preserve"> mapped to the PABA, resulting in the revenues received from CAISO for these contracts to erroneously be recorded to the ERRA BA. This occurred largely because the contracting party modified the CAISO Schedule Coordinator ID, which SCE noted is a “very unusual and rare occurrence.” SCE identified understated ERRA BA and overstated PABA balances as follows:</w:t>
      </w:r>
      <w:r w:rsidR="00C46284">
        <w:rPr>
          <w:rStyle w:val="FootnoteReference"/>
        </w:rPr>
        <w:footnoteReference w:id="93"/>
      </w:r>
    </w:p>
    <w:p w:rsidR="00CF2141" w:rsidP="00B65743" w:rsidRDefault="00CF2141" w14:paraId="4C3B3838" w14:textId="7DF968F4">
      <w:pPr>
        <w:pStyle w:val="Standard"/>
        <w:numPr>
          <w:ilvl w:val="0"/>
          <w:numId w:val="20"/>
        </w:numPr>
        <w:spacing w:after="120" w:line="240" w:lineRule="auto"/>
        <w:ind w:right="1440"/>
        <w:contextualSpacing/>
      </w:pPr>
      <w:r>
        <w:t>2019</w:t>
      </w:r>
      <w:r w:rsidR="00C46284">
        <w:t>:</w:t>
      </w:r>
      <w:r>
        <w:t xml:space="preserve"> $8.4 million</w:t>
      </w:r>
    </w:p>
    <w:p w:rsidR="00CF2141" w:rsidP="00B65743" w:rsidRDefault="00CF2141" w14:paraId="16E89151" w14:textId="01CC3EFD">
      <w:pPr>
        <w:pStyle w:val="Standard"/>
        <w:numPr>
          <w:ilvl w:val="0"/>
          <w:numId w:val="20"/>
        </w:numPr>
        <w:spacing w:after="120" w:line="240" w:lineRule="auto"/>
        <w:ind w:right="1440"/>
        <w:contextualSpacing/>
      </w:pPr>
      <w:r>
        <w:t>2020</w:t>
      </w:r>
      <w:r w:rsidR="00C46284">
        <w:t xml:space="preserve">: </w:t>
      </w:r>
      <w:r>
        <w:t xml:space="preserve"> $73.0 million</w:t>
      </w:r>
    </w:p>
    <w:p w:rsidR="00CF2141" w:rsidP="00B65743" w:rsidRDefault="00CF2141" w14:paraId="731B8326" w14:textId="6BE26546">
      <w:pPr>
        <w:pStyle w:val="Standard"/>
        <w:numPr>
          <w:ilvl w:val="0"/>
          <w:numId w:val="20"/>
        </w:numPr>
        <w:spacing w:after="120" w:line="240" w:lineRule="auto"/>
        <w:ind w:right="1440"/>
        <w:contextualSpacing/>
      </w:pPr>
      <w:r>
        <w:t>2021</w:t>
      </w:r>
      <w:r w:rsidR="00C46284">
        <w:t xml:space="preserve">: </w:t>
      </w:r>
      <w:r>
        <w:t xml:space="preserve"> $124.7 million</w:t>
      </w:r>
    </w:p>
    <w:p w:rsidR="00CF2141" w:rsidP="00B65743" w:rsidRDefault="00CF2141" w14:paraId="018347E3" w14:textId="5B4AC6DE">
      <w:pPr>
        <w:pStyle w:val="Standard"/>
        <w:numPr>
          <w:ilvl w:val="0"/>
          <w:numId w:val="20"/>
        </w:numPr>
        <w:spacing w:after="120" w:line="240" w:lineRule="auto"/>
        <w:ind w:right="1440"/>
        <w:contextualSpacing/>
      </w:pPr>
      <w:r>
        <w:t>2022</w:t>
      </w:r>
      <w:r w:rsidR="00C46284">
        <w:t xml:space="preserve">: </w:t>
      </w:r>
      <w:r>
        <w:t xml:space="preserve"> $212.1 million</w:t>
      </w:r>
    </w:p>
    <w:p w:rsidR="00CF2141" w:rsidP="00B65743" w:rsidRDefault="00CF2141" w14:paraId="347FECF3" w14:textId="316500FF">
      <w:pPr>
        <w:pStyle w:val="Standard"/>
        <w:numPr>
          <w:ilvl w:val="0"/>
          <w:numId w:val="20"/>
        </w:numPr>
        <w:spacing w:after="120" w:line="240" w:lineRule="auto"/>
        <w:ind w:right="1440"/>
        <w:contextualSpacing/>
      </w:pPr>
      <w:r w:rsidRPr="00AD40AC">
        <w:t>2023 (January through March)</w:t>
      </w:r>
      <w:r w:rsidR="00C46284">
        <w:t xml:space="preserve">: </w:t>
      </w:r>
      <w:r w:rsidRPr="00AD40AC">
        <w:t xml:space="preserve"> $58.0 million</w:t>
      </w:r>
    </w:p>
    <w:p w:rsidR="000611AB" w:rsidP="00B65743" w:rsidRDefault="00CF2141" w14:paraId="1B5AF9A8" w14:textId="1FEC6FA0">
      <w:pPr>
        <w:pStyle w:val="Standard"/>
      </w:pPr>
      <w:r w:rsidRPr="00B65743">
        <w:t>SCE</w:t>
      </w:r>
      <w:r>
        <w:t xml:space="preserve"> also noted a second error </w:t>
      </w:r>
      <w:r w:rsidR="00080634">
        <w:t xml:space="preserve">when filing its 2023 ERRA Trigger. It found that its resource-specific deliveries and the associated CAISO </w:t>
      </w:r>
      <w:r w:rsidR="00FB157A">
        <w:t>revenues</w:t>
      </w:r>
      <w:r w:rsidR="00080634">
        <w:t xml:space="preserve"> did not align for the Geysers Power contracts. There are no impacts to the ERRA BA prior to 2023, because those revenues had already been transferred to the PABA. </w:t>
      </w:r>
    </w:p>
    <w:p w:rsidR="00CF2141" w:rsidP="00FC53AF" w:rsidRDefault="000611AB" w14:paraId="275DB31E" w14:textId="0640296E">
      <w:pPr>
        <w:pStyle w:val="Standard"/>
      </w:pPr>
      <w:r>
        <w:lastRenderedPageBreak/>
        <w:t xml:space="preserve">The </w:t>
      </w:r>
      <w:r w:rsidRPr="00FC53AF">
        <w:t>corrections</w:t>
      </w:r>
      <w:r>
        <w:t xml:space="preserve"> required to SCE’s PABA net to zero in total, but there were impacts to</w:t>
      </w:r>
      <w:r w:rsidR="00684050">
        <w:t xml:space="preserve"> the forecasted 2023 year-end balances in</w:t>
      </w:r>
      <w:r>
        <w:t xml:space="preserve"> individual PABA subaccounts.</w:t>
      </w:r>
      <w:r w:rsidR="00684050">
        <w:rPr>
          <w:rStyle w:val="FootnoteReference"/>
        </w:rPr>
        <w:footnoteReference w:id="94"/>
      </w:r>
      <w:r>
        <w:t xml:space="preserve"> Ultimately, the only customers that will see an increase in their PCIA rates as a result of these errors will be customers with a responsibility for Geysers Power contracts subaccounts in 2022-2023.</w:t>
      </w:r>
      <w:r>
        <w:rPr>
          <w:rStyle w:val="FootnoteReference"/>
        </w:rPr>
        <w:footnoteReference w:id="95"/>
      </w:r>
      <w:r>
        <w:t xml:space="preserve"> </w:t>
      </w:r>
      <w:r w:rsidR="00080634">
        <w:t>SCE noted that after identifying these errors, it has added new internal processes intended to provide better quality control, including a trading desk notification system to alert SCE employees when a contracted resource changes its CAISO ID; monthly reviews with the CAISO settlements team; and new methods to align cost recovery with the contracted resources.</w:t>
      </w:r>
      <w:r w:rsidR="00080634">
        <w:rPr>
          <w:rStyle w:val="FootnoteReference"/>
        </w:rPr>
        <w:footnoteReference w:id="96"/>
      </w:r>
      <w:r w:rsidR="00080634">
        <w:t xml:space="preserve"> SCE finally noted that these errors will be addressed more thoroughly in its April 2024 ERRA Review proceeding, and the details in its 2024 ERRA Forecast were largely in the interest of transparency.</w:t>
      </w:r>
      <w:r w:rsidR="00080634">
        <w:rPr>
          <w:rStyle w:val="FootnoteReference"/>
        </w:rPr>
        <w:footnoteReference w:id="97"/>
      </w:r>
    </w:p>
    <w:p w:rsidRPr="0066430C" w:rsidR="0066430C" w:rsidP="00996421" w:rsidRDefault="0066430C" w14:paraId="35533DF4" w14:textId="4168D09C">
      <w:pPr>
        <w:pStyle w:val="Heading3"/>
      </w:pPr>
      <w:bookmarkStart w:name="_Toc152331412" w:id="41"/>
      <w:r>
        <w:t>Discussion</w:t>
      </w:r>
      <w:bookmarkEnd w:id="41"/>
    </w:p>
    <w:p w:rsidRPr="00996421" w:rsidR="008D2D76" w:rsidP="004B1296" w:rsidRDefault="008D2D76" w14:paraId="682FBE3B" w14:textId="66AF5F5A">
      <w:pPr>
        <w:pStyle w:val="Standard"/>
      </w:pPr>
      <w:r w:rsidRPr="00996421">
        <w:t xml:space="preserve">In its October Update testimony, SCE forecasted a </w:t>
      </w:r>
      <w:r w:rsidRPr="0066430C" w:rsidR="0066430C">
        <w:t>$207.835 million (including FF&amp;U)</w:t>
      </w:r>
      <w:r w:rsidRPr="00996421">
        <w:t xml:space="preserve"> million </w:t>
      </w:r>
      <w:proofErr w:type="spellStart"/>
      <w:r w:rsidRPr="00996421">
        <w:t>undercollection</w:t>
      </w:r>
      <w:proofErr w:type="spellEnd"/>
      <w:r w:rsidRPr="00996421">
        <w:t xml:space="preserve"> in the ERRA BA by December 31, 2023, which SCE proposes to collect from bundled service customers in 2024. According to SCE, the </w:t>
      </w:r>
      <w:proofErr w:type="spellStart"/>
      <w:r w:rsidRPr="00996421">
        <w:t>undercollection</w:t>
      </w:r>
      <w:proofErr w:type="spellEnd"/>
      <w:r w:rsidRPr="00996421">
        <w:t xml:space="preserve"> results </w:t>
      </w:r>
      <w:r w:rsidR="0066430C">
        <w:t xml:space="preserve">largely due to the true-up of the </w:t>
      </w:r>
      <w:r w:rsidR="0066430C">
        <w:lastRenderedPageBreak/>
        <w:t xml:space="preserve">forecasted and final RA adders, which increased its ERRA BA costs by </w:t>
      </w:r>
      <w:r w:rsidR="00B65743">
        <w:br/>
      </w:r>
      <w:r w:rsidR="0066430C">
        <w:t>$688.396 million</w:t>
      </w:r>
      <w:r w:rsidRPr="00996421">
        <w:t xml:space="preserve">. </w:t>
      </w:r>
    </w:p>
    <w:p w:rsidR="008D2D76" w:rsidP="004B1296" w:rsidRDefault="0066430C" w14:paraId="5EA2F44A" w14:textId="0BBE7123">
      <w:pPr>
        <w:pStyle w:val="Standard"/>
      </w:pPr>
      <w:r>
        <w:t>No party directly raised concerns about SCE’s proposed ERRA BA balance</w:t>
      </w:r>
      <w:r w:rsidR="003C5BD1">
        <w:t xml:space="preserve">. </w:t>
      </w:r>
      <w:r w:rsidRPr="00996421" w:rsidR="008D2D76">
        <w:t xml:space="preserve">Upon consideration, we find SCE’s forecast ERRA BA revenue requirement and 2023 ERRA BA under/overcollection recovery proposal reasonable and in compliance with applicable rules, </w:t>
      </w:r>
      <w:proofErr w:type="gramStart"/>
      <w:r w:rsidRPr="00996421" w:rsidR="008D2D76">
        <w:t>orders</w:t>
      </w:r>
      <w:proofErr w:type="gramEnd"/>
      <w:r w:rsidRPr="00996421" w:rsidR="008D2D76">
        <w:t xml:space="preserve"> and Commission </w:t>
      </w:r>
      <w:r w:rsidR="00A14797">
        <w:t>Decision</w:t>
      </w:r>
      <w:r w:rsidRPr="00996421" w:rsidR="008D2D76">
        <w:t>s.</w:t>
      </w:r>
      <w:r>
        <w:t xml:space="preserve"> SCE is authorized to recover the Generation Service revenue requirement summarized in Table 6-2 in 2024.</w:t>
      </w:r>
      <w:r w:rsidR="00684050">
        <w:t xml:space="preserve"> </w:t>
      </w:r>
      <w:r w:rsidR="00304FA4">
        <w:t>Additionally</w:t>
      </w:r>
      <w:r w:rsidR="00684050">
        <w:t xml:space="preserve">, SCE is directed to address the issues associated with its Geysers Contracts Error in detail in its 2023 ERRA </w:t>
      </w:r>
      <w:r w:rsidR="00304FA4">
        <w:t xml:space="preserve">Compliance </w:t>
      </w:r>
      <w:r w:rsidR="00684050">
        <w:t>Review filing due on April 1, 2024.</w:t>
      </w:r>
    </w:p>
    <w:p w:rsidR="001F5EF2" w:rsidP="00996421" w:rsidRDefault="001F5EF2" w14:paraId="3B7C468F" w14:textId="69FFEF27">
      <w:pPr>
        <w:pStyle w:val="Heading2"/>
      </w:pPr>
      <w:bookmarkStart w:name="_Toc152331413" w:id="42"/>
      <w:r>
        <w:t>Energy Settlement Memorandum Account and Litigation Costs Tracking Account</w:t>
      </w:r>
      <w:bookmarkEnd w:id="42"/>
    </w:p>
    <w:p w:rsidR="001F5EF2" w:rsidP="004B1296" w:rsidRDefault="001F5EF2" w14:paraId="3897ADA5" w14:textId="65A06906">
      <w:pPr>
        <w:pStyle w:val="Standard"/>
      </w:pPr>
      <w:r>
        <w:t xml:space="preserve">SCE </w:t>
      </w:r>
      <w:r w:rsidRPr="004B1296">
        <w:t>continues</w:t>
      </w:r>
      <w:r>
        <w:t xml:space="preserve"> to pursue refunds from generators that overcharged it and other California IOUs for electricity during the 2000-2001 California Energy Crisis. In its 2024 ERRA forecast, SCE estimated a balance</w:t>
      </w:r>
      <w:r w:rsidR="00273D97">
        <w:t xml:space="preserve"> of -$180,000</w:t>
      </w:r>
      <w:r>
        <w:t xml:space="preserve"> in its Energy Settlement Memorandum Account (ESMA), including FF&amp;U. </w:t>
      </w:r>
    </w:p>
    <w:p w:rsidR="001F5EF2" w:rsidP="001F5EF2" w:rsidRDefault="001F5EF2" w14:paraId="43CB5025" w14:textId="56EFC273">
      <w:pPr>
        <w:pStyle w:val="Standard"/>
      </w:pPr>
      <w:r>
        <w:t>Pursuant to Resolution E-3894, SCE is also required to maintain a Litigation Costs Tracking Account (LCTA) within its ESMA to track litigation costs associated with the pursuit of a settlement related to the California Energy Crisis. SCE forecasted its LCTA will have a balance of $2</w:t>
      </w:r>
      <w:r w:rsidR="00273D97">
        <w:t>63</w:t>
      </w:r>
      <w:r>
        <w:t xml:space="preserve">,000 as of </w:t>
      </w:r>
      <w:r w:rsidR="0097089F">
        <w:br/>
      </w:r>
      <w:r>
        <w:t xml:space="preserve">December 31, 2023. </w:t>
      </w:r>
    </w:p>
    <w:p w:rsidRPr="001F5EF2" w:rsidR="001F5EF2" w:rsidP="004B1296" w:rsidRDefault="001F5EF2" w14:paraId="15692F67" w14:textId="63A39552">
      <w:pPr>
        <w:pStyle w:val="Standard"/>
      </w:pPr>
      <w:r>
        <w:t xml:space="preserve">The combined balance of the ESMA and the LCTA </w:t>
      </w:r>
      <w:r w:rsidR="00273D97">
        <w:t>averages to an</w:t>
      </w:r>
      <w:r>
        <w:t xml:space="preserve"> overcollection </w:t>
      </w:r>
      <w:r w:rsidR="00273D97">
        <w:t xml:space="preserve">of $380,000, which </w:t>
      </w:r>
      <w:r>
        <w:t>will be returned to customers.</w:t>
      </w:r>
      <w:r w:rsidR="00EC6F8C">
        <w:rPr>
          <w:rStyle w:val="FootnoteReference"/>
        </w:rPr>
        <w:footnoteReference w:id="98"/>
      </w:r>
      <w:r>
        <w:t xml:space="preserve"> </w:t>
      </w:r>
      <w:r w:rsidR="00E732B1">
        <w:t xml:space="preserve">No party directly raised any comments or testimony regarding SCE’s forecast for its ESMA </w:t>
      </w:r>
      <w:r w:rsidR="00E732B1">
        <w:lastRenderedPageBreak/>
        <w:t xml:space="preserve">and LCTA in 2024. </w:t>
      </w:r>
      <w:r>
        <w:t>We find this forecast of ESMA and LCTA balances to be reasonable and in compliance with applicable rules and regulations</w:t>
      </w:r>
      <w:r w:rsidR="00E732B1">
        <w:t>, and therefore approve SCE’s proposal to return up to $380,000 to customers in 2024</w:t>
      </w:r>
      <w:r>
        <w:t>.</w:t>
      </w:r>
    </w:p>
    <w:p w:rsidR="00286EF0" w:rsidP="004B1296" w:rsidRDefault="00286EF0" w14:paraId="692AA476" w14:textId="315B2931">
      <w:pPr>
        <w:pStyle w:val="Heading2"/>
      </w:pPr>
      <w:bookmarkStart w:name="_Toc152331414" w:id="43"/>
      <w:r w:rsidRPr="004B1296">
        <w:t>Delivery</w:t>
      </w:r>
      <w:r>
        <w:t xml:space="preserve"> Service Revenue Requirement</w:t>
      </w:r>
      <w:bookmarkEnd w:id="43"/>
    </w:p>
    <w:p w:rsidR="00A36A9E" w:rsidP="004B1296" w:rsidRDefault="00C81A2D" w14:paraId="47B8E28E" w14:textId="0E9D859D">
      <w:pPr>
        <w:pStyle w:val="Standard"/>
      </w:pPr>
      <w:r>
        <w:t xml:space="preserve">SCE’s </w:t>
      </w:r>
      <w:r w:rsidRPr="004B1296">
        <w:t>delivery</w:t>
      </w:r>
      <w:r w:rsidRPr="00454D1A">
        <w:t xml:space="preserve"> service revenue requirement is recovered from all bundled and departing load SCE customers through allocation mechanisms other than the </w:t>
      </w:r>
      <w:r w:rsidR="00D77C5A">
        <w:t>Competition Transition Charge (CTC)</w:t>
      </w:r>
      <w:r w:rsidRPr="00454D1A">
        <w:t>, PCIA, and the Wildfire Non</w:t>
      </w:r>
      <w:r>
        <w:noBreakHyphen/>
      </w:r>
      <w:proofErr w:type="spellStart"/>
      <w:r w:rsidRPr="00454D1A">
        <w:t>Bypassable</w:t>
      </w:r>
      <w:proofErr w:type="spellEnd"/>
      <w:r w:rsidRPr="00454D1A">
        <w:t xml:space="preserve"> Charge.</w:t>
      </w:r>
      <w:r>
        <w:t xml:space="preserve"> SCE forecasted a total delivery service revenue requirement of </w:t>
      </w:r>
      <w:r w:rsidR="00F023A9">
        <w:br/>
      </w:r>
      <w:r w:rsidRPr="00996421" w:rsidR="00DF6638">
        <w:t>-$279.280</w:t>
      </w:r>
      <w:r w:rsidRPr="00996421" w:rsidR="00B71B6D">
        <w:t xml:space="preserve"> million</w:t>
      </w:r>
      <w:r w:rsidRPr="00996421">
        <w:t xml:space="preserve"> in 2024</w:t>
      </w:r>
      <w:r w:rsidRPr="002B0F5E" w:rsidR="00B71B6D">
        <w:t>,</w:t>
      </w:r>
      <w:r w:rsidR="00B71B6D">
        <w:t xml:space="preserve"> which represented (1) a consolidation of </w:t>
      </w:r>
      <w:r w:rsidR="00D77C5A">
        <w:t>NSG</w:t>
      </w:r>
      <w:r w:rsidR="00B71B6D">
        <w:t xml:space="preserve"> forecast costs, including CPE-related costs and the estimated year-end 2023 NSGBA balance; (2) 2024 System Reliability MCAM-related forecast costs; (3) 2024 Tree Mortality contract forecast costs; (4) 2024 </w:t>
      </w:r>
      <w:proofErr w:type="spellStart"/>
      <w:r w:rsidR="00B71B6D">
        <w:t>BioMAT</w:t>
      </w:r>
      <w:proofErr w:type="spellEnd"/>
      <w:r w:rsidR="00B71B6D">
        <w:t xml:space="preserve"> contract forecast costs; (5) 2024 forecast for spent nuclear fuel storage revenue requirement; (6)BRRBA-Distribution fuel and purchased power forecast costs; and (7) estimated 2024 GHG allowance revenues.</w:t>
      </w:r>
      <w:r w:rsidR="00C93D59">
        <w:rPr>
          <w:rStyle w:val="FootnoteReference"/>
        </w:rPr>
        <w:footnoteReference w:id="99"/>
      </w:r>
      <w:r w:rsidR="00DF6638">
        <w:t>,</w:t>
      </w:r>
      <w:r w:rsidR="00DF6638">
        <w:rPr>
          <w:rStyle w:val="FootnoteReference"/>
        </w:rPr>
        <w:footnoteReference w:id="100"/>
      </w:r>
    </w:p>
    <w:p w:rsidRPr="007366A4" w:rsidR="0062201A" w:rsidP="0062201A" w:rsidRDefault="0062201A" w14:paraId="7B4CF7F5" w14:textId="4423360A">
      <w:pPr>
        <w:pStyle w:val="TableTitleBodyH095"/>
        <w:ind w:left="2160" w:right="792"/>
      </w:pPr>
      <w:bookmarkStart w:name="Table63" w:id="44"/>
      <w:r w:rsidRPr="007366A4">
        <w:rPr>
          <w:b/>
          <w:bCs w:val="0"/>
        </w:rPr>
        <w:lastRenderedPageBreak/>
        <w:t>Table</w:t>
      </w:r>
      <w:r>
        <w:rPr>
          <w:b/>
        </w:rPr>
        <w:t> </w:t>
      </w:r>
      <w:r w:rsidRPr="007366A4">
        <w:rPr>
          <w:b/>
          <w:bCs w:val="0"/>
        </w:rPr>
        <w:t>6</w:t>
      </w:r>
      <w:r>
        <w:rPr>
          <w:b/>
        </w:rPr>
        <w:noBreakHyphen/>
      </w:r>
      <w:r w:rsidRPr="007366A4">
        <w:rPr>
          <w:b/>
          <w:bCs w:val="0"/>
        </w:rPr>
        <w:t>3.</w:t>
      </w:r>
      <w:r w:rsidRPr="007366A4">
        <w:tab/>
      </w:r>
      <w:r w:rsidRPr="00AD40AC">
        <w:t xml:space="preserve">Summary of SCE’s Proposed </w:t>
      </w:r>
      <w:r w:rsidRPr="00AD40AC" w:rsidR="00DF6638">
        <w:t>2024 ERRA Forecast</w:t>
      </w:r>
      <w:r w:rsidRPr="00AD40AC">
        <w:t xml:space="preserve"> Delivery Service Revenue Requirement</w:t>
      </w:r>
      <w:bookmarkEnd w:id="44"/>
      <w:r w:rsidRPr="00AD40AC">
        <w:rPr>
          <w:rStyle w:val="FootnoteReference"/>
        </w:rPr>
        <w:footnoteReference w:id="101"/>
      </w:r>
    </w:p>
    <w:tbl>
      <w:tblPr>
        <w:tblStyle w:val="TableGrid3"/>
        <w:tblW w:w="7465" w:type="dxa"/>
        <w:jc w:val="center"/>
        <w:tblLayout w:type="fixed"/>
        <w:tblCellMar>
          <w:top w:w="58" w:type="dxa"/>
          <w:bottom w:w="58" w:type="dxa"/>
        </w:tblCellMar>
        <w:tblLook w:val="04A0" w:firstRow="1" w:lastRow="0" w:firstColumn="1" w:lastColumn="0" w:noHBand="0" w:noVBand="1"/>
      </w:tblPr>
      <w:tblGrid>
        <w:gridCol w:w="4405"/>
        <w:gridCol w:w="3060"/>
      </w:tblGrid>
      <w:tr w:rsidRPr="004B1296" w:rsidR="00DF6638" w:rsidTr="00996421" w14:paraId="311A9647" w14:textId="77777777">
        <w:trPr>
          <w:cantSplit/>
          <w:tblHeader/>
          <w:jc w:val="center"/>
        </w:trPr>
        <w:tc>
          <w:tcPr>
            <w:tcW w:w="4405" w:type="dxa"/>
            <w:vAlign w:val="bottom"/>
          </w:tcPr>
          <w:p w:rsidRPr="004B1296" w:rsidR="00DF6638" w:rsidP="008D268A" w:rsidRDefault="00DF6638" w14:paraId="48FF76CF" w14:textId="77777777">
            <w:pPr>
              <w:keepNext/>
              <w:spacing w:line="240" w:lineRule="auto"/>
              <w:ind w:firstLine="0"/>
              <w:jc w:val="center"/>
              <w:rPr>
                <w:b/>
                <w:bCs/>
                <w:szCs w:val="26"/>
              </w:rPr>
            </w:pPr>
            <w:bookmarkStart w:name="_Hlk27637843" w:id="45"/>
            <w:r w:rsidRPr="004B1296">
              <w:rPr>
                <w:b/>
                <w:bCs/>
                <w:szCs w:val="26"/>
              </w:rPr>
              <w:t>Description</w:t>
            </w:r>
          </w:p>
        </w:tc>
        <w:tc>
          <w:tcPr>
            <w:tcW w:w="3060" w:type="dxa"/>
            <w:vAlign w:val="bottom"/>
          </w:tcPr>
          <w:p w:rsidRPr="004B1296" w:rsidR="00DF6638" w:rsidP="008D268A" w:rsidRDefault="00DF6638" w14:paraId="0B7DD060" w14:textId="3B5A0FE6">
            <w:pPr>
              <w:keepNext/>
              <w:spacing w:line="240" w:lineRule="auto"/>
              <w:ind w:firstLine="0"/>
              <w:jc w:val="center"/>
              <w:rPr>
                <w:b/>
                <w:bCs/>
                <w:szCs w:val="26"/>
              </w:rPr>
            </w:pPr>
            <w:r w:rsidRPr="004B1296">
              <w:rPr>
                <w:b/>
                <w:bCs/>
                <w:szCs w:val="26"/>
              </w:rPr>
              <w:t xml:space="preserve">SCE </w:t>
            </w:r>
            <w:r w:rsidR="00736518">
              <w:rPr>
                <w:b/>
                <w:bCs/>
                <w:szCs w:val="26"/>
              </w:rPr>
              <w:t>Forecast</w:t>
            </w:r>
            <w:r w:rsidRPr="004B1296" w:rsidR="00736518">
              <w:rPr>
                <w:b/>
                <w:bCs/>
                <w:szCs w:val="26"/>
              </w:rPr>
              <w:t xml:space="preserve"> </w:t>
            </w:r>
          </w:p>
          <w:p w:rsidRPr="004B1296" w:rsidR="00DF6638" w:rsidP="008D268A" w:rsidRDefault="00DF6638" w14:paraId="74AF98F0" w14:textId="5BFE87DF">
            <w:pPr>
              <w:keepNext/>
              <w:spacing w:line="240" w:lineRule="auto"/>
              <w:ind w:firstLine="0"/>
              <w:jc w:val="center"/>
              <w:rPr>
                <w:b/>
                <w:bCs/>
                <w:szCs w:val="26"/>
              </w:rPr>
            </w:pPr>
            <w:r w:rsidRPr="004B1296">
              <w:rPr>
                <w:b/>
                <w:bCs/>
                <w:szCs w:val="26"/>
              </w:rPr>
              <w:t xml:space="preserve">2024 Revenue </w:t>
            </w:r>
          </w:p>
          <w:p w:rsidRPr="004B1296" w:rsidR="00DF6638" w:rsidP="008D268A" w:rsidRDefault="00DF6638" w14:paraId="0F8B1385" w14:textId="77777777">
            <w:pPr>
              <w:keepNext/>
              <w:spacing w:line="240" w:lineRule="auto"/>
              <w:ind w:firstLine="0"/>
              <w:jc w:val="center"/>
              <w:rPr>
                <w:b/>
                <w:bCs/>
                <w:szCs w:val="26"/>
              </w:rPr>
            </w:pPr>
            <w:r w:rsidRPr="004B1296">
              <w:rPr>
                <w:b/>
                <w:bCs/>
                <w:szCs w:val="26"/>
              </w:rPr>
              <w:t>Requirement (millions)</w:t>
            </w:r>
          </w:p>
        </w:tc>
      </w:tr>
      <w:tr w:rsidRPr="004B1296" w:rsidR="00DF6638" w:rsidTr="00996421" w14:paraId="595CE5ED" w14:textId="77777777">
        <w:trPr>
          <w:cantSplit/>
          <w:jc w:val="center"/>
        </w:trPr>
        <w:tc>
          <w:tcPr>
            <w:tcW w:w="4405" w:type="dxa"/>
          </w:tcPr>
          <w:p w:rsidRPr="004B1296" w:rsidR="00DF6638" w:rsidP="008D268A" w:rsidRDefault="00DF6638" w14:paraId="6403E2C1" w14:textId="77777777">
            <w:pPr>
              <w:spacing w:line="240" w:lineRule="auto"/>
              <w:ind w:firstLine="0"/>
              <w:rPr>
                <w:szCs w:val="26"/>
              </w:rPr>
            </w:pPr>
            <w:r w:rsidRPr="004B1296">
              <w:rPr>
                <w:szCs w:val="26"/>
              </w:rPr>
              <w:t>New System Generation</w:t>
            </w:r>
          </w:p>
          <w:p w:rsidRPr="004B1296" w:rsidR="00DF6638" w:rsidP="0062201A" w:rsidRDefault="00DF6638" w14:paraId="041EF277" w14:textId="2307E846">
            <w:pPr>
              <w:numPr>
                <w:ilvl w:val="0"/>
                <w:numId w:val="24"/>
              </w:numPr>
              <w:spacing w:line="240" w:lineRule="auto"/>
              <w:ind w:left="576" w:hanging="216"/>
              <w:rPr>
                <w:szCs w:val="26"/>
              </w:rPr>
            </w:pPr>
            <w:r w:rsidRPr="004B1296">
              <w:rPr>
                <w:szCs w:val="26"/>
              </w:rPr>
              <w:t>New System Generation F&amp;PP 2024 Forecast</w:t>
            </w:r>
            <w:r w:rsidRPr="004B1296">
              <w:rPr>
                <w:szCs w:val="26"/>
                <w:vertAlign w:val="superscript"/>
              </w:rPr>
              <w:footnoteReference w:id="102"/>
            </w:r>
            <w:r w:rsidRPr="004B1296">
              <w:rPr>
                <w:szCs w:val="26"/>
              </w:rPr>
              <w:t xml:space="preserve"> </w:t>
            </w:r>
          </w:p>
          <w:p w:rsidR="00DF6638" w:rsidP="0062201A" w:rsidRDefault="00DF6638" w14:paraId="6A800926" w14:textId="24168C84">
            <w:pPr>
              <w:numPr>
                <w:ilvl w:val="0"/>
                <w:numId w:val="24"/>
              </w:numPr>
              <w:spacing w:line="240" w:lineRule="auto"/>
              <w:ind w:left="576" w:hanging="216"/>
              <w:rPr>
                <w:szCs w:val="26"/>
              </w:rPr>
            </w:pPr>
            <w:r>
              <w:rPr>
                <w:szCs w:val="26"/>
              </w:rPr>
              <w:t>Estimated 2023 YE NSGBA Balance</w:t>
            </w:r>
          </w:p>
          <w:p w:rsidRPr="004B1296" w:rsidR="00DF6638" w:rsidP="0062201A" w:rsidRDefault="00DF6638" w14:paraId="3248655F" w14:textId="6B1B25B2">
            <w:pPr>
              <w:numPr>
                <w:ilvl w:val="0"/>
                <w:numId w:val="24"/>
              </w:numPr>
              <w:spacing w:line="240" w:lineRule="auto"/>
              <w:ind w:left="576" w:hanging="216"/>
              <w:rPr>
                <w:szCs w:val="26"/>
              </w:rPr>
            </w:pPr>
            <w:r>
              <w:rPr>
                <w:szCs w:val="26"/>
              </w:rPr>
              <w:t>MCAM F&amp;PP Forecast</w:t>
            </w:r>
          </w:p>
        </w:tc>
        <w:tc>
          <w:tcPr>
            <w:tcW w:w="3060" w:type="dxa"/>
          </w:tcPr>
          <w:p w:rsidRPr="004B1296" w:rsidR="00DF6638" w:rsidP="008D268A" w:rsidRDefault="00DF6638" w14:paraId="1E65B273" w14:textId="77777777">
            <w:pPr>
              <w:spacing w:line="240" w:lineRule="auto"/>
              <w:ind w:firstLine="0"/>
              <w:jc w:val="right"/>
              <w:rPr>
                <w:szCs w:val="26"/>
              </w:rPr>
            </w:pPr>
          </w:p>
          <w:p w:rsidRPr="004B1296" w:rsidR="00DF6638" w:rsidP="008D268A" w:rsidRDefault="00DF6638" w14:paraId="3E7B9D73" w14:textId="2F57D708">
            <w:pPr>
              <w:spacing w:line="240" w:lineRule="auto"/>
              <w:ind w:firstLine="0"/>
              <w:jc w:val="right"/>
              <w:rPr>
                <w:szCs w:val="26"/>
              </w:rPr>
            </w:pPr>
            <w:r w:rsidRPr="004B1296">
              <w:rPr>
                <w:szCs w:val="26"/>
              </w:rPr>
              <w:t>$</w:t>
            </w:r>
            <w:r w:rsidR="00D541B8">
              <w:rPr>
                <w:szCs w:val="26"/>
              </w:rPr>
              <w:t>402.996</w:t>
            </w:r>
          </w:p>
          <w:p w:rsidRPr="004B1296" w:rsidR="00DF6638" w:rsidP="00C22E63" w:rsidRDefault="00DF6638" w14:paraId="60EB07C9" w14:textId="77777777">
            <w:pPr>
              <w:spacing w:line="240" w:lineRule="auto"/>
              <w:ind w:firstLine="0"/>
              <w:rPr>
                <w:szCs w:val="26"/>
              </w:rPr>
            </w:pPr>
          </w:p>
          <w:p w:rsidR="00DF6638" w:rsidP="008D268A" w:rsidRDefault="00DF6638" w14:paraId="7057C6CF" w14:textId="60087F9E">
            <w:pPr>
              <w:spacing w:line="240" w:lineRule="auto"/>
              <w:ind w:firstLine="0"/>
              <w:jc w:val="right"/>
              <w:rPr>
                <w:szCs w:val="26"/>
              </w:rPr>
            </w:pPr>
            <w:r w:rsidRPr="004B1296">
              <w:rPr>
                <w:szCs w:val="26"/>
              </w:rPr>
              <w:t>$</w:t>
            </w:r>
            <w:r w:rsidR="00C22E63">
              <w:rPr>
                <w:szCs w:val="26"/>
              </w:rPr>
              <w:t>256.095</w:t>
            </w:r>
          </w:p>
          <w:p w:rsidR="00C22E63" w:rsidP="008D268A" w:rsidRDefault="00C22E63" w14:paraId="41C79F6D" w14:textId="77777777">
            <w:pPr>
              <w:spacing w:line="240" w:lineRule="auto"/>
              <w:ind w:firstLine="0"/>
              <w:jc w:val="right"/>
              <w:rPr>
                <w:szCs w:val="26"/>
              </w:rPr>
            </w:pPr>
          </w:p>
          <w:p w:rsidRPr="004B1296" w:rsidR="00C22E63" w:rsidP="008D268A" w:rsidRDefault="00C22E63" w14:paraId="33968D3A" w14:textId="389B8845">
            <w:pPr>
              <w:spacing w:line="240" w:lineRule="auto"/>
              <w:ind w:firstLine="0"/>
              <w:jc w:val="right"/>
              <w:rPr>
                <w:szCs w:val="26"/>
              </w:rPr>
            </w:pPr>
            <w:r>
              <w:rPr>
                <w:szCs w:val="26"/>
              </w:rPr>
              <w:t>$1.313</w:t>
            </w:r>
          </w:p>
        </w:tc>
      </w:tr>
      <w:tr w:rsidRPr="004B1296" w:rsidR="00DF6638" w:rsidTr="00996421" w14:paraId="159CBA33" w14:textId="77777777">
        <w:trPr>
          <w:cantSplit/>
          <w:jc w:val="center"/>
        </w:trPr>
        <w:tc>
          <w:tcPr>
            <w:tcW w:w="4405" w:type="dxa"/>
          </w:tcPr>
          <w:p w:rsidRPr="004B1296" w:rsidR="00DF6638" w:rsidP="008D268A" w:rsidRDefault="00DF6638" w14:paraId="5BEDA21E" w14:textId="1F9A4C45">
            <w:pPr>
              <w:spacing w:line="240" w:lineRule="auto"/>
              <w:ind w:firstLine="0"/>
              <w:rPr>
                <w:szCs w:val="26"/>
              </w:rPr>
            </w:pPr>
            <w:r w:rsidRPr="004B1296">
              <w:rPr>
                <w:szCs w:val="26"/>
              </w:rPr>
              <w:t>Spent Nuclear Fuel</w:t>
            </w:r>
            <w:r>
              <w:rPr>
                <w:szCs w:val="26"/>
              </w:rPr>
              <w:t xml:space="preserve"> Storage</w:t>
            </w:r>
          </w:p>
        </w:tc>
        <w:tc>
          <w:tcPr>
            <w:tcW w:w="3060" w:type="dxa"/>
          </w:tcPr>
          <w:p w:rsidRPr="004B1296" w:rsidR="00DF6638" w:rsidP="008D268A" w:rsidRDefault="00DF6638" w14:paraId="46713DC0" w14:textId="57692E3B">
            <w:pPr>
              <w:keepNext/>
              <w:spacing w:line="240" w:lineRule="auto"/>
              <w:ind w:firstLine="0"/>
              <w:jc w:val="right"/>
              <w:rPr>
                <w:szCs w:val="26"/>
              </w:rPr>
            </w:pPr>
            <w:r w:rsidRPr="004B1296">
              <w:rPr>
                <w:szCs w:val="26"/>
              </w:rPr>
              <w:t>$4.</w:t>
            </w:r>
            <w:r w:rsidR="00C22E63">
              <w:rPr>
                <w:szCs w:val="26"/>
              </w:rPr>
              <w:t>958</w:t>
            </w:r>
          </w:p>
        </w:tc>
      </w:tr>
      <w:tr w:rsidRPr="004B1296" w:rsidR="00DF6638" w:rsidTr="00996421" w14:paraId="31052BF8" w14:textId="77777777">
        <w:trPr>
          <w:cantSplit/>
          <w:jc w:val="center"/>
        </w:trPr>
        <w:tc>
          <w:tcPr>
            <w:tcW w:w="4405" w:type="dxa"/>
          </w:tcPr>
          <w:p w:rsidRPr="004B1296" w:rsidR="00DF6638" w:rsidP="008D268A" w:rsidRDefault="00DF6638" w14:paraId="389FEF1A" w14:textId="77777777">
            <w:pPr>
              <w:spacing w:line="240" w:lineRule="auto"/>
              <w:ind w:firstLine="0"/>
              <w:rPr>
                <w:szCs w:val="26"/>
              </w:rPr>
            </w:pPr>
            <w:r w:rsidRPr="004B1296">
              <w:rPr>
                <w:szCs w:val="26"/>
              </w:rPr>
              <w:t>Distribution Rate Component</w:t>
            </w:r>
          </w:p>
          <w:p w:rsidR="00C22E63" w:rsidP="0062201A" w:rsidRDefault="00DF6638" w14:paraId="347A0FE6" w14:textId="77777777">
            <w:pPr>
              <w:numPr>
                <w:ilvl w:val="0"/>
                <w:numId w:val="24"/>
              </w:numPr>
              <w:spacing w:line="240" w:lineRule="auto"/>
              <w:ind w:left="576" w:hanging="216"/>
              <w:rPr>
                <w:szCs w:val="26"/>
              </w:rPr>
            </w:pPr>
            <w:r w:rsidRPr="004B1296">
              <w:rPr>
                <w:szCs w:val="26"/>
              </w:rPr>
              <w:t>Base Revenue Requirement BA</w:t>
            </w:r>
            <w:r w:rsidRPr="004B1296">
              <w:rPr>
                <w:szCs w:val="26"/>
              </w:rPr>
              <w:noBreakHyphen/>
              <w:t xml:space="preserve">Distribution F&amp;PP </w:t>
            </w:r>
          </w:p>
          <w:p w:rsidRPr="004B1296" w:rsidR="00DF6638" w:rsidP="0062201A" w:rsidRDefault="00DF6638" w14:paraId="43526156" w14:textId="0721BDC6">
            <w:pPr>
              <w:numPr>
                <w:ilvl w:val="0"/>
                <w:numId w:val="24"/>
              </w:numPr>
              <w:spacing w:line="240" w:lineRule="auto"/>
              <w:ind w:left="576" w:hanging="216"/>
              <w:rPr>
                <w:szCs w:val="26"/>
              </w:rPr>
            </w:pPr>
            <w:r w:rsidRPr="004B1296">
              <w:rPr>
                <w:szCs w:val="26"/>
              </w:rPr>
              <w:t xml:space="preserve">GHG Allowance Revenues </w:t>
            </w:r>
          </w:p>
        </w:tc>
        <w:tc>
          <w:tcPr>
            <w:tcW w:w="3060" w:type="dxa"/>
          </w:tcPr>
          <w:p w:rsidRPr="004B1296" w:rsidR="00DF6638" w:rsidP="008D268A" w:rsidRDefault="00DF6638" w14:paraId="4A6CF1B0" w14:textId="77777777">
            <w:pPr>
              <w:keepNext/>
              <w:spacing w:line="240" w:lineRule="auto"/>
              <w:ind w:firstLine="0"/>
              <w:jc w:val="right"/>
              <w:rPr>
                <w:szCs w:val="26"/>
              </w:rPr>
            </w:pPr>
          </w:p>
          <w:p w:rsidRPr="004B1296" w:rsidR="00DF6638" w:rsidP="008D268A" w:rsidRDefault="00DF6638" w14:paraId="5080D7C9" w14:textId="4A302DD4">
            <w:pPr>
              <w:keepNext/>
              <w:spacing w:line="240" w:lineRule="auto"/>
              <w:ind w:firstLine="0"/>
              <w:jc w:val="right"/>
              <w:rPr>
                <w:szCs w:val="26"/>
              </w:rPr>
            </w:pPr>
            <w:r w:rsidRPr="004B1296">
              <w:rPr>
                <w:szCs w:val="26"/>
              </w:rPr>
              <w:noBreakHyphen/>
              <w:t>$</w:t>
            </w:r>
            <w:r>
              <w:rPr>
                <w:szCs w:val="26"/>
              </w:rPr>
              <w:t>3.582</w:t>
            </w:r>
          </w:p>
          <w:p w:rsidRPr="004B1296" w:rsidR="00DF6638" w:rsidP="008D268A" w:rsidRDefault="00DF6638" w14:paraId="179A6F4E" w14:textId="77777777">
            <w:pPr>
              <w:keepNext/>
              <w:spacing w:line="240" w:lineRule="auto"/>
              <w:ind w:firstLine="0"/>
              <w:jc w:val="right"/>
              <w:rPr>
                <w:szCs w:val="26"/>
              </w:rPr>
            </w:pPr>
          </w:p>
          <w:p w:rsidRPr="004B1296" w:rsidR="00DF6638" w:rsidP="008D268A" w:rsidRDefault="00DF6638" w14:paraId="1AACB384" w14:textId="7CC3700B">
            <w:pPr>
              <w:keepNext/>
              <w:spacing w:line="240" w:lineRule="auto"/>
              <w:ind w:firstLine="0"/>
              <w:jc w:val="right"/>
              <w:rPr>
                <w:szCs w:val="26"/>
              </w:rPr>
            </w:pPr>
            <w:r w:rsidRPr="004B1296">
              <w:rPr>
                <w:szCs w:val="26"/>
              </w:rPr>
              <w:noBreakHyphen/>
              <w:t>$</w:t>
            </w:r>
            <w:r>
              <w:rPr>
                <w:szCs w:val="26"/>
              </w:rPr>
              <w:t>955,105</w:t>
            </w:r>
          </w:p>
        </w:tc>
      </w:tr>
      <w:tr w:rsidRPr="004B1296" w:rsidR="00DF6638" w:rsidTr="00996421" w14:paraId="4B6D1525" w14:textId="77777777">
        <w:trPr>
          <w:cantSplit/>
          <w:jc w:val="center"/>
        </w:trPr>
        <w:tc>
          <w:tcPr>
            <w:tcW w:w="4405" w:type="dxa"/>
          </w:tcPr>
          <w:p w:rsidRPr="004B1296" w:rsidR="00DF6638" w:rsidP="008D268A" w:rsidRDefault="00DF6638" w14:paraId="2E74924D" w14:textId="77777777">
            <w:pPr>
              <w:keepNext/>
              <w:spacing w:line="240" w:lineRule="auto"/>
              <w:ind w:firstLine="0"/>
              <w:rPr>
                <w:szCs w:val="26"/>
              </w:rPr>
            </w:pPr>
            <w:r w:rsidRPr="004B1296">
              <w:rPr>
                <w:szCs w:val="26"/>
              </w:rPr>
              <w:t xml:space="preserve">Public Purpose Programs Charge </w:t>
            </w:r>
          </w:p>
          <w:p w:rsidRPr="004B1296" w:rsidR="00DF6638" w:rsidP="0062201A" w:rsidRDefault="00DF6638" w14:paraId="491D5935" w14:textId="6087E983">
            <w:pPr>
              <w:keepNext/>
              <w:numPr>
                <w:ilvl w:val="0"/>
                <w:numId w:val="24"/>
              </w:numPr>
              <w:spacing w:line="240" w:lineRule="auto"/>
              <w:ind w:left="576" w:hanging="216"/>
              <w:rPr>
                <w:szCs w:val="26"/>
              </w:rPr>
            </w:pPr>
            <w:r w:rsidRPr="004B1296">
              <w:rPr>
                <w:szCs w:val="26"/>
              </w:rPr>
              <w:t>Public Purpose Program F&amp;PP Charge 2024 Forecast</w:t>
            </w:r>
          </w:p>
          <w:p w:rsidRPr="004B1296" w:rsidR="00DF6638" w:rsidP="0062201A" w:rsidRDefault="00DF6638" w14:paraId="05F419CE" w14:textId="010878C9">
            <w:pPr>
              <w:keepNext/>
              <w:numPr>
                <w:ilvl w:val="0"/>
                <w:numId w:val="24"/>
              </w:numPr>
              <w:spacing w:line="240" w:lineRule="auto"/>
              <w:ind w:left="576" w:hanging="216"/>
              <w:rPr>
                <w:szCs w:val="26"/>
              </w:rPr>
            </w:pPr>
            <w:r w:rsidRPr="004B1296">
              <w:rPr>
                <w:szCs w:val="26"/>
              </w:rPr>
              <w:t>Tree Mortality Non</w:t>
            </w:r>
            <w:r w:rsidRPr="004B1296">
              <w:rPr>
                <w:szCs w:val="26"/>
              </w:rPr>
              <w:noBreakHyphen/>
            </w:r>
            <w:proofErr w:type="spellStart"/>
            <w:r w:rsidRPr="004B1296">
              <w:rPr>
                <w:szCs w:val="26"/>
              </w:rPr>
              <w:t>Bypassable</w:t>
            </w:r>
            <w:proofErr w:type="spellEnd"/>
            <w:r w:rsidRPr="004B1296">
              <w:rPr>
                <w:szCs w:val="26"/>
              </w:rPr>
              <w:t xml:space="preserve"> Charge BA </w:t>
            </w:r>
            <w:r>
              <w:rPr>
                <w:szCs w:val="26"/>
              </w:rPr>
              <w:t xml:space="preserve">YE </w:t>
            </w:r>
            <w:r w:rsidRPr="004B1296">
              <w:rPr>
                <w:szCs w:val="26"/>
              </w:rPr>
              <w:t xml:space="preserve">2023 </w:t>
            </w:r>
            <w:r>
              <w:rPr>
                <w:szCs w:val="26"/>
              </w:rPr>
              <w:t>Balance</w:t>
            </w:r>
          </w:p>
          <w:p w:rsidRPr="004B1296" w:rsidR="00DF6638" w:rsidP="0062201A" w:rsidRDefault="00DF6638" w14:paraId="008E9542" w14:textId="6135311E">
            <w:pPr>
              <w:keepNext/>
              <w:numPr>
                <w:ilvl w:val="0"/>
                <w:numId w:val="24"/>
              </w:numPr>
              <w:spacing w:line="240" w:lineRule="auto"/>
              <w:ind w:left="576" w:hanging="216"/>
              <w:rPr>
                <w:szCs w:val="26"/>
              </w:rPr>
            </w:pPr>
            <w:proofErr w:type="spellStart"/>
            <w:r w:rsidRPr="004B1296">
              <w:rPr>
                <w:szCs w:val="26"/>
              </w:rPr>
              <w:t>BioMAT</w:t>
            </w:r>
            <w:proofErr w:type="spellEnd"/>
            <w:r w:rsidRPr="004B1296">
              <w:rPr>
                <w:szCs w:val="26"/>
              </w:rPr>
              <w:t xml:space="preserve"> Non</w:t>
            </w:r>
            <w:r w:rsidRPr="004B1296">
              <w:rPr>
                <w:szCs w:val="26"/>
              </w:rPr>
              <w:noBreakHyphen/>
            </w:r>
            <w:proofErr w:type="spellStart"/>
            <w:r w:rsidRPr="004B1296">
              <w:rPr>
                <w:szCs w:val="26"/>
              </w:rPr>
              <w:t>Bypassable</w:t>
            </w:r>
            <w:proofErr w:type="spellEnd"/>
            <w:r w:rsidRPr="004B1296">
              <w:rPr>
                <w:szCs w:val="26"/>
              </w:rPr>
              <w:t xml:space="preserve"> Charge BA </w:t>
            </w:r>
            <w:r>
              <w:rPr>
                <w:szCs w:val="26"/>
              </w:rPr>
              <w:t xml:space="preserve">YE </w:t>
            </w:r>
            <w:r w:rsidRPr="004B1296">
              <w:rPr>
                <w:szCs w:val="26"/>
              </w:rPr>
              <w:t xml:space="preserve">2023 </w:t>
            </w:r>
            <w:r>
              <w:rPr>
                <w:szCs w:val="26"/>
              </w:rPr>
              <w:t>Balance</w:t>
            </w:r>
          </w:p>
        </w:tc>
        <w:tc>
          <w:tcPr>
            <w:tcW w:w="3060" w:type="dxa"/>
          </w:tcPr>
          <w:p w:rsidRPr="004B1296" w:rsidR="00DF6638" w:rsidP="008D268A" w:rsidRDefault="00DF6638" w14:paraId="7900B8E6" w14:textId="77777777">
            <w:pPr>
              <w:keepNext/>
              <w:spacing w:line="240" w:lineRule="auto"/>
              <w:ind w:firstLine="0"/>
              <w:jc w:val="right"/>
              <w:rPr>
                <w:szCs w:val="26"/>
              </w:rPr>
            </w:pPr>
          </w:p>
          <w:p w:rsidRPr="004B1296" w:rsidR="00DF6638" w:rsidP="008D268A" w:rsidRDefault="00DF6638" w14:paraId="2BC24B0A" w14:textId="7EA2626C">
            <w:pPr>
              <w:keepNext/>
              <w:spacing w:line="240" w:lineRule="auto"/>
              <w:ind w:firstLine="0"/>
              <w:jc w:val="right"/>
              <w:rPr>
                <w:szCs w:val="26"/>
              </w:rPr>
            </w:pPr>
            <w:r w:rsidRPr="004B1296">
              <w:rPr>
                <w:szCs w:val="26"/>
              </w:rPr>
              <w:t>$</w:t>
            </w:r>
            <w:r>
              <w:rPr>
                <w:szCs w:val="26"/>
              </w:rPr>
              <w:t>9.157</w:t>
            </w:r>
          </w:p>
          <w:p w:rsidRPr="004B1296" w:rsidR="00DF6638" w:rsidP="008D268A" w:rsidRDefault="00DF6638" w14:paraId="57C58AD5" w14:textId="77777777">
            <w:pPr>
              <w:keepNext/>
              <w:spacing w:line="240" w:lineRule="auto"/>
              <w:ind w:firstLine="0"/>
              <w:jc w:val="right"/>
              <w:rPr>
                <w:szCs w:val="26"/>
              </w:rPr>
            </w:pPr>
          </w:p>
          <w:p w:rsidRPr="004B1296" w:rsidR="00DF6638" w:rsidP="008D268A" w:rsidRDefault="00DF6638" w14:paraId="506C032A" w14:textId="28F9BF49">
            <w:pPr>
              <w:keepNext/>
              <w:spacing w:line="240" w:lineRule="auto"/>
              <w:ind w:firstLine="0"/>
              <w:jc w:val="right"/>
              <w:rPr>
                <w:szCs w:val="26"/>
              </w:rPr>
            </w:pPr>
            <w:r w:rsidRPr="004B1296">
              <w:rPr>
                <w:szCs w:val="26"/>
              </w:rPr>
              <w:t>$</w:t>
            </w:r>
            <w:r>
              <w:rPr>
                <w:szCs w:val="26"/>
              </w:rPr>
              <w:t>10.588</w:t>
            </w:r>
          </w:p>
          <w:p w:rsidRPr="004B1296" w:rsidR="00DF6638" w:rsidP="008D268A" w:rsidRDefault="00DF6638" w14:paraId="5AC250C7" w14:textId="77777777">
            <w:pPr>
              <w:keepNext/>
              <w:spacing w:line="240" w:lineRule="auto"/>
              <w:ind w:firstLine="0"/>
              <w:jc w:val="right"/>
              <w:rPr>
                <w:szCs w:val="26"/>
              </w:rPr>
            </w:pPr>
          </w:p>
          <w:p w:rsidRPr="004B1296" w:rsidR="00DF6638" w:rsidP="008D268A" w:rsidRDefault="00DF6638" w14:paraId="6BA1B90F" w14:textId="317B246A">
            <w:pPr>
              <w:keepNext/>
              <w:spacing w:line="240" w:lineRule="auto"/>
              <w:ind w:firstLine="0"/>
              <w:jc w:val="right"/>
              <w:rPr>
                <w:szCs w:val="26"/>
              </w:rPr>
            </w:pPr>
            <w:r w:rsidRPr="004B1296">
              <w:rPr>
                <w:szCs w:val="26"/>
              </w:rPr>
              <w:noBreakHyphen/>
              <w:t>$</w:t>
            </w:r>
            <w:r>
              <w:rPr>
                <w:szCs w:val="26"/>
              </w:rPr>
              <w:t>6.689</w:t>
            </w:r>
          </w:p>
        </w:tc>
      </w:tr>
      <w:tr w:rsidRPr="004B1296" w:rsidR="00DF6638" w:rsidTr="00996421" w14:paraId="0E27B0E4" w14:textId="77777777">
        <w:trPr>
          <w:cantSplit/>
          <w:jc w:val="center"/>
        </w:trPr>
        <w:tc>
          <w:tcPr>
            <w:tcW w:w="4405" w:type="dxa"/>
          </w:tcPr>
          <w:p w:rsidRPr="004B1296" w:rsidR="00DF6638" w:rsidP="008D268A" w:rsidRDefault="00DF6638" w14:paraId="32D10874" w14:textId="77777777">
            <w:pPr>
              <w:spacing w:line="240" w:lineRule="auto"/>
              <w:ind w:firstLine="0"/>
              <w:rPr>
                <w:b/>
                <w:bCs/>
                <w:szCs w:val="26"/>
              </w:rPr>
            </w:pPr>
            <w:r w:rsidRPr="004B1296">
              <w:rPr>
                <w:b/>
                <w:bCs/>
                <w:szCs w:val="26"/>
              </w:rPr>
              <w:t>Total Delivery Service</w:t>
            </w:r>
          </w:p>
        </w:tc>
        <w:tc>
          <w:tcPr>
            <w:tcW w:w="3060" w:type="dxa"/>
          </w:tcPr>
          <w:p w:rsidRPr="004B1296" w:rsidR="00DF6638" w:rsidP="008D268A" w:rsidRDefault="00DF6638" w14:paraId="183E2615" w14:textId="42232B29">
            <w:pPr>
              <w:keepNext/>
              <w:spacing w:line="240" w:lineRule="auto"/>
              <w:ind w:firstLine="0"/>
              <w:jc w:val="right"/>
              <w:rPr>
                <w:b/>
                <w:bCs/>
                <w:szCs w:val="26"/>
              </w:rPr>
            </w:pPr>
            <w:r w:rsidRPr="004B1296">
              <w:rPr>
                <w:b/>
                <w:bCs/>
                <w:szCs w:val="26"/>
              </w:rPr>
              <w:noBreakHyphen/>
              <w:t>$</w:t>
            </w:r>
            <w:r>
              <w:rPr>
                <w:b/>
                <w:bCs/>
                <w:szCs w:val="26"/>
              </w:rPr>
              <w:t>279.280</w:t>
            </w:r>
          </w:p>
        </w:tc>
      </w:tr>
      <w:bookmarkEnd w:id="45"/>
    </w:tbl>
    <w:p w:rsidRPr="00241278" w:rsidR="00B549D2" w:rsidP="00A11B2F" w:rsidRDefault="00B549D2" w14:paraId="7C59D475" w14:textId="6CCFB802">
      <w:pPr>
        <w:pStyle w:val="Standard"/>
        <w:ind w:firstLine="0"/>
        <w:rPr>
          <w:sz w:val="6"/>
          <w:szCs w:val="6"/>
        </w:rPr>
      </w:pPr>
    </w:p>
    <w:p w:rsidR="002C30FD" w:rsidP="00996421" w:rsidRDefault="002C30FD" w14:paraId="2D23F272" w14:textId="1C93C490">
      <w:pPr>
        <w:pStyle w:val="Heading3"/>
      </w:pPr>
      <w:bookmarkStart w:name="_Toc152331415" w:id="46"/>
      <w:r>
        <w:t>New System Generation Net Capacity CAM-Related Costs</w:t>
      </w:r>
      <w:bookmarkEnd w:id="46"/>
    </w:p>
    <w:p w:rsidR="002C30FD" w:rsidP="00241278" w:rsidRDefault="002C30FD" w14:paraId="72EAC5A0" w14:textId="00BFDF2C">
      <w:pPr>
        <w:pStyle w:val="Standard"/>
      </w:pPr>
      <w:r>
        <w:t xml:space="preserve">D.06-07-029 </w:t>
      </w:r>
      <w:r w:rsidRPr="00241278">
        <w:t>established</w:t>
      </w:r>
      <w:r>
        <w:t xml:space="preserve"> a process to allocate the benefits and costs of new generation capacity to all benefiting customers in an IOU’s service area for up to 10 years. Utilities were previously required to notify the Commission whether they intend to apply this </w:t>
      </w:r>
      <w:r w:rsidR="00837DA0">
        <w:t>CAM</w:t>
      </w:r>
      <w:r>
        <w:t xml:space="preserve"> to new generation capacity contracts when they </w:t>
      </w:r>
      <w:r>
        <w:lastRenderedPageBreak/>
        <w:t>seek approval of each contract. In D.11-05-005, however, the Commission implemented a new process that authorizes IOUs to treat these new generation contracts as CAM-eligible for the duration of the underlying power purchase agreement, so long as the Commission finds that CAM is applicable to the contract.</w:t>
      </w:r>
      <w:r>
        <w:rPr>
          <w:rStyle w:val="FootnoteReference"/>
        </w:rPr>
        <w:footnoteReference w:id="103"/>
      </w:r>
      <w:r>
        <w:t xml:space="preserve"> </w:t>
      </w:r>
    </w:p>
    <w:p w:rsidR="002C30FD" w:rsidP="00241278" w:rsidRDefault="002C30FD" w14:paraId="53B66585" w14:textId="5B5BFC4C">
      <w:pPr>
        <w:pStyle w:val="Standard"/>
      </w:pPr>
      <w:r>
        <w:t>SCE stated that the full portfolio of 2006-2007 New Generation contracts expired in 2023, so there are no forecast capacity or energy costs, nor market revenues related to contracts pursuant to D.06-07-029 forecasted for 2024.</w:t>
      </w:r>
      <w:r>
        <w:rPr>
          <w:rStyle w:val="FootnoteReference"/>
        </w:rPr>
        <w:footnoteReference w:id="104"/>
      </w:r>
      <w:r>
        <w:t xml:space="preserve">  </w:t>
      </w:r>
    </w:p>
    <w:p w:rsidR="006D1118" w:rsidP="00A36A9E" w:rsidRDefault="00555BBD" w14:paraId="055B3569" w14:textId="2E096718">
      <w:pPr>
        <w:pStyle w:val="Standard"/>
      </w:pPr>
      <w:r>
        <w:t>Pursuant to D.20-06-022, SCE is the Central Procurement Entity (CPE) responsible for procuring multi-year Local RA resources on behalf of all LSE</w:t>
      </w:r>
      <w:r w:rsidR="000E5C04">
        <w:t>s</w:t>
      </w:r>
      <w:r>
        <w:t xml:space="preserve"> in its distribution service area, beginning in 2023</w:t>
      </w:r>
      <w:r w:rsidRPr="00454D1A" w:rsidR="00B549D2">
        <w:t xml:space="preserve">. </w:t>
      </w:r>
      <w:r w:rsidR="00BE02B0">
        <w:t>In Exhibit SCE-02</w:t>
      </w:r>
      <w:r w:rsidR="006D1118">
        <w:t>C</w:t>
      </w:r>
      <w:r w:rsidR="00BE02B0">
        <w:t xml:space="preserve">, </w:t>
      </w:r>
      <w:r w:rsidR="006D1118">
        <w:t xml:space="preserve">as updated in </w:t>
      </w:r>
      <w:r w:rsidR="000E5C04">
        <w:t xml:space="preserve">Exhibit </w:t>
      </w:r>
      <w:r w:rsidR="006D1118">
        <w:t xml:space="preserve">SCE-07C, </w:t>
      </w:r>
      <w:r w:rsidRPr="00454D1A" w:rsidR="00B549D2">
        <w:t xml:space="preserve">SCE </w:t>
      </w:r>
      <w:r w:rsidR="00BE02B0">
        <w:t>described</w:t>
      </w:r>
      <w:r w:rsidRPr="00454D1A" w:rsidR="00B549D2">
        <w:t xml:space="preserve"> administrative costs and other costs associated with its role as CPE, such as system</w:t>
      </w:r>
      <w:r w:rsidR="00B549D2">
        <w:noBreakHyphen/>
      </w:r>
      <w:r w:rsidRPr="00454D1A" w:rsidR="00B549D2">
        <w:t>related costs</w:t>
      </w:r>
      <w:r w:rsidR="00BE02B0">
        <w:t>, which are recorded</w:t>
      </w:r>
      <w:r w:rsidRPr="00454D1A" w:rsidR="00B549D2">
        <w:t xml:space="preserve"> in</w:t>
      </w:r>
      <w:r w:rsidR="00BE02B0">
        <w:t xml:space="preserve"> its</w:t>
      </w:r>
      <w:r w:rsidRPr="00454D1A" w:rsidR="00B549D2">
        <w:t xml:space="preserve"> Centralized Local Procurement Sub</w:t>
      </w:r>
      <w:r w:rsidR="00B549D2">
        <w:noBreakHyphen/>
      </w:r>
      <w:r w:rsidRPr="00454D1A" w:rsidR="00B549D2">
        <w:t>Account</w:t>
      </w:r>
      <w:r>
        <w:t xml:space="preserve"> and recovered under the CAM.</w:t>
      </w:r>
      <w:r w:rsidR="002D1831">
        <w:t xml:space="preserve"> SCE noted that the forecasted costs only relate to Grid Management Charges associated with the CPE’s participation in the RA market, since the contracts were only active for a short period prior to filing this application.</w:t>
      </w:r>
      <w:r w:rsidR="002D1831">
        <w:rPr>
          <w:rStyle w:val="FootnoteReference"/>
        </w:rPr>
        <w:footnoteReference w:id="105"/>
      </w:r>
      <w:r w:rsidR="002D1831">
        <w:t xml:space="preserve"> </w:t>
      </w:r>
    </w:p>
    <w:p w:rsidR="006D1118" w:rsidP="006D1118" w:rsidRDefault="00260110" w14:paraId="07961BAD" w14:textId="165AFFB2">
      <w:pPr>
        <w:pStyle w:val="Heading3"/>
      </w:pPr>
      <w:bookmarkStart w:name="_Toc152331416" w:id="47"/>
      <w:r>
        <w:t>New System Generation Balancing Account</w:t>
      </w:r>
      <w:bookmarkEnd w:id="47"/>
      <w:r w:rsidR="006D1118">
        <w:t xml:space="preserve"> </w:t>
      </w:r>
    </w:p>
    <w:p w:rsidR="006D1118" w:rsidP="00241278" w:rsidRDefault="006D1118" w14:paraId="7C758C30" w14:textId="516D6E55">
      <w:pPr>
        <w:pStyle w:val="Standard"/>
      </w:pPr>
      <w:r>
        <w:t>The New System Generation Balancing Account</w:t>
      </w:r>
      <w:r w:rsidR="00260110">
        <w:t xml:space="preserve"> (N</w:t>
      </w:r>
      <w:r w:rsidR="00C46284">
        <w:t>SG</w:t>
      </w:r>
      <w:r w:rsidR="00260110">
        <w:t>BA)</w:t>
      </w:r>
      <w:r>
        <w:t xml:space="preserve"> was established on January 16, 2009, pursuant to OP 2 of D.07-09-004. It is intended to record the costs and benefits of power purchase agreements associated with new generation resources, including SCE’s CPE-related procurement. SCE estimated the N</w:t>
      </w:r>
      <w:r w:rsidR="00C46284">
        <w:t>S</w:t>
      </w:r>
      <w:r>
        <w:t xml:space="preserve">GBA </w:t>
      </w:r>
      <w:r>
        <w:lastRenderedPageBreak/>
        <w:t>balance as of December 31, 2023</w:t>
      </w:r>
      <w:r w:rsidR="00736020">
        <w:t>,</w:t>
      </w:r>
      <w:r>
        <w:t xml:space="preserve"> will be an </w:t>
      </w:r>
      <w:proofErr w:type="spellStart"/>
      <w:r>
        <w:t>undercollection</w:t>
      </w:r>
      <w:proofErr w:type="spellEnd"/>
      <w:r>
        <w:t xml:space="preserve"> of $256.095 million, including FF&amp;U.</w:t>
      </w:r>
    </w:p>
    <w:p w:rsidR="006D1118" w:rsidP="006D1118" w:rsidRDefault="006D1118" w14:paraId="05B32C31" w14:textId="23FAD969">
      <w:pPr>
        <w:pStyle w:val="Heading3"/>
      </w:pPr>
      <w:bookmarkStart w:name="_Toc152331417" w:id="48"/>
      <w:r>
        <w:t xml:space="preserve">System Reliability </w:t>
      </w:r>
      <w:r w:rsidR="00260110">
        <w:t>Modified Cost Allocation Mechanism</w:t>
      </w:r>
      <w:r>
        <w:t>-Related Costs</w:t>
      </w:r>
      <w:bookmarkEnd w:id="48"/>
    </w:p>
    <w:p w:rsidR="006D1118" w:rsidP="00241278" w:rsidRDefault="006D1118" w14:paraId="49D5C175" w14:textId="1F891B10">
      <w:pPr>
        <w:pStyle w:val="Standard"/>
      </w:pPr>
      <w:r>
        <w:t xml:space="preserve">As </w:t>
      </w:r>
      <w:r w:rsidRPr="00241278">
        <w:t>discussed</w:t>
      </w:r>
      <w:r>
        <w:t xml:space="preserve"> in Section 5.1.5 above, D.19-11-016 established specific requirements for IOUs to procure system-level RA capacity by August 2023.</w:t>
      </w:r>
    </w:p>
    <w:p w:rsidR="006D1118" w:rsidP="006D1118" w:rsidRDefault="006D1118" w14:paraId="2A44E851" w14:textId="105E1DB6">
      <w:pPr>
        <w:pStyle w:val="Standard"/>
      </w:pPr>
      <w:r>
        <w:t>Separately, D.22-05-015 authorized the use of non-</w:t>
      </w:r>
      <w:proofErr w:type="spellStart"/>
      <w:r>
        <w:t>bypassable</w:t>
      </w:r>
      <w:proofErr w:type="spellEnd"/>
      <w:r>
        <w:t xml:space="preserve"> customer charges to recover M</w:t>
      </w:r>
      <w:r w:rsidR="000C1124">
        <w:t xml:space="preserve">odified </w:t>
      </w:r>
      <w:r w:rsidR="00260110">
        <w:t xml:space="preserve">Cost Allocation Mechanism </w:t>
      </w:r>
      <w:r w:rsidR="007345A0">
        <w:t xml:space="preserve">(MCAM) </w:t>
      </w:r>
      <w:r>
        <w:t xml:space="preserve">costs from customers of LSEs that opt-out or do not comply with the RA adequacy requirements. </w:t>
      </w:r>
      <w:r w:rsidR="00695354">
        <w:t xml:space="preserve">Resolution E-5240 authorized SCE to complete transfers of its </w:t>
      </w:r>
      <w:r w:rsidR="00444ED0">
        <w:t>System Reliability Procurement Memorandum Account (</w:t>
      </w:r>
      <w:r w:rsidR="00695354">
        <w:t>SRPMA</w:t>
      </w:r>
      <w:r w:rsidR="00444ED0">
        <w:t>)</w:t>
      </w:r>
      <w:r w:rsidR="00695354">
        <w:t xml:space="preserve"> balance and costs associated with D.22-05-016 are now recorded in its PABA, MCAMBA, and NSGBA, as of January 2023.</w:t>
      </w:r>
    </w:p>
    <w:p w:rsidR="00695354" w:rsidP="00241278" w:rsidRDefault="00695354" w14:paraId="12498E03" w14:textId="598F6FF0">
      <w:pPr>
        <w:pStyle w:val="Standard"/>
      </w:pPr>
      <w:r>
        <w:t xml:space="preserve">SCE </w:t>
      </w:r>
      <w:r w:rsidRPr="00241278">
        <w:t>estimated</w:t>
      </w:r>
      <w:r>
        <w:t xml:space="preserve"> the 2023 year-end balance of its MCAMBA to be $990,000, including FF&amp;</w:t>
      </w:r>
      <w:r w:rsidR="00355D08">
        <w:t>U</w:t>
      </w:r>
      <w:r>
        <w:t>.</w:t>
      </w:r>
    </w:p>
    <w:p w:rsidR="007345A0" w:rsidP="00603DA1" w:rsidRDefault="007345A0" w14:paraId="784CAFEA" w14:textId="0343971A">
      <w:pPr>
        <w:pStyle w:val="Standard"/>
      </w:pPr>
      <w:r>
        <w:t>In opening comments on SCE’s October Update, DACC noted that the MCAM revenue requirement increased 36 percent when compared to SCE’s original application, but that SCE did not provide an adequate response to the significant increase in its forecast MCAM revenue requirement. Further, DACC noted that SCE did not update the 12-CP allocator</w:t>
      </w:r>
      <w:r w:rsidR="00603DA1">
        <w:t>, which is intended to allocate costs based on customers’ contributions to each of the 12 monthly coincident peaks in a given year.</w:t>
      </w:r>
      <w:r w:rsidR="00603DA1">
        <w:rPr>
          <w:rStyle w:val="FootnoteReference"/>
        </w:rPr>
        <w:footnoteReference w:id="106"/>
      </w:r>
      <w:r w:rsidR="00603DA1">
        <w:t xml:space="preserve"> </w:t>
      </w:r>
      <w:r>
        <w:t xml:space="preserve"> </w:t>
      </w:r>
      <w:r w:rsidR="00EF14D0">
        <w:t xml:space="preserve">SCE addressed DACC’s concerns in its </w:t>
      </w:r>
      <w:r w:rsidR="00CB1BF1">
        <w:t xml:space="preserve">Reply </w:t>
      </w:r>
      <w:r w:rsidR="002E3BE3">
        <w:t>Brief</w:t>
      </w:r>
      <w:r w:rsidR="00CB1BF1">
        <w:t xml:space="preserve"> stating that delaying implementation </w:t>
      </w:r>
      <w:r w:rsidR="006E26BC">
        <w:t xml:space="preserve">of the MCAM charges would shift the cost </w:t>
      </w:r>
      <w:r w:rsidR="006E26BC">
        <w:lastRenderedPageBreak/>
        <w:t xml:space="preserve">of reliability resources SCE procured on behalf of other LSEs that opted out of reliability procurement to SCE’s bundled </w:t>
      </w:r>
      <w:r w:rsidR="0099368A">
        <w:t>service. However, SCE did agree to provide illustrative MCAM rates as part of its future ERRA proceeding applications going forward.</w:t>
      </w:r>
      <w:r w:rsidR="0099368A">
        <w:rPr>
          <w:rStyle w:val="FootnoteReference"/>
        </w:rPr>
        <w:footnoteReference w:id="107"/>
      </w:r>
      <w:r>
        <w:t xml:space="preserve"> </w:t>
      </w:r>
    </w:p>
    <w:p w:rsidR="00695354" w:rsidP="00695354" w:rsidRDefault="00695354" w14:paraId="114D696E" w14:textId="77777777">
      <w:pPr>
        <w:pStyle w:val="Heading3"/>
      </w:pPr>
      <w:bookmarkStart w:name="_Toc152331418" w:id="49"/>
      <w:r>
        <w:t>Tree Mortality Contract Costs</w:t>
      </w:r>
      <w:bookmarkEnd w:id="49"/>
    </w:p>
    <w:p w:rsidRPr="006D1118" w:rsidR="00695354" w:rsidP="00241278" w:rsidRDefault="00695354" w14:paraId="61EFB175" w14:textId="1907A366">
      <w:pPr>
        <w:pStyle w:val="Standard"/>
      </w:pPr>
      <w:r w:rsidRPr="00241278">
        <w:t>SCE’s</w:t>
      </w:r>
      <w:r>
        <w:t xml:space="preserve"> </w:t>
      </w:r>
      <w:proofErr w:type="gramStart"/>
      <w:r>
        <w:t>tree</w:t>
      </w:r>
      <w:proofErr w:type="gramEnd"/>
      <w:r>
        <w:t xml:space="preserve"> mortality non-</w:t>
      </w:r>
      <w:proofErr w:type="spellStart"/>
      <w:r>
        <w:t>bypassable</w:t>
      </w:r>
      <w:proofErr w:type="spellEnd"/>
      <w:r>
        <w:t xml:space="preserve"> charge was applied to all procurement that has occurred pursuant to Resolution E-4770 and E-4805. </w:t>
      </w:r>
      <w:r w:rsidR="00355D08">
        <w:t>As discussed in Section 5.2 above, SCE f</w:t>
      </w:r>
      <w:r>
        <w:t>orecasted the fuel and purchased power costs that will be recorded in its TMNBCBA in 2024 to be -$4.581 million including FF&amp;U.</w:t>
      </w:r>
      <w:r>
        <w:rPr>
          <w:rStyle w:val="FootnoteReference"/>
        </w:rPr>
        <w:footnoteReference w:id="108"/>
      </w:r>
      <w:r w:rsidR="00003A1E">
        <w:t xml:space="preserve"> SCE’s forecasted </w:t>
      </w:r>
      <w:proofErr w:type="spellStart"/>
      <w:r w:rsidR="00003A1E">
        <w:t>BioRAM</w:t>
      </w:r>
      <w:proofErr w:type="spellEnd"/>
      <w:r w:rsidR="00003A1E">
        <w:t xml:space="preserve"> audit costs, which are also recorded in the TMNBCBA, are forecasted to total $18,000 in 2024.</w:t>
      </w:r>
      <w:r w:rsidR="00003A1E">
        <w:rPr>
          <w:rStyle w:val="FootnoteReference"/>
        </w:rPr>
        <w:footnoteReference w:id="109"/>
      </w:r>
      <w:r w:rsidR="00A03C6F">
        <w:t xml:space="preserve"> In total, SCE estimates its TMNBCBA balance to reflect an </w:t>
      </w:r>
      <w:proofErr w:type="spellStart"/>
      <w:r w:rsidR="00A03C6F">
        <w:t>undercollection</w:t>
      </w:r>
      <w:proofErr w:type="spellEnd"/>
      <w:r w:rsidR="00A03C6F">
        <w:t xml:space="preserve"> of $10.588 million in 2023, including FF&amp;U.</w:t>
      </w:r>
      <w:r w:rsidR="001B6D6B">
        <w:rPr>
          <w:rStyle w:val="FootnoteReference"/>
        </w:rPr>
        <w:footnoteReference w:id="110"/>
      </w:r>
      <w:r w:rsidR="001B6D6B">
        <w:t xml:space="preserve"> SCE also estimated that the balance of its </w:t>
      </w:r>
      <w:proofErr w:type="spellStart"/>
      <w:r w:rsidR="001B6D6B">
        <w:t>BioMAT</w:t>
      </w:r>
      <w:proofErr w:type="spellEnd"/>
      <w:r w:rsidR="001B6D6B">
        <w:t xml:space="preserve"> Non-</w:t>
      </w:r>
      <w:proofErr w:type="spellStart"/>
      <w:r w:rsidR="001B6D6B">
        <w:t>Bypassable</w:t>
      </w:r>
      <w:proofErr w:type="spellEnd"/>
      <w:r w:rsidR="001B6D6B">
        <w:t xml:space="preserve"> Charge Balancing Account (BMNBCBA), which records the costs, energy, ancillary services revenue, RPS value, and RA value of </w:t>
      </w:r>
      <w:proofErr w:type="spellStart"/>
      <w:r w:rsidR="001B6D6B">
        <w:t>BioMat</w:t>
      </w:r>
      <w:proofErr w:type="spellEnd"/>
      <w:r w:rsidR="001B6D6B">
        <w:t xml:space="preserve"> contracts, to </w:t>
      </w:r>
      <w:r w:rsidR="00837DA0">
        <w:t>reflect an overcollection of $6.689 million</w:t>
      </w:r>
      <w:r w:rsidR="001B6D6B">
        <w:t xml:space="preserve"> as of December 31, 2023, including FF&amp;U.</w:t>
      </w:r>
      <w:r w:rsidR="001B6D6B">
        <w:rPr>
          <w:rStyle w:val="FootnoteReference"/>
        </w:rPr>
        <w:footnoteReference w:id="111"/>
      </w:r>
    </w:p>
    <w:p w:rsidRPr="00996421" w:rsidR="00837DA0" w:rsidP="00837DA0" w:rsidRDefault="00837DA0" w14:paraId="2D8626F2" w14:textId="7876FA2D">
      <w:pPr>
        <w:pStyle w:val="Heading3"/>
      </w:pPr>
      <w:bookmarkStart w:name="_Toc152331419" w:id="50"/>
      <w:r w:rsidRPr="00996421">
        <w:t>Central Procurement Entity Related Costs</w:t>
      </w:r>
      <w:bookmarkEnd w:id="50"/>
    </w:p>
    <w:p w:rsidRPr="00996421" w:rsidR="00837DA0" w:rsidP="00241278" w:rsidRDefault="00837DA0" w14:paraId="5C025F19" w14:textId="0A68C0B5">
      <w:pPr>
        <w:pStyle w:val="Standard"/>
      </w:pPr>
      <w:r w:rsidRPr="00996421">
        <w:t>D.20-06-002 identifies SCE as the Central Procurement Entity (CPE) for its distribution service area</w:t>
      </w:r>
      <w:r>
        <w:t xml:space="preserve"> and directs SCE to procure multi-year local RA contracts on behalf of all LSEs in its distribution service area beginning in 2023. As already </w:t>
      </w:r>
      <w:r>
        <w:lastRenderedPageBreak/>
        <w:t>noted, the CAM is the cost recovery mechanism for CPE procurement of local RA. SCE has a Centralized Local Procurement Balancing sub-account within its NSGBA BA to facilitate the cost recovery process.</w:t>
      </w:r>
      <w:r w:rsidR="00B85AE8">
        <w:rPr>
          <w:rStyle w:val="FootnoteReference"/>
        </w:rPr>
        <w:footnoteReference w:id="112"/>
      </w:r>
      <w:r>
        <w:t xml:space="preserve"> </w:t>
      </w:r>
      <w:r w:rsidR="002C1126">
        <w:t>SCE has several CPE-related procurement agreements entered into through separate CPE Local RA request for offers, spanning 2023 through 2026, each of which include CAISO costs under its scheduling coordinator identification number, SCE8.</w:t>
      </w:r>
      <w:r w:rsidR="002C1126">
        <w:rPr>
          <w:rStyle w:val="FootnoteReference"/>
        </w:rPr>
        <w:footnoteReference w:id="113"/>
      </w:r>
      <w:r w:rsidR="002C1126">
        <w:t xml:space="preserve"> The details of SCE’s CPE-related contracts are confidential, pursuant to D.06-06-006.</w:t>
      </w:r>
    </w:p>
    <w:p w:rsidR="00B549D2" w:rsidP="00A36A9E" w:rsidRDefault="00B85AE8" w14:paraId="3858E2A1" w14:textId="3EE53B46">
      <w:pPr>
        <w:pStyle w:val="Standard"/>
      </w:pPr>
      <w:r>
        <w:t xml:space="preserve">Pursuant to D.22-03-034, </w:t>
      </w:r>
      <w:r w:rsidRPr="00837DA0" w:rsidR="002D1831">
        <w:t>SCE also</w:t>
      </w:r>
      <w:r w:rsidR="002D1831">
        <w:t xml:space="preserve"> forecasted $250,000 for 2024 administrative costs for utilizing independent evaluators to review its solicitation documentation for future CPE-related contracts, which was based on its most recent CPE solicitation evaluator costs.</w:t>
      </w:r>
      <w:r w:rsidR="002D1831">
        <w:rPr>
          <w:rStyle w:val="FootnoteReference"/>
        </w:rPr>
        <w:footnoteReference w:id="114"/>
      </w:r>
    </w:p>
    <w:p w:rsidRPr="00A11B2F" w:rsidR="00837DA0" w:rsidP="000E2A76" w:rsidRDefault="00837DA0" w14:paraId="7D10E2F1" w14:textId="49F6A91E">
      <w:pPr>
        <w:pStyle w:val="Heading3"/>
      </w:pPr>
      <w:bookmarkStart w:name="_Toc152331420" w:id="51"/>
      <w:r w:rsidRPr="00A11B2F">
        <w:t>Discussion</w:t>
      </w:r>
      <w:bookmarkEnd w:id="51"/>
    </w:p>
    <w:p w:rsidR="0086056A" w:rsidP="00241278" w:rsidRDefault="00555BBD" w14:paraId="0E55A2B5" w14:textId="79A31920">
      <w:pPr>
        <w:pStyle w:val="Standard"/>
      </w:pPr>
      <w:r w:rsidRPr="00A11B2F">
        <w:t xml:space="preserve">No parties </w:t>
      </w:r>
      <w:r w:rsidRPr="00241278">
        <w:t>opposed</w:t>
      </w:r>
      <w:r w:rsidRPr="00A11B2F">
        <w:t xml:space="preserve"> SCE’s proposed revenue requirement for New System Generation and System Reliability contracts</w:t>
      </w:r>
      <w:r w:rsidR="008F625A">
        <w:t>, including those discussed in its CPE forecasted costs</w:t>
      </w:r>
      <w:r w:rsidRPr="00454D1A">
        <w:t xml:space="preserve">. </w:t>
      </w:r>
      <w:r w:rsidR="0086056A">
        <w:t>We agree with DACC that</w:t>
      </w:r>
      <w:r w:rsidR="001B6DD6">
        <w:t xml:space="preserve"> SCE </w:t>
      </w:r>
      <w:r w:rsidR="0086056A">
        <w:t>should</w:t>
      </w:r>
      <w:r w:rsidR="001B6DD6">
        <w:t xml:space="preserve"> provide more transparent information about the updated usage amounts in the 12-CP allocator </w:t>
      </w:r>
      <w:r w:rsidR="0086056A">
        <w:t xml:space="preserve">presented in Advice Letter 4831-E/E-A proposed in its 2024 ERRA forecast in the Advice Letter implementing this proceeding. </w:t>
      </w:r>
    </w:p>
    <w:p w:rsidRPr="00454D1A" w:rsidR="00555BBD" w:rsidP="00555BBD" w:rsidRDefault="00555BBD" w14:paraId="7D743512" w14:textId="47BAF25D">
      <w:pPr>
        <w:pStyle w:val="Standard"/>
      </w:pPr>
      <w:r w:rsidRPr="00454D1A">
        <w:t xml:space="preserve">Upon consideration, we find SCE’s total requested revenue requirement for </w:t>
      </w:r>
      <w:r w:rsidRPr="00780B31">
        <w:t>New System Generation</w:t>
      </w:r>
      <w:r w:rsidRPr="00454D1A">
        <w:t xml:space="preserve"> and System Reliability contracts, along with SCE’s request to true</w:t>
      </w:r>
      <w:r>
        <w:noBreakHyphen/>
      </w:r>
      <w:r w:rsidRPr="00454D1A">
        <w:t xml:space="preserve">up the </w:t>
      </w:r>
      <w:r w:rsidR="008F625A">
        <w:t>NSG</w:t>
      </w:r>
      <w:r w:rsidRPr="00454D1A">
        <w:t xml:space="preserve">BA, reasonable and in compliance with applicable rules, orders and </w:t>
      </w:r>
      <w:r w:rsidR="008F625A">
        <w:t xml:space="preserve">the </w:t>
      </w:r>
      <w:r w:rsidRPr="00454D1A">
        <w:t xml:space="preserve">Commission </w:t>
      </w:r>
      <w:r w:rsidR="00A14797">
        <w:t>Decision</w:t>
      </w:r>
      <w:r w:rsidRPr="00454D1A">
        <w:t>s</w:t>
      </w:r>
      <w:r w:rsidR="008F625A">
        <w:t xml:space="preserve"> discussed above, and its requested revenue requirement is therefore authorized.</w:t>
      </w:r>
      <w:r w:rsidR="0086056A">
        <w:t xml:space="preserve"> SCE is directed to provide updated </w:t>
      </w:r>
      <w:r w:rsidR="0086056A">
        <w:lastRenderedPageBreak/>
        <w:t xml:space="preserve">usage amounts associated with its MCAM charges when implementing this </w:t>
      </w:r>
      <w:r w:rsidR="00A14797">
        <w:t>Decision</w:t>
      </w:r>
      <w:r w:rsidR="0086056A">
        <w:t>.</w:t>
      </w:r>
    </w:p>
    <w:p w:rsidR="00C0311B" w:rsidP="004B1296" w:rsidRDefault="00C0311B" w14:paraId="6E367B1E" w14:textId="77777777">
      <w:pPr>
        <w:pStyle w:val="Heading2"/>
      </w:pPr>
      <w:bookmarkStart w:name="_Toc152331421" w:id="52"/>
      <w:r>
        <w:t>Cost Responsibility Surcharges</w:t>
      </w:r>
      <w:bookmarkEnd w:id="52"/>
    </w:p>
    <w:p w:rsidR="00C0311B" w:rsidP="004B1296" w:rsidRDefault="00C0311B" w14:paraId="3B1E17FF" w14:textId="22B415B9">
      <w:pPr>
        <w:pStyle w:val="Standard"/>
      </w:pPr>
      <w:r w:rsidRPr="00454D1A">
        <w:t xml:space="preserve">The Cost </w:t>
      </w:r>
      <w:r w:rsidRPr="004B1296">
        <w:t>Responsibility</w:t>
      </w:r>
      <w:r w:rsidRPr="00454D1A">
        <w:t xml:space="preserve"> Surcharge </w:t>
      </w:r>
      <w:r w:rsidR="00B03609">
        <w:t xml:space="preserve">(CRS) </w:t>
      </w:r>
      <w:r w:rsidRPr="00454D1A">
        <w:t xml:space="preserve">Indifference Amount is the difference between the total portfolio cost and the forecast value of the portfolio; it includes the </w:t>
      </w:r>
      <w:r w:rsidRPr="00454D1A" w:rsidR="000E35C1">
        <w:t>C</w:t>
      </w:r>
      <w:r w:rsidR="000E35C1">
        <w:t>ustomer Transition Cost (CTC)</w:t>
      </w:r>
      <w:r w:rsidRPr="00454D1A" w:rsidR="000E35C1">
        <w:t xml:space="preserve"> </w:t>
      </w:r>
      <w:r w:rsidRPr="00454D1A">
        <w:t xml:space="preserve">and the </w:t>
      </w:r>
      <w:r w:rsidRPr="00454D1A" w:rsidR="000E35C1">
        <w:t>P</w:t>
      </w:r>
      <w:r w:rsidR="000E35C1">
        <w:t>ower Charge Indifference Adjustment (PCIA)</w:t>
      </w:r>
      <w:r w:rsidRPr="00454D1A" w:rsidR="000E35C1">
        <w:t xml:space="preserve"> </w:t>
      </w:r>
      <w:r w:rsidRPr="00454D1A">
        <w:t>charges.</w:t>
      </w:r>
      <w:r w:rsidRPr="00A36A9E">
        <w:rPr>
          <w:rStyle w:val="FootnoteReference"/>
        </w:rPr>
        <w:t xml:space="preserve"> </w:t>
      </w:r>
      <w:r w:rsidRPr="00454D1A">
        <w:rPr>
          <w:rStyle w:val="FootnoteReference"/>
        </w:rPr>
        <w:footnoteReference w:id="115"/>
      </w:r>
      <w:r>
        <w:t xml:space="preserve"> </w:t>
      </w:r>
      <w:r w:rsidR="00DA6647">
        <w:t>SCE’s CRS accounting also covered its</w:t>
      </w:r>
      <w:r>
        <w:t xml:space="preserve"> Wildfire Fund Non-</w:t>
      </w:r>
      <w:proofErr w:type="spellStart"/>
      <w:r>
        <w:t>Bypassable</w:t>
      </w:r>
      <w:proofErr w:type="spellEnd"/>
      <w:r>
        <w:t xml:space="preserve"> Charge </w:t>
      </w:r>
      <w:r w:rsidR="00B03609">
        <w:t xml:space="preserve">(NBC), which replaced the Department of Water Resources Bond Charge in 2020, </w:t>
      </w:r>
      <w:r>
        <w:t>in this portion of its 2024 ERRA forecast.</w:t>
      </w:r>
      <w:r w:rsidR="00DA6647">
        <w:rPr>
          <w:rStyle w:val="FootnoteReference"/>
        </w:rPr>
        <w:footnoteReference w:id="116"/>
      </w:r>
      <w:r>
        <w:t xml:space="preserve"> </w:t>
      </w:r>
      <w:r w:rsidR="00D97CF7">
        <w:t xml:space="preserve">SCE noted that Track 4 of its 2021 GRC proceeding </w:t>
      </w:r>
      <w:r w:rsidR="004B1296">
        <w:br/>
      </w:r>
      <w:r w:rsidR="00D97CF7">
        <w:t xml:space="preserve">(A.19-08-013) could impact the PABA balance and any incremental recovery would be recovered through the CRS effective January 1, 2024, but the approved amount will not be known until a final </w:t>
      </w:r>
      <w:r w:rsidR="00A14797">
        <w:t>Decision</w:t>
      </w:r>
      <w:r w:rsidR="00D97CF7">
        <w:t xml:space="preserve"> is adopted.</w:t>
      </w:r>
      <w:r w:rsidR="00D97CF7">
        <w:rPr>
          <w:rStyle w:val="FootnoteReference"/>
        </w:rPr>
        <w:footnoteReference w:id="117"/>
      </w:r>
      <w:r w:rsidR="00982ECB">
        <w:t xml:space="preserve"> As of the date of this </w:t>
      </w:r>
      <w:r w:rsidR="00A14797">
        <w:t>Decision</w:t>
      </w:r>
      <w:r w:rsidR="00982ECB">
        <w:t>, SCE’s Track 4 2021 GRC proceeding has not been decided.</w:t>
      </w:r>
    </w:p>
    <w:p w:rsidR="00C0311B" w:rsidP="004B1296" w:rsidRDefault="00982ECB" w14:paraId="0C8B7346" w14:textId="2DB63EF3">
      <w:pPr>
        <w:pStyle w:val="Standard"/>
      </w:pPr>
      <w:r>
        <w:t xml:space="preserve">PCIA charges are discussed in Section 6.4.1, the </w:t>
      </w:r>
      <w:r w:rsidR="00C0311B">
        <w:t>CTC surcharge is discussed in Section 6.</w:t>
      </w:r>
      <w:r>
        <w:t>4</w:t>
      </w:r>
      <w:r w:rsidR="00C0311B">
        <w:t>.</w:t>
      </w:r>
      <w:r>
        <w:t>2</w:t>
      </w:r>
      <w:r w:rsidR="00C0311B">
        <w:t>,</w:t>
      </w:r>
      <w:r>
        <w:t xml:space="preserve"> and</w:t>
      </w:r>
      <w:r w:rsidR="00C0311B">
        <w:t xml:space="preserve"> the wildfire-related charges are addressed in Section 6.</w:t>
      </w:r>
      <w:r>
        <w:t>4</w:t>
      </w:r>
      <w:r w:rsidR="00C0311B">
        <w:t>.</w:t>
      </w:r>
      <w:r>
        <w:t>3</w:t>
      </w:r>
      <w:r w:rsidR="00C0311B">
        <w:t xml:space="preserve">, </w:t>
      </w:r>
      <w:r>
        <w:t>below</w:t>
      </w:r>
      <w:r w:rsidR="00C0311B">
        <w:t>.</w:t>
      </w:r>
    </w:p>
    <w:p w:rsidR="00BD67F7" w:rsidP="00BD67F7" w:rsidRDefault="00BD67F7" w14:paraId="04B1A4B9" w14:textId="77777777">
      <w:pPr>
        <w:pStyle w:val="Heading3"/>
      </w:pPr>
      <w:bookmarkStart w:name="_Toc152331422" w:id="53"/>
      <w:r w:rsidRPr="006A6990">
        <w:t>PCIA</w:t>
      </w:r>
      <w:bookmarkEnd w:id="53"/>
    </w:p>
    <w:p w:rsidRPr="00454D1A" w:rsidR="00BD67F7" w:rsidP="00BD67F7" w:rsidRDefault="00BD67F7" w14:paraId="2E09118B" w14:textId="69740698">
      <w:pPr>
        <w:pStyle w:val="Standard"/>
      </w:pPr>
      <w:bookmarkStart w:name="_Hlk149819481" w:id="54"/>
      <w:r w:rsidRPr="00454D1A">
        <w:t xml:space="preserve">The PCIA recovers </w:t>
      </w:r>
      <w:r w:rsidRPr="006A6990">
        <w:t>the</w:t>
      </w:r>
      <w:r w:rsidRPr="00454D1A">
        <w:t xml:space="preserve"> above</w:t>
      </w:r>
      <w:r>
        <w:noBreakHyphen/>
      </w:r>
      <w:r w:rsidRPr="00454D1A">
        <w:t>market costs of all non</w:t>
      </w:r>
      <w:r>
        <w:noBreakHyphen/>
      </w:r>
      <w:r w:rsidRPr="00454D1A">
        <w:t xml:space="preserve">CTC eligible resources and varies by the generation resources in that vintage. PCIA costs are determined by the date of a customer’s departure from bundled customer service. Customers who depart in the first half of each year are assigned to the </w:t>
      </w:r>
      <w:r w:rsidRPr="00454D1A">
        <w:lastRenderedPageBreak/>
        <w:t xml:space="preserve">prior year’s </w:t>
      </w:r>
      <w:r>
        <w:t>“</w:t>
      </w:r>
      <w:r w:rsidRPr="00454D1A">
        <w:t>vintage</w:t>
      </w:r>
      <w:r>
        <w:t>”</w:t>
      </w:r>
      <w:r w:rsidRPr="00454D1A">
        <w:t xml:space="preserve"> and customers who depart in the second half of each year are assigned to the current year’s </w:t>
      </w:r>
      <w:r>
        <w:t>“</w:t>
      </w:r>
      <w:r w:rsidRPr="00454D1A">
        <w:t>vintage.</w:t>
      </w:r>
      <w:r>
        <w:t>”</w:t>
      </w:r>
      <w:r>
        <w:rPr>
          <w:rStyle w:val="FootnoteReference"/>
        </w:rPr>
        <w:footnoteReference w:id="118"/>
      </w:r>
      <w:r>
        <w:t xml:space="preserve"> SCE calculated its indifference amount for its 2024 PCIA by first estimating the above- and below-market costs of its portfolio, and then accounting for true-ups and adjustments in its portfolio balancing accounts. SCE forecasted that its generation portfolio is below market for 2024, resulting in an indifference amount of</w:t>
      </w:r>
      <w:r w:rsidRPr="00454D1A">
        <w:t xml:space="preserve"> </w:t>
      </w:r>
      <w:r w:rsidR="007D4B25">
        <w:t xml:space="preserve">-$774.237 </w:t>
      </w:r>
      <w:r w:rsidRPr="00454D1A">
        <w:t xml:space="preserve">million </w:t>
      </w:r>
      <w:r w:rsidR="007D4B25">
        <w:t>which</w:t>
      </w:r>
      <w:r>
        <w:t xml:space="preserve"> would</w:t>
      </w:r>
      <w:r w:rsidRPr="00454D1A">
        <w:t xml:space="preserve"> </w:t>
      </w:r>
      <w:r w:rsidR="007D4B25">
        <w:t xml:space="preserve">result in </w:t>
      </w:r>
      <w:r w:rsidRPr="00454D1A">
        <w:t xml:space="preserve">a PCIA credit on </w:t>
      </w:r>
      <w:r w:rsidR="001C6556">
        <w:t xml:space="preserve">most </w:t>
      </w:r>
      <w:r w:rsidRPr="00454D1A">
        <w:t>departed load customers’ bills and lower electricity rates for SCE</w:t>
      </w:r>
      <w:r w:rsidR="00CB3599">
        <w:t>’</w:t>
      </w:r>
      <w:r w:rsidRPr="00454D1A">
        <w:t>s bundled service customers.</w:t>
      </w:r>
      <w:r>
        <w:rPr>
          <w:rStyle w:val="FootnoteReference"/>
        </w:rPr>
        <w:footnoteReference w:id="119"/>
      </w:r>
    </w:p>
    <w:p w:rsidRPr="00454D1A" w:rsidR="00BD67F7" w:rsidP="00BD67F7" w:rsidRDefault="00BD67F7" w14:paraId="2CF2D9A5" w14:textId="1577D42D">
      <w:pPr>
        <w:pStyle w:val="Standard"/>
      </w:pPr>
      <w:r>
        <w:t>SCE’s</w:t>
      </w:r>
      <w:r w:rsidRPr="00454D1A">
        <w:t xml:space="preserve"> total </w:t>
      </w:r>
      <w:r w:rsidRPr="006A6990">
        <w:t>2024</w:t>
      </w:r>
      <w:r>
        <w:t xml:space="preserve"> </w:t>
      </w:r>
      <w:r w:rsidRPr="00454D1A">
        <w:t xml:space="preserve">PCIA revenue requirement </w:t>
      </w:r>
      <w:r>
        <w:t>forecast accounted</w:t>
      </w:r>
      <w:r w:rsidRPr="00454D1A">
        <w:t xml:space="preserve"> for applicable balancing account true</w:t>
      </w:r>
      <w:r>
        <w:noBreakHyphen/>
      </w:r>
      <w:r w:rsidRPr="00454D1A">
        <w:t>ups and other adjustments, including</w:t>
      </w:r>
      <w:r>
        <w:t xml:space="preserve">: </w:t>
      </w:r>
      <w:r w:rsidRPr="00454D1A">
        <w:t>(1) annual true</w:t>
      </w:r>
      <w:r>
        <w:noBreakHyphen/>
      </w:r>
      <w:r w:rsidRPr="00454D1A">
        <w:t>ups in the ERRA</w:t>
      </w:r>
      <w:r>
        <w:t> </w:t>
      </w:r>
      <w:r w:rsidRPr="00454D1A">
        <w:t>BA and PABA; (2) the amortization of the final third of the 202</w:t>
      </w:r>
      <w:r>
        <w:t>2</w:t>
      </w:r>
      <w:r w:rsidRPr="00454D1A">
        <w:t xml:space="preserve"> PUBA </w:t>
      </w:r>
      <w:proofErr w:type="spellStart"/>
      <w:r w:rsidRPr="00454D1A">
        <w:t>undercollection</w:t>
      </w:r>
      <w:proofErr w:type="spellEnd"/>
      <w:r w:rsidRPr="00454D1A">
        <w:t xml:space="preserve"> in 202</w:t>
      </w:r>
      <w:r>
        <w:t>4</w:t>
      </w:r>
      <w:r w:rsidRPr="00454D1A">
        <w:t xml:space="preserve">; and (3) updates to SCE’s revenue requirement in </w:t>
      </w:r>
      <w:r>
        <w:t xml:space="preserve">Track 4 of </w:t>
      </w:r>
      <w:r w:rsidRPr="00454D1A">
        <w:t>SCE’s 2021 GRC proceeding, A.19</w:t>
      </w:r>
      <w:r>
        <w:noBreakHyphen/>
      </w:r>
      <w:r w:rsidRPr="00454D1A">
        <w:t>08</w:t>
      </w:r>
      <w:r>
        <w:noBreakHyphen/>
      </w:r>
      <w:r w:rsidRPr="00454D1A">
        <w:t>013.</w:t>
      </w:r>
    </w:p>
    <w:p w:rsidR="00BD67F7" w:rsidP="00BD67F7" w:rsidRDefault="00BD67F7" w14:paraId="7B9468D1" w14:textId="77777777">
      <w:pPr>
        <w:pStyle w:val="Standard"/>
      </w:pPr>
      <w:r>
        <w:t xml:space="preserve">In </w:t>
      </w:r>
      <w:proofErr w:type="gramStart"/>
      <w:r>
        <w:t>forecast</w:t>
      </w:r>
      <w:proofErr w:type="gramEnd"/>
      <w:r>
        <w:t xml:space="preserve"> year 2020, there was a cap on the year-over-year change in PCIA rates, pursuant to D.18-10-019. In </w:t>
      </w:r>
      <w:r w:rsidRPr="00454D1A">
        <w:t>D.21</w:t>
      </w:r>
      <w:r>
        <w:noBreakHyphen/>
      </w:r>
      <w:r w:rsidRPr="00454D1A">
        <w:t>05</w:t>
      </w:r>
      <w:r>
        <w:noBreakHyphen/>
      </w:r>
      <w:r w:rsidRPr="00454D1A">
        <w:t xml:space="preserve">030, </w:t>
      </w:r>
      <w:r>
        <w:t xml:space="preserve">however, </w:t>
      </w:r>
      <w:r w:rsidRPr="00454D1A">
        <w:t>the Commission removed the PCIA rate cap and trigger mechanism and</w:t>
      </w:r>
      <w:r w:rsidRPr="002446A4">
        <w:t xml:space="preserve"> </w:t>
      </w:r>
      <w:r w:rsidRPr="00454D1A">
        <w:t>ordered SCE to address its projected 2021 year</w:t>
      </w:r>
      <w:r>
        <w:noBreakHyphen/>
      </w:r>
      <w:r w:rsidRPr="00454D1A">
        <w:t>end PCIA cap under</w:t>
      </w:r>
      <w:r>
        <w:noBreakHyphen/>
      </w:r>
      <w:r w:rsidRPr="00454D1A">
        <w:t>collection account balance in its 2022 ERRA forecast application (A.21</w:t>
      </w:r>
      <w:r>
        <w:noBreakHyphen/>
      </w:r>
      <w:r w:rsidRPr="00454D1A">
        <w:t>06</w:t>
      </w:r>
      <w:r>
        <w:noBreakHyphen/>
      </w:r>
      <w:r w:rsidRPr="00454D1A">
        <w:t>003).</w:t>
      </w:r>
    </w:p>
    <w:p w:rsidR="00BD67F7" w:rsidP="00BD67F7" w:rsidRDefault="00BD67F7" w14:paraId="07860244" w14:textId="4F2E9CB0">
      <w:pPr>
        <w:pStyle w:val="Standard"/>
      </w:pPr>
      <w:r>
        <w:t xml:space="preserve">For 2024, SCE calculated at total PCIA revenue requirement of </w:t>
      </w:r>
      <w:r w:rsidRPr="007D4B25" w:rsidR="007D4B25">
        <w:t>-</w:t>
      </w:r>
      <w:r w:rsidRPr="003C1797">
        <w:t>$</w:t>
      </w:r>
      <w:r w:rsidR="009E77B4">
        <w:t>218</w:t>
      </w:r>
      <w:r w:rsidR="007D4B25">
        <w:t>.2</w:t>
      </w:r>
      <w:r w:rsidR="009E77B4">
        <w:t>1</w:t>
      </w:r>
      <w:r w:rsidR="007D4B25">
        <w:t>9</w:t>
      </w:r>
      <w:r w:rsidR="0080639E">
        <w:t xml:space="preserve"> million</w:t>
      </w:r>
      <w:r>
        <w:t xml:space="preserve">. The 2024 PCIA </w:t>
      </w:r>
      <w:r w:rsidR="009E77B4">
        <w:t>revenue requirement is</w:t>
      </w:r>
      <w:r>
        <w:t xml:space="preserve"> illustrated in </w:t>
      </w:r>
      <w:r w:rsidRPr="00AD40AC">
        <w:t>Table 6.</w:t>
      </w:r>
      <w:r w:rsidRPr="00AD40AC" w:rsidR="007D4B25">
        <w:t>4</w:t>
      </w:r>
      <w:r w:rsidR="006658D9">
        <w:t xml:space="preserve"> and a list </w:t>
      </w:r>
      <w:r w:rsidR="006658D9">
        <w:lastRenderedPageBreak/>
        <w:t>of SCE’s forecasted</w:t>
      </w:r>
      <w:r w:rsidR="009E77B4">
        <w:t xml:space="preserve"> system average</w:t>
      </w:r>
      <w:r w:rsidR="006658D9">
        <w:t xml:space="preserve"> PCIA rates by vintage</w:t>
      </w:r>
      <w:r w:rsidR="009E77B4">
        <w:t xml:space="preserve"> year</w:t>
      </w:r>
      <w:r w:rsidR="006658D9">
        <w:t xml:space="preserve"> is provided in Table 6-5.</w:t>
      </w:r>
      <w:r w:rsidR="00733DC1">
        <w:rPr>
          <w:rStyle w:val="FootnoteReference"/>
        </w:rPr>
        <w:footnoteReference w:id="120"/>
      </w:r>
    </w:p>
    <w:p w:rsidRPr="003C1797" w:rsidR="006658D9" w:rsidP="006658D9" w:rsidRDefault="006658D9" w14:paraId="6C8EF7A6" w14:textId="32FF739C">
      <w:pPr>
        <w:pStyle w:val="TableTitleBodyH095"/>
        <w:ind w:hanging="1008"/>
        <w:rPr>
          <w:b/>
        </w:rPr>
      </w:pPr>
      <w:r w:rsidRPr="003C1797">
        <w:rPr>
          <w:b/>
        </w:rPr>
        <w:t>Table 6</w:t>
      </w:r>
      <w:r w:rsidRPr="003C1797">
        <w:rPr>
          <w:b/>
        </w:rPr>
        <w:noBreakHyphen/>
        <w:t>4.</w:t>
      </w:r>
      <w:r w:rsidRPr="003C1797">
        <w:rPr>
          <w:bCs w:val="0"/>
        </w:rPr>
        <w:t xml:space="preserve"> </w:t>
      </w:r>
      <w:r w:rsidRPr="003C1797">
        <w:t>Summary of SCE’s 2024 ERRA Forecast Portfolio Costs, Portfolio Market Value, Balancing Account True</w:t>
      </w:r>
      <w:r w:rsidRPr="003C1797">
        <w:noBreakHyphen/>
        <w:t>Ups, and Total PCIA Revenue Requirement</w:t>
      </w:r>
      <w:r w:rsidR="00733DC1">
        <w:rPr>
          <w:rStyle w:val="FootnoteReference"/>
        </w:rPr>
        <w:footnoteReference w:id="121"/>
      </w:r>
    </w:p>
    <w:tbl>
      <w:tblPr>
        <w:tblStyle w:val="TableGrid"/>
        <w:tblW w:w="9360" w:type="dxa"/>
        <w:jc w:val="center"/>
        <w:tblLayout w:type="fixed"/>
        <w:tblCellMar>
          <w:top w:w="58" w:type="dxa"/>
          <w:bottom w:w="58" w:type="dxa"/>
        </w:tblCellMar>
        <w:tblLook w:val="04A0" w:firstRow="1" w:lastRow="0" w:firstColumn="1" w:lastColumn="0" w:noHBand="0" w:noVBand="1"/>
      </w:tblPr>
      <w:tblGrid>
        <w:gridCol w:w="6835"/>
        <w:gridCol w:w="2525"/>
      </w:tblGrid>
      <w:tr w:rsidR="006658D9" w:rsidTr="0003431D" w14:paraId="7B7B06CF" w14:textId="77777777">
        <w:trPr>
          <w:cantSplit/>
          <w:tblHeader/>
          <w:jc w:val="center"/>
        </w:trPr>
        <w:tc>
          <w:tcPr>
            <w:tcW w:w="6835" w:type="dxa"/>
            <w:vAlign w:val="center"/>
          </w:tcPr>
          <w:p w:rsidRPr="003C1797" w:rsidR="006658D9" w:rsidP="0003431D" w:rsidRDefault="006658D9" w14:paraId="43BF96B6" w14:textId="77777777">
            <w:pPr>
              <w:pStyle w:val="Standard"/>
              <w:keepNext/>
              <w:spacing w:line="240" w:lineRule="auto"/>
              <w:ind w:firstLine="0"/>
              <w:jc w:val="center"/>
              <w:rPr>
                <w:b/>
                <w:bCs/>
              </w:rPr>
            </w:pPr>
            <w:r w:rsidRPr="003C1797">
              <w:rPr>
                <w:b/>
                <w:bCs/>
                <w:szCs w:val="26"/>
              </w:rPr>
              <w:t>PCIA Revenue Requirement</w:t>
            </w:r>
          </w:p>
        </w:tc>
        <w:tc>
          <w:tcPr>
            <w:tcW w:w="2525" w:type="dxa"/>
            <w:vAlign w:val="center"/>
          </w:tcPr>
          <w:p w:rsidR="006658D9" w:rsidP="0003431D" w:rsidRDefault="006658D9" w14:paraId="2805A441" w14:textId="77777777">
            <w:pPr>
              <w:pStyle w:val="Standard"/>
              <w:keepNext/>
              <w:spacing w:line="240" w:lineRule="auto"/>
              <w:ind w:firstLine="0"/>
              <w:jc w:val="center"/>
              <w:rPr>
                <w:b/>
                <w:bCs/>
              </w:rPr>
            </w:pPr>
            <w:r w:rsidRPr="003C1797">
              <w:rPr>
                <w:b/>
                <w:bCs/>
                <w:szCs w:val="26"/>
              </w:rPr>
              <w:t>Amount (millions)</w:t>
            </w:r>
          </w:p>
        </w:tc>
      </w:tr>
      <w:tr w:rsidR="006658D9" w:rsidTr="0003431D" w14:paraId="6D616195" w14:textId="77777777">
        <w:trPr>
          <w:cantSplit/>
          <w:jc w:val="center"/>
        </w:trPr>
        <w:tc>
          <w:tcPr>
            <w:tcW w:w="6835" w:type="dxa"/>
            <w:tcBorders>
              <w:bottom w:val="single" w:color="auto" w:sz="4" w:space="0"/>
            </w:tcBorders>
            <w:vAlign w:val="center"/>
          </w:tcPr>
          <w:p w:rsidR="006658D9" w:rsidP="0003431D" w:rsidRDefault="006658D9" w14:paraId="39C1320E" w14:textId="77777777">
            <w:pPr>
              <w:pStyle w:val="Standard"/>
              <w:keepNext/>
              <w:spacing w:line="240" w:lineRule="auto"/>
              <w:ind w:firstLine="0"/>
            </w:pPr>
            <w:r>
              <w:rPr>
                <w:szCs w:val="26"/>
              </w:rPr>
              <w:t>Portfolio Cost</w:t>
            </w:r>
          </w:p>
        </w:tc>
        <w:tc>
          <w:tcPr>
            <w:tcW w:w="2525" w:type="dxa"/>
            <w:tcBorders>
              <w:bottom w:val="single" w:color="auto" w:sz="4" w:space="0"/>
            </w:tcBorders>
          </w:tcPr>
          <w:p w:rsidRPr="003C1797" w:rsidR="006658D9" w:rsidP="0003431D" w:rsidRDefault="006658D9" w14:paraId="43AA0A7E" w14:textId="77777777">
            <w:pPr>
              <w:pStyle w:val="Standard"/>
              <w:keepNext/>
              <w:spacing w:line="240" w:lineRule="auto"/>
              <w:ind w:firstLine="0"/>
              <w:jc w:val="right"/>
            </w:pPr>
            <w:r w:rsidRPr="003C1797">
              <w:rPr>
                <w:szCs w:val="26"/>
              </w:rPr>
              <w:t>$4,110.980</w:t>
            </w:r>
          </w:p>
        </w:tc>
      </w:tr>
      <w:tr w:rsidR="006658D9" w:rsidTr="0003431D" w14:paraId="3D6D3249" w14:textId="77777777">
        <w:trPr>
          <w:cantSplit/>
          <w:jc w:val="center"/>
        </w:trPr>
        <w:tc>
          <w:tcPr>
            <w:tcW w:w="6835" w:type="dxa"/>
            <w:tcBorders>
              <w:bottom w:val="nil"/>
              <w:right w:val="single" w:color="auto" w:sz="4" w:space="0"/>
            </w:tcBorders>
            <w:vAlign w:val="center"/>
          </w:tcPr>
          <w:p w:rsidR="006658D9" w:rsidP="0003431D" w:rsidRDefault="006658D9" w14:paraId="4BE97ADA" w14:textId="77777777">
            <w:pPr>
              <w:pStyle w:val="Standard"/>
              <w:keepNext/>
              <w:spacing w:line="240" w:lineRule="auto"/>
              <w:ind w:firstLine="0"/>
            </w:pPr>
            <w:r>
              <w:rPr>
                <w:szCs w:val="26"/>
              </w:rPr>
              <w:t>Market Value</w:t>
            </w:r>
          </w:p>
        </w:tc>
        <w:tc>
          <w:tcPr>
            <w:tcW w:w="2525" w:type="dxa"/>
            <w:tcBorders>
              <w:left w:val="single" w:color="auto" w:sz="4" w:space="0"/>
              <w:bottom w:val="nil"/>
            </w:tcBorders>
          </w:tcPr>
          <w:p w:rsidRPr="003C1797" w:rsidR="006658D9" w:rsidP="0003431D" w:rsidRDefault="006658D9" w14:paraId="571AE26C" w14:textId="77777777">
            <w:pPr>
              <w:pStyle w:val="Standard"/>
              <w:keepNext/>
              <w:spacing w:line="240" w:lineRule="auto"/>
              <w:ind w:firstLine="0"/>
              <w:jc w:val="right"/>
            </w:pPr>
            <w:r w:rsidRPr="003C1797">
              <w:rPr>
                <w:szCs w:val="26"/>
              </w:rPr>
              <w:t>-$4,884.941</w:t>
            </w:r>
          </w:p>
        </w:tc>
      </w:tr>
      <w:tr w:rsidR="006658D9" w:rsidTr="0003431D" w14:paraId="36E25C22" w14:textId="77777777">
        <w:trPr>
          <w:cantSplit/>
          <w:jc w:val="center"/>
        </w:trPr>
        <w:tc>
          <w:tcPr>
            <w:tcW w:w="6835" w:type="dxa"/>
            <w:tcBorders>
              <w:top w:val="nil"/>
              <w:bottom w:val="nil"/>
              <w:right w:val="single" w:color="auto" w:sz="4" w:space="0"/>
            </w:tcBorders>
            <w:vAlign w:val="center"/>
          </w:tcPr>
          <w:p w:rsidR="006658D9" w:rsidP="0003431D" w:rsidRDefault="006658D9" w14:paraId="212EE753" w14:textId="77777777">
            <w:pPr>
              <w:pStyle w:val="Standard"/>
              <w:keepNext/>
              <w:numPr>
                <w:ilvl w:val="0"/>
                <w:numId w:val="26"/>
              </w:numPr>
              <w:spacing w:line="240" w:lineRule="auto"/>
              <w:ind w:left="576" w:hanging="216"/>
            </w:pPr>
            <w:r>
              <w:rPr>
                <w:szCs w:val="26"/>
              </w:rPr>
              <w:t>Energy Value</w:t>
            </w:r>
          </w:p>
        </w:tc>
        <w:tc>
          <w:tcPr>
            <w:tcW w:w="2525" w:type="dxa"/>
            <w:tcBorders>
              <w:top w:val="nil"/>
              <w:left w:val="single" w:color="auto" w:sz="4" w:space="0"/>
              <w:bottom w:val="nil"/>
            </w:tcBorders>
          </w:tcPr>
          <w:p w:rsidRPr="003C1797" w:rsidR="006658D9" w:rsidP="0003431D" w:rsidRDefault="006658D9" w14:paraId="1F6D1599" w14:textId="77777777">
            <w:pPr>
              <w:pStyle w:val="Standard"/>
              <w:keepNext/>
              <w:spacing w:line="240" w:lineRule="auto"/>
              <w:ind w:firstLine="0"/>
              <w:jc w:val="right"/>
            </w:pPr>
            <w:r w:rsidRPr="003C1797">
              <w:rPr>
                <w:szCs w:val="26"/>
              </w:rPr>
              <w:t>-$2,576.107</w:t>
            </w:r>
          </w:p>
        </w:tc>
      </w:tr>
      <w:tr w:rsidR="006658D9" w:rsidTr="0003431D" w14:paraId="4E4E4475" w14:textId="77777777">
        <w:trPr>
          <w:cantSplit/>
          <w:jc w:val="center"/>
        </w:trPr>
        <w:tc>
          <w:tcPr>
            <w:tcW w:w="6835" w:type="dxa"/>
            <w:tcBorders>
              <w:top w:val="nil"/>
              <w:bottom w:val="nil"/>
              <w:right w:val="single" w:color="auto" w:sz="4" w:space="0"/>
            </w:tcBorders>
            <w:vAlign w:val="center"/>
          </w:tcPr>
          <w:p w:rsidR="006658D9" w:rsidP="0003431D" w:rsidRDefault="006658D9" w14:paraId="24F55E1E" w14:textId="77777777">
            <w:pPr>
              <w:pStyle w:val="Standard"/>
              <w:keepNext/>
              <w:numPr>
                <w:ilvl w:val="0"/>
                <w:numId w:val="26"/>
              </w:numPr>
              <w:spacing w:line="240" w:lineRule="auto"/>
              <w:ind w:left="576" w:hanging="216"/>
            </w:pPr>
            <w:r>
              <w:rPr>
                <w:szCs w:val="26"/>
              </w:rPr>
              <w:t>RPS Value</w:t>
            </w:r>
          </w:p>
        </w:tc>
        <w:tc>
          <w:tcPr>
            <w:tcW w:w="2525" w:type="dxa"/>
            <w:tcBorders>
              <w:top w:val="nil"/>
              <w:left w:val="single" w:color="auto" w:sz="4" w:space="0"/>
              <w:bottom w:val="nil"/>
            </w:tcBorders>
          </w:tcPr>
          <w:p w:rsidRPr="003C1797" w:rsidR="006658D9" w:rsidP="0003431D" w:rsidRDefault="006658D9" w14:paraId="74286F99" w14:textId="77777777">
            <w:pPr>
              <w:pStyle w:val="Standard"/>
              <w:keepNext/>
              <w:spacing w:line="240" w:lineRule="auto"/>
              <w:ind w:firstLine="0"/>
              <w:jc w:val="right"/>
            </w:pPr>
            <w:r w:rsidRPr="003C1797">
              <w:rPr>
                <w:szCs w:val="26"/>
              </w:rPr>
              <w:t>-$860.117</w:t>
            </w:r>
          </w:p>
        </w:tc>
      </w:tr>
      <w:tr w:rsidR="006658D9" w:rsidTr="0003431D" w14:paraId="7397E175" w14:textId="77777777">
        <w:trPr>
          <w:cantSplit/>
          <w:jc w:val="center"/>
        </w:trPr>
        <w:tc>
          <w:tcPr>
            <w:tcW w:w="6835" w:type="dxa"/>
            <w:tcBorders>
              <w:top w:val="nil"/>
              <w:right w:val="single" w:color="auto" w:sz="4" w:space="0"/>
            </w:tcBorders>
            <w:vAlign w:val="center"/>
          </w:tcPr>
          <w:p w:rsidR="006658D9" w:rsidP="0003431D" w:rsidRDefault="006658D9" w14:paraId="2BA50A5B" w14:textId="77777777">
            <w:pPr>
              <w:pStyle w:val="Standard"/>
              <w:numPr>
                <w:ilvl w:val="0"/>
                <w:numId w:val="26"/>
              </w:numPr>
              <w:spacing w:line="240" w:lineRule="auto"/>
              <w:ind w:left="576" w:hanging="216"/>
            </w:pPr>
            <w:r>
              <w:rPr>
                <w:szCs w:val="26"/>
              </w:rPr>
              <w:t>RA Value</w:t>
            </w:r>
          </w:p>
        </w:tc>
        <w:tc>
          <w:tcPr>
            <w:tcW w:w="2525" w:type="dxa"/>
            <w:tcBorders>
              <w:top w:val="nil"/>
              <w:left w:val="single" w:color="auto" w:sz="4" w:space="0"/>
            </w:tcBorders>
          </w:tcPr>
          <w:p w:rsidRPr="003C1797" w:rsidR="006658D9" w:rsidP="0003431D" w:rsidRDefault="006658D9" w14:paraId="758B1454" w14:textId="77777777">
            <w:pPr>
              <w:pStyle w:val="Standard"/>
              <w:spacing w:line="240" w:lineRule="auto"/>
              <w:ind w:firstLine="0"/>
              <w:jc w:val="right"/>
            </w:pPr>
            <w:r w:rsidRPr="003C1797">
              <w:rPr>
                <w:szCs w:val="26"/>
              </w:rPr>
              <w:t>-$1,448.717</w:t>
            </w:r>
          </w:p>
        </w:tc>
      </w:tr>
      <w:tr w:rsidR="006658D9" w:rsidTr="0003431D" w14:paraId="37C9BD34" w14:textId="77777777">
        <w:trPr>
          <w:cantSplit/>
          <w:jc w:val="center"/>
        </w:trPr>
        <w:tc>
          <w:tcPr>
            <w:tcW w:w="6835" w:type="dxa"/>
            <w:tcBorders>
              <w:bottom w:val="single" w:color="auto" w:sz="4" w:space="0"/>
            </w:tcBorders>
            <w:vAlign w:val="center"/>
          </w:tcPr>
          <w:p w:rsidR="006658D9" w:rsidP="0003431D" w:rsidRDefault="006658D9" w14:paraId="24B14AF4" w14:textId="77777777">
            <w:pPr>
              <w:pStyle w:val="Standard"/>
              <w:spacing w:line="240" w:lineRule="auto"/>
              <w:ind w:firstLine="0"/>
              <w:rPr>
                <w:rFonts w:eastAsia="Calibri" w:cs="Arial"/>
              </w:rPr>
            </w:pPr>
            <w:r>
              <w:rPr>
                <w:szCs w:val="26"/>
              </w:rPr>
              <w:t>One</w:t>
            </w:r>
            <w:r>
              <w:rPr>
                <w:szCs w:val="26"/>
              </w:rPr>
              <w:noBreakHyphen/>
              <w:t>Time Adjustments</w:t>
            </w:r>
          </w:p>
        </w:tc>
        <w:tc>
          <w:tcPr>
            <w:tcW w:w="2525" w:type="dxa"/>
            <w:tcBorders>
              <w:bottom w:val="single" w:color="auto" w:sz="4" w:space="0"/>
            </w:tcBorders>
          </w:tcPr>
          <w:p w:rsidRPr="003C1797" w:rsidR="006658D9" w:rsidP="0003431D" w:rsidRDefault="006658D9" w14:paraId="40953973" w14:textId="77777777">
            <w:pPr>
              <w:pStyle w:val="Standard"/>
              <w:spacing w:line="240" w:lineRule="auto"/>
              <w:jc w:val="right"/>
              <w:rPr>
                <w:rFonts w:eastAsia="Calibri" w:cs="Arial"/>
              </w:rPr>
            </w:pPr>
            <w:r w:rsidRPr="003C1797">
              <w:rPr>
                <w:szCs w:val="26"/>
              </w:rPr>
              <w:noBreakHyphen/>
              <w:t>$380.0</w:t>
            </w:r>
          </w:p>
        </w:tc>
      </w:tr>
      <w:tr w:rsidR="006658D9" w:rsidTr="0003431D" w14:paraId="2D478C64" w14:textId="77777777">
        <w:trPr>
          <w:cantSplit/>
          <w:jc w:val="center"/>
        </w:trPr>
        <w:tc>
          <w:tcPr>
            <w:tcW w:w="6835" w:type="dxa"/>
            <w:tcBorders>
              <w:bottom w:val="single" w:color="auto" w:sz="4" w:space="0"/>
            </w:tcBorders>
            <w:vAlign w:val="center"/>
          </w:tcPr>
          <w:p w:rsidR="006658D9" w:rsidP="0003431D" w:rsidRDefault="006658D9" w14:paraId="516C5838" w14:textId="77777777">
            <w:pPr>
              <w:pStyle w:val="Standard"/>
              <w:spacing w:line="240" w:lineRule="auto"/>
              <w:ind w:firstLine="0"/>
            </w:pPr>
            <w:r>
              <w:rPr>
                <w:szCs w:val="26"/>
              </w:rPr>
              <w:t>Total 2024 Indifference Amount</w:t>
            </w:r>
          </w:p>
        </w:tc>
        <w:tc>
          <w:tcPr>
            <w:tcW w:w="2525" w:type="dxa"/>
            <w:tcBorders>
              <w:bottom w:val="single" w:color="auto" w:sz="4" w:space="0"/>
            </w:tcBorders>
          </w:tcPr>
          <w:p w:rsidRPr="003C1797" w:rsidR="006658D9" w:rsidP="0003431D" w:rsidRDefault="006658D9" w14:paraId="44813E80" w14:textId="77777777">
            <w:pPr>
              <w:pStyle w:val="Standard"/>
              <w:spacing w:line="240" w:lineRule="auto"/>
              <w:ind w:firstLine="0"/>
              <w:jc w:val="right"/>
            </w:pPr>
            <w:r w:rsidRPr="003C1797">
              <w:rPr>
                <w:szCs w:val="26"/>
              </w:rPr>
              <w:noBreakHyphen/>
              <w:t>$774.341</w:t>
            </w:r>
          </w:p>
        </w:tc>
      </w:tr>
      <w:tr w:rsidR="006658D9" w:rsidTr="0003431D" w14:paraId="2FBBD607" w14:textId="77777777">
        <w:trPr>
          <w:cantSplit/>
          <w:jc w:val="center"/>
        </w:trPr>
        <w:tc>
          <w:tcPr>
            <w:tcW w:w="6835" w:type="dxa"/>
            <w:tcBorders>
              <w:bottom w:val="nil"/>
              <w:right w:val="single" w:color="auto" w:sz="4" w:space="0"/>
            </w:tcBorders>
            <w:vAlign w:val="center"/>
          </w:tcPr>
          <w:p w:rsidR="006658D9" w:rsidP="0003431D" w:rsidRDefault="006658D9" w14:paraId="2CE1B4A4" w14:textId="77777777">
            <w:pPr>
              <w:pStyle w:val="Standard"/>
              <w:keepNext/>
              <w:spacing w:line="240" w:lineRule="auto"/>
              <w:ind w:firstLine="0"/>
            </w:pPr>
            <w:r>
              <w:rPr>
                <w:szCs w:val="26"/>
              </w:rPr>
              <w:t>Balancing Account True</w:t>
            </w:r>
            <w:r>
              <w:rPr>
                <w:szCs w:val="26"/>
              </w:rPr>
              <w:noBreakHyphen/>
              <w:t xml:space="preserve">Ups (no </w:t>
            </w:r>
            <w:proofErr w:type="spellStart"/>
            <w:r>
              <w:rPr>
                <w:szCs w:val="26"/>
              </w:rPr>
              <w:t>Uncollectibles</w:t>
            </w:r>
            <w:proofErr w:type="spellEnd"/>
            <w:r>
              <w:rPr>
                <w:szCs w:val="26"/>
              </w:rPr>
              <w:t xml:space="preserve"> Factor)</w:t>
            </w:r>
          </w:p>
        </w:tc>
        <w:tc>
          <w:tcPr>
            <w:tcW w:w="2525" w:type="dxa"/>
            <w:tcBorders>
              <w:left w:val="single" w:color="auto" w:sz="4" w:space="0"/>
              <w:bottom w:val="nil"/>
            </w:tcBorders>
          </w:tcPr>
          <w:p w:rsidR="006658D9" w:rsidP="0003431D" w:rsidRDefault="006658D9" w14:paraId="69DBC906" w14:textId="77777777">
            <w:pPr>
              <w:pStyle w:val="Standard"/>
              <w:keepNext/>
              <w:spacing w:line="240" w:lineRule="auto"/>
              <w:ind w:firstLine="0"/>
              <w:jc w:val="right"/>
            </w:pPr>
            <w:r>
              <w:rPr>
                <w:szCs w:val="26"/>
              </w:rPr>
              <w:t> </w:t>
            </w:r>
          </w:p>
        </w:tc>
      </w:tr>
      <w:tr w:rsidR="006658D9" w:rsidTr="0003431D" w14:paraId="028E1ABB" w14:textId="77777777">
        <w:trPr>
          <w:cantSplit/>
          <w:jc w:val="center"/>
        </w:trPr>
        <w:tc>
          <w:tcPr>
            <w:tcW w:w="6835" w:type="dxa"/>
            <w:tcBorders>
              <w:top w:val="nil"/>
              <w:bottom w:val="nil"/>
              <w:right w:val="single" w:color="auto" w:sz="4" w:space="0"/>
            </w:tcBorders>
            <w:vAlign w:val="center"/>
          </w:tcPr>
          <w:p w:rsidR="006658D9" w:rsidP="0003431D" w:rsidRDefault="006658D9" w14:paraId="540EA521" w14:textId="77777777">
            <w:pPr>
              <w:pStyle w:val="Standard"/>
              <w:keepNext/>
              <w:numPr>
                <w:ilvl w:val="0"/>
                <w:numId w:val="26"/>
              </w:numPr>
              <w:spacing w:line="240" w:lineRule="auto"/>
              <w:ind w:left="576" w:hanging="216"/>
            </w:pPr>
            <w:r>
              <w:rPr>
                <w:szCs w:val="26"/>
              </w:rPr>
              <w:t>2023 YE PABA Balance</w:t>
            </w:r>
          </w:p>
        </w:tc>
        <w:tc>
          <w:tcPr>
            <w:tcW w:w="2525" w:type="dxa"/>
            <w:tcBorders>
              <w:top w:val="nil"/>
              <w:left w:val="single" w:color="auto" w:sz="4" w:space="0"/>
              <w:bottom w:val="nil"/>
            </w:tcBorders>
          </w:tcPr>
          <w:p w:rsidR="006658D9" w:rsidP="0003431D" w:rsidRDefault="006658D9" w14:paraId="50E1D3FB" w14:textId="77777777">
            <w:pPr>
              <w:pStyle w:val="Standard"/>
              <w:keepNext/>
              <w:spacing w:line="240" w:lineRule="auto"/>
              <w:ind w:firstLine="0"/>
              <w:jc w:val="right"/>
            </w:pPr>
            <w:r>
              <w:rPr>
                <w:szCs w:val="26"/>
              </w:rPr>
              <w:noBreakHyphen/>
              <w:t>$609.487</w:t>
            </w:r>
          </w:p>
        </w:tc>
      </w:tr>
      <w:tr w:rsidR="006658D9" w:rsidTr="0003431D" w14:paraId="603CCFCC" w14:textId="77777777">
        <w:trPr>
          <w:cantSplit/>
          <w:jc w:val="center"/>
        </w:trPr>
        <w:tc>
          <w:tcPr>
            <w:tcW w:w="6835" w:type="dxa"/>
            <w:tcBorders>
              <w:top w:val="nil"/>
              <w:bottom w:val="nil"/>
              <w:right w:val="single" w:color="auto" w:sz="4" w:space="0"/>
            </w:tcBorders>
            <w:vAlign w:val="center"/>
          </w:tcPr>
          <w:p w:rsidR="006658D9" w:rsidP="0003431D" w:rsidRDefault="006658D9" w14:paraId="20A4238B" w14:textId="77777777">
            <w:pPr>
              <w:pStyle w:val="Standard"/>
              <w:keepNext/>
              <w:numPr>
                <w:ilvl w:val="0"/>
                <w:numId w:val="26"/>
              </w:numPr>
              <w:spacing w:line="240" w:lineRule="auto"/>
              <w:ind w:left="576" w:hanging="216"/>
            </w:pPr>
            <w:r>
              <w:rPr>
                <w:rFonts w:ascii="Symbol" w:hAnsi="Symbol"/>
                <w:szCs w:val="26"/>
              </w:rPr>
              <w:t>2</w:t>
            </w:r>
            <w:r>
              <w:rPr>
                <w:szCs w:val="26"/>
              </w:rPr>
              <w:t>023 GRC Memo Account (27</w:t>
            </w:r>
            <w:r>
              <w:rPr>
                <w:szCs w:val="26"/>
              </w:rPr>
              <w:noBreakHyphen/>
              <w:t>Month Amortization)</w:t>
            </w:r>
          </w:p>
        </w:tc>
        <w:tc>
          <w:tcPr>
            <w:tcW w:w="2525" w:type="dxa"/>
            <w:tcBorders>
              <w:top w:val="nil"/>
              <w:left w:val="single" w:color="auto" w:sz="4" w:space="0"/>
              <w:bottom w:val="nil"/>
            </w:tcBorders>
          </w:tcPr>
          <w:p w:rsidR="006658D9" w:rsidP="0003431D" w:rsidRDefault="006658D9" w14:paraId="53F45A66" w14:textId="77777777">
            <w:pPr>
              <w:pStyle w:val="Standard"/>
              <w:keepNext/>
              <w:spacing w:line="240" w:lineRule="auto"/>
              <w:ind w:firstLine="0"/>
              <w:jc w:val="right"/>
            </w:pPr>
            <w:r>
              <w:rPr>
                <w:szCs w:val="26"/>
              </w:rPr>
              <w:noBreakHyphen/>
              <w:t>$14.415</w:t>
            </w:r>
          </w:p>
        </w:tc>
      </w:tr>
      <w:tr w:rsidR="006658D9" w:rsidTr="0003431D" w14:paraId="700D0B8F" w14:textId="77777777">
        <w:trPr>
          <w:cantSplit/>
          <w:jc w:val="center"/>
        </w:trPr>
        <w:tc>
          <w:tcPr>
            <w:tcW w:w="6835" w:type="dxa"/>
            <w:tcBorders>
              <w:top w:val="nil"/>
              <w:bottom w:val="nil"/>
              <w:right w:val="single" w:color="auto" w:sz="4" w:space="0"/>
            </w:tcBorders>
            <w:vAlign w:val="center"/>
          </w:tcPr>
          <w:p w:rsidR="006658D9" w:rsidP="0003431D" w:rsidRDefault="006658D9" w14:paraId="17FCAFA9" w14:textId="77777777">
            <w:pPr>
              <w:pStyle w:val="Standard"/>
              <w:keepNext/>
              <w:numPr>
                <w:ilvl w:val="0"/>
                <w:numId w:val="26"/>
              </w:numPr>
              <w:spacing w:line="240" w:lineRule="auto"/>
              <w:ind w:left="576" w:hanging="216"/>
            </w:pPr>
            <w:r>
              <w:rPr>
                <w:szCs w:val="26"/>
              </w:rPr>
              <w:t>Remaining PUBA Balance to PABA</w:t>
            </w:r>
          </w:p>
        </w:tc>
        <w:tc>
          <w:tcPr>
            <w:tcW w:w="2525" w:type="dxa"/>
            <w:tcBorders>
              <w:top w:val="nil"/>
              <w:left w:val="single" w:color="auto" w:sz="4" w:space="0"/>
              <w:bottom w:val="nil"/>
            </w:tcBorders>
          </w:tcPr>
          <w:p w:rsidR="006658D9" w:rsidP="0003431D" w:rsidRDefault="006658D9" w14:paraId="53EBA51C" w14:textId="77777777">
            <w:pPr>
              <w:pStyle w:val="xxstandard"/>
              <w:keepNext/>
              <w:jc w:val="right"/>
            </w:pPr>
            <w:r>
              <w:rPr>
                <w:rFonts w:ascii="Book Antiqua" w:hAnsi="Book Antiqua"/>
                <w:sz w:val="26"/>
                <w:szCs w:val="26"/>
              </w:rPr>
              <w:t>$2.948</w:t>
            </w:r>
          </w:p>
          <w:p w:rsidR="006658D9" w:rsidP="0003431D" w:rsidRDefault="006658D9" w14:paraId="1229FE4A" w14:textId="77777777">
            <w:pPr>
              <w:pStyle w:val="Standard"/>
              <w:keepNext/>
              <w:spacing w:line="240" w:lineRule="auto"/>
              <w:ind w:firstLine="0"/>
              <w:jc w:val="right"/>
            </w:pPr>
            <w:r>
              <w:rPr>
                <w:szCs w:val="26"/>
              </w:rPr>
              <w:t> </w:t>
            </w:r>
          </w:p>
        </w:tc>
      </w:tr>
      <w:tr w:rsidR="006658D9" w:rsidTr="0003431D" w14:paraId="33FC202A" w14:textId="77777777">
        <w:trPr>
          <w:cantSplit/>
          <w:jc w:val="center"/>
        </w:trPr>
        <w:tc>
          <w:tcPr>
            <w:tcW w:w="6835" w:type="dxa"/>
            <w:tcBorders>
              <w:top w:val="nil"/>
              <w:bottom w:val="nil"/>
              <w:right w:val="single" w:color="auto" w:sz="4" w:space="0"/>
            </w:tcBorders>
            <w:vAlign w:val="center"/>
          </w:tcPr>
          <w:p w:rsidR="006658D9" w:rsidP="0003431D" w:rsidRDefault="006658D9" w14:paraId="3F81735F" w14:textId="77777777">
            <w:pPr>
              <w:pStyle w:val="Standard"/>
              <w:keepNext/>
              <w:numPr>
                <w:ilvl w:val="0"/>
                <w:numId w:val="26"/>
              </w:numPr>
              <w:spacing w:line="240" w:lineRule="auto"/>
              <w:ind w:left="576" w:hanging="216"/>
            </w:pPr>
            <w:r>
              <w:rPr>
                <w:szCs w:val="26"/>
              </w:rPr>
              <w:t>Emergency Reliability Utility-Owned Storage (UOS) Separator</w:t>
            </w:r>
          </w:p>
        </w:tc>
        <w:tc>
          <w:tcPr>
            <w:tcW w:w="2525" w:type="dxa"/>
            <w:tcBorders>
              <w:top w:val="nil"/>
              <w:left w:val="single" w:color="auto" w:sz="4" w:space="0"/>
              <w:bottom w:val="nil"/>
            </w:tcBorders>
          </w:tcPr>
          <w:p w:rsidR="006658D9" w:rsidP="0003431D" w:rsidRDefault="006658D9" w14:paraId="6433D841" w14:textId="77777777">
            <w:pPr>
              <w:pStyle w:val="Standard"/>
              <w:keepNext/>
              <w:spacing w:line="240" w:lineRule="auto"/>
              <w:ind w:firstLine="0"/>
              <w:jc w:val="right"/>
            </w:pPr>
            <w:r>
              <w:rPr>
                <w:szCs w:val="26"/>
              </w:rPr>
              <w:t>$17.792</w:t>
            </w:r>
          </w:p>
        </w:tc>
      </w:tr>
      <w:tr w:rsidR="006658D9" w:rsidTr="0003431D" w14:paraId="52420615" w14:textId="77777777">
        <w:trPr>
          <w:cantSplit/>
          <w:jc w:val="center"/>
        </w:trPr>
        <w:tc>
          <w:tcPr>
            <w:tcW w:w="6835" w:type="dxa"/>
            <w:tcBorders>
              <w:top w:val="nil"/>
              <w:bottom w:val="nil"/>
              <w:right w:val="single" w:color="auto" w:sz="4" w:space="0"/>
            </w:tcBorders>
            <w:vAlign w:val="center"/>
          </w:tcPr>
          <w:p w:rsidR="006658D9" w:rsidP="0003431D" w:rsidRDefault="006658D9" w14:paraId="6A6AA9F8" w14:textId="77777777">
            <w:pPr>
              <w:pStyle w:val="Standard"/>
              <w:numPr>
                <w:ilvl w:val="0"/>
                <w:numId w:val="26"/>
              </w:numPr>
              <w:spacing w:line="240" w:lineRule="auto"/>
              <w:ind w:left="576" w:hanging="216"/>
            </w:pPr>
            <w:r>
              <w:rPr>
                <w:rFonts w:ascii="Times New Roman" w:hAnsi="Times New Roman" w:cs="Times New Roman"/>
                <w:sz w:val="14"/>
                <w:szCs w:val="14"/>
              </w:rPr>
              <w:t xml:space="preserve"> </w:t>
            </w:r>
            <w:r>
              <w:rPr>
                <w:szCs w:val="26"/>
              </w:rPr>
              <w:t>2023 YE ERRA Balance</w:t>
            </w:r>
          </w:p>
        </w:tc>
        <w:tc>
          <w:tcPr>
            <w:tcW w:w="2525" w:type="dxa"/>
            <w:tcBorders>
              <w:top w:val="nil"/>
              <w:left w:val="single" w:color="auto" w:sz="4" w:space="0"/>
              <w:bottom w:val="nil"/>
            </w:tcBorders>
          </w:tcPr>
          <w:p w:rsidR="006658D9" w:rsidP="0003431D" w:rsidRDefault="006658D9" w14:paraId="19079093" w14:textId="77777777">
            <w:pPr>
              <w:pStyle w:val="Standard"/>
              <w:spacing w:line="240" w:lineRule="auto"/>
              <w:ind w:firstLine="0"/>
              <w:jc w:val="right"/>
            </w:pPr>
            <w:r>
              <w:rPr>
                <w:szCs w:val="26"/>
              </w:rPr>
              <w:t>-$59.297</w:t>
            </w:r>
          </w:p>
        </w:tc>
      </w:tr>
      <w:tr w:rsidR="006658D9" w:rsidTr="0003431D" w14:paraId="3A562D05" w14:textId="77777777">
        <w:trPr>
          <w:cantSplit/>
          <w:jc w:val="center"/>
        </w:trPr>
        <w:tc>
          <w:tcPr>
            <w:tcW w:w="6835" w:type="dxa"/>
            <w:vAlign w:val="center"/>
          </w:tcPr>
          <w:p w:rsidR="006658D9" w:rsidP="0003431D" w:rsidRDefault="006658D9" w14:paraId="49F033B0" w14:textId="77777777">
            <w:pPr>
              <w:pStyle w:val="Standard"/>
              <w:spacing w:line="240" w:lineRule="auto"/>
              <w:ind w:firstLine="0"/>
            </w:pPr>
            <w:r>
              <w:rPr>
                <w:szCs w:val="26"/>
              </w:rPr>
              <w:t>2024 PCIA Revenue Requirement</w:t>
            </w:r>
          </w:p>
        </w:tc>
        <w:tc>
          <w:tcPr>
            <w:tcW w:w="2525" w:type="dxa"/>
          </w:tcPr>
          <w:p w:rsidRPr="003C1797" w:rsidR="006658D9" w:rsidP="0003431D" w:rsidRDefault="006658D9" w14:paraId="1EFBBB89" w14:textId="77777777">
            <w:pPr>
              <w:pStyle w:val="Standard"/>
              <w:spacing w:line="240" w:lineRule="auto"/>
              <w:ind w:firstLine="0"/>
              <w:jc w:val="right"/>
            </w:pPr>
            <w:r w:rsidRPr="003C1797">
              <w:rPr>
                <w:szCs w:val="26"/>
              </w:rPr>
              <w:t>-$217.826</w:t>
            </w:r>
          </w:p>
        </w:tc>
      </w:tr>
      <w:tr w:rsidR="006658D9" w:rsidTr="0003431D" w14:paraId="304B45DC" w14:textId="77777777">
        <w:trPr>
          <w:cantSplit/>
          <w:jc w:val="center"/>
        </w:trPr>
        <w:tc>
          <w:tcPr>
            <w:tcW w:w="6835" w:type="dxa"/>
            <w:vAlign w:val="center"/>
          </w:tcPr>
          <w:p w:rsidR="006658D9" w:rsidP="0003431D" w:rsidRDefault="006658D9" w14:paraId="1709DFC7" w14:textId="77777777">
            <w:pPr>
              <w:pStyle w:val="xstandard"/>
              <w:rPr>
                <w:rFonts w:ascii="Book Antiqua" w:hAnsi="Book Antiqua"/>
                <w:sz w:val="26"/>
                <w:szCs w:val="26"/>
              </w:rPr>
            </w:pPr>
            <w:r>
              <w:rPr>
                <w:rFonts w:ascii="Book Antiqua" w:hAnsi="Book Antiqua"/>
                <w:sz w:val="26"/>
                <w:szCs w:val="26"/>
              </w:rPr>
              <w:t xml:space="preserve">2024 PCIA Revenue Requirement </w:t>
            </w:r>
          </w:p>
          <w:p w:rsidR="006658D9" w:rsidP="0003431D" w:rsidRDefault="006658D9" w14:paraId="70DA894A" w14:textId="77777777">
            <w:pPr>
              <w:pStyle w:val="Standard"/>
              <w:spacing w:line="240" w:lineRule="auto"/>
              <w:ind w:firstLine="0"/>
            </w:pPr>
            <w:r>
              <w:rPr>
                <w:szCs w:val="26"/>
              </w:rPr>
              <w:t xml:space="preserve">with </w:t>
            </w:r>
            <w:proofErr w:type="spellStart"/>
            <w:r>
              <w:rPr>
                <w:szCs w:val="26"/>
              </w:rPr>
              <w:t>Uncollectibles</w:t>
            </w:r>
            <w:proofErr w:type="spellEnd"/>
            <w:r>
              <w:rPr>
                <w:szCs w:val="26"/>
              </w:rPr>
              <w:t xml:space="preserve"> Factor</w:t>
            </w:r>
          </w:p>
        </w:tc>
        <w:tc>
          <w:tcPr>
            <w:tcW w:w="2525" w:type="dxa"/>
          </w:tcPr>
          <w:p w:rsidRPr="003C1797" w:rsidR="006658D9" w:rsidP="0003431D" w:rsidRDefault="006658D9" w14:paraId="0AD1DE56" w14:textId="77777777">
            <w:pPr>
              <w:pStyle w:val="Standard"/>
              <w:spacing w:line="240" w:lineRule="auto"/>
              <w:ind w:firstLine="0"/>
              <w:jc w:val="right"/>
            </w:pPr>
            <w:r w:rsidRPr="003C1797">
              <w:rPr>
                <w:szCs w:val="26"/>
              </w:rPr>
              <w:t>-$218.219</w:t>
            </w:r>
          </w:p>
        </w:tc>
      </w:tr>
    </w:tbl>
    <w:p w:rsidR="006658D9" w:rsidP="006658D9" w:rsidRDefault="006658D9" w14:paraId="52C3E0BD" w14:textId="77777777">
      <w:pPr>
        <w:pStyle w:val="Standard"/>
        <w:ind w:firstLine="0"/>
        <w:rPr>
          <w:sz w:val="16"/>
          <w:szCs w:val="16"/>
        </w:rPr>
      </w:pPr>
    </w:p>
    <w:p w:rsidR="006658D9" w:rsidP="006658D9" w:rsidRDefault="006658D9" w14:paraId="3F918801" w14:textId="1D00F221">
      <w:pPr>
        <w:pStyle w:val="TableTitleBodyH095"/>
      </w:pPr>
      <w:r>
        <w:lastRenderedPageBreak/>
        <w:t xml:space="preserve">Table 6-5. PCIA Rates </w:t>
      </w:r>
      <w:proofErr w:type="gramStart"/>
      <w:r>
        <w:t>By</w:t>
      </w:r>
      <w:proofErr w:type="gramEnd"/>
      <w:r>
        <w:t xml:space="preserve"> Vintage</w:t>
      </w:r>
    </w:p>
    <w:tbl>
      <w:tblPr>
        <w:tblStyle w:val="TableGrid"/>
        <w:tblW w:w="0" w:type="auto"/>
        <w:jc w:val="center"/>
        <w:tblLook w:val="04A0" w:firstRow="1" w:lastRow="0" w:firstColumn="1" w:lastColumn="0" w:noHBand="0" w:noVBand="1"/>
      </w:tblPr>
      <w:tblGrid>
        <w:gridCol w:w="2610"/>
        <w:gridCol w:w="2520"/>
      </w:tblGrid>
      <w:tr w:rsidR="006658D9" w:rsidTr="00733DC1" w14:paraId="51662DEF" w14:textId="77777777">
        <w:trPr>
          <w:jc w:val="center"/>
        </w:trPr>
        <w:tc>
          <w:tcPr>
            <w:tcW w:w="2610" w:type="dxa"/>
          </w:tcPr>
          <w:p w:rsidRPr="003C1797" w:rsidR="006658D9" w:rsidP="0003431D" w:rsidRDefault="006658D9" w14:paraId="4D1B63EE" w14:textId="77777777">
            <w:pPr>
              <w:pStyle w:val="Standard"/>
            </w:pPr>
            <w:r w:rsidRPr="003C1797">
              <w:t>2001</w:t>
            </w:r>
          </w:p>
        </w:tc>
        <w:tc>
          <w:tcPr>
            <w:tcW w:w="2520" w:type="dxa"/>
          </w:tcPr>
          <w:p w:rsidRPr="003C1797" w:rsidR="006658D9" w:rsidP="0003431D" w:rsidRDefault="006658D9" w14:paraId="2ED58BEF" w14:textId="77777777">
            <w:pPr>
              <w:pStyle w:val="Standard"/>
            </w:pPr>
            <w:r>
              <w:t>0.00000</w:t>
            </w:r>
          </w:p>
        </w:tc>
      </w:tr>
      <w:tr w:rsidR="006658D9" w:rsidTr="00733DC1" w14:paraId="48D4B77A" w14:textId="77777777">
        <w:trPr>
          <w:jc w:val="center"/>
        </w:trPr>
        <w:tc>
          <w:tcPr>
            <w:tcW w:w="2610" w:type="dxa"/>
          </w:tcPr>
          <w:p w:rsidRPr="003C1797" w:rsidR="006658D9" w:rsidP="0003431D" w:rsidRDefault="006658D9" w14:paraId="57FD090F" w14:textId="77777777">
            <w:pPr>
              <w:pStyle w:val="Standard"/>
            </w:pPr>
            <w:r w:rsidRPr="003C1797">
              <w:t>2004</w:t>
            </w:r>
          </w:p>
        </w:tc>
        <w:tc>
          <w:tcPr>
            <w:tcW w:w="2520" w:type="dxa"/>
          </w:tcPr>
          <w:p w:rsidRPr="003C1797" w:rsidR="006658D9" w:rsidP="0003431D" w:rsidRDefault="006658D9" w14:paraId="2151591F" w14:textId="77777777">
            <w:pPr>
              <w:pStyle w:val="Standard"/>
            </w:pPr>
            <w:r>
              <w:t>0.00000</w:t>
            </w:r>
          </w:p>
        </w:tc>
      </w:tr>
      <w:tr w:rsidR="006658D9" w:rsidTr="00733DC1" w14:paraId="259802A7" w14:textId="77777777">
        <w:trPr>
          <w:jc w:val="center"/>
        </w:trPr>
        <w:tc>
          <w:tcPr>
            <w:tcW w:w="2610" w:type="dxa"/>
          </w:tcPr>
          <w:p w:rsidRPr="003C1797" w:rsidR="006658D9" w:rsidP="0003431D" w:rsidRDefault="006658D9" w14:paraId="238FAC86" w14:textId="77777777">
            <w:pPr>
              <w:pStyle w:val="Standard"/>
            </w:pPr>
            <w:r w:rsidRPr="003C1797">
              <w:t>2009</w:t>
            </w:r>
          </w:p>
        </w:tc>
        <w:tc>
          <w:tcPr>
            <w:tcW w:w="2520" w:type="dxa"/>
          </w:tcPr>
          <w:p w:rsidRPr="003C1797" w:rsidR="006658D9" w:rsidP="0003431D" w:rsidRDefault="006658D9" w14:paraId="59DA450E" w14:textId="77777777">
            <w:pPr>
              <w:pStyle w:val="Standard"/>
            </w:pPr>
            <w:r>
              <w:t>0.00050</w:t>
            </w:r>
          </w:p>
        </w:tc>
      </w:tr>
      <w:tr w:rsidR="006658D9" w:rsidTr="00733DC1" w14:paraId="757C23C7" w14:textId="77777777">
        <w:trPr>
          <w:jc w:val="center"/>
        </w:trPr>
        <w:tc>
          <w:tcPr>
            <w:tcW w:w="2610" w:type="dxa"/>
          </w:tcPr>
          <w:p w:rsidRPr="003C1797" w:rsidR="006658D9" w:rsidP="0003431D" w:rsidRDefault="006658D9" w14:paraId="53AA8EF8" w14:textId="77777777">
            <w:pPr>
              <w:pStyle w:val="Standard"/>
            </w:pPr>
            <w:r>
              <w:t>2010</w:t>
            </w:r>
          </w:p>
        </w:tc>
        <w:tc>
          <w:tcPr>
            <w:tcW w:w="2520" w:type="dxa"/>
          </w:tcPr>
          <w:p w:rsidRPr="003C1797" w:rsidR="006658D9" w:rsidP="0003431D" w:rsidRDefault="006658D9" w14:paraId="513B92D0" w14:textId="77777777">
            <w:pPr>
              <w:pStyle w:val="Standard"/>
            </w:pPr>
            <w:r>
              <w:t>0.00141</w:t>
            </w:r>
          </w:p>
        </w:tc>
      </w:tr>
      <w:tr w:rsidR="006658D9" w:rsidTr="00733DC1" w14:paraId="14A1F782" w14:textId="77777777">
        <w:trPr>
          <w:jc w:val="center"/>
        </w:trPr>
        <w:tc>
          <w:tcPr>
            <w:tcW w:w="2610" w:type="dxa"/>
          </w:tcPr>
          <w:p w:rsidRPr="003C1797" w:rsidR="006658D9" w:rsidP="0003431D" w:rsidRDefault="006658D9" w14:paraId="367590EA" w14:textId="77777777">
            <w:pPr>
              <w:pStyle w:val="Standard"/>
            </w:pPr>
            <w:r>
              <w:t>2011</w:t>
            </w:r>
          </w:p>
        </w:tc>
        <w:tc>
          <w:tcPr>
            <w:tcW w:w="2520" w:type="dxa"/>
          </w:tcPr>
          <w:p w:rsidRPr="003C1797" w:rsidR="006658D9" w:rsidP="0003431D" w:rsidRDefault="006658D9" w14:paraId="57453227" w14:textId="77777777">
            <w:pPr>
              <w:pStyle w:val="Standard"/>
            </w:pPr>
            <w:r>
              <w:t>0.00295</w:t>
            </w:r>
          </w:p>
        </w:tc>
      </w:tr>
      <w:tr w:rsidR="006658D9" w:rsidTr="00733DC1" w14:paraId="5945120E" w14:textId="77777777">
        <w:trPr>
          <w:jc w:val="center"/>
        </w:trPr>
        <w:tc>
          <w:tcPr>
            <w:tcW w:w="2610" w:type="dxa"/>
          </w:tcPr>
          <w:p w:rsidRPr="003C1797" w:rsidR="006658D9" w:rsidP="0003431D" w:rsidRDefault="006658D9" w14:paraId="24A0FAF0" w14:textId="77777777">
            <w:pPr>
              <w:pStyle w:val="Standard"/>
            </w:pPr>
            <w:r>
              <w:t>2012</w:t>
            </w:r>
          </w:p>
        </w:tc>
        <w:tc>
          <w:tcPr>
            <w:tcW w:w="2520" w:type="dxa"/>
          </w:tcPr>
          <w:p w:rsidRPr="003C1797" w:rsidR="006658D9" w:rsidP="0003431D" w:rsidRDefault="006658D9" w14:paraId="4EC79251" w14:textId="2EE035E6">
            <w:pPr>
              <w:pStyle w:val="Standard"/>
            </w:pPr>
            <w:r>
              <w:t>0.003</w:t>
            </w:r>
            <w:r w:rsidR="001C6556">
              <w:t>1</w:t>
            </w:r>
            <w:r>
              <w:t>8</w:t>
            </w:r>
          </w:p>
        </w:tc>
      </w:tr>
      <w:tr w:rsidR="006658D9" w:rsidTr="00733DC1" w14:paraId="0A2C9D21" w14:textId="77777777">
        <w:trPr>
          <w:jc w:val="center"/>
        </w:trPr>
        <w:tc>
          <w:tcPr>
            <w:tcW w:w="2610" w:type="dxa"/>
          </w:tcPr>
          <w:p w:rsidRPr="003C1797" w:rsidR="006658D9" w:rsidP="0003431D" w:rsidRDefault="006658D9" w14:paraId="49D27AC0" w14:textId="77777777">
            <w:pPr>
              <w:pStyle w:val="Standard"/>
            </w:pPr>
            <w:r>
              <w:t>2013</w:t>
            </w:r>
          </w:p>
        </w:tc>
        <w:tc>
          <w:tcPr>
            <w:tcW w:w="2520" w:type="dxa"/>
          </w:tcPr>
          <w:p w:rsidRPr="003C1797" w:rsidR="006658D9" w:rsidP="0003431D" w:rsidRDefault="006658D9" w14:paraId="2ABC0586" w14:textId="77777777">
            <w:pPr>
              <w:pStyle w:val="Standard"/>
            </w:pPr>
            <w:r>
              <w:t>0.00264</w:t>
            </w:r>
          </w:p>
        </w:tc>
      </w:tr>
      <w:tr w:rsidR="006658D9" w:rsidTr="00733DC1" w14:paraId="2B781448" w14:textId="77777777">
        <w:trPr>
          <w:jc w:val="center"/>
        </w:trPr>
        <w:tc>
          <w:tcPr>
            <w:tcW w:w="2610" w:type="dxa"/>
          </w:tcPr>
          <w:p w:rsidR="006658D9" w:rsidP="0003431D" w:rsidRDefault="006658D9" w14:paraId="6C94BE59" w14:textId="77777777">
            <w:pPr>
              <w:pStyle w:val="Standard"/>
            </w:pPr>
            <w:r>
              <w:t>2014</w:t>
            </w:r>
          </w:p>
        </w:tc>
        <w:tc>
          <w:tcPr>
            <w:tcW w:w="2520" w:type="dxa"/>
          </w:tcPr>
          <w:p w:rsidRPr="003C1797" w:rsidR="006658D9" w:rsidP="0003431D" w:rsidRDefault="006658D9" w14:paraId="2157417D" w14:textId="77777777">
            <w:pPr>
              <w:pStyle w:val="Standard"/>
            </w:pPr>
            <w:r>
              <w:t>(0.00354)</w:t>
            </w:r>
          </w:p>
        </w:tc>
      </w:tr>
      <w:tr w:rsidR="006658D9" w:rsidTr="00733DC1" w14:paraId="5A4AE5BE" w14:textId="77777777">
        <w:trPr>
          <w:jc w:val="center"/>
        </w:trPr>
        <w:tc>
          <w:tcPr>
            <w:tcW w:w="2610" w:type="dxa"/>
          </w:tcPr>
          <w:p w:rsidR="006658D9" w:rsidP="0003431D" w:rsidRDefault="006658D9" w14:paraId="38AEC6A7" w14:textId="77777777">
            <w:pPr>
              <w:pStyle w:val="Standard"/>
            </w:pPr>
            <w:r>
              <w:t>2015</w:t>
            </w:r>
          </w:p>
        </w:tc>
        <w:tc>
          <w:tcPr>
            <w:tcW w:w="2520" w:type="dxa"/>
          </w:tcPr>
          <w:p w:rsidRPr="003C1797" w:rsidR="006658D9" w:rsidP="0003431D" w:rsidRDefault="006658D9" w14:paraId="2407CCDC" w14:textId="77777777">
            <w:pPr>
              <w:pStyle w:val="Standard"/>
            </w:pPr>
            <w:r>
              <w:t>(0.00663)</w:t>
            </w:r>
          </w:p>
        </w:tc>
      </w:tr>
      <w:tr w:rsidR="006658D9" w:rsidTr="00733DC1" w14:paraId="5E37B2B6" w14:textId="77777777">
        <w:trPr>
          <w:jc w:val="center"/>
        </w:trPr>
        <w:tc>
          <w:tcPr>
            <w:tcW w:w="2610" w:type="dxa"/>
          </w:tcPr>
          <w:p w:rsidR="006658D9" w:rsidP="0003431D" w:rsidRDefault="006658D9" w14:paraId="065C915A" w14:textId="77777777">
            <w:pPr>
              <w:pStyle w:val="Standard"/>
            </w:pPr>
            <w:r>
              <w:t>2016</w:t>
            </w:r>
          </w:p>
        </w:tc>
        <w:tc>
          <w:tcPr>
            <w:tcW w:w="2520" w:type="dxa"/>
          </w:tcPr>
          <w:p w:rsidRPr="003C1797" w:rsidR="006658D9" w:rsidP="0003431D" w:rsidRDefault="006658D9" w14:paraId="2840EFAE" w14:textId="77777777">
            <w:pPr>
              <w:pStyle w:val="Standard"/>
            </w:pPr>
            <w:r>
              <w:t>(0.00901)</w:t>
            </w:r>
          </w:p>
        </w:tc>
      </w:tr>
      <w:tr w:rsidR="006658D9" w:rsidTr="00733DC1" w14:paraId="56F55FC3" w14:textId="77777777">
        <w:trPr>
          <w:jc w:val="center"/>
        </w:trPr>
        <w:tc>
          <w:tcPr>
            <w:tcW w:w="2610" w:type="dxa"/>
          </w:tcPr>
          <w:p w:rsidR="006658D9" w:rsidP="0003431D" w:rsidRDefault="006658D9" w14:paraId="19CFDB6B" w14:textId="77777777">
            <w:pPr>
              <w:pStyle w:val="Standard"/>
            </w:pPr>
            <w:r>
              <w:t>2017</w:t>
            </w:r>
          </w:p>
        </w:tc>
        <w:tc>
          <w:tcPr>
            <w:tcW w:w="2520" w:type="dxa"/>
          </w:tcPr>
          <w:p w:rsidRPr="003C1797" w:rsidR="006658D9" w:rsidP="0003431D" w:rsidRDefault="006658D9" w14:paraId="56214F8B" w14:textId="77777777">
            <w:pPr>
              <w:pStyle w:val="Standard"/>
            </w:pPr>
            <w:r>
              <w:t>(0.00855)</w:t>
            </w:r>
          </w:p>
        </w:tc>
      </w:tr>
      <w:tr w:rsidR="006658D9" w:rsidTr="00733DC1" w14:paraId="39A2BE06" w14:textId="77777777">
        <w:trPr>
          <w:jc w:val="center"/>
        </w:trPr>
        <w:tc>
          <w:tcPr>
            <w:tcW w:w="2610" w:type="dxa"/>
          </w:tcPr>
          <w:p w:rsidR="006658D9" w:rsidP="0003431D" w:rsidRDefault="006658D9" w14:paraId="1E6794A2" w14:textId="77777777">
            <w:pPr>
              <w:pStyle w:val="Standard"/>
            </w:pPr>
            <w:r>
              <w:t>2018</w:t>
            </w:r>
          </w:p>
        </w:tc>
        <w:tc>
          <w:tcPr>
            <w:tcW w:w="2520" w:type="dxa"/>
          </w:tcPr>
          <w:p w:rsidRPr="003C1797" w:rsidR="006658D9" w:rsidP="0003431D" w:rsidRDefault="006658D9" w14:paraId="06BDC7B2" w14:textId="77777777">
            <w:pPr>
              <w:pStyle w:val="Standard"/>
            </w:pPr>
            <w:r>
              <w:t>(0.00996)</w:t>
            </w:r>
          </w:p>
        </w:tc>
      </w:tr>
      <w:tr w:rsidR="006658D9" w:rsidTr="00733DC1" w14:paraId="09D9A667" w14:textId="77777777">
        <w:trPr>
          <w:jc w:val="center"/>
        </w:trPr>
        <w:tc>
          <w:tcPr>
            <w:tcW w:w="2610" w:type="dxa"/>
          </w:tcPr>
          <w:p w:rsidR="006658D9" w:rsidP="0003431D" w:rsidRDefault="006658D9" w14:paraId="3360B529" w14:textId="77777777">
            <w:pPr>
              <w:pStyle w:val="Standard"/>
            </w:pPr>
            <w:r>
              <w:t>2019</w:t>
            </w:r>
          </w:p>
        </w:tc>
        <w:tc>
          <w:tcPr>
            <w:tcW w:w="2520" w:type="dxa"/>
          </w:tcPr>
          <w:p w:rsidRPr="003C1797" w:rsidR="006658D9" w:rsidP="0003431D" w:rsidRDefault="006658D9" w14:paraId="2012BC97" w14:textId="77777777">
            <w:pPr>
              <w:pStyle w:val="Standard"/>
            </w:pPr>
            <w:r>
              <w:t>(0.01240)</w:t>
            </w:r>
          </w:p>
        </w:tc>
      </w:tr>
      <w:tr w:rsidR="006658D9" w:rsidTr="00733DC1" w14:paraId="39E425D6" w14:textId="77777777">
        <w:trPr>
          <w:jc w:val="center"/>
        </w:trPr>
        <w:tc>
          <w:tcPr>
            <w:tcW w:w="2610" w:type="dxa"/>
          </w:tcPr>
          <w:p w:rsidR="006658D9" w:rsidP="0003431D" w:rsidRDefault="006658D9" w14:paraId="7DD18412" w14:textId="77777777">
            <w:pPr>
              <w:pStyle w:val="Standard"/>
            </w:pPr>
            <w:r>
              <w:t>2020</w:t>
            </w:r>
          </w:p>
        </w:tc>
        <w:tc>
          <w:tcPr>
            <w:tcW w:w="2520" w:type="dxa"/>
          </w:tcPr>
          <w:p w:rsidRPr="003C1797" w:rsidR="006658D9" w:rsidP="0003431D" w:rsidRDefault="006658D9" w14:paraId="69C4B1C1" w14:textId="77777777">
            <w:pPr>
              <w:pStyle w:val="Standard"/>
            </w:pPr>
            <w:r>
              <w:t>(0.01949)</w:t>
            </w:r>
          </w:p>
        </w:tc>
      </w:tr>
      <w:tr w:rsidR="006658D9" w:rsidTr="00733DC1" w14:paraId="74AB2D76" w14:textId="77777777">
        <w:trPr>
          <w:jc w:val="center"/>
        </w:trPr>
        <w:tc>
          <w:tcPr>
            <w:tcW w:w="2610" w:type="dxa"/>
          </w:tcPr>
          <w:p w:rsidR="006658D9" w:rsidP="0003431D" w:rsidRDefault="006658D9" w14:paraId="008C4BBA" w14:textId="77777777">
            <w:pPr>
              <w:pStyle w:val="Standard"/>
            </w:pPr>
            <w:r>
              <w:t>2021</w:t>
            </w:r>
          </w:p>
        </w:tc>
        <w:tc>
          <w:tcPr>
            <w:tcW w:w="2520" w:type="dxa"/>
          </w:tcPr>
          <w:p w:rsidRPr="003C1797" w:rsidR="006658D9" w:rsidP="0003431D" w:rsidRDefault="006658D9" w14:paraId="2141CEE7" w14:textId="77777777">
            <w:pPr>
              <w:pStyle w:val="Standard"/>
            </w:pPr>
            <w:r>
              <w:t>(0.01533)</w:t>
            </w:r>
          </w:p>
        </w:tc>
      </w:tr>
      <w:tr w:rsidR="006658D9" w:rsidTr="00733DC1" w14:paraId="32ED1705" w14:textId="77777777">
        <w:trPr>
          <w:jc w:val="center"/>
        </w:trPr>
        <w:tc>
          <w:tcPr>
            <w:tcW w:w="2610" w:type="dxa"/>
          </w:tcPr>
          <w:p w:rsidR="006658D9" w:rsidP="0003431D" w:rsidRDefault="006658D9" w14:paraId="65FC0063" w14:textId="77777777">
            <w:pPr>
              <w:pStyle w:val="Standard"/>
            </w:pPr>
            <w:r>
              <w:t>2022</w:t>
            </w:r>
          </w:p>
        </w:tc>
        <w:tc>
          <w:tcPr>
            <w:tcW w:w="2520" w:type="dxa"/>
          </w:tcPr>
          <w:p w:rsidRPr="003C1797" w:rsidR="006658D9" w:rsidP="0003431D" w:rsidRDefault="006658D9" w14:paraId="0FA7C995" w14:textId="77777777">
            <w:pPr>
              <w:pStyle w:val="Standard"/>
            </w:pPr>
            <w:r>
              <w:t>0.00270</w:t>
            </w:r>
          </w:p>
        </w:tc>
      </w:tr>
      <w:tr w:rsidR="006658D9" w:rsidTr="00733DC1" w14:paraId="78D81ECF" w14:textId="77777777">
        <w:trPr>
          <w:jc w:val="center"/>
        </w:trPr>
        <w:tc>
          <w:tcPr>
            <w:tcW w:w="2610" w:type="dxa"/>
          </w:tcPr>
          <w:p w:rsidR="006658D9" w:rsidP="0003431D" w:rsidRDefault="006658D9" w14:paraId="4C98F601" w14:textId="77777777">
            <w:pPr>
              <w:pStyle w:val="Standard"/>
            </w:pPr>
            <w:r>
              <w:t>2023</w:t>
            </w:r>
          </w:p>
        </w:tc>
        <w:tc>
          <w:tcPr>
            <w:tcW w:w="2520" w:type="dxa"/>
          </w:tcPr>
          <w:p w:rsidRPr="003C1797" w:rsidR="006658D9" w:rsidP="0003431D" w:rsidRDefault="006658D9" w14:paraId="23226061" w14:textId="77777777">
            <w:pPr>
              <w:pStyle w:val="Standard"/>
            </w:pPr>
            <w:r>
              <w:t>(0.00065)</w:t>
            </w:r>
          </w:p>
        </w:tc>
      </w:tr>
      <w:tr w:rsidR="006658D9" w:rsidTr="00733DC1" w14:paraId="24084898" w14:textId="77777777">
        <w:trPr>
          <w:jc w:val="center"/>
        </w:trPr>
        <w:tc>
          <w:tcPr>
            <w:tcW w:w="2610" w:type="dxa"/>
          </w:tcPr>
          <w:p w:rsidR="006658D9" w:rsidP="0003431D" w:rsidRDefault="006658D9" w14:paraId="1622E689" w14:textId="77777777">
            <w:pPr>
              <w:pStyle w:val="Standard"/>
            </w:pPr>
            <w:r>
              <w:t>2024</w:t>
            </w:r>
          </w:p>
        </w:tc>
        <w:tc>
          <w:tcPr>
            <w:tcW w:w="2520" w:type="dxa"/>
          </w:tcPr>
          <w:p w:rsidRPr="003C1797" w:rsidR="006658D9" w:rsidP="0003431D" w:rsidRDefault="006658D9" w14:paraId="53F2C8A5" w14:textId="77777777">
            <w:pPr>
              <w:pStyle w:val="Standard"/>
            </w:pPr>
            <w:r>
              <w:t>(0.00065)</w:t>
            </w:r>
          </w:p>
        </w:tc>
      </w:tr>
    </w:tbl>
    <w:p w:rsidRPr="00733DC1" w:rsidR="006658D9" w:rsidP="00AD40AC" w:rsidRDefault="006658D9" w14:paraId="285FCCEB" w14:textId="77777777">
      <w:pPr>
        <w:pStyle w:val="Standard"/>
        <w:ind w:firstLine="0"/>
        <w:rPr>
          <w:sz w:val="6"/>
          <w:szCs w:val="6"/>
        </w:rPr>
      </w:pPr>
    </w:p>
    <w:p w:rsidR="000A409B" w:rsidP="0026377F" w:rsidRDefault="009D78BA" w14:paraId="07A7A52A" w14:textId="4A3DF5BC">
      <w:pPr>
        <w:pStyle w:val="Standard"/>
      </w:pPr>
      <w:r w:rsidRPr="0026377F">
        <w:t>In</w:t>
      </w:r>
      <w:r>
        <w:t xml:space="preserve"> </w:t>
      </w:r>
      <w:proofErr w:type="gramStart"/>
      <w:r w:rsidRPr="00733DC1">
        <w:t>opening</w:t>
      </w:r>
      <w:proofErr w:type="gramEnd"/>
      <w:r>
        <w:t xml:space="preserve"> testimony, </w:t>
      </w:r>
      <w:proofErr w:type="spellStart"/>
      <w:r>
        <w:t>CalCCA</w:t>
      </w:r>
      <w:proofErr w:type="spellEnd"/>
      <w:r>
        <w:t xml:space="preserve"> argued that SCE should provide a credit to Departing Load customers that paid for vintage 2018 and prior year RECs, if those pre-2019 banked RECs were to be used for SCE’s RPS compliance for its bundled customers. </w:t>
      </w:r>
      <w:proofErr w:type="spellStart"/>
      <w:r>
        <w:t>CalCCA</w:t>
      </w:r>
      <w:proofErr w:type="spellEnd"/>
      <w:r>
        <w:t xml:space="preserve"> argued that these customers will have to pay for current and future RPS compliance in rates charged by their chosen LSE and </w:t>
      </w:r>
      <w:r>
        <w:lastRenderedPageBreak/>
        <w:t>should be compensated for RECs</w:t>
      </w:r>
      <w:r w:rsidR="009908C3">
        <w:t xml:space="preserve"> banked in or before 2018</w:t>
      </w:r>
      <w:r>
        <w:t xml:space="preserve"> if SCE uses them for RPS compliance for its bundled service customers</w:t>
      </w:r>
      <w:r w:rsidR="000A409B">
        <w:t>.</w:t>
      </w:r>
      <w:r w:rsidR="003B1689">
        <w:rPr>
          <w:rStyle w:val="FootnoteReference"/>
        </w:rPr>
        <w:footnoteReference w:id="122"/>
      </w:r>
      <w:r w:rsidR="000A409B">
        <w:t xml:space="preserve"> </w:t>
      </w:r>
    </w:p>
    <w:p w:rsidR="00BD67F7" w:rsidP="00BD67F7" w:rsidRDefault="009D78BA" w14:paraId="20605C80" w14:textId="4609196B">
      <w:pPr>
        <w:pStyle w:val="Standard"/>
      </w:pPr>
      <w:r>
        <w:t xml:space="preserve">SCE addressed many of </w:t>
      </w:r>
      <w:proofErr w:type="spellStart"/>
      <w:r>
        <w:t>CalCCA’s</w:t>
      </w:r>
      <w:proofErr w:type="spellEnd"/>
      <w:r>
        <w:t xml:space="preserve"> concerns in its rebuttal testimony filed on September 12, 2023. SCE argued that in each year, since the effective date of D.19-10-001, all Departing Load customers have received the market value of RECs banked </w:t>
      </w:r>
      <w:r w:rsidR="00241EE6">
        <w:t>in or after 20</w:t>
      </w:r>
      <w:r w:rsidR="006F7ADA">
        <w:t>19</w:t>
      </w:r>
      <w:r>
        <w:t xml:space="preserve"> as revenue that was deducted from the PCIA on a customer vintage basis</w:t>
      </w:r>
      <w:r w:rsidRPr="00B423D0" w:rsidR="00BD67F7">
        <w:t xml:space="preserve">. </w:t>
      </w:r>
    </w:p>
    <w:p w:rsidR="00BD67F7" w:rsidP="0026377F" w:rsidRDefault="00BD67F7" w14:paraId="2BC96FEB" w14:textId="292E7F68">
      <w:pPr>
        <w:pStyle w:val="Standard"/>
      </w:pPr>
      <w:r w:rsidRPr="006A6990">
        <w:t>SCE</w:t>
      </w:r>
      <w:r>
        <w:t xml:space="preserve"> </w:t>
      </w:r>
      <w:r w:rsidRPr="0026377F" w:rsidR="00B20D57">
        <w:t>further</w:t>
      </w:r>
      <w:r w:rsidR="00B20D57">
        <w:t xml:space="preserve"> </w:t>
      </w:r>
      <w:r>
        <w:t>argued that D.18-10-019 and D.19-10-001 implemented changes to RECs banked on or after January 1, 2019,</w:t>
      </w:r>
      <w:r w:rsidR="00241EE6">
        <w:t xml:space="preserve"> including any banked vintage 2018 RECs,</w:t>
      </w:r>
      <w:r>
        <w:t xml:space="preserve"> and that its bundled customers have already collectively purchased and own the RECs banked prior to January 1, 2019, under the PCIA methodology in place prior to D.19-10-001. Therefore, SCE argued, its bundled customers should not have to pay for </w:t>
      </w:r>
      <w:r w:rsidR="00241EE6">
        <w:t xml:space="preserve">vintage 2018 or later </w:t>
      </w:r>
      <w:r>
        <w:t>banked REC</w:t>
      </w:r>
      <w:r w:rsidR="006F562C">
        <w:t>s</w:t>
      </w:r>
      <w:r>
        <w:t xml:space="preserve"> again</w:t>
      </w:r>
      <w:r w:rsidR="00242F54">
        <w:t>, by providing a credit to Departing Load customers,</w:t>
      </w:r>
      <w:r>
        <w:t xml:space="preserve"> when/if the</w:t>
      </w:r>
      <w:r w:rsidR="00242F54">
        <w:t xml:space="preserve"> pre-2019 RECs </w:t>
      </w:r>
      <w:r>
        <w:t>are subsequently retired for RPS compliance purposes.</w:t>
      </w:r>
      <w:r>
        <w:rPr>
          <w:rStyle w:val="FootnoteReference"/>
        </w:rPr>
        <w:footnoteReference w:id="123"/>
      </w:r>
    </w:p>
    <w:p w:rsidR="006658D9" w:rsidP="006658D9" w:rsidRDefault="006658D9" w14:paraId="0FA69015" w14:textId="77777777">
      <w:pPr>
        <w:pStyle w:val="Standard"/>
      </w:pPr>
      <w:r>
        <w:t>On September 11, 2023, SCE filed a Petition for Modification (PFM) of D.23-06-006 seeking clarity regarding the proper treatment and valuation of RECs that were banked prior to 2019, as the value relates to bundled and unbundled customers. The PFM is pending Commission action as of the date of this Decision.</w:t>
      </w:r>
      <w:r>
        <w:rPr>
          <w:rStyle w:val="FootnoteReference"/>
        </w:rPr>
        <w:footnoteReference w:id="124"/>
      </w:r>
      <w:r>
        <w:t xml:space="preserve"> </w:t>
      </w:r>
    </w:p>
    <w:p w:rsidR="00AD40AC" w:rsidP="00103456" w:rsidRDefault="006658D9" w14:paraId="0D8A4058" w14:textId="6C8328C2">
      <w:pPr>
        <w:pStyle w:val="Standard"/>
      </w:pPr>
      <w:r w:rsidRPr="003C1797">
        <w:lastRenderedPageBreak/>
        <w:t xml:space="preserve">We agree </w:t>
      </w:r>
      <w:r w:rsidRPr="00103456">
        <w:t>with</w:t>
      </w:r>
      <w:r w:rsidRPr="003C1797">
        <w:t xml:space="preserve"> SCE that </w:t>
      </w:r>
      <w:r>
        <w:t xml:space="preserve">the Commission has not, to this date, found that SCE’s bundled service customers owe </w:t>
      </w:r>
      <w:r w:rsidR="00241EE6">
        <w:t xml:space="preserve">additional </w:t>
      </w:r>
      <w:r>
        <w:t xml:space="preserve">credits to </w:t>
      </w:r>
      <w:r w:rsidR="007B77EE">
        <w:t>D</w:t>
      </w:r>
      <w:r>
        <w:t xml:space="preserve">eparting </w:t>
      </w:r>
      <w:r w:rsidR="007B77EE">
        <w:t>L</w:t>
      </w:r>
      <w:r>
        <w:t xml:space="preserve">oad customers </w:t>
      </w:r>
      <w:r w:rsidR="00241EE6">
        <w:t>when SCE uses</w:t>
      </w:r>
      <w:r>
        <w:t xml:space="preserve"> RECs </w:t>
      </w:r>
      <w:r w:rsidR="00241EE6">
        <w:t xml:space="preserve">banked </w:t>
      </w:r>
      <w:r w:rsidR="009908C3">
        <w:t>in or before 2018</w:t>
      </w:r>
      <w:r>
        <w:t>.</w:t>
      </w:r>
      <w:r w:rsidR="00103456">
        <w:rPr>
          <w:rStyle w:val="FootnoteReference"/>
        </w:rPr>
        <w:footnoteReference w:id="125"/>
      </w:r>
      <w:r>
        <w:t xml:space="preserve"> However, upon review of SCE’s October Update and </w:t>
      </w:r>
      <w:proofErr w:type="spellStart"/>
      <w:r>
        <w:t>CalCCA’s</w:t>
      </w:r>
      <w:proofErr w:type="spellEnd"/>
      <w:r>
        <w:t xml:space="preserve"> concurrent opening comments and briefs related to the valuations of pre-2019 banked RECs, and upon consideration of the open PFM filed in Rulemaking 17-06-026, we find </w:t>
      </w:r>
      <w:proofErr w:type="spellStart"/>
      <w:r>
        <w:t>CalCCA’s</w:t>
      </w:r>
      <w:proofErr w:type="spellEnd"/>
      <w:r>
        <w:t xml:space="preserve"> proposal to continue the interim process adopted in D.22-12-012</w:t>
      </w:r>
      <w:r w:rsidR="00A05903">
        <w:t>,</w:t>
      </w:r>
      <w:r>
        <w:t xml:space="preserve"> </w:t>
      </w:r>
      <w:r w:rsidR="00A05903">
        <w:t xml:space="preserve">as it relates to the use of banked RECs, </w:t>
      </w:r>
      <w:r>
        <w:t xml:space="preserve">to be reasonable. </w:t>
      </w:r>
    </w:p>
    <w:p w:rsidR="006658D9" w:rsidP="00103456" w:rsidRDefault="006658D9" w14:paraId="03F21DF2" w14:textId="3C544E09">
      <w:pPr>
        <w:pStyle w:val="Standard"/>
      </w:pPr>
      <w:r>
        <w:t xml:space="preserve">D.22-12-012 directed SCE to use RECs </w:t>
      </w:r>
      <w:r w:rsidR="006F7ADA">
        <w:t xml:space="preserve">banked in or after 2019 </w:t>
      </w:r>
      <w:r>
        <w:t xml:space="preserve">for compliance before using any RECs </w:t>
      </w:r>
      <w:r w:rsidR="006F7ADA">
        <w:t>banked in</w:t>
      </w:r>
      <w:r w:rsidR="009A1F0D">
        <w:t>,</w:t>
      </w:r>
      <w:r w:rsidR="006F7ADA">
        <w:t xml:space="preserve"> </w:t>
      </w:r>
      <w:r w:rsidR="009A1F0D">
        <w:t xml:space="preserve">or prior to, </w:t>
      </w:r>
      <w:r w:rsidR="006F7ADA">
        <w:t>2018 and</w:t>
      </w:r>
      <w:r>
        <w:t xml:space="preserve"> found it to be a reasonable interim solution to this contested issue. We therefore direct SCE to utilize all available banked RECs generated in 201</w:t>
      </w:r>
      <w:r w:rsidR="006F7ADA">
        <w:t>8</w:t>
      </w:r>
      <w:r>
        <w:t xml:space="preserve"> or later first, to minimize the potential impact of the use of RECs</w:t>
      </w:r>
      <w:r w:rsidR="006F7ADA">
        <w:t xml:space="preserve"> banked before 2019</w:t>
      </w:r>
      <w:r>
        <w:t xml:space="preserve"> on </w:t>
      </w:r>
      <w:r w:rsidR="009F798C">
        <w:t>D</w:t>
      </w:r>
      <w:r>
        <w:t xml:space="preserve">eparting </w:t>
      </w:r>
      <w:r w:rsidR="009F798C">
        <w:t>L</w:t>
      </w:r>
      <w:r>
        <w:t xml:space="preserve">oad customers. Further, we direct SCE to continue to apply this interim process </w:t>
      </w:r>
      <w:r w:rsidR="009F798C">
        <w:t xml:space="preserve">until or </w:t>
      </w:r>
      <w:r>
        <w:t xml:space="preserve">unless a decision is reached </w:t>
      </w:r>
      <w:proofErr w:type="gramStart"/>
      <w:r>
        <w:t>on</w:t>
      </w:r>
      <w:proofErr w:type="gramEnd"/>
      <w:r>
        <w:t xml:space="preserve"> the PFM.</w:t>
      </w:r>
    </w:p>
    <w:p w:rsidR="006658D9" w:rsidP="006658D9" w:rsidRDefault="006658D9" w14:paraId="7A7375BF" w14:textId="2E3DF043">
      <w:pPr>
        <w:pStyle w:val="Standard"/>
      </w:pPr>
      <w:r>
        <w:t xml:space="preserve">SCE </w:t>
      </w:r>
      <w:r w:rsidR="00AD40AC">
        <w:t>shall</w:t>
      </w:r>
      <w:r>
        <w:t xml:space="preserve"> update its PCIA forecast for 2024 to adhere to the interim process described above for the treatment of banked </w:t>
      </w:r>
      <w:proofErr w:type="spellStart"/>
      <w:r>
        <w:t>RECs.</w:t>
      </w:r>
      <w:proofErr w:type="spellEnd"/>
      <w:r>
        <w:t xml:space="preserve"> We also identify that the current scope of SCE’s PFM to D.23-06-006 focuses on the valuation of </w:t>
      </w:r>
      <w:r w:rsidR="00F52A67">
        <w:t>RECs</w:t>
      </w:r>
      <w:r>
        <w:t xml:space="preserve"> banked</w:t>
      </w:r>
      <w:r w:rsidR="00DF54AE">
        <w:t xml:space="preserve"> in or before </w:t>
      </w:r>
      <w:r w:rsidR="00F52A67">
        <w:t>201</w:t>
      </w:r>
      <w:r w:rsidR="00DF54AE">
        <w:t>8</w:t>
      </w:r>
      <w:r>
        <w:t>, so we do not address this contested issue here, beyond the directive assigned for SCE’s 2024 ERRA Forecast implementation</w:t>
      </w:r>
      <w:r w:rsidR="006314D6">
        <w:t xml:space="preserve"> and its next ERRA Forecast application</w:t>
      </w:r>
      <w:r>
        <w:t>.</w:t>
      </w:r>
      <w:r w:rsidR="00775FF3">
        <w:t xml:space="preserve"> Discussion on the valuation of RECs</w:t>
      </w:r>
      <w:r w:rsidR="00F52A67">
        <w:t xml:space="preserve"> banked prior to </w:t>
      </w:r>
      <w:r w:rsidR="00F52A67">
        <w:lastRenderedPageBreak/>
        <w:t>2019</w:t>
      </w:r>
      <w:r w:rsidR="00775FF3">
        <w:t xml:space="preserve">, if deemed necessary for SCE’s bundled customer </w:t>
      </w:r>
      <w:r w:rsidR="00F52A67">
        <w:t xml:space="preserve">2024 </w:t>
      </w:r>
      <w:r w:rsidR="00775FF3">
        <w:t xml:space="preserve">RPS compliance, is </w:t>
      </w:r>
      <w:r w:rsidR="0013073A">
        <w:t>included</w:t>
      </w:r>
      <w:r w:rsidR="00FA1AEF">
        <w:t xml:space="preserve"> in Section 6.5 below.</w:t>
      </w:r>
      <w:r w:rsidR="00F52A67">
        <w:rPr>
          <w:rStyle w:val="FootnoteReference"/>
        </w:rPr>
        <w:footnoteReference w:id="126"/>
      </w:r>
    </w:p>
    <w:bookmarkEnd w:id="54"/>
    <w:p w:rsidR="000A409B" w:rsidP="000A409B" w:rsidRDefault="000A409B" w14:paraId="15561576" w14:textId="77777777">
      <w:pPr>
        <w:pStyle w:val="Standard"/>
      </w:pPr>
      <w:proofErr w:type="spellStart"/>
      <w:r>
        <w:t>CalCCA</w:t>
      </w:r>
      <w:proofErr w:type="spellEnd"/>
      <w:r>
        <w:t xml:space="preserve"> separately stated SCE’s inclusion of negative generation from energy storage systems in the PCIA “acts as an additional portfolio cost… because it reduces the total portfolio generation output to which the Energy Index MPB is applied; and, therefore, reduces the market value of energy in the Indifference Account.”</w:t>
      </w:r>
      <w:r>
        <w:rPr>
          <w:rStyle w:val="FootnoteReference"/>
        </w:rPr>
        <w:footnoteReference w:id="127"/>
      </w:r>
      <w:r>
        <w:t xml:space="preserve"> </w:t>
      </w:r>
      <w:proofErr w:type="spellStart"/>
      <w:r>
        <w:t>CalCCA</w:t>
      </w:r>
      <w:proofErr w:type="spellEnd"/>
      <w:r>
        <w:t xml:space="preserve"> suggested that SCE’s inclusion of the cost of purchasing energy to charge its energy storage resources and the negative generation from energy storage systems results in double-counting of nearly half of the storage costs in its Indifference Account.</w:t>
      </w:r>
      <w:r>
        <w:rPr>
          <w:rStyle w:val="FootnoteReference"/>
        </w:rPr>
        <w:footnoteReference w:id="128"/>
      </w:r>
      <w:r>
        <w:t xml:space="preserve"> </w:t>
      </w:r>
    </w:p>
    <w:p w:rsidR="006658D9" w:rsidP="00AD40AC" w:rsidRDefault="006658D9" w14:paraId="610A8391" w14:textId="08C0D99D">
      <w:pPr>
        <w:pStyle w:val="Standard"/>
      </w:pPr>
      <w:proofErr w:type="spellStart"/>
      <w:r>
        <w:t>CalCCA</w:t>
      </w:r>
      <w:proofErr w:type="spellEnd"/>
      <w:r>
        <w:t xml:space="preserve"> also noted that SCE included an adjustment in its PCIA workpapers that reduces RA attributes at solar facilities where </w:t>
      </w:r>
      <w:r w:rsidR="003D5E99">
        <w:t>newly installed</w:t>
      </w:r>
      <w:r>
        <w:t xml:space="preserve"> energy storage resources have been added pursuant to D.19-11-016. </w:t>
      </w:r>
      <w:proofErr w:type="spellStart"/>
      <w:r>
        <w:t>CalCCA</w:t>
      </w:r>
      <w:proofErr w:type="spellEnd"/>
      <w:r>
        <w:t xml:space="preserve"> referenced SCE’s Advice Letter 4218-E, which stated “because cost responsibility for the Existing RPS PPAs is via the PABA and not Modified CAM (meaning some customers are responsible for the existing solar projects via the PABA but are not responsible for the co-located energy storage projects due to their LSE electing to self-procure pursuant to D.19-11-016), it is necessary to credit the PABA by applying a corresponding debit entry to the Modified CAM account to </w:t>
      </w:r>
      <w:r>
        <w:lastRenderedPageBreak/>
        <w:t>prevent cost-shifting if a change in value results in the existing solar projects from co-locating the energy storage projects.”</w:t>
      </w:r>
      <w:r>
        <w:rPr>
          <w:rStyle w:val="FootnoteReference"/>
        </w:rPr>
        <w:footnoteReference w:id="129"/>
      </w:r>
      <w:r w:rsidR="00AD40AC">
        <w:tab/>
      </w:r>
    </w:p>
    <w:p w:rsidR="00BD67F7" w:rsidP="00BD67F7" w:rsidRDefault="00BD67F7" w14:paraId="69D766E8" w14:textId="4B559E58">
      <w:pPr>
        <w:pStyle w:val="Standard"/>
      </w:pPr>
      <w:r>
        <w:t xml:space="preserve">In its rebuttal testimony, SCE noted that the key difference between its revised methodology and </w:t>
      </w:r>
      <w:proofErr w:type="spellStart"/>
      <w:r>
        <w:t>CalCCA’s</w:t>
      </w:r>
      <w:proofErr w:type="spellEnd"/>
      <w:r>
        <w:t xml:space="preserve"> proposed methodology is the forecasted “price” of discharging battery-stored energy. </w:t>
      </w:r>
      <w:r w:rsidR="00CF6421">
        <w:t>In</w:t>
      </w:r>
      <w:r w:rsidR="000E50D3">
        <w:t xml:space="preserve"> Exhibit SCE-05C (at 9-10)</w:t>
      </w:r>
      <w:r w:rsidR="00CF6421">
        <w:t xml:space="preserve">, SCE described </w:t>
      </w:r>
      <w:r w:rsidR="00833660">
        <w:t>how</w:t>
      </w:r>
      <w:r w:rsidR="000E50D3">
        <w:t xml:space="preserve"> its original methodology </w:t>
      </w:r>
      <w:r w:rsidR="00833660">
        <w:t xml:space="preserve">for valuing energy storage contract costs </w:t>
      </w:r>
      <w:r w:rsidR="000E50D3">
        <w:t xml:space="preserve">had “imperfections” </w:t>
      </w:r>
      <w:r w:rsidR="0061259C">
        <w:t xml:space="preserve">and </w:t>
      </w:r>
      <w:r w:rsidR="00833660">
        <w:t xml:space="preserve">then </w:t>
      </w:r>
      <w:r w:rsidR="0061259C">
        <w:t>provided an updated methodology that separated the charging cost from the discharging value, which applied the lower off-peak price to forecast the charging costs and the Energy Index MPB to forecast the value of discharging the battery.</w:t>
      </w:r>
      <w:r w:rsidR="008D12AA">
        <w:t xml:space="preserve"> </w:t>
      </w:r>
      <w:r w:rsidR="00201312">
        <w:t>In</w:t>
      </w:r>
      <w:r w:rsidR="00457A71">
        <w:t xml:space="preserve"> its </w:t>
      </w:r>
      <w:r w:rsidR="00201312">
        <w:t>opening</w:t>
      </w:r>
      <w:r w:rsidR="00457A71">
        <w:t xml:space="preserve"> brief </w:t>
      </w:r>
      <w:r w:rsidR="00201312">
        <w:t>and</w:t>
      </w:r>
      <w:r w:rsidR="00457A71">
        <w:t xml:space="preserve"> </w:t>
      </w:r>
      <w:r w:rsidR="00201312">
        <w:t xml:space="preserve">its reply </w:t>
      </w:r>
      <w:r w:rsidR="00457A71">
        <w:t>comments</w:t>
      </w:r>
      <w:r w:rsidR="00201312">
        <w:t xml:space="preserve"> on the Proposed Decision</w:t>
      </w:r>
      <w:r w:rsidR="00457A71">
        <w:t xml:space="preserve">, SCE </w:t>
      </w:r>
      <w:r w:rsidR="00201312">
        <w:t>explained</w:t>
      </w:r>
      <w:r w:rsidR="00457A71">
        <w:t xml:space="preserve"> that its proposed methodology uses a total portfolio approach to determine the costs, market value, and above market costs of SCE’s PCIA-eligible portfolio.</w:t>
      </w:r>
      <w:r w:rsidR="00201312">
        <w:rPr>
          <w:rStyle w:val="FootnoteReference"/>
        </w:rPr>
        <w:footnoteReference w:id="130"/>
      </w:r>
      <w:r w:rsidR="00457A71">
        <w:t xml:space="preserve"> </w:t>
      </w:r>
      <w:r w:rsidR="00201312">
        <w:t xml:space="preserve">In its opening comments to the PD, </w:t>
      </w:r>
      <w:proofErr w:type="spellStart"/>
      <w:r w:rsidR="00201312">
        <w:t>CalCCA</w:t>
      </w:r>
      <w:proofErr w:type="spellEnd"/>
      <w:r w:rsidR="00201312">
        <w:t xml:space="preserve"> argued that the portfolio approach proposed by SCE would result in market value being forecasted differently for different PCIA-eligible technologies, but it concurred that CAISO may call upon energy storage resources at times other than peak hours.</w:t>
      </w:r>
      <w:r w:rsidR="00201312">
        <w:rPr>
          <w:rStyle w:val="FootnoteReference"/>
        </w:rPr>
        <w:footnoteReference w:id="131"/>
      </w:r>
      <w:r w:rsidR="00201312">
        <w:t xml:space="preserve"> </w:t>
      </w:r>
      <w:r w:rsidR="007F363F">
        <w:t>Upon review of SCE’s testimony and Opening and Reply Comments and Briefs to SCE’s October Update, we find SCE’s updated methodology to be reasonable</w:t>
      </w:r>
      <w:r w:rsidR="00457A71">
        <w:t xml:space="preserve"> and in line with </w:t>
      </w:r>
      <w:r w:rsidR="00201312">
        <w:t>the PCIA</w:t>
      </w:r>
      <w:r w:rsidR="00457A71">
        <w:t xml:space="preserve"> methodology</w:t>
      </w:r>
      <w:r w:rsidR="007F363F">
        <w:t xml:space="preserve">. </w:t>
      </w:r>
      <w:r>
        <w:t xml:space="preserve">We agree </w:t>
      </w:r>
      <w:r>
        <w:lastRenderedPageBreak/>
        <w:t xml:space="preserve">that the </w:t>
      </w:r>
      <w:proofErr w:type="gramStart"/>
      <w:r>
        <w:t>discharging</w:t>
      </w:r>
      <w:proofErr w:type="gramEnd"/>
      <w:r>
        <w:t xml:space="preserve"> price should not, </w:t>
      </w:r>
      <w:proofErr w:type="gramStart"/>
      <w:r>
        <w:t>on the whole</w:t>
      </w:r>
      <w:proofErr w:type="gramEnd"/>
      <w:r>
        <w:t xml:space="preserve">, be valued at SCE’s on-peak pricing costs, because the resource could be called upon at other times of the day. </w:t>
      </w:r>
      <w:r w:rsidR="00FA1AEF">
        <w:t xml:space="preserve">We also agree that </w:t>
      </w:r>
      <w:r w:rsidR="002A3DDE">
        <w:t xml:space="preserve">charging batteries during off-peak hours should be encouraged and find the use of off-peak pricing </w:t>
      </w:r>
      <w:r w:rsidR="002933DF">
        <w:t xml:space="preserve">for battery charging </w:t>
      </w:r>
      <w:r w:rsidR="002A3DDE">
        <w:t xml:space="preserve">in SCE’s 2024 ERRA Forecast to be reasonable. </w:t>
      </w:r>
      <w:r>
        <w:t>Therefore, we adopt SCE’s proposal to use its updated methodology as illustrated by the</w:t>
      </w:r>
      <w:r w:rsidR="00BE1227">
        <w:t xml:space="preserve"> bottom row of the</w:t>
      </w:r>
      <w:r>
        <w:t xml:space="preserve"> diagram below:</w:t>
      </w:r>
    </w:p>
    <w:p w:rsidR="00BD67F7" w:rsidP="00BD67F7" w:rsidRDefault="00BD67F7" w14:paraId="0793B8A3" w14:textId="480F0D7C">
      <w:pPr>
        <w:pStyle w:val="Standard"/>
      </w:pPr>
      <w:r>
        <w:t xml:space="preserve">Figure </w:t>
      </w:r>
      <w:r w:rsidR="00E17DB5">
        <w:t>6.4.1</w:t>
      </w:r>
      <w:r>
        <w:t>-1</w:t>
      </w:r>
      <w:r>
        <w:rPr>
          <w:rStyle w:val="FootnoteReference"/>
        </w:rPr>
        <w:footnoteReference w:id="132"/>
      </w:r>
      <w:r>
        <w:t xml:space="preserve"> </w:t>
      </w:r>
      <w:r w:rsidRPr="00CB4F0F">
        <w:rPr>
          <w:noProof/>
        </w:rPr>
        <w:drawing>
          <wp:inline distT="0" distB="0" distL="0" distR="0" wp14:anchorId="6EC09555" wp14:editId="6D2DD1DE">
            <wp:extent cx="5943600" cy="1714500"/>
            <wp:effectExtent l="0" t="0" r="0" b="0"/>
            <wp:docPr id="1668996260" name="Picture 16689962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15911" name="Picture 1" descr="Diagram&#10;&#10;Description automatically generated"/>
                    <pic:cNvPicPr/>
                  </pic:nvPicPr>
                  <pic:blipFill>
                    <a:blip r:embed="rId16"/>
                    <a:stretch>
                      <a:fillRect/>
                    </a:stretch>
                  </pic:blipFill>
                  <pic:spPr>
                    <a:xfrm>
                      <a:off x="0" y="0"/>
                      <a:ext cx="5943600" cy="1714500"/>
                    </a:xfrm>
                    <a:prstGeom prst="rect">
                      <a:avLst/>
                    </a:prstGeom>
                  </pic:spPr>
                </pic:pic>
              </a:graphicData>
            </a:graphic>
          </wp:inline>
        </w:drawing>
      </w:r>
    </w:p>
    <w:p w:rsidRPr="006A6990" w:rsidR="00BD67F7" w:rsidP="00BD67F7" w:rsidRDefault="00BD67F7" w14:paraId="491EFD56" w14:textId="77777777">
      <w:pPr>
        <w:pStyle w:val="Standard"/>
        <w:rPr>
          <w:sz w:val="16"/>
          <w:szCs w:val="16"/>
        </w:rPr>
      </w:pPr>
    </w:p>
    <w:p w:rsidR="00011880" w:rsidP="004B1296" w:rsidRDefault="00AD40AC" w14:paraId="7E360194" w14:textId="32D086F9">
      <w:pPr>
        <w:pStyle w:val="Heading3"/>
      </w:pPr>
      <w:bookmarkStart w:name="_Toc152331423" w:id="55"/>
      <w:r>
        <w:t xml:space="preserve">Customer Transition Cost </w:t>
      </w:r>
      <w:r w:rsidRPr="004B1296" w:rsidR="00011880">
        <w:t>Surcharge</w:t>
      </w:r>
      <w:bookmarkEnd w:id="55"/>
    </w:p>
    <w:p w:rsidR="00011880" w:rsidP="00AB41BA" w:rsidRDefault="00011880" w14:paraId="7006F3A0" w14:textId="6969240A">
      <w:pPr>
        <w:pStyle w:val="Standard"/>
      </w:pPr>
      <w:r>
        <w:t xml:space="preserve">The </w:t>
      </w:r>
      <w:r w:rsidR="00AD40AC">
        <w:t>Customer Transition Cost (</w:t>
      </w:r>
      <w:r>
        <w:t>CTC</w:t>
      </w:r>
      <w:r w:rsidR="00AD40AC">
        <w:t>)</w:t>
      </w:r>
      <w:r>
        <w:t xml:space="preserve"> Surcharge recovers all above-market costs associated with contracts previously necessary </w:t>
      </w:r>
      <w:r w:rsidR="00B03609">
        <w:t>to</w:t>
      </w:r>
      <w:r>
        <w:t xml:space="preserve"> serve departing customers, regardless of </w:t>
      </w:r>
      <w:r w:rsidRPr="00AB41BA">
        <w:t>their</w:t>
      </w:r>
      <w:r>
        <w:t xml:space="preserve"> date of departure from investor-owned utility </w:t>
      </w:r>
      <w:r w:rsidR="00B03609">
        <w:t xml:space="preserve">generation </w:t>
      </w:r>
      <w:r>
        <w:t xml:space="preserve">service. </w:t>
      </w:r>
      <w:r w:rsidR="00182268">
        <w:t>For</w:t>
      </w:r>
      <w:r w:rsidR="00B03609">
        <w:t xml:space="preserve"> 2024, </w:t>
      </w:r>
      <w:r w:rsidR="00373D9A">
        <w:t>SCE</w:t>
      </w:r>
      <w:r w:rsidR="002033E8">
        <w:t xml:space="preserve">’s October Update and its associated </w:t>
      </w:r>
      <w:r w:rsidR="00F52A67">
        <w:t>errata</w:t>
      </w:r>
      <w:r w:rsidR="00373D9A">
        <w:t xml:space="preserve"> </w:t>
      </w:r>
      <w:r w:rsidR="00D84A15">
        <w:t>forecasted</w:t>
      </w:r>
      <w:r w:rsidRPr="00454D1A" w:rsidR="00D84A15">
        <w:t xml:space="preserve"> the </w:t>
      </w:r>
      <w:r w:rsidRPr="003C1797" w:rsidR="00D84A15">
        <w:t xml:space="preserve">following </w:t>
      </w:r>
      <w:r w:rsidRPr="003C1797" w:rsidR="00314057">
        <w:t xml:space="preserve">average </w:t>
      </w:r>
      <w:r w:rsidRPr="003C1797" w:rsidR="00D84A15">
        <w:t>CTC costs:  (1) $0.000</w:t>
      </w:r>
      <w:r w:rsidR="006D4527">
        <w:t>20</w:t>
      </w:r>
      <w:r w:rsidRPr="003C1797" w:rsidR="00D84A15">
        <w:t>/kWh for Domestic (D); (2) $0.000</w:t>
      </w:r>
      <w:r w:rsidR="006D4527">
        <w:t>19</w:t>
      </w:r>
      <w:r w:rsidRPr="003C1797" w:rsidR="00D84A15">
        <w:t>/kWh for S</w:t>
      </w:r>
      <w:r w:rsidR="003C1797">
        <w:t>treet</w:t>
      </w:r>
      <w:r w:rsidRPr="003C1797" w:rsidR="00D84A15">
        <w:t xml:space="preserve"> Lighting customers; (3) $0.000</w:t>
      </w:r>
      <w:r w:rsidRPr="003C1797" w:rsidR="00314057">
        <w:t>1</w:t>
      </w:r>
      <w:r w:rsidR="006D4527">
        <w:t>5</w:t>
      </w:r>
      <w:r w:rsidRPr="003C1797" w:rsidR="00D84A15">
        <w:t>/kWh for TOU</w:t>
      </w:r>
      <w:r w:rsidRPr="003C1797" w:rsidR="00D84A15">
        <w:noBreakHyphen/>
        <w:t>GS</w:t>
      </w:r>
      <w:r w:rsidRPr="003C1797" w:rsidR="00D84A15">
        <w:noBreakHyphen/>
        <w:t>1, TC</w:t>
      </w:r>
      <w:r w:rsidRPr="003C1797" w:rsidR="00D84A15">
        <w:noBreakHyphen/>
        <w:t>1, TOU</w:t>
      </w:r>
      <w:r w:rsidRPr="003C1797" w:rsidR="00D84A15">
        <w:noBreakHyphen/>
        <w:t>GS</w:t>
      </w:r>
      <w:r w:rsidRPr="003C1797" w:rsidR="00D84A15">
        <w:noBreakHyphen/>
        <w:t xml:space="preserve">2, </w:t>
      </w:r>
      <w:r w:rsidR="00CB3599">
        <w:t xml:space="preserve">and </w:t>
      </w:r>
      <w:r w:rsidRPr="003C1797" w:rsidR="00D84A15">
        <w:t>TOU</w:t>
      </w:r>
      <w:r w:rsidRPr="003C1797" w:rsidR="00D84A15">
        <w:noBreakHyphen/>
        <w:t>GS</w:t>
      </w:r>
      <w:r w:rsidRPr="003C1797" w:rsidR="00D84A15">
        <w:noBreakHyphen/>
        <w:t>2</w:t>
      </w:r>
      <w:r w:rsidR="006D4527">
        <w:t>; $0.00014/kWh for</w:t>
      </w:r>
      <w:r w:rsidR="00CB3599">
        <w:t xml:space="preserve"> </w:t>
      </w:r>
      <w:r w:rsidRPr="003C1797" w:rsidR="00D84A15">
        <w:t>TOU</w:t>
      </w:r>
      <w:r w:rsidRPr="003C1797" w:rsidR="00D84A15">
        <w:noBreakHyphen/>
        <w:t>8</w:t>
      </w:r>
      <w:r w:rsidRPr="003C1797" w:rsidR="00D84A15">
        <w:noBreakHyphen/>
        <w:t>Sec</w:t>
      </w:r>
      <w:r w:rsidR="006D4527">
        <w:t xml:space="preserve"> and</w:t>
      </w:r>
      <w:r w:rsidRPr="003C1797" w:rsidR="00D84A15">
        <w:t xml:space="preserve"> TOU</w:t>
      </w:r>
      <w:r w:rsidRPr="003C1797" w:rsidR="00D84A15">
        <w:noBreakHyphen/>
        <w:t>8</w:t>
      </w:r>
      <w:r w:rsidRPr="003C1797" w:rsidR="00D84A15">
        <w:noBreakHyphen/>
        <w:t>Pri</w:t>
      </w:r>
      <w:r w:rsidR="006D4527">
        <w:t>; $0.00015/kWh for</w:t>
      </w:r>
      <w:r w:rsidRPr="003C1797" w:rsidR="00D84A15">
        <w:t xml:space="preserve"> TOU</w:t>
      </w:r>
      <w:r w:rsidRPr="003C1797" w:rsidR="00D84A15">
        <w:noBreakHyphen/>
        <w:t>PA</w:t>
      </w:r>
      <w:r w:rsidRPr="003C1797" w:rsidR="00D84A15">
        <w:noBreakHyphen/>
        <w:t>2, TOU</w:t>
      </w:r>
      <w:r w:rsidRPr="003C1797" w:rsidR="00D84A15">
        <w:noBreakHyphen/>
        <w:t>PA</w:t>
      </w:r>
      <w:r w:rsidRPr="003C1797" w:rsidR="00D84A15">
        <w:noBreakHyphen/>
        <w:t xml:space="preserve">3, </w:t>
      </w:r>
      <w:r w:rsidR="00CB3599">
        <w:t xml:space="preserve">and </w:t>
      </w:r>
      <w:r w:rsidRPr="003C1797" w:rsidR="00D84A15">
        <w:t>Standby</w:t>
      </w:r>
      <w:r w:rsidRPr="003C1797" w:rsidR="00D84A15">
        <w:noBreakHyphen/>
        <w:t xml:space="preserve">Sec; </w:t>
      </w:r>
      <w:r w:rsidRPr="003C1797" w:rsidR="00D84A15">
        <w:lastRenderedPageBreak/>
        <w:t>(4) $0.00</w:t>
      </w:r>
      <w:r w:rsidRPr="003C1797" w:rsidR="00314057">
        <w:t>1</w:t>
      </w:r>
      <w:r w:rsidR="006D4527">
        <w:t>4</w:t>
      </w:r>
      <w:r w:rsidRPr="003C1797" w:rsidR="00D84A15">
        <w:t xml:space="preserve">/kWh for </w:t>
      </w:r>
      <w:r w:rsidRPr="000D49E4" w:rsidR="006D4527">
        <w:t>Standby</w:t>
      </w:r>
      <w:r w:rsidRPr="000D49E4" w:rsidR="006D4527">
        <w:noBreakHyphen/>
      </w:r>
      <w:proofErr w:type="spellStart"/>
      <w:r w:rsidRPr="000D49E4" w:rsidR="006D4527">
        <w:t>Pri</w:t>
      </w:r>
      <w:proofErr w:type="spellEnd"/>
      <w:r w:rsidRPr="000D49E4" w:rsidR="006D4527">
        <w:t xml:space="preserve"> </w:t>
      </w:r>
      <w:r w:rsidR="00641F11">
        <w:t>customers</w:t>
      </w:r>
      <w:r w:rsidR="006D4527">
        <w:t>;</w:t>
      </w:r>
      <w:r w:rsidRPr="003C1797" w:rsidR="00D84A15">
        <w:t xml:space="preserve"> and </w:t>
      </w:r>
      <w:r w:rsidR="006D4527">
        <w:t xml:space="preserve">$0.00013/kWh </w:t>
      </w:r>
      <w:r w:rsidR="00CB3599">
        <w:t xml:space="preserve">for </w:t>
      </w:r>
      <w:r w:rsidRPr="003C1797" w:rsidR="003F2725">
        <w:t>TOU</w:t>
      </w:r>
      <w:r w:rsidRPr="003C1797" w:rsidR="003F2725">
        <w:noBreakHyphen/>
        <w:t>8</w:t>
      </w:r>
      <w:r w:rsidRPr="003C1797" w:rsidR="003F2725">
        <w:noBreakHyphen/>
        <w:t>Sub</w:t>
      </w:r>
      <w:r w:rsidR="003F2725">
        <w:t xml:space="preserve"> and </w:t>
      </w:r>
      <w:r w:rsidRPr="003C1797" w:rsidR="00D84A15">
        <w:t>Standby</w:t>
      </w:r>
      <w:r w:rsidRPr="003C1797" w:rsidR="00D84A15">
        <w:noBreakHyphen/>
        <w:t>Sub customers of all vintages</w:t>
      </w:r>
      <w:r w:rsidRPr="003C1797" w:rsidR="00182268">
        <w:t>.</w:t>
      </w:r>
      <w:r w:rsidR="00314057">
        <w:rPr>
          <w:rStyle w:val="FootnoteReference"/>
        </w:rPr>
        <w:footnoteReference w:id="133"/>
      </w:r>
    </w:p>
    <w:p w:rsidR="00011880" w:rsidP="006A6990" w:rsidRDefault="00011880" w14:paraId="2E89D464" w14:textId="70673BC9">
      <w:pPr>
        <w:pStyle w:val="Heading3"/>
      </w:pPr>
      <w:bookmarkStart w:name="_Toc152331424" w:id="56"/>
      <w:r w:rsidRPr="006A6990">
        <w:t>Wildfire</w:t>
      </w:r>
      <w:r>
        <w:t xml:space="preserve"> Fund Non-</w:t>
      </w:r>
      <w:proofErr w:type="spellStart"/>
      <w:r>
        <w:t>Bypassable</w:t>
      </w:r>
      <w:proofErr w:type="spellEnd"/>
      <w:r>
        <w:t xml:space="preserve"> Charge</w:t>
      </w:r>
      <w:bookmarkEnd w:id="56"/>
    </w:p>
    <w:p w:rsidR="00AD40AC" w:rsidP="00AB41BA" w:rsidRDefault="00AD40AC" w14:paraId="6CCFB06A" w14:textId="77777777">
      <w:pPr>
        <w:pStyle w:val="Standard"/>
      </w:pPr>
      <w:r>
        <w:t>The Wildfire Fund Non-</w:t>
      </w:r>
      <w:proofErr w:type="spellStart"/>
      <w:r>
        <w:t>Bypassable</w:t>
      </w:r>
      <w:proofErr w:type="spellEnd"/>
      <w:r>
        <w:t xml:space="preserve"> Charge </w:t>
      </w:r>
      <w:r w:rsidRPr="00AC728D">
        <w:t>(</w:t>
      </w:r>
      <w:r>
        <w:t xml:space="preserve">WF </w:t>
      </w:r>
      <w:r w:rsidRPr="00AC728D">
        <w:t xml:space="preserve">NBC) </w:t>
      </w:r>
      <w:r>
        <w:t xml:space="preserve">helps fund the Wildfire Fund, which is an insurance fund that allows recovery of prudently incurred utility wildfire costs and provides financial security to California’s electrical corporations. Each year, the Commission adopts a rate for the WF NBC to be collected by the IOUs from eligible customers to fund an </w:t>
      </w:r>
      <w:r w:rsidRPr="000A2734">
        <w:t xml:space="preserve">annual revenue requirement for the </w:t>
      </w:r>
      <w:r>
        <w:t xml:space="preserve">statewide </w:t>
      </w:r>
      <w:r w:rsidRPr="000A2734">
        <w:t>Wildfire Fund</w:t>
      </w:r>
      <w:r>
        <w:t xml:space="preserve"> of</w:t>
      </w:r>
      <w:r w:rsidRPr="000A2734">
        <w:t xml:space="preserve"> $902</w:t>
      </w:r>
      <w:r>
        <w:t xml:space="preserve">.4 million. For 2023, SCE’s WF NBC is $0.00530/kWh. </w:t>
      </w:r>
      <w:r w:rsidRPr="0071109B">
        <w:t xml:space="preserve">For 2024, SCE estimated that the cost recovered from all customer classes for the </w:t>
      </w:r>
      <w:r>
        <w:t>WF</w:t>
      </w:r>
      <w:r w:rsidRPr="0071109B">
        <w:t xml:space="preserve"> NBC to be $0.00561/kWh.</w:t>
      </w:r>
      <w:r>
        <w:t xml:space="preserve"> SCE noted that it will update the WF NBC in its PCIA workpapers as part of the January 1, 2024, consolidated revenue requirement and rate change that is anticipated to be approved within R.23-03-007 by the Commission in December 2023.</w:t>
      </w:r>
      <w:r>
        <w:rPr>
          <w:rStyle w:val="FootnoteReference"/>
        </w:rPr>
        <w:footnoteReference w:id="134"/>
      </w:r>
      <w:r>
        <w:t xml:space="preserve"> </w:t>
      </w:r>
    </w:p>
    <w:p w:rsidRPr="00182268" w:rsidR="001C7F40" w:rsidP="006A6990" w:rsidRDefault="001C7F40" w14:paraId="2D6A5C7A" w14:textId="6D08D919">
      <w:pPr>
        <w:pStyle w:val="Standard"/>
      </w:pPr>
      <w:r>
        <w:t>No parties directly addressed SCE’s forecasted 2024 Wildfire Fund NBC costs, and upon review of SCE’s testimony and the annual allocation of each IOU’s contribution, we find the forecasted costs to be reasonable and in line with state and Commission regulatory requirements</w:t>
      </w:r>
      <w:r w:rsidR="00E119AC">
        <w:t>, and thereby approve them</w:t>
      </w:r>
      <w:r>
        <w:t>.</w:t>
      </w:r>
    </w:p>
    <w:p w:rsidRPr="008C6464" w:rsidR="008C6464" w:rsidP="006A6990" w:rsidRDefault="00CB3599" w14:paraId="66590959" w14:textId="4BC02D94">
      <w:pPr>
        <w:pStyle w:val="Heading2"/>
      </w:pPr>
      <w:bookmarkStart w:name="_Toc152331425" w:id="57"/>
      <w:r>
        <w:t>Renewables</w:t>
      </w:r>
      <w:r w:rsidR="008C6464">
        <w:t xml:space="preserve"> Portfolio Stan</w:t>
      </w:r>
      <w:r w:rsidR="00103DD2">
        <w:t xml:space="preserve">dard Value </w:t>
      </w:r>
      <w:r w:rsidR="008C6464">
        <w:t xml:space="preserve">and the </w:t>
      </w:r>
      <w:r w:rsidRPr="008C6464" w:rsidR="008C6464">
        <w:t>Voluntary Allocation Market Offer Process</w:t>
      </w:r>
      <w:bookmarkEnd w:id="57"/>
    </w:p>
    <w:p w:rsidR="008C6464" w:rsidP="006A6990" w:rsidRDefault="008C6464" w14:paraId="610DC905" w14:textId="3B19C993">
      <w:pPr>
        <w:pStyle w:val="Standard"/>
      </w:pPr>
      <w:bookmarkStart w:name="_Hlk149819559" w:id="58"/>
      <w:r>
        <w:t xml:space="preserve">SCE </w:t>
      </w:r>
      <w:r w:rsidRPr="006A6990">
        <w:t>included</w:t>
      </w:r>
      <w:r>
        <w:t xml:space="preserve"> forecasts of its PCIA and non-PCIA eligible renewable energy certificates (RECs) </w:t>
      </w:r>
      <w:r w:rsidR="00091E76">
        <w:t xml:space="preserve">using a three-step process: (1) calculating the RECs elected by parties during the Voluntary Allocation Market Offer (VAMO) Process adopted in D.21-05-030; (2) assuming all unallocated RECs are offered </w:t>
      </w:r>
      <w:r w:rsidR="00091E76">
        <w:lastRenderedPageBreak/>
        <w:t>via the Market Offer Process; and (3) evaluating SCE’s R</w:t>
      </w:r>
      <w:r w:rsidR="00103DD2">
        <w:t>enewable</w:t>
      </w:r>
      <w:r w:rsidR="00CB3599">
        <w:t>s</w:t>
      </w:r>
      <w:r w:rsidR="00103DD2">
        <w:t xml:space="preserve"> Portfolio Standard (RPS)</w:t>
      </w:r>
      <w:r w:rsidR="00091E76">
        <w:t xml:space="preserve"> compliance needs to determine which (if any) RECs would be used from SCE’s bank.</w:t>
      </w:r>
      <w:r w:rsidR="00F65721">
        <w:t xml:space="preserve"> While SCE’s total portfolio includes non-PCIA eligible RECs, its 2024 forecast considered the VAMO process. SCE completed its </w:t>
      </w:r>
      <w:r w:rsidR="006A6990">
        <w:br/>
      </w:r>
      <w:r w:rsidR="00F65721">
        <w:t xml:space="preserve">short-term Market Offer solicitation prior to its initial ERRA filing </w:t>
      </w:r>
      <w:r w:rsidRPr="00C240BA" w:rsidR="00F65721">
        <w:t xml:space="preserve">and </w:t>
      </w:r>
      <w:r w:rsidRPr="001F0174" w:rsidR="00C96336">
        <w:t xml:space="preserve">stated that it received higher contract prices through its </w:t>
      </w:r>
      <w:r w:rsidRPr="001F0174" w:rsidR="00F65721">
        <w:t>long-term Market Offer solicitation in its October Update.</w:t>
      </w:r>
      <w:r w:rsidRPr="00F30AF6" w:rsidR="00C96336">
        <w:rPr>
          <w:rStyle w:val="FootnoteReference"/>
        </w:rPr>
        <w:footnoteReference w:id="135"/>
      </w:r>
      <w:r w:rsidR="00F65721">
        <w:t xml:space="preserve"> </w:t>
      </w:r>
    </w:p>
    <w:p w:rsidRPr="001F0174" w:rsidR="00F65721" w:rsidP="006A6990" w:rsidRDefault="00F65721" w14:paraId="23534462" w14:textId="0AC76DBF">
      <w:pPr>
        <w:pStyle w:val="Standard"/>
      </w:pPr>
      <w:r w:rsidRPr="006A6990">
        <w:t>SCE</w:t>
      </w:r>
      <w:r>
        <w:t xml:space="preserve"> also estimated that it </w:t>
      </w:r>
      <w:r w:rsidR="00891E27">
        <w:t>may</w:t>
      </w:r>
      <w:r>
        <w:t xml:space="preserve"> need to use banked RECs for some portion of its 2024 RPS requirements. </w:t>
      </w:r>
      <w:r w:rsidRPr="001F0174">
        <w:t xml:space="preserve">SCE therefore forecasted the value of </w:t>
      </w:r>
      <w:r w:rsidRPr="001F0174" w:rsidR="00F7224D">
        <w:t xml:space="preserve">pre-2019 </w:t>
      </w:r>
      <w:r w:rsidRPr="001F0174">
        <w:t>banked RECs</w:t>
      </w:r>
      <w:r w:rsidRPr="001F0174" w:rsidR="00F7224D">
        <w:t xml:space="preserve"> that</w:t>
      </w:r>
      <w:r w:rsidRPr="001F0174" w:rsidR="00103DD2">
        <w:t xml:space="preserve"> may</w:t>
      </w:r>
      <w:r w:rsidRPr="001F0174" w:rsidR="00F7224D">
        <w:t xml:space="preserve"> be necessary for 2024 RPS compliance and subtracted that from the RPS portion of its PABA portfolio.</w:t>
      </w:r>
      <w:r w:rsidRPr="001F0174" w:rsidR="00103DD2">
        <w:rPr>
          <w:rStyle w:val="FootnoteReference"/>
        </w:rPr>
        <w:footnoteReference w:id="136"/>
      </w:r>
      <w:r w:rsidRPr="001F0174" w:rsidR="00F7224D">
        <w:t xml:space="preserve"> </w:t>
      </w:r>
    </w:p>
    <w:p w:rsidR="00891E27" w:rsidP="006A6990" w:rsidRDefault="00891E27" w14:paraId="56B8367A" w14:textId="29CCF122">
      <w:pPr>
        <w:pStyle w:val="Standard"/>
        <w:rPr>
          <w:highlight w:val="yellow"/>
        </w:rPr>
      </w:pPr>
      <w:proofErr w:type="spellStart"/>
      <w:r w:rsidRPr="00AD40AC">
        <w:t>CalCCA</w:t>
      </w:r>
      <w:proofErr w:type="spellEnd"/>
      <w:r w:rsidRPr="00AD40AC">
        <w:t xml:space="preserve"> noted that only SCE’s 2024 bundled customers should be</w:t>
      </w:r>
      <w:r w:rsidRPr="00AD40AC" w:rsidR="00C32B86">
        <w:t xml:space="preserve"> responsible to recover</w:t>
      </w:r>
      <w:r w:rsidRPr="00AD40AC">
        <w:t xml:space="preserve"> any </w:t>
      </w:r>
      <w:r w:rsidRPr="00AD40AC" w:rsidR="00C32B86">
        <w:t>costs</w:t>
      </w:r>
      <w:r w:rsidRPr="00AD40AC">
        <w:t xml:space="preserve"> of </w:t>
      </w:r>
      <w:r w:rsidRPr="00AD40AC" w:rsidR="00C32B86">
        <w:t xml:space="preserve">SCE’s </w:t>
      </w:r>
      <w:r w:rsidRPr="00AD40AC">
        <w:t>RPS compliance in 2024, as the CCAs are also required to</w:t>
      </w:r>
      <w:r w:rsidRPr="00AD40AC" w:rsidR="009B2927">
        <w:t xml:space="preserve"> comply with the RPS, and their customers must bear the </w:t>
      </w:r>
      <w:r w:rsidRPr="00AD40AC" w:rsidR="00C32B86">
        <w:t>cost</w:t>
      </w:r>
      <w:r w:rsidRPr="00AD40AC" w:rsidR="009B2927">
        <w:t xml:space="preserve"> of the CCAs’ compliance. </w:t>
      </w:r>
      <w:proofErr w:type="spellStart"/>
      <w:r w:rsidRPr="00AD40AC" w:rsidR="009B2927">
        <w:t>CalCCA</w:t>
      </w:r>
      <w:proofErr w:type="spellEnd"/>
      <w:r w:rsidRPr="00AD40AC" w:rsidR="009B2927">
        <w:t xml:space="preserve"> argued that it is “unfair to count RECs generated in prior years and paid for by now-departed customers toward RPS compliance for current bundled customers.”</w:t>
      </w:r>
      <w:r w:rsidRPr="00AD40AC" w:rsidR="009B2927">
        <w:rPr>
          <w:rStyle w:val="FootnoteReference"/>
        </w:rPr>
        <w:footnoteReference w:id="137"/>
      </w:r>
      <w:r w:rsidRPr="00AD40AC" w:rsidR="008A4D59">
        <w:t xml:space="preserve"> It provided similar testimony in SCE’s 2023 ERRA Forecast proceeding and requested that a permanent methodology be adopted in the PCIA proceeding.</w:t>
      </w:r>
      <w:r w:rsidRPr="00AD40AC" w:rsidR="008A4D59">
        <w:rPr>
          <w:rStyle w:val="FootnoteReference"/>
        </w:rPr>
        <w:footnoteReference w:id="138"/>
      </w:r>
    </w:p>
    <w:p w:rsidR="00CB3599" w:rsidP="00CB3599" w:rsidRDefault="00CB3599" w14:paraId="49889B5F" w14:textId="2B52410B">
      <w:pPr>
        <w:pStyle w:val="Standard"/>
      </w:pPr>
      <w:r>
        <w:t xml:space="preserve">As addressed in section 6.4.1 above, D.23-06-006 confirmed that IOUs should apply the MPB for the year in which they use the banked REC, pursuant </w:t>
      </w:r>
      <w:r>
        <w:lastRenderedPageBreak/>
        <w:t>to D.19-10-001, which addresses RECs procured and banked after vintage 2018.</w:t>
      </w:r>
      <w:r>
        <w:rPr>
          <w:rStyle w:val="FootnoteReference"/>
        </w:rPr>
        <w:footnoteReference w:id="139"/>
      </w:r>
      <w:r>
        <w:t xml:space="preserve"> </w:t>
      </w:r>
      <w:proofErr w:type="spellStart"/>
      <w:r>
        <w:t>CalCCA</w:t>
      </w:r>
      <w:proofErr w:type="spellEnd"/>
      <w:r>
        <w:t xml:space="preserve"> argued that D.23-06-006 did not address the outstanding issue of how Departing Load customers should be credited for the value of RECs that were procured and banked prior to 2019 that are used for SCE’s RPS compliance in future years. </w:t>
      </w:r>
      <w:proofErr w:type="spellStart"/>
      <w:r>
        <w:t>CalCCA</w:t>
      </w:r>
      <w:proofErr w:type="spellEnd"/>
      <w:r>
        <w:t xml:space="preserve"> suggested the difference between the MPB for the year in which bank RECs are used and the value of the REC in the year they were generated should be credited to the PCIA vintage customer class(es) that were SCE customers in the year </w:t>
      </w:r>
      <w:r w:rsidR="008E2600">
        <w:t xml:space="preserve">in </w:t>
      </w:r>
      <w:r>
        <w:t>which the banked RECs were generated.</w:t>
      </w:r>
      <w:r w:rsidR="008E2600">
        <w:rPr>
          <w:rStyle w:val="FootnoteReference"/>
        </w:rPr>
        <w:footnoteReference w:id="140"/>
      </w:r>
      <w:r>
        <w:t xml:space="preserve"> </w:t>
      </w:r>
      <w:proofErr w:type="spellStart"/>
      <w:r>
        <w:t>CalCCA</w:t>
      </w:r>
      <w:proofErr w:type="spellEnd"/>
      <w:r>
        <w:t xml:space="preserve"> further stated that an offsetting charge on SCE’s bundled customers could make up the cost of providing the credit to departed load customers. </w:t>
      </w:r>
    </w:p>
    <w:p w:rsidR="00CB3599" w:rsidP="00CB3599" w:rsidRDefault="00CB3599" w14:paraId="18BD68CD" w14:textId="019882D5">
      <w:pPr>
        <w:pStyle w:val="Standard"/>
      </w:pPr>
      <w:r>
        <w:t xml:space="preserve">In its protest, Cal Advocate’s position aligned with </w:t>
      </w:r>
      <w:proofErr w:type="spellStart"/>
      <w:r>
        <w:t>CalCCA’s</w:t>
      </w:r>
      <w:proofErr w:type="spellEnd"/>
      <w:r>
        <w:t>. Cal Advocates stated that D.23-06-006 closed the PCIA proceeding without addressing the issue of how to value RECs</w:t>
      </w:r>
      <w:r w:rsidR="00D355F9">
        <w:t xml:space="preserve"> banked in or before 2018</w:t>
      </w:r>
      <w:r>
        <w:t>. However, Cal Advocates argued that the “determination of the values for banked RECs should be applied uniformly across all IOUs and not determined in a single IOU ERRA forecast application, which may lead to inconsistencies in how different IOUs account for the values in their PABA accounting.”</w:t>
      </w:r>
      <w:r w:rsidR="008E2600">
        <w:rPr>
          <w:rStyle w:val="FootnoteReference"/>
        </w:rPr>
        <w:footnoteReference w:id="141"/>
      </w:r>
    </w:p>
    <w:p w:rsidR="00CB3599" w:rsidP="00CB3599" w:rsidRDefault="00CB3599" w14:paraId="356A396B" w14:textId="66D67571">
      <w:pPr>
        <w:pStyle w:val="Standard"/>
      </w:pPr>
      <w:r>
        <w:t xml:space="preserve">On September 20, 2023, </w:t>
      </w:r>
      <w:proofErr w:type="spellStart"/>
      <w:r>
        <w:t>CalCCA</w:t>
      </w:r>
      <w:proofErr w:type="spellEnd"/>
      <w:r>
        <w:t xml:space="preserve"> and SCE stipulated that evidentiary hearings are not necessary on this issue and provided additional exhibits illustrating how treatment of banked RECs occurred in PG&amp;E’s 2024 ERRA </w:t>
      </w:r>
      <w:r>
        <w:lastRenderedPageBreak/>
        <w:t>Forecast testimony. PG&amp;E proposed to use a “last-in, first out” approach to retire banked RECs,</w:t>
      </w:r>
      <w:r w:rsidR="008E2600">
        <w:rPr>
          <w:rStyle w:val="FootnoteReference"/>
        </w:rPr>
        <w:footnoteReference w:id="142"/>
      </w:r>
      <w:r>
        <w:t xml:space="preserve"> whereas SCE proposed to use a “first-in, first out" approach.</w:t>
      </w:r>
      <w:r w:rsidR="008E2600">
        <w:rPr>
          <w:rStyle w:val="FootnoteReference"/>
        </w:rPr>
        <w:footnoteReference w:id="143"/>
      </w:r>
      <w:r>
        <w:t xml:space="preserve"> </w:t>
      </w:r>
    </w:p>
    <w:p w:rsidR="00CB3599" w:rsidP="00CB3599" w:rsidRDefault="00CB3599" w14:paraId="47299982" w14:textId="57F114B4">
      <w:pPr>
        <w:pStyle w:val="Standard"/>
      </w:pPr>
      <w:r>
        <w:t xml:space="preserve">In opening comments and opening briefs to SCE’s October Update testimony, </w:t>
      </w:r>
      <w:proofErr w:type="spellStart"/>
      <w:r>
        <w:t>CalCCA</w:t>
      </w:r>
      <w:proofErr w:type="spellEnd"/>
      <w:r>
        <w:t xml:space="preserve"> and SCE both noted the banked REC valuation issues raised in briefs are still in dispute.</w:t>
      </w:r>
      <w:r w:rsidR="008E2600">
        <w:rPr>
          <w:rStyle w:val="FootnoteReference"/>
        </w:rPr>
        <w:footnoteReference w:id="144"/>
      </w:r>
      <w:r>
        <w:t xml:space="preserve"> </w:t>
      </w:r>
    </w:p>
    <w:p w:rsidRPr="001C7F40" w:rsidR="001C7F40" w:rsidP="00AB41BA" w:rsidRDefault="00CB3599" w14:paraId="667FAF00" w14:textId="33251533">
      <w:pPr>
        <w:pStyle w:val="Standard"/>
      </w:pPr>
      <w:proofErr w:type="spellStart"/>
      <w:r>
        <w:t>CalCCA</w:t>
      </w:r>
      <w:proofErr w:type="spellEnd"/>
      <w:r>
        <w:t xml:space="preserve"> and Cal Advocates’ concerns about the treatment of banked RECs are discussed in more detail in Section 6.4.1 above. SCE is directed to update its 2024 ERRA forecast pertaining to its banked REC value to align with the interim process adopted in D.22-12-012 which ensure</w:t>
      </w:r>
      <w:r w:rsidR="0080639E">
        <w:t>s</w:t>
      </w:r>
      <w:r>
        <w:t xml:space="preserve"> that RECs SCE banked in or after 2019 be used first for its bundled service RPS compliance. </w:t>
      </w:r>
      <w:r w:rsidR="007166CF">
        <w:t xml:space="preserve">Should SCE determine that the use of </w:t>
      </w:r>
      <w:r w:rsidR="00D33812">
        <w:t>RECs</w:t>
      </w:r>
      <w:r w:rsidR="00D355F9">
        <w:t xml:space="preserve"> banked in or before 2018</w:t>
      </w:r>
      <w:r w:rsidR="00D33812">
        <w:t xml:space="preserve"> is necessary for </w:t>
      </w:r>
      <w:r w:rsidR="007C430E">
        <w:t xml:space="preserve">its bundled service </w:t>
      </w:r>
      <w:r w:rsidR="00D33812">
        <w:t>RPS compliance, it should value those RECs at zero, as it proposed</w:t>
      </w:r>
      <w:r w:rsidR="00D86D08">
        <w:t>.</w:t>
      </w:r>
      <w:r w:rsidR="00D86D08">
        <w:rPr>
          <w:rStyle w:val="FootnoteReference"/>
        </w:rPr>
        <w:footnoteReference w:id="145"/>
      </w:r>
      <w:r w:rsidR="00D33812">
        <w:t xml:space="preserve"> </w:t>
      </w:r>
      <w:r>
        <w:t xml:space="preserve"> We further agree with Cal Advocates that the issue of the valuation of RECs</w:t>
      </w:r>
      <w:r w:rsidR="00D355F9">
        <w:t xml:space="preserve"> banked in or before 2018</w:t>
      </w:r>
      <w:r>
        <w:t xml:space="preserve"> would not be appropriately addressed in a single IOU’s annual ERRA forecast application proceeding. </w:t>
      </w:r>
      <w:r w:rsidR="00D355F9">
        <w:t xml:space="preserve">This Decision adopts an interim solution and authorizes SCE to make modifications necessary to implement the interim solution in 2024. </w:t>
      </w:r>
      <w:r>
        <w:t>The issues raised in SCE’s PFM to D.23-06-006 are therefore not addressed in this proceeding.</w:t>
      </w:r>
      <w:bookmarkEnd w:id="58"/>
    </w:p>
    <w:p w:rsidR="00717431" w:rsidP="006A6990" w:rsidRDefault="0011157C" w14:paraId="68712B2F" w14:textId="36A04353">
      <w:pPr>
        <w:pStyle w:val="Heading1"/>
      </w:pPr>
      <w:bookmarkStart w:name="_Toc152331426" w:id="59"/>
      <w:r w:rsidRPr="006A6990">
        <w:t>Greenhouse</w:t>
      </w:r>
      <w:r>
        <w:t xml:space="preserve"> Gas Forecast Costs, Revenues, and Reconciliation</w:t>
      </w:r>
      <w:bookmarkEnd w:id="59"/>
      <w:r>
        <w:t xml:space="preserve"> </w:t>
      </w:r>
    </w:p>
    <w:p w:rsidRPr="0011157C" w:rsidR="0011157C" w:rsidP="00AB41BA" w:rsidRDefault="0011157C" w14:paraId="12E6F965" w14:textId="5D00E2CF">
      <w:pPr>
        <w:pStyle w:val="Standard"/>
      </w:pPr>
      <w:r>
        <w:t xml:space="preserve">In D.14-10-033, the Commission </w:t>
      </w:r>
      <w:r w:rsidRPr="00454D1A">
        <w:t xml:space="preserve">adopted standard procedures for electric utilities to request </w:t>
      </w:r>
      <w:r>
        <w:t>greenhouse gas (GHG)</w:t>
      </w:r>
      <w:r w:rsidRPr="00454D1A">
        <w:t xml:space="preserve"> forecast revenue and reconciliation </w:t>
      </w:r>
      <w:r w:rsidRPr="00454D1A">
        <w:lastRenderedPageBreak/>
        <w:t>requirements filed after 2013</w:t>
      </w:r>
      <w:r>
        <w:t>;</w:t>
      </w:r>
      <w:r w:rsidRPr="00454D1A">
        <w:t xml:space="preserve"> adopted Confidentiality Protocols for Cap</w:t>
      </w:r>
      <w:r>
        <w:noBreakHyphen/>
      </w:r>
      <w:r w:rsidRPr="00454D1A">
        <w:t>and</w:t>
      </w:r>
      <w:r>
        <w:noBreakHyphen/>
      </w:r>
      <w:r w:rsidRPr="00454D1A">
        <w:t>Trade</w:t>
      </w:r>
      <w:r>
        <w:noBreakHyphen/>
      </w:r>
      <w:r w:rsidRPr="00454D1A">
        <w:t>related data</w:t>
      </w:r>
      <w:r>
        <w:t>;</w:t>
      </w:r>
      <w:r w:rsidRPr="00454D1A">
        <w:t xml:space="preserve"> and required the utilities to use a proxy price in their forecast</w:t>
      </w:r>
      <w:r>
        <w:t xml:space="preserve">s. The IOUs were also required to submit </w:t>
      </w:r>
      <w:r w:rsidRPr="00454D1A">
        <w:t>GHG Forecast Revenue and Reconciliation Applications</w:t>
      </w:r>
      <w:r>
        <w:t xml:space="preserve"> annually within their ERRA forecast filings.</w:t>
      </w:r>
      <w:r w:rsidR="0018640B">
        <w:rPr>
          <w:rStyle w:val="FootnoteReference"/>
        </w:rPr>
        <w:footnoteReference w:id="146"/>
      </w:r>
      <w:r>
        <w:t xml:space="preserve"> </w:t>
      </w:r>
      <w:r w:rsidR="0018640B">
        <w:t>In Advice Letter 4587, SCE submitted updated GHG templates</w:t>
      </w:r>
      <w:r w:rsidR="006E4C5B">
        <w:t xml:space="preserve"> (Templates D-1 through D-5)</w:t>
      </w:r>
      <w:r w:rsidR="0018640B">
        <w:t>, as directed by D.21-08-026</w:t>
      </w:r>
      <w:r w:rsidR="006E4C5B">
        <w:t>.</w:t>
      </w:r>
      <w:r w:rsidR="006E4C5B">
        <w:rPr>
          <w:rStyle w:val="FootnoteReference"/>
        </w:rPr>
        <w:footnoteReference w:id="147"/>
      </w:r>
      <w:r w:rsidR="0018640B">
        <w:t xml:space="preserve"> </w:t>
      </w:r>
      <w:r>
        <w:t>We therefore apply the standards adopted in D.</w:t>
      </w:r>
      <w:r w:rsidR="006E4C5B">
        <w:t>21-08-026</w:t>
      </w:r>
      <w:r>
        <w:t xml:space="preserve"> to review SCE’s current forecast and determine the reasonableness of its revenue and reconciliation proposal. </w:t>
      </w:r>
    </w:p>
    <w:p w:rsidR="0011157C" w:rsidP="006A6990" w:rsidRDefault="0011157C" w14:paraId="1F5C7816" w14:textId="6262A1BD">
      <w:pPr>
        <w:pStyle w:val="Heading2"/>
      </w:pPr>
      <w:bookmarkStart w:name="_Toc152331427" w:id="60"/>
      <w:r w:rsidRPr="006A6990">
        <w:t>Greenhouse</w:t>
      </w:r>
      <w:r>
        <w:t xml:space="preserve"> Gas Costs</w:t>
      </w:r>
      <w:bookmarkEnd w:id="60"/>
    </w:p>
    <w:p w:rsidR="0047391E" w:rsidP="00AB41BA" w:rsidRDefault="0067172A" w14:paraId="0B620E4D" w14:textId="1E25ECF3">
      <w:pPr>
        <w:pStyle w:val="Standard"/>
      </w:pPr>
      <w:r>
        <w:t xml:space="preserve">SCE </w:t>
      </w:r>
      <w:r w:rsidRPr="00AB41BA">
        <w:t>and</w:t>
      </w:r>
      <w:r>
        <w:t xml:space="preserve"> the other IOUs in California began incurring compliance costs related to Assembly Bill 32 and the California Air Resources Board’s </w:t>
      </w:r>
      <w:r w:rsidR="00320F05">
        <w:t xml:space="preserve">(CARB) </w:t>
      </w:r>
      <w:r>
        <w:t>GHG cap-and-trade program in January 2013. The program is intended to reduce California’s economy-wide GHG emissions to 40 percent below 1990 levels by 2030. Because SCE still owns, operates, and procures power from GHG-emitting resources, it incurs compliance costs associated with this program</w:t>
      </w:r>
      <w:r w:rsidR="009E4A86">
        <w:t xml:space="preserve"> either directly or indirectly</w:t>
      </w:r>
      <w:r>
        <w:t xml:space="preserve">. </w:t>
      </w:r>
    </w:p>
    <w:p w:rsidR="00320F05" w:rsidP="006A6990" w:rsidRDefault="00320F05" w14:paraId="1489B2E2" w14:textId="337B7455">
      <w:pPr>
        <w:pStyle w:val="Standard"/>
      </w:pPr>
      <w:r>
        <w:t xml:space="preserve">Direct GHG costs are related to GHG-emitting resources </w:t>
      </w:r>
      <w:r w:rsidR="00392E9B">
        <w:t>from which</w:t>
      </w:r>
      <w:r>
        <w:t xml:space="preserve"> SCE </w:t>
      </w:r>
      <w:r w:rsidR="009E4A86">
        <w:t xml:space="preserve">is the ‘first deliverer’ of electricity, such as in-state facilities that emit 25,000 </w:t>
      </w:r>
      <w:r w:rsidR="008E2600">
        <w:t xml:space="preserve">metric ton (MT) </w:t>
      </w:r>
      <w:r w:rsidR="009E4A86">
        <w:t>of GHG or out-of-state facilities that exceed an emissions rate of 0.428MT/MWh.</w:t>
      </w:r>
      <w:r w:rsidR="006E4C5B">
        <w:rPr>
          <w:rStyle w:val="FootnoteReference"/>
        </w:rPr>
        <w:footnoteReference w:id="148"/>
      </w:r>
      <w:r w:rsidR="009E4A86">
        <w:t xml:space="preserve"> Based on CARB’s calculations of SCE’s resource portfolio, </w:t>
      </w:r>
      <w:r w:rsidR="009E4A86">
        <w:lastRenderedPageBreak/>
        <w:t>SCE</w:t>
      </w:r>
      <w:r>
        <w:t xml:space="preserve"> must procure and surrender compliance instruments to CARB on annual and triennial deadlines.</w:t>
      </w:r>
      <w:r w:rsidR="009E4A86">
        <w:t xml:space="preserve"> </w:t>
      </w:r>
    </w:p>
    <w:p w:rsidR="009E4A86" w:rsidP="006A6990" w:rsidRDefault="009E4A86" w14:paraId="5150E583" w14:textId="356FA83B">
      <w:pPr>
        <w:pStyle w:val="Standard"/>
      </w:pPr>
      <w:r>
        <w:t xml:space="preserve">SCE is also exposed to indirect GHG costs through its QF </w:t>
      </w:r>
      <w:r w:rsidR="002F4ACE">
        <w:t xml:space="preserve">contracts </w:t>
      </w:r>
      <w:r>
        <w:t>and its wholesale market electricity purchase</w:t>
      </w:r>
      <w:r w:rsidR="002F4ACE">
        <w:t>s</w:t>
      </w:r>
      <w:r>
        <w:t xml:space="preserve">, </w:t>
      </w:r>
      <w:r w:rsidR="002F4ACE">
        <w:t xml:space="preserve">each of </w:t>
      </w:r>
      <w:r>
        <w:t xml:space="preserve">which include an embedded GHG compliance price. </w:t>
      </w:r>
    </w:p>
    <w:p w:rsidR="001F0174" w:rsidP="006A6990" w:rsidRDefault="009E4A86" w14:paraId="0E78EA26" w14:textId="47226C20">
      <w:pPr>
        <w:pStyle w:val="Standard"/>
      </w:pPr>
      <w:r>
        <w:t>For 2024, SCE forecasted a proxy price of $</w:t>
      </w:r>
      <w:r w:rsidR="00BB54DB">
        <w:t>39.</w:t>
      </w:r>
      <w:r w:rsidR="006E4C5B">
        <w:t>36</w:t>
      </w:r>
      <w:r w:rsidR="008E2600">
        <w:t>/</w:t>
      </w:r>
      <w:r>
        <w:t>MT of GHG emissions</w:t>
      </w:r>
      <w:r w:rsidR="00866977">
        <w:t>, using the I</w:t>
      </w:r>
      <w:r w:rsidR="002F4ACE">
        <w:t>ntercontinental Exchange (ICE)</w:t>
      </w:r>
      <w:r w:rsidR="00866977">
        <w:t xml:space="preserve"> settlement price for </w:t>
      </w:r>
      <w:r w:rsidR="00BB54DB">
        <w:t xml:space="preserve">the December delivery of </w:t>
      </w:r>
      <w:r w:rsidR="00866977">
        <w:t xml:space="preserve">a 2024 vintage GHG allowance. </w:t>
      </w:r>
      <w:r w:rsidR="001F0174">
        <w:t>SCE forecasted $</w:t>
      </w:r>
      <w:r w:rsidR="006E4C5B">
        <w:t>461.506</w:t>
      </w:r>
      <w:r w:rsidR="001F0174">
        <w:t xml:space="preserve"> million in costs resulting from compliance with the California Cap-and-Trade program in 2024 across its direct and indirect costs, GHG costs associated with its QF contracts, and GHG costs associated with electricity purchased from the California wholesale market.</w:t>
      </w:r>
      <w:r w:rsidR="001F0174">
        <w:rPr>
          <w:rStyle w:val="FootnoteReference"/>
        </w:rPr>
        <w:footnoteReference w:id="149"/>
      </w:r>
      <w:r w:rsidR="001F0174">
        <w:t xml:space="preserve"> </w:t>
      </w:r>
    </w:p>
    <w:p w:rsidR="006E4C5B" w:rsidP="006A6990" w:rsidRDefault="006B72A3" w14:paraId="6B2B903E" w14:textId="77777777">
      <w:pPr>
        <w:pStyle w:val="Standard"/>
      </w:pPr>
      <w:r>
        <w:t>SCE estimated its</w:t>
      </w:r>
      <w:r w:rsidR="00866977">
        <w:t xml:space="preserve"> 2024 GHG </w:t>
      </w:r>
      <w:r w:rsidR="00BB54DB">
        <w:t>allowance revenue</w:t>
      </w:r>
      <w:r w:rsidR="005B519D">
        <w:t xml:space="preserve"> </w:t>
      </w:r>
      <w:r w:rsidR="00866977">
        <w:t>would total $</w:t>
      </w:r>
      <w:r w:rsidR="00747066">
        <w:t>942.533</w:t>
      </w:r>
      <w:r w:rsidR="00866977">
        <w:t xml:space="preserve"> million</w:t>
      </w:r>
      <w:r w:rsidR="00F30AF6">
        <w:t>, as illustrated in Table 7-1</w:t>
      </w:r>
      <w:r w:rsidR="009E4A86">
        <w:t>.</w:t>
      </w:r>
      <w:r w:rsidR="005B519D">
        <w:rPr>
          <w:rStyle w:val="FootnoteReference"/>
        </w:rPr>
        <w:footnoteReference w:id="150"/>
      </w:r>
      <w:r w:rsidR="001F0174">
        <w:t>,</w:t>
      </w:r>
      <w:r w:rsidR="00E95834">
        <w:rPr>
          <w:rStyle w:val="FootnoteReference"/>
        </w:rPr>
        <w:footnoteReference w:id="151"/>
      </w:r>
      <w:r w:rsidR="009E4A86">
        <w:t xml:space="preserve"> </w:t>
      </w:r>
    </w:p>
    <w:p w:rsidRPr="00454D1A" w:rsidR="00592F59" w:rsidP="00592F59" w:rsidRDefault="00592F59" w14:paraId="419A71FA" w14:textId="3D7397F1">
      <w:pPr>
        <w:pStyle w:val="TableTitleBodyH095"/>
        <w:ind w:left="2808" w:right="1296"/>
      </w:pPr>
      <w:bookmarkStart w:name="Table71" w:id="61"/>
      <w:r w:rsidRPr="002F290B">
        <w:rPr>
          <w:b/>
          <w:bCs w:val="0"/>
        </w:rPr>
        <w:lastRenderedPageBreak/>
        <w:t>Table</w:t>
      </w:r>
      <w:r w:rsidRPr="002F290B">
        <w:rPr>
          <w:b/>
        </w:rPr>
        <w:t> </w:t>
      </w:r>
      <w:r w:rsidRPr="002F290B">
        <w:rPr>
          <w:b/>
          <w:bCs w:val="0"/>
        </w:rPr>
        <w:t>7</w:t>
      </w:r>
      <w:r w:rsidRPr="002F290B">
        <w:rPr>
          <w:b/>
        </w:rPr>
        <w:noBreakHyphen/>
        <w:t>1.</w:t>
      </w:r>
      <w:r w:rsidRPr="002F290B">
        <w:rPr>
          <w:b/>
        </w:rPr>
        <w:tab/>
      </w:r>
      <w:r w:rsidRPr="002F290B">
        <w:t xml:space="preserve">Summary of SCE 2024 GHG </w:t>
      </w:r>
      <w:r w:rsidR="006E4C5B">
        <w:t>Allocated Allowance Auction Proceeds</w:t>
      </w:r>
      <w:r w:rsidRPr="002F290B">
        <w:t xml:space="preserve"> and </w:t>
      </w:r>
      <w:r w:rsidR="006E4C5B">
        <w:t xml:space="preserve">Related </w:t>
      </w:r>
      <w:r w:rsidRPr="002F290B">
        <w:t>Expenses</w:t>
      </w:r>
      <w:bookmarkEnd w:id="61"/>
      <w:r w:rsidR="0090509E">
        <w:rPr>
          <w:rStyle w:val="FootnoteReference"/>
        </w:rPr>
        <w:footnoteReference w:id="152"/>
      </w:r>
    </w:p>
    <w:tbl>
      <w:tblPr>
        <w:tblStyle w:val="TableGrid2"/>
        <w:tblW w:w="7645" w:type="dxa"/>
        <w:jc w:val="center"/>
        <w:tblLayout w:type="fixed"/>
        <w:tblCellMar>
          <w:top w:w="58" w:type="dxa"/>
          <w:bottom w:w="58" w:type="dxa"/>
        </w:tblCellMar>
        <w:tblLook w:val="04A0" w:firstRow="1" w:lastRow="0" w:firstColumn="1" w:lastColumn="0" w:noHBand="0" w:noVBand="1"/>
      </w:tblPr>
      <w:tblGrid>
        <w:gridCol w:w="5722"/>
        <w:gridCol w:w="1923"/>
      </w:tblGrid>
      <w:tr w:rsidRPr="006A6990" w:rsidR="00BB54DB" w:rsidTr="001F0174" w14:paraId="5B150E5B" w14:textId="4ADF5680">
        <w:trPr>
          <w:cantSplit/>
          <w:trHeight w:val="445"/>
          <w:tblHeader/>
          <w:jc w:val="center"/>
        </w:trPr>
        <w:tc>
          <w:tcPr>
            <w:tcW w:w="5722" w:type="dxa"/>
            <w:tcBorders>
              <w:top w:val="single" w:color="auto" w:sz="4" w:space="0"/>
              <w:left w:val="single" w:color="auto" w:sz="4" w:space="0"/>
              <w:bottom w:val="single" w:color="auto" w:sz="4" w:space="0"/>
              <w:right w:val="single" w:color="auto" w:sz="4" w:space="0"/>
            </w:tcBorders>
            <w:vAlign w:val="bottom"/>
            <w:hideMark/>
          </w:tcPr>
          <w:p w:rsidRPr="006A6990" w:rsidR="00BB54DB" w:rsidP="006A6990" w:rsidRDefault="00BB54DB" w14:paraId="3AC591A0" w14:textId="1218CE45">
            <w:pPr>
              <w:keepNext/>
              <w:spacing w:line="240" w:lineRule="auto"/>
              <w:ind w:firstLine="0"/>
              <w:jc w:val="center"/>
              <w:rPr>
                <w:b/>
                <w:szCs w:val="26"/>
              </w:rPr>
            </w:pPr>
            <w:r w:rsidRPr="006A6990">
              <w:rPr>
                <w:b/>
                <w:szCs w:val="26"/>
              </w:rPr>
              <w:t>Program</w:t>
            </w:r>
          </w:p>
        </w:tc>
        <w:tc>
          <w:tcPr>
            <w:tcW w:w="1923" w:type="dxa"/>
            <w:tcBorders>
              <w:top w:val="single" w:color="auto" w:sz="4" w:space="0"/>
              <w:left w:val="single" w:color="auto" w:sz="4" w:space="0"/>
              <w:bottom w:val="single" w:color="auto" w:sz="4" w:space="0"/>
              <w:right w:val="single" w:color="auto" w:sz="4" w:space="0"/>
            </w:tcBorders>
            <w:vAlign w:val="bottom"/>
          </w:tcPr>
          <w:p w:rsidRPr="006A6990" w:rsidR="00BB54DB" w:rsidP="006A6990" w:rsidRDefault="00BB54DB" w14:paraId="4AD7E6CE" w14:textId="5CADE7BC">
            <w:pPr>
              <w:keepNext/>
              <w:spacing w:line="240" w:lineRule="auto"/>
              <w:ind w:firstLine="0"/>
              <w:jc w:val="center"/>
              <w:rPr>
                <w:b/>
                <w:szCs w:val="26"/>
              </w:rPr>
            </w:pPr>
          </w:p>
          <w:p w:rsidRPr="006A6990" w:rsidR="00BB54DB" w:rsidP="006A6990" w:rsidRDefault="00BB54DB" w14:paraId="20D3A11A" w14:textId="58598BC8">
            <w:pPr>
              <w:keepNext/>
              <w:spacing w:line="240" w:lineRule="auto"/>
              <w:ind w:firstLine="0"/>
              <w:jc w:val="center"/>
              <w:rPr>
                <w:b/>
                <w:szCs w:val="26"/>
              </w:rPr>
            </w:pPr>
            <w:r w:rsidRPr="006A6990">
              <w:rPr>
                <w:b/>
                <w:szCs w:val="26"/>
              </w:rPr>
              <w:t>SCE Proposed (Mill</w:t>
            </w:r>
            <w:r w:rsidR="00997CC9">
              <w:rPr>
                <w:b/>
                <w:szCs w:val="26"/>
              </w:rPr>
              <w:t>i</w:t>
            </w:r>
            <w:r w:rsidRPr="006A6990">
              <w:rPr>
                <w:b/>
                <w:szCs w:val="26"/>
              </w:rPr>
              <w:t xml:space="preserve">ons) </w:t>
            </w:r>
          </w:p>
        </w:tc>
      </w:tr>
      <w:tr w:rsidRPr="006A6990" w:rsidR="00BB54DB" w:rsidTr="001F0174" w14:paraId="1C76F0E4" w14:textId="24BCCC97">
        <w:trPr>
          <w:cantSplit/>
          <w:jc w:val="center"/>
        </w:trPr>
        <w:tc>
          <w:tcPr>
            <w:tcW w:w="5722" w:type="dxa"/>
            <w:tcBorders>
              <w:top w:val="single" w:color="auto" w:sz="4" w:space="0"/>
              <w:left w:val="single" w:color="auto" w:sz="4" w:space="0"/>
              <w:bottom w:val="single" w:color="auto" w:sz="4" w:space="0"/>
              <w:right w:val="single" w:color="auto" w:sz="4" w:space="0"/>
            </w:tcBorders>
          </w:tcPr>
          <w:p w:rsidRPr="006A6990" w:rsidR="00BB54DB" w:rsidP="006A6990" w:rsidRDefault="00BB54DB" w14:paraId="51D4A5DB" w14:textId="0E439815">
            <w:pPr>
              <w:spacing w:line="240" w:lineRule="auto"/>
              <w:ind w:firstLine="0"/>
              <w:rPr>
                <w:szCs w:val="26"/>
              </w:rPr>
            </w:pPr>
            <w:r w:rsidRPr="006A6990">
              <w:rPr>
                <w:szCs w:val="26"/>
              </w:rPr>
              <w:t xml:space="preserve">GHG auction revenues </w:t>
            </w:r>
          </w:p>
          <w:p w:rsidRPr="006A6990" w:rsidR="00BB54DB" w:rsidP="006A6990" w:rsidRDefault="00BB54DB" w14:paraId="65EB9281" w14:textId="2EF70AB2">
            <w:pPr>
              <w:numPr>
                <w:ilvl w:val="0"/>
                <w:numId w:val="29"/>
              </w:numPr>
              <w:spacing w:line="240" w:lineRule="auto"/>
              <w:rPr>
                <w:szCs w:val="26"/>
              </w:rPr>
            </w:pPr>
            <w:r w:rsidRPr="006A6990">
              <w:rPr>
                <w:szCs w:val="26"/>
              </w:rPr>
              <w:t>2023 GHG Auction revenue true</w:t>
            </w:r>
            <w:r w:rsidRPr="006A6990">
              <w:rPr>
                <w:szCs w:val="26"/>
              </w:rPr>
              <w:noBreakHyphen/>
              <w:t>up</w:t>
            </w:r>
          </w:p>
          <w:p w:rsidRPr="006A6990" w:rsidR="00BB54DB" w:rsidP="006A6990" w:rsidRDefault="00BB54DB" w14:paraId="196057CD" w14:textId="41ED60E0">
            <w:pPr>
              <w:numPr>
                <w:ilvl w:val="0"/>
                <w:numId w:val="29"/>
              </w:numPr>
              <w:spacing w:line="240" w:lineRule="auto"/>
              <w:rPr>
                <w:szCs w:val="26"/>
              </w:rPr>
            </w:pPr>
            <w:r w:rsidRPr="006A6990">
              <w:rPr>
                <w:szCs w:val="26"/>
              </w:rPr>
              <w:t>2024 Forecast GHG auction allowance revenue</w:t>
            </w:r>
            <w:r w:rsidR="00E56B39">
              <w:rPr>
                <w:szCs w:val="26"/>
              </w:rPr>
              <w:t>s</w:t>
            </w:r>
          </w:p>
          <w:p w:rsidRPr="006A6990" w:rsidR="00BB54DB" w:rsidP="006A6990" w:rsidRDefault="00BB54DB" w14:paraId="20150D65" w14:textId="3BACDD23">
            <w:pPr>
              <w:numPr>
                <w:ilvl w:val="0"/>
                <w:numId w:val="29"/>
              </w:numPr>
              <w:spacing w:line="240" w:lineRule="auto"/>
              <w:rPr>
                <w:szCs w:val="26"/>
              </w:rPr>
            </w:pPr>
            <w:r w:rsidRPr="006A6990">
              <w:rPr>
                <w:szCs w:val="26"/>
              </w:rPr>
              <w:t>2024 Forecast FF&amp;U</w:t>
            </w:r>
          </w:p>
          <w:p w:rsidRPr="006A6990" w:rsidR="00BB54DB" w:rsidP="006A6990" w:rsidRDefault="00BB54DB" w14:paraId="62AF9ED3" w14:textId="625DEFA3">
            <w:pPr>
              <w:spacing w:line="240" w:lineRule="auto"/>
              <w:ind w:firstLine="0"/>
              <w:rPr>
                <w:szCs w:val="26"/>
              </w:rPr>
            </w:pPr>
            <w:r w:rsidRPr="006A6990">
              <w:rPr>
                <w:szCs w:val="26"/>
              </w:rPr>
              <w:t>_________________________________________</w:t>
            </w:r>
          </w:p>
          <w:p w:rsidRPr="000E2A76" w:rsidR="00BB54DB" w:rsidP="006A6990" w:rsidRDefault="00BB54DB" w14:paraId="066CFB45" w14:textId="71AC4E98">
            <w:pPr>
              <w:spacing w:line="240" w:lineRule="auto"/>
              <w:ind w:firstLine="0"/>
              <w:rPr>
                <w:b/>
                <w:bCs/>
                <w:szCs w:val="26"/>
              </w:rPr>
            </w:pPr>
            <w:r w:rsidRPr="000E2A76">
              <w:rPr>
                <w:b/>
                <w:bCs/>
                <w:szCs w:val="26"/>
              </w:rPr>
              <w:t>GHG Revenue Subtotal</w:t>
            </w:r>
          </w:p>
        </w:tc>
        <w:tc>
          <w:tcPr>
            <w:tcW w:w="1923" w:type="dxa"/>
            <w:tcBorders>
              <w:top w:val="single" w:color="auto" w:sz="4" w:space="0"/>
              <w:left w:val="single" w:color="auto" w:sz="4" w:space="0"/>
              <w:bottom w:val="single" w:color="auto" w:sz="4" w:space="0"/>
              <w:right w:val="single" w:color="auto" w:sz="4" w:space="0"/>
            </w:tcBorders>
          </w:tcPr>
          <w:p w:rsidRPr="006A6990" w:rsidR="00BB54DB" w:rsidP="006A6990" w:rsidRDefault="00BB54DB" w14:paraId="1DF027C9" w14:textId="7A5016F9">
            <w:pPr>
              <w:keepNext/>
              <w:spacing w:line="240" w:lineRule="auto"/>
              <w:ind w:firstLine="0"/>
              <w:jc w:val="right"/>
              <w:rPr>
                <w:szCs w:val="26"/>
              </w:rPr>
            </w:pPr>
          </w:p>
          <w:p w:rsidR="00BB54DB" w:rsidP="006A6990" w:rsidRDefault="00140D56" w14:paraId="213319D2" w14:textId="638E4BCC">
            <w:pPr>
              <w:keepNext/>
              <w:spacing w:line="240" w:lineRule="auto"/>
              <w:ind w:firstLine="0"/>
              <w:jc w:val="right"/>
              <w:rPr>
                <w:szCs w:val="26"/>
              </w:rPr>
            </w:pPr>
            <w:r>
              <w:rPr>
                <w:szCs w:val="26"/>
              </w:rPr>
              <w:t>-</w:t>
            </w:r>
            <w:r w:rsidRPr="006A6990" w:rsidR="00BB54DB">
              <w:rPr>
                <w:szCs w:val="26"/>
              </w:rPr>
              <w:t>$</w:t>
            </w:r>
            <w:r>
              <w:rPr>
                <w:szCs w:val="26"/>
              </w:rPr>
              <w:t>45.488</w:t>
            </w:r>
          </w:p>
          <w:p w:rsidRPr="006A6990" w:rsidR="00EA4A78" w:rsidP="006A6990" w:rsidRDefault="00EA4A78" w14:paraId="238EB74A" w14:textId="77777777">
            <w:pPr>
              <w:keepNext/>
              <w:spacing w:line="240" w:lineRule="auto"/>
              <w:ind w:firstLine="0"/>
              <w:jc w:val="right"/>
              <w:rPr>
                <w:szCs w:val="26"/>
              </w:rPr>
            </w:pPr>
          </w:p>
          <w:p w:rsidRPr="006A6990" w:rsidR="00BB54DB" w:rsidP="006A6990" w:rsidRDefault="00BB54DB" w14:paraId="407251EC" w14:textId="4670EEDA">
            <w:pPr>
              <w:keepNext/>
              <w:spacing w:line="240" w:lineRule="auto"/>
              <w:ind w:firstLine="0"/>
              <w:jc w:val="right"/>
              <w:rPr>
                <w:szCs w:val="26"/>
              </w:rPr>
            </w:pPr>
            <w:r w:rsidRPr="006A6990">
              <w:rPr>
                <w:szCs w:val="26"/>
              </w:rPr>
              <w:noBreakHyphen/>
              <w:t>$</w:t>
            </w:r>
            <w:r w:rsidR="006E4C5B">
              <w:rPr>
                <w:szCs w:val="26"/>
              </w:rPr>
              <w:t>9321.108</w:t>
            </w:r>
          </w:p>
          <w:p w:rsidRPr="006A6990" w:rsidR="00BB54DB" w:rsidP="006A6990" w:rsidRDefault="00BB54DB" w14:paraId="1492D3BB" w14:textId="5104FA55">
            <w:pPr>
              <w:keepNext/>
              <w:spacing w:line="240" w:lineRule="auto"/>
              <w:ind w:firstLine="0"/>
              <w:jc w:val="right"/>
              <w:rPr>
                <w:szCs w:val="26"/>
              </w:rPr>
            </w:pPr>
            <w:r w:rsidRPr="006A6990">
              <w:rPr>
                <w:szCs w:val="26"/>
              </w:rPr>
              <w:noBreakHyphen/>
              <w:t>$</w:t>
            </w:r>
            <w:r w:rsidR="00140D56">
              <w:rPr>
                <w:szCs w:val="26"/>
              </w:rPr>
              <w:t>10.425</w:t>
            </w:r>
          </w:p>
          <w:p w:rsidRPr="006A6990" w:rsidR="00BB54DB" w:rsidP="006A6990" w:rsidRDefault="00BB54DB" w14:paraId="5FD15E03" w14:textId="5F10C682">
            <w:pPr>
              <w:keepNext/>
              <w:spacing w:line="240" w:lineRule="auto"/>
              <w:ind w:firstLine="0"/>
              <w:jc w:val="right"/>
              <w:rPr>
                <w:szCs w:val="26"/>
              </w:rPr>
            </w:pPr>
            <w:r w:rsidRPr="006A6990">
              <w:rPr>
                <w:szCs w:val="26"/>
              </w:rPr>
              <w:t>_____________</w:t>
            </w:r>
          </w:p>
          <w:p w:rsidRPr="000E2A76" w:rsidR="00BB54DB" w:rsidP="006A6990" w:rsidRDefault="00BB54DB" w14:paraId="7E1071F4" w14:textId="49E9A891">
            <w:pPr>
              <w:keepNext/>
              <w:spacing w:line="240" w:lineRule="auto"/>
              <w:ind w:firstLine="0"/>
              <w:jc w:val="right"/>
              <w:rPr>
                <w:b/>
                <w:bCs/>
                <w:szCs w:val="26"/>
              </w:rPr>
            </w:pPr>
            <w:r w:rsidRPr="000E2A76">
              <w:rPr>
                <w:b/>
                <w:bCs/>
                <w:szCs w:val="26"/>
              </w:rPr>
              <w:noBreakHyphen/>
              <w:t>$</w:t>
            </w:r>
            <w:r w:rsidRPr="000E2A76" w:rsidR="00140D56">
              <w:rPr>
                <w:b/>
                <w:bCs/>
                <w:szCs w:val="26"/>
              </w:rPr>
              <w:t>9</w:t>
            </w:r>
            <w:r w:rsidRPr="000E2A76" w:rsidR="00747066">
              <w:rPr>
                <w:b/>
                <w:bCs/>
                <w:szCs w:val="26"/>
              </w:rPr>
              <w:t>98.</w:t>
            </w:r>
            <w:r w:rsidR="00EA4A78">
              <w:rPr>
                <w:b/>
                <w:bCs/>
                <w:szCs w:val="26"/>
              </w:rPr>
              <w:t>021</w:t>
            </w:r>
          </w:p>
        </w:tc>
      </w:tr>
      <w:tr w:rsidRPr="006A6990" w:rsidR="00BB54DB" w:rsidTr="001F0174" w14:paraId="4DAEDDB0" w14:textId="7FA0E7C5">
        <w:trPr>
          <w:cantSplit/>
          <w:jc w:val="center"/>
        </w:trPr>
        <w:tc>
          <w:tcPr>
            <w:tcW w:w="5722" w:type="dxa"/>
            <w:tcBorders>
              <w:top w:val="single" w:color="auto" w:sz="4" w:space="0"/>
              <w:left w:val="single" w:color="auto" w:sz="4" w:space="0"/>
              <w:bottom w:val="single" w:color="auto" w:sz="4" w:space="0"/>
              <w:right w:val="single" w:color="auto" w:sz="4" w:space="0"/>
            </w:tcBorders>
          </w:tcPr>
          <w:p w:rsidRPr="006A6990" w:rsidR="00BB54DB" w:rsidP="006A6990" w:rsidRDefault="00BB54DB" w14:paraId="1A040DA2" w14:textId="26DFE04A">
            <w:pPr>
              <w:spacing w:line="240" w:lineRule="auto"/>
              <w:ind w:firstLine="0"/>
              <w:rPr>
                <w:szCs w:val="26"/>
              </w:rPr>
            </w:pPr>
            <w:r w:rsidRPr="006A6990">
              <w:rPr>
                <w:szCs w:val="26"/>
              </w:rPr>
              <w:t>Administrative Expenses</w:t>
            </w:r>
          </w:p>
          <w:p w:rsidRPr="006A6990" w:rsidR="00BB54DB" w:rsidP="006A6990" w:rsidRDefault="00BB54DB" w14:paraId="288BB92C" w14:textId="7B74479E">
            <w:pPr>
              <w:numPr>
                <w:ilvl w:val="0"/>
                <w:numId w:val="30"/>
              </w:numPr>
              <w:spacing w:line="240" w:lineRule="auto"/>
              <w:rPr>
                <w:szCs w:val="26"/>
              </w:rPr>
            </w:pPr>
            <w:r w:rsidRPr="006A6990">
              <w:rPr>
                <w:szCs w:val="26"/>
              </w:rPr>
              <w:t>2024 Outreach and Administrative Expenses</w:t>
            </w:r>
          </w:p>
          <w:p w:rsidRPr="006A6990" w:rsidR="00BB54DB" w:rsidP="006A6990" w:rsidRDefault="00BB54DB" w14:paraId="134BA51A" w14:textId="56CEBE63">
            <w:pPr>
              <w:numPr>
                <w:ilvl w:val="0"/>
                <w:numId w:val="30"/>
              </w:numPr>
              <w:spacing w:line="240" w:lineRule="auto"/>
              <w:rPr>
                <w:szCs w:val="26"/>
              </w:rPr>
            </w:pPr>
            <w:r w:rsidRPr="006A6990">
              <w:rPr>
                <w:szCs w:val="26"/>
              </w:rPr>
              <w:t>2024 Forecast FF&amp;U</w:t>
            </w:r>
          </w:p>
          <w:p w:rsidRPr="006A6990" w:rsidR="00BB54DB" w:rsidP="006A6990" w:rsidRDefault="00BB54DB" w14:paraId="5809A14C" w14:textId="2017AB9E">
            <w:pPr>
              <w:spacing w:line="240" w:lineRule="auto"/>
              <w:ind w:firstLine="0"/>
              <w:rPr>
                <w:szCs w:val="26"/>
              </w:rPr>
            </w:pPr>
            <w:r w:rsidRPr="006A6990">
              <w:rPr>
                <w:szCs w:val="26"/>
              </w:rPr>
              <w:t>__________________________________________</w:t>
            </w:r>
          </w:p>
          <w:p w:rsidRPr="000E2A76" w:rsidR="00BB54DB" w:rsidP="006A6990" w:rsidRDefault="00BB54DB" w14:paraId="047DCC0F" w14:textId="216D8409">
            <w:pPr>
              <w:spacing w:line="240" w:lineRule="auto"/>
              <w:ind w:firstLine="0"/>
              <w:rPr>
                <w:b/>
                <w:bCs/>
                <w:szCs w:val="26"/>
              </w:rPr>
            </w:pPr>
            <w:r w:rsidRPr="000E2A76">
              <w:rPr>
                <w:b/>
                <w:bCs/>
                <w:szCs w:val="26"/>
              </w:rPr>
              <w:t>Subtotal</w:t>
            </w:r>
          </w:p>
        </w:tc>
        <w:tc>
          <w:tcPr>
            <w:tcW w:w="1923" w:type="dxa"/>
            <w:tcBorders>
              <w:top w:val="single" w:color="auto" w:sz="4" w:space="0"/>
              <w:left w:val="single" w:color="auto" w:sz="4" w:space="0"/>
              <w:bottom w:val="single" w:color="auto" w:sz="4" w:space="0"/>
              <w:right w:val="single" w:color="auto" w:sz="4" w:space="0"/>
            </w:tcBorders>
          </w:tcPr>
          <w:p w:rsidRPr="006A6990" w:rsidR="00BB54DB" w:rsidP="006A6990" w:rsidRDefault="00BB54DB" w14:paraId="690A210E" w14:textId="016F1CFF">
            <w:pPr>
              <w:keepNext/>
              <w:spacing w:line="240" w:lineRule="auto"/>
              <w:ind w:firstLine="0"/>
              <w:jc w:val="right"/>
              <w:rPr>
                <w:szCs w:val="26"/>
              </w:rPr>
            </w:pPr>
          </w:p>
          <w:p w:rsidRPr="006A6990" w:rsidR="00BB54DB" w:rsidP="006A6990" w:rsidRDefault="00BB54DB" w14:paraId="44A30C79" w14:textId="18BC169F">
            <w:pPr>
              <w:keepNext/>
              <w:spacing w:line="240" w:lineRule="auto"/>
              <w:ind w:firstLine="0"/>
              <w:jc w:val="right"/>
              <w:rPr>
                <w:szCs w:val="26"/>
              </w:rPr>
            </w:pPr>
            <w:r w:rsidRPr="006A6990">
              <w:rPr>
                <w:szCs w:val="26"/>
              </w:rPr>
              <w:t>$0.325</w:t>
            </w:r>
          </w:p>
          <w:p w:rsidRPr="006A6990" w:rsidR="00BB54DB" w:rsidP="006A6990" w:rsidRDefault="00BB54DB" w14:paraId="3E22577F" w14:textId="02BC9F47">
            <w:pPr>
              <w:keepNext/>
              <w:spacing w:line="240" w:lineRule="auto"/>
              <w:ind w:firstLine="0"/>
              <w:jc w:val="right"/>
              <w:rPr>
                <w:szCs w:val="26"/>
              </w:rPr>
            </w:pPr>
          </w:p>
          <w:p w:rsidRPr="006A6990" w:rsidR="00BB54DB" w:rsidP="006A6990" w:rsidRDefault="00BB54DB" w14:paraId="46837F4C" w14:textId="744EEFC6">
            <w:pPr>
              <w:keepNext/>
              <w:spacing w:line="240" w:lineRule="auto"/>
              <w:ind w:firstLine="0"/>
              <w:jc w:val="right"/>
              <w:rPr>
                <w:szCs w:val="26"/>
              </w:rPr>
            </w:pPr>
            <w:r w:rsidRPr="006A6990">
              <w:rPr>
                <w:szCs w:val="26"/>
              </w:rPr>
              <w:t>$0.004</w:t>
            </w:r>
          </w:p>
          <w:p w:rsidRPr="006A6990" w:rsidR="00BB54DB" w:rsidP="006A6990" w:rsidRDefault="00BB54DB" w14:paraId="3DB7707C" w14:textId="36BF71A3">
            <w:pPr>
              <w:keepNext/>
              <w:spacing w:line="240" w:lineRule="auto"/>
              <w:ind w:firstLine="0"/>
              <w:jc w:val="right"/>
              <w:rPr>
                <w:szCs w:val="26"/>
              </w:rPr>
            </w:pPr>
            <w:r w:rsidRPr="006A6990">
              <w:rPr>
                <w:szCs w:val="26"/>
              </w:rPr>
              <w:t>_____________</w:t>
            </w:r>
          </w:p>
          <w:p w:rsidRPr="000E2A76" w:rsidR="00BB54DB" w:rsidP="006A6990" w:rsidRDefault="00BB54DB" w14:paraId="416311C6" w14:textId="026C53FC">
            <w:pPr>
              <w:keepNext/>
              <w:spacing w:line="240" w:lineRule="auto"/>
              <w:ind w:firstLine="0"/>
              <w:jc w:val="right"/>
              <w:rPr>
                <w:b/>
                <w:bCs/>
                <w:szCs w:val="26"/>
              </w:rPr>
            </w:pPr>
            <w:r w:rsidRPr="000E2A76">
              <w:rPr>
                <w:b/>
                <w:bCs/>
                <w:szCs w:val="26"/>
              </w:rPr>
              <w:t>$0.3</w:t>
            </w:r>
            <w:r w:rsidRPr="000E2A76" w:rsidR="00140D56">
              <w:rPr>
                <w:b/>
                <w:bCs/>
                <w:szCs w:val="26"/>
              </w:rPr>
              <w:t>29</w:t>
            </w:r>
          </w:p>
        </w:tc>
      </w:tr>
      <w:tr w:rsidRPr="006A6990" w:rsidR="00BB54DB" w:rsidTr="001F0174" w14:paraId="0AB7B354" w14:textId="659C5979">
        <w:trPr>
          <w:jc w:val="center"/>
        </w:trPr>
        <w:tc>
          <w:tcPr>
            <w:tcW w:w="5722" w:type="dxa"/>
            <w:hideMark/>
          </w:tcPr>
          <w:p w:rsidRPr="006A6990" w:rsidR="00BB54DB" w:rsidP="006A6990" w:rsidRDefault="00BB54DB" w14:paraId="4401AD3A" w14:textId="10E2E34C">
            <w:pPr>
              <w:pStyle w:val="standard0"/>
              <w:spacing w:line="240" w:lineRule="auto"/>
              <w:ind w:firstLine="0"/>
              <w:rPr>
                <w:szCs w:val="26"/>
              </w:rPr>
            </w:pPr>
            <w:r w:rsidRPr="006A6990">
              <w:rPr>
                <w:szCs w:val="26"/>
              </w:rPr>
              <w:t>Clean Energy and Energy Efficiency Programs</w:t>
            </w:r>
          </w:p>
          <w:p w:rsidR="00EA4A78" w:rsidP="00EA4A78" w:rsidRDefault="00BB54DB" w14:paraId="17BD0409" w14:textId="77777777">
            <w:pPr>
              <w:pStyle w:val="ListParagraph"/>
              <w:numPr>
                <w:ilvl w:val="0"/>
                <w:numId w:val="31"/>
              </w:numPr>
              <w:spacing w:line="240" w:lineRule="auto"/>
              <w:rPr>
                <w:szCs w:val="26"/>
              </w:rPr>
            </w:pPr>
            <w:r w:rsidRPr="00EA4A78">
              <w:rPr>
                <w:szCs w:val="26"/>
              </w:rPr>
              <w:t xml:space="preserve">SCE 2024 </w:t>
            </w:r>
            <w:r w:rsidRPr="00EA4A78" w:rsidR="008E2600">
              <w:rPr>
                <w:szCs w:val="26"/>
              </w:rPr>
              <w:t>Solar on Multifamily Affordable Housing Program (SOMAH)</w:t>
            </w:r>
          </w:p>
          <w:p w:rsidRPr="00EA4A78" w:rsidR="00BB54DB" w:rsidP="00EA4A78" w:rsidRDefault="00BB54DB" w14:paraId="579A498F" w14:textId="4FD0C907">
            <w:pPr>
              <w:pStyle w:val="ListParagraph"/>
              <w:numPr>
                <w:ilvl w:val="0"/>
                <w:numId w:val="31"/>
              </w:numPr>
              <w:spacing w:line="240" w:lineRule="auto"/>
              <w:rPr>
                <w:szCs w:val="26"/>
              </w:rPr>
            </w:pPr>
            <w:r w:rsidRPr="00EA4A78">
              <w:rPr>
                <w:szCs w:val="26"/>
              </w:rPr>
              <w:t>SCE 2023 SOMAH True</w:t>
            </w:r>
            <w:r w:rsidRPr="00EA4A78">
              <w:rPr>
                <w:szCs w:val="26"/>
              </w:rPr>
              <w:noBreakHyphen/>
              <w:t xml:space="preserve">Up </w:t>
            </w:r>
          </w:p>
          <w:p w:rsidRPr="006A6990" w:rsidR="00BB54DB" w:rsidP="006A6990" w:rsidRDefault="00BB54DB" w14:paraId="5504DE9F" w14:textId="26E24B0F">
            <w:pPr>
              <w:numPr>
                <w:ilvl w:val="0"/>
                <w:numId w:val="31"/>
              </w:numPr>
              <w:spacing w:line="240" w:lineRule="auto"/>
              <w:rPr>
                <w:szCs w:val="26"/>
              </w:rPr>
            </w:pPr>
            <w:r w:rsidRPr="006A6990">
              <w:rPr>
                <w:szCs w:val="26"/>
              </w:rPr>
              <w:t>SCE 2024 Disadvantaged Communities — Single</w:t>
            </w:r>
            <w:r w:rsidRPr="006A6990">
              <w:rPr>
                <w:szCs w:val="26"/>
              </w:rPr>
              <w:noBreakHyphen/>
              <w:t>family Solar Homes (DAC</w:t>
            </w:r>
            <w:r w:rsidRPr="006A6990">
              <w:rPr>
                <w:szCs w:val="26"/>
              </w:rPr>
              <w:noBreakHyphen/>
              <w:t>SASH)</w:t>
            </w:r>
          </w:p>
          <w:p w:rsidRPr="006A6990" w:rsidR="00BB54DB" w:rsidP="006A6990" w:rsidRDefault="00BB54DB" w14:paraId="36DD5447" w14:textId="2EBD29BB">
            <w:pPr>
              <w:numPr>
                <w:ilvl w:val="0"/>
                <w:numId w:val="31"/>
              </w:numPr>
              <w:spacing w:line="240" w:lineRule="auto"/>
              <w:rPr>
                <w:szCs w:val="26"/>
              </w:rPr>
            </w:pPr>
            <w:r w:rsidRPr="006A6990">
              <w:rPr>
                <w:szCs w:val="26"/>
              </w:rPr>
              <w:t xml:space="preserve">SCE 2024 </w:t>
            </w:r>
            <w:r w:rsidR="008E2600">
              <w:rPr>
                <w:szCs w:val="26"/>
              </w:rPr>
              <w:t>Disadvantaged Communities Green Tariff (DAC-GT)</w:t>
            </w:r>
            <w:r w:rsidRPr="006A6990">
              <w:rPr>
                <w:szCs w:val="26"/>
              </w:rPr>
              <w:t xml:space="preserve"> and </w:t>
            </w:r>
            <w:r w:rsidRPr="006A6990" w:rsidR="008E2600">
              <w:rPr>
                <w:szCs w:val="26"/>
              </w:rPr>
              <w:t>C</w:t>
            </w:r>
            <w:r w:rsidR="008E2600">
              <w:rPr>
                <w:szCs w:val="26"/>
              </w:rPr>
              <w:t>ommunity Solar Green Tariff (CSGT)</w:t>
            </w:r>
          </w:p>
          <w:p w:rsidRPr="006A6990" w:rsidR="00BB54DB" w:rsidP="006A6990" w:rsidRDefault="00BB54DB" w14:paraId="63F6EB74" w14:textId="451FE713">
            <w:pPr>
              <w:numPr>
                <w:ilvl w:val="0"/>
                <w:numId w:val="31"/>
              </w:numPr>
              <w:spacing w:line="240" w:lineRule="auto"/>
              <w:rPr>
                <w:szCs w:val="26"/>
              </w:rPr>
            </w:pPr>
            <w:r w:rsidRPr="006A6990">
              <w:rPr>
                <w:szCs w:val="26"/>
              </w:rPr>
              <w:t>CPA 2024 DAC</w:t>
            </w:r>
            <w:r w:rsidRPr="006A6990">
              <w:rPr>
                <w:szCs w:val="26"/>
              </w:rPr>
              <w:noBreakHyphen/>
              <w:t>GT and CSGT</w:t>
            </w:r>
          </w:p>
          <w:p w:rsidRPr="006A6990" w:rsidR="00BB54DB" w:rsidP="006A6990" w:rsidRDefault="00BB54DB" w14:paraId="12B39BCF" w14:textId="6F3CA693">
            <w:pPr>
              <w:numPr>
                <w:ilvl w:val="0"/>
                <w:numId w:val="31"/>
              </w:numPr>
              <w:spacing w:line="240" w:lineRule="auto"/>
              <w:rPr>
                <w:szCs w:val="26"/>
              </w:rPr>
            </w:pPr>
            <w:r w:rsidRPr="006A6990">
              <w:rPr>
                <w:szCs w:val="26"/>
              </w:rPr>
              <w:t>Cal Choice 2024 DAC</w:t>
            </w:r>
            <w:r w:rsidRPr="006A6990">
              <w:rPr>
                <w:szCs w:val="26"/>
              </w:rPr>
              <w:noBreakHyphen/>
              <w:t>GT and CSGT</w:t>
            </w:r>
          </w:p>
          <w:p w:rsidRPr="006A6990" w:rsidR="00BB54DB" w:rsidP="006A6990" w:rsidRDefault="00BB54DB" w14:paraId="0F6CFF70" w14:textId="364494D0">
            <w:pPr>
              <w:numPr>
                <w:ilvl w:val="0"/>
                <w:numId w:val="31"/>
              </w:numPr>
              <w:spacing w:line="240" w:lineRule="auto"/>
              <w:rPr>
                <w:szCs w:val="26"/>
              </w:rPr>
            </w:pPr>
            <w:r w:rsidRPr="006A6990">
              <w:rPr>
                <w:szCs w:val="26"/>
              </w:rPr>
              <w:t>2024 SCE Clean Energy Optimization Pilot (CEOP)</w:t>
            </w:r>
          </w:p>
          <w:p w:rsidRPr="006A6990" w:rsidR="00BB54DB" w:rsidP="006A6990" w:rsidRDefault="00BB54DB" w14:paraId="639017BE" w14:textId="2BA98974">
            <w:pPr>
              <w:pStyle w:val="standard0"/>
              <w:spacing w:line="240" w:lineRule="auto"/>
              <w:ind w:firstLine="0"/>
              <w:rPr>
                <w:szCs w:val="26"/>
              </w:rPr>
            </w:pPr>
            <w:r w:rsidRPr="006A6990">
              <w:rPr>
                <w:szCs w:val="26"/>
              </w:rPr>
              <w:t>__________________________________________</w:t>
            </w:r>
          </w:p>
          <w:p w:rsidRPr="00997CC9" w:rsidR="00BB54DB" w:rsidP="006A6990" w:rsidRDefault="00BB54DB" w14:paraId="29EBCCBC" w14:textId="19EF8AFB">
            <w:pPr>
              <w:pStyle w:val="standard0"/>
              <w:spacing w:line="240" w:lineRule="auto"/>
              <w:ind w:firstLine="0"/>
              <w:rPr>
                <w:b/>
                <w:bCs/>
                <w:szCs w:val="26"/>
              </w:rPr>
            </w:pPr>
            <w:r w:rsidRPr="00997CC9">
              <w:rPr>
                <w:b/>
                <w:bCs/>
                <w:szCs w:val="26"/>
              </w:rPr>
              <w:lastRenderedPageBreak/>
              <w:t>Total Clean Energy and EE Program Set</w:t>
            </w:r>
            <w:r w:rsidRPr="00997CC9">
              <w:rPr>
                <w:b/>
                <w:bCs/>
                <w:szCs w:val="26"/>
              </w:rPr>
              <w:noBreakHyphen/>
              <w:t>Asides</w:t>
            </w:r>
          </w:p>
        </w:tc>
        <w:tc>
          <w:tcPr>
            <w:tcW w:w="1923" w:type="dxa"/>
          </w:tcPr>
          <w:p w:rsidRPr="006A6990" w:rsidR="00BB54DB" w:rsidP="00EA4A78" w:rsidRDefault="00BB54DB" w14:paraId="4171A359" w14:textId="20B589E5">
            <w:pPr>
              <w:pStyle w:val="standard0"/>
              <w:spacing w:line="240" w:lineRule="auto"/>
              <w:ind w:firstLine="0"/>
              <w:rPr>
                <w:szCs w:val="26"/>
              </w:rPr>
            </w:pPr>
          </w:p>
          <w:p w:rsidR="00EA4A78" w:rsidP="006A6990" w:rsidRDefault="00EA4A78" w14:paraId="72F9024F" w14:textId="77777777">
            <w:pPr>
              <w:pStyle w:val="standard0"/>
              <w:spacing w:line="240" w:lineRule="auto"/>
              <w:ind w:firstLine="0"/>
              <w:jc w:val="right"/>
              <w:rPr>
                <w:szCs w:val="26"/>
              </w:rPr>
            </w:pPr>
          </w:p>
          <w:p w:rsidR="00EA4A78" w:rsidP="006A6990" w:rsidRDefault="00EA4A78" w14:paraId="0BC4B0D8" w14:textId="77777777">
            <w:pPr>
              <w:pStyle w:val="standard0"/>
              <w:spacing w:line="240" w:lineRule="auto"/>
              <w:ind w:firstLine="0"/>
              <w:jc w:val="right"/>
              <w:rPr>
                <w:szCs w:val="26"/>
              </w:rPr>
            </w:pPr>
          </w:p>
          <w:p w:rsidRPr="006A6990" w:rsidR="00BB54DB" w:rsidP="006A6990" w:rsidRDefault="00BB54DB" w14:paraId="3F945C75" w14:textId="6B468762">
            <w:pPr>
              <w:pStyle w:val="standard0"/>
              <w:spacing w:line="240" w:lineRule="auto"/>
              <w:ind w:firstLine="0"/>
              <w:jc w:val="right"/>
              <w:rPr>
                <w:szCs w:val="26"/>
              </w:rPr>
            </w:pPr>
            <w:r w:rsidRPr="006A6990">
              <w:rPr>
                <w:szCs w:val="26"/>
              </w:rPr>
              <w:t>$46.528</w:t>
            </w:r>
          </w:p>
          <w:p w:rsidRPr="006A6990" w:rsidR="00BB54DB" w:rsidP="006A6990" w:rsidRDefault="00BB54DB" w14:paraId="39ABC727" w14:textId="08A6FA71">
            <w:pPr>
              <w:pStyle w:val="standard0"/>
              <w:spacing w:line="240" w:lineRule="auto"/>
              <w:ind w:firstLine="0"/>
              <w:jc w:val="right"/>
              <w:rPr>
                <w:szCs w:val="26"/>
              </w:rPr>
            </w:pPr>
            <w:r w:rsidRPr="006A6990">
              <w:rPr>
                <w:szCs w:val="26"/>
              </w:rPr>
              <w:noBreakHyphen/>
              <w:t>$18.592</w:t>
            </w:r>
          </w:p>
          <w:p w:rsidR="00980A10" w:rsidP="00EA4A78" w:rsidRDefault="00980A10" w14:paraId="52814412" w14:textId="77777777">
            <w:pPr>
              <w:pStyle w:val="standard0"/>
              <w:spacing w:line="240" w:lineRule="auto"/>
              <w:ind w:firstLine="0"/>
              <w:rPr>
                <w:szCs w:val="26"/>
              </w:rPr>
            </w:pPr>
          </w:p>
          <w:p w:rsidR="00EA4A78" w:rsidP="006A6990" w:rsidRDefault="00EA4A78" w14:paraId="1857454C" w14:textId="77777777">
            <w:pPr>
              <w:pStyle w:val="standard0"/>
              <w:spacing w:line="240" w:lineRule="auto"/>
              <w:ind w:firstLine="0"/>
              <w:jc w:val="right"/>
              <w:rPr>
                <w:szCs w:val="26"/>
              </w:rPr>
            </w:pPr>
          </w:p>
          <w:p w:rsidR="00232B5E" w:rsidP="006A6990" w:rsidRDefault="00BB54DB" w14:paraId="25E72C93" w14:textId="5C9D446F">
            <w:pPr>
              <w:pStyle w:val="standard0"/>
              <w:spacing w:line="240" w:lineRule="auto"/>
              <w:ind w:firstLine="0"/>
              <w:jc w:val="right"/>
              <w:rPr>
                <w:szCs w:val="26"/>
              </w:rPr>
            </w:pPr>
            <w:r w:rsidRPr="006A6990">
              <w:rPr>
                <w:szCs w:val="26"/>
              </w:rPr>
              <w:t>$</w:t>
            </w:r>
            <w:r w:rsidR="00232B5E">
              <w:rPr>
                <w:szCs w:val="26"/>
              </w:rPr>
              <w:t>4.600</w:t>
            </w:r>
          </w:p>
          <w:p w:rsidR="00EA4A78" w:rsidP="006A6990" w:rsidRDefault="00EA4A78" w14:paraId="24599F34" w14:textId="77777777">
            <w:pPr>
              <w:pStyle w:val="standard0"/>
              <w:spacing w:line="240" w:lineRule="auto"/>
              <w:ind w:firstLine="0"/>
              <w:jc w:val="right"/>
              <w:rPr>
                <w:szCs w:val="26"/>
              </w:rPr>
            </w:pPr>
          </w:p>
          <w:p w:rsidR="00EA4A78" w:rsidP="006A6990" w:rsidRDefault="00EA4A78" w14:paraId="3A175547" w14:textId="77777777">
            <w:pPr>
              <w:pStyle w:val="standard0"/>
              <w:spacing w:line="240" w:lineRule="auto"/>
              <w:ind w:firstLine="0"/>
              <w:jc w:val="right"/>
              <w:rPr>
                <w:szCs w:val="26"/>
              </w:rPr>
            </w:pPr>
          </w:p>
          <w:p w:rsidRPr="006A6990" w:rsidR="00BB54DB" w:rsidP="006A6990" w:rsidRDefault="00BB54DB" w14:paraId="104C691F" w14:textId="272B1026">
            <w:pPr>
              <w:pStyle w:val="standard0"/>
              <w:spacing w:line="240" w:lineRule="auto"/>
              <w:ind w:firstLine="0"/>
              <w:jc w:val="right"/>
              <w:rPr>
                <w:szCs w:val="26"/>
              </w:rPr>
            </w:pPr>
            <w:r w:rsidRPr="006A6990">
              <w:rPr>
                <w:szCs w:val="26"/>
              </w:rPr>
              <w:t>$0</w:t>
            </w:r>
          </w:p>
          <w:p w:rsidRPr="006A6990" w:rsidR="00BB54DB" w:rsidP="006A6990" w:rsidRDefault="00BB54DB" w14:paraId="5E698574" w14:textId="7E25D2F2">
            <w:pPr>
              <w:pStyle w:val="standard0"/>
              <w:spacing w:line="240" w:lineRule="auto"/>
              <w:ind w:firstLine="0"/>
              <w:jc w:val="right"/>
              <w:rPr>
                <w:szCs w:val="26"/>
              </w:rPr>
            </w:pPr>
            <w:r w:rsidRPr="006A6990">
              <w:rPr>
                <w:szCs w:val="26"/>
              </w:rPr>
              <w:t>$0.</w:t>
            </w:r>
            <w:r w:rsidR="00140D56">
              <w:rPr>
                <w:szCs w:val="26"/>
              </w:rPr>
              <w:t>27</w:t>
            </w:r>
          </w:p>
          <w:p w:rsidRPr="006A6990" w:rsidR="00BB54DB" w:rsidP="006A6990" w:rsidRDefault="00BB54DB" w14:paraId="1131A004" w14:textId="7F2E2DDD">
            <w:pPr>
              <w:pStyle w:val="standard0"/>
              <w:spacing w:line="240" w:lineRule="auto"/>
              <w:ind w:firstLine="0"/>
              <w:jc w:val="right"/>
              <w:rPr>
                <w:szCs w:val="26"/>
              </w:rPr>
            </w:pPr>
            <w:r w:rsidRPr="006A6990">
              <w:rPr>
                <w:szCs w:val="26"/>
              </w:rPr>
              <w:t>$0.25</w:t>
            </w:r>
          </w:p>
          <w:p w:rsidR="00BB54DB" w:rsidP="006A6990" w:rsidRDefault="00BB54DB" w14:paraId="37D46A02" w14:textId="7C2254A3">
            <w:pPr>
              <w:pStyle w:val="standard0"/>
              <w:pBdr>
                <w:bottom w:val="single" w:color="auto" w:sz="12" w:space="1"/>
              </w:pBdr>
              <w:spacing w:line="240" w:lineRule="auto"/>
              <w:ind w:firstLine="0"/>
              <w:jc w:val="right"/>
              <w:rPr>
                <w:szCs w:val="26"/>
              </w:rPr>
            </w:pPr>
            <w:r w:rsidRPr="006A6990">
              <w:rPr>
                <w:szCs w:val="26"/>
              </w:rPr>
              <w:t>$0</w:t>
            </w:r>
          </w:p>
          <w:p w:rsidR="00EA4A78" w:rsidP="006A6990" w:rsidRDefault="00EA4A78" w14:paraId="0D663E4F" w14:textId="77777777">
            <w:pPr>
              <w:pStyle w:val="standard0"/>
              <w:pBdr>
                <w:bottom w:val="single" w:color="auto" w:sz="12" w:space="1"/>
              </w:pBdr>
              <w:spacing w:line="240" w:lineRule="auto"/>
              <w:ind w:firstLine="0"/>
              <w:jc w:val="right"/>
              <w:rPr>
                <w:szCs w:val="26"/>
              </w:rPr>
            </w:pPr>
          </w:p>
          <w:p w:rsidRPr="006A6990" w:rsidR="00EA4A78" w:rsidP="006A6990" w:rsidRDefault="00EA4A78" w14:paraId="6A700904" w14:textId="77777777">
            <w:pPr>
              <w:pStyle w:val="standard0"/>
              <w:pBdr>
                <w:bottom w:val="single" w:color="auto" w:sz="12" w:space="1"/>
              </w:pBdr>
              <w:spacing w:line="240" w:lineRule="auto"/>
              <w:ind w:firstLine="0"/>
              <w:jc w:val="right"/>
              <w:rPr>
                <w:szCs w:val="26"/>
              </w:rPr>
            </w:pPr>
          </w:p>
          <w:p w:rsidRPr="00997CC9" w:rsidR="00BB54DB" w:rsidP="006A6990" w:rsidRDefault="00BB54DB" w14:paraId="1EE1A802" w14:textId="771E0254">
            <w:pPr>
              <w:pStyle w:val="standard0"/>
              <w:spacing w:line="240" w:lineRule="auto"/>
              <w:ind w:firstLine="0"/>
              <w:jc w:val="right"/>
              <w:rPr>
                <w:b/>
                <w:bCs/>
                <w:szCs w:val="26"/>
              </w:rPr>
            </w:pPr>
            <w:r w:rsidRPr="00997CC9">
              <w:rPr>
                <w:b/>
                <w:bCs/>
                <w:szCs w:val="26"/>
              </w:rPr>
              <w:lastRenderedPageBreak/>
              <w:t>$</w:t>
            </w:r>
            <w:r w:rsidRPr="00997CC9" w:rsidR="00140D56">
              <w:rPr>
                <w:b/>
                <w:bCs/>
                <w:szCs w:val="26"/>
              </w:rPr>
              <w:t>32.587</w:t>
            </w:r>
          </w:p>
        </w:tc>
      </w:tr>
      <w:tr w:rsidRPr="006A6990" w:rsidR="00BB54DB" w:rsidTr="001F0174" w14:paraId="6492DFC4" w14:textId="7B27B6EB">
        <w:trPr>
          <w:cantSplit/>
          <w:jc w:val="center"/>
        </w:trPr>
        <w:tc>
          <w:tcPr>
            <w:tcW w:w="5722" w:type="dxa"/>
          </w:tcPr>
          <w:p w:rsidRPr="006A6990" w:rsidR="00BB54DB" w:rsidP="006A6990" w:rsidRDefault="00BB54DB" w14:paraId="44674620" w14:textId="30A3148B">
            <w:pPr>
              <w:pStyle w:val="standard0"/>
              <w:spacing w:line="240" w:lineRule="auto"/>
              <w:ind w:firstLine="0"/>
              <w:rPr>
                <w:szCs w:val="26"/>
                <w:u w:val="single"/>
              </w:rPr>
            </w:pPr>
            <w:r w:rsidRPr="006A6990">
              <w:rPr>
                <w:szCs w:val="26"/>
                <w:u w:val="single"/>
              </w:rPr>
              <w:lastRenderedPageBreak/>
              <w:t>Total GHG Allowance Returns</w:t>
            </w:r>
          </w:p>
          <w:p w:rsidRPr="006A6990" w:rsidR="00BB54DB" w:rsidP="006A6990" w:rsidRDefault="00BB54DB" w14:paraId="48FA24B3" w14:textId="45C4BCC2">
            <w:pPr>
              <w:numPr>
                <w:ilvl w:val="0"/>
                <w:numId w:val="32"/>
              </w:numPr>
              <w:spacing w:line="240" w:lineRule="auto"/>
              <w:ind w:left="360"/>
              <w:rPr>
                <w:szCs w:val="26"/>
              </w:rPr>
            </w:pPr>
            <w:r w:rsidRPr="006A6990">
              <w:rPr>
                <w:szCs w:val="26"/>
              </w:rPr>
              <w:t>2024 EITE Customer Return</w:t>
            </w:r>
          </w:p>
          <w:p w:rsidRPr="006A6990" w:rsidR="00BB54DB" w:rsidP="006A6990" w:rsidRDefault="00BB54DB" w14:paraId="3F5EB028" w14:textId="2E37D16A">
            <w:pPr>
              <w:numPr>
                <w:ilvl w:val="0"/>
                <w:numId w:val="32"/>
              </w:numPr>
              <w:spacing w:line="240" w:lineRule="auto"/>
              <w:ind w:left="360"/>
              <w:rPr>
                <w:szCs w:val="26"/>
              </w:rPr>
            </w:pPr>
            <w:r w:rsidRPr="006A6990">
              <w:rPr>
                <w:szCs w:val="26"/>
              </w:rPr>
              <w:t>2024 California Climate Credit</w:t>
            </w:r>
            <w:r w:rsidR="00747066">
              <w:rPr>
                <w:rStyle w:val="FootnoteReference"/>
                <w:szCs w:val="26"/>
              </w:rPr>
              <w:footnoteReference w:id="153"/>
            </w:r>
          </w:p>
        </w:tc>
        <w:tc>
          <w:tcPr>
            <w:tcW w:w="1923" w:type="dxa"/>
          </w:tcPr>
          <w:p w:rsidR="00EA4A78" w:rsidP="006A6990" w:rsidRDefault="00EA4A78" w14:paraId="637AD1DB" w14:textId="77777777">
            <w:pPr>
              <w:pStyle w:val="standard0"/>
              <w:keepNext/>
              <w:spacing w:line="240" w:lineRule="auto"/>
              <w:ind w:firstLine="0"/>
              <w:jc w:val="right"/>
              <w:rPr>
                <w:szCs w:val="26"/>
              </w:rPr>
            </w:pPr>
            <w:bookmarkStart w:name="_Hlk149013129" w:id="62"/>
          </w:p>
          <w:p w:rsidRPr="006A6990" w:rsidR="00BB54DB" w:rsidP="006A6990" w:rsidRDefault="00BB54DB" w14:paraId="37E9A390" w14:textId="1B1DDB82">
            <w:pPr>
              <w:pStyle w:val="standard0"/>
              <w:keepNext/>
              <w:spacing w:line="240" w:lineRule="auto"/>
              <w:ind w:firstLine="0"/>
              <w:jc w:val="right"/>
              <w:rPr>
                <w:szCs w:val="26"/>
              </w:rPr>
            </w:pPr>
            <w:r w:rsidRPr="006A6990">
              <w:rPr>
                <w:szCs w:val="26"/>
              </w:rPr>
              <w:noBreakHyphen/>
              <w:t>$58.834</w:t>
            </w:r>
          </w:p>
          <w:bookmarkEnd w:id="62"/>
          <w:p w:rsidRPr="006A6990" w:rsidR="00BB54DB" w:rsidP="006A6990" w:rsidRDefault="00BB54DB" w14:paraId="193492B9" w14:textId="1F91C52B">
            <w:pPr>
              <w:pStyle w:val="standard0"/>
              <w:keepNext/>
              <w:spacing w:line="240" w:lineRule="auto"/>
              <w:ind w:firstLine="0"/>
              <w:jc w:val="right"/>
              <w:rPr>
                <w:szCs w:val="26"/>
              </w:rPr>
            </w:pPr>
            <w:r w:rsidRPr="006A6990">
              <w:rPr>
                <w:szCs w:val="26"/>
              </w:rPr>
              <w:noBreakHyphen/>
              <w:t>$</w:t>
            </w:r>
            <w:r w:rsidR="00140D56">
              <w:rPr>
                <w:szCs w:val="26"/>
              </w:rPr>
              <w:t>896</w:t>
            </w:r>
            <w:r w:rsidR="00841E42">
              <w:rPr>
                <w:szCs w:val="26"/>
              </w:rPr>
              <w:t>.</w:t>
            </w:r>
            <w:r w:rsidR="00140D56">
              <w:rPr>
                <w:szCs w:val="26"/>
              </w:rPr>
              <w:t>271</w:t>
            </w:r>
          </w:p>
        </w:tc>
      </w:tr>
      <w:tr w:rsidRPr="006A6990" w:rsidR="00B9225A" w:rsidTr="00BB54DB" w14:paraId="374052A1" w14:textId="77777777">
        <w:trPr>
          <w:cantSplit/>
          <w:jc w:val="center"/>
        </w:trPr>
        <w:tc>
          <w:tcPr>
            <w:tcW w:w="5722" w:type="dxa"/>
          </w:tcPr>
          <w:p w:rsidRPr="001F0174" w:rsidR="00B9225A" w:rsidP="006A6990" w:rsidRDefault="00B9225A" w14:paraId="39D85689" w14:textId="0C11A69D">
            <w:pPr>
              <w:pStyle w:val="standard0"/>
              <w:spacing w:line="240" w:lineRule="auto"/>
              <w:ind w:firstLine="0"/>
              <w:rPr>
                <w:b/>
                <w:bCs/>
                <w:szCs w:val="26"/>
                <w:u w:val="single"/>
              </w:rPr>
            </w:pPr>
            <w:r w:rsidRPr="001F0174">
              <w:rPr>
                <w:b/>
                <w:bCs/>
                <w:szCs w:val="26"/>
                <w:u w:val="single"/>
              </w:rPr>
              <w:t>Net GHG Revenues Available for Return</w:t>
            </w:r>
          </w:p>
        </w:tc>
        <w:tc>
          <w:tcPr>
            <w:tcW w:w="1923" w:type="dxa"/>
          </w:tcPr>
          <w:p w:rsidRPr="001F0174" w:rsidR="00B9225A" w:rsidP="001F0174" w:rsidRDefault="00B9225A" w14:paraId="3B7CA12F" w14:textId="4D608A7C">
            <w:pPr>
              <w:pStyle w:val="standard0"/>
              <w:keepNext/>
              <w:tabs>
                <w:tab w:val="right" w:pos="2880"/>
              </w:tabs>
              <w:spacing w:line="240" w:lineRule="auto"/>
              <w:ind w:firstLine="0"/>
              <w:jc w:val="right"/>
              <w:rPr>
                <w:b/>
                <w:bCs/>
                <w:szCs w:val="26"/>
                <w:u w:val="single"/>
              </w:rPr>
            </w:pPr>
            <w:r w:rsidRPr="001F0174">
              <w:rPr>
                <w:b/>
                <w:bCs/>
                <w:szCs w:val="26"/>
                <w:u w:val="single"/>
              </w:rPr>
              <w:t>-$955.105</w:t>
            </w:r>
          </w:p>
        </w:tc>
      </w:tr>
    </w:tbl>
    <w:p w:rsidRPr="006A6990" w:rsidR="00592F59" w:rsidP="00320F05" w:rsidRDefault="00592F59" w14:paraId="750AFD0A" w14:textId="77777777">
      <w:pPr>
        <w:pStyle w:val="Standard"/>
        <w:rPr>
          <w:sz w:val="16"/>
          <w:szCs w:val="16"/>
        </w:rPr>
      </w:pPr>
    </w:p>
    <w:p w:rsidR="004351D3" w:rsidP="0090509E" w:rsidRDefault="004351D3" w14:paraId="3FFE11FD" w14:textId="77777777">
      <w:pPr>
        <w:pStyle w:val="Standard"/>
      </w:pPr>
      <w:r w:rsidRPr="0090509E">
        <w:t>As</w:t>
      </w:r>
      <w:r w:rsidRPr="006C7D0C">
        <w:t xml:space="preserve"> noted above, SCE forecasted that this would provide its residential and small commercial customers with a California Climate Credit Amount of $86.00 in </w:t>
      </w:r>
      <w:r>
        <w:t xml:space="preserve">April and October </w:t>
      </w:r>
      <w:r w:rsidRPr="006C7D0C">
        <w:t>2024.</w:t>
      </w:r>
      <w:r w:rsidRPr="006C7D0C">
        <w:rPr>
          <w:rStyle w:val="FootnoteReference"/>
        </w:rPr>
        <w:footnoteReference w:id="154"/>
      </w:r>
      <w:r>
        <w:t xml:space="preserve"> </w:t>
      </w:r>
    </w:p>
    <w:p w:rsidRPr="006C7D0C" w:rsidR="009E4A86" w:rsidP="006A6990" w:rsidRDefault="00866977" w14:paraId="72DD5CDF" w14:textId="7EA94D0E">
      <w:pPr>
        <w:pStyle w:val="Standard"/>
      </w:pPr>
      <w:r w:rsidRPr="006C7D0C">
        <w:t xml:space="preserve">SCE proposed to allocate direct GHG costs to the customers who receive a benefit from the resources to which the GHG costs are attributable, and to include the direct cost of the GHG compliance instruments in its proposed generation service though the ERRA BA, PABA and the </w:t>
      </w:r>
      <w:r w:rsidR="008E2600">
        <w:t>ES</w:t>
      </w:r>
      <w:r w:rsidRPr="006C7D0C">
        <w:t>MA, as described in</w:t>
      </w:r>
      <w:r w:rsidRPr="006C7D0C" w:rsidR="00E10A95">
        <w:t xml:space="preserve"> Exhibit SCE-01C </w:t>
      </w:r>
      <w:r w:rsidRPr="006C7D0C">
        <w:t>Table IV-19.</w:t>
      </w:r>
      <w:r w:rsidRPr="006C7D0C" w:rsidR="00E95834">
        <w:rPr>
          <w:rStyle w:val="FootnoteReference"/>
        </w:rPr>
        <w:footnoteReference w:id="155"/>
      </w:r>
      <w:r w:rsidRPr="006C7D0C">
        <w:t xml:space="preserve"> </w:t>
      </w:r>
    </w:p>
    <w:p w:rsidRPr="006C7D0C" w:rsidR="00BA788B" w:rsidP="006A6990" w:rsidRDefault="00BA788B" w14:paraId="30E3BF0F" w14:textId="03B0DBA6">
      <w:pPr>
        <w:pStyle w:val="Heading2"/>
      </w:pPr>
      <w:bookmarkStart w:name="_Toc152331428" w:id="63"/>
      <w:r w:rsidRPr="006C7D0C">
        <w:t>Greenhouse Gas Forecast Revenues and Reconciliation</w:t>
      </w:r>
      <w:bookmarkEnd w:id="63"/>
    </w:p>
    <w:p w:rsidR="00E95834" w:rsidP="0090509E" w:rsidRDefault="00E95834" w14:paraId="4D6467A0" w14:textId="00809021">
      <w:pPr>
        <w:pStyle w:val="Standard"/>
      </w:pPr>
      <w:r w:rsidRPr="006C7D0C">
        <w:t xml:space="preserve">SCE proposed to </w:t>
      </w:r>
      <w:r w:rsidRPr="006C7D0C" w:rsidR="00BA788B">
        <w:t>return</w:t>
      </w:r>
      <w:r w:rsidRPr="006C7D0C">
        <w:t xml:space="preserve"> </w:t>
      </w:r>
      <w:r w:rsidRPr="00232B5E" w:rsidR="00BA788B">
        <w:t>$</w:t>
      </w:r>
      <w:r w:rsidRPr="0090509E" w:rsidR="006C7D0C">
        <w:t>896</w:t>
      </w:r>
      <w:r w:rsidRPr="006C7D0C" w:rsidR="006C7D0C">
        <w:t>.271</w:t>
      </w:r>
      <w:r w:rsidRPr="006C7D0C" w:rsidR="00BA788B">
        <w:t xml:space="preserve"> million in</w:t>
      </w:r>
      <w:r w:rsidRPr="006C7D0C">
        <w:t xml:space="preserve"> GHG </w:t>
      </w:r>
      <w:r w:rsidRPr="006C7D0C" w:rsidR="00BA788B">
        <w:t>revenue</w:t>
      </w:r>
      <w:r w:rsidRPr="006C7D0C">
        <w:t xml:space="preserve"> i</w:t>
      </w:r>
      <w:r w:rsidRPr="006C7D0C" w:rsidR="00BA788B">
        <w:t>n its residential and small commercial customers’</w:t>
      </w:r>
      <w:r w:rsidRPr="006C7D0C">
        <w:t xml:space="preserve"> 2024 California Climate Credit.</w:t>
      </w:r>
      <w:r w:rsidRPr="006C7D0C">
        <w:rPr>
          <w:rStyle w:val="FootnoteReference"/>
        </w:rPr>
        <w:footnoteReference w:id="156"/>
      </w:r>
      <w:r w:rsidRPr="006C7D0C" w:rsidR="00933A44">
        <w:t xml:space="preserve"> This estimate accounted for administrative and customer outreach costs and would equal </w:t>
      </w:r>
      <w:r w:rsidRPr="00232B5E" w:rsidR="00933A44">
        <w:lastRenderedPageBreak/>
        <w:t>$</w:t>
      </w:r>
      <w:r w:rsidRPr="006C7D0C" w:rsidR="006C7D0C">
        <w:t>86.00</w:t>
      </w:r>
      <w:r w:rsidRPr="006C7D0C" w:rsidR="00933A44">
        <w:t xml:space="preserve"> per </w:t>
      </w:r>
      <w:r w:rsidRPr="006C7D0C" w:rsidR="002F4ACE">
        <w:t xml:space="preserve">eligible </w:t>
      </w:r>
      <w:r w:rsidRPr="006C7D0C" w:rsidR="00933A44">
        <w:t>customer</w:t>
      </w:r>
      <w:r w:rsidR="00511D0A">
        <w:t xml:space="preserve"> in bill credits forecasted to be distributed in April and October</w:t>
      </w:r>
      <w:r w:rsidRPr="006C7D0C" w:rsidR="00933A44">
        <w:t xml:space="preserve"> 2024.</w:t>
      </w:r>
    </w:p>
    <w:p w:rsidR="006C7D0C" w:rsidP="006A6990" w:rsidRDefault="006C7D0C" w14:paraId="7073B43E" w14:textId="06DF72BF">
      <w:pPr>
        <w:pStyle w:val="Standard"/>
      </w:pPr>
      <w:r>
        <w:t xml:space="preserve">SCE separately proposed to return $58.834 million to its </w:t>
      </w:r>
      <w:r w:rsidR="00511D0A">
        <w:t>EITE</w:t>
      </w:r>
      <w:r>
        <w:t xml:space="preserve"> Customers, as discussed further in Section 8.4 below.</w:t>
      </w:r>
      <w:r>
        <w:rPr>
          <w:rStyle w:val="FootnoteReference"/>
        </w:rPr>
        <w:footnoteReference w:id="157"/>
      </w:r>
      <w:r>
        <w:t xml:space="preserve"> </w:t>
      </w:r>
    </w:p>
    <w:p w:rsidR="00804739" w:rsidP="006A6990" w:rsidRDefault="00804739" w14:paraId="640D5300" w14:textId="69AEB7CA">
      <w:pPr>
        <w:pStyle w:val="Heading3"/>
      </w:pPr>
      <w:bookmarkStart w:name="_Toc152331429" w:id="64"/>
      <w:r w:rsidRPr="006A6990">
        <w:t>Greenhouse</w:t>
      </w:r>
      <w:r>
        <w:t xml:space="preserve"> Gas Allowance </w:t>
      </w:r>
      <w:r w:rsidR="00D93AC0">
        <w:t>Balancing Account True-Up</w:t>
      </w:r>
      <w:bookmarkEnd w:id="64"/>
    </w:p>
    <w:p w:rsidRPr="00933A44" w:rsidR="00933A44" w:rsidP="006A6990" w:rsidRDefault="00573578" w14:paraId="2C346477" w14:textId="603CA06E">
      <w:pPr>
        <w:pStyle w:val="Standard"/>
      </w:pPr>
      <w:r>
        <w:t xml:space="preserve">As of October </w:t>
      </w:r>
      <w:r w:rsidRPr="006A6990">
        <w:t>2023</w:t>
      </w:r>
      <w:r>
        <w:t xml:space="preserve">, SCE estimated its GHG allowance proceeds will </w:t>
      </w:r>
      <w:r w:rsidR="00E10A95">
        <w:t xml:space="preserve">result in an </w:t>
      </w:r>
      <w:r w:rsidRPr="00232B5E" w:rsidR="00B9225A">
        <w:t>over</w:t>
      </w:r>
      <w:r w:rsidRPr="00232B5E" w:rsidR="00E10A95">
        <w:t>collection of $</w:t>
      </w:r>
      <w:r w:rsidRPr="00232B5E" w:rsidR="00B9225A">
        <w:t>45.488</w:t>
      </w:r>
      <w:r w:rsidRPr="00232B5E" w:rsidR="00E10A95">
        <w:t xml:space="preserve"> million</w:t>
      </w:r>
      <w:r w:rsidRPr="00B9225A">
        <w:t xml:space="preserve"> in</w:t>
      </w:r>
      <w:r>
        <w:t xml:space="preserve"> 2023. This represents the </w:t>
      </w:r>
      <w:r w:rsidR="004351D3">
        <w:t>consignment to auction</w:t>
      </w:r>
      <w:r>
        <w:t xml:space="preserve"> of GHG allowances allocated to SCE by the State of California, which </w:t>
      </w:r>
      <w:r w:rsidR="00D93AC0">
        <w:t>were</w:t>
      </w:r>
      <w:r>
        <w:t xml:space="preserve"> </w:t>
      </w:r>
      <w:r w:rsidR="004351D3">
        <w:t>consigned to</w:t>
      </w:r>
      <w:r>
        <w:t xml:space="preserve"> auction </w:t>
      </w:r>
      <w:r w:rsidR="00D93AC0">
        <w:t>in 2023</w:t>
      </w:r>
      <w:r>
        <w:t xml:space="preserve">. </w:t>
      </w:r>
    </w:p>
    <w:p w:rsidR="00804739" w:rsidP="006A6990" w:rsidRDefault="00804739" w14:paraId="0CAF8497" w14:textId="787BE11D">
      <w:pPr>
        <w:pStyle w:val="Heading3"/>
      </w:pPr>
      <w:bookmarkStart w:name="_Toc152331430" w:id="65"/>
      <w:r w:rsidRPr="006A6990">
        <w:t>Administrative</w:t>
      </w:r>
      <w:r>
        <w:t xml:space="preserve"> and Customer Outreach Expenses</w:t>
      </w:r>
      <w:bookmarkEnd w:id="65"/>
    </w:p>
    <w:p w:rsidR="00573578" w:rsidP="006A6990" w:rsidRDefault="00573578" w14:paraId="4EBA3DDD" w14:textId="06D05CA9">
      <w:pPr>
        <w:pStyle w:val="Standard"/>
      </w:pPr>
      <w:r>
        <w:t xml:space="preserve">SCE forecasted it will spend approximately $0.325 million to administer its </w:t>
      </w:r>
      <w:r w:rsidR="00526C33">
        <w:t xml:space="preserve">California </w:t>
      </w:r>
      <w:r>
        <w:t>Climate Credit program in 202</w:t>
      </w:r>
      <w:r w:rsidR="00CF6CD4">
        <w:t>4</w:t>
      </w:r>
      <w:r>
        <w:t xml:space="preserve">, which includes internal employee and customer-outreach related costs. </w:t>
      </w:r>
      <w:proofErr w:type="gramStart"/>
      <w:r w:rsidR="00526C33">
        <w:t>The majority of</w:t>
      </w:r>
      <w:proofErr w:type="gramEnd"/>
      <w:r w:rsidR="00526C33">
        <w:t xml:space="preserve"> administrative costs are associated with the disbursement of the California Climate Credit</w:t>
      </w:r>
      <w:r w:rsidR="007B50F3">
        <w:t xml:space="preserve"> in April and October</w:t>
      </w:r>
      <w:r w:rsidR="00CF6CD4">
        <w:t>, and SCE’s 2024 forecast aligns with what was approved in D.22-12-012 in its 2023 ERRA forecast proceeding</w:t>
      </w:r>
      <w:r w:rsidR="00526C33">
        <w:t>.</w:t>
      </w:r>
      <w:r w:rsidR="00CF6CD4">
        <w:rPr>
          <w:rStyle w:val="FootnoteReference"/>
        </w:rPr>
        <w:footnoteReference w:id="158"/>
      </w:r>
      <w:r w:rsidR="00526C33">
        <w:t xml:space="preserve"> </w:t>
      </w:r>
      <w:r w:rsidRPr="00454D1A" w:rsidR="000D5A6A">
        <w:t>No parties opposed or commented on SCE’s 2023 forecast of administrative and customer outreach expenses. Upon consideration, the Commission finds SCE’s 202</w:t>
      </w:r>
      <w:r w:rsidR="00931C9E">
        <w:t>4</w:t>
      </w:r>
      <w:r w:rsidRPr="00454D1A" w:rsidR="000D5A6A">
        <w:t xml:space="preserve"> forecast </w:t>
      </w:r>
      <w:r w:rsidR="00931C9E">
        <w:t>GHG</w:t>
      </w:r>
      <w:r w:rsidR="007B50F3">
        <w:t>-</w:t>
      </w:r>
      <w:r w:rsidR="00931C9E">
        <w:t xml:space="preserve">revenue related </w:t>
      </w:r>
      <w:r w:rsidRPr="00454D1A" w:rsidR="000D5A6A">
        <w:t xml:space="preserve">administrative and customer outreach expense costs reasonable and in compliance with applicable rules, orders, and Commission </w:t>
      </w:r>
      <w:r w:rsidR="00A14797">
        <w:t>Decision</w:t>
      </w:r>
      <w:r w:rsidRPr="00454D1A" w:rsidR="000D5A6A">
        <w:t>s.</w:t>
      </w:r>
    </w:p>
    <w:p w:rsidR="00931C9E" w:rsidP="006A6990" w:rsidRDefault="00931C9E" w14:paraId="6F7E3C75" w14:textId="54A172C9">
      <w:pPr>
        <w:pStyle w:val="Heading3"/>
      </w:pPr>
      <w:bookmarkStart w:name="_Toc152331431" w:id="66"/>
      <w:r>
        <w:lastRenderedPageBreak/>
        <w:t xml:space="preserve">Historical Allowance Receipts and </w:t>
      </w:r>
      <w:r w:rsidR="006A6990">
        <w:br/>
      </w:r>
      <w:r>
        <w:t xml:space="preserve">Customer </w:t>
      </w:r>
      <w:r w:rsidRPr="006A6990">
        <w:t>Returns</w:t>
      </w:r>
      <w:bookmarkEnd w:id="66"/>
    </w:p>
    <w:p w:rsidR="002122BE" w:rsidP="006A6990" w:rsidRDefault="00931C9E" w14:paraId="684F53A5" w14:textId="6BF66575">
      <w:pPr>
        <w:pStyle w:val="Standard"/>
      </w:pPr>
      <w:r>
        <w:t xml:space="preserve">SCE </w:t>
      </w:r>
      <w:r w:rsidRPr="006A6990">
        <w:t>forecasted</w:t>
      </w:r>
      <w:r>
        <w:t xml:space="preserve"> an over-disbursement in 2023 due to a difference between its </w:t>
      </w:r>
      <w:r w:rsidR="00581F06">
        <w:t>previously forecasted</w:t>
      </w:r>
      <w:r>
        <w:t xml:space="preserve"> and actual </w:t>
      </w:r>
      <w:r w:rsidR="00581F06">
        <w:t xml:space="preserve">allocated </w:t>
      </w:r>
      <w:r>
        <w:t xml:space="preserve">allowance </w:t>
      </w:r>
      <w:r w:rsidR="00581F06">
        <w:t>auction proceeds</w:t>
      </w:r>
      <w:r>
        <w:t xml:space="preserve"> and returns. In its 2024 ERRA forecast, SCE </w:t>
      </w:r>
      <w:r w:rsidR="00C64169">
        <w:t xml:space="preserve">forecasted a </w:t>
      </w:r>
      <w:r>
        <w:t>$</w:t>
      </w:r>
      <w:r w:rsidR="00C64169">
        <w:t>45.488</w:t>
      </w:r>
      <w:r>
        <w:t xml:space="preserve"> </w:t>
      </w:r>
      <w:r w:rsidR="00232B5E">
        <w:t xml:space="preserve">million </w:t>
      </w:r>
      <w:r w:rsidR="00C64169">
        <w:t>overcollection in</w:t>
      </w:r>
      <w:r>
        <w:t xml:space="preserve"> 2023 </w:t>
      </w:r>
      <w:r w:rsidR="00581F06">
        <w:t xml:space="preserve">allocated </w:t>
      </w:r>
      <w:r>
        <w:t xml:space="preserve">allowance </w:t>
      </w:r>
      <w:r w:rsidR="00581F06">
        <w:t>auction proceeds</w:t>
      </w:r>
      <w:r>
        <w:t xml:space="preserve"> from its projected 2024 </w:t>
      </w:r>
      <w:proofErr w:type="gramStart"/>
      <w:r>
        <w:t>forecasted</w:t>
      </w:r>
      <w:proofErr w:type="gramEnd"/>
      <w:r>
        <w:t xml:space="preserve"> </w:t>
      </w:r>
      <w:r w:rsidR="00581F06">
        <w:t xml:space="preserve">allocated allowance </w:t>
      </w:r>
      <w:r>
        <w:t xml:space="preserve">auction </w:t>
      </w:r>
      <w:r w:rsidR="00581F06">
        <w:t>proceeds</w:t>
      </w:r>
      <w:r>
        <w:t xml:space="preserve">. </w:t>
      </w:r>
      <w:r w:rsidR="007B50F3">
        <w:t>T</w:t>
      </w:r>
      <w:r>
        <w:t xml:space="preserve">he total California Climate Credit available in </w:t>
      </w:r>
      <w:r w:rsidR="00EE33D2">
        <w:t xml:space="preserve">April and October </w:t>
      </w:r>
      <w:r>
        <w:t xml:space="preserve">2024 </w:t>
      </w:r>
      <w:r w:rsidR="00C64169">
        <w:t xml:space="preserve">to residential and small commercial customers </w:t>
      </w:r>
      <w:r>
        <w:t>will be $</w:t>
      </w:r>
      <w:r w:rsidR="00C64169">
        <w:t>86</w:t>
      </w:r>
      <w:r w:rsidR="00232B5E">
        <w:t>.00</w:t>
      </w:r>
      <w:r>
        <w:t xml:space="preserve"> per eligible customer</w:t>
      </w:r>
      <w:r w:rsidR="009559B6">
        <w:t xml:space="preserve">, </w:t>
      </w:r>
      <w:r w:rsidR="00C64169">
        <w:t xml:space="preserve">up </w:t>
      </w:r>
      <w:r w:rsidR="009559B6">
        <w:t>from $71 in 2023</w:t>
      </w:r>
      <w:r>
        <w:t xml:space="preserve">. </w:t>
      </w:r>
    </w:p>
    <w:p w:rsidR="00C64169" w:rsidP="00C64169" w:rsidRDefault="00C64169" w14:paraId="03023CE2" w14:textId="301BDF46">
      <w:pPr>
        <w:pStyle w:val="Heading2"/>
      </w:pPr>
      <w:bookmarkStart w:name="_Toc152331432" w:id="67"/>
      <w:r>
        <w:t>Discussion</w:t>
      </w:r>
      <w:bookmarkEnd w:id="67"/>
    </w:p>
    <w:p w:rsidRPr="00C64169" w:rsidR="00C64169" w:rsidP="00C64169" w:rsidRDefault="00C64169" w14:paraId="7D685BF3" w14:textId="6047B694">
      <w:pPr>
        <w:pStyle w:val="Standard"/>
      </w:pPr>
      <w:r>
        <w:t xml:space="preserve">No party directly addressed SCE’s forecasted GHG costs, </w:t>
      </w:r>
      <w:proofErr w:type="gramStart"/>
      <w:r>
        <w:t>forecasted</w:t>
      </w:r>
      <w:proofErr w:type="gramEnd"/>
      <w:r>
        <w:t xml:space="preserve"> </w:t>
      </w:r>
      <w:r w:rsidR="00581F06">
        <w:t>allocated allowance auction proceeds</w:t>
      </w:r>
      <w:r>
        <w:t xml:space="preserve">, or other aspects related to SCE’s GHG accounting for its 2024 ERRA forecast proceeding. Upon review of SCE’s testimony, October Update, and associated workpapers, we find they </w:t>
      </w:r>
      <w:proofErr w:type="gramStart"/>
      <w:r>
        <w:t>are in compliance with</w:t>
      </w:r>
      <w:proofErr w:type="gramEnd"/>
      <w:r>
        <w:t xml:space="preserve"> existing</w:t>
      </w:r>
      <w:r w:rsidR="00D93AC0">
        <w:t xml:space="preserve"> state law,</w:t>
      </w:r>
      <w:r>
        <w:t xml:space="preserve"> Commission rules, orders, and prior </w:t>
      </w:r>
      <w:r w:rsidR="00A14797">
        <w:t>Decision</w:t>
      </w:r>
      <w:r>
        <w:t>s and are therefore approved.</w:t>
      </w:r>
    </w:p>
    <w:p w:rsidR="00B42929" w:rsidP="006A6990" w:rsidRDefault="00F9226B" w14:paraId="0637BC88" w14:textId="5CBD9C03">
      <w:pPr>
        <w:pStyle w:val="Heading1"/>
      </w:pPr>
      <w:bookmarkStart w:name="_Toc152331433" w:id="68"/>
      <w:r>
        <w:t xml:space="preserve">Clean </w:t>
      </w:r>
      <w:r w:rsidRPr="006A6990">
        <w:t>Energy</w:t>
      </w:r>
      <w:r>
        <w:t xml:space="preserve"> Programs Funding</w:t>
      </w:r>
      <w:bookmarkEnd w:id="68"/>
    </w:p>
    <w:p w:rsidR="00F9226B" w:rsidP="006A6990" w:rsidRDefault="00F9226B" w14:paraId="37C10DD5" w14:textId="1AFC70DF">
      <w:pPr>
        <w:pStyle w:val="Standard"/>
      </w:pPr>
      <w:r w:rsidRPr="00454D1A">
        <w:t>Pub.</w:t>
      </w:r>
      <w:r>
        <w:t> </w:t>
      </w:r>
      <w:r w:rsidRPr="006A6990">
        <w:t>Util</w:t>
      </w:r>
      <w:r w:rsidRPr="00454D1A">
        <w:t xml:space="preserve">. Code </w:t>
      </w:r>
      <w:r w:rsidR="007B50F3">
        <w:t>§</w:t>
      </w:r>
      <w:r w:rsidRPr="00454D1A" w:rsidR="007B50F3">
        <w:t> </w:t>
      </w:r>
      <w:r w:rsidRPr="00454D1A">
        <w:t>748.5(c</w:t>
      </w:r>
      <w:r>
        <w:t>) authorizes the</w:t>
      </w:r>
      <w:r w:rsidRPr="00454D1A">
        <w:t xml:space="preserve"> Commission </w:t>
      </w:r>
      <w:r>
        <w:t>to</w:t>
      </w:r>
      <w:r w:rsidRPr="00454D1A">
        <w:t xml:space="preserve"> allocate up to </w:t>
      </w:r>
      <w:r w:rsidR="00C45138">
        <w:br/>
      </w:r>
      <w:r w:rsidRPr="00454D1A">
        <w:t>15</w:t>
      </w:r>
      <w:r w:rsidR="006111A5">
        <w:t xml:space="preserve"> percent </w:t>
      </w:r>
      <w:r w:rsidRPr="00454D1A">
        <w:t>of the revenue received by an electric corporation from its sales of allocated GHG allowances to specific clean energy and energy efficiency projects that are</w:t>
      </w:r>
      <w:r>
        <w:t xml:space="preserve"> not funded by any other source and are already approved by the Commission. SCE noted that it has set </w:t>
      </w:r>
      <w:r w:rsidRPr="00D93AC0">
        <w:t xml:space="preserve">aside </w:t>
      </w:r>
      <w:r w:rsidRPr="000E2A76">
        <w:t>$</w:t>
      </w:r>
      <w:r w:rsidRPr="00D93AC0" w:rsidR="00EE33D2">
        <w:t>3</w:t>
      </w:r>
      <w:r w:rsidR="00EE33D2">
        <w:t>2.587</w:t>
      </w:r>
      <w:r>
        <w:t xml:space="preserve"> million in allowance revenues to fund </w:t>
      </w:r>
      <w:proofErr w:type="gramStart"/>
      <w:r w:rsidR="006A44A9">
        <w:t>all of</w:t>
      </w:r>
      <w:proofErr w:type="gramEnd"/>
      <w:r w:rsidR="006A44A9">
        <w:t xml:space="preserve"> </w:t>
      </w:r>
      <w:r>
        <w:t>its Clean Energy Programs in 2024.</w:t>
      </w:r>
      <w:r>
        <w:rPr>
          <w:rStyle w:val="FootnoteReference"/>
        </w:rPr>
        <w:footnoteReference w:id="159"/>
      </w:r>
    </w:p>
    <w:p w:rsidR="00F9226B" w:rsidP="006A6990" w:rsidRDefault="00BD03E3" w14:paraId="765857DB" w14:textId="10106B68">
      <w:pPr>
        <w:pStyle w:val="Heading2"/>
      </w:pPr>
      <w:bookmarkStart w:name="_Toc152331434" w:id="69"/>
      <w:r>
        <w:lastRenderedPageBreak/>
        <w:t xml:space="preserve">Solar on </w:t>
      </w:r>
      <w:r w:rsidRPr="006A6990">
        <w:t>Multifamily</w:t>
      </w:r>
      <w:r>
        <w:t xml:space="preserve"> Affordable Housing Program</w:t>
      </w:r>
      <w:bookmarkEnd w:id="69"/>
    </w:p>
    <w:p w:rsidRPr="007E0F6B" w:rsidR="00BD03E3" w:rsidP="006A6990" w:rsidRDefault="00BD03E3" w14:paraId="62F5E1DA" w14:textId="53A63900">
      <w:pPr>
        <w:pStyle w:val="Standard"/>
      </w:pPr>
      <w:r w:rsidRPr="00454D1A">
        <w:t>A</w:t>
      </w:r>
      <w:r w:rsidR="007B50F3">
        <w:t xml:space="preserve">ssembly </w:t>
      </w:r>
      <w:r w:rsidRPr="00454D1A">
        <w:t>B</w:t>
      </w:r>
      <w:r w:rsidR="007B50F3">
        <w:t>ill</w:t>
      </w:r>
      <w:r w:rsidRPr="00454D1A">
        <w:t> 693 (</w:t>
      </w:r>
      <w:r w:rsidRPr="007E0F6B">
        <w:t>Eggman</w:t>
      </w:r>
      <w:r w:rsidR="007B50F3">
        <w:t>),</w:t>
      </w:r>
      <w:r w:rsidRPr="0051309D">
        <w:t xml:space="preserve"> </w:t>
      </w:r>
      <w:r w:rsidRPr="006A6990">
        <w:t>Statutes</w:t>
      </w:r>
      <w:r>
        <w:t xml:space="preserve"> of 2015, C</w:t>
      </w:r>
      <w:r w:rsidRPr="0051309D">
        <w:t>h</w:t>
      </w:r>
      <w:r>
        <w:t>apter</w:t>
      </w:r>
      <w:r w:rsidRPr="0051309D">
        <w:t xml:space="preserve"> </w:t>
      </w:r>
      <w:r w:rsidRPr="00454D1A">
        <w:t>582 created the</w:t>
      </w:r>
      <w:r>
        <w:t xml:space="preserve"> Solar on Multifamily Affordable Housing</w:t>
      </w:r>
      <w:r w:rsidRPr="00454D1A">
        <w:t xml:space="preserve"> </w:t>
      </w:r>
      <w:r>
        <w:t>(</w:t>
      </w:r>
      <w:r w:rsidRPr="00454D1A">
        <w:t>SOMAH</w:t>
      </w:r>
      <w:r>
        <w:t>)</w:t>
      </w:r>
      <w:r w:rsidRPr="00454D1A">
        <w:t xml:space="preserve"> program, allocating </w:t>
      </w:r>
      <w:r w:rsidR="00145C6F">
        <w:br/>
      </w:r>
      <w:r w:rsidRPr="00454D1A">
        <w:t>10</w:t>
      </w:r>
      <w:r w:rsidR="007B50F3">
        <w:t xml:space="preserve"> percent</w:t>
      </w:r>
      <w:r w:rsidRPr="00454D1A" w:rsidR="007B50F3">
        <w:t xml:space="preserve"> </w:t>
      </w:r>
      <w:r w:rsidRPr="00454D1A">
        <w:t xml:space="preserve">of </w:t>
      </w:r>
      <w:r>
        <w:t xml:space="preserve">GHG allowance </w:t>
      </w:r>
      <w:r w:rsidRPr="00454D1A">
        <w:t>auction proceeds</w:t>
      </w:r>
      <w:r>
        <w:t>, or</w:t>
      </w:r>
      <w:r w:rsidRPr="00454D1A">
        <w:t xml:space="preserve"> up to $100 million annually</w:t>
      </w:r>
      <w:r>
        <w:t xml:space="preserve">, whichever is less, </w:t>
      </w:r>
      <w:r w:rsidRPr="00454D1A">
        <w:t xml:space="preserve">for </w:t>
      </w:r>
      <w:r>
        <w:t>f</w:t>
      </w:r>
      <w:r w:rsidRPr="00454D1A">
        <w:t>iscal year</w:t>
      </w:r>
      <w:r>
        <w:t>s</w:t>
      </w:r>
      <w:r w:rsidRPr="00454D1A">
        <w:t xml:space="preserve"> 2016 through 2026</w:t>
      </w:r>
      <w:r>
        <w:t xml:space="preserve">. Under SOMAH, all </w:t>
      </w:r>
      <w:r w:rsidR="007B50F3">
        <w:t>IOUs</w:t>
      </w:r>
      <w:r>
        <w:t>, including small/multijurisdictional utilities, that are regulated by the Commission must use a</w:t>
      </w:r>
      <w:r w:rsidRPr="00454D1A">
        <w:t xml:space="preserve"> share of GHG allowance auction proceeds to install solar photovoltaic systems on multifamily affordable housing throughout California.</w:t>
      </w:r>
      <w:r w:rsidRPr="00454D1A">
        <w:rPr>
          <w:rStyle w:val="FootnoteReference"/>
        </w:rPr>
        <w:footnoteReference w:id="160"/>
      </w:r>
      <w:r w:rsidRPr="00454D1A">
        <w:t xml:space="preserve"> SCE </w:t>
      </w:r>
      <w:r w:rsidR="004D3495">
        <w:t xml:space="preserve">began </w:t>
      </w:r>
      <w:r w:rsidRPr="00454D1A">
        <w:t>set</w:t>
      </w:r>
      <w:r w:rsidR="004D3495">
        <w:t>ting</w:t>
      </w:r>
      <w:r w:rsidRPr="00454D1A">
        <w:t xml:space="preserve"> aside funding for SOMAH in 2017</w:t>
      </w:r>
      <w:r w:rsidR="007B50F3">
        <w:t>,</w:t>
      </w:r>
      <w:r w:rsidRPr="00454D1A">
        <w:t xml:space="preserve"> and the SOMAH program began operating on July 1, 2019. In D.17</w:t>
      </w:r>
      <w:r>
        <w:noBreakHyphen/>
      </w:r>
      <w:r w:rsidRPr="00454D1A">
        <w:t>12</w:t>
      </w:r>
      <w:r>
        <w:noBreakHyphen/>
      </w:r>
      <w:r w:rsidRPr="00454D1A">
        <w:t>022, the Commission required that 10</w:t>
      </w:r>
      <w:r w:rsidR="007B50F3">
        <w:t xml:space="preserve"> percent</w:t>
      </w:r>
      <w:r w:rsidRPr="00454D1A" w:rsidR="007B50F3">
        <w:t xml:space="preserve"> </w:t>
      </w:r>
      <w:r w:rsidRPr="00454D1A">
        <w:t>of forecast auction revenue be reserved for SOMAH through each IOU’s ERRA applications and established that each IOU shall contribute its proportionate share of $100</w:t>
      </w:r>
      <w:r>
        <w:t> </w:t>
      </w:r>
      <w:r w:rsidRPr="00454D1A">
        <w:t>million, when necessary, based on its share of allowance sale proceeds from the previous four quarters.</w:t>
      </w:r>
      <w:r w:rsidRPr="00454D1A">
        <w:rPr>
          <w:rStyle w:val="FootnoteReference"/>
        </w:rPr>
        <w:footnoteReference w:id="161"/>
      </w:r>
    </w:p>
    <w:p w:rsidR="00BD03E3" w:rsidP="006A6990" w:rsidRDefault="00BD03E3" w14:paraId="011D7A9F" w14:textId="29483D4C">
      <w:pPr>
        <w:pStyle w:val="Standard"/>
      </w:pPr>
      <w:r w:rsidRPr="00454D1A">
        <w:t>D.20</w:t>
      </w:r>
      <w:r>
        <w:noBreakHyphen/>
      </w:r>
      <w:r w:rsidRPr="00454D1A">
        <w:t>01</w:t>
      </w:r>
      <w:r>
        <w:noBreakHyphen/>
      </w:r>
      <w:r w:rsidRPr="00454D1A">
        <w:t>022 clarified that prior</w:t>
      </w:r>
      <w:r>
        <w:noBreakHyphen/>
      </w:r>
      <w:r w:rsidRPr="00454D1A">
        <w:t>year GHG revenue allocations should be trued</w:t>
      </w:r>
      <w:r>
        <w:noBreakHyphen/>
      </w:r>
      <w:r w:rsidRPr="00454D1A">
        <w:t>up based on a 10</w:t>
      </w:r>
      <w:r w:rsidR="00CF7190">
        <w:t xml:space="preserve"> percent</w:t>
      </w:r>
      <w:r w:rsidRPr="00454D1A">
        <w:t xml:space="preserve"> allocation of actual GHG revenues received. In D.20</w:t>
      </w:r>
      <w:r>
        <w:noBreakHyphen/>
      </w:r>
      <w:r w:rsidRPr="00454D1A">
        <w:t>04</w:t>
      </w:r>
      <w:r>
        <w:noBreakHyphen/>
      </w:r>
      <w:r w:rsidRPr="00454D1A">
        <w:t>012, the Commission extended SOMAH through</w:t>
      </w:r>
      <w:r w:rsidR="004D3495">
        <w:t xml:space="preserve"> June </w:t>
      </w:r>
      <w:r w:rsidRPr="00454D1A" w:rsidR="004D3495">
        <w:t>2026</w:t>
      </w:r>
      <w:r w:rsidR="004D3495">
        <w:t>,</w:t>
      </w:r>
      <w:r w:rsidRPr="00454D1A" w:rsidR="004D3495">
        <w:t xml:space="preserve"> clarified existing requirements, and set additional requirements for the SOMAH budget true</w:t>
      </w:r>
      <w:r w:rsidR="004D3495">
        <w:noBreakHyphen/>
      </w:r>
      <w:r w:rsidRPr="00454D1A" w:rsidR="004D3495">
        <w:t>up process.</w:t>
      </w:r>
      <w:r w:rsidRPr="00454D1A" w:rsidR="004D3495">
        <w:rPr>
          <w:rStyle w:val="FootnoteReference"/>
          <w:szCs w:val="26"/>
        </w:rPr>
        <w:footnoteReference w:id="162"/>
      </w:r>
      <w:r w:rsidR="006A70F3">
        <w:t xml:space="preserve"> </w:t>
      </w:r>
      <w:r w:rsidRPr="00454D1A" w:rsidR="006A70F3">
        <w:t>D.22</w:t>
      </w:r>
      <w:r w:rsidR="006A70F3">
        <w:noBreakHyphen/>
      </w:r>
      <w:r w:rsidRPr="00454D1A" w:rsidR="006A70F3">
        <w:t>09</w:t>
      </w:r>
      <w:r w:rsidR="006A70F3">
        <w:noBreakHyphen/>
      </w:r>
      <w:r w:rsidRPr="00454D1A" w:rsidR="006A70F3">
        <w:t>009 modified the forecast budgeting process</w:t>
      </w:r>
      <w:r w:rsidR="004E31C3">
        <w:t xml:space="preserve"> by</w:t>
      </w:r>
      <w:r w:rsidRPr="00454D1A" w:rsidR="006A70F3">
        <w:t xml:space="preserve"> adding a pathway for each IOU to request to set aside </w:t>
      </w:r>
      <w:r w:rsidR="007B50F3">
        <w:t>its</w:t>
      </w:r>
      <w:r w:rsidRPr="00454D1A" w:rsidR="007B50F3">
        <w:t xml:space="preserve"> </w:t>
      </w:r>
      <w:r w:rsidRPr="00454D1A" w:rsidR="006A70F3">
        <w:t>proportionate share of a $100</w:t>
      </w:r>
      <w:r w:rsidR="006A70F3">
        <w:t> </w:t>
      </w:r>
      <w:r w:rsidRPr="00454D1A" w:rsidR="006A70F3">
        <w:t>million budget and identif</w:t>
      </w:r>
      <w:r w:rsidR="004E31C3">
        <w:t>ying</w:t>
      </w:r>
      <w:r w:rsidRPr="00454D1A" w:rsidR="006A70F3">
        <w:t xml:space="preserve"> a set allocation for each IOU’s share.</w:t>
      </w:r>
      <w:r w:rsidRPr="00454D1A" w:rsidR="006A70F3">
        <w:rPr>
          <w:rStyle w:val="FootnoteReference"/>
        </w:rPr>
        <w:footnoteReference w:id="163"/>
      </w:r>
      <w:r w:rsidRPr="00454D1A" w:rsidR="006A70F3">
        <w:t xml:space="preserve"> This </w:t>
      </w:r>
      <w:r w:rsidRPr="00454D1A" w:rsidR="006A70F3">
        <w:lastRenderedPageBreak/>
        <w:t>pathway is dependent on their ability to adequately demonstrate that the IOUs’ combined forecast GHG allowances will equal or exceed $1 billion.</w:t>
      </w:r>
      <w:r w:rsidRPr="00454D1A" w:rsidR="006A70F3">
        <w:rPr>
          <w:rStyle w:val="FootnoteReference"/>
        </w:rPr>
        <w:footnoteReference w:id="164"/>
      </w:r>
      <w:r w:rsidRPr="00454D1A" w:rsidR="006A70F3">
        <w:t xml:space="preserve"> </w:t>
      </w:r>
      <w:r w:rsidR="007B50F3">
        <w:t>As a result,</w:t>
      </w:r>
      <w:r w:rsidRPr="00454D1A" w:rsidR="007B50F3">
        <w:t xml:space="preserve"> </w:t>
      </w:r>
      <w:r w:rsidRPr="00454D1A" w:rsidR="006A70F3">
        <w:t>IOUs may either propose setting aside 10</w:t>
      </w:r>
      <w:r w:rsidR="007B50F3">
        <w:t xml:space="preserve"> percent</w:t>
      </w:r>
      <w:r w:rsidRPr="00454D1A" w:rsidR="007B50F3">
        <w:t xml:space="preserve"> </w:t>
      </w:r>
      <w:r w:rsidRPr="00454D1A" w:rsidR="006A70F3">
        <w:t>of their forecast revenue or their share of $100</w:t>
      </w:r>
      <w:r w:rsidR="006A70F3">
        <w:t> </w:t>
      </w:r>
      <w:r w:rsidRPr="00454D1A" w:rsidR="006A70F3">
        <w:t xml:space="preserve">million. </w:t>
      </w:r>
    </w:p>
    <w:p w:rsidR="004E31C3" w:rsidP="006A6990" w:rsidRDefault="006A70F3" w14:paraId="5D5E11D6" w14:textId="34FC630C">
      <w:pPr>
        <w:pStyle w:val="Standard"/>
      </w:pPr>
      <w:r>
        <w:t>In its 2024 ERRA forecast, SCE set aside $</w:t>
      </w:r>
      <w:r w:rsidR="004E31C3">
        <w:t>46.5</w:t>
      </w:r>
      <w:r w:rsidR="00EE33D2">
        <w:t>28</w:t>
      </w:r>
      <w:r w:rsidR="004E31C3">
        <w:t xml:space="preserve"> million</w:t>
      </w:r>
      <w:r>
        <w:t xml:space="preserve"> to cover its share of the $100 million annual SOMAH cap. It also noted that its 2022 SOMAH true-up, which will be recorded in 2023, would result in a decrease in </w:t>
      </w:r>
      <w:r w:rsidR="00D13895">
        <w:t xml:space="preserve">SOMAH </w:t>
      </w:r>
      <w:r>
        <w:t>funding of $18,592,218.</w:t>
      </w:r>
      <w:r w:rsidR="00D13895">
        <w:rPr>
          <w:rStyle w:val="FootnoteReference"/>
        </w:rPr>
        <w:footnoteReference w:id="165"/>
      </w:r>
    </w:p>
    <w:p w:rsidR="004E31C3" w:rsidP="006A6990" w:rsidRDefault="004E31C3" w14:paraId="74184209" w14:textId="2E88C9B8">
      <w:pPr>
        <w:pStyle w:val="Standard"/>
      </w:pPr>
      <w:r w:rsidRPr="00454D1A">
        <w:t>No parties commented on SCE’s proposed SOMAH allocation. Upon review, the Commission finds SCE’s SOMAH allocation</w:t>
      </w:r>
      <w:r>
        <w:t xml:space="preserve"> </w:t>
      </w:r>
      <w:r w:rsidRPr="00454D1A">
        <w:t xml:space="preserve">reasonable and in compliance with applicable rules, </w:t>
      </w:r>
      <w:proofErr w:type="gramStart"/>
      <w:r w:rsidRPr="00454D1A">
        <w:t>orders</w:t>
      </w:r>
      <w:proofErr w:type="gramEnd"/>
      <w:r w:rsidRPr="00454D1A">
        <w:t xml:space="preserve"> and Commission </w:t>
      </w:r>
      <w:r w:rsidR="00A14797">
        <w:t>Decision</w:t>
      </w:r>
      <w:r w:rsidRPr="00454D1A">
        <w:t>s.</w:t>
      </w:r>
      <w:r w:rsidR="00A27461">
        <w:t xml:space="preserve"> A summary of SCE’s SOMAH forecasted allocation for 2024 is detailed below.</w:t>
      </w:r>
    </w:p>
    <w:p w:rsidRPr="00454D1A" w:rsidR="00A27461" w:rsidP="00A27461" w:rsidRDefault="00A27461" w14:paraId="7C489150" w14:textId="055787D7">
      <w:pPr>
        <w:pStyle w:val="TableTitleBodyH095"/>
        <w:keepLines/>
        <w:ind w:left="2520" w:right="1152"/>
        <w:rPr>
          <w:b/>
          <w:bCs w:val="0"/>
        </w:rPr>
      </w:pPr>
      <w:bookmarkStart w:name="Table72" w:id="70"/>
      <w:r w:rsidRPr="00454D1A">
        <w:rPr>
          <w:b/>
          <w:bCs w:val="0"/>
        </w:rPr>
        <w:t>Table</w:t>
      </w:r>
      <w:r>
        <w:rPr>
          <w:b/>
        </w:rPr>
        <w:t> </w:t>
      </w:r>
      <w:r>
        <w:rPr>
          <w:b/>
          <w:bCs w:val="0"/>
        </w:rPr>
        <w:t>8</w:t>
      </w:r>
      <w:r>
        <w:rPr>
          <w:b/>
        </w:rPr>
        <w:noBreakHyphen/>
      </w:r>
      <w:r w:rsidRPr="00454D1A">
        <w:rPr>
          <w:b/>
        </w:rPr>
        <w:t>2.</w:t>
      </w:r>
      <w:r w:rsidRPr="00454D1A">
        <w:rPr>
          <w:b/>
          <w:bCs w:val="0"/>
        </w:rPr>
        <w:tab/>
      </w:r>
      <w:r w:rsidRPr="00454D1A">
        <w:t xml:space="preserve">Table of IOU Proposed </w:t>
      </w:r>
      <w:r w:rsidRPr="005D2941">
        <w:rPr>
          <w:bCs w:val="0"/>
        </w:rPr>
        <w:t>PY202</w:t>
      </w:r>
      <w:r>
        <w:rPr>
          <w:bCs w:val="0"/>
        </w:rPr>
        <w:t>4</w:t>
      </w:r>
      <w:r w:rsidRPr="00454D1A">
        <w:t xml:space="preserve"> GHG Revenue Reallocation to Account for SOMAH Program $100</w:t>
      </w:r>
      <w:r>
        <w:rPr>
          <w:b/>
        </w:rPr>
        <w:t> </w:t>
      </w:r>
      <w:r w:rsidRPr="00454D1A">
        <w:t>Million Annual Amount</w:t>
      </w:r>
      <w:bookmarkEnd w:id="70"/>
      <w:r w:rsidRPr="00454D1A">
        <w:rPr>
          <w:rStyle w:val="FootnoteReference"/>
        </w:rPr>
        <w:footnoteReference w:id="166"/>
      </w:r>
    </w:p>
    <w:tbl>
      <w:tblPr>
        <w:tblStyle w:val="TableGrid"/>
        <w:tblW w:w="10555" w:type="dxa"/>
        <w:jc w:val="center"/>
        <w:tblLayout w:type="fixed"/>
        <w:tblCellMar>
          <w:top w:w="58" w:type="dxa"/>
          <w:bottom w:w="58" w:type="dxa"/>
        </w:tblCellMar>
        <w:tblLook w:val="04A0" w:firstRow="1" w:lastRow="0" w:firstColumn="1" w:lastColumn="0" w:noHBand="0" w:noVBand="1"/>
      </w:tblPr>
      <w:tblGrid>
        <w:gridCol w:w="1442"/>
        <w:gridCol w:w="2063"/>
        <w:gridCol w:w="4140"/>
        <w:gridCol w:w="2910"/>
      </w:tblGrid>
      <w:tr w:rsidRPr="00454D1A" w:rsidR="00A27461" w:rsidTr="008D268A" w14:paraId="5DDC7905" w14:textId="77777777">
        <w:trPr>
          <w:cantSplit/>
          <w:tblHeader/>
          <w:jc w:val="center"/>
        </w:trPr>
        <w:tc>
          <w:tcPr>
            <w:tcW w:w="1442" w:type="dxa"/>
            <w:vAlign w:val="bottom"/>
          </w:tcPr>
          <w:p w:rsidRPr="00454D1A" w:rsidR="00A27461" w:rsidP="008D268A" w:rsidRDefault="00A27461" w14:paraId="06FB9AFC" w14:textId="77777777">
            <w:pPr>
              <w:pStyle w:val="Standard"/>
              <w:keepNext/>
              <w:spacing w:line="240" w:lineRule="auto"/>
              <w:ind w:firstLine="0"/>
              <w:jc w:val="center"/>
              <w:rPr>
                <w:b/>
                <w:bCs/>
              </w:rPr>
            </w:pPr>
            <w:r w:rsidRPr="00454D1A">
              <w:rPr>
                <w:b/>
                <w:bCs/>
              </w:rPr>
              <w:t>PY</w:t>
            </w:r>
          </w:p>
        </w:tc>
        <w:tc>
          <w:tcPr>
            <w:tcW w:w="2063" w:type="dxa"/>
            <w:vAlign w:val="bottom"/>
          </w:tcPr>
          <w:p w:rsidRPr="00454D1A" w:rsidR="00A27461" w:rsidP="008D268A" w:rsidRDefault="00A27461" w14:paraId="7D755ED4" w14:textId="77777777">
            <w:pPr>
              <w:pStyle w:val="Standard"/>
              <w:keepNext/>
              <w:spacing w:line="240" w:lineRule="auto"/>
              <w:ind w:firstLine="0"/>
              <w:jc w:val="center"/>
              <w:rPr>
                <w:b/>
                <w:bCs/>
              </w:rPr>
            </w:pPr>
            <w:r w:rsidRPr="00454D1A">
              <w:rPr>
                <w:b/>
                <w:bCs/>
              </w:rPr>
              <w:t>202</w:t>
            </w:r>
            <w:r>
              <w:rPr>
                <w:b/>
                <w:bCs/>
              </w:rPr>
              <w:t>4</w:t>
            </w:r>
            <w:r w:rsidRPr="00454D1A">
              <w:rPr>
                <w:b/>
                <w:bCs/>
              </w:rPr>
              <w:t xml:space="preserve"> Forecast </w:t>
            </w:r>
          </w:p>
          <w:p w:rsidRPr="00454D1A" w:rsidR="00A27461" w:rsidP="008D268A" w:rsidRDefault="00A27461" w14:paraId="1AC3EE71" w14:textId="77777777">
            <w:pPr>
              <w:pStyle w:val="Standard"/>
              <w:keepNext/>
              <w:spacing w:line="240" w:lineRule="auto"/>
              <w:ind w:firstLine="0"/>
              <w:jc w:val="center"/>
              <w:rPr>
                <w:b/>
                <w:bCs/>
              </w:rPr>
            </w:pPr>
            <w:r w:rsidRPr="00454D1A">
              <w:rPr>
                <w:b/>
                <w:bCs/>
              </w:rPr>
              <w:t xml:space="preserve">GHG Proceeds </w:t>
            </w:r>
          </w:p>
          <w:p w:rsidRPr="00454D1A" w:rsidR="00A27461" w:rsidP="008D268A" w:rsidRDefault="00A27461" w14:paraId="699F2F9A" w14:textId="0AD1422E">
            <w:pPr>
              <w:pStyle w:val="Standard"/>
              <w:keepNext/>
              <w:spacing w:line="240" w:lineRule="auto"/>
              <w:ind w:firstLine="0"/>
              <w:jc w:val="center"/>
              <w:rPr>
                <w:b/>
                <w:bCs/>
              </w:rPr>
            </w:pPr>
            <w:r w:rsidRPr="00454D1A">
              <w:rPr>
                <w:b/>
                <w:bCs/>
              </w:rPr>
              <w:t>($000)</w:t>
            </w:r>
          </w:p>
        </w:tc>
        <w:tc>
          <w:tcPr>
            <w:tcW w:w="4140" w:type="dxa"/>
            <w:vAlign w:val="bottom"/>
          </w:tcPr>
          <w:p w:rsidRPr="00454D1A" w:rsidR="00A27461" w:rsidP="008D268A" w:rsidRDefault="00A27461" w14:paraId="1AF21CE3" w14:textId="77777777">
            <w:pPr>
              <w:pStyle w:val="Standard"/>
              <w:keepNext/>
              <w:spacing w:line="240" w:lineRule="auto"/>
              <w:ind w:firstLine="0"/>
              <w:jc w:val="center"/>
              <w:rPr>
                <w:b/>
                <w:bCs/>
              </w:rPr>
            </w:pPr>
            <w:r w:rsidRPr="00454D1A">
              <w:rPr>
                <w:b/>
                <w:bCs/>
              </w:rPr>
              <w:t>D.22</w:t>
            </w:r>
            <w:r>
              <w:rPr>
                <w:b/>
                <w:bCs/>
              </w:rPr>
              <w:noBreakHyphen/>
            </w:r>
            <w:r w:rsidRPr="00454D1A">
              <w:rPr>
                <w:b/>
                <w:bCs/>
              </w:rPr>
              <w:t>09</w:t>
            </w:r>
            <w:r>
              <w:rPr>
                <w:b/>
                <w:bCs/>
              </w:rPr>
              <w:noBreakHyphen/>
            </w:r>
            <w:r w:rsidRPr="00454D1A">
              <w:rPr>
                <w:b/>
                <w:bCs/>
              </w:rPr>
              <w:t xml:space="preserve">009 </w:t>
            </w:r>
          </w:p>
          <w:p w:rsidRPr="00454D1A" w:rsidR="00A27461" w:rsidP="008D268A" w:rsidRDefault="00A27461" w14:paraId="554AE031" w14:textId="77777777">
            <w:pPr>
              <w:pStyle w:val="Standard"/>
              <w:keepNext/>
              <w:spacing w:line="240" w:lineRule="auto"/>
              <w:ind w:firstLine="0"/>
              <w:jc w:val="center"/>
              <w:rPr>
                <w:b/>
                <w:bCs/>
              </w:rPr>
            </w:pPr>
            <w:r w:rsidRPr="00454D1A">
              <w:rPr>
                <w:b/>
                <w:bCs/>
              </w:rPr>
              <w:t>Table</w:t>
            </w:r>
            <w:r>
              <w:rPr>
                <w:b/>
                <w:bCs/>
              </w:rPr>
              <w:t> </w:t>
            </w:r>
            <w:r w:rsidRPr="00454D1A">
              <w:rPr>
                <w:b/>
                <w:bCs/>
              </w:rPr>
              <w:t xml:space="preserve">1 Percent Allocation </w:t>
            </w:r>
          </w:p>
          <w:p w:rsidRPr="00454D1A" w:rsidR="00A27461" w:rsidP="008D268A" w:rsidRDefault="00A27461" w14:paraId="3487ACB1" w14:textId="77777777">
            <w:pPr>
              <w:pStyle w:val="Standard"/>
              <w:keepNext/>
              <w:spacing w:line="240" w:lineRule="auto"/>
              <w:ind w:firstLine="0"/>
              <w:jc w:val="center"/>
              <w:rPr>
                <w:b/>
                <w:bCs/>
              </w:rPr>
            </w:pPr>
            <w:r w:rsidRPr="00454D1A">
              <w:rPr>
                <w:b/>
                <w:bCs/>
              </w:rPr>
              <w:t xml:space="preserve">SOMAH Allocation for </w:t>
            </w:r>
          </w:p>
          <w:p w:rsidRPr="00454D1A" w:rsidR="00A27461" w:rsidP="008D268A" w:rsidRDefault="00A27461" w14:paraId="53F8C390" w14:textId="77777777">
            <w:pPr>
              <w:pStyle w:val="Standard"/>
              <w:keepNext/>
              <w:spacing w:line="240" w:lineRule="auto"/>
              <w:ind w:firstLine="0"/>
              <w:jc w:val="center"/>
              <w:rPr>
                <w:b/>
                <w:bCs/>
              </w:rPr>
            </w:pPr>
            <w:r w:rsidRPr="00454D1A">
              <w:rPr>
                <w:b/>
                <w:bCs/>
              </w:rPr>
              <w:t>$100 million amount (%)</w:t>
            </w:r>
          </w:p>
        </w:tc>
        <w:tc>
          <w:tcPr>
            <w:tcW w:w="2910" w:type="dxa"/>
            <w:vAlign w:val="bottom"/>
          </w:tcPr>
          <w:p w:rsidRPr="00454D1A" w:rsidR="00A27461" w:rsidP="008D268A" w:rsidRDefault="00A27461" w14:paraId="09734D2C" w14:textId="77777777">
            <w:pPr>
              <w:pStyle w:val="Standard"/>
              <w:keepNext/>
              <w:spacing w:line="240" w:lineRule="auto"/>
              <w:ind w:firstLine="0"/>
              <w:jc w:val="center"/>
              <w:rPr>
                <w:b/>
                <w:bCs/>
              </w:rPr>
            </w:pPr>
            <w:r w:rsidRPr="00454D1A">
              <w:rPr>
                <w:b/>
                <w:bCs/>
              </w:rPr>
              <w:t>D.22</w:t>
            </w:r>
            <w:r>
              <w:rPr>
                <w:b/>
                <w:bCs/>
              </w:rPr>
              <w:noBreakHyphen/>
            </w:r>
            <w:r w:rsidRPr="00454D1A">
              <w:rPr>
                <w:b/>
                <w:bCs/>
              </w:rPr>
              <w:t>09</w:t>
            </w:r>
            <w:r>
              <w:rPr>
                <w:b/>
                <w:bCs/>
              </w:rPr>
              <w:noBreakHyphen/>
            </w:r>
            <w:r w:rsidRPr="00454D1A">
              <w:rPr>
                <w:b/>
                <w:bCs/>
              </w:rPr>
              <w:t xml:space="preserve">009 </w:t>
            </w:r>
          </w:p>
          <w:p w:rsidRPr="00454D1A" w:rsidR="00A27461" w:rsidP="008D268A" w:rsidRDefault="00A27461" w14:paraId="27644D01" w14:textId="77777777">
            <w:pPr>
              <w:pStyle w:val="Standard"/>
              <w:keepNext/>
              <w:spacing w:line="240" w:lineRule="auto"/>
              <w:ind w:firstLine="0"/>
              <w:jc w:val="center"/>
              <w:rPr>
                <w:b/>
                <w:bCs/>
              </w:rPr>
            </w:pPr>
            <w:r w:rsidRPr="00454D1A">
              <w:rPr>
                <w:b/>
                <w:bCs/>
              </w:rPr>
              <w:t>Table</w:t>
            </w:r>
            <w:r>
              <w:rPr>
                <w:b/>
                <w:bCs/>
              </w:rPr>
              <w:t> </w:t>
            </w:r>
            <w:r w:rsidRPr="00454D1A">
              <w:rPr>
                <w:b/>
                <w:bCs/>
              </w:rPr>
              <w:t xml:space="preserve">2 Amount </w:t>
            </w:r>
          </w:p>
          <w:p w:rsidRPr="00454D1A" w:rsidR="00A27461" w:rsidP="008D268A" w:rsidRDefault="00A27461" w14:paraId="4DEAE5CC" w14:textId="77777777">
            <w:pPr>
              <w:pStyle w:val="Standard"/>
              <w:keepNext/>
              <w:spacing w:line="240" w:lineRule="auto"/>
              <w:ind w:firstLine="0"/>
              <w:jc w:val="center"/>
              <w:rPr>
                <w:b/>
                <w:bCs/>
              </w:rPr>
            </w:pPr>
            <w:r w:rsidRPr="00454D1A">
              <w:rPr>
                <w:b/>
                <w:bCs/>
              </w:rPr>
              <w:t xml:space="preserve">for $100 million </w:t>
            </w:r>
          </w:p>
          <w:p w:rsidRPr="00454D1A" w:rsidR="00A27461" w:rsidP="008D268A" w:rsidRDefault="00A27461" w14:paraId="477E930F" w14:textId="77777777">
            <w:pPr>
              <w:pStyle w:val="Standard"/>
              <w:keepNext/>
              <w:spacing w:line="240" w:lineRule="auto"/>
              <w:ind w:firstLine="0"/>
              <w:jc w:val="center"/>
              <w:rPr>
                <w:b/>
                <w:bCs/>
              </w:rPr>
            </w:pPr>
            <w:r w:rsidRPr="00454D1A">
              <w:rPr>
                <w:b/>
                <w:bCs/>
              </w:rPr>
              <w:t>SOMAH Set</w:t>
            </w:r>
            <w:r>
              <w:rPr>
                <w:b/>
                <w:bCs/>
              </w:rPr>
              <w:noBreakHyphen/>
            </w:r>
            <w:r w:rsidRPr="00454D1A">
              <w:rPr>
                <w:b/>
                <w:bCs/>
              </w:rPr>
              <w:t>Asides</w:t>
            </w:r>
          </w:p>
        </w:tc>
      </w:tr>
      <w:tr w:rsidRPr="00454D1A" w:rsidR="00A27461" w:rsidTr="008D268A" w14:paraId="3E41B797" w14:textId="77777777">
        <w:trPr>
          <w:cantSplit/>
          <w:jc w:val="center"/>
        </w:trPr>
        <w:tc>
          <w:tcPr>
            <w:tcW w:w="1442" w:type="dxa"/>
          </w:tcPr>
          <w:p w:rsidRPr="00454D1A" w:rsidR="00A27461" w:rsidP="008D268A" w:rsidRDefault="00A27461" w14:paraId="6E1B9519" w14:textId="77777777">
            <w:pPr>
              <w:pStyle w:val="Standard"/>
              <w:keepNext/>
              <w:spacing w:line="240" w:lineRule="auto"/>
              <w:ind w:firstLine="0"/>
            </w:pPr>
            <w:r w:rsidRPr="00454D1A">
              <w:t>PG&amp;E</w:t>
            </w:r>
          </w:p>
        </w:tc>
        <w:tc>
          <w:tcPr>
            <w:tcW w:w="2063" w:type="dxa"/>
          </w:tcPr>
          <w:p w:rsidRPr="00454D1A" w:rsidR="00A27461" w:rsidP="008D268A" w:rsidRDefault="00A27461" w14:paraId="3333C995" w14:textId="3D7D40A9">
            <w:pPr>
              <w:pStyle w:val="Standard"/>
              <w:keepNext/>
              <w:spacing w:line="240" w:lineRule="auto"/>
              <w:ind w:firstLine="0"/>
              <w:jc w:val="right"/>
            </w:pPr>
            <w:r w:rsidRPr="00454D1A">
              <w:rPr>
                <w:rFonts w:cs="TimesNewRoman"/>
                <w:szCs w:val="23"/>
              </w:rPr>
              <w:t>$</w:t>
            </w:r>
            <w:r w:rsidR="00581F06">
              <w:rPr>
                <w:rFonts w:cs="TimesNewRoman"/>
                <w:szCs w:val="23"/>
              </w:rPr>
              <w:t>663,932</w:t>
            </w:r>
          </w:p>
        </w:tc>
        <w:tc>
          <w:tcPr>
            <w:tcW w:w="4140" w:type="dxa"/>
          </w:tcPr>
          <w:p w:rsidRPr="00454D1A" w:rsidR="00A27461" w:rsidP="008D268A" w:rsidRDefault="00A27461" w14:paraId="64C92960" w14:textId="77777777">
            <w:pPr>
              <w:pStyle w:val="Standard"/>
              <w:keepNext/>
              <w:spacing w:line="240" w:lineRule="auto"/>
              <w:ind w:firstLine="0"/>
              <w:jc w:val="right"/>
            </w:pPr>
            <w:r w:rsidRPr="00454D1A">
              <w:rPr>
                <w:bCs/>
                <w:szCs w:val="24"/>
              </w:rPr>
              <w:t>39.75737884%</w:t>
            </w:r>
          </w:p>
        </w:tc>
        <w:tc>
          <w:tcPr>
            <w:tcW w:w="2910" w:type="dxa"/>
          </w:tcPr>
          <w:p w:rsidRPr="00454D1A" w:rsidR="00A27461" w:rsidP="008D268A" w:rsidRDefault="00A27461" w14:paraId="14453653" w14:textId="77777777">
            <w:pPr>
              <w:pStyle w:val="Standard"/>
              <w:keepNext/>
              <w:spacing w:line="240" w:lineRule="auto"/>
              <w:ind w:firstLine="0"/>
              <w:jc w:val="right"/>
            </w:pPr>
            <w:r w:rsidRPr="00454D1A">
              <w:rPr>
                <w:bCs/>
                <w:szCs w:val="24"/>
              </w:rPr>
              <w:t>$39,757,378.84</w:t>
            </w:r>
          </w:p>
        </w:tc>
      </w:tr>
      <w:tr w:rsidRPr="00454D1A" w:rsidR="00A27461" w:rsidTr="008D268A" w14:paraId="4F9BD77B" w14:textId="77777777">
        <w:trPr>
          <w:cantSplit/>
          <w:jc w:val="center"/>
        </w:trPr>
        <w:tc>
          <w:tcPr>
            <w:tcW w:w="1442" w:type="dxa"/>
          </w:tcPr>
          <w:p w:rsidRPr="000534DE" w:rsidR="00A27461" w:rsidP="008D268A" w:rsidRDefault="00A27461" w14:paraId="7A2CE07D" w14:textId="77777777">
            <w:pPr>
              <w:pStyle w:val="Standard"/>
              <w:spacing w:line="240" w:lineRule="auto"/>
              <w:ind w:firstLine="0"/>
            </w:pPr>
            <w:r w:rsidRPr="000534DE">
              <w:t>SCE</w:t>
            </w:r>
          </w:p>
        </w:tc>
        <w:tc>
          <w:tcPr>
            <w:tcW w:w="2063" w:type="dxa"/>
          </w:tcPr>
          <w:p w:rsidRPr="00454D1A" w:rsidR="00A27461" w:rsidP="008D268A" w:rsidRDefault="00A27461" w14:paraId="26AD03F0" w14:textId="43966338">
            <w:pPr>
              <w:pStyle w:val="Standard"/>
              <w:spacing w:line="240" w:lineRule="auto"/>
              <w:ind w:firstLine="0"/>
              <w:jc w:val="right"/>
              <w:rPr>
                <w:b/>
                <w:bCs/>
              </w:rPr>
            </w:pPr>
            <w:r w:rsidRPr="00454D1A">
              <w:rPr>
                <w:rFonts w:cs="TimesNewRoman"/>
                <w:szCs w:val="23"/>
              </w:rPr>
              <w:t>$</w:t>
            </w:r>
            <w:r w:rsidR="00581F06">
              <w:rPr>
                <w:rFonts w:cs="TimesNewRoman"/>
                <w:szCs w:val="23"/>
              </w:rPr>
              <w:t>932,108</w:t>
            </w:r>
          </w:p>
        </w:tc>
        <w:tc>
          <w:tcPr>
            <w:tcW w:w="4140" w:type="dxa"/>
          </w:tcPr>
          <w:p w:rsidRPr="00454D1A" w:rsidR="00A27461" w:rsidP="008D268A" w:rsidRDefault="00A27461" w14:paraId="567CD0A6" w14:textId="77777777">
            <w:pPr>
              <w:pStyle w:val="Standard"/>
              <w:spacing w:line="240" w:lineRule="auto"/>
              <w:ind w:firstLine="0"/>
              <w:jc w:val="right"/>
              <w:rPr>
                <w:b/>
                <w:bCs/>
              </w:rPr>
            </w:pPr>
            <w:r w:rsidRPr="00454D1A">
              <w:rPr>
                <w:bCs/>
                <w:szCs w:val="24"/>
              </w:rPr>
              <w:t>46.52785609%</w:t>
            </w:r>
          </w:p>
        </w:tc>
        <w:tc>
          <w:tcPr>
            <w:tcW w:w="2910" w:type="dxa"/>
          </w:tcPr>
          <w:p w:rsidRPr="00454D1A" w:rsidR="00A27461" w:rsidP="008D268A" w:rsidRDefault="00A27461" w14:paraId="0D5D4E91" w14:textId="77777777">
            <w:pPr>
              <w:pStyle w:val="Standard"/>
              <w:spacing w:line="240" w:lineRule="auto"/>
              <w:ind w:firstLine="0"/>
              <w:jc w:val="right"/>
              <w:rPr>
                <w:bCs/>
              </w:rPr>
            </w:pPr>
            <w:r w:rsidRPr="00454D1A">
              <w:rPr>
                <w:bCs/>
                <w:szCs w:val="24"/>
              </w:rPr>
              <w:t>$46,527,856.09</w:t>
            </w:r>
          </w:p>
        </w:tc>
      </w:tr>
      <w:tr w:rsidRPr="00454D1A" w:rsidR="00A27461" w:rsidTr="008D268A" w14:paraId="252E9EF9" w14:textId="77777777">
        <w:trPr>
          <w:cantSplit/>
          <w:jc w:val="center"/>
        </w:trPr>
        <w:tc>
          <w:tcPr>
            <w:tcW w:w="1442" w:type="dxa"/>
          </w:tcPr>
          <w:p w:rsidRPr="00454D1A" w:rsidR="00A27461" w:rsidP="008D268A" w:rsidRDefault="00A27461" w14:paraId="28A67C7A" w14:textId="77777777">
            <w:pPr>
              <w:pStyle w:val="Standard"/>
              <w:spacing w:line="240" w:lineRule="auto"/>
              <w:ind w:firstLine="0"/>
            </w:pPr>
            <w:r w:rsidRPr="00454D1A">
              <w:t>SDG&amp;E</w:t>
            </w:r>
          </w:p>
        </w:tc>
        <w:tc>
          <w:tcPr>
            <w:tcW w:w="2063" w:type="dxa"/>
          </w:tcPr>
          <w:p w:rsidRPr="00454D1A" w:rsidR="00A27461" w:rsidP="008D268A" w:rsidRDefault="00A27461" w14:paraId="1602124A" w14:textId="3EE460C0">
            <w:pPr>
              <w:pStyle w:val="Standard"/>
              <w:spacing w:line="240" w:lineRule="auto"/>
              <w:ind w:firstLine="0"/>
              <w:jc w:val="right"/>
            </w:pPr>
            <w:r w:rsidRPr="00454D1A">
              <w:rPr>
                <w:rFonts w:cs="TimesNewRoman"/>
                <w:szCs w:val="23"/>
              </w:rPr>
              <w:t>$</w:t>
            </w:r>
            <w:r w:rsidR="00581F06">
              <w:rPr>
                <w:rFonts w:cs="TimesNewRoman"/>
                <w:szCs w:val="23"/>
              </w:rPr>
              <w:t>246,235</w:t>
            </w:r>
          </w:p>
        </w:tc>
        <w:tc>
          <w:tcPr>
            <w:tcW w:w="4140" w:type="dxa"/>
          </w:tcPr>
          <w:p w:rsidRPr="00454D1A" w:rsidR="00A27461" w:rsidP="008D268A" w:rsidRDefault="00A27461" w14:paraId="68845CAC" w14:textId="77777777">
            <w:pPr>
              <w:pStyle w:val="Standard"/>
              <w:spacing w:line="240" w:lineRule="auto"/>
              <w:ind w:firstLine="0"/>
              <w:jc w:val="right"/>
            </w:pPr>
            <w:r w:rsidRPr="00454D1A">
              <w:rPr>
                <w:bCs/>
                <w:szCs w:val="24"/>
              </w:rPr>
              <w:t>12.01597192%</w:t>
            </w:r>
          </w:p>
        </w:tc>
        <w:tc>
          <w:tcPr>
            <w:tcW w:w="2910" w:type="dxa"/>
          </w:tcPr>
          <w:p w:rsidRPr="00454D1A" w:rsidR="00A27461" w:rsidP="008D268A" w:rsidRDefault="00A27461" w14:paraId="38E430BD" w14:textId="77777777">
            <w:pPr>
              <w:pStyle w:val="Standard"/>
              <w:spacing w:line="240" w:lineRule="auto"/>
              <w:ind w:firstLine="0"/>
              <w:jc w:val="right"/>
            </w:pPr>
            <w:r w:rsidRPr="00454D1A">
              <w:rPr>
                <w:bCs/>
                <w:szCs w:val="24"/>
              </w:rPr>
              <w:t>$12,015,971.92</w:t>
            </w:r>
          </w:p>
        </w:tc>
      </w:tr>
      <w:tr w:rsidRPr="00454D1A" w:rsidR="00A27461" w:rsidTr="008D268A" w14:paraId="38A2574A" w14:textId="77777777">
        <w:trPr>
          <w:cantSplit/>
          <w:jc w:val="center"/>
        </w:trPr>
        <w:tc>
          <w:tcPr>
            <w:tcW w:w="1442" w:type="dxa"/>
          </w:tcPr>
          <w:p w:rsidRPr="00454D1A" w:rsidR="00A27461" w:rsidP="008D268A" w:rsidRDefault="00A27461" w14:paraId="089587E8" w14:textId="77777777">
            <w:pPr>
              <w:pStyle w:val="Standard"/>
              <w:spacing w:line="240" w:lineRule="auto"/>
              <w:ind w:firstLine="0"/>
            </w:pPr>
            <w:r w:rsidRPr="00454D1A">
              <w:t>PacifiCorp</w:t>
            </w:r>
          </w:p>
        </w:tc>
        <w:tc>
          <w:tcPr>
            <w:tcW w:w="2063" w:type="dxa"/>
          </w:tcPr>
          <w:p w:rsidRPr="00454D1A" w:rsidR="00A27461" w:rsidP="008D268A" w:rsidRDefault="00A27461" w14:paraId="6B8B93C3" w14:textId="504B169B">
            <w:pPr>
              <w:pStyle w:val="Standard"/>
              <w:spacing w:line="240" w:lineRule="auto"/>
              <w:ind w:firstLine="0"/>
              <w:jc w:val="right"/>
            </w:pPr>
            <w:r w:rsidRPr="00454D1A">
              <w:rPr>
                <w:rFonts w:cs="TimesNewRoman"/>
                <w:szCs w:val="23"/>
              </w:rPr>
              <w:t>$</w:t>
            </w:r>
            <w:r w:rsidR="00392E9B">
              <w:rPr>
                <w:rFonts w:cs="TimesNewRoman"/>
                <w:szCs w:val="23"/>
              </w:rPr>
              <w:t>16,897</w:t>
            </w:r>
          </w:p>
        </w:tc>
        <w:tc>
          <w:tcPr>
            <w:tcW w:w="4140" w:type="dxa"/>
          </w:tcPr>
          <w:p w:rsidRPr="00454D1A" w:rsidR="00A27461" w:rsidP="008D268A" w:rsidRDefault="00A27461" w14:paraId="64B0A0CA" w14:textId="77777777">
            <w:pPr>
              <w:pStyle w:val="Standard"/>
              <w:spacing w:line="240" w:lineRule="auto"/>
              <w:ind w:firstLine="0"/>
              <w:jc w:val="right"/>
            </w:pPr>
            <w:r w:rsidRPr="00454D1A">
              <w:rPr>
                <w:bCs/>
                <w:szCs w:val="24"/>
              </w:rPr>
              <w:t>1.29882216%</w:t>
            </w:r>
          </w:p>
        </w:tc>
        <w:tc>
          <w:tcPr>
            <w:tcW w:w="2910" w:type="dxa"/>
          </w:tcPr>
          <w:p w:rsidRPr="00454D1A" w:rsidR="00A27461" w:rsidP="008D268A" w:rsidRDefault="00A27461" w14:paraId="67155673" w14:textId="77777777">
            <w:pPr>
              <w:pStyle w:val="Standard"/>
              <w:spacing w:line="240" w:lineRule="auto"/>
              <w:ind w:firstLine="0"/>
              <w:jc w:val="right"/>
            </w:pPr>
            <w:r w:rsidRPr="00454D1A">
              <w:rPr>
                <w:bCs/>
                <w:szCs w:val="24"/>
              </w:rPr>
              <w:t>$1,298,822.16</w:t>
            </w:r>
          </w:p>
        </w:tc>
      </w:tr>
      <w:tr w:rsidRPr="00454D1A" w:rsidR="00A27461" w:rsidTr="008D268A" w14:paraId="500234B1" w14:textId="77777777">
        <w:trPr>
          <w:cantSplit/>
          <w:jc w:val="center"/>
        </w:trPr>
        <w:tc>
          <w:tcPr>
            <w:tcW w:w="1442" w:type="dxa"/>
          </w:tcPr>
          <w:p w:rsidRPr="00454D1A" w:rsidR="00A27461" w:rsidP="008D268A" w:rsidRDefault="00A27461" w14:paraId="46FB7FBC" w14:textId="77777777">
            <w:pPr>
              <w:pStyle w:val="Standard"/>
              <w:keepNext/>
              <w:spacing w:line="240" w:lineRule="auto"/>
              <w:ind w:firstLine="0"/>
            </w:pPr>
            <w:r w:rsidRPr="00454D1A">
              <w:t>Liberty</w:t>
            </w:r>
          </w:p>
        </w:tc>
        <w:tc>
          <w:tcPr>
            <w:tcW w:w="2063" w:type="dxa"/>
          </w:tcPr>
          <w:p w:rsidRPr="00454D1A" w:rsidR="00A27461" w:rsidP="008D268A" w:rsidRDefault="00A27461" w14:paraId="39601E92" w14:textId="3240EDD1">
            <w:pPr>
              <w:pStyle w:val="Standard"/>
              <w:keepNext/>
              <w:spacing w:line="240" w:lineRule="auto"/>
              <w:ind w:firstLine="0"/>
              <w:jc w:val="right"/>
            </w:pPr>
            <w:r w:rsidRPr="00454D1A">
              <w:rPr>
                <w:rFonts w:cs="TimesNewRoman"/>
                <w:szCs w:val="23"/>
              </w:rPr>
              <w:t>$</w:t>
            </w:r>
            <w:r w:rsidR="00392E9B">
              <w:rPr>
                <w:rFonts w:cs="TimesNewRoman"/>
                <w:szCs w:val="23"/>
              </w:rPr>
              <w:t>5,309</w:t>
            </w:r>
          </w:p>
        </w:tc>
        <w:tc>
          <w:tcPr>
            <w:tcW w:w="4140" w:type="dxa"/>
          </w:tcPr>
          <w:p w:rsidRPr="00454D1A" w:rsidR="00A27461" w:rsidP="008D268A" w:rsidRDefault="00A27461" w14:paraId="3781A79F" w14:textId="77777777">
            <w:pPr>
              <w:pStyle w:val="Standard"/>
              <w:keepNext/>
              <w:spacing w:line="240" w:lineRule="auto"/>
              <w:ind w:firstLine="0"/>
              <w:jc w:val="right"/>
            </w:pPr>
            <w:r w:rsidRPr="00454D1A">
              <w:rPr>
                <w:bCs/>
                <w:szCs w:val="24"/>
              </w:rPr>
              <w:t>0.39997099%</w:t>
            </w:r>
          </w:p>
        </w:tc>
        <w:tc>
          <w:tcPr>
            <w:tcW w:w="2910" w:type="dxa"/>
          </w:tcPr>
          <w:p w:rsidRPr="00454D1A" w:rsidR="00A27461" w:rsidP="008D268A" w:rsidRDefault="00A27461" w14:paraId="04085DC6" w14:textId="77777777">
            <w:pPr>
              <w:pStyle w:val="Standard"/>
              <w:keepNext/>
              <w:spacing w:line="240" w:lineRule="auto"/>
              <w:ind w:firstLine="0"/>
              <w:jc w:val="right"/>
            </w:pPr>
            <w:r w:rsidRPr="00454D1A">
              <w:rPr>
                <w:bCs/>
                <w:szCs w:val="24"/>
              </w:rPr>
              <w:t>$399,970.99</w:t>
            </w:r>
          </w:p>
        </w:tc>
      </w:tr>
      <w:tr w:rsidRPr="00454D1A" w:rsidR="00A27461" w:rsidTr="008D268A" w14:paraId="338103D5" w14:textId="77777777">
        <w:trPr>
          <w:cantSplit/>
          <w:jc w:val="center"/>
        </w:trPr>
        <w:tc>
          <w:tcPr>
            <w:tcW w:w="1442" w:type="dxa"/>
          </w:tcPr>
          <w:p w:rsidRPr="00454D1A" w:rsidR="00A27461" w:rsidP="008D268A" w:rsidRDefault="00A27461" w14:paraId="7FAC5A3D" w14:textId="77777777">
            <w:pPr>
              <w:pStyle w:val="Standard"/>
              <w:spacing w:line="240" w:lineRule="auto"/>
              <w:ind w:firstLine="0"/>
            </w:pPr>
            <w:r w:rsidRPr="00454D1A">
              <w:t>IOU Sum</w:t>
            </w:r>
          </w:p>
        </w:tc>
        <w:tc>
          <w:tcPr>
            <w:tcW w:w="2063" w:type="dxa"/>
          </w:tcPr>
          <w:p w:rsidRPr="00454D1A" w:rsidR="00A27461" w:rsidP="008D268A" w:rsidRDefault="00A27461" w14:paraId="120EE49A" w14:textId="4D17BC12">
            <w:pPr>
              <w:pStyle w:val="Standard"/>
              <w:spacing w:line="240" w:lineRule="auto"/>
              <w:ind w:firstLine="0"/>
              <w:jc w:val="right"/>
            </w:pPr>
            <w:r w:rsidRPr="00454D1A">
              <w:rPr>
                <w:rFonts w:cs="TimesNewRoman,Bold"/>
                <w:b/>
                <w:bCs/>
                <w:szCs w:val="23"/>
              </w:rPr>
              <w:t>$1,</w:t>
            </w:r>
            <w:r w:rsidR="00581F06">
              <w:rPr>
                <w:rFonts w:cs="TimesNewRoman,Bold"/>
                <w:b/>
                <w:bCs/>
                <w:szCs w:val="23"/>
              </w:rPr>
              <w:t>864,481</w:t>
            </w:r>
          </w:p>
        </w:tc>
        <w:tc>
          <w:tcPr>
            <w:tcW w:w="4140" w:type="dxa"/>
          </w:tcPr>
          <w:p w:rsidRPr="00454D1A" w:rsidR="00A27461" w:rsidP="008D268A" w:rsidRDefault="00A27461" w14:paraId="6064A6F5" w14:textId="77777777">
            <w:pPr>
              <w:pStyle w:val="Standard"/>
              <w:spacing w:line="240" w:lineRule="auto"/>
              <w:ind w:firstLine="0"/>
              <w:jc w:val="right"/>
            </w:pPr>
            <w:r w:rsidRPr="00454D1A">
              <w:t>100.000%</w:t>
            </w:r>
          </w:p>
        </w:tc>
        <w:tc>
          <w:tcPr>
            <w:tcW w:w="2910" w:type="dxa"/>
          </w:tcPr>
          <w:p w:rsidRPr="00454D1A" w:rsidR="00A27461" w:rsidP="008D268A" w:rsidRDefault="00A27461" w14:paraId="1065FBFE" w14:textId="77777777">
            <w:pPr>
              <w:pStyle w:val="Standard"/>
              <w:spacing w:line="240" w:lineRule="auto"/>
              <w:ind w:firstLine="0"/>
              <w:jc w:val="right"/>
            </w:pPr>
            <w:r w:rsidRPr="00454D1A">
              <w:t>$100,000,000</w:t>
            </w:r>
          </w:p>
        </w:tc>
      </w:tr>
    </w:tbl>
    <w:p w:rsidR="00A27461" w:rsidP="00A27461" w:rsidRDefault="00A27461" w14:paraId="777CE3EF" w14:textId="77777777">
      <w:pPr>
        <w:pStyle w:val="Standard"/>
      </w:pPr>
    </w:p>
    <w:p w:rsidRPr="00454D1A" w:rsidR="00A27461" w:rsidP="00A27461" w:rsidRDefault="00A27461" w14:paraId="0D4134B3" w14:textId="307DCF7F">
      <w:pPr>
        <w:pStyle w:val="TableTitleBodyH095"/>
        <w:rPr>
          <w:b/>
          <w:bCs w:val="0"/>
        </w:rPr>
      </w:pPr>
      <w:bookmarkStart w:name="Table73" w:id="71"/>
      <w:r w:rsidRPr="00232B5E">
        <w:rPr>
          <w:b/>
          <w:bCs w:val="0"/>
        </w:rPr>
        <w:t>Table</w:t>
      </w:r>
      <w:r w:rsidRPr="00232B5E">
        <w:rPr>
          <w:b/>
        </w:rPr>
        <w:t> </w:t>
      </w:r>
      <w:r w:rsidRPr="00232B5E">
        <w:rPr>
          <w:b/>
          <w:bCs w:val="0"/>
        </w:rPr>
        <w:t>8</w:t>
      </w:r>
      <w:r w:rsidRPr="00232B5E">
        <w:rPr>
          <w:b/>
        </w:rPr>
        <w:noBreakHyphen/>
        <w:t>3.</w:t>
      </w:r>
      <w:r w:rsidRPr="00232B5E">
        <w:rPr>
          <w:b/>
          <w:bCs w:val="0"/>
        </w:rPr>
        <w:tab/>
      </w:r>
      <w:r w:rsidRPr="00232B5E">
        <w:t>Table</w:t>
      </w:r>
      <w:r w:rsidRPr="00232B5E">
        <w:rPr>
          <w:b/>
        </w:rPr>
        <w:t> </w:t>
      </w:r>
      <w:r w:rsidRPr="00232B5E">
        <w:t>Summarizing the PY2023 SOMAH Program True</w:t>
      </w:r>
      <w:r w:rsidRPr="00232B5E">
        <w:rPr>
          <w:b/>
        </w:rPr>
        <w:noBreakHyphen/>
      </w:r>
      <w:r w:rsidRPr="00232B5E">
        <w:t>Up</w:t>
      </w:r>
      <w:bookmarkEnd w:id="71"/>
      <w:r w:rsidRPr="00D13895">
        <w:rPr>
          <w:rStyle w:val="FootnoteReference"/>
        </w:rPr>
        <w:footnoteReference w:id="167"/>
      </w:r>
    </w:p>
    <w:tbl>
      <w:tblPr>
        <w:tblStyle w:val="TableGrid"/>
        <w:tblW w:w="9360" w:type="dxa"/>
        <w:jc w:val="center"/>
        <w:tblLayout w:type="fixed"/>
        <w:tblCellMar>
          <w:top w:w="58" w:type="dxa"/>
          <w:bottom w:w="58" w:type="dxa"/>
        </w:tblCellMar>
        <w:tblLook w:val="04A0" w:firstRow="1" w:lastRow="0" w:firstColumn="1" w:lastColumn="0" w:noHBand="0" w:noVBand="1"/>
      </w:tblPr>
      <w:tblGrid>
        <w:gridCol w:w="1165"/>
        <w:gridCol w:w="1980"/>
        <w:gridCol w:w="2340"/>
        <w:gridCol w:w="2160"/>
        <w:gridCol w:w="1715"/>
      </w:tblGrid>
      <w:tr w:rsidRPr="00454D1A" w:rsidR="00A27461" w:rsidTr="00F726C0" w14:paraId="0D4DB8FA" w14:textId="77777777">
        <w:trPr>
          <w:cantSplit/>
          <w:tblHeader/>
          <w:jc w:val="center"/>
        </w:trPr>
        <w:tc>
          <w:tcPr>
            <w:tcW w:w="1165" w:type="dxa"/>
            <w:vAlign w:val="bottom"/>
          </w:tcPr>
          <w:p w:rsidRPr="00454D1A" w:rsidR="00A27461" w:rsidP="008D268A" w:rsidRDefault="00A27461" w14:paraId="198F67A9" w14:textId="77777777">
            <w:pPr>
              <w:pStyle w:val="Standard"/>
              <w:keepNext/>
              <w:spacing w:line="240" w:lineRule="auto"/>
              <w:ind w:firstLine="0"/>
              <w:jc w:val="center"/>
              <w:rPr>
                <w:b/>
                <w:bCs/>
                <w:szCs w:val="26"/>
              </w:rPr>
            </w:pPr>
            <w:r w:rsidRPr="00454D1A">
              <w:rPr>
                <w:b/>
                <w:bCs/>
                <w:szCs w:val="26"/>
              </w:rPr>
              <w:t>PY</w:t>
            </w:r>
          </w:p>
        </w:tc>
        <w:tc>
          <w:tcPr>
            <w:tcW w:w="1980" w:type="dxa"/>
            <w:vAlign w:val="bottom"/>
          </w:tcPr>
          <w:p w:rsidRPr="00454D1A" w:rsidR="00A27461" w:rsidP="008D268A" w:rsidRDefault="00A27461" w14:paraId="2D886D73" w14:textId="77777777">
            <w:pPr>
              <w:pStyle w:val="Standard"/>
              <w:keepNext/>
              <w:spacing w:line="240" w:lineRule="auto"/>
              <w:ind w:firstLine="0"/>
              <w:jc w:val="center"/>
              <w:rPr>
                <w:b/>
                <w:bCs/>
                <w:szCs w:val="26"/>
              </w:rPr>
            </w:pPr>
            <w:r w:rsidRPr="00454D1A">
              <w:rPr>
                <w:b/>
                <w:bCs/>
                <w:szCs w:val="26"/>
              </w:rPr>
              <w:t>Total GHG</w:t>
            </w:r>
          </w:p>
        </w:tc>
        <w:tc>
          <w:tcPr>
            <w:tcW w:w="2340" w:type="dxa"/>
            <w:vAlign w:val="bottom"/>
          </w:tcPr>
          <w:p w:rsidRPr="00454D1A" w:rsidR="00A27461" w:rsidP="008D268A" w:rsidRDefault="00A27461" w14:paraId="65DBB150" w14:textId="77777777">
            <w:pPr>
              <w:pStyle w:val="Standard"/>
              <w:keepNext/>
              <w:spacing w:line="240" w:lineRule="auto"/>
              <w:ind w:firstLine="0"/>
              <w:jc w:val="center"/>
              <w:rPr>
                <w:b/>
                <w:bCs/>
                <w:szCs w:val="26"/>
              </w:rPr>
            </w:pPr>
            <w:r w:rsidRPr="00454D1A">
              <w:rPr>
                <w:b/>
                <w:bCs/>
                <w:szCs w:val="26"/>
              </w:rPr>
              <w:t>10%/$100 million</w:t>
            </w:r>
          </w:p>
        </w:tc>
        <w:tc>
          <w:tcPr>
            <w:tcW w:w="2160" w:type="dxa"/>
            <w:vAlign w:val="bottom"/>
          </w:tcPr>
          <w:p w:rsidRPr="00454D1A" w:rsidR="00A27461" w:rsidP="008D268A" w:rsidRDefault="00A27461" w14:paraId="382E306A" w14:textId="77777777">
            <w:pPr>
              <w:pStyle w:val="Standard"/>
              <w:keepNext/>
              <w:spacing w:line="240" w:lineRule="auto"/>
              <w:ind w:firstLine="0"/>
              <w:jc w:val="center"/>
              <w:rPr>
                <w:b/>
                <w:bCs/>
                <w:szCs w:val="26"/>
              </w:rPr>
            </w:pPr>
            <w:r w:rsidRPr="00454D1A">
              <w:rPr>
                <w:b/>
                <w:bCs/>
                <w:szCs w:val="26"/>
              </w:rPr>
              <w:t xml:space="preserve">ERRA </w:t>
            </w:r>
          </w:p>
          <w:p w:rsidRPr="00454D1A" w:rsidR="00A27461" w:rsidP="008D268A" w:rsidRDefault="00A27461" w14:paraId="5F0430FE" w14:textId="77777777">
            <w:pPr>
              <w:pStyle w:val="Standard"/>
              <w:keepNext/>
              <w:spacing w:line="240" w:lineRule="auto"/>
              <w:ind w:firstLine="0"/>
              <w:jc w:val="center"/>
              <w:rPr>
                <w:b/>
                <w:bCs/>
                <w:szCs w:val="26"/>
              </w:rPr>
            </w:pPr>
            <w:r w:rsidRPr="00454D1A">
              <w:rPr>
                <w:b/>
                <w:bCs/>
                <w:szCs w:val="26"/>
              </w:rPr>
              <w:t>Set</w:t>
            </w:r>
            <w:r>
              <w:rPr>
                <w:b/>
                <w:bCs/>
                <w:szCs w:val="26"/>
              </w:rPr>
              <w:noBreakHyphen/>
            </w:r>
            <w:r w:rsidRPr="00454D1A">
              <w:rPr>
                <w:b/>
                <w:bCs/>
                <w:szCs w:val="26"/>
              </w:rPr>
              <w:t>aside for PY</w:t>
            </w:r>
          </w:p>
        </w:tc>
        <w:tc>
          <w:tcPr>
            <w:tcW w:w="1715" w:type="dxa"/>
            <w:vAlign w:val="bottom"/>
          </w:tcPr>
          <w:p w:rsidRPr="00454D1A" w:rsidR="00A27461" w:rsidP="008D268A" w:rsidRDefault="00A27461" w14:paraId="3ED85BFC" w14:textId="77777777">
            <w:pPr>
              <w:pStyle w:val="Standard"/>
              <w:keepNext/>
              <w:spacing w:line="240" w:lineRule="auto"/>
              <w:ind w:firstLine="0"/>
              <w:jc w:val="center"/>
              <w:rPr>
                <w:b/>
                <w:bCs/>
                <w:szCs w:val="26"/>
              </w:rPr>
            </w:pPr>
            <w:r w:rsidRPr="00454D1A">
              <w:rPr>
                <w:b/>
                <w:bCs/>
                <w:szCs w:val="26"/>
              </w:rPr>
              <w:t>Difference</w:t>
            </w:r>
          </w:p>
        </w:tc>
      </w:tr>
      <w:tr w:rsidRPr="00454D1A" w:rsidR="00A27461" w:rsidTr="00F726C0" w14:paraId="50D2B810" w14:textId="77777777">
        <w:trPr>
          <w:cantSplit/>
          <w:jc w:val="center"/>
        </w:trPr>
        <w:tc>
          <w:tcPr>
            <w:tcW w:w="1165" w:type="dxa"/>
          </w:tcPr>
          <w:p w:rsidRPr="00454D1A" w:rsidR="00A27461" w:rsidP="008D268A" w:rsidRDefault="00A27461" w14:paraId="79BE0DE8" w14:textId="77777777">
            <w:pPr>
              <w:pStyle w:val="Standard"/>
              <w:keepNext/>
              <w:spacing w:line="240" w:lineRule="auto"/>
              <w:ind w:firstLine="0"/>
              <w:rPr>
                <w:szCs w:val="26"/>
              </w:rPr>
            </w:pPr>
            <w:r w:rsidRPr="00454D1A">
              <w:rPr>
                <w:szCs w:val="26"/>
              </w:rPr>
              <w:t>2016</w:t>
            </w:r>
          </w:p>
        </w:tc>
        <w:tc>
          <w:tcPr>
            <w:tcW w:w="1980" w:type="dxa"/>
          </w:tcPr>
          <w:p w:rsidRPr="00454D1A" w:rsidR="00A27461" w:rsidP="008D268A" w:rsidRDefault="00A27461" w14:paraId="0B287B3D" w14:textId="77777777">
            <w:pPr>
              <w:pStyle w:val="Standard"/>
              <w:keepNext/>
              <w:spacing w:line="240" w:lineRule="auto"/>
              <w:ind w:firstLine="0"/>
              <w:jc w:val="right"/>
              <w:rPr>
                <w:szCs w:val="26"/>
              </w:rPr>
            </w:pPr>
            <w:r w:rsidRPr="00454D1A">
              <w:rPr>
                <w:szCs w:val="26"/>
              </w:rPr>
              <w:t>$188,087,539</w:t>
            </w:r>
          </w:p>
        </w:tc>
        <w:tc>
          <w:tcPr>
            <w:tcW w:w="2340" w:type="dxa"/>
          </w:tcPr>
          <w:p w:rsidRPr="00454D1A" w:rsidR="00A27461" w:rsidP="008D268A" w:rsidRDefault="00A27461" w14:paraId="2B0C93AD" w14:textId="77777777">
            <w:pPr>
              <w:pStyle w:val="Standard"/>
              <w:keepNext/>
              <w:spacing w:line="240" w:lineRule="auto"/>
              <w:ind w:firstLine="0"/>
              <w:jc w:val="right"/>
              <w:rPr>
                <w:szCs w:val="26"/>
              </w:rPr>
            </w:pPr>
            <w:r w:rsidRPr="00454D1A">
              <w:rPr>
                <w:szCs w:val="26"/>
              </w:rPr>
              <w:t>$18,808,754</w:t>
            </w:r>
          </w:p>
        </w:tc>
        <w:tc>
          <w:tcPr>
            <w:tcW w:w="2160" w:type="dxa"/>
          </w:tcPr>
          <w:p w:rsidRPr="00454D1A" w:rsidR="00A27461" w:rsidP="008D268A" w:rsidRDefault="00A27461" w14:paraId="1C8A1663" w14:textId="77777777">
            <w:pPr>
              <w:pStyle w:val="Standard"/>
              <w:keepNext/>
              <w:spacing w:line="240" w:lineRule="auto"/>
              <w:ind w:firstLine="0"/>
              <w:jc w:val="right"/>
              <w:rPr>
                <w:szCs w:val="26"/>
              </w:rPr>
            </w:pPr>
            <w:r w:rsidRPr="00454D1A">
              <w:rPr>
                <w:szCs w:val="26"/>
              </w:rPr>
              <w:t>$0</w:t>
            </w:r>
          </w:p>
        </w:tc>
        <w:tc>
          <w:tcPr>
            <w:tcW w:w="1715" w:type="dxa"/>
          </w:tcPr>
          <w:p w:rsidRPr="00454D1A" w:rsidR="00A27461" w:rsidP="008D268A" w:rsidRDefault="00A27461" w14:paraId="788992D4" w14:textId="77777777">
            <w:pPr>
              <w:pStyle w:val="Standard"/>
              <w:keepNext/>
              <w:spacing w:line="240" w:lineRule="auto"/>
              <w:ind w:firstLine="0"/>
              <w:jc w:val="right"/>
              <w:rPr>
                <w:szCs w:val="26"/>
              </w:rPr>
            </w:pPr>
            <w:r w:rsidRPr="00454D1A">
              <w:rPr>
                <w:szCs w:val="26"/>
              </w:rPr>
              <w:t>$18,808,754</w:t>
            </w:r>
          </w:p>
        </w:tc>
      </w:tr>
      <w:tr w:rsidRPr="00454D1A" w:rsidR="00A27461" w:rsidTr="00F726C0" w14:paraId="219F5ACD" w14:textId="77777777">
        <w:trPr>
          <w:cantSplit/>
          <w:jc w:val="center"/>
        </w:trPr>
        <w:tc>
          <w:tcPr>
            <w:tcW w:w="1165" w:type="dxa"/>
          </w:tcPr>
          <w:p w:rsidRPr="00454D1A" w:rsidR="00A27461" w:rsidP="008D268A" w:rsidRDefault="00A27461" w14:paraId="3EEC3121" w14:textId="77777777">
            <w:pPr>
              <w:pStyle w:val="Standard"/>
              <w:spacing w:line="240" w:lineRule="auto"/>
              <w:ind w:firstLine="0"/>
              <w:rPr>
                <w:szCs w:val="26"/>
              </w:rPr>
            </w:pPr>
            <w:r w:rsidRPr="00454D1A">
              <w:rPr>
                <w:szCs w:val="26"/>
              </w:rPr>
              <w:t>2017</w:t>
            </w:r>
          </w:p>
        </w:tc>
        <w:tc>
          <w:tcPr>
            <w:tcW w:w="1980" w:type="dxa"/>
          </w:tcPr>
          <w:p w:rsidRPr="00454D1A" w:rsidR="00A27461" w:rsidP="008D268A" w:rsidRDefault="00A27461" w14:paraId="0625875F" w14:textId="77777777">
            <w:pPr>
              <w:pStyle w:val="Standard"/>
              <w:spacing w:line="240" w:lineRule="auto"/>
              <w:ind w:firstLine="0"/>
              <w:jc w:val="right"/>
              <w:rPr>
                <w:szCs w:val="26"/>
              </w:rPr>
            </w:pPr>
            <w:r w:rsidRPr="00454D1A">
              <w:rPr>
                <w:szCs w:val="26"/>
              </w:rPr>
              <w:t>$384,894,152</w:t>
            </w:r>
          </w:p>
        </w:tc>
        <w:tc>
          <w:tcPr>
            <w:tcW w:w="2340" w:type="dxa"/>
          </w:tcPr>
          <w:p w:rsidRPr="00454D1A" w:rsidR="00A27461" w:rsidP="008D268A" w:rsidRDefault="00A27461" w14:paraId="68C70CD1" w14:textId="77777777">
            <w:pPr>
              <w:pStyle w:val="Standard"/>
              <w:spacing w:line="240" w:lineRule="auto"/>
              <w:ind w:firstLine="0"/>
              <w:jc w:val="right"/>
              <w:rPr>
                <w:szCs w:val="26"/>
              </w:rPr>
            </w:pPr>
            <w:r w:rsidRPr="00454D1A">
              <w:rPr>
                <w:szCs w:val="26"/>
              </w:rPr>
              <w:t>$38,489,415</w:t>
            </w:r>
          </w:p>
        </w:tc>
        <w:tc>
          <w:tcPr>
            <w:tcW w:w="2160" w:type="dxa"/>
          </w:tcPr>
          <w:p w:rsidRPr="00454D1A" w:rsidR="00A27461" w:rsidP="008D268A" w:rsidRDefault="00A27461" w14:paraId="3743AECE" w14:textId="77777777">
            <w:pPr>
              <w:pStyle w:val="Standard"/>
              <w:spacing w:line="240" w:lineRule="auto"/>
              <w:ind w:firstLine="0"/>
              <w:jc w:val="right"/>
              <w:rPr>
                <w:szCs w:val="26"/>
              </w:rPr>
            </w:pPr>
            <w:r w:rsidRPr="00454D1A">
              <w:rPr>
                <w:szCs w:val="26"/>
              </w:rPr>
              <w:t>$8,077,000</w:t>
            </w:r>
          </w:p>
        </w:tc>
        <w:tc>
          <w:tcPr>
            <w:tcW w:w="1715" w:type="dxa"/>
          </w:tcPr>
          <w:p w:rsidRPr="00454D1A" w:rsidR="00A27461" w:rsidP="008D268A" w:rsidRDefault="00A27461" w14:paraId="3A95D87F" w14:textId="77777777">
            <w:pPr>
              <w:pStyle w:val="Standard"/>
              <w:spacing w:line="240" w:lineRule="auto"/>
              <w:ind w:firstLine="0"/>
              <w:jc w:val="right"/>
              <w:rPr>
                <w:szCs w:val="26"/>
              </w:rPr>
            </w:pPr>
            <w:r w:rsidRPr="00454D1A">
              <w:rPr>
                <w:szCs w:val="26"/>
              </w:rPr>
              <w:t>$30,412,415</w:t>
            </w:r>
          </w:p>
        </w:tc>
      </w:tr>
      <w:tr w:rsidRPr="00454D1A" w:rsidR="00A27461" w:rsidTr="00F726C0" w14:paraId="2E444A5D" w14:textId="77777777">
        <w:trPr>
          <w:cantSplit/>
          <w:jc w:val="center"/>
        </w:trPr>
        <w:tc>
          <w:tcPr>
            <w:tcW w:w="1165" w:type="dxa"/>
          </w:tcPr>
          <w:p w:rsidRPr="00454D1A" w:rsidR="00A27461" w:rsidP="008D268A" w:rsidRDefault="00A27461" w14:paraId="796B3C11" w14:textId="77777777">
            <w:pPr>
              <w:pStyle w:val="Standard"/>
              <w:spacing w:line="240" w:lineRule="auto"/>
              <w:ind w:firstLine="0"/>
              <w:rPr>
                <w:szCs w:val="26"/>
              </w:rPr>
            </w:pPr>
            <w:r w:rsidRPr="00454D1A">
              <w:rPr>
                <w:szCs w:val="26"/>
              </w:rPr>
              <w:t>2018</w:t>
            </w:r>
          </w:p>
        </w:tc>
        <w:tc>
          <w:tcPr>
            <w:tcW w:w="1980" w:type="dxa"/>
          </w:tcPr>
          <w:p w:rsidRPr="00454D1A" w:rsidR="00A27461" w:rsidP="008D268A" w:rsidRDefault="00A27461" w14:paraId="21EC50F6" w14:textId="77777777">
            <w:pPr>
              <w:pStyle w:val="Standard"/>
              <w:spacing w:line="240" w:lineRule="auto"/>
              <w:ind w:firstLine="0"/>
              <w:jc w:val="right"/>
              <w:rPr>
                <w:szCs w:val="26"/>
              </w:rPr>
            </w:pPr>
            <w:r w:rsidRPr="00454D1A">
              <w:rPr>
                <w:szCs w:val="26"/>
              </w:rPr>
              <w:t>$389,316,108</w:t>
            </w:r>
          </w:p>
        </w:tc>
        <w:tc>
          <w:tcPr>
            <w:tcW w:w="2340" w:type="dxa"/>
          </w:tcPr>
          <w:p w:rsidRPr="00454D1A" w:rsidR="00A27461" w:rsidP="008D268A" w:rsidRDefault="00A27461" w14:paraId="01EABFB8" w14:textId="77777777">
            <w:pPr>
              <w:pStyle w:val="Standard"/>
              <w:spacing w:line="240" w:lineRule="auto"/>
              <w:ind w:firstLine="0"/>
              <w:jc w:val="right"/>
              <w:rPr>
                <w:szCs w:val="26"/>
              </w:rPr>
            </w:pPr>
            <w:r w:rsidRPr="00454D1A">
              <w:rPr>
                <w:szCs w:val="26"/>
              </w:rPr>
              <w:t>$38,931,611</w:t>
            </w:r>
          </w:p>
        </w:tc>
        <w:tc>
          <w:tcPr>
            <w:tcW w:w="2160" w:type="dxa"/>
          </w:tcPr>
          <w:p w:rsidRPr="00454D1A" w:rsidR="00A27461" w:rsidP="008D268A" w:rsidRDefault="00A27461" w14:paraId="25C99ADC" w14:textId="77777777">
            <w:pPr>
              <w:pStyle w:val="Standard"/>
              <w:spacing w:line="240" w:lineRule="auto"/>
              <w:ind w:firstLine="0"/>
              <w:jc w:val="right"/>
              <w:rPr>
                <w:szCs w:val="26"/>
              </w:rPr>
            </w:pPr>
            <w:r w:rsidRPr="00454D1A">
              <w:rPr>
                <w:szCs w:val="26"/>
              </w:rPr>
              <w:t>$39,125,783</w:t>
            </w:r>
          </w:p>
        </w:tc>
        <w:tc>
          <w:tcPr>
            <w:tcW w:w="1715" w:type="dxa"/>
          </w:tcPr>
          <w:p w:rsidRPr="00454D1A" w:rsidR="00A27461" w:rsidP="008D268A" w:rsidRDefault="00A27461" w14:paraId="4246B96C" w14:textId="77777777">
            <w:pPr>
              <w:pStyle w:val="Standard"/>
              <w:spacing w:line="240" w:lineRule="auto"/>
              <w:ind w:firstLine="0"/>
              <w:jc w:val="right"/>
              <w:rPr>
                <w:szCs w:val="26"/>
              </w:rPr>
            </w:pPr>
            <w:r>
              <w:rPr>
                <w:szCs w:val="26"/>
              </w:rPr>
              <w:noBreakHyphen/>
              <w:t>$</w:t>
            </w:r>
            <w:r w:rsidRPr="00454D1A">
              <w:rPr>
                <w:szCs w:val="26"/>
              </w:rPr>
              <w:t>194,173</w:t>
            </w:r>
          </w:p>
        </w:tc>
      </w:tr>
      <w:tr w:rsidRPr="00454D1A" w:rsidR="00A27461" w:rsidTr="00F726C0" w14:paraId="6016A16E" w14:textId="77777777">
        <w:trPr>
          <w:cantSplit/>
          <w:jc w:val="center"/>
        </w:trPr>
        <w:tc>
          <w:tcPr>
            <w:tcW w:w="1165" w:type="dxa"/>
          </w:tcPr>
          <w:p w:rsidRPr="00454D1A" w:rsidR="00A27461" w:rsidP="008D268A" w:rsidRDefault="00A27461" w14:paraId="0CE59B5E" w14:textId="77777777">
            <w:pPr>
              <w:pStyle w:val="Standard"/>
              <w:spacing w:line="240" w:lineRule="auto"/>
              <w:ind w:firstLine="0"/>
              <w:rPr>
                <w:szCs w:val="26"/>
              </w:rPr>
            </w:pPr>
            <w:r w:rsidRPr="00454D1A">
              <w:rPr>
                <w:szCs w:val="26"/>
              </w:rPr>
              <w:t>2019</w:t>
            </w:r>
          </w:p>
        </w:tc>
        <w:tc>
          <w:tcPr>
            <w:tcW w:w="1980" w:type="dxa"/>
          </w:tcPr>
          <w:p w:rsidRPr="00454D1A" w:rsidR="00A27461" w:rsidP="008D268A" w:rsidRDefault="00A27461" w14:paraId="5F8626DC" w14:textId="77777777">
            <w:pPr>
              <w:pStyle w:val="Standard"/>
              <w:spacing w:line="240" w:lineRule="auto"/>
              <w:ind w:firstLine="0"/>
              <w:jc w:val="right"/>
              <w:rPr>
                <w:szCs w:val="26"/>
              </w:rPr>
            </w:pPr>
            <w:r w:rsidRPr="00454D1A">
              <w:rPr>
                <w:szCs w:val="26"/>
              </w:rPr>
              <w:t>$421,170,202</w:t>
            </w:r>
          </w:p>
        </w:tc>
        <w:tc>
          <w:tcPr>
            <w:tcW w:w="2340" w:type="dxa"/>
          </w:tcPr>
          <w:p w:rsidRPr="00454D1A" w:rsidR="00A27461" w:rsidP="008D268A" w:rsidRDefault="00A27461" w14:paraId="388DAB3A" w14:textId="77777777">
            <w:pPr>
              <w:pStyle w:val="Standard"/>
              <w:spacing w:line="240" w:lineRule="auto"/>
              <w:ind w:firstLine="0"/>
              <w:jc w:val="right"/>
              <w:rPr>
                <w:szCs w:val="26"/>
              </w:rPr>
            </w:pPr>
            <w:r w:rsidRPr="00454D1A">
              <w:rPr>
                <w:szCs w:val="26"/>
              </w:rPr>
              <w:t>$42,117,020</w:t>
            </w:r>
          </w:p>
        </w:tc>
        <w:tc>
          <w:tcPr>
            <w:tcW w:w="2160" w:type="dxa"/>
          </w:tcPr>
          <w:p w:rsidRPr="00454D1A" w:rsidR="00A27461" w:rsidP="008D268A" w:rsidRDefault="00A27461" w14:paraId="2DEE99BA" w14:textId="77777777">
            <w:pPr>
              <w:pStyle w:val="Standard"/>
              <w:spacing w:line="240" w:lineRule="auto"/>
              <w:ind w:firstLine="0"/>
              <w:jc w:val="right"/>
              <w:rPr>
                <w:szCs w:val="26"/>
              </w:rPr>
            </w:pPr>
            <w:r w:rsidRPr="00454D1A">
              <w:rPr>
                <w:szCs w:val="26"/>
              </w:rPr>
              <w:t>$40,853,635</w:t>
            </w:r>
          </w:p>
        </w:tc>
        <w:tc>
          <w:tcPr>
            <w:tcW w:w="1715" w:type="dxa"/>
          </w:tcPr>
          <w:p w:rsidRPr="00454D1A" w:rsidR="00A27461" w:rsidP="008D268A" w:rsidRDefault="00A27461" w14:paraId="358C3D40" w14:textId="77777777">
            <w:pPr>
              <w:pStyle w:val="Standard"/>
              <w:spacing w:line="240" w:lineRule="auto"/>
              <w:ind w:firstLine="0"/>
              <w:jc w:val="right"/>
              <w:rPr>
                <w:szCs w:val="26"/>
              </w:rPr>
            </w:pPr>
            <w:r w:rsidRPr="00454D1A">
              <w:rPr>
                <w:szCs w:val="26"/>
              </w:rPr>
              <w:t>$1,263,386</w:t>
            </w:r>
          </w:p>
        </w:tc>
      </w:tr>
      <w:tr w:rsidRPr="00454D1A" w:rsidR="00A27461" w:rsidTr="00F726C0" w14:paraId="6B1F53A0" w14:textId="77777777">
        <w:trPr>
          <w:cantSplit/>
          <w:jc w:val="center"/>
        </w:trPr>
        <w:tc>
          <w:tcPr>
            <w:tcW w:w="1165" w:type="dxa"/>
          </w:tcPr>
          <w:p w:rsidRPr="00454D1A" w:rsidR="00A27461" w:rsidP="008D268A" w:rsidRDefault="00A27461" w14:paraId="5F3BE95A" w14:textId="77777777">
            <w:pPr>
              <w:pStyle w:val="Standard"/>
              <w:spacing w:line="240" w:lineRule="auto"/>
              <w:ind w:firstLine="0"/>
              <w:rPr>
                <w:szCs w:val="26"/>
              </w:rPr>
            </w:pPr>
            <w:r w:rsidRPr="00454D1A">
              <w:rPr>
                <w:szCs w:val="26"/>
              </w:rPr>
              <w:t>2020</w:t>
            </w:r>
          </w:p>
        </w:tc>
        <w:tc>
          <w:tcPr>
            <w:tcW w:w="1980" w:type="dxa"/>
          </w:tcPr>
          <w:p w:rsidRPr="00454D1A" w:rsidR="00A27461" w:rsidP="008D268A" w:rsidRDefault="00A27461" w14:paraId="18740D38" w14:textId="77777777">
            <w:pPr>
              <w:pStyle w:val="Standard"/>
              <w:spacing w:line="240" w:lineRule="auto"/>
              <w:ind w:firstLine="0"/>
              <w:jc w:val="right"/>
              <w:rPr>
                <w:szCs w:val="26"/>
              </w:rPr>
            </w:pPr>
            <w:r w:rsidRPr="00454D1A">
              <w:rPr>
                <w:szCs w:val="26"/>
              </w:rPr>
              <w:t>$420,965,536</w:t>
            </w:r>
          </w:p>
        </w:tc>
        <w:tc>
          <w:tcPr>
            <w:tcW w:w="2340" w:type="dxa"/>
          </w:tcPr>
          <w:p w:rsidRPr="00454D1A" w:rsidR="00A27461" w:rsidP="008D268A" w:rsidRDefault="00A27461" w14:paraId="372BE9EC" w14:textId="77777777">
            <w:pPr>
              <w:pStyle w:val="Standard"/>
              <w:spacing w:line="240" w:lineRule="auto"/>
              <w:ind w:firstLine="0"/>
              <w:jc w:val="right"/>
              <w:rPr>
                <w:szCs w:val="26"/>
              </w:rPr>
            </w:pPr>
            <w:r w:rsidRPr="00454D1A">
              <w:rPr>
                <w:szCs w:val="26"/>
              </w:rPr>
              <w:t>$42,096,554</w:t>
            </w:r>
          </w:p>
        </w:tc>
        <w:tc>
          <w:tcPr>
            <w:tcW w:w="2160" w:type="dxa"/>
          </w:tcPr>
          <w:p w:rsidRPr="00454D1A" w:rsidR="00A27461" w:rsidP="008D268A" w:rsidRDefault="00A27461" w14:paraId="2AB9CEA3" w14:textId="77777777">
            <w:pPr>
              <w:pStyle w:val="Standard"/>
              <w:spacing w:line="240" w:lineRule="auto"/>
              <w:ind w:firstLine="0"/>
              <w:jc w:val="right"/>
              <w:rPr>
                <w:szCs w:val="26"/>
              </w:rPr>
            </w:pPr>
            <w:r w:rsidRPr="00454D1A">
              <w:rPr>
                <w:szCs w:val="26"/>
              </w:rPr>
              <w:t>$73,281,647</w:t>
            </w:r>
          </w:p>
        </w:tc>
        <w:tc>
          <w:tcPr>
            <w:tcW w:w="1715" w:type="dxa"/>
          </w:tcPr>
          <w:p w:rsidRPr="00454D1A" w:rsidR="00A27461" w:rsidP="008D268A" w:rsidRDefault="00A27461" w14:paraId="35391D21" w14:textId="77777777">
            <w:pPr>
              <w:pStyle w:val="Standard"/>
              <w:spacing w:line="240" w:lineRule="auto"/>
              <w:ind w:firstLine="0"/>
              <w:jc w:val="right"/>
              <w:rPr>
                <w:szCs w:val="26"/>
              </w:rPr>
            </w:pPr>
            <w:r>
              <w:rPr>
                <w:szCs w:val="26"/>
              </w:rPr>
              <w:noBreakHyphen/>
              <w:t>$</w:t>
            </w:r>
            <w:r w:rsidRPr="00454D1A">
              <w:rPr>
                <w:szCs w:val="26"/>
              </w:rPr>
              <w:t>31,185,111</w:t>
            </w:r>
          </w:p>
        </w:tc>
      </w:tr>
      <w:tr w:rsidRPr="00454D1A" w:rsidR="00A27461" w:rsidTr="00F726C0" w14:paraId="74E83D36" w14:textId="77777777">
        <w:trPr>
          <w:cantSplit/>
          <w:jc w:val="center"/>
        </w:trPr>
        <w:tc>
          <w:tcPr>
            <w:tcW w:w="1165" w:type="dxa"/>
          </w:tcPr>
          <w:p w:rsidRPr="00454D1A" w:rsidR="00A27461" w:rsidP="008D268A" w:rsidRDefault="00A27461" w14:paraId="2BD81CC2" w14:textId="77777777">
            <w:pPr>
              <w:pStyle w:val="Standard"/>
              <w:spacing w:line="240" w:lineRule="auto"/>
              <w:ind w:firstLine="0"/>
              <w:rPr>
                <w:szCs w:val="26"/>
              </w:rPr>
            </w:pPr>
            <w:r w:rsidRPr="00454D1A">
              <w:rPr>
                <w:szCs w:val="26"/>
              </w:rPr>
              <w:t>2021</w:t>
            </w:r>
            <w:r w:rsidRPr="00454D1A">
              <w:rPr>
                <w:rStyle w:val="FootnoteReference"/>
                <w:szCs w:val="26"/>
              </w:rPr>
              <w:footnoteReference w:id="168"/>
            </w:r>
          </w:p>
        </w:tc>
        <w:tc>
          <w:tcPr>
            <w:tcW w:w="1980" w:type="dxa"/>
          </w:tcPr>
          <w:p w:rsidRPr="00454D1A" w:rsidR="00A27461" w:rsidP="008D268A" w:rsidRDefault="00A27461" w14:paraId="1CD40D3B" w14:textId="77777777">
            <w:pPr>
              <w:pStyle w:val="Standard"/>
              <w:spacing w:line="240" w:lineRule="auto"/>
              <w:ind w:firstLine="0"/>
              <w:jc w:val="right"/>
              <w:rPr>
                <w:szCs w:val="26"/>
              </w:rPr>
            </w:pPr>
            <w:r w:rsidRPr="00454D1A">
              <w:rPr>
                <w:rFonts w:cs="TimesNewRoman"/>
                <w:szCs w:val="21"/>
              </w:rPr>
              <w:t>$551,751,564</w:t>
            </w:r>
          </w:p>
        </w:tc>
        <w:tc>
          <w:tcPr>
            <w:tcW w:w="2340" w:type="dxa"/>
          </w:tcPr>
          <w:p w:rsidRPr="00454D1A" w:rsidR="00A27461" w:rsidP="008D268A" w:rsidRDefault="00A27461" w14:paraId="0E0C403E" w14:textId="77777777">
            <w:pPr>
              <w:pStyle w:val="Standard"/>
              <w:spacing w:line="240" w:lineRule="auto"/>
              <w:ind w:firstLine="0"/>
              <w:jc w:val="right"/>
              <w:rPr>
                <w:szCs w:val="26"/>
              </w:rPr>
            </w:pPr>
            <w:r w:rsidRPr="00454D1A">
              <w:rPr>
                <w:rFonts w:cs="TimesNewRoman"/>
                <w:szCs w:val="21"/>
              </w:rPr>
              <w:t>$49,498,366</w:t>
            </w:r>
          </w:p>
        </w:tc>
        <w:tc>
          <w:tcPr>
            <w:tcW w:w="2160" w:type="dxa"/>
          </w:tcPr>
          <w:p w:rsidRPr="00454D1A" w:rsidR="00A27461" w:rsidP="008D268A" w:rsidRDefault="00A27461" w14:paraId="070939A8" w14:textId="77777777">
            <w:pPr>
              <w:pStyle w:val="Standard"/>
              <w:spacing w:line="240" w:lineRule="auto"/>
              <w:ind w:firstLine="0"/>
              <w:jc w:val="right"/>
              <w:rPr>
                <w:szCs w:val="26"/>
              </w:rPr>
            </w:pPr>
            <w:r w:rsidRPr="00454D1A">
              <w:rPr>
                <w:rFonts w:cs="TimesNewRoman"/>
                <w:szCs w:val="21"/>
              </w:rPr>
              <w:t>$63,966,285</w:t>
            </w:r>
          </w:p>
        </w:tc>
        <w:tc>
          <w:tcPr>
            <w:tcW w:w="1715" w:type="dxa"/>
          </w:tcPr>
          <w:p w:rsidRPr="00454D1A" w:rsidR="00A27461" w:rsidP="008D268A" w:rsidRDefault="00A27461" w14:paraId="07F59F2D" w14:textId="77777777">
            <w:pPr>
              <w:pStyle w:val="Standard"/>
              <w:spacing w:line="240" w:lineRule="auto"/>
              <w:ind w:firstLine="0"/>
              <w:jc w:val="right"/>
              <w:rPr>
                <w:szCs w:val="26"/>
              </w:rPr>
            </w:pPr>
            <w:r>
              <w:rPr>
                <w:rFonts w:ascii="TimesNewRoman" w:hAnsi="TimesNewRoman" w:cs="TimesNewRoman"/>
                <w:sz w:val="21"/>
                <w:szCs w:val="21"/>
              </w:rPr>
              <w:noBreakHyphen/>
              <w:t>$</w:t>
            </w:r>
            <w:r w:rsidRPr="00454D1A">
              <w:rPr>
                <w:rFonts w:cs="TimesNewRoman"/>
                <w:szCs w:val="21"/>
              </w:rPr>
              <w:t>14,467,919</w:t>
            </w:r>
            <w:r w:rsidRPr="00454D1A" w:rsidDel="001A3CDC">
              <w:rPr>
                <w:szCs w:val="26"/>
              </w:rPr>
              <w:t xml:space="preserve"> </w:t>
            </w:r>
          </w:p>
        </w:tc>
      </w:tr>
      <w:tr w:rsidRPr="00454D1A" w:rsidR="00A27461" w:rsidTr="00F726C0" w14:paraId="3D6060E4" w14:textId="77777777">
        <w:trPr>
          <w:cantSplit/>
          <w:jc w:val="center"/>
        </w:trPr>
        <w:tc>
          <w:tcPr>
            <w:tcW w:w="1165" w:type="dxa"/>
          </w:tcPr>
          <w:p w:rsidRPr="00454D1A" w:rsidR="00A27461" w:rsidP="008D268A" w:rsidRDefault="00A27461" w14:paraId="0C8145D8" w14:textId="77777777">
            <w:pPr>
              <w:pStyle w:val="Standard"/>
              <w:keepNext/>
              <w:spacing w:line="240" w:lineRule="auto"/>
              <w:ind w:firstLine="0"/>
              <w:rPr>
                <w:szCs w:val="26"/>
              </w:rPr>
            </w:pPr>
            <w:r w:rsidRPr="00454D1A">
              <w:rPr>
                <w:szCs w:val="26"/>
              </w:rPr>
              <w:t>2022</w:t>
            </w:r>
          </w:p>
        </w:tc>
        <w:tc>
          <w:tcPr>
            <w:tcW w:w="1980" w:type="dxa"/>
          </w:tcPr>
          <w:p w:rsidRPr="00454D1A" w:rsidR="00A27461" w:rsidP="008D268A" w:rsidRDefault="00A27461" w14:paraId="56612172" w14:textId="6850EFC3">
            <w:pPr>
              <w:pStyle w:val="Standard"/>
              <w:keepNext/>
              <w:spacing w:line="240" w:lineRule="auto"/>
              <w:ind w:firstLine="0"/>
              <w:jc w:val="right"/>
              <w:rPr>
                <w:rFonts w:cs="TimesNewRoman"/>
                <w:szCs w:val="21"/>
              </w:rPr>
            </w:pPr>
            <w:r w:rsidRPr="00454D1A">
              <w:rPr>
                <w:rFonts w:cs="TimesNewRoman"/>
                <w:szCs w:val="21"/>
              </w:rPr>
              <w:t>$</w:t>
            </w:r>
            <w:r w:rsidR="00392E9B">
              <w:rPr>
                <w:rFonts w:cs="TimesNewRoman"/>
                <w:szCs w:val="21"/>
              </w:rPr>
              <w:t>700,179,282</w:t>
            </w:r>
          </w:p>
        </w:tc>
        <w:tc>
          <w:tcPr>
            <w:tcW w:w="2340" w:type="dxa"/>
          </w:tcPr>
          <w:p w:rsidRPr="00454D1A" w:rsidR="00A27461" w:rsidP="008D268A" w:rsidRDefault="00A27461" w14:paraId="674CF22C" w14:textId="165BBCF9">
            <w:pPr>
              <w:pStyle w:val="Standard"/>
              <w:keepNext/>
              <w:spacing w:line="240" w:lineRule="auto"/>
              <w:ind w:firstLine="0"/>
              <w:jc w:val="right"/>
              <w:rPr>
                <w:rFonts w:cs="TimesNewRoman"/>
                <w:szCs w:val="21"/>
              </w:rPr>
            </w:pPr>
            <w:r w:rsidRPr="00454D1A">
              <w:rPr>
                <w:rFonts w:cs="TimesNewRoman"/>
                <w:szCs w:val="21"/>
              </w:rPr>
              <w:t>$</w:t>
            </w:r>
            <w:r w:rsidR="00392E9B">
              <w:rPr>
                <w:rFonts w:cs="TimesNewRoman"/>
                <w:szCs w:val="21"/>
              </w:rPr>
              <w:t>50,134,994</w:t>
            </w:r>
          </w:p>
        </w:tc>
        <w:tc>
          <w:tcPr>
            <w:tcW w:w="2160" w:type="dxa"/>
          </w:tcPr>
          <w:p w:rsidRPr="00454D1A" w:rsidR="00A27461" w:rsidP="008D268A" w:rsidRDefault="00A27461" w14:paraId="0DF36112" w14:textId="77777777">
            <w:pPr>
              <w:pStyle w:val="Standard"/>
              <w:keepNext/>
              <w:spacing w:line="240" w:lineRule="auto"/>
              <w:ind w:firstLine="0"/>
              <w:jc w:val="right"/>
              <w:rPr>
                <w:rFonts w:cs="TimesNewRoman"/>
                <w:szCs w:val="21"/>
              </w:rPr>
            </w:pPr>
            <w:r w:rsidRPr="00454D1A">
              <w:rPr>
                <w:rFonts w:cs="TimesNewRoman"/>
                <w:szCs w:val="21"/>
              </w:rPr>
              <w:t>$ 73,364,564</w:t>
            </w:r>
          </w:p>
        </w:tc>
        <w:tc>
          <w:tcPr>
            <w:tcW w:w="1715" w:type="dxa"/>
          </w:tcPr>
          <w:p w:rsidRPr="00454D1A" w:rsidR="00A27461" w:rsidP="008D268A" w:rsidRDefault="00A27461" w14:paraId="4CDFB645" w14:textId="02893448">
            <w:pPr>
              <w:pStyle w:val="Standard"/>
              <w:keepNext/>
              <w:spacing w:line="240" w:lineRule="auto"/>
              <w:ind w:firstLine="0"/>
              <w:jc w:val="right"/>
              <w:rPr>
                <w:rFonts w:cs="TimesNewRoman"/>
                <w:szCs w:val="21"/>
              </w:rPr>
            </w:pPr>
            <w:r>
              <w:rPr>
                <w:rFonts w:ascii="TimesNewRoman" w:hAnsi="TimesNewRoman" w:cs="TimesNewRoman"/>
                <w:sz w:val="21"/>
                <w:szCs w:val="21"/>
              </w:rPr>
              <w:noBreakHyphen/>
              <w:t>$</w:t>
            </w:r>
            <w:r w:rsidR="00392E9B">
              <w:rPr>
                <w:rFonts w:cs="TimesNewRoman"/>
                <w:szCs w:val="21"/>
              </w:rPr>
              <w:t>23,229,570</w:t>
            </w:r>
          </w:p>
        </w:tc>
      </w:tr>
      <w:tr w:rsidRPr="00454D1A" w:rsidR="00A27461" w:rsidTr="00F726C0" w14:paraId="3127EF7E" w14:textId="77777777">
        <w:trPr>
          <w:cantSplit/>
          <w:jc w:val="center"/>
        </w:trPr>
        <w:tc>
          <w:tcPr>
            <w:tcW w:w="1165" w:type="dxa"/>
          </w:tcPr>
          <w:p w:rsidRPr="00454D1A" w:rsidR="00A27461" w:rsidP="008D268A" w:rsidRDefault="00A27461" w14:paraId="15E25BFC" w14:textId="77777777">
            <w:pPr>
              <w:pStyle w:val="Standard"/>
              <w:spacing w:line="240" w:lineRule="auto"/>
              <w:ind w:firstLine="0"/>
              <w:rPr>
                <w:b/>
                <w:bCs/>
                <w:szCs w:val="26"/>
              </w:rPr>
            </w:pPr>
            <w:r w:rsidRPr="00454D1A">
              <w:rPr>
                <w:b/>
                <w:bCs/>
                <w:szCs w:val="26"/>
              </w:rPr>
              <w:t>Total</w:t>
            </w:r>
          </w:p>
        </w:tc>
        <w:tc>
          <w:tcPr>
            <w:tcW w:w="1980" w:type="dxa"/>
          </w:tcPr>
          <w:p w:rsidRPr="00454D1A" w:rsidR="00A27461" w:rsidP="008D268A" w:rsidRDefault="00A27461" w14:paraId="27EF93D0" w14:textId="60FEE576">
            <w:pPr>
              <w:pStyle w:val="Standard"/>
              <w:spacing w:line="240" w:lineRule="auto"/>
              <w:ind w:firstLine="0"/>
              <w:jc w:val="right"/>
              <w:rPr>
                <w:b/>
                <w:bCs/>
                <w:szCs w:val="26"/>
              </w:rPr>
            </w:pPr>
            <w:r w:rsidRPr="00454D1A">
              <w:rPr>
                <w:rFonts w:cs="TimesNewRoman,Bold"/>
                <w:b/>
                <w:bCs/>
                <w:szCs w:val="21"/>
              </w:rPr>
              <w:t>$3,</w:t>
            </w:r>
            <w:r w:rsidR="002122BE">
              <w:rPr>
                <w:rFonts w:cs="TimesNewRoman,Bold"/>
                <w:b/>
                <w:bCs/>
                <w:szCs w:val="21"/>
              </w:rPr>
              <w:t>056,364,207</w:t>
            </w:r>
          </w:p>
        </w:tc>
        <w:tc>
          <w:tcPr>
            <w:tcW w:w="2340" w:type="dxa"/>
          </w:tcPr>
          <w:p w:rsidRPr="00454D1A" w:rsidR="00A27461" w:rsidP="008D268A" w:rsidRDefault="00A27461" w14:paraId="2D064E0F" w14:textId="5B11A1BE">
            <w:pPr>
              <w:pStyle w:val="Standard"/>
              <w:spacing w:line="240" w:lineRule="auto"/>
              <w:ind w:firstLine="0"/>
              <w:jc w:val="right"/>
              <w:rPr>
                <w:b/>
                <w:bCs/>
                <w:szCs w:val="26"/>
              </w:rPr>
            </w:pPr>
            <w:r w:rsidRPr="00454D1A">
              <w:rPr>
                <w:rFonts w:cs="TimesNewRoman,Bold"/>
                <w:b/>
                <w:bCs/>
                <w:szCs w:val="21"/>
              </w:rPr>
              <w:t>$</w:t>
            </w:r>
            <w:r w:rsidR="00392E9B">
              <w:rPr>
                <w:rFonts w:cs="TimesNewRoman,Bold"/>
                <w:b/>
                <w:bCs/>
                <w:szCs w:val="21"/>
              </w:rPr>
              <w:t>280,076,697</w:t>
            </w:r>
          </w:p>
        </w:tc>
        <w:tc>
          <w:tcPr>
            <w:tcW w:w="2160" w:type="dxa"/>
          </w:tcPr>
          <w:p w:rsidRPr="00454D1A" w:rsidR="00A27461" w:rsidP="008D268A" w:rsidRDefault="00A27461" w14:paraId="65ED5177" w14:textId="77777777">
            <w:pPr>
              <w:pStyle w:val="Standard"/>
              <w:spacing w:line="240" w:lineRule="auto"/>
              <w:ind w:firstLine="0"/>
              <w:jc w:val="right"/>
              <w:rPr>
                <w:b/>
                <w:bCs/>
                <w:szCs w:val="26"/>
              </w:rPr>
            </w:pPr>
            <w:r w:rsidRPr="00454D1A">
              <w:rPr>
                <w:rFonts w:cs="TimesNewRoman,Bold"/>
                <w:b/>
                <w:bCs/>
                <w:szCs w:val="21"/>
              </w:rPr>
              <w:t>$298,668,914</w:t>
            </w:r>
          </w:p>
        </w:tc>
        <w:tc>
          <w:tcPr>
            <w:tcW w:w="1715" w:type="dxa"/>
          </w:tcPr>
          <w:p w:rsidRPr="00454D1A" w:rsidR="00A27461" w:rsidP="008D268A" w:rsidRDefault="002122BE" w14:paraId="5C5B2F06" w14:textId="44B41145">
            <w:pPr>
              <w:pStyle w:val="Standard"/>
              <w:spacing w:line="240" w:lineRule="auto"/>
              <w:ind w:firstLine="0"/>
              <w:jc w:val="right"/>
              <w:rPr>
                <w:b/>
                <w:bCs/>
                <w:szCs w:val="26"/>
              </w:rPr>
            </w:pPr>
            <w:r>
              <w:rPr>
                <w:rFonts w:cs="TimesNewRoman,Bold"/>
                <w:b/>
                <w:bCs/>
                <w:szCs w:val="21"/>
              </w:rPr>
              <w:t>-</w:t>
            </w:r>
            <w:r w:rsidRPr="00454D1A" w:rsidR="00A27461">
              <w:rPr>
                <w:rFonts w:cs="TimesNewRoman,Bold"/>
                <w:b/>
                <w:bCs/>
                <w:szCs w:val="21"/>
              </w:rPr>
              <w:t>$</w:t>
            </w:r>
            <w:r>
              <w:rPr>
                <w:rFonts w:cs="TimesNewRoman,Bold"/>
                <w:b/>
                <w:bCs/>
                <w:szCs w:val="21"/>
              </w:rPr>
              <w:t>18,592,218</w:t>
            </w:r>
          </w:p>
        </w:tc>
      </w:tr>
    </w:tbl>
    <w:p w:rsidRPr="006A6990" w:rsidR="00A27461" w:rsidP="002122BE" w:rsidRDefault="00A27461" w14:paraId="5F348113" w14:textId="77777777">
      <w:pPr>
        <w:pStyle w:val="Standard"/>
        <w:ind w:firstLine="0"/>
        <w:rPr>
          <w:sz w:val="16"/>
          <w:szCs w:val="16"/>
        </w:rPr>
      </w:pPr>
    </w:p>
    <w:p w:rsidR="00EF7771" w:rsidP="00EF7771" w:rsidRDefault="00EF7771" w14:paraId="3333F895" w14:textId="188E3509">
      <w:pPr>
        <w:pStyle w:val="Heading2"/>
      </w:pPr>
      <w:bookmarkStart w:name="_Toc152331435" w:id="72"/>
      <w:r>
        <w:t>Disadvantaged Community Programs</w:t>
      </w:r>
      <w:bookmarkEnd w:id="72"/>
    </w:p>
    <w:p w:rsidR="000457DF" w:rsidP="00EF7771" w:rsidRDefault="000457DF" w14:paraId="38882E57" w14:textId="3E979C05">
      <w:pPr>
        <w:pStyle w:val="Heading3"/>
      </w:pPr>
      <w:bookmarkStart w:name="_Toc152331436" w:id="73"/>
      <w:r>
        <w:t>SCE’s Disadvantaged Community Programs</w:t>
      </w:r>
      <w:bookmarkEnd w:id="73"/>
    </w:p>
    <w:p w:rsidR="00EF7771" w:rsidP="000457DF" w:rsidRDefault="00EF7771" w14:paraId="56165B93" w14:textId="6DE24C50">
      <w:pPr>
        <w:pStyle w:val="Standard"/>
      </w:pPr>
      <w:r w:rsidRPr="00454D1A">
        <w:t>In D.18</w:t>
      </w:r>
      <w:r>
        <w:noBreakHyphen/>
      </w:r>
      <w:r w:rsidRPr="00454D1A">
        <w:t>06</w:t>
      </w:r>
      <w:r>
        <w:noBreakHyphen/>
      </w:r>
      <w:r w:rsidRPr="00454D1A">
        <w:t xml:space="preserve">027, the Commission created the </w:t>
      </w:r>
      <w:r>
        <w:t>Disadvantaged Communities (DAC) Single Family Solar Homes (SASH</w:t>
      </w:r>
      <w:r w:rsidR="000457DF">
        <w:t>) program and</w:t>
      </w:r>
      <w:r w:rsidRPr="00454D1A">
        <w:t xml:space="preserve"> set an annual $10 million budget. SCE</w:t>
      </w:r>
      <w:r w:rsidR="000457DF">
        <w:t xml:space="preserve">’s proportionate share of that $10 million annual budget is 46 percent, starting in 2019. In its 2024 ERRA Forecast, SCE has allocated </w:t>
      </w:r>
      <w:r w:rsidR="006A6990">
        <w:br/>
      </w:r>
      <w:r w:rsidR="000457DF">
        <w:t>$4.6 million to its DAC-SASH program (46 percent of $10 million).</w:t>
      </w:r>
      <w:r w:rsidR="00AE073A">
        <w:rPr>
          <w:rStyle w:val="FootnoteReference"/>
        </w:rPr>
        <w:footnoteReference w:id="169"/>
      </w:r>
    </w:p>
    <w:p w:rsidR="000457DF" w:rsidP="000457DF" w:rsidRDefault="000457DF" w14:paraId="0F907C0D" w14:textId="3CC31A99">
      <w:pPr>
        <w:pStyle w:val="Standard"/>
      </w:pPr>
      <w:r>
        <w:t xml:space="preserve">On April 3, 2023, SCE submitted Advice Letter 5002-E requesting to spend $8.377 million on its DAC Green Tariff (DAC-GT) and Community Solar Green Tariff </w:t>
      </w:r>
      <w:r w:rsidR="00EE33D2">
        <w:t xml:space="preserve">(CSGT) </w:t>
      </w:r>
      <w:r>
        <w:t xml:space="preserve">Programs. However, because SCE had already set aside </w:t>
      </w:r>
      <w:r w:rsidR="00B16890">
        <w:br/>
      </w:r>
      <w:r>
        <w:lastRenderedPageBreak/>
        <w:t xml:space="preserve">$5.360 million through 2022 for above-market costs, the need through 2023 was only </w:t>
      </w:r>
      <w:r w:rsidR="006A6990">
        <w:br/>
      </w:r>
      <w:r>
        <w:t>$1.108 million. SCE did not request any additional GHG funding for its DAC-GT or CSGT programs, because the projected $709,000 in program costs are expected to be covered through public purpose program (PPP) funds.</w:t>
      </w:r>
      <w:r w:rsidR="00F90D37">
        <w:rPr>
          <w:rStyle w:val="FootnoteReference"/>
        </w:rPr>
        <w:footnoteReference w:id="170"/>
      </w:r>
      <w:r w:rsidR="00AE073A">
        <w:t xml:space="preserve"> Accordingly, SCE’s proposed </w:t>
      </w:r>
      <w:r w:rsidR="00853BDF">
        <w:t>to recover only</w:t>
      </w:r>
      <w:r w:rsidR="00AE073A">
        <w:t xml:space="preserve"> $</w:t>
      </w:r>
      <w:r w:rsidR="007B50F3">
        <w:t>709</w:t>
      </w:r>
      <w:r w:rsidR="00AE073A">
        <w:t xml:space="preserve">,000 </w:t>
      </w:r>
      <w:r w:rsidR="00EE33D2">
        <w:t xml:space="preserve">for its DAC-GT and CSGT </w:t>
      </w:r>
      <w:r w:rsidR="00AE073A">
        <w:t>proposed to be funded through its PPP funds in 2024</w:t>
      </w:r>
      <w:r w:rsidR="00853BDF">
        <w:t xml:space="preserve">, and does not expect to expend any additional GHG </w:t>
      </w:r>
      <w:r w:rsidR="007B50F3">
        <w:t xml:space="preserve">allowance revenues </w:t>
      </w:r>
      <w:r w:rsidR="00853BDF">
        <w:t>in 2024 for this DAC program</w:t>
      </w:r>
      <w:r w:rsidR="00AE073A">
        <w:t>.</w:t>
      </w:r>
      <w:r w:rsidR="00AE073A">
        <w:rPr>
          <w:rStyle w:val="FootnoteReference"/>
        </w:rPr>
        <w:footnoteReference w:id="171"/>
      </w:r>
    </w:p>
    <w:p w:rsidR="000457DF" w:rsidP="006A6990" w:rsidRDefault="000457DF" w14:paraId="648DED83" w14:textId="5578E9E1">
      <w:pPr>
        <w:pStyle w:val="Heading3"/>
      </w:pPr>
      <w:bookmarkStart w:name="_Toc152331437" w:id="74"/>
      <w:r w:rsidRPr="006A6990">
        <w:t>Community</w:t>
      </w:r>
      <w:r>
        <w:t xml:space="preserve"> Choice Aggregator DAC Programs</w:t>
      </w:r>
      <w:bookmarkEnd w:id="74"/>
    </w:p>
    <w:p w:rsidRPr="007E0F6B" w:rsidR="000457DF" w:rsidP="006A6990" w:rsidRDefault="000457DF" w14:paraId="7D0DDFA5" w14:textId="2A2CDE11">
      <w:pPr>
        <w:pStyle w:val="Standard"/>
      </w:pPr>
      <w:r w:rsidRPr="00454D1A">
        <w:t>D.18</w:t>
      </w:r>
      <w:r>
        <w:noBreakHyphen/>
      </w:r>
      <w:r w:rsidRPr="00454D1A">
        <w:t>06</w:t>
      </w:r>
      <w:r>
        <w:noBreakHyphen/>
      </w:r>
      <w:r w:rsidRPr="00454D1A">
        <w:t xml:space="preserve">027, as clarified by </w:t>
      </w:r>
      <w:r w:rsidRPr="000A60E2">
        <w:t xml:space="preserve">Resolution </w:t>
      </w:r>
      <w:r w:rsidRPr="00454D1A">
        <w:t>E</w:t>
      </w:r>
      <w:r>
        <w:noBreakHyphen/>
      </w:r>
      <w:r w:rsidRPr="00454D1A">
        <w:t>4999, authorized CCAs to access these same program funding sources to run their own DAC</w:t>
      </w:r>
      <w:r>
        <w:noBreakHyphen/>
      </w:r>
      <w:r w:rsidRPr="00454D1A">
        <w:t>GT and CSGT programs. C</w:t>
      </w:r>
      <w:r w:rsidR="001C2782">
        <w:t>lean Power Alliance of Southern California (CPA)</w:t>
      </w:r>
      <w:r w:rsidRPr="00454D1A">
        <w:t xml:space="preserve"> and the Joint CCAs (which includes </w:t>
      </w:r>
      <w:proofErr w:type="spellStart"/>
      <w:r w:rsidRPr="00454D1A">
        <w:t>CalChoice</w:t>
      </w:r>
      <w:proofErr w:type="spellEnd"/>
      <w:r w:rsidRPr="00454D1A">
        <w:t>, Pico Rivera Innovative Municipal Energy, and San</w:t>
      </w:r>
      <w:r>
        <w:t> </w:t>
      </w:r>
      <w:r w:rsidRPr="00454D1A">
        <w:t>Jacinto Power) have received approval to run their own DAC</w:t>
      </w:r>
      <w:r>
        <w:noBreakHyphen/>
      </w:r>
      <w:r w:rsidRPr="00454D1A">
        <w:t>GT and CSGT programs.</w:t>
      </w:r>
      <w:r w:rsidR="00110BD9">
        <w:rPr>
          <w:rStyle w:val="FootnoteReference"/>
        </w:rPr>
        <w:footnoteReference w:id="172"/>
      </w:r>
      <w:r w:rsidRPr="00454D1A">
        <w:t xml:space="preserve"> </w:t>
      </w:r>
    </w:p>
    <w:p w:rsidR="000457DF" w:rsidP="006A6990" w:rsidRDefault="000457DF" w14:paraId="6A389AE0" w14:textId="41266287">
      <w:pPr>
        <w:pStyle w:val="Standard"/>
      </w:pPr>
      <w:r w:rsidRPr="00454D1A">
        <w:t>The volumetric limits on GHG funding also apply to CCA programs</w:t>
      </w:r>
      <w:r>
        <w:t xml:space="preserve">, and SCE noted that only the above-market generation portion of </w:t>
      </w:r>
      <w:r w:rsidR="001C2782">
        <w:t xml:space="preserve">the CCA program funding requests will be funded through GHG allowance revenue. </w:t>
      </w:r>
    </w:p>
    <w:p w:rsidR="001C2782" w:rsidP="000457DF" w:rsidRDefault="00110BD9" w14:paraId="4BF4A49E" w14:textId="7CCA4A6B">
      <w:pPr>
        <w:pStyle w:val="Standard"/>
      </w:pPr>
      <w:r>
        <w:t xml:space="preserve">Through Advice Letter 0021-E-A, </w:t>
      </w:r>
      <w:r w:rsidR="001C2782">
        <w:t>CPA requested a total of $3.569 million for its DAC-GT and CSGT programs in 2024</w:t>
      </w:r>
      <w:r w:rsidR="00A27363">
        <w:t xml:space="preserve">. Combined with CPA’s 2021 corrections of $8,000 and unspent 2022 funding of $1.940 million, CPA’s requested net funding was $1.649 million. Given the limits on GHG funding for </w:t>
      </w:r>
      <w:r w:rsidR="00A27363">
        <w:lastRenderedPageBreak/>
        <w:t>volumetric rebates, however, only the above-market generation portion of $26,</w:t>
      </w:r>
      <w:r w:rsidR="00B02317">
        <w:t>769</w:t>
      </w:r>
      <w:r w:rsidR="00A27363">
        <w:t xml:space="preserve"> will be funded through SCE’s GHG allowance revenue. The remaining $1.630 million will be recovered through PPP funds. </w:t>
      </w:r>
      <w:r w:rsidR="001C2782">
        <w:t>.</w:t>
      </w:r>
      <w:r w:rsidR="00F90D37">
        <w:rPr>
          <w:rStyle w:val="FootnoteReference"/>
        </w:rPr>
        <w:footnoteReference w:id="173"/>
      </w:r>
    </w:p>
    <w:p w:rsidR="00110BD9" w:rsidP="006A6990" w:rsidRDefault="00110BD9" w14:paraId="77D65608" w14:textId="0F8693EF">
      <w:pPr>
        <w:pStyle w:val="Standard"/>
      </w:pPr>
      <w:r w:rsidRPr="006A6990">
        <w:t>The</w:t>
      </w:r>
      <w:r>
        <w:t xml:space="preserve"> Joint CCAs filed </w:t>
      </w:r>
      <w:r w:rsidR="006A0C47">
        <w:t>an</w:t>
      </w:r>
      <w:r>
        <w:t xml:space="preserve"> advice letter on April 3, 2023</w:t>
      </w:r>
      <w:r w:rsidR="00681924">
        <w:t>,</w:t>
      </w:r>
      <w:r>
        <w:t xml:space="preserve"> seeking 2024 GHG funding for their DAC-GT and CSGT programs of $</w:t>
      </w:r>
      <w:r w:rsidR="002968D8">
        <w:t>370,000. Similar to CPA, the Joint CCAs had a 2022 budget carryover of $147,000, which resulted in a net funding request of $229,000</w:t>
      </w:r>
      <w:r>
        <w:t>.</w:t>
      </w:r>
      <w:r w:rsidR="002968D8">
        <w:rPr>
          <w:rStyle w:val="FootnoteReference"/>
        </w:rPr>
        <w:footnoteReference w:id="174"/>
      </w:r>
      <w:r w:rsidR="002968D8">
        <w:t xml:space="preserve"> The </w:t>
      </w:r>
      <w:proofErr w:type="gramStart"/>
      <w:r w:rsidR="002968D8">
        <w:t>generation-related</w:t>
      </w:r>
      <w:proofErr w:type="gramEnd"/>
      <w:r w:rsidR="002968D8">
        <w:t xml:space="preserve"> GHG funding portion was $25,0</w:t>
      </w:r>
      <w:r w:rsidR="00B02317">
        <w:t>29</w:t>
      </w:r>
      <w:r w:rsidR="002968D8">
        <w:t>, and the remaining $204,000 was proposed to be recovered through PPP rates</w:t>
      </w:r>
      <w:r>
        <w:t>.</w:t>
      </w:r>
      <w:r>
        <w:rPr>
          <w:rStyle w:val="FootnoteReference"/>
        </w:rPr>
        <w:footnoteReference w:id="175"/>
      </w:r>
    </w:p>
    <w:p w:rsidR="004E31C3" w:rsidP="006A6990" w:rsidRDefault="00272664" w14:paraId="64358410" w14:textId="3EF8D521">
      <w:pPr>
        <w:pStyle w:val="Standard"/>
      </w:pPr>
      <w:r w:rsidRPr="00454D1A">
        <w:t xml:space="preserve">No parties commented on SCE’s set aside for </w:t>
      </w:r>
      <w:r w:rsidR="002968D8">
        <w:t>its own or the CCA’s</w:t>
      </w:r>
      <w:r w:rsidRPr="00454D1A" w:rsidR="002968D8">
        <w:t xml:space="preserve"> </w:t>
      </w:r>
      <w:r w:rsidRPr="00454D1A">
        <w:t xml:space="preserve">DAC programs. Upon consideration, the Commission finds SCE’s </w:t>
      </w:r>
      <w:r w:rsidR="00681924">
        <w:t xml:space="preserve">2024 forecast </w:t>
      </w:r>
      <w:r w:rsidRPr="00454D1A">
        <w:t>for DAC</w:t>
      </w:r>
      <w:r>
        <w:noBreakHyphen/>
      </w:r>
      <w:r w:rsidRPr="00454D1A">
        <w:t>SASH, DAC</w:t>
      </w:r>
      <w:r>
        <w:noBreakHyphen/>
      </w:r>
      <w:r w:rsidRPr="00454D1A">
        <w:t xml:space="preserve">GT and CSGT </w:t>
      </w:r>
      <w:proofErr w:type="gramStart"/>
      <w:r w:rsidR="00681924">
        <w:t>set-asides</w:t>
      </w:r>
      <w:proofErr w:type="gramEnd"/>
      <w:r w:rsidR="00681924">
        <w:t xml:space="preserve"> to be </w:t>
      </w:r>
      <w:r w:rsidRPr="00454D1A">
        <w:t xml:space="preserve">reasonable and in compliance with all rules, law and Commission orders. </w:t>
      </w:r>
    </w:p>
    <w:p w:rsidR="00842A39" w:rsidP="006A6990" w:rsidRDefault="00842A39" w14:paraId="7B0FA3AE" w14:textId="662B6174">
      <w:pPr>
        <w:pStyle w:val="Heading2"/>
      </w:pPr>
      <w:bookmarkStart w:name="_Toc152331438" w:id="75"/>
      <w:r>
        <w:t xml:space="preserve">Clean </w:t>
      </w:r>
      <w:r w:rsidRPr="006A6990">
        <w:t>Energy</w:t>
      </w:r>
      <w:r>
        <w:t xml:space="preserve"> Optimization Pilot</w:t>
      </w:r>
      <w:bookmarkEnd w:id="75"/>
    </w:p>
    <w:p w:rsidR="00842A39" w:rsidP="006A6990" w:rsidRDefault="00324C9D" w14:paraId="12734624" w14:textId="76235CA4">
      <w:pPr>
        <w:pStyle w:val="Standard"/>
      </w:pPr>
      <w:r>
        <w:t xml:space="preserve">In D.19-04-010, the Commission approved a $20.4 million Clean Energy Optimization Pilot (CEOP) designed to provide a pay-for-performance pilot project at University of California (UC) and California State University (CSU) schools, starting in 2019. D.20-01-002 authorized SCE to spend $10 million for the CEOP. Due to the COVID-19 pandemic, UC and CSU schools transitioned to remote learning, drastically affecting on-campus energy use. As a result, a Petition to Modify (PFM) D.19-04-014 was filed in August 2020. D.20-12-035 </w:t>
      </w:r>
      <w:r>
        <w:lastRenderedPageBreak/>
        <w:t>approved a settlement agreement that modified the CEOP and authorized it to continue.</w:t>
      </w:r>
      <w:r>
        <w:rPr>
          <w:rStyle w:val="FootnoteReference"/>
        </w:rPr>
        <w:footnoteReference w:id="176"/>
      </w:r>
      <w:r>
        <w:t xml:space="preserve"> </w:t>
      </w:r>
    </w:p>
    <w:p w:rsidR="00324C9D" w:rsidP="006A6990" w:rsidRDefault="00324C9D" w14:paraId="0595C7A3" w14:textId="508771C2">
      <w:pPr>
        <w:pStyle w:val="Standard"/>
      </w:pPr>
      <w:r>
        <w:t>D.22-01-003 separately authorized an additional $10 million to fund CE</w:t>
      </w:r>
      <w:r w:rsidR="005A3DDD">
        <w:t>O</w:t>
      </w:r>
      <w:r>
        <w:t xml:space="preserve">P. Because SCE already requested and </w:t>
      </w:r>
      <w:r w:rsidR="007B50F3">
        <w:t xml:space="preserve">attained approval for </w:t>
      </w:r>
      <w:r>
        <w:t>funding totaling $20.4 million for the project, it forecasted that, as of 2023, its CEOP program is fully funded and did not request any further funding</w:t>
      </w:r>
      <w:r w:rsidR="00F61AE4">
        <w:t xml:space="preserve"> in the instant applicatio</w:t>
      </w:r>
      <w:r w:rsidR="00EF1884">
        <w:t>n</w:t>
      </w:r>
      <w:r>
        <w:t>.</w:t>
      </w:r>
      <w:r>
        <w:rPr>
          <w:rStyle w:val="FootnoteReference"/>
        </w:rPr>
        <w:footnoteReference w:id="177"/>
      </w:r>
      <w:r w:rsidR="00D4382C">
        <w:t xml:space="preserve"> </w:t>
      </w:r>
    </w:p>
    <w:p w:rsidR="00D4382C" w:rsidP="006A6990" w:rsidRDefault="00D4382C" w14:paraId="1B5917A5" w14:textId="56FBA2A1">
      <w:pPr>
        <w:pStyle w:val="Standard"/>
      </w:pPr>
      <w:r>
        <w:t xml:space="preserve">No parties commented on SCE’s CEOP funding in this proceeding. Upon review, SCE’s request is </w:t>
      </w:r>
      <w:r w:rsidRPr="00454D1A">
        <w:t>consistent with all rules, law and Commission orders</w:t>
      </w:r>
      <w:r>
        <w:t xml:space="preserve">, and no additional funding for the CEOP program is granted in this </w:t>
      </w:r>
      <w:r w:rsidR="00A14797">
        <w:t>Decision</w:t>
      </w:r>
      <w:r>
        <w:t>.</w:t>
      </w:r>
    </w:p>
    <w:p w:rsidR="007E52F0" w:rsidP="006A6990" w:rsidRDefault="007E52F0" w14:paraId="5018CC2B" w14:textId="17831360">
      <w:pPr>
        <w:pStyle w:val="Heading2"/>
      </w:pPr>
      <w:bookmarkStart w:name="_Toc152331439" w:id="76"/>
      <w:r w:rsidRPr="006A6990">
        <w:t>Emissions</w:t>
      </w:r>
      <w:r>
        <w:t>-Intensive and Trade-Exposed Customer Return</w:t>
      </w:r>
      <w:bookmarkEnd w:id="76"/>
    </w:p>
    <w:p w:rsidR="00F9226B" w:rsidP="006A6990" w:rsidRDefault="007E52F0" w14:paraId="37DD10D2" w14:textId="7E170FA5">
      <w:pPr>
        <w:pStyle w:val="Standard"/>
      </w:pPr>
      <w:r w:rsidRPr="006A6990">
        <w:t>Customers</w:t>
      </w:r>
      <w:r>
        <w:t xml:space="preserve"> operating emissions-intensive and trade-exposed (EITE) businesses are eligible to receive industry assistance in the form of a bill credit once annually, in April. </w:t>
      </w:r>
      <w:r w:rsidR="002122BE">
        <w:t>SCE</w:t>
      </w:r>
      <w:r w:rsidR="00F61AE4">
        <w:t xml:space="preserve"> </w:t>
      </w:r>
      <w:r w:rsidR="00931C9E">
        <w:t xml:space="preserve">forecasted its 2024 EITE customer return costs to be $58.834 million. </w:t>
      </w:r>
      <w:r w:rsidR="00503048">
        <w:t xml:space="preserve">No party commented on SCE’s forecasted EITE costs for 2024, and upon review, the Commission finds them </w:t>
      </w:r>
      <w:r w:rsidRPr="00454D1A" w:rsidR="00503048">
        <w:t>consistent with all rules, law</w:t>
      </w:r>
      <w:r w:rsidR="00F61AE4">
        <w:t>s,</w:t>
      </w:r>
      <w:r w:rsidRPr="00454D1A" w:rsidR="00503048">
        <w:t xml:space="preserve"> and</w:t>
      </w:r>
      <w:r w:rsidR="00503048">
        <w:t xml:space="preserve"> prior</w:t>
      </w:r>
      <w:r w:rsidRPr="00454D1A" w:rsidR="00503048">
        <w:t xml:space="preserve"> Commission orders</w:t>
      </w:r>
      <w:r w:rsidR="00503048">
        <w:t>.</w:t>
      </w:r>
      <w:r w:rsidR="00EB7C2B">
        <w:t xml:space="preserve"> SCE is authorized to return the </w:t>
      </w:r>
      <w:r w:rsidRPr="00EE33D2" w:rsidR="00EE33D2">
        <w:t>$58.834</w:t>
      </w:r>
      <w:r w:rsidR="00EB7C2B">
        <w:t xml:space="preserve"> </w:t>
      </w:r>
      <w:r w:rsidR="00EE33D2">
        <w:t xml:space="preserve">million allocated to </w:t>
      </w:r>
      <w:r w:rsidR="00EB7C2B">
        <w:t>industry assistance funds to eligible EITE customers in 2024, as proposed in its testimony, workpapers, and October Update documents.</w:t>
      </w:r>
    </w:p>
    <w:p w:rsidR="00356F37" w:rsidP="006A6990" w:rsidRDefault="00356F37" w14:paraId="0CCE0E33" w14:textId="7E834992">
      <w:pPr>
        <w:pStyle w:val="Heading1"/>
      </w:pPr>
      <w:bookmarkStart w:name="_Toc8123721" w:id="77"/>
      <w:bookmarkStart w:name="_Toc152331440" w:id="78"/>
      <w:bookmarkEnd w:id="10"/>
      <w:r>
        <w:t>Cost Responsibility Surcharge</w:t>
      </w:r>
      <w:bookmarkEnd w:id="78"/>
    </w:p>
    <w:p w:rsidR="00356F37" w:rsidP="00356F37" w:rsidRDefault="00356F37" w14:paraId="2D40F5F6" w14:textId="4FC1D51D">
      <w:pPr>
        <w:pStyle w:val="Heading2"/>
      </w:pPr>
      <w:bookmarkStart w:name="_Toc152331441" w:id="79"/>
      <w:r>
        <w:t>2024 Cost Responsibility Surcharges</w:t>
      </w:r>
      <w:bookmarkEnd w:id="79"/>
    </w:p>
    <w:p w:rsidR="00356F37" w:rsidP="00356F37" w:rsidRDefault="00356F37" w14:paraId="48A3271C" w14:textId="52AFBEA9">
      <w:pPr>
        <w:pStyle w:val="Standard"/>
      </w:pPr>
      <w:r>
        <w:t xml:space="preserve">SCE described the methodology and updated inputs used to determine the 2024 Indifference Amount, which goes into bundled service customers’ </w:t>
      </w:r>
      <w:r>
        <w:lastRenderedPageBreak/>
        <w:t>generation rates and recovered from departing load customers through the CTC and PCIA rates as discussed in Section 6.4 above.</w:t>
      </w:r>
      <w:r w:rsidR="00BD6C34">
        <w:rPr>
          <w:rStyle w:val="FootnoteReference"/>
        </w:rPr>
        <w:footnoteReference w:id="178"/>
      </w:r>
    </w:p>
    <w:p w:rsidR="00A85570" w:rsidP="00356F37" w:rsidRDefault="00FA3F67" w14:paraId="6AAFA516" w14:textId="7E173BF9">
      <w:pPr>
        <w:pStyle w:val="Standard"/>
      </w:pPr>
      <w:r>
        <w:t xml:space="preserve">In its October Update, SCE noted that its forecasted 2024 Indifference Amount decreased primarily </w:t>
      </w:r>
      <w:proofErr w:type="gramStart"/>
      <w:r>
        <w:t>as a result of</w:t>
      </w:r>
      <w:proofErr w:type="gramEnd"/>
      <w:r>
        <w:t xml:space="preserve"> applying the updated MPBs provided on October 2, 2023, by the Commission’s Energy Division.</w:t>
      </w:r>
      <w:r>
        <w:rPr>
          <w:rStyle w:val="FootnoteReference"/>
        </w:rPr>
        <w:footnoteReference w:id="179"/>
      </w:r>
      <w:r w:rsidR="00E03DD0">
        <w:t xml:space="preserve"> </w:t>
      </w:r>
    </w:p>
    <w:p w:rsidR="00A85570" w:rsidP="000E2A76" w:rsidRDefault="00A85570" w14:paraId="5238233F" w14:textId="2540B07F">
      <w:pPr>
        <w:pStyle w:val="TableTitleBodyH095"/>
      </w:pPr>
      <w:r>
        <w:t>Table 9-1. Comparison of Forecast PCIA Market Price Benchmarks</w:t>
      </w:r>
      <w:r>
        <w:rPr>
          <w:rStyle w:val="FootnoteReference"/>
        </w:rPr>
        <w:footnoteReference w:id="180"/>
      </w:r>
    </w:p>
    <w:tbl>
      <w:tblPr>
        <w:tblStyle w:val="TableGrid"/>
        <w:tblW w:w="10705" w:type="dxa"/>
        <w:jc w:val="center"/>
        <w:tblLook w:val="04A0" w:firstRow="1" w:lastRow="0" w:firstColumn="1" w:lastColumn="0" w:noHBand="0" w:noVBand="1"/>
      </w:tblPr>
      <w:tblGrid>
        <w:gridCol w:w="1975"/>
        <w:gridCol w:w="3150"/>
        <w:gridCol w:w="3420"/>
        <w:gridCol w:w="2160"/>
      </w:tblGrid>
      <w:tr w:rsidR="00BF3F17" w:rsidTr="00334B61" w14:paraId="38E0C516" w14:textId="77777777">
        <w:trPr>
          <w:jc w:val="center"/>
        </w:trPr>
        <w:tc>
          <w:tcPr>
            <w:tcW w:w="1975" w:type="dxa"/>
          </w:tcPr>
          <w:p w:rsidRPr="00A11B2F" w:rsidR="00BF3F17" w:rsidP="00356F37" w:rsidRDefault="00BF3F17" w14:paraId="6FFA6D89" w14:textId="6D09AD0B">
            <w:pPr>
              <w:pStyle w:val="Standard"/>
              <w:ind w:firstLine="0"/>
              <w:rPr>
                <w:b/>
                <w:bCs/>
              </w:rPr>
            </w:pPr>
            <w:r w:rsidRPr="00A11B2F">
              <w:rPr>
                <w:b/>
                <w:bCs/>
              </w:rPr>
              <w:t>MPB</w:t>
            </w:r>
          </w:p>
        </w:tc>
        <w:tc>
          <w:tcPr>
            <w:tcW w:w="3150" w:type="dxa"/>
          </w:tcPr>
          <w:p w:rsidRPr="00A11B2F" w:rsidR="00BF3F17" w:rsidP="00356F37" w:rsidRDefault="00BF3F17" w14:paraId="75491C2C" w14:textId="76D5F62A">
            <w:pPr>
              <w:pStyle w:val="Standard"/>
              <w:ind w:firstLine="0"/>
              <w:rPr>
                <w:b/>
                <w:bCs/>
              </w:rPr>
            </w:pPr>
            <w:r w:rsidRPr="00A11B2F">
              <w:rPr>
                <w:b/>
                <w:bCs/>
              </w:rPr>
              <w:t>2024 ERRA Forecast (June Submittal)</w:t>
            </w:r>
          </w:p>
        </w:tc>
        <w:tc>
          <w:tcPr>
            <w:tcW w:w="3420" w:type="dxa"/>
          </w:tcPr>
          <w:p w:rsidRPr="00A11B2F" w:rsidR="00BF3F17" w:rsidP="00356F37" w:rsidRDefault="00BF3F17" w14:paraId="10CACA7C" w14:textId="53154FCA">
            <w:pPr>
              <w:pStyle w:val="Standard"/>
              <w:ind w:firstLine="0"/>
              <w:rPr>
                <w:b/>
                <w:bCs/>
              </w:rPr>
            </w:pPr>
            <w:r w:rsidRPr="00A11B2F">
              <w:rPr>
                <w:b/>
                <w:bCs/>
              </w:rPr>
              <w:t>2024 ERRA Forecast (October Update)</w:t>
            </w:r>
          </w:p>
        </w:tc>
        <w:tc>
          <w:tcPr>
            <w:tcW w:w="2160" w:type="dxa"/>
          </w:tcPr>
          <w:p w:rsidRPr="00A11B2F" w:rsidR="00BF3F17" w:rsidP="00356F37" w:rsidRDefault="00BF3F17" w14:paraId="0A494B77" w14:textId="5E1FF9A4">
            <w:pPr>
              <w:pStyle w:val="Standard"/>
              <w:ind w:firstLine="0"/>
              <w:rPr>
                <w:b/>
                <w:bCs/>
              </w:rPr>
            </w:pPr>
            <w:r w:rsidRPr="00A11B2F">
              <w:rPr>
                <w:b/>
                <w:bCs/>
              </w:rPr>
              <w:t>Percent Change</w:t>
            </w:r>
          </w:p>
        </w:tc>
      </w:tr>
      <w:tr w:rsidR="00BF3F17" w:rsidTr="00334B61" w14:paraId="765CC5F1" w14:textId="77777777">
        <w:trPr>
          <w:jc w:val="center"/>
        </w:trPr>
        <w:tc>
          <w:tcPr>
            <w:tcW w:w="1975" w:type="dxa"/>
          </w:tcPr>
          <w:p w:rsidR="00BF3F17" w:rsidP="00356F37" w:rsidRDefault="00BF3F17" w14:paraId="21F5A0F4" w14:textId="0450EFAA">
            <w:pPr>
              <w:pStyle w:val="Standard"/>
              <w:ind w:firstLine="0"/>
            </w:pPr>
            <w:r>
              <w:t>Energy Index</w:t>
            </w:r>
          </w:p>
        </w:tc>
        <w:tc>
          <w:tcPr>
            <w:tcW w:w="3150" w:type="dxa"/>
          </w:tcPr>
          <w:p w:rsidR="00BF3F17" w:rsidP="00356F37" w:rsidRDefault="00252561" w14:paraId="672C80D0" w14:textId="762E2DA4">
            <w:pPr>
              <w:pStyle w:val="Standard"/>
              <w:ind w:firstLine="0"/>
            </w:pPr>
            <w:r>
              <w:t>$71.87/MWh</w:t>
            </w:r>
          </w:p>
        </w:tc>
        <w:tc>
          <w:tcPr>
            <w:tcW w:w="3420" w:type="dxa"/>
          </w:tcPr>
          <w:p w:rsidR="00BF3F17" w:rsidP="00356F37" w:rsidRDefault="00252561" w14:paraId="3156930A" w14:textId="705F9D07">
            <w:pPr>
              <w:pStyle w:val="Standard"/>
              <w:ind w:firstLine="0"/>
            </w:pPr>
            <w:r>
              <w:t>$61.50/MWh</w:t>
            </w:r>
          </w:p>
        </w:tc>
        <w:tc>
          <w:tcPr>
            <w:tcW w:w="2160" w:type="dxa"/>
          </w:tcPr>
          <w:p w:rsidR="00BF3F17" w:rsidP="00356F37" w:rsidRDefault="00252561" w14:paraId="053C5385" w14:textId="36803D92">
            <w:pPr>
              <w:pStyle w:val="Standard"/>
              <w:ind w:firstLine="0"/>
            </w:pPr>
            <w:r>
              <w:t>-14.43%</w:t>
            </w:r>
          </w:p>
        </w:tc>
      </w:tr>
      <w:tr w:rsidR="00BF3F17" w:rsidTr="00334B61" w14:paraId="75AF9FFA" w14:textId="77777777">
        <w:trPr>
          <w:jc w:val="center"/>
        </w:trPr>
        <w:tc>
          <w:tcPr>
            <w:tcW w:w="1975" w:type="dxa"/>
          </w:tcPr>
          <w:p w:rsidR="00BF3F17" w:rsidP="00356F37" w:rsidRDefault="00BF3F17" w14:paraId="6022AA55" w14:textId="4305466F">
            <w:pPr>
              <w:pStyle w:val="Standard"/>
              <w:ind w:firstLine="0"/>
            </w:pPr>
            <w:r>
              <w:t>RPS Adder</w:t>
            </w:r>
          </w:p>
        </w:tc>
        <w:tc>
          <w:tcPr>
            <w:tcW w:w="3150" w:type="dxa"/>
          </w:tcPr>
          <w:p w:rsidR="00BF3F17" w:rsidP="00356F37" w:rsidRDefault="00252561" w14:paraId="2CED5B6B" w14:textId="31970690">
            <w:pPr>
              <w:pStyle w:val="Standard"/>
              <w:ind w:firstLine="0"/>
            </w:pPr>
            <w:r>
              <w:t>$12.63/MWh</w:t>
            </w:r>
          </w:p>
        </w:tc>
        <w:tc>
          <w:tcPr>
            <w:tcW w:w="3420" w:type="dxa"/>
          </w:tcPr>
          <w:p w:rsidR="00BF3F17" w:rsidP="00356F37" w:rsidRDefault="00252561" w14:paraId="28D8D7DD" w14:textId="4186DAB7">
            <w:pPr>
              <w:pStyle w:val="Standard"/>
              <w:ind w:firstLine="0"/>
            </w:pPr>
            <w:r>
              <w:t>$31.73/MWh</w:t>
            </w:r>
          </w:p>
        </w:tc>
        <w:tc>
          <w:tcPr>
            <w:tcW w:w="2160" w:type="dxa"/>
          </w:tcPr>
          <w:p w:rsidR="00BF3F17" w:rsidP="00356F37" w:rsidRDefault="00252561" w14:paraId="6E6A0E33" w14:textId="24CB935E">
            <w:pPr>
              <w:pStyle w:val="Standard"/>
              <w:ind w:firstLine="0"/>
            </w:pPr>
            <w:r>
              <w:t>151.23%</w:t>
            </w:r>
          </w:p>
        </w:tc>
      </w:tr>
      <w:tr w:rsidR="00BF3F17" w:rsidTr="00334B61" w14:paraId="24CEA8C9" w14:textId="77777777">
        <w:trPr>
          <w:jc w:val="center"/>
        </w:trPr>
        <w:tc>
          <w:tcPr>
            <w:tcW w:w="1975" w:type="dxa"/>
          </w:tcPr>
          <w:p w:rsidR="00BF3F17" w:rsidP="00356F37" w:rsidRDefault="00BF3F17" w14:paraId="6D9937EC" w14:textId="71B4EA42">
            <w:pPr>
              <w:pStyle w:val="Standard"/>
              <w:ind w:firstLine="0"/>
            </w:pPr>
            <w:r>
              <w:t>RA System Adder</w:t>
            </w:r>
          </w:p>
        </w:tc>
        <w:tc>
          <w:tcPr>
            <w:tcW w:w="3150" w:type="dxa"/>
          </w:tcPr>
          <w:p w:rsidR="00BF3F17" w:rsidP="00356F37" w:rsidRDefault="00252561" w14:paraId="2A034D8D" w14:textId="0B18BE2F">
            <w:pPr>
              <w:pStyle w:val="Standard"/>
              <w:ind w:firstLine="0"/>
            </w:pPr>
            <w:r>
              <w:t>$88.68/kW-</w:t>
            </w:r>
            <w:proofErr w:type="spellStart"/>
            <w:r>
              <w:t>yr</w:t>
            </w:r>
            <w:proofErr w:type="spellEnd"/>
          </w:p>
        </w:tc>
        <w:tc>
          <w:tcPr>
            <w:tcW w:w="3420" w:type="dxa"/>
          </w:tcPr>
          <w:p w:rsidR="00BF3F17" w:rsidP="00356F37" w:rsidRDefault="00252561" w14:paraId="5BC2D497" w14:textId="017B1869">
            <w:pPr>
              <w:pStyle w:val="Standard"/>
              <w:ind w:firstLine="0"/>
            </w:pPr>
            <w:r>
              <w:t>$182.76/kW-</w:t>
            </w:r>
            <w:proofErr w:type="spellStart"/>
            <w:r>
              <w:t>yr</w:t>
            </w:r>
            <w:proofErr w:type="spellEnd"/>
          </w:p>
        </w:tc>
        <w:tc>
          <w:tcPr>
            <w:tcW w:w="2160" w:type="dxa"/>
          </w:tcPr>
          <w:p w:rsidR="00BF3F17" w:rsidP="00356F37" w:rsidRDefault="00252561" w14:paraId="6FA4EAC0" w14:textId="09B47A45">
            <w:pPr>
              <w:pStyle w:val="Standard"/>
              <w:ind w:firstLine="0"/>
            </w:pPr>
            <w:r>
              <w:t>106.09%</w:t>
            </w:r>
          </w:p>
        </w:tc>
      </w:tr>
      <w:tr w:rsidR="00BF3F17" w:rsidTr="00334B61" w14:paraId="3E398070" w14:textId="77777777">
        <w:trPr>
          <w:jc w:val="center"/>
        </w:trPr>
        <w:tc>
          <w:tcPr>
            <w:tcW w:w="1975" w:type="dxa"/>
          </w:tcPr>
          <w:p w:rsidR="00BF3F17" w:rsidP="00356F37" w:rsidRDefault="00BF3F17" w14:paraId="272DE330" w14:textId="58530826">
            <w:pPr>
              <w:pStyle w:val="Standard"/>
              <w:ind w:firstLine="0"/>
            </w:pPr>
            <w:r>
              <w:t>RA Local Adder</w:t>
            </w:r>
          </w:p>
        </w:tc>
        <w:tc>
          <w:tcPr>
            <w:tcW w:w="3150" w:type="dxa"/>
          </w:tcPr>
          <w:p w:rsidR="00BF3F17" w:rsidP="00356F37" w:rsidRDefault="00252561" w14:paraId="26717CCF" w14:textId="72E25CA2">
            <w:pPr>
              <w:pStyle w:val="Standard"/>
              <w:ind w:firstLine="0"/>
            </w:pPr>
            <w:r>
              <w:t>$80.88/kW-</w:t>
            </w:r>
            <w:proofErr w:type="spellStart"/>
            <w:r>
              <w:t>yr</w:t>
            </w:r>
            <w:proofErr w:type="spellEnd"/>
          </w:p>
        </w:tc>
        <w:tc>
          <w:tcPr>
            <w:tcW w:w="3420" w:type="dxa"/>
          </w:tcPr>
          <w:p w:rsidR="00BF3F17" w:rsidP="00356F37" w:rsidRDefault="00252561" w14:paraId="6ACDD8E7" w14:textId="636AB402">
            <w:pPr>
              <w:pStyle w:val="Standard"/>
              <w:ind w:firstLine="0"/>
            </w:pPr>
            <w:r>
              <w:t>$105.72/kW-</w:t>
            </w:r>
            <w:proofErr w:type="spellStart"/>
            <w:r>
              <w:t>yr</w:t>
            </w:r>
            <w:proofErr w:type="spellEnd"/>
          </w:p>
        </w:tc>
        <w:tc>
          <w:tcPr>
            <w:tcW w:w="2160" w:type="dxa"/>
          </w:tcPr>
          <w:p w:rsidR="00BF3F17" w:rsidP="00356F37" w:rsidRDefault="00252561" w14:paraId="5EECD1CD" w14:textId="6B98E15F">
            <w:pPr>
              <w:pStyle w:val="Standard"/>
              <w:ind w:firstLine="0"/>
            </w:pPr>
            <w:r>
              <w:t>30.71%</w:t>
            </w:r>
          </w:p>
        </w:tc>
      </w:tr>
      <w:tr w:rsidR="00BF3F17" w:rsidTr="00334B61" w14:paraId="10DC70D1" w14:textId="77777777">
        <w:trPr>
          <w:jc w:val="center"/>
        </w:trPr>
        <w:tc>
          <w:tcPr>
            <w:tcW w:w="1975" w:type="dxa"/>
          </w:tcPr>
          <w:p w:rsidR="00BF3F17" w:rsidP="00356F37" w:rsidRDefault="00BF3F17" w14:paraId="3F010FCB" w14:textId="73D3EDE5">
            <w:pPr>
              <w:pStyle w:val="Standard"/>
              <w:ind w:firstLine="0"/>
            </w:pPr>
            <w:r>
              <w:t>RA Flexible Adder</w:t>
            </w:r>
          </w:p>
        </w:tc>
        <w:tc>
          <w:tcPr>
            <w:tcW w:w="3150" w:type="dxa"/>
          </w:tcPr>
          <w:p w:rsidR="00BF3F17" w:rsidP="00356F37" w:rsidRDefault="00252561" w14:paraId="26C7C70C" w14:textId="72D885A8">
            <w:pPr>
              <w:pStyle w:val="Standard"/>
              <w:ind w:firstLine="0"/>
            </w:pPr>
            <w:r>
              <w:t>$85.80/kW-</w:t>
            </w:r>
            <w:proofErr w:type="spellStart"/>
            <w:r>
              <w:t>yr</w:t>
            </w:r>
            <w:proofErr w:type="spellEnd"/>
          </w:p>
        </w:tc>
        <w:tc>
          <w:tcPr>
            <w:tcW w:w="3420" w:type="dxa"/>
          </w:tcPr>
          <w:p w:rsidR="00BF3F17" w:rsidP="00356F37" w:rsidRDefault="00252561" w14:paraId="592BEB34" w14:textId="6773EA75">
            <w:pPr>
              <w:pStyle w:val="Standard"/>
              <w:ind w:firstLine="0"/>
            </w:pPr>
            <w:r>
              <w:t>$109.44/kW-</w:t>
            </w:r>
            <w:proofErr w:type="spellStart"/>
            <w:r>
              <w:t>yr</w:t>
            </w:r>
            <w:proofErr w:type="spellEnd"/>
          </w:p>
        </w:tc>
        <w:tc>
          <w:tcPr>
            <w:tcW w:w="2160" w:type="dxa"/>
          </w:tcPr>
          <w:p w:rsidR="00BF3F17" w:rsidP="00356F37" w:rsidRDefault="00252561" w14:paraId="11A8B961" w14:textId="6766CF96">
            <w:pPr>
              <w:pStyle w:val="Standard"/>
              <w:ind w:firstLine="0"/>
            </w:pPr>
            <w:r>
              <w:t>27.55%</w:t>
            </w:r>
          </w:p>
        </w:tc>
      </w:tr>
    </w:tbl>
    <w:p w:rsidRPr="0075611F" w:rsidR="00A85570" w:rsidP="00356F37" w:rsidRDefault="00A85570" w14:paraId="74A2EDEB" w14:textId="77777777">
      <w:pPr>
        <w:pStyle w:val="Standard"/>
        <w:rPr>
          <w:sz w:val="6"/>
          <w:szCs w:val="6"/>
        </w:rPr>
      </w:pPr>
    </w:p>
    <w:p w:rsidR="00FA3F67" w:rsidP="00B16890" w:rsidRDefault="00A85570" w14:paraId="4221D900" w14:textId="4CAFB1EC">
      <w:pPr>
        <w:pStyle w:val="Standard"/>
      </w:pPr>
      <w:r w:rsidRPr="00B16890">
        <w:t>SCE’s</w:t>
      </w:r>
      <w:r w:rsidR="00E03DD0">
        <w:t xml:space="preserve"> forecasted decrease</w:t>
      </w:r>
      <w:r>
        <w:t xml:space="preserve"> in its Indifference Amount</w:t>
      </w:r>
      <w:r w:rsidR="00E03DD0">
        <w:t xml:space="preserve"> is offset somewhat by an increase in the forecasted </w:t>
      </w:r>
      <w:proofErr w:type="spellStart"/>
      <w:r w:rsidR="00E03DD0">
        <w:t>undercollection</w:t>
      </w:r>
      <w:proofErr w:type="spellEnd"/>
      <w:r w:rsidR="00E03DD0">
        <w:t xml:space="preserve"> in SCE’s ERRA BA at the end of 2023, which is largely due to the application of the 2023 Final RPS and RA Adders</w:t>
      </w:r>
      <w:r>
        <w:t xml:space="preserve">, </w:t>
      </w:r>
      <w:r w:rsidR="00D633A6">
        <w:t xml:space="preserve">as </w:t>
      </w:r>
      <w:r>
        <w:t xml:space="preserve">discussed </w:t>
      </w:r>
      <w:r w:rsidR="00D633A6">
        <w:t xml:space="preserve">further </w:t>
      </w:r>
      <w:r>
        <w:t>in Section 9.2 below</w:t>
      </w:r>
      <w:r w:rsidR="00E03DD0">
        <w:t>.</w:t>
      </w:r>
      <w:r w:rsidR="00E03DD0">
        <w:rPr>
          <w:rStyle w:val="FootnoteReference"/>
        </w:rPr>
        <w:footnoteReference w:id="181"/>
      </w:r>
    </w:p>
    <w:p w:rsidR="00D633A6" w:rsidP="00356F37" w:rsidRDefault="00D633A6" w14:paraId="74461598" w14:textId="263132AF">
      <w:pPr>
        <w:pStyle w:val="Standard"/>
      </w:pPr>
      <w:r>
        <w:lastRenderedPageBreak/>
        <w:t>SCE noted that its updated energy value was about 13 percent lower, due to the updated energy index identified in Table 9-1 and the application of the new weighting methodology adopted in D.23-06-006.</w:t>
      </w:r>
      <w:r>
        <w:rPr>
          <w:rStyle w:val="FootnoteReference"/>
        </w:rPr>
        <w:footnoteReference w:id="182"/>
      </w:r>
      <w:r w:rsidR="00982470">
        <w:t xml:space="preserve"> SCE’s forecasted RA Value increased by approximately 51 percent, and its forecasted RPS value increased by approximately 104 percent, compared to its June testimony. The increase in RA and RPS Values were driven by the increased MPBs identified in Table 9-1.</w:t>
      </w:r>
    </w:p>
    <w:p w:rsidRPr="00356F37" w:rsidR="00982470" w:rsidP="0075611F" w:rsidRDefault="00982470" w14:paraId="744F7430" w14:textId="01B9C36A">
      <w:pPr>
        <w:pStyle w:val="Standard"/>
      </w:pPr>
      <w:r>
        <w:t xml:space="preserve">SCE noted </w:t>
      </w:r>
      <w:r w:rsidRPr="0075611F">
        <w:t>that</w:t>
      </w:r>
      <w:r>
        <w:t xml:space="preserve"> it will make any adjustments to its PCIA Indifference Amount calculations, if necessary, due to any potential Commission action on its PFM of D.23-06-006.</w:t>
      </w:r>
      <w:r>
        <w:rPr>
          <w:rStyle w:val="FootnoteReference"/>
        </w:rPr>
        <w:footnoteReference w:id="183"/>
      </w:r>
    </w:p>
    <w:p w:rsidR="000011CF" w:rsidP="000E2A76" w:rsidRDefault="00E54C25" w14:paraId="438A8FF9" w14:textId="6692121F">
      <w:pPr>
        <w:pStyle w:val="Heading2"/>
      </w:pPr>
      <w:bookmarkStart w:name="_Toc152331442" w:id="80"/>
      <w:r>
        <w:t>2023 Cost Responsibility Surcharge True-Up</w:t>
      </w:r>
      <w:bookmarkEnd w:id="80"/>
    </w:p>
    <w:p w:rsidR="00957FD6" w:rsidP="00957FD6" w:rsidRDefault="00957FD6" w14:paraId="2F50429A" w14:textId="7EC1B719">
      <w:pPr>
        <w:pStyle w:val="Standard"/>
      </w:pPr>
      <w:r>
        <w:t>Pursuant to D.18-10-019</w:t>
      </w:r>
      <w:r w:rsidR="00A5414A">
        <w:t xml:space="preserve"> and D.19-10-001</w:t>
      </w:r>
      <w:r>
        <w:t>, SCE conducted an annual true-up of its PCIA and CTC rates to reflect the actual values realized in market transactions related to its PABA portfolio’s energy value.</w:t>
      </w:r>
      <w:r>
        <w:rPr>
          <w:rStyle w:val="FootnoteReference"/>
        </w:rPr>
        <w:footnoteReference w:id="184"/>
      </w:r>
      <w:r w:rsidR="00A5414A">
        <w:t xml:space="preserve"> </w:t>
      </w:r>
      <w:r w:rsidR="002B3345">
        <w:t>D.19-10-010 adopted specific methodologies for the Energy Division to provide final RPS and RA adders, and D.22-01-023 moved the timeframe for the Commission’s Energy Division to release final RPS and RA to the first business day of October each year.</w:t>
      </w:r>
      <w:r w:rsidR="002B3345">
        <w:rPr>
          <w:rStyle w:val="FootnoteReference"/>
        </w:rPr>
        <w:footnoteReference w:id="185"/>
      </w:r>
    </w:p>
    <w:p w:rsidR="00DE5230" w:rsidP="0075611F" w:rsidRDefault="00DE5230" w14:paraId="70A45E5B" w14:textId="77777777">
      <w:pPr>
        <w:pStyle w:val="Standard"/>
      </w:pPr>
      <w:r>
        <w:lastRenderedPageBreak/>
        <w:t xml:space="preserve">The </w:t>
      </w:r>
      <w:r w:rsidRPr="0075611F">
        <w:t>following</w:t>
      </w:r>
      <w:r>
        <w:t xml:space="preserve"> table provides SCE’s comparison of 2023 forecast MPBs to 2023 final MPBs, which were issued by the Energy Division in October 2023.</w:t>
      </w:r>
    </w:p>
    <w:p w:rsidR="00DE5230" w:rsidP="00DE5230" w:rsidRDefault="00DE5230" w14:paraId="6CC4CFEE" w14:textId="57F1331C">
      <w:pPr>
        <w:pStyle w:val="TableTitleBodyH095"/>
      </w:pPr>
      <w:r>
        <w:t>Table 9-</w:t>
      </w:r>
      <w:r w:rsidR="00A85570">
        <w:t>2</w:t>
      </w:r>
      <w:r>
        <w:t>. Comparison of 2023 Forecast MPBs to 2023 Final MBPs</w:t>
      </w:r>
      <w:r>
        <w:rPr>
          <w:rStyle w:val="FootnoteReference"/>
        </w:rPr>
        <w:footnoteReference w:id="186"/>
      </w:r>
    </w:p>
    <w:tbl>
      <w:tblPr>
        <w:tblStyle w:val="TableGrid"/>
        <w:tblW w:w="0" w:type="auto"/>
        <w:tblLook w:val="04A0" w:firstRow="1" w:lastRow="0" w:firstColumn="1" w:lastColumn="0" w:noHBand="0" w:noVBand="1"/>
      </w:tblPr>
      <w:tblGrid>
        <w:gridCol w:w="2425"/>
        <w:gridCol w:w="2700"/>
        <w:gridCol w:w="2340"/>
        <w:gridCol w:w="1885"/>
      </w:tblGrid>
      <w:tr w:rsidR="00DE5230" w:rsidTr="00EB6896" w14:paraId="0A3E2C90" w14:textId="77777777">
        <w:tc>
          <w:tcPr>
            <w:tcW w:w="2425" w:type="dxa"/>
          </w:tcPr>
          <w:p w:rsidRPr="00EB6896" w:rsidR="00DE5230" w:rsidP="00EB6896" w:rsidRDefault="00DE5230" w14:paraId="5569CC94" w14:textId="77777777">
            <w:pPr>
              <w:pStyle w:val="Standard"/>
              <w:ind w:firstLine="0"/>
              <w:jc w:val="center"/>
              <w:rPr>
                <w:b/>
                <w:bCs/>
              </w:rPr>
            </w:pPr>
            <w:r w:rsidRPr="00EB6896">
              <w:rPr>
                <w:b/>
                <w:bCs/>
              </w:rPr>
              <w:t>Market Price Benchmark (MPB)</w:t>
            </w:r>
          </w:p>
        </w:tc>
        <w:tc>
          <w:tcPr>
            <w:tcW w:w="2700" w:type="dxa"/>
          </w:tcPr>
          <w:p w:rsidRPr="00EB6896" w:rsidR="00DE5230" w:rsidP="00EB6896" w:rsidRDefault="00DE5230" w14:paraId="56DA31FD" w14:textId="77777777">
            <w:pPr>
              <w:pStyle w:val="Standard"/>
              <w:ind w:firstLine="0"/>
              <w:jc w:val="center"/>
              <w:rPr>
                <w:b/>
                <w:bCs/>
              </w:rPr>
            </w:pPr>
            <w:r w:rsidRPr="00EB6896">
              <w:rPr>
                <w:b/>
                <w:bCs/>
              </w:rPr>
              <w:t>2023 Forecast Adders (In Rates)</w:t>
            </w:r>
          </w:p>
        </w:tc>
        <w:tc>
          <w:tcPr>
            <w:tcW w:w="2340" w:type="dxa"/>
          </w:tcPr>
          <w:p w:rsidRPr="00EB6896" w:rsidR="00DE5230" w:rsidP="00EB6896" w:rsidRDefault="00DE5230" w14:paraId="0BBCAA27" w14:textId="77777777">
            <w:pPr>
              <w:pStyle w:val="Standard"/>
              <w:ind w:firstLine="0"/>
              <w:jc w:val="center"/>
              <w:rPr>
                <w:b/>
                <w:bCs/>
              </w:rPr>
            </w:pPr>
            <w:r w:rsidRPr="00EB6896">
              <w:rPr>
                <w:b/>
                <w:bCs/>
              </w:rPr>
              <w:t>2023 Final Adders (October 2023)</w:t>
            </w:r>
          </w:p>
        </w:tc>
        <w:tc>
          <w:tcPr>
            <w:tcW w:w="1885" w:type="dxa"/>
          </w:tcPr>
          <w:p w:rsidRPr="00EB6896" w:rsidR="00DE5230" w:rsidP="00EB6896" w:rsidRDefault="00BF3F17" w14:paraId="5FD85B94" w14:textId="3F8D713A">
            <w:pPr>
              <w:pStyle w:val="Standard"/>
              <w:ind w:firstLine="0"/>
              <w:jc w:val="center"/>
              <w:rPr>
                <w:b/>
                <w:bCs/>
              </w:rPr>
            </w:pPr>
            <w:r>
              <w:rPr>
                <w:b/>
                <w:bCs/>
              </w:rPr>
              <w:t>Percent</w:t>
            </w:r>
            <w:r w:rsidRPr="00EB6896" w:rsidR="00DE5230">
              <w:rPr>
                <w:b/>
                <w:bCs/>
              </w:rPr>
              <w:t xml:space="preserve"> Change</w:t>
            </w:r>
          </w:p>
        </w:tc>
      </w:tr>
      <w:tr w:rsidR="00DE5230" w:rsidTr="00EB6896" w14:paraId="06D54A17" w14:textId="77777777">
        <w:tc>
          <w:tcPr>
            <w:tcW w:w="2425" w:type="dxa"/>
          </w:tcPr>
          <w:p w:rsidR="00DE5230" w:rsidP="00EB6896" w:rsidRDefault="00DE5230" w14:paraId="0E404417" w14:textId="77777777">
            <w:pPr>
              <w:pStyle w:val="Standard"/>
              <w:ind w:firstLine="0"/>
            </w:pPr>
            <w:r>
              <w:t>Energy Index</w:t>
            </w:r>
          </w:p>
        </w:tc>
        <w:tc>
          <w:tcPr>
            <w:tcW w:w="2700" w:type="dxa"/>
          </w:tcPr>
          <w:p w:rsidR="00DE5230" w:rsidP="00EB6896" w:rsidRDefault="00DE5230" w14:paraId="5280ED89" w14:textId="77777777">
            <w:pPr>
              <w:pStyle w:val="Standard"/>
              <w:ind w:firstLine="0"/>
              <w:jc w:val="right"/>
            </w:pPr>
            <w:r>
              <w:t>$81.17/MWh</w:t>
            </w:r>
          </w:p>
        </w:tc>
        <w:tc>
          <w:tcPr>
            <w:tcW w:w="2340" w:type="dxa"/>
          </w:tcPr>
          <w:p w:rsidR="00DE5230" w:rsidP="00EB6896" w:rsidRDefault="00DE5230" w14:paraId="3725900A" w14:textId="30F84CB3">
            <w:pPr>
              <w:pStyle w:val="Standard"/>
              <w:ind w:firstLine="0"/>
              <w:jc w:val="right"/>
            </w:pPr>
            <w:r>
              <w:t>N/A (use actuals)</w:t>
            </w:r>
          </w:p>
        </w:tc>
        <w:tc>
          <w:tcPr>
            <w:tcW w:w="1885" w:type="dxa"/>
          </w:tcPr>
          <w:p w:rsidR="00DE5230" w:rsidP="00EB6896" w:rsidRDefault="00DE5230" w14:paraId="37139F5B" w14:textId="56BC8BC6">
            <w:pPr>
              <w:pStyle w:val="Standard"/>
              <w:ind w:firstLine="0"/>
              <w:jc w:val="right"/>
            </w:pPr>
            <w:r>
              <w:t>N/A</w:t>
            </w:r>
          </w:p>
        </w:tc>
      </w:tr>
      <w:tr w:rsidR="00DE5230" w:rsidTr="00EB6896" w14:paraId="165C9037" w14:textId="77777777">
        <w:tc>
          <w:tcPr>
            <w:tcW w:w="2425" w:type="dxa"/>
          </w:tcPr>
          <w:p w:rsidR="00DE5230" w:rsidP="00EB6896" w:rsidRDefault="00DE5230" w14:paraId="3F881AA3" w14:textId="77777777">
            <w:pPr>
              <w:pStyle w:val="Standard"/>
              <w:ind w:firstLine="0"/>
            </w:pPr>
            <w:r>
              <w:t>RPS Adder</w:t>
            </w:r>
          </w:p>
        </w:tc>
        <w:tc>
          <w:tcPr>
            <w:tcW w:w="2700" w:type="dxa"/>
          </w:tcPr>
          <w:p w:rsidR="00DE5230" w:rsidP="00EB6896" w:rsidRDefault="00DE5230" w14:paraId="6372C797" w14:textId="77777777">
            <w:pPr>
              <w:pStyle w:val="Standard"/>
              <w:ind w:firstLine="0"/>
              <w:jc w:val="right"/>
            </w:pPr>
            <w:r>
              <w:t>$12.63/MWh</w:t>
            </w:r>
          </w:p>
        </w:tc>
        <w:tc>
          <w:tcPr>
            <w:tcW w:w="2340" w:type="dxa"/>
          </w:tcPr>
          <w:p w:rsidR="00DE5230" w:rsidP="00EB6896" w:rsidRDefault="00DE5230" w14:paraId="455FC6AB" w14:textId="6448192D">
            <w:pPr>
              <w:pStyle w:val="Standard"/>
              <w:ind w:firstLine="0"/>
              <w:jc w:val="right"/>
            </w:pPr>
            <w:r>
              <w:t>$30.30/MWh</w:t>
            </w:r>
          </w:p>
        </w:tc>
        <w:tc>
          <w:tcPr>
            <w:tcW w:w="1885" w:type="dxa"/>
          </w:tcPr>
          <w:p w:rsidR="00DE5230" w:rsidP="00EB6896" w:rsidRDefault="00DE5230" w14:paraId="06556DA9" w14:textId="6E58238F">
            <w:pPr>
              <w:pStyle w:val="Standard"/>
              <w:ind w:firstLine="0"/>
              <w:jc w:val="right"/>
            </w:pPr>
            <w:r>
              <w:t>1</w:t>
            </w:r>
            <w:r w:rsidR="00A85570">
              <w:t>4</w:t>
            </w:r>
            <w:r>
              <w:t>0%</w:t>
            </w:r>
          </w:p>
        </w:tc>
      </w:tr>
      <w:tr w:rsidR="00DE5230" w:rsidTr="00EB6896" w14:paraId="43991B02" w14:textId="77777777">
        <w:tc>
          <w:tcPr>
            <w:tcW w:w="2425" w:type="dxa"/>
          </w:tcPr>
          <w:p w:rsidR="00DE5230" w:rsidP="00EB6896" w:rsidRDefault="00DE5230" w14:paraId="78153AB6" w14:textId="77777777">
            <w:pPr>
              <w:pStyle w:val="Standard"/>
              <w:ind w:firstLine="0"/>
            </w:pPr>
            <w:r>
              <w:t>RA System Adder</w:t>
            </w:r>
          </w:p>
        </w:tc>
        <w:tc>
          <w:tcPr>
            <w:tcW w:w="2700" w:type="dxa"/>
          </w:tcPr>
          <w:p w:rsidR="00DE5230" w:rsidP="00EB6896" w:rsidRDefault="00DE5230" w14:paraId="617A42D0" w14:textId="77777777">
            <w:pPr>
              <w:pStyle w:val="Standard"/>
              <w:ind w:firstLine="0"/>
              <w:jc w:val="right"/>
            </w:pPr>
            <w:r>
              <w:t>$88.68/kW-</w:t>
            </w:r>
            <w:proofErr w:type="spellStart"/>
            <w:r>
              <w:t>yr</w:t>
            </w:r>
            <w:proofErr w:type="spellEnd"/>
          </w:p>
        </w:tc>
        <w:tc>
          <w:tcPr>
            <w:tcW w:w="2340" w:type="dxa"/>
          </w:tcPr>
          <w:p w:rsidR="00DE5230" w:rsidP="00EB6896" w:rsidRDefault="00DE5230" w14:paraId="2A621894" w14:textId="506A7CE9">
            <w:pPr>
              <w:pStyle w:val="Standard"/>
              <w:ind w:firstLine="0"/>
              <w:jc w:val="right"/>
            </w:pPr>
            <w:r>
              <w:t>$172.44/kW-</w:t>
            </w:r>
            <w:proofErr w:type="spellStart"/>
            <w:r>
              <w:t>yr</w:t>
            </w:r>
            <w:proofErr w:type="spellEnd"/>
          </w:p>
        </w:tc>
        <w:tc>
          <w:tcPr>
            <w:tcW w:w="1885" w:type="dxa"/>
          </w:tcPr>
          <w:p w:rsidR="00DE5230" w:rsidP="00EB6896" w:rsidRDefault="00DE5230" w14:paraId="1055B8A4" w14:textId="6578B79B">
            <w:pPr>
              <w:pStyle w:val="Standard"/>
              <w:ind w:firstLine="0"/>
              <w:jc w:val="right"/>
            </w:pPr>
            <w:r>
              <w:t>94%</w:t>
            </w:r>
          </w:p>
        </w:tc>
      </w:tr>
      <w:tr w:rsidR="00DE5230" w:rsidTr="00EB6896" w14:paraId="48DDE004" w14:textId="77777777">
        <w:tc>
          <w:tcPr>
            <w:tcW w:w="2425" w:type="dxa"/>
          </w:tcPr>
          <w:p w:rsidR="00DE5230" w:rsidP="00EB6896" w:rsidRDefault="00DE5230" w14:paraId="63ADF4BD" w14:textId="77777777">
            <w:pPr>
              <w:pStyle w:val="Standard"/>
              <w:ind w:firstLine="0"/>
            </w:pPr>
            <w:r>
              <w:t>RA Local Adder</w:t>
            </w:r>
          </w:p>
        </w:tc>
        <w:tc>
          <w:tcPr>
            <w:tcW w:w="2700" w:type="dxa"/>
          </w:tcPr>
          <w:p w:rsidR="00DE5230" w:rsidP="00EB6896" w:rsidRDefault="00DE5230" w14:paraId="2392EEC6" w14:textId="77777777">
            <w:pPr>
              <w:pStyle w:val="Standard"/>
              <w:ind w:firstLine="0"/>
              <w:jc w:val="right"/>
            </w:pPr>
            <w:r>
              <w:t>$80.88/kW-</w:t>
            </w:r>
            <w:proofErr w:type="spellStart"/>
            <w:r>
              <w:t>yr</w:t>
            </w:r>
            <w:proofErr w:type="spellEnd"/>
          </w:p>
        </w:tc>
        <w:tc>
          <w:tcPr>
            <w:tcW w:w="2340" w:type="dxa"/>
          </w:tcPr>
          <w:p w:rsidR="00DE5230" w:rsidP="00EB6896" w:rsidRDefault="00DE5230" w14:paraId="56DEDBEC" w14:textId="37B5591C">
            <w:pPr>
              <w:pStyle w:val="Standard"/>
              <w:ind w:firstLine="0"/>
              <w:jc w:val="right"/>
            </w:pPr>
            <w:r>
              <w:t>$93.48/kW-</w:t>
            </w:r>
            <w:proofErr w:type="spellStart"/>
            <w:r>
              <w:t>yr</w:t>
            </w:r>
            <w:proofErr w:type="spellEnd"/>
          </w:p>
        </w:tc>
        <w:tc>
          <w:tcPr>
            <w:tcW w:w="1885" w:type="dxa"/>
          </w:tcPr>
          <w:p w:rsidR="00DE5230" w:rsidP="00EB6896" w:rsidRDefault="00DE5230" w14:paraId="3EA7DD34" w14:textId="15A37E4E">
            <w:pPr>
              <w:pStyle w:val="Standard"/>
              <w:ind w:firstLine="0"/>
              <w:jc w:val="right"/>
            </w:pPr>
            <w:r>
              <w:t>16%</w:t>
            </w:r>
          </w:p>
        </w:tc>
      </w:tr>
      <w:tr w:rsidR="00DE5230" w:rsidTr="00EB6896" w14:paraId="1FD9039F" w14:textId="77777777">
        <w:tc>
          <w:tcPr>
            <w:tcW w:w="2425" w:type="dxa"/>
          </w:tcPr>
          <w:p w:rsidR="00DE5230" w:rsidP="00EB6896" w:rsidRDefault="00DE5230" w14:paraId="02E7E847" w14:textId="77777777">
            <w:pPr>
              <w:pStyle w:val="Standard"/>
              <w:ind w:firstLine="0"/>
            </w:pPr>
            <w:r>
              <w:t>RA Flex Adder</w:t>
            </w:r>
          </w:p>
        </w:tc>
        <w:tc>
          <w:tcPr>
            <w:tcW w:w="2700" w:type="dxa"/>
          </w:tcPr>
          <w:p w:rsidR="00DE5230" w:rsidP="00EB6896" w:rsidRDefault="00DE5230" w14:paraId="15C691B6" w14:textId="77777777">
            <w:pPr>
              <w:pStyle w:val="Standard"/>
              <w:ind w:firstLine="0"/>
              <w:jc w:val="right"/>
            </w:pPr>
            <w:r>
              <w:t>$85.80/kW-</w:t>
            </w:r>
            <w:proofErr w:type="spellStart"/>
            <w:r>
              <w:t>yr</w:t>
            </w:r>
            <w:proofErr w:type="spellEnd"/>
          </w:p>
        </w:tc>
        <w:tc>
          <w:tcPr>
            <w:tcW w:w="2340" w:type="dxa"/>
          </w:tcPr>
          <w:p w:rsidR="00DE5230" w:rsidP="00EB6896" w:rsidRDefault="00DE5230" w14:paraId="7DD0A325" w14:textId="72A44E68">
            <w:pPr>
              <w:pStyle w:val="Standard"/>
              <w:ind w:firstLine="0"/>
              <w:jc w:val="right"/>
            </w:pPr>
            <w:r>
              <w:t>$93.84/kW-</w:t>
            </w:r>
            <w:proofErr w:type="spellStart"/>
            <w:r>
              <w:t>yr</w:t>
            </w:r>
            <w:proofErr w:type="spellEnd"/>
          </w:p>
        </w:tc>
        <w:tc>
          <w:tcPr>
            <w:tcW w:w="1885" w:type="dxa"/>
          </w:tcPr>
          <w:p w:rsidR="00DE5230" w:rsidP="00EB6896" w:rsidRDefault="00DE5230" w14:paraId="480FC3D8" w14:textId="77777777">
            <w:pPr>
              <w:pStyle w:val="Standard"/>
              <w:ind w:firstLine="0"/>
              <w:jc w:val="right"/>
            </w:pPr>
            <w:r>
              <w:t>9%</w:t>
            </w:r>
          </w:p>
        </w:tc>
      </w:tr>
    </w:tbl>
    <w:p w:rsidRPr="0075611F" w:rsidR="00DE5230" w:rsidP="000E2A76" w:rsidRDefault="00DE5230" w14:paraId="163E2B52" w14:textId="77777777">
      <w:pPr>
        <w:pStyle w:val="Standard"/>
        <w:rPr>
          <w:sz w:val="6"/>
          <w:szCs w:val="6"/>
        </w:rPr>
      </w:pPr>
    </w:p>
    <w:p w:rsidRPr="006E0D68" w:rsidR="006E0D68" w:rsidP="0075611F" w:rsidRDefault="006E0D68" w14:paraId="6B3BF0D9" w14:textId="52632DE3">
      <w:pPr>
        <w:pStyle w:val="Standard"/>
      </w:pPr>
      <w:r>
        <w:t xml:space="preserve">As discussed in Section 6.1.2 above, SCE records the differences between actual above-market costs and actual customer revenues in its PABA. With the updated MPBs, the forecast 2023 year-end PABA balance is $609.487 million, or $616.304 million when including the gross-up for </w:t>
      </w:r>
      <w:proofErr w:type="spellStart"/>
      <w:r>
        <w:t>Uncollectibles</w:t>
      </w:r>
      <w:proofErr w:type="spellEnd"/>
      <w:r>
        <w:t xml:space="preserve">. </w:t>
      </w:r>
    </w:p>
    <w:p w:rsidR="00DE5230" w:rsidP="0075611F" w:rsidRDefault="006E0D68" w14:paraId="1C016551" w14:textId="033A8B61">
      <w:pPr>
        <w:pStyle w:val="Standard"/>
      </w:pPr>
      <w:r>
        <w:t xml:space="preserve">SCE </w:t>
      </w:r>
      <w:r w:rsidRPr="0075611F">
        <w:t>noted</w:t>
      </w:r>
      <w:r>
        <w:t xml:space="preserve"> that the 2023 </w:t>
      </w:r>
      <w:proofErr w:type="spellStart"/>
      <w:r>
        <w:t>undercollection</w:t>
      </w:r>
      <w:proofErr w:type="spellEnd"/>
      <w:r>
        <w:t xml:space="preserve"> in its PABA account was largely due to a “much larger-than-forecast 2022 year-end balance in the ERRA BA,” which was a total of $1.582 billion.</w:t>
      </w:r>
      <w:r>
        <w:rPr>
          <w:rStyle w:val="FootnoteReference"/>
        </w:rPr>
        <w:footnoteReference w:id="187"/>
      </w:r>
      <w:r>
        <w:t xml:space="preserve"> SCE’s forecasted customer rates were therefore too low and a key driver of the PABA </w:t>
      </w:r>
      <w:proofErr w:type="spellStart"/>
      <w:r>
        <w:t>undercollection</w:t>
      </w:r>
      <w:proofErr w:type="spellEnd"/>
      <w:r>
        <w:t xml:space="preserve">. SCE also noted lower-than-forecast energy revenues as a key driver of its PABA </w:t>
      </w:r>
      <w:proofErr w:type="spellStart"/>
      <w:r>
        <w:t>undercollection</w:t>
      </w:r>
      <w:proofErr w:type="spellEnd"/>
      <w:r w:rsidR="009F543B">
        <w:t>, along with a 41 percent decrease in CAISO market revenues</w:t>
      </w:r>
      <w:r>
        <w:t>.</w:t>
      </w:r>
      <w:r>
        <w:rPr>
          <w:rStyle w:val="FootnoteReference"/>
        </w:rPr>
        <w:footnoteReference w:id="188"/>
      </w:r>
    </w:p>
    <w:p w:rsidRPr="00957FD6" w:rsidR="00DE5230" w:rsidP="0075611F" w:rsidRDefault="009F543B" w14:paraId="43DCDCA2" w14:textId="78A42FE3">
      <w:pPr>
        <w:pStyle w:val="Standard"/>
      </w:pPr>
      <w:r>
        <w:t xml:space="preserve">SCE’s </w:t>
      </w:r>
      <w:r w:rsidRPr="0075611F">
        <w:t>projected</w:t>
      </w:r>
      <w:r>
        <w:t xml:space="preserve"> 2023 year-end RPS Value, however, is forecasted to be approximately 97</w:t>
      </w:r>
      <w:r w:rsidR="0010454C">
        <w:t xml:space="preserve"> percent</w:t>
      </w:r>
      <w:r>
        <w:t xml:space="preserve"> higher than its forecasted RPS Value, given the </w:t>
      </w:r>
      <w:r>
        <w:lastRenderedPageBreak/>
        <w:t>significantly higher Final RPS Adder described in Table 9-1 above.</w:t>
      </w:r>
      <w:r>
        <w:rPr>
          <w:rStyle w:val="FootnoteReference"/>
        </w:rPr>
        <w:footnoteReference w:id="189"/>
      </w:r>
      <w:r>
        <w:t xml:space="preserve"> Similarly,</w:t>
      </w:r>
      <w:r w:rsidR="0010454C">
        <w:t xml:space="preserve"> SCE’s projected 2023 year-end RA Value is estimated to be approximately </w:t>
      </w:r>
      <w:r w:rsidR="00B16890">
        <w:br/>
      </w:r>
      <w:r w:rsidR="0010454C">
        <w:t>78 percent higher than forecast.</w:t>
      </w:r>
      <w:r w:rsidR="0010454C">
        <w:rPr>
          <w:rStyle w:val="FootnoteReference"/>
        </w:rPr>
        <w:footnoteReference w:id="190"/>
      </w:r>
    </w:p>
    <w:p w:rsidR="00C07D89" w:rsidP="006A6990" w:rsidRDefault="00C07D89" w14:paraId="0D6EB9D3" w14:textId="2FE6BD47">
      <w:pPr>
        <w:pStyle w:val="Heading1"/>
      </w:pPr>
      <w:bookmarkStart w:name="_Toc152331443" w:id="81"/>
      <w:r>
        <w:t>SCE’s 2024 ERRA Forecast Class Average Rates</w:t>
      </w:r>
      <w:bookmarkEnd w:id="81"/>
    </w:p>
    <w:p w:rsidR="00C07D89" w:rsidP="0075611F" w:rsidRDefault="00C07D89" w14:paraId="76F2EC64" w14:textId="3672726A">
      <w:pPr>
        <w:pStyle w:val="Standard"/>
      </w:pPr>
      <w:r>
        <w:t>Pursuant to D.22-08-023, SCE included the affordability metrics associated with its 2024 ERRA Forecast, which results in a decrease to SCE’s currently authorized revenues.</w:t>
      </w:r>
      <w:r>
        <w:rPr>
          <w:rStyle w:val="FootnoteReference"/>
        </w:rPr>
        <w:footnoteReference w:id="191"/>
      </w:r>
      <w:r w:rsidR="00113712">
        <w:t xml:space="preserve"> Table 10-1 below provides SCE’s updated 2024 ERRA Forecast Class Average Rates, as updated in the October Update and its associated errata.</w:t>
      </w:r>
      <w:r w:rsidR="00113712">
        <w:rPr>
          <w:rStyle w:val="FootnoteReference"/>
        </w:rPr>
        <w:footnoteReference w:id="192"/>
      </w:r>
    </w:p>
    <w:p w:rsidR="002A53FC" w:rsidP="002A53FC" w:rsidRDefault="002A53FC" w14:paraId="460865EB" w14:textId="19A2A4C4">
      <w:pPr>
        <w:pStyle w:val="TableTitleBodyH095"/>
      </w:pPr>
      <w:r w:rsidRPr="00A11B2F">
        <w:lastRenderedPageBreak/>
        <w:t>Table 10-1. SCE’s 2024 ERRA Forecast Class Average Rate Changes</w:t>
      </w:r>
    </w:p>
    <w:tbl>
      <w:tblPr>
        <w:tblStyle w:val="TableGrid"/>
        <w:tblW w:w="0" w:type="auto"/>
        <w:jc w:val="center"/>
        <w:tblLook w:val="04A0" w:firstRow="1" w:lastRow="0" w:firstColumn="1" w:lastColumn="0" w:noHBand="0" w:noVBand="1"/>
      </w:tblPr>
      <w:tblGrid>
        <w:gridCol w:w="2806"/>
        <w:gridCol w:w="1977"/>
        <w:gridCol w:w="2363"/>
        <w:gridCol w:w="2119"/>
      </w:tblGrid>
      <w:tr w:rsidR="00D859FF" w:rsidTr="0075611F" w14:paraId="73776179" w14:textId="0707F3E9">
        <w:trPr>
          <w:jc w:val="center"/>
        </w:trPr>
        <w:tc>
          <w:tcPr>
            <w:tcW w:w="2806" w:type="dxa"/>
          </w:tcPr>
          <w:p w:rsidRPr="00113712" w:rsidR="00D859FF" w:rsidP="00D859FF" w:rsidRDefault="00D859FF" w14:paraId="0463C55D" w14:textId="2B0212B3">
            <w:pPr>
              <w:pStyle w:val="TableTitleBodyH095"/>
              <w:ind w:left="0" w:firstLine="0"/>
              <w:rPr>
                <w:b/>
                <w:bCs w:val="0"/>
                <w:sz w:val="20"/>
                <w:szCs w:val="20"/>
              </w:rPr>
            </w:pPr>
            <w:r w:rsidRPr="00113712">
              <w:rPr>
                <w:b/>
                <w:bCs w:val="0"/>
                <w:sz w:val="20"/>
                <w:szCs w:val="20"/>
              </w:rPr>
              <w:t>Rate Schedule</w:t>
            </w:r>
          </w:p>
        </w:tc>
        <w:tc>
          <w:tcPr>
            <w:tcW w:w="1977" w:type="dxa"/>
          </w:tcPr>
          <w:p w:rsidRPr="00113712" w:rsidR="00D859FF" w:rsidP="00D859FF" w:rsidRDefault="00D859FF" w14:paraId="59C2F41D" w14:textId="740F274E">
            <w:pPr>
              <w:pStyle w:val="TableTitleBodyH095"/>
              <w:ind w:left="0" w:firstLine="0"/>
              <w:rPr>
                <w:b/>
                <w:bCs w:val="0"/>
                <w:sz w:val="20"/>
                <w:szCs w:val="20"/>
              </w:rPr>
            </w:pPr>
          </w:p>
        </w:tc>
        <w:tc>
          <w:tcPr>
            <w:tcW w:w="2363" w:type="dxa"/>
          </w:tcPr>
          <w:p w:rsidRPr="00113712" w:rsidR="00D859FF" w:rsidP="00D859FF" w:rsidRDefault="002F290B" w14:paraId="271BE044" w14:textId="71C38BBD">
            <w:pPr>
              <w:pStyle w:val="TableTitleBodyH095"/>
              <w:ind w:left="0" w:firstLine="0"/>
              <w:rPr>
                <w:b/>
                <w:bCs w:val="0"/>
                <w:sz w:val="20"/>
                <w:szCs w:val="20"/>
              </w:rPr>
            </w:pPr>
            <w:r>
              <w:rPr>
                <w:b/>
                <w:bCs w:val="0"/>
                <w:sz w:val="20"/>
                <w:szCs w:val="20"/>
              </w:rPr>
              <w:t>Percent</w:t>
            </w:r>
            <w:r w:rsidRPr="00113712" w:rsidR="00D859FF">
              <w:rPr>
                <w:b/>
                <w:bCs w:val="0"/>
                <w:sz w:val="20"/>
                <w:szCs w:val="20"/>
              </w:rPr>
              <w:t xml:space="preserve"> Change</w:t>
            </w:r>
          </w:p>
        </w:tc>
        <w:tc>
          <w:tcPr>
            <w:tcW w:w="2119" w:type="dxa"/>
          </w:tcPr>
          <w:p w:rsidRPr="0051634D" w:rsidR="00D859FF" w:rsidP="00D859FF" w:rsidRDefault="00D859FF" w14:paraId="5724E618" w14:textId="16E7EBA4">
            <w:pPr>
              <w:pStyle w:val="TableTitleBodyH095"/>
              <w:ind w:left="0" w:firstLine="0"/>
              <w:rPr>
                <w:b/>
                <w:bCs w:val="0"/>
                <w:sz w:val="20"/>
                <w:szCs w:val="20"/>
              </w:rPr>
            </w:pPr>
            <w:r>
              <w:rPr>
                <w:b/>
                <w:bCs w:val="0"/>
                <w:sz w:val="20"/>
                <w:szCs w:val="20"/>
              </w:rPr>
              <w:t>Total $/kWh</w:t>
            </w:r>
          </w:p>
        </w:tc>
      </w:tr>
      <w:tr w:rsidR="00D859FF" w:rsidTr="0075611F" w14:paraId="1B93CC8E" w14:textId="3D9C0641">
        <w:trPr>
          <w:jc w:val="center"/>
        </w:trPr>
        <w:tc>
          <w:tcPr>
            <w:tcW w:w="2806" w:type="dxa"/>
          </w:tcPr>
          <w:p w:rsidRPr="00113712" w:rsidR="00D859FF" w:rsidP="00D859FF" w:rsidRDefault="00D859FF" w14:paraId="7DDF3E75" w14:textId="704AAB79">
            <w:pPr>
              <w:pStyle w:val="TableTitleBodyH095"/>
              <w:ind w:left="0" w:firstLine="0"/>
              <w:rPr>
                <w:b/>
                <w:bCs w:val="0"/>
                <w:sz w:val="20"/>
                <w:szCs w:val="20"/>
              </w:rPr>
            </w:pPr>
            <w:r w:rsidRPr="00113712">
              <w:rPr>
                <w:b/>
                <w:bCs w:val="0"/>
                <w:sz w:val="20"/>
                <w:szCs w:val="20"/>
              </w:rPr>
              <w:t>Domestic</w:t>
            </w:r>
          </w:p>
        </w:tc>
        <w:tc>
          <w:tcPr>
            <w:tcW w:w="1977" w:type="dxa"/>
          </w:tcPr>
          <w:p w:rsidRPr="00113712" w:rsidR="00D859FF" w:rsidP="00D859FF" w:rsidRDefault="00D859FF" w14:paraId="42621CD7" w14:textId="34F0FAC2">
            <w:pPr>
              <w:pStyle w:val="TableTitleBodyH095"/>
              <w:ind w:left="0" w:firstLine="0"/>
              <w:rPr>
                <w:b/>
                <w:bCs w:val="0"/>
                <w:sz w:val="20"/>
                <w:szCs w:val="20"/>
              </w:rPr>
            </w:pPr>
            <w:r w:rsidRPr="00113712">
              <w:rPr>
                <w:b/>
                <w:bCs w:val="0"/>
                <w:sz w:val="20"/>
                <w:szCs w:val="20"/>
              </w:rPr>
              <w:t>Average</w:t>
            </w:r>
          </w:p>
        </w:tc>
        <w:tc>
          <w:tcPr>
            <w:tcW w:w="2363" w:type="dxa"/>
          </w:tcPr>
          <w:p w:rsidRPr="00113712" w:rsidR="00D859FF" w:rsidP="00D859FF" w:rsidRDefault="00D859FF" w14:paraId="48F935DA" w14:textId="2E2B84BE">
            <w:pPr>
              <w:pStyle w:val="TableTitleBodyH095"/>
              <w:ind w:left="0" w:firstLine="0"/>
              <w:rPr>
                <w:b/>
                <w:bCs w:val="0"/>
                <w:sz w:val="20"/>
                <w:szCs w:val="20"/>
              </w:rPr>
            </w:pPr>
            <w:r w:rsidRPr="00113712">
              <w:rPr>
                <w:b/>
                <w:bCs w:val="0"/>
                <w:sz w:val="20"/>
                <w:szCs w:val="20"/>
              </w:rPr>
              <w:t>-5.0</w:t>
            </w:r>
          </w:p>
        </w:tc>
        <w:tc>
          <w:tcPr>
            <w:tcW w:w="2119" w:type="dxa"/>
          </w:tcPr>
          <w:p w:rsidRPr="0051634D" w:rsidR="00D859FF" w:rsidP="00D859FF" w:rsidRDefault="00D859FF" w14:paraId="25A8B5CB" w14:textId="5D4FAD55">
            <w:pPr>
              <w:pStyle w:val="TableTitleBodyH095"/>
              <w:ind w:left="0" w:firstLine="0"/>
              <w:rPr>
                <w:b/>
                <w:bCs w:val="0"/>
                <w:sz w:val="20"/>
                <w:szCs w:val="20"/>
              </w:rPr>
            </w:pPr>
            <w:r>
              <w:rPr>
                <w:b/>
                <w:bCs w:val="0"/>
                <w:sz w:val="20"/>
                <w:szCs w:val="20"/>
              </w:rPr>
              <w:t>0.28989</w:t>
            </w:r>
          </w:p>
        </w:tc>
      </w:tr>
      <w:tr w:rsidR="00D859FF" w:rsidTr="0075611F" w14:paraId="7AAC25E4" w14:textId="5452FFD7">
        <w:trPr>
          <w:jc w:val="center"/>
        </w:trPr>
        <w:tc>
          <w:tcPr>
            <w:tcW w:w="2806" w:type="dxa"/>
          </w:tcPr>
          <w:p w:rsidRPr="00113712" w:rsidR="00D859FF" w:rsidP="00D859FF" w:rsidRDefault="00D859FF" w14:paraId="62C27258" w14:textId="77777777">
            <w:pPr>
              <w:pStyle w:val="TableTitleBodyH095"/>
              <w:ind w:left="0" w:firstLine="0"/>
              <w:rPr>
                <w:sz w:val="20"/>
                <w:szCs w:val="20"/>
              </w:rPr>
            </w:pPr>
          </w:p>
        </w:tc>
        <w:tc>
          <w:tcPr>
            <w:tcW w:w="1977" w:type="dxa"/>
          </w:tcPr>
          <w:p w:rsidRPr="00113712" w:rsidR="00D859FF" w:rsidP="00D859FF" w:rsidRDefault="00D859FF" w14:paraId="2C2415BA" w14:textId="6990CD14">
            <w:pPr>
              <w:pStyle w:val="TableTitleBodyH095"/>
              <w:ind w:left="0" w:firstLine="0"/>
              <w:rPr>
                <w:sz w:val="20"/>
                <w:szCs w:val="20"/>
              </w:rPr>
            </w:pPr>
            <w:r w:rsidRPr="00113712">
              <w:rPr>
                <w:sz w:val="20"/>
                <w:szCs w:val="20"/>
              </w:rPr>
              <w:t>D</w:t>
            </w:r>
          </w:p>
        </w:tc>
        <w:tc>
          <w:tcPr>
            <w:tcW w:w="2363" w:type="dxa"/>
          </w:tcPr>
          <w:p w:rsidRPr="00113712" w:rsidR="00D859FF" w:rsidP="00D859FF" w:rsidRDefault="00D859FF" w14:paraId="7F6256E2" w14:textId="4E86F628">
            <w:pPr>
              <w:pStyle w:val="TableTitleBodyH095"/>
              <w:ind w:left="0" w:firstLine="0"/>
              <w:rPr>
                <w:sz w:val="20"/>
                <w:szCs w:val="20"/>
              </w:rPr>
            </w:pPr>
            <w:r w:rsidRPr="00113712">
              <w:rPr>
                <w:sz w:val="20"/>
                <w:szCs w:val="20"/>
              </w:rPr>
              <w:t>-3.</w:t>
            </w:r>
            <w:r>
              <w:rPr>
                <w:sz w:val="20"/>
                <w:szCs w:val="20"/>
              </w:rPr>
              <w:t>9</w:t>
            </w:r>
          </w:p>
        </w:tc>
        <w:tc>
          <w:tcPr>
            <w:tcW w:w="2119" w:type="dxa"/>
          </w:tcPr>
          <w:p w:rsidRPr="0051634D" w:rsidR="00D859FF" w:rsidP="00D859FF" w:rsidRDefault="00D859FF" w14:paraId="0F2DC5CF" w14:textId="20C77F93">
            <w:pPr>
              <w:pStyle w:val="TableTitleBodyH095"/>
              <w:ind w:left="0" w:firstLine="0"/>
              <w:rPr>
                <w:sz w:val="20"/>
                <w:szCs w:val="20"/>
              </w:rPr>
            </w:pPr>
            <w:r>
              <w:rPr>
                <w:sz w:val="20"/>
                <w:szCs w:val="20"/>
              </w:rPr>
              <w:t>0.32949</w:t>
            </w:r>
          </w:p>
        </w:tc>
      </w:tr>
      <w:tr w:rsidR="00D859FF" w:rsidTr="0075611F" w14:paraId="2840DFA7" w14:textId="6A0A3C7C">
        <w:trPr>
          <w:jc w:val="center"/>
        </w:trPr>
        <w:tc>
          <w:tcPr>
            <w:tcW w:w="2806" w:type="dxa"/>
          </w:tcPr>
          <w:p w:rsidRPr="00113712" w:rsidR="00D859FF" w:rsidP="00D859FF" w:rsidRDefault="00D859FF" w14:paraId="79818A36" w14:textId="77777777">
            <w:pPr>
              <w:pStyle w:val="TableTitleBodyH095"/>
              <w:ind w:left="0" w:firstLine="0"/>
              <w:rPr>
                <w:sz w:val="20"/>
                <w:szCs w:val="20"/>
              </w:rPr>
            </w:pPr>
          </w:p>
        </w:tc>
        <w:tc>
          <w:tcPr>
            <w:tcW w:w="1977" w:type="dxa"/>
          </w:tcPr>
          <w:p w:rsidRPr="00113712" w:rsidR="00D859FF" w:rsidP="00D859FF" w:rsidRDefault="00D859FF" w14:paraId="45E357D1" w14:textId="3D482FC3">
            <w:pPr>
              <w:pStyle w:val="TableTitleBodyH095"/>
              <w:ind w:left="0" w:firstLine="0"/>
              <w:rPr>
                <w:sz w:val="20"/>
                <w:szCs w:val="20"/>
              </w:rPr>
            </w:pPr>
            <w:r w:rsidRPr="00113712">
              <w:rPr>
                <w:sz w:val="20"/>
                <w:szCs w:val="20"/>
              </w:rPr>
              <w:t>D-CARE</w:t>
            </w:r>
          </w:p>
        </w:tc>
        <w:tc>
          <w:tcPr>
            <w:tcW w:w="2363" w:type="dxa"/>
          </w:tcPr>
          <w:p w:rsidRPr="00113712" w:rsidR="00D859FF" w:rsidP="00D859FF" w:rsidRDefault="00D859FF" w14:paraId="3DACC651" w14:textId="40D3B39E">
            <w:pPr>
              <w:pStyle w:val="TableTitleBodyH095"/>
              <w:ind w:left="0" w:firstLine="0"/>
              <w:rPr>
                <w:sz w:val="20"/>
                <w:szCs w:val="20"/>
              </w:rPr>
            </w:pPr>
            <w:r w:rsidRPr="00113712">
              <w:rPr>
                <w:sz w:val="20"/>
                <w:szCs w:val="20"/>
              </w:rPr>
              <w:t>-6.</w:t>
            </w:r>
            <w:r>
              <w:rPr>
                <w:sz w:val="20"/>
                <w:szCs w:val="20"/>
              </w:rPr>
              <w:t>4</w:t>
            </w:r>
          </w:p>
        </w:tc>
        <w:tc>
          <w:tcPr>
            <w:tcW w:w="2119" w:type="dxa"/>
          </w:tcPr>
          <w:p w:rsidRPr="0051634D" w:rsidR="00D859FF" w:rsidP="00D859FF" w:rsidRDefault="00D859FF" w14:paraId="25BF5A48" w14:textId="262300B3">
            <w:pPr>
              <w:pStyle w:val="TableTitleBodyH095"/>
              <w:ind w:left="0" w:firstLine="0"/>
              <w:rPr>
                <w:sz w:val="20"/>
                <w:szCs w:val="20"/>
              </w:rPr>
            </w:pPr>
            <w:r>
              <w:rPr>
                <w:sz w:val="20"/>
                <w:szCs w:val="20"/>
              </w:rPr>
              <w:t>0.20417</w:t>
            </w:r>
          </w:p>
        </w:tc>
      </w:tr>
      <w:tr w:rsidR="00D859FF" w:rsidTr="0075611F" w14:paraId="7116647F" w14:textId="38F751F3">
        <w:trPr>
          <w:jc w:val="center"/>
        </w:trPr>
        <w:tc>
          <w:tcPr>
            <w:tcW w:w="2806" w:type="dxa"/>
          </w:tcPr>
          <w:p w:rsidRPr="00113712" w:rsidR="00D859FF" w:rsidP="00D859FF" w:rsidRDefault="00D859FF" w14:paraId="10E2D58B" w14:textId="77777777">
            <w:pPr>
              <w:pStyle w:val="TableTitleBodyH095"/>
              <w:ind w:left="0" w:firstLine="0"/>
              <w:rPr>
                <w:sz w:val="20"/>
                <w:szCs w:val="20"/>
              </w:rPr>
            </w:pPr>
          </w:p>
        </w:tc>
        <w:tc>
          <w:tcPr>
            <w:tcW w:w="1977" w:type="dxa"/>
          </w:tcPr>
          <w:p w:rsidRPr="00113712" w:rsidR="00D859FF" w:rsidP="00D859FF" w:rsidRDefault="00D859FF" w14:paraId="5BD0D56B" w14:textId="5678A967">
            <w:pPr>
              <w:pStyle w:val="TableTitleBodyH095"/>
              <w:ind w:left="0" w:firstLine="0"/>
              <w:rPr>
                <w:sz w:val="20"/>
                <w:szCs w:val="20"/>
              </w:rPr>
            </w:pPr>
            <w:r w:rsidRPr="00113712">
              <w:rPr>
                <w:sz w:val="20"/>
                <w:szCs w:val="20"/>
              </w:rPr>
              <w:t>DE</w:t>
            </w:r>
          </w:p>
        </w:tc>
        <w:tc>
          <w:tcPr>
            <w:tcW w:w="2363" w:type="dxa"/>
          </w:tcPr>
          <w:p w:rsidRPr="00113712" w:rsidR="00D859FF" w:rsidP="00D859FF" w:rsidRDefault="00D859FF" w14:paraId="75985C35" w14:textId="76587CE8">
            <w:pPr>
              <w:pStyle w:val="TableTitleBodyH095"/>
              <w:ind w:left="0" w:firstLine="0"/>
              <w:rPr>
                <w:sz w:val="20"/>
                <w:szCs w:val="20"/>
              </w:rPr>
            </w:pPr>
            <w:r w:rsidRPr="00113712">
              <w:rPr>
                <w:sz w:val="20"/>
                <w:szCs w:val="20"/>
              </w:rPr>
              <w:t>-4.</w:t>
            </w:r>
            <w:r>
              <w:rPr>
                <w:sz w:val="20"/>
                <w:szCs w:val="20"/>
              </w:rPr>
              <w:t>7</w:t>
            </w:r>
          </w:p>
        </w:tc>
        <w:tc>
          <w:tcPr>
            <w:tcW w:w="2119" w:type="dxa"/>
          </w:tcPr>
          <w:p w:rsidRPr="0051634D" w:rsidR="00D859FF" w:rsidP="00D859FF" w:rsidRDefault="00D859FF" w14:paraId="030FB04C" w14:textId="334F480C">
            <w:pPr>
              <w:pStyle w:val="TableTitleBodyH095"/>
              <w:ind w:left="0" w:firstLine="0"/>
              <w:rPr>
                <w:sz w:val="20"/>
                <w:szCs w:val="20"/>
              </w:rPr>
            </w:pPr>
            <w:r>
              <w:rPr>
                <w:sz w:val="20"/>
                <w:szCs w:val="20"/>
              </w:rPr>
              <w:t>0.24794</w:t>
            </w:r>
          </w:p>
        </w:tc>
      </w:tr>
      <w:tr w:rsidR="00D859FF" w:rsidTr="0075611F" w14:paraId="48752FED" w14:textId="0BEAFEFF">
        <w:trPr>
          <w:jc w:val="center"/>
        </w:trPr>
        <w:tc>
          <w:tcPr>
            <w:tcW w:w="2806" w:type="dxa"/>
          </w:tcPr>
          <w:p w:rsidRPr="00113712" w:rsidR="00D859FF" w:rsidP="00D859FF" w:rsidRDefault="00D859FF" w14:paraId="47D21DA3" w14:textId="77777777">
            <w:pPr>
              <w:pStyle w:val="TableTitleBodyH095"/>
              <w:ind w:left="0" w:firstLine="0"/>
              <w:rPr>
                <w:sz w:val="20"/>
                <w:szCs w:val="20"/>
              </w:rPr>
            </w:pPr>
          </w:p>
        </w:tc>
        <w:tc>
          <w:tcPr>
            <w:tcW w:w="1977" w:type="dxa"/>
          </w:tcPr>
          <w:p w:rsidRPr="00113712" w:rsidR="00D859FF" w:rsidP="00D859FF" w:rsidRDefault="00D859FF" w14:paraId="62C7C929" w14:textId="0F086E4A">
            <w:pPr>
              <w:pStyle w:val="TableTitleBodyH095"/>
              <w:ind w:left="0" w:firstLine="0"/>
              <w:rPr>
                <w:sz w:val="20"/>
                <w:szCs w:val="20"/>
              </w:rPr>
            </w:pPr>
            <w:r w:rsidRPr="00113712">
              <w:rPr>
                <w:sz w:val="20"/>
                <w:szCs w:val="20"/>
              </w:rPr>
              <w:t>DM</w:t>
            </w:r>
          </w:p>
        </w:tc>
        <w:tc>
          <w:tcPr>
            <w:tcW w:w="2363" w:type="dxa"/>
          </w:tcPr>
          <w:p w:rsidRPr="00113712" w:rsidR="00D859FF" w:rsidP="00D859FF" w:rsidRDefault="00D859FF" w14:paraId="257D06A8" w14:textId="3E814A09">
            <w:pPr>
              <w:pStyle w:val="TableTitleBodyH095"/>
              <w:ind w:left="0" w:firstLine="0"/>
              <w:rPr>
                <w:sz w:val="20"/>
                <w:szCs w:val="20"/>
              </w:rPr>
            </w:pPr>
            <w:r w:rsidRPr="00113712">
              <w:rPr>
                <w:sz w:val="20"/>
                <w:szCs w:val="20"/>
              </w:rPr>
              <w:t>-6.3</w:t>
            </w:r>
          </w:p>
        </w:tc>
        <w:tc>
          <w:tcPr>
            <w:tcW w:w="2119" w:type="dxa"/>
          </w:tcPr>
          <w:p w:rsidRPr="0051634D" w:rsidR="00D859FF" w:rsidP="00D859FF" w:rsidRDefault="00D859FF" w14:paraId="514536A2" w14:textId="045C0997">
            <w:pPr>
              <w:pStyle w:val="TableTitleBodyH095"/>
              <w:ind w:left="0" w:firstLine="0"/>
              <w:rPr>
                <w:sz w:val="20"/>
                <w:szCs w:val="20"/>
              </w:rPr>
            </w:pPr>
            <w:r>
              <w:rPr>
                <w:sz w:val="20"/>
                <w:szCs w:val="20"/>
              </w:rPr>
              <w:t>0.20755</w:t>
            </w:r>
          </w:p>
        </w:tc>
      </w:tr>
      <w:tr w:rsidR="00D859FF" w:rsidTr="0075611F" w14:paraId="442739A9" w14:textId="674DC5F2">
        <w:trPr>
          <w:jc w:val="center"/>
        </w:trPr>
        <w:tc>
          <w:tcPr>
            <w:tcW w:w="2806" w:type="dxa"/>
          </w:tcPr>
          <w:p w:rsidRPr="00113712" w:rsidR="00D859FF" w:rsidP="00D859FF" w:rsidRDefault="00D859FF" w14:paraId="1FD879D1" w14:textId="77777777">
            <w:pPr>
              <w:pStyle w:val="TableTitleBodyH095"/>
              <w:ind w:left="0" w:firstLine="0"/>
              <w:rPr>
                <w:sz w:val="20"/>
                <w:szCs w:val="20"/>
              </w:rPr>
            </w:pPr>
          </w:p>
        </w:tc>
        <w:tc>
          <w:tcPr>
            <w:tcW w:w="1977" w:type="dxa"/>
          </w:tcPr>
          <w:p w:rsidRPr="00113712" w:rsidR="00D859FF" w:rsidP="00D859FF" w:rsidRDefault="00D859FF" w14:paraId="4EC60E55" w14:textId="1C0493A9">
            <w:pPr>
              <w:pStyle w:val="TableTitleBodyH095"/>
              <w:ind w:left="0" w:firstLine="0"/>
              <w:rPr>
                <w:sz w:val="20"/>
                <w:szCs w:val="20"/>
              </w:rPr>
            </w:pPr>
            <w:r w:rsidRPr="00113712">
              <w:rPr>
                <w:sz w:val="20"/>
                <w:szCs w:val="20"/>
              </w:rPr>
              <w:t>DMS-1</w:t>
            </w:r>
          </w:p>
        </w:tc>
        <w:tc>
          <w:tcPr>
            <w:tcW w:w="2363" w:type="dxa"/>
          </w:tcPr>
          <w:p w:rsidRPr="00113712" w:rsidR="00D859FF" w:rsidP="00D859FF" w:rsidRDefault="00D859FF" w14:paraId="1F20B0B1" w14:textId="4DA93CB0">
            <w:pPr>
              <w:pStyle w:val="TableTitleBodyH095"/>
              <w:ind w:left="0" w:firstLine="0"/>
              <w:rPr>
                <w:sz w:val="20"/>
                <w:szCs w:val="20"/>
              </w:rPr>
            </w:pPr>
            <w:r w:rsidRPr="00113712">
              <w:rPr>
                <w:sz w:val="20"/>
                <w:szCs w:val="20"/>
              </w:rPr>
              <w:t>-0.</w:t>
            </w:r>
            <w:r>
              <w:rPr>
                <w:sz w:val="20"/>
                <w:szCs w:val="20"/>
              </w:rPr>
              <w:t>7</w:t>
            </w:r>
          </w:p>
        </w:tc>
        <w:tc>
          <w:tcPr>
            <w:tcW w:w="2119" w:type="dxa"/>
          </w:tcPr>
          <w:p w:rsidRPr="0051634D" w:rsidR="00D859FF" w:rsidP="00D859FF" w:rsidRDefault="00D859FF" w14:paraId="2DAFD56B" w14:textId="36C722C0">
            <w:pPr>
              <w:pStyle w:val="TableTitleBodyH095"/>
              <w:ind w:left="0" w:firstLine="0"/>
              <w:rPr>
                <w:sz w:val="20"/>
                <w:szCs w:val="20"/>
              </w:rPr>
            </w:pPr>
            <w:r>
              <w:rPr>
                <w:sz w:val="20"/>
                <w:szCs w:val="20"/>
              </w:rPr>
              <w:t>0.34457</w:t>
            </w:r>
          </w:p>
        </w:tc>
      </w:tr>
      <w:tr w:rsidR="00D859FF" w:rsidTr="0075611F" w14:paraId="186F5C40" w14:textId="4D9B310D">
        <w:trPr>
          <w:jc w:val="center"/>
        </w:trPr>
        <w:tc>
          <w:tcPr>
            <w:tcW w:w="2806" w:type="dxa"/>
          </w:tcPr>
          <w:p w:rsidRPr="00113712" w:rsidR="00D859FF" w:rsidP="00D859FF" w:rsidRDefault="00D859FF" w14:paraId="045D4EE0" w14:textId="77777777">
            <w:pPr>
              <w:pStyle w:val="TableTitleBodyH095"/>
              <w:ind w:left="0" w:firstLine="0"/>
              <w:rPr>
                <w:sz w:val="20"/>
                <w:szCs w:val="20"/>
              </w:rPr>
            </w:pPr>
          </w:p>
        </w:tc>
        <w:tc>
          <w:tcPr>
            <w:tcW w:w="1977" w:type="dxa"/>
          </w:tcPr>
          <w:p w:rsidRPr="00113712" w:rsidR="00D859FF" w:rsidP="00D859FF" w:rsidRDefault="00D859FF" w14:paraId="0AA78786" w14:textId="1DBBBB49">
            <w:pPr>
              <w:pStyle w:val="TableTitleBodyH095"/>
              <w:ind w:left="0" w:firstLine="0"/>
              <w:rPr>
                <w:sz w:val="20"/>
                <w:szCs w:val="20"/>
              </w:rPr>
            </w:pPr>
            <w:r w:rsidRPr="00113712">
              <w:rPr>
                <w:sz w:val="20"/>
                <w:szCs w:val="20"/>
              </w:rPr>
              <w:t>DMS-2</w:t>
            </w:r>
          </w:p>
        </w:tc>
        <w:tc>
          <w:tcPr>
            <w:tcW w:w="2363" w:type="dxa"/>
          </w:tcPr>
          <w:p w:rsidRPr="00113712" w:rsidR="00D859FF" w:rsidP="00D859FF" w:rsidRDefault="00D859FF" w14:paraId="5806D03B" w14:textId="50DF38E5">
            <w:pPr>
              <w:pStyle w:val="TableTitleBodyH095"/>
              <w:ind w:left="0" w:firstLine="0"/>
              <w:rPr>
                <w:sz w:val="20"/>
                <w:szCs w:val="20"/>
              </w:rPr>
            </w:pPr>
            <w:r w:rsidRPr="00113712">
              <w:rPr>
                <w:sz w:val="20"/>
                <w:szCs w:val="20"/>
              </w:rPr>
              <w:t>-0.</w:t>
            </w:r>
            <w:r>
              <w:rPr>
                <w:sz w:val="20"/>
                <w:szCs w:val="20"/>
              </w:rPr>
              <w:t>8</w:t>
            </w:r>
          </w:p>
        </w:tc>
        <w:tc>
          <w:tcPr>
            <w:tcW w:w="2119" w:type="dxa"/>
          </w:tcPr>
          <w:p w:rsidRPr="0051634D" w:rsidR="00D859FF" w:rsidP="00D859FF" w:rsidRDefault="00D859FF" w14:paraId="55B5AEFD" w14:textId="137595C0">
            <w:pPr>
              <w:pStyle w:val="TableTitleBodyH095"/>
              <w:ind w:left="0" w:firstLine="0"/>
              <w:rPr>
                <w:sz w:val="20"/>
                <w:szCs w:val="20"/>
              </w:rPr>
            </w:pPr>
            <w:r>
              <w:rPr>
                <w:sz w:val="20"/>
                <w:szCs w:val="20"/>
              </w:rPr>
              <w:t>0.34441</w:t>
            </w:r>
          </w:p>
        </w:tc>
      </w:tr>
      <w:tr w:rsidR="00D859FF" w:rsidTr="0075611F" w14:paraId="79E24010" w14:textId="36071600">
        <w:trPr>
          <w:jc w:val="center"/>
        </w:trPr>
        <w:tc>
          <w:tcPr>
            <w:tcW w:w="2806" w:type="dxa"/>
          </w:tcPr>
          <w:p w:rsidRPr="00113712" w:rsidR="00D859FF" w:rsidP="00D859FF" w:rsidRDefault="00D859FF" w14:paraId="733458D4" w14:textId="51D5B8BE">
            <w:pPr>
              <w:pStyle w:val="TableTitleBodyH095"/>
              <w:ind w:left="0" w:firstLine="0"/>
              <w:rPr>
                <w:b/>
                <w:bCs w:val="0"/>
                <w:sz w:val="20"/>
                <w:szCs w:val="20"/>
              </w:rPr>
            </w:pPr>
            <w:r w:rsidRPr="00113712">
              <w:rPr>
                <w:b/>
                <w:bCs w:val="0"/>
                <w:sz w:val="20"/>
                <w:szCs w:val="20"/>
              </w:rPr>
              <w:t>Lighting- Small/Med Power</w:t>
            </w:r>
          </w:p>
        </w:tc>
        <w:tc>
          <w:tcPr>
            <w:tcW w:w="1977" w:type="dxa"/>
          </w:tcPr>
          <w:p w:rsidRPr="00113712" w:rsidR="00D859FF" w:rsidP="00D859FF" w:rsidRDefault="00D859FF" w14:paraId="3A40BA26" w14:textId="673101E3">
            <w:pPr>
              <w:pStyle w:val="TableTitleBodyH095"/>
              <w:ind w:left="0" w:firstLine="0"/>
              <w:rPr>
                <w:b/>
                <w:bCs w:val="0"/>
                <w:sz w:val="20"/>
                <w:szCs w:val="20"/>
              </w:rPr>
            </w:pPr>
            <w:r w:rsidRPr="00113712">
              <w:rPr>
                <w:b/>
                <w:bCs w:val="0"/>
                <w:sz w:val="20"/>
                <w:szCs w:val="20"/>
              </w:rPr>
              <w:t>Average</w:t>
            </w:r>
          </w:p>
        </w:tc>
        <w:tc>
          <w:tcPr>
            <w:tcW w:w="2363" w:type="dxa"/>
          </w:tcPr>
          <w:p w:rsidRPr="00113712" w:rsidR="00D859FF" w:rsidP="00D859FF" w:rsidRDefault="00D859FF" w14:paraId="60320477" w14:textId="4A82BA42">
            <w:pPr>
              <w:pStyle w:val="TableTitleBodyH095"/>
              <w:ind w:left="0" w:firstLine="0"/>
              <w:rPr>
                <w:b/>
                <w:bCs w:val="0"/>
                <w:sz w:val="20"/>
                <w:szCs w:val="20"/>
              </w:rPr>
            </w:pPr>
            <w:r w:rsidRPr="00113712">
              <w:rPr>
                <w:b/>
                <w:bCs w:val="0"/>
                <w:sz w:val="20"/>
                <w:szCs w:val="20"/>
              </w:rPr>
              <w:t>-0.6</w:t>
            </w:r>
          </w:p>
        </w:tc>
        <w:tc>
          <w:tcPr>
            <w:tcW w:w="2119" w:type="dxa"/>
          </w:tcPr>
          <w:p w:rsidRPr="0051634D" w:rsidR="00D859FF" w:rsidP="00D859FF" w:rsidRDefault="00D859FF" w14:paraId="48E3BBAA" w14:textId="643C81B7">
            <w:pPr>
              <w:pStyle w:val="TableTitleBodyH095"/>
              <w:ind w:left="0" w:firstLine="0"/>
              <w:rPr>
                <w:b/>
                <w:bCs w:val="0"/>
                <w:sz w:val="20"/>
                <w:szCs w:val="20"/>
              </w:rPr>
            </w:pPr>
            <w:r>
              <w:rPr>
                <w:b/>
                <w:bCs w:val="0"/>
                <w:sz w:val="20"/>
                <w:szCs w:val="20"/>
              </w:rPr>
              <w:t>0.28717</w:t>
            </w:r>
          </w:p>
        </w:tc>
      </w:tr>
      <w:tr w:rsidR="00D859FF" w:rsidTr="0075611F" w14:paraId="35A10E69" w14:textId="63A35567">
        <w:trPr>
          <w:jc w:val="center"/>
        </w:trPr>
        <w:tc>
          <w:tcPr>
            <w:tcW w:w="2806" w:type="dxa"/>
          </w:tcPr>
          <w:p w:rsidRPr="00113712" w:rsidR="00D859FF" w:rsidP="00D859FF" w:rsidRDefault="00D859FF" w14:paraId="6FA670D8" w14:textId="77777777">
            <w:pPr>
              <w:pStyle w:val="TableTitleBodyH095"/>
              <w:ind w:left="0" w:firstLine="0"/>
              <w:rPr>
                <w:sz w:val="20"/>
                <w:szCs w:val="20"/>
              </w:rPr>
            </w:pPr>
          </w:p>
        </w:tc>
        <w:tc>
          <w:tcPr>
            <w:tcW w:w="1977" w:type="dxa"/>
          </w:tcPr>
          <w:p w:rsidRPr="00113712" w:rsidR="00D859FF" w:rsidP="00D859FF" w:rsidRDefault="00D859FF" w14:paraId="5F440348" w14:textId="2124C965">
            <w:pPr>
              <w:pStyle w:val="TableTitleBodyH095"/>
              <w:ind w:left="0" w:firstLine="0"/>
              <w:rPr>
                <w:sz w:val="20"/>
                <w:szCs w:val="20"/>
              </w:rPr>
            </w:pPr>
            <w:r w:rsidRPr="00113712">
              <w:rPr>
                <w:sz w:val="20"/>
                <w:szCs w:val="20"/>
              </w:rPr>
              <w:t>GS-1</w:t>
            </w:r>
          </w:p>
        </w:tc>
        <w:tc>
          <w:tcPr>
            <w:tcW w:w="2363" w:type="dxa"/>
          </w:tcPr>
          <w:p w:rsidRPr="00113712" w:rsidR="00D859FF" w:rsidP="00D859FF" w:rsidRDefault="00D859FF" w14:paraId="4F3EC1E3" w14:textId="5557F79E">
            <w:pPr>
              <w:pStyle w:val="TableTitleBodyH095"/>
              <w:ind w:left="0" w:firstLine="0"/>
              <w:rPr>
                <w:sz w:val="20"/>
                <w:szCs w:val="20"/>
              </w:rPr>
            </w:pPr>
            <w:r>
              <w:rPr>
                <w:sz w:val="20"/>
                <w:szCs w:val="20"/>
              </w:rPr>
              <w:t>-3.0</w:t>
            </w:r>
          </w:p>
        </w:tc>
        <w:tc>
          <w:tcPr>
            <w:tcW w:w="2119" w:type="dxa"/>
          </w:tcPr>
          <w:p w:rsidRPr="0051634D" w:rsidR="00D859FF" w:rsidP="00D859FF" w:rsidRDefault="00D859FF" w14:paraId="0C1038CC" w14:textId="3D7E00D5">
            <w:pPr>
              <w:pStyle w:val="TableTitleBodyH095"/>
              <w:ind w:left="0" w:firstLine="0"/>
              <w:rPr>
                <w:sz w:val="20"/>
                <w:szCs w:val="20"/>
              </w:rPr>
            </w:pPr>
            <w:r>
              <w:rPr>
                <w:sz w:val="20"/>
                <w:szCs w:val="20"/>
              </w:rPr>
              <w:t>0.28169</w:t>
            </w:r>
          </w:p>
        </w:tc>
      </w:tr>
      <w:tr w:rsidR="00D859FF" w:rsidTr="0075611F" w14:paraId="2805F583" w14:textId="655F9E8F">
        <w:trPr>
          <w:jc w:val="center"/>
        </w:trPr>
        <w:tc>
          <w:tcPr>
            <w:tcW w:w="2806" w:type="dxa"/>
          </w:tcPr>
          <w:p w:rsidRPr="00113712" w:rsidR="00D859FF" w:rsidP="00D859FF" w:rsidRDefault="00D859FF" w14:paraId="14839103" w14:textId="77777777">
            <w:pPr>
              <w:pStyle w:val="TableTitleBodyH095"/>
              <w:ind w:left="0" w:firstLine="0"/>
              <w:rPr>
                <w:sz w:val="20"/>
                <w:szCs w:val="20"/>
              </w:rPr>
            </w:pPr>
          </w:p>
        </w:tc>
        <w:tc>
          <w:tcPr>
            <w:tcW w:w="1977" w:type="dxa"/>
          </w:tcPr>
          <w:p w:rsidRPr="00113712" w:rsidR="00D859FF" w:rsidP="00D859FF" w:rsidRDefault="00D859FF" w14:paraId="165EE21B" w14:textId="0EB3A0B8">
            <w:pPr>
              <w:pStyle w:val="TableTitleBodyH095"/>
              <w:ind w:left="0" w:firstLine="0"/>
              <w:rPr>
                <w:sz w:val="20"/>
                <w:szCs w:val="20"/>
              </w:rPr>
            </w:pPr>
            <w:r w:rsidRPr="00113712">
              <w:rPr>
                <w:sz w:val="20"/>
                <w:szCs w:val="20"/>
              </w:rPr>
              <w:t>GS-2</w:t>
            </w:r>
          </w:p>
        </w:tc>
        <w:tc>
          <w:tcPr>
            <w:tcW w:w="2363" w:type="dxa"/>
          </w:tcPr>
          <w:p w:rsidRPr="00113712" w:rsidR="00D859FF" w:rsidP="00D859FF" w:rsidRDefault="00D859FF" w14:paraId="5114DA42" w14:textId="2D5E0166">
            <w:pPr>
              <w:pStyle w:val="TableTitleBodyH095"/>
              <w:ind w:left="0" w:firstLine="0"/>
              <w:rPr>
                <w:sz w:val="20"/>
                <w:szCs w:val="20"/>
              </w:rPr>
            </w:pPr>
            <w:r w:rsidRPr="00113712">
              <w:rPr>
                <w:sz w:val="20"/>
                <w:szCs w:val="20"/>
              </w:rPr>
              <w:t>3.0</w:t>
            </w:r>
          </w:p>
        </w:tc>
        <w:tc>
          <w:tcPr>
            <w:tcW w:w="2119" w:type="dxa"/>
          </w:tcPr>
          <w:p w:rsidRPr="0051634D" w:rsidR="00D859FF" w:rsidP="00D859FF" w:rsidRDefault="00D859FF" w14:paraId="2052B37C" w14:textId="02FD581A">
            <w:pPr>
              <w:pStyle w:val="TableTitleBodyH095"/>
              <w:ind w:left="0" w:firstLine="0"/>
              <w:rPr>
                <w:sz w:val="20"/>
                <w:szCs w:val="20"/>
              </w:rPr>
            </w:pPr>
            <w:r>
              <w:rPr>
                <w:sz w:val="20"/>
                <w:szCs w:val="20"/>
              </w:rPr>
              <w:t>0.30968</w:t>
            </w:r>
          </w:p>
        </w:tc>
      </w:tr>
      <w:tr w:rsidR="00D859FF" w:rsidTr="0075611F" w14:paraId="3CDB31F4" w14:textId="1FBC663A">
        <w:trPr>
          <w:jc w:val="center"/>
        </w:trPr>
        <w:tc>
          <w:tcPr>
            <w:tcW w:w="2806" w:type="dxa"/>
          </w:tcPr>
          <w:p w:rsidRPr="00113712" w:rsidR="00D859FF" w:rsidP="00D859FF" w:rsidRDefault="00D859FF" w14:paraId="7C7F997C" w14:textId="77777777">
            <w:pPr>
              <w:pStyle w:val="TableTitleBodyH095"/>
              <w:ind w:left="0" w:firstLine="0"/>
              <w:rPr>
                <w:sz w:val="20"/>
                <w:szCs w:val="20"/>
              </w:rPr>
            </w:pPr>
          </w:p>
        </w:tc>
        <w:tc>
          <w:tcPr>
            <w:tcW w:w="1977" w:type="dxa"/>
          </w:tcPr>
          <w:p w:rsidRPr="00113712" w:rsidR="00D859FF" w:rsidP="00D859FF" w:rsidRDefault="00D859FF" w14:paraId="46301280" w14:textId="17F48333">
            <w:pPr>
              <w:pStyle w:val="TableTitleBodyH095"/>
              <w:ind w:left="0" w:firstLine="0"/>
              <w:rPr>
                <w:sz w:val="20"/>
                <w:szCs w:val="20"/>
              </w:rPr>
            </w:pPr>
            <w:r w:rsidRPr="00113712">
              <w:rPr>
                <w:sz w:val="20"/>
                <w:szCs w:val="20"/>
              </w:rPr>
              <w:t>TC-1</w:t>
            </w:r>
          </w:p>
        </w:tc>
        <w:tc>
          <w:tcPr>
            <w:tcW w:w="2363" w:type="dxa"/>
          </w:tcPr>
          <w:p w:rsidRPr="00113712" w:rsidR="00D859FF" w:rsidP="00D859FF" w:rsidRDefault="00D859FF" w14:paraId="3D428AFF" w14:textId="65915173">
            <w:pPr>
              <w:pStyle w:val="TableTitleBodyH095"/>
              <w:ind w:left="0" w:firstLine="0"/>
              <w:rPr>
                <w:sz w:val="20"/>
                <w:szCs w:val="20"/>
              </w:rPr>
            </w:pPr>
            <w:r w:rsidRPr="00113712">
              <w:rPr>
                <w:sz w:val="20"/>
                <w:szCs w:val="20"/>
              </w:rPr>
              <w:t>2.7</w:t>
            </w:r>
          </w:p>
        </w:tc>
        <w:tc>
          <w:tcPr>
            <w:tcW w:w="2119" w:type="dxa"/>
          </w:tcPr>
          <w:p w:rsidRPr="0051634D" w:rsidR="00D859FF" w:rsidP="00D859FF" w:rsidRDefault="00D859FF" w14:paraId="19AA922B" w14:textId="60585446">
            <w:pPr>
              <w:pStyle w:val="TableTitleBodyH095"/>
              <w:ind w:left="0" w:firstLine="0"/>
              <w:rPr>
                <w:sz w:val="20"/>
                <w:szCs w:val="20"/>
              </w:rPr>
            </w:pPr>
            <w:r>
              <w:rPr>
                <w:sz w:val="20"/>
                <w:szCs w:val="20"/>
              </w:rPr>
              <w:t>0.33160</w:t>
            </w:r>
          </w:p>
        </w:tc>
      </w:tr>
      <w:tr w:rsidR="00D859FF" w:rsidTr="0075611F" w14:paraId="24A6BE7B" w14:textId="3FB63FF5">
        <w:trPr>
          <w:jc w:val="center"/>
        </w:trPr>
        <w:tc>
          <w:tcPr>
            <w:tcW w:w="2806" w:type="dxa"/>
          </w:tcPr>
          <w:p w:rsidRPr="00113712" w:rsidR="00D859FF" w:rsidP="00D859FF" w:rsidRDefault="00D859FF" w14:paraId="0D67A873" w14:textId="77777777">
            <w:pPr>
              <w:pStyle w:val="TableTitleBodyH095"/>
              <w:ind w:left="0" w:firstLine="0"/>
              <w:rPr>
                <w:sz w:val="20"/>
                <w:szCs w:val="20"/>
              </w:rPr>
            </w:pPr>
          </w:p>
        </w:tc>
        <w:tc>
          <w:tcPr>
            <w:tcW w:w="1977" w:type="dxa"/>
          </w:tcPr>
          <w:p w:rsidRPr="00113712" w:rsidR="00D859FF" w:rsidP="00D859FF" w:rsidRDefault="00D859FF" w14:paraId="5CB605F0" w14:textId="1A2C4660">
            <w:pPr>
              <w:pStyle w:val="TableTitleBodyH095"/>
              <w:ind w:left="0" w:firstLine="0"/>
              <w:rPr>
                <w:sz w:val="20"/>
                <w:szCs w:val="20"/>
              </w:rPr>
            </w:pPr>
            <w:r w:rsidRPr="00113712">
              <w:rPr>
                <w:sz w:val="20"/>
                <w:szCs w:val="20"/>
              </w:rPr>
              <w:t>TOU-GS</w:t>
            </w:r>
          </w:p>
        </w:tc>
        <w:tc>
          <w:tcPr>
            <w:tcW w:w="2363" w:type="dxa"/>
          </w:tcPr>
          <w:p w:rsidRPr="00113712" w:rsidR="00D859FF" w:rsidP="00D859FF" w:rsidRDefault="00D859FF" w14:paraId="4E0EB0F0" w14:textId="44910379">
            <w:pPr>
              <w:pStyle w:val="TableTitleBodyH095"/>
              <w:ind w:left="0" w:firstLine="0"/>
              <w:rPr>
                <w:sz w:val="20"/>
                <w:szCs w:val="20"/>
              </w:rPr>
            </w:pPr>
            <w:r w:rsidRPr="00113712">
              <w:rPr>
                <w:sz w:val="20"/>
                <w:szCs w:val="20"/>
              </w:rPr>
              <w:t>-4.</w:t>
            </w:r>
            <w:r>
              <w:rPr>
                <w:sz w:val="20"/>
                <w:szCs w:val="20"/>
              </w:rPr>
              <w:t>8</w:t>
            </w:r>
          </w:p>
        </w:tc>
        <w:tc>
          <w:tcPr>
            <w:tcW w:w="2119" w:type="dxa"/>
          </w:tcPr>
          <w:p w:rsidRPr="0051634D" w:rsidR="00D859FF" w:rsidP="00D859FF" w:rsidRDefault="00D859FF" w14:paraId="4DC066A8" w14:textId="420FCE7F">
            <w:pPr>
              <w:pStyle w:val="TableTitleBodyH095"/>
              <w:ind w:left="0" w:firstLine="0"/>
              <w:rPr>
                <w:sz w:val="20"/>
                <w:szCs w:val="20"/>
              </w:rPr>
            </w:pPr>
            <w:r>
              <w:rPr>
                <w:sz w:val="20"/>
                <w:szCs w:val="20"/>
              </w:rPr>
              <w:t>0.25211</w:t>
            </w:r>
          </w:p>
        </w:tc>
      </w:tr>
      <w:tr w:rsidR="00D859FF" w:rsidTr="0075611F" w14:paraId="11E4A0D6" w14:textId="692F0DE6">
        <w:trPr>
          <w:jc w:val="center"/>
        </w:trPr>
        <w:tc>
          <w:tcPr>
            <w:tcW w:w="2806" w:type="dxa"/>
          </w:tcPr>
          <w:p w:rsidRPr="00113712" w:rsidR="00D859FF" w:rsidP="00D859FF" w:rsidRDefault="00D859FF" w14:paraId="24C20907" w14:textId="65AE6104">
            <w:pPr>
              <w:pStyle w:val="TableTitleBodyH095"/>
              <w:ind w:left="0" w:firstLine="0"/>
              <w:rPr>
                <w:b/>
                <w:bCs w:val="0"/>
                <w:sz w:val="20"/>
                <w:szCs w:val="20"/>
              </w:rPr>
            </w:pPr>
            <w:r w:rsidRPr="00113712">
              <w:rPr>
                <w:b/>
                <w:bCs w:val="0"/>
                <w:sz w:val="20"/>
                <w:szCs w:val="20"/>
              </w:rPr>
              <w:t>Large Power</w:t>
            </w:r>
          </w:p>
        </w:tc>
        <w:tc>
          <w:tcPr>
            <w:tcW w:w="1977" w:type="dxa"/>
          </w:tcPr>
          <w:p w:rsidRPr="00113712" w:rsidR="00D859FF" w:rsidP="00D859FF" w:rsidRDefault="00D859FF" w14:paraId="42E1065E" w14:textId="4DAE0712">
            <w:pPr>
              <w:pStyle w:val="TableTitleBodyH095"/>
              <w:ind w:left="0" w:firstLine="0"/>
              <w:rPr>
                <w:b/>
                <w:bCs w:val="0"/>
                <w:sz w:val="20"/>
                <w:szCs w:val="20"/>
              </w:rPr>
            </w:pPr>
            <w:r w:rsidRPr="00113712">
              <w:rPr>
                <w:b/>
                <w:bCs w:val="0"/>
                <w:sz w:val="20"/>
                <w:szCs w:val="20"/>
              </w:rPr>
              <w:t>Average</w:t>
            </w:r>
          </w:p>
        </w:tc>
        <w:tc>
          <w:tcPr>
            <w:tcW w:w="2363" w:type="dxa"/>
          </w:tcPr>
          <w:p w:rsidRPr="00113712" w:rsidR="00D859FF" w:rsidP="00D859FF" w:rsidRDefault="00D859FF" w14:paraId="4DBE2029" w14:textId="57D5232F">
            <w:pPr>
              <w:pStyle w:val="TableTitleBodyH095"/>
              <w:ind w:left="0" w:firstLine="0"/>
              <w:rPr>
                <w:b/>
                <w:bCs w:val="0"/>
                <w:sz w:val="20"/>
                <w:szCs w:val="20"/>
              </w:rPr>
            </w:pPr>
            <w:r w:rsidRPr="00113712">
              <w:rPr>
                <w:b/>
                <w:bCs w:val="0"/>
                <w:sz w:val="20"/>
                <w:szCs w:val="20"/>
              </w:rPr>
              <w:t>-3.</w:t>
            </w:r>
            <w:r>
              <w:rPr>
                <w:b/>
                <w:bCs w:val="0"/>
                <w:sz w:val="20"/>
                <w:szCs w:val="20"/>
              </w:rPr>
              <w:t>6</w:t>
            </w:r>
          </w:p>
        </w:tc>
        <w:tc>
          <w:tcPr>
            <w:tcW w:w="2119" w:type="dxa"/>
          </w:tcPr>
          <w:p w:rsidRPr="0051634D" w:rsidR="00D859FF" w:rsidP="00D859FF" w:rsidRDefault="00D859FF" w14:paraId="4D352CB6" w14:textId="0432343A">
            <w:pPr>
              <w:pStyle w:val="TableTitleBodyH095"/>
              <w:ind w:left="0" w:firstLine="0"/>
              <w:rPr>
                <w:b/>
                <w:bCs w:val="0"/>
                <w:sz w:val="20"/>
                <w:szCs w:val="20"/>
              </w:rPr>
            </w:pPr>
            <w:r>
              <w:rPr>
                <w:b/>
                <w:bCs w:val="0"/>
                <w:sz w:val="20"/>
                <w:szCs w:val="20"/>
              </w:rPr>
              <w:t>0.19268</w:t>
            </w:r>
          </w:p>
        </w:tc>
      </w:tr>
      <w:tr w:rsidR="00D859FF" w:rsidTr="0075611F" w14:paraId="0C6C5212" w14:textId="0C011B23">
        <w:trPr>
          <w:jc w:val="center"/>
        </w:trPr>
        <w:tc>
          <w:tcPr>
            <w:tcW w:w="2806" w:type="dxa"/>
          </w:tcPr>
          <w:p w:rsidRPr="00113712" w:rsidR="00D859FF" w:rsidP="00D859FF" w:rsidRDefault="00D859FF" w14:paraId="333527D7" w14:textId="77777777">
            <w:pPr>
              <w:pStyle w:val="TableTitleBodyH095"/>
              <w:ind w:left="0" w:firstLine="0"/>
              <w:rPr>
                <w:sz w:val="20"/>
                <w:szCs w:val="20"/>
              </w:rPr>
            </w:pPr>
          </w:p>
        </w:tc>
        <w:tc>
          <w:tcPr>
            <w:tcW w:w="1977" w:type="dxa"/>
          </w:tcPr>
          <w:p w:rsidRPr="00113712" w:rsidR="00D859FF" w:rsidP="00D859FF" w:rsidRDefault="00D859FF" w14:paraId="194636A7" w14:textId="41B3A174">
            <w:pPr>
              <w:pStyle w:val="TableTitleBodyH095"/>
              <w:ind w:left="0" w:firstLine="0"/>
              <w:rPr>
                <w:sz w:val="20"/>
                <w:szCs w:val="20"/>
              </w:rPr>
            </w:pPr>
            <w:r w:rsidRPr="00113712">
              <w:rPr>
                <w:sz w:val="20"/>
                <w:szCs w:val="20"/>
              </w:rPr>
              <w:t>TOU-8-S</w:t>
            </w:r>
          </w:p>
        </w:tc>
        <w:tc>
          <w:tcPr>
            <w:tcW w:w="2363" w:type="dxa"/>
          </w:tcPr>
          <w:p w:rsidRPr="00113712" w:rsidR="00D859FF" w:rsidP="00D859FF" w:rsidRDefault="00D859FF" w14:paraId="35AB6C73" w14:textId="29DB6B94">
            <w:pPr>
              <w:pStyle w:val="TableTitleBodyH095"/>
              <w:ind w:left="0" w:firstLine="0"/>
              <w:rPr>
                <w:sz w:val="20"/>
                <w:szCs w:val="20"/>
              </w:rPr>
            </w:pPr>
            <w:r w:rsidRPr="00113712">
              <w:rPr>
                <w:sz w:val="20"/>
                <w:szCs w:val="20"/>
              </w:rPr>
              <w:t>-2.6</w:t>
            </w:r>
          </w:p>
        </w:tc>
        <w:tc>
          <w:tcPr>
            <w:tcW w:w="2119" w:type="dxa"/>
          </w:tcPr>
          <w:p w:rsidRPr="0051634D" w:rsidR="00D859FF" w:rsidP="00D859FF" w:rsidRDefault="00D859FF" w14:paraId="217AB91A" w14:textId="35264FA7">
            <w:pPr>
              <w:pStyle w:val="TableTitleBodyH095"/>
              <w:ind w:left="0" w:firstLine="0"/>
              <w:rPr>
                <w:sz w:val="20"/>
                <w:szCs w:val="20"/>
              </w:rPr>
            </w:pPr>
            <w:r>
              <w:rPr>
                <w:sz w:val="20"/>
                <w:szCs w:val="20"/>
              </w:rPr>
              <w:t>0.22851</w:t>
            </w:r>
          </w:p>
        </w:tc>
      </w:tr>
      <w:tr w:rsidR="00D859FF" w:rsidTr="0075611F" w14:paraId="3F0E27E1" w14:textId="7C1BD470">
        <w:trPr>
          <w:jc w:val="center"/>
        </w:trPr>
        <w:tc>
          <w:tcPr>
            <w:tcW w:w="2806" w:type="dxa"/>
          </w:tcPr>
          <w:p w:rsidRPr="00113712" w:rsidR="00D859FF" w:rsidP="00D859FF" w:rsidRDefault="00D859FF" w14:paraId="16105D3D" w14:textId="77777777">
            <w:pPr>
              <w:pStyle w:val="TableTitleBodyH095"/>
              <w:ind w:left="0" w:firstLine="0"/>
              <w:rPr>
                <w:sz w:val="20"/>
                <w:szCs w:val="20"/>
              </w:rPr>
            </w:pPr>
          </w:p>
        </w:tc>
        <w:tc>
          <w:tcPr>
            <w:tcW w:w="1977" w:type="dxa"/>
          </w:tcPr>
          <w:p w:rsidRPr="00113712" w:rsidR="00D859FF" w:rsidP="00D859FF" w:rsidRDefault="00D859FF" w14:paraId="0CD5AFB3" w14:textId="313AFDF1">
            <w:pPr>
              <w:pStyle w:val="TableTitleBodyH095"/>
              <w:ind w:left="0" w:firstLine="0"/>
              <w:rPr>
                <w:sz w:val="20"/>
                <w:szCs w:val="20"/>
              </w:rPr>
            </w:pPr>
            <w:r w:rsidRPr="00113712">
              <w:rPr>
                <w:sz w:val="20"/>
                <w:szCs w:val="20"/>
              </w:rPr>
              <w:t>TOU-8-P</w:t>
            </w:r>
          </w:p>
        </w:tc>
        <w:tc>
          <w:tcPr>
            <w:tcW w:w="2363" w:type="dxa"/>
          </w:tcPr>
          <w:p w:rsidRPr="00113712" w:rsidR="00D859FF" w:rsidP="00D859FF" w:rsidRDefault="00D859FF" w14:paraId="7CC224E4" w14:textId="64631677">
            <w:pPr>
              <w:pStyle w:val="TableTitleBodyH095"/>
              <w:ind w:left="0" w:firstLine="0"/>
              <w:rPr>
                <w:sz w:val="20"/>
                <w:szCs w:val="20"/>
              </w:rPr>
            </w:pPr>
            <w:r w:rsidRPr="00113712">
              <w:rPr>
                <w:sz w:val="20"/>
                <w:szCs w:val="20"/>
              </w:rPr>
              <w:t>-1.</w:t>
            </w:r>
            <w:r>
              <w:rPr>
                <w:sz w:val="20"/>
                <w:szCs w:val="20"/>
              </w:rPr>
              <w:t>1</w:t>
            </w:r>
          </w:p>
        </w:tc>
        <w:tc>
          <w:tcPr>
            <w:tcW w:w="2119" w:type="dxa"/>
          </w:tcPr>
          <w:p w:rsidRPr="0051634D" w:rsidR="00D859FF" w:rsidP="00D859FF" w:rsidRDefault="00D859FF" w14:paraId="52B1BD27" w14:textId="228DCB87">
            <w:pPr>
              <w:pStyle w:val="TableTitleBodyH095"/>
              <w:ind w:left="0" w:firstLine="0"/>
              <w:rPr>
                <w:sz w:val="20"/>
                <w:szCs w:val="20"/>
              </w:rPr>
            </w:pPr>
            <w:r>
              <w:rPr>
                <w:sz w:val="20"/>
                <w:szCs w:val="20"/>
              </w:rPr>
              <w:t>0.21338</w:t>
            </w:r>
          </w:p>
        </w:tc>
      </w:tr>
      <w:tr w:rsidR="00D859FF" w:rsidTr="0075611F" w14:paraId="177BD294" w14:textId="07B273BD">
        <w:trPr>
          <w:jc w:val="center"/>
        </w:trPr>
        <w:tc>
          <w:tcPr>
            <w:tcW w:w="2806" w:type="dxa"/>
          </w:tcPr>
          <w:p w:rsidRPr="00113712" w:rsidR="00D859FF" w:rsidP="00D859FF" w:rsidRDefault="00D859FF" w14:paraId="3267A465" w14:textId="77777777">
            <w:pPr>
              <w:pStyle w:val="TableTitleBodyH095"/>
              <w:ind w:left="0" w:firstLine="0"/>
              <w:rPr>
                <w:sz w:val="20"/>
                <w:szCs w:val="20"/>
              </w:rPr>
            </w:pPr>
          </w:p>
        </w:tc>
        <w:tc>
          <w:tcPr>
            <w:tcW w:w="1977" w:type="dxa"/>
          </w:tcPr>
          <w:p w:rsidRPr="00113712" w:rsidR="00D859FF" w:rsidP="00D859FF" w:rsidRDefault="00D859FF" w14:paraId="4D1A8D28" w14:textId="41FA4C9D">
            <w:pPr>
              <w:pStyle w:val="TableTitleBodyH095"/>
              <w:ind w:left="0" w:firstLine="0"/>
              <w:rPr>
                <w:sz w:val="20"/>
                <w:szCs w:val="20"/>
              </w:rPr>
            </w:pPr>
            <w:r w:rsidRPr="00113712">
              <w:rPr>
                <w:sz w:val="20"/>
                <w:szCs w:val="20"/>
              </w:rPr>
              <w:t>TOU-8-T</w:t>
            </w:r>
          </w:p>
        </w:tc>
        <w:tc>
          <w:tcPr>
            <w:tcW w:w="2363" w:type="dxa"/>
          </w:tcPr>
          <w:p w:rsidRPr="00113712" w:rsidR="00D859FF" w:rsidP="00D859FF" w:rsidRDefault="00D859FF" w14:paraId="0EA628E7" w14:textId="2FBFBECA">
            <w:pPr>
              <w:pStyle w:val="TableTitleBodyH095"/>
              <w:ind w:left="0" w:firstLine="0"/>
              <w:rPr>
                <w:sz w:val="20"/>
                <w:szCs w:val="20"/>
              </w:rPr>
            </w:pPr>
            <w:r w:rsidRPr="00113712">
              <w:rPr>
                <w:sz w:val="20"/>
                <w:szCs w:val="20"/>
              </w:rPr>
              <w:t>-6.</w:t>
            </w:r>
            <w:r>
              <w:rPr>
                <w:sz w:val="20"/>
                <w:szCs w:val="20"/>
              </w:rPr>
              <w:t>8</w:t>
            </w:r>
          </w:p>
        </w:tc>
        <w:tc>
          <w:tcPr>
            <w:tcW w:w="2119" w:type="dxa"/>
          </w:tcPr>
          <w:p w:rsidRPr="0051634D" w:rsidR="00D859FF" w:rsidP="00D859FF" w:rsidRDefault="00D859FF" w14:paraId="640EC2B8" w14:textId="247CFB23">
            <w:pPr>
              <w:pStyle w:val="TableTitleBodyH095"/>
              <w:ind w:left="0" w:firstLine="0"/>
              <w:rPr>
                <w:sz w:val="20"/>
                <w:szCs w:val="20"/>
              </w:rPr>
            </w:pPr>
            <w:r>
              <w:rPr>
                <w:sz w:val="20"/>
                <w:szCs w:val="20"/>
              </w:rPr>
              <w:t>0.13714</w:t>
            </w:r>
          </w:p>
        </w:tc>
      </w:tr>
      <w:tr w:rsidR="00D859FF" w:rsidTr="0075611F" w14:paraId="6A815ED2" w14:textId="2550FB5D">
        <w:trPr>
          <w:jc w:val="center"/>
        </w:trPr>
        <w:tc>
          <w:tcPr>
            <w:tcW w:w="2806" w:type="dxa"/>
          </w:tcPr>
          <w:p w:rsidRPr="00113712" w:rsidR="00D859FF" w:rsidP="00D859FF" w:rsidRDefault="00D859FF" w14:paraId="517DC36B" w14:textId="77777777">
            <w:pPr>
              <w:pStyle w:val="TableTitleBodyH095"/>
              <w:ind w:left="0" w:firstLine="0"/>
              <w:rPr>
                <w:sz w:val="20"/>
                <w:szCs w:val="20"/>
              </w:rPr>
            </w:pPr>
          </w:p>
        </w:tc>
        <w:tc>
          <w:tcPr>
            <w:tcW w:w="1977" w:type="dxa"/>
          </w:tcPr>
          <w:p w:rsidRPr="00113712" w:rsidR="00D859FF" w:rsidP="00D859FF" w:rsidRDefault="00D859FF" w14:paraId="60BEC087" w14:textId="6C4FC690">
            <w:pPr>
              <w:pStyle w:val="TableTitleBodyH095"/>
              <w:ind w:left="0" w:firstLine="0"/>
              <w:rPr>
                <w:sz w:val="20"/>
                <w:szCs w:val="20"/>
              </w:rPr>
            </w:pPr>
            <w:r w:rsidRPr="00113712">
              <w:rPr>
                <w:sz w:val="20"/>
                <w:szCs w:val="20"/>
              </w:rPr>
              <w:t>TOU-8-S-S</w:t>
            </w:r>
          </w:p>
        </w:tc>
        <w:tc>
          <w:tcPr>
            <w:tcW w:w="2363" w:type="dxa"/>
          </w:tcPr>
          <w:p w:rsidRPr="00113712" w:rsidR="00D859FF" w:rsidP="00D859FF" w:rsidRDefault="00D859FF" w14:paraId="10ECE106" w14:textId="039C4A89">
            <w:pPr>
              <w:pStyle w:val="TableTitleBodyH095"/>
              <w:ind w:left="0" w:firstLine="0"/>
              <w:rPr>
                <w:sz w:val="20"/>
                <w:szCs w:val="20"/>
              </w:rPr>
            </w:pPr>
            <w:r w:rsidRPr="00113712">
              <w:rPr>
                <w:sz w:val="20"/>
                <w:szCs w:val="20"/>
              </w:rPr>
              <w:t>-3.0</w:t>
            </w:r>
          </w:p>
        </w:tc>
        <w:tc>
          <w:tcPr>
            <w:tcW w:w="2119" w:type="dxa"/>
          </w:tcPr>
          <w:p w:rsidRPr="0051634D" w:rsidR="00D859FF" w:rsidP="00D859FF" w:rsidRDefault="00D859FF" w14:paraId="2EC7F58E" w14:textId="0AF903C5">
            <w:pPr>
              <w:pStyle w:val="TableTitleBodyH095"/>
              <w:ind w:left="0" w:firstLine="0"/>
              <w:rPr>
                <w:sz w:val="20"/>
                <w:szCs w:val="20"/>
              </w:rPr>
            </w:pPr>
            <w:r>
              <w:rPr>
                <w:sz w:val="20"/>
                <w:szCs w:val="20"/>
              </w:rPr>
              <w:t>0.24094</w:t>
            </w:r>
          </w:p>
        </w:tc>
      </w:tr>
      <w:tr w:rsidR="00D859FF" w:rsidTr="0075611F" w14:paraId="179158FD" w14:textId="48240919">
        <w:trPr>
          <w:jc w:val="center"/>
        </w:trPr>
        <w:tc>
          <w:tcPr>
            <w:tcW w:w="2806" w:type="dxa"/>
          </w:tcPr>
          <w:p w:rsidRPr="00113712" w:rsidR="00D859FF" w:rsidP="00D859FF" w:rsidRDefault="00D859FF" w14:paraId="573BF0D4" w14:textId="77777777">
            <w:pPr>
              <w:pStyle w:val="TableTitleBodyH095"/>
              <w:ind w:left="0" w:firstLine="0"/>
              <w:rPr>
                <w:sz w:val="20"/>
                <w:szCs w:val="20"/>
              </w:rPr>
            </w:pPr>
          </w:p>
        </w:tc>
        <w:tc>
          <w:tcPr>
            <w:tcW w:w="1977" w:type="dxa"/>
          </w:tcPr>
          <w:p w:rsidRPr="00113712" w:rsidR="00D859FF" w:rsidP="00D859FF" w:rsidRDefault="00D859FF" w14:paraId="3192DA65" w14:textId="69070D14">
            <w:pPr>
              <w:pStyle w:val="TableTitleBodyH095"/>
              <w:ind w:left="0" w:firstLine="0"/>
              <w:rPr>
                <w:sz w:val="20"/>
                <w:szCs w:val="20"/>
              </w:rPr>
            </w:pPr>
            <w:r w:rsidRPr="00113712">
              <w:rPr>
                <w:sz w:val="20"/>
                <w:szCs w:val="20"/>
              </w:rPr>
              <w:t>TOU-8-S-P</w:t>
            </w:r>
          </w:p>
        </w:tc>
        <w:tc>
          <w:tcPr>
            <w:tcW w:w="2363" w:type="dxa"/>
          </w:tcPr>
          <w:p w:rsidRPr="00113712" w:rsidR="00D859FF" w:rsidP="00D859FF" w:rsidRDefault="00D859FF" w14:paraId="69D12550" w14:textId="69C4BDE9">
            <w:pPr>
              <w:pStyle w:val="TableTitleBodyH095"/>
              <w:ind w:left="0" w:firstLine="0"/>
              <w:rPr>
                <w:sz w:val="20"/>
                <w:szCs w:val="20"/>
              </w:rPr>
            </w:pPr>
            <w:r w:rsidRPr="00113712">
              <w:rPr>
                <w:sz w:val="20"/>
                <w:szCs w:val="20"/>
              </w:rPr>
              <w:t>-</w:t>
            </w:r>
            <w:r>
              <w:rPr>
                <w:sz w:val="20"/>
                <w:szCs w:val="20"/>
              </w:rPr>
              <w:t>2.0</w:t>
            </w:r>
          </w:p>
        </w:tc>
        <w:tc>
          <w:tcPr>
            <w:tcW w:w="2119" w:type="dxa"/>
          </w:tcPr>
          <w:p w:rsidRPr="0051634D" w:rsidR="00D859FF" w:rsidP="00D859FF" w:rsidRDefault="00D859FF" w14:paraId="297DECFC" w14:textId="129F0482">
            <w:pPr>
              <w:pStyle w:val="TableTitleBodyH095"/>
              <w:ind w:left="0" w:firstLine="0"/>
              <w:rPr>
                <w:sz w:val="20"/>
                <w:szCs w:val="20"/>
              </w:rPr>
            </w:pPr>
            <w:r>
              <w:rPr>
                <w:sz w:val="20"/>
                <w:szCs w:val="20"/>
              </w:rPr>
              <w:t>0.23388</w:t>
            </w:r>
          </w:p>
        </w:tc>
      </w:tr>
      <w:tr w:rsidR="00D859FF" w:rsidTr="0075611F" w14:paraId="6D553389" w14:textId="5EF93E69">
        <w:trPr>
          <w:jc w:val="center"/>
        </w:trPr>
        <w:tc>
          <w:tcPr>
            <w:tcW w:w="2806" w:type="dxa"/>
          </w:tcPr>
          <w:p w:rsidRPr="00113712" w:rsidR="00D859FF" w:rsidP="00D859FF" w:rsidRDefault="00D859FF" w14:paraId="24B27821" w14:textId="77777777">
            <w:pPr>
              <w:pStyle w:val="TableTitleBodyH095"/>
              <w:ind w:left="0" w:firstLine="0"/>
              <w:rPr>
                <w:sz w:val="20"/>
                <w:szCs w:val="20"/>
              </w:rPr>
            </w:pPr>
          </w:p>
        </w:tc>
        <w:tc>
          <w:tcPr>
            <w:tcW w:w="1977" w:type="dxa"/>
          </w:tcPr>
          <w:p w:rsidRPr="00113712" w:rsidR="00D859FF" w:rsidP="00D859FF" w:rsidRDefault="00D859FF" w14:paraId="6DB7554A" w14:textId="5FE0217A">
            <w:pPr>
              <w:pStyle w:val="TableTitleBodyH095"/>
              <w:ind w:left="0" w:firstLine="0"/>
              <w:rPr>
                <w:sz w:val="20"/>
                <w:szCs w:val="20"/>
              </w:rPr>
            </w:pPr>
            <w:r w:rsidRPr="00113712">
              <w:rPr>
                <w:sz w:val="20"/>
                <w:szCs w:val="20"/>
              </w:rPr>
              <w:t>TOU-8-T</w:t>
            </w:r>
          </w:p>
        </w:tc>
        <w:tc>
          <w:tcPr>
            <w:tcW w:w="2363" w:type="dxa"/>
          </w:tcPr>
          <w:p w:rsidRPr="00113712" w:rsidR="00D859FF" w:rsidP="00D859FF" w:rsidRDefault="00D859FF" w14:paraId="2D4FE6C7" w14:textId="5051E057">
            <w:pPr>
              <w:pStyle w:val="TableTitleBodyH095"/>
              <w:ind w:left="0" w:firstLine="0"/>
              <w:rPr>
                <w:sz w:val="20"/>
                <w:szCs w:val="20"/>
              </w:rPr>
            </w:pPr>
            <w:r w:rsidRPr="00113712">
              <w:rPr>
                <w:sz w:val="20"/>
                <w:szCs w:val="20"/>
              </w:rPr>
              <w:t>-4.</w:t>
            </w:r>
            <w:r>
              <w:rPr>
                <w:sz w:val="20"/>
                <w:szCs w:val="20"/>
              </w:rPr>
              <w:t>6</w:t>
            </w:r>
          </w:p>
        </w:tc>
        <w:tc>
          <w:tcPr>
            <w:tcW w:w="2119" w:type="dxa"/>
          </w:tcPr>
          <w:p w:rsidRPr="0051634D" w:rsidR="00D859FF" w:rsidP="00D859FF" w:rsidRDefault="00D859FF" w14:paraId="1ADC2B32" w14:textId="0AAFD1DB">
            <w:pPr>
              <w:pStyle w:val="TableTitleBodyH095"/>
              <w:ind w:left="0" w:firstLine="0"/>
              <w:rPr>
                <w:sz w:val="20"/>
                <w:szCs w:val="20"/>
              </w:rPr>
            </w:pPr>
            <w:r>
              <w:rPr>
                <w:sz w:val="20"/>
                <w:szCs w:val="20"/>
              </w:rPr>
              <w:t>0.15106</w:t>
            </w:r>
          </w:p>
        </w:tc>
      </w:tr>
      <w:tr w:rsidR="00D859FF" w:rsidTr="0075611F" w14:paraId="2EE926BA" w14:textId="0B71E9F8">
        <w:trPr>
          <w:jc w:val="center"/>
        </w:trPr>
        <w:tc>
          <w:tcPr>
            <w:tcW w:w="2806" w:type="dxa"/>
          </w:tcPr>
          <w:p w:rsidRPr="00113712" w:rsidR="00D859FF" w:rsidP="00D859FF" w:rsidRDefault="00D859FF" w14:paraId="15DCA045" w14:textId="348AF8FC">
            <w:pPr>
              <w:pStyle w:val="TableTitleBodyH095"/>
              <w:ind w:left="0" w:firstLine="0"/>
              <w:rPr>
                <w:b/>
                <w:bCs w:val="0"/>
                <w:sz w:val="20"/>
                <w:szCs w:val="20"/>
              </w:rPr>
            </w:pPr>
            <w:r w:rsidRPr="00113712">
              <w:rPr>
                <w:b/>
                <w:bCs w:val="0"/>
                <w:sz w:val="20"/>
                <w:szCs w:val="20"/>
              </w:rPr>
              <w:t>Agricultural &amp; Pumping</w:t>
            </w:r>
          </w:p>
        </w:tc>
        <w:tc>
          <w:tcPr>
            <w:tcW w:w="1977" w:type="dxa"/>
          </w:tcPr>
          <w:p w:rsidRPr="00113712" w:rsidR="00D859FF" w:rsidP="00D859FF" w:rsidRDefault="00D859FF" w14:paraId="4BFD3F4C" w14:textId="3BFD37CC">
            <w:pPr>
              <w:pStyle w:val="TableTitleBodyH095"/>
              <w:ind w:left="0" w:firstLine="0"/>
              <w:rPr>
                <w:b/>
                <w:bCs w:val="0"/>
                <w:sz w:val="20"/>
                <w:szCs w:val="20"/>
              </w:rPr>
            </w:pPr>
            <w:r w:rsidRPr="00113712">
              <w:rPr>
                <w:b/>
                <w:bCs w:val="0"/>
                <w:sz w:val="20"/>
                <w:szCs w:val="20"/>
              </w:rPr>
              <w:t>Average</w:t>
            </w:r>
          </w:p>
        </w:tc>
        <w:tc>
          <w:tcPr>
            <w:tcW w:w="2363" w:type="dxa"/>
          </w:tcPr>
          <w:p w:rsidRPr="00113712" w:rsidR="00D859FF" w:rsidP="00D859FF" w:rsidRDefault="00D859FF" w14:paraId="4D722458" w14:textId="4F7F9335">
            <w:pPr>
              <w:pStyle w:val="TableTitleBodyH095"/>
              <w:ind w:left="0" w:firstLine="0"/>
              <w:rPr>
                <w:b/>
                <w:bCs w:val="0"/>
                <w:sz w:val="20"/>
                <w:szCs w:val="20"/>
              </w:rPr>
            </w:pPr>
            <w:r w:rsidRPr="00113712">
              <w:rPr>
                <w:b/>
                <w:bCs w:val="0"/>
                <w:sz w:val="20"/>
                <w:szCs w:val="20"/>
              </w:rPr>
              <w:t>-6.</w:t>
            </w:r>
            <w:r>
              <w:rPr>
                <w:b/>
                <w:bCs w:val="0"/>
                <w:sz w:val="20"/>
                <w:szCs w:val="20"/>
              </w:rPr>
              <w:t>1</w:t>
            </w:r>
          </w:p>
        </w:tc>
        <w:tc>
          <w:tcPr>
            <w:tcW w:w="2119" w:type="dxa"/>
          </w:tcPr>
          <w:p w:rsidRPr="0051634D" w:rsidR="00D859FF" w:rsidP="00D859FF" w:rsidRDefault="00D859FF" w14:paraId="2C29898A" w14:textId="6C27D986">
            <w:pPr>
              <w:pStyle w:val="TableTitleBodyH095"/>
              <w:ind w:left="0" w:firstLine="0"/>
              <w:rPr>
                <w:b/>
                <w:bCs w:val="0"/>
                <w:sz w:val="20"/>
                <w:szCs w:val="20"/>
              </w:rPr>
            </w:pPr>
            <w:r>
              <w:rPr>
                <w:b/>
                <w:bCs w:val="0"/>
                <w:sz w:val="20"/>
                <w:szCs w:val="20"/>
              </w:rPr>
              <w:t>0.23072</w:t>
            </w:r>
          </w:p>
        </w:tc>
      </w:tr>
      <w:tr w:rsidR="00D859FF" w:rsidTr="0075611F" w14:paraId="6BD5F57F" w14:textId="508E40AF">
        <w:trPr>
          <w:jc w:val="center"/>
        </w:trPr>
        <w:tc>
          <w:tcPr>
            <w:tcW w:w="2806" w:type="dxa"/>
          </w:tcPr>
          <w:p w:rsidRPr="00113712" w:rsidR="00D859FF" w:rsidP="00D859FF" w:rsidRDefault="00D859FF" w14:paraId="23BECFB6" w14:textId="77777777">
            <w:pPr>
              <w:pStyle w:val="TableTitleBodyH095"/>
              <w:ind w:left="0" w:firstLine="0"/>
              <w:rPr>
                <w:sz w:val="20"/>
                <w:szCs w:val="20"/>
              </w:rPr>
            </w:pPr>
          </w:p>
        </w:tc>
        <w:tc>
          <w:tcPr>
            <w:tcW w:w="1977" w:type="dxa"/>
          </w:tcPr>
          <w:p w:rsidRPr="00113712" w:rsidR="00D859FF" w:rsidP="00D859FF" w:rsidRDefault="00D859FF" w14:paraId="6A334B3D" w14:textId="320E2591">
            <w:pPr>
              <w:pStyle w:val="TableTitleBodyH095"/>
              <w:ind w:left="0" w:firstLine="0"/>
              <w:rPr>
                <w:sz w:val="20"/>
                <w:szCs w:val="20"/>
              </w:rPr>
            </w:pPr>
            <w:r>
              <w:rPr>
                <w:sz w:val="20"/>
                <w:szCs w:val="20"/>
              </w:rPr>
              <w:t>TOU-PA-2</w:t>
            </w:r>
          </w:p>
        </w:tc>
        <w:tc>
          <w:tcPr>
            <w:tcW w:w="2363" w:type="dxa"/>
          </w:tcPr>
          <w:p w:rsidRPr="00113712" w:rsidR="00D859FF" w:rsidP="00D859FF" w:rsidRDefault="00D859FF" w14:paraId="4CDA3FFF" w14:textId="51B7E1C1">
            <w:pPr>
              <w:pStyle w:val="TableTitleBodyH095"/>
              <w:ind w:left="0" w:firstLine="0"/>
              <w:rPr>
                <w:sz w:val="20"/>
                <w:szCs w:val="20"/>
              </w:rPr>
            </w:pPr>
            <w:r>
              <w:rPr>
                <w:sz w:val="20"/>
                <w:szCs w:val="20"/>
              </w:rPr>
              <w:t>-9.3</w:t>
            </w:r>
          </w:p>
        </w:tc>
        <w:tc>
          <w:tcPr>
            <w:tcW w:w="2119" w:type="dxa"/>
          </w:tcPr>
          <w:p w:rsidR="00D859FF" w:rsidP="00D859FF" w:rsidRDefault="00D859FF" w14:paraId="7C545356" w14:textId="6A90BF9D">
            <w:pPr>
              <w:pStyle w:val="TableTitleBodyH095"/>
              <w:ind w:left="0" w:firstLine="0"/>
              <w:rPr>
                <w:sz w:val="20"/>
                <w:szCs w:val="20"/>
              </w:rPr>
            </w:pPr>
            <w:r>
              <w:rPr>
                <w:sz w:val="20"/>
                <w:szCs w:val="20"/>
              </w:rPr>
              <w:t>0.24990</w:t>
            </w:r>
          </w:p>
        </w:tc>
      </w:tr>
      <w:tr w:rsidR="00D859FF" w:rsidTr="0075611F" w14:paraId="5D4338C7" w14:textId="4A0DFB4F">
        <w:trPr>
          <w:jc w:val="center"/>
        </w:trPr>
        <w:tc>
          <w:tcPr>
            <w:tcW w:w="2806" w:type="dxa"/>
          </w:tcPr>
          <w:p w:rsidRPr="00113712" w:rsidR="00D859FF" w:rsidP="00D859FF" w:rsidRDefault="00D859FF" w14:paraId="16ACFE36" w14:textId="77777777">
            <w:pPr>
              <w:pStyle w:val="TableTitleBodyH095"/>
              <w:ind w:left="0" w:firstLine="0"/>
              <w:rPr>
                <w:sz w:val="20"/>
                <w:szCs w:val="20"/>
              </w:rPr>
            </w:pPr>
          </w:p>
        </w:tc>
        <w:tc>
          <w:tcPr>
            <w:tcW w:w="1977" w:type="dxa"/>
          </w:tcPr>
          <w:p w:rsidRPr="00113712" w:rsidR="00D859FF" w:rsidP="00D859FF" w:rsidRDefault="00D859FF" w14:paraId="05A12B19" w14:textId="12C38991">
            <w:pPr>
              <w:pStyle w:val="TableTitleBodyH095"/>
              <w:ind w:left="0" w:firstLine="0"/>
              <w:rPr>
                <w:sz w:val="20"/>
                <w:szCs w:val="20"/>
              </w:rPr>
            </w:pPr>
            <w:r>
              <w:rPr>
                <w:sz w:val="20"/>
                <w:szCs w:val="20"/>
              </w:rPr>
              <w:t>TOU-PA-3</w:t>
            </w:r>
          </w:p>
        </w:tc>
        <w:tc>
          <w:tcPr>
            <w:tcW w:w="2363" w:type="dxa"/>
          </w:tcPr>
          <w:p w:rsidRPr="00113712" w:rsidR="00D859FF" w:rsidP="00D859FF" w:rsidRDefault="00D859FF" w14:paraId="12FF0A85" w14:textId="3F2AF9C3">
            <w:pPr>
              <w:pStyle w:val="TableTitleBodyH095"/>
              <w:ind w:left="0" w:firstLine="0"/>
              <w:rPr>
                <w:sz w:val="20"/>
                <w:szCs w:val="20"/>
              </w:rPr>
            </w:pPr>
            <w:r>
              <w:rPr>
                <w:sz w:val="20"/>
                <w:szCs w:val="20"/>
              </w:rPr>
              <w:t>-2.7</w:t>
            </w:r>
          </w:p>
        </w:tc>
        <w:tc>
          <w:tcPr>
            <w:tcW w:w="2119" w:type="dxa"/>
          </w:tcPr>
          <w:p w:rsidR="00D859FF" w:rsidP="00D859FF" w:rsidRDefault="00D859FF" w14:paraId="156EE34A" w14:textId="38F7E369">
            <w:pPr>
              <w:pStyle w:val="TableTitleBodyH095"/>
              <w:ind w:left="0" w:firstLine="0"/>
              <w:rPr>
                <w:sz w:val="20"/>
                <w:szCs w:val="20"/>
              </w:rPr>
            </w:pPr>
            <w:r>
              <w:rPr>
                <w:sz w:val="20"/>
                <w:szCs w:val="20"/>
              </w:rPr>
              <w:t>0.20864</w:t>
            </w:r>
          </w:p>
        </w:tc>
      </w:tr>
      <w:tr w:rsidR="00D859FF" w:rsidTr="0075611F" w14:paraId="6D1FC978" w14:textId="5A123C56">
        <w:trPr>
          <w:jc w:val="center"/>
        </w:trPr>
        <w:tc>
          <w:tcPr>
            <w:tcW w:w="2806" w:type="dxa"/>
          </w:tcPr>
          <w:p w:rsidRPr="00113712" w:rsidR="00D859FF" w:rsidP="00D859FF" w:rsidRDefault="00D859FF" w14:paraId="12404FB5" w14:textId="43D76431">
            <w:pPr>
              <w:pStyle w:val="TableTitleBodyH095"/>
              <w:ind w:left="0" w:firstLine="0"/>
              <w:rPr>
                <w:b/>
                <w:bCs w:val="0"/>
                <w:sz w:val="20"/>
                <w:szCs w:val="20"/>
              </w:rPr>
            </w:pPr>
            <w:r w:rsidRPr="00113712">
              <w:rPr>
                <w:b/>
                <w:bCs w:val="0"/>
                <w:sz w:val="20"/>
                <w:szCs w:val="20"/>
              </w:rPr>
              <w:t>Street &amp; Area Lighting</w:t>
            </w:r>
          </w:p>
        </w:tc>
        <w:tc>
          <w:tcPr>
            <w:tcW w:w="1977" w:type="dxa"/>
          </w:tcPr>
          <w:p w:rsidRPr="00113712" w:rsidR="00D859FF" w:rsidP="00D859FF" w:rsidRDefault="00D859FF" w14:paraId="483E91B2" w14:textId="464D97C7">
            <w:pPr>
              <w:pStyle w:val="TableTitleBodyH095"/>
              <w:ind w:left="0" w:firstLine="0"/>
              <w:rPr>
                <w:b/>
                <w:bCs w:val="0"/>
                <w:sz w:val="20"/>
                <w:szCs w:val="20"/>
              </w:rPr>
            </w:pPr>
            <w:r w:rsidRPr="00113712">
              <w:rPr>
                <w:b/>
                <w:bCs w:val="0"/>
                <w:sz w:val="20"/>
                <w:szCs w:val="20"/>
              </w:rPr>
              <w:t>Average</w:t>
            </w:r>
          </w:p>
        </w:tc>
        <w:tc>
          <w:tcPr>
            <w:tcW w:w="2363" w:type="dxa"/>
          </w:tcPr>
          <w:p w:rsidRPr="00113712" w:rsidR="00D859FF" w:rsidP="00D859FF" w:rsidRDefault="00D859FF" w14:paraId="23682352" w14:textId="018C519F">
            <w:pPr>
              <w:pStyle w:val="TableTitleBodyH095"/>
              <w:ind w:left="0" w:firstLine="0"/>
              <w:rPr>
                <w:b/>
                <w:bCs w:val="0"/>
                <w:sz w:val="20"/>
                <w:szCs w:val="20"/>
              </w:rPr>
            </w:pPr>
            <w:r w:rsidRPr="00113712">
              <w:rPr>
                <w:b/>
                <w:bCs w:val="0"/>
                <w:sz w:val="20"/>
                <w:szCs w:val="20"/>
              </w:rPr>
              <w:t>-6.</w:t>
            </w:r>
            <w:r>
              <w:rPr>
                <w:b/>
                <w:bCs w:val="0"/>
                <w:sz w:val="20"/>
                <w:szCs w:val="20"/>
              </w:rPr>
              <w:t>3</w:t>
            </w:r>
          </w:p>
        </w:tc>
        <w:tc>
          <w:tcPr>
            <w:tcW w:w="2119" w:type="dxa"/>
          </w:tcPr>
          <w:p w:rsidRPr="0051634D" w:rsidR="00D859FF" w:rsidP="00D859FF" w:rsidRDefault="00D859FF" w14:paraId="08A1A0C3" w14:textId="371CF6C4">
            <w:pPr>
              <w:pStyle w:val="TableTitleBodyH095"/>
              <w:ind w:left="0" w:firstLine="0"/>
              <w:rPr>
                <w:b/>
                <w:bCs w:val="0"/>
                <w:sz w:val="20"/>
                <w:szCs w:val="20"/>
              </w:rPr>
            </w:pPr>
            <w:r>
              <w:rPr>
                <w:b/>
                <w:bCs w:val="0"/>
                <w:sz w:val="20"/>
                <w:szCs w:val="20"/>
              </w:rPr>
              <w:t>0.30606</w:t>
            </w:r>
          </w:p>
        </w:tc>
      </w:tr>
      <w:tr w:rsidR="00D859FF" w:rsidTr="0075611F" w14:paraId="3111CEA8" w14:textId="3BA1136F">
        <w:trPr>
          <w:jc w:val="center"/>
        </w:trPr>
        <w:tc>
          <w:tcPr>
            <w:tcW w:w="2806" w:type="dxa"/>
          </w:tcPr>
          <w:p w:rsidRPr="00113712" w:rsidR="00D859FF" w:rsidP="00D859FF" w:rsidRDefault="00D859FF" w14:paraId="04FEA940" w14:textId="77777777">
            <w:pPr>
              <w:pStyle w:val="TableTitleBodyH095"/>
              <w:ind w:left="0" w:firstLine="0"/>
              <w:rPr>
                <w:sz w:val="20"/>
                <w:szCs w:val="20"/>
              </w:rPr>
            </w:pPr>
          </w:p>
        </w:tc>
        <w:tc>
          <w:tcPr>
            <w:tcW w:w="1977" w:type="dxa"/>
          </w:tcPr>
          <w:p w:rsidRPr="00113712" w:rsidR="00D859FF" w:rsidP="00D859FF" w:rsidRDefault="00D859FF" w14:paraId="38AFA024" w14:textId="020B4B63">
            <w:pPr>
              <w:pStyle w:val="TableTitleBodyH095"/>
              <w:ind w:left="0" w:firstLine="0"/>
              <w:rPr>
                <w:sz w:val="20"/>
                <w:szCs w:val="20"/>
              </w:rPr>
            </w:pPr>
            <w:r>
              <w:rPr>
                <w:sz w:val="20"/>
                <w:szCs w:val="20"/>
              </w:rPr>
              <w:t>LS-1</w:t>
            </w:r>
          </w:p>
        </w:tc>
        <w:tc>
          <w:tcPr>
            <w:tcW w:w="2363" w:type="dxa"/>
          </w:tcPr>
          <w:p w:rsidRPr="00113712" w:rsidR="00D859FF" w:rsidP="00D859FF" w:rsidRDefault="00D859FF" w14:paraId="449F5F24" w14:textId="68151241">
            <w:pPr>
              <w:pStyle w:val="TableTitleBodyH095"/>
              <w:ind w:left="0" w:firstLine="0"/>
              <w:rPr>
                <w:sz w:val="20"/>
                <w:szCs w:val="20"/>
              </w:rPr>
            </w:pPr>
            <w:r>
              <w:rPr>
                <w:sz w:val="20"/>
                <w:szCs w:val="20"/>
              </w:rPr>
              <w:t>1.3</w:t>
            </w:r>
          </w:p>
        </w:tc>
        <w:tc>
          <w:tcPr>
            <w:tcW w:w="2119" w:type="dxa"/>
          </w:tcPr>
          <w:p w:rsidR="00D859FF" w:rsidP="00D859FF" w:rsidRDefault="00D859FF" w14:paraId="2D7364D0" w14:textId="5D1BB9A9">
            <w:pPr>
              <w:pStyle w:val="TableTitleBodyH095"/>
              <w:ind w:left="0" w:firstLine="0"/>
              <w:rPr>
                <w:sz w:val="20"/>
                <w:szCs w:val="20"/>
              </w:rPr>
            </w:pPr>
            <w:r>
              <w:rPr>
                <w:sz w:val="20"/>
                <w:szCs w:val="20"/>
              </w:rPr>
              <w:t>0.51749</w:t>
            </w:r>
          </w:p>
        </w:tc>
      </w:tr>
      <w:tr w:rsidR="00D859FF" w:rsidTr="0075611F" w14:paraId="5EE9E2F1" w14:textId="3EEF5116">
        <w:trPr>
          <w:jc w:val="center"/>
        </w:trPr>
        <w:tc>
          <w:tcPr>
            <w:tcW w:w="2806" w:type="dxa"/>
          </w:tcPr>
          <w:p w:rsidRPr="00113712" w:rsidR="00D859FF" w:rsidP="00D859FF" w:rsidRDefault="00D859FF" w14:paraId="4BF1AB9C" w14:textId="77777777">
            <w:pPr>
              <w:pStyle w:val="TableTitleBodyH095"/>
              <w:ind w:left="0" w:firstLine="0"/>
              <w:rPr>
                <w:sz w:val="20"/>
                <w:szCs w:val="20"/>
              </w:rPr>
            </w:pPr>
          </w:p>
        </w:tc>
        <w:tc>
          <w:tcPr>
            <w:tcW w:w="1977" w:type="dxa"/>
          </w:tcPr>
          <w:p w:rsidRPr="00113712" w:rsidR="00D859FF" w:rsidP="00D859FF" w:rsidRDefault="00D859FF" w14:paraId="11516BDF" w14:textId="16DE9C32">
            <w:pPr>
              <w:pStyle w:val="TableTitleBodyH095"/>
              <w:ind w:left="0" w:firstLine="0"/>
              <w:rPr>
                <w:sz w:val="20"/>
                <w:szCs w:val="20"/>
              </w:rPr>
            </w:pPr>
            <w:r>
              <w:rPr>
                <w:sz w:val="20"/>
                <w:szCs w:val="20"/>
              </w:rPr>
              <w:t>LS-2</w:t>
            </w:r>
          </w:p>
        </w:tc>
        <w:tc>
          <w:tcPr>
            <w:tcW w:w="2363" w:type="dxa"/>
          </w:tcPr>
          <w:p w:rsidRPr="00113712" w:rsidR="00D859FF" w:rsidP="00D859FF" w:rsidRDefault="00D859FF" w14:paraId="7BA40893" w14:textId="191E659D">
            <w:pPr>
              <w:pStyle w:val="TableTitleBodyH095"/>
              <w:ind w:left="0" w:firstLine="0"/>
              <w:rPr>
                <w:sz w:val="20"/>
                <w:szCs w:val="20"/>
              </w:rPr>
            </w:pPr>
            <w:r>
              <w:rPr>
                <w:sz w:val="20"/>
                <w:szCs w:val="20"/>
              </w:rPr>
              <w:t>1.1</w:t>
            </w:r>
          </w:p>
        </w:tc>
        <w:tc>
          <w:tcPr>
            <w:tcW w:w="2119" w:type="dxa"/>
          </w:tcPr>
          <w:p w:rsidR="00D859FF" w:rsidP="00D859FF" w:rsidRDefault="00D859FF" w14:paraId="7E068471" w14:textId="3E354835">
            <w:pPr>
              <w:pStyle w:val="TableTitleBodyH095"/>
              <w:ind w:left="0" w:firstLine="0"/>
              <w:rPr>
                <w:sz w:val="20"/>
                <w:szCs w:val="20"/>
              </w:rPr>
            </w:pPr>
            <w:r>
              <w:rPr>
                <w:sz w:val="20"/>
                <w:szCs w:val="20"/>
              </w:rPr>
              <w:t>0.27389</w:t>
            </w:r>
          </w:p>
        </w:tc>
      </w:tr>
      <w:tr w:rsidR="00D859FF" w:rsidTr="0075611F" w14:paraId="015CE793" w14:textId="5B13DFE1">
        <w:trPr>
          <w:jc w:val="center"/>
        </w:trPr>
        <w:tc>
          <w:tcPr>
            <w:tcW w:w="2806" w:type="dxa"/>
          </w:tcPr>
          <w:p w:rsidRPr="00113712" w:rsidR="00D859FF" w:rsidP="00D859FF" w:rsidRDefault="00D859FF" w14:paraId="24321C05" w14:textId="77777777">
            <w:pPr>
              <w:pStyle w:val="TableTitleBodyH095"/>
              <w:ind w:left="0" w:firstLine="0"/>
              <w:rPr>
                <w:sz w:val="20"/>
                <w:szCs w:val="20"/>
              </w:rPr>
            </w:pPr>
          </w:p>
        </w:tc>
        <w:tc>
          <w:tcPr>
            <w:tcW w:w="1977" w:type="dxa"/>
          </w:tcPr>
          <w:p w:rsidRPr="00113712" w:rsidR="00D859FF" w:rsidP="00D859FF" w:rsidRDefault="00D859FF" w14:paraId="3169B818" w14:textId="4FEBE4E5">
            <w:pPr>
              <w:pStyle w:val="TableTitleBodyH095"/>
              <w:ind w:left="0" w:firstLine="0"/>
              <w:rPr>
                <w:sz w:val="20"/>
                <w:szCs w:val="20"/>
              </w:rPr>
            </w:pPr>
            <w:r>
              <w:rPr>
                <w:sz w:val="20"/>
                <w:szCs w:val="20"/>
              </w:rPr>
              <w:t>LS-3</w:t>
            </w:r>
          </w:p>
        </w:tc>
        <w:tc>
          <w:tcPr>
            <w:tcW w:w="2363" w:type="dxa"/>
          </w:tcPr>
          <w:p w:rsidRPr="00113712" w:rsidR="00D859FF" w:rsidP="00D859FF" w:rsidRDefault="00D859FF" w14:paraId="3FC8471D" w14:textId="50B778D9">
            <w:pPr>
              <w:pStyle w:val="TableTitleBodyH095"/>
              <w:ind w:left="0" w:firstLine="0"/>
              <w:rPr>
                <w:sz w:val="20"/>
                <w:szCs w:val="20"/>
              </w:rPr>
            </w:pPr>
            <w:r>
              <w:rPr>
                <w:sz w:val="20"/>
                <w:szCs w:val="20"/>
              </w:rPr>
              <w:t>-4.7</w:t>
            </w:r>
          </w:p>
        </w:tc>
        <w:tc>
          <w:tcPr>
            <w:tcW w:w="2119" w:type="dxa"/>
          </w:tcPr>
          <w:p w:rsidR="00D859FF" w:rsidP="00D859FF" w:rsidRDefault="00D859FF" w14:paraId="2480AC42" w14:textId="1EBCBA13">
            <w:pPr>
              <w:pStyle w:val="TableTitleBodyH095"/>
              <w:ind w:left="0" w:firstLine="0"/>
              <w:rPr>
                <w:sz w:val="20"/>
                <w:szCs w:val="20"/>
              </w:rPr>
            </w:pPr>
            <w:r>
              <w:rPr>
                <w:sz w:val="20"/>
                <w:szCs w:val="20"/>
              </w:rPr>
              <w:t>0.16202</w:t>
            </w:r>
          </w:p>
        </w:tc>
      </w:tr>
      <w:tr w:rsidR="00D859FF" w:rsidTr="0075611F" w14:paraId="0E88E267" w14:textId="775D1A91">
        <w:trPr>
          <w:jc w:val="center"/>
        </w:trPr>
        <w:tc>
          <w:tcPr>
            <w:tcW w:w="2806" w:type="dxa"/>
          </w:tcPr>
          <w:p w:rsidRPr="00113712" w:rsidR="00D859FF" w:rsidP="00D859FF" w:rsidRDefault="00D859FF" w14:paraId="7060FADF" w14:textId="77777777">
            <w:pPr>
              <w:pStyle w:val="TableTitleBodyH095"/>
              <w:ind w:left="0" w:firstLine="0"/>
              <w:rPr>
                <w:sz w:val="20"/>
                <w:szCs w:val="20"/>
              </w:rPr>
            </w:pPr>
          </w:p>
        </w:tc>
        <w:tc>
          <w:tcPr>
            <w:tcW w:w="1977" w:type="dxa"/>
          </w:tcPr>
          <w:p w:rsidRPr="00113712" w:rsidR="00D859FF" w:rsidP="00D859FF" w:rsidRDefault="00D859FF" w14:paraId="53853E43" w14:textId="46BC8C0B">
            <w:pPr>
              <w:pStyle w:val="TableTitleBodyH095"/>
              <w:ind w:left="0" w:firstLine="0"/>
              <w:rPr>
                <w:sz w:val="20"/>
                <w:szCs w:val="20"/>
              </w:rPr>
            </w:pPr>
            <w:r>
              <w:rPr>
                <w:sz w:val="20"/>
                <w:szCs w:val="20"/>
              </w:rPr>
              <w:t>DTL</w:t>
            </w:r>
          </w:p>
        </w:tc>
        <w:tc>
          <w:tcPr>
            <w:tcW w:w="2363" w:type="dxa"/>
          </w:tcPr>
          <w:p w:rsidRPr="00113712" w:rsidR="00D859FF" w:rsidP="00D859FF" w:rsidRDefault="00D859FF" w14:paraId="39B276EB" w14:textId="2B40DFAB">
            <w:pPr>
              <w:pStyle w:val="TableTitleBodyH095"/>
              <w:ind w:left="0" w:firstLine="0"/>
              <w:rPr>
                <w:sz w:val="20"/>
                <w:szCs w:val="20"/>
              </w:rPr>
            </w:pPr>
            <w:r>
              <w:rPr>
                <w:sz w:val="20"/>
                <w:szCs w:val="20"/>
              </w:rPr>
              <w:t>1.0</w:t>
            </w:r>
          </w:p>
        </w:tc>
        <w:tc>
          <w:tcPr>
            <w:tcW w:w="2119" w:type="dxa"/>
          </w:tcPr>
          <w:p w:rsidR="00D859FF" w:rsidP="00D859FF" w:rsidRDefault="00D859FF" w14:paraId="49D12E87" w14:textId="43C4C62F">
            <w:pPr>
              <w:pStyle w:val="TableTitleBodyH095"/>
              <w:ind w:left="0" w:firstLine="0"/>
              <w:rPr>
                <w:sz w:val="20"/>
                <w:szCs w:val="20"/>
              </w:rPr>
            </w:pPr>
            <w:r>
              <w:rPr>
                <w:sz w:val="20"/>
                <w:szCs w:val="20"/>
              </w:rPr>
              <w:t>0.51226</w:t>
            </w:r>
          </w:p>
        </w:tc>
      </w:tr>
      <w:tr w:rsidR="00D859FF" w:rsidTr="0075611F" w14:paraId="220A94DC" w14:textId="78F2C2A3">
        <w:trPr>
          <w:jc w:val="center"/>
        </w:trPr>
        <w:tc>
          <w:tcPr>
            <w:tcW w:w="2806" w:type="dxa"/>
          </w:tcPr>
          <w:p w:rsidRPr="00113712" w:rsidR="00D859FF" w:rsidP="00D859FF" w:rsidRDefault="00D859FF" w14:paraId="7CA2F3D2" w14:textId="77777777">
            <w:pPr>
              <w:pStyle w:val="TableTitleBodyH095"/>
              <w:ind w:left="0" w:firstLine="0"/>
              <w:rPr>
                <w:sz w:val="20"/>
                <w:szCs w:val="20"/>
              </w:rPr>
            </w:pPr>
          </w:p>
        </w:tc>
        <w:tc>
          <w:tcPr>
            <w:tcW w:w="1977" w:type="dxa"/>
          </w:tcPr>
          <w:p w:rsidRPr="00113712" w:rsidR="00D859FF" w:rsidP="00D859FF" w:rsidRDefault="00D859FF" w14:paraId="1270B468" w14:textId="00770447">
            <w:pPr>
              <w:pStyle w:val="TableTitleBodyH095"/>
              <w:ind w:left="0" w:firstLine="0"/>
              <w:rPr>
                <w:sz w:val="20"/>
                <w:szCs w:val="20"/>
              </w:rPr>
            </w:pPr>
            <w:r>
              <w:rPr>
                <w:sz w:val="20"/>
                <w:szCs w:val="20"/>
              </w:rPr>
              <w:t>OL-1</w:t>
            </w:r>
          </w:p>
        </w:tc>
        <w:tc>
          <w:tcPr>
            <w:tcW w:w="2363" w:type="dxa"/>
          </w:tcPr>
          <w:p w:rsidRPr="00113712" w:rsidR="00D859FF" w:rsidP="00D859FF" w:rsidRDefault="00D859FF" w14:paraId="08C5A9AA" w14:textId="3F3B6D5A">
            <w:pPr>
              <w:pStyle w:val="TableTitleBodyH095"/>
              <w:ind w:left="0" w:firstLine="0"/>
              <w:rPr>
                <w:sz w:val="20"/>
                <w:szCs w:val="20"/>
              </w:rPr>
            </w:pPr>
            <w:r>
              <w:rPr>
                <w:sz w:val="20"/>
                <w:szCs w:val="20"/>
              </w:rPr>
              <w:t>0.7</w:t>
            </w:r>
          </w:p>
        </w:tc>
        <w:tc>
          <w:tcPr>
            <w:tcW w:w="2119" w:type="dxa"/>
          </w:tcPr>
          <w:p w:rsidR="00D859FF" w:rsidP="00D859FF" w:rsidRDefault="00D859FF" w14:paraId="1421E001" w14:textId="03FF039F">
            <w:pPr>
              <w:pStyle w:val="TableTitleBodyH095"/>
              <w:ind w:left="0" w:firstLine="0"/>
              <w:rPr>
                <w:sz w:val="20"/>
                <w:szCs w:val="20"/>
              </w:rPr>
            </w:pPr>
            <w:r>
              <w:rPr>
                <w:sz w:val="20"/>
                <w:szCs w:val="20"/>
              </w:rPr>
              <w:t>0.41796</w:t>
            </w:r>
          </w:p>
        </w:tc>
      </w:tr>
      <w:tr w:rsidR="00D859FF" w:rsidTr="0075611F" w14:paraId="22A691DA" w14:textId="729B3258">
        <w:trPr>
          <w:jc w:val="center"/>
        </w:trPr>
        <w:tc>
          <w:tcPr>
            <w:tcW w:w="2806" w:type="dxa"/>
          </w:tcPr>
          <w:p w:rsidRPr="00113712" w:rsidR="00D859FF" w:rsidP="00D859FF" w:rsidRDefault="00D859FF" w14:paraId="4598365C" w14:textId="59E94A09">
            <w:pPr>
              <w:pStyle w:val="TableTitleBodyH095"/>
              <w:ind w:left="0" w:firstLine="0"/>
              <w:rPr>
                <w:b/>
                <w:bCs w:val="0"/>
                <w:sz w:val="20"/>
                <w:szCs w:val="20"/>
              </w:rPr>
            </w:pPr>
            <w:r w:rsidRPr="00113712">
              <w:rPr>
                <w:b/>
                <w:bCs w:val="0"/>
                <w:sz w:val="20"/>
                <w:szCs w:val="20"/>
              </w:rPr>
              <w:t>Average Across Customer Groups</w:t>
            </w:r>
          </w:p>
        </w:tc>
        <w:tc>
          <w:tcPr>
            <w:tcW w:w="1977" w:type="dxa"/>
          </w:tcPr>
          <w:p w:rsidRPr="00113712" w:rsidR="00D859FF" w:rsidP="00D859FF" w:rsidRDefault="00D859FF" w14:paraId="7B6A3FAF" w14:textId="77777777">
            <w:pPr>
              <w:pStyle w:val="TableTitleBodyH095"/>
              <w:ind w:left="0" w:firstLine="0"/>
              <w:rPr>
                <w:b/>
                <w:bCs w:val="0"/>
                <w:sz w:val="20"/>
                <w:szCs w:val="20"/>
              </w:rPr>
            </w:pPr>
          </w:p>
        </w:tc>
        <w:tc>
          <w:tcPr>
            <w:tcW w:w="2363" w:type="dxa"/>
          </w:tcPr>
          <w:p w:rsidRPr="00113712" w:rsidR="00D859FF" w:rsidP="00D859FF" w:rsidRDefault="00D859FF" w14:paraId="361A1BBA" w14:textId="2FA8E2AF">
            <w:pPr>
              <w:pStyle w:val="TableTitleBodyH095"/>
              <w:ind w:left="0" w:firstLine="0"/>
              <w:rPr>
                <w:b/>
                <w:bCs w:val="0"/>
                <w:sz w:val="20"/>
                <w:szCs w:val="20"/>
              </w:rPr>
            </w:pPr>
            <w:r w:rsidRPr="00113712">
              <w:rPr>
                <w:b/>
                <w:bCs w:val="0"/>
                <w:sz w:val="20"/>
                <w:szCs w:val="20"/>
              </w:rPr>
              <w:t>-1.</w:t>
            </w:r>
            <w:r>
              <w:rPr>
                <w:b/>
                <w:bCs w:val="0"/>
                <w:sz w:val="20"/>
                <w:szCs w:val="20"/>
              </w:rPr>
              <w:t>8</w:t>
            </w:r>
          </w:p>
        </w:tc>
        <w:tc>
          <w:tcPr>
            <w:tcW w:w="2119" w:type="dxa"/>
          </w:tcPr>
          <w:p w:rsidRPr="0051634D" w:rsidR="00D859FF" w:rsidP="00D859FF" w:rsidRDefault="00D859FF" w14:paraId="46E74BB6" w14:textId="24E2BEA7">
            <w:pPr>
              <w:pStyle w:val="TableTitleBodyH095"/>
              <w:ind w:left="0" w:firstLine="0"/>
              <w:rPr>
                <w:b/>
                <w:bCs w:val="0"/>
                <w:sz w:val="20"/>
                <w:szCs w:val="20"/>
              </w:rPr>
            </w:pPr>
            <w:r>
              <w:rPr>
                <w:b/>
                <w:bCs w:val="0"/>
                <w:sz w:val="20"/>
                <w:szCs w:val="20"/>
              </w:rPr>
              <w:t>0.26124</w:t>
            </w:r>
          </w:p>
        </w:tc>
      </w:tr>
    </w:tbl>
    <w:p w:rsidRPr="00C07D89" w:rsidR="002A53FC" w:rsidP="00113712" w:rsidRDefault="002A53FC" w14:paraId="568AB8AC" w14:textId="77777777">
      <w:pPr>
        <w:pStyle w:val="TableTitleBodyH095"/>
      </w:pPr>
    </w:p>
    <w:p w:rsidRPr="000011CF" w:rsidR="000011CF" w:rsidP="006A6990" w:rsidRDefault="000011CF" w14:paraId="545AD3B0" w14:textId="5B09437B">
      <w:pPr>
        <w:pStyle w:val="Heading1"/>
      </w:pPr>
      <w:bookmarkStart w:name="_Toc152331444" w:id="82"/>
      <w:r w:rsidRPr="006A6990">
        <w:lastRenderedPageBreak/>
        <w:t>Fixed</w:t>
      </w:r>
      <w:r>
        <w:t xml:space="preserve"> Generation Costs</w:t>
      </w:r>
      <w:bookmarkEnd w:id="82"/>
    </w:p>
    <w:p w:rsidR="000011CF" w:rsidP="006F2940" w:rsidRDefault="00B117DE" w14:paraId="60D08ADE" w14:textId="77A6ED25">
      <w:pPr>
        <w:pStyle w:val="Standard"/>
      </w:pPr>
      <w:r>
        <w:t xml:space="preserve">As </w:t>
      </w:r>
      <w:r w:rsidRPr="006F2940">
        <w:t>discussed</w:t>
      </w:r>
      <w:r>
        <w:t xml:space="preserve"> in Section 1 above, the ALJ issued a Ruling on </w:t>
      </w:r>
      <w:r w:rsidR="006A6990">
        <w:br/>
      </w:r>
      <w:r>
        <w:t>August 1, 2023, seeking party input on how to address issues related to fixed generation costs. The same Ruling was sent to parties involved in PG&amp;E’s 2024 ERRA forecast (A. 23-05-012) and SDG&amp;E’s 2024 ERRA forecast (A.23-05-013). We find it reasonable to consider the opening and reply comments filed in all three proceedings when conducting our evaluation of these issues in the instant case.</w:t>
      </w:r>
    </w:p>
    <w:p w:rsidR="006E5BB6" w:rsidP="006F2940" w:rsidRDefault="006E5BB6" w14:paraId="58B9871E" w14:textId="5C3C663F">
      <w:pPr>
        <w:pStyle w:val="Standard"/>
      </w:pPr>
      <w:r w:rsidRPr="006A6990">
        <w:t>The</w:t>
      </w:r>
      <w:r>
        <w:t xml:space="preserve"> </w:t>
      </w:r>
      <w:r w:rsidRPr="006F2940">
        <w:t>Ruling</w:t>
      </w:r>
      <w:r>
        <w:t xml:space="preserve"> </w:t>
      </w:r>
      <w:r w:rsidR="002A5554">
        <w:t xml:space="preserve">specifically </w:t>
      </w:r>
      <w:r>
        <w:t xml:space="preserve">asked parties </w:t>
      </w:r>
      <w:r w:rsidR="002A5554">
        <w:t>to:</w:t>
      </w:r>
    </w:p>
    <w:p w:rsidR="002A5554" w:rsidP="006A6990" w:rsidRDefault="002A5554" w14:paraId="1442009E" w14:textId="2345B059">
      <w:pPr>
        <w:pStyle w:val="ListNum"/>
        <w:ind w:right="1440"/>
      </w:pPr>
      <w:r>
        <w:t xml:space="preserve">Identify and briefly describe each category of Fixed Generation Costs in </w:t>
      </w:r>
      <w:r w:rsidR="005D5CE7">
        <w:t>the 2024 ERRA</w:t>
      </w:r>
      <w:r>
        <w:t xml:space="preserve"> proceeding</w:t>
      </w:r>
      <w:r w:rsidR="005D5CE7">
        <w:t>(s)</w:t>
      </w:r>
      <w:r>
        <w:t>.</w:t>
      </w:r>
    </w:p>
    <w:p w:rsidR="002A5554" w:rsidP="006A6990" w:rsidRDefault="002A5554" w14:paraId="49B38B33" w14:textId="78219F2E">
      <w:pPr>
        <w:pStyle w:val="ListNum"/>
        <w:ind w:right="1440"/>
      </w:pPr>
      <w:r>
        <w:t>Complete a table identifying where fixed costs are currently tracked, the estimated cost for each cost category for 2023, and the estimated 2023 cost for a “hypothetical last remaining bundled customer.”</w:t>
      </w:r>
      <w:r>
        <w:rPr>
          <w:rStyle w:val="FootnoteReference"/>
        </w:rPr>
        <w:footnoteReference w:id="193"/>
      </w:r>
    </w:p>
    <w:p w:rsidR="005D5CE7" w:rsidP="006A6990" w:rsidRDefault="004B7BD1" w14:paraId="6874B5DC" w14:textId="31CB8FC9">
      <w:pPr>
        <w:pStyle w:val="ListNum"/>
        <w:ind w:right="1440"/>
      </w:pPr>
      <w:r>
        <w:t>D</w:t>
      </w:r>
      <w:r w:rsidR="005D5CE7">
        <w:t>escribe any issues associated with Fixed Generation Costs that should be addressed in the 2024 ERRA proceeding(s).</w:t>
      </w:r>
    </w:p>
    <w:p w:rsidR="002A5554" w:rsidP="006A6990" w:rsidRDefault="004B7BD1" w14:paraId="372A984D" w14:textId="644D13AC">
      <w:pPr>
        <w:pStyle w:val="ListNum"/>
        <w:ind w:right="1440"/>
      </w:pPr>
      <w:r>
        <w:t>Discuss whether</w:t>
      </w:r>
      <w:r w:rsidR="009E451E">
        <w:t xml:space="preserve"> the three large IOUs’ 2024 ERRA proceedings should be consolidated for the sole purpose of addressing Fixed Generation Cost issues in the current proceeding(s) or in some separate phase(s).</w:t>
      </w:r>
      <w:r w:rsidR="005D5CE7">
        <w:t xml:space="preserve"> </w:t>
      </w:r>
    </w:p>
    <w:p w:rsidR="00B117DE" w:rsidP="006F2940" w:rsidRDefault="00B117DE" w14:paraId="13C23390" w14:textId="028B5E68">
      <w:pPr>
        <w:pStyle w:val="Standard"/>
      </w:pPr>
      <w:r w:rsidRPr="006F2940">
        <w:t>SCE</w:t>
      </w:r>
      <w:r>
        <w:t xml:space="preserve">, Cal Advocates and Cal CCA filed opening comments in this proceeding. </w:t>
      </w:r>
      <w:r w:rsidR="00D859FF">
        <w:t xml:space="preserve">SCE, </w:t>
      </w:r>
      <w:proofErr w:type="spellStart"/>
      <w:r w:rsidR="00D859FF">
        <w:t>CalCCA</w:t>
      </w:r>
      <w:proofErr w:type="spellEnd"/>
      <w:r w:rsidR="00D859FF">
        <w:t>, and DACC</w:t>
      </w:r>
      <w:r>
        <w:t xml:space="preserve"> filed reply comments. </w:t>
      </w:r>
    </w:p>
    <w:p w:rsidR="00B117DE" w:rsidP="006A6990" w:rsidRDefault="00B117DE" w14:paraId="7659DFA3" w14:textId="3F209F3C">
      <w:pPr>
        <w:pStyle w:val="Standard"/>
      </w:pPr>
      <w:r>
        <w:t xml:space="preserve">Cal Advocates and </w:t>
      </w:r>
      <w:proofErr w:type="spellStart"/>
      <w:r w:rsidR="00D859FF">
        <w:t>CalCCA</w:t>
      </w:r>
      <w:proofErr w:type="spellEnd"/>
      <w:r>
        <w:t xml:space="preserve"> call</w:t>
      </w:r>
      <w:r w:rsidR="00267B3C">
        <w:t>ed</w:t>
      </w:r>
      <w:r>
        <w:t xml:space="preserve"> for the Commission to </w:t>
      </w:r>
      <w:r w:rsidR="00AB0332">
        <w:t>adopt a common definition of “fixed generation costs”</w:t>
      </w:r>
      <w:r>
        <w:t xml:space="preserve"> either </w:t>
      </w:r>
      <w:r w:rsidR="00AB0332">
        <w:t xml:space="preserve">through </w:t>
      </w:r>
      <w:r>
        <w:t xml:space="preserve">a consolidated Track 2 ERRA process or a new proceeding that can address </w:t>
      </w:r>
      <w:r w:rsidR="00AB0332">
        <w:t>specific</w:t>
      </w:r>
      <w:r>
        <w:t xml:space="preserve"> issues consistently </w:t>
      </w:r>
      <w:r>
        <w:lastRenderedPageBreak/>
        <w:t xml:space="preserve">across the three large IOUs. </w:t>
      </w:r>
      <w:r w:rsidR="00B96B83">
        <w:t>The reply comments filed by DACC agreed that the issue should be addressed consistently across the IOUs.</w:t>
      </w:r>
      <w:r w:rsidR="00414CC2">
        <w:rPr>
          <w:rStyle w:val="FootnoteReference"/>
        </w:rPr>
        <w:footnoteReference w:id="194"/>
      </w:r>
    </w:p>
    <w:p w:rsidR="00B96B83" w:rsidP="006F2940" w:rsidRDefault="00D859FF" w14:paraId="2E3A8225" w14:textId="1E28CA45">
      <w:pPr>
        <w:pStyle w:val="Standard"/>
      </w:pPr>
      <w:r>
        <w:t>SCE</w:t>
      </w:r>
      <w:r w:rsidR="00B96B83">
        <w:t xml:space="preserve"> </w:t>
      </w:r>
      <w:r w:rsidRPr="006F2940" w:rsidR="00B96B83">
        <w:t>argued</w:t>
      </w:r>
      <w:r w:rsidR="00B96B83">
        <w:t xml:space="preserve"> that the issues raised in the Ruling cannot be timely addressed in the 2024 ERRA forecast</w:t>
      </w:r>
      <w:r w:rsidR="00414CC2">
        <w:t xml:space="preserve"> and argued that a consolidated Track 2 ERRA process could not effectively address the policy questions associated with determining a common definition of “fixed generation costs.”</w:t>
      </w:r>
    </w:p>
    <w:p w:rsidRPr="000011CF" w:rsidR="00AB0332" w:rsidP="006A6990" w:rsidRDefault="004B7BD1" w14:paraId="531F8E73" w14:textId="53162968">
      <w:pPr>
        <w:pStyle w:val="Standard"/>
      </w:pPr>
      <w:r w:rsidRPr="00162F91">
        <w:t xml:space="preserve">On October </w:t>
      </w:r>
      <w:r w:rsidRPr="00162F91" w:rsidR="00552FFE">
        <w:t>9</w:t>
      </w:r>
      <w:r w:rsidRPr="00162F91">
        <w:t>, 2023</w:t>
      </w:r>
      <w:r>
        <w:t xml:space="preserve">, </w:t>
      </w:r>
      <w:r w:rsidR="00D859FF">
        <w:t>the ALJ issued a</w:t>
      </w:r>
      <w:r>
        <w:t xml:space="preserve"> </w:t>
      </w:r>
      <w:r w:rsidR="00F46114">
        <w:t xml:space="preserve">Ruling </w:t>
      </w:r>
      <w:r w:rsidR="00D859FF">
        <w:t xml:space="preserve">finding the issues related to fixed generation costs </w:t>
      </w:r>
      <w:r w:rsidR="00F46114">
        <w:t xml:space="preserve">cannot be addressed in this </w:t>
      </w:r>
      <w:r w:rsidR="00A14797">
        <w:t>Decision</w:t>
      </w:r>
      <w:r w:rsidR="00F46114">
        <w:t xml:space="preserve">, given the expedited </w:t>
      </w:r>
      <w:r w:rsidR="00504EFB">
        <w:t xml:space="preserve">ERRA forecast </w:t>
      </w:r>
      <w:r w:rsidR="00F46114">
        <w:t xml:space="preserve">process necessary for SCE’s 2024 rates to be implemented. Further consideration of </w:t>
      </w:r>
      <w:r>
        <w:t xml:space="preserve">SCE’s </w:t>
      </w:r>
      <w:r w:rsidR="00F46114">
        <w:t xml:space="preserve">fixed generation costs </w:t>
      </w:r>
      <w:r w:rsidR="001C1E05">
        <w:t xml:space="preserve">will </w:t>
      </w:r>
      <w:r w:rsidR="00D859FF">
        <w:t xml:space="preserve">therefore </w:t>
      </w:r>
      <w:r w:rsidR="001C1E05">
        <w:t>be addressed in a second track of this proceeding</w:t>
      </w:r>
      <w:r w:rsidR="00F46114">
        <w:t xml:space="preserve">. </w:t>
      </w:r>
    </w:p>
    <w:p w:rsidR="005815E8" w:rsidP="006A6990" w:rsidRDefault="005815E8" w14:paraId="763BB71C" w14:textId="4A798240">
      <w:pPr>
        <w:pStyle w:val="Heading1"/>
      </w:pPr>
      <w:bookmarkStart w:name="_Toc152331445" w:id="83"/>
      <w:r>
        <w:t>Future ERRA Forecast Application Requirements</w:t>
      </w:r>
      <w:bookmarkEnd w:id="83"/>
    </w:p>
    <w:p w:rsidR="005815E8" w:rsidP="006F2940" w:rsidRDefault="005815E8" w14:paraId="00A6715E" w14:textId="23A14A6C">
      <w:pPr>
        <w:pStyle w:val="Standard"/>
      </w:pPr>
      <w:r>
        <w:t xml:space="preserve">SCE sought and received expedited treatment of its 2024 ERRA Forecast proceeding, which limited the timeframe for Commission and party review to </w:t>
      </w:r>
      <w:r w:rsidR="006F2940">
        <w:br/>
      </w:r>
      <w:r>
        <w:t xml:space="preserve">six </w:t>
      </w:r>
      <w:r w:rsidRPr="006F2940">
        <w:t>months</w:t>
      </w:r>
      <w:r>
        <w:t xml:space="preserve">. In its 2023 and 2024 ERRA Forecast Applications, SCE has requested a Commission decision by no later than the last voting meeting in November of each year. </w:t>
      </w:r>
      <w:r w:rsidR="008F3627">
        <w:t xml:space="preserve">In the instant proceeding, SCE noted: “This timing will allow SCE to implement the adopted 2024 ERRA Forecast revenue requirement in its </w:t>
      </w:r>
      <w:r w:rsidR="006F2940">
        <w:br/>
      </w:r>
      <w:r w:rsidR="008F3627">
        <w:t>January 1, 2024, consolidated revenue requirement and rate change.”</w:t>
      </w:r>
      <w:r w:rsidR="008F3627">
        <w:rPr>
          <w:rStyle w:val="FootnoteReference"/>
        </w:rPr>
        <w:footnoteReference w:id="195"/>
      </w:r>
      <w:r>
        <w:t xml:space="preserve"> </w:t>
      </w:r>
    </w:p>
    <w:p w:rsidR="008F3627" w:rsidP="006F2940" w:rsidRDefault="008F3627" w14:paraId="290BA0AC" w14:textId="21A6CBD3">
      <w:pPr>
        <w:pStyle w:val="Standard"/>
      </w:pPr>
      <w:r>
        <w:t xml:space="preserve">Other IOUs have been able to implement their adopted ERRA Forecast revenue requirement in January after receiving a Commission decision on their applications during the </w:t>
      </w:r>
      <w:r w:rsidR="007F16DD">
        <w:t>second</w:t>
      </w:r>
      <w:r>
        <w:t xml:space="preserve"> voting meeting in December. </w:t>
      </w:r>
    </w:p>
    <w:p w:rsidR="008F3627" w:rsidP="006F2940" w:rsidRDefault="008F3627" w14:paraId="6A8E2477" w14:textId="2472E416">
      <w:pPr>
        <w:pStyle w:val="Standard"/>
      </w:pPr>
      <w:r>
        <w:lastRenderedPageBreak/>
        <w:t xml:space="preserve">In its </w:t>
      </w:r>
      <w:r w:rsidRPr="006F2940">
        <w:t>next</w:t>
      </w:r>
      <w:r>
        <w:t xml:space="preserve"> ERRA Forecast application, </w:t>
      </w:r>
      <w:r w:rsidR="00643669">
        <w:t xml:space="preserve">due in May 2024, </w:t>
      </w:r>
      <w:r>
        <w:t>SCE should explain in more detail:</w:t>
      </w:r>
    </w:p>
    <w:p w:rsidRPr="00555F97" w:rsidR="008F3627" w:rsidP="006F2940" w:rsidRDefault="008F3627" w14:paraId="77ECA48F" w14:textId="343EED8C">
      <w:pPr>
        <w:pStyle w:val="ListNum"/>
        <w:ind w:right="1440"/>
        <w:rPr>
          <w:szCs w:val="26"/>
        </w:rPr>
      </w:pPr>
      <w:r w:rsidRPr="00555F97">
        <w:rPr>
          <w:szCs w:val="26"/>
        </w:rPr>
        <w:t xml:space="preserve">Whether it still needs a full month to implement its billing schedules to reflect the adopted ERRA </w:t>
      </w:r>
      <w:proofErr w:type="gramStart"/>
      <w:r w:rsidRPr="00555F97">
        <w:rPr>
          <w:szCs w:val="26"/>
        </w:rPr>
        <w:t>Forecast;</w:t>
      </w:r>
      <w:proofErr w:type="gramEnd"/>
    </w:p>
    <w:p w:rsidRPr="00555F97" w:rsidR="008F3627" w:rsidP="006F2940" w:rsidRDefault="008F3627" w14:paraId="58896CF6" w14:textId="76D9F693">
      <w:pPr>
        <w:pStyle w:val="ListNum"/>
        <w:ind w:right="1440"/>
        <w:rPr>
          <w:szCs w:val="26"/>
        </w:rPr>
      </w:pPr>
      <w:r w:rsidRPr="00555F97">
        <w:rPr>
          <w:szCs w:val="26"/>
        </w:rPr>
        <w:t>If so,</w:t>
      </w:r>
    </w:p>
    <w:p w:rsidRPr="00555F97" w:rsidR="008F3627" w:rsidP="00555F97" w:rsidRDefault="008F3627" w14:paraId="41F64337" w14:textId="3FABF406">
      <w:pPr>
        <w:pStyle w:val="ListAlpha"/>
        <w:ind w:right="1440" w:firstLine="0"/>
        <w:rPr>
          <w:szCs w:val="26"/>
        </w:rPr>
      </w:pPr>
      <w:r w:rsidRPr="00555F97">
        <w:rPr>
          <w:szCs w:val="26"/>
        </w:rPr>
        <w:t>Why it needs a full month to implement the adopted ERRA Forecast; and</w:t>
      </w:r>
    </w:p>
    <w:p w:rsidRPr="00555F97" w:rsidR="008F3627" w:rsidP="00555F97" w:rsidRDefault="008F3627" w14:paraId="3BAE96CA" w14:textId="71466FFC">
      <w:pPr>
        <w:pStyle w:val="ListAlpha"/>
        <w:ind w:right="1440" w:firstLine="0"/>
        <w:rPr>
          <w:szCs w:val="26"/>
        </w:rPr>
      </w:pPr>
      <w:r w:rsidRPr="00555F97">
        <w:rPr>
          <w:szCs w:val="26"/>
        </w:rPr>
        <w:t>What changes to its billing system are necessary to shorten its necessary implementation time.</w:t>
      </w:r>
    </w:p>
    <w:p w:rsidR="005F5E51" w:rsidP="000152B5" w:rsidRDefault="005F5E51" w14:paraId="76170A94" w14:textId="78EB4ED2">
      <w:pPr>
        <w:pStyle w:val="Heading1"/>
      </w:pPr>
      <w:bookmarkStart w:name="_Toc152331446" w:id="84"/>
      <w:r w:rsidRPr="006A6990">
        <w:t>Safety</w:t>
      </w:r>
      <w:r>
        <w:t xml:space="preserve"> Considerations</w:t>
      </w:r>
      <w:bookmarkEnd w:id="84"/>
    </w:p>
    <w:p w:rsidRPr="00454D1A" w:rsidR="005F5E51" w:rsidP="00555F97" w:rsidRDefault="005F5E51" w14:paraId="34D6579A" w14:textId="318A9EBE">
      <w:pPr>
        <w:pStyle w:val="Standard"/>
      </w:pPr>
      <w:r>
        <w:t xml:space="preserve">The </w:t>
      </w:r>
      <w:r w:rsidRPr="006A6990">
        <w:t>California</w:t>
      </w:r>
      <w:r>
        <w:t xml:space="preserve"> </w:t>
      </w:r>
      <w:r w:rsidRPr="00454D1A">
        <w:t>Legislature enacted AB 32</w:t>
      </w:r>
      <w:r>
        <w:t xml:space="preserve"> in part to address the</w:t>
      </w:r>
      <w:r w:rsidRPr="00454D1A">
        <w:t xml:space="preserve"> health and safety impacts of </w:t>
      </w:r>
      <w:r>
        <w:t>GHG emissions, which pose “</w:t>
      </w:r>
      <w:r w:rsidRPr="00454D1A">
        <w:t>a serious threat to the economic well</w:t>
      </w:r>
      <w:r>
        <w:noBreakHyphen/>
      </w:r>
      <w:r w:rsidRPr="00454D1A">
        <w:t xml:space="preserve">being, public health, natural resources, and the environment of California.” </w:t>
      </w:r>
      <w:r>
        <w:t>The Legislature found that GHG emissions could result in</w:t>
      </w:r>
      <w:r w:rsidRPr="00454D1A">
        <w:t xml:space="preserve"> “the exacerbation of air quality problems, a reduction in the quality and supply of water to the state from the Sierra snowpack, a rise in sea levels resulting in the displacement of thousands of coastal businesses and residences, damage to marine ecosystems and the natural environment, and an increase in the incidences of infectious disease, asthma, and other human health</w:t>
      </w:r>
      <w:r>
        <w:noBreakHyphen/>
      </w:r>
      <w:r w:rsidRPr="00454D1A">
        <w:t>related problems.”</w:t>
      </w:r>
      <w:r w:rsidRPr="00454D1A">
        <w:rPr>
          <w:rStyle w:val="FootnoteReference"/>
        </w:rPr>
        <w:footnoteReference w:id="196"/>
      </w:r>
    </w:p>
    <w:p w:rsidRPr="00454D1A" w:rsidR="005F5E51" w:rsidP="002440A2" w:rsidRDefault="005F5E51" w14:paraId="5104E7FF" w14:textId="4E121222">
      <w:pPr>
        <w:pStyle w:val="Standard"/>
      </w:pPr>
      <w:r w:rsidRPr="00454D1A">
        <w:t xml:space="preserve">This </w:t>
      </w:r>
      <w:r w:rsidRPr="002440A2" w:rsidR="00A14797">
        <w:t>Decision</w:t>
      </w:r>
      <w:r w:rsidRPr="00454D1A">
        <w:t xml:space="preserve"> approves SCE’s forecast of GHG costs and allocation of GHG allowance proceeds </w:t>
      </w:r>
      <w:r>
        <w:t xml:space="preserve">because it helps achieve a main goal of </w:t>
      </w:r>
      <w:r w:rsidRPr="00454D1A">
        <w:t>AB 32 and Pub.</w:t>
      </w:r>
      <w:r>
        <w:t> </w:t>
      </w:r>
      <w:r w:rsidRPr="00454D1A">
        <w:t xml:space="preserve">Util. Code </w:t>
      </w:r>
      <w:r>
        <w:t>§</w:t>
      </w:r>
      <w:r w:rsidR="00EE69C3">
        <w:t xml:space="preserve"> </w:t>
      </w:r>
      <w:r w:rsidRPr="00454D1A">
        <w:t>748.5</w:t>
      </w:r>
      <w:r>
        <w:t xml:space="preserve"> and will therefore improve the health and safety of California residents.</w:t>
      </w:r>
    </w:p>
    <w:p w:rsidRPr="00454D1A" w:rsidR="005444BE" w:rsidP="006A6990" w:rsidRDefault="005444BE" w14:paraId="28F7DBD8" w14:textId="77777777">
      <w:pPr>
        <w:pStyle w:val="Heading1"/>
      </w:pPr>
      <w:bookmarkStart w:name="_Toc26797703" w:id="85"/>
      <w:bookmarkStart w:name="_Toc26969015" w:id="86"/>
      <w:bookmarkStart w:name="_Toc93064684" w:id="87"/>
      <w:bookmarkStart w:name="_Toc120876413" w:id="88"/>
      <w:bookmarkStart w:name="_Toc152331447" w:id="89"/>
      <w:r w:rsidRPr="006A6990">
        <w:lastRenderedPageBreak/>
        <w:t>Compliance</w:t>
      </w:r>
      <w:r w:rsidRPr="00454D1A">
        <w:t xml:space="preserve"> with the Authority</w:t>
      </w:r>
      <w:r w:rsidRPr="00454D1A">
        <w:br/>
        <w:t>Granted Herein</w:t>
      </w:r>
      <w:bookmarkEnd w:id="85"/>
      <w:bookmarkEnd w:id="86"/>
      <w:bookmarkEnd w:id="87"/>
      <w:bookmarkEnd w:id="88"/>
      <w:bookmarkEnd w:id="89"/>
    </w:p>
    <w:p w:rsidR="00807B92" w:rsidP="002440A2" w:rsidRDefault="005444BE" w14:paraId="09DF8E75" w14:textId="77777777">
      <w:pPr>
        <w:pStyle w:val="Standard"/>
      </w:pPr>
      <w:r>
        <w:t xml:space="preserve">We </w:t>
      </w:r>
      <w:r w:rsidRPr="002440A2">
        <w:t>authorize</w:t>
      </w:r>
      <w:r>
        <w:t xml:space="preserve"> SCE</w:t>
      </w:r>
      <w:r w:rsidRPr="00454D1A">
        <w:t xml:space="preserve"> to update the final 202</w:t>
      </w:r>
      <w:r>
        <w:t>3</w:t>
      </w:r>
      <w:r w:rsidRPr="00454D1A">
        <w:t xml:space="preserve"> year</w:t>
      </w:r>
      <w:r>
        <w:noBreakHyphen/>
      </w:r>
      <w:r w:rsidRPr="00454D1A">
        <w:t xml:space="preserve">end balances with recorded actuals through </w:t>
      </w:r>
      <w:r>
        <w:t xml:space="preserve">October 2023 and forecast for November and </w:t>
      </w:r>
      <w:r w:rsidRPr="00454D1A">
        <w:t>December</w:t>
      </w:r>
      <w:r>
        <w:t> </w:t>
      </w:r>
      <w:r w:rsidRPr="00454D1A">
        <w:t>202</w:t>
      </w:r>
      <w:r>
        <w:t>3</w:t>
      </w:r>
      <w:r w:rsidRPr="00454D1A">
        <w:t>.</w:t>
      </w:r>
      <w:r w:rsidR="0076257E">
        <w:t xml:space="preserve"> If SCE has its November actuals available in time for submitting its Advice Letter, </w:t>
      </w:r>
      <w:r w:rsidR="00C37719">
        <w:t>those should be included rather than a November forecast.</w:t>
      </w:r>
      <w:r w:rsidRPr="00454D1A">
        <w:t xml:space="preserve"> </w:t>
      </w:r>
    </w:p>
    <w:p w:rsidRPr="00454D1A" w:rsidR="005444BE" w:rsidP="006A6990" w:rsidRDefault="005444BE" w14:paraId="0C7E3DEF" w14:textId="66DD608B">
      <w:pPr>
        <w:pStyle w:val="Standard"/>
      </w:pPr>
      <w:r w:rsidRPr="00454D1A">
        <w:t xml:space="preserve">SCE </w:t>
      </w:r>
      <w:r>
        <w:t>shall</w:t>
      </w:r>
      <w:r w:rsidRPr="00454D1A">
        <w:t xml:space="preserve"> submit a Tier 1 </w:t>
      </w:r>
      <w:r w:rsidRPr="00EF0C2C">
        <w:t>A</w:t>
      </w:r>
      <w:r>
        <w:t xml:space="preserve">dvice </w:t>
      </w:r>
      <w:r w:rsidRPr="00EF0C2C">
        <w:t>L</w:t>
      </w:r>
      <w:r>
        <w:t>etter</w:t>
      </w:r>
      <w:r w:rsidRPr="00454D1A">
        <w:t xml:space="preserve"> to the Commission’s Energy Division within 30 days of the date of issuance of this </w:t>
      </w:r>
      <w:r w:rsidR="00A14797">
        <w:t>Decision</w:t>
      </w:r>
      <w:r w:rsidRPr="00454D1A">
        <w:t xml:space="preserve"> to implement the </w:t>
      </w:r>
      <w:r w:rsidR="001351D1">
        <w:t>revenue requirements adopted in</w:t>
      </w:r>
      <w:r w:rsidRPr="00454D1A">
        <w:t xml:space="preserve"> this </w:t>
      </w:r>
      <w:r w:rsidR="00A14797">
        <w:t>Decision</w:t>
      </w:r>
      <w:r w:rsidRPr="00454D1A">
        <w:t xml:space="preserve">. The tariff sheets filed in this </w:t>
      </w:r>
      <w:r w:rsidRPr="00EF0C2C">
        <w:t>A</w:t>
      </w:r>
      <w:r>
        <w:t xml:space="preserve">dvice </w:t>
      </w:r>
      <w:r w:rsidRPr="00EF0C2C">
        <w:t>L</w:t>
      </w:r>
      <w:r>
        <w:t>etter</w:t>
      </w:r>
      <w:r w:rsidRPr="00454D1A">
        <w:t xml:space="preserve"> shall be effective on or after the date filed, subject to the Commission’s Energy Division determining that SCE’s </w:t>
      </w:r>
      <w:r w:rsidRPr="00EF0C2C">
        <w:t>A</w:t>
      </w:r>
      <w:r>
        <w:t xml:space="preserve">dvice </w:t>
      </w:r>
      <w:r w:rsidRPr="00EF0C2C">
        <w:t>L</w:t>
      </w:r>
      <w:r>
        <w:t>etter</w:t>
      </w:r>
      <w:r w:rsidRPr="00454D1A">
        <w:t xml:space="preserve"> complies with this </w:t>
      </w:r>
      <w:r w:rsidR="00A14797">
        <w:t>Decision</w:t>
      </w:r>
      <w:r w:rsidRPr="00454D1A">
        <w:t>.</w:t>
      </w:r>
    </w:p>
    <w:p w:rsidR="005444BE" w:rsidP="006A6990" w:rsidRDefault="005444BE" w14:paraId="0F075FEE" w14:textId="304F3B34">
      <w:pPr>
        <w:pStyle w:val="Standard"/>
      </w:pPr>
      <w:r w:rsidRPr="00454D1A">
        <w:t xml:space="preserve">SCE is </w:t>
      </w:r>
      <w:r>
        <w:t xml:space="preserve">further </w:t>
      </w:r>
      <w:r w:rsidRPr="00454D1A">
        <w:t xml:space="preserve">authorized to implement the revenue requirement adopted in this proceeding, as updated to reflect </w:t>
      </w:r>
      <w:r>
        <w:t xml:space="preserve">October </w:t>
      </w:r>
      <w:r w:rsidR="00504EFB">
        <w:t xml:space="preserve">– November 2023 actuals </w:t>
      </w:r>
      <w:r>
        <w:t>and</w:t>
      </w:r>
      <w:r w:rsidR="00504EFB">
        <w:t xml:space="preserve"> forecasts for</w:t>
      </w:r>
      <w:r>
        <w:t xml:space="preserve"> December 2023</w:t>
      </w:r>
      <w:r w:rsidRPr="00454D1A">
        <w:t xml:space="preserve">, in its </w:t>
      </w:r>
      <w:r>
        <w:t>advice letter for rates to be effective starting</w:t>
      </w:r>
      <w:r w:rsidRPr="00454D1A">
        <w:t xml:space="preserve"> January</w:t>
      </w:r>
      <w:r>
        <w:t> </w:t>
      </w:r>
      <w:r w:rsidRPr="00454D1A">
        <w:t>1,</w:t>
      </w:r>
      <w:r>
        <w:t> </w:t>
      </w:r>
      <w:r w:rsidRPr="00454D1A">
        <w:t>202</w:t>
      </w:r>
      <w:r>
        <w:t>4</w:t>
      </w:r>
      <w:r w:rsidRPr="00454D1A">
        <w:t>.</w:t>
      </w:r>
      <w:r w:rsidR="009C15BD">
        <w:rPr>
          <w:rStyle w:val="FootnoteReference"/>
        </w:rPr>
        <w:footnoteReference w:id="197"/>
      </w:r>
      <w:r w:rsidRPr="00454D1A">
        <w:t xml:space="preserve"> </w:t>
      </w:r>
    </w:p>
    <w:p w:rsidR="00F5524E" w:rsidP="006A6990" w:rsidRDefault="00F5524E" w14:paraId="584381E9" w14:textId="38270C70">
      <w:pPr>
        <w:pStyle w:val="Heading1"/>
      </w:pPr>
      <w:bookmarkStart w:name="_Toc8123723" w:id="90"/>
      <w:bookmarkStart w:name="_Toc152331448" w:id="91"/>
      <w:bookmarkEnd w:id="77"/>
      <w:r>
        <w:t>Summary of Public Comment</w:t>
      </w:r>
      <w:bookmarkEnd w:id="91"/>
    </w:p>
    <w:p w:rsidR="00F5524E" w:rsidP="00F5524E" w:rsidRDefault="00F5524E" w14:paraId="18229350" w14:textId="77777777">
      <w:pPr>
        <w:pStyle w:val="Standard"/>
      </w:pPr>
      <w:bookmarkStart w:name="_Hlk151353920" w:id="92"/>
      <w:r w:rsidRPr="00F5524E">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t xml:space="preserve"> </w:t>
      </w:r>
    </w:p>
    <w:p w:rsidRPr="00F5524E" w:rsidR="00F5524E" w:rsidP="000152B5" w:rsidRDefault="000B074C" w14:paraId="73A3468A" w14:textId="23B16B2C">
      <w:pPr>
        <w:pStyle w:val="Standard"/>
      </w:pPr>
      <w:r>
        <w:t>Fourteen c</w:t>
      </w:r>
      <w:r w:rsidRPr="00F5524E" w:rsidR="00F5524E">
        <w:t xml:space="preserve">omments on this proceeding were filed by 12 members of the public, </w:t>
      </w:r>
      <w:r w:rsidR="00314372">
        <w:t>each</w:t>
      </w:r>
      <w:r w:rsidRPr="00F5524E" w:rsidR="00F5524E">
        <w:t xml:space="preserve"> of which expressed concern that the rate decrease proposed by SCE </w:t>
      </w:r>
      <w:r w:rsidRPr="00F5524E" w:rsidR="00F5524E">
        <w:lastRenderedPageBreak/>
        <w:t xml:space="preserve">in its 2024 ERRA Forecast </w:t>
      </w:r>
      <w:r w:rsidR="00F5524E">
        <w:t>will not occur because their electric rates have only increased in recent years</w:t>
      </w:r>
      <w:r w:rsidRPr="00F5524E" w:rsidR="00F5524E">
        <w:t xml:space="preserve">. </w:t>
      </w:r>
      <w:r w:rsidR="00314372">
        <w:t>The public comments broadly opposed rate increases.</w:t>
      </w:r>
    </w:p>
    <w:p w:rsidR="005939A5" w:rsidP="006A6990" w:rsidRDefault="00B526D5" w14:paraId="1A30D5B2" w14:textId="6E268EDC">
      <w:pPr>
        <w:pStyle w:val="Heading1"/>
      </w:pPr>
      <w:bookmarkStart w:name="_Toc152331449" w:id="93"/>
      <w:bookmarkEnd w:id="92"/>
      <w:r w:rsidRPr="006A6990">
        <w:t>Reduction</w:t>
      </w:r>
      <w:r>
        <w:t xml:space="preserve"> of Comment Period and Party </w:t>
      </w:r>
      <w:r w:rsidR="005939A5">
        <w:t>Comments</w:t>
      </w:r>
      <w:bookmarkEnd w:id="93"/>
      <w:r w:rsidR="005939A5">
        <w:t xml:space="preserve"> </w:t>
      </w:r>
      <w:bookmarkEnd w:id="90"/>
    </w:p>
    <w:p w:rsidR="00B526D5" w:rsidP="00B526D5" w:rsidRDefault="00A573A5" w14:paraId="56A3B5FA" w14:textId="49CEB7AF">
      <w:pPr>
        <w:pStyle w:val="Standard"/>
      </w:pPr>
      <w:r>
        <w:t xml:space="preserve">The proposed </w:t>
      </w:r>
      <w:r w:rsidR="00A14797">
        <w:t>Decision</w:t>
      </w:r>
      <w:r>
        <w:t xml:space="preserve"> of ALJ Carolyn Sisto was mailed to </w:t>
      </w:r>
      <w:r w:rsidRPr="00454D1A" w:rsidR="00B526D5">
        <w:t xml:space="preserve">parties </w:t>
      </w:r>
      <w:r w:rsidR="00E76273">
        <w:t xml:space="preserve">on November </w:t>
      </w:r>
      <w:r w:rsidR="00564CB5">
        <w:t>7</w:t>
      </w:r>
      <w:r w:rsidR="00E76273">
        <w:t xml:space="preserve">, 2023, </w:t>
      </w:r>
      <w:r w:rsidRPr="00454D1A" w:rsidR="00B526D5">
        <w:t xml:space="preserve">in accordance with Pub. Util. Code </w:t>
      </w:r>
      <w:r w:rsidR="00D9670D">
        <w:t>§</w:t>
      </w:r>
      <w:r w:rsidR="00EE69C3">
        <w:t xml:space="preserve"> </w:t>
      </w:r>
      <w:r w:rsidRPr="00454D1A" w:rsidR="00B526D5">
        <w:t>311</w:t>
      </w:r>
      <w:r w:rsidR="001C1E05">
        <w:t>. Co</w:t>
      </w:r>
      <w:r w:rsidRPr="00454D1A" w:rsidR="00B526D5">
        <w:t>mments were allowed under Rule</w:t>
      </w:r>
      <w:r w:rsidR="00B526D5">
        <w:t> </w:t>
      </w:r>
      <w:r w:rsidRPr="00454D1A" w:rsidR="00B526D5">
        <w:t xml:space="preserve">14.3. </w:t>
      </w:r>
      <w:r w:rsidRPr="00504EFB" w:rsidR="00B526D5">
        <w:t>Pursuant to Rule 14.6(b)</w:t>
      </w:r>
      <w:r w:rsidR="00D859FF">
        <w:t>; a</w:t>
      </w:r>
      <w:r w:rsidR="001C1E05">
        <w:t>t the PHC,</w:t>
      </w:r>
      <w:r w:rsidRPr="00504EFB" w:rsidR="00B526D5">
        <w:t xml:space="preserve"> all parties stipulated to reduce the 30</w:t>
      </w:r>
      <w:r w:rsidRPr="00504EFB" w:rsidR="00B526D5">
        <w:noBreakHyphen/>
        <w:t xml:space="preserve">day public review and comment period required by Pub. Util. Code </w:t>
      </w:r>
      <w:r w:rsidR="00D9670D">
        <w:t>§</w:t>
      </w:r>
      <w:r w:rsidR="00EE69C3">
        <w:t xml:space="preserve"> </w:t>
      </w:r>
      <w:r w:rsidRPr="00504EFB" w:rsidR="00B526D5">
        <w:t xml:space="preserve">311 </w:t>
      </w:r>
      <w:r w:rsidR="005A318C">
        <w:t>to meet the procedural schedule</w:t>
      </w:r>
      <w:r w:rsidR="001C1E05">
        <w:t xml:space="preserve"> requested by SCE</w:t>
      </w:r>
      <w:r w:rsidRPr="00504EFB" w:rsidR="00B526D5">
        <w:t>.</w:t>
      </w:r>
      <w:r w:rsidR="005A318C">
        <w:t xml:space="preserve"> </w:t>
      </w:r>
    </w:p>
    <w:p w:rsidRPr="00A573A5" w:rsidR="00A573A5" w:rsidP="002440A2" w:rsidRDefault="00A573A5" w14:paraId="7B4314A2" w14:textId="6B55F372">
      <w:pPr>
        <w:pStyle w:val="Standard"/>
      </w:pPr>
      <w:r w:rsidRPr="002440A2">
        <w:t>Comments</w:t>
      </w:r>
      <w:r w:rsidRPr="00552FFE">
        <w:t xml:space="preserve"> were filed by </w:t>
      </w:r>
      <w:r w:rsidR="00564CB5">
        <w:t xml:space="preserve">SCE and </w:t>
      </w:r>
      <w:proofErr w:type="spellStart"/>
      <w:r w:rsidR="00564CB5">
        <w:t>CalCCA</w:t>
      </w:r>
      <w:proofErr w:type="spellEnd"/>
      <w:r w:rsidRPr="00552FFE" w:rsidR="00564CB5">
        <w:t xml:space="preserve"> </w:t>
      </w:r>
      <w:r w:rsidRPr="00552FFE">
        <w:t xml:space="preserve">on </w:t>
      </w:r>
      <w:r w:rsidRPr="00162F91" w:rsidR="00E76273">
        <w:t>November 17, 2023</w:t>
      </w:r>
      <w:r w:rsidRPr="00162F91">
        <w:t>,</w:t>
      </w:r>
      <w:r w:rsidRPr="00552FFE">
        <w:t xml:space="preserve"> and reply comments were filed on </w:t>
      </w:r>
      <w:r w:rsidRPr="00162F91" w:rsidR="00E76273">
        <w:t>November 2</w:t>
      </w:r>
      <w:r w:rsidR="00D355F9">
        <w:t>2</w:t>
      </w:r>
      <w:r w:rsidRPr="00162F91" w:rsidR="00E76273">
        <w:t>, 2023</w:t>
      </w:r>
      <w:r w:rsidRPr="00552FFE" w:rsidR="00E76273">
        <w:t>,</w:t>
      </w:r>
      <w:r w:rsidRPr="00552FFE">
        <w:t xml:space="preserve"> by </w:t>
      </w:r>
      <w:r w:rsidR="00D355F9">
        <w:t xml:space="preserve">SCE and </w:t>
      </w:r>
      <w:proofErr w:type="spellStart"/>
      <w:r w:rsidR="00D355F9">
        <w:t>CalCCA</w:t>
      </w:r>
      <w:proofErr w:type="spellEnd"/>
      <w:r w:rsidRPr="00552FFE" w:rsidR="00D355F9">
        <w:t>.</w:t>
      </w:r>
      <w:r w:rsidR="008B1E06">
        <w:t xml:space="preserve"> </w:t>
      </w:r>
      <w:r w:rsidR="00706C36">
        <w:t>Clarifying e</w:t>
      </w:r>
      <w:r w:rsidR="008B1E06">
        <w:t xml:space="preserve">dits were made throughout the Decision </w:t>
      </w:r>
      <w:r w:rsidR="00706C36">
        <w:t>to address comments from</w:t>
      </w:r>
      <w:r w:rsidR="008B1E06">
        <w:t xml:space="preserve"> both parties.</w:t>
      </w:r>
      <w:r w:rsidR="00D355F9">
        <w:t xml:space="preserve"> </w:t>
      </w:r>
      <w:r w:rsidR="00B526D5">
        <w:t xml:space="preserve">Any comments </w:t>
      </w:r>
      <w:r w:rsidR="008B1E06">
        <w:t xml:space="preserve">on </w:t>
      </w:r>
      <w:r w:rsidR="00B526D5">
        <w:t xml:space="preserve">issues already addressed in earlier filings are not further discussed in this </w:t>
      </w:r>
      <w:r w:rsidR="00A14797">
        <w:t>Decision</w:t>
      </w:r>
      <w:r w:rsidR="00B526D5">
        <w:t>.</w:t>
      </w:r>
    </w:p>
    <w:p w:rsidR="005939A5" w:rsidP="007035C7" w:rsidRDefault="005939A5" w14:paraId="4B0D1095" w14:textId="77777777">
      <w:pPr>
        <w:pStyle w:val="Heading1"/>
      </w:pPr>
      <w:bookmarkStart w:name="_Toc8123724" w:id="94"/>
      <w:bookmarkStart w:name="_Toc152331450" w:id="95"/>
      <w:r>
        <w:t xml:space="preserve">Assignment of </w:t>
      </w:r>
      <w:r w:rsidRPr="007035C7">
        <w:t>Proceeding</w:t>
      </w:r>
      <w:bookmarkEnd w:id="94"/>
      <w:bookmarkEnd w:id="95"/>
    </w:p>
    <w:p w:rsidR="005939A5" w:rsidP="002440A2" w:rsidRDefault="00A573A5" w14:paraId="4F41FA72" w14:textId="573B0CF3">
      <w:pPr>
        <w:pStyle w:val="Standard"/>
      </w:pPr>
      <w:r>
        <w:t xml:space="preserve">John </w:t>
      </w:r>
      <w:r w:rsidRPr="002440A2">
        <w:t>Reynolds</w:t>
      </w:r>
      <w:r w:rsidR="005939A5">
        <w:t xml:space="preserve"> is the assigned Commissioner and </w:t>
      </w:r>
      <w:r>
        <w:t>Carolyn Sisto</w:t>
      </w:r>
      <w:r w:rsidR="005939A5">
        <w:t xml:space="preserve"> is the assigned Administrative Law Judge in this proceeding.</w:t>
      </w:r>
    </w:p>
    <w:p w:rsidR="005939A5" w:rsidP="007035C7" w:rsidRDefault="005939A5" w14:paraId="3131CAD8" w14:textId="77777777">
      <w:pPr>
        <w:pStyle w:val="Dummy"/>
      </w:pPr>
      <w:bookmarkStart w:name="_Toc8123725" w:id="96"/>
      <w:bookmarkStart w:name="_Toc152331451" w:id="97"/>
      <w:r w:rsidRPr="007035C7">
        <w:t>Findings</w:t>
      </w:r>
      <w:r>
        <w:t xml:space="preserve"> of Fact</w:t>
      </w:r>
      <w:bookmarkEnd w:id="96"/>
      <w:bookmarkEnd w:id="97"/>
    </w:p>
    <w:p w:rsidRPr="00454D1A" w:rsidR="006303F1" w:rsidP="006303F1" w:rsidRDefault="006303F1" w14:paraId="7E5471DC" w14:textId="289A8D0A">
      <w:pPr>
        <w:pStyle w:val="FoFsubheader"/>
      </w:pPr>
      <w:r w:rsidRPr="00454D1A">
        <w:t>202</w:t>
      </w:r>
      <w:r>
        <w:t>4</w:t>
      </w:r>
      <w:r w:rsidRPr="00454D1A">
        <w:t xml:space="preserve"> Forecast Overview and Methodology</w:t>
      </w:r>
    </w:p>
    <w:p w:rsidR="00F62B7A" w:rsidP="001E2A62" w:rsidRDefault="00631DEE" w14:paraId="5E3F9BBB" w14:textId="0702962C">
      <w:pPr>
        <w:pStyle w:val="FoF"/>
      </w:pPr>
      <w:r>
        <w:t>SCE</w:t>
      </w:r>
      <w:r w:rsidR="00D859FF">
        <w:t>’s</w:t>
      </w:r>
      <w:r>
        <w:t xml:space="preserve"> 2024 total forecast ERRA is $</w:t>
      </w:r>
      <w:r w:rsidRPr="00EB6896" w:rsidR="00F46470">
        <w:t>5.23</w:t>
      </w:r>
      <w:r w:rsidR="00162F91">
        <w:t>4</w:t>
      </w:r>
      <w:r w:rsidR="00F46470">
        <w:t xml:space="preserve"> billion, which is a decrease of $</w:t>
      </w:r>
      <w:r w:rsidR="00D859FF">
        <w:t>325.830</w:t>
      </w:r>
      <w:r w:rsidRPr="00973D37" w:rsidR="00F46470">
        <w:t xml:space="preserve"> </w:t>
      </w:r>
      <w:r w:rsidR="00F46470">
        <w:t>million when compared to rates currently recovered from customers today</w:t>
      </w:r>
      <w:r>
        <w:t>.</w:t>
      </w:r>
    </w:p>
    <w:p w:rsidRPr="001E2A62" w:rsidR="003E5990" w:rsidP="003E5990" w:rsidRDefault="003E5990" w14:paraId="0800443C" w14:textId="77777777">
      <w:pPr>
        <w:pStyle w:val="FoF"/>
      </w:pPr>
      <w:bookmarkStart w:name="_Hlk149016631" w:id="98"/>
      <w:r>
        <w:t>SCE forecasted an increase in total retail electricity sales from a forecasted 82,966 GWh in 2023 to a forecast of 83,762 GWh in 2024.</w:t>
      </w:r>
    </w:p>
    <w:p w:rsidR="003E5990" w:rsidP="003E5990" w:rsidRDefault="003E5990" w14:paraId="0D465D2F" w14:textId="77777777">
      <w:pPr>
        <w:pStyle w:val="FoF"/>
      </w:pPr>
      <w:r>
        <w:t>SCE forecasted a 0.6 percent increase in its number of customers in both 2023 and 2024.</w:t>
      </w:r>
    </w:p>
    <w:p w:rsidR="003E5990" w:rsidP="003E5990" w:rsidRDefault="003E5990" w14:paraId="5F718E11" w14:textId="77777777">
      <w:pPr>
        <w:pStyle w:val="FoF"/>
        <w:numPr>
          <w:ilvl w:val="0"/>
          <w:numId w:val="22"/>
        </w:numPr>
      </w:pPr>
      <w:r>
        <w:lastRenderedPageBreak/>
        <w:t xml:space="preserve">SCE’s 2024 ERRA forecast included the projections of Direct Access (DA) and Community Choice Aggregator (CCA), for the entities that </w:t>
      </w:r>
      <w:r w:rsidRPr="00454D1A">
        <w:t>(1)</w:t>
      </w:r>
      <w:r>
        <w:t> </w:t>
      </w:r>
      <w:r w:rsidRPr="00454D1A">
        <w:t>filed a binding notice of intent to begin CCA service; (2)</w:t>
      </w:r>
      <w:r>
        <w:t> </w:t>
      </w:r>
      <w:r w:rsidRPr="00454D1A">
        <w:t>filed an initial RA filing; (3) started CCA service; and</w:t>
      </w:r>
      <w:r>
        <w:t>/or</w:t>
      </w:r>
      <w:r w:rsidRPr="00454D1A">
        <w:t xml:space="preserve"> (4)</w:t>
      </w:r>
      <w:r>
        <w:t> </w:t>
      </w:r>
      <w:r w:rsidRPr="00454D1A">
        <w:t>formally submitted an April RA forecast pursuant to Pub.</w:t>
      </w:r>
      <w:r>
        <w:t> </w:t>
      </w:r>
      <w:r w:rsidRPr="00454D1A">
        <w:t>Util. Code Section 380.</w:t>
      </w:r>
    </w:p>
    <w:p w:rsidRPr="006303F1" w:rsidR="003E5990" w:rsidP="003E5990" w:rsidRDefault="003E5990" w14:paraId="226412A5" w14:textId="77777777">
      <w:pPr>
        <w:pStyle w:val="FoF"/>
        <w:numPr>
          <w:ilvl w:val="0"/>
          <w:numId w:val="0"/>
        </w:numPr>
        <w:ind w:left="540"/>
        <w:rPr>
          <w:u w:val="single"/>
        </w:rPr>
      </w:pPr>
      <w:r w:rsidRPr="006303F1">
        <w:rPr>
          <w:u w:val="single"/>
        </w:rPr>
        <w:t>SCE’s Portfolio of Resources</w:t>
      </w:r>
    </w:p>
    <w:p w:rsidR="003E5990" w:rsidP="003E5990" w:rsidRDefault="003E5990" w14:paraId="742C1011" w14:textId="77777777">
      <w:pPr>
        <w:pStyle w:val="FoF"/>
      </w:pPr>
      <w:r>
        <w:t xml:space="preserve">SCE’s forecast of utility-owned generation and purchased power contract deliveries in 2024 consisted of 1,176 MW nameplate capacity of hydroelectric power, 9 MW of nameplate capacity in solar photovoltaic resources, 10,071 MW from co-generation and renewable resources, 245 MW of natural gas </w:t>
      </w:r>
      <w:proofErr w:type="spellStart"/>
      <w:r>
        <w:t>peaker</w:t>
      </w:r>
      <w:proofErr w:type="spellEnd"/>
      <w:r>
        <w:t xml:space="preserve"> resources, and 1,056 MW from its Mountainview Generating Station. </w:t>
      </w:r>
    </w:p>
    <w:p w:rsidR="003E5990" w:rsidP="003E5990" w:rsidRDefault="003E5990" w14:paraId="59714AFE" w14:textId="77777777">
      <w:pPr>
        <w:pStyle w:val="FoF"/>
      </w:pPr>
      <w:r>
        <w:t>SCE holds one (1) inter-utility contract for 2024, consisting of an entitlement of 117 MW of contingent capacity and 8 GWh of firm energy from the Hoover Dam project.</w:t>
      </w:r>
    </w:p>
    <w:p w:rsidR="003E5990" w:rsidP="003E5990" w:rsidRDefault="003E5990" w14:paraId="6A56E4FD" w14:textId="77777777">
      <w:pPr>
        <w:pStyle w:val="FoF"/>
      </w:pPr>
      <w:r w:rsidRPr="00454D1A">
        <w:t>SCE forecast</w:t>
      </w:r>
      <w:r>
        <w:t>ed</w:t>
      </w:r>
      <w:r w:rsidRPr="00454D1A">
        <w:t xml:space="preserve"> costs for </w:t>
      </w:r>
      <w:r>
        <w:t xml:space="preserve">6 </w:t>
      </w:r>
      <w:r w:rsidRPr="00454D1A">
        <w:t>GWh of energy reductions in 202</w:t>
      </w:r>
      <w:r>
        <w:t>4</w:t>
      </w:r>
      <w:r w:rsidRPr="00454D1A">
        <w:t xml:space="preserve"> to provide economic demand response programs, including the Summer Discount Plan, Capacity Bidding Program, Critical Peak Pricing, and Smart Energy Programs.</w:t>
      </w:r>
    </w:p>
    <w:p w:rsidR="003E5990" w:rsidP="003E5990" w:rsidRDefault="003E5990" w14:paraId="229B9B46" w14:textId="59183AB3">
      <w:pPr>
        <w:pStyle w:val="FoF"/>
        <w:numPr>
          <w:ilvl w:val="0"/>
          <w:numId w:val="22"/>
        </w:numPr>
      </w:pPr>
      <w:r>
        <w:t>SCE forecasted a net increase of $47.018 million in procurement-related Public Purpose</w:t>
      </w:r>
      <w:r w:rsidR="00C80C9E">
        <w:t xml:space="preserve"> Program</w:t>
      </w:r>
      <w:r>
        <w:t xml:space="preserve"> Charge funds to recover (1) behind-the-meter resources associated with its Preferred Resource Pilot #2 contracts; (2) net costs </w:t>
      </w:r>
      <w:r w:rsidRPr="00454D1A">
        <w:t>associated with biomass generation associated with the Tree Mortality Non</w:t>
      </w:r>
      <w:r>
        <w:noBreakHyphen/>
      </w:r>
      <w:proofErr w:type="spellStart"/>
      <w:r w:rsidRPr="00454D1A">
        <w:t>Bypassable</w:t>
      </w:r>
      <w:proofErr w:type="spellEnd"/>
      <w:r w:rsidRPr="00454D1A">
        <w:t xml:space="preserve"> Charge; (3)</w:t>
      </w:r>
      <w:r>
        <w:t> </w:t>
      </w:r>
      <w:r w:rsidRPr="00454D1A">
        <w:t xml:space="preserve">net charges for the </w:t>
      </w:r>
      <w:proofErr w:type="spellStart"/>
      <w:r w:rsidRPr="00454D1A">
        <w:t>BioMAT</w:t>
      </w:r>
      <w:proofErr w:type="spellEnd"/>
      <w:r w:rsidRPr="00454D1A">
        <w:t xml:space="preserve"> program; and (4) volumetric electricity service subsidies through the DAC</w:t>
      </w:r>
      <w:r>
        <w:noBreakHyphen/>
      </w:r>
      <w:r w:rsidRPr="00454D1A">
        <w:t>GT and CSGT programs.</w:t>
      </w:r>
    </w:p>
    <w:p w:rsidRPr="00454D1A" w:rsidR="003E5990" w:rsidP="003E5990" w:rsidRDefault="003E5990" w14:paraId="46A08C58" w14:textId="77777777">
      <w:pPr>
        <w:pStyle w:val="FoF"/>
        <w:numPr>
          <w:ilvl w:val="0"/>
          <w:numId w:val="22"/>
        </w:numPr>
      </w:pPr>
      <w:r w:rsidRPr="00454D1A">
        <w:t>SCE forecast</w:t>
      </w:r>
      <w:r>
        <w:t>ed</w:t>
      </w:r>
      <w:r w:rsidRPr="00454D1A">
        <w:t xml:space="preserve"> F&amp;PP costs associated with six types of contracts for new generation resources in 202</w:t>
      </w:r>
      <w:r>
        <w:t>4</w:t>
      </w:r>
      <w:r w:rsidRPr="00454D1A">
        <w:t>, including</w:t>
      </w:r>
      <w:r>
        <w:t xml:space="preserve">: </w:t>
      </w:r>
      <w:r w:rsidRPr="00454D1A">
        <w:t>(1)</w:t>
      </w:r>
      <w:r>
        <w:t> </w:t>
      </w:r>
      <w:r w:rsidRPr="00180274">
        <w:t>New System Generation</w:t>
      </w:r>
      <w:r w:rsidRPr="00454D1A">
        <w:t xml:space="preserve"> CAM contracts; (2)</w:t>
      </w:r>
      <w:r>
        <w:t> </w:t>
      </w:r>
      <w:r w:rsidRPr="00454D1A">
        <w:t>System Reliability Modified CAM contracts; (3)</w:t>
      </w:r>
      <w:r>
        <w:t> </w:t>
      </w:r>
      <w:r w:rsidRPr="00454D1A">
        <w:t xml:space="preserve">Emergency </w:t>
      </w:r>
      <w:r w:rsidRPr="00454D1A">
        <w:lastRenderedPageBreak/>
        <w:t>Reliability contracts; (4) Mid</w:t>
      </w:r>
      <w:r>
        <w:noBreakHyphen/>
      </w:r>
      <w:r w:rsidRPr="00454D1A">
        <w:t>Term Reliability contracts; (5)</w:t>
      </w:r>
      <w:r>
        <w:t> </w:t>
      </w:r>
      <w:r w:rsidRPr="00454D1A">
        <w:t>Generic and Bilateral contracts used to meet 202</w:t>
      </w:r>
      <w:r>
        <w:t>4</w:t>
      </w:r>
      <w:r w:rsidRPr="00454D1A">
        <w:t xml:space="preserve"> system capacity requirements; and (6) Contracts used to meet local capacity requirements.</w:t>
      </w:r>
    </w:p>
    <w:p w:rsidRPr="00454D1A" w:rsidR="003E5990" w:rsidP="003E5990" w:rsidRDefault="003E5990" w14:paraId="1834E37D" w14:textId="77777777">
      <w:pPr>
        <w:pStyle w:val="FoF"/>
        <w:numPr>
          <w:ilvl w:val="0"/>
          <w:numId w:val="22"/>
        </w:numPr>
      </w:pPr>
      <w:r w:rsidRPr="00454D1A">
        <w:t>SCE forecast</w:t>
      </w:r>
      <w:r>
        <w:t>ed</w:t>
      </w:r>
      <w:r w:rsidRPr="00454D1A">
        <w:t xml:space="preserve"> </w:t>
      </w:r>
      <w:r>
        <w:t>171,220,403</w:t>
      </w:r>
      <w:r w:rsidRPr="00454D1A">
        <w:t xml:space="preserve"> kWh of participation through the </w:t>
      </w:r>
      <w:r w:rsidRPr="0034753E">
        <w:t>Green Tariff Shared Renewables</w:t>
      </w:r>
      <w:r w:rsidRPr="00454D1A">
        <w:t xml:space="preserve"> program in 202</w:t>
      </w:r>
      <w:r>
        <w:t>4</w:t>
      </w:r>
      <w:r w:rsidRPr="00454D1A">
        <w:t>.</w:t>
      </w:r>
    </w:p>
    <w:p w:rsidR="003E5990" w:rsidP="003E5990" w:rsidRDefault="003E5990" w14:paraId="4007EBE1" w14:textId="77777777">
      <w:pPr>
        <w:pStyle w:val="FoF"/>
      </w:pPr>
      <w:r w:rsidRPr="00454D1A">
        <w:t>SCE forecast</w:t>
      </w:r>
      <w:r>
        <w:t>ed</w:t>
      </w:r>
      <w:r w:rsidRPr="00454D1A">
        <w:t xml:space="preserve"> $4.</w:t>
      </w:r>
      <w:r>
        <w:t>894</w:t>
      </w:r>
      <w:r w:rsidRPr="00454D1A">
        <w:t> million in interim spent nuclear fuel costs at SONGS in</w:t>
      </w:r>
      <w:r>
        <w:t xml:space="preserve"> 2024.</w:t>
      </w:r>
    </w:p>
    <w:p w:rsidR="003E5990" w:rsidP="003E5990" w:rsidRDefault="003E5990" w14:paraId="0AF0FCCB" w14:textId="57DB0C01">
      <w:pPr>
        <w:pStyle w:val="FoF"/>
      </w:pPr>
      <w:r>
        <w:t xml:space="preserve">SCE forecasted $29.675 million in nuclear fuel expenses, and </w:t>
      </w:r>
      <w:r w:rsidR="002073B9">
        <w:t>$0.0008</w:t>
      </w:r>
      <w:r>
        <w:t xml:space="preserve"> million in net interim spent nuclear fuel expenses at PVNGS in 2024.</w:t>
      </w:r>
    </w:p>
    <w:p w:rsidR="003E5990" w:rsidP="003E5990" w:rsidRDefault="003E5990" w14:paraId="5A1EBA5B" w14:textId="77777777">
      <w:pPr>
        <w:pStyle w:val="FoF"/>
      </w:pPr>
      <w:r w:rsidRPr="00454D1A">
        <w:t>SCE forecast</w:t>
      </w:r>
      <w:r>
        <w:t>ed</w:t>
      </w:r>
      <w:r w:rsidRPr="00454D1A">
        <w:t xml:space="preserve"> a </w:t>
      </w:r>
      <w:r>
        <w:t xml:space="preserve">total </w:t>
      </w:r>
      <w:r w:rsidRPr="00454D1A">
        <w:t>cost of $</w:t>
      </w:r>
      <w:r>
        <w:t>9.444</w:t>
      </w:r>
      <w:r w:rsidRPr="00454D1A">
        <w:t xml:space="preserve"> million to provide electricity service to Catalina Island, which includes </w:t>
      </w:r>
      <w:r>
        <w:t>$9.040</w:t>
      </w:r>
      <w:r w:rsidRPr="00454D1A">
        <w:t> million in diesel fuel and $0.</w:t>
      </w:r>
      <w:r>
        <w:t>404</w:t>
      </w:r>
      <w:r w:rsidRPr="00454D1A">
        <w:t> million for propane in 202</w:t>
      </w:r>
      <w:r>
        <w:t>4</w:t>
      </w:r>
      <w:r w:rsidRPr="00454D1A">
        <w:t>.</w:t>
      </w:r>
    </w:p>
    <w:p w:rsidR="003E5990" w:rsidP="003E5990" w:rsidRDefault="003E5990" w14:paraId="67E02141" w14:textId="77777777">
      <w:pPr>
        <w:pStyle w:val="FoF"/>
      </w:pPr>
      <w:r>
        <w:t xml:space="preserve">For 2024, </w:t>
      </w:r>
      <w:r w:rsidRPr="00454D1A">
        <w:t>SCE forecast</w:t>
      </w:r>
      <w:r>
        <w:t>ed</w:t>
      </w:r>
      <w:r w:rsidRPr="00454D1A">
        <w:t xml:space="preserve"> F&amp;PP costs associated with the net CAISO costs of grid management charges, Federal Energy Regulatory Commission fees,</w:t>
      </w:r>
      <w:r>
        <w:t xml:space="preserve"> </w:t>
      </w:r>
      <w:r w:rsidRPr="00454D1A">
        <w:t>congestion fees, Congestion Revenue Rights actions</w:t>
      </w:r>
      <w:r>
        <w:noBreakHyphen/>
      </w:r>
      <w:r w:rsidRPr="00454D1A">
        <w:t>related CAISO costs, ancillary services, CAISO uplift costs, Standard Capacity Product costs, and other non</w:t>
      </w:r>
      <w:r>
        <w:noBreakHyphen/>
      </w:r>
      <w:r w:rsidRPr="00454D1A">
        <w:t>energy related CAISO costs.</w:t>
      </w:r>
    </w:p>
    <w:p w:rsidRPr="00454D1A" w:rsidR="003E5990" w:rsidP="003E5990" w:rsidRDefault="003E5990" w14:paraId="1C689F8B" w14:textId="77777777">
      <w:pPr>
        <w:pStyle w:val="FoF"/>
      </w:pPr>
      <w:r w:rsidRPr="00454D1A">
        <w:t>SCE forecast</w:t>
      </w:r>
      <w:r>
        <w:t>ed</w:t>
      </w:r>
      <w:r w:rsidRPr="00454D1A">
        <w:t xml:space="preserve"> 202</w:t>
      </w:r>
      <w:r>
        <w:t>4</w:t>
      </w:r>
      <w:r w:rsidRPr="00454D1A">
        <w:t xml:space="preserve"> hedging costs for energy</w:t>
      </w:r>
      <w:r>
        <w:noBreakHyphen/>
      </w:r>
      <w:r w:rsidRPr="00454D1A">
        <w:t>related transaction fees and option premiums for hedging SCE’s open energy position in workpapers for 202</w:t>
      </w:r>
      <w:r>
        <w:t>4</w:t>
      </w:r>
      <w:r w:rsidRPr="00454D1A">
        <w:t>.</w:t>
      </w:r>
    </w:p>
    <w:p w:rsidRPr="00454D1A" w:rsidR="003E5990" w:rsidP="003E5990" w:rsidRDefault="003E5990" w14:paraId="74BD64AB" w14:textId="77777777">
      <w:pPr>
        <w:pStyle w:val="FoF"/>
      </w:pPr>
      <w:r w:rsidRPr="00454D1A">
        <w:t>SCE h</w:t>
      </w:r>
      <w:r>
        <w:t>olds</w:t>
      </w:r>
      <w:r w:rsidRPr="00454D1A">
        <w:t xml:space="preserve"> a $3.35 billion multi</w:t>
      </w:r>
      <w:r>
        <w:noBreakHyphen/>
      </w:r>
      <w:r w:rsidRPr="00454D1A">
        <w:t>year revolving credit facility, also called the “revolver,” to serve short</w:t>
      </w:r>
      <w:r>
        <w:noBreakHyphen/>
      </w:r>
      <w:r w:rsidRPr="00454D1A">
        <w:t>term borrowing requirements.</w:t>
      </w:r>
    </w:p>
    <w:p w:rsidRPr="00454D1A" w:rsidR="003E5990" w:rsidP="003E5990" w:rsidRDefault="003E5990" w14:paraId="20CBF7C6" w14:textId="77777777">
      <w:pPr>
        <w:pStyle w:val="FoF"/>
      </w:pPr>
      <w:r w:rsidRPr="00454D1A">
        <w:t>SCE forecast</w:t>
      </w:r>
      <w:r>
        <w:t>ed</w:t>
      </w:r>
      <w:r w:rsidRPr="00454D1A">
        <w:t xml:space="preserve"> costs associated with the revolving credit facility in workpapers for 202</w:t>
      </w:r>
      <w:r>
        <w:t>4</w:t>
      </w:r>
      <w:r w:rsidRPr="00454D1A">
        <w:t>, including</w:t>
      </w:r>
      <w:r>
        <w:t xml:space="preserve">: </w:t>
      </w:r>
      <w:r w:rsidRPr="00454D1A">
        <w:t>(1) $</w:t>
      </w:r>
      <w:r>
        <w:t>20,000 in</w:t>
      </w:r>
      <w:r w:rsidRPr="00454D1A">
        <w:t xml:space="preserve"> administrative fee</w:t>
      </w:r>
      <w:r>
        <w:t>s</w:t>
      </w:r>
      <w:r w:rsidRPr="00454D1A">
        <w:t>; (2)</w:t>
      </w:r>
      <w:r>
        <w:t> 17.5</w:t>
      </w:r>
      <w:r w:rsidRPr="00454D1A">
        <w:t xml:space="preserve"> basis point annual facility fee; (3)</w:t>
      </w:r>
      <w:r>
        <w:t> 107.5</w:t>
      </w:r>
      <w:r w:rsidRPr="00454D1A">
        <w:t xml:space="preserve"> basis point participation fee on any outstanding letters of credit; (4)</w:t>
      </w:r>
      <w:r>
        <w:t> 20</w:t>
      </w:r>
      <w:r w:rsidRPr="00454D1A">
        <w:t xml:space="preserve"> basis point issuer fee on any letters of credit; </w:t>
      </w:r>
      <w:r w:rsidRPr="00454D1A">
        <w:lastRenderedPageBreak/>
        <w:t xml:space="preserve">and (5) Adjusted Daily Simple Secured Overnight Financing Rate plus </w:t>
      </w:r>
      <w:r>
        <w:t>107.5</w:t>
      </w:r>
      <w:r w:rsidRPr="00454D1A">
        <w:t xml:space="preserve"> basis points borrowing (loan) rate.</w:t>
      </w:r>
    </w:p>
    <w:p w:rsidRPr="00454D1A" w:rsidR="003E5990" w:rsidP="003E5990" w:rsidRDefault="003E5990" w14:paraId="4BED1FF3" w14:textId="77777777">
      <w:pPr>
        <w:pStyle w:val="FoF"/>
      </w:pPr>
      <w:r w:rsidRPr="00454D1A">
        <w:t>SCE forecast</w:t>
      </w:r>
      <w:r>
        <w:t>ed</w:t>
      </w:r>
      <w:r w:rsidRPr="00454D1A">
        <w:t xml:space="preserve"> fuel inventory carrying costs for nuclear, natural gas, and diesel in workpapers for 202</w:t>
      </w:r>
      <w:r>
        <w:t>4</w:t>
      </w:r>
      <w:r w:rsidRPr="00454D1A">
        <w:t>.</w:t>
      </w:r>
    </w:p>
    <w:p w:rsidRPr="00454D1A" w:rsidR="003E5990" w:rsidP="003E5990" w:rsidRDefault="003E5990" w14:paraId="62EF8FE2" w14:textId="77777777">
      <w:pPr>
        <w:pStyle w:val="FoF"/>
      </w:pPr>
      <w:r w:rsidRPr="00454D1A">
        <w:t>SCE forecast</w:t>
      </w:r>
      <w:r>
        <w:t xml:space="preserve">ed </w:t>
      </w:r>
      <w:r w:rsidRPr="00454D1A">
        <w:t>GHG procurement compliance carrying costs for 202</w:t>
      </w:r>
      <w:r>
        <w:t>4</w:t>
      </w:r>
      <w:r w:rsidRPr="00454D1A">
        <w:t>, which SCE estimate</w:t>
      </w:r>
      <w:r>
        <w:t>d</w:t>
      </w:r>
      <w:r w:rsidRPr="00454D1A">
        <w:t xml:space="preserve"> using historical GHG inventory balances and the ERRA</w:t>
      </w:r>
      <w:r>
        <w:t> </w:t>
      </w:r>
      <w:r w:rsidRPr="00454D1A">
        <w:t>BA interest rates in workpapers for 202</w:t>
      </w:r>
      <w:r>
        <w:t>4</w:t>
      </w:r>
      <w:r w:rsidRPr="00454D1A">
        <w:t>.</w:t>
      </w:r>
    </w:p>
    <w:p w:rsidRPr="00454D1A" w:rsidR="003E5990" w:rsidP="003E5990" w:rsidRDefault="003E5990" w14:paraId="1B6FAC71" w14:textId="77777777">
      <w:pPr>
        <w:pStyle w:val="FoF"/>
      </w:pPr>
      <w:r w:rsidRPr="00454D1A">
        <w:t xml:space="preserve"> SCE forecast</w:t>
      </w:r>
      <w:r>
        <w:t>ed</w:t>
      </w:r>
      <w:r w:rsidRPr="00454D1A">
        <w:t xml:space="preserve"> the carrying costs associated with SCE’s collateral requirements necessary to procure power in workpapers for 202</w:t>
      </w:r>
      <w:r>
        <w:t>4</w:t>
      </w:r>
      <w:r w:rsidRPr="00454D1A">
        <w:t>.</w:t>
      </w:r>
    </w:p>
    <w:p w:rsidRPr="00454D1A" w:rsidR="003E5990" w:rsidP="003E5990" w:rsidRDefault="003E5990" w14:paraId="26372EA3" w14:textId="77777777">
      <w:pPr>
        <w:pStyle w:val="FoFsubheader"/>
      </w:pPr>
      <w:r w:rsidRPr="00454D1A">
        <w:t>SCE’s Revenue Requirement and Ratemaking Proposal</w:t>
      </w:r>
    </w:p>
    <w:p w:rsidRPr="002F290B" w:rsidR="003E5990" w:rsidP="003E5990" w:rsidRDefault="003E5990" w14:paraId="2E04F6E9" w14:textId="77777777">
      <w:pPr>
        <w:pStyle w:val="FoF"/>
      </w:pPr>
      <w:r w:rsidRPr="002F290B">
        <w:t>SCE’s 2024 forecast bundled service customer rates are as follows:</w:t>
      </w:r>
    </w:p>
    <w:tbl>
      <w:tblPr>
        <w:tblStyle w:val="TableGrid"/>
        <w:tblW w:w="10555" w:type="dxa"/>
        <w:jc w:val="center"/>
        <w:tblLayout w:type="fixed"/>
        <w:tblLook w:val="04A0" w:firstRow="1" w:lastRow="0" w:firstColumn="1" w:lastColumn="0" w:noHBand="0" w:noVBand="1"/>
      </w:tblPr>
      <w:tblGrid>
        <w:gridCol w:w="3685"/>
        <w:gridCol w:w="1710"/>
        <w:gridCol w:w="1800"/>
        <w:gridCol w:w="1400"/>
        <w:gridCol w:w="1960"/>
      </w:tblGrid>
      <w:tr w:rsidRPr="00454D1A" w:rsidR="00C80C9E" w:rsidTr="002440A2" w14:paraId="0D44F68C" w14:textId="77777777">
        <w:trPr>
          <w:jc w:val="center"/>
        </w:trPr>
        <w:tc>
          <w:tcPr>
            <w:tcW w:w="3685" w:type="dxa"/>
          </w:tcPr>
          <w:p w:rsidRPr="00454D1A" w:rsidR="00C80C9E" w:rsidP="002440A2" w:rsidRDefault="00C80C9E" w14:paraId="09098548" w14:textId="77777777">
            <w:pPr>
              <w:pStyle w:val="Standard"/>
              <w:keepNext/>
              <w:spacing w:line="240" w:lineRule="auto"/>
              <w:ind w:firstLine="0"/>
              <w:jc w:val="center"/>
              <w:rPr>
                <w:b/>
                <w:bCs/>
                <w:szCs w:val="26"/>
              </w:rPr>
            </w:pPr>
            <w:r w:rsidRPr="00454D1A">
              <w:rPr>
                <w:b/>
                <w:bCs/>
                <w:szCs w:val="26"/>
              </w:rPr>
              <w:lastRenderedPageBreak/>
              <w:t>Rate Schedule by</w:t>
            </w:r>
          </w:p>
          <w:p w:rsidRPr="00454D1A" w:rsidR="00C80C9E" w:rsidP="002440A2" w:rsidRDefault="00C80C9E" w14:paraId="4D4ADCCB" w14:textId="77777777">
            <w:pPr>
              <w:pStyle w:val="Standard"/>
              <w:keepNext/>
              <w:spacing w:line="240" w:lineRule="auto"/>
              <w:ind w:firstLine="0"/>
              <w:jc w:val="center"/>
              <w:rPr>
                <w:b/>
                <w:bCs/>
                <w:szCs w:val="26"/>
              </w:rPr>
            </w:pPr>
            <w:r w:rsidRPr="00454D1A">
              <w:rPr>
                <w:b/>
                <w:bCs/>
                <w:szCs w:val="26"/>
              </w:rPr>
              <w:t>Customer Group</w:t>
            </w:r>
          </w:p>
        </w:tc>
        <w:tc>
          <w:tcPr>
            <w:tcW w:w="1710" w:type="dxa"/>
          </w:tcPr>
          <w:p w:rsidRPr="00454D1A" w:rsidR="00C80C9E" w:rsidP="002440A2" w:rsidRDefault="00C80C9E" w14:paraId="4C053615" w14:textId="77777777">
            <w:pPr>
              <w:pStyle w:val="Standard"/>
              <w:keepNext/>
              <w:spacing w:line="240" w:lineRule="auto"/>
              <w:ind w:firstLine="0"/>
              <w:jc w:val="center"/>
              <w:rPr>
                <w:b/>
                <w:bCs/>
                <w:szCs w:val="26"/>
              </w:rPr>
            </w:pPr>
            <w:r w:rsidRPr="00454D1A">
              <w:rPr>
                <w:b/>
                <w:bCs/>
                <w:szCs w:val="26"/>
              </w:rPr>
              <w:t>Total</w:t>
            </w:r>
          </w:p>
          <w:p w:rsidRPr="00454D1A" w:rsidR="00C80C9E" w:rsidP="002440A2" w:rsidRDefault="00C80C9E" w14:paraId="7EF89167" w14:textId="77777777">
            <w:pPr>
              <w:pStyle w:val="Standard"/>
              <w:keepNext/>
              <w:spacing w:line="240" w:lineRule="auto"/>
              <w:ind w:firstLine="0"/>
              <w:jc w:val="center"/>
              <w:rPr>
                <w:b/>
                <w:bCs/>
                <w:szCs w:val="26"/>
              </w:rPr>
            </w:pPr>
            <w:r w:rsidRPr="00454D1A">
              <w:rPr>
                <w:b/>
                <w:bCs/>
                <w:szCs w:val="26"/>
              </w:rPr>
              <w:t>Delivery</w:t>
            </w:r>
          </w:p>
          <w:p w:rsidRPr="00454D1A" w:rsidR="00C80C9E" w:rsidP="002440A2" w:rsidRDefault="00C80C9E" w14:paraId="20EF0B17" w14:textId="77777777">
            <w:pPr>
              <w:pStyle w:val="Standard"/>
              <w:keepNext/>
              <w:spacing w:line="240" w:lineRule="auto"/>
              <w:ind w:firstLine="0"/>
              <w:jc w:val="center"/>
              <w:rPr>
                <w:szCs w:val="26"/>
              </w:rPr>
            </w:pPr>
            <w:r w:rsidRPr="00454D1A">
              <w:rPr>
                <w:szCs w:val="26"/>
              </w:rPr>
              <w:t>(¢/kWh)</w:t>
            </w:r>
          </w:p>
        </w:tc>
        <w:tc>
          <w:tcPr>
            <w:tcW w:w="1800" w:type="dxa"/>
          </w:tcPr>
          <w:p w:rsidRPr="00454D1A" w:rsidR="00C80C9E" w:rsidP="002440A2" w:rsidRDefault="00C80C9E" w14:paraId="0D892FC6" w14:textId="77777777">
            <w:pPr>
              <w:pStyle w:val="Standard"/>
              <w:keepNext/>
              <w:spacing w:line="240" w:lineRule="auto"/>
              <w:ind w:firstLine="0"/>
              <w:jc w:val="center"/>
              <w:rPr>
                <w:b/>
                <w:bCs/>
                <w:szCs w:val="26"/>
              </w:rPr>
            </w:pPr>
            <w:r w:rsidRPr="00454D1A">
              <w:rPr>
                <w:b/>
                <w:bCs/>
                <w:szCs w:val="26"/>
              </w:rPr>
              <w:t>Total</w:t>
            </w:r>
          </w:p>
          <w:p w:rsidRPr="00454D1A" w:rsidR="00C80C9E" w:rsidP="002440A2" w:rsidRDefault="00C80C9E" w14:paraId="62FA7E2B" w14:textId="77777777">
            <w:pPr>
              <w:pStyle w:val="Standard"/>
              <w:keepNext/>
              <w:spacing w:line="240" w:lineRule="auto"/>
              <w:ind w:firstLine="0"/>
              <w:jc w:val="center"/>
              <w:rPr>
                <w:b/>
                <w:bCs/>
                <w:szCs w:val="26"/>
              </w:rPr>
            </w:pPr>
            <w:r w:rsidRPr="00454D1A">
              <w:rPr>
                <w:b/>
                <w:bCs/>
                <w:szCs w:val="26"/>
              </w:rPr>
              <w:t>Generation</w:t>
            </w:r>
          </w:p>
          <w:p w:rsidRPr="00454D1A" w:rsidR="00C80C9E" w:rsidP="002440A2" w:rsidRDefault="00C80C9E" w14:paraId="3EC71D26" w14:textId="77777777">
            <w:pPr>
              <w:pStyle w:val="Standard"/>
              <w:keepNext/>
              <w:spacing w:line="240" w:lineRule="auto"/>
              <w:ind w:firstLine="0"/>
              <w:jc w:val="center"/>
              <w:rPr>
                <w:szCs w:val="26"/>
              </w:rPr>
            </w:pPr>
            <w:r w:rsidRPr="00454D1A">
              <w:rPr>
                <w:szCs w:val="26"/>
              </w:rPr>
              <w:t>(¢/kWh)</w:t>
            </w:r>
          </w:p>
        </w:tc>
        <w:tc>
          <w:tcPr>
            <w:tcW w:w="1400" w:type="dxa"/>
          </w:tcPr>
          <w:p w:rsidRPr="00454D1A" w:rsidR="00C80C9E" w:rsidP="002440A2" w:rsidRDefault="00C80C9E" w14:paraId="77B6195C" w14:textId="77777777">
            <w:pPr>
              <w:pStyle w:val="Standard"/>
              <w:keepNext/>
              <w:spacing w:line="240" w:lineRule="auto"/>
              <w:ind w:firstLine="0"/>
              <w:jc w:val="center"/>
              <w:rPr>
                <w:b/>
                <w:bCs/>
                <w:szCs w:val="26"/>
              </w:rPr>
            </w:pPr>
            <w:r w:rsidRPr="00454D1A">
              <w:rPr>
                <w:b/>
                <w:bCs/>
                <w:szCs w:val="26"/>
              </w:rPr>
              <w:t>Total</w:t>
            </w:r>
          </w:p>
          <w:p w:rsidRPr="00454D1A" w:rsidR="00C80C9E" w:rsidP="002440A2" w:rsidRDefault="00C80C9E" w14:paraId="1FF7E778" w14:textId="77777777">
            <w:pPr>
              <w:pStyle w:val="Standard"/>
              <w:keepNext/>
              <w:spacing w:line="240" w:lineRule="auto"/>
              <w:ind w:firstLine="0"/>
              <w:jc w:val="center"/>
              <w:rPr>
                <w:szCs w:val="26"/>
              </w:rPr>
            </w:pPr>
            <w:r w:rsidRPr="00454D1A">
              <w:rPr>
                <w:szCs w:val="26"/>
              </w:rPr>
              <w:t>(¢/kWh)</w:t>
            </w:r>
          </w:p>
        </w:tc>
        <w:tc>
          <w:tcPr>
            <w:tcW w:w="1960" w:type="dxa"/>
          </w:tcPr>
          <w:p w:rsidRPr="00454D1A" w:rsidR="00C80C9E" w:rsidP="002440A2" w:rsidRDefault="00C80C9E" w14:paraId="0477A29E" w14:textId="77777777">
            <w:pPr>
              <w:pStyle w:val="Standard"/>
              <w:keepNext/>
              <w:spacing w:line="240" w:lineRule="auto"/>
              <w:ind w:firstLine="0"/>
              <w:jc w:val="center"/>
              <w:rPr>
                <w:b/>
                <w:bCs/>
                <w:szCs w:val="26"/>
              </w:rPr>
            </w:pPr>
            <w:r w:rsidRPr="00454D1A">
              <w:rPr>
                <w:b/>
                <w:bCs/>
                <w:szCs w:val="26"/>
              </w:rPr>
              <w:t>% Change</w:t>
            </w:r>
          </w:p>
          <w:p w:rsidRPr="00454D1A" w:rsidR="00C80C9E" w:rsidP="002440A2" w:rsidRDefault="00C80C9E" w14:paraId="7CA62777" w14:textId="77777777">
            <w:pPr>
              <w:pStyle w:val="Standard"/>
              <w:keepNext/>
              <w:spacing w:line="240" w:lineRule="auto"/>
              <w:ind w:firstLine="0"/>
              <w:jc w:val="center"/>
              <w:rPr>
                <w:b/>
                <w:bCs/>
                <w:szCs w:val="26"/>
              </w:rPr>
            </w:pPr>
            <w:r w:rsidRPr="00454D1A">
              <w:rPr>
                <w:b/>
                <w:bCs/>
                <w:szCs w:val="26"/>
              </w:rPr>
              <w:t>from 10/1/202</w:t>
            </w:r>
            <w:r>
              <w:rPr>
                <w:b/>
                <w:bCs/>
                <w:szCs w:val="26"/>
              </w:rPr>
              <w:t>3</w:t>
            </w:r>
          </w:p>
        </w:tc>
      </w:tr>
      <w:tr w:rsidRPr="00454D1A" w:rsidR="00C80C9E" w:rsidTr="002440A2" w14:paraId="79EA222F" w14:textId="77777777">
        <w:trPr>
          <w:jc w:val="center"/>
        </w:trPr>
        <w:tc>
          <w:tcPr>
            <w:tcW w:w="3685" w:type="dxa"/>
          </w:tcPr>
          <w:p w:rsidRPr="00454D1A" w:rsidR="00C80C9E" w:rsidP="002440A2" w:rsidRDefault="00C80C9E" w14:paraId="29B30525" w14:textId="77777777">
            <w:pPr>
              <w:pStyle w:val="Standard"/>
              <w:keepNext/>
              <w:spacing w:line="240" w:lineRule="auto"/>
              <w:ind w:firstLine="0"/>
              <w:rPr>
                <w:b/>
                <w:bCs/>
                <w:szCs w:val="26"/>
              </w:rPr>
            </w:pPr>
            <w:r w:rsidRPr="00454D1A">
              <w:rPr>
                <w:b/>
                <w:bCs/>
                <w:szCs w:val="26"/>
              </w:rPr>
              <w:t>Domestic</w:t>
            </w:r>
          </w:p>
          <w:p w:rsidRPr="00454D1A" w:rsidR="00C80C9E" w:rsidP="002440A2" w:rsidRDefault="00C80C9E" w14:paraId="53D91D54" w14:textId="77777777">
            <w:pPr>
              <w:pStyle w:val="Standard"/>
              <w:keepNext/>
              <w:numPr>
                <w:ilvl w:val="0"/>
                <w:numId w:val="23"/>
              </w:numPr>
              <w:spacing w:line="240" w:lineRule="auto"/>
              <w:ind w:left="576" w:hanging="216"/>
              <w:rPr>
                <w:szCs w:val="26"/>
              </w:rPr>
            </w:pPr>
            <w:r w:rsidRPr="00454D1A">
              <w:rPr>
                <w:szCs w:val="26"/>
              </w:rPr>
              <w:t>D</w:t>
            </w:r>
          </w:p>
          <w:p w:rsidRPr="00454D1A" w:rsidR="00C80C9E" w:rsidP="002440A2" w:rsidRDefault="00C80C9E" w14:paraId="4B4704E5" w14:textId="77777777">
            <w:pPr>
              <w:pStyle w:val="Standard"/>
              <w:keepNext/>
              <w:numPr>
                <w:ilvl w:val="0"/>
                <w:numId w:val="23"/>
              </w:numPr>
              <w:spacing w:line="240" w:lineRule="auto"/>
              <w:ind w:left="576" w:hanging="216"/>
              <w:rPr>
                <w:szCs w:val="26"/>
              </w:rPr>
            </w:pPr>
            <w:r w:rsidRPr="00454D1A">
              <w:rPr>
                <w:szCs w:val="26"/>
              </w:rPr>
              <w:t>D</w:t>
            </w:r>
            <w:r>
              <w:rPr>
                <w:szCs w:val="26"/>
              </w:rPr>
              <w:noBreakHyphen/>
            </w:r>
            <w:r w:rsidRPr="00454D1A">
              <w:rPr>
                <w:szCs w:val="26"/>
              </w:rPr>
              <w:t>CARE</w:t>
            </w:r>
          </w:p>
          <w:p w:rsidRPr="00454D1A" w:rsidR="00C80C9E" w:rsidP="002440A2" w:rsidRDefault="00C80C9E" w14:paraId="7E9395D0" w14:textId="77777777">
            <w:pPr>
              <w:pStyle w:val="Standard"/>
              <w:keepNext/>
              <w:numPr>
                <w:ilvl w:val="0"/>
                <w:numId w:val="23"/>
              </w:numPr>
              <w:spacing w:line="240" w:lineRule="auto"/>
              <w:ind w:left="576" w:hanging="216"/>
              <w:rPr>
                <w:szCs w:val="26"/>
              </w:rPr>
            </w:pPr>
            <w:r w:rsidRPr="00454D1A">
              <w:rPr>
                <w:szCs w:val="26"/>
              </w:rPr>
              <w:t>DE</w:t>
            </w:r>
          </w:p>
          <w:p w:rsidRPr="00454D1A" w:rsidR="00C80C9E" w:rsidP="002440A2" w:rsidRDefault="00C80C9E" w14:paraId="7EE7377B" w14:textId="77777777">
            <w:pPr>
              <w:pStyle w:val="Standard"/>
              <w:keepNext/>
              <w:numPr>
                <w:ilvl w:val="0"/>
                <w:numId w:val="23"/>
              </w:numPr>
              <w:spacing w:line="240" w:lineRule="auto"/>
              <w:ind w:left="576" w:hanging="216"/>
              <w:rPr>
                <w:szCs w:val="26"/>
              </w:rPr>
            </w:pPr>
            <w:r w:rsidRPr="00454D1A">
              <w:rPr>
                <w:szCs w:val="26"/>
              </w:rPr>
              <w:t>DM</w:t>
            </w:r>
          </w:p>
          <w:p w:rsidRPr="00454D1A" w:rsidR="00C80C9E" w:rsidP="002440A2" w:rsidRDefault="00C80C9E" w14:paraId="074871AF" w14:textId="77777777">
            <w:pPr>
              <w:pStyle w:val="Standard"/>
              <w:keepNext/>
              <w:numPr>
                <w:ilvl w:val="0"/>
                <w:numId w:val="23"/>
              </w:numPr>
              <w:spacing w:line="240" w:lineRule="auto"/>
              <w:ind w:left="576" w:hanging="216"/>
              <w:rPr>
                <w:szCs w:val="26"/>
              </w:rPr>
            </w:pPr>
            <w:r w:rsidRPr="00454D1A">
              <w:rPr>
                <w:szCs w:val="26"/>
              </w:rPr>
              <w:t>DMS</w:t>
            </w:r>
            <w:r>
              <w:rPr>
                <w:szCs w:val="26"/>
              </w:rPr>
              <w:noBreakHyphen/>
            </w:r>
            <w:r w:rsidRPr="00454D1A">
              <w:rPr>
                <w:szCs w:val="26"/>
              </w:rPr>
              <w:t>1</w:t>
            </w:r>
          </w:p>
          <w:p w:rsidRPr="00454D1A" w:rsidR="00C80C9E" w:rsidP="002440A2" w:rsidRDefault="00C80C9E" w14:paraId="013DEDC4" w14:textId="77777777">
            <w:pPr>
              <w:pStyle w:val="Standard"/>
              <w:keepNext/>
              <w:numPr>
                <w:ilvl w:val="0"/>
                <w:numId w:val="23"/>
              </w:numPr>
              <w:spacing w:line="240" w:lineRule="auto"/>
              <w:ind w:left="576" w:hanging="216"/>
              <w:rPr>
                <w:szCs w:val="26"/>
              </w:rPr>
            </w:pPr>
            <w:r w:rsidRPr="00454D1A">
              <w:rPr>
                <w:szCs w:val="26"/>
              </w:rPr>
              <w:t>DMS</w:t>
            </w:r>
            <w:r>
              <w:rPr>
                <w:szCs w:val="26"/>
              </w:rPr>
              <w:noBreakHyphen/>
            </w:r>
            <w:r w:rsidRPr="00454D1A">
              <w:rPr>
                <w:szCs w:val="26"/>
              </w:rPr>
              <w:t>2</w:t>
            </w:r>
          </w:p>
        </w:tc>
        <w:tc>
          <w:tcPr>
            <w:tcW w:w="1710" w:type="dxa"/>
          </w:tcPr>
          <w:p w:rsidRPr="00454D1A" w:rsidR="00C80C9E" w:rsidP="002440A2" w:rsidRDefault="00C80C9E" w14:paraId="3FD72B9B" w14:textId="77777777">
            <w:pPr>
              <w:pStyle w:val="Standard"/>
              <w:keepNext/>
              <w:spacing w:after="60" w:line="240" w:lineRule="auto"/>
              <w:ind w:firstLine="0"/>
              <w:jc w:val="right"/>
              <w:rPr>
                <w:b/>
                <w:bCs/>
                <w:szCs w:val="26"/>
              </w:rPr>
            </w:pPr>
          </w:p>
          <w:p w:rsidRPr="00454D1A" w:rsidR="00C80C9E" w:rsidP="002440A2" w:rsidRDefault="00C80C9E" w14:paraId="3CB0A404" w14:textId="77777777">
            <w:pPr>
              <w:pStyle w:val="Standard"/>
              <w:keepNext/>
              <w:spacing w:line="240" w:lineRule="auto"/>
              <w:ind w:firstLine="0"/>
              <w:jc w:val="right"/>
            </w:pPr>
            <w:r>
              <w:t>17.916</w:t>
            </w:r>
          </w:p>
          <w:p w:rsidRPr="00454D1A" w:rsidR="00C80C9E" w:rsidP="002440A2" w:rsidRDefault="00C80C9E" w14:paraId="5F90F010" w14:textId="77777777">
            <w:pPr>
              <w:pStyle w:val="Standard"/>
              <w:keepNext/>
              <w:spacing w:line="240" w:lineRule="auto"/>
              <w:ind w:firstLine="0"/>
              <w:jc w:val="right"/>
            </w:pPr>
            <w:r w:rsidRPr="00454D1A">
              <w:t>5.</w:t>
            </w:r>
            <w:r>
              <w:t>386</w:t>
            </w:r>
          </w:p>
          <w:p w:rsidRPr="00454D1A" w:rsidR="00C80C9E" w:rsidP="002440A2" w:rsidRDefault="00C80C9E" w14:paraId="56568202" w14:textId="77777777">
            <w:pPr>
              <w:pStyle w:val="Standard"/>
              <w:keepNext/>
              <w:spacing w:line="240" w:lineRule="auto"/>
              <w:ind w:firstLine="0"/>
              <w:jc w:val="right"/>
            </w:pPr>
            <w:r>
              <w:t>9.768</w:t>
            </w:r>
          </w:p>
          <w:p w:rsidRPr="00454D1A" w:rsidR="00C80C9E" w:rsidP="002440A2" w:rsidRDefault="00C80C9E" w14:paraId="4FC66BA8" w14:textId="77777777">
            <w:pPr>
              <w:pStyle w:val="Standard"/>
              <w:keepNext/>
              <w:spacing w:line="240" w:lineRule="auto"/>
              <w:ind w:firstLine="0"/>
              <w:jc w:val="right"/>
            </w:pPr>
            <w:r>
              <w:t>5.695</w:t>
            </w:r>
          </w:p>
          <w:p w:rsidR="00C80C9E" w:rsidP="002440A2" w:rsidRDefault="00C80C9E" w14:paraId="0A1CD936" w14:textId="77777777">
            <w:pPr>
              <w:pStyle w:val="Standard"/>
              <w:keepNext/>
              <w:spacing w:line="240" w:lineRule="auto"/>
              <w:ind w:firstLine="0"/>
              <w:jc w:val="right"/>
            </w:pPr>
            <w:r>
              <w:t>19.404</w:t>
            </w:r>
          </w:p>
          <w:p w:rsidRPr="00454D1A" w:rsidR="00C80C9E" w:rsidP="002440A2" w:rsidRDefault="00C80C9E" w14:paraId="0FC5A38B" w14:textId="77777777">
            <w:pPr>
              <w:pStyle w:val="Standard"/>
              <w:keepNext/>
              <w:spacing w:line="240" w:lineRule="auto"/>
              <w:ind w:firstLine="0"/>
              <w:jc w:val="right"/>
            </w:pPr>
            <w:r>
              <w:t>19.361</w:t>
            </w:r>
          </w:p>
        </w:tc>
        <w:tc>
          <w:tcPr>
            <w:tcW w:w="1800" w:type="dxa"/>
          </w:tcPr>
          <w:p w:rsidRPr="00454D1A" w:rsidR="00C80C9E" w:rsidP="002440A2" w:rsidRDefault="00C80C9E" w14:paraId="2C1FC471" w14:textId="77777777">
            <w:pPr>
              <w:pStyle w:val="Standard"/>
              <w:keepNext/>
              <w:spacing w:after="60" w:line="240" w:lineRule="auto"/>
              <w:ind w:firstLine="0"/>
              <w:jc w:val="right"/>
              <w:rPr>
                <w:b/>
                <w:bCs/>
                <w:szCs w:val="26"/>
              </w:rPr>
            </w:pPr>
          </w:p>
          <w:p w:rsidRPr="00454D1A" w:rsidR="00C80C9E" w:rsidP="002440A2" w:rsidRDefault="00C80C9E" w14:paraId="59BFFEB0" w14:textId="77777777">
            <w:pPr>
              <w:pStyle w:val="Standard"/>
              <w:keepNext/>
              <w:spacing w:line="240" w:lineRule="auto"/>
              <w:ind w:firstLine="0"/>
              <w:jc w:val="right"/>
            </w:pPr>
            <w:r>
              <w:t>15.033</w:t>
            </w:r>
          </w:p>
          <w:p w:rsidRPr="00454D1A" w:rsidR="00C80C9E" w:rsidP="002440A2" w:rsidRDefault="00C80C9E" w14:paraId="359A8566" w14:textId="77777777">
            <w:pPr>
              <w:pStyle w:val="Standard"/>
              <w:keepNext/>
              <w:spacing w:line="240" w:lineRule="auto"/>
              <w:ind w:firstLine="0"/>
              <w:jc w:val="right"/>
            </w:pPr>
            <w:r>
              <w:t>15.031</w:t>
            </w:r>
          </w:p>
          <w:p w:rsidRPr="00454D1A" w:rsidR="00C80C9E" w:rsidP="002440A2" w:rsidRDefault="00C80C9E" w14:paraId="03FC5D45" w14:textId="77777777">
            <w:pPr>
              <w:pStyle w:val="Standard"/>
              <w:keepNext/>
              <w:spacing w:line="240" w:lineRule="auto"/>
              <w:ind w:firstLine="0"/>
              <w:jc w:val="right"/>
            </w:pPr>
            <w:r>
              <w:t>15.026</w:t>
            </w:r>
          </w:p>
          <w:p w:rsidRPr="00454D1A" w:rsidR="00C80C9E" w:rsidP="002440A2" w:rsidRDefault="00C80C9E" w14:paraId="0392D0EC" w14:textId="77777777">
            <w:pPr>
              <w:pStyle w:val="Standard"/>
              <w:keepNext/>
              <w:spacing w:line="240" w:lineRule="auto"/>
              <w:ind w:firstLine="0"/>
              <w:jc w:val="right"/>
            </w:pPr>
            <w:r>
              <w:t>15.060</w:t>
            </w:r>
          </w:p>
          <w:p w:rsidRPr="00454D1A" w:rsidR="00C80C9E" w:rsidP="002440A2" w:rsidRDefault="00C80C9E" w14:paraId="3265B1B2" w14:textId="77777777">
            <w:pPr>
              <w:pStyle w:val="Standard"/>
              <w:keepNext/>
              <w:spacing w:line="240" w:lineRule="auto"/>
              <w:ind w:firstLine="0"/>
              <w:jc w:val="right"/>
            </w:pPr>
            <w:r>
              <w:t>15.053</w:t>
            </w:r>
          </w:p>
          <w:p w:rsidRPr="00454D1A" w:rsidR="00C80C9E" w:rsidP="002440A2" w:rsidRDefault="00C80C9E" w14:paraId="025EC9D7" w14:textId="77777777">
            <w:pPr>
              <w:pStyle w:val="Standard"/>
              <w:keepNext/>
              <w:spacing w:line="240" w:lineRule="auto"/>
              <w:ind w:firstLine="0"/>
              <w:jc w:val="right"/>
            </w:pPr>
            <w:r>
              <w:t>15.080</w:t>
            </w:r>
          </w:p>
        </w:tc>
        <w:tc>
          <w:tcPr>
            <w:tcW w:w="1400" w:type="dxa"/>
          </w:tcPr>
          <w:p w:rsidRPr="00454D1A" w:rsidR="00C80C9E" w:rsidP="002440A2" w:rsidRDefault="00C80C9E" w14:paraId="0971FE39" w14:textId="77777777">
            <w:pPr>
              <w:pStyle w:val="Standard"/>
              <w:keepNext/>
              <w:spacing w:after="60" w:line="240" w:lineRule="auto"/>
              <w:ind w:firstLine="0"/>
              <w:jc w:val="right"/>
              <w:rPr>
                <w:b/>
                <w:bCs/>
                <w:szCs w:val="26"/>
              </w:rPr>
            </w:pPr>
          </w:p>
          <w:p w:rsidRPr="00454D1A" w:rsidR="00C80C9E" w:rsidP="002440A2" w:rsidRDefault="00C80C9E" w14:paraId="75327E43" w14:textId="77777777">
            <w:pPr>
              <w:pStyle w:val="Standard"/>
              <w:keepNext/>
              <w:spacing w:line="240" w:lineRule="auto"/>
              <w:ind w:firstLine="0"/>
              <w:jc w:val="right"/>
            </w:pPr>
            <w:r>
              <w:t>32.949</w:t>
            </w:r>
          </w:p>
          <w:p w:rsidRPr="00454D1A" w:rsidR="00C80C9E" w:rsidP="002440A2" w:rsidRDefault="00C80C9E" w14:paraId="2D22D1F5" w14:textId="77777777">
            <w:pPr>
              <w:pStyle w:val="Standard"/>
              <w:keepNext/>
              <w:spacing w:line="240" w:lineRule="auto"/>
              <w:ind w:firstLine="0"/>
              <w:jc w:val="right"/>
            </w:pPr>
            <w:r>
              <w:t>20.417</w:t>
            </w:r>
          </w:p>
          <w:p w:rsidRPr="00454D1A" w:rsidR="00C80C9E" w:rsidP="002440A2" w:rsidRDefault="00C80C9E" w14:paraId="2BDD77DA" w14:textId="77777777">
            <w:pPr>
              <w:pStyle w:val="Standard"/>
              <w:keepNext/>
              <w:spacing w:line="240" w:lineRule="auto"/>
              <w:ind w:firstLine="0"/>
              <w:jc w:val="right"/>
            </w:pPr>
            <w:r>
              <w:t>24.794</w:t>
            </w:r>
          </w:p>
          <w:p w:rsidRPr="00454D1A" w:rsidR="00C80C9E" w:rsidP="002440A2" w:rsidRDefault="00C80C9E" w14:paraId="6A4BA37C" w14:textId="77777777">
            <w:pPr>
              <w:pStyle w:val="Standard"/>
              <w:keepNext/>
              <w:spacing w:line="240" w:lineRule="auto"/>
              <w:ind w:firstLine="0"/>
              <w:jc w:val="right"/>
            </w:pPr>
            <w:r>
              <w:t>20.755</w:t>
            </w:r>
          </w:p>
          <w:p w:rsidRPr="00454D1A" w:rsidR="00C80C9E" w:rsidP="002440A2" w:rsidRDefault="00C80C9E" w14:paraId="72CBBC36" w14:textId="77777777">
            <w:pPr>
              <w:pStyle w:val="Standard"/>
              <w:keepNext/>
              <w:spacing w:line="240" w:lineRule="auto"/>
              <w:ind w:firstLine="0"/>
              <w:jc w:val="right"/>
            </w:pPr>
            <w:r>
              <w:t>34.457</w:t>
            </w:r>
          </w:p>
          <w:p w:rsidRPr="00454D1A" w:rsidR="00C80C9E" w:rsidP="002440A2" w:rsidRDefault="00C80C9E" w14:paraId="0D00609A" w14:textId="77777777">
            <w:pPr>
              <w:pStyle w:val="Standard"/>
              <w:keepNext/>
              <w:spacing w:line="240" w:lineRule="auto"/>
              <w:ind w:firstLine="0"/>
              <w:jc w:val="right"/>
            </w:pPr>
            <w:r>
              <w:t>34.441</w:t>
            </w:r>
          </w:p>
        </w:tc>
        <w:tc>
          <w:tcPr>
            <w:tcW w:w="1960" w:type="dxa"/>
          </w:tcPr>
          <w:p w:rsidRPr="00454D1A" w:rsidR="00C80C9E" w:rsidP="002440A2" w:rsidRDefault="00C80C9E" w14:paraId="6286A685" w14:textId="77777777">
            <w:pPr>
              <w:pStyle w:val="Standard"/>
              <w:keepNext/>
              <w:spacing w:after="60" w:line="240" w:lineRule="auto"/>
              <w:ind w:firstLine="0"/>
              <w:jc w:val="right"/>
              <w:rPr>
                <w:szCs w:val="26"/>
              </w:rPr>
            </w:pPr>
          </w:p>
          <w:p w:rsidRPr="00454D1A" w:rsidR="00C80C9E" w:rsidP="002440A2" w:rsidRDefault="00C80C9E" w14:paraId="62AF2D75" w14:textId="77777777">
            <w:pPr>
              <w:pStyle w:val="Standard"/>
              <w:keepNext/>
              <w:spacing w:line="240" w:lineRule="auto"/>
              <w:ind w:firstLine="0"/>
              <w:jc w:val="right"/>
            </w:pPr>
            <w:r>
              <w:t>-3.9</w:t>
            </w:r>
            <w:r w:rsidRPr="00454D1A">
              <w:t>%</w:t>
            </w:r>
          </w:p>
          <w:p w:rsidRPr="00454D1A" w:rsidR="00C80C9E" w:rsidP="002440A2" w:rsidRDefault="00C80C9E" w14:paraId="756FC5FB" w14:textId="77777777">
            <w:pPr>
              <w:pStyle w:val="Standard"/>
              <w:keepNext/>
              <w:spacing w:line="240" w:lineRule="auto"/>
              <w:ind w:firstLine="0"/>
              <w:jc w:val="right"/>
            </w:pPr>
            <w:r>
              <w:t>-6.4</w:t>
            </w:r>
            <w:r w:rsidRPr="00454D1A">
              <w:t>%</w:t>
            </w:r>
          </w:p>
          <w:p w:rsidRPr="00454D1A" w:rsidR="00C80C9E" w:rsidP="002440A2" w:rsidRDefault="00C80C9E" w14:paraId="5C0B1E46" w14:textId="77777777">
            <w:pPr>
              <w:pStyle w:val="Standard"/>
              <w:keepNext/>
              <w:spacing w:line="240" w:lineRule="auto"/>
              <w:ind w:firstLine="0"/>
              <w:jc w:val="right"/>
              <w:rPr>
                <w:szCs w:val="26"/>
              </w:rPr>
            </w:pPr>
            <w:r>
              <w:rPr>
                <w:szCs w:val="26"/>
              </w:rPr>
              <w:t>-4.7</w:t>
            </w:r>
            <w:r w:rsidRPr="00454D1A">
              <w:rPr>
                <w:szCs w:val="26"/>
              </w:rPr>
              <w:t>%</w:t>
            </w:r>
          </w:p>
          <w:p w:rsidRPr="00454D1A" w:rsidR="00C80C9E" w:rsidP="002440A2" w:rsidRDefault="00C80C9E" w14:paraId="31955971" w14:textId="77777777">
            <w:pPr>
              <w:pStyle w:val="Standard"/>
              <w:keepNext/>
              <w:spacing w:line="240" w:lineRule="auto"/>
              <w:ind w:firstLine="0"/>
              <w:jc w:val="right"/>
            </w:pPr>
            <w:r>
              <w:noBreakHyphen/>
              <w:t>6.3</w:t>
            </w:r>
            <w:r w:rsidRPr="00454D1A">
              <w:t>%</w:t>
            </w:r>
          </w:p>
          <w:p w:rsidRPr="00454D1A" w:rsidR="00C80C9E" w:rsidP="002440A2" w:rsidRDefault="00C80C9E" w14:paraId="4995211D" w14:textId="77777777">
            <w:pPr>
              <w:pStyle w:val="Standard"/>
              <w:keepNext/>
              <w:spacing w:line="240" w:lineRule="auto"/>
              <w:ind w:firstLine="0"/>
              <w:jc w:val="right"/>
            </w:pPr>
            <w:r>
              <w:noBreakHyphen/>
              <w:t>0.7</w:t>
            </w:r>
            <w:r w:rsidRPr="00454D1A">
              <w:t>%</w:t>
            </w:r>
          </w:p>
          <w:p w:rsidRPr="00454D1A" w:rsidR="00C80C9E" w:rsidP="002440A2" w:rsidRDefault="00C80C9E" w14:paraId="79241FF0" w14:textId="77777777">
            <w:pPr>
              <w:pStyle w:val="Standard"/>
              <w:keepNext/>
              <w:spacing w:line="240" w:lineRule="auto"/>
              <w:ind w:firstLine="0"/>
              <w:jc w:val="right"/>
            </w:pPr>
            <w:r>
              <w:t>-0.8</w:t>
            </w:r>
            <w:r w:rsidRPr="00454D1A">
              <w:t>%</w:t>
            </w:r>
          </w:p>
        </w:tc>
      </w:tr>
      <w:tr w:rsidRPr="00454D1A" w:rsidR="00C80C9E" w:rsidTr="002440A2" w14:paraId="5CB05419" w14:textId="77777777">
        <w:trPr>
          <w:jc w:val="center"/>
        </w:trPr>
        <w:tc>
          <w:tcPr>
            <w:tcW w:w="3685" w:type="dxa"/>
          </w:tcPr>
          <w:p w:rsidRPr="00454D1A" w:rsidR="00C80C9E" w:rsidP="002440A2" w:rsidRDefault="00C80C9E" w14:paraId="262E69C6" w14:textId="77777777">
            <w:pPr>
              <w:pStyle w:val="Standard"/>
              <w:keepNext/>
              <w:spacing w:line="240" w:lineRule="auto"/>
              <w:ind w:firstLine="0"/>
              <w:rPr>
                <w:b/>
                <w:bCs/>
                <w:szCs w:val="26"/>
              </w:rPr>
            </w:pPr>
            <w:r w:rsidRPr="00454D1A">
              <w:rPr>
                <w:b/>
                <w:bCs/>
                <w:szCs w:val="26"/>
              </w:rPr>
              <w:t>Lighting</w:t>
            </w:r>
            <w:r>
              <w:rPr>
                <w:b/>
                <w:bCs/>
                <w:szCs w:val="26"/>
              </w:rPr>
              <w:noBreakHyphen/>
            </w:r>
            <w:r w:rsidRPr="00454D1A">
              <w:rPr>
                <w:b/>
                <w:bCs/>
                <w:szCs w:val="26"/>
              </w:rPr>
              <w:t>Small, Med. Power</w:t>
            </w:r>
          </w:p>
          <w:p w:rsidRPr="00454D1A" w:rsidR="00C80C9E" w:rsidP="002440A2" w:rsidRDefault="00C80C9E" w14:paraId="5D9C9EC7" w14:textId="77777777">
            <w:pPr>
              <w:pStyle w:val="Standard"/>
              <w:keepNext/>
              <w:numPr>
                <w:ilvl w:val="0"/>
                <w:numId w:val="23"/>
              </w:numPr>
              <w:spacing w:line="240" w:lineRule="auto"/>
              <w:ind w:left="576" w:hanging="216"/>
              <w:rPr>
                <w:szCs w:val="26"/>
              </w:rPr>
            </w:pPr>
            <w:r w:rsidRPr="00454D1A">
              <w:rPr>
                <w:szCs w:val="26"/>
              </w:rPr>
              <w:t>GS</w:t>
            </w:r>
            <w:r>
              <w:rPr>
                <w:szCs w:val="26"/>
              </w:rPr>
              <w:noBreakHyphen/>
            </w:r>
            <w:r w:rsidRPr="00454D1A">
              <w:rPr>
                <w:szCs w:val="26"/>
              </w:rPr>
              <w:t>1</w:t>
            </w:r>
          </w:p>
          <w:p w:rsidRPr="00454D1A" w:rsidR="00C80C9E" w:rsidP="002440A2" w:rsidRDefault="00C80C9E" w14:paraId="5C842DEE" w14:textId="77777777">
            <w:pPr>
              <w:pStyle w:val="Standard"/>
              <w:keepNext/>
              <w:numPr>
                <w:ilvl w:val="0"/>
                <w:numId w:val="23"/>
              </w:numPr>
              <w:spacing w:line="240" w:lineRule="auto"/>
              <w:ind w:left="576" w:hanging="216"/>
              <w:rPr>
                <w:szCs w:val="26"/>
              </w:rPr>
            </w:pPr>
            <w:r w:rsidRPr="00454D1A">
              <w:rPr>
                <w:szCs w:val="26"/>
              </w:rPr>
              <w:t>GS</w:t>
            </w:r>
            <w:r>
              <w:rPr>
                <w:szCs w:val="26"/>
              </w:rPr>
              <w:noBreakHyphen/>
            </w:r>
            <w:r w:rsidRPr="00454D1A">
              <w:rPr>
                <w:szCs w:val="26"/>
              </w:rPr>
              <w:t>2</w:t>
            </w:r>
          </w:p>
          <w:p w:rsidRPr="00454D1A" w:rsidR="00C80C9E" w:rsidP="002440A2" w:rsidRDefault="00C80C9E" w14:paraId="55E2E40B" w14:textId="77777777">
            <w:pPr>
              <w:pStyle w:val="Standard"/>
              <w:keepNext/>
              <w:numPr>
                <w:ilvl w:val="0"/>
                <w:numId w:val="23"/>
              </w:numPr>
              <w:spacing w:line="240" w:lineRule="auto"/>
              <w:ind w:left="576" w:hanging="216"/>
              <w:rPr>
                <w:szCs w:val="26"/>
              </w:rPr>
            </w:pPr>
            <w:r w:rsidRPr="00454D1A">
              <w:rPr>
                <w:szCs w:val="26"/>
              </w:rPr>
              <w:t>TC</w:t>
            </w:r>
            <w:r>
              <w:rPr>
                <w:szCs w:val="26"/>
              </w:rPr>
              <w:noBreakHyphen/>
            </w:r>
            <w:r w:rsidRPr="00454D1A">
              <w:rPr>
                <w:szCs w:val="26"/>
              </w:rPr>
              <w:t>1</w:t>
            </w:r>
          </w:p>
          <w:p w:rsidRPr="00454D1A" w:rsidR="00C80C9E" w:rsidP="002440A2" w:rsidRDefault="00C80C9E" w14:paraId="7C535900"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GS</w:t>
            </w:r>
          </w:p>
        </w:tc>
        <w:tc>
          <w:tcPr>
            <w:tcW w:w="1710" w:type="dxa"/>
          </w:tcPr>
          <w:p w:rsidRPr="00454D1A" w:rsidR="00C80C9E" w:rsidP="002440A2" w:rsidRDefault="00C80C9E" w14:paraId="248A617E" w14:textId="77777777">
            <w:pPr>
              <w:pStyle w:val="Standard"/>
              <w:keepNext/>
              <w:spacing w:after="20" w:line="240" w:lineRule="auto"/>
              <w:ind w:firstLine="0"/>
              <w:jc w:val="right"/>
              <w:rPr>
                <w:szCs w:val="26"/>
              </w:rPr>
            </w:pPr>
          </w:p>
          <w:p w:rsidRPr="00454D1A" w:rsidR="00C80C9E" w:rsidP="002440A2" w:rsidRDefault="00C80C9E" w14:paraId="6BCAE86D" w14:textId="77777777">
            <w:pPr>
              <w:pStyle w:val="Standard"/>
              <w:keepNext/>
              <w:spacing w:line="240" w:lineRule="auto"/>
              <w:ind w:firstLine="0"/>
              <w:jc w:val="right"/>
            </w:pPr>
            <w:r>
              <w:t>13.849</w:t>
            </w:r>
          </w:p>
          <w:p w:rsidRPr="00454D1A" w:rsidR="00C80C9E" w:rsidP="002440A2" w:rsidRDefault="00C80C9E" w14:paraId="62438CA4" w14:textId="77777777">
            <w:pPr>
              <w:pStyle w:val="Standard"/>
              <w:keepNext/>
              <w:spacing w:line="240" w:lineRule="auto"/>
              <w:ind w:firstLine="0"/>
              <w:jc w:val="right"/>
            </w:pPr>
            <w:r>
              <w:t>17.849</w:t>
            </w:r>
          </w:p>
          <w:p w:rsidRPr="00454D1A" w:rsidR="00C80C9E" w:rsidP="002440A2" w:rsidRDefault="00C80C9E" w14:paraId="547750E9" w14:textId="77777777">
            <w:pPr>
              <w:pStyle w:val="Standard"/>
              <w:keepNext/>
              <w:spacing w:line="240" w:lineRule="auto"/>
              <w:ind w:firstLine="0"/>
              <w:jc w:val="right"/>
            </w:pPr>
            <w:r>
              <w:t>21.507</w:t>
            </w:r>
          </w:p>
          <w:p w:rsidRPr="00454D1A" w:rsidR="00C80C9E" w:rsidP="002440A2" w:rsidRDefault="00C80C9E" w14:paraId="0067D29D" w14:textId="77777777">
            <w:pPr>
              <w:pStyle w:val="Standard"/>
              <w:keepNext/>
              <w:spacing w:line="240" w:lineRule="auto"/>
              <w:ind w:firstLine="0"/>
              <w:jc w:val="right"/>
            </w:pPr>
            <w:r w:rsidRPr="00454D1A">
              <w:t>13.</w:t>
            </w:r>
            <w:r>
              <w:t>715</w:t>
            </w:r>
          </w:p>
        </w:tc>
        <w:tc>
          <w:tcPr>
            <w:tcW w:w="1800" w:type="dxa"/>
          </w:tcPr>
          <w:p w:rsidRPr="00454D1A" w:rsidR="00C80C9E" w:rsidP="002440A2" w:rsidRDefault="00C80C9E" w14:paraId="2A078DF4" w14:textId="77777777">
            <w:pPr>
              <w:pStyle w:val="Standard"/>
              <w:keepNext/>
              <w:spacing w:after="20" w:line="240" w:lineRule="auto"/>
              <w:ind w:firstLine="0"/>
              <w:jc w:val="right"/>
              <w:rPr>
                <w:szCs w:val="26"/>
              </w:rPr>
            </w:pPr>
          </w:p>
          <w:p w:rsidRPr="00454D1A" w:rsidR="00C80C9E" w:rsidP="002440A2" w:rsidRDefault="00C80C9E" w14:paraId="7EDD96F7" w14:textId="77777777">
            <w:pPr>
              <w:pStyle w:val="Standard"/>
              <w:keepNext/>
              <w:spacing w:line="240" w:lineRule="auto"/>
              <w:ind w:firstLine="0"/>
              <w:jc w:val="right"/>
            </w:pPr>
            <w:r>
              <w:t>14.320</w:t>
            </w:r>
          </w:p>
          <w:p w:rsidRPr="00454D1A" w:rsidR="00C80C9E" w:rsidP="002440A2" w:rsidRDefault="00C80C9E" w14:paraId="15F57B58" w14:textId="77777777">
            <w:pPr>
              <w:pStyle w:val="Standard"/>
              <w:keepNext/>
              <w:spacing w:line="240" w:lineRule="auto"/>
              <w:ind w:firstLine="0"/>
              <w:jc w:val="right"/>
            </w:pPr>
            <w:r>
              <w:t>13.119</w:t>
            </w:r>
          </w:p>
          <w:p w:rsidRPr="00454D1A" w:rsidR="00C80C9E" w:rsidP="002440A2" w:rsidRDefault="00C80C9E" w14:paraId="05898AF5" w14:textId="77777777">
            <w:pPr>
              <w:pStyle w:val="Standard"/>
              <w:keepNext/>
              <w:spacing w:line="240" w:lineRule="auto"/>
              <w:ind w:firstLine="0"/>
              <w:jc w:val="right"/>
            </w:pPr>
            <w:r w:rsidRPr="00454D1A">
              <w:t>11.</w:t>
            </w:r>
            <w:r>
              <w:t>653</w:t>
            </w:r>
          </w:p>
          <w:p w:rsidRPr="00454D1A" w:rsidR="00C80C9E" w:rsidP="002440A2" w:rsidRDefault="00C80C9E" w14:paraId="08A47E06" w14:textId="77777777">
            <w:pPr>
              <w:pStyle w:val="Standard"/>
              <w:keepNext/>
              <w:spacing w:line="240" w:lineRule="auto"/>
              <w:ind w:firstLine="0"/>
              <w:jc w:val="right"/>
            </w:pPr>
            <w:r w:rsidRPr="00454D1A">
              <w:t>11.</w:t>
            </w:r>
            <w:r>
              <w:t>496</w:t>
            </w:r>
          </w:p>
        </w:tc>
        <w:tc>
          <w:tcPr>
            <w:tcW w:w="1400" w:type="dxa"/>
          </w:tcPr>
          <w:p w:rsidRPr="00454D1A" w:rsidR="00C80C9E" w:rsidP="002440A2" w:rsidRDefault="00C80C9E" w14:paraId="29835551" w14:textId="77777777">
            <w:pPr>
              <w:pStyle w:val="Standard"/>
              <w:keepNext/>
              <w:spacing w:after="20" w:line="240" w:lineRule="auto"/>
              <w:ind w:firstLine="0"/>
              <w:jc w:val="right"/>
              <w:rPr>
                <w:szCs w:val="26"/>
              </w:rPr>
            </w:pPr>
          </w:p>
          <w:p w:rsidRPr="00454D1A" w:rsidR="00C80C9E" w:rsidP="002440A2" w:rsidRDefault="00C80C9E" w14:paraId="2E6CD38D" w14:textId="77777777">
            <w:pPr>
              <w:pStyle w:val="Standard"/>
              <w:keepNext/>
              <w:spacing w:line="240" w:lineRule="auto"/>
              <w:ind w:firstLine="0"/>
              <w:jc w:val="right"/>
            </w:pPr>
            <w:r>
              <w:t>28.169</w:t>
            </w:r>
          </w:p>
          <w:p w:rsidRPr="00454D1A" w:rsidR="00C80C9E" w:rsidP="002440A2" w:rsidRDefault="00C80C9E" w14:paraId="1FFC9ADF" w14:textId="77777777">
            <w:pPr>
              <w:pStyle w:val="Standard"/>
              <w:keepNext/>
              <w:spacing w:line="240" w:lineRule="auto"/>
              <w:ind w:firstLine="0"/>
              <w:jc w:val="right"/>
            </w:pPr>
            <w:r>
              <w:t>30.968</w:t>
            </w:r>
          </w:p>
          <w:p w:rsidRPr="00454D1A" w:rsidR="00C80C9E" w:rsidP="002440A2" w:rsidRDefault="00C80C9E" w14:paraId="38CE1DE6" w14:textId="77777777">
            <w:pPr>
              <w:pStyle w:val="Standard"/>
              <w:keepNext/>
              <w:spacing w:line="240" w:lineRule="auto"/>
              <w:ind w:firstLine="0"/>
              <w:jc w:val="right"/>
            </w:pPr>
            <w:r>
              <w:t>33.160</w:t>
            </w:r>
          </w:p>
          <w:p w:rsidRPr="00454D1A" w:rsidR="00C80C9E" w:rsidP="002440A2" w:rsidRDefault="00C80C9E" w14:paraId="565DE5EE" w14:textId="77777777">
            <w:pPr>
              <w:pStyle w:val="Standard"/>
              <w:keepNext/>
              <w:spacing w:line="240" w:lineRule="auto"/>
              <w:ind w:firstLine="0"/>
              <w:jc w:val="right"/>
            </w:pPr>
            <w:r>
              <w:t>25.211</w:t>
            </w:r>
          </w:p>
        </w:tc>
        <w:tc>
          <w:tcPr>
            <w:tcW w:w="1960" w:type="dxa"/>
          </w:tcPr>
          <w:p w:rsidRPr="00454D1A" w:rsidR="00C80C9E" w:rsidP="002440A2" w:rsidRDefault="00C80C9E" w14:paraId="6B4AD272" w14:textId="77777777">
            <w:pPr>
              <w:pStyle w:val="Standard"/>
              <w:keepNext/>
              <w:spacing w:after="20" w:line="240" w:lineRule="auto"/>
              <w:ind w:firstLine="0"/>
              <w:jc w:val="right"/>
              <w:rPr>
                <w:szCs w:val="26"/>
              </w:rPr>
            </w:pPr>
          </w:p>
          <w:p w:rsidRPr="00454D1A" w:rsidR="00C80C9E" w:rsidP="002440A2" w:rsidRDefault="00C80C9E" w14:paraId="30784A57" w14:textId="77777777">
            <w:pPr>
              <w:pStyle w:val="Standard"/>
              <w:keepNext/>
              <w:spacing w:line="240" w:lineRule="auto"/>
              <w:ind w:firstLine="0"/>
              <w:jc w:val="right"/>
            </w:pPr>
            <w:r>
              <w:t>-3.0</w:t>
            </w:r>
            <w:r w:rsidRPr="00454D1A">
              <w:t>%</w:t>
            </w:r>
          </w:p>
          <w:p w:rsidRPr="00454D1A" w:rsidR="00C80C9E" w:rsidP="002440A2" w:rsidRDefault="00C80C9E" w14:paraId="11C8A6E0" w14:textId="77777777">
            <w:pPr>
              <w:pStyle w:val="Standard"/>
              <w:keepNext/>
              <w:spacing w:line="240" w:lineRule="auto"/>
              <w:ind w:firstLine="0"/>
              <w:jc w:val="right"/>
            </w:pPr>
            <w:r>
              <w:t>3.0</w:t>
            </w:r>
            <w:r w:rsidRPr="00454D1A">
              <w:t>%</w:t>
            </w:r>
          </w:p>
          <w:p w:rsidRPr="00454D1A" w:rsidR="00C80C9E" w:rsidP="002440A2" w:rsidRDefault="00C80C9E" w14:paraId="59B6ACDA" w14:textId="77777777">
            <w:pPr>
              <w:pStyle w:val="Standard"/>
              <w:keepNext/>
              <w:spacing w:line="240" w:lineRule="auto"/>
              <w:ind w:firstLine="0"/>
              <w:jc w:val="right"/>
            </w:pPr>
            <w:r>
              <w:t>2.7</w:t>
            </w:r>
            <w:r w:rsidRPr="00454D1A">
              <w:t>%</w:t>
            </w:r>
          </w:p>
          <w:p w:rsidRPr="00454D1A" w:rsidR="00C80C9E" w:rsidP="002440A2" w:rsidRDefault="00C80C9E" w14:paraId="5011F9FE" w14:textId="77777777">
            <w:pPr>
              <w:pStyle w:val="Standard"/>
              <w:keepNext/>
              <w:spacing w:line="240" w:lineRule="auto"/>
              <w:ind w:firstLine="0"/>
              <w:jc w:val="right"/>
            </w:pPr>
            <w:r>
              <w:t>-4.8</w:t>
            </w:r>
            <w:r w:rsidRPr="00454D1A">
              <w:t>%</w:t>
            </w:r>
          </w:p>
        </w:tc>
      </w:tr>
      <w:tr w:rsidRPr="00454D1A" w:rsidR="00C80C9E" w:rsidTr="002440A2" w14:paraId="7D8F317B" w14:textId="77777777">
        <w:trPr>
          <w:jc w:val="center"/>
        </w:trPr>
        <w:tc>
          <w:tcPr>
            <w:tcW w:w="3685" w:type="dxa"/>
          </w:tcPr>
          <w:p w:rsidRPr="00454D1A" w:rsidR="00C80C9E" w:rsidP="002440A2" w:rsidRDefault="00C80C9E" w14:paraId="73972037" w14:textId="77777777">
            <w:pPr>
              <w:pStyle w:val="Standard"/>
              <w:keepNext/>
              <w:spacing w:line="240" w:lineRule="auto"/>
              <w:ind w:firstLine="0"/>
              <w:rPr>
                <w:b/>
                <w:bCs/>
                <w:szCs w:val="26"/>
              </w:rPr>
            </w:pPr>
            <w:r w:rsidRPr="00454D1A">
              <w:rPr>
                <w:b/>
                <w:bCs/>
                <w:szCs w:val="26"/>
              </w:rPr>
              <w:t>Large Power</w:t>
            </w:r>
          </w:p>
          <w:p w:rsidRPr="00454D1A" w:rsidR="00C80C9E" w:rsidP="002440A2" w:rsidRDefault="00C80C9E" w14:paraId="07BBD5B8"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S</w:t>
            </w:r>
          </w:p>
          <w:p w:rsidRPr="00454D1A" w:rsidR="00C80C9E" w:rsidP="002440A2" w:rsidRDefault="00C80C9E" w14:paraId="4C02B182"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P</w:t>
            </w:r>
          </w:p>
          <w:p w:rsidRPr="00454D1A" w:rsidR="00C80C9E" w:rsidP="002440A2" w:rsidRDefault="00C80C9E" w14:paraId="1E60B4E0"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T</w:t>
            </w:r>
          </w:p>
          <w:p w:rsidRPr="00454D1A" w:rsidR="00C80C9E" w:rsidP="002440A2" w:rsidRDefault="00C80C9E" w14:paraId="7F07B762"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8</w:t>
            </w:r>
            <w:r>
              <w:rPr>
                <w:szCs w:val="26"/>
              </w:rPr>
              <w:noBreakHyphen/>
            </w:r>
            <w:r w:rsidRPr="00454D1A">
              <w:rPr>
                <w:szCs w:val="26"/>
              </w:rPr>
              <w:t>S</w:t>
            </w:r>
            <w:r>
              <w:rPr>
                <w:szCs w:val="26"/>
              </w:rPr>
              <w:noBreakHyphen/>
            </w:r>
            <w:r w:rsidRPr="00454D1A">
              <w:rPr>
                <w:szCs w:val="26"/>
              </w:rPr>
              <w:t>S</w:t>
            </w:r>
          </w:p>
          <w:p w:rsidRPr="00454D1A" w:rsidR="00C80C9E" w:rsidP="002440A2" w:rsidRDefault="00C80C9E" w14:paraId="66132BC7"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8</w:t>
            </w:r>
            <w:r>
              <w:rPr>
                <w:szCs w:val="26"/>
              </w:rPr>
              <w:noBreakHyphen/>
            </w:r>
            <w:r w:rsidRPr="00454D1A">
              <w:rPr>
                <w:szCs w:val="26"/>
              </w:rPr>
              <w:t>S</w:t>
            </w:r>
            <w:r>
              <w:rPr>
                <w:szCs w:val="26"/>
              </w:rPr>
              <w:noBreakHyphen/>
            </w:r>
            <w:r w:rsidRPr="00454D1A">
              <w:rPr>
                <w:szCs w:val="26"/>
              </w:rPr>
              <w:t>P</w:t>
            </w:r>
          </w:p>
          <w:p w:rsidRPr="00454D1A" w:rsidR="00C80C9E" w:rsidP="002440A2" w:rsidRDefault="00C80C9E" w14:paraId="088350D5"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8</w:t>
            </w:r>
            <w:r>
              <w:rPr>
                <w:szCs w:val="26"/>
              </w:rPr>
              <w:noBreakHyphen/>
            </w:r>
            <w:r w:rsidRPr="00454D1A">
              <w:rPr>
                <w:szCs w:val="26"/>
              </w:rPr>
              <w:t>S</w:t>
            </w:r>
            <w:r>
              <w:rPr>
                <w:szCs w:val="26"/>
              </w:rPr>
              <w:noBreakHyphen/>
            </w:r>
            <w:r w:rsidRPr="00454D1A">
              <w:rPr>
                <w:szCs w:val="26"/>
              </w:rPr>
              <w:t>T</w:t>
            </w:r>
          </w:p>
        </w:tc>
        <w:tc>
          <w:tcPr>
            <w:tcW w:w="1710" w:type="dxa"/>
          </w:tcPr>
          <w:p w:rsidRPr="00454D1A" w:rsidR="00C80C9E" w:rsidP="002440A2" w:rsidRDefault="00C80C9E" w14:paraId="30C09F32" w14:textId="77777777">
            <w:pPr>
              <w:pStyle w:val="Standard"/>
              <w:keepNext/>
              <w:spacing w:after="20" w:line="240" w:lineRule="auto"/>
              <w:ind w:firstLine="0"/>
              <w:jc w:val="right"/>
              <w:rPr>
                <w:szCs w:val="26"/>
              </w:rPr>
            </w:pPr>
          </w:p>
          <w:p w:rsidRPr="00454D1A" w:rsidR="00C80C9E" w:rsidP="002440A2" w:rsidRDefault="00C80C9E" w14:paraId="68A81442" w14:textId="77777777">
            <w:pPr>
              <w:pStyle w:val="Standard"/>
              <w:keepNext/>
              <w:spacing w:line="240" w:lineRule="auto"/>
              <w:ind w:firstLine="0"/>
              <w:jc w:val="right"/>
            </w:pPr>
            <w:r>
              <w:t>11.942</w:t>
            </w:r>
          </w:p>
          <w:p w:rsidRPr="00454D1A" w:rsidR="00C80C9E" w:rsidP="002440A2" w:rsidRDefault="00C80C9E" w14:paraId="131E12AD" w14:textId="77777777">
            <w:pPr>
              <w:pStyle w:val="Standard"/>
              <w:keepNext/>
              <w:spacing w:line="240" w:lineRule="auto"/>
              <w:ind w:firstLine="0"/>
              <w:jc w:val="right"/>
            </w:pPr>
            <w:r>
              <w:t>10.764</w:t>
            </w:r>
          </w:p>
          <w:p w:rsidRPr="00454D1A" w:rsidR="00C80C9E" w:rsidP="002440A2" w:rsidRDefault="00C80C9E" w14:paraId="03BF4381" w14:textId="77777777">
            <w:pPr>
              <w:pStyle w:val="Standard"/>
              <w:keepNext/>
              <w:spacing w:line="240" w:lineRule="auto"/>
              <w:ind w:firstLine="0"/>
              <w:jc w:val="right"/>
            </w:pPr>
            <w:r>
              <w:t>4.079</w:t>
            </w:r>
          </w:p>
          <w:p w:rsidRPr="00454D1A" w:rsidR="00C80C9E" w:rsidP="002440A2" w:rsidRDefault="00C80C9E" w14:paraId="5B8D585F" w14:textId="77777777">
            <w:pPr>
              <w:pStyle w:val="Standard"/>
              <w:keepNext/>
              <w:spacing w:line="240" w:lineRule="auto"/>
              <w:ind w:firstLine="0"/>
              <w:jc w:val="right"/>
            </w:pPr>
            <w:r>
              <w:t>12.461</w:t>
            </w:r>
          </w:p>
          <w:p w:rsidRPr="00454D1A" w:rsidR="00C80C9E" w:rsidP="002440A2" w:rsidRDefault="00C80C9E" w14:paraId="58840A4E" w14:textId="77777777">
            <w:pPr>
              <w:pStyle w:val="Standard"/>
              <w:keepNext/>
              <w:spacing w:line="240" w:lineRule="auto"/>
              <w:ind w:firstLine="0"/>
              <w:jc w:val="right"/>
            </w:pPr>
            <w:r>
              <w:t>12.270</w:t>
            </w:r>
          </w:p>
          <w:p w:rsidRPr="00454D1A" w:rsidR="00C80C9E" w:rsidP="002440A2" w:rsidRDefault="00C80C9E" w14:paraId="5C8C2B59" w14:textId="77777777">
            <w:pPr>
              <w:pStyle w:val="Standard"/>
              <w:keepNext/>
              <w:spacing w:line="240" w:lineRule="auto"/>
              <w:ind w:firstLine="0"/>
              <w:jc w:val="right"/>
            </w:pPr>
            <w:r>
              <w:t>5.127</w:t>
            </w:r>
          </w:p>
        </w:tc>
        <w:tc>
          <w:tcPr>
            <w:tcW w:w="1800" w:type="dxa"/>
          </w:tcPr>
          <w:p w:rsidRPr="00454D1A" w:rsidR="00C80C9E" w:rsidP="002440A2" w:rsidRDefault="00C80C9E" w14:paraId="0867ED72" w14:textId="77777777">
            <w:pPr>
              <w:pStyle w:val="Standard"/>
              <w:keepNext/>
              <w:spacing w:after="20" w:line="240" w:lineRule="auto"/>
              <w:ind w:firstLine="0"/>
              <w:jc w:val="right"/>
              <w:rPr>
                <w:szCs w:val="26"/>
              </w:rPr>
            </w:pPr>
          </w:p>
          <w:p w:rsidRPr="00454D1A" w:rsidR="00C80C9E" w:rsidP="002440A2" w:rsidRDefault="00C80C9E" w14:paraId="160CE869" w14:textId="77777777">
            <w:pPr>
              <w:pStyle w:val="Standard"/>
              <w:keepNext/>
              <w:spacing w:line="240" w:lineRule="auto"/>
              <w:ind w:firstLine="0"/>
              <w:jc w:val="right"/>
            </w:pPr>
            <w:r w:rsidRPr="00454D1A">
              <w:t>10.</w:t>
            </w:r>
            <w:r>
              <w:t>909</w:t>
            </w:r>
          </w:p>
          <w:p w:rsidRPr="00454D1A" w:rsidR="00C80C9E" w:rsidP="002440A2" w:rsidRDefault="00C80C9E" w14:paraId="083CCE41" w14:textId="77777777">
            <w:pPr>
              <w:pStyle w:val="Standard"/>
              <w:keepNext/>
              <w:spacing w:line="240" w:lineRule="auto"/>
              <w:ind w:firstLine="0"/>
              <w:jc w:val="right"/>
            </w:pPr>
            <w:r w:rsidRPr="00454D1A">
              <w:t>10.</w:t>
            </w:r>
            <w:r>
              <w:t>574</w:t>
            </w:r>
          </w:p>
          <w:p w:rsidRPr="00454D1A" w:rsidR="00C80C9E" w:rsidP="002440A2" w:rsidRDefault="00C80C9E" w14:paraId="1FC13961" w14:textId="77777777">
            <w:pPr>
              <w:pStyle w:val="Standard"/>
              <w:keepNext/>
              <w:spacing w:line="240" w:lineRule="auto"/>
              <w:ind w:firstLine="0"/>
              <w:jc w:val="right"/>
            </w:pPr>
            <w:r w:rsidRPr="00454D1A">
              <w:t>9.</w:t>
            </w:r>
            <w:r>
              <w:t>635</w:t>
            </w:r>
          </w:p>
          <w:p w:rsidRPr="00454D1A" w:rsidR="00C80C9E" w:rsidP="002440A2" w:rsidRDefault="00C80C9E" w14:paraId="52C306B1" w14:textId="77777777">
            <w:pPr>
              <w:pStyle w:val="Standard"/>
              <w:keepNext/>
              <w:spacing w:line="240" w:lineRule="auto"/>
              <w:ind w:firstLine="0"/>
              <w:jc w:val="right"/>
            </w:pPr>
            <w:r w:rsidRPr="00454D1A">
              <w:t>11.</w:t>
            </w:r>
            <w:r>
              <w:t>633</w:t>
            </w:r>
          </w:p>
          <w:p w:rsidRPr="00454D1A" w:rsidR="00C80C9E" w:rsidP="002440A2" w:rsidRDefault="00C80C9E" w14:paraId="1EE4A6F2" w14:textId="77777777">
            <w:pPr>
              <w:pStyle w:val="Standard"/>
              <w:keepNext/>
              <w:spacing w:line="240" w:lineRule="auto"/>
              <w:ind w:firstLine="0"/>
              <w:jc w:val="right"/>
            </w:pPr>
            <w:r>
              <w:t>11.117</w:t>
            </w:r>
          </w:p>
          <w:p w:rsidRPr="00454D1A" w:rsidR="00C80C9E" w:rsidP="002440A2" w:rsidRDefault="00C80C9E" w14:paraId="44E541F1" w14:textId="77777777">
            <w:pPr>
              <w:pStyle w:val="Standard"/>
              <w:keepNext/>
              <w:spacing w:line="240" w:lineRule="auto"/>
              <w:ind w:firstLine="0"/>
              <w:jc w:val="right"/>
            </w:pPr>
            <w:r w:rsidRPr="00454D1A">
              <w:t>9.</w:t>
            </w:r>
            <w:r>
              <w:t>978</w:t>
            </w:r>
          </w:p>
        </w:tc>
        <w:tc>
          <w:tcPr>
            <w:tcW w:w="1400" w:type="dxa"/>
          </w:tcPr>
          <w:p w:rsidRPr="00454D1A" w:rsidR="00C80C9E" w:rsidP="002440A2" w:rsidRDefault="00C80C9E" w14:paraId="2A1FA4F3" w14:textId="77777777">
            <w:pPr>
              <w:pStyle w:val="Standard"/>
              <w:keepNext/>
              <w:spacing w:after="20" w:line="240" w:lineRule="auto"/>
              <w:ind w:firstLine="0"/>
              <w:jc w:val="right"/>
              <w:rPr>
                <w:szCs w:val="26"/>
              </w:rPr>
            </w:pPr>
          </w:p>
          <w:p w:rsidRPr="00454D1A" w:rsidR="00C80C9E" w:rsidP="002440A2" w:rsidRDefault="00C80C9E" w14:paraId="1B07D56C" w14:textId="77777777">
            <w:pPr>
              <w:pStyle w:val="Standard"/>
              <w:keepNext/>
              <w:spacing w:line="240" w:lineRule="auto"/>
              <w:ind w:firstLine="0"/>
              <w:jc w:val="right"/>
            </w:pPr>
            <w:r>
              <w:t>22.851</w:t>
            </w:r>
          </w:p>
          <w:p w:rsidRPr="00454D1A" w:rsidR="00C80C9E" w:rsidP="002440A2" w:rsidRDefault="00C80C9E" w14:paraId="16934D3B" w14:textId="77777777">
            <w:pPr>
              <w:pStyle w:val="Standard"/>
              <w:keepNext/>
              <w:spacing w:line="240" w:lineRule="auto"/>
              <w:ind w:firstLine="0"/>
              <w:jc w:val="right"/>
            </w:pPr>
            <w:r>
              <w:t>21.338</w:t>
            </w:r>
          </w:p>
          <w:p w:rsidRPr="00454D1A" w:rsidR="00C80C9E" w:rsidP="002440A2" w:rsidRDefault="00C80C9E" w14:paraId="2C067E5E" w14:textId="77777777">
            <w:pPr>
              <w:pStyle w:val="Standard"/>
              <w:keepNext/>
              <w:spacing w:line="240" w:lineRule="auto"/>
              <w:ind w:firstLine="0"/>
              <w:jc w:val="right"/>
            </w:pPr>
            <w:r w:rsidRPr="00454D1A">
              <w:t>13.</w:t>
            </w:r>
            <w:r>
              <w:t>714</w:t>
            </w:r>
          </w:p>
          <w:p w:rsidRPr="00454D1A" w:rsidR="00C80C9E" w:rsidP="002440A2" w:rsidRDefault="00C80C9E" w14:paraId="102A9CE4" w14:textId="77777777">
            <w:pPr>
              <w:pStyle w:val="Standard"/>
              <w:keepNext/>
              <w:spacing w:line="240" w:lineRule="auto"/>
              <w:ind w:firstLine="0"/>
              <w:jc w:val="right"/>
            </w:pPr>
            <w:r>
              <w:t>24.094</w:t>
            </w:r>
          </w:p>
          <w:p w:rsidRPr="00454D1A" w:rsidR="00C80C9E" w:rsidP="002440A2" w:rsidRDefault="00C80C9E" w14:paraId="4DD187E8" w14:textId="77777777">
            <w:pPr>
              <w:pStyle w:val="Standard"/>
              <w:keepNext/>
              <w:spacing w:line="240" w:lineRule="auto"/>
              <w:ind w:firstLine="0"/>
              <w:jc w:val="right"/>
            </w:pPr>
            <w:r>
              <w:t>23.388</w:t>
            </w:r>
          </w:p>
          <w:p w:rsidRPr="00454D1A" w:rsidR="00C80C9E" w:rsidP="002440A2" w:rsidRDefault="00C80C9E" w14:paraId="7A57A825" w14:textId="77777777">
            <w:pPr>
              <w:pStyle w:val="Standard"/>
              <w:keepNext/>
              <w:spacing w:line="240" w:lineRule="auto"/>
              <w:ind w:firstLine="0"/>
              <w:jc w:val="right"/>
            </w:pPr>
            <w:r>
              <w:t>15.106</w:t>
            </w:r>
          </w:p>
        </w:tc>
        <w:tc>
          <w:tcPr>
            <w:tcW w:w="1960" w:type="dxa"/>
          </w:tcPr>
          <w:p w:rsidRPr="00454D1A" w:rsidR="00C80C9E" w:rsidP="002440A2" w:rsidRDefault="00C80C9E" w14:paraId="0FDA7D9E" w14:textId="77777777">
            <w:pPr>
              <w:pStyle w:val="Standard"/>
              <w:keepNext/>
              <w:spacing w:after="20" w:line="240" w:lineRule="auto"/>
              <w:ind w:firstLine="0"/>
              <w:jc w:val="right"/>
              <w:rPr>
                <w:szCs w:val="26"/>
              </w:rPr>
            </w:pPr>
          </w:p>
          <w:p w:rsidRPr="00454D1A" w:rsidR="00C80C9E" w:rsidP="002440A2" w:rsidRDefault="00C80C9E" w14:paraId="4C11D8B6" w14:textId="77777777">
            <w:pPr>
              <w:pStyle w:val="Standard"/>
              <w:keepNext/>
              <w:spacing w:line="240" w:lineRule="auto"/>
              <w:ind w:firstLine="0"/>
              <w:jc w:val="right"/>
            </w:pPr>
            <w:r>
              <w:t>-2.6</w:t>
            </w:r>
            <w:r w:rsidRPr="00454D1A">
              <w:t>%</w:t>
            </w:r>
          </w:p>
          <w:p w:rsidRPr="00454D1A" w:rsidR="00C80C9E" w:rsidP="002440A2" w:rsidRDefault="00C80C9E" w14:paraId="63B38E70" w14:textId="77777777">
            <w:pPr>
              <w:pStyle w:val="Standard"/>
              <w:keepNext/>
              <w:spacing w:line="240" w:lineRule="auto"/>
              <w:ind w:firstLine="0"/>
              <w:jc w:val="right"/>
            </w:pPr>
            <w:r>
              <w:t>-1.1</w:t>
            </w:r>
            <w:r w:rsidRPr="00454D1A">
              <w:t>%</w:t>
            </w:r>
          </w:p>
          <w:p w:rsidRPr="00454D1A" w:rsidR="00C80C9E" w:rsidP="002440A2" w:rsidRDefault="00C80C9E" w14:paraId="7A6C5419" w14:textId="77777777">
            <w:pPr>
              <w:pStyle w:val="Standard"/>
              <w:keepNext/>
              <w:spacing w:line="240" w:lineRule="auto"/>
              <w:ind w:firstLine="0"/>
              <w:jc w:val="right"/>
            </w:pPr>
            <w:r>
              <w:t>-6.8</w:t>
            </w:r>
            <w:r w:rsidRPr="00454D1A">
              <w:t>%</w:t>
            </w:r>
          </w:p>
          <w:p w:rsidRPr="00454D1A" w:rsidR="00C80C9E" w:rsidP="002440A2" w:rsidRDefault="00C80C9E" w14:paraId="28E33520" w14:textId="77777777">
            <w:pPr>
              <w:pStyle w:val="Standard"/>
              <w:keepNext/>
              <w:spacing w:line="240" w:lineRule="auto"/>
              <w:ind w:firstLine="0"/>
              <w:jc w:val="right"/>
            </w:pPr>
            <w:r>
              <w:t>-3.0</w:t>
            </w:r>
            <w:r w:rsidRPr="00454D1A">
              <w:t>%</w:t>
            </w:r>
          </w:p>
          <w:p w:rsidRPr="00454D1A" w:rsidR="00C80C9E" w:rsidP="002440A2" w:rsidRDefault="00C80C9E" w14:paraId="2F79D1C9" w14:textId="77777777">
            <w:pPr>
              <w:pStyle w:val="Standard"/>
              <w:keepNext/>
              <w:spacing w:line="240" w:lineRule="auto"/>
              <w:ind w:firstLine="0"/>
              <w:jc w:val="right"/>
            </w:pPr>
            <w:r>
              <w:t>-2.0</w:t>
            </w:r>
            <w:r w:rsidRPr="00454D1A">
              <w:t>%</w:t>
            </w:r>
          </w:p>
          <w:p w:rsidRPr="00454D1A" w:rsidR="00C80C9E" w:rsidP="002440A2" w:rsidRDefault="00C80C9E" w14:paraId="6F71D898" w14:textId="77777777">
            <w:pPr>
              <w:pStyle w:val="Standard"/>
              <w:keepNext/>
              <w:spacing w:line="240" w:lineRule="auto"/>
              <w:ind w:firstLine="0"/>
              <w:jc w:val="right"/>
            </w:pPr>
            <w:r>
              <w:t>-4.6</w:t>
            </w:r>
            <w:r w:rsidRPr="00454D1A">
              <w:t>%</w:t>
            </w:r>
          </w:p>
        </w:tc>
      </w:tr>
      <w:tr w:rsidRPr="00454D1A" w:rsidR="00C80C9E" w:rsidTr="002440A2" w14:paraId="1ACF7CBD" w14:textId="77777777">
        <w:trPr>
          <w:jc w:val="center"/>
        </w:trPr>
        <w:tc>
          <w:tcPr>
            <w:tcW w:w="3685" w:type="dxa"/>
          </w:tcPr>
          <w:p w:rsidRPr="00454D1A" w:rsidR="00C80C9E" w:rsidP="002440A2" w:rsidRDefault="00C80C9E" w14:paraId="796A3C08" w14:textId="77777777">
            <w:pPr>
              <w:pStyle w:val="Standard"/>
              <w:keepNext/>
              <w:spacing w:line="240" w:lineRule="auto"/>
              <w:ind w:firstLine="0"/>
              <w:rPr>
                <w:b/>
                <w:bCs/>
                <w:szCs w:val="26"/>
              </w:rPr>
            </w:pPr>
            <w:r w:rsidRPr="00454D1A">
              <w:rPr>
                <w:b/>
                <w:bCs/>
                <w:szCs w:val="26"/>
              </w:rPr>
              <w:t>Agricultural</w:t>
            </w:r>
            <w:r>
              <w:rPr>
                <w:b/>
                <w:bCs/>
                <w:szCs w:val="26"/>
              </w:rPr>
              <w:t> </w:t>
            </w:r>
            <w:r w:rsidRPr="00454D1A">
              <w:rPr>
                <w:b/>
                <w:bCs/>
                <w:szCs w:val="26"/>
              </w:rPr>
              <w:t>&amp; Pumping</w:t>
            </w:r>
          </w:p>
          <w:p w:rsidRPr="00454D1A" w:rsidR="00C80C9E" w:rsidP="002440A2" w:rsidRDefault="00C80C9E" w14:paraId="7B8E04F3"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PA</w:t>
            </w:r>
            <w:r>
              <w:rPr>
                <w:szCs w:val="26"/>
              </w:rPr>
              <w:noBreakHyphen/>
            </w:r>
            <w:r w:rsidRPr="00454D1A">
              <w:rPr>
                <w:szCs w:val="26"/>
              </w:rPr>
              <w:t>2</w:t>
            </w:r>
          </w:p>
          <w:p w:rsidRPr="00454D1A" w:rsidR="00C80C9E" w:rsidP="002440A2" w:rsidRDefault="00C80C9E" w14:paraId="1260DCD6" w14:textId="77777777">
            <w:pPr>
              <w:pStyle w:val="Standard"/>
              <w:keepNext/>
              <w:numPr>
                <w:ilvl w:val="0"/>
                <w:numId w:val="23"/>
              </w:numPr>
              <w:spacing w:line="240" w:lineRule="auto"/>
              <w:ind w:left="576" w:hanging="216"/>
              <w:rPr>
                <w:szCs w:val="26"/>
              </w:rPr>
            </w:pPr>
            <w:r w:rsidRPr="00454D1A">
              <w:rPr>
                <w:szCs w:val="26"/>
              </w:rPr>
              <w:t>TOU</w:t>
            </w:r>
            <w:r>
              <w:rPr>
                <w:szCs w:val="26"/>
              </w:rPr>
              <w:noBreakHyphen/>
            </w:r>
            <w:r w:rsidRPr="00454D1A">
              <w:rPr>
                <w:szCs w:val="26"/>
              </w:rPr>
              <w:t>PA</w:t>
            </w:r>
            <w:r>
              <w:rPr>
                <w:szCs w:val="26"/>
              </w:rPr>
              <w:noBreakHyphen/>
            </w:r>
            <w:r w:rsidRPr="00454D1A">
              <w:rPr>
                <w:szCs w:val="26"/>
              </w:rPr>
              <w:t>3</w:t>
            </w:r>
          </w:p>
        </w:tc>
        <w:tc>
          <w:tcPr>
            <w:tcW w:w="1710" w:type="dxa"/>
          </w:tcPr>
          <w:p w:rsidRPr="00454D1A" w:rsidR="00C80C9E" w:rsidP="002440A2" w:rsidRDefault="00C80C9E" w14:paraId="2904A947" w14:textId="77777777">
            <w:pPr>
              <w:pStyle w:val="Standard"/>
              <w:keepNext/>
              <w:spacing w:after="20" w:line="240" w:lineRule="auto"/>
              <w:ind w:firstLine="0"/>
              <w:jc w:val="right"/>
              <w:rPr>
                <w:szCs w:val="26"/>
              </w:rPr>
            </w:pPr>
          </w:p>
          <w:p w:rsidRPr="00454D1A" w:rsidR="00C80C9E" w:rsidP="002440A2" w:rsidRDefault="00C80C9E" w14:paraId="32DED0BA" w14:textId="77777777">
            <w:pPr>
              <w:pStyle w:val="Standard"/>
              <w:keepNext/>
              <w:spacing w:line="240" w:lineRule="auto"/>
              <w:ind w:firstLine="0"/>
              <w:jc w:val="right"/>
            </w:pPr>
            <w:r w:rsidRPr="00454D1A">
              <w:t>13.</w:t>
            </w:r>
            <w:r>
              <w:t>084</w:t>
            </w:r>
          </w:p>
          <w:p w:rsidRPr="00454D1A" w:rsidR="00C80C9E" w:rsidP="002440A2" w:rsidRDefault="00C80C9E" w14:paraId="28FA316F" w14:textId="77777777">
            <w:pPr>
              <w:pStyle w:val="Standard"/>
              <w:keepNext/>
              <w:spacing w:line="240" w:lineRule="auto"/>
              <w:ind w:firstLine="0"/>
              <w:jc w:val="right"/>
            </w:pPr>
            <w:r>
              <w:t>10.745</w:t>
            </w:r>
          </w:p>
        </w:tc>
        <w:tc>
          <w:tcPr>
            <w:tcW w:w="1800" w:type="dxa"/>
          </w:tcPr>
          <w:p w:rsidRPr="00454D1A" w:rsidR="00C80C9E" w:rsidP="002440A2" w:rsidRDefault="00C80C9E" w14:paraId="21473C34" w14:textId="77777777">
            <w:pPr>
              <w:pStyle w:val="Standard"/>
              <w:keepNext/>
              <w:spacing w:after="20" w:line="240" w:lineRule="auto"/>
              <w:ind w:firstLine="0"/>
              <w:jc w:val="right"/>
              <w:rPr>
                <w:szCs w:val="26"/>
              </w:rPr>
            </w:pPr>
          </w:p>
          <w:p w:rsidRPr="00454D1A" w:rsidR="00C80C9E" w:rsidP="002440A2" w:rsidRDefault="00C80C9E" w14:paraId="44DD584E" w14:textId="77777777">
            <w:pPr>
              <w:pStyle w:val="Standard"/>
              <w:keepNext/>
              <w:spacing w:line="240" w:lineRule="auto"/>
              <w:ind w:firstLine="0"/>
              <w:jc w:val="right"/>
            </w:pPr>
            <w:r>
              <w:t>11.906</w:t>
            </w:r>
          </w:p>
          <w:p w:rsidRPr="00454D1A" w:rsidR="00C80C9E" w:rsidP="002440A2" w:rsidRDefault="00C80C9E" w14:paraId="7A9171C3" w14:textId="77777777">
            <w:pPr>
              <w:pStyle w:val="Standard"/>
              <w:keepNext/>
              <w:spacing w:line="240" w:lineRule="auto"/>
              <w:ind w:firstLine="0"/>
              <w:jc w:val="right"/>
            </w:pPr>
            <w:r>
              <w:t>10.118</w:t>
            </w:r>
          </w:p>
        </w:tc>
        <w:tc>
          <w:tcPr>
            <w:tcW w:w="1400" w:type="dxa"/>
          </w:tcPr>
          <w:p w:rsidRPr="00454D1A" w:rsidR="00C80C9E" w:rsidP="002440A2" w:rsidRDefault="00C80C9E" w14:paraId="38C64658" w14:textId="77777777">
            <w:pPr>
              <w:pStyle w:val="Standard"/>
              <w:keepNext/>
              <w:spacing w:after="20" w:line="240" w:lineRule="auto"/>
              <w:ind w:firstLine="0"/>
              <w:jc w:val="right"/>
              <w:rPr>
                <w:szCs w:val="26"/>
              </w:rPr>
            </w:pPr>
          </w:p>
          <w:p w:rsidRPr="00454D1A" w:rsidR="00C80C9E" w:rsidP="002440A2" w:rsidRDefault="00C80C9E" w14:paraId="2985653A" w14:textId="77777777">
            <w:pPr>
              <w:pStyle w:val="Standard"/>
              <w:keepNext/>
              <w:spacing w:line="240" w:lineRule="auto"/>
              <w:ind w:firstLine="0"/>
              <w:jc w:val="right"/>
            </w:pPr>
            <w:r w:rsidRPr="00454D1A">
              <w:t>2</w:t>
            </w:r>
            <w:r>
              <w:t>4</w:t>
            </w:r>
            <w:r w:rsidRPr="00454D1A">
              <w:t>.</w:t>
            </w:r>
            <w:r>
              <w:t>990</w:t>
            </w:r>
          </w:p>
          <w:p w:rsidRPr="00454D1A" w:rsidR="00C80C9E" w:rsidP="002440A2" w:rsidRDefault="00C80C9E" w14:paraId="7D8931F1" w14:textId="77777777">
            <w:pPr>
              <w:pStyle w:val="Standard"/>
              <w:keepNext/>
              <w:spacing w:line="240" w:lineRule="auto"/>
              <w:ind w:firstLine="0"/>
              <w:jc w:val="right"/>
            </w:pPr>
            <w:r>
              <w:t>20.864</w:t>
            </w:r>
          </w:p>
        </w:tc>
        <w:tc>
          <w:tcPr>
            <w:tcW w:w="1960" w:type="dxa"/>
          </w:tcPr>
          <w:p w:rsidRPr="00454D1A" w:rsidR="00C80C9E" w:rsidP="002440A2" w:rsidRDefault="00C80C9E" w14:paraId="134DDC85" w14:textId="77777777">
            <w:pPr>
              <w:pStyle w:val="Standard"/>
              <w:keepNext/>
              <w:spacing w:after="20" w:line="240" w:lineRule="auto"/>
              <w:ind w:firstLine="0"/>
              <w:jc w:val="right"/>
              <w:rPr>
                <w:szCs w:val="26"/>
              </w:rPr>
            </w:pPr>
          </w:p>
          <w:p w:rsidRPr="00454D1A" w:rsidR="00C80C9E" w:rsidP="002440A2" w:rsidRDefault="00C80C9E" w14:paraId="2D11986F" w14:textId="77777777">
            <w:pPr>
              <w:pStyle w:val="Standard"/>
              <w:keepNext/>
              <w:spacing w:line="240" w:lineRule="auto"/>
              <w:ind w:firstLine="0"/>
              <w:jc w:val="right"/>
            </w:pPr>
            <w:r>
              <w:t>-</w:t>
            </w:r>
            <w:r w:rsidRPr="00454D1A">
              <w:t>9.</w:t>
            </w:r>
            <w:r>
              <w:t>3</w:t>
            </w:r>
            <w:r w:rsidRPr="00454D1A">
              <w:t>%</w:t>
            </w:r>
          </w:p>
          <w:p w:rsidRPr="00454D1A" w:rsidR="00C80C9E" w:rsidP="002440A2" w:rsidRDefault="00C80C9E" w14:paraId="1711A40E" w14:textId="77777777">
            <w:pPr>
              <w:pStyle w:val="Standard"/>
              <w:keepNext/>
              <w:spacing w:line="240" w:lineRule="auto"/>
              <w:ind w:firstLine="0"/>
              <w:jc w:val="right"/>
            </w:pPr>
            <w:r>
              <w:t>-2.7</w:t>
            </w:r>
            <w:r w:rsidRPr="00454D1A">
              <w:t>%</w:t>
            </w:r>
          </w:p>
        </w:tc>
      </w:tr>
      <w:tr w:rsidRPr="00454D1A" w:rsidR="00C80C9E" w:rsidTr="002440A2" w14:paraId="7F9A737A" w14:textId="77777777">
        <w:trPr>
          <w:jc w:val="center"/>
        </w:trPr>
        <w:tc>
          <w:tcPr>
            <w:tcW w:w="3685" w:type="dxa"/>
          </w:tcPr>
          <w:p w:rsidRPr="00454D1A" w:rsidR="00C80C9E" w:rsidP="002440A2" w:rsidRDefault="00C80C9E" w14:paraId="24F1155C" w14:textId="77777777">
            <w:pPr>
              <w:pStyle w:val="Standard"/>
              <w:keepNext/>
              <w:spacing w:line="240" w:lineRule="auto"/>
              <w:ind w:firstLine="0"/>
              <w:rPr>
                <w:b/>
                <w:bCs/>
                <w:szCs w:val="26"/>
              </w:rPr>
            </w:pPr>
            <w:r w:rsidRPr="00454D1A">
              <w:rPr>
                <w:b/>
                <w:bCs/>
                <w:szCs w:val="26"/>
              </w:rPr>
              <w:t>Street</w:t>
            </w:r>
            <w:r>
              <w:rPr>
                <w:b/>
                <w:bCs/>
                <w:szCs w:val="26"/>
              </w:rPr>
              <w:t> </w:t>
            </w:r>
            <w:r w:rsidRPr="00454D1A">
              <w:rPr>
                <w:b/>
                <w:bCs/>
                <w:szCs w:val="26"/>
              </w:rPr>
              <w:t>&amp; Area Lighting</w:t>
            </w:r>
          </w:p>
          <w:p w:rsidRPr="00454D1A" w:rsidR="00C80C9E" w:rsidP="002440A2" w:rsidRDefault="00C80C9E" w14:paraId="4FCD34D3" w14:textId="77777777">
            <w:pPr>
              <w:pStyle w:val="Standard"/>
              <w:keepNext/>
              <w:numPr>
                <w:ilvl w:val="0"/>
                <w:numId w:val="23"/>
              </w:numPr>
              <w:spacing w:line="240" w:lineRule="auto"/>
              <w:ind w:left="576" w:hanging="216"/>
              <w:rPr>
                <w:szCs w:val="26"/>
              </w:rPr>
            </w:pPr>
            <w:r w:rsidRPr="00454D1A">
              <w:rPr>
                <w:szCs w:val="26"/>
              </w:rPr>
              <w:t>LS</w:t>
            </w:r>
            <w:r>
              <w:rPr>
                <w:szCs w:val="26"/>
              </w:rPr>
              <w:noBreakHyphen/>
            </w:r>
            <w:r w:rsidRPr="00454D1A">
              <w:rPr>
                <w:szCs w:val="26"/>
              </w:rPr>
              <w:t>1</w:t>
            </w:r>
          </w:p>
          <w:p w:rsidRPr="00454D1A" w:rsidR="00C80C9E" w:rsidP="002440A2" w:rsidRDefault="00C80C9E" w14:paraId="0E706AA8" w14:textId="77777777">
            <w:pPr>
              <w:pStyle w:val="Standard"/>
              <w:keepNext/>
              <w:numPr>
                <w:ilvl w:val="0"/>
                <w:numId w:val="23"/>
              </w:numPr>
              <w:spacing w:line="240" w:lineRule="auto"/>
              <w:ind w:left="576" w:hanging="216"/>
              <w:rPr>
                <w:szCs w:val="26"/>
              </w:rPr>
            </w:pPr>
            <w:r w:rsidRPr="00454D1A">
              <w:rPr>
                <w:szCs w:val="26"/>
              </w:rPr>
              <w:t>LS</w:t>
            </w:r>
            <w:r>
              <w:rPr>
                <w:szCs w:val="26"/>
              </w:rPr>
              <w:noBreakHyphen/>
            </w:r>
            <w:r w:rsidRPr="00454D1A">
              <w:rPr>
                <w:szCs w:val="26"/>
              </w:rPr>
              <w:t>2</w:t>
            </w:r>
          </w:p>
          <w:p w:rsidRPr="00454D1A" w:rsidR="00C80C9E" w:rsidP="002440A2" w:rsidRDefault="00C80C9E" w14:paraId="09B86702" w14:textId="77777777">
            <w:pPr>
              <w:pStyle w:val="Standard"/>
              <w:keepNext/>
              <w:numPr>
                <w:ilvl w:val="0"/>
                <w:numId w:val="23"/>
              </w:numPr>
              <w:spacing w:line="240" w:lineRule="auto"/>
              <w:ind w:left="576" w:hanging="216"/>
              <w:rPr>
                <w:szCs w:val="26"/>
              </w:rPr>
            </w:pPr>
            <w:r w:rsidRPr="00454D1A">
              <w:rPr>
                <w:szCs w:val="26"/>
              </w:rPr>
              <w:t>LS</w:t>
            </w:r>
            <w:r>
              <w:rPr>
                <w:szCs w:val="26"/>
              </w:rPr>
              <w:noBreakHyphen/>
            </w:r>
            <w:r w:rsidRPr="00454D1A">
              <w:rPr>
                <w:szCs w:val="26"/>
              </w:rPr>
              <w:t>3</w:t>
            </w:r>
          </w:p>
          <w:p w:rsidRPr="00454D1A" w:rsidR="00C80C9E" w:rsidP="002440A2" w:rsidRDefault="00C80C9E" w14:paraId="02545F25" w14:textId="77777777">
            <w:pPr>
              <w:pStyle w:val="Standard"/>
              <w:keepNext/>
              <w:numPr>
                <w:ilvl w:val="0"/>
                <w:numId w:val="23"/>
              </w:numPr>
              <w:spacing w:line="240" w:lineRule="auto"/>
              <w:ind w:left="576" w:hanging="216"/>
              <w:rPr>
                <w:szCs w:val="26"/>
              </w:rPr>
            </w:pPr>
            <w:r w:rsidRPr="00454D1A">
              <w:rPr>
                <w:szCs w:val="26"/>
              </w:rPr>
              <w:t>DTL</w:t>
            </w:r>
          </w:p>
          <w:p w:rsidRPr="00454D1A" w:rsidR="00C80C9E" w:rsidP="002440A2" w:rsidRDefault="00C80C9E" w14:paraId="79D2B061" w14:textId="77777777">
            <w:pPr>
              <w:pStyle w:val="Standard"/>
              <w:keepNext/>
              <w:numPr>
                <w:ilvl w:val="0"/>
                <w:numId w:val="23"/>
              </w:numPr>
              <w:spacing w:line="240" w:lineRule="auto"/>
              <w:ind w:left="576" w:hanging="216"/>
              <w:rPr>
                <w:szCs w:val="26"/>
              </w:rPr>
            </w:pPr>
            <w:r w:rsidRPr="00454D1A">
              <w:rPr>
                <w:szCs w:val="26"/>
              </w:rPr>
              <w:t>OL</w:t>
            </w:r>
            <w:r>
              <w:rPr>
                <w:szCs w:val="26"/>
              </w:rPr>
              <w:noBreakHyphen/>
            </w:r>
            <w:r w:rsidRPr="00454D1A">
              <w:rPr>
                <w:szCs w:val="26"/>
              </w:rPr>
              <w:t>1</w:t>
            </w:r>
          </w:p>
        </w:tc>
        <w:tc>
          <w:tcPr>
            <w:tcW w:w="1710" w:type="dxa"/>
          </w:tcPr>
          <w:p w:rsidRPr="00454D1A" w:rsidR="00C80C9E" w:rsidP="002440A2" w:rsidRDefault="00C80C9E" w14:paraId="22C5844F" w14:textId="77777777">
            <w:pPr>
              <w:pStyle w:val="Standard"/>
              <w:keepNext/>
              <w:spacing w:line="240" w:lineRule="auto"/>
              <w:ind w:firstLine="0"/>
              <w:jc w:val="right"/>
              <w:rPr>
                <w:szCs w:val="26"/>
              </w:rPr>
            </w:pPr>
          </w:p>
          <w:p w:rsidRPr="00454D1A" w:rsidR="00C80C9E" w:rsidP="002440A2" w:rsidRDefault="00C80C9E" w14:paraId="0E719A0D" w14:textId="77777777">
            <w:pPr>
              <w:pStyle w:val="Standard"/>
              <w:keepNext/>
              <w:spacing w:line="240" w:lineRule="auto"/>
              <w:ind w:firstLine="0"/>
              <w:jc w:val="right"/>
            </w:pPr>
            <w:r>
              <w:t>43.784</w:t>
            </w:r>
          </w:p>
          <w:p w:rsidRPr="00454D1A" w:rsidR="00C80C9E" w:rsidP="002440A2" w:rsidRDefault="00C80C9E" w14:paraId="372FA5E9" w14:textId="77777777">
            <w:pPr>
              <w:pStyle w:val="Standard"/>
              <w:keepNext/>
              <w:spacing w:line="240" w:lineRule="auto"/>
              <w:ind w:firstLine="0"/>
              <w:jc w:val="right"/>
            </w:pPr>
            <w:r>
              <w:t>19.431</w:t>
            </w:r>
          </w:p>
          <w:p w:rsidRPr="00454D1A" w:rsidR="00C80C9E" w:rsidP="002440A2" w:rsidRDefault="00C80C9E" w14:paraId="39FCB689" w14:textId="77777777">
            <w:pPr>
              <w:pStyle w:val="Standard"/>
              <w:keepNext/>
              <w:spacing w:line="240" w:lineRule="auto"/>
              <w:ind w:firstLine="0"/>
              <w:jc w:val="right"/>
            </w:pPr>
            <w:r>
              <w:t>8.229</w:t>
            </w:r>
          </w:p>
          <w:p w:rsidRPr="00454D1A" w:rsidR="00C80C9E" w:rsidP="002440A2" w:rsidRDefault="00C80C9E" w14:paraId="2EF365E9" w14:textId="77777777">
            <w:pPr>
              <w:pStyle w:val="Standard"/>
              <w:keepNext/>
              <w:spacing w:line="240" w:lineRule="auto"/>
              <w:ind w:firstLine="0"/>
              <w:jc w:val="right"/>
            </w:pPr>
            <w:r>
              <w:t>43.261</w:t>
            </w:r>
          </w:p>
          <w:p w:rsidRPr="00454D1A" w:rsidR="00C80C9E" w:rsidP="002440A2" w:rsidRDefault="00C80C9E" w14:paraId="4A9961B4" w14:textId="77777777">
            <w:pPr>
              <w:pStyle w:val="Standard"/>
              <w:keepNext/>
              <w:spacing w:line="240" w:lineRule="auto"/>
              <w:ind w:firstLine="0"/>
              <w:jc w:val="right"/>
            </w:pPr>
            <w:r>
              <w:t>33.831</w:t>
            </w:r>
          </w:p>
        </w:tc>
        <w:tc>
          <w:tcPr>
            <w:tcW w:w="1800" w:type="dxa"/>
          </w:tcPr>
          <w:p w:rsidRPr="00454D1A" w:rsidR="00C80C9E" w:rsidP="002440A2" w:rsidRDefault="00C80C9E" w14:paraId="794609DC" w14:textId="77777777">
            <w:pPr>
              <w:pStyle w:val="Standard"/>
              <w:keepNext/>
              <w:spacing w:line="240" w:lineRule="auto"/>
              <w:ind w:firstLine="0"/>
              <w:jc w:val="right"/>
              <w:rPr>
                <w:szCs w:val="26"/>
              </w:rPr>
            </w:pPr>
          </w:p>
          <w:p w:rsidRPr="00454D1A" w:rsidR="00C80C9E" w:rsidP="002440A2" w:rsidRDefault="00C80C9E" w14:paraId="0EF5241A" w14:textId="77777777">
            <w:pPr>
              <w:pStyle w:val="Standard"/>
              <w:keepNext/>
              <w:spacing w:line="240" w:lineRule="auto"/>
              <w:ind w:firstLine="0"/>
              <w:jc w:val="right"/>
            </w:pPr>
            <w:r w:rsidRPr="00454D1A">
              <w:t>7.</w:t>
            </w:r>
            <w:r>
              <w:t>965</w:t>
            </w:r>
          </w:p>
          <w:p w:rsidRPr="00454D1A" w:rsidR="00C80C9E" w:rsidP="002440A2" w:rsidRDefault="00C80C9E" w14:paraId="6D76B190" w14:textId="77777777">
            <w:pPr>
              <w:pStyle w:val="Standard"/>
              <w:keepNext/>
              <w:spacing w:line="240" w:lineRule="auto"/>
              <w:ind w:firstLine="0"/>
              <w:jc w:val="right"/>
            </w:pPr>
            <w:r w:rsidRPr="00454D1A">
              <w:t>7.</w:t>
            </w:r>
            <w:r>
              <w:t>958</w:t>
            </w:r>
          </w:p>
          <w:p w:rsidRPr="00454D1A" w:rsidR="00C80C9E" w:rsidP="002440A2" w:rsidRDefault="00C80C9E" w14:paraId="7D86E362" w14:textId="77777777">
            <w:pPr>
              <w:pStyle w:val="Standard"/>
              <w:keepNext/>
              <w:spacing w:line="240" w:lineRule="auto"/>
              <w:ind w:firstLine="0"/>
              <w:jc w:val="right"/>
            </w:pPr>
            <w:r w:rsidRPr="00454D1A">
              <w:t>7.</w:t>
            </w:r>
            <w:r>
              <w:t>973</w:t>
            </w:r>
          </w:p>
          <w:p w:rsidRPr="00454D1A" w:rsidR="00C80C9E" w:rsidP="002440A2" w:rsidRDefault="00C80C9E" w14:paraId="3ACE3364" w14:textId="77777777">
            <w:pPr>
              <w:pStyle w:val="Standard"/>
              <w:keepNext/>
              <w:spacing w:line="240" w:lineRule="auto"/>
              <w:ind w:firstLine="0"/>
              <w:jc w:val="right"/>
            </w:pPr>
            <w:r w:rsidRPr="00454D1A">
              <w:t>7.</w:t>
            </w:r>
            <w:r>
              <w:t>965</w:t>
            </w:r>
          </w:p>
          <w:p w:rsidRPr="00454D1A" w:rsidR="00C80C9E" w:rsidP="002440A2" w:rsidRDefault="00C80C9E" w14:paraId="139668DC" w14:textId="77777777">
            <w:pPr>
              <w:pStyle w:val="Standard"/>
              <w:keepNext/>
              <w:spacing w:line="240" w:lineRule="auto"/>
              <w:ind w:firstLine="0"/>
              <w:jc w:val="right"/>
            </w:pPr>
            <w:r w:rsidRPr="00454D1A">
              <w:t>7.</w:t>
            </w:r>
            <w:r>
              <w:t>965</w:t>
            </w:r>
          </w:p>
        </w:tc>
        <w:tc>
          <w:tcPr>
            <w:tcW w:w="1400" w:type="dxa"/>
          </w:tcPr>
          <w:p w:rsidRPr="00454D1A" w:rsidR="00C80C9E" w:rsidP="002440A2" w:rsidRDefault="00C80C9E" w14:paraId="0C41781F" w14:textId="77777777">
            <w:pPr>
              <w:pStyle w:val="Standard"/>
              <w:keepNext/>
              <w:spacing w:line="240" w:lineRule="auto"/>
              <w:ind w:firstLine="0"/>
              <w:jc w:val="right"/>
              <w:rPr>
                <w:szCs w:val="26"/>
              </w:rPr>
            </w:pPr>
          </w:p>
          <w:p w:rsidRPr="00454D1A" w:rsidR="00C80C9E" w:rsidP="002440A2" w:rsidRDefault="00C80C9E" w14:paraId="46A9F994" w14:textId="77777777">
            <w:pPr>
              <w:pStyle w:val="Standard"/>
              <w:keepNext/>
              <w:spacing w:line="240" w:lineRule="auto"/>
              <w:ind w:firstLine="0"/>
              <w:jc w:val="right"/>
            </w:pPr>
            <w:r>
              <w:t>51.749</w:t>
            </w:r>
          </w:p>
          <w:p w:rsidRPr="00454D1A" w:rsidR="00C80C9E" w:rsidP="002440A2" w:rsidRDefault="00C80C9E" w14:paraId="01D88513" w14:textId="77777777">
            <w:pPr>
              <w:pStyle w:val="Standard"/>
              <w:keepNext/>
              <w:spacing w:line="240" w:lineRule="auto"/>
              <w:ind w:firstLine="0"/>
              <w:jc w:val="right"/>
            </w:pPr>
            <w:r>
              <w:t>27.398</w:t>
            </w:r>
          </w:p>
          <w:p w:rsidRPr="00454D1A" w:rsidR="00C80C9E" w:rsidP="002440A2" w:rsidRDefault="00C80C9E" w14:paraId="6A75E95D" w14:textId="77777777">
            <w:pPr>
              <w:pStyle w:val="Standard"/>
              <w:keepNext/>
              <w:spacing w:line="240" w:lineRule="auto"/>
              <w:ind w:firstLine="0"/>
              <w:jc w:val="right"/>
            </w:pPr>
            <w:r>
              <w:t>16.202</w:t>
            </w:r>
          </w:p>
          <w:p w:rsidRPr="00454D1A" w:rsidR="00C80C9E" w:rsidP="002440A2" w:rsidRDefault="00C80C9E" w14:paraId="48868F38" w14:textId="77777777">
            <w:pPr>
              <w:pStyle w:val="Standard"/>
              <w:keepNext/>
              <w:spacing w:line="240" w:lineRule="auto"/>
              <w:ind w:firstLine="0"/>
              <w:jc w:val="right"/>
            </w:pPr>
            <w:r>
              <w:t>51.226</w:t>
            </w:r>
          </w:p>
          <w:p w:rsidRPr="00454D1A" w:rsidR="00C80C9E" w:rsidP="002440A2" w:rsidRDefault="00C80C9E" w14:paraId="6D31408A" w14:textId="77777777">
            <w:pPr>
              <w:pStyle w:val="Standard"/>
              <w:keepNext/>
              <w:spacing w:line="240" w:lineRule="auto"/>
              <w:ind w:firstLine="0"/>
              <w:jc w:val="right"/>
            </w:pPr>
            <w:r>
              <w:t>41.796</w:t>
            </w:r>
          </w:p>
        </w:tc>
        <w:tc>
          <w:tcPr>
            <w:tcW w:w="1960" w:type="dxa"/>
          </w:tcPr>
          <w:p w:rsidRPr="00454D1A" w:rsidR="00C80C9E" w:rsidP="002440A2" w:rsidRDefault="00C80C9E" w14:paraId="1585EF3D" w14:textId="77777777">
            <w:pPr>
              <w:pStyle w:val="Standard"/>
              <w:keepNext/>
              <w:spacing w:line="240" w:lineRule="auto"/>
              <w:ind w:firstLine="0"/>
              <w:jc w:val="right"/>
              <w:rPr>
                <w:szCs w:val="26"/>
              </w:rPr>
            </w:pPr>
          </w:p>
          <w:p w:rsidRPr="00454D1A" w:rsidR="00C80C9E" w:rsidP="002440A2" w:rsidRDefault="00C80C9E" w14:paraId="4E37A970" w14:textId="77777777">
            <w:pPr>
              <w:pStyle w:val="Standard"/>
              <w:keepNext/>
              <w:spacing w:line="240" w:lineRule="auto"/>
              <w:ind w:firstLine="0"/>
              <w:jc w:val="right"/>
            </w:pPr>
            <w:r>
              <w:t>1</w:t>
            </w:r>
            <w:r w:rsidRPr="00454D1A">
              <w:t>.</w:t>
            </w:r>
            <w:r>
              <w:t>3</w:t>
            </w:r>
            <w:r w:rsidRPr="00454D1A">
              <w:t>%</w:t>
            </w:r>
          </w:p>
          <w:p w:rsidRPr="00454D1A" w:rsidR="00C80C9E" w:rsidP="002440A2" w:rsidRDefault="00C80C9E" w14:paraId="486C02F5" w14:textId="77777777">
            <w:pPr>
              <w:pStyle w:val="Standard"/>
              <w:keepNext/>
              <w:spacing w:line="240" w:lineRule="auto"/>
              <w:ind w:firstLine="0"/>
              <w:jc w:val="right"/>
            </w:pPr>
            <w:r>
              <w:t>1.1</w:t>
            </w:r>
            <w:r w:rsidRPr="00454D1A">
              <w:t>%</w:t>
            </w:r>
          </w:p>
          <w:p w:rsidRPr="00454D1A" w:rsidR="00C80C9E" w:rsidP="002440A2" w:rsidRDefault="00C80C9E" w14:paraId="72BA3F9A" w14:textId="77777777">
            <w:pPr>
              <w:pStyle w:val="Standard"/>
              <w:keepNext/>
              <w:spacing w:line="240" w:lineRule="auto"/>
              <w:ind w:firstLine="0"/>
              <w:jc w:val="right"/>
            </w:pPr>
            <w:r>
              <w:t>-4.7</w:t>
            </w:r>
            <w:r w:rsidRPr="00454D1A">
              <w:t>%</w:t>
            </w:r>
          </w:p>
          <w:p w:rsidRPr="00454D1A" w:rsidR="00C80C9E" w:rsidP="002440A2" w:rsidRDefault="00C80C9E" w14:paraId="6E26E589" w14:textId="77777777">
            <w:pPr>
              <w:pStyle w:val="Standard"/>
              <w:keepNext/>
              <w:spacing w:line="240" w:lineRule="auto"/>
              <w:ind w:firstLine="0"/>
              <w:jc w:val="right"/>
            </w:pPr>
            <w:r>
              <w:t>1.0</w:t>
            </w:r>
            <w:r w:rsidRPr="00454D1A">
              <w:t>%</w:t>
            </w:r>
          </w:p>
          <w:p w:rsidRPr="00454D1A" w:rsidR="00C80C9E" w:rsidP="002440A2" w:rsidRDefault="00C80C9E" w14:paraId="6540BCDE" w14:textId="77777777">
            <w:pPr>
              <w:pStyle w:val="Standard"/>
              <w:keepNext/>
              <w:spacing w:line="240" w:lineRule="auto"/>
              <w:ind w:firstLine="0"/>
              <w:jc w:val="right"/>
            </w:pPr>
            <w:r w:rsidRPr="00454D1A">
              <w:t>0.</w:t>
            </w:r>
            <w:r>
              <w:t>7</w:t>
            </w:r>
            <w:r w:rsidRPr="00454D1A">
              <w:t>%</w:t>
            </w:r>
          </w:p>
        </w:tc>
      </w:tr>
      <w:tr w:rsidRPr="00454D1A" w:rsidR="00C80C9E" w:rsidTr="002440A2" w14:paraId="4659BFBA" w14:textId="77777777">
        <w:trPr>
          <w:jc w:val="center"/>
        </w:trPr>
        <w:tc>
          <w:tcPr>
            <w:tcW w:w="3685" w:type="dxa"/>
          </w:tcPr>
          <w:p w:rsidRPr="00454D1A" w:rsidR="00C80C9E" w:rsidP="002440A2" w:rsidRDefault="00C80C9E" w14:paraId="634CFF90" w14:textId="77777777">
            <w:pPr>
              <w:pStyle w:val="Standard"/>
              <w:keepNext/>
              <w:spacing w:line="240" w:lineRule="auto"/>
              <w:ind w:firstLine="0"/>
              <w:rPr>
                <w:b/>
                <w:bCs/>
                <w:szCs w:val="26"/>
              </w:rPr>
            </w:pPr>
            <w:r w:rsidRPr="00454D1A">
              <w:rPr>
                <w:b/>
                <w:bCs/>
                <w:szCs w:val="26"/>
              </w:rPr>
              <w:t>Average Rate</w:t>
            </w:r>
            <w:r>
              <w:rPr>
                <w:b/>
                <w:bCs/>
                <w:szCs w:val="26"/>
              </w:rPr>
              <w:t> —</w:t>
            </w:r>
            <w:r w:rsidRPr="00454D1A">
              <w:rPr>
                <w:b/>
                <w:bCs/>
                <w:szCs w:val="26"/>
              </w:rPr>
              <w:t xml:space="preserve"> All Groups</w:t>
            </w:r>
          </w:p>
        </w:tc>
        <w:tc>
          <w:tcPr>
            <w:tcW w:w="1710" w:type="dxa"/>
          </w:tcPr>
          <w:p w:rsidRPr="00454D1A" w:rsidR="00C80C9E" w:rsidP="002440A2" w:rsidRDefault="00C80C9E" w14:paraId="1BF5150D" w14:textId="77777777">
            <w:pPr>
              <w:pStyle w:val="Standard"/>
              <w:keepNext/>
              <w:spacing w:line="240" w:lineRule="auto"/>
              <w:ind w:firstLine="0"/>
              <w:jc w:val="right"/>
            </w:pPr>
            <w:r>
              <w:t>13.227</w:t>
            </w:r>
          </w:p>
        </w:tc>
        <w:tc>
          <w:tcPr>
            <w:tcW w:w="1800" w:type="dxa"/>
          </w:tcPr>
          <w:p w:rsidRPr="00454D1A" w:rsidR="00C80C9E" w:rsidP="002440A2" w:rsidRDefault="00C80C9E" w14:paraId="2435501E" w14:textId="77777777">
            <w:pPr>
              <w:pStyle w:val="Standard"/>
              <w:keepNext/>
              <w:spacing w:line="240" w:lineRule="auto"/>
              <w:ind w:firstLine="0"/>
              <w:jc w:val="right"/>
            </w:pPr>
            <w:r w:rsidRPr="00454D1A">
              <w:t>12.</w:t>
            </w:r>
            <w:r>
              <w:t>912</w:t>
            </w:r>
          </w:p>
        </w:tc>
        <w:tc>
          <w:tcPr>
            <w:tcW w:w="1400" w:type="dxa"/>
          </w:tcPr>
          <w:p w:rsidRPr="00454D1A" w:rsidR="00C80C9E" w:rsidP="002440A2" w:rsidRDefault="00C80C9E" w14:paraId="2C4F51D0" w14:textId="77777777">
            <w:pPr>
              <w:pStyle w:val="Standard"/>
              <w:keepNext/>
              <w:spacing w:line="240" w:lineRule="auto"/>
              <w:ind w:firstLine="0"/>
              <w:jc w:val="right"/>
            </w:pPr>
            <w:r>
              <w:t>26.139</w:t>
            </w:r>
          </w:p>
        </w:tc>
        <w:tc>
          <w:tcPr>
            <w:tcW w:w="1960" w:type="dxa"/>
          </w:tcPr>
          <w:p w:rsidRPr="00454D1A" w:rsidR="00C80C9E" w:rsidP="002440A2" w:rsidRDefault="00C80C9E" w14:paraId="7A0253E7" w14:textId="77777777">
            <w:pPr>
              <w:pStyle w:val="Standard"/>
              <w:keepNext/>
              <w:spacing w:line="240" w:lineRule="auto"/>
              <w:ind w:firstLine="0"/>
              <w:jc w:val="right"/>
            </w:pPr>
            <w:r>
              <w:t>-1.8</w:t>
            </w:r>
            <w:r w:rsidRPr="00454D1A">
              <w:t>%</w:t>
            </w:r>
          </w:p>
        </w:tc>
      </w:tr>
    </w:tbl>
    <w:p w:rsidRPr="002F290B" w:rsidR="003E5990" w:rsidP="003E5990" w:rsidRDefault="003E5990" w14:paraId="3D9BF68E" w14:textId="266127DC">
      <w:pPr>
        <w:pStyle w:val="FoF"/>
      </w:pPr>
      <w:r w:rsidRPr="002F290B">
        <w:t xml:space="preserve">SCE’s 2024 forecast Generation Service revenue requirement is </w:t>
      </w:r>
      <w:r w:rsidR="00330B32">
        <w:br/>
      </w:r>
      <w:r w:rsidRPr="002F290B">
        <w:t>$</w:t>
      </w:r>
      <w:r w:rsidRPr="002F290B" w:rsidR="00896E75">
        <w:t>5.513 b</w:t>
      </w:r>
      <w:r w:rsidRPr="002F290B">
        <w:t>illion, which will be allocated in balancing accounts as follows:</w:t>
      </w:r>
    </w:p>
    <w:tbl>
      <w:tblPr>
        <w:tblStyle w:val="TableGrid"/>
        <w:tblW w:w="9625" w:type="dxa"/>
        <w:jc w:val="center"/>
        <w:tblLayout w:type="fixed"/>
        <w:tblCellMar>
          <w:top w:w="58" w:type="dxa"/>
          <w:bottom w:w="58" w:type="dxa"/>
        </w:tblCellMar>
        <w:tblLook w:val="04A0" w:firstRow="1" w:lastRow="0" w:firstColumn="1" w:lastColumn="0" w:noHBand="0" w:noVBand="1"/>
      </w:tblPr>
      <w:tblGrid>
        <w:gridCol w:w="5310"/>
        <w:gridCol w:w="4315"/>
      </w:tblGrid>
      <w:tr w:rsidRPr="00454D1A" w:rsidR="003E5990" w:rsidTr="00EB6896" w14:paraId="3E5C87AE" w14:textId="77777777">
        <w:trPr>
          <w:cantSplit/>
          <w:tblHeader/>
          <w:jc w:val="center"/>
        </w:trPr>
        <w:tc>
          <w:tcPr>
            <w:tcW w:w="5310" w:type="dxa"/>
            <w:tcBorders>
              <w:bottom w:val="single" w:color="auto" w:sz="4" w:space="0"/>
            </w:tcBorders>
            <w:vAlign w:val="bottom"/>
          </w:tcPr>
          <w:p w:rsidRPr="00454D1A" w:rsidR="003E5990" w:rsidP="00EB6896" w:rsidRDefault="003E5990" w14:paraId="234E8C04" w14:textId="77777777">
            <w:pPr>
              <w:pStyle w:val="Standard"/>
              <w:keepNext/>
              <w:spacing w:line="240" w:lineRule="auto"/>
              <w:ind w:firstLine="0"/>
              <w:jc w:val="center"/>
              <w:rPr>
                <w:b/>
                <w:bCs/>
              </w:rPr>
            </w:pPr>
            <w:r w:rsidRPr="00454D1A">
              <w:rPr>
                <w:b/>
                <w:bCs/>
              </w:rPr>
              <w:lastRenderedPageBreak/>
              <w:t>Description</w:t>
            </w:r>
          </w:p>
        </w:tc>
        <w:tc>
          <w:tcPr>
            <w:tcW w:w="4315" w:type="dxa"/>
            <w:tcBorders>
              <w:bottom w:val="single" w:color="auto" w:sz="4" w:space="0"/>
            </w:tcBorders>
            <w:vAlign w:val="bottom"/>
          </w:tcPr>
          <w:p w:rsidR="003E5990" w:rsidP="00EB6896" w:rsidRDefault="003E5990" w14:paraId="175E348C" w14:textId="77777777">
            <w:pPr>
              <w:pStyle w:val="Standard"/>
              <w:keepNext/>
              <w:spacing w:line="240" w:lineRule="auto"/>
              <w:ind w:firstLine="0"/>
              <w:jc w:val="center"/>
              <w:rPr>
                <w:b/>
                <w:bCs/>
              </w:rPr>
            </w:pPr>
            <w:r w:rsidRPr="00454D1A">
              <w:rPr>
                <w:b/>
                <w:bCs/>
              </w:rPr>
              <w:t xml:space="preserve">SCE Proposed </w:t>
            </w:r>
          </w:p>
          <w:p w:rsidR="003E5990" w:rsidP="00EB6896" w:rsidRDefault="003E5990" w14:paraId="14129017" w14:textId="77777777">
            <w:pPr>
              <w:pStyle w:val="Standard"/>
              <w:keepNext/>
              <w:spacing w:line="240" w:lineRule="auto"/>
              <w:ind w:firstLine="0"/>
              <w:jc w:val="center"/>
              <w:rPr>
                <w:b/>
                <w:bCs/>
              </w:rPr>
            </w:pPr>
            <w:r w:rsidRPr="00454D1A">
              <w:rPr>
                <w:b/>
                <w:bCs/>
              </w:rPr>
              <w:t>202</w:t>
            </w:r>
            <w:r>
              <w:rPr>
                <w:b/>
                <w:bCs/>
              </w:rPr>
              <w:t>4</w:t>
            </w:r>
            <w:r w:rsidRPr="00454D1A">
              <w:rPr>
                <w:b/>
                <w:bCs/>
              </w:rPr>
              <w:t xml:space="preserve"> Revenue </w:t>
            </w:r>
          </w:p>
          <w:p w:rsidRPr="00454D1A" w:rsidR="003E5990" w:rsidP="00EB6896" w:rsidRDefault="003E5990" w14:paraId="272E82CC" w14:textId="77777777">
            <w:pPr>
              <w:pStyle w:val="Standard"/>
              <w:keepNext/>
              <w:spacing w:line="240" w:lineRule="auto"/>
              <w:ind w:firstLine="0"/>
              <w:jc w:val="center"/>
            </w:pPr>
            <w:r w:rsidRPr="00454D1A">
              <w:rPr>
                <w:b/>
                <w:bCs/>
              </w:rPr>
              <w:t xml:space="preserve">Requirement </w:t>
            </w:r>
          </w:p>
        </w:tc>
      </w:tr>
      <w:tr w:rsidRPr="00454D1A" w:rsidR="003E5990" w:rsidTr="00EB6896" w14:paraId="587A3A18" w14:textId="77777777">
        <w:trPr>
          <w:cantSplit/>
          <w:jc w:val="center"/>
        </w:trPr>
        <w:tc>
          <w:tcPr>
            <w:tcW w:w="5310" w:type="dxa"/>
            <w:tcBorders>
              <w:top w:val="nil"/>
            </w:tcBorders>
          </w:tcPr>
          <w:p w:rsidR="003E5990" w:rsidP="00EB6896" w:rsidRDefault="003E5990" w14:paraId="7ECDE131" w14:textId="77777777">
            <w:pPr>
              <w:pStyle w:val="Standard"/>
              <w:keepNext/>
              <w:spacing w:line="240" w:lineRule="auto"/>
              <w:ind w:firstLine="0"/>
            </w:pPr>
            <w:r w:rsidRPr="00454D1A">
              <w:t>202</w:t>
            </w:r>
            <w:r>
              <w:t>4</w:t>
            </w:r>
            <w:r w:rsidRPr="00454D1A">
              <w:t xml:space="preserve"> F&amp;PP Costs </w:t>
            </w:r>
          </w:p>
          <w:p w:rsidR="003E5990" w:rsidP="00EB6896" w:rsidRDefault="003E5990" w14:paraId="3B4523D7" w14:textId="77777777">
            <w:pPr>
              <w:spacing w:line="240" w:lineRule="auto"/>
              <w:ind w:firstLine="0"/>
            </w:pPr>
            <w:r w:rsidRPr="00454D1A">
              <w:t>(including GHG costs)</w:t>
            </w:r>
          </w:p>
          <w:p w:rsidRPr="00454D1A" w:rsidR="003E5990" w:rsidP="00EB6896" w:rsidRDefault="003E5990" w14:paraId="667CBF80" w14:textId="77777777">
            <w:pPr>
              <w:numPr>
                <w:ilvl w:val="0"/>
                <w:numId w:val="24"/>
              </w:numPr>
              <w:spacing w:line="240" w:lineRule="auto"/>
              <w:ind w:left="576" w:hanging="216"/>
            </w:pPr>
            <w:r w:rsidRPr="00454D1A">
              <w:t>ERRA</w:t>
            </w:r>
            <w:r>
              <w:t> </w:t>
            </w:r>
            <w:r w:rsidRPr="00454D1A">
              <w:t>BA</w:t>
            </w:r>
            <w:r>
              <w:noBreakHyphen/>
            </w:r>
            <w:r w:rsidRPr="00454D1A">
              <w:t>related</w:t>
            </w:r>
          </w:p>
          <w:p w:rsidRPr="00454D1A" w:rsidR="003E5990" w:rsidP="00EB6896" w:rsidRDefault="003E5990" w14:paraId="5ACB8DE1" w14:textId="77777777">
            <w:pPr>
              <w:numPr>
                <w:ilvl w:val="0"/>
                <w:numId w:val="24"/>
              </w:numPr>
              <w:spacing w:line="240" w:lineRule="auto"/>
              <w:ind w:left="576" w:hanging="216"/>
            </w:pPr>
            <w:r w:rsidRPr="00454D1A">
              <w:t>PABA</w:t>
            </w:r>
            <w:r>
              <w:noBreakHyphen/>
            </w:r>
            <w:r w:rsidRPr="00454D1A">
              <w:t>related</w:t>
            </w:r>
          </w:p>
          <w:p w:rsidRPr="00454D1A" w:rsidR="003E5990" w:rsidP="00EB6896" w:rsidRDefault="003E5990" w14:paraId="4E0EDEA8" w14:textId="77777777">
            <w:pPr>
              <w:numPr>
                <w:ilvl w:val="0"/>
                <w:numId w:val="24"/>
              </w:numPr>
              <w:spacing w:line="240" w:lineRule="auto"/>
              <w:ind w:left="576" w:hanging="216"/>
            </w:pPr>
            <w:r w:rsidRPr="0059559B">
              <w:t>Green Tariff Shared Renewables</w:t>
            </w:r>
            <w:r w:rsidRPr="00454D1A">
              <w:t xml:space="preserve"> BA</w:t>
            </w:r>
            <w:r>
              <w:noBreakHyphen/>
            </w:r>
            <w:r w:rsidRPr="00454D1A">
              <w:t>related</w:t>
            </w:r>
          </w:p>
        </w:tc>
        <w:tc>
          <w:tcPr>
            <w:tcW w:w="4315" w:type="dxa"/>
            <w:tcBorders>
              <w:top w:val="nil"/>
            </w:tcBorders>
          </w:tcPr>
          <w:p w:rsidR="003E5990" w:rsidP="00EB6896" w:rsidRDefault="003E5990" w14:paraId="2B80BEC8" w14:textId="77777777">
            <w:pPr>
              <w:pStyle w:val="Standard"/>
              <w:spacing w:line="240" w:lineRule="auto"/>
              <w:ind w:firstLine="0"/>
              <w:jc w:val="right"/>
            </w:pPr>
          </w:p>
          <w:p w:rsidR="003E5990" w:rsidP="00EB6896" w:rsidRDefault="003E5990" w14:paraId="0523B9C7" w14:textId="77777777">
            <w:pPr>
              <w:pStyle w:val="Standard"/>
              <w:spacing w:line="240" w:lineRule="auto"/>
              <w:ind w:firstLine="0"/>
              <w:jc w:val="right"/>
            </w:pPr>
          </w:p>
          <w:p w:rsidRPr="00454D1A" w:rsidR="003E5990" w:rsidP="00EB6896" w:rsidRDefault="003E5990" w14:paraId="469AC6D5" w14:textId="77777777">
            <w:pPr>
              <w:pStyle w:val="Standard"/>
              <w:spacing w:line="240" w:lineRule="auto"/>
              <w:ind w:firstLine="0"/>
              <w:jc w:val="right"/>
            </w:pPr>
            <w:r w:rsidRPr="00454D1A">
              <w:t>$</w:t>
            </w:r>
            <w:r>
              <w:t>4.459 billion</w:t>
            </w:r>
          </w:p>
          <w:p w:rsidRPr="00454D1A" w:rsidR="003E5990" w:rsidP="00EB6896" w:rsidRDefault="003E5990" w14:paraId="3ACAB46B" w14:textId="44091DCC">
            <w:pPr>
              <w:pStyle w:val="Standard"/>
              <w:spacing w:line="240" w:lineRule="auto"/>
              <w:ind w:left="720" w:firstLine="0"/>
              <w:jc w:val="right"/>
            </w:pPr>
            <w:r>
              <w:t>$237.0</w:t>
            </w:r>
            <w:r w:rsidR="00896E75">
              <w:t>97</w:t>
            </w:r>
            <w:r>
              <w:t xml:space="preserve"> million</w:t>
            </w:r>
          </w:p>
          <w:p w:rsidRPr="00454D1A" w:rsidR="003E5990" w:rsidP="00EB6896" w:rsidRDefault="003E5990" w14:paraId="0D783AF3" w14:textId="77777777">
            <w:pPr>
              <w:pStyle w:val="Standard"/>
              <w:spacing w:line="240" w:lineRule="auto"/>
              <w:ind w:left="720" w:firstLine="0"/>
              <w:jc w:val="right"/>
            </w:pPr>
            <w:r w:rsidRPr="00454D1A">
              <w:t>$9</w:t>
            </w:r>
            <w:r>
              <w:t>.741 million</w:t>
            </w:r>
          </w:p>
        </w:tc>
      </w:tr>
      <w:tr w:rsidRPr="00454D1A" w:rsidR="003E5990" w:rsidTr="00EB6896" w14:paraId="35152E5A" w14:textId="77777777">
        <w:trPr>
          <w:cantSplit/>
          <w:jc w:val="center"/>
        </w:trPr>
        <w:tc>
          <w:tcPr>
            <w:tcW w:w="5310" w:type="dxa"/>
          </w:tcPr>
          <w:p w:rsidRPr="00454D1A" w:rsidR="003E5990" w:rsidP="00EB6896" w:rsidRDefault="003E5990" w14:paraId="64137EF0" w14:textId="77777777">
            <w:pPr>
              <w:pStyle w:val="Standard"/>
              <w:spacing w:line="240" w:lineRule="auto"/>
              <w:ind w:firstLine="0"/>
            </w:pPr>
            <w:r w:rsidRPr="00454D1A">
              <w:t>202</w:t>
            </w:r>
            <w:r>
              <w:t>3</w:t>
            </w:r>
            <w:r w:rsidRPr="00454D1A">
              <w:t xml:space="preserve"> ERRA</w:t>
            </w:r>
            <w:r>
              <w:t> </w:t>
            </w:r>
            <w:r w:rsidRPr="00454D1A">
              <w:t>BA True</w:t>
            </w:r>
            <w:r>
              <w:noBreakHyphen/>
            </w:r>
            <w:r w:rsidRPr="00454D1A">
              <w:t>up</w:t>
            </w:r>
          </w:p>
        </w:tc>
        <w:tc>
          <w:tcPr>
            <w:tcW w:w="4315" w:type="dxa"/>
          </w:tcPr>
          <w:p w:rsidRPr="00454D1A" w:rsidR="003E5990" w:rsidP="00EB6896" w:rsidRDefault="003E5990" w14:paraId="5AF99D52" w14:textId="77777777">
            <w:pPr>
              <w:pStyle w:val="Standard"/>
              <w:spacing w:line="240" w:lineRule="auto"/>
              <w:ind w:firstLine="0"/>
              <w:jc w:val="right"/>
            </w:pPr>
            <w:r w:rsidRPr="00454D1A">
              <w:t>$</w:t>
            </w:r>
            <w:r>
              <w:t>207.835 million</w:t>
            </w:r>
          </w:p>
        </w:tc>
      </w:tr>
      <w:tr w:rsidRPr="00454D1A" w:rsidR="003E5990" w:rsidTr="00EB6896" w14:paraId="0B031769" w14:textId="77777777">
        <w:trPr>
          <w:cantSplit/>
          <w:jc w:val="center"/>
        </w:trPr>
        <w:tc>
          <w:tcPr>
            <w:tcW w:w="5310" w:type="dxa"/>
          </w:tcPr>
          <w:p w:rsidRPr="00454D1A" w:rsidR="003E5990" w:rsidP="00EB6896" w:rsidRDefault="003E5990" w14:paraId="08A00B30" w14:textId="77777777">
            <w:pPr>
              <w:pStyle w:val="Standard"/>
              <w:spacing w:line="240" w:lineRule="auto"/>
              <w:ind w:firstLine="0"/>
            </w:pPr>
            <w:r w:rsidRPr="00454D1A">
              <w:t>202</w:t>
            </w:r>
            <w:r>
              <w:t>3</w:t>
            </w:r>
            <w:r w:rsidRPr="00454D1A">
              <w:t xml:space="preserve"> PABA True</w:t>
            </w:r>
            <w:r>
              <w:noBreakHyphen/>
            </w:r>
            <w:r w:rsidRPr="00454D1A">
              <w:t>Up</w:t>
            </w:r>
          </w:p>
        </w:tc>
        <w:tc>
          <w:tcPr>
            <w:tcW w:w="4315" w:type="dxa"/>
          </w:tcPr>
          <w:p w:rsidRPr="00454D1A" w:rsidR="003E5990" w:rsidP="00EB6896" w:rsidRDefault="003E5990" w14:paraId="7ED9F7C4" w14:textId="77777777">
            <w:pPr>
              <w:pStyle w:val="Standard"/>
              <w:spacing w:line="240" w:lineRule="auto"/>
              <w:ind w:firstLine="0"/>
              <w:jc w:val="right"/>
            </w:pPr>
            <w:r>
              <w:t>$601.728 million</w:t>
            </w:r>
          </w:p>
        </w:tc>
      </w:tr>
      <w:tr w:rsidRPr="00454D1A" w:rsidR="003E5990" w:rsidTr="00EB6896" w14:paraId="18A75F0D" w14:textId="77777777">
        <w:trPr>
          <w:cantSplit/>
          <w:jc w:val="center"/>
        </w:trPr>
        <w:tc>
          <w:tcPr>
            <w:tcW w:w="5310" w:type="dxa"/>
          </w:tcPr>
          <w:p w:rsidR="003E5990" w:rsidP="00EB6896" w:rsidRDefault="003E5990" w14:paraId="10A5DEB4" w14:textId="77777777">
            <w:pPr>
              <w:pStyle w:val="Standard"/>
              <w:keepNext/>
              <w:spacing w:line="240" w:lineRule="auto"/>
              <w:ind w:firstLine="0"/>
            </w:pPr>
            <w:r w:rsidRPr="00454D1A">
              <w:t>202</w:t>
            </w:r>
            <w:r>
              <w:t>3</w:t>
            </w:r>
            <w:r w:rsidRPr="00454D1A">
              <w:t xml:space="preserve"> Energy Settlement</w:t>
            </w:r>
          </w:p>
          <w:p w:rsidRPr="00454D1A" w:rsidR="003E5990" w:rsidP="00EB6896" w:rsidRDefault="003E5990" w14:paraId="465D64C6" w14:textId="77777777">
            <w:pPr>
              <w:pStyle w:val="Standard"/>
              <w:keepNext/>
              <w:spacing w:line="240" w:lineRule="auto"/>
              <w:ind w:firstLine="0"/>
            </w:pPr>
            <w:r w:rsidRPr="00454D1A">
              <w:t>MA True</w:t>
            </w:r>
            <w:r>
              <w:noBreakHyphen/>
            </w:r>
            <w:r w:rsidRPr="00454D1A">
              <w:t>Up</w:t>
            </w:r>
          </w:p>
        </w:tc>
        <w:tc>
          <w:tcPr>
            <w:tcW w:w="4315" w:type="dxa"/>
          </w:tcPr>
          <w:p w:rsidRPr="00454D1A" w:rsidR="003E5990" w:rsidP="00EB6896" w:rsidRDefault="003E5990" w14:paraId="07EFE16A" w14:textId="77777777">
            <w:pPr>
              <w:pStyle w:val="Standard"/>
              <w:keepNext/>
              <w:spacing w:line="240" w:lineRule="auto"/>
              <w:ind w:firstLine="0"/>
              <w:jc w:val="right"/>
            </w:pPr>
            <w:r>
              <w:noBreakHyphen/>
              <w:t>$380,000</w:t>
            </w:r>
          </w:p>
        </w:tc>
      </w:tr>
      <w:tr w:rsidRPr="00454D1A" w:rsidR="003E5990" w:rsidTr="00EB6896" w14:paraId="52F92B2B" w14:textId="77777777">
        <w:trPr>
          <w:cantSplit/>
          <w:jc w:val="center"/>
        </w:trPr>
        <w:tc>
          <w:tcPr>
            <w:tcW w:w="5310" w:type="dxa"/>
          </w:tcPr>
          <w:p w:rsidRPr="00454D1A" w:rsidR="003E5990" w:rsidP="00EB6896" w:rsidRDefault="003E5990" w14:paraId="67F62A65" w14:textId="77777777">
            <w:pPr>
              <w:pStyle w:val="Standard"/>
              <w:spacing w:line="240" w:lineRule="auto"/>
              <w:ind w:firstLine="0"/>
              <w:rPr>
                <w:b/>
                <w:bCs/>
              </w:rPr>
            </w:pPr>
            <w:r w:rsidRPr="00454D1A">
              <w:rPr>
                <w:b/>
                <w:bCs/>
              </w:rPr>
              <w:t>Total Generation Service</w:t>
            </w:r>
          </w:p>
        </w:tc>
        <w:tc>
          <w:tcPr>
            <w:tcW w:w="4315" w:type="dxa"/>
          </w:tcPr>
          <w:p w:rsidRPr="00454D1A" w:rsidR="003E5990" w:rsidP="00EB6896" w:rsidRDefault="003E5990" w14:paraId="69C55921" w14:textId="1708B5E8">
            <w:pPr>
              <w:pStyle w:val="Standard"/>
              <w:spacing w:line="240" w:lineRule="auto"/>
              <w:ind w:firstLine="0"/>
              <w:jc w:val="right"/>
              <w:rPr>
                <w:b/>
                <w:bCs/>
              </w:rPr>
            </w:pPr>
            <w:r w:rsidRPr="00454D1A">
              <w:rPr>
                <w:b/>
                <w:bCs/>
              </w:rPr>
              <w:t>$</w:t>
            </w:r>
            <w:r>
              <w:rPr>
                <w:b/>
                <w:bCs/>
              </w:rPr>
              <w:t>5.51</w:t>
            </w:r>
            <w:r w:rsidR="00BD1B76">
              <w:rPr>
                <w:b/>
                <w:bCs/>
              </w:rPr>
              <w:t>3</w:t>
            </w:r>
            <w:r>
              <w:rPr>
                <w:b/>
                <w:bCs/>
              </w:rPr>
              <w:t xml:space="preserve"> billion</w:t>
            </w:r>
          </w:p>
        </w:tc>
      </w:tr>
    </w:tbl>
    <w:p w:rsidRPr="00454D1A" w:rsidR="003E5990" w:rsidP="003E5990" w:rsidRDefault="003E5990" w14:paraId="3BF9E4D7" w14:textId="764BBB95">
      <w:pPr>
        <w:pStyle w:val="FoF"/>
      </w:pPr>
      <w:r w:rsidRPr="00454D1A">
        <w:t xml:space="preserve">The </w:t>
      </w:r>
      <w:r w:rsidRPr="002A2B20">
        <w:t>Green Tariff Shared Renewables</w:t>
      </w:r>
      <w:r w:rsidRPr="00454D1A">
        <w:t xml:space="preserve"> BA forecast amount of $9.</w:t>
      </w:r>
      <w:r w:rsidR="00896E75">
        <w:t>741</w:t>
      </w:r>
      <w:r w:rsidRPr="00454D1A">
        <w:t xml:space="preserve"> million </w:t>
      </w:r>
      <w:r>
        <w:t xml:space="preserve">for 2024 </w:t>
      </w:r>
      <w:r w:rsidRPr="00454D1A">
        <w:t>is accurate.</w:t>
      </w:r>
    </w:p>
    <w:p w:rsidR="003E5990" w:rsidP="003E5990" w:rsidRDefault="003E5990" w14:paraId="7CCCEC3C" w14:textId="77777777">
      <w:pPr>
        <w:pStyle w:val="FoF"/>
      </w:pPr>
      <w:r w:rsidRPr="00454D1A">
        <w:t xml:space="preserve">In total, SCE </w:t>
      </w:r>
      <w:r>
        <w:t>forecasted</w:t>
      </w:r>
      <w:r w:rsidRPr="00454D1A">
        <w:t xml:space="preserve"> an overcollection of $</w:t>
      </w:r>
      <w:r>
        <w:t>380,000</w:t>
      </w:r>
      <w:r w:rsidRPr="00454D1A">
        <w:t xml:space="preserve"> in the Energy Settlement MA and Litigation Costs TA</w:t>
      </w:r>
      <w:r>
        <w:t xml:space="preserve"> in 2023</w:t>
      </w:r>
      <w:r w:rsidRPr="00454D1A">
        <w:t xml:space="preserve">. </w:t>
      </w:r>
    </w:p>
    <w:p w:rsidR="000D045F" w:rsidP="002440A2" w:rsidRDefault="000D045F" w14:paraId="2A69B893" w14:textId="530010EB">
      <w:pPr>
        <w:pStyle w:val="FoF"/>
        <w:ind w:left="-270" w:firstLine="810"/>
      </w:pPr>
      <w:r>
        <w:t>SCE should provide more transparent information about the updated usage amounts in the 12-CP allocator presented in Advice Letter 4831-E/E-A proposed in its 2024 ERRA forecast in the Advice Letter implementing this proceeding.</w:t>
      </w:r>
    </w:p>
    <w:p w:rsidRPr="00454D1A" w:rsidR="006A1425" w:rsidP="002440A2" w:rsidRDefault="006A1425" w14:paraId="46A3B1E0" w14:textId="3481E1EA">
      <w:pPr>
        <w:pStyle w:val="FoF"/>
        <w:ind w:left="-270" w:firstLine="810"/>
      </w:pPr>
      <w:r>
        <w:t xml:space="preserve">SCE identified some errors associated with how its Geysers </w:t>
      </w:r>
      <w:r w:rsidR="007476F7">
        <w:t>Power c</w:t>
      </w:r>
      <w:r>
        <w:t xml:space="preserve">ontracts </w:t>
      </w:r>
      <w:r w:rsidR="007476F7">
        <w:t>which resulted in the revenues received from CAISO for these contracts being recorded to the ERRA BA.</w:t>
      </w:r>
    </w:p>
    <w:p w:rsidR="003E5990" w:rsidP="003E5990" w:rsidRDefault="003E5990" w14:paraId="5C8FBBB9" w14:textId="7C17CC5A">
      <w:pPr>
        <w:pStyle w:val="FoF"/>
      </w:pPr>
      <w:r w:rsidRPr="00454D1A">
        <w:t xml:space="preserve">SCE’s </w:t>
      </w:r>
      <w:r w:rsidR="00896E75">
        <w:t xml:space="preserve">total </w:t>
      </w:r>
      <w:r w:rsidRPr="00454D1A">
        <w:t>202</w:t>
      </w:r>
      <w:r>
        <w:t>4</w:t>
      </w:r>
      <w:r w:rsidRPr="00454D1A">
        <w:t xml:space="preserve"> forecast Delivery Service revenue requirement is </w:t>
      </w:r>
      <w:r w:rsidR="00896E75">
        <w:t xml:space="preserve">negative $279.280 </w:t>
      </w:r>
      <w:r w:rsidRPr="00454D1A">
        <w:t>million, which will be allocated as follows:</w:t>
      </w:r>
    </w:p>
    <w:tbl>
      <w:tblPr>
        <w:tblStyle w:val="TableGrid3"/>
        <w:tblW w:w="10555" w:type="dxa"/>
        <w:jc w:val="center"/>
        <w:tblLayout w:type="fixed"/>
        <w:tblLook w:val="04A0" w:firstRow="1" w:lastRow="0" w:firstColumn="1" w:lastColumn="0" w:noHBand="0" w:noVBand="1"/>
      </w:tblPr>
      <w:tblGrid>
        <w:gridCol w:w="6475"/>
        <w:gridCol w:w="4080"/>
      </w:tblGrid>
      <w:tr w:rsidRPr="004B1296" w:rsidR="003E5990" w:rsidTr="002440A2" w14:paraId="1574D898" w14:textId="77777777">
        <w:trPr>
          <w:jc w:val="center"/>
        </w:trPr>
        <w:tc>
          <w:tcPr>
            <w:tcW w:w="6475" w:type="dxa"/>
          </w:tcPr>
          <w:p w:rsidRPr="004B1296" w:rsidR="003E5990" w:rsidP="00EB6896" w:rsidRDefault="003E5990" w14:paraId="112180DA" w14:textId="77777777">
            <w:pPr>
              <w:keepNext/>
              <w:spacing w:line="240" w:lineRule="auto"/>
              <w:ind w:firstLine="0"/>
              <w:jc w:val="center"/>
              <w:rPr>
                <w:b/>
                <w:bCs/>
                <w:szCs w:val="26"/>
              </w:rPr>
            </w:pPr>
            <w:r w:rsidRPr="004B1296">
              <w:rPr>
                <w:b/>
                <w:bCs/>
                <w:szCs w:val="26"/>
              </w:rPr>
              <w:lastRenderedPageBreak/>
              <w:t>Description</w:t>
            </w:r>
          </w:p>
        </w:tc>
        <w:tc>
          <w:tcPr>
            <w:tcW w:w="4080" w:type="dxa"/>
          </w:tcPr>
          <w:p w:rsidRPr="004B1296" w:rsidR="003E5990" w:rsidP="00EB6896" w:rsidRDefault="003E5990" w14:paraId="4D58DA1A" w14:textId="77777777">
            <w:pPr>
              <w:keepNext/>
              <w:spacing w:line="240" w:lineRule="auto"/>
              <w:ind w:firstLine="0"/>
              <w:jc w:val="center"/>
              <w:rPr>
                <w:b/>
                <w:bCs/>
                <w:szCs w:val="26"/>
              </w:rPr>
            </w:pPr>
            <w:r w:rsidRPr="004B1296">
              <w:rPr>
                <w:b/>
                <w:bCs/>
                <w:szCs w:val="26"/>
              </w:rPr>
              <w:t xml:space="preserve">SCE </w:t>
            </w:r>
            <w:r>
              <w:rPr>
                <w:b/>
                <w:bCs/>
                <w:szCs w:val="26"/>
              </w:rPr>
              <w:t>Forecast</w:t>
            </w:r>
            <w:r w:rsidRPr="004B1296">
              <w:rPr>
                <w:b/>
                <w:bCs/>
                <w:szCs w:val="26"/>
              </w:rPr>
              <w:t xml:space="preserve"> </w:t>
            </w:r>
          </w:p>
          <w:p w:rsidRPr="004B1296" w:rsidR="003E5990" w:rsidP="00EB6896" w:rsidRDefault="003E5990" w14:paraId="64B3E60B" w14:textId="77777777">
            <w:pPr>
              <w:keepNext/>
              <w:spacing w:line="240" w:lineRule="auto"/>
              <w:ind w:firstLine="0"/>
              <w:jc w:val="center"/>
              <w:rPr>
                <w:b/>
                <w:bCs/>
                <w:szCs w:val="26"/>
              </w:rPr>
            </w:pPr>
            <w:r w:rsidRPr="004B1296">
              <w:rPr>
                <w:b/>
                <w:bCs/>
                <w:szCs w:val="26"/>
              </w:rPr>
              <w:t xml:space="preserve">2024 Revenue </w:t>
            </w:r>
          </w:p>
          <w:p w:rsidRPr="004B1296" w:rsidR="003E5990" w:rsidP="00EB6896" w:rsidRDefault="003E5990" w14:paraId="648D2297" w14:textId="77777777">
            <w:pPr>
              <w:keepNext/>
              <w:spacing w:line="240" w:lineRule="auto"/>
              <w:ind w:firstLine="0"/>
              <w:jc w:val="center"/>
              <w:rPr>
                <w:b/>
                <w:bCs/>
                <w:szCs w:val="26"/>
              </w:rPr>
            </w:pPr>
            <w:r w:rsidRPr="004B1296">
              <w:rPr>
                <w:b/>
                <w:bCs/>
                <w:szCs w:val="26"/>
              </w:rPr>
              <w:t>Requirement (millions)</w:t>
            </w:r>
          </w:p>
        </w:tc>
      </w:tr>
      <w:tr w:rsidRPr="004B1296" w:rsidR="003E5990" w:rsidTr="002440A2" w14:paraId="59482F54" w14:textId="77777777">
        <w:trPr>
          <w:jc w:val="center"/>
        </w:trPr>
        <w:tc>
          <w:tcPr>
            <w:tcW w:w="6475" w:type="dxa"/>
          </w:tcPr>
          <w:p w:rsidRPr="004B1296" w:rsidR="003E5990" w:rsidP="00EB6896" w:rsidRDefault="003E5990" w14:paraId="3EA5FB9D" w14:textId="77777777">
            <w:pPr>
              <w:spacing w:line="240" w:lineRule="auto"/>
              <w:ind w:firstLine="0"/>
              <w:rPr>
                <w:szCs w:val="26"/>
              </w:rPr>
            </w:pPr>
            <w:r w:rsidRPr="004B1296">
              <w:rPr>
                <w:szCs w:val="26"/>
              </w:rPr>
              <w:t>New System Generation</w:t>
            </w:r>
          </w:p>
          <w:p w:rsidRPr="004B1296" w:rsidR="003E5990" w:rsidP="00EB6896" w:rsidRDefault="003E5990" w14:paraId="00B278F3" w14:textId="77777777">
            <w:pPr>
              <w:numPr>
                <w:ilvl w:val="0"/>
                <w:numId w:val="24"/>
              </w:numPr>
              <w:spacing w:line="240" w:lineRule="auto"/>
              <w:ind w:left="576" w:hanging="216"/>
              <w:rPr>
                <w:szCs w:val="26"/>
              </w:rPr>
            </w:pPr>
            <w:r w:rsidRPr="004B1296">
              <w:rPr>
                <w:szCs w:val="26"/>
              </w:rPr>
              <w:t>New System Generation F&amp;PP 2024 Forecast</w:t>
            </w:r>
            <w:r w:rsidRPr="004B1296">
              <w:rPr>
                <w:szCs w:val="26"/>
                <w:vertAlign w:val="superscript"/>
              </w:rPr>
              <w:footnoteReference w:id="198"/>
            </w:r>
            <w:r w:rsidRPr="004B1296">
              <w:rPr>
                <w:szCs w:val="26"/>
              </w:rPr>
              <w:t xml:space="preserve"> </w:t>
            </w:r>
          </w:p>
          <w:p w:rsidR="003E5990" w:rsidP="00EB6896" w:rsidRDefault="003E5990" w14:paraId="59D6BD9F" w14:textId="77777777">
            <w:pPr>
              <w:numPr>
                <w:ilvl w:val="0"/>
                <w:numId w:val="24"/>
              </w:numPr>
              <w:spacing w:line="240" w:lineRule="auto"/>
              <w:ind w:left="576" w:hanging="216"/>
              <w:rPr>
                <w:szCs w:val="26"/>
              </w:rPr>
            </w:pPr>
            <w:r>
              <w:rPr>
                <w:szCs w:val="26"/>
              </w:rPr>
              <w:t>Estimated 2023 YE NSGBA Balance</w:t>
            </w:r>
          </w:p>
          <w:p w:rsidRPr="004B1296" w:rsidR="003E5990" w:rsidP="00EB6896" w:rsidRDefault="003E5990" w14:paraId="1E355136" w14:textId="79A20655">
            <w:pPr>
              <w:numPr>
                <w:ilvl w:val="0"/>
                <w:numId w:val="24"/>
              </w:numPr>
              <w:spacing w:line="240" w:lineRule="auto"/>
              <w:ind w:left="576" w:hanging="216"/>
              <w:rPr>
                <w:szCs w:val="26"/>
              </w:rPr>
            </w:pPr>
            <w:r>
              <w:rPr>
                <w:szCs w:val="26"/>
              </w:rPr>
              <w:t>MCA</w:t>
            </w:r>
            <w:r w:rsidR="00896E75">
              <w:rPr>
                <w:szCs w:val="26"/>
              </w:rPr>
              <w:t>M</w:t>
            </w:r>
            <w:r w:rsidR="005E49F3">
              <w:rPr>
                <w:szCs w:val="26"/>
              </w:rPr>
              <w:t xml:space="preserve"> F&amp;PP Forecast</w:t>
            </w:r>
          </w:p>
        </w:tc>
        <w:tc>
          <w:tcPr>
            <w:tcW w:w="4080" w:type="dxa"/>
          </w:tcPr>
          <w:p w:rsidRPr="004B1296" w:rsidR="003E5990" w:rsidP="00EB6896" w:rsidRDefault="003E5990" w14:paraId="7E793864" w14:textId="77777777">
            <w:pPr>
              <w:spacing w:line="240" w:lineRule="auto"/>
              <w:ind w:firstLine="0"/>
              <w:jc w:val="right"/>
              <w:rPr>
                <w:szCs w:val="26"/>
              </w:rPr>
            </w:pPr>
          </w:p>
          <w:p w:rsidRPr="004B1296" w:rsidR="003E5990" w:rsidP="00EB6896" w:rsidRDefault="003E5990" w14:paraId="0B7541E0" w14:textId="55B07DF4">
            <w:pPr>
              <w:spacing w:line="240" w:lineRule="auto"/>
              <w:ind w:firstLine="0"/>
              <w:jc w:val="right"/>
              <w:rPr>
                <w:szCs w:val="26"/>
              </w:rPr>
            </w:pPr>
            <w:r w:rsidRPr="004B1296">
              <w:rPr>
                <w:szCs w:val="26"/>
              </w:rPr>
              <w:t>$</w:t>
            </w:r>
            <w:r w:rsidR="00896E75">
              <w:rPr>
                <w:szCs w:val="26"/>
              </w:rPr>
              <w:t>402.996</w:t>
            </w:r>
          </w:p>
          <w:p w:rsidRPr="004B1296" w:rsidR="003E5990" w:rsidP="00EB6896" w:rsidRDefault="00896E75" w14:paraId="6B5D149E" w14:textId="30ABD8D8">
            <w:pPr>
              <w:spacing w:line="240" w:lineRule="auto"/>
              <w:ind w:firstLine="0"/>
              <w:jc w:val="right"/>
              <w:rPr>
                <w:szCs w:val="26"/>
              </w:rPr>
            </w:pPr>
            <w:r>
              <w:rPr>
                <w:szCs w:val="26"/>
              </w:rPr>
              <w:t>$256.095</w:t>
            </w:r>
          </w:p>
          <w:p w:rsidRPr="004B1296" w:rsidR="003E5990" w:rsidP="00EB6896" w:rsidRDefault="003E5990" w14:paraId="6CECF38C" w14:textId="7115EE31">
            <w:pPr>
              <w:spacing w:line="240" w:lineRule="auto"/>
              <w:ind w:firstLine="0"/>
              <w:jc w:val="right"/>
              <w:rPr>
                <w:szCs w:val="26"/>
              </w:rPr>
            </w:pPr>
            <w:r w:rsidRPr="004B1296">
              <w:rPr>
                <w:szCs w:val="26"/>
              </w:rPr>
              <w:t>$</w:t>
            </w:r>
            <w:r w:rsidR="005E49F3">
              <w:rPr>
                <w:szCs w:val="26"/>
              </w:rPr>
              <w:t>1.313</w:t>
            </w:r>
          </w:p>
        </w:tc>
      </w:tr>
      <w:tr w:rsidRPr="004B1296" w:rsidR="003E5990" w:rsidTr="002440A2" w14:paraId="71231D1C" w14:textId="77777777">
        <w:trPr>
          <w:jc w:val="center"/>
        </w:trPr>
        <w:tc>
          <w:tcPr>
            <w:tcW w:w="6475" w:type="dxa"/>
          </w:tcPr>
          <w:p w:rsidRPr="004B1296" w:rsidR="003E5990" w:rsidP="00EB6896" w:rsidRDefault="003E5990" w14:paraId="414C91E4" w14:textId="77777777">
            <w:pPr>
              <w:spacing w:line="240" w:lineRule="auto"/>
              <w:ind w:firstLine="0"/>
              <w:rPr>
                <w:szCs w:val="26"/>
              </w:rPr>
            </w:pPr>
            <w:r w:rsidRPr="004B1296">
              <w:rPr>
                <w:szCs w:val="26"/>
              </w:rPr>
              <w:t>Spent Nuclear Fuel</w:t>
            </w:r>
            <w:r>
              <w:rPr>
                <w:szCs w:val="26"/>
              </w:rPr>
              <w:t xml:space="preserve"> Storage</w:t>
            </w:r>
          </w:p>
        </w:tc>
        <w:tc>
          <w:tcPr>
            <w:tcW w:w="4080" w:type="dxa"/>
          </w:tcPr>
          <w:p w:rsidRPr="004B1296" w:rsidR="003E5990" w:rsidP="00EB6896" w:rsidRDefault="003E5990" w14:paraId="3185B2A4" w14:textId="21DE290E">
            <w:pPr>
              <w:keepNext/>
              <w:spacing w:line="240" w:lineRule="auto"/>
              <w:ind w:firstLine="0"/>
              <w:jc w:val="right"/>
              <w:rPr>
                <w:szCs w:val="26"/>
              </w:rPr>
            </w:pPr>
            <w:r w:rsidRPr="004B1296">
              <w:rPr>
                <w:szCs w:val="26"/>
              </w:rPr>
              <w:t>$4.</w:t>
            </w:r>
            <w:r w:rsidR="00896E75">
              <w:rPr>
                <w:szCs w:val="26"/>
              </w:rPr>
              <w:t>958</w:t>
            </w:r>
          </w:p>
        </w:tc>
      </w:tr>
      <w:tr w:rsidRPr="004B1296" w:rsidR="003E5990" w:rsidTr="002440A2" w14:paraId="4435C291" w14:textId="77777777">
        <w:trPr>
          <w:jc w:val="center"/>
        </w:trPr>
        <w:tc>
          <w:tcPr>
            <w:tcW w:w="6475" w:type="dxa"/>
          </w:tcPr>
          <w:p w:rsidRPr="004B1296" w:rsidR="003E5990" w:rsidP="00EB6896" w:rsidRDefault="003E5990" w14:paraId="6B20ABB6" w14:textId="77777777">
            <w:pPr>
              <w:spacing w:line="240" w:lineRule="auto"/>
              <w:ind w:firstLine="0"/>
              <w:rPr>
                <w:szCs w:val="26"/>
              </w:rPr>
            </w:pPr>
            <w:r w:rsidRPr="004B1296">
              <w:rPr>
                <w:szCs w:val="26"/>
              </w:rPr>
              <w:t>Distribution Rate Component</w:t>
            </w:r>
          </w:p>
          <w:p w:rsidRPr="00896E75" w:rsidR="00896E75" w:rsidP="000E2A76" w:rsidRDefault="003E5990" w14:paraId="00406941" w14:textId="29E779CC">
            <w:pPr>
              <w:pStyle w:val="ListParagraph"/>
              <w:numPr>
                <w:ilvl w:val="0"/>
                <w:numId w:val="35"/>
              </w:numPr>
              <w:spacing w:line="240" w:lineRule="auto"/>
              <w:rPr>
                <w:szCs w:val="26"/>
              </w:rPr>
            </w:pPr>
            <w:r w:rsidRPr="00896E75">
              <w:rPr>
                <w:szCs w:val="26"/>
              </w:rPr>
              <w:t>Base Revenue Requirement BA</w:t>
            </w:r>
            <w:r w:rsidRPr="00896E75">
              <w:rPr>
                <w:szCs w:val="26"/>
              </w:rPr>
              <w:noBreakHyphen/>
              <w:t xml:space="preserve">Distribution F&amp;PP </w:t>
            </w:r>
          </w:p>
          <w:p w:rsidRPr="00896E75" w:rsidR="003E5990" w:rsidP="000E2A76" w:rsidRDefault="003E5990" w14:paraId="5F685EB9" w14:textId="11157BF0">
            <w:pPr>
              <w:pStyle w:val="ListParagraph"/>
              <w:numPr>
                <w:ilvl w:val="0"/>
                <w:numId w:val="35"/>
              </w:numPr>
              <w:spacing w:line="240" w:lineRule="auto"/>
              <w:rPr>
                <w:szCs w:val="26"/>
              </w:rPr>
            </w:pPr>
            <w:r w:rsidRPr="00896E75">
              <w:rPr>
                <w:szCs w:val="26"/>
              </w:rPr>
              <w:t xml:space="preserve">GHG Allowance Revenues </w:t>
            </w:r>
          </w:p>
        </w:tc>
        <w:tc>
          <w:tcPr>
            <w:tcW w:w="4080" w:type="dxa"/>
          </w:tcPr>
          <w:p w:rsidRPr="004B1296" w:rsidR="003E5990" w:rsidP="00EB6896" w:rsidRDefault="003E5990" w14:paraId="4206D7EB" w14:textId="77777777">
            <w:pPr>
              <w:keepNext/>
              <w:spacing w:line="240" w:lineRule="auto"/>
              <w:ind w:firstLine="0"/>
              <w:jc w:val="right"/>
              <w:rPr>
                <w:szCs w:val="26"/>
              </w:rPr>
            </w:pPr>
          </w:p>
          <w:p w:rsidRPr="004B1296" w:rsidR="003E5990" w:rsidP="00EB6896" w:rsidRDefault="003E5990" w14:paraId="1B961DC0" w14:textId="77777777">
            <w:pPr>
              <w:keepNext/>
              <w:spacing w:line="240" w:lineRule="auto"/>
              <w:ind w:firstLine="0"/>
              <w:jc w:val="right"/>
              <w:rPr>
                <w:szCs w:val="26"/>
              </w:rPr>
            </w:pPr>
            <w:r w:rsidRPr="004B1296">
              <w:rPr>
                <w:szCs w:val="26"/>
              </w:rPr>
              <w:noBreakHyphen/>
              <w:t>$</w:t>
            </w:r>
            <w:r>
              <w:rPr>
                <w:szCs w:val="26"/>
              </w:rPr>
              <w:t>3.582</w:t>
            </w:r>
          </w:p>
          <w:p w:rsidRPr="004B1296" w:rsidR="003E5990" w:rsidP="00EB6896" w:rsidRDefault="003E5990" w14:paraId="2E9FD186" w14:textId="77777777">
            <w:pPr>
              <w:keepNext/>
              <w:spacing w:line="240" w:lineRule="auto"/>
              <w:ind w:firstLine="0"/>
              <w:jc w:val="right"/>
              <w:rPr>
                <w:szCs w:val="26"/>
              </w:rPr>
            </w:pPr>
            <w:r w:rsidRPr="004B1296">
              <w:rPr>
                <w:szCs w:val="26"/>
              </w:rPr>
              <w:noBreakHyphen/>
              <w:t>$</w:t>
            </w:r>
            <w:r>
              <w:rPr>
                <w:szCs w:val="26"/>
              </w:rPr>
              <w:t>955,105</w:t>
            </w:r>
          </w:p>
        </w:tc>
      </w:tr>
      <w:tr w:rsidRPr="004B1296" w:rsidR="003E5990" w:rsidTr="002440A2" w14:paraId="2DA6F534" w14:textId="77777777">
        <w:trPr>
          <w:jc w:val="center"/>
        </w:trPr>
        <w:tc>
          <w:tcPr>
            <w:tcW w:w="6475" w:type="dxa"/>
          </w:tcPr>
          <w:p w:rsidRPr="004B1296" w:rsidR="003E5990" w:rsidP="00EB6896" w:rsidRDefault="003E5990" w14:paraId="5D761A0D" w14:textId="77777777">
            <w:pPr>
              <w:keepNext/>
              <w:spacing w:line="240" w:lineRule="auto"/>
              <w:ind w:firstLine="0"/>
              <w:rPr>
                <w:szCs w:val="26"/>
              </w:rPr>
            </w:pPr>
            <w:r w:rsidRPr="004B1296">
              <w:rPr>
                <w:szCs w:val="26"/>
              </w:rPr>
              <w:t xml:space="preserve">Public Purpose Programs Charge </w:t>
            </w:r>
          </w:p>
          <w:p w:rsidRPr="004B1296" w:rsidR="003E5990" w:rsidP="00EB6896" w:rsidRDefault="003E5990" w14:paraId="16D25BB6" w14:textId="77777777">
            <w:pPr>
              <w:keepNext/>
              <w:numPr>
                <w:ilvl w:val="0"/>
                <w:numId w:val="24"/>
              </w:numPr>
              <w:spacing w:line="240" w:lineRule="auto"/>
              <w:ind w:left="576" w:hanging="216"/>
              <w:rPr>
                <w:szCs w:val="26"/>
              </w:rPr>
            </w:pPr>
            <w:r w:rsidRPr="004B1296">
              <w:rPr>
                <w:szCs w:val="26"/>
              </w:rPr>
              <w:t>Public Purpose Program F&amp;PP Charge 2024 Forecast</w:t>
            </w:r>
          </w:p>
          <w:p w:rsidRPr="004B1296" w:rsidR="003E5990" w:rsidP="00EB6896" w:rsidRDefault="003E5990" w14:paraId="1F1519AE" w14:textId="77777777">
            <w:pPr>
              <w:keepNext/>
              <w:numPr>
                <w:ilvl w:val="0"/>
                <w:numId w:val="24"/>
              </w:numPr>
              <w:spacing w:line="240" w:lineRule="auto"/>
              <w:ind w:left="576" w:hanging="216"/>
              <w:rPr>
                <w:szCs w:val="26"/>
              </w:rPr>
            </w:pPr>
            <w:r w:rsidRPr="004B1296">
              <w:rPr>
                <w:szCs w:val="26"/>
              </w:rPr>
              <w:t>Tree Mortality Non</w:t>
            </w:r>
            <w:r w:rsidRPr="004B1296">
              <w:rPr>
                <w:szCs w:val="26"/>
              </w:rPr>
              <w:noBreakHyphen/>
            </w:r>
            <w:proofErr w:type="spellStart"/>
            <w:r w:rsidRPr="004B1296">
              <w:rPr>
                <w:szCs w:val="26"/>
              </w:rPr>
              <w:t>Bypassable</w:t>
            </w:r>
            <w:proofErr w:type="spellEnd"/>
            <w:r w:rsidRPr="004B1296">
              <w:rPr>
                <w:szCs w:val="26"/>
              </w:rPr>
              <w:t xml:space="preserve"> Charge BA </w:t>
            </w:r>
            <w:r>
              <w:rPr>
                <w:szCs w:val="26"/>
              </w:rPr>
              <w:t xml:space="preserve">YE </w:t>
            </w:r>
            <w:r w:rsidRPr="004B1296">
              <w:rPr>
                <w:szCs w:val="26"/>
              </w:rPr>
              <w:t xml:space="preserve">2023 </w:t>
            </w:r>
            <w:r>
              <w:rPr>
                <w:szCs w:val="26"/>
              </w:rPr>
              <w:t>Balance</w:t>
            </w:r>
          </w:p>
          <w:p w:rsidRPr="004B1296" w:rsidR="003E5990" w:rsidP="00EB6896" w:rsidRDefault="003E5990" w14:paraId="0786E368" w14:textId="77777777">
            <w:pPr>
              <w:keepNext/>
              <w:numPr>
                <w:ilvl w:val="0"/>
                <w:numId w:val="24"/>
              </w:numPr>
              <w:spacing w:line="240" w:lineRule="auto"/>
              <w:ind w:left="576" w:hanging="216"/>
              <w:rPr>
                <w:szCs w:val="26"/>
              </w:rPr>
            </w:pPr>
            <w:proofErr w:type="spellStart"/>
            <w:r w:rsidRPr="004B1296">
              <w:rPr>
                <w:szCs w:val="26"/>
              </w:rPr>
              <w:t>BioMAT</w:t>
            </w:r>
            <w:proofErr w:type="spellEnd"/>
            <w:r w:rsidRPr="004B1296">
              <w:rPr>
                <w:szCs w:val="26"/>
              </w:rPr>
              <w:t xml:space="preserve"> Non</w:t>
            </w:r>
            <w:r w:rsidRPr="004B1296">
              <w:rPr>
                <w:szCs w:val="26"/>
              </w:rPr>
              <w:noBreakHyphen/>
            </w:r>
            <w:proofErr w:type="spellStart"/>
            <w:r w:rsidRPr="004B1296">
              <w:rPr>
                <w:szCs w:val="26"/>
              </w:rPr>
              <w:t>Bypassable</w:t>
            </w:r>
            <w:proofErr w:type="spellEnd"/>
            <w:r w:rsidRPr="004B1296">
              <w:rPr>
                <w:szCs w:val="26"/>
              </w:rPr>
              <w:t xml:space="preserve"> Charge BA </w:t>
            </w:r>
            <w:r>
              <w:rPr>
                <w:szCs w:val="26"/>
              </w:rPr>
              <w:t xml:space="preserve">YE </w:t>
            </w:r>
            <w:r w:rsidRPr="004B1296">
              <w:rPr>
                <w:szCs w:val="26"/>
              </w:rPr>
              <w:t xml:space="preserve">2023 </w:t>
            </w:r>
            <w:r>
              <w:rPr>
                <w:szCs w:val="26"/>
              </w:rPr>
              <w:t>Balance</w:t>
            </w:r>
          </w:p>
        </w:tc>
        <w:tc>
          <w:tcPr>
            <w:tcW w:w="4080" w:type="dxa"/>
          </w:tcPr>
          <w:p w:rsidRPr="004B1296" w:rsidR="003E5990" w:rsidP="00EB6896" w:rsidRDefault="003E5990" w14:paraId="5CCED34A" w14:textId="77777777">
            <w:pPr>
              <w:keepNext/>
              <w:spacing w:line="240" w:lineRule="auto"/>
              <w:ind w:firstLine="0"/>
              <w:jc w:val="right"/>
              <w:rPr>
                <w:szCs w:val="26"/>
              </w:rPr>
            </w:pPr>
          </w:p>
          <w:p w:rsidRPr="004B1296" w:rsidR="003E5990" w:rsidP="00EB6896" w:rsidRDefault="003E5990" w14:paraId="058C94CE" w14:textId="77777777">
            <w:pPr>
              <w:keepNext/>
              <w:spacing w:line="240" w:lineRule="auto"/>
              <w:ind w:firstLine="0"/>
              <w:jc w:val="right"/>
              <w:rPr>
                <w:szCs w:val="26"/>
              </w:rPr>
            </w:pPr>
            <w:r w:rsidRPr="004B1296">
              <w:rPr>
                <w:szCs w:val="26"/>
              </w:rPr>
              <w:t>$</w:t>
            </w:r>
            <w:r>
              <w:rPr>
                <w:szCs w:val="26"/>
              </w:rPr>
              <w:t>9.157</w:t>
            </w:r>
          </w:p>
          <w:p w:rsidRPr="004B1296" w:rsidR="003E5990" w:rsidP="00EB6896" w:rsidRDefault="003E5990" w14:paraId="7D354AEB" w14:textId="77777777">
            <w:pPr>
              <w:keepNext/>
              <w:spacing w:line="240" w:lineRule="auto"/>
              <w:ind w:firstLine="0"/>
              <w:jc w:val="right"/>
              <w:rPr>
                <w:szCs w:val="26"/>
              </w:rPr>
            </w:pPr>
          </w:p>
          <w:p w:rsidRPr="004B1296" w:rsidR="003E5990" w:rsidP="00EB6896" w:rsidRDefault="003E5990" w14:paraId="00882065" w14:textId="77777777">
            <w:pPr>
              <w:keepNext/>
              <w:spacing w:line="240" w:lineRule="auto"/>
              <w:ind w:firstLine="0"/>
              <w:jc w:val="right"/>
              <w:rPr>
                <w:szCs w:val="26"/>
              </w:rPr>
            </w:pPr>
            <w:r w:rsidRPr="004B1296">
              <w:rPr>
                <w:szCs w:val="26"/>
              </w:rPr>
              <w:t>$</w:t>
            </w:r>
            <w:r>
              <w:rPr>
                <w:szCs w:val="26"/>
              </w:rPr>
              <w:t>10.588</w:t>
            </w:r>
          </w:p>
          <w:p w:rsidRPr="004B1296" w:rsidR="003E5990" w:rsidP="00EB6896" w:rsidRDefault="003E5990" w14:paraId="014F8276" w14:textId="77777777">
            <w:pPr>
              <w:keepNext/>
              <w:spacing w:line="240" w:lineRule="auto"/>
              <w:ind w:firstLine="0"/>
              <w:jc w:val="right"/>
              <w:rPr>
                <w:szCs w:val="26"/>
              </w:rPr>
            </w:pPr>
          </w:p>
          <w:p w:rsidRPr="004B1296" w:rsidR="003E5990" w:rsidP="00EB6896" w:rsidRDefault="003E5990" w14:paraId="624C8C15" w14:textId="77777777">
            <w:pPr>
              <w:keepNext/>
              <w:spacing w:line="240" w:lineRule="auto"/>
              <w:ind w:firstLine="0"/>
              <w:jc w:val="right"/>
              <w:rPr>
                <w:szCs w:val="26"/>
              </w:rPr>
            </w:pPr>
            <w:r w:rsidRPr="004B1296">
              <w:rPr>
                <w:szCs w:val="26"/>
              </w:rPr>
              <w:noBreakHyphen/>
              <w:t>$</w:t>
            </w:r>
            <w:r>
              <w:rPr>
                <w:szCs w:val="26"/>
              </w:rPr>
              <w:t>6.689</w:t>
            </w:r>
          </w:p>
        </w:tc>
      </w:tr>
      <w:tr w:rsidRPr="004B1296" w:rsidR="003E5990" w:rsidTr="002440A2" w14:paraId="3F651B1B" w14:textId="77777777">
        <w:trPr>
          <w:jc w:val="center"/>
        </w:trPr>
        <w:tc>
          <w:tcPr>
            <w:tcW w:w="6475" w:type="dxa"/>
          </w:tcPr>
          <w:p w:rsidRPr="004B1296" w:rsidR="003E5990" w:rsidP="00EB6896" w:rsidRDefault="003E5990" w14:paraId="7919A8E0" w14:textId="77777777">
            <w:pPr>
              <w:spacing w:line="240" w:lineRule="auto"/>
              <w:ind w:firstLine="0"/>
              <w:rPr>
                <w:b/>
                <w:bCs/>
                <w:szCs w:val="26"/>
              </w:rPr>
            </w:pPr>
            <w:r w:rsidRPr="004B1296">
              <w:rPr>
                <w:b/>
                <w:bCs/>
                <w:szCs w:val="26"/>
              </w:rPr>
              <w:t>Total Delivery Service</w:t>
            </w:r>
          </w:p>
        </w:tc>
        <w:tc>
          <w:tcPr>
            <w:tcW w:w="4080" w:type="dxa"/>
          </w:tcPr>
          <w:p w:rsidRPr="004B1296" w:rsidR="003E5990" w:rsidP="00EB6896" w:rsidRDefault="003E5990" w14:paraId="6870832C" w14:textId="77777777">
            <w:pPr>
              <w:keepNext/>
              <w:spacing w:line="240" w:lineRule="auto"/>
              <w:ind w:firstLine="0"/>
              <w:jc w:val="right"/>
              <w:rPr>
                <w:b/>
                <w:bCs/>
                <w:szCs w:val="26"/>
              </w:rPr>
            </w:pPr>
            <w:r w:rsidRPr="004B1296">
              <w:rPr>
                <w:b/>
                <w:bCs/>
                <w:szCs w:val="26"/>
              </w:rPr>
              <w:noBreakHyphen/>
              <w:t>$</w:t>
            </w:r>
            <w:r>
              <w:rPr>
                <w:b/>
                <w:bCs/>
                <w:szCs w:val="26"/>
              </w:rPr>
              <w:t>279.280</w:t>
            </w:r>
          </w:p>
        </w:tc>
      </w:tr>
    </w:tbl>
    <w:p w:rsidRPr="00454D1A" w:rsidR="003E5990" w:rsidP="003E5990" w:rsidRDefault="003E5990" w14:paraId="24CDB8C5" w14:textId="77777777">
      <w:pPr>
        <w:pStyle w:val="FoFsubheader"/>
        <w:spacing w:before="180"/>
      </w:pPr>
      <w:r w:rsidRPr="00454D1A">
        <w:t>GHG Forecast Costs, Revenues and Reconciliation</w:t>
      </w:r>
    </w:p>
    <w:p w:rsidRPr="00454D1A" w:rsidR="003E5990" w:rsidP="003E5990" w:rsidRDefault="003E5990" w14:paraId="03362EDE" w14:textId="77777777">
      <w:pPr>
        <w:pStyle w:val="FoF"/>
      </w:pPr>
      <w:r w:rsidRPr="00454D1A">
        <w:t>SCE forecast</w:t>
      </w:r>
      <w:r>
        <w:t>ed</w:t>
      </w:r>
      <w:r w:rsidRPr="00454D1A">
        <w:t xml:space="preserve"> its 2023 GHG allowance revenue using a forecast proxy price of $</w:t>
      </w:r>
      <w:r>
        <w:t>39.36</w:t>
      </w:r>
      <w:r w:rsidRPr="00454D1A">
        <w:t>/MT.</w:t>
      </w:r>
    </w:p>
    <w:p w:rsidRPr="008C7A92" w:rsidR="003E5990" w:rsidP="003E5990" w:rsidRDefault="003E5990" w14:paraId="50B0B132" w14:textId="5595D673">
      <w:pPr>
        <w:pStyle w:val="FoF"/>
        <w:numPr>
          <w:ilvl w:val="0"/>
          <w:numId w:val="22"/>
        </w:numPr>
        <w:ind w:firstLine="547"/>
      </w:pPr>
      <w:r w:rsidRPr="008C7A92">
        <w:t>SCE’s net forecasted revenue proceeds from GHG allowances granted by CARB in 2024 is $932.108 million.</w:t>
      </w:r>
    </w:p>
    <w:p w:rsidRPr="00454D1A" w:rsidR="003E5990" w:rsidP="003E5990" w:rsidRDefault="003E5990" w14:paraId="258AAE00" w14:textId="77777777">
      <w:pPr>
        <w:pStyle w:val="FoF"/>
        <w:numPr>
          <w:ilvl w:val="0"/>
          <w:numId w:val="22"/>
        </w:numPr>
        <w:ind w:firstLine="547"/>
      </w:pPr>
      <w:r w:rsidRPr="00454D1A">
        <w:t>SCE’s 202</w:t>
      </w:r>
      <w:r>
        <w:t>4</w:t>
      </w:r>
      <w:r w:rsidRPr="00454D1A">
        <w:t xml:space="preserve"> forecast administrative and customer outreach expenses to be set aside is $</w:t>
      </w:r>
      <w:r>
        <w:t>329,000</w:t>
      </w:r>
      <w:r w:rsidRPr="00454D1A">
        <w:t xml:space="preserve"> including FF&amp;U. </w:t>
      </w:r>
    </w:p>
    <w:p w:rsidR="003E5990" w:rsidP="003E5990" w:rsidRDefault="003E5990" w14:paraId="5441F085" w14:textId="52981CEC">
      <w:pPr>
        <w:pStyle w:val="FoF"/>
        <w:numPr>
          <w:ilvl w:val="0"/>
          <w:numId w:val="22"/>
        </w:numPr>
        <w:ind w:firstLine="547"/>
      </w:pPr>
      <w:r w:rsidRPr="00454D1A">
        <w:t>SCE anticipates the IOUs</w:t>
      </w:r>
      <w:r>
        <w:t>’</w:t>
      </w:r>
      <w:r w:rsidRPr="00454D1A">
        <w:t xml:space="preserve"> combined allocation of forecast GHG allowance </w:t>
      </w:r>
      <w:r w:rsidR="00254304">
        <w:t>auction proceeds</w:t>
      </w:r>
      <w:r w:rsidRPr="00454D1A">
        <w:t xml:space="preserve"> for 202</w:t>
      </w:r>
      <w:r>
        <w:t>4</w:t>
      </w:r>
      <w:r w:rsidRPr="00454D1A">
        <w:t xml:space="preserve"> w</w:t>
      </w:r>
      <w:r>
        <w:t>ill</w:t>
      </w:r>
      <w:r w:rsidRPr="00454D1A">
        <w:t xml:space="preserve"> exceed $1</w:t>
      </w:r>
      <w:r>
        <w:t> b</w:t>
      </w:r>
      <w:r w:rsidRPr="00454D1A">
        <w:t>illion.</w:t>
      </w:r>
    </w:p>
    <w:p w:rsidRPr="00454D1A" w:rsidR="003E5990" w:rsidP="003E5990" w:rsidRDefault="003E5990" w14:paraId="00B4F2D7" w14:textId="35F55F2B">
      <w:pPr>
        <w:pStyle w:val="FoF"/>
        <w:numPr>
          <w:ilvl w:val="0"/>
          <w:numId w:val="22"/>
        </w:numPr>
        <w:ind w:firstLine="547"/>
      </w:pPr>
      <w:r w:rsidRPr="00454D1A">
        <w:t xml:space="preserve">SCE’s GHG </w:t>
      </w:r>
      <w:r w:rsidR="00254304">
        <w:t xml:space="preserve">allocated </w:t>
      </w:r>
      <w:r w:rsidRPr="00454D1A">
        <w:t>allowance</w:t>
      </w:r>
      <w:r w:rsidR="00254304">
        <w:t xml:space="preserve"> auction</w:t>
      </w:r>
      <w:r w:rsidRPr="00454D1A">
        <w:t xml:space="preserve"> </w:t>
      </w:r>
      <w:r w:rsidR="00254304">
        <w:t>proceeds</w:t>
      </w:r>
      <w:r w:rsidRPr="00454D1A">
        <w:t xml:space="preserve"> to be set aside for SOMAH program funding in 202</w:t>
      </w:r>
      <w:r>
        <w:t>4</w:t>
      </w:r>
      <w:r w:rsidRPr="00454D1A">
        <w:t xml:space="preserve"> is $</w:t>
      </w:r>
      <w:r>
        <w:t>46.528 </w:t>
      </w:r>
      <w:r w:rsidRPr="00454D1A">
        <w:t>million.</w:t>
      </w:r>
    </w:p>
    <w:p w:rsidRPr="00454D1A" w:rsidR="003E5990" w:rsidP="003E5990" w:rsidRDefault="003E5990" w14:paraId="38D4D163" w14:textId="5CE6FA8E">
      <w:pPr>
        <w:pStyle w:val="FoF"/>
        <w:numPr>
          <w:ilvl w:val="0"/>
          <w:numId w:val="22"/>
        </w:numPr>
        <w:ind w:firstLine="547"/>
      </w:pPr>
      <w:r w:rsidRPr="00454D1A">
        <w:lastRenderedPageBreak/>
        <w:t xml:space="preserve">SCE does not require GHG </w:t>
      </w:r>
      <w:r w:rsidR="00254304">
        <w:t xml:space="preserve">allocated </w:t>
      </w:r>
      <w:r w:rsidRPr="00454D1A">
        <w:t xml:space="preserve">allowance </w:t>
      </w:r>
      <w:r w:rsidR="00254304">
        <w:t>auction proceeds</w:t>
      </w:r>
      <w:r w:rsidRPr="00454D1A">
        <w:t xml:space="preserve"> in 202</w:t>
      </w:r>
      <w:r>
        <w:t>4</w:t>
      </w:r>
      <w:r w:rsidRPr="00454D1A">
        <w:t xml:space="preserve"> for its DAC</w:t>
      </w:r>
      <w:r>
        <w:noBreakHyphen/>
      </w:r>
      <w:r w:rsidRPr="00454D1A">
        <w:t xml:space="preserve">GT and CSGT programs because it has sufficient funds set aside to cover forecast costs. </w:t>
      </w:r>
    </w:p>
    <w:p w:rsidRPr="00454D1A" w:rsidR="003E5990" w:rsidP="003E5990" w:rsidRDefault="003E5990" w14:paraId="57718E0B" w14:textId="19944F3C">
      <w:pPr>
        <w:pStyle w:val="FoF"/>
        <w:numPr>
          <w:ilvl w:val="0"/>
          <w:numId w:val="22"/>
        </w:numPr>
        <w:ind w:firstLine="547"/>
      </w:pPr>
      <w:r w:rsidRPr="00454D1A">
        <w:t>CPA’s total 202</w:t>
      </w:r>
      <w:r>
        <w:t>4</w:t>
      </w:r>
      <w:r w:rsidRPr="00454D1A">
        <w:t xml:space="preserve"> program forecast for its DAC</w:t>
      </w:r>
      <w:r>
        <w:noBreakHyphen/>
      </w:r>
      <w:r w:rsidRPr="00454D1A">
        <w:t>GT and CSGT programs includes a net allocation of $</w:t>
      </w:r>
      <w:r w:rsidR="00254304">
        <w:t>26,769</w:t>
      </w:r>
      <w:r w:rsidRPr="00454D1A">
        <w:t xml:space="preserve"> from GHG </w:t>
      </w:r>
      <w:r w:rsidR="00254304">
        <w:t xml:space="preserve">allocated </w:t>
      </w:r>
      <w:r w:rsidRPr="00454D1A">
        <w:t xml:space="preserve">allowance </w:t>
      </w:r>
      <w:r w:rsidR="00254304">
        <w:t>auction proceeds</w:t>
      </w:r>
      <w:r w:rsidRPr="00454D1A">
        <w:t xml:space="preserve"> in 202</w:t>
      </w:r>
      <w:r>
        <w:t>4</w:t>
      </w:r>
      <w:r w:rsidRPr="00454D1A">
        <w:t xml:space="preserve">. </w:t>
      </w:r>
    </w:p>
    <w:p w:rsidRPr="00454D1A" w:rsidR="003E5990" w:rsidP="003E5990" w:rsidRDefault="003E5990" w14:paraId="3A632173" w14:textId="08C33015">
      <w:pPr>
        <w:pStyle w:val="FoF"/>
        <w:numPr>
          <w:ilvl w:val="0"/>
          <w:numId w:val="22"/>
        </w:numPr>
        <w:ind w:firstLine="547"/>
      </w:pPr>
      <w:r w:rsidRPr="00454D1A">
        <w:t>Joint CCAs’ total 202</w:t>
      </w:r>
      <w:r>
        <w:t>4</w:t>
      </w:r>
      <w:r w:rsidRPr="00454D1A">
        <w:t xml:space="preserve"> program forecast for its DAC</w:t>
      </w:r>
      <w:r>
        <w:noBreakHyphen/>
      </w:r>
      <w:r w:rsidRPr="00454D1A">
        <w:t>GT and CSGT programs includes a net allocation of $</w:t>
      </w:r>
      <w:r>
        <w:t>25,0</w:t>
      </w:r>
      <w:r w:rsidR="00254304">
        <w:t>29</w:t>
      </w:r>
      <w:r w:rsidRPr="00454D1A">
        <w:t xml:space="preserve"> from </w:t>
      </w:r>
      <w:r w:rsidR="00254304">
        <w:t xml:space="preserve">SCE’s </w:t>
      </w:r>
      <w:r w:rsidRPr="00454D1A">
        <w:t xml:space="preserve">GHG </w:t>
      </w:r>
      <w:r w:rsidR="00254304">
        <w:t xml:space="preserve">allocated </w:t>
      </w:r>
      <w:r w:rsidRPr="00454D1A">
        <w:t xml:space="preserve">allowance </w:t>
      </w:r>
      <w:r w:rsidR="00254304">
        <w:t>auction proceeds</w:t>
      </w:r>
      <w:r w:rsidRPr="00454D1A">
        <w:t xml:space="preserve"> in 202</w:t>
      </w:r>
      <w:r>
        <w:t>4</w:t>
      </w:r>
      <w:r w:rsidRPr="00454D1A">
        <w:t>.</w:t>
      </w:r>
    </w:p>
    <w:p w:rsidRPr="00454D1A" w:rsidR="003E5990" w:rsidP="003E5990" w:rsidRDefault="003E5990" w14:paraId="0807105F" w14:textId="19689468">
      <w:pPr>
        <w:pStyle w:val="FoF"/>
        <w:numPr>
          <w:ilvl w:val="0"/>
          <w:numId w:val="22"/>
        </w:numPr>
        <w:ind w:firstLine="547"/>
      </w:pPr>
      <w:r w:rsidRPr="00454D1A">
        <w:t xml:space="preserve">SCE </w:t>
      </w:r>
      <w:r>
        <w:t>has been</w:t>
      </w:r>
      <w:r w:rsidR="00521D6A">
        <w:t xml:space="preserve"> previously</w:t>
      </w:r>
      <w:r>
        <w:t xml:space="preserve"> authorized to allocate $20.4 million</w:t>
      </w:r>
      <w:r w:rsidRPr="00454D1A">
        <w:t xml:space="preserve"> to implement the CEOP </w:t>
      </w:r>
      <w:r>
        <w:t>and is not requesting additional funding in 2024</w:t>
      </w:r>
      <w:r w:rsidRPr="00454D1A">
        <w:t>.</w:t>
      </w:r>
    </w:p>
    <w:p w:rsidRPr="00454D1A" w:rsidR="003E5990" w:rsidP="003E5990" w:rsidRDefault="003E5990" w14:paraId="120BCCF4" w14:textId="77777777">
      <w:pPr>
        <w:pStyle w:val="FoF"/>
        <w:numPr>
          <w:ilvl w:val="0"/>
          <w:numId w:val="22"/>
        </w:numPr>
        <w:ind w:firstLine="547"/>
      </w:pPr>
      <w:r w:rsidRPr="00454D1A">
        <w:t>SCE’s 202</w:t>
      </w:r>
      <w:r>
        <w:t>4</w:t>
      </w:r>
      <w:r w:rsidRPr="00454D1A">
        <w:t xml:space="preserve"> forecast EITE customer return is $</w:t>
      </w:r>
      <w:r>
        <w:t>58.834</w:t>
      </w:r>
      <w:r w:rsidRPr="00454D1A">
        <w:t> million.</w:t>
      </w:r>
    </w:p>
    <w:p w:rsidR="003E5990" w:rsidP="003E5990" w:rsidRDefault="003E5990" w14:paraId="69C26835" w14:textId="77777777">
      <w:pPr>
        <w:pStyle w:val="FoF"/>
        <w:numPr>
          <w:ilvl w:val="0"/>
          <w:numId w:val="22"/>
        </w:numPr>
        <w:ind w:firstLine="547"/>
      </w:pPr>
      <w:r w:rsidRPr="00454D1A">
        <w:t>SCE’s 202</w:t>
      </w:r>
      <w:r>
        <w:t>4</w:t>
      </w:r>
      <w:r w:rsidRPr="00454D1A">
        <w:t xml:space="preserve"> forecast semi</w:t>
      </w:r>
      <w:r>
        <w:noBreakHyphen/>
      </w:r>
      <w:r w:rsidRPr="00454D1A">
        <w:t>annual California Climate Credit is $</w:t>
      </w:r>
      <w:r>
        <w:t>86.00</w:t>
      </w:r>
      <w:r w:rsidRPr="00454D1A">
        <w:t xml:space="preserve"> per eligible residential and small commercial account, based on a forecast</w:t>
      </w:r>
      <w:r>
        <w:t xml:space="preserve"> </w:t>
      </w:r>
      <w:r w:rsidRPr="00454D1A">
        <w:t xml:space="preserve">of </w:t>
      </w:r>
      <w:r>
        <w:t>5,227,178</w:t>
      </w:r>
      <w:r w:rsidRPr="00454D1A">
        <w:t xml:space="preserve"> eligible recipients.</w:t>
      </w:r>
    </w:p>
    <w:p w:rsidRPr="00454D1A" w:rsidR="003E5990" w:rsidP="003E5990" w:rsidRDefault="003E5990" w14:paraId="6224A29A" w14:textId="77777777">
      <w:pPr>
        <w:pStyle w:val="FoFsubheader"/>
      </w:pPr>
      <w:r w:rsidRPr="00454D1A">
        <w:t>Cost Responsibility Surcharges</w:t>
      </w:r>
    </w:p>
    <w:p w:rsidR="003E5990" w:rsidP="003E5990" w:rsidRDefault="003E5990" w14:paraId="327ED69F" w14:textId="05EB563C">
      <w:pPr>
        <w:pStyle w:val="FoF"/>
        <w:numPr>
          <w:ilvl w:val="0"/>
          <w:numId w:val="25"/>
        </w:numPr>
      </w:pPr>
      <w:r w:rsidRPr="00454D1A">
        <w:t>For 202</w:t>
      </w:r>
      <w:r>
        <w:t>4</w:t>
      </w:r>
      <w:r w:rsidRPr="00454D1A">
        <w:t>, CTC costs are as follows</w:t>
      </w:r>
      <w:r>
        <w:t xml:space="preserve">: </w:t>
      </w:r>
      <w:r w:rsidRPr="003C1797" w:rsidR="00521D6A">
        <w:t>(1) $0.000</w:t>
      </w:r>
      <w:r w:rsidR="00521D6A">
        <w:t>20</w:t>
      </w:r>
      <w:r w:rsidRPr="003C1797" w:rsidR="00521D6A">
        <w:t>/kWh for Domestic (D); (2) $0.000</w:t>
      </w:r>
      <w:r w:rsidR="00521D6A">
        <w:t>19</w:t>
      </w:r>
      <w:r w:rsidRPr="003C1797" w:rsidR="00521D6A">
        <w:t>/kWh for S</w:t>
      </w:r>
      <w:r w:rsidR="00521D6A">
        <w:t>treet</w:t>
      </w:r>
      <w:r w:rsidRPr="003C1797" w:rsidR="00521D6A">
        <w:t xml:space="preserve"> Lighting customers; (3) $0.0001</w:t>
      </w:r>
      <w:r w:rsidR="00521D6A">
        <w:t>5</w:t>
      </w:r>
      <w:r w:rsidRPr="003C1797" w:rsidR="00521D6A">
        <w:t>/kWh for TOU</w:t>
      </w:r>
      <w:r w:rsidRPr="003C1797" w:rsidR="00521D6A">
        <w:noBreakHyphen/>
        <w:t>GS</w:t>
      </w:r>
      <w:r w:rsidRPr="003C1797" w:rsidR="00521D6A">
        <w:noBreakHyphen/>
        <w:t>1, TC</w:t>
      </w:r>
      <w:r w:rsidRPr="003C1797" w:rsidR="00521D6A">
        <w:noBreakHyphen/>
        <w:t>1, TOU</w:t>
      </w:r>
      <w:r w:rsidRPr="003C1797" w:rsidR="00521D6A">
        <w:noBreakHyphen/>
        <w:t>GS</w:t>
      </w:r>
      <w:r w:rsidRPr="003C1797" w:rsidR="00521D6A">
        <w:noBreakHyphen/>
        <w:t xml:space="preserve">2, </w:t>
      </w:r>
      <w:r w:rsidR="000D045F">
        <w:t xml:space="preserve">and </w:t>
      </w:r>
      <w:r w:rsidRPr="003C1797" w:rsidR="00521D6A">
        <w:t>TOU</w:t>
      </w:r>
      <w:r w:rsidRPr="003C1797" w:rsidR="00521D6A">
        <w:noBreakHyphen/>
        <w:t>GS</w:t>
      </w:r>
      <w:r w:rsidRPr="003C1797" w:rsidR="00521D6A">
        <w:noBreakHyphen/>
        <w:t>2</w:t>
      </w:r>
      <w:r w:rsidR="00521D6A">
        <w:t>; $0.00014/kWh for</w:t>
      </w:r>
      <w:r w:rsidRPr="003C1797" w:rsidR="00521D6A">
        <w:t>TOU</w:t>
      </w:r>
      <w:r w:rsidRPr="003C1797" w:rsidR="00521D6A">
        <w:noBreakHyphen/>
        <w:t>8</w:t>
      </w:r>
      <w:r w:rsidRPr="003C1797" w:rsidR="00521D6A">
        <w:noBreakHyphen/>
        <w:t>Sec</w:t>
      </w:r>
      <w:r w:rsidR="00521D6A">
        <w:t xml:space="preserve"> and</w:t>
      </w:r>
      <w:r w:rsidRPr="003C1797" w:rsidR="00521D6A">
        <w:t xml:space="preserve"> TOU</w:t>
      </w:r>
      <w:r w:rsidRPr="003C1797" w:rsidR="00521D6A">
        <w:noBreakHyphen/>
        <w:t>8</w:t>
      </w:r>
      <w:r w:rsidRPr="003C1797" w:rsidR="00521D6A">
        <w:noBreakHyphen/>
        <w:t>Pri</w:t>
      </w:r>
      <w:r w:rsidR="00521D6A">
        <w:t>; $0.00015/kWh for</w:t>
      </w:r>
      <w:r w:rsidRPr="003C1797" w:rsidR="00521D6A">
        <w:t xml:space="preserve"> TOU</w:t>
      </w:r>
      <w:r w:rsidRPr="003C1797" w:rsidR="00521D6A">
        <w:noBreakHyphen/>
        <w:t>PA</w:t>
      </w:r>
      <w:r w:rsidRPr="003C1797" w:rsidR="00521D6A">
        <w:noBreakHyphen/>
        <w:t>2, TOU</w:t>
      </w:r>
      <w:r w:rsidRPr="003C1797" w:rsidR="00521D6A">
        <w:noBreakHyphen/>
        <w:t>PA</w:t>
      </w:r>
      <w:r w:rsidRPr="003C1797" w:rsidR="00521D6A">
        <w:noBreakHyphen/>
        <w:t xml:space="preserve">3, </w:t>
      </w:r>
      <w:r w:rsidR="000D045F">
        <w:t xml:space="preserve">and </w:t>
      </w:r>
      <w:r w:rsidRPr="003C1797" w:rsidR="00521D6A">
        <w:t>Standby</w:t>
      </w:r>
      <w:r w:rsidRPr="003C1797" w:rsidR="00521D6A">
        <w:noBreakHyphen/>
        <w:t>Sec; (4) $0.001</w:t>
      </w:r>
      <w:r w:rsidR="00521D6A">
        <w:t>43</w:t>
      </w:r>
      <w:r w:rsidRPr="003C1797" w:rsidR="00521D6A">
        <w:t xml:space="preserve">/kWh for </w:t>
      </w:r>
      <w:r w:rsidRPr="000D49E4" w:rsidR="00521D6A">
        <w:t>Standby</w:t>
      </w:r>
      <w:r w:rsidRPr="000D49E4" w:rsidR="00521D6A">
        <w:noBreakHyphen/>
      </w:r>
      <w:proofErr w:type="spellStart"/>
      <w:r w:rsidRPr="000D49E4" w:rsidR="00521D6A">
        <w:t>Pri</w:t>
      </w:r>
      <w:proofErr w:type="spellEnd"/>
      <w:r w:rsidRPr="000D49E4" w:rsidR="00521D6A">
        <w:t xml:space="preserve"> </w:t>
      </w:r>
      <w:r w:rsidR="00521D6A">
        <w:t>customers;</w:t>
      </w:r>
      <w:r w:rsidRPr="003C1797" w:rsidR="00521D6A">
        <w:t xml:space="preserve"> and </w:t>
      </w:r>
      <w:r w:rsidR="000D045F">
        <w:t xml:space="preserve">(5) </w:t>
      </w:r>
      <w:r w:rsidR="00521D6A">
        <w:t>$0.00013/kWh</w:t>
      </w:r>
      <w:r w:rsidR="000D045F">
        <w:t xml:space="preserve"> for</w:t>
      </w:r>
      <w:r w:rsidR="00521D6A">
        <w:t xml:space="preserve"> </w:t>
      </w:r>
      <w:r w:rsidR="009919E3">
        <w:t xml:space="preserve">and </w:t>
      </w:r>
      <w:r w:rsidRPr="003C1797" w:rsidR="009919E3">
        <w:t>TOU</w:t>
      </w:r>
      <w:r w:rsidRPr="003C1797" w:rsidR="009919E3">
        <w:noBreakHyphen/>
        <w:t>8</w:t>
      </w:r>
      <w:r w:rsidRPr="003C1797" w:rsidR="009919E3">
        <w:noBreakHyphen/>
        <w:t>Sub</w:t>
      </w:r>
      <w:r w:rsidR="009919E3">
        <w:t xml:space="preserve"> and </w:t>
      </w:r>
      <w:r w:rsidRPr="003C1797" w:rsidR="00521D6A">
        <w:t>Standby</w:t>
      </w:r>
      <w:r w:rsidRPr="003C1797" w:rsidR="00521D6A">
        <w:noBreakHyphen/>
        <w:t>Sub customers of all vintages.</w:t>
      </w:r>
    </w:p>
    <w:p w:rsidR="003E5990" w:rsidP="003E5990" w:rsidRDefault="003E5990" w14:paraId="46FC6216" w14:textId="77777777">
      <w:pPr>
        <w:pStyle w:val="FoF"/>
        <w:numPr>
          <w:ilvl w:val="0"/>
          <w:numId w:val="25"/>
        </w:numPr>
      </w:pPr>
      <w:r>
        <w:t>For 2024, the SCE Wildfire Non-</w:t>
      </w:r>
      <w:proofErr w:type="spellStart"/>
      <w:r>
        <w:t>Bypassable</w:t>
      </w:r>
      <w:proofErr w:type="spellEnd"/>
      <w:r>
        <w:t xml:space="preserve"> Charge will be the latest Commission-approved value for all customer classes in all vintages.</w:t>
      </w:r>
    </w:p>
    <w:p w:rsidRPr="00454D1A" w:rsidR="00A04D35" w:rsidP="003E5990" w:rsidRDefault="00A04D35" w14:paraId="3D11341B" w14:textId="15BC7EA9">
      <w:pPr>
        <w:pStyle w:val="FoF"/>
        <w:numPr>
          <w:ilvl w:val="0"/>
          <w:numId w:val="25"/>
        </w:numPr>
      </w:pPr>
      <w:r>
        <w:t>SCE’s forecasted 2024 PCIA revenue requirement is as follows:</w:t>
      </w:r>
    </w:p>
    <w:tbl>
      <w:tblPr>
        <w:tblStyle w:val="TableGrid"/>
        <w:tblW w:w="9360" w:type="dxa"/>
        <w:jc w:val="center"/>
        <w:tblLayout w:type="fixed"/>
        <w:tblCellMar>
          <w:top w:w="58" w:type="dxa"/>
          <w:bottom w:w="58" w:type="dxa"/>
        </w:tblCellMar>
        <w:tblLook w:val="04A0" w:firstRow="1" w:lastRow="0" w:firstColumn="1" w:lastColumn="0" w:noHBand="0" w:noVBand="1"/>
      </w:tblPr>
      <w:tblGrid>
        <w:gridCol w:w="6835"/>
        <w:gridCol w:w="2525"/>
      </w:tblGrid>
      <w:tr w:rsidR="00521D6A" w:rsidTr="00496F67" w14:paraId="5A0119C8" w14:textId="77777777">
        <w:trPr>
          <w:cantSplit/>
          <w:tblHeader/>
          <w:jc w:val="center"/>
        </w:trPr>
        <w:tc>
          <w:tcPr>
            <w:tcW w:w="6835" w:type="dxa"/>
            <w:vAlign w:val="center"/>
          </w:tcPr>
          <w:p w:rsidRPr="003C1797" w:rsidR="00521D6A" w:rsidP="00496F67" w:rsidRDefault="00521D6A" w14:paraId="5B2D9BF9" w14:textId="77777777">
            <w:pPr>
              <w:pStyle w:val="Standard"/>
              <w:keepNext/>
              <w:spacing w:line="240" w:lineRule="auto"/>
              <w:ind w:firstLine="0"/>
              <w:jc w:val="center"/>
              <w:rPr>
                <w:b/>
                <w:bCs/>
              </w:rPr>
            </w:pPr>
            <w:r w:rsidRPr="003C1797">
              <w:rPr>
                <w:b/>
                <w:bCs/>
                <w:szCs w:val="26"/>
              </w:rPr>
              <w:lastRenderedPageBreak/>
              <w:t>PCIA Revenue Requirement</w:t>
            </w:r>
          </w:p>
        </w:tc>
        <w:tc>
          <w:tcPr>
            <w:tcW w:w="2525" w:type="dxa"/>
            <w:vAlign w:val="center"/>
          </w:tcPr>
          <w:p w:rsidR="00521D6A" w:rsidP="00496F67" w:rsidRDefault="00521D6A" w14:paraId="7FC59564" w14:textId="77777777">
            <w:pPr>
              <w:pStyle w:val="Standard"/>
              <w:keepNext/>
              <w:spacing w:line="240" w:lineRule="auto"/>
              <w:ind w:firstLine="0"/>
              <w:jc w:val="center"/>
              <w:rPr>
                <w:b/>
                <w:bCs/>
              </w:rPr>
            </w:pPr>
            <w:r w:rsidRPr="003C1797">
              <w:rPr>
                <w:b/>
                <w:bCs/>
                <w:szCs w:val="26"/>
              </w:rPr>
              <w:t>Amount (millions)</w:t>
            </w:r>
          </w:p>
        </w:tc>
      </w:tr>
      <w:tr w:rsidR="00521D6A" w:rsidTr="00496F67" w14:paraId="77BBCF01" w14:textId="77777777">
        <w:trPr>
          <w:cantSplit/>
          <w:jc w:val="center"/>
        </w:trPr>
        <w:tc>
          <w:tcPr>
            <w:tcW w:w="6835" w:type="dxa"/>
            <w:tcBorders>
              <w:bottom w:val="single" w:color="auto" w:sz="4" w:space="0"/>
            </w:tcBorders>
            <w:vAlign w:val="center"/>
          </w:tcPr>
          <w:p w:rsidR="00521D6A" w:rsidP="00496F67" w:rsidRDefault="00521D6A" w14:paraId="7747029E" w14:textId="77777777">
            <w:pPr>
              <w:pStyle w:val="Standard"/>
              <w:keepNext/>
              <w:spacing w:line="240" w:lineRule="auto"/>
              <w:ind w:firstLine="0"/>
            </w:pPr>
            <w:r>
              <w:rPr>
                <w:szCs w:val="26"/>
              </w:rPr>
              <w:t>Portfolio Cost</w:t>
            </w:r>
          </w:p>
        </w:tc>
        <w:tc>
          <w:tcPr>
            <w:tcW w:w="2525" w:type="dxa"/>
            <w:tcBorders>
              <w:bottom w:val="single" w:color="auto" w:sz="4" w:space="0"/>
            </w:tcBorders>
          </w:tcPr>
          <w:p w:rsidRPr="003C1797" w:rsidR="00521D6A" w:rsidP="00496F67" w:rsidRDefault="00521D6A" w14:paraId="7A3C55FD" w14:textId="77777777">
            <w:pPr>
              <w:pStyle w:val="Standard"/>
              <w:keepNext/>
              <w:spacing w:line="240" w:lineRule="auto"/>
              <w:ind w:firstLine="0"/>
              <w:jc w:val="right"/>
            </w:pPr>
            <w:r w:rsidRPr="003C1797">
              <w:rPr>
                <w:szCs w:val="26"/>
              </w:rPr>
              <w:t>$4,110.980</w:t>
            </w:r>
          </w:p>
        </w:tc>
      </w:tr>
      <w:tr w:rsidR="00521D6A" w:rsidTr="00496F67" w14:paraId="42376F8C" w14:textId="77777777">
        <w:trPr>
          <w:cantSplit/>
          <w:jc w:val="center"/>
        </w:trPr>
        <w:tc>
          <w:tcPr>
            <w:tcW w:w="6835" w:type="dxa"/>
            <w:tcBorders>
              <w:bottom w:val="nil"/>
              <w:right w:val="single" w:color="auto" w:sz="4" w:space="0"/>
            </w:tcBorders>
            <w:vAlign w:val="center"/>
          </w:tcPr>
          <w:p w:rsidR="00521D6A" w:rsidP="00496F67" w:rsidRDefault="00521D6A" w14:paraId="7B01628E" w14:textId="77777777">
            <w:pPr>
              <w:pStyle w:val="Standard"/>
              <w:keepNext/>
              <w:spacing w:line="240" w:lineRule="auto"/>
              <w:ind w:firstLine="0"/>
            </w:pPr>
            <w:r>
              <w:rPr>
                <w:szCs w:val="26"/>
              </w:rPr>
              <w:t>Market Value</w:t>
            </w:r>
          </w:p>
        </w:tc>
        <w:tc>
          <w:tcPr>
            <w:tcW w:w="2525" w:type="dxa"/>
            <w:tcBorders>
              <w:left w:val="single" w:color="auto" w:sz="4" w:space="0"/>
              <w:bottom w:val="nil"/>
            </w:tcBorders>
          </w:tcPr>
          <w:p w:rsidRPr="003C1797" w:rsidR="00521D6A" w:rsidP="00496F67" w:rsidRDefault="00521D6A" w14:paraId="7F2ED1E6" w14:textId="77777777">
            <w:pPr>
              <w:pStyle w:val="Standard"/>
              <w:keepNext/>
              <w:spacing w:line="240" w:lineRule="auto"/>
              <w:ind w:firstLine="0"/>
              <w:jc w:val="right"/>
            </w:pPr>
            <w:r w:rsidRPr="003C1797">
              <w:rPr>
                <w:szCs w:val="26"/>
              </w:rPr>
              <w:t>-$4,884.941</w:t>
            </w:r>
          </w:p>
        </w:tc>
      </w:tr>
      <w:tr w:rsidR="00521D6A" w:rsidTr="00496F67" w14:paraId="55134A7A" w14:textId="77777777">
        <w:trPr>
          <w:cantSplit/>
          <w:jc w:val="center"/>
        </w:trPr>
        <w:tc>
          <w:tcPr>
            <w:tcW w:w="6835" w:type="dxa"/>
            <w:tcBorders>
              <w:top w:val="nil"/>
              <w:bottom w:val="nil"/>
              <w:right w:val="single" w:color="auto" w:sz="4" w:space="0"/>
            </w:tcBorders>
            <w:vAlign w:val="center"/>
          </w:tcPr>
          <w:p w:rsidR="00521D6A" w:rsidP="00496F67" w:rsidRDefault="00521D6A" w14:paraId="63BF2599" w14:textId="77777777">
            <w:pPr>
              <w:pStyle w:val="Standard"/>
              <w:keepNext/>
              <w:numPr>
                <w:ilvl w:val="0"/>
                <w:numId w:val="26"/>
              </w:numPr>
              <w:spacing w:line="240" w:lineRule="auto"/>
              <w:ind w:left="576" w:hanging="216"/>
            </w:pPr>
            <w:r>
              <w:rPr>
                <w:szCs w:val="26"/>
              </w:rPr>
              <w:t>Energy Value</w:t>
            </w:r>
          </w:p>
        </w:tc>
        <w:tc>
          <w:tcPr>
            <w:tcW w:w="2525" w:type="dxa"/>
            <w:tcBorders>
              <w:top w:val="nil"/>
              <w:left w:val="single" w:color="auto" w:sz="4" w:space="0"/>
              <w:bottom w:val="nil"/>
            </w:tcBorders>
          </w:tcPr>
          <w:p w:rsidRPr="003C1797" w:rsidR="00521D6A" w:rsidP="00496F67" w:rsidRDefault="00521D6A" w14:paraId="37125352" w14:textId="77777777">
            <w:pPr>
              <w:pStyle w:val="Standard"/>
              <w:keepNext/>
              <w:spacing w:line="240" w:lineRule="auto"/>
              <w:ind w:firstLine="0"/>
              <w:jc w:val="right"/>
            </w:pPr>
            <w:r w:rsidRPr="003C1797">
              <w:rPr>
                <w:szCs w:val="26"/>
              </w:rPr>
              <w:t>-$2,576.107</w:t>
            </w:r>
          </w:p>
        </w:tc>
      </w:tr>
      <w:tr w:rsidR="00521D6A" w:rsidTr="00496F67" w14:paraId="19F5D857" w14:textId="77777777">
        <w:trPr>
          <w:cantSplit/>
          <w:jc w:val="center"/>
        </w:trPr>
        <w:tc>
          <w:tcPr>
            <w:tcW w:w="6835" w:type="dxa"/>
            <w:tcBorders>
              <w:top w:val="nil"/>
              <w:bottom w:val="nil"/>
              <w:right w:val="single" w:color="auto" w:sz="4" w:space="0"/>
            </w:tcBorders>
            <w:vAlign w:val="center"/>
          </w:tcPr>
          <w:p w:rsidR="00521D6A" w:rsidP="00496F67" w:rsidRDefault="00521D6A" w14:paraId="601D146B" w14:textId="77777777">
            <w:pPr>
              <w:pStyle w:val="Standard"/>
              <w:keepNext/>
              <w:numPr>
                <w:ilvl w:val="0"/>
                <w:numId w:val="26"/>
              </w:numPr>
              <w:spacing w:line="240" w:lineRule="auto"/>
              <w:ind w:left="576" w:hanging="216"/>
            </w:pPr>
            <w:r>
              <w:rPr>
                <w:szCs w:val="26"/>
              </w:rPr>
              <w:t>RPS Value</w:t>
            </w:r>
          </w:p>
        </w:tc>
        <w:tc>
          <w:tcPr>
            <w:tcW w:w="2525" w:type="dxa"/>
            <w:tcBorders>
              <w:top w:val="nil"/>
              <w:left w:val="single" w:color="auto" w:sz="4" w:space="0"/>
              <w:bottom w:val="nil"/>
            </w:tcBorders>
          </w:tcPr>
          <w:p w:rsidRPr="003C1797" w:rsidR="00521D6A" w:rsidP="00496F67" w:rsidRDefault="00521D6A" w14:paraId="56A52E80" w14:textId="77777777">
            <w:pPr>
              <w:pStyle w:val="Standard"/>
              <w:keepNext/>
              <w:spacing w:line="240" w:lineRule="auto"/>
              <w:ind w:firstLine="0"/>
              <w:jc w:val="right"/>
            </w:pPr>
            <w:r w:rsidRPr="003C1797">
              <w:rPr>
                <w:szCs w:val="26"/>
              </w:rPr>
              <w:t>-$860.117</w:t>
            </w:r>
          </w:p>
        </w:tc>
      </w:tr>
      <w:tr w:rsidR="00521D6A" w:rsidTr="00496F67" w14:paraId="42D3A1A9" w14:textId="77777777">
        <w:trPr>
          <w:cantSplit/>
          <w:jc w:val="center"/>
        </w:trPr>
        <w:tc>
          <w:tcPr>
            <w:tcW w:w="6835" w:type="dxa"/>
            <w:tcBorders>
              <w:top w:val="nil"/>
              <w:right w:val="single" w:color="auto" w:sz="4" w:space="0"/>
            </w:tcBorders>
            <w:vAlign w:val="center"/>
          </w:tcPr>
          <w:p w:rsidR="00521D6A" w:rsidP="00496F67" w:rsidRDefault="00521D6A" w14:paraId="07795468" w14:textId="77777777">
            <w:pPr>
              <w:pStyle w:val="Standard"/>
              <w:numPr>
                <w:ilvl w:val="0"/>
                <w:numId w:val="26"/>
              </w:numPr>
              <w:spacing w:line="240" w:lineRule="auto"/>
              <w:ind w:left="576" w:hanging="216"/>
            </w:pPr>
            <w:r>
              <w:rPr>
                <w:szCs w:val="26"/>
              </w:rPr>
              <w:t>RA Value</w:t>
            </w:r>
          </w:p>
        </w:tc>
        <w:tc>
          <w:tcPr>
            <w:tcW w:w="2525" w:type="dxa"/>
            <w:tcBorders>
              <w:top w:val="nil"/>
              <w:left w:val="single" w:color="auto" w:sz="4" w:space="0"/>
            </w:tcBorders>
          </w:tcPr>
          <w:p w:rsidRPr="003C1797" w:rsidR="00521D6A" w:rsidP="00496F67" w:rsidRDefault="00521D6A" w14:paraId="54A7C23E" w14:textId="77777777">
            <w:pPr>
              <w:pStyle w:val="Standard"/>
              <w:spacing w:line="240" w:lineRule="auto"/>
              <w:ind w:firstLine="0"/>
              <w:jc w:val="right"/>
            </w:pPr>
            <w:r w:rsidRPr="003C1797">
              <w:rPr>
                <w:szCs w:val="26"/>
              </w:rPr>
              <w:t>-$1,448.717</w:t>
            </w:r>
          </w:p>
        </w:tc>
      </w:tr>
      <w:tr w:rsidR="00521D6A" w:rsidTr="00496F67" w14:paraId="6BCCC456" w14:textId="77777777">
        <w:trPr>
          <w:cantSplit/>
          <w:jc w:val="center"/>
        </w:trPr>
        <w:tc>
          <w:tcPr>
            <w:tcW w:w="6835" w:type="dxa"/>
            <w:tcBorders>
              <w:bottom w:val="single" w:color="auto" w:sz="4" w:space="0"/>
            </w:tcBorders>
            <w:vAlign w:val="center"/>
          </w:tcPr>
          <w:p w:rsidR="00521D6A" w:rsidP="00496F67" w:rsidRDefault="00521D6A" w14:paraId="4BEDA1C4" w14:textId="77777777">
            <w:pPr>
              <w:pStyle w:val="Standard"/>
              <w:spacing w:line="240" w:lineRule="auto"/>
              <w:ind w:firstLine="0"/>
              <w:rPr>
                <w:rFonts w:eastAsia="Calibri" w:cs="Arial"/>
              </w:rPr>
            </w:pPr>
            <w:r>
              <w:rPr>
                <w:szCs w:val="26"/>
              </w:rPr>
              <w:t>One</w:t>
            </w:r>
            <w:r>
              <w:rPr>
                <w:szCs w:val="26"/>
              </w:rPr>
              <w:noBreakHyphen/>
              <w:t>Time Adjustments</w:t>
            </w:r>
          </w:p>
        </w:tc>
        <w:tc>
          <w:tcPr>
            <w:tcW w:w="2525" w:type="dxa"/>
            <w:tcBorders>
              <w:bottom w:val="single" w:color="auto" w:sz="4" w:space="0"/>
            </w:tcBorders>
          </w:tcPr>
          <w:p w:rsidRPr="003C1797" w:rsidR="00521D6A" w:rsidP="00496F67" w:rsidRDefault="00521D6A" w14:paraId="7663C014" w14:textId="77777777">
            <w:pPr>
              <w:pStyle w:val="Standard"/>
              <w:spacing w:line="240" w:lineRule="auto"/>
              <w:jc w:val="right"/>
              <w:rPr>
                <w:rFonts w:eastAsia="Calibri" w:cs="Arial"/>
              </w:rPr>
            </w:pPr>
            <w:r w:rsidRPr="003C1797">
              <w:rPr>
                <w:szCs w:val="26"/>
              </w:rPr>
              <w:noBreakHyphen/>
              <w:t>$380.0</w:t>
            </w:r>
          </w:p>
        </w:tc>
      </w:tr>
      <w:tr w:rsidR="00521D6A" w:rsidTr="00496F67" w14:paraId="2D0DF5FF" w14:textId="77777777">
        <w:trPr>
          <w:cantSplit/>
          <w:jc w:val="center"/>
        </w:trPr>
        <w:tc>
          <w:tcPr>
            <w:tcW w:w="6835" w:type="dxa"/>
            <w:tcBorders>
              <w:bottom w:val="single" w:color="auto" w:sz="4" w:space="0"/>
            </w:tcBorders>
            <w:vAlign w:val="center"/>
          </w:tcPr>
          <w:p w:rsidR="00521D6A" w:rsidP="00496F67" w:rsidRDefault="00521D6A" w14:paraId="299507DC" w14:textId="77777777">
            <w:pPr>
              <w:pStyle w:val="Standard"/>
              <w:spacing w:line="240" w:lineRule="auto"/>
              <w:ind w:firstLine="0"/>
            </w:pPr>
            <w:r>
              <w:rPr>
                <w:szCs w:val="26"/>
              </w:rPr>
              <w:t>Total 2024 Indifference Amount</w:t>
            </w:r>
          </w:p>
        </w:tc>
        <w:tc>
          <w:tcPr>
            <w:tcW w:w="2525" w:type="dxa"/>
            <w:tcBorders>
              <w:bottom w:val="single" w:color="auto" w:sz="4" w:space="0"/>
            </w:tcBorders>
          </w:tcPr>
          <w:p w:rsidRPr="003C1797" w:rsidR="00521D6A" w:rsidP="00496F67" w:rsidRDefault="00521D6A" w14:paraId="555B5D0F" w14:textId="77777777">
            <w:pPr>
              <w:pStyle w:val="Standard"/>
              <w:spacing w:line="240" w:lineRule="auto"/>
              <w:ind w:firstLine="0"/>
              <w:jc w:val="right"/>
            </w:pPr>
            <w:r w:rsidRPr="003C1797">
              <w:rPr>
                <w:szCs w:val="26"/>
              </w:rPr>
              <w:noBreakHyphen/>
              <w:t>$774.341</w:t>
            </w:r>
          </w:p>
        </w:tc>
      </w:tr>
      <w:tr w:rsidR="00521D6A" w:rsidTr="00496F67" w14:paraId="6EA0DC5F" w14:textId="77777777">
        <w:trPr>
          <w:cantSplit/>
          <w:jc w:val="center"/>
        </w:trPr>
        <w:tc>
          <w:tcPr>
            <w:tcW w:w="6835" w:type="dxa"/>
            <w:tcBorders>
              <w:bottom w:val="nil"/>
              <w:right w:val="single" w:color="auto" w:sz="4" w:space="0"/>
            </w:tcBorders>
            <w:vAlign w:val="center"/>
          </w:tcPr>
          <w:p w:rsidR="00521D6A" w:rsidP="00496F67" w:rsidRDefault="00521D6A" w14:paraId="0BA3008C" w14:textId="77777777">
            <w:pPr>
              <w:pStyle w:val="Standard"/>
              <w:keepNext/>
              <w:spacing w:line="240" w:lineRule="auto"/>
              <w:ind w:firstLine="0"/>
            </w:pPr>
            <w:r>
              <w:rPr>
                <w:szCs w:val="26"/>
              </w:rPr>
              <w:t>Balancing Account True</w:t>
            </w:r>
            <w:r>
              <w:rPr>
                <w:szCs w:val="26"/>
              </w:rPr>
              <w:noBreakHyphen/>
              <w:t xml:space="preserve">Ups (no </w:t>
            </w:r>
            <w:proofErr w:type="spellStart"/>
            <w:r>
              <w:rPr>
                <w:szCs w:val="26"/>
              </w:rPr>
              <w:t>Uncollectibles</w:t>
            </w:r>
            <w:proofErr w:type="spellEnd"/>
            <w:r>
              <w:rPr>
                <w:szCs w:val="26"/>
              </w:rPr>
              <w:t xml:space="preserve"> Factor)</w:t>
            </w:r>
          </w:p>
        </w:tc>
        <w:tc>
          <w:tcPr>
            <w:tcW w:w="2525" w:type="dxa"/>
            <w:tcBorders>
              <w:left w:val="single" w:color="auto" w:sz="4" w:space="0"/>
              <w:bottom w:val="nil"/>
            </w:tcBorders>
          </w:tcPr>
          <w:p w:rsidR="00521D6A" w:rsidP="00496F67" w:rsidRDefault="00521D6A" w14:paraId="0758A439" w14:textId="77777777">
            <w:pPr>
              <w:pStyle w:val="Standard"/>
              <w:keepNext/>
              <w:spacing w:line="240" w:lineRule="auto"/>
              <w:ind w:firstLine="0"/>
              <w:jc w:val="right"/>
            </w:pPr>
            <w:r>
              <w:rPr>
                <w:szCs w:val="26"/>
              </w:rPr>
              <w:t> </w:t>
            </w:r>
          </w:p>
        </w:tc>
      </w:tr>
      <w:tr w:rsidR="00521D6A" w:rsidTr="00496F67" w14:paraId="54D369D6" w14:textId="77777777">
        <w:trPr>
          <w:cantSplit/>
          <w:jc w:val="center"/>
        </w:trPr>
        <w:tc>
          <w:tcPr>
            <w:tcW w:w="6835" w:type="dxa"/>
            <w:tcBorders>
              <w:top w:val="nil"/>
              <w:bottom w:val="nil"/>
              <w:right w:val="single" w:color="auto" w:sz="4" w:space="0"/>
            </w:tcBorders>
            <w:vAlign w:val="center"/>
          </w:tcPr>
          <w:p w:rsidR="00521D6A" w:rsidP="00496F67" w:rsidRDefault="00521D6A" w14:paraId="2C331529" w14:textId="77777777">
            <w:pPr>
              <w:pStyle w:val="Standard"/>
              <w:keepNext/>
              <w:numPr>
                <w:ilvl w:val="0"/>
                <w:numId w:val="26"/>
              </w:numPr>
              <w:spacing w:line="240" w:lineRule="auto"/>
              <w:ind w:left="576" w:hanging="216"/>
            </w:pPr>
            <w:r>
              <w:rPr>
                <w:szCs w:val="26"/>
              </w:rPr>
              <w:t>2023 YE PABA Balance</w:t>
            </w:r>
          </w:p>
        </w:tc>
        <w:tc>
          <w:tcPr>
            <w:tcW w:w="2525" w:type="dxa"/>
            <w:tcBorders>
              <w:top w:val="nil"/>
              <w:left w:val="single" w:color="auto" w:sz="4" w:space="0"/>
              <w:bottom w:val="nil"/>
            </w:tcBorders>
          </w:tcPr>
          <w:p w:rsidR="00521D6A" w:rsidP="00496F67" w:rsidRDefault="00521D6A" w14:paraId="3EBF880E" w14:textId="77777777">
            <w:pPr>
              <w:pStyle w:val="Standard"/>
              <w:keepNext/>
              <w:spacing w:line="240" w:lineRule="auto"/>
              <w:ind w:firstLine="0"/>
              <w:jc w:val="right"/>
            </w:pPr>
            <w:r>
              <w:rPr>
                <w:szCs w:val="26"/>
              </w:rPr>
              <w:noBreakHyphen/>
              <w:t>$609.487</w:t>
            </w:r>
          </w:p>
        </w:tc>
      </w:tr>
      <w:tr w:rsidR="00521D6A" w:rsidTr="00496F67" w14:paraId="3B008295" w14:textId="77777777">
        <w:trPr>
          <w:cantSplit/>
          <w:jc w:val="center"/>
        </w:trPr>
        <w:tc>
          <w:tcPr>
            <w:tcW w:w="6835" w:type="dxa"/>
            <w:tcBorders>
              <w:top w:val="nil"/>
              <w:bottom w:val="nil"/>
              <w:right w:val="single" w:color="auto" w:sz="4" w:space="0"/>
            </w:tcBorders>
            <w:vAlign w:val="center"/>
          </w:tcPr>
          <w:p w:rsidR="00521D6A" w:rsidP="00496F67" w:rsidRDefault="00521D6A" w14:paraId="4D900E08" w14:textId="77777777">
            <w:pPr>
              <w:pStyle w:val="Standard"/>
              <w:keepNext/>
              <w:numPr>
                <w:ilvl w:val="0"/>
                <w:numId w:val="26"/>
              </w:numPr>
              <w:spacing w:line="240" w:lineRule="auto"/>
              <w:ind w:left="576" w:hanging="216"/>
            </w:pPr>
            <w:r>
              <w:rPr>
                <w:rFonts w:ascii="Symbol" w:hAnsi="Symbol"/>
                <w:szCs w:val="26"/>
              </w:rPr>
              <w:t>2</w:t>
            </w:r>
            <w:r>
              <w:rPr>
                <w:szCs w:val="26"/>
              </w:rPr>
              <w:t>023 GRC Memo Account (27</w:t>
            </w:r>
            <w:r>
              <w:rPr>
                <w:szCs w:val="26"/>
              </w:rPr>
              <w:noBreakHyphen/>
              <w:t>Month Amortization)</w:t>
            </w:r>
          </w:p>
        </w:tc>
        <w:tc>
          <w:tcPr>
            <w:tcW w:w="2525" w:type="dxa"/>
            <w:tcBorders>
              <w:top w:val="nil"/>
              <w:left w:val="single" w:color="auto" w:sz="4" w:space="0"/>
              <w:bottom w:val="nil"/>
            </w:tcBorders>
          </w:tcPr>
          <w:p w:rsidR="00521D6A" w:rsidP="00496F67" w:rsidRDefault="00521D6A" w14:paraId="2A773A33" w14:textId="77777777">
            <w:pPr>
              <w:pStyle w:val="Standard"/>
              <w:keepNext/>
              <w:spacing w:line="240" w:lineRule="auto"/>
              <w:ind w:firstLine="0"/>
              <w:jc w:val="right"/>
            </w:pPr>
            <w:r>
              <w:rPr>
                <w:szCs w:val="26"/>
              </w:rPr>
              <w:noBreakHyphen/>
              <w:t>$14.415</w:t>
            </w:r>
          </w:p>
        </w:tc>
      </w:tr>
      <w:tr w:rsidR="00521D6A" w:rsidTr="00496F67" w14:paraId="4D05318B" w14:textId="77777777">
        <w:trPr>
          <w:cantSplit/>
          <w:jc w:val="center"/>
        </w:trPr>
        <w:tc>
          <w:tcPr>
            <w:tcW w:w="6835" w:type="dxa"/>
            <w:tcBorders>
              <w:top w:val="nil"/>
              <w:bottom w:val="nil"/>
              <w:right w:val="single" w:color="auto" w:sz="4" w:space="0"/>
            </w:tcBorders>
            <w:vAlign w:val="center"/>
          </w:tcPr>
          <w:p w:rsidR="00521D6A" w:rsidP="00496F67" w:rsidRDefault="00521D6A" w14:paraId="1D9E4F9E" w14:textId="77777777">
            <w:pPr>
              <w:pStyle w:val="Standard"/>
              <w:keepNext/>
              <w:numPr>
                <w:ilvl w:val="0"/>
                <w:numId w:val="26"/>
              </w:numPr>
              <w:spacing w:line="240" w:lineRule="auto"/>
              <w:ind w:left="576" w:hanging="216"/>
            </w:pPr>
            <w:r>
              <w:rPr>
                <w:szCs w:val="26"/>
              </w:rPr>
              <w:t>Remaining PUBA Balance to PABA</w:t>
            </w:r>
          </w:p>
        </w:tc>
        <w:tc>
          <w:tcPr>
            <w:tcW w:w="2525" w:type="dxa"/>
            <w:tcBorders>
              <w:top w:val="nil"/>
              <w:left w:val="single" w:color="auto" w:sz="4" w:space="0"/>
              <w:bottom w:val="nil"/>
            </w:tcBorders>
          </w:tcPr>
          <w:p w:rsidR="00521D6A" w:rsidP="00496F67" w:rsidRDefault="00521D6A" w14:paraId="5D6130CC" w14:textId="77777777">
            <w:pPr>
              <w:pStyle w:val="xxstandard"/>
              <w:keepNext/>
              <w:jc w:val="right"/>
            </w:pPr>
            <w:r>
              <w:rPr>
                <w:rFonts w:ascii="Book Antiqua" w:hAnsi="Book Antiqua"/>
                <w:sz w:val="26"/>
                <w:szCs w:val="26"/>
              </w:rPr>
              <w:t>$2.948</w:t>
            </w:r>
          </w:p>
          <w:p w:rsidR="00521D6A" w:rsidP="00496F67" w:rsidRDefault="00521D6A" w14:paraId="7499D820" w14:textId="77777777">
            <w:pPr>
              <w:pStyle w:val="Standard"/>
              <w:keepNext/>
              <w:spacing w:line="240" w:lineRule="auto"/>
              <w:ind w:firstLine="0"/>
              <w:jc w:val="right"/>
            </w:pPr>
            <w:r>
              <w:rPr>
                <w:szCs w:val="26"/>
              </w:rPr>
              <w:t> </w:t>
            </w:r>
          </w:p>
        </w:tc>
      </w:tr>
      <w:tr w:rsidR="00521D6A" w:rsidTr="00496F67" w14:paraId="158B2729" w14:textId="77777777">
        <w:trPr>
          <w:cantSplit/>
          <w:jc w:val="center"/>
        </w:trPr>
        <w:tc>
          <w:tcPr>
            <w:tcW w:w="6835" w:type="dxa"/>
            <w:tcBorders>
              <w:top w:val="nil"/>
              <w:bottom w:val="nil"/>
              <w:right w:val="single" w:color="auto" w:sz="4" w:space="0"/>
            </w:tcBorders>
            <w:vAlign w:val="center"/>
          </w:tcPr>
          <w:p w:rsidR="00521D6A" w:rsidP="00496F67" w:rsidRDefault="00521D6A" w14:paraId="5B4A8D51" w14:textId="77777777">
            <w:pPr>
              <w:pStyle w:val="Standard"/>
              <w:keepNext/>
              <w:numPr>
                <w:ilvl w:val="0"/>
                <w:numId w:val="26"/>
              </w:numPr>
              <w:spacing w:line="240" w:lineRule="auto"/>
              <w:ind w:left="576" w:hanging="216"/>
            </w:pPr>
            <w:r>
              <w:rPr>
                <w:szCs w:val="26"/>
              </w:rPr>
              <w:t>UOS Separator</w:t>
            </w:r>
          </w:p>
        </w:tc>
        <w:tc>
          <w:tcPr>
            <w:tcW w:w="2525" w:type="dxa"/>
            <w:tcBorders>
              <w:top w:val="nil"/>
              <w:left w:val="single" w:color="auto" w:sz="4" w:space="0"/>
              <w:bottom w:val="nil"/>
            </w:tcBorders>
          </w:tcPr>
          <w:p w:rsidR="00521D6A" w:rsidP="00496F67" w:rsidRDefault="00521D6A" w14:paraId="561C44E0" w14:textId="77777777">
            <w:pPr>
              <w:pStyle w:val="Standard"/>
              <w:keepNext/>
              <w:spacing w:line="240" w:lineRule="auto"/>
              <w:ind w:firstLine="0"/>
              <w:jc w:val="right"/>
            </w:pPr>
            <w:r>
              <w:rPr>
                <w:szCs w:val="26"/>
              </w:rPr>
              <w:t>$17.792</w:t>
            </w:r>
          </w:p>
        </w:tc>
      </w:tr>
      <w:tr w:rsidR="00521D6A" w:rsidTr="00496F67" w14:paraId="1E36052C" w14:textId="77777777">
        <w:trPr>
          <w:cantSplit/>
          <w:jc w:val="center"/>
        </w:trPr>
        <w:tc>
          <w:tcPr>
            <w:tcW w:w="6835" w:type="dxa"/>
            <w:tcBorders>
              <w:top w:val="nil"/>
              <w:bottom w:val="nil"/>
              <w:right w:val="single" w:color="auto" w:sz="4" w:space="0"/>
            </w:tcBorders>
            <w:vAlign w:val="center"/>
          </w:tcPr>
          <w:p w:rsidR="00521D6A" w:rsidP="00496F67" w:rsidRDefault="00521D6A" w14:paraId="166A04F2" w14:textId="77777777">
            <w:pPr>
              <w:pStyle w:val="Standard"/>
              <w:numPr>
                <w:ilvl w:val="0"/>
                <w:numId w:val="26"/>
              </w:numPr>
              <w:spacing w:line="240" w:lineRule="auto"/>
              <w:ind w:left="576" w:hanging="216"/>
            </w:pPr>
            <w:r>
              <w:rPr>
                <w:rFonts w:ascii="Times New Roman" w:hAnsi="Times New Roman" w:cs="Times New Roman"/>
                <w:sz w:val="14"/>
                <w:szCs w:val="14"/>
              </w:rPr>
              <w:t xml:space="preserve"> </w:t>
            </w:r>
            <w:r>
              <w:rPr>
                <w:szCs w:val="26"/>
              </w:rPr>
              <w:t>2023 YE ERRA Balance</w:t>
            </w:r>
          </w:p>
        </w:tc>
        <w:tc>
          <w:tcPr>
            <w:tcW w:w="2525" w:type="dxa"/>
            <w:tcBorders>
              <w:top w:val="nil"/>
              <w:left w:val="single" w:color="auto" w:sz="4" w:space="0"/>
              <w:bottom w:val="nil"/>
            </w:tcBorders>
          </w:tcPr>
          <w:p w:rsidR="00521D6A" w:rsidP="00496F67" w:rsidRDefault="00521D6A" w14:paraId="7C4C8277" w14:textId="77777777">
            <w:pPr>
              <w:pStyle w:val="Standard"/>
              <w:spacing w:line="240" w:lineRule="auto"/>
              <w:ind w:firstLine="0"/>
              <w:jc w:val="right"/>
            </w:pPr>
            <w:r>
              <w:rPr>
                <w:szCs w:val="26"/>
              </w:rPr>
              <w:t>-$59.297</w:t>
            </w:r>
          </w:p>
        </w:tc>
      </w:tr>
      <w:tr w:rsidR="00521D6A" w:rsidTr="00496F67" w14:paraId="2E7D28C6" w14:textId="77777777">
        <w:trPr>
          <w:cantSplit/>
          <w:jc w:val="center"/>
        </w:trPr>
        <w:tc>
          <w:tcPr>
            <w:tcW w:w="6835" w:type="dxa"/>
            <w:vAlign w:val="center"/>
          </w:tcPr>
          <w:p w:rsidR="00521D6A" w:rsidP="00496F67" w:rsidRDefault="00521D6A" w14:paraId="197118DE" w14:textId="77777777">
            <w:pPr>
              <w:pStyle w:val="Standard"/>
              <w:spacing w:line="240" w:lineRule="auto"/>
              <w:ind w:firstLine="0"/>
            </w:pPr>
            <w:r>
              <w:rPr>
                <w:szCs w:val="26"/>
              </w:rPr>
              <w:t>2024 PCIA Revenue Requirement</w:t>
            </w:r>
          </w:p>
        </w:tc>
        <w:tc>
          <w:tcPr>
            <w:tcW w:w="2525" w:type="dxa"/>
          </w:tcPr>
          <w:p w:rsidRPr="003C1797" w:rsidR="00521D6A" w:rsidP="00496F67" w:rsidRDefault="00521D6A" w14:paraId="22D3B2C0" w14:textId="77777777">
            <w:pPr>
              <w:pStyle w:val="Standard"/>
              <w:spacing w:line="240" w:lineRule="auto"/>
              <w:ind w:firstLine="0"/>
              <w:jc w:val="right"/>
            </w:pPr>
            <w:r w:rsidRPr="003C1797">
              <w:rPr>
                <w:szCs w:val="26"/>
              </w:rPr>
              <w:t>-$217.826</w:t>
            </w:r>
          </w:p>
        </w:tc>
      </w:tr>
      <w:tr w:rsidR="00521D6A" w:rsidTr="00496F67" w14:paraId="4C68A85B" w14:textId="77777777">
        <w:trPr>
          <w:cantSplit/>
          <w:jc w:val="center"/>
        </w:trPr>
        <w:tc>
          <w:tcPr>
            <w:tcW w:w="6835" w:type="dxa"/>
            <w:vAlign w:val="center"/>
          </w:tcPr>
          <w:p w:rsidR="00521D6A" w:rsidP="00496F67" w:rsidRDefault="00521D6A" w14:paraId="1291F02D" w14:textId="77777777">
            <w:pPr>
              <w:pStyle w:val="xstandard"/>
              <w:rPr>
                <w:rFonts w:ascii="Book Antiqua" w:hAnsi="Book Antiqua"/>
                <w:sz w:val="26"/>
                <w:szCs w:val="26"/>
              </w:rPr>
            </w:pPr>
            <w:r>
              <w:rPr>
                <w:rFonts w:ascii="Book Antiqua" w:hAnsi="Book Antiqua"/>
                <w:sz w:val="26"/>
                <w:szCs w:val="26"/>
              </w:rPr>
              <w:t xml:space="preserve">2024 PCIA Revenue Requirement </w:t>
            </w:r>
          </w:p>
          <w:p w:rsidR="00521D6A" w:rsidP="00496F67" w:rsidRDefault="00521D6A" w14:paraId="03B7A353" w14:textId="77777777">
            <w:pPr>
              <w:pStyle w:val="Standard"/>
              <w:spacing w:line="240" w:lineRule="auto"/>
              <w:ind w:firstLine="0"/>
            </w:pPr>
            <w:r>
              <w:rPr>
                <w:szCs w:val="26"/>
              </w:rPr>
              <w:t xml:space="preserve">with </w:t>
            </w:r>
            <w:proofErr w:type="spellStart"/>
            <w:r>
              <w:rPr>
                <w:szCs w:val="26"/>
              </w:rPr>
              <w:t>Uncollectibles</w:t>
            </w:r>
            <w:proofErr w:type="spellEnd"/>
            <w:r>
              <w:rPr>
                <w:szCs w:val="26"/>
              </w:rPr>
              <w:t xml:space="preserve"> Factor</w:t>
            </w:r>
          </w:p>
        </w:tc>
        <w:tc>
          <w:tcPr>
            <w:tcW w:w="2525" w:type="dxa"/>
          </w:tcPr>
          <w:p w:rsidRPr="003C1797" w:rsidR="00521D6A" w:rsidP="00496F67" w:rsidRDefault="00521D6A" w14:paraId="37016ABD" w14:textId="77777777">
            <w:pPr>
              <w:pStyle w:val="Standard"/>
              <w:spacing w:line="240" w:lineRule="auto"/>
              <w:ind w:firstLine="0"/>
              <w:jc w:val="right"/>
            </w:pPr>
            <w:r w:rsidRPr="003C1797">
              <w:rPr>
                <w:szCs w:val="26"/>
              </w:rPr>
              <w:t>-$218.219</w:t>
            </w:r>
          </w:p>
        </w:tc>
      </w:tr>
    </w:tbl>
    <w:p w:rsidR="003E5990" w:rsidP="003E5990" w:rsidRDefault="003E5990" w14:paraId="6D5218B5" w14:textId="6804C75F">
      <w:pPr>
        <w:pStyle w:val="FoF"/>
        <w:numPr>
          <w:ilvl w:val="0"/>
          <w:numId w:val="25"/>
        </w:numPr>
      </w:pPr>
      <w:r>
        <w:t xml:space="preserve">SCE’s </w:t>
      </w:r>
      <w:r w:rsidR="000D045F">
        <w:t xml:space="preserve">forecasted </w:t>
      </w:r>
      <w:r>
        <w:t>2024 PCIA rates by vintage are as follow:</w:t>
      </w:r>
    </w:p>
    <w:tbl>
      <w:tblPr>
        <w:tblStyle w:val="TableGrid"/>
        <w:tblW w:w="0" w:type="auto"/>
        <w:jc w:val="center"/>
        <w:tblLook w:val="04A0" w:firstRow="1" w:lastRow="0" w:firstColumn="1" w:lastColumn="0" w:noHBand="0" w:noVBand="1"/>
      </w:tblPr>
      <w:tblGrid>
        <w:gridCol w:w="2070"/>
        <w:gridCol w:w="2160"/>
      </w:tblGrid>
      <w:tr w:rsidR="00521D6A" w:rsidTr="00AB0C69" w14:paraId="0E7FE824" w14:textId="77777777">
        <w:trPr>
          <w:jc w:val="center"/>
        </w:trPr>
        <w:tc>
          <w:tcPr>
            <w:tcW w:w="2070" w:type="dxa"/>
          </w:tcPr>
          <w:p w:rsidRPr="00EB6896" w:rsidR="00521D6A" w:rsidP="00521D6A" w:rsidRDefault="00521D6A" w14:paraId="018AB904" w14:textId="164319A7">
            <w:pPr>
              <w:pStyle w:val="Standard"/>
            </w:pPr>
            <w:r w:rsidRPr="003C1797">
              <w:t>2001</w:t>
            </w:r>
          </w:p>
        </w:tc>
        <w:tc>
          <w:tcPr>
            <w:tcW w:w="2160" w:type="dxa"/>
          </w:tcPr>
          <w:p w:rsidRPr="00EB6896" w:rsidR="00521D6A" w:rsidP="00521D6A" w:rsidRDefault="00521D6A" w14:paraId="41E8793D" w14:textId="3DD9C0DA">
            <w:pPr>
              <w:pStyle w:val="Standard"/>
            </w:pPr>
            <w:r>
              <w:t>0.00000</w:t>
            </w:r>
          </w:p>
        </w:tc>
      </w:tr>
      <w:tr w:rsidR="00521D6A" w:rsidTr="00AB0C69" w14:paraId="6760D678" w14:textId="77777777">
        <w:trPr>
          <w:jc w:val="center"/>
        </w:trPr>
        <w:tc>
          <w:tcPr>
            <w:tcW w:w="2070" w:type="dxa"/>
          </w:tcPr>
          <w:p w:rsidRPr="00EB6896" w:rsidR="00521D6A" w:rsidP="00521D6A" w:rsidRDefault="00521D6A" w14:paraId="5BF956E3" w14:textId="50D92740">
            <w:pPr>
              <w:pStyle w:val="Standard"/>
            </w:pPr>
            <w:r w:rsidRPr="003C1797">
              <w:t>2004</w:t>
            </w:r>
          </w:p>
        </w:tc>
        <w:tc>
          <w:tcPr>
            <w:tcW w:w="2160" w:type="dxa"/>
          </w:tcPr>
          <w:p w:rsidRPr="00EB6896" w:rsidR="00521D6A" w:rsidP="00521D6A" w:rsidRDefault="00521D6A" w14:paraId="078729F2" w14:textId="2B22BD38">
            <w:pPr>
              <w:pStyle w:val="Standard"/>
            </w:pPr>
            <w:r>
              <w:t>0.00000</w:t>
            </w:r>
          </w:p>
        </w:tc>
      </w:tr>
      <w:tr w:rsidR="00521D6A" w:rsidTr="00AB0C69" w14:paraId="591EE989" w14:textId="77777777">
        <w:trPr>
          <w:jc w:val="center"/>
        </w:trPr>
        <w:tc>
          <w:tcPr>
            <w:tcW w:w="2070" w:type="dxa"/>
          </w:tcPr>
          <w:p w:rsidRPr="00EB6896" w:rsidR="00521D6A" w:rsidP="00521D6A" w:rsidRDefault="00521D6A" w14:paraId="0910A438" w14:textId="1F7E4B5F">
            <w:pPr>
              <w:pStyle w:val="Standard"/>
            </w:pPr>
            <w:r w:rsidRPr="003C1797">
              <w:t>2009</w:t>
            </w:r>
          </w:p>
        </w:tc>
        <w:tc>
          <w:tcPr>
            <w:tcW w:w="2160" w:type="dxa"/>
          </w:tcPr>
          <w:p w:rsidRPr="00EB6896" w:rsidR="00521D6A" w:rsidP="00521D6A" w:rsidRDefault="00521D6A" w14:paraId="5E78BE07" w14:textId="18FB3A85">
            <w:pPr>
              <w:pStyle w:val="Standard"/>
            </w:pPr>
            <w:r>
              <w:t>0.00050</w:t>
            </w:r>
          </w:p>
        </w:tc>
      </w:tr>
      <w:tr w:rsidR="00521D6A" w:rsidTr="00AB0C69" w14:paraId="2BE681D0" w14:textId="77777777">
        <w:trPr>
          <w:jc w:val="center"/>
        </w:trPr>
        <w:tc>
          <w:tcPr>
            <w:tcW w:w="2070" w:type="dxa"/>
          </w:tcPr>
          <w:p w:rsidRPr="00EB6896" w:rsidR="00521D6A" w:rsidP="00521D6A" w:rsidRDefault="00521D6A" w14:paraId="11F20231" w14:textId="2F007640">
            <w:pPr>
              <w:pStyle w:val="Standard"/>
            </w:pPr>
            <w:r>
              <w:t>2010</w:t>
            </w:r>
          </w:p>
        </w:tc>
        <w:tc>
          <w:tcPr>
            <w:tcW w:w="2160" w:type="dxa"/>
          </w:tcPr>
          <w:p w:rsidRPr="00EB6896" w:rsidR="00521D6A" w:rsidP="00521D6A" w:rsidRDefault="00521D6A" w14:paraId="0C4AC7FA" w14:textId="45B0850D">
            <w:pPr>
              <w:pStyle w:val="Standard"/>
            </w:pPr>
            <w:r>
              <w:t>0.00141</w:t>
            </w:r>
          </w:p>
        </w:tc>
      </w:tr>
      <w:tr w:rsidR="00521D6A" w:rsidTr="00AB0C69" w14:paraId="21BD37F3" w14:textId="77777777">
        <w:trPr>
          <w:jc w:val="center"/>
        </w:trPr>
        <w:tc>
          <w:tcPr>
            <w:tcW w:w="2070" w:type="dxa"/>
          </w:tcPr>
          <w:p w:rsidRPr="00EB6896" w:rsidR="00521D6A" w:rsidP="00521D6A" w:rsidRDefault="00521D6A" w14:paraId="450EC0AF" w14:textId="66015594">
            <w:pPr>
              <w:pStyle w:val="Standard"/>
            </w:pPr>
            <w:r>
              <w:t>2011</w:t>
            </w:r>
          </w:p>
        </w:tc>
        <w:tc>
          <w:tcPr>
            <w:tcW w:w="2160" w:type="dxa"/>
          </w:tcPr>
          <w:p w:rsidRPr="00EB6896" w:rsidR="00521D6A" w:rsidP="00521D6A" w:rsidRDefault="00521D6A" w14:paraId="6202D549" w14:textId="3FC37971">
            <w:pPr>
              <w:pStyle w:val="Standard"/>
            </w:pPr>
            <w:r>
              <w:t>0.00295</w:t>
            </w:r>
          </w:p>
        </w:tc>
      </w:tr>
      <w:tr w:rsidR="00521D6A" w:rsidTr="00AB0C69" w14:paraId="7FA79688" w14:textId="77777777">
        <w:trPr>
          <w:jc w:val="center"/>
        </w:trPr>
        <w:tc>
          <w:tcPr>
            <w:tcW w:w="2070" w:type="dxa"/>
          </w:tcPr>
          <w:p w:rsidRPr="00EB6896" w:rsidR="00521D6A" w:rsidP="00521D6A" w:rsidRDefault="00521D6A" w14:paraId="7318245D" w14:textId="08ADA36F">
            <w:pPr>
              <w:pStyle w:val="Standard"/>
            </w:pPr>
            <w:r>
              <w:t>2012</w:t>
            </w:r>
          </w:p>
        </w:tc>
        <w:tc>
          <w:tcPr>
            <w:tcW w:w="2160" w:type="dxa"/>
          </w:tcPr>
          <w:p w:rsidRPr="00EB6896" w:rsidR="00521D6A" w:rsidP="00521D6A" w:rsidRDefault="00521D6A" w14:paraId="003801BE" w14:textId="2694C85F">
            <w:pPr>
              <w:pStyle w:val="Standard"/>
            </w:pPr>
            <w:r>
              <w:t>0.003</w:t>
            </w:r>
            <w:r w:rsidR="00373F7B">
              <w:t>18</w:t>
            </w:r>
          </w:p>
        </w:tc>
      </w:tr>
      <w:tr w:rsidR="00521D6A" w:rsidTr="00AB0C69" w14:paraId="4C65558D" w14:textId="77777777">
        <w:trPr>
          <w:jc w:val="center"/>
        </w:trPr>
        <w:tc>
          <w:tcPr>
            <w:tcW w:w="2070" w:type="dxa"/>
          </w:tcPr>
          <w:p w:rsidRPr="00EB6896" w:rsidR="00521D6A" w:rsidP="00521D6A" w:rsidRDefault="00521D6A" w14:paraId="5B46EEAB" w14:textId="5217B5ED">
            <w:pPr>
              <w:pStyle w:val="Standard"/>
            </w:pPr>
            <w:r>
              <w:t>2013</w:t>
            </w:r>
          </w:p>
        </w:tc>
        <w:tc>
          <w:tcPr>
            <w:tcW w:w="2160" w:type="dxa"/>
          </w:tcPr>
          <w:p w:rsidRPr="00EB6896" w:rsidR="00521D6A" w:rsidP="00521D6A" w:rsidRDefault="00521D6A" w14:paraId="4B3F09BC" w14:textId="7E6E5C41">
            <w:pPr>
              <w:pStyle w:val="Standard"/>
            </w:pPr>
            <w:r>
              <w:t>0.00264</w:t>
            </w:r>
          </w:p>
        </w:tc>
      </w:tr>
      <w:tr w:rsidR="00521D6A" w:rsidTr="00AB0C69" w14:paraId="53239778" w14:textId="77777777">
        <w:trPr>
          <w:jc w:val="center"/>
        </w:trPr>
        <w:tc>
          <w:tcPr>
            <w:tcW w:w="2070" w:type="dxa"/>
          </w:tcPr>
          <w:p w:rsidR="00521D6A" w:rsidP="00521D6A" w:rsidRDefault="00521D6A" w14:paraId="668FDD69" w14:textId="34207355">
            <w:pPr>
              <w:pStyle w:val="Standard"/>
            </w:pPr>
            <w:r>
              <w:t>2014</w:t>
            </w:r>
          </w:p>
        </w:tc>
        <w:tc>
          <w:tcPr>
            <w:tcW w:w="2160" w:type="dxa"/>
          </w:tcPr>
          <w:p w:rsidRPr="00EB6896" w:rsidR="00521D6A" w:rsidP="00521D6A" w:rsidRDefault="00521D6A" w14:paraId="382DE128" w14:textId="1388C68A">
            <w:pPr>
              <w:pStyle w:val="Standard"/>
            </w:pPr>
            <w:r>
              <w:t>(0.00354)</w:t>
            </w:r>
          </w:p>
        </w:tc>
      </w:tr>
      <w:tr w:rsidR="00521D6A" w:rsidTr="00AB0C69" w14:paraId="30372422" w14:textId="77777777">
        <w:trPr>
          <w:jc w:val="center"/>
        </w:trPr>
        <w:tc>
          <w:tcPr>
            <w:tcW w:w="2070" w:type="dxa"/>
          </w:tcPr>
          <w:p w:rsidR="00521D6A" w:rsidP="00521D6A" w:rsidRDefault="00521D6A" w14:paraId="1776AB91" w14:textId="7680B6BA">
            <w:pPr>
              <w:pStyle w:val="Standard"/>
            </w:pPr>
            <w:r>
              <w:lastRenderedPageBreak/>
              <w:t>2015</w:t>
            </w:r>
          </w:p>
        </w:tc>
        <w:tc>
          <w:tcPr>
            <w:tcW w:w="2160" w:type="dxa"/>
          </w:tcPr>
          <w:p w:rsidRPr="00EB6896" w:rsidR="00521D6A" w:rsidP="00521D6A" w:rsidRDefault="00521D6A" w14:paraId="3EA08C67" w14:textId="25B47405">
            <w:pPr>
              <w:pStyle w:val="Standard"/>
            </w:pPr>
            <w:r>
              <w:t>(0.00663)</w:t>
            </w:r>
          </w:p>
        </w:tc>
      </w:tr>
      <w:tr w:rsidR="00521D6A" w:rsidTr="00AB0C69" w14:paraId="7849D2D8" w14:textId="77777777">
        <w:trPr>
          <w:jc w:val="center"/>
        </w:trPr>
        <w:tc>
          <w:tcPr>
            <w:tcW w:w="2070" w:type="dxa"/>
          </w:tcPr>
          <w:p w:rsidR="00521D6A" w:rsidP="00521D6A" w:rsidRDefault="00521D6A" w14:paraId="4E720896" w14:textId="4F8DBC57">
            <w:pPr>
              <w:pStyle w:val="Standard"/>
            </w:pPr>
            <w:r>
              <w:t>2016</w:t>
            </w:r>
          </w:p>
        </w:tc>
        <w:tc>
          <w:tcPr>
            <w:tcW w:w="2160" w:type="dxa"/>
          </w:tcPr>
          <w:p w:rsidRPr="00EB6896" w:rsidR="00521D6A" w:rsidP="00521D6A" w:rsidRDefault="00521D6A" w14:paraId="07C05357" w14:textId="74458A9D">
            <w:pPr>
              <w:pStyle w:val="Standard"/>
            </w:pPr>
            <w:r>
              <w:t>(0.00901)</w:t>
            </w:r>
          </w:p>
        </w:tc>
      </w:tr>
      <w:tr w:rsidR="00521D6A" w:rsidTr="00AB0C69" w14:paraId="6C8E095F" w14:textId="77777777">
        <w:trPr>
          <w:jc w:val="center"/>
        </w:trPr>
        <w:tc>
          <w:tcPr>
            <w:tcW w:w="2070" w:type="dxa"/>
          </w:tcPr>
          <w:p w:rsidR="00521D6A" w:rsidP="00521D6A" w:rsidRDefault="00521D6A" w14:paraId="432AA90C" w14:textId="76E9A8A1">
            <w:pPr>
              <w:pStyle w:val="Standard"/>
            </w:pPr>
            <w:r>
              <w:t>2017</w:t>
            </w:r>
          </w:p>
        </w:tc>
        <w:tc>
          <w:tcPr>
            <w:tcW w:w="2160" w:type="dxa"/>
          </w:tcPr>
          <w:p w:rsidRPr="00EB6896" w:rsidR="00521D6A" w:rsidP="00521D6A" w:rsidRDefault="00521D6A" w14:paraId="56A3FF82" w14:textId="5BAD8EE4">
            <w:pPr>
              <w:pStyle w:val="Standard"/>
            </w:pPr>
            <w:r>
              <w:t>(0.00855)</w:t>
            </w:r>
          </w:p>
        </w:tc>
      </w:tr>
      <w:tr w:rsidR="00521D6A" w:rsidTr="00AB0C69" w14:paraId="1AA29AA5" w14:textId="77777777">
        <w:trPr>
          <w:jc w:val="center"/>
        </w:trPr>
        <w:tc>
          <w:tcPr>
            <w:tcW w:w="2070" w:type="dxa"/>
          </w:tcPr>
          <w:p w:rsidR="00521D6A" w:rsidP="00521D6A" w:rsidRDefault="00521D6A" w14:paraId="200A77FA" w14:textId="0970EFCF">
            <w:pPr>
              <w:pStyle w:val="Standard"/>
            </w:pPr>
            <w:r>
              <w:t>2018</w:t>
            </w:r>
          </w:p>
        </w:tc>
        <w:tc>
          <w:tcPr>
            <w:tcW w:w="2160" w:type="dxa"/>
          </w:tcPr>
          <w:p w:rsidRPr="00EB6896" w:rsidR="00521D6A" w:rsidP="00521D6A" w:rsidRDefault="00521D6A" w14:paraId="4CA96C0A" w14:textId="1472C9B5">
            <w:pPr>
              <w:pStyle w:val="Standard"/>
            </w:pPr>
            <w:r>
              <w:t>(0.00996)</w:t>
            </w:r>
          </w:p>
        </w:tc>
      </w:tr>
      <w:tr w:rsidR="00521D6A" w:rsidTr="00AB0C69" w14:paraId="226D4D1B" w14:textId="77777777">
        <w:trPr>
          <w:jc w:val="center"/>
        </w:trPr>
        <w:tc>
          <w:tcPr>
            <w:tcW w:w="2070" w:type="dxa"/>
          </w:tcPr>
          <w:p w:rsidR="00521D6A" w:rsidP="00521D6A" w:rsidRDefault="00521D6A" w14:paraId="6B136BB4" w14:textId="24502D86">
            <w:pPr>
              <w:pStyle w:val="Standard"/>
            </w:pPr>
            <w:r>
              <w:t>2019</w:t>
            </w:r>
          </w:p>
        </w:tc>
        <w:tc>
          <w:tcPr>
            <w:tcW w:w="2160" w:type="dxa"/>
          </w:tcPr>
          <w:p w:rsidRPr="00EB6896" w:rsidR="00521D6A" w:rsidP="00521D6A" w:rsidRDefault="00521D6A" w14:paraId="6317C855" w14:textId="56A0609B">
            <w:pPr>
              <w:pStyle w:val="Standard"/>
            </w:pPr>
            <w:r>
              <w:t>(0.01240)</w:t>
            </w:r>
          </w:p>
        </w:tc>
      </w:tr>
      <w:tr w:rsidR="00521D6A" w:rsidTr="00AB0C69" w14:paraId="26335C20" w14:textId="77777777">
        <w:trPr>
          <w:jc w:val="center"/>
        </w:trPr>
        <w:tc>
          <w:tcPr>
            <w:tcW w:w="2070" w:type="dxa"/>
          </w:tcPr>
          <w:p w:rsidR="00521D6A" w:rsidP="00521D6A" w:rsidRDefault="00521D6A" w14:paraId="5633D1AF" w14:textId="5FCB46A0">
            <w:pPr>
              <w:pStyle w:val="Standard"/>
            </w:pPr>
            <w:r>
              <w:t>2020</w:t>
            </w:r>
          </w:p>
        </w:tc>
        <w:tc>
          <w:tcPr>
            <w:tcW w:w="2160" w:type="dxa"/>
          </w:tcPr>
          <w:p w:rsidRPr="00EB6896" w:rsidR="00521D6A" w:rsidP="00521D6A" w:rsidRDefault="00521D6A" w14:paraId="1D000E5A" w14:textId="4D82467F">
            <w:pPr>
              <w:pStyle w:val="Standard"/>
            </w:pPr>
            <w:r>
              <w:t>(0.01949)</w:t>
            </w:r>
          </w:p>
        </w:tc>
      </w:tr>
      <w:tr w:rsidR="00521D6A" w:rsidTr="00AB0C69" w14:paraId="509BC5DF" w14:textId="77777777">
        <w:trPr>
          <w:jc w:val="center"/>
        </w:trPr>
        <w:tc>
          <w:tcPr>
            <w:tcW w:w="2070" w:type="dxa"/>
          </w:tcPr>
          <w:p w:rsidR="00521D6A" w:rsidP="00521D6A" w:rsidRDefault="00521D6A" w14:paraId="1B6211C4" w14:textId="72CDEAE1">
            <w:pPr>
              <w:pStyle w:val="Standard"/>
            </w:pPr>
            <w:r>
              <w:t>2021</w:t>
            </w:r>
          </w:p>
        </w:tc>
        <w:tc>
          <w:tcPr>
            <w:tcW w:w="2160" w:type="dxa"/>
          </w:tcPr>
          <w:p w:rsidRPr="00EB6896" w:rsidR="00521D6A" w:rsidP="00521D6A" w:rsidRDefault="00521D6A" w14:paraId="1C505363" w14:textId="735C515D">
            <w:pPr>
              <w:pStyle w:val="Standard"/>
            </w:pPr>
            <w:r>
              <w:t>(0.01533)</w:t>
            </w:r>
          </w:p>
        </w:tc>
      </w:tr>
      <w:tr w:rsidR="00521D6A" w:rsidTr="00AB0C69" w14:paraId="73748FCC" w14:textId="77777777">
        <w:trPr>
          <w:jc w:val="center"/>
        </w:trPr>
        <w:tc>
          <w:tcPr>
            <w:tcW w:w="2070" w:type="dxa"/>
          </w:tcPr>
          <w:p w:rsidR="00521D6A" w:rsidP="00521D6A" w:rsidRDefault="00521D6A" w14:paraId="0302CBBD" w14:textId="1A402FCE">
            <w:pPr>
              <w:pStyle w:val="Standard"/>
            </w:pPr>
            <w:r>
              <w:t>2022</w:t>
            </w:r>
          </w:p>
        </w:tc>
        <w:tc>
          <w:tcPr>
            <w:tcW w:w="2160" w:type="dxa"/>
          </w:tcPr>
          <w:p w:rsidRPr="00EB6896" w:rsidR="00521D6A" w:rsidP="00521D6A" w:rsidRDefault="00521D6A" w14:paraId="1D4ECF54" w14:textId="668E607D">
            <w:pPr>
              <w:pStyle w:val="Standard"/>
            </w:pPr>
            <w:r>
              <w:t>0.00270</w:t>
            </w:r>
          </w:p>
        </w:tc>
      </w:tr>
      <w:tr w:rsidR="00521D6A" w:rsidTr="00AB0C69" w14:paraId="00B7BBE5" w14:textId="77777777">
        <w:trPr>
          <w:jc w:val="center"/>
        </w:trPr>
        <w:tc>
          <w:tcPr>
            <w:tcW w:w="2070" w:type="dxa"/>
          </w:tcPr>
          <w:p w:rsidR="00521D6A" w:rsidP="00521D6A" w:rsidRDefault="00521D6A" w14:paraId="59BD847C" w14:textId="6C3F3CEA">
            <w:pPr>
              <w:pStyle w:val="Standard"/>
            </w:pPr>
            <w:r>
              <w:t>2023</w:t>
            </w:r>
          </w:p>
        </w:tc>
        <w:tc>
          <w:tcPr>
            <w:tcW w:w="2160" w:type="dxa"/>
          </w:tcPr>
          <w:p w:rsidRPr="00EB6896" w:rsidR="00521D6A" w:rsidP="00521D6A" w:rsidRDefault="00521D6A" w14:paraId="56908128" w14:textId="4E7D7EFE">
            <w:pPr>
              <w:pStyle w:val="Standard"/>
            </w:pPr>
            <w:r>
              <w:t>(0.00065)</w:t>
            </w:r>
          </w:p>
        </w:tc>
      </w:tr>
      <w:tr w:rsidR="00521D6A" w:rsidTr="00AB0C69" w14:paraId="6FB24B98" w14:textId="77777777">
        <w:trPr>
          <w:jc w:val="center"/>
        </w:trPr>
        <w:tc>
          <w:tcPr>
            <w:tcW w:w="2070" w:type="dxa"/>
          </w:tcPr>
          <w:p w:rsidR="00521D6A" w:rsidP="00521D6A" w:rsidRDefault="00521D6A" w14:paraId="23AFE3EF" w14:textId="53DCFA14">
            <w:pPr>
              <w:pStyle w:val="Standard"/>
            </w:pPr>
            <w:r>
              <w:t>2024</w:t>
            </w:r>
          </w:p>
        </w:tc>
        <w:tc>
          <w:tcPr>
            <w:tcW w:w="2160" w:type="dxa"/>
          </w:tcPr>
          <w:p w:rsidRPr="00EB6896" w:rsidR="00521D6A" w:rsidP="00521D6A" w:rsidRDefault="00521D6A" w14:paraId="2DC813F4" w14:textId="4B298EC2">
            <w:pPr>
              <w:pStyle w:val="Standard"/>
            </w:pPr>
            <w:r>
              <w:t>(0.00065)</w:t>
            </w:r>
          </w:p>
        </w:tc>
      </w:tr>
    </w:tbl>
    <w:p w:rsidRPr="0003431D" w:rsidR="000D045F" w:rsidP="000D045F" w:rsidRDefault="000D045F" w14:paraId="611EA202" w14:textId="77777777">
      <w:pPr>
        <w:pStyle w:val="FoF"/>
        <w:numPr>
          <w:ilvl w:val="0"/>
          <w:numId w:val="25"/>
        </w:numPr>
      </w:pPr>
      <w:r w:rsidRPr="0003431D">
        <w:t xml:space="preserve">SCE filed a PFM regarding D.23-06-006, as it relates to </w:t>
      </w:r>
      <w:r>
        <w:t xml:space="preserve">the valuation of </w:t>
      </w:r>
      <w:r w:rsidRPr="0003431D">
        <w:t xml:space="preserve">RECs that were banked prior to </w:t>
      </w:r>
      <w:r>
        <w:t xml:space="preserve">the </w:t>
      </w:r>
      <w:r w:rsidRPr="0003431D">
        <w:t>201</w:t>
      </w:r>
      <w:r>
        <w:t xml:space="preserve">8 vintage, and how the value of pre-2019 banked RECs should apply </w:t>
      </w:r>
      <w:r w:rsidRPr="0003431D">
        <w:t xml:space="preserve">across </w:t>
      </w:r>
      <w:r>
        <w:t xml:space="preserve">SCE’s </w:t>
      </w:r>
      <w:r w:rsidRPr="0003431D">
        <w:t>bundled and departing load customers.</w:t>
      </w:r>
    </w:p>
    <w:p w:rsidR="00383FF4" w:rsidP="001D45EF" w:rsidRDefault="000D045F" w14:paraId="76BBA05E" w14:textId="733E34B6">
      <w:pPr>
        <w:pStyle w:val="FoF"/>
        <w:numPr>
          <w:ilvl w:val="0"/>
          <w:numId w:val="25"/>
        </w:numPr>
      </w:pPr>
      <w:r w:rsidRPr="0003431D">
        <w:t>SCE</w:t>
      </w:r>
      <w:r w:rsidR="002F290B">
        <w:t xml:space="preserve"> </w:t>
      </w:r>
      <w:r w:rsidRPr="0003431D">
        <w:t xml:space="preserve">should retire RECs banked </w:t>
      </w:r>
      <w:r w:rsidR="00383FF4">
        <w:t>in or after</w:t>
      </w:r>
      <w:r w:rsidRPr="0003431D">
        <w:t xml:space="preserve"> 2019 to meet its forecasted </w:t>
      </w:r>
      <w:r w:rsidR="005F4A71">
        <w:t>bundled customer</w:t>
      </w:r>
      <w:r w:rsidRPr="0003431D" w:rsidR="005F4A71">
        <w:t xml:space="preserve"> </w:t>
      </w:r>
      <w:r w:rsidR="00A53385">
        <w:t xml:space="preserve">2024 </w:t>
      </w:r>
      <w:r w:rsidRPr="0003431D">
        <w:t xml:space="preserve">RPS compliance requirements </w:t>
      </w:r>
      <w:r w:rsidRPr="0003431D" w:rsidR="003873DD">
        <w:t>to</w:t>
      </w:r>
      <w:r w:rsidRPr="0003431D">
        <w:t xml:space="preserve"> align with D.19-10-001 and the interim process adopted in D.22-12-012.</w:t>
      </w:r>
    </w:p>
    <w:p w:rsidRPr="0003431D" w:rsidR="003873DD" w:rsidP="001D45EF" w:rsidRDefault="003873DD" w14:paraId="601537AE" w14:textId="694B2159">
      <w:pPr>
        <w:pStyle w:val="FoF"/>
        <w:numPr>
          <w:ilvl w:val="0"/>
          <w:numId w:val="25"/>
        </w:numPr>
      </w:pPr>
      <w:r>
        <w:t xml:space="preserve">SCE should forecast the value of its UOS resources based on its updated methodology described in its October Update and Section 6.4.1 above, which reflects </w:t>
      </w:r>
      <w:r w:rsidR="00B77D2B">
        <w:t xml:space="preserve">the cost of </w:t>
      </w:r>
      <w:r>
        <w:t xml:space="preserve">charging of UOS at </w:t>
      </w:r>
      <w:r w:rsidR="00B77D2B">
        <w:t xml:space="preserve">SCE’s forecasted </w:t>
      </w:r>
      <w:r>
        <w:t xml:space="preserve">off-peak pricing and </w:t>
      </w:r>
      <w:r w:rsidR="00B77D2B">
        <w:t xml:space="preserve">the value of </w:t>
      </w:r>
      <w:r>
        <w:t>discharging at</w:t>
      </w:r>
      <w:r w:rsidR="00B77D2B">
        <w:t xml:space="preserve"> </w:t>
      </w:r>
      <w:r>
        <w:t>the Energy MPB</w:t>
      </w:r>
      <w:r w:rsidR="00B77D2B">
        <w:t xml:space="preserve"> at the time of discharge</w:t>
      </w:r>
      <w:r>
        <w:t xml:space="preserve">. </w:t>
      </w:r>
    </w:p>
    <w:p w:rsidRPr="00454D1A" w:rsidR="003E5990" w:rsidP="003E5990" w:rsidRDefault="003E5990" w14:paraId="102BDD12" w14:textId="77777777">
      <w:pPr>
        <w:pStyle w:val="FoFsubheader"/>
      </w:pPr>
      <w:r w:rsidRPr="00454D1A">
        <w:t>Other</w:t>
      </w:r>
    </w:p>
    <w:p w:rsidR="008F3627" w:rsidP="003E5990" w:rsidRDefault="008F3627" w14:paraId="4BDB64F4" w14:textId="23024297">
      <w:pPr>
        <w:pStyle w:val="FoF"/>
        <w:numPr>
          <w:ilvl w:val="0"/>
          <w:numId w:val="27"/>
        </w:numPr>
      </w:pPr>
      <w:r>
        <w:t>SCE requested a Commission Decision on its 2024 ERRA Forecast by no later than November 30, 2023.</w:t>
      </w:r>
    </w:p>
    <w:p w:rsidR="003E5990" w:rsidP="003E5990" w:rsidRDefault="003E5990" w14:paraId="7DCCC304" w14:textId="5D59749C">
      <w:pPr>
        <w:pStyle w:val="FoF"/>
        <w:numPr>
          <w:ilvl w:val="0"/>
          <w:numId w:val="27"/>
        </w:numPr>
      </w:pPr>
      <w:r w:rsidRPr="00454D1A">
        <w:t>Challenges to facts supporting SCE’s proposed 202</w:t>
      </w:r>
      <w:r>
        <w:t>4</w:t>
      </w:r>
      <w:r w:rsidRPr="00454D1A">
        <w:t xml:space="preserve"> forecast of </w:t>
      </w:r>
      <w:r>
        <w:t xml:space="preserve">F&amp;PP </w:t>
      </w:r>
      <w:r w:rsidRPr="00454D1A">
        <w:t xml:space="preserve">prices; natural gas prices; electricity prices; GHG costs and proceeds; demand response costs; </w:t>
      </w:r>
      <w:r w:rsidR="000D045F">
        <w:t xml:space="preserve">and </w:t>
      </w:r>
      <w:r w:rsidRPr="00454D1A">
        <w:t>bundled customer electric sales and year</w:t>
      </w:r>
      <w:r>
        <w:noBreakHyphen/>
      </w:r>
      <w:r w:rsidRPr="00454D1A">
        <w:t xml:space="preserve">end balancing </w:t>
      </w:r>
      <w:r w:rsidRPr="00454D1A">
        <w:lastRenderedPageBreak/>
        <w:t xml:space="preserve">accounts </w:t>
      </w:r>
      <w:r>
        <w:t>were</w:t>
      </w:r>
      <w:r w:rsidRPr="00454D1A">
        <w:t xml:space="preserve"> waived by parties in this proceeding by virtue of stipulation to waive evidentiary hearing.</w:t>
      </w:r>
    </w:p>
    <w:p w:rsidRPr="00454D1A" w:rsidR="003E5990" w:rsidP="003E5990" w:rsidRDefault="003E5990" w14:paraId="33627B99" w14:textId="731CF693">
      <w:pPr>
        <w:pStyle w:val="FoF"/>
        <w:numPr>
          <w:ilvl w:val="0"/>
          <w:numId w:val="27"/>
        </w:numPr>
      </w:pPr>
      <w:r>
        <w:t xml:space="preserve">Given the expedited procedural schedule adopted for this Application, the issues raised in the August 1, 2023, ALJ Ruling related to fixed generation costs cannot be timely addressed in this </w:t>
      </w:r>
      <w:r w:rsidR="000D045F">
        <w:t>Decision</w:t>
      </w:r>
      <w:r>
        <w:t>.</w:t>
      </w:r>
    </w:p>
    <w:p w:rsidR="003E5990" w:rsidP="003E5990" w:rsidRDefault="003E5990" w14:paraId="642C5BE5" w14:textId="77777777">
      <w:pPr>
        <w:pStyle w:val="Dummy"/>
      </w:pPr>
      <w:bookmarkStart w:name="_Toc152331452" w:id="99"/>
      <w:r>
        <w:t>Conclusions of Law</w:t>
      </w:r>
      <w:bookmarkEnd w:id="99"/>
    </w:p>
    <w:p w:rsidRPr="00454D1A" w:rsidR="003E5990" w:rsidP="003E5990" w:rsidRDefault="003E5990" w14:paraId="14CE4CB1" w14:textId="60AC1AF4">
      <w:pPr>
        <w:pStyle w:val="CoL"/>
      </w:pPr>
      <w:r w:rsidRPr="00454D1A">
        <w:t>SCE’s</w:t>
      </w:r>
      <w:r>
        <w:t xml:space="preserve"> 2024</w:t>
      </w:r>
      <w:r w:rsidRPr="00454D1A">
        <w:t xml:space="preserve"> forecast</w:t>
      </w:r>
      <w:r>
        <w:t xml:space="preserve">, </w:t>
      </w:r>
      <w:r w:rsidRPr="00415892">
        <w:t xml:space="preserve">as modified in this </w:t>
      </w:r>
      <w:r w:rsidR="00A14797">
        <w:t>Decision</w:t>
      </w:r>
      <w:r>
        <w:t>,</w:t>
      </w:r>
      <w:r w:rsidRPr="00454D1A">
        <w:t xml:space="preserve"> of F&amp;PP prices; natural gas prices; electricity prices; GHG costs and proceeds; demand response costs; </w:t>
      </w:r>
      <w:r w:rsidR="000D045F">
        <w:t xml:space="preserve">and </w:t>
      </w:r>
      <w:r w:rsidRPr="00454D1A">
        <w:t>bundled customer electric sales and year</w:t>
      </w:r>
      <w:r>
        <w:noBreakHyphen/>
      </w:r>
      <w:r w:rsidRPr="00454D1A">
        <w:t>end balancing account balances are reasonable.</w:t>
      </w:r>
    </w:p>
    <w:p w:rsidRPr="00025E00" w:rsidR="003E5990" w:rsidP="003E5990" w:rsidRDefault="003E5990" w14:paraId="4960D660" w14:textId="229EB6B6">
      <w:pPr>
        <w:pStyle w:val="CoL"/>
      </w:pPr>
      <w:r w:rsidRPr="00454D1A">
        <w:t>SCE’s proposed</w:t>
      </w:r>
      <w:r>
        <w:t xml:space="preserve"> 2024</w:t>
      </w:r>
      <w:r w:rsidRPr="00454D1A">
        <w:t xml:space="preserve"> cost responsibility surcharges</w:t>
      </w:r>
      <w:r>
        <w:t xml:space="preserve"> </w:t>
      </w:r>
      <w:r w:rsidRPr="00025E00">
        <w:t>are reasonable</w:t>
      </w:r>
      <w:r w:rsidR="007F16DD">
        <w:t xml:space="preserve"> and should be approved</w:t>
      </w:r>
      <w:r w:rsidRPr="00025E00">
        <w:t>.</w:t>
      </w:r>
    </w:p>
    <w:p w:rsidR="000D045F" w:rsidP="003E5990" w:rsidRDefault="000D045F" w14:paraId="598913CB" w14:textId="77777777">
      <w:pPr>
        <w:pStyle w:val="CoL"/>
      </w:pPr>
      <w:r w:rsidRPr="00454D1A">
        <w:t xml:space="preserve">SCE </w:t>
      </w:r>
      <w:r>
        <w:t>should</w:t>
      </w:r>
      <w:r w:rsidRPr="00454D1A">
        <w:t xml:space="preserve"> implement the revenue requirement adopted in this proceeding, as updated to reflect </w:t>
      </w:r>
      <w:r>
        <w:t>October – November 2023 actuals and forecasts for December 2023</w:t>
      </w:r>
      <w:r w:rsidRPr="00454D1A">
        <w:t xml:space="preserve">, in its </w:t>
      </w:r>
      <w:r>
        <w:t>advice letter for rates to be effective starting</w:t>
      </w:r>
      <w:r w:rsidRPr="00454D1A">
        <w:t xml:space="preserve"> January</w:t>
      </w:r>
      <w:r>
        <w:t> </w:t>
      </w:r>
      <w:r w:rsidRPr="00454D1A">
        <w:t>1,</w:t>
      </w:r>
      <w:r>
        <w:t> </w:t>
      </w:r>
      <w:r w:rsidRPr="00454D1A">
        <w:t>202</w:t>
      </w:r>
      <w:r>
        <w:t>4.</w:t>
      </w:r>
    </w:p>
    <w:p w:rsidR="002C65D0" w:rsidP="003E5990" w:rsidRDefault="002C65D0" w14:paraId="388BC730" w14:textId="31705F30">
      <w:pPr>
        <w:pStyle w:val="CoL"/>
      </w:pPr>
      <w:r>
        <w:t>SCE should address the issues associated with its Geysers Contracts Error in detail in its 2023 ERRA Compliance Review filing due on April 1, 2024.</w:t>
      </w:r>
    </w:p>
    <w:p w:rsidR="000D045F" w:rsidP="000D045F" w:rsidRDefault="000D045F" w14:paraId="3CF8854A" w14:textId="554CDB6B">
      <w:pPr>
        <w:pStyle w:val="CoL"/>
      </w:pPr>
      <w:r>
        <w:t xml:space="preserve">SCE should retire RECs </w:t>
      </w:r>
      <w:r w:rsidR="007F16DD">
        <w:t>banked in</w:t>
      </w:r>
      <w:r w:rsidR="00A53385">
        <w:t xml:space="preserve"> or after</w:t>
      </w:r>
      <w:r>
        <w:t xml:space="preserve"> 2019 to meet its 2024 RPS requirement as an interim process while its PFM to D.23-06-006 is considered by the Commission.</w:t>
      </w:r>
    </w:p>
    <w:p w:rsidRPr="00454D1A" w:rsidR="000D045F" w:rsidP="000D045F" w:rsidRDefault="000D045F" w14:paraId="251E4D90" w14:textId="658C3115">
      <w:pPr>
        <w:pStyle w:val="CoL"/>
      </w:pPr>
      <w:r>
        <w:t>SCE should continue retiring pre-2019 banked RECs to comply with RPS in its 2025 ERRA Forecast Application until/unless its PFM to D.23-06-006 is resolved by the Commission.</w:t>
      </w:r>
    </w:p>
    <w:p w:rsidRPr="00454D1A" w:rsidR="003E5990" w:rsidP="003E5990" w:rsidRDefault="003E5990" w14:paraId="0D7C621D" w14:textId="5B484A5D">
      <w:pPr>
        <w:pStyle w:val="CoL"/>
      </w:pPr>
      <w:r w:rsidRPr="002D5264">
        <w:t>A</w:t>
      </w:r>
      <w:r>
        <w:t xml:space="preserve">dvice </w:t>
      </w:r>
      <w:r w:rsidRPr="002D5264">
        <w:t>L</w:t>
      </w:r>
      <w:r>
        <w:t>etter</w:t>
      </w:r>
      <w:r w:rsidRPr="002D5264">
        <w:t>s</w:t>
      </w:r>
      <w:r w:rsidRPr="00454D1A">
        <w:t xml:space="preserve"> to implement changed tariff sheets in accordance with this </w:t>
      </w:r>
      <w:r w:rsidR="00A14797">
        <w:t>Decision</w:t>
      </w:r>
      <w:r w:rsidRPr="00454D1A">
        <w:t xml:space="preserve"> should be filed as Tier</w:t>
      </w:r>
      <w:r>
        <w:t> </w:t>
      </w:r>
      <w:r w:rsidRPr="00454D1A">
        <w:t xml:space="preserve">1 </w:t>
      </w:r>
      <w:r w:rsidRPr="002D5264">
        <w:t>A</w:t>
      </w:r>
      <w:r>
        <w:t xml:space="preserve">dvice </w:t>
      </w:r>
      <w:r w:rsidRPr="002D5264">
        <w:t>L</w:t>
      </w:r>
      <w:r>
        <w:t>etter</w:t>
      </w:r>
      <w:r w:rsidRPr="002D5264">
        <w:t>s</w:t>
      </w:r>
      <w:r w:rsidRPr="00454D1A">
        <w:t>.</w:t>
      </w:r>
    </w:p>
    <w:p w:rsidR="003E5990" w:rsidP="003E5990" w:rsidRDefault="003E5990" w14:paraId="77CCA21D" w14:textId="77777777">
      <w:pPr>
        <w:pStyle w:val="CoL"/>
      </w:pPr>
      <w:r w:rsidRPr="00454D1A">
        <w:lastRenderedPageBreak/>
        <w:t xml:space="preserve">All rulings issued by the assigned Commissioner and the assigned ALJ </w:t>
      </w:r>
      <w:r>
        <w:t xml:space="preserve">regarding Track 1 issues described in Section 3 above </w:t>
      </w:r>
      <w:r w:rsidRPr="00454D1A">
        <w:t>should be confirmed.</w:t>
      </w:r>
      <w:r>
        <w:t xml:space="preserve"> </w:t>
      </w:r>
    </w:p>
    <w:p w:rsidR="003E5990" w:rsidP="003E5990" w:rsidRDefault="003E5990" w14:paraId="01029A12" w14:textId="23C90560">
      <w:pPr>
        <w:pStyle w:val="CoL"/>
      </w:pPr>
      <w:r>
        <w:t xml:space="preserve">The Commission orders adopted in D.23-04-012, authorizing SCE’s 2023 ERRA Trigger Application (A.23-01-020) are unchanged by this </w:t>
      </w:r>
      <w:r w:rsidR="00A14797">
        <w:t>Decision</w:t>
      </w:r>
      <w:r>
        <w:t>.</w:t>
      </w:r>
    </w:p>
    <w:p w:rsidRPr="00454D1A" w:rsidR="008F3627" w:rsidP="003E5990" w:rsidRDefault="008F3627" w14:paraId="05F2C6EA" w14:textId="315230DD">
      <w:pPr>
        <w:pStyle w:val="CoL"/>
      </w:pPr>
      <w:r>
        <w:t>SCE’s 2025 ERRA Forecast Application should provide a more detailed explanation of its billing system timing</w:t>
      </w:r>
      <w:r w:rsidR="003D23BA">
        <w:t xml:space="preserve"> as it relates to implementing Commission-</w:t>
      </w:r>
      <w:r>
        <w:t xml:space="preserve">adopted ERRA Forecast Decisions. </w:t>
      </w:r>
    </w:p>
    <w:p w:rsidR="003E5990" w:rsidP="003E5990" w:rsidRDefault="003E5990" w14:paraId="5BDD46DB" w14:textId="77777777">
      <w:pPr>
        <w:pStyle w:val="CoL"/>
      </w:pPr>
      <w:r w:rsidRPr="00454D1A">
        <w:t>All motions not specifically addressed herein or previously addressed by the assigned Commissioner or ALJ, should be denied.</w:t>
      </w:r>
    </w:p>
    <w:p w:rsidR="003E5990" w:rsidP="003E5990" w:rsidRDefault="003E5990" w14:paraId="52F42C3D" w14:textId="5BABF41B">
      <w:pPr>
        <w:pStyle w:val="CoL"/>
      </w:pPr>
      <w:r>
        <w:t xml:space="preserve">Application 23-06-001 </w:t>
      </w:r>
      <w:r w:rsidR="007F16DD">
        <w:t>should</w:t>
      </w:r>
      <w:r>
        <w:t xml:space="preserve"> remain open to address fixed generation cost issues.</w:t>
      </w:r>
    </w:p>
    <w:p w:rsidR="003E5990" w:rsidP="00BC6A1A" w:rsidRDefault="003E5990" w14:paraId="7C52083B" w14:textId="77777777">
      <w:pPr>
        <w:pStyle w:val="Mainex"/>
      </w:pPr>
      <w:bookmarkStart w:name="_Toc152331453" w:id="100"/>
      <w:r w:rsidRPr="00BC6A1A">
        <w:t>ORDER</w:t>
      </w:r>
      <w:bookmarkEnd w:id="100"/>
    </w:p>
    <w:p w:rsidR="003E5990" w:rsidP="003E5990" w:rsidRDefault="003E5990" w14:paraId="7212CB19" w14:textId="77777777">
      <w:pPr>
        <w:keepNext/>
      </w:pPr>
      <w:r w:rsidRPr="00BB0243">
        <w:rPr>
          <w:b/>
        </w:rPr>
        <w:t>IT IS ORDERED</w:t>
      </w:r>
      <w:r>
        <w:t xml:space="preserve"> that:</w:t>
      </w:r>
    </w:p>
    <w:p w:rsidRPr="00BC6A1A" w:rsidR="003E5990" w:rsidP="00FE5EB8" w:rsidRDefault="00BC6A1A" w14:paraId="56066E19" w14:textId="4CCCC24A">
      <w:pPr>
        <w:pStyle w:val="OP"/>
        <w:ind w:firstLine="360"/>
      </w:pPr>
      <w:r>
        <w:t>1.</w:t>
      </w:r>
      <w:r>
        <w:tab/>
      </w:r>
      <w:r w:rsidRPr="00BC6A1A" w:rsidR="003E5990">
        <w:t>Southern California Edison Company is authorized to recover a total 2024 Energy Resource Recovery Account electric procurement cost revenue requirement forecast of $5.23</w:t>
      </w:r>
      <w:r w:rsidRPr="00BC6A1A" w:rsidR="00853B3C">
        <w:t>4</w:t>
      </w:r>
      <w:r w:rsidRPr="00BC6A1A" w:rsidR="003E5990">
        <w:t xml:space="preserve"> billion, consisting of both a generation service component and a delivery service component.</w:t>
      </w:r>
    </w:p>
    <w:p w:rsidRPr="00BC6A1A" w:rsidR="003E5990" w:rsidP="00FE5EB8" w:rsidRDefault="00BC6A1A" w14:paraId="4FBAA433" w14:textId="1A973984">
      <w:pPr>
        <w:pStyle w:val="OP"/>
        <w:ind w:firstLine="360"/>
      </w:pPr>
      <w:r>
        <w:t>2.</w:t>
      </w:r>
      <w:r>
        <w:tab/>
      </w:r>
      <w:r w:rsidRPr="00BC6A1A" w:rsidR="003E5990">
        <w:t>Within Southern California Edison Company’s (SCE) 2024 generation service revenue requirement of $5.51</w:t>
      </w:r>
      <w:r w:rsidRPr="00BC6A1A" w:rsidR="00853B3C">
        <w:t>3</w:t>
      </w:r>
      <w:r w:rsidRPr="00BC6A1A" w:rsidR="003E5990">
        <w:t xml:space="preserve"> billion, SCE is authorized to recover a total of $4.459 billion in fuel and purchased power costs and transfer the following account balances:  (1) $207.835 million from the Energy Resource Recovery Account (ERRA) Balancing Account (BA); (2) </w:t>
      </w:r>
      <w:r w:rsidRPr="00BC6A1A" w:rsidR="00C46284">
        <w:t>$</w:t>
      </w:r>
      <w:r w:rsidRPr="00BC6A1A" w:rsidR="003E5990">
        <w:t>601.728 million from the Portfolio Allocation BA; and (3) </w:t>
      </w:r>
      <w:r w:rsidRPr="00BC6A1A" w:rsidR="003E5990">
        <w:noBreakHyphen/>
        <w:t>$380,000 from the Energy Settlement Memorandum Account.</w:t>
      </w:r>
    </w:p>
    <w:p w:rsidRPr="00BC6A1A" w:rsidR="003E5990" w:rsidP="00AB2B42" w:rsidRDefault="00BC6A1A" w14:paraId="463A20AD" w14:textId="320B6D4B">
      <w:pPr>
        <w:pStyle w:val="OP"/>
        <w:keepNext/>
        <w:keepLines/>
        <w:ind w:firstLine="360"/>
      </w:pPr>
      <w:r>
        <w:lastRenderedPageBreak/>
        <w:t>3.</w:t>
      </w:r>
      <w:r>
        <w:tab/>
      </w:r>
      <w:r w:rsidRPr="00BC6A1A" w:rsidR="003E5990">
        <w:t>Within Southern California Edison Company’s (SCE) 2024 delivery service revenue requirement of negative $279.280 million, SCE is authorized to recover the following:  (1) $402.996 million for the New System Generation and System Reliability fuel and purchase power contracts; (2) $4.958 million in spent nuclear fuel costs; (3) </w:t>
      </w:r>
      <w:r w:rsidRPr="00BC6A1A" w:rsidR="003E5990">
        <w:noBreakHyphen/>
        <w:t>$3.582 million for forecast Base Revenue Requirement Balancing Account — Distribution fuel and purchased power costs; (4) </w:t>
      </w:r>
      <w:r w:rsidRPr="00BC6A1A" w:rsidR="003E5990">
        <w:noBreakHyphen/>
        <w:t>$955.105 million customer return of greenhouse gas allowance proceeds; and (5) $9.157 million for the Public Purpose Program Charge, which includes the Tree</w:t>
      </w:r>
      <w:r w:rsidRPr="00BC6A1A" w:rsidR="003E5990">
        <w:noBreakHyphen/>
        <w:t>Mortality Non</w:t>
      </w:r>
      <w:r w:rsidRPr="00BC6A1A" w:rsidR="003E5990">
        <w:noBreakHyphen/>
      </w:r>
      <w:proofErr w:type="spellStart"/>
      <w:r w:rsidRPr="00BC6A1A" w:rsidR="003E5990">
        <w:t>Bypassable</w:t>
      </w:r>
      <w:proofErr w:type="spellEnd"/>
      <w:r w:rsidRPr="00BC6A1A" w:rsidR="003E5990">
        <w:t xml:space="preserve"> Charge, SCE’s Preferred Resources Pilot #2, Bioenergy Market Adjusting Tariff Non</w:t>
      </w:r>
      <w:r w:rsidRPr="00BC6A1A" w:rsidR="003E5990">
        <w:noBreakHyphen/>
      </w:r>
      <w:proofErr w:type="spellStart"/>
      <w:r w:rsidRPr="00BC6A1A" w:rsidR="003E5990">
        <w:t>Bypassable</w:t>
      </w:r>
      <w:proofErr w:type="spellEnd"/>
      <w:r w:rsidRPr="00BC6A1A" w:rsidR="003E5990">
        <w:t xml:space="preserve"> Charge, and a portion of the Disadvantaged Communities — Green Tariff and Community Solar Green Tariff program funding which provides volumetric subsidies to qualifying customer classes. </w:t>
      </w:r>
    </w:p>
    <w:p w:rsidRPr="00BC6A1A" w:rsidR="003E5990" w:rsidP="00FE5EB8" w:rsidRDefault="00BC6A1A" w14:paraId="3F04791F" w14:textId="78455B79">
      <w:pPr>
        <w:pStyle w:val="OP"/>
        <w:ind w:firstLine="360"/>
      </w:pPr>
      <w:r>
        <w:t>4.</w:t>
      </w:r>
      <w:r>
        <w:tab/>
      </w:r>
      <w:r w:rsidRPr="00BC6A1A" w:rsidR="003E5990">
        <w:t>Southern California Edison Company is authorized to transfer the following account balances: (1) a $256.095 million 2023 year</w:t>
      </w:r>
      <w:r w:rsidRPr="00BC6A1A" w:rsidR="003E5990">
        <w:noBreakHyphen/>
        <w:t>end balance in the New System Generation Balancing Account (BA); (2) $10.588 million in the 2023 year</w:t>
      </w:r>
      <w:r w:rsidRPr="00BC6A1A" w:rsidR="003E5990">
        <w:noBreakHyphen/>
        <w:t>end balance for the Tree Mortality Non</w:t>
      </w:r>
      <w:r w:rsidRPr="00BC6A1A" w:rsidR="003E5990">
        <w:noBreakHyphen/>
      </w:r>
      <w:proofErr w:type="spellStart"/>
      <w:r w:rsidRPr="00BC6A1A" w:rsidR="003E5990">
        <w:t>Bypassable</w:t>
      </w:r>
      <w:proofErr w:type="spellEnd"/>
      <w:r w:rsidRPr="00BC6A1A" w:rsidR="003E5990">
        <w:t xml:space="preserve"> Charge BA; and (3) </w:t>
      </w:r>
      <w:r w:rsidRPr="00BC6A1A" w:rsidR="003E5990">
        <w:noBreakHyphen/>
        <w:t>$6.689 million in the 2023 year</w:t>
      </w:r>
      <w:r w:rsidRPr="00BC6A1A" w:rsidR="003E5990">
        <w:noBreakHyphen/>
        <w:t xml:space="preserve">end </w:t>
      </w:r>
      <w:proofErr w:type="spellStart"/>
      <w:r w:rsidRPr="00BC6A1A" w:rsidR="003E5990">
        <w:t>BioMAT</w:t>
      </w:r>
      <w:proofErr w:type="spellEnd"/>
      <w:r w:rsidRPr="00BC6A1A" w:rsidR="003E5990">
        <w:t xml:space="preserve"> Non</w:t>
      </w:r>
      <w:r w:rsidRPr="00BC6A1A" w:rsidR="003E5990">
        <w:noBreakHyphen/>
      </w:r>
      <w:proofErr w:type="spellStart"/>
      <w:r w:rsidRPr="00BC6A1A" w:rsidR="003E5990">
        <w:t>Bypassable</w:t>
      </w:r>
      <w:proofErr w:type="spellEnd"/>
      <w:r w:rsidRPr="00BC6A1A" w:rsidR="003E5990">
        <w:t xml:space="preserve"> Charge BA. </w:t>
      </w:r>
    </w:p>
    <w:p w:rsidRPr="00BC6A1A" w:rsidR="002C65D0" w:rsidP="001345BC" w:rsidRDefault="001345BC" w14:paraId="55A30B6F" w14:textId="6B4D63B5">
      <w:pPr>
        <w:pStyle w:val="OP"/>
        <w:ind w:firstLine="360"/>
      </w:pPr>
      <w:r>
        <w:t>5.</w:t>
      </w:r>
      <w:r>
        <w:tab/>
      </w:r>
      <w:r w:rsidRPr="00BC6A1A" w:rsidR="002C65D0">
        <w:t>Southern California Edison Company shall address the issues associated with its Geysers Contracts Error in detail in its 2023 Energy Resource Recovery Account Compliance Review filing due on April 1, 2024.</w:t>
      </w:r>
    </w:p>
    <w:p w:rsidRPr="00BC6A1A" w:rsidR="003E5990" w:rsidP="00FE5EB8" w:rsidRDefault="001345BC" w14:paraId="29A75FCC" w14:textId="2C274787">
      <w:pPr>
        <w:pStyle w:val="OP"/>
        <w:ind w:firstLine="360"/>
      </w:pPr>
      <w:r>
        <w:t>6</w:t>
      </w:r>
      <w:r w:rsidR="00BC6A1A">
        <w:t>.</w:t>
      </w:r>
      <w:r w:rsidR="00BC6A1A">
        <w:tab/>
      </w:r>
      <w:r w:rsidRPr="00BC6A1A" w:rsidR="003E5990">
        <w:t xml:space="preserve">Southern California Edison Company (SCE) is authorized to reconcile its 2024 greenhouse gas (GHG) costs, revenues and requirements as follows:  (1) recover a revenue requirement to cover the actual interest and forecasted carrying costs associated with </w:t>
      </w:r>
      <w:r w:rsidRPr="00BC6A1A" w:rsidR="000D045F">
        <w:t xml:space="preserve">its </w:t>
      </w:r>
      <w:r w:rsidRPr="00BC6A1A" w:rsidR="003E5990">
        <w:t>GHG Cap</w:t>
      </w:r>
      <w:r w:rsidRPr="00BC6A1A" w:rsidR="003E5990">
        <w:noBreakHyphen/>
        <w:t>and</w:t>
      </w:r>
      <w:r w:rsidRPr="00BC6A1A" w:rsidR="003E5990">
        <w:noBreakHyphen/>
        <w:t xml:space="preserve">Trade compliance; and (2) distribute $955.105 million in forecast 2024 GHG allowance auction proceeds to its customers, with $32.587 million set aside for clean energy and energy </w:t>
      </w:r>
      <w:r w:rsidRPr="00BC6A1A" w:rsidR="003E5990">
        <w:lastRenderedPageBreak/>
        <w:t xml:space="preserve">efficiency projects, and $329,000 set aside for outreach and administrative expenses. </w:t>
      </w:r>
    </w:p>
    <w:p w:rsidRPr="00BC6A1A" w:rsidR="00853B3C" w:rsidP="00FE5EB8" w:rsidRDefault="001345BC" w14:paraId="4ECE4A82" w14:textId="015B9F10">
      <w:pPr>
        <w:pStyle w:val="OP"/>
        <w:ind w:firstLine="360"/>
      </w:pPr>
      <w:r>
        <w:t>7</w:t>
      </w:r>
      <w:r w:rsidR="00BC6A1A">
        <w:t>.</w:t>
      </w:r>
      <w:r w:rsidR="00BC6A1A">
        <w:tab/>
      </w:r>
      <w:r w:rsidRPr="00BC6A1A" w:rsidR="003E5990">
        <w:t>Southern California Edison Company (SCE) shall return $</w:t>
      </w:r>
      <w:r w:rsidRPr="00BC6A1A" w:rsidR="00853B3C">
        <w:t xml:space="preserve">896.271 million in greenhouse gas allowance auction revenues to residential and small commercial customers through </w:t>
      </w:r>
      <w:r w:rsidRPr="00BC6A1A" w:rsidR="003E5990">
        <w:t xml:space="preserve">the forecasted amount of $86.00 </w:t>
      </w:r>
      <w:r w:rsidRPr="00BC6A1A" w:rsidR="00853B3C">
        <w:t xml:space="preserve">in April </w:t>
      </w:r>
      <w:r w:rsidRPr="00BC6A1A" w:rsidR="000D045F">
        <w:t xml:space="preserve">and </w:t>
      </w:r>
      <w:r w:rsidRPr="00BC6A1A" w:rsidR="00853B3C">
        <w:t xml:space="preserve">October 2024 </w:t>
      </w:r>
      <w:r w:rsidRPr="00BC6A1A" w:rsidR="003E5990">
        <w:t>for the California Climate Credit program</w:t>
      </w:r>
      <w:r w:rsidRPr="00BC6A1A" w:rsidR="00853B3C">
        <w:t>.</w:t>
      </w:r>
    </w:p>
    <w:p w:rsidRPr="00FE5EB8" w:rsidR="003E5990" w:rsidP="00FE5EB8" w:rsidRDefault="001345BC" w14:paraId="1512DE2B" w14:textId="04BC47A1">
      <w:pPr>
        <w:pStyle w:val="OP"/>
        <w:ind w:firstLine="360"/>
      </w:pPr>
      <w:r>
        <w:t>8</w:t>
      </w:r>
      <w:r w:rsidR="00BC6A1A">
        <w:t>.</w:t>
      </w:r>
      <w:r w:rsidR="00BC6A1A">
        <w:tab/>
      </w:r>
      <w:r w:rsidRPr="00FE5EB8" w:rsidR="000D045F">
        <w:t xml:space="preserve">Southern California Edison Company </w:t>
      </w:r>
      <w:r w:rsidRPr="00FE5EB8" w:rsidR="00853B3C">
        <w:t>shall return</w:t>
      </w:r>
      <w:r w:rsidRPr="00FE5EB8" w:rsidR="003E5990">
        <w:t xml:space="preserve"> </w:t>
      </w:r>
      <w:r w:rsidRPr="00FE5EB8" w:rsidR="00853B3C">
        <w:t xml:space="preserve">a forecast of </w:t>
      </w:r>
      <w:r w:rsidRPr="00FE5EB8" w:rsidR="003E5990">
        <w:t xml:space="preserve">$58.834 million </w:t>
      </w:r>
      <w:r w:rsidRPr="00FE5EB8" w:rsidR="00853B3C">
        <w:t xml:space="preserve">in greenhouse gas allowance auction revenues </w:t>
      </w:r>
      <w:r w:rsidRPr="00FE5EB8" w:rsidR="003E5990">
        <w:t>to its Emissions</w:t>
      </w:r>
      <w:r w:rsidRPr="00FE5EB8" w:rsidR="003E5990">
        <w:noBreakHyphen/>
        <w:t>Intensive and Trade</w:t>
      </w:r>
      <w:r w:rsidRPr="00FE5EB8" w:rsidR="003E5990">
        <w:noBreakHyphen/>
        <w:t>Exposed customers</w:t>
      </w:r>
      <w:r w:rsidRPr="00FE5EB8" w:rsidR="00853B3C">
        <w:t xml:space="preserve"> in </w:t>
      </w:r>
      <w:r w:rsidRPr="00FE5EB8" w:rsidR="00254304">
        <w:t xml:space="preserve">April </w:t>
      </w:r>
      <w:r w:rsidRPr="00FE5EB8" w:rsidR="00853B3C">
        <w:t>2024</w:t>
      </w:r>
      <w:r w:rsidRPr="00FE5EB8" w:rsidR="003E5990">
        <w:t>.</w:t>
      </w:r>
    </w:p>
    <w:p w:rsidRPr="00FE5EB8" w:rsidR="000D045F" w:rsidP="001345BC" w:rsidRDefault="001345BC" w14:paraId="0F2A3577" w14:textId="1D86E979">
      <w:pPr>
        <w:pStyle w:val="OP"/>
        <w:ind w:firstLine="360"/>
      </w:pPr>
      <w:r>
        <w:t>9.</w:t>
      </w:r>
      <w:r>
        <w:tab/>
      </w:r>
      <w:r w:rsidRPr="00FE5EB8" w:rsidR="000D045F">
        <w:t xml:space="preserve">Southern California Edison Company shall retire Renewable Energy Certificates (RECs) that were banked </w:t>
      </w:r>
      <w:r w:rsidRPr="00FE5EB8" w:rsidR="004226E8">
        <w:t xml:space="preserve">in or </w:t>
      </w:r>
      <w:r w:rsidRPr="00FE5EB8" w:rsidR="000D045F">
        <w:t>after 2019 to comply with its 2024 Renewable</w:t>
      </w:r>
      <w:r w:rsidRPr="00FE5EB8" w:rsidR="004226E8">
        <w:t>s</w:t>
      </w:r>
      <w:r w:rsidRPr="00FE5EB8" w:rsidR="000D045F">
        <w:t xml:space="preserve"> Portfolio Standard (RPS) requirements for bundled customers until or unless its RPS compliance burden exceeds its REC supply of 2019 or later vintage </w:t>
      </w:r>
      <w:proofErr w:type="spellStart"/>
      <w:r w:rsidRPr="00FE5EB8" w:rsidR="000D045F">
        <w:t>RECs.</w:t>
      </w:r>
      <w:proofErr w:type="spellEnd"/>
    </w:p>
    <w:p w:rsidRPr="00FE5EB8" w:rsidR="003E5990" w:rsidP="001345BC" w:rsidRDefault="001345BC" w14:paraId="0FE1CEEC" w14:textId="34792EE4">
      <w:pPr>
        <w:pStyle w:val="OP"/>
        <w:ind w:firstLine="270"/>
      </w:pPr>
      <w:r>
        <w:t>10.</w:t>
      </w:r>
      <w:r>
        <w:tab/>
      </w:r>
      <w:r w:rsidRPr="00FE5EB8" w:rsidR="003E5990">
        <w:t xml:space="preserve">Southern California Edison Company </w:t>
      </w:r>
      <w:r w:rsidRPr="00FE5EB8" w:rsidR="000D045F">
        <w:t xml:space="preserve">(SCE) </w:t>
      </w:r>
      <w:r w:rsidRPr="00FE5EB8" w:rsidR="003E5990">
        <w:t xml:space="preserve">shall file a Tier 1 Advice Letter and revised tariff sheets within 30 days of the issuance of this </w:t>
      </w:r>
      <w:r w:rsidRPr="00FE5EB8" w:rsidR="00A14797">
        <w:t>Decision</w:t>
      </w:r>
      <w:r w:rsidRPr="00FE5EB8" w:rsidR="003E5990">
        <w:t xml:space="preserve"> to implement this </w:t>
      </w:r>
      <w:r w:rsidRPr="00FE5EB8" w:rsidR="00A14797">
        <w:t>Decision</w:t>
      </w:r>
      <w:r w:rsidRPr="00FE5EB8" w:rsidR="003E5990">
        <w:t>. The Advice Letter shall include supporting documentation for:</w:t>
      </w:r>
    </w:p>
    <w:p w:rsidRPr="00454D1A" w:rsidR="003E5990" w:rsidP="003E5990" w:rsidRDefault="003E5990" w14:paraId="64CBE928" w14:textId="77777777">
      <w:pPr>
        <w:pStyle w:val="BlockQuoteH033"/>
        <w:numPr>
          <w:ilvl w:val="0"/>
          <w:numId w:val="28"/>
        </w:numPr>
        <w:ind w:left="1195" w:hanging="475"/>
      </w:pPr>
      <w:r w:rsidRPr="00454D1A">
        <w:t>Residential rate schedules (including master</w:t>
      </w:r>
      <w:r>
        <w:noBreakHyphen/>
      </w:r>
      <w:r w:rsidRPr="00454D1A">
        <w:t>metered rate schedules) to include the authorized 202</w:t>
      </w:r>
      <w:r>
        <w:t>4</w:t>
      </w:r>
      <w:r w:rsidRPr="00454D1A">
        <w:t xml:space="preserve"> Climate Credit </w:t>
      </w:r>
      <w:proofErr w:type="gramStart"/>
      <w:r w:rsidRPr="00454D1A">
        <w:t>amount;</w:t>
      </w:r>
      <w:proofErr w:type="gramEnd"/>
    </w:p>
    <w:p w:rsidRPr="00454D1A" w:rsidR="003E5990" w:rsidP="003E5990" w:rsidRDefault="003E5990" w14:paraId="7DBC90EC" w14:textId="77777777">
      <w:pPr>
        <w:pStyle w:val="BlockQuoteH033"/>
        <w:numPr>
          <w:ilvl w:val="0"/>
          <w:numId w:val="28"/>
        </w:numPr>
        <w:ind w:left="1195" w:hanging="475"/>
      </w:pPr>
      <w:r w:rsidRPr="00454D1A">
        <w:t>Small business rate schedules to include the authorized 202</w:t>
      </w:r>
      <w:r>
        <w:t>4</w:t>
      </w:r>
      <w:r w:rsidRPr="00454D1A">
        <w:t xml:space="preserve"> Climate Credit </w:t>
      </w:r>
      <w:proofErr w:type="gramStart"/>
      <w:r w:rsidRPr="00454D1A">
        <w:t>amount;</w:t>
      </w:r>
      <w:proofErr w:type="gramEnd"/>
      <w:r w:rsidRPr="00454D1A">
        <w:t xml:space="preserve"> </w:t>
      </w:r>
    </w:p>
    <w:p w:rsidRPr="00454D1A" w:rsidR="003E5990" w:rsidP="003E5990" w:rsidRDefault="003E5990" w14:paraId="4610B56E" w14:textId="17BCB33E">
      <w:pPr>
        <w:pStyle w:val="BlockQuoteH033"/>
        <w:numPr>
          <w:ilvl w:val="0"/>
          <w:numId w:val="28"/>
        </w:numPr>
        <w:ind w:left="1195" w:hanging="475"/>
      </w:pPr>
      <w:r w:rsidRPr="00454D1A">
        <w:t xml:space="preserve">The </w:t>
      </w:r>
      <w:r w:rsidR="000D045F">
        <w:t xml:space="preserve">updated </w:t>
      </w:r>
      <w:r>
        <w:t xml:space="preserve">October </w:t>
      </w:r>
      <w:r w:rsidR="00794A2D">
        <w:t xml:space="preserve">or November </w:t>
      </w:r>
      <w:r>
        <w:t>2023</w:t>
      </w:r>
      <w:r w:rsidRPr="00454D1A">
        <w:t xml:space="preserve"> </w:t>
      </w:r>
      <w:r w:rsidR="000D045F">
        <w:t xml:space="preserve">revenue requirement </w:t>
      </w:r>
      <w:r w:rsidRPr="00454D1A">
        <w:t>actuals</w:t>
      </w:r>
      <w:r>
        <w:t xml:space="preserve"> and forecasts for November and</w:t>
      </w:r>
      <w:r w:rsidR="00794A2D">
        <w:t>/or</w:t>
      </w:r>
      <w:r>
        <w:t xml:space="preserve"> December 2023</w:t>
      </w:r>
      <w:r w:rsidR="00794A2D">
        <w:t xml:space="preserve">, depending on the availability of November </w:t>
      </w:r>
      <w:r w:rsidR="00D61408">
        <w:t xml:space="preserve">revenue requirement </w:t>
      </w:r>
      <w:r w:rsidR="00794A2D">
        <w:t>actuals at the time of the Advice Letter filing</w:t>
      </w:r>
      <w:r w:rsidRPr="00454D1A">
        <w:t>; and</w:t>
      </w:r>
    </w:p>
    <w:p w:rsidRPr="00454D1A" w:rsidR="003E5990" w:rsidP="003E5990" w:rsidRDefault="000D045F" w14:paraId="0A0D1501" w14:textId="42B92C15">
      <w:pPr>
        <w:pStyle w:val="BlockQuoteH033"/>
        <w:numPr>
          <w:ilvl w:val="0"/>
          <w:numId w:val="28"/>
        </w:numPr>
        <w:ind w:left="1195" w:hanging="475"/>
      </w:pPr>
      <w:r>
        <w:lastRenderedPageBreak/>
        <w:t xml:space="preserve">The usage of Renewable Energy Certificates </w:t>
      </w:r>
      <w:r w:rsidR="008F2059">
        <w:t xml:space="preserve">banked </w:t>
      </w:r>
      <w:r w:rsidR="00764929">
        <w:t>in or after</w:t>
      </w:r>
      <w:r w:rsidR="008F2059">
        <w:t xml:space="preserve"> 2019 </w:t>
      </w:r>
      <w:r>
        <w:t xml:space="preserve">for 2024 Renewables Portfolio Standard compliance for SCE’s bundled customers. </w:t>
      </w:r>
    </w:p>
    <w:p w:rsidR="00562C31" w:rsidP="00562C31" w:rsidRDefault="001345BC" w14:paraId="50F2C5FE" w14:textId="443D6CF6">
      <w:pPr>
        <w:pStyle w:val="OP"/>
        <w:ind w:firstLine="270"/>
      </w:pPr>
      <w:r>
        <w:t>11.</w:t>
      </w:r>
      <w:r>
        <w:tab/>
      </w:r>
      <w:r w:rsidRPr="00415892" w:rsidR="003E5990">
        <w:t xml:space="preserve">Southern California Edison Company’s (SCE) request to keep its rates unchanged following </w:t>
      </w:r>
      <w:r w:rsidR="00A14797">
        <w:t>Decision</w:t>
      </w:r>
      <w:r w:rsidRPr="00415892" w:rsidR="003E5990">
        <w:t xml:space="preserve"> 23-04-012, authorizing SCE’s 2023 Energy Resource Recovery Account Trigger Application is granted.</w:t>
      </w:r>
    </w:p>
    <w:p w:rsidRPr="00562C31" w:rsidR="00562C31" w:rsidP="009149E1" w:rsidRDefault="00562C31" w14:paraId="37B17571" w14:textId="405CF8F3">
      <w:pPr>
        <w:pStyle w:val="OP"/>
        <w:numPr>
          <w:ilvl w:val="0"/>
          <w:numId w:val="40"/>
        </w:numPr>
        <w:ind w:hanging="450"/>
      </w:pPr>
      <w:r>
        <w:t>Southern California Edison Company must file a separate Tier 1 Consolidated Revenue Requirement and Rate Change Advice Letter no later than December 31, 2023, pursuant to Resolution E-5217. This Tier 1 Advice Letter must contain tariff sheet</w:t>
      </w:r>
      <w:r w:rsidR="00952386">
        <w:t xml:space="preserve"> revisions as nece</w:t>
      </w:r>
      <w:r>
        <w:t>s</w:t>
      </w:r>
      <w:r w:rsidR="00952386">
        <w:t>sary</w:t>
      </w:r>
      <w:r>
        <w:t xml:space="preserve"> to implement the rate changes authorized in this Decision.</w:t>
      </w:r>
    </w:p>
    <w:p w:rsidRPr="009149E1" w:rsidR="009A44CF" w:rsidP="009149E1" w:rsidRDefault="001345BC" w14:paraId="214A7B7C" w14:textId="02C97AB7">
      <w:pPr>
        <w:pStyle w:val="OP"/>
        <w:ind w:firstLine="270"/>
      </w:pPr>
      <w:r>
        <w:t>1</w:t>
      </w:r>
      <w:r w:rsidR="00562C31">
        <w:t>3</w:t>
      </w:r>
      <w:r>
        <w:t>.</w:t>
      </w:r>
      <w:r w:rsidR="009149E1">
        <w:tab/>
      </w:r>
      <w:r w:rsidRPr="009149E1" w:rsidR="008F3627">
        <w:t xml:space="preserve">In its 2025 Energy Resource Recovery Account (ERRA) Forecast Application, </w:t>
      </w:r>
      <w:r w:rsidRPr="009149E1" w:rsidR="00643669">
        <w:t xml:space="preserve">due in May 2024, </w:t>
      </w:r>
      <w:r w:rsidRPr="009149E1" w:rsidR="008F3627">
        <w:t xml:space="preserve">Southern California Edison Company </w:t>
      </w:r>
      <w:r w:rsidRPr="009149E1" w:rsidR="00562C31">
        <w:t xml:space="preserve">must </w:t>
      </w:r>
      <w:r w:rsidRPr="009149E1" w:rsidR="008F3627">
        <w:t>explain in more detail</w:t>
      </w:r>
      <w:r w:rsidRPr="009149E1" w:rsidR="009A44CF">
        <w:t>:</w:t>
      </w:r>
    </w:p>
    <w:p w:rsidR="008F3627" w:rsidP="004802FA" w:rsidRDefault="008F3627" w14:paraId="0D452D63" w14:textId="3B6240BB">
      <w:pPr>
        <w:pStyle w:val="ListNum"/>
        <w:ind w:right="1440"/>
      </w:pPr>
      <w:r>
        <w:t xml:space="preserve">Whether it still needs a full month to implement its billing schedules to reflect the adopted ERRA </w:t>
      </w:r>
      <w:proofErr w:type="gramStart"/>
      <w:r>
        <w:t>Forecast;</w:t>
      </w:r>
      <w:proofErr w:type="gramEnd"/>
    </w:p>
    <w:p w:rsidR="008F3627" w:rsidP="004802FA" w:rsidRDefault="008F3627" w14:paraId="31EAE36A" w14:textId="6D705110">
      <w:pPr>
        <w:pStyle w:val="ListNum"/>
        <w:ind w:right="1440"/>
      </w:pPr>
      <w:r>
        <w:t>If so,</w:t>
      </w:r>
    </w:p>
    <w:p w:rsidR="008F3627" w:rsidP="004802FA" w:rsidRDefault="008F3627" w14:paraId="1B23390B" w14:textId="57B51FB0">
      <w:pPr>
        <w:pStyle w:val="ListAlpha"/>
        <w:ind w:right="1440"/>
      </w:pPr>
      <w:r>
        <w:t>Why it needs a full month to implement the adopted ERRA Forecast; and</w:t>
      </w:r>
    </w:p>
    <w:p w:rsidRPr="00415892" w:rsidR="008F3627" w:rsidP="004802FA" w:rsidRDefault="008F3627" w14:paraId="470146E5" w14:textId="44BBA1AD">
      <w:pPr>
        <w:pStyle w:val="ListAlpha"/>
        <w:ind w:right="1440"/>
      </w:pPr>
      <w:r>
        <w:t xml:space="preserve">What changes to its billing system are necessary to shorten its </w:t>
      </w:r>
      <w:r w:rsidR="007F16DD">
        <w:t>necessary implementation</w:t>
      </w:r>
      <w:r>
        <w:t xml:space="preserve"> time.</w:t>
      </w:r>
    </w:p>
    <w:p w:rsidRPr="009149E1" w:rsidR="003E5990" w:rsidP="009149E1" w:rsidRDefault="00FE5EB8" w14:paraId="5A0E50BD" w14:textId="6334AA9F">
      <w:pPr>
        <w:pStyle w:val="OP"/>
        <w:ind w:firstLine="270"/>
      </w:pPr>
      <w:r>
        <w:t>1</w:t>
      </w:r>
      <w:r w:rsidR="00562C31">
        <w:t>4</w:t>
      </w:r>
      <w:r>
        <w:t>.</w:t>
      </w:r>
      <w:r>
        <w:tab/>
      </w:r>
      <w:r w:rsidRPr="009149E1" w:rsidR="003E5990">
        <w:t>All rulings issued by the assigned Commissioner and Administrative Law Judge (ALJ) associated with Track 1 of Application (A.) 23-06-001) are affirmed herein; and all motions associated with Track 1 of A.23-06-001 not specifically addressed herein or previously addressed by the assigned Commissioner or ALJ, are denied.</w:t>
      </w:r>
    </w:p>
    <w:p w:rsidRPr="009149E1" w:rsidR="003E5990" w:rsidP="009149E1" w:rsidRDefault="00FE5EB8" w14:paraId="723C3634" w14:textId="768271FF">
      <w:pPr>
        <w:pStyle w:val="OP"/>
        <w:ind w:firstLine="270"/>
      </w:pPr>
      <w:r w:rsidRPr="00562C31">
        <w:lastRenderedPageBreak/>
        <w:t>1</w:t>
      </w:r>
      <w:r w:rsidRPr="00562C31" w:rsidR="00562C31">
        <w:t>5</w:t>
      </w:r>
      <w:r>
        <w:t>.</w:t>
      </w:r>
      <w:r>
        <w:tab/>
      </w:r>
      <w:r w:rsidRPr="009149E1" w:rsidR="003E5990">
        <w:t xml:space="preserve">Application 23-06-001 remains open to consider Fixed Generation Cost issues as raised in the August 1, </w:t>
      </w:r>
      <w:r w:rsidRPr="009149E1" w:rsidR="00EA5D47">
        <w:t>2023</w:t>
      </w:r>
      <w:r w:rsidRPr="009149E1" w:rsidR="00562C31">
        <w:t>,</w:t>
      </w:r>
      <w:r w:rsidRPr="009149E1" w:rsidR="00EA5D47">
        <w:t xml:space="preserve"> and October 9, </w:t>
      </w:r>
      <w:r w:rsidRPr="009149E1" w:rsidR="003E5990">
        <w:t>2023, Administrative Law Judge Ruling</w:t>
      </w:r>
      <w:r w:rsidRPr="009149E1" w:rsidR="00EA5D47">
        <w:t>s</w:t>
      </w:r>
      <w:r w:rsidRPr="009149E1" w:rsidR="003E5990">
        <w:t>.</w:t>
      </w:r>
    </w:p>
    <w:p w:rsidRPr="00454D1A" w:rsidR="003E5990" w:rsidP="00842770" w:rsidRDefault="003E5990" w14:paraId="0AF8570A" w14:textId="77777777">
      <w:pPr>
        <w:pStyle w:val="Standard"/>
        <w:keepNext/>
      </w:pPr>
      <w:r w:rsidRPr="00454D1A">
        <w:t>This order is effective today.</w:t>
      </w:r>
    </w:p>
    <w:p w:rsidR="003E5990" w:rsidP="00842770" w:rsidRDefault="003E5990" w14:paraId="742FCEB5" w14:textId="3634E106">
      <w:pPr>
        <w:pStyle w:val="Standard"/>
        <w:keepNext/>
      </w:pPr>
      <w:r>
        <w:t xml:space="preserve">Dated </w:t>
      </w:r>
      <w:r w:rsidR="00944436">
        <w:t>November 30, 2023</w:t>
      </w:r>
      <w:r>
        <w:t xml:space="preserve">, at </w:t>
      </w:r>
      <w:r w:rsidR="00502507">
        <w:t>S</w:t>
      </w:r>
      <w:r w:rsidR="002F5650">
        <w:t>acramento</w:t>
      </w:r>
      <w:r>
        <w:t>, California</w:t>
      </w:r>
      <w:r w:rsidR="00944436">
        <w:t>.</w:t>
      </w:r>
    </w:p>
    <w:p w:rsidR="00944436" w:rsidP="00842770" w:rsidRDefault="00944436" w14:paraId="6FA73795" w14:textId="77777777">
      <w:pPr>
        <w:pStyle w:val="Standard"/>
        <w:keepNext/>
      </w:pPr>
    </w:p>
    <w:p w:rsidRPr="00AE0DE2" w:rsidR="00944436" w:rsidP="00944436" w:rsidRDefault="00944436" w14:paraId="17A135D8" w14:textId="77777777">
      <w:pPr>
        <w:autoSpaceDE w:val="0"/>
        <w:autoSpaceDN w:val="0"/>
        <w:adjustRightInd w:val="0"/>
        <w:spacing w:line="240" w:lineRule="auto"/>
        <w:ind w:left="4320" w:firstLine="1620"/>
        <w:jc w:val="both"/>
        <w:rPr>
          <w:rFonts w:cs="Times New Roman"/>
          <w:szCs w:val="20"/>
        </w:rPr>
      </w:pPr>
      <w:bookmarkStart w:name="_Hlk17215919" w:id="101"/>
      <w:r>
        <w:rPr>
          <w:rFonts w:cs="Times New Roman"/>
          <w:szCs w:val="20"/>
        </w:rPr>
        <w:t>ALICE REYNOLDS</w:t>
      </w:r>
    </w:p>
    <w:p w:rsidR="00944436" w:rsidP="00944436" w:rsidRDefault="00944436" w14:paraId="1E9B6920" w14:textId="77777777">
      <w:pPr>
        <w:autoSpaceDE w:val="0"/>
        <w:autoSpaceDN w:val="0"/>
        <w:adjustRightInd w:val="0"/>
        <w:spacing w:line="240" w:lineRule="auto"/>
        <w:ind w:firstLine="7110"/>
        <w:jc w:val="both"/>
        <w:rPr>
          <w:rFonts w:cs="Times New Roman"/>
          <w:szCs w:val="20"/>
        </w:rPr>
      </w:pPr>
      <w:r w:rsidRPr="00AE0DE2">
        <w:rPr>
          <w:rFonts w:cs="Times New Roman"/>
          <w:szCs w:val="20"/>
        </w:rPr>
        <w:t>President</w:t>
      </w:r>
    </w:p>
    <w:p w:rsidR="00944436" w:rsidP="00944436" w:rsidRDefault="00944436" w14:paraId="4B1CB94E" w14:textId="77777777">
      <w:pPr>
        <w:autoSpaceDE w:val="0"/>
        <w:autoSpaceDN w:val="0"/>
        <w:adjustRightInd w:val="0"/>
        <w:spacing w:line="240" w:lineRule="auto"/>
        <w:ind w:left="4320" w:firstLine="1620"/>
        <w:jc w:val="both"/>
        <w:rPr>
          <w:rFonts w:cs="Times New Roman"/>
          <w:szCs w:val="20"/>
        </w:rPr>
      </w:pPr>
      <w:r w:rsidRPr="00AE0DE2">
        <w:rPr>
          <w:rFonts w:cs="Times New Roman"/>
          <w:szCs w:val="20"/>
        </w:rPr>
        <w:t>GENEVIEVE SHIROMA</w:t>
      </w:r>
    </w:p>
    <w:p w:rsidR="00944436" w:rsidP="00944436" w:rsidRDefault="00944436" w14:paraId="27FDC685" w14:textId="77777777">
      <w:pPr>
        <w:autoSpaceDE w:val="0"/>
        <w:autoSpaceDN w:val="0"/>
        <w:adjustRightInd w:val="0"/>
        <w:spacing w:line="240" w:lineRule="auto"/>
        <w:ind w:left="3600" w:firstLine="2340"/>
        <w:jc w:val="both"/>
        <w:rPr>
          <w:rFonts w:cs="Times New Roman"/>
          <w:szCs w:val="20"/>
        </w:rPr>
      </w:pPr>
      <w:r>
        <w:rPr>
          <w:rFonts w:cs="Times New Roman"/>
          <w:szCs w:val="20"/>
        </w:rPr>
        <w:t>DARCIE L. HOUCK</w:t>
      </w:r>
    </w:p>
    <w:p w:rsidR="00944436" w:rsidP="00944436" w:rsidRDefault="00944436" w14:paraId="4DB5A658" w14:textId="77777777">
      <w:pPr>
        <w:autoSpaceDE w:val="0"/>
        <w:autoSpaceDN w:val="0"/>
        <w:adjustRightInd w:val="0"/>
        <w:spacing w:line="240" w:lineRule="auto"/>
        <w:ind w:left="3600" w:firstLine="2340"/>
        <w:jc w:val="both"/>
        <w:rPr>
          <w:rFonts w:cs="Times New Roman"/>
          <w:szCs w:val="20"/>
        </w:rPr>
      </w:pPr>
      <w:r>
        <w:rPr>
          <w:rFonts w:cs="Times New Roman"/>
          <w:szCs w:val="20"/>
        </w:rPr>
        <w:t>JOHN REYNOLDS</w:t>
      </w:r>
    </w:p>
    <w:p w:rsidRPr="00AE0DE2" w:rsidR="00944436" w:rsidP="00944436" w:rsidRDefault="00944436" w14:paraId="4CBB697E" w14:textId="77777777">
      <w:pPr>
        <w:autoSpaceDE w:val="0"/>
        <w:autoSpaceDN w:val="0"/>
        <w:adjustRightInd w:val="0"/>
        <w:spacing w:line="240" w:lineRule="auto"/>
        <w:ind w:left="3600" w:firstLine="2340"/>
        <w:jc w:val="both"/>
        <w:rPr>
          <w:rFonts w:cs="Times New Roman"/>
          <w:szCs w:val="20"/>
        </w:rPr>
      </w:pPr>
      <w:r>
        <w:rPr>
          <w:rFonts w:cs="Times New Roman"/>
          <w:szCs w:val="20"/>
        </w:rPr>
        <w:t>KAREN DOUGLAS</w:t>
      </w:r>
    </w:p>
    <w:p w:rsidRPr="00AE0DE2" w:rsidR="00944436" w:rsidP="00944436" w:rsidRDefault="00944436" w14:paraId="4CCAD35A" w14:textId="77777777">
      <w:pPr>
        <w:autoSpaceDE w:val="0"/>
        <w:autoSpaceDN w:val="0"/>
        <w:adjustRightInd w:val="0"/>
        <w:spacing w:line="240" w:lineRule="auto"/>
        <w:ind w:left="4320" w:firstLine="2160"/>
        <w:jc w:val="both"/>
        <w:rPr>
          <w:rFonts w:cs="Times New Roman"/>
          <w:szCs w:val="20"/>
        </w:rPr>
      </w:pPr>
      <w:r w:rsidRPr="00AE0DE2">
        <w:rPr>
          <w:rFonts w:cs="Times New Roman"/>
          <w:szCs w:val="20"/>
        </w:rPr>
        <w:t>Commissioners</w:t>
      </w:r>
    </w:p>
    <w:bookmarkEnd w:id="101"/>
    <w:p w:rsidR="00944436" w:rsidP="00842770" w:rsidRDefault="00944436" w14:paraId="4D90BDAA" w14:textId="77777777">
      <w:pPr>
        <w:pStyle w:val="Standard"/>
        <w:keepNext/>
      </w:pPr>
    </w:p>
    <w:bookmarkEnd w:id="98"/>
    <w:p w:rsidR="00714CF2" w:rsidP="00816E05" w:rsidRDefault="00714CF2" w14:paraId="7BED2C13" w14:textId="77777777"/>
    <w:p w:rsidR="006B15C4" w:rsidP="00816E05" w:rsidRDefault="006B15C4" w14:paraId="4361384B" w14:textId="77777777">
      <w:pPr>
        <w:sectPr w:rsidR="006B15C4" w:rsidSect="004F3E9A">
          <w:headerReference w:type="default" r:id="rId17"/>
          <w:footerReference w:type="default" r:id="rId18"/>
          <w:pgSz w:w="12240" w:h="15840"/>
          <w:pgMar w:top="1728" w:right="1440" w:bottom="1440" w:left="1440" w:header="720" w:footer="720" w:gutter="0"/>
          <w:pgNumType w:start="2"/>
          <w:cols w:space="720"/>
          <w:docGrid w:linePitch="360"/>
        </w:sectPr>
      </w:pPr>
    </w:p>
    <w:p w:rsidR="0029188E" w:rsidP="00816E05" w:rsidRDefault="0029188E" w14:paraId="3971528A" w14:textId="77777777"/>
    <w:p w:rsidR="0029188E" w:rsidP="00816E05" w:rsidRDefault="0029188E" w14:paraId="39EFAB91" w14:textId="77777777"/>
    <w:p w:rsidR="0029188E" w:rsidP="00816E05" w:rsidRDefault="0029188E" w14:paraId="4ECD11C4" w14:textId="77777777"/>
    <w:p w:rsidR="0029188E" w:rsidP="00816E05" w:rsidRDefault="0029188E" w14:paraId="57ACB8C3" w14:textId="77777777"/>
    <w:p w:rsidR="00863236" w:rsidP="00D54256" w:rsidRDefault="00863236" w14:paraId="648BDD2C" w14:textId="77777777">
      <w:pPr>
        <w:pStyle w:val="Heading1"/>
        <w:numPr>
          <w:ilvl w:val="0"/>
          <w:numId w:val="0"/>
        </w:numPr>
        <w:ind w:left="2160" w:firstLine="720"/>
        <w:jc w:val="center"/>
        <w:rPr>
          <w:sz w:val="36"/>
          <w:szCs w:val="36"/>
        </w:rPr>
      </w:pPr>
    </w:p>
    <w:p w:rsidR="00863236" w:rsidP="00D54256" w:rsidRDefault="00863236" w14:paraId="6EAAD7E7" w14:textId="77777777">
      <w:pPr>
        <w:pStyle w:val="Heading1"/>
        <w:numPr>
          <w:ilvl w:val="0"/>
          <w:numId w:val="0"/>
        </w:numPr>
        <w:ind w:left="2160" w:firstLine="720"/>
        <w:jc w:val="center"/>
        <w:rPr>
          <w:sz w:val="36"/>
          <w:szCs w:val="36"/>
        </w:rPr>
      </w:pPr>
    </w:p>
    <w:p w:rsidR="00863236" w:rsidP="00D54256" w:rsidRDefault="00863236" w14:paraId="79457C4D" w14:textId="77777777">
      <w:pPr>
        <w:pStyle w:val="Heading1"/>
        <w:numPr>
          <w:ilvl w:val="0"/>
          <w:numId w:val="0"/>
        </w:numPr>
        <w:ind w:left="2160" w:firstLine="720"/>
        <w:jc w:val="center"/>
        <w:rPr>
          <w:sz w:val="36"/>
          <w:szCs w:val="36"/>
        </w:rPr>
      </w:pPr>
    </w:p>
    <w:p w:rsidR="00863236" w:rsidP="00D54256" w:rsidRDefault="00863236" w14:paraId="1DE2018D" w14:textId="77777777">
      <w:pPr>
        <w:pStyle w:val="Heading1"/>
        <w:numPr>
          <w:ilvl w:val="0"/>
          <w:numId w:val="0"/>
        </w:numPr>
        <w:ind w:left="2160" w:firstLine="720"/>
        <w:jc w:val="center"/>
        <w:rPr>
          <w:sz w:val="36"/>
          <w:szCs w:val="36"/>
        </w:rPr>
      </w:pPr>
    </w:p>
    <w:p w:rsidR="00863236" w:rsidP="00D54256" w:rsidRDefault="00863236" w14:paraId="0D4FE3BC" w14:textId="77777777">
      <w:pPr>
        <w:pStyle w:val="Heading1"/>
        <w:numPr>
          <w:ilvl w:val="0"/>
          <w:numId w:val="0"/>
        </w:numPr>
        <w:ind w:left="2160" w:firstLine="720"/>
        <w:jc w:val="center"/>
        <w:rPr>
          <w:sz w:val="36"/>
          <w:szCs w:val="36"/>
        </w:rPr>
      </w:pPr>
    </w:p>
    <w:p w:rsidRPr="00D54256" w:rsidR="0029188E" w:rsidP="00D54256" w:rsidRDefault="0029188E" w14:paraId="2B583F09" w14:textId="026239CB">
      <w:pPr>
        <w:pStyle w:val="Heading1"/>
        <w:numPr>
          <w:ilvl w:val="0"/>
          <w:numId w:val="0"/>
        </w:numPr>
        <w:ind w:left="2160" w:firstLine="720"/>
        <w:jc w:val="center"/>
        <w:rPr>
          <w:sz w:val="36"/>
          <w:szCs w:val="36"/>
        </w:rPr>
      </w:pPr>
      <w:bookmarkStart w:name="_Toc150249741" w:id="102"/>
      <w:bookmarkStart w:name="_Toc150250051" w:id="103"/>
      <w:bookmarkStart w:name="_Toc151976262" w:id="104"/>
      <w:bookmarkStart w:name="_Toc152331454" w:id="105"/>
      <w:r w:rsidRPr="00D54256">
        <w:rPr>
          <w:sz w:val="36"/>
          <w:szCs w:val="36"/>
        </w:rPr>
        <w:t>Appendix A</w:t>
      </w:r>
      <w:r w:rsidRPr="00D54256" w:rsidR="00D54256">
        <w:rPr>
          <w:sz w:val="36"/>
          <w:szCs w:val="36"/>
        </w:rPr>
        <w:t xml:space="preserve"> </w:t>
      </w:r>
      <w:r w:rsidR="00D54256">
        <w:rPr>
          <w:sz w:val="36"/>
          <w:szCs w:val="36"/>
        </w:rPr>
        <w:br/>
      </w:r>
      <w:r w:rsidRPr="00D54256">
        <w:rPr>
          <w:sz w:val="36"/>
          <w:szCs w:val="36"/>
        </w:rPr>
        <w:t>Glossary of Acronyms</w:t>
      </w:r>
      <w:bookmarkEnd w:id="102"/>
      <w:bookmarkEnd w:id="103"/>
      <w:bookmarkEnd w:id="104"/>
      <w:bookmarkEnd w:id="105"/>
    </w:p>
    <w:p w:rsidR="00D54256" w:rsidRDefault="00D54256" w14:paraId="3BC862B9" w14:textId="77777777">
      <w:pPr>
        <w:spacing w:after="160" w:line="259" w:lineRule="auto"/>
        <w:ind w:firstLine="0"/>
        <w:rPr>
          <w:sz w:val="24"/>
          <w:szCs w:val="24"/>
        </w:rPr>
        <w:sectPr w:rsidR="00D54256" w:rsidSect="00D54256">
          <w:headerReference w:type="default" r:id="rId19"/>
          <w:footerReference w:type="default" r:id="rId20"/>
          <w:pgSz w:w="12240" w:h="15840"/>
          <w:pgMar w:top="1728" w:right="1440" w:bottom="1440" w:left="1440" w:header="720" w:footer="720" w:gutter="0"/>
          <w:pgNumType w:start="1"/>
          <w:cols w:space="720"/>
          <w:docGrid w:linePitch="360"/>
        </w:sectPr>
      </w:pPr>
    </w:p>
    <w:p w:rsidRPr="00D54256" w:rsidR="0029188E" w:rsidRDefault="0029188E" w14:paraId="1A7F1B7F" w14:textId="31366877">
      <w:pPr>
        <w:spacing w:after="160" w:line="259" w:lineRule="auto"/>
        <w:ind w:firstLine="0"/>
        <w:rPr>
          <w:sz w:val="24"/>
          <w:szCs w:val="24"/>
        </w:rPr>
      </w:pPr>
    </w:p>
    <w:tbl>
      <w:tblPr>
        <w:tblStyle w:val="TableGrid1"/>
        <w:tblW w:w="0" w:type="auto"/>
        <w:tblLook w:val="04A0" w:firstRow="1" w:lastRow="0" w:firstColumn="1" w:lastColumn="0" w:noHBand="0" w:noVBand="1"/>
      </w:tblPr>
      <w:tblGrid>
        <w:gridCol w:w="4675"/>
        <w:gridCol w:w="4675"/>
      </w:tblGrid>
      <w:tr w:rsidRPr="0029188E" w:rsidR="0029188E" w:rsidTr="00914E04" w14:paraId="37B4CB1B" w14:textId="77777777">
        <w:tc>
          <w:tcPr>
            <w:tcW w:w="4675" w:type="dxa"/>
          </w:tcPr>
          <w:p w:rsidRPr="0029188E" w:rsidR="0029188E" w:rsidP="0029188E" w:rsidRDefault="0029188E" w14:paraId="6383FB17" w14:textId="77777777">
            <w:pPr>
              <w:spacing w:line="240" w:lineRule="auto"/>
              <w:ind w:firstLine="0"/>
              <w:rPr>
                <w:rFonts w:ascii="Arial" w:hAnsi="Arial" w:cs="Arial"/>
                <w:b/>
                <w:bCs/>
                <w:sz w:val="22"/>
              </w:rPr>
            </w:pPr>
            <w:r w:rsidRPr="0029188E">
              <w:rPr>
                <w:rFonts w:ascii="Arial" w:hAnsi="Arial" w:cs="Arial"/>
                <w:b/>
                <w:bCs/>
                <w:sz w:val="22"/>
              </w:rPr>
              <w:t>Term</w:t>
            </w:r>
          </w:p>
        </w:tc>
        <w:tc>
          <w:tcPr>
            <w:tcW w:w="4675" w:type="dxa"/>
          </w:tcPr>
          <w:p w:rsidRPr="0029188E" w:rsidR="0029188E" w:rsidP="0029188E" w:rsidRDefault="0029188E" w14:paraId="5944992A" w14:textId="77777777">
            <w:pPr>
              <w:spacing w:line="240" w:lineRule="auto"/>
              <w:ind w:firstLine="0"/>
              <w:rPr>
                <w:rFonts w:ascii="Arial" w:hAnsi="Arial" w:cs="Arial"/>
                <w:b/>
                <w:bCs/>
                <w:sz w:val="22"/>
              </w:rPr>
            </w:pPr>
            <w:r w:rsidRPr="0029188E">
              <w:rPr>
                <w:rFonts w:ascii="Arial" w:hAnsi="Arial" w:cs="Arial"/>
                <w:b/>
                <w:bCs/>
                <w:sz w:val="22"/>
              </w:rPr>
              <w:t>Acronym</w:t>
            </w:r>
          </w:p>
        </w:tc>
      </w:tr>
      <w:tr w:rsidRPr="0029188E" w:rsidR="0029188E" w:rsidTr="00914E04" w14:paraId="195E841E" w14:textId="77777777">
        <w:trPr>
          <w:trHeight w:val="288"/>
        </w:trPr>
        <w:tc>
          <w:tcPr>
            <w:tcW w:w="4675" w:type="dxa"/>
            <w:noWrap/>
            <w:hideMark/>
          </w:tcPr>
          <w:p w:rsidRPr="0029188E" w:rsidR="0029188E" w:rsidP="0029188E" w:rsidRDefault="0029188E" w14:paraId="2DE0A566"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Arizona Public Service Company </w:t>
            </w:r>
          </w:p>
        </w:tc>
        <w:tc>
          <w:tcPr>
            <w:tcW w:w="4675" w:type="dxa"/>
            <w:noWrap/>
            <w:hideMark/>
          </w:tcPr>
          <w:p w:rsidRPr="0029188E" w:rsidR="0029188E" w:rsidP="0029188E" w:rsidRDefault="0029188E" w14:paraId="1E3604B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APS</w:t>
            </w:r>
          </w:p>
        </w:tc>
      </w:tr>
      <w:tr w:rsidRPr="0029188E" w:rsidR="0029188E" w:rsidTr="00914E04" w14:paraId="3210E7C0" w14:textId="77777777">
        <w:trPr>
          <w:trHeight w:val="288"/>
        </w:trPr>
        <w:tc>
          <w:tcPr>
            <w:tcW w:w="4675" w:type="dxa"/>
            <w:noWrap/>
            <w:hideMark/>
          </w:tcPr>
          <w:p w:rsidRPr="0029188E" w:rsidR="0029188E" w:rsidP="0029188E" w:rsidRDefault="0029188E" w14:paraId="59FF44DE"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Backbone Transportation Service</w:t>
            </w:r>
          </w:p>
        </w:tc>
        <w:tc>
          <w:tcPr>
            <w:tcW w:w="4675" w:type="dxa"/>
            <w:noWrap/>
            <w:hideMark/>
          </w:tcPr>
          <w:p w:rsidRPr="0029188E" w:rsidR="0029188E" w:rsidP="0029188E" w:rsidRDefault="0029188E" w14:paraId="3101EDE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BTS</w:t>
            </w:r>
          </w:p>
        </w:tc>
      </w:tr>
      <w:tr w:rsidRPr="0029188E" w:rsidR="0029188E" w:rsidTr="00914E04" w14:paraId="1E955ACE" w14:textId="77777777">
        <w:trPr>
          <w:trHeight w:val="288"/>
        </w:trPr>
        <w:tc>
          <w:tcPr>
            <w:tcW w:w="4675" w:type="dxa"/>
            <w:noWrap/>
            <w:hideMark/>
          </w:tcPr>
          <w:p w:rsidRPr="0029188E" w:rsidR="0029188E" w:rsidP="0029188E" w:rsidRDefault="0029188E" w14:paraId="4D977E0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Balancing Account</w:t>
            </w:r>
          </w:p>
        </w:tc>
        <w:tc>
          <w:tcPr>
            <w:tcW w:w="4675" w:type="dxa"/>
            <w:noWrap/>
            <w:hideMark/>
          </w:tcPr>
          <w:p w:rsidRPr="0029188E" w:rsidR="0029188E" w:rsidP="0029188E" w:rsidRDefault="0029188E" w14:paraId="47C9AA4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BA</w:t>
            </w:r>
          </w:p>
        </w:tc>
      </w:tr>
      <w:tr w:rsidRPr="0029188E" w:rsidR="0029188E" w:rsidTr="00914E04" w14:paraId="02F43E85" w14:textId="77777777">
        <w:trPr>
          <w:trHeight w:val="288"/>
        </w:trPr>
        <w:tc>
          <w:tcPr>
            <w:tcW w:w="4675" w:type="dxa"/>
            <w:noWrap/>
            <w:hideMark/>
          </w:tcPr>
          <w:p w:rsidRPr="0029188E" w:rsidR="0029188E" w:rsidP="0029188E" w:rsidRDefault="0029188E" w14:paraId="62C9467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Base Revenue Requirement Balancing Account</w:t>
            </w:r>
          </w:p>
        </w:tc>
        <w:tc>
          <w:tcPr>
            <w:tcW w:w="4675" w:type="dxa"/>
            <w:noWrap/>
            <w:hideMark/>
          </w:tcPr>
          <w:p w:rsidRPr="0029188E" w:rsidR="0029188E" w:rsidP="0029188E" w:rsidRDefault="0029188E" w14:paraId="5EA1DEF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BRRBA</w:t>
            </w:r>
          </w:p>
        </w:tc>
      </w:tr>
      <w:tr w:rsidRPr="0029188E" w:rsidR="0029188E" w:rsidTr="00914E04" w14:paraId="11D09E6F" w14:textId="77777777">
        <w:trPr>
          <w:trHeight w:val="288"/>
        </w:trPr>
        <w:tc>
          <w:tcPr>
            <w:tcW w:w="4675" w:type="dxa"/>
            <w:noWrap/>
            <w:hideMark/>
          </w:tcPr>
          <w:p w:rsidRPr="0029188E" w:rsidR="0029188E" w:rsidP="0029188E" w:rsidRDefault="0029188E" w14:paraId="6F0F270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Bioenergy Market Adjusting Tariff </w:t>
            </w:r>
          </w:p>
        </w:tc>
        <w:tc>
          <w:tcPr>
            <w:tcW w:w="4675" w:type="dxa"/>
            <w:noWrap/>
            <w:hideMark/>
          </w:tcPr>
          <w:p w:rsidRPr="0029188E" w:rsidR="0029188E" w:rsidP="0029188E" w:rsidRDefault="0029188E" w14:paraId="3359A9B7" w14:textId="77777777">
            <w:pPr>
              <w:spacing w:line="240" w:lineRule="auto"/>
              <w:ind w:firstLine="0"/>
              <w:rPr>
                <w:rFonts w:ascii="Calibri" w:hAnsi="Calibri" w:eastAsia="Times New Roman" w:cs="Calibri"/>
                <w:color w:val="000000"/>
                <w:sz w:val="22"/>
              </w:rPr>
            </w:pPr>
            <w:proofErr w:type="spellStart"/>
            <w:r w:rsidRPr="0029188E">
              <w:rPr>
                <w:rFonts w:ascii="Calibri" w:hAnsi="Calibri" w:eastAsia="Times New Roman" w:cs="Calibri"/>
                <w:color w:val="000000"/>
                <w:sz w:val="22"/>
              </w:rPr>
              <w:t>BioMAT</w:t>
            </w:r>
            <w:proofErr w:type="spellEnd"/>
          </w:p>
        </w:tc>
      </w:tr>
      <w:tr w:rsidRPr="0029188E" w:rsidR="0029188E" w:rsidTr="00914E04" w14:paraId="0A68C154" w14:textId="77777777">
        <w:trPr>
          <w:trHeight w:val="288"/>
        </w:trPr>
        <w:tc>
          <w:tcPr>
            <w:tcW w:w="4675" w:type="dxa"/>
            <w:noWrap/>
            <w:hideMark/>
          </w:tcPr>
          <w:p w:rsidRPr="0029188E" w:rsidR="0029188E" w:rsidP="0029188E" w:rsidRDefault="0029188E" w14:paraId="0B5AD0B5" w14:textId="77777777">
            <w:pPr>
              <w:spacing w:line="240" w:lineRule="auto"/>
              <w:ind w:firstLine="0"/>
              <w:rPr>
                <w:rFonts w:ascii="Calibri" w:hAnsi="Calibri" w:eastAsia="Times New Roman" w:cs="Calibri"/>
                <w:color w:val="000000"/>
                <w:sz w:val="22"/>
              </w:rPr>
            </w:pPr>
            <w:proofErr w:type="spellStart"/>
            <w:r w:rsidRPr="0029188E">
              <w:rPr>
                <w:rFonts w:ascii="Calibri" w:hAnsi="Calibri" w:eastAsia="Times New Roman" w:cs="Calibri"/>
                <w:color w:val="000000"/>
                <w:sz w:val="22"/>
              </w:rPr>
              <w:t>BioMAT</w:t>
            </w:r>
            <w:proofErr w:type="spellEnd"/>
            <w:r w:rsidRPr="0029188E">
              <w:rPr>
                <w:rFonts w:ascii="Calibri" w:hAnsi="Calibri" w:eastAsia="Times New Roman" w:cs="Calibri"/>
                <w:color w:val="000000"/>
                <w:sz w:val="22"/>
              </w:rPr>
              <w:t xml:space="preserve"> Non</w:t>
            </w:r>
            <w:r w:rsidRPr="0029188E">
              <w:rPr>
                <w:rFonts w:ascii="Calibri" w:hAnsi="Calibri" w:eastAsia="Times New Roman" w:cs="Calibri"/>
                <w:color w:val="000000"/>
                <w:sz w:val="22"/>
              </w:rPr>
              <w:noBreakHyphen/>
            </w:r>
            <w:proofErr w:type="spellStart"/>
            <w:r w:rsidRPr="0029188E">
              <w:rPr>
                <w:rFonts w:ascii="Calibri" w:hAnsi="Calibri" w:eastAsia="Times New Roman" w:cs="Calibri"/>
                <w:color w:val="000000"/>
                <w:sz w:val="22"/>
              </w:rPr>
              <w:t>Bypassable</w:t>
            </w:r>
            <w:proofErr w:type="spellEnd"/>
            <w:r w:rsidRPr="0029188E">
              <w:rPr>
                <w:rFonts w:ascii="Calibri" w:hAnsi="Calibri" w:eastAsia="Times New Roman" w:cs="Calibri"/>
                <w:color w:val="000000"/>
                <w:sz w:val="22"/>
              </w:rPr>
              <w:t xml:space="preserve"> Charge </w:t>
            </w:r>
          </w:p>
        </w:tc>
        <w:tc>
          <w:tcPr>
            <w:tcW w:w="4675" w:type="dxa"/>
            <w:noWrap/>
            <w:hideMark/>
          </w:tcPr>
          <w:p w:rsidRPr="0029188E" w:rsidR="0029188E" w:rsidP="0029188E" w:rsidRDefault="0029188E" w14:paraId="3605751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BMNBC</w:t>
            </w:r>
          </w:p>
        </w:tc>
      </w:tr>
      <w:tr w:rsidRPr="0029188E" w:rsidR="0029188E" w:rsidTr="00914E04" w14:paraId="1C0F48D7" w14:textId="77777777">
        <w:trPr>
          <w:trHeight w:val="288"/>
        </w:trPr>
        <w:tc>
          <w:tcPr>
            <w:tcW w:w="4675" w:type="dxa"/>
            <w:noWrap/>
            <w:hideMark/>
          </w:tcPr>
          <w:p w:rsidRPr="0029188E" w:rsidR="0029188E" w:rsidP="0029188E" w:rsidRDefault="0029188E" w14:paraId="6FCD772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California Independent System Operator</w:t>
            </w:r>
          </w:p>
        </w:tc>
        <w:tc>
          <w:tcPr>
            <w:tcW w:w="4675" w:type="dxa"/>
            <w:noWrap/>
            <w:hideMark/>
          </w:tcPr>
          <w:p w:rsidRPr="0029188E" w:rsidR="0029188E" w:rsidP="0029188E" w:rsidRDefault="0029188E" w14:paraId="3861D40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CAISO</w:t>
            </w:r>
          </w:p>
        </w:tc>
      </w:tr>
      <w:tr w:rsidRPr="0029188E" w:rsidR="0029188E" w:rsidTr="00914E04" w14:paraId="51ABEA59" w14:textId="77777777">
        <w:trPr>
          <w:trHeight w:val="288"/>
        </w:trPr>
        <w:tc>
          <w:tcPr>
            <w:tcW w:w="4675" w:type="dxa"/>
            <w:noWrap/>
            <w:hideMark/>
          </w:tcPr>
          <w:p w:rsidRPr="0029188E" w:rsidR="0029188E" w:rsidP="0029188E" w:rsidRDefault="0029188E" w14:paraId="116A1A1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Capacity Bidding Program</w:t>
            </w:r>
          </w:p>
        </w:tc>
        <w:tc>
          <w:tcPr>
            <w:tcW w:w="4675" w:type="dxa"/>
            <w:noWrap/>
            <w:hideMark/>
          </w:tcPr>
          <w:p w:rsidRPr="0029188E" w:rsidR="0029188E" w:rsidP="0029188E" w:rsidRDefault="0029188E" w14:paraId="2E78218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CBP</w:t>
            </w:r>
          </w:p>
        </w:tc>
      </w:tr>
      <w:tr w:rsidRPr="0029188E" w:rsidR="0029188E" w:rsidTr="00914E04" w14:paraId="21F83ECF" w14:textId="77777777">
        <w:trPr>
          <w:trHeight w:val="288"/>
        </w:trPr>
        <w:tc>
          <w:tcPr>
            <w:tcW w:w="4675" w:type="dxa"/>
            <w:noWrap/>
            <w:hideMark/>
          </w:tcPr>
          <w:p w:rsidRPr="0029188E" w:rsidR="0029188E" w:rsidP="0029188E" w:rsidRDefault="0029188E" w14:paraId="4B4A4727"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Central Procurement Entity </w:t>
            </w:r>
          </w:p>
        </w:tc>
        <w:tc>
          <w:tcPr>
            <w:tcW w:w="4675" w:type="dxa"/>
            <w:noWrap/>
            <w:hideMark/>
          </w:tcPr>
          <w:p w:rsidRPr="0029188E" w:rsidR="0029188E" w:rsidP="0029188E" w:rsidRDefault="0029188E" w14:paraId="7B986F7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CPE</w:t>
            </w:r>
          </w:p>
        </w:tc>
      </w:tr>
      <w:tr w:rsidRPr="0029188E" w:rsidR="0029188E" w:rsidTr="00914E04" w14:paraId="71EC4F6E" w14:textId="77777777">
        <w:trPr>
          <w:trHeight w:val="288"/>
        </w:trPr>
        <w:tc>
          <w:tcPr>
            <w:tcW w:w="4675" w:type="dxa"/>
            <w:noWrap/>
            <w:hideMark/>
          </w:tcPr>
          <w:p w:rsidRPr="0029188E" w:rsidR="0029188E" w:rsidP="0029188E" w:rsidRDefault="0029188E" w14:paraId="4B8E4F4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Combined Heat-and-Power</w:t>
            </w:r>
          </w:p>
        </w:tc>
        <w:tc>
          <w:tcPr>
            <w:tcW w:w="4675" w:type="dxa"/>
            <w:noWrap/>
            <w:hideMark/>
          </w:tcPr>
          <w:p w:rsidRPr="0029188E" w:rsidR="0029188E" w:rsidP="0029188E" w:rsidRDefault="0029188E" w14:paraId="2D8567D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CHP</w:t>
            </w:r>
          </w:p>
        </w:tc>
      </w:tr>
      <w:tr w:rsidRPr="0029188E" w:rsidR="0029188E" w:rsidTr="00914E04" w14:paraId="155CCC24" w14:textId="77777777">
        <w:trPr>
          <w:trHeight w:val="288"/>
        </w:trPr>
        <w:tc>
          <w:tcPr>
            <w:tcW w:w="4675" w:type="dxa"/>
            <w:noWrap/>
            <w:hideMark/>
          </w:tcPr>
          <w:p w:rsidRPr="0029188E" w:rsidR="0029188E" w:rsidP="0029188E" w:rsidRDefault="0029188E" w14:paraId="11B029F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Community Choice Aggregator</w:t>
            </w:r>
          </w:p>
        </w:tc>
        <w:tc>
          <w:tcPr>
            <w:tcW w:w="4675" w:type="dxa"/>
            <w:noWrap/>
            <w:hideMark/>
          </w:tcPr>
          <w:p w:rsidRPr="0029188E" w:rsidR="0029188E" w:rsidP="0029188E" w:rsidRDefault="0029188E" w14:paraId="2E47D90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CCA</w:t>
            </w:r>
          </w:p>
        </w:tc>
      </w:tr>
      <w:tr w:rsidRPr="0029188E" w:rsidR="0029188E" w:rsidTr="00914E04" w14:paraId="62581D14" w14:textId="77777777">
        <w:trPr>
          <w:trHeight w:val="288"/>
        </w:trPr>
        <w:tc>
          <w:tcPr>
            <w:tcW w:w="4675" w:type="dxa"/>
            <w:noWrap/>
            <w:hideMark/>
          </w:tcPr>
          <w:p w:rsidRPr="0029188E" w:rsidR="0029188E" w:rsidP="0029188E" w:rsidRDefault="0029188E" w14:paraId="24102D37"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Community Solar Green Tariff</w:t>
            </w:r>
          </w:p>
        </w:tc>
        <w:tc>
          <w:tcPr>
            <w:tcW w:w="4675" w:type="dxa"/>
            <w:noWrap/>
            <w:hideMark/>
          </w:tcPr>
          <w:p w:rsidRPr="0029188E" w:rsidR="0029188E" w:rsidP="0029188E" w:rsidRDefault="0029188E" w14:paraId="1BA349E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CSGT</w:t>
            </w:r>
          </w:p>
        </w:tc>
      </w:tr>
      <w:tr w:rsidRPr="0029188E" w:rsidR="0029188E" w:rsidTr="00914E04" w14:paraId="365347A3" w14:textId="77777777">
        <w:trPr>
          <w:trHeight w:val="288"/>
        </w:trPr>
        <w:tc>
          <w:tcPr>
            <w:tcW w:w="4675" w:type="dxa"/>
            <w:noWrap/>
            <w:hideMark/>
          </w:tcPr>
          <w:p w:rsidRPr="0029188E" w:rsidR="0029188E" w:rsidP="0029188E" w:rsidRDefault="0029188E" w14:paraId="69607E8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Cost Allocation Mechanism</w:t>
            </w:r>
          </w:p>
        </w:tc>
        <w:tc>
          <w:tcPr>
            <w:tcW w:w="4675" w:type="dxa"/>
            <w:noWrap/>
            <w:hideMark/>
          </w:tcPr>
          <w:p w:rsidRPr="0029188E" w:rsidR="0029188E" w:rsidP="0029188E" w:rsidRDefault="0029188E" w14:paraId="35E1E678"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CAM</w:t>
            </w:r>
          </w:p>
        </w:tc>
      </w:tr>
      <w:tr w:rsidRPr="0029188E" w:rsidR="0029188E" w:rsidTr="00914E04" w14:paraId="6C61A98A" w14:textId="77777777">
        <w:trPr>
          <w:trHeight w:val="288"/>
        </w:trPr>
        <w:tc>
          <w:tcPr>
            <w:tcW w:w="4675" w:type="dxa"/>
            <w:noWrap/>
            <w:hideMark/>
          </w:tcPr>
          <w:p w:rsidRPr="0029188E" w:rsidR="0029188E" w:rsidP="0029188E" w:rsidRDefault="0029188E" w14:paraId="33EFFAF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Cost Responsibility Surcharge</w:t>
            </w:r>
          </w:p>
        </w:tc>
        <w:tc>
          <w:tcPr>
            <w:tcW w:w="4675" w:type="dxa"/>
            <w:noWrap/>
            <w:hideMark/>
          </w:tcPr>
          <w:p w:rsidRPr="0029188E" w:rsidR="0029188E" w:rsidP="0029188E" w:rsidRDefault="0029188E" w14:paraId="187C1C98"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CRS</w:t>
            </w:r>
          </w:p>
        </w:tc>
      </w:tr>
      <w:tr w:rsidRPr="0029188E" w:rsidR="0029188E" w:rsidTr="00914E04" w14:paraId="785A74DB" w14:textId="77777777">
        <w:trPr>
          <w:trHeight w:val="288"/>
        </w:trPr>
        <w:tc>
          <w:tcPr>
            <w:tcW w:w="4675" w:type="dxa"/>
            <w:noWrap/>
            <w:hideMark/>
          </w:tcPr>
          <w:p w:rsidRPr="0029188E" w:rsidR="0029188E" w:rsidP="0029188E" w:rsidRDefault="0029188E" w14:paraId="79B2076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Customer Transition Cost</w:t>
            </w:r>
          </w:p>
        </w:tc>
        <w:tc>
          <w:tcPr>
            <w:tcW w:w="4675" w:type="dxa"/>
            <w:noWrap/>
            <w:hideMark/>
          </w:tcPr>
          <w:p w:rsidRPr="0029188E" w:rsidR="0029188E" w:rsidP="0029188E" w:rsidRDefault="0029188E" w14:paraId="3DD3907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CTC</w:t>
            </w:r>
          </w:p>
        </w:tc>
      </w:tr>
      <w:tr w:rsidRPr="0029188E" w:rsidR="0029188E" w:rsidTr="00914E04" w14:paraId="53AD8571" w14:textId="77777777">
        <w:trPr>
          <w:trHeight w:val="288"/>
        </w:trPr>
        <w:tc>
          <w:tcPr>
            <w:tcW w:w="4675" w:type="dxa"/>
            <w:noWrap/>
            <w:hideMark/>
          </w:tcPr>
          <w:p w:rsidRPr="0029188E" w:rsidR="0029188E" w:rsidP="0029188E" w:rsidRDefault="0029188E" w14:paraId="4141DBE9"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Demand Response</w:t>
            </w:r>
          </w:p>
        </w:tc>
        <w:tc>
          <w:tcPr>
            <w:tcW w:w="4675" w:type="dxa"/>
            <w:noWrap/>
            <w:hideMark/>
          </w:tcPr>
          <w:p w:rsidRPr="0029188E" w:rsidR="0029188E" w:rsidP="0029188E" w:rsidRDefault="0029188E" w14:paraId="169E5848"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DR</w:t>
            </w:r>
          </w:p>
        </w:tc>
      </w:tr>
      <w:tr w:rsidRPr="0029188E" w:rsidR="0029188E" w:rsidTr="00914E04" w14:paraId="40E3328C" w14:textId="77777777">
        <w:trPr>
          <w:trHeight w:val="288"/>
        </w:trPr>
        <w:tc>
          <w:tcPr>
            <w:tcW w:w="4675" w:type="dxa"/>
            <w:noWrap/>
            <w:hideMark/>
          </w:tcPr>
          <w:p w:rsidRPr="0029188E" w:rsidR="0029188E" w:rsidP="0029188E" w:rsidRDefault="0029188E" w14:paraId="42E51E3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Demand Response Program Balancing Account </w:t>
            </w:r>
          </w:p>
        </w:tc>
        <w:tc>
          <w:tcPr>
            <w:tcW w:w="4675" w:type="dxa"/>
            <w:noWrap/>
            <w:hideMark/>
          </w:tcPr>
          <w:p w:rsidRPr="0029188E" w:rsidR="0029188E" w:rsidP="0029188E" w:rsidRDefault="0029188E" w14:paraId="6AC5C9F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DRPBA</w:t>
            </w:r>
          </w:p>
        </w:tc>
      </w:tr>
      <w:tr w:rsidRPr="0029188E" w:rsidR="0029188E" w:rsidTr="00914E04" w14:paraId="5CE1EF8C" w14:textId="77777777">
        <w:trPr>
          <w:trHeight w:val="288"/>
        </w:trPr>
        <w:tc>
          <w:tcPr>
            <w:tcW w:w="4675" w:type="dxa"/>
            <w:noWrap/>
            <w:hideMark/>
          </w:tcPr>
          <w:p w:rsidRPr="0029188E" w:rsidR="0029188E" w:rsidP="0029188E" w:rsidRDefault="0029188E" w14:paraId="671708E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Direct Access</w:t>
            </w:r>
          </w:p>
        </w:tc>
        <w:tc>
          <w:tcPr>
            <w:tcW w:w="4675" w:type="dxa"/>
            <w:noWrap/>
            <w:hideMark/>
          </w:tcPr>
          <w:p w:rsidRPr="0029188E" w:rsidR="0029188E" w:rsidP="0029188E" w:rsidRDefault="0029188E" w14:paraId="79BCD91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DA</w:t>
            </w:r>
          </w:p>
        </w:tc>
      </w:tr>
      <w:tr w:rsidRPr="0029188E" w:rsidR="0029188E" w:rsidTr="00914E04" w14:paraId="25F529E3" w14:textId="77777777">
        <w:trPr>
          <w:trHeight w:val="288"/>
        </w:trPr>
        <w:tc>
          <w:tcPr>
            <w:tcW w:w="4675" w:type="dxa"/>
            <w:noWrap/>
            <w:hideMark/>
          </w:tcPr>
          <w:p w:rsidRPr="0029188E" w:rsidR="0029188E" w:rsidP="0029188E" w:rsidRDefault="0029188E" w14:paraId="62AFA8B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Disadvantaged Communities</w:t>
            </w:r>
          </w:p>
        </w:tc>
        <w:tc>
          <w:tcPr>
            <w:tcW w:w="4675" w:type="dxa"/>
            <w:noWrap/>
            <w:hideMark/>
          </w:tcPr>
          <w:p w:rsidRPr="0029188E" w:rsidR="0029188E" w:rsidP="0029188E" w:rsidRDefault="0029188E" w14:paraId="07E98DE4"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DAC</w:t>
            </w:r>
          </w:p>
        </w:tc>
      </w:tr>
      <w:tr w:rsidRPr="0029188E" w:rsidR="0029188E" w:rsidTr="00914E04" w14:paraId="1D635269" w14:textId="77777777">
        <w:trPr>
          <w:trHeight w:val="288"/>
        </w:trPr>
        <w:tc>
          <w:tcPr>
            <w:tcW w:w="4675" w:type="dxa"/>
            <w:noWrap/>
            <w:hideMark/>
          </w:tcPr>
          <w:p w:rsidRPr="0029188E" w:rsidR="0029188E" w:rsidP="0029188E" w:rsidRDefault="0029188E" w14:paraId="4954BCE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Emissions-Intensive Trade-Exposed</w:t>
            </w:r>
          </w:p>
        </w:tc>
        <w:tc>
          <w:tcPr>
            <w:tcW w:w="4675" w:type="dxa"/>
            <w:noWrap/>
            <w:hideMark/>
          </w:tcPr>
          <w:p w:rsidRPr="0029188E" w:rsidR="0029188E" w:rsidP="0029188E" w:rsidRDefault="0029188E" w14:paraId="52E1040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EITE</w:t>
            </w:r>
          </w:p>
        </w:tc>
      </w:tr>
      <w:tr w:rsidRPr="0029188E" w:rsidR="0029188E" w:rsidTr="00914E04" w14:paraId="0351D52C" w14:textId="77777777">
        <w:trPr>
          <w:trHeight w:val="288"/>
        </w:trPr>
        <w:tc>
          <w:tcPr>
            <w:tcW w:w="4675" w:type="dxa"/>
            <w:noWrap/>
          </w:tcPr>
          <w:p w:rsidRPr="0029188E" w:rsidR="0029188E" w:rsidP="0029188E" w:rsidRDefault="0029188E" w14:paraId="065D5AE4"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Energy Efficiency</w:t>
            </w:r>
          </w:p>
        </w:tc>
        <w:tc>
          <w:tcPr>
            <w:tcW w:w="4675" w:type="dxa"/>
            <w:noWrap/>
          </w:tcPr>
          <w:p w:rsidRPr="0029188E" w:rsidR="0029188E" w:rsidP="0029188E" w:rsidRDefault="0029188E" w14:paraId="4674A10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EE</w:t>
            </w:r>
          </w:p>
        </w:tc>
      </w:tr>
      <w:tr w:rsidRPr="0029188E" w:rsidR="0029188E" w:rsidTr="00914E04" w14:paraId="526932AA" w14:textId="77777777">
        <w:trPr>
          <w:trHeight w:val="288"/>
        </w:trPr>
        <w:tc>
          <w:tcPr>
            <w:tcW w:w="4675" w:type="dxa"/>
            <w:noWrap/>
            <w:hideMark/>
          </w:tcPr>
          <w:p w:rsidRPr="0029188E" w:rsidR="0029188E" w:rsidP="0029188E" w:rsidRDefault="0029188E" w14:paraId="756BADB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Energy Resource Recovery Account</w:t>
            </w:r>
          </w:p>
        </w:tc>
        <w:tc>
          <w:tcPr>
            <w:tcW w:w="4675" w:type="dxa"/>
            <w:noWrap/>
            <w:hideMark/>
          </w:tcPr>
          <w:p w:rsidRPr="0029188E" w:rsidR="0029188E" w:rsidP="0029188E" w:rsidRDefault="0029188E" w14:paraId="3EF4DA58"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ERRA</w:t>
            </w:r>
          </w:p>
        </w:tc>
      </w:tr>
      <w:tr w:rsidRPr="0029188E" w:rsidR="0029188E" w:rsidTr="00914E04" w14:paraId="1633E5E9" w14:textId="77777777">
        <w:trPr>
          <w:trHeight w:val="288"/>
        </w:trPr>
        <w:tc>
          <w:tcPr>
            <w:tcW w:w="4675" w:type="dxa"/>
            <w:noWrap/>
            <w:hideMark/>
          </w:tcPr>
          <w:p w:rsidRPr="0029188E" w:rsidR="0029188E" w:rsidP="0029188E" w:rsidRDefault="0029188E" w14:paraId="28C995A7"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Energy Service Providers</w:t>
            </w:r>
          </w:p>
        </w:tc>
        <w:tc>
          <w:tcPr>
            <w:tcW w:w="4675" w:type="dxa"/>
            <w:noWrap/>
            <w:hideMark/>
          </w:tcPr>
          <w:p w:rsidRPr="0029188E" w:rsidR="0029188E" w:rsidP="0029188E" w:rsidRDefault="0029188E" w14:paraId="587EDEB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ESP</w:t>
            </w:r>
          </w:p>
        </w:tc>
      </w:tr>
      <w:tr w:rsidRPr="0029188E" w:rsidR="0029188E" w:rsidTr="00914E04" w14:paraId="17597C9F" w14:textId="77777777">
        <w:trPr>
          <w:trHeight w:val="288"/>
        </w:trPr>
        <w:tc>
          <w:tcPr>
            <w:tcW w:w="4675" w:type="dxa"/>
            <w:noWrap/>
            <w:hideMark/>
          </w:tcPr>
          <w:p w:rsidRPr="0029188E" w:rsidR="0029188E" w:rsidP="0029188E" w:rsidRDefault="0029188E" w14:paraId="6007C8A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Energy Settlement Memorandum Account</w:t>
            </w:r>
          </w:p>
        </w:tc>
        <w:tc>
          <w:tcPr>
            <w:tcW w:w="4675" w:type="dxa"/>
            <w:noWrap/>
            <w:hideMark/>
          </w:tcPr>
          <w:p w:rsidRPr="0029188E" w:rsidR="0029188E" w:rsidP="0029188E" w:rsidRDefault="0029188E" w14:paraId="25AA750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ESMA</w:t>
            </w:r>
          </w:p>
        </w:tc>
      </w:tr>
      <w:tr w:rsidRPr="0029188E" w:rsidR="0029188E" w:rsidTr="00914E04" w14:paraId="5468FEC0" w14:textId="77777777">
        <w:trPr>
          <w:trHeight w:val="288"/>
        </w:trPr>
        <w:tc>
          <w:tcPr>
            <w:tcW w:w="4675" w:type="dxa"/>
            <w:noWrap/>
            <w:hideMark/>
          </w:tcPr>
          <w:p w:rsidRPr="0029188E" w:rsidR="0029188E" w:rsidP="0029188E" w:rsidRDefault="0029188E" w14:paraId="5F0E8DC4"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Enhanced Community Renewables </w:t>
            </w:r>
          </w:p>
        </w:tc>
        <w:tc>
          <w:tcPr>
            <w:tcW w:w="4675" w:type="dxa"/>
            <w:noWrap/>
            <w:hideMark/>
          </w:tcPr>
          <w:p w:rsidRPr="0029188E" w:rsidR="0029188E" w:rsidP="0029188E" w:rsidRDefault="0029188E" w14:paraId="4C618646"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ECR</w:t>
            </w:r>
          </w:p>
        </w:tc>
      </w:tr>
      <w:tr w:rsidRPr="0029188E" w:rsidR="0029188E" w:rsidTr="00914E04" w14:paraId="7D47FC4E" w14:textId="77777777">
        <w:trPr>
          <w:trHeight w:val="288"/>
        </w:trPr>
        <w:tc>
          <w:tcPr>
            <w:tcW w:w="4675" w:type="dxa"/>
            <w:noWrap/>
            <w:hideMark/>
          </w:tcPr>
          <w:p w:rsidRPr="0029188E" w:rsidR="0029188E" w:rsidP="0029188E" w:rsidRDefault="0029188E" w14:paraId="5B01E4F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ERRA Balancing Account</w:t>
            </w:r>
          </w:p>
        </w:tc>
        <w:tc>
          <w:tcPr>
            <w:tcW w:w="4675" w:type="dxa"/>
            <w:noWrap/>
            <w:hideMark/>
          </w:tcPr>
          <w:p w:rsidRPr="0029188E" w:rsidR="0029188E" w:rsidP="0029188E" w:rsidRDefault="0029188E" w14:paraId="72BAA48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ERRA BA</w:t>
            </w:r>
          </w:p>
        </w:tc>
      </w:tr>
      <w:tr w:rsidRPr="0029188E" w:rsidR="0029188E" w:rsidTr="00914E04" w14:paraId="11719850" w14:textId="77777777">
        <w:trPr>
          <w:trHeight w:val="288"/>
        </w:trPr>
        <w:tc>
          <w:tcPr>
            <w:tcW w:w="4675" w:type="dxa"/>
            <w:noWrap/>
            <w:hideMark/>
          </w:tcPr>
          <w:p w:rsidRPr="0029188E" w:rsidR="0029188E" w:rsidP="0029188E" w:rsidRDefault="0029188E" w14:paraId="4DA72E0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Franchise Fee and Uncollectible Factor </w:t>
            </w:r>
          </w:p>
        </w:tc>
        <w:tc>
          <w:tcPr>
            <w:tcW w:w="4675" w:type="dxa"/>
            <w:noWrap/>
            <w:hideMark/>
          </w:tcPr>
          <w:p w:rsidRPr="0029188E" w:rsidR="0029188E" w:rsidP="0029188E" w:rsidRDefault="0029188E" w14:paraId="219CA4F9"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FF&amp;U</w:t>
            </w:r>
          </w:p>
        </w:tc>
      </w:tr>
      <w:tr w:rsidRPr="0029188E" w:rsidR="0029188E" w:rsidTr="00914E04" w14:paraId="6A927C48" w14:textId="77777777">
        <w:trPr>
          <w:trHeight w:val="288"/>
        </w:trPr>
        <w:tc>
          <w:tcPr>
            <w:tcW w:w="4675" w:type="dxa"/>
            <w:noWrap/>
            <w:hideMark/>
          </w:tcPr>
          <w:p w:rsidRPr="0029188E" w:rsidR="0029188E" w:rsidP="0029188E" w:rsidRDefault="0029188E" w14:paraId="4DECDCD9"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Fuel and Purchase Power </w:t>
            </w:r>
          </w:p>
        </w:tc>
        <w:tc>
          <w:tcPr>
            <w:tcW w:w="4675" w:type="dxa"/>
            <w:noWrap/>
            <w:hideMark/>
          </w:tcPr>
          <w:p w:rsidRPr="0029188E" w:rsidR="0029188E" w:rsidP="0029188E" w:rsidRDefault="0029188E" w14:paraId="12E15BF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F&amp;PP</w:t>
            </w:r>
          </w:p>
        </w:tc>
      </w:tr>
      <w:tr w:rsidRPr="0029188E" w:rsidR="0029188E" w:rsidTr="00914E04" w14:paraId="75EFCF5B" w14:textId="77777777">
        <w:trPr>
          <w:trHeight w:val="288"/>
        </w:trPr>
        <w:tc>
          <w:tcPr>
            <w:tcW w:w="4675" w:type="dxa"/>
            <w:noWrap/>
            <w:hideMark/>
          </w:tcPr>
          <w:p w:rsidRPr="0029188E" w:rsidR="0029188E" w:rsidP="0029188E" w:rsidRDefault="0029188E" w14:paraId="10B6B6A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Gigawatt Hours</w:t>
            </w:r>
          </w:p>
        </w:tc>
        <w:tc>
          <w:tcPr>
            <w:tcW w:w="4675" w:type="dxa"/>
            <w:noWrap/>
            <w:hideMark/>
          </w:tcPr>
          <w:p w:rsidRPr="0029188E" w:rsidR="0029188E" w:rsidP="0029188E" w:rsidRDefault="0029188E" w14:paraId="4C8A6FC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GWh</w:t>
            </w:r>
          </w:p>
        </w:tc>
      </w:tr>
      <w:tr w:rsidRPr="0029188E" w:rsidR="0029188E" w:rsidTr="00914E04" w14:paraId="099E4AA0" w14:textId="77777777">
        <w:trPr>
          <w:trHeight w:val="288"/>
        </w:trPr>
        <w:tc>
          <w:tcPr>
            <w:tcW w:w="4675" w:type="dxa"/>
            <w:noWrap/>
            <w:hideMark/>
          </w:tcPr>
          <w:p w:rsidRPr="0029188E" w:rsidR="0029188E" w:rsidP="0029188E" w:rsidRDefault="0029188E" w14:paraId="0BF2C5A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Green Tariff Shared Renewables Program</w:t>
            </w:r>
          </w:p>
        </w:tc>
        <w:tc>
          <w:tcPr>
            <w:tcW w:w="4675" w:type="dxa"/>
            <w:noWrap/>
            <w:hideMark/>
          </w:tcPr>
          <w:p w:rsidRPr="0029188E" w:rsidR="0029188E" w:rsidP="0029188E" w:rsidRDefault="0029188E" w14:paraId="7B9476C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GTSR</w:t>
            </w:r>
          </w:p>
        </w:tc>
      </w:tr>
      <w:tr w:rsidRPr="0029188E" w:rsidR="0029188E" w:rsidTr="00914E04" w14:paraId="2502572C" w14:textId="77777777">
        <w:trPr>
          <w:trHeight w:val="288"/>
        </w:trPr>
        <w:tc>
          <w:tcPr>
            <w:tcW w:w="4675" w:type="dxa"/>
            <w:noWrap/>
            <w:hideMark/>
          </w:tcPr>
          <w:p w:rsidRPr="0029188E" w:rsidR="0029188E" w:rsidP="0029188E" w:rsidRDefault="0029188E" w14:paraId="18A19FC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Greenhouse Gas</w:t>
            </w:r>
          </w:p>
        </w:tc>
        <w:tc>
          <w:tcPr>
            <w:tcW w:w="4675" w:type="dxa"/>
            <w:noWrap/>
            <w:hideMark/>
          </w:tcPr>
          <w:p w:rsidRPr="0029188E" w:rsidR="0029188E" w:rsidP="0029188E" w:rsidRDefault="0029188E" w14:paraId="0B7BBCB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GHG</w:t>
            </w:r>
          </w:p>
        </w:tc>
      </w:tr>
      <w:tr w:rsidRPr="0029188E" w:rsidR="0029188E" w:rsidTr="00914E04" w14:paraId="1B57725E" w14:textId="77777777">
        <w:trPr>
          <w:trHeight w:val="288"/>
        </w:trPr>
        <w:tc>
          <w:tcPr>
            <w:tcW w:w="4675" w:type="dxa"/>
            <w:noWrap/>
            <w:hideMark/>
          </w:tcPr>
          <w:p w:rsidRPr="0029188E" w:rsidR="0029188E" w:rsidP="0029188E" w:rsidRDefault="0029188E" w14:paraId="65D70567"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Independent Spent Fuel Storage Installation </w:t>
            </w:r>
          </w:p>
        </w:tc>
        <w:tc>
          <w:tcPr>
            <w:tcW w:w="4675" w:type="dxa"/>
            <w:noWrap/>
            <w:hideMark/>
          </w:tcPr>
          <w:p w:rsidRPr="0029188E" w:rsidR="0029188E" w:rsidP="0029188E" w:rsidRDefault="0029188E" w14:paraId="04F73922"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ISFSI</w:t>
            </w:r>
          </w:p>
        </w:tc>
      </w:tr>
      <w:tr w:rsidRPr="0029188E" w:rsidR="0029188E" w:rsidTr="00914E04" w14:paraId="5DBBE89B" w14:textId="77777777">
        <w:trPr>
          <w:trHeight w:val="288"/>
        </w:trPr>
        <w:tc>
          <w:tcPr>
            <w:tcW w:w="4675" w:type="dxa"/>
            <w:noWrap/>
            <w:hideMark/>
          </w:tcPr>
          <w:p w:rsidRPr="0029188E" w:rsidR="0029188E" w:rsidP="0029188E" w:rsidRDefault="0029188E" w14:paraId="04CB4FA7"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Kilowatt</w:t>
            </w:r>
          </w:p>
        </w:tc>
        <w:tc>
          <w:tcPr>
            <w:tcW w:w="4675" w:type="dxa"/>
            <w:noWrap/>
            <w:hideMark/>
          </w:tcPr>
          <w:p w:rsidRPr="0029188E" w:rsidR="0029188E" w:rsidP="0029188E" w:rsidRDefault="0029188E" w14:paraId="06BB626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kW</w:t>
            </w:r>
          </w:p>
        </w:tc>
      </w:tr>
      <w:tr w:rsidRPr="0029188E" w:rsidR="0029188E" w:rsidTr="00914E04" w14:paraId="0389FF24" w14:textId="77777777">
        <w:trPr>
          <w:trHeight w:val="288"/>
        </w:trPr>
        <w:tc>
          <w:tcPr>
            <w:tcW w:w="4675" w:type="dxa"/>
            <w:noWrap/>
            <w:hideMark/>
          </w:tcPr>
          <w:p w:rsidRPr="0029188E" w:rsidR="0029188E" w:rsidP="0029188E" w:rsidRDefault="0029188E" w14:paraId="0CD7699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Kilowatt Hour</w:t>
            </w:r>
          </w:p>
        </w:tc>
        <w:tc>
          <w:tcPr>
            <w:tcW w:w="4675" w:type="dxa"/>
            <w:noWrap/>
            <w:hideMark/>
          </w:tcPr>
          <w:p w:rsidRPr="0029188E" w:rsidR="0029188E" w:rsidP="0029188E" w:rsidRDefault="0029188E" w14:paraId="3EF97854"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kWh</w:t>
            </w:r>
          </w:p>
        </w:tc>
      </w:tr>
      <w:tr w:rsidRPr="0029188E" w:rsidR="0029188E" w:rsidTr="00914E04" w14:paraId="4FBCF470" w14:textId="77777777">
        <w:trPr>
          <w:trHeight w:val="288"/>
        </w:trPr>
        <w:tc>
          <w:tcPr>
            <w:tcW w:w="4675" w:type="dxa"/>
            <w:noWrap/>
            <w:hideMark/>
          </w:tcPr>
          <w:p w:rsidRPr="0029188E" w:rsidR="0029188E" w:rsidP="0029188E" w:rsidRDefault="0029188E" w14:paraId="600DCCA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Least-Cost Dispatch</w:t>
            </w:r>
          </w:p>
        </w:tc>
        <w:tc>
          <w:tcPr>
            <w:tcW w:w="4675" w:type="dxa"/>
            <w:noWrap/>
            <w:hideMark/>
          </w:tcPr>
          <w:p w:rsidRPr="0029188E" w:rsidR="0029188E" w:rsidP="0029188E" w:rsidRDefault="0029188E" w14:paraId="0C706AC6"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LCD</w:t>
            </w:r>
          </w:p>
        </w:tc>
      </w:tr>
      <w:tr w:rsidRPr="0029188E" w:rsidR="0029188E" w:rsidTr="00914E04" w14:paraId="63667622" w14:textId="77777777">
        <w:trPr>
          <w:trHeight w:val="288"/>
        </w:trPr>
        <w:tc>
          <w:tcPr>
            <w:tcW w:w="4675" w:type="dxa"/>
            <w:noWrap/>
            <w:hideMark/>
          </w:tcPr>
          <w:p w:rsidRPr="0029188E" w:rsidR="0029188E" w:rsidP="0029188E" w:rsidRDefault="0029188E" w14:paraId="1EFA439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Litigation Costs Tracking Account </w:t>
            </w:r>
          </w:p>
        </w:tc>
        <w:tc>
          <w:tcPr>
            <w:tcW w:w="4675" w:type="dxa"/>
            <w:noWrap/>
            <w:hideMark/>
          </w:tcPr>
          <w:p w:rsidRPr="0029188E" w:rsidR="0029188E" w:rsidP="0029188E" w:rsidRDefault="0029188E" w14:paraId="02005FC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LCTA</w:t>
            </w:r>
          </w:p>
        </w:tc>
      </w:tr>
      <w:tr w:rsidRPr="0029188E" w:rsidR="0029188E" w:rsidTr="00914E04" w14:paraId="097AAB02" w14:textId="77777777">
        <w:trPr>
          <w:trHeight w:val="288"/>
        </w:trPr>
        <w:tc>
          <w:tcPr>
            <w:tcW w:w="4675" w:type="dxa"/>
            <w:noWrap/>
            <w:hideMark/>
          </w:tcPr>
          <w:p w:rsidRPr="0029188E" w:rsidR="0029188E" w:rsidP="0029188E" w:rsidRDefault="0029188E" w14:paraId="6CCEDC54"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Load Serving Entity</w:t>
            </w:r>
          </w:p>
        </w:tc>
        <w:tc>
          <w:tcPr>
            <w:tcW w:w="4675" w:type="dxa"/>
            <w:noWrap/>
            <w:hideMark/>
          </w:tcPr>
          <w:p w:rsidRPr="0029188E" w:rsidR="0029188E" w:rsidP="0029188E" w:rsidRDefault="0029188E" w14:paraId="56E77B86"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LSE</w:t>
            </w:r>
          </w:p>
        </w:tc>
      </w:tr>
      <w:tr w:rsidRPr="0029188E" w:rsidR="0029188E" w:rsidTr="00914E04" w14:paraId="32E99BB2" w14:textId="77777777">
        <w:trPr>
          <w:trHeight w:val="288"/>
        </w:trPr>
        <w:tc>
          <w:tcPr>
            <w:tcW w:w="4675" w:type="dxa"/>
            <w:noWrap/>
            <w:hideMark/>
          </w:tcPr>
          <w:p w:rsidRPr="0029188E" w:rsidR="0029188E" w:rsidP="0029188E" w:rsidRDefault="0029188E" w14:paraId="41FF31B6"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Local Capacity Requirement</w:t>
            </w:r>
          </w:p>
        </w:tc>
        <w:tc>
          <w:tcPr>
            <w:tcW w:w="4675" w:type="dxa"/>
            <w:noWrap/>
            <w:hideMark/>
          </w:tcPr>
          <w:p w:rsidRPr="0029188E" w:rsidR="0029188E" w:rsidP="0029188E" w:rsidRDefault="0029188E" w14:paraId="7622DF9E"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LCR</w:t>
            </w:r>
          </w:p>
        </w:tc>
      </w:tr>
      <w:tr w:rsidRPr="0029188E" w:rsidR="0029188E" w:rsidTr="00914E04" w14:paraId="1578960A" w14:textId="77777777">
        <w:trPr>
          <w:trHeight w:val="288"/>
        </w:trPr>
        <w:tc>
          <w:tcPr>
            <w:tcW w:w="4675" w:type="dxa"/>
            <w:noWrap/>
            <w:hideMark/>
          </w:tcPr>
          <w:p w:rsidRPr="0029188E" w:rsidR="0029188E" w:rsidP="0029188E" w:rsidRDefault="0029188E" w14:paraId="4706D9B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Market Price Benchmark</w:t>
            </w:r>
          </w:p>
        </w:tc>
        <w:tc>
          <w:tcPr>
            <w:tcW w:w="4675" w:type="dxa"/>
            <w:noWrap/>
            <w:hideMark/>
          </w:tcPr>
          <w:p w:rsidRPr="0029188E" w:rsidR="0029188E" w:rsidP="0029188E" w:rsidRDefault="0029188E" w14:paraId="6CDA804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MPB</w:t>
            </w:r>
          </w:p>
        </w:tc>
      </w:tr>
      <w:tr w:rsidRPr="0029188E" w:rsidR="0029188E" w:rsidTr="00914E04" w14:paraId="46CD6615" w14:textId="77777777">
        <w:trPr>
          <w:trHeight w:val="288"/>
        </w:trPr>
        <w:tc>
          <w:tcPr>
            <w:tcW w:w="4675" w:type="dxa"/>
            <w:noWrap/>
            <w:hideMark/>
          </w:tcPr>
          <w:p w:rsidRPr="0029188E" w:rsidR="0029188E" w:rsidP="0029188E" w:rsidRDefault="0029188E" w14:paraId="4E20BA8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lastRenderedPageBreak/>
              <w:t>Megawatt</w:t>
            </w:r>
          </w:p>
        </w:tc>
        <w:tc>
          <w:tcPr>
            <w:tcW w:w="4675" w:type="dxa"/>
            <w:noWrap/>
            <w:hideMark/>
          </w:tcPr>
          <w:p w:rsidRPr="0029188E" w:rsidR="0029188E" w:rsidP="0029188E" w:rsidRDefault="0029188E" w14:paraId="58A1808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MW</w:t>
            </w:r>
          </w:p>
        </w:tc>
      </w:tr>
      <w:tr w:rsidRPr="0029188E" w:rsidR="0029188E" w:rsidTr="00914E04" w14:paraId="530D6A23" w14:textId="77777777">
        <w:trPr>
          <w:trHeight w:val="288"/>
        </w:trPr>
        <w:tc>
          <w:tcPr>
            <w:tcW w:w="4675" w:type="dxa"/>
            <w:noWrap/>
            <w:hideMark/>
          </w:tcPr>
          <w:p w:rsidRPr="0029188E" w:rsidR="0029188E" w:rsidP="0029188E" w:rsidRDefault="0029188E" w14:paraId="50D20AB2"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Mid-Term Reliability</w:t>
            </w:r>
          </w:p>
        </w:tc>
        <w:tc>
          <w:tcPr>
            <w:tcW w:w="4675" w:type="dxa"/>
            <w:noWrap/>
            <w:hideMark/>
          </w:tcPr>
          <w:p w:rsidRPr="0029188E" w:rsidR="0029188E" w:rsidP="0029188E" w:rsidRDefault="0029188E" w14:paraId="24F12B0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MTR</w:t>
            </w:r>
          </w:p>
        </w:tc>
      </w:tr>
      <w:tr w:rsidRPr="0029188E" w:rsidR="0029188E" w:rsidTr="00914E04" w14:paraId="1A7EE190" w14:textId="77777777">
        <w:trPr>
          <w:trHeight w:val="288"/>
        </w:trPr>
        <w:tc>
          <w:tcPr>
            <w:tcW w:w="4675" w:type="dxa"/>
            <w:noWrap/>
            <w:hideMark/>
          </w:tcPr>
          <w:p w:rsidRPr="0029188E" w:rsidR="0029188E" w:rsidP="0029188E" w:rsidRDefault="0029188E" w14:paraId="44ADA77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Million British Thermal Units</w:t>
            </w:r>
          </w:p>
        </w:tc>
        <w:tc>
          <w:tcPr>
            <w:tcW w:w="4675" w:type="dxa"/>
            <w:noWrap/>
            <w:hideMark/>
          </w:tcPr>
          <w:p w:rsidRPr="0029188E" w:rsidR="0029188E" w:rsidP="0029188E" w:rsidRDefault="0029188E" w14:paraId="54FD750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MMBtu</w:t>
            </w:r>
          </w:p>
        </w:tc>
      </w:tr>
      <w:tr w:rsidRPr="0029188E" w:rsidR="0029188E" w:rsidTr="00914E04" w14:paraId="2ECD4660" w14:textId="77777777">
        <w:trPr>
          <w:trHeight w:val="288"/>
        </w:trPr>
        <w:tc>
          <w:tcPr>
            <w:tcW w:w="4675" w:type="dxa"/>
            <w:noWrap/>
            <w:hideMark/>
          </w:tcPr>
          <w:p w:rsidRPr="0029188E" w:rsidR="0029188E" w:rsidP="0029188E" w:rsidRDefault="0029188E" w14:paraId="10A0134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Modified Cost Allocation Mechanism</w:t>
            </w:r>
          </w:p>
        </w:tc>
        <w:tc>
          <w:tcPr>
            <w:tcW w:w="4675" w:type="dxa"/>
            <w:noWrap/>
            <w:hideMark/>
          </w:tcPr>
          <w:p w:rsidRPr="0029188E" w:rsidR="0029188E" w:rsidP="0029188E" w:rsidRDefault="0029188E" w14:paraId="680F5218"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MCAM</w:t>
            </w:r>
          </w:p>
        </w:tc>
      </w:tr>
      <w:tr w:rsidRPr="0029188E" w:rsidR="0029188E" w:rsidTr="00914E04" w14:paraId="65692CF4" w14:textId="77777777">
        <w:trPr>
          <w:trHeight w:val="288"/>
        </w:trPr>
        <w:tc>
          <w:tcPr>
            <w:tcW w:w="4675" w:type="dxa"/>
            <w:noWrap/>
            <w:hideMark/>
          </w:tcPr>
          <w:p w:rsidRPr="0029188E" w:rsidR="0029188E" w:rsidP="0029188E" w:rsidRDefault="0029188E" w14:paraId="14119AA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Net Energy Metering</w:t>
            </w:r>
          </w:p>
        </w:tc>
        <w:tc>
          <w:tcPr>
            <w:tcW w:w="4675" w:type="dxa"/>
            <w:noWrap/>
            <w:hideMark/>
          </w:tcPr>
          <w:p w:rsidRPr="0029188E" w:rsidR="0029188E" w:rsidP="0029188E" w:rsidRDefault="0029188E" w14:paraId="0267DBD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NEM</w:t>
            </w:r>
          </w:p>
        </w:tc>
      </w:tr>
      <w:tr w:rsidRPr="0029188E" w:rsidR="0029188E" w:rsidTr="00914E04" w14:paraId="686DEEBD" w14:textId="77777777">
        <w:trPr>
          <w:trHeight w:val="288"/>
        </w:trPr>
        <w:tc>
          <w:tcPr>
            <w:tcW w:w="4675" w:type="dxa"/>
            <w:noWrap/>
            <w:hideMark/>
          </w:tcPr>
          <w:p w:rsidRPr="0029188E" w:rsidR="0029188E" w:rsidP="0029188E" w:rsidRDefault="0029188E" w14:paraId="0EEE7DC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New System Generation</w:t>
            </w:r>
          </w:p>
        </w:tc>
        <w:tc>
          <w:tcPr>
            <w:tcW w:w="4675" w:type="dxa"/>
            <w:noWrap/>
            <w:hideMark/>
          </w:tcPr>
          <w:p w:rsidRPr="0029188E" w:rsidR="0029188E" w:rsidP="0029188E" w:rsidRDefault="0029188E" w14:paraId="6E5C5D2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NSG</w:t>
            </w:r>
          </w:p>
        </w:tc>
      </w:tr>
      <w:tr w:rsidRPr="0029188E" w:rsidR="0029188E" w:rsidTr="00914E04" w14:paraId="7B5120F3" w14:textId="77777777">
        <w:trPr>
          <w:trHeight w:val="288"/>
        </w:trPr>
        <w:tc>
          <w:tcPr>
            <w:tcW w:w="4675" w:type="dxa"/>
            <w:noWrap/>
            <w:hideMark/>
          </w:tcPr>
          <w:p w:rsidRPr="0029188E" w:rsidR="0029188E" w:rsidP="0029188E" w:rsidRDefault="0029188E" w14:paraId="5C6CBF92"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Non-</w:t>
            </w:r>
            <w:proofErr w:type="spellStart"/>
            <w:r w:rsidRPr="0029188E">
              <w:rPr>
                <w:rFonts w:ascii="Calibri" w:hAnsi="Calibri" w:eastAsia="Times New Roman" w:cs="Calibri"/>
                <w:color w:val="000000"/>
                <w:sz w:val="22"/>
              </w:rPr>
              <w:t>Bypassable</w:t>
            </w:r>
            <w:proofErr w:type="spellEnd"/>
            <w:r w:rsidRPr="0029188E">
              <w:rPr>
                <w:rFonts w:ascii="Calibri" w:hAnsi="Calibri" w:eastAsia="Times New Roman" w:cs="Calibri"/>
                <w:color w:val="000000"/>
                <w:sz w:val="22"/>
              </w:rPr>
              <w:t xml:space="preserve"> Charge</w:t>
            </w:r>
          </w:p>
        </w:tc>
        <w:tc>
          <w:tcPr>
            <w:tcW w:w="4675" w:type="dxa"/>
            <w:noWrap/>
            <w:hideMark/>
          </w:tcPr>
          <w:p w:rsidRPr="0029188E" w:rsidR="0029188E" w:rsidP="0029188E" w:rsidRDefault="0029188E" w14:paraId="52FE27FE"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NBC</w:t>
            </w:r>
          </w:p>
        </w:tc>
      </w:tr>
      <w:tr w:rsidRPr="0029188E" w:rsidR="0029188E" w:rsidTr="00914E04" w14:paraId="6341CD47" w14:textId="77777777">
        <w:trPr>
          <w:trHeight w:val="288"/>
        </w:trPr>
        <w:tc>
          <w:tcPr>
            <w:tcW w:w="4675" w:type="dxa"/>
            <w:noWrap/>
            <w:hideMark/>
          </w:tcPr>
          <w:p w:rsidRPr="0029188E" w:rsidR="0029188E" w:rsidP="0029188E" w:rsidRDefault="0029188E" w14:paraId="7269F6C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Orange County Power Authority</w:t>
            </w:r>
          </w:p>
        </w:tc>
        <w:tc>
          <w:tcPr>
            <w:tcW w:w="4675" w:type="dxa"/>
            <w:noWrap/>
            <w:hideMark/>
          </w:tcPr>
          <w:p w:rsidRPr="0029188E" w:rsidR="0029188E" w:rsidP="0029188E" w:rsidRDefault="0029188E" w14:paraId="662CE45E"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OCPA</w:t>
            </w:r>
          </w:p>
        </w:tc>
      </w:tr>
      <w:tr w:rsidRPr="0029188E" w:rsidR="0029188E" w:rsidTr="00914E04" w14:paraId="261190C3" w14:textId="77777777">
        <w:trPr>
          <w:trHeight w:val="288"/>
        </w:trPr>
        <w:tc>
          <w:tcPr>
            <w:tcW w:w="4675" w:type="dxa"/>
            <w:noWrap/>
            <w:hideMark/>
          </w:tcPr>
          <w:p w:rsidRPr="0029188E" w:rsidR="0029188E" w:rsidP="0029188E" w:rsidRDefault="0029188E" w14:paraId="6E6D028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Palo Verde Nuclear Generation Station</w:t>
            </w:r>
          </w:p>
        </w:tc>
        <w:tc>
          <w:tcPr>
            <w:tcW w:w="4675" w:type="dxa"/>
            <w:noWrap/>
            <w:hideMark/>
          </w:tcPr>
          <w:p w:rsidRPr="0029188E" w:rsidR="0029188E" w:rsidP="0029188E" w:rsidRDefault="0029188E" w14:paraId="670781F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PVNGS</w:t>
            </w:r>
          </w:p>
        </w:tc>
      </w:tr>
      <w:tr w:rsidRPr="0029188E" w:rsidR="0029188E" w:rsidTr="00914E04" w14:paraId="5C471F4F" w14:textId="77777777">
        <w:trPr>
          <w:trHeight w:val="288"/>
        </w:trPr>
        <w:tc>
          <w:tcPr>
            <w:tcW w:w="4675" w:type="dxa"/>
            <w:noWrap/>
            <w:hideMark/>
          </w:tcPr>
          <w:p w:rsidRPr="0029188E" w:rsidR="0029188E" w:rsidP="0029188E" w:rsidRDefault="0029188E" w14:paraId="0AEB4CE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PCIA </w:t>
            </w:r>
            <w:proofErr w:type="spellStart"/>
            <w:r w:rsidRPr="0029188E">
              <w:rPr>
                <w:rFonts w:ascii="Calibri" w:hAnsi="Calibri" w:eastAsia="Times New Roman" w:cs="Calibri"/>
                <w:color w:val="000000"/>
                <w:sz w:val="22"/>
              </w:rPr>
              <w:t>Undercollection</w:t>
            </w:r>
            <w:proofErr w:type="spellEnd"/>
            <w:r w:rsidRPr="0029188E">
              <w:rPr>
                <w:rFonts w:ascii="Calibri" w:hAnsi="Calibri" w:eastAsia="Times New Roman" w:cs="Calibri"/>
                <w:color w:val="000000"/>
                <w:sz w:val="22"/>
              </w:rPr>
              <w:t xml:space="preserve"> Balancing Account</w:t>
            </w:r>
          </w:p>
        </w:tc>
        <w:tc>
          <w:tcPr>
            <w:tcW w:w="4675" w:type="dxa"/>
            <w:noWrap/>
            <w:hideMark/>
          </w:tcPr>
          <w:p w:rsidRPr="0029188E" w:rsidR="0029188E" w:rsidP="0029188E" w:rsidRDefault="0029188E" w14:paraId="7FF1048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PUBA</w:t>
            </w:r>
          </w:p>
        </w:tc>
      </w:tr>
      <w:tr w:rsidRPr="0029188E" w:rsidR="0029188E" w:rsidTr="00914E04" w14:paraId="2650DE19" w14:textId="77777777">
        <w:trPr>
          <w:trHeight w:val="288"/>
        </w:trPr>
        <w:tc>
          <w:tcPr>
            <w:tcW w:w="4675" w:type="dxa"/>
            <w:noWrap/>
            <w:hideMark/>
          </w:tcPr>
          <w:p w:rsidRPr="0029188E" w:rsidR="0029188E" w:rsidP="0029188E" w:rsidRDefault="0029188E" w14:paraId="2F88EE2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Petition for Modification</w:t>
            </w:r>
          </w:p>
        </w:tc>
        <w:tc>
          <w:tcPr>
            <w:tcW w:w="4675" w:type="dxa"/>
            <w:noWrap/>
            <w:hideMark/>
          </w:tcPr>
          <w:p w:rsidRPr="0029188E" w:rsidR="0029188E" w:rsidP="0029188E" w:rsidRDefault="0029188E" w14:paraId="3324D01E"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PFM</w:t>
            </w:r>
          </w:p>
        </w:tc>
      </w:tr>
      <w:tr w:rsidRPr="0029188E" w:rsidR="0029188E" w:rsidTr="00914E04" w14:paraId="2707F280" w14:textId="77777777">
        <w:trPr>
          <w:trHeight w:val="288"/>
        </w:trPr>
        <w:tc>
          <w:tcPr>
            <w:tcW w:w="4675" w:type="dxa"/>
            <w:noWrap/>
            <w:hideMark/>
          </w:tcPr>
          <w:p w:rsidRPr="0029188E" w:rsidR="0029188E" w:rsidP="0029188E" w:rsidRDefault="0029188E" w14:paraId="07653EB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Portfolio Allocation Balancing Account</w:t>
            </w:r>
          </w:p>
        </w:tc>
        <w:tc>
          <w:tcPr>
            <w:tcW w:w="4675" w:type="dxa"/>
            <w:noWrap/>
            <w:hideMark/>
          </w:tcPr>
          <w:p w:rsidRPr="0029188E" w:rsidR="0029188E" w:rsidP="0029188E" w:rsidRDefault="0029188E" w14:paraId="522315C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PABA</w:t>
            </w:r>
          </w:p>
        </w:tc>
      </w:tr>
      <w:tr w:rsidRPr="0029188E" w:rsidR="0029188E" w:rsidTr="00914E04" w14:paraId="6781BCC5" w14:textId="77777777">
        <w:trPr>
          <w:trHeight w:val="288"/>
        </w:trPr>
        <w:tc>
          <w:tcPr>
            <w:tcW w:w="4675" w:type="dxa"/>
            <w:noWrap/>
            <w:hideMark/>
          </w:tcPr>
          <w:p w:rsidRPr="0029188E" w:rsidR="0029188E" w:rsidP="0029188E" w:rsidRDefault="0029188E" w14:paraId="76EEE599"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Power Charge Indifference Adjustment</w:t>
            </w:r>
          </w:p>
        </w:tc>
        <w:tc>
          <w:tcPr>
            <w:tcW w:w="4675" w:type="dxa"/>
            <w:noWrap/>
            <w:hideMark/>
          </w:tcPr>
          <w:p w:rsidRPr="0029188E" w:rsidR="0029188E" w:rsidP="0029188E" w:rsidRDefault="0029188E" w14:paraId="45EB1B4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PCIS</w:t>
            </w:r>
          </w:p>
        </w:tc>
      </w:tr>
      <w:tr w:rsidRPr="0029188E" w:rsidR="0029188E" w:rsidTr="00914E04" w14:paraId="2CC3C587" w14:textId="77777777">
        <w:trPr>
          <w:trHeight w:val="288"/>
        </w:trPr>
        <w:tc>
          <w:tcPr>
            <w:tcW w:w="4675" w:type="dxa"/>
            <w:noWrap/>
            <w:hideMark/>
          </w:tcPr>
          <w:p w:rsidRPr="0029188E" w:rsidR="0029188E" w:rsidP="0029188E" w:rsidRDefault="0029188E" w14:paraId="7733ACD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Preferred Resources Pilot</w:t>
            </w:r>
          </w:p>
        </w:tc>
        <w:tc>
          <w:tcPr>
            <w:tcW w:w="4675" w:type="dxa"/>
            <w:noWrap/>
            <w:hideMark/>
          </w:tcPr>
          <w:p w:rsidRPr="0029188E" w:rsidR="0029188E" w:rsidP="0029188E" w:rsidRDefault="0029188E" w14:paraId="147A240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PRP</w:t>
            </w:r>
          </w:p>
        </w:tc>
      </w:tr>
      <w:tr w:rsidRPr="0029188E" w:rsidR="0029188E" w:rsidTr="00914E04" w14:paraId="75A54BC8" w14:textId="77777777">
        <w:trPr>
          <w:trHeight w:val="288"/>
        </w:trPr>
        <w:tc>
          <w:tcPr>
            <w:tcW w:w="4675" w:type="dxa"/>
            <w:noWrap/>
            <w:hideMark/>
          </w:tcPr>
          <w:p w:rsidRPr="0029188E" w:rsidR="0029188E" w:rsidP="0029188E" w:rsidRDefault="0029188E" w14:paraId="6D7DA85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Proxy Demand Response</w:t>
            </w:r>
          </w:p>
        </w:tc>
        <w:tc>
          <w:tcPr>
            <w:tcW w:w="4675" w:type="dxa"/>
            <w:noWrap/>
            <w:hideMark/>
          </w:tcPr>
          <w:p w:rsidRPr="0029188E" w:rsidR="0029188E" w:rsidP="0029188E" w:rsidRDefault="0029188E" w14:paraId="08B07C82"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PDR</w:t>
            </w:r>
          </w:p>
        </w:tc>
      </w:tr>
      <w:tr w:rsidRPr="0029188E" w:rsidR="0029188E" w:rsidTr="00914E04" w14:paraId="7A9D2F16" w14:textId="77777777">
        <w:trPr>
          <w:trHeight w:val="288"/>
        </w:trPr>
        <w:tc>
          <w:tcPr>
            <w:tcW w:w="4675" w:type="dxa"/>
            <w:noWrap/>
            <w:hideMark/>
          </w:tcPr>
          <w:p w:rsidRPr="0029188E" w:rsidR="0029188E" w:rsidP="0029188E" w:rsidRDefault="0029188E" w14:paraId="61593F9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Public Purpose Program Charge</w:t>
            </w:r>
          </w:p>
        </w:tc>
        <w:tc>
          <w:tcPr>
            <w:tcW w:w="4675" w:type="dxa"/>
            <w:noWrap/>
            <w:hideMark/>
          </w:tcPr>
          <w:p w:rsidRPr="0029188E" w:rsidR="0029188E" w:rsidP="0029188E" w:rsidRDefault="0029188E" w14:paraId="37E8D76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PPPC</w:t>
            </w:r>
          </w:p>
        </w:tc>
      </w:tr>
      <w:tr w:rsidRPr="0029188E" w:rsidR="0029188E" w:rsidTr="00914E04" w14:paraId="03EBB5BA" w14:textId="77777777">
        <w:trPr>
          <w:trHeight w:val="288"/>
        </w:trPr>
        <w:tc>
          <w:tcPr>
            <w:tcW w:w="4675" w:type="dxa"/>
            <w:noWrap/>
            <w:hideMark/>
          </w:tcPr>
          <w:p w:rsidRPr="0029188E" w:rsidR="0029188E" w:rsidP="0029188E" w:rsidRDefault="0029188E" w14:paraId="7B244B8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Qualifying Facility</w:t>
            </w:r>
          </w:p>
        </w:tc>
        <w:tc>
          <w:tcPr>
            <w:tcW w:w="4675" w:type="dxa"/>
            <w:noWrap/>
            <w:hideMark/>
          </w:tcPr>
          <w:p w:rsidRPr="0029188E" w:rsidR="0029188E" w:rsidP="0029188E" w:rsidRDefault="0029188E" w14:paraId="3A73B4C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QF</w:t>
            </w:r>
          </w:p>
        </w:tc>
      </w:tr>
      <w:tr w:rsidRPr="0029188E" w:rsidR="0029188E" w:rsidTr="00914E04" w14:paraId="6B317C60" w14:textId="77777777">
        <w:trPr>
          <w:trHeight w:val="288"/>
        </w:trPr>
        <w:tc>
          <w:tcPr>
            <w:tcW w:w="4675" w:type="dxa"/>
            <w:noWrap/>
            <w:hideMark/>
          </w:tcPr>
          <w:p w:rsidRPr="0029188E" w:rsidR="0029188E" w:rsidP="0029188E" w:rsidRDefault="0029188E" w14:paraId="04A75C38"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Reliability Demand Response Resource</w:t>
            </w:r>
          </w:p>
        </w:tc>
        <w:tc>
          <w:tcPr>
            <w:tcW w:w="4675" w:type="dxa"/>
            <w:noWrap/>
            <w:hideMark/>
          </w:tcPr>
          <w:p w:rsidRPr="0029188E" w:rsidR="0029188E" w:rsidP="0029188E" w:rsidRDefault="0029188E" w14:paraId="238973F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RDRR</w:t>
            </w:r>
          </w:p>
        </w:tc>
      </w:tr>
      <w:tr w:rsidRPr="0029188E" w:rsidR="0029188E" w:rsidTr="00914E04" w14:paraId="0DB2F0CA" w14:textId="77777777">
        <w:trPr>
          <w:trHeight w:val="288"/>
        </w:trPr>
        <w:tc>
          <w:tcPr>
            <w:tcW w:w="4675" w:type="dxa"/>
            <w:noWrap/>
            <w:hideMark/>
          </w:tcPr>
          <w:p w:rsidRPr="0029188E" w:rsidR="0029188E" w:rsidP="0029188E" w:rsidRDefault="0029188E" w14:paraId="647D65E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Renewables Portfolio Standard</w:t>
            </w:r>
          </w:p>
        </w:tc>
        <w:tc>
          <w:tcPr>
            <w:tcW w:w="4675" w:type="dxa"/>
            <w:noWrap/>
            <w:hideMark/>
          </w:tcPr>
          <w:p w:rsidRPr="0029188E" w:rsidR="0029188E" w:rsidP="0029188E" w:rsidRDefault="0029188E" w14:paraId="39BC73C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RPS</w:t>
            </w:r>
          </w:p>
        </w:tc>
      </w:tr>
      <w:tr w:rsidRPr="0029188E" w:rsidR="0029188E" w:rsidTr="00914E04" w14:paraId="1C8B6F4E" w14:textId="77777777">
        <w:trPr>
          <w:trHeight w:val="288"/>
        </w:trPr>
        <w:tc>
          <w:tcPr>
            <w:tcW w:w="4675" w:type="dxa"/>
            <w:noWrap/>
            <w:hideMark/>
          </w:tcPr>
          <w:p w:rsidRPr="0029188E" w:rsidR="0029188E" w:rsidP="0029188E" w:rsidRDefault="0029188E" w14:paraId="24CC382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Request for Offers</w:t>
            </w:r>
          </w:p>
        </w:tc>
        <w:tc>
          <w:tcPr>
            <w:tcW w:w="4675" w:type="dxa"/>
            <w:noWrap/>
            <w:hideMark/>
          </w:tcPr>
          <w:p w:rsidRPr="0029188E" w:rsidR="0029188E" w:rsidP="0029188E" w:rsidRDefault="0029188E" w14:paraId="4992B736"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RFO</w:t>
            </w:r>
          </w:p>
        </w:tc>
      </w:tr>
      <w:tr w:rsidRPr="0029188E" w:rsidR="0029188E" w:rsidTr="00914E04" w14:paraId="2F64A997" w14:textId="77777777">
        <w:trPr>
          <w:trHeight w:val="288"/>
        </w:trPr>
        <w:tc>
          <w:tcPr>
            <w:tcW w:w="4675" w:type="dxa"/>
            <w:noWrap/>
            <w:hideMark/>
          </w:tcPr>
          <w:p w:rsidRPr="0029188E" w:rsidR="0029188E" w:rsidP="0029188E" w:rsidRDefault="0029188E" w14:paraId="2C39D14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Resource Adequacy</w:t>
            </w:r>
          </w:p>
        </w:tc>
        <w:tc>
          <w:tcPr>
            <w:tcW w:w="4675" w:type="dxa"/>
            <w:noWrap/>
            <w:hideMark/>
          </w:tcPr>
          <w:p w:rsidRPr="0029188E" w:rsidR="0029188E" w:rsidP="0029188E" w:rsidRDefault="0029188E" w14:paraId="411DCD9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RA</w:t>
            </w:r>
          </w:p>
        </w:tc>
      </w:tr>
      <w:tr w:rsidRPr="0029188E" w:rsidR="0029188E" w:rsidTr="00914E04" w14:paraId="176D358B" w14:textId="77777777">
        <w:trPr>
          <w:trHeight w:val="288"/>
        </w:trPr>
        <w:tc>
          <w:tcPr>
            <w:tcW w:w="4675" w:type="dxa"/>
            <w:noWrap/>
            <w:hideMark/>
          </w:tcPr>
          <w:p w:rsidRPr="0029188E" w:rsidR="0029188E" w:rsidP="0029188E" w:rsidRDefault="0029188E" w14:paraId="43CAE53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Risk Assessment Management Phase </w:t>
            </w:r>
          </w:p>
        </w:tc>
        <w:tc>
          <w:tcPr>
            <w:tcW w:w="4675" w:type="dxa"/>
            <w:noWrap/>
            <w:hideMark/>
          </w:tcPr>
          <w:p w:rsidRPr="0029188E" w:rsidR="0029188E" w:rsidP="0029188E" w:rsidRDefault="0029188E" w14:paraId="59C937C4"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RAMP</w:t>
            </w:r>
          </w:p>
        </w:tc>
      </w:tr>
      <w:tr w:rsidRPr="0029188E" w:rsidR="0029188E" w:rsidTr="00914E04" w14:paraId="46FF1BDF" w14:textId="77777777">
        <w:trPr>
          <w:trHeight w:val="288"/>
        </w:trPr>
        <w:tc>
          <w:tcPr>
            <w:tcW w:w="4675" w:type="dxa"/>
            <w:noWrap/>
            <w:hideMark/>
          </w:tcPr>
          <w:p w:rsidRPr="0029188E" w:rsidR="0029188E" w:rsidP="0029188E" w:rsidRDefault="0029188E" w14:paraId="53ABD91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San Onofre Nuclear Generating Station </w:t>
            </w:r>
          </w:p>
        </w:tc>
        <w:tc>
          <w:tcPr>
            <w:tcW w:w="4675" w:type="dxa"/>
            <w:noWrap/>
            <w:hideMark/>
          </w:tcPr>
          <w:p w:rsidRPr="0029188E" w:rsidR="0029188E" w:rsidP="0029188E" w:rsidRDefault="0029188E" w14:paraId="02B3CE54"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SONGS</w:t>
            </w:r>
          </w:p>
        </w:tc>
      </w:tr>
      <w:tr w:rsidRPr="0029188E" w:rsidR="0029188E" w:rsidTr="00914E04" w14:paraId="1E8E88B5" w14:textId="77777777">
        <w:trPr>
          <w:trHeight w:val="288"/>
        </w:trPr>
        <w:tc>
          <w:tcPr>
            <w:tcW w:w="4675" w:type="dxa"/>
            <w:noWrap/>
            <w:hideMark/>
          </w:tcPr>
          <w:p w:rsidRPr="0029188E" w:rsidR="0029188E" w:rsidP="0029188E" w:rsidRDefault="0029188E" w14:paraId="43DD0C1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Smart Energy Program</w:t>
            </w:r>
          </w:p>
        </w:tc>
        <w:tc>
          <w:tcPr>
            <w:tcW w:w="4675" w:type="dxa"/>
            <w:noWrap/>
            <w:hideMark/>
          </w:tcPr>
          <w:p w:rsidRPr="0029188E" w:rsidR="0029188E" w:rsidP="0029188E" w:rsidRDefault="0029188E" w14:paraId="1224885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SEP</w:t>
            </w:r>
          </w:p>
        </w:tc>
      </w:tr>
      <w:tr w:rsidRPr="0029188E" w:rsidR="0029188E" w:rsidTr="00914E04" w14:paraId="6D1E85D6" w14:textId="77777777">
        <w:trPr>
          <w:trHeight w:val="288"/>
        </w:trPr>
        <w:tc>
          <w:tcPr>
            <w:tcW w:w="4675" w:type="dxa"/>
            <w:noWrap/>
          </w:tcPr>
          <w:p w:rsidRPr="0029188E" w:rsidR="0029188E" w:rsidP="0029188E" w:rsidRDefault="0029188E" w14:paraId="5D1F5634"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Solar Photovoltaic</w:t>
            </w:r>
          </w:p>
        </w:tc>
        <w:tc>
          <w:tcPr>
            <w:tcW w:w="4675" w:type="dxa"/>
            <w:noWrap/>
          </w:tcPr>
          <w:p w:rsidRPr="0029188E" w:rsidR="0029188E" w:rsidP="0029188E" w:rsidRDefault="0029188E" w14:paraId="163AE98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SPV</w:t>
            </w:r>
          </w:p>
        </w:tc>
      </w:tr>
      <w:tr w:rsidRPr="0029188E" w:rsidR="0029188E" w:rsidTr="00914E04" w14:paraId="0FAD34F3" w14:textId="77777777">
        <w:trPr>
          <w:trHeight w:val="288"/>
        </w:trPr>
        <w:tc>
          <w:tcPr>
            <w:tcW w:w="4675" w:type="dxa"/>
            <w:noWrap/>
            <w:hideMark/>
          </w:tcPr>
          <w:p w:rsidRPr="0029188E" w:rsidR="0029188E" w:rsidP="0029188E" w:rsidRDefault="0029188E" w14:paraId="470144C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Southern California Edison</w:t>
            </w:r>
          </w:p>
        </w:tc>
        <w:tc>
          <w:tcPr>
            <w:tcW w:w="4675" w:type="dxa"/>
            <w:noWrap/>
            <w:hideMark/>
          </w:tcPr>
          <w:p w:rsidRPr="0029188E" w:rsidR="0029188E" w:rsidP="0029188E" w:rsidRDefault="0029188E" w14:paraId="16B743B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SCE</w:t>
            </w:r>
          </w:p>
        </w:tc>
      </w:tr>
      <w:tr w:rsidRPr="0029188E" w:rsidR="0029188E" w:rsidTr="00914E04" w14:paraId="57CEF3C0" w14:textId="77777777">
        <w:trPr>
          <w:trHeight w:val="288"/>
        </w:trPr>
        <w:tc>
          <w:tcPr>
            <w:tcW w:w="4675" w:type="dxa"/>
            <w:noWrap/>
          </w:tcPr>
          <w:p w:rsidRPr="0029188E" w:rsidR="0029188E" w:rsidP="0029188E" w:rsidRDefault="0029188E" w14:paraId="02D4F89E"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Standard Offer Contract</w:t>
            </w:r>
          </w:p>
        </w:tc>
        <w:tc>
          <w:tcPr>
            <w:tcW w:w="4675" w:type="dxa"/>
            <w:noWrap/>
          </w:tcPr>
          <w:p w:rsidRPr="0029188E" w:rsidR="0029188E" w:rsidP="0029188E" w:rsidRDefault="0029188E" w14:paraId="3F526A9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SOC</w:t>
            </w:r>
          </w:p>
        </w:tc>
      </w:tr>
      <w:tr w:rsidRPr="0029188E" w:rsidR="0029188E" w:rsidTr="00914E04" w14:paraId="59BB6A87" w14:textId="77777777">
        <w:trPr>
          <w:trHeight w:val="288"/>
        </w:trPr>
        <w:tc>
          <w:tcPr>
            <w:tcW w:w="4675" w:type="dxa"/>
            <w:noWrap/>
            <w:hideMark/>
          </w:tcPr>
          <w:p w:rsidRPr="0029188E" w:rsidR="0029188E" w:rsidP="0029188E" w:rsidRDefault="0029188E" w14:paraId="3969EAA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Summer Discount Plan</w:t>
            </w:r>
          </w:p>
        </w:tc>
        <w:tc>
          <w:tcPr>
            <w:tcW w:w="4675" w:type="dxa"/>
            <w:noWrap/>
            <w:hideMark/>
          </w:tcPr>
          <w:p w:rsidRPr="0029188E" w:rsidR="0029188E" w:rsidP="0029188E" w:rsidRDefault="0029188E" w14:paraId="2F5B398C"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SDP</w:t>
            </w:r>
          </w:p>
        </w:tc>
      </w:tr>
      <w:tr w:rsidRPr="0029188E" w:rsidR="0029188E" w:rsidTr="00914E04" w14:paraId="20F16FBF" w14:textId="77777777">
        <w:trPr>
          <w:trHeight w:val="288"/>
        </w:trPr>
        <w:tc>
          <w:tcPr>
            <w:tcW w:w="4675" w:type="dxa"/>
            <w:noWrap/>
          </w:tcPr>
          <w:p w:rsidRPr="0029188E" w:rsidR="0029188E" w:rsidP="0029188E" w:rsidRDefault="0029188E" w14:paraId="05F29F8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System Reliability Request for Offers</w:t>
            </w:r>
          </w:p>
        </w:tc>
        <w:tc>
          <w:tcPr>
            <w:tcW w:w="4675" w:type="dxa"/>
            <w:noWrap/>
          </w:tcPr>
          <w:p w:rsidRPr="0029188E" w:rsidR="0029188E" w:rsidP="0029188E" w:rsidRDefault="0029188E" w14:paraId="47DDBEE7"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SRRFO</w:t>
            </w:r>
          </w:p>
        </w:tc>
      </w:tr>
      <w:tr w:rsidRPr="0029188E" w:rsidR="0029188E" w:rsidTr="00914E04" w14:paraId="7B4BAA78" w14:textId="77777777">
        <w:trPr>
          <w:trHeight w:val="288"/>
        </w:trPr>
        <w:tc>
          <w:tcPr>
            <w:tcW w:w="4675" w:type="dxa"/>
            <w:noWrap/>
            <w:hideMark/>
          </w:tcPr>
          <w:p w:rsidRPr="0029188E" w:rsidR="0029188E" w:rsidP="0029188E" w:rsidRDefault="0029188E" w14:paraId="6958C55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Tree Mortality Non-</w:t>
            </w:r>
            <w:proofErr w:type="spellStart"/>
            <w:r w:rsidRPr="0029188E">
              <w:rPr>
                <w:rFonts w:ascii="Calibri" w:hAnsi="Calibri" w:eastAsia="Times New Roman" w:cs="Calibri"/>
                <w:color w:val="000000"/>
                <w:sz w:val="22"/>
              </w:rPr>
              <w:t>Bypassable</w:t>
            </w:r>
            <w:proofErr w:type="spellEnd"/>
            <w:r w:rsidRPr="0029188E">
              <w:rPr>
                <w:rFonts w:ascii="Calibri" w:hAnsi="Calibri" w:eastAsia="Times New Roman" w:cs="Calibri"/>
                <w:color w:val="000000"/>
                <w:sz w:val="22"/>
              </w:rPr>
              <w:t xml:space="preserve"> Charge</w:t>
            </w:r>
          </w:p>
        </w:tc>
        <w:tc>
          <w:tcPr>
            <w:tcW w:w="4675" w:type="dxa"/>
            <w:noWrap/>
            <w:hideMark/>
          </w:tcPr>
          <w:p w:rsidRPr="0029188E" w:rsidR="0029188E" w:rsidP="0029188E" w:rsidRDefault="0029188E" w14:paraId="0D972AA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TMNBC</w:t>
            </w:r>
          </w:p>
        </w:tc>
      </w:tr>
      <w:tr w:rsidRPr="0029188E" w:rsidR="0029188E" w:rsidTr="00914E04" w14:paraId="1F37934F" w14:textId="77777777">
        <w:trPr>
          <w:trHeight w:val="288"/>
        </w:trPr>
        <w:tc>
          <w:tcPr>
            <w:tcW w:w="4675" w:type="dxa"/>
            <w:noWrap/>
            <w:hideMark/>
          </w:tcPr>
          <w:p w:rsidRPr="0029188E" w:rsidR="0029188E" w:rsidP="0029188E" w:rsidRDefault="0029188E" w14:paraId="20D7B615"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Utility-Owned Generation</w:t>
            </w:r>
          </w:p>
        </w:tc>
        <w:tc>
          <w:tcPr>
            <w:tcW w:w="4675" w:type="dxa"/>
            <w:noWrap/>
            <w:hideMark/>
          </w:tcPr>
          <w:p w:rsidRPr="0029188E" w:rsidR="0029188E" w:rsidP="0029188E" w:rsidRDefault="0029188E" w14:paraId="0E70FA1B"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UOG</w:t>
            </w:r>
          </w:p>
        </w:tc>
      </w:tr>
      <w:tr w:rsidRPr="0029188E" w:rsidR="0029188E" w:rsidTr="00914E04" w14:paraId="5FFB8F80" w14:textId="77777777">
        <w:trPr>
          <w:trHeight w:val="288"/>
        </w:trPr>
        <w:tc>
          <w:tcPr>
            <w:tcW w:w="4675" w:type="dxa"/>
            <w:noWrap/>
            <w:hideMark/>
          </w:tcPr>
          <w:p w:rsidRPr="0029188E" w:rsidR="0029188E" w:rsidP="0029188E" w:rsidRDefault="0029188E" w14:paraId="321B0BB3"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Utility-Owned Storage</w:t>
            </w:r>
          </w:p>
        </w:tc>
        <w:tc>
          <w:tcPr>
            <w:tcW w:w="4675" w:type="dxa"/>
            <w:noWrap/>
            <w:hideMark/>
          </w:tcPr>
          <w:p w:rsidRPr="0029188E" w:rsidR="0029188E" w:rsidP="0029188E" w:rsidRDefault="0029188E" w14:paraId="529CAF3D"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UOS</w:t>
            </w:r>
          </w:p>
        </w:tc>
      </w:tr>
      <w:tr w:rsidRPr="0029188E" w:rsidR="0029188E" w:rsidTr="00914E04" w14:paraId="0068CC8D" w14:textId="77777777">
        <w:trPr>
          <w:trHeight w:val="288"/>
        </w:trPr>
        <w:tc>
          <w:tcPr>
            <w:tcW w:w="4675" w:type="dxa"/>
            <w:noWrap/>
            <w:hideMark/>
          </w:tcPr>
          <w:p w:rsidRPr="0029188E" w:rsidR="0029188E" w:rsidP="0029188E" w:rsidRDefault="0029188E" w14:paraId="50BD0142"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 xml:space="preserve">Voluntary Market Allocation Offer </w:t>
            </w:r>
          </w:p>
        </w:tc>
        <w:tc>
          <w:tcPr>
            <w:tcW w:w="4675" w:type="dxa"/>
            <w:noWrap/>
            <w:hideMark/>
          </w:tcPr>
          <w:p w:rsidRPr="0029188E" w:rsidR="0029188E" w:rsidP="0029188E" w:rsidRDefault="0029188E" w14:paraId="7DE6200F"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VAMO</w:t>
            </w:r>
          </w:p>
        </w:tc>
      </w:tr>
      <w:tr w:rsidRPr="0029188E" w:rsidR="0029188E" w:rsidTr="00914E04" w14:paraId="28953C8B" w14:textId="77777777">
        <w:trPr>
          <w:trHeight w:val="288"/>
        </w:trPr>
        <w:tc>
          <w:tcPr>
            <w:tcW w:w="4675" w:type="dxa"/>
            <w:noWrap/>
            <w:hideMark/>
          </w:tcPr>
          <w:p w:rsidRPr="0029188E" w:rsidR="0029188E" w:rsidP="0029188E" w:rsidRDefault="0029188E" w14:paraId="4F7BDC51"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Wildfire Non-</w:t>
            </w:r>
            <w:proofErr w:type="spellStart"/>
            <w:r w:rsidRPr="0029188E">
              <w:rPr>
                <w:rFonts w:ascii="Calibri" w:hAnsi="Calibri" w:eastAsia="Times New Roman" w:cs="Calibri"/>
                <w:color w:val="000000"/>
                <w:sz w:val="22"/>
              </w:rPr>
              <w:t>Bypassable</w:t>
            </w:r>
            <w:proofErr w:type="spellEnd"/>
            <w:r w:rsidRPr="0029188E">
              <w:rPr>
                <w:rFonts w:ascii="Calibri" w:hAnsi="Calibri" w:eastAsia="Times New Roman" w:cs="Calibri"/>
                <w:color w:val="000000"/>
                <w:sz w:val="22"/>
              </w:rPr>
              <w:t xml:space="preserve"> Charge</w:t>
            </w:r>
          </w:p>
        </w:tc>
        <w:tc>
          <w:tcPr>
            <w:tcW w:w="4675" w:type="dxa"/>
            <w:noWrap/>
            <w:hideMark/>
          </w:tcPr>
          <w:p w:rsidRPr="0029188E" w:rsidR="0029188E" w:rsidP="0029188E" w:rsidRDefault="0029188E" w14:paraId="5DBFF7E0"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WF NBC</w:t>
            </w:r>
          </w:p>
        </w:tc>
      </w:tr>
      <w:tr w:rsidRPr="0029188E" w:rsidR="0029188E" w:rsidTr="00914E04" w14:paraId="111C4F1A" w14:textId="77777777">
        <w:trPr>
          <w:trHeight w:val="288"/>
        </w:trPr>
        <w:tc>
          <w:tcPr>
            <w:tcW w:w="4675" w:type="dxa"/>
            <w:noWrap/>
            <w:hideMark/>
          </w:tcPr>
          <w:p w:rsidRPr="0029188E" w:rsidR="0029188E" w:rsidP="0029188E" w:rsidRDefault="0029188E" w14:paraId="0040771E"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Year End</w:t>
            </w:r>
          </w:p>
        </w:tc>
        <w:tc>
          <w:tcPr>
            <w:tcW w:w="4675" w:type="dxa"/>
            <w:noWrap/>
            <w:hideMark/>
          </w:tcPr>
          <w:p w:rsidRPr="0029188E" w:rsidR="0029188E" w:rsidP="0029188E" w:rsidRDefault="0029188E" w14:paraId="44266C7A" w14:textId="77777777">
            <w:pPr>
              <w:spacing w:line="240" w:lineRule="auto"/>
              <w:ind w:firstLine="0"/>
              <w:rPr>
                <w:rFonts w:ascii="Calibri" w:hAnsi="Calibri" w:eastAsia="Times New Roman" w:cs="Calibri"/>
                <w:color w:val="000000"/>
                <w:sz w:val="22"/>
              </w:rPr>
            </w:pPr>
            <w:r w:rsidRPr="0029188E">
              <w:rPr>
                <w:rFonts w:ascii="Calibri" w:hAnsi="Calibri" w:eastAsia="Times New Roman" w:cs="Calibri"/>
                <w:color w:val="000000"/>
                <w:sz w:val="22"/>
              </w:rPr>
              <w:t>YE</w:t>
            </w:r>
          </w:p>
        </w:tc>
      </w:tr>
    </w:tbl>
    <w:p w:rsidR="0029188E" w:rsidP="0029188E" w:rsidRDefault="0029188E" w14:paraId="0D690559" w14:textId="77777777">
      <w:pPr>
        <w:jc w:val="center"/>
        <w:rPr>
          <w:szCs w:val="26"/>
        </w:rPr>
      </w:pPr>
    </w:p>
    <w:p w:rsidRPr="00FE5EB8" w:rsidR="00FE5EB8" w:rsidP="0029188E" w:rsidRDefault="00FE5EB8" w14:paraId="4E76CE6C" w14:textId="1D0ADD31">
      <w:pPr>
        <w:jc w:val="center"/>
        <w:rPr>
          <w:b/>
          <w:bCs/>
          <w:szCs w:val="26"/>
        </w:rPr>
      </w:pPr>
      <w:r w:rsidRPr="00FE5EB8">
        <w:rPr>
          <w:b/>
          <w:bCs/>
          <w:szCs w:val="26"/>
        </w:rPr>
        <w:t>(END OF APPENDIX A)</w:t>
      </w:r>
    </w:p>
    <w:sectPr w:rsidRPr="00FE5EB8" w:rsidR="00FE5EB8" w:rsidSect="00D54256">
      <w:headerReference w:type="default" r:id="rId21"/>
      <w:footerReference w:type="default" r:id="rId22"/>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47A0" w14:textId="77777777" w:rsidR="00B5544F" w:rsidRDefault="00B5544F" w:rsidP="0098138E">
      <w:pPr>
        <w:spacing w:line="240" w:lineRule="auto"/>
      </w:pPr>
      <w:r>
        <w:separator/>
      </w:r>
    </w:p>
  </w:endnote>
  <w:endnote w:type="continuationSeparator" w:id="0">
    <w:p w14:paraId="57E6165D" w14:textId="77777777" w:rsidR="00B5544F" w:rsidRDefault="00B5544F"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sig w:usb0="00000003" w:usb1="00000000" w:usb2="00000000" w:usb3="00000000" w:csb0="00000001" w:csb1="00000000"/>
  </w:font>
  <w:font w:name="TimesNewRoman,Bold">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DD05" w14:textId="77777777" w:rsidR="006231FF" w:rsidRDefault="00623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490" w14:textId="77777777" w:rsidR="006231FF" w:rsidRDefault="00623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0BEC" w14:textId="7E3D30B2" w:rsidR="00415892" w:rsidRDefault="00000000" w:rsidP="007E0FEE">
    <w:pPr>
      <w:tabs>
        <w:tab w:val="center" w:pos="4680"/>
      </w:tabs>
      <w:ind w:firstLine="0"/>
      <w:rPr>
        <w:noProof/>
      </w:rPr>
    </w:pPr>
    <w:sdt>
      <w:sdtPr>
        <w:id w:val="-2093699689"/>
        <w:docPartObj>
          <w:docPartGallery w:val="Page Numbers (Bottom of Page)"/>
          <w:docPartUnique/>
        </w:docPartObj>
      </w:sdtPr>
      <w:sdtEndPr>
        <w:rPr>
          <w:noProof/>
        </w:rPr>
      </w:sdtEndPr>
      <w:sdtContent>
        <w:r w:rsidR="00C62ADF" w:rsidRPr="00C62ADF">
          <w:rPr>
            <w:rFonts w:ascii="Arial" w:hAnsi="Arial" w:cs="Arial"/>
            <w:color w:val="000000"/>
            <w:sz w:val="16"/>
            <w:szCs w:val="16"/>
            <w:shd w:val="clear" w:color="auto" w:fill="FFFFFF"/>
          </w:rPr>
          <w:t>521170057</w:t>
        </w:r>
        <w:r w:rsidR="00415892">
          <w:rPr>
            <w:rFonts w:ascii="Arial" w:hAnsi="Arial" w:cs="Arial"/>
            <w:sz w:val="16"/>
            <w:szCs w:val="16"/>
          </w:rPr>
          <w:tab/>
        </w:r>
        <w:r w:rsidR="00415892">
          <w:t xml:space="preserve">- </w:t>
        </w:r>
        <w:r w:rsidR="00415892">
          <w:fldChar w:fldCharType="begin"/>
        </w:r>
        <w:r w:rsidR="00415892">
          <w:instrText xml:space="preserve"> PAGE   \* MERGEFORMAT </w:instrText>
        </w:r>
        <w:r w:rsidR="00415892">
          <w:fldChar w:fldCharType="separate"/>
        </w:r>
        <w:r w:rsidR="00415892">
          <w:rPr>
            <w:noProof/>
          </w:rPr>
          <w:t>2</w:t>
        </w:r>
        <w:r w:rsidR="00415892">
          <w:rPr>
            <w:noProof/>
          </w:rPr>
          <w:fldChar w:fldCharType="end"/>
        </w:r>
      </w:sdtContent>
    </w:sdt>
    <w:r w:rsidR="00415892">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05BC"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380B"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8617" w14:textId="20A2EDE5" w:rsidR="006B15C4" w:rsidRPr="00D54256" w:rsidRDefault="006B15C4" w:rsidP="00D5425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523C" w14:textId="7DFB804A" w:rsidR="00D54256" w:rsidRPr="00D54256" w:rsidRDefault="00863236" w:rsidP="00D54256">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346E" w14:textId="77777777" w:rsidR="00B5544F" w:rsidRDefault="00B5544F" w:rsidP="00DF58E7">
      <w:pPr>
        <w:spacing w:line="240" w:lineRule="auto"/>
        <w:ind w:firstLine="0"/>
      </w:pPr>
      <w:r>
        <w:separator/>
      </w:r>
    </w:p>
  </w:footnote>
  <w:footnote w:type="continuationSeparator" w:id="0">
    <w:p w14:paraId="22C64C8A" w14:textId="77777777" w:rsidR="00B5544F" w:rsidRDefault="00B5544F" w:rsidP="00DF58E7">
      <w:pPr>
        <w:spacing w:line="240" w:lineRule="auto"/>
        <w:ind w:firstLine="0"/>
      </w:pPr>
      <w:r>
        <w:continuationSeparator/>
      </w:r>
    </w:p>
  </w:footnote>
  <w:footnote w:type="continuationNotice" w:id="1">
    <w:p w14:paraId="56748D6F" w14:textId="77777777" w:rsidR="00B5544F" w:rsidRPr="00DF58E7" w:rsidRDefault="00B5544F" w:rsidP="00DF58E7">
      <w:pPr>
        <w:spacing w:line="240" w:lineRule="auto"/>
        <w:ind w:firstLine="0"/>
        <w:jc w:val="right"/>
        <w:rPr>
          <w:i/>
          <w:sz w:val="22"/>
        </w:rPr>
      </w:pPr>
    </w:p>
  </w:footnote>
  <w:footnote w:id="2">
    <w:p w14:paraId="0B43E0F4" w14:textId="419EB3BD" w:rsidR="00DC01EF" w:rsidRDefault="00DC01EF" w:rsidP="00DC01EF">
      <w:pPr>
        <w:pStyle w:val="FootnoteText"/>
      </w:pPr>
      <w:r>
        <w:rPr>
          <w:rStyle w:val="FootnoteReference"/>
        </w:rPr>
        <w:footnoteRef/>
      </w:r>
      <w:r>
        <w:t xml:space="preserve"> Exhibit SCE-06</w:t>
      </w:r>
      <w:r w:rsidR="000B39F3">
        <w:t>E3</w:t>
      </w:r>
      <w:r>
        <w:t xml:space="preserve"> at </w:t>
      </w:r>
      <w:r w:rsidR="000B39F3">
        <w:t>9</w:t>
      </w:r>
      <w:r>
        <w:t>.</w:t>
      </w:r>
    </w:p>
  </w:footnote>
  <w:footnote w:id="3">
    <w:p w14:paraId="4619A52A" w14:textId="739A0CCD" w:rsidR="00DC01EF" w:rsidRDefault="00DC01EF" w:rsidP="00DC01EF">
      <w:pPr>
        <w:pStyle w:val="FootnoteText"/>
      </w:pPr>
      <w:r>
        <w:rPr>
          <w:rStyle w:val="FootnoteReference"/>
        </w:rPr>
        <w:footnoteRef/>
      </w:r>
      <w:r>
        <w:t xml:space="preserve"> The 2023 ERRA Forecast revenue requirement was authorized in D.22-12-012 and implemented in rates on January 1, 2023 </w:t>
      </w:r>
      <w:r w:rsidR="00A959F6">
        <w:t xml:space="preserve">via </w:t>
      </w:r>
      <w:r>
        <w:t>Advice Letter 4919-E.</w:t>
      </w:r>
    </w:p>
  </w:footnote>
  <w:footnote w:id="4">
    <w:p w14:paraId="60E222C2" w14:textId="77777777" w:rsidR="00DC01EF" w:rsidRDefault="00DC01EF" w:rsidP="00DC01EF">
      <w:pPr>
        <w:pStyle w:val="FootnoteText"/>
      </w:pPr>
      <w:r>
        <w:rPr>
          <w:rStyle w:val="FootnoteReference"/>
        </w:rPr>
        <w:footnoteRef/>
      </w:r>
      <w:r>
        <w:t xml:space="preserve"> Includes spent nuclear fuel.</w:t>
      </w:r>
    </w:p>
  </w:footnote>
  <w:footnote w:id="5">
    <w:p w14:paraId="5E5C58E5" w14:textId="095A23B4" w:rsidR="00DC01EF" w:rsidRDefault="00DC01EF" w:rsidP="00DC01EF">
      <w:pPr>
        <w:pStyle w:val="FootnoteText"/>
      </w:pPr>
      <w:r>
        <w:rPr>
          <w:rStyle w:val="FootnoteReference"/>
        </w:rPr>
        <w:footnoteRef/>
      </w:r>
      <w:r>
        <w:t xml:space="preserve"> Reflects 12/31/2023 forecasted E</w:t>
      </w:r>
      <w:r w:rsidR="00F63F34">
        <w:t>SMA</w:t>
      </w:r>
      <w:r>
        <w:t xml:space="preserve"> refunds with a deduction for forecast litigation-related costs.</w:t>
      </w:r>
    </w:p>
  </w:footnote>
  <w:footnote w:id="6">
    <w:p w14:paraId="17CB4307" w14:textId="77777777" w:rsidR="00DC01EF" w:rsidRDefault="00DC01EF" w:rsidP="00DC01EF">
      <w:pPr>
        <w:pStyle w:val="FootnoteText"/>
      </w:pPr>
      <w:r>
        <w:rPr>
          <w:rStyle w:val="FootnoteReference"/>
        </w:rPr>
        <w:footnoteRef/>
      </w:r>
      <w:r>
        <w:t xml:space="preserve"> Reflects three-year amortization adjustment pursuant to Resolution E-5240.</w:t>
      </w:r>
    </w:p>
  </w:footnote>
  <w:footnote w:id="7">
    <w:p w14:paraId="16BCB382" w14:textId="035E7A8F" w:rsidR="003171BF" w:rsidRDefault="003171BF">
      <w:pPr>
        <w:pStyle w:val="FootnoteText"/>
      </w:pPr>
      <w:r>
        <w:rPr>
          <w:rStyle w:val="FootnoteReference"/>
        </w:rPr>
        <w:footnoteRef/>
      </w:r>
      <w:r>
        <w:t xml:space="preserve"> </w:t>
      </w:r>
      <w:r w:rsidR="004F3B3C">
        <w:t>Exhibit SCE-01C</w:t>
      </w:r>
      <w:r>
        <w:t xml:space="preserve"> at 1-2.</w:t>
      </w:r>
      <w:r w:rsidR="00BB0E8D">
        <w:t xml:space="preserve"> The rates effective in 2023 were adopted in </w:t>
      </w:r>
      <w:r w:rsidR="009918FC">
        <w:t>D.</w:t>
      </w:r>
      <w:r w:rsidR="00BB0E8D">
        <w:t xml:space="preserve">22-12-012. </w:t>
      </w:r>
    </w:p>
  </w:footnote>
  <w:footnote w:id="8">
    <w:p w14:paraId="63DB4779" w14:textId="7F0DEE3D" w:rsidR="00347FB6" w:rsidRDefault="00347FB6">
      <w:pPr>
        <w:pStyle w:val="FootnoteText"/>
      </w:pPr>
      <w:r>
        <w:rPr>
          <w:rStyle w:val="FootnoteReference"/>
        </w:rPr>
        <w:footnoteRef/>
      </w:r>
      <w:r>
        <w:t xml:space="preserve"> SCE filed errata to its October </w:t>
      </w:r>
      <w:r w:rsidR="00F35111">
        <w:t>Update</w:t>
      </w:r>
      <w:r>
        <w:t xml:space="preserve"> on October 24, October 26, and </w:t>
      </w:r>
      <w:r w:rsidR="00F35111" w:rsidRPr="002F290B">
        <w:t>October 31, 2023</w:t>
      </w:r>
      <w:r w:rsidRPr="002F290B">
        <w:t>, 2023.</w:t>
      </w:r>
      <w:r w:rsidR="00F35111">
        <w:t xml:space="preserve"> Its initial October Update, SCE forecasted a revenue requirement of $5.236 billion, which would have been a decrease of $303.467 million compared to rates in effect as of October 1, 2023.</w:t>
      </w:r>
    </w:p>
  </w:footnote>
  <w:footnote w:id="9">
    <w:p w14:paraId="6466D43E" w14:textId="2C896661" w:rsidR="00767E58" w:rsidRPr="00405932" w:rsidRDefault="00767E58">
      <w:pPr>
        <w:pStyle w:val="FootnoteText"/>
      </w:pPr>
      <w:r>
        <w:rPr>
          <w:rStyle w:val="FootnoteReference"/>
        </w:rPr>
        <w:footnoteRef/>
      </w:r>
      <w:r>
        <w:t xml:space="preserve"> </w:t>
      </w:r>
      <w:r w:rsidR="00405932">
        <w:t xml:space="preserve">The Commission adopted the PCIA to ensure that when electric customers of an investor-owned utility (utility or IOU) depart from utility service and receive their electricity from a non-utility provider, those customers remain responsible for costs previously incurred on their behalf by the utilities. D.23-06-006 updated the cost methodology to reflect three full years of historical data to modify the Energy Index MBP applied to their PCIA-eligible energy resource portfolios and directed SCE to update its 2024 ERRA Forecast Application workpapers to reflect whether it elects to provide an interim allocation of large hydroelectric resources. </w:t>
      </w:r>
      <w:r w:rsidR="00405932">
        <w:rPr>
          <w:i/>
          <w:iCs/>
        </w:rPr>
        <w:t>See</w:t>
      </w:r>
      <w:r w:rsidR="00405932">
        <w:t xml:space="preserve"> </w:t>
      </w:r>
      <w:r w:rsidR="00E857A5">
        <w:br/>
      </w:r>
      <w:r w:rsidR="00405932">
        <w:t>D.23-06-006 at Ordering Paragraph 3 and Appendices A-B.</w:t>
      </w:r>
    </w:p>
  </w:footnote>
  <w:footnote w:id="10">
    <w:p w14:paraId="0ADCBE16" w14:textId="5DD84CA4" w:rsidR="006C05E0" w:rsidRDefault="006C05E0">
      <w:pPr>
        <w:pStyle w:val="FootnoteText"/>
      </w:pPr>
      <w:r>
        <w:rPr>
          <w:rStyle w:val="FootnoteReference"/>
        </w:rPr>
        <w:footnoteRef/>
      </w:r>
      <w:r>
        <w:t xml:space="preserve"> SCE reply comments to the Ruling at 1-2</w:t>
      </w:r>
      <w:r w:rsidR="00095F10">
        <w:t>.</w:t>
      </w:r>
    </w:p>
  </w:footnote>
  <w:footnote w:id="11">
    <w:p w14:paraId="37BE31AE" w14:textId="503D44C6" w:rsidR="008F0A39" w:rsidRDefault="008F0A39">
      <w:pPr>
        <w:pStyle w:val="FootnoteText"/>
      </w:pPr>
      <w:r>
        <w:rPr>
          <w:rStyle w:val="FootnoteReference"/>
        </w:rPr>
        <w:footnoteRef/>
      </w:r>
      <w:r>
        <w:t xml:space="preserve"> SCE’s initial October Update forecasted a revenue requirement of $5.236 billion, but three errata amended its forecast to</w:t>
      </w:r>
      <w:r w:rsidR="001F4573">
        <w:t xml:space="preserve"> $5.234 billion to</w:t>
      </w:r>
      <w:r>
        <w:t xml:space="preserve"> reflect the Departing Load customers now represented by the City of Huntington Beach.</w:t>
      </w:r>
    </w:p>
  </w:footnote>
  <w:footnote w:id="12">
    <w:p w14:paraId="20A4218D" w14:textId="1BE0681C" w:rsidR="009B08ED" w:rsidRDefault="009B08ED">
      <w:pPr>
        <w:pStyle w:val="FootnoteText"/>
      </w:pPr>
      <w:r>
        <w:rPr>
          <w:rStyle w:val="FootnoteReference"/>
        </w:rPr>
        <w:footnoteRef/>
      </w:r>
      <w:r>
        <w:t xml:space="preserve"> Exhibit SCE-06C at 6-14.</w:t>
      </w:r>
    </w:p>
  </w:footnote>
  <w:footnote w:id="13">
    <w:p w14:paraId="19A8C814" w14:textId="77777777" w:rsidR="009B08ED" w:rsidRDefault="009B08ED" w:rsidP="009B08ED">
      <w:pPr>
        <w:pStyle w:val="FootnoteText"/>
      </w:pPr>
      <w:r>
        <w:rPr>
          <w:rStyle w:val="FootnoteReference"/>
        </w:rPr>
        <w:footnoteRef/>
      </w:r>
      <w:r>
        <w:t xml:space="preserve"> Exhibit SCE-06C at 1.</w:t>
      </w:r>
    </w:p>
  </w:footnote>
  <w:footnote w:id="14">
    <w:p w14:paraId="33DB234C" w14:textId="0F89A4CC" w:rsidR="00FC4218" w:rsidRDefault="00FC4218">
      <w:pPr>
        <w:pStyle w:val="FootnoteText"/>
      </w:pPr>
      <w:r>
        <w:rPr>
          <w:rStyle w:val="FootnoteReference"/>
        </w:rPr>
        <w:footnoteRef/>
      </w:r>
      <w:r>
        <w:t xml:space="preserve"> All references to code herein refer to the California Public Utilities Code (Pub. Util. Code).</w:t>
      </w:r>
    </w:p>
  </w:footnote>
  <w:footnote w:id="15">
    <w:p w14:paraId="12081779" w14:textId="79EF26FD" w:rsidR="00432694" w:rsidRDefault="00432694">
      <w:pPr>
        <w:pStyle w:val="FootnoteText"/>
      </w:pPr>
      <w:r>
        <w:rPr>
          <w:rStyle w:val="FootnoteReference"/>
        </w:rPr>
        <w:footnoteRef/>
      </w:r>
      <w:r>
        <w:t xml:space="preserve"> A.23-06-001 initially requested $4.932 million, which was updated in SCE’s October Update and associated errata to $5.234 billion.</w:t>
      </w:r>
    </w:p>
  </w:footnote>
  <w:footnote w:id="16">
    <w:p w14:paraId="0B672089" w14:textId="77777777" w:rsidR="00194D1F" w:rsidRDefault="00194D1F" w:rsidP="00194D1F">
      <w:pPr>
        <w:pStyle w:val="FootnoteText"/>
      </w:pPr>
      <w:r>
        <w:rPr>
          <w:rStyle w:val="FootnoteReference"/>
        </w:rPr>
        <w:footnoteRef/>
      </w:r>
      <w:r>
        <w:t xml:space="preserve"> Exhibit SCE-01C at 1.</w:t>
      </w:r>
    </w:p>
  </w:footnote>
  <w:footnote w:id="17">
    <w:p w14:paraId="7631A342" w14:textId="23ADA5E4" w:rsidR="00970165" w:rsidRPr="003D6F0D" w:rsidRDefault="00970165" w:rsidP="00970165">
      <w:pPr>
        <w:pStyle w:val="FootnoteText"/>
        <w:rPr>
          <w:szCs w:val="22"/>
        </w:rPr>
      </w:pPr>
      <w:r w:rsidRPr="00C57917">
        <w:rPr>
          <w:rStyle w:val="FootnoteReference"/>
        </w:rPr>
        <w:footnoteRef/>
      </w:r>
      <w:r w:rsidRPr="00C57917">
        <w:t xml:space="preserve"> </w:t>
      </w:r>
      <w:r>
        <w:t>Exhibit </w:t>
      </w:r>
      <w:r w:rsidR="00490594">
        <w:t>SCE-06C at 6</w:t>
      </w:r>
      <w:r w:rsidR="00EE2EE0">
        <w:t xml:space="preserve">, as updated by SCE’s Errata to SCE-06C </w:t>
      </w:r>
      <w:r w:rsidR="00EE2EE0" w:rsidRPr="003D6F0D">
        <w:t xml:space="preserve">filed October 24, 26, </w:t>
      </w:r>
      <w:r w:rsidR="00EE2EE0" w:rsidRPr="002F290B">
        <w:t xml:space="preserve">and </w:t>
      </w:r>
      <w:r w:rsidR="003D6F0D" w:rsidRPr="002F290B">
        <w:t>October 31</w:t>
      </w:r>
      <w:r w:rsidR="00EE2EE0" w:rsidRPr="002F290B">
        <w:t>, 2023.</w:t>
      </w:r>
    </w:p>
  </w:footnote>
  <w:footnote w:id="18">
    <w:p w14:paraId="01099601" w14:textId="414F3B0B" w:rsidR="00CC7585" w:rsidRDefault="00CC7585">
      <w:pPr>
        <w:pStyle w:val="FootnoteText"/>
      </w:pPr>
      <w:r w:rsidRPr="003D6F0D">
        <w:rPr>
          <w:rStyle w:val="FootnoteReference"/>
        </w:rPr>
        <w:footnoteRef/>
      </w:r>
      <w:r w:rsidRPr="003D6F0D">
        <w:t xml:space="preserve"> </w:t>
      </w:r>
      <w:r w:rsidR="004F3B3C" w:rsidRPr="003D6F0D">
        <w:t>Exhibit SCE-01C</w:t>
      </w:r>
      <w:r w:rsidRPr="003D6F0D">
        <w:t xml:space="preserve"> at 3-4.</w:t>
      </w:r>
    </w:p>
  </w:footnote>
  <w:footnote w:id="19">
    <w:p w14:paraId="13F8475B" w14:textId="57C1F418" w:rsidR="00D9355F" w:rsidRDefault="00D9355F">
      <w:pPr>
        <w:pStyle w:val="FootnoteText"/>
      </w:pPr>
      <w:r>
        <w:rPr>
          <w:rStyle w:val="FootnoteReference"/>
        </w:rPr>
        <w:footnoteRef/>
      </w:r>
      <w:r>
        <w:t xml:space="preserve"> Exhibit SCE-06C at 15 confirmed that SCE’s forecasted retail electricity sales are unchanged from its original testimony. </w:t>
      </w:r>
      <w:r w:rsidR="00290054">
        <w:t xml:space="preserve">However, SCE noted in its October 24, 26, and </w:t>
      </w:r>
      <w:r w:rsidR="003D6F0D">
        <w:t>October 31</w:t>
      </w:r>
      <w:r w:rsidR="00290054">
        <w:t>, 2023</w:t>
      </w:r>
      <w:r w:rsidR="003D6F0D">
        <w:t>,</w:t>
      </w:r>
      <w:r w:rsidR="00290054">
        <w:t xml:space="preserve"> errata that it did not accurately remove the City of Huntington Beach customers from its bundled customer forecasts, and the necessary adjustments are noted throughout this Decision.</w:t>
      </w:r>
    </w:p>
  </w:footnote>
  <w:footnote w:id="20">
    <w:p w14:paraId="3C826AFC" w14:textId="0154AD65" w:rsidR="00C42E09" w:rsidRDefault="00C42E09">
      <w:pPr>
        <w:pStyle w:val="FootnoteText"/>
      </w:pPr>
      <w:r>
        <w:rPr>
          <w:rStyle w:val="FootnoteReference"/>
        </w:rPr>
        <w:footnoteRef/>
      </w:r>
      <w:r>
        <w:t xml:space="preserve"> </w:t>
      </w:r>
      <w:r w:rsidR="004F3B3C">
        <w:t xml:space="preserve">Exhibit </w:t>
      </w:r>
      <w:r>
        <w:t>SCE-01</w:t>
      </w:r>
      <w:r w:rsidR="004F3B3C">
        <w:t>C</w:t>
      </w:r>
      <w:r>
        <w:t xml:space="preserve"> at 13.</w:t>
      </w:r>
    </w:p>
  </w:footnote>
  <w:footnote w:id="21">
    <w:p w14:paraId="158C6031" w14:textId="5CB7EA3E" w:rsidR="004F7957" w:rsidRPr="009826B9" w:rsidRDefault="004F7957">
      <w:pPr>
        <w:pStyle w:val="FootnoteText"/>
      </w:pPr>
      <w:r>
        <w:rPr>
          <w:rStyle w:val="FootnoteReference"/>
        </w:rPr>
        <w:footnoteRef/>
      </w:r>
      <w:r>
        <w:t xml:space="preserve"> </w:t>
      </w:r>
      <w:r w:rsidR="009826B9" w:rsidRPr="009826B9">
        <w:t>Exhibit SCE-01C at 13.</w:t>
      </w:r>
    </w:p>
  </w:footnote>
  <w:footnote w:id="22">
    <w:p w14:paraId="229EFF5B" w14:textId="7A4EDFD1" w:rsidR="00300084" w:rsidRDefault="00300084">
      <w:pPr>
        <w:pStyle w:val="FootnoteText"/>
      </w:pPr>
      <w:r>
        <w:rPr>
          <w:rStyle w:val="FootnoteReference"/>
        </w:rPr>
        <w:footnoteRef/>
      </w:r>
      <w:r>
        <w:t xml:space="preserve"> </w:t>
      </w:r>
      <w:r w:rsidR="004F3B3C">
        <w:t xml:space="preserve">Exhibit </w:t>
      </w:r>
      <w:r>
        <w:t>SCE-01</w:t>
      </w:r>
      <w:r w:rsidR="004F3B3C">
        <w:t>C</w:t>
      </w:r>
      <w:r>
        <w:t xml:space="preserve"> at 14-15</w:t>
      </w:r>
      <w:r w:rsidR="00EE34C1">
        <w:t xml:space="preserve"> and Exhibit SCE-06C at 16-17.</w:t>
      </w:r>
    </w:p>
  </w:footnote>
  <w:footnote w:id="23">
    <w:p w14:paraId="56BBAF64" w14:textId="2559CC94" w:rsidR="007421A7" w:rsidRDefault="007421A7">
      <w:pPr>
        <w:pStyle w:val="FootnoteText"/>
      </w:pPr>
      <w:r>
        <w:rPr>
          <w:rStyle w:val="FootnoteReference"/>
        </w:rPr>
        <w:footnoteRef/>
      </w:r>
      <w:r>
        <w:t xml:space="preserve"> Exhibit SCE-01C at 14-15 and Exhibit SCE-06C at 16-17</w:t>
      </w:r>
      <w:r w:rsidR="00EA7531">
        <w:t xml:space="preserve"> and footnote 23</w:t>
      </w:r>
      <w:r>
        <w:t>.</w:t>
      </w:r>
    </w:p>
  </w:footnote>
  <w:footnote w:id="24">
    <w:p w14:paraId="2B1B1962" w14:textId="197CB6C7" w:rsidR="00E01B05" w:rsidRDefault="00E01B05" w:rsidP="00E01B05">
      <w:pPr>
        <w:pStyle w:val="FootnoteText"/>
      </w:pPr>
      <w:r>
        <w:rPr>
          <w:rStyle w:val="FootnoteReference"/>
        </w:rPr>
        <w:footnoteRef/>
      </w:r>
      <w:r>
        <w:t xml:space="preserve"> </w:t>
      </w:r>
      <w:r w:rsidR="00480CFE">
        <w:t xml:space="preserve">Exhibit </w:t>
      </w:r>
      <w:r>
        <w:t>SCE-01</w:t>
      </w:r>
      <w:r w:rsidR="004F3B3C">
        <w:t>C</w:t>
      </w:r>
      <w:r>
        <w:t xml:space="preserve"> at 14.</w:t>
      </w:r>
    </w:p>
  </w:footnote>
  <w:footnote w:id="25">
    <w:p w14:paraId="1277E369" w14:textId="33162C6B" w:rsidR="00E01B05" w:rsidRDefault="00E01B05">
      <w:pPr>
        <w:pStyle w:val="FootnoteText"/>
      </w:pPr>
      <w:r>
        <w:rPr>
          <w:rStyle w:val="FootnoteReference"/>
        </w:rPr>
        <w:footnoteRef/>
      </w:r>
      <w:r>
        <w:t xml:space="preserve"> SCE included the following CCAs in its 2024 ERRA forecast: </w:t>
      </w:r>
      <w:r w:rsidRPr="00E01B05">
        <w:t>Lancaster Choice Energy (LCE); Apple Valley Choice Energy (AVCE); Pico Rivera Innovative Municipal Energy (PRIME); Clean Power Alliance (CPA) Phases 1-5; San Jacinto Power (SJP); Rancho Mirage Energy Authority (RMEA); Central Coast Community Energy (3CE); Pomona, Palmdale Phases 1 and 2; City of Santa Barbara; Orange County Power Authority Phase 1, 2, and NEM.</w:t>
      </w:r>
      <w:r w:rsidR="00B268E4">
        <w:t xml:space="preserve"> </w:t>
      </w:r>
      <w:r w:rsidR="00480CFE">
        <w:t xml:space="preserve">Huntington Beach withdrew from OCPA in May 2023. </w:t>
      </w:r>
      <w:r w:rsidR="00B268E4">
        <w:t>CPA also submitted an implementation plan for its Phase 6 service to begin in 2024 in Hermosa Beach, Monrovia, and Santa Paula. SCE provided a summary of meetings with CPA and OCPA in the workpapers of A.23-06-001</w:t>
      </w:r>
      <w:r w:rsidR="00480CFE">
        <w:t>. (</w:t>
      </w:r>
      <w:r w:rsidR="00C5548F">
        <w:rPr>
          <w:i/>
          <w:iCs/>
        </w:rPr>
        <w:t xml:space="preserve">See </w:t>
      </w:r>
      <w:r w:rsidR="00480CFE">
        <w:t xml:space="preserve">Exhibit </w:t>
      </w:r>
      <w:r w:rsidR="005E4BB8">
        <w:br/>
      </w:r>
      <w:r w:rsidR="00480CFE">
        <w:t>SCE-01</w:t>
      </w:r>
      <w:r w:rsidR="004F3B3C">
        <w:t>C</w:t>
      </w:r>
      <w:r w:rsidR="00480CFE">
        <w:t xml:space="preserve"> at 24</w:t>
      </w:r>
      <w:r w:rsidR="00C5548F">
        <w:t xml:space="preserve"> and</w:t>
      </w:r>
      <w:r w:rsidR="00480CFE">
        <w:t xml:space="preserve"> Exhibit SCE-</w:t>
      </w:r>
      <w:r w:rsidR="00C5548F">
        <w:t>06C at 18-19</w:t>
      </w:r>
      <w:r w:rsidR="00480CFE">
        <w:t>).</w:t>
      </w:r>
    </w:p>
  </w:footnote>
  <w:footnote w:id="26">
    <w:p w14:paraId="48DEC9C0" w14:textId="5EFDE017" w:rsidR="00D84959" w:rsidRDefault="00D84959">
      <w:pPr>
        <w:pStyle w:val="FootnoteText"/>
      </w:pPr>
      <w:r>
        <w:rPr>
          <w:rStyle w:val="FootnoteReference"/>
        </w:rPr>
        <w:footnoteRef/>
      </w:r>
      <w:r>
        <w:t xml:space="preserve"> Exhibit SCE-06C at 19 and footnote 25.</w:t>
      </w:r>
    </w:p>
  </w:footnote>
  <w:footnote w:id="27">
    <w:p w14:paraId="39E4DE34" w14:textId="05B58EAD" w:rsidR="00DE2F8C" w:rsidRPr="00DE2F8C" w:rsidRDefault="00DE2F8C">
      <w:pPr>
        <w:pStyle w:val="FootnoteText"/>
      </w:pPr>
      <w:r>
        <w:rPr>
          <w:rStyle w:val="FootnoteReference"/>
        </w:rPr>
        <w:footnoteRef/>
      </w:r>
      <w:r>
        <w:t xml:space="preserve"> SCE used the software PLEXOS to forecast LCD of dispatchable resources in SCE’s portfolio; optimize hydroelectric resource dispatch; and perform Monte Carlo simulations of forced outage rates for individual units. </w:t>
      </w:r>
      <w:r w:rsidR="00C5548F">
        <w:t xml:space="preserve">Energy- and use-limited hydroelectric and gas peaking resources were also modeled to dispatch pursuant to LCD. </w:t>
      </w:r>
      <w:r>
        <w:t xml:space="preserve">The 24-hour flat price forward power broker cost was $67.57/MWh for 2024. </w:t>
      </w:r>
      <w:r>
        <w:rPr>
          <w:i/>
          <w:iCs/>
        </w:rPr>
        <w:t>See</w:t>
      </w:r>
      <w:r>
        <w:t xml:space="preserve"> Exhibit SCE-06C at 24</w:t>
      </w:r>
      <w:r w:rsidR="00C01BB2">
        <w:t xml:space="preserve"> and footnote</w:t>
      </w:r>
      <w:r w:rsidR="00C5548F">
        <w:t>s</w:t>
      </w:r>
      <w:r w:rsidR="00C01BB2">
        <w:t xml:space="preserve"> 29</w:t>
      </w:r>
      <w:r w:rsidR="00C5548F">
        <w:t xml:space="preserve"> and 31</w:t>
      </w:r>
      <w:r>
        <w:t>.</w:t>
      </w:r>
    </w:p>
  </w:footnote>
  <w:footnote w:id="28">
    <w:p w14:paraId="5A571C53" w14:textId="6D5D691A" w:rsidR="009918FC" w:rsidRPr="00C01BB2" w:rsidRDefault="009918FC">
      <w:pPr>
        <w:pStyle w:val="FootnoteText"/>
      </w:pPr>
      <w:r>
        <w:rPr>
          <w:rStyle w:val="FootnoteReference"/>
        </w:rPr>
        <w:footnoteRef/>
      </w:r>
      <w:r>
        <w:t xml:space="preserve"> D.14-10-033, Ordering Paragraph 10</w:t>
      </w:r>
      <w:r w:rsidR="00147F38">
        <w:t xml:space="preserve"> and Exhibit SCE-06C at 1.</w:t>
      </w:r>
      <w:r w:rsidR="00CE3702">
        <w:t>SCE noted that the ICE settlement price of a 2024-vintage GHG allowance as of August 24, 2023 was $39.36 per metric ton.</w:t>
      </w:r>
      <w:r w:rsidR="00C01BB2">
        <w:t xml:space="preserve"> The GHG price forecast was incorporated as part of the resource dispatch costs, like natural gas prices, in order to reflect the appropriate costs for GHG-emitting resources. </w:t>
      </w:r>
      <w:r w:rsidR="00C01BB2">
        <w:rPr>
          <w:i/>
          <w:iCs/>
        </w:rPr>
        <w:t xml:space="preserve">See </w:t>
      </w:r>
      <w:r w:rsidR="00C01BB2">
        <w:t xml:space="preserve">Exhibit </w:t>
      </w:r>
      <w:r w:rsidR="005E4BB8">
        <w:br/>
      </w:r>
      <w:r w:rsidR="00C01BB2">
        <w:t>SCE-06C at 24, footnote 30.</w:t>
      </w:r>
    </w:p>
  </w:footnote>
  <w:footnote w:id="29">
    <w:p w14:paraId="682BC237" w14:textId="77777777" w:rsidR="00194D1F" w:rsidRDefault="00194D1F" w:rsidP="00194D1F">
      <w:pPr>
        <w:pStyle w:val="FootnoteText"/>
      </w:pPr>
      <w:r>
        <w:rPr>
          <w:rStyle w:val="FootnoteReference"/>
        </w:rPr>
        <w:footnoteRef/>
      </w:r>
      <w:r>
        <w:t xml:space="preserve"> D.23-04-012, Ordering Paragraph 1.</w:t>
      </w:r>
    </w:p>
  </w:footnote>
  <w:footnote w:id="30">
    <w:p w14:paraId="71C6B781" w14:textId="77777777" w:rsidR="00194D1F" w:rsidRDefault="00194D1F" w:rsidP="00194D1F">
      <w:pPr>
        <w:pStyle w:val="FootnoteText"/>
      </w:pPr>
      <w:r>
        <w:rPr>
          <w:rStyle w:val="FootnoteReference"/>
        </w:rPr>
        <w:footnoteRef/>
      </w:r>
      <w:r>
        <w:t xml:space="preserve"> Exhibit SCE-01C at 5.</w:t>
      </w:r>
    </w:p>
  </w:footnote>
  <w:footnote w:id="31">
    <w:p w14:paraId="6F7AD5E8" w14:textId="6DE309FF" w:rsidR="00194D1F" w:rsidRPr="004B2DE7" w:rsidRDefault="00194D1F" w:rsidP="00194D1F">
      <w:pPr>
        <w:pStyle w:val="FootnoteText"/>
      </w:pPr>
      <w:r>
        <w:rPr>
          <w:rStyle w:val="FootnoteReference"/>
        </w:rPr>
        <w:footnoteRef/>
      </w:r>
      <w:r>
        <w:t xml:space="preserve"> </w:t>
      </w:r>
      <w:r w:rsidR="00B74E1D">
        <w:t>Exhibit SCE-01C at 5.</w:t>
      </w:r>
    </w:p>
  </w:footnote>
  <w:footnote w:id="32">
    <w:p w14:paraId="0EE6B930" w14:textId="1413A118" w:rsidR="0063192D" w:rsidRDefault="0063192D">
      <w:pPr>
        <w:pStyle w:val="FootnoteText"/>
      </w:pPr>
      <w:r>
        <w:rPr>
          <w:rStyle w:val="FootnoteReference"/>
        </w:rPr>
        <w:footnoteRef/>
      </w:r>
      <w:r>
        <w:t xml:space="preserve"> In Exhibit SCE-06CE2 at 125 and Table IX-42, SCE noted th</w:t>
      </w:r>
      <w:r w:rsidR="00323ADA">
        <w:t>at (1)</w:t>
      </w:r>
      <w:r>
        <w:t xml:space="preserve"> the change in its Total Portfolio Costs between its June Testimony (Exhibit SCE-01C) and its October Update is a two percent increase</w:t>
      </w:r>
      <w:r w:rsidR="00323ADA">
        <w:t xml:space="preserve"> and (2) its October Update forecast of the value of its Total Portfolio Market Value increased by approximately 12 percent compared to its June Testimony</w:t>
      </w:r>
      <w:r>
        <w:t>.</w:t>
      </w:r>
      <w:r w:rsidR="00323ADA">
        <w:t xml:space="preserve"> The increase in Total Portfolio Market Value is largely associated with the higher 2024 </w:t>
      </w:r>
      <w:r w:rsidR="00C91030">
        <w:t>MPB</w:t>
      </w:r>
      <w:r w:rsidR="00323ADA">
        <w:t xml:space="preserve"> adopted by the Commission’s Energy Division on October 2, 2023</w:t>
      </w:r>
      <w:r w:rsidR="00C91030">
        <w:t>.</w:t>
      </w:r>
    </w:p>
  </w:footnote>
  <w:footnote w:id="33">
    <w:p w14:paraId="206C3E9A" w14:textId="4901ACE5" w:rsidR="004F3B3C" w:rsidRDefault="004F3B3C">
      <w:pPr>
        <w:pStyle w:val="FootnoteText"/>
      </w:pPr>
      <w:r>
        <w:rPr>
          <w:rStyle w:val="FootnoteReference"/>
        </w:rPr>
        <w:footnoteRef/>
      </w:r>
      <w:r>
        <w:t xml:space="preserve"> Exhibit SCE-01C at 35.</w:t>
      </w:r>
    </w:p>
  </w:footnote>
  <w:footnote w:id="34">
    <w:p w14:paraId="78F221D8" w14:textId="28AF0DB9" w:rsidR="001309A9" w:rsidRDefault="001309A9">
      <w:pPr>
        <w:pStyle w:val="FootnoteText"/>
      </w:pPr>
      <w:r>
        <w:rPr>
          <w:rStyle w:val="FootnoteReference"/>
        </w:rPr>
        <w:footnoteRef/>
      </w:r>
      <w:r>
        <w:t xml:space="preserve"> </w:t>
      </w:r>
      <w:r w:rsidR="00295E71">
        <w:t xml:space="preserve">Exhibit </w:t>
      </w:r>
      <w:r>
        <w:t>SCE-01</w:t>
      </w:r>
      <w:r w:rsidR="004F3B3C">
        <w:t>C</w:t>
      </w:r>
      <w:r>
        <w:t xml:space="preserve"> at 33-34.</w:t>
      </w:r>
    </w:p>
  </w:footnote>
  <w:footnote w:id="35">
    <w:p w14:paraId="3717A0C0" w14:textId="2CB8C890" w:rsidR="001309A9" w:rsidRPr="001309A9" w:rsidRDefault="001309A9">
      <w:pPr>
        <w:pStyle w:val="FootnoteText"/>
        <w:rPr>
          <w:i/>
          <w:iCs/>
        </w:rPr>
      </w:pPr>
      <w:r>
        <w:rPr>
          <w:rStyle w:val="FootnoteReference"/>
        </w:rPr>
        <w:footnoteRef/>
      </w:r>
      <w:r>
        <w:t xml:space="preserve"> </w:t>
      </w:r>
      <w:r>
        <w:rPr>
          <w:i/>
          <w:iCs/>
        </w:rPr>
        <w:t>Ibid.</w:t>
      </w:r>
    </w:p>
  </w:footnote>
  <w:footnote w:id="36">
    <w:p w14:paraId="554D9119" w14:textId="5EAE3B1C" w:rsidR="00295E71" w:rsidRDefault="00295E71">
      <w:pPr>
        <w:pStyle w:val="FootnoteText"/>
      </w:pPr>
      <w:r>
        <w:rPr>
          <w:rStyle w:val="FootnoteReference"/>
        </w:rPr>
        <w:footnoteRef/>
      </w:r>
      <w:r>
        <w:t xml:space="preserve"> Exhibit SCE-01</w:t>
      </w:r>
      <w:r w:rsidR="004F3B3C">
        <w:t>C</w:t>
      </w:r>
      <w:r>
        <w:t xml:space="preserve"> at 35.</w:t>
      </w:r>
    </w:p>
  </w:footnote>
  <w:footnote w:id="37">
    <w:p w14:paraId="625BA022" w14:textId="27CDAE29" w:rsidR="00C92DD4" w:rsidRDefault="00C92DD4">
      <w:pPr>
        <w:pStyle w:val="FootnoteText"/>
      </w:pPr>
      <w:r>
        <w:rPr>
          <w:rStyle w:val="FootnoteReference"/>
        </w:rPr>
        <w:footnoteRef/>
      </w:r>
      <w:r>
        <w:t xml:space="preserve"> Exhibit SCE-06C at 32-33.</w:t>
      </w:r>
    </w:p>
  </w:footnote>
  <w:footnote w:id="38">
    <w:p w14:paraId="758C3EAC" w14:textId="381572AF" w:rsidR="004F3B3C" w:rsidRPr="004F3B3C" w:rsidRDefault="004F3B3C">
      <w:pPr>
        <w:pStyle w:val="FootnoteText"/>
      </w:pPr>
      <w:r>
        <w:rPr>
          <w:rStyle w:val="FootnoteReference"/>
        </w:rPr>
        <w:footnoteRef/>
      </w:r>
      <w:r>
        <w:t xml:space="preserve"> Exhibit SCE-01C at 36-37.</w:t>
      </w:r>
    </w:p>
  </w:footnote>
  <w:footnote w:id="39">
    <w:p w14:paraId="37DD765E" w14:textId="549695C1" w:rsidR="00166D71" w:rsidRDefault="00166D71">
      <w:pPr>
        <w:pStyle w:val="FootnoteText"/>
      </w:pPr>
      <w:r>
        <w:rPr>
          <w:rStyle w:val="FootnoteReference"/>
        </w:rPr>
        <w:footnoteRef/>
      </w:r>
      <w:r>
        <w:t xml:space="preserve"> Exhibit SCE-01C at 41,</w:t>
      </w:r>
    </w:p>
  </w:footnote>
  <w:footnote w:id="40">
    <w:p w14:paraId="3D76656D" w14:textId="69C2D441" w:rsidR="00166D71" w:rsidRDefault="00166D71">
      <w:pPr>
        <w:pStyle w:val="FootnoteText"/>
      </w:pPr>
      <w:r>
        <w:rPr>
          <w:rStyle w:val="FootnoteReference"/>
        </w:rPr>
        <w:footnoteRef/>
      </w:r>
      <w:r>
        <w:t xml:space="preserve"> Exhibit SCE-01C at 39-4</w:t>
      </w:r>
      <w:r w:rsidR="00EB01E2">
        <w:t>0</w:t>
      </w:r>
      <w:r>
        <w:t>.</w:t>
      </w:r>
    </w:p>
  </w:footnote>
  <w:footnote w:id="41">
    <w:p w14:paraId="3D843D36" w14:textId="6263AF98" w:rsidR="0065349C" w:rsidRDefault="0065349C">
      <w:pPr>
        <w:pStyle w:val="FootnoteText"/>
      </w:pPr>
      <w:r>
        <w:rPr>
          <w:rStyle w:val="FootnoteReference"/>
        </w:rPr>
        <w:footnoteRef/>
      </w:r>
      <w:r>
        <w:t xml:space="preserve"> Exhibit SCE-06C at 34.</w:t>
      </w:r>
    </w:p>
  </w:footnote>
  <w:footnote w:id="42">
    <w:p w14:paraId="71045E75" w14:textId="2A1805E1" w:rsidR="007E36D7" w:rsidRDefault="007E36D7">
      <w:pPr>
        <w:pStyle w:val="FootnoteText"/>
      </w:pPr>
      <w:r>
        <w:rPr>
          <w:rStyle w:val="FootnoteReference"/>
        </w:rPr>
        <w:footnoteRef/>
      </w:r>
      <w:r>
        <w:t xml:space="preserve"> Exhibit SCE-06C at 36 – 38.</w:t>
      </w:r>
    </w:p>
  </w:footnote>
  <w:footnote w:id="43">
    <w:p w14:paraId="2D814F0D" w14:textId="7B7EBAAF" w:rsidR="009B31B0" w:rsidRDefault="009B31B0">
      <w:pPr>
        <w:pStyle w:val="FootnoteText"/>
      </w:pPr>
      <w:r>
        <w:rPr>
          <w:rStyle w:val="FootnoteReference"/>
        </w:rPr>
        <w:footnoteRef/>
      </w:r>
      <w:r>
        <w:t xml:space="preserve"> The Commission ordered SCE to build up to 250 MW of black-start capable, dispatchable generation capacity within its service area through an August 15, 2006, Assigned Commissioner’s Ruling. Exhibit SCE-06C at 38. </w:t>
      </w:r>
    </w:p>
  </w:footnote>
  <w:footnote w:id="44">
    <w:p w14:paraId="6107E881" w14:textId="760C16C8" w:rsidR="002A20A0" w:rsidRDefault="002A20A0">
      <w:pPr>
        <w:pStyle w:val="FootnoteText"/>
      </w:pPr>
      <w:r>
        <w:rPr>
          <w:rStyle w:val="FootnoteReference"/>
        </w:rPr>
        <w:footnoteRef/>
      </w:r>
      <w:r>
        <w:t xml:space="preserve"> Exhibit SCE-01C at 41</w:t>
      </w:r>
      <w:r w:rsidR="006C4C20">
        <w:t xml:space="preserve"> and Exhibit SCE-06C at 38-39</w:t>
      </w:r>
      <w:r>
        <w:t>.</w:t>
      </w:r>
    </w:p>
  </w:footnote>
  <w:footnote w:id="45">
    <w:p w14:paraId="277D4919" w14:textId="6B44E98C" w:rsidR="00201331" w:rsidRDefault="00201331">
      <w:pPr>
        <w:pStyle w:val="FootnoteText"/>
      </w:pPr>
      <w:r>
        <w:rPr>
          <w:rStyle w:val="FootnoteReference"/>
        </w:rPr>
        <w:footnoteRef/>
      </w:r>
      <w:r>
        <w:t xml:space="preserve"> Exhibit SCE-06C at 38-39</w:t>
      </w:r>
      <w:r w:rsidR="00B20714">
        <w:t xml:space="preserve"> and Table IV-8 and IV-9.</w:t>
      </w:r>
    </w:p>
  </w:footnote>
  <w:footnote w:id="46">
    <w:p w14:paraId="77FB599C" w14:textId="4F4C2FA1" w:rsidR="006C4C20" w:rsidRDefault="006C4C20">
      <w:pPr>
        <w:pStyle w:val="FootnoteText"/>
      </w:pPr>
      <w:r>
        <w:rPr>
          <w:rStyle w:val="FootnoteReference"/>
        </w:rPr>
        <w:footnoteRef/>
      </w:r>
      <w:r>
        <w:t xml:space="preserve"> Exhibit SCE-06C at 6.</w:t>
      </w:r>
    </w:p>
  </w:footnote>
  <w:footnote w:id="47">
    <w:p w14:paraId="7E17EEA2" w14:textId="211E6AC3" w:rsidR="002A20A0" w:rsidRDefault="002A20A0">
      <w:pPr>
        <w:pStyle w:val="FootnoteText"/>
      </w:pPr>
      <w:r>
        <w:rPr>
          <w:rStyle w:val="FootnoteReference"/>
        </w:rPr>
        <w:footnoteRef/>
      </w:r>
      <w:r>
        <w:t xml:space="preserve"> Exhibit SCE-01C at 42-43</w:t>
      </w:r>
      <w:r w:rsidR="006C4C20">
        <w:t xml:space="preserve"> and Exhibit SCE-06C at 39-40</w:t>
      </w:r>
      <w:r w:rsidR="00015BF8">
        <w:t xml:space="preserve"> and Table IV-14.</w:t>
      </w:r>
      <w:r w:rsidR="00314BD2">
        <w:tab/>
      </w:r>
    </w:p>
  </w:footnote>
  <w:footnote w:id="48">
    <w:p w14:paraId="410C6A4E" w14:textId="7CDF7A60" w:rsidR="00BE4668" w:rsidRDefault="00BE4668">
      <w:pPr>
        <w:pStyle w:val="FootnoteText"/>
      </w:pPr>
      <w:r>
        <w:rPr>
          <w:rStyle w:val="FootnoteReference"/>
        </w:rPr>
        <w:footnoteRef/>
      </w:r>
      <w:r>
        <w:t xml:space="preserve"> Exhibit SCE-06C at 41.</w:t>
      </w:r>
    </w:p>
  </w:footnote>
  <w:footnote w:id="49">
    <w:p w14:paraId="02616B94" w14:textId="266C1B8E" w:rsidR="002524F2" w:rsidRDefault="002524F2">
      <w:pPr>
        <w:pStyle w:val="FootnoteText"/>
      </w:pPr>
      <w:r>
        <w:rPr>
          <w:rStyle w:val="FootnoteReference"/>
        </w:rPr>
        <w:footnoteRef/>
      </w:r>
      <w:r>
        <w:t xml:space="preserve"> Exhibit SCE-06C at 41.</w:t>
      </w:r>
    </w:p>
  </w:footnote>
  <w:footnote w:id="50">
    <w:p w14:paraId="18A9D09C" w14:textId="43FF06A5" w:rsidR="00681B48" w:rsidRPr="00681B48" w:rsidRDefault="00681B48">
      <w:pPr>
        <w:pStyle w:val="FootnoteText"/>
      </w:pPr>
      <w:r>
        <w:rPr>
          <w:rStyle w:val="FootnoteReference"/>
        </w:rPr>
        <w:footnoteRef/>
      </w:r>
      <w:r>
        <w:t xml:space="preserve"> </w:t>
      </w:r>
      <w:r>
        <w:rPr>
          <w:i/>
          <w:iCs/>
        </w:rPr>
        <w:t>See</w:t>
      </w:r>
      <w:r>
        <w:t xml:space="preserve"> Exhibit SCE-06C at 41-42. Pursuant to D.19-11-016, “Fast Track” projects were to come online by August 1, 2021; “Standard Track” projects were to come online by August 1, 2022, and August 1, 2023. Pursuant to an April 15, 2020, ALJ Ruling in Rulemaking 16-02-007, SCE was also required to procure an additional 56.6 MW for the customers of opt-out load-serving entities.</w:t>
      </w:r>
    </w:p>
  </w:footnote>
  <w:footnote w:id="51">
    <w:p w14:paraId="2DD2A024" w14:textId="77777777" w:rsidR="00794A2D" w:rsidRDefault="00794A2D" w:rsidP="00794A2D">
      <w:pPr>
        <w:pStyle w:val="FootnoteText"/>
      </w:pPr>
      <w:r>
        <w:rPr>
          <w:rStyle w:val="FootnoteReference"/>
        </w:rPr>
        <w:footnoteRef/>
      </w:r>
      <w:r>
        <w:t xml:space="preserve"> Exhibit SCE-01C at 44-45 and Exhibit SCE-06C at 42-43. Resolution E-5240, approving Advice Letter 4831-E/E-A, authorized SCE to transfer the cost recovery of the System Reliability Procurement Memorandum Account (SRPMA) recorded costs to its PABA, MCAMBA, and NSGBA. SCE completed these cost transfers in January 2023 and June 2023. SCE is no longer recording costs in the SRPMA and will seek to eliminate the SRPMA in a future filing.</w:t>
      </w:r>
    </w:p>
  </w:footnote>
  <w:footnote w:id="52">
    <w:p w14:paraId="7421CB0C" w14:textId="77777777" w:rsidR="00CF29A0" w:rsidRDefault="00CF29A0" w:rsidP="00CF29A0">
      <w:pPr>
        <w:pStyle w:val="FootnoteText"/>
      </w:pPr>
      <w:r>
        <w:rPr>
          <w:rStyle w:val="FootnoteReference"/>
        </w:rPr>
        <w:footnoteRef/>
      </w:r>
      <w:r>
        <w:t xml:space="preserve"> Exhibit SCE-06C at 43. SCE allocated the SRRFO costs to its bundled service and load-serving entity opt-out customers based on their pro-rata load share.</w:t>
      </w:r>
    </w:p>
  </w:footnote>
  <w:footnote w:id="53">
    <w:p w14:paraId="0C47A14F" w14:textId="2CD64F7C" w:rsidR="00543966" w:rsidRDefault="00543966" w:rsidP="00543966">
      <w:pPr>
        <w:pStyle w:val="FootnoteText"/>
      </w:pPr>
      <w:r>
        <w:rPr>
          <w:rStyle w:val="FootnoteReference"/>
        </w:rPr>
        <w:footnoteRef/>
      </w:r>
      <w:r>
        <w:t xml:space="preserve"> D.21-06-035 required at least 11,500</w:t>
      </w:r>
      <w:r w:rsidR="00264185">
        <w:t xml:space="preserve"> </w:t>
      </w:r>
      <w:r>
        <w:t xml:space="preserve">MW of additional net qualifying capacity (NQC) to be procured by </w:t>
      </w:r>
      <w:proofErr w:type="gramStart"/>
      <w:r>
        <w:t>all of</w:t>
      </w:r>
      <w:proofErr w:type="gramEnd"/>
      <w:r>
        <w:t xml:space="preserve"> the LSEs subject to the Commission’s integrated resource planning (IRP) authority. SCE’s portion of that capacity is 4,052</w:t>
      </w:r>
      <w:r w:rsidR="00264185">
        <w:t xml:space="preserve"> </w:t>
      </w:r>
      <w:r>
        <w:t xml:space="preserve">MW: 705 MW online by August 1, 2023; 2,114 MW by June 1, 2024; 529 MW by June 1, 2025, and 705 MW of long lead time resources by 2026. </w:t>
      </w:r>
    </w:p>
  </w:footnote>
  <w:footnote w:id="54">
    <w:p w14:paraId="15F9ED29" w14:textId="2B3B2CF9" w:rsidR="00543966" w:rsidRDefault="00543966">
      <w:pPr>
        <w:pStyle w:val="FootnoteText"/>
      </w:pPr>
      <w:r>
        <w:rPr>
          <w:rStyle w:val="FootnoteReference"/>
        </w:rPr>
        <w:footnoteRef/>
      </w:r>
      <w:r>
        <w:t xml:space="preserve"> Exhibit SCE-06C at 44. SCE’s MTRRFO sought zero-emitting resources or resources that otherwise qualify under RPS eligibility requirements. </w:t>
      </w:r>
    </w:p>
  </w:footnote>
  <w:footnote w:id="55">
    <w:p w14:paraId="44012AD6" w14:textId="02D30192" w:rsidR="009A54FA" w:rsidRDefault="009A54FA" w:rsidP="009A54FA">
      <w:pPr>
        <w:pStyle w:val="FootnoteText"/>
      </w:pPr>
      <w:r>
        <w:rPr>
          <w:rStyle w:val="FootnoteReference"/>
        </w:rPr>
        <w:footnoteRef/>
      </w:r>
      <w:r>
        <w:t xml:space="preserve"> Exhibit SCE-01C at 48-49</w:t>
      </w:r>
      <w:r w:rsidR="00385467">
        <w:t xml:space="preserve"> and Exhibit SCE-06C at 46-47 and Table IV-9</w:t>
      </w:r>
      <w:r w:rsidR="00853B3C">
        <w:t>.</w:t>
      </w:r>
    </w:p>
  </w:footnote>
  <w:footnote w:id="56">
    <w:p w14:paraId="567DC269" w14:textId="1CE242B9" w:rsidR="00070D02" w:rsidRDefault="00070D02">
      <w:pPr>
        <w:pStyle w:val="FootnoteText"/>
      </w:pPr>
      <w:r>
        <w:rPr>
          <w:rStyle w:val="FootnoteReference"/>
        </w:rPr>
        <w:footnoteRef/>
      </w:r>
      <w:r>
        <w:t xml:space="preserve"> Exhibit CalCCA</w:t>
      </w:r>
      <w:r w:rsidRPr="00FC4218">
        <w:t>-01C</w:t>
      </w:r>
      <w:r>
        <w:t xml:space="preserve"> at 3-4. </w:t>
      </w:r>
    </w:p>
  </w:footnote>
  <w:footnote w:id="57">
    <w:p w14:paraId="046B170D" w14:textId="6206D189" w:rsidR="00794A2D" w:rsidRDefault="00794A2D">
      <w:pPr>
        <w:pStyle w:val="FootnoteText"/>
      </w:pPr>
      <w:r>
        <w:rPr>
          <w:rStyle w:val="FootnoteReference"/>
        </w:rPr>
        <w:footnoteRef/>
      </w:r>
      <w:r>
        <w:t xml:space="preserve"> </w:t>
      </w:r>
      <w:r w:rsidR="00FA593D">
        <w:rPr>
          <w:i/>
          <w:iCs/>
        </w:rPr>
        <w:t xml:space="preserve">See </w:t>
      </w:r>
      <w:r w:rsidR="00FA593D">
        <w:t xml:space="preserve">Exhibit SCE-05C at 7-10, Exhibit SCE-06C3 at 124-125, and </w:t>
      </w:r>
      <w:r>
        <w:t>SCE November 17, 2023, Opening Comments at 3.</w:t>
      </w:r>
    </w:p>
  </w:footnote>
  <w:footnote w:id="58">
    <w:p w14:paraId="1ABBFA30" w14:textId="12A611F4" w:rsidR="001F6160" w:rsidRDefault="001F6160" w:rsidP="001F6160">
      <w:pPr>
        <w:pStyle w:val="FootnoteText"/>
      </w:pPr>
      <w:r>
        <w:rPr>
          <w:rStyle w:val="FootnoteReference"/>
        </w:rPr>
        <w:footnoteRef/>
      </w:r>
      <w:r>
        <w:t xml:space="preserve"> Preferred Resources are defined as cost-effective EE, demand response, renewable resources, and distributed generation. </w:t>
      </w:r>
      <w:r w:rsidRPr="001F6160">
        <w:rPr>
          <w:i/>
          <w:iCs/>
        </w:rPr>
        <w:t>See</w:t>
      </w:r>
      <w:r>
        <w:t xml:space="preserve"> State Energy Action Plan II at 2 and Exhibit SCE-01C at 49.</w:t>
      </w:r>
    </w:p>
  </w:footnote>
  <w:footnote w:id="59">
    <w:p w14:paraId="5429C861" w14:textId="6D18EE79" w:rsidR="00C97877" w:rsidRDefault="00C97877">
      <w:pPr>
        <w:pStyle w:val="FootnoteText"/>
      </w:pPr>
      <w:r>
        <w:rPr>
          <w:rStyle w:val="FootnoteReference"/>
        </w:rPr>
        <w:footnoteRef/>
      </w:r>
      <w:r>
        <w:t xml:space="preserve"> Exhibit SCE-</w:t>
      </w:r>
      <w:r w:rsidR="00AA4271">
        <w:t>06C at 48 and footnote 52</w:t>
      </w:r>
      <w:r>
        <w:t>.</w:t>
      </w:r>
    </w:p>
  </w:footnote>
  <w:footnote w:id="60">
    <w:p w14:paraId="41461E6C" w14:textId="117517F1" w:rsidR="00090D2E" w:rsidRPr="00090D2E" w:rsidRDefault="00090D2E">
      <w:pPr>
        <w:pStyle w:val="FootnoteText"/>
      </w:pPr>
      <w:r>
        <w:rPr>
          <w:rStyle w:val="FootnoteReference"/>
        </w:rPr>
        <w:footnoteRef/>
      </w:r>
      <w:r>
        <w:t xml:space="preserve"> SCE has three tree mortality contracts. </w:t>
      </w:r>
      <w:r>
        <w:rPr>
          <w:i/>
          <w:iCs/>
        </w:rPr>
        <w:t>See</w:t>
      </w:r>
      <w:r>
        <w:t xml:space="preserve"> Exhibit SCE-01C at 120</w:t>
      </w:r>
      <w:r w:rsidR="00AA4271">
        <w:t xml:space="preserve"> and Exhibit SCE-06C </w:t>
      </w:r>
      <w:r w:rsidR="005E4BB8">
        <w:br/>
      </w:r>
      <w:r w:rsidR="00AA4271">
        <w:t>at 117-118</w:t>
      </w:r>
      <w:r>
        <w:t>.</w:t>
      </w:r>
      <w:r w:rsidR="008A1FE3">
        <w:t xml:space="preserve"> These were procured pursuant to Resolutions E-4770 and E-4805.</w:t>
      </w:r>
    </w:p>
  </w:footnote>
  <w:footnote w:id="61">
    <w:p w14:paraId="78904194" w14:textId="76ED6A98" w:rsidR="00090D2E" w:rsidRDefault="00090D2E">
      <w:pPr>
        <w:pStyle w:val="FootnoteText"/>
      </w:pPr>
      <w:r>
        <w:rPr>
          <w:rStyle w:val="FootnoteReference"/>
        </w:rPr>
        <w:footnoteRef/>
      </w:r>
      <w:r>
        <w:t xml:space="preserve"> Exhibit SCE-0</w:t>
      </w:r>
      <w:r w:rsidR="00720B2B">
        <w:t>6</w:t>
      </w:r>
      <w:r>
        <w:t xml:space="preserve">C at </w:t>
      </w:r>
      <w:r w:rsidR="00720B2B">
        <w:t>11</w:t>
      </w:r>
      <w:r w:rsidR="00995FFF">
        <w:t>8</w:t>
      </w:r>
      <w:r w:rsidR="00720B2B">
        <w:t>.</w:t>
      </w:r>
    </w:p>
  </w:footnote>
  <w:footnote w:id="62">
    <w:p w14:paraId="26B20B15" w14:textId="697B54ED" w:rsidR="00720B2B" w:rsidRDefault="00720B2B">
      <w:pPr>
        <w:pStyle w:val="FootnoteText"/>
      </w:pPr>
      <w:r>
        <w:rPr>
          <w:rStyle w:val="FootnoteReference"/>
        </w:rPr>
        <w:footnoteRef/>
      </w:r>
      <w:r>
        <w:t xml:space="preserve"> Exhibit SCE-06C at 119</w:t>
      </w:r>
      <w:r w:rsidR="00995FFF">
        <w:t>-120</w:t>
      </w:r>
      <w:r>
        <w:t>.</w:t>
      </w:r>
    </w:p>
  </w:footnote>
  <w:footnote w:id="63">
    <w:p w14:paraId="594EFE4A" w14:textId="12800B6E" w:rsidR="00BF6FCF" w:rsidRDefault="00BF6FCF" w:rsidP="00BF6FCF">
      <w:pPr>
        <w:pStyle w:val="FootnoteText"/>
      </w:pPr>
      <w:r w:rsidRPr="00853B3C">
        <w:rPr>
          <w:rStyle w:val="FootnoteReference"/>
        </w:rPr>
        <w:footnoteRef/>
      </w:r>
      <w:r>
        <w:t xml:space="preserve"> </w:t>
      </w:r>
      <w:r w:rsidR="002A3A83">
        <w:t>Exhibit SCE-06C at 117-120 and Confidential Appendix A of SCE’s October Workpapers.</w:t>
      </w:r>
    </w:p>
  </w:footnote>
  <w:footnote w:id="64">
    <w:p w14:paraId="20746037" w14:textId="71FD8AD4" w:rsidR="00CE58A1" w:rsidRPr="00CE58A1" w:rsidRDefault="00CE58A1">
      <w:pPr>
        <w:pStyle w:val="FootnoteText"/>
      </w:pPr>
      <w:r>
        <w:rPr>
          <w:rStyle w:val="FootnoteReference"/>
        </w:rPr>
        <w:footnoteRef/>
      </w:r>
      <w:r>
        <w:t xml:space="preserve"> SCE will not begin serving customers under its ECR option until ECR-specific projects reach commercial operation. </w:t>
      </w:r>
      <w:r>
        <w:rPr>
          <w:i/>
          <w:iCs/>
        </w:rPr>
        <w:t xml:space="preserve">See </w:t>
      </w:r>
      <w:r>
        <w:t>Exhibit SCE-06C at 48, footnote 54.</w:t>
      </w:r>
    </w:p>
  </w:footnote>
  <w:footnote w:id="65">
    <w:p w14:paraId="51ABBDAD" w14:textId="5F2C462E" w:rsidR="001972A4" w:rsidRDefault="001972A4" w:rsidP="001972A4">
      <w:pPr>
        <w:pStyle w:val="FootnoteText"/>
      </w:pPr>
      <w:r>
        <w:rPr>
          <w:rStyle w:val="FootnoteReference"/>
        </w:rPr>
        <w:footnoteRef/>
      </w:r>
      <w:r>
        <w:t xml:space="preserve"> The weighted average price of the GTSR program was calculated based on contracts specifically for GTSR resources</w:t>
      </w:r>
      <w:r w:rsidR="00407E31">
        <w:t>, excluding the projects that have not yet been approved by the Commission</w:t>
      </w:r>
      <w:r>
        <w:t>. Exhibit SCE-06C at 48.</w:t>
      </w:r>
      <w:r w:rsidR="00AF4C2B">
        <w:t xml:space="preserve"> </w:t>
      </w:r>
    </w:p>
  </w:footnote>
  <w:footnote w:id="66">
    <w:p w14:paraId="739E2FB2" w14:textId="1AFD8C4F" w:rsidR="006321F3" w:rsidRDefault="006321F3">
      <w:pPr>
        <w:pStyle w:val="FootnoteText"/>
      </w:pPr>
      <w:r>
        <w:rPr>
          <w:rStyle w:val="FootnoteReference"/>
        </w:rPr>
        <w:footnoteRef/>
      </w:r>
      <w:r>
        <w:t xml:space="preserve"> Exhibit SCE-06C at 49. SCE stated the relief sought in its August 6, 2022</w:t>
      </w:r>
      <w:r w:rsidR="003C5BD1">
        <w:t>,</w:t>
      </w:r>
      <w:r>
        <w:t xml:space="preserve"> PFM was no longer timely.</w:t>
      </w:r>
    </w:p>
  </w:footnote>
  <w:footnote w:id="67">
    <w:p w14:paraId="3A1883BE" w14:textId="1AF29F0E" w:rsidR="002A2086" w:rsidRDefault="002A2086">
      <w:pPr>
        <w:pStyle w:val="FootnoteText"/>
      </w:pPr>
      <w:r>
        <w:rPr>
          <w:rStyle w:val="FootnoteReference"/>
        </w:rPr>
        <w:footnoteRef/>
      </w:r>
      <w:r>
        <w:t xml:space="preserve"> Exhibit SCE-01C at 51. PVNGS Unit 3 has a scheduled refueling outage commencing </w:t>
      </w:r>
      <w:r w:rsidR="00663DD0">
        <w:br/>
      </w:r>
      <w:r>
        <w:t>April 6, 2024</w:t>
      </w:r>
      <w:r w:rsidR="00F86AB2">
        <w:t>,</w:t>
      </w:r>
      <w:r>
        <w:t xml:space="preserve"> and PVNGS Unit 2 has a scheduled refueling outage commencing October 5, 2024.</w:t>
      </w:r>
    </w:p>
  </w:footnote>
  <w:footnote w:id="68">
    <w:p w14:paraId="4F9ED5CC" w14:textId="041010F9" w:rsidR="00AF4C2B" w:rsidRDefault="00AF4C2B">
      <w:pPr>
        <w:pStyle w:val="FootnoteText"/>
      </w:pPr>
      <w:r>
        <w:rPr>
          <w:rStyle w:val="FootnoteReference"/>
        </w:rPr>
        <w:footnoteRef/>
      </w:r>
      <w:r>
        <w:t xml:space="preserve"> Exhibit SCE-06C at 51 and Table IV-16.</w:t>
      </w:r>
    </w:p>
  </w:footnote>
  <w:footnote w:id="69">
    <w:p w14:paraId="7CCD2CFD" w14:textId="542422A9" w:rsidR="002D47A8" w:rsidRDefault="002D47A8">
      <w:pPr>
        <w:pStyle w:val="FootnoteText"/>
      </w:pPr>
      <w:r>
        <w:rPr>
          <w:rStyle w:val="FootnoteReference"/>
        </w:rPr>
        <w:footnoteRef/>
      </w:r>
      <w:r>
        <w:t xml:space="preserve"> Exhibit SCE-01C at 51-5</w:t>
      </w:r>
      <w:r w:rsidR="00AA5ABE">
        <w:t>4 and Table IV-15</w:t>
      </w:r>
      <w:r w:rsidR="00AF4C2B">
        <w:t xml:space="preserve">, as updated by Exhibit SCE-06C at 52 and </w:t>
      </w:r>
      <w:r w:rsidR="005E4BB8">
        <w:br/>
      </w:r>
      <w:r w:rsidR="00AF4C2B">
        <w:t>Table IV-16.</w:t>
      </w:r>
    </w:p>
  </w:footnote>
  <w:footnote w:id="70">
    <w:p w14:paraId="7F8E8677" w14:textId="7EA43F1D" w:rsidR="00AA5ABE" w:rsidRDefault="00AA5ABE">
      <w:pPr>
        <w:pStyle w:val="FootnoteText"/>
      </w:pPr>
      <w:r>
        <w:rPr>
          <w:rStyle w:val="FootnoteReference"/>
        </w:rPr>
        <w:footnoteRef/>
      </w:r>
      <w:r>
        <w:t xml:space="preserve"> Exhibit SCE-01C at 54 and Table IV-15</w:t>
      </w:r>
      <w:r w:rsidR="007F1CC1">
        <w:t xml:space="preserve"> and Exhibit SCE-06C at 52 and Table IV-16.</w:t>
      </w:r>
    </w:p>
  </w:footnote>
  <w:footnote w:id="71">
    <w:p w14:paraId="00B18BEA" w14:textId="1A00AE02" w:rsidR="005164E9" w:rsidRPr="00636883" w:rsidRDefault="005164E9">
      <w:pPr>
        <w:pStyle w:val="FootnoteText"/>
      </w:pPr>
      <w:r>
        <w:rPr>
          <w:rStyle w:val="FootnoteReference"/>
        </w:rPr>
        <w:footnoteRef/>
      </w:r>
      <w:r>
        <w:t xml:space="preserve"> SCE’s forecast suggested a total estimated propane cost of $0.66 million for 2024, but it projected propane costs will decrease by approximately 38.53 percent through 2024, resulting</w:t>
      </w:r>
      <w:r w:rsidR="003C5BD1">
        <w:t xml:space="preserve"> in</w:t>
      </w:r>
      <w:r>
        <w:t xml:space="preserve"> its 2024 propane forecast of $0.404 million for Catalina Island micro-turbine generation.</w:t>
      </w:r>
      <w:r w:rsidR="00636883">
        <w:t xml:space="preserve"> </w:t>
      </w:r>
      <w:r w:rsidR="00636883">
        <w:rPr>
          <w:i/>
          <w:iCs/>
        </w:rPr>
        <w:t xml:space="preserve">See </w:t>
      </w:r>
      <w:r w:rsidR="00636883">
        <w:t>Exhibit SCE-06C at 55 and Table IV-1</w:t>
      </w:r>
      <w:r w:rsidR="00275A17">
        <w:t>7</w:t>
      </w:r>
      <w:r w:rsidR="00636883">
        <w:t>.</w:t>
      </w:r>
    </w:p>
  </w:footnote>
  <w:footnote w:id="72">
    <w:p w14:paraId="4824A23F" w14:textId="2F24C570" w:rsidR="006479F9" w:rsidRDefault="006479F9">
      <w:pPr>
        <w:pStyle w:val="FootnoteText"/>
      </w:pPr>
      <w:r>
        <w:rPr>
          <w:rStyle w:val="FootnoteReference"/>
        </w:rPr>
        <w:footnoteRef/>
      </w:r>
      <w:r>
        <w:t xml:space="preserve"> Exhibit SCE-01 at 54-59.</w:t>
      </w:r>
    </w:p>
  </w:footnote>
  <w:footnote w:id="73">
    <w:p w14:paraId="73E82341" w14:textId="65C46F06" w:rsidR="00814C24" w:rsidRPr="00814C24" w:rsidRDefault="00814C24">
      <w:pPr>
        <w:pStyle w:val="FootnoteText"/>
      </w:pPr>
      <w:r>
        <w:rPr>
          <w:rStyle w:val="FootnoteReference"/>
        </w:rPr>
        <w:footnoteRef/>
      </w:r>
      <w:r>
        <w:t xml:space="preserve"> </w:t>
      </w:r>
      <w:r>
        <w:rPr>
          <w:i/>
          <w:iCs/>
        </w:rPr>
        <w:t xml:space="preserve">See </w:t>
      </w:r>
      <w:r>
        <w:rPr>
          <w:rFonts w:ascii="TimesNewRomanPSMT" w:hAnsi="TimesNewRomanPSMT" w:cs="TimesNewRomanPSMT"/>
        </w:rPr>
        <w:t xml:space="preserve">CAISO Business Practice Manual for Demand Response, </w:t>
      </w:r>
      <w:r>
        <w:rPr>
          <w:rFonts w:ascii="TimesNewRomanPS-ItalicMT" w:hAnsi="TimesNewRomanPS-ItalicMT" w:cs="TimesNewRomanPS-ItalicMT"/>
          <w:i/>
          <w:iCs/>
        </w:rPr>
        <w:t>Overview of Demand Response Resources</w:t>
      </w:r>
      <w:r w:rsidR="00185ADF">
        <w:rPr>
          <w:rFonts w:ascii="TimesNewRomanPS-ItalicMT" w:hAnsi="TimesNewRomanPS-ItalicMT" w:cs="TimesNewRomanPS-ItalicMT"/>
        </w:rPr>
        <w:t>,</w:t>
      </w:r>
      <w:r>
        <w:rPr>
          <w:rFonts w:ascii="TimesNewRomanPS-ItalicMT" w:hAnsi="TimesNewRomanPS-ItalicMT" w:cs="TimesNewRomanPS-ItalicMT"/>
        </w:rPr>
        <w:t xml:space="preserve"> Exhibit SCE-01C at 59</w:t>
      </w:r>
      <w:r w:rsidR="00185ADF">
        <w:rPr>
          <w:rFonts w:ascii="TimesNewRomanPS-ItalicMT" w:hAnsi="TimesNewRomanPS-ItalicMT" w:cs="TimesNewRomanPS-ItalicMT"/>
        </w:rPr>
        <w:t>, and Exhibit SCE-06C at 57-58</w:t>
      </w:r>
      <w:r>
        <w:rPr>
          <w:rFonts w:ascii="TimesNewRomanPS-ItalicMT" w:hAnsi="TimesNewRomanPS-ItalicMT" w:cs="TimesNewRomanPS-ItalicMT"/>
        </w:rPr>
        <w:t>.</w:t>
      </w:r>
    </w:p>
  </w:footnote>
  <w:footnote w:id="74">
    <w:p w14:paraId="4ED29893" w14:textId="31A6236C" w:rsidR="000E7554" w:rsidRPr="000E7554" w:rsidRDefault="000E7554">
      <w:pPr>
        <w:pStyle w:val="FootnoteText"/>
      </w:pPr>
      <w:r>
        <w:rPr>
          <w:rStyle w:val="FootnoteReference"/>
        </w:rPr>
        <w:footnoteRef/>
      </w:r>
      <w:r>
        <w:t xml:space="preserve"> Exhibit SCE-06C at 57 and D.08-04-050, Attachment A.</w:t>
      </w:r>
    </w:p>
  </w:footnote>
  <w:footnote w:id="75">
    <w:p w14:paraId="52F1175E" w14:textId="7B081977" w:rsidR="006F50D6" w:rsidRPr="006F50D6" w:rsidRDefault="006F50D6" w:rsidP="00F51F12">
      <w:pPr>
        <w:pStyle w:val="FootnoteText"/>
        <w:rPr>
          <w:rFonts w:ascii="TimesNewRomanPSMT" w:hAnsi="TimesNewRomanPSMT" w:cs="TimesNewRomanPSMT"/>
        </w:rPr>
      </w:pPr>
      <w:r>
        <w:rPr>
          <w:rStyle w:val="FootnoteReference"/>
        </w:rPr>
        <w:footnoteRef/>
      </w:r>
      <w:r>
        <w:t xml:space="preserve"> </w:t>
      </w:r>
      <w:r w:rsidR="00F51F12">
        <w:t xml:space="preserve">SCE noted that it applied different forecasting methodologies for the separate CAISO cost types. </w:t>
      </w:r>
      <w:r w:rsidRPr="006F50D6">
        <w:rPr>
          <w:rStyle w:val="FootnoteTextChar"/>
          <w:szCs w:val="22"/>
        </w:rPr>
        <w:t xml:space="preserve">Exhibit SCE-06C at 58, </w:t>
      </w:r>
      <w:r w:rsidR="00EF0234">
        <w:rPr>
          <w:rStyle w:val="FootnoteTextChar"/>
          <w:szCs w:val="22"/>
        </w:rPr>
        <w:t xml:space="preserve">and </w:t>
      </w:r>
      <w:r w:rsidRPr="006F50D6">
        <w:rPr>
          <w:rStyle w:val="FootnoteTextChar"/>
          <w:szCs w:val="22"/>
        </w:rPr>
        <w:t xml:space="preserve">footnote 58: “Consistent with D.18-10-019, SCE now forecasts energy revenues separately from load procurement charges, as the energy revenues for </w:t>
      </w:r>
      <w:r w:rsidR="005E4BB8">
        <w:rPr>
          <w:rStyle w:val="FootnoteTextChar"/>
          <w:szCs w:val="22"/>
        </w:rPr>
        <w:br/>
      </w:r>
      <w:r w:rsidRPr="006F50D6">
        <w:rPr>
          <w:rStyle w:val="FootnoteTextChar"/>
          <w:szCs w:val="22"/>
        </w:rPr>
        <w:t>PABA-eligible resources are recorded to PABA, while load procurement charges are recorded to the ERRA BA.”</w:t>
      </w:r>
    </w:p>
  </w:footnote>
  <w:footnote w:id="76">
    <w:p w14:paraId="2E2A9CBD" w14:textId="6A15A888" w:rsidR="00276D7C" w:rsidRDefault="00276D7C" w:rsidP="00276D7C">
      <w:pPr>
        <w:pStyle w:val="FootnoteText"/>
      </w:pPr>
      <w:r>
        <w:rPr>
          <w:rStyle w:val="FootnoteReference"/>
        </w:rPr>
        <w:footnoteRef/>
      </w:r>
      <w:r>
        <w:t xml:space="preserve"> Exhibit SCE-01C at 60 and Table IV-8. For 2024, SCE’s forecasted non-energy-related CAISO costs were comprised of the net costs of grid management charges (GMC); </w:t>
      </w:r>
      <w:r w:rsidR="003C5BD1">
        <w:t xml:space="preserve">Federal Regulatory Commission (FERC) </w:t>
      </w:r>
      <w:r>
        <w:t xml:space="preserve">fees; </w:t>
      </w:r>
      <w:r w:rsidR="003C5BD1">
        <w:t xml:space="preserve">Congestion Revenue Rights (CRR) </w:t>
      </w:r>
      <w:r>
        <w:t>auction-related costs; ancillary services; CAISO uplift costs; standard capacity product (SCP) costs; and other non-energy-related CAISO costs.</w:t>
      </w:r>
    </w:p>
  </w:footnote>
  <w:footnote w:id="77">
    <w:p w14:paraId="37EF1987" w14:textId="3E618C5A" w:rsidR="003D19FD" w:rsidRDefault="003D19FD">
      <w:pPr>
        <w:pStyle w:val="FootnoteText"/>
      </w:pPr>
      <w:r>
        <w:rPr>
          <w:rStyle w:val="FootnoteReference"/>
        </w:rPr>
        <w:footnoteRef/>
      </w:r>
      <w:r>
        <w:t xml:space="preserve"> Exhibit SCE-01C at 61 and Table IV-8.</w:t>
      </w:r>
    </w:p>
  </w:footnote>
  <w:footnote w:id="78">
    <w:p w14:paraId="24E927C9" w14:textId="3D7B4782" w:rsidR="00455A35" w:rsidRDefault="00455A35">
      <w:pPr>
        <w:pStyle w:val="FootnoteText"/>
      </w:pPr>
      <w:r>
        <w:rPr>
          <w:rStyle w:val="FootnoteReference"/>
        </w:rPr>
        <w:footnoteRef/>
      </w:r>
      <w:r>
        <w:t xml:space="preserve"> Exhibit SCE-01C at 74-75.</w:t>
      </w:r>
    </w:p>
  </w:footnote>
  <w:footnote w:id="79">
    <w:p w14:paraId="51C98CBC" w14:textId="15300F22" w:rsidR="006F6D0D" w:rsidRDefault="006F6D0D">
      <w:pPr>
        <w:pStyle w:val="FootnoteText"/>
      </w:pPr>
      <w:r>
        <w:rPr>
          <w:rStyle w:val="FootnoteReference"/>
        </w:rPr>
        <w:footnoteRef/>
      </w:r>
      <w:r>
        <w:t xml:space="preserve"> Exhibit SCE-06C at 73. These gas transportation contracts do not have any fixed components, so the charges will vary by month.</w:t>
      </w:r>
    </w:p>
  </w:footnote>
  <w:footnote w:id="80">
    <w:p w14:paraId="51B3DE7E" w14:textId="73689630" w:rsidR="006F6D0D" w:rsidRDefault="006F6D0D">
      <w:pPr>
        <w:pStyle w:val="FootnoteText"/>
      </w:pPr>
      <w:r>
        <w:rPr>
          <w:rStyle w:val="FootnoteReference"/>
        </w:rPr>
        <w:footnoteRef/>
      </w:r>
      <w:r>
        <w:t xml:space="preserve"> Exhibit SCE-06C at 73. These rates</w:t>
      </w:r>
      <w:r w:rsidR="008C24EB">
        <w:t xml:space="preserve"> and SCE’s forecasted costs</w:t>
      </w:r>
      <w:r>
        <w:t xml:space="preserve"> reflect Southern California Gas Company’s Rate Schedule G-BTS2.</w:t>
      </w:r>
    </w:p>
  </w:footnote>
  <w:footnote w:id="81">
    <w:p w14:paraId="26E5FDEE" w14:textId="372D4E0C" w:rsidR="00DC4C1C" w:rsidRDefault="00DC4C1C">
      <w:pPr>
        <w:pStyle w:val="FootnoteText"/>
      </w:pPr>
      <w:r>
        <w:rPr>
          <w:rStyle w:val="FootnoteReference"/>
        </w:rPr>
        <w:footnoteRef/>
      </w:r>
      <w:r>
        <w:t xml:space="preserve"> Exhibit SCE-01C at 77-79</w:t>
      </w:r>
      <w:r w:rsidR="00C84085">
        <w:t xml:space="preserve"> as updated by Exhibit SCE-06C at 75-76</w:t>
      </w:r>
      <w:r>
        <w:t>.</w:t>
      </w:r>
    </w:p>
  </w:footnote>
  <w:footnote w:id="82">
    <w:p w14:paraId="28461B97" w14:textId="72DCD42A" w:rsidR="00DC4C1C" w:rsidRPr="00DC4C1C" w:rsidRDefault="00DC4C1C">
      <w:pPr>
        <w:pStyle w:val="FootnoteText"/>
      </w:pPr>
      <w:r>
        <w:rPr>
          <w:rStyle w:val="FootnoteReference"/>
        </w:rPr>
        <w:footnoteRef/>
      </w:r>
      <w:r>
        <w:t xml:space="preserve"> </w:t>
      </w:r>
      <w:r w:rsidR="00312309">
        <w:t>Exhibit SCE-01C</w:t>
      </w:r>
      <w:r>
        <w:rPr>
          <w:i/>
          <w:iCs/>
        </w:rPr>
        <w:t xml:space="preserve"> </w:t>
      </w:r>
      <w:r>
        <w:t>at 79</w:t>
      </w:r>
      <w:r w:rsidR="00312309">
        <w:t xml:space="preserve"> and Exhibit SCE-06C at 76-77</w:t>
      </w:r>
      <w:r>
        <w:t>.</w:t>
      </w:r>
    </w:p>
  </w:footnote>
  <w:footnote w:id="83">
    <w:p w14:paraId="246CB6F0" w14:textId="5770BBBE" w:rsidR="008C0FFB" w:rsidRPr="008C0FFB" w:rsidRDefault="008C0FFB" w:rsidP="008C0FFB">
      <w:pPr>
        <w:pStyle w:val="FootnoteText"/>
      </w:pPr>
      <w:r w:rsidRPr="00981F41">
        <w:rPr>
          <w:rStyle w:val="FootnoteReference"/>
        </w:rPr>
        <w:footnoteRef/>
      </w:r>
      <w:r>
        <w:t xml:space="preserve"> Exhibit SCE-01C at 80-82.</w:t>
      </w:r>
    </w:p>
  </w:footnote>
  <w:footnote w:id="84">
    <w:p w14:paraId="26BDEF6E" w14:textId="3116F178" w:rsidR="00F86AB2" w:rsidRDefault="00F86AB2">
      <w:pPr>
        <w:pStyle w:val="FootnoteText"/>
      </w:pPr>
      <w:r>
        <w:rPr>
          <w:rStyle w:val="FootnoteReference"/>
        </w:rPr>
        <w:footnoteRef/>
      </w:r>
      <w:r>
        <w:t xml:space="preserve"> SCE’s ERRA BA was established in D.02-10-062, effective January 1, 2003.</w:t>
      </w:r>
    </w:p>
  </w:footnote>
  <w:footnote w:id="85">
    <w:p w14:paraId="1EE37467" w14:textId="19CF163D" w:rsidR="00EF0234" w:rsidRDefault="00EF0234">
      <w:pPr>
        <w:pStyle w:val="FootnoteText"/>
      </w:pPr>
      <w:r>
        <w:rPr>
          <w:rStyle w:val="FootnoteReference"/>
        </w:rPr>
        <w:footnoteRef/>
      </w:r>
      <w:r>
        <w:t xml:space="preserve"> Exhibit SCE-06CE2 at98, Table VIII-35.</w:t>
      </w:r>
    </w:p>
  </w:footnote>
  <w:footnote w:id="86">
    <w:p w14:paraId="4801FF62" w14:textId="0E41776E" w:rsidR="004434BE" w:rsidRDefault="004434BE">
      <w:pPr>
        <w:pStyle w:val="FootnoteText"/>
      </w:pPr>
      <w:r>
        <w:rPr>
          <w:rStyle w:val="FootnoteReference"/>
        </w:rPr>
        <w:footnoteRef/>
      </w:r>
      <w:r>
        <w:t xml:space="preserve"> Exhibit SCE-06C at 105</w:t>
      </w:r>
      <w:r w:rsidR="00775C36">
        <w:t>, Table VIII-35, and Appendix A tab 1.</w:t>
      </w:r>
    </w:p>
  </w:footnote>
  <w:footnote w:id="87">
    <w:p w14:paraId="66DD5452" w14:textId="237FAFDE" w:rsidR="00940602" w:rsidRDefault="00940602" w:rsidP="00940602">
      <w:pPr>
        <w:pStyle w:val="FootnoteText"/>
      </w:pPr>
      <w:r w:rsidRPr="005A6933">
        <w:rPr>
          <w:rStyle w:val="FootnoteReference"/>
        </w:rPr>
        <w:footnoteRef/>
      </w:r>
      <w:r>
        <w:t xml:space="preserve"> Exhibit SCE</w:t>
      </w:r>
      <w:r>
        <w:noBreakHyphen/>
        <w:t>05 at 10</w:t>
      </w:r>
      <w:r w:rsidR="00EF0234">
        <w:t>,</w:t>
      </w:r>
      <w:r w:rsidR="00FE13C3">
        <w:t xml:space="preserve"> Exhibit SCE-06C at 98, Table VIII-35 and Appendix A tab 1</w:t>
      </w:r>
      <w:r w:rsidR="00EF0234">
        <w:t>, and Exhibit SCE-06CE2 at 98 and Table VIII-35</w:t>
      </w:r>
      <w:r>
        <w:t>.</w:t>
      </w:r>
    </w:p>
  </w:footnote>
  <w:footnote w:id="88">
    <w:p w14:paraId="6B6A22FE" w14:textId="237CCBB2" w:rsidR="000611AB" w:rsidRDefault="000611AB" w:rsidP="000611AB">
      <w:pPr>
        <w:pStyle w:val="FootnoteText"/>
      </w:pPr>
      <w:r>
        <w:rPr>
          <w:rStyle w:val="FootnoteReference"/>
        </w:rPr>
        <w:footnoteRef/>
      </w:r>
      <w:r>
        <w:t xml:space="preserve"> Pursuant to D.18-10-019 </w:t>
      </w:r>
      <w:r w:rsidR="003C5BD1">
        <w:t xml:space="preserve">Ordering Paragraph </w:t>
      </w:r>
      <w:r>
        <w:t xml:space="preserve">1 and page 42, the above-market costs of the CTC- and PCIA-eligible resources are defined as the actual costs less (1) actual revenues received through bilateral transactions; (2) actual energy and ancillary services revenues; </w:t>
      </w:r>
      <w:r w:rsidR="00EA4874">
        <w:br/>
      </w:r>
      <w:r>
        <w:t>(3) actual retained RPS value; and, (4) actual retained RA value.</w:t>
      </w:r>
    </w:p>
  </w:footnote>
  <w:footnote w:id="89">
    <w:p w14:paraId="61CD647B" w14:textId="77777777" w:rsidR="000611AB" w:rsidRDefault="000611AB" w:rsidP="000611AB">
      <w:pPr>
        <w:pStyle w:val="FootnoteText"/>
      </w:pPr>
      <w:r>
        <w:rPr>
          <w:rStyle w:val="FootnoteReference"/>
        </w:rPr>
        <w:footnoteRef/>
      </w:r>
      <w:r>
        <w:t xml:space="preserve"> Exhibit SCE-01C at 110 and Appendix A, Table 2. This forecast used the methodology adopted in D.22-01-003.</w:t>
      </w:r>
    </w:p>
  </w:footnote>
  <w:footnote w:id="90">
    <w:p w14:paraId="26A8BC36" w14:textId="2A3AE186" w:rsidR="00DA6647" w:rsidRDefault="00DA6647">
      <w:pPr>
        <w:pStyle w:val="FootnoteText"/>
      </w:pPr>
      <w:r>
        <w:rPr>
          <w:rStyle w:val="FootnoteReference"/>
        </w:rPr>
        <w:footnoteRef/>
      </w:r>
      <w:r>
        <w:t xml:space="preserve"> Exhibit SCE-01C at 133.</w:t>
      </w:r>
    </w:p>
  </w:footnote>
  <w:footnote w:id="91">
    <w:p w14:paraId="34F84D8E" w14:textId="7AE449CB" w:rsidR="000C7441" w:rsidRDefault="000C7441">
      <w:pPr>
        <w:pStyle w:val="FootnoteText"/>
      </w:pPr>
      <w:r>
        <w:rPr>
          <w:rStyle w:val="FootnoteReference"/>
        </w:rPr>
        <w:footnoteRef/>
      </w:r>
      <w:r>
        <w:t xml:space="preserve"> Exhibit CalCCA-02C at 31-32, referencing SCE’s Confidential Appendix A Workpapers PABA tab and its July 2023 PABA PUBA Activity Report.</w:t>
      </w:r>
    </w:p>
  </w:footnote>
  <w:footnote w:id="92">
    <w:p w14:paraId="5C76CC5B" w14:textId="549F3C87" w:rsidR="00E54C25" w:rsidRDefault="00E54C25">
      <w:pPr>
        <w:pStyle w:val="FootnoteText"/>
      </w:pPr>
      <w:r>
        <w:rPr>
          <w:rStyle w:val="FootnoteReference"/>
        </w:rPr>
        <w:footnoteRef/>
      </w:r>
      <w:r>
        <w:t xml:space="preserve"> Exhibit SCE-6C at 107-108, Table VIII-35, and Appendix A tab 2.</w:t>
      </w:r>
    </w:p>
  </w:footnote>
  <w:footnote w:id="93">
    <w:p w14:paraId="664B38AD" w14:textId="4F39A47E" w:rsidR="00C46284" w:rsidRPr="00C46284" w:rsidRDefault="00C46284" w:rsidP="00C46284">
      <w:pPr>
        <w:pStyle w:val="FootnoteText"/>
      </w:pPr>
      <w:r>
        <w:rPr>
          <w:rStyle w:val="FootnoteReference"/>
        </w:rPr>
        <w:footnoteRef/>
      </w:r>
      <w:r>
        <w:t xml:space="preserve"> </w:t>
      </w:r>
      <w:r>
        <w:rPr>
          <w:i/>
          <w:iCs/>
        </w:rPr>
        <w:t xml:space="preserve">See </w:t>
      </w:r>
      <w:r>
        <w:t>Exhibit SCE-06C at 106. SCE noted that “All else being equal, from 2019 through 2022, this error resulted in an understated ERRA BA (because the ending balance included market revenues that did not belong there) and an overstated PABA (because it correctly had the contract costs but none of the offsetting revenues associated with the contracts)”.</w:t>
      </w:r>
    </w:p>
  </w:footnote>
  <w:footnote w:id="94">
    <w:p w14:paraId="530351C9" w14:textId="313501EC" w:rsidR="00684050" w:rsidRDefault="00684050">
      <w:pPr>
        <w:pStyle w:val="FootnoteText"/>
      </w:pPr>
      <w:r>
        <w:rPr>
          <w:rStyle w:val="FootnoteReference"/>
        </w:rPr>
        <w:footnoteRef/>
      </w:r>
      <w:r>
        <w:t xml:space="preserve"> Exhibit SCE-06C at 108.</w:t>
      </w:r>
    </w:p>
  </w:footnote>
  <w:footnote w:id="95">
    <w:p w14:paraId="4EA851F6" w14:textId="1E57EE53" w:rsidR="000611AB" w:rsidRPr="00684050" w:rsidRDefault="000611AB" w:rsidP="000611AB">
      <w:pPr>
        <w:pStyle w:val="FootnoteText"/>
      </w:pPr>
      <w:r>
        <w:rPr>
          <w:rStyle w:val="FootnoteReference"/>
        </w:rPr>
        <w:footnoteRef/>
      </w:r>
      <w:r>
        <w:t xml:space="preserve"> Exhibit SCE-01C at 110, footnote 104 states</w:t>
      </w:r>
      <w:r w:rsidR="003C5BD1">
        <w:t>:</w:t>
      </w:r>
      <w:r>
        <w:t xml:space="preserve"> “For the average residential customer using </w:t>
      </w:r>
      <w:r w:rsidR="00FC53AF">
        <w:br/>
      </w:r>
      <w:r>
        <w:t>500 kWh per month, the estimated monthly bill impacts (decrease) associated with the correction of this error is approximately -$3/month for customers with 2014 through 2020 PCIA vintages and -$1.50/month for customers with 2021 PCIA vintages. Customers with 2022 and 2023 PCIA vintages will see a bill increase of less than $1 per month.”</w:t>
      </w:r>
      <w:r w:rsidR="00684050">
        <w:t xml:space="preserve"> </w:t>
      </w:r>
      <w:r w:rsidR="00684050">
        <w:rPr>
          <w:i/>
          <w:iCs/>
        </w:rPr>
        <w:t>See</w:t>
      </w:r>
      <w:r w:rsidR="00684050">
        <w:t xml:space="preserve"> also Exhibit SCE-06C at 108 and footnote 101.</w:t>
      </w:r>
    </w:p>
  </w:footnote>
  <w:footnote w:id="96">
    <w:p w14:paraId="5B4DDC21" w14:textId="16A9E7B3" w:rsidR="00080634" w:rsidRDefault="00080634">
      <w:pPr>
        <w:pStyle w:val="FootnoteText"/>
      </w:pPr>
      <w:r>
        <w:rPr>
          <w:rStyle w:val="FootnoteReference"/>
        </w:rPr>
        <w:footnoteRef/>
      </w:r>
      <w:r>
        <w:t xml:space="preserve"> Exhibit SCE-01C at 107-108</w:t>
      </w:r>
      <w:r w:rsidR="00813D01">
        <w:t xml:space="preserve">. SCE also noted the same resource ID change issue affected </w:t>
      </w:r>
      <w:r w:rsidR="00FC53AF">
        <w:br/>
      </w:r>
      <w:r w:rsidR="00813D01">
        <w:t>three other contracted resources in February 2023, but that the necessary corrections made quickly enough to not affect the ERRA BA and PABA balances in this proceeding.</w:t>
      </w:r>
    </w:p>
  </w:footnote>
  <w:footnote w:id="97">
    <w:p w14:paraId="1279E2DA" w14:textId="5DB89845" w:rsidR="00080634" w:rsidRDefault="00080634">
      <w:pPr>
        <w:pStyle w:val="FootnoteText"/>
      </w:pPr>
      <w:r>
        <w:rPr>
          <w:rStyle w:val="FootnoteReference"/>
        </w:rPr>
        <w:footnoteRef/>
      </w:r>
      <w:r>
        <w:t xml:space="preserve"> Exhibit SCE-01C at 107.</w:t>
      </w:r>
    </w:p>
  </w:footnote>
  <w:footnote w:id="98">
    <w:p w14:paraId="6350A251" w14:textId="3189CD80" w:rsidR="00EC6F8C" w:rsidRPr="00273D97" w:rsidRDefault="00EC6F8C">
      <w:pPr>
        <w:pStyle w:val="FootnoteText"/>
      </w:pPr>
      <w:r>
        <w:rPr>
          <w:rStyle w:val="FootnoteReference"/>
        </w:rPr>
        <w:footnoteRef/>
      </w:r>
      <w:r>
        <w:t xml:space="preserve"> Exhibit SCE-01C at 110-111</w:t>
      </w:r>
      <w:r w:rsidR="00273D97">
        <w:t>,</w:t>
      </w:r>
      <w:r>
        <w:t xml:space="preserve"> Appendix A Table 3</w:t>
      </w:r>
      <w:r w:rsidR="00273D97">
        <w:t xml:space="preserve">; and Exhibit SCE-06C at 109 and </w:t>
      </w:r>
      <w:r w:rsidR="00F023A9">
        <w:br/>
      </w:r>
      <w:r w:rsidR="00273D97">
        <w:t>Table VIII-35</w:t>
      </w:r>
      <w:r>
        <w:t>.</w:t>
      </w:r>
    </w:p>
  </w:footnote>
  <w:footnote w:id="99">
    <w:p w14:paraId="74ADA7F9" w14:textId="62A83D43" w:rsidR="00C93D59" w:rsidRDefault="00C93D59">
      <w:pPr>
        <w:pStyle w:val="FootnoteText"/>
      </w:pPr>
      <w:r>
        <w:rPr>
          <w:rStyle w:val="FootnoteReference"/>
        </w:rPr>
        <w:footnoteRef/>
      </w:r>
      <w:r>
        <w:t xml:space="preserve"> GHG allowance revenues and associated costs are discussed further in Section 7, below.</w:t>
      </w:r>
    </w:p>
  </w:footnote>
  <w:footnote w:id="100">
    <w:p w14:paraId="2ACDDFA1" w14:textId="6B86E14D" w:rsidR="00DF6638" w:rsidRDefault="00DF6638">
      <w:pPr>
        <w:pStyle w:val="FootnoteText"/>
      </w:pPr>
      <w:r>
        <w:rPr>
          <w:rStyle w:val="FootnoteReference"/>
        </w:rPr>
        <w:footnoteRef/>
      </w:r>
      <w:r>
        <w:t xml:space="preserve"> Exhibit SCE-06C at 109 and Table</w:t>
      </w:r>
      <w:r w:rsidR="00D77C5A">
        <w:t xml:space="preserve"> </w:t>
      </w:r>
      <w:r>
        <w:t>VIII-35.</w:t>
      </w:r>
    </w:p>
  </w:footnote>
  <w:footnote w:id="101">
    <w:p w14:paraId="52D17654" w14:textId="18F77A1A" w:rsidR="0062201A" w:rsidRPr="00C8307C" w:rsidRDefault="0062201A" w:rsidP="0062201A">
      <w:pPr>
        <w:pStyle w:val="FootnoteText"/>
      </w:pPr>
      <w:r>
        <w:rPr>
          <w:rStyle w:val="FootnoteReference"/>
        </w:rPr>
        <w:footnoteRef/>
      </w:r>
      <w:r>
        <w:t xml:space="preserve"> Exhibit SCE</w:t>
      </w:r>
      <w:r>
        <w:noBreakHyphen/>
      </w:r>
      <w:r w:rsidRPr="008F01DB">
        <w:t>0</w:t>
      </w:r>
      <w:r>
        <w:t>5 at 94</w:t>
      </w:r>
      <w:r w:rsidR="00736518">
        <w:t xml:space="preserve"> and Exhibit SCE-06C at Table VIII-35</w:t>
      </w:r>
    </w:p>
  </w:footnote>
  <w:footnote w:id="102">
    <w:p w14:paraId="23B9CD2F" w14:textId="77777777" w:rsidR="00DF6638" w:rsidRDefault="00DF6638" w:rsidP="0062201A">
      <w:pPr>
        <w:pStyle w:val="FootnoteText"/>
      </w:pPr>
      <w:r>
        <w:rPr>
          <w:rStyle w:val="FootnoteReference"/>
        </w:rPr>
        <w:footnoteRef/>
      </w:r>
      <w:r>
        <w:t xml:space="preserve"> </w:t>
      </w:r>
      <w:r w:rsidRPr="00534D8E">
        <w:t xml:space="preserve">Estimate includes </w:t>
      </w:r>
      <w:r>
        <w:t xml:space="preserve">indirect </w:t>
      </w:r>
      <w:r w:rsidRPr="00534D8E">
        <w:t>GHG costs.</w:t>
      </w:r>
    </w:p>
  </w:footnote>
  <w:footnote w:id="103">
    <w:p w14:paraId="4C5559B8" w14:textId="5624F09A" w:rsidR="002C30FD" w:rsidRDefault="002C30FD">
      <w:pPr>
        <w:pStyle w:val="FootnoteText"/>
      </w:pPr>
      <w:r>
        <w:rPr>
          <w:rStyle w:val="FootnoteReference"/>
        </w:rPr>
        <w:footnoteRef/>
      </w:r>
      <w:r>
        <w:t xml:space="preserve"> D.11-05-005 at 6-7 and OP 17.</w:t>
      </w:r>
    </w:p>
  </w:footnote>
  <w:footnote w:id="104">
    <w:p w14:paraId="2DEA165C" w14:textId="04D51B95" w:rsidR="002C30FD" w:rsidRDefault="002C30FD" w:rsidP="002C30FD">
      <w:pPr>
        <w:pStyle w:val="FootnoteText"/>
      </w:pPr>
      <w:r>
        <w:rPr>
          <w:rStyle w:val="FootnoteReference"/>
        </w:rPr>
        <w:footnoteRef/>
      </w:r>
      <w:r>
        <w:t xml:space="preserve"> Exhibit SCE-01C at 112 and Exhibit SCE-06C at 110. </w:t>
      </w:r>
      <w:r w:rsidR="006D1118">
        <w:t>The specific costs associated with SCE’s RA contracts are confidential.</w:t>
      </w:r>
    </w:p>
  </w:footnote>
  <w:footnote w:id="105">
    <w:p w14:paraId="03EE1E61" w14:textId="19F2DC01" w:rsidR="002D1831" w:rsidRDefault="002D1831">
      <w:pPr>
        <w:pStyle w:val="FootnoteText"/>
      </w:pPr>
      <w:r>
        <w:rPr>
          <w:rStyle w:val="FootnoteReference"/>
        </w:rPr>
        <w:footnoteRef/>
      </w:r>
      <w:r>
        <w:t xml:space="preserve"> Exhibit SCE-02C at 5-6</w:t>
      </w:r>
      <w:r w:rsidR="002C30FD">
        <w:t xml:space="preserve"> and Exhibit SCE-06C at 111-112</w:t>
      </w:r>
      <w:r>
        <w:t>.</w:t>
      </w:r>
    </w:p>
  </w:footnote>
  <w:footnote w:id="106">
    <w:p w14:paraId="5BFBEADF" w14:textId="10A6DB77" w:rsidR="00603DA1" w:rsidRDefault="00603DA1" w:rsidP="004D2836">
      <w:pPr>
        <w:pStyle w:val="FootnoteText"/>
      </w:pPr>
      <w:r>
        <w:rPr>
          <w:rStyle w:val="FootnoteReference"/>
        </w:rPr>
        <w:footnoteRef/>
      </w:r>
      <w:r>
        <w:t xml:space="preserve"> DACC Opening Comments at 1-3</w:t>
      </w:r>
      <w:r w:rsidR="00FB65CA">
        <w:t xml:space="preserve"> and Data Request Set DACC-SCE-001</w:t>
      </w:r>
      <w:r w:rsidR="004D2836">
        <w:t>, in which SCE noted “the amount for 2023 will change in both the October Update and in the subsequent implementation advice letter for the 2024 ERRA Forecast revenue requirement as SCE will replace the forecasts with actual recorded amounts.”</w:t>
      </w:r>
    </w:p>
  </w:footnote>
  <w:footnote w:id="107">
    <w:p w14:paraId="781B8A29" w14:textId="11285ECA" w:rsidR="0099368A" w:rsidRDefault="0099368A">
      <w:pPr>
        <w:pStyle w:val="FootnoteText"/>
      </w:pPr>
      <w:r>
        <w:rPr>
          <w:rStyle w:val="FootnoteReference"/>
        </w:rPr>
        <w:footnoteRef/>
      </w:r>
      <w:r>
        <w:t xml:space="preserve"> SCE Reply </w:t>
      </w:r>
      <w:r w:rsidR="002E3BE3">
        <w:t>Brief at 9-11.</w:t>
      </w:r>
    </w:p>
  </w:footnote>
  <w:footnote w:id="108">
    <w:p w14:paraId="79D6F001" w14:textId="388712C5" w:rsidR="00695354" w:rsidRDefault="00695354">
      <w:pPr>
        <w:pStyle w:val="FootnoteText"/>
      </w:pPr>
      <w:r>
        <w:rPr>
          <w:rStyle w:val="FootnoteReference"/>
        </w:rPr>
        <w:footnoteRef/>
      </w:r>
      <w:r>
        <w:t xml:space="preserve"> Exhibit SCE-06C at 118 and Table VIII-36.</w:t>
      </w:r>
    </w:p>
  </w:footnote>
  <w:footnote w:id="109">
    <w:p w14:paraId="19E16F52" w14:textId="078774B5" w:rsidR="00003A1E" w:rsidRPr="00853B3C" w:rsidRDefault="00003A1E">
      <w:pPr>
        <w:pStyle w:val="FootnoteText"/>
        <w:rPr>
          <w:i/>
          <w:iCs/>
        </w:rPr>
      </w:pPr>
      <w:r>
        <w:rPr>
          <w:rStyle w:val="FootnoteReference"/>
        </w:rPr>
        <w:footnoteRef/>
      </w:r>
      <w:r>
        <w:t xml:space="preserve"> </w:t>
      </w:r>
      <w:r w:rsidR="00853B3C">
        <w:t>Exhibit SCE-06C at 118 and Table VIII-36.</w:t>
      </w:r>
    </w:p>
  </w:footnote>
  <w:footnote w:id="110">
    <w:p w14:paraId="378ED7C6" w14:textId="78874E18" w:rsidR="001B6D6B" w:rsidRDefault="001B6D6B">
      <w:pPr>
        <w:pStyle w:val="FootnoteText"/>
      </w:pPr>
      <w:r>
        <w:rPr>
          <w:rStyle w:val="FootnoteReference"/>
        </w:rPr>
        <w:footnoteRef/>
      </w:r>
      <w:r>
        <w:t xml:space="preserve"> Exhibit SCE-06C at 119 and Table VIII-35.</w:t>
      </w:r>
    </w:p>
  </w:footnote>
  <w:footnote w:id="111">
    <w:p w14:paraId="7354D93C" w14:textId="4DA2E490" w:rsidR="001B6D6B" w:rsidRPr="00853B3C" w:rsidRDefault="001B6D6B">
      <w:pPr>
        <w:pStyle w:val="FootnoteText"/>
        <w:rPr>
          <w:i/>
          <w:iCs/>
        </w:rPr>
      </w:pPr>
      <w:r>
        <w:rPr>
          <w:rStyle w:val="FootnoteReference"/>
        </w:rPr>
        <w:footnoteRef/>
      </w:r>
      <w:r>
        <w:t xml:space="preserve"> </w:t>
      </w:r>
      <w:r w:rsidR="00853B3C">
        <w:t>Exhibit SCE-06C at 119 and Table VIII-35.</w:t>
      </w:r>
    </w:p>
  </w:footnote>
  <w:footnote w:id="112">
    <w:p w14:paraId="5FFB1AC3" w14:textId="13B100A6" w:rsidR="00B85AE8" w:rsidRDefault="00B85AE8">
      <w:pPr>
        <w:pStyle w:val="FootnoteText"/>
      </w:pPr>
      <w:r>
        <w:rPr>
          <w:rStyle w:val="FootnoteReference"/>
        </w:rPr>
        <w:footnoteRef/>
      </w:r>
      <w:r>
        <w:t xml:space="preserve"> D.20-06-002 OP 17 and Exhibit SCE-07C at 1.</w:t>
      </w:r>
    </w:p>
  </w:footnote>
  <w:footnote w:id="113">
    <w:p w14:paraId="6FB5A523" w14:textId="114C2466" w:rsidR="002C1126" w:rsidRDefault="002C1126">
      <w:pPr>
        <w:pStyle w:val="FootnoteText"/>
      </w:pPr>
      <w:r>
        <w:rPr>
          <w:rStyle w:val="FootnoteReference"/>
        </w:rPr>
        <w:footnoteRef/>
      </w:r>
      <w:r>
        <w:t xml:space="preserve"> Exhibit SCE-07C at 3-7.</w:t>
      </w:r>
    </w:p>
  </w:footnote>
  <w:footnote w:id="114">
    <w:p w14:paraId="001E76C4" w14:textId="403F8352" w:rsidR="002D1831" w:rsidRDefault="002D1831">
      <w:pPr>
        <w:pStyle w:val="FootnoteText"/>
      </w:pPr>
      <w:r>
        <w:rPr>
          <w:rStyle w:val="FootnoteReference"/>
        </w:rPr>
        <w:footnoteRef/>
      </w:r>
      <w:r>
        <w:t xml:space="preserve"> Exhibit SCE-02C at 7</w:t>
      </w:r>
      <w:r w:rsidR="00B85AE8">
        <w:t>, Exhibit SCE-07C at 8</w:t>
      </w:r>
      <w:r>
        <w:t>.</w:t>
      </w:r>
    </w:p>
  </w:footnote>
  <w:footnote w:id="115">
    <w:p w14:paraId="7C46064A" w14:textId="77777777" w:rsidR="00C0311B" w:rsidRDefault="00C0311B" w:rsidP="00C0311B">
      <w:pPr>
        <w:pStyle w:val="FootnoteText"/>
      </w:pPr>
      <w:r>
        <w:rPr>
          <w:rStyle w:val="FootnoteReference"/>
        </w:rPr>
        <w:footnoteRef/>
      </w:r>
      <w:r>
        <w:t xml:space="preserve"> The Commission adopted the Cost Responsibility Surcharge Indifference Charge in D.02</w:t>
      </w:r>
      <w:r>
        <w:noBreakHyphen/>
        <w:t>11</w:t>
      </w:r>
      <w:r>
        <w:noBreakHyphen/>
        <w:t>022, as modified by D.03</w:t>
      </w:r>
      <w:r>
        <w:noBreakHyphen/>
        <w:t>07</w:t>
      </w:r>
      <w:r>
        <w:noBreakHyphen/>
        <w:t>030, D.06</w:t>
      </w:r>
      <w:r>
        <w:noBreakHyphen/>
        <w:t>07</w:t>
      </w:r>
      <w:r>
        <w:noBreakHyphen/>
        <w:t>030, D.08</w:t>
      </w:r>
      <w:r>
        <w:noBreakHyphen/>
        <w:t>09</w:t>
      </w:r>
      <w:r>
        <w:noBreakHyphen/>
        <w:t>012, D.11</w:t>
      </w:r>
      <w:r>
        <w:noBreakHyphen/>
        <w:t>12</w:t>
      </w:r>
      <w:r>
        <w:noBreakHyphen/>
        <w:t>018, Resolution E</w:t>
      </w:r>
      <w:r>
        <w:noBreakHyphen/>
        <w:t>4475, D.18</w:t>
      </w:r>
      <w:r>
        <w:noBreakHyphen/>
        <w:t>10</w:t>
      </w:r>
      <w:r>
        <w:noBreakHyphen/>
        <w:t>019 and D.19</w:t>
      </w:r>
      <w:r>
        <w:noBreakHyphen/>
        <w:t>10</w:t>
      </w:r>
      <w:r>
        <w:noBreakHyphen/>
        <w:t>001, and D.21</w:t>
      </w:r>
      <w:r>
        <w:noBreakHyphen/>
        <w:t>03</w:t>
      </w:r>
      <w:r>
        <w:noBreakHyphen/>
        <w:t>051.</w:t>
      </w:r>
    </w:p>
  </w:footnote>
  <w:footnote w:id="116">
    <w:p w14:paraId="6EFD5A68" w14:textId="7A4BCE32" w:rsidR="00DA6647" w:rsidRDefault="00DA6647">
      <w:pPr>
        <w:pStyle w:val="FootnoteText"/>
      </w:pPr>
      <w:r>
        <w:rPr>
          <w:rStyle w:val="FootnoteReference"/>
        </w:rPr>
        <w:footnoteRef/>
      </w:r>
      <w:r>
        <w:t xml:space="preserve"> Exhibit SCE-01C at 123</w:t>
      </w:r>
      <w:r w:rsidR="00982ECB">
        <w:t>, Exhibit SCE-06C at 123, and Exhibit SCE-06C2 at124, Table IX-42</w:t>
      </w:r>
      <w:r>
        <w:t>.</w:t>
      </w:r>
    </w:p>
  </w:footnote>
  <w:footnote w:id="117">
    <w:p w14:paraId="6072AC42" w14:textId="36DD35D7" w:rsidR="00D97CF7" w:rsidRDefault="00D97CF7">
      <w:pPr>
        <w:pStyle w:val="FootnoteText"/>
      </w:pPr>
      <w:r>
        <w:rPr>
          <w:rStyle w:val="FootnoteReference"/>
        </w:rPr>
        <w:footnoteRef/>
      </w:r>
      <w:r>
        <w:t xml:space="preserve"> Exhibit SCE-01C at 136.</w:t>
      </w:r>
    </w:p>
  </w:footnote>
  <w:footnote w:id="118">
    <w:p w14:paraId="11D91262" w14:textId="77777777" w:rsidR="00BD67F7" w:rsidRDefault="00BD67F7" w:rsidP="00BD67F7">
      <w:pPr>
        <w:pStyle w:val="FootnoteText"/>
      </w:pPr>
      <w:r>
        <w:rPr>
          <w:rStyle w:val="FootnoteReference"/>
        </w:rPr>
        <w:footnoteRef/>
      </w:r>
      <w:r>
        <w:t xml:space="preserve"> </w:t>
      </w:r>
      <w:r w:rsidRPr="00454D1A">
        <w:t>For example, 20</w:t>
      </w:r>
      <w:r>
        <w:t>20</w:t>
      </w:r>
      <w:r w:rsidRPr="00454D1A">
        <w:t xml:space="preserve"> vintage departing load customers are those who departed SCE’s bundled customer service between July</w:t>
      </w:r>
      <w:r>
        <w:t> </w:t>
      </w:r>
      <w:r w:rsidRPr="00454D1A">
        <w:t>1,</w:t>
      </w:r>
      <w:r>
        <w:t> </w:t>
      </w:r>
      <w:r w:rsidRPr="00454D1A">
        <w:t>20</w:t>
      </w:r>
      <w:r>
        <w:t>20,</w:t>
      </w:r>
      <w:r w:rsidRPr="00454D1A">
        <w:t xml:space="preserve"> and June</w:t>
      </w:r>
      <w:r>
        <w:t> </w:t>
      </w:r>
      <w:r w:rsidRPr="00454D1A">
        <w:t>30,</w:t>
      </w:r>
      <w:r>
        <w:t> </w:t>
      </w:r>
      <w:r w:rsidRPr="00454D1A">
        <w:t>202</w:t>
      </w:r>
      <w:r>
        <w:t>1</w:t>
      </w:r>
      <w:r w:rsidRPr="00454D1A">
        <w:t>. SCE’s vintages include 2001</w:t>
      </w:r>
      <w:r>
        <w:noBreakHyphen/>
      </w:r>
      <w:r w:rsidRPr="00454D1A">
        <w:t>2003, 2004</w:t>
      </w:r>
      <w:r>
        <w:noBreakHyphen/>
      </w:r>
      <w:r w:rsidRPr="00454D1A">
        <w:t>2008, and annually starting in 2009</w:t>
      </w:r>
      <w:r>
        <w:t>.</w:t>
      </w:r>
    </w:p>
  </w:footnote>
  <w:footnote w:id="119">
    <w:p w14:paraId="0C448E67" w14:textId="62113D7C" w:rsidR="00BD67F7" w:rsidRPr="00853B3C" w:rsidRDefault="00BD67F7">
      <w:pPr>
        <w:pStyle w:val="FootnoteText"/>
        <w:rPr>
          <w:i/>
          <w:iCs/>
        </w:rPr>
      </w:pPr>
      <w:r>
        <w:rPr>
          <w:rStyle w:val="FootnoteReference"/>
        </w:rPr>
        <w:footnoteRef/>
      </w:r>
      <w:r>
        <w:t xml:space="preserve"> </w:t>
      </w:r>
      <w:r w:rsidR="007D4B25">
        <w:rPr>
          <w:i/>
          <w:iCs/>
        </w:rPr>
        <w:t xml:space="preserve">See </w:t>
      </w:r>
      <w:r w:rsidR="007D4B25" w:rsidRPr="00853B3C">
        <w:t>D.21-03-015</w:t>
      </w:r>
      <w:r w:rsidR="007D4B25">
        <w:rPr>
          <w:i/>
          <w:iCs/>
        </w:rPr>
        <w:t>.</w:t>
      </w:r>
    </w:p>
  </w:footnote>
  <w:footnote w:id="120">
    <w:p w14:paraId="1EAEDF3E" w14:textId="1029DCD2" w:rsidR="00733DC1" w:rsidRDefault="00733DC1">
      <w:pPr>
        <w:pStyle w:val="FootnoteText"/>
      </w:pPr>
      <w:r>
        <w:rPr>
          <w:rStyle w:val="FootnoteReference"/>
        </w:rPr>
        <w:footnoteRef/>
      </w:r>
      <w:r>
        <w:t xml:space="preserve"> SCE’s final revenue requirement and its associated PCIA rates will be updated in its Advice Letter implementing this Decision.</w:t>
      </w:r>
    </w:p>
  </w:footnote>
  <w:footnote w:id="121">
    <w:p w14:paraId="0D02FB85" w14:textId="4B8A8AF0" w:rsidR="00733DC1" w:rsidRDefault="00733DC1">
      <w:pPr>
        <w:pStyle w:val="FootnoteText"/>
      </w:pPr>
      <w:r>
        <w:rPr>
          <w:rStyle w:val="FootnoteReference"/>
        </w:rPr>
        <w:footnoteRef/>
      </w:r>
      <w:r>
        <w:t xml:space="preserve"> System average across customer classes. </w:t>
      </w:r>
      <w:r>
        <w:rPr>
          <w:i/>
          <w:iCs/>
        </w:rPr>
        <w:t xml:space="preserve">See </w:t>
      </w:r>
      <w:r>
        <w:t>October Update Appendix B and SCE-06CE3 Appendix B.</w:t>
      </w:r>
    </w:p>
  </w:footnote>
  <w:footnote w:id="122">
    <w:p w14:paraId="1C725311" w14:textId="4C97DE62" w:rsidR="003B1689" w:rsidRDefault="003B1689" w:rsidP="00895512">
      <w:pPr>
        <w:pStyle w:val="FootnoteText"/>
      </w:pPr>
      <w:r>
        <w:rPr>
          <w:rStyle w:val="FootnoteReference"/>
        </w:rPr>
        <w:footnoteRef/>
      </w:r>
      <w:r>
        <w:t xml:space="preserve"> Exhibit CalCCA-01C at 8-16.</w:t>
      </w:r>
    </w:p>
  </w:footnote>
  <w:footnote w:id="123">
    <w:p w14:paraId="515FB0E6" w14:textId="77777777" w:rsidR="00BD67F7" w:rsidRDefault="00BD67F7" w:rsidP="00895512">
      <w:pPr>
        <w:pStyle w:val="FootnoteText"/>
      </w:pPr>
      <w:r>
        <w:rPr>
          <w:rStyle w:val="FootnoteReference"/>
        </w:rPr>
        <w:footnoteRef/>
      </w:r>
      <w:r>
        <w:t xml:space="preserve"> Exhibit SCE-05C at 5-6.</w:t>
      </w:r>
    </w:p>
  </w:footnote>
  <w:footnote w:id="124">
    <w:p w14:paraId="3A79205D" w14:textId="23FE4DD4" w:rsidR="006658D9" w:rsidRDefault="006658D9" w:rsidP="00895512">
      <w:pPr>
        <w:pStyle w:val="FootnoteText"/>
      </w:pPr>
      <w:r>
        <w:rPr>
          <w:rStyle w:val="FootnoteReference"/>
        </w:rPr>
        <w:footnoteRef/>
      </w:r>
      <w:r>
        <w:t xml:space="preserve"> </w:t>
      </w:r>
      <w:r>
        <w:rPr>
          <w:i/>
          <w:iCs/>
        </w:rPr>
        <w:t xml:space="preserve">See </w:t>
      </w:r>
      <w:r>
        <w:t>Exhibit SCE-06CE</w:t>
      </w:r>
      <w:r w:rsidR="00E23B3A">
        <w:t>3</w:t>
      </w:r>
      <w:r>
        <w:t xml:space="preserve"> at 136, footnote 161. “On October 11, 2023, PG&amp;E, SDG&amp;E and CalCCA submitted Responses to SCE’s PFM. PG&amp;E encourages resolution of the issues raised in SCE’s PFM in the PCIA Rulemaking to avoid any inequitable outcomes in PCIA ratesetting amongst the IOUs. SDG&amp;E states that for the reasons set forth by SCE and as discussed in its Response, the PFM should be granted. CalCCA states that the Commission should deny SCE’s PFM. On October 11, 2023, SCE requested permission to file a reply.”</w:t>
      </w:r>
    </w:p>
  </w:footnote>
  <w:footnote w:id="125">
    <w:p w14:paraId="1C55D747" w14:textId="207DFD02" w:rsidR="00103456" w:rsidRDefault="00103456">
      <w:pPr>
        <w:pStyle w:val="FootnoteText"/>
      </w:pPr>
      <w:r>
        <w:rPr>
          <w:rStyle w:val="FootnoteReference"/>
        </w:rPr>
        <w:footnoteRef/>
      </w:r>
      <w:r>
        <w:t xml:space="preserve"> D.22-012-012 at 60-61.</w:t>
      </w:r>
    </w:p>
  </w:footnote>
  <w:footnote w:id="126">
    <w:p w14:paraId="0F14158F" w14:textId="702B42EC" w:rsidR="00F52A67" w:rsidRDefault="00F52A67">
      <w:pPr>
        <w:pStyle w:val="FootnoteText"/>
      </w:pPr>
      <w:r>
        <w:rPr>
          <w:rStyle w:val="FootnoteReference"/>
        </w:rPr>
        <w:footnoteRef/>
      </w:r>
      <w:r>
        <w:t xml:space="preserve"> In its November 17, 2023, Opening Comments on the Proposed Decision, SCE noted that this directive will result in an update to its 2024 F&amp;PP forecast. SCE proposed to address this update in the Tier 1 advice letter implementing this Decision as discussed in Ordering Paragraph 10 below.</w:t>
      </w:r>
    </w:p>
  </w:footnote>
  <w:footnote w:id="127">
    <w:p w14:paraId="22820C90" w14:textId="77777777" w:rsidR="000A409B" w:rsidRDefault="000A409B" w:rsidP="00AB41BA">
      <w:pPr>
        <w:pStyle w:val="FootnoteText"/>
      </w:pPr>
      <w:r>
        <w:rPr>
          <w:rStyle w:val="FootnoteReference"/>
        </w:rPr>
        <w:footnoteRef/>
      </w:r>
      <w:r>
        <w:t xml:space="preserve"> Exhibit CalCCA-02C at 20-22.</w:t>
      </w:r>
    </w:p>
  </w:footnote>
  <w:footnote w:id="128">
    <w:p w14:paraId="7228A8BB" w14:textId="77777777" w:rsidR="000A409B" w:rsidRDefault="000A409B" w:rsidP="00AB41BA">
      <w:pPr>
        <w:pStyle w:val="FootnoteText"/>
      </w:pPr>
      <w:r>
        <w:rPr>
          <w:rStyle w:val="FootnoteReference"/>
        </w:rPr>
        <w:footnoteRef/>
      </w:r>
      <w:r>
        <w:t xml:space="preserve"> Exhibit CalCCA-02C at 22-23.</w:t>
      </w:r>
    </w:p>
  </w:footnote>
  <w:footnote w:id="129">
    <w:p w14:paraId="7A4DC5CD" w14:textId="77777777" w:rsidR="006658D9" w:rsidRDefault="006658D9" w:rsidP="00AB41BA">
      <w:pPr>
        <w:pStyle w:val="FootnoteText"/>
      </w:pPr>
      <w:r>
        <w:rPr>
          <w:rStyle w:val="FootnoteReference"/>
        </w:rPr>
        <w:footnoteRef/>
      </w:r>
      <w:r>
        <w:t xml:space="preserve"> Exhibit CalCCA-02C at 25 and SCE Advice Letter 4218-E at 31-32.</w:t>
      </w:r>
    </w:p>
  </w:footnote>
  <w:footnote w:id="130">
    <w:p w14:paraId="5028792E" w14:textId="1802721B" w:rsidR="00201312" w:rsidRPr="00201312" w:rsidRDefault="00201312">
      <w:pPr>
        <w:pStyle w:val="FootnoteText"/>
      </w:pPr>
      <w:r>
        <w:rPr>
          <w:rStyle w:val="FootnoteReference"/>
        </w:rPr>
        <w:footnoteRef/>
      </w:r>
      <w:r>
        <w:t xml:space="preserve"> </w:t>
      </w:r>
      <w:r>
        <w:rPr>
          <w:i/>
          <w:iCs/>
        </w:rPr>
        <w:t>See</w:t>
      </w:r>
      <w:r>
        <w:t xml:space="preserve"> SCE’s opening brief at 5-6 and reply comments at 3: “</w:t>
      </w:r>
      <w:r>
        <w:rPr>
          <w:szCs w:val="22"/>
        </w:rPr>
        <w:t xml:space="preserve">[I]n SCE’s 2023 ERRA Forecast, the Commission approved a valuation that included negative generation in the forecast energy market valuation at the Energy Index MPB in addition to portfolio costs that were net of SCE’s forecasted market revenues. The negative generation was the sum of the total hours of the energy storage facility’s charging and discharging – a negative number because the forecasted charging hours exceeded discharging hours. Because the sum was negative, the forecast market value (at the Energy Index) was also negative and so acted like a cost input to the Indifferent Amount calculation (even though it was on the “Market Value” side of the calculation).” </w:t>
      </w:r>
      <w:r>
        <w:t xml:space="preserve"> </w:t>
      </w:r>
    </w:p>
  </w:footnote>
  <w:footnote w:id="131">
    <w:p w14:paraId="37D1FCE7" w14:textId="0D0D08FC" w:rsidR="00201312" w:rsidRDefault="00201312">
      <w:pPr>
        <w:pStyle w:val="FootnoteText"/>
      </w:pPr>
      <w:r>
        <w:rPr>
          <w:rStyle w:val="FootnoteReference"/>
        </w:rPr>
        <w:footnoteRef/>
      </w:r>
      <w:r>
        <w:t xml:space="preserve"> CalCCA opening comments on the PD at 2 and 7.</w:t>
      </w:r>
    </w:p>
  </w:footnote>
  <w:footnote w:id="132">
    <w:p w14:paraId="5F12467D" w14:textId="77777777" w:rsidR="00BD67F7" w:rsidRDefault="00BD67F7" w:rsidP="00BD67F7">
      <w:pPr>
        <w:pStyle w:val="FootnoteText"/>
      </w:pPr>
      <w:r>
        <w:rPr>
          <w:rStyle w:val="FootnoteReference"/>
        </w:rPr>
        <w:footnoteRef/>
      </w:r>
      <w:r>
        <w:t xml:space="preserve"> Exhibit SCE-05C at 8.</w:t>
      </w:r>
    </w:p>
  </w:footnote>
  <w:footnote w:id="133">
    <w:p w14:paraId="1645145D" w14:textId="2E7064BF" w:rsidR="00314057" w:rsidRDefault="00314057">
      <w:pPr>
        <w:pStyle w:val="FootnoteText"/>
      </w:pPr>
      <w:r>
        <w:rPr>
          <w:rStyle w:val="FootnoteReference"/>
        </w:rPr>
        <w:footnoteRef/>
      </w:r>
      <w:r>
        <w:t xml:space="preserve"> </w:t>
      </w:r>
      <w:r w:rsidR="009F1BA2">
        <w:t>Exhibit SCE-06CE2 Appendix B.</w:t>
      </w:r>
    </w:p>
  </w:footnote>
  <w:footnote w:id="134">
    <w:p w14:paraId="4E03322D" w14:textId="77777777" w:rsidR="00AD40AC" w:rsidRDefault="00AD40AC" w:rsidP="00AD40AC">
      <w:pPr>
        <w:pStyle w:val="FootnoteText"/>
      </w:pPr>
      <w:r>
        <w:rPr>
          <w:rStyle w:val="FootnoteReference"/>
        </w:rPr>
        <w:footnoteRef/>
      </w:r>
      <w:r>
        <w:t xml:space="preserve"> Exhibit SCE-06C at 136.</w:t>
      </w:r>
    </w:p>
  </w:footnote>
  <w:footnote w:id="135">
    <w:p w14:paraId="72ABF621" w14:textId="40580E6E" w:rsidR="00C96336" w:rsidRDefault="00C96336">
      <w:pPr>
        <w:pStyle w:val="FootnoteText"/>
      </w:pPr>
      <w:r>
        <w:rPr>
          <w:rStyle w:val="FootnoteReference"/>
        </w:rPr>
        <w:footnoteRef/>
      </w:r>
      <w:r>
        <w:t xml:space="preserve"> Exhibit SCE-06C at 7 and 23.</w:t>
      </w:r>
    </w:p>
  </w:footnote>
  <w:footnote w:id="136">
    <w:p w14:paraId="5E037820" w14:textId="4C6EA1D9" w:rsidR="00103DD2" w:rsidRDefault="00103DD2">
      <w:pPr>
        <w:pStyle w:val="FootnoteText"/>
      </w:pPr>
      <w:r>
        <w:rPr>
          <w:rStyle w:val="FootnoteReference"/>
        </w:rPr>
        <w:footnoteRef/>
      </w:r>
      <w:r>
        <w:t xml:space="preserve"> Exhibit SCE-01C at 132 and </w:t>
      </w:r>
      <w:r w:rsidR="00F07ABC">
        <w:t>Exhibit SCE-06C at 130-131</w:t>
      </w:r>
      <w:r>
        <w:t>.</w:t>
      </w:r>
    </w:p>
  </w:footnote>
  <w:footnote w:id="137">
    <w:p w14:paraId="59DCFB38" w14:textId="017DBFAB" w:rsidR="009B2927" w:rsidRDefault="009B2927">
      <w:pPr>
        <w:pStyle w:val="FootnoteText"/>
      </w:pPr>
      <w:r>
        <w:rPr>
          <w:rStyle w:val="FootnoteReference"/>
        </w:rPr>
        <w:footnoteRef/>
      </w:r>
      <w:r>
        <w:t xml:space="preserve"> Exhibit CalCCA-</w:t>
      </w:r>
      <w:r w:rsidRPr="001C7F40">
        <w:t>0</w:t>
      </w:r>
      <w:r w:rsidR="001C7F40" w:rsidRPr="001C7F40">
        <w:t>1</w:t>
      </w:r>
      <w:r w:rsidRPr="001C7F40">
        <w:t>C</w:t>
      </w:r>
      <w:r>
        <w:t xml:space="preserve"> at 11.</w:t>
      </w:r>
    </w:p>
  </w:footnote>
  <w:footnote w:id="138">
    <w:p w14:paraId="2B11669B" w14:textId="0A836988" w:rsidR="008A4D59" w:rsidRDefault="008A4D59">
      <w:pPr>
        <w:pStyle w:val="FootnoteText"/>
      </w:pPr>
      <w:r>
        <w:rPr>
          <w:rStyle w:val="FootnoteReference"/>
        </w:rPr>
        <w:footnoteRef/>
      </w:r>
      <w:r>
        <w:t xml:space="preserve"> SoCal CCAs Opening Brief in A.22-05-014 at 18-19 and D.22-12-012 at 60.</w:t>
      </w:r>
    </w:p>
  </w:footnote>
  <w:footnote w:id="139">
    <w:p w14:paraId="3B94F83F" w14:textId="3BF5004F" w:rsidR="00CB3599" w:rsidRDefault="00CB3599">
      <w:pPr>
        <w:pStyle w:val="FootnoteText"/>
      </w:pPr>
      <w:r>
        <w:rPr>
          <w:rStyle w:val="FootnoteReference"/>
        </w:rPr>
        <w:footnoteRef/>
      </w:r>
      <w:r>
        <w:t xml:space="preserve"> </w:t>
      </w:r>
      <w:r w:rsidR="00321231">
        <w:t>D.23-06-006 at 44.</w:t>
      </w:r>
    </w:p>
  </w:footnote>
  <w:footnote w:id="140">
    <w:p w14:paraId="0D961558" w14:textId="5C9AB2B9" w:rsidR="008E2600" w:rsidRDefault="008E2600">
      <w:pPr>
        <w:pStyle w:val="FootnoteText"/>
      </w:pPr>
      <w:r>
        <w:rPr>
          <w:rStyle w:val="FootnoteReference"/>
        </w:rPr>
        <w:footnoteRef/>
      </w:r>
      <w:r>
        <w:t xml:space="preserve"> Exhibit CalCCA-01C at 11-18.</w:t>
      </w:r>
    </w:p>
  </w:footnote>
  <w:footnote w:id="141">
    <w:p w14:paraId="61B50C72" w14:textId="369D5467" w:rsidR="008E2600" w:rsidRDefault="008E2600">
      <w:pPr>
        <w:pStyle w:val="FootnoteText"/>
      </w:pPr>
      <w:r>
        <w:rPr>
          <w:rStyle w:val="FootnoteReference"/>
        </w:rPr>
        <w:footnoteRef/>
      </w:r>
      <w:r>
        <w:t xml:space="preserve"> Cal Advocates protest at 3-4.</w:t>
      </w:r>
    </w:p>
  </w:footnote>
  <w:footnote w:id="142">
    <w:p w14:paraId="2EC3D1C1" w14:textId="54E01B60" w:rsidR="008E2600" w:rsidRDefault="008E2600">
      <w:pPr>
        <w:pStyle w:val="FootnoteText"/>
      </w:pPr>
      <w:r>
        <w:rPr>
          <w:rStyle w:val="FootnoteReference"/>
        </w:rPr>
        <w:footnoteRef/>
      </w:r>
      <w:r>
        <w:t xml:space="preserve"> Exhibit CalCCA-04 at 9-20 through 9-24.</w:t>
      </w:r>
    </w:p>
  </w:footnote>
  <w:footnote w:id="143">
    <w:p w14:paraId="4C644DB6" w14:textId="02AD59C2" w:rsidR="008E2600" w:rsidRDefault="008E2600">
      <w:pPr>
        <w:pStyle w:val="FootnoteText"/>
      </w:pPr>
      <w:r>
        <w:rPr>
          <w:rStyle w:val="FootnoteReference"/>
        </w:rPr>
        <w:footnoteRef/>
      </w:r>
      <w:r>
        <w:t xml:space="preserve"> Exhibit SCE-01C at 132.</w:t>
      </w:r>
    </w:p>
  </w:footnote>
  <w:footnote w:id="144">
    <w:p w14:paraId="56B42E15" w14:textId="3CD1F089" w:rsidR="008E2600" w:rsidRDefault="008E2600">
      <w:pPr>
        <w:pStyle w:val="FootnoteText"/>
      </w:pPr>
      <w:r>
        <w:rPr>
          <w:rStyle w:val="FootnoteReference"/>
        </w:rPr>
        <w:footnoteRef/>
      </w:r>
      <w:r>
        <w:t xml:space="preserve"> SCE Opening Comments and Opening Brief at 10-15; CalCCA Opening Comments and Opening Brief at 7-14.</w:t>
      </w:r>
    </w:p>
  </w:footnote>
  <w:footnote w:id="145">
    <w:p w14:paraId="567F0106" w14:textId="3DD1B18A" w:rsidR="00D86D08" w:rsidRDefault="00D86D08">
      <w:pPr>
        <w:pStyle w:val="FootnoteText"/>
      </w:pPr>
      <w:r>
        <w:rPr>
          <w:rStyle w:val="FootnoteReference"/>
        </w:rPr>
        <w:footnoteRef/>
      </w:r>
      <w:r>
        <w:t xml:space="preserve"> </w:t>
      </w:r>
      <w:r w:rsidR="00EE204E">
        <w:t>SCE Opening Brief at 9 and Reply Brief at 8-</w:t>
      </w:r>
      <w:r w:rsidR="00B31FE1">
        <w:t>9.</w:t>
      </w:r>
    </w:p>
  </w:footnote>
  <w:footnote w:id="146">
    <w:p w14:paraId="433DD894" w14:textId="2BFC9AF9" w:rsidR="0018640B" w:rsidRDefault="0018640B">
      <w:pPr>
        <w:pStyle w:val="FootnoteText"/>
      </w:pPr>
      <w:r>
        <w:rPr>
          <w:rStyle w:val="FootnoteReference"/>
        </w:rPr>
        <w:footnoteRef/>
      </w:r>
      <w:r>
        <w:t xml:space="preserve"> D.14-10-033 was modified by D.15-01.024</w:t>
      </w:r>
      <w:r w:rsidR="006E4C5B">
        <w:t xml:space="preserve"> and D.15-07-001. </w:t>
      </w:r>
      <w:r w:rsidR="006E4C5B" w:rsidRPr="004D6BD3">
        <w:t>Previously, the variables included Recorded and Forecast Volumetric Residential Return.</w:t>
      </w:r>
      <w:r w:rsidR="006E4C5B">
        <w:t xml:space="preserve"> </w:t>
      </w:r>
      <w:r w:rsidR="006E4C5B" w:rsidRPr="004D6BD3">
        <w:t>However, in D.15</w:t>
      </w:r>
      <w:r w:rsidR="006E4C5B">
        <w:noBreakHyphen/>
      </w:r>
      <w:r w:rsidR="006E4C5B" w:rsidRPr="004D6BD3">
        <w:t>07</w:t>
      </w:r>
      <w:r w:rsidR="006E4C5B">
        <w:noBreakHyphen/>
      </w:r>
      <w:r w:rsidR="006E4C5B" w:rsidRPr="004D6BD3">
        <w:t>001, the Commission concluded that “The IOUs 2016 ERRA Forecast Filings should reflect that the residential volumetric GHG rate offset will be eliminated in 2016.”</w:t>
      </w:r>
    </w:p>
  </w:footnote>
  <w:footnote w:id="147">
    <w:p w14:paraId="7F14B97A" w14:textId="63C86FD8" w:rsidR="006E4C5B" w:rsidRPr="006E4C5B" w:rsidRDefault="006E4C5B">
      <w:pPr>
        <w:pStyle w:val="FootnoteText"/>
      </w:pPr>
      <w:r>
        <w:rPr>
          <w:rStyle w:val="FootnoteReference"/>
        </w:rPr>
        <w:footnoteRef/>
      </w:r>
      <w:r>
        <w:t xml:space="preserve"> </w:t>
      </w:r>
      <w:r>
        <w:rPr>
          <w:i/>
          <w:iCs/>
        </w:rPr>
        <w:t>See</w:t>
      </w:r>
      <w:r>
        <w:t xml:space="preserve"> D.21-08-026 at 3 and Ordering Paragraph 12.</w:t>
      </w:r>
    </w:p>
  </w:footnote>
  <w:footnote w:id="148">
    <w:p w14:paraId="222AAB36" w14:textId="719523A0" w:rsidR="006E4C5B" w:rsidRDefault="006E4C5B" w:rsidP="00AB41BA">
      <w:pPr>
        <w:pStyle w:val="FootnoteText"/>
      </w:pPr>
      <w:r>
        <w:rPr>
          <w:rStyle w:val="FootnoteReference"/>
        </w:rPr>
        <w:footnoteRef/>
      </w:r>
      <w:r>
        <w:t xml:space="preserve"> GHG emissions are measured in carbon dioxide equivalent (CO</w:t>
      </w:r>
      <w:r w:rsidRPr="00B01DEC">
        <w:rPr>
          <w:vertAlign w:val="subscript"/>
        </w:rPr>
        <w:t>2</w:t>
      </w:r>
      <w:r>
        <w:t>e).</w:t>
      </w:r>
    </w:p>
  </w:footnote>
  <w:footnote w:id="149">
    <w:p w14:paraId="6D3BD71F" w14:textId="75D19278" w:rsidR="001F0174" w:rsidRDefault="001F0174" w:rsidP="00AB41BA">
      <w:pPr>
        <w:pStyle w:val="FootnoteText"/>
      </w:pPr>
      <w:r>
        <w:rPr>
          <w:rStyle w:val="FootnoteReference"/>
        </w:rPr>
        <w:footnoteRef/>
      </w:r>
      <w:r>
        <w:t xml:space="preserve"> Exhibit SCE-06CE2 at </w:t>
      </w:r>
      <w:r w:rsidR="00A71145">
        <w:t>60-63.</w:t>
      </w:r>
    </w:p>
  </w:footnote>
  <w:footnote w:id="150">
    <w:p w14:paraId="76BF0A39" w14:textId="6A9DBC50" w:rsidR="005B519D" w:rsidRDefault="005B519D" w:rsidP="00AB41BA">
      <w:pPr>
        <w:pStyle w:val="FootnoteText"/>
      </w:pPr>
      <w:r>
        <w:rPr>
          <w:rStyle w:val="FootnoteReference"/>
        </w:rPr>
        <w:footnoteRef/>
      </w:r>
      <w:r>
        <w:t xml:space="preserve"> Exhibit SCE-06C at Table VII-33.</w:t>
      </w:r>
    </w:p>
  </w:footnote>
  <w:footnote w:id="151">
    <w:p w14:paraId="69D90A85" w14:textId="66AC0360" w:rsidR="00E95834" w:rsidRDefault="00E95834" w:rsidP="00AB41BA">
      <w:pPr>
        <w:pStyle w:val="FootnoteText"/>
      </w:pPr>
      <w:r>
        <w:rPr>
          <w:rStyle w:val="FootnoteReference"/>
        </w:rPr>
        <w:footnoteRef/>
      </w:r>
      <w:r>
        <w:t xml:space="preserve"> Exhibit SCE-01C at 70</w:t>
      </w:r>
      <w:r w:rsidR="00747066">
        <w:t>,</w:t>
      </w:r>
      <w:r w:rsidR="00BB54DB">
        <w:t xml:space="preserve"> </w:t>
      </w:r>
      <w:r w:rsidR="00747066">
        <w:t xml:space="preserve">Exhibit </w:t>
      </w:r>
      <w:r w:rsidR="00BB54DB">
        <w:t>SCE-06C at 83-84</w:t>
      </w:r>
      <w:r w:rsidR="00747066">
        <w:t xml:space="preserve">, </w:t>
      </w:r>
      <w:r w:rsidR="008E2600">
        <w:t xml:space="preserve">and Exhibit </w:t>
      </w:r>
      <w:r w:rsidR="00747066">
        <w:t>SCE-06CE2 at Table VII-33</w:t>
      </w:r>
      <w:r w:rsidR="00BB54DB">
        <w:t>.</w:t>
      </w:r>
    </w:p>
  </w:footnote>
  <w:footnote w:id="152">
    <w:p w14:paraId="1698C902" w14:textId="226ED4B5" w:rsidR="0090509E" w:rsidRDefault="0090509E">
      <w:pPr>
        <w:pStyle w:val="FootnoteText"/>
      </w:pPr>
      <w:r>
        <w:rPr>
          <w:rStyle w:val="FootnoteReference"/>
        </w:rPr>
        <w:footnoteRef/>
      </w:r>
      <w:r>
        <w:t xml:space="preserve"> Exhibit SCE-06CE2 at 94, Table VII-33.</w:t>
      </w:r>
    </w:p>
  </w:footnote>
  <w:footnote w:id="153">
    <w:p w14:paraId="2E699D23" w14:textId="511CCDB3" w:rsidR="00747066" w:rsidRDefault="00747066">
      <w:pPr>
        <w:pStyle w:val="FootnoteText"/>
      </w:pPr>
      <w:r>
        <w:rPr>
          <w:rStyle w:val="FootnoteReference"/>
        </w:rPr>
        <w:footnoteRef/>
      </w:r>
      <w:r>
        <w:t xml:space="preserve"> Exhibit SCE-06CE2 at Table VII-33. SCE estimated there will be 5,227,178 households and small business customers eligible for its 2024 California Climate Credits.</w:t>
      </w:r>
    </w:p>
  </w:footnote>
  <w:footnote w:id="154">
    <w:p w14:paraId="110F091C" w14:textId="77777777" w:rsidR="004351D3" w:rsidRDefault="004351D3" w:rsidP="004351D3">
      <w:pPr>
        <w:pStyle w:val="FootnoteText"/>
      </w:pPr>
      <w:r>
        <w:rPr>
          <w:rStyle w:val="FootnoteReference"/>
        </w:rPr>
        <w:footnoteRef/>
      </w:r>
      <w:r>
        <w:t xml:space="preserve"> Exhibit SCE-01C at 72-73; 83-86; and Table IV-20 and Exhibit SCE-06C at 92.</w:t>
      </w:r>
    </w:p>
  </w:footnote>
  <w:footnote w:id="155">
    <w:p w14:paraId="72F986B0" w14:textId="327FE9CE" w:rsidR="00E95834" w:rsidRDefault="00E95834">
      <w:pPr>
        <w:pStyle w:val="FootnoteText"/>
      </w:pPr>
      <w:r>
        <w:rPr>
          <w:rStyle w:val="FootnoteReference"/>
        </w:rPr>
        <w:footnoteRef/>
      </w:r>
      <w:r>
        <w:t xml:space="preserve"> Exhibit SCE-01C at 65-71</w:t>
      </w:r>
      <w:r w:rsidR="00BA788B">
        <w:t xml:space="preserve"> and Table IV-19</w:t>
      </w:r>
      <w:r>
        <w:t>.</w:t>
      </w:r>
    </w:p>
  </w:footnote>
  <w:footnote w:id="156">
    <w:p w14:paraId="04E8797C" w14:textId="0FB2421F" w:rsidR="00E95834" w:rsidRDefault="00E95834">
      <w:pPr>
        <w:pStyle w:val="FootnoteText"/>
      </w:pPr>
      <w:r>
        <w:rPr>
          <w:rStyle w:val="FootnoteReference"/>
        </w:rPr>
        <w:footnoteRef/>
      </w:r>
      <w:r>
        <w:t xml:space="preserve"> Exhibit SCE-01C at 72-73</w:t>
      </w:r>
      <w:r w:rsidR="00BA788B">
        <w:t>; 83-86;</w:t>
      </w:r>
      <w:r>
        <w:t xml:space="preserve"> and Table IV-20</w:t>
      </w:r>
      <w:r w:rsidR="006C7D0C">
        <w:t xml:space="preserve"> and SCE-06C Table VII-33.</w:t>
      </w:r>
    </w:p>
  </w:footnote>
  <w:footnote w:id="157">
    <w:p w14:paraId="0A598853" w14:textId="7F3D4C97" w:rsidR="006C7D0C" w:rsidRDefault="006C7D0C">
      <w:pPr>
        <w:pStyle w:val="FootnoteText"/>
      </w:pPr>
      <w:r>
        <w:rPr>
          <w:rStyle w:val="FootnoteReference"/>
        </w:rPr>
        <w:footnoteRef/>
      </w:r>
      <w:r>
        <w:t xml:space="preserve"> Exhibit SCE-01C at </w:t>
      </w:r>
      <w:r w:rsidR="007B50F3">
        <w:t>T</w:t>
      </w:r>
      <w:r>
        <w:t>able VII-34 and Exhibit SCE-06</w:t>
      </w:r>
      <w:r w:rsidR="00511D0A">
        <w:t>C</w:t>
      </w:r>
      <w:r>
        <w:t xml:space="preserve"> at Table VII-33.</w:t>
      </w:r>
    </w:p>
  </w:footnote>
  <w:footnote w:id="158">
    <w:p w14:paraId="4711236B" w14:textId="00721EA0" w:rsidR="00CF6CD4" w:rsidRDefault="00CF6CD4">
      <w:pPr>
        <w:pStyle w:val="FootnoteText"/>
      </w:pPr>
      <w:r>
        <w:rPr>
          <w:rStyle w:val="FootnoteReference"/>
        </w:rPr>
        <w:footnoteRef/>
      </w:r>
      <w:r>
        <w:t xml:space="preserve"> </w:t>
      </w:r>
      <w:r w:rsidR="00B719AC">
        <w:t>Exhibit SCE-01C at 87-88.</w:t>
      </w:r>
    </w:p>
  </w:footnote>
  <w:footnote w:id="159">
    <w:p w14:paraId="49146ED3" w14:textId="4DB4B5C9" w:rsidR="00F9226B" w:rsidRDefault="00F9226B" w:rsidP="00F9226B">
      <w:pPr>
        <w:pStyle w:val="FootnoteText"/>
      </w:pPr>
      <w:r>
        <w:rPr>
          <w:rStyle w:val="FootnoteReference"/>
        </w:rPr>
        <w:footnoteRef/>
      </w:r>
      <w:r>
        <w:t xml:space="preserve"> Exhibit SCE-01C at 85-86</w:t>
      </w:r>
      <w:r w:rsidR="00E10A95">
        <w:t xml:space="preserve">, </w:t>
      </w:r>
      <w:r w:rsidR="006A44A9">
        <w:t>and Exhibit SCE-06C at 85, footnote 77</w:t>
      </w:r>
      <w:r>
        <w:t xml:space="preserve">. </w:t>
      </w:r>
    </w:p>
  </w:footnote>
  <w:footnote w:id="160">
    <w:p w14:paraId="5962C3A8" w14:textId="77777777" w:rsidR="00BD03E3" w:rsidRDefault="00BD03E3" w:rsidP="00BD03E3">
      <w:pPr>
        <w:pStyle w:val="FootnoteText"/>
      </w:pPr>
      <w:r>
        <w:rPr>
          <w:rStyle w:val="FootnoteReference"/>
        </w:rPr>
        <w:footnoteRef/>
      </w:r>
      <w:r>
        <w:t xml:space="preserve"> D.17</w:t>
      </w:r>
      <w:r>
        <w:noBreakHyphen/>
        <w:t>12</w:t>
      </w:r>
      <w:r>
        <w:noBreakHyphen/>
        <w:t>022</w:t>
      </w:r>
      <w:r w:rsidRPr="00265DC9">
        <w:t>.</w:t>
      </w:r>
    </w:p>
  </w:footnote>
  <w:footnote w:id="161">
    <w:p w14:paraId="3CF8F553" w14:textId="77777777" w:rsidR="00BD03E3" w:rsidRDefault="00BD03E3" w:rsidP="00BD03E3">
      <w:pPr>
        <w:pStyle w:val="FootnoteText"/>
      </w:pPr>
      <w:r>
        <w:rPr>
          <w:rStyle w:val="FootnoteReference"/>
        </w:rPr>
        <w:footnoteRef/>
      </w:r>
      <w:r>
        <w:t xml:space="preserve"> D.17</w:t>
      </w:r>
      <w:r>
        <w:noBreakHyphen/>
        <w:t>12</w:t>
      </w:r>
      <w:r>
        <w:noBreakHyphen/>
        <w:t>022 (OP 4 and OP 7).</w:t>
      </w:r>
    </w:p>
  </w:footnote>
  <w:footnote w:id="162">
    <w:p w14:paraId="5D37D0AB" w14:textId="1EAC82D2" w:rsidR="004D3495" w:rsidRDefault="004D3495" w:rsidP="004D3495">
      <w:pPr>
        <w:pStyle w:val="FootnoteText"/>
      </w:pPr>
      <w:r>
        <w:rPr>
          <w:rStyle w:val="FootnoteReference"/>
        </w:rPr>
        <w:footnoteRef/>
      </w:r>
      <w:r>
        <w:t xml:space="preserve"> The SOMAH program funding is allocated on a fiscal year basis while the Forecast revenue requirement is set for the calendar year, in this case 2023.</w:t>
      </w:r>
    </w:p>
  </w:footnote>
  <w:footnote w:id="163">
    <w:p w14:paraId="09B87E00" w14:textId="77777777" w:rsidR="006A70F3" w:rsidRDefault="006A70F3" w:rsidP="006A70F3">
      <w:pPr>
        <w:pStyle w:val="FootnoteText"/>
      </w:pPr>
      <w:r>
        <w:rPr>
          <w:rStyle w:val="FootnoteReference"/>
        </w:rPr>
        <w:footnoteRef/>
      </w:r>
      <w:r>
        <w:t xml:space="preserve"> D.22</w:t>
      </w:r>
      <w:r>
        <w:noBreakHyphen/>
        <w:t>09</w:t>
      </w:r>
      <w:r>
        <w:noBreakHyphen/>
        <w:t>009 Table 1.</w:t>
      </w:r>
    </w:p>
  </w:footnote>
  <w:footnote w:id="164">
    <w:p w14:paraId="05C68A43" w14:textId="77777777" w:rsidR="006A70F3" w:rsidRDefault="006A70F3" w:rsidP="006A70F3">
      <w:pPr>
        <w:pStyle w:val="FootnoteText"/>
      </w:pPr>
      <w:r>
        <w:rPr>
          <w:rStyle w:val="FootnoteReference"/>
        </w:rPr>
        <w:footnoteRef/>
      </w:r>
      <w:r>
        <w:t xml:space="preserve"> D.22</w:t>
      </w:r>
      <w:r>
        <w:noBreakHyphen/>
        <w:t>09</w:t>
      </w:r>
      <w:r>
        <w:noBreakHyphen/>
        <w:t>009 OP 3.</w:t>
      </w:r>
    </w:p>
  </w:footnote>
  <w:footnote w:id="165">
    <w:p w14:paraId="65D01087" w14:textId="426D8FF1" w:rsidR="00D13895" w:rsidRPr="00D13895" w:rsidRDefault="00D13895">
      <w:pPr>
        <w:pStyle w:val="FootnoteText"/>
      </w:pPr>
      <w:r>
        <w:rPr>
          <w:rStyle w:val="FootnoteReference"/>
        </w:rPr>
        <w:footnoteRef/>
      </w:r>
      <w:r>
        <w:t xml:space="preserve"> Exhibit SCE-06C at 88. </w:t>
      </w:r>
      <w:r>
        <w:rPr>
          <w:i/>
          <w:iCs/>
        </w:rPr>
        <w:t>See</w:t>
      </w:r>
      <w:r>
        <w:t xml:space="preserve"> Advice Letter 4978-E-A, filed pursuant to OP 4 of D.22-09-009.</w:t>
      </w:r>
    </w:p>
  </w:footnote>
  <w:footnote w:id="166">
    <w:p w14:paraId="77364FBF" w14:textId="3D0002D7" w:rsidR="00A27461" w:rsidRDefault="00A27461" w:rsidP="00A27461">
      <w:pPr>
        <w:pStyle w:val="FootnoteText"/>
      </w:pPr>
      <w:r>
        <w:rPr>
          <w:rStyle w:val="FootnoteReference"/>
        </w:rPr>
        <w:footnoteRef/>
      </w:r>
      <w:r>
        <w:t xml:space="preserve"> </w:t>
      </w:r>
      <w:r w:rsidR="00581F06">
        <w:t>Exhibit SCE-06CE3</w:t>
      </w:r>
      <w:r w:rsidR="00F447A3">
        <w:t>,</w:t>
      </w:r>
      <w:r w:rsidR="00581F06">
        <w:t xml:space="preserve"> </w:t>
      </w:r>
      <w:r>
        <w:t>Table VII</w:t>
      </w:r>
      <w:r>
        <w:noBreakHyphen/>
        <w:t>31.</w:t>
      </w:r>
    </w:p>
  </w:footnote>
  <w:footnote w:id="167">
    <w:p w14:paraId="48634D28" w14:textId="79D77003" w:rsidR="00A27461" w:rsidRDefault="00A27461" w:rsidP="00A27461">
      <w:pPr>
        <w:pStyle w:val="FootnoteText"/>
      </w:pPr>
      <w:r>
        <w:rPr>
          <w:rStyle w:val="FootnoteReference"/>
        </w:rPr>
        <w:footnoteRef/>
      </w:r>
      <w:r>
        <w:t xml:space="preserve"> </w:t>
      </w:r>
      <w:r w:rsidRPr="00D55AF9">
        <w:rPr>
          <w:i/>
          <w:iCs/>
        </w:rPr>
        <w:t>Id.</w:t>
      </w:r>
      <w:r w:rsidRPr="00741641">
        <w:t xml:space="preserve"> </w:t>
      </w:r>
      <w:r>
        <w:t>Table </w:t>
      </w:r>
      <w:r w:rsidRPr="00741641">
        <w:t>VII</w:t>
      </w:r>
      <w:r>
        <w:noBreakHyphen/>
      </w:r>
      <w:r w:rsidRPr="00741641">
        <w:t>32</w:t>
      </w:r>
      <w:r>
        <w:t xml:space="preserve"> at </w:t>
      </w:r>
      <w:r w:rsidRPr="00741641">
        <w:t>86</w:t>
      </w:r>
      <w:r w:rsidR="00D13895">
        <w:t xml:space="preserve"> and Exhibit SCE-06C at 89, Table VII-32.</w:t>
      </w:r>
    </w:p>
  </w:footnote>
  <w:footnote w:id="168">
    <w:p w14:paraId="2493CE60" w14:textId="77777777" w:rsidR="00A27461" w:rsidRDefault="00A27461" w:rsidP="00A27461">
      <w:pPr>
        <w:pStyle w:val="FootnoteText"/>
      </w:pPr>
      <w:r>
        <w:rPr>
          <w:rStyle w:val="FootnoteReference"/>
        </w:rPr>
        <w:footnoteRef/>
      </w:r>
      <w:r>
        <w:t xml:space="preserve"> In 2021, the IOUs’ combined revenue exceeded $1 billion. Each IOU’s proportionate share of SOMAH’s $100 million budget for that year was approved in a Joint IOU advice letter, AL 338</w:t>
      </w:r>
      <w:r>
        <w:noBreakHyphen/>
        <w:t>E PacifiCorp/AL 4828</w:t>
      </w:r>
      <w:r>
        <w:noBreakHyphen/>
        <w:t>E SCE, disposed with a standard disposition on July 14, 2022.</w:t>
      </w:r>
    </w:p>
  </w:footnote>
  <w:footnote w:id="169">
    <w:p w14:paraId="1D967946" w14:textId="75032BC1" w:rsidR="00AE073A" w:rsidRDefault="00AE073A">
      <w:pPr>
        <w:pStyle w:val="FootnoteText"/>
      </w:pPr>
      <w:r>
        <w:rPr>
          <w:rStyle w:val="FootnoteReference"/>
        </w:rPr>
        <w:footnoteRef/>
      </w:r>
      <w:r>
        <w:t xml:space="preserve"> Exhibit SCE-06 at 90 and Table VII-34.</w:t>
      </w:r>
    </w:p>
  </w:footnote>
  <w:footnote w:id="170">
    <w:p w14:paraId="3A53228E" w14:textId="64587031" w:rsidR="00F90D37" w:rsidRDefault="00F90D37">
      <w:pPr>
        <w:pStyle w:val="FootnoteText"/>
      </w:pPr>
      <w:r>
        <w:rPr>
          <w:rStyle w:val="FootnoteReference"/>
        </w:rPr>
        <w:footnoteRef/>
      </w:r>
      <w:r>
        <w:t xml:space="preserve"> Exhibit SCE-01C at 88-93</w:t>
      </w:r>
      <w:r w:rsidR="00232B5E">
        <w:t>, as updated by Exhibit SCE-06CE2 at 90</w:t>
      </w:r>
      <w:r>
        <w:t>.</w:t>
      </w:r>
    </w:p>
  </w:footnote>
  <w:footnote w:id="171">
    <w:p w14:paraId="503B02AF" w14:textId="2919DE75" w:rsidR="00AE073A" w:rsidRDefault="00AE073A">
      <w:pPr>
        <w:pStyle w:val="FootnoteText"/>
      </w:pPr>
      <w:r>
        <w:rPr>
          <w:rStyle w:val="FootnoteReference"/>
        </w:rPr>
        <w:footnoteRef/>
      </w:r>
      <w:r>
        <w:t xml:space="preserve"> Exhibit SCE-06C at 90-91 and Table VIII-36</w:t>
      </w:r>
      <w:r w:rsidR="00853BDF">
        <w:t>, as updated by Exhibit SCE-06CE2 at 90-91</w:t>
      </w:r>
      <w:r>
        <w:t>.</w:t>
      </w:r>
    </w:p>
  </w:footnote>
  <w:footnote w:id="172">
    <w:p w14:paraId="164FFD42" w14:textId="6FBC750C" w:rsidR="00110BD9" w:rsidRDefault="00110BD9">
      <w:pPr>
        <w:pStyle w:val="FootnoteText"/>
      </w:pPr>
      <w:r>
        <w:rPr>
          <w:rStyle w:val="FootnoteReference"/>
        </w:rPr>
        <w:footnoteRef/>
      </w:r>
      <w:r>
        <w:t xml:space="preserve"> Exhib</w:t>
      </w:r>
      <w:r w:rsidR="00681924">
        <w:t>it</w:t>
      </w:r>
      <w:r>
        <w:t xml:space="preserve"> SCE-01C at 93.</w:t>
      </w:r>
    </w:p>
  </w:footnote>
  <w:footnote w:id="173">
    <w:p w14:paraId="681241EC" w14:textId="38E5F604" w:rsidR="00F90D37" w:rsidRPr="002968D8" w:rsidRDefault="00F90D37">
      <w:pPr>
        <w:pStyle w:val="FootnoteText"/>
      </w:pPr>
      <w:r>
        <w:rPr>
          <w:rStyle w:val="FootnoteReference"/>
        </w:rPr>
        <w:footnoteRef/>
      </w:r>
      <w:r>
        <w:t xml:space="preserve"> Exhibit SCE-01C at 93</w:t>
      </w:r>
      <w:r w:rsidR="00A27363" w:rsidRPr="002968D8">
        <w:t>,</w:t>
      </w:r>
      <w:r w:rsidR="00905493" w:rsidRPr="002968D8">
        <w:t xml:space="preserve"> Exhibit SCE-06C at 91-92 and Table VII-34</w:t>
      </w:r>
      <w:r w:rsidR="00A27363" w:rsidRPr="002968D8">
        <w:t xml:space="preserve">, and Exhibit SCE-06CE2 </w:t>
      </w:r>
      <w:r w:rsidR="00F42EA4">
        <w:br/>
      </w:r>
      <w:r w:rsidR="00A27363" w:rsidRPr="002968D8">
        <w:t>at 91</w:t>
      </w:r>
      <w:r w:rsidRPr="002968D8">
        <w:t>.</w:t>
      </w:r>
    </w:p>
  </w:footnote>
  <w:footnote w:id="174">
    <w:p w14:paraId="3DB0AB54" w14:textId="1E427B5F" w:rsidR="002968D8" w:rsidRDefault="002968D8">
      <w:pPr>
        <w:pStyle w:val="FootnoteText"/>
      </w:pPr>
      <w:r>
        <w:rPr>
          <w:rStyle w:val="FootnoteReference"/>
        </w:rPr>
        <w:footnoteRef/>
      </w:r>
      <w:r>
        <w:t xml:space="preserve"> Exhibit SCE-06CE2 at 91-92.</w:t>
      </w:r>
    </w:p>
  </w:footnote>
  <w:footnote w:id="175">
    <w:p w14:paraId="17BCBFF6" w14:textId="5311B02F" w:rsidR="00110BD9" w:rsidRDefault="00110BD9">
      <w:pPr>
        <w:pStyle w:val="FootnoteText"/>
      </w:pPr>
      <w:r>
        <w:rPr>
          <w:rStyle w:val="FootnoteReference"/>
        </w:rPr>
        <w:footnoteRef/>
      </w:r>
      <w:r>
        <w:t xml:space="preserve"> Exhibit SCE-01C at 93-94</w:t>
      </w:r>
      <w:r w:rsidR="006A0C47">
        <w:t xml:space="preserve"> and Exhibit SCE-06C at 92 and Table VII-34</w:t>
      </w:r>
      <w:r>
        <w:t>.</w:t>
      </w:r>
    </w:p>
  </w:footnote>
  <w:footnote w:id="176">
    <w:p w14:paraId="45A5FD28" w14:textId="4D150491" w:rsidR="00324C9D" w:rsidRDefault="00324C9D">
      <w:pPr>
        <w:pStyle w:val="FootnoteText"/>
      </w:pPr>
      <w:r>
        <w:rPr>
          <w:rStyle w:val="FootnoteReference"/>
        </w:rPr>
        <w:footnoteRef/>
      </w:r>
      <w:r>
        <w:t xml:space="preserve"> D.20-12-035 at 39.</w:t>
      </w:r>
    </w:p>
  </w:footnote>
  <w:footnote w:id="177">
    <w:p w14:paraId="642DB69A" w14:textId="7D5F21C7" w:rsidR="00324C9D" w:rsidRDefault="00324C9D">
      <w:pPr>
        <w:pStyle w:val="FootnoteText"/>
      </w:pPr>
      <w:r>
        <w:rPr>
          <w:rStyle w:val="FootnoteReference"/>
        </w:rPr>
        <w:footnoteRef/>
      </w:r>
      <w:r>
        <w:t xml:space="preserve"> Exhibit SCE-01C at </w:t>
      </w:r>
      <w:r w:rsidR="00D4382C">
        <w:t>94</w:t>
      </w:r>
      <w:r w:rsidR="00EF1884">
        <w:t xml:space="preserve"> and Exhibit SCE-06C at Table VII-33</w:t>
      </w:r>
      <w:r w:rsidR="00D4382C">
        <w:t>.</w:t>
      </w:r>
    </w:p>
  </w:footnote>
  <w:footnote w:id="178">
    <w:p w14:paraId="3B323BA0" w14:textId="119B174A" w:rsidR="00BD6C34" w:rsidRDefault="00BD6C34">
      <w:pPr>
        <w:pStyle w:val="FootnoteText"/>
      </w:pPr>
      <w:r>
        <w:rPr>
          <w:rStyle w:val="FootnoteReference"/>
        </w:rPr>
        <w:footnoteRef/>
      </w:r>
      <w:r>
        <w:t xml:space="preserve"> The Cost Responsibility Surcharge tariff </w:t>
      </w:r>
      <w:r w:rsidR="008A2F8F">
        <w:t xml:space="preserve">that applies to departing load customers </w:t>
      </w:r>
      <w:r>
        <w:t>includes the CTC, PCIA, and the Wildfire Fund NBC discussed in Section 6.4.3 above.</w:t>
      </w:r>
    </w:p>
  </w:footnote>
  <w:footnote w:id="179">
    <w:p w14:paraId="6D779AD3" w14:textId="2FA4A3C2" w:rsidR="00FA3F67" w:rsidRDefault="00FA3F67">
      <w:pPr>
        <w:pStyle w:val="FootnoteText"/>
      </w:pPr>
      <w:r>
        <w:rPr>
          <w:rStyle w:val="FootnoteReference"/>
        </w:rPr>
        <w:footnoteRef/>
      </w:r>
      <w:r>
        <w:t xml:space="preserve"> Exhibit SCE-06CE2 at 122.</w:t>
      </w:r>
    </w:p>
  </w:footnote>
  <w:footnote w:id="180">
    <w:p w14:paraId="3DBFC996" w14:textId="34560706" w:rsidR="00A85570" w:rsidRDefault="00A85570">
      <w:pPr>
        <w:pStyle w:val="FootnoteText"/>
      </w:pPr>
      <w:r>
        <w:rPr>
          <w:rStyle w:val="FootnoteReference"/>
        </w:rPr>
        <w:footnoteRef/>
      </w:r>
      <w:r>
        <w:t xml:space="preserve"> Exhibit SCE-06CE2 at 126-127 and Table IX-43.</w:t>
      </w:r>
    </w:p>
  </w:footnote>
  <w:footnote w:id="181">
    <w:p w14:paraId="24B758B0" w14:textId="52CE3D88" w:rsidR="00E03DD0" w:rsidRDefault="00E03DD0">
      <w:pPr>
        <w:pStyle w:val="FootnoteText"/>
      </w:pPr>
      <w:r>
        <w:rPr>
          <w:rStyle w:val="FootnoteReference"/>
        </w:rPr>
        <w:footnoteRef/>
      </w:r>
      <w:r>
        <w:t xml:space="preserve"> Exhibit SCE-06CE2 at 122.</w:t>
      </w:r>
    </w:p>
  </w:footnote>
  <w:footnote w:id="182">
    <w:p w14:paraId="53B68853" w14:textId="4206E35B" w:rsidR="00D633A6" w:rsidRDefault="00D633A6">
      <w:pPr>
        <w:pStyle w:val="FootnoteText"/>
      </w:pPr>
      <w:r>
        <w:rPr>
          <w:rStyle w:val="FootnoteReference"/>
        </w:rPr>
        <w:footnoteRef/>
      </w:r>
      <w:r>
        <w:t xml:space="preserve"> Exhibit SCE-04CE</w:t>
      </w:r>
      <w:r w:rsidR="00D859FF">
        <w:t xml:space="preserve"> at 3-5</w:t>
      </w:r>
      <w:r>
        <w:t>. In Exhibit SCE-06CE2 at 127, SCE noted that it did not make changes to its filing that was submitted pursuant to Ordering Paragraph 6 of D.23-06-006 in its October Update or its associated errata.</w:t>
      </w:r>
    </w:p>
  </w:footnote>
  <w:footnote w:id="183">
    <w:p w14:paraId="1B2F736D" w14:textId="5CE1BE94" w:rsidR="00982470" w:rsidRDefault="00982470">
      <w:pPr>
        <w:pStyle w:val="FootnoteText"/>
      </w:pPr>
      <w:r>
        <w:rPr>
          <w:rStyle w:val="FootnoteReference"/>
        </w:rPr>
        <w:footnoteRef/>
      </w:r>
      <w:r>
        <w:t xml:space="preserve"> Exhibit SCE-06CE2 at 130-132. For all other Actual Retained RPS related value, SCE is applying the RPS Adder in calculating its Indifference Amount.</w:t>
      </w:r>
    </w:p>
  </w:footnote>
  <w:footnote w:id="184">
    <w:p w14:paraId="4C95BB5D" w14:textId="33F1A004" w:rsidR="00957FD6" w:rsidRPr="00A5414A" w:rsidRDefault="00957FD6" w:rsidP="00A5414A">
      <w:pPr>
        <w:pStyle w:val="FootnoteText"/>
      </w:pPr>
      <w:r>
        <w:rPr>
          <w:rStyle w:val="FootnoteReference"/>
        </w:rPr>
        <w:footnoteRef/>
      </w:r>
      <w:r>
        <w:t xml:space="preserve"> SCE implemented D.18-10-019 through Advice Letter 3914-E, which was approved by the Commission’s Energy Division with a January 9, 2019</w:t>
      </w:r>
      <w:r w:rsidR="00A5414A">
        <w:t>,</w:t>
      </w:r>
      <w:r>
        <w:t xml:space="preserve"> effective date.</w:t>
      </w:r>
      <w:r w:rsidR="00A5414A">
        <w:t xml:space="preserve"> SCE records actual retained RPS and RA values as credits in its PABA, which correspond with debit entries in its ERRA BA along with other applicable cost-recovery accounts for those RPS and RA resources. </w:t>
      </w:r>
      <w:r w:rsidR="00A5414A">
        <w:rPr>
          <w:i/>
          <w:iCs/>
        </w:rPr>
        <w:t xml:space="preserve">See </w:t>
      </w:r>
      <w:r w:rsidR="00A5414A">
        <w:t>Exhibit SCE-06C at 139</w:t>
      </w:r>
      <w:r w:rsidR="00356F37">
        <w:t xml:space="preserve"> and Exhibit SCE-06CE2 at 139</w:t>
      </w:r>
      <w:r w:rsidR="00A5414A">
        <w:t>.</w:t>
      </w:r>
    </w:p>
  </w:footnote>
  <w:footnote w:id="185">
    <w:p w14:paraId="689A338A" w14:textId="3CC83525" w:rsidR="002B3345" w:rsidRDefault="002B3345">
      <w:pPr>
        <w:pStyle w:val="FootnoteText"/>
      </w:pPr>
      <w:r>
        <w:rPr>
          <w:rStyle w:val="FootnoteReference"/>
        </w:rPr>
        <w:footnoteRef/>
      </w:r>
      <w:r>
        <w:t xml:space="preserve"> D.22-01-023 OP 1.</w:t>
      </w:r>
    </w:p>
  </w:footnote>
  <w:footnote w:id="186">
    <w:p w14:paraId="636CAF8B" w14:textId="77777777" w:rsidR="00DE5230" w:rsidRDefault="00DE5230" w:rsidP="00DE5230">
      <w:pPr>
        <w:pStyle w:val="FootnoteText"/>
      </w:pPr>
      <w:r>
        <w:rPr>
          <w:rStyle w:val="FootnoteReference"/>
        </w:rPr>
        <w:footnoteRef/>
      </w:r>
      <w:r>
        <w:t xml:space="preserve"> Exhibit SCE-06C at 140-141 and Table X-49.</w:t>
      </w:r>
    </w:p>
  </w:footnote>
  <w:footnote w:id="187">
    <w:p w14:paraId="4DCFB5B2" w14:textId="52F1A15C" w:rsidR="006E0D68" w:rsidRDefault="006E0D68">
      <w:pPr>
        <w:pStyle w:val="FootnoteText"/>
      </w:pPr>
      <w:r>
        <w:rPr>
          <w:rStyle w:val="FootnoteReference"/>
        </w:rPr>
        <w:footnoteRef/>
      </w:r>
      <w:r>
        <w:t xml:space="preserve"> Exhibit SCE-06C at 144.</w:t>
      </w:r>
    </w:p>
  </w:footnote>
  <w:footnote w:id="188">
    <w:p w14:paraId="34A706BA" w14:textId="437CBDCD" w:rsidR="006E0D68" w:rsidRPr="008C7FDF" w:rsidRDefault="006E0D68">
      <w:pPr>
        <w:pStyle w:val="FootnoteText"/>
      </w:pPr>
      <w:r>
        <w:rPr>
          <w:rStyle w:val="FootnoteReference"/>
        </w:rPr>
        <w:footnoteRef/>
      </w:r>
      <w:r>
        <w:t xml:space="preserve"> </w:t>
      </w:r>
      <w:r w:rsidR="008C7FDF">
        <w:t>Exhibit SCE-06CE2 at 144.</w:t>
      </w:r>
    </w:p>
  </w:footnote>
  <w:footnote w:id="189">
    <w:p w14:paraId="4EEEC15C" w14:textId="55B38D30" w:rsidR="009F543B" w:rsidRDefault="009F543B" w:rsidP="0075611F">
      <w:pPr>
        <w:pStyle w:val="FootnoteText"/>
      </w:pPr>
      <w:r>
        <w:rPr>
          <w:rStyle w:val="FootnoteReference"/>
        </w:rPr>
        <w:footnoteRef/>
      </w:r>
      <w:r>
        <w:t xml:space="preserve"> Exhibit SCE-06C at 146-147.</w:t>
      </w:r>
    </w:p>
  </w:footnote>
  <w:footnote w:id="190">
    <w:p w14:paraId="06A9403E" w14:textId="546CC400" w:rsidR="0010454C" w:rsidRDefault="0010454C" w:rsidP="0075611F">
      <w:pPr>
        <w:pStyle w:val="FootnoteText"/>
      </w:pPr>
      <w:r>
        <w:rPr>
          <w:rStyle w:val="FootnoteReference"/>
        </w:rPr>
        <w:footnoteRef/>
      </w:r>
      <w:r>
        <w:t xml:space="preserve"> Exhibit SCE-06C at 148-149.</w:t>
      </w:r>
    </w:p>
  </w:footnote>
  <w:footnote w:id="191">
    <w:p w14:paraId="63D4F9FA" w14:textId="05A3D197" w:rsidR="00C07D89" w:rsidRPr="00B4691E" w:rsidRDefault="00C07D89" w:rsidP="0075611F">
      <w:pPr>
        <w:pStyle w:val="FootnoteText"/>
      </w:pPr>
      <w:r>
        <w:rPr>
          <w:rStyle w:val="FootnoteReference"/>
        </w:rPr>
        <w:footnoteRef/>
      </w:r>
      <w:r>
        <w:t xml:space="preserve"> SCE noted that because its 2024 ERRA forecast will result in a decrease to its currently authorized revenues, it is not required to introduce Affordability </w:t>
      </w:r>
      <w:r w:rsidR="00B4691E">
        <w:t>Ratio 20</w:t>
      </w:r>
      <w:r>
        <w:t xml:space="preserve"> by climate zone, Affordability Ratio 50 by climate zone, or</w:t>
      </w:r>
      <w:r w:rsidR="00B4691E">
        <w:t xml:space="preserve"> Hours-at-Minimum-Wage. </w:t>
      </w:r>
      <w:r w:rsidR="00B4691E">
        <w:rPr>
          <w:i/>
          <w:iCs/>
        </w:rPr>
        <w:t>See</w:t>
      </w:r>
      <w:r w:rsidR="00B4691E">
        <w:t xml:space="preserve"> Exhibit SCE-06C at 151 and D.22-08-023 at OP5.</w:t>
      </w:r>
    </w:p>
  </w:footnote>
  <w:footnote w:id="192">
    <w:p w14:paraId="5F9C2C57" w14:textId="3DBEC9B7" w:rsidR="00113712" w:rsidRDefault="00113712" w:rsidP="0075611F">
      <w:pPr>
        <w:pStyle w:val="FootnoteText"/>
      </w:pPr>
      <w:r>
        <w:rPr>
          <w:rStyle w:val="FootnoteReference"/>
        </w:rPr>
        <w:footnoteRef/>
      </w:r>
      <w:r>
        <w:t xml:space="preserve"> Exhibit SCE-06CE2 at 152 and Table XII-55.</w:t>
      </w:r>
    </w:p>
  </w:footnote>
  <w:footnote w:id="193">
    <w:p w14:paraId="3CE4A66A" w14:textId="40693E12" w:rsidR="002A5554" w:rsidRDefault="002A5554" w:rsidP="006F2940">
      <w:pPr>
        <w:pStyle w:val="FootnoteText"/>
      </w:pPr>
      <w:r>
        <w:rPr>
          <w:rStyle w:val="FootnoteReference"/>
        </w:rPr>
        <w:footnoteRef/>
      </w:r>
      <w:r>
        <w:t xml:space="preserve"> The last remaining bundled customer was intended to represent the “estimated cost that would remain if the investor-owned utility experienced load departure such that it had a single remaining bundled customer.” (Ruling at 2).</w:t>
      </w:r>
    </w:p>
  </w:footnote>
  <w:footnote w:id="194">
    <w:p w14:paraId="07952D9C" w14:textId="4E1D706E" w:rsidR="00414CC2" w:rsidRDefault="00414CC2">
      <w:pPr>
        <w:pStyle w:val="FootnoteText"/>
      </w:pPr>
      <w:r>
        <w:rPr>
          <w:rStyle w:val="FootnoteReference"/>
        </w:rPr>
        <w:footnoteRef/>
      </w:r>
      <w:r>
        <w:t xml:space="preserve"> Cal Advocates Opening Comments filed August 16, 2023 in A.23-06-001, A.23-05-012, and A.23-05-013; Cal CCA Opening Comments filed August 16, 2023 in A.23-06-001 and A.23-05-012</w:t>
      </w:r>
      <w:r w:rsidR="008D29A1">
        <w:t xml:space="preserve"> (at 2-11)</w:t>
      </w:r>
      <w:r>
        <w:t>; San Diego Community Power and Clean Energy Alliance Opening Comments filed August 16, 2023 in A.23-05-013.</w:t>
      </w:r>
    </w:p>
  </w:footnote>
  <w:footnote w:id="195">
    <w:p w14:paraId="01D26A33" w14:textId="77781D0E" w:rsidR="008F3627" w:rsidRDefault="008F3627">
      <w:pPr>
        <w:pStyle w:val="FootnoteText"/>
      </w:pPr>
      <w:r>
        <w:rPr>
          <w:rStyle w:val="FootnoteReference"/>
        </w:rPr>
        <w:footnoteRef/>
      </w:r>
      <w:r>
        <w:t xml:space="preserve"> Exhibit SCE-01C at 4.</w:t>
      </w:r>
    </w:p>
  </w:footnote>
  <w:footnote w:id="196">
    <w:p w14:paraId="6D56366F" w14:textId="77777777" w:rsidR="005F5E51" w:rsidRDefault="005F5E51" w:rsidP="005F5E51">
      <w:pPr>
        <w:pStyle w:val="FootnoteText"/>
      </w:pPr>
      <w:r>
        <w:rPr>
          <w:rStyle w:val="FootnoteReference"/>
        </w:rPr>
        <w:footnoteRef/>
      </w:r>
      <w:r>
        <w:t xml:space="preserve"> </w:t>
      </w:r>
      <w:r>
        <w:rPr>
          <w:szCs w:val="22"/>
        </w:rPr>
        <w:t>AB 32 § 38501(a).</w:t>
      </w:r>
    </w:p>
  </w:footnote>
  <w:footnote w:id="197">
    <w:p w14:paraId="6A9F0D95" w14:textId="148D7533" w:rsidR="009C15BD" w:rsidRDefault="009C15BD">
      <w:pPr>
        <w:pStyle w:val="FootnoteText"/>
      </w:pPr>
      <w:r>
        <w:rPr>
          <w:rStyle w:val="FootnoteReference"/>
        </w:rPr>
        <w:footnoteRef/>
      </w:r>
      <w:r>
        <w:t xml:space="preserve"> If SCE’s November 2023 actual numbers are not available at the time the utility files its implementation advice letter, it may use November 2023 forecasts.</w:t>
      </w:r>
    </w:p>
  </w:footnote>
  <w:footnote w:id="198">
    <w:p w14:paraId="6919D8CF" w14:textId="77777777" w:rsidR="003E5990" w:rsidRDefault="003E5990" w:rsidP="003E5990">
      <w:pPr>
        <w:pStyle w:val="FootnoteText"/>
      </w:pPr>
      <w:r>
        <w:rPr>
          <w:rStyle w:val="FootnoteReference"/>
        </w:rPr>
        <w:footnoteRef/>
      </w:r>
      <w:r>
        <w:t xml:space="preserve"> </w:t>
      </w:r>
      <w:r w:rsidRPr="00534D8E">
        <w:t xml:space="preserve">Estimate includes </w:t>
      </w:r>
      <w:r>
        <w:t xml:space="preserve">indirect </w:t>
      </w:r>
      <w:r w:rsidRPr="00534D8E">
        <w:t>GHG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179C" w14:textId="77777777" w:rsidR="006231FF" w:rsidRDefault="00623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52DC" w14:textId="77777777" w:rsidR="006231FF" w:rsidRDefault="00623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EF5F" w14:textId="77777777" w:rsidR="006231FF" w:rsidRDefault="006231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CF48" w14:textId="4FD1BB2D" w:rsidR="00E23CBB" w:rsidRDefault="00AC5050" w:rsidP="00EE4315">
    <w:pPr>
      <w:pStyle w:val="Header"/>
      <w:tabs>
        <w:tab w:val="clear" w:pos="4680"/>
      </w:tabs>
      <w:ind w:firstLine="0"/>
      <w:rPr>
        <w:b/>
      </w:rPr>
    </w:pPr>
    <w:r>
      <w:t>A.23-06-001 ALJ/CS8/mph</w:t>
    </w:r>
    <w:r w:rsidR="00E23CB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C092" w14:textId="3C0691AD" w:rsidR="00CE24DA" w:rsidRDefault="00CE24DA" w:rsidP="00CE24DA">
    <w:pPr>
      <w:pStyle w:val="Header"/>
      <w:tabs>
        <w:tab w:val="clear" w:pos="4680"/>
      </w:tabs>
      <w:ind w:firstLine="0"/>
      <w:rPr>
        <w:b/>
      </w:rPr>
    </w:pPr>
    <w:r>
      <w:t>A.23-06-001 ALJ/CS8/mph</w:t>
    </w:r>
    <w:r>
      <w:tab/>
    </w:r>
  </w:p>
  <w:p w14:paraId="6220EFB9" w14:textId="5685A5C8" w:rsidR="00FE2351" w:rsidRPr="00CE24DA" w:rsidRDefault="00FE2351" w:rsidP="00CE24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20A6" w14:textId="5788DDA9" w:rsidR="006B15C4" w:rsidRDefault="006B15C4" w:rsidP="00CE24DA">
    <w:pPr>
      <w:pStyle w:val="Header"/>
      <w:tabs>
        <w:tab w:val="clear" w:pos="4680"/>
      </w:tabs>
      <w:ind w:firstLine="0"/>
      <w:rPr>
        <w:b/>
      </w:rPr>
    </w:pPr>
    <w:r>
      <w:t>A.23-06-001 ALJ/CS8/mph</w:t>
    </w:r>
    <w:r>
      <w:tab/>
    </w:r>
  </w:p>
  <w:p w14:paraId="36A83F3F" w14:textId="77777777" w:rsidR="006B15C4" w:rsidRPr="00CE24DA" w:rsidRDefault="006B15C4" w:rsidP="00CE24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271B" w14:textId="38AC878B" w:rsidR="00D54256" w:rsidRDefault="00D54256" w:rsidP="00CE24DA">
    <w:pPr>
      <w:pStyle w:val="Header"/>
      <w:tabs>
        <w:tab w:val="clear" w:pos="4680"/>
      </w:tabs>
      <w:ind w:firstLine="0"/>
      <w:rPr>
        <w:b/>
      </w:rPr>
    </w:pPr>
    <w:r>
      <w:t>A.23-06-001 ALJ/CS8/mph</w:t>
    </w:r>
    <w:r>
      <w:tab/>
    </w:r>
  </w:p>
  <w:p w14:paraId="283C002A" w14:textId="77777777" w:rsidR="00D54256" w:rsidRPr="00CE24DA" w:rsidRDefault="00D54256" w:rsidP="00CE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404DAB"/>
    <w:multiLevelType w:val="hybridMultilevel"/>
    <w:tmpl w:val="3F0E5056"/>
    <w:lvl w:ilvl="0" w:tplc="999097AC">
      <w:start w:val="20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0044"/>
    <w:multiLevelType w:val="hybridMultilevel"/>
    <w:tmpl w:val="678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C1C14"/>
    <w:multiLevelType w:val="multilevel"/>
    <w:tmpl w:val="18F4A5AC"/>
    <w:styleLink w:val="FoFCoLOP"/>
    <w:lvl w:ilvl="0">
      <w:start w:val="1"/>
      <w:numFmt w:val="decimal"/>
      <w:lvlText w:val="%1."/>
      <w:lvlJc w:val="right"/>
      <w:pPr>
        <w:ind w:left="-27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9230EA6"/>
    <w:multiLevelType w:val="hybridMultilevel"/>
    <w:tmpl w:val="3300FA48"/>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70038F"/>
    <w:multiLevelType w:val="multilevel"/>
    <w:tmpl w:val="0A5A6BA0"/>
    <w:numStyleLink w:val="Headings"/>
  </w:abstractNum>
  <w:abstractNum w:abstractNumId="8" w15:restartNumberingAfterBreak="0">
    <w:nsid w:val="1DF9218B"/>
    <w:multiLevelType w:val="hybridMultilevel"/>
    <w:tmpl w:val="3E0EF3BC"/>
    <w:lvl w:ilvl="0" w:tplc="1C32110C">
      <w:start w:val="1"/>
      <w:numFmt w:val="decimal"/>
      <w:lvlText w:val="%1."/>
      <w:lvlJc w:val="left"/>
      <w:pPr>
        <w:ind w:left="720" w:hanging="360"/>
      </w:pPr>
      <w:rPr>
        <w:rFonts w:ascii="Book Antiqua" w:eastAsia="Times New Roman" w:hAnsi="Book Antiqua" w:cs="Times New Roman"/>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E2242C9"/>
    <w:multiLevelType w:val="multilevel"/>
    <w:tmpl w:val="0A5A6BA0"/>
    <w:numStyleLink w:val="Headings"/>
  </w:abstractNum>
  <w:abstractNum w:abstractNumId="10" w15:restartNumberingAfterBreak="0">
    <w:nsid w:val="21FB58FE"/>
    <w:multiLevelType w:val="multilevel"/>
    <w:tmpl w:val="0A5A6BA0"/>
    <w:numStyleLink w:val="Headings"/>
  </w:abstractNum>
  <w:abstractNum w:abstractNumId="11" w15:restartNumberingAfterBreak="0">
    <w:nsid w:val="22A36D19"/>
    <w:multiLevelType w:val="hybridMultilevel"/>
    <w:tmpl w:val="672E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663A0"/>
    <w:multiLevelType w:val="multilevel"/>
    <w:tmpl w:val="0A5A6BA0"/>
    <w:numStyleLink w:val="Headings"/>
  </w:abstractNum>
  <w:abstractNum w:abstractNumId="13" w15:restartNumberingAfterBreak="0">
    <w:nsid w:val="28BF71AC"/>
    <w:multiLevelType w:val="multilevel"/>
    <w:tmpl w:val="0A5A6BA0"/>
    <w:numStyleLink w:val="Headings"/>
  </w:abstractNum>
  <w:abstractNum w:abstractNumId="14" w15:restartNumberingAfterBreak="0">
    <w:nsid w:val="2B8124D7"/>
    <w:multiLevelType w:val="multilevel"/>
    <w:tmpl w:val="0A5A6BA0"/>
    <w:numStyleLink w:val="Headings"/>
  </w:abstractNum>
  <w:abstractNum w:abstractNumId="15" w15:restartNumberingAfterBreak="0">
    <w:nsid w:val="2E442112"/>
    <w:multiLevelType w:val="hybridMultilevel"/>
    <w:tmpl w:val="878A5F34"/>
    <w:lvl w:ilvl="0" w:tplc="CDE0B276">
      <w:start w:val="1"/>
      <w:numFmt w:val="decimal"/>
      <w:lvlText w:val="%1."/>
      <w:lvlJc w:val="left"/>
      <w:pPr>
        <w:ind w:left="720" w:hanging="360"/>
      </w:pPr>
      <w:rPr>
        <w:rFonts w:ascii="Book Antiqua" w:eastAsia="Times New Roman" w:hAnsi="Book Antiqua"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7D22D4"/>
    <w:multiLevelType w:val="hybridMultilevel"/>
    <w:tmpl w:val="B75AADD2"/>
    <w:lvl w:ilvl="0" w:tplc="DDEC5CE8">
      <w:start w:val="12"/>
      <w:numFmt w:val="decimal"/>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15:restartNumberingAfterBreak="0">
    <w:nsid w:val="331F6D42"/>
    <w:multiLevelType w:val="multilevel"/>
    <w:tmpl w:val="0A5A6BA0"/>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8" w15:restartNumberingAfterBreak="0">
    <w:nsid w:val="36EF1C98"/>
    <w:multiLevelType w:val="hybridMultilevel"/>
    <w:tmpl w:val="63228338"/>
    <w:lvl w:ilvl="0" w:tplc="F126F52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25B"/>
    <w:multiLevelType w:val="hybridMultilevel"/>
    <w:tmpl w:val="6D640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C13966"/>
    <w:multiLevelType w:val="hybridMultilevel"/>
    <w:tmpl w:val="6654F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175903"/>
    <w:multiLevelType w:val="hybridMultilevel"/>
    <w:tmpl w:val="2D661B2E"/>
    <w:lvl w:ilvl="0" w:tplc="E37A58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36ED"/>
    <w:multiLevelType w:val="hybridMultilevel"/>
    <w:tmpl w:val="E4D4599A"/>
    <w:lvl w:ilvl="0" w:tplc="D11EE49E">
      <w:start w:val="1"/>
      <w:numFmt w:val="lowerLetter"/>
      <w:lvlText w:val="(%1)"/>
      <w:lvlJc w:val="left"/>
      <w:pPr>
        <w:ind w:left="1440" w:hanging="360"/>
      </w:pPr>
      <w:rPr>
        <w:rFonts w:ascii="Book Antiqua" w:eastAsiaTheme="minorHAnsi" w:hAnsi="Book Antiqu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D042D7"/>
    <w:multiLevelType w:val="multilevel"/>
    <w:tmpl w:val="18F4A5AC"/>
    <w:numStyleLink w:val="FoFCoLOP"/>
  </w:abstractNum>
  <w:abstractNum w:abstractNumId="24" w15:restartNumberingAfterBreak="0">
    <w:nsid w:val="59E60660"/>
    <w:multiLevelType w:val="hybridMultilevel"/>
    <w:tmpl w:val="70003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E2171"/>
    <w:multiLevelType w:val="multilevel"/>
    <w:tmpl w:val="82FA42F2"/>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990"/>
        </w:tabs>
        <w:ind w:left="99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eastAsiaTheme="minorHAnsi" w:hAnsi="Book Antiqua" w:cstheme="minorBidi"/>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6" w15:restartNumberingAfterBreak="0">
    <w:nsid w:val="61A25780"/>
    <w:multiLevelType w:val="multilevel"/>
    <w:tmpl w:val="0A5A6BA0"/>
    <w:numStyleLink w:val="Headings"/>
  </w:abstractNum>
  <w:abstractNum w:abstractNumId="27" w15:restartNumberingAfterBreak="0">
    <w:nsid w:val="6BEC11A6"/>
    <w:multiLevelType w:val="hybridMultilevel"/>
    <w:tmpl w:val="FAB6B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64053"/>
    <w:multiLevelType w:val="hybridMultilevel"/>
    <w:tmpl w:val="74C4E9E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FA5A3C"/>
    <w:multiLevelType w:val="hybridMultilevel"/>
    <w:tmpl w:val="BFC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758EB"/>
    <w:multiLevelType w:val="hybridMultilevel"/>
    <w:tmpl w:val="ECAE8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9A0AFE"/>
    <w:multiLevelType w:val="multilevel"/>
    <w:tmpl w:val="283035C8"/>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990"/>
        </w:tabs>
        <w:ind w:left="99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eastAsiaTheme="minorHAnsi" w:hAnsi="Book Antiqua" w:cstheme="minorBidi"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33" w15:restartNumberingAfterBreak="0">
    <w:nsid w:val="7A2A0000"/>
    <w:multiLevelType w:val="hybridMultilevel"/>
    <w:tmpl w:val="5342689A"/>
    <w:lvl w:ilvl="0" w:tplc="3CF280CE">
      <w:start w:val="1"/>
      <w:numFmt w:val="bullet"/>
      <w:lvlText w:val=""/>
      <w:lvlJc w:val="left"/>
      <w:pPr>
        <w:ind w:left="3600" w:hanging="360"/>
      </w:pPr>
      <w:rPr>
        <w:rFonts w:ascii="Symbol" w:hAnsi="Symbol"/>
      </w:rPr>
    </w:lvl>
    <w:lvl w:ilvl="1" w:tplc="D624D83C">
      <w:start w:val="1"/>
      <w:numFmt w:val="bullet"/>
      <w:lvlText w:val=""/>
      <w:lvlJc w:val="left"/>
      <w:pPr>
        <w:ind w:left="3600" w:hanging="360"/>
      </w:pPr>
      <w:rPr>
        <w:rFonts w:ascii="Symbol" w:hAnsi="Symbol"/>
      </w:rPr>
    </w:lvl>
    <w:lvl w:ilvl="2" w:tplc="134A715E">
      <w:start w:val="1"/>
      <w:numFmt w:val="bullet"/>
      <w:lvlText w:val=""/>
      <w:lvlJc w:val="left"/>
      <w:pPr>
        <w:ind w:left="3600" w:hanging="360"/>
      </w:pPr>
      <w:rPr>
        <w:rFonts w:ascii="Symbol" w:hAnsi="Symbol"/>
      </w:rPr>
    </w:lvl>
    <w:lvl w:ilvl="3" w:tplc="9F143D2A">
      <w:start w:val="1"/>
      <w:numFmt w:val="bullet"/>
      <w:lvlText w:val=""/>
      <w:lvlJc w:val="left"/>
      <w:pPr>
        <w:ind w:left="3600" w:hanging="360"/>
      </w:pPr>
      <w:rPr>
        <w:rFonts w:ascii="Symbol" w:hAnsi="Symbol"/>
      </w:rPr>
    </w:lvl>
    <w:lvl w:ilvl="4" w:tplc="E370BFBE">
      <w:start w:val="1"/>
      <w:numFmt w:val="bullet"/>
      <w:lvlText w:val=""/>
      <w:lvlJc w:val="left"/>
      <w:pPr>
        <w:ind w:left="3600" w:hanging="360"/>
      </w:pPr>
      <w:rPr>
        <w:rFonts w:ascii="Symbol" w:hAnsi="Symbol"/>
      </w:rPr>
    </w:lvl>
    <w:lvl w:ilvl="5" w:tplc="6E5E7D0A">
      <w:start w:val="1"/>
      <w:numFmt w:val="bullet"/>
      <w:lvlText w:val=""/>
      <w:lvlJc w:val="left"/>
      <w:pPr>
        <w:ind w:left="3600" w:hanging="360"/>
      </w:pPr>
      <w:rPr>
        <w:rFonts w:ascii="Symbol" w:hAnsi="Symbol"/>
      </w:rPr>
    </w:lvl>
    <w:lvl w:ilvl="6" w:tplc="8F04F05E">
      <w:start w:val="1"/>
      <w:numFmt w:val="bullet"/>
      <w:lvlText w:val=""/>
      <w:lvlJc w:val="left"/>
      <w:pPr>
        <w:ind w:left="3600" w:hanging="360"/>
      </w:pPr>
      <w:rPr>
        <w:rFonts w:ascii="Symbol" w:hAnsi="Symbol"/>
      </w:rPr>
    </w:lvl>
    <w:lvl w:ilvl="7" w:tplc="E2160C22">
      <w:start w:val="1"/>
      <w:numFmt w:val="bullet"/>
      <w:lvlText w:val=""/>
      <w:lvlJc w:val="left"/>
      <w:pPr>
        <w:ind w:left="3600" w:hanging="360"/>
      </w:pPr>
      <w:rPr>
        <w:rFonts w:ascii="Symbol" w:hAnsi="Symbol"/>
      </w:rPr>
    </w:lvl>
    <w:lvl w:ilvl="8" w:tplc="BD2612D6">
      <w:start w:val="1"/>
      <w:numFmt w:val="bullet"/>
      <w:lvlText w:val=""/>
      <w:lvlJc w:val="left"/>
      <w:pPr>
        <w:ind w:left="3600" w:hanging="360"/>
      </w:pPr>
      <w:rPr>
        <w:rFonts w:ascii="Symbol" w:hAnsi="Symbol"/>
      </w:rPr>
    </w:lvl>
  </w:abstractNum>
  <w:abstractNum w:abstractNumId="34" w15:restartNumberingAfterBreak="0">
    <w:nsid w:val="7A4201A1"/>
    <w:multiLevelType w:val="hybridMultilevel"/>
    <w:tmpl w:val="840E9F90"/>
    <w:lvl w:ilvl="0" w:tplc="D65E8AFA">
      <w:start w:val="1"/>
      <w:numFmt w:val="decimal"/>
      <w:lvlText w:val="%1."/>
      <w:lvlJc w:val="left"/>
      <w:pPr>
        <w:ind w:left="720" w:hanging="360"/>
      </w:pPr>
      <w:rPr>
        <w:rFonts w:ascii="Book Antiqua" w:eastAsia="Times New Roman" w:hAnsi="Book Antiqua"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FF47FAE"/>
    <w:multiLevelType w:val="hybridMultilevel"/>
    <w:tmpl w:val="E0D298A4"/>
    <w:lvl w:ilvl="0" w:tplc="5AA01406">
      <w:start w:val="1"/>
      <w:numFmt w:val="decimal"/>
      <w:lvlText w:val="%1."/>
      <w:lvlJc w:val="left"/>
      <w:pPr>
        <w:ind w:left="720" w:hanging="360"/>
      </w:pPr>
      <w:rPr>
        <w:rFonts w:ascii="Book Antiqua" w:eastAsia="Times New Roman" w:hAnsi="Book Antiqua"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6533041">
    <w:abstractNumId w:val="25"/>
  </w:num>
  <w:num w:numId="2" w16cid:durableId="365064725">
    <w:abstractNumId w:val="3"/>
  </w:num>
  <w:num w:numId="3" w16cid:durableId="760418565">
    <w:abstractNumId w:val="23"/>
    <w:lvlOverride w:ilvl="0">
      <w:lvl w:ilvl="0">
        <w:start w:val="1"/>
        <w:numFmt w:val="decimal"/>
        <w:pStyle w:val="FoF"/>
        <w:lvlText w:val="%1."/>
        <w:lvlJc w:val="right"/>
        <w:pPr>
          <w:ind w:left="-270" w:firstLine="540"/>
        </w:pPr>
        <w:rPr>
          <w:rFonts w:hint="default"/>
        </w:rPr>
      </w:lvl>
    </w:lvlOverride>
  </w:num>
  <w:num w:numId="4" w16cid:durableId="319846440">
    <w:abstractNumId w:val="4"/>
  </w:num>
  <w:num w:numId="5" w16cid:durableId="1506900218">
    <w:abstractNumId w:val="32"/>
  </w:num>
  <w:num w:numId="6" w16cid:durableId="707484515">
    <w:abstractNumId w:val="17"/>
  </w:num>
  <w:num w:numId="7" w16cid:durableId="81877753">
    <w:abstractNumId w:val="9"/>
  </w:num>
  <w:num w:numId="8" w16cid:durableId="1631284870">
    <w:abstractNumId w:val="29"/>
  </w:num>
  <w:num w:numId="9" w16cid:durableId="929240592">
    <w:abstractNumId w:val="0"/>
  </w:num>
  <w:num w:numId="10" w16cid:durableId="1146168216">
    <w:abstractNumId w:val="7"/>
  </w:num>
  <w:num w:numId="11" w16cid:durableId="478033919">
    <w:abstractNumId w:val="10"/>
  </w:num>
  <w:num w:numId="12" w16cid:durableId="43452854">
    <w:abstractNumId w:val="6"/>
  </w:num>
  <w:num w:numId="13" w16cid:durableId="584263252">
    <w:abstractNumId w:val="12"/>
  </w:num>
  <w:num w:numId="14" w16cid:durableId="509949145">
    <w:abstractNumId w:val="14"/>
  </w:num>
  <w:num w:numId="15" w16cid:durableId="533231412">
    <w:abstractNumId w:val="26"/>
  </w:num>
  <w:num w:numId="16" w16cid:durableId="1949313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2073138">
    <w:abstractNumId w:val="13"/>
    <w:lvlOverride w:ilvl="0">
      <w:lvl w:ilvl="0">
        <w:start w:val="1"/>
        <w:numFmt w:val="decimal"/>
        <w:lvlText w:val="%1."/>
        <w:lvlJc w:val="left"/>
        <w:pPr>
          <w:tabs>
            <w:tab w:val="num" w:pos="2790"/>
          </w:tabs>
          <w:ind w:left="279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num>
  <w:num w:numId="18" w16cid:durableId="78605842">
    <w:abstractNumId w:val="31"/>
  </w:num>
  <w:num w:numId="19" w16cid:durableId="563443545">
    <w:abstractNumId w:val="27"/>
  </w:num>
  <w:num w:numId="20" w16cid:durableId="211381797">
    <w:abstractNumId w:val="19"/>
  </w:num>
  <w:num w:numId="21" w16cid:durableId="181238947">
    <w:abstractNumId w:val="33"/>
  </w:num>
  <w:num w:numId="22" w16cid:durableId="37093876">
    <w:abstractNumId w:val="23"/>
    <w:lvlOverride w:ilvl="0">
      <w:lvl w:ilvl="0">
        <w:start w:val="1"/>
        <w:numFmt w:val="decimal"/>
        <w:pStyle w:val="FoF"/>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23" w16cid:durableId="197932819">
    <w:abstractNumId w:val="11"/>
  </w:num>
  <w:num w:numId="24" w16cid:durableId="70003047">
    <w:abstractNumId w:val="30"/>
  </w:num>
  <w:num w:numId="25" w16cid:durableId="1592201371">
    <w:abstractNumId w:val="23"/>
    <w:lvlOverride w:ilvl="0">
      <w:lvl w:ilvl="0">
        <w:start w:val="1"/>
        <w:numFmt w:val="decimal"/>
        <w:pStyle w:val="FoF"/>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26" w16cid:durableId="1702823040">
    <w:abstractNumId w:val="2"/>
  </w:num>
  <w:num w:numId="27" w16cid:durableId="779448448">
    <w:abstractNumId w:val="23"/>
    <w:lvlOverride w:ilvl="0">
      <w:lvl w:ilvl="0">
        <w:start w:val="1"/>
        <w:numFmt w:val="decimal"/>
        <w:pStyle w:val="FoF"/>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28" w16cid:durableId="749739010">
    <w:abstractNumId w:val="22"/>
  </w:num>
  <w:num w:numId="29" w16cid:durableId="1428769429">
    <w:abstractNumId w:val="15"/>
    <w:lvlOverride w:ilvl="0">
      <w:startOverride w:val="1"/>
    </w:lvlOverride>
    <w:lvlOverride w:ilvl="1"/>
    <w:lvlOverride w:ilvl="2"/>
    <w:lvlOverride w:ilvl="3"/>
    <w:lvlOverride w:ilvl="4"/>
    <w:lvlOverride w:ilvl="5"/>
    <w:lvlOverride w:ilvl="6"/>
    <w:lvlOverride w:ilvl="7"/>
    <w:lvlOverride w:ilvl="8"/>
  </w:num>
  <w:num w:numId="30" w16cid:durableId="1048188047">
    <w:abstractNumId w:val="34"/>
  </w:num>
  <w:num w:numId="31" w16cid:durableId="1949656278">
    <w:abstractNumId w:val="8"/>
  </w:num>
  <w:num w:numId="32" w16cid:durableId="1097217704">
    <w:abstractNumId w:val="35"/>
  </w:num>
  <w:num w:numId="33" w16cid:durableId="2107996659">
    <w:abstractNumId w:val="28"/>
  </w:num>
  <w:num w:numId="34" w16cid:durableId="1798794409">
    <w:abstractNumId w:val="1"/>
  </w:num>
  <w:num w:numId="35" w16cid:durableId="695540849">
    <w:abstractNumId w:val="20"/>
  </w:num>
  <w:num w:numId="36" w16cid:durableId="66655812">
    <w:abstractNumId w:val="24"/>
  </w:num>
  <w:num w:numId="37" w16cid:durableId="1952276458">
    <w:abstractNumId w:val="21"/>
  </w:num>
  <w:num w:numId="38" w16cid:durableId="1695963970">
    <w:abstractNumId w:val="16"/>
  </w:num>
  <w:num w:numId="39" w16cid:durableId="965813040">
    <w:abstractNumId w:val="5"/>
  </w:num>
  <w:num w:numId="40" w16cid:durableId="128145236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45"/>
    <w:rsid w:val="00000F6A"/>
    <w:rsid w:val="000011CF"/>
    <w:rsid w:val="000017EE"/>
    <w:rsid w:val="00003A1E"/>
    <w:rsid w:val="0001047D"/>
    <w:rsid w:val="00011880"/>
    <w:rsid w:val="000152B5"/>
    <w:rsid w:val="00015BF8"/>
    <w:rsid w:val="00022598"/>
    <w:rsid w:val="0002724B"/>
    <w:rsid w:val="00034A0A"/>
    <w:rsid w:val="0003579A"/>
    <w:rsid w:val="00036EAF"/>
    <w:rsid w:val="000457DF"/>
    <w:rsid w:val="00046BF5"/>
    <w:rsid w:val="00056BE0"/>
    <w:rsid w:val="000603A1"/>
    <w:rsid w:val="000611AB"/>
    <w:rsid w:val="000625D7"/>
    <w:rsid w:val="00065259"/>
    <w:rsid w:val="00070CD9"/>
    <w:rsid w:val="00070D02"/>
    <w:rsid w:val="0007115A"/>
    <w:rsid w:val="000729FD"/>
    <w:rsid w:val="00073065"/>
    <w:rsid w:val="00080634"/>
    <w:rsid w:val="00090D2E"/>
    <w:rsid w:val="00091E76"/>
    <w:rsid w:val="00094AD0"/>
    <w:rsid w:val="00094EB2"/>
    <w:rsid w:val="00095F10"/>
    <w:rsid w:val="000973C8"/>
    <w:rsid w:val="0009781B"/>
    <w:rsid w:val="000A2AA9"/>
    <w:rsid w:val="000A2F9E"/>
    <w:rsid w:val="000A409B"/>
    <w:rsid w:val="000A509C"/>
    <w:rsid w:val="000A56F2"/>
    <w:rsid w:val="000A6E05"/>
    <w:rsid w:val="000B074C"/>
    <w:rsid w:val="000B12FA"/>
    <w:rsid w:val="000B2F39"/>
    <w:rsid w:val="000B3855"/>
    <w:rsid w:val="000B39F3"/>
    <w:rsid w:val="000C08BF"/>
    <w:rsid w:val="000C1124"/>
    <w:rsid w:val="000C1638"/>
    <w:rsid w:val="000C3B9A"/>
    <w:rsid w:val="000C7441"/>
    <w:rsid w:val="000D032E"/>
    <w:rsid w:val="000D045F"/>
    <w:rsid w:val="000D1718"/>
    <w:rsid w:val="000D25A8"/>
    <w:rsid w:val="000D3ED9"/>
    <w:rsid w:val="000D5A6A"/>
    <w:rsid w:val="000D6CA9"/>
    <w:rsid w:val="000E1579"/>
    <w:rsid w:val="000E2199"/>
    <w:rsid w:val="000E270A"/>
    <w:rsid w:val="000E2A76"/>
    <w:rsid w:val="000E35C1"/>
    <w:rsid w:val="000E3E7C"/>
    <w:rsid w:val="000E4C53"/>
    <w:rsid w:val="000E50D3"/>
    <w:rsid w:val="000E51A4"/>
    <w:rsid w:val="000E5C04"/>
    <w:rsid w:val="000E7554"/>
    <w:rsid w:val="000E7D70"/>
    <w:rsid w:val="000F53BF"/>
    <w:rsid w:val="000F5597"/>
    <w:rsid w:val="000F7BA6"/>
    <w:rsid w:val="001013D4"/>
    <w:rsid w:val="00103456"/>
    <w:rsid w:val="00103DD2"/>
    <w:rsid w:val="0010454C"/>
    <w:rsid w:val="00110214"/>
    <w:rsid w:val="00110BD9"/>
    <w:rsid w:val="00110BE8"/>
    <w:rsid w:val="0011157C"/>
    <w:rsid w:val="00113712"/>
    <w:rsid w:val="001140CF"/>
    <w:rsid w:val="00120F8D"/>
    <w:rsid w:val="00121089"/>
    <w:rsid w:val="00122827"/>
    <w:rsid w:val="00124E9B"/>
    <w:rsid w:val="0013073A"/>
    <w:rsid w:val="001309A9"/>
    <w:rsid w:val="001345BC"/>
    <w:rsid w:val="001351D1"/>
    <w:rsid w:val="00137A7E"/>
    <w:rsid w:val="00140D56"/>
    <w:rsid w:val="00141FDF"/>
    <w:rsid w:val="00145C6F"/>
    <w:rsid w:val="00145CB5"/>
    <w:rsid w:val="00146135"/>
    <w:rsid w:val="00147F38"/>
    <w:rsid w:val="00150378"/>
    <w:rsid w:val="00151DC8"/>
    <w:rsid w:val="00157307"/>
    <w:rsid w:val="00160A80"/>
    <w:rsid w:val="00162DA0"/>
    <w:rsid w:val="00162F91"/>
    <w:rsid w:val="00164401"/>
    <w:rsid w:val="00166D71"/>
    <w:rsid w:val="001801FB"/>
    <w:rsid w:val="00182268"/>
    <w:rsid w:val="00185ADF"/>
    <w:rsid w:val="0018640B"/>
    <w:rsid w:val="00191D27"/>
    <w:rsid w:val="00194A92"/>
    <w:rsid w:val="00194D1F"/>
    <w:rsid w:val="001972A4"/>
    <w:rsid w:val="001A13AF"/>
    <w:rsid w:val="001A5AD9"/>
    <w:rsid w:val="001B18DC"/>
    <w:rsid w:val="001B3E19"/>
    <w:rsid w:val="001B6D6B"/>
    <w:rsid w:val="001B6DD6"/>
    <w:rsid w:val="001C1E05"/>
    <w:rsid w:val="001C2650"/>
    <w:rsid w:val="001C2782"/>
    <w:rsid w:val="001C2B0A"/>
    <w:rsid w:val="001C363F"/>
    <w:rsid w:val="001C4319"/>
    <w:rsid w:val="001C6556"/>
    <w:rsid w:val="001C7F40"/>
    <w:rsid w:val="001D45EF"/>
    <w:rsid w:val="001D6E69"/>
    <w:rsid w:val="001E2A62"/>
    <w:rsid w:val="001E6F87"/>
    <w:rsid w:val="001F0025"/>
    <w:rsid w:val="001F0174"/>
    <w:rsid w:val="001F2819"/>
    <w:rsid w:val="001F3BDF"/>
    <w:rsid w:val="001F4573"/>
    <w:rsid w:val="001F5EF2"/>
    <w:rsid w:val="001F6160"/>
    <w:rsid w:val="001F64C1"/>
    <w:rsid w:val="00201312"/>
    <w:rsid w:val="00201331"/>
    <w:rsid w:val="002022EA"/>
    <w:rsid w:val="002033E8"/>
    <w:rsid w:val="002043EC"/>
    <w:rsid w:val="0020715F"/>
    <w:rsid w:val="002073B9"/>
    <w:rsid w:val="0020745D"/>
    <w:rsid w:val="002122BE"/>
    <w:rsid w:val="00232B5E"/>
    <w:rsid w:val="00232C61"/>
    <w:rsid w:val="00234064"/>
    <w:rsid w:val="00237D71"/>
    <w:rsid w:val="0024006A"/>
    <w:rsid w:val="00241278"/>
    <w:rsid w:val="00241EE6"/>
    <w:rsid w:val="00242F54"/>
    <w:rsid w:val="00243C46"/>
    <w:rsid w:val="00243DC0"/>
    <w:rsid w:val="002440A2"/>
    <w:rsid w:val="002446A4"/>
    <w:rsid w:val="002462B4"/>
    <w:rsid w:val="00246799"/>
    <w:rsid w:val="00246FBF"/>
    <w:rsid w:val="00247477"/>
    <w:rsid w:val="002524F2"/>
    <w:rsid w:val="00252561"/>
    <w:rsid w:val="00254304"/>
    <w:rsid w:val="002551B5"/>
    <w:rsid w:val="00260110"/>
    <w:rsid w:val="0026377F"/>
    <w:rsid w:val="00264185"/>
    <w:rsid w:val="00265DEB"/>
    <w:rsid w:val="002675CA"/>
    <w:rsid w:val="00267B3C"/>
    <w:rsid w:val="00270440"/>
    <w:rsid w:val="00272664"/>
    <w:rsid w:val="00273D97"/>
    <w:rsid w:val="00275A17"/>
    <w:rsid w:val="00276D7C"/>
    <w:rsid w:val="00281603"/>
    <w:rsid w:val="00283CF3"/>
    <w:rsid w:val="00284408"/>
    <w:rsid w:val="0028524C"/>
    <w:rsid w:val="00286EF0"/>
    <w:rsid w:val="002878BD"/>
    <w:rsid w:val="00287BC5"/>
    <w:rsid w:val="00290054"/>
    <w:rsid w:val="0029188E"/>
    <w:rsid w:val="002933DF"/>
    <w:rsid w:val="00293DEE"/>
    <w:rsid w:val="0029518D"/>
    <w:rsid w:val="00295744"/>
    <w:rsid w:val="0029599A"/>
    <w:rsid w:val="00295E71"/>
    <w:rsid w:val="0029662C"/>
    <w:rsid w:val="002968D8"/>
    <w:rsid w:val="00297628"/>
    <w:rsid w:val="002A0B5D"/>
    <w:rsid w:val="002A2086"/>
    <w:rsid w:val="002A20A0"/>
    <w:rsid w:val="002A3A3D"/>
    <w:rsid w:val="002A3A83"/>
    <w:rsid w:val="002A3DDE"/>
    <w:rsid w:val="002A53FC"/>
    <w:rsid w:val="002A5554"/>
    <w:rsid w:val="002A6EC9"/>
    <w:rsid w:val="002B0F5E"/>
    <w:rsid w:val="002B2C1F"/>
    <w:rsid w:val="002B3345"/>
    <w:rsid w:val="002C1126"/>
    <w:rsid w:val="002C30FD"/>
    <w:rsid w:val="002C59BA"/>
    <w:rsid w:val="002C64BD"/>
    <w:rsid w:val="002C65D0"/>
    <w:rsid w:val="002C7FE9"/>
    <w:rsid w:val="002D0318"/>
    <w:rsid w:val="002D0DC5"/>
    <w:rsid w:val="002D1039"/>
    <w:rsid w:val="002D1831"/>
    <w:rsid w:val="002D47A8"/>
    <w:rsid w:val="002D4EFD"/>
    <w:rsid w:val="002D5116"/>
    <w:rsid w:val="002D6A91"/>
    <w:rsid w:val="002E0A89"/>
    <w:rsid w:val="002E3901"/>
    <w:rsid w:val="002E3BE3"/>
    <w:rsid w:val="002E438E"/>
    <w:rsid w:val="002E6CF2"/>
    <w:rsid w:val="002F290B"/>
    <w:rsid w:val="002F4ACE"/>
    <w:rsid w:val="002F5650"/>
    <w:rsid w:val="00300084"/>
    <w:rsid w:val="00301320"/>
    <w:rsid w:val="00302117"/>
    <w:rsid w:val="00303809"/>
    <w:rsid w:val="00304FA4"/>
    <w:rsid w:val="003053F5"/>
    <w:rsid w:val="0030772D"/>
    <w:rsid w:val="00312309"/>
    <w:rsid w:val="00312858"/>
    <w:rsid w:val="00314057"/>
    <w:rsid w:val="00314372"/>
    <w:rsid w:val="00314BD2"/>
    <w:rsid w:val="00315A97"/>
    <w:rsid w:val="00316071"/>
    <w:rsid w:val="003171BF"/>
    <w:rsid w:val="00320F05"/>
    <w:rsid w:val="00321231"/>
    <w:rsid w:val="0032306D"/>
    <w:rsid w:val="00323281"/>
    <w:rsid w:val="00323ADA"/>
    <w:rsid w:val="00323CDB"/>
    <w:rsid w:val="00324C9D"/>
    <w:rsid w:val="00330B32"/>
    <w:rsid w:val="00334B61"/>
    <w:rsid w:val="00335ECF"/>
    <w:rsid w:val="00336EFF"/>
    <w:rsid w:val="00340311"/>
    <w:rsid w:val="00340478"/>
    <w:rsid w:val="003419E4"/>
    <w:rsid w:val="003434D5"/>
    <w:rsid w:val="00343E5C"/>
    <w:rsid w:val="00344FB8"/>
    <w:rsid w:val="003468CB"/>
    <w:rsid w:val="00347FB6"/>
    <w:rsid w:val="00353077"/>
    <w:rsid w:val="00353AC9"/>
    <w:rsid w:val="00355D08"/>
    <w:rsid w:val="00356F37"/>
    <w:rsid w:val="0036017B"/>
    <w:rsid w:val="00362755"/>
    <w:rsid w:val="003659FA"/>
    <w:rsid w:val="00370997"/>
    <w:rsid w:val="003712D7"/>
    <w:rsid w:val="00371A37"/>
    <w:rsid w:val="00372376"/>
    <w:rsid w:val="00373B93"/>
    <w:rsid w:val="00373D25"/>
    <w:rsid w:val="00373D9A"/>
    <w:rsid w:val="00373F7B"/>
    <w:rsid w:val="00380CD1"/>
    <w:rsid w:val="0038158D"/>
    <w:rsid w:val="00382E62"/>
    <w:rsid w:val="003833AF"/>
    <w:rsid w:val="00383FF4"/>
    <w:rsid w:val="00385467"/>
    <w:rsid w:val="00385863"/>
    <w:rsid w:val="003873DD"/>
    <w:rsid w:val="00387874"/>
    <w:rsid w:val="003879C5"/>
    <w:rsid w:val="0039023F"/>
    <w:rsid w:val="00392E9B"/>
    <w:rsid w:val="00392F1C"/>
    <w:rsid w:val="00396023"/>
    <w:rsid w:val="00396044"/>
    <w:rsid w:val="003A38F0"/>
    <w:rsid w:val="003A4B06"/>
    <w:rsid w:val="003A59CA"/>
    <w:rsid w:val="003A5E12"/>
    <w:rsid w:val="003A794F"/>
    <w:rsid w:val="003B165D"/>
    <w:rsid w:val="003B1689"/>
    <w:rsid w:val="003B27C9"/>
    <w:rsid w:val="003B3247"/>
    <w:rsid w:val="003B52A5"/>
    <w:rsid w:val="003C019E"/>
    <w:rsid w:val="003C1797"/>
    <w:rsid w:val="003C5BD1"/>
    <w:rsid w:val="003C73AF"/>
    <w:rsid w:val="003D0F42"/>
    <w:rsid w:val="003D1440"/>
    <w:rsid w:val="003D145E"/>
    <w:rsid w:val="003D19FD"/>
    <w:rsid w:val="003D23BA"/>
    <w:rsid w:val="003D3D95"/>
    <w:rsid w:val="003D5E99"/>
    <w:rsid w:val="003D6F0D"/>
    <w:rsid w:val="003E0E33"/>
    <w:rsid w:val="003E42B1"/>
    <w:rsid w:val="003E4FB5"/>
    <w:rsid w:val="003E5990"/>
    <w:rsid w:val="003E6829"/>
    <w:rsid w:val="003F069A"/>
    <w:rsid w:val="003F0E92"/>
    <w:rsid w:val="003F2725"/>
    <w:rsid w:val="003F4329"/>
    <w:rsid w:val="003F6499"/>
    <w:rsid w:val="00400612"/>
    <w:rsid w:val="004009AC"/>
    <w:rsid w:val="00405932"/>
    <w:rsid w:val="00406998"/>
    <w:rsid w:val="004075AB"/>
    <w:rsid w:val="00407E31"/>
    <w:rsid w:val="00412534"/>
    <w:rsid w:val="00412C83"/>
    <w:rsid w:val="00412CF9"/>
    <w:rsid w:val="00414CC2"/>
    <w:rsid w:val="00415892"/>
    <w:rsid w:val="00416311"/>
    <w:rsid w:val="00416364"/>
    <w:rsid w:val="00417AA1"/>
    <w:rsid w:val="004226E8"/>
    <w:rsid w:val="00426014"/>
    <w:rsid w:val="00432694"/>
    <w:rsid w:val="00434191"/>
    <w:rsid w:val="004351D3"/>
    <w:rsid w:val="00440589"/>
    <w:rsid w:val="00440868"/>
    <w:rsid w:val="00440911"/>
    <w:rsid w:val="0044297E"/>
    <w:rsid w:val="00442E1A"/>
    <w:rsid w:val="00443327"/>
    <w:rsid w:val="004434BE"/>
    <w:rsid w:val="00444ED0"/>
    <w:rsid w:val="0044617E"/>
    <w:rsid w:val="0045101C"/>
    <w:rsid w:val="004530CD"/>
    <w:rsid w:val="00453BD8"/>
    <w:rsid w:val="00455A35"/>
    <w:rsid w:val="00456201"/>
    <w:rsid w:val="004565BA"/>
    <w:rsid w:val="00457A71"/>
    <w:rsid w:val="00460B7D"/>
    <w:rsid w:val="00466C9C"/>
    <w:rsid w:val="004724B0"/>
    <w:rsid w:val="0047391E"/>
    <w:rsid w:val="0047485E"/>
    <w:rsid w:val="004750BE"/>
    <w:rsid w:val="00477CA0"/>
    <w:rsid w:val="004802FA"/>
    <w:rsid w:val="0048038A"/>
    <w:rsid w:val="00480CB0"/>
    <w:rsid w:val="00480CFE"/>
    <w:rsid w:val="00490594"/>
    <w:rsid w:val="004A0554"/>
    <w:rsid w:val="004A6AAC"/>
    <w:rsid w:val="004A7AA8"/>
    <w:rsid w:val="004A7B71"/>
    <w:rsid w:val="004B1296"/>
    <w:rsid w:val="004B2DE7"/>
    <w:rsid w:val="004B34EA"/>
    <w:rsid w:val="004B43BB"/>
    <w:rsid w:val="004B5494"/>
    <w:rsid w:val="004B7BD1"/>
    <w:rsid w:val="004C3ACD"/>
    <w:rsid w:val="004C53F6"/>
    <w:rsid w:val="004C7A2B"/>
    <w:rsid w:val="004C7BAF"/>
    <w:rsid w:val="004C7D3A"/>
    <w:rsid w:val="004D2836"/>
    <w:rsid w:val="004D3495"/>
    <w:rsid w:val="004E0DC0"/>
    <w:rsid w:val="004E31C3"/>
    <w:rsid w:val="004E623E"/>
    <w:rsid w:val="004F2062"/>
    <w:rsid w:val="004F3B3C"/>
    <w:rsid w:val="004F3E9A"/>
    <w:rsid w:val="004F691C"/>
    <w:rsid w:val="004F7957"/>
    <w:rsid w:val="005018A8"/>
    <w:rsid w:val="0050245B"/>
    <w:rsid w:val="00502507"/>
    <w:rsid w:val="00502764"/>
    <w:rsid w:val="00503048"/>
    <w:rsid w:val="00504258"/>
    <w:rsid w:val="00504EFB"/>
    <w:rsid w:val="00505A39"/>
    <w:rsid w:val="00507D89"/>
    <w:rsid w:val="00511D0A"/>
    <w:rsid w:val="00513B77"/>
    <w:rsid w:val="00515ADB"/>
    <w:rsid w:val="00515F3B"/>
    <w:rsid w:val="0051634D"/>
    <w:rsid w:val="005164E9"/>
    <w:rsid w:val="00516A81"/>
    <w:rsid w:val="00516EAA"/>
    <w:rsid w:val="005170C9"/>
    <w:rsid w:val="00521D6A"/>
    <w:rsid w:val="005240BF"/>
    <w:rsid w:val="0052431F"/>
    <w:rsid w:val="00526C33"/>
    <w:rsid w:val="00526FD3"/>
    <w:rsid w:val="00530A6D"/>
    <w:rsid w:val="005333D9"/>
    <w:rsid w:val="0053468C"/>
    <w:rsid w:val="00536645"/>
    <w:rsid w:val="00536E15"/>
    <w:rsid w:val="005416CC"/>
    <w:rsid w:val="00543966"/>
    <w:rsid w:val="005444BE"/>
    <w:rsid w:val="00550B02"/>
    <w:rsid w:val="00552FFE"/>
    <w:rsid w:val="005549E5"/>
    <w:rsid w:val="00555BBD"/>
    <w:rsid w:val="00555F97"/>
    <w:rsid w:val="00556E6B"/>
    <w:rsid w:val="00562C31"/>
    <w:rsid w:val="00564CB5"/>
    <w:rsid w:val="00564DAB"/>
    <w:rsid w:val="00566FDE"/>
    <w:rsid w:val="00567D27"/>
    <w:rsid w:val="00573578"/>
    <w:rsid w:val="005752E8"/>
    <w:rsid w:val="005758C3"/>
    <w:rsid w:val="005778AC"/>
    <w:rsid w:val="005815E8"/>
    <w:rsid w:val="00581F06"/>
    <w:rsid w:val="00584806"/>
    <w:rsid w:val="00585390"/>
    <w:rsid w:val="00586842"/>
    <w:rsid w:val="00591635"/>
    <w:rsid w:val="00592F59"/>
    <w:rsid w:val="00593279"/>
    <w:rsid w:val="005939A5"/>
    <w:rsid w:val="00596BA5"/>
    <w:rsid w:val="005A148C"/>
    <w:rsid w:val="005A318C"/>
    <w:rsid w:val="005A3DDD"/>
    <w:rsid w:val="005A417B"/>
    <w:rsid w:val="005A4364"/>
    <w:rsid w:val="005B519D"/>
    <w:rsid w:val="005B5227"/>
    <w:rsid w:val="005B616B"/>
    <w:rsid w:val="005C0A91"/>
    <w:rsid w:val="005C1A8C"/>
    <w:rsid w:val="005C58E1"/>
    <w:rsid w:val="005C58EA"/>
    <w:rsid w:val="005C58FA"/>
    <w:rsid w:val="005C6004"/>
    <w:rsid w:val="005D0AA5"/>
    <w:rsid w:val="005D2907"/>
    <w:rsid w:val="005D2C36"/>
    <w:rsid w:val="005D5CE7"/>
    <w:rsid w:val="005E2600"/>
    <w:rsid w:val="005E37E3"/>
    <w:rsid w:val="005E49F3"/>
    <w:rsid w:val="005E4BB8"/>
    <w:rsid w:val="005E7904"/>
    <w:rsid w:val="005F4A71"/>
    <w:rsid w:val="005F5E51"/>
    <w:rsid w:val="005F7978"/>
    <w:rsid w:val="00602240"/>
    <w:rsid w:val="00603DA1"/>
    <w:rsid w:val="00604C42"/>
    <w:rsid w:val="00610680"/>
    <w:rsid w:val="006111A5"/>
    <w:rsid w:val="0061259C"/>
    <w:rsid w:val="00620286"/>
    <w:rsid w:val="006207FE"/>
    <w:rsid w:val="0062201A"/>
    <w:rsid w:val="006231FF"/>
    <w:rsid w:val="00625C5E"/>
    <w:rsid w:val="006303F1"/>
    <w:rsid w:val="006309AB"/>
    <w:rsid w:val="006314D6"/>
    <w:rsid w:val="0063192D"/>
    <w:rsid w:val="00631DEE"/>
    <w:rsid w:val="006321F3"/>
    <w:rsid w:val="00632207"/>
    <w:rsid w:val="0063491C"/>
    <w:rsid w:val="00636883"/>
    <w:rsid w:val="00636F97"/>
    <w:rsid w:val="00640D83"/>
    <w:rsid w:val="00641F11"/>
    <w:rsid w:val="00642704"/>
    <w:rsid w:val="00643669"/>
    <w:rsid w:val="006479F9"/>
    <w:rsid w:val="00650E53"/>
    <w:rsid w:val="0065349C"/>
    <w:rsid w:val="0065770A"/>
    <w:rsid w:val="00661AFE"/>
    <w:rsid w:val="006626FD"/>
    <w:rsid w:val="00663DD0"/>
    <w:rsid w:val="0066430C"/>
    <w:rsid w:val="006658D9"/>
    <w:rsid w:val="00666C08"/>
    <w:rsid w:val="00670805"/>
    <w:rsid w:val="0067172A"/>
    <w:rsid w:val="00673ECC"/>
    <w:rsid w:val="006746CC"/>
    <w:rsid w:val="00676E1F"/>
    <w:rsid w:val="00680F19"/>
    <w:rsid w:val="00681924"/>
    <w:rsid w:val="00681B48"/>
    <w:rsid w:val="00682FC7"/>
    <w:rsid w:val="00684050"/>
    <w:rsid w:val="00686FB9"/>
    <w:rsid w:val="00693FE7"/>
    <w:rsid w:val="00695354"/>
    <w:rsid w:val="006A0C47"/>
    <w:rsid w:val="006A1425"/>
    <w:rsid w:val="006A2485"/>
    <w:rsid w:val="006A3362"/>
    <w:rsid w:val="006A3ADC"/>
    <w:rsid w:val="006A3C18"/>
    <w:rsid w:val="006A3F99"/>
    <w:rsid w:val="006A44A9"/>
    <w:rsid w:val="006A6990"/>
    <w:rsid w:val="006A70F3"/>
    <w:rsid w:val="006B15C4"/>
    <w:rsid w:val="006B72A3"/>
    <w:rsid w:val="006C05E0"/>
    <w:rsid w:val="006C1F10"/>
    <w:rsid w:val="006C3515"/>
    <w:rsid w:val="006C4C20"/>
    <w:rsid w:val="006C620D"/>
    <w:rsid w:val="006C6F96"/>
    <w:rsid w:val="006C7D0C"/>
    <w:rsid w:val="006C7E40"/>
    <w:rsid w:val="006D1118"/>
    <w:rsid w:val="006D2BE3"/>
    <w:rsid w:val="006D3E6C"/>
    <w:rsid w:val="006D4527"/>
    <w:rsid w:val="006D4D51"/>
    <w:rsid w:val="006D6985"/>
    <w:rsid w:val="006D7540"/>
    <w:rsid w:val="006E01FA"/>
    <w:rsid w:val="006E0D68"/>
    <w:rsid w:val="006E26BC"/>
    <w:rsid w:val="006E35C4"/>
    <w:rsid w:val="006E4C5B"/>
    <w:rsid w:val="006E5BB6"/>
    <w:rsid w:val="006E5E28"/>
    <w:rsid w:val="006E6561"/>
    <w:rsid w:val="006E6574"/>
    <w:rsid w:val="006F0495"/>
    <w:rsid w:val="006F2940"/>
    <w:rsid w:val="006F50D6"/>
    <w:rsid w:val="006F558A"/>
    <w:rsid w:val="006F562C"/>
    <w:rsid w:val="006F5F45"/>
    <w:rsid w:val="006F6D0D"/>
    <w:rsid w:val="006F7ADA"/>
    <w:rsid w:val="007035C7"/>
    <w:rsid w:val="00703901"/>
    <w:rsid w:val="00706C36"/>
    <w:rsid w:val="00707EB2"/>
    <w:rsid w:val="00711EDB"/>
    <w:rsid w:val="00713040"/>
    <w:rsid w:val="00714CF2"/>
    <w:rsid w:val="007156B9"/>
    <w:rsid w:val="007166CF"/>
    <w:rsid w:val="00717431"/>
    <w:rsid w:val="00720817"/>
    <w:rsid w:val="00720B2B"/>
    <w:rsid w:val="00722850"/>
    <w:rsid w:val="00726FDA"/>
    <w:rsid w:val="00730B9B"/>
    <w:rsid w:val="00732317"/>
    <w:rsid w:val="0073353F"/>
    <w:rsid w:val="00733DC1"/>
    <w:rsid w:val="007342B5"/>
    <w:rsid w:val="007345A0"/>
    <w:rsid w:val="0073559A"/>
    <w:rsid w:val="00735A91"/>
    <w:rsid w:val="00736020"/>
    <w:rsid w:val="00736518"/>
    <w:rsid w:val="007416D5"/>
    <w:rsid w:val="00741908"/>
    <w:rsid w:val="007421A7"/>
    <w:rsid w:val="00742E45"/>
    <w:rsid w:val="007447AF"/>
    <w:rsid w:val="00745959"/>
    <w:rsid w:val="00747066"/>
    <w:rsid w:val="007476F7"/>
    <w:rsid w:val="007503C2"/>
    <w:rsid w:val="00750816"/>
    <w:rsid w:val="007532FA"/>
    <w:rsid w:val="0075611F"/>
    <w:rsid w:val="00760640"/>
    <w:rsid w:val="00760F48"/>
    <w:rsid w:val="00761D51"/>
    <w:rsid w:val="007622BC"/>
    <w:rsid w:val="0076257E"/>
    <w:rsid w:val="00764929"/>
    <w:rsid w:val="00764D1B"/>
    <w:rsid w:val="007657C1"/>
    <w:rsid w:val="00766B02"/>
    <w:rsid w:val="00767E58"/>
    <w:rsid w:val="00774C90"/>
    <w:rsid w:val="007755C4"/>
    <w:rsid w:val="00775C36"/>
    <w:rsid w:val="00775FF3"/>
    <w:rsid w:val="0077755F"/>
    <w:rsid w:val="00780E47"/>
    <w:rsid w:val="007855A4"/>
    <w:rsid w:val="00786697"/>
    <w:rsid w:val="00787A56"/>
    <w:rsid w:val="00794A2D"/>
    <w:rsid w:val="007956EF"/>
    <w:rsid w:val="00796EE1"/>
    <w:rsid w:val="007A10D3"/>
    <w:rsid w:val="007A16FF"/>
    <w:rsid w:val="007A406D"/>
    <w:rsid w:val="007A62B0"/>
    <w:rsid w:val="007A643A"/>
    <w:rsid w:val="007B50F3"/>
    <w:rsid w:val="007B5F67"/>
    <w:rsid w:val="007B77EE"/>
    <w:rsid w:val="007B7AC8"/>
    <w:rsid w:val="007C16C8"/>
    <w:rsid w:val="007C430E"/>
    <w:rsid w:val="007C5A0C"/>
    <w:rsid w:val="007C6800"/>
    <w:rsid w:val="007C7674"/>
    <w:rsid w:val="007D4B25"/>
    <w:rsid w:val="007E09AC"/>
    <w:rsid w:val="007E0FEE"/>
    <w:rsid w:val="007E1EBA"/>
    <w:rsid w:val="007E36D7"/>
    <w:rsid w:val="007E52F0"/>
    <w:rsid w:val="007F16DD"/>
    <w:rsid w:val="007F1A4D"/>
    <w:rsid w:val="007F1CC1"/>
    <w:rsid w:val="007F2017"/>
    <w:rsid w:val="007F363F"/>
    <w:rsid w:val="007F5E9B"/>
    <w:rsid w:val="00804739"/>
    <w:rsid w:val="0080639E"/>
    <w:rsid w:val="00807B92"/>
    <w:rsid w:val="008117D1"/>
    <w:rsid w:val="008119B1"/>
    <w:rsid w:val="008127A0"/>
    <w:rsid w:val="00813D01"/>
    <w:rsid w:val="00814C24"/>
    <w:rsid w:val="008152BD"/>
    <w:rsid w:val="008159CF"/>
    <w:rsid w:val="00816E05"/>
    <w:rsid w:val="00816E7C"/>
    <w:rsid w:val="008175F7"/>
    <w:rsid w:val="008219AD"/>
    <w:rsid w:val="008236DD"/>
    <w:rsid w:val="0082397C"/>
    <w:rsid w:val="008314AA"/>
    <w:rsid w:val="00833660"/>
    <w:rsid w:val="008339BB"/>
    <w:rsid w:val="00836728"/>
    <w:rsid w:val="0083725F"/>
    <w:rsid w:val="00837DA0"/>
    <w:rsid w:val="0084192D"/>
    <w:rsid w:val="00841E42"/>
    <w:rsid w:val="00842770"/>
    <w:rsid w:val="00842A39"/>
    <w:rsid w:val="00845182"/>
    <w:rsid w:val="00852007"/>
    <w:rsid w:val="008536B8"/>
    <w:rsid w:val="0085378D"/>
    <w:rsid w:val="00853B3C"/>
    <w:rsid w:val="00853BDF"/>
    <w:rsid w:val="008567F1"/>
    <w:rsid w:val="0086056A"/>
    <w:rsid w:val="00863236"/>
    <w:rsid w:val="00863DF4"/>
    <w:rsid w:val="0086419A"/>
    <w:rsid w:val="00866977"/>
    <w:rsid w:val="0086729E"/>
    <w:rsid w:val="0087023B"/>
    <w:rsid w:val="0087107E"/>
    <w:rsid w:val="008742CA"/>
    <w:rsid w:val="00876D93"/>
    <w:rsid w:val="008803F5"/>
    <w:rsid w:val="008811CC"/>
    <w:rsid w:val="00884F2B"/>
    <w:rsid w:val="0088788F"/>
    <w:rsid w:val="00890EEE"/>
    <w:rsid w:val="00891204"/>
    <w:rsid w:val="00891E27"/>
    <w:rsid w:val="0089362F"/>
    <w:rsid w:val="00893B9D"/>
    <w:rsid w:val="00895512"/>
    <w:rsid w:val="00896E75"/>
    <w:rsid w:val="008A179F"/>
    <w:rsid w:val="008A1FE3"/>
    <w:rsid w:val="008A2F8F"/>
    <w:rsid w:val="008A4D59"/>
    <w:rsid w:val="008A7329"/>
    <w:rsid w:val="008B0864"/>
    <w:rsid w:val="008B1E06"/>
    <w:rsid w:val="008C0FFB"/>
    <w:rsid w:val="008C24EB"/>
    <w:rsid w:val="008C6464"/>
    <w:rsid w:val="008C64A0"/>
    <w:rsid w:val="008C71B6"/>
    <w:rsid w:val="008C7413"/>
    <w:rsid w:val="008C7FDF"/>
    <w:rsid w:val="008D0247"/>
    <w:rsid w:val="008D12AA"/>
    <w:rsid w:val="008D16B7"/>
    <w:rsid w:val="008D29A1"/>
    <w:rsid w:val="008D2D76"/>
    <w:rsid w:val="008D7BE9"/>
    <w:rsid w:val="008E2600"/>
    <w:rsid w:val="008E470B"/>
    <w:rsid w:val="008E6AE6"/>
    <w:rsid w:val="008E72B4"/>
    <w:rsid w:val="008F0116"/>
    <w:rsid w:val="008F0A39"/>
    <w:rsid w:val="008F143D"/>
    <w:rsid w:val="008F2059"/>
    <w:rsid w:val="008F3627"/>
    <w:rsid w:val="008F625A"/>
    <w:rsid w:val="00902842"/>
    <w:rsid w:val="0090509E"/>
    <w:rsid w:val="00905493"/>
    <w:rsid w:val="0091334F"/>
    <w:rsid w:val="009149E1"/>
    <w:rsid w:val="00915EE6"/>
    <w:rsid w:val="0091685C"/>
    <w:rsid w:val="00917A32"/>
    <w:rsid w:val="0092181B"/>
    <w:rsid w:val="009233F2"/>
    <w:rsid w:val="00924078"/>
    <w:rsid w:val="00931C9E"/>
    <w:rsid w:val="00932865"/>
    <w:rsid w:val="00933A44"/>
    <w:rsid w:val="00940602"/>
    <w:rsid w:val="0094244A"/>
    <w:rsid w:val="00944436"/>
    <w:rsid w:val="0094776C"/>
    <w:rsid w:val="00947825"/>
    <w:rsid w:val="00952386"/>
    <w:rsid w:val="009559B6"/>
    <w:rsid w:val="00956E55"/>
    <w:rsid w:val="00957FD6"/>
    <w:rsid w:val="00963AD7"/>
    <w:rsid w:val="009647AA"/>
    <w:rsid w:val="00970165"/>
    <w:rsid w:val="0097089F"/>
    <w:rsid w:val="00971484"/>
    <w:rsid w:val="009722C6"/>
    <w:rsid w:val="00973ABF"/>
    <w:rsid w:val="00973D37"/>
    <w:rsid w:val="00974CEB"/>
    <w:rsid w:val="00980A10"/>
    <w:rsid w:val="0098138E"/>
    <w:rsid w:val="00982470"/>
    <w:rsid w:val="009826B9"/>
    <w:rsid w:val="00982BC8"/>
    <w:rsid w:val="00982ECB"/>
    <w:rsid w:val="0098655A"/>
    <w:rsid w:val="009873D3"/>
    <w:rsid w:val="00987AC4"/>
    <w:rsid w:val="009908C3"/>
    <w:rsid w:val="009915E7"/>
    <w:rsid w:val="009918FC"/>
    <w:rsid w:val="009919E3"/>
    <w:rsid w:val="0099368A"/>
    <w:rsid w:val="00995FFF"/>
    <w:rsid w:val="00996421"/>
    <w:rsid w:val="00996D13"/>
    <w:rsid w:val="00997CC9"/>
    <w:rsid w:val="009A1F0D"/>
    <w:rsid w:val="009A44CF"/>
    <w:rsid w:val="009A44E9"/>
    <w:rsid w:val="009A54FA"/>
    <w:rsid w:val="009B08ED"/>
    <w:rsid w:val="009B2927"/>
    <w:rsid w:val="009B30F4"/>
    <w:rsid w:val="009B31B0"/>
    <w:rsid w:val="009B7C26"/>
    <w:rsid w:val="009C15BD"/>
    <w:rsid w:val="009D06D3"/>
    <w:rsid w:val="009D78BA"/>
    <w:rsid w:val="009E34E4"/>
    <w:rsid w:val="009E451E"/>
    <w:rsid w:val="009E4A86"/>
    <w:rsid w:val="009E6052"/>
    <w:rsid w:val="009E77B4"/>
    <w:rsid w:val="009E7C7F"/>
    <w:rsid w:val="009F041C"/>
    <w:rsid w:val="009F1865"/>
    <w:rsid w:val="009F1BA2"/>
    <w:rsid w:val="009F543B"/>
    <w:rsid w:val="009F798C"/>
    <w:rsid w:val="00A03C6F"/>
    <w:rsid w:val="00A04D35"/>
    <w:rsid w:val="00A05903"/>
    <w:rsid w:val="00A0591B"/>
    <w:rsid w:val="00A06EF8"/>
    <w:rsid w:val="00A07173"/>
    <w:rsid w:val="00A10D68"/>
    <w:rsid w:val="00A11B2F"/>
    <w:rsid w:val="00A14797"/>
    <w:rsid w:val="00A15640"/>
    <w:rsid w:val="00A17445"/>
    <w:rsid w:val="00A17CE0"/>
    <w:rsid w:val="00A17FC1"/>
    <w:rsid w:val="00A23D48"/>
    <w:rsid w:val="00A2613B"/>
    <w:rsid w:val="00A27363"/>
    <w:rsid w:val="00A27461"/>
    <w:rsid w:val="00A33C7F"/>
    <w:rsid w:val="00A36A9E"/>
    <w:rsid w:val="00A37369"/>
    <w:rsid w:val="00A42306"/>
    <w:rsid w:val="00A443E6"/>
    <w:rsid w:val="00A44E8D"/>
    <w:rsid w:val="00A46EA8"/>
    <w:rsid w:val="00A47585"/>
    <w:rsid w:val="00A53385"/>
    <w:rsid w:val="00A53665"/>
    <w:rsid w:val="00A5414A"/>
    <w:rsid w:val="00A558FF"/>
    <w:rsid w:val="00A55ACD"/>
    <w:rsid w:val="00A573A5"/>
    <w:rsid w:val="00A604F8"/>
    <w:rsid w:val="00A64516"/>
    <w:rsid w:val="00A6656B"/>
    <w:rsid w:val="00A67415"/>
    <w:rsid w:val="00A71145"/>
    <w:rsid w:val="00A74282"/>
    <w:rsid w:val="00A80BD3"/>
    <w:rsid w:val="00A80C08"/>
    <w:rsid w:val="00A84DA4"/>
    <w:rsid w:val="00A85570"/>
    <w:rsid w:val="00A85D27"/>
    <w:rsid w:val="00A86B60"/>
    <w:rsid w:val="00A95793"/>
    <w:rsid w:val="00A959F6"/>
    <w:rsid w:val="00AA4271"/>
    <w:rsid w:val="00AA52EA"/>
    <w:rsid w:val="00AA5ABE"/>
    <w:rsid w:val="00AA6E19"/>
    <w:rsid w:val="00AB0332"/>
    <w:rsid w:val="00AB0C69"/>
    <w:rsid w:val="00AB2B42"/>
    <w:rsid w:val="00AB317F"/>
    <w:rsid w:val="00AB41BA"/>
    <w:rsid w:val="00AB7875"/>
    <w:rsid w:val="00AC0FDC"/>
    <w:rsid w:val="00AC5050"/>
    <w:rsid w:val="00AC5653"/>
    <w:rsid w:val="00AC56B5"/>
    <w:rsid w:val="00AC5CAA"/>
    <w:rsid w:val="00AC68EE"/>
    <w:rsid w:val="00AD078D"/>
    <w:rsid w:val="00AD0A59"/>
    <w:rsid w:val="00AD16BD"/>
    <w:rsid w:val="00AD40AC"/>
    <w:rsid w:val="00AD4B2E"/>
    <w:rsid w:val="00AE073A"/>
    <w:rsid w:val="00AE2B5E"/>
    <w:rsid w:val="00AE5141"/>
    <w:rsid w:val="00AF4C2B"/>
    <w:rsid w:val="00B01DEC"/>
    <w:rsid w:val="00B01F7E"/>
    <w:rsid w:val="00B02317"/>
    <w:rsid w:val="00B03609"/>
    <w:rsid w:val="00B0676E"/>
    <w:rsid w:val="00B117DE"/>
    <w:rsid w:val="00B15527"/>
    <w:rsid w:val="00B16890"/>
    <w:rsid w:val="00B16C2A"/>
    <w:rsid w:val="00B20714"/>
    <w:rsid w:val="00B20D57"/>
    <w:rsid w:val="00B22E54"/>
    <w:rsid w:val="00B257AD"/>
    <w:rsid w:val="00B259D3"/>
    <w:rsid w:val="00B268E4"/>
    <w:rsid w:val="00B3087D"/>
    <w:rsid w:val="00B31FE1"/>
    <w:rsid w:val="00B32E76"/>
    <w:rsid w:val="00B339F4"/>
    <w:rsid w:val="00B33EC6"/>
    <w:rsid w:val="00B34794"/>
    <w:rsid w:val="00B422E2"/>
    <w:rsid w:val="00B423D0"/>
    <w:rsid w:val="00B42929"/>
    <w:rsid w:val="00B4691E"/>
    <w:rsid w:val="00B47A1B"/>
    <w:rsid w:val="00B50A9D"/>
    <w:rsid w:val="00B526D5"/>
    <w:rsid w:val="00B549D2"/>
    <w:rsid w:val="00B5544F"/>
    <w:rsid w:val="00B601B3"/>
    <w:rsid w:val="00B60421"/>
    <w:rsid w:val="00B60FBD"/>
    <w:rsid w:val="00B615EB"/>
    <w:rsid w:val="00B62F6F"/>
    <w:rsid w:val="00B63C5D"/>
    <w:rsid w:val="00B65743"/>
    <w:rsid w:val="00B6674A"/>
    <w:rsid w:val="00B66779"/>
    <w:rsid w:val="00B719AC"/>
    <w:rsid w:val="00B71B6D"/>
    <w:rsid w:val="00B74E1D"/>
    <w:rsid w:val="00B77D2B"/>
    <w:rsid w:val="00B81428"/>
    <w:rsid w:val="00B81EB6"/>
    <w:rsid w:val="00B85AE8"/>
    <w:rsid w:val="00B91079"/>
    <w:rsid w:val="00B9225A"/>
    <w:rsid w:val="00B96B83"/>
    <w:rsid w:val="00BA788B"/>
    <w:rsid w:val="00BB0243"/>
    <w:rsid w:val="00BB0E8D"/>
    <w:rsid w:val="00BB2764"/>
    <w:rsid w:val="00BB54DB"/>
    <w:rsid w:val="00BB7137"/>
    <w:rsid w:val="00BC00A0"/>
    <w:rsid w:val="00BC6A1A"/>
    <w:rsid w:val="00BC7873"/>
    <w:rsid w:val="00BD03E3"/>
    <w:rsid w:val="00BD1B76"/>
    <w:rsid w:val="00BD50BB"/>
    <w:rsid w:val="00BD67F7"/>
    <w:rsid w:val="00BD6C34"/>
    <w:rsid w:val="00BE02B0"/>
    <w:rsid w:val="00BE1227"/>
    <w:rsid w:val="00BE4668"/>
    <w:rsid w:val="00BE6623"/>
    <w:rsid w:val="00BE685E"/>
    <w:rsid w:val="00BF3F17"/>
    <w:rsid w:val="00BF5C9E"/>
    <w:rsid w:val="00BF6FCF"/>
    <w:rsid w:val="00BF7073"/>
    <w:rsid w:val="00C01BB2"/>
    <w:rsid w:val="00C0311B"/>
    <w:rsid w:val="00C04771"/>
    <w:rsid w:val="00C07D89"/>
    <w:rsid w:val="00C10A0A"/>
    <w:rsid w:val="00C10B5F"/>
    <w:rsid w:val="00C12F49"/>
    <w:rsid w:val="00C20B61"/>
    <w:rsid w:val="00C22E63"/>
    <w:rsid w:val="00C240BA"/>
    <w:rsid w:val="00C32B86"/>
    <w:rsid w:val="00C35A27"/>
    <w:rsid w:val="00C37719"/>
    <w:rsid w:val="00C37F82"/>
    <w:rsid w:val="00C42934"/>
    <w:rsid w:val="00C42E09"/>
    <w:rsid w:val="00C45138"/>
    <w:rsid w:val="00C45705"/>
    <w:rsid w:val="00C45DED"/>
    <w:rsid w:val="00C46284"/>
    <w:rsid w:val="00C4704F"/>
    <w:rsid w:val="00C51A98"/>
    <w:rsid w:val="00C5548F"/>
    <w:rsid w:val="00C611DF"/>
    <w:rsid w:val="00C62ADF"/>
    <w:rsid w:val="00C64169"/>
    <w:rsid w:val="00C77CDF"/>
    <w:rsid w:val="00C80C9E"/>
    <w:rsid w:val="00C81A2D"/>
    <w:rsid w:val="00C84085"/>
    <w:rsid w:val="00C878D5"/>
    <w:rsid w:val="00C9033B"/>
    <w:rsid w:val="00C91030"/>
    <w:rsid w:val="00C913A1"/>
    <w:rsid w:val="00C92DD4"/>
    <w:rsid w:val="00C93D59"/>
    <w:rsid w:val="00C93FE8"/>
    <w:rsid w:val="00C96336"/>
    <w:rsid w:val="00C96774"/>
    <w:rsid w:val="00C97877"/>
    <w:rsid w:val="00CB1BF1"/>
    <w:rsid w:val="00CB3599"/>
    <w:rsid w:val="00CB47AB"/>
    <w:rsid w:val="00CB4F0F"/>
    <w:rsid w:val="00CC3002"/>
    <w:rsid w:val="00CC56C5"/>
    <w:rsid w:val="00CC68AA"/>
    <w:rsid w:val="00CC6A99"/>
    <w:rsid w:val="00CC7585"/>
    <w:rsid w:val="00CD48FD"/>
    <w:rsid w:val="00CE24DA"/>
    <w:rsid w:val="00CE3702"/>
    <w:rsid w:val="00CE58A1"/>
    <w:rsid w:val="00CE70E7"/>
    <w:rsid w:val="00CF098F"/>
    <w:rsid w:val="00CF0DD0"/>
    <w:rsid w:val="00CF2141"/>
    <w:rsid w:val="00CF273C"/>
    <w:rsid w:val="00CF29A0"/>
    <w:rsid w:val="00CF6421"/>
    <w:rsid w:val="00CF6CD4"/>
    <w:rsid w:val="00CF7190"/>
    <w:rsid w:val="00D00AA3"/>
    <w:rsid w:val="00D01C35"/>
    <w:rsid w:val="00D0504E"/>
    <w:rsid w:val="00D07224"/>
    <w:rsid w:val="00D07F73"/>
    <w:rsid w:val="00D11C9D"/>
    <w:rsid w:val="00D13895"/>
    <w:rsid w:val="00D141DF"/>
    <w:rsid w:val="00D14844"/>
    <w:rsid w:val="00D1504E"/>
    <w:rsid w:val="00D17889"/>
    <w:rsid w:val="00D17B9A"/>
    <w:rsid w:val="00D2041C"/>
    <w:rsid w:val="00D22162"/>
    <w:rsid w:val="00D25ADE"/>
    <w:rsid w:val="00D32A36"/>
    <w:rsid w:val="00D337C4"/>
    <w:rsid w:val="00D33812"/>
    <w:rsid w:val="00D35235"/>
    <w:rsid w:val="00D3535A"/>
    <w:rsid w:val="00D355F9"/>
    <w:rsid w:val="00D36935"/>
    <w:rsid w:val="00D3725A"/>
    <w:rsid w:val="00D37696"/>
    <w:rsid w:val="00D43297"/>
    <w:rsid w:val="00D4382C"/>
    <w:rsid w:val="00D44DB6"/>
    <w:rsid w:val="00D46308"/>
    <w:rsid w:val="00D50119"/>
    <w:rsid w:val="00D53344"/>
    <w:rsid w:val="00D538AB"/>
    <w:rsid w:val="00D541B8"/>
    <w:rsid w:val="00D54256"/>
    <w:rsid w:val="00D54A13"/>
    <w:rsid w:val="00D55067"/>
    <w:rsid w:val="00D61408"/>
    <w:rsid w:val="00D633A6"/>
    <w:rsid w:val="00D6693E"/>
    <w:rsid w:val="00D77C5A"/>
    <w:rsid w:val="00D82A43"/>
    <w:rsid w:val="00D84959"/>
    <w:rsid w:val="00D84A15"/>
    <w:rsid w:val="00D851AD"/>
    <w:rsid w:val="00D859FF"/>
    <w:rsid w:val="00D86D08"/>
    <w:rsid w:val="00D9355F"/>
    <w:rsid w:val="00D93AC0"/>
    <w:rsid w:val="00D952EE"/>
    <w:rsid w:val="00D95C1D"/>
    <w:rsid w:val="00D9670D"/>
    <w:rsid w:val="00D97CF7"/>
    <w:rsid w:val="00DA0F23"/>
    <w:rsid w:val="00DA5A51"/>
    <w:rsid w:val="00DA6647"/>
    <w:rsid w:val="00DA7B5D"/>
    <w:rsid w:val="00DB3569"/>
    <w:rsid w:val="00DC01EF"/>
    <w:rsid w:val="00DC2B3B"/>
    <w:rsid w:val="00DC4C1C"/>
    <w:rsid w:val="00DC61D2"/>
    <w:rsid w:val="00DD0D0E"/>
    <w:rsid w:val="00DD1918"/>
    <w:rsid w:val="00DD34BB"/>
    <w:rsid w:val="00DD402D"/>
    <w:rsid w:val="00DD4F05"/>
    <w:rsid w:val="00DE103D"/>
    <w:rsid w:val="00DE2F8C"/>
    <w:rsid w:val="00DE5230"/>
    <w:rsid w:val="00DE538B"/>
    <w:rsid w:val="00DE6829"/>
    <w:rsid w:val="00DE7FD4"/>
    <w:rsid w:val="00DF1B64"/>
    <w:rsid w:val="00DF39C6"/>
    <w:rsid w:val="00DF3DFF"/>
    <w:rsid w:val="00DF54AE"/>
    <w:rsid w:val="00DF58E7"/>
    <w:rsid w:val="00DF6638"/>
    <w:rsid w:val="00DF75A0"/>
    <w:rsid w:val="00E0105F"/>
    <w:rsid w:val="00E01B05"/>
    <w:rsid w:val="00E02440"/>
    <w:rsid w:val="00E036CC"/>
    <w:rsid w:val="00E03DD0"/>
    <w:rsid w:val="00E10A95"/>
    <w:rsid w:val="00E11876"/>
    <w:rsid w:val="00E119AC"/>
    <w:rsid w:val="00E122F1"/>
    <w:rsid w:val="00E13E91"/>
    <w:rsid w:val="00E15A00"/>
    <w:rsid w:val="00E17DB5"/>
    <w:rsid w:val="00E23B3A"/>
    <w:rsid w:val="00E23CBB"/>
    <w:rsid w:val="00E23EC7"/>
    <w:rsid w:val="00E2490E"/>
    <w:rsid w:val="00E3058C"/>
    <w:rsid w:val="00E37B59"/>
    <w:rsid w:val="00E413D2"/>
    <w:rsid w:val="00E4253C"/>
    <w:rsid w:val="00E42D58"/>
    <w:rsid w:val="00E47FF5"/>
    <w:rsid w:val="00E500DD"/>
    <w:rsid w:val="00E53438"/>
    <w:rsid w:val="00E54AE0"/>
    <w:rsid w:val="00E54C25"/>
    <w:rsid w:val="00E56B39"/>
    <w:rsid w:val="00E63E1B"/>
    <w:rsid w:val="00E70F47"/>
    <w:rsid w:val="00E716F3"/>
    <w:rsid w:val="00E725FC"/>
    <w:rsid w:val="00E732B1"/>
    <w:rsid w:val="00E76273"/>
    <w:rsid w:val="00E77EBA"/>
    <w:rsid w:val="00E8159B"/>
    <w:rsid w:val="00E819FA"/>
    <w:rsid w:val="00E849EE"/>
    <w:rsid w:val="00E857A5"/>
    <w:rsid w:val="00E95834"/>
    <w:rsid w:val="00EA021D"/>
    <w:rsid w:val="00EA2BFD"/>
    <w:rsid w:val="00EA36C6"/>
    <w:rsid w:val="00EA3D63"/>
    <w:rsid w:val="00EA447E"/>
    <w:rsid w:val="00EA4874"/>
    <w:rsid w:val="00EA4A78"/>
    <w:rsid w:val="00EA5D47"/>
    <w:rsid w:val="00EA6DA4"/>
    <w:rsid w:val="00EA7531"/>
    <w:rsid w:val="00EB01E2"/>
    <w:rsid w:val="00EB3965"/>
    <w:rsid w:val="00EB6557"/>
    <w:rsid w:val="00EB7C2B"/>
    <w:rsid w:val="00EC1E48"/>
    <w:rsid w:val="00EC2367"/>
    <w:rsid w:val="00EC30F9"/>
    <w:rsid w:val="00EC6F8C"/>
    <w:rsid w:val="00ED311E"/>
    <w:rsid w:val="00ED5725"/>
    <w:rsid w:val="00ED5EF2"/>
    <w:rsid w:val="00ED7031"/>
    <w:rsid w:val="00EE204E"/>
    <w:rsid w:val="00EE2EE0"/>
    <w:rsid w:val="00EE2FED"/>
    <w:rsid w:val="00EE3060"/>
    <w:rsid w:val="00EE33D2"/>
    <w:rsid w:val="00EE34C1"/>
    <w:rsid w:val="00EE4315"/>
    <w:rsid w:val="00EE61E1"/>
    <w:rsid w:val="00EE6386"/>
    <w:rsid w:val="00EE69C3"/>
    <w:rsid w:val="00EF0234"/>
    <w:rsid w:val="00EF14D0"/>
    <w:rsid w:val="00EF1884"/>
    <w:rsid w:val="00EF283C"/>
    <w:rsid w:val="00EF6925"/>
    <w:rsid w:val="00EF7771"/>
    <w:rsid w:val="00F023A9"/>
    <w:rsid w:val="00F0273B"/>
    <w:rsid w:val="00F03CC7"/>
    <w:rsid w:val="00F0659F"/>
    <w:rsid w:val="00F07ABC"/>
    <w:rsid w:val="00F13955"/>
    <w:rsid w:val="00F2659E"/>
    <w:rsid w:val="00F26ED3"/>
    <w:rsid w:val="00F27759"/>
    <w:rsid w:val="00F30AF6"/>
    <w:rsid w:val="00F32BDF"/>
    <w:rsid w:val="00F35111"/>
    <w:rsid w:val="00F374B9"/>
    <w:rsid w:val="00F42EA4"/>
    <w:rsid w:val="00F43CA9"/>
    <w:rsid w:val="00F441F9"/>
    <w:rsid w:val="00F447A3"/>
    <w:rsid w:val="00F456C7"/>
    <w:rsid w:val="00F46114"/>
    <w:rsid w:val="00F46470"/>
    <w:rsid w:val="00F51F12"/>
    <w:rsid w:val="00F52A67"/>
    <w:rsid w:val="00F53906"/>
    <w:rsid w:val="00F55159"/>
    <w:rsid w:val="00F5524E"/>
    <w:rsid w:val="00F55895"/>
    <w:rsid w:val="00F572F0"/>
    <w:rsid w:val="00F617F7"/>
    <w:rsid w:val="00F6190B"/>
    <w:rsid w:val="00F61AE4"/>
    <w:rsid w:val="00F62B7A"/>
    <w:rsid w:val="00F6397D"/>
    <w:rsid w:val="00F63B55"/>
    <w:rsid w:val="00F63F34"/>
    <w:rsid w:val="00F64994"/>
    <w:rsid w:val="00F65721"/>
    <w:rsid w:val="00F70315"/>
    <w:rsid w:val="00F7224D"/>
    <w:rsid w:val="00F726C0"/>
    <w:rsid w:val="00F7293E"/>
    <w:rsid w:val="00F72D50"/>
    <w:rsid w:val="00F73FB2"/>
    <w:rsid w:val="00F762A0"/>
    <w:rsid w:val="00F76650"/>
    <w:rsid w:val="00F77F48"/>
    <w:rsid w:val="00F86AB2"/>
    <w:rsid w:val="00F9062C"/>
    <w:rsid w:val="00F90D37"/>
    <w:rsid w:val="00F9187B"/>
    <w:rsid w:val="00F91DBC"/>
    <w:rsid w:val="00F9226B"/>
    <w:rsid w:val="00F92385"/>
    <w:rsid w:val="00F9563B"/>
    <w:rsid w:val="00FA08E4"/>
    <w:rsid w:val="00FA1AEF"/>
    <w:rsid w:val="00FA1B4F"/>
    <w:rsid w:val="00FA3F67"/>
    <w:rsid w:val="00FA41BD"/>
    <w:rsid w:val="00FA593D"/>
    <w:rsid w:val="00FB1504"/>
    <w:rsid w:val="00FB157A"/>
    <w:rsid w:val="00FB65CA"/>
    <w:rsid w:val="00FB7423"/>
    <w:rsid w:val="00FC4218"/>
    <w:rsid w:val="00FC47F9"/>
    <w:rsid w:val="00FC53AF"/>
    <w:rsid w:val="00FC6788"/>
    <w:rsid w:val="00FD0BFE"/>
    <w:rsid w:val="00FD2F4A"/>
    <w:rsid w:val="00FE13C3"/>
    <w:rsid w:val="00FE2351"/>
    <w:rsid w:val="00FE337D"/>
    <w:rsid w:val="00FE3BD9"/>
    <w:rsid w:val="00FE5580"/>
    <w:rsid w:val="00FE5EB8"/>
    <w:rsid w:val="00FF0377"/>
    <w:rsid w:val="00FF0CAC"/>
    <w:rsid w:val="00FF1109"/>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0CB8F"/>
  <w15:chartTrackingRefBased/>
  <w15:docId w15:val="{7FF3458F-3651-4608-B00D-45FB269EFF0C}"/>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5"/>
      </w:numPr>
      <w:ind w:right="2160"/>
      <w:outlineLvl w:val="1"/>
    </w:pPr>
  </w:style>
  <w:style w:type="paragraph" w:styleId="Heading3">
    <w:name w:val="heading 3"/>
    <w:basedOn w:val="Dummy"/>
    <w:next w:val="Standard"/>
    <w:link w:val="Heading3Char"/>
    <w:uiPriority w:val="4"/>
    <w:qFormat/>
    <w:rsid w:val="000E270A"/>
    <w:pPr>
      <w:numPr>
        <w:ilvl w:val="2"/>
        <w:numId w:val="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5"/>
      </w:numPr>
      <w:spacing w:before="40"/>
      <w:ind w:right="2160"/>
      <w:outlineLvl w:val="5"/>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40"/>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
    <w:basedOn w:val="DefaultParagraphFont"/>
    <w:uiPriority w:val="99"/>
    <w:unhideWhenUsed/>
    <w:rsid w:val="00DF58E7"/>
    <w:rPr>
      <w:vertAlign w:val="superscript"/>
    </w:rPr>
  </w:style>
  <w:style w:type="paragraph" w:customStyle="1" w:styleId="FoF">
    <w:name w:val="FoF"/>
    <w:basedOn w:val="Standard"/>
    <w:uiPriority w:val="6"/>
    <w:qFormat/>
    <w:rsid w:val="001E2A62"/>
    <w:pPr>
      <w:numPr>
        <w:numId w:val="3"/>
      </w:numPr>
      <w:ind w:left="0" w:firstLine="547"/>
    </w:pPr>
  </w:style>
  <w:style w:type="paragraph" w:customStyle="1" w:styleId="CoL">
    <w:name w:val="CoL"/>
    <w:basedOn w:val="Standard"/>
    <w:uiPriority w:val="7"/>
    <w:qFormat/>
    <w:rsid w:val="001E2A62"/>
    <w:pPr>
      <w:numPr>
        <w:numId w:val="4"/>
      </w:numPr>
      <w:ind w:left="0"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5"/>
      </w:numPr>
      <w:spacing w:after="120" w:line="240" w:lineRule="auto"/>
    </w:pPr>
  </w:style>
  <w:style w:type="character" w:styleId="CommentReference">
    <w:name w:val="annotation reference"/>
    <w:basedOn w:val="DefaultParagraphFont"/>
    <w:uiPriority w:val="99"/>
    <w:semiHidden/>
    <w:unhideWhenUsed/>
    <w:rsid w:val="003419E4"/>
    <w:rPr>
      <w:sz w:val="16"/>
      <w:szCs w:val="16"/>
    </w:rPr>
  </w:style>
  <w:style w:type="paragraph" w:styleId="CommentText">
    <w:name w:val="annotation text"/>
    <w:basedOn w:val="Normal"/>
    <w:link w:val="CommentTextChar"/>
    <w:uiPriority w:val="99"/>
    <w:unhideWhenUsed/>
    <w:rsid w:val="003419E4"/>
    <w:pPr>
      <w:spacing w:line="240" w:lineRule="auto"/>
    </w:pPr>
    <w:rPr>
      <w:sz w:val="20"/>
      <w:szCs w:val="20"/>
    </w:rPr>
  </w:style>
  <w:style w:type="character" w:customStyle="1" w:styleId="CommentTextChar">
    <w:name w:val="Comment Text Char"/>
    <w:basedOn w:val="DefaultParagraphFont"/>
    <w:link w:val="CommentText"/>
    <w:uiPriority w:val="99"/>
    <w:rsid w:val="003419E4"/>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3419E4"/>
    <w:rPr>
      <w:b/>
      <w:bCs/>
    </w:rPr>
  </w:style>
  <w:style w:type="character" w:customStyle="1" w:styleId="CommentSubjectChar">
    <w:name w:val="Comment Subject Char"/>
    <w:basedOn w:val="CommentTextChar"/>
    <w:link w:val="CommentSubject"/>
    <w:uiPriority w:val="99"/>
    <w:semiHidden/>
    <w:rsid w:val="003419E4"/>
    <w:rPr>
      <w:rFonts w:ascii="Book Antiqua" w:hAnsi="Book Antiqua"/>
      <w:b/>
      <w:bCs/>
      <w:sz w:val="20"/>
      <w:szCs w:val="20"/>
    </w:rPr>
  </w:style>
  <w:style w:type="character" w:customStyle="1" w:styleId="standardChar">
    <w:name w:val="standard Char"/>
    <w:link w:val="standard0"/>
    <w:locked/>
    <w:rsid w:val="004E31C3"/>
    <w:rPr>
      <w:rFonts w:ascii="Book Antiqua" w:hAnsi="Book Antiqua"/>
      <w:sz w:val="26"/>
    </w:rPr>
  </w:style>
  <w:style w:type="paragraph" w:customStyle="1" w:styleId="standard0">
    <w:name w:val="standard"/>
    <w:basedOn w:val="Normal"/>
    <w:link w:val="standardChar"/>
    <w:rsid w:val="004E31C3"/>
  </w:style>
  <w:style w:type="paragraph" w:customStyle="1" w:styleId="FoFsubheader">
    <w:name w:val="FoFsubheader"/>
    <w:basedOn w:val="standard0"/>
    <w:rsid w:val="006303F1"/>
    <w:pPr>
      <w:keepNext/>
      <w:ind w:firstLine="0"/>
    </w:pPr>
    <w:rPr>
      <w:u w:val="single"/>
    </w:rPr>
  </w:style>
  <w:style w:type="table" w:customStyle="1" w:styleId="TableGrid3">
    <w:name w:val="Table Grid3"/>
    <w:basedOn w:val="TableNormal"/>
    <w:next w:val="TableGrid"/>
    <w:rsid w:val="0052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H033">
    <w:name w:val="BlockQuoteH033"/>
    <w:basedOn w:val="Normal"/>
    <w:qFormat/>
    <w:rsid w:val="00E716F3"/>
    <w:pPr>
      <w:spacing w:after="120" w:line="240" w:lineRule="auto"/>
      <w:ind w:left="1195" w:right="1440" w:hanging="475"/>
    </w:pPr>
  </w:style>
  <w:style w:type="paragraph" w:customStyle="1" w:styleId="TableTitleBodyH095">
    <w:name w:val="TableTitleBodyH095"/>
    <w:basedOn w:val="Normal"/>
    <w:qFormat/>
    <w:rsid w:val="00940602"/>
    <w:pPr>
      <w:keepNext/>
      <w:spacing w:after="120" w:line="240" w:lineRule="auto"/>
      <w:ind w:left="1368" w:hanging="1368"/>
      <w:jc w:val="center"/>
    </w:pPr>
    <w:rPr>
      <w:bCs/>
    </w:rPr>
  </w:style>
  <w:style w:type="table" w:customStyle="1" w:styleId="TableGrid2">
    <w:name w:val="Table Grid2"/>
    <w:basedOn w:val="TableNormal"/>
    <w:next w:val="TableGrid"/>
    <w:rsid w:val="0059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518D"/>
    <w:pPr>
      <w:spacing w:after="0" w:line="240" w:lineRule="auto"/>
    </w:pPr>
    <w:rPr>
      <w:rFonts w:ascii="Book Antiqua" w:hAnsi="Book Antiqua"/>
      <w:sz w:val="26"/>
    </w:rPr>
  </w:style>
  <w:style w:type="paragraph" w:customStyle="1" w:styleId="xstandard">
    <w:name w:val="x_standard"/>
    <w:basedOn w:val="Normal"/>
    <w:rsid w:val="00E17DB5"/>
    <w:pPr>
      <w:spacing w:line="240" w:lineRule="auto"/>
      <w:ind w:firstLine="0"/>
    </w:pPr>
    <w:rPr>
      <w:rFonts w:ascii="Calibri" w:hAnsi="Calibri" w:cs="Calibri"/>
      <w:sz w:val="22"/>
    </w:rPr>
  </w:style>
  <w:style w:type="numbering" w:customStyle="1" w:styleId="Headings1">
    <w:name w:val="Headings1"/>
    <w:uiPriority w:val="99"/>
    <w:rsid w:val="003E5990"/>
  </w:style>
  <w:style w:type="paragraph" w:customStyle="1" w:styleId="xxstandard">
    <w:name w:val="x_xstandard"/>
    <w:basedOn w:val="Normal"/>
    <w:rsid w:val="000017EE"/>
    <w:pPr>
      <w:spacing w:line="240" w:lineRule="auto"/>
      <w:ind w:firstLine="0"/>
    </w:pPr>
    <w:rPr>
      <w:rFonts w:ascii="Calibri" w:hAnsi="Calibri" w:cs="Calibri"/>
      <w:sz w:val="22"/>
    </w:rPr>
  </w:style>
  <w:style w:type="paragraph" w:styleId="ListParagraph">
    <w:name w:val="List Paragraph"/>
    <w:basedOn w:val="Normal"/>
    <w:uiPriority w:val="34"/>
    <w:rsid w:val="00896E75"/>
    <w:pPr>
      <w:ind w:left="720"/>
      <w:contextualSpacing/>
    </w:pPr>
  </w:style>
  <w:style w:type="table" w:customStyle="1" w:styleId="TableGrid1">
    <w:name w:val="Table Grid1"/>
    <w:basedOn w:val="TableNormal"/>
    <w:next w:val="TableGrid"/>
    <w:uiPriority w:val="39"/>
    <w:rsid w:val="002918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05337">
      <w:bodyDiv w:val="1"/>
      <w:marLeft w:val="0"/>
      <w:marRight w:val="0"/>
      <w:marTop w:val="0"/>
      <w:marBottom w:val="0"/>
      <w:divBdr>
        <w:top w:val="none" w:sz="0" w:space="0" w:color="auto"/>
        <w:left w:val="none" w:sz="0" w:space="0" w:color="auto"/>
        <w:bottom w:val="none" w:sz="0" w:space="0" w:color="auto"/>
        <w:right w:val="none" w:sz="0" w:space="0" w:color="auto"/>
      </w:divBdr>
    </w:div>
    <w:div w:id="1502159961">
      <w:bodyDiv w:val="1"/>
      <w:marLeft w:val="0"/>
      <w:marRight w:val="0"/>
      <w:marTop w:val="0"/>
      <w:marBottom w:val="0"/>
      <w:divBdr>
        <w:top w:val="none" w:sz="0" w:space="0" w:color="auto"/>
        <w:left w:val="none" w:sz="0" w:space="0" w:color="auto"/>
        <w:bottom w:val="none" w:sz="0" w:space="0" w:color="auto"/>
        <w:right w:val="none" w:sz="0" w:space="0" w:color="auto"/>
      </w:divBdr>
    </w:div>
    <w:div w:id="1795442006">
      <w:bodyDiv w:val="1"/>
      <w:marLeft w:val="0"/>
      <w:marRight w:val="0"/>
      <w:marTop w:val="0"/>
      <w:marBottom w:val="0"/>
      <w:divBdr>
        <w:top w:val="none" w:sz="0" w:space="0" w:color="auto"/>
        <w:left w:val="none" w:sz="0" w:space="0" w:color="auto"/>
        <w:bottom w:val="none" w:sz="0" w:space="0" w:color="auto"/>
        <w:right w:val="none" w:sz="0" w:space="0" w:color="auto"/>
      </w:divBdr>
    </w:div>
    <w:div w:id="1835998105">
      <w:bodyDiv w:val="1"/>
      <w:marLeft w:val="0"/>
      <w:marRight w:val="0"/>
      <w:marTop w:val="0"/>
      <w:marBottom w:val="0"/>
      <w:divBdr>
        <w:top w:val="none" w:sz="0" w:space="0" w:color="auto"/>
        <w:left w:val="none" w:sz="0" w:space="0" w:color="auto"/>
        <w:bottom w:val="none" w:sz="0" w:space="0" w:color="auto"/>
        <w:right w:val="none" w:sz="0" w:space="0" w:color="auto"/>
      </w:divBdr>
    </w:div>
    <w:div w:id="20111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103</ap:Pages>
  <ap:Words>20728</ap:Words>
  <ap:Characters>118154</ap:Characters>
  <ap:Application>Microsoft Office Word</ap:Application>
  <ap:DocSecurity>0</ap:DocSecurity>
  <ap:Lines>984</ap:Lines>
  <ap:Paragraphs>277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138605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2023-11-27T20:38:00Z</cp:lastPrinted>
  <dcterms:created xsi:type="dcterms:W3CDTF">2023-12-01T14:23:46Z</dcterms:created>
  <dcterms:modified xsi:type="dcterms:W3CDTF">2023-12-01T14:23:46Z</dcterms:modified>
</cp:coreProperties>
</file>