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E7AD2" w:rsidR="006C0761" w:rsidP="004C4AEE" w:rsidRDefault="00DD10B4" w14:paraId="15491B3D" w14:textId="06BD3A2A">
      <w:pPr>
        <w:pStyle w:val="Title"/>
        <w:jc w:val="left"/>
        <w:rPr>
          <w:b w:val="0"/>
          <w:szCs w:val="24"/>
        </w:rPr>
      </w:pPr>
      <w:r w:rsidRPr="00EC6800">
        <w:rPr>
          <w:sz w:val="22"/>
          <w:szCs w:val="22"/>
        </w:rPr>
        <w:tab/>
      </w:r>
      <w:r w:rsidRPr="00EC6800">
        <w:rPr>
          <w:sz w:val="22"/>
          <w:szCs w:val="22"/>
        </w:rPr>
        <w:tab/>
      </w:r>
      <w:r w:rsidRPr="00EC6800">
        <w:rPr>
          <w:sz w:val="22"/>
          <w:szCs w:val="22"/>
        </w:rPr>
        <w:tab/>
      </w:r>
      <w:r w:rsidRPr="00EC6800">
        <w:rPr>
          <w:sz w:val="22"/>
          <w:szCs w:val="22"/>
        </w:rPr>
        <w:tab/>
      </w:r>
      <w:r w:rsidRPr="00EC6800">
        <w:rPr>
          <w:sz w:val="22"/>
          <w:szCs w:val="22"/>
        </w:rPr>
        <w:tab/>
      </w:r>
      <w:r w:rsidRPr="00EC6800">
        <w:rPr>
          <w:sz w:val="22"/>
          <w:szCs w:val="22"/>
        </w:rPr>
        <w:tab/>
      </w:r>
      <w:r w:rsidRPr="00EC6800">
        <w:rPr>
          <w:sz w:val="22"/>
          <w:szCs w:val="22"/>
        </w:rPr>
        <w:tab/>
      </w:r>
      <w:r w:rsidRPr="00EC6800">
        <w:rPr>
          <w:sz w:val="22"/>
          <w:szCs w:val="22"/>
        </w:rPr>
        <w:tab/>
      </w:r>
      <w:r w:rsidRPr="00EC6800">
        <w:rPr>
          <w:sz w:val="22"/>
          <w:szCs w:val="22"/>
        </w:rPr>
        <w:tab/>
      </w:r>
      <w:r w:rsidRPr="00EC6800" w:rsidR="006C0761">
        <w:rPr>
          <w:sz w:val="22"/>
          <w:szCs w:val="22"/>
        </w:rPr>
        <w:br/>
      </w:r>
    </w:p>
    <w:p w:rsidRPr="003E7AD2" w:rsidR="004D3C75" w:rsidP="006D659C" w:rsidRDefault="004D3C75" w14:paraId="0567807A" w14:textId="4EA4CAE5">
      <w:pPr>
        <w:jc w:val="center"/>
        <w:rPr>
          <w:rFonts w:ascii="Palatino Linotype" w:hAnsi="Palatino Linotype"/>
          <w:b/>
          <w:sz w:val="24"/>
          <w:szCs w:val="24"/>
        </w:rPr>
      </w:pPr>
      <w:r w:rsidRPr="003E7AD2">
        <w:rPr>
          <w:rFonts w:ascii="Palatino Linotype" w:hAnsi="Palatino Linotype"/>
          <w:b/>
          <w:sz w:val="24"/>
          <w:szCs w:val="24"/>
        </w:rPr>
        <w:t>PUBLIC UTILITIES COMMISSION OF THE STATE OF CALIFORNIA</w:t>
      </w:r>
    </w:p>
    <w:p w:rsidRPr="003E7AD2" w:rsidR="004D3C75" w:rsidP="006D659C" w:rsidRDefault="004D3C75" w14:paraId="6EB86F5B" w14:textId="72C93AB3">
      <w:pPr>
        <w:rPr>
          <w:rFonts w:ascii="Palatino Linotype" w:hAnsi="Palatino Linotype"/>
          <w:b/>
          <w:sz w:val="24"/>
          <w:szCs w:val="24"/>
        </w:rPr>
      </w:pPr>
    </w:p>
    <w:p w:rsidRPr="003E7AD2" w:rsidR="007A234C" w:rsidP="006D659C" w:rsidRDefault="007A234C" w14:paraId="2CDDEAC7" w14:textId="77777777">
      <w:pPr>
        <w:rPr>
          <w:rFonts w:ascii="Palatino Linotype" w:hAnsi="Palatino Linotype"/>
          <w:b/>
          <w:sz w:val="24"/>
          <w:szCs w:val="24"/>
        </w:rPr>
      </w:pPr>
    </w:p>
    <w:tbl>
      <w:tblPr>
        <w:tblW w:w="0" w:type="auto"/>
        <w:tblLayout w:type="fixed"/>
        <w:tblLook w:val="0000" w:firstRow="0" w:lastRow="0" w:firstColumn="0" w:lastColumn="0" w:noHBand="0" w:noVBand="0"/>
      </w:tblPr>
      <w:tblGrid>
        <w:gridCol w:w="4788"/>
        <w:gridCol w:w="4788"/>
      </w:tblGrid>
      <w:tr w:rsidRPr="003E7AD2" w:rsidR="004D3C75" w:rsidTr="3B626092" w14:paraId="162704EE" w14:textId="77777777">
        <w:tc>
          <w:tcPr>
            <w:tcW w:w="4788" w:type="dxa"/>
          </w:tcPr>
          <w:p w:rsidRPr="003E7AD2" w:rsidR="004D3C75" w:rsidP="006D659C" w:rsidRDefault="005479A8" w14:paraId="3494E840" w14:textId="77777777">
            <w:pPr>
              <w:rPr>
                <w:rFonts w:ascii="Palatino Linotype" w:hAnsi="Palatino Linotype"/>
                <w:b/>
                <w:sz w:val="24"/>
                <w:szCs w:val="24"/>
              </w:rPr>
            </w:pPr>
            <w:r w:rsidRPr="003E7AD2">
              <w:rPr>
                <w:rFonts w:ascii="Palatino Linotype" w:hAnsi="Palatino Linotype"/>
                <w:b/>
                <w:sz w:val="24"/>
                <w:szCs w:val="24"/>
              </w:rPr>
              <w:t>Communications</w:t>
            </w:r>
            <w:r w:rsidRPr="003E7AD2" w:rsidR="004D3C75">
              <w:rPr>
                <w:rFonts w:ascii="Palatino Linotype" w:hAnsi="Palatino Linotype"/>
                <w:b/>
                <w:sz w:val="24"/>
                <w:szCs w:val="24"/>
              </w:rPr>
              <w:t xml:space="preserve"> Division</w:t>
            </w:r>
          </w:p>
        </w:tc>
        <w:tc>
          <w:tcPr>
            <w:tcW w:w="4788" w:type="dxa"/>
          </w:tcPr>
          <w:p w:rsidRPr="003E7AD2" w:rsidR="004D3C75" w:rsidP="006D659C" w:rsidRDefault="004D3C75" w14:paraId="4F9EB232" w14:textId="5178039F">
            <w:pPr>
              <w:jc w:val="right"/>
              <w:rPr>
                <w:rFonts w:ascii="Palatino Linotype" w:hAnsi="Palatino Linotype"/>
                <w:b/>
                <w:bCs/>
                <w:sz w:val="24"/>
                <w:szCs w:val="24"/>
              </w:rPr>
            </w:pPr>
            <w:r w:rsidRPr="003E7AD2">
              <w:rPr>
                <w:rFonts w:ascii="Palatino Linotype" w:hAnsi="Palatino Linotype"/>
                <w:b/>
                <w:bCs/>
                <w:sz w:val="24"/>
                <w:szCs w:val="24"/>
              </w:rPr>
              <w:t xml:space="preserve">RESOLUTION </w:t>
            </w:r>
            <w:r w:rsidRPr="003E7AD2" w:rsidR="005B436A">
              <w:rPr>
                <w:rFonts w:ascii="Palatino Linotype" w:hAnsi="Palatino Linotype"/>
                <w:b/>
                <w:bCs/>
                <w:sz w:val="24"/>
                <w:szCs w:val="24"/>
              </w:rPr>
              <w:t>T</w:t>
            </w:r>
            <w:r w:rsidRPr="003E7AD2" w:rsidR="00832BE8">
              <w:rPr>
                <w:rFonts w:ascii="Palatino Linotype" w:hAnsi="Palatino Linotype"/>
                <w:b/>
                <w:bCs/>
                <w:sz w:val="24"/>
                <w:szCs w:val="24"/>
              </w:rPr>
              <w:t>-</w:t>
            </w:r>
            <w:r w:rsidRPr="003E7AD2" w:rsidR="009D1177">
              <w:rPr>
                <w:rFonts w:ascii="Palatino Linotype" w:hAnsi="Palatino Linotype"/>
                <w:sz w:val="24"/>
                <w:szCs w:val="24"/>
              </w:rPr>
              <w:t xml:space="preserve"> </w:t>
            </w:r>
            <w:r w:rsidRPr="003E7AD2" w:rsidR="003560EE">
              <w:rPr>
                <w:rFonts w:ascii="Palatino Linotype" w:hAnsi="Palatino Linotype"/>
                <w:b/>
                <w:bCs/>
                <w:sz w:val="24"/>
                <w:szCs w:val="24"/>
              </w:rPr>
              <w:t>178</w:t>
            </w:r>
            <w:r w:rsidRPr="003E7AD2" w:rsidR="00252A7F">
              <w:rPr>
                <w:rFonts w:ascii="Palatino Linotype" w:hAnsi="Palatino Linotype"/>
                <w:b/>
                <w:bCs/>
                <w:sz w:val="24"/>
                <w:szCs w:val="24"/>
              </w:rPr>
              <w:t>11</w:t>
            </w:r>
          </w:p>
        </w:tc>
      </w:tr>
      <w:tr w:rsidRPr="003E7AD2" w:rsidR="004D3C75" w:rsidTr="3B626092" w14:paraId="71F44586" w14:textId="77777777">
        <w:tc>
          <w:tcPr>
            <w:tcW w:w="4788" w:type="dxa"/>
          </w:tcPr>
          <w:p w:rsidRPr="003E7AD2" w:rsidR="004D3C75" w:rsidP="006D659C" w:rsidRDefault="003B1DD0" w14:paraId="71F4CCFD" w14:textId="77777777">
            <w:pPr>
              <w:rPr>
                <w:rFonts w:ascii="Palatino Linotype" w:hAnsi="Palatino Linotype"/>
                <w:b/>
                <w:sz w:val="24"/>
                <w:szCs w:val="24"/>
              </w:rPr>
            </w:pPr>
            <w:r w:rsidRPr="003E7AD2">
              <w:rPr>
                <w:rFonts w:ascii="Palatino Linotype" w:hAnsi="Palatino Linotype"/>
                <w:b/>
                <w:sz w:val="24"/>
                <w:szCs w:val="24"/>
              </w:rPr>
              <w:t>Consumer Programs Branch</w:t>
            </w:r>
          </w:p>
        </w:tc>
        <w:tc>
          <w:tcPr>
            <w:tcW w:w="4788" w:type="dxa"/>
          </w:tcPr>
          <w:p w:rsidRPr="003E7AD2" w:rsidR="004D3C75" w:rsidP="006D659C" w:rsidRDefault="005525AC" w14:paraId="5768FE65" w14:textId="5F0CA0D7">
            <w:pPr>
              <w:jc w:val="right"/>
              <w:rPr>
                <w:rFonts w:ascii="Palatino Linotype" w:hAnsi="Palatino Linotype"/>
                <w:b/>
                <w:bCs/>
                <w:sz w:val="24"/>
                <w:szCs w:val="24"/>
              </w:rPr>
            </w:pPr>
            <w:r w:rsidRPr="003E7AD2">
              <w:rPr>
                <w:rFonts w:ascii="Palatino Linotype" w:hAnsi="Palatino Linotype"/>
                <w:b/>
                <w:bCs/>
                <w:sz w:val="24"/>
                <w:szCs w:val="24"/>
              </w:rPr>
              <w:t>January 11</w:t>
            </w:r>
            <w:r w:rsidRPr="003E7AD2" w:rsidR="00377A87">
              <w:rPr>
                <w:rFonts w:ascii="Palatino Linotype" w:hAnsi="Palatino Linotype"/>
                <w:b/>
                <w:bCs/>
                <w:sz w:val="24"/>
                <w:szCs w:val="24"/>
              </w:rPr>
              <w:t>, 2023</w:t>
            </w:r>
          </w:p>
        </w:tc>
      </w:tr>
    </w:tbl>
    <w:p w:rsidRPr="003E7AD2" w:rsidR="004D3C75" w:rsidP="006D659C" w:rsidRDefault="004D3C75" w14:paraId="431C27E8" w14:textId="77777777">
      <w:pPr>
        <w:rPr>
          <w:rFonts w:ascii="Palatino Linotype" w:hAnsi="Palatino Linotype"/>
          <w:sz w:val="24"/>
          <w:szCs w:val="24"/>
        </w:rPr>
      </w:pPr>
    </w:p>
    <w:p w:rsidRPr="003E7AD2" w:rsidR="004D3C75" w:rsidP="006D659C" w:rsidRDefault="004D3C75" w14:paraId="2A33BD6F" w14:textId="77777777">
      <w:pPr>
        <w:rPr>
          <w:rFonts w:ascii="Palatino Linotype" w:hAnsi="Palatino Linotype"/>
          <w:sz w:val="24"/>
          <w:szCs w:val="24"/>
        </w:rPr>
      </w:pPr>
    </w:p>
    <w:p w:rsidRPr="003E7AD2" w:rsidR="004D3C75" w:rsidP="006D659C" w:rsidRDefault="004D3C75" w14:paraId="1DF7101C" w14:textId="77777777">
      <w:pPr>
        <w:jc w:val="center"/>
        <w:rPr>
          <w:rFonts w:ascii="Palatino Linotype" w:hAnsi="Palatino Linotype"/>
          <w:sz w:val="24"/>
          <w:szCs w:val="24"/>
        </w:rPr>
      </w:pPr>
      <w:r w:rsidRPr="003E7AD2">
        <w:rPr>
          <w:rFonts w:ascii="Palatino Linotype" w:hAnsi="Palatino Linotype"/>
          <w:b/>
          <w:sz w:val="24"/>
          <w:szCs w:val="24"/>
          <w:u w:val="single"/>
        </w:rPr>
        <w:t>R</w:t>
      </w:r>
      <w:r w:rsidRPr="003E7AD2">
        <w:rPr>
          <w:rFonts w:ascii="Palatino Linotype" w:hAnsi="Palatino Linotype"/>
          <w:sz w:val="24"/>
          <w:szCs w:val="24"/>
        </w:rPr>
        <w:t xml:space="preserve"> </w:t>
      </w:r>
      <w:r w:rsidRPr="003E7AD2">
        <w:rPr>
          <w:rFonts w:ascii="Palatino Linotype" w:hAnsi="Palatino Linotype"/>
          <w:b/>
          <w:sz w:val="24"/>
          <w:szCs w:val="24"/>
          <w:u w:val="single"/>
        </w:rPr>
        <w:t>E</w:t>
      </w:r>
      <w:r w:rsidRPr="003E7AD2">
        <w:rPr>
          <w:rFonts w:ascii="Palatino Linotype" w:hAnsi="Palatino Linotype"/>
          <w:sz w:val="24"/>
          <w:szCs w:val="24"/>
        </w:rPr>
        <w:t xml:space="preserve"> </w:t>
      </w:r>
      <w:r w:rsidRPr="003E7AD2">
        <w:rPr>
          <w:rFonts w:ascii="Palatino Linotype" w:hAnsi="Palatino Linotype"/>
          <w:b/>
          <w:sz w:val="24"/>
          <w:szCs w:val="24"/>
          <w:u w:val="single"/>
        </w:rPr>
        <w:t>S</w:t>
      </w:r>
      <w:r w:rsidRPr="003E7AD2">
        <w:rPr>
          <w:rFonts w:ascii="Palatino Linotype" w:hAnsi="Palatino Linotype"/>
          <w:sz w:val="24"/>
          <w:szCs w:val="24"/>
        </w:rPr>
        <w:t xml:space="preserve"> </w:t>
      </w:r>
      <w:r w:rsidRPr="003E7AD2">
        <w:rPr>
          <w:rFonts w:ascii="Palatino Linotype" w:hAnsi="Palatino Linotype"/>
          <w:b/>
          <w:sz w:val="24"/>
          <w:szCs w:val="24"/>
          <w:u w:val="single"/>
        </w:rPr>
        <w:t>O</w:t>
      </w:r>
      <w:r w:rsidRPr="003E7AD2">
        <w:rPr>
          <w:rFonts w:ascii="Palatino Linotype" w:hAnsi="Palatino Linotype"/>
          <w:sz w:val="24"/>
          <w:szCs w:val="24"/>
        </w:rPr>
        <w:t xml:space="preserve"> </w:t>
      </w:r>
      <w:r w:rsidRPr="003E7AD2">
        <w:rPr>
          <w:rFonts w:ascii="Palatino Linotype" w:hAnsi="Palatino Linotype"/>
          <w:b/>
          <w:sz w:val="24"/>
          <w:szCs w:val="24"/>
          <w:u w:val="single"/>
        </w:rPr>
        <w:t>L</w:t>
      </w:r>
      <w:r w:rsidRPr="003E7AD2">
        <w:rPr>
          <w:rFonts w:ascii="Palatino Linotype" w:hAnsi="Palatino Linotype"/>
          <w:sz w:val="24"/>
          <w:szCs w:val="24"/>
        </w:rPr>
        <w:t xml:space="preserve"> </w:t>
      </w:r>
      <w:r w:rsidRPr="003E7AD2">
        <w:rPr>
          <w:rFonts w:ascii="Palatino Linotype" w:hAnsi="Palatino Linotype"/>
          <w:b/>
          <w:sz w:val="24"/>
          <w:szCs w:val="24"/>
          <w:u w:val="single"/>
        </w:rPr>
        <w:t>U</w:t>
      </w:r>
      <w:r w:rsidRPr="003E7AD2">
        <w:rPr>
          <w:rFonts w:ascii="Palatino Linotype" w:hAnsi="Palatino Linotype"/>
          <w:sz w:val="24"/>
          <w:szCs w:val="24"/>
        </w:rPr>
        <w:t xml:space="preserve"> </w:t>
      </w:r>
      <w:r w:rsidRPr="003E7AD2">
        <w:rPr>
          <w:rFonts w:ascii="Palatino Linotype" w:hAnsi="Palatino Linotype"/>
          <w:b/>
          <w:sz w:val="24"/>
          <w:szCs w:val="24"/>
          <w:u w:val="single"/>
        </w:rPr>
        <w:t>T</w:t>
      </w:r>
      <w:r w:rsidRPr="003E7AD2">
        <w:rPr>
          <w:rFonts w:ascii="Palatino Linotype" w:hAnsi="Palatino Linotype"/>
          <w:sz w:val="24"/>
          <w:szCs w:val="24"/>
        </w:rPr>
        <w:t xml:space="preserve"> </w:t>
      </w:r>
      <w:r w:rsidRPr="003E7AD2">
        <w:rPr>
          <w:rFonts w:ascii="Palatino Linotype" w:hAnsi="Palatino Linotype"/>
          <w:b/>
          <w:sz w:val="24"/>
          <w:szCs w:val="24"/>
          <w:u w:val="single"/>
        </w:rPr>
        <w:t>I</w:t>
      </w:r>
      <w:r w:rsidRPr="003E7AD2">
        <w:rPr>
          <w:rFonts w:ascii="Palatino Linotype" w:hAnsi="Palatino Linotype"/>
          <w:sz w:val="24"/>
          <w:szCs w:val="24"/>
        </w:rPr>
        <w:t xml:space="preserve"> </w:t>
      </w:r>
      <w:r w:rsidRPr="003E7AD2">
        <w:rPr>
          <w:rFonts w:ascii="Palatino Linotype" w:hAnsi="Palatino Linotype"/>
          <w:b/>
          <w:sz w:val="24"/>
          <w:szCs w:val="24"/>
          <w:u w:val="single"/>
        </w:rPr>
        <w:t>O</w:t>
      </w:r>
      <w:r w:rsidRPr="003E7AD2">
        <w:rPr>
          <w:rFonts w:ascii="Palatino Linotype" w:hAnsi="Palatino Linotype"/>
          <w:sz w:val="24"/>
          <w:szCs w:val="24"/>
        </w:rPr>
        <w:t xml:space="preserve"> </w:t>
      </w:r>
      <w:r w:rsidRPr="003E7AD2">
        <w:rPr>
          <w:rFonts w:ascii="Palatino Linotype" w:hAnsi="Palatino Linotype"/>
          <w:b/>
          <w:sz w:val="24"/>
          <w:szCs w:val="24"/>
          <w:u w:val="single"/>
        </w:rPr>
        <w:t>N</w:t>
      </w:r>
    </w:p>
    <w:p w:rsidRPr="003E7AD2" w:rsidR="004D3C75" w:rsidP="006D659C" w:rsidRDefault="004D3C75" w14:paraId="2A31D246" w14:textId="77777777">
      <w:pPr>
        <w:rPr>
          <w:rFonts w:ascii="Palatino Linotype" w:hAnsi="Palatino Linotype"/>
          <w:sz w:val="24"/>
          <w:szCs w:val="24"/>
        </w:rPr>
      </w:pPr>
    </w:p>
    <w:tbl>
      <w:tblPr>
        <w:tblpPr w:leftFromText="180" w:rightFromText="180" w:vertAnchor="text" w:horzAnchor="margin" w:tblpXSpec="center" w:tblpY="248"/>
        <w:tblW w:w="8392" w:type="dxa"/>
        <w:tblLayout w:type="fixed"/>
        <w:tblLook w:val="0000" w:firstRow="0" w:lastRow="0" w:firstColumn="0" w:lastColumn="0" w:noHBand="0" w:noVBand="0"/>
      </w:tblPr>
      <w:tblGrid>
        <w:gridCol w:w="8392"/>
      </w:tblGrid>
      <w:tr w:rsidRPr="003E7AD2" w:rsidR="00000AA7" w:rsidTr="3B626092" w14:paraId="4804D688" w14:textId="77777777">
        <w:trPr>
          <w:cantSplit/>
          <w:trHeight w:val="1048"/>
        </w:trPr>
        <w:tc>
          <w:tcPr>
            <w:tcW w:w="8392" w:type="dxa"/>
          </w:tcPr>
          <w:p w:rsidRPr="003E7AD2" w:rsidR="00612AAC" w:rsidP="006D659C" w:rsidRDefault="00000AA7" w14:paraId="050FBE51" w14:textId="61DFE57B">
            <w:pPr>
              <w:rPr>
                <w:rFonts w:ascii="Palatino Linotype" w:hAnsi="Palatino Linotype"/>
                <w:sz w:val="24"/>
                <w:szCs w:val="24"/>
              </w:rPr>
            </w:pPr>
            <w:r w:rsidRPr="003E7AD2">
              <w:rPr>
                <w:rFonts w:ascii="Palatino Linotype" w:hAnsi="Palatino Linotype"/>
                <w:sz w:val="24"/>
                <w:szCs w:val="24"/>
              </w:rPr>
              <w:t>Resolution T</w:t>
            </w:r>
            <w:r w:rsidRPr="003E7AD2" w:rsidR="6FB2C238">
              <w:rPr>
                <w:rFonts w:ascii="Palatino Linotype" w:hAnsi="Palatino Linotype"/>
                <w:sz w:val="24"/>
                <w:szCs w:val="24"/>
              </w:rPr>
              <w:t>-</w:t>
            </w:r>
            <w:r w:rsidRPr="003E7AD2" w:rsidR="009D1177">
              <w:rPr>
                <w:rFonts w:ascii="Palatino Linotype" w:hAnsi="Palatino Linotype"/>
                <w:sz w:val="24"/>
                <w:szCs w:val="24"/>
              </w:rPr>
              <w:t xml:space="preserve"> 17</w:t>
            </w:r>
            <w:r w:rsidRPr="003E7AD2" w:rsidR="003560EE">
              <w:rPr>
                <w:rFonts w:ascii="Palatino Linotype" w:hAnsi="Palatino Linotype"/>
                <w:sz w:val="24"/>
                <w:szCs w:val="24"/>
              </w:rPr>
              <w:t>8</w:t>
            </w:r>
            <w:r w:rsidRPr="003E7AD2" w:rsidR="00252A7F">
              <w:rPr>
                <w:rFonts w:ascii="Palatino Linotype" w:hAnsi="Palatino Linotype"/>
                <w:sz w:val="24"/>
                <w:szCs w:val="24"/>
              </w:rPr>
              <w:t>11</w:t>
            </w:r>
            <w:r w:rsidRPr="003E7AD2" w:rsidR="009D1177">
              <w:rPr>
                <w:rFonts w:ascii="Palatino Linotype" w:hAnsi="Palatino Linotype"/>
                <w:sz w:val="24"/>
                <w:szCs w:val="24"/>
              </w:rPr>
              <w:t xml:space="preserve"> </w:t>
            </w:r>
            <w:r w:rsidRPr="003E7AD2" w:rsidR="00503E99">
              <w:rPr>
                <w:rFonts w:ascii="Palatino Linotype" w:hAnsi="Palatino Linotype"/>
                <w:sz w:val="24"/>
                <w:szCs w:val="24"/>
              </w:rPr>
              <w:t>G</w:t>
            </w:r>
            <w:r w:rsidRPr="003E7AD2">
              <w:rPr>
                <w:rFonts w:ascii="Palatino Linotype" w:hAnsi="Palatino Linotype"/>
                <w:sz w:val="24"/>
                <w:szCs w:val="24"/>
              </w:rPr>
              <w:t xml:space="preserve">rant of authority to </w:t>
            </w:r>
            <w:r w:rsidRPr="003E7AD2" w:rsidR="00252A7F">
              <w:rPr>
                <w:rFonts w:ascii="Palatino Linotype" w:hAnsi="Palatino Linotype"/>
                <w:sz w:val="24"/>
                <w:szCs w:val="24"/>
              </w:rPr>
              <w:t>Tuolumne</w:t>
            </w:r>
            <w:r w:rsidRPr="003E7AD2" w:rsidR="00B77B1A">
              <w:rPr>
                <w:rFonts w:ascii="Palatino Linotype" w:hAnsi="Palatino Linotype"/>
                <w:sz w:val="24"/>
                <w:szCs w:val="24"/>
              </w:rPr>
              <w:t xml:space="preserve"> County </w:t>
            </w:r>
            <w:r w:rsidRPr="003E7AD2" w:rsidR="00252A7F">
              <w:rPr>
                <w:rFonts w:ascii="Palatino Linotype" w:hAnsi="Palatino Linotype"/>
                <w:sz w:val="24"/>
                <w:szCs w:val="24"/>
              </w:rPr>
              <w:t xml:space="preserve">Public </w:t>
            </w:r>
            <w:r w:rsidRPr="003E7AD2" w:rsidR="00C15DF1">
              <w:rPr>
                <w:rFonts w:ascii="Palatino Linotype" w:hAnsi="Palatino Linotype"/>
                <w:sz w:val="24"/>
                <w:szCs w:val="24"/>
              </w:rPr>
              <w:t>Health</w:t>
            </w:r>
            <w:r w:rsidRPr="003E7AD2" w:rsidR="0040073C">
              <w:rPr>
                <w:rFonts w:ascii="Palatino Linotype" w:hAnsi="Palatino Linotype"/>
                <w:sz w:val="24"/>
                <w:szCs w:val="24"/>
              </w:rPr>
              <w:t xml:space="preserve"> </w:t>
            </w:r>
            <w:r w:rsidRPr="003E7AD2" w:rsidR="00252A7F">
              <w:rPr>
                <w:rFonts w:ascii="Palatino Linotype" w:hAnsi="Palatino Linotype"/>
                <w:sz w:val="24"/>
                <w:szCs w:val="24"/>
              </w:rPr>
              <w:t>Department</w:t>
            </w:r>
            <w:r w:rsidRPr="003E7AD2" w:rsidR="00B77B1A">
              <w:rPr>
                <w:rFonts w:ascii="Palatino Linotype" w:hAnsi="Palatino Linotype"/>
                <w:sz w:val="24"/>
                <w:szCs w:val="24"/>
              </w:rPr>
              <w:t xml:space="preserve"> </w:t>
            </w:r>
            <w:r w:rsidRPr="003E7AD2" w:rsidR="00863AE1">
              <w:rPr>
                <w:rFonts w:ascii="Palatino Linotype" w:hAnsi="Palatino Linotype"/>
                <w:sz w:val="24"/>
                <w:szCs w:val="24"/>
              </w:rPr>
              <w:t>to</w:t>
            </w:r>
            <w:r w:rsidRPr="003E7AD2">
              <w:rPr>
                <w:rFonts w:ascii="Palatino Linotype" w:hAnsi="Palatino Linotype"/>
                <w:sz w:val="24"/>
                <w:szCs w:val="24"/>
              </w:rPr>
              <w:t xml:space="preserve"> serve as the 2-1-1 service provider for </w:t>
            </w:r>
            <w:r w:rsidRPr="003E7AD2" w:rsidR="00252A7F">
              <w:rPr>
                <w:rFonts w:ascii="Palatino Linotype" w:hAnsi="Palatino Linotype"/>
                <w:sz w:val="24"/>
                <w:szCs w:val="24"/>
              </w:rPr>
              <w:t>Tuolumne</w:t>
            </w:r>
            <w:r w:rsidRPr="003E7AD2">
              <w:rPr>
                <w:rFonts w:ascii="Palatino Linotype" w:hAnsi="Palatino Linotype"/>
                <w:sz w:val="24"/>
                <w:szCs w:val="24"/>
              </w:rPr>
              <w:t xml:space="preserve"> County.</w:t>
            </w:r>
          </w:p>
        </w:tc>
      </w:tr>
    </w:tbl>
    <w:p w:rsidRPr="003E7AD2" w:rsidR="004D3C75" w:rsidP="006D659C" w:rsidRDefault="655C0E93" w14:paraId="4F39B010" w14:textId="1F40658F">
      <w:pPr>
        <w:rPr>
          <w:rFonts w:ascii="Palatino Linotype" w:hAnsi="Palatino Linotype" w:eastAsia="Palatino Linotype"/>
          <w:sz w:val="24"/>
          <w:szCs w:val="24"/>
        </w:rPr>
      </w:pPr>
      <w:r w:rsidRPr="003E7AD2">
        <w:rPr>
          <w:rFonts w:ascii="Palatino Linotype" w:hAnsi="Palatino Linotype" w:eastAsia="Palatino Linotype"/>
          <w:sz w:val="24"/>
          <w:szCs w:val="24"/>
        </w:rPr>
        <w:t>_________________________________________________________________________</w:t>
      </w:r>
      <w:r w:rsidRPr="003E7AD2" w:rsidR="00F108E9">
        <w:rPr>
          <w:rFonts w:ascii="Palatino Linotype" w:hAnsi="Palatino Linotype" w:eastAsia="Palatino Linotype"/>
          <w:sz w:val="24"/>
          <w:szCs w:val="24"/>
        </w:rPr>
        <w:t>______</w:t>
      </w:r>
    </w:p>
    <w:p w:rsidRPr="003E7AD2" w:rsidR="00F108E9" w:rsidP="006D659C" w:rsidRDefault="00F108E9" w14:paraId="14301629" w14:textId="77777777">
      <w:pPr>
        <w:pStyle w:val="Heading1"/>
        <w:rPr>
          <w:rFonts w:ascii="Palatino Linotype" w:hAnsi="Palatino Linotype"/>
          <w:sz w:val="24"/>
          <w:szCs w:val="24"/>
          <w:u w:val="single"/>
        </w:rPr>
      </w:pPr>
    </w:p>
    <w:p w:rsidRPr="003E7AD2" w:rsidR="004D3C75" w:rsidP="006D659C" w:rsidRDefault="006E7FD0" w14:paraId="180EF70F" w14:textId="7184F175">
      <w:pPr>
        <w:pStyle w:val="Heading1"/>
        <w:rPr>
          <w:rFonts w:ascii="Palatino Linotype" w:hAnsi="Palatino Linotype"/>
          <w:sz w:val="24"/>
          <w:szCs w:val="24"/>
          <w:u w:val="single"/>
        </w:rPr>
      </w:pPr>
      <w:r w:rsidRPr="003E7AD2">
        <w:rPr>
          <w:rFonts w:ascii="Palatino Linotype" w:hAnsi="Palatino Linotype"/>
          <w:sz w:val="24"/>
          <w:szCs w:val="24"/>
          <w:u w:val="single"/>
        </w:rPr>
        <w:t>SUMMARY</w:t>
      </w:r>
    </w:p>
    <w:p w:rsidRPr="003E7AD2" w:rsidR="004D3C75" w:rsidP="006D659C" w:rsidRDefault="004D3C75" w14:paraId="1128A756" w14:textId="77777777">
      <w:pPr>
        <w:rPr>
          <w:rFonts w:ascii="Palatino Linotype" w:hAnsi="Palatino Linotype"/>
          <w:sz w:val="24"/>
          <w:szCs w:val="24"/>
        </w:rPr>
      </w:pPr>
    </w:p>
    <w:p w:rsidRPr="003E7AD2" w:rsidR="00AD1C04" w:rsidP="006D659C" w:rsidRDefault="00AD1C04" w14:paraId="7C53B307" w14:textId="4633516F">
      <w:pPr>
        <w:tabs>
          <w:tab w:val="left" w:pos="-1440"/>
          <w:tab w:val="left" w:pos="-720"/>
        </w:tabs>
        <w:suppressAutoHyphens/>
        <w:rPr>
          <w:rFonts w:ascii="Palatino Linotype" w:hAnsi="Palatino Linotype"/>
          <w:sz w:val="24"/>
          <w:szCs w:val="24"/>
        </w:rPr>
      </w:pPr>
      <w:bookmarkStart w:name="_Hlk84434851" w:id="0"/>
      <w:r w:rsidRPr="003E7AD2">
        <w:rPr>
          <w:rFonts w:ascii="Palatino Linotype" w:hAnsi="Palatino Linotype"/>
          <w:sz w:val="24"/>
          <w:szCs w:val="24"/>
        </w:rPr>
        <w:t xml:space="preserve">This resolution </w:t>
      </w:r>
      <w:bookmarkEnd w:id="0"/>
      <w:r w:rsidRPr="003E7AD2">
        <w:rPr>
          <w:rFonts w:ascii="Palatino Linotype" w:hAnsi="Palatino Linotype"/>
          <w:sz w:val="24"/>
          <w:szCs w:val="24"/>
        </w:rPr>
        <w:t xml:space="preserve">grants </w:t>
      </w:r>
      <w:r w:rsidRPr="003E7AD2" w:rsidR="0040073C">
        <w:rPr>
          <w:rFonts w:ascii="Palatino Linotype" w:hAnsi="Palatino Linotype"/>
          <w:sz w:val="24"/>
          <w:szCs w:val="24"/>
        </w:rPr>
        <w:t>Tuolumne County Public Health Department</w:t>
      </w:r>
      <w:r w:rsidRPr="003E7AD2" w:rsidR="00863AE1">
        <w:rPr>
          <w:rFonts w:ascii="Palatino Linotype" w:hAnsi="Palatino Linotype"/>
          <w:sz w:val="24"/>
          <w:szCs w:val="24"/>
        </w:rPr>
        <w:t xml:space="preserve"> </w:t>
      </w:r>
      <w:r w:rsidRPr="003E7AD2">
        <w:rPr>
          <w:rFonts w:ascii="Palatino Linotype" w:hAnsi="Palatino Linotype"/>
          <w:sz w:val="24"/>
          <w:szCs w:val="24"/>
        </w:rPr>
        <w:t xml:space="preserve">the authority to use the 2-1-1 abbreviated dialing code to provide information and referral services to </w:t>
      </w:r>
      <w:r w:rsidRPr="003E7AD2" w:rsidR="0040073C">
        <w:rPr>
          <w:rFonts w:ascii="Palatino Linotype" w:hAnsi="Palatino Linotype"/>
          <w:sz w:val="24"/>
          <w:szCs w:val="24"/>
        </w:rPr>
        <w:t>Tuolumne</w:t>
      </w:r>
      <w:r w:rsidRPr="003E7AD2" w:rsidR="003560EE">
        <w:rPr>
          <w:rFonts w:ascii="Palatino Linotype" w:hAnsi="Palatino Linotype"/>
          <w:sz w:val="24"/>
          <w:szCs w:val="24"/>
        </w:rPr>
        <w:t xml:space="preserve"> </w:t>
      </w:r>
      <w:r w:rsidRPr="003E7AD2">
        <w:rPr>
          <w:rFonts w:ascii="Palatino Linotype" w:hAnsi="Palatino Linotype"/>
          <w:sz w:val="24"/>
          <w:szCs w:val="24"/>
        </w:rPr>
        <w:t>County</w:t>
      </w:r>
      <w:r w:rsidRPr="003E7AD2" w:rsidR="00FC5035">
        <w:rPr>
          <w:rFonts w:ascii="Palatino Linotype" w:hAnsi="Palatino Linotype"/>
          <w:sz w:val="24"/>
          <w:szCs w:val="24"/>
        </w:rPr>
        <w:t xml:space="preserve">. </w:t>
      </w:r>
    </w:p>
    <w:p w:rsidRPr="003E7AD2" w:rsidR="004D3C75" w:rsidP="006D659C" w:rsidRDefault="004D3C75" w14:paraId="53CBAE94" w14:textId="77777777">
      <w:pPr>
        <w:rPr>
          <w:rFonts w:ascii="Palatino Linotype" w:hAnsi="Palatino Linotype"/>
          <w:sz w:val="24"/>
          <w:szCs w:val="24"/>
        </w:rPr>
      </w:pPr>
    </w:p>
    <w:p w:rsidRPr="003E7AD2" w:rsidR="00E254B1" w:rsidP="006D659C" w:rsidRDefault="00E254B1" w14:paraId="47F53763" w14:textId="77777777">
      <w:pPr>
        <w:pStyle w:val="Heading1"/>
        <w:rPr>
          <w:rFonts w:ascii="Palatino Linotype" w:hAnsi="Palatino Linotype"/>
          <w:sz w:val="24"/>
          <w:szCs w:val="24"/>
          <w:u w:val="single"/>
        </w:rPr>
      </w:pPr>
      <w:r w:rsidRPr="003E7AD2">
        <w:rPr>
          <w:rFonts w:ascii="Palatino Linotype" w:hAnsi="Palatino Linotype"/>
          <w:sz w:val="24"/>
          <w:szCs w:val="24"/>
          <w:u w:val="single"/>
        </w:rPr>
        <w:t>BACKGROUND</w:t>
      </w:r>
    </w:p>
    <w:p w:rsidRPr="003E7AD2" w:rsidR="00DF6EE7" w:rsidP="006D659C" w:rsidRDefault="00DF6EE7" w14:paraId="255A9FB7" w14:textId="77777777">
      <w:pPr>
        <w:rPr>
          <w:rFonts w:ascii="Palatino Linotype" w:hAnsi="Palatino Linotype"/>
          <w:sz w:val="24"/>
          <w:szCs w:val="24"/>
        </w:rPr>
      </w:pPr>
    </w:p>
    <w:p w:rsidRPr="003E7AD2" w:rsidR="00E254B1" w:rsidP="006D659C" w:rsidRDefault="00371C28" w14:paraId="20AE05A6" w14:textId="446087E6">
      <w:pPr>
        <w:tabs>
          <w:tab w:val="left" w:pos="-1440"/>
          <w:tab w:val="left" w:pos="-720"/>
        </w:tabs>
        <w:suppressAutoHyphens/>
        <w:rPr>
          <w:rFonts w:ascii="Palatino Linotype" w:hAnsi="Palatino Linotype"/>
          <w:sz w:val="24"/>
          <w:szCs w:val="24"/>
        </w:rPr>
      </w:pPr>
      <w:r w:rsidRPr="003E7AD2">
        <w:rPr>
          <w:rFonts w:ascii="Palatino Linotype" w:hAnsi="Palatino Linotype"/>
          <w:sz w:val="24"/>
          <w:szCs w:val="24"/>
        </w:rPr>
        <w:t xml:space="preserve">For individuals seeking non-emergency community information and support, the 2-1-1 telephone number serves as a crucial lifeline. </w:t>
      </w:r>
      <w:r w:rsidRPr="003E7AD2" w:rsidR="00183A38">
        <w:rPr>
          <w:rFonts w:ascii="Palatino Linotype" w:hAnsi="Palatino Linotype"/>
          <w:sz w:val="24"/>
          <w:szCs w:val="24"/>
        </w:rPr>
        <w:t xml:space="preserve">Callers may call the </w:t>
      </w:r>
      <w:r w:rsidRPr="003E7AD2" w:rsidR="00E254B1">
        <w:rPr>
          <w:rFonts w:ascii="Palatino Linotype" w:hAnsi="Palatino Linotype"/>
          <w:sz w:val="24"/>
          <w:szCs w:val="24"/>
        </w:rPr>
        <w:t>2</w:t>
      </w:r>
      <w:r w:rsidRPr="003E7AD2" w:rsidR="00E254B1">
        <w:rPr>
          <w:rFonts w:ascii="Palatino Linotype" w:hAnsi="Palatino Linotype"/>
          <w:sz w:val="24"/>
          <w:szCs w:val="24"/>
        </w:rPr>
        <w:noBreakHyphen/>
        <w:t>1</w:t>
      </w:r>
      <w:r w:rsidRPr="003E7AD2" w:rsidR="00E254B1">
        <w:rPr>
          <w:rFonts w:ascii="Palatino Linotype" w:hAnsi="Palatino Linotype"/>
          <w:sz w:val="24"/>
          <w:szCs w:val="24"/>
        </w:rPr>
        <w:noBreakHyphen/>
        <w:t xml:space="preserve">1 </w:t>
      </w:r>
      <w:r w:rsidRPr="003E7AD2" w:rsidR="00970239">
        <w:rPr>
          <w:rFonts w:ascii="Palatino Linotype" w:hAnsi="Palatino Linotype"/>
          <w:sz w:val="24"/>
          <w:szCs w:val="24"/>
        </w:rPr>
        <w:t>telephone number</w:t>
      </w:r>
      <w:r w:rsidRPr="003E7AD2" w:rsidR="00E07DC0">
        <w:rPr>
          <w:rFonts w:ascii="Palatino Linotype" w:hAnsi="Palatino Linotype"/>
          <w:sz w:val="24"/>
          <w:szCs w:val="24"/>
        </w:rPr>
        <w:t xml:space="preserve"> </w:t>
      </w:r>
      <w:r w:rsidRPr="003E7AD2" w:rsidR="00E254B1">
        <w:rPr>
          <w:rFonts w:ascii="Palatino Linotype" w:hAnsi="Palatino Linotype"/>
          <w:sz w:val="24"/>
          <w:szCs w:val="24"/>
        </w:rPr>
        <w:t xml:space="preserve">to </w:t>
      </w:r>
      <w:r w:rsidRPr="003E7AD2" w:rsidR="00DB458B">
        <w:rPr>
          <w:rFonts w:ascii="Palatino Linotype" w:hAnsi="Palatino Linotype"/>
          <w:sz w:val="24"/>
          <w:szCs w:val="24"/>
        </w:rPr>
        <w:t>access</w:t>
      </w:r>
      <w:r w:rsidRPr="003E7AD2" w:rsidR="00E254B1">
        <w:rPr>
          <w:rFonts w:ascii="Palatino Linotype" w:hAnsi="Palatino Linotype"/>
          <w:sz w:val="24"/>
          <w:szCs w:val="24"/>
        </w:rPr>
        <w:t xml:space="preserve"> non-emergency community </w:t>
      </w:r>
      <w:r w:rsidRPr="003E7AD2" w:rsidR="00E07DC0">
        <w:rPr>
          <w:rFonts w:ascii="Palatino Linotype" w:hAnsi="Palatino Linotype"/>
          <w:sz w:val="24"/>
          <w:szCs w:val="24"/>
        </w:rPr>
        <w:t>information and referral (</w:t>
      </w:r>
      <w:r w:rsidRPr="003E7AD2" w:rsidR="00E254B1">
        <w:rPr>
          <w:rFonts w:ascii="Palatino Linotype" w:hAnsi="Palatino Linotype"/>
          <w:sz w:val="24"/>
          <w:szCs w:val="24"/>
        </w:rPr>
        <w:t>I&amp;R</w:t>
      </w:r>
      <w:r w:rsidRPr="003E7AD2" w:rsidR="00E07DC0">
        <w:rPr>
          <w:rFonts w:ascii="Palatino Linotype" w:hAnsi="Palatino Linotype"/>
          <w:sz w:val="24"/>
          <w:szCs w:val="24"/>
        </w:rPr>
        <w:t>)</w:t>
      </w:r>
      <w:r w:rsidRPr="003E7AD2" w:rsidR="00E254B1">
        <w:rPr>
          <w:rFonts w:ascii="Palatino Linotype" w:hAnsi="Palatino Linotype"/>
          <w:sz w:val="24"/>
          <w:szCs w:val="24"/>
        </w:rPr>
        <w:t xml:space="preserve"> providers. </w:t>
      </w:r>
      <w:bookmarkStart w:name="_Hlk534377229" w:id="1"/>
      <w:r w:rsidRPr="003E7AD2" w:rsidR="00493B55">
        <w:rPr>
          <w:rFonts w:ascii="Palatino Linotype" w:hAnsi="Palatino Linotype"/>
          <w:sz w:val="24"/>
          <w:szCs w:val="24"/>
        </w:rPr>
        <w:t>When</w:t>
      </w:r>
      <w:r w:rsidRPr="003E7AD2" w:rsidR="00D93EC4">
        <w:rPr>
          <w:rFonts w:ascii="Palatino Linotype" w:hAnsi="Palatino Linotype"/>
          <w:sz w:val="24"/>
          <w:szCs w:val="24"/>
        </w:rPr>
        <w:t xml:space="preserve"> dialing 2</w:t>
      </w:r>
      <w:r w:rsidRPr="003E7AD2" w:rsidR="00D93EC4">
        <w:rPr>
          <w:rFonts w:ascii="Palatino Linotype" w:hAnsi="Palatino Linotype"/>
          <w:sz w:val="24"/>
          <w:szCs w:val="24"/>
        </w:rPr>
        <w:noBreakHyphen/>
        <w:t>1</w:t>
      </w:r>
      <w:r w:rsidRPr="003E7AD2" w:rsidR="00D93EC4">
        <w:rPr>
          <w:rFonts w:ascii="Palatino Linotype" w:hAnsi="Palatino Linotype"/>
          <w:sz w:val="24"/>
          <w:szCs w:val="24"/>
        </w:rPr>
        <w:noBreakHyphen/>
        <w:t>1,</w:t>
      </w:r>
      <w:r w:rsidRPr="003E7AD2" w:rsidR="00030344">
        <w:rPr>
          <w:rFonts w:ascii="Palatino Linotype" w:hAnsi="Palatino Linotype"/>
          <w:sz w:val="24"/>
          <w:szCs w:val="24"/>
        </w:rPr>
        <w:t xml:space="preserve"> </w:t>
      </w:r>
      <w:r w:rsidRPr="003E7AD2" w:rsidR="00D93EC4">
        <w:rPr>
          <w:rFonts w:ascii="Palatino Linotype" w:hAnsi="Palatino Linotype"/>
          <w:sz w:val="24"/>
          <w:szCs w:val="24"/>
        </w:rPr>
        <w:t>caller</w:t>
      </w:r>
      <w:r w:rsidRPr="003E7AD2" w:rsidR="00493B55">
        <w:rPr>
          <w:rFonts w:ascii="Palatino Linotype" w:hAnsi="Palatino Linotype"/>
          <w:sz w:val="24"/>
          <w:szCs w:val="24"/>
        </w:rPr>
        <w:t>s</w:t>
      </w:r>
      <w:r w:rsidRPr="003E7AD2" w:rsidR="00D93EC4">
        <w:rPr>
          <w:rFonts w:ascii="Palatino Linotype" w:hAnsi="Palatino Linotype"/>
          <w:sz w:val="24"/>
          <w:szCs w:val="24"/>
        </w:rPr>
        <w:t xml:space="preserve"> </w:t>
      </w:r>
      <w:r w:rsidRPr="003E7AD2" w:rsidR="00493B55">
        <w:rPr>
          <w:rFonts w:ascii="Palatino Linotype" w:hAnsi="Palatino Linotype"/>
          <w:sz w:val="24"/>
          <w:szCs w:val="24"/>
        </w:rPr>
        <w:t>are</w:t>
      </w:r>
      <w:r w:rsidRPr="003E7AD2" w:rsidR="00D93EC4">
        <w:rPr>
          <w:rFonts w:ascii="Palatino Linotype" w:hAnsi="Palatino Linotype"/>
          <w:sz w:val="24"/>
          <w:szCs w:val="24"/>
        </w:rPr>
        <w:t xml:space="preserve"> </w:t>
      </w:r>
      <w:r w:rsidRPr="003E7AD2" w:rsidR="00493B55">
        <w:rPr>
          <w:rFonts w:ascii="Palatino Linotype" w:hAnsi="Palatino Linotype"/>
          <w:sz w:val="24"/>
          <w:szCs w:val="24"/>
        </w:rPr>
        <w:t>connected</w:t>
      </w:r>
      <w:r w:rsidRPr="003E7AD2" w:rsidR="00D93EC4">
        <w:rPr>
          <w:rFonts w:ascii="Palatino Linotype" w:hAnsi="Palatino Linotype"/>
          <w:sz w:val="24"/>
          <w:szCs w:val="24"/>
        </w:rPr>
        <w:t xml:space="preserve"> to a call center</w:t>
      </w:r>
      <w:r w:rsidRPr="003E7AD2" w:rsidR="00030344">
        <w:rPr>
          <w:rFonts w:ascii="Palatino Linotype" w:hAnsi="Palatino Linotype"/>
          <w:sz w:val="24"/>
          <w:szCs w:val="24"/>
        </w:rPr>
        <w:t xml:space="preserve"> </w:t>
      </w:r>
      <w:r w:rsidRPr="003E7AD2" w:rsidR="00D93EC4">
        <w:rPr>
          <w:rFonts w:ascii="Palatino Linotype" w:hAnsi="Palatino Linotype"/>
          <w:sz w:val="24"/>
          <w:szCs w:val="24"/>
        </w:rPr>
        <w:t xml:space="preserve">referral specialist </w:t>
      </w:r>
      <w:r w:rsidRPr="003E7AD2" w:rsidR="00493B55">
        <w:rPr>
          <w:rFonts w:ascii="Palatino Linotype" w:hAnsi="Palatino Linotype"/>
          <w:sz w:val="24"/>
          <w:szCs w:val="24"/>
        </w:rPr>
        <w:t>who links them</w:t>
      </w:r>
      <w:r w:rsidRPr="003E7AD2" w:rsidR="00030344">
        <w:rPr>
          <w:rFonts w:ascii="Palatino Linotype" w:hAnsi="Palatino Linotype"/>
          <w:sz w:val="24"/>
          <w:szCs w:val="24"/>
        </w:rPr>
        <w:t xml:space="preserve"> </w:t>
      </w:r>
      <w:r w:rsidRPr="003E7AD2" w:rsidR="00D93EC4">
        <w:rPr>
          <w:rFonts w:ascii="Palatino Linotype" w:hAnsi="Palatino Linotype"/>
          <w:sz w:val="24"/>
          <w:szCs w:val="24"/>
        </w:rPr>
        <w:t xml:space="preserve">to the appropriate </w:t>
      </w:r>
      <w:r w:rsidRPr="003E7AD2" w:rsidR="00183A38">
        <w:rPr>
          <w:rFonts w:ascii="Palatino Linotype" w:hAnsi="Palatino Linotype"/>
          <w:sz w:val="24"/>
          <w:szCs w:val="24"/>
        </w:rPr>
        <w:t xml:space="preserve">public </w:t>
      </w:r>
      <w:r w:rsidRPr="003E7AD2" w:rsidR="00D93EC4">
        <w:rPr>
          <w:rFonts w:ascii="Palatino Linotype" w:hAnsi="Palatino Linotype"/>
          <w:sz w:val="24"/>
          <w:szCs w:val="24"/>
        </w:rPr>
        <w:t xml:space="preserve">agencies </w:t>
      </w:r>
      <w:r w:rsidRPr="003E7AD2" w:rsidR="00F44C34">
        <w:rPr>
          <w:rFonts w:ascii="Palatino Linotype" w:hAnsi="Palatino Linotype"/>
          <w:sz w:val="24"/>
          <w:szCs w:val="24"/>
        </w:rPr>
        <w:t xml:space="preserve">or organizations that can offer </w:t>
      </w:r>
      <w:r w:rsidRPr="003E7AD2" w:rsidR="00D93EC4">
        <w:rPr>
          <w:rFonts w:ascii="Palatino Linotype" w:hAnsi="Palatino Linotype"/>
          <w:sz w:val="24"/>
          <w:szCs w:val="24"/>
        </w:rPr>
        <w:t xml:space="preserve">the needed social services, </w:t>
      </w:r>
      <w:r w:rsidRPr="003E7AD2" w:rsidR="00493B55">
        <w:rPr>
          <w:rFonts w:ascii="Palatino Linotype" w:hAnsi="Palatino Linotype"/>
          <w:sz w:val="24"/>
          <w:szCs w:val="24"/>
        </w:rPr>
        <w:t>including</w:t>
      </w:r>
      <w:r w:rsidRPr="003E7AD2" w:rsidR="00D93EC4">
        <w:rPr>
          <w:rFonts w:ascii="Palatino Linotype" w:hAnsi="Palatino Linotype"/>
          <w:sz w:val="24"/>
          <w:szCs w:val="24"/>
        </w:rPr>
        <w:t xml:space="preserve"> housing, utility bill</w:t>
      </w:r>
      <w:r w:rsidRPr="003E7AD2" w:rsidR="00493B55">
        <w:rPr>
          <w:rFonts w:ascii="Palatino Linotype" w:hAnsi="Palatino Linotype"/>
          <w:sz w:val="24"/>
          <w:szCs w:val="24"/>
        </w:rPr>
        <w:t xml:space="preserve"> aid</w:t>
      </w:r>
      <w:r w:rsidRPr="003E7AD2" w:rsidR="00D93EC4">
        <w:rPr>
          <w:rFonts w:ascii="Palatino Linotype" w:hAnsi="Palatino Linotype"/>
          <w:sz w:val="24"/>
          <w:szCs w:val="24"/>
        </w:rPr>
        <w:t>, food assistance, elder</w:t>
      </w:r>
      <w:r w:rsidRPr="003E7AD2" w:rsidR="00183A38">
        <w:rPr>
          <w:rFonts w:ascii="Palatino Linotype" w:hAnsi="Palatino Linotype"/>
          <w:sz w:val="24"/>
          <w:szCs w:val="24"/>
        </w:rPr>
        <w:t xml:space="preserve"> care</w:t>
      </w:r>
      <w:r w:rsidRPr="003E7AD2" w:rsidR="00493B55">
        <w:rPr>
          <w:rFonts w:ascii="Palatino Linotype" w:hAnsi="Palatino Linotype"/>
          <w:sz w:val="24"/>
          <w:szCs w:val="24"/>
        </w:rPr>
        <w:t>,</w:t>
      </w:r>
      <w:r w:rsidRPr="003E7AD2" w:rsidR="00D93EC4">
        <w:rPr>
          <w:rFonts w:ascii="Palatino Linotype" w:hAnsi="Palatino Linotype"/>
          <w:sz w:val="24"/>
          <w:szCs w:val="24"/>
        </w:rPr>
        <w:t xml:space="preserve"> </w:t>
      </w:r>
      <w:r w:rsidRPr="003E7AD2" w:rsidR="00850EA3">
        <w:rPr>
          <w:rFonts w:ascii="Palatino Linotype" w:hAnsi="Palatino Linotype"/>
          <w:sz w:val="24"/>
          <w:szCs w:val="24"/>
        </w:rPr>
        <w:t>childcare</w:t>
      </w:r>
      <w:r w:rsidRPr="003E7AD2" w:rsidR="00D93EC4">
        <w:rPr>
          <w:rFonts w:ascii="Palatino Linotype" w:hAnsi="Palatino Linotype"/>
          <w:sz w:val="24"/>
          <w:szCs w:val="24"/>
        </w:rPr>
        <w:t xml:space="preserve">, and </w:t>
      </w:r>
      <w:r w:rsidRPr="003E7AD2" w:rsidR="00F415F9">
        <w:rPr>
          <w:rFonts w:ascii="Palatino Linotype" w:hAnsi="Palatino Linotype"/>
          <w:sz w:val="24"/>
          <w:szCs w:val="24"/>
        </w:rPr>
        <w:t>other</w:t>
      </w:r>
      <w:r w:rsidRPr="003E7AD2" w:rsidR="00D93EC4">
        <w:rPr>
          <w:rFonts w:ascii="Palatino Linotype" w:hAnsi="Palatino Linotype"/>
          <w:sz w:val="24"/>
          <w:szCs w:val="24"/>
        </w:rPr>
        <w:t xml:space="preserve"> non-emergency </w:t>
      </w:r>
      <w:r w:rsidRPr="003E7AD2" w:rsidR="009B6E70">
        <w:rPr>
          <w:rFonts w:ascii="Palatino Linotype" w:hAnsi="Palatino Linotype"/>
          <w:sz w:val="24"/>
          <w:szCs w:val="24"/>
        </w:rPr>
        <w:t>information</w:t>
      </w:r>
      <w:r w:rsidRPr="003E7AD2" w:rsidR="008D7F41">
        <w:rPr>
          <w:rFonts w:ascii="Palatino Linotype" w:hAnsi="Palatino Linotype"/>
          <w:sz w:val="24"/>
          <w:szCs w:val="24"/>
        </w:rPr>
        <w:t>,</w:t>
      </w:r>
      <w:r w:rsidRPr="003E7AD2" w:rsidR="00D93EC4">
        <w:rPr>
          <w:rFonts w:ascii="Palatino Linotype" w:hAnsi="Palatino Linotype"/>
          <w:sz w:val="24"/>
          <w:szCs w:val="24"/>
        </w:rPr>
        <w:t xml:space="preserve"> currently </w:t>
      </w:r>
      <w:r w:rsidRPr="003E7AD2" w:rsidR="008D7F41">
        <w:rPr>
          <w:rFonts w:ascii="Palatino Linotype" w:hAnsi="Palatino Linotype"/>
          <w:sz w:val="24"/>
          <w:szCs w:val="24"/>
        </w:rPr>
        <w:t xml:space="preserve">not </w:t>
      </w:r>
      <w:r w:rsidRPr="003E7AD2" w:rsidR="00BB28C6">
        <w:rPr>
          <w:rFonts w:ascii="Palatino Linotype" w:hAnsi="Palatino Linotype"/>
          <w:sz w:val="24"/>
          <w:szCs w:val="24"/>
        </w:rPr>
        <w:t>provided</w:t>
      </w:r>
      <w:r w:rsidRPr="003E7AD2" w:rsidR="00D93EC4">
        <w:rPr>
          <w:rFonts w:ascii="Palatino Linotype" w:hAnsi="Palatino Linotype"/>
          <w:sz w:val="24"/>
          <w:szCs w:val="24"/>
        </w:rPr>
        <w:t xml:space="preserve"> </w:t>
      </w:r>
      <w:r w:rsidRPr="003E7AD2" w:rsidR="008D7F41">
        <w:rPr>
          <w:rFonts w:ascii="Palatino Linotype" w:hAnsi="Palatino Linotype"/>
          <w:sz w:val="24"/>
          <w:szCs w:val="24"/>
        </w:rPr>
        <w:t>through</w:t>
      </w:r>
      <w:r w:rsidRPr="003E7AD2" w:rsidR="00D93EC4">
        <w:rPr>
          <w:rFonts w:ascii="Palatino Linotype" w:hAnsi="Palatino Linotype"/>
          <w:sz w:val="24"/>
          <w:szCs w:val="24"/>
        </w:rPr>
        <w:t xml:space="preserve"> 9-1-1 or 3-1-1 services. </w:t>
      </w:r>
    </w:p>
    <w:bookmarkEnd w:id="1"/>
    <w:p w:rsidRPr="003E7AD2" w:rsidR="00493B55" w:rsidP="006D659C" w:rsidRDefault="00493B55" w14:paraId="4B00BD28" w14:textId="77777777">
      <w:pPr>
        <w:tabs>
          <w:tab w:val="left" w:pos="-1440"/>
          <w:tab w:val="left" w:pos="-720"/>
        </w:tabs>
        <w:suppressAutoHyphens/>
        <w:rPr>
          <w:rFonts w:ascii="Palatino Linotype" w:hAnsi="Palatino Linotype"/>
          <w:sz w:val="24"/>
          <w:szCs w:val="24"/>
        </w:rPr>
      </w:pPr>
    </w:p>
    <w:p w:rsidRPr="003E7AD2" w:rsidR="00383E3B" w:rsidP="006D659C" w:rsidRDefault="00383E3B" w14:paraId="6E0F239D" w14:textId="57BB831D">
      <w:pPr>
        <w:tabs>
          <w:tab w:val="left" w:pos="-1440"/>
          <w:tab w:val="left" w:pos="-720"/>
        </w:tabs>
        <w:suppressAutoHyphens/>
        <w:rPr>
          <w:rFonts w:ascii="Palatino Linotype" w:hAnsi="Palatino Linotype"/>
          <w:sz w:val="24"/>
          <w:szCs w:val="24"/>
        </w:rPr>
      </w:pPr>
      <w:r w:rsidRPr="003E7AD2">
        <w:rPr>
          <w:rFonts w:ascii="Palatino Linotype" w:hAnsi="Palatino Linotype"/>
          <w:sz w:val="24"/>
          <w:szCs w:val="24"/>
        </w:rPr>
        <w:t xml:space="preserve">On July 31, 2000, the Federal Communications Commission (FCC) issued its </w:t>
      </w:r>
      <w:r w:rsidRPr="003E7AD2">
        <w:rPr>
          <w:rFonts w:ascii="Palatino Linotype" w:hAnsi="Palatino Linotype"/>
          <w:i/>
          <w:iCs/>
          <w:sz w:val="24"/>
          <w:szCs w:val="24"/>
        </w:rPr>
        <w:t>N11 Third Report and Order</w:t>
      </w:r>
      <w:r w:rsidRPr="003E7AD2">
        <w:rPr>
          <w:rFonts w:ascii="Palatino Linotype" w:hAnsi="Palatino Linotype"/>
          <w:sz w:val="24"/>
          <w:szCs w:val="24"/>
        </w:rPr>
        <w:t xml:space="preserve"> assigning the 2</w:t>
      </w:r>
      <w:r w:rsidRPr="003E7AD2" w:rsidR="00366A36">
        <w:rPr>
          <w:rFonts w:ascii="Palatino Linotype" w:hAnsi="Palatino Linotype"/>
          <w:sz w:val="24"/>
          <w:szCs w:val="24"/>
        </w:rPr>
        <w:t>-</w:t>
      </w:r>
      <w:r w:rsidRPr="003E7AD2">
        <w:rPr>
          <w:rFonts w:ascii="Palatino Linotype" w:hAnsi="Palatino Linotype"/>
          <w:sz w:val="24"/>
          <w:szCs w:val="24"/>
        </w:rPr>
        <w:t>1</w:t>
      </w:r>
      <w:r w:rsidRPr="003E7AD2" w:rsidR="00366A36">
        <w:rPr>
          <w:rFonts w:ascii="Palatino Linotype" w:hAnsi="Palatino Linotype"/>
          <w:sz w:val="24"/>
          <w:szCs w:val="24"/>
        </w:rPr>
        <w:t>-</w:t>
      </w:r>
      <w:r w:rsidRPr="003E7AD2">
        <w:rPr>
          <w:rFonts w:ascii="Palatino Linotype" w:hAnsi="Palatino Linotype"/>
          <w:sz w:val="24"/>
          <w:szCs w:val="24"/>
        </w:rPr>
        <w:t xml:space="preserve">1 code as </w:t>
      </w:r>
      <w:r w:rsidRPr="003E7AD2" w:rsidR="00970239">
        <w:rPr>
          <w:rFonts w:ascii="Palatino Linotype" w:hAnsi="Palatino Linotype"/>
          <w:sz w:val="24"/>
          <w:szCs w:val="24"/>
        </w:rPr>
        <w:t>the national abbreviated dialing code for information and referral services.</w:t>
      </w:r>
      <w:r w:rsidRPr="003E7AD2" w:rsidR="00970239">
        <w:rPr>
          <w:rStyle w:val="FootnoteReference"/>
          <w:rFonts w:ascii="Palatino Linotype" w:hAnsi="Palatino Linotype"/>
          <w:sz w:val="24"/>
          <w:szCs w:val="24"/>
        </w:rPr>
        <w:footnoteReference w:id="1"/>
      </w:r>
      <w:r w:rsidRPr="003E7AD2" w:rsidR="00970239">
        <w:rPr>
          <w:rFonts w:ascii="Palatino Linotype" w:hAnsi="Palatino Linotype"/>
          <w:sz w:val="24"/>
          <w:szCs w:val="24"/>
        </w:rPr>
        <w:t xml:space="preserve"> The FCC </w:t>
      </w:r>
      <w:r w:rsidRPr="003E7AD2" w:rsidR="00113AE6">
        <w:rPr>
          <w:rFonts w:ascii="Palatino Linotype" w:hAnsi="Palatino Linotype"/>
          <w:sz w:val="24"/>
          <w:szCs w:val="24"/>
        </w:rPr>
        <w:t xml:space="preserve">concluded </w:t>
      </w:r>
      <w:r w:rsidRPr="003E7AD2" w:rsidR="00970239">
        <w:rPr>
          <w:rFonts w:ascii="Palatino Linotype" w:hAnsi="Palatino Linotype"/>
          <w:sz w:val="24"/>
          <w:szCs w:val="24"/>
        </w:rPr>
        <w:t>the assignment is in the public interest</w:t>
      </w:r>
      <w:r w:rsidRPr="003E7AD2" w:rsidR="00113AE6">
        <w:rPr>
          <w:rFonts w:ascii="Palatino Linotype" w:hAnsi="Palatino Linotype"/>
          <w:sz w:val="24"/>
          <w:szCs w:val="24"/>
        </w:rPr>
        <w:t>,</w:t>
      </w:r>
      <w:r w:rsidRPr="003E7AD2" w:rsidR="00970239">
        <w:rPr>
          <w:rFonts w:ascii="Palatino Linotype" w:hAnsi="Palatino Linotype"/>
          <w:sz w:val="24"/>
          <w:szCs w:val="24"/>
        </w:rPr>
        <w:t xml:space="preserve"> recogniz</w:t>
      </w:r>
      <w:r w:rsidRPr="003E7AD2" w:rsidR="00113AE6">
        <w:rPr>
          <w:rFonts w:ascii="Palatino Linotype" w:hAnsi="Palatino Linotype"/>
          <w:sz w:val="24"/>
          <w:szCs w:val="24"/>
        </w:rPr>
        <w:t>ing</w:t>
      </w:r>
      <w:r w:rsidRPr="003E7AD2" w:rsidR="00970239">
        <w:rPr>
          <w:rFonts w:ascii="Palatino Linotype" w:hAnsi="Palatino Linotype"/>
          <w:sz w:val="24"/>
          <w:szCs w:val="24"/>
        </w:rPr>
        <w:t xml:space="preserve"> that the public need for social service could be met through the </w:t>
      </w:r>
      <w:r w:rsidRPr="003E7AD2" w:rsidR="00970239">
        <w:rPr>
          <w:rFonts w:ascii="Palatino Linotype" w:hAnsi="Palatino Linotype"/>
          <w:sz w:val="24"/>
          <w:szCs w:val="24"/>
        </w:rPr>
        <w:lastRenderedPageBreak/>
        <w:t>implementation of a 2-1-1 dialing program.</w:t>
      </w:r>
      <w:r w:rsidRPr="003E7AD2">
        <w:rPr>
          <w:rFonts w:ascii="Palatino Linotype" w:hAnsi="Palatino Linotype"/>
          <w:sz w:val="24"/>
          <w:szCs w:val="24"/>
        </w:rPr>
        <w:t xml:space="preserve"> The FCC </w:t>
      </w:r>
      <w:r w:rsidRPr="003E7AD2" w:rsidR="00970239">
        <w:rPr>
          <w:rFonts w:ascii="Palatino Linotype" w:hAnsi="Palatino Linotype"/>
          <w:sz w:val="24"/>
          <w:szCs w:val="24"/>
        </w:rPr>
        <w:t>e</w:t>
      </w:r>
      <w:r w:rsidRPr="003E7AD2">
        <w:rPr>
          <w:rFonts w:ascii="Palatino Linotype" w:hAnsi="Palatino Linotype"/>
          <w:sz w:val="24"/>
          <w:szCs w:val="24"/>
        </w:rPr>
        <w:t xml:space="preserve">ncouraged </w:t>
      </w:r>
      <w:r w:rsidRPr="003E7AD2" w:rsidR="00970239">
        <w:rPr>
          <w:rFonts w:ascii="Palatino Linotype" w:hAnsi="Palatino Linotype"/>
          <w:sz w:val="24"/>
          <w:szCs w:val="24"/>
        </w:rPr>
        <w:t>the s</w:t>
      </w:r>
      <w:r w:rsidRPr="003E7AD2">
        <w:rPr>
          <w:rFonts w:ascii="Palatino Linotype" w:hAnsi="Palatino Linotype"/>
          <w:sz w:val="24"/>
          <w:szCs w:val="24"/>
        </w:rPr>
        <w:t>tates to implement 2</w:t>
      </w:r>
      <w:r w:rsidRPr="003E7AD2" w:rsidR="00EE2D1B">
        <w:rPr>
          <w:rFonts w:ascii="Palatino Linotype" w:hAnsi="Palatino Linotype"/>
          <w:sz w:val="24"/>
          <w:szCs w:val="24"/>
        </w:rPr>
        <w:t>-</w:t>
      </w:r>
      <w:r w:rsidRPr="003E7AD2">
        <w:rPr>
          <w:rFonts w:ascii="Palatino Linotype" w:hAnsi="Palatino Linotype"/>
          <w:sz w:val="24"/>
          <w:szCs w:val="24"/>
        </w:rPr>
        <w:t>1</w:t>
      </w:r>
      <w:r w:rsidRPr="003E7AD2" w:rsidR="00EE2D1B">
        <w:rPr>
          <w:rFonts w:ascii="Palatino Linotype" w:hAnsi="Palatino Linotype"/>
          <w:sz w:val="24"/>
          <w:szCs w:val="24"/>
        </w:rPr>
        <w:t>-</w:t>
      </w:r>
      <w:r w:rsidRPr="003E7AD2">
        <w:rPr>
          <w:rFonts w:ascii="Palatino Linotype" w:hAnsi="Palatino Linotype"/>
          <w:sz w:val="24"/>
          <w:szCs w:val="24"/>
        </w:rPr>
        <w:t>1 programs</w:t>
      </w:r>
      <w:r w:rsidRPr="003E7AD2" w:rsidR="00BD784C">
        <w:rPr>
          <w:rStyle w:val="FootnoteReference"/>
          <w:rFonts w:ascii="Palatino Linotype" w:hAnsi="Palatino Linotype"/>
          <w:sz w:val="24"/>
          <w:szCs w:val="24"/>
        </w:rPr>
        <w:footnoteReference w:id="2"/>
      </w:r>
      <w:r w:rsidRPr="003E7AD2" w:rsidR="00970239">
        <w:rPr>
          <w:rFonts w:ascii="Palatino Linotype" w:hAnsi="Palatino Linotype"/>
          <w:sz w:val="24"/>
          <w:szCs w:val="24"/>
        </w:rPr>
        <w:t xml:space="preserve"> and </w:t>
      </w:r>
      <w:r w:rsidRPr="003E7AD2">
        <w:rPr>
          <w:rFonts w:ascii="Palatino Linotype" w:hAnsi="Palatino Linotype"/>
          <w:sz w:val="24"/>
          <w:szCs w:val="24"/>
        </w:rPr>
        <w:t xml:space="preserve">directed that </w:t>
      </w:r>
      <w:r w:rsidRPr="003E7AD2" w:rsidR="00863AE1">
        <w:rPr>
          <w:rFonts w:ascii="Palatino Linotype" w:hAnsi="Palatino Linotype"/>
          <w:sz w:val="24"/>
          <w:szCs w:val="24"/>
        </w:rPr>
        <w:t>“</w:t>
      </w:r>
      <w:r w:rsidRPr="003E7AD2">
        <w:rPr>
          <w:rFonts w:ascii="Palatino Linotype" w:hAnsi="Palatino Linotype"/>
          <w:sz w:val="24"/>
          <w:szCs w:val="24"/>
        </w:rPr>
        <w:t xml:space="preserve">states will be allowed to continue to make local </w:t>
      </w:r>
      <w:r w:rsidRPr="003E7AD2" w:rsidR="00BD784C">
        <w:rPr>
          <w:rFonts w:ascii="Palatino Linotype" w:hAnsi="Palatino Linotype"/>
          <w:sz w:val="24"/>
          <w:szCs w:val="24"/>
        </w:rPr>
        <w:t xml:space="preserve">[N11] </w:t>
      </w:r>
      <w:r w:rsidRPr="003E7AD2">
        <w:rPr>
          <w:rFonts w:ascii="Palatino Linotype" w:hAnsi="Palatino Linotype"/>
          <w:sz w:val="24"/>
          <w:szCs w:val="24"/>
        </w:rPr>
        <w:t xml:space="preserve">assignments that do not conflict with </w:t>
      </w:r>
      <w:r w:rsidRPr="003E7AD2" w:rsidR="00BD784C">
        <w:rPr>
          <w:rFonts w:ascii="Palatino Linotype" w:hAnsi="Palatino Linotype"/>
          <w:sz w:val="24"/>
          <w:szCs w:val="24"/>
        </w:rPr>
        <w:t>[FCC]</w:t>
      </w:r>
      <w:r w:rsidRPr="003E7AD2">
        <w:rPr>
          <w:rFonts w:ascii="Palatino Linotype" w:hAnsi="Palatino Linotype"/>
          <w:sz w:val="24"/>
          <w:szCs w:val="24"/>
        </w:rPr>
        <w:t xml:space="preserve"> national assignments.</w:t>
      </w:r>
      <w:r w:rsidRPr="003E7AD2" w:rsidR="00EE2D1B">
        <w:rPr>
          <w:rFonts w:ascii="Palatino Linotype" w:hAnsi="Palatino Linotype"/>
          <w:sz w:val="24"/>
          <w:szCs w:val="24"/>
        </w:rPr>
        <w:t>”</w:t>
      </w:r>
      <w:r w:rsidRPr="003E7AD2" w:rsidR="00BD784C">
        <w:rPr>
          <w:rStyle w:val="FootnoteReference"/>
          <w:rFonts w:ascii="Palatino Linotype" w:hAnsi="Palatino Linotype"/>
          <w:sz w:val="24"/>
          <w:szCs w:val="24"/>
        </w:rPr>
        <w:footnoteReference w:id="3"/>
      </w:r>
    </w:p>
    <w:p w:rsidRPr="003E7AD2" w:rsidR="00734606" w:rsidP="006D659C" w:rsidRDefault="00734606" w14:paraId="5ED7D5A7" w14:textId="77777777">
      <w:pPr>
        <w:tabs>
          <w:tab w:val="left" w:pos="-1440"/>
          <w:tab w:val="left" w:pos="-720"/>
        </w:tabs>
        <w:suppressAutoHyphens/>
        <w:rPr>
          <w:rFonts w:ascii="Palatino Linotype" w:hAnsi="Palatino Linotype"/>
          <w:bCs/>
          <w:sz w:val="24"/>
          <w:szCs w:val="24"/>
        </w:rPr>
      </w:pPr>
    </w:p>
    <w:p w:rsidRPr="003E7AD2" w:rsidR="00734606" w:rsidP="006D659C" w:rsidRDefault="00734606" w14:paraId="05683A69" w14:textId="4F7A19D1">
      <w:pPr>
        <w:rPr>
          <w:rFonts w:ascii="Palatino Linotype" w:hAnsi="Palatino Linotype"/>
          <w:sz w:val="24"/>
          <w:szCs w:val="24"/>
        </w:rPr>
      </w:pPr>
      <w:r w:rsidRPr="003E7AD2">
        <w:rPr>
          <w:rFonts w:ascii="Palatino Linotype" w:hAnsi="Palatino Linotype"/>
          <w:sz w:val="24"/>
          <w:szCs w:val="24"/>
        </w:rPr>
        <w:t>On January 23, 2002, the California Public Utilities Commission (CPUC or Commission) initiated Rulemaking (R.) 02-01-025 to establish the framework for 2-1-1 dialing implementation in California. The Commission's Decision (D.) 03-02-029 outlined the policies for 2-1-1 dialing.</w:t>
      </w:r>
      <w:r w:rsidRPr="003E7AD2" w:rsidR="008F4CF6">
        <w:rPr>
          <w:rStyle w:val="FootnoteReference"/>
          <w:rFonts w:ascii="Palatino Linotype" w:hAnsi="Palatino Linotype"/>
          <w:sz w:val="24"/>
          <w:szCs w:val="24"/>
        </w:rPr>
        <w:footnoteReference w:id="4"/>
      </w:r>
      <w:r w:rsidRPr="003E7AD2">
        <w:rPr>
          <w:rFonts w:ascii="Palatino Linotype" w:hAnsi="Palatino Linotype"/>
          <w:sz w:val="24"/>
          <w:szCs w:val="24"/>
        </w:rPr>
        <w:t xml:space="preserve"> This decision mandated that Information and Referral (I&amp;R) service providers seeking authorization for 2-1-1 services must submit a formal letter to the Commission's Executive Director.</w:t>
      </w:r>
      <w:r w:rsidRPr="003E7AD2" w:rsidR="008F4CF6">
        <w:rPr>
          <w:rStyle w:val="FootnoteReference"/>
          <w:rFonts w:ascii="Palatino Linotype" w:hAnsi="Palatino Linotype"/>
          <w:sz w:val="24"/>
          <w:szCs w:val="24"/>
        </w:rPr>
        <w:footnoteReference w:id="5"/>
      </w:r>
      <w:r w:rsidRPr="003E7AD2">
        <w:rPr>
          <w:rFonts w:ascii="Palatino Linotype" w:hAnsi="Palatino Linotype"/>
          <w:sz w:val="24"/>
          <w:szCs w:val="24"/>
        </w:rPr>
        <w:t xml:space="preserve"> These letters were subject to review and certification, along with a service rollout plan. According to the decision, the Commission's staff would evaluate the proposals using the guidelines outlined in Appendix A and prepare a resolution for the Commission's consideration. The decision did not specify fixed deadlines for reviewing certification requests but indicated an approximate six-month timeframe for the Commission to approve a specific 2-1-1 proposal, encompassing I&amp;R provider certification and service commencement.</w:t>
      </w:r>
      <w:r w:rsidRPr="003E7AD2" w:rsidR="005F75EC">
        <w:rPr>
          <w:rStyle w:val="FootnoteReference"/>
          <w:rFonts w:ascii="Palatino Linotype" w:hAnsi="Palatino Linotype"/>
          <w:sz w:val="24"/>
          <w:szCs w:val="24"/>
        </w:rPr>
        <w:footnoteReference w:id="6"/>
      </w:r>
    </w:p>
    <w:p w:rsidRPr="003E7AD2" w:rsidR="006D28AD" w:rsidP="006D659C" w:rsidRDefault="006D28AD" w14:paraId="1014D733" w14:textId="77777777">
      <w:pPr>
        <w:tabs>
          <w:tab w:val="left" w:pos="-1440"/>
          <w:tab w:val="left" w:pos="-720"/>
        </w:tabs>
        <w:suppressAutoHyphens/>
        <w:rPr>
          <w:rFonts w:ascii="Palatino Linotype" w:hAnsi="Palatino Linotype"/>
          <w:bCs/>
          <w:sz w:val="24"/>
          <w:szCs w:val="24"/>
        </w:rPr>
      </w:pPr>
    </w:p>
    <w:p w:rsidRPr="003E7AD2" w:rsidR="00E254B1" w:rsidP="006D659C" w:rsidRDefault="003E6D29" w14:paraId="12A0AFA4" w14:textId="4B1F6FE7">
      <w:pPr>
        <w:tabs>
          <w:tab w:val="left" w:pos="-1440"/>
          <w:tab w:val="left" w:pos="-720"/>
        </w:tabs>
        <w:suppressAutoHyphens/>
        <w:rPr>
          <w:rFonts w:ascii="Palatino Linotype" w:hAnsi="Palatino Linotype"/>
          <w:bCs/>
          <w:sz w:val="24"/>
          <w:szCs w:val="24"/>
        </w:rPr>
      </w:pPr>
      <w:r w:rsidRPr="003E7AD2">
        <w:rPr>
          <w:rFonts w:ascii="Palatino Linotype" w:hAnsi="Palatino Linotype"/>
          <w:bCs/>
          <w:sz w:val="24"/>
          <w:szCs w:val="24"/>
        </w:rPr>
        <w:t>On June 3, 2010, the Commission instituted R.10-06-002 to authorize disaster-only 2-1-1 service in counties unserved by full-service 2-1-1</w:t>
      </w:r>
      <w:r w:rsidRPr="003E7AD2" w:rsidR="00FA3DB8">
        <w:rPr>
          <w:rFonts w:ascii="Palatino Linotype" w:hAnsi="Palatino Linotype"/>
          <w:bCs/>
          <w:sz w:val="24"/>
          <w:szCs w:val="24"/>
        </w:rPr>
        <w:t xml:space="preserve"> (unserved counties)</w:t>
      </w:r>
      <w:r w:rsidRPr="003E7AD2">
        <w:rPr>
          <w:rFonts w:ascii="Palatino Linotype" w:hAnsi="Palatino Linotype"/>
          <w:bCs/>
          <w:sz w:val="24"/>
          <w:szCs w:val="24"/>
        </w:rPr>
        <w:t xml:space="preserve">. </w:t>
      </w:r>
      <w:r w:rsidRPr="003E7AD2" w:rsidR="00F44C34">
        <w:rPr>
          <w:rFonts w:ascii="Palatino Linotype" w:hAnsi="Palatino Linotype"/>
          <w:bCs/>
          <w:sz w:val="24"/>
          <w:szCs w:val="24"/>
        </w:rPr>
        <w:t xml:space="preserve"> </w:t>
      </w:r>
      <w:r w:rsidRPr="003E7AD2">
        <w:rPr>
          <w:rFonts w:ascii="Palatino Linotype" w:hAnsi="Palatino Linotype"/>
          <w:bCs/>
          <w:sz w:val="24"/>
          <w:szCs w:val="24"/>
        </w:rPr>
        <w:t>In D.11-09-016, the Commission adopted the regulatory policies and procedures needed to implement disaster-only 2-1-1 dialing.</w:t>
      </w:r>
      <w:r w:rsidRPr="003E7AD2">
        <w:rPr>
          <w:rStyle w:val="FootnoteReference"/>
          <w:rFonts w:ascii="Palatino Linotype" w:hAnsi="Palatino Linotype"/>
          <w:bCs/>
          <w:sz w:val="24"/>
          <w:szCs w:val="24"/>
        </w:rPr>
        <w:footnoteReference w:id="7"/>
      </w:r>
    </w:p>
    <w:p w:rsidRPr="003E7AD2" w:rsidR="00F80852" w:rsidP="006D659C" w:rsidRDefault="00F80852" w14:paraId="237DACE1" w14:textId="275E05A3">
      <w:pPr>
        <w:tabs>
          <w:tab w:val="left" w:pos="-1440"/>
          <w:tab w:val="left" w:pos="-720"/>
        </w:tabs>
        <w:suppressAutoHyphens/>
        <w:rPr>
          <w:rFonts w:ascii="Palatino Linotype" w:hAnsi="Palatino Linotype"/>
          <w:bCs/>
          <w:sz w:val="24"/>
          <w:szCs w:val="24"/>
        </w:rPr>
      </w:pPr>
    </w:p>
    <w:p w:rsidRPr="003E7AD2" w:rsidR="003B6518" w:rsidP="006D659C" w:rsidRDefault="00F80852" w14:paraId="04545245" w14:textId="2C305C96">
      <w:pPr>
        <w:tabs>
          <w:tab w:val="left" w:pos="-1440"/>
          <w:tab w:val="left" w:pos="-720"/>
        </w:tabs>
        <w:suppressAutoHyphens/>
        <w:rPr>
          <w:rFonts w:ascii="Palatino Linotype" w:hAnsi="Palatino Linotype"/>
          <w:sz w:val="24"/>
          <w:szCs w:val="24"/>
        </w:rPr>
      </w:pPr>
      <w:r w:rsidRPr="003E7AD2">
        <w:rPr>
          <w:rFonts w:ascii="Palatino Linotype" w:hAnsi="Palatino Linotype"/>
          <w:sz w:val="24"/>
          <w:szCs w:val="24"/>
        </w:rPr>
        <w:t xml:space="preserve">In 2016, Governor Jerry Brown signed Senate Bill (SB) 1212 into law. </w:t>
      </w:r>
      <w:r w:rsidRPr="003E7AD2" w:rsidR="00F44C34">
        <w:rPr>
          <w:rFonts w:ascii="Palatino Linotype" w:hAnsi="Palatino Linotype"/>
          <w:sz w:val="24"/>
          <w:szCs w:val="24"/>
        </w:rPr>
        <w:t xml:space="preserve"> The legislation</w:t>
      </w:r>
      <w:r w:rsidRPr="003E7AD2">
        <w:rPr>
          <w:rFonts w:ascii="Palatino Linotype" w:hAnsi="Palatino Linotype"/>
          <w:sz w:val="24"/>
          <w:szCs w:val="24"/>
        </w:rPr>
        <w:t xml:space="preserve"> authorizes the Commission to spend $1.5 million from the California Teleconnect Fund Administrative Committee Fund to implement </w:t>
      </w:r>
      <w:r w:rsidRPr="003E7AD2" w:rsidR="003B6518">
        <w:rPr>
          <w:rFonts w:ascii="Palatino Linotype" w:hAnsi="Palatino Linotype"/>
          <w:sz w:val="24"/>
          <w:szCs w:val="24"/>
        </w:rPr>
        <w:t xml:space="preserve">disaster-only </w:t>
      </w:r>
      <w:r w:rsidRPr="003E7AD2">
        <w:rPr>
          <w:rFonts w:ascii="Palatino Linotype" w:hAnsi="Palatino Linotype"/>
          <w:sz w:val="24"/>
          <w:szCs w:val="24"/>
        </w:rPr>
        <w:t xml:space="preserve">2-1-1 service in </w:t>
      </w:r>
      <w:r w:rsidRPr="003E7AD2" w:rsidR="00FA3DB8">
        <w:rPr>
          <w:rFonts w:ascii="Palatino Linotype" w:hAnsi="Palatino Linotype"/>
          <w:sz w:val="24"/>
          <w:szCs w:val="24"/>
        </w:rPr>
        <w:t xml:space="preserve">the </w:t>
      </w:r>
      <w:r w:rsidRPr="003E7AD2">
        <w:rPr>
          <w:rFonts w:ascii="Palatino Linotype" w:hAnsi="Palatino Linotype"/>
          <w:sz w:val="24"/>
          <w:szCs w:val="24"/>
        </w:rPr>
        <w:t>unserved counties in California. This authority expire</w:t>
      </w:r>
      <w:r w:rsidRPr="003E7AD2" w:rsidR="00A71271">
        <w:rPr>
          <w:rFonts w:ascii="Palatino Linotype" w:hAnsi="Palatino Linotype"/>
          <w:sz w:val="24"/>
          <w:szCs w:val="24"/>
        </w:rPr>
        <w:t>d</w:t>
      </w:r>
      <w:r w:rsidRPr="003E7AD2">
        <w:rPr>
          <w:rFonts w:ascii="Palatino Linotype" w:hAnsi="Palatino Linotype"/>
          <w:sz w:val="24"/>
          <w:szCs w:val="24"/>
        </w:rPr>
        <w:t xml:space="preserve"> on January 1, 2023.</w:t>
      </w:r>
      <w:r w:rsidRPr="003E7AD2">
        <w:rPr>
          <w:rStyle w:val="FootnoteReference"/>
          <w:rFonts w:ascii="Palatino Linotype" w:hAnsi="Palatino Linotype"/>
          <w:sz w:val="24"/>
          <w:szCs w:val="24"/>
        </w:rPr>
        <w:footnoteReference w:id="8"/>
      </w:r>
    </w:p>
    <w:p w:rsidRPr="003E7AD2" w:rsidR="00E168B1" w:rsidP="006D659C" w:rsidRDefault="00E168B1" w14:paraId="7F6EE9A5" w14:textId="77777777">
      <w:pPr>
        <w:tabs>
          <w:tab w:val="left" w:pos="-1440"/>
          <w:tab w:val="left" w:pos="-720"/>
        </w:tabs>
        <w:suppressAutoHyphens/>
        <w:rPr>
          <w:rFonts w:ascii="Palatino Linotype" w:hAnsi="Palatino Linotype"/>
          <w:sz w:val="24"/>
          <w:szCs w:val="24"/>
        </w:rPr>
      </w:pPr>
    </w:p>
    <w:p w:rsidRPr="003E7AD2" w:rsidR="003B6518" w:rsidP="006D659C" w:rsidRDefault="003B6518" w14:paraId="322DD082" w14:textId="35B5A555">
      <w:pPr>
        <w:suppressAutoHyphens/>
        <w:rPr>
          <w:rFonts w:ascii="Palatino Linotype" w:hAnsi="Palatino Linotype"/>
          <w:sz w:val="24"/>
          <w:szCs w:val="24"/>
        </w:rPr>
      </w:pPr>
      <w:r w:rsidRPr="003E7AD2">
        <w:rPr>
          <w:rFonts w:ascii="Palatino Linotype" w:hAnsi="Palatino Linotype"/>
          <w:sz w:val="24"/>
          <w:szCs w:val="24"/>
        </w:rPr>
        <w:t xml:space="preserve">On </w:t>
      </w:r>
      <w:r w:rsidRPr="003E7AD2">
        <w:rPr>
          <w:rFonts w:ascii="Palatino Linotype" w:hAnsi="Palatino Linotype"/>
          <w:color w:val="000000"/>
          <w:sz w:val="24"/>
          <w:szCs w:val="24"/>
        </w:rPr>
        <w:t>November 12, 2019</w:t>
      </w:r>
      <w:r w:rsidRPr="003E7AD2">
        <w:rPr>
          <w:rFonts w:ascii="Palatino Linotype" w:hAnsi="Palatino Linotype"/>
          <w:sz w:val="24"/>
          <w:szCs w:val="24"/>
        </w:rPr>
        <w:t xml:space="preserve">, the Commission adopted Resolution </w:t>
      </w:r>
      <w:r w:rsidRPr="003E7AD2" w:rsidR="009D432F">
        <w:rPr>
          <w:rFonts w:ascii="Palatino Linotype" w:hAnsi="Palatino Linotype"/>
          <w:sz w:val="24"/>
          <w:szCs w:val="24"/>
        </w:rPr>
        <w:t xml:space="preserve">(Res.) </w:t>
      </w:r>
      <w:r w:rsidRPr="003E7AD2">
        <w:rPr>
          <w:rFonts w:ascii="Palatino Linotype" w:hAnsi="Palatino Linotype"/>
          <w:sz w:val="24"/>
          <w:szCs w:val="24"/>
        </w:rPr>
        <w:t xml:space="preserve">T-17679, granting Interface Children and Family Services </w:t>
      </w:r>
      <w:r w:rsidRPr="003E7AD2" w:rsidR="00C5128E">
        <w:rPr>
          <w:rFonts w:ascii="Palatino Linotype" w:hAnsi="Palatino Linotype"/>
          <w:sz w:val="24"/>
          <w:szCs w:val="24"/>
        </w:rPr>
        <w:t xml:space="preserve">(Interface) </w:t>
      </w:r>
      <w:r w:rsidRPr="003E7AD2">
        <w:rPr>
          <w:rFonts w:ascii="Palatino Linotype" w:hAnsi="Palatino Linotype"/>
          <w:sz w:val="24"/>
          <w:szCs w:val="24"/>
        </w:rPr>
        <w:t xml:space="preserve">the authority to use the 2-1-1 dialing code to provide disaster-only 2-1-1 service </w:t>
      </w:r>
      <w:r w:rsidRPr="003E7AD2" w:rsidR="007D4240">
        <w:rPr>
          <w:rFonts w:ascii="Palatino Linotype" w:hAnsi="Palatino Linotype"/>
          <w:sz w:val="24"/>
          <w:szCs w:val="24"/>
        </w:rPr>
        <w:t xml:space="preserve">to twelve </w:t>
      </w:r>
      <w:r w:rsidRPr="003E7AD2" w:rsidR="00FA3DB8">
        <w:rPr>
          <w:rFonts w:ascii="Palatino Linotype" w:hAnsi="Palatino Linotype"/>
          <w:sz w:val="24"/>
          <w:szCs w:val="24"/>
        </w:rPr>
        <w:t xml:space="preserve">unserved </w:t>
      </w:r>
      <w:r w:rsidRPr="003E7AD2" w:rsidR="007D4240">
        <w:rPr>
          <w:rFonts w:ascii="Palatino Linotype" w:hAnsi="Palatino Linotype"/>
          <w:sz w:val="24"/>
          <w:szCs w:val="24"/>
        </w:rPr>
        <w:t>counties</w:t>
      </w:r>
      <w:r w:rsidRPr="003E7AD2" w:rsidR="00253E4F">
        <w:rPr>
          <w:rFonts w:ascii="Palatino Linotype" w:hAnsi="Palatino Linotype"/>
          <w:sz w:val="24"/>
          <w:szCs w:val="24"/>
        </w:rPr>
        <w:t>,</w:t>
      </w:r>
      <w:r w:rsidRPr="003E7AD2" w:rsidR="007D4240">
        <w:rPr>
          <w:rStyle w:val="FootnoteReference"/>
          <w:rFonts w:ascii="Palatino Linotype" w:hAnsi="Palatino Linotype"/>
          <w:sz w:val="24"/>
          <w:szCs w:val="24"/>
        </w:rPr>
        <w:footnoteReference w:id="9"/>
      </w:r>
      <w:r w:rsidRPr="003E7AD2" w:rsidR="00570264">
        <w:rPr>
          <w:rFonts w:ascii="Palatino Linotype" w:hAnsi="Palatino Linotype"/>
          <w:sz w:val="24"/>
          <w:szCs w:val="24"/>
        </w:rPr>
        <w:t xml:space="preserve"> </w:t>
      </w:r>
      <w:r w:rsidRPr="003E7AD2" w:rsidR="00A0124A">
        <w:rPr>
          <w:rFonts w:ascii="Palatino Linotype" w:hAnsi="Palatino Linotype"/>
          <w:sz w:val="24"/>
          <w:szCs w:val="24"/>
        </w:rPr>
        <w:t>and authorizing</w:t>
      </w:r>
      <w:r w:rsidRPr="003E7AD2" w:rsidR="00793199">
        <w:rPr>
          <w:rFonts w:ascii="Palatino Linotype" w:hAnsi="Palatino Linotype"/>
          <w:sz w:val="24"/>
          <w:szCs w:val="24"/>
        </w:rPr>
        <w:t xml:space="preserve"> the expenditure of funds for </w:t>
      </w:r>
      <w:r w:rsidRPr="003E7AD2" w:rsidR="005B2ED7">
        <w:rPr>
          <w:rFonts w:ascii="Palatino Linotype" w:hAnsi="Palatino Linotype"/>
          <w:sz w:val="24"/>
          <w:szCs w:val="24"/>
        </w:rPr>
        <w:t xml:space="preserve">the </w:t>
      </w:r>
      <w:r w:rsidRPr="003E7AD2" w:rsidR="00793199">
        <w:rPr>
          <w:rFonts w:ascii="Palatino Linotype" w:hAnsi="Palatino Linotype"/>
          <w:sz w:val="24"/>
          <w:szCs w:val="24"/>
        </w:rPr>
        <w:t>implementation of disaster-only 2-1-1 service in the unserved counties in accordance with SB 121</w:t>
      </w:r>
      <w:r w:rsidRPr="003E7AD2" w:rsidR="00F415F9">
        <w:rPr>
          <w:rFonts w:ascii="Palatino Linotype" w:hAnsi="Palatino Linotype"/>
          <w:sz w:val="24"/>
          <w:szCs w:val="24"/>
        </w:rPr>
        <w:t>2.</w:t>
      </w:r>
      <w:r w:rsidRPr="003E7AD2" w:rsidR="00E777D6">
        <w:rPr>
          <w:rStyle w:val="FootnoteReference"/>
          <w:rFonts w:ascii="Palatino Linotype" w:hAnsi="Palatino Linotype"/>
          <w:sz w:val="24"/>
          <w:szCs w:val="24"/>
        </w:rPr>
        <w:footnoteReference w:id="10"/>
      </w:r>
    </w:p>
    <w:p w:rsidRPr="003E7AD2" w:rsidR="00DD6C98" w:rsidP="006D659C" w:rsidRDefault="00DD6C98" w14:paraId="2E37CE8B" w14:textId="2DFB83BD">
      <w:pPr>
        <w:keepLines/>
        <w:tabs>
          <w:tab w:val="left" w:pos="-1440"/>
          <w:tab w:val="left" w:pos="-720"/>
        </w:tabs>
        <w:suppressAutoHyphens/>
        <w:rPr>
          <w:rFonts w:ascii="Palatino Linotype" w:hAnsi="Palatino Linotype"/>
          <w:sz w:val="24"/>
          <w:szCs w:val="24"/>
        </w:rPr>
      </w:pPr>
      <w:bookmarkStart w:name="_Hlk534982611" w:id="4"/>
    </w:p>
    <w:p w:rsidRPr="003E7AD2" w:rsidR="00BC5B2A" w:rsidP="006D659C" w:rsidRDefault="00F80062" w14:paraId="09FBB154" w14:textId="498BAC7B">
      <w:pPr>
        <w:keepNext/>
        <w:rPr>
          <w:rFonts w:ascii="Palatino Linotype" w:hAnsi="Palatino Linotype"/>
          <w:sz w:val="24"/>
          <w:szCs w:val="24"/>
        </w:rPr>
      </w:pPr>
      <w:bookmarkStart w:name="_Hlk25592448" w:id="5"/>
      <w:r w:rsidRPr="003E7AD2">
        <w:rPr>
          <w:rFonts w:ascii="Palatino Linotype" w:hAnsi="Palatino Linotype"/>
          <w:sz w:val="24"/>
          <w:szCs w:val="24"/>
        </w:rPr>
        <w:t xml:space="preserve">On </w:t>
      </w:r>
      <w:r w:rsidRPr="003E7AD2" w:rsidR="006D28AD">
        <w:rPr>
          <w:rFonts w:ascii="Palatino Linotype" w:hAnsi="Palatino Linotype"/>
          <w:sz w:val="24"/>
          <w:szCs w:val="24"/>
        </w:rPr>
        <w:t>September 12</w:t>
      </w:r>
      <w:r w:rsidRPr="003E7AD2" w:rsidR="001E162F">
        <w:rPr>
          <w:rFonts w:ascii="Palatino Linotype" w:hAnsi="Palatino Linotype"/>
          <w:sz w:val="24"/>
          <w:szCs w:val="24"/>
        </w:rPr>
        <w:t>, 202</w:t>
      </w:r>
      <w:r w:rsidRPr="003E7AD2" w:rsidR="008376DA">
        <w:rPr>
          <w:rFonts w:ascii="Palatino Linotype" w:hAnsi="Palatino Linotype"/>
          <w:sz w:val="24"/>
          <w:szCs w:val="24"/>
        </w:rPr>
        <w:t>3</w:t>
      </w:r>
      <w:r w:rsidRPr="003E7AD2" w:rsidR="00BB28C6">
        <w:rPr>
          <w:rFonts w:ascii="Palatino Linotype" w:hAnsi="Palatino Linotype"/>
          <w:sz w:val="24"/>
          <w:szCs w:val="24"/>
        </w:rPr>
        <w:t xml:space="preserve">, </w:t>
      </w:r>
      <w:r w:rsidRPr="003E7AD2">
        <w:rPr>
          <w:rFonts w:ascii="Palatino Linotype" w:hAnsi="Palatino Linotype"/>
          <w:sz w:val="24"/>
          <w:szCs w:val="24"/>
        </w:rPr>
        <w:t xml:space="preserve">the Commission’s Executive Director received via </w:t>
      </w:r>
      <w:r w:rsidRPr="003E7AD2" w:rsidR="001E162F">
        <w:rPr>
          <w:rFonts w:ascii="Palatino Linotype" w:hAnsi="Palatino Linotype"/>
          <w:sz w:val="24"/>
          <w:szCs w:val="24"/>
        </w:rPr>
        <w:t>email</w:t>
      </w:r>
      <w:r w:rsidRPr="003E7AD2">
        <w:rPr>
          <w:rFonts w:ascii="Palatino Linotype" w:hAnsi="Palatino Linotype"/>
          <w:sz w:val="24"/>
          <w:szCs w:val="24"/>
        </w:rPr>
        <w:t xml:space="preserve"> the application letter (application)</w:t>
      </w:r>
      <w:r w:rsidRPr="003E7AD2">
        <w:rPr>
          <w:rFonts w:ascii="Palatino Linotype" w:hAnsi="Palatino Linotype"/>
          <w:sz w:val="24"/>
          <w:szCs w:val="24"/>
          <w:vertAlign w:val="superscript"/>
        </w:rPr>
        <w:footnoteReference w:id="11"/>
      </w:r>
      <w:r w:rsidRPr="003E7AD2">
        <w:rPr>
          <w:rFonts w:ascii="Palatino Linotype" w:hAnsi="Palatino Linotype"/>
          <w:sz w:val="24"/>
          <w:szCs w:val="24"/>
        </w:rPr>
        <w:t xml:space="preserve"> submitted by</w:t>
      </w:r>
      <w:r w:rsidRPr="003E7AD2" w:rsidR="006D28AD">
        <w:rPr>
          <w:rFonts w:ascii="Palatino Linotype" w:hAnsi="Palatino Linotype"/>
          <w:sz w:val="24"/>
          <w:szCs w:val="24"/>
        </w:rPr>
        <w:t xml:space="preserve"> </w:t>
      </w:r>
      <w:r w:rsidRPr="003E7AD2" w:rsidR="00F9680F">
        <w:rPr>
          <w:rFonts w:ascii="Palatino Linotype" w:hAnsi="Palatino Linotype"/>
          <w:iCs/>
          <w:sz w:val="24"/>
          <w:szCs w:val="24"/>
        </w:rPr>
        <w:t>Tuolumne County Public Health Department</w:t>
      </w:r>
      <w:r w:rsidRPr="003E7AD2">
        <w:rPr>
          <w:rFonts w:ascii="Palatino Linotype" w:hAnsi="Palatino Linotype"/>
          <w:sz w:val="24"/>
          <w:szCs w:val="24"/>
        </w:rPr>
        <w:t xml:space="preserve"> requesting certification as the 2</w:t>
      </w:r>
      <w:r w:rsidRPr="003E7AD2">
        <w:rPr>
          <w:rFonts w:ascii="Palatino Linotype" w:hAnsi="Palatino Linotype"/>
          <w:sz w:val="24"/>
          <w:szCs w:val="24"/>
        </w:rPr>
        <w:noBreakHyphen/>
        <w:t>1</w:t>
      </w:r>
      <w:r w:rsidRPr="003E7AD2">
        <w:rPr>
          <w:rFonts w:ascii="Palatino Linotype" w:hAnsi="Palatino Linotype"/>
          <w:sz w:val="24"/>
          <w:szCs w:val="24"/>
        </w:rPr>
        <w:noBreakHyphen/>
        <w:t xml:space="preserve">1 service provider in </w:t>
      </w:r>
      <w:r w:rsidRPr="003E7AD2" w:rsidR="000546D1">
        <w:rPr>
          <w:rFonts w:ascii="Palatino Linotype" w:hAnsi="Palatino Linotype"/>
          <w:sz w:val="24"/>
          <w:szCs w:val="24"/>
        </w:rPr>
        <w:t>Orange</w:t>
      </w:r>
      <w:r w:rsidRPr="003E7AD2" w:rsidR="008376DA">
        <w:rPr>
          <w:rFonts w:ascii="Palatino Linotype" w:hAnsi="Palatino Linotype"/>
          <w:sz w:val="24"/>
          <w:szCs w:val="24"/>
        </w:rPr>
        <w:t xml:space="preserve"> County</w:t>
      </w:r>
      <w:r w:rsidRPr="003E7AD2">
        <w:rPr>
          <w:rFonts w:ascii="Palatino Linotype" w:hAnsi="Palatino Linotype"/>
          <w:sz w:val="24"/>
          <w:szCs w:val="24"/>
        </w:rPr>
        <w:t>.</w:t>
      </w:r>
      <w:bookmarkStart w:name="_Hlk25592475" w:id="6"/>
      <w:r w:rsidRPr="003E7AD2" w:rsidR="00060571">
        <w:rPr>
          <w:rFonts w:ascii="Palatino Linotype" w:hAnsi="Palatino Linotype"/>
          <w:sz w:val="24"/>
          <w:szCs w:val="24"/>
        </w:rPr>
        <w:t xml:space="preserve">  </w:t>
      </w:r>
      <w:bookmarkEnd w:id="5"/>
      <w:bookmarkEnd w:id="6"/>
    </w:p>
    <w:p w:rsidRPr="003E7AD2" w:rsidR="001E162F" w:rsidP="006D659C" w:rsidRDefault="001E162F" w14:paraId="672E101F" w14:textId="77777777">
      <w:pPr>
        <w:tabs>
          <w:tab w:val="left" w:pos="-1440"/>
          <w:tab w:val="left" w:pos="-720"/>
        </w:tabs>
        <w:suppressAutoHyphens/>
        <w:rPr>
          <w:rFonts w:ascii="Palatino Linotype" w:hAnsi="Palatino Linotype"/>
          <w:sz w:val="24"/>
          <w:szCs w:val="24"/>
        </w:rPr>
      </w:pPr>
    </w:p>
    <w:p w:rsidRPr="003E7AD2" w:rsidR="00F7550D" w:rsidP="006D659C" w:rsidRDefault="004D3C75" w14:paraId="17CEAA53" w14:textId="39753616">
      <w:pPr>
        <w:tabs>
          <w:tab w:val="left" w:pos="-1440"/>
          <w:tab w:val="left" w:pos="-720"/>
        </w:tabs>
        <w:suppressAutoHyphens/>
        <w:rPr>
          <w:rFonts w:ascii="Palatino Linotype" w:hAnsi="Palatino Linotype"/>
          <w:sz w:val="24"/>
          <w:szCs w:val="24"/>
        </w:rPr>
      </w:pPr>
      <w:r w:rsidRPr="003E7AD2">
        <w:rPr>
          <w:rFonts w:ascii="Palatino Linotype" w:hAnsi="Palatino Linotype"/>
          <w:sz w:val="24"/>
          <w:szCs w:val="24"/>
        </w:rPr>
        <w:t xml:space="preserve">The </w:t>
      </w:r>
      <w:r w:rsidRPr="003E7AD2" w:rsidR="005479A8">
        <w:rPr>
          <w:rFonts w:ascii="Palatino Linotype" w:hAnsi="Palatino Linotype"/>
          <w:sz w:val="24"/>
          <w:szCs w:val="24"/>
        </w:rPr>
        <w:t xml:space="preserve">Communications </w:t>
      </w:r>
      <w:r w:rsidRPr="003E7AD2">
        <w:rPr>
          <w:rFonts w:ascii="Palatino Linotype" w:hAnsi="Palatino Linotype"/>
          <w:sz w:val="24"/>
          <w:szCs w:val="24"/>
        </w:rPr>
        <w:t xml:space="preserve">Division </w:t>
      </w:r>
      <w:r w:rsidRPr="003E7AD2" w:rsidR="003F5D06">
        <w:rPr>
          <w:rFonts w:ascii="Palatino Linotype" w:hAnsi="Palatino Linotype"/>
          <w:sz w:val="24"/>
          <w:szCs w:val="24"/>
        </w:rPr>
        <w:t xml:space="preserve">(CD or staff) </w:t>
      </w:r>
      <w:r w:rsidRPr="003E7AD2">
        <w:rPr>
          <w:rFonts w:ascii="Palatino Linotype" w:hAnsi="Palatino Linotype"/>
          <w:sz w:val="24"/>
          <w:szCs w:val="24"/>
        </w:rPr>
        <w:t xml:space="preserve">published </w:t>
      </w:r>
      <w:r w:rsidRPr="003E7AD2" w:rsidR="00A71271">
        <w:rPr>
          <w:rFonts w:ascii="Palatino Linotype" w:hAnsi="Palatino Linotype"/>
          <w:sz w:val="24"/>
          <w:szCs w:val="24"/>
        </w:rPr>
        <w:t xml:space="preserve">a </w:t>
      </w:r>
      <w:r w:rsidRPr="003E7AD2">
        <w:rPr>
          <w:rFonts w:ascii="Palatino Linotype" w:hAnsi="Palatino Linotype"/>
          <w:sz w:val="24"/>
          <w:szCs w:val="24"/>
        </w:rPr>
        <w:t xml:space="preserve">notice </w:t>
      </w:r>
      <w:r w:rsidRPr="003E7AD2" w:rsidR="00E31A86">
        <w:rPr>
          <w:rFonts w:ascii="Palatino Linotype" w:hAnsi="Palatino Linotype"/>
          <w:sz w:val="24"/>
          <w:szCs w:val="24"/>
        </w:rPr>
        <w:t xml:space="preserve">of </w:t>
      </w:r>
      <w:r w:rsidRPr="003E7AD2" w:rsidR="00F9680F">
        <w:rPr>
          <w:rFonts w:ascii="Palatino Linotype" w:hAnsi="Palatino Linotype"/>
          <w:iCs/>
          <w:sz w:val="24"/>
          <w:szCs w:val="24"/>
        </w:rPr>
        <w:t>Tuolumne County Public Health Department</w:t>
      </w:r>
      <w:r w:rsidRPr="003E7AD2" w:rsidR="008376DA">
        <w:rPr>
          <w:rFonts w:ascii="Palatino Linotype" w:hAnsi="Palatino Linotype"/>
          <w:sz w:val="24"/>
          <w:szCs w:val="24"/>
        </w:rPr>
        <w:t xml:space="preserve">’s </w:t>
      </w:r>
      <w:r w:rsidRPr="003E7AD2">
        <w:rPr>
          <w:rFonts w:ascii="Palatino Linotype" w:hAnsi="Palatino Linotype"/>
          <w:sz w:val="24"/>
          <w:szCs w:val="24"/>
        </w:rPr>
        <w:t xml:space="preserve">application in the Commission Daily Calendar </w:t>
      </w:r>
      <w:r w:rsidRPr="003E7AD2" w:rsidR="001E162F">
        <w:rPr>
          <w:rFonts w:ascii="Palatino Linotype" w:hAnsi="Palatino Linotype"/>
          <w:sz w:val="24"/>
          <w:szCs w:val="24"/>
        </w:rPr>
        <w:t xml:space="preserve">for five business days </w:t>
      </w:r>
      <w:r w:rsidRPr="003E7AD2" w:rsidR="00E34848">
        <w:rPr>
          <w:rFonts w:ascii="Palatino Linotype" w:hAnsi="Palatino Linotype"/>
          <w:sz w:val="24"/>
          <w:szCs w:val="24"/>
        </w:rPr>
        <w:t>from</w:t>
      </w:r>
      <w:r w:rsidRPr="003E7AD2" w:rsidR="003A1B0E">
        <w:rPr>
          <w:rFonts w:ascii="Palatino Linotype" w:hAnsi="Palatino Linotype"/>
          <w:sz w:val="24"/>
          <w:szCs w:val="24"/>
        </w:rPr>
        <w:t xml:space="preserve"> </w:t>
      </w:r>
      <w:r w:rsidRPr="003E7AD2" w:rsidR="00461646">
        <w:rPr>
          <w:rFonts w:ascii="Palatino Linotype" w:hAnsi="Palatino Linotype"/>
          <w:sz w:val="24"/>
          <w:szCs w:val="24"/>
        </w:rPr>
        <w:t>November 17</w:t>
      </w:r>
      <w:r w:rsidRPr="003E7AD2" w:rsidR="009E2D89">
        <w:rPr>
          <w:rFonts w:ascii="Palatino Linotype" w:hAnsi="Palatino Linotype"/>
          <w:sz w:val="24"/>
          <w:szCs w:val="24"/>
        </w:rPr>
        <w:t xml:space="preserve"> </w:t>
      </w:r>
      <w:r w:rsidRPr="003E7AD2" w:rsidR="006137DF">
        <w:rPr>
          <w:rFonts w:ascii="Palatino Linotype" w:hAnsi="Palatino Linotype"/>
          <w:sz w:val="24"/>
          <w:szCs w:val="24"/>
        </w:rPr>
        <w:t xml:space="preserve">to </w:t>
      </w:r>
      <w:r w:rsidRPr="003E7AD2" w:rsidR="00461646">
        <w:rPr>
          <w:rFonts w:ascii="Palatino Linotype" w:hAnsi="Palatino Linotype"/>
          <w:sz w:val="24"/>
          <w:szCs w:val="24"/>
        </w:rPr>
        <w:t>November 27</w:t>
      </w:r>
      <w:r w:rsidRPr="003E7AD2" w:rsidR="006137DF">
        <w:rPr>
          <w:rFonts w:ascii="Palatino Linotype" w:hAnsi="Palatino Linotype"/>
          <w:sz w:val="24"/>
          <w:szCs w:val="24"/>
        </w:rPr>
        <w:t xml:space="preserve">, </w:t>
      </w:r>
      <w:r w:rsidRPr="003E7AD2" w:rsidR="004C7BA3">
        <w:rPr>
          <w:rFonts w:ascii="Palatino Linotype" w:hAnsi="Palatino Linotype"/>
          <w:sz w:val="24"/>
          <w:szCs w:val="24"/>
        </w:rPr>
        <w:t>2023.</w:t>
      </w:r>
      <w:r w:rsidRPr="003E7AD2" w:rsidR="00281A30">
        <w:rPr>
          <w:rFonts w:ascii="Palatino Linotype" w:hAnsi="Palatino Linotype"/>
          <w:sz w:val="24"/>
          <w:szCs w:val="24"/>
        </w:rPr>
        <w:t xml:space="preserve"> </w:t>
      </w:r>
      <w:r w:rsidRPr="003E7AD2" w:rsidR="00F66830">
        <w:rPr>
          <w:rFonts w:ascii="Palatino Linotype" w:hAnsi="Palatino Linotype"/>
          <w:sz w:val="24"/>
          <w:szCs w:val="24"/>
        </w:rPr>
        <w:t>The Commission received no comments in response to the notice</w:t>
      </w:r>
      <w:r w:rsidRPr="003E7AD2" w:rsidR="00281A30">
        <w:rPr>
          <w:rFonts w:ascii="Palatino Linotype" w:hAnsi="Palatino Linotype"/>
          <w:sz w:val="24"/>
          <w:szCs w:val="24"/>
        </w:rPr>
        <w:t>.</w:t>
      </w:r>
    </w:p>
    <w:p w:rsidRPr="003E7AD2" w:rsidR="00281A30" w:rsidP="006D659C" w:rsidRDefault="00281A30" w14:paraId="6E68FE94" w14:textId="77777777">
      <w:pPr>
        <w:tabs>
          <w:tab w:val="left" w:pos="-1440"/>
          <w:tab w:val="left" w:pos="-720"/>
        </w:tabs>
        <w:suppressAutoHyphens/>
        <w:rPr>
          <w:rFonts w:ascii="Palatino Linotype" w:hAnsi="Palatino Linotype"/>
          <w:sz w:val="24"/>
          <w:szCs w:val="24"/>
        </w:rPr>
      </w:pPr>
    </w:p>
    <w:p w:rsidRPr="003E7AD2" w:rsidR="004D3C75" w:rsidP="006D659C" w:rsidRDefault="00004B2D" w14:paraId="0B99B324" w14:textId="5C30D918">
      <w:pPr>
        <w:pStyle w:val="Heading1"/>
        <w:keepLines/>
        <w:rPr>
          <w:rFonts w:ascii="Palatino Linotype" w:hAnsi="Palatino Linotype"/>
          <w:sz w:val="24"/>
          <w:szCs w:val="24"/>
          <w:u w:val="single"/>
        </w:rPr>
      </w:pPr>
      <w:bookmarkStart w:name="_Hlk152007681" w:id="7"/>
      <w:bookmarkEnd w:id="4"/>
      <w:r w:rsidRPr="003E7AD2">
        <w:rPr>
          <w:rFonts w:ascii="Palatino Linotype" w:hAnsi="Palatino Linotype"/>
          <w:sz w:val="24"/>
          <w:szCs w:val="24"/>
          <w:u w:val="single"/>
        </w:rPr>
        <w:t>DISCUSSION</w:t>
      </w:r>
    </w:p>
    <w:p w:rsidRPr="003E7AD2" w:rsidR="007D304B" w:rsidP="006D659C" w:rsidRDefault="007D304B" w14:paraId="0775A370" w14:textId="77777777">
      <w:pPr>
        <w:rPr>
          <w:rFonts w:ascii="Palatino Linotype" w:hAnsi="Palatino Linotype"/>
          <w:sz w:val="24"/>
          <w:szCs w:val="24"/>
        </w:rPr>
      </w:pPr>
    </w:p>
    <w:p w:rsidRPr="003E7AD2" w:rsidR="00D048FF" w:rsidP="00D048FF" w:rsidRDefault="00D048FF" w14:paraId="22A9E0AF" w14:textId="3DB630AC">
      <w:pPr>
        <w:rPr>
          <w:rFonts w:ascii="Palatino Linotype" w:hAnsi="Palatino Linotype"/>
          <w:sz w:val="24"/>
          <w:szCs w:val="24"/>
        </w:rPr>
      </w:pPr>
      <w:r w:rsidRPr="003E7AD2">
        <w:rPr>
          <w:rFonts w:ascii="Palatino Linotype" w:hAnsi="Palatino Linotype"/>
          <w:sz w:val="24"/>
          <w:szCs w:val="24"/>
        </w:rPr>
        <w:t xml:space="preserve">Tuolumne County Public Health Department's 2-1-1 service application, in collaboration with Interface, </w:t>
      </w:r>
      <w:r w:rsidRPr="003E7AD2" w:rsidR="00E34848">
        <w:rPr>
          <w:rFonts w:ascii="Palatino Linotype" w:hAnsi="Palatino Linotype"/>
          <w:sz w:val="24"/>
          <w:szCs w:val="24"/>
        </w:rPr>
        <w:t>demonstrates</w:t>
      </w:r>
      <w:r w:rsidRPr="003E7AD2">
        <w:rPr>
          <w:rFonts w:ascii="Palatino Linotype" w:hAnsi="Palatino Linotype"/>
          <w:sz w:val="24"/>
          <w:szCs w:val="24"/>
        </w:rPr>
        <w:t xml:space="preserve"> a strong organizational structure led by Director Michelle Jachetta, a history of providing information services since 1989, and a sound financial plan. The application adheres to terms and conditions, committing to free, 24/7, and accessible services without referral fees. It aligns with Alliance of Information and Referral Services (AIRS) standards, emphasizing high-quality service delivery, accurate resource database maintenance, and disaster preparedness. Community support is evidenced by endorsements from key service sectors. Overall, the application is comprehensive, meeting crucial criteria for 2-1-1 service designation.</w:t>
      </w:r>
      <w:r w:rsidRPr="003E7AD2" w:rsidR="006E3E52">
        <w:rPr>
          <w:rFonts w:ascii="Palatino Linotype" w:hAnsi="Palatino Linotype"/>
          <w:sz w:val="24"/>
          <w:szCs w:val="24"/>
        </w:rPr>
        <w:t xml:space="preserve"> </w:t>
      </w:r>
      <w:r w:rsidRPr="003E7AD2" w:rsidR="009D432F">
        <w:rPr>
          <w:rFonts w:ascii="Palatino Linotype" w:hAnsi="Palatino Linotype"/>
          <w:sz w:val="24"/>
          <w:szCs w:val="24"/>
        </w:rPr>
        <w:t>Granting</w:t>
      </w:r>
      <w:r w:rsidRPr="003E7AD2" w:rsidR="006E3E52">
        <w:rPr>
          <w:rFonts w:ascii="Palatino Linotype" w:hAnsi="Palatino Linotype"/>
          <w:sz w:val="24"/>
          <w:szCs w:val="24"/>
        </w:rPr>
        <w:t xml:space="preserve"> </w:t>
      </w:r>
      <w:r w:rsidRPr="003E7AD2" w:rsidR="00F9680F">
        <w:rPr>
          <w:rFonts w:ascii="Palatino Linotype" w:hAnsi="Palatino Linotype"/>
          <w:sz w:val="24"/>
          <w:szCs w:val="24"/>
        </w:rPr>
        <w:t>Tuolumne County Public Health Department</w:t>
      </w:r>
      <w:r w:rsidRPr="003E7AD2" w:rsidR="00A1272B">
        <w:rPr>
          <w:rFonts w:ascii="Palatino Linotype" w:hAnsi="Palatino Linotype"/>
          <w:sz w:val="24"/>
          <w:szCs w:val="24"/>
        </w:rPr>
        <w:t xml:space="preserve"> </w:t>
      </w:r>
      <w:r w:rsidRPr="003E7AD2" w:rsidR="006E3E52">
        <w:rPr>
          <w:rFonts w:ascii="Palatino Linotype" w:hAnsi="Palatino Linotype"/>
          <w:sz w:val="24"/>
          <w:szCs w:val="24"/>
        </w:rPr>
        <w:t xml:space="preserve">the authority to provide 2-1-1 services will ensure </w:t>
      </w:r>
      <w:r w:rsidRPr="003E7AD2" w:rsidR="00A1272B">
        <w:rPr>
          <w:rFonts w:ascii="Palatino Linotype" w:hAnsi="Palatino Linotype"/>
          <w:sz w:val="24"/>
          <w:szCs w:val="24"/>
        </w:rPr>
        <w:t>Tuolumne</w:t>
      </w:r>
      <w:r w:rsidRPr="003E7AD2" w:rsidR="006E3E52">
        <w:rPr>
          <w:rFonts w:ascii="Palatino Linotype" w:hAnsi="Palatino Linotype"/>
          <w:sz w:val="24"/>
          <w:szCs w:val="24"/>
        </w:rPr>
        <w:t xml:space="preserve"> County residents receive essential support when needed.</w:t>
      </w:r>
    </w:p>
    <w:p w:rsidRPr="003E7AD2" w:rsidR="00B71A8F" w:rsidP="006D659C" w:rsidRDefault="00B71A8F" w14:paraId="6129A696" w14:textId="77777777">
      <w:pPr>
        <w:pStyle w:val="Heading2"/>
        <w:rPr>
          <w:rFonts w:ascii="Palatino Linotype" w:hAnsi="Palatino Linotype" w:cs="Times New Roman"/>
          <w:b/>
          <w:color w:val="auto"/>
          <w:sz w:val="24"/>
          <w:szCs w:val="24"/>
          <w:u w:val="single"/>
        </w:rPr>
      </w:pPr>
    </w:p>
    <w:p w:rsidRPr="003E7AD2" w:rsidR="00811554" w:rsidP="006D659C" w:rsidRDefault="00FA2856" w14:paraId="41DA1F1A" w14:textId="55DFB66E">
      <w:pPr>
        <w:pStyle w:val="Heading2"/>
        <w:rPr>
          <w:rFonts w:ascii="Palatino Linotype" w:hAnsi="Palatino Linotype" w:cs="Times New Roman"/>
          <w:b/>
          <w:color w:val="auto"/>
          <w:sz w:val="24"/>
          <w:szCs w:val="24"/>
          <w:u w:val="single"/>
        </w:rPr>
      </w:pPr>
      <w:r w:rsidRPr="003E7AD2">
        <w:rPr>
          <w:rFonts w:ascii="Palatino Linotype" w:hAnsi="Palatino Linotype" w:cs="Times New Roman"/>
          <w:b/>
          <w:color w:val="auto"/>
          <w:sz w:val="24"/>
          <w:szCs w:val="24"/>
          <w:u w:val="single"/>
        </w:rPr>
        <w:t>Tuolumne County Public Health Department</w:t>
      </w:r>
      <w:r w:rsidRPr="003E7AD2" w:rsidR="00860B46">
        <w:rPr>
          <w:rFonts w:ascii="Palatino Linotype" w:hAnsi="Palatino Linotype" w:cs="Times New Roman"/>
          <w:b/>
          <w:color w:val="auto"/>
          <w:sz w:val="24"/>
          <w:szCs w:val="24"/>
          <w:u w:val="single"/>
        </w:rPr>
        <w:t>’s</w:t>
      </w:r>
      <w:r w:rsidRPr="003E7AD2" w:rsidR="00811554">
        <w:rPr>
          <w:rFonts w:ascii="Palatino Linotype" w:hAnsi="Palatino Linotype" w:cs="Times New Roman"/>
          <w:b/>
          <w:color w:val="auto"/>
          <w:sz w:val="24"/>
          <w:szCs w:val="24"/>
          <w:u w:val="single"/>
        </w:rPr>
        <w:t xml:space="preserve"> Application</w:t>
      </w:r>
    </w:p>
    <w:p w:rsidRPr="003E7AD2" w:rsidR="00811554" w:rsidP="006D659C" w:rsidRDefault="00811554" w14:paraId="67E80FC5" w14:textId="77777777">
      <w:pPr>
        <w:rPr>
          <w:rFonts w:ascii="Palatino Linotype" w:hAnsi="Palatino Linotype"/>
          <w:sz w:val="24"/>
          <w:szCs w:val="24"/>
        </w:rPr>
      </w:pPr>
    </w:p>
    <w:p w:rsidRPr="003E7AD2" w:rsidR="00F66830" w:rsidP="006D659C" w:rsidRDefault="00F66830" w14:paraId="4CB1E4EA" w14:textId="76A95F52">
      <w:pPr>
        <w:pStyle w:val="Heading2"/>
        <w:rPr>
          <w:rFonts w:ascii="Palatino Linotype" w:hAnsi="Palatino Linotype" w:cs="Times New Roman"/>
          <w:color w:val="auto"/>
          <w:sz w:val="24"/>
          <w:szCs w:val="24"/>
        </w:rPr>
      </w:pPr>
      <w:r w:rsidRPr="003E7AD2">
        <w:rPr>
          <w:rFonts w:ascii="Palatino Linotype" w:hAnsi="Palatino Linotype" w:cs="Times New Roman"/>
          <w:color w:val="auto"/>
          <w:sz w:val="24"/>
          <w:szCs w:val="24"/>
        </w:rPr>
        <w:t xml:space="preserve">The application </w:t>
      </w:r>
      <w:r w:rsidRPr="003E7AD2" w:rsidR="00D70AC0">
        <w:rPr>
          <w:rFonts w:ascii="Palatino Linotype" w:hAnsi="Palatino Linotype" w:cs="Times New Roman"/>
          <w:color w:val="auto"/>
          <w:sz w:val="24"/>
          <w:szCs w:val="24"/>
        </w:rPr>
        <w:t xml:space="preserve">letter </w:t>
      </w:r>
      <w:r w:rsidRPr="003E7AD2" w:rsidR="00C02B59">
        <w:rPr>
          <w:rFonts w:ascii="Palatino Linotype" w:hAnsi="Palatino Linotype" w:cs="Times New Roman"/>
          <w:color w:val="auto"/>
          <w:sz w:val="24"/>
          <w:szCs w:val="24"/>
        </w:rPr>
        <w:t xml:space="preserve">for </w:t>
      </w:r>
      <w:r w:rsidRPr="003E7AD2" w:rsidR="005B2ED7">
        <w:rPr>
          <w:rFonts w:ascii="Palatino Linotype" w:hAnsi="Palatino Linotype" w:cs="Times New Roman"/>
          <w:color w:val="auto"/>
          <w:sz w:val="24"/>
          <w:szCs w:val="24"/>
        </w:rPr>
        <w:t xml:space="preserve">the </w:t>
      </w:r>
      <w:r w:rsidRPr="003E7AD2" w:rsidR="00C02B59">
        <w:rPr>
          <w:rFonts w:ascii="Palatino Linotype" w:hAnsi="Palatino Linotype" w:cs="Times New Roman"/>
          <w:color w:val="auto"/>
          <w:sz w:val="24"/>
          <w:szCs w:val="24"/>
        </w:rPr>
        <w:t xml:space="preserve">2-1-1 service </w:t>
      </w:r>
      <w:r w:rsidRPr="003E7AD2" w:rsidR="00B97599">
        <w:rPr>
          <w:rFonts w:ascii="Palatino Linotype" w:hAnsi="Palatino Linotype" w:cs="Times New Roman"/>
          <w:color w:val="auto"/>
          <w:sz w:val="24"/>
          <w:szCs w:val="24"/>
        </w:rPr>
        <w:t>comprises</w:t>
      </w:r>
      <w:r w:rsidRPr="003E7AD2" w:rsidR="00C02B59">
        <w:rPr>
          <w:rFonts w:ascii="Palatino Linotype" w:hAnsi="Palatino Linotype" w:cs="Times New Roman"/>
          <w:color w:val="auto"/>
          <w:sz w:val="24"/>
          <w:szCs w:val="24"/>
        </w:rPr>
        <w:t xml:space="preserve"> </w:t>
      </w:r>
      <w:r w:rsidRPr="003E7AD2" w:rsidR="00FA2856">
        <w:rPr>
          <w:rFonts w:ascii="Palatino Linotype" w:hAnsi="Palatino Linotype" w:cs="Times New Roman"/>
          <w:color w:val="auto"/>
          <w:sz w:val="24"/>
          <w:szCs w:val="24"/>
        </w:rPr>
        <w:t xml:space="preserve">of </w:t>
      </w:r>
      <w:r w:rsidRPr="003E7AD2" w:rsidR="00C02B59">
        <w:rPr>
          <w:rFonts w:ascii="Palatino Linotype" w:hAnsi="Palatino Linotype" w:cs="Times New Roman"/>
          <w:color w:val="auto"/>
          <w:sz w:val="24"/>
          <w:szCs w:val="24"/>
        </w:rPr>
        <w:t>four sections.</w:t>
      </w:r>
      <w:r w:rsidRPr="003E7AD2" w:rsidR="00F9680F">
        <w:rPr>
          <w:rFonts w:ascii="Palatino Linotype" w:hAnsi="Palatino Linotype" w:cs="Times New Roman"/>
          <w:color w:val="auto"/>
          <w:sz w:val="24"/>
          <w:szCs w:val="24"/>
        </w:rPr>
        <w:t xml:space="preserve"> </w:t>
      </w:r>
      <w:r w:rsidRPr="003E7AD2" w:rsidR="00F9680F">
        <w:rPr>
          <w:rFonts w:ascii="Palatino Linotype" w:hAnsi="Palatino Linotype" w:cs="Times New Roman"/>
          <w:iCs/>
          <w:color w:val="auto"/>
          <w:sz w:val="24"/>
          <w:szCs w:val="24"/>
        </w:rPr>
        <w:t>Tuolumne County Public Health Department</w:t>
      </w:r>
      <w:r w:rsidRPr="003E7AD2" w:rsidR="00B97599">
        <w:rPr>
          <w:rFonts w:ascii="Palatino Linotype" w:hAnsi="Palatino Linotype" w:cs="Times New Roman"/>
          <w:color w:val="auto"/>
          <w:sz w:val="24"/>
          <w:szCs w:val="24"/>
        </w:rPr>
        <w:t xml:space="preserve"> provided</w:t>
      </w:r>
      <w:r w:rsidRPr="003E7AD2" w:rsidR="00C02B59">
        <w:rPr>
          <w:rFonts w:ascii="Palatino Linotype" w:hAnsi="Palatino Linotype" w:cs="Times New Roman"/>
          <w:color w:val="auto"/>
          <w:sz w:val="24"/>
          <w:szCs w:val="24"/>
        </w:rPr>
        <w:t xml:space="preserve"> </w:t>
      </w:r>
      <w:r w:rsidRPr="003E7AD2" w:rsidR="00CA15B0">
        <w:rPr>
          <w:rFonts w:ascii="Palatino Linotype" w:hAnsi="Palatino Linotype" w:cs="Times New Roman"/>
          <w:color w:val="auto"/>
          <w:sz w:val="24"/>
          <w:szCs w:val="24"/>
        </w:rPr>
        <w:t xml:space="preserve">information for each of the </w:t>
      </w:r>
      <w:r w:rsidRPr="003E7AD2" w:rsidR="00C02B59">
        <w:rPr>
          <w:rFonts w:ascii="Palatino Linotype" w:hAnsi="Palatino Linotype" w:cs="Times New Roman"/>
          <w:color w:val="auto"/>
          <w:sz w:val="24"/>
          <w:szCs w:val="24"/>
        </w:rPr>
        <w:t xml:space="preserve">four sections as </w:t>
      </w:r>
      <w:r w:rsidRPr="003E7AD2" w:rsidR="00B97599">
        <w:rPr>
          <w:rFonts w:ascii="Palatino Linotype" w:hAnsi="Palatino Linotype" w:cs="Times New Roman"/>
          <w:color w:val="auto"/>
          <w:sz w:val="24"/>
          <w:szCs w:val="24"/>
        </w:rPr>
        <w:t>follows</w:t>
      </w:r>
      <w:r w:rsidRPr="003E7AD2" w:rsidR="00C02B59">
        <w:rPr>
          <w:rFonts w:ascii="Palatino Linotype" w:hAnsi="Palatino Linotype" w:cs="Times New Roman"/>
          <w:color w:val="auto"/>
          <w:sz w:val="24"/>
          <w:szCs w:val="24"/>
        </w:rPr>
        <w:t>.</w:t>
      </w:r>
    </w:p>
    <w:p w:rsidRPr="003E7AD2" w:rsidR="00C02B59" w:rsidP="006D659C" w:rsidRDefault="00C02B59" w14:paraId="5FA7B182" w14:textId="77777777">
      <w:pPr>
        <w:rPr>
          <w:rFonts w:ascii="Palatino Linotype" w:hAnsi="Palatino Linotype"/>
          <w:sz w:val="24"/>
          <w:szCs w:val="24"/>
        </w:rPr>
      </w:pPr>
    </w:p>
    <w:p w:rsidRPr="003E7AD2" w:rsidR="00677901" w:rsidP="00EF78B6" w:rsidRDefault="00C02B59" w14:paraId="33C22615" w14:textId="446C14E8">
      <w:pPr>
        <w:pStyle w:val="Heading2"/>
        <w:keepLines w:val="0"/>
        <w:rPr>
          <w:rFonts w:ascii="Palatino Linotype" w:hAnsi="Palatino Linotype" w:cs="Times New Roman"/>
          <w:sz w:val="24"/>
          <w:szCs w:val="24"/>
        </w:rPr>
      </w:pPr>
      <w:r w:rsidRPr="003E7AD2">
        <w:rPr>
          <w:rFonts w:ascii="Palatino Linotype" w:hAnsi="Palatino Linotype" w:cs="Times New Roman"/>
          <w:b/>
          <w:bCs/>
          <w:i/>
          <w:color w:val="auto"/>
          <w:sz w:val="24"/>
          <w:szCs w:val="24"/>
        </w:rPr>
        <w:t>Section 1</w:t>
      </w:r>
      <w:r w:rsidRPr="003E7AD2" w:rsidR="00CB2D8F">
        <w:rPr>
          <w:rFonts w:ascii="Palatino Linotype" w:hAnsi="Palatino Linotype" w:cs="Times New Roman"/>
          <w:b/>
          <w:bCs/>
          <w:i/>
          <w:color w:val="auto"/>
          <w:sz w:val="24"/>
          <w:szCs w:val="24"/>
        </w:rPr>
        <w:t xml:space="preserve">- </w:t>
      </w:r>
      <w:r w:rsidRPr="003E7AD2">
        <w:rPr>
          <w:rFonts w:ascii="Palatino Linotype" w:hAnsi="Palatino Linotype" w:cs="Times New Roman"/>
          <w:b/>
          <w:bCs/>
          <w:i/>
          <w:color w:val="auto"/>
          <w:sz w:val="24"/>
          <w:szCs w:val="24"/>
        </w:rPr>
        <w:t>Organizational Structure, Background</w:t>
      </w:r>
      <w:r w:rsidRPr="003E7AD2" w:rsidR="005B2ED7">
        <w:rPr>
          <w:rFonts w:ascii="Palatino Linotype" w:hAnsi="Palatino Linotype" w:cs="Times New Roman"/>
          <w:b/>
          <w:bCs/>
          <w:i/>
          <w:color w:val="auto"/>
          <w:sz w:val="24"/>
          <w:szCs w:val="24"/>
        </w:rPr>
        <w:t>,</w:t>
      </w:r>
      <w:r w:rsidRPr="003E7AD2">
        <w:rPr>
          <w:rFonts w:ascii="Palatino Linotype" w:hAnsi="Palatino Linotype" w:cs="Times New Roman"/>
          <w:b/>
          <w:bCs/>
          <w:i/>
          <w:color w:val="auto"/>
          <w:sz w:val="24"/>
          <w:szCs w:val="24"/>
        </w:rPr>
        <w:t xml:space="preserve"> and Experience</w:t>
      </w:r>
    </w:p>
    <w:p w:rsidRPr="003E7AD2" w:rsidR="00677901" w:rsidP="00677901" w:rsidRDefault="00677901" w14:paraId="3A3BC17B" w14:textId="77777777"/>
    <w:p w:rsidRPr="003E7AD2" w:rsidR="00677901" w:rsidP="00677901" w:rsidRDefault="00677901" w14:paraId="217A5AF6" w14:textId="77777777">
      <w:pPr>
        <w:rPr>
          <w:rFonts w:ascii="Palatino Linotype" w:hAnsi="Palatino Linotype"/>
          <w:sz w:val="24"/>
          <w:szCs w:val="24"/>
        </w:rPr>
      </w:pPr>
    </w:p>
    <w:p w:rsidRPr="003E7AD2" w:rsidR="00656132" w:rsidP="00656132" w:rsidRDefault="00917037" w14:paraId="4E2BAC47" w14:textId="1176198B">
      <w:pPr>
        <w:rPr>
          <w:rFonts w:ascii="Palatino Linotype" w:hAnsi="Palatino Linotype"/>
          <w:iCs/>
          <w:sz w:val="24"/>
          <w:szCs w:val="24"/>
        </w:rPr>
      </w:pPr>
      <w:r w:rsidRPr="003E7AD2">
        <w:rPr>
          <w:rFonts w:ascii="Palatino Linotype" w:hAnsi="Palatino Linotype"/>
          <w:iCs/>
          <w:sz w:val="24"/>
          <w:szCs w:val="24"/>
        </w:rPr>
        <w:t>As administrator of 2-1-1 System, the County of Tuolumne possesses inherent authority to conduct business within the State of California and maintains a stable history of operation.</w:t>
      </w:r>
      <w:r w:rsidRPr="003E7AD2">
        <w:rPr>
          <w:rStyle w:val="FootnoteReference"/>
          <w:rFonts w:ascii="Palatino Linotype" w:hAnsi="Palatino Linotype"/>
          <w:iCs/>
          <w:sz w:val="24"/>
          <w:szCs w:val="24"/>
        </w:rPr>
        <w:footnoteReference w:id="12"/>
      </w:r>
      <w:r w:rsidRPr="003E7AD2">
        <w:rPr>
          <w:rFonts w:ascii="Palatino Linotype" w:hAnsi="Palatino Linotype"/>
          <w:iCs/>
          <w:sz w:val="24"/>
          <w:szCs w:val="24"/>
        </w:rPr>
        <w:t xml:space="preserve">  </w:t>
      </w:r>
      <w:r w:rsidRPr="003E7AD2" w:rsidR="00677901">
        <w:rPr>
          <w:rFonts w:ascii="Palatino Linotype" w:hAnsi="Palatino Linotype"/>
          <w:iCs/>
          <w:sz w:val="24"/>
          <w:szCs w:val="24"/>
        </w:rPr>
        <w:t xml:space="preserve">Established in 1850, the </w:t>
      </w:r>
      <w:bookmarkStart w:name="_Hlk151968160" w:id="8"/>
      <w:r w:rsidRPr="003E7AD2" w:rsidR="00677901">
        <w:rPr>
          <w:rFonts w:ascii="Palatino Linotype" w:hAnsi="Palatino Linotype"/>
          <w:iCs/>
          <w:sz w:val="24"/>
          <w:szCs w:val="24"/>
        </w:rPr>
        <w:t xml:space="preserve">Tuolumne County Public Health Department </w:t>
      </w:r>
      <w:bookmarkEnd w:id="8"/>
      <w:r w:rsidRPr="003E7AD2" w:rsidR="00677901">
        <w:rPr>
          <w:rFonts w:ascii="Palatino Linotype" w:hAnsi="Palatino Linotype"/>
          <w:iCs/>
          <w:sz w:val="24"/>
          <w:szCs w:val="24"/>
        </w:rPr>
        <w:t>has a history of providing information and referral services, including printed resource directories since 1989, and collaborations with various agencies.</w:t>
      </w:r>
      <w:r w:rsidRPr="003E7AD2" w:rsidR="005D5069">
        <w:rPr>
          <w:rStyle w:val="FootnoteReference"/>
          <w:rFonts w:ascii="Palatino Linotype" w:hAnsi="Palatino Linotype"/>
          <w:iCs/>
          <w:sz w:val="24"/>
          <w:szCs w:val="24"/>
        </w:rPr>
        <w:footnoteReference w:id="13"/>
      </w:r>
      <w:r w:rsidRPr="003E7AD2" w:rsidR="005D5069">
        <w:rPr>
          <w:rFonts w:ascii="Palatino Linotype" w:hAnsi="Palatino Linotype"/>
          <w:iCs/>
          <w:sz w:val="24"/>
          <w:szCs w:val="24"/>
          <w:vertAlign w:val="superscript"/>
        </w:rPr>
        <w:t>,</w:t>
      </w:r>
      <w:r w:rsidRPr="003E7AD2" w:rsidR="00696C4C">
        <w:rPr>
          <w:rStyle w:val="FootnoteReference"/>
          <w:rFonts w:ascii="Palatino Linotype" w:hAnsi="Palatino Linotype"/>
          <w:iCs/>
          <w:sz w:val="24"/>
          <w:szCs w:val="24"/>
        </w:rPr>
        <w:footnoteReference w:id="14"/>
      </w:r>
      <w:r w:rsidRPr="003E7AD2" w:rsidR="00656132">
        <w:rPr>
          <w:rFonts w:ascii="Palatino Linotype" w:hAnsi="Palatino Linotype"/>
          <w:iCs/>
          <w:sz w:val="24"/>
          <w:szCs w:val="24"/>
        </w:rPr>
        <w:t xml:space="preserve"> </w:t>
      </w:r>
    </w:p>
    <w:p w:rsidRPr="003E7AD2" w:rsidR="00656132" w:rsidP="00677901" w:rsidRDefault="00917037" w14:paraId="1070695B" w14:textId="59E0C0E2">
      <w:pPr>
        <w:rPr>
          <w:rFonts w:ascii="Palatino Linotype" w:hAnsi="Palatino Linotype"/>
          <w:iCs/>
          <w:sz w:val="24"/>
          <w:szCs w:val="24"/>
        </w:rPr>
      </w:pPr>
      <w:r w:rsidRPr="003E7AD2">
        <w:rPr>
          <w:rFonts w:ascii="Palatino Linotype" w:hAnsi="Palatino Linotype"/>
          <w:iCs/>
          <w:sz w:val="24"/>
          <w:szCs w:val="24"/>
        </w:rPr>
        <w:t>Tuolumne County contracted with</w:t>
      </w:r>
      <w:r w:rsidRPr="003E7AD2" w:rsidR="002D1DD2">
        <w:rPr>
          <w:rFonts w:ascii="Palatino Linotype" w:hAnsi="Palatino Linotype"/>
          <w:iCs/>
          <w:sz w:val="24"/>
          <w:szCs w:val="24"/>
        </w:rPr>
        <w:t xml:space="preserve"> Interface </w:t>
      </w:r>
      <w:r w:rsidRPr="003E7AD2" w:rsidR="009D432F">
        <w:rPr>
          <w:rFonts w:ascii="Palatino Linotype" w:hAnsi="Palatino Linotype"/>
          <w:iCs/>
          <w:sz w:val="24"/>
          <w:szCs w:val="24"/>
        </w:rPr>
        <w:t xml:space="preserve">Children and Family Services (Interface) </w:t>
      </w:r>
      <w:r w:rsidRPr="003E7AD2">
        <w:rPr>
          <w:rFonts w:ascii="Palatino Linotype" w:hAnsi="Palatino Linotype"/>
          <w:iCs/>
          <w:sz w:val="24"/>
          <w:szCs w:val="24"/>
        </w:rPr>
        <w:t>to provide 2-1-1 services,</w:t>
      </w:r>
      <w:r w:rsidRPr="003E7AD2" w:rsidR="002D1DD2">
        <w:rPr>
          <w:rFonts w:ascii="Palatino Linotype" w:hAnsi="Palatino Linotype"/>
          <w:iCs/>
          <w:sz w:val="24"/>
          <w:szCs w:val="24"/>
        </w:rPr>
        <w:t xml:space="preserve"> </w:t>
      </w:r>
      <w:r w:rsidRPr="003E7AD2">
        <w:rPr>
          <w:rFonts w:ascii="Palatino Linotype" w:hAnsi="Palatino Linotype"/>
          <w:iCs/>
          <w:sz w:val="24"/>
          <w:szCs w:val="24"/>
        </w:rPr>
        <w:t xml:space="preserve">with </w:t>
      </w:r>
      <w:r w:rsidRPr="003E7AD2" w:rsidR="00EC6800">
        <w:rPr>
          <w:rFonts w:ascii="Palatino Linotype" w:hAnsi="Palatino Linotype"/>
          <w:iCs/>
          <w:sz w:val="24"/>
          <w:szCs w:val="24"/>
        </w:rPr>
        <w:t>Interface</w:t>
      </w:r>
      <w:r w:rsidRPr="003E7AD2">
        <w:rPr>
          <w:rFonts w:ascii="Palatino Linotype" w:hAnsi="Palatino Linotype"/>
          <w:iCs/>
          <w:sz w:val="24"/>
          <w:szCs w:val="24"/>
        </w:rPr>
        <w:t xml:space="preserve"> </w:t>
      </w:r>
      <w:r w:rsidRPr="003E7AD2" w:rsidR="002D1DD2">
        <w:rPr>
          <w:rFonts w:ascii="Palatino Linotype" w:hAnsi="Palatino Linotype"/>
          <w:iCs/>
          <w:sz w:val="24"/>
          <w:szCs w:val="24"/>
        </w:rPr>
        <w:t>assuming no financial responsibility.</w:t>
      </w:r>
      <w:r w:rsidRPr="003E7AD2" w:rsidR="00656132">
        <w:rPr>
          <w:rFonts w:ascii="Palatino Linotype" w:hAnsi="Palatino Linotype"/>
          <w:iCs/>
          <w:sz w:val="24"/>
          <w:szCs w:val="24"/>
        </w:rPr>
        <w:t xml:space="preserve">  </w:t>
      </w:r>
      <w:r w:rsidRPr="003E7AD2" w:rsidR="003E2209">
        <w:rPr>
          <w:rFonts w:ascii="Palatino Linotype" w:hAnsi="Palatino Linotype"/>
          <w:iCs/>
          <w:sz w:val="24"/>
          <w:szCs w:val="24"/>
        </w:rPr>
        <w:t>Interface</w:t>
      </w:r>
      <w:r w:rsidRPr="003E7AD2" w:rsidR="00677901">
        <w:rPr>
          <w:rFonts w:ascii="Palatino Linotype" w:hAnsi="Palatino Linotype"/>
          <w:iCs/>
          <w:sz w:val="24"/>
          <w:szCs w:val="24"/>
        </w:rPr>
        <w:t>, an experienced service provider</w:t>
      </w:r>
      <w:r w:rsidRPr="003E7AD2" w:rsidR="00656132">
        <w:rPr>
          <w:rFonts w:ascii="Palatino Linotype" w:hAnsi="Palatino Linotype"/>
          <w:iCs/>
          <w:sz w:val="24"/>
          <w:szCs w:val="24"/>
        </w:rPr>
        <w:t>, has</w:t>
      </w:r>
      <w:r w:rsidRPr="003E7AD2" w:rsidR="00677901">
        <w:rPr>
          <w:rFonts w:ascii="Palatino Linotype" w:hAnsi="Palatino Linotype"/>
          <w:iCs/>
          <w:sz w:val="24"/>
          <w:szCs w:val="24"/>
        </w:rPr>
        <w:t xml:space="preserve"> been the lead agency for 2-1-1 Ventura County since 2005 and hold</w:t>
      </w:r>
      <w:r w:rsidRPr="003E7AD2" w:rsidR="0084577C">
        <w:rPr>
          <w:rFonts w:ascii="Palatino Linotype" w:hAnsi="Palatino Linotype"/>
          <w:iCs/>
          <w:sz w:val="24"/>
          <w:szCs w:val="24"/>
        </w:rPr>
        <w:t>s</w:t>
      </w:r>
      <w:r w:rsidRPr="003E7AD2" w:rsidR="00677901">
        <w:rPr>
          <w:rFonts w:ascii="Palatino Linotype" w:hAnsi="Palatino Linotype"/>
          <w:iCs/>
          <w:sz w:val="24"/>
          <w:szCs w:val="24"/>
        </w:rPr>
        <w:t xml:space="preserve"> accreditation from</w:t>
      </w:r>
      <w:r w:rsidRPr="003E7AD2" w:rsidR="00ED1156">
        <w:rPr>
          <w:rFonts w:ascii="Palatino Linotype" w:hAnsi="Palatino Linotype"/>
          <w:iCs/>
          <w:sz w:val="24"/>
          <w:szCs w:val="24"/>
        </w:rPr>
        <w:t xml:space="preserve"> </w:t>
      </w:r>
      <w:r w:rsidRPr="003E7AD2" w:rsidR="00677901">
        <w:rPr>
          <w:rFonts w:ascii="Palatino Linotype" w:hAnsi="Palatino Linotype"/>
          <w:iCs/>
          <w:sz w:val="24"/>
          <w:szCs w:val="24"/>
        </w:rPr>
        <w:t>AIRS.</w:t>
      </w:r>
      <w:r w:rsidRPr="003E7AD2" w:rsidR="00C04056">
        <w:rPr>
          <w:rStyle w:val="FootnoteReference"/>
          <w:rFonts w:ascii="Palatino Linotype" w:hAnsi="Palatino Linotype"/>
          <w:iCs/>
          <w:sz w:val="24"/>
          <w:szCs w:val="24"/>
        </w:rPr>
        <w:footnoteReference w:id="15"/>
      </w:r>
      <w:r w:rsidRPr="003E7AD2" w:rsidR="0084577C">
        <w:rPr>
          <w:rFonts w:ascii="Palatino Linotype" w:hAnsi="Palatino Linotype"/>
          <w:iCs/>
          <w:sz w:val="24"/>
          <w:szCs w:val="24"/>
        </w:rPr>
        <w:t xml:space="preserve"> </w:t>
      </w:r>
    </w:p>
    <w:p w:rsidRPr="003E7AD2" w:rsidR="00677901" w:rsidP="00656132" w:rsidRDefault="00677901" w14:paraId="5DD289DD" w14:textId="77777777">
      <w:pPr>
        <w:rPr>
          <w:rFonts w:ascii="Palatino Linotype" w:hAnsi="Palatino Linotype"/>
          <w:iCs/>
          <w:sz w:val="24"/>
          <w:szCs w:val="24"/>
        </w:rPr>
      </w:pPr>
    </w:p>
    <w:p w:rsidRPr="003E7AD2" w:rsidR="00677901" w:rsidP="00677901" w:rsidRDefault="00656132" w14:paraId="51E260DE" w14:textId="63AC8D45">
      <w:pPr>
        <w:rPr>
          <w:rFonts w:ascii="Palatino Linotype" w:hAnsi="Palatino Linotype"/>
          <w:iCs/>
          <w:sz w:val="24"/>
          <w:szCs w:val="24"/>
        </w:rPr>
      </w:pPr>
      <w:r w:rsidRPr="003E7AD2">
        <w:rPr>
          <w:rFonts w:ascii="Palatino Linotype" w:hAnsi="Palatino Linotype"/>
          <w:iCs/>
          <w:sz w:val="24"/>
          <w:szCs w:val="24"/>
        </w:rPr>
        <w:t>Tuolumne County’s organizational roles emphasize its position as the sole lead entity for 2-1-1 services. The County</w:t>
      </w:r>
      <w:r w:rsidRPr="003E7AD2" w:rsidR="00917037">
        <w:rPr>
          <w:rFonts w:ascii="Palatino Linotype" w:hAnsi="Palatino Linotype"/>
          <w:iCs/>
          <w:sz w:val="24"/>
          <w:szCs w:val="24"/>
        </w:rPr>
        <w:t>’s</w:t>
      </w:r>
      <w:r w:rsidRPr="003E7AD2">
        <w:rPr>
          <w:rFonts w:ascii="Palatino Linotype" w:hAnsi="Palatino Linotype"/>
          <w:iCs/>
          <w:sz w:val="24"/>
          <w:szCs w:val="24"/>
        </w:rPr>
        <w:t xml:space="preserve"> Board of Supervisors appointed Michelle Jachetta as the Director of the Public Health Department, who is responsible for implementing the 2-1-1 System.</w:t>
      </w:r>
      <w:r w:rsidRPr="003E7AD2">
        <w:rPr>
          <w:rStyle w:val="FootnoteReference"/>
          <w:rFonts w:ascii="Palatino Linotype" w:hAnsi="Palatino Linotype"/>
          <w:iCs/>
          <w:sz w:val="24"/>
          <w:szCs w:val="24"/>
        </w:rPr>
        <w:footnoteReference w:id="16"/>
      </w:r>
      <w:r w:rsidRPr="003E7AD2">
        <w:rPr>
          <w:rFonts w:ascii="Palatino Linotype" w:hAnsi="Palatino Linotype"/>
          <w:iCs/>
          <w:sz w:val="24"/>
          <w:szCs w:val="24"/>
        </w:rPr>
        <w:t xml:space="preserve"> </w:t>
      </w:r>
      <w:r w:rsidRPr="003E7AD2" w:rsidR="00917037">
        <w:rPr>
          <w:rFonts w:ascii="Palatino Linotype" w:hAnsi="Palatino Linotype"/>
          <w:iCs/>
          <w:sz w:val="24"/>
          <w:szCs w:val="24"/>
        </w:rPr>
        <w:t xml:space="preserve"> Ms.</w:t>
      </w:r>
      <w:r w:rsidRPr="003E7AD2" w:rsidR="00677901">
        <w:rPr>
          <w:rFonts w:ascii="Palatino Linotype" w:hAnsi="Palatino Linotype"/>
          <w:iCs/>
          <w:sz w:val="24"/>
          <w:szCs w:val="24"/>
        </w:rPr>
        <w:t xml:space="preserve"> Jachetta, with over 20 years of experience, leads in community health education, emergency management, and organizational leadership. Key personnel from Interface, including Kelly Brown and Lohanna Almanza, </w:t>
      </w:r>
      <w:r w:rsidRPr="003E7AD2" w:rsidR="00917037">
        <w:rPr>
          <w:rFonts w:ascii="Palatino Linotype" w:hAnsi="Palatino Linotype"/>
          <w:iCs/>
          <w:sz w:val="24"/>
          <w:szCs w:val="24"/>
        </w:rPr>
        <w:t xml:space="preserve">also </w:t>
      </w:r>
      <w:r w:rsidRPr="003E7AD2" w:rsidR="00677901">
        <w:rPr>
          <w:rFonts w:ascii="Palatino Linotype" w:hAnsi="Palatino Linotype"/>
          <w:iCs/>
          <w:sz w:val="24"/>
          <w:szCs w:val="24"/>
        </w:rPr>
        <w:t>bring extensive experience in 2-1-1 services.</w:t>
      </w:r>
      <w:r w:rsidRPr="003E7AD2" w:rsidR="008F15AE">
        <w:rPr>
          <w:rStyle w:val="FootnoteReference"/>
          <w:rFonts w:ascii="Palatino Linotype" w:hAnsi="Palatino Linotype"/>
          <w:iCs/>
          <w:sz w:val="24"/>
          <w:szCs w:val="24"/>
        </w:rPr>
        <w:footnoteReference w:id="17"/>
      </w:r>
    </w:p>
    <w:p w:rsidRPr="003E7AD2" w:rsidR="00677901" w:rsidP="00677901" w:rsidRDefault="00677901" w14:paraId="2E7BA010" w14:textId="77777777">
      <w:pPr>
        <w:rPr>
          <w:rFonts w:ascii="Palatino Linotype" w:hAnsi="Palatino Linotype"/>
          <w:iCs/>
          <w:sz w:val="24"/>
          <w:szCs w:val="24"/>
        </w:rPr>
      </w:pPr>
    </w:p>
    <w:p w:rsidRPr="003E7AD2" w:rsidR="00677901" w:rsidP="00677901" w:rsidRDefault="00677901" w14:paraId="74AAFC16" w14:textId="7653CF1D">
      <w:pPr>
        <w:rPr>
          <w:rFonts w:ascii="Palatino Linotype" w:hAnsi="Palatino Linotype"/>
          <w:iCs/>
          <w:sz w:val="24"/>
          <w:szCs w:val="24"/>
        </w:rPr>
      </w:pPr>
      <w:r w:rsidRPr="003E7AD2">
        <w:rPr>
          <w:rFonts w:ascii="Palatino Linotype" w:hAnsi="Palatino Linotype"/>
          <w:iCs/>
          <w:sz w:val="24"/>
          <w:szCs w:val="24"/>
        </w:rPr>
        <w:t>Regarding financial considerations, the Fiscal Year 2023-2024 County Budget is $316,485,952, with $11,721,639 allocated to the Public Health Department.</w:t>
      </w:r>
      <w:r w:rsidRPr="003E7AD2" w:rsidR="00BB64C7">
        <w:rPr>
          <w:rStyle w:val="FootnoteReference"/>
          <w:rFonts w:ascii="Palatino Linotype" w:hAnsi="Palatino Linotype"/>
          <w:iCs/>
          <w:sz w:val="24"/>
          <w:szCs w:val="24"/>
        </w:rPr>
        <w:footnoteReference w:id="18"/>
      </w:r>
      <w:r w:rsidRPr="003E7AD2">
        <w:rPr>
          <w:rFonts w:ascii="Palatino Linotype" w:hAnsi="Palatino Linotype"/>
          <w:iCs/>
          <w:sz w:val="24"/>
          <w:szCs w:val="24"/>
        </w:rPr>
        <w:t xml:space="preserve"> The proposed 2-1-1 services budget outlines a three-year plan, incorporating grant funds for Interface's contract and anticipated service increases.</w:t>
      </w:r>
    </w:p>
    <w:p w:rsidRPr="003E7AD2" w:rsidR="00677901" w:rsidP="00677901" w:rsidRDefault="00917037" w14:paraId="356E69AB" w14:textId="61947E70">
      <w:pPr>
        <w:rPr>
          <w:rFonts w:ascii="Palatino Linotype" w:hAnsi="Palatino Linotype"/>
          <w:iCs/>
          <w:sz w:val="24"/>
          <w:szCs w:val="24"/>
        </w:rPr>
      </w:pPr>
      <w:r w:rsidRPr="003E7AD2">
        <w:rPr>
          <w:rFonts w:ascii="Palatino Linotype" w:hAnsi="Palatino Linotype"/>
          <w:iCs/>
          <w:sz w:val="24"/>
          <w:szCs w:val="24"/>
        </w:rPr>
        <w:t xml:space="preserve">Specifically, </w:t>
      </w:r>
      <w:r w:rsidRPr="003E7AD2" w:rsidR="00677901">
        <w:rPr>
          <w:rFonts w:ascii="Palatino Linotype" w:hAnsi="Palatino Linotype"/>
          <w:iCs/>
          <w:sz w:val="24"/>
          <w:szCs w:val="24"/>
        </w:rPr>
        <w:t xml:space="preserve">2-1-1 services </w:t>
      </w:r>
      <w:r w:rsidRPr="003E7AD2">
        <w:rPr>
          <w:rFonts w:ascii="Palatino Linotype" w:hAnsi="Palatino Linotype"/>
          <w:iCs/>
          <w:sz w:val="24"/>
          <w:szCs w:val="24"/>
        </w:rPr>
        <w:t xml:space="preserve">are </w:t>
      </w:r>
      <w:r w:rsidRPr="003E7AD2" w:rsidR="00677901">
        <w:rPr>
          <w:rFonts w:ascii="Palatino Linotype" w:hAnsi="Palatino Linotype"/>
          <w:iCs/>
          <w:sz w:val="24"/>
          <w:szCs w:val="24"/>
        </w:rPr>
        <w:t xml:space="preserve">secured through the County Medical Services Program (CMSP) LICN grant </w:t>
      </w:r>
      <w:r w:rsidRPr="003E7AD2" w:rsidR="00A914F0">
        <w:rPr>
          <w:rFonts w:ascii="Palatino Linotype" w:hAnsi="Palatino Linotype"/>
          <w:iCs/>
          <w:sz w:val="24"/>
          <w:szCs w:val="24"/>
        </w:rPr>
        <w:t xml:space="preserve">funds </w:t>
      </w:r>
      <w:r w:rsidRPr="003E7AD2" w:rsidR="00677901">
        <w:rPr>
          <w:rFonts w:ascii="Palatino Linotype" w:hAnsi="Palatino Linotype"/>
          <w:iCs/>
          <w:sz w:val="24"/>
          <w:szCs w:val="24"/>
        </w:rPr>
        <w:t>until June 30, 2025.</w:t>
      </w:r>
      <w:r w:rsidRPr="003E7AD2" w:rsidR="00C836B3">
        <w:rPr>
          <w:rStyle w:val="FootnoteReference"/>
          <w:rFonts w:ascii="Palatino Linotype" w:hAnsi="Palatino Linotype"/>
          <w:iCs/>
          <w:sz w:val="24"/>
          <w:szCs w:val="24"/>
        </w:rPr>
        <w:footnoteReference w:id="19"/>
      </w:r>
      <w:r w:rsidRPr="003E7AD2" w:rsidR="00677901">
        <w:rPr>
          <w:rFonts w:ascii="Palatino Linotype" w:hAnsi="Palatino Linotype"/>
          <w:iCs/>
          <w:sz w:val="24"/>
          <w:szCs w:val="24"/>
        </w:rPr>
        <w:t xml:space="preserve"> Additional disaster activation costs will be covered by the Tuolumne County Office of Emergency Services.</w:t>
      </w:r>
      <w:r w:rsidRPr="003E7AD2" w:rsidR="008C6EF2">
        <w:rPr>
          <w:rStyle w:val="FootnoteReference"/>
          <w:rFonts w:ascii="Palatino Linotype" w:hAnsi="Palatino Linotype"/>
          <w:iCs/>
          <w:sz w:val="24"/>
          <w:szCs w:val="24"/>
        </w:rPr>
        <w:footnoteReference w:id="20"/>
      </w:r>
      <w:r w:rsidRPr="003E7AD2" w:rsidR="002D1DD2">
        <w:rPr>
          <w:rFonts w:ascii="Palatino Linotype" w:hAnsi="Palatino Linotype"/>
          <w:iCs/>
          <w:sz w:val="24"/>
          <w:szCs w:val="24"/>
        </w:rPr>
        <w:t xml:space="preserve"> </w:t>
      </w:r>
      <w:r w:rsidRPr="003E7AD2" w:rsidR="00A914F0">
        <w:rPr>
          <w:rFonts w:ascii="Palatino Linotype" w:hAnsi="Palatino Linotype"/>
          <w:iCs/>
          <w:sz w:val="24"/>
          <w:szCs w:val="24"/>
        </w:rPr>
        <w:t xml:space="preserve">To ensure </w:t>
      </w:r>
      <w:r w:rsidRPr="003E7AD2" w:rsidR="00677901">
        <w:rPr>
          <w:rFonts w:ascii="Palatino Linotype" w:hAnsi="Palatino Linotype"/>
          <w:iCs/>
          <w:sz w:val="24"/>
          <w:szCs w:val="24"/>
        </w:rPr>
        <w:t xml:space="preserve">transparency, </w:t>
      </w:r>
      <w:r w:rsidRPr="003E7AD2" w:rsidR="00A914F0">
        <w:rPr>
          <w:rFonts w:ascii="Palatino Linotype" w:hAnsi="Palatino Linotype"/>
          <w:iCs/>
          <w:sz w:val="24"/>
          <w:szCs w:val="24"/>
        </w:rPr>
        <w:t xml:space="preserve">the </w:t>
      </w:r>
      <w:r w:rsidRPr="003E7AD2" w:rsidR="00677901">
        <w:rPr>
          <w:rFonts w:ascii="Palatino Linotype" w:hAnsi="Palatino Linotype"/>
          <w:iCs/>
          <w:sz w:val="24"/>
          <w:szCs w:val="24"/>
        </w:rPr>
        <w:t xml:space="preserve">audited financial statements, including </w:t>
      </w:r>
      <w:r w:rsidRPr="003E7AD2" w:rsidR="00A914F0">
        <w:rPr>
          <w:rFonts w:ascii="Palatino Linotype" w:hAnsi="Palatino Linotype"/>
          <w:iCs/>
          <w:sz w:val="24"/>
          <w:szCs w:val="24"/>
        </w:rPr>
        <w:t xml:space="preserve">a </w:t>
      </w:r>
      <w:r w:rsidRPr="003E7AD2" w:rsidR="00677901">
        <w:rPr>
          <w:rFonts w:ascii="Palatino Linotype" w:hAnsi="Palatino Linotype"/>
          <w:iCs/>
          <w:sz w:val="24"/>
          <w:szCs w:val="24"/>
        </w:rPr>
        <w:t>comprehensive annual financial report for Fiscal Year ending June 30, 2021, and the latest audit as of June 30, 2020, are available on the Tuolumne County website.</w:t>
      </w:r>
      <w:r w:rsidRPr="003E7AD2" w:rsidR="00C7705F">
        <w:rPr>
          <w:rStyle w:val="FootnoteReference"/>
          <w:rFonts w:ascii="Palatino Linotype" w:hAnsi="Palatino Linotype"/>
          <w:iCs/>
          <w:sz w:val="24"/>
          <w:szCs w:val="24"/>
        </w:rPr>
        <w:footnoteReference w:id="21"/>
      </w:r>
    </w:p>
    <w:p w:rsidRPr="003E7AD2" w:rsidR="00677901" w:rsidP="00677901" w:rsidRDefault="00677901" w14:paraId="7AE445B8" w14:textId="77777777"/>
    <w:p w:rsidRPr="003E7AD2" w:rsidR="00702BE9" w:rsidP="006D659C" w:rsidRDefault="00702BE9" w14:paraId="3E58949F" w14:textId="77777777">
      <w:pPr>
        <w:rPr>
          <w:rFonts w:ascii="Palatino Linotype" w:hAnsi="Palatino Linotype"/>
          <w:iCs/>
          <w:sz w:val="24"/>
          <w:szCs w:val="24"/>
        </w:rPr>
      </w:pPr>
    </w:p>
    <w:p w:rsidRPr="003E7AD2" w:rsidR="008F4DB2" w:rsidP="006D659C" w:rsidRDefault="008F4DB2" w14:paraId="79AD8E23" w14:textId="6B949658">
      <w:pPr>
        <w:rPr>
          <w:rFonts w:ascii="Palatino Linotype" w:hAnsi="Palatino Linotype"/>
          <w:b/>
          <w:bCs/>
          <w:i/>
          <w:sz w:val="24"/>
          <w:szCs w:val="24"/>
        </w:rPr>
      </w:pPr>
      <w:r w:rsidRPr="003E7AD2">
        <w:rPr>
          <w:rFonts w:ascii="Palatino Linotype" w:hAnsi="Palatino Linotype"/>
          <w:b/>
          <w:bCs/>
          <w:i/>
          <w:sz w:val="24"/>
          <w:szCs w:val="24"/>
        </w:rPr>
        <w:t>Section 2 – Terms and Conditions of Service</w:t>
      </w:r>
    </w:p>
    <w:p w:rsidRPr="003E7AD2" w:rsidR="00BD4CEC" w:rsidP="006D659C" w:rsidRDefault="00BD4CEC" w14:paraId="39A13823" w14:textId="77777777">
      <w:pPr>
        <w:rPr>
          <w:rFonts w:ascii="Palatino Linotype" w:hAnsi="Palatino Linotype"/>
          <w:sz w:val="24"/>
          <w:szCs w:val="24"/>
        </w:rPr>
      </w:pPr>
    </w:p>
    <w:p w:rsidRPr="003E7AD2" w:rsidR="00E32C30" w:rsidP="00E32C30" w:rsidRDefault="00E32C30" w14:paraId="55981457" w14:textId="18C38407">
      <w:pPr>
        <w:spacing w:after="160" w:line="259" w:lineRule="auto"/>
        <w:rPr>
          <w:rFonts w:ascii="Palatino Linotype" w:hAnsi="Palatino Linotype"/>
          <w:sz w:val="24"/>
          <w:szCs w:val="24"/>
        </w:rPr>
      </w:pPr>
      <w:r w:rsidRPr="003E7AD2">
        <w:rPr>
          <w:rFonts w:ascii="Palatino Linotype" w:hAnsi="Palatino Linotype"/>
          <w:sz w:val="24"/>
          <w:szCs w:val="24"/>
        </w:rPr>
        <w:t xml:space="preserve">This section outlines the terms and conditions that 2-1-1 service providers, specifically the County of Tuolumne, must adhere to in order to obtain and maintain their designation. </w:t>
      </w:r>
      <w:r w:rsidRPr="003E7AD2" w:rsidR="00A914F0">
        <w:rPr>
          <w:rFonts w:ascii="Palatino Linotype" w:hAnsi="Palatino Linotype"/>
          <w:sz w:val="24"/>
          <w:szCs w:val="24"/>
        </w:rPr>
        <w:t xml:space="preserve"> Key points include the following:</w:t>
      </w:r>
    </w:p>
    <w:p w:rsidRPr="003E7AD2" w:rsidR="00E32C30" w:rsidP="00246398" w:rsidRDefault="00E32C30" w14:paraId="46513C6D" w14:textId="421817BE">
      <w:pPr>
        <w:numPr>
          <w:ilvl w:val="0"/>
          <w:numId w:val="4"/>
        </w:numPr>
        <w:spacing w:after="160" w:line="259" w:lineRule="auto"/>
        <w:rPr>
          <w:rFonts w:ascii="Palatino Linotype" w:hAnsi="Palatino Linotype"/>
          <w:i/>
          <w:iCs/>
          <w:sz w:val="24"/>
          <w:szCs w:val="24"/>
        </w:rPr>
      </w:pPr>
      <w:r w:rsidRPr="003E7AD2">
        <w:rPr>
          <w:rFonts w:ascii="Palatino Linotype" w:hAnsi="Palatino Linotype"/>
          <w:i/>
          <w:iCs/>
          <w:sz w:val="24"/>
          <w:szCs w:val="24"/>
        </w:rPr>
        <w:t>Geographic Service Area</w:t>
      </w:r>
      <w:r w:rsidRPr="003E7AD2" w:rsidR="00D23C17">
        <w:rPr>
          <w:rStyle w:val="FootnoteReference"/>
          <w:rFonts w:ascii="Palatino Linotype" w:hAnsi="Palatino Linotype"/>
          <w:sz w:val="24"/>
          <w:szCs w:val="24"/>
        </w:rPr>
        <w:footnoteReference w:id="22"/>
      </w:r>
      <w:r w:rsidRPr="003E7AD2" w:rsidR="00A914F0">
        <w:rPr>
          <w:rFonts w:ascii="Palatino Linotype" w:hAnsi="Palatino Linotype"/>
          <w:sz w:val="24"/>
          <w:szCs w:val="24"/>
        </w:rPr>
        <w:t>:</w:t>
      </w:r>
      <w:r w:rsidRPr="003E7AD2" w:rsidR="00D23C17">
        <w:rPr>
          <w:rFonts w:ascii="Palatino Linotype" w:hAnsi="Palatino Linotype"/>
          <w:i/>
          <w:iCs/>
          <w:sz w:val="24"/>
          <w:szCs w:val="24"/>
        </w:rPr>
        <w:t xml:space="preserve"> </w:t>
      </w:r>
      <w:r w:rsidRPr="003E7AD2" w:rsidR="00F335C9">
        <w:rPr>
          <w:rFonts w:ascii="Palatino Linotype" w:hAnsi="Palatino Linotype"/>
          <w:sz w:val="24"/>
          <w:szCs w:val="24"/>
        </w:rPr>
        <w:t>Tuolumne</w:t>
      </w:r>
      <w:r w:rsidRPr="003E7AD2" w:rsidR="00D23C17">
        <w:rPr>
          <w:rFonts w:ascii="Palatino Linotype" w:hAnsi="Palatino Linotype"/>
          <w:sz w:val="24"/>
          <w:szCs w:val="24"/>
        </w:rPr>
        <w:t xml:space="preserve"> County Public Health Department is applying to provide 2-1-1 services for Tuolumne County, California</w:t>
      </w:r>
      <w:r w:rsidRPr="003E7AD2" w:rsidR="00F335C9">
        <w:rPr>
          <w:rFonts w:ascii="Palatino Linotype" w:hAnsi="Palatino Linotype"/>
          <w:sz w:val="24"/>
          <w:szCs w:val="24"/>
        </w:rPr>
        <w:t>;</w:t>
      </w:r>
    </w:p>
    <w:p w:rsidRPr="003E7AD2" w:rsidR="00E32C30" w:rsidP="00246398" w:rsidRDefault="00E32C30" w14:paraId="00CA5F5A" w14:textId="3153B8A7">
      <w:pPr>
        <w:pStyle w:val="ListParagraph"/>
        <w:numPr>
          <w:ilvl w:val="0"/>
          <w:numId w:val="4"/>
        </w:numPr>
        <w:spacing w:after="160" w:line="259" w:lineRule="auto"/>
        <w:rPr>
          <w:rFonts w:ascii="Palatino Linotype" w:hAnsi="Palatino Linotype"/>
          <w:i/>
          <w:iCs/>
          <w:sz w:val="24"/>
          <w:szCs w:val="24"/>
        </w:rPr>
      </w:pPr>
      <w:r w:rsidRPr="003E7AD2">
        <w:rPr>
          <w:rFonts w:ascii="Palatino Linotype" w:hAnsi="Palatino Linotype"/>
          <w:i/>
          <w:iCs/>
          <w:sz w:val="24"/>
          <w:szCs w:val="24"/>
        </w:rPr>
        <w:t>Referral Fees</w:t>
      </w:r>
      <w:r w:rsidRPr="003E7AD2" w:rsidR="00D23C17">
        <w:rPr>
          <w:rStyle w:val="FootnoteReference"/>
          <w:rFonts w:ascii="Palatino Linotype" w:hAnsi="Palatino Linotype"/>
          <w:sz w:val="24"/>
          <w:szCs w:val="24"/>
        </w:rPr>
        <w:footnoteReference w:id="23"/>
      </w:r>
      <w:r w:rsidRPr="003E7AD2" w:rsidR="00A914F0">
        <w:rPr>
          <w:rFonts w:ascii="Palatino Linotype" w:hAnsi="Palatino Linotype"/>
          <w:sz w:val="24"/>
          <w:szCs w:val="24"/>
        </w:rPr>
        <w:t>:</w:t>
      </w:r>
      <w:r w:rsidRPr="003E7AD2" w:rsidR="00D23C17">
        <w:rPr>
          <w:rFonts w:ascii="Palatino Linotype" w:hAnsi="Palatino Linotype"/>
          <w:i/>
          <w:iCs/>
          <w:sz w:val="24"/>
          <w:szCs w:val="24"/>
        </w:rPr>
        <w:t xml:space="preserve"> </w:t>
      </w:r>
      <w:r w:rsidRPr="003E7AD2">
        <w:rPr>
          <w:rFonts w:ascii="Palatino Linotype" w:hAnsi="Palatino Linotype"/>
          <w:sz w:val="24"/>
          <w:szCs w:val="24"/>
        </w:rPr>
        <w:t>2-1-1 Tuolumne County will not charge or accept fees for referrals</w:t>
      </w:r>
      <w:r w:rsidRPr="003E7AD2" w:rsidR="00F335C9">
        <w:rPr>
          <w:rFonts w:ascii="Palatino Linotype" w:hAnsi="Palatino Linotype"/>
          <w:sz w:val="24"/>
          <w:szCs w:val="24"/>
        </w:rPr>
        <w:t>;</w:t>
      </w:r>
    </w:p>
    <w:p w:rsidRPr="003E7AD2" w:rsidR="00E32C30" w:rsidP="00246398" w:rsidRDefault="00E32C30" w14:paraId="6EB8ADA0" w14:textId="73DFB655">
      <w:pPr>
        <w:pStyle w:val="ListParagraph"/>
        <w:numPr>
          <w:ilvl w:val="0"/>
          <w:numId w:val="4"/>
        </w:numPr>
        <w:spacing w:after="4"/>
        <w:rPr>
          <w:rFonts w:ascii="Palatino Linotype" w:hAnsi="Palatino Linotype"/>
          <w:sz w:val="24"/>
          <w:szCs w:val="24"/>
        </w:rPr>
      </w:pPr>
      <w:r w:rsidRPr="003E7AD2">
        <w:rPr>
          <w:rFonts w:ascii="Palatino Linotype" w:hAnsi="Palatino Linotype"/>
          <w:i/>
          <w:iCs/>
          <w:sz w:val="24"/>
          <w:szCs w:val="24"/>
        </w:rPr>
        <w:t>Free and Commercial-Free Service</w:t>
      </w:r>
      <w:r w:rsidRPr="003E7AD2" w:rsidR="00613BD6">
        <w:rPr>
          <w:rStyle w:val="FootnoteReference"/>
          <w:rFonts w:ascii="Palatino Linotype" w:hAnsi="Palatino Linotype"/>
          <w:sz w:val="24"/>
          <w:szCs w:val="24"/>
        </w:rPr>
        <w:footnoteReference w:id="24"/>
      </w:r>
      <w:r w:rsidRPr="003E7AD2" w:rsidR="00A914F0">
        <w:rPr>
          <w:rFonts w:ascii="Palatino Linotype" w:hAnsi="Palatino Linotype"/>
          <w:sz w:val="24"/>
          <w:szCs w:val="24"/>
        </w:rPr>
        <w:t>:</w:t>
      </w:r>
      <w:r w:rsidRPr="003E7AD2" w:rsidR="00666FCC">
        <w:rPr>
          <w:rFonts w:ascii="Palatino Linotype" w:hAnsi="Palatino Linotype"/>
          <w:sz w:val="24"/>
          <w:szCs w:val="24"/>
        </w:rPr>
        <w:t xml:space="preserve"> 2-1-1 information and referral services will be provided free of charge to callers and texters as well as online access. 2-1-1 service will be commercial-free, though supporters may be recognized on printed materials</w:t>
      </w:r>
      <w:r w:rsidRPr="003E7AD2" w:rsidR="00F335C9">
        <w:rPr>
          <w:rFonts w:ascii="Palatino Linotype" w:hAnsi="Palatino Linotype"/>
          <w:sz w:val="24"/>
          <w:szCs w:val="24"/>
        </w:rPr>
        <w:t>;</w:t>
      </w:r>
    </w:p>
    <w:p w:rsidRPr="003E7AD2" w:rsidR="00666FCC" w:rsidP="00666FCC" w:rsidRDefault="00666FCC" w14:paraId="001F7B14" w14:textId="77777777">
      <w:pPr>
        <w:pStyle w:val="ListParagraph"/>
        <w:spacing w:after="4"/>
        <w:rPr>
          <w:rFonts w:ascii="Palatino Linotype" w:hAnsi="Palatino Linotype"/>
          <w:sz w:val="24"/>
          <w:szCs w:val="24"/>
        </w:rPr>
      </w:pPr>
    </w:p>
    <w:p w:rsidRPr="003E7AD2" w:rsidR="00E32C30" w:rsidP="00246398" w:rsidRDefault="00E32C30" w14:paraId="042F0CE4" w14:textId="2D353022">
      <w:pPr>
        <w:numPr>
          <w:ilvl w:val="0"/>
          <w:numId w:val="4"/>
        </w:numPr>
        <w:spacing w:after="160" w:line="259" w:lineRule="auto"/>
        <w:rPr>
          <w:rFonts w:ascii="Palatino Linotype" w:hAnsi="Palatino Linotype"/>
          <w:i/>
          <w:iCs/>
          <w:sz w:val="24"/>
          <w:szCs w:val="24"/>
        </w:rPr>
      </w:pPr>
      <w:r w:rsidRPr="003E7AD2">
        <w:rPr>
          <w:rFonts w:ascii="Palatino Linotype" w:hAnsi="Palatino Linotype"/>
          <w:i/>
          <w:iCs/>
          <w:sz w:val="24"/>
          <w:szCs w:val="24"/>
        </w:rPr>
        <w:t>24/7 Live Call Handling</w:t>
      </w:r>
      <w:r w:rsidRPr="003E7AD2" w:rsidR="00B60BD2">
        <w:rPr>
          <w:rStyle w:val="FootnoteReference"/>
          <w:rFonts w:ascii="Palatino Linotype" w:hAnsi="Palatino Linotype"/>
          <w:sz w:val="24"/>
          <w:szCs w:val="24"/>
        </w:rPr>
        <w:footnoteReference w:id="25"/>
      </w:r>
      <w:r w:rsidRPr="003E7AD2" w:rsidR="00A914F0">
        <w:rPr>
          <w:rFonts w:ascii="Palatino Linotype" w:hAnsi="Palatino Linotype"/>
          <w:sz w:val="24"/>
          <w:szCs w:val="24"/>
        </w:rPr>
        <w:t>:</w:t>
      </w:r>
      <w:r w:rsidRPr="003E7AD2" w:rsidR="00B60BD2">
        <w:rPr>
          <w:rFonts w:ascii="Palatino Linotype" w:hAnsi="Palatino Linotype"/>
          <w:i/>
          <w:iCs/>
          <w:sz w:val="24"/>
          <w:szCs w:val="24"/>
        </w:rPr>
        <w:t xml:space="preserve"> </w:t>
      </w:r>
      <w:r w:rsidRPr="003E7AD2" w:rsidR="00A914F0">
        <w:rPr>
          <w:rFonts w:ascii="Palatino Linotype" w:hAnsi="Palatino Linotype"/>
          <w:sz w:val="24"/>
          <w:szCs w:val="24"/>
        </w:rPr>
        <w:t xml:space="preserve">The </w:t>
      </w:r>
      <w:r w:rsidRPr="003E7AD2">
        <w:rPr>
          <w:rFonts w:ascii="Palatino Linotype" w:hAnsi="Palatino Linotype"/>
          <w:sz w:val="24"/>
          <w:szCs w:val="24"/>
        </w:rPr>
        <w:t>County of Tuolumne intends to contract with Interface for 24/7 live call handling</w:t>
      </w:r>
      <w:r w:rsidRPr="003E7AD2" w:rsidR="00F335C9">
        <w:rPr>
          <w:rFonts w:ascii="Palatino Linotype" w:hAnsi="Palatino Linotype"/>
          <w:sz w:val="24"/>
          <w:szCs w:val="24"/>
        </w:rPr>
        <w:t>;</w:t>
      </w:r>
    </w:p>
    <w:p w:rsidRPr="003E7AD2" w:rsidR="00E32C30" w:rsidP="00246398" w:rsidRDefault="00E32C30" w14:paraId="054DBDD9" w14:textId="6C844305">
      <w:pPr>
        <w:numPr>
          <w:ilvl w:val="0"/>
          <w:numId w:val="4"/>
        </w:numPr>
        <w:spacing w:after="160" w:line="259" w:lineRule="auto"/>
        <w:rPr>
          <w:rFonts w:ascii="Palatino Linotype" w:hAnsi="Palatino Linotype"/>
          <w:i/>
          <w:iCs/>
          <w:sz w:val="24"/>
          <w:szCs w:val="24"/>
        </w:rPr>
      </w:pPr>
      <w:r w:rsidRPr="003E7AD2">
        <w:rPr>
          <w:rFonts w:ascii="Palatino Linotype" w:hAnsi="Palatino Linotype"/>
          <w:i/>
          <w:iCs/>
          <w:sz w:val="24"/>
          <w:szCs w:val="24"/>
        </w:rPr>
        <w:t>After-Hours Service and Service Delivery Standards</w:t>
      </w:r>
      <w:r w:rsidRPr="003E7AD2" w:rsidR="00B60BD2">
        <w:rPr>
          <w:rStyle w:val="FootnoteReference"/>
          <w:rFonts w:ascii="Palatino Linotype" w:hAnsi="Palatino Linotype"/>
          <w:sz w:val="24"/>
          <w:szCs w:val="24"/>
        </w:rPr>
        <w:footnoteReference w:id="26"/>
      </w:r>
      <w:r w:rsidRPr="003E7AD2" w:rsidR="00A914F0">
        <w:rPr>
          <w:rFonts w:ascii="Palatino Linotype" w:hAnsi="Palatino Linotype"/>
          <w:sz w:val="24"/>
          <w:szCs w:val="24"/>
        </w:rPr>
        <w:t>:</w:t>
      </w:r>
      <w:r w:rsidRPr="003E7AD2" w:rsidR="00B60BD2">
        <w:rPr>
          <w:rFonts w:ascii="Palatino Linotype" w:hAnsi="Palatino Linotype"/>
          <w:i/>
          <w:iCs/>
          <w:sz w:val="24"/>
          <w:szCs w:val="24"/>
        </w:rPr>
        <w:t xml:space="preserve"> </w:t>
      </w:r>
      <w:r w:rsidRPr="003E7AD2">
        <w:rPr>
          <w:rFonts w:ascii="Palatino Linotype" w:hAnsi="Palatino Linotype"/>
          <w:sz w:val="24"/>
          <w:szCs w:val="24"/>
        </w:rPr>
        <w:t>The County of Tuolumne will provide services on a 24/7 basis through Interface</w:t>
      </w:r>
      <w:r w:rsidRPr="003E7AD2" w:rsidR="00F335C9">
        <w:rPr>
          <w:rFonts w:ascii="Palatino Linotype" w:hAnsi="Palatino Linotype"/>
          <w:sz w:val="24"/>
          <w:szCs w:val="24"/>
        </w:rPr>
        <w:t>;</w:t>
      </w:r>
    </w:p>
    <w:p w:rsidRPr="003E7AD2" w:rsidR="000C165E" w:rsidP="00246398" w:rsidRDefault="00E32C30" w14:paraId="051AEF1B" w14:textId="09B909FC">
      <w:pPr>
        <w:numPr>
          <w:ilvl w:val="0"/>
          <w:numId w:val="4"/>
        </w:numPr>
        <w:spacing w:after="160" w:line="259" w:lineRule="auto"/>
        <w:rPr>
          <w:rFonts w:ascii="Palatino Linotype" w:hAnsi="Palatino Linotype"/>
          <w:i/>
          <w:iCs/>
          <w:sz w:val="24"/>
          <w:szCs w:val="24"/>
        </w:rPr>
      </w:pPr>
      <w:r w:rsidRPr="003E7AD2">
        <w:rPr>
          <w:rFonts w:ascii="Palatino Linotype" w:hAnsi="Palatino Linotype"/>
          <w:i/>
          <w:iCs/>
          <w:sz w:val="24"/>
          <w:szCs w:val="24"/>
        </w:rPr>
        <w:t>Accessibility</w:t>
      </w:r>
      <w:r w:rsidRPr="003E7AD2" w:rsidR="00B60BD2">
        <w:rPr>
          <w:rStyle w:val="FootnoteReference"/>
          <w:rFonts w:ascii="Palatino Linotype" w:hAnsi="Palatino Linotype"/>
          <w:sz w:val="24"/>
          <w:szCs w:val="24"/>
        </w:rPr>
        <w:footnoteReference w:id="27"/>
      </w:r>
      <w:r w:rsidRPr="003E7AD2" w:rsidR="00A914F0">
        <w:rPr>
          <w:rFonts w:ascii="Palatino Linotype" w:hAnsi="Palatino Linotype"/>
          <w:sz w:val="24"/>
          <w:szCs w:val="24"/>
        </w:rPr>
        <w:t>:</w:t>
      </w:r>
      <w:r w:rsidRPr="003E7AD2" w:rsidR="00B60BD2">
        <w:rPr>
          <w:rFonts w:ascii="Palatino Linotype" w:hAnsi="Palatino Linotype"/>
          <w:sz w:val="24"/>
          <w:szCs w:val="24"/>
        </w:rPr>
        <w:t xml:space="preserve"> </w:t>
      </w:r>
      <w:r w:rsidRPr="003E7AD2" w:rsidR="00A914F0">
        <w:rPr>
          <w:rFonts w:ascii="Palatino Linotype" w:hAnsi="Palatino Linotype"/>
          <w:sz w:val="24"/>
          <w:szCs w:val="24"/>
        </w:rPr>
        <w:t>T</w:t>
      </w:r>
      <w:r w:rsidRPr="003E7AD2">
        <w:rPr>
          <w:rFonts w:ascii="Palatino Linotype" w:hAnsi="Palatino Linotype"/>
          <w:sz w:val="24"/>
          <w:szCs w:val="24"/>
        </w:rPr>
        <w:t xml:space="preserve">he County of Tuolumne contracted with Interface </w:t>
      </w:r>
      <w:r w:rsidRPr="003E7AD2" w:rsidR="00A914F0">
        <w:rPr>
          <w:rFonts w:ascii="Palatino Linotype" w:hAnsi="Palatino Linotype"/>
          <w:sz w:val="24"/>
          <w:szCs w:val="24"/>
        </w:rPr>
        <w:t>to ensure services are accessible 24/7, regardless of language or disability</w:t>
      </w:r>
      <w:r w:rsidRPr="003E7AD2" w:rsidR="00F335C9">
        <w:rPr>
          <w:rFonts w:ascii="Palatino Linotype" w:hAnsi="Palatino Linotype"/>
          <w:sz w:val="24"/>
          <w:szCs w:val="24"/>
        </w:rPr>
        <w:t>; and</w:t>
      </w:r>
    </w:p>
    <w:p w:rsidRPr="003E7AD2" w:rsidR="00E32C30" w:rsidP="00246398" w:rsidRDefault="00E32C30" w14:paraId="01392E76" w14:textId="7829BCAB">
      <w:pPr>
        <w:numPr>
          <w:ilvl w:val="0"/>
          <w:numId w:val="4"/>
        </w:numPr>
        <w:spacing w:after="160" w:line="259" w:lineRule="auto"/>
        <w:rPr>
          <w:rFonts w:ascii="Palatino Linotype" w:hAnsi="Palatino Linotype"/>
          <w:i/>
          <w:iCs/>
          <w:sz w:val="24"/>
          <w:szCs w:val="24"/>
        </w:rPr>
      </w:pPr>
      <w:r w:rsidRPr="003E7AD2">
        <w:rPr>
          <w:rFonts w:ascii="Palatino Linotype" w:hAnsi="Palatino Linotype"/>
          <w:i/>
          <w:iCs/>
          <w:sz w:val="24"/>
          <w:szCs w:val="24"/>
        </w:rPr>
        <w:t>Language Accessibility</w:t>
      </w:r>
      <w:r w:rsidRPr="003E7AD2">
        <w:rPr>
          <w:rFonts w:ascii="Palatino Linotype" w:hAnsi="Palatino Linotype"/>
          <w:sz w:val="24"/>
          <w:szCs w:val="24"/>
        </w:rPr>
        <w:t>:</w:t>
      </w:r>
      <w:r w:rsidRPr="003E7AD2" w:rsidR="00B60BD2">
        <w:rPr>
          <w:rFonts w:ascii="Palatino Linotype" w:hAnsi="Palatino Linotype"/>
          <w:i/>
          <w:iCs/>
          <w:sz w:val="24"/>
          <w:szCs w:val="24"/>
        </w:rPr>
        <w:t xml:space="preserve"> </w:t>
      </w:r>
      <w:r w:rsidRPr="003E7AD2" w:rsidR="000C165E">
        <w:rPr>
          <w:rFonts w:ascii="Palatino Linotype" w:hAnsi="Palatino Linotype"/>
          <w:sz w:val="24"/>
          <w:szCs w:val="24"/>
        </w:rPr>
        <w:t>Over 80% of Interface 2-1-1 staff are bilingual in English and Spanish. The County of Tuolumne provides interpretation services through Voiance and Language Line, covering over 150 languages. TTY/TDD access is available via the IPTTY system.</w:t>
      </w:r>
      <w:r w:rsidRPr="003E7AD2" w:rsidR="00F335C9">
        <w:rPr>
          <w:rStyle w:val="FootnoteReference"/>
          <w:rFonts w:ascii="Palatino Linotype" w:hAnsi="Palatino Linotype"/>
          <w:sz w:val="24"/>
          <w:szCs w:val="24"/>
        </w:rPr>
        <w:footnoteReference w:id="28"/>
      </w:r>
    </w:p>
    <w:p w:rsidRPr="003E7AD2" w:rsidR="00E32C30" w:rsidP="00E32C30" w:rsidRDefault="00E32C30" w14:paraId="09B81B1E" w14:textId="55F6ECF6">
      <w:pPr>
        <w:spacing w:after="160" w:line="259" w:lineRule="auto"/>
        <w:rPr>
          <w:rFonts w:ascii="Palatino Linotype" w:hAnsi="Palatino Linotype"/>
          <w:sz w:val="24"/>
          <w:szCs w:val="24"/>
        </w:rPr>
      </w:pPr>
      <w:r w:rsidRPr="003E7AD2">
        <w:rPr>
          <w:rFonts w:ascii="Palatino Linotype" w:hAnsi="Palatino Linotype"/>
          <w:sz w:val="24"/>
          <w:szCs w:val="24"/>
        </w:rPr>
        <w:t xml:space="preserve">In summary, </w:t>
      </w:r>
      <w:r w:rsidRPr="003E7AD2" w:rsidR="00A914F0">
        <w:rPr>
          <w:rFonts w:ascii="Palatino Linotype" w:hAnsi="Palatino Linotype"/>
          <w:sz w:val="24"/>
          <w:szCs w:val="24"/>
        </w:rPr>
        <w:t xml:space="preserve">staff finds that </w:t>
      </w:r>
      <w:r w:rsidRPr="003E7AD2">
        <w:rPr>
          <w:rFonts w:ascii="Palatino Linotype" w:hAnsi="Palatino Linotype"/>
          <w:sz w:val="24"/>
          <w:szCs w:val="24"/>
        </w:rPr>
        <w:t>the County of Tuolumne, in partnership with Interface, commits to providing accessible, free, and 24/7 2-1-1 services, adhering to specific language and disability inclusivity standards.</w:t>
      </w:r>
    </w:p>
    <w:p w:rsidRPr="003E7AD2" w:rsidR="00FD5F3A" w:rsidP="006D659C" w:rsidRDefault="00FD5F3A" w14:paraId="2F864544" w14:textId="77777777">
      <w:pPr>
        <w:rPr>
          <w:rFonts w:ascii="Palatino Linotype" w:hAnsi="Palatino Linotype"/>
          <w:sz w:val="24"/>
          <w:szCs w:val="24"/>
        </w:rPr>
      </w:pPr>
    </w:p>
    <w:p w:rsidRPr="003E7AD2" w:rsidR="00C62F41" w:rsidP="006D659C" w:rsidRDefault="00C62F41" w14:paraId="4D1C0B82" w14:textId="77777777">
      <w:pPr>
        <w:keepNext/>
        <w:rPr>
          <w:rFonts w:ascii="Palatino Linotype" w:hAnsi="Palatino Linotype"/>
          <w:i/>
          <w:sz w:val="24"/>
          <w:szCs w:val="24"/>
        </w:rPr>
      </w:pPr>
      <w:r w:rsidRPr="003E7AD2">
        <w:rPr>
          <w:rFonts w:ascii="Palatino Linotype" w:hAnsi="Palatino Linotype"/>
          <w:i/>
          <w:sz w:val="24"/>
          <w:szCs w:val="24"/>
        </w:rPr>
        <w:t xml:space="preserve">Section 3 </w:t>
      </w:r>
      <w:r w:rsidRPr="003E7AD2" w:rsidR="00EB5D91">
        <w:rPr>
          <w:rFonts w:ascii="Palatino Linotype" w:hAnsi="Palatino Linotype"/>
          <w:i/>
          <w:sz w:val="24"/>
          <w:szCs w:val="24"/>
        </w:rPr>
        <w:t>– Alliance of Information and Referral Services Standards</w:t>
      </w:r>
    </w:p>
    <w:p w:rsidRPr="003E7AD2" w:rsidR="00494FB2" w:rsidP="006D659C" w:rsidRDefault="00494FB2" w14:paraId="47F250D8" w14:textId="77777777">
      <w:pPr>
        <w:keepNext/>
        <w:rPr>
          <w:rFonts w:ascii="Palatino Linotype" w:hAnsi="Palatino Linotype"/>
          <w:sz w:val="24"/>
          <w:szCs w:val="24"/>
        </w:rPr>
      </w:pPr>
    </w:p>
    <w:p w:rsidRPr="003E7AD2" w:rsidR="000E761C" w:rsidP="000E761C" w:rsidRDefault="003842A8" w14:paraId="554F4CBA" w14:textId="77777777">
      <w:pPr>
        <w:rPr>
          <w:rFonts w:ascii="Palatino Linotype" w:hAnsi="Palatino Linotype"/>
          <w:sz w:val="24"/>
          <w:szCs w:val="24"/>
        </w:rPr>
      </w:pPr>
      <w:r w:rsidRPr="003E7AD2">
        <w:rPr>
          <w:rFonts w:ascii="Palatino Linotype" w:hAnsi="Palatino Linotype"/>
          <w:sz w:val="24"/>
          <w:szCs w:val="24"/>
        </w:rPr>
        <w:t>AIRS</w:t>
      </w:r>
      <w:r w:rsidRPr="003E7AD2" w:rsidR="00CD4B6D">
        <w:rPr>
          <w:rFonts w:ascii="Palatino Linotype" w:hAnsi="Palatino Linotype"/>
          <w:sz w:val="24"/>
          <w:szCs w:val="24"/>
        </w:rPr>
        <w:t>,</w:t>
      </w:r>
      <w:r w:rsidRPr="003E7AD2" w:rsidR="00724DA0">
        <w:rPr>
          <w:rStyle w:val="FootnoteReference"/>
          <w:rFonts w:ascii="Palatino Linotype" w:hAnsi="Palatino Linotype"/>
          <w:sz w:val="24"/>
          <w:szCs w:val="24"/>
        </w:rPr>
        <w:footnoteReference w:id="29"/>
      </w:r>
      <w:r w:rsidRPr="003E7AD2">
        <w:rPr>
          <w:rFonts w:ascii="Palatino Linotype" w:hAnsi="Palatino Linotype"/>
          <w:sz w:val="24"/>
          <w:szCs w:val="24"/>
        </w:rPr>
        <w:t xml:space="preserve"> </w:t>
      </w:r>
      <w:r w:rsidRPr="003E7AD2" w:rsidR="000E761C">
        <w:rPr>
          <w:rFonts w:ascii="Palatino Linotype" w:hAnsi="Palatino Linotype"/>
          <w:sz w:val="24"/>
          <w:szCs w:val="24"/>
        </w:rPr>
        <w:t>the national professional membership organization for information and referral service providers, has instituted standards governing the delivery of information and referral services. This section delineates the specific standards set by AIRS concerning the provision of information and referral services within the framework of 2-1-1 services. The applicant, the County of Tuolumne, in collaboration with Interface, is mandated to adhere to these established standards. The ensuing narrative is expected to articulate how the applicant intends to meet and uphold these standards. The key points include:</w:t>
      </w:r>
    </w:p>
    <w:p w:rsidRPr="003E7AD2" w:rsidR="00E32C30" w:rsidP="000E761C" w:rsidRDefault="00E32C30" w14:paraId="66BC1280" w14:textId="5E3F5ACD">
      <w:pPr>
        <w:keepNext/>
        <w:rPr>
          <w:rFonts w:ascii="Palatino Linotype" w:hAnsi="Palatino Linotype"/>
          <w:sz w:val="24"/>
          <w:szCs w:val="24"/>
        </w:rPr>
      </w:pPr>
    </w:p>
    <w:p w:rsidRPr="003E7AD2" w:rsidR="000E761C" w:rsidP="000E761C" w:rsidRDefault="000E761C" w14:paraId="0FA2E9B9" w14:textId="77777777">
      <w:pPr>
        <w:pStyle w:val="ListParagraph"/>
        <w:ind w:left="360"/>
        <w:rPr>
          <w:rFonts w:ascii="Palatino Linotype" w:hAnsi="Palatino Linotype"/>
          <w:sz w:val="24"/>
          <w:szCs w:val="24"/>
        </w:rPr>
      </w:pPr>
      <w:r w:rsidRPr="003E7AD2">
        <w:rPr>
          <w:rFonts w:ascii="Palatino Linotype" w:hAnsi="Palatino Linotype"/>
          <w:b/>
          <w:bCs/>
          <w:sz w:val="24"/>
          <w:szCs w:val="24"/>
        </w:rPr>
        <w:t>Information and Referral Service Delivery Standards:</w:t>
      </w:r>
      <w:r w:rsidRPr="003E7AD2">
        <w:rPr>
          <w:rFonts w:ascii="Palatino Linotype" w:hAnsi="Palatino Linotype"/>
          <w:sz w:val="24"/>
          <w:szCs w:val="24"/>
        </w:rPr>
        <w:t xml:space="preserve"> </w:t>
      </w:r>
    </w:p>
    <w:p w:rsidRPr="003E7AD2" w:rsidR="00A914F0" w:rsidP="000E761C" w:rsidRDefault="00A914F0" w14:paraId="2124EB02" w14:textId="77777777">
      <w:pPr>
        <w:pStyle w:val="ListParagraph"/>
        <w:ind w:left="360"/>
        <w:rPr>
          <w:rFonts w:ascii="Palatino Linotype" w:hAnsi="Palatino Linotype"/>
          <w:sz w:val="24"/>
          <w:szCs w:val="24"/>
        </w:rPr>
      </w:pPr>
    </w:p>
    <w:p w:rsidRPr="003E7AD2" w:rsidR="000E761C" w:rsidP="00246398" w:rsidRDefault="000E761C" w14:paraId="29C58264" w14:textId="14082B9E">
      <w:pPr>
        <w:numPr>
          <w:ilvl w:val="1"/>
          <w:numId w:val="6"/>
        </w:numPr>
        <w:spacing w:after="160" w:line="259" w:lineRule="auto"/>
        <w:rPr>
          <w:rFonts w:ascii="Palatino Linotype" w:hAnsi="Palatino Linotype"/>
          <w:sz w:val="24"/>
          <w:szCs w:val="24"/>
        </w:rPr>
      </w:pPr>
      <w:r w:rsidRPr="003E7AD2">
        <w:rPr>
          <w:rFonts w:ascii="Palatino Linotype" w:hAnsi="Palatino Linotype"/>
          <w:sz w:val="24"/>
          <w:szCs w:val="24"/>
        </w:rPr>
        <w:t>Interface/2-1-1 Ventura County, an AIRS Accredited organization, manages 2-1-1 Tuolumne calls aligned with AIRS Standards.</w:t>
      </w:r>
    </w:p>
    <w:p w:rsidRPr="003E7AD2" w:rsidR="000E761C" w:rsidP="000E761C" w:rsidRDefault="000E761C" w14:paraId="5BDF0C5F" w14:textId="77777777">
      <w:pPr>
        <w:pStyle w:val="ListParagraph"/>
        <w:ind w:left="1440"/>
        <w:rPr>
          <w:rFonts w:ascii="Palatino Linotype" w:hAnsi="Palatino Linotype"/>
          <w:sz w:val="24"/>
          <w:szCs w:val="24"/>
        </w:rPr>
      </w:pPr>
    </w:p>
    <w:p w:rsidRPr="003E7AD2" w:rsidR="000E761C" w:rsidP="00246398" w:rsidRDefault="000E761C" w14:paraId="1927EFF3" w14:textId="77777777">
      <w:pPr>
        <w:pStyle w:val="ListParagraph"/>
        <w:numPr>
          <w:ilvl w:val="0"/>
          <w:numId w:val="6"/>
        </w:numPr>
        <w:rPr>
          <w:rFonts w:ascii="Palatino Linotype" w:hAnsi="Palatino Linotype"/>
          <w:sz w:val="24"/>
          <w:szCs w:val="24"/>
        </w:rPr>
      </w:pPr>
      <w:r w:rsidRPr="003E7AD2">
        <w:rPr>
          <w:rFonts w:ascii="Palatino Linotype" w:hAnsi="Palatino Linotype"/>
          <w:sz w:val="24"/>
          <w:szCs w:val="24"/>
        </w:rPr>
        <w:t>Interface 2-1-1 staff handle diverse inquiries, offering not only simple information but also conducting in-depth one-to-one referrals based on client assessments. Active listening techniques are employed to identify needs, and three appropriate referrals are provided, including detailed information on services, eligibility, and availability.</w:t>
      </w:r>
    </w:p>
    <w:p w:rsidRPr="003E7AD2" w:rsidR="00A914F0" w:rsidP="00EC6800" w:rsidRDefault="00A914F0" w14:paraId="6B3F9D7E" w14:textId="77777777">
      <w:pPr>
        <w:pStyle w:val="ListParagraph"/>
        <w:ind w:left="1440"/>
        <w:rPr>
          <w:rFonts w:ascii="Palatino Linotype" w:hAnsi="Palatino Linotype"/>
          <w:sz w:val="24"/>
          <w:szCs w:val="24"/>
        </w:rPr>
      </w:pPr>
    </w:p>
    <w:p w:rsidRPr="003E7AD2" w:rsidR="00A914F0" w:rsidP="00246398" w:rsidRDefault="000E761C" w14:paraId="70023F08" w14:textId="1AC0BFB2">
      <w:pPr>
        <w:pStyle w:val="ListParagraph"/>
        <w:numPr>
          <w:ilvl w:val="0"/>
          <w:numId w:val="6"/>
        </w:numPr>
        <w:rPr>
          <w:rFonts w:ascii="Palatino Linotype" w:hAnsi="Palatino Linotype"/>
          <w:sz w:val="24"/>
          <w:szCs w:val="24"/>
        </w:rPr>
      </w:pPr>
      <w:r w:rsidRPr="003E7AD2">
        <w:rPr>
          <w:rFonts w:ascii="Palatino Linotype" w:hAnsi="Palatino Linotype"/>
          <w:sz w:val="24"/>
          <w:szCs w:val="24"/>
        </w:rPr>
        <w:t>Referrals are meticulously curated from the 2-1-1 Tuolumne County database, ensuring accuracy and relevance to presented needs.</w:t>
      </w:r>
      <w:r w:rsidRPr="003E7AD2" w:rsidR="00A914F0">
        <w:rPr>
          <w:rFonts w:ascii="Palatino Linotype" w:hAnsi="Palatino Linotype"/>
          <w:sz w:val="24"/>
          <w:szCs w:val="24"/>
        </w:rPr>
        <w:br/>
      </w:r>
    </w:p>
    <w:p w:rsidRPr="003E7AD2" w:rsidR="00A914F0" w:rsidP="00246398" w:rsidRDefault="000E761C" w14:paraId="22DD2F8F" w14:textId="6F86DD83">
      <w:pPr>
        <w:pStyle w:val="ListParagraph"/>
        <w:numPr>
          <w:ilvl w:val="0"/>
          <w:numId w:val="6"/>
        </w:numPr>
        <w:rPr>
          <w:rFonts w:ascii="Palatino Linotype" w:hAnsi="Palatino Linotype"/>
          <w:sz w:val="24"/>
          <w:szCs w:val="24"/>
        </w:rPr>
      </w:pPr>
      <w:r w:rsidRPr="003E7AD2">
        <w:rPr>
          <w:rFonts w:ascii="Palatino Linotype" w:hAnsi="Palatino Linotype"/>
          <w:sz w:val="24"/>
          <w:szCs w:val="24"/>
        </w:rPr>
        <w:t>Client interactions are treated with utmost confidentiality. Interface 2-1-1 staff undergo rigorous training, sign confidentiality agreements, and utilize secure databases with layered password protection.</w:t>
      </w:r>
      <w:r w:rsidRPr="003E7AD2" w:rsidR="00A914F0">
        <w:rPr>
          <w:rFonts w:ascii="Palatino Linotype" w:hAnsi="Palatino Linotype"/>
          <w:sz w:val="24"/>
          <w:szCs w:val="24"/>
        </w:rPr>
        <w:br/>
      </w:r>
    </w:p>
    <w:p w:rsidRPr="003E7AD2" w:rsidR="000E761C" w:rsidP="00246398" w:rsidRDefault="000E761C" w14:paraId="6DD96D3F" w14:textId="77777777">
      <w:pPr>
        <w:pStyle w:val="ListParagraph"/>
        <w:numPr>
          <w:ilvl w:val="0"/>
          <w:numId w:val="6"/>
        </w:numPr>
        <w:rPr>
          <w:rFonts w:ascii="Palatino Linotype" w:hAnsi="Palatino Linotype"/>
          <w:sz w:val="24"/>
          <w:szCs w:val="24"/>
        </w:rPr>
      </w:pPr>
      <w:r w:rsidRPr="003E7AD2">
        <w:rPr>
          <w:rFonts w:ascii="Palatino Linotype" w:hAnsi="Palatino Linotype"/>
          <w:sz w:val="24"/>
          <w:szCs w:val="24"/>
        </w:rPr>
        <w:t>Special attention is given to vulnerable callers, with Interface 2-1-1 staff scheduling follow-up calls to assess ongoing needs and offer support.</w:t>
      </w:r>
    </w:p>
    <w:p w:rsidRPr="003E7AD2" w:rsidR="00A914F0" w:rsidP="00EC6800" w:rsidRDefault="00A914F0" w14:paraId="16287CD2" w14:textId="77777777">
      <w:pPr>
        <w:pStyle w:val="ListParagraph"/>
        <w:ind w:left="1440"/>
        <w:rPr>
          <w:rFonts w:ascii="Palatino Linotype" w:hAnsi="Palatino Linotype"/>
          <w:sz w:val="24"/>
          <w:szCs w:val="24"/>
        </w:rPr>
      </w:pPr>
    </w:p>
    <w:p w:rsidRPr="003E7AD2" w:rsidR="000E761C" w:rsidP="000E761C" w:rsidRDefault="000E761C" w14:paraId="0E3F3116" w14:textId="77777777">
      <w:pPr>
        <w:rPr>
          <w:rFonts w:ascii="Palatino Linotype" w:hAnsi="Palatino Linotype"/>
          <w:sz w:val="24"/>
          <w:szCs w:val="24"/>
        </w:rPr>
      </w:pPr>
      <w:r w:rsidRPr="003E7AD2">
        <w:rPr>
          <w:rFonts w:ascii="Palatino Linotype" w:hAnsi="Palatino Linotype"/>
          <w:b/>
          <w:bCs/>
          <w:sz w:val="24"/>
          <w:szCs w:val="24"/>
        </w:rPr>
        <w:t>Information and Referral Resource File Standards:</w:t>
      </w:r>
      <w:r w:rsidRPr="003E7AD2">
        <w:rPr>
          <w:rFonts w:ascii="Palatino Linotype" w:hAnsi="Palatino Linotype"/>
          <w:sz w:val="24"/>
          <w:szCs w:val="24"/>
        </w:rPr>
        <w:t xml:space="preserve"> </w:t>
      </w:r>
    </w:p>
    <w:p w:rsidRPr="003E7AD2" w:rsidR="00A914F0" w:rsidP="000E761C" w:rsidRDefault="00A914F0" w14:paraId="732B32D6" w14:textId="77777777">
      <w:pPr>
        <w:rPr>
          <w:rFonts w:ascii="Palatino Linotype" w:hAnsi="Palatino Linotype"/>
          <w:sz w:val="24"/>
          <w:szCs w:val="24"/>
        </w:rPr>
      </w:pPr>
    </w:p>
    <w:p w:rsidRPr="003E7AD2" w:rsidR="000E761C" w:rsidP="00246398" w:rsidRDefault="000E761C" w14:paraId="49410E23" w14:textId="426C4C2C">
      <w:pPr>
        <w:pStyle w:val="ListParagraph"/>
        <w:numPr>
          <w:ilvl w:val="0"/>
          <w:numId w:val="6"/>
        </w:numPr>
        <w:rPr>
          <w:rFonts w:ascii="Palatino Linotype" w:hAnsi="Palatino Linotype"/>
          <w:sz w:val="24"/>
          <w:szCs w:val="24"/>
        </w:rPr>
      </w:pPr>
      <w:r w:rsidRPr="003E7AD2">
        <w:rPr>
          <w:rFonts w:ascii="Palatino Linotype" w:hAnsi="Palatino Linotype"/>
          <w:sz w:val="24"/>
          <w:szCs w:val="24"/>
        </w:rPr>
        <w:t>Written criteria and a standardized profile guide the inclusion of resources in the 2-1-1 Tuolumne County database.</w:t>
      </w:r>
    </w:p>
    <w:p w:rsidRPr="003E7AD2" w:rsidR="00B46FB0" w:rsidP="00B46FB0" w:rsidRDefault="00B46FB0" w14:paraId="794A4451" w14:textId="77777777">
      <w:pPr>
        <w:pStyle w:val="ListParagraph"/>
        <w:ind w:left="1440"/>
        <w:rPr>
          <w:rFonts w:ascii="Palatino Linotype" w:hAnsi="Palatino Linotype"/>
          <w:sz w:val="24"/>
          <w:szCs w:val="24"/>
        </w:rPr>
      </w:pPr>
    </w:p>
    <w:p w:rsidRPr="003E7AD2" w:rsidR="000E761C" w:rsidP="00246398" w:rsidRDefault="000E761C" w14:paraId="5FC81F1E" w14:textId="77777777">
      <w:pPr>
        <w:numPr>
          <w:ilvl w:val="1"/>
          <w:numId w:val="6"/>
        </w:numPr>
        <w:spacing w:after="160" w:line="259" w:lineRule="auto"/>
        <w:rPr>
          <w:rFonts w:ascii="Palatino Linotype" w:hAnsi="Palatino Linotype"/>
          <w:sz w:val="24"/>
          <w:szCs w:val="24"/>
        </w:rPr>
      </w:pPr>
      <w:r w:rsidRPr="003E7AD2">
        <w:rPr>
          <w:rFonts w:ascii="Palatino Linotype" w:hAnsi="Palatino Linotype"/>
          <w:sz w:val="24"/>
          <w:szCs w:val="24"/>
        </w:rPr>
        <w:t>Criteria for database inclusion/exclusion are accessible to the public, promoting transparency and accountability.</w:t>
      </w:r>
    </w:p>
    <w:p w:rsidRPr="003E7AD2" w:rsidR="000E761C" w:rsidP="00246398" w:rsidRDefault="000E761C" w14:paraId="1B5EA9E7" w14:textId="77777777">
      <w:pPr>
        <w:numPr>
          <w:ilvl w:val="1"/>
          <w:numId w:val="6"/>
        </w:numPr>
        <w:spacing w:after="160" w:line="259" w:lineRule="auto"/>
        <w:rPr>
          <w:rFonts w:ascii="Palatino Linotype" w:hAnsi="Palatino Linotype"/>
          <w:sz w:val="24"/>
          <w:szCs w:val="24"/>
        </w:rPr>
      </w:pPr>
      <w:r w:rsidRPr="003E7AD2">
        <w:rPr>
          <w:rFonts w:ascii="Palatino Linotype" w:hAnsi="Palatino Linotype"/>
          <w:sz w:val="24"/>
          <w:szCs w:val="24"/>
        </w:rPr>
        <w:t>A customized standardized profile tool, provided by Interface, ensures consistent and comprehensive data collection for agencies and services.</w:t>
      </w:r>
    </w:p>
    <w:p w:rsidRPr="003E7AD2" w:rsidR="000E761C" w:rsidP="00246398" w:rsidRDefault="000E761C" w14:paraId="19A8BAE4" w14:textId="77777777">
      <w:pPr>
        <w:numPr>
          <w:ilvl w:val="1"/>
          <w:numId w:val="6"/>
        </w:numPr>
        <w:spacing w:after="160" w:line="259" w:lineRule="auto"/>
        <w:rPr>
          <w:rFonts w:ascii="Palatino Linotype" w:hAnsi="Palatino Linotype"/>
          <w:sz w:val="24"/>
          <w:szCs w:val="24"/>
        </w:rPr>
      </w:pPr>
      <w:r w:rsidRPr="003E7AD2">
        <w:rPr>
          <w:rFonts w:ascii="Palatino Linotype" w:hAnsi="Palatino Linotype"/>
          <w:sz w:val="24"/>
          <w:szCs w:val="24"/>
        </w:rPr>
        <w:t>Annual reviews, coupled with ongoing updates, guarantee that the 2-1-1 Tuolumne County resource database remains current and reliable.</w:t>
      </w:r>
    </w:p>
    <w:p w:rsidRPr="003E7AD2" w:rsidR="000E761C" w:rsidP="00246398" w:rsidRDefault="000E761C" w14:paraId="79168A9A" w14:textId="77777777">
      <w:pPr>
        <w:numPr>
          <w:ilvl w:val="1"/>
          <w:numId w:val="6"/>
        </w:numPr>
        <w:spacing w:after="160" w:line="259" w:lineRule="auto"/>
        <w:rPr>
          <w:rFonts w:ascii="Palatino Linotype" w:hAnsi="Palatino Linotype"/>
          <w:sz w:val="24"/>
          <w:szCs w:val="24"/>
        </w:rPr>
      </w:pPr>
      <w:r w:rsidRPr="003E7AD2">
        <w:rPr>
          <w:rFonts w:ascii="Palatino Linotype" w:hAnsi="Palatino Linotype"/>
          <w:sz w:val="24"/>
          <w:szCs w:val="24"/>
        </w:rPr>
        <w:t>The AIRS Taxonomy, specifically the public 2-1-1 Ventura County AIRS taxonomy filter, is employed to index services, aligning with widely used standards in California.</w:t>
      </w:r>
    </w:p>
    <w:p w:rsidRPr="003E7AD2" w:rsidR="000E761C" w:rsidP="000E761C" w:rsidRDefault="000E761C" w14:paraId="0E7A3331" w14:textId="77777777">
      <w:pPr>
        <w:pStyle w:val="ListParagraph"/>
        <w:ind w:left="360"/>
        <w:rPr>
          <w:rFonts w:ascii="Palatino Linotype" w:hAnsi="Palatino Linotype"/>
          <w:sz w:val="24"/>
          <w:szCs w:val="24"/>
        </w:rPr>
      </w:pPr>
      <w:r w:rsidRPr="003E7AD2">
        <w:rPr>
          <w:rFonts w:ascii="Palatino Linotype" w:hAnsi="Palatino Linotype"/>
          <w:b/>
          <w:bCs/>
          <w:sz w:val="24"/>
          <w:szCs w:val="24"/>
        </w:rPr>
        <w:t>Information and Referral Disaster Standards:</w:t>
      </w:r>
      <w:r w:rsidRPr="003E7AD2">
        <w:rPr>
          <w:rFonts w:ascii="Palatino Linotype" w:hAnsi="Palatino Linotype"/>
          <w:sz w:val="24"/>
          <w:szCs w:val="24"/>
        </w:rPr>
        <w:t xml:space="preserve"> </w:t>
      </w:r>
    </w:p>
    <w:p w:rsidRPr="003E7AD2" w:rsidR="00A914F0" w:rsidP="000E761C" w:rsidRDefault="00A914F0" w14:paraId="3481E4AA" w14:textId="77777777">
      <w:pPr>
        <w:pStyle w:val="ListParagraph"/>
        <w:ind w:left="360"/>
        <w:rPr>
          <w:rFonts w:ascii="Palatino Linotype" w:hAnsi="Palatino Linotype"/>
          <w:sz w:val="24"/>
          <w:szCs w:val="24"/>
        </w:rPr>
      </w:pPr>
    </w:p>
    <w:p w:rsidRPr="003E7AD2" w:rsidR="000E761C" w:rsidP="00246398" w:rsidRDefault="000E761C" w14:paraId="70D0249D" w14:textId="0BB459D3">
      <w:pPr>
        <w:numPr>
          <w:ilvl w:val="1"/>
          <w:numId w:val="6"/>
        </w:numPr>
        <w:spacing w:after="160" w:line="259" w:lineRule="auto"/>
        <w:rPr>
          <w:rFonts w:ascii="Palatino Linotype" w:hAnsi="Palatino Linotype"/>
          <w:sz w:val="24"/>
          <w:szCs w:val="24"/>
        </w:rPr>
      </w:pPr>
      <w:r w:rsidRPr="003E7AD2">
        <w:rPr>
          <w:rFonts w:ascii="Palatino Linotype" w:hAnsi="Palatino Linotype"/>
          <w:sz w:val="24"/>
          <w:szCs w:val="24"/>
        </w:rPr>
        <w:t>2-1-1 Tuolumne County services remain available during local disasters, backed by robust disaster plans.</w:t>
      </w:r>
    </w:p>
    <w:p w:rsidRPr="003E7AD2" w:rsidR="00A914F0" w:rsidP="00EC6800" w:rsidRDefault="00A914F0" w14:paraId="7635A591" w14:textId="77777777">
      <w:pPr>
        <w:pStyle w:val="ListParagraph"/>
        <w:ind w:left="1530"/>
        <w:rPr>
          <w:rFonts w:ascii="Palatino Linotype" w:hAnsi="Palatino Linotype"/>
          <w:sz w:val="24"/>
          <w:szCs w:val="24"/>
        </w:rPr>
      </w:pPr>
    </w:p>
    <w:p w:rsidRPr="003E7AD2" w:rsidR="000E761C" w:rsidP="00246398" w:rsidRDefault="000E761C" w14:paraId="7C197FCF" w14:textId="4EDF7B0C">
      <w:pPr>
        <w:numPr>
          <w:ilvl w:val="1"/>
          <w:numId w:val="6"/>
        </w:numPr>
        <w:spacing w:after="160" w:line="259" w:lineRule="auto"/>
        <w:rPr>
          <w:rFonts w:ascii="Palatino Linotype" w:hAnsi="Palatino Linotype"/>
          <w:sz w:val="24"/>
          <w:szCs w:val="24"/>
        </w:rPr>
      </w:pPr>
      <w:r w:rsidRPr="003E7AD2">
        <w:rPr>
          <w:rFonts w:ascii="Palatino Linotype" w:hAnsi="Palatino Linotype"/>
          <w:sz w:val="24"/>
          <w:szCs w:val="24"/>
        </w:rPr>
        <w:t>Service continuity during disasters is assured, with the Interface Call Center ready to shift</w:t>
      </w:r>
      <w:r w:rsidRPr="003E7AD2" w:rsidR="00B46FB0">
        <w:rPr>
          <w:rFonts w:ascii="Palatino Linotype" w:hAnsi="Palatino Linotype"/>
          <w:sz w:val="24"/>
          <w:szCs w:val="24"/>
        </w:rPr>
        <w:t xml:space="preserve"> </w:t>
      </w:r>
      <w:r w:rsidRPr="003E7AD2">
        <w:rPr>
          <w:rFonts w:ascii="Palatino Linotype" w:hAnsi="Palatino Linotype"/>
          <w:sz w:val="24"/>
          <w:szCs w:val="24"/>
        </w:rPr>
        <w:t>calls and seek assistance if needed. The plan encompasses both local and remote</w:t>
      </w:r>
      <w:r w:rsidRPr="003E7AD2" w:rsidR="00B46FB0">
        <w:rPr>
          <w:rFonts w:ascii="Palatino Linotype" w:hAnsi="Palatino Linotype"/>
          <w:sz w:val="24"/>
          <w:szCs w:val="24"/>
        </w:rPr>
        <w:t xml:space="preserve"> </w:t>
      </w:r>
      <w:r w:rsidRPr="003E7AD2">
        <w:rPr>
          <w:rFonts w:ascii="Palatino Linotype" w:hAnsi="Palatino Linotype"/>
          <w:sz w:val="24"/>
          <w:szCs w:val="24"/>
        </w:rPr>
        <w:t>incidents, with detailed protocols for staff expansion, call routing, and collaboration with other 2-1-1 providers.</w:t>
      </w:r>
    </w:p>
    <w:p w:rsidRPr="003E7AD2" w:rsidR="000E761C" w:rsidP="00246398" w:rsidRDefault="000E761C" w14:paraId="7949343D" w14:textId="77777777">
      <w:pPr>
        <w:numPr>
          <w:ilvl w:val="1"/>
          <w:numId w:val="6"/>
        </w:numPr>
        <w:spacing w:after="160" w:line="259" w:lineRule="auto"/>
        <w:rPr>
          <w:rFonts w:ascii="Palatino Linotype" w:hAnsi="Palatino Linotype"/>
          <w:sz w:val="24"/>
          <w:szCs w:val="24"/>
        </w:rPr>
      </w:pPr>
      <w:r w:rsidRPr="003E7AD2">
        <w:rPr>
          <w:rFonts w:ascii="Palatino Linotype" w:hAnsi="Palatino Linotype"/>
          <w:sz w:val="24"/>
          <w:szCs w:val="24"/>
        </w:rPr>
        <w:t>Comprehensive disaster plans exist for both Tuolumne County and Interface/2-1-1 Ventura County, covering various scenarios and detailing communication strategies, lead agency coordination, and potential service relocations.</w:t>
      </w:r>
    </w:p>
    <w:p w:rsidRPr="003E7AD2" w:rsidR="000E761C" w:rsidP="00246398" w:rsidRDefault="000E761C" w14:paraId="0865F4BC" w14:textId="77777777">
      <w:pPr>
        <w:numPr>
          <w:ilvl w:val="1"/>
          <w:numId w:val="6"/>
        </w:numPr>
        <w:spacing w:after="160" w:line="259" w:lineRule="auto"/>
        <w:rPr>
          <w:rFonts w:ascii="Palatino Linotype" w:hAnsi="Palatino Linotype"/>
          <w:sz w:val="24"/>
          <w:szCs w:val="24"/>
        </w:rPr>
      </w:pPr>
      <w:r w:rsidRPr="003E7AD2">
        <w:rPr>
          <w:rFonts w:ascii="Palatino Linotype" w:hAnsi="Palatino Linotype"/>
          <w:sz w:val="24"/>
          <w:szCs w:val="24"/>
        </w:rPr>
        <w:t>A pre-disaster resource database is maintained for swift response, providing information on ongoing public safety services and mirroring resources available in 2-1-1 Ventura County.</w:t>
      </w:r>
    </w:p>
    <w:p w:rsidRPr="003E7AD2" w:rsidR="00B46FB0" w:rsidP="000E761C" w:rsidRDefault="000E761C" w14:paraId="47AC1D93" w14:textId="77777777">
      <w:pPr>
        <w:pStyle w:val="ListParagraph"/>
        <w:ind w:left="360"/>
        <w:rPr>
          <w:rFonts w:ascii="Palatino Linotype" w:hAnsi="Palatino Linotype"/>
          <w:sz w:val="24"/>
          <w:szCs w:val="24"/>
        </w:rPr>
      </w:pPr>
      <w:r w:rsidRPr="003E7AD2">
        <w:rPr>
          <w:rFonts w:ascii="Palatino Linotype" w:hAnsi="Palatino Linotype"/>
          <w:b/>
          <w:bCs/>
          <w:sz w:val="24"/>
          <w:szCs w:val="24"/>
        </w:rPr>
        <w:t>Reports and Measures Standards:</w:t>
      </w:r>
      <w:r w:rsidRPr="003E7AD2">
        <w:rPr>
          <w:rFonts w:ascii="Palatino Linotype" w:hAnsi="Palatino Linotype"/>
          <w:sz w:val="24"/>
          <w:szCs w:val="24"/>
        </w:rPr>
        <w:t xml:space="preserve"> </w:t>
      </w:r>
    </w:p>
    <w:p w:rsidRPr="003E7AD2" w:rsidR="00A914F0" w:rsidP="000E761C" w:rsidRDefault="00A914F0" w14:paraId="0C41AFCA" w14:textId="77777777">
      <w:pPr>
        <w:pStyle w:val="ListParagraph"/>
        <w:ind w:left="360"/>
        <w:rPr>
          <w:rFonts w:ascii="Palatino Linotype" w:hAnsi="Palatino Linotype"/>
          <w:sz w:val="24"/>
          <w:szCs w:val="24"/>
        </w:rPr>
      </w:pPr>
    </w:p>
    <w:p w:rsidRPr="003E7AD2" w:rsidR="000E761C" w:rsidP="00246398" w:rsidRDefault="000E761C" w14:paraId="4A6A8B6A" w14:textId="6799C378">
      <w:pPr>
        <w:numPr>
          <w:ilvl w:val="1"/>
          <w:numId w:val="6"/>
        </w:numPr>
        <w:spacing w:after="160" w:line="259" w:lineRule="auto"/>
        <w:rPr>
          <w:rFonts w:ascii="Palatino Linotype" w:hAnsi="Palatino Linotype"/>
          <w:sz w:val="24"/>
          <w:szCs w:val="24"/>
        </w:rPr>
      </w:pPr>
      <w:r w:rsidRPr="003E7AD2">
        <w:rPr>
          <w:rFonts w:ascii="Palatino Linotype" w:hAnsi="Palatino Linotype"/>
          <w:sz w:val="24"/>
          <w:szCs w:val="24"/>
        </w:rPr>
        <w:t>iCarol database system facilitates data collection, ensuring confidentiality.</w:t>
      </w:r>
    </w:p>
    <w:p w:rsidRPr="003E7AD2" w:rsidR="000E761C" w:rsidP="00246398" w:rsidRDefault="000E761C" w14:paraId="74734768" w14:textId="77777777">
      <w:pPr>
        <w:numPr>
          <w:ilvl w:val="1"/>
          <w:numId w:val="6"/>
        </w:numPr>
        <w:spacing w:after="160" w:line="259" w:lineRule="auto"/>
        <w:rPr>
          <w:rFonts w:ascii="Palatino Linotype" w:hAnsi="Palatino Linotype"/>
          <w:sz w:val="24"/>
          <w:szCs w:val="24"/>
        </w:rPr>
      </w:pPr>
      <w:r w:rsidRPr="003E7AD2">
        <w:rPr>
          <w:rFonts w:ascii="Palatino Linotype" w:hAnsi="Palatino Linotype"/>
          <w:sz w:val="24"/>
          <w:szCs w:val="24"/>
        </w:rPr>
        <w:t>Inquirer data confidentiality is maintained through the iCarol system, with restricted access and secure storage on iCarol servers.</w:t>
      </w:r>
    </w:p>
    <w:p w:rsidRPr="003E7AD2" w:rsidR="000E761C" w:rsidP="00246398" w:rsidRDefault="000E761C" w14:paraId="05876230" w14:textId="77777777">
      <w:pPr>
        <w:numPr>
          <w:ilvl w:val="1"/>
          <w:numId w:val="6"/>
        </w:numPr>
        <w:spacing w:after="160" w:line="259" w:lineRule="auto"/>
        <w:rPr>
          <w:rFonts w:ascii="Palatino Linotype" w:hAnsi="Palatino Linotype"/>
          <w:sz w:val="24"/>
          <w:szCs w:val="24"/>
        </w:rPr>
      </w:pPr>
      <w:r w:rsidRPr="003E7AD2">
        <w:rPr>
          <w:rFonts w:ascii="Palatino Linotype" w:hAnsi="Palatino Linotype"/>
          <w:sz w:val="24"/>
          <w:szCs w:val="24"/>
        </w:rPr>
        <w:t>The system records referrals made, identifies service gaps, and allows for comprehensive data aggregation, enabling a nuanced understanding of the organizations receiving referrals and generalizable client needs.</w:t>
      </w:r>
    </w:p>
    <w:p w:rsidRPr="003E7AD2" w:rsidR="000E761C" w:rsidP="00246398" w:rsidRDefault="000E761C" w14:paraId="35CE733A" w14:textId="77777777">
      <w:pPr>
        <w:numPr>
          <w:ilvl w:val="1"/>
          <w:numId w:val="6"/>
        </w:numPr>
        <w:spacing w:after="160" w:line="259" w:lineRule="auto"/>
        <w:rPr>
          <w:rFonts w:ascii="Palatino Linotype" w:hAnsi="Palatino Linotype"/>
          <w:sz w:val="24"/>
          <w:szCs w:val="24"/>
        </w:rPr>
      </w:pPr>
      <w:r w:rsidRPr="003E7AD2">
        <w:rPr>
          <w:rFonts w:ascii="Palatino Linotype" w:hAnsi="Palatino Linotype"/>
          <w:sz w:val="24"/>
          <w:szCs w:val="24"/>
        </w:rPr>
        <w:t>iCarol enables aggregated reporting for internal analysis, advocacy, and community planning. Staff can generate reports on client demographics, referral patterns, and call volume, contributing to informed decision-making and community outreach efforts.</w:t>
      </w:r>
    </w:p>
    <w:p w:rsidRPr="003E7AD2" w:rsidR="00B46FB0" w:rsidP="000E761C" w:rsidRDefault="000E761C" w14:paraId="1A87F0F8" w14:textId="77777777">
      <w:pPr>
        <w:pStyle w:val="ListParagraph"/>
        <w:ind w:left="360"/>
        <w:rPr>
          <w:rFonts w:ascii="Palatino Linotype" w:hAnsi="Palatino Linotype"/>
          <w:sz w:val="24"/>
          <w:szCs w:val="24"/>
        </w:rPr>
      </w:pPr>
      <w:r w:rsidRPr="003E7AD2">
        <w:rPr>
          <w:rFonts w:ascii="Palatino Linotype" w:hAnsi="Palatino Linotype"/>
          <w:b/>
          <w:bCs/>
          <w:sz w:val="24"/>
          <w:szCs w:val="24"/>
        </w:rPr>
        <w:t>Cooperative Relationship Standards:</w:t>
      </w:r>
      <w:r w:rsidRPr="003E7AD2">
        <w:rPr>
          <w:rFonts w:ascii="Palatino Linotype" w:hAnsi="Palatino Linotype"/>
          <w:sz w:val="24"/>
          <w:szCs w:val="24"/>
        </w:rPr>
        <w:t xml:space="preserve"> </w:t>
      </w:r>
    </w:p>
    <w:p w:rsidRPr="003E7AD2" w:rsidR="00A914F0" w:rsidP="000E761C" w:rsidRDefault="00A914F0" w14:paraId="181BA727" w14:textId="77777777">
      <w:pPr>
        <w:pStyle w:val="ListParagraph"/>
        <w:ind w:left="360"/>
        <w:rPr>
          <w:rFonts w:ascii="Palatino Linotype" w:hAnsi="Palatino Linotype"/>
          <w:sz w:val="24"/>
          <w:szCs w:val="24"/>
        </w:rPr>
      </w:pPr>
    </w:p>
    <w:p w:rsidRPr="003E7AD2" w:rsidR="00B46FB0" w:rsidP="00246398" w:rsidRDefault="000E761C" w14:paraId="164827F3" w14:textId="23ECE03B">
      <w:pPr>
        <w:numPr>
          <w:ilvl w:val="1"/>
          <w:numId w:val="6"/>
        </w:numPr>
        <w:spacing w:after="160" w:line="259" w:lineRule="auto"/>
        <w:rPr>
          <w:rFonts w:ascii="Palatino Linotype" w:hAnsi="Palatino Linotype"/>
          <w:sz w:val="24"/>
          <w:szCs w:val="24"/>
        </w:rPr>
      </w:pPr>
      <w:r w:rsidRPr="003E7AD2">
        <w:rPr>
          <w:rFonts w:ascii="Palatino Linotype" w:hAnsi="Palatino Linotype"/>
          <w:sz w:val="24"/>
          <w:szCs w:val="24"/>
        </w:rPr>
        <w:t>Collaborative working relationships with agencies like Area 12 Agency on Aging, ICES, and Tuolumne County Board of Supervisors ensure seamless 2-1-1 service access.</w:t>
      </w:r>
    </w:p>
    <w:p w:rsidRPr="003E7AD2" w:rsidR="000E761C" w:rsidP="00246398" w:rsidRDefault="000E761C" w14:paraId="18566DA9" w14:textId="77777777">
      <w:pPr>
        <w:numPr>
          <w:ilvl w:val="1"/>
          <w:numId w:val="6"/>
        </w:numPr>
        <w:spacing w:after="160" w:line="259" w:lineRule="auto"/>
        <w:rPr>
          <w:rFonts w:ascii="Palatino Linotype" w:hAnsi="Palatino Linotype"/>
          <w:sz w:val="24"/>
          <w:szCs w:val="24"/>
        </w:rPr>
      </w:pPr>
      <w:r w:rsidRPr="003E7AD2">
        <w:rPr>
          <w:rFonts w:ascii="Palatino Linotype" w:hAnsi="Palatino Linotype"/>
          <w:sz w:val="24"/>
          <w:szCs w:val="24"/>
        </w:rPr>
        <w:t>Partnerships with targeted and local I&amp;Rs are established, promoting collaborative support. Letters of support from Area 12 Agency on Aging, ICES, and Tuolumne County Board of Supervisors substantiate these partnerships.</w:t>
      </w:r>
    </w:p>
    <w:p w:rsidRPr="003E7AD2" w:rsidR="000E761C" w:rsidP="00246398" w:rsidRDefault="000E761C" w14:paraId="46B9A68A" w14:textId="77777777">
      <w:pPr>
        <w:numPr>
          <w:ilvl w:val="1"/>
          <w:numId w:val="6"/>
        </w:numPr>
        <w:spacing w:after="160" w:line="259" w:lineRule="auto"/>
        <w:rPr>
          <w:rFonts w:ascii="Palatino Linotype" w:hAnsi="Palatino Linotype"/>
          <w:sz w:val="24"/>
          <w:szCs w:val="24"/>
        </w:rPr>
      </w:pPr>
      <w:r w:rsidRPr="003E7AD2">
        <w:rPr>
          <w:rFonts w:ascii="Palatino Linotype" w:hAnsi="Palatino Linotype"/>
          <w:sz w:val="24"/>
          <w:szCs w:val="24"/>
        </w:rPr>
        <w:t>Callers experience seamless access to 2-1-1 services throughout the service area, bolstered by strong collaborative relationships with local agencies.</w:t>
      </w:r>
    </w:p>
    <w:p w:rsidRPr="003E7AD2" w:rsidR="002C0FF1" w:rsidP="000E761C" w:rsidRDefault="000E761C" w14:paraId="5A5BA25B" w14:textId="77777777">
      <w:pPr>
        <w:pStyle w:val="ListParagraph"/>
        <w:ind w:left="360"/>
        <w:rPr>
          <w:rFonts w:ascii="Palatino Linotype" w:hAnsi="Palatino Linotype"/>
          <w:sz w:val="24"/>
          <w:szCs w:val="24"/>
        </w:rPr>
      </w:pPr>
      <w:r w:rsidRPr="003E7AD2">
        <w:rPr>
          <w:rFonts w:ascii="Palatino Linotype" w:hAnsi="Palatino Linotype"/>
          <w:b/>
          <w:bCs/>
          <w:sz w:val="24"/>
          <w:szCs w:val="24"/>
        </w:rPr>
        <w:t>Other Organizational Standards:</w:t>
      </w:r>
      <w:r w:rsidRPr="003E7AD2">
        <w:rPr>
          <w:rFonts w:ascii="Palatino Linotype" w:hAnsi="Palatino Linotype"/>
          <w:sz w:val="24"/>
          <w:szCs w:val="24"/>
        </w:rPr>
        <w:t xml:space="preserve"> </w:t>
      </w:r>
    </w:p>
    <w:p w:rsidRPr="003E7AD2" w:rsidR="00A914F0" w:rsidP="000E761C" w:rsidRDefault="00A914F0" w14:paraId="04083917" w14:textId="77777777">
      <w:pPr>
        <w:pStyle w:val="ListParagraph"/>
        <w:ind w:left="360"/>
        <w:rPr>
          <w:rFonts w:ascii="Palatino Linotype" w:hAnsi="Palatino Linotype"/>
          <w:sz w:val="24"/>
          <w:szCs w:val="24"/>
        </w:rPr>
      </w:pPr>
    </w:p>
    <w:p w:rsidRPr="003E7AD2" w:rsidR="000E761C" w:rsidP="00246398" w:rsidRDefault="000E761C" w14:paraId="5B36D42C" w14:textId="36F9DB09">
      <w:pPr>
        <w:pStyle w:val="ListParagraph"/>
        <w:numPr>
          <w:ilvl w:val="0"/>
          <w:numId w:val="7"/>
        </w:numPr>
        <w:rPr>
          <w:rFonts w:ascii="Palatino Linotype" w:hAnsi="Palatino Linotype"/>
          <w:sz w:val="24"/>
          <w:szCs w:val="24"/>
        </w:rPr>
      </w:pPr>
      <w:r w:rsidRPr="003E7AD2">
        <w:rPr>
          <w:rFonts w:ascii="Palatino Linotype" w:hAnsi="Palatino Linotype"/>
          <w:sz w:val="24"/>
          <w:szCs w:val="24"/>
        </w:rPr>
        <w:t>Training, public awareness, and evaluation plans ensure organizational excellence.</w:t>
      </w:r>
    </w:p>
    <w:p w:rsidRPr="003E7AD2" w:rsidR="00B46FB0" w:rsidP="00B46FB0" w:rsidRDefault="00B46FB0" w14:paraId="7F223A51" w14:textId="77777777">
      <w:pPr>
        <w:rPr>
          <w:rFonts w:ascii="Palatino Linotype" w:hAnsi="Palatino Linotype"/>
          <w:sz w:val="24"/>
          <w:szCs w:val="24"/>
        </w:rPr>
      </w:pPr>
    </w:p>
    <w:p w:rsidRPr="003E7AD2" w:rsidR="000E761C" w:rsidP="00246398" w:rsidRDefault="000E761C" w14:paraId="6176863B" w14:textId="77777777">
      <w:pPr>
        <w:numPr>
          <w:ilvl w:val="1"/>
          <w:numId w:val="7"/>
        </w:numPr>
        <w:spacing w:after="160" w:line="259" w:lineRule="auto"/>
        <w:rPr>
          <w:rFonts w:ascii="Palatino Linotype" w:hAnsi="Palatino Linotype"/>
          <w:sz w:val="24"/>
          <w:szCs w:val="24"/>
        </w:rPr>
      </w:pPr>
      <w:r w:rsidRPr="003E7AD2">
        <w:rPr>
          <w:rFonts w:ascii="Palatino Linotype" w:hAnsi="Palatino Linotype"/>
          <w:sz w:val="24"/>
          <w:szCs w:val="24"/>
        </w:rPr>
        <w:t>Comprehensive training is provided to staff for all aspects of 2-1-1 services, covering call handling, resource database utilization, risk assessment, and crisis call triaging. Training utilizes AIRS Standards and 2-1-1 Ventura taxonomy.</w:t>
      </w:r>
    </w:p>
    <w:p w:rsidRPr="003E7AD2" w:rsidR="000E761C" w:rsidP="00246398" w:rsidRDefault="000E761C" w14:paraId="1B087501" w14:textId="77777777">
      <w:pPr>
        <w:numPr>
          <w:ilvl w:val="1"/>
          <w:numId w:val="7"/>
        </w:numPr>
        <w:spacing w:after="160" w:line="259" w:lineRule="auto"/>
        <w:rPr>
          <w:rFonts w:ascii="Palatino Linotype" w:hAnsi="Palatino Linotype"/>
          <w:sz w:val="24"/>
          <w:szCs w:val="24"/>
        </w:rPr>
      </w:pPr>
      <w:r w:rsidRPr="003E7AD2">
        <w:rPr>
          <w:rFonts w:ascii="Palatino Linotype" w:hAnsi="Palatino Linotype"/>
          <w:sz w:val="24"/>
          <w:szCs w:val="24"/>
        </w:rPr>
        <w:t>A multi-faceted awareness campaign is planned, covering various channels such as promotional materials, media releases, collaborations with community organizations, and outreach through local schools and businesses.</w:t>
      </w:r>
    </w:p>
    <w:p w:rsidRPr="003E7AD2" w:rsidR="000E761C" w:rsidP="00246398" w:rsidRDefault="000E761C" w14:paraId="4390EC49" w14:textId="4692B36D">
      <w:pPr>
        <w:numPr>
          <w:ilvl w:val="1"/>
          <w:numId w:val="7"/>
        </w:numPr>
        <w:spacing w:after="160" w:line="259" w:lineRule="auto"/>
        <w:rPr>
          <w:rFonts w:ascii="Palatino Linotype" w:hAnsi="Palatino Linotype"/>
          <w:sz w:val="24"/>
          <w:szCs w:val="24"/>
        </w:rPr>
      </w:pPr>
      <w:r w:rsidRPr="003E7AD2">
        <w:rPr>
          <w:rFonts w:ascii="Palatino Linotype" w:hAnsi="Palatino Linotype"/>
          <w:sz w:val="24"/>
          <w:szCs w:val="24"/>
        </w:rPr>
        <w:t>Regular evaluations are implemented to identify program improvements, with the plan updated annually. The County of Tuolumne Public Health Department plays a key role in reviewing data, discussing community needs, and updating the Public Health website with 2-1-1 data.</w:t>
      </w:r>
    </w:p>
    <w:p w:rsidRPr="003E7AD2" w:rsidR="00E32C30" w:rsidP="00E32C30" w:rsidRDefault="00E32C30" w14:paraId="01E74CB5" w14:textId="6C207601">
      <w:pPr>
        <w:spacing w:after="160" w:line="259" w:lineRule="auto"/>
        <w:rPr>
          <w:rFonts w:ascii="Palatino Linotype" w:hAnsi="Palatino Linotype"/>
          <w:sz w:val="24"/>
          <w:szCs w:val="24"/>
        </w:rPr>
      </w:pPr>
      <w:r w:rsidRPr="003E7AD2">
        <w:rPr>
          <w:rFonts w:ascii="Palatino Linotype" w:hAnsi="Palatino Linotype"/>
          <w:sz w:val="24"/>
          <w:szCs w:val="24"/>
        </w:rPr>
        <w:t>In summary, the County of Tuolumne, through its partnership with Interface, demonstrates a commitment to meeting the AIRS standards for the delivery of 2-1-1 services, including disaster preparedness, data collection, cooperative relationships, and public awareness efforts.</w:t>
      </w:r>
    </w:p>
    <w:p w:rsidRPr="003E7AD2" w:rsidR="00F108E9" w:rsidP="006D659C" w:rsidRDefault="00F108E9" w14:paraId="5777AC8E" w14:textId="77777777">
      <w:pPr>
        <w:rPr>
          <w:rFonts w:ascii="Palatino Linotype" w:hAnsi="Palatino Linotype"/>
          <w:i/>
          <w:iCs/>
          <w:sz w:val="24"/>
          <w:szCs w:val="24"/>
        </w:rPr>
      </w:pPr>
    </w:p>
    <w:p w:rsidRPr="003E7AD2" w:rsidR="00E32C30" w:rsidP="006D659C" w:rsidRDefault="00E32C30" w14:paraId="4FE18485" w14:textId="77777777"/>
    <w:p w:rsidRPr="003E7AD2" w:rsidR="003B582A" w:rsidP="006D659C" w:rsidRDefault="003B582A" w14:paraId="73CD63F5" w14:textId="77777777">
      <w:pPr>
        <w:keepNext/>
        <w:rPr>
          <w:rFonts w:ascii="Palatino Linotype" w:hAnsi="Palatino Linotype"/>
          <w:i/>
          <w:sz w:val="24"/>
          <w:szCs w:val="24"/>
        </w:rPr>
      </w:pPr>
      <w:r w:rsidRPr="003E7AD2">
        <w:rPr>
          <w:rFonts w:ascii="Palatino Linotype" w:hAnsi="Palatino Linotype"/>
          <w:i/>
          <w:sz w:val="24"/>
          <w:szCs w:val="24"/>
        </w:rPr>
        <w:t>Section 4 – Documentation of Community Support</w:t>
      </w:r>
    </w:p>
    <w:p w:rsidRPr="003E7AD2" w:rsidR="001A17DF" w:rsidP="006D659C" w:rsidRDefault="001A17DF" w14:paraId="2980B301" w14:textId="77777777">
      <w:pPr>
        <w:keepNext/>
        <w:rPr>
          <w:rFonts w:ascii="Palatino Linotype" w:hAnsi="Palatino Linotype"/>
          <w:sz w:val="24"/>
          <w:szCs w:val="24"/>
        </w:rPr>
      </w:pPr>
    </w:p>
    <w:p w:rsidRPr="003E7AD2" w:rsidR="00B46FB0" w:rsidP="00B46FB0" w:rsidRDefault="005237B0" w14:paraId="722ED56E" w14:textId="08F40E2A">
      <w:pPr>
        <w:rPr>
          <w:rFonts w:ascii="Palatino Linotype" w:hAnsi="Palatino Linotype"/>
          <w:sz w:val="24"/>
          <w:szCs w:val="24"/>
        </w:rPr>
      </w:pPr>
      <w:r w:rsidRPr="003E7AD2">
        <w:rPr>
          <w:rFonts w:ascii="Palatino Linotype" w:hAnsi="Palatino Linotype"/>
          <w:sz w:val="24"/>
          <w:szCs w:val="24"/>
        </w:rPr>
        <w:t xml:space="preserve">The </w:t>
      </w:r>
      <w:r w:rsidRPr="003E7AD2" w:rsidR="005A543B">
        <w:rPr>
          <w:rFonts w:ascii="Palatino Linotype" w:hAnsi="Palatino Linotype"/>
          <w:sz w:val="24"/>
          <w:szCs w:val="24"/>
        </w:rPr>
        <w:t xml:space="preserve">Tuolumne County Public Health Department </w:t>
      </w:r>
      <w:r w:rsidRPr="003E7AD2" w:rsidR="00B46FB0">
        <w:rPr>
          <w:rFonts w:ascii="Palatino Linotype" w:hAnsi="Palatino Linotype"/>
          <w:sz w:val="24"/>
          <w:szCs w:val="24"/>
        </w:rPr>
        <w:t>obtained endorsements from various sectors, including</w:t>
      </w:r>
      <w:r w:rsidRPr="003E7AD2" w:rsidR="005A543B">
        <w:rPr>
          <w:rFonts w:ascii="Palatino Linotype" w:hAnsi="Palatino Linotype"/>
          <w:sz w:val="24"/>
          <w:szCs w:val="24"/>
        </w:rPr>
        <w:t xml:space="preserve"> Area 12 Agency on Aging, Amador Tuolumne Community Action Agency (ATCAA), Adventist Health Sonora, </w:t>
      </w:r>
      <w:r w:rsidRPr="003E7AD2" w:rsidR="005D0E5F">
        <w:rPr>
          <w:rFonts w:ascii="Palatino Linotype" w:hAnsi="Palatino Linotype"/>
          <w:sz w:val="24"/>
          <w:szCs w:val="24"/>
        </w:rPr>
        <w:t xml:space="preserve">and </w:t>
      </w:r>
      <w:r w:rsidRPr="003E7AD2" w:rsidR="005A543B">
        <w:rPr>
          <w:rFonts w:ascii="Palatino Linotype" w:hAnsi="Palatino Linotype"/>
          <w:sz w:val="24"/>
          <w:szCs w:val="24"/>
        </w:rPr>
        <w:t>Center for a Nonviolent Community (CNVC)</w:t>
      </w:r>
      <w:r w:rsidRPr="003E7AD2" w:rsidR="00B46FB0">
        <w:rPr>
          <w:rFonts w:ascii="Palatino Linotype" w:hAnsi="Palatino Linotype"/>
          <w:sz w:val="24"/>
          <w:szCs w:val="24"/>
        </w:rPr>
        <w:t>. These endorsements demonstrate strong community backing for the 2-1-1 service provider application.</w:t>
      </w:r>
      <w:r w:rsidRPr="003E7AD2" w:rsidR="00B46FB0">
        <w:rPr>
          <w:rStyle w:val="FootnoteReference"/>
          <w:rFonts w:ascii="Palatino Linotype" w:hAnsi="Palatino Linotype"/>
          <w:sz w:val="24"/>
          <w:szCs w:val="24"/>
        </w:rPr>
        <w:footnoteReference w:id="30"/>
      </w:r>
    </w:p>
    <w:p w:rsidRPr="003E7AD2" w:rsidR="007A341F" w:rsidP="007A341F" w:rsidRDefault="007A341F" w14:paraId="2C7AA1D8" w14:textId="77777777">
      <w:pPr>
        <w:rPr>
          <w:rFonts w:ascii="Palatino Linotype" w:hAnsi="Palatino Linotype"/>
          <w:sz w:val="24"/>
          <w:szCs w:val="24"/>
        </w:rPr>
      </w:pPr>
    </w:p>
    <w:bookmarkEnd w:id="7"/>
    <w:p w:rsidRPr="003E7AD2" w:rsidR="00020D04" w:rsidP="006D659C" w:rsidRDefault="00091A0C" w14:paraId="69F01DEF" w14:textId="67E2EB75">
      <w:pPr>
        <w:keepNext/>
        <w:rPr>
          <w:rFonts w:ascii="Palatino Linotype" w:hAnsi="Palatino Linotype"/>
          <w:bCs/>
          <w:i/>
          <w:iCs/>
          <w:sz w:val="24"/>
          <w:szCs w:val="24"/>
        </w:rPr>
      </w:pPr>
      <w:r w:rsidRPr="003E7AD2">
        <w:rPr>
          <w:rFonts w:ascii="Palatino Linotype" w:hAnsi="Palatino Linotype"/>
          <w:bCs/>
          <w:i/>
          <w:iCs/>
          <w:sz w:val="24"/>
          <w:szCs w:val="24"/>
        </w:rPr>
        <w:t>Safety Considerations</w:t>
      </w:r>
    </w:p>
    <w:p w:rsidRPr="003E7AD2" w:rsidR="00091A0C" w:rsidP="006D659C" w:rsidRDefault="00091A0C" w14:paraId="390463A1" w14:textId="77777777">
      <w:pPr>
        <w:keepNext/>
        <w:rPr>
          <w:rFonts w:ascii="Palatino Linotype" w:hAnsi="Palatino Linotype"/>
          <w:b/>
          <w:sz w:val="24"/>
          <w:szCs w:val="24"/>
          <w:u w:val="single"/>
        </w:rPr>
      </w:pPr>
    </w:p>
    <w:p w:rsidRPr="003E7AD2" w:rsidR="00091A0C" w:rsidP="00091A0C" w:rsidRDefault="00091A0C" w14:paraId="508EC6DD" w14:textId="00E6801B">
      <w:pPr>
        <w:rPr>
          <w:rFonts w:ascii="Palatino Linotype" w:hAnsi="Palatino Linotype"/>
          <w:sz w:val="24"/>
          <w:szCs w:val="24"/>
        </w:rPr>
      </w:pPr>
      <w:r w:rsidRPr="003E7AD2">
        <w:rPr>
          <w:rFonts w:ascii="Palatino Linotype" w:hAnsi="Palatino Linotype"/>
          <w:sz w:val="24"/>
          <w:szCs w:val="24"/>
        </w:rPr>
        <w:t>Interface, Tuolumne County’s chosen contractor for 211 provider, has a crisis policy and procedures document that relates to safety. Interface ensures that their 211 Contact Specialists go through two weeks of initial training, including training related to safety concerns during calls and texts, with refresher training related to crisis protocols annually.</w:t>
      </w:r>
      <w:r w:rsidRPr="003E7AD2">
        <w:rPr>
          <w:rStyle w:val="FootnoteReference"/>
          <w:rFonts w:ascii="Palatino Linotype" w:hAnsi="Palatino Linotype"/>
          <w:sz w:val="24"/>
          <w:szCs w:val="24"/>
        </w:rPr>
        <w:footnoteReference w:id="31"/>
      </w:r>
      <w:r w:rsidRPr="003E7AD2">
        <w:rPr>
          <w:rFonts w:ascii="Palatino Linotype" w:hAnsi="Palatino Linotype"/>
          <w:sz w:val="24"/>
          <w:szCs w:val="24"/>
        </w:rPr>
        <w:t xml:space="preserve"> </w:t>
      </w:r>
    </w:p>
    <w:p w:rsidRPr="003E7AD2" w:rsidR="00091A0C" w:rsidP="006D659C" w:rsidRDefault="00091A0C" w14:paraId="522764F8" w14:textId="77777777">
      <w:pPr>
        <w:keepNext/>
        <w:rPr>
          <w:rFonts w:ascii="Palatino Linotype" w:hAnsi="Palatino Linotype"/>
          <w:b/>
          <w:sz w:val="24"/>
          <w:szCs w:val="24"/>
          <w:u w:val="single"/>
        </w:rPr>
      </w:pPr>
    </w:p>
    <w:p w:rsidRPr="003E7AD2" w:rsidR="00B072D9" w:rsidP="006D659C" w:rsidRDefault="00EA3595" w14:paraId="51508CBD" w14:textId="5375D16D">
      <w:pPr>
        <w:keepNext/>
        <w:rPr>
          <w:rFonts w:ascii="Palatino Linotype" w:hAnsi="Palatino Linotype"/>
          <w:b/>
          <w:sz w:val="24"/>
          <w:szCs w:val="24"/>
          <w:u w:val="single"/>
        </w:rPr>
      </w:pPr>
      <w:r w:rsidRPr="003E7AD2">
        <w:rPr>
          <w:rFonts w:ascii="Palatino Linotype" w:hAnsi="Palatino Linotype"/>
          <w:b/>
          <w:sz w:val="24"/>
          <w:szCs w:val="24"/>
          <w:u w:val="single"/>
        </w:rPr>
        <w:t>COMMENTS</w:t>
      </w:r>
    </w:p>
    <w:p w:rsidRPr="003E7AD2" w:rsidR="00B072D9" w:rsidP="006D659C" w:rsidRDefault="00B072D9" w14:paraId="1A33FCD0" w14:textId="77777777">
      <w:pPr>
        <w:rPr>
          <w:rFonts w:ascii="Palatino Linotype" w:hAnsi="Palatino Linotype"/>
          <w:sz w:val="24"/>
          <w:szCs w:val="24"/>
        </w:rPr>
      </w:pPr>
    </w:p>
    <w:p w:rsidRPr="003E7AD2" w:rsidR="00D0076E" w:rsidP="006D659C" w:rsidRDefault="00B20B34" w14:paraId="20FC7729" w14:textId="00D7FB13">
      <w:pPr>
        <w:rPr>
          <w:rFonts w:ascii="Palatino Linotype" w:hAnsi="Palatino Linotype"/>
          <w:sz w:val="24"/>
          <w:szCs w:val="24"/>
        </w:rPr>
      </w:pPr>
      <w:r w:rsidRPr="003E7AD2">
        <w:rPr>
          <w:rFonts w:ascii="Palatino Linotype" w:hAnsi="Palatino Linotype"/>
          <w:sz w:val="24"/>
          <w:szCs w:val="24"/>
        </w:rPr>
        <w:t>In compliance with P</w:t>
      </w:r>
      <w:r w:rsidRPr="003E7AD2" w:rsidR="00E80595">
        <w:rPr>
          <w:rFonts w:ascii="Palatino Linotype" w:hAnsi="Palatino Linotype"/>
          <w:sz w:val="24"/>
          <w:szCs w:val="24"/>
        </w:rPr>
        <w:t xml:space="preserve">ublic </w:t>
      </w:r>
      <w:r w:rsidRPr="003E7AD2">
        <w:rPr>
          <w:rFonts w:ascii="Palatino Linotype" w:hAnsi="Palatino Linotype"/>
          <w:sz w:val="24"/>
          <w:szCs w:val="24"/>
        </w:rPr>
        <w:t>U</w:t>
      </w:r>
      <w:r w:rsidRPr="003E7AD2" w:rsidR="00E80595">
        <w:rPr>
          <w:rFonts w:ascii="Palatino Linotype" w:hAnsi="Palatino Linotype"/>
          <w:sz w:val="24"/>
          <w:szCs w:val="24"/>
        </w:rPr>
        <w:t>tilities</w:t>
      </w:r>
      <w:r w:rsidRPr="003E7AD2">
        <w:rPr>
          <w:rFonts w:ascii="Palatino Linotype" w:hAnsi="Palatino Linotype"/>
          <w:sz w:val="24"/>
          <w:szCs w:val="24"/>
        </w:rPr>
        <w:t xml:space="preserve"> Code § 311(g)(1), the Commission emailed a notice letter on</w:t>
      </w:r>
      <w:r w:rsidRPr="003E7AD2" w:rsidR="00390F1D">
        <w:rPr>
          <w:rFonts w:ascii="Palatino Linotype" w:hAnsi="Palatino Linotype"/>
          <w:sz w:val="24"/>
          <w:szCs w:val="24"/>
        </w:rPr>
        <w:t xml:space="preserve"> </w:t>
      </w:r>
      <w:r w:rsidR="003E7AD2">
        <w:rPr>
          <w:rFonts w:ascii="Palatino Linotype" w:hAnsi="Palatino Linotype"/>
          <w:sz w:val="24"/>
          <w:szCs w:val="24"/>
        </w:rPr>
        <w:t xml:space="preserve">December </w:t>
      </w:r>
      <w:r w:rsidR="00C44552">
        <w:rPr>
          <w:rFonts w:ascii="Palatino Linotype" w:hAnsi="Palatino Linotype"/>
          <w:sz w:val="24"/>
          <w:szCs w:val="24"/>
        </w:rPr>
        <w:t>6</w:t>
      </w:r>
      <w:r w:rsidRPr="003E7AD2" w:rsidR="00390F1D">
        <w:rPr>
          <w:rFonts w:ascii="Palatino Linotype" w:hAnsi="Palatino Linotype"/>
          <w:sz w:val="24"/>
          <w:szCs w:val="24"/>
        </w:rPr>
        <w:t>,</w:t>
      </w:r>
      <w:r w:rsidRPr="003E7AD2" w:rsidR="00904033">
        <w:rPr>
          <w:rFonts w:ascii="Palatino Linotype" w:hAnsi="Palatino Linotype"/>
          <w:sz w:val="24"/>
          <w:szCs w:val="24"/>
        </w:rPr>
        <w:t xml:space="preserve"> 202</w:t>
      </w:r>
      <w:r w:rsidRPr="003E7AD2" w:rsidR="00390F1D">
        <w:rPr>
          <w:rFonts w:ascii="Palatino Linotype" w:hAnsi="Palatino Linotype"/>
          <w:sz w:val="24"/>
          <w:szCs w:val="24"/>
        </w:rPr>
        <w:t>3</w:t>
      </w:r>
      <w:r w:rsidRPr="003E7AD2">
        <w:rPr>
          <w:rFonts w:ascii="Palatino Linotype" w:hAnsi="Palatino Linotype"/>
          <w:sz w:val="24"/>
          <w:szCs w:val="24"/>
        </w:rPr>
        <w:t xml:space="preserve">, informing the parties </w:t>
      </w:r>
      <w:r w:rsidRPr="003E7AD2" w:rsidR="00C95923">
        <w:rPr>
          <w:rFonts w:ascii="Palatino Linotype" w:hAnsi="Palatino Linotype"/>
          <w:sz w:val="24"/>
          <w:szCs w:val="24"/>
        </w:rPr>
        <w:t>on the R</w:t>
      </w:r>
      <w:r w:rsidRPr="003E7AD2" w:rsidR="008F3DED">
        <w:rPr>
          <w:rFonts w:ascii="Palatino Linotype" w:hAnsi="Palatino Linotype"/>
          <w:sz w:val="24"/>
          <w:szCs w:val="24"/>
        </w:rPr>
        <w:t>.</w:t>
      </w:r>
      <w:r w:rsidRPr="003E7AD2" w:rsidR="00C95923">
        <w:rPr>
          <w:rFonts w:ascii="Palatino Linotype" w:hAnsi="Palatino Linotype"/>
          <w:sz w:val="24"/>
          <w:szCs w:val="24"/>
        </w:rPr>
        <w:t xml:space="preserve">02-01-025 service list </w:t>
      </w:r>
      <w:r w:rsidRPr="003E7AD2" w:rsidR="00390F1D">
        <w:rPr>
          <w:rFonts w:ascii="Palatino Linotype" w:hAnsi="Palatino Linotype"/>
          <w:sz w:val="24"/>
          <w:szCs w:val="24"/>
        </w:rPr>
        <w:t xml:space="preserve">and the local exchange carriers </w:t>
      </w:r>
      <w:r w:rsidRPr="003E7AD2">
        <w:rPr>
          <w:rFonts w:ascii="Palatino Linotype" w:hAnsi="Palatino Linotype"/>
          <w:sz w:val="24"/>
          <w:szCs w:val="24"/>
        </w:rPr>
        <w:t>of the availability of this resolution for public comments at the Commission’s website</w:t>
      </w:r>
      <w:r w:rsidRPr="003E7AD2" w:rsidR="00AE392D">
        <w:rPr>
          <w:rFonts w:ascii="Palatino Linotype" w:hAnsi="Palatino Linotype"/>
          <w:sz w:val="24"/>
          <w:szCs w:val="24"/>
        </w:rPr>
        <w:t>,</w:t>
      </w:r>
      <w:r w:rsidRPr="003E7AD2">
        <w:rPr>
          <w:rFonts w:ascii="Palatino Linotype" w:hAnsi="Palatino Linotype"/>
          <w:sz w:val="24"/>
          <w:szCs w:val="24"/>
        </w:rPr>
        <w:t xml:space="preserve"> </w:t>
      </w:r>
      <w:hyperlink r:id="rId11">
        <w:r w:rsidRPr="003E7AD2">
          <w:rPr>
            <w:rStyle w:val="Hyperlink"/>
            <w:rFonts w:ascii="Palatino Linotype" w:hAnsi="Palatino Linotype"/>
            <w:sz w:val="24"/>
            <w:szCs w:val="24"/>
          </w:rPr>
          <w:t>www.cpuc.ca.gov</w:t>
        </w:r>
      </w:hyperlink>
      <w:r w:rsidRPr="003E7AD2" w:rsidR="00140716">
        <w:rPr>
          <w:rFonts w:ascii="Palatino Linotype" w:hAnsi="Palatino Linotype"/>
          <w:sz w:val="24"/>
          <w:szCs w:val="24"/>
        </w:rPr>
        <w:t xml:space="preserve">. </w:t>
      </w:r>
      <w:r w:rsidRPr="003E7AD2">
        <w:rPr>
          <w:rFonts w:ascii="Palatino Linotype" w:hAnsi="Palatino Linotype"/>
          <w:sz w:val="24"/>
          <w:szCs w:val="24"/>
        </w:rPr>
        <w:t xml:space="preserve">The notice letter also informed parties that the final confirmed resolution adopted by the Commission will be posted and </w:t>
      </w:r>
      <w:r w:rsidRPr="003E7AD2" w:rsidR="000F0E60">
        <w:rPr>
          <w:rFonts w:ascii="Palatino Linotype" w:hAnsi="Palatino Linotype"/>
          <w:sz w:val="24"/>
          <w:szCs w:val="24"/>
        </w:rPr>
        <w:t>available on</w:t>
      </w:r>
      <w:r w:rsidRPr="003E7AD2" w:rsidR="0005029B">
        <w:rPr>
          <w:rFonts w:ascii="Palatino Linotype" w:hAnsi="Palatino Linotype"/>
          <w:sz w:val="24"/>
          <w:szCs w:val="24"/>
        </w:rPr>
        <w:t xml:space="preserve"> </w:t>
      </w:r>
      <w:r w:rsidRPr="003E7AD2">
        <w:rPr>
          <w:rFonts w:ascii="Palatino Linotype" w:hAnsi="Palatino Linotype"/>
          <w:sz w:val="24"/>
          <w:szCs w:val="24"/>
        </w:rPr>
        <w:t>the same website</w:t>
      </w:r>
      <w:r w:rsidRPr="003E7AD2" w:rsidR="00004B74">
        <w:rPr>
          <w:rFonts w:ascii="Palatino Linotype" w:hAnsi="Palatino Linotype"/>
          <w:sz w:val="24"/>
          <w:szCs w:val="24"/>
        </w:rPr>
        <w:t>.</w:t>
      </w:r>
    </w:p>
    <w:p w:rsidRPr="003E7AD2" w:rsidR="00004B74" w:rsidP="006D659C" w:rsidRDefault="00004B74" w14:paraId="46DF546C" w14:textId="77777777">
      <w:pPr>
        <w:rPr>
          <w:rFonts w:ascii="Palatino Linotype" w:hAnsi="Palatino Linotype"/>
          <w:sz w:val="24"/>
          <w:szCs w:val="24"/>
        </w:rPr>
      </w:pPr>
    </w:p>
    <w:p w:rsidRPr="003E7AD2" w:rsidR="006D659C" w:rsidP="00F97F7D" w:rsidRDefault="009B5B15" w14:paraId="45C82E1F" w14:textId="3320B317">
      <w:pPr>
        <w:keepNext/>
        <w:keepLines/>
        <w:rPr>
          <w:rFonts w:ascii="Palatino Linotype" w:hAnsi="Palatino Linotype"/>
          <w:sz w:val="24"/>
          <w:szCs w:val="24"/>
        </w:rPr>
      </w:pPr>
      <w:bookmarkStart w:name="_Hlk25592373" w:id="9"/>
      <w:r w:rsidRPr="003E7AD2">
        <w:rPr>
          <w:rFonts w:ascii="Palatino Linotype" w:hAnsi="Palatino Linotype"/>
          <w:b/>
          <w:sz w:val="24"/>
          <w:szCs w:val="24"/>
          <w:u w:val="single"/>
        </w:rPr>
        <w:t>FINDINGS</w:t>
      </w:r>
    </w:p>
    <w:p w:rsidRPr="003E7AD2" w:rsidR="00120AED" w:rsidP="00120AED" w:rsidRDefault="00120AED" w14:paraId="0AC1BB92" w14:textId="77777777">
      <w:pPr>
        <w:rPr>
          <w:rFonts w:ascii="Palatino Linotype" w:hAnsi="Palatino Linotype"/>
          <w:sz w:val="24"/>
          <w:szCs w:val="24"/>
        </w:rPr>
      </w:pPr>
    </w:p>
    <w:p w:rsidRPr="003E7AD2" w:rsidR="00120AED" w:rsidP="00246398" w:rsidRDefault="00120AED" w14:paraId="181AE1E2" w14:textId="55640C8C">
      <w:pPr>
        <w:pStyle w:val="ListParagraph"/>
        <w:numPr>
          <w:ilvl w:val="1"/>
          <w:numId w:val="5"/>
        </w:numPr>
        <w:spacing w:after="160" w:line="259" w:lineRule="auto"/>
        <w:rPr>
          <w:rFonts w:ascii="Palatino Linotype" w:hAnsi="Palatino Linotype"/>
          <w:sz w:val="24"/>
          <w:szCs w:val="24"/>
        </w:rPr>
      </w:pPr>
      <w:r w:rsidRPr="003E7AD2">
        <w:rPr>
          <w:rFonts w:ascii="Palatino Linotype" w:hAnsi="Palatino Linotype"/>
          <w:sz w:val="24"/>
          <w:szCs w:val="24"/>
        </w:rPr>
        <w:t>Tuolumne County</w:t>
      </w:r>
      <w:r w:rsidRPr="003E7AD2" w:rsidR="00712AF3">
        <w:rPr>
          <w:rFonts w:ascii="Palatino Linotype" w:hAnsi="Palatino Linotype"/>
          <w:sz w:val="24"/>
          <w:szCs w:val="24"/>
        </w:rPr>
        <w:t>, an</w:t>
      </w:r>
      <w:r w:rsidRPr="003E7AD2">
        <w:rPr>
          <w:rFonts w:ascii="Palatino Linotype" w:hAnsi="Palatino Linotype"/>
          <w:sz w:val="24"/>
          <w:szCs w:val="24"/>
        </w:rPr>
        <w:t xml:space="preserve"> established government agency</w:t>
      </w:r>
      <w:r w:rsidRPr="003E7AD2" w:rsidR="00712AF3">
        <w:rPr>
          <w:rFonts w:ascii="Palatino Linotype" w:hAnsi="Palatino Linotype"/>
          <w:sz w:val="24"/>
          <w:szCs w:val="24"/>
        </w:rPr>
        <w:t xml:space="preserve"> with a comprehensive leadership team </w:t>
      </w:r>
      <w:r w:rsidRPr="003E7AD2">
        <w:rPr>
          <w:rFonts w:ascii="Palatino Linotype" w:hAnsi="Palatino Linotype"/>
          <w:sz w:val="24"/>
          <w:szCs w:val="24"/>
        </w:rPr>
        <w:t xml:space="preserve">led by Michelle Jachetta, </w:t>
      </w:r>
      <w:r w:rsidRPr="003E7AD2" w:rsidR="00712AF3">
        <w:rPr>
          <w:rFonts w:ascii="Palatino Linotype" w:hAnsi="Palatino Linotype"/>
          <w:sz w:val="24"/>
          <w:szCs w:val="24"/>
        </w:rPr>
        <w:t>has</w:t>
      </w:r>
      <w:r w:rsidRPr="003E7AD2" w:rsidR="0023441C">
        <w:rPr>
          <w:rFonts w:ascii="Palatino Linotype" w:hAnsi="Palatino Linotype"/>
          <w:sz w:val="24"/>
          <w:szCs w:val="24"/>
        </w:rPr>
        <w:t xml:space="preserve"> a</w:t>
      </w:r>
      <w:r w:rsidRPr="003E7AD2">
        <w:rPr>
          <w:rFonts w:ascii="Palatino Linotype" w:hAnsi="Palatino Linotype"/>
          <w:sz w:val="24"/>
          <w:szCs w:val="24"/>
        </w:rPr>
        <w:t xml:space="preserve"> history of providing information and referral </w:t>
      </w:r>
      <w:r w:rsidRPr="003E7AD2" w:rsidR="007E15DF">
        <w:rPr>
          <w:rFonts w:ascii="Palatino Linotype" w:hAnsi="Palatino Linotype"/>
          <w:sz w:val="24"/>
          <w:szCs w:val="24"/>
        </w:rPr>
        <w:t xml:space="preserve">(I&amp;R) </w:t>
      </w:r>
      <w:r w:rsidRPr="003E7AD2">
        <w:rPr>
          <w:rFonts w:ascii="Palatino Linotype" w:hAnsi="Palatino Linotype"/>
          <w:sz w:val="24"/>
          <w:szCs w:val="24"/>
        </w:rPr>
        <w:t>services</w:t>
      </w:r>
      <w:r w:rsidRPr="003E7AD2" w:rsidR="00712AF3">
        <w:rPr>
          <w:rFonts w:ascii="Palatino Linotype" w:hAnsi="Palatino Linotype"/>
          <w:sz w:val="24"/>
          <w:szCs w:val="24"/>
        </w:rPr>
        <w:t xml:space="preserve"> since 1989</w:t>
      </w:r>
      <w:r w:rsidRPr="003E7AD2">
        <w:rPr>
          <w:rFonts w:ascii="Palatino Linotype" w:hAnsi="Palatino Linotype"/>
          <w:sz w:val="24"/>
          <w:szCs w:val="24"/>
        </w:rPr>
        <w:t>.</w:t>
      </w:r>
    </w:p>
    <w:p w:rsidRPr="003E7AD2" w:rsidR="00712AF3" w:rsidP="00246398" w:rsidRDefault="00712AF3" w14:paraId="797C811B" w14:textId="5979F73C">
      <w:pPr>
        <w:numPr>
          <w:ilvl w:val="1"/>
          <w:numId w:val="5"/>
        </w:numPr>
        <w:spacing w:after="160" w:line="259" w:lineRule="auto"/>
        <w:rPr>
          <w:rFonts w:ascii="Palatino Linotype" w:hAnsi="Palatino Linotype"/>
          <w:sz w:val="24"/>
          <w:szCs w:val="24"/>
        </w:rPr>
      </w:pPr>
      <w:r w:rsidRPr="003E7AD2">
        <w:rPr>
          <w:rFonts w:ascii="Palatino Linotype" w:hAnsi="Palatino Linotype"/>
          <w:iCs/>
          <w:sz w:val="24"/>
          <w:szCs w:val="24"/>
        </w:rPr>
        <w:t xml:space="preserve">Interface, an experienced service provider, has been the lead agency for 2-1-1 Ventura County since 2005. </w:t>
      </w:r>
    </w:p>
    <w:p w:rsidRPr="003E7AD2" w:rsidR="00D212B4" w:rsidP="00246398" w:rsidRDefault="0023441C" w14:paraId="0FBD6097" w14:textId="7A422D2C">
      <w:pPr>
        <w:numPr>
          <w:ilvl w:val="1"/>
          <w:numId w:val="5"/>
        </w:numPr>
        <w:spacing w:after="160" w:line="259" w:lineRule="auto"/>
        <w:rPr>
          <w:rFonts w:ascii="Palatino Linotype" w:hAnsi="Palatino Linotype"/>
          <w:sz w:val="24"/>
          <w:szCs w:val="24"/>
        </w:rPr>
      </w:pPr>
      <w:r w:rsidRPr="003E7AD2">
        <w:rPr>
          <w:rFonts w:ascii="Palatino Linotype" w:hAnsi="Palatino Linotype"/>
          <w:sz w:val="24"/>
          <w:szCs w:val="24"/>
        </w:rPr>
        <w:t xml:space="preserve">Interface/2-1-1 Ventura County </w:t>
      </w:r>
      <w:r w:rsidRPr="003E7AD2" w:rsidR="00712AF3">
        <w:rPr>
          <w:rFonts w:ascii="Palatino Linotype" w:hAnsi="Palatino Linotype"/>
          <w:sz w:val="24"/>
          <w:szCs w:val="24"/>
        </w:rPr>
        <w:t>holds accreditation from the Alliance of Information and Referral Services</w:t>
      </w:r>
      <w:r w:rsidRPr="003E7AD2">
        <w:rPr>
          <w:rFonts w:ascii="Palatino Linotype" w:hAnsi="Palatino Linotype"/>
          <w:sz w:val="24"/>
          <w:szCs w:val="24"/>
        </w:rPr>
        <w:t xml:space="preserve"> </w:t>
      </w:r>
      <w:r w:rsidRPr="003E7AD2" w:rsidR="00712AF3">
        <w:rPr>
          <w:rFonts w:ascii="Palatino Linotype" w:hAnsi="Palatino Linotype"/>
          <w:sz w:val="24"/>
          <w:szCs w:val="24"/>
        </w:rPr>
        <w:t xml:space="preserve">(AIRS) and is </w:t>
      </w:r>
      <w:r w:rsidRPr="003E7AD2">
        <w:rPr>
          <w:rFonts w:ascii="Palatino Linotype" w:hAnsi="Palatino Linotype"/>
          <w:sz w:val="24"/>
          <w:szCs w:val="24"/>
        </w:rPr>
        <w:t>aligned with AIRS Standards</w:t>
      </w:r>
      <w:r w:rsidRPr="003E7AD2" w:rsidR="00D212B4">
        <w:rPr>
          <w:rFonts w:ascii="Palatino Linotype" w:hAnsi="Palatino Linotype"/>
          <w:sz w:val="24"/>
          <w:szCs w:val="24"/>
        </w:rPr>
        <w:t>.</w:t>
      </w:r>
    </w:p>
    <w:p w:rsidRPr="003E7AD2" w:rsidR="00120AED" w:rsidP="00246398" w:rsidRDefault="00417A93" w14:paraId="2C1EB188" w14:textId="370E8F57">
      <w:pPr>
        <w:numPr>
          <w:ilvl w:val="1"/>
          <w:numId w:val="5"/>
        </w:numPr>
        <w:spacing w:after="160" w:line="259" w:lineRule="auto"/>
        <w:rPr>
          <w:rFonts w:ascii="Palatino Linotype" w:hAnsi="Palatino Linotype"/>
          <w:sz w:val="24"/>
          <w:szCs w:val="24"/>
        </w:rPr>
      </w:pPr>
      <w:r w:rsidRPr="003E7AD2">
        <w:rPr>
          <w:rFonts w:ascii="Palatino Linotype" w:hAnsi="Palatino Linotype"/>
          <w:sz w:val="24"/>
          <w:szCs w:val="24"/>
        </w:rPr>
        <w:t>Tuolumne County’s f</w:t>
      </w:r>
      <w:r w:rsidRPr="003E7AD2" w:rsidR="00120AED">
        <w:rPr>
          <w:rFonts w:ascii="Palatino Linotype" w:hAnsi="Palatino Linotype"/>
          <w:sz w:val="24"/>
          <w:szCs w:val="24"/>
        </w:rPr>
        <w:t xml:space="preserve">inancial details, including a $316,485,952 budget </w:t>
      </w:r>
      <w:r w:rsidRPr="003E7AD2" w:rsidR="00712AF3">
        <w:rPr>
          <w:rFonts w:ascii="Palatino Linotype" w:hAnsi="Palatino Linotype"/>
          <w:sz w:val="24"/>
          <w:szCs w:val="24"/>
        </w:rPr>
        <w:t xml:space="preserve">for </w:t>
      </w:r>
      <w:r w:rsidRPr="003E7AD2" w:rsidR="00712AF3">
        <w:rPr>
          <w:rFonts w:ascii="Palatino Linotype" w:hAnsi="Palatino Linotype"/>
          <w:iCs/>
          <w:sz w:val="24"/>
          <w:szCs w:val="24"/>
        </w:rPr>
        <w:t xml:space="preserve">Fiscal Year 2023-2024 </w:t>
      </w:r>
      <w:r w:rsidRPr="003E7AD2" w:rsidR="00120AED">
        <w:rPr>
          <w:rFonts w:ascii="Palatino Linotype" w:hAnsi="Palatino Linotype"/>
          <w:sz w:val="24"/>
          <w:szCs w:val="24"/>
        </w:rPr>
        <w:t xml:space="preserve">and transparent funding sources, </w:t>
      </w:r>
      <w:r w:rsidRPr="003E7AD2" w:rsidR="00712AF3">
        <w:rPr>
          <w:rFonts w:ascii="Palatino Linotype" w:hAnsi="Palatino Linotype"/>
          <w:sz w:val="24"/>
          <w:szCs w:val="24"/>
        </w:rPr>
        <w:t xml:space="preserve">demonstrate </w:t>
      </w:r>
      <w:r w:rsidRPr="003E7AD2" w:rsidR="00120AED">
        <w:rPr>
          <w:rFonts w:ascii="Palatino Linotype" w:hAnsi="Palatino Linotype"/>
          <w:sz w:val="24"/>
          <w:szCs w:val="24"/>
        </w:rPr>
        <w:t>fiscal responsibility.</w:t>
      </w:r>
    </w:p>
    <w:p w:rsidRPr="003E7AD2" w:rsidR="00120AED" w:rsidP="00246398" w:rsidRDefault="0023441C" w14:paraId="4F34B478" w14:textId="786B268C">
      <w:pPr>
        <w:numPr>
          <w:ilvl w:val="1"/>
          <w:numId w:val="5"/>
        </w:numPr>
        <w:spacing w:after="160" w:line="259" w:lineRule="auto"/>
        <w:rPr>
          <w:rFonts w:ascii="Palatino Linotype" w:hAnsi="Palatino Linotype"/>
          <w:sz w:val="24"/>
          <w:szCs w:val="24"/>
        </w:rPr>
      </w:pPr>
      <w:r w:rsidRPr="003E7AD2">
        <w:rPr>
          <w:rFonts w:ascii="Palatino Linotype" w:hAnsi="Palatino Linotype"/>
          <w:sz w:val="24"/>
          <w:szCs w:val="24"/>
        </w:rPr>
        <w:t>Tuolumne County’s 2-1-1 services will include n</w:t>
      </w:r>
      <w:r w:rsidRPr="003E7AD2" w:rsidR="00120AED">
        <w:rPr>
          <w:rFonts w:ascii="Palatino Linotype" w:hAnsi="Palatino Linotype"/>
          <w:sz w:val="24"/>
          <w:szCs w:val="24"/>
        </w:rPr>
        <w:t>o fees for referrals and a commitment to free, commercial-free, and accessible 24/7 services.</w:t>
      </w:r>
    </w:p>
    <w:p w:rsidRPr="003E7AD2" w:rsidR="00120AED" w:rsidP="00246398" w:rsidRDefault="00120AED" w14:paraId="33FC2F65" w14:textId="77777777">
      <w:pPr>
        <w:numPr>
          <w:ilvl w:val="1"/>
          <w:numId w:val="5"/>
        </w:numPr>
        <w:spacing w:after="160" w:line="259" w:lineRule="auto"/>
        <w:rPr>
          <w:rFonts w:ascii="Palatino Linotype" w:hAnsi="Palatino Linotype"/>
          <w:sz w:val="24"/>
          <w:szCs w:val="24"/>
        </w:rPr>
      </w:pPr>
      <w:r w:rsidRPr="003E7AD2">
        <w:rPr>
          <w:rFonts w:ascii="Palatino Linotype" w:hAnsi="Palatino Linotype"/>
          <w:sz w:val="24"/>
          <w:szCs w:val="24"/>
        </w:rPr>
        <w:t>Partnership with Interface for 24/7 live call handling ensures service continuity and accessibility for diverse language needs.</w:t>
      </w:r>
    </w:p>
    <w:p w:rsidRPr="003E7AD2" w:rsidR="00120AED" w:rsidP="00246398" w:rsidRDefault="00712AF3" w14:paraId="378417AC" w14:textId="24EE7DAA">
      <w:pPr>
        <w:numPr>
          <w:ilvl w:val="1"/>
          <w:numId w:val="5"/>
        </w:numPr>
        <w:spacing w:after="160" w:line="259" w:lineRule="auto"/>
        <w:rPr>
          <w:rFonts w:ascii="Palatino Linotype" w:hAnsi="Palatino Linotype"/>
          <w:sz w:val="24"/>
          <w:szCs w:val="24"/>
        </w:rPr>
      </w:pPr>
      <w:r w:rsidRPr="003E7AD2">
        <w:rPr>
          <w:rFonts w:ascii="Palatino Linotype" w:hAnsi="Palatino Linotype"/>
          <w:sz w:val="24"/>
          <w:szCs w:val="24"/>
        </w:rPr>
        <w:t>Tuolumne County</w:t>
      </w:r>
      <w:r w:rsidRPr="003E7AD2" w:rsidR="007E15DF">
        <w:rPr>
          <w:rFonts w:ascii="Palatino Linotype" w:hAnsi="Palatino Linotype"/>
          <w:sz w:val="24"/>
          <w:szCs w:val="24"/>
        </w:rPr>
        <w:t>’s c</w:t>
      </w:r>
      <w:r w:rsidRPr="003E7AD2" w:rsidR="00120AED">
        <w:rPr>
          <w:rFonts w:ascii="Palatino Linotype" w:hAnsi="Palatino Linotype"/>
          <w:sz w:val="24"/>
          <w:szCs w:val="24"/>
        </w:rPr>
        <w:t>omprehensive resource file standards, disaster preparedness, and robust reporting measures demonstrate commitment</w:t>
      </w:r>
      <w:r w:rsidRPr="003E7AD2" w:rsidR="007E15DF">
        <w:rPr>
          <w:rFonts w:ascii="Palatino Linotype" w:hAnsi="Palatino Linotype"/>
          <w:sz w:val="24"/>
          <w:szCs w:val="24"/>
        </w:rPr>
        <w:t xml:space="preserve"> to meeting the AIRS standards for the delivery of 2-1-1 services</w:t>
      </w:r>
      <w:r w:rsidRPr="003E7AD2" w:rsidR="00120AED">
        <w:rPr>
          <w:rFonts w:ascii="Palatino Linotype" w:hAnsi="Palatino Linotype"/>
          <w:sz w:val="24"/>
          <w:szCs w:val="24"/>
        </w:rPr>
        <w:t>.</w:t>
      </w:r>
    </w:p>
    <w:p w:rsidRPr="003E7AD2" w:rsidR="00120AED" w:rsidP="00246398" w:rsidRDefault="007E15DF" w14:paraId="618CFFBE" w14:textId="7B3BF5A7">
      <w:pPr>
        <w:numPr>
          <w:ilvl w:val="1"/>
          <w:numId w:val="5"/>
        </w:numPr>
        <w:spacing w:after="160" w:line="259" w:lineRule="auto"/>
        <w:rPr>
          <w:rFonts w:ascii="Palatino Linotype" w:hAnsi="Palatino Linotype"/>
          <w:sz w:val="24"/>
          <w:szCs w:val="24"/>
        </w:rPr>
      </w:pPr>
      <w:r w:rsidRPr="003E7AD2">
        <w:rPr>
          <w:rFonts w:ascii="Palatino Linotype" w:hAnsi="Palatino Linotype"/>
          <w:sz w:val="24"/>
          <w:szCs w:val="24"/>
        </w:rPr>
        <w:t>Tuolumne County’s application consists of</w:t>
      </w:r>
      <w:r w:rsidRPr="003E7AD2" w:rsidDel="007E15DF">
        <w:rPr>
          <w:rFonts w:ascii="Palatino Linotype" w:hAnsi="Palatino Linotype"/>
          <w:sz w:val="24"/>
          <w:szCs w:val="24"/>
        </w:rPr>
        <w:t xml:space="preserve"> </w:t>
      </w:r>
      <w:r w:rsidRPr="003E7AD2">
        <w:rPr>
          <w:rFonts w:ascii="Palatino Linotype" w:hAnsi="Palatino Linotype"/>
          <w:sz w:val="24"/>
          <w:szCs w:val="24"/>
        </w:rPr>
        <w:t xml:space="preserve">cooperative </w:t>
      </w:r>
      <w:r w:rsidRPr="003E7AD2" w:rsidR="00120AED">
        <w:rPr>
          <w:rFonts w:ascii="Palatino Linotype" w:hAnsi="Palatino Linotype"/>
          <w:sz w:val="24"/>
          <w:szCs w:val="24"/>
        </w:rPr>
        <w:t>relationships with local I&amp;Rs and organizational standards, including training and public awareness.</w:t>
      </w:r>
    </w:p>
    <w:p w:rsidRPr="003E7AD2" w:rsidR="00120AED" w:rsidP="00246398" w:rsidRDefault="007E15DF" w14:paraId="0F398F98" w14:textId="3F692088">
      <w:pPr>
        <w:numPr>
          <w:ilvl w:val="1"/>
          <w:numId w:val="5"/>
        </w:numPr>
        <w:spacing w:after="160" w:line="259" w:lineRule="auto"/>
        <w:rPr>
          <w:rFonts w:ascii="Palatino Linotype" w:hAnsi="Palatino Linotype"/>
          <w:sz w:val="24"/>
          <w:szCs w:val="24"/>
        </w:rPr>
      </w:pPr>
      <w:r w:rsidRPr="003E7AD2">
        <w:rPr>
          <w:rFonts w:ascii="Palatino Linotype" w:hAnsi="Palatino Linotype"/>
          <w:sz w:val="24"/>
          <w:szCs w:val="24"/>
        </w:rPr>
        <w:t xml:space="preserve">Tuolumne County’s application includes strong </w:t>
      </w:r>
      <w:r w:rsidRPr="003E7AD2" w:rsidR="00120AED">
        <w:rPr>
          <w:rFonts w:ascii="Palatino Linotype" w:hAnsi="Palatino Linotype"/>
          <w:sz w:val="24"/>
          <w:szCs w:val="24"/>
        </w:rPr>
        <w:t xml:space="preserve">endorsements from </w:t>
      </w:r>
      <w:r w:rsidRPr="003E7AD2" w:rsidR="00CA2ED9">
        <w:rPr>
          <w:rFonts w:ascii="Palatino Linotype" w:hAnsi="Palatino Linotype"/>
          <w:sz w:val="24"/>
          <w:szCs w:val="24"/>
        </w:rPr>
        <w:t>various sectors, including Area 12 Agency on Aging, ATCAA, Adventist Health Sonora, and CNVC. This demonstrates strong community backing for the 2-1-1 service provider application.</w:t>
      </w:r>
    </w:p>
    <w:p w:rsidRPr="003E7AD2" w:rsidR="00120AED" w:rsidP="00246398" w:rsidRDefault="00120AED" w14:paraId="607D853B" w14:textId="6D13508D">
      <w:pPr>
        <w:numPr>
          <w:ilvl w:val="1"/>
          <w:numId w:val="5"/>
        </w:numPr>
        <w:spacing w:after="160" w:line="259" w:lineRule="auto"/>
        <w:rPr>
          <w:rFonts w:ascii="Palatino Linotype" w:hAnsi="Palatino Linotype"/>
          <w:sz w:val="24"/>
          <w:szCs w:val="24"/>
        </w:rPr>
      </w:pPr>
      <w:r w:rsidRPr="003E7AD2">
        <w:rPr>
          <w:rFonts w:ascii="Palatino Linotype" w:hAnsi="Palatino Linotype"/>
          <w:sz w:val="24"/>
          <w:szCs w:val="24"/>
        </w:rPr>
        <w:t>Tuolumne County's 2-1-1 service application demonstrates a comprehensive, well-supported proposal that fulfills crucial criteria for designation.</w:t>
      </w:r>
    </w:p>
    <w:p w:rsidRPr="003E7AD2" w:rsidR="00120AED" w:rsidP="00F632A2" w:rsidRDefault="00120AED" w14:paraId="029BFBD6" w14:textId="77777777">
      <w:pPr>
        <w:pStyle w:val="ListParagraph"/>
        <w:rPr>
          <w:rFonts w:ascii="Palatino Linotype" w:hAnsi="Palatino Linotype"/>
          <w:sz w:val="24"/>
          <w:szCs w:val="24"/>
        </w:rPr>
      </w:pPr>
    </w:p>
    <w:p w:rsidRPr="003E7AD2" w:rsidR="009B5B15" w:rsidP="00F632A2" w:rsidRDefault="009B5B15" w14:paraId="516E8F28" w14:textId="77777777">
      <w:pPr>
        <w:keepNext/>
        <w:rPr>
          <w:rFonts w:ascii="Palatino Linotype" w:hAnsi="Palatino Linotype"/>
          <w:b/>
          <w:sz w:val="24"/>
          <w:szCs w:val="24"/>
        </w:rPr>
      </w:pPr>
      <w:r w:rsidRPr="003E7AD2">
        <w:rPr>
          <w:rFonts w:ascii="Palatino Linotype" w:hAnsi="Palatino Linotype"/>
          <w:b/>
          <w:sz w:val="24"/>
          <w:szCs w:val="24"/>
        </w:rPr>
        <w:t>THEREFORE, IT IS ORDERED that:</w:t>
      </w:r>
    </w:p>
    <w:p w:rsidRPr="003E7AD2" w:rsidR="009B5B15" w:rsidP="00F632A2" w:rsidRDefault="009B5B15" w14:paraId="1976DBDB" w14:textId="77777777">
      <w:pPr>
        <w:keepNext/>
        <w:rPr>
          <w:rFonts w:ascii="Palatino Linotype" w:hAnsi="Palatino Linotype"/>
          <w:sz w:val="24"/>
          <w:szCs w:val="24"/>
        </w:rPr>
      </w:pPr>
    </w:p>
    <w:p w:rsidRPr="003E7AD2" w:rsidR="009B5B15" w:rsidP="00246398" w:rsidRDefault="00287B00" w14:paraId="7FDD30BA" w14:textId="4D515262">
      <w:pPr>
        <w:numPr>
          <w:ilvl w:val="0"/>
          <w:numId w:val="1"/>
        </w:numPr>
        <w:tabs>
          <w:tab w:val="clear" w:pos="360"/>
        </w:tabs>
        <w:ind w:left="720"/>
        <w:rPr>
          <w:rFonts w:ascii="Palatino Linotype" w:hAnsi="Palatino Linotype"/>
          <w:sz w:val="24"/>
          <w:szCs w:val="24"/>
        </w:rPr>
      </w:pPr>
      <w:bookmarkStart w:name="_Hlk123057793" w:id="10"/>
      <w:r w:rsidRPr="003E7AD2">
        <w:rPr>
          <w:rFonts w:ascii="Palatino Linotype" w:hAnsi="Palatino Linotype"/>
          <w:sz w:val="24"/>
          <w:szCs w:val="24"/>
        </w:rPr>
        <w:t xml:space="preserve">The </w:t>
      </w:r>
      <w:r w:rsidRPr="003E7AD2" w:rsidR="00F97F7D">
        <w:rPr>
          <w:rFonts w:ascii="Palatino Linotype" w:hAnsi="Palatino Linotype"/>
          <w:sz w:val="24"/>
          <w:szCs w:val="24"/>
        </w:rPr>
        <w:t>Tuolumne County Public Health Department</w:t>
      </w:r>
      <w:r w:rsidRPr="003E7AD2" w:rsidR="009B5B15">
        <w:rPr>
          <w:rFonts w:ascii="Palatino Linotype" w:hAnsi="Palatino Linotype"/>
          <w:sz w:val="24"/>
          <w:szCs w:val="24"/>
        </w:rPr>
        <w:t xml:space="preserve"> </w:t>
      </w:r>
      <w:bookmarkEnd w:id="10"/>
      <w:r w:rsidRPr="003E7AD2" w:rsidR="009B5B15">
        <w:rPr>
          <w:rFonts w:ascii="Palatino Linotype" w:hAnsi="Palatino Linotype"/>
          <w:sz w:val="24"/>
          <w:szCs w:val="24"/>
        </w:rPr>
        <w:t>is granted the authority to use the 2</w:t>
      </w:r>
      <w:r w:rsidRPr="003E7AD2" w:rsidR="009B5B15">
        <w:rPr>
          <w:rFonts w:ascii="Palatino Linotype" w:hAnsi="Palatino Linotype"/>
          <w:sz w:val="24"/>
          <w:szCs w:val="24"/>
        </w:rPr>
        <w:noBreakHyphen/>
        <w:t>1</w:t>
      </w:r>
      <w:r w:rsidRPr="003E7AD2" w:rsidR="009B5B15">
        <w:rPr>
          <w:rFonts w:ascii="Palatino Linotype" w:hAnsi="Palatino Linotype"/>
          <w:sz w:val="24"/>
          <w:szCs w:val="24"/>
        </w:rPr>
        <w:noBreakHyphen/>
        <w:t xml:space="preserve">1 abbreviated dialing code to provide information and referral services to </w:t>
      </w:r>
      <w:r w:rsidRPr="003E7AD2" w:rsidR="00F97F7D">
        <w:rPr>
          <w:rFonts w:ascii="Palatino Linotype" w:hAnsi="Palatino Linotype"/>
          <w:sz w:val="24"/>
          <w:szCs w:val="24"/>
        </w:rPr>
        <w:t>Tuolumne</w:t>
      </w:r>
      <w:r w:rsidRPr="003E7AD2">
        <w:rPr>
          <w:rFonts w:ascii="Palatino Linotype" w:hAnsi="Palatino Linotype"/>
          <w:sz w:val="24"/>
          <w:szCs w:val="24"/>
        </w:rPr>
        <w:t xml:space="preserve"> </w:t>
      </w:r>
      <w:r w:rsidRPr="003E7AD2" w:rsidR="009B5B15">
        <w:rPr>
          <w:rFonts w:ascii="Palatino Linotype" w:hAnsi="Palatino Linotype"/>
          <w:sz w:val="24"/>
          <w:szCs w:val="24"/>
        </w:rPr>
        <w:t xml:space="preserve">County. </w:t>
      </w:r>
    </w:p>
    <w:p w:rsidRPr="003E7AD2" w:rsidR="00361453" w:rsidP="00F632A2" w:rsidRDefault="00361453" w14:paraId="2D8EA6CE" w14:textId="77777777">
      <w:pPr>
        <w:ind w:left="720"/>
        <w:rPr>
          <w:rFonts w:ascii="Palatino Linotype" w:hAnsi="Palatino Linotype"/>
          <w:sz w:val="24"/>
          <w:szCs w:val="24"/>
        </w:rPr>
      </w:pPr>
    </w:p>
    <w:p w:rsidRPr="003E7AD2" w:rsidR="00361453" w:rsidP="00246398" w:rsidRDefault="00287B00" w14:paraId="5D932110" w14:textId="6EC9743D">
      <w:pPr>
        <w:numPr>
          <w:ilvl w:val="0"/>
          <w:numId w:val="1"/>
        </w:numPr>
        <w:tabs>
          <w:tab w:val="clear" w:pos="360"/>
        </w:tabs>
        <w:ind w:left="720"/>
        <w:rPr>
          <w:rFonts w:ascii="Palatino Linotype" w:hAnsi="Palatino Linotype"/>
          <w:color w:val="000000"/>
          <w:sz w:val="24"/>
          <w:szCs w:val="24"/>
        </w:rPr>
      </w:pPr>
      <w:r w:rsidRPr="003E7AD2">
        <w:rPr>
          <w:rFonts w:ascii="Palatino Linotype" w:hAnsi="Palatino Linotype"/>
          <w:sz w:val="24"/>
          <w:szCs w:val="24"/>
        </w:rPr>
        <w:t xml:space="preserve">The </w:t>
      </w:r>
      <w:r w:rsidRPr="003E7AD2" w:rsidR="00F97F7D">
        <w:rPr>
          <w:rFonts w:ascii="Palatino Linotype" w:hAnsi="Palatino Linotype"/>
          <w:sz w:val="24"/>
          <w:szCs w:val="24"/>
        </w:rPr>
        <w:t xml:space="preserve">Tuolumne County Public Health Department </w:t>
      </w:r>
      <w:r w:rsidRPr="003E7AD2" w:rsidR="002D5BCC">
        <w:rPr>
          <w:rFonts w:ascii="Palatino Linotype" w:hAnsi="Palatino Linotype"/>
          <w:color w:val="000000" w:themeColor="text1"/>
          <w:sz w:val="24"/>
          <w:szCs w:val="24"/>
        </w:rPr>
        <w:t xml:space="preserve">shall </w:t>
      </w:r>
      <w:r w:rsidRPr="003E7AD2" w:rsidR="00361453">
        <w:rPr>
          <w:rFonts w:ascii="Palatino Linotype" w:hAnsi="Palatino Linotype"/>
          <w:color w:val="000000" w:themeColor="text1"/>
          <w:sz w:val="24"/>
          <w:szCs w:val="24"/>
        </w:rPr>
        <w:t>implement 2-1-1 service in</w:t>
      </w:r>
      <w:r w:rsidRPr="003E7AD2">
        <w:rPr>
          <w:rFonts w:ascii="Palatino Linotype" w:hAnsi="Palatino Linotype"/>
          <w:color w:val="000000" w:themeColor="text1"/>
          <w:sz w:val="24"/>
          <w:szCs w:val="24"/>
        </w:rPr>
        <w:t xml:space="preserve"> </w:t>
      </w:r>
      <w:r w:rsidRPr="003E7AD2" w:rsidR="00F97F7D">
        <w:rPr>
          <w:rFonts w:ascii="Palatino Linotype" w:hAnsi="Palatino Linotype"/>
          <w:color w:val="000000" w:themeColor="text1"/>
          <w:sz w:val="24"/>
          <w:szCs w:val="24"/>
        </w:rPr>
        <w:t>Tuolumne</w:t>
      </w:r>
      <w:r w:rsidRPr="003E7AD2" w:rsidR="00361453">
        <w:rPr>
          <w:rFonts w:ascii="Palatino Linotype" w:hAnsi="Palatino Linotype"/>
          <w:color w:val="000000" w:themeColor="text1"/>
          <w:sz w:val="24"/>
          <w:szCs w:val="24"/>
        </w:rPr>
        <w:t xml:space="preserve"> County within one year of the date of this resolution pursuant to Decision 03-02-029. </w:t>
      </w:r>
    </w:p>
    <w:p w:rsidRPr="003E7AD2" w:rsidR="00361453" w:rsidP="00F632A2" w:rsidRDefault="00361453" w14:paraId="4E3F7C26" w14:textId="77777777">
      <w:pPr>
        <w:rPr>
          <w:rFonts w:ascii="Palatino Linotype" w:hAnsi="Palatino Linotype"/>
          <w:color w:val="000000"/>
          <w:sz w:val="24"/>
          <w:szCs w:val="24"/>
        </w:rPr>
      </w:pPr>
    </w:p>
    <w:p w:rsidRPr="003E7AD2" w:rsidR="00361453" w:rsidP="00246398" w:rsidRDefault="00287B00" w14:paraId="3B2B2D24" w14:textId="2FBF5314">
      <w:pPr>
        <w:numPr>
          <w:ilvl w:val="0"/>
          <w:numId w:val="1"/>
        </w:numPr>
        <w:tabs>
          <w:tab w:val="clear" w:pos="360"/>
        </w:tabs>
        <w:ind w:left="720"/>
        <w:rPr>
          <w:rFonts w:ascii="Palatino Linotype" w:hAnsi="Palatino Linotype"/>
          <w:color w:val="000000"/>
          <w:sz w:val="24"/>
          <w:szCs w:val="24"/>
        </w:rPr>
      </w:pPr>
      <w:r w:rsidRPr="003E7AD2">
        <w:rPr>
          <w:rFonts w:ascii="Palatino Linotype" w:hAnsi="Palatino Linotype"/>
          <w:sz w:val="24"/>
          <w:szCs w:val="24"/>
        </w:rPr>
        <w:t xml:space="preserve">The </w:t>
      </w:r>
      <w:r w:rsidRPr="003E7AD2" w:rsidR="00F97F7D">
        <w:rPr>
          <w:rFonts w:ascii="Palatino Linotype" w:hAnsi="Palatino Linotype"/>
          <w:sz w:val="24"/>
          <w:szCs w:val="24"/>
        </w:rPr>
        <w:t>Tuolumne County Public Health Department</w:t>
      </w:r>
      <w:r w:rsidRPr="003E7AD2" w:rsidR="00FE4FD6">
        <w:rPr>
          <w:rFonts w:ascii="Palatino Linotype" w:hAnsi="Palatino Linotype"/>
          <w:sz w:val="24"/>
          <w:szCs w:val="24"/>
        </w:rPr>
        <w:t xml:space="preserve"> </w:t>
      </w:r>
      <w:r w:rsidRPr="003E7AD2" w:rsidR="00361453">
        <w:rPr>
          <w:rFonts w:ascii="Palatino Linotype" w:hAnsi="Palatino Linotype"/>
          <w:color w:val="000000"/>
          <w:sz w:val="24"/>
          <w:szCs w:val="24"/>
        </w:rPr>
        <w:t xml:space="preserve">shall notify the Director of Communications Division in writing within five business days of the date 2-1-1 service is first rendered to the public. </w:t>
      </w:r>
    </w:p>
    <w:p w:rsidRPr="003E7AD2" w:rsidR="009B5B15" w:rsidP="00F632A2" w:rsidRDefault="009B5B15" w14:paraId="6BBF854E" w14:textId="77777777">
      <w:pPr>
        <w:rPr>
          <w:rFonts w:ascii="Palatino Linotype" w:hAnsi="Palatino Linotype"/>
          <w:sz w:val="24"/>
          <w:szCs w:val="24"/>
        </w:rPr>
      </w:pPr>
      <w:r w:rsidRPr="003E7AD2">
        <w:rPr>
          <w:rFonts w:ascii="Palatino Linotype" w:hAnsi="Palatino Linotype"/>
          <w:sz w:val="24"/>
          <w:szCs w:val="24"/>
        </w:rPr>
        <w:t xml:space="preserve">  </w:t>
      </w:r>
    </w:p>
    <w:p w:rsidRPr="003E7AD2" w:rsidR="009B5B15" w:rsidP="00246398" w:rsidRDefault="00287B00" w14:paraId="2D69E943" w14:textId="71CDCCF0">
      <w:pPr>
        <w:numPr>
          <w:ilvl w:val="0"/>
          <w:numId w:val="1"/>
        </w:numPr>
        <w:tabs>
          <w:tab w:val="clear" w:pos="360"/>
          <w:tab w:val="left" w:pos="-1440"/>
          <w:tab w:val="left" w:pos="-720"/>
        </w:tabs>
        <w:suppressAutoHyphens/>
        <w:ind w:left="720"/>
        <w:rPr>
          <w:rFonts w:ascii="Palatino Linotype" w:hAnsi="Palatino Linotype"/>
          <w:sz w:val="24"/>
          <w:szCs w:val="24"/>
        </w:rPr>
      </w:pPr>
      <w:r w:rsidRPr="003E7AD2">
        <w:rPr>
          <w:rFonts w:ascii="Palatino Linotype" w:hAnsi="Palatino Linotype"/>
          <w:sz w:val="24"/>
          <w:szCs w:val="24"/>
        </w:rPr>
        <w:t>T</w:t>
      </w:r>
      <w:r w:rsidRPr="003E7AD2" w:rsidR="00295817">
        <w:rPr>
          <w:rFonts w:ascii="Palatino Linotype" w:hAnsi="Palatino Linotype"/>
          <w:sz w:val="24"/>
          <w:szCs w:val="24"/>
        </w:rPr>
        <w:t xml:space="preserve">he </w:t>
      </w:r>
      <w:r w:rsidRPr="003E7AD2" w:rsidR="00F97F7D">
        <w:rPr>
          <w:rFonts w:ascii="Palatino Linotype" w:hAnsi="Palatino Linotype"/>
          <w:sz w:val="24"/>
          <w:szCs w:val="24"/>
        </w:rPr>
        <w:t>Tuolumne County Public Health Department</w:t>
      </w:r>
      <w:r w:rsidRPr="003E7AD2">
        <w:rPr>
          <w:rFonts w:ascii="Palatino Linotype" w:hAnsi="Palatino Linotype"/>
          <w:sz w:val="24"/>
          <w:szCs w:val="24"/>
        </w:rPr>
        <w:t xml:space="preserve"> </w:t>
      </w:r>
      <w:r w:rsidRPr="003E7AD2" w:rsidR="009B5B15">
        <w:rPr>
          <w:rFonts w:ascii="Palatino Linotype" w:hAnsi="Palatino Linotype"/>
          <w:sz w:val="24"/>
          <w:szCs w:val="24"/>
        </w:rPr>
        <w:t xml:space="preserve">shall not transfer the authority granted except upon Commission approval. </w:t>
      </w:r>
    </w:p>
    <w:p w:rsidRPr="003E7AD2" w:rsidR="009B5B15" w:rsidP="00F632A2" w:rsidRDefault="009B5B15" w14:paraId="532686C8" w14:textId="77777777">
      <w:pPr>
        <w:ind w:left="720"/>
        <w:rPr>
          <w:rFonts w:ascii="Palatino Linotype" w:hAnsi="Palatino Linotype"/>
          <w:sz w:val="24"/>
          <w:szCs w:val="24"/>
        </w:rPr>
      </w:pPr>
    </w:p>
    <w:p w:rsidRPr="003E7AD2" w:rsidR="009B5B15" w:rsidP="00246398" w:rsidRDefault="00287B00" w14:paraId="080D7F86" w14:textId="0748412D">
      <w:pPr>
        <w:numPr>
          <w:ilvl w:val="0"/>
          <w:numId w:val="1"/>
        </w:numPr>
        <w:tabs>
          <w:tab w:val="clear" w:pos="360"/>
        </w:tabs>
        <w:suppressAutoHyphens/>
        <w:ind w:left="720"/>
        <w:rPr>
          <w:rFonts w:ascii="Palatino Linotype" w:hAnsi="Palatino Linotype"/>
          <w:sz w:val="24"/>
          <w:szCs w:val="24"/>
        </w:rPr>
      </w:pPr>
      <w:r w:rsidRPr="003E7AD2">
        <w:rPr>
          <w:rFonts w:ascii="Palatino Linotype" w:hAnsi="Palatino Linotype"/>
          <w:sz w:val="24"/>
          <w:szCs w:val="24"/>
        </w:rPr>
        <w:t xml:space="preserve">The </w:t>
      </w:r>
      <w:r w:rsidRPr="003E7AD2" w:rsidR="00F97F7D">
        <w:rPr>
          <w:rFonts w:ascii="Palatino Linotype" w:hAnsi="Palatino Linotype"/>
          <w:sz w:val="24"/>
          <w:szCs w:val="24"/>
        </w:rPr>
        <w:t>Tuolumne County Public Health Department</w:t>
      </w:r>
      <w:r w:rsidRPr="003E7AD2" w:rsidR="009B5B15">
        <w:rPr>
          <w:rFonts w:ascii="Palatino Linotype" w:hAnsi="Palatino Linotype"/>
          <w:sz w:val="24"/>
          <w:szCs w:val="24"/>
        </w:rPr>
        <w:t xml:space="preserve"> shall notify the Commission via a letter to the Director of Communications Division 30 days in advance of any changes to the geographic area served, </w:t>
      </w:r>
      <w:r w:rsidRPr="003E7AD2" w:rsidR="0005029B">
        <w:rPr>
          <w:rFonts w:ascii="Palatino Linotype" w:hAnsi="Palatino Linotype"/>
          <w:sz w:val="24"/>
          <w:szCs w:val="24"/>
        </w:rPr>
        <w:t xml:space="preserve">a </w:t>
      </w:r>
      <w:r w:rsidRPr="003E7AD2" w:rsidR="009B5B15">
        <w:rPr>
          <w:rFonts w:ascii="Palatino Linotype" w:hAnsi="Palatino Linotype"/>
          <w:sz w:val="24"/>
          <w:szCs w:val="24"/>
        </w:rPr>
        <w:t xml:space="preserve">vendor for call center and/or database management services, or the ability to continue as a 2-1-1 service provider in </w:t>
      </w:r>
      <w:r w:rsidRPr="003E7AD2" w:rsidR="006D659C">
        <w:rPr>
          <w:rFonts w:ascii="Palatino Linotype" w:hAnsi="Palatino Linotype"/>
          <w:sz w:val="24"/>
          <w:szCs w:val="24"/>
        </w:rPr>
        <w:t>Orange</w:t>
      </w:r>
      <w:r w:rsidRPr="003E7AD2" w:rsidR="009B5B15">
        <w:rPr>
          <w:rFonts w:ascii="Palatino Linotype" w:hAnsi="Palatino Linotype"/>
          <w:sz w:val="24"/>
          <w:szCs w:val="24"/>
        </w:rPr>
        <w:t xml:space="preserve"> County. </w:t>
      </w:r>
    </w:p>
    <w:p w:rsidRPr="003E7AD2" w:rsidR="009B5B15" w:rsidP="00F632A2" w:rsidRDefault="009B5B15" w14:paraId="08E1FB7E" w14:textId="77777777">
      <w:pPr>
        <w:ind w:left="360"/>
        <w:rPr>
          <w:rFonts w:ascii="Palatino Linotype" w:hAnsi="Palatino Linotype"/>
          <w:sz w:val="24"/>
          <w:szCs w:val="24"/>
        </w:rPr>
      </w:pPr>
    </w:p>
    <w:p w:rsidRPr="003E7AD2" w:rsidR="009B5B15" w:rsidP="00246398" w:rsidRDefault="002C1EDE" w14:paraId="6079D302" w14:textId="0C811964">
      <w:pPr>
        <w:numPr>
          <w:ilvl w:val="0"/>
          <w:numId w:val="1"/>
        </w:numPr>
        <w:ind w:left="720"/>
        <w:rPr>
          <w:rFonts w:ascii="Palatino Linotype" w:hAnsi="Palatino Linotype"/>
          <w:sz w:val="24"/>
          <w:szCs w:val="24"/>
        </w:rPr>
      </w:pPr>
      <w:r w:rsidRPr="003E7AD2">
        <w:rPr>
          <w:rFonts w:ascii="Palatino Linotype" w:hAnsi="Palatino Linotype"/>
          <w:sz w:val="24"/>
          <w:szCs w:val="24"/>
        </w:rPr>
        <w:t xml:space="preserve">The </w:t>
      </w:r>
      <w:r w:rsidRPr="003E7AD2" w:rsidR="00F97F7D">
        <w:rPr>
          <w:rFonts w:ascii="Palatino Linotype" w:hAnsi="Palatino Linotype"/>
          <w:sz w:val="24"/>
          <w:szCs w:val="24"/>
        </w:rPr>
        <w:t>Tuolumne County Public Health Department</w:t>
      </w:r>
      <w:r w:rsidRPr="003E7AD2">
        <w:rPr>
          <w:rFonts w:ascii="Palatino Linotype" w:hAnsi="Palatino Linotype"/>
          <w:sz w:val="24"/>
          <w:szCs w:val="24"/>
        </w:rPr>
        <w:t xml:space="preserve"> </w:t>
      </w:r>
      <w:r w:rsidRPr="003E7AD2" w:rsidR="009B5B15">
        <w:rPr>
          <w:rFonts w:ascii="Palatino Linotype" w:hAnsi="Palatino Linotype"/>
          <w:sz w:val="24"/>
          <w:szCs w:val="24"/>
        </w:rPr>
        <w:t>shall</w:t>
      </w:r>
      <w:r w:rsidRPr="003E7AD2" w:rsidR="00AB3295">
        <w:rPr>
          <w:rFonts w:ascii="Palatino Linotype" w:hAnsi="Palatino Linotype"/>
          <w:sz w:val="24"/>
          <w:szCs w:val="24"/>
        </w:rPr>
        <w:t>, for the duration of its provision of service,</w:t>
      </w:r>
      <w:r w:rsidRPr="003E7AD2" w:rsidR="009B5B15">
        <w:rPr>
          <w:rFonts w:ascii="Palatino Linotype" w:hAnsi="Palatino Linotype"/>
          <w:sz w:val="24"/>
          <w:szCs w:val="24"/>
        </w:rPr>
        <w:t xml:space="preserve"> report to the Director of Communications Division via email at </w:t>
      </w:r>
      <w:hyperlink r:id="rId12">
        <w:r w:rsidRPr="003E7AD2" w:rsidR="009B5B15">
          <w:rPr>
            <w:rFonts w:ascii="Palatino Linotype" w:hAnsi="Palatino Linotype"/>
            <w:color w:val="0000FF"/>
            <w:sz w:val="24"/>
            <w:szCs w:val="24"/>
            <w:u w:val="single"/>
          </w:rPr>
          <w:t>CDcompliance@cpuc.ca.gov</w:t>
        </w:r>
      </w:hyperlink>
      <w:r w:rsidRPr="003E7AD2" w:rsidR="009B5B15">
        <w:rPr>
          <w:rFonts w:ascii="Palatino Linotype" w:hAnsi="Palatino Linotype"/>
          <w:sz w:val="24"/>
          <w:szCs w:val="24"/>
        </w:rPr>
        <w:t xml:space="preserve"> by March 1 of each calendar year </w:t>
      </w:r>
      <w:r w:rsidRPr="003E7AD2" w:rsidR="00880956">
        <w:rPr>
          <w:rFonts w:ascii="Palatino Linotype" w:hAnsi="Palatino Linotype"/>
          <w:sz w:val="24"/>
          <w:szCs w:val="24"/>
        </w:rPr>
        <w:t xml:space="preserve">with </w:t>
      </w:r>
      <w:r w:rsidRPr="003E7AD2" w:rsidR="009B5B15">
        <w:rPr>
          <w:rFonts w:ascii="Palatino Linotype" w:hAnsi="Palatino Linotype"/>
          <w:sz w:val="24"/>
          <w:szCs w:val="24"/>
        </w:rPr>
        <w:t xml:space="preserve">the following information:  </w:t>
      </w:r>
    </w:p>
    <w:p w:rsidRPr="003E7AD2" w:rsidR="009B5B15" w:rsidP="00F632A2" w:rsidRDefault="009B5B15" w14:paraId="3CA0E372" w14:textId="77777777">
      <w:pPr>
        <w:ind w:left="360"/>
        <w:rPr>
          <w:rFonts w:ascii="Palatino Linotype" w:hAnsi="Palatino Linotype"/>
          <w:sz w:val="24"/>
          <w:szCs w:val="24"/>
        </w:rPr>
      </w:pPr>
    </w:p>
    <w:p w:rsidRPr="003E7AD2" w:rsidR="009B5B15" w:rsidP="00246398" w:rsidRDefault="009B5B15" w14:paraId="03425F97" w14:textId="64F016E7">
      <w:pPr>
        <w:numPr>
          <w:ilvl w:val="0"/>
          <w:numId w:val="3"/>
        </w:numPr>
        <w:ind w:left="1440" w:hanging="720"/>
        <w:rPr>
          <w:rFonts w:ascii="Palatino Linotype" w:hAnsi="Palatino Linotype"/>
          <w:sz w:val="24"/>
          <w:szCs w:val="24"/>
        </w:rPr>
      </w:pPr>
      <w:r w:rsidRPr="003E7AD2">
        <w:rPr>
          <w:rFonts w:ascii="Palatino Linotype" w:hAnsi="Palatino Linotype"/>
          <w:sz w:val="24"/>
          <w:szCs w:val="24"/>
        </w:rPr>
        <w:t xml:space="preserve">Name of </w:t>
      </w:r>
      <w:r w:rsidRPr="003E7AD2" w:rsidR="0005029B">
        <w:rPr>
          <w:rFonts w:ascii="Palatino Linotype" w:hAnsi="Palatino Linotype"/>
          <w:sz w:val="24"/>
          <w:szCs w:val="24"/>
        </w:rPr>
        <w:t xml:space="preserve">the </w:t>
      </w:r>
      <w:r w:rsidRPr="003E7AD2">
        <w:rPr>
          <w:rFonts w:ascii="Palatino Linotype" w:hAnsi="Palatino Linotype"/>
          <w:sz w:val="24"/>
          <w:szCs w:val="24"/>
        </w:rPr>
        <w:t xml:space="preserve">organization providing 2-1-1 service to </w:t>
      </w:r>
      <w:r w:rsidRPr="003E7AD2" w:rsidR="006D659C">
        <w:rPr>
          <w:rFonts w:ascii="Palatino Linotype" w:hAnsi="Palatino Linotype"/>
          <w:sz w:val="24"/>
          <w:szCs w:val="24"/>
        </w:rPr>
        <w:t>Orange</w:t>
      </w:r>
      <w:r w:rsidRPr="003E7AD2" w:rsidR="002C1EDE">
        <w:rPr>
          <w:rFonts w:ascii="Palatino Linotype" w:hAnsi="Palatino Linotype"/>
          <w:sz w:val="24"/>
          <w:szCs w:val="24"/>
        </w:rPr>
        <w:t xml:space="preserve"> </w:t>
      </w:r>
      <w:r w:rsidRPr="003E7AD2">
        <w:rPr>
          <w:rFonts w:ascii="Palatino Linotype" w:hAnsi="Palatino Linotype"/>
          <w:sz w:val="24"/>
          <w:szCs w:val="24"/>
        </w:rPr>
        <w:t>County and contact information (include person to contact)</w:t>
      </w:r>
      <w:r w:rsidRPr="003E7AD2" w:rsidR="00880956">
        <w:rPr>
          <w:rFonts w:ascii="Palatino Linotype" w:hAnsi="Palatino Linotype"/>
          <w:sz w:val="24"/>
          <w:szCs w:val="24"/>
        </w:rPr>
        <w:t>;</w:t>
      </w:r>
    </w:p>
    <w:p w:rsidRPr="003E7AD2" w:rsidR="009B5B15" w:rsidP="00246398" w:rsidRDefault="009B5B15" w14:paraId="2459C8CC" w14:textId="66502101">
      <w:pPr>
        <w:numPr>
          <w:ilvl w:val="0"/>
          <w:numId w:val="3"/>
        </w:numPr>
        <w:ind w:left="1440" w:hanging="720"/>
        <w:rPr>
          <w:rFonts w:ascii="Palatino Linotype" w:hAnsi="Palatino Linotype"/>
          <w:sz w:val="24"/>
          <w:szCs w:val="24"/>
        </w:rPr>
      </w:pPr>
      <w:r w:rsidRPr="003E7AD2">
        <w:rPr>
          <w:rFonts w:ascii="Palatino Linotype" w:hAnsi="Palatino Linotype"/>
          <w:sz w:val="24"/>
          <w:szCs w:val="24"/>
        </w:rPr>
        <w:t>Geographic area(s) served</w:t>
      </w:r>
      <w:r w:rsidRPr="003E7AD2" w:rsidR="00880956">
        <w:rPr>
          <w:rFonts w:ascii="Palatino Linotype" w:hAnsi="Palatino Linotype"/>
          <w:sz w:val="24"/>
          <w:szCs w:val="24"/>
        </w:rPr>
        <w:t>;</w:t>
      </w:r>
    </w:p>
    <w:p w:rsidRPr="003E7AD2" w:rsidR="009B5B15" w:rsidP="00246398" w:rsidRDefault="009B5B15" w14:paraId="237902A5" w14:textId="5A4B0110">
      <w:pPr>
        <w:numPr>
          <w:ilvl w:val="0"/>
          <w:numId w:val="3"/>
        </w:numPr>
        <w:ind w:left="1440" w:hanging="720"/>
        <w:rPr>
          <w:rFonts w:ascii="Palatino Linotype" w:hAnsi="Palatino Linotype"/>
          <w:sz w:val="24"/>
          <w:szCs w:val="24"/>
        </w:rPr>
      </w:pPr>
      <w:r w:rsidRPr="003E7AD2">
        <w:rPr>
          <w:rFonts w:ascii="Palatino Linotype" w:hAnsi="Palatino Linotype"/>
          <w:sz w:val="24"/>
          <w:szCs w:val="24"/>
        </w:rPr>
        <w:t xml:space="preserve">Name of </w:t>
      </w:r>
      <w:r w:rsidRPr="003E7AD2" w:rsidR="0005029B">
        <w:rPr>
          <w:rFonts w:ascii="Palatino Linotype" w:hAnsi="Palatino Linotype"/>
          <w:sz w:val="24"/>
          <w:szCs w:val="24"/>
        </w:rPr>
        <w:t xml:space="preserve">the </w:t>
      </w:r>
      <w:r w:rsidRPr="003E7AD2">
        <w:rPr>
          <w:rFonts w:ascii="Palatino Linotype" w:hAnsi="Palatino Linotype"/>
          <w:sz w:val="24"/>
          <w:szCs w:val="24"/>
        </w:rPr>
        <w:t>vendor providing 2-1-1 call center services and contact information</w:t>
      </w:r>
      <w:r w:rsidRPr="003E7AD2" w:rsidR="00880956">
        <w:rPr>
          <w:rFonts w:ascii="Palatino Linotype" w:hAnsi="Palatino Linotype"/>
          <w:sz w:val="24"/>
          <w:szCs w:val="24"/>
        </w:rPr>
        <w:t>;</w:t>
      </w:r>
    </w:p>
    <w:p w:rsidRPr="003E7AD2" w:rsidR="009B5B15" w:rsidP="00246398" w:rsidRDefault="009B5B15" w14:paraId="746737D3" w14:textId="6C3509AC">
      <w:pPr>
        <w:numPr>
          <w:ilvl w:val="0"/>
          <w:numId w:val="3"/>
        </w:numPr>
        <w:ind w:left="1440" w:hanging="720"/>
        <w:rPr>
          <w:rFonts w:ascii="Palatino Linotype" w:hAnsi="Palatino Linotype"/>
          <w:sz w:val="24"/>
          <w:szCs w:val="24"/>
        </w:rPr>
      </w:pPr>
      <w:r w:rsidRPr="003E7AD2">
        <w:rPr>
          <w:rFonts w:ascii="Palatino Linotype" w:hAnsi="Palatino Linotype"/>
          <w:sz w:val="24"/>
          <w:szCs w:val="24"/>
        </w:rPr>
        <w:t xml:space="preserve">Name of </w:t>
      </w:r>
      <w:r w:rsidRPr="003E7AD2" w:rsidR="0005029B">
        <w:rPr>
          <w:rFonts w:ascii="Palatino Linotype" w:hAnsi="Palatino Linotype"/>
          <w:sz w:val="24"/>
          <w:szCs w:val="24"/>
        </w:rPr>
        <w:t xml:space="preserve">the </w:t>
      </w:r>
      <w:r w:rsidRPr="003E7AD2">
        <w:rPr>
          <w:rFonts w:ascii="Palatino Linotype" w:hAnsi="Palatino Linotype"/>
          <w:sz w:val="24"/>
          <w:szCs w:val="24"/>
        </w:rPr>
        <w:t>vendor providing resource database services and contact information</w:t>
      </w:r>
      <w:r w:rsidRPr="003E7AD2" w:rsidR="00880956">
        <w:rPr>
          <w:rFonts w:ascii="Palatino Linotype" w:hAnsi="Palatino Linotype"/>
          <w:sz w:val="24"/>
          <w:szCs w:val="24"/>
        </w:rPr>
        <w:t>;</w:t>
      </w:r>
    </w:p>
    <w:p w:rsidRPr="003E7AD2" w:rsidR="009B5B15" w:rsidP="00246398" w:rsidRDefault="009B5B15" w14:paraId="36D58939" w14:textId="1B020860">
      <w:pPr>
        <w:numPr>
          <w:ilvl w:val="0"/>
          <w:numId w:val="3"/>
        </w:numPr>
        <w:ind w:left="1440" w:hanging="720"/>
        <w:rPr>
          <w:rFonts w:ascii="Palatino Linotype" w:hAnsi="Palatino Linotype"/>
          <w:sz w:val="24"/>
          <w:szCs w:val="24"/>
        </w:rPr>
      </w:pPr>
      <w:r w:rsidRPr="003E7AD2">
        <w:rPr>
          <w:rFonts w:ascii="Palatino Linotype" w:hAnsi="Palatino Linotype"/>
          <w:sz w:val="24"/>
          <w:szCs w:val="24"/>
        </w:rPr>
        <w:t xml:space="preserve">Name of </w:t>
      </w:r>
      <w:r w:rsidRPr="003E7AD2" w:rsidR="0005029B">
        <w:rPr>
          <w:rFonts w:ascii="Palatino Linotype" w:hAnsi="Palatino Linotype"/>
          <w:sz w:val="24"/>
          <w:szCs w:val="24"/>
        </w:rPr>
        <w:t xml:space="preserve">the </w:t>
      </w:r>
      <w:r w:rsidRPr="003E7AD2">
        <w:rPr>
          <w:rFonts w:ascii="Palatino Linotype" w:hAnsi="Palatino Linotype"/>
          <w:sz w:val="24"/>
          <w:szCs w:val="24"/>
        </w:rPr>
        <w:t>vendor providing after-hour service and contact information</w:t>
      </w:r>
      <w:r w:rsidRPr="003E7AD2" w:rsidR="00880956">
        <w:rPr>
          <w:rFonts w:ascii="Palatino Linotype" w:hAnsi="Palatino Linotype"/>
          <w:sz w:val="24"/>
          <w:szCs w:val="24"/>
        </w:rPr>
        <w:t>;</w:t>
      </w:r>
    </w:p>
    <w:p w:rsidRPr="003E7AD2" w:rsidR="009B5B15" w:rsidP="00246398" w:rsidRDefault="009B5B15" w14:paraId="38FE1504" w14:textId="77777777">
      <w:pPr>
        <w:numPr>
          <w:ilvl w:val="0"/>
          <w:numId w:val="3"/>
        </w:numPr>
        <w:ind w:left="1440" w:hanging="720"/>
        <w:rPr>
          <w:rFonts w:ascii="Palatino Linotype" w:hAnsi="Palatino Linotype"/>
          <w:sz w:val="24"/>
          <w:szCs w:val="24"/>
        </w:rPr>
      </w:pPr>
      <w:r w:rsidRPr="003E7AD2">
        <w:rPr>
          <w:rFonts w:ascii="Palatino Linotype" w:hAnsi="Palatino Linotype"/>
          <w:sz w:val="24"/>
          <w:szCs w:val="24"/>
        </w:rPr>
        <w:t>Summary (not to exceed one page) of the 2-1-1 services provided during the calendar year, with specific mentions of all declared and non-declared disasters and emergencies during which 2-1-1 was activated.</w:t>
      </w:r>
    </w:p>
    <w:bookmarkEnd w:id="9"/>
    <w:p w:rsidRPr="003E7AD2" w:rsidR="007A234C" w:rsidP="00F632A2" w:rsidRDefault="007A234C" w14:paraId="0FAA08AD" w14:textId="091B8601">
      <w:pPr>
        <w:tabs>
          <w:tab w:val="left" w:pos="-1440"/>
          <w:tab w:val="left" w:pos="-720"/>
        </w:tabs>
        <w:suppressAutoHyphens/>
        <w:rPr>
          <w:rFonts w:ascii="Palatino Linotype" w:hAnsi="Palatino Linotype"/>
          <w:sz w:val="24"/>
          <w:szCs w:val="24"/>
        </w:rPr>
      </w:pPr>
    </w:p>
    <w:p w:rsidRPr="003E7AD2" w:rsidR="004D3C75" w:rsidP="00F632A2" w:rsidRDefault="004D3C75" w14:paraId="0C2CFDAF" w14:textId="77777777">
      <w:pPr>
        <w:rPr>
          <w:rFonts w:ascii="Palatino Linotype" w:hAnsi="Palatino Linotype"/>
          <w:sz w:val="24"/>
          <w:szCs w:val="24"/>
        </w:rPr>
      </w:pPr>
      <w:r w:rsidRPr="003E7AD2">
        <w:rPr>
          <w:rFonts w:ascii="Palatino Linotype" w:hAnsi="Palatino Linotype"/>
          <w:sz w:val="24"/>
          <w:szCs w:val="24"/>
        </w:rPr>
        <w:t>This Resolution is effective today.</w:t>
      </w:r>
    </w:p>
    <w:p w:rsidRPr="003E7AD2" w:rsidR="004D3C75" w:rsidP="00F632A2" w:rsidRDefault="004D3C75" w14:paraId="350CEABB" w14:textId="77777777">
      <w:pPr>
        <w:rPr>
          <w:rFonts w:ascii="Palatino Linotype" w:hAnsi="Palatino Linotype"/>
          <w:sz w:val="24"/>
          <w:szCs w:val="24"/>
        </w:rPr>
      </w:pPr>
    </w:p>
    <w:p w:rsidRPr="003E7AD2" w:rsidR="004D3C75" w:rsidP="00F632A2" w:rsidRDefault="004D3C75" w14:paraId="4B95DEB3" w14:textId="1BD99050">
      <w:pPr>
        <w:rPr>
          <w:rFonts w:ascii="Palatino Linotype" w:hAnsi="Palatino Linotype"/>
          <w:sz w:val="24"/>
          <w:szCs w:val="24"/>
        </w:rPr>
      </w:pPr>
      <w:r w:rsidRPr="003E7AD2">
        <w:rPr>
          <w:rFonts w:ascii="Palatino Linotype" w:hAnsi="Palatino Linotype"/>
          <w:sz w:val="24"/>
          <w:szCs w:val="24"/>
        </w:rPr>
        <w:t xml:space="preserve">I hereby certify that the </w:t>
      </w:r>
      <w:r w:rsidRPr="003E7AD2" w:rsidR="002E116C">
        <w:rPr>
          <w:rFonts w:ascii="Palatino Linotype" w:hAnsi="Palatino Linotype"/>
          <w:sz w:val="24"/>
          <w:szCs w:val="24"/>
        </w:rPr>
        <w:t xml:space="preserve">California </w:t>
      </w:r>
      <w:r w:rsidRPr="003E7AD2">
        <w:rPr>
          <w:rFonts w:ascii="Palatino Linotype" w:hAnsi="Palatino Linotype"/>
          <w:sz w:val="24"/>
          <w:szCs w:val="24"/>
        </w:rPr>
        <w:t>Public Utilities Commission at its regular meeting on</w:t>
      </w:r>
      <w:r w:rsidRPr="003E7AD2" w:rsidR="004A5826">
        <w:rPr>
          <w:rFonts w:ascii="Palatino Linotype" w:hAnsi="Palatino Linotype"/>
          <w:sz w:val="24"/>
          <w:szCs w:val="24"/>
        </w:rPr>
        <w:softHyphen/>
      </w:r>
      <w:r w:rsidRPr="003E7AD2" w:rsidR="004A5826">
        <w:rPr>
          <w:rFonts w:ascii="Palatino Linotype" w:hAnsi="Palatino Linotype"/>
          <w:sz w:val="24"/>
          <w:szCs w:val="24"/>
        </w:rPr>
        <w:softHyphen/>
      </w:r>
      <w:r w:rsidRPr="003E7AD2" w:rsidR="004A5826">
        <w:rPr>
          <w:rFonts w:ascii="Palatino Linotype" w:hAnsi="Palatino Linotype"/>
          <w:sz w:val="24"/>
          <w:szCs w:val="24"/>
        </w:rPr>
        <w:softHyphen/>
      </w:r>
      <w:r w:rsidRPr="003E7AD2" w:rsidR="00721DA6">
        <w:rPr>
          <w:rFonts w:ascii="Palatino Linotype" w:hAnsi="Palatino Linotype"/>
          <w:sz w:val="24"/>
          <w:szCs w:val="24"/>
        </w:rPr>
        <w:t>,</w:t>
      </w:r>
      <w:r w:rsidRPr="003E7AD2" w:rsidR="004A5826">
        <w:rPr>
          <w:rFonts w:ascii="Palatino Linotype" w:hAnsi="Palatino Linotype"/>
          <w:sz w:val="24"/>
          <w:szCs w:val="24"/>
        </w:rPr>
        <w:t xml:space="preserve"> ________________ </w:t>
      </w:r>
      <w:r w:rsidRPr="003E7AD2" w:rsidR="004A5826">
        <w:rPr>
          <w:rFonts w:ascii="Palatino Linotype" w:hAnsi="Palatino Linotype"/>
          <w:sz w:val="24"/>
          <w:szCs w:val="24"/>
        </w:rPr>
        <w:softHyphen/>
      </w:r>
      <w:r w:rsidRPr="003E7AD2" w:rsidR="004A5826">
        <w:rPr>
          <w:rFonts w:ascii="Palatino Linotype" w:hAnsi="Palatino Linotype"/>
          <w:sz w:val="24"/>
          <w:szCs w:val="24"/>
        </w:rPr>
        <w:softHyphen/>
      </w:r>
      <w:r w:rsidRPr="003E7AD2" w:rsidR="004A5826">
        <w:rPr>
          <w:rFonts w:ascii="Palatino Linotype" w:hAnsi="Palatino Linotype"/>
          <w:sz w:val="24"/>
          <w:szCs w:val="24"/>
        </w:rPr>
        <w:softHyphen/>
      </w:r>
      <w:r w:rsidRPr="003E7AD2" w:rsidR="004A5826">
        <w:rPr>
          <w:rFonts w:ascii="Palatino Linotype" w:hAnsi="Palatino Linotype"/>
          <w:sz w:val="24"/>
          <w:szCs w:val="24"/>
        </w:rPr>
        <w:softHyphen/>
      </w:r>
      <w:r w:rsidRPr="003E7AD2" w:rsidR="004A5826">
        <w:rPr>
          <w:rFonts w:ascii="Palatino Linotype" w:hAnsi="Palatino Linotype"/>
          <w:sz w:val="24"/>
          <w:szCs w:val="24"/>
        </w:rPr>
        <w:softHyphen/>
      </w:r>
      <w:r w:rsidRPr="003E7AD2" w:rsidR="004A5826">
        <w:rPr>
          <w:rFonts w:ascii="Palatino Linotype" w:hAnsi="Palatino Linotype"/>
          <w:sz w:val="24"/>
          <w:szCs w:val="24"/>
        </w:rPr>
        <w:softHyphen/>
      </w:r>
      <w:r w:rsidRPr="003E7AD2" w:rsidR="004A5826">
        <w:rPr>
          <w:rFonts w:ascii="Palatino Linotype" w:hAnsi="Palatino Linotype"/>
          <w:sz w:val="24"/>
          <w:szCs w:val="24"/>
        </w:rPr>
        <w:softHyphen/>
      </w:r>
      <w:r w:rsidRPr="003E7AD2" w:rsidR="004A5826">
        <w:rPr>
          <w:rFonts w:ascii="Palatino Linotype" w:hAnsi="Palatino Linotype"/>
          <w:sz w:val="24"/>
          <w:szCs w:val="24"/>
        </w:rPr>
        <w:softHyphen/>
      </w:r>
      <w:r w:rsidRPr="003E7AD2" w:rsidR="004A5826">
        <w:rPr>
          <w:rFonts w:ascii="Palatino Linotype" w:hAnsi="Palatino Linotype"/>
          <w:sz w:val="24"/>
          <w:szCs w:val="24"/>
        </w:rPr>
        <w:softHyphen/>
      </w:r>
      <w:r w:rsidRPr="003E7AD2" w:rsidR="004A5826">
        <w:rPr>
          <w:rFonts w:ascii="Palatino Linotype" w:hAnsi="Palatino Linotype"/>
          <w:sz w:val="24"/>
          <w:szCs w:val="24"/>
        </w:rPr>
        <w:softHyphen/>
      </w:r>
      <w:r w:rsidRPr="003E7AD2" w:rsidR="0072416B">
        <w:rPr>
          <w:rFonts w:ascii="Palatino Linotype" w:hAnsi="Palatino Linotype"/>
          <w:sz w:val="24"/>
          <w:szCs w:val="24"/>
        </w:rPr>
        <w:t xml:space="preserve"> </w:t>
      </w:r>
      <w:r w:rsidRPr="003E7AD2">
        <w:rPr>
          <w:rFonts w:ascii="Palatino Linotype" w:hAnsi="Palatino Linotype"/>
          <w:sz w:val="24"/>
          <w:szCs w:val="24"/>
        </w:rPr>
        <w:t>adopted this Resolution</w:t>
      </w:r>
      <w:r w:rsidRPr="003E7AD2" w:rsidR="009E0C08">
        <w:rPr>
          <w:rFonts w:ascii="Palatino Linotype" w:hAnsi="Palatino Linotype"/>
          <w:sz w:val="24"/>
          <w:szCs w:val="24"/>
        </w:rPr>
        <w:t xml:space="preserve">. </w:t>
      </w:r>
      <w:r w:rsidRPr="003E7AD2">
        <w:rPr>
          <w:rFonts w:ascii="Palatino Linotype" w:hAnsi="Palatino Linotype"/>
          <w:sz w:val="24"/>
          <w:szCs w:val="24"/>
        </w:rPr>
        <w:t>The following Commissioners approved it:</w:t>
      </w:r>
    </w:p>
    <w:p w:rsidRPr="003E7AD2" w:rsidR="004D3C75" w:rsidP="00F632A2" w:rsidRDefault="004D3C75" w14:paraId="4F8D5FE7" w14:textId="77777777">
      <w:pPr>
        <w:rPr>
          <w:rFonts w:ascii="Palatino Linotype" w:hAnsi="Palatino Linotype"/>
          <w:sz w:val="24"/>
          <w:szCs w:val="24"/>
        </w:rPr>
      </w:pPr>
    </w:p>
    <w:p w:rsidRPr="003E7AD2" w:rsidR="00D41ACA" w:rsidP="00F632A2" w:rsidRDefault="00D41ACA" w14:paraId="121E5C2B" w14:textId="31C2A6FA">
      <w:pPr>
        <w:rPr>
          <w:rFonts w:ascii="Palatino Linotype" w:hAnsi="Palatino Linotype"/>
          <w:sz w:val="24"/>
          <w:szCs w:val="24"/>
        </w:rPr>
      </w:pPr>
    </w:p>
    <w:p w:rsidRPr="003E7AD2" w:rsidR="00D41ACA" w:rsidP="00F632A2" w:rsidRDefault="00D41ACA" w14:paraId="138C97FE" w14:textId="13AFB694">
      <w:pPr>
        <w:rPr>
          <w:rFonts w:ascii="Palatino Linotype" w:hAnsi="Palatino Linotype"/>
          <w:sz w:val="24"/>
          <w:szCs w:val="24"/>
        </w:rPr>
      </w:pPr>
    </w:p>
    <w:p w:rsidRPr="003E7AD2" w:rsidR="00D41ACA" w:rsidP="00F632A2" w:rsidRDefault="00D41ACA" w14:paraId="56FC144C" w14:textId="77777777">
      <w:pPr>
        <w:rPr>
          <w:rFonts w:ascii="Palatino Linotype" w:hAnsi="Palatino Linotype"/>
          <w:sz w:val="24"/>
          <w:szCs w:val="24"/>
        </w:rPr>
      </w:pPr>
    </w:p>
    <w:p w:rsidRPr="003E7AD2" w:rsidR="00721DA6" w:rsidP="00F632A2" w:rsidRDefault="004A5826" w14:paraId="3F78DA3F" w14:textId="778D30A1">
      <w:pPr>
        <w:tabs>
          <w:tab w:val="left" w:pos="240"/>
          <w:tab w:val="left" w:pos="720"/>
          <w:tab w:val="right" w:pos="10080"/>
        </w:tabs>
        <w:jc w:val="right"/>
        <w:rPr>
          <w:rFonts w:ascii="Palatino Linotype" w:hAnsi="Palatino Linotype"/>
          <w:color w:val="000000" w:themeColor="text1"/>
          <w:sz w:val="24"/>
          <w:szCs w:val="24"/>
        </w:rPr>
      </w:pPr>
      <w:r w:rsidRPr="003E7AD2">
        <w:rPr>
          <w:rFonts w:ascii="Palatino Linotype" w:hAnsi="Palatino Linotype"/>
          <w:noProof/>
          <w:color w:val="000000" w:themeColor="text1"/>
          <w:sz w:val="24"/>
          <w:szCs w:val="24"/>
          <w:u w:val="single"/>
        </w:rPr>
        <mc:AlternateContent>
          <mc:Choice Requires="wps">
            <w:drawing>
              <wp:anchor distT="0" distB="0" distL="114300" distR="114300" simplePos="0" relativeHeight="251659264" behindDoc="0" locked="0" layoutInCell="1" allowOverlap="1" wp14:editId="6D2E60B1" wp14:anchorId="7E8F7A82">
                <wp:simplePos x="0" y="0"/>
                <wp:positionH relativeFrom="column">
                  <wp:posOffset>3632200</wp:posOffset>
                </wp:positionH>
                <wp:positionV relativeFrom="paragraph">
                  <wp:posOffset>179705</wp:posOffset>
                </wp:positionV>
                <wp:extent cx="2216150" cy="6350"/>
                <wp:effectExtent l="0" t="0" r="31750" b="31750"/>
                <wp:wrapNone/>
                <wp:docPr id="208634584" name="Straight Connector 3"/>
                <wp:cNvGraphicFramePr/>
                <a:graphic xmlns:a="http://schemas.openxmlformats.org/drawingml/2006/main">
                  <a:graphicData uri="http://schemas.microsoft.com/office/word/2010/wordprocessingShape">
                    <wps:wsp>
                      <wps:cNvCnPr/>
                      <wps:spPr>
                        <a:xfrm flipV="1">
                          <a:off x="0" y="0"/>
                          <a:ext cx="22161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286pt,14.15pt" to="460.5pt,14.65pt" w14:anchorId="3E295B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"/>
            </w:pict>
          </mc:Fallback>
        </mc:AlternateContent>
      </w:r>
      <w:r w:rsidRPr="003E7AD2" w:rsidR="00721DA6">
        <w:rPr>
          <w:rFonts w:ascii="Palatino Linotype" w:hAnsi="Palatino Linotype"/>
          <w:color w:val="000000" w:themeColor="text1"/>
          <w:sz w:val="24"/>
          <w:szCs w:val="24"/>
          <w:u w:val="single"/>
        </w:rPr>
        <w:t xml:space="preserve"> </w:t>
      </w:r>
    </w:p>
    <w:p w:rsidRPr="003E7AD2" w:rsidR="00721DA6" w:rsidP="00F632A2" w:rsidRDefault="00721DA6" w14:paraId="1A597E3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0"/>
        <w:jc w:val="center"/>
        <w:rPr>
          <w:rFonts w:ascii="Palatino Linotype" w:hAnsi="Palatino Linotype"/>
          <w:sz w:val="24"/>
          <w:szCs w:val="24"/>
        </w:rPr>
      </w:pPr>
      <w:r w:rsidRPr="003E7AD2">
        <w:rPr>
          <w:rFonts w:ascii="Palatino Linotype" w:hAnsi="Palatino Linotype"/>
          <w:sz w:val="24"/>
          <w:szCs w:val="24"/>
        </w:rPr>
        <w:t>Rachel Peterson</w:t>
      </w:r>
    </w:p>
    <w:p w:rsidRPr="003E7AD2" w:rsidR="00721DA6" w:rsidP="00F632A2" w:rsidRDefault="00721DA6" w14:paraId="764C3AA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0"/>
        <w:jc w:val="center"/>
        <w:rPr>
          <w:rFonts w:ascii="Palatino Linotype" w:hAnsi="Palatino Linotype"/>
          <w:sz w:val="24"/>
          <w:szCs w:val="24"/>
        </w:rPr>
      </w:pPr>
      <w:r w:rsidRPr="003E7AD2">
        <w:rPr>
          <w:rFonts w:ascii="Palatino Linotype" w:hAnsi="Palatino Linotype"/>
          <w:sz w:val="24"/>
          <w:szCs w:val="24"/>
        </w:rPr>
        <w:t>Executive Director</w:t>
      </w:r>
    </w:p>
    <w:p w:rsidRPr="003E7AD2" w:rsidR="00721DA6" w:rsidP="00F632A2" w:rsidRDefault="00721DA6" w14:paraId="657312B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0"/>
        <w:jc w:val="center"/>
        <w:rPr>
          <w:rFonts w:ascii="Palatino Linotype" w:hAnsi="Palatino Linotype"/>
          <w:sz w:val="24"/>
          <w:szCs w:val="24"/>
        </w:rPr>
      </w:pPr>
    </w:p>
    <w:p w:rsidRPr="003E7AD2" w:rsidR="0072416B" w:rsidP="00F632A2" w:rsidRDefault="0072416B" w14:paraId="5B19BEE7" w14:textId="05BD8F25">
      <w:pPr>
        <w:rPr>
          <w:rFonts w:ascii="Palatino Linotype" w:hAnsi="Palatino Linotype"/>
          <w:sz w:val="24"/>
          <w:szCs w:val="24"/>
        </w:rPr>
      </w:pPr>
    </w:p>
    <w:p w:rsidRPr="003E7AD2" w:rsidR="0072416B" w:rsidP="00F632A2" w:rsidRDefault="0072416B" w14:paraId="2EAC7BE7" w14:textId="44DA6C22">
      <w:pPr>
        <w:tabs>
          <w:tab w:val="left" w:pos="3810"/>
        </w:tabs>
        <w:rPr>
          <w:rFonts w:ascii="Palatino Linotype" w:hAnsi="Palatino Linotype"/>
          <w:sz w:val="24"/>
          <w:szCs w:val="24"/>
        </w:rPr>
      </w:pPr>
    </w:p>
    <w:sectPr w:rsidRPr="003E7AD2" w:rsidR="0072416B" w:rsidSect="00E610CD">
      <w:headerReference w:type="default" r:id="rId13"/>
      <w:footerReference w:type="default" r:id="rId14"/>
      <w:headerReference w:type="first" r:id="rId15"/>
      <w:footerReference w:type="first" r:id="rId16"/>
      <w:pgSz w:w="12240" w:h="15840" w:code="1"/>
      <w:pgMar w:top="1440" w:right="1296" w:bottom="1296" w:left="1440" w:header="720" w:footer="475"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AB6D2" w14:textId="77777777" w:rsidR="00996D9D" w:rsidRDefault="00996D9D">
      <w:r>
        <w:separator/>
      </w:r>
    </w:p>
  </w:endnote>
  <w:endnote w:type="continuationSeparator" w:id="0">
    <w:p w14:paraId="4280EDDC" w14:textId="77777777" w:rsidR="00996D9D" w:rsidRDefault="00996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w:altName w:val="Palatino Linotype"/>
    <w:charset w:val="00"/>
    <w:family w:val="auto"/>
    <w:pitch w:val="variable"/>
    <w:sig w:usb0="20000A87" w:usb1="08000000" w:usb2="00000008" w:usb3="00000000" w:csb0="00000105"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BEACD" w14:textId="3EE99BF8" w:rsidR="00CE5A4A" w:rsidRDefault="00CE5A4A">
    <w:pPr>
      <w:pStyle w:val="Footer"/>
      <w:framePr w:wrap="auto" w:vAnchor="text" w:hAnchor="margin" w:xAlign="center" w:y="1"/>
      <w:rPr>
        <w:rStyle w:val="PageNumber"/>
        <w:rFonts w:ascii="Palatino" w:hAnsi="Palatino"/>
        <w:sz w:val="24"/>
      </w:rPr>
    </w:pPr>
    <w:r>
      <w:rPr>
        <w:rStyle w:val="PageNumber"/>
        <w:rFonts w:ascii="Palatino" w:hAnsi="Palatino"/>
        <w:sz w:val="24"/>
      </w:rPr>
      <w:fldChar w:fldCharType="begin"/>
    </w:r>
    <w:r>
      <w:rPr>
        <w:rStyle w:val="PageNumber"/>
        <w:rFonts w:ascii="Palatino" w:hAnsi="Palatino"/>
        <w:sz w:val="24"/>
      </w:rPr>
      <w:instrText xml:space="preserve">PAGE  </w:instrText>
    </w:r>
    <w:r>
      <w:rPr>
        <w:rStyle w:val="PageNumber"/>
        <w:rFonts w:ascii="Palatino" w:hAnsi="Palatino"/>
        <w:sz w:val="24"/>
      </w:rPr>
      <w:fldChar w:fldCharType="separate"/>
    </w:r>
    <w:r w:rsidR="00196065">
      <w:rPr>
        <w:rStyle w:val="PageNumber"/>
        <w:rFonts w:ascii="Palatino" w:hAnsi="Palatino"/>
        <w:noProof/>
        <w:sz w:val="24"/>
      </w:rPr>
      <w:t>4</w:t>
    </w:r>
    <w:r>
      <w:rPr>
        <w:rStyle w:val="PageNumber"/>
        <w:rFonts w:ascii="Palatino" w:hAnsi="Palatino"/>
        <w:sz w:val="24"/>
      </w:rPr>
      <w:fldChar w:fldCharType="end"/>
    </w:r>
  </w:p>
  <w:p w14:paraId="039BAB2B" w14:textId="77777777" w:rsidR="00CE5A4A" w:rsidRDefault="00CE5A4A">
    <w:pPr>
      <w:pStyle w:val="Footer"/>
      <w:rPr>
        <w:sz w:val="24"/>
      </w:rPr>
    </w:pPr>
  </w:p>
  <w:p w14:paraId="5808DE84" w14:textId="77777777" w:rsidR="00635959" w:rsidRDefault="006359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B3898" w14:textId="56A9E729" w:rsidR="00C44552" w:rsidRDefault="00C44552">
    <w:pPr>
      <w:pStyle w:val="Footer"/>
    </w:pPr>
    <w:r>
      <w:rPr>
        <w:rFonts w:ascii="Arial" w:hAnsi="Arial" w:cs="Arial"/>
        <w:color w:val="000000"/>
        <w:sz w:val="18"/>
        <w:szCs w:val="18"/>
        <w:shd w:val="clear" w:color="auto" w:fill="FFFFFF"/>
      </w:rPr>
      <w:t>521283035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B6A7C" w14:textId="77777777" w:rsidR="00996D9D" w:rsidRDefault="00996D9D">
      <w:r>
        <w:separator/>
      </w:r>
    </w:p>
  </w:footnote>
  <w:footnote w:type="continuationSeparator" w:id="0">
    <w:p w14:paraId="4B90E822" w14:textId="77777777" w:rsidR="00996D9D" w:rsidRDefault="00996D9D">
      <w:r>
        <w:continuationSeparator/>
      </w:r>
    </w:p>
  </w:footnote>
  <w:footnote w:id="1">
    <w:p w14:paraId="3E845313" w14:textId="01CF9F6D" w:rsidR="00970239" w:rsidRDefault="00970239" w:rsidP="00970239">
      <w:pPr>
        <w:pStyle w:val="FootnoteText"/>
        <w:spacing w:after="120"/>
      </w:pPr>
      <w:r>
        <w:rPr>
          <w:rStyle w:val="FootnoteReference"/>
        </w:rPr>
        <w:footnoteRef/>
      </w:r>
      <w:r>
        <w:t xml:space="preserve"> </w:t>
      </w:r>
      <w:r>
        <w:rPr>
          <w:i/>
          <w:iCs/>
        </w:rPr>
        <w:t xml:space="preserve">Third Report and Order and Order on Reconsideration, </w:t>
      </w:r>
      <w:r>
        <w:t>FCC 00-256,</w:t>
      </w:r>
      <w:r>
        <w:rPr>
          <w:i/>
          <w:iCs/>
        </w:rPr>
        <w:t xml:space="preserve"> </w:t>
      </w:r>
      <w:r>
        <w:t>CC Docket 92-105, released July 31, 2000 (</w:t>
      </w:r>
      <w:r w:rsidR="00D02B73">
        <w:t>“</w:t>
      </w:r>
      <w:bookmarkStart w:id="2" w:name="_Hlk535222092"/>
      <w:r>
        <w:rPr>
          <w:i/>
          <w:iCs/>
        </w:rPr>
        <w:t>N11 Third Report and Order</w:t>
      </w:r>
      <w:bookmarkEnd w:id="2"/>
      <w:r>
        <w:rPr>
          <w:i/>
          <w:iCs/>
        </w:rPr>
        <w:t>”)</w:t>
      </w:r>
      <w:r w:rsidR="006F32BF">
        <w:rPr>
          <w:i/>
          <w:iCs/>
        </w:rPr>
        <w:t>.</w:t>
      </w:r>
    </w:p>
  </w:footnote>
  <w:footnote w:id="2">
    <w:p w14:paraId="7573DCBC" w14:textId="444C98B8" w:rsidR="00BD784C" w:rsidRDefault="00BD784C" w:rsidP="00BD784C">
      <w:pPr>
        <w:pStyle w:val="FootnoteText"/>
        <w:spacing w:after="120"/>
      </w:pPr>
      <w:r>
        <w:rPr>
          <w:rStyle w:val="FootnoteReference"/>
        </w:rPr>
        <w:footnoteRef/>
      </w:r>
      <w:r>
        <w:t xml:space="preserve"> </w:t>
      </w:r>
      <w:r>
        <w:rPr>
          <w:i/>
          <w:iCs/>
        </w:rPr>
        <w:t xml:space="preserve">N11 Third Report and Order, </w:t>
      </w:r>
      <w:r w:rsidR="005F75EC">
        <w:t xml:space="preserve">p. </w:t>
      </w:r>
      <w:r>
        <w:rPr>
          <w:iCs/>
        </w:rPr>
        <w:t>21</w:t>
      </w:r>
    </w:p>
  </w:footnote>
  <w:footnote w:id="3">
    <w:p w14:paraId="78E81A85" w14:textId="2B240EB8" w:rsidR="00BD784C" w:rsidRPr="00BD784C" w:rsidRDefault="00BD784C" w:rsidP="00BD784C">
      <w:pPr>
        <w:pStyle w:val="FootnoteText"/>
        <w:spacing w:after="120"/>
      </w:pPr>
      <w:r>
        <w:rPr>
          <w:rStyle w:val="FootnoteReference"/>
        </w:rPr>
        <w:footnoteRef/>
      </w:r>
      <w:r>
        <w:t xml:space="preserve"> </w:t>
      </w:r>
      <w:bookmarkStart w:id="3" w:name="_Hlk89182655"/>
      <w:r>
        <w:rPr>
          <w:i/>
          <w:iCs/>
        </w:rPr>
        <w:t xml:space="preserve">N11 Third Report and Order, </w:t>
      </w:r>
      <w:r w:rsidR="005F75EC">
        <w:t xml:space="preserve">p. </w:t>
      </w:r>
      <w:r>
        <w:rPr>
          <w:iCs/>
        </w:rPr>
        <w:t>43</w:t>
      </w:r>
      <w:bookmarkEnd w:id="3"/>
    </w:p>
  </w:footnote>
  <w:footnote w:id="4">
    <w:p w14:paraId="148C5703" w14:textId="4AE550CB" w:rsidR="008F4CF6" w:rsidRDefault="008F4CF6">
      <w:pPr>
        <w:pStyle w:val="FootnoteText"/>
      </w:pPr>
      <w:r>
        <w:rPr>
          <w:rStyle w:val="FootnoteReference"/>
        </w:rPr>
        <w:footnoteRef/>
      </w:r>
      <w:r>
        <w:t xml:space="preserve"> </w:t>
      </w:r>
      <w:r w:rsidRPr="00EC6800">
        <w:rPr>
          <w:i/>
          <w:iCs/>
        </w:rPr>
        <w:t>See</w:t>
      </w:r>
      <w:r w:rsidR="005F75EC">
        <w:rPr>
          <w:i/>
          <w:iCs/>
        </w:rPr>
        <w:t>,</w:t>
      </w:r>
      <w:r>
        <w:t xml:space="preserve"> D.03-02-029, </w:t>
      </w:r>
      <w:r w:rsidR="009D432F">
        <w:t xml:space="preserve">dated February 18, 2023, </w:t>
      </w:r>
      <w:r>
        <w:t xml:space="preserve">Appendix A.  The full text of the decision is available online at: </w:t>
      </w:r>
      <w:hyperlink r:id="rId1" w:history="1">
        <w:r w:rsidRPr="00567A3B">
          <w:rPr>
            <w:rStyle w:val="Hyperlink"/>
          </w:rPr>
          <w:t>http://docs.cpuc.ca.gov/word_pdf/FINAL_DECISION/23645.pdf</w:t>
        </w:r>
      </w:hyperlink>
      <w:r>
        <w:t xml:space="preserve">  </w:t>
      </w:r>
    </w:p>
  </w:footnote>
  <w:footnote w:id="5">
    <w:p w14:paraId="2BF87B4D" w14:textId="3091C873" w:rsidR="008F4CF6" w:rsidRDefault="008F4CF6">
      <w:pPr>
        <w:pStyle w:val="FootnoteText"/>
      </w:pPr>
      <w:r>
        <w:rPr>
          <w:rStyle w:val="FootnoteReference"/>
        </w:rPr>
        <w:footnoteRef/>
      </w:r>
      <w:r>
        <w:t xml:space="preserve"> </w:t>
      </w:r>
      <w:r>
        <w:rPr>
          <w:i/>
          <w:iCs/>
        </w:rPr>
        <w:t>Id.</w:t>
      </w:r>
      <w:r w:rsidR="005F75EC">
        <w:rPr>
          <w:i/>
          <w:iCs/>
        </w:rPr>
        <w:t>,</w:t>
      </w:r>
      <w:r>
        <w:t xml:space="preserve"> at 32; Conclusion of Law</w:t>
      </w:r>
      <w:r w:rsidR="009D432F">
        <w:t xml:space="preserve"> (COL)</w:t>
      </w:r>
      <w:r>
        <w:t xml:space="preserve"> 3; Ordering Paragraph </w:t>
      </w:r>
      <w:r w:rsidR="009D432F">
        <w:t xml:space="preserve">(OP) </w:t>
      </w:r>
      <w:r>
        <w:t>2.</w:t>
      </w:r>
    </w:p>
  </w:footnote>
  <w:footnote w:id="6">
    <w:p w14:paraId="6A9EBA9F" w14:textId="300119C9" w:rsidR="005F75EC" w:rsidRPr="005F75EC" w:rsidRDefault="005F75EC">
      <w:pPr>
        <w:pStyle w:val="FootnoteText"/>
      </w:pPr>
      <w:r>
        <w:rPr>
          <w:rStyle w:val="FootnoteReference"/>
        </w:rPr>
        <w:footnoteRef/>
      </w:r>
      <w:r>
        <w:t xml:space="preserve"> </w:t>
      </w:r>
      <w:r>
        <w:rPr>
          <w:i/>
          <w:iCs/>
        </w:rPr>
        <w:t xml:space="preserve">Id., </w:t>
      </w:r>
      <w:r>
        <w:t xml:space="preserve">at </w:t>
      </w:r>
      <w:r w:rsidR="009D432F">
        <w:t>82; COL 18, 25; OP 2.</w:t>
      </w:r>
    </w:p>
  </w:footnote>
  <w:footnote w:id="7">
    <w:p w14:paraId="04F5F35F" w14:textId="19061D46" w:rsidR="003E6D29" w:rsidRDefault="003E6D29" w:rsidP="00F80852">
      <w:pPr>
        <w:pStyle w:val="FootnoteText"/>
        <w:spacing w:after="120"/>
      </w:pPr>
      <w:r>
        <w:rPr>
          <w:rStyle w:val="FootnoteReference"/>
        </w:rPr>
        <w:footnoteRef/>
      </w:r>
      <w:r>
        <w:t xml:space="preserve"> </w:t>
      </w:r>
      <w:r w:rsidR="00F80852" w:rsidRPr="00EC6800">
        <w:rPr>
          <w:i/>
          <w:iCs/>
        </w:rPr>
        <w:t>See</w:t>
      </w:r>
      <w:r w:rsidR="009D432F">
        <w:t>,</w:t>
      </w:r>
      <w:r w:rsidR="00F80852" w:rsidRPr="00EC6800">
        <w:t xml:space="preserve"> </w:t>
      </w:r>
      <w:r w:rsidR="00F80852">
        <w:t xml:space="preserve">D.11-09-016, </w:t>
      </w:r>
      <w:r w:rsidR="009D432F">
        <w:t xml:space="preserve">dated </w:t>
      </w:r>
      <w:r w:rsidR="00F80852">
        <w:t>September 8, 2011</w:t>
      </w:r>
      <w:r w:rsidR="009D432F">
        <w:t xml:space="preserve">. </w:t>
      </w:r>
      <w:hyperlink r:id="rId2" w:history="1">
        <w:r w:rsidR="00F80852" w:rsidRPr="00460BAA">
          <w:rPr>
            <w:rStyle w:val="Hyperlink"/>
          </w:rPr>
          <w:t>http://docs.cpuc.ca.gov/PublishedDocs/WORD_PDF/FINAL_DECISION/143224.PDF</w:t>
        </w:r>
      </w:hyperlink>
      <w:r w:rsidR="00F80852">
        <w:rPr>
          <w:color w:val="0462C1"/>
        </w:rPr>
        <w:t xml:space="preserve"> </w:t>
      </w:r>
      <w:r w:rsidR="00F80852">
        <w:t xml:space="preserve"> </w:t>
      </w:r>
    </w:p>
  </w:footnote>
  <w:footnote w:id="8">
    <w:p w14:paraId="60FF748F" w14:textId="2F8A4F9C" w:rsidR="00F80852" w:rsidRDefault="00F80852">
      <w:pPr>
        <w:pStyle w:val="FootnoteText"/>
      </w:pPr>
      <w:r>
        <w:rPr>
          <w:rStyle w:val="FootnoteReference"/>
        </w:rPr>
        <w:footnoteRef/>
      </w:r>
      <w:r>
        <w:t xml:space="preserve"> </w:t>
      </w:r>
      <w:r w:rsidR="005F75EC">
        <w:t xml:space="preserve">Cal. </w:t>
      </w:r>
      <w:r>
        <w:t>Pub</w:t>
      </w:r>
      <w:r w:rsidR="005F75EC">
        <w:t>.</w:t>
      </w:r>
      <w:r>
        <w:t xml:space="preserve"> </w:t>
      </w:r>
      <w:r w:rsidR="005F75EC">
        <w:t xml:space="preserve">Util. </w:t>
      </w:r>
      <w:r>
        <w:t>Code § 280(g)</w:t>
      </w:r>
      <w:r w:rsidR="005F75EC">
        <w:t>.</w:t>
      </w:r>
    </w:p>
  </w:footnote>
  <w:footnote w:id="9">
    <w:p w14:paraId="1936955C" w14:textId="514CBB67" w:rsidR="007D4240" w:rsidRDefault="007D4240" w:rsidP="007D4240">
      <w:pPr>
        <w:pStyle w:val="FootnoteText"/>
        <w:spacing w:after="120"/>
      </w:pPr>
      <w:r>
        <w:rPr>
          <w:rStyle w:val="FootnoteReference"/>
        </w:rPr>
        <w:footnoteRef/>
      </w:r>
      <w:r>
        <w:t xml:space="preserve"> </w:t>
      </w:r>
      <w:r w:rsidRPr="007D4240">
        <w:t>Alpine, Calaveras, Colusa, Del Norte, Inyo, Lake, Lassen, Madera, Mono, Siskiyou, Sutter, and Trinity counties</w:t>
      </w:r>
    </w:p>
  </w:footnote>
  <w:footnote w:id="10">
    <w:p w14:paraId="365B3F25" w14:textId="37FBD5D5" w:rsidR="00E777D6" w:rsidRDefault="00E777D6" w:rsidP="00E777D6">
      <w:pPr>
        <w:pStyle w:val="FootnoteText"/>
      </w:pPr>
      <w:r>
        <w:rPr>
          <w:rStyle w:val="FootnoteReference"/>
        </w:rPr>
        <w:footnoteRef/>
      </w:r>
      <w:r>
        <w:t xml:space="preserve"> </w:t>
      </w:r>
      <w:r w:rsidRPr="00EC6800">
        <w:rPr>
          <w:i/>
          <w:iCs/>
        </w:rPr>
        <w:t>See</w:t>
      </w:r>
      <w:r w:rsidR="009D432F">
        <w:rPr>
          <w:i/>
          <w:iCs/>
        </w:rPr>
        <w:t>,</w:t>
      </w:r>
      <w:r>
        <w:t xml:space="preserve"> Res</w:t>
      </w:r>
      <w:r w:rsidR="009D432F">
        <w:t>.</w:t>
      </w:r>
      <w:r>
        <w:t xml:space="preserve"> T-17679, </w:t>
      </w:r>
      <w:r w:rsidR="009D432F">
        <w:t xml:space="preserve">dated </w:t>
      </w:r>
      <w:r>
        <w:t>November 12, 2019</w:t>
      </w:r>
      <w:r w:rsidR="009D432F">
        <w:t>.</w:t>
      </w:r>
      <w:r w:rsidRPr="007D4240">
        <w:t xml:space="preserve"> </w:t>
      </w:r>
      <w:hyperlink r:id="rId3" w:history="1">
        <w:r w:rsidRPr="00460BAA">
          <w:rPr>
            <w:rStyle w:val="Hyperlink"/>
          </w:rPr>
          <w:t>https://docs.cpuc.ca.gov/PublishedDocs/Published/G000/M319/K519/319519393.PDF</w:t>
        </w:r>
      </w:hyperlink>
    </w:p>
    <w:p w14:paraId="65923758" w14:textId="77777777" w:rsidR="00E777D6" w:rsidRDefault="00E777D6" w:rsidP="00E777D6">
      <w:pPr>
        <w:pStyle w:val="FootnoteText"/>
      </w:pPr>
      <w:r>
        <w:t xml:space="preserve">  </w:t>
      </w:r>
    </w:p>
  </w:footnote>
  <w:footnote w:id="11">
    <w:p w14:paraId="31861B40" w14:textId="12E3AA58" w:rsidR="00F80062" w:rsidRDefault="00F80062" w:rsidP="00F80062">
      <w:pPr>
        <w:pStyle w:val="FootnoteText"/>
        <w:spacing w:after="120"/>
      </w:pPr>
      <w:r w:rsidRPr="00082C74">
        <w:rPr>
          <w:rStyle w:val="FootnoteReference"/>
        </w:rPr>
        <w:footnoteRef/>
      </w:r>
      <w:r w:rsidRPr="00082C74">
        <w:t xml:space="preserve"> The terms “application letter</w:t>
      </w:r>
      <w:r w:rsidR="009D432F">
        <w:t>,</w:t>
      </w:r>
      <w:r w:rsidRPr="00082C74">
        <w:t>” “letter</w:t>
      </w:r>
      <w:r w:rsidR="009D432F">
        <w:t>,</w:t>
      </w:r>
      <w:r w:rsidRPr="00082C74">
        <w:t xml:space="preserve">” and “application” used herein mean the package of materials the prospective I&amp;R provider </w:t>
      </w:r>
      <w:r w:rsidR="009D432F">
        <w:t>submits</w:t>
      </w:r>
      <w:r w:rsidR="009D432F" w:rsidRPr="00082C74">
        <w:t xml:space="preserve"> </w:t>
      </w:r>
      <w:r w:rsidR="009D432F">
        <w:t xml:space="preserve">to </w:t>
      </w:r>
      <w:r w:rsidRPr="00082C74">
        <w:t>the Commission by letter to the Executive</w:t>
      </w:r>
      <w:r>
        <w:t xml:space="preserve"> Director, as specified in D.03-02-029, and are not a formal application to the Commission as described in the Commission’s Rules of Practice and Procedure. </w:t>
      </w:r>
    </w:p>
  </w:footnote>
  <w:footnote w:id="12">
    <w:p w14:paraId="350C3A77" w14:textId="77777777" w:rsidR="00917037" w:rsidRDefault="00917037" w:rsidP="00917037">
      <w:pPr>
        <w:pStyle w:val="FootnoteText"/>
      </w:pPr>
      <w:r>
        <w:rPr>
          <w:rStyle w:val="FootnoteReference"/>
        </w:rPr>
        <w:footnoteRef/>
      </w:r>
      <w:r>
        <w:t xml:space="preserve"> </w:t>
      </w:r>
      <w:r>
        <w:rPr>
          <w:i/>
          <w:iCs/>
        </w:rPr>
        <w:t>Id.</w:t>
      </w:r>
      <w:r>
        <w:t>, p. 3.</w:t>
      </w:r>
    </w:p>
  </w:footnote>
  <w:footnote w:id="13">
    <w:p w14:paraId="652E9456" w14:textId="7BAEEBC9" w:rsidR="005D5069" w:rsidRDefault="005D5069">
      <w:pPr>
        <w:pStyle w:val="FootnoteText"/>
      </w:pPr>
      <w:r>
        <w:rPr>
          <w:rStyle w:val="FootnoteReference"/>
        </w:rPr>
        <w:footnoteRef/>
      </w:r>
      <w:r>
        <w:t xml:space="preserve"> County Health &amp; Human Services Agency Departments (DSS, BH, Veterans, PH), Infant Child Enrichment Services (ICES), Amador Tuolumne Community Action Agency (ATCAA), FIRST 5, Adventist Health Sonora, Healthcare Providers, Tribal Medical, Behavioral Health, and Social Services, Interfaith Community Social Services, Food Banks, Nancy’s Hope, and Area 12 Agency on Aging. </w:t>
      </w:r>
      <w:r w:rsidRPr="00EC6800">
        <w:rPr>
          <w:i/>
          <w:iCs/>
        </w:rPr>
        <w:t>Lead Agency Application_211 Tuolumne County</w:t>
      </w:r>
      <w:r>
        <w:t>, p. 2.</w:t>
      </w:r>
    </w:p>
  </w:footnote>
  <w:footnote w:id="14">
    <w:p w14:paraId="105AC9F3" w14:textId="430AB448" w:rsidR="00696C4C" w:rsidRDefault="00696C4C">
      <w:pPr>
        <w:pStyle w:val="FootnoteText"/>
      </w:pPr>
      <w:r>
        <w:rPr>
          <w:rStyle w:val="FootnoteReference"/>
        </w:rPr>
        <w:footnoteRef/>
      </w:r>
      <w:r w:rsidR="0084577C">
        <w:t xml:space="preserve"> </w:t>
      </w:r>
      <w:r w:rsidR="0084577C">
        <w:rPr>
          <w:i/>
          <w:iCs/>
        </w:rPr>
        <w:t>Id.</w:t>
      </w:r>
      <w:r>
        <w:t>, p</w:t>
      </w:r>
      <w:r w:rsidR="009B469D">
        <w:t>p</w:t>
      </w:r>
      <w:r>
        <w:t>. 1</w:t>
      </w:r>
      <w:r w:rsidR="009B469D">
        <w:t>-2.</w:t>
      </w:r>
    </w:p>
  </w:footnote>
  <w:footnote w:id="15">
    <w:p w14:paraId="3CD4879C" w14:textId="0CB2FE7C" w:rsidR="00C04056" w:rsidRDefault="00C04056">
      <w:pPr>
        <w:pStyle w:val="FootnoteText"/>
      </w:pPr>
      <w:r>
        <w:rPr>
          <w:rStyle w:val="FootnoteReference"/>
        </w:rPr>
        <w:footnoteRef/>
      </w:r>
      <w:r>
        <w:t xml:space="preserve"> </w:t>
      </w:r>
      <w:r w:rsidR="0084577C">
        <w:rPr>
          <w:i/>
          <w:iCs/>
        </w:rPr>
        <w:t>Id.</w:t>
      </w:r>
      <w:r>
        <w:t>, p. 2.</w:t>
      </w:r>
    </w:p>
  </w:footnote>
  <w:footnote w:id="16">
    <w:p w14:paraId="366D203D" w14:textId="7AD45E22" w:rsidR="00656132" w:rsidRDefault="00656132" w:rsidP="00656132">
      <w:pPr>
        <w:pStyle w:val="FootnoteText"/>
      </w:pPr>
      <w:r>
        <w:rPr>
          <w:rStyle w:val="FootnoteReference"/>
        </w:rPr>
        <w:footnoteRef/>
      </w:r>
      <w:r>
        <w:t xml:space="preserve"> </w:t>
      </w:r>
      <w:r w:rsidR="00A914F0">
        <w:t>Id.</w:t>
      </w:r>
      <w:r>
        <w:t>, p. 1.</w:t>
      </w:r>
    </w:p>
  </w:footnote>
  <w:footnote w:id="17">
    <w:p w14:paraId="0C85D250" w14:textId="49D983BC" w:rsidR="008F15AE" w:rsidRDefault="008F15AE">
      <w:pPr>
        <w:pStyle w:val="FootnoteText"/>
      </w:pPr>
      <w:r>
        <w:rPr>
          <w:rStyle w:val="FootnoteReference"/>
        </w:rPr>
        <w:footnoteRef/>
      </w:r>
      <w:r>
        <w:t xml:space="preserve"> </w:t>
      </w:r>
      <w:r w:rsidR="0084577C">
        <w:rPr>
          <w:i/>
          <w:iCs/>
        </w:rPr>
        <w:t>Id.</w:t>
      </w:r>
      <w:r>
        <w:t>, pp. 3-4.</w:t>
      </w:r>
    </w:p>
  </w:footnote>
  <w:footnote w:id="18">
    <w:p w14:paraId="083D8AC4" w14:textId="5C3CD1D4" w:rsidR="00BB64C7" w:rsidRDefault="00BB64C7">
      <w:pPr>
        <w:pStyle w:val="FootnoteText"/>
      </w:pPr>
      <w:r>
        <w:rPr>
          <w:rStyle w:val="FootnoteReference"/>
        </w:rPr>
        <w:footnoteRef/>
      </w:r>
      <w:r>
        <w:t xml:space="preserve"> </w:t>
      </w:r>
      <w:r w:rsidR="0084577C">
        <w:rPr>
          <w:i/>
          <w:iCs/>
        </w:rPr>
        <w:t>Id.</w:t>
      </w:r>
      <w:r>
        <w:t>, p. 4.</w:t>
      </w:r>
    </w:p>
  </w:footnote>
  <w:footnote w:id="19">
    <w:p w14:paraId="6B700076" w14:textId="244A9705" w:rsidR="00C836B3" w:rsidRPr="00E91028" w:rsidRDefault="00C836B3" w:rsidP="00E91028">
      <w:pPr>
        <w:pStyle w:val="NoSpacing"/>
      </w:pPr>
      <w:r w:rsidRPr="00E91028">
        <w:rPr>
          <w:rStyle w:val="FootnoteReference"/>
        </w:rPr>
        <w:footnoteRef/>
      </w:r>
      <w:r w:rsidRPr="00E91028">
        <w:t xml:space="preserve"> </w:t>
      </w:r>
      <w:r w:rsidR="0084577C">
        <w:rPr>
          <w:i/>
          <w:iCs/>
        </w:rPr>
        <w:t>Id.</w:t>
      </w:r>
    </w:p>
  </w:footnote>
  <w:footnote w:id="20">
    <w:p w14:paraId="54B8ADE3" w14:textId="5C906EF6" w:rsidR="008C6EF2" w:rsidRPr="00E91028" w:rsidRDefault="008C6EF2" w:rsidP="00E91028">
      <w:pPr>
        <w:pStyle w:val="NoSpacing"/>
      </w:pPr>
      <w:r w:rsidRPr="00E91028">
        <w:rPr>
          <w:rStyle w:val="FootnoteReference"/>
        </w:rPr>
        <w:footnoteRef/>
      </w:r>
      <w:r w:rsidRPr="00E91028">
        <w:t xml:space="preserve"> </w:t>
      </w:r>
      <w:r w:rsidR="0084577C">
        <w:rPr>
          <w:i/>
          <w:iCs/>
        </w:rPr>
        <w:t>Id.</w:t>
      </w:r>
    </w:p>
  </w:footnote>
  <w:footnote w:id="21">
    <w:p w14:paraId="0E09664F" w14:textId="6BD97A8B" w:rsidR="00C7705F" w:rsidRPr="00E91028" w:rsidRDefault="00C7705F" w:rsidP="00E91028">
      <w:pPr>
        <w:pStyle w:val="NoSpacing"/>
      </w:pPr>
      <w:r w:rsidRPr="00E91028">
        <w:rPr>
          <w:rStyle w:val="FootnoteReference"/>
        </w:rPr>
        <w:footnoteRef/>
      </w:r>
      <w:r w:rsidRPr="00E91028">
        <w:t xml:space="preserve"> </w:t>
      </w:r>
      <w:hyperlink r:id="rId4" w:history="1">
        <w:r w:rsidRPr="00E91028">
          <w:rPr>
            <w:rStyle w:val="Hyperlink"/>
          </w:rPr>
          <w:t>Financial Data | Tuolumne County, CA - Official Website</w:t>
        </w:r>
      </w:hyperlink>
      <w:r w:rsidRPr="00E91028">
        <w:t>.</w:t>
      </w:r>
    </w:p>
  </w:footnote>
  <w:footnote w:id="22">
    <w:p w14:paraId="0D915D76" w14:textId="4E38D537" w:rsidR="00D23C17" w:rsidRPr="00E91028" w:rsidRDefault="00D23C17" w:rsidP="00E91028">
      <w:pPr>
        <w:pStyle w:val="NoSpacing"/>
      </w:pPr>
      <w:r w:rsidRPr="00E91028">
        <w:rPr>
          <w:rStyle w:val="FootnoteReference"/>
        </w:rPr>
        <w:footnoteRef/>
      </w:r>
      <w:r w:rsidRPr="00E91028">
        <w:t xml:space="preserve"> The 2-1-1 service must cover at least one county.</w:t>
      </w:r>
    </w:p>
  </w:footnote>
  <w:footnote w:id="23">
    <w:p w14:paraId="493161F7" w14:textId="51277543" w:rsidR="00D23C17" w:rsidRPr="00E91028" w:rsidRDefault="00D23C17" w:rsidP="00E91028">
      <w:pPr>
        <w:pStyle w:val="NoSpacing"/>
      </w:pPr>
      <w:r w:rsidRPr="00E91028">
        <w:rPr>
          <w:rStyle w:val="FootnoteReference"/>
        </w:rPr>
        <w:footnoteRef/>
      </w:r>
      <w:r w:rsidRPr="00E91028">
        <w:t xml:space="preserve"> 2-1-1 service providers cannot accept fees from organizations in return for referrals.</w:t>
      </w:r>
    </w:p>
  </w:footnote>
  <w:footnote w:id="24">
    <w:p w14:paraId="15A853ED" w14:textId="6D9563D0" w:rsidR="00613BD6" w:rsidRPr="00E91028" w:rsidRDefault="00613BD6" w:rsidP="00E91028">
      <w:pPr>
        <w:pStyle w:val="NoSpacing"/>
      </w:pPr>
      <w:r w:rsidRPr="00E91028">
        <w:rPr>
          <w:rStyle w:val="FootnoteReference"/>
        </w:rPr>
        <w:footnoteRef/>
      </w:r>
      <w:r w:rsidRPr="00E91028">
        <w:t xml:space="preserve"> 2-1-1 services must be provided free of charge and without commercials or advertising. Recognition of supporters is allowed on printed materials.</w:t>
      </w:r>
    </w:p>
  </w:footnote>
  <w:footnote w:id="25">
    <w:p w14:paraId="4096EC98" w14:textId="17230432" w:rsidR="00B60BD2" w:rsidRPr="00E91028" w:rsidRDefault="00B60BD2" w:rsidP="00E91028">
      <w:pPr>
        <w:pStyle w:val="NoSpacing"/>
      </w:pPr>
      <w:r w:rsidRPr="00E91028">
        <w:rPr>
          <w:rStyle w:val="FootnoteReference"/>
        </w:rPr>
        <w:footnoteRef/>
      </w:r>
      <w:r w:rsidRPr="00E91028">
        <w:t xml:space="preserve"> 2-1-1 service must be provided by live call takers 24/7.</w:t>
      </w:r>
    </w:p>
  </w:footnote>
  <w:footnote w:id="26">
    <w:p w14:paraId="60847A4A" w14:textId="55545A2C" w:rsidR="00B60BD2" w:rsidRPr="00E91028" w:rsidRDefault="00B60BD2" w:rsidP="00E91028">
      <w:pPr>
        <w:pStyle w:val="NoSpacing"/>
      </w:pPr>
      <w:r w:rsidRPr="00E91028">
        <w:rPr>
          <w:rStyle w:val="FootnoteReference"/>
        </w:rPr>
        <w:footnoteRef/>
      </w:r>
      <w:r w:rsidRPr="00E91028">
        <w:t xml:space="preserve"> After-hours 2-1-1 services may be provided by another organization, but service delivery standards must be maintained.</w:t>
      </w:r>
    </w:p>
  </w:footnote>
  <w:footnote w:id="27">
    <w:p w14:paraId="59D2D1B8" w14:textId="42B1ACF3" w:rsidR="00B60BD2" w:rsidRPr="00E91028" w:rsidRDefault="00B60BD2" w:rsidP="00E91028">
      <w:pPr>
        <w:pStyle w:val="NoSpacing"/>
      </w:pPr>
      <w:r w:rsidRPr="00E91028">
        <w:rPr>
          <w:rStyle w:val="FootnoteReference"/>
        </w:rPr>
        <w:footnoteRef/>
      </w:r>
      <w:r w:rsidRPr="00E91028">
        <w:t xml:space="preserve"> 2-1-1 service must be accessible 24/7, regardless of language or disability</w:t>
      </w:r>
      <w:r w:rsidR="00F335C9" w:rsidRPr="00E91028">
        <w:t>.</w:t>
      </w:r>
    </w:p>
  </w:footnote>
  <w:footnote w:id="28">
    <w:p w14:paraId="7437E43A" w14:textId="490CB232" w:rsidR="00F335C9" w:rsidRPr="00E91028" w:rsidRDefault="00F335C9" w:rsidP="00E91028">
      <w:pPr>
        <w:pStyle w:val="NoSpacing"/>
      </w:pPr>
      <w:r w:rsidRPr="00E91028">
        <w:rPr>
          <w:rStyle w:val="FootnoteReference"/>
        </w:rPr>
        <w:footnoteRef/>
      </w:r>
      <w:r w:rsidRPr="00E91028">
        <w:t xml:space="preserve"> </w:t>
      </w:r>
      <w:r w:rsidRPr="00EC6800">
        <w:rPr>
          <w:i/>
          <w:iCs/>
        </w:rPr>
        <w:t>Lead Agency Application_211 Tuolumne County</w:t>
      </w:r>
      <w:r w:rsidRPr="00E91028">
        <w:t>, p</w:t>
      </w:r>
      <w:r w:rsidR="000F1195">
        <w:t>p</w:t>
      </w:r>
      <w:r w:rsidRPr="00E91028">
        <w:t>. 7</w:t>
      </w:r>
      <w:r w:rsidR="000F1195">
        <w:t>-8</w:t>
      </w:r>
      <w:r w:rsidRPr="00E91028">
        <w:t>.</w:t>
      </w:r>
    </w:p>
  </w:footnote>
  <w:footnote w:id="29">
    <w:p w14:paraId="0A629F9A" w14:textId="42727B0B" w:rsidR="00724DA0" w:rsidRDefault="00724DA0">
      <w:pPr>
        <w:pStyle w:val="FootnoteText"/>
      </w:pPr>
      <w:r>
        <w:rPr>
          <w:rStyle w:val="FootnoteReference"/>
        </w:rPr>
        <w:footnoteRef/>
      </w:r>
      <w:r>
        <w:t xml:space="preserve"> AIRS’ guidelines are the basis for the service delivery standards associated with </w:t>
      </w:r>
      <w:r w:rsidR="00933627">
        <w:t xml:space="preserve">the </w:t>
      </w:r>
      <w:r>
        <w:t xml:space="preserve">use of the 2-1-1 dialing code as specified by D.03-02-029. </w:t>
      </w:r>
      <w:r w:rsidR="006F32BF" w:rsidRPr="00EC6800">
        <w:rPr>
          <w:i/>
          <w:iCs/>
        </w:rPr>
        <w:t>See</w:t>
      </w:r>
      <w:r w:rsidR="006F32BF">
        <w:t>, D.03-02-029</w:t>
      </w:r>
      <w:r w:rsidR="004809D0" w:rsidRPr="00A313FB">
        <w:t xml:space="preserve">, </w:t>
      </w:r>
      <w:r w:rsidR="004809D0" w:rsidRPr="00FC5035">
        <w:t xml:space="preserve">p. </w:t>
      </w:r>
      <w:r w:rsidR="00A313FB">
        <w:t>13</w:t>
      </w:r>
      <w:r w:rsidR="004809D0">
        <w:t>.</w:t>
      </w:r>
    </w:p>
  </w:footnote>
  <w:footnote w:id="30">
    <w:p w14:paraId="09BEC63D" w14:textId="4D965C6A" w:rsidR="00B46FB0" w:rsidRDefault="00B46FB0" w:rsidP="00B46FB0">
      <w:pPr>
        <w:pStyle w:val="FootnoteText"/>
      </w:pPr>
      <w:r>
        <w:rPr>
          <w:rStyle w:val="FootnoteReference"/>
        </w:rPr>
        <w:footnoteRef/>
      </w:r>
      <w:r>
        <w:t xml:space="preserve"> </w:t>
      </w:r>
      <w:r w:rsidR="005D0E5F" w:rsidRPr="00E91028">
        <w:t>Lead Agency Application_211 Tuolumne County,</w:t>
      </w:r>
      <w:r w:rsidR="005D0E5F">
        <w:t xml:space="preserve"> Attachment 4-1,</w:t>
      </w:r>
      <w:r w:rsidR="005D0E5F" w:rsidRPr="00E91028">
        <w:t xml:space="preserve"> p</w:t>
      </w:r>
      <w:r w:rsidR="005D0E5F">
        <w:t>p</w:t>
      </w:r>
      <w:r w:rsidR="005D0E5F" w:rsidRPr="00E91028">
        <w:t xml:space="preserve">. </w:t>
      </w:r>
      <w:r w:rsidR="005D0E5F">
        <w:t>210-224</w:t>
      </w:r>
      <w:r w:rsidR="005D0E5F" w:rsidRPr="00E91028">
        <w:t>.</w:t>
      </w:r>
    </w:p>
  </w:footnote>
  <w:footnote w:id="31">
    <w:p w14:paraId="25CD2D9A" w14:textId="705805BA" w:rsidR="00091A0C" w:rsidRDefault="00091A0C">
      <w:pPr>
        <w:pStyle w:val="FootnoteText"/>
      </w:pPr>
      <w:r>
        <w:rPr>
          <w:rStyle w:val="FootnoteReference"/>
        </w:rPr>
        <w:footnoteRef/>
      </w:r>
      <w:r>
        <w:t xml:space="preserve"> Questions on 211 Tuolumne County Application – Response,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CF36" w14:textId="30B79452" w:rsidR="00032A1D" w:rsidRPr="00252A7F" w:rsidRDefault="00CE5A4A" w:rsidP="00FE4A0D">
    <w:pPr>
      <w:pStyle w:val="Header"/>
      <w:tabs>
        <w:tab w:val="clear" w:pos="8640"/>
        <w:tab w:val="right" w:pos="9450"/>
      </w:tabs>
      <w:rPr>
        <w:rFonts w:ascii="Palatino" w:hAnsi="Palatino"/>
        <w:sz w:val="24"/>
        <w:lang w:val="de-DE"/>
      </w:rPr>
    </w:pPr>
    <w:r w:rsidRPr="00252A7F">
      <w:rPr>
        <w:rFonts w:ascii="Palatino" w:hAnsi="Palatino"/>
        <w:sz w:val="24"/>
        <w:lang w:val="de-DE"/>
      </w:rPr>
      <w:t>Resolution T</w:t>
    </w:r>
    <w:r w:rsidR="00832BE8" w:rsidRPr="00252A7F">
      <w:rPr>
        <w:rFonts w:ascii="Palatino" w:hAnsi="Palatino"/>
        <w:sz w:val="24"/>
        <w:lang w:val="de-DE"/>
      </w:rPr>
      <w:t>-17</w:t>
    </w:r>
    <w:r w:rsidR="003A1B0E" w:rsidRPr="00252A7F">
      <w:rPr>
        <w:rFonts w:ascii="Palatino" w:hAnsi="Palatino"/>
        <w:sz w:val="24"/>
        <w:lang w:val="de-DE"/>
      </w:rPr>
      <w:t>8</w:t>
    </w:r>
    <w:r w:rsidR="00D6435D">
      <w:rPr>
        <w:rFonts w:ascii="Palatino" w:hAnsi="Palatino"/>
        <w:sz w:val="24"/>
        <w:lang w:val="de-DE"/>
      </w:rPr>
      <w:t>11</w:t>
    </w:r>
    <w:r w:rsidR="00A857B1" w:rsidRPr="00252A7F">
      <w:rPr>
        <w:rFonts w:ascii="Palatino" w:hAnsi="Palatino"/>
        <w:sz w:val="24"/>
        <w:lang w:val="de-DE"/>
      </w:rPr>
      <w:t xml:space="preserve">                                   </w:t>
    </w:r>
    <w:r w:rsidR="00A94744" w:rsidRPr="00252A7F">
      <w:rPr>
        <w:rFonts w:ascii="Palatino" w:hAnsi="Palatino"/>
        <w:sz w:val="24"/>
        <w:lang w:val="de-DE"/>
      </w:rPr>
      <w:tab/>
    </w:r>
    <w:r w:rsidR="004A5826" w:rsidRPr="00252A7F">
      <w:rPr>
        <w:rFonts w:ascii="Palatino" w:hAnsi="Palatino"/>
        <w:sz w:val="24"/>
        <w:lang w:val="de-DE"/>
      </w:rPr>
      <w:t xml:space="preserve">       Draft                                      </w:t>
    </w:r>
    <w:r w:rsidR="005525AC">
      <w:rPr>
        <w:rFonts w:ascii="Palatino" w:hAnsi="Palatino"/>
        <w:sz w:val="24"/>
        <w:lang w:val="de-DE"/>
      </w:rPr>
      <w:t>January 11</w:t>
    </w:r>
    <w:r w:rsidR="00377A87" w:rsidRPr="00252A7F">
      <w:rPr>
        <w:rFonts w:ascii="Palatino" w:hAnsi="Palatino"/>
        <w:sz w:val="24"/>
        <w:lang w:val="de-DE"/>
      </w:rPr>
      <w:t>, 2023</w:t>
    </w:r>
    <w:r w:rsidR="00A94744" w:rsidRPr="00252A7F">
      <w:rPr>
        <w:rFonts w:ascii="Palatino" w:hAnsi="Palatino"/>
        <w:sz w:val="24"/>
        <w:lang w:val="de-DE"/>
      </w:rPr>
      <w:tab/>
    </w:r>
    <w:r w:rsidR="00A857B1" w:rsidRPr="00252A7F">
      <w:rPr>
        <w:rFonts w:ascii="Palatino" w:hAnsi="Palatino"/>
        <w:sz w:val="24"/>
        <w:lang w:val="de-DE"/>
      </w:rPr>
      <w:t xml:space="preserve">                                                </w:t>
    </w:r>
  </w:p>
  <w:p w14:paraId="1815FD25" w14:textId="1AF82526" w:rsidR="00F95D77" w:rsidRPr="00252A7F" w:rsidRDefault="00CE5A4A">
    <w:pPr>
      <w:pStyle w:val="Header"/>
      <w:rPr>
        <w:rFonts w:ascii="Palatino" w:hAnsi="Palatino"/>
        <w:sz w:val="24"/>
        <w:lang w:val="de-DE"/>
      </w:rPr>
    </w:pPr>
    <w:r w:rsidRPr="00252A7F">
      <w:rPr>
        <w:rFonts w:ascii="Palatino" w:hAnsi="Palatino"/>
        <w:sz w:val="24"/>
        <w:lang w:val="de-DE"/>
      </w:rPr>
      <w:t>CD/</w:t>
    </w:r>
    <w:r w:rsidR="003A1B0E" w:rsidRPr="00252A7F">
      <w:rPr>
        <w:rFonts w:ascii="Palatino" w:hAnsi="Palatino"/>
        <w:sz w:val="24"/>
        <w:lang w:val="de-DE"/>
      </w:rPr>
      <w:t>LK</w:t>
    </w:r>
  </w:p>
  <w:p w14:paraId="0EDA6AFE" w14:textId="77777777" w:rsidR="00F95D77" w:rsidRPr="00252A7F" w:rsidRDefault="00F95D77">
    <w:pPr>
      <w:pStyle w:val="Header"/>
      <w:rPr>
        <w:rFonts w:ascii="Palatino" w:hAnsi="Palatino"/>
        <w:sz w:val="24"/>
        <w:lang w:val="de-DE"/>
      </w:rPr>
    </w:pPr>
  </w:p>
  <w:p w14:paraId="11B453C4" w14:textId="77777777" w:rsidR="00635959" w:rsidRPr="00252A7F" w:rsidRDefault="00635959">
    <w:pP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3857" w14:textId="77777777" w:rsidR="00DD10B4" w:rsidRDefault="00DD10B4">
    <w:pPr>
      <w:rPr>
        <w:rFonts w:ascii="Palatino" w:hAnsi="Palatino"/>
        <w:sz w:val="24"/>
      </w:rPr>
    </w:pPr>
    <w:r>
      <w:rPr>
        <w:rFonts w:ascii="Palatino" w:hAnsi="Palatino"/>
        <w:sz w:val="24"/>
      </w:rPr>
      <w:tab/>
    </w:r>
    <w:r>
      <w:rPr>
        <w:rFonts w:ascii="Palatino" w:hAnsi="Palatino"/>
        <w:sz w:val="24"/>
      </w:rPr>
      <w:tab/>
    </w:r>
    <w:r>
      <w:rPr>
        <w:rFonts w:ascii="Palatino" w:hAnsi="Palatino"/>
        <w:sz w:val="24"/>
      </w:rPr>
      <w:tab/>
    </w:r>
  </w:p>
  <w:p w14:paraId="16A85F1B" w14:textId="166E032A" w:rsidR="002D3835" w:rsidRPr="009E2D89" w:rsidRDefault="00175742">
    <w:pPr>
      <w:rPr>
        <w:rFonts w:ascii="Palatino" w:hAnsi="Palatino"/>
        <w:sz w:val="24"/>
        <w:lang w:val="de-DE"/>
      </w:rPr>
    </w:pPr>
    <w:r w:rsidRPr="009E2D89">
      <w:rPr>
        <w:rFonts w:ascii="Palatino" w:hAnsi="Palatino"/>
        <w:sz w:val="24"/>
        <w:lang w:val="de-DE"/>
      </w:rPr>
      <w:t>Resolution T</w:t>
    </w:r>
    <w:r w:rsidR="00832BE8" w:rsidRPr="009E2D89">
      <w:rPr>
        <w:rFonts w:ascii="Palatino" w:hAnsi="Palatino"/>
        <w:sz w:val="24"/>
        <w:lang w:val="de-DE"/>
      </w:rPr>
      <w:t>-</w:t>
    </w:r>
    <w:r w:rsidR="009D1177" w:rsidRPr="009E2D89">
      <w:rPr>
        <w:lang w:val="de-DE"/>
      </w:rPr>
      <w:t xml:space="preserve"> </w:t>
    </w:r>
    <w:r w:rsidR="009E2D89">
      <w:rPr>
        <w:rFonts w:ascii="Palatino" w:hAnsi="Palatino"/>
        <w:sz w:val="24"/>
        <w:lang w:val="de-DE"/>
      </w:rPr>
      <w:t>178</w:t>
    </w:r>
    <w:r w:rsidR="00252A7F">
      <w:rPr>
        <w:rFonts w:ascii="Palatino" w:hAnsi="Palatino"/>
        <w:sz w:val="24"/>
        <w:lang w:val="de-DE"/>
      </w:rPr>
      <w:t>11</w:t>
    </w:r>
    <w:r w:rsidR="00A50438" w:rsidRPr="009E2D89">
      <w:rPr>
        <w:rFonts w:ascii="Palatino" w:hAnsi="Palatino"/>
        <w:sz w:val="24"/>
        <w:lang w:val="de-DE"/>
      </w:rPr>
      <w:t xml:space="preserve">                          </w:t>
    </w:r>
    <w:r w:rsidR="004A5826" w:rsidRPr="009E2D89">
      <w:rPr>
        <w:rFonts w:ascii="Palatino" w:hAnsi="Palatino"/>
        <w:sz w:val="24"/>
        <w:lang w:val="de-DE"/>
      </w:rPr>
      <w:t xml:space="preserve">                Draft                                       Agenda ID #</w:t>
    </w:r>
    <w:r w:rsidR="005525AC">
      <w:rPr>
        <w:rFonts w:ascii="Palatino" w:hAnsi="Palatino"/>
        <w:sz w:val="24"/>
        <w:lang w:val="de-DE"/>
      </w:rPr>
      <w:t xml:space="preserve"> 22142</w:t>
    </w:r>
  </w:p>
  <w:p w14:paraId="5FF12F01" w14:textId="1688CB2A" w:rsidR="00CE5A4A" w:rsidRPr="00573C73" w:rsidRDefault="00CE5A4A">
    <w:pPr>
      <w:rPr>
        <w:rFonts w:ascii="Palatino" w:hAnsi="Palatino"/>
        <w:sz w:val="24"/>
      </w:rPr>
    </w:pPr>
    <w:r>
      <w:rPr>
        <w:rFonts w:ascii="Palatino" w:hAnsi="Palatino"/>
        <w:sz w:val="24"/>
      </w:rPr>
      <w:t>CD/</w:t>
    </w:r>
    <w:r w:rsidR="00612AAC">
      <w:rPr>
        <w:rFonts w:ascii="Palatino" w:hAnsi="Palatino"/>
        <w:sz w:val="24"/>
      </w:rPr>
      <w:t>LK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1A65"/>
    <w:multiLevelType w:val="singleLevel"/>
    <w:tmpl w:val="1A2EAA82"/>
    <w:lvl w:ilvl="0">
      <w:start w:val="1"/>
      <w:numFmt w:val="decimal"/>
      <w:pStyle w:val="num1"/>
      <w:lvlText w:val="%1."/>
      <w:legacy w:legacy="1" w:legacySpace="144" w:legacyIndent="0"/>
      <w:lvlJc w:val="left"/>
    </w:lvl>
  </w:abstractNum>
  <w:abstractNum w:abstractNumId="1" w15:restartNumberingAfterBreak="0">
    <w:nsid w:val="332711D5"/>
    <w:multiLevelType w:val="multilevel"/>
    <w:tmpl w:val="7FC047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1C28F5"/>
    <w:multiLevelType w:val="multilevel"/>
    <w:tmpl w:val="131C92DE"/>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15:restartNumberingAfterBreak="0">
    <w:nsid w:val="3FFE3471"/>
    <w:multiLevelType w:val="hybridMultilevel"/>
    <w:tmpl w:val="E6FE4236"/>
    <w:lvl w:ilvl="0" w:tplc="4D04E7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5A614A5"/>
    <w:multiLevelType w:val="multilevel"/>
    <w:tmpl w:val="3CAC0C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810"/>
        </w:tabs>
        <w:ind w:left="810" w:hanging="360"/>
      </w:pPr>
      <w:rPr>
        <w:rFonts w:ascii="Times New Roman" w:eastAsia="Times New Roman" w:hAnsi="Times New Roman" w:cs="Times New Roman"/>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63328E"/>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7C9F37DC"/>
    <w:multiLevelType w:val="multilevel"/>
    <w:tmpl w:val="693454C8"/>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num w:numId="1" w16cid:durableId="1353993020">
    <w:abstractNumId w:val="5"/>
  </w:num>
  <w:num w:numId="2" w16cid:durableId="1044672139">
    <w:abstractNumId w:val="0"/>
  </w:num>
  <w:num w:numId="3" w16cid:durableId="1898971398">
    <w:abstractNumId w:val="3"/>
  </w:num>
  <w:num w:numId="4" w16cid:durableId="91900190">
    <w:abstractNumId w:val="1"/>
  </w:num>
  <w:num w:numId="5" w16cid:durableId="169179505">
    <w:abstractNumId w:val="4"/>
  </w:num>
  <w:num w:numId="6" w16cid:durableId="2106071606">
    <w:abstractNumId w:val="6"/>
  </w:num>
  <w:num w:numId="7" w16cid:durableId="207188455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766"/>
    <w:rsid w:val="00000915"/>
    <w:rsid w:val="00000AA7"/>
    <w:rsid w:val="00001FCE"/>
    <w:rsid w:val="0000288B"/>
    <w:rsid w:val="00002B16"/>
    <w:rsid w:val="00004AE6"/>
    <w:rsid w:val="00004B2D"/>
    <w:rsid w:val="00004B74"/>
    <w:rsid w:val="000079E5"/>
    <w:rsid w:val="00011458"/>
    <w:rsid w:val="000117C8"/>
    <w:rsid w:val="00013210"/>
    <w:rsid w:val="0001542C"/>
    <w:rsid w:val="000157F3"/>
    <w:rsid w:val="00015E66"/>
    <w:rsid w:val="00020D04"/>
    <w:rsid w:val="0002189C"/>
    <w:rsid w:val="000228AE"/>
    <w:rsid w:val="00022B18"/>
    <w:rsid w:val="000275AC"/>
    <w:rsid w:val="00030344"/>
    <w:rsid w:val="0003092F"/>
    <w:rsid w:val="00031CDA"/>
    <w:rsid w:val="00032717"/>
    <w:rsid w:val="00032A1D"/>
    <w:rsid w:val="00033A9E"/>
    <w:rsid w:val="00035D65"/>
    <w:rsid w:val="00037EC0"/>
    <w:rsid w:val="00042029"/>
    <w:rsid w:val="000427F5"/>
    <w:rsid w:val="00042FC5"/>
    <w:rsid w:val="00043F96"/>
    <w:rsid w:val="0004652C"/>
    <w:rsid w:val="00046EBF"/>
    <w:rsid w:val="000473B7"/>
    <w:rsid w:val="0005029B"/>
    <w:rsid w:val="00052A82"/>
    <w:rsid w:val="0005317E"/>
    <w:rsid w:val="00053B1B"/>
    <w:rsid w:val="000544EC"/>
    <w:rsid w:val="000546D1"/>
    <w:rsid w:val="000550DE"/>
    <w:rsid w:val="000555EB"/>
    <w:rsid w:val="00057FAB"/>
    <w:rsid w:val="00060571"/>
    <w:rsid w:val="000616A5"/>
    <w:rsid w:val="0006197D"/>
    <w:rsid w:val="00062BD5"/>
    <w:rsid w:val="00063961"/>
    <w:rsid w:val="000644EE"/>
    <w:rsid w:val="00064AD5"/>
    <w:rsid w:val="0006692E"/>
    <w:rsid w:val="00066F6C"/>
    <w:rsid w:val="0006728C"/>
    <w:rsid w:val="000701DA"/>
    <w:rsid w:val="0007153C"/>
    <w:rsid w:val="00071EEA"/>
    <w:rsid w:val="000722B6"/>
    <w:rsid w:val="000734A3"/>
    <w:rsid w:val="000737A6"/>
    <w:rsid w:val="00074BE2"/>
    <w:rsid w:val="00075759"/>
    <w:rsid w:val="00075EC8"/>
    <w:rsid w:val="00075F49"/>
    <w:rsid w:val="000772F8"/>
    <w:rsid w:val="00081F9B"/>
    <w:rsid w:val="0008268D"/>
    <w:rsid w:val="00082B36"/>
    <w:rsid w:val="00082C74"/>
    <w:rsid w:val="00082CFA"/>
    <w:rsid w:val="00084A53"/>
    <w:rsid w:val="0008543F"/>
    <w:rsid w:val="00086168"/>
    <w:rsid w:val="000875A7"/>
    <w:rsid w:val="0009071C"/>
    <w:rsid w:val="00091A0C"/>
    <w:rsid w:val="00091C16"/>
    <w:rsid w:val="0009253D"/>
    <w:rsid w:val="00093C6D"/>
    <w:rsid w:val="000942AA"/>
    <w:rsid w:val="00097410"/>
    <w:rsid w:val="000979E6"/>
    <w:rsid w:val="000A28BF"/>
    <w:rsid w:val="000A30A9"/>
    <w:rsid w:val="000A33C8"/>
    <w:rsid w:val="000A498E"/>
    <w:rsid w:val="000A651C"/>
    <w:rsid w:val="000B0EF5"/>
    <w:rsid w:val="000B5A2C"/>
    <w:rsid w:val="000B6AD9"/>
    <w:rsid w:val="000C165E"/>
    <w:rsid w:val="000C386E"/>
    <w:rsid w:val="000C45F0"/>
    <w:rsid w:val="000C513A"/>
    <w:rsid w:val="000C6113"/>
    <w:rsid w:val="000D10C1"/>
    <w:rsid w:val="000D1C69"/>
    <w:rsid w:val="000D2483"/>
    <w:rsid w:val="000D2C5B"/>
    <w:rsid w:val="000D7C67"/>
    <w:rsid w:val="000E0A7F"/>
    <w:rsid w:val="000E18F7"/>
    <w:rsid w:val="000E4C88"/>
    <w:rsid w:val="000E538B"/>
    <w:rsid w:val="000E5589"/>
    <w:rsid w:val="000E7520"/>
    <w:rsid w:val="000E75DB"/>
    <w:rsid w:val="000E761C"/>
    <w:rsid w:val="000E7941"/>
    <w:rsid w:val="000E79CE"/>
    <w:rsid w:val="000E7CCA"/>
    <w:rsid w:val="000F00B5"/>
    <w:rsid w:val="000F053C"/>
    <w:rsid w:val="000F0E60"/>
    <w:rsid w:val="000F1195"/>
    <w:rsid w:val="000F3E3D"/>
    <w:rsid w:val="000F4270"/>
    <w:rsid w:val="000F654B"/>
    <w:rsid w:val="000F78DA"/>
    <w:rsid w:val="000F7DB9"/>
    <w:rsid w:val="00100022"/>
    <w:rsid w:val="00100343"/>
    <w:rsid w:val="001024E0"/>
    <w:rsid w:val="00104A17"/>
    <w:rsid w:val="00106D5A"/>
    <w:rsid w:val="0010789F"/>
    <w:rsid w:val="0010790B"/>
    <w:rsid w:val="0011101A"/>
    <w:rsid w:val="00111C14"/>
    <w:rsid w:val="00111EDE"/>
    <w:rsid w:val="00112907"/>
    <w:rsid w:val="00113AE6"/>
    <w:rsid w:val="00113C4E"/>
    <w:rsid w:val="001170E4"/>
    <w:rsid w:val="00117EFD"/>
    <w:rsid w:val="0012081B"/>
    <w:rsid w:val="00120AED"/>
    <w:rsid w:val="00121AF0"/>
    <w:rsid w:val="00122CA3"/>
    <w:rsid w:val="00122E8E"/>
    <w:rsid w:val="00124026"/>
    <w:rsid w:val="0012492C"/>
    <w:rsid w:val="00125DC6"/>
    <w:rsid w:val="0012733A"/>
    <w:rsid w:val="00131869"/>
    <w:rsid w:val="00134354"/>
    <w:rsid w:val="00135B79"/>
    <w:rsid w:val="00140716"/>
    <w:rsid w:val="00141945"/>
    <w:rsid w:val="001434CB"/>
    <w:rsid w:val="00143E9C"/>
    <w:rsid w:val="001446B4"/>
    <w:rsid w:val="00146E5C"/>
    <w:rsid w:val="00147B14"/>
    <w:rsid w:val="00147D6A"/>
    <w:rsid w:val="00150BAD"/>
    <w:rsid w:val="0015246A"/>
    <w:rsid w:val="00152D79"/>
    <w:rsid w:val="001548BA"/>
    <w:rsid w:val="001568E1"/>
    <w:rsid w:val="00156B5C"/>
    <w:rsid w:val="00163F5B"/>
    <w:rsid w:val="00167266"/>
    <w:rsid w:val="00170B3C"/>
    <w:rsid w:val="001732D8"/>
    <w:rsid w:val="00173719"/>
    <w:rsid w:val="00173BE8"/>
    <w:rsid w:val="00174643"/>
    <w:rsid w:val="00174FA9"/>
    <w:rsid w:val="00175742"/>
    <w:rsid w:val="001757D6"/>
    <w:rsid w:val="00182A25"/>
    <w:rsid w:val="00182FB2"/>
    <w:rsid w:val="001836DB"/>
    <w:rsid w:val="00183A38"/>
    <w:rsid w:val="001868A8"/>
    <w:rsid w:val="001904D8"/>
    <w:rsid w:val="0019074D"/>
    <w:rsid w:val="00190C51"/>
    <w:rsid w:val="00195A97"/>
    <w:rsid w:val="00196065"/>
    <w:rsid w:val="001975F8"/>
    <w:rsid w:val="00197B37"/>
    <w:rsid w:val="001A081D"/>
    <w:rsid w:val="001A096F"/>
    <w:rsid w:val="001A17DF"/>
    <w:rsid w:val="001A1F51"/>
    <w:rsid w:val="001A31D0"/>
    <w:rsid w:val="001A3D1B"/>
    <w:rsid w:val="001A4546"/>
    <w:rsid w:val="001A485E"/>
    <w:rsid w:val="001A4D6C"/>
    <w:rsid w:val="001A559C"/>
    <w:rsid w:val="001A6737"/>
    <w:rsid w:val="001B2695"/>
    <w:rsid w:val="001B2B6D"/>
    <w:rsid w:val="001B2B9A"/>
    <w:rsid w:val="001B43D2"/>
    <w:rsid w:val="001B495B"/>
    <w:rsid w:val="001C1359"/>
    <w:rsid w:val="001C1B50"/>
    <w:rsid w:val="001C53B7"/>
    <w:rsid w:val="001C57F9"/>
    <w:rsid w:val="001C61DA"/>
    <w:rsid w:val="001C7415"/>
    <w:rsid w:val="001D0520"/>
    <w:rsid w:val="001D4638"/>
    <w:rsid w:val="001D672D"/>
    <w:rsid w:val="001D69F7"/>
    <w:rsid w:val="001D7950"/>
    <w:rsid w:val="001D7C0D"/>
    <w:rsid w:val="001E0098"/>
    <w:rsid w:val="001E02AF"/>
    <w:rsid w:val="001E162F"/>
    <w:rsid w:val="001E2B15"/>
    <w:rsid w:val="001E399C"/>
    <w:rsid w:val="001E6954"/>
    <w:rsid w:val="001E7865"/>
    <w:rsid w:val="001E7F19"/>
    <w:rsid w:val="001F2B27"/>
    <w:rsid w:val="001F5284"/>
    <w:rsid w:val="001F6270"/>
    <w:rsid w:val="001F6302"/>
    <w:rsid w:val="001F6BC7"/>
    <w:rsid w:val="001F7986"/>
    <w:rsid w:val="0020088E"/>
    <w:rsid w:val="00200AD8"/>
    <w:rsid w:val="00210C95"/>
    <w:rsid w:val="00210EC2"/>
    <w:rsid w:val="00212D91"/>
    <w:rsid w:val="00213F7C"/>
    <w:rsid w:val="00214090"/>
    <w:rsid w:val="00214306"/>
    <w:rsid w:val="002172F2"/>
    <w:rsid w:val="00217E9D"/>
    <w:rsid w:val="002210FB"/>
    <w:rsid w:val="002214F2"/>
    <w:rsid w:val="00221DC9"/>
    <w:rsid w:val="00225559"/>
    <w:rsid w:val="00225FAD"/>
    <w:rsid w:val="00226424"/>
    <w:rsid w:val="00227717"/>
    <w:rsid w:val="0023206B"/>
    <w:rsid w:val="0023332F"/>
    <w:rsid w:val="00233D0E"/>
    <w:rsid w:val="0023441C"/>
    <w:rsid w:val="00235BF7"/>
    <w:rsid w:val="00243875"/>
    <w:rsid w:val="00244E38"/>
    <w:rsid w:val="00246398"/>
    <w:rsid w:val="002472CF"/>
    <w:rsid w:val="0025149E"/>
    <w:rsid w:val="00251ED9"/>
    <w:rsid w:val="002522C0"/>
    <w:rsid w:val="00252A7F"/>
    <w:rsid w:val="00252B71"/>
    <w:rsid w:val="00253E4F"/>
    <w:rsid w:val="0025459C"/>
    <w:rsid w:val="00254E5F"/>
    <w:rsid w:val="002552FC"/>
    <w:rsid w:val="00261514"/>
    <w:rsid w:val="0026496B"/>
    <w:rsid w:val="00264DA5"/>
    <w:rsid w:val="00274636"/>
    <w:rsid w:val="0027579F"/>
    <w:rsid w:val="00276DEF"/>
    <w:rsid w:val="00277435"/>
    <w:rsid w:val="002774D2"/>
    <w:rsid w:val="00281A30"/>
    <w:rsid w:val="00282F9C"/>
    <w:rsid w:val="00283D0F"/>
    <w:rsid w:val="00283DBE"/>
    <w:rsid w:val="00284DF3"/>
    <w:rsid w:val="00286974"/>
    <w:rsid w:val="00287B00"/>
    <w:rsid w:val="00290BB1"/>
    <w:rsid w:val="00290EB1"/>
    <w:rsid w:val="00291B65"/>
    <w:rsid w:val="00293D9A"/>
    <w:rsid w:val="00293F3B"/>
    <w:rsid w:val="00294351"/>
    <w:rsid w:val="00294615"/>
    <w:rsid w:val="00294E8F"/>
    <w:rsid w:val="00295817"/>
    <w:rsid w:val="002959EE"/>
    <w:rsid w:val="00296856"/>
    <w:rsid w:val="00296B86"/>
    <w:rsid w:val="00296D28"/>
    <w:rsid w:val="002A1864"/>
    <w:rsid w:val="002A2368"/>
    <w:rsid w:val="002A2538"/>
    <w:rsid w:val="002A2F72"/>
    <w:rsid w:val="002A51F0"/>
    <w:rsid w:val="002A569B"/>
    <w:rsid w:val="002A572A"/>
    <w:rsid w:val="002A57AB"/>
    <w:rsid w:val="002A5811"/>
    <w:rsid w:val="002A5B86"/>
    <w:rsid w:val="002A5EC5"/>
    <w:rsid w:val="002A60BC"/>
    <w:rsid w:val="002A7568"/>
    <w:rsid w:val="002B0B17"/>
    <w:rsid w:val="002B2289"/>
    <w:rsid w:val="002B3606"/>
    <w:rsid w:val="002B4E2F"/>
    <w:rsid w:val="002C0FF1"/>
    <w:rsid w:val="002C1EDE"/>
    <w:rsid w:val="002C2147"/>
    <w:rsid w:val="002C3013"/>
    <w:rsid w:val="002C549B"/>
    <w:rsid w:val="002C552F"/>
    <w:rsid w:val="002D0C56"/>
    <w:rsid w:val="002D1C10"/>
    <w:rsid w:val="002D1DD2"/>
    <w:rsid w:val="002D2B2A"/>
    <w:rsid w:val="002D3835"/>
    <w:rsid w:val="002D44BD"/>
    <w:rsid w:val="002D4514"/>
    <w:rsid w:val="002D490E"/>
    <w:rsid w:val="002D5702"/>
    <w:rsid w:val="002D5BCC"/>
    <w:rsid w:val="002D60FB"/>
    <w:rsid w:val="002D7037"/>
    <w:rsid w:val="002E116C"/>
    <w:rsid w:val="002E2624"/>
    <w:rsid w:val="002E2DCE"/>
    <w:rsid w:val="002E7A04"/>
    <w:rsid w:val="002F0E8F"/>
    <w:rsid w:val="002F0F3C"/>
    <w:rsid w:val="002F141E"/>
    <w:rsid w:val="002F46D7"/>
    <w:rsid w:val="002F4FBA"/>
    <w:rsid w:val="002F6A27"/>
    <w:rsid w:val="002F7ADA"/>
    <w:rsid w:val="00300D5A"/>
    <w:rsid w:val="00304CA7"/>
    <w:rsid w:val="00304D01"/>
    <w:rsid w:val="0030508C"/>
    <w:rsid w:val="00307413"/>
    <w:rsid w:val="0031151B"/>
    <w:rsid w:val="00311666"/>
    <w:rsid w:val="00311B4A"/>
    <w:rsid w:val="00311C2C"/>
    <w:rsid w:val="00311EE7"/>
    <w:rsid w:val="0031353B"/>
    <w:rsid w:val="00314917"/>
    <w:rsid w:val="00317CC8"/>
    <w:rsid w:val="00320F8B"/>
    <w:rsid w:val="003214DA"/>
    <w:rsid w:val="00321FF1"/>
    <w:rsid w:val="00322F20"/>
    <w:rsid w:val="0032496A"/>
    <w:rsid w:val="00325F91"/>
    <w:rsid w:val="00326277"/>
    <w:rsid w:val="003273DA"/>
    <w:rsid w:val="00330B1A"/>
    <w:rsid w:val="00331897"/>
    <w:rsid w:val="00332656"/>
    <w:rsid w:val="003327CD"/>
    <w:rsid w:val="00335F28"/>
    <w:rsid w:val="003364E2"/>
    <w:rsid w:val="0033705C"/>
    <w:rsid w:val="00340082"/>
    <w:rsid w:val="00344B7C"/>
    <w:rsid w:val="00345369"/>
    <w:rsid w:val="0034648B"/>
    <w:rsid w:val="003471A8"/>
    <w:rsid w:val="0035206B"/>
    <w:rsid w:val="0035241E"/>
    <w:rsid w:val="00353281"/>
    <w:rsid w:val="00353CF4"/>
    <w:rsid w:val="00355D4A"/>
    <w:rsid w:val="003560EE"/>
    <w:rsid w:val="0035621F"/>
    <w:rsid w:val="00360354"/>
    <w:rsid w:val="00361453"/>
    <w:rsid w:val="00362357"/>
    <w:rsid w:val="00362380"/>
    <w:rsid w:val="00363689"/>
    <w:rsid w:val="003639AB"/>
    <w:rsid w:val="00364D2A"/>
    <w:rsid w:val="003653EC"/>
    <w:rsid w:val="00365E2A"/>
    <w:rsid w:val="00366A36"/>
    <w:rsid w:val="00367452"/>
    <w:rsid w:val="00367D07"/>
    <w:rsid w:val="003718C0"/>
    <w:rsid w:val="00371C28"/>
    <w:rsid w:val="00372041"/>
    <w:rsid w:val="0037425D"/>
    <w:rsid w:val="00376433"/>
    <w:rsid w:val="0037662E"/>
    <w:rsid w:val="00377A87"/>
    <w:rsid w:val="0038063A"/>
    <w:rsid w:val="00381CD7"/>
    <w:rsid w:val="00383E3B"/>
    <w:rsid w:val="003842A8"/>
    <w:rsid w:val="003902CE"/>
    <w:rsid w:val="003907F3"/>
    <w:rsid w:val="00390F1D"/>
    <w:rsid w:val="00392F8C"/>
    <w:rsid w:val="00393286"/>
    <w:rsid w:val="00393562"/>
    <w:rsid w:val="00395531"/>
    <w:rsid w:val="003A03A8"/>
    <w:rsid w:val="003A0A23"/>
    <w:rsid w:val="003A1A70"/>
    <w:rsid w:val="003A1B0E"/>
    <w:rsid w:val="003A25AE"/>
    <w:rsid w:val="003A2AB2"/>
    <w:rsid w:val="003A2F31"/>
    <w:rsid w:val="003A593A"/>
    <w:rsid w:val="003A6E4F"/>
    <w:rsid w:val="003A79E5"/>
    <w:rsid w:val="003A7DB7"/>
    <w:rsid w:val="003B13BC"/>
    <w:rsid w:val="003B1DD0"/>
    <w:rsid w:val="003B2106"/>
    <w:rsid w:val="003B2D36"/>
    <w:rsid w:val="003B2FAC"/>
    <w:rsid w:val="003B53DD"/>
    <w:rsid w:val="003B582A"/>
    <w:rsid w:val="003B6518"/>
    <w:rsid w:val="003B6DEF"/>
    <w:rsid w:val="003C0670"/>
    <w:rsid w:val="003C1978"/>
    <w:rsid w:val="003C23FF"/>
    <w:rsid w:val="003C2539"/>
    <w:rsid w:val="003C33D7"/>
    <w:rsid w:val="003C3CCD"/>
    <w:rsid w:val="003C3E26"/>
    <w:rsid w:val="003C4A12"/>
    <w:rsid w:val="003C57B2"/>
    <w:rsid w:val="003C62D5"/>
    <w:rsid w:val="003C70CA"/>
    <w:rsid w:val="003C7E9A"/>
    <w:rsid w:val="003C7F8F"/>
    <w:rsid w:val="003D094F"/>
    <w:rsid w:val="003D0D7F"/>
    <w:rsid w:val="003D2A12"/>
    <w:rsid w:val="003D2B37"/>
    <w:rsid w:val="003D3681"/>
    <w:rsid w:val="003D401B"/>
    <w:rsid w:val="003D52A0"/>
    <w:rsid w:val="003D758E"/>
    <w:rsid w:val="003E0848"/>
    <w:rsid w:val="003E0E78"/>
    <w:rsid w:val="003E1253"/>
    <w:rsid w:val="003E2209"/>
    <w:rsid w:val="003E24C8"/>
    <w:rsid w:val="003E34E1"/>
    <w:rsid w:val="003E4988"/>
    <w:rsid w:val="003E6470"/>
    <w:rsid w:val="003E6D29"/>
    <w:rsid w:val="003E6F3A"/>
    <w:rsid w:val="003E7AD2"/>
    <w:rsid w:val="003E7D01"/>
    <w:rsid w:val="003F057A"/>
    <w:rsid w:val="003F2E3B"/>
    <w:rsid w:val="003F5D06"/>
    <w:rsid w:val="003F6671"/>
    <w:rsid w:val="003F7104"/>
    <w:rsid w:val="0040073C"/>
    <w:rsid w:val="00401485"/>
    <w:rsid w:val="00404620"/>
    <w:rsid w:val="00404E8A"/>
    <w:rsid w:val="0040675F"/>
    <w:rsid w:val="00410E99"/>
    <w:rsid w:val="00412B80"/>
    <w:rsid w:val="00412E35"/>
    <w:rsid w:val="004151AB"/>
    <w:rsid w:val="004161EE"/>
    <w:rsid w:val="004174BE"/>
    <w:rsid w:val="00417694"/>
    <w:rsid w:val="00417A93"/>
    <w:rsid w:val="0042002B"/>
    <w:rsid w:val="004200DD"/>
    <w:rsid w:val="004213E4"/>
    <w:rsid w:val="00426E64"/>
    <w:rsid w:val="00426FCF"/>
    <w:rsid w:val="004309F7"/>
    <w:rsid w:val="00432742"/>
    <w:rsid w:val="00433866"/>
    <w:rsid w:val="004345F3"/>
    <w:rsid w:val="004354DC"/>
    <w:rsid w:val="00436E13"/>
    <w:rsid w:val="00436F03"/>
    <w:rsid w:val="00442D6C"/>
    <w:rsid w:val="00444749"/>
    <w:rsid w:val="0044539C"/>
    <w:rsid w:val="00445637"/>
    <w:rsid w:val="00451466"/>
    <w:rsid w:val="00451AC8"/>
    <w:rsid w:val="004549D9"/>
    <w:rsid w:val="00455224"/>
    <w:rsid w:val="00456264"/>
    <w:rsid w:val="00461646"/>
    <w:rsid w:val="00462F4B"/>
    <w:rsid w:val="00463477"/>
    <w:rsid w:val="00463928"/>
    <w:rsid w:val="00463AD6"/>
    <w:rsid w:val="00472229"/>
    <w:rsid w:val="00475514"/>
    <w:rsid w:val="00476880"/>
    <w:rsid w:val="00480550"/>
    <w:rsid w:val="004809D0"/>
    <w:rsid w:val="00480D6C"/>
    <w:rsid w:val="004825EF"/>
    <w:rsid w:val="00484F7E"/>
    <w:rsid w:val="00487987"/>
    <w:rsid w:val="0049280A"/>
    <w:rsid w:val="00492D79"/>
    <w:rsid w:val="00493649"/>
    <w:rsid w:val="00493B55"/>
    <w:rsid w:val="00494FB2"/>
    <w:rsid w:val="00496CE9"/>
    <w:rsid w:val="004A0D69"/>
    <w:rsid w:val="004A4537"/>
    <w:rsid w:val="004A5826"/>
    <w:rsid w:val="004A6427"/>
    <w:rsid w:val="004A6A24"/>
    <w:rsid w:val="004B09FD"/>
    <w:rsid w:val="004B292E"/>
    <w:rsid w:val="004B3BDE"/>
    <w:rsid w:val="004B5577"/>
    <w:rsid w:val="004B6CF6"/>
    <w:rsid w:val="004B6EE4"/>
    <w:rsid w:val="004C1225"/>
    <w:rsid w:val="004C222E"/>
    <w:rsid w:val="004C3BD1"/>
    <w:rsid w:val="004C3E5D"/>
    <w:rsid w:val="004C4AEE"/>
    <w:rsid w:val="004C6245"/>
    <w:rsid w:val="004C78F5"/>
    <w:rsid w:val="004C7BA3"/>
    <w:rsid w:val="004D1CC4"/>
    <w:rsid w:val="004D3AF8"/>
    <w:rsid w:val="004D3C75"/>
    <w:rsid w:val="004D53D4"/>
    <w:rsid w:val="004E1C63"/>
    <w:rsid w:val="004E2AAA"/>
    <w:rsid w:val="004E390D"/>
    <w:rsid w:val="004E3E8D"/>
    <w:rsid w:val="004E4D37"/>
    <w:rsid w:val="004E75A6"/>
    <w:rsid w:val="004E7A2B"/>
    <w:rsid w:val="004F2E18"/>
    <w:rsid w:val="004F2F00"/>
    <w:rsid w:val="004F49A0"/>
    <w:rsid w:val="004F5171"/>
    <w:rsid w:val="004F6D2C"/>
    <w:rsid w:val="004F7D27"/>
    <w:rsid w:val="005001F8"/>
    <w:rsid w:val="005015EE"/>
    <w:rsid w:val="00501C98"/>
    <w:rsid w:val="00502476"/>
    <w:rsid w:val="0050364B"/>
    <w:rsid w:val="00503E99"/>
    <w:rsid w:val="005102D7"/>
    <w:rsid w:val="00511002"/>
    <w:rsid w:val="005118CC"/>
    <w:rsid w:val="005136E7"/>
    <w:rsid w:val="00514BFD"/>
    <w:rsid w:val="00520656"/>
    <w:rsid w:val="00521AB2"/>
    <w:rsid w:val="005222DE"/>
    <w:rsid w:val="00522738"/>
    <w:rsid w:val="005237B0"/>
    <w:rsid w:val="005250CE"/>
    <w:rsid w:val="005259E3"/>
    <w:rsid w:val="0053247E"/>
    <w:rsid w:val="00532653"/>
    <w:rsid w:val="00535A67"/>
    <w:rsid w:val="0053657D"/>
    <w:rsid w:val="0054086D"/>
    <w:rsid w:val="00545433"/>
    <w:rsid w:val="00545B45"/>
    <w:rsid w:val="005472D2"/>
    <w:rsid w:val="005477A3"/>
    <w:rsid w:val="005479A8"/>
    <w:rsid w:val="00550CC3"/>
    <w:rsid w:val="00551440"/>
    <w:rsid w:val="00551F75"/>
    <w:rsid w:val="005525AC"/>
    <w:rsid w:val="0055748B"/>
    <w:rsid w:val="00557556"/>
    <w:rsid w:val="005608AA"/>
    <w:rsid w:val="00560C56"/>
    <w:rsid w:val="0056451C"/>
    <w:rsid w:val="00564BD0"/>
    <w:rsid w:val="00565180"/>
    <w:rsid w:val="00566BAF"/>
    <w:rsid w:val="005677AB"/>
    <w:rsid w:val="0056788F"/>
    <w:rsid w:val="00567BE0"/>
    <w:rsid w:val="00570264"/>
    <w:rsid w:val="005704CC"/>
    <w:rsid w:val="005731C6"/>
    <w:rsid w:val="00573C73"/>
    <w:rsid w:val="0057420B"/>
    <w:rsid w:val="00574DF4"/>
    <w:rsid w:val="00574FD8"/>
    <w:rsid w:val="0057612D"/>
    <w:rsid w:val="00576176"/>
    <w:rsid w:val="005773EB"/>
    <w:rsid w:val="005831F4"/>
    <w:rsid w:val="00585339"/>
    <w:rsid w:val="00587AEB"/>
    <w:rsid w:val="00587D5B"/>
    <w:rsid w:val="0059070D"/>
    <w:rsid w:val="00592313"/>
    <w:rsid w:val="00592AF4"/>
    <w:rsid w:val="00592B53"/>
    <w:rsid w:val="00594BC9"/>
    <w:rsid w:val="00594BFC"/>
    <w:rsid w:val="00596473"/>
    <w:rsid w:val="005973EA"/>
    <w:rsid w:val="005978A5"/>
    <w:rsid w:val="005A0424"/>
    <w:rsid w:val="005A1256"/>
    <w:rsid w:val="005A1935"/>
    <w:rsid w:val="005A30A0"/>
    <w:rsid w:val="005A3DFE"/>
    <w:rsid w:val="005A51D3"/>
    <w:rsid w:val="005A543B"/>
    <w:rsid w:val="005A6199"/>
    <w:rsid w:val="005A7B39"/>
    <w:rsid w:val="005B05BB"/>
    <w:rsid w:val="005B0629"/>
    <w:rsid w:val="005B252D"/>
    <w:rsid w:val="005B2C10"/>
    <w:rsid w:val="005B2ED7"/>
    <w:rsid w:val="005B3C62"/>
    <w:rsid w:val="005B436A"/>
    <w:rsid w:val="005B4499"/>
    <w:rsid w:val="005B68E4"/>
    <w:rsid w:val="005B6AD9"/>
    <w:rsid w:val="005B76EF"/>
    <w:rsid w:val="005B7B7A"/>
    <w:rsid w:val="005B7BE0"/>
    <w:rsid w:val="005C0645"/>
    <w:rsid w:val="005C0924"/>
    <w:rsid w:val="005C1806"/>
    <w:rsid w:val="005C1AAE"/>
    <w:rsid w:val="005C3E22"/>
    <w:rsid w:val="005C4380"/>
    <w:rsid w:val="005C5791"/>
    <w:rsid w:val="005C668E"/>
    <w:rsid w:val="005C7A27"/>
    <w:rsid w:val="005D0E5F"/>
    <w:rsid w:val="005D1292"/>
    <w:rsid w:val="005D24CA"/>
    <w:rsid w:val="005D5069"/>
    <w:rsid w:val="005D53C4"/>
    <w:rsid w:val="005D54F4"/>
    <w:rsid w:val="005E0B4A"/>
    <w:rsid w:val="005E2D09"/>
    <w:rsid w:val="005E4A07"/>
    <w:rsid w:val="005E4ED3"/>
    <w:rsid w:val="005E64DE"/>
    <w:rsid w:val="005E6C43"/>
    <w:rsid w:val="005F0E86"/>
    <w:rsid w:val="005F1C9E"/>
    <w:rsid w:val="005F1F97"/>
    <w:rsid w:val="005F2698"/>
    <w:rsid w:val="005F2F25"/>
    <w:rsid w:val="005F31F3"/>
    <w:rsid w:val="005F4C0C"/>
    <w:rsid w:val="005F5E5E"/>
    <w:rsid w:val="005F5F51"/>
    <w:rsid w:val="005F6BA9"/>
    <w:rsid w:val="005F73CF"/>
    <w:rsid w:val="005F75EC"/>
    <w:rsid w:val="005F7D5D"/>
    <w:rsid w:val="00600508"/>
    <w:rsid w:val="0060147D"/>
    <w:rsid w:val="006014C2"/>
    <w:rsid w:val="0060229C"/>
    <w:rsid w:val="00603987"/>
    <w:rsid w:val="00603D46"/>
    <w:rsid w:val="0060474A"/>
    <w:rsid w:val="00605D14"/>
    <w:rsid w:val="00607382"/>
    <w:rsid w:val="0060797C"/>
    <w:rsid w:val="006115BF"/>
    <w:rsid w:val="00611C64"/>
    <w:rsid w:val="0061233F"/>
    <w:rsid w:val="00612AAC"/>
    <w:rsid w:val="006137DF"/>
    <w:rsid w:val="00613BD6"/>
    <w:rsid w:val="0061421C"/>
    <w:rsid w:val="00614CE3"/>
    <w:rsid w:val="006172B0"/>
    <w:rsid w:val="00622DCF"/>
    <w:rsid w:val="006232F0"/>
    <w:rsid w:val="00627287"/>
    <w:rsid w:val="00630111"/>
    <w:rsid w:val="00630541"/>
    <w:rsid w:val="00631BA3"/>
    <w:rsid w:val="00634058"/>
    <w:rsid w:val="006341F9"/>
    <w:rsid w:val="0063523F"/>
    <w:rsid w:val="00635959"/>
    <w:rsid w:val="00635CC3"/>
    <w:rsid w:val="00635ED1"/>
    <w:rsid w:val="00636492"/>
    <w:rsid w:val="00637256"/>
    <w:rsid w:val="00642275"/>
    <w:rsid w:val="00642E71"/>
    <w:rsid w:val="0064375C"/>
    <w:rsid w:val="00643B46"/>
    <w:rsid w:val="00645754"/>
    <w:rsid w:val="0064631A"/>
    <w:rsid w:val="00646885"/>
    <w:rsid w:val="00647047"/>
    <w:rsid w:val="0064753A"/>
    <w:rsid w:val="006506FD"/>
    <w:rsid w:val="00650ADE"/>
    <w:rsid w:val="0065360B"/>
    <w:rsid w:val="00655E1C"/>
    <w:rsid w:val="006560BC"/>
    <w:rsid w:val="00656132"/>
    <w:rsid w:val="00656C20"/>
    <w:rsid w:val="006607EE"/>
    <w:rsid w:val="00661C1C"/>
    <w:rsid w:val="00663FBC"/>
    <w:rsid w:val="0066449C"/>
    <w:rsid w:val="00664DAA"/>
    <w:rsid w:val="00665123"/>
    <w:rsid w:val="00665233"/>
    <w:rsid w:val="00666FCC"/>
    <w:rsid w:val="00667ACB"/>
    <w:rsid w:val="00667DB1"/>
    <w:rsid w:val="0067012B"/>
    <w:rsid w:val="0067032B"/>
    <w:rsid w:val="00671663"/>
    <w:rsid w:val="00672BB5"/>
    <w:rsid w:val="00673822"/>
    <w:rsid w:val="00673D96"/>
    <w:rsid w:val="006757FB"/>
    <w:rsid w:val="00676B98"/>
    <w:rsid w:val="00676FE6"/>
    <w:rsid w:val="00677901"/>
    <w:rsid w:val="006814D1"/>
    <w:rsid w:val="0068395A"/>
    <w:rsid w:val="006839C1"/>
    <w:rsid w:val="006840AF"/>
    <w:rsid w:val="006870CE"/>
    <w:rsid w:val="00687EA4"/>
    <w:rsid w:val="00690DB9"/>
    <w:rsid w:val="006929E4"/>
    <w:rsid w:val="00693AEF"/>
    <w:rsid w:val="0069424D"/>
    <w:rsid w:val="006960F5"/>
    <w:rsid w:val="00696C4C"/>
    <w:rsid w:val="00697CDA"/>
    <w:rsid w:val="00697ED3"/>
    <w:rsid w:val="006A02A1"/>
    <w:rsid w:val="006A1416"/>
    <w:rsid w:val="006A2203"/>
    <w:rsid w:val="006A6393"/>
    <w:rsid w:val="006A7637"/>
    <w:rsid w:val="006A7A4F"/>
    <w:rsid w:val="006B4851"/>
    <w:rsid w:val="006B5925"/>
    <w:rsid w:val="006B7211"/>
    <w:rsid w:val="006C0761"/>
    <w:rsid w:val="006C1F8B"/>
    <w:rsid w:val="006C228C"/>
    <w:rsid w:val="006C4081"/>
    <w:rsid w:val="006C43FC"/>
    <w:rsid w:val="006C4DD1"/>
    <w:rsid w:val="006C51CA"/>
    <w:rsid w:val="006C5BCC"/>
    <w:rsid w:val="006C61A4"/>
    <w:rsid w:val="006C6C8F"/>
    <w:rsid w:val="006D0C20"/>
    <w:rsid w:val="006D28AD"/>
    <w:rsid w:val="006D2C5E"/>
    <w:rsid w:val="006D3625"/>
    <w:rsid w:val="006D5B0F"/>
    <w:rsid w:val="006D659C"/>
    <w:rsid w:val="006E1607"/>
    <w:rsid w:val="006E35F3"/>
    <w:rsid w:val="006E3E52"/>
    <w:rsid w:val="006E3E77"/>
    <w:rsid w:val="006E4071"/>
    <w:rsid w:val="006E5514"/>
    <w:rsid w:val="006E57C5"/>
    <w:rsid w:val="006E7999"/>
    <w:rsid w:val="006E79B4"/>
    <w:rsid w:val="006E7EA5"/>
    <w:rsid w:val="006E7FD0"/>
    <w:rsid w:val="006F23CA"/>
    <w:rsid w:val="006F32BF"/>
    <w:rsid w:val="006F364F"/>
    <w:rsid w:val="006F3C6D"/>
    <w:rsid w:val="006F5255"/>
    <w:rsid w:val="006F6723"/>
    <w:rsid w:val="0070005D"/>
    <w:rsid w:val="00701583"/>
    <w:rsid w:val="00701C1E"/>
    <w:rsid w:val="00702BE9"/>
    <w:rsid w:val="00704238"/>
    <w:rsid w:val="00705F08"/>
    <w:rsid w:val="00712AF3"/>
    <w:rsid w:val="00714785"/>
    <w:rsid w:val="00715E15"/>
    <w:rsid w:val="00716D1C"/>
    <w:rsid w:val="00716D8E"/>
    <w:rsid w:val="00716F69"/>
    <w:rsid w:val="007176E5"/>
    <w:rsid w:val="00721DA6"/>
    <w:rsid w:val="0072416B"/>
    <w:rsid w:val="00724805"/>
    <w:rsid w:val="00724DA0"/>
    <w:rsid w:val="00725ABA"/>
    <w:rsid w:val="00730F21"/>
    <w:rsid w:val="00731DB8"/>
    <w:rsid w:val="00731F3E"/>
    <w:rsid w:val="00732234"/>
    <w:rsid w:val="00734606"/>
    <w:rsid w:val="00734881"/>
    <w:rsid w:val="007350D7"/>
    <w:rsid w:val="007378A1"/>
    <w:rsid w:val="007404FF"/>
    <w:rsid w:val="00740CD3"/>
    <w:rsid w:val="00744994"/>
    <w:rsid w:val="00745D3E"/>
    <w:rsid w:val="00746492"/>
    <w:rsid w:val="0075100A"/>
    <w:rsid w:val="00752C32"/>
    <w:rsid w:val="00752FA1"/>
    <w:rsid w:val="00753AA4"/>
    <w:rsid w:val="00753BAF"/>
    <w:rsid w:val="0075469F"/>
    <w:rsid w:val="00754FC9"/>
    <w:rsid w:val="0075663C"/>
    <w:rsid w:val="00756A76"/>
    <w:rsid w:val="0076193C"/>
    <w:rsid w:val="00761FA0"/>
    <w:rsid w:val="007623E7"/>
    <w:rsid w:val="00762445"/>
    <w:rsid w:val="00763C8F"/>
    <w:rsid w:val="00765851"/>
    <w:rsid w:val="00767217"/>
    <w:rsid w:val="00767BDF"/>
    <w:rsid w:val="00767F08"/>
    <w:rsid w:val="00770636"/>
    <w:rsid w:val="00770CBB"/>
    <w:rsid w:val="0077212F"/>
    <w:rsid w:val="00773553"/>
    <w:rsid w:val="00776E9E"/>
    <w:rsid w:val="0077768F"/>
    <w:rsid w:val="00777FF2"/>
    <w:rsid w:val="0078042B"/>
    <w:rsid w:val="00780A45"/>
    <w:rsid w:val="00781AD1"/>
    <w:rsid w:val="00786A2F"/>
    <w:rsid w:val="0079117E"/>
    <w:rsid w:val="007919B2"/>
    <w:rsid w:val="00793199"/>
    <w:rsid w:val="00796EE8"/>
    <w:rsid w:val="007A00C8"/>
    <w:rsid w:val="007A062D"/>
    <w:rsid w:val="007A1AEC"/>
    <w:rsid w:val="007A234C"/>
    <w:rsid w:val="007A272E"/>
    <w:rsid w:val="007A341F"/>
    <w:rsid w:val="007A3819"/>
    <w:rsid w:val="007A3E4A"/>
    <w:rsid w:val="007A64AE"/>
    <w:rsid w:val="007A6F0B"/>
    <w:rsid w:val="007B009D"/>
    <w:rsid w:val="007B2F8E"/>
    <w:rsid w:val="007B32FC"/>
    <w:rsid w:val="007B489B"/>
    <w:rsid w:val="007B4EA9"/>
    <w:rsid w:val="007B5271"/>
    <w:rsid w:val="007B6650"/>
    <w:rsid w:val="007B6934"/>
    <w:rsid w:val="007B7C1B"/>
    <w:rsid w:val="007C11DA"/>
    <w:rsid w:val="007C1C85"/>
    <w:rsid w:val="007C20A8"/>
    <w:rsid w:val="007C43F7"/>
    <w:rsid w:val="007C68A3"/>
    <w:rsid w:val="007C76B5"/>
    <w:rsid w:val="007D290A"/>
    <w:rsid w:val="007D304B"/>
    <w:rsid w:val="007D4240"/>
    <w:rsid w:val="007D4CB4"/>
    <w:rsid w:val="007D7B64"/>
    <w:rsid w:val="007E139F"/>
    <w:rsid w:val="007E15DF"/>
    <w:rsid w:val="007E1A5F"/>
    <w:rsid w:val="007E1F37"/>
    <w:rsid w:val="007E55DE"/>
    <w:rsid w:val="007E5FAA"/>
    <w:rsid w:val="007E63A1"/>
    <w:rsid w:val="007E71CB"/>
    <w:rsid w:val="007E73F0"/>
    <w:rsid w:val="007E7B6A"/>
    <w:rsid w:val="007F07A2"/>
    <w:rsid w:val="007F0C9B"/>
    <w:rsid w:val="007F1787"/>
    <w:rsid w:val="007F446E"/>
    <w:rsid w:val="007F5433"/>
    <w:rsid w:val="007FF326"/>
    <w:rsid w:val="00800B5C"/>
    <w:rsid w:val="0080535B"/>
    <w:rsid w:val="00811554"/>
    <w:rsid w:val="00811866"/>
    <w:rsid w:val="008122F1"/>
    <w:rsid w:val="00815A6B"/>
    <w:rsid w:val="00816894"/>
    <w:rsid w:val="00816CB7"/>
    <w:rsid w:val="008211E8"/>
    <w:rsid w:val="00823292"/>
    <w:rsid w:val="0082390F"/>
    <w:rsid w:val="008245CB"/>
    <w:rsid w:val="008265DE"/>
    <w:rsid w:val="008303B3"/>
    <w:rsid w:val="00830D5C"/>
    <w:rsid w:val="00831585"/>
    <w:rsid w:val="00832BE8"/>
    <w:rsid w:val="008338DC"/>
    <w:rsid w:val="00834E8D"/>
    <w:rsid w:val="008357C5"/>
    <w:rsid w:val="008376DA"/>
    <w:rsid w:val="00837C86"/>
    <w:rsid w:val="00840042"/>
    <w:rsid w:val="00840E9E"/>
    <w:rsid w:val="00842DE6"/>
    <w:rsid w:val="00843ADA"/>
    <w:rsid w:val="0084470D"/>
    <w:rsid w:val="0084577C"/>
    <w:rsid w:val="00845D5E"/>
    <w:rsid w:val="00846062"/>
    <w:rsid w:val="00850EA3"/>
    <w:rsid w:val="0085144D"/>
    <w:rsid w:val="00851AB8"/>
    <w:rsid w:val="008524BF"/>
    <w:rsid w:val="008540A5"/>
    <w:rsid w:val="00854E6C"/>
    <w:rsid w:val="0085681A"/>
    <w:rsid w:val="00860B46"/>
    <w:rsid w:val="0086135B"/>
    <w:rsid w:val="008630D8"/>
    <w:rsid w:val="00863AE1"/>
    <w:rsid w:val="00864E32"/>
    <w:rsid w:val="00866978"/>
    <w:rsid w:val="00866BEB"/>
    <w:rsid w:val="00867720"/>
    <w:rsid w:val="00871A67"/>
    <w:rsid w:val="008731EF"/>
    <w:rsid w:val="00874B8E"/>
    <w:rsid w:val="00874D6E"/>
    <w:rsid w:val="0087546F"/>
    <w:rsid w:val="00876231"/>
    <w:rsid w:val="00880956"/>
    <w:rsid w:val="00880995"/>
    <w:rsid w:val="00882543"/>
    <w:rsid w:val="00883BE3"/>
    <w:rsid w:val="00884020"/>
    <w:rsid w:val="00886E6E"/>
    <w:rsid w:val="0089053A"/>
    <w:rsid w:val="00890546"/>
    <w:rsid w:val="0089385F"/>
    <w:rsid w:val="00893E99"/>
    <w:rsid w:val="008945AD"/>
    <w:rsid w:val="00897E13"/>
    <w:rsid w:val="008A07AE"/>
    <w:rsid w:val="008A0B27"/>
    <w:rsid w:val="008A120A"/>
    <w:rsid w:val="008A1C04"/>
    <w:rsid w:val="008A2A00"/>
    <w:rsid w:val="008A3156"/>
    <w:rsid w:val="008A39C1"/>
    <w:rsid w:val="008A5B8C"/>
    <w:rsid w:val="008B0B39"/>
    <w:rsid w:val="008B0E72"/>
    <w:rsid w:val="008B1EB0"/>
    <w:rsid w:val="008B3401"/>
    <w:rsid w:val="008B5735"/>
    <w:rsid w:val="008B6523"/>
    <w:rsid w:val="008C0971"/>
    <w:rsid w:val="008C0BE8"/>
    <w:rsid w:val="008C0F6D"/>
    <w:rsid w:val="008C1C3A"/>
    <w:rsid w:val="008C69AE"/>
    <w:rsid w:val="008C6EF2"/>
    <w:rsid w:val="008D560B"/>
    <w:rsid w:val="008D71B1"/>
    <w:rsid w:val="008D744C"/>
    <w:rsid w:val="008D7F41"/>
    <w:rsid w:val="008E171C"/>
    <w:rsid w:val="008E2DCA"/>
    <w:rsid w:val="008E3AA5"/>
    <w:rsid w:val="008E51A0"/>
    <w:rsid w:val="008E609D"/>
    <w:rsid w:val="008E7BCC"/>
    <w:rsid w:val="008F0286"/>
    <w:rsid w:val="008F15AE"/>
    <w:rsid w:val="008F1F47"/>
    <w:rsid w:val="008F2077"/>
    <w:rsid w:val="008F2767"/>
    <w:rsid w:val="008F2B16"/>
    <w:rsid w:val="008F3DED"/>
    <w:rsid w:val="008F4C17"/>
    <w:rsid w:val="008F4CF6"/>
    <w:rsid w:val="008F4D41"/>
    <w:rsid w:val="008F4DB2"/>
    <w:rsid w:val="008F7B2A"/>
    <w:rsid w:val="00901EF1"/>
    <w:rsid w:val="00902EE7"/>
    <w:rsid w:val="00904033"/>
    <w:rsid w:val="00905208"/>
    <w:rsid w:val="00911842"/>
    <w:rsid w:val="009131E7"/>
    <w:rsid w:val="009133C9"/>
    <w:rsid w:val="00913480"/>
    <w:rsid w:val="0091493D"/>
    <w:rsid w:val="00914D43"/>
    <w:rsid w:val="00915E5E"/>
    <w:rsid w:val="0091692E"/>
    <w:rsid w:val="00917037"/>
    <w:rsid w:val="00920BAF"/>
    <w:rsid w:val="009229CC"/>
    <w:rsid w:val="00923480"/>
    <w:rsid w:val="009241AA"/>
    <w:rsid w:val="00926A98"/>
    <w:rsid w:val="009274D8"/>
    <w:rsid w:val="00930345"/>
    <w:rsid w:val="009310C5"/>
    <w:rsid w:val="00931766"/>
    <w:rsid w:val="00931E09"/>
    <w:rsid w:val="009330E0"/>
    <w:rsid w:val="00933627"/>
    <w:rsid w:val="0093417E"/>
    <w:rsid w:val="00934748"/>
    <w:rsid w:val="00934C37"/>
    <w:rsid w:val="00937148"/>
    <w:rsid w:val="009372C0"/>
    <w:rsid w:val="00942607"/>
    <w:rsid w:val="00942FE3"/>
    <w:rsid w:val="009432F2"/>
    <w:rsid w:val="00943792"/>
    <w:rsid w:val="00944AB6"/>
    <w:rsid w:val="00945DE6"/>
    <w:rsid w:val="00946590"/>
    <w:rsid w:val="00950486"/>
    <w:rsid w:val="00951FB0"/>
    <w:rsid w:val="009541C3"/>
    <w:rsid w:val="00954B8F"/>
    <w:rsid w:val="009555E3"/>
    <w:rsid w:val="00956D90"/>
    <w:rsid w:val="00957619"/>
    <w:rsid w:val="0096001D"/>
    <w:rsid w:val="009609A6"/>
    <w:rsid w:val="0096363E"/>
    <w:rsid w:val="009645A9"/>
    <w:rsid w:val="00965312"/>
    <w:rsid w:val="00965BDA"/>
    <w:rsid w:val="00970239"/>
    <w:rsid w:val="00972966"/>
    <w:rsid w:val="00972DBA"/>
    <w:rsid w:val="00976B90"/>
    <w:rsid w:val="0097761A"/>
    <w:rsid w:val="0097791A"/>
    <w:rsid w:val="00977BC4"/>
    <w:rsid w:val="00985C16"/>
    <w:rsid w:val="00985E1F"/>
    <w:rsid w:val="00990144"/>
    <w:rsid w:val="0099029F"/>
    <w:rsid w:val="00990EC1"/>
    <w:rsid w:val="0099201F"/>
    <w:rsid w:val="00992865"/>
    <w:rsid w:val="0099354E"/>
    <w:rsid w:val="00993F8A"/>
    <w:rsid w:val="00994140"/>
    <w:rsid w:val="00994B58"/>
    <w:rsid w:val="00994EA0"/>
    <w:rsid w:val="00995847"/>
    <w:rsid w:val="0099589E"/>
    <w:rsid w:val="00995C89"/>
    <w:rsid w:val="00995F26"/>
    <w:rsid w:val="0099685D"/>
    <w:rsid w:val="00996D9D"/>
    <w:rsid w:val="0099719E"/>
    <w:rsid w:val="009A0C0F"/>
    <w:rsid w:val="009A2B4F"/>
    <w:rsid w:val="009A5309"/>
    <w:rsid w:val="009A5626"/>
    <w:rsid w:val="009A659B"/>
    <w:rsid w:val="009A6BC4"/>
    <w:rsid w:val="009B06C4"/>
    <w:rsid w:val="009B0A7F"/>
    <w:rsid w:val="009B29BB"/>
    <w:rsid w:val="009B29C4"/>
    <w:rsid w:val="009B318F"/>
    <w:rsid w:val="009B469D"/>
    <w:rsid w:val="009B5B15"/>
    <w:rsid w:val="009B6824"/>
    <w:rsid w:val="009B6E70"/>
    <w:rsid w:val="009B753A"/>
    <w:rsid w:val="009C316B"/>
    <w:rsid w:val="009C5C88"/>
    <w:rsid w:val="009C7292"/>
    <w:rsid w:val="009C75AC"/>
    <w:rsid w:val="009D083B"/>
    <w:rsid w:val="009D1177"/>
    <w:rsid w:val="009D1CFC"/>
    <w:rsid w:val="009D21ED"/>
    <w:rsid w:val="009D271F"/>
    <w:rsid w:val="009D2905"/>
    <w:rsid w:val="009D3429"/>
    <w:rsid w:val="009D432F"/>
    <w:rsid w:val="009D4EDE"/>
    <w:rsid w:val="009D79A8"/>
    <w:rsid w:val="009E0453"/>
    <w:rsid w:val="009E0695"/>
    <w:rsid w:val="009E0C08"/>
    <w:rsid w:val="009E207B"/>
    <w:rsid w:val="009E242C"/>
    <w:rsid w:val="009E2D89"/>
    <w:rsid w:val="009E47DB"/>
    <w:rsid w:val="009E5E66"/>
    <w:rsid w:val="009E653E"/>
    <w:rsid w:val="009E6FC7"/>
    <w:rsid w:val="009F02F1"/>
    <w:rsid w:val="009F06B6"/>
    <w:rsid w:val="009F3A73"/>
    <w:rsid w:val="009F5ABC"/>
    <w:rsid w:val="00A0124A"/>
    <w:rsid w:val="00A044FF"/>
    <w:rsid w:val="00A04FB4"/>
    <w:rsid w:val="00A05C84"/>
    <w:rsid w:val="00A067E8"/>
    <w:rsid w:val="00A068FA"/>
    <w:rsid w:val="00A06D03"/>
    <w:rsid w:val="00A07BB0"/>
    <w:rsid w:val="00A10FE8"/>
    <w:rsid w:val="00A1272B"/>
    <w:rsid w:val="00A12BF9"/>
    <w:rsid w:val="00A13D5A"/>
    <w:rsid w:val="00A13FE7"/>
    <w:rsid w:val="00A14B6C"/>
    <w:rsid w:val="00A15AA8"/>
    <w:rsid w:val="00A201E2"/>
    <w:rsid w:val="00A241DB"/>
    <w:rsid w:val="00A2463D"/>
    <w:rsid w:val="00A253B3"/>
    <w:rsid w:val="00A258EE"/>
    <w:rsid w:val="00A27441"/>
    <w:rsid w:val="00A313FB"/>
    <w:rsid w:val="00A32BF0"/>
    <w:rsid w:val="00A3649D"/>
    <w:rsid w:val="00A40946"/>
    <w:rsid w:val="00A41CF8"/>
    <w:rsid w:val="00A425CD"/>
    <w:rsid w:val="00A43FE3"/>
    <w:rsid w:val="00A46A02"/>
    <w:rsid w:val="00A46C6E"/>
    <w:rsid w:val="00A47B9E"/>
    <w:rsid w:val="00A50438"/>
    <w:rsid w:val="00A5049B"/>
    <w:rsid w:val="00A51A28"/>
    <w:rsid w:val="00A558EA"/>
    <w:rsid w:val="00A55C19"/>
    <w:rsid w:val="00A56A73"/>
    <w:rsid w:val="00A56AF5"/>
    <w:rsid w:val="00A6213E"/>
    <w:rsid w:val="00A654F0"/>
    <w:rsid w:val="00A67DE3"/>
    <w:rsid w:val="00A67FF2"/>
    <w:rsid w:val="00A702C6"/>
    <w:rsid w:val="00A70A0B"/>
    <w:rsid w:val="00A71271"/>
    <w:rsid w:val="00A72145"/>
    <w:rsid w:val="00A730AB"/>
    <w:rsid w:val="00A740A9"/>
    <w:rsid w:val="00A76F2D"/>
    <w:rsid w:val="00A8055B"/>
    <w:rsid w:val="00A80F25"/>
    <w:rsid w:val="00A81709"/>
    <w:rsid w:val="00A81A8E"/>
    <w:rsid w:val="00A8352C"/>
    <w:rsid w:val="00A847F9"/>
    <w:rsid w:val="00A84A7E"/>
    <w:rsid w:val="00A857B1"/>
    <w:rsid w:val="00A87DC6"/>
    <w:rsid w:val="00A914F0"/>
    <w:rsid w:val="00A92C24"/>
    <w:rsid w:val="00A93B68"/>
    <w:rsid w:val="00A94166"/>
    <w:rsid w:val="00A94744"/>
    <w:rsid w:val="00A96D13"/>
    <w:rsid w:val="00A9750D"/>
    <w:rsid w:val="00A975A6"/>
    <w:rsid w:val="00AA172A"/>
    <w:rsid w:val="00AA6694"/>
    <w:rsid w:val="00AB0372"/>
    <w:rsid w:val="00AB3295"/>
    <w:rsid w:val="00AB4D04"/>
    <w:rsid w:val="00AB5A5E"/>
    <w:rsid w:val="00AB5CE3"/>
    <w:rsid w:val="00AB6AC2"/>
    <w:rsid w:val="00AC0727"/>
    <w:rsid w:val="00AC12E3"/>
    <w:rsid w:val="00AC16FD"/>
    <w:rsid w:val="00AC2FB8"/>
    <w:rsid w:val="00AC40A1"/>
    <w:rsid w:val="00AC58FF"/>
    <w:rsid w:val="00AC681B"/>
    <w:rsid w:val="00AC6A8E"/>
    <w:rsid w:val="00AC7029"/>
    <w:rsid w:val="00AC71F1"/>
    <w:rsid w:val="00AC7B90"/>
    <w:rsid w:val="00AC7F50"/>
    <w:rsid w:val="00AD04A4"/>
    <w:rsid w:val="00AD1C04"/>
    <w:rsid w:val="00AD21A6"/>
    <w:rsid w:val="00AD3B65"/>
    <w:rsid w:val="00AE02A9"/>
    <w:rsid w:val="00AE0FA7"/>
    <w:rsid w:val="00AE36BD"/>
    <w:rsid w:val="00AE392D"/>
    <w:rsid w:val="00AE5396"/>
    <w:rsid w:val="00AF05B3"/>
    <w:rsid w:val="00AF1D3E"/>
    <w:rsid w:val="00AF6129"/>
    <w:rsid w:val="00AF642C"/>
    <w:rsid w:val="00B00167"/>
    <w:rsid w:val="00B00B3F"/>
    <w:rsid w:val="00B01AF4"/>
    <w:rsid w:val="00B028D2"/>
    <w:rsid w:val="00B0304B"/>
    <w:rsid w:val="00B03148"/>
    <w:rsid w:val="00B05C57"/>
    <w:rsid w:val="00B06A0E"/>
    <w:rsid w:val="00B072D9"/>
    <w:rsid w:val="00B10527"/>
    <w:rsid w:val="00B107C8"/>
    <w:rsid w:val="00B11EA4"/>
    <w:rsid w:val="00B126BB"/>
    <w:rsid w:val="00B142C9"/>
    <w:rsid w:val="00B162B0"/>
    <w:rsid w:val="00B20050"/>
    <w:rsid w:val="00B20A4B"/>
    <w:rsid w:val="00B20B34"/>
    <w:rsid w:val="00B216E0"/>
    <w:rsid w:val="00B2233E"/>
    <w:rsid w:val="00B22566"/>
    <w:rsid w:val="00B237EE"/>
    <w:rsid w:val="00B24E72"/>
    <w:rsid w:val="00B2546B"/>
    <w:rsid w:val="00B259E8"/>
    <w:rsid w:val="00B25E64"/>
    <w:rsid w:val="00B266AD"/>
    <w:rsid w:val="00B27EEC"/>
    <w:rsid w:val="00B3168F"/>
    <w:rsid w:val="00B321FB"/>
    <w:rsid w:val="00B32200"/>
    <w:rsid w:val="00B3382A"/>
    <w:rsid w:val="00B3512B"/>
    <w:rsid w:val="00B3520D"/>
    <w:rsid w:val="00B35E5A"/>
    <w:rsid w:val="00B364E9"/>
    <w:rsid w:val="00B369FA"/>
    <w:rsid w:val="00B40C66"/>
    <w:rsid w:val="00B40D88"/>
    <w:rsid w:val="00B42FF1"/>
    <w:rsid w:val="00B44E6E"/>
    <w:rsid w:val="00B45043"/>
    <w:rsid w:val="00B46FB0"/>
    <w:rsid w:val="00B505B2"/>
    <w:rsid w:val="00B50AAF"/>
    <w:rsid w:val="00B51065"/>
    <w:rsid w:val="00B54ADB"/>
    <w:rsid w:val="00B558BF"/>
    <w:rsid w:val="00B55A5C"/>
    <w:rsid w:val="00B5633B"/>
    <w:rsid w:val="00B56D1E"/>
    <w:rsid w:val="00B60866"/>
    <w:rsid w:val="00B60BD2"/>
    <w:rsid w:val="00B60DF9"/>
    <w:rsid w:val="00B61365"/>
    <w:rsid w:val="00B61E51"/>
    <w:rsid w:val="00B620C1"/>
    <w:rsid w:val="00B67DA2"/>
    <w:rsid w:val="00B708EC"/>
    <w:rsid w:val="00B70B4C"/>
    <w:rsid w:val="00B71A8F"/>
    <w:rsid w:val="00B71B02"/>
    <w:rsid w:val="00B71FD6"/>
    <w:rsid w:val="00B74551"/>
    <w:rsid w:val="00B747C7"/>
    <w:rsid w:val="00B76F5A"/>
    <w:rsid w:val="00B772D7"/>
    <w:rsid w:val="00B77B1A"/>
    <w:rsid w:val="00B77D7E"/>
    <w:rsid w:val="00B8044E"/>
    <w:rsid w:val="00B81DDA"/>
    <w:rsid w:val="00B82514"/>
    <w:rsid w:val="00B82737"/>
    <w:rsid w:val="00B85803"/>
    <w:rsid w:val="00B860FF"/>
    <w:rsid w:val="00B86528"/>
    <w:rsid w:val="00B86884"/>
    <w:rsid w:val="00B875B7"/>
    <w:rsid w:val="00B87600"/>
    <w:rsid w:val="00B911AC"/>
    <w:rsid w:val="00B91742"/>
    <w:rsid w:val="00B91CAC"/>
    <w:rsid w:val="00B9247C"/>
    <w:rsid w:val="00B94FDF"/>
    <w:rsid w:val="00B97599"/>
    <w:rsid w:val="00BA0DA9"/>
    <w:rsid w:val="00BA2A7F"/>
    <w:rsid w:val="00BA55C7"/>
    <w:rsid w:val="00BA6ED9"/>
    <w:rsid w:val="00BA6EE8"/>
    <w:rsid w:val="00BA7D24"/>
    <w:rsid w:val="00BB2364"/>
    <w:rsid w:val="00BB28C6"/>
    <w:rsid w:val="00BB30E4"/>
    <w:rsid w:val="00BB32D6"/>
    <w:rsid w:val="00BB34B2"/>
    <w:rsid w:val="00BB35D2"/>
    <w:rsid w:val="00BB64C7"/>
    <w:rsid w:val="00BB6EB3"/>
    <w:rsid w:val="00BB7039"/>
    <w:rsid w:val="00BC1ADC"/>
    <w:rsid w:val="00BC4E53"/>
    <w:rsid w:val="00BC56C2"/>
    <w:rsid w:val="00BC5B2A"/>
    <w:rsid w:val="00BC5EAD"/>
    <w:rsid w:val="00BC67F9"/>
    <w:rsid w:val="00BC75CC"/>
    <w:rsid w:val="00BD4CEC"/>
    <w:rsid w:val="00BD784C"/>
    <w:rsid w:val="00BD7C0C"/>
    <w:rsid w:val="00BE0B91"/>
    <w:rsid w:val="00BE35FC"/>
    <w:rsid w:val="00BE3AC7"/>
    <w:rsid w:val="00BE48EA"/>
    <w:rsid w:val="00BE4E1A"/>
    <w:rsid w:val="00BE6749"/>
    <w:rsid w:val="00BE6E67"/>
    <w:rsid w:val="00BE6E70"/>
    <w:rsid w:val="00BE7DF7"/>
    <w:rsid w:val="00BF0845"/>
    <w:rsid w:val="00BF487B"/>
    <w:rsid w:val="00BF4B2F"/>
    <w:rsid w:val="00BF5AC4"/>
    <w:rsid w:val="00BF7353"/>
    <w:rsid w:val="00BF7942"/>
    <w:rsid w:val="00C006C8"/>
    <w:rsid w:val="00C02B59"/>
    <w:rsid w:val="00C036FF"/>
    <w:rsid w:val="00C04056"/>
    <w:rsid w:val="00C05ABB"/>
    <w:rsid w:val="00C06392"/>
    <w:rsid w:val="00C06B36"/>
    <w:rsid w:val="00C078B7"/>
    <w:rsid w:val="00C10B91"/>
    <w:rsid w:val="00C11CFA"/>
    <w:rsid w:val="00C11E26"/>
    <w:rsid w:val="00C15210"/>
    <w:rsid w:val="00C15DF1"/>
    <w:rsid w:val="00C16005"/>
    <w:rsid w:val="00C178F3"/>
    <w:rsid w:val="00C2252B"/>
    <w:rsid w:val="00C2263D"/>
    <w:rsid w:val="00C2375A"/>
    <w:rsid w:val="00C24A71"/>
    <w:rsid w:val="00C25BC4"/>
    <w:rsid w:val="00C27700"/>
    <w:rsid w:val="00C31077"/>
    <w:rsid w:val="00C31FAB"/>
    <w:rsid w:val="00C352C0"/>
    <w:rsid w:val="00C36C2A"/>
    <w:rsid w:val="00C4000D"/>
    <w:rsid w:val="00C40E4E"/>
    <w:rsid w:val="00C41B57"/>
    <w:rsid w:val="00C44552"/>
    <w:rsid w:val="00C45A65"/>
    <w:rsid w:val="00C45B38"/>
    <w:rsid w:val="00C46FD2"/>
    <w:rsid w:val="00C47684"/>
    <w:rsid w:val="00C5128E"/>
    <w:rsid w:val="00C52809"/>
    <w:rsid w:val="00C52FB4"/>
    <w:rsid w:val="00C55268"/>
    <w:rsid w:val="00C55C4C"/>
    <w:rsid w:val="00C571EC"/>
    <w:rsid w:val="00C57669"/>
    <w:rsid w:val="00C611C3"/>
    <w:rsid w:val="00C61707"/>
    <w:rsid w:val="00C62F41"/>
    <w:rsid w:val="00C65C17"/>
    <w:rsid w:val="00C70BA1"/>
    <w:rsid w:val="00C74AF1"/>
    <w:rsid w:val="00C7676A"/>
    <w:rsid w:val="00C7705F"/>
    <w:rsid w:val="00C773EC"/>
    <w:rsid w:val="00C809B9"/>
    <w:rsid w:val="00C829F0"/>
    <w:rsid w:val="00C836B3"/>
    <w:rsid w:val="00C847C9"/>
    <w:rsid w:val="00C85BB6"/>
    <w:rsid w:val="00C86BC7"/>
    <w:rsid w:val="00C87228"/>
    <w:rsid w:val="00C91144"/>
    <w:rsid w:val="00C92840"/>
    <w:rsid w:val="00C93826"/>
    <w:rsid w:val="00C9551C"/>
    <w:rsid w:val="00C95923"/>
    <w:rsid w:val="00C95EC6"/>
    <w:rsid w:val="00C968A7"/>
    <w:rsid w:val="00C97035"/>
    <w:rsid w:val="00C97840"/>
    <w:rsid w:val="00CA0CD5"/>
    <w:rsid w:val="00CA13E4"/>
    <w:rsid w:val="00CA15B0"/>
    <w:rsid w:val="00CA21C4"/>
    <w:rsid w:val="00CA270C"/>
    <w:rsid w:val="00CA2ED9"/>
    <w:rsid w:val="00CA3C9C"/>
    <w:rsid w:val="00CA40F3"/>
    <w:rsid w:val="00CB0EA6"/>
    <w:rsid w:val="00CB1BE5"/>
    <w:rsid w:val="00CB2D8F"/>
    <w:rsid w:val="00CB3218"/>
    <w:rsid w:val="00CB33E7"/>
    <w:rsid w:val="00CB4595"/>
    <w:rsid w:val="00CB4F46"/>
    <w:rsid w:val="00CC0D2A"/>
    <w:rsid w:val="00CC2541"/>
    <w:rsid w:val="00CC5C2B"/>
    <w:rsid w:val="00CD1231"/>
    <w:rsid w:val="00CD1466"/>
    <w:rsid w:val="00CD20D9"/>
    <w:rsid w:val="00CD3089"/>
    <w:rsid w:val="00CD4B6D"/>
    <w:rsid w:val="00CE14F6"/>
    <w:rsid w:val="00CE1B99"/>
    <w:rsid w:val="00CE3013"/>
    <w:rsid w:val="00CE4A63"/>
    <w:rsid w:val="00CE5A4A"/>
    <w:rsid w:val="00CE5FEB"/>
    <w:rsid w:val="00CE606C"/>
    <w:rsid w:val="00CE681F"/>
    <w:rsid w:val="00CF6C25"/>
    <w:rsid w:val="00D0076E"/>
    <w:rsid w:val="00D0092B"/>
    <w:rsid w:val="00D01B93"/>
    <w:rsid w:val="00D01C7A"/>
    <w:rsid w:val="00D025FD"/>
    <w:rsid w:val="00D02B73"/>
    <w:rsid w:val="00D048FF"/>
    <w:rsid w:val="00D04FF1"/>
    <w:rsid w:val="00D05C52"/>
    <w:rsid w:val="00D06345"/>
    <w:rsid w:val="00D106D0"/>
    <w:rsid w:val="00D10ADF"/>
    <w:rsid w:val="00D128B2"/>
    <w:rsid w:val="00D13960"/>
    <w:rsid w:val="00D13B96"/>
    <w:rsid w:val="00D174D5"/>
    <w:rsid w:val="00D175EB"/>
    <w:rsid w:val="00D201B0"/>
    <w:rsid w:val="00D20902"/>
    <w:rsid w:val="00D212B4"/>
    <w:rsid w:val="00D23C17"/>
    <w:rsid w:val="00D24A09"/>
    <w:rsid w:val="00D26920"/>
    <w:rsid w:val="00D26B90"/>
    <w:rsid w:val="00D2773D"/>
    <w:rsid w:val="00D34FA2"/>
    <w:rsid w:val="00D36AF4"/>
    <w:rsid w:val="00D379E0"/>
    <w:rsid w:val="00D40432"/>
    <w:rsid w:val="00D4109D"/>
    <w:rsid w:val="00D41268"/>
    <w:rsid w:val="00D41ACA"/>
    <w:rsid w:val="00D42018"/>
    <w:rsid w:val="00D43087"/>
    <w:rsid w:val="00D43185"/>
    <w:rsid w:val="00D43D1E"/>
    <w:rsid w:val="00D45949"/>
    <w:rsid w:val="00D45E01"/>
    <w:rsid w:val="00D4663B"/>
    <w:rsid w:val="00D47044"/>
    <w:rsid w:val="00D50829"/>
    <w:rsid w:val="00D50FCD"/>
    <w:rsid w:val="00D52701"/>
    <w:rsid w:val="00D54281"/>
    <w:rsid w:val="00D54AE8"/>
    <w:rsid w:val="00D562D9"/>
    <w:rsid w:val="00D6054A"/>
    <w:rsid w:val="00D60986"/>
    <w:rsid w:val="00D615DB"/>
    <w:rsid w:val="00D63B72"/>
    <w:rsid w:val="00D6435D"/>
    <w:rsid w:val="00D64A97"/>
    <w:rsid w:val="00D64D97"/>
    <w:rsid w:val="00D64E11"/>
    <w:rsid w:val="00D65B2F"/>
    <w:rsid w:val="00D67339"/>
    <w:rsid w:val="00D676ED"/>
    <w:rsid w:val="00D70AC0"/>
    <w:rsid w:val="00D721B0"/>
    <w:rsid w:val="00D74251"/>
    <w:rsid w:val="00D74B41"/>
    <w:rsid w:val="00D7604C"/>
    <w:rsid w:val="00D772D6"/>
    <w:rsid w:val="00D774AC"/>
    <w:rsid w:val="00D7751C"/>
    <w:rsid w:val="00D77E4D"/>
    <w:rsid w:val="00D8043F"/>
    <w:rsid w:val="00D80E13"/>
    <w:rsid w:val="00D84B9B"/>
    <w:rsid w:val="00D8709F"/>
    <w:rsid w:val="00D872F8"/>
    <w:rsid w:val="00D874C4"/>
    <w:rsid w:val="00D87C18"/>
    <w:rsid w:val="00D90E9B"/>
    <w:rsid w:val="00D926EC"/>
    <w:rsid w:val="00D93A6D"/>
    <w:rsid w:val="00D93EC4"/>
    <w:rsid w:val="00D9516A"/>
    <w:rsid w:val="00D955E7"/>
    <w:rsid w:val="00D95DA1"/>
    <w:rsid w:val="00DA0AAF"/>
    <w:rsid w:val="00DA301A"/>
    <w:rsid w:val="00DA3AAB"/>
    <w:rsid w:val="00DA55F0"/>
    <w:rsid w:val="00DB099F"/>
    <w:rsid w:val="00DB14E3"/>
    <w:rsid w:val="00DB16ED"/>
    <w:rsid w:val="00DB1BC0"/>
    <w:rsid w:val="00DB2306"/>
    <w:rsid w:val="00DB27B0"/>
    <w:rsid w:val="00DB3E06"/>
    <w:rsid w:val="00DB458B"/>
    <w:rsid w:val="00DB54E2"/>
    <w:rsid w:val="00DB6DCB"/>
    <w:rsid w:val="00DC02D5"/>
    <w:rsid w:val="00DC0EF8"/>
    <w:rsid w:val="00DC1970"/>
    <w:rsid w:val="00DC749F"/>
    <w:rsid w:val="00DC74E2"/>
    <w:rsid w:val="00DD0918"/>
    <w:rsid w:val="00DD10B4"/>
    <w:rsid w:val="00DD1680"/>
    <w:rsid w:val="00DD1815"/>
    <w:rsid w:val="00DD487F"/>
    <w:rsid w:val="00DD6C98"/>
    <w:rsid w:val="00DD787F"/>
    <w:rsid w:val="00DD7977"/>
    <w:rsid w:val="00DD7B18"/>
    <w:rsid w:val="00DE0EA1"/>
    <w:rsid w:val="00DE489B"/>
    <w:rsid w:val="00DE5D4C"/>
    <w:rsid w:val="00DF0D2B"/>
    <w:rsid w:val="00DF0F25"/>
    <w:rsid w:val="00DF12B2"/>
    <w:rsid w:val="00DF13F9"/>
    <w:rsid w:val="00DF2701"/>
    <w:rsid w:val="00DF3F9E"/>
    <w:rsid w:val="00DF44CB"/>
    <w:rsid w:val="00DF512E"/>
    <w:rsid w:val="00DF600A"/>
    <w:rsid w:val="00DF635B"/>
    <w:rsid w:val="00DF6768"/>
    <w:rsid w:val="00DF6EE7"/>
    <w:rsid w:val="00DF7499"/>
    <w:rsid w:val="00DF74F5"/>
    <w:rsid w:val="00DF7D4A"/>
    <w:rsid w:val="00E003EF"/>
    <w:rsid w:val="00E033D9"/>
    <w:rsid w:val="00E03E47"/>
    <w:rsid w:val="00E0480F"/>
    <w:rsid w:val="00E0527A"/>
    <w:rsid w:val="00E07DC0"/>
    <w:rsid w:val="00E07FCB"/>
    <w:rsid w:val="00E10F1E"/>
    <w:rsid w:val="00E11529"/>
    <w:rsid w:val="00E12071"/>
    <w:rsid w:val="00E137E2"/>
    <w:rsid w:val="00E158F8"/>
    <w:rsid w:val="00E15FC6"/>
    <w:rsid w:val="00E168B1"/>
    <w:rsid w:val="00E17083"/>
    <w:rsid w:val="00E177B0"/>
    <w:rsid w:val="00E17A0D"/>
    <w:rsid w:val="00E206AF"/>
    <w:rsid w:val="00E210BE"/>
    <w:rsid w:val="00E23032"/>
    <w:rsid w:val="00E23A63"/>
    <w:rsid w:val="00E254B1"/>
    <w:rsid w:val="00E2653C"/>
    <w:rsid w:val="00E26574"/>
    <w:rsid w:val="00E26757"/>
    <w:rsid w:val="00E27468"/>
    <w:rsid w:val="00E30312"/>
    <w:rsid w:val="00E3101B"/>
    <w:rsid w:val="00E318D2"/>
    <w:rsid w:val="00E31A86"/>
    <w:rsid w:val="00E32721"/>
    <w:rsid w:val="00E32C30"/>
    <w:rsid w:val="00E34848"/>
    <w:rsid w:val="00E34E3A"/>
    <w:rsid w:val="00E369B5"/>
    <w:rsid w:val="00E409EB"/>
    <w:rsid w:val="00E415CD"/>
    <w:rsid w:val="00E4246F"/>
    <w:rsid w:val="00E4311C"/>
    <w:rsid w:val="00E43917"/>
    <w:rsid w:val="00E441DF"/>
    <w:rsid w:val="00E44B6B"/>
    <w:rsid w:val="00E46FBA"/>
    <w:rsid w:val="00E50B67"/>
    <w:rsid w:val="00E51722"/>
    <w:rsid w:val="00E51B7D"/>
    <w:rsid w:val="00E524E6"/>
    <w:rsid w:val="00E53624"/>
    <w:rsid w:val="00E56827"/>
    <w:rsid w:val="00E60B43"/>
    <w:rsid w:val="00E610CD"/>
    <w:rsid w:val="00E613D0"/>
    <w:rsid w:val="00E635EE"/>
    <w:rsid w:val="00E65F15"/>
    <w:rsid w:val="00E6721F"/>
    <w:rsid w:val="00E7010A"/>
    <w:rsid w:val="00E702EF"/>
    <w:rsid w:val="00E70D89"/>
    <w:rsid w:val="00E71093"/>
    <w:rsid w:val="00E7461E"/>
    <w:rsid w:val="00E761F9"/>
    <w:rsid w:val="00E77635"/>
    <w:rsid w:val="00E777D6"/>
    <w:rsid w:val="00E778E6"/>
    <w:rsid w:val="00E77FB1"/>
    <w:rsid w:val="00E80595"/>
    <w:rsid w:val="00E80796"/>
    <w:rsid w:val="00E82DF7"/>
    <w:rsid w:val="00E833D1"/>
    <w:rsid w:val="00E8401C"/>
    <w:rsid w:val="00E84D05"/>
    <w:rsid w:val="00E85FBC"/>
    <w:rsid w:val="00E86E96"/>
    <w:rsid w:val="00E87E28"/>
    <w:rsid w:val="00E91028"/>
    <w:rsid w:val="00E93787"/>
    <w:rsid w:val="00E94069"/>
    <w:rsid w:val="00E94BDE"/>
    <w:rsid w:val="00E9517B"/>
    <w:rsid w:val="00E95B6B"/>
    <w:rsid w:val="00E97193"/>
    <w:rsid w:val="00E97D0E"/>
    <w:rsid w:val="00EA0192"/>
    <w:rsid w:val="00EA083C"/>
    <w:rsid w:val="00EA1E84"/>
    <w:rsid w:val="00EA2630"/>
    <w:rsid w:val="00EA3595"/>
    <w:rsid w:val="00EA36B4"/>
    <w:rsid w:val="00EA4BC2"/>
    <w:rsid w:val="00EA57D5"/>
    <w:rsid w:val="00EA58B6"/>
    <w:rsid w:val="00EA657B"/>
    <w:rsid w:val="00EB2CD7"/>
    <w:rsid w:val="00EB3C6A"/>
    <w:rsid w:val="00EB4DED"/>
    <w:rsid w:val="00EB5CAA"/>
    <w:rsid w:val="00EB5D91"/>
    <w:rsid w:val="00EB64AB"/>
    <w:rsid w:val="00EB64F9"/>
    <w:rsid w:val="00EB7BCD"/>
    <w:rsid w:val="00EC4BF9"/>
    <w:rsid w:val="00EC4C1C"/>
    <w:rsid w:val="00EC56E5"/>
    <w:rsid w:val="00EC64A3"/>
    <w:rsid w:val="00EC6800"/>
    <w:rsid w:val="00ED0B70"/>
    <w:rsid w:val="00ED1156"/>
    <w:rsid w:val="00ED18E6"/>
    <w:rsid w:val="00ED251B"/>
    <w:rsid w:val="00ED4C09"/>
    <w:rsid w:val="00ED70EC"/>
    <w:rsid w:val="00EE1A6F"/>
    <w:rsid w:val="00EE2001"/>
    <w:rsid w:val="00EE2D1B"/>
    <w:rsid w:val="00EE5984"/>
    <w:rsid w:val="00EE5AB0"/>
    <w:rsid w:val="00EE77D3"/>
    <w:rsid w:val="00EF0BED"/>
    <w:rsid w:val="00EF1169"/>
    <w:rsid w:val="00EF1486"/>
    <w:rsid w:val="00EF2A43"/>
    <w:rsid w:val="00EF3029"/>
    <w:rsid w:val="00EF33A5"/>
    <w:rsid w:val="00EF3D19"/>
    <w:rsid w:val="00EF5A64"/>
    <w:rsid w:val="00EF5BBB"/>
    <w:rsid w:val="00EF5C0A"/>
    <w:rsid w:val="00EF601C"/>
    <w:rsid w:val="00EF7286"/>
    <w:rsid w:val="00EF78B6"/>
    <w:rsid w:val="00F108E9"/>
    <w:rsid w:val="00F112DA"/>
    <w:rsid w:val="00F13838"/>
    <w:rsid w:val="00F16AF2"/>
    <w:rsid w:val="00F1709C"/>
    <w:rsid w:val="00F237AC"/>
    <w:rsid w:val="00F24559"/>
    <w:rsid w:val="00F2576D"/>
    <w:rsid w:val="00F265E1"/>
    <w:rsid w:val="00F26B5E"/>
    <w:rsid w:val="00F3028B"/>
    <w:rsid w:val="00F30464"/>
    <w:rsid w:val="00F32F9A"/>
    <w:rsid w:val="00F33332"/>
    <w:rsid w:val="00F335C9"/>
    <w:rsid w:val="00F3370F"/>
    <w:rsid w:val="00F33BDE"/>
    <w:rsid w:val="00F35828"/>
    <w:rsid w:val="00F3640A"/>
    <w:rsid w:val="00F410D9"/>
    <w:rsid w:val="00F415F9"/>
    <w:rsid w:val="00F44C34"/>
    <w:rsid w:val="00F459B5"/>
    <w:rsid w:val="00F500E2"/>
    <w:rsid w:val="00F5024C"/>
    <w:rsid w:val="00F54F80"/>
    <w:rsid w:val="00F5537E"/>
    <w:rsid w:val="00F55CD5"/>
    <w:rsid w:val="00F55FD8"/>
    <w:rsid w:val="00F561CA"/>
    <w:rsid w:val="00F56B1B"/>
    <w:rsid w:val="00F57847"/>
    <w:rsid w:val="00F57DCB"/>
    <w:rsid w:val="00F61FFA"/>
    <w:rsid w:val="00F632A2"/>
    <w:rsid w:val="00F6428E"/>
    <w:rsid w:val="00F645FC"/>
    <w:rsid w:val="00F64B00"/>
    <w:rsid w:val="00F66830"/>
    <w:rsid w:val="00F70188"/>
    <w:rsid w:val="00F74227"/>
    <w:rsid w:val="00F74B17"/>
    <w:rsid w:val="00F750FD"/>
    <w:rsid w:val="00F7550D"/>
    <w:rsid w:val="00F77085"/>
    <w:rsid w:val="00F770C7"/>
    <w:rsid w:val="00F80062"/>
    <w:rsid w:val="00F80852"/>
    <w:rsid w:val="00F80A0E"/>
    <w:rsid w:val="00F80B33"/>
    <w:rsid w:val="00F82AA7"/>
    <w:rsid w:val="00F8352A"/>
    <w:rsid w:val="00F8695A"/>
    <w:rsid w:val="00F86BEB"/>
    <w:rsid w:val="00F86C90"/>
    <w:rsid w:val="00F902A4"/>
    <w:rsid w:val="00F90FDC"/>
    <w:rsid w:val="00F91B79"/>
    <w:rsid w:val="00F935FE"/>
    <w:rsid w:val="00F942BE"/>
    <w:rsid w:val="00F94EFF"/>
    <w:rsid w:val="00F9588E"/>
    <w:rsid w:val="00F9599F"/>
    <w:rsid w:val="00F95C77"/>
    <w:rsid w:val="00F95D77"/>
    <w:rsid w:val="00F96740"/>
    <w:rsid w:val="00F9680F"/>
    <w:rsid w:val="00F97F7D"/>
    <w:rsid w:val="00FA1A45"/>
    <w:rsid w:val="00FA2856"/>
    <w:rsid w:val="00FA32DE"/>
    <w:rsid w:val="00FA3DB8"/>
    <w:rsid w:val="00FA4382"/>
    <w:rsid w:val="00FA4D16"/>
    <w:rsid w:val="00FA596B"/>
    <w:rsid w:val="00FA6156"/>
    <w:rsid w:val="00FA6F89"/>
    <w:rsid w:val="00FA775D"/>
    <w:rsid w:val="00FB3675"/>
    <w:rsid w:val="00FB45BC"/>
    <w:rsid w:val="00FB48B7"/>
    <w:rsid w:val="00FC1663"/>
    <w:rsid w:val="00FC1D97"/>
    <w:rsid w:val="00FC36BC"/>
    <w:rsid w:val="00FC3C5A"/>
    <w:rsid w:val="00FC4453"/>
    <w:rsid w:val="00FC5035"/>
    <w:rsid w:val="00FC5A27"/>
    <w:rsid w:val="00FC5D8B"/>
    <w:rsid w:val="00FD0A99"/>
    <w:rsid w:val="00FD4003"/>
    <w:rsid w:val="00FD5F3A"/>
    <w:rsid w:val="00FD7AF9"/>
    <w:rsid w:val="00FE021D"/>
    <w:rsid w:val="00FE1435"/>
    <w:rsid w:val="00FE1920"/>
    <w:rsid w:val="00FE4A0D"/>
    <w:rsid w:val="00FE4FD6"/>
    <w:rsid w:val="00FE74A5"/>
    <w:rsid w:val="00FE7B8E"/>
    <w:rsid w:val="00FF1174"/>
    <w:rsid w:val="00FF1808"/>
    <w:rsid w:val="00FF3675"/>
    <w:rsid w:val="00FF367F"/>
    <w:rsid w:val="00FF5510"/>
    <w:rsid w:val="00FF7A80"/>
    <w:rsid w:val="00FF7D4C"/>
    <w:rsid w:val="128DDB8E"/>
    <w:rsid w:val="13DA9D66"/>
    <w:rsid w:val="1A04167A"/>
    <w:rsid w:val="1AE427C4"/>
    <w:rsid w:val="23D56DC4"/>
    <w:rsid w:val="25083472"/>
    <w:rsid w:val="26ED288E"/>
    <w:rsid w:val="29F2D3A0"/>
    <w:rsid w:val="321F8C0F"/>
    <w:rsid w:val="34E17F90"/>
    <w:rsid w:val="386E2938"/>
    <w:rsid w:val="3B626092"/>
    <w:rsid w:val="3BAA8A42"/>
    <w:rsid w:val="48B5D7FB"/>
    <w:rsid w:val="49EBCF56"/>
    <w:rsid w:val="4A9F1E88"/>
    <w:rsid w:val="4D0A47BB"/>
    <w:rsid w:val="57F8F3AB"/>
    <w:rsid w:val="5E1DD957"/>
    <w:rsid w:val="609B3236"/>
    <w:rsid w:val="64076DF7"/>
    <w:rsid w:val="655C0E93"/>
    <w:rsid w:val="6AD22978"/>
    <w:rsid w:val="6FB2C238"/>
    <w:rsid w:val="75914735"/>
    <w:rsid w:val="7FE433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0C1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0F1D"/>
  </w:style>
  <w:style w:type="paragraph" w:styleId="Heading1">
    <w:name w:val="heading 1"/>
    <w:basedOn w:val="Normal"/>
    <w:next w:val="Normal"/>
    <w:qFormat/>
    <w:pPr>
      <w:keepNext/>
      <w:outlineLvl w:val="0"/>
    </w:pPr>
    <w:rPr>
      <w:rFonts w:ascii="Palatino" w:hAnsi="Palatino"/>
      <w:b/>
      <w:sz w:val="26"/>
    </w:rPr>
  </w:style>
  <w:style w:type="paragraph" w:styleId="Heading2">
    <w:name w:val="heading 2"/>
    <w:basedOn w:val="Normal"/>
    <w:next w:val="Normal"/>
    <w:link w:val="Heading2Char"/>
    <w:unhideWhenUsed/>
    <w:qFormat/>
    <w:rsid w:val="00122E8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D562D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qFormat/>
    <w:pPr>
      <w:keepNext/>
      <w:spacing w:before="120"/>
      <w:jc w:val="righ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4"/>
    </w:rPr>
  </w:style>
  <w:style w:type="paragraph" w:styleId="BodyText">
    <w:name w:val="Body Text"/>
    <w:basedOn w:val="Normal"/>
    <w:rPr>
      <w:rFonts w:ascii="Palatino" w:hAnsi="Palatino"/>
      <w:sz w:val="24"/>
    </w:rPr>
  </w:style>
  <w:style w:type="paragraph" w:customStyle="1" w:styleId="letter">
    <w:name w:val="letter"/>
    <w:basedOn w:val="num1"/>
    <w:pPr>
      <w:spacing w:after="120" w:line="240" w:lineRule="auto"/>
      <w:ind w:left="994" w:hanging="274"/>
    </w:pPr>
  </w:style>
  <w:style w:type="paragraph" w:customStyle="1" w:styleId="num1">
    <w:name w:val="num1"/>
    <w:basedOn w:val="Normal"/>
    <w:pPr>
      <w:numPr>
        <w:numId w:val="2"/>
      </w:numPr>
      <w:tabs>
        <w:tab w:val="left" w:pos="-720"/>
        <w:tab w:val="num" w:pos="360"/>
      </w:tabs>
      <w:suppressAutoHyphens/>
      <w:spacing w:line="360" w:lineRule="auto"/>
      <w:ind w:firstLine="360"/>
    </w:pPr>
    <w:rPr>
      <w:rFonts w:ascii="Palatino" w:hAnsi="Palatino"/>
      <w:sz w:val="26"/>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63FBC"/>
    <w:rPr>
      <w:rFonts w:ascii="Tahoma" w:hAnsi="Tahoma" w:cs="Tahoma"/>
      <w:sz w:val="16"/>
      <w:szCs w:val="16"/>
    </w:rPr>
  </w:style>
  <w:style w:type="paragraph" w:customStyle="1" w:styleId="Default">
    <w:name w:val="Default"/>
    <w:rsid w:val="00F55CD5"/>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B86528"/>
    <w:pPr>
      <w:ind w:left="720"/>
    </w:pPr>
  </w:style>
  <w:style w:type="character" w:customStyle="1" w:styleId="FooterChar">
    <w:name w:val="Footer Char"/>
    <w:basedOn w:val="DefaultParagraphFont"/>
    <w:link w:val="Footer"/>
    <w:rsid w:val="000E18F7"/>
  </w:style>
  <w:style w:type="character" w:styleId="CommentReference">
    <w:name w:val="annotation reference"/>
    <w:basedOn w:val="DefaultParagraphFont"/>
    <w:rsid w:val="00520656"/>
    <w:rPr>
      <w:sz w:val="16"/>
      <w:szCs w:val="16"/>
    </w:rPr>
  </w:style>
  <w:style w:type="paragraph" w:styleId="CommentText">
    <w:name w:val="annotation text"/>
    <w:basedOn w:val="Normal"/>
    <w:link w:val="CommentTextChar"/>
    <w:rsid w:val="00520656"/>
  </w:style>
  <w:style w:type="character" w:customStyle="1" w:styleId="CommentTextChar">
    <w:name w:val="Comment Text Char"/>
    <w:basedOn w:val="DefaultParagraphFont"/>
    <w:link w:val="CommentText"/>
    <w:rsid w:val="00520656"/>
  </w:style>
  <w:style w:type="paragraph" w:styleId="CommentSubject">
    <w:name w:val="annotation subject"/>
    <w:basedOn w:val="CommentText"/>
    <w:next w:val="CommentText"/>
    <w:link w:val="CommentSubjectChar"/>
    <w:rsid w:val="00520656"/>
    <w:rPr>
      <w:b/>
      <w:bCs/>
    </w:rPr>
  </w:style>
  <w:style w:type="character" w:customStyle="1" w:styleId="CommentSubjectChar">
    <w:name w:val="Comment Subject Char"/>
    <w:basedOn w:val="CommentTextChar"/>
    <w:link w:val="CommentSubject"/>
    <w:rsid w:val="00520656"/>
    <w:rPr>
      <w:b/>
      <w:bCs/>
    </w:rPr>
  </w:style>
  <w:style w:type="paragraph" w:styleId="Revision">
    <w:name w:val="Revision"/>
    <w:hidden/>
    <w:uiPriority w:val="99"/>
    <w:semiHidden/>
    <w:rsid w:val="00F7550D"/>
  </w:style>
  <w:style w:type="character" w:customStyle="1" w:styleId="UnresolvedMention1">
    <w:name w:val="Unresolved Mention1"/>
    <w:basedOn w:val="DefaultParagraphFont"/>
    <w:uiPriority w:val="99"/>
    <w:semiHidden/>
    <w:unhideWhenUsed/>
    <w:rsid w:val="00E610CD"/>
    <w:rPr>
      <w:color w:val="605E5C"/>
      <w:shd w:val="clear" w:color="auto" w:fill="E1DFDD"/>
    </w:rPr>
  </w:style>
  <w:style w:type="character" w:styleId="Emphasis">
    <w:name w:val="Emphasis"/>
    <w:basedOn w:val="DefaultParagraphFont"/>
    <w:uiPriority w:val="20"/>
    <w:qFormat/>
    <w:rsid w:val="000117C8"/>
    <w:rPr>
      <w:b/>
      <w:bCs/>
      <w:i w:val="0"/>
      <w:iCs w:val="0"/>
    </w:rPr>
  </w:style>
  <w:style w:type="character" w:customStyle="1" w:styleId="st1">
    <w:name w:val="st1"/>
    <w:basedOn w:val="DefaultParagraphFont"/>
    <w:rsid w:val="000117C8"/>
  </w:style>
  <w:style w:type="character" w:customStyle="1" w:styleId="Heading6Char">
    <w:name w:val="Heading 6 Char"/>
    <w:link w:val="Heading6"/>
    <w:rsid w:val="00DF13F9"/>
    <w:rPr>
      <w:sz w:val="24"/>
    </w:rPr>
  </w:style>
  <w:style w:type="character" w:customStyle="1" w:styleId="Heading2Char">
    <w:name w:val="Heading 2 Char"/>
    <w:basedOn w:val="DefaultParagraphFont"/>
    <w:link w:val="Heading2"/>
    <w:rsid w:val="00122E8E"/>
    <w:rPr>
      <w:rFonts w:asciiTheme="majorHAnsi" w:eastAsiaTheme="majorEastAsia" w:hAnsiTheme="majorHAnsi" w:cstheme="majorBidi"/>
      <w:color w:val="365F91" w:themeColor="accent1" w:themeShade="BF"/>
      <w:sz w:val="26"/>
      <w:szCs w:val="26"/>
    </w:rPr>
  </w:style>
  <w:style w:type="paragraph" w:styleId="PlainText">
    <w:name w:val="Plain Text"/>
    <w:basedOn w:val="Normal"/>
    <w:link w:val="PlainTextChar"/>
    <w:semiHidden/>
    <w:unhideWhenUsed/>
    <w:rsid w:val="009310C5"/>
    <w:rPr>
      <w:rFonts w:ascii="Consolas" w:hAnsi="Consolas" w:cs="Consolas"/>
      <w:sz w:val="21"/>
      <w:szCs w:val="21"/>
    </w:rPr>
  </w:style>
  <w:style w:type="character" w:customStyle="1" w:styleId="PlainTextChar">
    <w:name w:val="Plain Text Char"/>
    <w:basedOn w:val="DefaultParagraphFont"/>
    <w:link w:val="PlainText"/>
    <w:semiHidden/>
    <w:rsid w:val="009310C5"/>
    <w:rPr>
      <w:rFonts w:ascii="Consolas" w:hAnsi="Consolas" w:cs="Consolas"/>
      <w:sz w:val="21"/>
      <w:szCs w:val="21"/>
    </w:rPr>
  </w:style>
  <w:style w:type="character" w:styleId="UnresolvedMention">
    <w:name w:val="Unresolved Mention"/>
    <w:basedOn w:val="DefaultParagraphFont"/>
    <w:uiPriority w:val="99"/>
    <w:semiHidden/>
    <w:unhideWhenUsed/>
    <w:rsid w:val="00724DA0"/>
    <w:rPr>
      <w:color w:val="605E5C"/>
      <w:shd w:val="clear" w:color="auto" w:fill="E1DFDD"/>
    </w:rPr>
  </w:style>
  <w:style w:type="character" w:customStyle="1" w:styleId="Heading3Char">
    <w:name w:val="Heading 3 Char"/>
    <w:basedOn w:val="DefaultParagraphFont"/>
    <w:link w:val="Heading3"/>
    <w:semiHidden/>
    <w:rsid w:val="00D562D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D562D9"/>
    <w:pPr>
      <w:spacing w:before="100" w:beforeAutospacing="1" w:after="100" w:afterAutospacing="1"/>
    </w:pPr>
    <w:rPr>
      <w:sz w:val="24"/>
      <w:szCs w:val="24"/>
    </w:rPr>
  </w:style>
  <w:style w:type="character" w:styleId="Strong">
    <w:name w:val="Strong"/>
    <w:basedOn w:val="DefaultParagraphFont"/>
    <w:uiPriority w:val="22"/>
    <w:qFormat/>
    <w:rsid w:val="00646885"/>
    <w:rPr>
      <w:b/>
      <w:bCs/>
    </w:rPr>
  </w:style>
  <w:style w:type="paragraph" w:styleId="z-TopofForm">
    <w:name w:val="HTML Top of Form"/>
    <w:basedOn w:val="Normal"/>
    <w:next w:val="Normal"/>
    <w:link w:val="z-TopofFormChar"/>
    <w:hidden/>
    <w:uiPriority w:val="99"/>
    <w:semiHidden/>
    <w:unhideWhenUsed/>
    <w:rsid w:val="0064688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46885"/>
    <w:rPr>
      <w:rFonts w:ascii="Arial" w:hAnsi="Arial" w:cs="Arial"/>
      <w:vanish/>
      <w:sz w:val="16"/>
      <w:szCs w:val="16"/>
    </w:rPr>
  </w:style>
  <w:style w:type="paragraph" w:styleId="NoSpacing">
    <w:name w:val="No Spacing"/>
    <w:uiPriority w:val="1"/>
    <w:qFormat/>
    <w:rsid w:val="00613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0747">
      <w:bodyDiv w:val="1"/>
      <w:marLeft w:val="0"/>
      <w:marRight w:val="0"/>
      <w:marTop w:val="0"/>
      <w:marBottom w:val="0"/>
      <w:divBdr>
        <w:top w:val="none" w:sz="0" w:space="0" w:color="auto"/>
        <w:left w:val="none" w:sz="0" w:space="0" w:color="auto"/>
        <w:bottom w:val="none" w:sz="0" w:space="0" w:color="auto"/>
        <w:right w:val="none" w:sz="0" w:space="0" w:color="auto"/>
      </w:divBdr>
      <w:divsChild>
        <w:div w:id="2010017032">
          <w:marLeft w:val="0"/>
          <w:marRight w:val="0"/>
          <w:marTop w:val="0"/>
          <w:marBottom w:val="0"/>
          <w:divBdr>
            <w:top w:val="none" w:sz="0" w:space="0" w:color="auto"/>
            <w:left w:val="none" w:sz="0" w:space="0" w:color="auto"/>
            <w:bottom w:val="none" w:sz="0" w:space="0" w:color="auto"/>
            <w:right w:val="none" w:sz="0" w:space="0" w:color="auto"/>
          </w:divBdr>
          <w:divsChild>
            <w:div w:id="244845259">
              <w:marLeft w:val="0"/>
              <w:marRight w:val="0"/>
              <w:marTop w:val="0"/>
              <w:marBottom w:val="0"/>
              <w:divBdr>
                <w:top w:val="none" w:sz="0" w:space="0" w:color="auto"/>
                <w:left w:val="none" w:sz="0" w:space="0" w:color="auto"/>
                <w:bottom w:val="none" w:sz="0" w:space="0" w:color="auto"/>
                <w:right w:val="none" w:sz="0" w:space="0" w:color="auto"/>
              </w:divBdr>
            </w:div>
            <w:div w:id="688065799">
              <w:marLeft w:val="0"/>
              <w:marRight w:val="0"/>
              <w:marTop w:val="0"/>
              <w:marBottom w:val="0"/>
              <w:divBdr>
                <w:top w:val="none" w:sz="0" w:space="0" w:color="auto"/>
                <w:left w:val="none" w:sz="0" w:space="0" w:color="auto"/>
                <w:bottom w:val="none" w:sz="0" w:space="0" w:color="auto"/>
                <w:right w:val="none" w:sz="0" w:space="0" w:color="auto"/>
              </w:divBdr>
            </w:div>
            <w:div w:id="690575072">
              <w:marLeft w:val="0"/>
              <w:marRight w:val="0"/>
              <w:marTop w:val="0"/>
              <w:marBottom w:val="0"/>
              <w:divBdr>
                <w:top w:val="none" w:sz="0" w:space="0" w:color="auto"/>
                <w:left w:val="none" w:sz="0" w:space="0" w:color="auto"/>
                <w:bottom w:val="none" w:sz="0" w:space="0" w:color="auto"/>
                <w:right w:val="none" w:sz="0" w:space="0" w:color="auto"/>
              </w:divBdr>
            </w:div>
            <w:div w:id="143539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0564">
      <w:bodyDiv w:val="1"/>
      <w:marLeft w:val="0"/>
      <w:marRight w:val="0"/>
      <w:marTop w:val="0"/>
      <w:marBottom w:val="0"/>
      <w:divBdr>
        <w:top w:val="none" w:sz="0" w:space="0" w:color="auto"/>
        <w:left w:val="none" w:sz="0" w:space="0" w:color="auto"/>
        <w:bottom w:val="none" w:sz="0" w:space="0" w:color="auto"/>
        <w:right w:val="none" w:sz="0" w:space="0" w:color="auto"/>
      </w:divBdr>
    </w:div>
    <w:div w:id="177698415">
      <w:bodyDiv w:val="1"/>
      <w:marLeft w:val="0"/>
      <w:marRight w:val="0"/>
      <w:marTop w:val="0"/>
      <w:marBottom w:val="0"/>
      <w:divBdr>
        <w:top w:val="none" w:sz="0" w:space="0" w:color="auto"/>
        <w:left w:val="none" w:sz="0" w:space="0" w:color="auto"/>
        <w:bottom w:val="none" w:sz="0" w:space="0" w:color="auto"/>
        <w:right w:val="none" w:sz="0" w:space="0" w:color="auto"/>
      </w:divBdr>
      <w:divsChild>
        <w:div w:id="62988581">
          <w:marLeft w:val="0"/>
          <w:marRight w:val="0"/>
          <w:marTop w:val="0"/>
          <w:marBottom w:val="0"/>
          <w:divBdr>
            <w:top w:val="single" w:sz="2" w:space="0" w:color="D9D9E3"/>
            <w:left w:val="single" w:sz="2" w:space="0" w:color="D9D9E3"/>
            <w:bottom w:val="single" w:sz="2" w:space="0" w:color="D9D9E3"/>
            <w:right w:val="single" w:sz="2" w:space="0" w:color="D9D9E3"/>
          </w:divBdr>
          <w:divsChild>
            <w:div w:id="491262270">
              <w:marLeft w:val="0"/>
              <w:marRight w:val="0"/>
              <w:marTop w:val="0"/>
              <w:marBottom w:val="0"/>
              <w:divBdr>
                <w:top w:val="single" w:sz="2" w:space="0" w:color="D9D9E3"/>
                <w:left w:val="single" w:sz="2" w:space="0" w:color="D9D9E3"/>
                <w:bottom w:val="single" w:sz="2" w:space="0" w:color="D9D9E3"/>
                <w:right w:val="single" w:sz="2" w:space="0" w:color="D9D9E3"/>
              </w:divBdr>
              <w:divsChild>
                <w:div w:id="17901199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09538540">
          <w:marLeft w:val="0"/>
          <w:marRight w:val="0"/>
          <w:marTop w:val="0"/>
          <w:marBottom w:val="0"/>
          <w:divBdr>
            <w:top w:val="single" w:sz="2" w:space="0" w:color="D9D9E3"/>
            <w:left w:val="single" w:sz="2" w:space="0" w:color="D9D9E3"/>
            <w:bottom w:val="single" w:sz="2" w:space="0" w:color="D9D9E3"/>
            <w:right w:val="single" w:sz="2" w:space="0" w:color="D9D9E3"/>
          </w:divBdr>
          <w:divsChild>
            <w:div w:id="51926232">
              <w:marLeft w:val="0"/>
              <w:marRight w:val="0"/>
              <w:marTop w:val="0"/>
              <w:marBottom w:val="0"/>
              <w:divBdr>
                <w:top w:val="single" w:sz="2" w:space="0" w:color="D9D9E3"/>
                <w:left w:val="single" w:sz="2" w:space="0" w:color="D9D9E3"/>
                <w:bottom w:val="single" w:sz="2" w:space="0" w:color="D9D9E3"/>
                <w:right w:val="single" w:sz="2" w:space="0" w:color="D9D9E3"/>
              </w:divBdr>
              <w:divsChild>
                <w:div w:id="1725788054">
                  <w:marLeft w:val="0"/>
                  <w:marRight w:val="0"/>
                  <w:marTop w:val="0"/>
                  <w:marBottom w:val="0"/>
                  <w:divBdr>
                    <w:top w:val="single" w:sz="2" w:space="0" w:color="D9D9E3"/>
                    <w:left w:val="single" w:sz="2" w:space="0" w:color="D9D9E3"/>
                    <w:bottom w:val="single" w:sz="2" w:space="0" w:color="D9D9E3"/>
                    <w:right w:val="single" w:sz="2" w:space="0" w:color="D9D9E3"/>
                  </w:divBdr>
                  <w:divsChild>
                    <w:div w:id="4538381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79149115">
      <w:bodyDiv w:val="1"/>
      <w:marLeft w:val="0"/>
      <w:marRight w:val="0"/>
      <w:marTop w:val="0"/>
      <w:marBottom w:val="0"/>
      <w:divBdr>
        <w:top w:val="none" w:sz="0" w:space="0" w:color="auto"/>
        <w:left w:val="none" w:sz="0" w:space="0" w:color="auto"/>
        <w:bottom w:val="none" w:sz="0" w:space="0" w:color="auto"/>
        <w:right w:val="none" w:sz="0" w:space="0" w:color="auto"/>
      </w:divBdr>
      <w:divsChild>
        <w:div w:id="1793016646">
          <w:marLeft w:val="0"/>
          <w:marRight w:val="0"/>
          <w:marTop w:val="0"/>
          <w:marBottom w:val="0"/>
          <w:divBdr>
            <w:top w:val="single" w:sz="2" w:space="0" w:color="D9D9E3"/>
            <w:left w:val="single" w:sz="2" w:space="0" w:color="D9D9E3"/>
            <w:bottom w:val="single" w:sz="2" w:space="0" w:color="D9D9E3"/>
            <w:right w:val="single" w:sz="2" w:space="0" w:color="D9D9E3"/>
          </w:divBdr>
          <w:divsChild>
            <w:div w:id="2108191158">
              <w:marLeft w:val="0"/>
              <w:marRight w:val="0"/>
              <w:marTop w:val="0"/>
              <w:marBottom w:val="0"/>
              <w:divBdr>
                <w:top w:val="single" w:sz="2" w:space="0" w:color="D9D9E3"/>
                <w:left w:val="single" w:sz="2" w:space="0" w:color="D9D9E3"/>
                <w:bottom w:val="single" w:sz="2" w:space="0" w:color="D9D9E3"/>
                <w:right w:val="single" w:sz="2" w:space="0" w:color="D9D9E3"/>
              </w:divBdr>
              <w:divsChild>
                <w:div w:id="317417286">
                  <w:marLeft w:val="0"/>
                  <w:marRight w:val="0"/>
                  <w:marTop w:val="0"/>
                  <w:marBottom w:val="0"/>
                  <w:divBdr>
                    <w:top w:val="single" w:sz="2" w:space="0" w:color="D9D9E3"/>
                    <w:left w:val="single" w:sz="2" w:space="0" w:color="D9D9E3"/>
                    <w:bottom w:val="single" w:sz="2" w:space="0" w:color="D9D9E3"/>
                    <w:right w:val="single" w:sz="2" w:space="0" w:color="D9D9E3"/>
                  </w:divBdr>
                  <w:divsChild>
                    <w:div w:id="1923487482">
                      <w:marLeft w:val="0"/>
                      <w:marRight w:val="0"/>
                      <w:marTop w:val="0"/>
                      <w:marBottom w:val="0"/>
                      <w:divBdr>
                        <w:top w:val="single" w:sz="2" w:space="0" w:color="D9D9E3"/>
                        <w:left w:val="single" w:sz="2" w:space="0" w:color="D9D9E3"/>
                        <w:bottom w:val="single" w:sz="2" w:space="0" w:color="D9D9E3"/>
                        <w:right w:val="single" w:sz="2" w:space="0" w:color="D9D9E3"/>
                      </w:divBdr>
                      <w:divsChild>
                        <w:div w:id="507716944">
                          <w:marLeft w:val="0"/>
                          <w:marRight w:val="0"/>
                          <w:marTop w:val="0"/>
                          <w:marBottom w:val="0"/>
                          <w:divBdr>
                            <w:top w:val="single" w:sz="2" w:space="0" w:color="auto"/>
                            <w:left w:val="single" w:sz="2" w:space="0" w:color="auto"/>
                            <w:bottom w:val="single" w:sz="6" w:space="0" w:color="auto"/>
                            <w:right w:val="single" w:sz="2" w:space="0" w:color="auto"/>
                          </w:divBdr>
                          <w:divsChild>
                            <w:div w:id="598223595">
                              <w:marLeft w:val="0"/>
                              <w:marRight w:val="0"/>
                              <w:marTop w:val="100"/>
                              <w:marBottom w:val="100"/>
                              <w:divBdr>
                                <w:top w:val="single" w:sz="2" w:space="0" w:color="D9D9E3"/>
                                <w:left w:val="single" w:sz="2" w:space="0" w:color="D9D9E3"/>
                                <w:bottom w:val="single" w:sz="2" w:space="0" w:color="D9D9E3"/>
                                <w:right w:val="single" w:sz="2" w:space="0" w:color="D9D9E3"/>
                              </w:divBdr>
                              <w:divsChild>
                                <w:div w:id="1245531859">
                                  <w:marLeft w:val="0"/>
                                  <w:marRight w:val="0"/>
                                  <w:marTop w:val="0"/>
                                  <w:marBottom w:val="0"/>
                                  <w:divBdr>
                                    <w:top w:val="single" w:sz="2" w:space="0" w:color="D9D9E3"/>
                                    <w:left w:val="single" w:sz="2" w:space="0" w:color="D9D9E3"/>
                                    <w:bottom w:val="single" w:sz="2" w:space="0" w:color="D9D9E3"/>
                                    <w:right w:val="single" w:sz="2" w:space="0" w:color="D9D9E3"/>
                                  </w:divBdr>
                                  <w:divsChild>
                                    <w:div w:id="57018497">
                                      <w:marLeft w:val="0"/>
                                      <w:marRight w:val="0"/>
                                      <w:marTop w:val="0"/>
                                      <w:marBottom w:val="0"/>
                                      <w:divBdr>
                                        <w:top w:val="single" w:sz="2" w:space="0" w:color="D9D9E3"/>
                                        <w:left w:val="single" w:sz="2" w:space="0" w:color="D9D9E3"/>
                                        <w:bottom w:val="single" w:sz="2" w:space="0" w:color="D9D9E3"/>
                                        <w:right w:val="single" w:sz="2" w:space="0" w:color="D9D9E3"/>
                                      </w:divBdr>
                                      <w:divsChild>
                                        <w:div w:id="1894996595">
                                          <w:marLeft w:val="0"/>
                                          <w:marRight w:val="0"/>
                                          <w:marTop w:val="0"/>
                                          <w:marBottom w:val="0"/>
                                          <w:divBdr>
                                            <w:top w:val="single" w:sz="2" w:space="0" w:color="D9D9E3"/>
                                            <w:left w:val="single" w:sz="2" w:space="0" w:color="D9D9E3"/>
                                            <w:bottom w:val="single" w:sz="2" w:space="0" w:color="D9D9E3"/>
                                            <w:right w:val="single" w:sz="2" w:space="0" w:color="D9D9E3"/>
                                          </w:divBdr>
                                          <w:divsChild>
                                            <w:div w:id="1285506209">
                                              <w:marLeft w:val="0"/>
                                              <w:marRight w:val="0"/>
                                              <w:marTop w:val="0"/>
                                              <w:marBottom w:val="0"/>
                                              <w:divBdr>
                                                <w:top w:val="single" w:sz="2" w:space="0" w:color="D9D9E3"/>
                                                <w:left w:val="single" w:sz="2" w:space="0" w:color="D9D9E3"/>
                                                <w:bottom w:val="single" w:sz="2" w:space="0" w:color="D9D9E3"/>
                                                <w:right w:val="single" w:sz="2" w:space="0" w:color="D9D9E3"/>
                                              </w:divBdr>
                                              <w:divsChild>
                                                <w:div w:id="580199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842083935">
          <w:marLeft w:val="0"/>
          <w:marRight w:val="0"/>
          <w:marTop w:val="0"/>
          <w:marBottom w:val="0"/>
          <w:divBdr>
            <w:top w:val="none" w:sz="0" w:space="0" w:color="auto"/>
            <w:left w:val="none" w:sz="0" w:space="0" w:color="auto"/>
            <w:bottom w:val="none" w:sz="0" w:space="0" w:color="auto"/>
            <w:right w:val="none" w:sz="0" w:space="0" w:color="auto"/>
          </w:divBdr>
        </w:div>
      </w:divsChild>
    </w:div>
    <w:div w:id="297683983">
      <w:bodyDiv w:val="1"/>
      <w:marLeft w:val="0"/>
      <w:marRight w:val="0"/>
      <w:marTop w:val="0"/>
      <w:marBottom w:val="0"/>
      <w:divBdr>
        <w:top w:val="none" w:sz="0" w:space="0" w:color="auto"/>
        <w:left w:val="none" w:sz="0" w:space="0" w:color="auto"/>
        <w:bottom w:val="none" w:sz="0" w:space="0" w:color="auto"/>
        <w:right w:val="none" w:sz="0" w:space="0" w:color="auto"/>
      </w:divBdr>
    </w:div>
    <w:div w:id="334462729">
      <w:bodyDiv w:val="1"/>
      <w:marLeft w:val="0"/>
      <w:marRight w:val="0"/>
      <w:marTop w:val="0"/>
      <w:marBottom w:val="0"/>
      <w:divBdr>
        <w:top w:val="none" w:sz="0" w:space="0" w:color="auto"/>
        <w:left w:val="none" w:sz="0" w:space="0" w:color="auto"/>
        <w:bottom w:val="none" w:sz="0" w:space="0" w:color="auto"/>
        <w:right w:val="none" w:sz="0" w:space="0" w:color="auto"/>
      </w:divBdr>
    </w:div>
    <w:div w:id="336421553">
      <w:bodyDiv w:val="1"/>
      <w:marLeft w:val="0"/>
      <w:marRight w:val="0"/>
      <w:marTop w:val="0"/>
      <w:marBottom w:val="0"/>
      <w:divBdr>
        <w:top w:val="none" w:sz="0" w:space="0" w:color="auto"/>
        <w:left w:val="none" w:sz="0" w:space="0" w:color="auto"/>
        <w:bottom w:val="none" w:sz="0" w:space="0" w:color="auto"/>
        <w:right w:val="none" w:sz="0" w:space="0" w:color="auto"/>
      </w:divBdr>
      <w:divsChild>
        <w:div w:id="1786534737">
          <w:marLeft w:val="0"/>
          <w:marRight w:val="0"/>
          <w:marTop w:val="0"/>
          <w:marBottom w:val="0"/>
          <w:divBdr>
            <w:top w:val="single" w:sz="2" w:space="0" w:color="D9D9E3"/>
            <w:left w:val="single" w:sz="2" w:space="0" w:color="D9D9E3"/>
            <w:bottom w:val="single" w:sz="2" w:space="0" w:color="D9D9E3"/>
            <w:right w:val="single" w:sz="2" w:space="0" w:color="D9D9E3"/>
          </w:divBdr>
          <w:divsChild>
            <w:div w:id="1469742285">
              <w:marLeft w:val="0"/>
              <w:marRight w:val="0"/>
              <w:marTop w:val="0"/>
              <w:marBottom w:val="0"/>
              <w:divBdr>
                <w:top w:val="single" w:sz="2" w:space="0" w:color="D9D9E3"/>
                <w:left w:val="single" w:sz="2" w:space="0" w:color="D9D9E3"/>
                <w:bottom w:val="single" w:sz="2" w:space="0" w:color="D9D9E3"/>
                <w:right w:val="single" w:sz="2" w:space="0" w:color="D9D9E3"/>
              </w:divBdr>
              <w:divsChild>
                <w:div w:id="1361976257">
                  <w:marLeft w:val="0"/>
                  <w:marRight w:val="0"/>
                  <w:marTop w:val="0"/>
                  <w:marBottom w:val="0"/>
                  <w:divBdr>
                    <w:top w:val="single" w:sz="2" w:space="0" w:color="D9D9E3"/>
                    <w:left w:val="single" w:sz="2" w:space="0" w:color="D9D9E3"/>
                    <w:bottom w:val="single" w:sz="2" w:space="0" w:color="D9D9E3"/>
                    <w:right w:val="single" w:sz="2" w:space="0" w:color="D9D9E3"/>
                  </w:divBdr>
                  <w:divsChild>
                    <w:div w:id="258217200">
                      <w:marLeft w:val="0"/>
                      <w:marRight w:val="0"/>
                      <w:marTop w:val="0"/>
                      <w:marBottom w:val="0"/>
                      <w:divBdr>
                        <w:top w:val="single" w:sz="2" w:space="0" w:color="D9D9E3"/>
                        <w:left w:val="single" w:sz="2" w:space="0" w:color="D9D9E3"/>
                        <w:bottom w:val="single" w:sz="2" w:space="0" w:color="D9D9E3"/>
                        <w:right w:val="single" w:sz="2" w:space="0" w:color="D9D9E3"/>
                      </w:divBdr>
                      <w:divsChild>
                        <w:div w:id="1556088482">
                          <w:marLeft w:val="0"/>
                          <w:marRight w:val="0"/>
                          <w:marTop w:val="0"/>
                          <w:marBottom w:val="0"/>
                          <w:divBdr>
                            <w:top w:val="none" w:sz="0" w:space="0" w:color="auto"/>
                            <w:left w:val="none" w:sz="0" w:space="0" w:color="auto"/>
                            <w:bottom w:val="none" w:sz="0" w:space="0" w:color="auto"/>
                            <w:right w:val="none" w:sz="0" w:space="0" w:color="auto"/>
                          </w:divBdr>
                          <w:divsChild>
                            <w:div w:id="921986274">
                              <w:marLeft w:val="0"/>
                              <w:marRight w:val="0"/>
                              <w:marTop w:val="100"/>
                              <w:marBottom w:val="100"/>
                              <w:divBdr>
                                <w:top w:val="single" w:sz="2" w:space="0" w:color="D9D9E3"/>
                                <w:left w:val="single" w:sz="2" w:space="0" w:color="D9D9E3"/>
                                <w:bottom w:val="single" w:sz="2" w:space="0" w:color="D9D9E3"/>
                                <w:right w:val="single" w:sz="2" w:space="0" w:color="D9D9E3"/>
                              </w:divBdr>
                              <w:divsChild>
                                <w:div w:id="956444316">
                                  <w:marLeft w:val="0"/>
                                  <w:marRight w:val="0"/>
                                  <w:marTop w:val="0"/>
                                  <w:marBottom w:val="0"/>
                                  <w:divBdr>
                                    <w:top w:val="single" w:sz="2" w:space="0" w:color="D9D9E3"/>
                                    <w:left w:val="single" w:sz="2" w:space="0" w:color="D9D9E3"/>
                                    <w:bottom w:val="single" w:sz="2" w:space="0" w:color="D9D9E3"/>
                                    <w:right w:val="single" w:sz="2" w:space="0" w:color="D9D9E3"/>
                                  </w:divBdr>
                                  <w:divsChild>
                                    <w:div w:id="153840749">
                                      <w:marLeft w:val="0"/>
                                      <w:marRight w:val="0"/>
                                      <w:marTop w:val="0"/>
                                      <w:marBottom w:val="0"/>
                                      <w:divBdr>
                                        <w:top w:val="single" w:sz="2" w:space="0" w:color="D9D9E3"/>
                                        <w:left w:val="single" w:sz="2" w:space="0" w:color="D9D9E3"/>
                                        <w:bottom w:val="single" w:sz="2" w:space="0" w:color="D9D9E3"/>
                                        <w:right w:val="single" w:sz="2" w:space="0" w:color="D9D9E3"/>
                                      </w:divBdr>
                                      <w:divsChild>
                                        <w:div w:id="416708023">
                                          <w:marLeft w:val="0"/>
                                          <w:marRight w:val="0"/>
                                          <w:marTop w:val="0"/>
                                          <w:marBottom w:val="0"/>
                                          <w:divBdr>
                                            <w:top w:val="single" w:sz="2" w:space="0" w:color="D9D9E3"/>
                                            <w:left w:val="single" w:sz="2" w:space="0" w:color="D9D9E3"/>
                                            <w:bottom w:val="single" w:sz="2" w:space="0" w:color="D9D9E3"/>
                                            <w:right w:val="single" w:sz="2" w:space="0" w:color="D9D9E3"/>
                                          </w:divBdr>
                                          <w:divsChild>
                                            <w:div w:id="680400491">
                                              <w:marLeft w:val="0"/>
                                              <w:marRight w:val="0"/>
                                              <w:marTop w:val="0"/>
                                              <w:marBottom w:val="0"/>
                                              <w:divBdr>
                                                <w:top w:val="single" w:sz="2" w:space="0" w:color="D9D9E3"/>
                                                <w:left w:val="single" w:sz="2" w:space="0" w:color="D9D9E3"/>
                                                <w:bottom w:val="single" w:sz="2" w:space="0" w:color="D9D9E3"/>
                                                <w:right w:val="single" w:sz="2" w:space="0" w:color="D9D9E3"/>
                                              </w:divBdr>
                                              <w:divsChild>
                                                <w:div w:id="2002539080">
                                                  <w:marLeft w:val="0"/>
                                                  <w:marRight w:val="0"/>
                                                  <w:marTop w:val="0"/>
                                                  <w:marBottom w:val="0"/>
                                                  <w:divBdr>
                                                    <w:top w:val="single" w:sz="2" w:space="0" w:color="D9D9E3"/>
                                                    <w:left w:val="single" w:sz="2" w:space="0" w:color="D9D9E3"/>
                                                    <w:bottom w:val="single" w:sz="2" w:space="0" w:color="D9D9E3"/>
                                                    <w:right w:val="single" w:sz="2" w:space="0" w:color="D9D9E3"/>
                                                  </w:divBdr>
                                                  <w:divsChild>
                                                    <w:div w:id="981815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02464497">
          <w:marLeft w:val="0"/>
          <w:marRight w:val="0"/>
          <w:marTop w:val="0"/>
          <w:marBottom w:val="0"/>
          <w:divBdr>
            <w:top w:val="none" w:sz="0" w:space="0" w:color="auto"/>
            <w:left w:val="none" w:sz="0" w:space="0" w:color="auto"/>
            <w:bottom w:val="none" w:sz="0" w:space="0" w:color="auto"/>
            <w:right w:val="none" w:sz="0" w:space="0" w:color="auto"/>
          </w:divBdr>
        </w:div>
      </w:divsChild>
    </w:div>
    <w:div w:id="449058426">
      <w:bodyDiv w:val="1"/>
      <w:marLeft w:val="0"/>
      <w:marRight w:val="0"/>
      <w:marTop w:val="0"/>
      <w:marBottom w:val="0"/>
      <w:divBdr>
        <w:top w:val="none" w:sz="0" w:space="0" w:color="auto"/>
        <w:left w:val="none" w:sz="0" w:space="0" w:color="auto"/>
        <w:bottom w:val="none" w:sz="0" w:space="0" w:color="auto"/>
        <w:right w:val="none" w:sz="0" w:space="0" w:color="auto"/>
      </w:divBdr>
    </w:div>
    <w:div w:id="725881178">
      <w:bodyDiv w:val="1"/>
      <w:marLeft w:val="0"/>
      <w:marRight w:val="0"/>
      <w:marTop w:val="0"/>
      <w:marBottom w:val="0"/>
      <w:divBdr>
        <w:top w:val="none" w:sz="0" w:space="0" w:color="auto"/>
        <w:left w:val="none" w:sz="0" w:space="0" w:color="auto"/>
        <w:bottom w:val="none" w:sz="0" w:space="0" w:color="auto"/>
        <w:right w:val="none" w:sz="0" w:space="0" w:color="auto"/>
      </w:divBdr>
    </w:div>
    <w:div w:id="896746956">
      <w:bodyDiv w:val="1"/>
      <w:marLeft w:val="0"/>
      <w:marRight w:val="0"/>
      <w:marTop w:val="0"/>
      <w:marBottom w:val="0"/>
      <w:divBdr>
        <w:top w:val="none" w:sz="0" w:space="0" w:color="auto"/>
        <w:left w:val="none" w:sz="0" w:space="0" w:color="auto"/>
        <w:bottom w:val="none" w:sz="0" w:space="0" w:color="auto"/>
        <w:right w:val="none" w:sz="0" w:space="0" w:color="auto"/>
      </w:divBdr>
    </w:div>
    <w:div w:id="999310929">
      <w:bodyDiv w:val="1"/>
      <w:marLeft w:val="0"/>
      <w:marRight w:val="0"/>
      <w:marTop w:val="0"/>
      <w:marBottom w:val="0"/>
      <w:divBdr>
        <w:top w:val="none" w:sz="0" w:space="0" w:color="auto"/>
        <w:left w:val="none" w:sz="0" w:space="0" w:color="auto"/>
        <w:bottom w:val="none" w:sz="0" w:space="0" w:color="auto"/>
        <w:right w:val="none" w:sz="0" w:space="0" w:color="auto"/>
      </w:divBdr>
    </w:div>
    <w:div w:id="1090078502">
      <w:bodyDiv w:val="1"/>
      <w:marLeft w:val="0"/>
      <w:marRight w:val="0"/>
      <w:marTop w:val="0"/>
      <w:marBottom w:val="0"/>
      <w:divBdr>
        <w:top w:val="none" w:sz="0" w:space="0" w:color="auto"/>
        <w:left w:val="none" w:sz="0" w:space="0" w:color="auto"/>
        <w:bottom w:val="none" w:sz="0" w:space="0" w:color="auto"/>
        <w:right w:val="none" w:sz="0" w:space="0" w:color="auto"/>
      </w:divBdr>
    </w:div>
    <w:div w:id="1245796239">
      <w:bodyDiv w:val="1"/>
      <w:marLeft w:val="0"/>
      <w:marRight w:val="0"/>
      <w:marTop w:val="0"/>
      <w:marBottom w:val="0"/>
      <w:divBdr>
        <w:top w:val="none" w:sz="0" w:space="0" w:color="auto"/>
        <w:left w:val="none" w:sz="0" w:space="0" w:color="auto"/>
        <w:bottom w:val="none" w:sz="0" w:space="0" w:color="auto"/>
        <w:right w:val="none" w:sz="0" w:space="0" w:color="auto"/>
      </w:divBdr>
    </w:div>
    <w:div w:id="1294363515">
      <w:bodyDiv w:val="1"/>
      <w:marLeft w:val="0"/>
      <w:marRight w:val="0"/>
      <w:marTop w:val="0"/>
      <w:marBottom w:val="0"/>
      <w:divBdr>
        <w:top w:val="none" w:sz="0" w:space="0" w:color="auto"/>
        <w:left w:val="none" w:sz="0" w:space="0" w:color="auto"/>
        <w:bottom w:val="none" w:sz="0" w:space="0" w:color="auto"/>
        <w:right w:val="none" w:sz="0" w:space="0" w:color="auto"/>
      </w:divBdr>
    </w:div>
    <w:div w:id="1422219236">
      <w:bodyDiv w:val="1"/>
      <w:marLeft w:val="0"/>
      <w:marRight w:val="0"/>
      <w:marTop w:val="0"/>
      <w:marBottom w:val="0"/>
      <w:divBdr>
        <w:top w:val="none" w:sz="0" w:space="0" w:color="auto"/>
        <w:left w:val="none" w:sz="0" w:space="0" w:color="auto"/>
        <w:bottom w:val="none" w:sz="0" w:space="0" w:color="auto"/>
        <w:right w:val="none" w:sz="0" w:space="0" w:color="auto"/>
      </w:divBdr>
    </w:div>
    <w:div w:id="1588273985">
      <w:bodyDiv w:val="1"/>
      <w:marLeft w:val="0"/>
      <w:marRight w:val="0"/>
      <w:marTop w:val="0"/>
      <w:marBottom w:val="0"/>
      <w:divBdr>
        <w:top w:val="none" w:sz="0" w:space="0" w:color="auto"/>
        <w:left w:val="none" w:sz="0" w:space="0" w:color="auto"/>
        <w:bottom w:val="none" w:sz="0" w:space="0" w:color="auto"/>
        <w:right w:val="none" w:sz="0" w:space="0" w:color="auto"/>
      </w:divBdr>
    </w:div>
    <w:div w:id="1865049508">
      <w:bodyDiv w:val="1"/>
      <w:marLeft w:val="0"/>
      <w:marRight w:val="0"/>
      <w:marTop w:val="0"/>
      <w:marBottom w:val="0"/>
      <w:divBdr>
        <w:top w:val="none" w:sz="0" w:space="0" w:color="auto"/>
        <w:left w:val="none" w:sz="0" w:space="0" w:color="auto"/>
        <w:bottom w:val="none" w:sz="0" w:space="0" w:color="auto"/>
        <w:right w:val="none" w:sz="0" w:space="0" w:color="auto"/>
      </w:divBdr>
      <w:divsChild>
        <w:div w:id="1841308879">
          <w:marLeft w:val="0"/>
          <w:marRight w:val="0"/>
          <w:marTop w:val="0"/>
          <w:marBottom w:val="0"/>
          <w:divBdr>
            <w:top w:val="single" w:sz="2" w:space="0" w:color="D9D9E3"/>
            <w:left w:val="single" w:sz="2" w:space="0" w:color="D9D9E3"/>
            <w:bottom w:val="single" w:sz="2" w:space="0" w:color="D9D9E3"/>
            <w:right w:val="single" w:sz="2" w:space="0" w:color="D9D9E3"/>
          </w:divBdr>
          <w:divsChild>
            <w:div w:id="702023153">
              <w:marLeft w:val="0"/>
              <w:marRight w:val="0"/>
              <w:marTop w:val="0"/>
              <w:marBottom w:val="0"/>
              <w:divBdr>
                <w:top w:val="single" w:sz="2" w:space="0" w:color="D9D9E3"/>
                <w:left w:val="single" w:sz="2" w:space="0" w:color="D9D9E3"/>
                <w:bottom w:val="single" w:sz="2" w:space="0" w:color="D9D9E3"/>
                <w:right w:val="single" w:sz="2" w:space="0" w:color="D9D9E3"/>
              </w:divBdr>
              <w:divsChild>
                <w:div w:id="865632106">
                  <w:marLeft w:val="0"/>
                  <w:marRight w:val="0"/>
                  <w:marTop w:val="0"/>
                  <w:marBottom w:val="0"/>
                  <w:divBdr>
                    <w:top w:val="single" w:sz="2" w:space="0" w:color="D9D9E3"/>
                    <w:left w:val="single" w:sz="2" w:space="0" w:color="D9D9E3"/>
                    <w:bottom w:val="single" w:sz="2" w:space="0" w:color="D9D9E3"/>
                    <w:right w:val="single" w:sz="2" w:space="0" w:color="D9D9E3"/>
                  </w:divBdr>
                  <w:divsChild>
                    <w:div w:id="254829503">
                      <w:marLeft w:val="0"/>
                      <w:marRight w:val="0"/>
                      <w:marTop w:val="0"/>
                      <w:marBottom w:val="0"/>
                      <w:divBdr>
                        <w:top w:val="single" w:sz="2" w:space="0" w:color="D9D9E3"/>
                        <w:left w:val="single" w:sz="2" w:space="0" w:color="D9D9E3"/>
                        <w:bottom w:val="single" w:sz="2" w:space="0" w:color="D9D9E3"/>
                        <w:right w:val="single" w:sz="2" w:space="0" w:color="D9D9E3"/>
                      </w:divBdr>
                      <w:divsChild>
                        <w:div w:id="86468822">
                          <w:marLeft w:val="0"/>
                          <w:marRight w:val="0"/>
                          <w:marTop w:val="0"/>
                          <w:marBottom w:val="0"/>
                          <w:divBdr>
                            <w:top w:val="single" w:sz="2" w:space="0" w:color="auto"/>
                            <w:left w:val="single" w:sz="2" w:space="0" w:color="auto"/>
                            <w:bottom w:val="single" w:sz="6" w:space="0" w:color="auto"/>
                            <w:right w:val="single" w:sz="2" w:space="0" w:color="auto"/>
                          </w:divBdr>
                          <w:divsChild>
                            <w:div w:id="1293755892">
                              <w:marLeft w:val="0"/>
                              <w:marRight w:val="0"/>
                              <w:marTop w:val="100"/>
                              <w:marBottom w:val="100"/>
                              <w:divBdr>
                                <w:top w:val="single" w:sz="2" w:space="0" w:color="D9D9E3"/>
                                <w:left w:val="single" w:sz="2" w:space="0" w:color="D9D9E3"/>
                                <w:bottom w:val="single" w:sz="2" w:space="0" w:color="D9D9E3"/>
                                <w:right w:val="single" w:sz="2" w:space="0" w:color="D9D9E3"/>
                              </w:divBdr>
                              <w:divsChild>
                                <w:div w:id="629825184">
                                  <w:marLeft w:val="0"/>
                                  <w:marRight w:val="0"/>
                                  <w:marTop w:val="0"/>
                                  <w:marBottom w:val="0"/>
                                  <w:divBdr>
                                    <w:top w:val="single" w:sz="2" w:space="0" w:color="D9D9E3"/>
                                    <w:left w:val="single" w:sz="2" w:space="0" w:color="D9D9E3"/>
                                    <w:bottom w:val="single" w:sz="2" w:space="0" w:color="D9D9E3"/>
                                    <w:right w:val="single" w:sz="2" w:space="0" w:color="D9D9E3"/>
                                  </w:divBdr>
                                  <w:divsChild>
                                    <w:div w:id="1314795407">
                                      <w:marLeft w:val="0"/>
                                      <w:marRight w:val="0"/>
                                      <w:marTop w:val="0"/>
                                      <w:marBottom w:val="0"/>
                                      <w:divBdr>
                                        <w:top w:val="single" w:sz="2" w:space="0" w:color="D9D9E3"/>
                                        <w:left w:val="single" w:sz="2" w:space="0" w:color="D9D9E3"/>
                                        <w:bottom w:val="single" w:sz="2" w:space="0" w:color="D9D9E3"/>
                                        <w:right w:val="single" w:sz="2" w:space="0" w:color="D9D9E3"/>
                                      </w:divBdr>
                                      <w:divsChild>
                                        <w:div w:id="131220393">
                                          <w:marLeft w:val="0"/>
                                          <w:marRight w:val="0"/>
                                          <w:marTop w:val="0"/>
                                          <w:marBottom w:val="0"/>
                                          <w:divBdr>
                                            <w:top w:val="single" w:sz="2" w:space="0" w:color="D9D9E3"/>
                                            <w:left w:val="single" w:sz="2" w:space="0" w:color="D9D9E3"/>
                                            <w:bottom w:val="single" w:sz="2" w:space="0" w:color="D9D9E3"/>
                                            <w:right w:val="single" w:sz="2" w:space="0" w:color="D9D9E3"/>
                                          </w:divBdr>
                                          <w:divsChild>
                                            <w:div w:id="1236668100">
                                              <w:marLeft w:val="0"/>
                                              <w:marRight w:val="0"/>
                                              <w:marTop w:val="0"/>
                                              <w:marBottom w:val="0"/>
                                              <w:divBdr>
                                                <w:top w:val="single" w:sz="2" w:space="0" w:color="D9D9E3"/>
                                                <w:left w:val="single" w:sz="2" w:space="0" w:color="D9D9E3"/>
                                                <w:bottom w:val="single" w:sz="2" w:space="0" w:color="D9D9E3"/>
                                                <w:right w:val="single" w:sz="2" w:space="0" w:color="D9D9E3"/>
                                              </w:divBdr>
                                              <w:divsChild>
                                                <w:div w:id="10217854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10373172">
          <w:marLeft w:val="0"/>
          <w:marRight w:val="0"/>
          <w:marTop w:val="0"/>
          <w:marBottom w:val="0"/>
          <w:divBdr>
            <w:top w:val="none" w:sz="0" w:space="0" w:color="auto"/>
            <w:left w:val="none" w:sz="0" w:space="0" w:color="auto"/>
            <w:bottom w:val="none" w:sz="0" w:space="0" w:color="auto"/>
            <w:right w:val="none" w:sz="0" w:space="0" w:color="auto"/>
          </w:divBdr>
        </w:div>
      </w:divsChild>
    </w:div>
    <w:div w:id="2086953986">
      <w:bodyDiv w:val="1"/>
      <w:marLeft w:val="0"/>
      <w:marRight w:val="0"/>
      <w:marTop w:val="0"/>
      <w:marBottom w:val="0"/>
      <w:divBdr>
        <w:top w:val="none" w:sz="0" w:space="0" w:color="auto"/>
        <w:left w:val="none" w:sz="0" w:space="0" w:color="auto"/>
        <w:bottom w:val="none" w:sz="0" w:space="0" w:color="auto"/>
        <w:right w:val="none" w:sz="0" w:space="0" w:color="auto"/>
      </w:divBdr>
      <w:divsChild>
        <w:div w:id="389503371">
          <w:marLeft w:val="0"/>
          <w:marRight w:val="0"/>
          <w:marTop w:val="0"/>
          <w:marBottom w:val="0"/>
          <w:divBdr>
            <w:top w:val="single" w:sz="2" w:space="0" w:color="D9D9E3"/>
            <w:left w:val="single" w:sz="2" w:space="0" w:color="D9D9E3"/>
            <w:bottom w:val="single" w:sz="2" w:space="0" w:color="D9D9E3"/>
            <w:right w:val="single" w:sz="2" w:space="0" w:color="D9D9E3"/>
          </w:divBdr>
          <w:divsChild>
            <w:div w:id="603532745">
              <w:marLeft w:val="0"/>
              <w:marRight w:val="0"/>
              <w:marTop w:val="0"/>
              <w:marBottom w:val="0"/>
              <w:divBdr>
                <w:top w:val="single" w:sz="2" w:space="0" w:color="D9D9E3"/>
                <w:left w:val="single" w:sz="2" w:space="0" w:color="D9D9E3"/>
                <w:bottom w:val="single" w:sz="2" w:space="0" w:color="D9D9E3"/>
                <w:right w:val="single" w:sz="2" w:space="0" w:color="D9D9E3"/>
              </w:divBdr>
              <w:divsChild>
                <w:div w:id="1055815022">
                  <w:marLeft w:val="0"/>
                  <w:marRight w:val="0"/>
                  <w:marTop w:val="0"/>
                  <w:marBottom w:val="0"/>
                  <w:divBdr>
                    <w:top w:val="single" w:sz="2" w:space="0" w:color="D9D9E3"/>
                    <w:left w:val="single" w:sz="2" w:space="0" w:color="D9D9E3"/>
                    <w:bottom w:val="single" w:sz="2" w:space="0" w:color="D9D9E3"/>
                    <w:right w:val="single" w:sz="2" w:space="0" w:color="D9D9E3"/>
                  </w:divBdr>
                  <w:divsChild>
                    <w:div w:id="106433085">
                      <w:marLeft w:val="0"/>
                      <w:marRight w:val="0"/>
                      <w:marTop w:val="0"/>
                      <w:marBottom w:val="0"/>
                      <w:divBdr>
                        <w:top w:val="single" w:sz="2" w:space="0" w:color="D9D9E3"/>
                        <w:left w:val="single" w:sz="2" w:space="0" w:color="D9D9E3"/>
                        <w:bottom w:val="single" w:sz="2" w:space="0" w:color="D9D9E3"/>
                        <w:right w:val="single" w:sz="2" w:space="0" w:color="D9D9E3"/>
                      </w:divBdr>
                      <w:divsChild>
                        <w:div w:id="1944798570">
                          <w:marLeft w:val="0"/>
                          <w:marRight w:val="0"/>
                          <w:marTop w:val="0"/>
                          <w:marBottom w:val="0"/>
                          <w:divBdr>
                            <w:top w:val="single" w:sz="2" w:space="0" w:color="auto"/>
                            <w:left w:val="single" w:sz="2" w:space="0" w:color="auto"/>
                            <w:bottom w:val="single" w:sz="6" w:space="0" w:color="auto"/>
                            <w:right w:val="single" w:sz="2" w:space="0" w:color="auto"/>
                          </w:divBdr>
                          <w:divsChild>
                            <w:div w:id="639505542">
                              <w:marLeft w:val="0"/>
                              <w:marRight w:val="0"/>
                              <w:marTop w:val="100"/>
                              <w:marBottom w:val="100"/>
                              <w:divBdr>
                                <w:top w:val="single" w:sz="2" w:space="0" w:color="D9D9E3"/>
                                <w:left w:val="single" w:sz="2" w:space="0" w:color="D9D9E3"/>
                                <w:bottom w:val="single" w:sz="2" w:space="0" w:color="D9D9E3"/>
                                <w:right w:val="single" w:sz="2" w:space="0" w:color="D9D9E3"/>
                              </w:divBdr>
                              <w:divsChild>
                                <w:div w:id="644621772">
                                  <w:marLeft w:val="0"/>
                                  <w:marRight w:val="0"/>
                                  <w:marTop w:val="0"/>
                                  <w:marBottom w:val="0"/>
                                  <w:divBdr>
                                    <w:top w:val="single" w:sz="2" w:space="0" w:color="D9D9E3"/>
                                    <w:left w:val="single" w:sz="2" w:space="0" w:color="D9D9E3"/>
                                    <w:bottom w:val="single" w:sz="2" w:space="0" w:color="D9D9E3"/>
                                    <w:right w:val="single" w:sz="2" w:space="0" w:color="D9D9E3"/>
                                  </w:divBdr>
                                  <w:divsChild>
                                    <w:div w:id="1988125080">
                                      <w:marLeft w:val="0"/>
                                      <w:marRight w:val="0"/>
                                      <w:marTop w:val="0"/>
                                      <w:marBottom w:val="0"/>
                                      <w:divBdr>
                                        <w:top w:val="single" w:sz="2" w:space="0" w:color="D9D9E3"/>
                                        <w:left w:val="single" w:sz="2" w:space="0" w:color="D9D9E3"/>
                                        <w:bottom w:val="single" w:sz="2" w:space="0" w:color="D9D9E3"/>
                                        <w:right w:val="single" w:sz="2" w:space="0" w:color="D9D9E3"/>
                                      </w:divBdr>
                                      <w:divsChild>
                                        <w:div w:id="916208894">
                                          <w:marLeft w:val="0"/>
                                          <w:marRight w:val="0"/>
                                          <w:marTop w:val="0"/>
                                          <w:marBottom w:val="0"/>
                                          <w:divBdr>
                                            <w:top w:val="single" w:sz="2" w:space="0" w:color="D9D9E3"/>
                                            <w:left w:val="single" w:sz="2" w:space="0" w:color="D9D9E3"/>
                                            <w:bottom w:val="single" w:sz="2" w:space="0" w:color="D9D9E3"/>
                                            <w:right w:val="single" w:sz="2" w:space="0" w:color="D9D9E3"/>
                                          </w:divBdr>
                                          <w:divsChild>
                                            <w:div w:id="1721636834">
                                              <w:marLeft w:val="0"/>
                                              <w:marRight w:val="0"/>
                                              <w:marTop w:val="0"/>
                                              <w:marBottom w:val="0"/>
                                              <w:divBdr>
                                                <w:top w:val="single" w:sz="2" w:space="0" w:color="D9D9E3"/>
                                                <w:left w:val="single" w:sz="2" w:space="0" w:color="D9D9E3"/>
                                                <w:bottom w:val="single" w:sz="2" w:space="0" w:color="D9D9E3"/>
                                                <w:right w:val="single" w:sz="2" w:space="0" w:color="D9D9E3"/>
                                              </w:divBdr>
                                              <w:divsChild>
                                                <w:div w:id="21073357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399836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Dcompliance@cpuc.c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puc.ca.go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ocs.cpuc.ca.gov/PublishedDocs/Published/G000/M319/K519/319519393.PDF" TargetMode="External"/><Relationship Id="rId2" Type="http://schemas.openxmlformats.org/officeDocument/2006/relationships/hyperlink" Target="http://docs.cpuc.ca.gov/PublishedDocs/WORD_PDF/FINAL_DECISION/143224.PDF" TargetMode="External"/><Relationship Id="rId1" Type="http://schemas.openxmlformats.org/officeDocument/2006/relationships/hyperlink" Target="http://docs.cpuc.ca.gov/word_pdf/FINAL_DECISION/23645.pdf" TargetMode="External"/><Relationship Id="rId4" Type="http://schemas.openxmlformats.org/officeDocument/2006/relationships/hyperlink" Target="https://www.tuolumnecounty.ca.gov/154/Financial-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EA23110EFCFB44A0DD1723F423C5B9" ma:contentTypeVersion="7" ma:contentTypeDescription="Create a new document." ma:contentTypeScope="" ma:versionID="ed9bb0a39218daaad0590133da3e3a12">
  <xsd:schema xmlns:xsd="http://www.w3.org/2001/XMLSchema" xmlns:xs="http://www.w3.org/2001/XMLSchema" xmlns:p="http://schemas.microsoft.com/office/2006/metadata/properties" xmlns:ns3="d7f6a029-0ec9-4e6b-a82b-732e986637c6" xmlns:ns4="ca646bdc-e648-4eeb-b885-474cb1039dde" targetNamespace="http://schemas.microsoft.com/office/2006/metadata/properties" ma:root="true" ma:fieldsID="33f0b0c2905df94a497a8a08e7a4618b" ns3:_="" ns4:_="">
    <xsd:import namespace="d7f6a029-0ec9-4e6b-a82b-732e986637c6"/>
    <xsd:import namespace="ca646bdc-e648-4eeb-b885-474cb1039dd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6a029-0ec9-4e6b-a82b-732e98663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646bdc-e648-4eeb-b885-474cb1039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CA9666-702F-4811-BAA7-76CE626B5130}">
  <ds:schemaRefs>
    <ds:schemaRef ds:uri="http://schemas.openxmlformats.org/officeDocument/2006/bibliography"/>
  </ds:schemaRefs>
</ds:datastoreItem>
</file>

<file path=customXml/itemProps2.xml><?xml version="1.0" encoding="utf-8"?>
<ds:datastoreItem xmlns:ds="http://schemas.openxmlformats.org/officeDocument/2006/customXml" ds:itemID="{19D958D0-A762-4692-AC51-6C1AD758A2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D1CDD5-CFEE-4E58-9D8F-80E4A7740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6a029-0ec9-4e6b-a82b-732e986637c6"/>
    <ds:schemaRef ds:uri="ca646bdc-e648-4eeb-b885-474cb1039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3B03A1-8049-4A0F-A472-AFEC1FE7E29B}">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12</ap:Pages>
  <ap:Words>2738</ap:Words>
  <ap:Characters>17314</ap:Characters>
  <ap:Application>Microsoft Office Word</ap:Application>
  <ap:DocSecurity>0</ap:DocSecurity>
  <ap:Lines>144</ap:Lines>
  <ap:Paragraphs>40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20012</ap:CharactersWithSpaces>
  <ap:SharedDoc>false</ap:SharedDoc>
  <ap:HyperlinkBase/>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2013-07-09T16:57:00Z</cp:lastPrinted>
  <dcterms:created xsi:type="dcterms:W3CDTF">2023-12-06T08:20:42Z</dcterms:created>
  <dcterms:modified xsi:type="dcterms:W3CDTF">2023-12-06T08:20:42Z</dcterms:modified>
</cp:coreProperties>
</file>