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2D0D" w:rsidR="00DA7B5D" w:rsidP="006D4690" w:rsidRDefault="00B22D0D" w14:paraId="62DEDE71" w14:textId="4F487032">
      <w:pPr>
        <w:tabs>
          <w:tab w:val="center" w:pos="4680"/>
          <w:tab w:val="right" w:pos="9360"/>
        </w:tabs>
        <w:spacing w:line="240" w:lineRule="auto"/>
        <w:ind w:firstLine="0"/>
        <w:rPr>
          <w:b/>
        </w:rPr>
      </w:pPr>
      <w:r w:rsidRPr="00B22D0D">
        <w:t>ALJ/RHW/KWZ/</w:t>
      </w:r>
      <w:proofErr w:type="spellStart"/>
      <w:r w:rsidRPr="00B22D0D">
        <w:t>hma</w:t>
      </w:r>
      <w:proofErr w:type="spellEnd"/>
      <w:r w:rsidRPr="00B22D0D" w:rsidR="007E0FEE">
        <w:tab/>
      </w:r>
      <w:r w:rsidR="006D4690">
        <w:tab/>
        <w:t xml:space="preserve"> </w:t>
      </w:r>
      <w:r w:rsidR="006D4690">
        <w:rPr>
          <w:rFonts w:cs="Arial"/>
          <w:b/>
          <w:szCs w:val="26"/>
        </w:rPr>
        <w:t>Date of Issuance 12/</w:t>
      </w:r>
      <w:r w:rsidR="00B871BC">
        <w:rPr>
          <w:rFonts w:cs="Arial"/>
          <w:b/>
          <w:szCs w:val="26"/>
        </w:rPr>
        <w:t>6</w:t>
      </w:r>
      <w:r w:rsidR="006D4690">
        <w:rPr>
          <w:rFonts w:cs="Arial"/>
          <w:b/>
          <w:szCs w:val="26"/>
        </w:rPr>
        <w:t>/2023</w:t>
      </w:r>
    </w:p>
    <w:p w:rsidR="00DA7B5D" w:rsidP="008F0116" w:rsidRDefault="00DA7B5D" w14:paraId="1B08812D" w14:textId="77777777">
      <w:pPr>
        <w:ind w:firstLine="0"/>
      </w:pPr>
    </w:p>
    <w:p w:rsidRPr="00B22D0D" w:rsidR="006D4690" w:rsidP="008F0116" w:rsidRDefault="006D4690" w14:paraId="789DBCC8" w14:textId="77777777">
      <w:pPr>
        <w:ind w:firstLine="0"/>
      </w:pPr>
    </w:p>
    <w:p w:rsidR="00DA7B5D" w:rsidP="006D4690" w:rsidRDefault="00DA7B5D" w14:paraId="16B2C662" w14:textId="5CE57528">
      <w:pPr>
        <w:ind w:left="1080" w:hanging="1080"/>
      </w:pPr>
      <w:r w:rsidRPr="00B22D0D">
        <w:t xml:space="preserve">Decision </w:t>
      </w:r>
      <w:r w:rsidR="006D4690">
        <w:t>23-11-104 November 30, 2023</w:t>
      </w:r>
    </w:p>
    <w:p w:rsidRPr="006D4690" w:rsidR="006D4690" w:rsidP="006D4690" w:rsidRDefault="006D4690" w14:paraId="6455EC17" w14:textId="77777777">
      <w:pPr>
        <w:ind w:left="1080" w:hanging="1080"/>
      </w:pPr>
    </w:p>
    <w:p w:rsidR="00DA7B5D" w:rsidP="00BB0243" w:rsidRDefault="00DA7B5D" w14:paraId="63716289"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FDDFFCF" w14:textId="77777777">
      <w:pPr>
        <w:spacing w:line="240" w:lineRule="auto"/>
        <w:ind w:firstLine="0"/>
        <w:rPr>
          <w:rFonts w:ascii="Arial" w:hAnsi="Arial" w:cs="Arial"/>
          <w:sz w:val="24"/>
          <w:szCs w:val="24"/>
        </w:rPr>
      </w:pPr>
    </w:p>
    <w:tbl>
      <w:tblPr>
        <w:tblW w:w="9245" w:type="dxa"/>
        <w:tblInd w:w="2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282"/>
        <w:gridCol w:w="3963"/>
      </w:tblGrid>
      <w:tr w:rsidRPr="00C4517C" w:rsidR="00682086" w:rsidTr="007E3861" w14:paraId="12C81E07" w14:textId="77777777">
        <w:trPr>
          <w:trHeight w:val="728"/>
        </w:trPr>
        <w:tc>
          <w:tcPr>
            <w:tcW w:w="5282" w:type="dxa"/>
            <w:tcBorders>
              <w:top w:val="nil"/>
              <w:left w:val="nil"/>
              <w:bottom w:val="single" w:color="000000" w:sz="6" w:space="0"/>
              <w:right w:val="single" w:color="000000" w:sz="6" w:space="0"/>
            </w:tcBorders>
            <w:shd w:val="clear" w:color="auto" w:fill="auto"/>
            <w:tcMar>
              <w:top w:w="80" w:type="dxa"/>
              <w:left w:w="80" w:type="dxa"/>
              <w:bottom w:w="80" w:type="dxa"/>
              <w:right w:w="80" w:type="dxa"/>
            </w:tcMar>
          </w:tcPr>
          <w:p w:rsidRPr="007E3861" w:rsidR="00682086" w:rsidP="0063695F" w:rsidRDefault="007E3861" w14:paraId="00F8237B" w14:textId="4B6F6C35">
            <w:pPr>
              <w:pStyle w:val="Body"/>
              <w:tabs>
                <w:tab w:val="left" w:pos="1440"/>
                <w:tab w:val="left" w:pos="3600"/>
              </w:tabs>
              <w:rPr>
                <w:rStyle w:val="displayonly"/>
                <w:rFonts w:ascii="Book Antiqua" w:hAnsi="Book Antiqua"/>
              </w:rPr>
            </w:pPr>
            <w:r w:rsidRPr="007E3861">
              <w:rPr>
                <w:rStyle w:val="displayonly"/>
                <w:rFonts w:ascii="Book Antiqua" w:hAnsi="Book Antiqua"/>
              </w:rPr>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7E3861" w:rsidR="00AF0A96">
              <w:rPr>
                <w:rStyle w:val="displayonly"/>
                <w:rFonts w:ascii="Book Antiqua" w:hAnsi="Book Antiqua"/>
              </w:rPr>
              <w:t>.</w:t>
            </w:r>
          </w:p>
          <w:p w:rsidRPr="00C4517C" w:rsidR="00682086" w:rsidP="0063695F" w:rsidRDefault="00682086" w14:paraId="73084AE1" w14:textId="20CA0395">
            <w:pPr>
              <w:pStyle w:val="Body"/>
              <w:tabs>
                <w:tab w:val="left" w:pos="1440"/>
                <w:tab w:val="left" w:pos="3600"/>
              </w:tabs>
              <w:rPr>
                <w:rFonts w:ascii="Book Antiqua" w:hAnsi="Book Antiqua"/>
                <w:sz w:val="12"/>
                <w:szCs w:val="12"/>
              </w:rPr>
            </w:pPr>
          </w:p>
        </w:tc>
        <w:tc>
          <w:tcPr>
            <w:tcW w:w="3963" w:type="dxa"/>
            <w:tcBorders>
              <w:top w:val="nil"/>
              <w:left w:val="single" w:color="000000" w:sz="6" w:space="0"/>
              <w:bottom w:val="nil"/>
              <w:right w:val="nil"/>
            </w:tcBorders>
            <w:shd w:val="clear" w:color="auto" w:fill="auto"/>
            <w:tcMar>
              <w:top w:w="80" w:type="dxa"/>
              <w:left w:w="80" w:type="dxa"/>
              <w:bottom w:w="80" w:type="dxa"/>
              <w:right w:w="80" w:type="dxa"/>
            </w:tcMar>
          </w:tcPr>
          <w:p w:rsidRPr="00C4517C" w:rsidR="00682086" w:rsidP="0063695F" w:rsidRDefault="00682086" w14:paraId="202D85B6" w14:textId="77777777">
            <w:pPr>
              <w:pStyle w:val="Body"/>
              <w:jc w:val="center"/>
              <w:rPr>
                <w:rFonts w:ascii="Book Antiqua" w:hAnsi="Book Antiqua"/>
              </w:rPr>
            </w:pPr>
          </w:p>
          <w:p w:rsidR="00AF0A96" w:rsidP="0063695F" w:rsidRDefault="00AF0A96" w14:paraId="3D9D9449" w14:textId="77777777">
            <w:pPr>
              <w:pStyle w:val="Body"/>
              <w:jc w:val="center"/>
              <w:rPr>
                <w:rFonts w:ascii="Book Antiqua" w:hAnsi="Book Antiqua"/>
              </w:rPr>
            </w:pPr>
          </w:p>
          <w:p w:rsidR="00AF0A96" w:rsidP="0063695F" w:rsidRDefault="00AF0A96" w14:paraId="1DD7CFAC" w14:textId="3DEBDF75">
            <w:pPr>
              <w:pStyle w:val="Body"/>
              <w:jc w:val="center"/>
              <w:rPr>
                <w:rFonts w:ascii="Book Antiqua" w:hAnsi="Book Antiqua"/>
              </w:rPr>
            </w:pPr>
          </w:p>
          <w:p w:rsidR="007E3861" w:rsidP="0063695F" w:rsidRDefault="007E3861" w14:paraId="1CE86199" w14:textId="77777777">
            <w:pPr>
              <w:pStyle w:val="Body"/>
              <w:jc w:val="center"/>
              <w:rPr>
                <w:rFonts w:ascii="Book Antiqua" w:hAnsi="Book Antiqua"/>
              </w:rPr>
            </w:pPr>
          </w:p>
          <w:p w:rsidRPr="00C4517C" w:rsidR="00682086" w:rsidP="0063695F" w:rsidRDefault="00682086" w14:paraId="38C25874" w14:textId="614E8F2E">
            <w:pPr>
              <w:pStyle w:val="Body"/>
              <w:jc w:val="center"/>
              <w:rPr>
                <w:rFonts w:ascii="Book Antiqua" w:hAnsi="Book Antiqua"/>
              </w:rPr>
            </w:pPr>
            <w:r w:rsidRPr="00C4517C">
              <w:rPr>
                <w:rFonts w:ascii="Book Antiqua" w:hAnsi="Book Antiqua"/>
              </w:rPr>
              <w:t xml:space="preserve">Rulemaking </w:t>
            </w:r>
            <w:r w:rsidR="00AF0A96">
              <w:rPr>
                <w:rFonts w:ascii="Book Antiqua" w:hAnsi="Book Antiqua"/>
              </w:rPr>
              <w:t>17-06-024</w:t>
            </w:r>
          </w:p>
        </w:tc>
      </w:tr>
    </w:tbl>
    <w:p w:rsidR="00DA7B5D" w:rsidP="008F0116" w:rsidRDefault="00DA7B5D" w14:paraId="397999B9" w14:textId="77777777">
      <w:pPr>
        <w:spacing w:line="240" w:lineRule="auto"/>
        <w:ind w:firstLine="0"/>
        <w:rPr>
          <w:rFonts w:ascii="Arial" w:hAnsi="Arial" w:cs="Arial"/>
          <w:sz w:val="24"/>
          <w:szCs w:val="24"/>
        </w:rPr>
      </w:pPr>
    </w:p>
    <w:p w:rsidR="00DA7B5D" w:rsidP="008F0116" w:rsidRDefault="00DA7B5D" w14:paraId="090B1744" w14:textId="77777777">
      <w:pPr>
        <w:spacing w:line="240" w:lineRule="auto"/>
        <w:ind w:firstLine="0"/>
        <w:rPr>
          <w:rFonts w:ascii="Arial" w:hAnsi="Arial" w:cs="Arial"/>
          <w:sz w:val="24"/>
          <w:szCs w:val="24"/>
        </w:rPr>
      </w:pPr>
    </w:p>
    <w:p w:rsidR="006F6525" w:rsidP="009B6C3E" w:rsidRDefault="006F6525" w14:paraId="09884301" w14:textId="77777777">
      <w:pPr>
        <w:pStyle w:val="Dummy"/>
        <w:jc w:val="center"/>
        <w:sectPr w:rsidR="006F6525" w:rsidSect="006F65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bookmarkStart w:name="_Toc12866682" w:id="0"/>
    </w:p>
    <w:bookmarkEnd w:id="0"/>
    <w:p w:rsidR="0098655A" w:rsidP="00591B23" w:rsidRDefault="004A3044" w14:paraId="4B7F32C9" w14:textId="4B2F8F80">
      <w:pPr>
        <w:pStyle w:val="Dummy"/>
        <w:spacing w:after="240"/>
        <w:jc w:val="center"/>
      </w:pPr>
      <w:r w:rsidRPr="004A3044">
        <w:t>ORDER EXTENDING STATUTORY DEADLINE</w:t>
      </w:r>
    </w:p>
    <w:p w:rsidR="005A148C" w:rsidP="005A148C" w:rsidRDefault="005A148C" w14:paraId="69CC366A" w14:textId="77777777">
      <w:pPr>
        <w:pStyle w:val="Dummy"/>
      </w:pPr>
      <w:bookmarkStart w:name="_Toc8123714" w:id="1"/>
      <w:bookmarkStart w:name="_Toc12866683" w:id="2"/>
      <w:r>
        <w:t>Summary</w:t>
      </w:r>
      <w:bookmarkEnd w:id="1"/>
      <w:bookmarkEnd w:id="2"/>
    </w:p>
    <w:p w:rsidR="0073353F" w:rsidP="004A3044" w:rsidRDefault="00DB0660" w14:paraId="4A878ED2" w14:textId="3AD2FF84">
      <w:pPr>
        <w:pStyle w:val="Standard"/>
      </w:pPr>
      <w:r w:rsidRPr="00DB0660">
        <w:t xml:space="preserve"> </w:t>
      </w:r>
      <w:r w:rsidRPr="0007271A" w:rsidR="00C14054">
        <w:t xml:space="preserve">This decision extends the statutory deadline in this proceeding to </w:t>
      </w:r>
      <w:r w:rsidR="00C14054">
        <w:br/>
      </w:r>
      <w:r w:rsidR="009A59D1">
        <w:t>March 30</w:t>
      </w:r>
      <w:r w:rsidRPr="0007271A" w:rsidR="00C14054">
        <w:t>,</w:t>
      </w:r>
      <w:r w:rsidR="00C14054">
        <w:t xml:space="preserve"> </w:t>
      </w:r>
      <w:r w:rsidRPr="0007271A" w:rsidR="00C14054">
        <w:t>202</w:t>
      </w:r>
      <w:r w:rsidR="009A59D1">
        <w:t>4</w:t>
      </w:r>
      <w:r w:rsidRPr="00DB0660">
        <w:t>.</w:t>
      </w:r>
    </w:p>
    <w:p w:rsidRPr="00121089" w:rsidR="005A148C" w:rsidP="003B6503" w:rsidRDefault="002C7FE9" w14:paraId="4D7EDB9D" w14:textId="77777777">
      <w:pPr>
        <w:pStyle w:val="Heading1"/>
        <w:numPr>
          <w:ilvl w:val="0"/>
          <w:numId w:val="1"/>
        </w:numPr>
        <w:tabs>
          <w:tab w:val="left" w:pos="810"/>
        </w:tabs>
        <w:ind w:left="720" w:hanging="720"/>
      </w:pPr>
      <w:bookmarkStart w:name="_Toc8123715" w:id="3"/>
      <w:bookmarkStart w:name="_Toc12866684" w:id="4"/>
      <w:r w:rsidRPr="007E3861">
        <w:t>Background</w:t>
      </w:r>
      <w:bookmarkEnd w:id="3"/>
      <w:bookmarkEnd w:id="4"/>
    </w:p>
    <w:p w:rsidRPr="004F27A9" w:rsidR="004F27A9" w:rsidP="002A6EBF" w:rsidRDefault="004F27A9" w14:paraId="15686642" w14:textId="6A5A59B9">
      <w:pPr>
        <w:pStyle w:val="Standard"/>
        <w:rPr>
          <w:rFonts w:eastAsia="Arial Unicode MS" w:cs="Arial Unicode MS"/>
          <w:color w:val="000000"/>
          <w:szCs w:val="26"/>
          <w:u w:color="000000"/>
          <w:bdr w:val="nil"/>
        </w:rPr>
      </w:pPr>
      <w:bookmarkStart w:name="_Hlk86341279" w:id="5"/>
      <w:r w:rsidRPr="004F27A9">
        <w:rPr>
          <w:u w:color="000000"/>
          <w:bdr w:val="nil"/>
        </w:rPr>
        <w:t xml:space="preserve">Public Utilities Code (Pub. Util. Code) Section 1701.5(a) provides that the Commission shall resolve the issues raised in the scoping memo of a quasi-legislative proceeding within 18 months of the date the proceeding is initiated, unless the Commission makes a written determination that the deadline cannot be met and issues an order extending that deadline. </w:t>
      </w:r>
      <w:r w:rsidRPr="004F27A9" w:rsidR="009B64BE">
        <w:rPr>
          <w:u w:color="000000"/>
          <w:bdr w:val="nil"/>
        </w:rPr>
        <w:t xml:space="preserve">The first scoping memo in this proceeding was issued on January 19, 2018. The second amended scoping memo </w:t>
      </w:r>
      <w:r w:rsidR="009B64BE">
        <w:rPr>
          <w:u w:color="000000"/>
          <w:bdr w:val="nil"/>
        </w:rPr>
        <w:t xml:space="preserve">(Second Amended Scoping Memo) </w:t>
      </w:r>
      <w:r w:rsidRPr="004F27A9" w:rsidR="009B64BE">
        <w:rPr>
          <w:u w:color="000000"/>
          <w:bdr w:val="nil"/>
        </w:rPr>
        <w:t xml:space="preserve">issued June 2, 2021, extended the statutory deadline to December 2, 2021. </w:t>
      </w:r>
    </w:p>
    <w:p w:rsidRPr="00252690" w:rsidR="009B64BE" w:rsidP="007E3861" w:rsidRDefault="009B64BE" w14:paraId="112A669F" w14:textId="1C188425">
      <w:pPr>
        <w:pStyle w:val="Standard"/>
        <w:rPr>
          <w:szCs w:val="26"/>
        </w:rPr>
      </w:pPr>
      <w:r w:rsidRPr="00252690">
        <w:rPr>
          <w:szCs w:val="26"/>
        </w:rPr>
        <w:lastRenderedPageBreak/>
        <w:t xml:space="preserve">The Second Amended Scoping Memo also added </w:t>
      </w:r>
      <w:proofErr w:type="gramStart"/>
      <w:r w:rsidRPr="00252690">
        <w:rPr>
          <w:szCs w:val="26"/>
        </w:rPr>
        <w:t>the Phase</w:t>
      </w:r>
      <w:proofErr w:type="gramEnd"/>
      <w:r w:rsidRPr="00252690">
        <w:rPr>
          <w:szCs w:val="26"/>
        </w:rPr>
        <w:t xml:space="preserve"> II to this proceeding and added the impact</w:t>
      </w:r>
      <w:r w:rsidRPr="00252690" w:rsidR="008F001D">
        <w:rPr>
          <w:szCs w:val="26"/>
        </w:rPr>
        <w:t>s</w:t>
      </w:r>
      <w:r w:rsidRPr="00252690">
        <w:rPr>
          <w:szCs w:val="26"/>
        </w:rPr>
        <w:t xml:space="preserve"> of COVID-19 on water utilities and their customers as Phase II issues. </w:t>
      </w:r>
    </w:p>
    <w:p w:rsidRPr="00252690" w:rsidR="009B64BE" w:rsidP="00214FD8" w:rsidRDefault="009B64BE" w14:paraId="6D252B6F" w14:textId="299C82DE">
      <w:pPr>
        <w:autoSpaceDE w:val="0"/>
        <w:autoSpaceDN w:val="0"/>
        <w:adjustRightInd w:val="0"/>
        <w:rPr>
          <w:rFonts w:eastAsia="Arial Unicode MS" w:cs="Arial Unicode MS"/>
          <w:color w:val="000000"/>
          <w:szCs w:val="26"/>
          <w:u w:color="000000"/>
          <w:bdr w:val="nil"/>
        </w:rPr>
      </w:pPr>
      <w:r w:rsidRPr="00252690">
        <w:rPr>
          <w:rFonts w:eastAsia="Arial Unicode MS" w:cs="Arial Unicode MS"/>
          <w:color w:val="000000"/>
          <w:szCs w:val="26"/>
          <w:u w:color="000000"/>
          <w:bdr w:val="nil"/>
        </w:rPr>
        <w:t xml:space="preserve"> On August 27, 2020, the Commission issued </w:t>
      </w:r>
      <w:r w:rsidRPr="00252690" w:rsidR="008F001D">
        <w:rPr>
          <w:rFonts w:eastAsia="Arial Unicode MS" w:cs="Arial Unicode MS"/>
          <w:color w:val="000000"/>
          <w:szCs w:val="26"/>
          <w:u w:color="000000"/>
          <w:bdr w:val="nil"/>
        </w:rPr>
        <w:t>Decision (</w:t>
      </w:r>
      <w:r w:rsidRPr="00252690">
        <w:rPr>
          <w:rFonts w:eastAsia="Arial Unicode MS" w:cs="Arial Unicode MS"/>
          <w:color w:val="000000"/>
          <w:szCs w:val="26"/>
          <w:u w:color="000000"/>
          <w:bdr w:val="nil"/>
        </w:rPr>
        <w:t>D.</w:t>
      </w:r>
      <w:r w:rsidRPr="00252690" w:rsidR="008F001D">
        <w:rPr>
          <w:rFonts w:eastAsia="Arial Unicode MS" w:cs="Arial Unicode MS"/>
          <w:color w:val="000000"/>
          <w:szCs w:val="26"/>
          <w:u w:color="000000"/>
          <w:bdr w:val="nil"/>
        </w:rPr>
        <w:t xml:space="preserve">) </w:t>
      </w:r>
      <w:r w:rsidRPr="00252690">
        <w:rPr>
          <w:rFonts w:eastAsia="Arial Unicode MS" w:cs="Arial Unicode MS"/>
          <w:color w:val="000000"/>
          <w:szCs w:val="26"/>
          <w:u w:color="000000"/>
          <w:bdr w:val="nil"/>
        </w:rPr>
        <w:t>20-08-027 on issues scope</w:t>
      </w:r>
      <w:r w:rsidRPr="00252690" w:rsidR="008F001D">
        <w:rPr>
          <w:rFonts w:eastAsia="Arial Unicode MS" w:cs="Arial Unicode MS"/>
          <w:color w:val="000000"/>
          <w:szCs w:val="26"/>
          <w:u w:color="000000"/>
          <w:bdr w:val="nil"/>
        </w:rPr>
        <w:t xml:space="preserve">d in </w:t>
      </w:r>
      <w:proofErr w:type="gramStart"/>
      <w:r w:rsidRPr="00252690" w:rsidR="008F001D">
        <w:rPr>
          <w:rFonts w:eastAsia="Arial Unicode MS" w:cs="Arial Unicode MS"/>
          <w:color w:val="000000"/>
          <w:szCs w:val="26"/>
          <w:u w:color="000000"/>
          <w:bdr w:val="nil"/>
        </w:rPr>
        <w:t>the</w:t>
      </w:r>
      <w:r w:rsidRPr="00252690">
        <w:rPr>
          <w:rFonts w:eastAsia="Arial Unicode MS" w:cs="Arial Unicode MS"/>
          <w:color w:val="000000"/>
          <w:szCs w:val="26"/>
          <w:u w:color="000000"/>
          <w:bdr w:val="nil"/>
        </w:rPr>
        <w:t xml:space="preserve"> Phase</w:t>
      </w:r>
      <w:proofErr w:type="gramEnd"/>
      <w:r w:rsidRPr="00252690">
        <w:rPr>
          <w:rFonts w:eastAsia="Arial Unicode MS" w:cs="Arial Unicode MS"/>
          <w:color w:val="000000"/>
          <w:szCs w:val="26"/>
          <w:u w:color="000000"/>
          <w:bdr w:val="nil"/>
        </w:rPr>
        <w:t xml:space="preserve"> I of this proceeding.</w:t>
      </w:r>
      <w:r w:rsidRPr="00252690" w:rsidR="00214FD8">
        <w:rPr>
          <w:rFonts w:eastAsia="Arial Unicode MS" w:cs="Arial Unicode MS"/>
          <w:color w:val="000000"/>
          <w:szCs w:val="26"/>
          <w:u w:color="000000"/>
          <w:bdr w:val="nil"/>
        </w:rPr>
        <w:t xml:space="preserve"> </w:t>
      </w:r>
      <w:r w:rsidRPr="00252690">
        <w:rPr>
          <w:szCs w:val="26"/>
        </w:rPr>
        <w:t>On July 20, 2021, the Commission issued D.21</w:t>
      </w:r>
      <w:r w:rsidRPr="00252690">
        <w:rPr>
          <w:szCs w:val="26"/>
        </w:rPr>
        <w:noBreakHyphen/>
        <w:t>07</w:t>
      </w:r>
      <w:r w:rsidRPr="00252690">
        <w:rPr>
          <w:szCs w:val="26"/>
        </w:rPr>
        <w:noBreakHyphen/>
        <w:t xml:space="preserve">029 and resolved many of the Phase II </w:t>
      </w:r>
      <w:r w:rsidRPr="00252690" w:rsidR="00421D23">
        <w:rPr>
          <w:szCs w:val="26"/>
        </w:rPr>
        <w:t>issues and</w:t>
      </w:r>
      <w:r w:rsidRPr="00252690">
        <w:rPr>
          <w:rFonts w:eastAsia="Arial Unicode MS" w:cs="Arial Unicode MS"/>
          <w:color w:val="000000"/>
          <w:szCs w:val="26"/>
          <w:u w:color="000000"/>
          <w:bdr w:val="nil"/>
        </w:rPr>
        <w:t xml:space="preserve"> required monthly data reporting working sessions to begin by Friday, August 27, 2021, to, among other things, pursue consistency between State Water Board and Commission required data reporting by water utilities.</w:t>
      </w:r>
      <w:r w:rsidRPr="00252690">
        <w:rPr>
          <w:rFonts w:eastAsia="Times New Roman" w:cs="Times New Roman"/>
          <w:szCs w:val="26"/>
          <w:vertAlign w:val="superscript"/>
        </w:rPr>
        <w:footnoteReference w:id="2"/>
      </w:r>
      <w:r w:rsidRPr="00252690">
        <w:rPr>
          <w:rFonts w:eastAsia="Arial Unicode MS" w:cs="Arial Unicode MS"/>
          <w:color w:val="000000"/>
          <w:szCs w:val="26"/>
          <w:u w:color="000000"/>
          <w:bdr w:val="nil"/>
        </w:rPr>
        <w:t xml:space="preserve">   </w:t>
      </w:r>
    </w:p>
    <w:p w:rsidRPr="00252690" w:rsidR="00250C93" w:rsidP="007E3861" w:rsidRDefault="009B64BE" w14:paraId="1C74F593" w14:textId="2730F6E2">
      <w:pPr>
        <w:pStyle w:val="Standard"/>
        <w:rPr>
          <w:szCs w:val="26"/>
          <w:u w:color="000000"/>
          <w:bdr w:val="nil"/>
        </w:rPr>
      </w:pPr>
      <w:r w:rsidRPr="00252690">
        <w:rPr>
          <w:szCs w:val="26"/>
          <w:u w:color="000000"/>
          <w:bdr w:val="nil"/>
        </w:rPr>
        <w:t xml:space="preserve">On July 29, 2021, the Third Amended Scoping Memo </w:t>
      </w:r>
      <w:r w:rsidRPr="00252690" w:rsidR="008F001D">
        <w:rPr>
          <w:szCs w:val="26"/>
          <w:u w:color="000000"/>
          <w:bdr w:val="nil"/>
        </w:rPr>
        <w:t xml:space="preserve">was issued, </w:t>
      </w:r>
      <w:r w:rsidRPr="00252690">
        <w:rPr>
          <w:szCs w:val="26"/>
          <w:u w:color="000000"/>
          <w:bdr w:val="nil"/>
        </w:rPr>
        <w:t>add</w:t>
      </w:r>
      <w:r w:rsidRPr="00252690" w:rsidR="007F5BC9">
        <w:rPr>
          <w:szCs w:val="26"/>
          <w:u w:color="000000"/>
          <w:bdr w:val="nil"/>
        </w:rPr>
        <w:t xml:space="preserve">ing Phase </w:t>
      </w:r>
      <w:proofErr w:type="gramStart"/>
      <w:r w:rsidRPr="00252690" w:rsidR="007F5BC9">
        <w:rPr>
          <w:szCs w:val="26"/>
          <w:u w:color="000000"/>
          <w:bdr w:val="nil"/>
        </w:rPr>
        <w:t>III</w:t>
      </w:r>
      <w:proofErr w:type="gramEnd"/>
      <w:r w:rsidRPr="00252690" w:rsidR="007F5BC9">
        <w:rPr>
          <w:szCs w:val="26"/>
          <w:u w:color="000000"/>
          <w:bdr w:val="nil"/>
        </w:rPr>
        <w:t xml:space="preserve"> and expanding</w:t>
      </w:r>
      <w:r w:rsidRPr="00252690">
        <w:rPr>
          <w:szCs w:val="26"/>
          <w:u w:color="000000"/>
          <w:bdr w:val="nil"/>
        </w:rPr>
        <w:t xml:space="preserve"> the scope of the proceeding to include implementation </w:t>
      </w:r>
      <w:r w:rsidRPr="00252690" w:rsidR="007F5BC9">
        <w:rPr>
          <w:szCs w:val="26"/>
          <w:u w:color="000000"/>
          <w:bdr w:val="nil"/>
        </w:rPr>
        <w:t>and monitoring of relief funding post-pandemic</w:t>
      </w:r>
      <w:r w:rsidRPr="00252690">
        <w:rPr>
          <w:szCs w:val="26"/>
          <w:u w:color="000000"/>
          <w:bdr w:val="nil"/>
        </w:rPr>
        <w:t xml:space="preserve">. </w:t>
      </w:r>
      <w:r w:rsidRPr="00252690" w:rsidR="00250C93">
        <w:rPr>
          <w:szCs w:val="26"/>
          <w:u w:color="000000"/>
          <w:bdr w:val="nil"/>
        </w:rPr>
        <w:t xml:space="preserve">On November </w:t>
      </w:r>
      <w:r w:rsidRPr="00252690" w:rsidR="00CC5569">
        <w:rPr>
          <w:szCs w:val="26"/>
          <w:u w:color="000000"/>
          <w:bdr w:val="nil"/>
        </w:rPr>
        <w:t>18</w:t>
      </w:r>
      <w:r w:rsidRPr="00252690" w:rsidR="00250C93">
        <w:rPr>
          <w:szCs w:val="26"/>
          <w:u w:color="000000"/>
          <w:bdr w:val="nil"/>
        </w:rPr>
        <w:t>, 2021, the Commission issued D.21-11-</w:t>
      </w:r>
      <w:r w:rsidRPr="00252690" w:rsidR="00206A54">
        <w:rPr>
          <w:szCs w:val="26"/>
          <w:u w:color="000000"/>
          <w:bdr w:val="nil"/>
        </w:rPr>
        <w:t>034</w:t>
      </w:r>
      <w:r w:rsidRPr="00252690" w:rsidR="00250C93">
        <w:rPr>
          <w:szCs w:val="26"/>
          <w:u w:color="000000"/>
          <w:bdr w:val="nil"/>
        </w:rPr>
        <w:t xml:space="preserve"> </w:t>
      </w:r>
      <w:r w:rsidRPr="00252690" w:rsidR="002423DF">
        <w:rPr>
          <w:szCs w:val="26"/>
          <w:u w:color="000000"/>
          <w:bdr w:val="nil"/>
        </w:rPr>
        <w:t xml:space="preserve">extending the statutory deadline to </w:t>
      </w:r>
      <w:r w:rsidRPr="00252690" w:rsidR="002A6EBF">
        <w:rPr>
          <w:szCs w:val="26"/>
          <w:u w:color="000000"/>
          <w:bdr w:val="nil"/>
        </w:rPr>
        <w:br/>
      </w:r>
      <w:r w:rsidRPr="00252690" w:rsidR="002423DF">
        <w:rPr>
          <w:szCs w:val="26"/>
          <w:u w:color="000000"/>
          <w:bdr w:val="nil"/>
        </w:rPr>
        <w:t xml:space="preserve">December 31, </w:t>
      </w:r>
      <w:proofErr w:type="gramStart"/>
      <w:r w:rsidRPr="00252690" w:rsidR="002423DF">
        <w:rPr>
          <w:szCs w:val="26"/>
          <w:u w:color="000000"/>
          <w:bdr w:val="nil"/>
        </w:rPr>
        <w:t>2022</w:t>
      </w:r>
      <w:proofErr w:type="gramEnd"/>
      <w:r w:rsidRPr="00252690" w:rsidR="002423DF">
        <w:rPr>
          <w:szCs w:val="26"/>
          <w:u w:color="000000"/>
          <w:bdr w:val="nil"/>
        </w:rPr>
        <w:t xml:space="preserve"> </w:t>
      </w:r>
      <w:r w:rsidRPr="00252690" w:rsidR="00250C93">
        <w:rPr>
          <w:szCs w:val="26"/>
          <w:u w:color="000000"/>
          <w:bdr w:val="nil"/>
        </w:rPr>
        <w:t xml:space="preserve">to allow time </w:t>
      </w:r>
      <w:r w:rsidRPr="00252690" w:rsidR="00206A54">
        <w:rPr>
          <w:szCs w:val="26"/>
          <w:u w:color="000000"/>
          <w:bdr w:val="nil"/>
        </w:rPr>
        <w:t>for implementation of relief funding and</w:t>
      </w:r>
      <w:r w:rsidRPr="00252690" w:rsidR="00250C93">
        <w:rPr>
          <w:szCs w:val="26"/>
          <w:u w:color="000000"/>
          <w:bdr w:val="nil"/>
        </w:rPr>
        <w:t xml:space="preserve"> consider whether water affordability for low-income customers require</w:t>
      </w:r>
      <w:r w:rsidRPr="00252690" w:rsidR="002423DF">
        <w:rPr>
          <w:szCs w:val="26"/>
          <w:u w:color="000000"/>
          <w:bdr w:val="nil"/>
        </w:rPr>
        <w:t>d</w:t>
      </w:r>
      <w:r w:rsidRPr="00252690" w:rsidR="00250C93">
        <w:rPr>
          <w:szCs w:val="26"/>
          <w:u w:color="000000"/>
          <w:bdr w:val="nil"/>
        </w:rPr>
        <w:t xml:space="preserve"> additional action</w:t>
      </w:r>
      <w:r w:rsidRPr="00252690" w:rsidR="002423DF">
        <w:rPr>
          <w:szCs w:val="26"/>
          <w:u w:color="000000"/>
          <w:bdr w:val="nil"/>
        </w:rPr>
        <w:t>.</w:t>
      </w:r>
      <w:r w:rsidRPr="00252690" w:rsidR="007F5BC9">
        <w:rPr>
          <w:szCs w:val="26"/>
          <w:u w:color="000000"/>
          <w:bdr w:val="nil"/>
        </w:rPr>
        <w:t xml:space="preserve"> The Commission’s oversight of the application of relief funds to outstanding debt was aided by refinements to the data reporting on arrearages and disconnections that took effect beginning with the August 2022 monthly reports.</w:t>
      </w:r>
    </w:p>
    <w:p w:rsidRPr="00252690" w:rsidR="007F5BC9" w:rsidP="007E3861" w:rsidRDefault="00214FD8" w14:paraId="19143ED7" w14:textId="4F868227">
      <w:pPr>
        <w:pStyle w:val="Standard"/>
        <w:rPr>
          <w:szCs w:val="26"/>
        </w:rPr>
      </w:pPr>
      <w:r w:rsidRPr="00252690">
        <w:rPr>
          <w:szCs w:val="26"/>
        </w:rPr>
        <w:t xml:space="preserve">On October 17, 2022, Governor Gavin Newsom’s office announced that California’s COVID-19 state of emergency would end February 28, 2022. The statewide water disconnection moratorium had ended two months earlier, </w:t>
      </w:r>
      <w:proofErr w:type="gramStart"/>
      <w:r w:rsidRPr="00252690">
        <w:rPr>
          <w:szCs w:val="26"/>
        </w:rPr>
        <w:t>the</w:t>
      </w:r>
      <w:proofErr w:type="gramEnd"/>
      <w:r w:rsidRPr="00252690">
        <w:rPr>
          <w:szCs w:val="26"/>
        </w:rPr>
        <w:t xml:space="preserve"> last day of 2021. However, Class A water utilities were bound by the </w:t>
      </w:r>
      <w:r w:rsidRPr="00252690">
        <w:rPr>
          <w:szCs w:val="26"/>
        </w:rPr>
        <w:lastRenderedPageBreak/>
        <w:t>Commission’s decision</w:t>
      </w:r>
      <w:r w:rsidRPr="00252690">
        <w:rPr>
          <w:rStyle w:val="FootnoteReference"/>
          <w:szCs w:val="26"/>
        </w:rPr>
        <w:footnoteReference w:id="3"/>
      </w:r>
      <w:r w:rsidRPr="00252690">
        <w:rPr>
          <w:szCs w:val="26"/>
        </w:rPr>
        <w:t xml:space="preserve"> issued in this proceeding the prior July to maintain the disconnection moratorium, as well as the suspension on collections of unpaid bills, until February 1, 2022.</w:t>
      </w:r>
      <w:r w:rsidRPr="00252690" w:rsidR="00206A54">
        <w:rPr>
          <w:szCs w:val="26"/>
        </w:rPr>
        <w:t xml:space="preserve"> Collection activity on unpaid bills, </w:t>
      </w:r>
      <w:proofErr w:type="gramStart"/>
      <w:r w:rsidRPr="00252690" w:rsidR="00206A54">
        <w:rPr>
          <w:szCs w:val="26"/>
        </w:rPr>
        <w:t>and also</w:t>
      </w:r>
      <w:proofErr w:type="gramEnd"/>
      <w:r w:rsidRPr="00252690" w:rsidR="00206A54">
        <w:rPr>
          <w:szCs w:val="26"/>
        </w:rPr>
        <w:t xml:space="preserve"> the reporting on arrearage and disconnections, has slowly ramped up throughout 2022. The resumption of collections activity also meant the resumption of the implementation of the 2018 Water Shutoff Protection Act which had only just gone into effect the month prior to the disconnection moratorium. </w:t>
      </w:r>
      <w:r w:rsidRPr="00252690" w:rsidR="007F5BC9">
        <w:rPr>
          <w:szCs w:val="26"/>
        </w:rPr>
        <w:t xml:space="preserve">On </w:t>
      </w:r>
      <w:r w:rsidRPr="00252690" w:rsidR="001E053C">
        <w:rPr>
          <w:szCs w:val="26"/>
        </w:rPr>
        <w:br/>
      </w:r>
      <w:r w:rsidRPr="00252690" w:rsidR="007F5BC9">
        <w:rPr>
          <w:szCs w:val="26"/>
        </w:rPr>
        <w:t>September 30, 2022, the Public Advocates Office at the California Public Utilities Commission filed a Motion to Timely Address Water Affordability Policies and Expand the Scope of the Proceeding (Cal Advocates’ Motion). Responses and counter-responses were received through November 14, 2022.</w:t>
      </w:r>
    </w:p>
    <w:p w:rsidR="0054753C" w:rsidP="007E3861" w:rsidRDefault="009A59D1" w14:paraId="0DC8EA5A" w14:textId="40ACB4DB">
      <w:pPr>
        <w:pStyle w:val="Standard"/>
      </w:pPr>
      <w:r w:rsidRPr="79B20E56">
        <w:t xml:space="preserve">On April 10, 2023, the Commission issued D.23-04-017 extending the statutory deadline of this proceeding to December 31, </w:t>
      </w:r>
      <w:proofErr w:type="gramStart"/>
      <w:r w:rsidRPr="79B20E56">
        <w:t>2023</w:t>
      </w:r>
      <w:proofErr w:type="gramEnd"/>
      <w:r w:rsidRPr="79B20E56">
        <w:t xml:space="preserve"> to allow adequate time to conclude the proceeding</w:t>
      </w:r>
      <w:r w:rsidRPr="00252690" w:rsidR="007F5BC9">
        <w:rPr>
          <w:szCs w:val="26"/>
        </w:rPr>
        <w:t xml:space="preserve">. </w:t>
      </w:r>
      <w:r w:rsidR="0024153B">
        <w:rPr>
          <w:szCs w:val="26"/>
        </w:rPr>
        <w:t xml:space="preserve">This </w:t>
      </w:r>
      <w:r>
        <w:rPr>
          <w:bdr w:val="nil"/>
        </w:rPr>
        <w:t>decision</w:t>
      </w:r>
      <w:r w:rsidRPr="004F27A9" w:rsidR="009B64BE">
        <w:rPr>
          <w:bdr w:val="nil"/>
        </w:rPr>
        <w:t xml:space="preserve"> will extend the statutory deadline of this proceeding to </w:t>
      </w:r>
      <w:r>
        <w:rPr>
          <w:bdr w:val="nil"/>
        </w:rPr>
        <w:t>March 30</w:t>
      </w:r>
      <w:r w:rsidRPr="004F27A9" w:rsidR="009B64BE">
        <w:rPr>
          <w:bdr w:val="nil"/>
        </w:rPr>
        <w:t>, 202</w:t>
      </w:r>
      <w:r>
        <w:rPr>
          <w:bdr w:val="nil"/>
        </w:rPr>
        <w:t>4</w:t>
      </w:r>
      <w:r w:rsidR="00BC46B8">
        <w:t>.</w:t>
      </w:r>
    </w:p>
    <w:bookmarkEnd w:id="5"/>
    <w:p w:rsidR="005A148C" w:rsidP="0044639A" w:rsidRDefault="00102469" w14:paraId="0C95B105" w14:textId="789D4566">
      <w:pPr>
        <w:pStyle w:val="Heading1"/>
        <w:numPr>
          <w:ilvl w:val="0"/>
          <w:numId w:val="1"/>
        </w:numPr>
        <w:ind w:left="720" w:hanging="720"/>
      </w:pPr>
      <w:r>
        <w:t>Waiver of Comment Period</w:t>
      </w:r>
    </w:p>
    <w:p w:rsidRPr="006E6574" w:rsidR="005939A5" w:rsidP="00102469" w:rsidRDefault="004F27A9" w14:paraId="7DCE7C42" w14:textId="149D98EA">
      <w:pPr>
        <w:pStyle w:val="Standard"/>
      </w:pPr>
      <w:r w:rsidRPr="004F27A9">
        <w:t>Under Rule 14.6(c)(4) of the Commission’s Rules of Practice and Procedure, the Commission may reduce or waive the period for public review and comment on the proposed decisions extending the deadline for resolving quasi-legislative proceedings. Accordingly, the otherwise applicable period for public review and comment is being waived</w:t>
      </w:r>
      <w:r w:rsidRPr="00102469" w:rsidR="00102469">
        <w:t>.</w:t>
      </w:r>
    </w:p>
    <w:p w:rsidR="005939A5" w:rsidP="005722EC" w:rsidRDefault="005939A5" w14:paraId="7581FCEA" w14:textId="77777777">
      <w:pPr>
        <w:pStyle w:val="Heading1"/>
        <w:numPr>
          <w:ilvl w:val="0"/>
          <w:numId w:val="1"/>
        </w:numPr>
        <w:tabs>
          <w:tab w:val="left" w:pos="900"/>
        </w:tabs>
        <w:ind w:left="720" w:hanging="720"/>
      </w:pPr>
      <w:bookmarkStart w:name="_Toc8123724" w:id="6"/>
      <w:bookmarkStart w:name="_Toc12866694" w:id="7"/>
      <w:r>
        <w:lastRenderedPageBreak/>
        <w:t>Assignment of Proceeding</w:t>
      </w:r>
      <w:bookmarkEnd w:id="6"/>
      <w:bookmarkEnd w:id="7"/>
    </w:p>
    <w:p w:rsidR="005939A5" w:rsidP="006E6574" w:rsidRDefault="007F5BC9" w14:paraId="16D0907A" w14:textId="40FA2CC3">
      <w:pPr>
        <w:pStyle w:val="Standard"/>
      </w:pPr>
      <w:r>
        <w:t>Darcie L. Houck</w:t>
      </w:r>
      <w:r w:rsidRPr="00FC6677" w:rsidR="004F27A9">
        <w:t xml:space="preserve"> is the assigned Commissioner and </w:t>
      </w:r>
      <w:r w:rsidRPr="00F5660B" w:rsidR="00F5660B">
        <w:t xml:space="preserve">Robert Haga </w:t>
      </w:r>
      <w:r w:rsidR="00847AFD">
        <w:t xml:space="preserve">and </w:t>
      </w:r>
      <w:r w:rsidR="004F27A9">
        <w:t>C</w:t>
      </w:r>
      <w:r w:rsidRPr="00FC6677" w:rsidR="004F27A9">
        <w:t>a</w:t>
      </w:r>
      <w:r w:rsidR="004F27A9">
        <w:t>mille Watts-Zagha</w:t>
      </w:r>
      <w:r w:rsidRPr="00FC6677" w:rsidR="004F27A9">
        <w:t xml:space="preserve"> </w:t>
      </w:r>
      <w:r w:rsidR="004F27A9">
        <w:t>are</w:t>
      </w:r>
      <w:r w:rsidRPr="00FC6677" w:rsidR="004F27A9">
        <w:t xml:space="preserve"> the assigned </w:t>
      </w:r>
      <w:r w:rsidRPr="00B47C75" w:rsidR="00B47C75">
        <w:t>Administrative Law Judge</w:t>
      </w:r>
      <w:r w:rsidR="004F27A9">
        <w:t>s</w:t>
      </w:r>
      <w:r w:rsidRPr="00B47C75" w:rsidR="00B47C75">
        <w:t xml:space="preserve"> in this proceeding</w:t>
      </w:r>
      <w:r w:rsidR="005939A5">
        <w:t>.</w:t>
      </w:r>
    </w:p>
    <w:p w:rsidR="005939A5" w:rsidP="005939A5" w:rsidRDefault="005939A5" w14:paraId="5A434859" w14:textId="77777777">
      <w:pPr>
        <w:pStyle w:val="Dummy"/>
      </w:pPr>
      <w:bookmarkStart w:name="_Toc8123725" w:id="8"/>
      <w:bookmarkStart w:name="_Toc12866695" w:id="9"/>
      <w:r>
        <w:t>Findings of Fact</w:t>
      </w:r>
      <w:bookmarkEnd w:id="8"/>
      <w:bookmarkEnd w:id="9"/>
    </w:p>
    <w:p w:rsidR="001970A0" w:rsidP="001970A0" w:rsidRDefault="009B64BE" w14:paraId="358D6F0C" w14:textId="4AD847E2">
      <w:pPr>
        <w:pStyle w:val="FoF"/>
      </w:pPr>
      <w:r w:rsidRPr="009B64BE">
        <w:t>This Rulemaking was initially opened on June 29, 2017</w:t>
      </w:r>
      <w:r w:rsidR="001970A0">
        <w:t>.</w:t>
      </w:r>
    </w:p>
    <w:p w:rsidR="007F5BC9" w:rsidP="001970A0" w:rsidRDefault="007F5BC9" w14:paraId="4E748D3C" w14:textId="1CFCDCD1">
      <w:pPr>
        <w:pStyle w:val="FoF"/>
      </w:pPr>
      <w:r>
        <w:t xml:space="preserve">A proposed decision resolving the </w:t>
      </w:r>
      <w:r w:rsidR="00703335">
        <w:t xml:space="preserve">remaining </w:t>
      </w:r>
      <w:r>
        <w:t xml:space="preserve">issues in this proceeding is </w:t>
      </w:r>
      <w:r w:rsidR="009A59D1">
        <w:t>before the Commission</w:t>
      </w:r>
      <w:r>
        <w:t>.</w:t>
      </w:r>
    </w:p>
    <w:p w:rsidRPr="001E2A62" w:rsidR="002E1944" w:rsidP="001970A0" w:rsidRDefault="007F0D93" w14:paraId="5C3742E1" w14:textId="44DA4553">
      <w:pPr>
        <w:pStyle w:val="FoF"/>
      </w:pPr>
      <w:r w:rsidRPr="007F0D93">
        <w:t xml:space="preserve">Additional time until </w:t>
      </w:r>
      <w:r w:rsidR="009A59D1">
        <w:t>March 30</w:t>
      </w:r>
      <w:r w:rsidRPr="007F0D93">
        <w:t>, 202</w:t>
      </w:r>
      <w:r w:rsidR="009A59D1">
        <w:t>4</w:t>
      </w:r>
      <w:r w:rsidRPr="007F0D93">
        <w:t>, is needed to allow for</w:t>
      </w:r>
      <w:r w:rsidR="007F5BC9">
        <w:t xml:space="preserve"> procedural activities associated with consideration of the proposed decision</w:t>
      </w:r>
      <w:r w:rsidR="00564196">
        <w:t>.</w:t>
      </w:r>
    </w:p>
    <w:p w:rsidR="005939A5" w:rsidP="005939A5" w:rsidRDefault="005939A5" w14:paraId="335D9146" w14:textId="070213CA">
      <w:pPr>
        <w:pStyle w:val="Dummy"/>
      </w:pPr>
      <w:bookmarkStart w:name="_Toc8123726" w:id="10"/>
      <w:bookmarkStart w:name="_Toc12866696" w:id="11"/>
      <w:r>
        <w:t>Conclusion of Law</w:t>
      </w:r>
      <w:bookmarkEnd w:id="10"/>
      <w:bookmarkEnd w:id="11"/>
    </w:p>
    <w:p w:rsidR="00BB0243" w:rsidP="009A5BB0" w:rsidRDefault="001970A0" w14:paraId="278C452C" w14:textId="0729CD98">
      <w:pPr>
        <w:pStyle w:val="CoL"/>
        <w:numPr>
          <w:ilvl w:val="0"/>
          <w:numId w:val="0"/>
        </w:numPr>
        <w:ind w:firstLine="547"/>
      </w:pPr>
      <w:r w:rsidRPr="00FC6677">
        <w:t xml:space="preserve">Pursuant to the authority granted to the Commission under Pub. Util. Code § 1701.5(a), the statutory deadline in this proceeding should be extended to </w:t>
      </w:r>
      <w:r w:rsidR="00983FFA">
        <w:t>March 30</w:t>
      </w:r>
      <w:r w:rsidRPr="007F0D93" w:rsidR="00983FFA">
        <w:t>, 202</w:t>
      </w:r>
      <w:r w:rsidR="00983FFA">
        <w:t>4</w:t>
      </w:r>
      <w:r w:rsidR="00C2021D">
        <w:t>.</w:t>
      </w:r>
    </w:p>
    <w:p w:rsidR="009A5BB0" w:rsidP="009A5BB0" w:rsidRDefault="009A5BB0" w14:paraId="10B8919B" w14:textId="1B8A4737">
      <w:pPr>
        <w:keepNext/>
      </w:pPr>
      <w:r w:rsidRPr="009A5BB0">
        <w:rPr>
          <w:b/>
          <w:bCs/>
        </w:rPr>
        <w:t xml:space="preserve"> IT IS ORDERED</w:t>
      </w:r>
      <w:r>
        <w:t xml:space="preserve"> </w:t>
      </w:r>
      <w:r w:rsidRPr="0012748A" w:rsidR="001970A0">
        <w:t xml:space="preserve">that the statutory deadline in this proceeding is extended until </w:t>
      </w:r>
      <w:r w:rsidR="00983FFA">
        <w:t>March 30</w:t>
      </w:r>
      <w:r w:rsidRPr="007F0D93" w:rsidR="00983FFA">
        <w:t>, 202</w:t>
      </w:r>
      <w:r w:rsidR="00983FFA">
        <w:t>4</w:t>
      </w:r>
      <w:r>
        <w:t>.</w:t>
      </w:r>
    </w:p>
    <w:p w:rsidR="009A5BB0" w:rsidP="007E3861" w:rsidRDefault="009A5BB0" w14:paraId="13B6A8B9" w14:textId="77777777">
      <w:pPr>
        <w:pStyle w:val="Standard"/>
      </w:pPr>
      <w:r>
        <w:t>This order is effective today.</w:t>
      </w:r>
    </w:p>
    <w:p w:rsidR="00714CF2" w:rsidP="007E3861" w:rsidRDefault="008F0116" w14:paraId="285B7B5C" w14:textId="46042CD6">
      <w:pPr>
        <w:pStyle w:val="Standard"/>
      </w:pPr>
      <w:proofErr w:type="gramStart"/>
      <w:r>
        <w:t xml:space="preserve">Dated </w:t>
      </w:r>
      <w:r w:rsidR="006D4690">
        <w:t>November</w:t>
      </w:r>
      <w:proofErr w:type="gramEnd"/>
      <w:r w:rsidR="006D4690">
        <w:t xml:space="preserve"> 30, 2023</w:t>
      </w:r>
      <w:r>
        <w:t>, at Sa</w:t>
      </w:r>
      <w:r w:rsidR="00252690">
        <w:t>cramento</w:t>
      </w:r>
      <w:r>
        <w:t>, California</w:t>
      </w:r>
      <w:r w:rsidR="00FF110C">
        <w:t>.</w:t>
      </w:r>
    </w:p>
    <w:p w:rsidR="0069111D" w:rsidP="0069111D" w:rsidRDefault="0069111D" w14:paraId="51336FDB" w14:textId="4D14249B">
      <w:pPr>
        <w:tabs>
          <w:tab w:val="left" w:pos="7080"/>
        </w:tabs>
        <w:ind w:firstLine="0"/>
      </w:pPr>
    </w:p>
    <w:p w:rsidRPr="0069111D" w:rsidR="0069111D" w:rsidP="0069111D" w:rsidRDefault="0069111D" w14:paraId="04E94A9B" w14:textId="77777777">
      <w:pPr>
        <w:autoSpaceDE w:val="0"/>
        <w:autoSpaceDN w:val="0"/>
        <w:adjustRightInd w:val="0"/>
        <w:spacing w:line="240" w:lineRule="auto"/>
        <w:ind w:left="4320" w:firstLine="0"/>
        <w:jc w:val="both"/>
        <w:rPr>
          <w:rFonts w:eastAsia="Times New Roman" w:cs="Times New Roman"/>
          <w:szCs w:val="20"/>
        </w:rPr>
      </w:pPr>
      <w:r w:rsidRPr="0069111D">
        <w:rPr>
          <w:rFonts w:eastAsia="Times New Roman" w:cs="Times New Roman"/>
          <w:szCs w:val="20"/>
        </w:rPr>
        <w:t>ALICE REYNOLDS</w:t>
      </w:r>
    </w:p>
    <w:p w:rsidRPr="0069111D" w:rsidR="0069111D" w:rsidP="0069111D" w:rsidRDefault="0069111D" w14:paraId="04DFC2E7" w14:textId="77777777">
      <w:pPr>
        <w:autoSpaceDE w:val="0"/>
        <w:autoSpaceDN w:val="0"/>
        <w:adjustRightInd w:val="0"/>
        <w:spacing w:line="240" w:lineRule="auto"/>
        <w:jc w:val="both"/>
        <w:rPr>
          <w:rFonts w:eastAsia="Times New Roman" w:cs="Times New Roman"/>
          <w:szCs w:val="20"/>
        </w:rPr>
      </w:pPr>
      <w:r w:rsidRPr="0069111D">
        <w:rPr>
          <w:rFonts w:eastAsia="Times New Roman" w:cs="Times New Roman"/>
          <w:szCs w:val="20"/>
        </w:rPr>
        <w:tab/>
      </w:r>
      <w:r w:rsidRPr="0069111D">
        <w:rPr>
          <w:rFonts w:eastAsia="Times New Roman" w:cs="Times New Roman"/>
          <w:szCs w:val="20"/>
        </w:rPr>
        <w:tab/>
      </w:r>
      <w:r w:rsidRPr="0069111D">
        <w:rPr>
          <w:rFonts w:eastAsia="Times New Roman" w:cs="Times New Roman"/>
          <w:szCs w:val="20"/>
        </w:rPr>
        <w:tab/>
      </w:r>
      <w:r w:rsidRPr="0069111D">
        <w:rPr>
          <w:rFonts w:eastAsia="Times New Roman" w:cs="Times New Roman"/>
          <w:szCs w:val="20"/>
        </w:rPr>
        <w:tab/>
      </w:r>
      <w:r w:rsidRPr="0069111D">
        <w:rPr>
          <w:rFonts w:eastAsia="Times New Roman" w:cs="Times New Roman"/>
          <w:szCs w:val="20"/>
        </w:rPr>
        <w:tab/>
        <w:t xml:space="preserve">                       President</w:t>
      </w:r>
    </w:p>
    <w:p w:rsidRPr="0069111D" w:rsidR="0069111D" w:rsidP="0069111D" w:rsidRDefault="0069111D" w14:paraId="1744B9F0" w14:textId="77777777">
      <w:pPr>
        <w:autoSpaceDE w:val="0"/>
        <w:autoSpaceDN w:val="0"/>
        <w:adjustRightInd w:val="0"/>
        <w:spacing w:line="240" w:lineRule="auto"/>
        <w:ind w:left="4320" w:firstLine="0"/>
        <w:jc w:val="both"/>
        <w:rPr>
          <w:rFonts w:eastAsia="Times New Roman" w:cs="Times New Roman"/>
          <w:szCs w:val="20"/>
        </w:rPr>
      </w:pPr>
      <w:r w:rsidRPr="0069111D">
        <w:rPr>
          <w:rFonts w:eastAsia="Times New Roman" w:cs="Times New Roman"/>
          <w:szCs w:val="20"/>
        </w:rPr>
        <w:t>GENEVIEVE SHIROMA</w:t>
      </w:r>
    </w:p>
    <w:p w:rsidRPr="0069111D" w:rsidR="0069111D" w:rsidP="0069111D" w:rsidRDefault="0069111D" w14:paraId="429DF17F" w14:textId="77777777">
      <w:pPr>
        <w:autoSpaceDE w:val="0"/>
        <w:autoSpaceDN w:val="0"/>
        <w:adjustRightInd w:val="0"/>
        <w:spacing w:line="240" w:lineRule="auto"/>
        <w:ind w:left="3600"/>
        <w:jc w:val="both"/>
        <w:rPr>
          <w:rFonts w:eastAsia="Times New Roman" w:cs="Times New Roman"/>
          <w:szCs w:val="20"/>
        </w:rPr>
      </w:pPr>
      <w:r w:rsidRPr="0069111D">
        <w:rPr>
          <w:rFonts w:eastAsia="Times New Roman" w:cs="Times New Roman"/>
          <w:szCs w:val="20"/>
        </w:rPr>
        <w:t>DARCIE L. HOUCK</w:t>
      </w:r>
    </w:p>
    <w:p w:rsidRPr="0069111D" w:rsidR="0069111D" w:rsidP="0069111D" w:rsidRDefault="0069111D" w14:paraId="40466FA7" w14:textId="77777777">
      <w:pPr>
        <w:autoSpaceDE w:val="0"/>
        <w:autoSpaceDN w:val="0"/>
        <w:adjustRightInd w:val="0"/>
        <w:spacing w:line="240" w:lineRule="auto"/>
        <w:ind w:left="3600"/>
        <w:jc w:val="both"/>
        <w:rPr>
          <w:rFonts w:eastAsia="Times New Roman" w:cs="Times New Roman"/>
          <w:szCs w:val="20"/>
        </w:rPr>
      </w:pPr>
      <w:r w:rsidRPr="0069111D">
        <w:rPr>
          <w:rFonts w:eastAsia="Times New Roman" w:cs="Times New Roman"/>
          <w:szCs w:val="20"/>
        </w:rPr>
        <w:t>JOHN REYNOLDS</w:t>
      </w:r>
    </w:p>
    <w:p w:rsidRPr="0069111D" w:rsidR="0069111D" w:rsidP="0069111D" w:rsidRDefault="0069111D" w14:paraId="69361D53" w14:textId="77777777">
      <w:pPr>
        <w:autoSpaceDE w:val="0"/>
        <w:autoSpaceDN w:val="0"/>
        <w:adjustRightInd w:val="0"/>
        <w:spacing w:line="240" w:lineRule="auto"/>
        <w:ind w:left="3600"/>
        <w:jc w:val="both"/>
        <w:rPr>
          <w:rFonts w:eastAsia="Times New Roman" w:cs="Times New Roman"/>
          <w:szCs w:val="20"/>
        </w:rPr>
      </w:pPr>
      <w:r w:rsidRPr="0069111D">
        <w:rPr>
          <w:rFonts w:eastAsia="Times New Roman" w:cs="Calibri"/>
          <w:color w:val="000000"/>
          <w:szCs w:val="26"/>
        </w:rPr>
        <w:t>KAREN DOUGLAS</w:t>
      </w:r>
    </w:p>
    <w:p w:rsidRPr="0069111D" w:rsidR="0069111D" w:rsidP="0069111D" w:rsidRDefault="0069111D" w14:paraId="5C0FFA2D" w14:textId="77777777">
      <w:pPr>
        <w:autoSpaceDE w:val="0"/>
        <w:autoSpaceDN w:val="0"/>
        <w:adjustRightInd w:val="0"/>
        <w:spacing w:line="240" w:lineRule="auto"/>
        <w:ind w:left="4320"/>
        <w:jc w:val="both"/>
        <w:rPr>
          <w:rFonts w:eastAsia="Times New Roman" w:cs="Times New Roman"/>
          <w:szCs w:val="20"/>
        </w:rPr>
      </w:pPr>
      <w:r w:rsidRPr="0069111D">
        <w:rPr>
          <w:rFonts w:eastAsia="Times New Roman" w:cs="Times New Roman"/>
          <w:szCs w:val="20"/>
        </w:rPr>
        <w:t xml:space="preserve">            Commissioners</w:t>
      </w:r>
    </w:p>
    <w:p w:rsidRPr="0069111D" w:rsidR="0069111D" w:rsidP="0069111D" w:rsidRDefault="0069111D" w14:paraId="12C07D83" w14:textId="77777777">
      <w:pPr>
        <w:tabs>
          <w:tab w:val="left" w:pos="7080"/>
        </w:tabs>
        <w:ind w:firstLine="0"/>
      </w:pPr>
    </w:p>
    <w:sectPr w:rsidRPr="0069111D" w:rsidR="0069111D" w:rsidSect="006F6525">
      <w:headerReference w:type="default" r:id="rId16"/>
      <w:footerReference w:type="default" r:id="rId17"/>
      <w:type w:val="continuous"/>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8F23" w14:textId="77777777" w:rsidR="00BF3A5D" w:rsidRDefault="00BF3A5D" w:rsidP="0098138E">
      <w:pPr>
        <w:spacing w:line="240" w:lineRule="auto"/>
      </w:pPr>
      <w:r>
        <w:separator/>
      </w:r>
    </w:p>
  </w:endnote>
  <w:endnote w:type="continuationSeparator" w:id="0">
    <w:p w14:paraId="53D0048B" w14:textId="77777777" w:rsidR="00BF3A5D" w:rsidRDefault="00BF3A5D" w:rsidP="0098138E">
      <w:pPr>
        <w:spacing w:line="240" w:lineRule="auto"/>
      </w:pPr>
      <w:r>
        <w:continuationSeparator/>
      </w:r>
    </w:p>
  </w:endnote>
  <w:endnote w:type="continuationNotice" w:id="1">
    <w:p w14:paraId="548DA21C" w14:textId="77777777" w:rsidR="00BF3A5D" w:rsidRDefault="00BF3A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871D" w14:textId="77777777" w:rsidR="007B525A" w:rsidRDefault="007B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C50" w14:textId="14C4D4EE" w:rsidR="00EE4315" w:rsidRDefault="007B525A" w:rsidP="006F6525">
    <w:pPr>
      <w:tabs>
        <w:tab w:val="center" w:pos="4680"/>
      </w:tabs>
      <w:ind w:firstLine="0"/>
    </w:pPr>
    <w:r w:rsidRPr="007B525A">
      <w:rPr>
        <w:rFonts w:cs="Arial"/>
        <w:sz w:val="16"/>
        <w:szCs w:val="16"/>
      </w:rPr>
      <w:t>521287816</w:t>
    </w:r>
    <w:r w:rsidR="006F6525">
      <w:rPr>
        <w:rFonts w:ascii="Arial" w:hAnsi="Arial" w:cs="Arial"/>
        <w:sz w:val="16"/>
        <w:szCs w:val="16"/>
      </w:rPr>
      <w:tab/>
    </w:r>
    <w:r w:rsidR="006F6525">
      <w:fldChar w:fldCharType="begin"/>
    </w:r>
    <w:r w:rsidR="006F6525">
      <w:instrText xml:space="preserve"> PAGE  \* ArabicDash  \* MERGEFORMAT </w:instrText>
    </w:r>
    <w:r w:rsidR="006F6525">
      <w:fldChar w:fldCharType="separate"/>
    </w:r>
    <w:r w:rsidR="006F6525">
      <w:rPr>
        <w:noProof/>
      </w:rPr>
      <w:t>- 2 -</w:t>
    </w:r>
    <w:r w:rsidR="006F652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E8DB" w14:textId="77777777" w:rsidR="007B525A" w:rsidRDefault="007B52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6F05" w14:textId="52650A38" w:rsidR="006F6525" w:rsidRDefault="00FC0A15" w:rsidP="00FC0A15">
    <w:pPr>
      <w:tabs>
        <w:tab w:val="center" w:pos="4680"/>
      </w:tabs>
      <w:ind w:firstLine="0"/>
    </w:pPr>
    <w:r>
      <w:tab/>
    </w:r>
    <w:r w:rsidR="006F6525">
      <w:fldChar w:fldCharType="begin"/>
    </w:r>
    <w:r w:rsidR="006F6525">
      <w:instrText xml:space="preserve"> PAGE  \* ArabicDash  \* MERGEFORMAT </w:instrText>
    </w:r>
    <w:r w:rsidR="006F6525">
      <w:fldChar w:fldCharType="separate"/>
    </w:r>
    <w:r w:rsidR="006F6525">
      <w:rPr>
        <w:noProof/>
      </w:rPr>
      <w:t>- 2 -</w:t>
    </w:r>
    <w:r w:rsidR="006F65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93F2" w14:textId="77777777" w:rsidR="00BF3A5D" w:rsidRDefault="00BF3A5D" w:rsidP="00DF58E7">
      <w:pPr>
        <w:spacing w:line="240" w:lineRule="auto"/>
        <w:ind w:firstLine="0"/>
      </w:pPr>
      <w:r>
        <w:separator/>
      </w:r>
    </w:p>
  </w:footnote>
  <w:footnote w:type="continuationSeparator" w:id="0">
    <w:p w14:paraId="6C5A5AB5" w14:textId="77777777" w:rsidR="00BF3A5D" w:rsidRDefault="00BF3A5D" w:rsidP="00DF58E7">
      <w:pPr>
        <w:spacing w:line="240" w:lineRule="auto"/>
        <w:ind w:firstLine="0"/>
      </w:pPr>
      <w:r>
        <w:continuationSeparator/>
      </w:r>
    </w:p>
  </w:footnote>
  <w:footnote w:type="continuationNotice" w:id="1">
    <w:p w14:paraId="574EFD61" w14:textId="77777777" w:rsidR="00BF3A5D" w:rsidRPr="00DF58E7" w:rsidRDefault="00BF3A5D"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6BBBA599" w14:textId="6C29B413" w:rsidR="009B64BE" w:rsidRPr="00E56800" w:rsidRDefault="009B64BE" w:rsidP="009B64BE">
      <w:pPr>
        <w:pStyle w:val="FootnoteText"/>
      </w:pPr>
      <w:r w:rsidRPr="00E56800">
        <w:rPr>
          <w:rStyle w:val="FootnoteReference"/>
        </w:rPr>
        <w:footnoteRef/>
      </w:r>
      <w:r w:rsidRPr="00E56800">
        <w:t xml:space="preserve"> D.21</w:t>
      </w:r>
      <w:r w:rsidRPr="00E56800">
        <w:noBreakHyphen/>
        <w:t>07</w:t>
      </w:r>
      <w:r w:rsidRPr="00E56800">
        <w:noBreakHyphen/>
        <w:t>029, Ordering Paragraph 12.</w:t>
      </w:r>
    </w:p>
  </w:footnote>
  <w:footnote w:id="3">
    <w:p w14:paraId="1B9EC769" w14:textId="77777777" w:rsidR="00214FD8" w:rsidRDefault="00214FD8" w:rsidP="00214FD8">
      <w:pPr>
        <w:pStyle w:val="FootnoteText"/>
      </w:pPr>
      <w:r>
        <w:rPr>
          <w:rStyle w:val="FootnoteReference"/>
        </w:rPr>
        <w:footnoteRef/>
      </w:r>
      <w:r>
        <w:t xml:space="preserve"> Decision (D.) 20-08-047.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B603" w14:textId="77777777" w:rsidR="007B525A" w:rsidRDefault="007B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DF4C" w14:textId="77777777" w:rsidR="009608B9" w:rsidRPr="00D55EDC" w:rsidRDefault="009608B9" w:rsidP="006F6525">
    <w:pPr>
      <w:pStyle w:val="Header"/>
      <w:tabs>
        <w:tab w:val="clear" w:pos="4680"/>
      </w:tabs>
      <w:ind w:firstLine="0"/>
      <w:rPr>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2286" w14:textId="77777777" w:rsidR="007B525A" w:rsidRDefault="007B52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C3B0" w14:textId="4F4F10E3" w:rsidR="00D55EDC" w:rsidRPr="00B22D0D" w:rsidRDefault="00682086" w:rsidP="00D55EDC">
    <w:pPr>
      <w:widowControl w:val="0"/>
      <w:tabs>
        <w:tab w:val="center" w:pos="4320"/>
        <w:tab w:val="right" w:pos="9360"/>
      </w:tabs>
      <w:spacing w:line="240" w:lineRule="auto"/>
      <w:ind w:firstLine="0"/>
      <w:rPr>
        <w:rFonts w:eastAsia="Times New Roman" w:cs="Times New Roman"/>
        <w:szCs w:val="26"/>
      </w:rPr>
    </w:pPr>
    <w:r w:rsidRPr="007E3861">
      <w:rPr>
        <w:rFonts w:eastAsia="Times New Roman" w:cs="Times New Roman"/>
        <w:szCs w:val="20"/>
      </w:rPr>
      <w:t>R.</w:t>
    </w:r>
    <w:r w:rsidR="00527123" w:rsidRPr="007E3861">
      <w:rPr>
        <w:rFonts w:eastAsia="Times New Roman" w:cs="Times New Roman"/>
        <w:szCs w:val="20"/>
      </w:rPr>
      <w:t>17-06-</w:t>
    </w:r>
    <w:proofErr w:type="gramStart"/>
    <w:r w:rsidR="00527123" w:rsidRPr="007E3861">
      <w:rPr>
        <w:rFonts w:eastAsia="Times New Roman" w:cs="Times New Roman"/>
        <w:szCs w:val="20"/>
      </w:rPr>
      <w:t>024</w:t>
    </w:r>
    <w:r w:rsidR="00B22D0D">
      <w:rPr>
        <w:rFonts w:eastAsia="Times New Roman" w:cs="Times New Roman"/>
        <w:szCs w:val="20"/>
      </w:rPr>
      <w:t xml:space="preserve">  ALJ</w:t>
    </w:r>
    <w:proofErr w:type="gramEnd"/>
    <w:r w:rsidR="00B22D0D">
      <w:rPr>
        <w:rFonts w:eastAsia="Times New Roman" w:cs="Times New Roman"/>
        <w:szCs w:val="20"/>
      </w:rPr>
      <w:t>/RHW/KWZ/</w:t>
    </w:r>
    <w:proofErr w:type="spellStart"/>
    <w:r w:rsidR="00B22D0D">
      <w:rPr>
        <w:rFonts w:eastAsia="Times New Roman" w:cs="Times New Roman"/>
        <w:szCs w:val="20"/>
      </w:rPr>
      <w:t>hma</w:t>
    </w:r>
    <w:proofErr w:type="spellEnd"/>
    <w:r w:rsidR="00D55EDC" w:rsidRPr="007E3861">
      <w:rPr>
        <w:rFonts w:eastAsia="Times New Roman" w:cs="Times New Roman"/>
        <w:szCs w:val="20"/>
      </w:rPr>
      <w:tab/>
    </w:r>
    <w:r w:rsidR="00D55EDC" w:rsidRPr="007E3861">
      <w:rPr>
        <w:rFonts w:eastAsia="Times New Roman" w:cs="Times New Roman"/>
        <w:szCs w:val="20"/>
      </w:rPr>
      <w:tab/>
    </w:r>
  </w:p>
  <w:p w14:paraId="1AA75C0F" w14:textId="35D64494" w:rsidR="00D55EDC" w:rsidRPr="007E3861" w:rsidRDefault="00D55EDC" w:rsidP="00D55EDC">
    <w:pPr>
      <w:widowControl w:val="0"/>
      <w:tabs>
        <w:tab w:val="center" w:pos="4320"/>
        <w:tab w:val="right" w:pos="9360"/>
      </w:tabs>
      <w:spacing w:line="240" w:lineRule="auto"/>
      <w:ind w:firstLine="0"/>
      <w:rPr>
        <w:rFonts w:eastAsia="Times New Roman" w:cs="Times New Roman"/>
        <w:sz w:val="24"/>
        <w:szCs w:val="20"/>
      </w:rPr>
    </w:pPr>
  </w:p>
  <w:p w14:paraId="4C027EB4" w14:textId="3A037A95" w:rsidR="00D55EDC" w:rsidRPr="00B3087D" w:rsidRDefault="00682086" w:rsidP="00682086">
    <w:pPr>
      <w:pStyle w:val="Header"/>
      <w:tabs>
        <w:tab w:val="clear" w:pos="4680"/>
        <w:tab w:val="clear" w:pos="9360"/>
        <w:tab w:val="left" w:pos="3075"/>
      </w:tabs>
      <w:ind w:firstLine="0"/>
      <w:rPr>
        <w:i/>
        <w:color w:val="FF0000"/>
      </w:rPr>
    </w:pPr>
    <w:r>
      <w:rPr>
        <w:i/>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E2242C9"/>
    <w:multiLevelType w:val="multilevel"/>
    <w:tmpl w:val="ECB8CCE8"/>
    <w:numStyleLink w:val="Headings"/>
  </w:abstractNum>
  <w:abstractNum w:abstractNumId="4"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5" w15:restartNumberingAfterBreak="0">
    <w:nsid w:val="59D042D7"/>
    <w:multiLevelType w:val="multilevel"/>
    <w:tmpl w:val="18F4A5AC"/>
    <w:numStyleLink w:val="FoFCoLOP"/>
  </w:abstractNum>
  <w:abstractNum w:abstractNumId="6"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9A0AFE"/>
    <w:multiLevelType w:val="multilevel"/>
    <w:tmpl w:val="18F4A5AC"/>
    <w:numStyleLink w:val="FoFCoLOP"/>
  </w:abstractNum>
  <w:abstractNum w:abstractNumId="9" w15:restartNumberingAfterBreak="0">
    <w:nsid w:val="7B1C30FD"/>
    <w:multiLevelType w:val="singleLevel"/>
    <w:tmpl w:val="2FB6A734"/>
    <w:lvl w:ilvl="0">
      <w:start w:val="1"/>
      <w:numFmt w:val="decimal"/>
      <w:lvlText w:val="%1."/>
      <w:legacy w:legacy="1" w:legacySpace="144" w:legacyIndent="0"/>
      <w:lvlJc w:val="left"/>
    </w:lvl>
  </w:abstractNum>
  <w:abstractNum w:abstractNumId="10" w15:restartNumberingAfterBreak="0">
    <w:nsid w:val="7D905FC4"/>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766275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92914">
    <w:abstractNumId w:val="1"/>
  </w:num>
  <w:num w:numId="3" w16cid:durableId="505949365">
    <w:abstractNumId w:val="5"/>
  </w:num>
  <w:num w:numId="4" w16cid:durableId="1958677930">
    <w:abstractNumId w:val="2"/>
  </w:num>
  <w:num w:numId="5" w16cid:durableId="1123426065">
    <w:abstractNumId w:val="8"/>
  </w:num>
  <w:num w:numId="6" w16cid:durableId="1669093774">
    <w:abstractNumId w:val="4"/>
  </w:num>
  <w:num w:numId="7" w16cid:durableId="1083333283">
    <w:abstractNumId w:val="3"/>
  </w:num>
  <w:num w:numId="8" w16cid:durableId="2019648065">
    <w:abstractNumId w:val="7"/>
  </w:num>
  <w:num w:numId="9" w16cid:durableId="358505819">
    <w:abstractNumId w:val="0"/>
  </w:num>
  <w:num w:numId="10" w16cid:durableId="541021751">
    <w:abstractNumId w:val="4"/>
  </w:num>
  <w:num w:numId="11" w16cid:durableId="178197824">
    <w:abstractNumId w:val="9"/>
  </w:num>
  <w:num w:numId="12" w16cid:durableId="130654859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81"/>
    <w:rsid w:val="00000F6A"/>
    <w:rsid w:val="0004377E"/>
    <w:rsid w:val="00045339"/>
    <w:rsid w:val="00047931"/>
    <w:rsid w:val="0007115A"/>
    <w:rsid w:val="000973C8"/>
    <w:rsid w:val="000A2AA9"/>
    <w:rsid w:val="000A56F2"/>
    <w:rsid w:val="000A6E05"/>
    <w:rsid w:val="000B12FA"/>
    <w:rsid w:val="000B6EB1"/>
    <w:rsid w:val="000C08BF"/>
    <w:rsid w:val="000C3B9A"/>
    <w:rsid w:val="000C4040"/>
    <w:rsid w:val="000D25A8"/>
    <w:rsid w:val="000E4C53"/>
    <w:rsid w:val="000F44C1"/>
    <w:rsid w:val="00102469"/>
    <w:rsid w:val="0011697E"/>
    <w:rsid w:val="00121089"/>
    <w:rsid w:val="0012470A"/>
    <w:rsid w:val="001725B7"/>
    <w:rsid w:val="0018092B"/>
    <w:rsid w:val="001865F4"/>
    <w:rsid w:val="00194AED"/>
    <w:rsid w:val="00196B1C"/>
    <w:rsid w:val="001970A0"/>
    <w:rsid w:val="001B0057"/>
    <w:rsid w:val="001C363F"/>
    <w:rsid w:val="001C7BBB"/>
    <w:rsid w:val="001D130F"/>
    <w:rsid w:val="001E053C"/>
    <w:rsid w:val="001E2A62"/>
    <w:rsid w:val="001F2819"/>
    <w:rsid w:val="001F335E"/>
    <w:rsid w:val="002043EC"/>
    <w:rsid w:val="00206A54"/>
    <w:rsid w:val="00214FD8"/>
    <w:rsid w:val="0024153B"/>
    <w:rsid w:val="002423DF"/>
    <w:rsid w:val="00243DC0"/>
    <w:rsid w:val="002451F6"/>
    <w:rsid w:val="00246496"/>
    <w:rsid w:val="00247477"/>
    <w:rsid w:val="00250C93"/>
    <w:rsid w:val="00252690"/>
    <w:rsid w:val="002617D7"/>
    <w:rsid w:val="00270440"/>
    <w:rsid w:val="00271CFA"/>
    <w:rsid w:val="00292BB4"/>
    <w:rsid w:val="00293DEE"/>
    <w:rsid w:val="002A063F"/>
    <w:rsid w:val="002A0B5D"/>
    <w:rsid w:val="002A6EBF"/>
    <w:rsid w:val="002C7FE9"/>
    <w:rsid w:val="002D4EFD"/>
    <w:rsid w:val="002E1944"/>
    <w:rsid w:val="00312610"/>
    <w:rsid w:val="00316071"/>
    <w:rsid w:val="00333CAE"/>
    <w:rsid w:val="0033453C"/>
    <w:rsid w:val="00343E5C"/>
    <w:rsid w:val="00352278"/>
    <w:rsid w:val="00356D71"/>
    <w:rsid w:val="0036017B"/>
    <w:rsid w:val="00360DDE"/>
    <w:rsid w:val="00362755"/>
    <w:rsid w:val="003632B1"/>
    <w:rsid w:val="00366EB3"/>
    <w:rsid w:val="00373B93"/>
    <w:rsid w:val="003812CA"/>
    <w:rsid w:val="003834C9"/>
    <w:rsid w:val="0038672F"/>
    <w:rsid w:val="0039195F"/>
    <w:rsid w:val="003A38F0"/>
    <w:rsid w:val="003B6503"/>
    <w:rsid w:val="003F28E3"/>
    <w:rsid w:val="003F3618"/>
    <w:rsid w:val="003F4329"/>
    <w:rsid w:val="004010A8"/>
    <w:rsid w:val="00412534"/>
    <w:rsid w:val="00412C83"/>
    <w:rsid w:val="00421D23"/>
    <w:rsid w:val="00426014"/>
    <w:rsid w:val="00441C05"/>
    <w:rsid w:val="0044371A"/>
    <w:rsid w:val="0044639A"/>
    <w:rsid w:val="00452529"/>
    <w:rsid w:val="00460B7D"/>
    <w:rsid w:val="00467986"/>
    <w:rsid w:val="00480CB0"/>
    <w:rsid w:val="004953CA"/>
    <w:rsid w:val="004957B6"/>
    <w:rsid w:val="004A3044"/>
    <w:rsid w:val="004A594F"/>
    <w:rsid w:val="004B34EA"/>
    <w:rsid w:val="004B5494"/>
    <w:rsid w:val="004C7D3A"/>
    <w:rsid w:val="004D4F72"/>
    <w:rsid w:val="004D5F1D"/>
    <w:rsid w:val="004D7F45"/>
    <w:rsid w:val="004E1B33"/>
    <w:rsid w:val="004F27A9"/>
    <w:rsid w:val="004F6685"/>
    <w:rsid w:val="004F6735"/>
    <w:rsid w:val="005018A8"/>
    <w:rsid w:val="00505A39"/>
    <w:rsid w:val="00515B16"/>
    <w:rsid w:val="0051691B"/>
    <w:rsid w:val="005240BF"/>
    <w:rsid w:val="00527123"/>
    <w:rsid w:val="005467FD"/>
    <w:rsid w:val="0054753C"/>
    <w:rsid w:val="0055159B"/>
    <w:rsid w:val="00564196"/>
    <w:rsid w:val="005722EC"/>
    <w:rsid w:val="00585390"/>
    <w:rsid w:val="00591B23"/>
    <w:rsid w:val="005939A5"/>
    <w:rsid w:val="005A148C"/>
    <w:rsid w:val="005C4BD1"/>
    <w:rsid w:val="005C5A88"/>
    <w:rsid w:val="005F552C"/>
    <w:rsid w:val="00632207"/>
    <w:rsid w:val="0063491C"/>
    <w:rsid w:val="0064501A"/>
    <w:rsid w:val="00682086"/>
    <w:rsid w:val="0069111D"/>
    <w:rsid w:val="00697AB7"/>
    <w:rsid w:val="006A450A"/>
    <w:rsid w:val="006C38E9"/>
    <w:rsid w:val="006C42EC"/>
    <w:rsid w:val="006D4690"/>
    <w:rsid w:val="006E5E28"/>
    <w:rsid w:val="006E6574"/>
    <w:rsid w:val="006F1EBE"/>
    <w:rsid w:val="006F5DF3"/>
    <w:rsid w:val="006F6525"/>
    <w:rsid w:val="007006DE"/>
    <w:rsid w:val="00703335"/>
    <w:rsid w:val="00714CF2"/>
    <w:rsid w:val="007156B9"/>
    <w:rsid w:val="00720817"/>
    <w:rsid w:val="00722850"/>
    <w:rsid w:val="0073353F"/>
    <w:rsid w:val="00742E45"/>
    <w:rsid w:val="007447AF"/>
    <w:rsid w:val="00745A78"/>
    <w:rsid w:val="00750816"/>
    <w:rsid w:val="00753220"/>
    <w:rsid w:val="00764840"/>
    <w:rsid w:val="007657C1"/>
    <w:rsid w:val="00780AFC"/>
    <w:rsid w:val="007A406D"/>
    <w:rsid w:val="007A62B0"/>
    <w:rsid w:val="007A6D16"/>
    <w:rsid w:val="007B5051"/>
    <w:rsid w:val="007B525A"/>
    <w:rsid w:val="007C5A0C"/>
    <w:rsid w:val="007C5F0F"/>
    <w:rsid w:val="007D3D70"/>
    <w:rsid w:val="007E0FEE"/>
    <w:rsid w:val="007E3861"/>
    <w:rsid w:val="007F0D93"/>
    <w:rsid w:val="007F2017"/>
    <w:rsid w:val="007F4C23"/>
    <w:rsid w:val="007F5BC9"/>
    <w:rsid w:val="008110E2"/>
    <w:rsid w:val="00827DCB"/>
    <w:rsid w:val="008339BB"/>
    <w:rsid w:val="00840F52"/>
    <w:rsid w:val="00847AFD"/>
    <w:rsid w:val="0086419A"/>
    <w:rsid w:val="00867AEC"/>
    <w:rsid w:val="0087023B"/>
    <w:rsid w:val="0087409D"/>
    <w:rsid w:val="008A179F"/>
    <w:rsid w:val="008B0864"/>
    <w:rsid w:val="008C4ADF"/>
    <w:rsid w:val="008C7413"/>
    <w:rsid w:val="008D16B7"/>
    <w:rsid w:val="008E6AE6"/>
    <w:rsid w:val="008F001D"/>
    <w:rsid w:val="008F0116"/>
    <w:rsid w:val="008F143D"/>
    <w:rsid w:val="00932865"/>
    <w:rsid w:val="00941998"/>
    <w:rsid w:val="00947BC6"/>
    <w:rsid w:val="00957BC9"/>
    <w:rsid w:val="009608B9"/>
    <w:rsid w:val="00967AA4"/>
    <w:rsid w:val="0098138E"/>
    <w:rsid w:val="00983FFA"/>
    <w:rsid w:val="00986181"/>
    <w:rsid w:val="0098655A"/>
    <w:rsid w:val="009A59D1"/>
    <w:rsid w:val="009A5BB0"/>
    <w:rsid w:val="009B64BE"/>
    <w:rsid w:val="009B6C3E"/>
    <w:rsid w:val="009C1AA9"/>
    <w:rsid w:val="009D6C7F"/>
    <w:rsid w:val="009E7C7F"/>
    <w:rsid w:val="009F1FCF"/>
    <w:rsid w:val="009F3FA7"/>
    <w:rsid w:val="00A15E7A"/>
    <w:rsid w:val="00A16CAA"/>
    <w:rsid w:val="00A17CE0"/>
    <w:rsid w:val="00A42306"/>
    <w:rsid w:val="00A55ACD"/>
    <w:rsid w:val="00A86F64"/>
    <w:rsid w:val="00AC22FC"/>
    <w:rsid w:val="00AF0A96"/>
    <w:rsid w:val="00AF1287"/>
    <w:rsid w:val="00B01F7E"/>
    <w:rsid w:val="00B10CE7"/>
    <w:rsid w:val="00B11BDE"/>
    <w:rsid w:val="00B22D0D"/>
    <w:rsid w:val="00B23AFF"/>
    <w:rsid w:val="00B24E85"/>
    <w:rsid w:val="00B3087D"/>
    <w:rsid w:val="00B34794"/>
    <w:rsid w:val="00B4015A"/>
    <w:rsid w:val="00B47C75"/>
    <w:rsid w:val="00B600D3"/>
    <w:rsid w:val="00B60421"/>
    <w:rsid w:val="00B61C66"/>
    <w:rsid w:val="00B871BC"/>
    <w:rsid w:val="00BA1386"/>
    <w:rsid w:val="00BA72A1"/>
    <w:rsid w:val="00BB0243"/>
    <w:rsid w:val="00BB35E8"/>
    <w:rsid w:val="00BB6A98"/>
    <w:rsid w:val="00BC46B8"/>
    <w:rsid w:val="00BD7235"/>
    <w:rsid w:val="00BE4DBF"/>
    <w:rsid w:val="00BE7C19"/>
    <w:rsid w:val="00BF3A5D"/>
    <w:rsid w:val="00C10B5F"/>
    <w:rsid w:val="00C13426"/>
    <w:rsid w:val="00C14054"/>
    <w:rsid w:val="00C2021D"/>
    <w:rsid w:val="00C20388"/>
    <w:rsid w:val="00C32788"/>
    <w:rsid w:val="00C56C00"/>
    <w:rsid w:val="00C5769E"/>
    <w:rsid w:val="00C61DFE"/>
    <w:rsid w:val="00C63405"/>
    <w:rsid w:val="00C64498"/>
    <w:rsid w:val="00C913A1"/>
    <w:rsid w:val="00CC40A1"/>
    <w:rsid w:val="00CC5569"/>
    <w:rsid w:val="00CC6A99"/>
    <w:rsid w:val="00CF2FC7"/>
    <w:rsid w:val="00D00AA3"/>
    <w:rsid w:val="00D07F73"/>
    <w:rsid w:val="00D2041C"/>
    <w:rsid w:val="00D25ADE"/>
    <w:rsid w:val="00D35730"/>
    <w:rsid w:val="00D43297"/>
    <w:rsid w:val="00D44DB6"/>
    <w:rsid w:val="00D50119"/>
    <w:rsid w:val="00D53A72"/>
    <w:rsid w:val="00D55EDC"/>
    <w:rsid w:val="00D82A43"/>
    <w:rsid w:val="00D93F38"/>
    <w:rsid w:val="00DA3DB3"/>
    <w:rsid w:val="00DA7B5D"/>
    <w:rsid w:val="00DB0660"/>
    <w:rsid w:val="00DC26A3"/>
    <w:rsid w:val="00DF58E7"/>
    <w:rsid w:val="00E11876"/>
    <w:rsid w:val="00E23CBB"/>
    <w:rsid w:val="00E37B59"/>
    <w:rsid w:val="00E601BF"/>
    <w:rsid w:val="00E60E44"/>
    <w:rsid w:val="00E67AFE"/>
    <w:rsid w:val="00E77D3B"/>
    <w:rsid w:val="00EA31C8"/>
    <w:rsid w:val="00EA36C6"/>
    <w:rsid w:val="00EA54F9"/>
    <w:rsid w:val="00ED5725"/>
    <w:rsid w:val="00ED7031"/>
    <w:rsid w:val="00ED7286"/>
    <w:rsid w:val="00EE3060"/>
    <w:rsid w:val="00EE4315"/>
    <w:rsid w:val="00F26ED3"/>
    <w:rsid w:val="00F5660B"/>
    <w:rsid w:val="00F604A1"/>
    <w:rsid w:val="00F62B7A"/>
    <w:rsid w:val="00F6397D"/>
    <w:rsid w:val="00F7293E"/>
    <w:rsid w:val="00F76650"/>
    <w:rsid w:val="00F81F56"/>
    <w:rsid w:val="00F9187B"/>
    <w:rsid w:val="00F92385"/>
    <w:rsid w:val="00FA1B4F"/>
    <w:rsid w:val="00FA4B5B"/>
    <w:rsid w:val="00FB5039"/>
    <w:rsid w:val="00FC0A15"/>
    <w:rsid w:val="00FC47F9"/>
    <w:rsid w:val="00FC65FC"/>
    <w:rsid w:val="00FE5580"/>
    <w:rsid w:val="00FF110C"/>
    <w:rsid w:val="2477B569"/>
    <w:rsid w:val="79B2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4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2 Char Char Char,Footnote Text Char Char Char Char Char,Footnote Text Char2 Char Char Char Char1 Char,Footnote Text Char2,fn,f,Footnote Text Cha,FOOT"/>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Footnote Text Char2 Char Char,Footnote Text Char2 Char Char Char Char,Footnote Text Char Char Char Char Char Char,Footnote Text Char2 Char Char Char Char1 Char Char,fn Char,f Char"/>
    <w:basedOn w:val="DefaultParagraphFont"/>
    <w:link w:val="FootnoteText"/>
    <w:uiPriority w:val="99"/>
    <w:rsid w:val="007657C1"/>
    <w:rPr>
      <w:rFonts w:ascii="Book Antiqua" w:hAnsi="Book Antiqua"/>
      <w:szCs w:val="20"/>
    </w:rPr>
  </w:style>
  <w:style w:type="character" w:styleId="FootnoteReference">
    <w:name w:val="footnote reference"/>
    <w:aliases w:val="o,fr,Style 3,o1,o2,o3,o4,o5,o6,o11,o21,o7,o + Times New Roman,Style 12,(NECG) Footnote Reference,Appel note de bas de p,Style 124,Style 58,Style 17,Style 20,Style 13,fr1,fr2,fr3,FR,Footnote Reference/,Style 6,-E Funotenzeichen,A"/>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Body">
    <w:name w:val="Body"/>
    <w:rsid w:val="00682086"/>
    <w:pPr>
      <w:pBdr>
        <w:top w:val="nil"/>
        <w:left w:val="nil"/>
        <w:bottom w:val="nil"/>
        <w:right w:val="nil"/>
        <w:between w:val="nil"/>
        <w:bar w:val="nil"/>
      </w:pBdr>
      <w:spacing w:after="0" w:line="240" w:lineRule="auto"/>
    </w:pPr>
    <w:rPr>
      <w:rFonts w:ascii="Palatino" w:eastAsia="Arial Unicode MS" w:hAnsi="Palatino" w:cs="Arial Unicode MS"/>
      <w:color w:val="000000"/>
      <w:sz w:val="26"/>
      <w:szCs w:val="26"/>
      <w:u w:color="000000"/>
      <w:bdr w:val="nil"/>
      <w14:textOutline w14:w="0" w14:cap="flat" w14:cmpd="sng" w14:algn="ctr">
        <w14:noFill/>
        <w14:prstDash w14:val="solid"/>
        <w14:bevel/>
      </w14:textOutline>
    </w:rPr>
  </w:style>
  <w:style w:type="character" w:customStyle="1" w:styleId="displayonly">
    <w:name w:val="display_only"/>
    <w:basedOn w:val="DefaultParagraphFont"/>
    <w:rsid w:val="00682086"/>
  </w:style>
  <w:style w:type="paragraph" w:customStyle="1" w:styleId="standard0">
    <w:name w:val="standard"/>
    <w:rsid w:val="00DB0660"/>
    <w:pPr>
      <w:pBdr>
        <w:top w:val="nil"/>
        <w:left w:val="nil"/>
        <w:bottom w:val="nil"/>
        <w:right w:val="nil"/>
        <w:between w:val="nil"/>
        <w:bar w:val="nil"/>
      </w:pBdr>
      <w:spacing w:after="0" w:line="360" w:lineRule="auto"/>
      <w:ind w:firstLine="720"/>
    </w:pPr>
    <w:rPr>
      <w:rFonts w:ascii="Palatino" w:eastAsia="Arial Unicode MS" w:hAnsi="Palatino" w:cs="Arial Unicode MS"/>
      <w:color w:val="000000"/>
      <w:sz w:val="26"/>
      <w:szCs w:val="26"/>
      <w:u w:color="000000"/>
      <w:bdr w:val="nil"/>
    </w:rPr>
  </w:style>
  <w:style w:type="paragraph" w:customStyle="1" w:styleId="num1">
    <w:name w:val="num1"/>
    <w:basedOn w:val="Normal"/>
    <w:rsid w:val="001970A0"/>
    <w:pPr>
      <w:tabs>
        <w:tab w:val="left" w:pos="-720"/>
      </w:tabs>
      <w:suppressAutoHyphens/>
      <w:ind w:firstLine="360"/>
    </w:pPr>
    <w:rPr>
      <w:rFonts w:eastAsia="Times New Roman" w:cs="Times New Roman"/>
      <w:szCs w:val="20"/>
    </w:rPr>
  </w:style>
  <w:style w:type="paragraph" w:styleId="Revision">
    <w:name w:val="Revision"/>
    <w:hidden/>
    <w:uiPriority w:val="99"/>
    <w:semiHidden/>
    <w:rsid w:val="00B11BDE"/>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5550">
      <w:bodyDiv w:val="1"/>
      <w:marLeft w:val="0"/>
      <w:marRight w:val="0"/>
      <w:marTop w:val="0"/>
      <w:marBottom w:val="0"/>
      <w:divBdr>
        <w:top w:val="none" w:sz="0" w:space="0" w:color="auto"/>
        <w:left w:val="none" w:sz="0" w:space="0" w:color="auto"/>
        <w:bottom w:val="none" w:sz="0" w:space="0" w:color="auto"/>
        <w:right w:val="none" w:sz="0" w:space="0" w:color="auto"/>
      </w:divBdr>
    </w:div>
    <w:div w:id="1037584633">
      <w:bodyDiv w:val="1"/>
      <w:marLeft w:val="0"/>
      <w:marRight w:val="0"/>
      <w:marTop w:val="0"/>
      <w:marBottom w:val="0"/>
      <w:divBdr>
        <w:top w:val="none" w:sz="0" w:space="0" w:color="auto"/>
        <w:left w:val="none" w:sz="0" w:space="0" w:color="auto"/>
        <w:bottom w:val="none" w:sz="0" w:space="0" w:color="auto"/>
        <w:right w:val="none" w:sz="0" w:space="0" w:color="auto"/>
      </w:divBdr>
    </w:div>
    <w:div w:id="14927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3" ma:contentTypeDescription="Create a new document." ma:contentTypeScope="" ma:versionID="dd7d3188f1623bb796b4aa8599df8629">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6cfbdcbf01972228de86ea528a83cbea"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customXml/itemProps2.xml><?xml version="1.0" encoding="utf-8"?>
<ds:datastoreItem xmlns:ds="http://schemas.openxmlformats.org/officeDocument/2006/customXml" ds:itemID="{8D5D0A48-8F91-4F6A-A655-FDE0AB70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F34FB-F8E9-42B2-9698-4079D8D634F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775</ap:Words>
  <ap:Characters>4420</ap:Characters>
  <ap:Application>Microsoft Office Word</ap:Application>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5185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2019-06-27T19:57:00Z</cp:lastPrinted>
  <dcterms:created xsi:type="dcterms:W3CDTF">2023-12-06T09:37:53Z</dcterms:created>
  <dcterms:modified xsi:type="dcterms:W3CDTF">2023-12-06T09:37:53Z</dcterms:modified>
</cp:coreProperties>
</file>